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3B0F8" w14:textId="2DC8F8D5" w:rsidR="00D83E33" w:rsidRDefault="00D83E33" w:rsidP="00F1145B">
      <w:pPr>
        <w:pBdr>
          <w:top w:val="nil"/>
          <w:left w:val="nil"/>
          <w:bottom w:val="nil"/>
          <w:right w:val="nil"/>
          <w:between w:val="nil"/>
        </w:pBdr>
        <w:ind w:left="284"/>
        <w:rPr>
          <w:b/>
          <w:color w:val="000000"/>
          <w:sz w:val="32"/>
          <w:szCs w:val="32"/>
        </w:rPr>
      </w:pPr>
    </w:p>
    <w:p w14:paraId="1DB905D8" w14:textId="77777777" w:rsidR="00D83E33" w:rsidRDefault="00BC4072" w:rsidP="00762D1F">
      <w:pPr>
        <w:pBdr>
          <w:top w:val="nil"/>
          <w:left w:val="nil"/>
          <w:bottom w:val="nil"/>
          <w:right w:val="nil"/>
          <w:between w:val="nil"/>
        </w:pBdr>
        <w:ind w:left="284"/>
        <w:rPr>
          <w:b/>
          <w:color w:val="000000"/>
          <w:sz w:val="32"/>
          <w:szCs w:val="32"/>
        </w:rPr>
      </w:pPr>
      <w:bookmarkStart w:id="0" w:name="_heading=h.gjdgxs" w:colFirst="0" w:colLast="0"/>
      <w:bookmarkEnd w:id="0"/>
      <w:r>
        <w:rPr>
          <w:b/>
          <w:color w:val="000000"/>
          <w:sz w:val="32"/>
          <w:szCs w:val="32"/>
        </w:rPr>
        <w:t>Consolidated Financial Statements and</w:t>
      </w:r>
    </w:p>
    <w:p w14:paraId="5E21EA96" w14:textId="77777777" w:rsidR="00D83E33" w:rsidRDefault="00BC4072" w:rsidP="00762D1F">
      <w:pPr>
        <w:pBdr>
          <w:top w:val="nil"/>
          <w:left w:val="nil"/>
          <w:bottom w:val="nil"/>
          <w:right w:val="nil"/>
          <w:between w:val="nil"/>
        </w:pBdr>
        <w:ind w:left="284"/>
        <w:rPr>
          <w:b/>
          <w:color w:val="000000"/>
          <w:sz w:val="32"/>
          <w:szCs w:val="32"/>
        </w:rPr>
      </w:pPr>
      <w:r>
        <w:rPr>
          <w:b/>
          <w:color w:val="000000"/>
          <w:sz w:val="32"/>
          <w:szCs w:val="32"/>
        </w:rPr>
        <w:t>Independent Auditor’s Report</w:t>
      </w:r>
    </w:p>
    <w:p w14:paraId="56316265" w14:textId="77777777" w:rsidR="00D83E33" w:rsidRDefault="00BC4072" w:rsidP="00762D1F">
      <w:pPr>
        <w:pBdr>
          <w:top w:val="nil"/>
          <w:left w:val="nil"/>
          <w:bottom w:val="nil"/>
          <w:right w:val="nil"/>
          <w:between w:val="nil"/>
        </w:pBdr>
        <w:ind w:left="284"/>
        <w:rPr>
          <w:b/>
          <w:color w:val="0000FF"/>
          <w:sz w:val="32"/>
          <w:szCs w:val="32"/>
        </w:rPr>
      </w:pPr>
      <w:r>
        <w:rPr>
          <w:b/>
          <w:color w:val="0000FF"/>
          <w:sz w:val="32"/>
          <w:szCs w:val="32"/>
        </w:rPr>
        <w:t>[ABC Bank Group]</w:t>
      </w:r>
    </w:p>
    <w:p w14:paraId="3F9897BB" w14:textId="77777777" w:rsidR="00D83E33" w:rsidRDefault="00D83E33" w:rsidP="00762D1F">
      <w:pPr>
        <w:ind w:left="284"/>
      </w:pPr>
    </w:p>
    <w:p w14:paraId="5C01AF02" w14:textId="6DF871FF" w:rsidR="00D83E33" w:rsidRDefault="00BC4072" w:rsidP="00762D1F">
      <w:pPr>
        <w:pBdr>
          <w:top w:val="nil"/>
          <w:left w:val="nil"/>
          <w:bottom w:val="nil"/>
          <w:right w:val="nil"/>
          <w:between w:val="nil"/>
        </w:pBdr>
        <w:ind w:left="284"/>
        <w:jc w:val="both"/>
        <w:rPr>
          <w:b/>
          <w:smallCaps/>
          <w:color w:val="000000"/>
          <w:sz w:val="32"/>
          <w:szCs w:val="32"/>
        </w:rPr>
      </w:pPr>
      <w:r>
        <w:rPr>
          <w:b/>
          <w:color w:val="000000"/>
          <w:sz w:val="32"/>
          <w:szCs w:val="32"/>
        </w:rPr>
        <w:t>31</w:t>
      </w:r>
      <w:r w:rsidR="00181687">
        <w:rPr>
          <w:b/>
          <w:color w:val="000000"/>
          <w:sz w:val="32"/>
          <w:szCs w:val="32"/>
        </w:rPr>
        <w:t> December </w:t>
      </w:r>
      <w:r w:rsidR="00541EBC">
        <w:rPr>
          <w:b/>
          <w:color w:val="000000"/>
          <w:sz w:val="32"/>
          <w:szCs w:val="32"/>
        </w:rPr>
        <w:t>2024</w:t>
      </w:r>
    </w:p>
    <w:p w14:paraId="47A3C3E8" w14:textId="77777777" w:rsidR="00D83E33" w:rsidRDefault="00D83E33" w:rsidP="00762D1F">
      <w:pPr>
        <w:pBdr>
          <w:top w:val="nil"/>
          <w:left w:val="nil"/>
          <w:bottom w:val="nil"/>
          <w:right w:val="nil"/>
          <w:between w:val="nil"/>
        </w:pBdr>
        <w:jc w:val="both"/>
        <w:rPr>
          <w:b/>
          <w:smallCaps/>
          <w:color w:val="000000"/>
          <w:sz w:val="32"/>
          <w:szCs w:val="32"/>
        </w:rPr>
      </w:pPr>
    </w:p>
    <w:p w14:paraId="709F6F7F" w14:textId="77777777" w:rsidR="00D83E33" w:rsidRDefault="00D83E33" w:rsidP="00762D1F">
      <w:pPr>
        <w:pBdr>
          <w:top w:val="nil"/>
          <w:left w:val="nil"/>
          <w:bottom w:val="nil"/>
          <w:right w:val="nil"/>
          <w:between w:val="nil"/>
        </w:pBdr>
        <w:jc w:val="both"/>
        <w:rPr>
          <w:b/>
          <w:smallCaps/>
          <w:color w:val="000000"/>
          <w:sz w:val="32"/>
          <w:szCs w:val="32"/>
        </w:rPr>
        <w:sectPr w:rsidR="00D83E33">
          <w:headerReference w:type="default" r:id="rId9"/>
          <w:footerReference w:type="even" r:id="rId10"/>
          <w:pgSz w:w="11907" w:h="16840"/>
          <w:pgMar w:top="3113" w:right="2648" w:bottom="9923" w:left="1814" w:header="737" w:footer="567" w:gutter="0"/>
          <w:pgNumType w:start="1"/>
          <w:cols w:space="720"/>
        </w:sectPr>
      </w:pPr>
    </w:p>
    <w:p w14:paraId="2AFF5F7E" w14:textId="7242E996" w:rsidR="00D83E33" w:rsidRPr="0091632A" w:rsidRDefault="00BC4072" w:rsidP="00762D1F">
      <w:pPr>
        <w:pBdr>
          <w:top w:val="nil"/>
          <w:left w:val="nil"/>
          <w:bottom w:val="nil"/>
          <w:right w:val="nil"/>
          <w:between w:val="nil"/>
        </w:pBdr>
        <w:jc w:val="both"/>
        <w:rPr>
          <w:b/>
          <w:smallCaps/>
          <w:color w:val="000000"/>
          <w:sz w:val="20"/>
          <w:szCs w:val="20"/>
        </w:rPr>
      </w:pPr>
      <w:r w:rsidRPr="00FB108F">
        <w:rPr>
          <w:b/>
          <w:smallCaps/>
          <w:color w:val="000000"/>
          <w:sz w:val="20"/>
          <w:szCs w:val="20"/>
        </w:rPr>
        <w:lastRenderedPageBreak/>
        <w:t xml:space="preserve">CONTENTS </w:t>
      </w:r>
    </w:p>
    <w:p w14:paraId="21FF1DDF" w14:textId="0C08071F" w:rsidR="00D83E33" w:rsidRPr="00FB108F" w:rsidRDefault="00BC4072" w:rsidP="00762D1F">
      <w:pPr>
        <w:pBdr>
          <w:top w:val="nil"/>
          <w:left w:val="nil"/>
          <w:bottom w:val="nil"/>
          <w:right w:val="nil"/>
          <w:between w:val="nil"/>
        </w:pBdr>
        <w:tabs>
          <w:tab w:val="left" w:pos="567"/>
          <w:tab w:val="right" w:pos="9345"/>
        </w:tabs>
        <w:rPr>
          <w:color w:val="000000"/>
          <w:sz w:val="20"/>
          <w:szCs w:val="20"/>
        </w:rPr>
      </w:pPr>
      <w:r w:rsidRPr="00FB108F">
        <w:rPr>
          <w:color w:val="000000"/>
          <w:sz w:val="20"/>
          <w:szCs w:val="20"/>
        </w:rPr>
        <w:t>Independent Auditor’s Report</w:t>
      </w:r>
    </w:p>
    <w:p w14:paraId="5329B739" w14:textId="77777777" w:rsidR="00D83E33" w:rsidRPr="00FB108F" w:rsidRDefault="00D83E33" w:rsidP="00762D1F">
      <w:pPr>
        <w:pBdr>
          <w:top w:val="nil"/>
          <w:left w:val="nil"/>
          <w:bottom w:val="nil"/>
          <w:right w:val="nil"/>
          <w:between w:val="nil"/>
        </w:pBdr>
        <w:tabs>
          <w:tab w:val="left" w:pos="567"/>
          <w:tab w:val="right" w:pos="9345"/>
        </w:tabs>
        <w:rPr>
          <w:color w:val="000000"/>
          <w:sz w:val="20"/>
          <w:szCs w:val="20"/>
        </w:rPr>
      </w:pPr>
    </w:p>
    <w:p w14:paraId="3F36340F" w14:textId="2534B650" w:rsidR="00D83E33" w:rsidRPr="0091632A" w:rsidRDefault="00BC4072" w:rsidP="00762D1F">
      <w:pPr>
        <w:pBdr>
          <w:top w:val="nil"/>
          <w:left w:val="nil"/>
          <w:bottom w:val="nil"/>
          <w:right w:val="nil"/>
          <w:between w:val="nil"/>
        </w:pBdr>
        <w:tabs>
          <w:tab w:val="left" w:pos="567"/>
          <w:tab w:val="right" w:pos="9345"/>
        </w:tabs>
        <w:rPr>
          <w:b/>
          <w:color w:val="000000"/>
          <w:sz w:val="20"/>
          <w:szCs w:val="20"/>
        </w:rPr>
      </w:pPr>
      <w:r w:rsidRPr="00FB108F">
        <w:rPr>
          <w:b/>
          <w:color w:val="000000"/>
          <w:sz w:val="20"/>
          <w:szCs w:val="20"/>
        </w:rPr>
        <w:t>Consolidated Financial Statements</w:t>
      </w:r>
    </w:p>
    <w:p w14:paraId="1D77F3A1" w14:textId="77777777" w:rsidR="00D83E33" w:rsidRPr="00FB108F" w:rsidRDefault="00BC4072" w:rsidP="001B330E">
      <w:pPr>
        <w:pBdr>
          <w:top w:val="nil"/>
          <w:left w:val="nil"/>
          <w:bottom w:val="nil"/>
          <w:right w:val="nil"/>
          <w:between w:val="nil"/>
        </w:pBdr>
        <w:tabs>
          <w:tab w:val="right" w:leader="dot" w:pos="9344"/>
        </w:tabs>
        <w:rPr>
          <w:color w:val="000000"/>
          <w:sz w:val="20"/>
          <w:szCs w:val="20"/>
        </w:rPr>
      </w:pPr>
      <w:r w:rsidRPr="00FB108F">
        <w:rPr>
          <w:color w:val="000000"/>
          <w:sz w:val="20"/>
          <w:szCs w:val="20"/>
        </w:rPr>
        <w:t>Consolidated Statement of Financial Position</w:t>
      </w:r>
      <w:r w:rsidRPr="00FB108F">
        <w:rPr>
          <w:color w:val="000000"/>
          <w:sz w:val="20"/>
          <w:szCs w:val="20"/>
        </w:rPr>
        <w:tab/>
        <w:t>1</w:t>
      </w:r>
    </w:p>
    <w:p w14:paraId="1DCA193E" w14:textId="77777777" w:rsidR="00D83E33" w:rsidRPr="00FB108F" w:rsidRDefault="00BC4072" w:rsidP="001B330E">
      <w:pPr>
        <w:pBdr>
          <w:top w:val="nil"/>
          <w:left w:val="nil"/>
          <w:bottom w:val="nil"/>
          <w:right w:val="nil"/>
          <w:between w:val="nil"/>
        </w:pBdr>
        <w:tabs>
          <w:tab w:val="right" w:leader="dot" w:pos="9344"/>
        </w:tabs>
        <w:rPr>
          <w:color w:val="000000"/>
          <w:sz w:val="20"/>
          <w:szCs w:val="20"/>
        </w:rPr>
      </w:pPr>
      <w:r w:rsidRPr="00FB108F">
        <w:rPr>
          <w:color w:val="000000"/>
          <w:sz w:val="20"/>
          <w:szCs w:val="20"/>
        </w:rPr>
        <w:t>Consolidated Statement of Profit or Loss and Other Comprehensive Income</w:t>
      </w:r>
      <w:r w:rsidRPr="00FB108F">
        <w:rPr>
          <w:color w:val="000000"/>
          <w:sz w:val="20"/>
          <w:szCs w:val="20"/>
        </w:rPr>
        <w:tab/>
        <w:t>2</w:t>
      </w:r>
    </w:p>
    <w:p w14:paraId="6D372A60" w14:textId="1010FA3B" w:rsidR="00D83E33" w:rsidRPr="00071B94" w:rsidRDefault="00BC4072" w:rsidP="001B330E">
      <w:pPr>
        <w:pBdr>
          <w:top w:val="nil"/>
          <w:left w:val="nil"/>
          <w:bottom w:val="nil"/>
          <w:right w:val="nil"/>
          <w:between w:val="nil"/>
        </w:pBdr>
        <w:tabs>
          <w:tab w:val="right" w:leader="dot" w:pos="9344"/>
        </w:tabs>
        <w:rPr>
          <w:color w:val="000000"/>
          <w:sz w:val="20"/>
          <w:szCs w:val="20"/>
          <w:lang w:val="sr-Cyrl-RS"/>
        </w:rPr>
      </w:pPr>
      <w:r w:rsidRPr="00FB108F">
        <w:rPr>
          <w:color w:val="000000"/>
          <w:sz w:val="20"/>
          <w:szCs w:val="20"/>
        </w:rPr>
        <w:t>Consolidated Statement of Changes in Equity</w:t>
      </w:r>
      <w:r w:rsidRPr="00FB108F">
        <w:rPr>
          <w:color w:val="000000"/>
          <w:sz w:val="20"/>
          <w:szCs w:val="20"/>
        </w:rPr>
        <w:tab/>
      </w:r>
      <w:r w:rsidR="00071B94">
        <w:rPr>
          <w:color w:val="000000"/>
          <w:sz w:val="20"/>
          <w:szCs w:val="20"/>
          <w:lang w:val="sr-Cyrl-RS"/>
        </w:rPr>
        <w:t>4</w:t>
      </w:r>
    </w:p>
    <w:p w14:paraId="78619052" w14:textId="19D80A54" w:rsidR="00D83E33" w:rsidRPr="00071B94" w:rsidRDefault="00BC4072" w:rsidP="001B330E">
      <w:pPr>
        <w:pBdr>
          <w:top w:val="nil"/>
          <w:left w:val="nil"/>
          <w:bottom w:val="nil"/>
          <w:right w:val="nil"/>
          <w:between w:val="nil"/>
        </w:pBdr>
        <w:tabs>
          <w:tab w:val="right" w:leader="dot" w:pos="9344"/>
        </w:tabs>
        <w:rPr>
          <w:color w:val="000000"/>
          <w:sz w:val="20"/>
          <w:szCs w:val="20"/>
          <w:lang w:val="sr-Cyrl-RS"/>
        </w:rPr>
      </w:pPr>
      <w:r w:rsidRPr="00FB108F">
        <w:rPr>
          <w:color w:val="000000"/>
          <w:sz w:val="20"/>
          <w:szCs w:val="20"/>
        </w:rPr>
        <w:t>Consolidated Statement of Cash Flows</w:t>
      </w:r>
      <w:r w:rsidRPr="00FB108F">
        <w:rPr>
          <w:color w:val="000000"/>
          <w:sz w:val="20"/>
          <w:szCs w:val="20"/>
        </w:rPr>
        <w:tab/>
      </w:r>
      <w:r w:rsidR="00071B94">
        <w:rPr>
          <w:color w:val="000000"/>
          <w:sz w:val="20"/>
          <w:szCs w:val="20"/>
          <w:lang w:val="sr-Cyrl-RS"/>
        </w:rPr>
        <w:t>7</w:t>
      </w:r>
    </w:p>
    <w:p w14:paraId="51EA85E9" w14:textId="77777777" w:rsidR="00D83E33" w:rsidRPr="00FB108F" w:rsidRDefault="00D83E33" w:rsidP="00762D1F">
      <w:pPr>
        <w:rPr>
          <w:sz w:val="20"/>
          <w:szCs w:val="20"/>
        </w:rPr>
      </w:pPr>
    </w:p>
    <w:p w14:paraId="4386007A" w14:textId="5DF1ED98" w:rsidR="00D83E33" w:rsidRPr="0091632A" w:rsidRDefault="00BC4072" w:rsidP="00762D1F">
      <w:pPr>
        <w:rPr>
          <w:b/>
          <w:sz w:val="20"/>
          <w:szCs w:val="20"/>
        </w:rPr>
      </w:pPr>
      <w:r w:rsidRPr="00FB108F">
        <w:rPr>
          <w:b/>
          <w:sz w:val="20"/>
          <w:szCs w:val="20"/>
        </w:rPr>
        <w:t>Notes to the Consolidated Financial Statements</w:t>
      </w:r>
    </w:p>
    <w:sdt>
      <w:sdtPr>
        <w:rPr>
          <w:rFonts w:hAnsi="Arial"/>
          <w:noProof w:val="0"/>
          <w:sz w:val="18"/>
          <w:szCs w:val="20"/>
        </w:rPr>
        <w:id w:val="1361310695"/>
        <w:docPartObj>
          <w:docPartGallery w:val="Table of Contents"/>
          <w:docPartUnique/>
        </w:docPartObj>
      </w:sdtPr>
      <w:sdtContent>
        <w:p w14:paraId="654FBB69" w14:textId="78513E0A" w:rsidR="00071B94" w:rsidRDefault="00BC4072">
          <w:pPr>
            <w:pStyle w:val="TOC1"/>
            <w:rPr>
              <w:rFonts w:asciiTheme="minorHAnsi" w:eastAsiaTheme="minorEastAsia" w:hAnsiTheme="minorHAnsi" w:cstheme="minorBidi"/>
              <w:kern w:val="2"/>
              <w:sz w:val="24"/>
              <w:szCs w:val="24"/>
              <w:lang w:eastAsia="en-GB"/>
              <w14:ligatures w14:val="standardContextual"/>
            </w:rPr>
          </w:pPr>
          <w:r w:rsidRPr="001B330E">
            <w:rPr>
              <w:rFonts w:hAnsi="Arial"/>
              <w:szCs w:val="20"/>
            </w:rPr>
            <w:fldChar w:fldCharType="begin"/>
          </w:r>
          <w:r w:rsidRPr="001B330E">
            <w:rPr>
              <w:rFonts w:hAnsi="Arial"/>
              <w:szCs w:val="20"/>
            </w:rPr>
            <w:instrText xml:space="preserve"> TOC \h \u \z </w:instrText>
          </w:r>
          <w:r w:rsidRPr="001B330E">
            <w:rPr>
              <w:rFonts w:hAnsi="Arial"/>
              <w:szCs w:val="20"/>
            </w:rPr>
            <w:fldChar w:fldCharType="separate"/>
          </w:r>
          <w:hyperlink w:anchor="_Toc179196003" w:history="1">
            <w:r w:rsidR="00071B94" w:rsidRPr="00F96CAD">
              <w:rPr>
                <w:rStyle w:val="Hyperlink"/>
              </w:rPr>
              <w:t>1</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Introduction</w:t>
            </w:r>
            <w:r w:rsidR="00071B94">
              <w:rPr>
                <w:webHidden/>
              </w:rPr>
              <w:tab/>
            </w:r>
            <w:r w:rsidR="00071B94">
              <w:rPr>
                <w:webHidden/>
              </w:rPr>
              <w:fldChar w:fldCharType="begin"/>
            </w:r>
            <w:r w:rsidR="00071B94">
              <w:rPr>
                <w:webHidden/>
              </w:rPr>
              <w:instrText xml:space="preserve"> PAGEREF _Toc179196003 \h </w:instrText>
            </w:r>
            <w:r w:rsidR="00071B94">
              <w:rPr>
                <w:webHidden/>
              </w:rPr>
            </w:r>
            <w:r w:rsidR="00071B94">
              <w:rPr>
                <w:webHidden/>
              </w:rPr>
              <w:fldChar w:fldCharType="separate"/>
            </w:r>
            <w:r w:rsidR="00071B94">
              <w:rPr>
                <w:webHidden/>
              </w:rPr>
              <w:t>9</w:t>
            </w:r>
            <w:r w:rsidR="00071B94">
              <w:rPr>
                <w:webHidden/>
              </w:rPr>
              <w:fldChar w:fldCharType="end"/>
            </w:r>
          </w:hyperlink>
        </w:p>
        <w:p w14:paraId="3ED59BE9" w14:textId="20708537"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04" w:history="1">
            <w:r w:rsidR="00071B94" w:rsidRPr="00F96CAD">
              <w:rPr>
                <w:rStyle w:val="Hyperlink"/>
              </w:rPr>
              <w:t>2</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Operating Environment of the Group</w:t>
            </w:r>
            <w:r w:rsidR="00071B94">
              <w:rPr>
                <w:webHidden/>
              </w:rPr>
              <w:tab/>
            </w:r>
            <w:r w:rsidR="00071B94">
              <w:rPr>
                <w:webHidden/>
              </w:rPr>
              <w:fldChar w:fldCharType="begin"/>
            </w:r>
            <w:r w:rsidR="00071B94">
              <w:rPr>
                <w:webHidden/>
              </w:rPr>
              <w:instrText xml:space="preserve"> PAGEREF _Toc179196004 \h </w:instrText>
            </w:r>
            <w:r w:rsidR="00071B94">
              <w:rPr>
                <w:webHidden/>
              </w:rPr>
            </w:r>
            <w:r w:rsidR="00071B94">
              <w:rPr>
                <w:webHidden/>
              </w:rPr>
              <w:fldChar w:fldCharType="separate"/>
            </w:r>
            <w:r w:rsidR="00071B94">
              <w:rPr>
                <w:webHidden/>
              </w:rPr>
              <w:t>9</w:t>
            </w:r>
            <w:r w:rsidR="00071B94">
              <w:rPr>
                <w:webHidden/>
              </w:rPr>
              <w:fldChar w:fldCharType="end"/>
            </w:r>
          </w:hyperlink>
        </w:p>
        <w:p w14:paraId="23CB21A6" w14:textId="68661957"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05" w:history="1">
            <w:r w:rsidR="00071B94" w:rsidRPr="00F96CAD">
              <w:rPr>
                <w:rStyle w:val="Hyperlink"/>
              </w:rPr>
              <w:t>3</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Basis of Preparation</w:t>
            </w:r>
            <w:r w:rsidR="00071B94">
              <w:rPr>
                <w:webHidden/>
              </w:rPr>
              <w:tab/>
            </w:r>
            <w:r w:rsidR="00071B94">
              <w:rPr>
                <w:webHidden/>
              </w:rPr>
              <w:fldChar w:fldCharType="begin"/>
            </w:r>
            <w:r w:rsidR="00071B94">
              <w:rPr>
                <w:webHidden/>
              </w:rPr>
              <w:instrText xml:space="preserve"> PAGEREF _Toc179196005 \h </w:instrText>
            </w:r>
            <w:r w:rsidR="00071B94">
              <w:rPr>
                <w:webHidden/>
              </w:rPr>
            </w:r>
            <w:r w:rsidR="00071B94">
              <w:rPr>
                <w:webHidden/>
              </w:rPr>
              <w:fldChar w:fldCharType="separate"/>
            </w:r>
            <w:r w:rsidR="00071B94">
              <w:rPr>
                <w:webHidden/>
              </w:rPr>
              <w:t>11</w:t>
            </w:r>
            <w:r w:rsidR="00071B94">
              <w:rPr>
                <w:webHidden/>
              </w:rPr>
              <w:fldChar w:fldCharType="end"/>
            </w:r>
          </w:hyperlink>
        </w:p>
        <w:p w14:paraId="42D69547" w14:textId="72B10F4F"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06" w:history="1">
            <w:r w:rsidR="00071B94" w:rsidRPr="00F96CAD">
              <w:rPr>
                <w:rStyle w:val="Hyperlink"/>
              </w:rPr>
              <w:t>4</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Sources of Estimation Uncertainty and Judgements in Applying Accounting Policies</w:t>
            </w:r>
            <w:r w:rsidR="00071B94">
              <w:rPr>
                <w:webHidden/>
              </w:rPr>
              <w:tab/>
            </w:r>
            <w:r w:rsidR="00071B94">
              <w:rPr>
                <w:webHidden/>
              </w:rPr>
              <w:fldChar w:fldCharType="begin"/>
            </w:r>
            <w:r w:rsidR="00071B94">
              <w:rPr>
                <w:webHidden/>
              </w:rPr>
              <w:instrText xml:space="preserve"> PAGEREF _Toc179196006 \h </w:instrText>
            </w:r>
            <w:r w:rsidR="00071B94">
              <w:rPr>
                <w:webHidden/>
              </w:rPr>
            </w:r>
            <w:r w:rsidR="00071B94">
              <w:rPr>
                <w:webHidden/>
              </w:rPr>
              <w:fldChar w:fldCharType="separate"/>
            </w:r>
            <w:r w:rsidR="00071B94">
              <w:rPr>
                <w:webHidden/>
              </w:rPr>
              <w:t>14</w:t>
            </w:r>
            <w:r w:rsidR="00071B94">
              <w:rPr>
                <w:webHidden/>
              </w:rPr>
              <w:fldChar w:fldCharType="end"/>
            </w:r>
          </w:hyperlink>
        </w:p>
        <w:p w14:paraId="3D299292" w14:textId="506BB3AC"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07" w:history="1">
            <w:r w:rsidR="00071B94" w:rsidRPr="00F96CAD">
              <w:rPr>
                <w:rStyle w:val="Hyperlink"/>
              </w:rPr>
              <w:t>5</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Adoption of New or Revised Standards and Interpretations</w:t>
            </w:r>
            <w:r w:rsidR="00071B94">
              <w:rPr>
                <w:webHidden/>
              </w:rPr>
              <w:tab/>
            </w:r>
            <w:r w:rsidR="00071B94">
              <w:rPr>
                <w:webHidden/>
              </w:rPr>
              <w:fldChar w:fldCharType="begin"/>
            </w:r>
            <w:r w:rsidR="00071B94">
              <w:rPr>
                <w:webHidden/>
              </w:rPr>
              <w:instrText xml:space="preserve"> PAGEREF _Toc179196007 \h </w:instrText>
            </w:r>
            <w:r w:rsidR="00071B94">
              <w:rPr>
                <w:webHidden/>
              </w:rPr>
            </w:r>
            <w:r w:rsidR="00071B94">
              <w:rPr>
                <w:webHidden/>
              </w:rPr>
              <w:fldChar w:fldCharType="separate"/>
            </w:r>
            <w:r w:rsidR="00071B94">
              <w:rPr>
                <w:webHidden/>
              </w:rPr>
              <w:t>25</w:t>
            </w:r>
            <w:r w:rsidR="00071B94">
              <w:rPr>
                <w:webHidden/>
              </w:rPr>
              <w:fldChar w:fldCharType="end"/>
            </w:r>
          </w:hyperlink>
        </w:p>
        <w:p w14:paraId="7EE8B357" w14:textId="38C172D5"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08" w:history="1">
            <w:r w:rsidR="00071B94" w:rsidRPr="00F96CAD">
              <w:rPr>
                <w:rStyle w:val="Hyperlink"/>
              </w:rPr>
              <w:t>6</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New Accounting Pronouncements</w:t>
            </w:r>
            <w:r w:rsidR="00071B94">
              <w:rPr>
                <w:webHidden/>
              </w:rPr>
              <w:tab/>
            </w:r>
            <w:r w:rsidR="00071B94">
              <w:rPr>
                <w:webHidden/>
              </w:rPr>
              <w:fldChar w:fldCharType="begin"/>
            </w:r>
            <w:r w:rsidR="00071B94">
              <w:rPr>
                <w:webHidden/>
              </w:rPr>
              <w:instrText xml:space="preserve"> PAGEREF _Toc179196008 \h </w:instrText>
            </w:r>
            <w:r w:rsidR="00071B94">
              <w:rPr>
                <w:webHidden/>
              </w:rPr>
            </w:r>
            <w:r w:rsidR="00071B94">
              <w:rPr>
                <w:webHidden/>
              </w:rPr>
              <w:fldChar w:fldCharType="separate"/>
            </w:r>
            <w:r w:rsidR="00071B94">
              <w:rPr>
                <w:webHidden/>
              </w:rPr>
              <w:t>25</w:t>
            </w:r>
            <w:r w:rsidR="00071B94">
              <w:rPr>
                <w:webHidden/>
              </w:rPr>
              <w:fldChar w:fldCharType="end"/>
            </w:r>
          </w:hyperlink>
        </w:p>
        <w:p w14:paraId="40351BAC" w14:textId="0FFEEEBD"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09" w:history="1">
            <w:r w:rsidR="00071B94" w:rsidRPr="00F96CAD">
              <w:rPr>
                <w:rStyle w:val="Hyperlink"/>
              </w:rPr>
              <w:t>7</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Cash and Cash Equivalents</w:t>
            </w:r>
            <w:r w:rsidR="00071B94">
              <w:rPr>
                <w:webHidden/>
              </w:rPr>
              <w:tab/>
            </w:r>
            <w:r w:rsidR="00071B94">
              <w:rPr>
                <w:webHidden/>
              </w:rPr>
              <w:fldChar w:fldCharType="begin"/>
            </w:r>
            <w:r w:rsidR="00071B94">
              <w:rPr>
                <w:webHidden/>
              </w:rPr>
              <w:instrText xml:space="preserve"> PAGEREF _Toc179196009 \h </w:instrText>
            </w:r>
            <w:r w:rsidR="00071B94">
              <w:rPr>
                <w:webHidden/>
              </w:rPr>
            </w:r>
            <w:r w:rsidR="00071B94">
              <w:rPr>
                <w:webHidden/>
              </w:rPr>
              <w:fldChar w:fldCharType="separate"/>
            </w:r>
            <w:r w:rsidR="00071B94">
              <w:rPr>
                <w:webHidden/>
              </w:rPr>
              <w:t>27</w:t>
            </w:r>
            <w:r w:rsidR="00071B94">
              <w:rPr>
                <w:webHidden/>
              </w:rPr>
              <w:fldChar w:fldCharType="end"/>
            </w:r>
          </w:hyperlink>
        </w:p>
        <w:p w14:paraId="5073741E" w14:textId="4FBA0FB7"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0" w:history="1">
            <w:r w:rsidR="00071B94" w:rsidRPr="00F96CAD">
              <w:rPr>
                <w:rStyle w:val="Hyperlink"/>
              </w:rPr>
              <w:t>8</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Due from Other Banks</w:t>
            </w:r>
            <w:r w:rsidR="00071B94">
              <w:rPr>
                <w:webHidden/>
              </w:rPr>
              <w:tab/>
            </w:r>
            <w:r w:rsidR="00071B94">
              <w:rPr>
                <w:webHidden/>
              </w:rPr>
              <w:fldChar w:fldCharType="begin"/>
            </w:r>
            <w:r w:rsidR="00071B94">
              <w:rPr>
                <w:webHidden/>
              </w:rPr>
              <w:instrText xml:space="preserve"> PAGEREF _Toc179196010 \h </w:instrText>
            </w:r>
            <w:r w:rsidR="00071B94">
              <w:rPr>
                <w:webHidden/>
              </w:rPr>
            </w:r>
            <w:r w:rsidR="00071B94">
              <w:rPr>
                <w:webHidden/>
              </w:rPr>
              <w:fldChar w:fldCharType="separate"/>
            </w:r>
            <w:r w:rsidR="00071B94">
              <w:rPr>
                <w:webHidden/>
              </w:rPr>
              <w:t>30</w:t>
            </w:r>
            <w:r w:rsidR="00071B94">
              <w:rPr>
                <w:webHidden/>
              </w:rPr>
              <w:fldChar w:fldCharType="end"/>
            </w:r>
          </w:hyperlink>
        </w:p>
        <w:p w14:paraId="783A8C8B" w14:textId="46E58101"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1" w:history="1">
            <w:r w:rsidR="00071B94" w:rsidRPr="00F96CAD">
              <w:rPr>
                <w:rStyle w:val="Hyperlink"/>
              </w:rPr>
              <w:t>9</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Investments in Debt Securities</w:t>
            </w:r>
            <w:r w:rsidR="00071B94">
              <w:rPr>
                <w:webHidden/>
              </w:rPr>
              <w:tab/>
            </w:r>
            <w:r w:rsidR="00071B94">
              <w:rPr>
                <w:webHidden/>
              </w:rPr>
              <w:fldChar w:fldCharType="begin"/>
            </w:r>
            <w:r w:rsidR="00071B94">
              <w:rPr>
                <w:webHidden/>
              </w:rPr>
              <w:instrText xml:space="preserve"> PAGEREF _Toc179196011 \h </w:instrText>
            </w:r>
            <w:r w:rsidR="00071B94">
              <w:rPr>
                <w:webHidden/>
              </w:rPr>
            </w:r>
            <w:r w:rsidR="00071B94">
              <w:rPr>
                <w:webHidden/>
              </w:rPr>
              <w:fldChar w:fldCharType="separate"/>
            </w:r>
            <w:r w:rsidR="00071B94">
              <w:rPr>
                <w:webHidden/>
              </w:rPr>
              <w:t>38</w:t>
            </w:r>
            <w:r w:rsidR="00071B94">
              <w:rPr>
                <w:webHidden/>
              </w:rPr>
              <w:fldChar w:fldCharType="end"/>
            </w:r>
          </w:hyperlink>
        </w:p>
        <w:p w14:paraId="792EB50B" w14:textId="536BD57A"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2" w:history="1">
            <w:r w:rsidR="00071B94" w:rsidRPr="00F96CAD">
              <w:rPr>
                <w:rStyle w:val="Hyperlink"/>
              </w:rPr>
              <w:t>10</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Investments in Equity Securities</w:t>
            </w:r>
            <w:r w:rsidR="00071B94">
              <w:rPr>
                <w:webHidden/>
              </w:rPr>
              <w:tab/>
            </w:r>
            <w:r w:rsidR="00071B94">
              <w:rPr>
                <w:webHidden/>
              </w:rPr>
              <w:fldChar w:fldCharType="begin"/>
            </w:r>
            <w:r w:rsidR="00071B94">
              <w:rPr>
                <w:webHidden/>
              </w:rPr>
              <w:instrText xml:space="preserve"> PAGEREF _Toc179196012 \h </w:instrText>
            </w:r>
            <w:r w:rsidR="00071B94">
              <w:rPr>
                <w:webHidden/>
              </w:rPr>
            </w:r>
            <w:r w:rsidR="00071B94">
              <w:rPr>
                <w:webHidden/>
              </w:rPr>
              <w:fldChar w:fldCharType="separate"/>
            </w:r>
            <w:r w:rsidR="00071B94">
              <w:rPr>
                <w:webHidden/>
              </w:rPr>
              <w:t>53</w:t>
            </w:r>
            <w:r w:rsidR="00071B94">
              <w:rPr>
                <w:webHidden/>
              </w:rPr>
              <w:fldChar w:fldCharType="end"/>
            </w:r>
          </w:hyperlink>
        </w:p>
        <w:p w14:paraId="0FE44D47" w14:textId="103C0173"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3" w:history="1">
            <w:r w:rsidR="00071B94" w:rsidRPr="00F96CAD">
              <w:rPr>
                <w:rStyle w:val="Hyperlink"/>
              </w:rPr>
              <w:t>11</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Loans and Advances to Customers</w:t>
            </w:r>
            <w:r w:rsidR="00071B94">
              <w:rPr>
                <w:webHidden/>
              </w:rPr>
              <w:tab/>
            </w:r>
            <w:r w:rsidR="00071B94">
              <w:rPr>
                <w:webHidden/>
              </w:rPr>
              <w:fldChar w:fldCharType="begin"/>
            </w:r>
            <w:r w:rsidR="00071B94">
              <w:rPr>
                <w:webHidden/>
              </w:rPr>
              <w:instrText xml:space="preserve"> PAGEREF _Toc179196013 \h </w:instrText>
            </w:r>
            <w:r w:rsidR="00071B94">
              <w:rPr>
                <w:webHidden/>
              </w:rPr>
            </w:r>
            <w:r w:rsidR="00071B94">
              <w:rPr>
                <w:webHidden/>
              </w:rPr>
              <w:fldChar w:fldCharType="separate"/>
            </w:r>
            <w:r w:rsidR="00071B94">
              <w:rPr>
                <w:webHidden/>
              </w:rPr>
              <w:t>54</w:t>
            </w:r>
            <w:r w:rsidR="00071B94">
              <w:rPr>
                <w:webHidden/>
              </w:rPr>
              <w:fldChar w:fldCharType="end"/>
            </w:r>
          </w:hyperlink>
        </w:p>
        <w:p w14:paraId="44754E05" w14:textId="5BE6392D"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4" w:history="1">
            <w:r w:rsidR="00071B94" w:rsidRPr="00F96CAD">
              <w:rPr>
                <w:rStyle w:val="Hyperlink"/>
              </w:rPr>
              <w:t>12</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Repurchase Receivables</w:t>
            </w:r>
            <w:r w:rsidR="00071B94">
              <w:rPr>
                <w:webHidden/>
              </w:rPr>
              <w:tab/>
            </w:r>
            <w:r w:rsidR="00071B94">
              <w:rPr>
                <w:webHidden/>
              </w:rPr>
              <w:fldChar w:fldCharType="begin"/>
            </w:r>
            <w:r w:rsidR="00071B94">
              <w:rPr>
                <w:webHidden/>
              </w:rPr>
              <w:instrText xml:space="preserve"> PAGEREF _Toc179196014 \h </w:instrText>
            </w:r>
            <w:r w:rsidR="00071B94">
              <w:rPr>
                <w:webHidden/>
              </w:rPr>
            </w:r>
            <w:r w:rsidR="00071B94">
              <w:rPr>
                <w:webHidden/>
              </w:rPr>
              <w:fldChar w:fldCharType="separate"/>
            </w:r>
            <w:r w:rsidR="00071B94">
              <w:rPr>
                <w:webHidden/>
              </w:rPr>
              <w:t>80</w:t>
            </w:r>
            <w:r w:rsidR="00071B94">
              <w:rPr>
                <w:webHidden/>
              </w:rPr>
              <w:fldChar w:fldCharType="end"/>
            </w:r>
          </w:hyperlink>
        </w:p>
        <w:p w14:paraId="633EFC9E" w14:textId="1A2D8BDB"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5" w:history="1">
            <w:r w:rsidR="00071B94" w:rsidRPr="00F96CAD">
              <w:rPr>
                <w:rStyle w:val="Hyperlink"/>
              </w:rPr>
              <w:t>13</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Investment Properties</w:t>
            </w:r>
            <w:r w:rsidR="00071B94">
              <w:rPr>
                <w:webHidden/>
              </w:rPr>
              <w:tab/>
            </w:r>
            <w:r w:rsidR="00071B94">
              <w:rPr>
                <w:webHidden/>
              </w:rPr>
              <w:fldChar w:fldCharType="begin"/>
            </w:r>
            <w:r w:rsidR="00071B94">
              <w:rPr>
                <w:webHidden/>
              </w:rPr>
              <w:instrText xml:space="preserve"> PAGEREF _Toc179196015 \h </w:instrText>
            </w:r>
            <w:r w:rsidR="00071B94">
              <w:rPr>
                <w:webHidden/>
              </w:rPr>
            </w:r>
            <w:r w:rsidR="00071B94">
              <w:rPr>
                <w:webHidden/>
              </w:rPr>
              <w:fldChar w:fldCharType="separate"/>
            </w:r>
            <w:r w:rsidR="00071B94">
              <w:rPr>
                <w:webHidden/>
              </w:rPr>
              <w:t>94</w:t>
            </w:r>
            <w:r w:rsidR="00071B94">
              <w:rPr>
                <w:webHidden/>
              </w:rPr>
              <w:fldChar w:fldCharType="end"/>
            </w:r>
          </w:hyperlink>
        </w:p>
        <w:p w14:paraId="026E1B55" w14:textId="1B867550"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6" w:history="1">
            <w:r w:rsidR="00071B94" w:rsidRPr="00F96CAD">
              <w:rPr>
                <w:rStyle w:val="Hyperlink"/>
              </w:rPr>
              <w:t>14</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Investment in Associates</w:t>
            </w:r>
            <w:r w:rsidR="00071B94">
              <w:rPr>
                <w:webHidden/>
              </w:rPr>
              <w:tab/>
            </w:r>
            <w:r w:rsidR="00071B94">
              <w:rPr>
                <w:webHidden/>
              </w:rPr>
              <w:fldChar w:fldCharType="begin"/>
            </w:r>
            <w:r w:rsidR="00071B94">
              <w:rPr>
                <w:webHidden/>
              </w:rPr>
              <w:instrText xml:space="preserve"> PAGEREF _Toc179196016 \h </w:instrText>
            </w:r>
            <w:r w:rsidR="00071B94">
              <w:rPr>
                <w:webHidden/>
              </w:rPr>
            </w:r>
            <w:r w:rsidR="00071B94">
              <w:rPr>
                <w:webHidden/>
              </w:rPr>
              <w:fldChar w:fldCharType="separate"/>
            </w:r>
            <w:r w:rsidR="00071B94">
              <w:rPr>
                <w:webHidden/>
              </w:rPr>
              <w:t>96</w:t>
            </w:r>
            <w:r w:rsidR="00071B94">
              <w:rPr>
                <w:webHidden/>
              </w:rPr>
              <w:fldChar w:fldCharType="end"/>
            </w:r>
          </w:hyperlink>
        </w:p>
        <w:p w14:paraId="551B4EDD" w14:textId="13F420FC"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7" w:history="1">
            <w:r w:rsidR="00071B94" w:rsidRPr="00F96CAD">
              <w:rPr>
                <w:rStyle w:val="Hyperlink"/>
              </w:rPr>
              <w:t>15</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Other Financial Assets</w:t>
            </w:r>
            <w:r w:rsidR="00071B94">
              <w:rPr>
                <w:webHidden/>
              </w:rPr>
              <w:tab/>
            </w:r>
            <w:r w:rsidR="00071B94">
              <w:rPr>
                <w:webHidden/>
              </w:rPr>
              <w:fldChar w:fldCharType="begin"/>
            </w:r>
            <w:r w:rsidR="00071B94">
              <w:rPr>
                <w:webHidden/>
              </w:rPr>
              <w:instrText xml:space="preserve"> PAGEREF _Toc179196017 \h </w:instrText>
            </w:r>
            <w:r w:rsidR="00071B94">
              <w:rPr>
                <w:webHidden/>
              </w:rPr>
            </w:r>
            <w:r w:rsidR="00071B94">
              <w:rPr>
                <w:webHidden/>
              </w:rPr>
              <w:fldChar w:fldCharType="separate"/>
            </w:r>
            <w:r w:rsidR="00071B94">
              <w:rPr>
                <w:webHidden/>
              </w:rPr>
              <w:t>99</w:t>
            </w:r>
            <w:r w:rsidR="00071B94">
              <w:rPr>
                <w:webHidden/>
              </w:rPr>
              <w:fldChar w:fldCharType="end"/>
            </w:r>
          </w:hyperlink>
        </w:p>
        <w:p w14:paraId="13AD5CF7" w14:textId="1B28294C"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8" w:history="1">
            <w:r w:rsidR="00071B94" w:rsidRPr="00F96CAD">
              <w:rPr>
                <w:rStyle w:val="Hyperlink"/>
              </w:rPr>
              <w:t>16</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Other Assets</w:t>
            </w:r>
            <w:r w:rsidR="00071B94">
              <w:rPr>
                <w:webHidden/>
              </w:rPr>
              <w:tab/>
            </w:r>
            <w:r w:rsidR="00071B94">
              <w:rPr>
                <w:webHidden/>
              </w:rPr>
              <w:fldChar w:fldCharType="begin"/>
            </w:r>
            <w:r w:rsidR="00071B94">
              <w:rPr>
                <w:webHidden/>
              </w:rPr>
              <w:instrText xml:space="preserve"> PAGEREF _Toc179196018 \h </w:instrText>
            </w:r>
            <w:r w:rsidR="00071B94">
              <w:rPr>
                <w:webHidden/>
              </w:rPr>
            </w:r>
            <w:r w:rsidR="00071B94">
              <w:rPr>
                <w:webHidden/>
              </w:rPr>
              <w:fldChar w:fldCharType="separate"/>
            </w:r>
            <w:r w:rsidR="00071B94">
              <w:rPr>
                <w:webHidden/>
              </w:rPr>
              <w:t>108</w:t>
            </w:r>
            <w:r w:rsidR="00071B94">
              <w:rPr>
                <w:webHidden/>
              </w:rPr>
              <w:fldChar w:fldCharType="end"/>
            </w:r>
          </w:hyperlink>
        </w:p>
        <w:p w14:paraId="7CD430B1" w14:textId="307D58A2"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19" w:history="1">
            <w:r w:rsidR="00071B94" w:rsidRPr="00F96CAD">
              <w:rPr>
                <w:rStyle w:val="Hyperlink"/>
              </w:rPr>
              <w:t>17</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Goodwill</w:t>
            </w:r>
            <w:r w:rsidR="00071B94">
              <w:rPr>
                <w:webHidden/>
              </w:rPr>
              <w:tab/>
            </w:r>
            <w:r w:rsidR="00071B94">
              <w:rPr>
                <w:webHidden/>
              </w:rPr>
              <w:fldChar w:fldCharType="begin"/>
            </w:r>
            <w:r w:rsidR="00071B94">
              <w:rPr>
                <w:webHidden/>
              </w:rPr>
              <w:instrText xml:space="preserve"> PAGEREF _Toc179196019 \h </w:instrText>
            </w:r>
            <w:r w:rsidR="00071B94">
              <w:rPr>
                <w:webHidden/>
              </w:rPr>
            </w:r>
            <w:r w:rsidR="00071B94">
              <w:rPr>
                <w:webHidden/>
              </w:rPr>
              <w:fldChar w:fldCharType="separate"/>
            </w:r>
            <w:r w:rsidR="00071B94">
              <w:rPr>
                <w:webHidden/>
              </w:rPr>
              <w:t>109</w:t>
            </w:r>
            <w:r w:rsidR="00071B94">
              <w:rPr>
                <w:webHidden/>
              </w:rPr>
              <w:fldChar w:fldCharType="end"/>
            </w:r>
          </w:hyperlink>
        </w:p>
        <w:p w14:paraId="735CE2A5" w14:textId="0EC98223"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0" w:history="1">
            <w:r w:rsidR="00071B94" w:rsidRPr="00F96CAD">
              <w:rPr>
                <w:rStyle w:val="Hyperlink"/>
              </w:rPr>
              <w:t>18</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Premises, Equipment and Intangible Assets</w:t>
            </w:r>
            <w:r w:rsidR="00071B94">
              <w:rPr>
                <w:webHidden/>
              </w:rPr>
              <w:tab/>
            </w:r>
            <w:r w:rsidR="00071B94">
              <w:rPr>
                <w:webHidden/>
              </w:rPr>
              <w:fldChar w:fldCharType="begin"/>
            </w:r>
            <w:r w:rsidR="00071B94">
              <w:rPr>
                <w:webHidden/>
              </w:rPr>
              <w:instrText xml:space="preserve"> PAGEREF _Toc179196020 \h </w:instrText>
            </w:r>
            <w:r w:rsidR="00071B94">
              <w:rPr>
                <w:webHidden/>
              </w:rPr>
            </w:r>
            <w:r w:rsidR="00071B94">
              <w:rPr>
                <w:webHidden/>
              </w:rPr>
              <w:fldChar w:fldCharType="separate"/>
            </w:r>
            <w:r w:rsidR="00071B94">
              <w:rPr>
                <w:webHidden/>
              </w:rPr>
              <w:t>112</w:t>
            </w:r>
            <w:r w:rsidR="00071B94">
              <w:rPr>
                <w:webHidden/>
              </w:rPr>
              <w:fldChar w:fldCharType="end"/>
            </w:r>
          </w:hyperlink>
        </w:p>
        <w:p w14:paraId="4D6FC6F5" w14:textId="7AB321CB"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1" w:history="1">
            <w:r w:rsidR="00071B94" w:rsidRPr="00F96CAD">
              <w:rPr>
                <w:rStyle w:val="Hyperlink"/>
              </w:rPr>
              <w:t>19</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Right-of-use Assets and Lease Liabilities</w:t>
            </w:r>
            <w:r w:rsidR="00071B94">
              <w:rPr>
                <w:webHidden/>
              </w:rPr>
              <w:tab/>
            </w:r>
            <w:r w:rsidR="00071B94">
              <w:rPr>
                <w:webHidden/>
              </w:rPr>
              <w:fldChar w:fldCharType="begin"/>
            </w:r>
            <w:r w:rsidR="00071B94">
              <w:rPr>
                <w:webHidden/>
              </w:rPr>
              <w:instrText xml:space="preserve"> PAGEREF _Toc179196021 \h </w:instrText>
            </w:r>
            <w:r w:rsidR="00071B94">
              <w:rPr>
                <w:webHidden/>
              </w:rPr>
            </w:r>
            <w:r w:rsidR="00071B94">
              <w:rPr>
                <w:webHidden/>
              </w:rPr>
              <w:fldChar w:fldCharType="separate"/>
            </w:r>
            <w:r w:rsidR="00071B94">
              <w:rPr>
                <w:webHidden/>
              </w:rPr>
              <w:t>117</w:t>
            </w:r>
            <w:r w:rsidR="00071B94">
              <w:rPr>
                <w:webHidden/>
              </w:rPr>
              <w:fldChar w:fldCharType="end"/>
            </w:r>
          </w:hyperlink>
        </w:p>
        <w:p w14:paraId="543077F3" w14:textId="2AF4BA91"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2" w:history="1">
            <w:r w:rsidR="00071B94" w:rsidRPr="00F96CAD">
              <w:rPr>
                <w:rStyle w:val="Hyperlink"/>
              </w:rPr>
              <w:t>20</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Non-Current Assets Classified as Held for Sale (or Disposal Groups)</w:t>
            </w:r>
            <w:r w:rsidR="00071B94">
              <w:rPr>
                <w:webHidden/>
              </w:rPr>
              <w:tab/>
            </w:r>
            <w:r w:rsidR="00071B94">
              <w:rPr>
                <w:webHidden/>
              </w:rPr>
              <w:fldChar w:fldCharType="begin"/>
            </w:r>
            <w:r w:rsidR="00071B94">
              <w:rPr>
                <w:webHidden/>
              </w:rPr>
              <w:instrText xml:space="preserve"> PAGEREF _Toc179196022 \h </w:instrText>
            </w:r>
            <w:r w:rsidR="00071B94">
              <w:rPr>
                <w:webHidden/>
              </w:rPr>
            </w:r>
            <w:r w:rsidR="00071B94">
              <w:rPr>
                <w:webHidden/>
              </w:rPr>
              <w:fldChar w:fldCharType="separate"/>
            </w:r>
            <w:r w:rsidR="00071B94">
              <w:rPr>
                <w:webHidden/>
              </w:rPr>
              <w:t>119</w:t>
            </w:r>
            <w:r w:rsidR="00071B94">
              <w:rPr>
                <w:webHidden/>
              </w:rPr>
              <w:fldChar w:fldCharType="end"/>
            </w:r>
          </w:hyperlink>
        </w:p>
        <w:p w14:paraId="62768209" w14:textId="0FFDA9A2"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3" w:history="1">
            <w:r w:rsidR="00071B94" w:rsidRPr="00F96CAD">
              <w:rPr>
                <w:rStyle w:val="Hyperlink"/>
              </w:rPr>
              <w:t>21</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Due to Other Banks</w:t>
            </w:r>
            <w:r w:rsidR="00071B94">
              <w:rPr>
                <w:webHidden/>
              </w:rPr>
              <w:tab/>
            </w:r>
            <w:r w:rsidR="00071B94">
              <w:rPr>
                <w:webHidden/>
              </w:rPr>
              <w:fldChar w:fldCharType="begin"/>
            </w:r>
            <w:r w:rsidR="00071B94">
              <w:rPr>
                <w:webHidden/>
              </w:rPr>
              <w:instrText xml:space="preserve"> PAGEREF _Toc179196023 \h </w:instrText>
            </w:r>
            <w:r w:rsidR="00071B94">
              <w:rPr>
                <w:webHidden/>
              </w:rPr>
            </w:r>
            <w:r w:rsidR="00071B94">
              <w:rPr>
                <w:webHidden/>
              </w:rPr>
              <w:fldChar w:fldCharType="separate"/>
            </w:r>
            <w:r w:rsidR="00071B94">
              <w:rPr>
                <w:webHidden/>
              </w:rPr>
              <w:t>122</w:t>
            </w:r>
            <w:r w:rsidR="00071B94">
              <w:rPr>
                <w:webHidden/>
              </w:rPr>
              <w:fldChar w:fldCharType="end"/>
            </w:r>
          </w:hyperlink>
        </w:p>
        <w:p w14:paraId="77678E86" w14:textId="5F1DBC69"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4" w:history="1">
            <w:r w:rsidR="00071B94" w:rsidRPr="00F96CAD">
              <w:rPr>
                <w:rStyle w:val="Hyperlink"/>
              </w:rPr>
              <w:t>22</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Customer Accounts</w:t>
            </w:r>
            <w:r w:rsidR="00071B94">
              <w:rPr>
                <w:webHidden/>
              </w:rPr>
              <w:tab/>
            </w:r>
            <w:r w:rsidR="00071B94">
              <w:rPr>
                <w:webHidden/>
              </w:rPr>
              <w:fldChar w:fldCharType="begin"/>
            </w:r>
            <w:r w:rsidR="00071B94">
              <w:rPr>
                <w:webHidden/>
              </w:rPr>
              <w:instrText xml:space="preserve"> PAGEREF _Toc179196024 \h </w:instrText>
            </w:r>
            <w:r w:rsidR="00071B94">
              <w:rPr>
                <w:webHidden/>
              </w:rPr>
            </w:r>
            <w:r w:rsidR="00071B94">
              <w:rPr>
                <w:webHidden/>
              </w:rPr>
              <w:fldChar w:fldCharType="separate"/>
            </w:r>
            <w:r w:rsidR="00071B94">
              <w:rPr>
                <w:webHidden/>
              </w:rPr>
              <w:t>123</w:t>
            </w:r>
            <w:r w:rsidR="00071B94">
              <w:rPr>
                <w:webHidden/>
              </w:rPr>
              <w:fldChar w:fldCharType="end"/>
            </w:r>
          </w:hyperlink>
        </w:p>
        <w:p w14:paraId="5AD3A32A" w14:textId="75EDBF93"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5" w:history="1">
            <w:r w:rsidR="00071B94" w:rsidRPr="00F96CAD">
              <w:rPr>
                <w:rStyle w:val="Hyperlink"/>
              </w:rPr>
              <w:t>23</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Debt Securities in Issue [Promissory Notes Issued]</w:t>
            </w:r>
            <w:r w:rsidR="00071B94">
              <w:rPr>
                <w:webHidden/>
              </w:rPr>
              <w:tab/>
            </w:r>
            <w:r w:rsidR="00071B94">
              <w:rPr>
                <w:webHidden/>
              </w:rPr>
              <w:fldChar w:fldCharType="begin"/>
            </w:r>
            <w:r w:rsidR="00071B94">
              <w:rPr>
                <w:webHidden/>
              </w:rPr>
              <w:instrText xml:space="preserve"> PAGEREF _Toc179196025 \h </w:instrText>
            </w:r>
            <w:r w:rsidR="00071B94">
              <w:rPr>
                <w:webHidden/>
              </w:rPr>
            </w:r>
            <w:r w:rsidR="00071B94">
              <w:rPr>
                <w:webHidden/>
              </w:rPr>
              <w:fldChar w:fldCharType="separate"/>
            </w:r>
            <w:r w:rsidR="00071B94">
              <w:rPr>
                <w:webHidden/>
              </w:rPr>
              <w:t>124</w:t>
            </w:r>
            <w:r w:rsidR="00071B94">
              <w:rPr>
                <w:webHidden/>
              </w:rPr>
              <w:fldChar w:fldCharType="end"/>
            </w:r>
          </w:hyperlink>
        </w:p>
        <w:p w14:paraId="04275F19" w14:textId="401AE97D"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6" w:history="1">
            <w:r w:rsidR="00071B94" w:rsidRPr="00F96CAD">
              <w:rPr>
                <w:rStyle w:val="Hyperlink"/>
              </w:rPr>
              <w:t>24</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Other Borrowed Funds</w:t>
            </w:r>
            <w:r w:rsidR="00071B94">
              <w:rPr>
                <w:webHidden/>
              </w:rPr>
              <w:tab/>
            </w:r>
            <w:r w:rsidR="00071B94">
              <w:rPr>
                <w:webHidden/>
              </w:rPr>
              <w:fldChar w:fldCharType="begin"/>
            </w:r>
            <w:r w:rsidR="00071B94">
              <w:rPr>
                <w:webHidden/>
              </w:rPr>
              <w:instrText xml:space="preserve"> PAGEREF _Toc179196026 \h </w:instrText>
            </w:r>
            <w:r w:rsidR="00071B94">
              <w:rPr>
                <w:webHidden/>
              </w:rPr>
            </w:r>
            <w:r w:rsidR="00071B94">
              <w:rPr>
                <w:webHidden/>
              </w:rPr>
              <w:fldChar w:fldCharType="separate"/>
            </w:r>
            <w:r w:rsidR="00071B94">
              <w:rPr>
                <w:webHidden/>
              </w:rPr>
              <w:t>125</w:t>
            </w:r>
            <w:r w:rsidR="00071B94">
              <w:rPr>
                <w:webHidden/>
              </w:rPr>
              <w:fldChar w:fldCharType="end"/>
            </w:r>
          </w:hyperlink>
        </w:p>
        <w:p w14:paraId="7577F794" w14:textId="1A5E4EF7"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7" w:history="1">
            <w:r w:rsidR="00071B94" w:rsidRPr="00F96CAD">
              <w:rPr>
                <w:rStyle w:val="Hyperlink"/>
              </w:rPr>
              <w:t>25</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Provisions for Liabilities and Charges</w:t>
            </w:r>
            <w:r w:rsidR="00071B94">
              <w:rPr>
                <w:webHidden/>
              </w:rPr>
              <w:tab/>
            </w:r>
            <w:r w:rsidR="00071B94">
              <w:rPr>
                <w:webHidden/>
              </w:rPr>
              <w:fldChar w:fldCharType="begin"/>
            </w:r>
            <w:r w:rsidR="00071B94">
              <w:rPr>
                <w:webHidden/>
              </w:rPr>
              <w:instrText xml:space="preserve"> PAGEREF _Toc179196027 \h </w:instrText>
            </w:r>
            <w:r w:rsidR="00071B94">
              <w:rPr>
                <w:webHidden/>
              </w:rPr>
            </w:r>
            <w:r w:rsidR="00071B94">
              <w:rPr>
                <w:webHidden/>
              </w:rPr>
              <w:fldChar w:fldCharType="separate"/>
            </w:r>
            <w:r w:rsidR="00071B94">
              <w:rPr>
                <w:webHidden/>
              </w:rPr>
              <w:t>127</w:t>
            </w:r>
            <w:r w:rsidR="00071B94">
              <w:rPr>
                <w:webHidden/>
              </w:rPr>
              <w:fldChar w:fldCharType="end"/>
            </w:r>
          </w:hyperlink>
        </w:p>
        <w:p w14:paraId="1661DD22" w14:textId="15B15CAE"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8" w:history="1">
            <w:r w:rsidR="00071B94" w:rsidRPr="00F96CAD">
              <w:rPr>
                <w:rStyle w:val="Hyperlink"/>
              </w:rPr>
              <w:t>26</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Other Financial Liabilities</w:t>
            </w:r>
            <w:r w:rsidR="00071B94">
              <w:rPr>
                <w:webHidden/>
              </w:rPr>
              <w:tab/>
            </w:r>
            <w:r w:rsidR="00071B94">
              <w:rPr>
                <w:webHidden/>
              </w:rPr>
              <w:fldChar w:fldCharType="begin"/>
            </w:r>
            <w:r w:rsidR="00071B94">
              <w:rPr>
                <w:webHidden/>
              </w:rPr>
              <w:instrText xml:space="preserve"> PAGEREF _Toc179196028 \h </w:instrText>
            </w:r>
            <w:r w:rsidR="00071B94">
              <w:rPr>
                <w:webHidden/>
              </w:rPr>
            </w:r>
            <w:r w:rsidR="00071B94">
              <w:rPr>
                <w:webHidden/>
              </w:rPr>
              <w:fldChar w:fldCharType="separate"/>
            </w:r>
            <w:r w:rsidR="00071B94">
              <w:rPr>
                <w:webHidden/>
              </w:rPr>
              <w:t>128</w:t>
            </w:r>
            <w:r w:rsidR="00071B94">
              <w:rPr>
                <w:webHidden/>
              </w:rPr>
              <w:fldChar w:fldCharType="end"/>
            </w:r>
          </w:hyperlink>
        </w:p>
        <w:p w14:paraId="436D1846" w14:textId="3FE89CDF"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29" w:history="1">
            <w:r w:rsidR="00071B94" w:rsidRPr="00F96CAD">
              <w:rPr>
                <w:rStyle w:val="Hyperlink"/>
              </w:rPr>
              <w:t>27</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Other Liabilities</w:t>
            </w:r>
            <w:r w:rsidR="00071B94">
              <w:rPr>
                <w:webHidden/>
              </w:rPr>
              <w:tab/>
            </w:r>
            <w:r w:rsidR="00071B94">
              <w:rPr>
                <w:webHidden/>
              </w:rPr>
              <w:fldChar w:fldCharType="begin"/>
            </w:r>
            <w:r w:rsidR="00071B94">
              <w:rPr>
                <w:webHidden/>
              </w:rPr>
              <w:instrText xml:space="preserve"> PAGEREF _Toc179196029 \h </w:instrText>
            </w:r>
            <w:r w:rsidR="00071B94">
              <w:rPr>
                <w:webHidden/>
              </w:rPr>
            </w:r>
            <w:r w:rsidR="00071B94">
              <w:rPr>
                <w:webHidden/>
              </w:rPr>
              <w:fldChar w:fldCharType="separate"/>
            </w:r>
            <w:r w:rsidR="00071B94">
              <w:rPr>
                <w:webHidden/>
              </w:rPr>
              <w:t>133</w:t>
            </w:r>
            <w:r w:rsidR="00071B94">
              <w:rPr>
                <w:webHidden/>
              </w:rPr>
              <w:fldChar w:fldCharType="end"/>
            </w:r>
          </w:hyperlink>
        </w:p>
        <w:p w14:paraId="4B4914BD" w14:textId="2FB8E80C"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0" w:history="1">
            <w:r w:rsidR="00071B94" w:rsidRPr="00F96CAD">
              <w:rPr>
                <w:rStyle w:val="Hyperlink"/>
              </w:rPr>
              <w:t>28</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Subordinated Debt</w:t>
            </w:r>
            <w:r w:rsidR="00071B94">
              <w:rPr>
                <w:webHidden/>
              </w:rPr>
              <w:tab/>
            </w:r>
            <w:r w:rsidR="00071B94">
              <w:rPr>
                <w:webHidden/>
              </w:rPr>
              <w:fldChar w:fldCharType="begin"/>
            </w:r>
            <w:r w:rsidR="00071B94">
              <w:rPr>
                <w:webHidden/>
              </w:rPr>
              <w:instrText xml:space="preserve"> PAGEREF _Toc179196030 \h </w:instrText>
            </w:r>
            <w:r w:rsidR="00071B94">
              <w:rPr>
                <w:webHidden/>
              </w:rPr>
            </w:r>
            <w:r w:rsidR="00071B94">
              <w:rPr>
                <w:webHidden/>
              </w:rPr>
              <w:fldChar w:fldCharType="separate"/>
            </w:r>
            <w:r w:rsidR="00071B94">
              <w:rPr>
                <w:webHidden/>
              </w:rPr>
              <w:t>133</w:t>
            </w:r>
            <w:r w:rsidR="00071B94">
              <w:rPr>
                <w:webHidden/>
              </w:rPr>
              <w:fldChar w:fldCharType="end"/>
            </w:r>
          </w:hyperlink>
        </w:p>
        <w:p w14:paraId="4DAD724C" w14:textId="2F4B32F3"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1" w:history="1">
            <w:r w:rsidR="00071B94" w:rsidRPr="00F96CAD">
              <w:rPr>
                <w:rStyle w:val="Hyperlink"/>
              </w:rPr>
              <w:t>29</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Share Capital</w:t>
            </w:r>
            <w:r w:rsidR="00071B94">
              <w:rPr>
                <w:webHidden/>
              </w:rPr>
              <w:tab/>
            </w:r>
            <w:r w:rsidR="00071B94">
              <w:rPr>
                <w:webHidden/>
              </w:rPr>
              <w:fldChar w:fldCharType="begin"/>
            </w:r>
            <w:r w:rsidR="00071B94">
              <w:rPr>
                <w:webHidden/>
              </w:rPr>
              <w:instrText xml:space="preserve"> PAGEREF _Toc179196031 \h </w:instrText>
            </w:r>
            <w:r w:rsidR="00071B94">
              <w:rPr>
                <w:webHidden/>
              </w:rPr>
            </w:r>
            <w:r w:rsidR="00071B94">
              <w:rPr>
                <w:webHidden/>
              </w:rPr>
              <w:fldChar w:fldCharType="separate"/>
            </w:r>
            <w:r w:rsidR="00071B94">
              <w:rPr>
                <w:webHidden/>
              </w:rPr>
              <w:t>133</w:t>
            </w:r>
            <w:r w:rsidR="00071B94">
              <w:rPr>
                <w:webHidden/>
              </w:rPr>
              <w:fldChar w:fldCharType="end"/>
            </w:r>
          </w:hyperlink>
        </w:p>
        <w:p w14:paraId="1206AD12" w14:textId="00D1E89A"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2" w:history="1">
            <w:r w:rsidR="00071B94" w:rsidRPr="00F96CAD">
              <w:rPr>
                <w:rStyle w:val="Hyperlink"/>
              </w:rPr>
              <w:t>30</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Perpetual Bonds</w:t>
            </w:r>
            <w:r w:rsidR="00071B94">
              <w:rPr>
                <w:webHidden/>
              </w:rPr>
              <w:tab/>
            </w:r>
            <w:r w:rsidR="00071B94">
              <w:rPr>
                <w:webHidden/>
              </w:rPr>
              <w:fldChar w:fldCharType="begin"/>
            </w:r>
            <w:r w:rsidR="00071B94">
              <w:rPr>
                <w:webHidden/>
              </w:rPr>
              <w:instrText xml:space="preserve"> PAGEREF _Toc179196032 \h </w:instrText>
            </w:r>
            <w:r w:rsidR="00071B94">
              <w:rPr>
                <w:webHidden/>
              </w:rPr>
            </w:r>
            <w:r w:rsidR="00071B94">
              <w:rPr>
                <w:webHidden/>
              </w:rPr>
              <w:fldChar w:fldCharType="separate"/>
            </w:r>
            <w:r w:rsidR="00071B94">
              <w:rPr>
                <w:webHidden/>
              </w:rPr>
              <w:t>135</w:t>
            </w:r>
            <w:r w:rsidR="00071B94">
              <w:rPr>
                <w:webHidden/>
              </w:rPr>
              <w:fldChar w:fldCharType="end"/>
            </w:r>
          </w:hyperlink>
        </w:p>
        <w:p w14:paraId="252A4EC0" w14:textId="74DBAB80"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3" w:history="1">
            <w:r w:rsidR="00071B94" w:rsidRPr="00F96CAD">
              <w:rPr>
                <w:rStyle w:val="Hyperlink"/>
              </w:rPr>
              <w:t>31</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Other Comprehensive Income Recognised in Each Component of Equity</w:t>
            </w:r>
            <w:r w:rsidR="00071B94">
              <w:rPr>
                <w:webHidden/>
              </w:rPr>
              <w:tab/>
            </w:r>
            <w:r w:rsidR="00071B94">
              <w:rPr>
                <w:webHidden/>
              </w:rPr>
              <w:fldChar w:fldCharType="begin"/>
            </w:r>
            <w:r w:rsidR="00071B94">
              <w:rPr>
                <w:webHidden/>
              </w:rPr>
              <w:instrText xml:space="preserve"> PAGEREF _Toc179196033 \h </w:instrText>
            </w:r>
            <w:r w:rsidR="00071B94">
              <w:rPr>
                <w:webHidden/>
              </w:rPr>
            </w:r>
            <w:r w:rsidR="00071B94">
              <w:rPr>
                <w:webHidden/>
              </w:rPr>
              <w:fldChar w:fldCharType="separate"/>
            </w:r>
            <w:r w:rsidR="00071B94">
              <w:rPr>
                <w:webHidden/>
              </w:rPr>
              <w:t>136</w:t>
            </w:r>
            <w:r w:rsidR="00071B94">
              <w:rPr>
                <w:webHidden/>
              </w:rPr>
              <w:fldChar w:fldCharType="end"/>
            </w:r>
          </w:hyperlink>
        </w:p>
        <w:p w14:paraId="631BF2F7" w14:textId="161CA93A"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4" w:history="1">
            <w:r w:rsidR="00071B94" w:rsidRPr="00F96CAD">
              <w:rPr>
                <w:rStyle w:val="Hyperlink"/>
              </w:rPr>
              <w:t>32</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Interest Income and Expense</w:t>
            </w:r>
            <w:r w:rsidR="00071B94">
              <w:rPr>
                <w:webHidden/>
              </w:rPr>
              <w:tab/>
            </w:r>
            <w:r w:rsidR="00071B94">
              <w:rPr>
                <w:webHidden/>
              </w:rPr>
              <w:fldChar w:fldCharType="begin"/>
            </w:r>
            <w:r w:rsidR="00071B94">
              <w:rPr>
                <w:webHidden/>
              </w:rPr>
              <w:instrText xml:space="preserve"> PAGEREF _Toc179196034 \h </w:instrText>
            </w:r>
            <w:r w:rsidR="00071B94">
              <w:rPr>
                <w:webHidden/>
              </w:rPr>
            </w:r>
            <w:r w:rsidR="00071B94">
              <w:rPr>
                <w:webHidden/>
              </w:rPr>
              <w:fldChar w:fldCharType="separate"/>
            </w:r>
            <w:r w:rsidR="00071B94">
              <w:rPr>
                <w:webHidden/>
              </w:rPr>
              <w:t>139</w:t>
            </w:r>
            <w:r w:rsidR="00071B94">
              <w:rPr>
                <w:webHidden/>
              </w:rPr>
              <w:fldChar w:fldCharType="end"/>
            </w:r>
          </w:hyperlink>
        </w:p>
        <w:p w14:paraId="4244D80E" w14:textId="5E80898B"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5" w:history="1">
            <w:r w:rsidR="00071B94" w:rsidRPr="00F96CAD">
              <w:rPr>
                <w:rStyle w:val="Hyperlink"/>
              </w:rPr>
              <w:t>33</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Fee and Commission Income and Expense</w:t>
            </w:r>
            <w:r w:rsidR="00071B94">
              <w:rPr>
                <w:webHidden/>
              </w:rPr>
              <w:tab/>
            </w:r>
            <w:r w:rsidR="00071B94">
              <w:rPr>
                <w:webHidden/>
              </w:rPr>
              <w:fldChar w:fldCharType="begin"/>
            </w:r>
            <w:r w:rsidR="00071B94">
              <w:rPr>
                <w:webHidden/>
              </w:rPr>
              <w:instrText xml:space="preserve"> PAGEREF _Toc179196035 \h </w:instrText>
            </w:r>
            <w:r w:rsidR="00071B94">
              <w:rPr>
                <w:webHidden/>
              </w:rPr>
            </w:r>
            <w:r w:rsidR="00071B94">
              <w:rPr>
                <w:webHidden/>
              </w:rPr>
              <w:fldChar w:fldCharType="separate"/>
            </w:r>
            <w:r w:rsidR="00071B94">
              <w:rPr>
                <w:webHidden/>
              </w:rPr>
              <w:t>141</w:t>
            </w:r>
            <w:r w:rsidR="00071B94">
              <w:rPr>
                <w:webHidden/>
              </w:rPr>
              <w:fldChar w:fldCharType="end"/>
            </w:r>
          </w:hyperlink>
        </w:p>
        <w:p w14:paraId="66216142" w14:textId="41E12D1C"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6" w:history="1">
            <w:r w:rsidR="00071B94" w:rsidRPr="00F96CAD">
              <w:rPr>
                <w:rStyle w:val="Hyperlink"/>
                <w:spacing w:val="-4"/>
              </w:rPr>
              <w:t>34</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spacing w:val="-4"/>
              </w:rPr>
              <w:t>Other Operating Income</w:t>
            </w:r>
            <w:r w:rsidR="00071B94">
              <w:rPr>
                <w:webHidden/>
              </w:rPr>
              <w:tab/>
            </w:r>
            <w:r w:rsidR="00071B94">
              <w:rPr>
                <w:webHidden/>
              </w:rPr>
              <w:fldChar w:fldCharType="begin"/>
            </w:r>
            <w:r w:rsidR="00071B94">
              <w:rPr>
                <w:webHidden/>
              </w:rPr>
              <w:instrText xml:space="preserve"> PAGEREF _Toc179196036 \h </w:instrText>
            </w:r>
            <w:r w:rsidR="00071B94">
              <w:rPr>
                <w:webHidden/>
              </w:rPr>
            </w:r>
            <w:r w:rsidR="00071B94">
              <w:rPr>
                <w:webHidden/>
              </w:rPr>
              <w:fldChar w:fldCharType="separate"/>
            </w:r>
            <w:r w:rsidR="00071B94">
              <w:rPr>
                <w:webHidden/>
              </w:rPr>
              <w:t>143</w:t>
            </w:r>
            <w:r w:rsidR="00071B94">
              <w:rPr>
                <w:webHidden/>
              </w:rPr>
              <w:fldChar w:fldCharType="end"/>
            </w:r>
          </w:hyperlink>
        </w:p>
        <w:p w14:paraId="299D0874" w14:textId="398948B5"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7" w:history="1">
            <w:r w:rsidR="00071B94" w:rsidRPr="00F96CAD">
              <w:rPr>
                <w:rStyle w:val="Hyperlink"/>
              </w:rPr>
              <w:t>35</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Administrative and Other Operating Expenses</w:t>
            </w:r>
            <w:r w:rsidR="00071B94">
              <w:rPr>
                <w:webHidden/>
              </w:rPr>
              <w:tab/>
            </w:r>
            <w:r w:rsidR="00071B94">
              <w:rPr>
                <w:webHidden/>
              </w:rPr>
              <w:fldChar w:fldCharType="begin"/>
            </w:r>
            <w:r w:rsidR="00071B94">
              <w:rPr>
                <w:webHidden/>
              </w:rPr>
              <w:instrText xml:space="preserve"> PAGEREF _Toc179196037 \h </w:instrText>
            </w:r>
            <w:r w:rsidR="00071B94">
              <w:rPr>
                <w:webHidden/>
              </w:rPr>
            </w:r>
            <w:r w:rsidR="00071B94">
              <w:rPr>
                <w:webHidden/>
              </w:rPr>
              <w:fldChar w:fldCharType="separate"/>
            </w:r>
            <w:r w:rsidR="00071B94">
              <w:rPr>
                <w:webHidden/>
              </w:rPr>
              <w:t>144</w:t>
            </w:r>
            <w:r w:rsidR="00071B94">
              <w:rPr>
                <w:webHidden/>
              </w:rPr>
              <w:fldChar w:fldCharType="end"/>
            </w:r>
          </w:hyperlink>
        </w:p>
        <w:p w14:paraId="085A1E10" w14:textId="64D78382"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8" w:history="1">
            <w:r w:rsidR="00071B94" w:rsidRPr="00F96CAD">
              <w:rPr>
                <w:rStyle w:val="Hyperlink"/>
              </w:rPr>
              <w:t>36</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Income Taxes</w:t>
            </w:r>
            <w:r w:rsidR="00071B94">
              <w:rPr>
                <w:webHidden/>
              </w:rPr>
              <w:tab/>
            </w:r>
            <w:r w:rsidR="00071B94">
              <w:rPr>
                <w:webHidden/>
              </w:rPr>
              <w:fldChar w:fldCharType="begin"/>
            </w:r>
            <w:r w:rsidR="00071B94">
              <w:rPr>
                <w:webHidden/>
              </w:rPr>
              <w:instrText xml:space="preserve"> PAGEREF _Toc179196038 \h </w:instrText>
            </w:r>
            <w:r w:rsidR="00071B94">
              <w:rPr>
                <w:webHidden/>
              </w:rPr>
            </w:r>
            <w:r w:rsidR="00071B94">
              <w:rPr>
                <w:webHidden/>
              </w:rPr>
              <w:fldChar w:fldCharType="separate"/>
            </w:r>
            <w:r w:rsidR="00071B94">
              <w:rPr>
                <w:webHidden/>
              </w:rPr>
              <w:t>145</w:t>
            </w:r>
            <w:r w:rsidR="00071B94">
              <w:rPr>
                <w:webHidden/>
              </w:rPr>
              <w:fldChar w:fldCharType="end"/>
            </w:r>
          </w:hyperlink>
        </w:p>
        <w:p w14:paraId="04401013" w14:textId="075CBDAB"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39" w:history="1">
            <w:r w:rsidR="00071B94" w:rsidRPr="00F96CAD">
              <w:rPr>
                <w:rStyle w:val="Hyperlink"/>
              </w:rPr>
              <w:t>37</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Dividends</w:t>
            </w:r>
            <w:r w:rsidR="00071B94">
              <w:rPr>
                <w:webHidden/>
              </w:rPr>
              <w:tab/>
            </w:r>
            <w:r w:rsidR="00071B94">
              <w:rPr>
                <w:webHidden/>
              </w:rPr>
              <w:fldChar w:fldCharType="begin"/>
            </w:r>
            <w:r w:rsidR="00071B94">
              <w:rPr>
                <w:webHidden/>
              </w:rPr>
              <w:instrText xml:space="preserve"> PAGEREF _Toc179196039 \h </w:instrText>
            </w:r>
            <w:r w:rsidR="00071B94">
              <w:rPr>
                <w:webHidden/>
              </w:rPr>
            </w:r>
            <w:r w:rsidR="00071B94">
              <w:rPr>
                <w:webHidden/>
              </w:rPr>
              <w:fldChar w:fldCharType="separate"/>
            </w:r>
            <w:r w:rsidR="00071B94">
              <w:rPr>
                <w:webHidden/>
              </w:rPr>
              <w:t>149</w:t>
            </w:r>
            <w:r w:rsidR="00071B94">
              <w:rPr>
                <w:webHidden/>
              </w:rPr>
              <w:fldChar w:fldCharType="end"/>
            </w:r>
          </w:hyperlink>
        </w:p>
        <w:p w14:paraId="28B56E96" w14:textId="6F556524"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0" w:history="1">
            <w:r w:rsidR="00071B94" w:rsidRPr="00F96CAD">
              <w:rPr>
                <w:rStyle w:val="Hyperlink"/>
              </w:rPr>
              <w:t>38</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Reconciliation of Liabilities Arising from Financing Activities</w:t>
            </w:r>
            <w:r w:rsidR="00071B94">
              <w:rPr>
                <w:webHidden/>
              </w:rPr>
              <w:tab/>
            </w:r>
            <w:r w:rsidR="00071B94">
              <w:rPr>
                <w:webHidden/>
              </w:rPr>
              <w:fldChar w:fldCharType="begin"/>
            </w:r>
            <w:r w:rsidR="00071B94">
              <w:rPr>
                <w:webHidden/>
              </w:rPr>
              <w:instrText xml:space="preserve"> PAGEREF _Toc179196040 \h </w:instrText>
            </w:r>
            <w:r w:rsidR="00071B94">
              <w:rPr>
                <w:webHidden/>
              </w:rPr>
            </w:r>
            <w:r w:rsidR="00071B94">
              <w:rPr>
                <w:webHidden/>
              </w:rPr>
              <w:fldChar w:fldCharType="separate"/>
            </w:r>
            <w:r w:rsidR="00071B94">
              <w:rPr>
                <w:webHidden/>
              </w:rPr>
              <w:t>150</w:t>
            </w:r>
            <w:r w:rsidR="00071B94">
              <w:rPr>
                <w:webHidden/>
              </w:rPr>
              <w:fldChar w:fldCharType="end"/>
            </w:r>
          </w:hyperlink>
        </w:p>
        <w:p w14:paraId="5360477C" w14:textId="4814C1EB"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1" w:history="1">
            <w:r w:rsidR="00071B94" w:rsidRPr="00F96CAD">
              <w:rPr>
                <w:rStyle w:val="Hyperlink"/>
              </w:rPr>
              <w:t>39</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Earnings [Loss] per Share</w:t>
            </w:r>
            <w:r w:rsidR="00071B94">
              <w:rPr>
                <w:webHidden/>
              </w:rPr>
              <w:tab/>
            </w:r>
            <w:r w:rsidR="00071B94">
              <w:rPr>
                <w:webHidden/>
              </w:rPr>
              <w:fldChar w:fldCharType="begin"/>
            </w:r>
            <w:r w:rsidR="00071B94">
              <w:rPr>
                <w:webHidden/>
              </w:rPr>
              <w:instrText xml:space="preserve"> PAGEREF _Toc179196041 \h </w:instrText>
            </w:r>
            <w:r w:rsidR="00071B94">
              <w:rPr>
                <w:webHidden/>
              </w:rPr>
            </w:r>
            <w:r w:rsidR="00071B94">
              <w:rPr>
                <w:webHidden/>
              </w:rPr>
              <w:fldChar w:fldCharType="separate"/>
            </w:r>
            <w:r w:rsidR="00071B94">
              <w:rPr>
                <w:webHidden/>
              </w:rPr>
              <w:t>150</w:t>
            </w:r>
            <w:r w:rsidR="00071B94">
              <w:rPr>
                <w:webHidden/>
              </w:rPr>
              <w:fldChar w:fldCharType="end"/>
            </w:r>
          </w:hyperlink>
        </w:p>
        <w:p w14:paraId="2FA33577" w14:textId="03F25F86"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2" w:history="1">
            <w:r w:rsidR="00071B94" w:rsidRPr="00F96CAD">
              <w:rPr>
                <w:rStyle w:val="Hyperlink"/>
              </w:rPr>
              <w:t>40</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Segment Analysis</w:t>
            </w:r>
            <w:r w:rsidR="00071B94">
              <w:rPr>
                <w:webHidden/>
              </w:rPr>
              <w:tab/>
            </w:r>
            <w:r w:rsidR="00071B94">
              <w:rPr>
                <w:webHidden/>
              </w:rPr>
              <w:fldChar w:fldCharType="begin"/>
            </w:r>
            <w:r w:rsidR="00071B94">
              <w:rPr>
                <w:webHidden/>
              </w:rPr>
              <w:instrText xml:space="preserve"> PAGEREF _Toc179196042 \h </w:instrText>
            </w:r>
            <w:r w:rsidR="00071B94">
              <w:rPr>
                <w:webHidden/>
              </w:rPr>
            </w:r>
            <w:r w:rsidR="00071B94">
              <w:rPr>
                <w:webHidden/>
              </w:rPr>
              <w:fldChar w:fldCharType="separate"/>
            </w:r>
            <w:r w:rsidR="00071B94">
              <w:rPr>
                <w:webHidden/>
              </w:rPr>
              <w:t>151</w:t>
            </w:r>
            <w:r w:rsidR="00071B94">
              <w:rPr>
                <w:webHidden/>
              </w:rPr>
              <w:fldChar w:fldCharType="end"/>
            </w:r>
          </w:hyperlink>
        </w:p>
        <w:p w14:paraId="2346F2C5" w14:textId="3D4D1F7A"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3" w:history="1">
            <w:r w:rsidR="00071B94" w:rsidRPr="00F96CAD">
              <w:rPr>
                <w:rStyle w:val="Hyperlink"/>
              </w:rPr>
              <w:t>41</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Financial Risk Management</w:t>
            </w:r>
            <w:r w:rsidR="00071B94">
              <w:rPr>
                <w:webHidden/>
              </w:rPr>
              <w:tab/>
            </w:r>
            <w:r w:rsidR="00071B94">
              <w:rPr>
                <w:webHidden/>
              </w:rPr>
              <w:fldChar w:fldCharType="begin"/>
            </w:r>
            <w:r w:rsidR="00071B94">
              <w:rPr>
                <w:webHidden/>
              </w:rPr>
              <w:instrText xml:space="preserve"> PAGEREF _Toc179196043 \h </w:instrText>
            </w:r>
            <w:r w:rsidR="00071B94">
              <w:rPr>
                <w:webHidden/>
              </w:rPr>
            </w:r>
            <w:r w:rsidR="00071B94">
              <w:rPr>
                <w:webHidden/>
              </w:rPr>
              <w:fldChar w:fldCharType="separate"/>
            </w:r>
            <w:r w:rsidR="00071B94">
              <w:rPr>
                <w:webHidden/>
              </w:rPr>
              <w:t>161</w:t>
            </w:r>
            <w:r w:rsidR="00071B94">
              <w:rPr>
                <w:webHidden/>
              </w:rPr>
              <w:fldChar w:fldCharType="end"/>
            </w:r>
          </w:hyperlink>
        </w:p>
        <w:p w14:paraId="73DC2F8D" w14:textId="02A6DB08"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4" w:history="1">
            <w:r w:rsidR="00071B94" w:rsidRPr="00F96CAD">
              <w:rPr>
                <w:rStyle w:val="Hyperlink"/>
              </w:rPr>
              <w:t>42</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Management of Capital</w:t>
            </w:r>
            <w:r w:rsidR="00071B94">
              <w:rPr>
                <w:webHidden/>
              </w:rPr>
              <w:tab/>
            </w:r>
            <w:r w:rsidR="00071B94">
              <w:rPr>
                <w:webHidden/>
              </w:rPr>
              <w:fldChar w:fldCharType="begin"/>
            </w:r>
            <w:r w:rsidR="00071B94">
              <w:rPr>
                <w:webHidden/>
              </w:rPr>
              <w:instrText xml:space="preserve"> PAGEREF _Toc179196044 \h </w:instrText>
            </w:r>
            <w:r w:rsidR="00071B94">
              <w:rPr>
                <w:webHidden/>
              </w:rPr>
            </w:r>
            <w:r w:rsidR="00071B94">
              <w:rPr>
                <w:webHidden/>
              </w:rPr>
              <w:fldChar w:fldCharType="separate"/>
            </w:r>
            <w:r w:rsidR="00071B94">
              <w:rPr>
                <w:webHidden/>
              </w:rPr>
              <w:t>180</w:t>
            </w:r>
            <w:r w:rsidR="00071B94">
              <w:rPr>
                <w:webHidden/>
              </w:rPr>
              <w:fldChar w:fldCharType="end"/>
            </w:r>
          </w:hyperlink>
        </w:p>
        <w:p w14:paraId="61193912" w14:textId="6D88A69F"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5" w:history="1">
            <w:r w:rsidR="00071B94" w:rsidRPr="00F96CAD">
              <w:rPr>
                <w:rStyle w:val="Hyperlink"/>
              </w:rPr>
              <w:t>43</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Contingencies and Commitments</w:t>
            </w:r>
            <w:r w:rsidR="00071B94">
              <w:rPr>
                <w:webHidden/>
              </w:rPr>
              <w:tab/>
            </w:r>
            <w:r w:rsidR="00071B94">
              <w:rPr>
                <w:webHidden/>
              </w:rPr>
              <w:fldChar w:fldCharType="begin"/>
            </w:r>
            <w:r w:rsidR="00071B94">
              <w:rPr>
                <w:webHidden/>
              </w:rPr>
              <w:instrText xml:space="preserve"> PAGEREF _Toc179196045 \h </w:instrText>
            </w:r>
            <w:r w:rsidR="00071B94">
              <w:rPr>
                <w:webHidden/>
              </w:rPr>
            </w:r>
            <w:r w:rsidR="00071B94">
              <w:rPr>
                <w:webHidden/>
              </w:rPr>
              <w:fldChar w:fldCharType="separate"/>
            </w:r>
            <w:r w:rsidR="00071B94">
              <w:rPr>
                <w:webHidden/>
              </w:rPr>
              <w:t>181</w:t>
            </w:r>
            <w:r w:rsidR="00071B94">
              <w:rPr>
                <w:webHidden/>
              </w:rPr>
              <w:fldChar w:fldCharType="end"/>
            </w:r>
          </w:hyperlink>
        </w:p>
        <w:p w14:paraId="1FAF4354" w14:textId="7651DAB7"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6" w:history="1">
            <w:r w:rsidR="00071B94" w:rsidRPr="00F96CAD">
              <w:rPr>
                <w:rStyle w:val="Hyperlink"/>
              </w:rPr>
              <w:t>44</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Offsetting Financial Assets and Financial Liabilities</w:t>
            </w:r>
            <w:r w:rsidR="00071B94">
              <w:rPr>
                <w:webHidden/>
              </w:rPr>
              <w:tab/>
            </w:r>
            <w:r w:rsidR="00071B94">
              <w:rPr>
                <w:webHidden/>
              </w:rPr>
              <w:fldChar w:fldCharType="begin"/>
            </w:r>
            <w:r w:rsidR="00071B94">
              <w:rPr>
                <w:webHidden/>
              </w:rPr>
              <w:instrText xml:space="preserve"> PAGEREF _Toc179196046 \h </w:instrText>
            </w:r>
            <w:r w:rsidR="00071B94">
              <w:rPr>
                <w:webHidden/>
              </w:rPr>
            </w:r>
            <w:r w:rsidR="00071B94">
              <w:rPr>
                <w:webHidden/>
              </w:rPr>
              <w:fldChar w:fldCharType="separate"/>
            </w:r>
            <w:r w:rsidR="00071B94">
              <w:rPr>
                <w:webHidden/>
              </w:rPr>
              <w:t>188</w:t>
            </w:r>
            <w:r w:rsidR="00071B94">
              <w:rPr>
                <w:webHidden/>
              </w:rPr>
              <w:fldChar w:fldCharType="end"/>
            </w:r>
          </w:hyperlink>
        </w:p>
        <w:p w14:paraId="21B6B48D" w14:textId="0A560AFC"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7" w:history="1">
            <w:r w:rsidR="00071B94" w:rsidRPr="00F96CAD">
              <w:rPr>
                <w:rStyle w:val="Hyperlink"/>
              </w:rPr>
              <w:t>45</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Non-Controlling Interest</w:t>
            </w:r>
            <w:r w:rsidR="00071B94">
              <w:rPr>
                <w:webHidden/>
              </w:rPr>
              <w:tab/>
            </w:r>
            <w:r w:rsidR="00071B94">
              <w:rPr>
                <w:webHidden/>
              </w:rPr>
              <w:fldChar w:fldCharType="begin"/>
            </w:r>
            <w:r w:rsidR="00071B94">
              <w:rPr>
                <w:webHidden/>
              </w:rPr>
              <w:instrText xml:space="preserve"> PAGEREF _Toc179196047 \h </w:instrText>
            </w:r>
            <w:r w:rsidR="00071B94">
              <w:rPr>
                <w:webHidden/>
              </w:rPr>
            </w:r>
            <w:r w:rsidR="00071B94">
              <w:rPr>
                <w:webHidden/>
              </w:rPr>
              <w:fldChar w:fldCharType="separate"/>
            </w:r>
            <w:r w:rsidR="00071B94">
              <w:rPr>
                <w:webHidden/>
              </w:rPr>
              <w:t>190</w:t>
            </w:r>
            <w:r w:rsidR="00071B94">
              <w:rPr>
                <w:webHidden/>
              </w:rPr>
              <w:fldChar w:fldCharType="end"/>
            </w:r>
          </w:hyperlink>
        </w:p>
        <w:p w14:paraId="79394030" w14:textId="30353EC8"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8" w:history="1">
            <w:r w:rsidR="00071B94" w:rsidRPr="00F96CAD">
              <w:rPr>
                <w:rStyle w:val="Hyperlink"/>
              </w:rPr>
              <w:t>46</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Interests in Structured Entities</w:t>
            </w:r>
            <w:r w:rsidR="00071B94">
              <w:rPr>
                <w:webHidden/>
              </w:rPr>
              <w:tab/>
            </w:r>
            <w:r w:rsidR="00071B94">
              <w:rPr>
                <w:webHidden/>
              </w:rPr>
              <w:fldChar w:fldCharType="begin"/>
            </w:r>
            <w:r w:rsidR="00071B94">
              <w:rPr>
                <w:webHidden/>
              </w:rPr>
              <w:instrText xml:space="preserve"> PAGEREF _Toc179196048 \h </w:instrText>
            </w:r>
            <w:r w:rsidR="00071B94">
              <w:rPr>
                <w:webHidden/>
              </w:rPr>
            </w:r>
            <w:r w:rsidR="00071B94">
              <w:rPr>
                <w:webHidden/>
              </w:rPr>
              <w:fldChar w:fldCharType="separate"/>
            </w:r>
            <w:r w:rsidR="00071B94">
              <w:rPr>
                <w:webHidden/>
              </w:rPr>
              <w:t>191</w:t>
            </w:r>
            <w:r w:rsidR="00071B94">
              <w:rPr>
                <w:webHidden/>
              </w:rPr>
              <w:fldChar w:fldCharType="end"/>
            </w:r>
          </w:hyperlink>
        </w:p>
        <w:p w14:paraId="24606FC5" w14:textId="615D357A"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49" w:history="1">
            <w:r w:rsidR="00071B94" w:rsidRPr="00F96CAD">
              <w:rPr>
                <w:rStyle w:val="Hyperlink"/>
              </w:rPr>
              <w:t>47</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Transfers of Financial Assets</w:t>
            </w:r>
            <w:r w:rsidR="00071B94">
              <w:rPr>
                <w:webHidden/>
              </w:rPr>
              <w:tab/>
            </w:r>
            <w:r w:rsidR="00071B94">
              <w:rPr>
                <w:webHidden/>
              </w:rPr>
              <w:fldChar w:fldCharType="begin"/>
            </w:r>
            <w:r w:rsidR="00071B94">
              <w:rPr>
                <w:webHidden/>
              </w:rPr>
              <w:instrText xml:space="preserve"> PAGEREF _Toc179196049 \h </w:instrText>
            </w:r>
            <w:r w:rsidR="00071B94">
              <w:rPr>
                <w:webHidden/>
              </w:rPr>
            </w:r>
            <w:r w:rsidR="00071B94">
              <w:rPr>
                <w:webHidden/>
              </w:rPr>
              <w:fldChar w:fldCharType="separate"/>
            </w:r>
            <w:r w:rsidR="00071B94">
              <w:rPr>
                <w:webHidden/>
              </w:rPr>
              <w:t>193</w:t>
            </w:r>
            <w:r w:rsidR="00071B94">
              <w:rPr>
                <w:webHidden/>
              </w:rPr>
              <w:fldChar w:fldCharType="end"/>
            </w:r>
          </w:hyperlink>
        </w:p>
        <w:p w14:paraId="22AC95A3" w14:textId="3DE1697C"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50" w:history="1">
            <w:r w:rsidR="00071B94" w:rsidRPr="00F96CAD">
              <w:rPr>
                <w:rStyle w:val="Hyperlink"/>
              </w:rPr>
              <w:t>48</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Derivative Financial Instruments</w:t>
            </w:r>
            <w:r w:rsidR="00071B94">
              <w:rPr>
                <w:webHidden/>
              </w:rPr>
              <w:tab/>
            </w:r>
            <w:r w:rsidR="00071B94">
              <w:rPr>
                <w:webHidden/>
              </w:rPr>
              <w:fldChar w:fldCharType="begin"/>
            </w:r>
            <w:r w:rsidR="00071B94">
              <w:rPr>
                <w:webHidden/>
              </w:rPr>
              <w:instrText xml:space="preserve"> PAGEREF _Toc179196050 \h </w:instrText>
            </w:r>
            <w:r w:rsidR="00071B94">
              <w:rPr>
                <w:webHidden/>
              </w:rPr>
            </w:r>
            <w:r w:rsidR="00071B94">
              <w:rPr>
                <w:webHidden/>
              </w:rPr>
              <w:fldChar w:fldCharType="separate"/>
            </w:r>
            <w:r w:rsidR="00071B94">
              <w:rPr>
                <w:webHidden/>
              </w:rPr>
              <w:t>203</w:t>
            </w:r>
            <w:r w:rsidR="00071B94">
              <w:rPr>
                <w:webHidden/>
              </w:rPr>
              <w:fldChar w:fldCharType="end"/>
            </w:r>
          </w:hyperlink>
        </w:p>
        <w:p w14:paraId="51F5431D" w14:textId="1DE77A18"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51" w:history="1">
            <w:r w:rsidR="00071B94" w:rsidRPr="00F96CAD">
              <w:rPr>
                <w:rStyle w:val="Hyperlink"/>
                <w:spacing w:val="-2"/>
              </w:rPr>
              <w:t>49</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spacing w:val="-2"/>
              </w:rPr>
              <w:t>Fair Value Disclosures</w:t>
            </w:r>
            <w:r w:rsidR="00071B94">
              <w:rPr>
                <w:webHidden/>
              </w:rPr>
              <w:tab/>
            </w:r>
            <w:r w:rsidR="00071B94">
              <w:rPr>
                <w:webHidden/>
              </w:rPr>
              <w:fldChar w:fldCharType="begin"/>
            </w:r>
            <w:r w:rsidR="00071B94">
              <w:rPr>
                <w:webHidden/>
              </w:rPr>
              <w:instrText xml:space="preserve"> PAGEREF _Toc179196051 \h </w:instrText>
            </w:r>
            <w:r w:rsidR="00071B94">
              <w:rPr>
                <w:webHidden/>
              </w:rPr>
            </w:r>
            <w:r w:rsidR="00071B94">
              <w:rPr>
                <w:webHidden/>
              </w:rPr>
              <w:fldChar w:fldCharType="separate"/>
            </w:r>
            <w:r w:rsidR="00071B94">
              <w:rPr>
                <w:webHidden/>
              </w:rPr>
              <w:t>205</w:t>
            </w:r>
            <w:r w:rsidR="00071B94">
              <w:rPr>
                <w:webHidden/>
              </w:rPr>
              <w:fldChar w:fldCharType="end"/>
            </w:r>
          </w:hyperlink>
        </w:p>
        <w:p w14:paraId="491C9284" w14:textId="750AAC05"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52" w:history="1">
            <w:r w:rsidR="00071B94" w:rsidRPr="00F96CAD">
              <w:rPr>
                <w:rStyle w:val="Hyperlink"/>
              </w:rPr>
              <w:t>50</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Presentation of Financial Instruments by Measurement Category</w:t>
            </w:r>
            <w:r w:rsidR="00071B94">
              <w:rPr>
                <w:webHidden/>
              </w:rPr>
              <w:tab/>
            </w:r>
            <w:r w:rsidR="00071B94">
              <w:rPr>
                <w:webHidden/>
              </w:rPr>
              <w:fldChar w:fldCharType="begin"/>
            </w:r>
            <w:r w:rsidR="00071B94">
              <w:rPr>
                <w:webHidden/>
              </w:rPr>
              <w:instrText xml:space="preserve"> PAGEREF _Toc179196052 \h </w:instrText>
            </w:r>
            <w:r w:rsidR="00071B94">
              <w:rPr>
                <w:webHidden/>
              </w:rPr>
            </w:r>
            <w:r w:rsidR="00071B94">
              <w:rPr>
                <w:webHidden/>
              </w:rPr>
              <w:fldChar w:fldCharType="separate"/>
            </w:r>
            <w:r w:rsidR="00071B94">
              <w:rPr>
                <w:webHidden/>
              </w:rPr>
              <w:t>220</w:t>
            </w:r>
            <w:r w:rsidR="00071B94">
              <w:rPr>
                <w:webHidden/>
              </w:rPr>
              <w:fldChar w:fldCharType="end"/>
            </w:r>
          </w:hyperlink>
        </w:p>
        <w:p w14:paraId="682DA9C4" w14:textId="2FE12021"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53" w:history="1">
            <w:r w:rsidR="00071B94" w:rsidRPr="00F96CAD">
              <w:rPr>
                <w:rStyle w:val="Hyperlink"/>
              </w:rPr>
              <w:t>51</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Related Party Transactions</w:t>
            </w:r>
            <w:r w:rsidR="00071B94">
              <w:rPr>
                <w:webHidden/>
              </w:rPr>
              <w:tab/>
            </w:r>
            <w:r w:rsidR="00071B94">
              <w:rPr>
                <w:webHidden/>
              </w:rPr>
              <w:fldChar w:fldCharType="begin"/>
            </w:r>
            <w:r w:rsidR="00071B94">
              <w:rPr>
                <w:webHidden/>
              </w:rPr>
              <w:instrText xml:space="preserve"> PAGEREF _Toc179196053 \h </w:instrText>
            </w:r>
            <w:r w:rsidR="00071B94">
              <w:rPr>
                <w:webHidden/>
              </w:rPr>
            </w:r>
            <w:r w:rsidR="00071B94">
              <w:rPr>
                <w:webHidden/>
              </w:rPr>
              <w:fldChar w:fldCharType="separate"/>
            </w:r>
            <w:r w:rsidR="00071B94">
              <w:rPr>
                <w:webHidden/>
              </w:rPr>
              <w:t>223</w:t>
            </w:r>
            <w:r w:rsidR="00071B94">
              <w:rPr>
                <w:webHidden/>
              </w:rPr>
              <w:fldChar w:fldCharType="end"/>
            </w:r>
          </w:hyperlink>
        </w:p>
        <w:p w14:paraId="3AD6BFE9" w14:textId="671868EA"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54" w:history="1">
            <w:r w:rsidR="00071B94" w:rsidRPr="00F96CAD">
              <w:rPr>
                <w:rStyle w:val="Hyperlink"/>
              </w:rPr>
              <w:t>52</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Business Combinations</w:t>
            </w:r>
            <w:r w:rsidR="00071B94">
              <w:rPr>
                <w:webHidden/>
              </w:rPr>
              <w:tab/>
            </w:r>
            <w:r w:rsidR="00071B94">
              <w:rPr>
                <w:webHidden/>
              </w:rPr>
              <w:fldChar w:fldCharType="begin"/>
            </w:r>
            <w:r w:rsidR="00071B94">
              <w:rPr>
                <w:webHidden/>
              </w:rPr>
              <w:instrText xml:space="preserve"> PAGEREF _Toc179196054 \h </w:instrText>
            </w:r>
            <w:r w:rsidR="00071B94">
              <w:rPr>
                <w:webHidden/>
              </w:rPr>
            </w:r>
            <w:r w:rsidR="00071B94">
              <w:rPr>
                <w:webHidden/>
              </w:rPr>
              <w:fldChar w:fldCharType="separate"/>
            </w:r>
            <w:r w:rsidR="00071B94">
              <w:rPr>
                <w:webHidden/>
              </w:rPr>
              <w:t>232</w:t>
            </w:r>
            <w:r w:rsidR="00071B94">
              <w:rPr>
                <w:webHidden/>
              </w:rPr>
              <w:fldChar w:fldCharType="end"/>
            </w:r>
          </w:hyperlink>
        </w:p>
        <w:p w14:paraId="5B8D2336" w14:textId="7FB10A2C"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55" w:history="1">
            <w:r w:rsidR="00071B94" w:rsidRPr="00F96CAD">
              <w:rPr>
                <w:rStyle w:val="Hyperlink"/>
              </w:rPr>
              <w:t>53</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Events after the End of the Reporting Period</w:t>
            </w:r>
            <w:r w:rsidR="00071B94">
              <w:rPr>
                <w:webHidden/>
              </w:rPr>
              <w:tab/>
            </w:r>
            <w:r w:rsidR="00071B94">
              <w:rPr>
                <w:webHidden/>
              </w:rPr>
              <w:fldChar w:fldCharType="begin"/>
            </w:r>
            <w:r w:rsidR="00071B94">
              <w:rPr>
                <w:webHidden/>
              </w:rPr>
              <w:instrText xml:space="preserve"> PAGEREF _Toc179196055 \h </w:instrText>
            </w:r>
            <w:r w:rsidR="00071B94">
              <w:rPr>
                <w:webHidden/>
              </w:rPr>
            </w:r>
            <w:r w:rsidR="00071B94">
              <w:rPr>
                <w:webHidden/>
              </w:rPr>
              <w:fldChar w:fldCharType="separate"/>
            </w:r>
            <w:r w:rsidR="00071B94">
              <w:rPr>
                <w:webHidden/>
              </w:rPr>
              <w:t>234</w:t>
            </w:r>
            <w:r w:rsidR="00071B94">
              <w:rPr>
                <w:webHidden/>
              </w:rPr>
              <w:fldChar w:fldCharType="end"/>
            </w:r>
          </w:hyperlink>
        </w:p>
        <w:p w14:paraId="508CB917" w14:textId="3F29BAFE" w:rsidR="00071B94" w:rsidRDefault="00000000">
          <w:pPr>
            <w:pStyle w:val="TOC1"/>
            <w:rPr>
              <w:rFonts w:asciiTheme="minorHAnsi" w:eastAsiaTheme="minorEastAsia" w:hAnsiTheme="minorHAnsi" w:cstheme="minorBidi"/>
              <w:kern w:val="2"/>
              <w:sz w:val="24"/>
              <w:szCs w:val="24"/>
              <w:lang w:eastAsia="en-GB"/>
              <w14:ligatures w14:val="standardContextual"/>
            </w:rPr>
          </w:pPr>
          <w:hyperlink w:anchor="_Toc179196056" w:history="1">
            <w:r w:rsidR="00071B94" w:rsidRPr="00F96CAD">
              <w:rPr>
                <w:rStyle w:val="Hyperlink"/>
              </w:rPr>
              <w:t>54</w:t>
            </w:r>
            <w:r w:rsidR="00071B94">
              <w:rPr>
                <w:rFonts w:asciiTheme="minorHAnsi" w:eastAsiaTheme="minorEastAsia" w:hAnsiTheme="minorHAnsi" w:cstheme="minorBidi"/>
                <w:kern w:val="2"/>
                <w:sz w:val="24"/>
                <w:szCs w:val="24"/>
                <w:lang w:eastAsia="en-GB"/>
                <w14:ligatures w14:val="standardContextual"/>
              </w:rPr>
              <w:tab/>
            </w:r>
            <w:r w:rsidR="00071B94" w:rsidRPr="00F96CAD">
              <w:rPr>
                <w:rStyle w:val="Hyperlink"/>
              </w:rPr>
              <w:t>Abbreviations</w:t>
            </w:r>
            <w:r w:rsidR="00071B94">
              <w:rPr>
                <w:webHidden/>
              </w:rPr>
              <w:tab/>
            </w:r>
            <w:r w:rsidR="00071B94">
              <w:rPr>
                <w:webHidden/>
              </w:rPr>
              <w:fldChar w:fldCharType="begin"/>
            </w:r>
            <w:r w:rsidR="00071B94">
              <w:rPr>
                <w:webHidden/>
              </w:rPr>
              <w:instrText xml:space="preserve"> PAGEREF _Toc179196056 \h </w:instrText>
            </w:r>
            <w:r w:rsidR="00071B94">
              <w:rPr>
                <w:webHidden/>
              </w:rPr>
            </w:r>
            <w:r w:rsidR="00071B94">
              <w:rPr>
                <w:webHidden/>
              </w:rPr>
              <w:fldChar w:fldCharType="separate"/>
            </w:r>
            <w:r w:rsidR="00071B94">
              <w:rPr>
                <w:webHidden/>
              </w:rPr>
              <w:t>238</w:t>
            </w:r>
            <w:r w:rsidR="00071B94">
              <w:rPr>
                <w:webHidden/>
              </w:rPr>
              <w:fldChar w:fldCharType="end"/>
            </w:r>
          </w:hyperlink>
        </w:p>
        <w:p w14:paraId="79EEA64F" w14:textId="5F1C606D" w:rsidR="00D83E33" w:rsidRPr="00FB108F" w:rsidRDefault="00BC4072" w:rsidP="00762D1F">
          <w:pPr>
            <w:pBdr>
              <w:top w:val="nil"/>
              <w:left w:val="nil"/>
              <w:bottom w:val="nil"/>
              <w:right w:val="nil"/>
              <w:between w:val="nil"/>
            </w:pBdr>
            <w:tabs>
              <w:tab w:val="left" w:pos="567"/>
              <w:tab w:val="right" w:pos="9345"/>
            </w:tabs>
            <w:rPr>
              <w:color w:val="000000"/>
              <w:sz w:val="20"/>
              <w:szCs w:val="20"/>
            </w:rPr>
          </w:pPr>
          <w:r w:rsidRPr="001B330E">
            <w:rPr>
              <w:sz w:val="20"/>
              <w:szCs w:val="20"/>
            </w:rPr>
            <w:lastRenderedPageBreak/>
            <w:fldChar w:fldCharType="end"/>
          </w:r>
        </w:p>
      </w:sdtContent>
    </w:sdt>
    <w:p w14:paraId="36A90E73" w14:textId="249047FA" w:rsidR="00313B4D" w:rsidRPr="003E5CDF" w:rsidRDefault="00313B4D" w:rsidP="00541EBC">
      <w:pPr>
        <w:pStyle w:val="red"/>
        <w:numPr>
          <w:ilvl w:val="0"/>
          <w:numId w:val="0"/>
        </w:numPr>
        <w:ind w:left="567"/>
        <w:rPr>
          <w:u w:val="single"/>
        </w:rPr>
        <w:sectPr w:rsidR="00313B4D" w:rsidRPr="003E5CDF" w:rsidSect="00BE4572">
          <w:headerReference w:type="default" r:id="rId11"/>
          <w:footerReference w:type="default" r:id="rId12"/>
          <w:pgSz w:w="11907" w:h="16840"/>
          <w:pgMar w:top="1135" w:right="851" w:bottom="737" w:left="1985" w:header="737" w:footer="567" w:gutter="0"/>
          <w:pgNumType w:start="1"/>
          <w:cols w:space="720"/>
        </w:sectPr>
      </w:pPr>
    </w:p>
    <w:tbl>
      <w:tblPr>
        <w:tblStyle w:val="a0"/>
        <w:tblW w:w="5000" w:type="pct"/>
        <w:tblLayout w:type="fixed"/>
        <w:tblLook w:val="0000" w:firstRow="0" w:lastRow="0" w:firstColumn="0" w:lastColumn="0" w:noHBand="0" w:noVBand="0"/>
      </w:tblPr>
      <w:tblGrid>
        <w:gridCol w:w="5974"/>
        <w:gridCol w:w="675"/>
        <w:gridCol w:w="1353"/>
        <w:gridCol w:w="1353"/>
      </w:tblGrid>
      <w:tr w:rsidR="00D83E33" w:rsidRPr="0091632A" w14:paraId="7E2525D1" w14:textId="77777777" w:rsidTr="001B330E">
        <w:trPr>
          <w:trHeight w:val="23"/>
          <w:tblHeader/>
        </w:trPr>
        <w:tc>
          <w:tcPr>
            <w:tcW w:w="3193" w:type="pct"/>
            <w:tcBorders>
              <w:bottom w:val="single" w:sz="4" w:space="0" w:color="000000"/>
            </w:tcBorders>
            <w:vAlign w:val="bottom"/>
          </w:tcPr>
          <w:p w14:paraId="14654A90" w14:textId="41E923D4" w:rsidR="00D83E33" w:rsidRPr="0091632A" w:rsidRDefault="00313B4D" w:rsidP="001B330E">
            <w:pPr>
              <w:widowControl w:val="0"/>
              <w:pBdr>
                <w:top w:val="nil"/>
                <w:left w:val="nil"/>
                <w:bottom w:val="nil"/>
                <w:right w:val="nil"/>
                <w:between w:val="nil"/>
              </w:pBdr>
              <w:ind w:left="113" w:hanging="113"/>
              <w:rPr>
                <w:i/>
                <w:color w:val="000000"/>
              </w:rPr>
            </w:pPr>
            <w:r w:rsidRPr="0091632A">
              <w:rPr>
                <w:i/>
                <w:color w:val="000000"/>
              </w:rPr>
              <w:lastRenderedPageBreak/>
              <w:t xml:space="preserve">In thousands of </w:t>
            </w:r>
            <w:r w:rsidR="002649EE" w:rsidRPr="0091632A">
              <w:rPr>
                <w:i/>
                <w:color w:val="000000"/>
              </w:rPr>
              <w:t>EUR</w:t>
            </w:r>
          </w:p>
        </w:tc>
        <w:tc>
          <w:tcPr>
            <w:tcW w:w="361" w:type="pct"/>
            <w:tcBorders>
              <w:bottom w:val="single" w:sz="4" w:space="0" w:color="000000"/>
            </w:tcBorders>
            <w:vAlign w:val="bottom"/>
          </w:tcPr>
          <w:p w14:paraId="0CEA278B" w14:textId="77777777" w:rsidR="00D83E33" w:rsidRPr="0091632A" w:rsidRDefault="00BC4072" w:rsidP="001B330E">
            <w:pPr>
              <w:widowControl w:val="0"/>
              <w:pBdr>
                <w:top w:val="nil"/>
                <w:left w:val="nil"/>
                <w:bottom w:val="nil"/>
                <w:right w:val="nil"/>
                <w:between w:val="nil"/>
              </w:pBdr>
              <w:jc w:val="center"/>
              <w:rPr>
                <w:b/>
                <w:color w:val="000000"/>
              </w:rPr>
            </w:pPr>
            <w:r w:rsidRPr="0091632A">
              <w:rPr>
                <w:b/>
                <w:color w:val="000000"/>
              </w:rPr>
              <w:t>Note</w:t>
            </w:r>
          </w:p>
        </w:tc>
        <w:tc>
          <w:tcPr>
            <w:tcW w:w="723" w:type="pct"/>
            <w:tcBorders>
              <w:bottom w:val="single" w:sz="4" w:space="0" w:color="000000"/>
            </w:tcBorders>
          </w:tcPr>
          <w:p w14:paraId="0DFBBFF0" w14:textId="1A6DE41F" w:rsidR="00D83E33" w:rsidRPr="0091632A" w:rsidRDefault="00BC4072" w:rsidP="001B330E">
            <w:pPr>
              <w:widowControl w:val="0"/>
              <w:pBdr>
                <w:top w:val="nil"/>
                <w:left w:val="nil"/>
                <w:bottom w:val="nil"/>
                <w:right w:val="nil"/>
                <w:between w:val="nil"/>
              </w:pBdr>
              <w:jc w:val="right"/>
              <w:rPr>
                <w:b/>
                <w:color w:val="000000"/>
              </w:rPr>
            </w:pPr>
            <w:r w:rsidRPr="0091632A">
              <w:rPr>
                <w:b/>
                <w:color w:val="000000"/>
              </w:rPr>
              <w:t>31</w:t>
            </w:r>
            <w:r w:rsidR="00181687" w:rsidRPr="0091632A">
              <w:rPr>
                <w:b/>
                <w:color w:val="000000"/>
              </w:rPr>
              <w:t> December</w:t>
            </w:r>
          </w:p>
          <w:p w14:paraId="0DFF15C2" w14:textId="5DF0CADF" w:rsidR="00D83E33" w:rsidRPr="0091632A" w:rsidRDefault="00541EBC" w:rsidP="001B330E">
            <w:pPr>
              <w:widowControl w:val="0"/>
              <w:pBdr>
                <w:top w:val="nil"/>
                <w:left w:val="nil"/>
                <w:bottom w:val="nil"/>
                <w:right w:val="nil"/>
                <w:between w:val="nil"/>
              </w:pBdr>
              <w:jc w:val="right"/>
              <w:rPr>
                <w:b/>
                <w:color w:val="000000"/>
              </w:rPr>
            </w:pPr>
            <w:r>
              <w:rPr>
                <w:b/>
                <w:color w:val="000000"/>
              </w:rPr>
              <w:t>2024</w:t>
            </w:r>
          </w:p>
        </w:tc>
        <w:tc>
          <w:tcPr>
            <w:tcW w:w="723" w:type="pct"/>
            <w:tcBorders>
              <w:bottom w:val="single" w:sz="4" w:space="0" w:color="000000"/>
            </w:tcBorders>
          </w:tcPr>
          <w:p w14:paraId="0DF27677" w14:textId="04D53D5E" w:rsidR="00D83E33" w:rsidRPr="0091632A" w:rsidRDefault="00BC4072" w:rsidP="001B330E">
            <w:pPr>
              <w:widowControl w:val="0"/>
              <w:pBdr>
                <w:top w:val="nil"/>
                <w:left w:val="nil"/>
                <w:bottom w:val="nil"/>
                <w:right w:val="nil"/>
                <w:between w:val="nil"/>
              </w:pBdr>
              <w:jc w:val="right"/>
              <w:rPr>
                <w:b/>
                <w:color w:val="000000"/>
              </w:rPr>
            </w:pPr>
            <w:r w:rsidRPr="0091632A">
              <w:rPr>
                <w:b/>
                <w:color w:val="000000"/>
              </w:rPr>
              <w:t>31</w:t>
            </w:r>
            <w:r w:rsidR="00181687" w:rsidRPr="0091632A">
              <w:rPr>
                <w:b/>
                <w:color w:val="000000"/>
              </w:rPr>
              <w:t> December</w:t>
            </w:r>
          </w:p>
          <w:p w14:paraId="29B7758B" w14:textId="51189A2E" w:rsidR="00D83E33" w:rsidRPr="0091632A" w:rsidRDefault="00541EBC" w:rsidP="001B330E">
            <w:pPr>
              <w:widowControl w:val="0"/>
              <w:pBdr>
                <w:top w:val="nil"/>
                <w:left w:val="nil"/>
                <w:bottom w:val="nil"/>
                <w:right w:val="nil"/>
                <w:between w:val="nil"/>
              </w:pBdr>
              <w:jc w:val="right"/>
              <w:rPr>
                <w:b/>
                <w:color w:val="000000"/>
              </w:rPr>
            </w:pPr>
            <w:bookmarkStart w:id="1" w:name="_heading=h.30j0zll" w:colFirst="0" w:colLast="0"/>
            <w:bookmarkEnd w:id="1"/>
            <w:r>
              <w:rPr>
                <w:b/>
                <w:color w:val="000000"/>
              </w:rPr>
              <w:t>2023</w:t>
            </w:r>
          </w:p>
        </w:tc>
      </w:tr>
      <w:tr w:rsidR="00D83E33" w:rsidRPr="0091632A" w14:paraId="7DD77898" w14:textId="77777777" w:rsidTr="001B330E">
        <w:trPr>
          <w:trHeight w:val="23"/>
        </w:trPr>
        <w:tc>
          <w:tcPr>
            <w:tcW w:w="3193" w:type="pct"/>
            <w:vAlign w:val="bottom"/>
          </w:tcPr>
          <w:p w14:paraId="7228B856" w14:textId="77777777" w:rsidR="00D83E33" w:rsidRPr="0091632A" w:rsidRDefault="00BC4072" w:rsidP="001B330E">
            <w:pPr>
              <w:widowControl w:val="0"/>
              <w:pBdr>
                <w:top w:val="nil"/>
                <w:left w:val="nil"/>
                <w:bottom w:val="nil"/>
                <w:right w:val="nil"/>
                <w:between w:val="nil"/>
              </w:pBdr>
              <w:ind w:left="113" w:hanging="113"/>
              <w:rPr>
                <w:b/>
                <w:color w:val="000000"/>
              </w:rPr>
            </w:pPr>
            <w:r w:rsidRPr="0091632A">
              <w:rPr>
                <w:b/>
                <w:color w:val="000000"/>
              </w:rPr>
              <w:t> </w:t>
            </w:r>
          </w:p>
        </w:tc>
        <w:tc>
          <w:tcPr>
            <w:tcW w:w="361" w:type="pct"/>
            <w:vAlign w:val="bottom"/>
          </w:tcPr>
          <w:p w14:paraId="1F34AD5C"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vAlign w:val="bottom"/>
          </w:tcPr>
          <w:p w14:paraId="42EB6E79"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5CF9FFCE"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6BD5C20C" w14:textId="77777777" w:rsidTr="001B330E">
        <w:trPr>
          <w:trHeight w:val="23"/>
        </w:trPr>
        <w:tc>
          <w:tcPr>
            <w:tcW w:w="3193" w:type="pct"/>
            <w:vAlign w:val="bottom"/>
          </w:tcPr>
          <w:p w14:paraId="4E3A5B99" w14:textId="77777777" w:rsidR="00D83E33" w:rsidRPr="0091632A" w:rsidRDefault="00BC4072" w:rsidP="001B330E">
            <w:pPr>
              <w:widowControl w:val="0"/>
              <w:pBdr>
                <w:top w:val="nil"/>
                <w:left w:val="nil"/>
                <w:bottom w:val="nil"/>
                <w:right w:val="nil"/>
                <w:between w:val="nil"/>
              </w:pBdr>
              <w:ind w:left="113" w:hanging="113"/>
              <w:rPr>
                <w:b/>
                <w:smallCaps/>
                <w:color w:val="000000"/>
              </w:rPr>
            </w:pPr>
            <w:r w:rsidRPr="0091632A">
              <w:rPr>
                <w:b/>
                <w:smallCaps/>
                <w:color w:val="000000"/>
              </w:rPr>
              <w:t>ASSETS</w:t>
            </w:r>
          </w:p>
        </w:tc>
        <w:tc>
          <w:tcPr>
            <w:tcW w:w="361" w:type="pct"/>
            <w:vAlign w:val="bottom"/>
          </w:tcPr>
          <w:p w14:paraId="2FD8EA81" w14:textId="77777777" w:rsidR="00D83E33" w:rsidRPr="0091632A" w:rsidRDefault="00D83E33" w:rsidP="001B330E">
            <w:pPr>
              <w:widowControl w:val="0"/>
              <w:pBdr>
                <w:top w:val="nil"/>
                <w:left w:val="nil"/>
                <w:bottom w:val="nil"/>
                <w:right w:val="nil"/>
                <w:between w:val="nil"/>
              </w:pBdr>
              <w:jc w:val="center"/>
              <w:rPr>
                <w:smallCaps/>
                <w:color w:val="000000"/>
              </w:rPr>
            </w:pPr>
          </w:p>
        </w:tc>
        <w:tc>
          <w:tcPr>
            <w:tcW w:w="723" w:type="pct"/>
            <w:vAlign w:val="bottom"/>
          </w:tcPr>
          <w:p w14:paraId="2FA91C40" w14:textId="77777777" w:rsidR="00D83E33" w:rsidRPr="0091632A" w:rsidRDefault="00D83E33" w:rsidP="001B330E">
            <w:pPr>
              <w:widowControl w:val="0"/>
              <w:pBdr>
                <w:top w:val="nil"/>
                <w:left w:val="nil"/>
                <w:bottom w:val="nil"/>
                <w:right w:val="nil"/>
                <w:between w:val="nil"/>
              </w:pBdr>
              <w:jc w:val="right"/>
              <w:rPr>
                <w:smallCaps/>
                <w:color w:val="000000"/>
              </w:rPr>
            </w:pPr>
          </w:p>
        </w:tc>
        <w:tc>
          <w:tcPr>
            <w:tcW w:w="723" w:type="pct"/>
            <w:vAlign w:val="bottom"/>
          </w:tcPr>
          <w:p w14:paraId="05AD7E5F" w14:textId="77777777" w:rsidR="00D83E33" w:rsidRPr="0091632A" w:rsidRDefault="00D83E33" w:rsidP="001B330E">
            <w:pPr>
              <w:widowControl w:val="0"/>
              <w:pBdr>
                <w:top w:val="nil"/>
                <w:left w:val="nil"/>
                <w:bottom w:val="nil"/>
                <w:right w:val="nil"/>
                <w:between w:val="nil"/>
              </w:pBdr>
              <w:jc w:val="right"/>
              <w:rPr>
                <w:b/>
                <w:smallCaps/>
                <w:color w:val="000000"/>
              </w:rPr>
            </w:pPr>
          </w:p>
        </w:tc>
      </w:tr>
      <w:tr w:rsidR="00D83E33" w:rsidRPr="0091632A" w14:paraId="21E018AB" w14:textId="77777777" w:rsidTr="001B330E">
        <w:trPr>
          <w:trHeight w:val="23"/>
        </w:trPr>
        <w:tc>
          <w:tcPr>
            <w:tcW w:w="3193" w:type="pct"/>
            <w:vAlign w:val="bottom"/>
          </w:tcPr>
          <w:p w14:paraId="028247C4"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Cash and cash equivalents</w:t>
            </w:r>
          </w:p>
        </w:tc>
        <w:tc>
          <w:tcPr>
            <w:tcW w:w="361" w:type="pct"/>
            <w:vAlign w:val="bottom"/>
          </w:tcPr>
          <w:p w14:paraId="5B07D1FD"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7</w:t>
            </w:r>
          </w:p>
        </w:tc>
        <w:tc>
          <w:tcPr>
            <w:tcW w:w="723" w:type="pct"/>
            <w:vAlign w:val="bottom"/>
          </w:tcPr>
          <w:p w14:paraId="560FC20F"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3594A08D"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35CC65D0" w14:textId="77777777" w:rsidTr="001B330E">
        <w:trPr>
          <w:trHeight w:val="23"/>
        </w:trPr>
        <w:tc>
          <w:tcPr>
            <w:tcW w:w="3193" w:type="pct"/>
            <w:shd w:val="clear" w:color="auto" w:fill="auto"/>
            <w:vAlign w:val="bottom"/>
          </w:tcPr>
          <w:p w14:paraId="2D1F0AA0" w14:textId="114464FE"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 xml:space="preserve">Mandatory cash balances with the </w:t>
            </w:r>
            <w:r w:rsidR="005651E5" w:rsidRPr="0091632A">
              <w:rPr>
                <w:color w:val="000000"/>
              </w:rPr>
              <w:t xml:space="preserve">National </w:t>
            </w:r>
            <w:r w:rsidRPr="0091632A">
              <w:rPr>
                <w:color w:val="000000"/>
              </w:rPr>
              <w:t xml:space="preserve">Bank of </w:t>
            </w:r>
            <w:r w:rsidR="00372E26" w:rsidRPr="0091632A">
              <w:rPr>
                <w:color w:val="000000"/>
              </w:rPr>
              <w:t>[Country]</w:t>
            </w:r>
          </w:p>
        </w:tc>
        <w:tc>
          <w:tcPr>
            <w:tcW w:w="361" w:type="pct"/>
            <w:shd w:val="clear" w:color="auto" w:fill="auto"/>
            <w:vAlign w:val="bottom"/>
          </w:tcPr>
          <w:p w14:paraId="1AE75FF0"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shd w:val="clear" w:color="auto" w:fill="auto"/>
            <w:vAlign w:val="bottom"/>
          </w:tcPr>
          <w:p w14:paraId="39583C6D"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shd w:val="clear" w:color="auto" w:fill="auto"/>
            <w:vAlign w:val="bottom"/>
          </w:tcPr>
          <w:p w14:paraId="0912EAF5"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16565413" w14:textId="77777777" w:rsidTr="001B330E">
        <w:trPr>
          <w:trHeight w:val="23"/>
        </w:trPr>
        <w:tc>
          <w:tcPr>
            <w:tcW w:w="3193" w:type="pct"/>
            <w:shd w:val="clear" w:color="auto" w:fill="auto"/>
            <w:vAlign w:val="bottom"/>
          </w:tcPr>
          <w:p w14:paraId="7D6AA7DD"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Due from other banks</w:t>
            </w:r>
          </w:p>
        </w:tc>
        <w:tc>
          <w:tcPr>
            <w:tcW w:w="361" w:type="pct"/>
            <w:shd w:val="clear" w:color="auto" w:fill="auto"/>
            <w:vAlign w:val="bottom"/>
          </w:tcPr>
          <w:p w14:paraId="7FB6B82D"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8</w:t>
            </w:r>
          </w:p>
        </w:tc>
        <w:tc>
          <w:tcPr>
            <w:tcW w:w="723" w:type="pct"/>
            <w:shd w:val="clear" w:color="auto" w:fill="auto"/>
            <w:vAlign w:val="bottom"/>
          </w:tcPr>
          <w:p w14:paraId="1FC48FF5"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shd w:val="clear" w:color="auto" w:fill="auto"/>
            <w:vAlign w:val="bottom"/>
          </w:tcPr>
          <w:p w14:paraId="52D37C59"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28B758E5" w14:textId="77777777" w:rsidTr="001B330E">
        <w:trPr>
          <w:trHeight w:val="23"/>
        </w:trPr>
        <w:tc>
          <w:tcPr>
            <w:tcW w:w="3193" w:type="pct"/>
            <w:vAlign w:val="bottom"/>
          </w:tcPr>
          <w:p w14:paraId="08E42C68"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Investments in debt securities</w:t>
            </w:r>
          </w:p>
        </w:tc>
        <w:tc>
          <w:tcPr>
            <w:tcW w:w="361" w:type="pct"/>
            <w:vAlign w:val="bottom"/>
          </w:tcPr>
          <w:p w14:paraId="34883A8B"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9</w:t>
            </w:r>
          </w:p>
        </w:tc>
        <w:tc>
          <w:tcPr>
            <w:tcW w:w="723" w:type="pct"/>
            <w:vAlign w:val="bottom"/>
          </w:tcPr>
          <w:p w14:paraId="693AB924"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0CDD8155"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68416595" w14:textId="77777777" w:rsidTr="001B330E">
        <w:trPr>
          <w:trHeight w:val="23"/>
        </w:trPr>
        <w:tc>
          <w:tcPr>
            <w:tcW w:w="3193" w:type="pct"/>
            <w:vAlign w:val="bottom"/>
          </w:tcPr>
          <w:p w14:paraId="1CDA19D1"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Investments in equity securities</w:t>
            </w:r>
          </w:p>
        </w:tc>
        <w:tc>
          <w:tcPr>
            <w:tcW w:w="361" w:type="pct"/>
            <w:vAlign w:val="bottom"/>
          </w:tcPr>
          <w:p w14:paraId="761D2B7B"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10</w:t>
            </w:r>
          </w:p>
        </w:tc>
        <w:tc>
          <w:tcPr>
            <w:tcW w:w="723" w:type="pct"/>
            <w:vAlign w:val="bottom"/>
          </w:tcPr>
          <w:p w14:paraId="581A159A"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7BBBA1F6"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21962028" w14:textId="77777777" w:rsidTr="001B330E">
        <w:trPr>
          <w:trHeight w:val="23"/>
        </w:trPr>
        <w:tc>
          <w:tcPr>
            <w:tcW w:w="3193" w:type="pct"/>
            <w:vAlign w:val="bottom"/>
          </w:tcPr>
          <w:p w14:paraId="2FE2F1DA"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Loans and advances to customers</w:t>
            </w:r>
          </w:p>
        </w:tc>
        <w:tc>
          <w:tcPr>
            <w:tcW w:w="361" w:type="pct"/>
            <w:vAlign w:val="bottom"/>
          </w:tcPr>
          <w:p w14:paraId="3065012D"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11</w:t>
            </w:r>
          </w:p>
        </w:tc>
        <w:tc>
          <w:tcPr>
            <w:tcW w:w="723" w:type="pct"/>
            <w:vAlign w:val="bottom"/>
          </w:tcPr>
          <w:p w14:paraId="2DEAF20B"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2954498B"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174DBB93" w14:textId="77777777" w:rsidTr="001B330E">
        <w:trPr>
          <w:trHeight w:val="23"/>
        </w:trPr>
        <w:tc>
          <w:tcPr>
            <w:tcW w:w="3193" w:type="pct"/>
            <w:vAlign w:val="bottom"/>
          </w:tcPr>
          <w:p w14:paraId="175C5D06"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Repurchase receivables</w:t>
            </w:r>
          </w:p>
        </w:tc>
        <w:tc>
          <w:tcPr>
            <w:tcW w:w="361" w:type="pct"/>
            <w:vAlign w:val="bottom"/>
          </w:tcPr>
          <w:p w14:paraId="4D697563"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12</w:t>
            </w:r>
          </w:p>
        </w:tc>
        <w:tc>
          <w:tcPr>
            <w:tcW w:w="723" w:type="pct"/>
            <w:vAlign w:val="bottom"/>
          </w:tcPr>
          <w:p w14:paraId="61C9385F"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7F847371"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04F1A848" w14:textId="77777777" w:rsidTr="001B330E">
        <w:trPr>
          <w:trHeight w:val="23"/>
        </w:trPr>
        <w:tc>
          <w:tcPr>
            <w:tcW w:w="3193" w:type="pct"/>
            <w:vAlign w:val="bottom"/>
          </w:tcPr>
          <w:p w14:paraId="1C21C441"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Investment properties</w:t>
            </w:r>
          </w:p>
        </w:tc>
        <w:tc>
          <w:tcPr>
            <w:tcW w:w="361" w:type="pct"/>
            <w:vAlign w:val="bottom"/>
          </w:tcPr>
          <w:p w14:paraId="5672C0E3"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13</w:t>
            </w:r>
          </w:p>
        </w:tc>
        <w:tc>
          <w:tcPr>
            <w:tcW w:w="723" w:type="pct"/>
            <w:vAlign w:val="bottom"/>
          </w:tcPr>
          <w:p w14:paraId="0B5EA50D"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48EE9C5E"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041006E3" w14:textId="77777777" w:rsidTr="001B330E">
        <w:trPr>
          <w:trHeight w:val="23"/>
        </w:trPr>
        <w:tc>
          <w:tcPr>
            <w:tcW w:w="3193" w:type="pct"/>
            <w:vAlign w:val="bottom"/>
          </w:tcPr>
          <w:p w14:paraId="45D1755F"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Investment in associates</w:t>
            </w:r>
          </w:p>
        </w:tc>
        <w:tc>
          <w:tcPr>
            <w:tcW w:w="361" w:type="pct"/>
            <w:vAlign w:val="bottom"/>
          </w:tcPr>
          <w:p w14:paraId="0F90A597"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14</w:t>
            </w:r>
          </w:p>
        </w:tc>
        <w:tc>
          <w:tcPr>
            <w:tcW w:w="723" w:type="pct"/>
            <w:vAlign w:val="bottom"/>
          </w:tcPr>
          <w:p w14:paraId="3B2D50CC"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54816BC3"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50EA719D" w14:textId="77777777" w:rsidTr="001B330E">
        <w:trPr>
          <w:trHeight w:val="23"/>
        </w:trPr>
        <w:tc>
          <w:tcPr>
            <w:tcW w:w="3193" w:type="pct"/>
            <w:vAlign w:val="bottom"/>
          </w:tcPr>
          <w:p w14:paraId="75E4ED48"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Current income tax prepayment</w:t>
            </w:r>
          </w:p>
        </w:tc>
        <w:tc>
          <w:tcPr>
            <w:tcW w:w="361" w:type="pct"/>
            <w:vAlign w:val="bottom"/>
          </w:tcPr>
          <w:p w14:paraId="6A6FD38C"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36</w:t>
            </w:r>
          </w:p>
        </w:tc>
        <w:tc>
          <w:tcPr>
            <w:tcW w:w="723" w:type="pct"/>
            <w:vAlign w:val="bottom"/>
          </w:tcPr>
          <w:p w14:paraId="5F138D61"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0C23B52F"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60A8FA04" w14:textId="77777777" w:rsidTr="001B330E">
        <w:trPr>
          <w:trHeight w:val="23"/>
        </w:trPr>
        <w:tc>
          <w:tcPr>
            <w:tcW w:w="3193" w:type="pct"/>
            <w:shd w:val="clear" w:color="auto" w:fill="auto"/>
            <w:vAlign w:val="bottom"/>
          </w:tcPr>
          <w:p w14:paraId="4D156DF3"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Other financial assets</w:t>
            </w:r>
          </w:p>
        </w:tc>
        <w:tc>
          <w:tcPr>
            <w:tcW w:w="361" w:type="pct"/>
            <w:shd w:val="clear" w:color="auto" w:fill="auto"/>
            <w:vAlign w:val="bottom"/>
          </w:tcPr>
          <w:p w14:paraId="4A27DBEB" w14:textId="77777777" w:rsidR="00D83E33" w:rsidRPr="0091632A" w:rsidRDefault="00000000" w:rsidP="001B330E">
            <w:pPr>
              <w:widowControl w:val="0"/>
              <w:pBdr>
                <w:top w:val="nil"/>
                <w:left w:val="nil"/>
                <w:bottom w:val="nil"/>
                <w:right w:val="nil"/>
                <w:between w:val="nil"/>
              </w:pBdr>
              <w:jc w:val="center"/>
              <w:rPr>
                <w:color w:val="000000"/>
              </w:rPr>
            </w:pPr>
            <w:hyperlink w:anchor="_heading=h.2bn6wsx">
              <w:r w:rsidR="00BC4072" w:rsidRPr="0091632A">
                <w:rPr>
                  <w:color w:val="000000"/>
                </w:rPr>
                <w:t>15</w:t>
              </w:r>
            </w:hyperlink>
          </w:p>
        </w:tc>
        <w:tc>
          <w:tcPr>
            <w:tcW w:w="723" w:type="pct"/>
            <w:shd w:val="clear" w:color="auto" w:fill="auto"/>
            <w:vAlign w:val="bottom"/>
          </w:tcPr>
          <w:p w14:paraId="762C9BA3"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shd w:val="clear" w:color="auto" w:fill="auto"/>
            <w:vAlign w:val="bottom"/>
          </w:tcPr>
          <w:p w14:paraId="285BB12E"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77B40A6E" w14:textId="77777777" w:rsidTr="001B330E">
        <w:trPr>
          <w:trHeight w:val="23"/>
        </w:trPr>
        <w:tc>
          <w:tcPr>
            <w:tcW w:w="3193" w:type="pct"/>
            <w:shd w:val="clear" w:color="auto" w:fill="auto"/>
            <w:vAlign w:val="bottom"/>
          </w:tcPr>
          <w:p w14:paraId="4D8C5028"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Other assets</w:t>
            </w:r>
          </w:p>
        </w:tc>
        <w:tc>
          <w:tcPr>
            <w:tcW w:w="361" w:type="pct"/>
            <w:shd w:val="clear" w:color="auto" w:fill="auto"/>
            <w:vAlign w:val="bottom"/>
          </w:tcPr>
          <w:p w14:paraId="1AEBED2B" w14:textId="77777777" w:rsidR="00D83E33" w:rsidRPr="0091632A" w:rsidRDefault="00000000" w:rsidP="001B330E">
            <w:pPr>
              <w:widowControl w:val="0"/>
              <w:pBdr>
                <w:top w:val="nil"/>
                <w:left w:val="nil"/>
                <w:bottom w:val="nil"/>
                <w:right w:val="nil"/>
                <w:between w:val="nil"/>
              </w:pBdr>
              <w:jc w:val="center"/>
              <w:rPr>
                <w:color w:val="000000"/>
              </w:rPr>
            </w:pPr>
            <w:hyperlink w:anchor="_heading=h.qsh70q">
              <w:r w:rsidR="00BC4072" w:rsidRPr="0091632A">
                <w:rPr>
                  <w:color w:val="000000"/>
                </w:rPr>
                <w:t>16</w:t>
              </w:r>
            </w:hyperlink>
          </w:p>
        </w:tc>
        <w:tc>
          <w:tcPr>
            <w:tcW w:w="723" w:type="pct"/>
            <w:shd w:val="clear" w:color="auto" w:fill="auto"/>
            <w:vAlign w:val="bottom"/>
          </w:tcPr>
          <w:p w14:paraId="67F64DE8"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shd w:val="clear" w:color="auto" w:fill="auto"/>
            <w:vAlign w:val="bottom"/>
          </w:tcPr>
          <w:p w14:paraId="6F179B77"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4D04D36F" w14:textId="77777777" w:rsidTr="001B330E">
        <w:trPr>
          <w:trHeight w:val="23"/>
        </w:trPr>
        <w:tc>
          <w:tcPr>
            <w:tcW w:w="3193" w:type="pct"/>
            <w:shd w:val="clear" w:color="auto" w:fill="auto"/>
            <w:vAlign w:val="bottom"/>
          </w:tcPr>
          <w:p w14:paraId="510114DF"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Deferred income tax asset</w:t>
            </w:r>
          </w:p>
        </w:tc>
        <w:tc>
          <w:tcPr>
            <w:tcW w:w="361" w:type="pct"/>
            <w:shd w:val="clear" w:color="auto" w:fill="auto"/>
            <w:vAlign w:val="bottom"/>
          </w:tcPr>
          <w:p w14:paraId="318A930B"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36</w:t>
            </w:r>
          </w:p>
        </w:tc>
        <w:tc>
          <w:tcPr>
            <w:tcW w:w="723" w:type="pct"/>
            <w:shd w:val="clear" w:color="auto" w:fill="auto"/>
            <w:vAlign w:val="bottom"/>
          </w:tcPr>
          <w:p w14:paraId="2C37D348"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shd w:val="clear" w:color="auto" w:fill="auto"/>
            <w:vAlign w:val="bottom"/>
          </w:tcPr>
          <w:p w14:paraId="74B1332A"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64C6DA07" w14:textId="77777777" w:rsidTr="001B330E">
        <w:trPr>
          <w:trHeight w:val="23"/>
        </w:trPr>
        <w:tc>
          <w:tcPr>
            <w:tcW w:w="3193" w:type="pct"/>
            <w:shd w:val="clear" w:color="auto" w:fill="auto"/>
            <w:vAlign w:val="bottom"/>
          </w:tcPr>
          <w:p w14:paraId="4D3028DB"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 xml:space="preserve">Goodwill </w:t>
            </w:r>
          </w:p>
        </w:tc>
        <w:tc>
          <w:tcPr>
            <w:tcW w:w="361" w:type="pct"/>
            <w:shd w:val="clear" w:color="auto" w:fill="auto"/>
            <w:vAlign w:val="bottom"/>
          </w:tcPr>
          <w:p w14:paraId="4B9C4A1A"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17</w:t>
            </w:r>
          </w:p>
        </w:tc>
        <w:tc>
          <w:tcPr>
            <w:tcW w:w="723" w:type="pct"/>
            <w:shd w:val="clear" w:color="auto" w:fill="auto"/>
            <w:vAlign w:val="bottom"/>
          </w:tcPr>
          <w:p w14:paraId="45D39A8A"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shd w:val="clear" w:color="auto" w:fill="auto"/>
            <w:vAlign w:val="bottom"/>
          </w:tcPr>
          <w:p w14:paraId="61DC8AD4"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550F2450" w14:textId="77777777" w:rsidTr="001B330E">
        <w:trPr>
          <w:trHeight w:val="23"/>
        </w:trPr>
        <w:tc>
          <w:tcPr>
            <w:tcW w:w="3193" w:type="pct"/>
            <w:vAlign w:val="bottom"/>
          </w:tcPr>
          <w:p w14:paraId="3BA737C7"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Premises and equipment</w:t>
            </w:r>
          </w:p>
        </w:tc>
        <w:tc>
          <w:tcPr>
            <w:tcW w:w="361" w:type="pct"/>
            <w:vAlign w:val="bottom"/>
          </w:tcPr>
          <w:p w14:paraId="1913A317"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18</w:t>
            </w:r>
          </w:p>
        </w:tc>
        <w:tc>
          <w:tcPr>
            <w:tcW w:w="723" w:type="pct"/>
            <w:vAlign w:val="bottom"/>
          </w:tcPr>
          <w:p w14:paraId="21645C02"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222A8A7A"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5DA7F798" w14:textId="77777777" w:rsidTr="001B330E">
        <w:trPr>
          <w:trHeight w:val="23"/>
        </w:trPr>
        <w:tc>
          <w:tcPr>
            <w:tcW w:w="3193" w:type="pct"/>
            <w:shd w:val="clear" w:color="auto" w:fill="auto"/>
            <w:vAlign w:val="bottom"/>
          </w:tcPr>
          <w:p w14:paraId="40F10188"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Intangible assets</w:t>
            </w:r>
          </w:p>
        </w:tc>
        <w:tc>
          <w:tcPr>
            <w:tcW w:w="361" w:type="pct"/>
            <w:shd w:val="clear" w:color="auto" w:fill="auto"/>
            <w:vAlign w:val="bottom"/>
          </w:tcPr>
          <w:p w14:paraId="78D48A88"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18</w:t>
            </w:r>
          </w:p>
        </w:tc>
        <w:tc>
          <w:tcPr>
            <w:tcW w:w="723" w:type="pct"/>
            <w:shd w:val="clear" w:color="auto" w:fill="auto"/>
            <w:vAlign w:val="bottom"/>
          </w:tcPr>
          <w:p w14:paraId="0CD3723B"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shd w:val="clear" w:color="auto" w:fill="auto"/>
            <w:vAlign w:val="bottom"/>
          </w:tcPr>
          <w:p w14:paraId="26D1E76D"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6BC72732" w14:textId="77777777" w:rsidTr="001B330E">
        <w:trPr>
          <w:trHeight w:val="23"/>
        </w:trPr>
        <w:tc>
          <w:tcPr>
            <w:tcW w:w="3193" w:type="pct"/>
            <w:shd w:val="clear" w:color="auto" w:fill="auto"/>
            <w:vAlign w:val="bottom"/>
          </w:tcPr>
          <w:p w14:paraId="0FD26880" w14:textId="37DFA889"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Right of use assets</w:t>
            </w:r>
          </w:p>
        </w:tc>
        <w:tc>
          <w:tcPr>
            <w:tcW w:w="361" w:type="pct"/>
            <w:shd w:val="clear" w:color="auto" w:fill="auto"/>
            <w:vAlign w:val="bottom"/>
          </w:tcPr>
          <w:p w14:paraId="15FFA7A8"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19</w:t>
            </w:r>
          </w:p>
        </w:tc>
        <w:tc>
          <w:tcPr>
            <w:tcW w:w="723" w:type="pct"/>
            <w:shd w:val="clear" w:color="auto" w:fill="auto"/>
            <w:vAlign w:val="bottom"/>
          </w:tcPr>
          <w:p w14:paraId="0BCF9181"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shd w:val="clear" w:color="auto" w:fill="auto"/>
            <w:vAlign w:val="bottom"/>
          </w:tcPr>
          <w:p w14:paraId="350DC18E"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65E9C6EB" w14:textId="77777777" w:rsidTr="001B330E">
        <w:trPr>
          <w:trHeight w:val="23"/>
        </w:trPr>
        <w:tc>
          <w:tcPr>
            <w:tcW w:w="3193" w:type="pct"/>
            <w:vAlign w:val="bottom"/>
          </w:tcPr>
          <w:p w14:paraId="5237955C"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Non-current assets held for sale (or disposal groups)</w:t>
            </w:r>
          </w:p>
        </w:tc>
        <w:tc>
          <w:tcPr>
            <w:tcW w:w="361" w:type="pct"/>
            <w:vAlign w:val="bottom"/>
          </w:tcPr>
          <w:p w14:paraId="3969CF5A"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20</w:t>
            </w:r>
          </w:p>
        </w:tc>
        <w:tc>
          <w:tcPr>
            <w:tcW w:w="723" w:type="pct"/>
            <w:vAlign w:val="bottom"/>
          </w:tcPr>
          <w:p w14:paraId="2B447CDF"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7D77544B"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352A7483" w14:textId="77777777" w:rsidTr="0091632A">
        <w:trPr>
          <w:trHeight w:val="23"/>
        </w:trPr>
        <w:tc>
          <w:tcPr>
            <w:tcW w:w="3193" w:type="pct"/>
            <w:tcBorders>
              <w:bottom w:val="single" w:sz="8" w:space="0" w:color="auto"/>
            </w:tcBorders>
            <w:vAlign w:val="bottom"/>
          </w:tcPr>
          <w:p w14:paraId="54810102"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 </w:t>
            </w:r>
          </w:p>
        </w:tc>
        <w:tc>
          <w:tcPr>
            <w:tcW w:w="361" w:type="pct"/>
            <w:tcBorders>
              <w:bottom w:val="single" w:sz="4" w:space="0" w:color="000000"/>
            </w:tcBorders>
            <w:vAlign w:val="bottom"/>
          </w:tcPr>
          <w:p w14:paraId="7410892F"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tcBorders>
              <w:bottom w:val="single" w:sz="4" w:space="0" w:color="000000"/>
            </w:tcBorders>
            <w:vAlign w:val="bottom"/>
          </w:tcPr>
          <w:p w14:paraId="396BB9A6"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tcBorders>
              <w:bottom w:val="single" w:sz="4" w:space="0" w:color="000000"/>
            </w:tcBorders>
            <w:vAlign w:val="bottom"/>
          </w:tcPr>
          <w:p w14:paraId="74BDEC98"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490885E9" w14:textId="77777777" w:rsidTr="006B0E39">
        <w:trPr>
          <w:trHeight w:val="23"/>
        </w:trPr>
        <w:tc>
          <w:tcPr>
            <w:tcW w:w="3193" w:type="pct"/>
            <w:tcBorders>
              <w:top w:val="single" w:sz="8" w:space="0" w:color="auto"/>
              <w:bottom w:val="single" w:sz="12" w:space="0" w:color="auto"/>
            </w:tcBorders>
            <w:vAlign w:val="bottom"/>
          </w:tcPr>
          <w:p w14:paraId="11BC3F0F" w14:textId="77777777" w:rsidR="00D83E33" w:rsidRPr="0091632A" w:rsidRDefault="00BC4072" w:rsidP="001B330E">
            <w:pPr>
              <w:widowControl w:val="0"/>
              <w:pBdr>
                <w:top w:val="nil"/>
                <w:left w:val="nil"/>
                <w:bottom w:val="nil"/>
                <w:right w:val="nil"/>
                <w:between w:val="nil"/>
              </w:pBdr>
              <w:ind w:left="113" w:hanging="113"/>
              <w:rPr>
                <w:b/>
                <w:smallCaps/>
                <w:color w:val="000000"/>
              </w:rPr>
            </w:pPr>
            <w:r w:rsidRPr="0091632A">
              <w:rPr>
                <w:b/>
                <w:smallCaps/>
                <w:color w:val="000000"/>
              </w:rPr>
              <w:t>TOTAL ASSETS</w:t>
            </w:r>
          </w:p>
        </w:tc>
        <w:tc>
          <w:tcPr>
            <w:tcW w:w="361" w:type="pct"/>
            <w:tcBorders>
              <w:bottom w:val="single" w:sz="12" w:space="0" w:color="auto"/>
            </w:tcBorders>
            <w:vAlign w:val="bottom"/>
          </w:tcPr>
          <w:p w14:paraId="7DCBDD90" w14:textId="77777777" w:rsidR="00D83E33" w:rsidRPr="0091632A" w:rsidRDefault="00D83E33" w:rsidP="00302F88">
            <w:pPr>
              <w:widowControl w:val="0"/>
              <w:pBdr>
                <w:top w:val="nil"/>
                <w:left w:val="nil"/>
                <w:bottom w:val="nil"/>
                <w:right w:val="nil"/>
                <w:between w:val="nil"/>
              </w:pBdr>
              <w:rPr>
                <w:b/>
                <w:smallCaps/>
                <w:color w:val="000000"/>
              </w:rPr>
            </w:pPr>
          </w:p>
        </w:tc>
        <w:tc>
          <w:tcPr>
            <w:tcW w:w="723" w:type="pct"/>
            <w:tcBorders>
              <w:bottom w:val="single" w:sz="12" w:space="0" w:color="auto"/>
            </w:tcBorders>
            <w:vAlign w:val="bottom"/>
          </w:tcPr>
          <w:p w14:paraId="10FFE995" w14:textId="77777777" w:rsidR="00D83E33" w:rsidRPr="0091632A" w:rsidRDefault="00D83E33" w:rsidP="001B330E">
            <w:pPr>
              <w:widowControl w:val="0"/>
              <w:pBdr>
                <w:top w:val="nil"/>
                <w:left w:val="nil"/>
                <w:bottom w:val="nil"/>
                <w:right w:val="nil"/>
                <w:between w:val="nil"/>
              </w:pBdr>
              <w:jc w:val="right"/>
              <w:rPr>
                <w:b/>
                <w:smallCaps/>
                <w:color w:val="000000"/>
              </w:rPr>
            </w:pPr>
          </w:p>
        </w:tc>
        <w:tc>
          <w:tcPr>
            <w:tcW w:w="723" w:type="pct"/>
            <w:tcBorders>
              <w:bottom w:val="single" w:sz="12" w:space="0" w:color="auto"/>
            </w:tcBorders>
            <w:vAlign w:val="bottom"/>
          </w:tcPr>
          <w:p w14:paraId="44B0ADCE" w14:textId="77777777" w:rsidR="00D83E33" w:rsidRPr="0091632A" w:rsidRDefault="00D83E33" w:rsidP="001B330E">
            <w:pPr>
              <w:widowControl w:val="0"/>
              <w:pBdr>
                <w:top w:val="nil"/>
                <w:left w:val="nil"/>
                <w:bottom w:val="nil"/>
                <w:right w:val="nil"/>
                <w:between w:val="nil"/>
              </w:pBdr>
              <w:jc w:val="right"/>
              <w:rPr>
                <w:b/>
                <w:smallCaps/>
                <w:color w:val="000000"/>
              </w:rPr>
            </w:pPr>
          </w:p>
        </w:tc>
      </w:tr>
      <w:tr w:rsidR="00D83E33" w:rsidRPr="0091632A" w14:paraId="0DBD82FD" w14:textId="77777777" w:rsidTr="006B0E39">
        <w:trPr>
          <w:trHeight w:val="23"/>
        </w:trPr>
        <w:tc>
          <w:tcPr>
            <w:tcW w:w="3193" w:type="pct"/>
            <w:tcBorders>
              <w:top w:val="single" w:sz="12" w:space="0" w:color="auto"/>
            </w:tcBorders>
            <w:vAlign w:val="bottom"/>
          </w:tcPr>
          <w:p w14:paraId="417363C8" w14:textId="77777777" w:rsidR="00D83E33" w:rsidRPr="0091632A" w:rsidRDefault="00BC4072" w:rsidP="001B330E">
            <w:pPr>
              <w:widowControl w:val="0"/>
              <w:ind w:left="113" w:hanging="113"/>
            </w:pPr>
            <w:r w:rsidRPr="0091632A">
              <w:t> </w:t>
            </w:r>
          </w:p>
        </w:tc>
        <w:tc>
          <w:tcPr>
            <w:tcW w:w="361" w:type="pct"/>
            <w:tcBorders>
              <w:top w:val="single" w:sz="12" w:space="0" w:color="auto"/>
            </w:tcBorders>
            <w:vAlign w:val="bottom"/>
          </w:tcPr>
          <w:p w14:paraId="02C7C6E0"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tcBorders>
              <w:top w:val="single" w:sz="12" w:space="0" w:color="auto"/>
            </w:tcBorders>
            <w:vAlign w:val="bottom"/>
          </w:tcPr>
          <w:p w14:paraId="45254356"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tcBorders>
              <w:top w:val="single" w:sz="12" w:space="0" w:color="auto"/>
            </w:tcBorders>
            <w:vAlign w:val="bottom"/>
          </w:tcPr>
          <w:p w14:paraId="41950A6B"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2BC976A6" w14:textId="77777777" w:rsidTr="001B330E">
        <w:trPr>
          <w:trHeight w:val="23"/>
        </w:trPr>
        <w:tc>
          <w:tcPr>
            <w:tcW w:w="3193" w:type="pct"/>
            <w:vAlign w:val="bottom"/>
          </w:tcPr>
          <w:p w14:paraId="3A56EEC4" w14:textId="77777777" w:rsidR="00D83E33" w:rsidRPr="0091632A" w:rsidRDefault="00BC4072" w:rsidP="001B330E">
            <w:pPr>
              <w:widowControl w:val="0"/>
              <w:pBdr>
                <w:top w:val="nil"/>
                <w:left w:val="nil"/>
                <w:bottom w:val="nil"/>
                <w:right w:val="nil"/>
                <w:between w:val="nil"/>
              </w:pBdr>
              <w:ind w:left="113" w:hanging="113"/>
              <w:rPr>
                <w:b/>
                <w:smallCaps/>
                <w:color w:val="000000"/>
              </w:rPr>
            </w:pPr>
            <w:r w:rsidRPr="0091632A">
              <w:rPr>
                <w:b/>
                <w:smallCaps/>
                <w:color w:val="000000"/>
              </w:rPr>
              <w:t>LIABILITIES</w:t>
            </w:r>
          </w:p>
        </w:tc>
        <w:tc>
          <w:tcPr>
            <w:tcW w:w="361" w:type="pct"/>
            <w:vAlign w:val="bottom"/>
          </w:tcPr>
          <w:p w14:paraId="34129A4A" w14:textId="77777777" w:rsidR="00D83E33" w:rsidRPr="0091632A" w:rsidRDefault="00D83E33" w:rsidP="001B330E">
            <w:pPr>
              <w:widowControl w:val="0"/>
              <w:pBdr>
                <w:top w:val="nil"/>
                <w:left w:val="nil"/>
                <w:bottom w:val="nil"/>
                <w:right w:val="nil"/>
                <w:between w:val="nil"/>
              </w:pBdr>
              <w:jc w:val="center"/>
              <w:rPr>
                <w:smallCaps/>
                <w:color w:val="000000"/>
              </w:rPr>
            </w:pPr>
          </w:p>
        </w:tc>
        <w:tc>
          <w:tcPr>
            <w:tcW w:w="723" w:type="pct"/>
            <w:vAlign w:val="bottom"/>
          </w:tcPr>
          <w:p w14:paraId="48B5CE7E" w14:textId="77777777" w:rsidR="00D83E33" w:rsidRPr="0091632A" w:rsidRDefault="00D83E33" w:rsidP="001B330E">
            <w:pPr>
              <w:widowControl w:val="0"/>
              <w:pBdr>
                <w:top w:val="nil"/>
                <w:left w:val="nil"/>
                <w:bottom w:val="nil"/>
                <w:right w:val="nil"/>
                <w:between w:val="nil"/>
              </w:pBdr>
              <w:jc w:val="right"/>
              <w:rPr>
                <w:smallCaps/>
                <w:color w:val="000000"/>
              </w:rPr>
            </w:pPr>
          </w:p>
        </w:tc>
        <w:tc>
          <w:tcPr>
            <w:tcW w:w="723" w:type="pct"/>
            <w:vAlign w:val="bottom"/>
          </w:tcPr>
          <w:p w14:paraId="01BF87CD" w14:textId="77777777" w:rsidR="00D83E33" w:rsidRPr="0091632A" w:rsidRDefault="00D83E33" w:rsidP="001B330E">
            <w:pPr>
              <w:widowControl w:val="0"/>
              <w:pBdr>
                <w:top w:val="nil"/>
                <w:left w:val="nil"/>
                <w:bottom w:val="nil"/>
                <w:right w:val="nil"/>
                <w:between w:val="nil"/>
              </w:pBdr>
              <w:jc w:val="right"/>
              <w:rPr>
                <w:smallCaps/>
                <w:color w:val="000000"/>
              </w:rPr>
            </w:pPr>
          </w:p>
        </w:tc>
      </w:tr>
      <w:tr w:rsidR="00D83E33" w:rsidRPr="0091632A" w14:paraId="394EAABE" w14:textId="77777777" w:rsidTr="001B330E">
        <w:trPr>
          <w:trHeight w:val="23"/>
        </w:trPr>
        <w:tc>
          <w:tcPr>
            <w:tcW w:w="3193" w:type="pct"/>
            <w:vAlign w:val="bottom"/>
          </w:tcPr>
          <w:p w14:paraId="6AD99A77"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Due to other banks</w:t>
            </w:r>
          </w:p>
        </w:tc>
        <w:tc>
          <w:tcPr>
            <w:tcW w:w="361" w:type="pct"/>
            <w:vAlign w:val="bottom"/>
          </w:tcPr>
          <w:p w14:paraId="3907C81C"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21</w:t>
            </w:r>
          </w:p>
        </w:tc>
        <w:tc>
          <w:tcPr>
            <w:tcW w:w="723" w:type="pct"/>
            <w:vAlign w:val="bottom"/>
          </w:tcPr>
          <w:p w14:paraId="7A949DD4"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3277CF0B"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0EDC734E" w14:textId="77777777" w:rsidTr="001B330E">
        <w:trPr>
          <w:trHeight w:val="23"/>
        </w:trPr>
        <w:tc>
          <w:tcPr>
            <w:tcW w:w="3193" w:type="pct"/>
            <w:vAlign w:val="bottom"/>
          </w:tcPr>
          <w:p w14:paraId="19F91B62"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Customer accounts</w:t>
            </w:r>
          </w:p>
        </w:tc>
        <w:tc>
          <w:tcPr>
            <w:tcW w:w="361" w:type="pct"/>
            <w:vAlign w:val="bottom"/>
          </w:tcPr>
          <w:p w14:paraId="049C48B6"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22</w:t>
            </w:r>
          </w:p>
        </w:tc>
        <w:tc>
          <w:tcPr>
            <w:tcW w:w="723" w:type="pct"/>
            <w:vAlign w:val="bottom"/>
          </w:tcPr>
          <w:p w14:paraId="7A9E13E1"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1D6D8D8F"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79787CDA" w14:textId="77777777" w:rsidTr="001B330E">
        <w:trPr>
          <w:trHeight w:val="23"/>
        </w:trPr>
        <w:tc>
          <w:tcPr>
            <w:tcW w:w="3193" w:type="pct"/>
            <w:vAlign w:val="bottom"/>
          </w:tcPr>
          <w:p w14:paraId="3A402E55"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 xml:space="preserve">Debt securities in issue </w:t>
            </w:r>
            <w:r w:rsidRPr="0091632A">
              <w:rPr>
                <w:color w:val="0000FF"/>
              </w:rPr>
              <w:t>[Promissory notes issued]</w:t>
            </w:r>
          </w:p>
        </w:tc>
        <w:tc>
          <w:tcPr>
            <w:tcW w:w="361" w:type="pct"/>
            <w:vAlign w:val="bottom"/>
          </w:tcPr>
          <w:p w14:paraId="4B3E5928"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23</w:t>
            </w:r>
          </w:p>
        </w:tc>
        <w:tc>
          <w:tcPr>
            <w:tcW w:w="723" w:type="pct"/>
            <w:vAlign w:val="bottom"/>
          </w:tcPr>
          <w:p w14:paraId="31EF2B0C"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3F534B31"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147596DD" w14:textId="77777777" w:rsidTr="001B330E">
        <w:trPr>
          <w:trHeight w:val="23"/>
        </w:trPr>
        <w:tc>
          <w:tcPr>
            <w:tcW w:w="3193" w:type="pct"/>
            <w:vAlign w:val="bottom"/>
          </w:tcPr>
          <w:p w14:paraId="1E5AA02C"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 xml:space="preserve">Other borrowed funds </w:t>
            </w:r>
          </w:p>
        </w:tc>
        <w:tc>
          <w:tcPr>
            <w:tcW w:w="361" w:type="pct"/>
            <w:vAlign w:val="bottom"/>
          </w:tcPr>
          <w:p w14:paraId="15BF7DE5" w14:textId="77777777" w:rsidR="00D83E33" w:rsidRPr="0091632A" w:rsidRDefault="00000000" w:rsidP="001B330E">
            <w:pPr>
              <w:widowControl w:val="0"/>
              <w:pBdr>
                <w:top w:val="nil"/>
                <w:left w:val="nil"/>
                <w:bottom w:val="nil"/>
                <w:right w:val="nil"/>
                <w:between w:val="nil"/>
              </w:pBdr>
              <w:jc w:val="center"/>
              <w:rPr>
                <w:color w:val="000000"/>
              </w:rPr>
            </w:pPr>
            <w:hyperlink w:anchor="_heading=h.32hioqz">
              <w:r w:rsidR="00BC4072" w:rsidRPr="0091632A">
                <w:rPr>
                  <w:color w:val="000000"/>
                </w:rPr>
                <w:t>24</w:t>
              </w:r>
            </w:hyperlink>
          </w:p>
        </w:tc>
        <w:tc>
          <w:tcPr>
            <w:tcW w:w="723" w:type="pct"/>
            <w:vAlign w:val="bottom"/>
          </w:tcPr>
          <w:p w14:paraId="6E4D7FB9"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2E29CBA0"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641068B2" w14:textId="77777777" w:rsidTr="001B330E">
        <w:trPr>
          <w:trHeight w:val="23"/>
        </w:trPr>
        <w:tc>
          <w:tcPr>
            <w:tcW w:w="3193" w:type="pct"/>
            <w:vAlign w:val="bottom"/>
          </w:tcPr>
          <w:p w14:paraId="7E2958AD" w14:textId="443DE24E"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Lease liabilities</w:t>
            </w:r>
            <w:r w:rsidR="00D129CE" w:rsidRPr="0091632A">
              <w:rPr>
                <w:color w:val="000000"/>
                <w:vertAlign w:val="superscript"/>
              </w:rPr>
              <w:t>2</w:t>
            </w:r>
          </w:p>
        </w:tc>
        <w:tc>
          <w:tcPr>
            <w:tcW w:w="361" w:type="pct"/>
            <w:vAlign w:val="bottom"/>
          </w:tcPr>
          <w:p w14:paraId="133BCE20"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19</w:t>
            </w:r>
          </w:p>
        </w:tc>
        <w:tc>
          <w:tcPr>
            <w:tcW w:w="723" w:type="pct"/>
            <w:vAlign w:val="bottom"/>
          </w:tcPr>
          <w:p w14:paraId="785F5D0A"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7D814A68"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77239FC1" w14:textId="77777777" w:rsidTr="001B330E">
        <w:trPr>
          <w:trHeight w:val="23"/>
        </w:trPr>
        <w:tc>
          <w:tcPr>
            <w:tcW w:w="3193" w:type="pct"/>
            <w:vAlign w:val="bottom"/>
          </w:tcPr>
          <w:p w14:paraId="648D6AAD"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Other financial liabilities</w:t>
            </w:r>
          </w:p>
        </w:tc>
        <w:tc>
          <w:tcPr>
            <w:tcW w:w="361" w:type="pct"/>
            <w:vAlign w:val="bottom"/>
          </w:tcPr>
          <w:p w14:paraId="20424BE9" w14:textId="77777777" w:rsidR="00D83E33" w:rsidRPr="0091632A" w:rsidRDefault="00000000" w:rsidP="001B330E">
            <w:pPr>
              <w:widowControl w:val="0"/>
              <w:pBdr>
                <w:top w:val="nil"/>
                <w:left w:val="nil"/>
                <w:bottom w:val="nil"/>
                <w:right w:val="nil"/>
                <w:between w:val="nil"/>
              </w:pBdr>
              <w:jc w:val="center"/>
              <w:rPr>
                <w:color w:val="000000"/>
              </w:rPr>
            </w:pPr>
            <w:hyperlink w:anchor="_heading=h.vx1227">
              <w:r w:rsidR="00BC4072" w:rsidRPr="0091632A">
                <w:rPr>
                  <w:color w:val="000000"/>
                </w:rPr>
                <w:t>26</w:t>
              </w:r>
            </w:hyperlink>
          </w:p>
        </w:tc>
        <w:tc>
          <w:tcPr>
            <w:tcW w:w="723" w:type="pct"/>
            <w:vAlign w:val="bottom"/>
          </w:tcPr>
          <w:p w14:paraId="2A66F40D"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4AAD585C"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587234D3" w14:textId="77777777" w:rsidTr="001B330E">
        <w:trPr>
          <w:trHeight w:val="23"/>
        </w:trPr>
        <w:tc>
          <w:tcPr>
            <w:tcW w:w="3193" w:type="pct"/>
            <w:vAlign w:val="bottom"/>
          </w:tcPr>
          <w:p w14:paraId="2CB4A341"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Current income tax liability</w:t>
            </w:r>
          </w:p>
        </w:tc>
        <w:tc>
          <w:tcPr>
            <w:tcW w:w="361" w:type="pct"/>
            <w:vAlign w:val="bottom"/>
          </w:tcPr>
          <w:p w14:paraId="28E7BD12" w14:textId="77777777" w:rsidR="00D83E33" w:rsidRPr="0091632A" w:rsidRDefault="00000000" w:rsidP="001B330E">
            <w:pPr>
              <w:widowControl w:val="0"/>
              <w:pBdr>
                <w:top w:val="nil"/>
                <w:left w:val="nil"/>
                <w:bottom w:val="nil"/>
                <w:right w:val="nil"/>
                <w:between w:val="nil"/>
              </w:pBdr>
              <w:jc w:val="center"/>
              <w:rPr>
                <w:color w:val="000000"/>
              </w:rPr>
            </w:pPr>
            <w:hyperlink w:anchor="_heading=h.2lwamvv">
              <w:r w:rsidR="00BC4072" w:rsidRPr="0091632A">
                <w:rPr>
                  <w:color w:val="000000"/>
                </w:rPr>
                <w:t>36</w:t>
              </w:r>
            </w:hyperlink>
          </w:p>
        </w:tc>
        <w:tc>
          <w:tcPr>
            <w:tcW w:w="723" w:type="pct"/>
            <w:vAlign w:val="bottom"/>
          </w:tcPr>
          <w:p w14:paraId="5D4D27D1"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73FD5351"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7C293A47" w14:textId="77777777" w:rsidTr="001B330E">
        <w:trPr>
          <w:trHeight w:val="23"/>
        </w:trPr>
        <w:tc>
          <w:tcPr>
            <w:tcW w:w="3193" w:type="pct"/>
            <w:vAlign w:val="bottom"/>
          </w:tcPr>
          <w:p w14:paraId="306159CC"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Deferred income tax liability</w:t>
            </w:r>
          </w:p>
        </w:tc>
        <w:tc>
          <w:tcPr>
            <w:tcW w:w="361" w:type="pct"/>
            <w:vAlign w:val="bottom"/>
          </w:tcPr>
          <w:p w14:paraId="21BEA41A" w14:textId="77777777" w:rsidR="00D83E33" w:rsidRPr="0091632A" w:rsidRDefault="00000000" w:rsidP="001B330E">
            <w:pPr>
              <w:widowControl w:val="0"/>
              <w:pBdr>
                <w:top w:val="nil"/>
                <w:left w:val="nil"/>
                <w:bottom w:val="nil"/>
                <w:right w:val="nil"/>
                <w:between w:val="nil"/>
              </w:pBdr>
              <w:jc w:val="center"/>
              <w:rPr>
                <w:color w:val="000000"/>
              </w:rPr>
            </w:pPr>
            <w:hyperlink w:anchor="_heading=h.2lwamvv">
              <w:r w:rsidR="00BC4072" w:rsidRPr="0091632A">
                <w:rPr>
                  <w:color w:val="000000"/>
                </w:rPr>
                <w:t>36</w:t>
              </w:r>
            </w:hyperlink>
          </w:p>
        </w:tc>
        <w:tc>
          <w:tcPr>
            <w:tcW w:w="723" w:type="pct"/>
            <w:vAlign w:val="bottom"/>
          </w:tcPr>
          <w:p w14:paraId="29AA4DBE"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057532C4"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7E2D2D7D" w14:textId="77777777" w:rsidTr="001B330E">
        <w:trPr>
          <w:trHeight w:val="23"/>
        </w:trPr>
        <w:tc>
          <w:tcPr>
            <w:tcW w:w="3193" w:type="pct"/>
            <w:vAlign w:val="bottom"/>
          </w:tcPr>
          <w:p w14:paraId="54ADB505"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Provisions for liabilities and charges</w:t>
            </w:r>
          </w:p>
        </w:tc>
        <w:tc>
          <w:tcPr>
            <w:tcW w:w="361" w:type="pct"/>
            <w:vAlign w:val="bottom"/>
          </w:tcPr>
          <w:p w14:paraId="27066B24" w14:textId="77777777" w:rsidR="00D83E33" w:rsidRPr="0091632A" w:rsidRDefault="00000000" w:rsidP="001B330E">
            <w:pPr>
              <w:widowControl w:val="0"/>
              <w:pBdr>
                <w:top w:val="nil"/>
                <w:left w:val="nil"/>
                <w:bottom w:val="nil"/>
                <w:right w:val="nil"/>
                <w:between w:val="nil"/>
              </w:pBdr>
              <w:jc w:val="center"/>
              <w:rPr>
                <w:color w:val="000000"/>
              </w:rPr>
            </w:pPr>
            <w:hyperlink w:anchor="_heading=h.41mghml">
              <w:r w:rsidR="00BC4072" w:rsidRPr="0091632A">
                <w:rPr>
                  <w:color w:val="000000"/>
                </w:rPr>
                <w:t>25</w:t>
              </w:r>
            </w:hyperlink>
          </w:p>
        </w:tc>
        <w:tc>
          <w:tcPr>
            <w:tcW w:w="723" w:type="pct"/>
            <w:vAlign w:val="bottom"/>
          </w:tcPr>
          <w:p w14:paraId="3C491440"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5A9AC2BA"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251153CF" w14:textId="77777777" w:rsidTr="001B330E">
        <w:trPr>
          <w:trHeight w:val="23"/>
        </w:trPr>
        <w:tc>
          <w:tcPr>
            <w:tcW w:w="3193" w:type="pct"/>
            <w:vAlign w:val="bottom"/>
          </w:tcPr>
          <w:p w14:paraId="2636FF09"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Other liabilities</w:t>
            </w:r>
          </w:p>
        </w:tc>
        <w:tc>
          <w:tcPr>
            <w:tcW w:w="361" w:type="pct"/>
            <w:vAlign w:val="bottom"/>
          </w:tcPr>
          <w:p w14:paraId="26E2C208" w14:textId="77777777" w:rsidR="00D83E33" w:rsidRPr="0091632A" w:rsidRDefault="00000000" w:rsidP="001B330E">
            <w:pPr>
              <w:widowControl w:val="0"/>
              <w:pBdr>
                <w:top w:val="nil"/>
                <w:left w:val="nil"/>
                <w:bottom w:val="nil"/>
                <w:right w:val="nil"/>
                <w:between w:val="nil"/>
              </w:pBdr>
              <w:jc w:val="center"/>
              <w:rPr>
                <w:color w:val="000000"/>
              </w:rPr>
            </w:pPr>
            <w:hyperlink w:anchor="_heading=h.1v1yuxt">
              <w:r w:rsidR="00BC4072" w:rsidRPr="0091632A">
                <w:rPr>
                  <w:color w:val="000000"/>
                </w:rPr>
                <w:t>27</w:t>
              </w:r>
            </w:hyperlink>
          </w:p>
        </w:tc>
        <w:tc>
          <w:tcPr>
            <w:tcW w:w="723" w:type="pct"/>
            <w:vAlign w:val="bottom"/>
          </w:tcPr>
          <w:p w14:paraId="643A6480"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2F2E7A29"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19D67A38" w14:textId="77777777" w:rsidTr="001B330E">
        <w:trPr>
          <w:trHeight w:val="23"/>
        </w:trPr>
        <w:tc>
          <w:tcPr>
            <w:tcW w:w="3193" w:type="pct"/>
            <w:vAlign w:val="bottom"/>
          </w:tcPr>
          <w:p w14:paraId="24C8E8AB"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Subordinated debt</w:t>
            </w:r>
          </w:p>
        </w:tc>
        <w:tc>
          <w:tcPr>
            <w:tcW w:w="361" w:type="pct"/>
            <w:vAlign w:val="bottom"/>
          </w:tcPr>
          <w:p w14:paraId="4A92B200" w14:textId="77777777" w:rsidR="00D83E33" w:rsidRPr="0091632A" w:rsidRDefault="00000000" w:rsidP="001B330E">
            <w:pPr>
              <w:widowControl w:val="0"/>
              <w:pBdr>
                <w:top w:val="nil"/>
                <w:left w:val="nil"/>
                <w:bottom w:val="nil"/>
                <w:right w:val="nil"/>
                <w:between w:val="nil"/>
              </w:pBdr>
              <w:jc w:val="center"/>
              <w:rPr>
                <w:color w:val="000000"/>
              </w:rPr>
            </w:pPr>
            <w:hyperlink w:anchor="_heading=h.4f1mdlm">
              <w:r w:rsidR="00BC4072" w:rsidRPr="0091632A">
                <w:rPr>
                  <w:color w:val="000000"/>
                </w:rPr>
                <w:t>28</w:t>
              </w:r>
            </w:hyperlink>
          </w:p>
        </w:tc>
        <w:tc>
          <w:tcPr>
            <w:tcW w:w="723" w:type="pct"/>
            <w:vAlign w:val="bottom"/>
          </w:tcPr>
          <w:p w14:paraId="78C38795"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00355A51"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0F33CA8E" w14:textId="77777777" w:rsidTr="001B330E">
        <w:trPr>
          <w:trHeight w:val="23"/>
        </w:trPr>
        <w:tc>
          <w:tcPr>
            <w:tcW w:w="3193" w:type="pct"/>
            <w:vAlign w:val="bottom"/>
          </w:tcPr>
          <w:p w14:paraId="541B70F0"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 xml:space="preserve">Liabilities directly associated with disposal groups held for sale </w:t>
            </w:r>
          </w:p>
        </w:tc>
        <w:tc>
          <w:tcPr>
            <w:tcW w:w="361" w:type="pct"/>
            <w:vAlign w:val="bottom"/>
          </w:tcPr>
          <w:p w14:paraId="3BC8910B"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20</w:t>
            </w:r>
          </w:p>
        </w:tc>
        <w:tc>
          <w:tcPr>
            <w:tcW w:w="723" w:type="pct"/>
            <w:vAlign w:val="bottom"/>
          </w:tcPr>
          <w:p w14:paraId="18712798"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4808A877"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72C59C57" w14:textId="77777777" w:rsidTr="001B330E">
        <w:trPr>
          <w:trHeight w:val="23"/>
        </w:trPr>
        <w:tc>
          <w:tcPr>
            <w:tcW w:w="3193" w:type="pct"/>
            <w:tcBorders>
              <w:bottom w:val="single" w:sz="4" w:space="0" w:color="000000"/>
            </w:tcBorders>
            <w:vAlign w:val="bottom"/>
          </w:tcPr>
          <w:p w14:paraId="50EE5D96"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 </w:t>
            </w:r>
          </w:p>
        </w:tc>
        <w:tc>
          <w:tcPr>
            <w:tcW w:w="361" w:type="pct"/>
            <w:tcBorders>
              <w:bottom w:val="single" w:sz="4" w:space="0" w:color="000000"/>
            </w:tcBorders>
            <w:vAlign w:val="bottom"/>
          </w:tcPr>
          <w:p w14:paraId="63891F94"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tcBorders>
              <w:bottom w:val="single" w:sz="4" w:space="0" w:color="000000"/>
            </w:tcBorders>
            <w:vAlign w:val="bottom"/>
          </w:tcPr>
          <w:p w14:paraId="1E8D53AC"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tcBorders>
              <w:bottom w:val="single" w:sz="4" w:space="0" w:color="000000"/>
            </w:tcBorders>
            <w:vAlign w:val="bottom"/>
          </w:tcPr>
          <w:p w14:paraId="2ECFBE55"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6D0F6312" w14:textId="77777777" w:rsidTr="001B330E">
        <w:trPr>
          <w:trHeight w:val="23"/>
        </w:trPr>
        <w:tc>
          <w:tcPr>
            <w:tcW w:w="3193" w:type="pct"/>
            <w:vAlign w:val="bottom"/>
          </w:tcPr>
          <w:p w14:paraId="1B45ECD0" w14:textId="77777777" w:rsidR="00D83E33" w:rsidRPr="0091632A" w:rsidRDefault="00BC4072" w:rsidP="001B330E">
            <w:pPr>
              <w:widowControl w:val="0"/>
              <w:pBdr>
                <w:top w:val="nil"/>
                <w:left w:val="nil"/>
                <w:bottom w:val="nil"/>
                <w:right w:val="nil"/>
                <w:between w:val="nil"/>
              </w:pBdr>
              <w:ind w:left="113" w:hanging="113"/>
              <w:rPr>
                <w:b/>
                <w:smallCaps/>
                <w:color w:val="000000"/>
              </w:rPr>
            </w:pPr>
            <w:r w:rsidRPr="0091632A">
              <w:rPr>
                <w:b/>
                <w:smallCaps/>
                <w:color w:val="000000"/>
              </w:rPr>
              <w:t>TOTAL LIABILITIES</w:t>
            </w:r>
          </w:p>
        </w:tc>
        <w:tc>
          <w:tcPr>
            <w:tcW w:w="361" w:type="pct"/>
            <w:vAlign w:val="bottom"/>
          </w:tcPr>
          <w:p w14:paraId="649AB2CA" w14:textId="77777777" w:rsidR="00D83E33" w:rsidRPr="0091632A" w:rsidRDefault="00D83E33" w:rsidP="001B330E">
            <w:pPr>
              <w:widowControl w:val="0"/>
              <w:pBdr>
                <w:top w:val="nil"/>
                <w:left w:val="nil"/>
                <w:bottom w:val="nil"/>
                <w:right w:val="nil"/>
                <w:between w:val="nil"/>
              </w:pBdr>
              <w:jc w:val="center"/>
              <w:rPr>
                <w:b/>
                <w:smallCaps/>
                <w:color w:val="000000"/>
              </w:rPr>
            </w:pPr>
          </w:p>
        </w:tc>
        <w:tc>
          <w:tcPr>
            <w:tcW w:w="723" w:type="pct"/>
            <w:vAlign w:val="bottom"/>
          </w:tcPr>
          <w:p w14:paraId="1DC9D750" w14:textId="77777777" w:rsidR="00D83E33" w:rsidRPr="0091632A" w:rsidRDefault="00D83E33" w:rsidP="001B330E">
            <w:pPr>
              <w:widowControl w:val="0"/>
              <w:pBdr>
                <w:top w:val="nil"/>
                <w:left w:val="nil"/>
                <w:bottom w:val="nil"/>
                <w:right w:val="nil"/>
                <w:between w:val="nil"/>
              </w:pBdr>
              <w:jc w:val="right"/>
              <w:rPr>
                <w:b/>
                <w:smallCaps/>
                <w:color w:val="000000"/>
              </w:rPr>
            </w:pPr>
          </w:p>
        </w:tc>
        <w:tc>
          <w:tcPr>
            <w:tcW w:w="723" w:type="pct"/>
            <w:vAlign w:val="bottom"/>
          </w:tcPr>
          <w:p w14:paraId="6355C910" w14:textId="77777777" w:rsidR="00D83E33" w:rsidRPr="0091632A" w:rsidRDefault="00D83E33" w:rsidP="001B330E">
            <w:pPr>
              <w:widowControl w:val="0"/>
              <w:pBdr>
                <w:top w:val="nil"/>
                <w:left w:val="nil"/>
                <w:bottom w:val="nil"/>
                <w:right w:val="nil"/>
                <w:between w:val="nil"/>
              </w:pBdr>
              <w:jc w:val="right"/>
              <w:rPr>
                <w:b/>
                <w:smallCaps/>
                <w:color w:val="000000"/>
              </w:rPr>
            </w:pPr>
          </w:p>
        </w:tc>
      </w:tr>
      <w:tr w:rsidR="00D83E33" w:rsidRPr="0091632A" w14:paraId="062330A7" w14:textId="77777777" w:rsidTr="001B330E">
        <w:trPr>
          <w:trHeight w:val="23"/>
        </w:trPr>
        <w:tc>
          <w:tcPr>
            <w:tcW w:w="3193" w:type="pct"/>
            <w:tcBorders>
              <w:top w:val="single" w:sz="12" w:space="0" w:color="000000"/>
            </w:tcBorders>
            <w:vAlign w:val="bottom"/>
          </w:tcPr>
          <w:p w14:paraId="6A3527B2" w14:textId="77777777" w:rsidR="00D83E33" w:rsidRPr="0091632A" w:rsidRDefault="00BC4072" w:rsidP="001B330E">
            <w:pPr>
              <w:widowControl w:val="0"/>
              <w:pBdr>
                <w:top w:val="nil"/>
                <w:left w:val="nil"/>
                <w:bottom w:val="nil"/>
                <w:right w:val="nil"/>
                <w:between w:val="nil"/>
              </w:pBdr>
              <w:tabs>
                <w:tab w:val="right" w:pos="8782"/>
              </w:tabs>
              <w:ind w:left="113" w:hanging="113"/>
              <w:rPr>
                <w:b/>
                <w:color w:val="000000"/>
              </w:rPr>
            </w:pPr>
            <w:r w:rsidRPr="0091632A">
              <w:rPr>
                <w:color w:val="000000"/>
              </w:rPr>
              <w:t> </w:t>
            </w:r>
          </w:p>
        </w:tc>
        <w:tc>
          <w:tcPr>
            <w:tcW w:w="361" w:type="pct"/>
            <w:tcBorders>
              <w:top w:val="single" w:sz="12" w:space="0" w:color="000000"/>
            </w:tcBorders>
            <w:vAlign w:val="bottom"/>
          </w:tcPr>
          <w:p w14:paraId="1440C54A" w14:textId="77777777" w:rsidR="00D83E33" w:rsidRPr="0091632A" w:rsidRDefault="00D83E33" w:rsidP="001B330E">
            <w:pPr>
              <w:widowControl w:val="0"/>
              <w:pBdr>
                <w:top w:val="nil"/>
                <w:left w:val="nil"/>
                <w:bottom w:val="nil"/>
                <w:right w:val="nil"/>
                <w:between w:val="nil"/>
              </w:pBdr>
              <w:jc w:val="center"/>
              <w:rPr>
                <w:b/>
                <w:color w:val="000000"/>
              </w:rPr>
            </w:pPr>
          </w:p>
        </w:tc>
        <w:tc>
          <w:tcPr>
            <w:tcW w:w="723" w:type="pct"/>
            <w:tcBorders>
              <w:top w:val="single" w:sz="12" w:space="0" w:color="000000"/>
            </w:tcBorders>
            <w:vAlign w:val="bottom"/>
          </w:tcPr>
          <w:p w14:paraId="13DD5165" w14:textId="77777777" w:rsidR="00D83E33" w:rsidRPr="0091632A" w:rsidRDefault="00D83E33" w:rsidP="001B330E">
            <w:pPr>
              <w:widowControl w:val="0"/>
              <w:pBdr>
                <w:top w:val="nil"/>
                <w:left w:val="nil"/>
                <w:bottom w:val="nil"/>
                <w:right w:val="nil"/>
                <w:between w:val="nil"/>
              </w:pBdr>
              <w:jc w:val="right"/>
              <w:rPr>
                <w:b/>
                <w:color w:val="000000"/>
              </w:rPr>
            </w:pPr>
          </w:p>
        </w:tc>
        <w:tc>
          <w:tcPr>
            <w:tcW w:w="723" w:type="pct"/>
            <w:tcBorders>
              <w:top w:val="single" w:sz="12" w:space="0" w:color="000000"/>
            </w:tcBorders>
            <w:vAlign w:val="bottom"/>
          </w:tcPr>
          <w:p w14:paraId="2C885B4C" w14:textId="77777777" w:rsidR="00D83E33" w:rsidRPr="0091632A" w:rsidRDefault="00D83E33" w:rsidP="001B330E">
            <w:pPr>
              <w:widowControl w:val="0"/>
              <w:pBdr>
                <w:top w:val="nil"/>
                <w:left w:val="nil"/>
                <w:bottom w:val="nil"/>
                <w:right w:val="nil"/>
                <w:between w:val="nil"/>
              </w:pBdr>
              <w:jc w:val="right"/>
              <w:rPr>
                <w:b/>
                <w:color w:val="000000"/>
              </w:rPr>
            </w:pPr>
          </w:p>
        </w:tc>
      </w:tr>
      <w:tr w:rsidR="00D83E33" w:rsidRPr="0091632A" w14:paraId="3525392E" w14:textId="77777777" w:rsidTr="001B330E">
        <w:trPr>
          <w:trHeight w:val="23"/>
        </w:trPr>
        <w:tc>
          <w:tcPr>
            <w:tcW w:w="3193" w:type="pct"/>
            <w:vAlign w:val="bottom"/>
          </w:tcPr>
          <w:p w14:paraId="0F0E396F" w14:textId="77777777" w:rsidR="00D83E33" w:rsidRPr="0091632A" w:rsidRDefault="00BC4072" w:rsidP="001B330E">
            <w:pPr>
              <w:widowControl w:val="0"/>
              <w:pBdr>
                <w:top w:val="nil"/>
                <w:left w:val="nil"/>
                <w:bottom w:val="nil"/>
                <w:right w:val="nil"/>
                <w:between w:val="nil"/>
              </w:pBdr>
              <w:ind w:left="113" w:hanging="113"/>
              <w:rPr>
                <w:b/>
                <w:color w:val="000000"/>
              </w:rPr>
            </w:pPr>
            <w:r w:rsidRPr="0091632A">
              <w:rPr>
                <w:b/>
                <w:color w:val="000000"/>
              </w:rPr>
              <w:t>EQUITY</w:t>
            </w:r>
          </w:p>
        </w:tc>
        <w:tc>
          <w:tcPr>
            <w:tcW w:w="361" w:type="pct"/>
            <w:vAlign w:val="bottom"/>
          </w:tcPr>
          <w:p w14:paraId="2FBE04BB"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vAlign w:val="bottom"/>
          </w:tcPr>
          <w:p w14:paraId="27C8569F" w14:textId="77777777" w:rsidR="00D83E33" w:rsidRPr="0091632A" w:rsidRDefault="00D83E33" w:rsidP="001B330E">
            <w:pPr>
              <w:widowControl w:val="0"/>
              <w:pBdr>
                <w:top w:val="nil"/>
                <w:left w:val="nil"/>
                <w:bottom w:val="nil"/>
                <w:right w:val="nil"/>
                <w:between w:val="nil"/>
              </w:pBdr>
              <w:jc w:val="right"/>
              <w:rPr>
                <w:b/>
                <w:color w:val="000000"/>
              </w:rPr>
            </w:pPr>
          </w:p>
        </w:tc>
        <w:tc>
          <w:tcPr>
            <w:tcW w:w="723" w:type="pct"/>
            <w:vAlign w:val="bottom"/>
          </w:tcPr>
          <w:p w14:paraId="4BAFDFB0" w14:textId="77777777" w:rsidR="00D83E33" w:rsidRPr="0091632A" w:rsidRDefault="00D83E33" w:rsidP="001B330E">
            <w:pPr>
              <w:widowControl w:val="0"/>
              <w:pBdr>
                <w:top w:val="nil"/>
                <w:left w:val="nil"/>
                <w:bottom w:val="nil"/>
                <w:right w:val="nil"/>
                <w:between w:val="nil"/>
              </w:pBdr>
              <w:jc w:val="right"/>
              <w:rPr>
                <w:b/>
                <w:color w:val="000000"/>
              </w:rPr>
            </w:pPr>
          </w:p>
        </w:tc>
      </w:tr>
      <w:tr w:rsidR="00D83E33" w:rsidRPr="0091632A" w14:paraId="1AD33B9F" w14:textId="77777777" w:rsidTr="001B330E">
        <w:trPr>
          <w:trHeight w:val="23"/>
        </w:trPr>
        <w:tc>
          <w:tcPr>
            <w:tcW w:w="3193" w:type="pct"/>
            <w:vAlign w:val="bottom"/>
          </w:tcPr>
          <w:p w14:paraId="700F762B"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Share capital</w:t>
            </w:r>
          </w:p>
        </w:tc>
        <w:tc>
          <w:tcPr>
            <w:tcW w:w="361" w:type="pct"/>
            <w:vAlign w:val="bottom"/>
          </w:tcPr>
          <w:p w14:paraId="1C35555F" w14:textId="77777777" w:rsidR="00D83E33" w:rsidRPr="0091632A" w:rsidRDefault="00000000" w:rsidP="001B330E">
            <w:pPr>
              <w:widowControl w:val="0"/>
              <w:pBdr>
                <w:top w:val="nil"/>
                <w:left w:val="nil"/>
                <w:bottom w:val="nil"/>
                <w:right w:val="nil"/>
                <w:between w:val="nil"/>
              </w:pBdr>
              <w:jc w:val="center"/>
              <w:rPr>
                <w:color w:val="000000"/>
              </w:rPr>
            </w:pPr>
            <w:hyperlink w:anchor="_heading=h.2u6wntf">
              <w:r w:rsidR="00BC4072" w:rsidRPr="0091632A">
                <w:rPr>
                  <w:color w:val="000000"/>
                </w:rPr>
                <w:t>29</w:t>
              </w:r>
            </w:hyperlink>
          </w:p>
        </w:tc>
        <w:tc>
          <w:tcPr>
            <w:tcW w:w="723" w:type="pct"/>
            <w:vAlign w:val="bottom"/>
          </w:tcPr>
          <w:p w14:paraId="4518D9D4"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65697C52"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4A311A16" w14:textId="77777777" w:rsidTr="001B330E">
        <w:trPr>
          <w:trHeight w:val="23"/>
        </w:trPr>
        <w:tc>
          <w:tcPr>
            <w:tcW w:w="3193" w:type="pct"/>
            <w:vAlign w:val="bottom"/>
          </w:tcPr>
          <w:p w14:paraId="34A2F078"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 xml:space="preserve">Retained earnings </w:t>
            </w:r>
            <w:r w:rsidRPr="0091632A">
              <w:rPr>
                <w:color w:val="0000FF"/>
              </w:rPr>
              <w:t>[Accumulated deficit]</w:t>
            </w:r>
          </w:p>
        </w:tc>
        <w:tc>
          <w:tcPr>
            <w:tcW w:w="361" w:type="pct"/>
            <w:vAlign w:val="bottom"/>
          </w:tcPr>
          <w:p w14:paraId="69EFFDCA"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vAlign w:val="bottom"/>
          </w:tcPr>
          <w:p w14:paraId="36E81230"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000E932F"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0A684CC3" w14:textId="77777777" w:rsidTr="001B330E">
        <w:trPr>
          <w:trHeight w:val="23"/>
        </w:trPr>
        <w:tc>
          <w:tcPr>
            <w:tcW w:w="3193" w:type="pct"/>
            <w:vAlign w:val="bottom"/>
          </w:tcPr>
          <w:p w14:paraId="58C297AE"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Other reserves</w:t>
            </w:r>
          </w:p>
        </w:tc>
        <w:tc>
          <w:tcPr>
            <w:tcW w:w="361" w:type="pct"/>
            <w:vAlign w:val="bottom"/>
          </w:tcPr>
          <w:p w14:paraId="3C41E5F2" w14:textId="77777777" w:rsidR="00D83E33" w:rsidRPr="0091632A" w:rsidRDefault="00000000" w:rsidP="001B330E">
            <w:pPr>
              <w:widowControl w:val="0"/>
              <w:pBdr>
                <w:top w:val="nil"/>
                <w:left w:val="nil"/>
                <w:bottom w:val="nil"/>
                <w:right w:val="nil"/>
                <w:between w:val="nil"/>
              </w:pBdr>
              <w:jc w:val="center"/>
              <w:rPr>
                <w:color w:val="000000"/>
              </w:rPr>
            </w:pPr>
            <w:hyperlink w:anchor="_heading=h.3tbugp1">
              <w:r w:rsidR="00BC4072" w:rsidRPr="0091632A">
                <w:rPr>
                  <w:color w:val="000000"/>
                </w:rPr>
                <w:t>31</w:t>
              </w:r>
            </w:hyperlink>
          </w:p>
        </w:tc>
        <w:tc>
          <w:tcPr>
            <w:tcW w:w="723" w:type="pct"/>
            <w:vAlign w:val="bottom"/>
          </w:tcPr>
          <w:p w14:paraId="471F58CB"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189E4275"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6C83B5EE" w14:textId="77777777" w:rsidTr="001B330E">
        <w:trPr>
          <w:trHeight w:val="23"/>
        </w:trPr>
        <w:tc>
          <w:tcPr>
            <w:tcW w:w="3193" w:type="pct"/>
            <w:vAlign w:val="bottom"/>
          </w:tcPr>
          <w:p w14:paraId="5E55888A" w14:textId="77777777" w:rsidR="00D83E33" w:rsidRPr="0091632A" w:rsidRDefault="00BC4072" w:rsidP="001B330E">
            <w:pPr>
              <w:widowControl w:val="0"/>
              <w:pBdr>
                <w:top w:val="nil"/>
                <w:left w:val="nil"/>
                <w:bottom w:val="nil"/>
                <w:right w:val="nil"/>
                <w:between w:val="nil"/>
              </w:pBdr>
              <w:ind w:left="113" w:hanging="113"/>
              <w:rPr>
                <w:color w:val="000000"/>
              </w:rPr>
            </w:pPr>
            <w:r w:rsidRPr="0091632A">
              <w:rPr>
                <w:color w:val="000000"/>
              </w:rPr>
              <w:t> </w:t>
            </w:r>
          </w:p>
        </w:tc>
        <w:tc>
          <w:tcPr>
            <w:tcW w:w="361" w:type="pct"/>
            <w:vAlign w:val="bottom"/>
          </w:tcPr>
          <w:p w14:paraId="1263FCB6"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vAlign w:val="bottom"/>
          </w:tcPr>
          <w:p w14:paraId="20E29F25" w14:textId="77777777" w:rsidR="00D83E33" w:rsidRPr="0091632A" w:rsidRDefault="00D83E33" w:rsidP="001B330E">
            <w:pPr>
              <w:widowControl w:val="0"/>
              <w:pBdr>
                <w:top w:val="nil"/>
                <w:left w:val="nil"/>
                <w:bottom w:val="nil"/>
                <w:right w:val="nil"/>
                <w:between w:val="nil"/>
              </w:pBdr>
              <w:jc w:val="right"/>
              <w:rPr>
                <w:color w:val="000000"/>
              </w:rPr>
            </w:pPr>
          </w:p>
        </w:tc>
        <w:tc>
          <w:tcPr>
            <w:tcW w:w="723" w:type="pct"/>
            <w:vAlign w:val="bottom"/>
          </w:tcPr>
          <w:p w14:paraId="31001DCB" w14:textId="77777777" w:rsidR="00D83E33" w:rsidRPr="0091632A" w:rsidRDefault="00D83E33" w:rsidP="001B330E">
            <w:pPr>
              <w:widowControl w:val="0"/>
              <w:pBdr>
                <w:top w:val="nil"/>
                <w:left w:val="nil"/>
                <w:bottom w:val="nil"/>
                <w:right w:val="nil"/>
                <w:between w:val="nil"/>
              </w:pBdr>
              <w:jc w:val="right"/>
              <w:rPr>
                <w:color w:val="000000"/>
              </w:rPr>
            </w:pPr>
          </w:p>
        </w:tc>
      </w:tr>
      <w:tr w:rsidR="00D83E33" w:rsidRPr="0091632A" w14:paraId="16ECB1EF" w14:textId="77777777" w:rsidTr="001B330E">
        <w:trPr>
          <w:trHeight w:val="23"/>
        </w:trPr>
        <w:tc>
          <w:tcPr>
            <w:tcW w:w="3193" w:type="pct"/>
            <w:tcBorders>
              <w:top w:val="single" w:sz="4" w:space="0" w:color="000000"/>
            </w:tcBorders>
            <w:vAlign w:val="bottom"/>
          </w:tcPr>
          <w:p w14:paraId="13E76CB7" w14:textId="77777777" w:rsidR="00D83E33" w:rsidRPr="0091632A" w:rsidRDefault="00BC4072" w:rsidP="001B330E">
            <w:pPr>
              <w:widowControl w:val="0"/>
              <w:pBdr>
                <w:top w:val="nil"/>
                <w:left w:val="nil"/>
                <w:bottom w:val="nil"/>
                <w:right w:val="nil"/>
                <w:between w:val="nil"/>
              </w:pBdr>
              <w:ind w:left="113" w:hanging="113"/>
              <w:rPr>
                <w:b/>
                <w:color w:val="000000"/>
              </w:rPr>
            </w:pPr>
            <w:r w:rsidRPr="0091632A">
              <w:rPr>
                <w:b/>
                <w:color w:val="000000"/>
              </w:rPr>
              <w:t> </w:t>
            </w:r>
          </w:p>
        </w:tc>
        <w:tc>
          <w:tcPr>
            <w:tcW w:w="361" w:type="pct"/>
            <w:tcBorders>
              <w:top w:val="single" w:sz="4" w:space="0" w:color="000000"/>
            </w:tcBorders>
            <w:vAlign w:val="bottom"/>
          </w:tcPr>
          <w:p w14:paraId="304268B2"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tcBorders>
              <w:top w:val="single" w:sz="4" w:space="0" w:color="000000"/>
            </w:tcBorders>
            <w:vAlign w:val="bottom"/>
          </w:tcPr>
          <w:p w14:paraId="7EB741B0" w14:textId="77777777" w:rsidR="00D83E33" w:rsidRPr="0091632A" w:rsidRDefault="00D83E33" w:rsidP="001B330E">
            <w:pPr>
              <w:widowControl w:val="0"/>
              <w:pBdr>
                <w:top w:val="nil"/>
                <w:left w:val="nil"/>
                <w:bottom w:val="nil"/>
                <w:right w:val="nil"/>
                <w:between w:val="nil"/>
              </w:pBdr>
              <w:jc w:val="right"/>
              <w:rPr>
                <w:b/>
                <w:color w:val="000000"/>
              </w:rPr>
            </w:pPr>
          </w:p>
        </w:tc>
        <w:tc>
          <w:tcPr>
            <w:tcW w:w="723" w:type="pct"/>
            <w:tcBorders>
              <w:top w:val="single" w:sz="4" w:space="0" w:color="000000"/>
            </w:tcBorders>
            <w:vAlign w:val="bottom"/>
          </w:tcPr>
          <w:p w14:paraId="575FF2A6" w14:textId="77777777" w:rsidR="00D83E33" w:rsidRPr="0091632A" w:rsidRDefault="00D83E33" w:rsidP="001B330E">
            <w:pPr>
              <w:widowControl w:val="0"/>
              <w:pBdr>
                <w:top w:val="nil"/>
                <w:left w:val="nil"/>
                <w:bottom w:val="nil"/>
                <w:right w:val="nil"/>
                <w:between w:val="nil"/>
              </w:pBdr>
              <w:jc w:val="right"/>
              <w:rPr>
                <w:b/>
                <w:color w:val="000000"/>
              </w:rPr>
            </w:pPr>
          </w:p>
        </w:tc>
      </w:tr>
      <w:tr w:rsidR="00D83E33" w:rsidRPr="0091632A" w14:paraId="5EA12E0B" w14:textId="77777777" w:rsidTr="001B330E">
        <w:trPr>
          <w:trHeight w:val="23"/>
        </w:trPr>
        <w:tc>
          <w:tcPr>
            <w:tcW w:w="3193" w:type="pct"/>
            <w:vAlign w:val="bottom"/>
          </w:tcPr>
          <w:p w14:paraId="1172D952" w14:textId="77777777" w:rsidR="00D83E33" w:rsidRPr="0091632A" w:rsidRDefault="00BC4072" w:rsidP="001B330E">
            <w:pPr>
              <w:widowControl w:val="0"/>
              <w:pBdr>
                <w:top w:val="nil"/>
                <w:left w:val="nil"/>
                <w:bottom w:val="nil"/>
                <w:right w:val="nil"/>
                <w:between w:val="nil"/>
              </w:pBdr>
              <w:ind w:left="113" w:hanging="113"/>
              <w:rPr>
                <w:b/>
                <w:color w:val="000000"/>
              </w:rPr>
            </w:pPr>
            <w:r w:rsidRPr="0091632A">
              <w:rPr>
                <w:b/>
                <w:color w:val="000000"/>
              </w:rPr>
              <w:t>Net assets attributable to the Bank’s owners</w:t>
            </w:r>
          </w:p>
        </w:tc>
        <w:tc>
          <w:tcPr>
            <w:tcW w:w="361" w:type="pct"/>
            <w:vAlign w:val="bottom"/>
          </w:tcPr>
          <w:p w14:paraId="7E07DACE" w14:textId="77777777" w:rsidR="00D83E33" w:rsidRPr="0091632A" w:rsidRDefault="00D83E33" w:rsidP="001B330E">
            <w:pPr>
              <w:widowControl w:val="0"/>
              <w:pBdr>
                <w:top w:val="nil"/>
                <w:left w:val="nil"/>
                <w:bottom w:val="nil"/>
                <w:right w:val="nil"/>
                <w:between w:val="nil"/>
              </w:pBdr>
              <w:jc w:val="center"/>
              <w:rPr>
                <w:color w:val="000000"/>
              </w:rPr>
            </w:pPr>
          </w:p>
        </w:tc>
        <w:tc>
          <w:tcPr>
            <w:tcW w:w="723" w:type="pct"/>
            <w:vAlign w:val="bottom"/>
          </w:tcPr>
          <w:p w14:paraId="0E61FDA3" w14:textId="77777777" w:rsidR="00D83E33" w:rsidRPr="0091632A" w:rsidRDefault="00D83E33" w:rsidP="001B330E">
            <w:pPr>
              <w:widowControl w:val="0"/>
              <w:pBdr>
                <w:top w:val="nil"/>
                <w:left w:val="nil"/>
                <w:bottom w:val="nil"/>
                <w:right w:val="nil"/>
                <w:between w:val="nil"/>
              </w:pBdr>
              <w:jc w:val="right"/>
              <w:rPr>
                <w:b/>
                <w:color w:val="000000"/>
              </w:rPr>
            </w:pPr>
          </w:p>
        </w:tc>
        <w:tc>
          <w:tcPr>
            <w:tcW w:w="723" w:type="pct"/>
            <w:vAlign w:val="bottom"/>
          </w:tcPr>
          <w:p w14:paraId="604BFFCC" w14:textId="77777777" w:rsidR="00D83E33" w:rsidRPr="0091632A" w:rsidRDefault="00D83E33" w:rsidP="001B330E">
            <w:pPr>
              <w:widowControl w:val="0"/>
              <w:pBdr>
                <w:top w:val="nil"/>
                <w:left w:val="nil"/>
                <w:bottom w:val="nil"/>
                <w:right w:val="nil"/>
                <w:between w:val="nil"/>
              </w:pBdr>
              <w:jc w:val="right"/>
              <w:rPr>
                <w:b/>
                <w:color w:val="000000"/>
              </w:rPr>
            </w:pPr>
          </w:p>
        </w:tc>
      </w:tr>
      <w:tr w:rsidR="00D83E33" w:rsidRPr="0091632A" w14:paraId="7961B624" w14:textId="77777777" w:rsidTr="001B330E">
        <w:trPr>
          <w:trHeight w:val="23"/>
        </w:trPr>
        <w:tc>
          <w:tcPr>
            <w:tcW w:w="3193" w:type="pct"/>
            <w:vAlign w:val="bottom"/>
          </w:tcPr>
          <w:p w14:paraId="68703C47" w14:textId="77777777" w:rsidR="00D83E33" w:rsidRPr="0091632A" w:rsidRDefault="00BC4072" w:rsidP="001B330E">
            <w:pPr>
              <w:widowControl w:val="0"/>
              <w:pBdr>
                <w:top w:val="nil"/>
                <w:left w:val="nil"/>
                <w:bottom w:val="nil"/>
                <w:right w:val="nil"/>
                <w:between w:val="nil"/>
              </w:pBdr>
              <w:ind w:left="113" w:hanging="113"/>
              <w:rPr>
                <w:b/>
                <w:color w:val="000000"/>
              </w:rPr>
            </w:pPr>
            <w:r w:rsidRPr="0091632A">
              <w:rPr>
                <w:b/>
                <w:color w:val="000000"/>
              </w:rPr>
              <w:t>Non-controlling interest</w:t>
            </w:r>
          </w:p>
        </w:tc>
        <w:tc>
          <w:tcPr>
            <w:tcW w:w="361" w:type="pct"/>
            <w:vAlign w:val="bottom"/>
          </w:tcPr>
          <w:p w14:paraId="34C5594B" w14:textId="77777777" w:rsidR="00D83E33" w:rsidRPr="0091632A" w:rsidRDefault="00BC4072" w:rsidP="001B330E">
            <w:pPr>
              <w:widowControl w:val="0"/>
              <w:pBdr>
                <w:top w:val="nil"/>
                <w:left w:val="nil"/>
                <w:bottom w:val="nil"/>
                <w:right w:val="nil"/>
                <w:between w:val="nil"/>
              </w:pBdr>
              <w:jc w:val="center"/>
              <w:rPr>
                <w:color w:val="000000"/>
              </w:rPr>
            </w:pPr>
            <w:r w:rsidRPr="0091632A">
              <w:rPr>
                <w:color w:val="000000"/>
              </w:rPr>
              <w:t>45</w:t>
            </w:r>
          </w:p>
        </w:tc>
        <w:tc>
          <w:tcPr>
            <w:tcW w:w="723" w:type="pct"/>
            <w:vAlign w:val="bottom"/>
          </w:tcPr>
          <w:p w14:paraId="11FF627F" w14:textId="77777777" w:rsidR="00D83E33" w:rsidRPr="0091632A" w:rsidRDefault="00D83E33" w:rsidP="001B330E">
            <w:pPr>
              <w:widowControl w:val="0"/>
              <w:pBdr>
                <w:top w:val="nil"/>
                <w:left w:val="nil"/>
                <w:bottom w:val="nil"/>
                <w:right w:val="nil"/>
                <w:between w:val="nil"/>
              </w:pBdr>
              <w:jc w:val="right"/>
              <w:rPr>
                <w:b/>
                <w:color w:val="000000"/>
              </w:rPr>
            </w:pPr>
          </w:p>
        </w:tc>
        <w:tc>
          <w:tcPr>
            <w:tcW w:w="723" w:type="pct"/>
            <w:vAlign w:val="bottom"/>
          </w:tcPr>
          <w:p w14:paraId="0D726A39" w14:textId="77777777" w:rsidR="00D83E33" w:rsidRPr="0091632A" w:rsidRDefault="00D83E33" w:rsidP="001B330E">
            <w:pPr>
              <w:widowControl w:val="0"/>
              <w:pBdr>
                <w:top w:val="nil"/>
                <w:left w:val="nil"/>
                <w:bottom w:val="nil"/>
                <w:right w:val="nil"/>
                <w:between w:val="nil"/>
              </w:pBdr>
              <w:jc w:val="right"/>
              <w:rPr>
                <w:b/>
                <w:color w:val="000000"/>
              </w:rPr>
            </w:pPr>
          </w:p>
        </w:tc>
      </w:tr>
      <w:tr w:rsidR="00D83E33" w:rsidRPr="0091632A" w14:paraId="2F685F21" w14:textId="77777777" w:rsidTr="006B0E39">
        <w:trPr>
          <w:trHeight w:val="23"/>
        </w:trPr>
        <w:tc>
          <w:tcPr>
            <w:tcW w:w="3193" w:type="pct"/>
            <w:tcBorders>
              <w:bottom w:val="single" w:sz="4" w:space="0" w:color="auto"/>
            </w:tcBorders>
            <w:vAlign w:val="bottom"/>
          </w:tcPr>
          <w:p w14:paraId="34956E14" w14:textId="77777777" w:rsidR="00D83E33" w:rsidRPr="0091632A" w:rsidRDefault="00BC4072" w:rsidP="001B330E">
            <w:pPr>
              <w:widowControl w:val="0"/>
              <w:ind w:left="113" w:hanging="113"/>
            </w:pPr>
            <w:r w:rsidRPr="0091632A">
              <w:t> </w:t>
            </w:r>
          </w:p>
        </w:tc>
        <w:tc>
          <w:tcPr>
            <w:tcW w:w="361" w:type="pct"/>
            <w:tcBorders>
              <w:bottom w:val="single" w:sz="4" w:space="0" w:color="auto"/>
            </w:tcBorders>
            <w:vAlign w:val="bottom"/>
          </w:tcPr>
          <w:p w14:paraId="63ACB76D" w14:textId="77777777" w:rsidR="00D83E33" w:rsidRPr="0091632A" w:rsidRDefault="00D83E33" w:rsidP="001B330E">
            <w:pPr>
              <w:widowControl w:val="0"/>
              <w:pBdr>
                <w:top w:val="nil"/>
                <w:left w:val="nil"/>
                <w:bottom w:val="nil"/>
                <w:right w:val="nil"/>
                <w:between w:val="nil"/>
              </w:pBdr>
              <w:jc w:val="center"/>
              <w:rPr>
                <w:b/>
                <w:color w:val="000000"/>
              </w:rPr>
            </w:pPr>
          </w:p>
        </w:tc>
        <w:tc>
          <w:tcPr>
            <w:tcW w:w="723" w:type="pct"/>
            <w:tcBorders>
              <w:bottom w:val="single" w:sz="4" w:space="0" w:color="auto"/>
            </w:tcBorders>
            <w:vAlign w:val="bottom"/>
          </w:tcPr>
          <w:p w14:paraId="7405B958" w14:textId="77777777" w:rsidR="00D83E33" w:rsidRPr="0091632A" w:rsidRDefault="00D83E33" w:rsidP="001B330E">
            <w:pPr>
              <w:widowControl w:val="0"/>
              <w:pBdr>
                <w:top w:val="nil"/>
                <w:left w:val="nil"/>
                <w:bottom w:val="nil"/>
                <w:right w:val="nil"/>
                <w:between w:val="nil"/>
              </w:pBdr>
              <w:jc w:val="right"/>
              <w:rPr>
                <w:b/>
                <w:color w:val="000000"/>
              </w:rPr>
            </w:pPr>
          </w:p>
        </w:tc>
        <w:tc>
          <w:tcPr>
            <w:tcW w:w="723" w:type="pct"/>
            <w:tcBorders>
              <w:bottom w:val="single" w:sz="4" w:space="0" w:color="auto"/>
            </w:tcBorders>
            <w:vAlign w:val="bottom"/>
          </w:tcPr>
          <w:p w14:paraId="1AA462A0" w14:textId="77777777" w:rsidR="00D83E33" w:rsidRPr="0091632A" w:rsidRDefault="00D83E33" w:rsidP="001B330E">
            <w:pPr>
              <w:widowControl w:val="0"/>
              <w:pBdr>
                <w:top w:val="nil"/>
                <w:left w:val="nil"/>
                <w:bottom w:val="nil"/>
                <w:right w:val="nil"/>
                <w:between w:val="nil"/>
              </w:pBdr>
              <w:jc w:val="right"/>
              <w:rPr>
                <w:b/>
                <w:color w:val="000000"/>
              </w:rPr>
            </w:pPr>
          </w:p>
        </w:tc>
      </w:tr>
      <w:tr w:rsidR="00D83E33" w:rsidRPr="0091632A" w14:paraId="6BAD4935" w14:textId="77777777" w:rsidTr="006B0E39">
        <w:trPr>
          <w:trHeight w:val="23"/>
        </w:trPr>
        <w:tc>
          <w:tcPr>
            <w:tcW w:w="3193" w:type="pct"/>
            <w:tcBorders>
              <w:top w:val="single" w:sz="4" w:space="0" w:color="auto"/>
              <w:bottom w:val="single" w:sz="12" w:space="0" w:color="auto"/>
            </w:tcBorders>
            <w:vAlign w:val="bottom"/>
          </w:tcPr>
          <w:p w14:paraId="69A4EDC9" w14:textId="77777777" w:rsidR="00D83E33" w:rsidRPr="0091632A" w:rsidRDefault="00BC4072" w:rsidP="001B330E">
            <w:pPr>
              <w:widowControl w:val="0"/>
              <w:pBdr>
                <w:top w:val="nil"/>
                <w:left w:val="nil"/>
                <w:bottom w:val="nil"/>
                <w:right w:val="nil"/>
                <w:between w:val="nil"/>
              </w:pBdr>
              <w:ind w:left="113" w:hanging="113"/>
              <w:rPr>
                <w:b/>
                <w:smallCaps/>
                <w:color w:val="000000"/>
              </w:rPr>
            </w:pPr>
            <w:r w:rsidRPr="0091632A">
              <w:rPr>
                <w:b/>
                <w:smallCaps/>
                <w:color w:val="000000"/>
              </w:rPr>
              <w:t>TOTAL EQUITY</w:t>
            </w:r>
          </w:p>
        </w:tc>
        <w:tc>
          <w:tcPr>
            <w:tcW w:w="361" w:type="pct"/>
            <w:tcBorders>
              <w:top w:val="single" w:sz="4" w:space="0" w:color="auto"/>
              <w:bottom w:val="single" w:sz="12" w:space="0" w:color="auto"/>
            </w:tcBorders>
            <w:vAlign w:val="bottom"/>
          </w:tcPr>
          <w:p w14:paraId="77432530" w14:textId="77777777" w:rsidR="00D83E33" w:rsidRPr="0091632A" w:rsidRDefault="00D83E33" w:rsidP="001B330E">
            <w:pPr>
              <w:widowControl w:val="0"/>
              <w:pBdr>
                <w:top w:val="nil"/>
                <w:left w:val="nil"/>
                <w:bottom w:val="nil"/>
                <w:right w:val="nil"/>
                <w:between w:val="nil"/>
              </w:pBdr>
              <w:jc w:val="center"/>
              <w:rPr>
                <w:b/>
                <w:smallCaps/>
                <w:color w:val="000000"/>
              </w:rPr>
            </w:pPr>
          </w:p>
        </w:tc>
        <w:tc>
          <w:tcPr>
            <w:tcW w:w="723" w:type="pct"/>
            <w:tcBorders>
              <w:top w:val="single" w:sz="4" w:space="0" w:color="auto"/>
              <w:bottom w:val="single" w:sz="12" w:space="0" w:color="auto"/>
            </w:tcBorders>
            <w:vAlign w:val="bottom"/>
          </w:tcPr>
          <w:p w14:paraId="65F6953A" w14:textId="77777777" w:rsidR="00D83E33" w:rsidRPr="0091632A" w:rsidRDefault="00D83E33" w:rsidP="001B330E">
            <w:pPr>
              <w:widowControl w:val="0"/>
              <w:pBdr>
                <w:top w:val="nil"/>
                <w:left w:val="nil"/>
                <w:bottom w:val="nil"/>
                <w:right w:val="nil"/>
                <w:between w:val="nil"/>
              </w:pBdr>
              <w:jc w:val="right"/>
              <w:rPr>
                <w:b/>
                <w:smallCaps/>
                <w:color w:val="000000"/>
              </w:rPr>
            </w:pPr>
          </w:p>
        </w:tc>
        <w:tc>
          <w:tcPr>
            <w:tcW w:w="723" w:type="pct"/>
            <w:tcBorders>
              <w:top w:val="single" w:sz="4" w:space="0" w:color="auto"/>
              <w:bottom w:val="single" w:sz="12" w:space="0" w:color="auto"/>
            </w:tcBorders>
            <w:vAlign w:val="bottom"/>
          </w:tcPr>
          <w:p w14:paraId="3FC7B666" w14:textId="77777777" w:rsidR="00D83E33" w:rsidRPr="0091632A" w:rsidRDefault="00D83E33" w:rsidP="001B330E">
            <w:pPr>
              <w:widowControl w:val="0"/>
              <w:pBdr>
                <w:top w:val="nil"/>
                <w:left w:val="nil"/>
                <w:bottom w:val="nil"/>
                <w:right w:val="nil"/>
                <w:between w:val="nil"/>
              </w:pBdr>
              <w:jc w:val="right"/>
              <w:rPr>
                <w:b/>
                <w:smallCaps/>
                <w:color w:val="000000"/>
              </w:rPr>
            </w:pPr>
          </w:p>
        </w:tc>
      </w:tr>
      <w:tr w:rsidR="00D83E33" w:rsidRPr="0091632A" w14:paraId="4AB5DF44" w14:textId="77777777" w:rsidTr="006B0E39">
        <w:trPr>
          <w:trHeight w:val="23"/>
        </w:trPr>
        <w:tc>
          <w:tcPr>
            <w:tcW w:w="3193" w:type="pct"/>
            <w:tcBorders>
              <w:top w:val="single" w:sz="12" w:space="0" w:color="auto"/>
              <w:bottom w:val="single" w:sz="4" w:space="0" w:color="auto"/>
            </w:tcBorders>
            <w:vAlign w:val="bottom"/>
          </w:tcPr>
          <w:p w14:paraId="7DA73115" w14:textId="77777777" w:rsidR="00D83E33" w:rsidRPr="0091632A" w:rsidRDefault="00BC4072" w:rsidP="001B330E">
            <w:pPr>
              <w:widowControl w:val="0"/>
              <w:pBdr>
                <w:top w:val="nil"/>
                <w:left w:val="nil"/>
                <w:bottom w:val="nil"/>
                <w:right w:val="nil"/>
                <w:between w:val="nil"/>
              </w:pBdr>
              <w:tabs>
                <w:tab w:val="right" w:pos="8782"/>
              </w:tabs>
              <w:ind w:left="113" w:hanging="113"/>
              <w:rPr>
                <w:b/>
                <w:color w:val="000000"/>
              </w:rPr>
            </w:pPr>
            <w:r w:rsidRPr="0091632A">
              <w:rPr>
                <w:color w:val="000000"/>
              </w:rPr>
              <w:t> </w:t>
            </w:r>
          </w:p>
        </w:tc>
        <w:tc>
          <w:tcPr>
            <w:tcW w:w="361" w:type="pct"/>
            <w:tcBorders>
              <w:top w:val="single" w:sz="12" w:space="0" w:color="auto"/>
              <w:bottom w:val="single" w:sz="4" w:space="0" w:color="auto"/>
            </w:tcBorders>
            <w:vAlign w:val="bottom"/>
          </w:tcPr>
          <w:p w14:paraId="1212FA07" w14:textId="77777777" w:rsidR="00D83E33" w:rsidRPr="0091632A" w:rsidRDefault="00D83E33" w:rsidP="001B330E">
            <w:pPr>
              <w:widowControl w:val="0"/>
              <w:pBdr>
                <w:top w:val="nil"/>
                <w:left w:val="nil"/>
                <w:bottom w:val="nil"/>
                <w:right w:val="nil"/>
                <w:between w:val="nil"/>
              </w:pBdr>
              <w:jc w:val="center"/>
              <w:rPr>
                <w:b/>
                <w:color w:val="000000"/>
              </w:rPr>
            </w:pPr>
          </w:p>
        </w:tc>
        <w:tc>
          <w:tcPr>
            <w:tcW w:w="723" w:type="pct"/>
            <w:tcBorders>
              <w:top w:val="single" w:sz="12" w:space="0" w:color="auto"/>
              <w:bottom w:val="single" w:sz="4" w:space="0" w:color="auto"/>
            </w:tcBorders>
            <w:vAlign w:val="bottom"/>
          </w:tcPr>
          <w:p w14:paraId="7D0E9AB5" w14:textId="77777777" w:rsidR="00D83E33" w:rsidRPr="0091632A" w:rsidRDefault="00D83E33" w:rsidP="001B330E">
            <w:pPr>
              <w:widowControl w:val="0"/>
              <w:pBdr>
                <w:top w:val="nil"/>
                <w:left w:val="nil"/>
                <w:bottom w:val="nil"/>
                <w:right w:val="nil"/>
                <w:between w:val="nil"/>
              </w:pBdr>
              <w:jc w:val="right"/>
              <w:rPr>
                <w:b/>
                <w:color w:val="000000"/>
              </w:rPr>
            </w:pPr>
          </w:p>
        </w:tc>
        <w:tc>
          <w:tcPr>
            <w:tcW w:w="723" w:type="pct"/>
            <w:tcBorders>
              <w:top w:val="single" w:sz="12" w:space="0" w:color="auto"/>
              <w:bottom w:val="single" w:sz="4" w:space="0" w:color="auto"/>
            </w:tcBorders>
            <w:vAlign w:val="bottom"/>
          </w:tcPr>
          <w:p w14:paraId="34520C7D" w14:textId="77777777" w:rsidR="00D83E33" w:rsidRPr="0091632A" w:rsidRDefault="00D83E33" w:rsidP="001B330E">
            <w:pPr>
              <w:widowControl w:val="0"/>
              <w:pBdr>
                <w:top w:val="nil"/>
                <w:left w:val="nil"/>
                <w:bottom w:val="nil"/>
                <w:right w:val="nil"/>
                <w:between w:val="nil"/>
              </w:pBdr>
              <w:jc w:val="right"/>
              <w:rPr>
                <w:b/>
                <w:color w:val="000000"/>
              </w:rPr>
            </w:pPr>
          </w:p>
        </w:tc>
      </w:tr>
      <w:tr w:rsidR="00D83E33" w:rsidRPr="0091632A" w14:paraId="7E9893B5" w14:textId="77777777" w:rsidTr="006B0E39">
        <w:trPr>
          <w:trHeight w:val="23"/>
        </w:trPr>
        <w:tc>
          <w:tcPr>
            <w:tcW w:w="3193" w:type="pct"/>
            <w:tcBorders>
              <w:top w:val="single" w:sz="4" w:space="0" w:color="auto"/>
              <w:bottom w:val="single" w:sz="12" w:space="0" w:color="auto"/>
            </w:tcBorders>
            <w:vAlign w:val="bottom"/>
          </w:tcPr>
          <w:p w14:paraId="3E4314F6" w14:textId="77777777" w:rsidR="00D83E33" w:rsidRPr="0091632A" w:rsidRDefault="00BC4072" w:rsidP="001B330E">
            <w:pPr>
              <w:widowControl w:val="0"/>
              <w:pBdr>
                <w:top w:val="nil"/>
                <w:left w:val="nil"/>
                <w:bottom w:val="nil"/>
                <w:right w:val="nil"/>
                <w:between w:val="nil"/>
              </w:pBdr>
              <w:ind w:left="113" w:hanging="113"/>
              <w:rPr>
                <w:b/>
                <w:smallCaps/>
                <w:color w:val="000000"/>
              </w:rPr>
            </w:pPr>
            <w:r w:rsidRPr="0091632A">
              <w:rPr>
                <w:b/>
                <w:smallCaps/>
                <w:color w:val="000000"/>
              </w:rPr>
              <w:t>TOTAL LIABILITIES AND EQUITY</w:t>
            </w:r>
          </w:p>
        </w:tc>
        <w:tc>
          <w:tcPr>
            <w:tcW w:w="361" w:type="pct"/>
            <w:tcBorders>
              <w:top w:val="single" w:sz="4" w:space="0" w:color="auto"/>
              <w:bottom w:val="single" w:sz="12" w:space="0" w:color="auto"/>
            </w:tcBorders>
            <w:vAlign w:val="bottom"/>
          </w:tcPr>
          <w:p w14:paraId="2E87F25E" w14:textId="77777777" w:rsidR="00D83E33" w:rsidRPr="0091632A" w:rsidRDefault="00D83E33" w:rsidP="001B330E">
            <w:pPr>
              <w:widowControl w:val="0"/>
              <w:pBdr>
                <w:top w:val="nil"/>
                <w:left w:val="nil"/>
                <w:bottom w:val="nil"/>
                <w:right w:val="nil"/>
                <w:between w:val="nil"/>
              </w:pBdr>
              <w:jc w:val="center"/>
              <w:rPr>
                <w:b/>
                <w:smallCaps/>
                <w:color w:val="000000"/>
              </w:rPr>
            </w:pPr>
          </w:p>
        </w:tc>
        <w:tc>
          <w:tcPr>
            <w:tcW w:w="723" w:type="pct"/>
            <w:tcBorders>
              <w:top w:val="single" w:sz="4" w:space="0" w:color="auto"/>
              <w:bottom w:val="single" w:sz="12" w:space="0" w:color="auto"/>
            </w:tcBorders>
            <w:vAlign w:val="bottom"/>
          </w:tcPr>
          <w:p w14:paraId="3069C130" w14:textId="77777777" w:rsidR="00D83E33" w:rsidRPr="0091632A" w:rsidRDefault="00D83E33" w:rsidP="001B330E">
            <w:pPr>
              <w:widowControl w:val="0"/>
              <w:pBdr>
                <w:top w:val="nil"/>
                <w:left w:val="nil"/>
                <w:bottom w:val="nil"/>
                <w:right w:val="nil"/>
                <w:between w:val="nil"/>
              </w:pBdr>
              <w:jc w:val="right"/>
              <w:rPr>
                <w:b/>
                <w:smallCaps/>
                <w:color w:val="000000"/>
              </w:rPr>
            </w:pPr>
          </w:p>
        </w:tc>
        <w:tc>
          <w:tcPr>
            <w:tcW w:w="723" w:type="pct"/>
            <w:tcBorders>
              <w:top w:val="single" w:sz="4" w:space="0" w:color="auto"/>
              <w:bottom w:val="single" w:sz="12" w:space="0" w:color="auto"/>
            </w:tcBorders>
            <w:vAlign w:val="bottom"/>
          </w:tcPr>
          <w:p w14:paraId="64251B63" w14:textId="77777777" w:rsidR="00D83E33" w:rsidRPr="0091632A" w:rsidRDefault="00D83E33" w:rsidP="001B330E">
            <w:pPr>
              <w:widowControl w:val="0"/>
              <w:pBdr>
                <w:top w:val="nil"/>
                <w:left w:val="nil"/>
                <w:bottom w:val="nil"/>
                <w:right w:val="nil"/>
                <w:between w:val="nil"/>
              </w:pBdr>
              <w:jc w:val="right"/>
              <w:rPr>
                <w:b/>
                <w:smallCaps/>
                <w:color w:val="000000"/>
              </w:rPr>
            </w:pPr>
          </w:p>
        </w:tc>
      </w:tr>
    </w:tbl>
    <w:p w14:paraId="3F96A1BF" w14:textId="4B10C9AD" w:rsidR="00F82C6A" w:rsidRDefault="00BC4072">
      <w:pPr>
        <w:widowControl w:val="0"/>
        <w:spacing w:before="200" w:after="200"/>
        <w:rPr>
          <w:sz w:val="20"/>
          <w:szCs w:val="20"/>
        </w:rPr>
      </w:pPr>
      <w:r>
        <w:rPr>
          <w:sz w:val="20"/>
          <w:szCs w:val="20"/>
        </w:rPr>
        <w:t xml:space="preserve">Approved for issue and signed </w:t>
      </w:r>
      <w:r>
        <w:rPr>
          <w:color w:val="0000FF"/>
          <w:sz w:val="20"/>
          <w:szCs w:val="20"/>
        </w:rPr>
        <w:t>[on behalf of Management Board]</w:t>
      </w:r>
      <w:r>
        <w:rPr>
          <w:sz w:val="20"/>
          <w:szCs w:val="20"/>
        </w:rPr>
        <w:t xml:space="preserve"> on __________ 202</w:t>
      </w:r>
      <w:r w:rsidR="002651C7">
        <w:rPr>
          <w:sz w:val="20"/>
          <w:szCs w:val="20"/>
        </w:rPr>
        <w:t>5</w:t>
      </w:r>
      <w:r>
        <w:rPr>
          <w:sz w:val="20"/>
          <w:szCs w:val="20"/>
        </w:rPr>
        <w:t>.</w:t>
      </w:r>
      <w:r>
        <w:rPr>
          <w:sz w:val="20"/>
          <w:szCs w:val="20"/>
        </w:rPr>
        <w:tab/>
      </w:r>
    </w:p>
    <w:p w14:paraId="65522CD7" w14:textId="1C8F149E" w:rsidR="006B0E39" w:rsidRDefault="00BC4072">
      <w:pPr>
        <w:widowControl w:val="0"/>
        <w:tabs>
          <w:tab w:val="left" w:pos="4253"/>
        </w:tabs>
        <w:rPr>
          <w:sz w:val="20"/>
          <w:szCs w:val="20"/>
        </w:rPr>
      </w:pPr>
      <w:r>
        <w:rPr>
          <w:sz w:val="20"/>
          <w:szCs w:val="20"/>
        </w:rPr>
        <w:t>______________________________</w:t>
      </w:r>
      <w:r>
        <w:rPr>
          <w:sz w:val="20"/>
          <w:szCs w:val="20"/>
        </w:rPr>
        <w:tab/>
        <w:t>______________________________</w:t>
      </w:r>
    </w:p>
    <w:p w14:paraId="46E46599" w14:textId="77777777" w:rsidR="00D83E33" w:rsidRDefault="00BC4072">
      <w:pPr>
        <w:widowControl w:val="0"/>
        <w:tabs>
          <w:tab w:val="left" w:pos="4253"/>
        </w:tabs>
        <w:rPr>
          <w:sz w:val="20"/>
          <w:szCs w:val="20"/>
        </w:rPr>
      </w:pPr>
      <w:r>
        <w:rPr>
          <w:sz w:val="20"/>
          <w:szCs w:val="20"/>
        </w:rPr>
        <w:t xml:space="preserve">(name) </w:t>
      </w:r>
      <w:r>
        <w:rPr>
          <w:sz w:val="20"/>
          <w:szCs w:val="20"/>
        </w:rPr>
        <w:tab/>
        <w:t>(name)</w:t>
      </w:r>
    </w:p>
    <w:p w14:paraId="431A7EB7" w14:textId="77777777" w:rsidR="00D83E33" w:rsidRDefault="00BC4072">
      <w:pPr>
        <w:widowControl w:val="0"/>
        <w:tabs>
          <w:tab w:val="left" w:pos="4253"/>
        </w:tabs>
        <w:rPr>
          <w:i/>
          <w:smallCaps/>
          <w:color w:val="FF0000"/>
          <w:sz w:val="20"/>
          <w:szCs w:val="20"/>
        </w:rPr>
        <w:sectPr w:rsidR="00D83E33">
          <w:headerReference w:type="default" r:id="rId13"/>
          <w:footerReference w:type="default" r:id="rId14"/>
          <w:pgSz w:w="11907" w:h="16840"/>
          <w:pgMar w:top="1418" w:right="851" w:bottom="1418" w:left="1701" w:header="737" w:footer="567" w:gutter="0"/>
          <w:pgNumType w:start="1"/>
          <w:cols w:space="720"/>
        </w:sectPr>
      </w:pPr>
      <w:bookmarkStart w:id="2" w:name="_heading=h.1fob9te" w:colFirst="0" w:colLast="0"/>
      <w:bookmarkEnd w:id="2"/>
      <w:r>
        <w:rPr>
          <w:sz w:val="20"/>
          <w:szCs w:val="20"/>
        </w:rPr>
        <w:t>President</w:t>
      </w:r>
      <w:r>
        <w:rPr>
          <w:sz w:val="20"/>
          <w:szCs w:val="20"/>
        </w:rPr>
        <w:tab/>
        <w:t>Chief Accountant</w:t>
      </w:r>
    </w:p>
    <w:tbl>
      <w:tblPr>
        <w:tblStyle w:val="a1"/>
        <w:tblW w:w="5000" w:type="pct"/>
        <w:tblLayout w:type="fixed"/>
        <w:tblLook w:val="0000" w:firstRow="0" w:lastRow="0" w:firstColumn="0" w:lastColumn="0" w:noHBand="0" w:noVBand="0"/>
      </w:tblPr>
      <w:tblGrid>
        <w:gridCol w:w="5747"/>
        <w:gridCol w:w="790"/>
        <w:gridCol w:w="1409"/>
        <w:gridCol w:w="1409"/>
      </w:tblGrid>
      <w:tr w:rsidR="00D83E33" w:rsidRPr="00852AC7" w14:paraId="296A1FE2" w14:textId="77777777" w:rsidTr="001B330E">
        <w:trPr>
          <w:trHeight w:val="23"/>
          <w:tblHeader/>
        </w:trPr>
        <w:tc>
          <w:tcPr>
            <w:tcW w:w="3072" w:type="pct"/>
            <w:tcBorders>
              <w:bottom w:val="single" w:sz="4" w:space="0" w:color="000000"/>
            </w:tcBorders>
            <w:vAlign w:val="bottom"/>
          </w:tcPr>
          <w:p w14:paraId="3433947D" w14:textId="3A2F92BF" w:rsidR="00D83E33" w:rsidRPr="00852AC7" w:rsidRDefault="00313B4D" w:rsidP="001B330E">
            <w:pPr>
              <w:widowControl w:val="0"/>
              <w:pBdr>
                <w:top w:val="nil"/>
                <w:left w:val="nil"/>
                <w:bottom w:val="nil"/>
                <w:right w:val="nil"/>
                <w:between w:val="nil"/>
              </w:pBdr>
              <w:ind w:left="113" w:hanging="113"/>
              <w:rPr>
                <w:b/>
                <w:i/>
                <w:color w:val="000000"/>
              </w:rPr>
            </w:pPr>
            <w:bookmarkStart w:id="3" w:name="_heading=h.3znysh7" w:colFirst="0" w:colLast="0"/>
            <w:bookmarkEnd w:id="3"/>
            <w:r>
              <w:rPr>
                <w:i/>
                <w:color w:val="000000"/>
              </w:rPr>
              <w:lastRenderedPageBreak/>
              <w:t xml:space="preserve">In thousands of </w:t>
            </w:r>
            <w:r w:rsidR="002649EE">
              <w:rPr>
                <w:i/>
                <w:color w:val="000000"/>
              </w:rPr>
              <w:t>EUR</w:t>
            </w:r>
          </w:p>
        </w:tc>
        <w:tc>
          <w:tcPr>
            <w:tcW w:w="422" w:type="pct"/>
            <w:tcBorders>
              <w:bottom w:val="single" w:sz="4" w:space="0" w:color="000000"/>
            </w:tcBorders>
            <w:vAlign w:val="bottom"/>
          </w:tcPr>
          <w:p w14:paraId="39D446BE" w14:textId="77777777" w:rsidR="00D83E33" w:rsidRPr="00852AC7" w:rsidRDefault="00BC4072">
            <w:pPr>
              <w:widowControl w:val="0"/>
              <w:pBdr>
                <w:top w:val="nil"/>
                <w:left w:val="nil"/>
                <w:bottom w:val="nil"/>
                <w:right w:val="nil"/>
                <w:between w:val="nil"/>
              </w:pBdr>
              <w:jc w:val="center"/>
              <w:rPr>
                <w:b/>
                <w:color w:val="000000"/>
              </w:rPr>
            </w:pPr>
            <w:r w:rsidRPr="00852AC7">
              <w:rPr>
                <w:b/>
                <w:color w:val="000000"/>
              </w:rPr>
              <w:t>Note</w:t>
            </w:r>
          </w:p>
        </w:tc>
        <w:tc>
          <w:tcPr>
            <w:tcW w:w="753" w:type="pct"/>
            <w:tcBorders>
              <w:bottom w:val="single" w:sz="4" w:space="0" w:color="000000"/>
            </w:tcBorders>
          </w:tcPr>
          <w:p w14:paraId="1FAABDDE" w14:textId="1A133F07" w:rsidR="00D83E33" w:rsidRPr="00852AC7" w:rsidRDefault="00541EBC">
            <w:pPr>
              <w:widowControl w:val="0"/>
              <w:pBdr>
                <w:top w:val="nil"/>
                <w:left w:val="nil"/>
                <w:bottom w:val="nil"/>
                <w:right w:val="nil"/>
                <w:between w:val="nil"/>
              </w:pBdr>
              <w:jc w:val="right"/>
              <w:rPr>
                <w:b/>
                <w:color w:val="000000"/>
              </w:rPr>
            </w:pPr>
            <w:r>
              <w:rPr>
                <w:b/>
                <w:color w:val="000000"/>
              </w:rPr>
              <w:t>2024</w:t>
            </w:r>
          </w:p>
        </w:tc>
        <w:tc>
          <w:tcPr>
            <w:tcW w:w="753" w:type="pct"/>
            <w:tcBorders>
              <w:bottom w:val="single" w:sz="4" w:space="0" w:color="000000"/>
            </w:tcBorders>
            <w:vAlign w:val="bottom"/>
          </w:tcPr>
          <w:p w14:paraId="7442B521" w14:textId="6F65B90C" w:rsidR="00D83E33" w:rsidRPr="00852AC7" w:rsidRDefault="00541EBC">
            <w:pPr>
              <w:widowControl w:val="0"/>
              <w:pBdr>
                <w:top w:val="nil"/>
                <w:left w:val="nil"/>
                <w:bottom w:val="nil"/>
                <w:right w:val="nil"/>
                <w:between w:val="nil"/>
              </w:pBdr>
              <w:jc w:val="right"/>
              <w:rPr>
                <w:b/>
                <w:color w:val="000000"/>
              </w:rPr>
            </w:pPr>
            <w:r>
              <w:rPr>
                <w:b/>
                <w:color w:val="000000"/>
              </w:rPr>
              <w:t>2023</w:t>
            </w:r>
          </w:p>
          <w:p w14:paraId="3E2B97C4" w14:textId="77777777" w:rsidR="00D83E33" w:rsidRPr="00852AC7" w:rsidRDefault="00BC4072">
            <w:pPr>
              <w:widowControl w:val="0"/>
              <w:pBdr>
                <w:top w:val="nil"/>
                <w:left w:val="nil"/>
                <w:bottom w:val="nil"/>
                <w:right w:val="nil"/>
                <w:between w:val="nil"/>
              </w:pBdr>
              <w:jc w:val="right"/>
              <w:rPr>
                <w:b/>
                <w:color w:val="0000FF"/>
              </w:rPr>
            </w:pPr>
            <w:r w:rsidRPr="00852AC7">
              <w:rPr>
                <w:b/>
                <w:color w:val="0000FF"/>
              </w:rPr>
              <w:t>[(restated)]</w:t>
            </w:r>
          </w:p>
        </w:tc>
      </w:tr>
      <w:tr w:rsidR="00D83E33" w:rsidRPr="00852AC7" w14:paraId="34DFE268" w14:textId="77777777" w:rsidTr="001B330E">
        <w:trPr>
          <w:trHeight w:val="23"/>
        </w:trPr>
        <w:tc>
          <w:tcPr>
            <w:tcW w:w="3072" w:type="pct"/>
            <w:vAlign w:val="bottom"/>
          </w:tcPr>
          <w:p w14:paraId="6755E73B" w14:textId="77777777" w:rsidR="00D83E33" w:rsidRPr="00852AC7" w:rsidRDefault="00BC4072" w:rsidP="001B330E">
            <w:pPr>
              <w:widowControl w:val="0"/>
              <w:ind w:left="113" w:hanging="113"/>
            </w:pPr>
            <w:r w:rsidRPr="00852AC7">
              <w:t> </w:t>
            </w:r>
          </w:p>
        </w:tc>
        <w:tc>
          <w:tcPr>
            <w:tcW w:w="422" w:type="pct"/>
            <w:vAlign w:val="bottom"/>
          </w:tcPr>
          <w:p w14:paraId="6594C33C" w14:textId="77777777" w:rsidR="00D83E33" w:rsidRPr="00852AC7" w:rsidRDefault="00D83E33">
            <w:pPr>
              <w:widowControl w:val="0"/>
              <w:pBdr>
                <w:top w:val="nil"/>
                <w:left w:val="nil"/>
                <w:bottom w:val="nil"/>
                <w:right w:val="nil"/>
                <w:between w:val="nil"/>
              </w:pBdr>
              <w:jc w:val="center"/>
              <w:rPr>
                <w:color w:val="000000"/>
              </w:rPr>
            </w:pPr>
          </w:p>
        </w:tc>
        <w:tc>
          <w:tcPr>
            <w:tcW w:w="753" w:type="pct"/>
            <w:tcBorders>
              <w:top w:val="single" w:sz="4" w:space="0" w:color="000000"/>
            </w:tcBorders>
            <w:vAlign w:val="bottom"/>
          </w:tcPr>
          <w:p w14:paraId="1712B7DB"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top w:val="single" w:sz="4" w:space="0" w:color="000000"/>
            </w:tcBorders>
            <w:vAlign w:val="bottom"/>
          </w:tcPr>
          <w:p w14:paraId="442404F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F64E351" w14:textId="77777777" w:rsidTr="001B330E">
        <w:trPr>
          <w:trHeight w:val="23"/>
        </w:trPr>
        <w:tc>
          <w:tcPr>
            <w:tcW w:w="3072" w:type="pct"/>
            <w:vAlign w:val="bottom"/>
          </w:tcPr>
          <w:p w14:paraId="0BFD85BA"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Interest income calculated using the effective interest method</w:t>
            </w:r>
          </w:p>
        </w:tc>
        <w:tc>
          <w:tcPr>
            <w:tcW w:w="422" w:type="pct"/>
            <w:vAlign w:val="bottom"/>
          </w:tcPr>
          <w:p w14:paraId="17FFF129" w14:textId="77777777" w:rsidR="00D83E33" w:rsidRPr="00852AC7" w:rsidRDefault="00BC4072">
            <w:pPr>
              <w:widowControl w:val="0"/>
              <w:pBdr>
                <w:top w:val="nil"/>
                <w:left w:val="nil"/>
                <w:bottom w:val="nil"/>
                <w:right w:val="nil"/>
                <w:between w:val="nil"/>
              </w:pBdr>
              <w:jc w:val="center"/>
              <w:rPr>
                <w:smallCaps/>
                <w:color w:val="000000"/>
              </w:rPr>
            </w:pPr>
            <w:r w:rsidRPr="00852AC7">
              <w:rPr>
                <w:smallCaps/>
                <w:color w:val="000000"/>
              </w:rPr>
              <w:t>32</w:t>
            </w:r>
          </w:p>
        </w:tc>
        <w:tc>
          <w:tcPr>
            <w:tcW w:w="753" w:type="pct"/>
            <w:vAlign w:val="bottom"/>
          </w:tcPr>
          <w:p w14:paraId="50D37B66"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5C31D929"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8A906FF" w14:textId="77777777" w:rsidTr="001B330E">
        <w:trPr>
          <w:trHeight w:val="23"/>
        </w:trPr>
        <w:tc>
          <w:tcPr>
            <w:tcW w:w="3072" w:type="pct"/>
            <w:vAlign w:val="bottom"/>
          </w:tcPr>
          <w:p w14:paraId="5C718A11"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Other similar income</w:t>
            </w:r>
          </w:p>
        </w:tc>
        <w:tc>
          <w:tcPr>
            <w:tcW w:w="422" w:type="pct"/>
            <w:vAlign w:val="bottom"/>
          </w:tcPr>
          <w:p w14:paraId="0ACAA0E5" w14:textId="77777777" w:rsidR="00D83E33" w:rsidRPr="00852AC7" w:rsidRDefault="00BC4072">
            <w:pPr>
              <w:widowControl w:val="0"/>
              <w:pBdr>
                <w:top w:val="nil"/>
                <w:left w:val="nil"/>
                <w:bottom w:val="nil"/>
                <w:right w:val="nil"/>
                <w:between w:val="nil"/>
              </w:pBdr>
              <w:jc w:val="center"/>
              <w:rPr>
                <w:smallCaps/>
                <w:color w:val="000000"/>
              </w:rPr>
            </w:pPr>
            <w:r w:rsidRPr="00852AC7">
              <w:rPr>
                <w:smallCaps/>
                <w:color w:val="000000"/>
              </w:rPr>
              <w:t>32</w:t>
            </w:r>
          </w:p>
        </w:tc>
        <w:tc>
          <w:tcPr>
            <w:tcW w:w="753" w:type="pct"/>
            <w:vAlign w:val="bottom"/>
          </w:tcPr>
          <w:p w14:paraId="1A8B2831"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67919FB6"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80E93B0" w14:textId="77777777" w:rsidTr="001B330E">
        <w:trPr>
          <w:trHeight w:val="23"/>
        </w:trPr>
        <w:tc>
          <w:tcPr>
            <w:tcW w:w="3072" w:type="pct"/>
            <w:vAlign w:val="bottom"/>
          </w:tcPr>
          <w:p w14:paraId="677E4478"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Interest expense</w:t>
            </w:r>
          </w:p>
        </w:tc>
        <w:tc>
          <w:tcPr>
            <w:tcW w:w="422" w:type="pct"/>
            <w:vAlign w:val="bottom"/>
          </w:tcPr>
          <w:p w14:paraId="721595A5" w14:textId="77777777" w:rsidR="00D83E33" w:rsidRPr="00852AC7" w:rsidRDefault="00BC4072">
            <w:pPr>
              <w:widowControl w:val="0"/>
              <w:pBdr>
                <w:top w:val="nil"/>
                <w:left w:val="nil"/>
                <w:bottom w:val="nil"/>
                <w:right w:val="nil"/>
                <w:between w:val="nil"/>
              </w:pBdr>
              <w:jc w:val="center"/>
              <w:rPr>
                <w:smallCaps/>
                <w:color w:val="000000"/>
              </w:rPr>
            </w:pPr>
            <w:r w:rsidRPr="00852AC7">
              <w:rPr>
                <w:smallCaps/>
                <w:color w:val="000000"/>
              </w:rPr>
              <w:t>32</w:t>
            </w:r>
          </w:p>
        </w:tc>
        <w:tc>
          <w:tcPr>
            <w:tcW w:w="753" w:type="pct"/>
            <w:vAlign w:val="bottom"/>
          </w:tcPr>
          <w:p w14:paraId="411AC3EB"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3ADAD448"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3AA4824" w14:textId="77777777" w:rsidTr="001B330E">
        <w:trPr>
          <w:trHeight w:val="23"/>
        </w:trPr>
        <w:tc>
          <w:tcPr>
            <w:tcW w:w="3072" w:type="pct"/>
            <w:vAlign w:val="bottom"/>
          </w:tcPr>
          <w:p w14:paraId="6244B65B"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xml:space="preserve">Other similar expense </w:t>
            </w:r>
          </w:p>
        </w:tc>
        <w:tc>
          <w:tcPr>
            <w:tcW w:w="422" w:type="pct"/>
            <w:vAlign w:val="bottom"/>
          </w:tcPr>
          <w:p w14:paraId="01149ECC" w14:textId="77777777" w:rsidR="00D83E33" w:rsidRPr="00852AC7" w:rsidRDefault="00BC4072">
            <w:pPr>
              <w:widowControl w:val="0"/>
              <w:pBdr>
                <w:top w:val="nil"/>
                <w:left w:val="nil"/>
                <w:bottom w:val="nil"/>
                <w:right w:val="nil"/>
                <w:between w:val="nil"/>
              </w:pBdr>
              <w:jc w:val="center"/>
              <w:rPr>
                <w:smallCaps/>
                <w:color w:val="000000"/>
              </w:rPr>
            </w:pPr>
            <w:r w:rsidRPr="00852AC7">
              <w:rPr>
                <w:smallCaps/>
                <w:color w:val="000000"/>
              </w:rPr>
              <w:t>32</w:t>
            </w:r>
          </w:p>
        </w:tc>
        <w:tc>
          <w:tcPr>
            <w:tcW w:w="753" w:type="pct"/>
            <w:vAlign w:val="bottom"/>
          </w:tcPr>
          <w:p w14:paraId="0F1CB481"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5B457BC6"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B87AA7B" w14:textId="77777777" w:rsidTr="001B330E">
        <w:trPr>
          <w:trHeight w:val="23"/>
        </w:trPr>
        <w:tc>
          <w:tcPr>
            <w:tcW w:w="3072" w:type="pct"/>
            <w:tcBorders>
              <w:bottom w:val="single" w:sz="4" w:space="0" w:color="000000"/>
            </w:tcBorders>
            <w:vAlign w:val="bottom"/>
          </w:tcPr>
          <w:p w14:paraId="069E49C6" w14:textId="77777777" w:rsidR="00D83E33" w:rsidRPr="00852AC7" w:rsidRDefault="00BC4072" w:rsidP="001B330E">
            <w:pPr>
              <w:widowControl w:val="0"/>
              <w:ind w:left="113" w:hanging="113"/>
            </w:pPr>
            <w:r w:rsidRPr="00852AC7">
              <w:t> </w:t>
            </w:r>
          </w:p>
        </w:tc>
        <w:tc>
          <w:tcPr>
            <w:tcW w:w="422" w:type="pct"/>
            <w:tcBorders>
              <w:bottom w:val="single" w:sz="4" w:space="0" w:color="000000"/>
            </w:tcBorders>
            <w:vAlign w:val="bottom"/>
          </w:tcPr>
          <w:p w14:paraId="0180E95B"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tcBorders>
              <w:bottom w:val="single" w:sz="4" w:space="0" w:color="000000"/>
            </w:tcBorders>
            <w:vAlign w:val="bottom"/>
          </w:tcPr>
          <w:p w14:paraId="4984F2EB"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4" w:space="0" w:color="000000"/>
            </w:tcBorders>
            <w:vAlign w:val="bottom"/>
          </w:tcPr>
          <w:p w14:paraId="0C67F75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C51CF11" w14:textId="77777777" w:rsidTr="001B330E">
        <w:trPr>
          <w:trHeight w:val="23"/>
        </w:trPr>
        <w:tc>
          <w:tcPr>
            <w:tcW w:w="3072" w:type="pct"/>
            <w:vAlign w:val="bottom"/>
          </w:tcPr>
          <w:p w14:paraId="6EA3F22B"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 </w:t>
            </w:r>
          </w:p>
        </w:tc>
        <w:tc>
          <w:tcPr>
            <w:tcW w:w="422" w:type="pct"/>
            <w:vAlign w:val="bottom"/>
          </w:tcPr>
          <w:p w14:paraId="228E5262"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vAlign w:val="bottom"/>
          </w:tcPr>
          <w:p w14:paraId="48FB4FB2"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6C2D2E3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45EF5E4" w14:textId="77777777" w:rsidTr="001B330E">
        <w:trPr>
          <w:trHeight w:val="23"/>
        </w:trPr>
        <w:tc>
          <w:tcPr>
            <w:tcW w:w="3072" w:type="pct"/>
            <w:vAlign w:val="bottom"/>
          </w:tcPr>
          <w:p w14:paraId="09817ABF"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Net margin on interest and similar income</w:t>
            </w:r>
          </w:p>
        </w:tc>
        <w:tc>
          <w:tcPr>
            <w:tcW w:w="422" w:type="pct"/>
            <w:vAlign w:val="bottom"/>
          </w:tcPr>
          <w:p w14:paraId="474EB45F"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vAlign w:val="bottom"/>
          </w:tcPr>
          <w:p w14:paraId="316A8930" w14:textId="77777777" w:rsidR="00D83E33" w:rsidRPr="00852AC7" w:rsidRDefault="00D83E33">
            <w:pPr>
              <w:widowControl w:val="0"/>
              <w:pBdr>
                <w:top w:val="nil"/>
                <w:left w:val="nil"/>
                <w:bottom w:val="nil"/>
                <w:right w:val="nil"/>
                <w:between w:val="nil"/>
              </w:pBdr>
              <w:jc w:val="right"/>
              <w:rPr>
                <w:b/>
                <w:color w:val="000000"/>
              </w:rPr>
            </w:pPr>
          </w:p>
        </w:tc>
        <w:tc>
          <w:tcPr>
            <w:tcW w:w="753" w:type="pct"/>
            <w:vAlign w:val="bottom"/>
          </w:tcPr>
          <w:p w14:paraId="5F1DC6C2"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688DBB90" w14:textId="77777777" w:rsidTr="001B330E">
        <w:trPr>
          <w:trHeight w:val="23"/>
        </w:trPr>
        <w:tc>
          <w:tcPr>
            <w:tcW w:w="3072" w:type="pct"/>
            <w:shd w:val="clear" w:color="auto" w:fill="auto"/>
            <w:vAlign w:val="bottom"/>
          </w:tcPr>
          <w:p w14:paraId="1A0BF782" w14:textId="3FB04942"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Credit loss allowance</w:t>
            </w:r>
            <w:r w:rsidR="00D02DB6">
              <w:rPr>
                <w:color w:val="000000"/>
              </w:rPr>
              <w:t xml:space="preserve"> for assets carried at amortised cost</w:t>
            </w:r>
            <w:r w:rsidRPr="00852AC7">
              <w:rPr>
                <w:color w:val="FF0000"/>
              </w:rPr>
              <w:t>*</w:t>
            </w:r>
          </w:p>
        </w:tc>
        <w:tc>
          <w:tcPr>
            <w:tcW w:w="422" w:type="pct"/>
            <w:shd w:val="clear" w:color="auto" w:fill="auto"/>
            <w:vAlign w:val="bottom"/>
          </w:tcPr>
          <w:p w14:paraId="5822FB3C"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510D11CD"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7D70B99D" w14:textId="77777777" w:rsidR="00D83E33" w:rsidRPr="00852AC7" w:rsidRDefault="00D83E33">
            <w:pPr>
              <w:widowControl w:val="0"/>
              <w:pBdr>
                <w:top w:val="nil"/>
                <w:left w:val="nil"/>
                <w:bottom w:val="nil"/>
                <w:right w:val="nil"/>
                <w:between w:val="nil"/>
              </w:pBdr>
              <w:jc w:val="right"/>
              <w:rPr>
                <w:color w:val="000000"/>
              </w:rPr>
            </w:pPr>
          </w:p>
        </w:tc>
      </w:tr>
      <w:tr w:rsidR="00D02DB6" w:rsidRPr="00852AC7" w14:paraId="21F84C57" w14:textId="77777777" w:rsidTr="002C6414">
        <w:trPr>
          <w:trHeight w:val="23"/>
        </w:trPr>
        <w:tc>
          <w:tcPr>
            <w:tcW w:w="3072" w:type="pct"/>
            <w:shd w:val="clear" w:color="auto" w:fill="auto"/>
            <w:vAlign w:val="bottom"/>
          </w:tcPr>
          <w:p w14:paraId="3B9C2C32" w14:textId="1A5150BC" w:rsidR="00D02DB6" w:rsidRPr="00852AC7" w:rsidRDefault="00D02DB6" w:rsidP="002C6414">
            <w:pPr>
              <w:widowControl w:val="0"/>
              <w:pBdr>
                <w:top w:val="nil"/>
                <w:left w:val="nil"/>
                <w:bottom w:val="nil"/>
                <w:right w:val="nil"/>
                <w:between w:val="nil"/>
              </w:pBdr>
              <w:ind w:left="113" w:hanging="113"/>
              <w:rPr>
                <w:color w:val="000000"/>
              </w:rPr>
            </w:pPr>
            <w:r w:rsidRPr="00852AC7">
              <w:rPr>
                <w:color w:val="000000"/>
              </w:rPr>
              <w:t>Credit loss allowance</w:t>
            </w:r>
            <w:r>
              <w:rPr>
                <w:color w:val="000000"/>
              </w:rPr>
              <w:t xml:space="preserve"> for </w:t>
            </w:r>
            <w:r w:rsidRPr="00852AC7">
              <w:rPr>
                <w:color w:val="000000"/>
              </w:rPr>
              <w:t xml:space="preserve">debt securities at fair value through other comprehensive income </w:t>
            </w:r>
          </w:p>
        </w:tc>
        <w:tc>
          <w:tcPr>
            <w:tcW w:w="422" w:type="pct"/>
            <w:shd w:val="clear" w:color="auto" w:fill="auto"/>
            <w:vAlign w:val="bottom"/>
          </w:tcPr>
          <w:p w14:paraId="71584FE1" w14:textId="77777777" w:rsidR="00D02DB6" w:rsidRPr="00852AC7" w:rsidRDefault="00D02DB6" w:rsidP="002C6414">
            <w:pPr>
              <w:widowControl w:val="0"/>
              <w:pBdr>
                <w:top w:val="nil"/>
                <w:left w:val="nil"/>
                <w:bottom w:val="nil"/>
                <w:right w:val="nil"/>
                <w:between w:val="nil"/>
              </w:pBdr>
              <w:jc w:val="center"/>
              <w:rPr>
                <w:color w:val="000000"/>
              </w:rPr>
            </w:pPr>
          </w:p>
        </w:tc>
        <w:tc>
          <w:tcPr>
            <w:tcW w:w="753" w:type="pct"/>
            <w:shd w:val="clear" w:color="auto" w:fill="auto"/>
            <w:vAlign w:val="bottom"/>
          </w:tcPr>
          <w:p w14:paraId="63FD6325" w14:textId="77777777" w:rsidR="00D02DB6" w:rsidRPr="00852AC7" w:rsidRDefault="00D02DB6" w:rsidP="002C6414">
            <w:pPr>
              <w:widowControl w:val="0"/>
              <w:pBdr>
                <w:top w:val="nil"/>
                <w:left w:val="nil"/>
                <w:bottom w:val="nil"/>
                <w:right w:val="nil"/>
                <w:between w:val="nil"/>
              </w:pBdr>
              <w:jc w:val="right"/>
              <w:rPr>
                <w:color w:val="000000"/>
              </w:rPr>
            </w:pPr>
          </w:p>
        </w:tc>
        <w:tc>
          <w:tcPr>
            <w:tcW w:w="753" w:type="pct"/>
            <w:shd w:val="clear" w:color="auto" w:fill="auto"/>
            <w:vAlign w:val="bottom"/>
          </w:tcPr>
          <w:p w14:paraId="0AD17EC0" w14:textId="68F74B94" w:rsidR="00D02DB6" w:rsidRPr="00852AC7" w:rsidRDefault="00D02DB6" w:rsidP="002C6414">
            <w:pPr>
              <w:widowControl w:val="0"/>
              <w:pBdr>
                <w:top w:val="nil"/>
                <w:left w:val="nil"/>
                <w:bottom w:val="nil"/>
                <w:right w:val="nil"/>
                <w:between w:val="nil"/>
              </w:pBdr>
              <w:jc w:val="right"/>
              <w:rPr>
                <w:color w:val="000000"/>
              </w:rPr>
            </w:pPr>
          </w:p>
        </w:tc>
      </w:tr>
      <w:tr w:rsidR="00D83E33" w:rsidRPr="00852AC7" w14:paraId="2EEF5A0F" w14:textId="77777777" w:rsidTr="001B330E">
        <w:trPr>
          <w:trHeight w:val="23"/>
        </w:trPr>
        <w:tc>
          <w:tcPr>
            <w:tcW w:w="3072" w:type="pct"/>
            <w:tcBorders>
              <w:bottom w:val="single" w:sz="4" w:space="0" w:color="000000"/>
            </w:tcBorders>
            <w:shd w:val="clear" w:color="auto" w:fill="auto"/>
            <w:vAlign w:val="bottom"/>
          </w:tcPr>
          <w:p w14:paraId="20616326"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22" w:type="pct"/>
            <w:tcBorders>
              <w:bottom w:val="single" w:sz="4" w:space="0" w:color="000000"/>
            </w:tcBorders>
            <w:shd w:val="clear" w:color="auto" w:fill="auto"/>
            <w:vAlign w:val="bottom"/>
          </w:tcPr>
          <w:p w14:paraId="5325687E"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tcBorders>
              <w:bottom w:val="single" w:sz="4" w:space="0" w:color="000000"/>
            </w:tcBorders>
            <w:shd w:val="clear" w:color="auto" w:fill="auto"/>
            <w:vAlign w:val="bottom"/>
          </w:tcPr>
          <w:p w14:paraId="5D2692BF"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4" w:space="0" w:color="000000"/>
            </w:tcBorders>
            <w:shd w:val="clear" w:color="auto" w:fill="auto"/>
            <w:vAlign w:val="bottom"/>
          </w:tcPr>
          <w:p w14:paraId="2BD89596"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E94DEC1" w14:textId="77777777" w:rsidTr="001B330E">
        <w:trPr>
          <w:trHeight w:val="23"/>
        </w:trPr>
        <w:tc>
          <w:tcPr>
            <w:tcW w:w="3072" w:type="pct"/>
            <w:shd w:val="clear" w:color="auto" w:fill="auto"/>
            <w:vAlign w:val="bottom"/>
          </w:tcPr>
          <w:p w14:paraId="2F5EBEA0"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22" w:type="pct"/>
            <w:shd w:val="clear" w:color="auto" w:fill="auto"/>
            <w:vAlign w:val="bottom"/>
          </w:tcPr>
          <w:p w14:paraId="60C3DD69"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5511E474"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2A7611C8"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BD772C9" w14:textId="77777777" w:rsidTr="001B330E">
        <w:trPr>
          <w:trHeight w:val="23"/>
        </w:trPr>
        <w:tc>
          <w:tcPr>
            <w:tcW w:w="3072" w:type="pct"/>
            <w:shd w:val="clear" w:color="auto" w:fill="auto"/>
            <w:vAlign w:val="bottom"/>
          </w:tcPr>
          <w:p w14:paraId="00325554"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Net margin on interest and similar income after credit loss allowance</w:t>
            </w:r>
          </w:p>
        </w:tc>
        <w:tc>
          <w:tcPr>
            <w:tcW w:w="422" w:type="pct"/>
            <w:shd w:val="clear" w:color="auto" w:fill="auto"/>
            <w:vAlign w:val="bottom"/>
          </w:tcPr>
          <w:p w14:paraId="2600285F"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shd w:val="clear" w:color="auto" w:fill="auto"/>
            <w:vAlign w:val="bottom"/>
          </w:tcPr>
          <w:p w14:paraId="6F198878" w14:textId="77777777" w:rsidR="00D83E33" w:rsidRPr="00852AC7" w:rsidRDefault="00D83E33">
            <w:pPr>
              <w:widowControl w:val="0"/>
              <w:pBdr>
                <w:top w:val="nil"/>
                <w:left w:val="nil"/>
                <w:bottom w:val="nil"/>
                <w:right w:val="nil"/>
                <w:between w:val="nil"/>
              </w:pBdr>
              <w:jc w:val="right"/>
              <w:rPr>
                <w:b/>
                <w:color w:val="000000"/>
              </w:rPr>
            </w:pPr>
          </w:p>
        </w:tc>
        <w:tc>
          <w:tcPr>
            <w:tcW w:w="753" w:type="pct"/>
            <w:shd w:val="clear" w:color="auto" w:fill="auto"/>
            <w:vAlign w:val="bottom"/>
          </w:tcPr>
          <w:p w14:paraId="41956884"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386356C9" w14:textId="77777777" w:rsidTr="001B330E">
        <w:trPr>
          <w:trHeight w:val="23"/>
        </w:trPr>
        <w:tc>
          <w:tcPr>
            <w:tcW w:w="3072" w:type="pct"/>
            <w:shd w:val="clear" w:color="auto" w:fill="auto"/>
            <w:vAlign w:val="bottom"/>
          </w:tcPr>
          <w:p w14:paraId="335B52E6"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22" w:type="pct"/>
            <w:shd w:val="clear" w:color="auto" w:fill="auto"/>
            <w:vAlign w:val="bottom"/>
          </w:tcPr>
          <w:p w14:paraId="51881F24"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6E1F7CE5"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49074EB5"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7695BD1" w14:textId="77777777" w:rsidTr="001B330E">
        <w:trPr>
          <w:trHeight w:val="23"/>
        </w:trPr>
        <w:tc>
          <w:tcPr>
            <w:tcW w:w="3072" w:type="pct"/>
            <w:shd w:val="clear" w:color="auto" w:fill="auto"/>
            <w:vAlign w:val="bottom"/>
          </w:tcPr>
          <w:p w14:paraId="56053F79"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Fee and commission income</w:t>
            </w:r>
          </w:p>
        </w:tc>
        <w:tc>
          <w:tcPr>
            <w:tcW w:w="422" w:type="pct"/>
            <w:shd w:val="clear" w:color="auto" w:fill="auto"/>
            <w:vAlign w:val="bottom"/>
          </w:tcPr>
          <w:p w14:paraId="2260F8B9" w14:textId="77777777" w:rsidR="00D83E33" w:rsidRPr="00852AC7" w:rsidRDefault="00000000">
            <w:pPr>
              <w:widowControl w:val="0"/>
              <w:pBdr>
                <w:top w:val="nil"/>
                <w:left w:val="nil"/>
                <w:bottom w:val="nil"/>
                <w:right w:val="nil"/>
                <w:between w:val="nil"/>
              </w:pBdr>
              <w:jc w:val="center"/>
              <w:rPr>
                <w:smallCaps/>
                <w:color w:val="000000"/>
              </w:rPr>
            </w:pPr>
            <w:hyperlink w:anchor="_heading=h.nmf14n">
              <w:r w:rsidR="00BC4072" w:rsidRPr="00852AC7">
                <w:rPr>
                  <w:smallCaps/>
                  <w:color w:val="000000"/>
                </w:rPr>
                <w:t>33</w:t>
              </w:r>
            </w:hyperlink>
          </w:p>
        </w:tc>
        <w:tc>
          <w:tcPr>
            <w:tcW w:w="753" w:type="pct"/>
            <w:shd w:val="clear" w:color="auto" w:fill="auto"/>
            <w:vAlign w:val="bottom"/>
          </w:tcPr>
          <w:p w14:paraId="7D329D08"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19BF3538"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61A4592" w14:textId="77777777" w:rsidTr="001B330E">
        <w:trPr>
          <w:trHeight w:val="23"/>
        </w:trPr>
        <w:tc>
          <w:tcPr>
            <w:tcW w:w="3072" w:type="pct"/>
            <w:shd w:val="clear" w:color="auto" w:fill="auto"/>
            <w:vAlign w:val="bottom"/>
          </w:tcPr>
          <w:p w14:paraId="7FF43CC9"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Fee and commission expense</w:t>
            </w:r>
          </w:p>
        </w:tc>
        <w:tc>
          <w:tcPr>
            <w:tcW w:w="422" w:type="pct"/>
            <w:shd w:val="clear" w:color="auto" w:fill="auto"/>
            <w:vAlign w:val="bottom"/>
          </w:tcPr>
          <w:p w14:paraId="57CCDF62" w14:textId="77777777" w:rsidR="00D83E33" w:rsidRPr="00852AC7" w:rsidRDefault="00000000">
            <w:pPr>
              <w:widowControl w:val="0"/>
              <w:pBdr>
                <w:top w:val="nil"/>
                <w:left w:val="nil"/>
                <w:bottom w:val="nil"/>
                <w:right w:val="nil"/>
                <w:between w:val="nil"/>
              </w:pBdr>
              <w:jc w:val="center"/>
              <w:rPr>
                <w:smallCaps/>
                <w:color w:val="000000"/>
              </w:rPr>
            </w:pPr>
            <w:hyperlink w:anchor="_heading=h.nmf14n">
              <w:r w:rsidR="00BC4072" w:rsidRPr="00852AC7">
                <w:rPr>
                  <w:smallCaps/>
                  <w:color w:val="000000"/>
                </w:rPr>
                <w:t>33</w:t>
              </w:r>
            </w:hyperlink>
          </w:p>
        </w:tc>
        <w:tc>
          <w:tcPr>
            <w:tcW w:w="753" w:type="pct"/>
            <w:shd w:val="clear" w:color="auto" w:fill="auto"/>
            <w:vAlign w:val="bottom"/>
          </w:tcPr>
          <w:p w14:paraId="69A28FE3"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1C76D6C7"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BEDA423" w14:textId="77777777" w:rsidTr="001B330E">
        <w:trPr>
          <w:trHeight w:val="23"/>
        </w:trPr>
        <w:tc>
          <w:tcPr>
            <w:tcW w:w="3072" w:type="pct"/>
            <w:shd w:val="clear" w:color="auto" w:fill="auto"/>
            <w:vAlign w:val="bottom"/>
          </w:tcPr>
          <w:p w14:paraId="08EBAB23"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xml:space="preserve">Gains less losses on derecognition of financial assets measured at amortised cost </w:t>
            </w:r>
          </w:p>
        </w:tc>
        <w:tc>
          <w:tcPr>
            <w:tcW w:w="422" w:type="pct"/>
            <w:shd w:val="clear" w:color="auto" w:fill="auto"/>
            <w:vAlign w:val="bottom"/>
          </w:tcPr>
          <w:p w14:paraId="541120ED"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3028FB51"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2F3E166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BD1BDFD" w14:textId="77777777" w:rsidTr="001B330E">
        <w:trPr>
          <w:trHeight w:val="23"/>
        </w:trPr>
        <w:tc>
          <w:tcPr>
            <w:tcW w:w="3072" w:type="pct"/>
            <w:shd w:val="clear" w:color="auto" w:fill="auto"/>
            <w:vAlign w:val="bottom"/>
          </w:tcPr>
          <w:p w14:paraId="66BEBA30" w14:textId="3C930248"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Gains less losses from modification of financial assets measured at amortised cost, that did not lead to derecognition</w:t>
            </w:r>
          </w:p>
        </w:tc>
        <w:tc>
          <w:tcPr>
            <w:tcW w:w="422" w:type="pct"/>
            <w:shd w:val="clear" w:color="auto" w:fill="auto"/>
            <w:vAlign w:val="bottom"/>
          </w:tcPr>
          <w:p w14:paraId="3DF9BDCC"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30F30657"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7646F92A"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628D913" w14:textId="77777777" w:rsidTr="001B330E">
        <w:trPr>
          <w:trHeight w:val="23"/>
        </w:trPr>
        <w:tc>
          <w:tcPr>
            <w:tcW w:w="3072" w:type="pct"/>
            <w:shd w:val="clear" w:color="auto" w:fill="auto"/>
            <w:vAlign w:val="bottom"/>
          </w:tcPr>
          <w:p w14:paraId="587264F5"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xml:space="preserve">Gains less losses from </w:t>
            </w:r>
            <w:r w:rsidRPr="00852AC7">
              <w:rPr>
                <w:color w:val="0000FF"/>
              </w:rPr>
              <w:t>[securities] [financial assets]</w:t>
            </w:r>
            <w:r w:rsidRPr="00852AC7">
              <w:rPr>
                <w:color w:val="000000"/>
              </w:rPr>
              <w:t xml:space="preserve"> at fair value through profit or loss</w:t>
            </w:r>
          </w:p>
        </w:tc>
        <w:tc>
          <w:tcPr>
            <w:tcW w:w="422" w:type="pct"/>
            <w:shd w:val="clear" w:color="auto" w:fill="auto"/>
            <w:vAlign w:val="bottom"/>
          </w:tcPr>
          <w:p w14:paraId="3797E0DF"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589AAAFE"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409EC64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9845CFC" w14:textId="77777777" w:rsidTr="001B330E">
        <w:trPr>
          <w:trHeight w:val="23"/>
        </w:trPr>
        <w:tc>
          <w:tcPr>
            <w:tcW w:w="3072" w:type="pct"/>
            <w:shd w:val="clear" w:color="auto" w:fill="auto"/>
            <w:vAlign w:val="bottom"/>
          </w:tcPr>
          <w:p w14:paraId="081C747D"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Gains less losses from financial derivatives</w:t>
            </w:r>
          </w:p>
        </w:tc>
        <w:tc>
          <w:tcPr>
            <w:tcW w:w="422" w:type="pct"/>
            <w:shd w:val="clear" w:color="auto" w:fill="auto"/>
            <w:vAlign w:val="bottom"/>
          </w:tcPr>
          <w:p w14:paraId="46AD96EF"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0C841928"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42C5CE3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6A73D47" w14:textId="77777777" w:rsidTr="001B330E">
        <w:trPr>
          <w:trHeight w:val="23"/>
        </w:trPr>
        <w:tc>
          <w:tcPr>
            <w:tcW w:w="3072" w:type="pct"/>
            <w:shd w:val="clear" w:color="auto" w:fill="auto"/>
            <w:vAlign w:val="bottom"/>
          </w:tcPr>
          <w:p w14:paraId="25EFFCF3"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Gains less losses from trading in foreign currencies</w:t>
            </w:r>
          </w:p>
        </w:tc>
        <w:tc>
          <w:tcPr>
            <w:tcW w:w="422" w:type="pct"/>
            <w:shd w:val="clear" w:color="auto" w:fill="auto"/>
            <w:vAlign w:val="bottom"/>
          </w:tcPr>
          <w:p w14:paraId="02C7C21C"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shd w:val="clear" w:color="auto" w:fill="auto"/>
            <w:vAlign w:val="bottom"/>
          </w:tcPr>
          <w:p w14:paraId="446E58C1"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584FC0E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8825760" w14:textId="77777777" w:rsidTr="001B330E">
        <w:trPr>
          <w:trHeight w:val="23"/>
        </w:trPr>
        <w:tc>
          <w:tcPr>
            <w:tcW w:w="3072" w:type="pct"/>
            <w:shd w:val="clear" w:color="auto" w:fill="auto"/>
            <w:vAlign w:val="bottom"/>
          </w:tcPr>
          <w:p w14:paraId="58E66F7C"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Gains less losses on revaluation of investment properties</w:t>
            </w:r>
          </w:p>
        </w:tc>
        <w:tc>
          <w:tcPr>
            <w:tcW w:w="422" w:type="pct"/>
            <w:shd w:val="clear" w:color="auto" w:fill="auto"/>
            <w:vAlign w:val="bottom"/>
          </w:tcPr>
          <w:p w14:paraId="1B4FC5B6" w14:textId="77777777" w:rsidR="00D83E33" w:rsidRPr="00852AC7" w:rsidRDefault="00BC4072">
            <w:pPr>
              <w:widowControl w:val="0"/>
              <w:pBdr>
                <w:top w:val="nil"/>
                <w:left w:val="nil"/>
                <w:bottom w:val="nil"/>
                <w:right w:val="nil"/>
                <w:between w:val="nil"/>
              </w:pBdr>
              <w:jc w:val="center"/>
              <w:rPr>
                <w:smallCaps/>
                <w:color w:val="000000"/>
              </w:rPr>
            </w:pPr>
            <w:r w:rsidRPr="00852AC7">
              <w:rPr>
                <w:smallCaps/>
                <w:color w:val="000000"/>
              </w:rPr>
              <w:t>13</w:t>
            </w:r>
          </w:p>
        </w:tc>
        <w:tc>
          <w:tcPr>
            <w:tcW w:w="753" w:type="pct"/>
            <w:shd w:val="clear" w:color="auto" w:fill="auto"/>
            <w:vAlign w:val="bottom"/>
          </w:tcPr>
          <w:p w14:paraId="5E608C8A"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38FC7787"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63803E1" w14:textId="77777777" w:rsidTr="001B330E">
        <w:trPr>
          <w:trHeight w:val="23"/>
        </w:trPr>
        <w:tc>
          <w:tcPr>
            <w:tcW w:w="3072" w:type="pct"/>
            <w:shd w:val="clear" w:color="auto" w:fill="auto"/>
            <w:vAlign w:val="bottom"/>
          </w:tcPr>
          <w:p w14:paraId="4B5ED5D7"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Foreign exchange translation gains less losses</w:t>
            </w:r>
          </w:p>
        </w:tc>
        <w:tc>
          <w:tcPr>
            <w:tcW w:w="422" w:type="pct"/>
            <w:shd w:val="clear" w:color="auto" w:fill="auto"/>
            <w:vAlign w:val="bottom"/>
          </w:tcPr>
          <w:p w14:paraId="103E7C64"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shd w:val="clear" w:color="auto" w:fill="auto"/>
            <w:vAlign w:val="bottom"/>
          </w:tcPr>
          <w:p w14:paraId="4836AF4A"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74EF951A"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54455B5" w14:textId="77777777" w:rsidTr="001B330E">
        <w:trPr>
          <w:trHeight w:val="23"/>
        </w:trPr>
        <w:tc>
          <w:tcPr>
            <w:tcW w:w="3072" w:type="pct"/>
            <w:shd w:val="clear" w:color="auto" w:fill="auto"/>
            <w:vAlign w:val="bottom"/>
          </w:tcPr>
          <w:p w14:paraId="5E069850" w14:textId="77777777" w:rsidR="00D83E33" w:rsidRPr="00852AC7" w:rsidRDefault="00BC4072" w:rsidP="001B330E">
            <w:pPr>
              <w:widowControl w:val="0"/>
              <w:pBdr>
                <w:top w:val="nil"/>
                <w:left w:val="nil"/>
                <w:bottom w:val="nil"/>
                <w:right w:val="nil"/>
                <w:between w:val="nil"/>
              </w:pBdr>
              <w:ind w:left="113" w:hanging="113"/>
              <w:rPr>
                <w:i/>
                <w:color w:val="000000"/>
              </w:rPr>
            </w:pPr>
            <w:r w:rsidRPr="00852AC7">
              <w:rPr>
                <w:color w:val="000000"/>
              </w:rPr>
              <w:t>Provision for credit related commitments</w:t>
            </w:r>
          </w:p>
        </w:tc>
        <w:tc>
          <w:tcPr>
            <w:tcW w:w="422" w:type="pct"/>
            <w:shd w:val="clear" w:color="auto" w:fill="auto"/>
            <w:vAlign w:val="bottom"/>
          </w:tcPr>
          <w:p w14:paraId="3E0E2F45"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41384DB9"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280A7C0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587D45E" w14:textId="77777777" w:rsidTr="001B330E">
        <w:trPr>
          <w:trHeight w:val="23"/>
        </w:trPr>
        <w:tc>
          <w:tcPr>
            <w:tcW w:w="3072" w:type="pct"/>
            <w:shd w:val="clear" w:color="auto" w:fill="auto"/>
            <w:vAlign w:val="bottom"/>
          </w:tcPr>
          <w:p w14:paraId="1998D9B2" w14:textId="08E22855"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Gains less losses from reclassification of financial assets from amortised cost to financial assets at fair value through profit or loss</w:t>
            </w:r>
          </w:p>
        </w:tc>
        <w:tc>
          <w:tcPr>
            <w:tcW w:w="422" w:type="pct"/>
            <w:shd w:val="clear" w:color="auto" w:fill="auto"/>
            <w:vAlign w:val="bottom"/>
          </w:tcPr>
          <w:p w14:paraId="17E44C72"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2C556F88"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64A47E22" w14:textId="721B6E77" w:rsidR="00D83E33" w:rsidRPr="00852AC7" w:rsidRDefault="00D83E33">
            <w:pPr>
              <w:widowControl w:val="0"/>
              <w:pBdr>
                <w:top w:val="nil"/>
                <w:left w:val="nil"/>
                <w:bottom w:val="nil"/>
                <w:right w:val="nil"/>
                <w:between w:val="nil"/>
              </w:pBdr>
              <w:jc w:val="right"/>
              <w:rPr>
                <w:color w:val="000000"/>
              </w:rPr>
            </w:pPr>
          </w:p>
        </w:tc>
      </w:tr>
      <w:tr w:rsidR="00D83E33" w:rsidRPr="00852AC7" w14:paraId="6FC5BB30" w14:textId="77777777" w:rsidTr="001B330E">
        <w:trPr>
          <w:trHeight w:val="23"/>
        </w:trPr>
        <w:tc>
          <w:tcPr>
            <w:tcW w:w="3072" w:type="pct"/>
            <w:shd w:val="clear" w:color="auto" w:fill="auto"/>
            <w:vAlign w:val="bottom"/>
          </w:tcPr>
          <w:p w14:paraId="16EAD0D9" w14:textId="6731FC8C"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Gains less losses from reclassification of debt instruments at fair value through other comprehensive income to debt instruments at fair value through profit or loss</w:t>
            </w:r>
          </w:p>
        </w:tc>
        <w:tc>
          <w:tcPr>
            <w:tcW w:w="422" w:type="pct"/>
            <w:shd w:val="clear" w:color="auto" w:fill="auto"/>
            <w:vAlign w:val="bottom"/>
          </w:tcPr>
          <w:p w14:paraId="495ADF3C"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3E32E8CC"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4219B872" w14:textId="2169B52E" w:rsidR="00D83E33" w:rsidRPr="00852AC7" w:rsidRDefault="00D83E33">
            <w:pPr>
              <w:widowControl w:val="0"/>
              <w:pBdr>
                <w:top w:val="nil"/>
                <w:left w:val="nil"/>
                <w:bottom w:val="nil"/>
                <w:right w:val="nil"/>
                <w:between w:val="nil"/>
              </w:pBdr>
              <w:jc w:val="right"/>
              <w:rPr>
                <w:color w:val="000000"/>
              </w:rPr>
            </w:pPr>
          </w:p>
        </w:tc>
      </w:tr>
      <w:tr w:rsidR="00D83E33" w:rsidRPr="00852AC7" w14:paraId="7FF36471" w14:textId="77777777" w:rsidTr="001B330E">
        <w:trPr>
          <w:trHeight w:val="23"/>
        </w:trPr>
        <w:tc>
          <w:tcPr>
            <w:tcW w:w="3072" w:type="pct"/>
            <w:shd w:val="clear" w:color="auto" w:fill="auto"/>
            <w:vAlign w:val="bottom"/>
          </w:tcPr>
          <w:p w14:paraId="0FAB0F1C"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Other operating income</w:t>
            </w:r>
          </w:p>
        </w:tc>
        <w:tc>
          <w:tcPr>
            <w:tcW w:w="422" w:type="pct"/>
            <w:shd w:val="clear" w:color="auto" w:fill="auto"/>
            <w:vAlign w:val="bottom"/>
          </w:tcPr>
          <w:p w14:paraId="306F6397" w14:textId="77777777" w:rsidR="00D83E33" w:rsidRPr="00852AC7" w:rsidRDefault="00000000">
            <w:pPr>
              <w:widowControl w:val="0"/>
              <w:pBdr>
                <w:top w:val="nil"/>
                <w:left w:val="nil"/>
                <w:bottom w:val="nil"/>
                <w:right w:val="nil"/>
                <w:between w:val="nil"/>
              </w:pBdr>
              <w:jc w:val="center"/>
              <w:rPr>
                <w:smallCaps/>
                <w:color w:val="000000"/>
              </w:rPr>
            </w:pPr>
            <w:hyperlink w:anchor="_heading=h.1mrcu09">
              <w:r w:rsidR="00BC4072" w:rsidRPr="00852AC7">
                <w:rPr>
                  <w:smallCaps/>
                  <w:color w:val="000000"/>
                </w:rPr>
                <w:t>34</w:t>
              </w:r>
            </w:hyperlink>
          </w:p>
        </w:tc>
        <w:tc>
          <w:tcPr>
            <w:tcW w:w="753" w:type="pct"/>
            <w:shd w:val="clear" w:color="auto" w:fill="auto"/>
            <w:vAlign w:val="bottom"/>
          </w:tcPr>
          <w:p w14:paraId="3C4C5718"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57B6193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ADAF383" w14:textId="77777777" w:rsidTr="001B330E">
        <w:trPr>
          <w:trHeight w:val="23"/>
        </w:trPr>
        <w:tc>
          <w:tcPr>
            <w:tcW w:w="3072" w:type="pct"/>
            <w:shd w:val="clear" w:color="auto" w:fill="auto"/>
            <w:vAlign w:val="bottom"/>
          </w:tcPr>
          <w:p w14:paraId="37614C18"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Gains/(losses) arising from early retirement of debt</w:t>
            </w:r>
          </w:p>
        </w:tc>
        <w:tc>
          <w:tcPr>
            <w:tcW w:w="422" w:type="pct"/>
            <w:shd w:val="clear" w:color="auto" w:fill="auto"/>
            <w:vAlign w:val="bottom"/>
          </w:tcPr>
          <w:p w14:paraId="2AB1171A" w14:textId="77777777" w:rsidR="00D83E33" w:rsidRPr="00852AC7" w:rsidRDefault="00D83E33">
            <w:pPr>
              <w:widowControl w:val="0"/>
              <w:pBdr>
                <w:top w:val="nil"/>
                <w:left w:val="nil"/>
                <w:bottom w:val="nil"/>
                <w:right w:val="nil"/>
                <w:between w:val="nil"/>
              </w:pBdr>
              <w:jc w:val="center"/>
              <w:rPr>
                <w:color w:val="000000"/>
              </w:rPr>
            </w:pPr>
          </w:p>
        </w:tc>
        <w:tc>
          <w:tcPr>
            <w:tcW w:w="753" w:type="pct"/>
            <w:shd w:val="clear" w:color="auto" w:fill="auto"/>
            <w:vAlign w:val="bottom"/>
          </w:tcPr>
          <w:p w14:paraId="66D006E0"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55A4B5B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5C2E94F" w14:textId="77777777" w:rsidTr="001B330E">
        <w:trPr>
          <w:trHeight w:val="23"/>
        </w:trPr>
        <w:tc>
          <w:tcPr>
            <w:tcW w:w="3072" w:type="pct"/>
            <w:shd w:val="clear" w:color="auto" w:fill="auto"/>
            <w:vAlign w:val="bottom"/>
          </w:tcPr>
          <w:p w14:paraId="2CBCA283"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Sale of assets previously leased to customers</w:t>
            </w:r>
          </w:p>
        </w:tc>
        <w:tc>
          <w:tcPr>
            <w:tcW w:w="422" w:type="pct"/>
            <w:shd w:val="clear" w:color="auto" w:fill="auto"/>
            <w:vAlign w:val="bottom"/>
          </w:tcPr>
          <w:p w14:paraId="5BB33EB9"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067A35D3"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196F815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AEA1E14" w14:textId="77777777" w:rsidTr="001B330E">
        <w:trPr>
          <w:trHeight w:val="23"/>
        </w:trPr>
        <w:tc>
          <w:tcPr>
            <w:tcW w:w="3072" w:type="pct"/>
            <w:shd w:val="clear" w:color="auto" w:fill="auto"/>
            <w:vAlign w:val="bottom"/>
          </w:tcPr>
          <w:p w14:paraId="017D66B3"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Cost of assets sold and previously leased to customers</w:t>
            </w:r>
          </w:p>
        </w:tc>
        <w:tc>
          <w:tcPr>
            <w:tcW w:w="422" w:type="pct"/>
            <w:shd w:val="clear" w:color="auto" w:fill="auto"/>
            <w:vAlign w:val="bottom"/>
          </w:tcPr>
          <w:p w14:paraId="42D9A330"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32565131"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3475813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48DC990" w14:textId="77777777" w:rsidTr="001B330E">
        <w:trPr>
          <w:trHeight w:val="23"/>
        </w:trPr>
        <w:tc>
          <w:tcPr>
            <w:tcW w:w="3072" w:type="pct"/>
            <w:shd w:val="clear" w:color="auto" w:fill="auto"/>
            <w:vAlign w:val="bottom"/>
          </w:tcPr>
          <w:p w14:paraId="2290A09C"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xml:space="preserve">Administrative and other operating expenses </w:t>
            </w:r>
          </w:p>
        </w:tc>
        <w:tc>
          <w:tcPr>
            <w:tcW w:w="422" w:type="pct"/>
            <w:shd w:val="clear" w:color="auto" w:fill="auto"/>
            <w:vAlign w:val="bottom"/>
          </w:tcPr>
          <w:p w14:paraId="216E551E" w14:textId="77777777" w:rsidR="00D83E33" w:rsidRPr="00852AC7" w:rsidRDefault="00000000">
            <w:pPr>
              <w:widowControl w:val="0"/>
              <w:pBdr>
                <w:top w:val="nil"/>
                <w:left w:val="nil"/>
                <w:bottom w:val="nil"/>
                <w:right w:val="nil"/>
                <w:between w:val="nil"/>
              </w:pBdr>
              <w:jc w:val="center"/>
              <w:rPr>
                <w:color w:val="000000"/>
              </w:rPr>
            </w:pPr>
            <w:hyperlink w:anchor="_heading=h.46r0co2">
              <w:r w:rsidR="00BC4072" w:rsidRPr="00852AC7">
                <w:rPr>
                  <w:color w:val="000000"/>
                </w:rPr>
                <w:t>35</w:t>
              </w:r>
            </w:hyperlink>
          </w:p>
        </w:tc>
        <w:tc>
          <w:tcPr>
            <w:tcW w:w="753" w:type="pct"/>
            <w:shd w:val="clear" w:color="auto" w:fill="auto"/>
            <w:vAlign w:val="bottom"/>
          </w:tcPr>
          <w:p w14:paraId="20C42E93"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213B8C9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B3A975F" w14:textId="77777777" w:rsidTr="001B330E">
        <w:trPr>
          <w:trHeight w:val="23"/>
        </w:trPr>
        <w:tc>
          <w:tcPr>
            <w:tcW w:w="3072" w:type="pct"/>
            <w:shd w:val="clear" w:color="auto" w:fill="auto"/>
            <w:vAlign w:val="bottom"/>
          </w:tcPr>
          <w:p w14:paraId="4E7A5614" w14:textId="77777777" w:rsidR="00D83E33" w:rsidRPr="00852AC7" w:rsidRDefault="00BC4072" w:rsidP="001B330E">
            <w:pPr>
              <w:widowControl w:val="0"/>
              <w:pBdr>
                <w:top w:val="nil"/>
                <w:left w:val="nil"/>
                <w:bottom w:val="nil"/>
                <w:right w:val="nil"/>
                <w:between w:val="nil"/>
              </w:pBdr>
              <w:ind w:left="113" w:hanging="113"/>
              <w:rPr>
                <w:i/>
                <w:color w:val="000000"/>
              </w:rPr>
            </w:pPr>
            <w:r w:rsidRPr="00852AC7">
              <w:rPr>
                <w:color w:val="000000"/>
              </w:rPr>
              <w:t xml:space="preserve">Share of result of associates </w:t>
            </w:r>
          </w:p>
        </w:tc>
        <w:tc>
          <w:tcPr>
            <w:tcW w:w="422" w:type="pct"/>
            <w:shd w:val="clear" w:color="auto" w:fill="auto"/>
            <w:vAlign w:val="bottom"/>
          </w:tcPr>
          <w:p w14:paraId="46452305"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14</w:t>
            </w:r>
          </w:p>
        </w:tc>
        <w:tc>
          <w:tcPr>
            <w:tcW w:w="753" w:type="pct"/>
            <w:shd w:val="clear" w:color="auto" w:fill="auto"/>
            <w:vAlign w:val="bottom"/>
          </w:tcPr>
          <w:p w14:paraId="655D43EA"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460364B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A12CE42" w14:textId="77777777" w:rsidTr="001B330E">
        <w:trPr>
          <w:trHeight w:val="23"/>
        </w:trPr>
        <w:tc>
          <w:tcPr>
            <w:tcW w:w="3072" w:type="pct"/>
            <w:tcBorders>
              <w:bottom w:val="single" w:sz="4" w:space="0" w:color="000000"/>
            </w:tcBorders>
            <w:shd w:val="clear" w:color="auto" w:fill="auto"/>
            <w:vAlign w:val="bottom"/>
          </w:tcPr>
          <w:p w14:paraId="61CDCC69" w14:textId="77777777" w:rsidR="00D83E33" w:rsidRPr="00852AC7" w:rsidRDefault="00BC4072" w:rsidP="001B330E">
            <w:pPr>
              <w:widowControl w:val="0"/>
              <w:ind w:left="113" w:hanging="113"/>
            </w:pPr>
            <w:r w:rsidRPr="00852AC7">
              <w:t> </w:t>
            </w:r>
          </w:p>
        </w:tc>
        <w:tc>
          <w:tcPr>
            <w:tcW w:w="422" w:type="pct"/>
            <w:tcBorders>
              <w:bottom w:val="single" w:sz="4" w:space="0" w:color="000000"/>
            </w:tcBorders>
            <w:shd w:val="clear" w:color="auto" w:fill="auto"/>
            <w:vAlign w:val="bottom"/>
          </w:tcPr>
          <w:p w14:paraId="2F27BB20" w14:textId="77777777" w:rsidR="00D83E33" w:rsidRPr="00852AC7" w:rsidRDefault="00D83E33">
            <w:pPr>
              <w:widowControl w:val="0"/>
              <w:pBdr>
                <w:top w:val="nil"/>
                <w:left w:val="nil"/>
                <w:bottom w:val="nil"/>
                <w:right w:val="nil"/>
                <w:between w:val="nil"/>
              </w:pBdr>
              <w:jc w:val="center"/>
              <w:rPr>
                <w:color w:val="000000"/>
              </w:rPr>
            </w:pPr>
          </w:p>
        </w:tc>
        <w:tc>
          <w:tcPr>
            <w:tcW w:w="753" w:type="pct"/>
            <w:tcBorders>
              <w:bottom w:val="single" w:sz="4" w:space="0" w:color="000000"/>
            </w:tcBorders>
            <w:shd w:val="clear" w:color="auto" w:fill="auto"/>
            <w:vAlign w:val="bottom"/>
          </w:tcPr>
          <w:p w14:paraId="22429271"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4" w:space="0" w:color="000000"/>
            </w:tcBorders>
            <w:shd w:val="clear" w:color="auto" w:fill="auto"/>
            <w:vAlign w:val="bottom"/>
          </w:tcPr>
          <w:p w14:paraId="6EF8CE6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25185FC" w14:textId="77777777" w:rsidTr="001B330E">
        <w:trPr>
          <w:trHeight w:val="23"/>
        </w:trPr>
        <w:tc>
          <w:tcPr>
            <w:tcW w:w="3072" w:type="pct"/>
            <w:shd w:val="clear" w:color="auto" w:fill="auto"/>
            <w:vAlign w:val="bottom"/>
          </w:tcPr>
          <w:p w14:paraId="1E7FA49A" w14:textId="77777777" w:rsidR="00D83E33" w:rsidRPr="00852AC7" w:rsidRDefault="00BC4072" w:rsidP="001B330E">
            <w:pPr>
              <w:widowControl w:val="0"/>
              <w:ind w:left="113" w:hanging="113"/>
            </w:pPr>
            <w:r w:rsidRPr="00852AC7">
              <w:t> </w:t>
            </w:r>
          </w:p>
        </w:tc>
        <w:tc>
          <w:tcPr>
            <w:tcW w:w="422" w:type="pct"/>
            <w:shd w:val="clear" w:color="auto" w:fill="auto"/>
            <w:vAlign w:val="bottom"/>
          </w:tcPr>
          <w:p w14:paraId="21DA6DA1" w14:textId="77777777" w:rsidR="00D83E33" w:rsidRPr="00852AC7" w:rsidRDefault="00D83E33">
            <w:pPr>
              <w:widowControl w:val="0"/>
              <w:pBdr>
                <w:top w:val="nil"/>
                <w:left w:val="nil"/>
                <w:bottom w:val="nil"/>
                <w:right w:val="nil"/>
                <w:between w:val="nil"/>
              </w:pBdr>
              <w:jc w:val="center"/>
              <w:rPr>
                <w:color w:val="000000"/>
              </w:rPr>
            </w:pPr>
          </w:p>
        </w:tc>
        <w:tc>
          <w:tcPr>
            <w:tcW w:w="753" w:type="pct"/>
            <w:shd w:val="clear" w:color="auto" w:fill="auto"/>
            <w:vAlign w:val="bottom"/>
          </w:tcPr>
          <w:p w14:paraId="53AC907B"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1E2F941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23B8437" w14:textId="77777777" w:rsidTr="001B330E">
        <w:trPr>
          <w:trHeight w:val="23"/>
        </w:trPr>
        <w:tc>
          <w:tcPr>
            <w:tcW w:w="3072" w:type="pct"/>
            <w:shd w:val="clear" w:color="auto" w:fill="auto"/>
            <w:vAlign w:val="bottom"/>
          </w:tcPr>
          <w:p w14:paraId="2C8DD48A"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Profit/(loss) before tax</w:t>
            </w:r>
          </w:p>
        </w:tc>
        <w:tc>
          <w:tcPr>
            <w:tcW w:w="422" w:type="pct"/>
            <w:shd w:val="clear" w:color="auto" w:fill="auto"/>
            <w:vAlign w:val="bottom"/>
          </w:tcPr>
          <w:p w14:paraId="581F6A41" w14:textId="77777777" w:rsidR="00D83E33" w:rsidRPr="00852AC7" w:rsidRDefault="00D83E33">
            <w:pPr>
              <w:widowControl w:val="0"/>
              <w:pBdr>
                <w:top w:val="nil"/>
                <w:left w:val="nil"/>
                <w:bottom w:val="nil"/>
                <w:right w:val="nil"/>
                <w:between w:val="nil"/>
              </w:pBdr>
              <w:jc w:val="center"/>
              <w:rPr>
                <w:b/>
                <w:color w:val="000000"/>
              </w:rPr>
            </w:pPr>
          </w:p>
        </w:tc>
        <w:tc>
          <w:tcPr>
            <w:tcW w:w="753" w:type="pct"/>
            <w:shd w:val="clear" w:color="auto" w:fill="auto"/>
            <w:vAlign w:val="bottom"/>
          </w:tcPr>
          <w:p w14:paraId="483C1B53" w14:textId="77777777" w:rsidR="00D83E33" w:rsidRPr="00852AC7" w:rsidRDefault="00D83E33">
            <w:pPr>
              <w:widowControl w:val="0"/>
              <w:pBdr>
                <w:top w:val="nil"/>
                <w:left w:val="nil"/>
                <w:bottom w:val="nil"/>
                <w:right w:val="nil"/>
                <w:between w:val="nil"/>
              </w:pBdr>
              <w:jc w:val="right"/>
              <w:rPr>
                <w:b/>
                <w:color w:val="000000"/>
              </w:rPr>
            </w:pPr>
          </w:p>
        </w:tc>
        <w:tc>
          <w:tcPr>
            <w:tcW w:w="753" w:type="pct"/>
            <w:shd w:val="clear" w:color="auto" w:fill="auto"/>
            <w:vAlign w:val="bottom"/>
          </w:tcPr>
          <w:p w14:paraId="44F12594"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66D3AD17" w14:textId="77777777" w:rsidTr="001B330E">
        <w:trPr>
          <w:trHeight w:val="23"/>
        </w:trPr>
        <w:tc>
          <w:tcPr>
            <w:tcW w:w="3072" w:type="pct"/>
            <w:shd w:val="clear" w:color="auto" w:fill="auto"/>
            <w:vAlign w:val="bottom"/>
          </w:tcPr>
          <w:p w14:paraId="704C2FEF"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Income tax (expense)/credit</w:t>
            </w:r>
          </w:p>
        </w:tc>
        <w:tc>
          <w:tcPr>
            <w:tcW w:w="422" w:type="pct"/>
            <w:shd w:val="clear" w:color="auto" w:fill="auto"/>
            <w:vAlign w:val="bottom"/>
          </w:tcPr>
          <w:p w14:paraId="35D7CAB4" w14:textId="77777777" w:rsidR="00D83E33" w:rsidRPr="00852AC7" w:rsidRDefault="00000000">
            <w:pPr>
              <w:widowControl w:val="0"/>
              <w:pBdr>
                <w:top w:val="nil"/>
                <w:left w:val="nil"/>
                <w:bottom w:val="nil"/>
                <w:right w:val="nil"/>
                <w:between w:val="nil"/>
              </w:pBdr>
              <w:jc w:val="center"/>
              <w:rPr>
                <w:color w:val="000000"/>
              </w:rPr>
            </w:pPr>
            <w:hyperlink w:anchor="_heading=h.2lwamvv">
              <w:r w:rsidR="00BC4072" w:rsidRPr="00852AC7">
                <w:rPr>
                  <w:color w:val="000000"/>
                </w:rPr>
                <w:t>36</w:t>
              </w:r>
            </w:hyperlink>
          </w:p>
        </w:tc>
        <w:tc>
          <w:tcPr>
            <w:tcW w:w="753" w:type="pct"/>
            <w:shd w:val="clear" w:color="auto" w:fill="auto"/>
            <w:vAlign w:val="bottom"/>
          </w:tcPr>
          <w:p w14:paraId="32881E01"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2AF3D23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30E5A16" w14:textId="77777777" w:rsidTr="001B330E">
        <w:trPr>
          <w:trHeight w:val="23"/>
        </w:trPr>
        <w:tc>
          <w:tcPr>
            <w:tcW w:w="3072" w:type="pct"/>
            <w:tcBorders>
              <w:bottom w:val="single" w:sz="4" w:space="0" w:color="000000"/>
            </w:tcBorders>
            <w:shd w:val="clear" w:color="auto" w:fill="auto"/>
            <w:vAlign w:val="bottom"/>
          </w:tcPr>
          <w:p w14:paraId="61A43EE5" w14:textId="77777777" w:rsidR="00D83E33" w:rsidRPr="00852AC7" w:rsidRDefault="00BC4072" w:rsidP="001B330E">
            <w:pPr>
              <w:widowControl w:val="0"/>
              <w:ind w:left="113" w:hanging="113"/>
            </w:pPr>
            <w:r w:rsidRPr="00852AC7">
              <w:t> </w:t>
            </w:r>
          </w:p>
        </w:tc>
        <w:tc>
          <w:tcPr>
            <w:tcW w:w="422" w:type="pct"/>
            <w:tcBorders>
              <w:bottom w:val="single" w:sz="4" w:space="0" w:color="000000"/>
            </w:tcBorders>
            <w:shd w:val="clear" w:color="auto" w:fill="auto"/>
            <w:vAlign w:val="bottom"/>
          </w:tcPr>
          <w:p w14:paraId="750DB479" w14:textId="77777777" w:rsidR="00D83E33" w:rsidRPr="00852AC7" w:rsidRDefault="00D83E33">
            <w:pPr>
              <w:widowControl w:val="0"/>
              <w:pBdr>
                <w:top w:val="nil"/>
                <w:left w:val="nil"/>
                <w:bottom w:val="nil"/>
                <w:right w:val="nil"/>
                <w:between w:val="nil"/>
              </w:pBdr>
              <w:jc w:val="center"/>
              <w:rPr>
                <w:color w:val="000000"/>
              </w:rPr>
            </w:pPr>
          </w:p>
        </w:tc>
        <w:tc>
          <w:tcPr>
            <w:tcW w:w="753" w:type="pct"/>
            <w:tcBorders>
              <w:bottom w:val="single" w:sz="4" w:space="0" w:color="000000"/>
            </w:tcBorders>
            <w:shd w:val="clear" w:color="auto" w:fill="auto"/>
            <w:vAlign w:val="bottom"/>
          </w:tcPr>
          <w:p w14:paraId="29D18BA1"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4" w:space="0" w:color="000000"/>
            </w:tcBorders>
            <w:shd w:val="clear" w:color="auto" w:fill="auto"/>
            <w:vAlign w:val="bottom"/>
          </w:tcPr>
          <w:p w14:paraId="66E67B2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D7F2527" w14:textId="77777777" w:rsidTr="001B330E">
        <w:trPr>
          <w:trHeight w:val="23"/>
        </w:trPr>
        <w:tc>
          <w:tcPr>
            <w:tcW w:w="3072" w:type="pct"/>
            <w:shd w:val="clear" w:color="auto" w:fill="auto"/>
            <w:vAlign w:val="bottom"/>
          </w:tcPr>
          <w:p w14:paraId="48A2C134" w14:textId="77777777" w:rsidR="00D83E33" w:rsidRPr="00852AC7" w:rsidRDefault="00BC4072" w:rsidP="001B330E">
            <w:pPr>
              <w:widowControl w:val="0"/>
              <w:ind w:left="113" w:hanging="113"/>
            </w:pPr>
            <w:r w:rsidRPr="00852AC7">
              <w:t> </w:t>
            </w:r>
          </w:p>
        </w:tc>
        <w:tc>
          <w:tcPr>
            <w:tcW w:w="422" w:type="pct"/>
            <w:shd w:val="clear" w:color="auto" w:fill="auto"/>
            <w:vAlign w:val="bottom"/>
          </w:tcPr>
          <w:p w14:paraId="26DABF1C" w14:textId="77777777" w:rsidR="00D83E33" w:rsidRPr="00852AC7" w:rsidRDefault="00D83E33">
            <w:pPr>
              <w:widowControl w:val="0"/>
              <w:pBdr>
                <w:top w:val="nil"/>
                <w:left w:val="nil"/>
                <w:bottom w:val="nil"/>
                <w:right w:val="nil"/>
                <w:between w:val="nil"/>
              </w:pBdr>
              <w:jc w:val="center"/>
              <w:rPr>
                <w:color w:val="000000"/>
              </w:rPr>
            </w:pPr>
          </w:p>
        </w:tc>
        <w:tc>
          <w:tcPr>
            <w:tcW w:w="753" w:type="pct"/>
            <w:shd w:val="clear" w:color="auto" w:fill="auto"/>
            <w:vAlign w:val="bottom"/>
          </w:tcPr>
          <w:p w14:paraId="30E25922"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76823D86"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5511FC1" w14:textId="77777777" w:rsidTr="001B330E">
        <w:trPr>
          <w:trHeight w:val="23"/>
        </w:trPr>
        <w:tc>
          <w:tcPr>
            <w:tcW w:w="3072" w:type="pct"/>
            <w:shd w:val="clear" w:color="auto" w:fill="auto"/>
            <w:vAlign w:val="bottom"/>
          </w:tcPr>
          <w:p w14:paraId="11C14387" w14:textId="77777777" w:rsidR="00D83E33" w:rsidRPr="00852AC7" w:rsidRDefault="00BC4072" w:rsidP="001B330E">
            <w:pPr>
              <w:widowControl w:val="0"/>
              <w:pBdr>
                <w:top w:val="nil"/>
                <w:left w:val="nil"/>
                <w:bottom w:val="nil"/>
                <w:right w:val="nil"/>
                <w:between w:val="nil"/>
              </w:pBdr>
              <w:ind w:left="113" w:hanging="113"/>
              <w:rPr>
                <w:b/>
                <w:smallCaps/>
                <w:color w:val="000000"/>
              </w:rPr>
            </w:pPr>
            <w:r w:rsidRPr="00852AC7">
              <w:rPr>
                <w:b/>
                <w:smallCaps/>
                <w:color w:val="000000"/>
              </w:rPr>
              <w:t>PROFIT/(LOSS) FOR THE YEAR</w:t>
            </w:r>
          </w:p>
        </w:tc>
        <w:tc>
          <w:tcPr>
            <w:tcW w:w="422" w:type="pct"/>
            <w:shd w:val="clear" w:color="auto" w:fill="auto"/>
            <w:vAlign w:val="bottom"/>
          </w:tcPr>
          <w:p w14:paraId="3E485D59"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shd w:val="clear" w:color="auto" w:fill="auto"/>
            <w:vAlign w:val="bottom"/>
          </w:tcPr>
          <w:p w14:paraId="7931E7DC" w14:textId="77777777" w:rsidR="00D83E33" w:rsidRPr="00852AC7" w:rsidRDefault="00D83E33">
            <w:pPr>
              <w:widowControl w:val="0"/>
              <w:pBdr>
                <w:top w:val="nil"/>
                <w:left w:val="nil"/>
                <w:bottom w:val="nil"/>
                <w:right w:val="nil"/>
                <w:between w:val="nil"/>
              </w:pBdr>
              <w:jc w:val="right"/>
              <w:rPr>
                <w:b/>
                <w:color w:val="000000"/>
              </w:rPr>
            </w:pPr>
          </w:p>
        </w:tc>
        <w:tc>
          <w:tcPr>
            <w:tcW w:w="753" w:type="pct"/>
            <w:shd w:val="clear" w:color="auto" w:fill="auto"/>
            <w:vAlign w:val="bottom"/>
          </w:tcPr>
          <w:p w14:paraId="0A98DC89"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662F6BC2" w14:textId="77777777" w:rsidTr="001B330E">
        <w:trPr>
          <w:trHeight w:val="23"/>
        </w:trPr>
        <w:tc>
          <w:tcPr>
            <w:tcW w:w="3072" w:type="pct"/>
            <w:tcBorders>
              <w:bottom w:val="single" w:sz="12" w:space="0" w:color="000000"/>
            </w:tcBorders>
            <w:shd w:val="clear" w:color="auto" w:fill="auto"/>
            <w:vAlign w:val="bottom"/>
          </w:tcPr>
          <w:p w14:paraId="343BFA7E"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22" w:type="pct"/>
            <w:tcBorders>
              <w:bottom w:val="single" w:sz="12" w:space="0" w:color="000000"/>
            </w:tcBorders>
            <w:shd w:val="clear" w:color="auto" w:fill="auto"/>
            <w:vAlign w:val="bottom"/>
          </w:tcPr>
          <w:p w14:paraId="7C058345"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tcBorders>
              <w:bottom w:val="single" w:sz="12" w:space="0" w:color="000000"/>
            </w:tcBorders>
            <w:shd w:val="clear" w:color="auto" w:fill="auto"/>
            <w:vAlign w:val="bottom"/>
          </w:tcPr>
          <w:p w14:paraId="7A89E38D"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12" w:space="0" w:color="000000"/>
            </w:tcBorders>
            <w:shd w:val="clear" w:color="auto" w:fill="auto"/>
            <w:vAlign w:val="bottom"/>
          </w:tcPr>
          <w:p w14:paraId="16EB913C"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1ECAEF9" w14:textId="77777777" w:rsidTr="001B330E">
        <w:trPr>
          <w:trHeight w:val="23"/>
        </w:trPr>
        <w:tc>
          <w:tcPr>
            <w:tcW w:w="3072" w:type="pct"/>
            <w:shd w:val="clear" w:color="auto" w:fill="auto"/>
            <w:vAlign w:val="bottom"/>
          </w:tcPr>
          <w:p w14:paraId="4445DDD3"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color w:val="000000"/>
              </w:rPr>
              <w:t> </w:t>
            </w:r>
          </w:p>
        </w:tc>
        <w:tc>
          <w:tcPr>
            <w:tcW w:w="422" w:type="pct"/>
            <w:shd w:val="clear" w:color="auto" w:fill="auto"/>
            <w:vAlign w:val="bottom"/>
          </w:tcPr>
          <w:p w14:paraId="475BB427"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241B2778"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40C5DE4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CF242D8" w14:textId="77777777" w:rsidTr="001B330E">
        <w:trPr>
          <w:trHeight w:val="23"/>
        </w:trPr>
        <w:tc>
          <w:tcPr>
            <w:tcW w:w="3072" w:type="pct"/>
            <w:shd w:val="clear" w:color="auto" w:fill="auto"/>
            <w:vAlign w:val="bottom"/>
          </w:tcPr>
          <w:p w14:paraId="700138E2"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Other comprehensive income / (loss):</w:t>
            </w:r>
          </w:p>
        </w:tc>
        <w:tc>
          <w:tcPr>
            <w:tcW w:w="422" w:type="pct"/>
            <w:shd w:val="clear" w:color="auto" w:fill="auto"/>
            <w:vAlign w:val="bottom"/>
          </w:tcPr>
          <w:p w14:paraId="79F0194E"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shd w:val="clear" w:color="auto" w:fill="auto"/>
            <w:vAlign w:val="bottom"/>
          </w:tcPr>
          <w:p w14:paraId="0B07C923" w14:textId="77777777" w:rsidR="00D83E33" w:rsidRPr="00852AC7" w:rsidRDefault="00D83E33">
            <w:pPr>
              <w:widowControl w:val="0"/>
              <w:pBdr>
                <w:top w:val="nil"/>
                <w:left w:val="nil"/>
                <w:bottom w:val="nil"/>
                <w:right w:val="nil"/>
                <w:between w:val="nil"/>
              </w:pBdr>
              <w:jc w:val="right"/>
              <w:rPr>
                <w:b/>
                <w:color w:val="000000"/>
              </w:rPr>
            </w:pPr>
          </w:p>
        </w:tc>
        <w:tc>
          <w:tcPr>
            <w:tcW w:w="753" w:type="pct"/>
            <w:shd w:val="clear" w:color="auto" w:fill="auto"/>
            <w:vAlign w:val="bottom"/>
          </w:tcPr>
          <w:p w14:paraId="44BC0AAC"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0620DE49" w14:textId="77777777" w:rsidTr="001B330E">
        <w:trPr>
          <w:trHeight w:val="23"/>
        </w:trPr>
        <w:tc>
          <w:tcPr>
            <w:tcW w:w="3072" w:type="pct"/>
            <w:shd w:val="clear" w:color="auto" w:fill="auto"/>
            <w:vAlign w:val="bottom"/>
          </w:tcPr>
          <w:p w14:paraId="74FB5AEA"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22" w:type="pct"/>
            <w:shd w:val="clear" w:color="auto" w:fill="auto"/>
            <w:vAlign w:val="bottom"/>
          </w:tcPr>
          <w:p w14:paraId="69DBCC59"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303B7096"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735B06CD"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3B22103" w14:textId="77777777" w:rsidTr="001B330E">
        <w:trPr>
          <w:trHeight w:val="23"/>
        </w:trPr>
        <w:tc>
          <w:tcPr>
            <w:tcW w:w="3072" w:type="pct"/>
            <w:shd w:val="clear" w:color="auto" w:fill="auto"/>
            <w:vAlign w:val="bottom"/>
          </w:tcPr>
          <w:p w14:paraId="35FC5B1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i/>
                <w:color w:val="000000"/>
              </w:rPr>
              <w:t xml:space="preserve">Items that may be reclassified subsequently to profit or loss: </w:t>
            </w:r>
          </w:p>
        </w:tc>
        <w:tc>
          <w:tcPr>
            <w:tcW w:w="422" w:type="pct"/>
            <w:shd w:val="clear" w:color="auto" w:fill="auto"/>
            <w:vAlign w:val="bottom"/>
          </w:tcPr>
          <w:p w14:paraId="2D3EEFD3"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62833828"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5F0E53C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8886D25" w14:textId="77777777" w:rsidTr="001B330E">
        <w:trPr>
          <w:trHeight w:val="23"/>
        </w:trPr>
        <w:tc>
          <w:tcPr>
            <w:tcW w:w="3072" w:type="pct"/>
            <w:shd w:val="clear" w:color="auto" w:fill="auto"/>
            <w:vAlign w:val="bottom"/>
          </w:tcPr>
          <w:p w14:paraId="1D7DF6D4" w14:textId="77777777" w:rsidR="00D83E33" w:rsidRPr="00852AC7" w:rsidRDefault="00D83E33" w:rsidP="001B330E">
            <w:pPr>
              <w:widowControl w:val="0"/>
              <w:pBdr>
                <w:top w:val="nil"/>
                <w:left w:val="nil"/>
                <w:bottom w:val="nil"/>
                <w:right w:val="nil"/>
                <w:between w:val="nil"/>
              </w:pBdr>
              <w:ind w:left="113" w:hanging="113"/>
              <w:rPr>
                <w:color w:val="000000"/>
              </w:rPr>
            </w:pPr>
          </w:p>
        </w:tc>
        <w:tc>
          <w:tcPr>
            <w:tcW w:w="422" w:type="pct"/>
            <w:shd w:val="clear" w:color="auto" w:fill="auto"/>
            <w:vAlign w:val="bottom"/>
          </w:tcPr>
          <w:p w14:paraId="0472EE8C"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483627EE"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60A6C2B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F881EC4" w14:textId="77777777" w:rsidTr="001B330E">
        <w:trPr>
          <w:trHeight w:val="23"/>
        </w:trPr>
        <w:tc>
          <w:tcPr>
            <w:tcW w:w="3072" w:type="pct"/>
            <w:shd w:val="clear" w:color="auto" w:fill="auto"/>
            <w:vAlign w:val="bottom"/>
          </w:tcPr>
          <w:p w14:paraId="24D02B0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Debt securities at fair value through other comprehensive income:</w:t>
            </w:r>
          </w:p>
        </w:tc>
        <w:tc>
          <w:tcPr>
            <w:tcW w:w="422" w:type="pct"/>
            <w:shd w:val="clear" w:color="auto" w:fill="auto"/>
            <w:vAlign w:val="bottom"/>
          </w:tcPr>
          <w:p w14:paraId="610EF49E" w14:textId="77777777" w:rsidR="00D83E33" w:rsidRPr="00852AC7" w:rsidRDefault="00BC4072">
            <w:pPr>
              <w:widowControl w:val="0"/>
              <w:pBdr>
                <w:top w:val="nil"/>
                <w:left w:val="nil"/>
                <w:bottom w:val="nil"/>
                <w:right w:val="nil"/>
                <w:between w:val="nil"/>
              </w:pBdr>
              <w:jc w:val="center"/>
              <w:rPr>
                <w:smallCaps/>
                <w:color w:val="000000"/>
              </w:rPr>
            </w:pPr>
            <w:r w:rsidRPr="00852AC7">
              <w:rPr>
                <w:smallCaps/>
                <w:color w:val="000000"/>
              </w:rPr>
              <w:t>9,12</w:t>
            </w:r>
          </w:p>
        </w:tc>
        <w:tc>
          <w:tcPr>
            <w:tcW w:w="753" w:type="pct"/>
            <w:shd w:val="clear" w:color="auto" w:fill="auto"/>
            <w:vAlign w:val="bottom"/>
          </w:tcPr>
          <w:p w14:paraId="15CB4C22"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33347C0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4A065DA" w14:textId="77777777" w:rsidTr="001B330E">
        <w:trPr>
          <w:trHeight w:val="23"/>
        </w:trPr>
        <w:tc>
          <w:tcPr>
            <w:tcW w:w="3072" w:type="pct"/>
            <w:shd w:val="clear" w:color="auto" w:fill="auto"/>
            <w:vAlign w:val="bottom"/>
          </w:tcPr>
          <w:p w14:paraId="241144CF"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xml:space="preserve">- </w:t>
            </w:r>
            <w:r w:rsidRPr="00852AC7">
              <w:rPr>
                <w:color w:val="000000"/>
              </w:rPr>
              <w:tab/>
              <w:t>Gains less losses arising during the year</w:t>
            </w:r>
          </w:p>
        </w:tc>
        <w:tc>
          <w:tcPr>
            <w:tcW w:w="422" w:type="pct"/>
            <w:shd w:val="clear" w:color="auto" w:fill="auto"/>
            <w:vAlign w:val="bottom"/>
          </w:tcPr>
          <w:p w14:paraId="45897990"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46096447"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7158BEE6" w14:textId="5BF190DF" w:rsidR="00D83E33" w:rsidRPr="00852AC7" w:rsidRDefault="00D83E33">
            <w:pPr>
              <w:widowControl w:val="0"/>
              <w:pBdr>
                <w:top w:val="nil"/>
                <w:left w:val="nil"/>
                <w:bottom w:val="nil"/>
                <w:right w:val="nil"/>
                <w:between w:val="nil"/>
              </w:pBdr>
              <w:jc w:val="right"/>
              <w:rPr>
                <w:color w:val="000000"/>
              </w:rPr>
            </w:pPr>
          </w:p>
        </w:tc>
      </w:tr>
      <w:tr w:rsidR="00D83E33" w:rsidRPr="00852AC7" w14:paraId="3A05CAA8" w14:textId="77777777" w:rsidTr="001B330E">
        <w:trPr>
          <w:trHeight w:val="23"/>
        </w:trPr>
        <w:tc>
          <w:tcPr>
            <w:tcW w:w="3072" w:type="pct"/>
            <w:shd w:val="clear" w:color="auto" w:fill="auto"/>
            <w:vAlign w:val="bottom"/>
          </w:tcPr>
          <w:p w14:paraId="48705667"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xml:space="preserve">- </w:t>
            </w:r>
            <w:r w:rsidRPr="00852AC7">
              <w:rPr>
                <w:color w:val="000000"/>
              </w:rPr>
              <w:tab/>
              <w:t>Gains less losses reclassified to profit or loss upon disposal</w:t>
            </w:r>
          </w:p>
        </w:tc>
        <w:tc>
          <w:tcPr>
            <w:tcW w:w="422" w:type="pct"/>
            <w:shd w:val="clear" w:color="auto" w:fill="auto"/>
            <w:vAlign w:val="bottom"/>
          </w:tcPr>
          <w:p w14:paraId="18AF9126"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22602F94"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5F0E1343" w14:textId="5D4FB212" w:rsidR="00D83E33" w:rsidRPr="00852AC7" w:rsidRDefault="00D83E33">
            <w:pPr>
              <w:widowControl w:val="0"/>
              <w:pBdr>
                <w:top w:val="nil"/>
                <w:left w:val="nil"/>
                <w:bottom w:val="nil"/>
                <w:right w:val="nil"/>
                <w:between w:val="nil"/>
              </w:pBdr>
              <w:jc w:val="right"/>
              <w:rPr>
                <w:color w:val="000000"/>
              </w:rPr>
            </w:pPr>
          </w:p>
        </w:tc>
      </w:tr>
      <w:tr w:rsidR="00D83E33" w:rsidRPr="00852AC7" w14:paraId="2267023F" w14:textId="77777777" w:rsidTr="001B330E">
        <w:trPr>
          <w:trHeight w:val="23"/>
        </w:trPr>
        <w:tc>
          <w:tcPr>
            <w:tcW w:w="3072" w:type="pct"/>
            <w:vAlign w:val="bottom"/>
          </w:tcPr>
          <w:p w14:paraId="0B3C564B"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color w:val="000000"/>
              </w:rPr>
              <w:t>Translation of financial information of foreign operations to presentation currency</w:t>
            </w:r>
          </w:p>
        </w:tc>
        <w:tc>
          <w:tcPr>
            <w:tcW w:w="422" w:type="pct"/>
            <w:vAlign w:val="bottom"/>
          </w:tcPr>
          <w:p w14:paraId="24C724C2"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vAlign w:val="bottom"/>
          </w:tcPr>
          <w:p w14:paraId="06D9F215"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7228CDA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269B308" w14:textId="77777777" w:rsidTr="001B330E">
        <w:trPr>
          <w:trHeight w:val="23"/>
        </w:trPr>
        <w:tc>
          <w:tcPr>
            <w:tcW w:w="3072" w:type="pct"/>
            <w:vAlign w:val="bottom"/>
          </w:tcPr>
          <w:p w14:paraId="64CDFEBB"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Share of other comprehensive income of associates</w:t>
            </w:r>
          </w:p>
        </w:tc>
        <w:tc>
          <w:tcPr>
            <w:tcW w:w="422" w:type="pct"/>
            <w:vAlign w:val="bottom"/>
          </w:tcPr>
          <w:p w14:paraId="4DB22F96" w14:textId="77777777" w:rsidR="00D83E33" w:rsidRPr="00852AC7" w:rsidRDefault="00BC4072">
            <w:pPr>
              <w:widowControl w:val="0"/>
              <w:pBdr>
                <w:top w:val="nil"/>
                <w:left w:val="nil"/>
                <w:bottom w:val="nil"/>
                <w:right w:val="nil"/>
                <w:between w:val="nil"/>
              </w:pBdr>
              <w:jc w:val="center"/>
              <w:rPr>
                <w:smallCaps/>
                <w:color w:val="000000"/>
              </w:rPr>
            </w:pPr>
            <w:r w:rsidRPr="00852AC7">
              <w:rPr>
                <w:smallCaps/>
                <w:color w:val="000000"/>
              </w:rPr>
              <w:t>14</w:t>
            </w:r>
          </w:p>
        </w:tc>
        <w:tc>
          <w:tcPr>
            <w:tcW w:w="753" w:type="pct"/>
            <w:vAlign w:val="bottom"/>
          </w:tcPr>
          <w:p w14:paraId="47D87DA9"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5759930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E532D77" w14:textId="77777777" w:rsidTr="001B330E">
        <w:trPr>
          <w:trHeight w:val="23"/>
        </w:trPr>
        <w:tc>
          <w:tcPr>
            <w:tcW w:w="3072" w:type="pct"/>
            <w:vAlign w:val="bottom"/>
          </w:tcPr>
          <w:p w14:paraId="4C0604AF"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Income tax recorded directly in other comprehensive income</w:t>
            </w:r>
          </w:p>
        </w:tc>
        <w:tc>
          <w:tcPr>
            <w:tcW w:w="422" w:type="pct"/>
            <w:vAlign w:val="bottom"/>
          </w:tcPr>
          <w:p w14:paraId="1DEE920E" w14:textId="77777777" w:rsidR="00D83E33" w:rsidRPr="00852AC7" w:rsidRDefault="00000000">
            <w:pPr>
              <w:widowControl w:val="0"/>
              <w:pBdr>
                <w:top w:val="nil"/>
                <w:left w:val="nil"/>
                <w:bottom w:val="nil"/>
                <w:right w:val="nil"/>
                <w:between w:val="nil"/>
              </w:pBdr>
              <w:jc w:val="center"/>
              <w:rPr>
                <w:smallCaps/>
                <w:color w:val="000000"/>
              </w:rPr>
            </w:pPr>
            <w:hyperlink w:anchor="_heading=h.2lwamvv">
              <w:r w:rsidR="00BC4072" w:rsidRPr="00852AC7">
                <w:rPr>
                  <w:color w:val="000000"/>
                </w:rPr>
                <w:t>36</w:t>
              </w:r>
            </w:hyperlink>
          </w:p>
        </w:tc>
        <w:tc>
          <w:tcPr>
            <w:tcW w:w="753" w:type="pct"/>
            <w:vAlign w:val="bottom"/>
          </w:tcPr>
          <w:p w14:paraId="6465ECD0"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353ADD9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0B0D587" w14:textId="77777777" w:rsidTr="001B330E">
        <w:trPr>
          <w:trHeight w:val="23"/>
        </w:trPr>
        <w:tc>
          <w:tcPr>
            <w:tcW w:w="3072" w:type="pct"/>
            <w:vAlign w:val="bottom"/>
          </w:tcPr>
          <w:p w14:paraId="0FEC0216" w14:textId="77777777" w:rsidR="00D83E33" w:rsidRDefault="00BC4072" w:rsidP="001B330E">
            <w:pPr>
              <w:widowControl w:val="0"/>
              <w:pBdr>
                <w:top w:val="nil"/>
                <w:left w:val="nil"/>
                <w:bottom w:val="nil"/>
                <w:right w:val="nil"/>
                <w:between w:val="nil"/>
              </w:pBdr>
              <w:ind w:left="113" w:hanging="113"/>
              <w:rPr>
                <w:b/>
                <w:color w:val="000000"/>
              </w:rPr>
            </w:pPr>
            <w:r w:rsidRPr="00852AC7">
              <w:rPr>
                <w:b/>
                <w:color w:val="000000"/>
              </w:rPr>
              <w:t> </w:t>
            </w:r>
          </w:p>
          <w:p w14:paraId="4803F8A2" w14:textId="44B93326" w:rsidR="00CC641F" w:rsidRPr="00852AC7" w:rsidRDefault="00CC641F" w:rsidP="001B330E">
            <w:pPr>
              <w:widowControl w:val="0"/>
              <w:pBdr>
                <w:top w:val="nil"/>
                <w:left w:val="nil"/>
                <w:bottom w:val="nil"/>
                <w:right w:val="nil"/>
                <w:between w:val="nil"/>
              </w:pBdr>
              <w:ind w:left="113" w:hanging="113"/>
              <w:rPr>
                <w:color w:val="000000"/>
              </w:rPr>
            </w:pPr>
          </w:p>
        </w:tc>
        <w:tc>
          <w:tcPr>
            <w:tcW w:w="422" w:type="pct"/>
            <w:vAlign w:val="bottom"/>
          </w:tcPr>
          <w:p w14:paraId="5B6646DA"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vAlign w:val="bottom"/>
          </w:tcPr>
          <w:p w14:paraId="7DB8F787"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3BFCEA2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1AD91BF" w14:textId="77777777" w:rsidTr="001B330E">
        <w:trPr>
          <w:trHeight w:val="23"/>
        </w:trPr>
        <w:tc>
          <w:tcPr>
            <w:tcW w:w="3072" w:type="pct"/>
            <w:vAlign w:val="bottom"/>
          </w:tcPr>
          <w:p w14:paraId="4AFC8EAF"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i/>
                <w:color w:val="000000"/>
              </w:rPr>
              <w:t>Items that will not be reclassified to profit or loss:</w:t>
            </w:r>
          </w:p>
        </w:tc>
        <w:tc>
          <w:tcPr>
            <w:tcW w:w="422" w:type="pct"/>
            <w:vAlign w:val="bottom"/>
          </w:tcPr>
          <w:p w14:paraId="55FAA61E" w14:textId="77777777" w:rsidR="00D83E33" w:rsidRPr="00852AC7" w:rsidRDefault="00D83E33" w:rsidP="001B330E">
            <w:pPr>
              <w:widowControl w:val="0"/>
              <w:pBdr>
                <w:top w:val="nil"/>
                <w:left w:val="nil"/>
                <w:bottom w:val="nil"/>
                <w:right w:val="nil"/>
                <w:between w:val="nil"/>
              </w:pBdr>
              <w:jc w:val="center"/>
              <w:rPr>
                <w:smallCaps/>
                <w:color w:val="000000"/>
              </w:rPr>
            </w:pPr>
          </w:p>
        </w:tc>
        <w:tc>
          <w:tcPr>
            <w:tcW w:w="753" w:type="pct"/>
            <w:vAlign w:val="bottom"/>
          </w:tcPr>
          <w:p w14:paraId="0BC39EE0" w14:textId="77777777" w:rsidR="00D83E33" w:rsidRPr="00852AC7" w:rsidRDefault="00D83E33" w:rsidP="001B330E">
            <w:pPr>
              <w:widowControl w:val="0"/>
              <w:pBdr>
                <w:top w:val="nil"/>
                <w:left w:val="nil"/>
                <w:bottom w:val="nil"/>
                <w:right w:val="nil"/>
                <w:between w:val="nil"/>
              </w:pBdr>
              <w:jc w:val="right"/>
              <w:rPr>
                <w:color w:val="000000"/>
              </w:rPr>
            </w:pPr>
          </w:p>
        </w:tc>
        <w:tc>
          <w:tcPr>
            <w:tcW w:w="753" w:type="pct"/>
            <w:vAlign w:val="bottom"/>
          </w:tcPr>
          <w:p w14:paraId="6AB29FE9" w14:textId="77777777" w:rsidR="00D83E33" w:rsidRPr="00852AC7" w:rsidRDefault="00D83E33" w:rsidP="001B330E">
            <w:pPr>
              <w:widowControl w:val="0"/>
              <w:pBdr>
                <w:top w:val="nil"/>
                <w:left w:val="nil"/>
                <w:bottom w:val="nil"/>
                <w:right w:val="nil"/>
                <w:between w:val="nil"/>
              </w:pBdr>
              <w:jc w:val="right"/>
              <w:rPr>
                <w:color w:val="000000"/>
              </w:rPr>
            </w:pPr>
          </w:p>
        </w:tc>
      </w:tr>
      <w:tr w:rsidR="00D83E33" w:rsidRPr="00852AC7" w14:paraId="0B8340FD" w14:textId="77777777" w:rsidTr="001B330E">
        <w:trPr>
          <w:trHeight w:val="23"/>
        </w:trPr>
        <w:tc>
          <w:tcPr>
            <w:tcW w:w="3072" w:type="pct"/>
            <w:shd w:val="clear" w:color="auto" w:fill="auto"/>
            <w:vAlign w:val="bottom"/>
          </w:tcPr>
          <w:p w14:paraId="5ABD4000" w14:textId="77777777" w:rsidR="00D83E33" w:rsidRPr="00852AC7" w:rsidRDefault="00D83E33" w:rsidP="001B330E">
            <w:pPr>
              <w:widowControl w:val="0"/>
              <w:pBdr>
                <w:top w:val="nil"/>
                <w:left w:val="nil"/>
                <w:bottom w:val="nil"/>
                <w:right w:val="nil"/>
                <w:between w:val="nil"/>
              </w:pBdr>
              <w:ind w:left="113" w:hanging="113"/>
              <w:rPr>
                <w:color w:val="000000"/>
              </w:rPr>
            </w:pPr>
          </w:p>
        </w:tc>
        <w:tc>
          <w:tcPr>
            <w:tcW w:w="422" w:type="pct"/>
            <w:shd w:val="clear" w:color="auto" w:fill="auto"/>
            <w:vAlign w:val="bottom"/>
          </w:tcPr>
          <w:p w14:paraId="294D2441"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0F74ACCE"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0A16107D"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485329D" w14:textId="77777777" w:rsidTr="001B330E">
        <w:trPr>
          <w:trHeight w:val="23"/>
        </w:trPr>
        <w:tc>
          <w:tcPr>
            <w:tcW w:w="3072" w:type="pct"/>
            <w:shd w:val="clear" w:color="auto" w:fill="auto"/>
            <w:vAlign w:val="bottom"/>
          </w:tcPr>
          <w:p w14:paraId="4560D88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lastRenderedPageBreak/>
              <w:t xml:space="preserve">Gains less losses on investments in equity securities at fair value through other comprehensive income </w:t>
            </w:r>
          </w:p>
        </w:tc>
        <w:tc>
          <w:tcPr>
            <w:tcW w:w="422" w:type="pct"/>
            <w:shd w:val="clear" w:color="auto" w:fill="auto"/>
            <w:vAlign w:val="bottom"/>
          </w:tcPr>
          <w:p w14:paraId="2F5F190B"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shd w:val="clear" w:color="auto" w:fill="auto"/>
            <w:vAlign w:val="bottom"/>
          </w:tcPr>
          <w:p w14:paraId="6E5093B5"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243F895B" w14:textId="556F4E6E" w:rsidR="00D83E33" w:rsidRPr="00852AC7" w:rsidRDefault="00D83E33">
            <w:pPr>
              <w:widowControl w:val="0"/>
              <w:pBdr>
                <w:top w:val="nil"/>
                <w:left w:val="nil"/>
                <w:bottom w:val="nil"/>
                <w:right w:val="nil"/>
                <w:between w:val="nil"/>
              </w:pBdr>
              <w:jc w:val="right"/>
              <w:rPr>
                <w:color w:val="000000"/>
              </w:rPr>
            </w:pPr>
          </w:p>
        </w:tc>
      </w:tr>
      <w:tr w:rsidR="00D83E33" w:rsidRPr="00852AC7" w14:paraId="463BF7E9" w14:textId="77777777" w:rsidTr="001B330E">
        <w:trPr>
          <w:trHeight w:val="23"/>
        </w:trPr>
        <w:tc>
          <w:tcPr>
            <w:tcW w:w="3072" w:type="pct"/>
            <w:shd w:val="clear" w:color="auto" w:fill="auto"/>
            <w:vAlign w:val="bottom"/>
          </w:tcPr>
          <w:p w14:paraId="74F3809B"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Change in fair value attributable to change in the credit risk of financial liabilities designated at fair value through profit or loss</w:t>
            </w:r>
          </w:p>
        </w:tc>
        <w:tc>
          <w:tcPr>
            <w:tcW w:w="422" w:type="pct"/>
            <w:shd w:val="clear" w:color="auto" w:fill="auto"/>
            <w:vAlign w:val="bottom"/>
          </w:tcPr>
          <w:p w14:paraId="3C99B6C4" w14:textId="77777777" w:rsidR="00D83E33" w:rsidRPr="00852AC7" w:rsidRDefault="00BC4072">
            <w:pPr>
              <w:widowControl w:val="0"/>
              <w:pBdr>
                <w:top w:val="nil"/>
                <w:left w:val="nil"/>
                <w:bottom w:val="nil"/>
                <w:right w:val="nil"/>
                <w:between w:val="nil"/>
              </w:pBdr>
              <w:jc w:val="center"/>
              <w:rPr>
                <w:smallCaps/>
                <w:color w:val="0000FF"/>
              </w:rPr>
            </w:pPr>
            <w:r w:rsidRPr="00852AC7">
              <w:rPr>
                <w:smallCaps/>
                <w:color w:val="0000FF"/>
              </w:rPr>
              <w:t>[24,26]</w:t>
            </w:r>
          </w:p>
        </w:tc>
        <w:tc>
          <w:tcPr>
            <w:tcW w:w="753" w:type="pct"/>
            <w:shd w:val="clear" w:color="auto" w:fill="auto"/>
            <w:vAlign w:val="bottom"/>
          </w:tcPr>
          <w:p w14:paraId="70054BCD" w14:textId="77777777" w:rsidR="00D83E33" w:rsidRPr="00852AC7" w:rsidRDefault="00D83E33">
            <w:pPr>
              <w:widowControl w:val="0"/>
              <w:pBdr>
                <w:top w:val="nil"/>
                <w:left w:val="nil"/>
                <w:bottom w:val="nil"/>
                <w:right w:val="nil"/>
                <w:between w:val="nil"/>
              </w:pBdr>
              <w:jc w:val="right"/>
              <w:rPr>
                <w:color w:val="000000"/>
              </w:rPr>
            </w:pPr>
          </w:p>
        </w:tc>
        <w:tc>
          <w:tcPr>
            <w:tcW w:w="753" w:type="pct"/>
            <w:shd w:val="clear" w:color="auto" w:fill="auto"/>
            <w:vAlign w:val="bottom"/>
          </w:tcPr>
          <w:p w14:paraId="1639E61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D8D63D7" w14:textId="77777777" w:rsidTr="001B330E">
        <w:trPr>
          <w:trHeight w:val="23"/>
        </w:trPr>
        <w:tc>
          <w:tcPr>
            <w:tcW w:w="3072" w:type="pct"/>
            <w:vAlign w:val="bottom"/>
          </w:tcPr>
          <w:p w14:paraId="05A28867"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Revaluation of premises and equipment</w:t>
            </w:r>
          </w:p>
        </w:tc>
        <w:tc>
          <w:tcPr>
            <w:tcW w:w="422" w:type="pct"/>
            <w:vAlign w:val="bottom"/>
          </w:tcPr>
          <w:p w14:paraId="47579A54" w14:textId="77777777" w:rsidR="00D83E33" w:rsidRPr="00852AC7" w:rsidRDefault="00BC4072">
            <w:pPr>
              <w:widowControl w:val="0"/>
              <w:pBdr>
                <w:top w:val="nil"/>
                <w:left w:val="nil"/>
                <w:bottom w:val="nil"/>
                <w:right w:val="nil"/>
                <w:between w:val="nil"/>
              </w:pBdr>
              <w:jc w:val="center"/>
              <w:rPr>
                <w:smallCaps/>
                <w:color w:val="000000"/>
              </w:rPr>
            </w:pPr>
            <w:r w:rsidRPr="00852AC7">
              <w:rPr>
                <w:smallCaps/>
                <w:color w:val="000000"/>
              </w:rPr>
              <w:t>18</w:t>
            </w:r>
          </w:p>
        </w:tc>
        <w:tc>
          <w:tcPr>
            <w:tcW w:w="753" w:type="pct"/>
            <w:vAlign w:val="bottom"/>
          </w:tcPr>
          <w:p w14:paraId="06C86A3A"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519FE127"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BF4A800" w14:textId="77777777" w:rsidTr="001B330E">
        <w:trPr>
          <w:trHeight w:val="23"/>
        </w:trPr>
        <w:tc>
          <w:tcPr>
            <w:tcW w:w="3072" w:type="pct"/>
            <w:vAlign w:val="bottom"/>
          </w:tcPr>
          <w:p w14:paraId="343C24AB"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Remeasurements of post-employment defined benefit obligations</w:t>
            </w:r>
          </w:p>
        </w:tc>
        <w:tc>
          <w:tcPr>
            <w:tcW w:w="422" w:type="pct"/>
            <w:vAlign w:val="bottom"/>
          </w:tcPr>
          <w:p w14:paraId="02578DD0"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vAlign w:val="bottom"/>
          </w:tcPr>
          <w:p w14:paraId="73E8284B"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2C5ECD3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D56CC90" w14:textId="77777777" w:rsidTr="001B330E">
        <w:trPr>
          <w:trHeight w:val="23"/>
        </w:trPr>
        <w:tc>
          <w:tcPr>
            <w:tcW w:w="3072" w:type="pct"/>
            <w:vAlign w:val="bottom"/>
          </w:tcPr>
          <w:p w14:paraId="03DDF819"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Share of other comprehensive income of associates</w:t>
            </w:r>
          </w:p>
        </w:tc>
        <w:tc>
          <w:tcPr>
            <w:tcW w:w="422" w:type="pct"/>
            <w:vAlign w:val="bottom"/>
          </w:tcPr>
          <w:p w14:paraId="7583805D" w14:textId="77777777" w:rsidR="00D83E33" w:rsidRPr="00852AC7" w:rsidRDefault="00BC4072">
            <w:pPr>
              <w:widowControl w:val="0"/>
              <w:pBdr>
                <w:top w:val="nil"/>
                <w:left w:val="nil"/>
                <w:bottom w:val="nil"/>
                <w:right w:val="nil"/>
                <w:between w:val="nil"/>
              </w:pBdr>
              <w:jc w:val="center"/>
              <w:rPr>
                <w:smallCaps/>
                <w:color w:val="000000"/>
              </w:rPr>
            </w:pPr>
            <w:r w:rsidRPr="00852AC7">
              <w:rPr>
                <w:smallCaps/>
                <w:color w:val="000000"/>
              </w:rPr>
              <w:t>14</w:t>
            </w:r>
          </w:p>
        </w:tc>
        <w:tc>
          <w:tcPr>
            <w:tcW w:w="753" w:type="pct"/>
            <w:vAlign w:val="bottom"/>
          </w:tcPr>
          <w:p w14:paraId="50E07335"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4DB0A92C"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433FC29" w14:textId="77777777" w:rsidTr="001B330E">
        <w:trPr>
          <w:trHeight w:val="23"/>
        </w:trPr>
        <w:tc>
          <w:tcPr>
            <w:tcW w:w="3072" w:type="pct"/>
            <w:vAlign w:val="bottom"/>
          </w:tcPr>
          <w:p w14:paraId="55F2600A"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Income tax recorded directly in other comprehensive income</w:t>
            </w:r>
          </w:p>
        </w:tc>
        <w:tc>
          <w:tcPr>
            <w:tcW w:w="422" w:type="pct"/>
            <w:vAlign w:val="bottom"/>
          </w:tcPr>
          <w:p w14:paraId="4E5B5485" w14:textId="77777777" w:rsidR="00D83E33" w:rsidRPr="00852AC7" w:rsidRDefault="00000000">
            <w:pPr>
              <w:widowControl w:val="0"/>
              <w:pBdr>
                <w:top w:val="nil"/>
                <w:left w:val="nil"/>
                <w:bottom w:val="nil"/>
                <w:right w:val="nil"/>
                <w:between w:val="nil"/>
              </w:pBdr>
              <w:jc w:val="center"/>
              <w:rPr>
                <w:smallCaps/>
                <w:color w:val="000000"/>
              </w:rPr>
            </w:pPr>
            <w:hyperlink w:anchor="_heading=h.2lwamvv">
              <w:r w:rsidR="00BC4072" w:rsidRPr="00852AC7">
                <w:rPr>
                  <w:color w:val="000000"/>
                </w:rPr>
                <w:t>36</w:t>
              </w:r>
            </w:hyperlink>
          </w:p>
        </w:tc>
        <w:tc>
          <w:tcPr>
            <w:tcW w:w="753" w:type="pct"/>
            <w:vAlign w:val="bottom"/>
          </w:tcPr>
          <w:p w14:paraId="20C659F2"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74755467"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199E5E9" w14:textId="77777777" w:rsidTr="001B330E">
        <w:trPr>
          <w:trHeight w:val="23"/>
        </w:trPr>
        <w:tc>
          <w:tcPr>
            <w:tcW w:w="3072" w:type="pct"/>
            <w:tcBorders>
              <w:bottom w:val="single" w:sz="4" w:space="0" w:color="000000"/>
            </w:tcBorders>
            <w:vAlign w:val="bottom"/>
          </w:tcPr>
          <w:p w14:paraId="695D9DC3"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22" w:type="pct"/>
            <w:tcBorders>
              <w:bottom w:val="single" w:sz="4" w:space="0" w:color="000000"/>
            </w:tcBorders>
            <w:vAlign w:val="bottom"/>
          </w:tcPr>
          <w:p w14:paraId="477A3F1F"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tcBorders>
              <w:bottom w:val="single" w:sz="4" w:space="0" w:color="000000"/>
            </w:tcBorders>
            <w:vAlign w:val="bottom"/>
          </w:tcPr>
          <w:p w14:paraId="37D456B6"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4" w:space="0" w:color="000000"/>
            </w:tcBorders>
            <w:vAlign w:val="bottom"/>
          </w:tcPr>
          <w:p w14:paraId="680F64C6"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C9CDCFE" w14:textId="77777777" w:rsidTr="001B330E">
        <w:trPr>
          <w:trHeight w:val="23"/>
        </w:trPr>
        <w:tc>
          <w:tcPr>
            <w:tcW w:w="3072" w:type="pct"/>
            <w:tcBorders>
              <w:top w:val="single" w:sz="4" w:space="0" w:color="000000"/>
            </w:tcBorders>
            <w:vAlign w:val="bottom"/>
          </w:tcPr>
          <w:p w14:paraId="7815D749"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22" w:type="pct"/>
            <w:tcBorders>
              <w:top w:val="single" w:sz="4" w:space="0" w:color="000000"/>
            </w:tcBorders>
            <w:vAlign w:val="bottom"/>
          </w:tcPr>
          <w:p w14:paraId="78F0FBD5"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tcBorders>
              <w:top w:val="single" w:sz="4" w:space="0" w:color="000000"/>
            </w:tcBorders>
            <w:vAlign w:val="bottom"/>
          </w:tcPr>
          <w:p w14:paraId="4FFA255F"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top w:val="single" w:sz="4" w:space="0" w:color="000000"/>
            </w:tcBorders>
            <w:vAlign w:val="bottom"/>
          </w:tcPr>
          <w:p w14:paraId="4A788541"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30E5BB5" w14:textId="77777777" w:rsidTr="001B330E">
        <w:trPr>
          <w:trHeight w:val="23"/>
        </w:trPr>
        <w:tc>
          <w:tcPr>
            <w:tcW w:w="3072" w:type="pct"/>
            <w:vAlign w:val="bottom"/>
          </w:tcPr>
          <w:p w14:paraId="78D6AF99"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Other comprehensive income / (loss)</w:t>
            </w:r>
            <w:r w:rsidRPr="00852AC7">
              <w:rPr>
                <w:color w:val="000000"/>
              </w:rPr>
              <w:t xml:space="preserve"> </w:t>
            </w:r>
            <w:r w:rsidRPr="00852AC7">
              <w:rPr>
                <w:b/>
                <w:color w:val="000000"/>
              </w:rPr>
              <w:t>for the year</w:t>
            </w:r>
          </w:p>
        </w:tc>
        <w:tc>
          <w:tcPr>
            <w:tcW w:w="422" w:type="pct"/>
            <w:vAlign w:val="bottom"/>
          </w:tcPr>
          <w:p w14:paraId="5F1B6AAE"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vAlign w:val="bottom"/>
          </w:tcPr>
          <w:p w14:paraId="39D876D8" w14:textId="77777777" w:rsidR="00D83E33" w:rsidRPr="00852AC7" w:rsidRDefault="00D83E33">
            <w:pPr>
              <w:widowControl w:val="0"/>
              <w:pBdr>
                <w:top w:val="nil"/>
                <w:left w:val="nil"/>
                <w:bottom w:val="nil"/>
                <w:right w:val="nil"/>
                <w:between w:val="nil"/>
              </w:pBdr>
              <w:jc w:val="right"/>
              <w:rPr>
                <w:b/>
                <w:color w:val="000000"/>
              </w:rPr>
            </w:pPr>
          </w:p>
        </w:tc>
        <w:tc>
          <w:tcPr>
            <w:tcW w:w="753" w:type="pct"/>
            <w:vAlign w:val="bottom"/>
          </w:tcPr>
          <w:p w14:paraId="405409F2"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7CD48C79" w14:textId="77777777" w:rsidTr="001B330E">
        <w:trPr>
          <w:trHeight w:val="23"/>
        </w:trPr>
        <w:tc>
          <w:tcPr>
            <w:tcW w:w="3072" w:type="pct"/>
            <w:tcBorders>
              <w:bottom w:val="single" w:sz="4" w:space="0" w:color="000000"/>
            </w:tcBorders>
            <w:vAlign w:val="bottom"/>
          </w:tcPr>
          <w:p w14:paraId="08E123F2"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22" w:type="pct"/>
            <w:tcBorders>
              <w:bottom w:val="single" w:sz="4" w:space="0" w:color="000000"/>
            </w:tcBorders>
            <w:vAlign w:val="bottom"/>
          </w:tcPr>
          <w:p w14:paraId="402CB1B0"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tcBorders>
              <w:bottom w:val="single" w:sz="4" w:space="0" w:color="000000"/>
            </w:tcBorders>
            <w:vAlign w:val="bottom"/>
          </w:tcPr>
          <w:p w14:paraId="0DA97E50"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4" w:space="0" w:color="000000"/>
            </w:tcBorders>
            <w:vAlign w:val="bottom"/>
          </w:tcPr>
          <w:p w14:paraId="3A5F809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F0B4CB4" w14:textId="77777777" w:rsidTr="001B330E">
        <w:trPr>
          <w:trHeight w:val="23"/>
        </w:trPr>
        <w:tc>
          <w:tcPr>
            <w:tcW w:w="3072" w:type="pct"/>
            <w:tcBorders>
              <w:top w:val="single" w:sz="4" w:space="0" w:color="000000"/>
            </w:tcBorders>
            <w:vAlign w:val="bottom"/>
          </w:tcPr>
          <w:p w14:paraId="011DEE9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22" w:type="pct"/>
            <w:tcBorders>
              <w:top w:val="single" w:sz="4" w:space="0" w:color="000000"/>
            </w:tcBorders>
            <w:vAlign w:val="bottom"/>
          </w:tcPr>
          <w:p w14:paraId="7456578A"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tcBorders>
              <w:top w:val="single" w:sz="4" w:space="0" w:color="000000"/>
            </w:tcBorders>
            <w:vAlign w:val="bottom"/>
          </w:tcPr>
          <w:p w14:paraId="2F6936AE"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top w:val="single" w:sz="4" w:space="0" w:color="000000"/>
            </w:tcBorders>
            <w:vAlign w:val="bottom"/>
          </w:tcPr>
          <w:p w14:paraId="726385A7"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4FF2056" w14:textId="77777777" w:rsidTr="001B330E">
        <w:trPr>
          <w:trHeight w:val="23"/>
        </w:trPr>
        <w:tc>
          <w:tcPr>
            <w:tcW w:w="3072" w:type="pct"/>
            <w:vAlign w:val="bottom"/>
          </w:tcPr>
          <w:p w14:paraId="1F8A8B1B" w14:textId="77777777" w:rsidR="00D83E33" w:rsidRPr="00852AC7" w:rsidRDefault="00BC4072" w:rsidP="001B330E">
            <w:pPr>
              <w:widowControl w:val="0"/>
              <w:pBdr>
                <w:top w:val="nil"/>
                <w:left w:val="nil"/>
                <w:bottom w:val="nil"/>
                <w:right w:val="nil"/>
                <w:between w:val="nil"/>
              </w:pBdr>
              <w:ind w:left="113" w:hanging="113"/>
              <w:rPr>
                <w:b/>
                <w:smallCaps/>
                <w:color w:val="000000"/>
              </w:rPr>
            </w:pPr>
            <w:r w:rsidRPr="00852AC7">
              <w:rPr>
                <w:b/>
                <w:smallCaps/>
                <w:color w:val="000000"/>
              </w:rPr>
              <w:t>TOTAL COMPREHENSIVE INCOME / (LOSS) FOR THE YEAR</w:t>
            </w:r>
          </w:p>
        </w:tc>
        <w:tc>
          <w:tcPr>
            <w:tcW w:w="422" w:type="pct"/>
            <w:vAlign w:val="bottom"/>
          </w:tcPr>
          <w:p w14:paraId="21074C13"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vAlign w:val="bottom"/>
          </w:tcPr>
          <w:p w14:paraId="2FFE3066" w14:textId="77777777" w:rsidR="00D83E33" w:rsidRPr="00852AC7" w:rsidRDefault="00D83E33">
            <w:pPr>
              <w:widowControl w:val="0"/>
              <w:pBdr>
                <w:top w:val="nil"/>
                <w:left w:val="nil"/>
                <w:bottom w:val="nil"/>
                <w:right w:val="nil"/>
                <w:between w:val="nil"/>
              </w:pBdr>
              <w:jc w:val="right"/>
              <w:rPr>
                <w:b/>
                <w:smallCaps/>
                <w:color w:val="000000"/>
              </w:rPr>
            </w:pPr>
          </w:p>
        </w:tc>
        <w:tc>
          <w:tcPr>
            <w:tcW w:w="753" w:type="pct"/>
            <w:vAlign w:val="bottom"/>
          </w:tcPr>
          <w:p w14:paraId="45937512" w14:textId="77777777" w:rsidR="00D83E33" w:rsidRPr="00852AC7" w:rsidRDefault="00D83E33">
            <w:pPr>
              <w:widowControl w:val="0"/>
              <w:pBdr>
                <w:top w:val="nil"/>
                <w:left w:val="nil"/>
                <w:bottom w:val="nil"/>
                <w:right w:val="nil"/>
                <w:between w:val="nil"/>
              </w:pBdr>
              <w:jc w:val="right"/>
              <w:rPr>
                <w:b/>
                <w:smallCaps/>
                <w:color w:val="000000"/>
              </w:rPr>
            </w:pPr>
          </w:p>
        </w:tc>
      </w:tr>
      <w:tr w:rsidR="00D83E33" w:rsidRPr="00852AC7" w14:paraId="514CB322" w14:textId="77777777" w:rsidTr="001B330E">
        <w:trPr>
          <w:trHeight w:val="23"/>
        </w:trPr>
        <w:tc>
          <w:tcPr>
            <w:tcW w:w="3072" w:type="pct"/>
            <w:tcBorders>
              <w:bottom w:val="single" w:sz="12" w:space="0" w:color="000000"/>
            </w:tcBorders>
            <w:vAlign w:val="bottom"/>
          </w:tcPr>
          <w:p w14:paraId="0A885332"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22" w:type="pct"/>
            <w:tcBorders>
              <w:bottom w:val="single" w:sz="12" w:space="0" w:color="000000"/>
            </w:tcBorders>
            <w:vAlign w:val="bottom"/>
          </w:tcPr>
          <w:p w14:paraId="2AEC5160" w14:textId="77777777" w:rsidR="00D83E33" w:rsidRPr="00852AC7" w:rsidRDefault="00D83E33">
            <w:pPr>
              <w:widowControl w:val="0"/>
              <w:pBdr>
                <w:top w:val="nil"/>
                <w:left w:val="nil"/>
                <w:bottom w:val="nil"/>
                <w:right w:val="nil"/>
                <w:between w:val="nil"/>
              </w:pBdr>
              <w:jc w:val="center"/>
              <w:rPr>
                <w:color w:val="000000"/>
              </w:rPr>
            </w:pPr>
          </w:p>
        </w:tc>
        <w:tc>
          <w:tcPr>
            <w:tcW w:w="753" w:type="pct"/>
            <w:tcBorders>
              <w:bottom w:val="single" w:sz="12" w:space="0" w:color="000000"/>
            </w:tcBorders>
            <w:vAlign w:val="bottom"/>
          </w:tcPr>
          <w:p w14:paraId="46FA89CB"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12" w:space="0" w:color="000000"/>
            </w:tcBorders>
            <w:vAlign w:val="bottom"/>
          </w:tcPr>
          <w:p w14:paraId="14851A4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949D140" w14:textId="77777777" w:rsidTr="001B330E">
        <w:trPr>
          <w:trHeight w:val="23"/>
        </w:trPr>
        <w:tc>
          <w:tcPr>
            <w:tcW w:w="3072" w:type="pct"/>
            <w:tcBorders>
              <w:top w:val="single" w:sz="12" w:space="0" w:color="000000"/>
            </w:tcBorders>
            <w:vAlign w:val="bottom"/>
          </w:tcPr>
          <w:p w14:paraId="06810DCD" w14:textId="77777777" w:rsidR="00D83E33" w:rsidRPr="00852AC7" w:rsidRDefault="00BC4072" w:rsidP="001B330E">
            <w:pPr>
              <w:widowControl w:val="0"/>
              <w:pBdr>
                <w:top w:val="nil"/>
                <w:left w:val="nil"/>
                <w:bottom w:val="nil"/>
                <w:right w:val="nil"/>
                <w:between w:val="nil"/>
              </w:pBdr>
              <w:ind w:left="113" w:hanging="113"/>
              <w:rPr>
                <w:i/>
                <w:color w:val="000000"/>
              </w:rPr>
            </w:pPr>
            <w:r w:rsidRPr="00852AC7">
              <w:rPr>
                <w:color w:val="000000"/>
              </w:rPr>
              <w:t> </w:t>
            </w:r>
          </w:p>
        </w:tc>
        <w:tc>
          <w:tcPr>
            <w:tcW w:w="422" w:type="pct"/>
            <w:tcBorders>
              <w:top w:val="single" w:sz="12" w:space="0" w:color="000000"/>
            </w:tcBorders>
            <w:vAlign w:val="bottom"/>
          </w:tcPr>
          <w:p w14:paraId="1FFB1AE9" w14:textId="77777777" w:rsidR="00D83E33" w:rsidRPr="00852AC7" w:rsidRDefault="00D83E33">
            <w:pPr>
              <w:widowControl w:val="0"/>
              <w:pBdr>
                <w:top w:val="nil"/>
                <w:left w:val="nil"/>
                <w:bottom w:val="nil"/>
                <w:right w:val="nil"/>
                <w:between w:val="nil"/>
              </w:pBdr>
              <w:jc w:val="center"/>
              <w:rPr>
                <w:color w:val="000000"/>
              </w:rPr>
            </w:pPr>
          </w:p>
        </w:tc>
        <w:tc>
          <w:tcPr>
            <w:tcW w:w="753" w:type="pct"/>
            <w:tcBorders>
              <w:top w:val="single" w:sz="12" w:space="0" w:color="000000"/>
            </w:tcBorders>
            <w:vAlign w:val="bottom"/>
          </w:tcPr>
          <w:p w14:paraId="7F442146"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top w:val="single" w:sz="12" w:space="0" w:color="000000"/>
            </w:tcBorders>
            <w:vAlign w:val="bottom"/>
          </w:tcPr>
          <w:p w14:paraId="73BD8951"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60BDA9D" w14:textId="77777777" w:rsidTr="001B330E">
        <w:trPr>
          <w:trHeight w:val="23"/>
        </w:trPr>
        <w:tc>
          <w:tcPr>
            <w:tcW w:w="3072" w:type="pct"/>
            <w:vAlign w:val="bottom"/>
          </w:tcPr>
          <w:p w14:paraId="2FED6296"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Profit/(loss) is attributable to:</w:t>
            </w:r>
          </w:p>
        </w:tc>
        <w:tc>
          <w:tcPr>
            <w:tcW w:w="422" w:type="pct"/>
            <w:vAlign w:val="bottom"/>
          </w:tcPr>
          <w:p w14:paraId="40EBE245"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vAlign w:val="bottom"/>
          </w:tcPr>
          <w:p w14:paraId="34543960"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1E29D638"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7A3DA6F" w14:textId="77777777" w:rsidTr="001B330E">
        <w:trPr>
          <w:trHeight w:val="23"/>
        </w:trPr>
        <w:tc>
          <w:tcPr>
            <w:tcW w:w="3072" w:type="pct"/>
            <w:vAlign w:val="bottom"/>
          </w:tcPr>
          <w:p w14:paraId="4FCEA2AF"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Owners of the Bank</w:t>
            </w:r>
          </w:p>
        </w:tc>
        <w:tc>
          <w:tcPr>
            <w:tcW w:w="422" w:type="pct"/>
            <w:vAlign w:val="bottom"/>
          </w:tcPr>
          <w:p w14:paraId="4543F1C2"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vAlign w:val="bottom"/>
          </w:tcPr>
          <w:p w14:paraId="5A9E85AD"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0E7B34C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2FA945D" w14:textId="77777777" w:rsidTr="001B330E">
        <w:trPr>
          <w:trHeight w:val="23"/>
        </w:trPr>
        <w:tc>
          <w:tcPr>
            <w:tcW w:w="3072" w:type="pct"/>
            <w:vAlign w:val="bottom"/>
          </w:tcPr>
          <w:p w14:paraId="53FF93A3" w14:textId="77777777" w:rsidR="00D83E33" w:rsidRPr="00852AC7" w:rsidRDefault="00BC4072" w:rsidP="001B330E">
            <w:pPr>
              <w:widowControl w:val="0"/>
              <w:ind w:left="113" w:hanging="113"/>
            </w:pPr>
            <w:r w:rsidRPr="00852AC7">
              <w:t>- Non-controlling interest</w:t>
            </w:r>
          </w:p>
        </w:tc>
        <w:tc>
          <w:tcPr>
            <w:tcW w:w="422" w:type="pct"/>
            <w:vAlign w:val="bottom"/>
          </w:tcPr>
          <w:p w14:paraId="0ECFC0B7" w14:textId="77777777" w:rsidR="00D83E33" w:rsidRPr="00852AC7" w:rsidRDefault="00D83E33">
            <w:pPr>
              <w:widowControl w:val="0"/>
              <w:pBdr>
                <w:top w:val="nil"/>
                <w:left w:val="nil"/>
                <w:bottom w:val="nil"/>
                <w:right w:val="nil"/>
                <w:between w:val="nil"/>
              </w:pBdr>
              <w:jc w:val="center"/>
              <w:rPr>
                <w:color w:val="000000"/>
              </w:rPr>
            </w:pPr>
          </w:p>
        </w:tc>
        <w:tc>
          <w:tcPr>
            <w:tcW w:w="753" w:type="pct"/>
            <w:vAlign w:val="bottom"/>
          </w:tcPr>
          <w:p w14:paraId="5320E08E"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2F538AA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0BC8EE3" w14:textId="77777777" w:rsidTr="001B330E">
        <w:trPr>
          <w:trHeight w:val="23"/>
        </w:trPr>
        <w:tc>
          <w:tcPr>
            <w:tcW w:w="3072" w:type="pct"/>
            <w:tcBorders>
              <w:bottom w:val="single" w:sz="4" w:space="0" w:color="000000"/>
            </w:tcBorders>
            <w:vAlign w:val="bottom"/>
          </w:tcPr>
          <w:p w14:paraId="521A8502"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22" w:type="pct"/>
            <w:tcBorders>
              <w:bottom w:val="single" w:sz="4" w:space="0" w:color="000000"/>
            </w:tcBorders>
            <w:vAlign w:val="bottom"/>
          </w:tcPr>
          <w:p w14:paraId="5E6D73AB"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tcBorders>
              <w:bottom w:val="single" w:sz="4" w:space="0" w:color="000000"/>
            </w:tcBorders>
            <w:vAlign w:val="bottom"/>
          </w:tcPr>
          <w:p w14:paraId="27FB4E13"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4" w:space="0" w:color="000000"/>
            </w:tcBorders>
            <w:vAlign w:val="bottom"/>
          </w:tcPr>
          <w:p w14:paraId="6EEEF868"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B4FA121" w14:textId="77777777" w:rsidTr="001B330E">
        <w:trPr>
          <w:trHeight w:val="23"/>
        </w:trPr>
        <w:tc>
          <w:tcPr>
            <w:tcW w:w="3072" w:type="pct"/>
            <w:tcBorders>
              <w:top w:val="single" w:sz="4" w:space="0" w:color="000000"/>
            </w:tcBorders>
            <w:vAlign w:val="bottom"/>
          </w:tcPr>
          <w:p w14:paraId="3CC283E4"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22" w:type="pct"/>
            <w:tcBorders>
              <w:top w:val="single" w:sz="4" w:space="0" w:color="000000"/>
            </w:tcBorders>
            <w:vAlign w:val="bottom"/>
          </w:tcPr>
          <w:p w14:paraId="0D4A8B1D"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tcBorders>
              <w:top w:val="single" w:sz="4" w:space="0" w:color="000000"/>
            </w:tcBorders>
            <w:vAlign w:val="bottom"/>
          </w:tcPr>
          <w:p w14:paraId="7FC77D5F"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top w:val="single" w:sz="4" w:space="0" w:color="000000"/>
            </w:tcBorders>
            <w:vAlign w:val="bottom"/>
          </w:tcPr>
          <w:p w14:paraId="23219B4D"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88F91BA" w14:textId="77777777" w:rsidTr="001B330E">
        <w:trPr>
          <w:trHeight w:val="23"/>
        </w:trPr>
        <w:tc>
          <w:tcPr>
            <w:tcW w:w="3072" w:type="pct"/>
            <w:vAlign w:val="bottom"/>
          </w:tcPr>
          <w:p w14:paraId="18E545C2" w14:textId="77777777" w:rsidR="00D83E33" w:rsidRPr="00852AC7" w:rsidRDefault="00BC4072" w:rsidP="001B330E">
            <w:pPr>
              <w:widowControl w:val="0"/>
              <w:pBdr>
                <w:top w:val="nil"/>
                <w:left w:val="nil"/>
                <w:bottom w:val="nil"/>
                <w:right w:val="nil"/>
                <w:between w:val="nil"/>
              </w:pBdr>
              <w:tabs>
                <w:tab w:val="right" w:pos="8782"/>
              </w:tabs>
              <w:ind w:left="113" w:hanging="113"/>
              <w:rPr>
                <w:b/>
                <w:color w:val="000000"/>
              </w:rPr>
            </w:pPr>
            <w:r w:rsidRPr="00852AC7">
              <w:rPr>
                <w:b/>
                <w:color w:val="000000"/>
              </w:rPr>
              <w:t>Profit/(loss) for the year</w:t>
            </w:r>
          </w:p>
        </w:tc>
        <w:tc>
          <w:tcPr>
            <w:tcW w:w="422" w:type="pct"/>
            <w:vAlign w:val="bottom"/>
          </w:tcPr>
          <w:p w14:paraId="2EB1E3FE"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vAlign w:val="bottom"/>
          </w:tcPr>
          <w:p w14:paraId="798449CE"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63106F6D"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79F479B" w14:textId="77777777" w:rsidTr="001B330E">
        <w:trPr>
          <w:trHeight w:val="23"/>
        </w:trPr>
        <w:tc>
          <w:tcPr>
            <w:tcW w:w="3072" w:type="pct"/>
            <w:tcBorders>
              <w:bottom w:val="single" w:sz="12" w:space="0" w:color="000000"/>
            </w:tcBorders>
            <w:vAlign w:val="bottom"/>
          </w:tcPr>
          <w:p w14:paraId="06D639FB"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22" w:type="pct"/>
            <w:tcBorders>
              <w:bottom w:val="single" w:sz="12" w:space="0" w:color="000000"/>
            </w:tcBorders>
            <w:vAlign w:val="bottom"/>
          </w:tcPr>
          <w:p w14:paraId="637B0881"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tcBorders>
              <w:bottom w:val="single" w:sz="12" w:space="0" w:color="000000"/>
            </w:tcBorders>
            <w:vAlign w:val="bottom"/>
          </w:tcPr>
          <w:p w14:paraId="02023128"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12" w:space="0" w:color="000000"/>
            </w:tcBorders>
            <w:vAlign w:val="bottom"/>
          </w:tcPr>
          <w:p w14:paraId="29247B6A"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A9D4E62" w14:textId="77777777" w:rsidTr="001B330E">
        <w:trPr>
          <w:trHeight w:val="23"/>
        </w:trPr>
        <w:tc>
          <w:tcPr>
            <w:tcW w:w="3072" w:type="pct"/>
            <w:vAlign w:val="bottom"/>
          </w:tcPr>
          <w:p w14:paraId="348AFBB2"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22" w:type="pct"/>
            <w:vAlign w:val="bottom"/>
          </w:tcPr>
          <w:p w14:paraId="52E6B534" w14:textId="77777777" w:rsidR="00D83E33" w:rsidRPr="00852AC7" w:rsidRDefault="00D83E33">
            <w:pPr>
              <w:widowControl w:val="0"/>
              <w:pBdr>
                <w:top w:val="nil"/>
                <w:left w:val="nil"/>
                <w:bottom w:val="nil"/>
                <w:right w:val="nil"/>
                <w:between w:val="nil"/>
              </w:pBdr>
              <w:jc w:val="center"/>
              <w:rPr>
                <w:color w:val="000000"/>
              </w:rPr>
            </w:pPr>
          </w:p>
        </w:tc>
        <w:tc>
          <w:tcPr>
            <w:tcW w:w="753" w:type="pct"/>
            <w:vAlign w:val="bottom"/>
          </w:tcPr>
          <w:p w14:paraId="77C2680D"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781EA498"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0B72582" w14:textId="77777777" w:rsidTr="001B330E">
        <w:trPr>
          <w:trHeight w:val="23"/>
        </w:trPr>
        <w:tc>
          <w:tcPr>
            <w:tcW w:w="3072" w:type="pct"/>
            <w:vAlign w:val="bottom"/>
          </w:tcPr>
          <w:p w14:paraId="0FD4E67D"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b/>
                <w:color w:val="000000"/>
              </w:rPr>
              <w:t>Total comprehensive income /(loss) is attributable to:</w:t>
            </w:r>
          </w:p>
        </w:tc>
        <w:tc>
          <w:tcPr>
            <w:tcW w:w="422" w:type="pct"/>
            <w:vAlign w:val="bottom"/>
          </w:tcPr>
          <w:p w14:paraId="759AF790" w14:textId="77777777" w:rsidR="00D83E33" w:rsidRPr="00852AC7" w:rsidRDefault="00D83E33">
            <w:pPr>
              <w:widowControl w:val="0"/>
              <w:pBdr>
                <w:top w:val="nil"/>
                <w:left w:val="nil"/>
                <w:bottom w:val="nil"/>
                <w:right w:val="nil"/>
                <w:between w:val="nil"/>
              </w:pBdr>
              <w:jc w:val="center"/>
              <w:rPr>
                <w:color w:val="000000"/>
              </w:rPr>
            </w:pPr>
          </w:p>
        </w:tc>
        <w:tc>
          <w:tcPr>
            <w:tcW w:w="753" w:type="pct"/>
            <w:vAlign w:val="bottom"/>
          </w:tcPr>
          <w:p w14:paraId="55184B51"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200E53F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B1F5BB2" w14:textId="77777777" w:rsidTr="001B330E">
        <w:trPr>
          <w:trHeight w:val="23"/>
        </w:trPr>
        <w:tc>
          <w:tcPr>
            <w:tcW w:w="3072" w:type="pct"/>
            <w:vAlign w:val="bottom"/>
          </w:tcPr>
          <w:p w14:paraId="6D26C7B6" w14:textId="77777777" w:rsidR="00D83E33" w:rsidRPr="00852AC7" w:rsidRDefault="00BC4072" w:rsidP="001B330E">
            <w:pPr>
              <w:widowControl w:val="0"/>
              <w:pBdr>
                <w:top w:val="nil"/>
                <w:left w:val="nil"/>
                <w:bottom w:val="nil"/>
                <w:right w:val="nil"/>
                <w:between w:val="nil"/>
              </w:pBdr>
              <w:ind w:left="113" w:hanging="113"/>
              <w:rPr>
                <w:i/>
                <w:color w:val="000000"/>
              </w:rPr>
            </w:pPr>
            <w:r w:rsidRPr="00852AC7">
              <w:rPr>
                <w:color w:val="000000"/>
              </w:rPr>
              <w:t>- Owners of the Bank</w:t>
            </w:r>
          </w:p>
        </w:tc>
        <w:tc>
          <w:tcPr>
            <w:tcW w:w="422" w:type="pct"/>
            <w:vAlign w:val="bottom"/>
          </w:tcPr>
          <w:p w14:paraId="03C88902"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vAlign w:val="bottom"/>
          </w:tcPr>
          <w:p w14:paraId="3F3CB6D1"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173E4665"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D05B582" w14:textId="77777777" w:rsidTr="001B330E">
        <w:trPr>
          <w:trHeight w:val="23"/>
        </w:trPr>
        <w:tc>
          <w:tcPr>
            <w:tcW w:w="3072" w:type="pct"/>
            <w:vAlign w:val="bottom"/>
          </w:tcPr>
          <w:p w14:paraId="0D0D8EB0"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Non-controlling interest</w:t>
            </w:r>
          </w:p>
        </w:tc>
        <w:tc>
          <w:tcPr>
            <w:tcW w:w="422" w:type="pct"/>
            <w:vAlign w:val="bottom"/>
          </w:tcPr>
          <w:p w14:paraId="5C27B34D" w14:textId="77777777" w:rsidR="00D83E33" w:rsidRPr="00852AC7" w:rsidRDefault="00D83E33">
            <w:pPr>
              <w:widowControl w:val="0"/>
              <w:pBdr>
                <w:top w:val="nil"/>
                <w:left w:val="nil"/>
                <w:bottom w:val="nil"/>
                <w:right w:val="nil"/>
                <w:between w:val="nil"/>
              </w:pBdr>
              <w:jc w:val="center"/>
              <w:rPr>
                <w:smallCaps/>
                <w:color w:val="000000"/>
              </w:rPr>
            </w:pPr>
          </w:p>
        </w:tc>
        <w:tc>
          <w:tcPr>
            <w:tcW w:w="753" w:type="pct"/>
            <w:vAlign w:val="bottom"/>
          </w:tcPr>
          <w:p w14:paraId="7A16881B"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4D706CA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E14804E" w14:textId="77777777" w:rsidTr="001B330E">
        <w:trPr>
          <w:trHeight w:val="23"/>
        </w:trPr>
        <w:tc>
          <w:tcPr>
            <w:tcW w:w="3072" w:type="pct"/>
            <w:tcBorders>
              <w:bottom w:val="single" w:sz="4" w:space="0" w:color="000000"/>
            </w:tcBorders>
            <w:vAlign w:val="bottom"/>
          </w:tcPr>
          <w:p w14:paraId="0F1130D1" w14:textId="77777777" w:rsidR="00D83E33" w:rsidRPr="00852AC7" w:rsidRDefault="00BC4072" w:rsidP="001B330E">
            <w:pPr>
              <w:widowControl w:val="0"/>
              <w:ind w:left="113" w:hanging="113"/>
            </w:pPr>
            <w:r w:rsidRPr="00852AC7">
              <w:t> </w:t>
            </w:r>
          </w:p>
        </w:tc>
        <w:tc>
          <w:tcPr>
            <w:tcW w:w="422" w:type="pct"/>
            <w:tcBorders>
              <w:bottom w:val="single" w:sz="4" w:space="0" w:color="000000"/>
            </w:tcBorders>
            <w:vAlign w:val="bottom"/>
          </w:tcPr>
          <w:p w14:paraId="218A8DAE" w14:textId="77777777" w:rsidR="00D83E33" w:rsidRPr="00852AC7" w:rsidRDefault="00D83E33">
            <w:pPr>
              <w:widowControl w:val="0"/>
              <w:pBdr>
                <w:top w:val="nil"/>
                <w:left w:val="nil"/>
                <w:bottom w:val="nil"/>
                <w:right w:val="nil"/>
                <w:between w:val="nil"/>
              </w:pBdr>
              <w:jc w:val="center"/>
              <w:rPr>
                <w:color w:val="000000"/>
              </w:rPr>
            </w:pPr>
          </w:p>
        </w:tc>
        <w:tc>
          <w:tcPr>
            <w:tcW w:w="753" w:type="pct"/>
            <w:tcBorders>
              <w:bottom w:val="single" w:sz="4" w:space="0" w:color="000000"/>
            </w:tcBorders>
            <w:vAlign w:val="bottom"/>
          </w:tcPr>
          <w:p w14:paraId="5B6A1830"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4" w:space="0" w:color="000000"/>
            </w:tcBorders>
            <w:vAlign w:val="bottom"/>
          </w:tcPr>
          <w:p w14:paraId="102ECA5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BDBA8E6" w14:textId="77777777" w:rsidTr="001B330E">
        <w:trPr>
          <w:trHeight w:val="23"/>
        </w:trPr>
        <w:tc>
          <w:tcPr>
            <w:tcW w:w="3072" w:type="pct"/>
            <w:vAlign w:val="bottom"/>
          </w:tcPr>
          <w:p w14:paraId="238B2C58" w14:textId="77777777" w:rsidR="00D83E33" w:rsidRPr="00852AC7" w:rsidRDefault="00BC4072" w:rsidP="001B330E">
            <w:pPr>
              <w:widowControl w:val="0"/>
              <w:ind w:left="113" w:hanging="113"/>
            </w:pPr>
            <w:r w:rsidRPr="00852AC7">
              <w:t> </w:t>
            </w:r>
          </w:p>
        </w:tc>
        <w:tc>
          <w:tcPr>
            <w:tcW w:w="422" w:type="pct"/>
            <w:vAlign w:val="bottom"/>
          </w:tcPr>
          <w:p w14:paraId="2D30F720" w14:textId="77777777" w:rsidR="00D83E33" w:rsidRPr="00852AC7" w:rsidRDefault="00D83E33">
            <w:pPr>
              <w:widowControl w:val="0"/>
              <w:pBdr>
                <w:top w:val="nil"/>
                <w:left w:val="nil"/>
                <w:bottom w:val="nil"/>
                <w:right w:val="nil"/>
                <w:between w:val="nil"/>
              </w:pBdr>
              <w:jc w:val="center"/>
              <w:rPr>
                <w:color w:val="000000"/>
              </w:rPr>
            </w:pPr>
          </w:p>
        </w:tc>
        <w:tc>
          <w:tcPr>
            <w:tcW w:w="753" w:type="pct"/>
            <w:vAlign w:val="bottom"/>
          </w:tcPr>
          <w:p w14:paraId="4A854138"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7523DCD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8E97370" w14:textId="77777777" w:rsidTr="001B330E">
        <w:trPr>
          <w:trHeight w:val="23"/>
        </w:trPr>
        <w:tc>
          <w:tcPr>
            <w:tcW w:w="3072" w:type="pct"/>
            <w:vAlign w:val="bottom"/>
          </w:tcPr>
          <w:p w14:paraId="34EB715F"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Total comprehensive income / (loss) for the year</w:t>
            </w:r>
          </w:p>
        </w:tc>
        <w:tc>
          <w:tcPr>
            <w:tcW w:w="422" w:type="pct"/>
            <w:vAlign w:val="bottom"/>
          </w:tcPr>
          <w:p w14:paraId="4769200E" w14:textId="77777777" w:rsidR="00D83E33" w:rsidRPr="00852AC7" w:rsidRDefault="00D83E33">
            <w:pPr>
              <w:widowControl w:val="0"/>
              <w:pBdr>
                <w:top w:val="nil"/>
                <w:left w:val="nil"/>
                <w:bottom w:val="nil"/>
                <w:right w:val="nil"/>
                <w:between w:val="nil"/>
              </w:pBdr>
              <w:jc w:val="center"/>
              <w:rPr>
                <w:b/>
                <w:color w:val="000000"/>
              </w:rPr>
            </w:pPr>
          </w:p>
        </w:tc>
        <w:tc>
          <w:tcPr>
            <w:tcW w:w="753" w:type="pct"/>
            <w:vAlign w:val="bottom"/>
          </w:tcPr>
          <w:p w14:paraId="26FF8B0F" w14:textId="77777777" w:rsidR="00D83E33" w:rsidRPr="00852AC7" w:rsidRDefault="00D83E33">
            <w:pPr>
              <w:widowControl w:val="0"/>
              <w:pBdr>
                <w:top w:val="nil"/>
                <w:left w:val="nil"/>
                <w:bottom w:val="nil"/>
                <w:right w:val="nil"/>
                <w:between w:val="nil"/>
              </w:pBdr>
              <w:jc w:val="right"/>
              <w:rPr>
                <w:b/>
                <w:color w:val="000000"/>
              </w:rPr>
            </w:pPr>
          </w:p>
        </w:tc>
        <w:tc>
          <w:tcPr>
            <w:tcW w:w="753" w:type="pct"/>
            <w:vAlign w:val="bottom"/>
          </w:tcPr>
          <w:p w14:paraId="34868D5A"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0D5070ED" w14:textId="77777777" w:rsidTr="001B330E">
        <w:trPr>
          <w:trHeight w:val="23"/>
        </w:trPr>
        <w:tc>
          <w:tcPr>
            <w:tcW w:w="3072" w:type="pct"/>
            <w:vAlign w:val="bottom"/>
          </w:tcPr>
          <w:p w14:paraId="1EFE5CF1"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 </w:t>
            </w:r>
          </w:p>
        </w:tc>
        <w:tc>
          <w:tcPr>
            <w:tcW w:w="422" w:type="pct"/>
            <w:vAlign w:val="bottom"/>
          </w:tcPr>
          <w:p w14:paraId="1F404772" w14:textId="77777777" w:rsidR="00D83E33" w:rsidRPr="00852AC7" w:rsidRDefault="00D83E33">
            <w:pPr>
              <w:widowControl w:val="0"/>
              <w:pBdr>
                <w:top w:val="nil"/>
                <w:left w:val="nil"/>
                <w:bottom w:val="nil"/>
                <w:right w:val="nil"/>
                <w:between w:val="nil"/>
              </w:pBdr>
              <w:jc w:val="center"/>
              <w:rPr>
                <w:b/>
                <w:color w:val="000000"/>
              </w:rPr>
            </w:pPr>
          </w:p>
        </w:tc>
        <w:tc>
          <w:tcPr>
            <w:tcW w:w="753" w:type="pct"/>
            <w:vAlign w:val="bottom"/>
          </w:tcPr>
          <w:p w14:paraId="0001953E" w14:textId="77777777" w:rsidR="00D83E33" w:rsidRPr="00852AC7" w:rsidRDefault="00D83E33">
            <w:pPr>
              <w:widowControl w:val="0"/>
              <w:pBdr>
                <w:top w:val="nil"/>
                <w:left w:val="nil"/>
                <w:bottom w:val="nil"/>
                <w:right w:val="nil"/>
                <w:between w:val="nil"/>
              </w:pBdr>
              <w:jc w:val="right"/>
              <w:rPr>
                <w:color w:val="000000"/>
              </w:rPr>
            </w:pPr>
          </w:p>
        </w:tc>
        <w:tc>
          <w:tcPr>
            <w:tcW w:w="753" w:type="pct"/>
            <w:vAlign w:val="bottom"/>
          </w:tcPr>
          <w:p w14:paraId="57C7212C"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E0A76FD" w14:textId="77777777" w:rsidTr="001B330E">
        <w:trPr>
          <w:trHeight w:val="23"/>
        </w:trPr>
        <w:tc>
          <w:tcPr>
            <w:tcW w:w="3072" w:type="pct"/>
            <w:tcBorders>
              <w:top w:val="single" w:sz="12" w:space="0" w:color="000000"/>
            </w:tcBorders>
            <w:vAlign w:val="bottom"/>
          </w:tcPr>
          <w:p w14:paraId="6208F090"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22" w:type="pct"/>
            <w:tcBorders>
              <w:top w:val="single" w:sz="12" w:space="0" w:color="000000"/>
            </w:tcBorders>
            <w:vAlign w:val="bottom"/>
          </w:tcPr>
          <w:p w14:paraId="0C01B48F" w14:textId="77777777" w:rsidR="00D83E33" w:rsidRPr="00852AC7" w:rsidRDefault="00D83E33">
            <w:pPr>
              <w:widowControl w:val="0"/>
              <w:pBdr>
                <w:top w:val="nil"/>
                <w:left w:val="nil"/>
                <w:bottom w:val="nil"/>
                <w:right w:val="nil"/>
                <w:between w:val="nil"/>
              </w:pBdr>
              <w:jc w:val="center"/>
              <w:rPr>
                <w:b/>
                <w:smallCaps/>
                <w:color w:val="000000"/>
              </w:rPr>
            </w:pPr>
          </w:p>
        </w:tc>
        <w:tc>
          <w:tcPr>
            <w:tcW w:w="753" w:type="pct"/>
            <w:tcBorders>
              <w:top w:val="single" w:sz="12" w:space="0" w:color="000000"/>
            </w:tcBorders>
            <w:vAlign w:val="bottom"/>
          </w:tcPr>
          <w:p w14:paraId="3878892C"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top w:val="single" w:sz="12" w:space="0" w:color="000000"/>
            </w:tcBorders>
            <w:vAlign w:val="bottom"/>
          </w:tcPr>
          <w:p w14:paraId="033331C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613B6C0" w14:textId="77777777" w:rsidTr="001B330E">
        <w:trPr>
          <w:trHeight w:val="23"/>
        </w:trPr>
        <w:tc>
          <w:tcPr>
            <w:tcW w:w="3072" w:type="pct"/>
            <w:vAlign w:val="bottom"/>
          </w:tcPr>
          <w:p w14:paraId="5283A8DE" w14:textId="4FB0514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 xml:space="preserve">Earnings </w:t>
            </w:r>
            <w:r w:rsidRPr="00852AC7">
              <w:rPr>
                <w:b/>
                <w:color w:val="0000FF"/>
              </w:rPr>
              <w:t>[Loss]</w:t>
            </w:r>
            <w:r w:rsidRPr="00852AC7">
              <w:rPr>
                <w:b/>
                <w:color w:val="000000"/>
              </w:rPr>
              <w:t xml:space="preserve"> per share for profit </w:t>
            </w:r>
            <w:r w:rsidRPr="00852AC7">
              <w:rPr>
                <w:b/>
                <w:color w:val="0000FF"/>
              </w:rPr>
              <w:t>[loss]</w:t>
            </w:r>
            <w:r w:rsidRPr="00852AC7">
              <w:rPr>
                <w:b/>
                <w:color w:val="000000"/>
              </w:rPr>
              <w:t xml:space="preserve"> attributable to the owners of the Bank,</w:t>
            </w:r>
            <w:r w:rsidRPr="00852AC7">
              <w:rPr>
                <w:color w:val="000000"/>
              </w:rPr>
              <w:t xml:space="preserve"> </w:t>
            </w:r>
            <w:r w:rsidRPr="00852AC7">
              <w:rPr>
                <w:b/>
                <w:color w:val="000000"/>
              </w:rPr>
              <w:t>basic and diluted</w:t>
            </w:r>
            <w:r w:rsidRPr="00852AC7">
              <w:rPr>
                <w:b/>
                <w:color w:val="000000"/>
              </w:rPr>
              <w:br/>
            </w:r>
            <w:r w:rsidRPr="00852AC7">
              <w:rPr>
                <w:color w:val="000000"/>
              </w:rPr>
              <w:t xml:space="preserve">(expressed in </w:t>
            </w:r>
            <w:r w:rsidR="002649EE">
              <w:rPr>
                <w:color w:val="000000"/>
              </w:rPr>
              <w:t>EUR</w:t>
            </w:r>
            <w:r w:rsidRPr="00852AC7">
              <w:rPr>
                <w:color w:val="000000"/>
              </w:rPr>
              <w:t> per share)</w:t>
            </w:r>
          </w:p>
        </w:tc>
        <w:tc>
          <w:tcPr>
            <w:tcW w:w="422" w:type="pct"/>
            <w:vAlign w:val="bottom"/>
          </w:tcPr>
          <w:p w14:paraId="1FF23F24" w14:textId="77777777" w:rsidR="00D83E33" w:rsidRPr="00852AC7" w:rsidRDefault="00000000">
            <w:pPr>
              <w:widowControl w:val="0"/>
              <w:pBdr>
                <w:top w:val="nil"/>
                <w:left w:val="nil"/>
                <w:bottom w:val="nil"/>
                <w:right w:val="nil"/>
                <w:between w:val="nil"/>
              </w:pBdr>
              <w:jc w:val="center"/>
              <w:rPr>
                <w:smallCaps/>
                <w:color w:val="000000"/>
              </w:rPr>
            </w:pPr>
            <w:hyperlink w:anchor="_heading=h.206ipza">
              <w:r w:rsidR="00BC4072" w:rsidRPr="00852AC7">
                <w:rPr>
                  <w:smallCaps/>
                  <w:color w:val="000000"/>
                </w:rPr>
                <w:t>39</w:t>
              </w:r>
            </w:hyperlink>
          </w:p>
        </w:tc>
        <w:tc>
          <w:tcPr>
            <w:tcW w:w="753" w:type="pct"/>
            <w:vAlign w:val="bottom"/>
          </w:tcPr>
          <w:p w14:paraId="2B6D1089" w14:textId="77777777" w:rsidR="00D83E33" w:rsidRPr="00852AC7" w:rsidRDefault="00D83E33">
            <w:pPr>
              <w:widowControl w:val="0"/>
              <w:pBdr>
                <w:top w:val="nil"/>
                <w:left w:val="nil"/>
                <w:bottom w:val="nil"/>
                <w:right w:val="nil"/>
                <w:between w:val="nil"/>
              </w:pBdr>
              <w:jc w:val="right"/>
              <w:rPr>
                <w:b/>
                <w:color w:val="000000"/>
              </w:rPr>
            </w:pPr>
          </w:p>
        </w:tc>
        <w:tc>
          <w:tcPr>
            <w:tcW w:w="753" w:type="pct"/>
            <w:vAlign w:val="bottom"/>
          </w:tcPr>
          <w:p w14:paraId="1220240D"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17ED2E6B" w14:textId="77777777" w:rsidTr="001B330E">
        <w:trPr>
          <w:trHeight w:val="23"/>
        </w:trPr>
        <w:tc>
          <w:tcPr>
            <w:tcW w:w="3072" w:type="pct"/>
            <w:tcBorders>
              <w:bottom w:val="single" w:sz="12" w:space="0" w:color="000000"/>
            </w:tcBorders>
            <w:vAlign w:val="bottom"/>
          </w:tcPr>
          <w:p w14:paraId="6D56CE25" w14:textId="77777777" w:rsidR="00D83E33" w:rsidRPr="00852AC7" w:rsidRDefault="00BC4072" w:rsidP="001B330E">
            <w:pPr>
              <w:widowControl w:val="0"/>
              <w:ind w:left="113" w:hanging="113"/>
            </w:pPr>
            <w:r w:rsidRPr="00852AC7">
              <w:t> </w:t>
            </w:r>
          </w:p>
        </w:tc>
        <w:tc>
          <w:tcPr>
            <w:tcW w:w="422" w:type="pct"/>
            <w:tcBorders>
              <w:bottom w:val="single" w:sz="12" w:space="0" w:color="000000"/>
            </w:tcBorders>
            <w:vAlign w:val="bottom"/>
          </w:tcPr>
          <w:p w14:paraId="362F5EF2" w14:textId="77777777" w:rsidR="00D83E33" w:rsidRPr="00852AC7" w:rsidRDefault="00D83E33">
            <w:pPr>
              <w:widowControl w:val="0"/>
              <w:pBdr>
                <w:top w:val="nil"/>
                <w:left w:val="nil"/>
                <w:bottom w:val="nil"/>
                <w:right w:val="nil"/>
                <w:between w:val="nil"/>
              </w:pBdr>
              <w:jc w:val="center"/>
              <w:rPr>
                <w:color w:val="000000"/>
              </w:rPr>
            </w:pPr>
          </w:p>
        </w:tc>
        <w:tc>
          <w:tcPr>
            <w:tcW w:w="753" w:type="pct"/>
            <w:tcBorders>
              <w:bottom w:val="single" w:sz="12" w:space="0" w:color="000000"/>
            </w:tcBorders>
            <w:vAlign w:val="bottom"/>
          </w:tcPr>
          <w:p w14:paraId="525A4D58" w14:textId="77777777" w:rsidR="00D83E33" w:rsidRPr="00852AC7" w:rsidRDefault="00D83E33">
            <w:pPr>
              <w:widowControl w:val="0"/>
              <w:pBdr>
                <w:top w:val="nil"/>
                <w:left w:val="nil"/>
                <w:bottom w:val="nil"/>
                <w:right w:val="nil"/>
                <w:between w:val="nil"/>
              </w:pBdr>
              <w:jc w:val="right"/>
              <w:rPr>
                <w:color w:val="000000"/>
              </w:rPr>
            </w:pPr>
          </w:p>
        </w:tc>
        <w:tc>
          <w:tcPr>
            <w:tcW w:w="753" w:type="pct"/>
            <w:tcBorders>
              <w:bottom w:val="single" w:sz="12" w:space="0" w:color="000000"/>
            </w:tcBorders>
            <w:vAlign w:val="bottom"/>
          </w:tcPr>
          <w:p w14:paraId="6D56043B" w14:textId="77777777" w:rsidR="00D83E33" w:rsidRPr="00852AC7" w:rsidRDefault="00D83E33">
            <w:pPr>
              <w:widowControl w:val="0"/>
              <w:pBdr>
                <w:top w:val="nil"/>
                <w:left w:val="nil"/>
                <w:bottom w:val="nil"/>
                <w:right w:val="nil"/>
                <w:between w:val="nil"/>
              </w:pBdr>
              <w:jc w:val="right"/>
              <w:rPr>
                <w:color w:val="000000"/>
              </w:rPr>
            </w:pPr>
          </w:p>
        </w:tc>
      </w:tr>
    </w:tbl>
    <w:p w14:paraId="4953D79E" w14:textId="74D5C39D" w:rsidR="00D83E33" w:rsidRDefault="00D83E33">
      <w:pPr>
        <w:widowControl w:val="0"/>
        <w:pBdr>
          <w:top w:val="nil"/>
          <w:left w:val="nil"/>
          <w:bottom w:val="nil"/>
          <w:right w:val="nil"/>
          <w:between w:val="nil"/>
        </w:pBdr>
        <w:spacing w:before="200" w:after="200"/>
        <w:jc w:val="both"/>
        <w:rPr>
          <w:i/>
          <w:color w:val="FF0000"/>
          <w:sz w:val="20"/>
          <w:szCs w:val="20"/>
        </w:rPr>
        <w:sectPr w:rsidR="00D83E33">
          <w:headerReference w:type="default" r:id="rId15"/>
          <w:pgSz w:w="11907" w:h="16840"/>
          <w:pgMar w:top="1418" w:right="851" w:bottom="1418" w:left="1701" w:header="737" w:footer="567" w:gutter="0"/>
          <w:cols w:space="720"/>
        </w:sectPr>
      </w:pPr>
      <w:bookmarkStart w:id="4" w:name="_heading=h.2et92p0" w:colFirst="0" w:colLast="0"/>
      <w:bookmarkEnd w:id="4"/>
    </w:p>
    <w:tbl>
      <w:tblPr>
        <w:tblStyle w:val="a2"/>
        <w:tblW w:w="5000" w:type="pct"/>
        <w:tblLook w:val="0000" w:firstRow="0" w:lastRow="0" w:firstColumn="0" w:lastColumn="0" w:noHBand="0" w:noVBand="0"/>
      </w:tblPr>
      <w:tblGrid>
        <w:gridCol w:w="3162"/>
        <w:gridCol w:w="720"/>
        <w:gridCol w:w="798"/>
        <w:gridCol w:w="798"/>
        <w:gridCol w:w="1003"/>
        <w:gridCol w:w="1106"/>
        <w:gridCol w:w="1101"/>
        <w:gridCol w:w="989"/>
        <w:gridCol w:w="1011"/>
        <w:gridCol w:w="1005"/>
        <w:gridCol w:w="723"/>
        <w:gridCol w:w="756"/>
        <w:gridCol w:w="832"/>
      </w:tblGrid>
      <w:tr w:rsidR="00FB108F" w:rsidRPr="00852AC7" w14:paraId="0AEAD5B6" w14:textId="77777777" w:rsidTr="001B330E">
        <w:trPr>
          <w:trHeight w:val="23"/>
          <w:tblHeader/>
        </w:trPr>
        <w:tc>
          <w:tcPr>
            <w:tcW w:w="1129" w:type="pct"/>
            <w:vAlign w:val="bottom"/>
          </w:tcPr>
          <w:p w14:paraId="43AEFE72" w14:textId="77777777" w:rsidR="00FB108F" w:rsidRPr="001B330E" w:rsidRDefault="00FB108F" w:rsidP="001B330E">
            <w:pPr>
              <w:widowControl w:val="0"/>
              <w:pBdr>
                <w:top w:val="nil"/>
                <w:left w:val="nil"/>
                <w:bottom w:val="nil"/>
                <w:right w:val="nil"/>
                <w:between w:val="nil"/>
              </w:pBdr>
              <w:ind w:left="113" w:hanging="113"/>
              <w:rPr>
                <w:b/>
                <w:color w:val="000000"/>
                <w:szCs w:val="16"/>
              </w:rPr>
            </w:pPr>
          </w:p>
        </w:tc>
        <w:tc>
          <w:tcPr>
            <w:tcW w:w="257" w:type="pct"/>
            <w:vAlign w:val="bottom"/>
          </w:tcPr>
          <w:p w14:paraId="2B643A20"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3047" w:type="pct"/>
            <w:gridSpan w:val="9"/>
          </w:tcPr>
          <w:p w14:paraId="3F16A7E1"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b/>
                <w:color w:val="000000"/>
                <w:szCs w:val="16"/>
              </w:rPr>
              <w:t>Attributable to owners of the Bank</w:t>
            </w:r>
          </w:p>
        </w:tc>
        <w:tc>
          <w:tcPr>
            <w:tcW w:w="270" w:type="pct"/>
            <w:vMerge w:val="restart"/>
          </w:tcPr>
          <w:p w14:paraId="19FF94AC" w14:textId="77777777" w:rsidR="00FB108F" w:rsidRPr="00C339A6" w:rsidRDefault="00FB108F" w:rsidP="00FB108F">
            <w:pPr>
              <w:widowControl w:val="0"/>
              <w:pBdr>
                <w:top w:val="nil"/>
                <w:left w:val="nil"/>
                <w:bottom w:val="nil"/>
                <w:right w:val="nil"/>
                <w:between w:val="nil"/>
              </w:pBdr>
              <w:jc w:val="right"/>
              <w:rPr>
                <w:b/>
                <w:color w:val="000000"/>
                <w:szCs w:val="16"/>
              </w:rPr>
            </w:pPr>
            <w:r w:rsidRPr="00C339A6">
              <w:rPr>
                <w:b/>
                <w:color w:val="000000"/>
                <w:szCs w:val="16"/>
              </w:rPr>
              <w:t xml:space="preserve">Non-con-troll-ing </w:t>
            </w:r>
          </w:p>
          <w:p w14:paraId="6144FF8F" w14:textId="7CF7539C" w:rsidR="00FB108F" w:rsidRPr="00852AC7" w:rsidRDefault="00FB108F" w:rsidP="00FB108F">
            <w:pPr>
              <w:widowControl w:val="0"/>
              <w:pBdr>
                <w:top w:val="nil"/>
                <w:left w:val="nil"/>
                <w:bottom w:val="nil"/>
                <w:right w:val="nil"/>
                <w:between w:val="nil"/>
              </w:pBdr>
              <w:jc w:val="right"/>
              <w:rPr>
                <w:b/>
                <w:color w:val="000000"/>
                <w:szCs w:val="16"/>
              </w:rPr>
            </w:pPr>
            <w:r w:rsidRPr="00C339A6">
              <w:rPr>
                <w:b/>
                <w:color w:val="000000"/>
                <w:szCs w:val="16"/>
              </w:rPr>
              <w:t>Inte-rest</w:t>
            </w:r>
          </w:p>
        </w:tc>
        <w:tc>
          <w:tcPr>
            <w:tcW w:w="297" w:type="pct"/>
            <w:vMerge w:val="restart"/>
          </w:tcPr>
          <w:p w14:paraId="53B56A11" w14:textId="77777777" w:rsidR="00FB108F" w:rsidRPr="00C339A6" w:rsidRDefault="00FB108F" w:rsidP="00FB108F">
            <w:pPr>
              <w:widowControl w:val="0"/>
              <w:pBdr>
                <w:top w:val="nil"/>
                <w:left w:val="nil"/>
                <w:bottom w:val="nil"/>
                <w:right w:val="nil"/>
                <w:between w:val="nil"/>
              </w:pBdr>
              <w:jc w:val="right"/>
              <w:rPr>
                <w:b/>
                <w:color w:val="000000"/>
                <w:szCs w:val="16"/>
              </w:rPr>
            </w:pPr>
            <w:r w:rsidRPr="00C339A6">
              <w:rPr>
                <w:b/>
                <w:color w:val="000000"/>
                <w:szCs w:val="16"/>
              </w:rPr>
              <w:t>Total</w:t>
            </w:r>
          </w:p>
          <w:p w14:paraId="42B368B5" w14:textId="71B2E8E9" w:rsidR="00FB108F" w:rsidRPr="00852AC7" w:rsidRDefault="00FB108F" w:rsidP="00FB108F">
            <w:pPr>
              <w:widowControl w:val="0"/>
              <w:pBdr>
                <w:top w:val="nil"/>
                <w:left w:val="nil"/>
                <w:bottom w:val="nil"/>
                <w:right w:val="nil"/>
                <w:between w:val="nil"/>
              </w:pBdr>
              <w:jc w:val="right"/>
              <w:rPr>
                <w:b/>
                <w:color w:val="000000"/>
                <w:szCs w:val="16"/>
              </w:rPr>
            </w:pPr>
            <w:r w:rsidRPr="00C339A6">
              <w:rPr>
                <w:b/>
                <w:color w:val="000000"/>
                <w:szCs w:val="16"/>
              </w:rPr>
              <w:t>equity</w:t>
            </w:r>
          </w:p>
        </w:tc>
      </w:tr>
      <w:tr w:rsidR="00FB108F" w:rsidRPr="00852AC7" w14:paraId="6ACB87A6" w14:textId="77777777" w:rsidTr="001B330E">
        <w:trPr>
          <w:trHeight w:val="23"/>
          <w:tblHeader/>
        </w:trPr>
        <w:tc>
          <w:tcPr>
            <w:tcW w:w="1129" w:type="pct"/>
            <w:tcBorders>
              <w:bottom w:val="single" w:sz="4" w:space="0" w:color="000000"/>
            </w:tcBorders>
            <w:vAlign w:val="bottom"/>
          </w:tcPr>
          <w:p w14:paraId="6E15629C" w14:textId="2AD00C51" w:rsidR="00FB108F" w:rsidRPr="001B330E" w:rsidRDefault="00313B4D" w:rsidP="001B330E">
            <w:pPr>
              <w:widowControl w:val="0"/>
              <w:pBdr>
                <w:top w:val="nil"/>
                <w:left w:val="nil"/>
                <w:bottom w:val="nil"/>
                <w:right w:val="nil"/>
                <w:between w:val="nil"/>
              </w:pBdr>
              <w:ind w:left="113" w:hanging="113"/>
              <w:rPr>
                <w:b/>
                <w:color w:val="000000"/>
                <w:szCs w:val="16"/>
              </w:rPr>
            </w:pPr>
            <w:r>
              <w:rPr>
                <w:i/>
                <w:color w:val="000000"/>
                <w:szCs w:val="16"/>
              </w:rPr>
              <w:t xml:space="preserve">In thousands of </w:t>
            </w:r>
            <w:r w:rsidR="002649EE">
              <w:rPr>
                <w:i/>
                <w:color w:val="000000"/>
                <w:szCs w:val="16"/>
              </w:rPr>
              <w:t>EUR</w:t>
            </w:r>
          </w:p>
        </w:tc>
        <w:tc>
          <w:tcPr>
            <w:tcW w:w="257" w:type="pct"/>
            <w:tcBorders>
              <w:bottom w:val="single" w:sz="4" w:space="0" w:color="000000"/>
            </w:tcBorders>
            <w:vAlign w:val="bottom"/>
          </w:tcPr>
          <w:p w14:paraId="4574DD0D" w14:textId="288698BF" w:rsidR="00FB108F" w:rsidRPr="001B330E" w:rsidRDefault="00FB108F" w:rsidP="001B330E">
            <w:pPr>
              <w:widowControl w:val="0"/>
              <w:pBdr>
                <w:top w:val="nil"/>
                <w:left w:val="nil"/>
                <w:bottom w:val="nil"/>
                <w:right w:val="nil"/>
                <w:between w:val="nil"/>
              </w:pBdr>
              <w:jc w:val="center"/>
              <w:rPr>
                <w:color w:val="000000"/>
                <w:szCs w:val="16"/>
              </w:rPr>
            </w:pPr>
            <w:r w:rsidRPr="001B330E">
              <w:rPr>
                <w:b/>
                <w:color w:val="000000"/>
                <w:szCs w:val="16"/>
              </w:rPr>
              <w:t>N</w:t>
            </w:r>
            <w:r>
              <w:rPr>
                <w:b/>
                <w:color w:val="000000"/>
                <w:szCs w:val="16"/>
                <w:lang w:val="en-US"/>
              </w:rPr>
              <w:t>o</w:t>
            </w:r>
            <w:r w:rsidRPr="001B330E">
              <w:rPr>
                <w:b/>
                <w:color w:val="000000"/>
                <w:szCs w:val="16"/>
              </w:rPr>
              <w:t>te</w:t>
            </w:r>
          </w:p>
        </w:tc>
        <w:tc>
          <w:tcPr>
            <w:tcW w:w="285" w:type="pct"/>
            <w:tcBorders>
              <w:top w:val="single" w:sz="4" w:space="0" w:color="000000"/>
              <w:bottom w:val="single" w:sz="4" w:space="0" w:color="000000"/>
            </w:tcBorders>
          </w:tcPr>
          <w:p w14:paraId="2F512898"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Share</w:t>
            </w:r>
          </w:p>
          <w:p w14:paraId="578F2622"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ca-pital</w:t>
            </w:r>
          </w:p>
        </w:tc>
        <w:tc>
          <w:tcPr>
            <w:tcW w:w="285" w:type="pct"/>
            <w:tcBorders>
              <w:top w:val="single" w:sz="4" w:space="0" w:color="000000"/>
              <w:bottom w:val="single" w:sz="4" w:space="0" w:color="000000"/>
            </w:tcBorders>
          </w:tcPr>
          <w:p w14:paraId="29B6DB2B"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Share pre-mium</w:t>
            </w:r>
          </w:p>
        </w:tc>
        <w:tc>
          <w:tcPr>
            <w:tcW w:w="358" w:type="pct"/>
            <w:tcBorders>
              <w:top w:val="single" w:sz="4" w:space="0" w:color="000000"/>
              <w:bottom w:val="single" w:sz="4" w:space="0" w:color="000000"/>
            </w:tcBorders>
            <w:shd w:val="clear" w:color="auto" w:fill="auto"/>
          </w:tcPr>
          <w:p w14:paraId="6702BAEA"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FF"/>
                <w:szCs w:val="16"/>
              </w:rPr>
              <w:t>[Perpe-tual bonds]</w:t>
            </w:r>
          </w:p>
        </w:tc>
        <w:tc>
          <w:tcPr>
            <w:tcW w:w="395" w:type="pct"/>
            <w:tcBorders>
              <w:top w:val="single" w:sz="4" w:space="0" w:color="000000"/>
              <w:bottom w:val="single" w:sz="4" w:space="0" w:color="000000"/>
            </w:tcBorders>
            <w:shd w:val="clear" w:color="auto" w:fill="auto"/>
          </w:tcPr>
          <w:p w14:paraId="6EC988FC"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Reva-luation reserve for secu-rities at FVOCI</w:t>
            </w:r>
          </w:p>
        </w:tc>
        <w:tc>
          <w:tcPr>
            <w:tcW w:w="393" w:type="pct"/>
            <w:tcBorders>
              <w:top w:val="single" w:sz="4" w:space="0" w:color="000000"/>
              <w:bottom w:val="single" w:sz="4" w:space="0" w:color="000000"/>
            </w:tcBorders>
            <w:shd w:val="clear" w:color="auto" w:fill="auto"/>
          </w:tcPr>
          <w:p w14:paraId="44990D8E"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Reva-luation of financial liabilities attri-butable to own credit risk</w:t>
            </w:r>
          </w:p>
        </w:tc>
        <w:tc>
          <w:tcPr>
            <w:tcW w:w="353" w:type="pct"/>
            <w:tcBorders>
              <w:top w:val="single" w:sz="4" w:space="0" w:color="000000"/>
              <w:bottom w:val="single" w:sz="4" w:space="0" w:color="000000"/>
            </w:tcBorders>
          </w:tcPr>
          <w:p w14:paraId="3EA9CA8A"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Reva-luation reserve for pre-mises</w:t>
            </w:r>
          </w:p>
        </w:tc>
        <w:tc>
          <w:tcPr>
            <w:tcW w:w="361" w:type="pct"/>
            <w:tcBorders>
              <w:top w:val="single" w:sz="4" w:space="0" w:color="000000"/>
              <w:bottom w:val="single" w:sz="4" w:space="0" w:color="000000"/>
            </w:tcBorders>
          </w:tcPr>
          <w:p w14:paraId="12CBF4B1"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Cur-rency trans-lation reserve</w:t>
            </w:r>
          </w:p>
        </w:tc>
        <w:tc>
          <w:tcPr>
            <w:tcW w:w="359" w:type="pct"/>
            <w:tcBorders>
              <w:top w:val="single" w:sz="4" w:space="0" w:color="000000"/>
              <w:bottom w:val="single" w:sz="4" w:space="0" w:color="000000"/>
            </w:tcBorders>
          </w:tcPr>
          <w:p w14:paraId="3576D4A3"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Re-tained</w:t>
            </w:r>
          </w:p>
          <w:p w14:paraId="2AC83CBF"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ear-nings</w:t>
            </w:r>
            <w:r w:rsidRPr="001B330E">
              <w:rPr>
                <w:b/>
                <w:color w:val="000000"/>
                <w:szCs w:val="16"/>
              </w:rPr>
              <w:br/>
            </w:r>
            <w:r w:rsidRPr="001B330E">
              <w:rPr>
                <w:b/>
                <w:color w:val="0000FF"/>
                <w:szCs w:val="16"/>
              </w:rPr>
              <w:t>[Accu-mulated deficit]</w:t>
            </w:r>
          </w:p>
        </w:tc>
        <w:tc>
          <w:tcPr>
            <w:tcW w:w="258" w:type="pct"/>
            <w:tcBorders>
              <w:top w:val="single" w:sz="4" w:space="0" w:color="000000"/>
              <w:bottom w:val="single" w:sz="4" w:space="0" w:color="000000"/>
            </w:tcBorders>
          </w:tcPr>
          <w:p w14:paraId="5ECF2275" w14:textId="77777777" w:rsidR="00FB108F" w:rsidRPr="001B330E" w:rsidRDefault="00FB108F" w:rsidP="001B330E">
            <w:pPr>
              <w:widowControl w:val="0"/>
              <w:pBdr>
                <w:top w:val="nil"/>
                <w:left w:val="nil"/>
                <w:bottom w:val="nil"/>
                <w:right w:val="nil"/>
                <w:between w:val="nil"/>
              </w:pBdr>
              <w:jc w:val="right"/>
              <w:rPr>
                <w:b/>
                <w:color w:val="000000"/>
                <w:szCs w:val="16"/>
              </w:rPr>
            </w:pPr>
            <w:r w:rsidRPr="001B330E">
              <w:rPr>
                <w:b/>
                <w:color w:val="000000"/>
                <w:szCs w:val="16"/>
              </w:rPr>
              <w:t>Total</w:t>
            </w:r>
          </w:p>
        </w:tc>
        <w:tc>
          <w:tcPr>
            <w:tcW w:w="270" w:type="pct"/>
            <w:vMerge/>
          </w:tcPr>
          <w:p w14:paraId="1E027446" w14:textId="77777777" w:rsidR="00FB108F" w:rsidRPr="00852AC7" w:rsidRDefault="00FB108F">
            <w:pPr>
              <w:widowControl w:val="0"/>
              <w:pBdr>
                <w:top w:val="nil"/>
                <w:left w:val="nil"/>
                <w:bottom w:val="nil"/>
                <w:right w:val="nil"/>
                <w:between w:val="nil"/>
              </w:pBdr>
              <w:rPr>
                <w:b/>
                <w:color w:val="000000"/>
                <w:szCs w:val="16"/>
              </w:rPr>
            </w:pPr>
          </w:p>
        </w:tc>
        <w:tc>
          <w:tcPr>
            <w:tcW w:w="297" w:type="pct"/>
            <w:vMerge/>
          </w:tcPr>
          <w:p w14:paraId="52BC7075" w14:textId="77777777" w:rsidR="00FB108F" w:rsidRPr="00852AC7" w:rsidRDefault="00FB108F">
            <w:pPr>
              <w:widowControl w:val="0"/>
              <w:pBdr>
                <w:top w:val="nil"/>
                <w:left w:val="nil"/>
                <w:bottom w:val="nil"/>
                <w:right w:val="nil"/>
                <w:between w:val="nil"/>
              </w:pBdr>
              <w:rPr>
                <w:b/>
                <w:color w:val="000000"/>
                <w:szCs w:val="16"/>
              </w:rPr>
            </w:pPr>
          </w:p>
        </w:tc>
      </w:tr>
      <w:tr w:rsidR="00FB108F" w:rsidRPr="00852AC7" w14:paraId="6FFCDADA" w14:textId="77777777" w:rsidTr="001B330E">
        <w:trPr>
          <w:trHeight w:val="23"/>
        </w:trPr>
        <w:tc>
          <w:tcPr>
            <w:tcW w:w="1129" w:type="pct"/>
            <w:tcBorders>
              <w:top w:val="single" w:sz="4" w:space="0" w:color="000000"/>
            </w:tcBorders>
            <w:vAlign w:val="bottom"/>
          </w:tcPr>
          <w:p w14:paraId="1D1FCDD6" w14:textId="77777777" w:rsidR="00FB108F" w:rsidRPr="001B330E" w:rsidRDefault="00FB108F" w:rsidP="001B330E">
            <w:pPr>
              <w:widowControl w:val="0"/>
              <w:pBdr>
                <w:top w:val="nil"/>
                <w:left w:val="nil"/>
                <w:bottom w:val="nil"/>
                <w:right w:val="nil"/>
                <w:between w:val="nil"/>
              </w:pBdr>
              <w:ind w:left="113" w:hanging="113"/>
              <w:rPr>
                <w:b/>
                <w:color w:val="000000"/>
                <w:szCs w:val="16"/>
              </w:rPr>
            </w:pPr>
            <w:r w:rsidRPr="001B330E">
              <w:rPr>
                <w:b/>
                <w:color w:val="000000"/>
                <w:szCs w:val="16"/>
              </w:rPr>
              <w:t> </w:t>
            </w:r>
          </w:p>
        </w:tc>
        <w:tc>
          <w:tcPr>
            <w:tcW w:w="257" w:type="pct"/>
            <w:tcBorders>
              <w:top w:val="single" w:sz="4" w:space="0" w:color="000000"/>
            </w:tcBorders>
            <w:vAlign w:val="bottom"/>
          </w:tcPr>
          <w:p w14:paraId="68285F2F" w14:textId="77777777" w:rsidR="00FB108F" w:rsidRPr="001B330E" w:rsidRDefault="00FB108F" w:rsidP="001B330E">
            <w:pPr>
              <w:widowControl w:val="0"/>
              <w:pBdr>
                <w:top w:val="nil"/>
                <w:left w:val="nil"/>
                <w:bottom w:val="nil"/>
                <w:right w:val="nil"/>
                <w:between w:val="nil"/>
              </w:pBdr>
              <w:jc w:val="center"/>
              <w:rPr>
                <w:b/>
                <w:color w:val="000000"/>
                <w:szCs w:val="16"/>
              </w:rPr>
            </w:pPr>
          </w:p>
        </w:tc>
        <w:tc>
          <w:tcPr>
            <w:tcW w:w="285" w:type="pct"/>
            <w:tcBorders>
              <w:top w:val="single" w:sz="4" w:space="0" w:color="000000"/>
            </w:tcBorders>
            <w:vAlign w:val="bottom"/>
          </w:tcPr>
          <w:p w14:paraId="6FD8831C"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85" w:type="pct"/>
            <w:tcBorders>
              <w:top w:val="single" w:sz="4" w:space="0" w:color="000000"/>
            </w:tcBorders>
            <w:vAlign w:val="bottom"/>
          </w:tcPr>
          <w:p w14:paraId="602ABEBC"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8" w:type="pct"/>
            <w:tcBorders>
              <w:top w:val="single" w:sz="4" w:space="0" w:color="000000"/>
            </w:tcBorders>
            <w:shd w:val="clear" w:color="auto" w:fill="auto"/>
            <w:vAlign w:val="bottom"/>
          </w:tcPr>
          <w:p w14:paraId="62E40BFC"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5" w:type="pct"/>
            <w:tcBorders>
              <w:top w:val="single" w:sz="4" w:space="0" w:color="000000"/>
            </w:tcBorders>
            <w:shd w:val="clear" w:color="auto" w:fill="auto"/>
            <w:vAlign w:val="bottom"/>
          </w:tcPr>
          <w:p w14:paraId="61ACACA5"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3" w:type="pct"/>
            <w:tcBorders>
              <w:top w:val="single" w:sz="4" w:space="0" w:color="000000"/>
            </w:tcBorders>
            <w:shd w:val="clear" w:color="auto" w:fill="auto"/>
            <w:vAlign w:val="bottom"/>
          </w:tcPr>
          <w:p w14:paraId="38681793"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3" w:type="pct"/>
            <w:tcBorders>
              <w:top w:val="single" w:sz="4" w:space="0" w:color="000000"/>
            </w:tcBorders>
            <w:vAlign w:val="bottom"/>
          </w:tcPr>
          <w:p w14:paraId="0C5D2FE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61" w:type="pct"/>
            <w:tcBorders>
              <w:top w:val="single" w:sz="4" w:space="0" w:color="000000"/>
            </w:tcBorders>
            <w:vAlign w:val="bottom"/>
          </w:tcPr>
          <w:p w14:paraId="6E029D88"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9" w:type="pct"/>
            <w:tcBorders>
              <w:top w:val="single" w:sz="4" w:space="0" w:color="000000"/>
            </w:tcBorders>
            <w:vAlign w:val="bottom"/>
          </w:tcPr>
          <w:p w14:paraId="75625F97"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58" w:type="pct"/>
            <w:tcBorders>
              <w:top w:val="single" w:sz="4" w:space="0" w:color="000000"/>
            </w:tcBorders>
            <w:vAlign w:val="bottom"/>
          </w:tcPr>
          <w:p w14:paraId="59FA275A"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70" w:type="pct"/>
            <w:tcBorders>
              <w:top w:val="single" w:sz="4" w:space="0" w:color="000000"/>
            </w:tcBorders>
            <w:vAlign w:val="bottom"/>
          </w:tcPr>
          <w:p w14:paraId="4F61390C" w14:textId="77777777" w:rsidR="00FB108F" w:rsidRPr="00852AC7" w:rsidRDefault="00FB108F">
            <w:pPr>
              <w:widowControl w:val="0"/>
              <w:pBdr>
                <w:top w:val="nil"/>
                <w:left w:val="nil"/>
                <w:bottom w:val="nil"/>
                <w:right w:val="nil"/>
                <w:between w:val="nil"/>
              </w:pBdr>
              <w:jc w:val="right"/>
              <w:rPr>
                <w:b/>
                <w:color w:val="000000"/>
                <w:szCs w:val="16"/>
              </w:rPr>
            </w:pPr>
          </w:p>
        </w:tc>
        <w:tc>
          <w:tcPr>
            <w:tcW w:w="297" w:type="pct"/>
            <w:tcBorders>
              <w:top w:val="single" w:sz="4" w:space="0" w:color="000000"/>
            </w:tcBorders>
            <w:vAlign w:val="bottom"/>
          </w:tcPr>
          <w:p w14:paraId="1F10EC16" w14:textId="77777777" w:rsidR="00FB108F" w:rsidRPr="00852AC7" w:rsidRDefault="00FB108F">
            <w:pPr>
              <w:widowControl w:val="0"/>
              <w:pBdr>
                <w:top w:val="nil"/>
                <w:left w:val="nil"/>
                <w:bottom w:val="nil"/>
                <w:right w:val="nil"/>
                <w:between w:val="nil"/>
              </w:pBdr>
              <w:jc w:val="right"/>
              <w:rPr>
                <w:b/>
                <w:color w:val="000000"/>
                <w:szCs w:val="16"/>
              </w:rPr>
            </w:pPr>
          </w:p>
        </w:tc>
      </w:tr>
      <w:tr w:rsidR="00FB108F" w:rsidRPr="00852AC7" w14:paraId="3380407B" w14:textId="77777777" w:rsidTr="001B330E">
        <w:trPr>
          <w:trHeight w:val="23"/>
        </w:trPr>
        <w:tc>
          <w:tcPr>
            <w:tcW w:w="1129" w:type="pct"/>
            <w:vAlign w:val="bottom"/>
          </w:tcPr>
          <w:p w14:paraId="5264DC20" w14:textId="2C78E278"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Balance at 1 January </w:t>
            </w:r>
            <w:r w:rsidR="00541EBC">
              <w:rPr>
                <w:b/>
                <w:color w:val="000000"/>
                <w:szCs w:val="16"/>
              </w:rPr>
              <w:t>2023</w:t>
            </w:r>
          </w:p>
        </w:tc>
        <w:tc>
          <w:tcPr>
            <w:tcW w:w="257" w:type="pct"/>
            <w:vAlign w:val="bottom"/>
          </w:tcPr>
          <w:p w14:paraId="025D8614" w14:textId="77777777" w:rsidR="00FB108F" w:rsidRPr="001B330E" w:rsidRDefault="00FB108F" w:rsidP="001B330E">
            <w:pPr>
              <w:widowControl w:val="0"/>
              <w:pBdr>
                <w:top w:val="nil"/>
                <w:left w:val="nil"/>
                <w:bottom w:val="nil"/>
                <w:right w:val="nil"/>
                <w:between w:val="nil"/>
              </w:pBdr>
              <w:jc w:val="center"/>
              <w:rPr>
                <w:b/>
                <w:color w:val="000000"/>
                <w:szCs w:val="16"/>
              </w:rPr>
            </w:pPr>
          </w:p>
        </w:tc>
        <w:tc>
          <w:tcPr>
            <w:tcW w:w="285" w:type="pct"/>
            <w:vAlign w:val="bottom"/>
          </w:tcPr>
          <w:p w14:paraId="58ED678F"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85" w:type="pct"/>
            <w:vAlign w:val="bottom"/>
          </w:tcPr>
          <w:p w14:paraId="26AABEEE"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8" w:type="pct"/>
            <w:shd w:val="clear" w:color="auto" w:fill="auto"/>
            <w:vAlign w:val="bottom"/>
          </w:tcPr>
          <w:p w14:paraId="7F6B831A"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5" w:type="pct"/>
            <w:shd w:val="clear" w:color="auto" w:fill="auto"/>
            <w:vAlign w:val="bottom"/>
          </w:tcPr>
          <w:p w14:paraId="5A918A0F"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3" w:type="pct"/>
            <w:shd w:val="clear" w:color="auto" w:fill="auto"/>
            <w:vAlign w:val="bottom"/>
          </w:tcPr>
          <w:p w14:paraId="1C6A46FB"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3" w:type="pct"/>
            <w:vAlign w:val="bottom"/>
          </w:tcPr>
          <w:p w14:paraId="3431C36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61" w:type="pct"/>
            <w:vAlign w:val="bottom"/>
          </w:tcPr>
          <w:p w14:paraId="742142EA"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9" w:type="pct"/>
            <w:vAlign w:val="bottom"/>
          </w:tcPr>
          <w:p w14:paraId="3B1113AD"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58" w:type="pct"/>
            <w:vAlign w:val="bottom"/>
          </w:tcPr>
          <w:p w14:paraId="192CB9AE"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70" w:type="pct"/>
            <w:vAlign w:val="bottom"/>
          </w:tcPr>
          <w:p w14:paraId="3ED1558D" w14:textId="77777777" w:rsidR="00FB108F" w:rsidRPr="00852AC7" w:rsidRDefault="00FB108F">
            <w:pPr>
              <w:widowControl w:val="0"/>
              <w:pBdr>
                <w:top w:val="nil"/>
                <w:left w:val="nil"/>
                <w:bottom w:val="nil"/>
                <w:right w:val="nil"/>
                <w:between w:val="nil"/>
              </w:pBdr>
              <w:jc w:val="right"/>
              <w:rPr>
                <w:b/>
                <w:color w:val="000000"/>
                <w:szCs w:val="16"/>
              </w:rPr>
            </w:pPr>
          </w:p>
        </w:tc>
        <w:tc>
          <w:tcPr>
            <w:tcW w:w="297" w:type="pct"/>
            <w:vAlign w:val="bottom"/>
          </w:tcPr>
          <w:p w14:paraId="4AC5C8CB" w14:textId="77777777" w:rsidR="00FB108F" w:rsidRPr="00852AC7" w:rsidRDefault="00FB108F">
            <w:pPr>
              <w:widowControl w:val="0"/>
              <w:pBdr>
                <w:top w:val="nil"/>
                <w:left w:val="nil"/>
                <w:bottom w:val="nil"/>
                <w:right w:val="nil"/>
                <w:between w:val="nil"/>
              </w:pBdr>
              <w:jc w:val="right"/>
              <w:rPr>
                <w:b/>
                <w:color w:val="000000"/>
                <w:szCs w:val="16"/>
              </w:rPr>
            </w:pPr>
          </w:p>
        </w:tc>
      </w:tr>
      <w:tr w:rsidR="00FB108F" w:rsidRPr="00852AC7" w14:paraId="3DD95BBA" w14:textId="77777777" w:rsidTr="001B330E">
        <w:trPr>
          <w:trHeight w:val="23"/>
        </w:trPr>
        <w:tc>
          <w:tcPr>
            <w:tcW w:w="1129" w:type="pct"/>
            <w:vAlign w:val="bottom"/>
          </w:tcPr>
          <w:p w14:paraId="5A36866C"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 xml:space="preserve">Voluntary changes in accounting policies </w:t>
            </w:r>
          </w:p>
        </w:tc>
        <w:tc>
          <w:tcPr>
            <w:tcW w:w="257" w:type="pct"/>
            <w:vAlign w:val="bottom"/>
          </w:tcPr>
          <w:p w14:paraId="78CFD1F8" w14:textId="77777777" w:rsidR="00FB108F" w:rsidRPr="001B330E" w:rsidRDefault="00FB108F" w:rsidP="001B330E">
            <w:pPr>
              <w:widowControl w:val="0"/>
              <w:pBdr>
                <w:top w:val="nil"/>
                <w:left w:val="nil"/>
                <w:bottom w:val="nil"/>
                <w:right w:val="nil"/>
                <w:between w:val="nil"/>
              </w:pBdr>
              <w:jc w:val="center"/>
              <w:rPr>
                <w:b/>
                <w:color w:val="000000"/>
                <w:szCs w:val="16"/>
              </w:rPr>
            </w:pPr>
            <w:r w:rsidRPr="001B330E">
              <w:rPr>
                <w:b/>
                <w:color w:val="000000"/>
                <w:szCs w:val="16"/>
              </w:rPr>
              <w:t>3</w:t>
            </w:r>
          </w:p>
        </w:tc>
        <w:tc>
          <w:tcPr>
            <w:tcW w:w="285" w:type="pct"/>
            <w:vAlign w:val="bottom"/>
          </w:tcPr>
          <w:p w14:paraId="57B71725"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85" w:type="pct"/>
            <w:vAlign w:val="bottom"/>
          </w:tcPr>
          <w:p w14:paraId="25FFD09E"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8" w:type="pct"/>
            <w:shd w:val="clear" w:color="auto" w:fill="auto"/>
            <w:vAlign w:val="bottom"/>
          </w:tcPr>
          <w:p w14:paraId="61F2FFA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5" w:type="pct"/>
            <w:shd w:val="clear" w:color="auto" w:fill="auto"/>
            <w:vAlign w:val="bottom"/>
          </w:tcPr>
          <w:p w14:paraId="4245D99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3" w:type="pct"/>
            <w:shd w:val="clear" w:color="auto" w:fill="auto"/>
            <w:vAlign w:val="bottom"/>
          </w:tcPr>
          <w:p w14:paraId="0CB88937"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3" w:type="pct"/>
            <w:vAlign w:val="bottom"/>
          </w:tcPr>
          <w:p w14:paraId="1E74A7EC"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61" w:type="pct"/>
            <w:vAlign w:val="bottom"/>
          </w:tcPr>
          <w:p w14:paraId="7C5AD143"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9" w:type="pct"/>
            <w:vAlign w:val="bottom"/>
          </w:tcPr>
          <w:p w14:paraId="431AF0F3"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58" w:type="pct"/>
            <w:vAlign w:val="bottom"/>
          </w:tcPr>
          <w:p w14:paraId="7B9A6C9F"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70" w:type="pct"/>
            <w:vAlign w:val="bottom"/>
          </w:tcPr>
          <w:p w14:paraId="4AB7C421" w14:textId="77777777" w:rsidR="00FB108F" w:rsidRPr="00852AC7" w:rsidRDefault="00FB108F">
            <w:pPr>
              <w:widowControl w:val="0"/>
              <w:pBdr>
                <w:top w:val="nil"/>
                <w:left w:val="nil"/>
                <w:bottom w:val="nil"/>
                <w:right w:val="nil"/>
                <w:between w:val="nil"/>
              </w:pBdr>
              <w:jc w:val="right"/>
              <w:rPr>
                <w:b/>
                <w:color w:val="000000"/>
                <w:szCs w:val="16"/>
              </w:rPr>
            </w:pPr>
          </w:p>
        </w:tc>
        <w:tc>
          <w:tcPr>
            <w:tcW w:w="297" w:type="pct"/>
            <w:vAlign w:val="bottom"/>
          </w:tcPr>
          <w:p w14:paraId="596455A5" w14:textId="77777777" w:rsidR="00FB108F" w:rsidRPr="00852AC7" w:rsidRDefault="00FB108F">
            <w:pPr>
              <w:widowControl w:val="0"/>
              <w:pBdr>
                <w:top w:val="nil"/>
                <w:left w:val="nil"/>
                <w:bottom w:val="nil"/>
                <w:right w:val="nil"/>
                <w:between w:val="nil"/>
              </w:pBdr>
              <w:jc w:val="right"/>
              <w:rPr>
                <w:b/>
                <w:color w:val="000000"/>
                <w:szCs w:val="16"/>
              </w:rPr>
            </w:pPr>
          </w:p>
        </w:tc>
      </w:tr>
      <w:tr w:rsidR="00FB108F" w:rsidRPr="00852AC7" w14:paraId="2CB002C3" w14:textId="77777777" w:rsidTr="001B330E">
        <w:trPr>
          <w:trHeight w:val="23"/>
        </w:trPr>
        <w:tc>
          <w:tcPr>
            <w:tcW w:w="1129" w:type="pct"/>
            <w:tcBorders>
              <w:bottom w:val="single" w:sz="4" w:space="0" w:color="000000"/>
            </w:tcBorders>
            <w:vAlign w:val="bottom"/>
          </w:tcPr>
          <w:p w14:paraId="77DC5044" w14:textId="77777777" w:rsidR="00FB108F" w:rsidRPr="001B330E" w:rsidRDefault="00FB108F" w:rsidP="001B330E">
            <w:pPr>
              <w:widowControl w:val="0"/>
              <w:pBdr>
                <w:top w:val="nil"/>
                <w:left w:val="nil"/>
                <w:bottom w:val="nil"/>
                <w:right w:val="nil"/>
                <w:between w:val="nil"/>
              </w:pBdr>
              <w:ind w:left="113" w:hanging="113"/>
              <w:rPr>
                <w:b/>
                <w:color w:val="000000"/>
                <w:szCs w:val="16"/>
              </w:rPr>
            </w:pPr>
          </w:p>
        </w:tc>
        <w:tc>
          <w:tcPr>
            <w:tcW w:w="257" w:type="pct"/>
            <w:tcBorders>
              <w:bottom w:val="single" w:sz="4" w:space="0" w:color="000000"/>
            </w:tcBorders>
            <w:vAlign w:val="bottom"/>
          </w:tcPr>
          <w:p w14:paraId="5A002D46" w14:textId="77777777" w:rsidR="00FB108F" w:rsidRPr="001B330E" w:rsidRDefault="00FB108F" w:rsidP="001B330E">
            <w:pPr>
              <w:widowControl w:val="0"/>
              <w:pBdr>
                <w:top w:val="nil"/>
                <w:left w:val="nil"/>
                <w:bottom w:val="nil"/>
                <w:right w:val="nil"/>
                <w:between w:val="nil"/>
              </w:pBdr>
              <w:jc w:val="center"/>
              <w:rPr>
                <w:b/>
                <w:color w:val="000000"/>
                <w:szCs w:val="16"/>
              </w:rPr>
            </w:pPr>
          </w:p>
        </w:tc>
        <w:tc>
          <w:tcPr>
            <w:tcW w:w="285" w:type="pct"/>
            <w:tcBorders>
              <w:bottom w:val="single" w:sz="4" w:space="0" w:color="000000"/>
            </w:tcBorders>
            <w:vAlign w:val="bottom"/>
          </w:tcPr>
          <w:p w14:paraId="53D5B7E9"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85" w:type="pct"/>
            <w:tcBorders>
              <w:bottom w:val="single" w:sz="4" w:space="0" w:color="000000"/>
            </w:tcBorders>
            <w:vAlign w:val="bottom"/>
          </w:tcPr>
          <w:p w14:paraId="48FD4B8C"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8" w:type="pct"/>
            <w:tcBorders>
              <w:bottom w:val="single" w:sz="4" w:space="0" w:color="000000"/>
            </w:tcBorders>
            <w:shd w:val="clear" w:color="auto" w:fill="auto"/>
            <w:vAlign w:val="bottom"/>
          </w:tcPr>
          <w:p w14:paraId="384814E6"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5" w:type="pct"/>
            <w:tcBorders>
              <w:bottom w:val="single" w:sz="4" w:space="0" w:color="000000"/>
            </w:tcBorders>
            <w:shd w:val="clear" w:color="auto" w:fill="auto"/>
            <w:vAlign w:val="bottom"/>
          </w:tcPr>
          <w:p w14:paraId="405689A1"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3" w:type="pct"/>
            <w:tcBorders>
              <w:bottom w:val="single" w:sz="4" w:space="0" w:color="000000"/>
            </w:tcBorders>
            <w:shd w:val="clear" w:color="auto" w:fill="auto"/>
            <w:vAlign w:val="bottom"/>
          </w:tcPr>
          <w:p w14:paraId="52EAC9AB"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3" w:type="pct"/>
            <w:tcBorders>
              <w:bottom w:val="single" w:sz="4" w:space="0" w:color="000000"/>
            </w:tcBorders>
            <w:vAlign w:val="bottom"/>
          </w:tcPr>
          <w:p w14:paraId="14477958"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61" w:type="pct"/>
            <w:tcBorders>
              <w:bottom w:val="single" w:sz="4" w:space="0" w:color="000000"/>
            </w:tcBorders>
            <w:vAlign w:val="bottom"/>
          </w:tcPr>
          <w:p w14:paraId="1506DEBE"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9" w:type="pct"/>
            <w:tcBorders>
              <w:bottom w:val="single" w:sz="4" w:space="0" w:color="000000"/>
            </w:tcBorders>
            <w:vAlign w:val="bottom"/>
          </w:tcPr>
          <w:p w14:paraId="439BD439"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58" w:type="pct"/>
            <w:tcBorders>
              <w:bottom w:val="single" w:sz="4" w:space="0" w:color="000000"/>
            </w:tcBorders>
            <w:vAlign w:val="bottom"/>
          </w:tcPr>
          <w:p w14:paraId="4C29673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70" w:type="pct"/>
            <w:tcBorders>
              <w:bottom w:val="single" w:sz="4" w:space="0" w:color="000000"/>
            </w:tcBorders>
            <w:vAlign w:val="bottom"/>
          </w:tcPr>
          <w:p w14:paraId="1EDF717D" w14:textId="77777777" w:rsidR="00FB108F" w:rsidRPr="00852AC7" w:rsidRDefault="00FB108F">
            <w:pPr>
              <w:widowControl w:val="0"/>
              <w:pBdr>
                <w:top w:val="nil"/>
                <w:left w:val="nil"/>
                <w:bottom w:val="nil"/>
                <w:right w:val="nil"/>
                <w:between w:val="nil"/>
              </w:pBdr>
              <w:jc w:val="right"/>
              <w:rPr>
                <w:b/>
                <w:color w:val="000000"/>
                <w:szCs w:val="16"/>
              </w:rPr>
            </w:pPr>
          </w:p>
        </w:tc>
        <w:tc>
          <w:tcPr>
            <w:tcW w:w="297" w:type="pct"/>
            <w:tcBorders>
              <w:bottom w:val="single" w:sz="4" w:space="0" w:color="000000"/>
            </w:tcBorders>
            <w:vAlign w:val="bottom"/>
          </w:tcPr>
          <w:p w14:paraId="05396DA6" w14:textId="77777777" w:rsidR="00FB108F" w:rsidRPr="00852AC7" w:rsidRDefault="00FB108F">
            <w:pPr>
              <w:widowControl w:val="0"/>
              <w:pBdr>
                <w:top w:val="nil"/>
                <w:left w:val="nil"/>
                <w:bottom w:val="nil"/>
                <w:right w:val="nil"/>
                <w:between w:val="nil"/>
              </w:pBdr>
              <w:jc w:val="right"/>
              <w:rPr>
                <w:b/>
                <w:color w:val="000000"/>
                <w:szCs w:val="16"/>
              </w:rPr>
            </w:pPr>
          </w:p>
        </w:tc>
      </w:tr>
      <w:tr w:rsidR="00FB108F" w:rsidRPr="00852AC7" w14:paraId="27DD1174" w14:textId="77777777" w:rsidTr="001B330E">
        <w:trPr>
          <w:trHeight w:val="23"/>
        </w:trPr>
        <w:tc>
          <w:tcPr>
            <w:tcW w:w="1129" w:type="pct"/>
            <w:tcBorders>
              <w:top w:val="single" w:sz="4" w:space="0" w:color="000000"/>
            </w:tcBorders>
            <w:vAlign w:val="bottom"/>
          </w:tcPr>
          <w:p w14:paraId="7766B838" w14:textId="77777777" w:rsidR="00FB108F" w:rsidRPr="001B330E" w:rsidRDefault="00FB108F" w:rsidP="001B330E">
            <w:pPr>
              <w:widowControl w:val="0"/>
              <w:pBdr>
                <w:top w:val="nil"/>
                <w:left w:val="nil"/>
                <w:bottom w:val="nil"/>
                <w:right w:val="nil"/>
                <w:between w:val="nil"/>
              </w:pBdr>
              <w:ind w:left="113" w:hanging="113"/>
              <w:rPr>
                <w:b/>
                <w:color w:val="000000"/>
                <w:szCs w:val="16"/>
              </w:rPr>
            </w:pPr>
          </w:p>
        </w:tc>
        <w:tc>
          <w:tcPr>
            <w:tcW w:w="257" w:type="pct"/>
            <w:tcBorders>
              <w:top w:val="single" w:sz="4" w:space="0" w:color="000000"/>
            </w:tcBorders>
            <w:vAlign w:val="bottom"/>
          </w:tcPr>
          <w:p w14:paraId="3AB64430" w14:textId="77777777" w:rsidR="00FB108F" w:rsidRPr="001B330E" w:rsidRDefault="00FB108F" w:rsidP="001B330E">
            <w:pPr>
              <w:widowControl w:val="0"/>
              <w:pBdr>
                <w:top w:val="nil"/>
                <w:left w:val="nil"/>
                <w:bottom w:val="nil"/>
                <w:right w:val="nil"/>
                <w:between w:val="nil"/>
              </w:pBdr>
              <w:jc w:val="center"/>
              <w:rPr>
                <w:b/>
                <w:color w:val="000000"/>
                <w:szCs w:val="16"/>
              </w:rPr>
            </w:pPr>
          </w:p>
        </w:tc>
        <w:tc>
          <w:tcPr>
            <w:tcW w:w="285" w:type="pct"/>
            <w:tcBorders>
              <w:top w:val="single" w:sz="4" w:space="0" w:color="000000"/>
            </w:tcBorders>
            <w:vAlign w:val="bottom"/>
          </w:tcPr>
          <w:p w14:paraId="7D62CB69"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85" w:type="pct"/>
            <w:tcBorders>
              <w:top w:val="single" w:sz="4" w:space="0" w:color="000000"/>
            </w:tcBorders>
            <w:vAlign w:val="bottom"/>
          </w:tcPr>
          <w:p w14:paraId="52228383"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8" w:type="pct"/>
            <w:tcBorders>
              <w:top w:val="single" w:sz="4" w:space="0" w:color="000000"/>
            </w:tcBorders>
            <w:shd w:val="clear" w:color="auto" w:fill="auto"/>
            <w:vAlign w:val="bottom"/>
          </w:tcPr>
          <w:p w14:paraId="111C28E9"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5" w:type="pct"/>
            <w:tcBorders>
              <w:top w:val="single" w:sz="4" w:space="0" w:color="000000"/>
            </w:tcBorders>
            <w:shd w:val="clear" w:color="auto" w:fill="auto"/>
            <w:vAlign w:val="bottom"/>
          </w:tcPr>
          <w:p w14:paraId="005A30D7"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3" w:type="pct"/>
            <w:tcBorders>
              <w:top w:val="single" w:sz="4" w:space="0" w:color="000000"/>
            </w:tcBorders>
            <w:shd w:val="clear" w:color="auto" w:fill="auto"/>
            <w:vAlign w:val="bottom"/>
          </w:tcPr>
          <w:p w14:paraId="1F105271"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3" w:type="pct"/>
            <w:tcBorders>
              <w:top w:val="single" w:sz="4" w:space="0" w:color="000000"/>
            </w:tcBorders>
            <w:vAlign w:val="bottom"/>
          </w:tcPr>
          <w:p w14:paraId="50378494"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61" w:type="pct"/>
            <w:tcBorders>
              <w:top w:val="single" w:sz="4" w:space="0" w:color="000000"/>
            </w:tcBorders>
            <w:vAlign w:val="bottom"/>
          </w:tcPr>
          <w:p w14:paraId="7CE60D96"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9" w:type="pct"/>
            <w:tcBorders>
              <w:top w:val="single" w:sz="4" w:space="0" w:color="000000"/>
            </w:tcBorders>
            <w:vAlign w:val="bottom"/>
          </w:tcPr>
          <w:p w14:paraId="20A41BF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58" w:type="pct"/>
            <w:tcBorders>
              <w:top w:val="single" w:sz="4" w:space="0" w:color="000000"/>
            </w:tcBorders>
            <w:vAlign w:val="bottom"/>
          </w:tcPr>
          <w:p w14:paraId="52D0CE7B"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70" w:type="pct"/>
            <w:tcBorders>
              <w:top w:val="single" w:sz="4" w:space="0" w:color="000000"/>
            </w:tcBorders>
            <w:vAlign w:val="bottom"/>
          </w:tcPr>
          <w:p w14:paraId="27AA0D03" w14:textId="77777777" w:rsidR="00FB108F" w:rsidRPr="00852AC7" w:rsidRDefault="00FB108F">
            <w:pPr>
              <w:widowControl w:val="0"/>
              <w:pBdr>
                <w:top w:val="nil"/>
                <w:left w:val="nil"/>
                <w:bottom w:val="nil"/>
                <w:right w:val="nil"/>
                <w:between w:val="nil"/>
              </w:pBdr>
              <w:jc w:val="right"/>
              <w:rPr>
                <w:b/>
                <w:color w:val="000000"/>
                <w:szCs w:val="16"/>
              </w:rPr>
            </w:pPr>
          </w:p>
        </w:tc>
        <w:tc>
          <w:tcPr>
            <w:tcW w:w="297" w:type="pct"/>
            <w:tcBorders>
              <w:top w:val="single" w:sz="4" w:space="0" w:color="000000"/>
            </w:tcBorders>
            <w:vAlign w:val="bottom"/>
          </w:tcPr>
          <w:p w14:paraId="5E72037B" w14:textId="77777777" w:rsidR="00FB108F" w:rsidRPr="00852AC7" w:rsidRDefault="00FB108F">
            <w:pPr>
              <w:widowControl w:val="0"/>
              <w:pBdr>
                <w:top w:val="nil"/>
                <w:left w:val="nil"/>
                <w:bottom w:val="nil"/>
                <w:right w:val="nil"/>
                <w:between w:val="nil"/>
              </w:pBdr>
              <w:jc w:val="right"/>
              <w:rPr>
                <w:b/>
                <w:color w:val="000000"/>
                <w:szCs w:val="16"/>
              </w:rPr>
            </w:pPr>
          </w:p>
        </w:tc>
      </w:tr>
      <w:tr w:rsidR="00FB108F" w:rsidRPr="00852AC7" w14:paraId="5B87053F" w14:textId="77777777" w:rsidTr="001B330E">
        <w:trPr>
          <w:trHeight w:val="23"/>
        </w:trPr>
        <w:tc>
          <w:tcPr>
            <w:tcW w:w="1129" w:type="pct"/>
            <w:vAlign w:val="bottom"/>
          </w:tcPr>
          <w:p w14:paraId="66F35E30" w14:textId="3494D8A8"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Balance at 1 January </w:t>
            </w:r>
            <w:r w:rsidR="00541EBC">
              <w:rPr>
                <w:b/>
                <w:color w:val="000000"/>
                <w:szCs w:val="16"/>
              </w:rPr>
              <w:t>2023</w:t>
            </w:r>
            <w:r w:rsidRPr="001B330E">
              <w:rPr>
                <w:b/>
                <w:color w:val="000000"/>
                <w:szCs w:val="16"/>
              </w:rPr>
              <w:t xml:space="preserve"> (restated)</w:t>
            </w:r>
          </w:p>
        </w:tc>
        <w:tc>
          <w:tcPr>
            <w:tcW w:w="257" w:type="pct"/>
            <w:vAlign w:val="bottom"/>
          </w:tcPr>
          <w:p w14:paraId="2171497B" w14:textId="77777777" w:rsidR="00FB108F" w:rsidRPr="001B330E" w:rsidRDefault="00FB108F" w:rsidP="001B330E">
            <w:pPr>
              <w:widowControl w:val="0"/>
              <w:pBdr>
                <w:top w:val="nil"/>
                <w:left w:val="nil"/>
                <w:bottom w:val="nil"/>
                <w:right w:val="nil"/>
                <w:between w:val="nil"/>
              </w:pBdr>
              <w:jc w:val="center"/>
              <w:rPr>
                <w:b/>
                <w:color w:val="000000"/>
                <w:szCs w:val="16"/>
              </w:rPr>
            </w:pPr>
          </w:p>
        </w:tc>
        <w:tc>
          <w:tcPr>
            <w:tcW w:w="285" w:type="pct"/>
            <w:vAlign w:val="bottom"/>
          </w:tcPr>
          <w:p w14:paraId="121CB8B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85" w:type="pct"/>
            <w:vAlign w:val="bottom"/>
          </w:tcPr>
          <w:p w14:paraId="72E6434D"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8" w:type="pct"/>
            <w:shd w:val="clear" w:color="auto" w:fill="auto"/>
            <w:vAlign w:val="bottom"/>
          </w:tcPr>
          <w:p w14:paraId="06B0DB7C"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5" w:type="pct"/>
            <w:shd w:val="clear" w:color="auto" w:fill="auto"/>
            <w:vAlign w:val="bottom"/>
          </w:tcPr>
          <w:p w14:paraId="49E0D6EC"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3" w:type="pct"/>
            <w:shd w:val="clear" w:color="auto" w:fill="auto"/>
            <w:vAlign w:val="bottom"/>
          </w:tcPr>
          <w:p w14:paraId="51A20263"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3" w:type="pct"/>
            <w:vAlign w:val="bottom"/>
          </w:tcPr>
          <w:p w14:paraId="4F4263F5"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61" w:type="pct"/>
            <w:vAlign w:val="bottom"/>
          </w:tcPr>
          <w:p w14:paraId="41019F98"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9" w:type="pct"/>
            <w:vAlign w:val="bottom"/>
          </w:tcPr>
          <w:p w14:paraId="76547224"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58" w:type="pct"/>
            <w:vAlign w:val="bottom"/>
          </w:tcPr>
          <w:p w14:paraId="20ABCCCF"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70" w:type="pct"/>
            <w:vAlign w:val="bottom"/>
          </w:tcPr>
          <w:p w14:paraId="47C6F709" w14:textId="77777777" w:rsidR="00FB108F" w:rsidRPr="00852AC7" w:rsidRDefault="00FB108F">
            <w:pPr>
              <w:widowControl w:val="0"/>
              <w:pBdr>
                <w:top w:val="nil"/>
                <w:left w:val="nil"/>
                <w:bottom w:val="nil"/>
                <w:right w:val="nil"/>
                <w:between w:val="nil"/>
              </w:pBdr>
              <w:jc w:val="right"/>
              <w:rPr>
                <w:b/>
                <w:color w:val="000000"/>
                <w:szCs w:val="16"/>
              </w:rPr>
            </w:pPr>
          </w:p>
        </w:tc>
        <w:tc>
          <w:tcPr>
            <w:tcW w:w="297" w:type="pct"/>
            <w:vAlign w:val="bottom"/>
          </w:tcPr>
          <w:p w14:paraId="2E813FF8" w14:textId="77777777" w:rsidR="00FB108F" w:rsidRPr="00852AC7" w:rsidRDefault="00FB108F">
            <w:pPr>
              <w:widowControl w:val="0"/>
              <w:pBdr>
                <w:top w:val="nil"/>
                <w:left w:val="nil"/>
                <w:bottom w:val="nil"/>
                <w:right w:val="nil"/>
                <w:between w:val="nil"/>
              </w:pBdr>
              <w:jc w:val="right"/>
              <w:rPr>
                <w:b/>
                <w:color w:val="000000"/>
                <w:szCs w:val="16"/>
              </w:rPr>
            </w:pPr>
          </w:p>
        </w:tc>
      </w:tr>
      <w:tr w:rsidR="00FB108F" w:rsidRPr="00852AC7" w14:paraId="2912B485" w14:textId="77777777" w:rsidTr="001B330E">
        <w:trPr>
          <w:trHeight w:val="23"/>
        </w:trPr>
        <w:tc>
          <w:tcPr>
            <w:tcW w:w="1129" w:type="pct"/>
            <w:tcBorders>
              <w:bottom w:val="single" w:sz="4" w:space="0" w:color="000000"/>
            </w:tcBorders>
            <w:vAlign w:val="bottom"/>
          </w:tcPr>
          <w:p w14:paraId="65E11D72"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bottom w:val="single" w:sz="4" w:space="0" w:color="000000"/>
            </w:tcBorders>
            <w:vAlign w:val="bottom"/>
          </w:tcPr>
          <w:p w14:paraId="08339D45"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bottom w:val="single" w:sz="4" w:space="0" w:color="000000"/>
            </w:tcBorders>
            <w:vAlign w:val="bottom"/>
          </w:tcPr>
          <w:p w14:paraId="3F25276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bottom w:val="single" w:sz="4" w:space="0" w:color="000000"/>
            </w:tcBorders>
            <w:vAlign w:val="bottom"/>
          </w:tcPr>
          <w:p w14:paraId="0F654AE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bottom w:val="single" w:sz="4" w:space="0" w:color="000000"/>
            </w:tcBorders>
            <w:shd w:val="clear" w:color="auto" w:fill="auto"/>
            <w:vAlign w:val="bottom"/>
          </w:tcPr>
          <w:p w14:paraId="3BF7210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bottom w:val="single" w:sz="4" w:space="0" w:color="000000"/>
            </w:tcBorders>
            <w:shd w:val="clear" w:color="auto" w:fill="auto"/>
            <w:vAlign w:val="bottom"/>
          </w:tcPr>
          <w:p w14:paraId="12BB3B0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bottom w:val="single" w:sz="4" w:space="0" w:color="000000"/>
            </w:tcBorders>
            <w:shd w:val="clear" w:color="auto" w:fill="auto"/>
            <w:vAlign w:val="bottom"/>
          </w:tcPr>
          <w:p w14:paraId="33D520F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bottom w:val="single" w:sz="4" w:space="0" w:color="000000"/>
            </w:tcBorders>
            <w:vAlign w:val="bottom"/>
          </w:tcPr>
          <w:p w14:paraId="125E62E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bottom w:val="single" w:sz="4" w:space="0" w:color="000000"/>
            </w:tcBorders>
            <w:vAlign w:val="bottom"/>
          </w:tcPr>
          <w:p w14:paraId="4A04C9C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bottom w:val="single" w:sz="4" w:space="0" w:color="000000"/>
            </w:tcBorders>
            <w:vAlign w:val="bottom"/>
          </w:tcPr>
          <w:p w14:paraId="34BCAD6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bottom w:val="single" w:sz="4" w:space="0" w:color="000000"/>
            </w:tcBorders>
            <w:vAlign w:val="bottom"/>
          </w:tcPr>
          <w:p w14:paraId="4556374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bottom w:val="single" w:sz="4" w:space="0" w:color="000000"/>
            </w:tcBorders>
            <w:vAlign w:val="bottom"/>
          </w:tcPr>
          <w:p w14:paraId="122DC78E"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bottom w:val="single" w:sz="4" w:space="0" w:color="000000"/>
            </w:tcBorders>
            <w:vAlign w:val="bottom"/>
          </w:tcPr>
          <w:p w14:paraId="56920A1A"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49203308" w14:textId="77777777" w:rsidTr="001B330E">
        <w:trPr>
          <w:trHeight w:val="23"/>
        </w:trPr>
        <w:tc>
          <w:tcPr>
            <w:tcW w:w="1129" w:type="pct"/>
            <w:tcBorders>
              <w:top w:val="single" w:sz="4" w:space="0" w:color="000000"/>
            </w:tcBorders>
            <w:vAlign w:val="bottom"/>
          </w:tcPr>
          <w:p w14:paraId="4DA40FC2"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top w:val="single" w:sz="4" w:space="0" w:color="000000"/>
            </w:tcBorders>
            <w:vAlign w:val="bottom"/>
          </w:tcPr>
          <w:p w14:paraId="29FD6ADB"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top w:val="single" w:sz="4" w:space="0" w:color="000000"/>
            </w:tcBorders>
            <w:vAlign w:val="bottom"/>
          </w:tcPr>
          <w:p w14:paraId="79F9242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top w:val="single" w:sz="4" w:space="0" w:color="000000"/>
            </w:tcBorders>
            <w:vAlign w:val="bottom"/>
          </w:tcPr>
          <w:p w14:paraId="65EDE3A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top w:val="single" w:sz="4" w:space="0" w:color="000000"/>
            </w:tcBorders>
            <w:shd w:val="clear" w:color="auto" w:fill="auto"/>
            <w:vAlign w:val="bottom"/>
          </w:tcPr>
          <w:p w14:paraId="72429F7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top w:val="single" w:sz="4" w:space="0" w:color="000000"/>
            </w:tcBorders>
            <w:shd w:val="clear" w:color="auto" w:fill="auto"/>
            <w:vAlign w:val="bottom"/>
          </w:tcPr>
          <w:p w14:paraId="00ED258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top w:val="single" w:sz="4" w:space="0" w:color="000000"/>
            </w:tcBorders>
            <w:shd w:val="clear" w:color="auto" w:fill="auto"/>
            <w:vAlign w:val="bottom"/>
          </w:tcPr>
          <w:p w14:paraId="24C558A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top w:val="single" w:sz="4" w:space="0" w:color="000000"/>
            </w:tcBorders>
            <w:vAlign w:val="bottom"/>
          </w:tcPr>
          <w:p w14:paraId="41E5CEE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top w:val="single" w:sz="4" w:space="0" w:color="000000"/>
            </w:tcBorders>
            <w:vAlign w:val="bottom"/>
          </w:tcPr>
          <w:p w14:paraId="283EBAD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top w:val="single" w:sz="4" w:space="0" w:color="000000"/>
            </w:tcBorders>
            <w:vAlign w:val="bottom"/>
          </w:tcPr>
          <w:p w14:paraId="09936AB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top w:val="single" w:sz="4" w:space="0" w:color="000000"/>
            </w:tcBorders>
            <w:vAlign w:val="bottom"/>
          </w:tcPr>
          <w:p w14:paraId="7772557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top w:val="single" w:sz="4" w:space="0" w:color="000000"/>
            </w:tcBorders>
            <w:vAlign w:val="bottom"/>
          </w:tcPr>
          <w:p w14:paraId="0EAD8CA8"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top w:val="single" w:sz="4" w:space="0" w:color="000000"/>
            </w:tcBorders>
            <w:vAlign w:val="bottom"/>
          </w:tcPr>
          <w:p w14:paraId="2E0E6E1F"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6BFD5652" w14:textId="77777777" w:rsidTr="001B330E">
        <w:trPr>
          <w:trHeight w:val="23"/>
        </w:trPr>
        <w:tc>
          <w:tcPr>
            <w:tcW w:w="1129" w:type="pct"/>
            <w:vAlign w:val="bottom"/>
          </w:tcPr>
          <w:p w14:paraId="7352867B"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Profit / (loss) for the year</w:t>
            </w:r>
          </w:p>
        </w:tc>
        <w:tc>
          <w:tcPr>
            <w:tcW w:w="257" w:type="pct"/>
            <w:vAlign w:val="bottom"/>
          </w:tcPr>
          <w:p w14:paraId="3FFE0EF3"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10905A4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0CE3C25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18A2483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24B90E9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6A71A1E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245DF09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42E3B57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34B62DB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4C048CE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33D84C59"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6AB684CA"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598BA818" w14:textId="77777777" w:rsidTr="001B330E">
        <w:trPr>
          <w:trHeight w:val="23"/>
        </w:trPr>
        <w:tc>
          <w:tcPr>
            <w:tcW w:w="1129" w:type="pct"/>
            <w:vAlign w:val="bottom"/>
          </w:tcPr>
          <w:p w14:paraId="70E56A04"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Other comprehensive income</w:t>
            </w:r>
          </w:p>
        </w:tc>
        <w:tc>
          <w:tcPr>
            <w:tcW w:w="257" w:type="pct"/>
            <w:vAlign w:val="bottom"/>
          </w:tcPr>
          <w:p w14:paraId="2C2120C1"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31</w:t>
            </w:r>
          </w:p>
        </w:tc>
        <w:tc>
          <w:tcPr>
            <w:tcW w:w="285" w:type="pct"/>
            <w:vAlign w:val="bottom"/>
          </w:tcPr>
          <w:p w14:paraId="0DF244F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224D4C3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0A71BD9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4882002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3E4C8C8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19B8891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576EF91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5757A04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57ABCBD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6C243E11"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6812213C"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28E586E8" w14:textId="77777777" w:rsidTr="001B330E">
        <w:trPr>
          <w:trHeight w:val="23"/>
        </w:trPr>
        <w:tc>
          <w:tcPr>
            <w:tcW w:w="1129" w:type="pct"/>
            <w:tcBorders>
              <w:bottom w:val="single" w:sz="4" w:space="0" w:color="000000"/>
            </w:tcBorders>
            <w:vAlign w:val="bottom"/>
          </w:tcPr>
          <w:p w14:paraId="5DBC74A3"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bottom w:val="single" w:sz="4" w:space="0" w:color="000000"/>
            </w:tcBorders>
            <w:vAlign w:val="bottom"/>
          </w:tcPr>
          <w:p w14:paraId="21D37BD7"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bottom w:val="single" w:sz="4" w:space="0" w:color="000000"/>
            </w:tcBorders>
            <w:vAlign w:val="bottom"/>
          </w:tcPr>
          <w:p w14:paraId="4942ACC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bottom w:val="single" w:sz="4" w:space="0" w:color="000000"/>
            </w:tcBorders>
            <w:vAlign w:val="bottom"/>
          </w:tcPr>
          <w:p w14:paraId="1DEB986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bottom w:val="single" w:sz="4" w:space="0" w:color="000000"/>
            </w:tcBorders>
            <w:shd w:val="clear" w:color="auto" w:fill="auto"/>
            <w:vAlign w:val="bottom"/>
          </w:tcPr>
          <w:p w14:paraId="7241704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bottom w:val="single" w:sz="4" w:space="0" w:color="000000"/>
            </w:tcBorders>
            <w:shd w:val="clear" w:color="auto" w:fill="auto"/>
            <w:vAlign w:val="bottom"/>
          </w:tcPr>
          <w:p w14:paraId="537DC9C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bottom w:val="single" w:sz="4" w:space="0" w:color="000000"/>
            </w:tcBorders>
            <w:shd w:val="clear" w:color="auto" w:fill="auto"/>
            <w:vAlign w:val="bottom"/>
          </w:tcPr>
          <w:p w14:paraId="1BB2E41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bottom w:val="single" w:sz="4" w:space="0" w:color="000000"/>
            </w:tcBorders>
            <w:vAlign w:val="bottom"/>
          </w:tcPr>
          <w:p w14:paraId="38E4DF1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bottom w:val="single" w:sz="4" w:space="0" w:color="000000"/>
            </w:tcBorders>
            <w:vAlign w:val="bottom"/>
          </w:tcPr>
          <w:p w14:paraId="3F4F003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bottom w:val="single" w:sz="4" w:space="0" w:color="000000"/>
            </w:tcBorders>
            <w:vAlign w:val="bottom"/>
          </w:tcPr>
          <w:p w14:paraId="54C84B2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bottom w:val="single" w:sz="4" w:space="0" w:color="000000"/>
            </w:tcBorders>
            <w:vAlign w:val="bottom"/>
          </w:tcPr>
          <w:p w14:paraId="22F7AC6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bottom w:val="single" w:sz="4" w:space="0" w:color="000000"/>
            </w:tcBorders>
            <w:vAlign w:val="bottom"/>
          </w:tcPr>
          <w:p w14:paraId="2B18B136"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bottom w:val="single" w:sz="4" w:space="0" w:color="000000"/>
            </w:tcBorders>
            <w:vAlign w:val="bottom"/>
          </w:tcPr>
          <w:p w14:paraId="6B3A98FC"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677E826F" w14:textId="77777777" w:rsidTr="001B330E">
        <w:trPr>
          <w:trHeight w:val="23"/>
        </w:trPr>
        <w:tc>
          <w:tcPr>
            <w:tcW w:w="1129" w:type="pct"/>
            <w:tcBorders>
              <w:top w:val="single" w:sz="4" w:space="0" w:color="000000"/>
            </w:tcBorders>
            <w:vAlign w:val="bottom"/>
          </w:tcPr>
          <w:p w14:paraId="08754156"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top w:val="single" w:sz="4" w:space="0" w:color="000000"/>
            </w:tcBorders>
            <w:vAlign w:val="bottom"/>
          </w:tcPr>
          <w:p w14:paraId="1558258F"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top w:val="single" w:sz="4" w:space="0" w:color="000000"/>
            </w:tcBorders>
            <w:vAlign w:val="bottom"/>
          </w:tcPr>
          <w:p w14:paraId="71A5A3F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top w:val="single" w:sz="4" w:space="0" w:color="000000"/>
            </w:tcBorders>
            <w:vAlign w:val="bottom"/>
          </w:tcPr>
          <w:p w14:paraId="7A8FD30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top w:val="single" w:sz="4" w:space="0" w:color="000000"/>
            </w:tcBorders>
            <w:shd w:val="clear" w:color="auto" w:fill="auto"/>
            <w:vAlign w:val="bottom"/>
          </w:tcPr>
          <w:p w14:paraId="7A9EC7D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top w:val="single" w:sz="4" w:space="0" w:color="000000"/>
            </w:tcBorders>
            <w:shd w:val="clear" w:color="auto" w:fill="auto"/>
            <w:vAlign w:val="bottom"/>
          </w:tcPr>
          <w:p w14:paraId="38668F4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top w:val="single" w:sz="4" w:space="0" w:color="000000"/>
            </w:tcBorders>
            <w:shd w:val="clear" w:color="auto" w:fill="auto"/>
            <w:vAlign w:val="bottom"/>
          </w:tcPr>
          <w:p w14:paraId="519270F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top w:val="single" w:sz="4" w:space="0" w:color="000000"/>
            </w:tcBorders>
            <w:vAlign w:val="bottom"/>
          </w:tcPr>
          <w:p w14:paraId="7A0501C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top w:val="single" w:sz="4" w:space="0" w:color="000000"/>
            </w:tcBorders>
            <w:vAlign w:val="bottom"/>
          </w:tcPr>
          <w:p w14:paraId="2D22432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top w:val="single" w:sz="4" w:space="0" w:color="000000"/>
            </w:tcBorders>
            <w:vAlign w:val="bottom"/>
          </w:tcPr>
          <w:p w14:paraId="16760B0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top w:val="single" w:sz="4" w:space="0" w:color="000000"/>
            </w:tcBorders>
            <w:vAlign w:val="bottom"/>
          </w:tcPr>
          <w:p w14:paraId="4990D9D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top w:val="single" w:sz="4" w:space="0" w:color="000000"/>
            </w:tcBorders>
            <w:vAlign w:val="bottom"/>
          </w:tcPr>
          <w:p w14:paraId="28573C50"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top w:val="single" w:sz="4" w:space="0" w:color="000000"/>
            </w:tcBorders>
            <w:vAlign w:val="bottom"/>
          </w:tcPr>
          <w:p w14:paraId="5C143C8E"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022D16AB" w14:textId="77777777" w:rsidTr="001B330E">
        <w:trPr>
          <w:trHeight w:val="23"/>
        </w:trPr>
        <w:tc>
          <w:tcPr>
            <w:tcW w:w="1129" w:type="pct"/>
            <w:vAlign w:val="bottom"/>
          </w:tcPr>
          <w:p w14:paraId="7B5EC705" w14:textId="4D486E50"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 xml:space="preserve">Total comprehensive income for </w:t>
            </w:r>
            <w:r w:rsidR="00541EBC">
              <w:rPr>
                <w:color w:val="000000"/>
                <w:szCs w:val="16"/>
              </w:rPr>
              <w:t>2023</w:t>
            </w:r>
          </w:p>
        </w:tc>
        <w:tc>
          <w:tcPr>
            <w:tcW w:w="257" w:type="pct"/>
            <w:vAlign w:val="bottom"/>
          </w:tcPr>
          <w:p w14:paraId="7E05FDD4"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46E7A75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400AF7F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7FD880C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2FD0F9E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7F10FCB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49BD0AB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74502A4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4273AB6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6A8484A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7A6D0D77"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08029B7D"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1F92BBB1" w14:textId="77777777" w:rsidTr="001B330E">
        <w:trPr>
          <w:trHeight w:val="23"/>
        </w:trPr>
        <w:tc>
          <w:tcPr>
            <w:tcW w:w="1129" w:type="pct"/>
            <w:tcBorders>
              <w:bottom w:val="single" w:sz="4" w:space="0" w:color="000000"/>
            </w:tcBorders>
            <w:vAlign w:val="bottom"/>
          </w:tcPr>
          <w:p w14:paraId="16CB5F29"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bottom w:val="single" w:sz="4" w:space="0" w:color="000000"/>
            </w:tcBorders>
            <w:vAlign w:val="bottom"/>
          </w:tcPr>
          <w:p w14:paraId="130E74DA"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bottom w:val="single" w:sz="4" w:space="0" w:color="000000"/>
            </w:tcBorders>
            <w:vAlign w:val="bottom"/>
          </w:tcPr>
          <w:p w14:paraId="2CA5883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bottom w:val="single" w:sz="4" w:space="0" w:color="000000"/>
            </w:tcBorders>
            <w:vAlign w:val="bottom"/>
          </w:tcPr>
          <w:p w14:paraId="6567889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bottom w:val="single" w:sz="4" w:space="0" w:color="000000"/>
            </w:tcBorders>
            <w:shd w:val="clear" w:color="auto" w:fill="auto"/>
            <w:vAlign w:val="bottom"/>
          </w:tcPr>
          <w:p w14:paraId="4FEFBDD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bottom w:val="single" w:sz="4" w:space="0" w:color="000000"/>
            </w:tcBorders>
            <w:shd w:val="clear" w:color="auto" w:fill="auto"/>
            <w:vAlign w:val="bottom"/>
          </w:tcPr>
          <w:p w14:paraId="3B5257F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bottom w:val="single" w:sz="4" w:space="0" w:color="000000"/>
            </w:tcBorders>
            <w:shd w:val="clear" w:color="auto" w:fill="auto"/>
            <w:vAlign w:val="bottom"/>
          </w:tcPr>
          <w:p w14:paraId="6105726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bottom w:val="single" w:sz="4" w:space="0" w:color="000000"/>
            </w:tcBorders>
            <w:vAlign w:val="bottom"/>
          </w:tcPr>
          <w:p w14:paraId="2903955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bottom w:val="single" w:sz="4" w:space="0" w:color="000000"/>
            </w:tcBorders>
            <w:vAlign w:val="bottom"/>
          </w:tcPr>
          <w:p w14:paraId="0984167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bottom w:val="single" w:sz="4" w:space="0" w:color="000000"/>
            </w:tcBorders>
            <w:vAlign w:val="bottom"/>
          </w:tcPr>
          <w:p w14:paraId="2B5EF5D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bottom w:val="single" w:sz="4" w:space="0" w:color="000000"/>
            </w:tcBorders>
            <w:vAlign w:val="bottom"/>
          </w:tcPr>
          <w:p w14:paraId="75097FA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bottom w:val="single" w:sz="4" w:space="0" w:color="000000"/>
            </w:tcBorders>
            <w:vAlign w:val="bottom"/>
          </w:tcPr>
          <w:p w14:paraId="5F5D7C1A"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bottom w:val="single" w:sz="4" w:space="0" w:color="000000"/>
            </w:tcBorders>
            <w:vAlign w:val="bottom"/>
          </w:tcPr>
          <w:p w14:paraId="7B7C9E3A"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7AA5C36B" w14:textId="77777777" w:rsidTr="001B330E">
        <w:trPr>
          <w:trHeight w:val="23"/>
        </w:trPr>
        <w:tc>
          <w:tcPr>
            <w:tcW w:w="1129" w:type="pct"/>
            <w:tcBorders>
              <w:top w:val="single" w:sz="4" w:space="0" w:color="000000"/>
            </w:tcBorders>
            <w:vAlign w:val="bottom"/>
          </w:tcPr>
          <w:p w14:paraId="5B372CD2"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top w:val="single" w:sz="4" w:space="0" w:color="000000"/>
            </w:tcBorders>
            <w:vAlign w:val="bottom"/>
          </w:tcPr>
          <w:p w14:paraId="6EBF64FB"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top w:val="single" w:sz="4" w:space="0" w:color="000000"/>
            </w:tcBorders>
            <w:vAlign w:val="bottom"/>
          </w:tcPr>
          <w:p w14:paraId="3F91D23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top w:val="single" w:sz="4" w:space="0" w:color="000000"/>
            </w:tcBorders>
            <w:vAlign w:val="bottom"/>
          </w:tcPr>
          <w:p w14:paraId="583A6A8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top w:val="single" w:sz="4" w:space="0" w:color="000000"/>
            </w:tcBorders>
            <w:shd w:val="clear" w:color="auto" w:fill="auto"/>
            <w:vAlign w:val="bottom"/>
          </w:tcPr>
          <w:p w14:paraId="5414F7F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top w:val="single" w:sz="4" w:space="0" w:color="000000"/>
            </w:tcBorders>
            <w:shd w:val="clear" w:color="auto" w:fill="auto"/>
            <w:vAlign w:val="bottom"/>
          </w:tcPr>
          <w:p w14:paraId="4379601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top w:val="single" w:sz="4" w:space="0" w:color="000000"/>
            </w:tcBorders>
            <w:shd w:val="clear" w:color="auto" w:fill="auto"/>
            <w:vAlign w:val="bottom"/>
          </w:tcPr>
          <w:p w14:paraId="22678C3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top w:val="single" w:sz="4" w:space="0" w:color="000000"/>
            </w:tcBorders>
            <w:vAlign w:val="bottom"/>
          </w:tcPr>
          <w:p w14:paraId="797B3FF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top w:val="single" w:sz="4" w:space="0" w:color="000000"/>
            </w:tcBorders>
            <w:vAlign w:val="bottom"/>
          </w:tcPr>
          <w:p w14:paraId="08510D9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top w:val="single" w:sz="4" w:space="0" w:color="000000"/>
            </w:tcBorders>
            <w:vAlign w:val="bottom"/>
          </w:tcPr>
          <w:p w14:paraId="288247D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top w:val="single" w:sz="4" w:space="0" w:color="000000"/>
            </w:tcBorders>
            <w:vAlign w:val="bottom"/>
          </w:tcPr>
          <w:p w14:paraId="290A1C7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top w:val="single" w:sz="4" w:space="0" w:color="000000"/>
            </w:tcBorders>
            <w:vAlign w:val="bottom"/>
          </w:tcPr>
          <w:p w14:paraId="58BDFB8E"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top w:val="single" w:sz="4" w:space="0" w:color="000000"/>
            </w:tcBorders>
            <w:vAlign w:val="bottom"/>
          </w:tcPr>
          <w:p w14:paraId="03187A75"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24B84F29" w14:textId="77777777" w:rsidTr="001B330E">
        <w:trPr>
          <w:trHeight w:val="23"/>
        </w:trPr>
        <w:tc>
          <w:tcPr>
            <w:tcW w:w="1129" w:type="pct"/>
            <w:vAlign w:val="bottom"/>
          </w:tcPr>
          <w:p w14:paraId="4446CB51"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Share issue</w:t>
            </w:r>
          </w:p>
        </w:tc>
        <w:tc>
          <w:tcPr>
            <w:tcW w:w="257" w:type="pct"/>
            <w:vAlign w:val="bottom"/>
          </w:tcPr>
          <w:p w14:paraId="6AF2CE8C" w14:textId="77777777" w:rsidR="00FB108F" w:rsidRPr="001B330E" w:rsidRDefault="00000000" w:rsidP="001B330E">
            <w:pPr>
              <w:widowControl w:val="0"/>
              <w:pBdr>
                <w:top w:val="nil"/>
                <w:left w:val="nil"/>
                <w:bottom w:val="nil"/>
                <w:right w:val="nil"/>
                <w:between w:val="nil"/>
              </w:pBdr>
              <w:jc w:val="center"/>
              <w:rPr>
                <w:color w:val="000000"/>
                <w:szCs w:val="16"/>
              </w:rPr>
            </w:pPr>
            <w:hyperlink w:anchor="_heading=h.2u6wntf">
              <w:r w:rsidR="00FB108F" w:rsidRPr="001B330E">
                <w:rPr>
                  <w:color w:val="000000"/>
                  <w:szCs w:val="16"/>
                </w:rPr>
                <w:t>29</w:t>
              </w:r>
            </w:hyperlink>
          </w:p>
        </w:tc>
        <w:tc>
          <w:tcPr>
            <w:tcW w:w="285" w:type="pct"/>
            <w:vAlign w:val="bottom"/>
          </w:tcPr>
          <w:p w14:paraId="7FEAAED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69417FB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10CE3A3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529C57E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52E4FF6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3627CF8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3050C96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264B551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330B9FE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40126708"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782E285F"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41993FF6" w14:textId="77777777" w:rsidTr="001B330E">
        <w:trPr>
          <w:trHeight w:val="23"/>
        </w:trPr>
        <w:tc>
          <w:tcPr>
            <w:tcW w:w="1129" w:type="pct"/>
            <w:vAlign w:val="bottom"/>
          </w:tcPr>
          <w:p w14:paraId="4DC1A897"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Treasury shares:</w:t>
            </w:r>
          </w:p>
        </w:tc>
        <w:tc>
          <w:tcPr>
            <w:tcW w:w="257" w:type="pct"/>
            <w:vAlign w:val="bottom"/>
          </w:tcPr>
          <w:p w14:paraId="196D9AC0"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1CD66ED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69665B8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16D26A2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213FAD7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22EE90C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35345D3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34E8A85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5C8E4B7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59F23A3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4213D15C"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46D450FD"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227E4481" w14:textId="77777777" w:rsidTr="001B330E">
        <w:trPr>
          <w:trHeight w:val="23"/>
        </w:trPr>
        <w:tc>
          <w:tcPr>
            <w:tcW w:w="1129" w:type="pct"/>
            <w:vAlign w:val="bottom"/>
          </w:tcPr>
          <w:p w14:paraId="2F37A84B"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 Acquisitions</w:t>
            </w:r>
          </w:p>
        </w:tc>
        <w:tc>
          <w:tcPr>
            <w:tcW w:w="257" w:type="pct"/>
            <w:vAlign w:val="bottom"/>
          </w:tcPr>
          <w:p w14:paraId="05401C9E" w14:textId="77777777" w:rsidR="00FB108F" w:rsidRPr="001B330E" w:rsidRDefault="00000000" w:rsidP="001B330E">
            <w:pPr>
              <w:widowControl w:val="0"/>
              <w:pBdr>
                <w:top w:val="nil"/>
                <w:left w:val="nil"/>
                <w:bottom w:val="nil"/>
                <w:right w:val="nil"/>
                <w:between w:val="nil"/>
              </w:pBdr>
              <w:jc w:val="center"/>
              <w:rPr>
                <w:color w:val="000000"/>
                <w:szCs w:val="16"/>
              </w:rPr>
            </w:pPr>
            <w:hyperlink w:anchor="_heading=h.2u6wntf">
              <w:r w:rsidR="00FB108F" w:rsidRPr="001B330E">
                <w:rPr>
                  <w:color w:val="000000"/>
                  <w:szCs w:val="16"/>
                </w:rPr>
                <w:t>29</w:t>
              </w:r>
            </w:hyperlink>
          </w:p>
        </w:tc>
        <w:tc>
          <w:tcPr>
            <w:tcW w:w="285" w:type="pct"/>
            <w:vAlign w:val="bottom"/>
          </w:tcPr>
          <w:p w14:paraId="079684F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34768CC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4302B05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5933C67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3252447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19192C4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75C539B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2A4541E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3DFF36E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5C13F204"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116EDD01"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4E164834" w14:textId="77777777" w:rsidTr="001B330E">
        <w:trPr>
          <w:trHeight w:val="23"/>
        </w:trPr>
        <w:tc>
          <w:tcPr>
            <w:tcW w:w="1129" w:type="pct"/>
            <w:vAlign w:val="bottom"/>
          </w:tcPr>
          <w:p w14:paraId="6116DAD5"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 Disposals</w:t>
            </w:r>
          </w:p>
        </w:tc>
        <w:tc>
          <w:tcPr>
            <w:tcW w:w="257" w:type="pct"/>
            <w:vAlign w:val="bottom"/>
          </w:tcPr>
          <w:p w14:paraId="44D612A4" w14:textId="77777777" w:rsidR="00FB108F" w:rsidRPr="001B330E" w:rsidRDefault="00000000" w:rsidP="001B330E">
            <w:pPr>
              <w:widowControl w:val="0"/>
              <w:pBdr>
                <w:top w:val="nil"/>
                <w:left w:val="nil"/>
                <w:bottom w:val="nil"/>
                <w:right w:val="nil"/>
                <w:between w:val="nil"/>
              </w:pBdr>
              <w:jc w:val="center"/>
              <w:rPr>
                <w:color w:val="000000"/>
                <w:szCs w:val="16"/>
              </w:rPr>
            </w:pPr>
            <w:hyperlink w:anchor="_heading=h.2u6wntf">
              <w:r w:rsidR="00FB108F" w:rsidRPr="001B330E">
                <w:rPr>
                  <w:color w:val="000000"/>
                  <w:szCs w:val="16"/>
                </w:rPr>
                <w:t>29</w:t>
              </w:r>
            </w:hyperlink>
          </w:p>
        </w:tc>
        <w:tc>
          <w:tcPr>
            <w:tcW w:w="285" w:type="pct"/>
            <w:vAlign w:val="bottom"/>
          </w:tcPr>
          <w:p w14:paraId="639601A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0CCB63D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71C179E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266E947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7B429BA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455B451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597760B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53C758D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21A8786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03A75DAB"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4225D095"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2CEBB743" w14:textId="77777777" w:rsidTr="001B330E">
        <w:trPr>
          <w:trHeight w:val="23"/>
        </w:trPr>
        <w:tc>
          <w:tcPr>
            <w:tcW w:w="1129" w:type="pct"/>
            <w:vAlign w:val="bottom"/>
          </w:tcPr>
          <w:p w14:paraId="47DCD92B"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 xml:space="preserve">Business combinations </w:t>
            </w:r>
          </w:p>
        </w:tc>
        <w:tc>
          <w:tcPr>
            <w:tcW w:w="257" w:type="pct"/>
            <w:vAlign w:val="bottom"/>
          </w:tcPr>
          <w:p w14:paraId="7E841E22"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52</w:t>
            </w:r>
          </w:p>
        </w:tc>
        <w:tc>
          <w:tcPr>
            <w:tcW w:w="285" w:type="pct"/>
            <w:vAlign w:val="bottom"/>
          </w:tcPr>
          <w:p w14:paraId="2D85048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630C54F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6B25377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0DCE9E7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4AA2E06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6588863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4191FD4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18ADFB4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658CFFD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7A7E3F39"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37BCDDBA"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6A36A481" w14:textId="77777777" w:rsidTr="001B330E">
        <w:trPr>
          <w:trHeight w:val="23"/>
        </w:trPr>
        <w:tc>
          <w:tcPr>
            <w:tcW w:w="1129" w:type="pct"/>
            <w:vAlign w:val="bottom"/>
          </w:tcPr>
          <w:p w14:paraId="69E24BEC"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Acquisition of non-controlling interest in subsidiaries</w:t>
            </w:r>
          </w:p>
        </w:tc>
        <w:tc>
          <w:tcPr>
            <w:tcW w:w="257" w:type="pct"/>
            <w:vAlign w:val="bottom"/>
          </w:tcPr>
          <w:p w14:paraId="29877A9F"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4D77F01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0D42836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4BB74F6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526EAFA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7B54CC0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7F2494F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3972BE6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01FEB7E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23E1EDE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071E7599"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18353A50"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02AC159A" w14:textId="77777777" w:rsidTr="001B330E">
        <w:trPr>
          <w:trHeight w:val="23"/>
        </w:trPr>
        <w:tc>
          <w:tcPr>
            <w:tcW w:w="1129" w:type="pct"/>
            <w:vAlign w:val="bottom"/>
          </w:tcPr>
          <w:p w14:paraId="4D51DA87"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Disposal of non-controlling interest in subsidiaries</w:t>
            </w:r>
          </w:p>
        </w:tc>
        <w:tc>
          <w:tcPr>
            <w:tcW w:w="257" w:type="pct"/>
            <w:vAlign w:val="bottom"/>
          </w:tcPr>
          <w:p w14:paraId="58395BF0"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2B88D96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3C0A499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71B636F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766881E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224BFCF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58337FC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4ABA6B3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6CAFAFA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2AF1E2D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21D4ECBB"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32D882A8"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5580AC70" w14:textId="77777777" w:rsidTr="001B330E">
        <w:trPr>
          <w:trHeight w:val="23"/>
        </w:trPr>
        <w:tc>
          <w:tcPr>
            <w:tcW w:w="1129" w:type="pct"/>
            <w:vAlign w:val="bottom"/>
          </w:tcPr>
          <w:p w14:paraId="1EC56461"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 xml:space="preserve">Transfer of revaluation surplus on premises </w:t>
            </w:r>
            <w:r w:rsidRPr="001B330E">
              <w:rPr>
                <w:color w:val="0000FF"/>
                <w:szCs w:val="16"/>
              </w:rPr>
              <w:t>[and equipment]</w:t>
            </w:r>
            <w:r w:rsidRPr="001B330E">
              <w:rPr>
                <w:color w:val="000000"/>
                <w:szCs w:val="16"/>
              </w:rPr>
              <w:t xml:space="preserve"> to retained earnings </w:t>
            </w:r>
          </w:p>
        </w:tc>
        <w:tc>
          <w:tcPr>
            <w:tcW w:w="257" w:type="pct"/>
            <w:vAlign w:val="bottom"/>
          </w:tcPr>
          <w:p w14:paraId="15A88FE5"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31</w:t>
            </w:r>
          </w:p>
        </w:tc>
        <w:tc>
          <w:tcPr>
            <w:tcW w:w="285" w:type="pct"/>
            <w:vAlign w:val="bottom"/>
          </w:tcPr>
          <w:p w14:paraId="7EA5069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1BFA330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6885917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6729E22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4CD622A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4DFB24E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36C35E0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7FFBF20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7F8130E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5F0E3D8B"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5D78EC97"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0F6070E3" w14:textId="77777777" w:rsidTr="001B330E">
        <w:trPr>
          <w:trHeight w:val="23"/>
        </w:trPr>
        <w:tc>
          <w:tcPr>
            <w:tcW w:w="1129" w:type="pct"/>
            <w:vAlign w:val="bottom"/>
          </w:tcPr>
          <w:p w14:paraId="44642A11"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Dividends declared</w:t>
            </w:r>
          </w:p>
        </w:tc>
        <w:tc>
          <w:tcPr>
            <w:tcW w:w="257" w:type="pct"/>
            <w:vAlign w:val="bottom"/>
          </w:tcPr>
          <w:p w14:paraId="51AE9ECC"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37</w:t>
            </w:r>
          </w:p>
        </w:tc>
        <w:tc>
          <w:tcPr>
            <w:tcW w:w="285" w:type="pct"/>
            <w:vAlign w:val="bottom"/>
          </w:tcPr>
          <w:p w14:paraId="330EE30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5D288B7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777B1AB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48BD9B9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2D064B3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65805DA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08951C3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5B6765C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28B9802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1EB9F75F"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7A7C2F03"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166EB3" w14:paraId="434970D0" w14:textId="77777777" w:rsidTr="001B330E">
        <w:trPr>
          <w:trHeight w:val="23"/>
        </w:trPr>
        <w:tc>
          <w:tcPr>
            <w:tcW w:w="1129" w:type="pct"/>
            <w:tcBorders>
              <w:bottom w:val="single" w:sz="4" w:space="0" w:color="000000"/>
            </w:tcBorders>
            <w:vAlign w:val="bottom"/>
          </w:tcPr>
          <w:p w14:paraId="01D77282" w14:textId="77777777" w:rsidR="00FB108F" w:rsidRPr="00166EB3" w:rsidRDefault="00FB108F" w:rsidP="001B330E">
            <w:pPr>
              <w:widowControl w:val="0"/>
              <w:pBdr>
                <w:top w:val="nil"/>
                <w:left w:val="nil"/>
                <w:bottom w:val="nil"/>
                <w:right w:val="nil"/>
                <w:between w:val="nil"/>
              </w:pBdr>
              <w:ind w:left="113" w:hanging="113"/>
              <w:rPr>
                <w:b/>
                <w:color w:val="000000"/>
                <w:sz w:val="16"/>
                <w:szCs w:val="16"/>
              </w:rPr>
            </w:pPr>
            <w:r w:rsidRPr="00166EB3">
              <w:rPr>
                <w:color w:val="000000"/>
                <w:sz w:val="16"/>
                <w:szCs w:val="16"/>
              </w:rPr>
              <w:t xml:space="preserve"> </w:t>
            </w:r>
          </w:p>
        </w:tc>
        <w:tc>
          <w:tcPr>
            <w:tcW w:w="257" w:type="pct"/>
            <w:tcBorders>
              <w:bottom w:val="single" w:sz="4" w:space="0" w:color="000000"/>
            </w:tcBorders>
            <w:vAlign w:val="bottom"/>
          </w:tcPr>
          <w:p w14:paraId="4150A7FD" w14:textId="77777777" w:rsidR="00FB108F" w:rsidRPr="00166EB3" w:rsidRDefault="00FB108F" w:rsidP="001B330E">
            <w:pPr>
              <w:widowControl w:val="0"/>
              <w:pBdr>
                <w:top w:val="nil"/>
                <w:left w:val="nil"/>
                <w:bottom w:val="nil"/>
                <w:right w:val="nil"/>
                <w:between w:val="nil"/>
              </w:pBdr>
              <w:jc w:val="center"/>
              <w:rPr>
                <w:color w:val="000000"/>
                <w:sz w:val="16"/>
                <w:szCs w:val="16"/>
              </w:rPr>
            </w:pPr>
          </w:p>
        </w:tc>
        <w:tc>
          <w:tcPr>
            <w:tcW w:w="285" w:type="pct"/>
            <w:tcBorders>
              <w:bottom w:val="single" w:sz="4" w:space="0" w:color="000000"/>
            </w:tcBorders>
            <w:vAlign w:val="bottom"/>
          </w:tcPr>
          <w:p w14:paraId="4E4968AF"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285" w:type="pct"/>
            <w:tcBorders>
              <w:bottom w:val="single" w:sz="4" w:space="0" w:color="000000"/>
            </w:tcBorders>
            <w:vAlign w:val="bottom"/>
          </w:tcPr>
          <w:p w14:paraId="7141CEE6"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58" w:type="pct"/>
            <w:tcBorders>
              <w:bottom w:val="single" w:sz="4" w:space="0" w:color="000000"/>
            </w:tcBorders>
            <w:shd w:val="clear" w:color="auto" w:fill="auto"/>
            <w:vAlign w:val="bottom"/>
          </w:tcPr>
          <w:p w14:paraId="04AB38C8"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95" w:type="pct"/>
            <w:tcBorders>
              <w:bottom w:val="single" w:sz="4" w:space="0" w:color="000000"/>
            </w:tcBorders>
            <w:shd w:val="clear" w:color="auto" w:fill="auto"/>
            <w:vAlign w:val="bottom"/>
          </w:tcPr>
          <w:p w14:paraId="37AE016F"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93" w:type="pct"/>
            <w:tcBorders>
              <w:bottom w:val="single" w:sz="4" w:space="0" w:color="000000"/>
            </w:tcBorders>
            <w:shd w:val="clear" w:color="auto" w:fill="auto"/>
            <w:vAlign w:val="bottom"/>
          </w:tcPr>
          <w:p w14:paraId="2979E2AE"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53" w:type="pct"/>
            <w:tcBorders>
              <w:bottom w:val="single" w:sz="4" w:space="0" w:color="000000"/>
            </w:tcBorders>
            <w:vAlign w:val="bottom"/>
          </w:tcPr>
          <w:p w14:paraId="43FA0181"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61" w:type="pct"/>
            <w:tcBorders>
              <w:bottom w:val="single" w:sz="4" w:space="0" w:color="000000"/>
            </w:tcBorders>
            <w:vAlign w:val="bottom"/>
          </w:tcPr>
          <w:p w14:paraId="691898F6"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59" w:type="pct"/>
            <w:tcBorders>
              <w:bottom w:val="single" w:sz="4" w:space="0" w:color="000000"/>
            </w:tcBorders>
            <w:vAlign w:val="bottom"/>
          </w:tcPr>
          <w:p w14:paraId="6FB1132B"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258" w:type="pct"/>
            <w:tcBorders>
              <w:bottom w:val="single" w:sz="4" w:space="0" w:color="000000"/>
            </w:tcBorders>
            <w:vAlign w:val="bottom"/>
          </w:tcPr>
          <w:p w14:paraId="773957D9"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270" w:type="pct"/>
            <w:tcBorders>
              <w:bottom w:val="single" w:sz="4" w:space="0" w:color="000000"/>
            </w:tcBorders>
            <w:vAlign w:val="bottom"/>
          </w:tcPr>
          <w:p w14:paraId="2A689FD7" w14:textId="77777777" w:rsidR="00FB108F" w:rsidRPr="00166EB3" w:rsidRDefault="00FB108F">
            <w:pPr>
              <w:widowControl w:val="0"/>
              <w:pBdr>
                <w:top w:val="nil"/>
                <w:left w:val="nil"/>
                <w:bottom w:val="nil"/>
                <w:right w:val="nil"/>
                <w:between w:val="nil"/>
              </w:pBdr>
              <w:jc w:val="right"/>
              <w:rPr>
                <w:color w:val="000000"/>
                <w:sz w:val="16"/>
                <w:szCs w:val="16"/>
              </w:rPr>
            </w:pPr>
          </w:p>
        </w:tc>
        <w:tc>
          <w:tcPr>
            <w:tcW w:w="297" w:type="pct"/>
            <w:tcBorders>
              <w:bottom w:val="single" w:sz="4" w:space="0" w:color="000000"/>
            </w:tcBorders>
            <w:vAlign w:val="bottom"/>
          </w:tcPr>
          <w:p w14:paraId="58D0B90A" w14:textId="77777777" w:rsidR="00FB108F" w:rsidRPr="00166EB3" w:rsidRDefault="00FB108F">
            <w:pPr>
              <w:widowControl w:val="0"/>
              <w:pBdr>
                <w:top w:val="nil"/>
                <w:left w:val="nil"/>
                <w:bottom w:val="nil"/>
                <w:right w:val="nil"/>
                <w:between w:val="nil"/>
              </w:pBdr>
              <w:jc w:val="right"/>
              <w:rPr>
                <w:color w:val="000000"/>
                <w:sz w:val="16"/>
                <w:szCs w:val="16"/>
              </w:rPr>
            </w:pPr>
          </w:p>
        </w:tc>
      </w:tr>
      <w:tr w:rsidR="00FB108F" w:rsidRPr="00166EB3" w14:paraId="1ECB525C" w14:textId="77777777" w:rsidTr="001B330E">
        <w:trPr>
          <w:trHeight w:val="23"/>
        </w:trPr>
        <w:tc>
          <w:tcPr>
            <w:tcW w:w="1129" w:type="pct"/>
            <w:tcBorders>
              <w:top w:val="single" w:sz="4" w:space="0" w:color="000000"/>
            </w:tcBorders>
            <w:vAlign w:val="bottom"/>
          </w:tcPr>
          <w:p w14:paraId="7379B254" w14:textId="77777777" w:rsidR="00FB108F" w:rsidRPr="00166EB3" w:rsidRDefault="00FB108F" w:rsidP="001B330E">
            <w:pPr>
              <w:widowControl w:val="0"/>
              <w:pBdr>
                <w:top w:val="nil"/>
                <w:left w:val="nil"/>
                <w:bottom w:val="nil"/>
                <w:right w:val="nil"/>
                <w:between w:val="nil"/>
              </w:pBdr>
              <w:ind w:left="113" w:hanging="113"/>
              <w:rPr>
                <w:b/>
                <w:color w:val="000000"/>
                <w:sz w:val="16"/>
                <w:szCs w:val="16"/>
              </w:rPr>
            </w:pPr>
            <w:r w:rsidRPr="00166EB3">
              <w:rPr>
                <w:color w:val="000000"/>
                <w:sz w:val="16"/>
                <w:szCs w:val="16"/>
              </w:rPr>
              <w:t> </w:t>
            </w:r>
          </w:p>
        </w:tc>
        <w:tc>
          <w:tcPr>
            <w:tcW w:w="257" w:type="pct"/>
            <w:tcBorders>
              <w:top w:val="single" w:sz="4" w:space="0" w:color="000000"/>
            </w:tcBorders>
            <w:vAlign w:val="bottom"/>
          </w:tcPr>
          <w:p w14:paraId="1EBB2765" w14:textId="77777777" w:rsidR="00FB108F" w:rsidRPr="00166EB3" w:rsidRDefault="00FB108F" w:rsidP="001B330E">
            <w:pPr>
              <w:widowControl w:val="0"/>
              <w:pBdr>
                <w:top w:val="nil"/>
                <w:left w:val="nil"/>
                <w:bottom w:val="nil"/>
                <w:right w:val="nil"/>
                <w:between w:val="nil"/>
              </w:pBdr>
              <w:jc w:val="center"/>
              <w:rPr>
                <w:color w:val="000000"/>
                <w:sz w:val="16"/>
                <w:szCs w:val="16"/>
              </w:rPr>
            </w:pPr>
          </w:p>
        </w:tc>
        <w:tc>
          <w:tcPr>
            <w:tcW w:w="285" w:type="pct"/>
            <w:tcBorders>
              <w:top w:val="single" w:sz="4" w:space="0" w:color="000000"/>
            </w:tcBorders>
            <w:vAlign w:val="bottom"/>
          </w:tcPr>
          <w:p w14:paraId="0CE3104E"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285" w:type="pct"/>
            <w:tcBorders>
              <w:top w:val="single" w:sz="4" w:space="0" w:color="000000"/>
            </w:tcBorders>
            <w:vAlign w:val="bottom"/>
          </w:tcPr>
          <w:p w14:paraId="7DF5462A"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58" w:type="pct"/>
            <w:tcBorders>
              <w:top w:val="single" w:sz="4" w:space="0" w:color="000000"/>
            </w:tcBorders>
            <w:shd w:val="clear" w:color="auto" w:fill="auto"/>
            <w:vAlign w:val="bottom"/>
          </w:tcPr>
          <w:p w14:paraId="4591C48D"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95" w:type="pct"/>
            <w:tcBorders>
              <w:top w:val="single" w:sz="4" w:space="0" w:color="000000"/>
            </w:tcBorders>
            <w:shd w:val="clear" w:color="auto" w:fill="auto"/>
            <w:vAlign w:val="bottom"/>
          </w:tcPr>
          <w:p w14:paraId="042E227A"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93" w:type="pct"/>
            <w:tcBorders>
              <w:top w:val="single" w:sz="4" w:space="0" w:color="000000"/>
            </w:tcBorders>
            <w:shd w:val="clear" w:color="auto" w:fill="auto"/>
            <w:vAlign w:val="bottom"/>
          </w:tcPr>
          <w:p w14:paraId="78ED6035"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53" w:type="pct"/>
            <w:tcBorders>
              <w:top w:val="single" w:sz="4" w:space="0" w:color="000000"/>
            </w:tcBorders>
            <w:vAlign w:val="bottom"/>
          </w:tcPr>
          <w:p w14:paraId="4590D2CE"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61" w:type="pct"/>
            <w:tcBorders>
              <w:top w:val="single" w:sz="4" w:space="0" w:color="000000"/>
            </w:tcBorders>
            <w:vAlign w:val="bottom"/>
          </w:tcPr>
          <w:p w14:paraId="5FF404EC"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359" w:type="pct"/>
            <w:tcBorders>
              <w:top w:val="single" w:sz="4" w:space="0" w:color="000000"/>
            </w:tcBorders>
            <w:vAlign w:val="bottom"/>
          </w:tcPr>
          <w:p w14:paraId="2F6DB4A4"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258" w:type="pct"/>
            <w:tcBorders>
              <w:top w:val="single" w:sz="4" w:space="0" w:color="000000"/>
            </w:tcBorders>
            <w:vAlign w:val="bottom"/>
          </w:tcPr>
          <w:p w14:paraId="1EB7C86E" w14:textId="77777777" w:rsidR="00FB108F" w:rsidRPr="00166EB3" w:rsidRDefault="00FB108F" w:rsidP="001B330E">
            <w:pPr>
              <w:widowControl w:val="0"/>
              <w:pBdr>
                <w:top w:val="nil"/>
                <w:left w:val="nil"/>
                <w:bottom w:val="nil"/>
                <w:right w:val="nil"/>
                <w:between w:val="nil"/>
              </w:pBdr>
              <w:jc w:val="right"/>
              <w:rPr>
                <w:color w:val="000000"/>
                <w:sz w:val="16"/>
                <w:szCs w:val="16"/>
              </w:rPr>
            </w:pPr>
          </w:p>
        </w:tc>
        <w:tc>
          <w:tcPr>
            <w:tcW w:w="270" w:type="pct"/>
            <w:tcBorders>
              <w:top w:val="single" w:sz="4" w:space="0" w:color="000000"/>
            </w:tcBorders>
            <w:vAlign w:val="bottom"/>
          </w:tcPr>
          <w:p w14:paraId="517C492D" w14:textId="77777777" w:rsidR="00FB108F" w:rsidRPr="00166EB3" w:rsidRDefault="00FB108F">
            <w:pPr>
              <w:widowControl w:val="0"/>
              <w:pBdr>
                <w:top w:val="nil"/>
                <w:left w:val="nil"/>
                <w:bottom w:val="nil"/>
                <w:right w:val="nil"/>
                <w:between w:val="nil"/>
              </w:pBdr>
              <w:jc w:val="right"/>
              <w:rPr>
                <w:color w:val="000000"/>
                <w:sz w:val="16"/>
                <w:szCs w:val="16"/>
              </w:rPr>
            </w:pPr>
          </w:p>
        </w:tc>
        <w:tc>
          <w:tcPr>
            <w:tcW w:w="297" w:type="pct"/>
            <w:tcBorders>
              <w:top w:val="single" w:sz="4" w:space="0" w:color="000000"/>
            </w:tcBorders>
            <w:vAlign w:val="bottom"/>
          </w:tcPr>
          <w:p w14:paraId="6CB6A17B" w14:textId="77777777" w:rsidR="00FB108F" w:rsidRPr="00166EB3" w:rsidRDefault="00FB108F">
            <w:pPr>
              <w:widowControl w:val="0"/>
              <w:pBdr>
                <w:top w:val="nil"/>
                <w:left w:val="nil"/>
                <w:bottom w:val="nil"/>
                <w:right w:val="nil"/>
                <w:between w:val="nil"/>
              </w:pBdr>
              <w:jc w:val="right"/>
              <w:rPr>
                <w:color w:val="000000"/>
                <w:sz w:val="16"/>
                <w:szCs w:val="16"/>
              </w:rPr>
            </w:pPr>
          </w:p>
        </w:tc>
      </w:tr>
      <w:tr w:rsidR="00FB108F" w:rsidRPr="00852AC7" w14:paraId="39BB15DB" w14:textId="77777777" w:rsidTr="001B330E">
        <w:trPr>
          <w:trHeight w:val="23"/>
        </w:trPr>
        <w:tc>
          <w:tcPr>
            <w:tcW w:w="1129" w:type="pct"/>
            <w:vAlign w:val="bottom"/>
          </w:tcPr>
          <w:p w14:paraId="79235FC5" w14:textId="6EBCBF43" w:rsidR="00FB108F" w:rsidRPr="001B330E" w:rsidRDefault="00FB108F" w:rsidP="001B330E">
            <w:pPr>
              <w:widowControl w:val="0"/>
              <w:pBdr>
                <w:top w:val="nil"/>
                <w:left w:val="nil"/>
                <w:bottom w:val="nil"/>
                <w:right w:val="nil"/>
                <w:between w:val="nil"/>
              </w:pBdr>
              <w:ind w:left="113" w:hanging="113"/>
              <w:rPr>
                <w:b/>
                <w:color w:val="000000"/>
                <w:szCs w:val="16"/>
              </w:rPr>
            </w:pPr>
            <w:r w:rsidRPr="001B330E">
              <w:rPr>
                <w:b/>
                <w:color w:val="000000"/>
                <w:szCs w:val="16"/>
              </w:rPr>
              <w:t>Balance at 31 December </w:t>
            </w:r>
            <w:r w:rsidR="00541EBC">
              <w:rPr>
                <w:b/>
                <w:color w:val="000000"/>
                <w:szCs w:val="16"/>
              </w:rPr>
              <w:t>2023</w:t>
            </w:r>
          </w:p>
        </w:tc>
        <w:tc>
          <w:tcPr>
            <w:tcW w:w="257" w:type="pct"/>
            <w:vAlign w:val="bottom"/>
          </w:tcPr>
          <w:p w14:paraId="5D1E0C4A"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64CA594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41D1112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0C8BDCC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6CA0E54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7388B6B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5ED6C0A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6FA8D03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3A48546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03DBA50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103929B6"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6AB448BC"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5082C2E5" w14:textId="77777777" w:rsidTr="001B330E">
        <w:trPr>
          <w:trHeight w:val="23"/>
        </w:trPr>
        <w:tc>
          <w:tcPr>
            <w:tcW w:w="1129" w:type="pct"/>
            <w:tcBorders>
              <w:bottom w:val="single" w:sz="4" w:space="0" w:color="000000"/>
            </w:tcBorders>
            <w:vAlign w:val="bottom"/>
          </w:tcPr>
          <w:p w14:paraId="59425649"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bottom w:val="single" w:sz="4" w:space="0" w:color="000000"/>
            </w:tcBorders>
            <w:vAlign w:val="bottom"/>
          </w:tcPr>
          <w:p w14:paraId="60F525A7"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bottom w:val="single" w:sz="4" w:space="0" w:color="000000"/>
            </w:tcBorders>
            <w:vAlign w:val="bottom"/>
          </w:tcPr>
          <w:p w14:paraId="37B2708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bottom w:val="single" w:sz="4" w:space="0" w:color="000000"/>
            </w:tcBorders>
            <w:vAlign w:val="bottom"/>
          </w:tcPr>
          <w:p w14:paraId="5393C45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bottom w:val="single" w:sz="4" w:space="0" w:color="000000"/>
            </w:tcBorders>
            <w:shd w:val="clear" w:color="auto" w:fill="auto"/>
            <w:vAlign w:val="bottom"/>
          </w:tcPr>
          <w:p w14:paraId="66E0C4A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bottom w:val="single" w:sz="4" w:space="0" w:color="000000"/>
            </w:tcBorders>
            <w:shd w:val="clear" w:color="auto" w:fill="auto"/>
            <w:vAlign w:val="bottom"/>
          </w:tcPr>
          <w:p w14:paraId="57E6171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bottom w:val="single" w:sz="4" w:space="0" w:color="000000"/>
            </w:tcBorders>
            <w:shd w:val="clear" w:color="auto" w:fill="auto"/>
            <w:vAlign w:val="bottom"/>
          </w:tcPr>
          <w:p w14:paraId="3110729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bottom w:val="single" w:sz="4" w:space="0" w:color="000000"/>
            </w:tcBorders>
            <w:vAlign w:val="bottom"/>
          </w:tcPr>
          <w:p w14:paraId="5F09159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bottom w:val="single" w:sz="4" w:space="0" w:color="000000"/>
            </w:tcBorders>
            <w:vAlign w:val="bottom"/>
          </w:tcPr>
          <w:p w14:paraId="7A8F5DE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bottom w:val="single" w:sz="4" w:space="0" w:color="000000"/>
            </w:tcBorders>
            <w:vAlign w:val="bottom"/>
          </w:tcPr>
          <w:p w14:paraId="6911A13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bottom w:val="single" w:sz="4" w:space="0" w:color="000000"/>
            </w:tcBorders>
            <w:vAlign w:val="bottom"/>
          </w:tcPr>
          <w:p w14:paraId="646357A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bottom w:val="single" w:sz="4" w:space="0" w:color="000000"/>
            </w:tcBorders>
            <w:vAlign w:val="bottom"/>
          </w:tcPr>
          <w:p w14:paraId="7126A379"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bottom w:val="single" w:sz="4" w:space="0" w:color="000000"/>
            </w:tcBorders>
            <w:vAlign w:val="bottom"/>
          </w:tcPr>
          <w:p w14:paraId="2D742E22"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4673FF63" w14:textId="77777777" w:rsidTr="001B330E">
        <w:trPr>
          <w:trHeight w:val="23"/>
        </w:trPr>
        <w:tc>
          <w:tcPr>
            <w:tcW w:w="1129" w:type="pct"/>
            <w:tcBorders>
              <w:top w:val="single" w:sz="4" w:space="0" w:color="000000"/>
            </w:tcBorders>
            <w:vAlign w:val="bottom"/>
          </w:tcPr>
          <w:p w14:paraId="437BA388"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lastRenderedPageBreak/>
              <w:t> </w:t>
            </w:r>
          </w:p>
        </w:tc>
        <w:tc>
          <w:tcPr>
            <w:tcW w:w="257" w:type="pct"/>
            <w:tcBorders>
              <w:top w:val="single" w:sz="4" w:space="0" w:color="000000"/>
            </w:tcBorders>
            <w:vAlign w:val="bottom"/>
          </w:tcPr>
          <w:p w14:paraId="793D7829"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top w:val="single" w:sz="4" w:space="0" w:color="000000"/>
            </w:tcBorders>
            <w:vAlign w:val="bottom"/>
          </w:tcPr>
          <w:p w14:paraId="4637C25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top w:val="single" w:sz="4" w:space="0" w:color="000000"/>
            </w:tcBorders>
            <w:vAlign w:val="bottom"/>
          </w:tcPr>
          <w:p w14:paraId="642770C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top w:val="single" w:sz="4" w:space="0" w:color="000000"/>
            </w:tcBorders>
            <w:shd w:val="clear" w:color="auto" w:fill="auto"/>
            <w:vAlign w:val="bottom"/>
          </w:tcPr>
          <w:p w14:paraId="581E4EB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top w:val="single" w:sz="4" w:space="0" w:color="000000"/>
            </w:tcBorders>
            <w:shd w:val="clear" w:color="auto" w:fill="auto"/>
            <w:vAlign w:val="bottom"/>
          </w:tcPr>
          <w:p w14:paraId="1DBECD2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top w:val="single" w:sz="4" w:space="0" w:color="000000"/>
            </w:tcBorders>
            <w:shd w:val="clear" w:color="auto" w:fill="auto"/>
            <w:vAlign w:val="bottom"/>
          </w:tcPr>
          <w:p w14:paraId="3BD1F32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top w:val="single" w:sz="4" w:space="0" w:color="000000"/>
            </w:tcBorders>
            <w:vAlign w:val="bottom"/>
          </w:tcPr>
          <w:p w14:paraId="006983F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top w:val="single" w:sz="4" w:space="0" w:color="000000"/>
            </w:tcBorders>
            <w:vAlign w:val="bottom"/>
          </w:tcPr>
          <w:p w14:paraId="6AF89D6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top w:val="single" w:sz="4" w:space="0" w:color="000000"/>
            </w:tcBorders>
            <w:vAlign w:val="bottom"/>
          </w:tcPr>
          <w:p w14:paraId="5EBB703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top w:val="single" w:sz="4" w:space="0" w:color="000000"/>
            </w:tcBorders>
            <w:vAlign w:val="bottom"/>
          </w:tcPr>
          <w:p w14:paraId="57CD5A6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top w:val="single" w:sz="4" w:space="0" w:color="000000"/>
            </w:tcBorders>
            <w:vAlign w:val="bottom"/>
          </w:tcPr>
          <w:p w14:paraId="0A9D7F60"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top w:val="single" w:sz="4" w:space="0" w:color="000000"/>
            </w:tcBorders>
            <w:vAlign w:val="bottom"/>
          </w:tcPr>
          <w:p w14:paraId="5E71C27C"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4803CB63" w14:textId="77777777" w:rsidTr="001B330E">
        <w:trPr>
          <w:trHeight w:val="23"/>
        </w:trPr>
        <w:tc>
          <w:tcPr>
            <w:tcW w:w="1129" w:type="pct"/>
            <w:shd w:val="clear" w:color="auto" w:fill="auto"/>
            <w:vAlign w:val="bottom"/>
          </w:tcPr>
          <w:p w14:paraId="7022F345"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Effects of adoption of new or revised standards</w:t>
            </w:r>
          </w:p>
        </w:tc>
        <w:tc>
          <w:tcPr>
            <w:tcW w:w="257" w:type="pct"/>
            <w:shd w:val="clear" w:color="auto" w:fill="auto"/>
            <w:vAlign w:val="bottom"/>
          </w:tcPr>
          <w:p w14:paraId="07DB9548"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5</w:t>
            </w:r>
          </w:p>
        </w:tc>
        <w:tc>
          <w:tcPr>
            <w:tcW w:w="285" w:type="pct"/>
            <w:shd w:val="clear" w:color="auto" w:fill="auto"/>
            <w:vAlign w:val="bottom"/>
          </w:tcPr>
          <w:p w14:paraId="0DFA9E5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shd w:val="clear" w:color="auto" w:fill="auto"/>
            <w:vAlign w:val="bottom"/>
          </w:tcPr>
          <w:p w14:paraId="6298FF0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227D0C8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3255A3F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1A7FA17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shd w:val="clear" w:color="auto" w:fill="auto"/>
            <w:vAlign w:val="bottom"/>
          </w:tcPr>
          <w:p w14:paraId="2D62BD5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shd w:val="clear" w:color="auto" w:fill="auto"/>
            <w:vAlign w:val="bottom"/>
          </w:tcPr>
          <w:p w14:paraId="4007257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shd w:val="clear" w:color="auto" w:fill="auto"/>
            <w:vAlign w:val="bottom"/>
          </w:tcPr>
          <w:p w14:paraId="6D347B0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shd w:val="clear" w:color="auto" w:fill="auto"/>
            <w:vAlign w:val="bottom"/>
          </w:tcPr>
          <w:p w14:paraId="115FA11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shd w:val="clear" w:color="auto" w:fill="auto"/>
            <w:vAlign w:val="bottom"/>
          </w:tcPr>
          <w:p w14:paraId="017D38F6"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357698D4"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616DF23E" w14:textId="77777777" w:rsidTr="001B330E">
        <w:trPr>
          <w:trHeight w:val="23"/>
        </w:trPr>
        <w:tc>
          <w:tcPr>
            <w:tcW w:w="1129" w:type="pct"/>
            <w:tcBorders>
              <w:bottom w:val="single" w:sz="4" w:space="0" w:color="000000"/>
            </w:tcBorders>
            <w:shd w:val="clear" w:color="auto" w:fill="auto"/>
            <w:vAlign w:val="bottom"/>
          </w:tcPr>
          <w:p w14:paraId="549E6AFB" w14:textId="77777777" w:rsidR="00FB108F" w:rsidRPr="001B330E" w:rsidRDefault="00FB108F" w:rsidP="001B330E">
            <w:pPr>
              <w:widowControl w:val="0"/>
              <w:pBdr>
                <w:top w:val="nil"/>
                <w:left w:val="nil"/>
                <w:bottom w:val="nil"/>
                <w:right w:val="nil"/>
                <w:between w:val="nil"/>
              </w:pBdr>
              <w:ind w:left="113" w:hanging="113"/>
              <w:rPr>
                <w:color w:val="000000"/>
                <w:szCs w:val="16"/>
              </w:rPr>
            </w:pPr>
          </w:p>
        </w:tc>
        <w:tc>
          <w:tcPr>
            <w:tcW w:w="257" w:type="pct"/>
            <w:tcBorders>
              <w:bottom w:val="single" w:sz="4" w:space="0" w:color="000000"/>
            </w:tcBorders>
            <w:shd w:val="clear" w:color="auto" w:fill="auto"/>
            <w:vAlign w:val="bottom"/>
          </w:tcPr>
          <w:p w14:paraId="5C7B0D1A"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bottom w:val="single" w:sz="4" w:space="0" w:color="000000"/>
            </w:tcBorders>
            <w:shd w:val="clear" w:color="auto" w:fill="auto"/>
            <w:vAlign w:val="bottom"/>
          </w:tcPr>
          <w:p w14:paraId="77B28A3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bottom w:val="single" w:sz="4" w:space="0" w:color="000000"/>
            </w:tcBorders>
            <w:shd w:val="clear" w:color="auto" w:fill="auto"/>
            <w:vAlign w:val="bottom"/>
          </w:tcPr>
          <w:p w14:paraId="176C5B4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bottom w:val="single" w:sz="4" w:space="0" w:color="000000"/>
            </w:tcBorders>
            <w:shd w:val="clear" w:color="auto" w:fill="auto"/>
            <w:vAlign w:val="bottom"/>
          </w:tcPr>
          <w:p w14:paraId="32F6BF2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bottom w:val="single" w:sz="4" w:space="0" w:color="000000"/>
            </w:tcBorders>
            <w:shd w:val="clear" w:color="auto" w:fill="auto"/>
            <w:vAlign w:val="bottom"/>
          </w:tcPr>
          <w:p w14:paraId="3F0F5D5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bottom w:val="single" w:sz="4" w:space="0" w:color="000000"/>
            </w:tcBorders>
            <w:shd w:val="clear" w:color="auto" w:fill="auto"/>
            <w:vAlign w:val="bottom"/>
          </w:tcPr>
          <w:p w14:paraId="4B7D5C6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bottom w:val="single" w:sz="4" w:space="0" w:color="000000"/>
            </w:tcBorders>
            <w:shd w:val="clear" w:color="auto" w:fill="auto"/>
            <w:vAlign w:val="bottom"/>
          </w:tcPr>
          <w:p w14:paraId="234DB36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bottom w:val="single" w:sz="4" w:space="0" w:color="000000"/>
            </w:tcBorders>
            <w:shd w:val="clear" w:color="auto" w:fill="auto"/>
            <w:vAlign w:val="bottom"/>
          </w:tcPr>
          <w:p w14:paraId="76E953A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bottom w:val="single" w:sz="4" w:space="0" w:color="000000"/>
            </w:tcBorders>
            <w:shd w:val="clear" w:color="auto" w:fill="auto"/>
            <w:vAlign w:val="bottom"/>
          </w:tcPr>
          <w:p w14:paraId="703B45E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bottom w:val="single" w:sz="4" w:space="0" w:color="000000"/>
            </w:tcBorders>
            <w:shd w:val="clear" w:color="auto" w:fill="auto"/>
            <w:vAlign w:val="bottom"/>
          </w:tcPr>
          <w:p w14:paraId="2CF64C2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bottom w:val="single" w:sz="4" w:space="0" w:color="000000"/>
            </w:tcBorders>
            <w:shd w:val="clear" w:color="auto" w:fill="auto"/>
            <w:vAlign w:val="bottom"/>
          </w:tcPr>
          <w:p w14:paraId="3D59F697"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bottom w:val="single" w:sz="4" w:space="0" w:color="000000"/>
            </w:tcBorders>
            <w:vAlign w:val="bottom"/>
          </w:tcPr>
          <w:p w14:paraId="08521693"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29BA8A15" w14:textId="77777777" w:rsidTr="001B330E">
        <w:trPr>
          <w:trHeight w:val="23"/>
        </w:trPr>
        <w:tc>
          <w:tcPr>
            <w:tcW w:w="1129" w:type="pct"/>
            <w:tcBorders>
              <w:top w:val="single" w:sz="4" w:space="0" w:color="000000"/>
            </w:tcBorders>
            <w:shd w:val="clear" w:color="auto" w:fill="auto"/>
            <w:vAlign w:val="bottom"/>
          </w:tcPr>
          <w:p w14:paraId="51F3255D" w14:textId="77777777" w:rsidR="00FB108F" w:rsidRPr="001B330E" w:rsidRDefault="00FB108F" w:rsidP="001B330E">
            <w:pPr>
              <w:widowControl w:val="0"/>
              <w:pBdr>
                <w:top w:val="nil"/>
                <w:left w:val="nil"/>
                <w:bottom w:val="nil"/>
                <w:right w:val="nil"/>
                <w:between w:val="nil"/>
              </w:pBdr>
              <w:ind w:left="113" w:hanging="113"/>
              <w:rPr>
                <w:color w:val="000000"/>
                <w:szCs w:val="16"/>
              </w:rPr>
            </w:pPr>
          </w:p>
        </w:tc>
        <w:tc>
          <w:tcPr>
            <w:tcW w:w="257" w:type="pct"/>
            <w:tcBorders>
              <w:top w:val="single" w:sz="4" w:space="0" w:color="000000"/>
            </w:tcBorders>
            <w:shd w:val="clear" w:color="auto" w:fill="auto"/>
            <w:vAlign w:val="bottom"/>
          </w:tcPr>
          <w:p w14:paraId="77ED4FC0"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top w:val="single" w:sz="4" w:space="0" w:color="000000"/>
            </w:tcBorders>
            <w:shd w:val="clear" w:color="auto" w:fill="auto"/>
            <w:vAlign w:val="bottom"/>
          </w:tcPr>
          <w:p w14:paraId="6619795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top w:val="single" w:sz="4" w:space="0" w:color="000000"/>
            </w:tcBorders>
            <w:shd w:val="clear" w:color="auto" w:fill="auto"/>
            <w:vAlign w:val="bottom"/>
          </w:tcPr>
          <w:p w14:paraId="7A5059A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top w:val="single" w:sz="4" w:space="0" w:color="000000"/>
            </w:tcBorders>
            <w:shd w:val="clear" w:color="auto" w:fill="auto"/>
            <w:vAlign w:val="bottom"/>
          </w:tcPr>
          <w:p w14:paraId="778CB9E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top w:val="single" w:sz="4" w:space="0" w:color="000000"/>
            </w:tcBorders>
            <w:shd w:val="clear" w:color="auto" w:fill="auto"/>
            <w:vAlign w:val="bottom"/>
          </w:tcPr>
          <w:p w14:paraId="6CC4C98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top w:val="single" w:sz="4" w:space="0" w:color="000000"/>
            </w:tcBorders>
            <w:shd w:val="clear" w:color="auto" w:fill="auto"/>
            <w:vAlign w:val="bottom"/>
          </w:tcPr>
          <w:p w14:paraId="54742E9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top w:val="single" w:sz="4" w:space="0" w:color="000000"/>
            </w:tcBorders>
            <w:shd w:val="clear" w:color="auto" w:fill="auto"/>
            <w:vAlign w:val="bottom"/>
          </w:tcPr>
          <w:p w14:paraId="082B212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top w:val="single" w:sz="4" w:space="0" w:color="000000"/>
            </w:tcBorders>
            <w:shd w:val="clear" w:color="auto" w:fill="auto"/>
            <w:vAlign w:val="bottom"/>
          </w:tcPr>
          <w:p w14:paraId="79A3C30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top w:val="single" w:sz="4" w:space="0" w:color="000000"/>
            </w:tcBorders>
            <w:shd w:val="clear" w:color="auto" w:fill="auto"/>
            <w:vAlign w:val="bottom"/>
          </w:tcPr>
          <w:p w14:paraId="1A7D2ED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top w:val="single" w:sz="4" w:space="0" w:color="000000"/>
            </w:tcBorders>
            <w:shd w:val="clear" w:color="auto" w:fill="auto"/>
            <w:vAlign w:val="bottom"/>
          </w:tcPr>
          <w:p w14:paraId="4F7BE05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top w:val="single" w:sz="4" w:space="0" w:color="000000"/>
            </w:tcBorders>
            <w:shd w:val="clear" w:color="auto" w:fill="auto"/>
            <w:vAlign w:val="bottom"/>
          </w:tcPr>
          <w:p w14:paraId="5B641677"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top w:val="single" w:sz="4" w:space="0" w:color="000000"/>
            </w:tcBorders>
            <w:vAlign w:val="bottom"/>
          </w:tcPr>
          <w:p w14:paraId="2972D46C"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1EA3F2E9" w14:textId="77777777" w:rsidTr="001B330E">
        <w:trPr>
          <w:trHeight w:val="23"/>
        </w:trPr>
        <w:tc>
          <w:tcPr>
            <w:tcW w:w="1129" w:type="pct"/>
            <w:shd w:val="clear" w:color="auto" w:fill="auto"/>
            <w:vAlign w:val="bottom"/>
          </w:tcPr>
          <w:p w14:paraId="7450000C" w14:textId="5A026320" w:rsidR="00FB108F" w:rsidRPr="001B330E" w:rsidRDefault="00FB108F" w:rsidP="001B330E">
            <w:pPr>
              <w:widowControl w:val="0"/>
              <w:pBdr>
                <w:top w:val="nil"/>
                <w:left w:val="nil"/>
                <w:bottom w:val="nil"/>
                <w:right w:val="nil"/>
                <w:between w:val="nil"/>
              </w:pBdr>
              <w:ind w:left="113" w:hanging="113"/>
              <w:rPr>
                <w:b/>
                <w:color w:val="000000"/>
                <w:szCs w:val="16"/>
              </w:rPr>
            </w:pPr>
            <w:r w:rsidRPr="001B330E">
              <w:rPr>
                <w:b/>
                <w:color w:val="000000"/>
                <w:szCs w:val="16"/>
              </w:rPr>
              <w:t xml:space="preserve">Restated balance at 1 January </w:t>
            </w:r>
            <w:r w:rsidR="00541EBC">
              <w:rPr>
                <w:b/>
                <w:color w:val="000000"/>
                <w:szCs w:val="16"/>
              </w:rPr>
              <w:t>2024</w:t>
            </w:r>
          </w:p>
        </w:tc>
        <w:tc>
          <w:tcPr>
            <w:tcW w:w="257" w:type="pct"/>
            <w:shd w:val="clear" w:color="auto" w:fill="auto"/>
            <w:vAlign w:val="bottom"/>
          </w:tcPr>
          <w:p w14:paraId="3C1EC3F2" w14:textId="77777777" w:rsidR="00FB108F" w:rsidRPr="001B330E" w:rsidRDefault="00FB108F" w:rsidP="001B330E">
            <w:pPr>
              <w:widowControl w:val="0"/>
              <w:pBdr>
                <w:top w:val="nil"/>
                <w:left w:val="nil"/>
                <w:bottom w:val="nil"/>
                <w:right w:val="nil"/>
                <w:between w:val="nil"/>
              </w:pBdr>
              <w:jc w:val="center"/>
              <w:rPr>
                <w:b/>
                <w:color w:val="000000"/>
                <w:szCs w:val="16"/>
              </w:rPr>
            </w:pPr>
          </w:p>
        </w:tc>
        <w:tc>
          <w:tcPr>
            <w:tcW w:w="285" w:type="pct"/>
            <w:shd w:val="clear" w:color="auto" w:fill="auto"/>
            <w:vAlign w:val="bottom"/>
          </w:tcPr>
          <w:p w14:paraId="034FF0DC"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85" w:type="pct"/>
            <w:shd w:val="clear" w:color="auto" w:fill="auto"/>
            <w:vAlign w:val="bottom"/>
          </w:tcPr>
          <w:p w14:paraId="2CD7E883"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8" w:type="pct"/>
            <w:shd w:val="clear" w:color="auto" w:fill="auto"/>
            <w:vAlign w:val="bottom"/>
          </w:tcPr>
          <w:p w14:paraId="71FFB318"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5" w:type="pct"/>
            <w:shd w:val="clear" w:color="auto" w:fill="auto"/>
            <w:vAlign w:val="bottom"/>
          </w:tcPr>
          <w:p w14:paraId="798697D3"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3" w:type="pct"/>
            <w:shd w:val="clear" w:color="auto" w:fill="auto"/>
            <w:vAlign w:val="bottom"/>
          </w:tcPr>
          <w:p w14:paraId="3B7B8073"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3" w:type="pct"/>
            <w:shd w:val="clear" w:color="auto" w:fill="auto"/>
            <w:vAlign w:val="bottom"/>
          </w:tcPr>
          <w:p w14:paraId="0BFB8CEE"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61" w:type="pct"/>
            <w:shd w:val="clear" w:color="auto" w:fill="auto"/>
            <w:vAlign w:val="bottom"/>
          </w:tcPr>
          <w:p w14:paraId="4C5A2F1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9" w:type="pct"/>
            <w:shd w:val="clear" w:color="auto" w:fill="auto"/>
            <w:vAlign w:val="bottom"/>
          </w:tcPr>
          <w:p w14:paraId="3ACCB09D"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58" w:type="pct"/>
            <w:shd w:val="clear" w:color="auto" w:fill="auto"/>
            <w:vAlign w:val="bottom"/>
          </w:tcPr>
          <w:p w14:paraId="59A0402A"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70" w:type="pct"/>
            <w:shd w:val="clear" w:color="auto" w:fill="auto"/>
            <w:vAlign w:val="bottom"/>
          </w:tcPr>
          <w:p w14:paraId="138F36E1" w14:textId="77777777" w:rsidR="00FB108F" w:rsidRPr="00852AC7" w:rsidRDefault="00FB108F">
            <w:pPr>
              <w:widowControl w:val="0"/>
              <w:pBdr>
                <w:top w:val="nil"/>
                <w:left w:val="nil"/>
                <w:bottom w:val="nil"/>
                <w:right w:val="nil"/>
                <w:between w:val="nil"/>
              </w:pBdr>
              <w:jc w:val="right"/>
              <w:rPr>
                <w:b/>
                <w:color w:val="000000"/>
                <w:szCs w:val="16"/>
              </w:rPr>
            </w:pPr>
          </w:p>
        </w:tc>
        <w:tc>
          <w:tcPr>
            <w:tcW w:w="297" w:type="pct"/>
            <w:vAlign w:val="bottom"/>
          </w:tcPr>
          <w:p w14:paraId="40599230" w14:textId="77777777" w:rsidR="00FB108F" w:rsidRPr="00852AC7" w:rsidRDefault="00FB108F">
            <w:pPr>
              <w:widowControl w:val="0"/>
              <w:pBdr>
                <w:top w:val="nil"/>
                <w:left w:val="nil"/>
                <w:bottom w:val="nil"/>
                <w:right w:val="nil"/>
                <w:between w:val="nil"/>
              </w:pBdr>
              <w:jc w:val="right"/>
              <w:rPr>
                <w:b/>
                <w:color w:val="000000"/>
                <w:szCs w:val="16"/>
              </w:rPr>
            </w:pPr>
          </w:p>
        </w:tc>
      </w:tr>
      <w:tr w:rsidR="00FB108F" w:rsidRPr="00852AC7" w14:paraId="6F477B29" w14:textId="77777777" w:rsidTr="001B330E">
        <w:trPr>
          <w:trHeight w:val="23"/>
        </w:trPr>
        <w:tc>
          <w:tcPr>
            <w:tcW w:w="1129" w:type="pct"/>
            <w:tcBorders>
              <w:bottom w:val="single" w:sz="4" w:space="0" w:color="000000"/>
            </w:tcBorders>
            <w:shd w:val="clear" w:color="auto" w:fill="auto"/>
            <w:vAlign w:val="bottom"/>
          </w:tcPr>
          <w:p w14:paraId="12AA9A08" w14:textId="77777777" w:rsidR="00FB108F" w:rsidRPr="001B330E" w:rsidRDefault="00FB108F" w:rsidP="001B330E">
            <w:pPr>
              <w:widowControl w:val="0"/>
              <w:pBdr>
                <w:top w:val="nil"/>
                <w:left w:val="nil"/>
                <w:bottom w:val="nil"/>
                <w:right w:val="nil"/>
                <w:between w:val="nil"/>
              </w:pBdr>
              <w:ind w:left="113" w:hanging="113"/>
              <w:rPr>
                <w:color w:val="000000"/>
                <w:szCs w:val="16"/>
              </w:rPr>
            </w:pPr>
          </w:p>
        </w:tc>
        <w:tc>
          <w:tcPr>
            <w:tcW w:w="257" w:type="pct"/>
            <w:tcBorders>
              <w:bottom w:val="single" w:sz="4" w:space="0" w:color="000000"/>
            </w:tcBorders>
            <w:shd w:val="clear" w:color="auto" w:fill="auto"/>
            <w:vAlign w:val="bottom"/>
          </w:tcPr>
          <w:p w14:paraId="35E3E007"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bottom w:val="single" w:sz="4" w:space="0" w:color="000000"/>
            </w:tcBorders>
            <w:shd w:val="clear" w:color="auto" w:fill="auto"/>
            <w:vAlign w:val="bottom"/>
          </w:tcPr>
          <w:p w14:paraId="02162C1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bottom w:val="single" w:sz="4" w:space="0" w:color="000000"/>
            </w:tcBorders>
            <w:shd w:val="clear" w:color="auto" w:fill="auto"/>
            <w:vAlign w:val="bottom"/>
          </w:tcPr>
          <w:p w14:paraId="27A5FCA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bottom w:val="single" w:sz="4" w:space="0" w:color="000000"/>
            </w:tcBorders>
            <w:shd w:val="clear" w:color="auto" w:fill="auto"/>
            <w:vAlign w:val="bottom"/>
          </w:tcPr>
          <w:p w14:paraId="25DAFA3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bottom w:val="single" w:sz="4" w:space="0" w:color="000000"/>
            </w:tcBorders>
            <w:shd w:val="clear" w:color="auto" w:fill="auto"/>
            <w:vAlign w:val="bottom"/>
          </w:tcPr>
          <w:p w14:paraId="5CBD4B5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bottom w:val="single" w:sz="4" w:space="0" w:color="000000"/>
            </w:tcBorders>
            <w:shd w:val="clear" w:color="auto" w:fill="auto"/>
            <w:vAlign w:val="bottom"/>
          </w:tcPr>
          <w:p w14:paraId="6500607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bottom w:val="single" w:sz="4" w:space="0" w:color="000000"/>
            </w:tcBorders>
            <w:shd w:val="clear" w:color="auto" w:fill="auto"/>
            <w:vAlign w:val="bottom"/>
          </w:tcPr>
          <w:p w14:paraId="5A82560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bottom w:val="single" w:sz="4" w:space="0" w:color="000000"/>
            </w:tcBorders>
            <w:shd w:val="clear" w:color="auto" w:fill="auto"/>
            <w:vAlign w:val="bottom"/>
          </w:tcPr>
          <w:p w14:paraId="552A3FD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bottom w:val="single" w:sz="4" w:space="0" w:color="000000"/>
            </w:tcBorders>
            <w:shd w:val="clear" w:color="auto" w:fill="auto"/>
            <w:vAlign w:val="bottom"/>
          </w:tcPr>
          <w:p w14:paraId="50E05FB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bottom w:val="single" w:sz="4" w:space="0" w:color="000000"/>
            </w:tcBorders>
            <w:shd w:val="clear" w:color="auto" w:fill="auto"/>
            <w:vAlign w:val="bottom"/>
          </w:tcPr>
          <w:p w14:paraId="4AC4E14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bottom w:val="single" w:sz="4" w:space="0" w:color="000000"/>
            </w:tcBorders>
            <w:shd w:val="clear" w:color="auto" w:fill="auto"/>
            <w:vAlign w:val="bottom"/>
          </w:tcPr>
          <w:p w14:paraId="3D8E06E3"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bottom w:val="single" w:sz="4" w:space="0" w:color="000000"/>
            </w:tcBorders>
            <w:vAlign w:val="bottom"/>
          </w:tcPr>
          <w:p w14:paraId="00D9EE10"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152CF382" w14:textId="77777777" w:rsidTr="001B330E">
        <w:trPr>
          <w:trHeight w:val="23"/>
        </w:trPr>
        <w:tc>
          <w:tcPr>
            <w:tcW w:w="1129" w:type="pct"/>
            <w:tcBorders>
              <w:top w:val="single" w:sz="4" w:space="0" w:color="000000"/>
            </w:tcBorders>
            <w:shd w:val="clear" w:color="auto" w:fill="auto"/>
            <w:vAlign w:val="bottom"/>
          </w:tcPr>
          <w:p w14:paraId="244CBEAB" w14:textId="77777777" w:rsidR="00FB108F" w:rsidRPr="001B330E" w:rsidRDefault="00FB108F" w:rsidP="001B330E">
            <w:pPr>
              <w:widowControl w:val="0"/>
              <w:pBdr>
                <w:top w:val="nil"/>
                <w:left w:val="nil"/>
                <w:bottom w:val="nil"/>
                <w:right w:val="nil"/>
                <w:between w:val="nil"/>
              </w:pBdr>
              <w:ind w:left="113" w:hanging="113"/>
              <w:rPr>
                <w:color w:val="000000"/>
                <w:szCs w:val="16"/>
              </w:rPr>
            </w:pPr>
          </w:p>
        </w:tc>
        <w:tc>
          <w:tcPr>
            <w:tcW w:w="257" w:type="pct"/>
            <w:tcBorders>
              <w:top w:val="single" w:sz="4" w:space="0" w:color="000000"/>
            </w:tcBorders>
            <w:shd w:val="clear" w:color="auto" w:fill="auto"/>
            <w:vAlign w:val="bottom"/>
          </w:tcPr>
          <w:p w14:paraId="2F3B79D1"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top w:val="single" w:sz="4" w:space="0" w:color="000000"/>
            </w:tcBorders>
            <w:shd w:val="clear" w:color="auto" w:fill="auto"/>
            <w:vAlign w:val="bottom"/>
          </w:tcPr>
          <w:p w14:paraId="17BD1CA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top w:val="single" w:sz="4" w:space="0" w:color="000000"/>
            </w:tcBorders>
            <w:shd w:val="clear" w:color="auto" w:fill="auto"/>
            <w:vAlign w:val="bottom"/>
          </w:tcPr>
          <w:p w14:paraId="4D00B7F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top w:val="single" w:sz="4" w:space="0" w:color="000000"/>
            </w:tcBorders>
            <w:shd w:val="clear" w:color="auto" w:fill="auto"/>
            <w:vAlign w:val="bottom"/>
          </w:tcPr>
          <w:p w14:paraId="2F9F3AC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top w:val="single" w:sz="4" w:space="0" w:color="000000"/>
            </w:tcBorders>
            <w:shd w:val="clear" w:color="auto" w:fill="auto"/>
            <w:vAlign w:val="bottom"/>
          </w:tcPr>
          <w:p w14:paraId="0A9EC44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top w:val="single" w:sz="4" w:space="0" w:color="000000"/>
            </w:tcBorders>
            <w:shd w:val="clear" w:color="auto" w:fill="auto"/>
            <w:vAlign w:val="bottom"/>
          </w:tcPr>
          <w:p w14:paraId="07DCA56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top w:val="single" w:sz="4" w:space="0" w:color="000000"/>
            </w:tcBorders>
            <w:shd w:val="clear" w:color="auto" w:fill="auto"/>
            <w:vAlign w:val="bottom"/>
          </w:tcPr>
          <w:p w14:paraId="36C2DA9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top w:val="single" w:sz="4" w:space="0" w:color="000000"/>
            </w:tcBorders>
            <w:shd w:val="clear" w:color="auto" w:fill="auto"/>
            <w:vAlign w:val="bottom"/>
          </w:tcPr>
          <w:p w14:paraId="6C4932E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top w:val="single" w:sz="4" w:space="0" w:color="000000"/>
            </w:tcBorders>
            <w:shd w:val="clear" w:color="auto" w:fill="auto"/>
            <w:vAlign w:val="bottom"/>
          </w:tcPr>
          <w:p w14:paraId="4F3232B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top w:val="single" w:sz="4" w:space="0" w:color="000000"/>
            </w:tcBorders>
            <w:shd w:val="clear" w:color="auto" w:fill="auto"/>
            <w:vAlign w:val="bottom"/>
          </w:tcPr>
          <w:p w14:paraId="53D060E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top w:val="single" w:sz="4" w:space="0" w:color="000000"/>
            </w:tcBorders>
            <w:shd w:val="clear" w:color="auto" w:fill="auto"/>
            <w:vAlign w:val="bottom"/>
          </w:tcPr>
          <w:p w14:paraId="19CD14F5"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top w:val="single" w:sz="4" w:space="0" w:color="000000"/>
            </w:tcBorders>
            <w:vAlign w:val="bottom"/>
          </w:tcPr>
          <w:p w14:paraId="4F247B2B"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4F7EC5B3" w14:textId="77777777" w:rsidTr="001B330E">
        <w:trPr>
          <w:trHeight w:val="23"/>
        </w:trPr>
        <w:tc>
          <w:tcPr>
            <w:tcW w:w="1129" w:type="pct"/>
            <w:vAlign w:val="bottom"/>
          </w:tcPr>
          <w:p w14:paraId="7886917F"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Profit / (loss) for the year</w:t>
            </w:r>
          </w:p>
        </w:tc>
        <w:tc>
          <w:tcPr>
            <w:tcW w:w="257" w:type="pct"/>
            <w:vAlign w:val="bottom"/>
          </w:tcPr>
          <w:p w14:paraId="5D88BC15"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61A450B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77B9433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19545A7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541E633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2CD0F75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67AEA87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3280C1F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109E863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2C9093A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6A495751"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258294DE"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178DA3EF" w14:textId="77777777" w:rsidTr="001B330E">
        <w:trPr>
          <w:trHeight w:val="23"/>
        </w:trPr>
        <w:tc>
          <w:tcPr>
            <w:tcW w:w="1129" w:type="pct"/>
            <w:vAlign w:val="bottom"/>
          </w:tcPr>
          <w:p w14:paraId="4D734FD9"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Other comprehensive income</w:t>
            </w:r>
          </w:p>
        </w:tc>
        <w:tc>
          <w:tcPr>
            <w:tcW w:w="257" w:type="pct"/>
            <w:vAlign w:val="bottom"/>
          </w:tcPr>
          <w:p w14:paraId="5BCB2048"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31</w:t>
            </w:r>
          </w:p>
        </w:tc>
        <w:tc>
          <w:tcPr>
            <w:tcW w:w="285" w:type="pct"/>
            <w:vAlign w:val="bottom"/>
          </w:tcPr>
          <w:p w14:paraId="1AA24BF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5F48119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6AD80B7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7D3DFD1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4E22982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20339FF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778D202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7C18167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4322D56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2BBFAC69"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19ABAC42"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30518683" w14:textId="77777777" w:rsidTr="001B330E">
        <w:trPr>
          <w:trHeight w:val="23"/>
        </w:trPr>
        <w:tc>
          <w:tcPr>
            <w:tcW w:w="1129" w:type="pct"/>
            <w:tcBorders>
              <w:bottom w:val="single" w:sz="4" w:space="0" w:color="000000"/>
            </w:tcBorders>
            <w:vAlign w:val="bottom"/>
          </w:tcPr>
          <w:p w14:paraId="2FD6C51E"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bottom w:val="single" w:sz="4" w:space="0" w:color="000000"/>
            </w:tcBorders>
            <w:vAlign w:val="bottom"/>
          </w:tcPr>
          <w:p w14:paraId="5D54D9B4"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bottom w:val="single" w:sz="4" w:space="0" w:color="000000"/>
            </w:tcBorders>
            <w:vAlign w:val="bottom"/>
          </w:tcPr>
          <w:p w14:paraId="1B30A50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bottom w:val="single" w:sz="4" w:space="0" w:color="000000"/>
            </w:tcBorders>
            <w:vAlign w:val="bottom"/>
          </w:tcPr>
          <w:p w14:paraId="343716A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bottom w:val="single" w:sz="4" w:space="0" w:color="000000"/>
            </w:tcBorders>
            <w:shd w:val="clear" w:color="auto" w:fill="auto"/>
            <w:vAlign w:val="bottom"/>
          </w:tcPr>
          <w:p w14:paraId="406D68E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bottom w:val="single" w:sz="4" w:space="0" w:color="000000"/>
            </w:tcBorders>
            <w:shd w:val="clear" w:color="auto" w:fill="auto"/>
            <w:vAlign w:val="bottom"/>
          </w:tcPr>
          <w:p w14:paraId="405E240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bottom w:val="single" w:sz="4" w:space="0" w:color="000000"/>
            </w:tcBorders>
            <w:shd w:val="clear" w:color="auto" w:fill="auto"/>
            <w:vAlign w:val="bottom"/>
          </w:tcPr>
          <w:p w14:paraId="769936F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bottom w:val="single" w:sz="4" w:space="0" w:color="000000"/>
            </w:tcBorders>
            <w:vAlign w:val="bottom"/>
          </w:tcPr>
          <w:p w14:paraId="6EDFCAA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bottom w:val="single" w:sz="4" w:space="0" w:color="000000"/>
            </w:tcBorders>
            <w:vAlign w:val="bottom"/>
          </w:tcPr>
          <w:p w14:paraId="1A6E1F7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bottom w:val="single" w:sz="4" w:space="0" w:color="000000"/>
            </w:tcBorders>
            <w:vAlign w:val="bottom"/>
          </w:tcPr>
          <w:p w14:paraId="0DB9038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bottom w:val="single" w:sz="4" w:space="0" w:color="000000"/>
            </w:tcBorders>
            <w:vAlign w:val="bottom"/>
          </w:tcPr>
          <w:p w14:paraId="0DC809F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bottom w:val="single" w:sz="4" w:space="0" w:color="000000"/>
            </w:tcBorders>
            <w:vAlign w:val="bottom"/>
          </w:tcPr>
          <w:p w14:paraId="5EA62AD3"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bottom w:val="single" w:sz="4" w:space="0" w:color="000000"/>
            </w:tcBorders>
            <w:vAlign w:val="bottom"/>
          </w:tcPr>
          <w:p w14:paraId="0826C7EF"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3E3B3CBA" w14:textId="77777777" w:rsidTr="001B330E">
        <w:trPr>
          <w:trHeight w:val="23"/>
        </w:trPr>
        <w:tc>
          <w:tcPr>
            <w:tcW w:w="1129" w:type="pct"/>
            <w:tcBorders>
              <w:top w:val="single" w:sz="4" w:space="0" w:color="000000"/>
            </w:tcBorders>
            <w:vAlign w:val="bottom"/>
          </w:tcPr>
          <w:p w14:paraId="42A22190"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top w:val="single" w:sz="4" w:space="0" w:color="000000"/>
            </w:tcBorders>
            <w:vAlign w:val="bottom"/>
          </w:tcPr>
          <w:p w14:paraId="60EE6036"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top w:val="single" w:sz="4" w:space="0" w:color="000000"/>
            </w:tcBorders>
            <w:vAlign w:val="bottom"/>
          </w:tcPr>
          <w:p w14:paraId="33EDDBB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top w:val="single" w:sz="4" w:space="0" w:color="000000"/>
            </w:tcBorders>
            <w:vAlign w:val="bottom"/>
          </w:tcPr>
          <w:p w14:paraId="4713157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top w:val="single" w:sz="4" w:space="0" w:color="000000"/>
            </w:tcBorders>
            <w:shd w:val="clear" w:color="auto" w:fill="auto"/>
            <w:vAlign w:val="bottom"/>
          </w:tcPr>
          <w:p w14:paraId="422B0DC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top w:val="single" w:sz="4" w:space="0" w:color="000000"/>
            </w:tcBorders>
            <w:shd w:val="clear" w:color="auto" w:fill="auto"/>
            <w:vAlign w:val="bottom"/>
          </w:tcPr>
          <w:p w14:paraId="08BBA6A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top w:val="single" w:sz="4" w:space="0" w:color="000000"/>
            </w:tcBorders>
            <w:shd w:val="clear" w:color="auto" w:fill="auto"/>
            <w:vAlign w:val="bottom"/>
          </w:tcPr>
          <w:p w14:paraId="21F5A3C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top w:val="single" w:sz="4" w:space="0" w:color="000000"/>
            </w:tcBorders>
            <w:vAlign w:val="bottom"/>
          </w:tcPr>
          <w:p w14:paraId="6798988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top w:val="single" w:sz="4" w:space="0" w:color="000000"/>
            </w:tcBorders>
            <w:vAlign w:val="bottom"/>
          </w:tcPr>
          <w:p w14:paraId="641F61D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top w:val="single" w:sz="4" w:space="0" w:color="000000"/>
            </w:tcBorders>
            <w:vAlign w:val="bottom"/>
          </w:tcPr>
          <w:p w14:paraId="22F9017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top w:val="single" w:sz="4" w:space="0" w:color="000000"/>
            </w:tcBorders>
            <w:vAlign w:val="bottom"/>
          </w:tcPr>
          <w:p w14:paraId="45BA314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top w:val="single" w:sz="4" w:space="0" w:color="000000"/>
            </w:tcBorders>
            <w:vAlign w:val="bottom"/>
          </w:tcPr>
          <w:p w14:paraId="6BB215DA"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top w:val="single" w:sz="4" w:space="0" w:color="000000"/>
            </w:tcBorders>
            <w:vAlign w:val="bottom"/>
          </w:tcPr>
          <w:p w14:paraId="316DFA79"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69C2CDB5" w14:textId="77777777" w:rsidTr="001B330E">
        <w:trPr>
          <w:trHeight w:val="23"/>
        </w:trPr>
        <w:tc>
          <w:tcPr>
            <w:tcW w:w="1129" w:type="pct"/>
            <w:vAlign w:val="bottom"/>
          </w:tcPr>
          <w:p w14:paraId="019585CA" w14:textId="28A1B125"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 xml:space="preserve">Total comprehensive income for </w:t>
            </w:r>
            <w:r w:rsidR="00541EBC">
              <w:rPr>
                <w:color w:val="000000"/>
                <w:szCs w:val="16"/>
              </w:rPr>
              <w:t>2024</w:t>
            </w:r>
          </w:p>
        </w:tc>
        <w:tc>
          <w:tcPr>
            <w:tcW w:w="257" w:type="pct"/>
            <w:vAlign w:val="bottom"/>
          </w:tcPr>
          <w:p w14:paraId="603A3E2B"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356FE2C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205B7B2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708F797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4B342B0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2B630F4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124E9E1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6D13BD2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294BA6F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5650C42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72499AC0"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112D4FBD"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00E9A052" w14:textId="77777777" w:rsidTr="001B330E">
        <w:trPr>
          <w:trHeight w:val="23"/>
        </w:trPr>
        <w:tc>
          <w:tcPr>
            <w:tcW w:w="1129" w:type="pct"/>
            <w:vAlign w:val="bottom"/>
          </w:tcPr>
          <w:p w14:paraId="715A859F" w14:textId="77777777" w:rsidR="00FB108F" w:rsidRPr="001B330E" w:rsidRDefault="00FB108F" w:rsidP="001B330E">
            <w:pPr>
              <w:widowControl w:val="0"/>
              <w:ind w:left="113" w:hanging="113"/>
              <w:rPr>
                <w:szCs w:val="16"/>
              </w:rPr>
            </w:pPr>
            <w:r w:rsidRPr="001B330E">
              <w:rPr>
                <w:b/>
                <w:szCs w:val="16"/>
              </w:rPr>
              <w:t> </w:t>
            </w:r>
          </w:p>
        </w:tc>
        <w:tc>
          <w:tcPr>
            <w:tcW w:w="257" w:type="pct"/>
            <w:vAlign w:val="bottom"/>
          </w:tcPr>
          <w:p w14:paraId="38C5220B"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7DB7CE7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0F77CC1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01DCB4A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0B0BCDB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5EDF341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33DEC5B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0454E1B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47630AB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3D9E9F9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2548BB1E"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728F30B1"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77AE9897" w14:textId="77777777" w:rsidTr="001B330E">
        <w:trPr>
          <w:trHeight w:val="23"/>
        </w:trPr>
        <w:tc>
          <w:tcPr>
            <w:tcW w:w="1129" w:type="pct"/>
            <w:tcBorders>
              <w:top w:val="single" w:sz="4" w:space="0" w:color="000000"/>
            </w:tcBorders>
            <w:vAlign w:val="bottom"/>
          </w:tcPr>
          <w:p w14:paraId="1DB8145A"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b/>
                <w:color w:val="000000"/>
                <w:szCs w:val="16"/>
              </w:rPr>
              <w:t> </w:t>
            </w:r>
          </w:p>
        </w:tc>
        <w:tc>
          <w:tcPr>
            <w:tcW w:w="257" w:type="pct"/>
            <w:tcBorders>
              <w:top w:val="single" w:sz="4" w:space="0" w:color="000000"/>
            </w:tcBorders>
            <w:vAlign w:val="bottom"/>
          </w:tcPr>
          <w:p w14:paraId="39F17AC4"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top w:val="single" w:sz="4" w:space="0" w:color="000000"/>
            </w:tcBorders>
            <w:vAlign w:val="bottom"/>
          </w:tcPr>
          <w:p w14:paraId="7FFF8DC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top w:val="single" w:sz="4" w:space="0" w:color="000000"/>
            </w:tcBorders>
            <w:vAlign w:val="bottom"/>
          </w:tcPr>
          <w:p w14:paraId="09EEE1E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top w:val="single" w:sz="4" w:space="0" w:color="000000"/>
            </w:tcBorders>
            <w:shd w:val="clear" w:color="auto" w:fill="auto"/>
            <w:vAlign w:val="bottom"/>
          </w:tcPr>
          <w:p w14:paraId="2C5D809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top w:val="single" w:sz="4" w:space="0" w:color="000000"/>
            </w:tcBorders>
            <w:shd w:val="clear" w:color="auto" w:fill="auto"/>
            <w:vAlign w:val="bottom"/>
          </w:tcPr>
          <w:p w14:paraId="1A1AC54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top w:val="single" w:sz="4" w:space="0" w:color="000000"/>
            </w:tcBorders>
            <w:shd w:val="clear" w:color="auto" w:fill="auto"/>
            <w:vAlign w:val="bottom"/>
          </w:tcPr>
          <w:p w14:paraId="100ECC8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top w:val="single" w:sz="4" w:space="0" w:color="000000"/>
            </w:tcBorders>
            <w:vAlign w:val="bottom"/>
          </w:tcPr>
          <w:p w14:paraId="22C9E09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top w:val="single" w:sz="4" w:space="0" w:color="000000"/>
            </w:tcBorders>
            <w:vAlign w:val="bottom"/>
          </w:tcPr>
          <w:p w14:paraId="35B9D08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top w:val="single" w:sz="4" w:space="0" w:color="000000"/>
            </w:tcBorders>
            <w:vAlign w:val="bottom"/>
          </w:tcPr>
          <w:p w14:paraId="3480C1E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top w:val="single" w:sz="4" w:space="0" w:color="000000"/>
            </w:tcBorders>
            <w:vAlign w:val="bottom"/>
          </w:tcPr>
          <w:p w14:paraId="4A9C6B8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top w:val="single" w:sz="4" w:space="0" w:color="000000"/>
            </w:tcBorders>
            <w:vAlign w:val="bottom"/>
          </w:tcPr>
          <w:p w14:paraId="7BDEC6CF"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top w:val="single" w:sz="4" w:space="0" w:color="000000"/>
            </w:tcBorders>
            <w:vAlign w:val="bottom"/>
          </w:tcPr>
          <w:p w14:paraId="4E1751CD"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541E1485" w14:textId="77777777" w:rsidTr="001B330E">
        <w:trPr>
          <w:trHeight w:val="23"/>
        </w:trPr>
        <w:tc>
          <w:tcPr>
            <w:tcW w:w="1129" w:type="pct"/>
            <w:vAlign w:val="bottom"/>
          </w:tcPr>
          <w:p w14:paraId="0020CE7F" w14:textId="77777777" w:rsidR="00FB108F" w:rsidRPr="001B330E" w:rsidRDefault="00FB108F" w:rsidP="001B330E">
            <w:pPr>
              <w:widowControl w:val="0"/>
              <w:ind w:left="113" w:hanging="113"/>
              <w:rPr>
                <w:szCs w:val="16"/>
              </w:rPr>
            </w:pPr>
            <w:r w:rsidRPr="001B330E">
              <w:rPr>
                <w:szCs w:val="16"/>
              </w:rPr>
              <w:t>Share issue</w:t>
            </w:r>
          </w:p>
        </w:tc>
        <w:tc>
          <w:tcPr>
            <w:tcW w:w="257" w:type="pct"/>
            <w:vAlign w:val="bottom"/>
          </w:tcPr>
          <w:p w14:paraId="059E9882"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29</w:t>
            </w:r>
          </w:p>
        </w:tc>
        <w:tc>
          <w:tcPr>
            <w:tcW w:w="285" w:type="pct"/>
            <w:vAlign w:val="bottom"/>
          </w:tcPr>
          <w:p w14:paraId="304D79D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2746E67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6603EB8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3F6EC9F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18478BF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0BD2084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1395764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67E812E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4D2A2B3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775CC33F"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68722932"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0B7FA593" w14:textId="77777777" w:rsidTr="001B330E">
        <w:trPr>
          <w:trHeight w:val="23"/>
        </w:trPr>
        <w:tc>
          <w:tcPr>
            <w:tcW w:w="1129" w:type="pct"/>
            <w:vAlign w:val="bottom"/>
          </w:tcPr>
          <w:p w14:paraId="21060723" w14:textId="77777777" w:rsidR="00FB108F" w:rsidRPr="001B330E" w:rsidRDefault="00FB108F" w:rsidP="001B330E">
            <w:pPr>
              <w:widowControl w:val="0"/>
              <w:ind w:left="113" w:hanging="113"/>
              <w:rPr>
                <w:szCs w:val="16"/>
              </w:rPr>
            </w:pPr>
            <w:r w:rsidRPr="001B330E">
              <w:rPr>
                <w:szCs w:val="16"/>
              </w:rPr>
              <w:t>Treasury shares</w:t>
            </w:r>
          </w:p>
        </w:tc>
        <w:tc>
          <w:tcPr>
            <w:tcW w:w="257" w:type="pct"/>
            <w:vAlign w:val="bottom"/>
          </w:tcPr>
          <w:p w14:paraId="7F4C94DD"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37F7E99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3CC9BAF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2215B56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35DBE71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503D0E3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5156F19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0F7E8AF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04A500A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49174DA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784AC634"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5C92658B"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7981FDD0" w14:textId="77777777" w:rsidTr="001B330E">
        <w:trPr>
          <w:trHeight w:val="23"/>
        </w:trPr>
        <w:tc>
          <w:tcPr>
            <w:tcW w:w="1129" w:type="pct"/>
            <w:vAlign w:val="bottom"/>
          </w:tcPr>
          <w:p w14:paraId="3AFFA775" w14:textId="77777777" w:rsidR="00FB108F" w:rsidRPr="001B330E" w:rsidRDefault="00FB108F" w:rsidP="001B330E">
            <w:pPr>
              <w:widowControl w:val="0"/>
              <w:ind w:left="113" w:hanging="113"/>
              <w:rPr>
                <w:szCs w:val="16"/>
              </w:rPr>
            </w:pPr>
            <w:r w:rsidRPr="001B330E">
              <w:rPr>
                <w:szCs w:val="16"/>
              </w:rPr>
              <w:t>- Acquisitions</w:t>
            </w:r>
          </w:p>
        </w:tc>
        <w:tc>
          <w:tcPr>
            <w:tcW w:w="257" w:type="pct"/>
            <w:vAlign w:val="bottom"/>
          </w:tcPr>
          <w:p w14:paraId="7CC81009"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29</w:t>
            </w:r>
          </w:p>
        </w:tc>
        <w:tc>
          <w:tcPr>
            <w:tcW w:w="285" w:type="pct"/>
            <w:vAlign w:val="bottom"/>
          </w:tcPr>
          <w:p w14:paraId="221C35F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2F4FE32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26CB455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5F30B89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6B26F88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51188A2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357844B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61F219A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1FCF9D8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6986B552"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17FF11A3"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05EC2E25" w14:textId="77777777" w:rsidTr="001B330E">
        <w:trPr>
          <w:trHeight w:val="23"/>
        </w:trPr>
        <w:tc>
          <w:tcPr>
            <w:tcW w:w="1129" w:type="pct"/>
            <w:vAlign w:val="bottom"/>
          </w:tcPr>
          <w:p w14:paraId="0AF314FE" w14:textId="77777777" w:rsidR="00FB108F" w:rsidRPr="001B330E" w:rsidRDefault="00FB108F" w:rsidP="001B330E">
            <w:pPr>
              <w:widowControl w:val="0"/>
              <w:ind w:left="113" w:hanging="113"/>
              <w:rPr>
                <w:szCs w:val="16"/>
              </w:rPr>
            </w:pPr>
            <w:r w:rsidRPr="001B330E">
              <w:rPr>
                <w:szCs w:val="16"/>
              </w:rPr>
              <w:t>- Disposals</w:t>
            </w:r>
          </w:p>
        </w:tc>
        <w:tc>
          <w:tcPr>
            <w:tcW w:w="257" w:type="pct"/>
            <w:vAlign w:val="bottom"/>
          </w:tcPr>
          <w:p w14:paraId="2A7914A3"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29</w:t>
            </w:r>
          </w:p>
        </w:tc>
        <w:tc>
          <w:tcPr>
            <w:tcW w:w="285" w:type="pct"/>
            <w:vAlign w:val="bottom"/>
          </w:tcPr>
          <w:p w14:paraId="02198C2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292387D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531E453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4B52ACE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3DC08DF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1F12E10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324E6D2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05BF4FB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1760BB7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0CD72CDF"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5154C40A"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28E541E8" w14:textId="77777777" w:rsidTr="001B330E">
        <w:trPr>
          <w:trHeight w:val="23"/>
        </w:trPr>
        <w:tc>
          <w:tcPr>
            <w:tcW w:w="1129" w:type="pct"/>
            <w:vAlign w:val="bottom"/>
          </w:tcPr>
          <w:p w14:paraId="50B2FD3C" w14:textId="77777777" w:rsidR="00FB108F" w:rsidRPr="001B330E" w:rsidRDefault="00FB108F" w:rsidP="001B330E">
            <w:pPr>
              <w:widowControl w:val="0"/>
              <w:ind w:left="113" w:hanging="113"/>
              <w:rPr>
                <w:szCs w:val="16"/>
              </w:rPr>
            </w:pPr>
            <w:r w:rsidRPr="001B330E">
              <w:rPr>
                <w:szCs w:val="16"/>
              </w:rPr>
              <w:t>Business combinations</w:t>
            </w:r>
          </w:p>
        </w:tc>
        <w:tc>
          <w:tcPr>
            <w:tcW w:w="257" w:type="pct"/>
            <w:vAlign w:val="bottom"/>
          </w:tcPr>
          <w:p w14:paraId="7DA9BEAF" w14:textId="77777777" w:rsidR="00FB108F" w:rsidRPr="001B330E" w:rsidRDefault="00FB108F" w:rsidP="001B330E">
            <w:pPr>
              <w:widowControl w:val="0"/>
              <w:pBdr>
                <w:top w:val="nil"/>
                <w:left w:val="nil"/>
                <w:bottom w:val="nil"/>
                <w:right w:val="nil"/>
                <w:between w:val="nil"/>
              </w:pBdr>
              <w:jc w:val="center"/>
              <w:rPr>
                <w:color w:val="000000"/>
                <w:szCs w:val="16"/>
              </w:rPr>
            </w:pPr>
            <w:r w:rsidRPr="001B330E">
              <w:rPr>
                <w:color w:val="000000"/>
                <w:szCs w:val="16"/>
              </w:rPr>
              <w:t>52</w:t>
            </w:r>
          </w:p>
        </w:tc>
        <w:tc>
          <w:tcPr>
            <w:tcW w:w="285" w:type="pct"/>
            <w:vAlign w:val="bottom"/>
          </w:tcPr>
          <w:p w14:paraId="7405423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08CB62B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7D96319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05F9290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42A89E6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59D0D41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3B6562E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3B90FF8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44A6D6C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1A122472"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3E375C56"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51782B68" w14:textId="77777777" w:rsidTr="001B330E">
        <w:trPr>
          <w:trHeight w:val="23"/>
        </w:trPr>
        <w:tc>
          <w:tcPr>
            <w:tcW w:w="1129" w:type="pct"/>
            <w:vAlign w:val="bottom"/>
          </w:tcPr>
          <w:p w14:paraId="7E1E23BD"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Acquisition of non-controlling interest in subsidiaries</w:t>
            </w:r>
          </w:p>
        </w:tc>
        <w:tc>
          <w:tcPr>
            <w:tcW w:w="257" w:type="pct"/>
            <w:vAlign w:val="bottom"/>
          </w:tcPr>
          <w:p w14:paraId="654E0E48"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7E86CD7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14859BB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64B264C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2AD24A0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606F509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2973FE2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61EA390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719B462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6CDEC98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18B3F1D0"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1EB60084"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3676F891" w14:textId="77777777" w:rsidTr="001B330E">
        <w:trPr>
          <w:trHeight w:val="23"/>
        </w:trPr>
        <w:tc>
          <w:tcPr>
            <w:tcW w:w="1129" w:type="pct"/>
            <w:vAlign w:val="bottom"/>
          </w:tcPr>
          <w:p w14:paraId="0A26209B"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Disposal of non-controlling interest in subsidiaries</w:t>
            </w:r>
          </w:p>
        </w:tc>
        <w:tc>
          <w:tcPr>
            <w:tcW w:w="257" w:type="pct"/>
            <w:vAlign w:val="bottom"/>
          </w:tcPr>
          <w:p w14:paraId="73BD9C64"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4C25B07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5CEFED7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7B74FFE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528B65A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48C71B1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1968463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505B3AB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56E7A2C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0F5C2CD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0E751D75"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437977FA"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1209958B" w14:textId="77777777" w:rsidTr="001B330E">
        <w:trPr>
          <w:trHeight w:val="23"/>
        </w:trPr>
        <w:tc>
          <w:tcPr>
            <w:tcW w:w="1129" w:type="pct"/>
            <w:vAlign w:val="bottom"/>
          </w:tcPr>
          <w:p w14:paraId="0D2AAE9E"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 xml:space="preserve">Transfer of revaluation surplus on premises </w:t>
            </w:r>
            <w:r w:rsidRPr="001B330E">
              <w:rPr>
                <w:color w:val="0000FF"/>
                <w:szCs w:val="16"/>
              </w:rPr>
              <w:t>[and equipment]</w:t>
            </w:r>
            <w:r w:rsidRPr="001B330E">
              <w:rPr>
                <w:color w:val="000000"/>
                <w:szCs w:val="16"/>
              </w:rPr>
              <w:t xml:space="preserve"> to retained earnings </w:t>
            </w:r>
          </w:p>
        </w:tc>
        <w:tc>
          <w:tcPr>
            <w:tcW w:w="257" w:type="pct"/>
            <w:vAlign w:val="bottom"/>
          </w:tcPr>
          <w:p w14:paraId="39799201" w14:textId="77777777" w:rsidR="00FB108F" w:rsidRPr="001B330E" w:rsidRDefault="00000000" w:rsidP="001B330E">
            <w:pPr>
              <w:widowControl w:val="0"/>
              <w:pBdr>
                <w:top w:val="nil"/>
                <w:left w:val="nil"/>
                <w:bottom w:val="nil"/>
                <w:right w:val="nil"/>
                <w:between w:val="nil"/>
              </w:pBdr>
              <w:jc w:val="center"/>
              <w:rPr>
                <w:color w:val="000000"/>
                <w:szCs w:val="16"/>
              </w:rPr>
            </w:pPr>
            <w:hyperlink w:anchor="_heading=h.3tbugp1">
              <w:r w:rsidR="00FB108F" w:rsidRPr="001B330E">
                <w:rPr>
                  <w:color w:val="000000"/>
                  <w:szCs w:val="16"/>
                </w:rPr>
                <w:t>31</w:t>
              </w:r>
            </w:hyperlink>
          </w:p>
        </w:tc>
        <w:tc>
          <w:tcPr>
            <w:tcW w:w="285" w:type="pct"/>
            <w:vAlign w:val="bottom"/>
          </w:tcPr>
          <w:p w14:paraId="07E3097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2BEE7FD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77ABD0C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1575EC9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6802259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3569B9D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340A999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15B1EED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6624C3E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66B112D1"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6538DC0C"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1D1F08CC" w14:textId="77777777" w:rsidTr="001B330E">
        <w:trPr>
          <w:trHeight w:val="23"/>
        </w:trPr>
        <w:tc>
          <w:tcPr>
            <w:tcW w:w="1129" w:type="pct"/>
            <w:vAlign w:val="bottom"/>
          </w:tcPr>
          <w:p w14:paraId="14BAB078"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Transfer of revaluation reserve on investments in equity securities at FVOCI to retained earnings upon disposal</w:t>
            </w:r>
          </w:p>
        </w:tc>
        <w:tc>
          <w:tcPr>
            <w:tcW w:w="257" w:type="pct"/>
            <w:vAlign w:val="bottom"/>
          </w:tcPr>
          <w:p w14:paraId="59109D32"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6D6B6A7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4CDF64B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312891E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7C71622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24CFE80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57046D3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5FDEC4A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002BF7B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31CA08C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55C005A5"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35FE6A79"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59756937" w14:textId="77777777" w:rsidTr="001B330E">
        <w:trPr>
          <w:trHeight w:val="23"/>
        </w:trPr>
        <w:tc>
          <w:tcPr>
            <w:tcW w:w="1129" w:type="pct"/>
            <w:vAlign w:val="bottom"/>
          </w:tcPr>
          <w:p w14:paraId="4AA140B1" w14:textId="77777777" w:rsidR="00FB108F" w:rsidRPr="001B330E" w:rsidRDefault="00FB108F" w:rsidP="001B330E">
            <w:pPr>
              <w:widowControl w:val="0"/>
              <w:pBdr>
                <w:top w:val="nil"/>
                <w:left w:val="nil"/>
                <w:bottom w:val="nil"/>
                <w:right w:val="nil"/>
                <w:between w:val="nil"/>
              </w:pBdr>
              <w:ind w:left="113" w:hanging="113"/>
              <w:rPr>
                <w:color w:val="000000"/>
                <w:szCs w:val="16"/>
              </w:rPr>
            </w:pPr>
            <w:r w:rsidRPr="001B330E">
              <w:rPr>
                <w:color w:val="000000"/>
                <w:szCs w:val="16"/>
              </w:rPr>
              <w:t xml:space="preserve">Transfer of change in fair value </w:t>
            </w:r>
            <w:r w:rsidRPr="001B330E">
              <w:rPr>
                <w:color w:val="000000"/>
                <w:szCs w:val="16"/>
              </w:rPr>
              <w:lastRenderedPageBreak/>
              <w:t xml:space="preserve">attributable to change in the credit risk of financial liabilities at FVTPL to retained earnings </w:t>
            </w:r>
          </w:p>
        </w:tc>
        <w:tc>
          <w:tcPr>
            <w:tcW w:w="257" w:type="pct"/>
            <w:vAlign w:val="bottom"/>
          </w:tcPr>
          <w:p w14:paraId="273BA430"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36168FC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1A96333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0F38674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01DDF605"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3B33C348"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4BD7741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238DFD3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1937CC7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0CAB045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5F880DC6"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5D5B90A9"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480F6485" w14:textId="77777777" w:rsidTr="001B330E">
        <w:trPr>
          <w:trHeight w:val="23"/>
        </w:trPr>
        <w:tc>
          <w:tcPr>
            <w:tcW w:w="1129" w:type="pct"/>
            <w:vAlign w:val="bottom"/>
          </w:tcPr>
          <w:p w14:paraId="08523FD2" w14:textId="77777777" w:rsidR="00FB108F" w:rsidRPr="001B330E" w:rsidRDefault="00FB108F" w:rsidP="001B330E">
            <w:pPr>
              <w:widowControl w:val="0"/>
              <w:ind w:left="113" w:hanging="113"/>
              <w:rPr>
                <w:szCs w:val="16"/>
              </w:rPr>
            </w:pPr>
            <w:r w:rsidRPr="001B330E">
              <w:rPr>
                <w:szCs w:val="16"/>
              </w:rPr>
              <w:t>Dividends declared</w:t>
            </w:r>
          </w:p>
        </w:tc>
        <w:tc>
          <w:tcPr>
            <w:tcW w:w="257" w:type="pct"/>
            <w:vAlign w:val="bottom"/>
          </w:tcPr>
          <w:p w14:paraId="566710C9" w14:textId="77777777" w:rsidR="00FB108F" w:rsidRPr="001B330E" w:rsidRDefault="00000000" w:rsidP="001B330E">
            <w:pPr>
              <w:widowControl w:val="0"/>
              <w:pBdr>
                <w:top w:val="nil"/>
                <w:left w:val="nil"/>
                <w:bottom w:val="nil"/>
                <w:right w:val="nil"/>
                <w:between w:val="nil"/>
              </w:pBdr>
              <w:jc w:val="center"/>
              <w:rPr>
                <w:color w:val="000000"/>
                <w:szCs w:val="16"/>
              </w:rPr>
            </w:pPr>
            <w:hyperlink w:anchor="_heading=h.111kx3o">
              <w:r w:rsidR="00FB108F" w:rsidRPr="001B330E">
                <w:rPr>
                  <w:color w:val="000000"/>
                  <w:szCs w:val="16"/>
                </w:rPr>
                <w:t>37</w:t>
              </w:r>
            </w:hyperlink>
          </w:p>
        </w:tc>
        <w:tc>
          <w:tcPr>
            <w:tcW w:w="285" w:type="pct"/>
            <w:vAlign w:val="bottom"/>
          </w:tcPr>
          <w:p w14:paraId="4AFBE36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3C4F03D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3E521AE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6EDEEFA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799D9EE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2EE6FDA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6E9CFC5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1789F3F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2262355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71248D75"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7A0CAA80"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5B5CC766" w14:textId="77777777" w:rsidTr="001B330E">
        <w:trPr>
          <w:trHeight w:val="23"/>
        </w:trPr>
        <w:tc>
          <w:tcPr>
            <w:tcW w:w="1129" w:type="pct"/>
            <w:tcBorders>
              <w:bottom w:val="single" w:sz="4" w:space="0" w:color="000000"/>
            </w:tcBorders>
            <w:vAlign w:val="bottom"/>
          </w:tcPr>
          <w:p w14:paraId="11902F0A" w14:textId="77777777" w:rsidR="00FB108F" w:rsidRPr="001B330E" w:rsidRDefault="00FB108F" w:rsidP="001B330E">
            <w:pPr>
              <w:widowControl w:val="0"/>
              <w:ind w:left="113" w:hanging="113"/>
              <w:rPr>
                <w:szCs w:val="16"/>
              </w:rPr>
            </w:pPr>
            <w:r w:rsidRPr="001B330E">
              <w:rPr>
                <w:b/>
                <w:szCs w:val="16"/>
              </w:rPr>
              <w:t> </w:t>
            </w:r>
          </w:p>
        </w:tc>
        <w:tc>
          <w:tcPr>
            <w:tcW w:w="257" w:type="pct"/>
            <w:tcBorders>
              <w:bottom w:val="single" w:sz="4" w:space="0" w:color="000000"/>
            </w:tcBorders>
            <w:vAlign w:val="bottom"/>
          </w:tcPr>
          <w:p w14:paraId="63695B9C"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bottom w:val="single" w:sz="4" w:space="0" w:color="000000"/>
            </w:tcBorders>
            <w:vAlign w:val="bottom"/>
          </w:tcPr>
          <w:p w14:paraId="5BEC6CB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bottom w:val="single" w:sz="4" w:space="0" w:color="000000"/>
            </w:tcBorders>
            <w:vAlign w:val="bottom"/>
          </w:tcPr>
          <w:p w14:paraId="1813FB7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bottom w:val="single" w:sz="4" w:space="0" w:color="000000"/>
            </w:tcBorders>
            <w:shd w:val="clear" w:color="auto" w:fill="auto"/>
            <w:vAlign w:val="bottom"/>
          </w:tcPr>
          <w:p w14:paraId="51A3645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bottom w:val="single" w:sz="4" w:space="0" w:color="000000"/>
            </w:tcBorders>
            <w:shd w:val="clear" w:color="auto" w:fill="auto"/>
            <w:vAlign w:val="bottom"/>
          </w:tcPr>
          <w:p w14:paraId="044D4277"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bottom w:val="single" w:sz="4" w:space="0" w:color="000000"/>
            </w:tcBorders>
            <w:shd w:val="clear" w:color="auto" w:fill="auto"/>
            <w:vAlign w:val="bottom"/>
          </w:tcPr>
          <w:p w14:paraId="22FB6F1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bottom w:val="single" w:sz="4" w:space="0" w:color="000000"/>
            </w:tcBorders>
            <w:vAlign w:val="bottom"/>
          </w:tcPr>
          <w:p w14:paraId="22E10D50"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bottom w:val="single" w:sz="4" w:space="0" w:color="000000"/>
            </w:tcBorders>
            <w:vAlign w:val="bottom"/>
          </w:tcPr>
          <w:p w14:paraId="2EC86EA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bottom w:val="single" w:sz="4" w:space="0" w:color="000000"/>
            </w:tcBorders>
            <w:vAlign w:val="bottom"/>
          </w:tcPr>
          <w:p w14:paraId="5A491C02"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bottom w:val="single" w:sz="4" w:space="0" w:color="000000"/>
            </w:tcBorders>
            <w:vAlign w:val="bottom"/>
          </w:tcPr>
          <w:p w14:paraId="41C46CC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bottom w:val="single" w:sz="4" w:space="0" w:color="000000"/>
            </w:tcBorders>
            <w:vAlign w:val="bottom"/>
          </w:tcPr>
          <w:p w14:paraId="018EA1CE"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bottom w:val="single" w:sz="4" w:space="0" w:color="000000"/>
            </w:tcBorders>
            <w:vAlign w:val="bottom"/>
          </w:tcPr>
          <w:p w14:paraId="3C9963BF"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5C3F77EE" w14:textId="77777777" w:rsidTr="001B330E">
        <w:trPr>
          <w:trHeight w:val="23"/>
        </w:trPr>
        <w:tc>
          <w:tcPr>
            <w:tcW w:w="1129" w:type="pct"/>
            <w:tcBorders>
              <w:top w:val="single" w:sz="4" w:space="0" w:color="000000"/>
            </w:tcBorders>
            <w:vAlign w:val="bottom"/>
          </w:tcPr>
          <w:p w14:paraId="115A813A" w14:textId="77777777" w:rsidR="00FB108F" w:rsidRPr="001B330E" w:rsidRDefault="00FB108F" w:rsidP="001B330E">
            <w:pPr>
              <w:widowControl w:val="0"/>
              <w:ind w:left="113" w:hanging="113"/>
              <w:rPr>
                <w:szCs w:val="16"/>
              </w:rPr>
            </w:pPr>
            <w:r w:rsidRPr="001B330E">
              <w:rPr>
                <w:b/>
                <w:szCs w:val="16"/>
              </w:rPr>
              <w:t> </w:t>
            </w:r>
          </w:p>
        </w:tc>
        <w:tc>
          <w:tcPr>
            <w:tcW w:w="257" w:type="pct"/>
            <w:tcBorders>
              <w:top w:val="single" w:sz="4" w:space="0" w:color="000000"/>
            </w:tcBorders>
            <w:vAlign w:val="bottom"/>
          </w:tcPr>
          <w:p w14:paraId="581C5A7F" w14:textId="77777777" w:rsidR="00FB108F" w:rsidRPr="001B330E" w:rsidRDefault="00FB108F" w:rsidP="001B330E">
            <w:pPr>
              <w:widowControl w:val="0"/>
              <w:pBdr>
                <w:top w:val="nil"/>
                <w:left w:val="nil"/>
                <w:bottom w:val="nil"/>
                <w:right w:val="nil"/>
                <w:between w:val="nil"/>
              </w:pBdr>
              <w:jc w:val="center"/>
              <w:rPr>
                <w:b/>
                <w:color w:val="000000"/>
                <w:szCs w:val="16"/>
              </w:rPr>
            </w:pPr>
          </w:p>
        </w:tc>
        <w:tc>
          <w:tcPr>
            <w:tcW w:w="285" w:type="pct"/>
            <w:tcBorders>
              <w:top w:val="single" w:sz="4" w:space="0" w:color="000000"/>
            </w:tcBorders>
            <w:vAlign w:val="bottom"/>
          </w:tcPr>
          <w:p w14:paraId="52C89E77"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85" w:type="pct"/>
            <w:tcBorders>
              <w:top w:val="single" w:sz="4" w:space="0" w:color="000000"/>
            </w:tcBorders>
            <w:vAlign w:val="bottom"/>
          </w:tcPr>
          <w:p w14:paraId="75741D6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8" w:type="pct"/>
            <w:tcBorders>
              <w:top w:val="single" w:sz="4" w:space="0" w:color="000000"/>
            </w:tcBorders>
            <w:shd w:val="clear" w:color="auto" w:fill="auto"/>
            <w:vAlign w:val="bottom"/>
          </w:tcPr>
          <w:p w14:paraId="029836DC"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5" w:type="pct"/>
            <w:tcBorders>
              <w:top w:val="single" w:sz="4" w:space="0" w:color="000000"/>
            </w:tcBorders>
            <w:shd w:val="clear" w:color="auto" w:fill="auto"/>
            <w:vAlign w:val="bottom"/>
          </w:tcPr>
          <w:p w14:paraId="247D4BF2"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93" w:type="pct"/>
            <w:tcBorders>
              <w:top w:val="single" w:sz="4" w:space="0" w:color="000000"/>
            </w:tcBorders>
            <w:shd w:val="clear" w:color="auto" w:fill="auto"/>
            <w:vAlign w:val="bottom"/>
          </w:tcPr>
          <w:p w14:paraId="75D75B54"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3" w:type="pct"/>
            <w:tcBorders>
              <w:top w:val="single" w:sz="4" w:space="0" w:color="000000"/>
            </w:tcBorders>
            <w:vAlign w:val="bottom"/>
          </w:tcPr>
          <w:p w14:paraId="61D7A33E"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61" w:type="pct"/>
            <w:tcBorders>
              <w:top w:val="single" w:sz="4" w:space="0" w:color="000000"/>
            </w:tcBorders>
            <w:vAlign w:val="bottom"/>
          </w:tcPr>
          <w:p w14:paraId="289E79EF"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359" w:type="pct"/>
            <w:tcBorders>
              <w:top w:val="single" w:sz="4" w:space="0" w:color="000000"/>
            </w:tcBorders>
            <w:vAlign w:val="bottom"/>
          </w:tcPr>
          <w:p w14:paraId="62B89BB1"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58" w:type="pct"/>
            <w:tcBorders>
              <w:top w:val="single" w:sz="4" w:space="0" w:color="000000"/>
            </w:tcBorders>
            <w:vAlign w:val="bottom"/>
          </w:tcPr>
          <w:p w14:paraId="5F39B548" w14:textId="77777777" w:rsidR="00FB108F" w:rsidRPr="001B330E" w:rsidRDefault="00FB108F" w:rsidP="001B330E">
            <w:pPr>
              <w:widowControl w:val="0"/>
              <w:pBdr>
                <w:top w:val="nil"/>
                <w:left w:val="nil"/>
                <w:bottom w:val="nil"/>
                <w:right w:val="nil"/>
                <w:between w:val="nil"/>
              </w:pBdr>
              <w:jc w:val="right"/>
              <w:rPr>
                <w:b/>
                <w:color w:val="000000"/>
                <w:szCs w:val="16"/>
              </w:rPr>
            </w:pPr>
          </w:p>
        </w:tc>
        <w:tc>
          <w:tcPr>
            <w:tcW w:w="270" w:type="pct"/>
            <w:tcBorders>
              <w:top w:val="single" w:sz="4" w:space="0" w:color="000000"/>
            </w:tcBorders>
            <w:vAlign w:val="bottom"/>
          </w:tcPr>
          <w:p w14:paraId="1413BD07" w14:textId="77777777" w:rsidR="00FB108F" w:rsidRPr="00852AC7" w:rsidRDefault="00FB108F">
            <w:pPr>
              <w:widowControl w:val="0"/>
              <w:pBdr>
                <w:top w:val="nil"/>
                <w:left w:val="nil"/>
                <w:bottom w:val="nil"/>
                <w:right w:val="nil"/>
                <w:between w:val="nil"/>
              </w:pBdr>
              <w:jc w:val="right"/>
              <w:rPr>
                <w:b/>
                <w:color w:val="000000"/>
                <w:szCs w:val="16"/>
              </w:rPr>
            </w:pPr>
          </w:p>
        </w:tc>
        <w:tc>
          <w:tcPr>
            <w:tcW w:w="297" w:type="pct"/>
            <w:tcBorders>
              <w:top w:val="single" w:sz="4" w:space="0" w:color="000000"/>
            </w:tcBorders>
            <w:vAlign w:val="bottom"/>
          </w:tcPr>
          <w:p w14:paraId="500F9956" w14:textId="77777777" w:rsidR="00FB108F" w:rsidRPr="00852AC7" w:rsidRDefault="00FB108F">
            <w:pPr>
              <w:widowControl w:val="0"/>
              <w:pBdr>
                <w:top w:val="nil"/>
                <w:left w:val="nil"/>
                <w:bottom w:val="nil"/>
                <w:right w:val="nil"/>
                <w:between w:val="nil"/>
              </w:pBdr>
              <w:jc w:val="right"/>
              <w:rPr>
                <w:b/>
                <w:color w:val="000000"/>
                <w:szCs w:val="16"/>
              </w:rPr>
            </w:pPr>
          </w:p>
        </w:tc>
      </w:tr>
      <w:tr w:rsidR="00FB108F" w:rsidRPr="00852AC7" w14:paraId="28C22F6F" w14:textId="77777777" w:rsidTr="001B330E">
        <w:trPr>
          <w:trHeight w:val="23"/>
        </w:trPr>
        <w:tc>
          <w:tcPr>
            <w:tcW w:w="1129" w:type="pct"/>
            <w:vAlign w:val="bottom"/>
          </w:tcPr>
          <w:p w14:paraId="09E8C35A" w14:textId="5E15AF35" w:rsidR="00FB108F" w:rsidRPr="001B330E" w:rsidRDefault="00FB108F" w:rsidP="001B330E">
            <w:pPr>
              <w:widowControl w:val="0"/>
              <w:pBdr>
                <w:top w:val="nil"/>
                <w:left w:val="nil"/>
                <w:bottom w:val="nil"/>
                <w:right w:val="nil"/>
                <w:between w:val="nil"/>
              </w:pBdr>
              <w:ind w:left="113" w:hanging="113"/>
              <w:rPr>
                <w:b/>
                <w:color w:val="000000"/>
                <w:szCs w:val="16"/>
              </w:rPr>
            </w:pPr>
            <w:r w:rsidRPr="001B330E">
              <w:rPr>
                <w:b/>
                <w:color w:val="000000"/>
                <w:szCs w:val="16"/>
              </w:rPr>
              <w:t>Balance at 31 December </w:t>
            </w:r>
            <w:r w:rsidR="00541EBC">
              <w:rPr>
                <w:b/>
                <w:color w:val="000000"/>
                <w:szCs w:val="16"/>
              </w:rPr>
              <w:t>2024</w:t>
            </w:r>
          </w:p>
        </w:tc>
        <w:tc>
          <w:tcPr>
            <w:tcW w:w="257" w:type="pct"/>
            <w:vAlign w:val="bottom"/>
          </w:tcPr>
          <w:p w14:paraId="419AF7A9"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vAlign w:val="bottom"/>
          </w:tcPr>
          <w:p w14:paraId="711BEF6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vAlign w:val="bottom"/>
          </w:tcPr>
          <w:p w14:paraId="57BD0B0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shd w:val="clear" w:color="auto" w:fill="auto"/>
            <w:vAlign w:val="bottom"/>
          </w:tcPr>
          <w:p w14:paraId="0A5DE5A4"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shd w:val="clear" w:color="auto" w:fill="auto"/>
            <w:vAlign w:val="bottom"/>
          </w:tcPr>
          <w:p w14:paraId="4F3F77FA"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shd w:val="clear" w:color="auto" w:fill="auto"/>
            <w:vAlign w:val="bottom"/>
          </w:tcPr>
          <w:p w14:paraId="50EAA2E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vAlign w:val="bottom"/>
          </w:tcPr>
          <w:p w14:paraId="5477BBF9"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vAlign w:val="bottom"/>
          </w:tcPr>
          <w:p w14:paraId="107333A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vAlign w:val="bottom"/>
          </w:tcPr>
          <w:p w14:paraId="2E921CC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vAlign w:val="bottom"/>
          </w:tcPr>
          <w:p w14:paraId="36661F0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vAlign w:val="bottom"/>
          </w:tcPr>
          <w:p w14:paraId="524FB997"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vAlign w:val="bottom"/>
          </w:tcPr>
          <w:p w14:paraId="4F5AC264" w14:textId="77777777" w:rsidR="00FB108F" w:rsidRPr="00852AC7" w:rsidRDefault="00FB108F">
            <w:pPr>
              <w:widowControl w:val="0"/>
              <w:pBdr>
                <w:top w:val="nil"/>
                <w:left w:val="nil"/>
                <w:bottom w:val="nil"/>
                <w:right w:val="nil"/>
                <w:between w:val="nil"/>
              </w:pBdr>
              <w:jc w:val="right"/>
              <w:rPr>
                <w:color w:val="000000"/>
                <w:szCs w:val="16"/>
              </w:rPr>
            </w:pPr>
          </w:p>
        </w:tc>
      </w:tr>
      <w:tr w:rsidR="00FB108F" w:rsidRPr="00852AC7" w14:paraId="6586E7C8" w14:textId="77777777" w:rsidTr="001B330E">
        <w:trPr>
          <w:trHeight w:val="23"/>
        </w:trPr>
        <w:tc>
          <w:tcPr>
            <w:tcW w:w="1129" w:type="pct"/>
            <w:tcBorders>
              <w:bottom w:val="single" w:sz="12" w:space="0" w:color="000000"/>
            </w:tcBorders>
            <w:vAlign w:val="bottom"/>
          </w:tcPr>
          <w:p w14:paraId="3CA27709" w14:textId="77777777" w:rsidR="00FB108F" w:rsidRPr="001B330E" w:rsidRDefault="00FB108F" w:rsidP="001B330E">
            <w:pPr>
              <w:widowControl w:val="0"/>
              <w:ind w:left="113" w:hanging="113"/>
              <w:rPr>
                <w:szCs w:val="16"/>
              </w:rPr>
            </w:pPr>
            <w:r w:rsidRPr="001B330E">
              <w:rPr>
                <w:b/>
                <w:szCs w:val="16"/>
              </w:rPr>
              <w:t> </w:t>
            </w:r>
          </w:p>
        </w:tc>
        <w:tc>
          <w:tcPr>
            <w:tcW w:w="257" w:type="pct"/>
            <w:tcBorders>
              <w:bottom w:val="single" w:sz="12" w:space="0" w:color="000000"/>
            </w:tcBorders>
            <w:vAlign w:val="bottom"/>
          </w:tcPr>
          <w:p w14:paraId="3FBD7993" w14:textId="77777777" w:rsidR="00FB108F" w:rsidRPr="001B330E" w:rsidRDefault="00FB108F" w:rsidP="001B330E">
            <w:pPr>
              <w:widowControl w:val="0"/>
              <w:pBdr>
                <w:top w:val="nil"/>
                <w:left w:val="nil"/>
                <w:bottom w:val="nil"/>
                <w:right w:val="nil"/>
                <w:between w:val="nil"/>
              </w:pBdr>
              <w:jc w:val="center"/>
              <w:rPr>
                <w:color w:val="000000"/>
                <w:szCs w:val="16"/>
              </w:rPr>
            </w:pPr>
          </w:p>
        </w:tc>
        <w:tc>
          <w:tcPr>
            <w:tcW w:w="285" w:type="pct"/>
            <w:tcBorders>
              <w:bottom w:val="single" w:sz="12" w:space="0" w:color="000000"/>
            </w:tcBorders>
            <w:vAlign w:val="bottom"/>
          </w:tcPr>
          <w:p w14:paraId="62EDC60E"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85" w:type="pct"/>
            <w:tcBorders>
              <w:bottom w:val="single" w:sz="12" w:space="0" w:color="000000"/>
            </w:tcBorders>
            <w:vAlign w:val="bottom"/>
          </w:tcPr>
          <w:p w14:paraId="56D3F621"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8" w:type="pct"/>
            <w:tcBorders>
              <w:bottom w:val="single" w:sz="12" w:space="0" w:color="000000"/>
            </w:tcBorders>
            <w:shd w:val="clear" w:color="auto" w:fill="auto"/>
            <w:vAlign w:val="bottom"/>
          </w:tcPr>
          <w:p w14:paraId="1C96312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5" w:type="pct"/>
            <w:tcBorders>
              <w:bottom w:val="single" w:sz="12" w:space="0" w:color="000000"/>
            </w:tcBorders>
            <w:shd w:val="clear" w:color="auto" w:fill="auto"/>
            <w:vAlign w:val="bottom"/>
          </w:tcPr>
          <w:p w14:paraId="48E92F03"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93" w:type="pct"/>
            <w:tcBorders>
              <w:bottom w:val="single" w:sz="12" w:space="0" w:color="000000"/>
            </w:tcBorders>
            <w:shd w:val="clear" w:color="auto" w:fill="auto"/>
            <w:vAlign w:val="bottom"/>
          </w:tcPr>
          <w:p w14:paraId="34BD719D"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3" w:type="pct"/>
            <w:tcBorders>
              <w:bottom w:val="single" w:sz="12" w:space="0" w:color="000000"/>
            </w:tcBorders>
            <w:vAlign w:val="bottom"/>
          </w:tcPr>
          <w:p w14:paraId="62BC609C"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61" w:type="pct"/>
            <w:tcBorders>
              <w:bottom w:val="single" w:sz="12" w:space="0" w:color="000000"/>
            </w:tcBorders>
            <w:vAlign w:val="bottom"/>
          </w:tcPr>
          <w:p w14:paraId="6FD332EF"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359" w:type="pct"/>
            <w:tcBorders>
              <w:bottom w:val="single" w:sz="12" w:space="0" w:color="000000"/>
            </w:tcBorders>
            <w:vAlign w:val="bottom"/>
          </w:tcPr>
          <w:p w14:paraId="1455FB1B"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58" w:type="pct"/>
            <w:tcBorders>
              <w:bottom w:val="single" w:sz="12" w:space="0" w:color="000000"/>
            </w:tcBorders>
            <w:vAlign w:val="bottom"/>
          </w:tcPr>
          <w:p w14:paraId="418EED16" w14:textId="77777777" w:rsidR="00FB108F" w:rsidRPr="001B330E" w:rsidRDefault="00FB108F" w:rsidP="001B330E">
            <w:pPr>
              <w:widowControl w:val="0"/>
              <w:pBdr>
                <w:top w:val="nil"/>
                <w:left w:val="nil"/>
                <w:bottom w:val="nil"/>
                <w:right w:val="nil"/>
                <w:between w:val="nil"/>
              </w:pBdr>
              <w:jc w:val="right"/>
              <w:rPr>
                <w:color w:val="000000"/>
                <w:szCs w:val="16"/>
              </w:rPr>
            </w:pPr>
          </w:p>
        </w:tc>
        <w:tc>
          <w:tcPr>
            <w:tcW w:w="270" w:type="pct"/>
            <w:tcBorders>
              <w:bottom w:val="single" w:sz="12" w:space="0" w:color="000000"/>
            </w:tcBorders>
            <w:vAlign w:val="bottom"/>
          </w:tcPr>
          <w:p w14:paraId="4195ABD5" w14:textId="77777777" w:rsidR="00FB108F" w:rsidRPr="00852AC7" w:rsidRDefault="00FB108F">
            <w:pPr>
              <w:widowControl w:val="0"/>
              <w:pBdr>
                <w:top w:val="nil"/>
                <w:left w:val="nil"/>
                <w:bottom w:val="nil"/>
                <w:right w:val="nil"/>
                <w:between w:val="nil"/>
              </w:pBdr>
              <w:jc w:val="right"/>
              <w:rPr>
                <w:color w:val="000000"/>
                <w:szCs w:val="16"/>
              </w:rPr>
            </w:pPr>
          </w:p>
        </w:tc>
        <w:tc>
          <w:tcPr>
            <w:tcW w:w="297" w:type="pct"/>
            <w:tcBorders>
              <w:bottom w:val="single" w:sz="12" w:space="0" w:color="000000"/>
            </w:tcBorders>
            <w:vAlign w:val="bottom"/>
          </w:tcPr>
          <w:p w14:paraId="253F29F0" w14:textId="77777777" w:rsidR="00FB108F" w:rsidRPr="00852AC7" w:rsidRDefault="00FB108F">
            <w:pPr>
              <w:widowControl w:val="0"/>
              <w:pBdr>
                <w:top w:val="nil"/>
                <w:left w:val="nil"/>
                <w:bottom w:val="nil"/>
                <w:right w:val="nil"/>
                <w:between w:val="nil"/>
              </w:pBdr>
              <w:jc w:val="right"/>
              <w:rPr>
                <w:color w:val="000000"/>
                <w:szCs w:val="16"/>
              </w:rPr>
            </w:pPr>
          </w:p>
        </w:tc>
      </w:tr>
    </w:tbl>
    <w:p w14:paraId="7D12A6D6" w14:textId="74F13DE8" w:rsidR="00D83E33" w:rsidRPr="00302F88" w:rsidRDefault="00D83E33" w:rsidP="001B330E">
      <w:pPr>
        <w:pStyle w:val="red"/>
        <w:rPr>
          <w:i w:val="0"/>
          <w:sz w:val="16"/>
          <w:szCs w:val="16"/>
        </w:rPr>
        <w:sectPr w:rsidR="00D83E33" w:rsidRPr="00302F88" w:rsidSect="001B330E">
          <w:headerReference w:type="default" r:id="rId16"/>
          <w:pgSz w:w="16840" w:h="11907" w:orient="landscape"/>
          <w:pgMar w:top="1701" w:right="1418" w:bottom="851" w:left="1418" w:header="737" w:footer="567" w:gutter="0"/>
          <w:cols w:space="720"/>
          <w:docGrid w:linePitch="245"/>
        </w:sectPr>
      </w:pPr>
    </w:p>
    <w:tbl>
      <w:tblPr>
        <w:tblStyle w:val="a3"/>
        <w:tblW w:w="5000" w:type="pct"/>
        <w:tblLayout w:type="fixed"/>
        <w:tblLook w:val="0000" w:firstRow="0" w:lastRow="0" w:firstColumn="0" w:lastColumn="0" w:noHBand="0" w:noVBand="0"/>
      </w:tblPr>
      <w:tblGrid>
        <w:gridCol w:w="5672"/>
        <w:gridCol w:w="851"/>
        <w:gridCol w:w="1416"/>
        <w:gridCol w:w="1416"/>
      </w:tblGrid>
      <w:tr w:rsidR="00D83E33" w:rsidRPr="00852AC7" w14:paraId="4ADEF434" w14:textId="77777777" w:rsidTr="001B330E">
        <w:trPr>
          <w:trHeight w:val="23"/>
          <w:tblHeader/>
        </w:trPr>
        <w:tc>
          <w:tcPr>
            <w:tcW w:w="3030" w:type="pct"/>
            <w:tcBorders>
              <w:bottom w:val="single" w:sz="4" w:space="0" w:color="000000"/>
            </w:tcBorders>
            <w:vAlign w:val="bottom"/>
          </w:tcPr>
          <w:p w14:paraId="7BAD8B14" w14:textId="6CAE5C97" w:rsidR="00D83E33" w:rsidRPr="00852AC7" w:rsidRDefault="00313B4D" w:rsidP="001B330E">
            <w:pPr>
              <w:widowControl w:val="0"/>
              <w:pBdr>
                <w:top w:val="nil"/>
                <w:left w:val="nil"/>
                <w:bottom w:val="nil"/>
                <w:right w:val="nil"/>
                <w:between w:val="nil"/>
              </w:pBdr>
              <w:ind w:left="113" w:hanging="113"/>
              <w:rPr>
                <w:b/>
                <w:i/>
                <w:color w:val="000000"/>
              </w:rPr>
            </w:pPr>
            <w:r>
              <w:rPr>
                <w:i/>
                <w:color w:val="000000"/>
              </w:rPr>
              <w:lastRenderedPageBreak/>
              <w:t xml:space="preserve">In thousands of </w:t>
            </w:r>
            <w:r w:rsidR="002649EE">
              <w:rPr>
                <w:i/>
                <w:color w:val="000000"/>
              </w:rPr>
              <w:t>EUR</w:t>
            </w:r>
          </w:p>
        </w:tc>
        <w:tc>
          <w:tcPr>
            <w:tcW w:w="455" w:type="pct"/>
            <w:tcBorders>
              <w:bottom w:val="single" w:sz="4" w:space="0" w:color="000000"/>
            </w:tcBorders>
            <w:vAlign w:val="bottom"/>
          </w:tcPr>
          <w:p w14:paraId="4BBD6584" w14:textId="77777777" w:rsidR="00D83E33" w:rsidRPr="00852AC7" w:rsidRDefault="00BC4072">
            <w:pPr>
              <w:widowControl w:val="0"/>
              <w:pBdr>
                <w:top w:val="nil"/>
                <w:left w:val="nil"/>
                <w:bottom w:val="nil"/>
                <w:right w:val="nil"/>
                <w:between w:val="nil"/>
              </w:pBdr>
              <w:jc w:val="center"/>
              <w:rPr>
                <w:b/>
                <w:color w:val="000000"/>
              </w:rPr>
            </w:pPr>
            <w:r w:rsidRPr="00852AC7">
              <w:rPr>
                <w:b/>
                <w:color w:val="000000"/>
              </w:rPr>
              <w:t>Note</w:t>
            </w:r>
          </w:p>
        </w:tc>
        <w:tc>
          <w:tcPr>
            <w:tcW w:w="757" w:type="pct"/>
            <w:tcBorders>
              <w:bottom w:val="single" w:sz="4" w:space="0" w:color="000000"/>
            </w:tcBorders>
            <w:vAlign w:val="bottom"/>
          </w:tcPr>
          <w:p w14:paraId="3BEC5E7B" w14:textId="00EF6B22" w:rsidR="00D83E33" w:rsidRPr="00852AC7" w:rsidRDefault="00541EBC">
            <w:pPr>
              <w:widowControl w:val="0"/>
              <w:pBdr>
                <w:top w:val="nil"/>
                <w:left w:val="nil"/>
                <w:bottom w:val="nil"/>
                <w:right w:val="nil"/>
                <w:between w:val="nil"/>
              </w:pBdr>
              <w:jc w:val="right"/>
              <w:rPr>
                <w:b/>
                <w:color w:val="000000"/>
              </w:rPr>
            </w:pPr>
            <w:r>
              <w:rPr>
                <w:b/>
                <w:color w:val="000000"/>
              </w:rPr>
              <w:t>2024</w:t>
            </w:r>
          </w:p>
        </w:tc>
        <w:tc>
          <w:tcPr>
            <w:tcW w:w="757" w:type="pct"/>
            <w:tcBorders>
              <w:bottom w:val="single" w:sz="4" w:space="0" w:color="000000"/>
            </w:tcBorders>
            <w:vAlign w:val="bottom"/>
          </w:tcPr>
          <w:p w14:paraId="75F1733D" w14:textId="7BEDB9E2" w:rsidR="00D83E33" w:rsidRPr="00852AC7" w:rsidRDefault="00541EBC">
            <w:pPr>
              <w:widowControl w:val="0"/>
              <w:pBdr>
                <w:top w:val="nil"/>
                <w:left w:val="nil"/>
                <w:bottom w:val="nil"/>
                <w:right w:val="nil"/>
                <w:between w:val="nil"/>
              </w:pBdr>
              <w:jc w:val="right"/>
              <w:rPr>
                <w:b/>
                <w:color w:val="000000"/>
              </w:rPr>
            </w:pPr>
            <w:r>
              <w:rPr>
                <w:b/>
                <w:color w:val="000000"/>
              </w:rPr>
              <w:t>2023</w:t>
            </w:r>
          </w:p>
        </w:tc>
      </w:tr>
      <w:tr w:rsidR="00D83E33" w:rsidRPr="00852AC7" w14:paraId="5E90B44D" w14:textId="77777777" w:rsidTr="001B330E">
        <w:trPr>
          <w:trHeight w:val="23"/>
        </w:trPr>
        <w:tc>
          <w:tcPr>
            <w:tcW w:w="3030" w:type="pct"/>
            <w:vAlign w:val="bottom"/>
          </w:tcPr>
          <w:p w14:paraId="664B5145"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vAlign w:val="bottom"/>
          </w:tcPr>
          <w:p w14:paraId="7279B0DC"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4182DE3C"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54947671"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6518E36" w14:textId="77777777" w:rsidTr="001B330E">
        <w:trPr>
          <w:trHeight w:val="23"/>
        </w:trPr>
        <w:tc>
          <w:tcPr>
            <w:tcW w:w="3030" w:type="pct"/>
            <w:vAlign w:val="bottom"/>
          </w:tcPr>
          <w:p w14:paraId="7061D359"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Cash flows from operating activities</w:t>
            </w:r>
          </w:p>
        </w:tc>
        <w:tc>
          <w:tcPr>
            <w:tcW w:w="455" w:type="pct"/>
            <w:vAlign w:val="bottom"/>
          </w:tcPr>
          <w:p w14:paraId="73F5F451" w14:textId="77777777" w:rsidR="00D83E33" w:rsidRPr="00852AC7" w:rsidRDefault="00D83E33">
            <w:pPr>
              <w:widowControl w:val="0"/>
              <w:pBdr>
                <w:top w:val="nil"/>
                <w:left w:val="nil"/>
                <w:bottom w:val="nil"/>
                <w:right w:val="nil"/>
                <w:between w:val="nil"/>
              </w:pBdr>
              <w:jc w:val="center"/>
              <w:rPr>
                <w:b/>
                <w:color w:val="000000"/>
              </w:rPr>
            </w:pPr>
          </w:p>
        </w:tc>
        <w:tc>
          <w:tcPr>
            <w:tcW w:w="757" w:type="pct"/>
            <w:vAlign w:val="bottom"/>
          </w:tcPr>
          <w:p w14:paraId="3DAAB259"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5888E1F6"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6BBE269B" w14:textId="77777777" w:rsidTr="001B330E">
        <w:trPr>
          <w:trHeight w:val="23"/>
        </w:trPr>
        <w:tc>
          <w:tcPr>
            <w:tcW w:w="3030" w:type="pct"/>
            <w:vAlign w:val="bottom"/>
          </w:tcPr>
          <w:p w14:paraId="51C95A0D" w14:textId="63175A61" w:rsidR="00D83E33" w:rsidRPr="00852AC7" w:rsidRDefault="00BF7EA9" w:rsidP="001B330E">
            <w:pPr>
              <w:widowControl w:val="0"/>
              <w:pBdr>
                <w:top w:val="nil"/>
                <w:left w:val="nil"/>
                <w:bottom w:val="nil"/>
                <w:right w:val="nil"/>
                <w:between w:val="nil"/>
              </w:pBdr>
              <w:ind w:left="113" w:hanging="113"/>
              <w:rPr>
                <w:color w:val="000000"/>
              </w:rPr>
            </w:pPr>
            <w:r w:rsidRPr="00BF7EA9">
              <w:rPr>
                <w:color w:val="000000"/>
              </w:rPr>
              <w:t>Interest income received, excluding interest income on investments in debt securities</w:t>
            </w:r>
          </w:p>
        </w:tc>
        <w:tc>
          <w:tcPr>
            <w:tcW w:w="455" w:type="pct"/>
            <w:vAlign w:val="bottom"/>
          </w:tcPr>
          <w:p w14:paraId="3490738C"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24AD9EFF"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33B96E0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8B25299" w14:textId="77777777" w:rsidTr="001B330E">
        <w:trPr>
          <w:trHeight w:val="23"/>
        </w:trPr>
        <w:tc>
          <w:tcPr>
            <w:tcW w:w="3030" w:type="pct"/>
            <w:vAlign w:val="bottom"/>
          </w:tcPr>
          <w:p w14:paraId="78DBE70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Interest income received on investments at fair value through profit or loss</w:t>
            </w:r>
          </w:p>
        </w:tc>
        <w:tc>
          <w:tcPr>
            <w:tcW w:w="455" w:type="pct"/>
            <w:vAlign w:val="bottom"/>
          </w:tcPr>
          <w:p w14:paraId="273A7512"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8AA0DAE"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7EDB936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663C06C" w14:textId="77777777" w:rsidTr="001B330E">
        <w:trPr>
          <w:trHeight w:val="23"/>
        </w:trPr>
        <w:tc>
          <w:tcPr>
            <w:tcW w:w="3030" w:type="pct"/>
            <w:vAlign w:val="bottom"/>
          </w:tcPr>
          <w:p w14:paraId="7C178761" w14:textId="3819B5EF"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xml:space="preserve">Interest paid </w:t>
            </w:r>
          </w:p>
        </w:tc>
        <w:tc>
          <w:tcPr>
            <w:tcW w:w="455" w:type="pct"/>
            <w:vAlign w:val="bottom"/>
          </w:tcPr>
          <w:p w14:paraId="2DB17F3D"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D6B0953"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5E51778A"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9D5D898" w14:textId="77777777" w:rsidTr="001B330E">
        <w:trPr>
          <w:trHeight w:val="23"/>
        </w:trPr>
        <w:tc>
          <w:tcPr>
            <w:tcW w:w="3030" w:type="pct"/>
            <w:vAlign w:val="bottom"/>
          </w:tcPr>
          <w:p w14:paraId="6BD9E086"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Other similar income paid</w:t>
            </w:r>
          </w:p>
        </w:tc>
        <w:tc>
          <w:tcPr>
            <w:tcW w:w="455" w:type="pct"/>
            <w:vAlign w:val="bottom"/>
          </w:tcPr>
          <w:p w14:paraId="20876719"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58AEBA6"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3D7EF04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6B678AD" w14:textId="77777777" w:rsidTr="001B330E">
        <w:trPr>
          <w:trHeight w:val="23"/>
        </w:trPr>
        <w:tc>
          <w:tcPr>
            <w:tcW w:w="3030" w:type="pct"/>
            <w:vAlign w:val="bottom"/>
          </w:tcPr>
          <w:p w14:paraId="2BE32D8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Fees and commissions received</w:t>
            </w:r>
          </w:p>
        </w:tc>
        <w:tc>
          <w:tcPr>
            <w:tcW w:w="455" w:type="pct"/>
            <w:vAlign w:val="bottom"/>
          </w:tcPr>
          <w:p w14:paraId="4555E2D1"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AEB38CE"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7CEEF83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978D6FD" w14:textId="77777777" w:rsidTr="001B330E">
        <w:trPr>
          <w:trHeight w:val="23"/>
        </w:trPr>
        <w:tc>
          <w:tcPr>
            <w:tcW w:w="3030" w:type="pct"/>
            <w:vAlign w:val="bottom"/>
          </w:tcPr>
          <w:p w14:paraId="51408559"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Fees and commissions paid</w:t>
            </w:r>
          </w:p>
        </w:tc>
        <w:tc>
          <w:tcPr>
            <w:tcW w:w="455" w:type="pct"/>
            <w:vAlign w:val="bottom"/>
          </w:tcPr>
          <w:p w14:paraId="334894F4"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2872485"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1590A78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A9C6215" w14:textId="77777777" w:rsidTr="001B330E">
        <w:trPr>
          <w:trHeight w:val="23"/>
        </w:trPr>
        <w:tc>
          <w:tcPr>
            <w:tcW w:w="3030" w:type="pct"/>
            <w:vAlign w:val="bottom"/>
          </w:tcPr>
          <w:p w14:paraId="5BDCA809"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Income received from trading in trading securities</w:t>
            </w:r>
          </w:p>
        </w:tc>
        <w:tc>
          <w:tcPr>
            <w:tcW w:w="455" w:type="pct"/>
            <w:vAlign w:val="bottom"/>
          </w:tcPr>
          <w:p w14:paraId="3B275256"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6E8E8AC0"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6D6DDBF6"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BD7F0A2" w14:textId="77777777" w:rsidTr="001B330E">
        <w:trPr>
          <w:trHeight w:val="23"/>
        </w:trPr>
        <w:tc>
          <w:tcPr>
            <w:tcW w:w="3030" w:type="pct"/>
            <w:vAlign w:val="bottom"/>
          </w:tcPr>
          <w:p w14:paraId="4C6B80E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Income received from financial derivatives</w:t>
            </w:r>
          </w:p>
        </w:tc>
        <w:tc>
          <w:tcPr>
            <w:tcW w:w="455" w:type="pct"/>
            <w:vAlign w:val="bottom"/>
          </w:tcPr>
          <w:p w14:paraId="533C8CAF"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54EDF7F4"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484E387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0EA28BD" w14:textId="77777777" w:rsidTr="001B330E">
        <w:trPr>
          <w:trHeight w:val="23"/>
        </w:trPr>
        <w:tc>
          <w:tcPr>
            <w:tcW w:w="3030" w:type="pct"/>
            <w:vAlign w:val="bottom"/>
          </w:tcPr>
          <w:p w14:paraId="26376FCA"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Income received from trading in foreign currencies</w:t>
            </w:r>
          </w:p>
        </w:tc>
        <w:tc>
          <w:tcPr>
            <w:tcW w:w="455" w:type="pct"/>
            <w:vAlign w:val="bottom"/>
          </w:tcPr>
          <w:p w14:paraId="37C85274"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1B0FFD37"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4F71EEFC"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66F17FE" w14:textId="77777777" w:rsidTr="001B330E">
        <w:trPr>
          <w:trHeight w:val="23"/>
        </w:trPr>
        <w:tc>
          <w:tcPr>
            <w:tcW w:w="3030" w:type="pct"/>
            <w:vAlign w:val="bottom"/>
          </w:tcPr>
          <w:p w14:paraId="1229C9C8"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Other operating income received</w:t>
            </w:r>
          </w:p>
        </w:tc>
        <w:tc>
          <w:tcPr>
            <w:tcW w:w="455" w:type="pct"/>
            <w:vAlign w:val="bottom"/>
          </w:tcPr>
          <w:p w14:paraId="682EBF71"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64733E52"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342ABBB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8FE4E31" w14:textId="77777777" w:rsidTr="001B330E">
        <w:trPr>
          <w:trHeight w:val="23"/>
        </w:trPr>
        <w:tc>
          <w:tcPr>
            <w:tcW w:w="3030" w:type="pct"/>
            <w:vAlign w:val="bottom"/>
          </w:tcPr>
          <w:p w14:paraId="4EF848EF"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Proceeds from sale of assets previously leased to customers</w:t>
            </w:r>
          </w:p>
        </w:tc>
        <w:tc>
          <w:tcPr>
            <w:tcW w:w="455" w:type="pct"/>
            <w:vAlign w:val="bottom"/>
          </w:tcPr>
          <w:p w14:paraId="2612D49D"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3B735211"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5220378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E2A0816" w14:textId="77777777" w:rsidTr="001B330E">
        <w:trPr>
          <w:trHeight w:val="23"/>
        </w:trPr>
        <w:tc>
          <w:tcPr>
            <w:tcW w:w="3030" w:type="pct"/>
            <w:vAlign w:val="bottom"/>
          </w:tcPr>
          <w:p w14:paraId="0F0A9116"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Staff costs paid</w:t>
            </w:r>
          </w:p>
        </w:tc>
        <w:tc>
          <w:tcPr>
            <w:tcW w:w="455" w:type="pct"/>
            <w:vAlign w:val="bottom"/>
          </w:tcPr>
          <w:p w14:paraId="236C9FF5"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19413EDE"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77157B59"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6AA4AE6" w14:textId="77777777" w:rsidTr="001B330E">
        <w:trPr>
          <w:trHeight w:val="23"/>
        </w:trPr>
        <w:tc>
          <w:tcPr>
            <w:tcW w:w="3030" w:type="pct"/>
            <w:vAlign w:val="bottom"/>
          </w:tcPr>
          <w:p w14:paraId="7D84E61E" w14:textId="65E0F08E" w:rsidR="00D83E33" w:rsidRPr="00852AC7" w:rsidRDefault="00BC4072" w:rsidP="001B330E">
            <w:pPr>
              <w:widowControl w:val="0"/>
              <w:pBdr>
                <w:top w:val="nil"/>
                <w:left w:val="nil"/>
                <w:bottom w:val="nil"/>
                <w:right w:val="nil"/>
                <w:between w:val="nil"/>
              </w:pBdr>
              <w:ind w:left="113" w:hanging="113"/>
              <w:rPr>
                <w:i/>
                <w:color w:val="000000"/>
              </w:rPr>
            </w:pPr>
            <w:r w:rsidRPr="00852AC7">
              <w:rPr>
                <w:color w:val="000000"/>
              </w:rPr>
              <w:t xml:space="preserve">Administrative and other operating expenses paid </w:t>
            </w:r>
          </w:p>
        </w:tc>
        <w:tc>
          <w:tcPr>
            <w:tcW w:w="455" w:type="pct"/>
            <w:vAlign w:val="bottom"/>
          </w:tcPr>
          <w:p w14:paraId="6E7CFA97"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4BA6700F"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4B25DD5E"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B3AF9DF" w14:textId="77777777" w:rsidTr="001B330E">
        <w:trPr>
          <w:trHeight w:val="23"/>
        </w:trPr>
        <w:tc>
          <w:tcPr>
            <w:tcW w:w="3030" w:type="pct"/>
            <w:vAlign w:val="bottom"/>
          </w:tcPr>
          <w:p w14:paraId="4E0814AC"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Income tax paid</w:t>
            </w:r>
          </w:p>
        </w:tc>
        <w:tc>
          <w:tcPr>
            <w:tcW w:w="455" w:type="pct"/>
            <w:vAlign w:val="bottom"/>
          </w:tcPr>
          <w:p w14:paraId="270DF064"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5CCBE100"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1483B171"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6B4EA25" w14:textId="77777777" w:rsidTr="001B330E">
        <w:trPr>
          <w:trHeight w:val="23"/>
        </w:trPr>
        <w:tc>
          <w:tcPr>
            <w:tcW w:w="3030" w:type="pct"/>
            <w:tcBorders>
              <w:bottom w:val="single" w:sz="4" w:space="0" w:color="000000"/>
            </w:tcBorders>
            <w:vAlign w:val="bottom"/>
          </w:tcPr>
          <w:p w14:paraId="40908DDE"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4" w:space="0" w:color="000000"/>
            </w:tcBorders>
            <w:vAlign w:val="bottom"/>
          </w:tcPr>
          <w:p w14:paraId="049F5DC9"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4" w:space="0" w:color="000000"/>
            </w:tcBorders>
            <w:vAlign w:val="bottom"/>
          </w:tcPr>
          <w:p w14:paraId="70DD9D37" w14:textId="77777777" w:rsidR="00D83E33" w:rsidRPr="00852AC7" w:rsidRDefault="00D83E33">
            <w:pPr>
              <w:widowControl w:val="0"/>
              <w:pBdr>
                <w:top w:val="nil"/>
                <w:left w:val="nil"/>
                <w:bottom w:val="nil"/>
                <w:right w:val="nil"/>
                <w:between w:val="nil"/>
              </w:pBdr>
              <w:jc w:val="right"/>
              <w:rPr>
                <w:color w:val="000000"/>
              </w:rPr>
            </w:pPr>
          </w:p>
        </w:tc>
        <w:tc>
          <w:tcPr>
            <w:tcW w:w="757" w:type="pct"/>
            <w:tcBorders>
              <w:bottom w:val="single" w:sz="4" w:space="0" w:color="000000"/>
            </w:tcBorders>
            <w:vAlign w:val="bottom"/>
          </w:tcPr>
          <w:p w14:paraId="00E545D7"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8512B31" w14:textId="77777777" w:rsidTr="001B330E">
        <w:trPr>
          <w:trHeight w:val="23"/>
        </w:trPr>
        <w:tc>
          <w:tcPr>
            <w:tcW w:w="3030" w:type="pct"/>
            <w:vAlign w:val="bottom"/>
          </w:tcPr>
          <w:p w14:paraId="1587919E"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vAlign w:val="bottom"/>
          </w:tcPr>
          <w:p w14:paraId="0CEA294D"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E3F2CB8"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28A335BC"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0A3084E" w14:textId="77777777" w:rsidTr="001B330E">
        <w:trPr>
          <w:trHeight w:val="23"/>
        </w:trPr>
        <w:tc>
          <w:tcPr>
            <w:tcW w:w="3030" w:type="pct"/>
            <w:vAlign w:val="bottom"/>
          </w:tcPr>
          <w:p w14:paraId="7CF2AB9F"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Cash flows from/(used in) operating activities before changes in operating assets and liabilities</w:t>
            </w:r>
          </w:p>
        </w:tc>
        <w:tc>
          <w:tcPr>
            <w:tcW w:w="455" w:type="pct"/>
            <w:vAlign w:val="bottom"/>
          </w:tcPr>
          <w:p w14:paraId="04AEF524" w14:textId="77777777" w:rsidR="00D83E33" w:rsidRPr="00852AC7" w:rsidRDefault="00D83E33">
            <w:pPr>
              <w:widowControl w:val="0"/>
              <w:pBdr>
                <w:top w:val="nil"/>
                <w:left w:val="nil"/>
                <w:bottom w:val="nil"/>
                <w:right w:val="nil"/>
                <w:between w:val="nil"/>
              </w:pBdr>
              <w:jc w:val="center"/>
              <w:rPr>
                <w:b/>
                <w:color w:val="000000"/>
              </w:rPr>
            </w:pPr>
          </w:p>
        </w:tc>
        <w:tc>
          <w:tcPr>
            <w:tcW w:w="757" w:type="pct"/>
            <w:vAlign w:val="bottom"/>
          </w:tcPr>
          <w:p w14:paraId="46FF1BA7"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43D4AAA3"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207701E7" w14:textId="77777777" w:rsidTr="001B330E">
        <w:trPr>
          <w:trHeight w:val="23"/>
        </w:trPr>
        <w:tc>
          <w:tcPr>
            <w:tcW w:w="3030" w:type="pct"/>
            <w:tcBorders>
              <w:bottom w:val="single" w:sz="4" w:space="0" w:color="000000"/>
            </w:tcBorders>
            <w:vAlign w:val="bottom"/>
          </w:tcPr>
          <w:p w14:paraId="1982710E"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4" w:space="0" w:color="000000"/>
            </w:tcBorders>
            <w:vAlign w:val="bottom"/>
          </w:tcPr>
          <w:p w14:paraId="3C37DBF6"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4" w:space="0" w:color="000000"/>
            </w:tcBorders>
            <w:vAlign w:val="bottom"/>
          </w:tcPr>
          <w:p w14:paraId="45FE36D9" w14:textId="77777777" w:rsidR="00D83E33" w:rsidRPr="00852AC7" w:rsidRDefault="00D83E33">
            <w:pPr>
              <w:widowControl w:val="0"/>
              <w:pBdr>
                <w:top w:val="nil"/>
                <w:left w:val="nil"/>
                <w:bottom w:val="nil"/>
                <w:right w:val="nil"/>
                <w:between w:val="nil"/>
              </w:pBdr>
              <w:jc w:val="right"/>
              <w:rPr>
                <w:b/>
                <w:color w:val="000000"/>
              </w:rPr>
            </w:pPr>
          </w:p>
        </w:tc>
        <w:tc>
          <w:tcPr>
            <w:tcW w:w="757" w:type="pct"/>
            <w:tcBorders>
              <w:bottom w:val="single" w:sz="4" w:space="0" w:color="000000"/>
            </w:tcBorders>
            <w:vAlign w:val="bottom"/>
          </w:tcPr>
          <w:p w14:paraId="448AEB70"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0B68D185" w14:textId="77777777" w:rsidTr="001B330E">
        <w:trPr>
          <w:trHeight w:val="23"/>
        </w:trPr>
        <w:tc>
          <w:tcPr>
            <w:tcW w:w="3030" w:type="pct"/>
            <w:tcBorders>
              <w:top w:val="single" w:sz="4" w:space="0" w:color="000000"/>
            </w:tcBorders>
            <w:vAlign w:val="bottom"/>
          </w:tcPr>
          <w:p w14:paraId="1090C912"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top w:val="single" w:sz="4" w:space="0" w:color="000000"/>
            </w:tcBorders>
            <w:vAlign w:val="bottom"/>
          </w:tcPr>
          <w:p w14:paraId="1D7E7C53"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top w:val="single" w:sz="4" w:space="0" w:color="000000"/>
            </w:tcBorders>
            <w:vAlign w:val="bottom"/>
          </w:tcPr>
          <w:p w14:paraId="18744C41" w14:textId="77777777" w:rsidR="00D83E33" w:rsidRPr="00852AC7" w:rsidRDefault="00D83E33">
            <w:pPr>
              <w:widowControl w:val="0"/>
              <w:pBdr>
                <w:top w:val="nil"/>
                <w:left w:val="nil"/>
                <w:bottom w:val="nil"/>
                <w:right w:val="nil"/>
                <w:between w:val="nil"/>
              </w:pBdr>
              <w:jc w:val="right"/>
              <w:rPr>
                <w:b/>
                <w:color w:val="000000"/>
              </w:rPr>
            </w:pPr>
          </w:p>
        </w:tc>
        <w:tc>
          <w:tcPr>
            <w:tcW w:w="757" w:type="pct"/>
            <w:tcBorders>
              <w:top w:val="single" w:sz="4" w:space="0" w:color="000000"/>
            </w:tcBorders>
            <w:vAlign w:val="bottom"/>
          </w:tcPr>
          <w:p w14:paraId="409E13C2"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510ECD3D" w14:textId="77777777" w:rsidTr="001B330E">
        <w:trPr>
          <w:trHeight w:val="23"/>
        </w:trPr>
        <w:tc>
          <w:tcPr>
            <w:tcW w:w="3030" w:type="pct"/>
            <w:vAlign w:val="bottom"/>
          </w:tcPr>
          <w:p w14:paraId="4F3A9F33" w14:textId="77777777" w:rsidR="00D83E33" w:rsidRPr="00852AC7" w:rsidRDefault="00BC4072" w:rsidP="001B330E">
            <w:pPr>
              <w:widowControl w:val="0"/>
              <w:pBdr>
                <w:top w:val="nil"/>
                <w:left w:val="nil"/>
                <w:bottom w:val="nil"/>
                <w:right w:val="nil"/>
                <w:between w:val="nil"/>
              </w:pBdr>
              <w:ind w:left="113" w:hanging="113"/>
              <w:rPr>
                <w:i/>
                <w:color w:val="000000"/>
              </w:rPr>
            </w:pPr>
            <w:r w:rsidRPr="00852AC7">
              <w:rPr>
                <w:i/>
                <w:color w:val="000000"/>
              </w:rPr>
              <w:t>Net (increase)/decrease in:</w:t>
            </w:r>
          </w:p>
        </w:tc>
        <w:tc>
          <w:tcPr>
            <w:tcW w:w="455" w:type="pct"/>
            <w:vAlign w:val="bottom"/>
          </w:tcPr>
          <w:p w14:paraId="16FA5719" w14:textId="77777777" w:rsidR="00D83E33" w:rsidRPr="00852AC7" w:rsidRDefault="00D83E33">
            <w:pPr>
              <w:widowControl w:val="0"/>
              <w:pBdr>
                <w:top w:val="nil"/>
                <w:left w:val="nil"/>
                <w:bottom w:val="nil"/>
                <w:right w:val="nil"/>
                <w:between w:val="nil"/>
              </w:pBdr>
              <w:jc w:val="center"/>
              <w:rPr>
                <w:i/>
                <w:color w:val="000000"/>
              </w:rPr>
            </w:pPr>
          </w:p>
        </w:tc>
        <w:tc>
          <w:tcPr>
            <w:tcW w:w="757" w:type="pct"/>
            <w:vAlign w:val="bottom"/>
          </w:tcPr>
          <w:p w14:paraId="1CEC1F51" w14:textId="77777777" w:rsidR="00D83E33" w:rsidRPr="00852AC7" w:rsidRDefault="00D83E33">
            <w:pPr>
              <w:widowControl w:val="0"/>
              <w:pBdr>
                <w:top w:val="nil"/>
                <w:left w:val="nil"/>
                <w:bottom w:val="nil"/>
                <w:right w:val="nil"/>
                <w:between w:val="nil"/>
              </w:pBdr>
              <w:jc w:val="right"/>
              <w:rPr>
                <w:i/>
                <w:color w:val="000000"/>
              </w:rPr>
            </w:pPr>
          </w:p>
        </w:tc>
        <w:tc>
          <w:tcPr>
            <w:tcW w:w="757" w:type="pct"/>
            <w:vAlign w:val="bottom"/>
          </w:tcPr>
          <w:p w14:paraId="297A39F9" w14:textId="77777777" w:rsidR="00D83E33" w:rsidRPr="00852AC7" w:rsidRDefault="00D83E33">
            <w:pPr>
              <w:widowControl w:val="0"/>
              <w:pBdr>
                <w:top w:val="nil"/>
                <w:left w:val="nil"/>
                <w:bottom w:val="nil"/>
                <w:right w:val="nil"/>
                <w:between w:val="nil"/>
              </w:pBdr>
              <w:jc w:val="right"/>
              <w:rPr>
                <w:i/>
                <w:color w:val="000000"/>
              </w:rPr>
            </w:pPr>
          </w:p>
        </w:tc>
      </w:tr>
      <w:tr w:rsidR="00D83E33" w:rsidRPr="00852AC7" w14:paraId="3D7F81EA" w14:textId="77777777" w:rsidTr="001B330E">
        <w:trPr>
          <w:trHeight w:val="23"/>
        </w:trPr>
        <w:tc>
          <w:tcPr>
            <w:tcW w:w="3030" w:type="pct"/>
            <w:shd w:val="clear" w:color="auto" w:fill="auto"/>
            <w:vAlign w:val="bottom"/>
          </w:tcPr>
          <w:p w14:paraId="3FE47773"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investments in debt securities at fair value through profit or loss</w:t>
            </w:r>
          </w:p>
        </w:tc>
        <w:tc>
          <w:tcPr>
            <w:tcW w:w="455" w:type="pct"/>
            <w:shd w:val="clear" w:color="auto" w:fill="auto"/>
            <w:vAlign w:val="bottom"/>
          </w:tcPr>
          <w:p w14:paraId="3AC74BE6" w14:textId="77777777" w:rsidR="00D83E33" w:rsidRPr="00852AC7" w:rsidRDefault="00D83E33">
            <w:pPr>
              <w:widowControl w:val="0"/>
              <w:pBdr>
                <w:top w:val="nil"/>
                <w:left w:val="nil"/>
                <w:bottom w:val="nil"/>
                <w:right w:val="nil"/>
                <w:between w:val="nil"/>
              </w:pBdr>
              <w:jc w:val="center"/>
              <w:rPr>
                <w:color w:val="000000"/>
              </w:rPr>
            </w:pPr>
          </w:p>
        </w:tc>
        <w:tc>
          <w:tcPr>
            <w:tcW w:w="757" w:type="pct"/>
            <w:shd w:val="clear" w:color="auto" w:fill="auto"/>
            <w:vAlign w:val="bottom"/>
          </w:tcPr>
          <w:p w14:paraId="0AB77739" w14:textId="77777777" w:rsidR="00D83E33" w:rsidRPr="00852AC7"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3B656FD1" w14:textId="77777777" w:rsidR="00D83E33" w:rsidRPr="00852AC7" w:rsidRDefault="00BC4072">
            <w:pPr>
              <w:widowControl w:val="0"/>
              <w:pBdr>
                <w:top w:val="nil"/>
                <w:left w:val="nil"/>
                <w:bottom w:val="nil"/>
                <w:right w:val="nil"/>
                <w:between w:val="nil"/>
              </w:pBdr>
              <w:jc w:val="right"/>
              <w:rPr>
                <w:color w:val="000000"/>
              </w:rPr>
            </w:pPr>
            <w:r w:rsidRPr="00852AC7">
              <w:rPr>
                <w:color w:val="000000"/>
              </w:rPr>
              <w:t>-</w:t>
            </w:r>
          </w:p>
        </w:tc>
      </w:tr>
      <w:tr w:rsidR="00D83E33" w:rsidRPr="00852AC7" w14:paraId="3B7B3A87" w14:textId="77777777" w:rsidTr="001B330E">
        <w:trPr>
          <w:trHeight w:val="23"/>
        </w:trPr>
        <w:tc>
          <w:tcPr>
            <w:tcW w:w="3030" w:type="pct"/>
            <w:shd w:val="clear" w:color="auto" w:fill="auto"/>
            <w:vAlign w:val="bottom"/>
          </w:tcPr>
          <w:p w14:paraId="5FA7B171"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investments in equity securities at fair value through profit or loss</w:t>
            </w:r>
          </w:p>
        </w:tc>
        <w:tc>
          <w:tcPr>
            <w:tcW w:w="455" w:type="pct"/>
            <w:shd w:val="clear" w:color="auto" w:fill="auto"/>
            <w:vAlign w:val="bottom"/>
          </w:tcPr>
          <w:p w14:paraId="3F4F282C" w14:textId="77777777" w:rsidR="00D83E33" w:rsidRPr="00852AC7" w:rsidRDefault="00D83E33">
            <w:pPr>
              <w:widowControl w:val="0"/>
              <w:pBdr>
                <w:top w:val="nil"/>
                <w:left w:val="nil"/>
                <w:bottom w:val="nil"/>
                <w:right w:val="nil"/>
                <w:between w:val="nil"/>
              </w:pBdr>
              <w:jc w:val="center"/>
              <w:rPr>
                <w:color w:val="000000"/>
              </w:rPr>
            </w:pPr>
          </w:p>
        </w:tc>
        <w:tc>
          <w:tcPr>
            <w:tcW w:w="757" w:type="pct"/>
            <w:shd w:val="clear" w:color="auto" w:fill="auto"/>
            <w:vAlign w:val="bottom"/>
          </w:tcPr>
          <w:p w14:paraId="5AC4FDF1" w14:textId="77777777" w:rsidR="00D83E33" w:rsidRPr="00852AC7"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524EFE36" w14:textId="77777777" w:rsidR="00D83E33" w:rsidRPr="00852AC7" w:rsidRDefault="00BC4072">
            <w:pPr>
              <w:widowControl w:val="0"/>
              <w:pBdr>
                <w:top w:val="nil"/>
                <w:left w:val="nil"/>
                <w:bottom w:val="nil"/>
                <w:right w:val="nil"/>
                <w:between w:val="nil"/>
              </w:pBdr>
              <w:jc w:val="right"/>
              <w:rPr>
                <w:color w:val="000000"/>
              </w:rPr>
            </w:pPr>
            <w:r w:rsidRPr="00852AC7">
              <w:rPr>
                <w:color w:val="000000"/>
              </w:rPr>
              <w:t>-</w:t>
            </w:r>
          </w:p>
        </w:tc>
      </w:tr>
      <w:tr w:rsidR="00D83E33" w:rsidRPr="00852AC7" w14:paraId="6BC6BBC5" w14:textId="77777777" w:rsidTr="001B330E">
        <w:trPr>
          <w:trHeight w:val="23"/>
        </w:trPr>
        <w:tc>
          <w:tcPr>
            <w:tcW w:w="3030" w:type="pct"/>
            <w:vAlign w:val="bottom"/>
          </w:tcPr>
          <w:p w14:paraId="01812FE1"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due from other banks</w:t>
            </w:r>
          </w:p>
        </w:tc>
        <w:tc>
          <w:tcPr>
            <w:tcW w:w="455" w:type="pct"/>
            <w:vAlign w:val="bottom"/>
          </w:tcPr>
          <w:p w14:paraId="54166E41"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7B909132"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741F31C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13C9C2F" w14:textId="77777777" w:rsidTr="001B330E">
        <w:trPr>
          <w:trHeight w:val="23"/>
        </w:trPr>
        <w:tc>
          <w:tcPr>
            <w:tcW w:w="3030" w:type="pct"/>
            <w:vAlign w:val="bottom"/>
          </w:tcPr>
          <w:p w14:paraId="421E7239"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loans and advances to customers</w:t>
            </w:r>
          </w:p>
        </w:tc>
        <w:tc>
          <w:tcPr>
            <w:tcW w:w="455" w:type="pct"/>
            <w:vAlign w:val="bottom"/>
          </w:tcPr>
          <w:p w14:paraId="2510BFB6"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E977C24"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64822E71"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A015EB4" w14:textId="77777777" w:rsidTr="001B330E">
        <w:trPr>
          <w:trHeight w:val="23"/>
        </w:trPr>
        <w:tc>
          <w:tcPr>
            <w:tcW w:w="3030" w:type="pct"/>
            <w:vAlign w:val="bottom"/>
          </w:tcPr>
          <w:p w14:paraId="3D40AFEF"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repurchase receivables</w:t>
            </w:r>
          </w:p>
        </w:tc>
        <w:tc>
          <w:tcPr>
            <w:tcW w:w="455" w:type="pct"/>
            <w:vAlign w:val="bottom"/>
          </w:tcPr>
          <w:p w14:paraId="75AA3D36"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1EFB3535"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2634FE0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7C8D5B4" w14:textId="77777777" w:rsidTr="001B330E">
        <w:trPr>
          <w:trHeight w:val="23"/>
        </w:trPr>
        <w:tc>
          <w:tcPr>
            <w:tcW w:w="3030" w:type="pct"/>
            <w:vAlign w:val="bottom"/>
          </w:tcPr>
          <w:p w14:paraId="019B0047"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other financial assets</w:t>
            </w:r>
            <w:r w:rsidR="00651AE0" w:rsidRPr="00852AC7">
              <w:rPr>
                <w:color w:val="000000"/>
              </w:rPr>
              <w:t xml:space="preserve"> </w:t>
            </w:r>
          </w:p>
        </w:tc>
        <w:tc>
          <w:tcPr>
            <w:tcW w:w="455" w:type="pct"/>
            <w:vAlign w:val="bottom"/>
          </w:tcPr>
          <w:p w14:paraId="326651F3"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1A62ACED"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5690B05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A84C691" w14:textId="77777777" w:rsidTr="001B330E">
        <w:trPr>
          <w:trHeight w:val="23"/>
        </w:trPr>
        <w:tc>
          <w:tcPr>
            <w:tcW w:w="3030" w:type="pct"/>
            <w:vAlign w:val="bottom"/>
          </w:tcPr>
          <w:p w14:paraId="3EBB1416"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other assets</w:t>
            </w:r>
          </w:p>
        </w:tc>
        <w:tc>
          <w:tcPr>
            <w:tcW w:w="455" w:type="pct"/>
            <w:vAlign w:val="bottom"/>
          </w:tcPr>
          <w:p w14:paraId="29FE6497"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1F65AB1B"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1A61F1C5"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CFD3588" w14:textId="77777777" w:rsidTr="001B330E">
        <w:trPr>
          <w:trHeight w:val="23"/>
        </w:trPr>
        <w:tc>
          <w:tcPr>
            <w:tcW w:w="3030" w:type="pct"/>
            <w:vAlign w:val="bottom"/>
          </w:tcPr>
          <w:p w14:paraId="12C284C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w:t>
            </w:r>
          </w:p>
        </w:tc>
        <w:tc>
          <w:tcPr>
            <w:tcW w:w="455" w:type="pct"/>
            <w:vAlign w:val="bottom"/>
          </w:tcPr>
          <w:p w14:paraId="4B6C0FBF"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BA4E33D"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4FAE4E4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B0A2521" w14:textId="77777777" w:rsidTr="001B330E">
        <w:trPr>
          <w:trHeight w:val="23"/>
        </w:trPr>
        <w:tc>
          <w:tcPr>
            <w:tcW w:w="3030" w:type="pct"/>
            <w:vAlign w:val="bottom"/>
          </w:tcPr>
          <w:p w14:paraId="48FB9067" w14:textId="77777777" w:rsidR="00D83E33" w:rsidRPr="00852AC7" w:rsidRDefault="00BC4072" w:rsidP="001B330E">
            <w:pPr>
              <w:widowControl w:val="0"/>
              <w:pBdr>
                <w:top w:val="nil"/>
                <w:left w:val="nil"/>
                <w:bottom w:val="nil"/>
                <w:right w:val="nil"/>
                <w:between w:val="nil"/>
              </w:pBdr>
              <w:ind w:left="113" w:hanging="113"/>
              <w:rPr>
                <w:i/>
                <w:color w:val="000000"/>
              </w:rPr>
            </w:pPr>
            <w:r w:rsidRPr="00852AC7">
              <w:rPr>
                <w:i/>
                <w:color w:val="000000"/>
              </w:rPr>
              <w:t>Net increase/(decrease) in:</w:t>
            </w:r>
          </w:p>
        </w:tc>
        <w:tc>
          <w:tcPr>
            <w:tcW w:w="455" w:type="pct"/>
            <w:vAlign w:val="bottom"/>
          </w:tcPr>
          <w:p w14:paraId="75DF8BC4" w14:textId="77777777" w:rsidR="00D83E33" w:rsidRPr="00852AC7" w:rsidRDefault="00D83E33">
            <w:pPr>
              <w:widowControl w:val="0"/>
              <w:pBdr>
                <w:top w:val="nil"/>
                <w:left w:val="nil"/>
                <w:bottom w:val="nil"/>
                <w:right w:val="nil"/>
                <w:between w:val="nil"/>
              </w:pBdr>
              <w:jc w:val="center"/>
              <w:rPr>
                <w:i/>
                <w:color w:val="000000"/>
              </w:rPr>
            </w:pPr>
          </w:p>
        </w:tc>
        <w:tc>
          <w:tcPr>
            <w:tcW w:w="757" w:type="pct"/>
            <w:vAlign w:val="bottom"/>
          </w:tcPr>
          <w:p w14:paraId="1C01E1EE" w14:textId="77777777" w:rsidR="00D83E33" w:rsidRPr="00852AC7" w:rsidRDefault="00D83E33">
            <w:pPr>
              <w:widowControl w:val="0"/>
              <w:pBdr>
                <w:top w:val="nil"/>
                <w:left w:val="nil"/>
                <w:bottom w:val="nil"/>
                <w:right w:val="nil"/>
                <w:between w:val="nil"/>
              </w:pBdr>
              <w:jc w:val="right"/>
              <w:rPr>
                <w:i/>
                <w:color w:val="000000"/>
              </w:rPr>
            </w:pPr>
          </w:p>
        </w:tc>
        <w:tc>
          <w:tcPr>
            <w:tcW w:w="757" w:type="pct"/>
            <w:vAlign w:val="bottom"/>
          </w:tcPr>
          <w:p w14:paraId="0F452787" w14:textId="77777777" w:rsidR="00D83E33" w:rsidRPr="00852AC7" w:rsidRDefault="00D83E33">
            <w:pPr>
              <w:widowControl w:val="0"/>
              <w:pBdr>
                <w:top w:val="nil"/>
                <w:left w:val="nil"/>
                <w:bottom w:val="nil"/>
                <w:right w:val="nil"/>
                <w:between w:val="nil"/>
              </w:pBdr>
              <w:jc w:val="right"/>
              <w:rPr>
                <w:i/>
                <w:color w:val="000000"/>
              </w:rPr>
            </w:pPr>
          </w:p>
        </w:tc>
      </w:tr>
      <w:tr w:rsidR="00D83E33" w:rsidRPr="00852AC7" w14:paraId="45567DBA" w14:textId="77777777" w:rsidTr="001B330E">
        <w:trPr>
          <w:trHeight w:val="23"/>
        </w:trPr>
        <w:tc>
          <w:tcPr>
            <w:tcW w:w="3030" w:type="pct"/>
            <w:vAlign w:val="bottom"/>
          </w:tcPr>
          <w:p w14:paraId="7F3F60F0"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due to other banks</w:t>
            </w:r>
          </w:p>
        </w:tc>
        <w:tc>
          <w:tcPr>
            <w:tcW w:w="455" w:type="pct"/>
            <w:vAlign w:val="bottom"/>
          </w:tcPr>
          <w:p w14:paraId="3D76E46E"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15261293"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70A3573C"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A1D4F6E" w14:textId="77777777" w:rsidTr="001B330E">
        <w:trPr>
          <w:trHeight w:val="23"/>
        </w:trPr>
        <w:tc>
          <w:tcPr>
            <w:tcW w:w="3030" w:type="pct"/>
            <w:vAlign w:val="bottom"/>
          </w:tcPr>
          <w:p w14:paraId="222215D3"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customer accounts</w:t>
            </w:r>
          </w:p>
        </w:tc>
        <w:tc>
          <w:tcPr>
            <w:tcW w:w="455" w:type="pct"/>
            <w:vAlign w:val="bottom"/>
          </w:tcPr>
          <w:p w14:paraId="10ABFD8C"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312A98AF"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4A304D96"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F3C4A27" w14:textId="77777777" w:rsidTr="001B330E">
        <w:trPr>
          <w:trHeight w:val="23"/>
        </w:trPr>
        <w:tc>
          <w:tcPr>
            <w:tcW w:w="3030" w:type="pct"/>
            <w:vAlign w:val="bottom"/>
          </w:tcPr>
          <w:p w14:paraId="117D03EF" w14:textId="01795A6C" w:rsidR="00D83E33" w:rsidRPr="00852AC7" w:rsidRDefault="00BC4072" w:rsidP="001B330E">
            <w:pPr>
              <w:widowControl w:val="0"/>
              <w:pBdr>
                <w:top w:val="nil"/>
                <w:left w:val="nil"/>
                <w:bottom w:val="nil"/>
                <w:right w:val="nil"/>
                <w:between w:val="nil"/>
              </w:pBdr>
              <w:ind w:left="113" w:hanging="113"/>
              <w:rPr>
                <w:i/>
                <w:color w:val="000000"/>
              </w:rPr>
            </w:pPr>
            <w:r w:rsidRPr="00852AC7">
              <w:rPr>
                <w:color w:val="000000"/>
              </w:rPr>
              <w:t xml:space="preserve">- debt securities in issue </w:t>
            </w:r>
            <w:r w:rsidRPr="00852AC7">
              <w:rPr>
                <w:color w:val="0000FF"/>
              </w:rPr>
              <w:t xml:space="preserve">[promissory notes issued] </w:t>
            </w:r>
          </w:p>
        </w:tc>
        <w:tc>
          <w:tcPr>
            <w:tcW w:w="455" w:type="pct"/>
            <w:vAlign w:val="bottom"/>
          </w:tcPr>
          <w:p w14:paraId="040C9A8E"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7291EBEF"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6315326C"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28BB0C7" w14:textId="77777777" w:rsidTr="001B330E">
        <w:trPr>
          <w:trHeight w:val="23"/>
        </w:trPr>
        <w:tc>
          <w:tcPr>
            <w:tcW w:w="3030" w:type="pct"/>
            <w:vAlign w:val="bottom"/>
          </w:tcPr>
          <w:p w14:paraId="06F589BF"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other financial liabilities</w:t>
            </w:r>
          </w:p>
        </w:tc>
        <w:tc>
          <w:tcPr>
            <w:tcW w:w="455" w:type="pct"/>
            <w:vAlign w:val="bottom"/>
          </w:tcPr>
          <w:p w14:paraId="14B2141E"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EBA916D"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2669C3DD"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2DE67FD" w14:textId="77777777" w:rsidTr="001B330E">
        <w:trPr>
          <w:trHeight w:val="23"/>
        </w:trPr>
        <w:tc>
          <w:tcPr>
            <w:tcW w:w="3030" w:type="pct"/>
            <w:vAlign w:val="bottom"/>
          </w:tcPr>
          <w:p w14:paraId="0409A4AE"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provisions for liabilities and charges and other liabilities</w:t>
            </w:r>
          </w:p>
        </w:tc>
        <w:tc>
          <w:tcPr>
            <w:tcW w:w="455" w:type="pct"/>
            <w:vAlign w:val="bottom"/>
          </w:tcPr>
          <w:p w14:paraId="00FF4749"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5C5E651A"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2C598F6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7E9C898" w14:textId="77777777" w:rsidTr="001B330E">
        <w:trPr>
          <w:trHeight w:val="23"/>
        </w:trPr>
        <w:tc>
          <w:tcPr>
            <w:tcW w:w="3030" w:type="pct"/>
            <w:vAlign w:val="bottom"/>
          </w:tcPr>
          <w:p w14:paraId="29481008" w14:textId="21879757" w:rsidR="00D83E33" w:rsidRPr="00852AC7" w:rsidRDefault="00D83E33" w:rsidP="001B330E">
            <w:pPr>
              <w:widowControl w:val="0"/>
              <w:pBdr>
                <w:top w:val="nil"/>
                <w:left w:val="nil"/>
                <w:bottom w:val="nil"/>
                <w:right w:val="nil"/>
                <w:between w:val="nil"/>
              </w:pBdr>
              <w:ind w:left="113" w:hanging="113"/>
              <w:rPr>
                <w:i/>
                <w:color w:val="FF0000"/>
              </w:rPr>
            </w:pPr>
          </w:p>
        </w:tc>
        <w:tc>
          <w:tcPr>
            <w:tcW w:w="455" w:type="pct"/>
            <w:vAlign w:val="bottom"/>
          </w:tcPr>
          <w:p w14:paraId="4C9BC273"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E7F8175"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4C962A8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A28ECC6" w14:textId="77777777" w:rsidTr="001B330E">
        <w:trPr>
          <w:trHeight w:val="23"/>
        </w:trPr>
        <w:tc>
          <w:tcPr>
            <w:tcW w:w="3030" w:type="pct"/>
            <w:tcBorders>
              <w:bottom w:val="single" w:sz="4" w:space="0" w:color="000000"/>
            </w:tcBorders>
            <w:vAlign w:val="bottom"/>
          </w:tcPr>
          <w:p w14:paraId="1EC1435E"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4" w:space="0" w:color="000000"/>
            </w:tcBorders>
            <w:vAlign w:val="bottom"/>
          </w:tcPr>
          <w:p w14:paraId="77421FF2"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4" w:space="0" w:color="000000"/>
            </w:tcBorders>
            <w:vAlign w:val="bottom"/>
          </w:tcPr>
          <w:p w14:paraId="3ED08CF6" w14:textId="77777777" w:rsidR="00D83E33" w:rsidRPr="00852AC7" w:rsidRDefault="00D83E33">
            <w:pPr>
              <w:widowControl w:val="0"/>
              <w:pBdr>
                <w:top w:val="nil"/>
                <w:left w:val="nil"/>
                <w:bottom w:val="nil"/>
                <w:right w:val="nil"/>
                <w:between w:val="nil"/>
              </w:pBdr>
              <w:jc w:val="right"/>
              <w:rPr>
                <w:color w:val="000000"/>
              </w:rPr>
            </w:pPr>
          </w:p>
        </w:tc>
        <w:tc>
          <w:tcPr>
            <w:tcW w:w="757" w:type="pct"/>
            <w:tcBorders>
              <w:bottom w:val="single" w:sz="4" w:space="0" w:color="000000"/>
            </w:tcBorders>
            <w:vAlign w:val="bottom"/>
          </w:tcPr>
          <w:p w14:paraId="61BC918E"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198F507" w14:textId="77777777" w:rsidTr="001B330E">
        <w:trPr>
          <w:trHeight w:val="23"/>
        </w:trPr>
        <w:tc>
          <w:tcPr>
            <w:tcW w:w="3030" w:type="pct"/>
            <w:vAlign w:val="bottom"/>
          </w:tcPr>
          <w:p w14:paraId="2F1028E5"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vAlign w:val="bottom"/>
          </w:tcPr>
          <w:p w14:paraId="19FD9F2D"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31D04DDA"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1F47692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3455308" w14:textId="77777777" w:rsidTr="001B330E">
        <w:trPr>
          <w:trHeight w:val="23"/>
        </w:trPr>
        <w:tc>
          <w:tcPr>
            <w:tcW w:w="3030" w:type="pct"/>
            <w:vAlign w:val="bottom"/>
          </w:tcPr>
          <w:p w14:paraId="33FCBF72"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Net cash from/(used in) operating activities</w:t>
            </w:r>
          </w:p>
        </w:tc>
        <w:tc>
          <w:tcPr>
            <w:tcW w:w="455" w:type="pct"/>
            <w:vAlign w:val="bottom"/>
          </w:tcPr>
          <w:p w14:paraId="02495135" w14:textId="77777777" w:rsidR="00D83E33" w:rsidRPr="00852AC7" w:rsidRDefault="00D83E33">
            <w:pPr>
              <w:widowControl w:val="0"/>
              <w:pBdr>
                <w:top w:val="nil"/>
                <w:left w:val="nil"/>
                <w:bottom w:val="nil"/>
                <w:right w:val="nil"/>
                <w:between w:val="nil"/>
              </w:pBdr>
              <w:jc w:val="center"/>
              <w:rPr>
                <w:b/>
                <w:color w:val="000000"/>
              </w:rPr>
            </w:pPr>
          </w:p>
        </w:tc>
        <w:tc>
          <w:tcPr>
            <w:tcW w:w="757" w:type="pct"/>
            <w:vAlign w:val="bottom"/>
          </w:tcPr>
          <w:p w14:paraId="51BD1B18"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5EC55471"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30B5026A" w14:textId="77777777" w:rsidTr="001B330E">
        <w:trPr>
          <w:trHeight w:val="23"/>
        </w:trPr>
        <w:tc>
          <w:tcPr>
            <w:tcW w:w="3030" w:type="pct"/>
            <w:tcBorders>
              <w:bottom w:val="single" w:sz="12" w:space="0" w:color="000000"/>
            </w:tcBorders>
            <w:vAlign w:val="bottom"/>
          </w:tcPr>
          <w:p w14:paraId="258F4DE6"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12" w:space="0" w:color="000000"/>
            </w:tcBorders>
            <w:vAlign w:val="bottom"/>
          </w:tcPr>
          <w:p w14:paraId="05AC2AED"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12" w:space="0" w:color="000000"/>
            </w:tcBorders>
            <w:vAlign w:val="bottom"/>
          </w:tcPr>
          <w:p w14:paraId="38F78CAE" w14:textId="77777777" w:rsidR="00D83E33" w:rsidRPr="00852AC7" w:rsidRDefault="00D83E33">
            <w:pPr>
              <w:widowControl w:val="0"/>
              <w:pBdr>
                <w:top w:val="nil"/>
                <w:left w:val="nil"/>
                <w:bottom w:val="nil"/>
                <w:right w:val="nil"/>
                <w:between w:val="nil"/>
              </w:pBdr>
              <w:jc w:val="right"/>
              <w:rPr>
                <w:color w:val="000000"/>
              </w:rPr>
            </w:pPr>
          </w:p>
        </w:tc>
        <w:tc>
          <w:tcPr>
            <w:tcW w:w="757" w:type="pct"/>
            <w:tcBorders>
              <w:bottom w:val="single" w:sz="12" w:space="0" w:color="000000"/>
            </w:tcBorders>
            <w:vAlign w:val="bottom"/>
          </w:tcPr>
          <w:p w14:paraId="0BDCCD19"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DDEC2DA" w14:textId="77777777" w:rsidTr="001B330E">
        <w:trPr>
          <w:trHeight w:val="23"/>
        </w:trPr>
        <w:tc>
          <w:tcPr>
            <w:tcW w:w="3030" w:type="pct"/>
            <w:vAlign w:val="bottom"/>
          </w:tcPr>
          <w:p w14:paraId="2B2A572E"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vAlign w:val="bottom"/>
          </w:tcPr>
          <w:p w14:paraId="125F3BCE"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6A861B3C"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35CFBEFD"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31E50D7" w14:textId="77777777" w:rsidTr="001B330E">
        <w:trPr>
          <w:trHeight w:val="23"/>
        </w:trPr>
        <w:tc>
          <w:tcPr>
            <w:tcW w:w="3030" w:type="pct"/>
            <w:vAlign w:val="bottom"/>
          </w:tcPr>
          <w:p w14:paraId="65E62851"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Cash flows from investing activities</w:t>
            </w:r>
          </w:p>
        </w:tc>
        <w:tc>
          <w:tcPr>
            <w:tcW w:w="455" w:type="pct"/>
            <w:vAlign w:val="bottom"/>
          </w:tcPr>
          <w:p w14:paraId="49A5A6D5" w14:textId="77777777" w:rsidR="00D83E33" w:rsidRPr="00852AC7" w:rsidRDefault="00D83E33">
            <w:pPr>
              <w:widowControl w:val="0"/>
              <w:pBdr>
                <w:top w:val="nil"/>
                <w:left w:val="nil"/>
                <w:bottom w:val="nil"/>
                <w:right w:val="nil"/>
                <w:between w:val="nil"/>
              </w:pBdr>
              <w:jc w:val="center"/>
              <w:rPr>
                <w:b/>
                <w:color w:val="000000"/>
              </w:rPr>
            </w:pPr>
          </w:p>
        </w:tc>
        <w:tc>
          <w:tcPr>
            <w:tcW w:w="757" w:type="pct"/>
            <w:vAlign w:val="bottom"/>
          </w:tcPr>
          <w:p w14:paraId="72FE196F"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1922B249"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77B75C04" w14:textId="77777777" w:rsidTr="001B330E">
        <w:trPr>
          <w:trHeight w:val="23"/>
        </w:trPr>
        <w:tc>
          <w:tcPr>
            <w:tcW w:w="3030" w:type="pct"/>
            <w:shd w:val="clear" w:color="auto" w:fill="auto"/>
            <w:vAlign w:val="bottom"/>
          </w:tcPr>
          <w:p w14:paraId="1D103C66" w14:textId="77777777" w:rsidR="00BD615A" w:rsidRPr="00852AC7" w:rsidRDefault="00BD615A" w:rsidP="001B330E">
            <w:pPr>
              <w:widowControl w:val="0"/>
              <w:pBdr>
                <w:top w:val="nil"/>
                <w:left w:val="nil"/>
                <w:bottom w:val="nil"/>
                <w:right w:val="nil"/>
                <w:between w:val="nil"/>
              </w:pBdr>
              <w:ind w:left="113" w:hanging="113"/>
              <w:rPr>
                <w:color w:val="000000"/>
              </w:rPr>
            </w:pPr>
            <w:r w:rsidRPr="00852AC7">
              <w:rPr>
                <w:color w:val="000000"/>
              </w:rPr>
              <w:t>Interest income received on investments in debt securities</w:t>
            </w:r>
          </w:p>
          <w:p w14:paraId="12E9C4F0"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debt securities at fair value through other comprehensive income</w:t>
            </w:r>
          </w:p>
        </w:tc>
        <w:tc>
          <w:tcPr>
            <w:tcW w:w="455" w:type="pct"/>
            <w:shd w:val="clear" w:color="auto" w:fill="auto"/>
            <w:vAlign w:val="bottom"/>
          </w:tcPr>
          <w:p w14:paraId="2D34E14A"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9</w:t>
            </w:r>
          </w:p>
        </w:tc>
        <w:tc>
          <w:tcPr>
            <w:tcW w:w="757" w:type="pct"/>
            <w:shd w:val="clear" w:color="auto" w:fill="auto"/>
            <w:vAlign w:val="bottom"/>
          </w:tcPr>
          <w:p w14:paraId="60B38CE7" w14:textId="77777777" w:rsidR="00D83E33" w:rsidRPr="00852AC7"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63315C86" w14:textId="77777777" w:rsidR="00D83E33" w:rsidRPr="00852AC7" w:rsidRDefault="00BC4072">
            <w:pPr>
              <w:widowControl w:val="0"/>
              <w:pBdr>
                <w:top w:val="nil"/>
                <w:left w:val="nil"/>
                <w:bottom w:val="nil"/>
                <w:right w:val="nil"/>
                <w:between w:val="nil"/>
              </w:pBdr>
              <w:jc w:val="right"/>
              <w:rPr>
                <w:color w:val="000000"/>
              </w:rPr>
            </w:pPr>
            <w:r w:rsidRPr="00852AC7">
              <w:rPr>
                <w:color w:val="000000"/>
              </w:rPr>
              <w:t>-</w:t>
            </w:r>
          </w:p>
        </w:tc>
      </w:tr>
      <w:tr w:rsidR="00D83E33" w:rsidRPr="00852AC7" w14:paraId="52960869" w14:textId="77777777" w:rsidTr="001B330E">
        <w:trPr>
          <w:trHeight w:val="23"/>
        </w:trPr>
        <w:tc>
          <w:tcPr>
            <w:tcW w:w="3030" w:type="pct"/>
            <w:shd w:val="clear" w:color="auto" w:fill="auto"/>
            <w:vAlign w:val="bottom"/>
          </w:tcPr>
          <w:p w14:paraId="5051EF67"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equity securities at fair value through other comprehensive income</w:t>
            </w:r>
          </w:p>
        </w:tc>
        <w:tc>
          <w:tcPr>
            <w:tcW w:w="455" w:type="pct"/>
            <w:shd w:val="clear" w:color="auto" w:fill="auto"/>
            <w:vAlign w:val="bottom"/>
          </w:tcPr>
          <w:p w14:paraId="725A1643"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10</w:t>
            </w:r>
          </w:p>
        </w:tc>
        <w:tc>
          <w:tcPr>
            <w:tcW w:w="757" w:type="pct"/>
            <w:shd w:val="clear" w:color="auto" w:fill="auto"/>
            <w:vAlign w:val="bottom"/>
          </w:tcPr>
          <w:p w14:paraId="0514EC00" w14:textId="77777777" w:rsidR="00D83E33" w:rsidRPr="00852AC7"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0EAE5F98" w14:textId="77777777" w:rsidR="00D83E33" w:rsidRPr="00852AC7" w:rsidRDefault="00BC4072">
            <w:pPr>
              <w:widowControl w:val="0"/>
              <w:pBdr>
                <w:top w:val="nil"/>
                <w:left w:val="nil"/>
                <w:bottom w:val="nil"/>
                <w:right w:val="nil"/>
                <w:between w:val="nil"/>
              </w:pBdr>
              <w:jc w:val="right"/>
              <w:rPr>
                <w:color w:val="000000"/>
              </w:rPr>
            </w:pPr>
            <w:r w:rsidRPr="00852AC7">
              <w:rPr>
                <w:color w:val="000000"/>
              </w:rPr>
              <w:t>-</w:t>
            </w:r>
          </w:p>
        </w:tc>
      </w:tr>
      <w:tr w:rsidR="00D83E33" w:rsidRPr="00852AC7" w14:paraId="0AA1EA6B" w14:textId="77777777" w:rsidTr="001B330E">
        <w:trPr>
          <w:trHeight w:val="23"/>
        </w:trPr>
        <w:tc>
          <w:tcPr>
            <w:tcW w:w="3030" w:type="pct"/>
            <w:shd w:val="clear" w:color="auto" w:fill="auto"/>
            <w:vAlign w:val="bottom"/>
          </w:tcPr>
          <w:p w14:paraId="60CD74D7"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xml:space="preserve">Proceeds from disposal </w:t>
            </w:r>
            <w:r w:rsidRPr="00852AC7">
              <w:rPr>
                <w:color w:val="0000FF"/>
              </w:rPr>
              <w:t xml:space="preserve">[and redemption] </w:t>
            </w:r>
            <w:r w:rsidRPr="00852AC7">
              <w:rPr>
                <w:color w:val="000000"/>
              </w:rPr>
              <w:t>of debt securities at fair value through other comprehensive income</w:t>
            </w:r>
          </w:p>
        </w:tc>
        <w:tc>
          <w:tcPr>
            <w:tcW w:w="455" w:type="pct"/>
            <w:shd w:val="clear" w:color="auto" w:fill="auto"/>
            <w:vAlign w:val="bottom"/>
          </w:tcPr>
          <w:p w14:paraId="45084DFF"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9</w:t>
            </w:r>
          </w:p>
        </w:tc>
        <w:tc>
          <w:tcPr>
            <w:tcW w:w="757" w:type="pct"/>
            <w:shd w:val="clear" w:color="auto" w:fill="auto"/>
            <w:vAlign w:val="bottom"/>
          </w:tcPr>
          <w:p w14:paraId="6AA50D12" w14:textId="77777777" w:rsidR="00D83E33" w:rsidRPr="00852AC7"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58F358C9" w14:textId="77777777" w:rsidR="00D83E33" w:rsidRPr="00852AC7" w:rsidRDefault="00BC4072">
            <w:pPr>
              <w:widowControl w:val="0"/>
              <w:pBdr>
                <w:top w:val="nil"/>
                <w:left w:val="nil"/>
                <w:bottom w:val="nil"/>
                <w:right w:val="nil"/>
                <w:between w:val="nil"/>
              </w:pBdr>
              <w:jc w:val="right"/>
              <w:rPr>
                <w:color w:val="000000"/>
              </w:rPr>
            </w:pPr>
            <w:r w:rsidRPr="00852AC7">
              <w:rPr>
                <w:color w:val="000000"/>
              </w:rPr>
              <w:t>-</w:t>
            </w:r>
          </w:p>
        </w:tc>
      </w:tr>
      <w:tr w:rsidR="00D83E33" w:rsidRPr="00852AC7" w14:paraId="631042E8" w14:textId="77777777" w:rsidTr="001B330E">
        <w:trPr>
          <w:trHeight w:val="23"/>
        </w:trPr>
        <w:tc>
          <w:tcPr>
            <w:tcW w:w="3030" w:type="pct"/>
            <w:shd w:val="clear" w:color="auto" w:fill="auto"/>
            <w:vAlign w:val="bottom"/>
          </w:tcPr>
          <w:p w14:paraId="00AAC4B8"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Proceeds from disposal of equity securities at fair value through other comprehensive income</w:t>
            </w:r>
          </w:p>
        </w:tc>
        <w:tc>
          <w:tcPr>
            <w:tcW w:w="455" w:type="pct"/>
            <w:shd w:val="clear" w:color="auto" w:fill="auto"/>
            <w:vAlign w:val="bottom"/>
          </w:tcPr>
          <w:p w14:paraId="32498303"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10</w:t>
            </w:r>
          </w:p>
        </w:tc>
        <w:tc>
          <w:tcPr>
            <w:tcW w:w="757" w:type="pct"/>
            <w:shd w:val="clear" w:color="auto" w:fill="auto"/>
            <w:vAlign w:val="bottom"/>
          </w:tcPr>
          <w:p w14:paraId="4933DE76" w14:textId="77777777" w:rsidR="00D83E33" w:rsidRPr="00852AC7"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65EA2813" w14:textId="77777777" w:rsidR="00D83E33" w:rsidRPr="00852AC7" w:rsidRDefault="00BC4072">
            <w:pPr>
              <w:widowControl w:val="0"/>
              <w:pBdr>
                <w:top w:val="nil"/>
                <w:left w:val="nil"/>
                <w:bottom w:val="nil"/>
                <w:right w:val="nil"/>
                <w:between w:val="nil"/>
              </w:pBdr>
              <w:jc w:val="right"/>
              <w:rPr>
                <w:color w:val="000000"/>
              </w:rPr>
            </w:pPr>
            <w:r w:rsidRPr="00852AC7">
              <w:rPr>
                <w:color w:val="000000"/>
              </w:rPr>
              <w:t>-</w:t>
            </w:r>
          </w:p>
        </w:tc>
      </w:tr>
      <w:tr w:rsidR="00D83E33" w:rsidRPr="00852AC7" w14:paraId="00A6D402" w14:textId="77777777" w:rsidTr="001B330E">
        <w:trPr>
          <w:trHeight w:val="23"/>
        </w:trPr>
        <w:tc>
          <w:tcPr>
            <w:tcW w:w="3030" w:type="pct"/>
            <w:shd w:val="clear" w:color="auto" w:fill="auto"/>
            <w:vAlign w:val="bottom"/>
          </w:tcPr>
          <w:p w14:paraId="01E3AE9A"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investments in debt securities carried at amortised cost</w:t>
            </w:r>
          </w:p>
        </w:tc>
        <w:tc>
          <w:tcPr>
            <w:tcW w:w="455" w:type="pct"/>
            <w:shd w:val="clear" w:color="auto" w:fill="auto"/>
            <w:vAlign w:val="bottom"/>
          </w:tcPr>
          <w:p w14:paraId="16AE0823"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9</w:t>
            </w:r>
          </w:p>
        </w:tc>
        <w:tc>
          <w:tcPr>
            <w:tcW w:w="757" w:type="pct"/>
            <w:shd w:val="clear" w:color="auto" w:fill="auto"/>
            <w:vAlign w:val="bottom"/>
          </w:tcPr>
          <w:p w14:paraId="2D7AF76B" w14:textId="77777777" w:rsidR="00D83E33" w:rsidRPr="00852AC7"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61728009" w14:textId="77777777" w:rsidR="00D83E33" w:rsidRPr="00852AC7" w:rsidRDefault="00BC4072">
            <w:pPr>
              <w:widowControl w:val="0"/>
              <w:pBdr>
                <w:top w:val="nil"/>
                <w:left w:val="nil"/>
                <w:bottom w:val="nil"/>
                <w:right w:val="nil"/>
                <w:between w:val="nil"/>
              </w:pBdr>
              <w:jc w:val="right"/>
              <w:rPr>
                <w:color w:val="000000"/>
              </w:rPr>
            </w:pPr>
            <w:r w:rsidRPr="00852AC7">
              <w:rPr>
                <w:color w:val="000000"/>
              </w:rPr>
              <w:t>-</w:t>
            </w:r>
          </w:p>
        </w:tc>
      </w:tr>
      <w:tr w:rsidR="00D83E33" w:rsidRPr="00852AC7" w14:paraId="02D59013" w14:textId="77777777" w:rsidTr="001B330E">
        <w:trPr>
          <w:trHeight w:val="23"/>
        </w:trPr>
        <w:tc>
          <w:tcPr>
            <w:tcW w:w="3030" w:type="pct"/>
            <w:shd w:val="clear" w:color="auto" w:fill="auto"/>
            <w:vAlign w:val="bottom"/>
          </w:tcPr>
          <w:p w14:paraId="1B1FF212"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Proceeds from redemption of debt securities carried at amortised cost</w:t>
            </w:r>
          </w:p>
        </w:tc>
        <w:tc>
          <w:tcPr>
            <w:tcW w:w="455" w:type="pct"/>
            <w:shd w:val="clear" w:color="auto" w:fill="auto"/>
            <w:vAlign w:val="bottom"/>
          </w:tcPr>
          <w:p w14:paraId="33966FDD"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9</w:t>
            </w:r>
          </w:p>
        </w:tc>
        <w:tc>
          <w:tcPr>
            <w:tcW w:w="757" w:type="pct"/>
            <w:shd w:val="clear" w:color="auto" w:fill="auto"/>
            <w:vAlign w:val="bottom"/>
          </w:tcPr>
          <w:p w14:paraId="2D4E2FAA" w14:textId="77777777" w:rsidR="00D83E33" w:rsidRPr="00852AC7"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2B875BB2" w14:textId="77777777" w:rsidR="00D83E33" w:rsidRPr="00852AC7" w:rsidRDefault="00BC4072">
            <w:pPr>
              <w:widowControl w:val="0"/>
              <w:pBdr>
                <w:top w:val="nil"/>
                <w:left w:val="nil"/>
                <w:bottom w:val="nil"/>
                <w:right w:val="nil"/>
                <w:between w:val="nil"/>
              </w:pBdr>
              <w:jc w:val="right"/>
              <w:rPr>
                <w:color w:val="000000"/>
              </w:rPr>
            </w:pPr>
            <w:r w:rsidRPr="00852AC7">
              <w:rPr>
                <w:color w:val="000000"/>
              </w:rPr>
              <w:t>-</w:t>
            </w:r>
          </w:p>
        </w:tc>
      </w:tr>
      <w:tr w:rsidR="00D83E33" w:rsidRPr="00852AC7" w14:paraId="3BE7EE34" w14:textId="77777777" w:rsidTr="001B330E">
        <w:trPr>
          <w:trHeight w:val="23"/>
        </w:trPr>
        <w:tc>
          <w:tcPr>
            <w:tcW w:w="3030" w:type="pct"/>
            <w:vAlign w:val="bottom"/>
          </w:tcPr>
          <w:p w14:paraId="5604E0E9"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premises and equipment</w:t>
            </w:r>
          </w:p>
        </w:tc>
        <w:tc>
          <w:tcPr>
            <w:tcW w:w="455" w:type="pct"/>
            <w:vAlign w:val="bottom"/>
          </w:tcPr>
          <w:p w14:paraId="14352F17"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18</w:t>
            </w:r>
          </w:p>
        </w:tc>
        <w:tc>
          <w:tcPr>
            <w:tcW w:w="757" w:type="pct"/>
            <w:vAlign w:val="bottom"/>
          </w:tcPr>
          <w:p w14:paraId="575C4F62"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0B5E4E21"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2F8E3BC" w14:textId="77777777" w:rsidTr="001B330E">
        <w:trPr>
          <w:trHeight w:val="23"/>
        </w:trPr>
        <w:tc>
          <w:tcPr>
            <w:tcW w:w="3030" w:type="pct"/>
            <w:vAlign w:val="bottom"/>
          </w:tcPr>
          <w:p w14:paraId="4BAA0CCB"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Proceeds from disposal of premises and equipment</w:t>
            </w:r>
          </w:p>
        </w:tc>
        <w:tc>
          <w:tcPr>
            <w:tcW w:w="455" w:type="pct"/>
            <w:vAlign w:val="bottom"/>
          </w:tcPr>
          <w:p w14:paraId="55B9A1A9"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18, 20</w:t>
            </w:r>
          </w:p>
        </w:tc>
        <w:tc>
          <w:tcPr>
            <w:tcW w:w="757" w:type="pct"/>
            <w:vAlign w:val="bottom"/>
          </w:tcPr>
          <w:p w14:paraId="4D7BA909"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1C10938A"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7A2D98E" w14:textId="77777777" w:rsidTr="001B330E">
        <w:trPr>
          <w:trHeight w:val="23"/>
        </w:trPr>
        <w:tc>
          <w:tcPr>
            <w:tcW w:w="3030" w:type="pct"/>
            <w:vAlign w:val="bottom"/>
          </w:tcPr>
          <w:p w14:paraId="61456B87"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Dividend income received</w:t>
            </w:r>
          </w:p>
        </w:tc>
        <w:tc>
          <w:tcPr>
            <w:tcW w:w="455" w:type="pct"/>
            <w:vAlign w:val="bottom"/>
          </w:tcPr>
          <w:p w14:paraId="3F3AF7C7"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5440700C"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471765A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6E256D3" w14:textId="77777777" w:rsidTr="001B330E">
        <w:trPr>
          <w:trHeight w:val="23"/>
        </w:trPr>
        <w:tc>
          <w:tcPr>
            <w:tcW w:w="3030" w:type="pct"/>
            <w:vAlign w:val="bottom"/>
          </w:tcPr>
          <w:p w14:paraId="6D81176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subsidiaries, net of cash acquired</w:t>
            </w:r>
          </w:p>
        </w:tc>
        <w:tc>
          <w:tcPr>
            <w:tcW w:w="455" w:type="pct"/>
            <w:vAlign w:val="bottom"/>
          </w:tcPr>
          <w:p w14:paraId="0C6B4C5F" w14:textId="77777777" w:rsidR="00D83E33" w:rsidRPr="00852AC7" w:rsidRDefault="00000000">
            <w:pPr>
              <w:widowControl w:val="0"/>
              <w:pBdr>
                <w:top w:val="nil"/>
                <w:left w:val="nil"/>
                <w:bottom w:val="nil"/>
                <w:right w:val="nil"/>
                <w:between w:val="nil"/>
              </w:pBdr>
              <w:jc w:val="center"/>
              <w:rPr>
                <w:color w:val="000000"/>
              </w:rPr>
            </w:pPr>
            <w:hyperlink w:anchor="_heading=h.kgcv8k">
              <w:r w:rsidR="00BC4072" w:rsidRPr="00852AC7">
                <w:rPr>
                  <w:color w:val="000000"/>
                </w:rPr>
                <w:t>52</w:t>
              </w:r>
            </w:hyperlink>
          </w:p>
        </w:tc>
        <w:tc>
          <w:tcPr>
            <w:tcW w:w="757" w:type="pct"/>
            <w:vAlign w:val="bottom"/>
          </w:tcPr>
          <w:p w14:paraId="0B5D8180"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1D3DCCB1"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DBD2AED" w14:textId="77777777" w:rsidTr="001B330E">
        <w:trPr>
          <w:trHeight w:val="23"/>
        </w:trPr>
        <w:tc>
          <w:tcPr>
            <w:tcW w:w="3030" w:type="pct"/>
            <w:vAlign w:val="bottom"/>
          </w:tcPr>
          <w:p w14:paraId="1429C328" w14:textId="77777777" w:rsidR="00D83E33" w:rsidRPr="00852AC7" w:rsidRDefault="00BC4072" w:rsidP="001B330E">
            <w:pPr>
              <w:widowControl w:val="0"/>
              <w:pBdr>
                <w:top w:val="nil"/>
                <w:left w:val="nil"/>
                <w:bottom w:val="nil"/>
                <w:right w:val="nil"/>
                <w:between w:val="nil"/>
              </w:pBdr>
              <w:ind w:left="113" w:hanging="113"/>
              <w:rPr>
                <w:i/>
                <w:color w:val="000000"/>
              </w:rPr>
            </w:pPr>
            <w:r w:rsidRPr="00852AC7">
              <w:rPr>
                <w:color w:val="000000"/>
              </w:rPr>
              <w:t>Proceeds from disposal of subsidiary, net of disposed cash</w:t>
            </w:r>
          </w:p>
        </w:tc>
        <w:tc>
          <w:tcPr>
            <w:tcW w:w="455" w:type="pct"/>
            <w:vAlign w:val="bottom"/>
          </w:tcPr>
          <w:p w14:paraId="21309B97"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 xml:space="preserve">20, </w:t>
            </w:r>
            <w:hyperlink w:anchor="_heading=h.kgcv8k">
              <w:r w:rsidRPr="00852AC7">
                <w:rPr>
                  <w:color w:val="000000"/>
                </w:rPr>
                <w:t>52</w:t>
              </w:r>
            </w:hyperlink>
          </w:p>
        </w:tc>
        <w:tc>
          <w:tcPr>
            <w:tcW w:w="757" w:type="pct"/>
            <w:vAlign w:val="bottom"/>
          </w:tcPr>
          <w:p w14:paraId="60CDC353"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50CB2E5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7681EB7" w14:textId="77777777" w:rsidTr="001B330E">
        <w:trPr>
          <w:trHeight w:val="23"/>
        </w:trPr>
        <w:tc>
          <w:tcPr>
            <w:tcW w:w="3030" w:type="pct"/>
            <w:vAlign w:val="bottom"/>
          </w:tcPr>
          <w:p w14:paraId="7D249AD7"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associates</w:t>
            </w:r>
          </w:p>
        </w:tc>
        <w:tc>
          <w:tcPr>
            <w:tcW w:w="455" w:type="pct"/>
            <w:vAlign w:val="bottom"/>
          </w:tcPr>
          <w:p w14:paraId="005514A8"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14</w:t>
            </w:r>
          </w:p>
        </w:tc>
        <w:tc>
          <w:tcPr>
            <w:tcW w:w="757" w:type="pct"/>
            <w:vAlign w:val="bottom"/>
          </w:tcPr>
          <w:p w14:paraId="5B062FE5"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17684D3F"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7B6247F" w14:textId="77777777" w:rsidTr="001B330E">
        <w:trPr>
          <w:trHeight w:val="23"/>
        </w:trPr>
        <w:tc>
          <w:tcPr>
            <w:tcW w:w="3030" w:type="pct"/>
            <w:vAlign w:val="bottom"/>
          </w:tcPr>
          <w:p w14:paraId="106F0822"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lastRenderedPageBreak/>
              <w:t>Proceeds from disposal of associates</w:t>
            </w:r>
          </w:p>
        </w:tc>
        <w:tc>
          <w:tcPr>
            <w:tcW w:w="455" w:type="pct"/>
            <w:vAlign w:val="bottom"/>
          </w:tcPr>
          <w:p w14:paraId="0E97B5EE"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14, 20</w:t>
            </w:r>
          </w:p>
        </w:tc>
        <w:tc>
          <w:tcPr>
            <w:tcW w:w="757" w:type="pct"/>
            <w:vAlign w:val="bottom"/>
          </w:tcPr>
          <w:p w14:paraId="6D2B1A10"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2993D74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E712200" w14:textId="77777777" w:rsidTr="001B330E">
        <w:trPr>
          <w:trHeight w:val="23"/>
        </w:trPr>
        <w:tc>
          <w:tcPr>
            <w:tcW w:w="3030" w:type="pct"/>
            <w:vAlign w:val="bottom"/>
          </w:tcPr>
          <w:p w14:paraId="11A2D8FB"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investment properties</w:t>
            </w:r>
          </w:p>
        </w:tc>
        <w:tc>
          <w:tcPr>
            <w:tcW w:w="455" w:type="pct"/>
            <w:vAlign w:val="bottom"/>
          </w:tcPr>
          <w:p w14:paraId="2F6ADB8B"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13</w:t>
            </w:r>
          </w:p>
        </w:tc>
        <w:tc>
          <w:tcPr>
            <w:tcW w:w="757" w:type="pct"/>
            <w:vAlign w:val="bottom"/>
          </w:tcPr>
          <w:p w14:paraId="31752C7A"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77381B0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EB4C3C4" w14:textId="77777777" w:rsidTr="001B330E">
        <w:trPr>
          <w:trHeight w:val="23"/>
        </w:trPr>
        <w:tc>
          <w:tcPr>
            <w:tcW w:w="3030" w:type="pct"/>
            <w:vAlign w:val="bottom"/>
          </w:tcPr>
          <w:p w14:paraId="153220A9"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Proceeds from disposal of investment properties</w:t>
            </w:r>
          </w:p>
        </w:tc>
        <w:tc>
          <w:tcPr>
            <w:tcW w:w="455" w:type="pct"/>
            <w:vAlign w:val="bottom"/>
          </w:tcPr>
          <w:p w14:paraId="3F1BB1E3"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13, 20</w:t>
            </w:r>
          </w:p>
        </w:tc>
        <w:tc>
          <w:tcPr>
            <w:tcW w:w="757" w:type="pct"/>
            <w:vAlign w:val="bottom"/>
          </w:tcPr>
          <w:p w14:paraId="248417AD"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7A8D02E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BBAAA51" w14:textId="77777777" w:rsidTr="001B330E">
        <w:trPr>
          <w:trHeight w:val="23"/>
        </w:trPr>
        <w:tc>
          <w:tcPr>
            <w:tcW w:w="3030" w:type="pct"/>
            <w:vAlign w:val="bottom"/>
          </w:tcPr>
          <w:p w14:paraId="47C6EF13"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intangible assets</w:t>
            </w:r>
          </w:p>
        </w:tc>
        <w:tc>
          <w:tcPr>
            <w:tcW w:w="455" w:type="pct"/>
            <w:vAlign w:val="bottom"/>
          </w:tcPr>
          <w:p w14:paraId="35CE8092"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18</w:t>
            </w:r>
          </w:p>
        </w:tc>
        <w:tc>
          <w:tcPr>
            <w:tcW w:w="757" w:type="pct"/>
            <w:vAlign w:val="bottom"/>
          </w:tcPr>
          <w:p w14:paraId="4E27449E"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53804A99"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C67A116" w14:textId="77777777" w:rsidTr="001B330E">
        <w:trPr>
          <w:trHeight w:val="23"/>
        </w:trPr>
        <w:tc>
          <w:tcPr>
            <w:tcW w:w="3030" w:type="pct"/>
            <w:vAlign w:val="bottom"/>
          </w:tcPr>
          <w:p w14:paraId="4324E45B"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Proceeds from disposal of intangible assets</w:t>
            </w:r>
          </w:p>
        </w:tc>
        <w:tc>
          <w:tcPr>
            <w:tcW w:w="455" w:type="pct"/>
            <w:vAlign w:val="bottom"/>
          </w:tcPr>
          <w:p w14:paraId="79594581"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18, 20</w:t>
            </w:r>
          </w:p>
        </w:tc>
        <w:tc>
          <w:tcPr>
            <w:tcW w:w="757" w:type="pct"/>
            <w:vAlign w:val="bottom"/>
          </w:tcPr>
          <w:p w14:paraId="70CC6CE2"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6D7A003A"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6C32E96" w14:textId="77777777" w:rsidTr="001B330E">
        <w:trPr>
          <w:trHeight w:val="23"/>
        </w:trPr>
        <w:tc>
          <w:tcPr>
            <w:tcW w:w="3030" w:type="pct"/>
            <w:tcBorders>
              <w:bottom w:val="single" w:sz="4" w:space="0" w:color="000000"/>
            </w:tcBorders>
            <w:vAlign w:val="bottom"/>
          </w:tcPr>
          <w:p w14:paraId="2E9BB81D"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4" w:space="0" w:color="000000"/>
            </w:tcBorders>
            <w:vAlign w:val="bottom"/>
          </w:tcPr>
          <w:p w14:paraId="26F2F266"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4" w:space="0" w:color="000000"/>
            </w:tcBorders>
            <w:vAlign w:val="bottom"/>
          </w:tcPr>
          <w:p w14:paraId="5149FFEE" w14:textId="77777777" w:rsidR="00D83E33" w:rsidRPr="00852AC7" w:rsidRDefault="00D83E33">
            <w:pPr>
              <w:widowControl w:val="0"/>
              <w:pBdr>
                <w:top w:val="nil"/>
                <w:left w:val="nil"/>
                <w:bottom w:val="nil"/>
                <w:right w:val="nil"/>
                <w:between w:val="nil"/>
              </w:pBdr>
              <w:jc w:val="right"/>
              <w:rPr>
                <w:color w:val="000000"/>
              </w:rPr>
            </w:pPr>
          </w:p>
        </w:tc>
        <w:tc>
          <w:tcPr>
            <w:tcW w:w="757" w:type="pct"/>
            <w:tcBorders>
              <w:bottom w:val="single" w:sz="4" w:space="0" w:color="000000"/>
            </w:tcBorders>
            <w:vAlign w:val="bottom"/>
          </w:tcPr>
          <w:p w14:paraId="1EEC353D"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4E60B7E" w14:textId="77777777" w:rsidTr="001B330E">
        <w:trPr>
          <w:trHeight w:val="23"/>
        </w:trPr>
        <w:tc>
          <w:tcPr>
            <w:tcW w:w="3030" w:type="pct"/>
            <w:vAlign w:val="bottom"/>
          </w:tcPr>
          <w:p w14:paraId="68DF30FE"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vAlign w:val="bottom"/>
          </w:tcPr>
          <w:p w14:paraId="55676DD1"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7BECDA31"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487B7FE3"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697FD7E" w14:textId="77777777" w:rsidTr="001B330E">
        <w:trPr>
          <w:trHeight w:val="23"/>
        </w:trPr>
        <w:tc>
          <w:tcPr>
            <w:tcW w:w="3030" w:type="pct"/>
            <w:vAlign w:val="bottom"/>
          </w:tcPr>
          <w:p w14:paraId="4853CD6B"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Net cash from/(used in) investing activities</w:t>
            </w:r>
          </w:p>
        </w:tc>
        <w:tc>
          <w:tcPr>
            <w:tcW w:w="455" w:type="pct"/>
            <w:vAlign w:val="bottom"/>
          </w:tcPr>
          <w:p w14:paraId="51FC6A3F" w14:textId="77777777" w:rsidR="00D83E33" w:rsidRPr="00852AC7" w:rsidRDefault="00D83E33">
            <w:pPr>
              <w:widowControl w:val="0"/>
              <w:pBdr>
                <w:top w:val="nil"/>
                <w:left w:val="nil"/>
                <w:bottom w:val="nil"/>
                <w:right w:val="nil"/>
                <w:between w:val="nil"/>
              </w:pBdr>
              <w:jc w:val="center"/>
              <w:rPr>
                <w:b/>
                <w:color w:val="000000"/>
              </w:rPr>
            </w:pPr>
          </w:p>
        </w:tc>
        <w:tc>
          <w:tcPr>
            <w:tcW w:w="757" w:type="pct"/>
            <w:vAlign w:val="bottom"/>
          </w:tcPr>
          <w:p w14:paraId="5B84CDB3"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10D42B90"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4DCE322A" w14:textId="77777777" w:rsidTr="001B330E">
        <w:trPr>
          <w:trHeight w:val="23"/>
        </w:trPr>
        <w:tc>
          <w:tcPr>
            <w:tcW w:w="3030" w:type="pct"/>
            <w:tcBorders>
              <w:bottom w:val="single" w:sz="12" w:space="0" w:color="000000"/>
            </w:tcBorders>
            <w:vAlign w:val="bottom"/>
          </w:tcPr>
          <w:p w14:paraId="7FE49DDE"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12" w:space="0" w:color="000000"/>
            </w:tcBorders>
            <w:vAlign w:val="bottom"/>
          </w:tcPr>
          <w:p w14:paraId="0089385A"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12" w:space="0" w:color="000000"/>
            </w:tcBorders>
            <w:vAlign w:val="bottom"/>
          </w:tcPr>
          <w:p w14:paraId="2B437AFC" w14:textId="77777777" w:rsidR="00D83E33" w:rsidRPr="00852AC7" w:rsidRDefault="00D83E33">
            <w:pPr>
              <w:widowControl w:val="0"/>
              <w:pBdr>
                <w:top w:val="nil"/>
                <w:left w:val="nil"/>
                <w:bottom w:val="nil"/>
                <w:right w:val="nil"/>
                <w:between w:val="nil"/>
              </w:pBdr>
              <w:jc w:val="right"/>
              <w:rPr>
                <w:color w:val="000000"/>
              </w:rPr>
            </w:pPr>
          </w:p>
        </w:tc>
        <w:tc>
          <w:tcPr>
            <w:tcW w:w="757" w:type="pct"/>
            <w:tcBorders>
              <w:bottom w:val="single" w:sz="12" w:space="0" w:color="000000"/>
            </w:tcBorders>
            <w:vAlign w:val="bottom"/>
          </w:tcPr>
          <w:p w14:paraId="56D1E86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FA0FE44" w14:textId="77777777" w:rsidTr="001B330E">
        <w:trPr>
          <w:trHeight w:val="23"/>
        </w:trPr>
        <w:tc>
          <w:tcPr>
            <w:tcW w:w="3030" w:type="pct"/>
            <w:vAlign w:val="bottom"/>
          </w:tcPr>
          <w:p w14:paraId="7A675CF5"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vAlign w:val="bottom"/>
          </w:tcPr>
          <w:p w14:paraId="6A660BD4"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67E0A259"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2FC12479"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686A6A6" w14:textId="77777777" w:rsidTr="001B330E">
        <w:trPr>
          <w:trHeight w:val="23"/>
        </w:trPr>
        <w:tc>
          <w:tcPr>
            <w:tcW w:w="3030" w:type="pct"/>
            <w:vAlign w:val="bottom"/>
          </w:tcPr>
          <w:p w14:paraId="7E47350A"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Cash flows from financing activities</w:t>
            </w:r>
          </w:p>
        </w:tc>
        <w:tc>
          <w:tcPr>
            <w:tcW w:w="455" w:type="pct"/>
            <w:vAlign w:val="bottom"/>
          </w:tcPr>
          <w:p w14:paraId="0CCAC5A2"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5A0C9B36"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30AB4BC6"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62F1BB11" w14:textId="77777777" w:rsidTr="001B330E">
        <w:trPr>
          <w:trHeight w:val="23"/>
        </w:trPr>
        <w:tc>
          <w:tcPr>
            <w:tcW w:w="3030" w:type="pct"/>
            <w:vAlign w:val="bottom"/>
          </w:tcPr>
          <w:p w14:paraId="66B3FF3A"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Proceeds from other borrowed funds</w:t>
            </w:r>
          </w:p>
        </w:tc>
        <w:tc>
          <w:tcPr>
            <w:tcW w:w="455" w:type="pct"/>
            <w:vAlign w:val="bottom"/>
          </w:tcPr>
          <w:p w14:paraId="22533481" w14:textId="77777777" w:rsidR="00D83E33" w:rsidRPr="00852AC7" w:rsidRDefault="00000000">
            <w:pPr>
              <w:widowControl w:val="0"/>
              <w:pBdr>
                <w:top w:val="nil"/>
                <w:left w:val="nil"/>
                <w:bottom w:val="nil"/>
                <w:right w:val="nil"/>
                <w:between w:val="nil"/>
              </w:pBdr>
              <w:jc w:val="center"/>
              <w:rPr>
                <w:color w:val="000000"/>
              </w:rPr>
            </w:pPr>
            <w:hyperlink w:anchor="_heading=h.32hioqz">
              <w:r w:rsidR="00BC4072" w:rsidRPr="00852AC7">
                <w:rPr>
                  <w:color w:val="000000"/>
                </w:rPr>
                <w:t>24</w:t>
              </w:r>
            </w:hyperlink>
          </w:p>
        </w:tc>
        <w:tc>
          <w:tcPr>
            <w:tcW w:w="757" w:type="pct"/>
            <w:vAlign w:val="bottom"/>
          </w:tcPr>
          <w:p w14:paraId="6D1209EF"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68140431"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6B3E71D" w14:textId="77777777" w:rsidTr="001B330E">
        <w:trPr>
          <w:trHeight w:val="23"/>
        </w:trPr>
        <w:tc>
          <w:tcPr>
            <w:tcW w:w="3030" w:type="pct"/>
            <w:vAlign w:val="bottom"/>
          </w:tcPr>
          <w:p w14:paraId="6EA27143" w14:textId="77777777" w:rsidR="00D83E33" w:rsidRPr="00852AC7" w:rsidRDefault="00BC4072" w:rsidP="001B330E">
            <w:pPr>
              <w:widowControl w:val="0"/>
              <w:pBdr>
                <w:top w:val="nil"/>
                <w:left w:val="nil"/>
                <w:bottom w:val="nil"/>
                <w:right w:val="nil"/>
                <w:between w:val="nil"/>
              </w:pBdr>
              <w:ind w:left="113" w:hanging="113"/>
              <w:rPr>
                <w:color w:val="FF0000"/>
              </w:rPr>
            </w:pPr>
            <w:r w:rsidRPr="00852AC7">
              <w:rPr>
                <w:color w:val="000000"/>
              </w:rPr>
              <w:t xml:space="preserve">Repayment of other borrowed funds </w:t>
            </w:r>
          </w:p>
        </w:tc>
        <w:tc>
          <w:tcPr>
            <w:tcW w:w="455" w:type="pct"/>
            <w:vAlign w:val="bottom"/>
          </w:tcPr>
          <w:p w14:paraId="68DFFB5E" w14:textId="77777777" w:rsidR="00D83E33" w:rsidRPr="00852AC7" w:rsidRDefault="00000000">
            <w:pPr>
              <w:widowControl w:val="0"/>
              <w:pBdr>
                <w:top w:val="nil"/>
                <w:left w:val="nil"/>
                <w:bottom w:val="nil"/>
                <w:right w:val="nil"/>
                <w:between w:val="nil"/>
              </w:pBdr>
              <w:jc w:val="center"/>
              <w:rPr>
                <w:color w:val="000000"/>
              </w:rPr>
            </w:pPr>
            <w:hyperlink w:anchor="_heading=h.32hioqz">
              <w:r w:rsidR="00BC4072" w:rsidRPr="00852AC7">
                <w:rPr>
                  <w:color w:val="000000"/>
                </w:rPr>
                <w:t>24</w:t>
              </w:r>
            </w:hyperlink>
          </w:p>
        </w:tc>
        <w:tc>
          <w:tcPr>
            <w:tcW w:w="757" w:type="pct"/>
            <w:vAlign w:val="bottom"/>
          </w:tcPr>
          <w:p w14:paraId="73BB31DE"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6F7500FD"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6C81B36" w14:textId="77777777" w:rsidTr="001B330E">
        <w:trPr>
          <w:trHeight w:val="23"/>
        </w:trPr>
        <w:tc>
          <w:tcPr>
            <w:tcW w:w="3030" w:type="pct"/>
            <w:vAlign w:val="bottom"/>
          </w:tcPr>
          <w:p w14:paraId="6EB63174" w14:textId="77777777" w:rsidR="00D83E33" w:rsidRPr="00852AC7" w:rsidRDefault="00BC4072" w:rsidP="001B330E">
            <w:pPr>
              <w:widowControl w:val="0"/>
              <w:pBdr>
                <w:top w:val="nil"/>
                <w:left w:val="nil"/>
                <w:bottom w:val="nil"/>
                <w:right w:val="nil"/>
                <w:between w:val="nil"/>
              </w:pBdr>
              <w:ind w:left="113" w:hanging="113"/>
              <w:rPr>
                <w:color w:val="FF0000"/>
              </w:rPr>
            </w:pPr>
            <w:r w:rsidRPr="00852AC7">
              <w:rPr>
                <w:color w:val="000000"/>
              </w:rPr>
              <w:t xml:space="preserve">Repayment of principal of lease liabilities </w:t>
            </w:r>
          </w:p>
        </w:tc>
        <w:tc>
          <w:tcPr>
            <w:tcW w:w="455" w:type="pct"/>
            <w:vAlign w:val="bottom"/>
          </w:tcPr>
          <w:p w14:paraId="5E941AF6"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72DB37E4"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5EFC0E9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7EED480" w14:textId="77777777" w:rsidTr="001B330E">
        <w:trPr>
          <w:trHeight w:val="23"/>
        </w:trPr>
        <w:tc>
          <w:tcPr>
            <w:tcW w:w="3030" w:type="pct"/>
            <w:vAlign w:val="bottom"/>
          </w:tcPr>
          <w:p w14:paraId="45C8991E"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xml:space="preserve">Proceeds from </w:t>
            </w:r>
            <w:r w:rsidRPr="00852AC7">
              <w:rPr>
                <w:color w:val="0000FF"/>
              </w:rPr>
              <w:t>[syndicated]</w:t>
            </w:r>
            <w:r w:rsidRPr="00852AC7">
              <w:rPr>
                <w:color w:val="000000"/>
              </w:rPr>
              <w:t xml:space="preserve"> long term borrowings from other banks</w:t>
            </w:r>
          </w:p>
        </w:tc>
        <w:tc>
          <w:tcPr>
            <w:tcW w:w="455" w:type="pct"/>
            <w:vAlign w:val="bottom"/>
          </w:tcPr>
          <w:p w14:paraId="3BA6FE13" w14:textId="77777777" w:rsidR="00D83E33" w:rsidRPr="00852AC7" w:rsidRDefault="00000000">
            <w:pPr>
              <w:widowControl w:val="0"/>
              <w:pBdr>
                <w:top w:val="nil"/>
                <w:left w:val="nil"/>
                <w:bottom w:val="nil"/>
                <w:right w:val="nil"/>
                <w:between w:val="nil"/>
              </w:pBdr>
              <w:jc w:val="center"/>
              <w:rPr>
                <w:color w:val="000000"/>
              </w:rPr>
            </w:pPr>
            <w:hyperlink w:anchor="_heading=h.32hioqz">
              <w:r w:rsidR="00BC4072" w:rsidRPr="00852AC7">
                <w:rPr>
                  <w:color w:val="000000"/>
                </w:rPr>
                <w:t>24</w:t>
              </w:r>
            </w:hyperlink>
          </w:p>
        </w:tc>
        <w:tc>
          <w:tcPr>
            <w:tcW w:w="757" w:type="pct"/>
            <w:vAlign w:val="bottom"/>
          </w:tcPr>
          <w:p w14:paraId="106DE124"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6262EB6E"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36E7038" w14:textId="77777777" w:rsidTr="001B330E">
        <w:trPr>
          <w:trHeight w:val="23"/>
        </w:trPr>
        <w:tc>
          <w:tcPr>
            <w:tcW w:w="3030" w:type="pct"/>
            <w:vAlign w:val="bottom"/>
          </w:tcPr>
          <w:p w14:paraId="705AD770"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xml:space="preserve">Repayment of </w:t>
            </w:r>
            <w:r w:rsidRPr="00852AC7">
              <w:rPr>
                <w:color w:val="0000FF"/>
              </w:rPr>
              <w:t xml:space="preserve">[syndicated] </w:t>
            </w:r>
            <w:r w:rsidRPr="00852AC7">
              <w:rPr>
                <w:color w:val="000000"/>
              </w:rPr>
              <w:t>long term borrowings from other banks</w:t>
            </w:r>
          </w:p>
        </w:tc>
        <w:tc>
          <w:tcPr>
            <w:tcW w:w="455" w:type="pct"/>
            <w:vAlign w:val="bottom"/>
          </w:tcPr>
          <w:p w14:paraId="6807D294" w14:textId="77777777" w:rsidR="00D83E33" w:rsidRPr="00852AC7" w:rsidRDefault="00000000">
            <w:pPr>
              <w:widowControl w:val="0"/>
              <w:pBdr>
                <w:top w:val="nil"/>
                <w:left w:val="nil"/>
                <w:bottom w:val="nil"/>
                <w:right w:val="nil"/>
                <w:between w:val="nil"/>
              </w:pBdr>
              <w:jc w:val="center"/>
              <w:rPr>
                <w:color w:val="000000"/>
              </w:rPr>
            </w:pPr>
            <w:hyperlink w:anchor="_heading=h.32hioqz">
              <w:r w:rsidR="00BC4072" w:rsidRPr="00852AC7">
                <w:rPr>
                  <w:color w:val="000000"/>
                </w:rPr>
                <w:t>24</w:t>
              </w:r>
            </w:hyperlink>
          </w:p>
        </w:tc>
        <w:tc>
          <w:tcPr>
            <w:tcW w:w="757" w:type="pct"/>
            <w:vAlign w:val="bottom"/>
          </w:tcPr>
          <w:p w14:paraId="0F267161"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50D84225"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DBFDB42" w14:textId="77777777" w:rsidTr="001B330E">
        <w:trPr>
          <w:trHeight w:val="23"/>
        </w:trPr>
        <w:tc>
          <w:tcPr>
            <w:tcW w:w="3030" w:type="pct"/>
            <w:vAlign w:val="bottom"/>
          </w:tcPr>
          <w:p w14:paraId="0ED3C19B"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Proceeds from subordinated debt</w:t>
            </w:r>
          </w:p>
        </w:tc>
        <w:tc>
          <w:tcPr>
            <w:tcW w:w="455" w:type="pct"/>
            <w:vAlign w:val="bottom"/>
          </w:tcPr>
          <w:p w14:paraId="6CB6FFB1" w14:textId="77777777" w:rsidR="00D83E33" w:rsidRPr="00852AC7" w:rsidRDefault="00000000">
            <w:pPr>
              <w:widowControl w:val="0"/>
              <w:pBdr>
                <w:top w:val="nil"/>
                <w:left w:val="nil"/>
                <w:bottom w:val="nil"/>
                <w:right w:val="nil"/>
                <w:between w:val="nil"/>
              </w:pBdr>
              <w:jc w:val="center"/>
              <w:rPr>
                <w:color w:val="000000"/>
              </w:rPr>
            </w:pPr>
            <w:hyperlink w:anchor="_heading=h.4f1mdlm">
              <w:r w:rsidR="00BC4072" w:rsidRPr="00852AC7">
                <w:rPr>
                  <w:color w:val="000000"/>
                </w:rPr>
                <w:t>28</w:t>
              </w:r>
            </w:hyperlink>
          </w:p>
        </w:tc>
        <w:tc>
          <w:tcPr>
            <w:tcW w:w="757" w:type="pct"/>
            <w:vAlign w:val="bottom"/>
          </w:tcPr>
          <w:p w14:paraId="437C25D5"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0CC43207"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59AAAF0" w14:textId="77777777" w:rsidTr="001B330E">
        <w:trPr>
          <w:trHeight w:val="23"/>
        </w:trPr>
        <w:tc>
          <w:tcPr>
            <w:tcW w:w="3030" w:type="pct"/>
            <w:vAlign w:val="bottom"/>
          </w:tcPr>
          <w:p w14:paraId="244B4CF8"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Repayment of subordinated debt</w:t>
            </w:r>
          </w:p>
        </w:tc>
        <w:tc>
          <w:tcPr>
            <w:tcW w:w="455" w:type="pct"/>
            <w:vAlign w:val="bottom"/>
          </w:tcPr>
          <w:p w14:paraId="77D47F56" w14:textId="77777777" w:rsidR="00D83E33" w:rsidRPr="00852AC7" w:rsidRDefault="00000000">
            <w:pPr>
              <w:widowControl w:val="0"/>
              <w:pBdr>
                <w:top w:val="nil"/>
                <w:left w:val="nil"/>
                <w:bottom w:val="nil"/>
                <w:right w:val="nil"/>
                <w:between w:val="nil"/>
              </w:pBdr>
              <w:jc w:val="center"/>
              <w:rPr>
                <w:color w:val="000000"/>
              </w:rPr>
            </w:pPr>
            <w:hyperlink w:anchor="_heading=h.4f1mdlm">
              <w:r w:rsidR="00BC4072" w:rsidRPr="00852AC7">
                <w:rPr>
                  <w:color w:val="000000"/>
                </w:rPr>
                <w:t>28</w:t>
              </w:r>
            </w:hyperlink>
          </w:p>
        </w:tc>
        <w:tc>
          <w:tcPr>
            <w:tcW w:w="757" w:type="pct"/>
            <w:vAlign w:val="bottom"/>
          </w:tcPr>
          <w:p w14:paraId="2E25FDC1"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0284A42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68A7615" w14:textId="77777777" w:rsidTr="001B330E">
        <w:trPr>
          <w:trHeight w:val="23"/>
        </w:trPr>
        <w:tc>
          <w:tcPr>
            <w:tcW w:w="3030" w:type="pct"/>
            <w:vAlign w:val="bottom"/>
          </w:tcPr>
          <w:p w14:paraId="099C7E34"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Issue of ordinary shares</w:t>
            </w:r>
          </w:p>
        </w:tc>
        <w:tc>
          <w:tcPr>
            <w:tcW w:w="455" w:type="pct"/>
            <w:vAlign w:val="bottom"/>
          </w:tcPr>
          <w:p w14:paraId="53A2402B" w14:textId="77777777" w:rsidR="00D83E33" w:rsidRPr="00852AC7" w:rsidRDefault="00000000">
            <w:pPr>
              <w:widowControl w:val="0"/>
              <w:pBdr>
                <w:top w:val="nil"/>
                <w:left w:val="nil"/>
                <w:bottom w:val="nil"/>
                <w:right w:val="nil"/>
                <w:between w:val="nil"/>
              </w:pBdr>
              <w:jc w:val="center"/>
              <w:rPr>
                <w:color w:val="000000"/>
              </w:rPr>
            </w:pPr>
            <w:hyperlink w:anchor="_heading=h.2u6wntf">
              <w:r w:rsidR="00BC4072" w:rsidRPr="00852AC7">
                <w:rPr>
                  <w:color w:val="000000"/>
                </w:rPr>
                <w:t>29</w:t>
              </w:r>
            </w:hyperlink>
          </w:p>
        </w:tc>
        <w:tc>
          <w:tcPr>
            <w:tcW w:w="757" w:type="pct"/>
            <w:vAlign w:val="bottom"/>
          </w:tcPr>
          <w:p w14:paraId="1284A311"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057076CE"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325AEBC" w14:textId="77777777" w:rsidTr="001B330E">
        <w:trPr>
          <w:trHeight w:val="23"/>
        </w:trPr>
        <w:tc>
          <w:tcPr>
            <w:tcW w:w="3030" w:type="pct"/>
            <w:vAlign w:val="bottom"/>
          </w:tcPr>
          <w:p w14:paraId="48E0D4C7"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Issue of preference shares</w:t>
            </w:r>
          </w:p>
        </w:tc>
        <w:tc>
          <w:tcPr>
            <w:tcW w:w="455" w:type="pct"/>
            <w:vAlign w:val="bottom"/>
          </w:tcPr>
          <w:p w14:paraId="744FA544" w14:textId="77777777" w:rsidR="00D83E33" w:rsidRPr="00852AC7" w:rsidRDefault="00000000">
            <w:pPr>
              <w:widowControl w:val="0"/>
              <w:pBdr>
                <w:top w:val="nil"/>
                <w:left w:val="nil"/>
                <w:bottom w:val="nil"/>
                <w:right w:val="nil"/>
                <w:between w:val="nil"/>
              </w:pBdr>
              <w:jc w:val="center"/>
              <w:rPr>
                <w:color w:val="000000"/>
              </w:rPr>
            </w:pPr>
            <w:hyperlink w:anchor="_heading=h.2u6wntf">
              <w:r w:rsidR="00BC4072" w:rsidRPr="00852AC7">
                <w:rPr>
                  <w:color w:val="000000"/>
                </w:rPr>
                <w:t>29</w:t>
              </w:r>
            </w:hyperlink>
          </w:p>
        </w:tc>
        <w:tc>
          <w:tcPr>
            <w:tcW w:w="757" w:type="pct"/>
            <w:vAlign w:val="bottom"/>
          </w:tcPr>
          <w:p w14:paraId="2E840CC7"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1AEAF780"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910B125" w14:textId="77777777" w:rsidTr="001B330E">
        <w:trPr>
          <w:trHeight w:val="23"/>
        </w:trPr>
        <w:tc>
          <w:tcPr>
            <w:tcW w:w="3030" w:type="pct"/>
            <w:vAlign w:val="bottom"/>
          </w:tcPr>
          <w:p w14:paraId="17AD35D8"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 xml:space="preserve">Capital contributions from shareholders other than through issuance of shares </w:t>
            </w:r>
          </w:p>
        </w:tc>
        <w:tc>
          <w:tcPr>
            <w:tcW w:w="455" w:type="pct"/>
            <w:vAlign w:val="bottom"/>
          </w:tcPr>
          <w:p w14:paraId="6AF7673F" w14:textId="77777777" w:rsidR="00D83E33" w:rsidRPr="00852AC7" w:rsidRDefault="00000000">
            <w:pPr>
              <w:widowControl w:val="0"/>
              <w:pBdr>
                <w:top w:val="nil"/>
                <w:left w:val="nil"/>
                <w:bottom w:val="nil"/>
                <w:right w:val="nil"/>
                <w:between w:val="nil"/>
              </w:pBdr>
              <w:jc w:val="center"/>
              <w:rPr>
                <w:color w:val="000000"/>
              </w:rPr>
            </w:pPr>
            <w:hyperlink w:anchor="_heading=h.2u6wntf">
              <w:r w:rsidR="00BC4072" w:rsidRPr="00852AC7">
                <w:rPr>
                  <w:color w:val="000000"/>
                </w:rPr>
                <w:t>29</w:t>
              </w:r>
            </w:hyperlink>
          </w:p>
        </w:tc>
        <w:tc>
          <w:tcPr>
            <w:tcW w:w="757" w:type="pct"/>
            <w:vAlign w:val="bottom"/>
          </w:tcPr>
          <w:p w14:paraId="3040DC8A"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43596F5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7AFD5A4" w14:textId="77777777" w:rsidTr="001B330E">
        <w:trPr>
          <w:trHeight w:val="23"/>
        </w:trPr>
        <w:tc>
          <w:tcPr>
            <w:tcW w:w="3030" w:type="pct"/>
            <w:vAlign w:val="bottom"/>
          </w:tcPr>
          <w:p w14:paraId="7068CB27"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treasury shares</w:t>
            </w:r>
          </w:p>
        </w:tc>
        <w:tc>
          <w:tcPr>
            <w:tcW w:w="455" w:type="pct"/>
            <w:vAlign w:val="bottom"/>
          </w:tcPr>
          <w:p w14:paraId="7F469AE3" w14:textId="77777777" w:rsidR="00D83E33" w:rsidRPr="00852AC7" w:rsidRDefault="00000000">
            <w:pPr>
              <w:widowControl w:val="0"/>
              <w:jc w:val="center"/>
            </w:pPr>
            <w:hyperlink w:anchor="_heading=h.2u6wntf">
              <w:r w:rsidR="00BC4072" w:rsidRPr="00852AC7">
                <w:rPr>
                  <w:color w:val="000000"/>
                </w:rPr>
                <w:t>29</w:t>
              </w:r>
            </w:hyperlink>
          </w:p>
        </w:tc>
        <w:tc>
          <w:tcPr>
            <w:tcW w:w="757" w:type="pct"/>
            <w:vAlign w:val="bottom"/>
          </w:tcPr>
          <w:p w14:paraId="52B10341"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6BD6BA24"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1B31868" w14:textId="77777777" w:rsidTr="001B330E">
        <w:trPr>
          <w:trHeight w:val="23"/>
        </w:trPr>
        <w:tc>
          <w:tcPr>
            <w:tcW w:w="3030" w:type="pct"/>
            <w:vAlign w:val="bottom"/>
          </w:tcPr>
          <w:p w14:paraId="1FA3B10C"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Disposal of treasury shares</w:t>
            </w:r>
          </w:p>
        </w:tc>
        <w:tc>
          <w:tcPr>
            <w:tcW w:w="455" w:type="pct"/>
            <w:vAlign w:val="bottom"/>
          </w:tcPr>
          <w:p w14:paraId="65CBE33D" w14:textId="77777777" w:rsidR="00D83E33" w:rsidRPr="00852AC7" w:rsidRDefault="00000000">
            <w:pPr>
              <w:widowControl w:val="0"/>
              <w:jc w:val="center"/>
            </w:pPr>
            <w:hyperlink w:anchor="_heading=h.2u6wntf">
              <w:r w:rsidR="00BC4072" w:rsidRPr="00852AC7">
                <w:rPr>
                  <w:color w:val="000000"/>
                </w:rPr>
                <w:t>29</w:t>
              </w:r>
            </w:hyperlink>
          </w:p>
        </w:tc>
        <w:tc>
          <w:tcPr>
            <w:tcW w:w="757" w:type="pct"/>
            <w:vAlign w:val="bottom"/>
          </w:tcPr>
          <w:p w14:paraId="59D978BF"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06FA0C36"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7CF18C8F" w14:textId="77777777" w:rsidTr="001B330E">
        <w:trPr>
          <w:trHeight w:val="23"/>
        </w:trPr>
        <w:tc>
          <w:tcPr>
            <w:tcW w:w="3030" w:type="pct"/>
            <w:vAlign w:val="bottom"/>
          </w:tcPr>
          <w:p w14:paraId="0EBC2EBE"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Acquisition of non-controlling interest in subsidiaries</w:t>
            </w:r>
          </w:p>
        </w:tc>
        <w:tc>
          <w:tcPr>
            <w:tcW w:w="455" w:type="pct"/>
            <w:vAlign w:val="bottom"/>
          </w:tcPr>
          <w:p w14:paraId="6459E425"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45</w:t>
            </w:r>
          </w:p>
        </w:tc>
        <w:tc>
          <w:tcPr>
            <w:tcW w:w="757" w:type="pct"/>
            <w:vAlign w:val="bottom"/>
          </w:tcPr>
          <w:p w14:paraId="67925753"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742CFCF7"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8BDB529" w14:textId="77777777" w:rsidTr="001B330E">
        <w:trPr>
          <w:trHeight w:val="23"/>
        </w:trPr>
        <w:tc>
          <w:tcPr>
            <w:tcW w:w="3030" w:type="pct"/>
            <w:vAlign w:val="bottom"/>
          </w:tcPr>
          <w:p w14:paraId="59AA3B77" w14:textId="77777777" w:rsidR="00D83E33" w:rsidRPr="00852AC7" w:rsidRDefault="00BC4072" w:rsidP="001B330E">
            <w:pPr>
              <w:widowControl w:val="0"/>
              <w:pBdr>
                <w:top w:val="nil"/>
                <w:left w:val="nil"/>
                <w:bottom w:val="nil"/>
                <w:right w:val="nil"/>
                <w:between w:val="nil"/>
              </w:pBdr>
              <w:ind w:left="113" w:hanging="113"/>
              <w:rPr>
                <w:i/>
                <w:color w:val="000000"/>
              </w:rPr>
            </w:pPr>
            <w:r w:rsidRPr="00852AC7">
              <w:rPr>
                <w:color w:val="000000"/>
              </w:rPr>
              <w:t>Proceeds from disposal of non-controlling interest in subsidiaries</w:t>
            </w:r>
          </w:p>
        </w:tc>
        <w:tc>
          <w:tcPr>
            <w:tcW w:w="455" w:type="pct"/>
            <w:vAlign w:val="bottom"/>
          </w:tcPr>
          <w:p w14:paraId="72B82543"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45</w:t>
            </w:r>
          </w:p>
        </w:tc>
        <w:tc>
          <w:tcPr>
            <w:tcW w:w="757" w:type="pct"/>
            <w:vAlign w:val="bottom"/>
          </w:tcPr>
          <w:p w14:paraId="1D7A5DCC"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7A6D28A8"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35BB1941" w14:textId="77777777" w:rsidTr="001B330E">
        <w:trPr>
          <w:trHeight w:val="23"/>
        </w:trPr>
        <w:tc>
          <w:tcPr>
            <w:tcW w:w="3030" w:type="pct"/>
            <w:vAlign w:val="bottom"/>
          </w:tcPr>
          <w:p w14:paraId="30DBB0C0"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Dividends paid</w:t>
            </w:r>
          </w:p>
        </w:tc>
        <w:tc>
          <w:tcPr>
            <w:tcW w:w="455" w:type="pct"/>
            <w:vAlign w:val="bottom"/>
          </w:tcPr>
          <w:p w14:paraId="77187AD5" w14:textId="77777777" w:rsidR="00D83E33" w:rsidRPr="00852AC7" w:rsidRDefault="00000000">
            <w:pPr>
              <w:widowControl w:val="0"/>
              <w:pBdr>
                <w:top w:val="nil"/>
                <w:left w:val="nil"/>
                <w:bottom w:val="nil"/>
                <w:right w:val="nil"/>
                <w:between w:val="nil"/>
              </w:pBdr>
              <w:jc w:val="center"/>
              <w:rPr>
                <w:color w:val="000000"/>
              </w:rPr>
            </w:pPr>
            <w:hyperlink w:anchor="_heading=h.111kx3o">
              <w:r w:rsidR="00BC4072" w:rsidRPr="00852AC7">
                <w:rPr>
                  <w:color w:val="000000"/>
                </w:rPr>
                <w:t>37</w:t>
              </w:r>
            </w:hyperlink>
          </w:p>
        </w:tc>
        <w:tc>
          <w:tcPr>
            <w:tcW w:w="757" w:type="pct"/>
            <w:vAlign w:val="bottom"/>
          </w:tcPr>
          <w:p w14:paraId="012D295B"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3C9831C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56D44C13" w14:textId="77777777" w:rsidTr="001B330E">
        <w:trPr>
          <w:trHeight w:val="23"/>
        </w:trPr>
        <w:tc>
          <w:tcPr>
            <w:tcW w:w="3030" w:type="pct"/>
            <w:vAlign w:val="bottom"/>
          </w:tcPr>
          <w:p w14:paraId="65C4B61E"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Discretionary interest on perpetual bonds paid</w:t>
            </w:r>
          </w:p>
        </w:tc>
        <w:tc>
          <w:tcPr>
            <w:tcW w:w="455" w:type="pct"/>
            <w:vAlign w:val="bottom"/>
          </w:tcPr>
          <w:p w14:paraId="468B7F21"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37</w:t>
            </w:r>
          </w:p>
        </w:tc>
        <w:tc>
          <w:tcPr>
            <w:tcW w:w="757" w:type="pct"/>
            <w:vAlign w:val="bottom"/>
          </w:tcPr>
          <w:p w14:paraId="7098F3D8"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36CFA406"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3AFB58E" w14:textId="77777777" w:rsidTr="001B330E">
        <w:trPr>
          <w:trHeight w:val="23"/>
        </w:trPr>
        <w:tc>
          <w:tcPr>
            <w:tcW w:w="3030" w:type="pct"/>
            <w:vAlign w:val="bottom"/>
          </w:tcPr>
          <w:p w14:paraId="29776333"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Proceeds from issue of perpetual bonds</w:t>
            </w:r>
          </w:p>
        </w:tc>
        <w:tc>
          <w:tcPr>
            <w:tcW w:w="455" w:type="pct"/>
            <w:vAlign w:val="bottom"/>
          </w:tcPr>
          <w:p w14:paraId="64255D63"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30</w:t>
            </w:r>
          </w:p>
        </w:tc>
        <w:tc>
          <w:tcPr>
            <w:tcW w:w="757" w:type="pct"/>
            <w:vAlign w:val="bottom"/>
          </w:tcPr>
          <w:p w14:paraId="087C9235"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2E01BCA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02FA53D" w14:textId="77777777" w:rsidTr="001B330E">
        <w:trPr>
          <w:trHeight w:val="23"/>
        </w:trPr>
        <w:tc>
          <w:tcPr>
            <w:tcW w:w="3030" w:type="pct"/>
            <w:vAlign w:val="bottom"/>
          </w:tcPr>
          <w:p w14:paraId="56D4BC5C"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Repayment of perpetual bonds</w:t>
            </w:r>
          </w:p>
        </w:tc>
        <w:tc>
          <w:tcPr>
            <w:tcW w:w="455" w:type="pct"/>
            <w:vAlign w:val="bottom"/>
          </w:tcPr>
          <w:p w14:paraId="3A4B02F8"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30</w:t>
            </w:r>
          </w:p>
        </w:tc>
        <w:tc>
          <w:tcPr>
            <w:tcW w:w="757" w:type="pct"/>
            <w:vAlign w:val="bottom"/>
          </w:tcPr>
          <w:p w14:paraId="6ABDACFF"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09A2A8BA"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120D4449" w14:textId="77777777" w:rsidTr="001B330E">
        <w:trPr>
          <w:trHeight w:val="23"/>
        </w:trPr>
        <w:tc>
          <w:tcPr>
            <w:tcW w:w="3030" w:type="pct"/>
            <w:vAlign w:val="bottom"/>
          </w:tcPr>
          <w:p w14:paraId="7EE2DB70"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Capital distributions to shareholders other than dividends</w:t>
            </w:r>
          </w:p>
        </w:tc>
        <w:tc>
          <w:tcPr>
            <w:tcW w:w="455" w:type="pct"/>
            <w:vAlign w:val="bottom"/>
          </w:tcPr>
          <w:p w14:paraId="6009666D"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29</w:t>
            </w:r>
          </w:p>
        </w:tc>
        <w:tc>
          <w:tcPr>
            <w:tcW w:w="757" w:type="pct"/>
            <w:vAlign w:val="bottom"/>
          </w:tcPr>
          <w:p w14:paraId="63AB3E7C"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3B89018D"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21CD3C85" w14:textId="77777777" w:rsidTr="001B330E">
        <w:trPr>
          <w:trHeight w:val="23"/>
        </w:trPr>
        <w:tc>
          <w:tcPr>
            <w:tcW w:w="3030" w:type="pct"/>
            <w:tcBorders>
              <w:bottom w:val="single" w:sz="4" w:space="0" w:color="000000"/>
            </w:tcBorders>
            <w:vAlign w:val="bottom"/>
          </w:tcPr>
          <w:p w14:paraId="220151A1"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4" w:space="0" w:color="000000"/>
            </w:tcBorders>
            <w:vAlign w:val="bottom"/>
          </w:tcPr>
          <w:p w14:paraId="27A54E4E"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4" w:space="0" w:color="000000"/>
            </w:tcBorders>
            <w:vAlign w:val="bottom"/>
          </w:tcPr>
          <w:p w14:paraId="0BB9BE63" w14:textId="77777777" w:rsidR="00D83E33" w:rsidRPr="00852AC7" w:rsidRDefault="00D83E33">
            <w:pPr>
              <w:widowControl w:val="0"/>
              <w:pBdr>
                <w:top w:val="nil"/>
                <w:left w:val="nil"/>
                <w:bottom w:val="nil"/>
                <w:right w:val="nil"/>
                <w:between w:val="nil"/>
              </w:pBdr>
              <w:jc w:val="right"/>
              <w:rPr>
                <w:color w:val="000000"/>
              </w:rPr>
            </w:pPr>
          </w:p>
        </w:tc>
        <w:tc>
          <w:tcPr>
            <w:tcW w:w="757" w:type="pct"/>
            <w:tcBorders>
              <w:bottom w:val="single" w:sz="4" w:space="0" w:color="000000"/>
            </w:tcBorders>
            <w:vAlign w:val="bottom"/>
          </w:tcPr>
          <w:p w14:paraId="6FC98A58"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48817E84" w14:textId="77777777" w:rsidTr="001B330E">
        <w:trPr>
          <w:trHeight w:val="23"/>
        </w:trPr>
        <w:tc>
          <w:tcPr>
            <w:tcW w:w="3030" w:type="pct"/>
            <w:vAlign w:val="bottom"/>
          </w:tcPr>
          <w:p w14:paraId="5997792E"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vAlign w:val="bottom"/>
          </w:tcPr>
          <w:p w14:paraId="2310C2C3"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550C7FA4" w14:textId="77777777" w:rsidR="00D83E33" w:rsidRPr="00852AC7" w:rsidRDefault="00D83E33">
            <w:pPr>
              <w:widowControl w:val="0"/>
              <w:pBdr>
                <w:top w:val="nil"/>
                <w:left w:val="nil"/>
                <w:bottom w:val="nil"/>
                <w:right w:val="nil"/>
                <w:between w:val="nil"/>
              </w:pBdr>
              <w:jc w:val="right"/>
              <w:rPr>
                <w:color w:val="000000"/>
              </w:rPr>
            </w:pPr>
          </w:p>
        </w:tc>
        <w:tc>
          <w:tcPr>
            <w:tcW w:w="757" w:type="pct"/>
            <w:vAlign w:val="bottom"/>
          </w:tcPr>
          <w:p w14:paraId="5B899762"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63B9E10F" w14:textId="77777777" w:rsidTr="001B330E">
        <w:trPr>
          <w:trHeight w:val="23"/>
        </w:trPr>
        <w:tc>
          <w:tcPr>
            <w:tcW w:w="3030" w:type="pct"/>
            <w:vAlign w:val="bottom"/>
          </w:tcPr>
          <w:p w14:paraId="2ADF67B8"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Net cash from/(used in) financing activities</w:t>
            </w:r>
          </w:p>
        </w:tc>
        <w:tc>
          <w:tcPr>
            <w:tcW w:w="455" w:type="pct"/>
            <w:vAlign w:val="bottom"/>
          </w:tcPr>
          <w:p w14:paraId="579AC88C"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680C805E"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42A58A5D"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1FF1BE79" w14:textId="77777777" w:rsidTr="001B330E">
        <w:trPr>
          <w:trHeight w:val="23"/>
        </w:trPr>
        <w:tc>
          <w:tcPr>
            <w:tcW w:w="3030" w:type="pct"/>
            <w:tcBorders>
              <w:bottom w:val="single" w:sz="12" w:space="0" w:color="000000"/>
            </w:tcBorders>
            <w:vAlign w:val="bottom"/>
          </w:tcPr>
          <w:p w14:paraId="6CFBDD08"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12" w:space="0" w:color="000000"/>
            </w:tcBorders>
            <w:vAlign w:val="bottom"/>
          </w:tcPr>
          <w:p w14:paraId="155B5AEB"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12" w:space="0" w:color="000000"/>
            </w:tcBorders>
            <w:vAlign w:val="bottom"/>
          </w:tcPr>
          <w:p w14:paraId="6CBBA922" w14:textId="77777777" w:rsidR="00D83E33" w:rsidRPr="00852AC7" w:rsidRDefault="00D83E33">
            <w:pPr>
              <w:widowControl w:val="0"/>
              <w:pBdr>
                <w:top w:val="nil"/>
                <w:left w:val="nil"/>
                <w:bottom w:val="nil"/>
                <w:right w:val="nil"/>
                <w:between w:val="nil"/>
              </w:pBdr>
              <w:jc w:val="right"/>
              <w:rPr>
                <w:color w:val="000000"/>
              </w:rPr>
            </w:pPr>
          </w:p>
        </w:tc>
        <w:tc>
          <w:tcPr>
            <w:tcW w:w="757" w:type="pct"/>
            <w:tcBorders>
              <w:bottom w:val="single" w:sz="12" w:space="0" w:color="000000"/>
            </w:tcBorders>
            <w:vAlign w:val="bottom"/>
          </w:tcPr>
          <w:p w14:paraId="76546D4B" w14:textId="77777777" w:rsidR="00D83E33" w:rsidRPr="00852AC7" w:rsidRDefault="00D83E33">
            <w:pPr>
              <w:widowControl w:val="0"/>
              <w:pBdr>
                <w:top w:val="nil"/>
                <w:left w:val="nil"/>
                <w:bottom w:val="nil"/>
                <w:right w:val="nil"/>
                <w:between w:val="nil"/>
              </w:pBdr>
              <w:jc w:val="right"/>
              <w:rPr>
                <w:color w:val="000000"/>
              </w:rPr>
            </w:pPr>
          </w:p>
        </w:tc>
      </w:tr>
      <w:tr w:rsidR="00D83E33" w:rsidRPr="00852AC7" w14:paraId="05B326C8" w14:textId="77777777" w:rsidTr="001B330E">
        <w:trPr>
          <w:trHeight w:val="23"/>
        </w:trPr>
        <w:tc>
          <w:tcPr>
            <w:tcW w:w="3030" w:type="pct"/>
            <w:vAlign w:val="bottom"/>
          </w:tcPr>
          <w:p w14:paraId="1824F4E9"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vAlign w:val="bottom"/>
          </w:tcPr>
          <w:p w14:paraId="5CD45706"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591B6CDA"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0C2BC1B6"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3257F384" w14:textId="77777777" w:rsidTr="001B330E">
        <w:trPr>
          <w:trHeight w:val="23"/>
        </w:trPr>
        <w:tc>
          <w:tcPr>
            <w:tcW w:w="3030" w:type="pct"/>
            <w:vAlign w:val="bottom"/>
          </w:tcPr>
          <w:p w14:paraId="44E37AF5"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Effect of exchange rate changes on cash and cash equivalents</w:t>
            </w:r>
          </w:p>
        </w:tc>
        <w:tc>
          <w:tcPr>
            <w:tcW w:w="455" w:type="pct"/>
            <w:vAlign w:val="bottom"/>
          </w:tcPr>
          <w:p w14:paraId="65F0DA99"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63FF185D"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4C56A07F"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571CF0A8" w14:textId="77777777" w:rsidTr="001B330E">
        <w:trPr>
          <w:trHeight w:val="23"/>
        </w:trPr>
        <w:tc>
          <w:tcPr>
            <w:tcW w:w="3030" w:type="pct"/>
            <w:vAlign w:val="bottom"/>
          </w:tcPr>
          <w:p w14:paraId="7325DE73"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Effect of changes in expected credit losses on cash and cash equivalents</w:t>
            </w:r>
          </w:p>
        </w:tc>
        <w:tc>
          <w:tcPr>
            <w:tcW w:w="455" w:type="pct"/>
            <w:vAlign w:val="bottom"/>
          </w:tcPr>
          <w:p w14:paraId="0ED3D745"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6FF61E59"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4FF72395"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7222D413" w14:textId="77777777" w:rsidTr="001B330E">
        <w:trPr>
          <w:trHeight w:val="23"/>
        </w:trPr>
        <w:tc>
          <w:tcPr>
            <w:tcW w:w="3030" w:type="pct"/>
            <w:tcBorders>
              <w:bottom w:val="single" w:sz="12" w:space="0" w:color="000000"/>
            </w:tcBorders>
            <w:vAlign w:val="bottom"/>
          </w:tcPr>
          <w:p w14:paraId="0C493B98"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12" w:space="0" w:color="000000"/>
            </w:tcBorders>
            <w:vAlign w:val="bottom"/>
          </w:tcPr>
          <w:p w14:paraId="707FF289"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12" w:space="0" w:color="000000"/>
            </w:tcBorders>
            <w:vAlign w:val="bottom"/>
          </w:tcPr>
          <w:p w14:paraId="77885413" w14:textId="77777777" w:rsidR="00D83E33" w:rsidRPr="00852AC7" w:rsidRDefault="00D83E33">
            <w:pPr>
              <w:widowControl w:val="0"/>
              <w:pBdr>
                <w:top w:val="nil"/>
                <w:left w:val="nil"/>
                <w:bottom w:val="nil"/>
                <w:right w:val="nil"/>
                <w:between w:val="nil"/>
              </w:pBdr>
              <w:jc w:val="right"/>
              <w:rPr>
                <w:b/>
                <w:color w:val="000000"/>
              </w:rPr>
            </w:pPr>
          </w:p>
        </w:tc>
        <w:tc>
          <w:tcPr>
            <w:tcW w:w="757" w:type="pct"/>
            <w:tcBorders>
              <w:bottom w:val="single" w:sz="12" w:space="0" w:color="000000"/>
            </w:tcBorders>
            <w:vAlign w:val="bottom"/>
          </w:tcPr>
          <w:p w14:paraId="440E42BB"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725DBCD3" w14:textId="77777777" w:rsidTr="001B330E">
        <w:trPr>
          <w:trHeight w:val="23"/>
        </w:trPr>
        <w:tc>
          <w:tcPr>
            <w:tcW w:w="3030" w:type="pct"/>
            <w:tcBorders>
              <w:top w:val="single" w:sz="12" w:space="0" w:color="000000"/>
            </w:tcBorders>
            <w:vAlign w:val="bottom"/>
          </w:tcPr>
          <w:p w14:paraId="3D2EDC6E"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top w:val="single" w:sz="12" w:space="0" w:color="000000"/>
            </w:tcBorders>
            <w:vAlign w:val="bottom"/>
          </w:tcPr>
          <w:p w14:paraId="49CB47CB"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top w:val="single" w:sz="12" w:space="0" w:color="000000"/>
            </w:tcBorders>
            <w:vAlign w:val="bottom"/>
          </w:tcPr>
          <w:p w14:paraId="168E1CCD" w14:textId="77777777" w:rsidR="00D83E33" w:rsidRPr="00852AC7" w:rsidRDefault="00D83E33">
            <w:pPr>
              <w:widowControl w:val="0"/>
              <w:pBdr>
                <w:top w:val="nil"/>
                <w:left w:val="nil"/>
                <w:bottom w:val="nil"/>
                <w:right w:val="nil"/>
                <w:between w:val="nil"/>
              </w:pBdr>
              <w:jc w:val="right"/>
              <w:rPr>
                <w:b/>
                <w:color w:val="000000"/>
              </w:rPr>
            </w:pPr>
          </w:p>
        </w:tc>
        <w:tc>
          <w:tcPr>
            <w:tcW w:w="757" w:type="pct"/>
            <w:tcBorders>
              <w:top w:val="single" w:sz="12" w:space="0" w:color="000000"/>
            </w:tcBorders>
            <w:vAlign w:val="bottom"/>
          </w:tcPr>
          <w:p w14:paraId="64F3A715"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29FD3E61" w14:textId="77777777" w:rsidTr="001B330E">
        <w:trPr>
          <w:trHeight w:val="23"/>
        </w:trPr>
        <w:tc>
          <w:tcPr>
            <w:tcW w:w="3030" w:type="pct"/>
            <w:vAlign w:val="bottom"/>
          </w:tcPr>
          <w:p w14:paraId="1121CF95"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Net increase/(decrease) in cash and cash equivalents</w:t>
            </w:r>
          </w:p>
        </w:tc>
        <w:tc>
          <w:tcPr>
            <w:tcW w:w="455" w:type="pct"/>
            <w:vAlign w:val="bottom"/>
          </w:tcPr>
          <w:p w14:paraId="59255461"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822F17F"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3F9749F6"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262C064A" w14:textId="77777777" w:rsidTr="001B330E">
        <w:trPr>
          <w:trHeight w:val="23"/>
        </w:trPr>
        <w:tc>
          <w:tcPr>
            <w:tcW w:w="3030" w:type="pct"/>
            <w:vAlign w:val="bottom"/>
          </w:tcPr>
          <w:p w14:paraId="734EEB2C" w14:textId="77777777" w:rsidR="00D83E33" w:rsidRPr="00852AC7" w:rsidRDefault="00BC4072" w:rsidP="001B330E">
            <w:pPr>
              <w:widowControl w:val="0"/>
              <w:pBdr>
                <w:top w:val="nil"/>
                <w:left w:val="nil"/>
                <w:bottom w:val="nil"/>
                <w:right w:val="nil"/>
                <w:between w:val="nil"/>
              </w:pBdr>
              <w:ind w:left="113" w:hanging="113"/>
              <w:rPr>
                <w:color w:val="000000"/>
              </w:rPr>
            </w:pPr>
            <w:r w:rsidRPr="00852AC7">
              <w:rPr>
                <w:color w:val="000000"/>
              </w:rPr>
              <w:t>Cash and cash equivalents at the beginning of the year</w:t>
            </w:r>
          </w:p>
        </w:tc>
        <w:tc>
          <w:tcPr>
            <w:tcW w:w="455" w:type="pct"/>
            <w:vAlign w:val="bottom"/>
          </w:tcPr>
          <w:p w14:paraId="35A0F251"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7A7CE6AA"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24A9EE69"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33519895" w14:textId="77777777" w:rsidTr="001B330E">
        <w:trPr>
          <w:trHeight w:val="23"/>
        </w:trPr>
        <w:tc>
          <w:tcPr>
            <w:tcW w:w="3030" w:type="pct"/>
            <w:tcBorders>
              <w:bottom w:val="single" w:sz="4" w:space="0" w:color="000000"/>
            </w:tcBorders>
            <w:vAlign w:val="bottom"/>
          </w:tcPr>
          <w:p w14:paraId="01FA1E0D"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4" w:space="0" w:color="000000"/>
            </w:tcBorders>
            <w:vAlign w:val="bottom"/>
          </w:tcPr>
          <w:p w14:paraId="735F920A"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4" w:space="0" w:color="000000"/>
            </w:tcBorders>
            <w:vAlign w:val="bottom"/>
          </w:tcPr>
          <w:p w14:paraId="3472881D" w14:textId="77777777" w:rsidR="00D83E33" w:rsidRPr="00852AC7" w:rsidRDefault="00D83E33">
            <w:pPr>
              <w:widowControl w:val="0"/>
              <w:pBdr>
                <w:top w:val="nil"/>
                <w:left w:val="nil"/>
                <w:bottom w:val="nil"/>
                <w:right w:val="nil"/>
                <w:between w:val="nil"/>
              </w:pBdr>
              <w:jc w:val="right"/>
              <w:rPr>
                <w:b/>
                <w:color w:val="000000"/>
              </w:rPr>
            </w:pPr>
          </w:p>
        </w:tc>
        <w:tc>
          <w:tcPr>
            <w:tcW w:w="757" w:type="pct"/>
            <w:tcBorders>
              <w:bottom w:val="single" w:sz="4" w:space="0" w:color="000000"/>
            </w:tcBorders>
            <w:vAlign w:val="bottom"/>
          </w:tcPr>
          <w:p w14:paraId="28DCA278"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076D2C4E" w14:textId="77777777" w:rsidTr="001B330E">
        <w:trPr>
          <w:trHeight w:val="23"/>
        </w:trPr>
        <w:tc>
          <w:tcPr>
            <w:tcW w:w="3030" w:type="pct"/>
            <w:vAlign w:val="bottom"/>
          </w:tcPr>
          <w:p w14:paraId="5C574E70"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vAlign w:val="bottom"/>
          </w:tcPr>
          <w:p w14:paraId="1C691560" w14:textId="77777777" w:rsidR="00D83E33" w:rsidRPr="00852AC7" w:rsidRDefault="00D83E33">
            <w:pPr>
              <w:widowControl w:val="0"/>
              <w:pBdr>
                <w:top w:val="nil"/>
                <w:left w:val="nil"/>
                <w:bottom w:val="nil"/>
                <w:right w:val="nil"/>
                <w:between w:val="nil"/>
              </w:pBdr>
              <w:jc w:val="center"/>
              <w:rPr>
                <w:color w:val="000000"/>
              </w:rPr>
            </w:pPr>
          </w:p>
        </w:tc>
        <w:tc>
          <w:tcPr>
            <w:tcW w:w="757" w:type="pct"/>
            <w:vAlign w:val="bottom"/>
          </w:tcPr>
          <w:p w14:paraId="0665D2EE"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0B5999C7"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44D809CA" w14:textId="77777777" w:rsidTr="001B330E">
        <w:trPr>
          <w:trHeight w:val="23"/>
        </w:trPr>
        <w:tc>
          <w:tcPr>
            <w:tcW w:w="3030" w:type="pct"/>
            <w:vAlign w:val="bottom"/>
          </w:tcPr>
          <w:p w14:paraId="02496AFB" w14:textId="77777777" w:rsidR="00D83E33" w:rsidRPr="00852AC7" w:rsidRDefault="00BC4072" w:rsidP="001B330E">
            <w:pPr>
              <w:widowControl w:val="0"/>
              <w:pBdr>
                <w:top w:val="nil"/>
                <w:left w:val="nil"/>
                <w:bottom w:val="nil"/>
                <w:right w:val="nil"/>
                <w:between w:val="nil"/>
              </w:pBdr>
              <w:ind w:left="113" w:hanging="113"/>
              <w:rPr>
                <w:b/>
                <w:color w:val="000000"/>
              </w:rPr>
            </w:pPr>
            <w:r w:rsidRPr="00852AC7">
              <w:rPr>
                <w:b/>
                <w:color w:val="000000"/>
              </w:rPr>
              <w:t>Cash and cash equivalents at the end of the year</w:t>
            </w:r>
          </w:p>
        </w:tc>
        <w:tc>
          <w:tcPr>
            <w:tcW w:w="455" w:type="pct"/>
            <w:vAlign w:val="bottom"/>
          </w:tcPr>
          <w:p w14:paraId="5599CCF7" w14:textId="77777777" w:rsidR="00D83E33" w:rsidRPr="00852AC7" w:rsidRDefault="00BC4072">
            <w:pPr>
              <w:widowControl w:val="0"/>
              <w:pBdr>
                <w:top w:val="nil"/>
                <w:left w:val="nil"/>
                <w:bottom w:val="nil"/>
                <w:right w:val="nil"/>
                <w:between w:val="nil"/>
              </w:pBdr>
              <w:jc w:val="center"/>
              <w:rPr>
                <w:color w:val="000000"/>
              </w:rPr>
            </w:pPr>
            <w:r w:rsidRPr="00852AC7">
              <w:rPr>
                <w:color w:val="000000"/>
              </w:rPr>
              <w:t>7</w:t>
            </w:r>
          </w:p>
        </w:tc>
        <w:tc>
          <w:tcPr>
            <w:tcW w:w="757" w:type="pct"/>
            <w:vAlign w:val="bottom"/>
          </w:tcPr>
          <w:p w14:paraId="0858F8E7" w14:textId="77777777" w:rsidR="00D83E33" w:rsidRPr="00852AC7" w:rsidRDefault="00D83E33">
            <w:pPr>
              <w:widowControl w:val="0"/>
              <w:pBdr>
                <w:top w:val="nil"/>
                <w:left w:val="nil"/>
                <w:bottom w:val="nil"/>
                <w:right w:val="nil"/>
                <w:between w:val="nil"/>
              </w:pBdr>
              <w:jc w:val="right"/>
              <w:rPr>
                <w:b/>
                <w:color w:val="000000"/>
              </w:rPr>
            </w:pPr>
          </w:p>
        </w:tc>
        <w:tc>
          <w:tcPr>
            <w:tcW w:w="757" w:type="pct"/>
            <w:vAlign w:val="bottom"/>
          </w:tcPr>
          <w:p w14:paraId="58515FE0" w14:textId="77777777" w:rsidR="00D83E33" w:rsidRPr="00852AC7" w:rsidRDefault="00D83E33">
            <w:pPr>
              <w:widowControl w:val="0"/>
              <w:pBdr>
                <w:top w:val="nil"/>
                <w:left w:val="nil"/>
                <w:bottom w:val="nil"/>
                <w:right w:val="nil"/>
                <w:between w:val="nil"/>
              </w:pBdr>
              <w:jc w:val="right"/>
              <w:rPr>
                <w:b/>
                <w:color w:val="000000"/>
              </w:rPr>
            </w:pPr>
          </w:p>
        </w:tc>
      </w:tr>
      <w:tr w:rsidR="00D83E33" w:rsidRPr="00852AC7" w14:paraId="1F960F7F" w14:textId="77777777" w:rsidTr="001B330E">
        <w:trPr>
          <w:trHeight w:val="23"/>
        </w:trPr>
        <w:tc>
          <w:tcPr>
            <w:tcW w:w="3030" w:type="pct"/>
            <w:tcBorders>
              <w:bottom w:val="single" w:sz="12" w:space="0" w:color="000000"/>
            </w:tcBorders>
            <w:vAlign w:val="bottom"/>
          </w:tcPr>
          <w:p w14:paraId="2EFC5610" w14:textId="77777777" w:rsidR="00D83E33" w:rsidRPr="00852AC7" w:rsidRDefault="00BC4072" w:rsidP="001B330E">
            <w:pPr>
              <w:widowControl w:val="0"/>
              <w:pBdr>
                <w:top w:val="nil"/>
                <w:left w:val="nil"/>
                <w:bottom w:val="nil"/>
                <w:right w:val="nil"/>
                <w:between w:val="nil"/>
              </w:pBdr>
              <w:tabs>
                <w:tab w:val="right" w:pos="8782"/>
              </w:tabs>
              <w:ind w:left="113" w:hanging="113"/>
              <w:rPr>
                <w:color w:val="000000"/>
              </w:rPr>
            </w:pPr>
            <w:r w:rsidRPr="00852AC7">
              <w:rPr>
                <w:color w:val="000000"/>
              </w:rPr>
              <w:t> </w:t>
            </w:r>
          </w:p>
        </w:tc>
        <w:tc>
          <w:tcPr>
            <w:tcW w:w="455" w:type="pct"/>
            <w:tcBorders>
              <w:bottom w:val="single" w:sz="12" w:space="0" w:color="000000"/>
            </w:tcBorders>
            <w:vAlign w:val="bottom"/>
          </w:tcPr>
          <w:p w14:paraId="217E68D3" w14:textId="77777777" w:rsidR="00D83E33" w:rsidRPr="00852AC7" w:rsidRDefault="00D83E33">
            <w:pPr>
              <w:widowControl w:val="0"/>
              <w:pBdr>
                <w:top w:val="nil"/>
                <w:left w:val="nil"/>
                <w:bottom w:val="nil"/>
                <w:right w:val="nil"/>
                <w:between w:val="nil"/>
              </w:pBdr>
              <w:jc w:val="center"/>
              <w:rPr>
                <w:color w:val="000000"/>
              </w:rPr>
            </w:pPr>
          </w:p>
        </w:tc>
        <w:tc>
          <w:tcPr>
            <w:tcW w:w="757" w:type="pct"/>
            <w:tcBorders>
              <w:bottom w:val="single" w:sz="12" w:space="0" w:color="000000"/>
            </w:tcBorders>
            <w:vAlign w:val="bottom"/>
          </w:tcPr>
          <w:p w14:paraId="0988254C" w14:textId="77777777" w:rsidR="00D83E33" w:rsidRPr="00852AC7" w:rsidRDefault="00D83E33">
            <w:pPr>
              <w:widowControl w:val="0"/>
              <w:pBdr>
                <w:top w:val="nil"/>
                <w:left w:val="nil"/>
                <w:bottom w:val="nil"/>
                <w:right w:val="nil"/>
                <w:between w:val="nil"/>
              </w:pBdr>
              <w:jc w:val="right"/>
              <w:rPr>
                <w:b/>
                <w:color w:val="000000"/>
              </w:rPr>
            </w:pPr>
          </w:p>
        </w:tc>
        <w:tc>
          <w:tcPr>
            <w:tcW w:w="757" w:type="pct"/>
            <w:tcBorders>
              <w:bottom w:val="single" w:sz="12" w:space="0" w:color="000000"/>
            </w:tcBorders>
            <w:vAlign w:val="bottom"/>
          </w:tcPr>
          <w:p w14:paraId="470B8264" w14:textId="77777777" w:rsidR="00D83E33" w:rsidRPr="00852AC7" w:rsidRDefault="00D83E33">
            <w:pPr>
              <w:widowControl w:val="0"/>
              <w:pBdr>
                <w:top w:val="nil"/>
                <w:left w:val="nil"/>
                <w:bottom w:val="nil"/>
                <w:right w:val="nil"/>
                <w:between w:val="nil"/>
              </w:pBdr>
              <w:jc w:val="right"/>
              <w:rPr>
                <w:b/>
                <w:color w:val="000000"/>
              </w:rPr>
            </w:pPr>
          </w:p>
        </w:tc>
      </w:tr>
    </w:tbl>
    <w:p w14:paraId="5ADD3475" w14:textId="77777777"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[Refer to Note 7 for investing and financing transactions that did not require the use of cash and cash equivalents and were excluded from the statement of cash flows.]</w:t>
      </w:r>
    </w:p>
    <w:p w14:paraId="0281801D" w14:textId="77777777" w:rsidR="00250890" w:rsidRDefault="00250890" w:rsidP="00250890">
      <w:pPr>
        <w:pStyle w:val="red"/>
        <w:numPr>
          <w:ilvl w:val="0"/>
          <w:numId w:val="0"/>
        </w:numPr>
        <w:rPr>
          <w:iCs/>
        </w:rPr>
      </w:pPr>
    </w:p>
    <w:p w14:paraId="1EC2D44D" w14:textId="2F372C4B" w:rsidR="002542D0" w:rsidRPr="00372E26" w:rsidRDefault="002542D0" w:rsidP="00613F4D">
      <w:pPr>
        <w:pStyle w:val="red"/>
        <w:numPr>
          <w:ilvl w:val="0"/>
          <w:numId w:val="0"/>
        </w:numPr>
        <w:jc w:val="left"/>
        <w:rPr>
          <w:iCs/>
        </w:rPr>
        <w:sectPr w:rsidR="002542D0" w:rsidRPr="00372E26">
          <w:headerReference w:type="default" r:id="rId17"/>
          <w:pgSz w:w="11907" w:h="16840"/>
          <w:pgMar w:top="1418" w:right="851" w:bottom="1418" w:left="1701" w:header="737" w:footer="567" w:gutter="0"/>
          <w:cols w:space="720"/>
        </w:sectPr>
      </w:pPr>
    </w:p>
    <w:p w14:paraId="33575C93" w14:textId="77777777" w:rsidR="00D83E33" w:rsidRDefault="00BC4072" w:rsidP="001B330E">
      <w:pPr>
        <w:pStyle w:val="Heading1"/>
        <w:spacing w:before="0"/>
        <w:rPr>
          <w:smallCaps/>
        </w:rPr>
      </w:pPr>
      <w:bookmarkStart w:id="5" w:name="_Toc179196003"/>
      <w:r w:rsidRPr="00F1145B">
        <w:lastRenderedPageBreak/>
        <w:t>Introduction</w:t>
      </w:r>
      <w:bookmarkEnd w:id="5"/>
    </w:p>
    <w:p w14:paraId="39873BA2" w14:textId="6A011EB1"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These </w:t>
      </w:r>
      <w:r>
        <w:rPr>
          <w:color w:val="0000FF"/>
          <w:sz w:val="20"/>
          <w:szCs w:val="20"/>
        </w:rPr>
        <w:t>[consolidated]</w:t>
      </w:r>
      <w:r>
        <w:rPr>
          <w:color w:val="000000"/>
          <w:sz w:val="20"/>
          <w:szCs w:val="20"/>
        </w:rPr>
        <w:t xml:space="preserve"> financial statements have been prepared in accordance with International Financial Reporting Standards </w:t>
      </w:r>
      <w:r w:rsidR="00712BF2">
        <w:rPr>
          <w:color w:val="000000"/>
          <w:sz w:val="20"/>
          <w:szCs w:val="20"/>
        </w:rPr>
        <w:t xml:space="preserve">as issued by the IASB </w:t>
      </w:r>
      <w:r w:rsidR="007A3A7C">
        <w:rPr>
          <w:color w:val="000000"/>
          <w:sz w:val="20"/>
          <w:szCs w:val="20"/>
        </w:rPr>
        <w:t xml:space="preserve">(“IFRS Accounting Standards”) </w:t>
      </w:r>
      <w:r>
        <w:rPr>
          <w:color w:val="000000"/>
          <w:sz w:val="20"/>
          <w:szCs w:val="20"/>
        </w:rPr>
        <w:t>for the year ended 31</w:t>
      </w:r>
      <w:r w:rsidR="00181687">
        <w:rPr>
          <w:color w:val="000000"/>
          <w:sz w:val="20"/>
          <w:szCs w:val="20"/>
        </w:rPr>
        <w:t> December </w:t>
      </w:r>
      <w:r w:rsidR="00541EBC">
        <w:rPr>
          <w:color w:val="000000"/>
          <w:sz w:val="20"/>
          <w:szCs w:val="20"/>
        </w:rPr>
        <w:t>2024</w:t>
      </w:r>
      <w:r>
        <w:rPr>
          <w:color w:val="000000"/>
          <w:sz w:val="20"/>
          <w:szCs w:val="20"/>
        </w:rPr>
        <w:t xml:space="preserve"> for ABC Bank (the “Bank”) and its subsidiaries (the “Group”).</w:t>
      </w:r>
    </w:p>
    <w:p w14:paraId="14079397" w14:textId="5B2BDE7B"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Bank was incorporated and is domiciled in </w:t>
      </w:r>
      <w:r w:rsidR="001A3864">
        <w:rPr>
          <w:color w:val="0000FF"/>
          <w:sz w:val="20"/>
          <w:szCs w:val="20"/>
        </w:rPr>
        <w:t>[Country]</w:t>
      </w:r>
      <w:r>
        <w:rPr>
          <w:color w:val="000000"/>
          <w:sz w:val="20"/>
          <w:szCs w:val="20"/>
        </w:rPr>
        <w:t xml:space="preserve">. The Bank is a joint stock company </w:t>
      </w:r>
      <w:r>
        <w:rPr>
          <w:i/>
          <w:color w:val="FF0000"/>
          <w:sz w:val="20"/>
          <w:szCs w:val="20"/>
        </w:rPr>
        <w:t>[or state the appropriate civil code classification]</w:t>
      </w:r>
      <w:r>
        <w:rPr>
          <w:color w:val="0000FF"/>
          <w:sz w:val="20"/>
          <w:szCs w:val="20"/>
        </w:rPr>
        <w:t xml:space="preserve"> </w:t>
      </w:r>
      <w:r>
        <w:rPr>
          <w:color w:val="000000"/>
          <w:sz w:val="20"/>
          <w:szCs w:val="20"/>
        </w:rPr>
        <w:t xml:space="preserve">limited by shares and was set up in accordance with </w:t>
      </w:r>
      <w:r w:rsidR="001A3864">
        <w:rPr>
          <w:color w:val="0000FF"/>
          <w:sz w:val="20"/>
          <w:szCs w:val="20"/>
        </w:rPr>
        <w:t>[Country’s]</w:t>
      </w:r>
      <w:r>
        <w:rPr>
          <w:color w:val="000000"/>
          <w:sz w:val="20"/>
          <w:szCs w:val="20"/>
        </w:rPr>
        <w:t xml:space="preserve"> regulations. </w:t>
      </w:r>
      <w:r>
        <w:rPr>
          <w:color w:val="0000FF"/>
          <w:sz w:val="20"/>
          <w:szCs w:val="20"/>
        </w:rPr>
        <w:t>[As of 31</w:t>
      </w:r>
      <w:r w:rsidR="00181687">
        <w:rPr>
          <w:color w:val="0000FF"/>
          <w:sz w:val="20"/>
          <w:szCs w:val="20"/>
        </w:rPr>
        <w:t> December </w:t>
      </w:r>
      <w:r w:rsidR="00541EBC">
        <w:rPr>
          <w:color w:val="0000FF"/>
          <w:sz w:val="20"/>
          <w:szCs w:val="20"/>
        </w:rPr>
        <w:t>2024</w:t>
      </w:r>
      <w:r>
        <w:rPr>
          <w:color w:val="0000FF"/>
          <w:sz w:val="20"/>
          <w:szCs w:val="20"/>
        </w:rPr>
        <w:t xml:space="preserve"> and </w:t>
      </w:r>
      <w:r w:rsidR="00541EBC">
        <w:rPr>
          <w:color w:val="0000FF"/>
          <w:sz w:val="20"/>
          <w:szCs w:val="20"/>
        </w:rPr>
        <w:t>2023</w:t>
      </w:r>
      <w:r>
        <w:rPr>
          <w:color w:val="0000FF"/>
          <w:sz w:val="20"/>
          <w:szCs w:val="20"/>
        </w:rPr>
        <w:t xml:space="preserve"> the Bank’s immediate [and ultimate] parent company was _____, and the Bank was ultimately controlled by Mr _____.]</w:t>
      </w:r>
      <w:r>
        <w:rPr>
          <w:color w:val="000000"/>
          <w:sz w:val="20"/>
          <w:szCs w:val="20"/>
        </w:rPr>
        <w:t xml:space="preserve"> </w:t>
      </w:r>
      <w:r>
        <w:rPr>
          <w:i/>
          <w:color w:val="FF0000"/>
          <w:sz w:val="20"/>
          <w:szCs w:val="20"/>
        </w:rPr>
        <w:t>Tailor the above wording or include additional wording such that the Bank’s ultimate parent company is disclosed under IAS 1.138(c) and ultimate controlling party under IAS 24.13.]</w:t>
      </w:r>
    </w:p>
    <w:p w14:paraId="01B5C440" w14:textId="0BDB4D34"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Principal activity. </w:t>
      </w:r>
      <w:r>
        <w:rPr>
          <w:color w:val="000000"/>
          <w:sz w:val="20"/>
          <w:szCs w:val="20"/>
        </w:rPr>
        <w:t xml:space="preserve">The Group’s principal business activity is </w:t>
      </w:r>
      <w:r>
        <w:rPr>
          <w:color w:val="0000FF"/>
          <w:sz w:val="20"/>
          <w:szCs w:val="20"/>
        </w:rPr>
        <w:t>[commercial and retail]</w:t>
      </w:r>
      <w:r>
        <w:rPr>
          <w:i/>
          <w:color w:val="000000"/>
          <w:sz w:val="20"/>
          <w:szCs w:val="20"/>
        </w:rPr>
        <w:t xml:space="preserve"> </w:t>
      </w:r>
      <w:r>
        <w:rPr>
          <w:color w:val="000000"/>
          <w:sz w:val="20"/>
          <w:szCs w:val="20"/>
        </w:rPr>
        <w:t xml:space="preserve">banking operations within </w:t>
      </w:r>
      <w:r w:rsidR="001A3864">
        <w:rPr>
          <w:color w:val="0000FF"/>
          <w:sz w:val="20"/>
          <w:szCs w:val="20"/>
        </w:rPr>
        <w:t>[Country]</w:t>
      </w:r>
      <w:r>
        <w:rPr>
          <w:color w:val="000000"/>
          <w:sz w:val="20"/>
          <w:szCs w:val="20"/>
        </w:rPr>
        <w:t>. The Bank has operated under a full banking licence issued by the</w:t>
      </w:r>
      <w:r w:rsidR="004A4C3B">
        <w:rPr>
          <w:color w:val="000000"/>
          <w:sz w:val="20"/>
          <w:szCs w:val="20"/>
        </w:rPr>
        <w:t xml:space="preserve"> </w:t>
      </w:r>
      <w:r w:rsidR="001A3864">
        <w:rPr>
          <w:color w:val="0000FF"/>
          <w:sz w:val="20"/>
          <w:szCs w:val="20"/>
        </w:rPr>
        <w:t>[National Bank of Country (“NBC”)]</w:t>
      </w:r>
      <w:r>
        <w:rPr>
          <w:color w:val="000000"/>
          <w:sz w:val="20"/>
          <w:szCs w:val="20"/>
        </w:rPr>
        <w:t xml:space="preserve"> since </w:t>
      </w:r>
      <w:r>
        <w:rPr>
          <w:i/>
          <w:color w:val="000000"/>
          <w:sz w:val="20"/>
          <w:szCs w:val="20"/>
        </w:rPr>
        <w:t>_____</w:t>
      </w:r>
      <w:r>
        <w:rPr>
          <w:color w:val="000000"/>
          <w:sz w:val="20"/>
          <w:szCs w:val="20"/>
        </w:rPr>
        <w:t xml:space="preserve">. The Bank participates in the state deposit </w:t>
      </w:r>
      <w:r w:rsidR="004A4C3B">
        <w:rPr>
          <w:color w:val="000000"/>
          <w:sz w:val="20"/>
          <w:szCs w:val="20"/>
        </w:rPr>
        <w:t xml:space="preserve">protection </w:t>
      </w:r>
      <w:r>
        <w:rPr>
          <w:color w:val="000000"/>
          <w:sz w:val="20"/>
          <w:szCs w:val="20"/>
        </w:rPr>
        <w:t xml:space="preserve">scheme. The </w:t>
      </w:r>
      <w:r w:rsidR="00613F4D" w:rsidRPr="00613F4D">
        <w:rPr>
          <w:color w:val="0000FF"/>
          <w:sz w:val="20"/>
          <w:szCs w:val="20"/>
        </w:rPr>
        <w:t>[</w:t>
      </w:r>
      <w:r w:rsidRPr="00613F4D">
        <w:rPr>
          <w:color w:val="0000FF"/>
          <w:sz w:val="20"/>
          <w:szCs w:val="20"/>
        </w:rPr>
        <w:t xml:space="preserve">Deposit </w:t>
      </w:r>
      <w:r w:rsidR="004A4C3B" w:rsidRPr="00613F4D">
        <w:rPr>
          <w:color w:val="0000FF"/>
          <w:sz w:val="20"/>
          <w:szCs w:val="20"/>
        </w:rPr>
        <w:t>Protection Fund</w:t>
      </w:r>
      <w:r w:rsidR="00613F4D" w:rsidRPr="00613F4D">
        <w:rPr>
          <w:color w:val="0000FF"/>
          <w:sz w:val="20"/>
          <w:szCs w:val="20"/>
        </w:rPr>
        <w:t>]</w:t>
      </w:r>
      <w:r w:rsidRPr="00613F4D">
        <w:rPr>
          <w:color w:val="0000FF"/>
          <w:sz w:val="20"/>
          <w:szCs w:val="20"/>
        </w:rPr>
        <w:t xml:space="preserve"> </w:t>
      </w:r>
      <w:r>
        <w:rPr>
          <w:color w:val="000000"/>
          <w:sz w:val="20"/>
          <w:szCs w:val="20"/>
        </w:rPr>
        <w:t xml:space="preserve">guarantees repayment of 100% of individual deposits up to </w:t>
      </w:r>
      <w:r w:rsidR="004A4C3B">
        <w:rPr>
          <w:color w:val="000000"/>
          <w:sz w:val="20"/>
          <w:szCs w:val="20"/>
        </w:rPr>
        <w:t>EUR</w:t>
      </w:r>
      <w:r>
        <w:rPr>
          <w:color w:val="000000"/>
          <w:sz w:val="20"/>
          <w:szCs w:val="20"/>
        </w:rPr>
        <w:t xml:space="preserve"> 100 thousand per individual in the case of the withdrawal of a licence of a bank or a </w:t>
      </w:r>
      <w:r w:rsidR="00613F4D">
        <w:rPr>
          <w:color w:val="000000"/>
          <w:sz w:val="20"/>
          <w:szCs w:val="20"/>
        </w:rPr>
        <w:t>NBC</w:t>
      </w:r>
      <w:r>
        <w:rPr>
          <w:color w:val="000000"/>
          <w:sz w:val="20"/>
          <w:szCs w:val="20"/>
        </w:rPr>
        <w:t xml:space="preserve"> imposed moratorium on payments. </w:t>
      </w:r>
    </w:p>
    <w:p w14:paraId="35368E29" w14:textId="6E935F06" w:rsidR="00D83E33" w:rsidRDefault="00BC4072">
      <w:pPr>
        <w:widowControl w:val="0"/>
        <w:pBdr>
          <w:top w:val="nil"/>
          <w:left w:val="nil"/>
          <w:bottom w:val="nil"/>
          <w:right w:val="nil"/>
          <w:between w:val="nil"/>
        </w:pBdr>
        <w:spacing w:before="200" w:after="200"/>
        <w:jc w:val="both"/>
        <w:rPr>
          <w:color w:val="0000FF"/>
          <w:sz w:val="20"/>
          <w:szCs w:val="20"/>
        </w:rPr>
      </w:pPr>
      <w:r>
        <w:rPr>
          <w:color w:val="000000"/>
          <w:sz w:val="20"/>
          <w:szCs w:val="20"/>
        </w:rPr>
        <w:t>The Bank has ____ (</w:t>
      </w:r>
      <w:r w:rsidR="00541EBC">
        <w:rPr>
          <w:color w:val="000000"/>
          <w:sz w:val="20"/>
          <w:szCs w:val="20"/>
        </w:rPr>
        <w:t>2023</w:t>
      </w:r>
      <w:r>
        <w:rPr>
          <w:color w:val="000000"/>
          <w:sz w:val="20"/>
          <w:szCs w:val="20"/>
        </w:rPr>
        <w:t xml:space="preserve">: ____) branches within the </w:t>
      </w:r>
      <w:r w:rsidR="00372E26">
        <w:rPr>
          <w:color w:val="000000"/>
          <w:sz w:val="20"/>
          <w:szCs w:val="20"/>
        </w:rPr>
        <w:t>[Country]</w:t>
      </w:r>
      <w:r>
        <w:rPr>
          <w:color w:val="000000"/>
          <w:sz w:val="20"/>
          <w:szCs w:val="20"/>
        </w:rPr>
        <w:t xml:space="preserve"> and ____ (</w:t>
      </w:r>
      <w:r w:rsidR="00541EBC">
        <w:rPr>
          <w:color w:val="000000"/>
          <w:sz w:val="20"/>
          <w:szCs w:val="20"/>
        </w:rPr>
        <w:t>2023</w:t>
      </w:r>
      <w:r>
        <w:rPr>
          <w:color w:val="000000"/>
          <w:sz w:val="20"/>
          <w:szCs w:val="20"/>
        </w:rPr>
        <w:t xml:space="preserve">: ____) branches overseas in ____. Additionally, the Bank has representative offices in _____. </w:t>
      </w:r>
      <w:r>
        <w:rPr>
          <w:color w:val="0000FF"/>
          <w:sz w:val="20"/>
          <w:szCs w:val="20"/>
        </w:rPr>
        <w:t>[The Group had _____ employees at 31</w:t>
      </w:r>
      <w:r w:rsidR="00181687">
        <w:rPr>
          <w:color w:val="0000FF"/>
          <w:sz w:val="20"/>
          <w:szCs w:val="20"/>
        </w:rPr>
        <w:t> December </w:t>
      </w:r>
      <w:r w:rsidR="00541EBC">
        <w:rPr>
          <w:color w:val="0000FF"/>
          <w:sz w:val="20"/>
          <w:szCs w:val="20"/>
        </w:rPr>
        <w:t>2024</w:t>
      </w:r>
      <w:r>
        <w:rPr>
          <w:color w:val="0000FF"/>
          <w:sz w:val="20"/>
          <w:szCs w:val="20"/>
        </w:rPr>
        <w:t xml:space="preserve"> (</w:t>
      </w:r>
      <w:r w:rsidR="00541EBC">
        <w:rPr>
          <w:color w:val="0000FF"/>
          <w:sz w:val="20"/>
          <w:szCs w:val="20"/>
        </w:rPr>
        <w:t>2023</w:t>
      </w:r>
      <w:r>
        <w:rPr>
          <w:color w:val="0000FF"/>
          <w:sz w:val="20"/>
          <w:szCs w:val="20"/>
        </w:rPr>
        <w:t>: _____ employees).]</w:t>
      </w:r>
    </w:p>
    <w:p w14:paraId="08F89C9B" w14:textId="4F29A102"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Registered address and place of business.</w:t>
      </w:r>
      <w:r>
        <w:rPr>
          <w:color w:val="000000"/>
          <w:sz w:val="20"/>
          <w:szCs w:val="20"/>
        </w:rPr>
        <w:t xml:space="preserve"> The Bank’s registered address is: _________,</w:t>
      </w:r>
      <w:r w:rsidR="001A3864">
        <w:rPr>
          <w:color w:val="000000"/>
          <w:sz w:val="20"/>
          <w:szCs w:val="20"/>
        </w:rPr>
        <w:t xml:space="preserve"> </w:t>
      </w:r>
      <w:r w:rsidR="001A3864">
        <w:rPr>
          <w:color w:val="0000FF"/>
          <w:sz w:val="20"/>
          <w:szCs w:val="20"/>
        </w:rPr>
        <w:t>[Country]</w:t>
      </w:r>
      <w:r>
        <w:rPr>
          <w:color w:val="000000"/>
          <w:sz w:val="20"/>
          <w:szCs w:val="20"/>
        </w:rPr>
        <w:t>.</w:t>
      </w:r>
    </w:p>
    <w:p w14:paraId="449CAB64" w14:textId="3D030141" w:rsidR="00D83E33" w:rsidRDefault="00BC4072">
      <w:pPr>
        <w:widowControl w:val="0"/>
        <w:pBdr>
          <w:top w:val="nil"/>
          <w:left w:val="nil"/>
          <w:bottom w:val="nil"/>
          <w:right w:val="nil"/>
          <w:between w:val="nil"/>
        </w:pBdr>
        <w:spacing w:before="200" w:after="200"/>
        <w:jc w:val="both"/>
        <w:rPr>
          <w:i/>
          <w:color w:val="FF0000"/>
          <w:sz w:val="20"/>
          <w:szCs w:val="20"/>
        </w:rPr>
      </w:pPr>
      <w:r>
        <w:rPr>
          <w:color w:val="0000FF"/>
          <w:sz w:val="20"/>
          <w:szCs w:val="20"/>
        </w:rPr>
        <w:t>[The Bank’s principal place of business is ____ .]</w:t>
      </w:r>
      <w:r>
        <w:rPr>
          <w:color w:val="000000"/>
          <w:sz w:val="20"/>
          <w:szCs w:val="20"/>
        </w:rPr>
        <w:t xml:space="preserve"> </w:t>
      </w:r>
    </w:p>
    <w:p w14:paraId="4968074D" w14:textId="3D5FE642"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Presentation currency.</w:t>
      </w:r>
      <w:r>
        <w:rPr>
          <w:b/>
          <w:color w:val="000000"/>
          <w:sz w:val="20"/>
          <w:szCs w:val="20"/>
        </w:rPr>
        <w:t xml:space="preserve"> </w:t>
      </w:r>
      <w:r>
        <w:rPr>
          <w:color w:val="000000"/>
          <w:sz w:val="20"/>
          <w:szCs w:val="20"/>
        </w:rPr>
        <w:t xml:space="preserve">These </w:t>
      </w:r>
      <w:r>
        <w:rPr>
          <w:color w:val="0000FF"/>
          <w:sz w:val="20"/>
          <w:szCs w:val="20"/>
        </w:rPr>
        <w:t>[consolidated]</w:t>
      </w:r>
      <w:r>
        <w:rPr>
          <w:color w:val="000000"/>
          <w:sz w:val="20"/>
          <w:szCs w:val="20"/>
        </w:rPr>
        <w:t xml:space="preserve"> financial statements are presented in </w:t>
      </w:r>
      <w:r w:rsidR="002649EE">
        <w:rPr>
          <w:color w:val="000000"/>
          <w:sz w:val="20"/>
          <w:szCs w:val="20"/>
        </w:rPr>
        <w:t>Euro</w:t>
      </w:r>
      <w:r>
        <w:rPr>
          <w:color w:val="000000"/>
          <w:sz w:val="20"/>
          <w:szCs w:val="20"/>
        </w:rPr>
        <w:t xml:space="preserve"> ("</w:t>
      </w:r>
      <w:r w:rsidR="002649EE">
        <w:rPr>
          <w:color w:val="000000"/>
          <w:sz w:val="20"/>
          <w:szCs w:val="20"/>
        </w:rPr>
        <w:t>EUR</w:t>
      </w:r>
      <w:r>
        <w:rPr>
          <w:color w:val="000000"/>
          <w:sz w:val="20"/>
          <w:szCs w:val="20"/>
        </w:rPr>
        <w:t>"), unless otherwise stated.</w:t>
      </w:r>
    </w:p>
    <w:p w14:paraId="36ECE4FF" w14:textId="77777777"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Abbreviations.</w:t>
      </w:r>
      <w:r>
        <w:rPr>
          <w:b/>
          <w:color w:val="000000"/>
          <w:sz w:val="20"/>
          <w:szCs w:val="20"/>
        </w:rPr>
        <w:t xml:space="preserve"> </w:t>
      </w:r>
      <w:r>
        <w:rPr>
          <w:color w:val="000000"/>
          <w:sz w:val="20"/>
          <w:szCs w:val="20"/>
        </w:rPr>
        <w:t>A glossary of various abbreviations used in this document is included in Note 54.</w:t>
      </w:r>
    </w:p>
    <w:p w14:paraId="3919E42D" w14:textId="3C15E630" w:rsidR="00D83E33" w:rsidRPr="003E5CDF" w:rsidRDefault="00A97231" w:rsidP="001B330E">
      <w:pPr>
        <w:pStyle w:val="Heading1"/>
      </w:pPr>
      <w:bookmarkStart w:id="6" w:name="_Toc179196004"/>
      <w:r w:rsidRPr="00A97231">
        <w:t>Operating Environment of the Group</w:t>
      </w:r>
      <w:bookmarkEnd w:id="6"/>
    </w:p>
    <w:p w14:paraId="52ACB53D" w14:textId="721F738A" w:rsidR="00613F4D" w:rsidRDefault="006223D5" w:rsidP="00C22448">
      <w:pPr>
        <w:pBdr>
          <w:top w:val="nil"/>
          <w:left w:val="nil"/>
          <w:bottom w:val="nil"/>
          <w:right w:val="nil"/>
          <w:between w:val="nil"/>
        </w:pBdr>
        <w:spacing w:after="240"/>
        <w:jc w:val="both"/>
        <w:rPr>
          <w:color w:val="000000"/>
          <w:sz w:val="20"/>
          <w:szCs w:val="20"/>
        </w:rPr>
      </w:pPr>
      <w:r>
        <w:rPr>
          <w:b/>
          <w:i/>
          <w:iCs/>
          <w:color w:val="000000"/>
          <w:sz w:val="20"/>
          <w:szCs w:val="20"/>
        </w:rPr>
        <w:t>War between Russia and</w:t>
      </w:r>
      <w:r w:rsidR="003E5CDF">
        <w:rPr>
          <w:b/>
          <w:i/>
          <w:iCs/>
          <w:color w:val="000000"/>
          <w:sz w:val="20"/>
          <w:szCs w:val="20"/>
        </w:rPr>
        <w:t xml:space="preserve"> Ukraine</w:t>
      </w:r>
      <w:r w:rsidR="003E5CDF" w:rsidRPr="009818A7">
        <w:rPr>
          <w:b/>
          <w:i/>
          <w:iCs/>
          <w:color w:val="000000"/>
          <w:sz w:val="20"/>
          <w:szCs w:val="20"/>
        </w:rPr>
        <w:t>.</w:t>
      </w:r>
      <w:r w:rsidR="003E5CDF" w:rsidRPr="009818A7">
        <w:rPr>
          <w:color w:val="000000"/>
          <w:sz w:val="20"/>
          <w:szCs w:val="20"/>
        </w:rPr>
        <w:t xml:space="preserve"> </w:t>
      </w:r>
      <w:r w:rsidR="006E47D8">
        <w:rPr>
          <w:color w:val="000000"/>
          <w:sz w:val="20"/>
          <w:szCs w:val="20"/>
        </w:rPr>
        <w:t xml:space="preserve">The sanctions imposed by </w:t>
      </w:r>
      <w:r w:rsidR="001A3864">
        <w:rPr>
          <w:color w:val="0000FF"/>
          <w:sz w:val="20"/>
          <w:szCs w:val="20"/>
        </w:rPr>
        <w:t>[Country]</w:t>
      </w:r>
      <w:r w:rsidR="006E47D8">
        <w:rPr>
          <w:color w:val="000000"/>
          <w:sz w:val="20"/>
          <w:szCs w:val="20"/>
        </w:rPr>
        <w:t xml:space="preserve"> on Russia due to its military operations in the Ukraine and the related counter measures by Russia caused </w:t>
      </w:r>
      <w:r w:rsidR="000356C4">
        <w:rPr>
          <w:color w:val="000000"/>
          <w:sz w:val="20"/>
          <w:szCs w:val="20"/>
        </w:rPr>
        <w:t>an</w:t>
      </w:r>
      <w:r w:rsidR="006E47D8">
        <w:rPr>
          <w:color w:val="000000"/>
          <w:sz w:val="20"/>
          <w:szCs w:val="20"/>
        </w:rPr>
        <w:t xml:space="preserve"> increase in the price of natural gas and electricity</w:t>
      </w:r>
      <w:r w:rsidR="000356C4">
        <w:rPr>
          <w:color w:val="000000"/>
          <w:sz w:val="20"/>
          <w:szCs w:val="20"/>
        </w:rPr>
        <w:t xml:space="preserve"> and their higher volatility</w:t>
      </w:r>
      <w:r w:rsidR="006E47D8">
        <w:rPr>
          <w:color w:val="000000"/>
          <w:sz w:val="20"/>
          <w:szCs w:val="20"/>
        </w:rPr>
        <w:t xml:space="preserve">. The </w:t>
      </w:r>
      <w:r w:rsidR="001A3864">
        <w:rPr>
          <w:color w:val="0000FF"/>
          <w:sz w:val="20"/>
          <w:szCs w:val="20"/>
        </w:rPr>
        <w:t xml:space="preserve">[Country] </w:t>
      </w:r>
      <w:r w:rsidR="006E47D8">
        <w:rPr>
          <w:color w:val="000000"/>
          <w:sz w:val="20"/>
          <w:szCs w:val="20"/>
        </w:rPr>
        <w:t xml:space="preserve">paid </w:t>
      </w:r>
      <w:r w:rsidR="001A3864">
        <w:rPr>
          <w:color w:val="0000FF"/>
          <w:sz w:val="20"/>
          <w:szCs w:val="20"/>
        </w:rPr>
        <w:t xml:space="preserve">[x%] </w:t>
      </w:r>
      <w:r w:rsidR="006E47D8">
        <w:rPr>
          <w:color w:val="000000"/>
          <w:sz w:val="20"/>
          <w:szCs w:val="20"/>
        </w:rPr>
        <w:t>of its GDP (</w:t>
      </w:r>
      <w:r w:rsidR="00541EBC">
        <w:rPr>
          <w:color w:val="000000"/>
          <w:sz w:val="20"/>
          <w:szCs w:val="20"/>
        </w:rPr>
        <w:t>2023</w:t>
      </w:r>
      <w:r w:rsidR="006E47D8">
        <w:rPr>
          <w:color w:val="000000"/>
          <w:sz w:val="20"/>
          <w:szCs w:val="20"/>
        </w:rPr>
        <w:t xml:space="preserve">: </w:t>
      </w:r>
      <w:r w:rsidR="001A3864">
        <w:rPr>
          <w:color w:val="0000FF"/>
          <w:sz w:val="20"/>
          <w:szCs w:val="20"/>
        </w:rPr>
        <w:t>[y%]</w:t>
      </w:r>
      <w:r w:rsidR="006E47D8">
        <w:rPr>
          <w:color w:val="000000"/>
          <w:sz w:val="20"/>
          <w:szCs w:val="20"/>
        </w:rPr>
        <w:t xml:space="preserve">) for energy imports, while this would amount to </w:t>
      </w:r>
      <w:r w:rsidR="001A3864">
        <w:rPr>
          <w:color w:val="0000FF"/>
          <w:sz w:val="20"/>
          <w:szCs w:val="20"/>
        </w:rPr>
        <w:t>[z%]</w:t>
      </w:r>
      <w:r w:rsidR="006E47D8">
        <w:rPr>
          <w:color w:val="000000"/>
          <w:sz w:val="20"/>
          <w:szCs w:val="20"/>
        </w:rPr>
        <w:t xml:space="preserve"> for </w:t>
      </w:r>
      <w:r w:rsidR="00541EBC">
        <w:rPr>
          <w:color w:val="000000"/>
          <w:sz w:val="20"/>
          <w:szCs w:val="20"/>
        </w:rPr>
        <w:t>2024</w:t>
      </w:r>
      <w:r w:rsidR="006E47D8">
        <w:rPr>
          <w:color w:val="000000"/>
          <w:sz w:val="20"/>
          <w:szCs w:val="20"/>
        </w:rPr>
        <w:t xml:space="preserve"> at the price level observed as of 31 December </w:t>
      </w:r>
      <w:r w:rsidR="003F1690">
        <w:rPr>
          <w:color w:val="000000"/>
          <w:sz w:val="20"/>
          <w:szCs w:val="20"/>
        </w:rPr>
        <w:t>202</w:t>
      </w:r>
      <w:r w:rsidR="000356C4">
        <w:rPr>
          <w:color w:val="000000"/>
          <w:sz w:val="20"/>
          <w:szCs w:val="20"/>
        </w:rPr>
        <w:t>1</w:t>
      </w:r>
      <w:r w:rsidR="006E47D8">
        <w:rPr>
          <w:color w:val="000000"/>
          <w:sz w:val="20"/>
          <w:szCs w:val="20"/>
        </w:rPr>
        <w:t xml:space="preserve">. </w:t>
      </w:r>
      <w:r w:rsidR="00712BF2" w:rsidRPr="00712BF2">
        <w:rPr>
          <w:color w:val="000000"/>
          <w:sz w:val="20"/>
          <w:szCs w:val="20"/>
        </w:rPr>
        <w:t xml:space="preserve">The average price for natural gas in the </w:t>
      </w:r>
      <w:r w:rsidR="00712BF2">
        <w:rPr>
          <w:color w:val="000000"/>
          <w:sz w:val="20"/>
          <w:szCs w:val="20"/>
        </w:rPr>
        <w:t xml:space="preserve">European Union was approximately </w:t>
      </w:r>
      <w:r w:rsidR="008562DA">
        <w:rPr>
          <w:color w:val="000000"/>
          <w:sz w:val="20"/>
          <w:szCs w:val="20"/>
        </w:rPr>
        <w:t>[5]</w:t>
      </w:r>
      <w:r w:rsidR="00712BF2">
        <w:rPr>
          <w:color w:val="000000"/>
          <w:sz w:val="20"/>
          <w:szCs w:val="20"/>
        </w:rPr>
        <w:t xml:space="preserve"> times higher than in the USA (</w:t>
      </w:r>
      <w:r w:rsidR="00712BF2" w:rsidRPr="00712BF2">
        <w:rPr>
          <w:color w:val="000000"/>
          <w:sz w:val="20"/>
          <w:szCs w:val="20"/>
        </w:rPr>
        <w:t>202</w:t>
      </w:r>
      <w:r w:rsidR="00712BF2">
        <w:rPr>
          <w:color w:val="000000"/>
          <w:sz w:val="20"/>
          <w:szCs w:val="20"/>
        </w:rPr>
        <w:t xml:space="preserve">3: approximately 5.24 times higher). </w:t>
      </w:r>
      <w:r w:rsidR="006E47D8">
        <w:rPr>
          <w:color w:val="000000"/>
          <w:sz w:val="20"/>
          <w:szCs w:val="20"/>
        </w:rPr>
        <w:t xml:space="preserve">This </w:t>
      </w:r>
      <w:r w:rsidR="00712BF2">
        <w:rPr>
          <w:color w:val="000000"/>
          <w:sz w:val="20"/>
          <w:szCs w:val="20"/>
        </w:rPr>
        <w:t>may</w:t>
      </w:r>
      <w:r w:rsidR="00804673">
        <w:rPr>
          <w:color w:val="000000"/>
          <w:sz w:val="20"/>
          <w:szCs w:val="20"/>
        </w:rPr>
        <w:t xml:space="preserve"> </w:t>
      </w:r>
      <w:r w:rsidR="006E47D8">
        <w:rPr>
          <w:color w:val="000000"/>
          <w:sz w:val="20"/>
          <w:szCs w:val="20"/>
        </w:rPr>
        <w:t>lead to defaults among the Group’s customers operating in energy intensive sectors</w:t>
      </w:r>
      <w:r w:rsidR="006A1D79">
        <w:rPr>
          <w:color w:val="000000"/>
          <w:sz w:val="20"/>
          <w:szCs w:val="20"/>
        </w:rPr>
        <w:t xml:space="preserve"> that compete on global markets</w:t>
      </w:r>
      <w:r w:rsidR="006E47D8">
        <w:rPr>
          <w:color w:val="000000"/>
          <w:sz w:val="20"/>
          <w:szCs w:val="20"/>
        </w:rPr>
        <w:t>. Macroeconomic assumptions underlying the expected loss allowance are disclosed in Note 4.</w:t>
      </w:r>
    </w:p>
    <w:p w14:paraId="45B90F15" w14:textId="3020A680" w:rsidR="00ED6811" w:rsidRDefault="003E5CDF" w:rsidP="00C22448">
      <w:pPr>
        <w:pBdr>
          <w:top w:val="nil"/>
          <w:left w:val="nil"/>
          <w:bottom w:val="nil"/>
          <w:right w:val="nil"/>
          <w:between w:val="nil"/>
        </w:pBdr>
        <w:spacing w:after="240"/>
        <w:jc w:val="both"/>
        <w:rPr>
          <w:i/>
          <w:color w:val="FF0000"/>
          <w:sz w:val="20"/>
          <w:szCs w:val="20"/>
        </w:rPr>
      </w:pPr>
      <w:r>
        <w:rPr>
          <w:i/>
          <w:color w:val="FF0000"/>
          <w:sz w:val="20"/>
          <w:szCs w:val="20"/>
        </w:rPr>
        <w:t>[Add information about the war in Ukr</w:t>
      </w:r>
      <w:r w:rsidR="00ED6811">
        <w:rPr>
          <w:i/>
          <w:color w:val="FF0000"/>
          <w:sz w:val="20"/>
          <w:szCs w:val="20"/>
        </w:rPr>
        <w:t>aine</w:t>
      </w:r>
      <w:r>
        <w:rPr>
          <w:i/>
          <w:color w:val="FF0000"/>
          <w:sz w:val="20"/>
          <w:szCs w:val="20"/>
        </w:rPr>
        <w:t xml:space="preserve">, including how the </w:t>
      </w:r>
      <w:r w:rsidR="008C30DF">
        <w:rPr>
          <w:i/>
          <w:color w:val="FF0000"/>
          <w:sz w:val="20"/>
          <w:szCs w:val="20"/>
        </w:rPr>
        <w:t xml:space="preserve">invasion and on-going </w:t>
      </w:r>
      <w:r>
        <w:rPr>
          <w:i/>
          <w:color w:val="FF0000"/>
          <w:sz w:val="20"/>
          <w:szCs w:val="20"/>
        </w:rPr>
        <w:t xml:space="preserve">war impact </w:t>
      </w:r>
      <w:r w:rsidR="008C30DF">
        <w:rPr>
          <w:i/>
          <w:color w:val="FF0000"/>
          <w:sz w:val="20"/>
          <w:szCs w:val="20"/>
        </w:rPr>
        <w:t xml:space="preserve">the </w:t>
      </w:r>
      <w:r>
        <w:rPr>
          <w:i/>
          <w:color w:val="FF0000"/>
          <w:sz w:val="20"/>
          <w:szCs w:val="20"/>
        </w:rPr>
        <w:t>Group’s operations and results for the reporting period.</w:t>
      </w:r>
      <w:r w:rsidR="00C22448" w:rsidRPr="00C22448">
        <w:rPr>
          <w:i/>
          <w:color w:val="FF0000"/>
          <w:sz w:val="20"/>
          <w:szCs w:val="20"/>
        </w:rPr>
        <w:t xml:space="preserve"> </w:t>
      </w:r>
      <w:r w:rsidR="00391898">
        <w:rPr>
          <w:i/>
          <w:color w:val="FF0000"/>
          <w:sz w:val="20"/>
          <w:szCs w:val="20"/>
        </w:rPr>
        <w:t>The note should be tailored to Group</w:t>
      </w:r>
      <w:r w:rsidR="0036608B">
        <w:rPr>
          <w:i/>
          <w:color w:val="FF0000"/>
          <w:sz w:val="20"/>
          <w:szCs w:val="20"/>
        </w:rPr>
        <w:t>’s</w:t>
      </w:r>
      <w:r w:rsidR="00391898">
        <w:rPr>
          <w:i/>
          <w:color w:val="FF0000"/>
          <w:sz w:val="20"/>
          <w:szCs w:val="20"/>
        </w:rPr>
        <w:t xml:space="preserve"> specific circumstances.</w:t>
      </w:r>
    </w:p>
    <w:p w14:paraId="793C6638" w14:textId="77777777" w:rsidR="00D73C2E" w:rsidRPr="003E5CDF" w:rsidRDefault="00D73C2E" w:rsidP="00D73C2E">
      <w:pPr>
        <w:pStyle w:val="Continued"/>
      </w:pPr>
      <w:r w:rsidRPr="003E5CDF">
        <w:lastRenderedPageBreak/>
        <w:t>2</w:t>
      </w:r>
      <w:r w:rsidRPr="003E5CDF">
        <w:tab/>
        <w:t>Operating Environment of the Group (continued)</w:t>
      </w:r>
    </w:p>
    <w:p w14:paraId="242AC5BD" w14:textId="407ACAB1" w:rsidR="00BD77ED" w:rsidRPr="00BD77ED" w:rsidRDefault="00BD77ED" w:rsidP="00BD77ED">
      <w:pPr>
        <w:jc w:val="both"/>
        <w:rPr>
          <w:sz w:val="20"/>
          <w:szCs w:val="20"/>
        </w:rPr>
      </w:pPr>
      <w:r w:rsidRPr="00BD77ED">
        <w:rPr>
          <w:b/>
          <w:bCs/>
          <w:i/>
          <w:iCs/>
          <w:sz w:val="20"/>
          <w:szCs w:val="20"/>
        </w:rPr>
        <w:t>Climate change</w:t>
      </w:r>
      <w:r w:rsidRPr="00BD77ED">
        <w:rPr>
          <w:b/>
          <w:bCs/>
          <w:sz w:val="20"/>
          <w:szCs w:val="20"/>
        </w:rPr>
        <w:t>.</w:t>
      </w:r>
      <w:r w:rsidRPr="00BD77ED">
        <w:rPr>
          <w:sz w:val="20"/>
          <w:szCs w:val="20"/>
        </w:rPr>
        <w:t xml:space="preserve"> The Group </w:t>
      </w:r>
      <w:r w:rsidR="00AF0CF6">
        <w:rPr>
          <w:sz w:val="20"/>
          <w:szCs w:val="20"/>
        </w:rPr>
        <w:t xml:space="preserve">is exposed to climate change risks. </w:t>
      </w:r>
      <w:r w:rsidRPr="00BD77ED">
        <w:rPr>
          <w:sz w:val="20"/>
          <w:szCs w:val="20"/>
        </w:rPr>
        <w:t xml:space="preserve">In respect of risks related to the climate change, the Group implemented </w:t>
      </w:r>
      <w:r w:rsidR="00AF0CF6">
        <w:rPr>
          <w:sz w:val="20"/>
          <w:szCs w:val="20"/>
        </w:rPr>
        <w:t xml:space="preserve">the </w:t>
      </w:r>
      <w:r w:rsidRPr="00BD77ED">
        <w:rPr>
          <w:sz w:val="20"/>
          <w:szCs w:val="20"/>
        </w:rPr>
        <w:t xml:space="preserve">following </w:t>
      </w:r>
      <w:r w:rsidR="00AF0CF6">
        <w:rPr>
          <w:sz w:val="20"/>
          <w:szCs w:val="20"/>
        </w:rPr>
        <w:t xml:space="preserve">key </w:t>
      </w:r>
      <w:r w:rsidRPr="00BD77ED">
        <w:rPr>
          <w:sz w:val="20"/>
          <w:szCs w:val="20"/>
        </w:rPr>
        <w:t>measures:</w:t>
      </w:r>
    </w:p>
    <w:p w14:paraId="17F0B5DC" w14:textId="56566CF0" w:rsidR="00BD77ED" w:rsidRPr="00BD77ED" w:rsidRDefault="00BD77ED" w:rsidP="00BD77ED">
      <w:pPr>
        <w:pStyle w:val="ListParagraph"/>
        <w:numPr>
          <w:ilvl w:val="0"/>
          <w:numId w:val="42"/>
        </w:numPr>
        <w:spacing w:after="160" w:line="259" w:lineRule="auto"/>
        <w:jc w:val="both"/>
        <w:rPr>
          <w:sz w:val="20"/>
          <w:szCs w:val="20"/>
        </w:rPr>
      </w:pPr>
      <w:r w:rsidRPr="00BD77ED">
        <w:rPr>
          <w:sz w:val="20"/>
          <w:szCs w:val="20"/>
        </w:rPr>
        <w:t xml:space="preserve">The Group had incorporated climate risks in its stress testing process. An additional “Climate risk” scenario was incorporated in the internal stress testing methodology and will be regularly assessed and reported together with other applicable scenarios. </w:t>
      </w:r>
      <w:r w:rsidRPr="00BD77ED">
        <w:rPr>
          <w:i/>
          <w:iCs/>
          <w:color w:val="FF0000"/>
          <w:sz w:val="20"/>
          <w:szCs w:val="20"/>
        </w:rPr>
        <w:t>[If the Group was required to perform climate stress test by the regulator – please disclose this fact and provide additional details.]</w:t>
      </w:r>
    </w:p>
    <w:p w14:paraId="066A71AA" w14:textId="642AD756" w:rsidR="00BD77ED" w:rsidRPr="00BD77ED" w:rsidRDefault="00BD77ED" w:rsidP="00BD77ED">
      <w:pPr>
        <w:pStyle w:val="ListParagraph"/>
        <w:numPr>
          <w:ilvl w:val="0"/>
          <w:numId w:val="42"/>
        </w:numPr>
        <w:spacing w:after="160" w:line="259" w:lineRule="auto"/>
        <w:rPr>
          <w:sz w:val="20"/>
          <w:szCs w:val="20"/>
        </w:rPr>
      </w:pPr>
      <w:r w:rsidRPr="00BD77ED">
        <w:rPr>
          <w:sz w:val="20"/>
          <w:szCs w:val="20"/>
        </w:rPr>
        <w:t xml:space="preserve">The Group is incorporating climate-linked covenants and pricing mechanisms in newly originated loans. </w:t>
      </w:r>
      <w:r w:rsidRPr="00BD77ED">
        <w:rPr>
          <w:i/>
          <w:iCs/>
          <w:color w:val="FF0000"/>
          <w:sz w:val="20"/>
          <w:szCs w:val="20"/>
        </w:rPr>
        <w:t>[If such loans are material, consider disclosing (i) summary information about such products and (ii) how these exposures were assessed against the “solely payment of principal and interest” criterion in IFRS 9</w:t>
      </w:r>
      <w:r>
        <w:rPr>
          <w:i/>
          <w:iCs/>
          <w:color w:val="FF0000"/>
          <w:sz w:val="20"/>
          <w:szCs w:val="20"/>
        </w:rPr>
        <w:t>.</w:t>
      </w:r>
      <w:r w:rsidRPr="00BD77ED">
        <w:rPr>
          <w:i/>
          <w:iCs/>
          <w:color w:val="FF0000"/>
          <w:sz w:val="20"/>
          <w:szCs w:val="20"/>
        </w:rPr>
        <w:t>]</w:t>
      </w:r>
    </w:p>
    <w:p w14:paraId="087D765E" w14:textId="06BB316C" w:rsidR="00BD77ED" w:rsidRPr="00BD77ED" w:rsidRDefault="00BD77ED" w:rsidP="00BD77ED">
      <w:pPr>
        <w:pStyle w:val="ListParagraph"/>
        <w:numPr>
          <w:ilvl w:val="0"/>
          <w:numId w:val="42"/>
        </w:numPr>
        <w:spacing w:after="160" w:line="259" w:lineRule="auto"/>
        <w:jc w:val="both"/>
        <w:rPr>
          <w:sz w:val="20"/>
          <w:szCs w:val="20"/>
        </w:rPr>
      </w:pPr>
      <w:r w:rsidRPr="00BD77ED">
        <w:rPr>
          <w:sz w:val="20"/>
          <w:szCs w:val="20"/>
        </w:rPr>
        <w:t xml:space="preserve">Management believes that it is currently not possible to explicitly incorporate climate risk factors in the ECL measurement. Existing scenarios, forecasts, and estimates, including those used for stress-testing, are covering only the long-term horizon well beyond the maturity of the existing portfolios. Such scenarios are also high-level, and attribution to specific borrowers without additional data would be highly arbitrary. To address the information gap for detailed, borrower-specific data, the Group had developed a questionnaire to collect climate-related information from its borrowers. The Group is collecting information to perform a robust assessment of physical and transition risks specific of its borrowers. The Group is planning to enhance its credit risk scoring models to incorporate such information in the PD and LGD measurement </w:t>
      </w:r>
      <w:r w:rsidRPr="00BD77ED">
        <w:rPr>
          <w:color w:val="FF0000"/>
          <w:sz w:val="20"/>
          <w:szCs w:val="20"/>
        </w:rPr>
        <w:t>[starting from 2025]</w:t>
      </w:r>
      <w:r w:rsidRPr="00BD77ED">
        <w:rPr>
          <w:sz w:val="20"/>
          <w:szCs w:val="20"/>
        </w:rPr>
        <w:t xml:space="preserve">. </w:t>
      </w:r>
    </w:p>
    <w:p w14:paraId="5032A587" w14:textId="77777777" w:rsidR="00BD77ED" w:rsidRPr="00BD77ED" w:rsidRDefault="00BD77ED" w:rsidP="00BD77ED">
      <w:pPr>
        <w:pStyle w:val="ListParagraph"/>
        <w:numPr>
          <w:ilvl w:val="0"/>
          <w:numId w:val="42"/>
        </w:numPr>
        <w:spacing w:after="160" w:line="259" w:lineRule="auto"/>
        <w:rPr>
          <w:sz w:val="20"/>
          <w:szCs w:val="20"/>
        </w:rPr>
      </w:pPr>
      <w:r w:rsidRPr="00BD77ED">
        <w:rPr>
          <w:sz w:val="20"/>
          <w:szCs w:val="20"/>
        </w:rPr>
        <w:t xml:space="preserve">The Group had developed an industry heatmap to assess its climate-related credit risk concentration on a sectoral basis, as presented in the table below: </w:t>
      </w:r>
    </w:p>
    <w:p w14:paraId="4204FA6B" w14:textId="77777777" w:rsidR="00BD77ED" w:rsidRPr="00BD77ED" w:rsidRDefault="00BD77ED" w:rsidP="00BD77ED">
      <w:pPr>
        <w:pStyle w:val="ListParagraph"/>
      </w:pPr>
    </w:p>
    <w:tbl>
      <w:tblPr>
        <w:tblW w:w="5000" w:type="pct"/>
        <w:tblLayout w:type="fixed"/>
        <w:tblLook w:val="0000" w:firstRow="0" w:lastRow="0" w:firstColumn="0" w:lastColumn="0" w:noHBand="0" w:noVBand="0"/>
      </w:tblPr>
      <w:tblGrid>
        <w:gridCol w:w="3943"/>
        <w:gridCol w:w="1353"/>
        <w:gridCol w:w="1353"/>
        <w:gridCol w:w="1353"/>
        <w:gridCol w:w="1353"/>
      </w:tblGrid>
      <w:tr w:rsidR="00BD77ED" w:rsidRPr="00BD77ED" w14:paraId="72EB52BF" w14:textId="77777777" w:rsidTr="00BD77ED">
        <w:trPr>
          <w:trHeight w:val="23"/>
        </w:trPr>
        <w:tc>
          <w:tcPr>
            <w:tcW w:w="2107" w:type="pct"/>
            <w:vMerge w:val="restart"/>
            <w:vAlign w:val="bottom"/>
          </w:tcPr>
          <w:p w14:paraId="5407B48F" w14:textId="77777777" w:rsidR="00BD77ED" w:rsidRPr="00BD77ED" w:rsidRDefault="00BD77ED" w:rsidP="007042E2">
            <w:pPr>
              <w:widowControl w:val="0"/>
              <w:pBdr>
                <w:top w:val="nil"/>
                <w:left w:val="nil"/>
                <w:bottom w:val="nil"/>
                <w:right w:val="nil"/>
                <w:between w:val="nil"/>
              </w:pBdr>
              <w:ind w:left="113" w:hanging="113"/>
              <w:rPr>
                <w:b/>
                <w:i/>
                <w:color w:val="000000"/>
              </w:rPr>
            </w:pPr>
            <w:r w:rsidRPr="00BD77ED">
              <w:rPr>
                <w:i/>
                <w:color w:val="000000"/>
              </w:rPr>
              <w:t>In thousands of EUR</w:t>
            </w:r>
          </w:p>
        </w:tc>
        <w:tc>
          <w:tcPr>
            <w:tcW w:w="1446" w:type="pct"/>
            <w:gridSpan w:val="2"/>
            <w:tcBorders>
              <w:bottom w:val="single" w:sz="4" w:space="0" w:color="000000"/>
            </w:tcBorders>
            <w:vAlign w:val="bottom"/>
          </w:tcPr>
          <w:p w14:paraId="46A6BC0C" w14:textId="1AFEB0F7" w:rsidR="00BD77ED" w:rsidRPr="00BD77ED" w:rsidRDefault="00541EBC" w:rsidP="007042E2">
            <w:pPr>
              <w:widowControl w:val="0"/>
              <w:pBdr>
                <w:top w:val="nil"/>
                <w:left w:val="nil"/>
                <w:bottom w:val="nil"/>
                <w:right w:val="nil"/>
                <w:between w:val="nil"/>
              </w:pBdr>
              <w:jc w:val="center"/>
              <w:rPr>
                <w:b/>
                <w:color w:val="000000"/>
              </w:rPr>
            </w:pPr>
            <w:r>
              <w:rPr>
                <w:b/>
                <w:color w:val="000000"/>
              </w:rPr>
              <w:t>2024</w:t>
            </w:r>
          </w:p>
        </w:tc>
        <w:tc>
          <w:tcPr>
            <w:tcW w:w="1446" w:type="pct"/>
            <w:gridSpan w:val="2"/>
            <w:tcBorders>
              <w:bottom w:val="single" w:sz="4" w:space="0" w:color="000000"/>
            </w:tcBorders>
            <w:vAlign w:val="bottom"/>
          </w:tcPr>
          <w:p w14:paraId="0588F9FF" w14:textId="37D7B764" w:rsidR="00BD77ED" w:rsidRPr="00BD77ED" w:rsidRDefault="00541EBC" w:rsidP="007042E2">
            <w:pPr>
              <w:widowControl w:val="0"/>
              <w:pBdr>
                <w:top w:val="nil"/>
                <w:left w:val="nil"/>
                <w:bottom w:val="nil"/>
                <w:right w:val="nil"/>
                <w:between w:val="nil"/>
              </w:pBdr>
              <w:jc w:val="center"/>
              <w:rPr>
                <w:b/>
                <w:color w:val="000000"/>
              </w:rPr>
            </w:pPr>
            <w:r>
              <w:rPr>
                <w:b/>
                <w:color w:val="000000"/>
              </w:rPr>
              <w:t>2023</w:t>
            </w:r>
          </w:p>
        </w:tc>
      </w:tr>
      <w:tr w:rsidR="00BD77ED" w:rsidRPr="00BD77ED" w14:paraId="5A68DFF6" w14:textId="77777777" w:rsidTr="00BD77ED">
        <w:trPr>
          <w:trHeight w:val="23"/>
        </w:trPr>
        <w:tc>
          <w:tcPr>
            <w:tcW w:w="2107" w:type="pct"/>
            <w:vMerge/>
            <w:vAlign w:val="bottom"/>
          </w:tcPr>
          <w:p w14:paraId="48D2628C" w14:textId="77777777" w:rsidR="00BD77ED" w:rsidRPr="00BD77ED" w:rsidRDefault="00BD77ED" w:rsidP="007042E2">
            <w:pPr>
              <w:widowControl w:val="0"/>
              <w:pBdr>
                <w:top w:val="nil"/>
                <w:left w:val="nil"/>
                <w:bottom w:val="nil"/>
                <w:right w:val="nil"/>
                <w:between w:val="nil"/>
              </w:pBdr>
              <w:ind w:left="113" w:hanging="113"/>
              <w:rPr>
                <w:b/>
                <w:color w:val="000000"/>
              </w:rPr>
            </w:pPr>
          </w:p>
        </w:tc>
        <w:tc>
          <w:tcPr>
            <w:tcW w:w="723" w:type="pct"/>
            <w:tcBorders>
              <w:bottom w:val="single" w:sz="4" w:space="0" w:color="000000"/>
            </w:tcBorders>
            <w:vAlign w:val="bottom"/>
          </w:tcPr>
          <w:p w14:paraId="4A1B63C2" w14:textId="77777777" w:rsidR="00BD77ED" w:rsidRPr="00BD77ED" w:rsidRDefault="00BD77ED" w:rsidP="007042E2">
            <w:pPr>
              <w:widowControl w:val="0"/>
              <w:pBdr>
                <w:top w:val="nil"/>
                <w:left w:val="nil"/>
                <w:bottom w:val="nil"/>
                <w:right w:val="nil"/>
                <w:between w:val="nil"/>
              </w:pBdr>
              <w:jc w:val="right"/>
              <w:rPr>
                <w:b/>
                <w:color w:val="000000"/>
              </w:rPr>
            </w:pPr>
            <w:r w:rsidRPr="00BD77ED">
              <w:rPr>
                <w:b/>
                <w:color w:val="000000"/>
              </w:rPr>
              <w:t>Amount</w:t>
            </w:r>
          </w:p>
        </w:tc>
        <w:tc>
          <w:tcPr>
            <w:tcW w:w="723" w:type="pct"/>
            <w:tcBorders>
              <w:bottom w:val="single" w:sz="4" w:space="0" w:color="000000"/>
            </w:tcBorders>
            <w:vAlign w:val="bottom"/>
          </w:tcPr>
          <w:p w14:paraId="17CEED95" w14:textId="77777777" w:rsidR="00BD77ED" w:rsidRPr="00BD77ED" w:rsidRDefault="00BD77ED" w:rsidP="007042E2">
            <w:pPr>
              <w:widowControl w:val="0"/>
              <w:pBdr>
                <w:top w:val="nil"/>
                <w:left w:val="nil"/>
                <w:bottom w:val="nil"/>
                <w:right w:val="nil"/>
                <w:between w:val="nil"/>
              </w:pBdr>
              <w:jc w:val="right"/>
              <w:rPr>
                <w:b/>
                <w:color w:val="000000"/>
              </w:rPr>
            </w:pPr>
            <w:r w:rsidRPr="00BD77ED">
              <w:rPr>
                <w:b/>
                <w:color w:val="000000"/>
              </w:rPr>
              <w:t>%</w:t>
            </w:r>
          </w:p>
        </w:tc>
        <w:tc>
          <w:tcPr>
            <w:tcW w:w="723" w:type="pct"/>
            <w:tcBorders>
              <w:bottom w:val="single" w:sz="4" w:space="0" w:color="000000"/>
            </w:tcBorders>
            <w:vAlign w:val="bottom"/>
          </w:tcPr>
          <w:p w14:paraId="787D3A60" w14:textId="77777777" w:rsidR="00BD77ED" w:rsidRPr="00BD77ED" w:rsidRDefault="00BD77ED" w:rsidP="007042E2">
            <w:pPr>
              <w:widowControl w:val="0"/>
              <w:pBdr>
                <w:top w:val="nil"/>
                <w:left w:val="nil"/>
                <w:bottom w:val="nil"/>
                <w:right w:val="nil"/>
                <w:between w:val="nil"/>
              </w:pBdr>
              <w:jc w:val="right"/>
              <w:rPr>
                <w:b/>
                <w:color w:val="000000"/>
              </w:rPr>
            </w:pPr>
            <w:r w:rsidRPr="00BD77ED">
              <w:rPr>
                <w:b/>
                <w:color w:val="000000"/>
              </w:rPr>
              <w:t>Amount</w:t>
            </w:r>
          </w:p>
        </w:tc>
        <w:tc>
          <w:tcPr>
            <w:tcW w:w="723" w:type="pct"/>
            <w:tcBorders>
              <w:bottom w:val="single" w:sz="4" w:space="0" w:color="000000"/>
            </w:tcBorders>
            <w:vAlign w:val="bottom"/>
          </w:tcPr>
          <w:p w14:paraId="77357F7D" w14:textId="77777777" w:rsidR="00BD77ED" w:rsidRPr="00BD77ED" w:rsidRDefault="00BD77ED" w:rsidP="007042E2">
            <w:pPr>
              <w:widowControl w:val="0"/>
              <w:pBdr>
                <w:top w:val="nil"/>
                <w:left w:val="nil"/>
                <w:bottom w:val="nil"/>
                <w:right w:val="nil"/>
                <w:between w:val="nil"/>
              </w:pBdr>
              <w:jc w:val="right"/>
              <w:rPr>
                <w:b/>
                <w:color w:val="000000"/>
              </w:rPr>
            </w:pPr>
            <w:r w:rsidRPr="00BD77ED">
              <w:rPr>
                <w:b/>
                <w:color w:val="000000"/>
              </w:rPr>
              <w:t>%</w:t>
            </w:r>
          </w:p>
        </w:tc>
      </w:tr>
      <w:tr w:rsidR="00BD77ED" w:rsidRPr="00BD77ED" w14:paraId="685D1B56" w14:textId="77777777" w:rsidTr="00BD77ED">
        <w:trPr>
          <w:trHeight w:val="23"/>
        </w:trPr>
        <w:tc>
          <w:tcPr>
            <w:tcW w:w="2107" w:type="pct"/>
            <w:vAlign w:val="bottom"/>
          </w:tcPr>
          <w:p w14:paraId="0464BC75" w14:textId="77777777" w:rsidR="00BD77ED" w:rsidRPr="00BD77ED" w:rsidRDefault="00BD77ED" w:rsidP="007042E2">
            <w:pPr>
              <w:widowControl w:val="0"/>
              <w:pBdr>
                <w:top w:val="nil"/>
                <w:left w:val="nil"/>
                <w:bottom w:val="nil"/>
                <w:right w:val="nil"/>
                <w:between w:val="nil"/>
              </w:pBdr>
              <w:ind w:left="113" w:hanging="113"/>
              <w:rPr>
                <w:color w:val="000000"/>
              </w:rPr>
            </w:pPr>
            <w:r w:rsidRPr="00BD77ED">
              <w:rPr>
                <w:color w:val="000000"/>
              </w:rPr>
              <w:t> </w:t>
            </w:r>
          </w:p>
        </w:tc>
        <w:tc>
          <w:tcPr>
            <w:tcW w:w="723" w:type="pct"/>
            <w:vAlign w:val="bottom"/>
          </w:tcPr>
          <w:p w14:paraId="279E910C"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092F4A3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763EACB7"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5D74E409"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534BC7F1" w14:textId="77777777" w:rsidTr="00BD77ED">
        <w:trPr>
          <w:trHeight w:val="23"/>
        </w:trPr>
        <w:tc>
          <w:tcPr>
            <w:tcW w:w="2107" w:type="pct"/>
            <w:vAlign w:val="bottom"/>
          </w:tcPr>
          <w:p w14:paraId="56EEABED" w14:textId="77777777" w:rsidR="00BD77ED" w:rsidRPr="00BD77ED" w:rsidRDefault="00BD77ED" w:rsidP="007042E2">
            <w:pPr>
              <w:widowControl w:val="0"/>
              <w:pBdr>
                <w:top w:val="nil"/>
                <w:left w:val="nil"/>
                <w:bottom w:val="nil"/>
                <w:right w:val="nil"/>
                <w:between w:val="nil"/>
              </w:pBdr>
              <w:ind w:left="113" w:hanging="113"/>
              <w:rPr>
                <w:b/>
                <w:bCs/>
                <w:i/>
                <w:iCs/>
                <w:color w:val="000000"/>
              </w:rPr>
            </w:pPr>
            <w:r w:rsidRPr="00BD77ED">
              <w:rPr>
                <w:b/>
                <w:bCs/>
                <w:i/>
                <w:iCs/>
                <w:color w:val="000000"/>
              </w:rPr>
              <w:t>High climate risk sectors</w:t>
            </w:r>
          </w:p>
          <w:p w14:paraId="1D467C57"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vAlign w:val="bottom"/>
          </w:tcPr>
          <w:p w14:paraId="341CD5E5"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5146862F"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996AAAB"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441E23AF"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26152780" w14:textId="77777777" w:rsidTr="00BD77ED">
        <w:trPr>
          <w:trHeight w:val="23"/>
        </w:trPr>
        <w:tc>
          <w:tcPr>
            <w:tcW w:w="2107" w:type="pct"/>
            <w:vAlign w:val="bottom"/>
          </w:tcPr>
          <w:p w14:paraId="1D423A73" w14:textId="77777777" w:rsidR="00BD77ED" w:rsidRPr="00BD77ED" w:rsidRDefault="00BD77ED" w:rsidP="007042E2">
            <w:pPr>
              <w:widowControl w:val="0"/>
              <w:pBdr>
                <w:top w:val="nil"/>
                <w:left w:val="nil"/>
                <w:bottom w:val="nil"/>
                <w:right w:val="nil"/>
                <w:between w:val="nil"/>
              </w:pBdr>
              <w:ind w:left="113" w:hanging="113"/>
              <w:rPr>
                <w:color w:val="000000"/>
              </w:rPr>
            </w:pPr>
            <w:r w:rsidRPr="00BD77ED">
              <w:rPr>
                <w:color w:val="000000"/>
              </w:rPr>
              <w:t>Oil and gas</w:t>
            </w:r>
          </w:p>
        </w:tc>
        <w:tc>
          <w:tcPr>
            <w:tcW w:w="723" w:type="pct"/>
            <w:vAlign w:val="bottom"/>
          </w:tcPr>
          <w:p w14:paraId="10C915B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0D52A8FC"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37297210"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4C099139"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0E9F6C2D" w14:textId="77777777" w:rsidTr="00BD77ED">
        <w:trPr>
          <w:trHeight w:val="23"/>
        </w:trPr>
        <w:tc>
          <w:tcPr>
            <w:tcW w:w="2107" w:type="pct"/>
            <w:vAlign w:val="bottom"/>
          </w:tcPr>
          <w:p w14:paraId="149933A4" w14:textId="77777777" w:rsidR="00BD77ED" w:rsidRPr="00BD77ED" w:rsidRDefault="00BD77ED" w:rsidP="007042E2">
            <w:pPr>
              <w:widowControl w:val="0"/>
              <w:pBdr>
                <w:top w:val="nil"/>
                <w:left w:val="nil"/>
                <w:bottom w:val="nil"/>
                <w:right w:val="nil"/>
                <w:between w:val="nil"/>
              </w:pBdr>
              <w:ind w:left="113" w:hanging="113"/>
              <w:rPr>
                <w:color w:val="000000"/>
              </w:rPr>
            </w:pPr>
            <w:r w:rsidRPr="00BD77ED">
              <w:rPr>
                <w:color w:val="000000"/>
              </w:rPr>
              <w:t>Mining</w:t>
            </w:r>
          </w:p>
        </w:tc>
        <w:tc>
          <w:tcPr>
            <w:tcW w:w="723" w:type="pct"/>
            <w:vAlign w:val="bottom"/>
          </w:tcPr>
          <w:p w14:paraId="545EE1C2"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5707BEBE"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5F2D751C"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6DF29733"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152D8932" w14:textId="77777777" w:rsidTr="00BD77ED">
        <w:trPr>
          <w:trHeight w:val="23"/>
        </w:trPr>
        <w:tc>
          <w:tcPr>
            <w:tcW w:w="2107" w:type="pct"/>
            <w:vAlign w:val="bottom"/>
          </w:tcPr>
          <w:p w14:paraId="1505BC5D" w14:textId="77777777" w:rsidR="00BD77ED" w:rsidRPr="00BD77ED" w:rsidRDefault="00BD77ED" w:rsidP="007042E2">
            <w:pPr>
              <w:widowControl w:val="0"/>
              <w:pBdr>
                <w:top w:val="nil"/>
                <w:left w:val="nil"/>
                <w:bottom w:val="nil"/>
                <w:right w:val="nil"/>
                <w:between w:val="nil"/>
              </w:pBdr>
              <w:ind w:left="113" w:hanging="113"/>
              <w:rPr>
                <w:color w:val="000000"/>
              </w:rPr>
            </w:pPr>
            <w:r w:rsidRPr="00BD77ED">
              <w:rPr>
                <w:color w:val="000000"/>
              </w:rPr>
              <w:t>Real estate</w:t>
            </w:r>
          </w:p>
        </w:tc>
        <w:tc>
          <w:tcPr>
            <w:tcW w:w="723" w:type="pct"/>
            <w:vAlign w:val="bottom"/>
          </w:tcPr>
          <w:p w14:paraId="1817F03D"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69680D54"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57D4400F"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04AA528C"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68F48B65" w14:textId="77777777" w:rsidTr="00BD77ED">
        <w:trPr>
          <w:trHeight w:val="23"/>
        </w:trPr>
        <w:tc>
          <w:tcPr>
            <w:tcW w:w="2107" w:type="pct"/>
            <w:vAlign w:val="bottom"/>
          </w:tcPr>
          <w:p w14:paraId="0EF50FD2" w14:textId="77777777" w:rsidR="00BD77ED" w:rsidRPr="00BD77ED" w:rsidRDefault="00BD77ED" w:rsidP="007042E2">
            <w:pPr>
              <w:widowControl w:val="0"/>
              <w:pBdr>
                <w:top w:val="nil"/>
                <w:left w:val="nil"/>
                <w:bottom w:val="nil"/>
                <w:right w:val="nil"/>
                <w:between w:val="nil"/>
              </w:pBdr>
              <w:ind w:left="113" w:hanging="113"/>
              <w:rPr>
                <w:color w:val="000000"/>
              </w:rPr>
            </w:pPr>
            <w:r w:rsidRPr="00BD77ED">
              <w:rPr>
                <w:color w:val="000000"/>
              </w:rPr>
              <w:t>Agricultural</w:t>
            </w:r>
          </w:p>
        </w:tc>
        <w:tc>
          <w:tcPr>
            <w:tcW w:w="723" w:type="pct"/>
            <w:vAlign w:val="bottom"/>
          </w:tcPr>
          <w:p w14:paraId="6A6C97CB"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630842E7"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4EFB70EF"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F285293"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409D1FA8" w14:textId="30FBC816" w:rsidTr="00BD77ED">
        <w:trPr>
          <w:trHeight w:val="23"/>
        </w:trPr>
        <w:tc>
          <w:tcPr>
            <w:tcW w:w="2107" w:type="pct"/>
            <w:vAlign w:val="bottom"/>
          </w:tcPr>
          <w:p w14:paraId="0894922A" w14:textId="74F42F05" w:rsidR="00BD77ED" w:rsidRPr="00BD77ED" w:rsidRDefault="00BD77ED" w:rsidP="007042E2">
            <w:pPr>
              <w:widowControl w:val="0"/>
              <w:pBdr>
                <w:top w:val="nil"/>
                <w:left w:val="nil"/>
                <w:bottom w:val="nil"/>
                <w:right w:val="nil"/>
                <w:between w:val="nil"/>
              </w:pBdr>
              <w:ind w:left="113" w:hanging="113"/>
              <w:rPr>
                <w:color w:val="000000"/>
              </w:rPr>
            </w:pPr>
            <w:r w:rsidRPr="00BD77ED">
              <w:rPr>
                <w:i/>
                <w:color w:val="FF0000"/>
              </w:rPr>
              <w:t>[Expand sectors as deemed necessary]</w:t>
            </w:r>
          </w:p>
        </w:tc>
        <w:tc>
          <w:tcPr>
            <w:tcW w:w="723" w:type="pct"/>
            <w:vAlign w:val="bottom"/>
          </w:tcPr>
          <w:p w14:paraId="46B7FB06" w14:textId="56BCCB86"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B25DDA3" w14:textId="23D8C57F"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6B4827F" w14:textId="4E1D6F9A"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25FEF22B" w14:textId="5A4F584F"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0A9B1DB7" w14:textId="77777777" w:rsidTr="00BD77ED">
        <w:trPr>
          <w:trHeight w:val="23"/>
        </w:trPr>
        <w:tc>
          <w:tcPr>
            <w:tcW w:w="2107" w:type="pct"/>
            <w:tcBorders>
              <w:bottom w:val="single" w:sz="4" w:space="0" w:color="auto"/>
            </w:tcBorders>
            <w:vAlign w:val="bottom"/>
          </w:tcPr>
          <w:p w14:paraId="66D4472C"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tcBorders>
              <w:bottom w:val="single" w:sz="4" w:space="0" w:color="auto"/>
            </w:tcBorders>
            <w:vAlign w:val="bottom"/>
          </w:tcPr>
          <w:p w14:paraId="78BB465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43864BE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121A9DBC"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2221ED58"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0ADC4E0E" w14:textId="77777777" w:rsidTr="00BD77ED">
        <w:trPr>
          <w:trHeight w:val="23"/>
        </w:trPr>
        <w:tc>
          <w:tcPr>
            <w:tcW w:w="2107" w:type="pct"/>
            <w:tcBorders>
              <w:top w:val="single" w:sz="4" w:space="0" w:color="auto"/>
            </w:tcBorders>
            <w:vAlign w:val="bottom"/>
          </w:tcPr>
          <w:p w14:paraId="7BCFB9A9"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tcBorders>
              <w:top w:val="single" w:sz="4" w:space="0" w:color="auto"/>
            </w:tcBorders>
            <w:vAlign w:val="bottom"/>
          </w:tcPr>
          <w:p w14:paraId="6B1293D5"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42BE53EE"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1AA6AD8D"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075CB6C5"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0AD6128C" w14:textId="77777777" w:rsidTr="00BD77ED">
        <w:trPr>
          <w:trHeight w:val="23"/>
        </w:trPr>
        <w:tc>
          <w:tcPr>
            <w:tcW w:w="2107" w:type="pct"/>
            <w:tcBorders>
              <w:bottom w:val="single" w:sz="4" w:space="0" w:color="auto"/>
            </w:tcBorders>
            <w:vAlign w:val="bottom"/>
          </w:tcPr>
          <w:p w14:paraId="40AB2230" w14:textId="77777777" w:rsidR="00BD77ED" w:rsidRPr="00BD77ED" w:rsidRDefault="00BD77ED" w:rsidP="007042E2">
            <w:pPr>
              <w:widowControl w:val="0"/>
              <w:pBdr>
                <w:top w:val="nil"/>
                <w:left w:val="nil"/>
                <w:bottom w:val="nil"/>
                <w:right w:val="nil"/>
                <w:between w:val="nil"/>
              </w:pBdr>
              <w:ind w:left="113" w:hanging="113"/>
              <w:rPr>
                <w:iCs/>
                <w:color w:val="000000" w:themeColor="text1"/>
              </w:rPr>
            </w:pPr>
            <w:r w:rsidRPr="00BD77ED">
              <w:rPr>
                <w:iCs/>
                <w:color w:val="000000" w:themeColor="text1"/>
              </w:rPr>
              <w:t>Total high climate risk sectors</w:t>
            </w:r>
          </w:p>
          <w:p w14:paraId="004B60A3"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tcBorders>
              <w:bottom w:val="single" w:sz="4" w:space="0" w:color="auto"/>
            </w:tcBorders>
            <w:vAlign w:val="bottom"/>
          </w:tcPr>
          <w:p w14:paraId="66C6EE7B"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78B7D76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3FCF4FCD"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0F354CF5"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583ABCE3" w14:textId="77777777" w:rsidTr="00BD77ED">
        <w:trPr>
          <w:trHeight w:val="23"/>
        </w:trPr>
        <w:tc>
          <w:tcPr>
            <w:tcW w:w="2107" w:type="pct"/>
            <w:tcBorders>
              <w:top w:val="single" w:sz="4" w:space="0" w:color="auto"/>
            </w:tcBorders>
            <w:vAlign w:val="bottom"/>
          </w:tcPr>
          <w:p w14:paraId="51923989"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tcBorders>
              <w:top w:val="single" w:sz="4" w:space="0" w:color="auto"/>
            </w:tcBorders>
            <w:vAlign w:val="bottom"/>
          </w:tcPr>
          <w:p w14:paraId="71B60AD8"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6FCAE4A5"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55B28899"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3D2F3CC2"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2157A194" w14:textId="77777777" w:rsidTr="00BD77ED">
        <w:trPr>
          <w:trHeight w:val="23"/>
        </w:trPr>
        <w:tc>
          <w:tcPr>
            <w:tcW w:w="2107" w:type="pct"/>
            <w:vAlign w:val="bottom"/>
          </w:tcPr>
          <w:p w14:paraId="606D2535"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vAlign w:val="bottom"/>
          </w:tcPr>
          <w:p w14:paraId="56394CCD"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6F44398C"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2760B15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43800549"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0A224121" w14:textId="77777777" w:rsidTr="00BD77ED">
        <w:trPr>
          <w:trHeight w:val="23"/>
        </w:trPr>
        <w:tc>
          <w:tcPr>
            <w:tcW w:w="2107" w:type="pct"/>
            <w:vAlign w:val="bottom"/>
          </w:tcPr>
          <w:p w14:paraId="39DE7F5C" w14:textId="77777777" w:rsidR="00BD77ED" w:rsidRPr="00BD77ED" w:rsidRDefault="00BD77ED" w:rsidP="007042E2">
            <w:pPr>
              <w:widowControl w:val="0"/>
              <w:pBdr>
                <w:top w:val="nil"/>
                <w:left w:val="nil"/>
                <w:bottom w:val="nil"/>
                <w:right w:val="nil"/>
                <w:between w:val="nil"/>
              </w:pBdr>
              <w:ind w:left="113" w:hanging="113"/>
              <w:rPr>
                <w:color w:val="000000"/>
              </w:rPr>
            </w:pPr>
            <w:r w:rsidRPr="00BD77ED">
              <w:rPr>
                <w:color w:val="000000"/>
              </w:rPr>
              <w:t>Trade</w:t>
            </w:r>
          </w:p>
        </w:tc>
        <w:tc>
          <w:tcPr>
            <w:tcW w:w="723" w:type="pct"/>
            <w:vAlign w:val="bottom"/>
          </w:tcPr>
          <w:p w14:paraId="27C8C909"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5CD5253A"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7801FC6E"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7F3E0A68"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4CDD15AE" w14:textId="77777777" w:rsidTr="00BD77ED">
        <w:trPr>
          <w:trHeight w:val="23"/>
        </w:trPr>
        <w:tc>
          <w:tcPr>
            <w:tcW w:w="2107" w:type="pct"/>
            <w:vAlign w:val="bottom"/>
          </w:tcPr>
          <w:p w14:paraId="5F294084" w14:textId="77777777" w:rsidR="00BD77ED" w:rsidRPr="00BD77ED" w:rsidRDefault="00BD77ED" w:rsidP="007042E2">
            <w:pPr>
              <w:widowControl w:val="0"/>
              <w:pBdr>
                <w:top w:val="nil"/>
                <w:left w:val="nil"/>
                <w:bottom w:val="nil"/>
                <w:right w:val="nil"/>
                <w:between w:val="nil"/>
              </w:pBdr>
              <w:ind w:left="113" w:hanging="113"/>
              <w:rPr>
                <w:color w:val="000000"/>
              </w:rPr>
            </w:pPr>
            <w:r w:rsidRPr="00BD77ED">
              <w:rPr>
                <w:color w:val="000000"/>
              </w:rPr>
              <w:t>Manufacturing</w:t>
            </w:r>
          </w:p>
        </w:tc>
        <w:tc>
          <w:tcPr>
            <w:tcW w:w="723" w:type="pct"/>
            <w:vAlign w:val="bottom"/>
          </w:tcPr>
          <w:p w14:paraId="4C9CE444"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39EDD627"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743D5AA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70CB9341"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20377E41" w14:textId="77777777" w:rsidTr="00BD77ED">
        <w:trPr>
          <w:trHeight w:val="23"/>
        </w:trPr>
        <w:tc>
          <w:tcPr>
            <w:tcW w:w="2107" w:type="pct"/>
            <w:vAlign w:val="bottom"/>
          </w:tcPr>
          <w:p w14:paraId="589591CC" w14:textId="77777777" w:rsidR="00BD77ED" w:rsidRPr="00BD77ED" w:rsidRDefault="00BD77ED" w:rsidP="007042E2">
            <w:pPr>
              <w:widowControl w:val="0"/>
              <w:pBdr>
                <w:top w:val="nil"/>
                <w:left w:val="nil"/>
                <w:bottom w:val="nil"/>
                <w:right w:val="nil"/>
                <w:between w:val="nil"/>
              </w:pBdr>
              <w:ind w:left="113" w:hanging="113"/>
              <w:rPr>
                <w:color w:val="000000"/>
              </w:rPr>
            </w:pPr>
            <w:r w:rsidRPr="00BD77ED">
              <w:rPr>
                <w:color w:val="000000"/>
              </w:rPr>
              <w:t>Cities and municipalities</w:t>
            </w:r>
          </w:p>
        </w:tc>
        <w:tc>
          <w:tcPr>
            <w:tcW w:w="723" w:type="pct"/>
            <w:vAlign w:val="bottom"/>
          </w:tcPr>
          <w:p w14:paraId="7D0713ED"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3945C9E"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3DB1D411"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6A2172A1"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3C6FC9E4" w14:textId="61275FE5" w:rsidTr="00BD77ED">
        <w:trPr>
          <w:trHeight w:val="23"/>
        </w:trPr>
        <w:tc>
          <w:tcPr>
            <w:tcW w:w="2107" w:type="pct"/>
            <w:vAlign w:val="bottom"/>
          </w:tcPr>
          <w:p w14:paraId="0BF34F72" w14:textId="5E71C777" w:rsidR="00BD77ED" w:rsidRPr="00BD77ED" w:rsidRDefault="00BD77ED" w:rsidP="007042E2">
            <w:pPr>
              <w:widowControl w:val="0"/>
              <w:pBdr>
                <w:top w:val="nil"/>
                <w:left w:val="nil"/>
                <w:bottom w:val="nil"/>
                <w:right w:val="nil"/>
                <w:between w:val="nil"/>
              </w:pBdr>
              <w:ind w:left="113" w:hanging="113"/>
              <w:rPr>
                <w:color w:val="000000"/>
              </w:rPr>
            </w:pPr>
            <w:r w:rsidRPr="00BD77ED">
              <w:rPr>
                <w:i/>
                <w:color w:val="FF0000"/>
              </w:rPr>
              <w:t>[Expand sectors as deemed necessary]</w:t>
            </w:r>
          </w:p>
        </w:tc>
        <w:tc>
          <w:tcPr>
            <w:tcW w:w="723" w:type="pct"/>
            <w:vAlign w:val="bottom"/>
          </w:tcPr>
          <w:p w14:paraId="103B7500" w14:textId="4DFDF6EC"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54043766" w14:textId="22F69BA5"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40CE18F3" w14:textId="69BDCF99"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3D9FF466" w14:textId="31D20570"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708E8AC9" w14:textId="77777777" w:rsidTr="00BD77ED">
        <w:trPr>
          <w:trHeight w:val="23"/>
        </w:trPr>
        <w:tc>
          <w:tcPr>
            <w:tcW w:w="2107" w:type="pct"/>
            <w:tcBorders>
              <w:bottom w:val="single" w:sz="4" w:space="0" w:color="auto"/>
            </w:tcBorders>
            <w:vAlign w:val="bottom"/>
          </w:tcPr>
          <w:p w14:paraId="27A10BB1"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tcBorders>
              <w:bottom w:val="single" w:sz="4" w:space="0" w:color="auto"/>
            </w:tcBorders>
            <w:vAlign w:val="bottom"/>
          </w:tcPr>
          <w:p w14:paraId="684A534D"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066A8E30"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40DD796A"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0B87B745"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43228DA2" w14:textId="77777777" w:rsidTr="00BD77ED">
        <w:trPr>
          <w:trHeight w:val="23"/>
        </w:trPr>
        <w:tc>
          <w:tcPr>
            <w:tcW w:w="2107" w:type="pct"/>
            <w:tcBorders>
              <w:top w:val="single" w:sz="4" w:space="0" w:color="auto"/>
            </w:tcBorders>
            <w:vAlign w:val="bottom"/>
          </w:tcPr>
          <w:p w14:paraId="276F2E1E"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tcBorders>
              <w:top w:val="single" w:sz="4" w:space="0" w:color="auto"/>
            </w:tcBorders>
            <w:vAlign w:val="bottom"/>
          </w:tcPr>
          <w:p w14:paraId="6F48FA5B"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5DB95D82"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2B452602"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16CFF624"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0F412BB0" w14:textId="77777777" w:rsidTr="00BD77ED">
        <w:trPr>
          <w:trHeight w:val="23"/>
        </w:trPr>
        <w:tc>
          <w:tcPr>
            <w:tcW w:w="2107" w:type="pct"/>
            <w:vAlign w:val="bottom"/>
          </w:tcPr>
          <w:p w14:paraId="1FA04F6D" w14:textId="77777777" w:rsidR="00BD77ED" w:rsidRPr="00BD77ED" w:rsidRDefault="00BD77ED" w:rsidP="007042E2">
            <w:pPr>
              <w:widowControl w:val="0"/>
              <w:pBdr>
                <w:top w:val="nil"/>
                <w:left w:val="nil"/>
                <w:bottom w:val="nil"/>
                <w:right w:val="nil"/>
                <w:between w:val="nil"/>
              </w:pBdr>
              <w:ind w:left="113" w:hanging="113"/>
              <w:rPr>
                <w:color w:val="000000"/>
              </w:rPr>
            </w:pPr>
            <w:r w:rsidRPr="00BD77ED">
              <w:rPr>
                <w:color w:val="000000"/>
              </w:rPr>
              <w:t>Total moderate climate risk sectors</w:t>
            </w:r>
          </w:p>
        </w:tc>
        <w:tc>
          <w:tcPr>
            <w:tcW w:w="723" w:type="pct"/>
            <w:vAlign w:val="bottom"/>
          </w:tcPr>
          <w:p w14:paraId="6413DEB0"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6952FAD3"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2F6D5848"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0E07DA7"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23341878" w14:textId="77777777" w:rsidTr="00BD77ED">
        <w:trPr>
          <w:trHeight w:val="23"/>
        </w:trPr>
        <w:tc>
          <w:tcPr>
            <w:tcW w:w="2107" w:type="pct"/>
            <w:tcBorders>
              <w:bottom w:val="single" w:sz="4" w:space="0" w:color="auto"/>
            </w:tcBorders>
            <w:vAlign w:val="bottom"/>
          </w:tcPr>
          <w:p w14:paraId="5235C55F"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tcBorders>
              <w:bottom w:val="single" w:sz="4" w:space="0" w:color="auto"/>
            </w:tcBorders>
            <w:vAlign w:val="bottom"/>
          </w:tcPr>
          <w:p w14:paraId="73E19D75"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31628A70"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2C65CAF9"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58287597"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130177F1" w14:textId="77777777" w:rsidTr="00BD77ED">
        <w:trPr>
          <w:trHeight w:val="23"/>
        </w:trPr>
        <w:tc>
          <w:tcPr>
            <w:tcW w:w="2107" w:type="pct"/>
            <w:tcBorders>
              <w:top w:val="single" w:sz="4" w:space="0" w:color="auto"/>
            </w:tcBorders>
            <w:vAlign w:val="bottom"/>
          </w:tcPr>
          <w:p w14:paraId="209B7BAD" w14:textId="77777777" w:rsidR="00BD77ED" w:rsidRPr="00BD77ED" w:rsidRDefault="00BD77ED" w:rsidP="007042E2">
            <w:pPr>
              <w:widowControl w:val="0"/>
              <w:pBdr>
                <w:top w:val="nil"/>
                <w:left w:val="nil"/>
                <w:bottom w:val="nil"/>
                <w:right w:val="nil"/>
                <w:between w:val="nil"/>
              </w:pBdr>
              <w:ind w:left="113" w:hanging="113"/>
              <w:rPr>
                <w:color w:val="000000"/>
              </w:rPr>
            </w:pPr>
          </w:p>
        </w:tc>
        <w:tc>
          <w:tcPr>
            <w:tcW w:w="723" w:type="pct"/>
            <w:tcBorders>
              <w:top w:val="single" w:sz="4" w:space="0" w:color="auto"/>
            </w:tcBorders>
            <w:vAlign w:val="bottom"/>
          </w:tcPr>
          <w:p w14:paraId="07E46BA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610283F0"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388C76B7"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7FB30CDD"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2791E2FD" w14:textId="77777777" w:rsidTr="00BD77ED">
        <w:trPr>
          <w:trHeight w:val="23"/>
        </w:trPr>
        <w:tc>
          <w:tcPr>
            <w:tcW w:w="2107" w:type="pct"/>
            <w:vAlign w:val="bottom"/>
          </w:tcPr>
          <w:p w14:paraId="245B956E" w14:textId="77777777" w:rsidR="00BD77ED" w:rsidRPr="00BD77ED" w:rsidRDefault="00BD77ED" w:rsidP="007042E2">
            <w:pPr>
              <w:widowControl w:val="0"/>
              <w:pBdr>
                <w:top w:val="nil"/>
                <w:left w:val="nil"/>
                <w:bottom w:val="nil"/>
                <w:right w:val="nil"/>
                <w:between w:val="nil"/>
              </w:pBdr>
              <w:rPr>
                <w:color w:val="000000"/>
              </w:rPr>
            </w:pPr>
            <w:r w:rsidRPr="00BD77ED">
              <w:rPr>
                <w:color w:val="000000"/>
              </w:rPr>
              <w:t>Financial services</w:t>
            </w:r>
          </w:p>
        </w:tc>
        <w:tc>
          <w:tcPr>
            <w:tcW w:w="723" w:type="pct"/>
            <w:vAlign w:val="bottom"/>
          </w:tcPr>
          <w:p w14:paraId="68806CD5"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21DC1959"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3C52960"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0DD10AA4"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61235E1A" w14:textId="77777777" w:rsidTr="00BD77ED">
        <w:trPr>
          <w:trHeight w:val="23"/>
        </w:trPr>
        <w:tc>
          <w:tcPr>
            <w:tcW w:w="2107" w:type="pct"/>
            <w:vAlign w:val="bottom"/>
          </w:tcPr>
          <w:p w14:paraId="22BDBA3C" w14:textId="77777777" w:rsidR="00BD77ED" w:rsidRPr="00BD77ED" w:rsidRDefault="00BD77ED" w:rsidP="007042E2">
            <w:pPr>
              <w:widowControl w:val="0"/>
              <w:pBdr>
                <w:top w:val="nil"/>
                <w:left w:val="nil"/>
                <w:bottom w:val="nil"/>
                <w:right w:val="nil"/>
                <w:between w:val="nil"/>
              </w:pBdr>
              <w:rPr>
                <w:color w:val="000000"/>
              </w:rPr>
            </w:pPr>
            <w:r w:rsidRPr="00BD77ED">
              <w:rPr>
                <w:color w:val="000000"/>
              </w:rPr>
              <w:t>State and public organisations</w:t>
            </w:r>
          </w:p>
        </w:tc>
        <w:tc>
          <w:tcPr>
            <w:tcW w:w="723" w:type="pct"/>
            <w:vAlign w:val="bottom"/>
          </w:tcPr>
          <w:p w14:paraId="639E5DB8"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4D7E5873"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0314103E"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33BFD38C"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4E6B2BDD" w14:textId="77777777" w:rsidTr="00BD77ED">
        <w:trPr>
          <w:trHeight w:val="23"/>
        </w:trPr>
        <w:tc>
          <w:tcPr>
            <w:tcW w:w="2107" w:type="pct"/>
            <w:vAlign w:val="bottom"/>
          </w:tcPr>
          <w:p w14:paraId="24DDFDCA" w14:textId="77777777" w:rsidR="00BD77ED" w:rsidRPr="00BD77ED" w:rsidRDefault="00BD77ED" w:rsidP="007042E2">
            <w:pPr>
              <w:widowControl w:val="0"/>
              <w:pBdr>
                <w:top w:val="nil"/>
                <w:left w:val="nil"/>
                <w:bottom w:val="nil"/>
                <w:right w:val="nil"/>
                <w:between w:val="nil"/>
              </w:pBdr>
              <w:rPr>
                <w:color w:val="000000"/>
              </w:rPr>
            </w:pPr>
            <w:r w:rsidRPr="00BD77ED">
              <w:rPr>
                <w:color w:val="000000"/>
              </w:rPr>
              <w:t>Individuals</w:t>
            </w:r>
          </w:p>
        </w:tc>
        <w:tc>
          <w:tcPr>
            <w:tcW w:w="723" w:type="pct"/>
            <w:vAlign w:val="bottom"/>
          </w:tcPr>
          <w:p w14:paraId="735DE8E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74BCBA6F"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07493056"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DCFF809"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794B9BC9" w14:textId="77777777" w:rsidTr="00BD77ED">
        <w:trPr>
          <w:trHeight w:val="23"/>
        </w:trPr>
        <w:tc>
          <w:tcPr>
            <w:tcW w:w="2107" w:type="pct"/>
            <w:vAlign w:val="bottom"/>
          </w:tcPr>
          <w:p w14:paraId="007E98C7" w14:textId="77777777" w:rsidR="00BD77ED" w:rsidRPr="00BD77ED" w:rsidRDefault="00BD77ED" w:rsidP="007042E2">
            <w:pPr>
              <w:widowControl w:val="0"/>
              <w:pBdr>
                <w:top w:val="nil"/>
                <w:left w:val="nil"/>
                <w:bottom w:val="nil"/>
                <w:right w:val="nil"/>
                <w:between w:val="nil"/>
              </w:pBdr>
              <w:rPr>
                <w:color w:val="000000"/>
              </w:rPr>
            </w:pPr>
            <w:r w:rsidRPr="00BD77ED">
              <w:rPr>
                <w:color w:val="000000"/>
              </w:rPr>
              <w:t>Other</w:t>
            </w:r>
          </w:p>
        </w:tc>
        <w:tc>
          <w:tcPr>
            <w:tcW w:w="723" w:type="pct"/>
            <w:vAlign w:val="bottom"/>
          </w:tcPr>
          <w:p w14:paraId="13B7B574"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09B8EE99"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6A61F31"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7E074E16"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235E4ABF" w14:textId="2D227E26" w:rsidTr="00BD77ED">
        <w:trPr>
          <w:trHeight w:val="23"/>
        </w:trPr>
        <w:tc>
          <w:tcPr>
            <w:tcW w:w="2107" w:type="pct"/>
            <w:vAlign w:val="bottom"/>
          </w:tcPr>
          <w:p w14:paraId="64A464EE" w14:textId="6CACAA75" w:rsidR="00BD77ED" w:rsidRPr="00BD77ED" w:rsidRDefault="00BD77ED" w:rsidP="007042E2">
            <w:pPr>
              <w:widowControl w:val="0"/>
              <w:pBdr>
                <w:top w:val="nil"/>
                <w:left w:val="nil"/>
                <w:bottom w:val="nil"/>
                <w:right w:val="nil"/>
                <w:between w:val="nil"/>
              </w:pBdr>
              <w:rPr>
                <w:color w:val="000000"/>
              </w:rPr>
            </w:pPr>
            <w:r w:rsidRPr="00BD77ED">
              <w:rPr>
                <w:i/>
                <w:color w:val="FF0000"/>
              </w:rPr>
              <w:t>[Expand sectors as deemed necessary]</w:t>
            </w:r>
          </w:p>
        </w:tc>
        <w:tc>
          <w:tcPr>
            <w:tcW w:w="723" w:type="pct"/>
            <w:vAlign w:val="bottom"/>
          </w:tcPr>
          <w:p w14:paraId="11C0E27E" w14:textId="371428B1"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2FBDC20F" w14:textId="1B69CE38"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1DCA7B77" w14:textId="4518EB7F"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7BEF38AD" w14:textId="680F46F8"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4672A529" w14:textId="77777777" w:rsidTr="00BD77ED">
        <w:trPr>
          <w:trHeight w:val="23"/>
        </w:trPr>
        <w:tc>
          <w:tcPr>
            <w:tcW w:w="2107" w:type="pct"/>
            <w:tcBorders>
              <w:bottom w:val="single" w:sz="4" w:space="0" w:color="auto"/>
            </w:tcBorders>
            <w:vAlign w:val="bottom"/>
          </w:tcPr>
          <w:p w14:paraId="73664BA3" w14:textId="77777777" w:rsidR="00BD77ED" w:rsidRPr="00BD77ED" w:rsidRDefault="00BD77ED" w:rsidP="007042E2">
            <w:pPr>
              <w:widowControl w:val="0"/>
              <w:pBdr>
                <w:top w:val="nil"/>
                <w:left w:val="nil"/>
                <w:bottom w:val="nil"/>
                <w:right w:val="nil"/>
                <w:between w:val="nil"/>
              </w:pBdr>
              <w:rPr>
                <w:color w:val="000000"/>
              </w:rPr>
            </w:pPr>
          </w:p>
        </w:tc>
        <w:tc>
          <w:tcPr>
            <w:tcW w:w="723" w:type="pct"/>
            <w:tcBorders>
              <w:bottom w:val="single" w:sz="4" w:space="0" w:color="auto"/>
            </w:tcBorders>
            <w:vAlign w:val="bottom"/>
          </w:tcPr>
          <w:p w14:paraId="3670ACA5"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1B9BF628"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493F298F"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172A224D"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76A59ED0" w14:textId="77777777" w:rsidTr="00BD77ED">
        <w:trPr>
          <w:trHeight w:val="23"/>
        </w:trPr>
        <w:tc>
          <w:tcPr>
            <w:tcW w:w="2107" w:type="pct"/>
            <w:tcBorders>
              <w:top w:val="single" w:sz="4" w:space="0" w:color="auto"/>
            </w:tcBorders>
            <w:vAlign w:val="bottom"/>
          </w:tcPr>
          <w:p w14:paraId="3736F0C9" w14:textId="77777777" w:rsidR="00BD77ED" w:rsidRPr="00BD77ED" w:rsidRDefault="00BD77ED" w:rsidP="007042E2">
            <w:pPr>
              <w:widowControl w:val="0"/>
              <w:pBdr>
                <w:top w:val="nil"/>
                <w:left w:val="nil"/>
                <w:bottom w:val="nil"/>
                <w:right w:val="nil"/>
                <w:between w:val="nil"/>
              </w:pBdr>
              <w:rPr>
                <w:color w:val="000000"/>
              </w:rPr>
            </w:pPr>
          </w:p>
        </w:tc>
        <w:tc>
          <w:tcPr>
            <w:tcW w:w="723" w:type="pct"/>
            <w:tcBorders>
              <w:top w:val="single" w:sz="4" w:space="0" w:color="auto"/>
            </w:tcBorders>
            <w:vAlign w:val="bottom"/>
          </w:tcPr>
          <w:p w14:paraId="51C00F28"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50125DF4"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6BAB2D1C"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top w:val="single" w:sz="4" w:space="0" w:color="auto"/>
            </w:tcBorders>
            <w:vAlign w:val="bottom"/>
          </w:tcPr>
          <w:p w14:paraId="20EE725A"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47283FFD" w14:textId="77777777" w:rsidTr="00BD77ED">
        <w:trPr>
          <w:trHeight w:val="23"/>
        </w:trPr>
        <w:tc>
          <w:tcPr>
            <w:tcW w:w="2107" w:type="pct"/>
            <w:vAlign w:val="bottom"/>
          </w:tcPr>
          <w:p w14:paraId="4ACA93A3" w14:textId="77777777" w:rsidR="00BD77ED" w:rsidRPr="00BD77ED" w:rsidRDefault="00BD77ED" w:rsidP="007042E2">
            <w:pPr>
              <w:widowControl w:val="0"/>
              <w:pBdr>
                <w:top w:val="nil"/>
                <w:left w:val="nil"/>
                <w:bottom w:val="nil"/>
                <w:right w:val="nil"/>
                <w:between w:val="nil"/>
              </w:pBdr>
              <w:rPr>
                <w:color w:val="000000"/>
              </w:rPr>
            </w:pPr>
            <w:r w:rsidRPr="00BD77ED">
              <w:rPr>
                <w:color w:val="000000"/>
              </w:rPr>
              <w:t>Total low climate risk sectors</w:t>
            </w:r>
          </w:p>
        </w:tc>
        <w:tc>
          <w:tcPr>
            <w:tcW w:w="723" w:type="pct"/>
            <w:vAlign w:val="bottom"/>
          </w:tcPr>
          <w:p w14:paraId="588EBAA4"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769B0B07"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35030980"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vAlign w:val="bottom"/>
          </w:tcPr>
          <w:p w14:paraId="50903403"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7D720E9B" w14:textId="77777777" w:rsidTr="00BD77ED">
        <w:trPr>
          <w:trHeight w:val="23"/>
        </w:trPr>
        <w:tc>
          <w:tcPr>
            <w:tcW w:w="2107" w:type="pct"/>
            <w:tcBorders>
              <w:bottom w:val="single" w:sz="4" w:space="0" w:color="auto"/>
            </w:tcBorders>
            <w:vAlign w:val="bottom"/>
          </w:tcPr>
          <w:p w14:paraId="6E2BB223" w14:textId="77777777" w:rsidR="00BD77ED" w:rsidRPr="00BD77ED" w:rsidRDefault="00BD77ED" w:rsidP="007042E2">
            <w:pPr>
              <w:widowControl w:val="0"/>
              <w:pBdr>
                <w:top w:val="nil"/>
                <w:left w:val="nil"/>
                <w:bottom w:val="nil"/>
                <w:right w:val="nil"/>
                <w:between w:val="nil"/>
              </w:pBdr>
              <w:rPr>
                <w:color w:val="000000"/>
              </w:rPr>
            </w:pPr>
          </w:p>
        </w:tc>
        <w:tc>
          <w:tcPr>
            <w:tcW w:w="723" w:type="pct"/>
            <w:tcBorders>
              <w:bottom w:val="single" w:sz="4" w:space="0" w:color="auto"/>
            </w:tcBorders>
            <w:vAlign w:val="bottom"/>
          </w:tcPr>
          <w:p w14:paraId="1D5DD1C4"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33451901"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7CDD1C2B"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4" w:space="0" w:color="auto"/>
            </w:tcBorders>
            <w:vAlign w:val="bottom"/>
          </w:tcPr>
          <w:p w14:paraId="498E9189"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7A79909B" w14:textId="77777777" w:rsidTr="00BD77ED">
        <w:trPr>
          <w:trHeight w:val="23"/>
        </w:trPr>
        <w:tc>
          <w:tcPr>
            <w:tcW w:w="2107" w:type="pct"/>
            <w:vAlign w:val="bottom"/>
          </w:tcPr>
          <w:p w14:paraId="50D7E366" w14:textId="77777777" w:rsidR="00BD77ED" w:rsidRPr="00BD77ED" w:rsidRDefault="00BD77ED" w:rsidP="007042E2">
            <w:pPr>
              <w:widowControl w:val="0"/>
              <w:ind w:left="113" w:hanging="113"/>
              <w:rPr>
                <w:b/>
              </w:rPr>
            </w:pPr>
            <w:r w:rsidRPr="00BD77ED">
              <w:t> </w:t>
            </w:r>
          </w:p>
        </w:tc>
        <w:tc>
          <w:tcPr>
            <w:tcW w:w="723" w:type="pct"/>
            <w:vAlign w:val="bottom"/>
          </w:tcPr>
          <w:p w14:paraId="053BAC8E" w14:textId="77777777" w:rsidR="00BD77ED" w:rsidRPr="00BD77ED" w:rsidRDefault="00BD77ED" w:rsidP="007042E2">
            <w:pPr>
              <w:widowControl w:val="0"/>
              <w:pBdr>
                <w:top w:val="nil"/>
                <w:left w:val="nil"/>
                <w:bottom w:val="nil"/>
                <w:right w:val="nil"/>
                <w:between w:val="nil"/>
              </w:pBdr>
              <w:jc w:val="right"/>
              <w:rPr>
                <w:b/>
                <w:color w:val="000000"/>
              </w:rPr>
            </w:pPr>
          </w:p>
        </w:tc>
        <w:tc>
          <w:tcPr>
            <w:tcW w:w="723" w:type="pct"/>
            <w:vAlign w:val="bottom"/>
          </w:tcPr>
          <w:p w14:paraId="5D5777A9" w14:textId="77777777" w:rsidR="00BD77ED" w:rsidRPr="00BD77ED" w:rsidRDefault="00BD77ED" w:rsidP="007042E2">
            <w:pPr>
              <w:widowControl w:val="0"/>
              <w:pBdr>
                <w:top w:val="nil"/>
                <w:left w:val="nil"/>
                <w:bottom w:val="nil"/>
                <w:right w:val="nil"/>
                <w:between w:val="nil"/>
              </w:pBdr>
              <w:jc w:val="right"/>
              <w:rPr>
                <w:b/>
                <w:color w:val="000000"/>
              </w:rPr>
            </w:pPr>
          </w:p>
        </w:tc>
        <w:tc>
          <w:tcPr>
            <w:tcW w:w="723" w:type="pct"/>
            <w:vAlign w:val="bottom"/>
          </w:tcPr>
          <w:p w14:paraId="7F967172" w14:textId="77777777" w:rsidR="00BD77ED" w:rsidRPr="00BD77ED" w:rsidRDefault="00BD77ED" w:rsidP="007042E2">
            <w:pPr>
              <w:widowControl w:val="0"/>
              <w:pBdr>
                <w:top w:val="nil"/>
                <w:left w:val="nil"/>
                <w:bottom w:val="nil"/>
                <w:right w:val="nil"/>
                <w:between w:val="nil"/>
              </w:pBdr>
              <w:jc w:val="right"/>
              <w:rPr>
                <w:b/>
                <w:color w:val="000000"/>
              </w:rPr>
            </w:pPr>
          </w:p>
        </w:tc>
        <w:tc>
          <w:tcPr>
            <w:tcW w:w="723" w:type="pct"/>
            <w:vAlign w:val="bottom"/>
          </w:tcPr>
          <w:p w14:paraId="498B2790"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44281B72" w14:textId="77777777" w:rsidTr="00BD77ED">
        <w:trPr>
          <w:trHeight w:val="23"/>
        </w:trPr>
        <w:tc>
          <w:tcPr>
            <w:tcW w:w="2107" w:type="pct"/>
            <w:vAlign w:val="bottom"/>
          </w:tcPr>
          <w:p w14:paraId="24AD8D96" w14:textId="77777777" w:rsidR="00BD77ED" w:rsidRPr="00BD77ED" w:rsidRDefault="00BD77ED" w:rsidP="007042E2">
            <w:pPr>
              <w:widowControl w:val="0"/>
              <w:pBdr>
                <w:top w:val="nil"/>
                <w:left w:val="nil"/>
                <w:bottom w:val="nil"/>
                <w:right w:val="nil"/>
                <w:between w:val="nil"/>
              </w:pBdr>
              <w:ind w:left="113" w:hanging="113"/>
              <w:rPr>
                <w:b/>
                <w:color w:val="000000"/>
              </w:rPr>
            </w:pPr>
            <w:r w:rsidRPr="00BD77ED">
              <w:rPr>
                <w:b/>
                <w:color w:val="000000"/>
              </w:rPr>
              <w:t>Total loans and advances to customers carried at AC and at FVTPL</w:t>
            </w:r>
          </w:p>
        </w:tc>
        <w:tc>
          <w:tcPr>
            <w:tcW w:w="723" w:type="pct"/>
            <w:vAlign w:val="bottom"/>
          </w:tcPr>
          <w:p w14:paraId="311D6FF6" w14:textId="77777777" w:rsidR="00BD77ED" w:rsidRPr="00BD77ED" w:rsidRDefault="00BD77ED" w:rsidP="007042E2">
            <w:pPr>
              <w:widowControl w:val="0"/>
              <w:pBdr>
                <w:top w:val="nil"/>
                <w:left w:val="nil"/>
                <w:bottom w:val="nil"/>
                <w:right w:val="nil"/>
                <w:between w:val="nil"/>
              </w:pBdr>
              <w:jc w:val="right"/>
              <w:rPr>
                <w:b/>
                <w:color w:val="000000"/>
              </w:rPr>
            </w:pPr>
          </w:p>
        </w:tc>
        <w:tc>
          <w:tcPr>
            <w:tcW w:w="723" w:type="pct"/>
            <w:vAlign w:val="bottom"/>
          </w:tcPr>
          <w:p w14:paraId="515CFA3F" w14:textId="77777777" w:rsidR="00BD77ED" w:rsidRPr="00BD77ED" w:rsidRDefault="00BD77ED" w:rsidP="007042E2">
            <w:pPr>
              <w:widowControl w:val="0"/>
              <w:pBdr>
                <w:top w:val="nil"/>
                <w:left w:val="nil"/>
                <w:bottom w:val="nil"/>
                <w:right w:val="nil"/>
                <w:between w:val="nil"/>
              </w:pBdr>
              <w:jc w:val="right"/>
              <w:rPr>
                <w:b/>
                <w:color w:val="000000"/>
              </w:rPr>
            </w:pPr>
          </w:p>
        </w:tc>
        <w:tc>
          <w:tcPr>
            <w:tcW w:w="723" w:type="pct"/>
            <w:vAlign w:val="bottom"/>
          </w:tcPr>
          <w:p w14:paraId="76F92078" w14:textId="77777777" w:rsidR="00BD77ED" w:rsidRPr="00BD77ED" w:rsidRDefault="00BD77ED" w:rsidP="007042E2">
            <w:pPr>
              <w:widowControl w:val="0"/>
              <w:pBdr>
                <w:top w:val="nil"/>
                <w:left w:val="nil"/>
                <w:bottom w:val="nil"/>
                <w:right w:val="nil"/>
                <w:between w:val="nil"/>
              </w:pBdr>
              <w:jc w:val="right"/>
              <w:rPr>
                <w:b/>
                <w:color w:val="000000"/>
              </w:rPr>
            </w:pPr>
          </w:p>
        </w:tc>
        <w:tc>
          <w:tcPr>
            <w:tcW w:w="723" w:type="pct"/>
            <w:vAlign w:val="bottom"/>
          </w:tcPr>
          <w:p w14:paraId="4E5F96C6" w14:textId="77777777" w:rsidR="00BD77ED" w:rsidRPr="00BD77ED" w:rsidRDefault="00BD77ED" w:rsidP="007042E2">
            <w:pPr>
              <w:widowControl w:val="0"/>
              <w:pBdr>
                <w:top w:val="nil"/>
                <w:left w:val="nil"/>
                <w:bottom w:val="nil"/>
                <w:right w:val="nil"/>
                <w:between w:val="nil"/>
              </w:pBdr>
              <w:jc w:val="right"/>
              <w:rPr>
                <w:color w:val="000000"/>
              </w:rPr>
            </w:pPr>
          </w:p>
        </w:tc>
      </w:tr>
      <w:tr w:rsidR="00BD77ED" w:rsidRPr="00BD77ED" w14:paraId="35C1A74B" w14:textId="77777777" w:rsidTr="00BD77ED">
        <w:trPr>
          <w:trHeight w:val="23"/>
        </w:trPr>
        <w:tc>
          <w:tcPr>
            <w:tcW w:w="2107" w:type="pct"/>
            <w:tcBorders>
              <w:bottom w:val="single" w:sz="12" w:space="0" w:color="000000"/>
            </w:tcBorders>
            <w:vAlign w:val="bottom"/>
          </w:tcPr>
          <w:p w14:paraId="51B1C55F" w14:textId="77777777" w:rsidR="00BD77ED" w:rsidRPr="00BD77ED" w:rsidRDefault="00BD77ED" w:rsidP="007042E2">
            <w:pPr>
              <w:widowControl w:val="0"/>
              <w:ind w:left="113" w:hanging="113"/>
            </w:pPr>
            <w:r w:rsidRPr="00BD77ED">
              <w:t> </w:t>
            </w:r>
          </w:p>
        </w:tc>
        <w:tc>
          <w:tcPr>
            <w:tcW w:w="723" w:type="pct"/>
            <w:tcBorders>
              <w:bottom w:val="single" w:sz="12" w:space="0" w:color="000000"/>
            </w:tcBorders>
            <w:vAlign w:val="bottom"/>
          </w:tcPr>
          <w:p w14:paraId="2BEDA900"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12" w:space="0" w:color="000000"/>
            </w:tcBorders>
            <w:vAlign w:val="bottom"/>
          </w:tcPr>
          <w:p w14:paraId="57793685"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12" w:space="0" w:color="000000"/>
            </w:tcBorders>
            <w:vAlign w:val="bottom"/>
          </w:tcPr>
          <w:p w14:paraId="602D7E21" w14:textId="77777777" w:rsidR="00BD77ED" w:rsidRPr="00BD77ED" w:rsidRDefault="00BD77ED" w:rsidP="007042E2">
            <w:pPr>
              <w:widowControl w:val="0"/>
              <w:pBdr>
                <w:top w:val="nil"/>
                <w:left w:val="nil"/>
                <w:bottom w:val="nil"/>
                <w:right w:val="nil"/>
                <w:between w:val="nil"/>
              </w:pBdr>
              <w:jc w:val="right"/>
              <w:rPr>
                <w:color w:val="000000"/>
              </w:rPr>
            </w:pPr>
          </w:p>
        </w:tc>
        <w:tc>
          <w:tcPr>
            <w:tcW w:w="723" w:type="pct"/>
            <w:tcBorders>
              <w:bottom w:val="single" w:sz="12" w:space="0" w:color="000000"/>
            </w:tcBorders>
            <w:vAlign w:val="bottom"/>
          </w:tcPr>
          <w:p w14:paraId="4C4CB4D2" w14:textId="77777777" w:rsidR="00BD77ED" w:rsidRPr="00BD77ED" w:rsidRDefault="00BD77ED" w:rsidP="007042E2">
            <w:pPr>
              <w:widowControl w:val="0"/>
              <w:pBdr>
                <w:top w:val="nil"/>
                <w:left w:val="nil"/>
                <w:bottom w:val="nil"/>
                <w:right w:val="nil"/>
                <w:between w:val="nil"/>
              </w:pBdr>
              <w:jc w:val="right"/>
              <w:rPr>
                <w:color w:val="000000"/>
              </w:rPr>
            </w:pPr>
          </w:p>
        </w:tc>
      </w:tr>
    </w:tbl>
    <w:p w14:paraId="42995254" w14:textId="77777777" w:rsidR="00D73C2E" w:rsidRPr="003E5CDF" w:rsidRDefault="00D73C2E" w:rsidP="00D73C2E">
      <w:pPr>
        <w:pStyle w:val="Continued"/>
      </w:pPr>
      <w:r w:rsidRPr="003E5CDF">
        <w:lastRenderedPageBreak/>
        <w:t>2</w:t>
      </w:r>
      <w:r w:rsidRPr="003E5CDF">
        <w:tab/>
        <w:t>Operating Environment of the Group (continued)</w:t>
      </w:r>
    </w:p>
    <w:p w14:paraId="5CD0E258" w14:textId="77777777" w:rsidR="004E62CE" w:rsidRDefault="00BD77ED" w:rsidP="00BD77ED">
      <w:pPr>
        <w:pStyle w:val="ListParagraph"/>
        <w:ind w:left="0"/>
        <w:rPr>
          <w:color w:val="FF0000"/>
          <w:sz w:val="20"/>
          <w:szCs w:val="20"/>
          <w:lang w:val="sr-Cyrl-RS"/>
        </w:rPr>
      </w:pPr>
      <w:r w:rsidRPr="00BD77ED">
        <w:rPr>
          <w:color w:val="FF0000"/>
          <w:sz w:val="20"/>
          <w:szCs w:val="20"/>
        </w:rPr>
        <w:t xml:space="preserve">  </w:t>
      </w:r>
    </w:p>
    <w:p w14:paraId="556C8A19" w14:textId="49DDCB66" w:rsidR="00BD77ED" w:rsidRPr="00BD77ED" w:rsidRDefault="00BD77ED" w:rsidP="00BD77ED">
      <w:pPr>
        <w:pStyle w:val="ListParagraph"/>
        <w:ind w:left="0"/>
        <w:rPr>
          <w:color w:val="0000FF"/>
          <w:sz w:val="20"/>
          <w:szCs w:val="20"/>
        </w:rPr>
      </w:pPr>
      <w:r w:rsidRPr="00BD77ED">
        <w:rPr>
          <w:color w:val="0000FF"/>
          <w:sz w:val="20"/>
          <w:szCs w:val="20"/>
        </w:rPr>
        <w:t>[The Group further implemented additional risk-driven limits to manage its exposure and risk appetite to industries of high transition and/or physical risk.]</w:t>
      </w:r>
    </w:p>
    <w:p w14:paraId="49C52179" w14:textId="77777777" w:rsidR="00BD77ED" w:rsidRDefault="00BD77ED" w:rsidP="00BD77ED">
      <w:pPr>
        <w:rPr>
          <w:i/>
          <w:iCs/>
          <w:color w:val="FF0000"/>
          <w:sz w:val="20"/>
          <w:szCs w:val="20"/>
        </w:rPr>
      </w:pPr>
    </w:p>
    <w:p w14:paraId="08D102E4" w14:textId="2D50DB59" w:rsidR="00BD77ED" w:rsidRPr="00BD77ED" w:rsidRDefault="00BD77ED" w:rsidP="00BD77ED">
      <w:pPr>
        <w:rPr>
          <w:i/>
          <w:iCs/>
          <w:color w:val="FF0000"/>
          <w:sz w:val="20"/>
          <w:szCs w:val="20"/>
        </w:rPr>
      </w:pPr>
      <w:r w:rsidRPr="00BD77ED">
        <w:rPr>
          <w:i/>
          <w:iCs/>
          <w:color w:val="FF0000"/>
          <w:sz w:val="20"/>
          <w:szCs w:val="20"/>
        </w:rPr>
        <w:t>[If the Group made public commitments, such as phasing out lending to coal-powered electricity generation, please explain the details of such commitments and the assessment of the consequences thereof.]</w:t>
      </w:r>
      <w:r w:rsidR="005D389B">
        <w:rPr>
          <w:i/>
          <w:iCs/>
          <w:color w:val="FF0000"/>
          <w:sz w:val="20"/>
          <w:szCs w:val="20"/>
        </w:rPr>
        <w:t xml:space="preserve"> </w:t>
      </w:r>
      <w:r w:rsidRPr="00BD77ED">
        <w:rPr>
          <w:i/>
          <w:iCs/>
          <w:color w:val="FF0000"/>
          <w:sz w:val="20"/>
          <w:szCs w:val="20"/>
        </w:rPr>
        <w:t>[Please also disclose details around other sustainability-related risks and respective policies, if any.]</w:t>
      </w:r>
      <w:r w:rsidRPr="00BD77ED">
        <w:rPr>
          <w:sz w:val="20"/>
          <w:szCs w:val="20"/>
        </w:rPr>
        <w:t xml:space="preserve">  </w:t>
      </w:r>
    </w:p>
    <w:p w14:paraId="213AE5F0" w14:textId="77777777" w:rsidR="00BD77ED" w:rsidRPr="00BD77ED" w:rsidRDefault="00BD77ED" w:rsidP="00554B7F">
      <w:pPr>
        <w:jc w:val="both"/>
        <w:rPr>
          <w:color w:val="000000"/>
          <w:sz w:val="20"/>
          <w:szCs w:val="20"/>
        </w:rPr>
      </w:pPr>
    </w:p>
    <w:p w14:paraId="04B8FADA" w14:textId="7B7F764C" w:rsidR="00554B7F" w:rsidRPr="00BD77ED" w:rsidRDefault="00554B7F" w:rsidP="00554B7F">
      <w:pPr>
        <w:jc w:val="both"/>
        <w:rPr>
          <w:color w:val="000000"/>
          <w:sz w:val="20"/>
          <w:szCs w:val="20"/>
        </w:rPr>
      </w:pPr>
      <w:r w:rsidRPr="00BD77ED">
        <w:rPr>
          <w:color w:val="000000"/>
          <w:sz w:val="20"/>
          <w:szCs w:val="20"/>
        </w:rPr>
        <w:t xml:space="preserve">The long-term effects of the current </w:t>
      </w:r>
      <w:r w:rsidR="00BD77ED">
        <w:rPr>
          <w:color w:val="000000"/>
          <w:sz w:val="20"/>
          <w:szCs w:val="20"/>
        </w:rPr>
        <w:t xml:space="preserve">and future </w:t>
      </w:r>
      <w:r w:rsidRPr="00BD77ED">
        <w:rPr>
          <w:color w:val="000000"/>
          <w:sz w:val="20"/>
          <w:szCs w:val="20"/>
        </w:rPr>
        <w:t xml:space="preserve">economic situation are difficult to </w:t>
      </w:r>
      <w:r w:rsidR="00BD77ED">
        <w:rPr>
          <w:color w:val="000000"/>
          <w:sz w:val="20"/>
          <w:szCs w:val="20"/>
        </w:rPr>
        <w:t>assess</w:t>
      </w:r>
      <w:r w:rsidRPr="00BD77ED">
        <w:rPr>
          <w:color w:val="000000"/>
          <w:sz w:val="20"/>
          <w:szCs w:val="20"/>
        </w:rPr>
        <w:t xml:space="preserve"> and management’s current expectations and estimates could differ from the actual results.</w:t>
      </w:r>
    </w:p>
    <w:p w14:paraId="477C3D7C" w14:textId="35A514BB" w:rsidR="00554B7F" w:rsidRDefault="00554B7F" w:rsidP="00554B7F">
      <w:pPr>
        <w:spacing w:before="200" w:after="200"/>
        <w:jc w:val="both"/>
        <w:rPr>
          <w:color w:val="0000FF"/>
          <w:sz w:val="20"/>
          <w:szCs w:val="20"/>
        </w:rPr>
      </w:pPr>
      <w:r w:rsidRPr="00BD77ED">
        <w:rPr>
          <w:color w:val="000000"/>
          <w:sz w:val="20"/>
          <w:szCs w:val="20"/>
        </w:rPr>
        <w:t>For the purpose of measurement of expected credit losses (“ECL”) the Group uses supportable forward-looking information, including forecasts of macroeconomic variables. As with any economic forecast, however, the projections and likelihoods of their occurrence are subject to a high degree of inherent uncertainty and therefore the actual outcomes may be significantly different from those projected. Notes 4 and 41 provide more information of how the Group incorporated forward-looking information in the ECL</w:t>
      </w:r>
      <w:r w:rsidRPr="003E5CDF">
        <w:rPr>
          <w:color w:val="000000"/>
          <w:sz w:val="20"/>
          <w:szCs w:val="20"/>
        </w:rPr>
        <w:t xml:space="preserve"> models.</w:t>
      </w:r>
      <w:r>
        <w:rPr>
          <w:color w:val="000000"/>
          <w:sz w:val="20"/>
          <w:szCs w:val="20"/>
        </w:rPr>
        <w:t xml:space="preserve"> </w:t>
      </w:r>
    </w:p>
    <w:p w14:paraId="0E420549" w14:textId="742C8554" w:rsidR="00993457" w:rsidRPr="001A3864" w:rsidRDefault="00BC4072" w:rsidP="00BB368B">
      <w:pPr>
        <w:widowControl w:val="0"/>
        <w:pBdr>
          <w:top w:val="nil"/>
          <w:left w:val="nil"/>
          <w:bottom w:val="nil"/>
          <w:right w:val="nil"/>
          <w:between w:val="nil"/>
        </w:pBdr>
        <w:spacing w:before="200" w:after="200"/>
        <w:jc w:val="both"/>
        <w:rPr>
          <w:i/>
          <w:color w:val="FF0000"/>
          <w:sz w:val="20"/>
          <w:szCs w:val="20"/>
        </w:rPr>
      </w:pPr>
      <w:r>
        <w:rPr>
          <w:i/>
          <w:color w:val="FF0000"/>
          <w:sz w:val="20"/>
          <w:szCs w:val="20"/>
        </w:rPr>
        <w:t>[Note: This note serves as an illustrative example and should be adjusted for the facts and circumstances relevant to the Group</w:t>
      </w:r>
      <w:r w:rsidR="003E5CDF">
        <w:rPr>
          <w:i/>
          <w:color w:val="FF0000"/>
          <w:sz w:val="20"/>
          <w:szCs w:val="20"/>
        </w:rPr>
        <w:t>.]</w:t>
      </w:r>
      <w:bookmarkStart w:id="7" w:name="_heading=h.1t3h5sf" w:colFirst="0" w:colLast="0"/>
      <w:bookmarkEnd w:id="7"/>
    </w:p>
    <w:p w14:paraId="58A0FE71" w14:textId="10CAE433" w:rsidR="00D83E33" w:rsidRDefault="000356C4" w:rsidP="001B330E">
      <w:pPr>
        <w:pStyle w:val="Heading1"/>
      </w:pPr>
      <w:bookmarkStart w:id="8" w:name="_Toc179196005"/>
      <w:r>
        <w:t>Basis of Preparation</w:t>
      </w:r>
      <w:bookmarkEnd w:id="8"/>
      <w:r w:rsidR="00BC4072">
        <w:t xml:space="preserve"> </w:t>
      </w:r>
    </w:p>
    <w:p w14:paraId="1BB2F603" w14:textId="3E296DA0" w:rsidR="000E669E" w:rsidRDefault="00BC4072">
      <w:pPr>
        <w:widowControl w:val="0"/>
        <w:pBdr>
          <w:top w:val="nil"/>
          <w:left w:val="nil"/>
          <w:bottom w:val="nil"/>
          <w:right w:val="nil"/>
          <w:between w:val="nil"/>
        </w:pBdr>
        <w:tabs>
          <w:tab w:val="center" w:pos="2835"/>
          <w:tab w:val="right" w:pos="5529"/>
          <w:tab w:val="center" w:pos="5812"/>
          <w:tab w:val="right" w:pos="8788"/>
        </w:tabs>
        <w:spacing w:before="200" w:after="200"/>
        <w:jc w:val="both"/>
        <w:rPr>
          <w:color w:val="000000"/>
          <w:sz w:val="20"/>
          <w:szCs w:val="20"/>
        </w:rPr>
      </w:pPr>
      <w:r>
        <w:rPr>
          <w:color w:val="000000"/>
          <w:sz w:val="20"/>
          <w:szCs w:val="20"/>
        </w:rPr>
        <w:t xml:space="preserve">These </w:t>
      </w:r>
      <w:r>
        <w:rPr>
          <w:color w:val="0000FF"/>
          <w:sz w:val="20"/>
          <w:szCs w:val="20"/>
        </w:rPr>
        <w:t>[consolidated]</w:t>
      </w:r>
      <w:r>
        <w:rPr>
          <w:color w:val="000000"/>
          <w:sz w:val="20"/>
          <w:szCs w:val="20"/>
        </w:rPr>
        <w:t xml:space="preserve"> financial statements have been prepared in accordance with International Financial Reporting Standards </w:t>
      </w:r>
      <w:r w:rsidR="00D73C2E">
        <w:rPr>
          <w:color w:val="000000"/>
          <w:sz w:val="20"/>
          <w:szCs w:val="20"/>
        </w:rPr>
        <w:t xml:space="preserve">as issued by the IASB </w:t>
      </w:r>
      <w:r>
        <w:rPr>
          <w:color w:val="000000"/>
          <w:sz w:val="20"/>
          <w:szCs w:val="20"/>
        </w:rPr>
        <w:t>(“IFRS</w:t>
      </w:r>
      <w:r w:rsidR="000356C4">
        <w:rPr>
          <w:color w:val="000000"/>
          <w:sz w:val="20"/>
          <w:szCs w:val="20"/>
        </w:rPr>
        <w:t xml:space="preserve"> Accounting Standards</w:t>
      </w:r>
      <w:r>
        <w:rPr>
          <w:color w:val="000000"/>
          <w:sz w:val="20"/>
          <w:szCs w:val="20"/>
        </w:rPr>
        <w:t>”)</w:t>
      </w:r>
      <w:r w:rsidR="000E669E">
        <w:rPr>
          <w:color w:val="000000"/>
          <w:sz w:val="20"/>
          <w:szCs w:val="20"/>
        </w:rPr>
        <w:t>.</w:t>
      </w:r>
      <w:r>
        <w:rPr>
          <w:color w:val="000000"/>
          <w:sz w:val="20"/>
          <w:szCs w:val="20"/>
        </w:rPr>
        <w:t xml:space="preserve"> </w:t>
      </w:r>
    </w:p>
    <w:p w14:paraId="559B071E" w14:textId="3A4A7CDD" w:rsidR="00D83E33" w:rsidRPr="005D389B" w:rsidRDefault="000E669E">
      <w:pPr>
        <w:widowControl w:val="0"/>
        <w:pBdr>
          <w:top w:val="nil"/>
          <w:left w:val="nil"/>
          <w:bottom w:val="nil"/>
          <w:right w:val="nil"/>
          <w:between w:val="nil"/>
        </w:pBdr>
        <w:tabs>
          <w:tab w:val="center" w:pos="2835"/>
          <w:tab w:val="right" w:pos="5529"/>
          <w:tab w:val="center" w:pos="5812"/>
          <w:tab w:val="right" w:pos="8788"/>
        </w:tabs>
        <w:spacing w:before="200" w:after="200"/>
        <w:jc w:val="both"/>
        <w:rPr>
          <w:color w:val="000000"/>
          <w:sz w:val="20"/>
          <w:szCs w:val="20"/>
        </w:rPr>
      </w:pPr>
      <w:r>
        <w:rPr>
          <w:color w:val="000000"/>
          <w:sz w:val="20"/>
          <w:szCs w:val="20"/>
        </w:rPr>
        <w:t xml:space="preserve">These </w:t>
      </w:r>
      <w:r>
        <w:rPr>
          <w:color w:val="0000FF"/>
          <w:sz w:val="20"/>
          <w:szCs w:val="20"/>
        </w:rPr>
        <w:t>[consolidated]</w:t>
      </w:r>
      <w:r>
        <w:rPr>
          <w:color w:val="000000"/>
          <w:sz w:val="20"/>
          <w:szCs w:val="20"/>
        </w:rPr>
        <w:t xml:space="preserve"> financial statements have been prepared </w:t>
      </w:r>
      <w:r w:rsidR="00BC4072">
        <w:rPr>
          <w:color w:val="000000"/>
          <w:sz w:val="20"/>
          <w:szCs w:val="20"/>
        </w:rPr>
        <w:t xml:space="preserve">under the historical cost convention, as modified by the initial recognition of financial instruments at fair value, and by the revaluation of </w:t>
      </w:r>
      <w:r w:rsidR="00BC4072">
        <w:rPr>
          <w:color w:val="0000FF"/>
          <w:sz w:val="20"/>
          <w:szCs w:val="20"/>
        </w:rPr>
        <w:t xml:space="preserve">[premises and equipment, investment properties,] </w:t>
      </w:r>
      <w:r w:rsidR="00BC4072">
        <w:rPr>
          <w:color w:val="000000"/>
          <w:sz w:val="20"/>
          <w:szCs w:val="20"/>
        </w:rPr>
        <w:t xml:space="preserve">financial instruments categorised at fair value through profit or loss (“FVTPL”) and at fair value through other comprehensive income (“FVOCI”). The principal accounting policies applied in the preparation of these </w:t>
      </w:r>
      <w:r w:rsidR="00BC4072">
        <w:rPr>
          <w:color w:val="0000FF"/>
          <w:sz w:val="20"/>
          <w:szCs w:val="20"/>
        </w:rPr>
        <w:t>[consolidated]</w:t>
      </w:r>
      <w:r w:rsidR="00BC4072">
        <w:rPr>
          <w:color w:val="000000"/>
          <w:sz w:val="20"/>
          <w:szCs w:val="20"/>
        </w:rPr>
        <w:t xml:space="preserve"> financial statements are set out below. These policies have been consistently applied to all the periods presented, unless otherwise stated.</w:t>
      </w:r>
      <w:r w:rsidR="00BC4072">
        <w:rPr>
          <w:i/>
          <w:color w:val="000000"/>
        </w:rPr>
        <w:t xml:space="preserve"> </w:t>
      </w:r>
      <w:r w:rsidR="00BC4072">
        <w:rPr>
          <w:color w:val="000000"/>
          <w:sz w:val="20"/>
          <w:szCs w:val="20"/>
        </w:rPr>
        <w:t>Refer to Note 5.</w:t>
      </w:r>
      <w:r w:rsidR="005D389B">
        <w:rPr>
          <w:color w:val="000000"/>
          <w:sz w:val="20"/>
          <w:szCs w:val="20"/>
        </w:rPr>
        <w:t xml:space="preserve"> </w:t>
      </w:r>
    </w:p>
    <w:p w14:paraId="47F0C266" w14:textId="72AF655D" w:rsidR="000356C4" w:rsidRDefault="000356C4" w:rsidP="000356C4">
      <w:pPr>
        <w:widowControl w:val="0"/>
        <w:pBdr>
          <w:top w:val="nil"/>
          <w:left w:val="nil"/>
          <w:bottom w:val="nil"/>
          <w:right w:val="nil"/>
          <w:between w:val="nil"/>
        </w:pBdr>
        <w:tabs>
          <w:tab w:val="center" w:pos="2835"/>
          <w:tab w:val="right" w:pos="5529"/>
          <w:tab w:val="center" w:pos="5812"/>
          <w:tab w:val="right" w:pos="8788"/>
        </w:tabs>
        <w:spacing w:before="200" w:after="200"/>
        <w:jc w:val="both"/>
        <w:rPr>
          <w:color w:val="000000"/>
          <w:sz w:val="20"/>
          <w:szCs w:val="20"/>
        </w:rPr>
      </w:pPr>
      <w:r>
        <w:rPr>
          <w:color w:val="000000"/>
          <w:sz w:val="20"/>
          <w:szCs w:val="20"/>
        </w:rPr>
        <w:t xml:space="preserve">These </w:t>
      </w:r>
      <w:r>
        <w:rPr>
          <w:color w:val="0000FF"/>
          <w:sz w:val="20"/>
          <w:szCs w:val="20"/>
        </w:rPr>
        <w:t>[consolidated]</w:t>
      </w:r>
      <w:r>
        <w:rPr>
          <w:color w:val="000000"/>
          <w:sz w:val="20"/>
          <w:szCs w:val="20"/>
        </w:rPr>
        <w:t xml:space="preserve"> financial statements are directed to </w:t>
      </w:r>
      <w:r w:rsidRPr="000356C4">
        <w:rPr>
          <w:color w:val="000000"/>
          <w:sz w:val="20"/>
          <w:szCs w:val="20"/>
        </w:rPr>
        <w:t>primary users</w:t>
      </w:r>
      <w:r>
        <w:rPr>
          <w:color w:val="000000"/>
          <w:sz w:val="20"/>
          <w:szCs w:val="20"/>
        </w:rPr>
        <w:t>, being investor</w:t>
      </w:r>
      <w:r w:rsidR="00370FF3">
        <w:rPr>
          <w:color w:val="000000"/>
          <w:sz w:val="20"/>
          <w:szCs w:val="20"/>
        </w:rPr>
        <w:t>s</w:t>
      </w:r>
      <w:r>
        <w:rPr>
          <w:color w:val="000000"/>
          <w:sz w:val="20"/>
          <w:szCs w:val="20"/>
        </w:rPr>
        <w:t xml:space="preserve"> who lend or provide equity capital to the reporting entity. These </w:t>
      </w:r>
      <w:r>
        <w:rPr>
          <w:color w:val="0000FF"/>
          <w:sz w:val="20"/>
          <w:szCs w:val="20"/>
        </w:rPr>
        <w:t>[consolidated]</w:t>
      </w:r>
      <w:r>
        <w:rPr>
          <w:color w:val="000000"/>
          <w:sz w:val="20"/>
          <w:szCs w:val="20"/>
        </w:rPr>
        <w:t xml:space="preserve"> f</w:t>
      </w:r>
      <w:r w:rsidRPr="000356C4">
        <w:rPr>
          <w:color w:val="000000"/>
          <w:sz w:val="20"/>
          <w:szCs w:val="20"/>
        </w:rPr>
        <w:t xml:space="preserve">inancial statements </w:t>
      </w:r>
      <w:r w:rsidR="00370FF3">
        <w:rPr>
          <w:color w:val="000000"/>
          <w:sz w:val="20"/>
          <w:szCs w:val="20"/>
        </w:rPr>
        <w:t>assume that the</w:t>
      </w:r>
      <w:r w:rsidRPr="000356C4">
        <w:rPr>
          <w:color w:val="000000"/>
          <w:sz w:val="20"/>
          <w:szCs w:val="20"/>
        </w:rPr>
        <w:t xml:space="preserve"> </w:t>
      </w:r>
      <w:r>
        <w:rPr>
          <w:color w:val="000000"/>
          <w:sz w:val="20"/>
          <w:szCs w:val="20"/>
        </w:rPr>
        <w:t xml:space="preserve">primary </w:t>
      </w:r>
      <w:r w:rsidRPr="000356C4">
        <w:rPr>
          <w:color w:val="000000"/>
          <w:sz w:val="20"/>
          <w:szCs w:val="20"/>
        </w:rPr>
        <w:t>users have a reasonable knowledge of business and</w:t>
      </w:r>
      <w:r>
        <w:rPr>
          <w:color w:val="000000"/>
          <w:sz w:val="20"/>
          <w:szCs w:val="20"/>
        </w:rPr>
        <w:t xml:space="preserve"> </w:t>
      </w:r>
      <w:r w:rsidRPr="000356C4">
        <w:rPr>
          <w:color w:val="000000"/>
          <w:sz w:val="20"/>
          <w:szCs w:val="20"/>
        </w:rPr>
        <w:t>economic activities and review and analyse the information diligently. At</w:t>
      </w:r>
      <w:r>
        <w:rPr>
          <w:color w:val="000000"/>
          <w:sz w:val="20"/>
          <w:szCs w:val="20"/>
        </w:rPr>
        <w:t xml:space="preserve"> </w:t>
      </w:r>
      <w:r w:rsidRPr="000356C4">
        <w:rPr>
          <w:color w:val="000000"/>
          <w:sz w:val="20"/>
          <w:szCs w:val="20"/>
        </w:rPr>
        <w:t>times, even well-informed and diligent users may need to seek the aid of an</w:t>
      </w:r>
      <w:r>
        <w:rPr>
          <w:color w:val="000000"/>
          <w:sz w:val="20"/>
          <w:szCs w:val="20"/>
        </w:rPr>
        <w:t xml:space="preserve"> </w:t>
      </w:r>
      <w:r w:rsidRPr="000356C4">
        <w:rPr>
          <w:color w:val="000000"/>
          <w:sz w:val="20"/>
          <w:szCs w:val="20"/>
        </w:rPr>
        <w:t>adviser to understand information about complex economic phenomena</w:t>
      </w:r>
      <w:r w:rsidR="000E669E">
        <w:rPr>
          <w:color w:val="000000"/>
          <w:sz w:val="20"/>
          <w:szCs w:val="20"/>
        </w:rPr>
        <w:t xml:space="preserve"> reported in these </w:t>
      </w:r>
      <w:r w:rsidR="000E669E">
        <w:rPr>
          <w:color w:val="0000FF"/>
          <w:sz w:val="20"/>
          <w:szCs w:val="20"/>
        </w:rPr>
        <w:t>[consolidated]</w:t>
      </w:r>
      <w:r w:rsidR="000E669E">
        <w:rPr>
          <w:color w:val="000000"/>
          <w:sz w:val="20"/>
          <w:szCs w:val="20"/>
        </w:rPr>
        <w:t xml:space="preserve"> financial statements</w:t>
      </w:r>
      <w:r>
        <w:rPr>
          <w:color w:val="000000"/>
          <w:sz w:val="20"/>
          <w:szCs w:val="20"/>
        </w:rPr>
        <w:t xml:space="preserve">. </w:t>
      </w:r>
    </w:p>
    <w:p w14:paraId="0E886D25" w14:textId="11AD8AFF" w:rsidR="00461B7B" w:rsidRDefault="00461B7B" w:rsidP="00461B7B">
      <w:pPr>
        <w:widowControl w:val="0"/>
        <w:pBdr>
          <w:top w:val="nil"/>
          <w:left w:val="nil"/>
          <w:bottom w:val="nil"/>
          <w:right w:val="nil"/>
          <w:between w:val="nil"/>
        </w:pBdr>
        <w:tabs>
          <w:tab w:val="center" w:pos="2835"/>
          <w:tab w:val="right" w:pos="5529"/>
          <w:tab w:val="center" w:pos="5812"/>
          <w:tab w:val="right" w:pos="8788"/>
        </w:tabs>
        <w:spacing w:before="200" w:after="200"/>
        <w:jc w:val="both"/>
        <w:rPr>
          <w:color w:val="000000"/>
          <w:sz w:val="20"/>
          <w:szCs w:val="20"/>
        </w:rPr>
      </w:pPr>
      <w:r>
        <w:rPr>
          <w:color w:val="000000"/>
          <w:sz w:val="20"/>
          <w:szCs w:val="20"/>
        </w:rPr>
        <w:t xml:space="preserve">These </w:t>
      </w:r>
      <w:r>
        <w:rPr>
          <w:color w:val="0000FF"/>
          <w:sz w:val="20"/>
          <w:szCs w:val="20"/>
        </w:rPr>
        <w:t xml:space="preserve">[consolidated] </w:t>
      </w:r>
      <w:r>
        <w:rPr>
          <w:color w:val="000000"/>
          <w:sz w:val="20"/>
          <w:szCs w:val="20"/>
        </w:rPr>
        <w:t xml:space="preserve">financial statements aim disclosing only information </w:t>
      </w:r>
      <w:r w:rsidR="000E669E">
        <w:rPr>
          <w:color w:val="000000"/>
          <w:sz w:val="20"/>
          <w:szCs w:val="20"/>
        </w:rPr>
        <w:t xml:space="preserve">that management </w:t>
      </w:r>
      <w:r>
        <w:rPr>
          <w:color w:val="000000"/>
          <w:sz w:val="20"/>
          <w:szCs w:val="20"/>
        </w:rPr>
        <w:t>consider</w:t>
      </w:r>
      <w:r w:rsidR="000E669E">
        <w:rPr>
          <w:color w:val="000000"/>
          <w:sz w:val="20"/>
          <w:szCs w:val="20"/>
        </w:rPr>
        <w:t>s</w:t>
      </w:r>
      <w:r>
        <w:rPr>
          <w:color w:val="000000"/>
          <w:sz w:val="20"/>
          <w:szCs w:val="20"/>
        </w:rPr>
        <w:t xml:space="preserve"> </w:t>
      </w:r>
      <w:r w:rsidR="000E669E">
        <w:rPr>
          <w:color w:val="000000"/>
          <w:sz w:val="20"/>
          <w:szCs w:val="20"/>
        </w:rPr>
        <w:t xml:space="preserve">is </w:t>
      </w:r>
      <w:r>
        <w:rPr>
          <w:color w:val="000000"/>
          <w:sz w:val="20"/>
          <w:szCs w:val="20"/>
        </w:rPr>
        <w:t xml:space="preserve">material for </w:t>
      </w:r>
      <w:r w:rsidR="00370FF3">
        <w:rPr>
          <w:color w:val="000000"/>
          <w:sz w:val="20"/>
          <w:szCs w:val="20"/>
        </w:rPr>
        <w:t>the</w:t>
      </w:r>
      <w:r w:rsidR="000E669E">
        <w:rPr>
          <w:color w:val="000000"/>
          <w:sz w:val="20"/>
          <w:szCs w:val="20"/>
        </w:rPr>
        <w:t xml:space="preserve"> </w:t>
      </w:r>
      <w:r>
        <w:rPr>
          <w:color w:val="000000"/>
          <w:sz w:val="20"/>
          <w:szCs w:val="20"/>
        </w:rPr>
        <w:t xml:space="preserve">primary users. Management seeks not to </w:t>
      </w:r>
      <w:r w:rsidRPr="00461B7B">
        <w:rPr>
          <w:color w:val="000000"/>
          <w:sz w:val="20"/>
          <w:szCs w:val="20"/>
        </w:rPr>
        <w:t xml:space="preserve">reduce the understandability of </w:t>
      </w:r>
      <w:r>
        <w:rPr>
          <w:color w:val="000000"/>
          <w:sz w:val="20"/>
          <w:szCs w:val="20"/>
        </w:rPr>
        <w:t xml:space="preserve">these </w:t>
      </w:r>
      <w:r>
        <w:rPr>
          <w:color w:val="0000FF"/>
          <w:sz w:val="20"/>
          <w:szCs w:val="20"/>
        </w:rPr>
        <w:t>[consolidated]</w:t>
      </w:r>
      <w:r w:rsidRPr="00461B7B">
        <w:rPr>
          <w:color w:val="000000"/>
          <w:sz w:val="20"/>
          <w:szCs w:val="20"/>
        </w:rPr>
        <w:t xml:space="preserve"> financial statements by</w:t>
      </w:r>
      <w:r>
        <w:rPr>
          <w:color w:val="000000"/>
          <w:sz w:val="20"/>
          <w:szCs w:val="20"/>
        </w:rPr>
        <w:t xml:space="preserve"> </w:t>
      </w:r>
      <w:r w:rsidRPr="00461B7B">
        <w:rPr>
          <w:color w:val="000000"/>
          <w:sz w:val="20"/>
          <w:szCs w:val="20"/>
        </w:rPr>
        <w:t>obscuring material information</w:t>
      </w:r>
      <w:r>
        <w:rPr>
          <w:color w:val="000000"/>
          <w:sz w:val="20"/>
          <w:szCs w:val="20"/>
        </w:rPr>
        <w:t xml:space="preserve"> with immaterial information. Hence, only material accounting policy information is disclosed, where relevant, in the related disclosure notes.</w:t>
      </w:r>
    </w:p>
    <w:p w14:paraId="27F1D86B" w14:textId="77777777" w:rsidR="007C3FD4" w:rsidRDefault="007C3FD4" w:rsidP="007C3FD4">
      <w:pPr>
        <w:pStyle w:val="Continued"/>
      </w:pPr>
      <w:r>
        <w:lastRenderedPageBreak/>
        <w:t>3</w:t>
      </w:r>
      <w:r>
        <w:tab/>
        <w:t>Basis of Preparation (Continued)</w:t>
      </w:r>
    </w:p>
    <w:p w14:paraId="376CF845" w14:textId="49F54277" w:rsidR="00D83E33" w:rsidRDefault="00BC4072">
      <w:pPr>
        <w:widowControl w:val="0"/>
        <w:pBdr>
          <w:top w:val="nil"/>
          <w:left w:val="nil"/>
          <w:bottom w:val="nil"/>
          <w:right w:val="nil"/>
          <w:between w:val="nil"/>
        </w:pBdr>
        <w:spacing w:before="200" w:after="200"/>
        <w:jc w:val="both"/>
        <w:rPr>
          <w:i/>
          <w:color w:val="FF0000"/>
          <w:sz w:val="20"/>
          <w:szCs w:val="20"/>
        </w:rPr>
      </w:pPr>
      <w:r>
        <w:rPr>
          <w:b/>
          <w:i/>
          <w:color w:val="0000FF"/>
          <w:sz w:val="20"/>
          <w:szCs w:val="20"/>
        </w:rPr>
        <w:t>[Going concern.</w:t>
      </w:r>
      <w:r>
        <w:rPr>
          <w:b/>
          <w:color w:val="0000FF"/>
          <w:sz w:val="20"/>
          <w:szCs w:val="20"/>
        </w:rPr>
        <w:t xml:space="preserve"> </w:t>
      </w:r>
      <w:r>
        <w:rPr>
          <w:color w:val="0000FF"/>
          <w:sz w:val="20"/>
          <w:szCs w:val="20"/>
        </w:rPr>
        <w:t xml:space="preserve">Management prepared these [consolidated] financial statements on a going concern basis. Refer to Note 4 for uncertainties relating to events and conditions that may cast a significant doubt upon the Group’s ability to continue as a going concern.] </w:t>
      </w:r>
    </w:p>
    <w:p w14:paraId="15AE2DDA" w14:textId="4230EE47" w:rsidR="00D83E33" w:rsidRPr="007A3A7C" w:rsidRDefault="007A3A7C" w:rsidP="00030CA4">
      <w:pPr>
        <w:widowControl w:val="0"/>
        <w:pBdr>
          <w:top w:val="nil"/>
          <w:left w:val="nil"/>
          <w:bottom w:val="nil"/>
          <w:right w:val="nil"/>
          <w:between w:val="nil"/>
        </w:pBdr>
        <w:spacing w:after="100"/>
        <w:jc w:val="both"/>
        <w:rPr>
          <w:color w:val="0000FF"/>
          <w:sz w:val="20"/>
          <w:szCs w:val="20"/>
        </w:rPr>
      </w:pPr>
      <w:r w:rsidRPr="007A3A7C">
        <w:rPr>
          <w:b/>
          <w:i/>
          <w:color w:val="0000FF"/>
          <w:sz w:val="20"/>
          <w:szCs w:val="20"/>
        </w:rPr>
        <w:t>[</w:t>
      </w:r>
      <w:r w:rsidR="00C22448" w:rsidRPr="007A3A7C">
        <w:rPr>
          <w:b/>
          <w:i/>
          <w:color w:val="0000FF"/>
          <w:sz w:val="20"/>
          <w:szCs w:val="20"/>
        </w:rPr>
        <w:t xml:space="preserve">Consolidated financial statements. </w:t>
      </w:r>
      <w:r w:rsidR="00BC4072" w:rsidRPr="007A3A7C">
        <w:rPr>
          <w:color w:val="0000FF"/>
          <w:sz w:val="20"/>
          <w:szCs w:val="20"/>
        </w:rPr>
        <w:t>T</w:t>
      </w:r>
      <w:r w:rsidR="00BC7F4A">
        <w:rPr>
          <w:color w:val="0000FF"/>
          <w:sz w:val="20"/>
          <w:szCs w:val="20"/>
        </w:rPr>
        <w:t>hese consolidated financial statements present financial information</w:t>
      </w:r>
      <w:r w:rsidR="00BC4072" w:rsidRPr="007A3A7C">
        <w:rPr>
          <w:color w:val="0000FF"/>
          <w:sz w:val="20"/>
          <w:szCs w:val="20"/>
        </w:rPr>
        <w:t xml:space="preserve"> </w:t>
      </w:r>
      <w:r w:rsidR="00BC7F4A">
        <w:rPr>
          <w:color w:val="0000FF"/>
          <w:sz w:val="20"/>
          <w:szCs w:val="20"/>
        </w:rPr>
        <w:t>of the Bank and its subsidiaries. A</w:t>
      </w:r>
      <w:r w:rsidR="00BC4072" w:rsidRPr="007A3A7C">
        <w:rPr>
          <w:color w:val="0000FF"/>
          <w:sz w:val="20"/>
          <w:szCs w:val="20"/>
        </w:rPr>
        <w:t xml:space="preserve">cquisition method of accounting is used to account for the acquisition of subsidiaries [other than those acquired from parties under common control]. </w:t>
      </w:r>
    </w:p>
    <w:p w14:paraId="43B8E77D" w14:textId="6103991C" w:rsidR="00D83E33" w:rsidRDefault="00BC4072" w:rsidP="001B330E">
      <w:pPr>
        <w:widowControl w:val="0"/>
        <w:pBdr>
          <w:top w:val="nil"/>
          <w:left w:val="nil"/>
          <w:bottom w:val="nil"/>
          <w:right w:val="nil"/>
          <w:between w:val="nil"/>
        </w:pBdr>
        <w:spacing w:before="200" w:after="200"/>
        <w:jc w:val="both"/>
        <w:rPr>
          <w:color w:val="000000"/>
          <w:sz w:val="20"/>
          <w:szCs w:val="20"/>
        </w:rPr>
      </w:pPr>
      <w:r w:rsidRPr="007A3A7C">
        <w:rPr>
          <w:color w:val="0000FF"/>
          <w:sz w:val="20"/>
          <w:szCs w:val="20"/>
        </w:rPr>
        <w:t xml:space="preserve">Purchases of subsidiaries from parties under common control </w:t>
      </w:r>
      <w:r w:rsidR="00370FF3">
        <w:rPr>
          <w:color w:val="0000FF"/>
          <w:sz w:val="20"/>
          <w:szCs w:val="20"/>
        </w:rPr>
        <w:t>were</w:t>
      </w:r>
      <w:r w:rsidRPr="007A3A7C">
        <w:rPr>
          <w:color w:val="0000FF"/>
          <w:sz w:val="20"/>
          <w:szCs w:val="20"/>
        </w:rPr>
        <w:t xml:space="preserve"> accounted for [in </w:t>
      </w:r>
      <w:r>
        <w:rPr>
          <w:color w:val="0000FF"/>
          <w:sz w:val="20"/>
          <w:szCs w:val="20"/>
        </w:rPr>
        <w:t>accordance with the acquisition method of accounting]</w:t>
      </w:r>
      <w:r>
        <w:rPr>
          <w:color w:val="000000"/>
          <w:sz w:val="20"/>
          <w:szCs w:val="20"/>
        </w:rPr>
        <w:t xml:space="preserve"> </w:t>
      </w:r>
      <w:r>
        <w:rPr>
          <w:color w:val="0000FF"/>
          <w:sz w:val="20"/>
          <w:szCs w:val="20"/>
        </w:rPr>
        <w:t xml:space="preserve">[using the predecessor values method. Under this method, the [consolidated] financial statements of the combined entity are presented as if the businesses had been combined from the beginning of the earliest period presented or, if later, the date when the combining entities were first brought under common control. The assets and liabilities of the subsidiary transferred under common control are at the predecessor entity’s carrying amounts. The predecessor entity is considered to be the highest reporting entity in which the subsidiary’s IFRS financial </w:t>
      </w:r>
      <w:r w:rsidRPr="00BF1601">
        <w:rPr>
          <w:color w:val="0000FF"/>
          <w:sz w:val="20"/>
          <w:szCs w:val="20"/>
        </w:rPr>
        <w:t>information was</w:t>
      </w:r>
      <w:r>
        <w:rPr>
          <w:color w:val="0000FF"/>
          <w:sz w:val="20"/>
          <w:szCs w:val="20"/>
        </w:rPr>
        <w:t xml:space="preserve"> consolidated. Related goodwill inherent in the predecessor entity’s original acquisitions is also recorded in these [consolidated] financial statements. Any difference between the carrying amount of net assets, including the predecessor entity's goodwill, and the consideration for the acquisition is accounted for in these [consolidated] financial statements as an </w:t>
      </w:r>
      <w:r w:rsidRPr="00BF1601">
        <w:rPr>
          <w:color w:val="0000FF"/>
          <w:sz w:val="20"/>
          <w:szCs w:val="20"/>
        </w:rPr>
        <w:t xml:space="preserve">adjustment to </w:t>
      </w:r>
      <w:r w:rsidRPr="00372E26">
        <w:rPr>
          <w:color w:val="0000FF"/>
          <w:sz w:val="20"/>
          <w:szCs w:val="20"/>
        </w:rPr>
        <w:t>[other reserve / merger reserve]</w:t>
      </w:r>
      <w:r w:rsidRPr="00BF1601">
        <w:rPr>
          <w:color w:val="0000FF"/>
          <w:sz w:val="20"/>
          <w:szCs w:val="20"/>
        </w:rPr>
        <w:t xml:space="preserve"> within </w:t>
      </w:r>
      <w:r>
        <w:rPr>
          <w:color w:val="0000FF"/>
          <w:sz w:val="20"/>
          <w:szCs w:val="20"/>
        </w:rPr>
        <w:t>equity]</w:t>
      </w:r>
      <w:r>
        <w:rPr>
          <w:color w:val="000000"/>
          <w:sz w:val="20"/>
          <w:szCs w:val="20"/>
        </w:rPr>
        <w:t>.</w:t>
      </w:r>
      <w:r w:rsidR="007A3A7C">
        <w:rPr>
          <w:color w:val="000000"/>
          <w:sz w:val="20"/>
          <w:szCs w:val="20"/>
        </w:rPr>
        <w:t xml:space="preserve"> </w:t>
      </w:r>
    </w:p>
    <w:p w14:paraId="0C213F6F" w14:textId="735E7B4B" w:rsidR="00D83E33" w:rsidRPr="007C3FD4" w:rsidRDefault="00BC4072" w:rsidP="001B330E">
      <w:pPr>
        <w:widowControl w:val="0"/>
        <w:spacing w:before="200" w:after="200"/>
        <w:jc w:val="both"/>
        <w:rPr>
          <w:sz w:val="20"/>
          <w:szCs w:val="20"/>
        </w:rPr>
      </w:pPr>
      <w:r>
        <w:rPr>
          <w:b/>
          <w:i/>
          <w:sz w:val="20"/>
          <w:szCs w:val="20"/>
        </w:rPr>
        <w:t xml:space="preserve">Presentation of statement of financial position in order of liquidity. </w:t>
      </w:r>
      <w:r>
        <w:rPr>
          <w:sz w:val="20"/>
          <w:szCs w:val="20"/>
        </w:rPr>
        <w:t xml:space="preserve">The Group does not have a clearly identifiable operating cycle and therefore does not present current and non-current assets and liabilities separately in the statement of financial position. Instead, assets and liabilities are presented in order of their liquidity. Refer to Note </w:t>
      </w:r>
      <w:r>
        <w:t>41</w:t>
      </w:r>
      <w:r>
        <w:rPr>
          <w:sz w:val="20"/>
          <w:szCs w:val="20"/>
        </w:rPr>
        <w:t xml:space="preserve"> for analysis of financial instruments by their maturity. The following table provides information on amounts expected to be recovered or settled before and after twelve months after the reporting period for items that are not analysed in Note </w:t>
      </w:r>
      <w:r>
        <w:t>41</w:t>
      </w:r>
      <w:r>
        <w:rPr>
          <w:sz w:val="20"/>
          <w:szCs w:val="20"/>
        </w:rPr>
        <w:t>.</w:t>
      </w:r>
      <w:r w:rsidR="007C3FD4">
        <w:rPr>
          <w:sz w:val="20"/>
          <w:szCs w:val="20"/>
        </w:rPr>
        <w:t xml:space="preserve"> </w:t>
      </w:r>
    </w:p>
    <w:tbl>
      <w:tblPr>
        <w:tblStyle w:val="a5"/>
        <w:tblW w:w="5000" w:type="pct"/>
        <w:tblLayout w:type="fixed"/>
        <w:tblLook w:val="0000" w:firstRow="0" w:lastRow="0" w:firstColumn="0" w:lastColumn="0" w:noHBand="0" w:noVBand="0"/>
      </w:tblPr>
      <w:tblGrid>
        <w:gridCol w:w="3269"/>
        <w:gridCol w:w="1014"/>
        <w:gridCol w:w="1014"/>
        <w:gridCol w:w="1016"/>
        <w:gridCol w:w="1014"/>
        <w:gridCol w:w="1014"/>
        <w:gridCol w:w="1014"/>
      </w:tblGrid>
      <w:tr w:rsidR="001A5020" w14:paraId="2FD5465A" w14:textId="77777777" w:rsidTr="005D389B">
        <w:trPr>
          <w:trHeight w:val="23"/>
        </w:trPr>
        <w:tc>
          <w:tcPr>
            <w:tcW w:w="1747" w:type="pct"/>
            <w:vAlign w:val="bottom"/>
          </w:tcPr>
          <w:p w14:paraId="728B356D" w14:textId="77777777" w:rsidR="00D83E33" w:rsidRDefault="00D83E33" w:rsidP="001B330E">
            <w:pPr>
              <w:widowControl w:val="0"/>
              <w:pBdr>
                <w:top w:val="nil"/>
                <w:left w:val="nil"/>
                <w:bottom w:val="nil"/>
                <w:right w:val="nil"/>
                <w:between w:val="nil"/>
              </w:pBdr>
              <w:ind w:left="113" w:hanging="113"/>
              <w:rPr>
                <w:i/>
                <w:color w:val="000000"/>
              </w:rPr>
            </w:pPr>
          </w:p>
        </w:tc>
        <w:tc>
          <w:tcPr>
            <w:tcW w:w="1627" w:type="pct"/>
            <w:gridSpan w:val="3"/>
            <w:tcBorders>
              <w:bottom w:val="single" w:sz="4" w:space="0" w:color="000000"/>
            </w:tcBorders>
            <w:vAlign w:val="bottom"/>
          </w:tcPr>
          <w:p w14:paraId="618D87F6" w14:textId="398D4EDF" w:rsidR="00D83E33" w:rsidRDefault="00BC4072" w:rsidP="001B330E">
            <w:pPr>
              <w:widowControl w:val="0"/>
              <w:pBdr>
                <w:top w:val="nil"/>
                <w:left w:val="nil"/>
                <w:bottom w:val="nil"/>
                <w:right w:val="nil"/>
                <w:between w:val="nil"/>
              </w:pBdr>
              <w:jc w:val="center"/>
              <w:rPr>
                <w:b/>
                <w:color w:val="000000"/>
              </w:rPr>
            </w:pPr>
            <w:r>
              <w:rPr>
                <w:b/>
                <w:color w:val="000000"/>
              </w:rPr>
              <w:t>31</w:t>
            </w:r>
            <w:r w:rsidR="00181687">
              <w:rPr>
                <w:b/>
                <w:color w:val="000000"/>
              </w:rPr>
              <w:t> December </w:t>
            </w:r>
            <w:r w:rsidR="00541EBC">
              <w:rPr>
                <w:b/>
                <w:color w:val="000000"/>
              </w:rPr>
              <w:t>2024</w:t>
            </w:r>
          </w:p>
        </w:tc>
        <w:tc>
          <w:tcPr>
            <w:tcW w:w="1626" w:type="pct"/>
            <w:gridSpan w:val="3"/>
            <w:tcBorders>
              <w:bottom w:val="single" w:sz="4" w:space="0" w:color="000000"/>
            </w:tcBorders>
            <w:vAlign w:val="bottom"/>
          </w:tcPr>
          <w:p w14:paraId="0DA5E1D4" w14:textId="7D17936E" w:rsidR="00D83E33" w:rsidRDefault="00BC4072" w:rsidP="001B330E">
            <w:pPr>
              <w:widowControl w:val="0"/>
              <w:pBdr>
                <w:top w:val="nil"/>
                <w:left w:val="nil"/>
                <w:bottom w:val="nil"/>
                <w:right w:val="nil"/>
                <w:between w:val="nil"/>
              </w:pBdr>
              <w:jc w:val="center"/>
              <w:rPr>
                <w:b/>
                <w:color w:val="000000"/>
              </w:rPr>
            </w:pPr>
            <w:r>
              <w:rPr>
                <w:b/>
                <w:color w:val="000000"/>
              </w:rPr>
              <w:t>31</w:t>
            </w:r>
            <w:r w:rsidR="00181687">
              <w:rPr>
                <w:b/>
                <w:color w:val="000000"/>
              </w:rPr>
              <w:t> December </w:t>
            </w:r>
            <w:r w:rsidR="00541EBC">
              <w:rPr>
                <w:b/>
                <w:color w:val="000000"/>
              </w:rPr>
              <w:t>2023</w:t>
            </w:r>
          </w:p>
        </w:tc>
      </w:tr>
      <w:tr w:rsidR="001A5020" w14:paraId="0807F698" w14:textId="77777777" w:rsidTr="005D389B">
        <w:trPr>
          <w:trHeight w:val="23"/>
        </w:trPr>
        <w:tc>
          <w:tcPr>
            <w:tcW w:w="1747" w:type="pct"/>
            <w:vAlign w:val="bottom"/>
          </w:tcPr>
          <w:p w14:paraId="23F8B759" w14:textId="77777777" w:rsidR="00D83E33" w:rsidRDefault="00D83E33" w:rsidP="001B330E">
            <w:pPr>
              <w:widowControl w:val="0"/>
              <w:pBdr>
                <w:top w:val="nil"/>
                <w:left w:val="nil"/>
                <w:bottom w:val="nil"/>
                <w:right w:val="nil"/>
                <w:between w:val="nil"/>
              </w:pBdr>
              <w:ind w:left="113" w:hanging="113"/>
              <w:rPr>
                <w:i/>
                <w:color w:val="000000"/>
              </w:rPr>
            </w:pPr>
          </w:p>
        </w:tc>
        <w:tc>
          <w:tcPr>
            <w:tcW w:w="1627" w:type="pct"/>
            <w:gridSpan w:val="3"/>
            <w:tcBorders>
              <w:top w:val="single" w:sz="4" w:space="0" w:color="000000"/>
              <w:bottom w:val="single" w:sz="4" w:space="0" w:color="000000"/>
            </w:tcBorders>
          </w:tcPr>
          <w:p w14:paraId="179EA435" w14:textId="77777777" w:rsidR="00D83E33" w:rsidRDefault="00BC4072" w:rsidP="001B330E">
            <w:pPr>
              <w:widowControl w:val="0"/>
              <w:pBdr>
                <w:top w:val="nil"/>
                <w:left w:val="nil"/>
                <w:bottom w:val="nil"/>
                <w:right w:val="nil"/>
                <w:between w:val="nil"/>
              </w:pBdr>
              <w:jc w:val="center"/>
              <w:rPr>
                <w:b/>
                <w:color w:val="000000"/>
              </w:rPr>
            </w:pPr>
            <w:r>
              <w:rPr>
                <w:b/>
                <w:color w:val="000000"/>
              </w:rPr>
              <w:t>Amounts expected to be recovered or settled</w:t>
            </w:r>
          </w:p>
        </w:tc>
        <w:tc>
          <w:tcPr>
            <w:tcW w:w="1626" w:type="pct"/>
            <w:gridSpan w:val="3"/>
            <w:tcBorders>
              <w:top w:val="single" w:sz="4" w:space="0" w:color="000000"/>
              <w:bottom w:val="single" w:sz="4" w:space="0" w:color="000000"/>
            </w:tcBorders>
          </w:tcPr>
          <w:p w14:paraId="3C0E34AF" w14:textId="77777777" w:rsidR="00D83E33" w:rsidRDefault="00BC4072" w:rsidP="001B330E">
            <w:pPr>
              <w:widowControl w:val="0"/>
              <w:pBdr>
                <w:top w:val="nil"/>
                <w:left w:val="nil"/>
                <w:bottom w:val="nil"/>
                <w:right w:val="nil"/>
                <w:between w:val="nil"/>
              </w:pBdr>
              <w:jc w:val="center"/>
              <w:rPr>
                <w:b/>
                <w:color w:val="000000"/>
              </w:rPr>
            </w:pPr>
            <w:r>
              <w:rPr>
                <w:b/>
                <w:color w:val="000000"/>
              </w:rPr>
              <w:t>Amounts expected to be recovered or settled</w:t>
            </w:r>
          </w:p>
        </w:tc>
      </w:tr>
      <w:tr w:rsidR="001A5020" w14:paraId="0B9815E3" w14:textId="77777777" w:rsidTr="001B330E">
        <w:trPr>
          <w:trHeight w:val="23"/>
        </w:trPr>
        <w:tc>
          <w:tcPr>
            <w:tcW w:w="1747" w:type="pct"/>
            <w:tcBorders>
              <w:bottom w:val="single" w:sz="4" w:space="0" w:color="000000"/>
            </w:tcBorders>
            <w:vAlign w:val="bottom"/>
          </w:tcPr>
          <w:p w14:paraId="348BD09A" w14:textId="2A166F10" w:rsidR="00D83E33"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r w:rsidR="00BC4072">
              <w:rPr>
                <w:i/>
                <w:color w:val="000000"/>
              </w:rPr>
              <w:t xml:space="preserve"> </w:t>
            </w:r>
          </w:p>
        </w:tc>
        <w:tc>
          <w:tcPr>
            <w:tcW w:w="542" w:type="pct"/>
            <w:tcBorders>
              <w:top w:val="single" w:sz="4" w:space="0" w:color="000000"/>
              <w:bottom w:val="single" w:sz="4" w:space="0" w:color="000000"/>
            </w:tcBorders>
          </w:tcPr>
          <w:p w14:paraId="72CE844D" w14:textId="77777777" w:rsidR="00D83E33" w:rsidRDefault="00BC4072" w:rsidP="001B330E">
            <w:pPr>
              <w:widowControl w:val="0"/>
              <w:pBdr>
                <w:top w:val="nil"/>
                <w:left w:val="nil"/>
                <w:bottom w:val="nil"/>
                <w:right w:val="nil"/>
                <w:between w:val="nil"/>
              </w:pBdr>
              <w:ind w:left="-113"/>
              <w:jc w:val="right"/>
              <w:rPr>
                <w:b/>
                <w:color w:val="000000"/>
              </w:rPr>
            </w:pPr>
            <w:r>
              <w:rPr>
                <w:b/>
                <w:color w:val="000000"/>
              </w:rPr>
              <w:t>Within 12 months after the reporting period</w:t>
            </w:r>
          </w:p>
        </w:tc>
        <w:tc>
          <w:tcPr>
            <w:tcW w:w="542" w:type="pct"/>
            <w:tcBorders>
              <w:top w:val="single" w:sz="4" w:space="0" w:color="000000"/>
              <w:bottom w:val="single" w:sz="4" w:space="0" w:color="000000"/>
            </w:tcBorders>
          </w:tcPr>
          <w:p w14:paraId="77B66E70" w14:textId="77777777" w:rsidR="00D83E33" w:rsidRDefault="00BC4072" w:rsidP="001B330E">
            <w:pPr>
              <w:widowControl w:val="0"/>
              <w:pBdr>
                <w:top w:val="nil"/>
                <w:left w:val="nil"/>
                <w:bottom w:val="nil"/>
                <w:right w:val="nil"/>
                <w:between w:val="nil"/>
              </w:pBdr>
              <w:ind w:left="-113"/>
              <w:jc w:val="right"/>
              <w:rPr>
                <w:b/>
                <w:color w:val="000000"/>
              </w:rPr>
            </w:pPr>
            <w:r>
              <w:rPr>
                <w:b/>
                <w:color w:val="000000"/>
              </w:rPr>
              <w:t>After 12 months after the reporting period</w:t>
            </w:r>
          </w:p>
        </w:tc>
        <w:tc>
          <w:tcPr>
            <w:tcW w:w="543" w:type="pct"/>
            <w:tcBorders>
              <w:top w:val="single" w:sz="4" w:space="0" w:color="000000"/>
              <w:bottom w:val="single" w:sz="4" w:space="0" w:color="000000"/>
            </w:tcBorders>
          </w:tcPr>
          <w:p w14:paraId="2CB7B141" w14:textId="77777777" w:rsidR="00D83E33" w:rsidRDefault="00BC4072" w:rsidP="001B330E">
            <w:pPr>
              <w:widowControl w:val="0"/>
              <w:pBdr>
                <w:top w:val="nil"/>
                <w:left w:val="nil"/>
                <w:bottom w:val="nil"/>
                <w:right w:val="nil"/>
                <w:between w:val="nil"/>
              </w:pBdr>
              <w:ind w:left="-113"/>
              <w:jc w:val="right"/>
              <w:rPr>
                <w:b/>
                <w:color w:val="000000"/>
              </w:rPr>
            </w:pPr>
            <w:r>
              <w:rPr>
                <w:b/>
                <w:color w:val="000000"/>
              </w:rPr>
              <w:t>Total</w:t>
            </w:r>
          </w:p>
        </w:tc>
        <w:tc>
          <w:tcPr>
            <w:tcW w:w="542" w:type="pct"/>
            <w:tcBorders>
              <w:top w:val="single" w:sz="4" w:space="0" w:color="000000"/>
              <w:bottom w:val="single" w:sz="4" w:space="0" w:color="000000"/>
            </w:tcBorders>
          </w:tcPr>
          <w:p w14:paraId="1E17DA1D" w14:textId="77777777" w:rsidR="00D83E33" w:rsidRDefault="00BC4072" w:rsidP="001B330E">
            <w:pPr>
              <w:widowControl w:val="0"/>
              <w:pBdr>
                <w:top w:val="nil"/>
                <w:left w:val="nil"/>
                <w:bottom w:val="nil"/>
                <w:right w:val="nil"/>
                <w:between w:val="nil"/>
              </w:pBdr>
              <w:ind w:left="-113"/>
              <w:jc w:val="right"/>
              <w:rPr>
                <w:b/>
                <w:color w:val="000000"/>
              </w:rPr>
            </w:pPr>
            <w:r>
              <w:rPr>
                <w:b/>
                <w:color w:val="000000"/>
              </w:rPr>
              <w:t>Within 12 months after the reporting period</w:t>
            </w:r>
          </w:p>
        </w:tc>
        <w:tc>
          <w:tcPr>
            <w:tcW w:w="542" w:type="pct"/>
            <w:tcBorders>
              <w:top w:val="single" w:sz="4" w:space="0" w:color="000000"/>
              <w:bottom w:val="single" w:sz="4" w:space="0" w:color="000000"/>
            </w:tcBorders>
          </w:tcPr>
          <w:p w14:paraId="141759AA" w14:textId="77777777" w:rsidR="00D83E33" w:rsidRDefault="00BC4072" w:rsidP="001B330E">
            <w:pPr>
              <w:widowControl w:val="0"/>
              <w:pBdr>
                <w:top w:val="nil"/>
                <w:left w:val="nil"/>
                <w:bottom w:val="nil"/>
                <w:right w:val="nil"/>
                <w:between w:val="nil"/>
              </w:pBdr>
              <w:ind w:left="-113"/>
              <w:jc w:val="right"/>
              <w:rPr>
                <w:b/>
                <w:color w:val="000000"/>
              </w:rPr>
            </w:pPr>
            <w:r>
              <w:rPr>
                <w:b/>
                <w:color w:val="000000"/>
              </w:rPr>
              <w:t>After 12 months after the reporting period</w:t>
            </w:r>
          </w:p>
        </w:tc>
        <w:tc>
          <w:tcPr>
            <w:tcW w:w="542" w:type="pct"/>
            <w:tcBorders>
              <w:bottom w:val="single" w:sz="4" w:space="0" w:color="000000"/>
            </w:tcBorders>
          </w:tcPr>
          <w:p w14:paraId="5ED77B0A" w14:textId="77777777" w:rsidR="00D83E33" w:rsidRDefault="00BC4072" w:rsidP="001B330E">
            <w:pPr>
              <w:widowControl w:val="0"/>
              <w:pBdr>
                <w:top w:val="nil"/>
                <w:left w:val="nil"/>
                <w:bottom w:val="nil"/>
                <w:right w:val="nil"/>
                <w:between w:val="nil"/>
              </w:pBdr>
              <w:ind w:left="-113"/>
              <w:jc w:val="right"/>
              <w:rPr>
                <w:b/>
                <w:color w:val="000000"/>
              </w:rPr>
            </w:pPr>
            <w:r>
              <w:rPr>
                <w:b/>
                <w:color w:val="000000"/>
              </w:rPr>
              <w:t>Total</w:t>
            </w:r>
          </w:p>
        </w:tc>
      </w:tr>
      <w:tr w:rsidR="001A5020" w:rsidRPr="007C3FD4" w14:paraId="2874B5B4" w14:textId="77777777" w:rsidTr="001B330E">
        <w:trPr>
          <w:trHeight w:val="23"/>
        </w:trPr>
        <w:tc>
          <w:tcPr>
            <w:tcW w:w="1747" w:type="pct"/>
            <w:vAlign w:val="bottom"/>
          </w:tcPr>
          <w:p w14:paraId="648C647A" w14:textId="77777777" w:rsidR="00D83E33" w:rsidRPr="007C3FD4" w:rsidRDefault="00D83E33" w:rsidP="001B330E">
            <w:pPr>
              <w:widowControl w:val="0"/>
              <w:ind w:left="113" w:hanging="113"/>
              <w:rPr>
                <w:sz w:val="10"/>
                <w:szCs w:val="10"/>
              </w:rPr>
            </w:pPr>
          </w:p>
        </w:tc>
        <w:tc>
          <w:tcPr>
            <w:tcW w:w="542" w:type="pct"/>
            <w:vAlign w:val="bottom"/>
          </w:tcPr>
          <w:p w14:paraId="78F7934E"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vAlign w:val="bottom"/>
          </w:tcPr>
          <w:p w14:paraId="4CDB0242"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3" w:type="pct"/>
            <w:tcBorders>
              <w:top w:val="single" w:sz="4" w:space="0" w:color="000000"/>
            </w:tcBorders>
            <w:vAlign w:val="bottom"/>
          </w:tcPr>
          <w:p w14:paraId="08F27F9D"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tcBorders>
              <w:top w:val="single" w:sz="4" w:space="0" w:color="000000"/>
            </w:tcBorders>
            <w:vAlign w:val="bottom"/>
          </w:tcPr>
          <w:p w14:paraId="5A165125"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vAlign w:val="bottom"/>
          </w:tcPr>
          <w:p w14:paraId="2533F19A"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vAlign w:val="bottom"/>
          </w:tcPr>
          <w:p w14:paraId="54C86FC5"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r>
      <w:tr w:rsidR="001A5020" w14:paraId="26215F66" w14:textId="77777777" w:rsidTr="001B330E">
        <w:trPr>
          <w:trHeight w:val="23"/>
        </w:trPr>
        <w:tc>
          <w:tcPr>
            <w:tcW w:w="1747" w:type="pct"/>
            <w:vAlign w:val="bottom"/>
          </w:tcPr>
          <w:p w14:paraId="206B8BC4" w14:textId="77777777" w:rsidR="00D83E33" w:rsidRDefault="00BC4072" w:rsidP="001B330E">
            <w:pPr>
              <w:widowControl w:val="0"/>
              <w:ind w:left="113" w:hanging="113"/>
            </w:pPr>
            <w:r>
              <w:rPr>
                <w:smallCaps/>
              </w:rPr>
              <w:t>ASSETS</w:t>
            </w:r>
          </w:p>
        </w:tc>
        <w:tc>
          <w:tcPr>
            <w:tcW w:w="542" w:type="pct"/>
            <w:vAlign w:val="bottom"/>
          </w:tcPr>
          <w:p w14:paraId="58DD9BB8"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48ABC08E"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0006D1D8"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20ACFF2C"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27C5FB33"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142AE30" w14:textId="77777777" w:rsidR="00D83E33" w:rsidRDefault="00D83E33" w:rsidP="001B330E">
            <w:pPr>
              <w:widowControl w:val="0"/>
              <w:pBdr>
                <w:top w:val="nil"/>
                <w:left w:val="nil"/>
                <w:bottom w:val="nil"/>
                <w:right w:val="nil"/>
                <w:between w:val="nil"/>
              </w:pBdr>
              <w:jc w:val="right"/>
              <w:rPr>
                <w:color w:val="000000"/>
              </w:rPr>
            </w:pPr>
          </w:p>
        </w:tc>
      </w:tr>
      <w:tr w:rsidR="001A5020" w14:paraId="531ABA2C" w14:textId="77777777" w:rsidTr="001B330E">
        <w:trPr>
          <w:trHeight w:val="23"/>
        </w:trPr>
        <w:tc>
          <w:tcPr>
            <w:tcW w:w="1747" w:type="pct"/>
            <w:vAlign w:val="bottom"/>
          </w:tcPr>
          <w:p w14:paraId="69559E8C" w14:textId="77777777" w:rsidR="00D83E33" w:rsidRDefault="00BC4072" w:rsidP="001B330E">
            <w:pPr>
              <w:widowControl w:val="0"/>
              <w:ind w:left="113" w:hanging="113"/>
            </w:pPr>
            <w:r>
              <w:t>Investment properties</w:t>
            </w:r>
          </w:p>
        </w:tc>
        <w:tc>
          <w:tcPr>
            <w:tcW w:w="542" w:type="pct"/>
            <w:vAlign w:val="bottom"/>
          </w:tcPr>
          <w:p w14:paraId="14B0608A"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4D745564"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02FCAD35"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328D6F7F"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6FB192D"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1A01D37A" w14:textId="77777777" w:rsidR="00D83E33" w:rsidRDefault="00D83E33" w:rsidP="001B330E">
            <w:pPr>
              <w:widowControl w:val="0"/>
              <w:pBdr>
                <w:top w:val="nil"/>
                <w:left w:val="nil"/>
                <w:bottom w:val="nil"/>
                <w:right w:val="nil"/>
                <w:between w:val="nil"/>
              </w:pBdr>
              <w:jc w:val="right"/>
              <w:rPr>
                <w:color w:val="000000"/>
              </w:rPr>
            </w:pPr>
          </w:p>
        </w:tc>
      </w:tr>
      <w:tr w:rsidR="001A5020" w14:paraId="294B57A5" w14:textId="77777777" w:rsidTr="001B330E">
        <w:trPr>
          <w:trHeight w:val="23"/>
        </w:trPr>
        <w:tc>
          <w:tcPr>
            <w:tcW w:w="1747" w:type="pct"/>
            <w:vAlign w:val="bottom"/>
          </w:tcPr>
          <w:p w14:paraId="4365156F" w14:textId="77777777" w:rsidR="00D83E33" w:rsidRDefault="00BC4072" w:rsidP="001B330E">
            <w:pPr>
              <w:widowControl w:val="0"/>
              <w:ind w:left="113" w:hanging="113"/>
            </w:pPr>
            <w:r>
              <w:t>Investment in associates</w:t>
            </w:r>
          </w:p>
        </w:tc>
        <w:tc>
          <w:tcPr>
            <w:tcW w:w="542" w:type="pct"/>
            <w:vAlign w:val="bottom"/>
          </w:tcPr>
          <w:p w14:paraId="17F408EF"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80788DA"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2419C660"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BDC06AD"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12F8DE5C"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0773C25" w14:textId="77777777" w:rsidR="00D83E33" w:rsidRDefault="00D83E33" w:rsidP="001B330E">
            <w:pPr>
              <w:widowControl w:val="0"/>
              <w:pBdr>
                <w:top w:val="nil"/>
                <w:left w:val="nil"/>
                <w:bottom w:val="nil"/>
                <w:right w:val="nil"/>
                <w:between w:val="nil"/>
              </w:pBdr>
              <w:jc w:val="right"/>
              <w:rPr>
                <w:color w:val="000000"/>
              </w:rPr>
            </w:pPr>
          </w:p>
        </w:tc>
      </w:tr>
      <w:tr w:rsidR="001A5020" w14:paraId="3D6D9F7D" w14:textId="77777777" w:rsidTr="001B330E">
        <w:trPr>
          <w:trHeight w:val="23"/>
        </w:trPr>
        <w:tc>
          <w:tcPr>
            <w:tcW w:w="1747" w:type="pct"/>
            <w:vAlign w:val="bottom"/>
          </w:tcPr>
          <w:p w14:paraId="4A6E26B0" w14:textId="77777777" w:rsidR="00D83E33" w:rsidRDefault="00BC4072" w:rsidP="001B330E">
            <w:pPr>
              <w:widowControl w:val="0"/>
              <w:ind w:left="113" w:hanging="113"/>
            </w:pPr>
            <w:r>
              <w:t>Current income tax prepayment</w:t>
            </w:r>
          </w:p>
        </w:tc>
        <w:tc>
          <w:tcPr>
            <w:tcW w:w="542" w:type="pct"/>
            <w:vAlign w:val="bottom"/>
          </w:tcPr>
          <w:p w14:paraId="7ECF0E4B"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686443B6"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69868FAE"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6A42FBFF"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26CA5428"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3B0B594D" w14:textId="77777777" w:rsidR="00D83E33" w:rsidRDefault="00D83E33" w:rsidP="001B330E">
            <w:pPr>
              <w:widowControl w:val="0"/>
              <w:pBdr>
                <w:top w:val="nil"/>
                <w:left w:val="nil"/>
                <w:bottom w:val="nil"/>
                <w:right w:val="nil"/>
                <w:between w:val="nil"/>
              </w:pBdr>
              <w:jc w:val="right"/>
              <w:rPr>
                <w:color w:val="000000"/>
              </w:rPr>
            </w:pPr>
          </w:p>
        </w:tc>
      </w:tr>
      <w:tr w:rsidR="001A5020" w14:paraId="7A321695" w14:textId="77777777" w:rsidTr="001B330E">
        <w:trPr>
          <w:trHeight w:val="23"/>
        </w:trPr>
        <w:tc>
          <w:tcPr>
            <w:tcW w:w="1747" w:type="pct"/>
            <w:vAlign w:val="bottom"/>
          </w:tcPr>
          <w:p w14:paraId="318C40F3" w14:textId="77777777" w:rsidR="00D83E33" w:rsidRDefault="00BC4072" w:rsidP="001B330E">
            <w:pPr>
              <w:widowControl w:val="0"/>
              <w:ind w:left="113" w:hanging="113"/>
            </w:pPr>
            <w:r>
              <w:t>Deferred income tax asset</w:t>
            </w:r>
          </w:p>
        </w:tc>
        <w:tc>
          <w:tcPr>
            <w:tcW w:w="542" w:type="pct"/>
            <w:vAlign w:val="bottom"/>
          </w:tcPr>
          <w:p w14:paraId="6CA46924"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A627320"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2DE785F1"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260A3702"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0ED1400"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522540C1" w14:textId="77777777" w:rsidR="00D83E33" w:rsidRDefault="00D83E33" w:rsidP="001B330E">
            <w:pPr>
              <w:widowControl w:val="0"/>
              <w:pBdr>
                <w:top w:val="nil"/>
                <w:left w:val="nil"/>
                <w:bottom w:val="nil"/>
                <w:right w:val="nil"/>
                <w:between w:val="nil"/>
              </w:pBdr>
              <w:jc w:val="right"/>
              <w:rPr>
                <w:color w:val="000000"/>
              </w:rPr>
            </w:pPr>
          </w:p>
        </w:tc>
      </w:tr>
      <w:tr w:rsidR="001A5020" w14:paraId="41C3C935" w14:textId="77777777" w:rsidTr="001B330E">
        <w:trPr>
          <w:trHeight w:val="23"/>
        </w:trPr>
        <w:tc>
          <w:tcPr>
            <w:tcW w:w="1747" w:type="pct"/>
            <w:vAlign w:val="bottom"/>
          </w:tcPr>
          <w:p w14:paraId="6E995699" w14:textId="77777777" w:rsidR="00D83E33" w:rsidRDefault="00BC4072" w:rsidP="001B330E">
            <w:pPr>
              <w:widowControl w:val="0"/>
              <w:ind w:left="113" w:hanging="113"/>
            </w:pPr>
            <w:r>
              <w:t xml:space="preserve">Goodwill </w:t>
            </w:r>
          </w:p>
        </w:tc>
        <w:tc>
          <w:tcPr>
            <w:tcW w:w="542" w:type="pct"/>
            <w:vAlign w:val="bottom"/>
          </w:tcPr>
          <w:p w14:paraId="0B9C312F"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2178675"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5B8DFAB0"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0D71704"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69AE693"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F8C3B16" w14:textId="77777777" w:rsidR="00D83E33" w:rsidRDefault="00D83E33" w:rsidP="001B330E">
            <w:pPr>
              <w:widowControl w:val="0"/>
              <w:pBdr>
                <w:top w:val="nil"/>
                <w:left w:val="nil"/>
                <w:bottom w:val="nil"/>
                <w:right w:val="nil"/>
                <w:between w:val="nil"/>
              </w:pBdr>
              <w:jc w:val="right"/>
              <w:rPr>
                <w:color w:val="000000"/>
              </w:rPr>
            </w:pPr>
          </w:p>
        </w:tc>
      </w:tr>
      <w:tr w:rsidR="001A5020" w14:paraId="7472E4E8" w14:textId="77777777" w:rsidTr="001B330E">
        <w:trPr>
          <w:trHeight w:val="23"/>
        </w:trPr>
        <w:tc>
          <w:tcPr>
            <w:tcW w:w="1747" w:type="pct"/>
            <w:vAlign w:val="bottom"/>
          </w:tcPr>
          <w:p w14:paraId="0F0AC6CE" w14:textId="77777777" w:rsidR="00D83E33" w:rsidRDefault="00BC4072" w:rsidP="001B330E">
            <w:pPr>
              <w:widowControl w:val="0"/>
              <w:ind w:left="113" w:hanging="113"/>
            </w:pPr>
            <w:r>
              <w:t>Intangible assets</w:t>
            </w:r>
          </w:p>
        </w:tc>
        <w:tc>
          <w:tcPr>
            <w:tcW w:w="542" w:type="pct"/>
            <w:vAlign w:val="bottom"/>
          </w:tcPr>
          <w:p w14:paraId="2B798A6E"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0C05D46"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1EC732EE"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5AF98889"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31F7D2D3"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B5FC771" w14:textId="77777777" w:rsidR="00D83E33" w:rsidRDefault="00D83E33" w:rsidP="001B330E">
            <w:pPr>
              <w:widowControl w:val="0"/>
              <w:pBdr>
                <w:top w:val="nil"/>
                <w:left w:val="nil"/>
                <w:bottom w:val="nil"/>
                <w:right w:val="nil"/>
                <w:between w:val="nil"/>
              </w:pBdr>
              <w:jc w:val="right"/>
              <w:rPr>
                <w:color w:val="000000"/>
              </w:rPr>
            </w:pPr>
          </w:p>
        </w:tc>
      </w:tr>
      <w:tr w:rsidR="001A5020" w14:paraId="57EEB7E9" w14:textId="77777777" w:rsidTr="001B330E">
        <w:trPr>
          <w:trHeight w:val="23"/>
        </w:trPr>
        <w:tc>
          <w:tcPr>
            <w:tcW w:w="1747" w:type="pct"/>
            <w:vAlign w:val="bottom"/>
          </w:tcPr>
          <w:p w14:paraId="76C49496" w14:textId="77777777" w:rsidR="00D83E33" w:rsidRDefault="00BC4072" w:rsidP="001B330E">
            <w:pPr>
              <w:widowControl w:val="0"/>
              <w:ind w:left="113" w:hanging="113"/>
            </w:pPr>
            <w:r>
              <w:t>Premises and equipment</w:t>
            </w:r>
          </w:p>
          <w:p w14:paraId="6E852584" w14:textId="77777777" w:rsidR="00D83E33" w:rsidRDefault="00BC4072" w:rsidP="001B330E">
            <w:pPr>
              <w:widowControl w:val="0"/>
              <w:ind w:left="113" w:hanging="113"/>
            </w:pPr>
            <w:r>
              <w:t>Right of use assets</w:t>
            </w:r>
          </w:p>
        </w:tc>
        <w:tc>
          <w:tcPr>
            <w:tcW w:w="542" w:type="pct"/>
            <w:vAlign w:val="bottom"/>
          </w:tcPr>
          <w:p w14:paraId="04FD2FDE"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0221552"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36988AB6"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150E2A22"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5B731D30"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6A33952C" w14:textId="77777777" w:rsidR="00D83E33" w:rsidRDefault="00D83E33" w:rsidP="001B330E">
            <w:pPr>
              <w:widowControl w:val="0"/>
              <w:pBdr>
                <w:top w:val="nil"/>
                <w:left w:val="nil"/>
                <w:bottom w:val="nil"/>
                <w:right w:val="nil"/>
                <w:between w:val="nil"/>
              </w:pBdr>
              <w:jc w:val="right"/>
              <w:rPr>
                <w:color w:val="000000"/>
              </w:rPr>
            </w:pPr>
          </w:p>
        </w:tc>
      </w:tr>
      <w:tr w:rsidR="001A5020" w14:paraId="3AF2790D" w14:textId="77777777" w:rsidTr="001B330E">
        <w:trPr>
          <w:trHeight w:val="23"/>
        </w:trPr>
        <w:tc>
          <w:tcPr>
            <w:tcW w:w="1747" w:type="pct"/>
            <w:vAlign w:val="bottom"/>
          </w:tcPr>
          <w:p w14:paraId="7C125A4E" w14:textId="77777777" w:rsidR="00D83E33" w:rsidRDefault="00BC4072" w:rsidP="001B330E">
            <w:pPr>
              <w:widowControl w:val="0"/>
              <w:ind w:left="113" w:hanging="113"/>
            </w:pPr>
            <w:r>
              <w:t>Other assets</w:t>
            </w:r>
          </w:p>
        </w:tc>
        <w:tc>
          <w:tcPr>
            <w:tcW w:w="542" w:type="pct"/>
            <w:vAlign w:val="bottom"/>
          </w:tcPr>
          <w:p w14:paraId="671F5B6B"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39030617"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440D819D"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55323508"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2295B50"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7A0B2A8" w14:textId="77777777" w:rsidR="00D83E33" w:rsidRDefault="00D83E33" w:rsidP="001B330E">
            <w:pPr>
              <w:widowControl w:val="0"/>
              <w:pBdr>
                <w:top w:val="nil"/>
                <w:left w:val="nil"/>
                <w:bottom w:val="nil"/>
                <w:right w:val="nil"/>
                <w:between w:val="nil"/>
              </w:pBdr>
              <w:jc w:val="right"/>
              <w:rPr>
                <w:color w:val="000000"/>
              </w:rPr>
            </w:pPr>
          </w:p>
        </w:tc>
      </w:tr>
      <w:tr w:rsidR="001A5020" w14:paraId="6D411107" w14:textId="77777777" w:rsidTr="001B330E">
        <w:trPr>
          <w:trHeight w:val="23"/>
        </w:trPr>
        <w:tc>
          <w:tcPr>
            <w:tcW w:w="1747" w:type="pct"/>
            <w:vAlign w:val="bottom"/>
          </w:tcPr>
          <w:p w14:paraId="031AC407" w14:textId="77777777" w:rsidR="00D83E33" w:rsidRDefault="00BC4072" w:rsidP="001B330E">
            <w:pPr>
              <w:widowControl w:val="0"/>
              <w:ind w:left="113" w:hanging="113"/>
            </w:pPr>
            <w:r>
              <w:t>Non-current assets held for sale (or disposal groups)</w:t>
            </w:r>
          </w:p>
        </w:tc>
        <w:tc>
          <w:tcPr>
            <w:tcW w:w="542" w:type="pct"/>
            <w:vAlign w:val="bottom"/>
          </w:tcPr>
          <w:p w14:paraId="34DF02B5"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6A779C24"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09ADFF60"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32AC7BC"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4B3D6A89"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E2CF1B3" w14:textId="77777777" w:rsidR="00D83E33" w:rsidRDefault="00D83E33" w:rsidP="001B330E">
            <w:pPr>
              <w:widowControl w:val="0"/>
              <w:pBdr>
                <w:top w:val="nil"/>
                <w:left w:val="nil"/>
                <w:bottom w:val="nil"/>
                <w:right w:val="nil"/>
                <w:between w:val="nil"/>
              </w:pBdr>
              <w:jc w:val="right"/>
              <w:rPr>
                <w:color w:val="000000"/>
              </w:rPr>
            </w:pPr>
          </w:p>
        </w:tc>
      </w:tr>
      <w:tr w:rsidR="001A5020" w:rsidRPr="007C3FD4" w14:paraId="513B2097" w14:textId="77777777" w:rsidTr="001B330E">
        <w:trPr>
          <w:trHeight w:val="23"/>
        </w:trPr>
        <w:tc>
          <w:tcPr>
            <w:tcW w:w="1747" w:type="pct"/>
            <w:tcBorders>
              <w:bottom w:val="single" w:sz="12" w:space="0" w:color="000000"/>
            </w:tcBorders>
            <w:vAlign w:val="bottom"/>
          </w:tcPr>
          <w:p w14:paraId="743731CD" w14:textId="77777777" w:rsidR="00D83E33" w:rsidRPr="007C3FD4" w:rsidRDefault="00D83E33" w:rsidP="001B330E">
            <w:pPr>
              <w:widowControl w:val="0"/>
              <w:ind w:left="113" w:hanging="113"/>
              <w:rPr>
                <w:sz w:val="10"/>
                <w:szCs w:val="10"/>
              </w:rPr>
            </w:pPr>
          </w:p>
        </w:tc>
        <w:tc>
          <w:tcPr>
            <w:tcW w:w="542" w:type="pct"/>
            <w:tcBorders>
              <w:bottom w:val="single" w:sz="12" w:space="0" w:color="000000"/>
            </w:tcBorders>
            <w:vAlign w:val="bottom"/>
          </w:tcPr>
          <w:p w14:paraId="047E73D9"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tcBorders>
              <w:bottom w:val="single" w:sz="12" w:space="0" w:color="000000"/>
            </w:tcBorders>
            <w:vAlign w:val="bottom"/>
          </w:tcPr>
          <w:p w14:paraId="022EEE61"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3" w:type="pct"/>
            <w:tcBorders>
              <w:bottom w:val="single" w:sz="12" w:space="0" w:color="000000"/>
            </w:tcBorders>
            <w:vAlign w:val="bottom"/>
          </w:tcPr>
          <w:p w14:paraId="5D7BA899"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tcBorders>
              <w:bottom w:val="single" w:sz="12" w:space="0" w:color="000000"/>
            </w:tcBorders>
            <w:vAlign w:val="bottom"/>
          </w:tcPr>
          <w:p w14:paraId="6BFFD99C"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tcBorders>
              <w:bottom w:val="single" w:sz="12" w:space="0" w:color="000000"/>
            </w:tcBorders>
            <w:vAlign w:val="bottom"/>
          </w:tcPr>
          <w:p w14:paraId="514C3952"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tcBorders>
              <w:bottom w:val="single" w:sz="12" w:space="0" w:color="000000"/>
            </w:tcBorders>
            <w:vAlign w:val="bottom"/>
          </w:tcPr>
          <w:p w14:paraId="743FDE2B"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r>
      <w:tr w:rsidR="001A5020" w:rsidRPr="007C3FD4" w14:paraId="4665385C" w14:textId="77777777" w:rsidTr="001B330E">
        <w:trPr>
          <w:trHeight w:val="23"/>
        </w:trPr>
        <w:tc>
          <w:tcPr>
            <w:tcW w:w="1747" w:type="pct"/>
            <w:vAlign w:val="bottom"/>
          </w:tcPr>
          <w:p w14:paraId="645E1C31" w14:textId="77777777" w:rsidR="00D83E33" w:rsidRPr="007C3FD4" w:rsidRDefault="00D83E33" w:rsidP="001B330E">
            <w:pPr>
              <w:widowControl w:val="0"/>
              <w:ind w:left="113" w:hanging="113"/>
              <w:rPr>
                <w:smallCaps/>
                <w:sz w:val="10"/>
                <w:szCs w:val="10"/>
              </w:rPr>
            </w:pPr>
          </w:p>
        </w:tc>
        <w:tc>
          <w:tcPr>
            <w:tcW w:w="542" w:type="pct"/>
            <w:vAlign w:val="bottom"/>
          </w:tcPr>
          <w:p w14:paraId="096C6DC1"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vAlign w:val="bottom"/>
          </w:tcPr>
          <w:p w14:paraId="1FBB3272"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3" w:type="pct"/>
            <w:vAlign w:val="bottom"/>
          </w:tcPr>
          <w:p w14:paraId="6B8B1521"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vAlign w:val="bottom"/>
          </w:tcPr>
          <w:p w14:paraId="51B68B66"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vAlign w:val="bottom"/>
          </w:tcPr>
          <w:p w14:paraId="630E9DFF"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vAlign w:val="bottom"/>
          </w:tcPr>
          <w:p w14:paraId="42D02697"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r>
      <w:tr w:rsidR="001A5020" w14:paraId="3DD9FC72" w14:textId="77777777" w:rsidTr="001B330E">
        <w:trPr>
          <w:trHeight w:val="23"/>
        </w:trPr>
        <w:tc>
          <w:tcPr>
            <w:tcW w:w="1747" w:type="pct"/>
            <w:vAlign w:val="bottom"/>
          </w:tcPr>
          <w:p w14:paraId="34300288" w14:textId="77777777" w:rsidR="00D83E33" w:rsidRDefault="00BC4072" w:rsidP="001B330E">
            <w:pPr>
              <w:widowControl w:val="0"/>
              <w:ind w:left="113" w:hanging="113"/>
            </w:pPr>
            <w:r>
              <w:rPr>
                <w:smallCaps/>
              </w:rPr>
              <w:t>LIABILITIES</w:t>
            </w:r>
          </w:p>
        </w:tc>
        <w:tc>
          <w:tcPr>
            <w:tcW w:w="542" w:type="pct"/>
            <w:vAlign w:val="bottom"/>
          </w:tcPr>
          <w:p w14:paraId="30DDDE78"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4AAC6AE0"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538CDF94"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5E6A0030"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23961FF5"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5154D0C5" w14:textId="77777777" w:rsidR="00D83E33" w:rsidRDefault="00D83E33" w:rsidP="001B330E">
            <w:pPr>
              <w:widowControl w:val="0"/>
              <w:pBdr>
                <w:top w:val="nil"/>
                <w:left w:val="nil"/>
                <w:bottom w:val="nil"/>
                <w:right w:val="nil"/>
                <w:between w:val="nil"/>
              </w:pBdr>
              <w:jc w:val="right"/>
              <w:rPr>
                <w:color w:val="000000"/>
              </w:rPr>
            </w:pPr>
          </w:p>
        </w:tc>
      </w:tr>
      <w:tr w:rsidR="001A5020" w14:paraId="60CC888F" w14:textId="77777777" w:rsidTr="001B330E">
        <w:trPr>
          <w:trHeight w:val="23"/>
        </w:trPr>
        <w:tc>
          <w:tcPr>
            <w:tcW w:w="1747" w:type="pct"/>
            <w:vAlign w:val="bottom"/>
          </w:tcPr>
          <w:p w14:paraId="6EB663F3" w14:textId="77777777" w:rsidR="00D83E33" w:rsidRDefault="00BC4072" w:rsidP="001B330E">
            <w:pPr>
              <w:widowControl w:val="0"/>
              <w:ind w:left="113" w:hanging="113"/>
            </w:pPr>
            <w:r>
              <w:t>Current income tax liability</w:t>
            </w:r>
          </w:p>
        </w:tc>
        <w:tc>
          <w:tcPr>
            <w:tcW w:w="542" w:type="pct"/>
            <w:vAlign w:val="bottom"/>
          </w:tcPr>
          <w:p w14:paraId="66254681"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3F0EABFD"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30E8DCAE"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066DBE5"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350ED47B"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14FA48EE" w14:textId="77777777" w:rsidR="00D83E33" w:rsidRDefault="00D83E33" w:rsidP="001B330E">
            <w:pPr>
              <w:widowControl w:val="0"/>
              <w:pBdr>
                <w:top w:val="nil"/>
                <w:left w:val="nil"/>
                <w:bottom w:val="nil"/>
                <w:right w:val="nil"/>
                <w:between w:val="nil"/>
              </w:pBdr>
              <w:jc w:val="right"/>
              <w:rPr>
                <w:color w:val="000000"/>
              </w:rPr>
            </w:pPr>
          </w:p>
        </w:tc>
      </w:tr>
      <w:tr w:rsidR="001A5020" w14:paraId="54D0EB5C" w14:textId="77777777" w:rsidTr="001B330E">
        <w:trPr>
          <w:trHeight w:val="23"/>
        </w:trPr>
        <w:tc>
          <w:tcPr>
            <w:tcW w:w="1747" w:type="pct"/>
            <w:vAlign w:val="bottom"/>
          </w:tcPr>
          <w:p w14:paraId="219FB556" w14:textId="77777777" w:rsidR="00D83E33" w:rsidRDefault="00BC4072" w:rsidP="001B330E">
            <w:pPr>
              <w:widowControl w:val="0"/>
              <w:ind w:left="113" w:hanging="113"/>
            </w:pPr>
            <w:r>
              <w:t>Deferred income tax liability</w:t>
            </w:r>
          </w:p>
        </w:tc>
        <w:tc>
          <w:tcPr>
            <w:tcW w:w="542" w:type="pct"/>
            <w:vAlign w:val="bottom"/>
          </w:tcPr>
          <w:p w14:paraId="06FC607D"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1B0E5063"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0F2EA98E"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0C2B59EC"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6256216"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1330DE68" w14:textId="77777777" w:rsidR="00D83E33" w:rsidRDefault="00D83E33" w:rsidP="001B330E">
            <w:pPr>
              <w:widowControl w:val="0"/>
              <w:pBdr>
                <w:top w:val="nil"/>
                <w:left w:val="nil"/>
                <w:bottom w:val="nil"/>
                <w:right w:val="nil"/>
                <w:between w:val="nil"/>
              </w:pBdr>
              <w:jc w:val="right"/>
              <w:rPr>
                <w:color w:val="000000"/>
              </w:rPr>
            </w:pPr>
          </w:p>
        </w:tc>
      </w:tr>
      <w:tr w:rsidR="001A5020" w14:paraId="10D04219" w14:textId="77777777" w:rsidTr="001B330E">
        <w:trPr>
          <w:trHeight w:val="23"/>
        </w:trPr>
        <w:tc>
          <w:tcPr>
            <w:tcW w:w="1747" w:type="pct"/>
            <w:vAlign w:val="bottom"/>
          </w:tcPr>
          <w:p w14:paraId="6DE20F5F" w14:textId="77777777" w:rsidR="00D83E33" w:rsidRDefault="00BC4072" w:rsidP="001B330E">
            <w:pPr>
              <w:widowControl w:val="0"/>
              <w:ind w:left="113" w:hanging="113"/>
            </w:pPr>
            <w:r>
              <w:t>Provisions for liabilities and charges</w:t>
            </w:r>
          </w:p>
        </w:tc>
        <w:tc>
          <w:tcPr>
            <w:tcW w:w="542" w:type="pct"/>
            <w:vAlign w:val="bottom"/>
          </w:tcPr>
          <w:p w14:paraId="14749F62"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59132D6B"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4FC25243"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6CDABFDC"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1EFF4DDD"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435AE356" w14:textId="77777777" w:rsidR="00D83E33" w:rsidRDefault="00D83E33" w:rsidP="001B330E">
            <w:pPr>
              <w:widowControl w:val="0"/>
              <w:pBdr>
                <w:top w:val="nil"/>
                <w:left w:val="nil"/>
                <w:bottom w:val="nil"/>
                <w:right w:val="nil"/>
                <w:between w:val="nil"/>
              </w:pBdr>
              <w:jc w:val="right"/>
              <w:rPr>
                <w:color w:val="000000"/>
              </w:rPr>
            </w:pPr>
          </w:p>
        </w:tc>
      </w:tr>
      <w:tr w:rsidR="001A5020" w14:paraId="0D5F6397" w14:textId="77777777" w:rsidTr="001B330E">
        <w:trPr>
          <w:trHeight w:val="23"/>
        </w:trPr>
        <w:tc>
          <w:tcPr>
            <w:tcW w:w="1747" w:type="pct"/>
            <w:vAlign w:val="bottom"/>
          </w:tcPr>
          <w:p w14:paraId="2084631E" w14:textId="77777777" w:rsidR="00D83E33" w:rsidRDefault="00BC4072" w:rsidP="001B330E">
            <w:pPr>
              <w:widowControl w:val="0"/>
              <w:ind w:left="113" w:hanging="113"/>
            </w:pPr>
            <w:r>
              <w:t>Other liabilities</w:t>
            </w:r>
          </w:p>
        </w:tc>
        <w:tc>
          <w:tcPr>
            <w:tcW w:w="542" w:type="pct"/>
            <w:vAlign w:val="bottom"/>
          </w:tcPr>
          <w:p w14:paraId="11DB4BEB"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24FC3DEE"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7BE098D7"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725477F3"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2D8A8B42"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370D1EB2" w14:textId="77777777" w:rsidR="00D83E33" w:rsidRDefault="00D83E33" w:rsidP="001B330E">
            <w:pPr>
              <w:widowControl w:val="0"/>
              <w:pBdr>
                <w:top w:val="nil"/>
                <w:left w:val="nil"/>
                <w:bottom w:val="nil"/>
                <w:right w:val="nil"/>
                <w:between w:val="nil"/>
              </w:pBdr>
              <w:jc w:val="right"/>
              <w:rPr>
                <w:color w:val="000000"/>
              </w:rPr>
            </w:pPr>
          </w:p>
        </w:tc>
      </w:tr>
      <w:tr w:rsidR="001A5020" w14:paraId="65E5DEFB" w14:textId="77777777" w:rsidTr="001B330E">
        <w:trPr>
          <w:trHeight w:val="23"/>
        </w:trPr>
        <w:tc>
          <w:tcPr>
            <w:tcW w:w="1747" w:type="pct"/>
            <w:vAlign w:val="bottom"/>
          </w:tcPr>
          <w:p w14:paraId="1F7C51ED" w14:textId="77777777" w:rsidR="00D83E33" w:rsidRDefault="00BC4072" w:rsidP="001B330E">
            <w:pPr>
              <w:widowControl w:val="0"/>
              <w:ind w:left="113" w:hanging="113"/>
            </w:pPr>
            <w:r>
              <w:t xml:space="preserve">Liabilities directly associated with disposal groups held for sale </w:t>
            </w:r>
          </w:p>
        </w:tc>
        <w:tc>
          <w:tcPr>
            <w:tcW w:w="542" w:type="pct"/>
            <w:vAlign w:val="bottom"/>
          </w:tcPr>
          <w:p w14:paraId="7F5FC22B"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17A8D9FE" w14:textId="77777777" w:rsidR="00D83E33" w:rsidRDefault="00D83E33" w:rsidP="001B330E">
            <w:pPr>
              <w:widowControl w:val="0"/>
              <w:pBdr>
                <w:top w:val="nil"/>
                <w:left w:val="nil"/>
                <w:bottom w:val="nil"/>
                <w:right w:val="nil"/>
                <w:between w:val="nil"/>
              </w:pBdr>
              <w:jc w:val="right"/>
              <w:rPr>
                <w:color w:val="000000"/>
              </w:rPr>
            </w:pPr>
          </w:p>
        </w:tc>
        <w:tc>
          <w:tcPr>
            <w:tcW w:w="543" w:type="pct"/>
            <w:vAlign w:val="bottom"/>
          </w:tcPr>
          <w:p w14:paraId="43BFAE2E"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2B89EA70"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64F3885A" w14:textId="77777777" w:rsidR="00D83E33" w:rsidRDefault="00D83E33" w:rsidP="001B330E">
            <w:pPr>
              <w:widowControl w:val="0"/>
              <w:pBdr>
                <w:top w:val="nil"/>
                <w:left w:val="nil"/>
                <w:bottom w:val="nil"/>
                <w:right w:val="nil"/>
                <w:between w:val="nil"/>
              </w:pBdr>
              <w:jc w:val="right"/>
              <w:rPr>
                <w:color w:val="000000"/>
              </w:rPr>
            </w:pPr>
          </w:p>
        </w:tc>
        <w:tc>
          <w:tcPr>
            <w:tcW w:w="542" w:type="pct"/>
            <w:vAlign w:val="bottom"/>
          </w:tcPr>
          <w:p w14:paraId="6DC2D157" w14:textId="77777777" w:rsidR="00D83E33" w:rsidRDefault="00D83E33" w:rsidP="001B330E">
            <w:pPr>
              <w:widowControl w:val="0"/>
              <w:pBdr>
                <w:top w:val="nil"/>
                <w:left w:val="nil"/>
                <w:bottom w:val="nil"/>
                <w:right w:val="nil"/>
                <w:between w:val="nil"/>
              </w:pBdr>
              <w:jc w:val="right"/>
              <w:rPr>
                <w:color w:val="000000"/>
              </w:rPr>
            </w:pPr>
          </w:p>
        </w:tc>
      </w:tr>
      <w:tr w:rsidR="001A5020" w:rsidRPr="007C3FD4" w14:paraId="79293DF7" w14:textId="77777777" w:rsidTr="001B330E">
        <w:trPr>
          <w:trHeight w:val="23"/>
        </w:trPr>
        <w:tc>
          <w:tcPr>
            <w:tcW w:w="1747" w:type="pct"/>
            <w:tcBorders>
              <w:bottom w:val="single" w:sz="12" w:space="0" w:color="000000"/>
            </w:tcBorders>
            <w:vAlign w:val="bottom"/>
          </w:tcPr>
          <w:p w14:paraId="3EA81E12" w14:textId="77777777" w:rsidR="00D83E33" w:rsidRPr="007C3FD4" w:rsidRDefault="00D83E33" w:rsidP="001B330E">
            <w:pPr>
              <w:widowControl w:val="0"/>
              <w:ind w:left="113" w:hanging="113"/>
              <w:rPr>
                <w:sz w:val="10"/>
                <w:szCs w:val="10"/>
              </w:rPr>
            </w:pPr>
          </w:p>
        </w:tc>
        <w:tc>
          <w:tcPr>
            <w:tcW w:w="542" w:type="pct"/>
            <w:tcBorders>
              <w:bottom w:val="single" w:sz="12" w:space="0" w:color="000000"/>
            </w:tcBorders>
            <w:vAlign w:val="bottom"/>
          </w:tcPr>
          <w:p w14:paraId="52967F0A"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tcBorders>
              <w:bottom w:val="single" w:sz="12" w:space="0" w:color="000000"/>
            </w:tcBorders>
            <w:vAlign w:val="bottom"/>
          </w:tcPr>
          <w:p w14:paraId="72948F0D"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3" w:type="pct"/>
            <w:tcBorders>
              <w:bottom w:val="single" w:sz="12" w:space="0" w:color="000000"/>
            </w:tcBorders>
            <w:vAlign w:val="bottom"/>
          </w:tcPr>
          <w:p w14:paraId="4840DF8E"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tcBorders>
              <w:bottom w:val="single" w:sz="12" w:space="0" w:color="000000"/>
            </w:tcBorders>
            <w:vAlign w:val="bottom"/>
          </w:tcPr>
          <w:p w14:paraId="7BCD31E9"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tcBorders>
              <w:bottom w:val="single" w:sz="12" w:space="0" w:color="000000"/>
            </w:tcBorders>
            <w:vAlign w:val="bottom"/>
          </w:tcPr>
          <w:p w14:paraId="0A00A3FF"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c>
          <w:tcPr>
            <w:tcW w:w="542" w:type="pct"/>
            <w:tcBorders>
              <w:bottom w:val="single" w:sz="12" w:space="0" w:color="000000"/>
            </w:tcBorders>
            <w:vAlign w:val="bottom"/>
          </w:tcPr>
          <w:p w14:paraId="55A013ED" w14:textId="77777777" w:rsidR="00D83E33" w:rsidRPr="007C3FD4" w:rsidRDefault="00D83E33" w:rsidP="001B330E">
            <w:pPr>
              <w:widowControl w:val="0"/>
              <w:pBdr>
                <w:top w:val="nil"/>
                <w:left w:val="nil"/>
                <w:bottom w:val="nil"/>
                <w:right w:val="nil"/>
                <w:between w:val="nil"/>
              </w:pBdr>
              <w:jc w:val="right"/>
              <w:rPr>
                <w:color w:val="000000"/>
                <w:sz w:val="10"/>
                <w:szCs w:val="10"/>
              </w:rPr>
            </w:pPr>
          </w:p>
        </w:tc>
      </w:tr>
    </w:tbl>
    <w:p w14:paraId="30C0342A" w14:textId="77777777" w:rsidR="005D389B" w:rsidRDefault="005D389B" w:rsidP="005D389B">
      <w:pPr>
        <w:pStyle w:val="Continued"/>
      </w:pPr>
      <w:r>
        <w:lastRenderedPageBreak/>
        <w:t>3</w:t>
      </w:r>
      <w:r>
        <w:tab/>
        <w:t>Basis of Preparation (Continued)</w:t>
      </w:r>
    </w:p>
    <w:p w14:paraId="3E3B28E3" w14:textId="0AACDDC4" w:rsidR="00D83E33" w:rsidRDefault="00BC4072" w:rsidP="001B330E">
      <w:pPr>
        <w:widowControl w:val="0"/>
        <w:spacing w:before="200" w:after="200"/>
        <w:jc w:val="both"/>
        <w:rPr>
          <w:b/>
          <w:i/>
          <w:color w:val="FF0000"/>
          <w:sz w:val="20"/>
          <w:szCs w:val="20"/>
        </w:rPr>
      </w:pPr>
      <w:r>
        <w:rPr>
          <w:b/>
          <w:i/>
          <w:sz w:val="20"/>
          <w:szCs w:val="20"/>
        </w:rPr>
        <w:t>Changes in presentation</w:t>
      </w:r>
      <w:r>
        <w:rPr>
          <w:sz w:val="20"/>
          <w:szCs w:val="20"/>
        </w:rPr>
        <w:t xml:space="preserve">. </w:t>
      </w:r>
      <w:r>
        <w:rPr>
          <w:i/>
          <w:color w:val="FF0000"/>
          <w:sz w:val="20"/>
          <w:szCs w:val="20"/>
        </w:rPr>
        <w:t>[</w:t>
      </w:r>
      <w:r w:rsidR="0036608B">
        <w:rPr>
          <w:i/>
          <w:color w:val="FF0000"/>
          <w:sz w:val="20"/>
          <w:szCs w:val="20"/>
        </w:rPr>
        <w:t>Tailor accordingly in order to d</w:t>
      </w:r>
      <w:r w:rsidR="005D389B">
        <w:rPr>
          <w:i/>
          <w:color w:val="FF0000"/>
          <w:sz w:val="20"/>
          <w:szCs w:val="20"/>
        </w:rPr>
        <w:t xml:space="preserve">isclose </w:t>
      </w:r>
      <w:r>
        <w:rPr>
          <w:i/>
          <w:color w:val="FF0000"/>
          <w:sz w:val="20"/>
          <w:szCs w:val="20"/>
        </w:rPr>
        <w:t xml:space="preserve">details of </w:t>
      </w:r>
      <w:r w:rsidR="005D389B">
        <w:rPr>
          <w:i/>
          <w:color w:val="FF0000"/>
          <w:sz w:val="20"/>
          <w:szCs w:val="20"/>
        </w:rPr>
        <w:t xml:space="preserve">the </w:t>
      </w:r>
      <w:r>
        <w:rPr>
          <w:i/>
          <w:color w:val="FF0000"/>
          <w:sz w:val="20"/>
          <w:szCs w:val="20"/>
        </w:rPr>
        <w:t xml:space="preserve">changes </w:t>
      </w:r>
      <w:r w:rsidR="005D389B">
        <w:rPr>
          <w:i/>
          <w:color w:val="FF0000"/>
          <w:sz w:val="20"/>
          <w:szCs w:val="20"/>
        </w:rPr>
        <w:t xml:space="preserve">in presentation </w:t>
      </w:r>
      <w:r>
        <w:rPr>
          <w:i/>
          <w:color w:val="FF0000"/>
          <w:sz w:val="20"/>
          <w:szCs w:val="20"/>
        </w:rPr>
        <w:t>as required by IAS 1.45-46 and IAS 8.]</w:t>
      </w:r>
      <w:r>
        <w:rPr>
          <w:b/>
          <w:i/>
          <w:color w:val="FF0000"/>
          <w:sz w:val="20"/>
          <w:szCs w:val="20"/>
        </w:rPr>
        <w:t xml:space="preserve"> </w:t>
      </w:r>
    </w:p>
    <w:p w14:paraId="7E9C658D" w14:textId="0C7FDBAD" w:rsidR="00D83E33" w:rsidRDefault="00BC4072" w:rsidP="001B330E">
      <w:pPr>
        <w:widowControl w:val="0"/>
        <w:spacing w:before="200" w:after="200"/>
        <w:jc w:val="both"/>
        <w:rPr>
          <w:sz w:val="20"/>
          <w:szCs w:val="20"/>
        </w:rPr>
      </w:pPr>
      <w:r>
        <w:rPr>
          <w:sz w:val="20"/>
          <w:szCs w:val="20"/>
        </w:rPr>
        <w:t>Where necessary, corresponding figures have been adjusted to conform to the presentation of the current year amounts. The effect of reclassifications for presentation purposes was as follows on amounts at 31</w:t>
      </w:r>
      <w:r w:rsidR="00181687">
        <w:rPr>
          <w:sz w:val="20"/>
          <w:szCs w:val="20"/>
        </w:rPr>
        <w:t> December </w:t>
      </w:r>
      <w:r w:rsidR="00541EBC">
        <w:rPr>
          <w:sz w:val="20"/>
          <w:szCs w:val="20"/>
        </w:rPr>
        <w:t>2023</w:t>
      </w:r>
      <w:r>
        <w:rPr>
          <w:sz w:val="20"/>
          <w:szCs w:val="20"/>
        </w:rPr>
        <w:t>:</w:t>
      </w:r>
    </w:p>
    <w:tbl>
      <w:tblPr>
        <w:tblStyle w:val="a6"/>
        <w:tblW w:w="9581" w:type="dxa"/>
        <w:tblLayout w:type="fixed"/>
        <w:tblLook w:val="0000" w:firstRow="0" w:lastRow="0" w:firstColumn="0" w:lastColumn="0" w:noHBand="0" w:noVBand="0"/>
      </w:tblPr>
      <w:tblGrid>
        <w:gridCol w:w="3901"/>
        <w:gridCol w:w="2225"/>
        <w:gridCol w:w="1709"/>
        <w:gridCol w:w="1746"/>
      </w:tblGrid>
      <w:tr w:rsidR="00D83E33" w14:paraId="1BEEE452" w14:textId="77777777">
        <w:tc>
          <w:tcPr>
            <w:tcW w:w="3901" w:type="dxa"/>
            <w:tcBorders>
              <w:top w:val="nil"/>
              <w:left w:val="nil"/>
              <w:bottom w:val="single" w:sz="4" w:space="0" w:color="000000"/>
              <w:right w:val="nil"/>
            </w:tcBorders>
            <w:shd w:val="clear" w:color="auto" w:fill="auto"/>
            <w:vAlign w:val="bottom"/>
          </w:tcPr>
          <w:p w14:paraId="50F0D14D" w14:textId="1A8F3C69" w:rsidR="00D83E33" w:rsidRDefault="00BC4072" w:rsidP="001B330E">
            <w:pPr>
              <w:widowControl w:val="0"/>
              <w:ind w:left="113" w:hanging="113"/>
              <w:jc w:val="both"/>
              <w:rPr>
                <w:i/>
              </w:rPr>
            </w:pPr>
            <w:r>
              <w:rPr>
                <w:i/>
              </w:rPr>
              <w:t>[</w:t>
            </w:r>
            <w:r w:rsidR="00313B4D">
              <w:rPr>
                <w:i/>
              </w:rPr>
              <w:t xml:space="preserve">In thousands of </w:t>
            </w:r>
            <w:r w:rsidR="002649EE">
              <w:rPr>
                <w:i/>
              </w:rPr>
              <w:t>EUR</w:t>
            </w:r>
            <w:r>
              <w:rPr>
                <w:i/>
              </w:rPr>
              <w:t>]</w:t>
            </w:r>
          </w:p>
        </w:tc>
        <w:tc>
          <w:tcPr>
            <w:tcW w:w="2225" w:type="dxa"/>
            <w:tcBorders>
              <w:top w:val="nil"/>
              <w:left w:val="nil"/>
              <w:bottom w:val="single" w:sz="4" w:space="0" w:color="000000"/>
              <w:right w:val="nil"/>
            </w:tcBorders>
            <w:shd w:val="clear" w:color="auto" w:fill="auto"/>
          </w:tcPr>
          <w:p w14:paraId="419A5336" w14:textId="77777777" w:rsidR="00D83E33" w:rsidRDefault="00BC4072" w:rsidP="001B330E">
            <w:pPr>
              <w:widowControl w:val="0"/>
              <w:ind w:left="-113"/>
              <w:jc w:val="right"/>
              <w:rPr>
                <w:b/>
              </w:rPr>
            </w:pPr>
            <w:r>
              <w:rPr>
                <w:b/>
              </w:rPr>
              <w:t>[As originally presented]</w:t>
            </w:r>
          </w:p>
        </w:tc>
        <w:tc>
          <w:tcPr>
            <w:tcW w:w="1709" w:type="dxa"/>
            <w:tcBorders>
              <w:top w:val="nil"/>
              <w:left w:val="nil"/>
              <w:bottom w:val="single" w:sz="4" w:space="0" w:color="000000"/>
              <w:right w:val="nil"/>
            </w:tcBorders>
            <w:shd w:val="clear" w:color="auto" w:fill="auto"/>
          </w:tcPr>
          <w:p w14:paraId="58770918" w14:textId="77777777" w:rsidR="00D83E33" w:rsidRDefault="00BC4072" w:rsidP="001B330E">
            <w:pPr>
              <w:widowControl w:val="0"/>
              <w:ind w:left="-113"/>
              <w:jc w:val="right"/>
              <w:rPr>
                <w:b/>
              </w:rPr>
            </w:pPr>
            <w:r>
              <w:rPr>
                <w:b/>
              </w:rPr>
              <w:t>[Reclassification]</w:t>
            </w:r>
          </w:p>
        </w:tc>
        <w:tc>
          <w:tcPr>
            <w:tcW w:w="1746" w:type="dxa"/>
            <w:tcBorders>
              <w:top w:val="nil"/>
              <w:left w:val="nil"/>
              <w:bottom w:val="single" w:sz="4" w:space="0" w:color="000000"/>
              <w:right w:val="nil"/>
            </w:tcBorders>
            <w:shd w:val="clear" w:color="auto" w:fill="auto"/>
          </w:tcPr>
          <w:p w14:paraId="69A4CCAF" w14:textId="77777777" w:rsidR="00D83E33" w:rsidRDefault="00BC4072" w:rsidP="001B330E">
            <w:pPr>
              <w:widowControl w:val="0"/>
              <w:ind w:left="-113"/>
              <w:jc w:val="right"/>
              <w:rPr>
                <w:b/>
              </w:rPr>
            </w:pPr>
            <w:r>
              <w:rPr>
                <w:b/>
              </w:rPr>
              <w:t xml:space="preserve">[As reclassified at </w:t>
            </w:r>
          </w:p>
          <w:p w14:paraId="724D5626" w14:textId="201B20F0" w:rsidR="00D83E33" w:rsidRDefault="00BC4072" w:rsidP="001B330E">
            <w:pPr>
              <w:widowControl w:val="0"/>
              <w:ind w:left="-113"/>
              <w:jc w:val="right"/>
              <w:rPr>
                <w:b/>
              </w:rPr>
            </w:pPr>
            <w:r>
              <w:rPr>
                <w:b/>
              </w:rPr>
              <w:t>31</w:t>
            </w:r>
            <w:r w:rsidR="00181687">
              <w:rPr>
                <w:b/>
              </w:rPr>
              <w:t> December </w:t>
            </w:r>
            <w:r w:rsidR="00541EBC">
              <w:rPr>
                <w:b/>
              </w:rPr>
              <w:t>2023</w:t>
            </w:r>
            <w:r>
              <w:rPr>
                <w:b/>
              </w:rPr>
              <w:t>]</w:t>
            </w:r>
          </w:p>
        </w:tc>
      </w:tr>
      <w:tr w:rsidR="00D83E33" w14:paraId="3D7DB0D2" w14:textId="77777777">
        <w:tc>
          <w:tcPr>
            <w:tcW w:w="3901" w:type="dxa"/>
            <w:tcBorders>
              <w:top w:val="single" w:sz="4" w:space="0" w:color="000000"/>
              <w:left w:val="nil"/>
              <w:bottom w:val="nil"/>
              <w:right w:val="nil"/>
            </w:tcBorders>
            <w:shd w:val="clear" w:color="auto" w:fill="auto"/>
            <w:vAlign w:val="bottom"/>
          </w:tcPr>
          <w:p w14:paraId="36B9E2A6" w14:textId="77777777" w:rsidR="00D83E33" w:rsidRDefault="00D83E33" w:rsidP="001B330E">
            <w:pPr>
              <w:widowControl w:val="0"/>
              <w:ind w:left="113" w:hanging="113"/>
              <w:jc w:val="both"/>
              <w:rPr>
                <w:b/>
              </w:rPr>
            </w:pPr>
          </w:p>
        </w:tc>
        <w:tc>
          <w:tcPr>
            <w:tcW w:w="2225" w:type="dxa"/>
            <w:tcBorders>
              <w:top w:val="single" w:sz="4" w:space="0" w:color="000000"/>
              <w:left w:val="nil"/>
              <w:bottom w:val="nil"/>
              <w:right w:val="nil"/>
            </w:tcBorders>
            <w:shd w:val="clear" w:color="auto" w:fill="auto"/>
            <w:vAlign w:val="bottom"/>
          </w:tcPr>
          <w:p w14:paraId="1438D160" w14:textId="77777777" w:rsidR="00D83E33" w:rsidRDefault="00D83E33" w:rsidP="001B330E">
            <w:pPr>
              <w:widowControl w:val="0"/>
              <w:jc w:val="both"/>
              <w:rPr>
                <w:b/>
              </w:rPr>
            </w:pPr>
          </w:p>
        </w:tc>
        <w:tc>
          <w:tcPr>
            <w:tcW w:w="1709" w:type="dxa"/>
            <w:tcBorders>
              <w:top w:val="single" w:sz="4" w:space="0" w:color="000000"/>
              <w:left w:val="nil"/>
              <w:bottom w:val="nil"/>
              <w:right w:val="nil"/>
            </w:tcBorders>
            <w:shd w:val="clear" w:color="auto" w:fill="auto"/>
            <w:vAlign w:val="bottom"/>
          </w:tcPr>
          <w:p w14:paraId="62C505E6" w14:textId="77777777" w:rsidR="00D83E33" w:rsidRDefault="00D83E33" w:rsidP="001B330E">
            <w:pPr>
              <w:widowControl w:val="0"/>
              <w:jc w:val="both"/>
              <w:rPr>
                <w:b/>
              </w:rPr>
            </w:pPr>
          </w:p>
        </w:tc>
        <w:tc>
          <w:tcPr>
            <w:tcW w:w="1746" w:type="dxa"/>
            <w:tcBorders>
              <w:top w:val="single" w:sz="4" w:space="0" w:color="000000"/>
              <w:left w:val="nil"/>
              <w:bottom w:val="nil"/>
              <w:right w:val="nil"/>
            </w:tcBorders>
            <w:shd w:val="clear" w:color="auto" w:fill="auto"/>
            <w:vAlign w:val="bottom"/>
          </w:tcPr>
          <w:p w14:paraId="3B8020F8" w14:textId="77777777" w:rsidR="00D83E33" w:rsidRDefault="00D83E33" w:rsidP="001B330E">
            <w:pPr>
              <w:widowControl w:val="0"/>
              <w:jc w:val="both"/>
              <w:rPr>
                <w:b/>
              </w:rPr>
            </w:pPr>
          </w:p>
        </w:tc>
      </w:tr>
      <w:tr w:rsidR="00D83E33" w14:paraId="4F37312C" w14:textId="77777777">
        <w:tc>
          <w:tcPr>
            <w:tcW w:w="3901" w:type="dxa"/>
            <w:tcBorders>
              <w:top w:val="nil"/>
              <w:left w:val="nil"/>
              <w:right w:val="nil"/>
            </w:tcBorders>
            <w:shd w:val="clear" w:color="auto" w:fill="auto"/>
            <w:vAlign w:val="bottom"/>
          </w:tcPr>
          <w:p w14:paraId="19F54341"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7121DBB8"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3AF70A25"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324D014A" w14:textId="77777777" w:rsidR="00D83E33" w:rsidRDefault="00D83E33" w:rsidP="001B330E">
            <w:pPr>
              <w:widowControl w:val="0"/>
              <w:jc w:val="both"/>
            </w:pPr>
          </w:p>
        </w:tc>
      </w:tr>
      <w:tr w:rsidR="00D83E33" w14:paraId="5D2F31EB" w14:textId="77777777">
        <w:tc>
          <w:tcPr>
            <w:tcW w:w="3901" w:type="dxa"/>
            <w:tcBorders>
              <w:top w:val="nil"/>
              <w:left w:val="nil"/>
              <w:right w:val="nil"/>
            </w:tcBorders>
            <w:shd w:val="clear" w:color="auto" w:fill="auto"/>
            <w:vAlign w:val="bottom"/>
          </w:tcPr>
          <w:p w14:paraId="13665528"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57DD8FC9"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69E1EAF5"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1AFFAA26" w14:textId="77777777" w:rsidR="00D83E33" w:rsidRDefault="00D83E33" w:rsidP="001B330E">
            <w:pPr>
              <w:widowControl w:val="0"/>
              <w:jc w:val="both"/>
            </w:pPr>
          </w:p>
        </w:tc>
      </w:tr>
      <w:tr w:rsidR="00D83E33" w14:paraId="54CBB944" w14:textId="77777777">
        <w:tc>
          <w:tcPr>
            <w:tcW w:w="3901" w:type="dxa"/>
            <w:tcBorders>
              <w:top w:val="nil"/>
              <w:left w:val="nil"/>
              <w:right w:val="nil"/>
            </w:tcBorders>
            <w:shd w:val="clear" w:color="auto" w:fill="auto"/>
            <w:vAlign w:val="bottom"/>
          </w:tcPr>
          <w:p w14:paraId="769AF476"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31A148E1"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1375BCE1"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26DBAEC0" w14:textId="77777777" w:rsidR="00D83E33" w:rsidRDefault="00D83E33" w:rsidP="001B330E">
            <w:pPr>
              <w:widowControl w:val="0"/>
              <w:jc w:val="both"/>
            </w:pPr>
          </w:p>
        </w:tc>
      </w:tr>
      <w:tr w:rsidR="00D83E33" w14:paraId="2B8ECB3D" w14:textId="77777777">
        <w:tc>
          <w:tcPr>
            <w:tcW w:w="3901" w:type="dxa"/>
            <w:tcBorders>
              <w:top w:val="nil"/>
              <w:left w:val="nil"/>
              <w:right w:val="nil"/>
            </w:tcBorders>
            <w:shd w:val="clear" w:color="auto" w:fill="auto"/>
            <w:vAlign w:val="bottom"/>
          </w:tcPr>
          <w:p w14:paraId="268F446A"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614060C3"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7DCCF2E6"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3A8F6E7F" w14:textId="77777777" w:rsidR="00D83E33" w:rsidRDefault="00D83E33" w:rsidP="001B330E">
            <w:pPr>
              <w:widowControl w:val="0"/>
              <w:jc w:val="both"/>
            </w:pPr>
          </w:p>
        </w:tc>
      </w:tr>
      <w:tr w:rsidR="00D83E33" w14:paraId="4939115B" w14:textId="77777777">
        <w:tc>
          <w:tcPr>
            <w:tcW w:w="3901" w:type="dxa"/>
            <w:tcBorders>
              <w:top w:val="nil"/>
              <w:left w:val="nil"/>
              <w:right w:val="nil"/>
            </w:tcBorders>
            <w:shd w:val="clear" w:color="auto" w:fill="auto"/>
            <w:vAlign w:val="bottom"/>
          </w:tcPr>
          <w:p w14:paraId="2017B97B"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493360C0"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53138103"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2E493312" w14:textId="77777777" w:rsidR="00D83E33" w:rsidRDefault="00D83E33" w:rsidP="001B330E">
            <w:pPr>
              <w:widowControl w:val="0"/>
              <w:jc w:val="both"/>
            </w:pPr>
          </w:p>
        </w:tc>
      </w:tr>
      <w:tr w:rsidR="00D83E33" w14:paraId="3B931355" w14:textId="77777777">
        <w:tc>
          <w:tcPr>
            <w:tcW w:w="3901" w:type="dxa"/>
            <w:tcBorders>
              <w:top w:val="nil"/>
              <w:left w:val="nil"/>
              <w:right w:val="nil"/>
            </w:tcBorders>
            <w:shd w:val="clear" w:color="auto" w:fill="auto"/>
            <w:vAlign w:val="bottom"/>
          </w:tcPr>
          <w:p w14:paraId="2D5BA567"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2FE535FD"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0754EF06"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606270ED" w14:textId="77777777" w:rsidR="00D83E33" w:rsidRDefault="00D83E33" w:rsidP="001B330E">
            <w:pPr>
              <w:widowControl w:val="0"/>
              <w:jc w:val="both"/>
            </w:pPr>
          </w:p>
        </w:tc>
      </w:tr>
      <w:tr w:rsidR="00D83E33" w14:paraId="489EED75" w14:textId="77777777">
        <w:tc>
          <w:tcPr>
            <w:tcW w:w="3901" w:type="dxa"/>
            <w:tcBorders>
              <w:top w:val="nil"/>
              <w:left w:val="nil"/>
              <w:right w:val="nil"/>
            </w:tcBorders>
            <w:shd w:val="clear" w:color="auto" w:fill="auto"/>
            <w:vAlign w:val="bottom"/>
          </w:tcPr>
          <w:p w14:paraId="1459788D"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47727670"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0D368FE4"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013AD235" w14:textId="77777777" w:rsidR="00D83E33" w:rsidRDefault="00D83E33" w:rsidP="001B330E">
            <w:pPr>
              <w:widowControl w:val="0"/>
              <w:jc w:val="both"/>
            </w:pPr>
          </w:p>
        </w:tc>
      </w:tr>
      <w:tr w:rsidR="00D83E33" w14:paraId="37BBC9BE" w14:textId="77777777">
        <w:tc>
          <w:tcPr>
            <w:tcW w:w="3901" w:type="dxa"/>
            <w:tcBorders>
              <w:top w:val="nil"/>
              <w:left w:val="nil"/>
              <w:right w:val="nil"/>
            </w:tcBorders>
            <w:shd w:val="clear" w:color="auto" w:fill="auto"/>
            <w:vAlign w:val="bottom"/>
          </w:tcPr>
          <w:p w14:paraId="14086FCF"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22B61006"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3D917605"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10696E5E" w14:textId="77777777" w:rsidR="00D83E33" w:rsidRDefault="00D83E33" w:rsidP="001B330E">
            <w:pPr>
              <w:widowControl w:val="0"/>
              <w:jc w:val="both"/>
            </w:pPr>
          </w:p>
        </w:tc>
      </w:tr>
      <w:tr w:rsidR="00D83E33" w14:paraId="6396045E" w14:textId="77777777">
        <w:tc>
          <w:tcPr>
            <w:tcW w:w="3901" w:type="dxa"/>
            <w:tcBorders>
              <w:top w:val="nil"/>
              <w:left w:val="nil"/>
              <w:right w:val="nil"/>
            </w:tcBorders>
            <w:shd w:val="clear" w:color="auto" w:fill="auto"/>
            <w:vAlign w:val="bottom"/>
          </w:tcPr>
          <w:p w14:paraId="3A373D57"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7438F8BC"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48AB4519"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6D86B336" w14:textId="77777777" w:rsidR="00D83E33" w:rsidRDefault="00D83E33" w:rsidP="001B330E">
            <w:pPr>
              <w:widowControl w:val="0"/>
              <w:jc w:val="both"/>
            </w:pPr>
          </w:p>
        </w:tc>
      </w:tr>
      <w:tr w:rsidR="00D83E33" w14:paraId="4AF4222F" w14:textId="77777777">
        <w:tc>
          <w:tcPr>
            <w:tcW w:w="3901" w:type="dxa"/>
            <w:tcBorders>
              <w:top w:val="nil"/>
              <w:left w:val="nil"/>
              <w:right w:val="nil"/>
            </w:tcBorders>
            <w:shd w:val="clear" w:color="auto" w:fill="auto"/>
            <w:vAlign w:val="bottom"/>
          </w:tcPr>
          <w:p w14:paraId="0D327DC4"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650F8618"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1F9821E9"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2A599D4B" w14:textId="77777777" w:rsidR="00D83E33" w:rsidRDefault="00D83E33" w:rsidP="001B330E">
            <w:pPr>
              <w:widowControl w:val="0"/>
              <w:jc w:val="both"/>
            </w:pPr>
          </w:p>
        </w:tc>
      </w:tr>
      <w:tr w:rsidR="00D83E33" w14:paraId="591122C0" w14:textId="77777777">
        <w:tc>
          <w:tcPr>
            <w:tcW w:w="3901" w:type="dxa"/>
            <w:tcBorders>
              <w:top w:val="nil"/>
              <w:left w:val="nil"/>
              <w:right w:val="nil"/>
            </w:tcBorders>
            <w:shd w:val="clear" w:color="auto" w:fill="auto"/>
            <w:vAlign w:val="bottom"/>
          </w:tcPr>
          <w:p w14:paraId="12D03A0C"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594F9116"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5C7DD1B5"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61E2E8FD" w14:textId="77777777" w:rsidR="00D83E33" w:rsidRDefault="00D83E33" w:rsidP="001B330E">
            <w:pPr>
              <w:widowControl w:val="0"/>
              <w:jc w:val="both"/>
            </w:pPr>
          </w:p>
        </w:tc>
      </w:tr>
      <w:tr w:rsidR="00D83E33" w14:paraId="67A04E2E" w14:textId="77777777">
        <w:tc>
          <w:tcPr>
            <w:tcW w:w="3901" w:type="dxa"/>
            <w:tcBorders>
              <w:top w:val="nil"/>
              <w:left w:val="nil"/>
              <w:right w:val="nil"/>
            </w:tcBorders>
            <w:shd w:val="clear" w:color="auto" w:fill="auto"/>
            <w:vAlign w:val="bottom"/>
          </w:tcPr>
          <w:p w14:paraId="016F0EB9"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1C94830F"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0874A49B"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7DDB783A" w14:textId="77777777" w:rsidR="00D83E33" w:rsidRDefault="00D83E33" w:rsidP="001B330E">
            <w:pPr>
              <w:widowControl w:val="0"/>
              <w:jc w:val="both"/>
            </w:pPr>
          </w:p>
        </w:tc>
      </w:tr>
      <w:tr w:rsidR="00D83E33" w14:paraId="263E943D" w14:textId="77777777">
        <w:tc>
          <w:tcPr>
            <w:tcW w:w="3901" w:type="dxa"/>
            <w:tcBorders>
              <w:top w:val="nil"/>
              <w:left w:val="nil"/>
              <w:right w:val="nil"/>
            </w:tcBorders>
            <w:shd w:val="clear" w:color="auto" w:fill="auto"/>
            <w:vAlign w:val="bottom"/>
          </w:tcPr>
          <w:p w14:paraId="0BE41BBF"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49092A7B"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7FAF7E15"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0A84DDD3" w14:textId="77777777" w:rsidR="00D83E33" w:rsidRDefault="00D83E33" w:rsidP="001B330E">
            <w:pPr>
              <w:widowControl w:val="0"/>
              <w:jc w:val="both"/>
            </w:pPr>
          </w:p>
        </w:tc>
      </w:tr>
      <w:tr w:rsidR="00D83E33" w14:paraId="0BEBC32B" w14:textId="77777777">
        <w:tc>
          <w:tcPr>
            <w:tcW w:w="3901" w:type="dxa"/>
            <w:tcBorders>
              <w:top w:val="nil"/>
              <w:left w:val="nil"/>
              <w:right w:val="nil"/>
            </w:tcBorders>
            <w:shd w:val="clear" w:color="auto" w:fill="auto"/>
            <w:vAlign w:val="bottom"/>
          </w:tcPr>
          <w:p w14:paraId="49C99E8F"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56D4A8D8"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375E3897"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34ADD5B1" w14:textId="77777777" w:rsidR="00D83E33" w:rsidRDefault="00D83E33" w:rsidP="001B330E">
            <w:pPr>
              <w:widowControl w:val="0"/>
              <w:jc w:val="both"/>
            </w:pPr>
          </w:p>
        </w:tc>
      </w:tr>
      <w:tr w:rsidR="00D83E33" w14:paraId="15B541F6" w14:textId="77777777">
        <w:tc>
          <w:tcPr>
            <w:tcW w:w="3901" w:type="dxa"/>
            <w:tcBorders>
              <w:top w:val="nil"/>
              <w:left w:val="nil"/>
              <w:right w:val="nil"/>
            </w:tcBorders>
            <w:shd w:val="clear" w:color="auto" w:fill="auto"/>
            <w:vAlign w:val="bottom"/>
          </w:tcPr>
          <w:p w14:paraId="6EAAF041"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2ECFF130"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7A6496C6"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7FF9300C" w14:textId="77777777" w:rsidR="00D83E33" w:rsidRDefault="00D83E33" w:rsidP="001B330E">
            <w:pPr>
              <w:widowControl w:val="0"/>
              <w:jc w:val="both"/>
            </w:pPr>
          </w:p>
        </w:tc>
      </w:tr>
      <w:tr w:rsidR="00D83E33" w14:paraId="2BE26EF4" w14:textId="77777777">
        <w:tc>
          <w:tcPr>
            <w:tcW w:w="3901" w:type="dxa"/>
            <w:tcBorders>
              <w:top w:val="nil"/>
              <w:left w:val="nil"/>
              <w:right w:val="nil"/>
            </w:tcBorders>
            <w:shd w:val="clear" w:color="auto" w:fill="auto"/>
            <w:vAlign w:val="bottom"/>
          </w:tcPr>
          <w:p w14:paraId="65B028BF"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321811F0"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6074E2E7"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7F319307" w14:textId="77777777" w:rsidR="00D83E33" w:rsidRDefault="00D83E33" w:rsidP="001B330E">
            <w:pPr>
              <w:widowControl w:val="0"/>
              <w:jc w:val="both"/>
            </w:pPr>
          </w:p>
        </w:tc>
      </w:tr>
      <w:tr w:rsidR="00D83E33" w14:paraId="62E65E0E" w14:textId="77777777">
        <w:tc>
          <w:tcPr>
            <w:tcW w:w="3901" w:type="dxa"/>
            <w:tcBorders>
              <w:top w:val="nil"/>
              <w:left w:val="nil"/>
              <w:right w:val="nil"/>
            </w:tcBorders>
            <w:shd w:val="clear" w:color="auto" w:fill="auto"/>
            <w:vAlign w:val="bottom"/>
          </w:tcPr>
          <w:p w14:paraId="28C74069" w14:textId="77777777" w:rsidR="00D83E33" w:rsidRDefault="00BC4072" w:rsidP="001B330E">
            <w:pPr>
              <w:widowControl w:val="0"/>
              <w:ind w:left="113" w:hanging="113"/>
              <w:jc w:val="both"/>
              <w:rPr>
                <w:color w:val="0000FF"/>
              </w:rPr>
            </w:pPr>
            <w:r>
              <w:rPr>
                <w:color w:val="0000FF"/>
              </w:rPr>
              <w:t>[Line item]</w:t>
            </w:r>
          </w:p>
        </w:tc>
        <w:tc>
          <w:tcPr>
            <w:tcW w:w="2225" w:type="dxa"/>
            <w:tcBorders>
              <w:top w:val="nil"/>
              <w:left w:val="nil"/>
              <w:right w:val="nil"/>
            </w:tcBorders>
            <w:shd w:val="clear" w:color="auto" w:fill="auto"/>
            <w:vAlign w:val="bottom"/>
          </w:tcPr>
          <w:p w14:paraId="7EFED7B4" w14:textId="77777777" w:rsidR="00D83E33" w:rsidRDefault="00D83E33" w:rsidP="001B330E">
            <w:pPr>
              <w:widowControl w:val="0"/>
              <w:jc w:val="both"/>
            </w:pPr>
          </w:p>
        </w:tc>
        <w:tc>
          <w:tcPr>
            <w:tcW w:w="1709" w:type="dxa"/>
            <w:tcBorders>
              <w:top w:val="nil"/>
              <w:left w:val="nil"/>
              <w:right w:val="nil"/>
            </w:tcBorders>
            <w:shd w:val="clear" w:color="auto" w:fill="auto"/>
            <w:vAlign w:val="bottom"/>
          </w:tcPr>
          <w:p w14:paraId="11A6133F" w14:textId="77777777" w:rsidR="00D83E33" w:rsidRDefault="00D83E33" w:rsidP="001B330E">
            <w:pPr>
              <w:widowControl w:val="0"/>
              <w:jc w:val="both"/>
            </w:pPr>
          </w:p>
        </w:tc>
        <w:tc>
          <w:tcPr>
            <w:tcW w:w="1746" w:type="dxa"/>
            <w:tcBorders>
              <w:top w:val="nil"/>
              <w:left w:val="nil"/>
              <w:right w:val="nil"/>
            </w:tcBorders>
            <w:shd w:val="clear" w:color="auto" w:fill="auto"/>
            <w:vAlign w:val="bottom"/>
          </w:tcPr>
          <w:p w14:paraId="2B3D1F4C" w14:textId="77777777" w:rsidR="00D83E33" w:rsidRDefault="00D83E33" w:rsidP="001B330E">
            <w:pPr>
              <w:widowControl w:val="0"/>
              <w:jc w:val="both"/>
            </w:pPr>
          </w:p>
        </w:tc>
      </w:tr>
      <w:tr w:rsidR="00D83E33" w14:paraId="64E55D69" w14:textId="77777777">
        <w:tc>
          <w:tcPr>
            <w:tcW w:w="3901" w:type="dxa"/>
            <w:tcBorders>
              <w:top w:val="nil"/>
              <w:left w:val="nil"/>
              <w:bottom w:val="single" w:sz="12" w:space="0" w:color="000000"/>
              <w:right w:val="nil"/>
            </w:tcBorders>
            <w:shd w:val="clear" w:color="auto" w:fill="auto"/>
            <w:vAlign w:val="bottom"/>
          </w:tcPr>
          <w:p w14:paraId="3AB328CF" w14:textId="77777777" w:rsidR="00D83E33" w:rsidRDefault="00D83E33" w:rsidP="001B330E">
            <w:pPr>
              <w:widowControl w:val="0"/>
              <w:ind w:left="113" w:hanging="113"/>
              <w:jc w:val="both"/>
              <w:rPr>
                <w:color w:val="0000FF"/>
              </w:rPr>
            </w:pPr>
          </w:p>
        </w:tc>
        <w:tc>
          <w:tcPr>
            <w:tcW w:w="2225" w:type="dxa"/>
            <w:tcBorders>
              <w:top w:val="nil"/>
              <w:left w:val="nil"/>
              <w:bottom w:val="single" w:sz="12" w:space="0" w:color="000000"/>
              <w:right w:val="nil"/>
            </w:tcBorders>
            <w:shd w:val="clear" w:color="auto" w:fill="auto"/>
            <w:vAlign w:val="bottom"/>
          </w:tcPr>
          <w:p w14:paraId="0631725B" w14:textId="77777777" w:rsidR="00D83E33" w:rsidRDefault="00D83E33" w:rsidP="001B330E">
            <w:pPr>
              <w:widowControl w:val="0"/>
              <w:jc w:val="both"/>
              <w:rPr>
                <w:b/>
              </w:rPr>
            </w:pPr>
          </w:p>
        </w:tc>
        <w:tc>
          <w:tcPr>
            <w:tcW w:w="1709" w:type="dxa"/>
            <w:tcBorders>
              <w:top w:val="nil"/>
              <w:left w:val="nil"/>
              <w:bottom w:val="single" w:sz="12" w:space="0" w:color="000000"/>
              <w:right w:val="nil"/>
            </w:tcBorders>
            <w:shd w:val="clear" w:color="auto" w:fill="auto"/>
            <w:vAlign w:val="bottom"/>
          </w:tcPr>
          <w:p w14:paraId="31FCC8C7" w14:textId="77777777" w:rsidR="00D83E33" w:rsidRDefault="00D83E33" w:rsidP="001B330E">
            <w:pPr>
              <w:widowControl w:val="0"/>
              <w:jc w:val="both"/>
              <w:rPr>
                <w:b/>
              </w:rPr>
            </w:pPr>
          </w:p>
        </w:tc>
        <w:tc>
          <w:tcPr>
            <w:tcW w:w="1746" w:type="dxa"/>
            <w:tcBorders>
              <w:top w:val="nil"/>
              <w:left w:val="nil"/>
              <w:bottom w:val="single" w:sz="12" w:space="0" w:color="000000"/>
              <w:right w:val="nil"/>
            </w:tcBorders>
            <w:shd w:val="clear" w:color="auto" w:fill="auto"/>
            <w:vAlign w:val="bottom"/>
          </w:tcPr>
          <w:p w14:paraId="49AF4B37" w14:textId="77777777" w:rsidR="00D83E33" w:rsidRDefault="00D83E33" w:rsidP="001B330E">
            <w:pPr>
              <w:widowControl w:val="0"/>
              <w:jc w:val="both"/>
              <w:rPr>
                <w:b/>
              </w:rPr>
            </w:pPr>
          </w:p>
        </w:tc>
      </w:tr>
    </w:tbl>
    <w:p w14:paraId="77B706D0" w14:textId="77777777" w:rsidR="001A5020" w:rsidRDefault="001A5020" w:rsidP="001B330E">
      <w:pPr>
        <w:widowControl w:val="0"/>
        <w:pBdr>
          <w:top w:val="nil"/>
          <w:left w:val="nil"/>
          <w:bottom w:val="nil"/>
          <w:right w:val="nil"/>
          <w:between w:val="nil"/>
        </w:pBdr>
        <w:spacing w:before="200"/>
        <w:jc w:val="both"/>
        <w:rPr>
          <w:color w:val="000000"/>
          <w:sz w:val="20"/>
          <w:szCs w:val="20"/>
        </w:rPr>
      </w:pPr>
    </w:p>
    <w:p w14:paraId="27E12823" w14:textId="4BCB6DA8" w:rsidR="00D83E33" w:rsidRDefault="00BC4072" w:rsidP="001B330E">
      <w:pPr>
        <w:widowControl w:val="0"/>
        <w:pBdr>
          <w:top w:val="nil"/>
          <w:left w:val="nil"/>
          <w:bottom w:val="nil"/>
          <w:right w:val="nil"/>
          <w:between w:val="nil"/>
        </w:pBdr>
        <w:spacing w:after="200"/>
        <w:jc w:val="both"/>
        <w:rPr>
          <w:color w:val="000000"/>
          <w:sz w:val="20"/>
          <w:szCs w:val="20"/>
        </w:rPr>
      </w:pPr>
      <w:r>
        <w:rPr>
          <w:color w:val="000000"/>
          <w:sz w:val="20"/>
          <w:szCs w:val="20"/>
        </w:rPr>
        <w:t xml:space="preserve">The effect of reclassifications for presentation purposes was as follows on amounts at 1 January </w:t>
      </w:r>
      <w:r w:rsidR="00541EBC">
        <w:rPr>
          <w:color w:val="000000"/>
          <w:sz w:val="20"/>
          <w:szCs w:val="20"/>
        </w:rPr>
        <w:t>2023</w:t>
      </w:r>
      <w:r>
        <w:rPr>
          <w:color w:val="000000"/>
          <w:sz w:val="20"/>
          <w:szCs w:val="20"/>
        </w:rPr>
        <w:t>:</w:t>
      </w:r>
    </w:p>
    <w:tbl>
      <w:tblPr>
        <w:tblStyle w:val="a7"/>
        <w:tblW w:w="9581" w:type="dxa"/>
        <w:tblLayout w:type="fixed"/>
        <w:tblLook w:val="0000" w:firstRow="0" w:lastRow="0" w:firstColumn="0" w:lastColumn="0" w:noHBand="0" w:noVBand="0"/>
      </w:tblPr>
      <w:tblGrid>
        <w:gridCol w:w="3915"/>
        <w:gridCol w:w="2224"/>
        <w:gridCol w:w="1722"/>
        <w:gridCol w:w="1720"/>
      </w:tblGrid>
      <w:tr w:rsidR="00D83E33" w14:paraId="6283B52A" w14:textId="77777777">
        <w:tc>
          <w:tcPr>
            <w:tcW w:w="3915" w:type="dxa"/>
            <w:tcBorders>
              <w:top w:val="nil"/>
              <w:left w:val="nil"/>
              <w:bottom w:val="single" w:sz="4" w:space="0" w:color="000000"/>
              <w:right w:val="nil"/>
            </w:tcBorders>
            <w:shd w:val="clear" w:color="auto" w:fill="auto"/>
            <w:vAlign w:val="bottom"/>
          </w:tcPr>
          <w:p w14:paraId="03CD8F8D" w14:textId="4DC0049E" w:rsidR="00D83E33" w:rsidRDefault="00BC4072" w:rsidP="001B330E">
            <w:pPr>
              <w:widowControl w:val="0"/>
              <w:ind w:left="113" w:hanging="113"/>
              <w:jc w:val="both"/>
              <w:rPr>
                <w:i/>
              </w:rPr>
            </w:pPr>
            <w:r>
              <w:rPr>
                <w:i/>
              </w:rPr>
              <w:t>[</w:t>
            </w:r>
            <w:r w:rsidR="00313B4D">
              <w:rPr>
                <w:i/>
              </w:rPr>
              <w:t xml:space="preserve">In thousands of </w:t>
            </w:r>
            <w:r w:rsidR="002649EE">
              <w:rPr>
                <w:i/>
              </w:rPr>
              <w:t>EUR</w:t>
            </w:r>
            <w:r>
              <w:rPr>
                <w:i/>
              </w:rPr>
              <w:t>]</w:t>
            </w:r>
          </w:p>
        </w:tc>
        <w:tc>
          <w:tcPr>
            <w:tcW w:w="2224" w:type="dxa"/>
            <w:tcBorders>
              <w:top w:val="nil"/>
              <w:left w:val="nil"/>
              <w:bottom w:val="single" w:sz="4" w:space="0" w:color="000000"/>
              <w:right w:val="nil"/>
            </w:tcBorders>
            <w:shd w:val="clear" w:color="auto" w:fill="auto"/>
          </w:tcPr>
          <w:p w14:paraId="0008B69E" w14:textId="77777777" w:rsidR="00D83E33" w:rsidRDefault="00BC4072" w:rsidP="001B330E">
            <w:pPr>
              <w:widowControl w:val="0"/>
              <w:ind w:left="-113"/>
              <w:jc w:val="right"/>
              <w:rPr>
                <w:b/>
              </w:rPr>
            </w:pPr>
            <w:r>
              <w:rPr>
                <w:b/>
              </w:rPr>
              <w:t>[As originally presented]</w:t>
            </w:r>
          </w:p>
        </w:tc>
        <w:tc>
          <w:tcPr>
            <w:tcW w:w="1722" w:type="dxa"/>
            <w:tcBorders>
              <w:top w:val="nil"/>
              <w:left w:val="nil"/>
              <w:bottom w:val="single" w:sz="4" w:space="0" w:color="000000"/>
              <w:right w:val="nil"/>
            </w:tcBorders>
            <w:shd w:val="clear" w:color="auto" w:fill="auto"/>
          </w:tcPr>
          <w:p w14:paraId="69528D2F" w14:textId="77777777" w:rsidR="00D83E33" w:rsidRDefault="00BC4072" w:rsidP="001B330E">
            <w:pPr>
              <w:widowControl w:val="0"/>
              <w:ind w:left="-113"/>
              <w:jc w:val="right"/>
              <w:rPr>
                <w:b/>
              </w:rPr>
            </w:pPr>
            <w:r>
              <w:rPr>
                <w:b/>
              </w:rPr>
              <w:t>[Reclassification]</w:t>
            </w:r>
          </w:p>
        </w:tc>
        <w:tc>
          <w:tcPr>
            <w:tcW w:w="1720" w:type="dxa"/>
            <w:tcBorders>
              <w:top w:val="nil"/>
              <w:left w:val="nil"/>
              <w:bottom w:val="single" w:sz="4" w:space="0" w:color="000000"/>
              <w:right w:val="nil"/>
            </w:tcBorders>
            <w:shd w:val="clear" w:color="auto" w:fill="auto"/>
          </w:tcPr>
          <w:p w14:paraId="1EFF3059" w14:textId="77777777" w:rsidR="00D83E33" w:rsidRDefault="00BC4072" w:rsidP="001B330E">
            <w:pPr>
              <w:widowControl w:val="0"/>
              <w:ind w:left="-113"/>
              <w:jc w:val="right"/>
              <w:rPr>
                <w:b/>
              </w:rPr>
            </w:pPr>
            <w:r>
              <w:rPr>
                <w:b/>
              </w:rPr>
              <w:t xml:space="preserve">[As reclassified at </w:t>
            </w:r>
          </w:p>
          <w:p w14:paraId="3EEE9981" w14:textId="563A9109" w:rsidR="00D83E33" w:rsidRDefault="00BC4072" w:rsidP="001B330E">
            <w:pPr>
              <w:widowControl w:val="0"/>
              <w:ind w:left="-113"/>
              <w:jc w:val="right"/>
              <w:rPr>
                <w:b/>
              </w:rPr>
            </w:pPr>
            <w:r>
              <w:rPr>
                <w:b/>
              </w:rPr>
              <w:t xml:space="preserve">1 January </w:t>
            </w:r>
            <w:r w:rsidR="00541EBC">
              <w:rPr>
                <w:b/>
              </w:rPr>
              <w:t>2023</w:t>
            </w:r>
            <w:r>
              <w:rPr>
                <w:b/>
              </w:rPr>
              <w:t>]</w:t>
            </w:r>
          </w:p>
        </w:tc>
      </w:tr>
      <w:tr w:rsidR="00D83E33" w14:paraId="1E32E8A2" w14:textId="77777777">
        <w:tc>
          <w:tcPr>
            <w:tcW w:w="3915" w:type="dxa"/>
            <w:tcBorders>
              <w:top w:val="single" w:sz="4" w:space="0" w:color="000000"/>
              <w:left w:val="nil"/>
              <w:bottom w:val="nil"/>
              <w:right w:val="nil"/>
            </w:tcBorders>
            <w:shd w:val="clear" w:color="auto" w:fill="auto"/>
            <w:vAlign w:val="bottom"/>
          </w:tcPr>
          <w:p w14:paraId="71C9FB26" w14:textId="77777777" w:rsidR="00D83E33" w:rsidRDefault="00D83E33" w:rsidP="001B330E">
            <w:pPr>
              <w:widowControl w:val="0"/>
              <w:ind w:left="113" w:hanging="113"/>
              <w:jc w:val="both"/>
              <w:rPr>
                <w:b/>
              </w:rPr>
            </w:pPr>
          </w:p>
        </w:tc>
        <w:tc>
          <w:tcPr>
            <w:tcW w:w="2224" w:type="dxa"/>
            <w:tcBorders>
              <w:top w:val="single" w:sz="4" w:space="0" w:color="000000"/>
              <w:left w:val="nil"/>
              <w:bottom w:val="nil"/>
              <w:right w:val="nil"/>
            </w:tcBorders>
            <w:shd w:val="clear" w:color="auto" w:fill="auto"/>
            <w:vAlign w:val="bottom"/>
          </w:tcPr>
          <w:p w14:paraId="6CB4DA69" w14:textId="77777777" w:rsidR="00D83E33" w:rsidRDefault="00D83E33" w:rsidP="001B330E">
            <w:pPr>
              <w:widowControl w:val="0"/>
              <w:jc w:val="both"/>
              <w:rPr>
                <w:b/>
              </w:rPr>
            </w:pPr>
          </w:p>
        </w:tc>
        <w:tc>
          <w:tcPr>
            <w:tcW w:w="1722" w:type="dxa"/>
            <w:tcBorders>
              <w:top w:val="single" w:sz="4" w:space="0" w:color="000000"/>
              <w:left w:val="nil"/>
              <w:bottom w:val="nil"/>
              <w:right w:val="nil"/>
            </w:tcBorders>
            <w:shd w:val="clear" w:color="auto" w:fill="auto"/>
            <w:vAlign w:val="bottom"/>
          </w:tcPr>
          <w:p w14:paraId="712BE6DA" w14:textId="77777777" w:rsidR="00D83E33" w:rsidRDefault="00D83E33" w:rsidP="001B330E">
            <w:pPr>
              <w:widowControl w:val="0"/>
              <w:jc w:val="both"/>
              <w:rPr>
                <w:b/>
              </w:rPr>
            </w:pPr>
          </w:p>
        </w:tc>
        <w:tc>
          <w:tcPr>
            <w:tcW w:w="1720" w:type="dxa"/>
            <w:tcBorders>
              <w:top w:val="single" w:sz="4" w:space="0" w:color="000000"/>
              <w:left w:val="nil"/>
              <w:bottom w:val="nil"/>
              <w:right w:val="nil"/>
            </w:tcBorders>
            <w:shd w:val="clear" w:color="auto" w:fill="auto"/>
            <w:vAlign w:val="bottom"/>
          </w:tcPr>
          <w:p w14:paraId="3C442B03" w14:textId="77777777" w:rsidR="00D83E33" w:rsidRDefault="00D83E33" w:rsidP="001B330E">
            <w:pPr>
              <w:widowControl w:val="0"/>
              <w:jc w:val="both"/>
              <w:rPr>
                <w:b/>
              </w:rPr>
            </w:pPr>
          </w:p>
        </w:tc>
      </w:tr>
      <w:tr w:rsidR="00D83E33" w14:paraId="0FF3A876" w14:textId="77777777">
        <w:tc>
          <w:tcPr>
            <w:tcW w:w="3915" w:type="dxa"/>
            <w:tcBorders>
              <w:top w:val="nil"/>
              <w:left w:val="nil"/>
              <w:bottom w:val="nil"/>
              <w:right w:val="nil"/>
            </w:tcBorders>
            <w:shd w:val="clear" w:color="auto" w:fill="auto"/>
            <w:vAlign w:val="bottom"/>
          </w:tcPr>
          <w:p w14:paraId="221360D3"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bottom w:val="nil"/>
              <w:right w:val="nil"/>
            </w:tcBorders>
            <w:shd w:val="clear" w:color="auto" w:fill="auto"/>
            <w:vAlign w:val="bottom"/>
          </w:tcPr>
          <w:p w14:paraId="5C764D8D" w14:textId="77777777" w:rsidR="00D83E33" w:rsidRDefault="00D83E33" w:rsidP="001B330E">
            <w:pPr>
              <w:widowControl w:val="0"/>
              <w:jc w:val="both"/>
              <w:rPr>
                <w:b/>
              </w:rPr>
            </w:pPr>
          </w:p>
        </w:tc>
        <w:tc>
          <w:tcPr>
            <w:tcW w:w="1722" w:type="dxa"/>
            <w:tcBorders>
              <w:top w:val="nil"/>
              <w:left w:val="nil"/>
              <w:bottom w:val="nil"/>
              <w:right w:val="nil"/>
            </w:tcBorders>
            <w:shd w:val="clear" w:color="auto" w:fill="auto"/>
            <w:vAlign w:val="bottom"/>
          </w:tcPr>
          <w:p w14:paraId="4189FE54" w14:textId="77777777" w:rsidR="00D83E33" w:rsidRDefault="00D83E33" w:rsidP="001B330E">
            <w:pPr>
              <w:widowControl w:val="0"/>
              <w:jc w:val="both"/>
              <w:rPr>
                <w:b/>
              </w:rPr>
            </w:pPr>
          </w:p>
        </w:tc>
        <w:tc>
          <w:tcPr>
            <w:tcW w:w="1720" w:type="dxa"/>
            <w:tcBorders>
              <w:top w:val="nil"/>
              <w:left w:val="nil"/>
              <w:bottom w:val="nil"/>
              <w:right w:val="nil"/>
            </w:tcBorders>
            <w:shd w:val="clear" w:color="auto" w:fill="auto"/>
            <w:vAlign w:val="bottom"/>
          </w:tcPr>
          <w:p w14:paraId="65EEA9C4" w14:textId="77777777" w:rsidR="00D83E33" w:rsidRDefault="00D83E33" w:rsidP="001B330E">
            <w:pPr>
              <w:widowControl w:val="0"/>
              <w:jc w:val="both"/>
              <w:rPr>
                <w:b/>
              </w:rPr>
            </w:pPr>
          </w:p>
        </w:tc>
      </w:tr>
      <w:tr w:rsidR="00D83E33" w14:paraId="0FF5AD30" w14:textId="77777777">
        <w:tc>
          <w:tcPr>
            <w:tcW w:w="3915" w:type="dxa"/>
            <w:tcBorders>
              <w:top w:val="nil"/>
              <w:left w:val="nil"/>
              <w:bottom w:val="nil"/>
              <w:right w:val="nil"/>
            </w:tcBorders>
            <w:shd w:val="clear" w:color="auto" w:fill="auto"/>
            <w:vAlign w:val="bottom"/>
          </w:tcPr>
          <w:p w14:paraId="11926BB2"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bottom w:val="nil"/>
              <w:right w:val="nil"/>
            </w:tcBorders>
            <w:shd w:val="clear" w:color="auto" w:fill="auto"/>
            <w:vAlign w:val="bottom"/>
          </w:tcPr>
          <w:p w14:paraId="393A4150" w14:textId="77777777" w:rsidR="00D83E33" w:rsidRDefault="00D83E33" w:rsidP="001B330E">
            <w:pPr>
              <w:widowControl w:val="0"/>
              <w:jc w:val="both"/>
              <w:rPr>
                <w:i/>
              </w:rPr>
            </w:pPr>
          </w:p>
        </w:tc>
        <w:tc>
          <w:tcPr>
            <w:tcW w:w="1722" w:type="dxa"/>
            <w:tcBorders>
              <w:top w:val="nil"/>
              <w:left w:val="nil"/>
              <w:bottom w:val="nil"/>
              <w:right w:val="nil"/>
            </w:tcBorders>
            <w:shd w:val="clear" w:color="auto" w:fill="auto"/>
            <w:vAlign w:val="bottom"/>
          </w:tcPr>
          <w:p w14:paraId="0AE87601" w14:textId="77777777" w:rsidR="00D83E33" w:rsidRDefault="00D83E33" w:rsidP="001B330E">
            <w:pPr>
              <w:widowControl w:val="0"/>
              <w:jc w:val="both"/>
              <w:rPr>
                <w:b/>
              </w:rPr>
            </w:pPr>
          </w:p>
        </w:tc>
        <w:tc>
          <w:tcPr>
            <w:tcW w:w="1720" w:type="dxa"/>
            <w:tcBorders>
              <w:top w:val="nil"/>
              <w:left w:val="nil"/>
              <w:bottom w:val="nil"/>
              <w:right w:val="nil"/>
            </w:tcBorders>
            <w:shd w:val="clear" w:color="auto" w:fill="auto"/>
            <w:vAlign w:val="bottom"/>
          </w:tcPr>
          <w:p w14:paraId="1303B2F9" w14:textId="77777777" w:rsidR="00D83E33" w:rsidRDefault="00D83E33" w:rsidP="001B330E">
            <w:pPr>
              <w:widowControl w:val="0"/>
              <w:jc w:val="both"/>
              <w:rPr>
                <w:b/>
              </w:rPr>
            </w:pPr>
          </w:p>
        </w:tc>
      </w:tr>
      <w:tr w:rsidR="00D83E33" w14:paraId="22FCE234" w14:textId="77777777">
        <w:tc>
          <w:tcPr>
            <w:tcW w:w="3915" w:type="dxa"/>
            <w:tcBorders>
              <w:top w:val="nil"/>
              <w:left w:val="nil"/>
              <w:right w:val="nil"/>
            </w:tcBorders>
            <w:shd w:val="clear" w:color="auto" w:fill="auto"/>
            <w:vAlign w:val="bottom"/>
          </w:tcPr>
          <w:p w14:paraId="5F01BCCA"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60B46D9E"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04DE373F"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5BFA0E21" w14:textId="77777777" w:rsidR="00D83E33" w:rsidRDefault="00D83E33" w:rsidP="001B330E">
            <w:pPr>
              <w:widowControl w:val="0"/>
              <w:jc w:val="both"/>
            </w:pPr>
          </w:p>
        </w:tc>
      </w:tr>
      <w:tr w:rsidR="00D83E33" w14:paraId="336804CE" w14:textId="77777777">
        <w:tc>
          <w:tcPr>
            <w:tcW w:w="3915" w:type="dxa"/>
            <w:tcBorders>
              <w:top w:val="nil"/>
              <w:left w:val="nil"/>
              <w:right w:val="nil"/>
            </w:tcBorders>
            <w:shd w:val="clear" w:color="auto" w:fill="auto"/>
            <w:vAlign w:val="bottom"/>
          </w:tcPr>
          <w:p w14:paraId="5A7EB30A"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49A771C8"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37C4D5C1"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15492DA0" w14:textId="77777777" w:rsidR="00D83E33" w:rsidRDefault="00D83E33" w:rsidP="001B330E">
            <w:pPr>
              <w:widowControl w:val="0"/>
              <w:jc w:val="both"/>
            </w:pPr>
          </w:p>
        </w:tc>
      </w:tr>
      <w:tr w:rsidR="00D83E33" w14:paraId="2698E3E6" w14:textId="77777777">
        <w:tc>
          <w:tcPr>
            <w:tcW w:w="3915" w:type="dxa"/>
            <w:tcBorders>
              <w:top w:val="nil"/>
              <w:left w:val="nil"/>
              <w:right w:val="nil"/>
            </w:tcBorders>
            <w:shd w:val="clear" w:color="auto" w:fill="auto"/>
            <w:vAlign w:val="bottom"/>
          </w:tcPr>
          <w:p w14:paraId="388D16B9"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17AD806A"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762427BD"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64157791" w14:textId="77777777" w:rsidR="00D83E33" w:rsidRDefault="00D83E33" w:rsidP="001B330E">
            <w:pPr>
              <w:widowControl w:val="0"/>
              <w:jc w:val="both"/>
            </w:pPr>
          </w:p>
        </w:tc>
      </w:tr>
      <w:tr w:rsidR="00D83E33" w14:paraId="4D9818C2" w14:textId="77777777">
        <w:tc>
          <w:tcPr>
            <w:tcW w:w="3915" w:type="dxa"/>
            <w:tcBorders>
              <w:top w:val="nil"/>
              <w:left w:val="nil"/>
              <w:right w:val="nil"/>
            </w:tcBorders>
            <w:shd w:val="clear" w:color="auto" w:fill="auto"/>
            <w:vAlign w:val="bottom"/>
          </w:tcPr>
          <w:p w14:paraId="526BA973"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075071C7"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3429A055"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3BF8A9D5" w14:textId="77777777" w:rsidR="00D83E33" w:rsidRDefault="00D83E33" w:rsidP="001B330E">
            <w:pPr>
              <w:widowControl w:val="0"/>
              <w:jc w:val="both"/>
            </w:pPr>
          </w:p>
        </w:tc>
      </w:tr>
      <w:tr w:rsidR="00D83E33" w14:paraId="773945A5" w14:textId="77777777">
        <w:tc>
          <w:tcPr>
            <w:tcW w:w="3915" w:type="dxa"/>
            <w:tcBorders>
              <w:top w:val="nil"/>
              <w:left w:val="nil"/>
              <w:right w:val="nil"/>
            </w:tcBorders>
            <w:shd w:val="clear" w:color="auto" w:fill="auto"/>
            <w:vAlign w:val="bottom"/>
          </w:tcPr>
          <w:p w14:paraId="5EFAB626"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532AAA51"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26D4CF74"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4D274971" w14:textId="77777777" w:rsidR="00D83E33" w:rsidRDefault="00D83E33" w:rsidP="001B330E">
            <w:pPr>
              <w:widowControl w:val="0"/>
              <w:jc w:val="both"/>
            </w:pPr>
          </w:p>
        </w:tc>
      </w:tr>
      <w:tr w:rsidR="00D83E33" w14:paraId="79ED0B22" w14:textId="77777777">
        <w:tc>
          <w:tcPr>
            <w:tcW w:w="3915" w:type="dxa"/>
            <w:tcBorders>
              <w:top w:val="nil"/>
              <w:left w:val="nil"/>
              <w:right w:val="nil"/>
            </w:tcBorders>
            <w:shd w:val="clear" w:color="auto" w:fill="auto"/>
            <w:vAlign w:val="bottom"/>
          </w:tcPr>
          <w:p w14:paraId="6B31C3B9"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6F2E88EA"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67476AD2"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39D9F732" w14:textId="77777777" w:rsidR="00D83E33" w:rsidRDefault="00D83E33" w:rsidP="001B330E">
            <w:pPr>
              <w:widowControl w:val="0"/>
              <w:jc w:val="both"/>
            </w:pPr>
          </w:p>
        </w:tc>
      </w:tr>
      <w:tr w:rsidR="00D83E33" w14:paraId="54D427F5" w14:textId="77777777">
        <w:tc>
          <w:tcPr>
            <w:tcW w:w="3915" w:type="dxa"/>
            <w:tcBorders>
              <w:top w:val="nil"/>
              <w:left w:val="nil"/>
              <w:right w:val="nil"/>
            </w:tcBorders>
            <w:shd w:val="clear" w:color="auto" w:fill="auto"/>
            <w:vAlign w:val="bottom"/>
          </w:tcPr>
          <w:p w14:paraId="15D10C9E"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0FDDC738"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4A305D33"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3C744DA9" w14:textId="77777777" w:rsidR="00D83E33" w:rsidRDefault="00D83E33" w:rsidP="001B330E">
            <w:pPr>
              <w:widowControl w:val="0"/>
              <w:jc w:val="both"/>
            </w:pPr>
          </w:p>
        </w:tc>
      </w:tr>
      <w:tr w:rsidR="00D83E33" w14:paraId="6BCF6D66" w14:textId="77777777">
        <w:tc>
          <w:tcPr>
            <w:tcW w:w="3915" w:type="dxa"/>
            <w:tcBorders>
              <w:top w:val="nil"/>
              <w:left w:val="nil"/>
              <w:right w:val="nil"/>
            </w:tcBorders>
            <w:shd w:val="clear" w:color="auto" w:fill="auto"/>
            <w:vAlign w:val="bottom"/>
          </w:tcPr>
          <w:p w14:paraId="6A0DBA7E"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2BB86178"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5B800F6F"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5ADD032B" w14:textId="77777777" w:rsidR="00D83E33" w:rsidRDefault="00D83E33" w:rsidP="001B330E">
            <w:pPr>
              <w:widowControl w:val="0"/>
              <w:jc w:val="both"/>
            </w:pPr>
          </w:p>
        </w:tc>
      </w:tr>
      <w:tr w:rsidR="00D83E33" w14:paraId="252EEC97" w14:textId="77777777">
        <w:tc>
          <w:tcPr>
            <w:tcW w:w="3915" w:type="dxa"/>
            <w:tcBorders>
              <w:top w:val="nil"/>
              <w:left w:val="nil"/>
              <w:right w:val="nil"/>
            </w:tcBorders>
            <w:shd w:val="clear" w:color="auto" w:fill="auto"/>
            <w:vAlign w:val="bottom"/>
          </w:tcPr>
          <w:p w14:paraId="0FA4C7A9"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3F8C5D8F"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06EE1583"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76BBFEE7" w14:textId="77777777" w:rsidR="00D83E33" w:rsidRDefault="00D83E33" w:rsidP="001B330E">
            <w:pPr>
              <w:widowControl w:val="0"/>
              <w:jc w:val="both"/>
            </w:pPr>
          </w:p>
        </w:tc>
      </w:tr>
      <w:tr w:rsidR="00D83E33" w14:paraId="1A817222" w14:textId="77777777">
        <w:tc>
          <w:tcPr>
            <w:tcW w:w="3915" w:type="dxa"/>
            <w:tcBorders>
              <w:top w:val="nil"/>
              <w:left w:val="nil"/>
              <w:right w:val="nil"/>
            </w:tcBorders>
            <w:shd w:val="clear" w:color="auto" w:fill="auto"/>
            <w:vAlign w:val="bottom"/>
          </w:tcPr>
          <w:p w14:paraId="14371C53"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214649DC"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208C4F1F"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41C415B4" w14:textId="77777777" w:rsidR="00D83E33" w:rsidRDefault="00D83E33" w:rsidP="001B330E">
            <w:pPr>
              <w:widowControl w:val="0"/>
              <w:jc w:val="both"/>
            </w:pPr>
          </w:p>
        </w:tc>
      </w:tr>
      <w:tr w:rsidR="00D83E33" w14:paraId="76C0FC22" w14:textId="77777777">
        <w:tc>
          <w:tcPr>
            <w:tcW w:w="3915" w:type="dxa"/>
            <w:tcBorders>
              <w:top w:val="nil"/>
              <w:left w:val="nil"/>
              <w:right w:val="nil"/>
            </w:tcBorders>
            <w:shd w:val="clear" w:color="auto" w:fill="auto"/>
            <w:vAlign w:val="bottom"/>
          </w:tcPr>
          <w:p w14:paraId="730450B9"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0799C943"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31CAD327"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4D134167" w14:textId="77777777" w:rsidR="00D83E33" w:rsidRDefault="00D83E33" w:rsidP="001B330E">
            <w:pPr>
              <w:widowControl w:val="0"/>
              <w:jc w:val="both"/>
            </w:pPr>
          </w:p>
        </w:tc>
      </w:tr>
      <w:tr w:rsidR="00D83E33" w14:paraId="55228944" w14:textId="77777777">
        <w:tc>
          <w:tcPr>
            <w:tcW w:w="3915" w:type="dxa"/>
            <w:tcBorders>
              <w:top w:val="nil"/>
              <w:left w:val="nil"/>
              <w:right w:val="nil"/>
            </w:tcBorders>
            <w:shd w:val="clear" w:color="auto" w:fill="auto"/>
            <w:vAlign w:val="bottom"/>
          </w:tcPr>
          <w:p w14:paraId="64959DE2"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5AD6D8EB"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7F4C85D6"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35B7541C" w14:textId="77777777" w:rsidR="00D83E33" w:rsidRDefault="00D83E33" w:rsidP="001B330E">
            <w:pPr>
              <w:widowControl w:val="0"/>
              <w:jc w:val="both"/>
            </w:pPr>
          </w:p>
        </w:tc>
      </w:tr>
      <w:tr w:rsidR="00D83E33" w14:paraId="4139B5F2" w14:textId="77777777">
        <w:tc>
          <w:tcPr>
            <w:tcW w:w="3915" w:type="dxa"/>
            <w:tcBorders>
              <w:top w:val="nil"/>
              <w:left w:val="nil"/>
              <w:right w:val="nil"/>
            </w:tcBorders>
            <w:shd w:val="clear" w:color="auto" w:fill="auto"/>
            <w:vAlign w:val="bottom"/>
          </w:tcPr>
          <w:p w14:paraId="28F8E067"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6EC59C11"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2E013169"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7ED15F15" w14:textId="77777777" w:rsidR="00D83E33" w:rsidRDefault="00D83E33" w:rsidP="001B330E">
            <w:pPr>
              <w:widowControl w:val="0"/>
              <w:jc w:val="both"/>
            </w:pPr>
          </w:p>
        </w:tc>
      </w:tr>
      <w:tr w:rsidR="00D83E33" w14:paraId="78A9198F" w14:textId="77777777">
        <w:tc>
          <w:tcPr>
            <w:tcW w:w="3915" w:type="dxa"/>
            <w:tcBorders>
              <w:top w:val="nil"/>
              <w:left w:val="nil"/>
              <w:right w:val="nil"/>
            </w:tcBorders>
            <w:shd w:val="clear" w:color="auto" w:fill="auto"/>
            <w:vAlign w:val="bottom"/>
          </w:tcPr>
          <w:p w14:paraId="5E05CE91"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1FD27FB9"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697A9706"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1F00B193" w14:textId="77777777" w:rsidR="00D83E33" w:rsidRDefault="00D83E33" w:rsidP="001B330E">
            <w:pPr>
              <w:widowControl w:val="0"/>
              <w:jc w:val="both"/>
            </w:pPr>
          </w:p>
        </w:tc>
      </w:tr>
      <w:tr w:rsidR="00D83E33" w14:paraId="746DCAA1" w14:textId="77777777">
        <w:tc>
          <w:tcPr>
            <w:tcW w:w="3915" w:type="dxa"/>
            <w:tcBorders>
              <w:top w:val="nil"/>
              <w:left w:val="nil"/>
              <w:right w:val="nil"/>
            </w:tcBorders>
            <w:shd w:val="clear" w:color="auto" w:fill="auto"/>
            <w:vAlign w:val="bottom"/>
          </w:tcPr>
          <w:p w14:paraId="0A4675E5"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4C2577E1"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5474DA97"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21F2A341" w14:textId="77777777" w:rsidR="00D83E33" w:rsidRDefault="00D83E33" w:rsidP="001B330E">
            <w:pPr>
              <w:widowControl w:val="0"/>
              <w:jc w:val="both"/>
            </w:pPr>
          </w:p>
        </w:tc>
      </w:tr>
      <w:tr w:rsidR="00D83E33" w14:paraId="2866425F" w14:textId="77777777">
        <w:tc>
          <w:tcPr>
            <w:tcW w:w="3915" w:type="dxa"/>
            <w:tcBorders>
              <w:top w:val="nil"/>
              <w:left w:val="nil"/>
              <w:right w:val="nil"/>
            </w:tcBorders>
            <w:shd w:val="clear" w:color="auto" w:fill="auto"/>
            <w:vAlign w:val="bottom"/>
          </w:tcPr>
          <w:p w14:paraId="33037069" w14:textId="77777777" w:rsidR="00D83E33" w:rsidRDefault="00BC4072" w:rsidP="001B330E">
            <w:pPr>
              <w:widowControl w:val="0"/>
              <w:ind w:left="113" w:hanging="113"/>
              <w:jc w:val="both"/>
              <w:rPr>
                <w:color w:val="0000FF"/>
              </w:rPr>
            </w:pPr>
            <w:r>
              <w:rPr>
                <w:color w:val="0000FF"/>
              </w:rPr>
              <w:t>[Line item]</w:t>
            </w:r>
          </w:p>
        </w:tc>
        <w:tc>
          <w:tcPr>
            <w:tcW w:w="2224" w:type="dxa"/>
            <w:tcBorders>
              <w:top w:val="nil"/>
              <w:left w:val="nil"/>
              <w:right w:val="nil"/>
            </w:tcBorders>
            <w:shd w:val="clear" w:color="auto" w:fill="auto"/>
            <w:vAlign w:val="bottom"/>
          </w:tcPr>
          <w:p w14:paraId="25FC319B" w14:textId="77777777" w:rsidR="00D83E33" w:rsidRDefault="00D83E33" w:rsidP="001B330E">
            <w:pPr>
              <w:widowControl w:val="0"/>
              <w:jc w:val="both"/>
            </w:pPr>
          </w:p>
        </w:tc>
        <w:tc>
          <w:tcPr>
            <w:tcW w:w="1722" w:type="dxa"/>
            <w:tcBorders>
              <w:top w:val="nil"/>
              <w:left w:val="nil"/>
              <w:right w:val="nil"/>
            </w:tcBorders>
            <w:shd w:val="clear" w:color="auto" w:fill="auto"/>
            <w:vAlign w:val="bottom"/>
          </w:tcPr>
          <w:p w14:paraId="5707C965" w14:textId="77777777" w:rsidR="00D83E33" w:rsidRDefault="00D83E33" w:rsidP="001B330E">
            <w:pPr>
              <w:widowControl w:val="0"/>
              <w:jc w:val="both"/>
            </w:pPr>
          </w:p>
        </w:tc>
        <w:tc>
          <w:tcPr>
            <w:tcW w:w="1720" w:type="dxa"/>
            <w:tcBorders>
              <w:top w:val="nil"/>
              <w:left w:val="nil"/>
              <w:right w:val="nil"/>
            </w:tcBorders>
            <w:shd w:val="clear" w:color="auto" w:fill="auto"/>
            <w:vAlign w:val="bottom"/>
          </w:tcPr>
          <w:p w14:paraId="60C60979" w14:textId="77777777" w:rsidR="00D83E33" w:rsidRDefault="00D83E33" w:rsidP="001B330E">
            <w:pPr>
              <w:widowControl w:val="0"/>
              <w:jc w:val="both"/>
            </w:pPr>
          </w:p>
        </w:tc>
      </w:tr>
      <w:tr w:rsidR="00D83E33" w14:paraId="7F36F28C" w14:textId="77777777">
        <w:tc>
          <w:tcPr>
            <w:tcW w:w="3915" w:type="dxa"/>
            <w:tcBorders>
              <w:top w:val="nil"/>
              <w:left w:val="nil"/>
              <w:bottom w:val="single" w:sz="12" w:space="0" w:color="000000"/>
              <w:right w:val="nil"/>
            </w:tcBorders>
            <w:shd w:val="clear" w:color="auto" w:fill="auto"/>
            <w:vAlign w:val="bottom"/>
          </w:tcPr>
          <w:p w14:paraId="760D0110" w14:textId="77777777" w:rsidR="00D83E33" w:rsidRDefault="00D83E33" w:rsidP="001B330E">
            <w:pPr>
              <w:widowControl w:val="0"/>
              <w:ind w:left="113" w:hanging="113"/>
              <w:jc w:val="both"/>
              <w:rPr>
                <w:b/>
                <w:i/>
              </w:rPr>
            </w:pPr>
          </w:p>
        </w:tc>
        <w:tc>
          <w:tcPr>
            <w:tcW w:w="2224" w:type="dxa"/>
            <w:tcBorders>
              <w:top w:val="nil"/>
              <w:left w:val="nil"/>
              <w:bottom w:val="single" w:sz="12" w:space="0" w:color="000000"/>
              <w:right w:val="nil"/>
            </w:tcBorders>
            <w:shd w:val="clear" w:color="auto" w:fill="auto"/>
            <w:vAlign w:val="bottom"/>
          </w:tcPr>
          <w:p w14:paraId="6BEEB8BF" w14:textId="77777777" w:rsidR="00D83E33" w:rsidRDefault="00D83E33" w:rsidP="001B330E">
            <w:pPr>
              <w:widowControl w:val="0"/>
              <w:jc w:val="both"/>
              <w:rPr>
                <w:b/>
              </w:rPr>
            </w:pPr>
          </w:p>
        </w:tc>
        <w:tc>
          <w:tcPr>
            <w:tcW w:w="1722" w:type="dxa"/>
            <w:tcBorders>
              <w:top w:val="nil"/>
              <w:left w:val="nil"/>
              <w:bottom w:val="single" w:sz="12" w:space="0" w:color="000000"/>
              <w:right w:val="nil"/>
            </w:tcBorders>
            <w:shd w:val="clear" w:color="auto" w:fill="auto"/>
            <w:vAlign w:val="bottom"/>
          </w:tcPr>
          <w:p w14:paraId="403273FE" w14:textId="77777777" w:rsidR="00D83E33" w:rsidRDefault="00D83E33" w:rsidP="001B330E">
            <w:pPr>
              <w:widowControl w:val="0"/>
              <w:jc w:val="both"/>
              <w:rPr>
                <w:b/>
              </w:rPr>
            </w:pPr>
          </w:p>
        </w:tc>
        <w:tc>
          <w:tcPr>
            <w:tcW w:w="1720" w:type="dxa"/>
            <w:tcBorders>
              <w:top w:val="nil"/>
              <w:left w:val="nil"/>
              <w:bottom w:val="single" w:sz="12" w:space="0" w:color="000000"/>
              <w:right w:val="nil"/>
            </w:tcBorders>
            <w:shd w:val="clear" w:color="auto" w:fill="auto"/>
            <w:vAlign w:val="bottom"/>
          </w:tcPr>
          <w:p w14:paraId="6A98B3CF" w14:textId="77777777" w:rsidR="00D83E33" w:rsidRDefault="00D83E33" w:rsidP="001B330E">
            <w:pPr>
              <w:widowControl w:val="0"/>
              <w:jc w:val="both"/>
              <w:rPr>
                <w:b/>
              </w:rPr>
            </w:pPr>
          </w:p>
        </w:tc>
      </w:tr>
    </w:tbl>
    <w:p w14:paraId="7A03E9B4" w14:textId="1FDAD94B"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third statement of financial position as of 1 January </w:t>
      </w:r>
      <w:r w:rsidR="00541EBC">
        <w:rPr>
          <w:color w:val="000000"/>
          <w:sz w:val="20"/>
          <w:szCs w:val="20"/>
        </w:rPr>
        <w:t>2023</w:t>
      </w:r>
      <w:r>
        <w:rPr>
          <w:color w:val="000000"/>
          <w:sz w:val="20"/>
          <w:szCs w:val="20"/>
        </w:rPr>
        <w:t xml:space="preserve"> is presented in these </w:t>
      </w:r>
      <w:r>
        <w:rPr>
          <w:color w:val="0000FF"/>
          <w:sz w:val="20"/>
          <w:szCs w:val="20"/>
        </w:rPr>
        <w:t xml:space="preserve">[consolidated] </w:t>
      </w:r>
      <w:r>
        <w:rPr>
          <w:color w:val="000000"/>
          <w:sz w:val="20"/>
          <w:szCs w:val="20"/>
        </w:rPr>
        <w:t xml:space="preserve">financial statements as a result of the above described changes in presentation. </w:t>
      </w:r>
    </w:p>
    <w:p w14:paraId="0329A08C"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Amendments of the </w:t>
      </w:r>
      <w:r>
        <w:rPr>
          <w:b/>
          <w:i/>
          <w:color w:val="0000FF"/>
          <w:sz w:val="20"/>
          <w:szCs w:val="20"/>
        </w:rPr>
        <w:t>[consolidated]</w:t>
      </w:r>
      <w:r>
        <w:rPr>
          <w:color w:val="0000FF"/>
          <w:sz w:val="20"/>
          <w:szCs w:val="20"/>
        </w:rPr>
        <w:t xml:space="preserve"> </w:t>
      </w:r>
      <w:r>
        <w:rPr>
          <w:b/>
          <w:i/>
          <w:color w:val="000000"/>
          <w:sz w:val="20"/>
          <w:szCs w:val="20"/>
        </w:rPr>
        <w:t xml:space="preserve">financial statements after issue. </w:t>
      </w:r>
      <w:r>
        <w:rPr>
          <w:color w:val="000000"/>
          <w:sz w:val="20"/>
          <w:szCs w:val="20"/>
        </w:rPr>
        <w:t xml:space="preserve">The </w:t>
      </w:r>
      <w:r>
        <w:rPr>
          <w:color w:val="0000FF"/>
          <w:sz w:val="20"/>
          <w:szCs w:val="20"/>
        </w:rPr>
        <w:t>[Bank’s shareholder[s] and management</w:t>
      </w:r>
      <w:r>
        <w:rPr>
          <w:color w:val="000000"/>
          <w:sz w:val="20"/>
          <w:szCs w:val="20"/>
        </w:rPr>
        <w:t xml:space="preserve"> </w:t>
      </w:r>
      <w:r>
        <w:rPr>
          <w:color w:val="0000FF"/>
          <w:sz w:val="20"/>
          <w:szCs w:val="20"/>
        </w:rPr>
        <w:t>have]</w:t>
      </w:r>
      <w:r>
        <w:rPr>
          <w:color w:val="000000"/>
          <w:sz w:val="20"/>
          <w:szCs w:val="20"/>
        </w:rPr>
        <w:t xml:space="preserve"> the power to amend the </w:t>
      </w:r>
      <w:r>
        <w:rPr>
          <w:color w:val="0000FF"/>
          <w:sz w:val="20"/>
          <w:szCs w:val="20"/>
        </w:rPr>
        <w:t xml:space="preserve">[consolidated] </w:t>
      </w:r>
      <w:r>
        <w:rPr>
          <w:color w:val="000000"/>
          <w:sz w:val="20"/>
          <w:szCs w:val="20"/>
        </w:rPr>
        <w:t>financial statements after issue.</w:t>
      </w:r>
    </w:p>
    <w:p w14:paraId="6F00BB9A" w14:textId="2EE229B8" w:rsidR="00D83E33" w:rsidRDefault="009B5044" w:rsidP="001B330E">
      <w:pPr>
        <w:pStyle w:val="Heading1"/>
        <w:pageBreakBefore/>
      </w:pPr>
      <w:bookmarkStart w:id="9" w:name="_Ref146548582"/>
      <w:bookmarkStart w:id="10" w:name="_Toc179196006"/>
      <w:r>
        <w:lastRenderedPageBreak/>
        <w:t>Sources of</w:t>
      </w:r>
      <w:r w:rsidR="00BC4072">
        <w:t xml:space="preserve"> Estimat</w:t>
      </w:r>
      <w:r>
        <w:t>ion Uncertainty</w:t>
      </w:r>
      <w:r w:rsidR="00BC4072">
        <w:t xml:space="preserve"> and Judgements in Applying Accounting Policies</w:t>
      </w:r>
      <w:bookmarkEnd w:id="9"/>
      <w:bookmarkEnd w:id="10"/>
    </w:p>
    <w:p w14:paraId="3A4D9E7B" w14:textId="77777777" w:rsidR="009B5044"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makes estimates and assumptions that affect the amounts recognised in the </w:t>
      </w:r>
      <w:r>
        <w:rPr>
          <w:color w:val="0000FF"/>
          <w:sz w:val="20"/>
          <w:szCs w:val="20"/>
        </w:rPr>
        <w:t xml:space="preserve">[consolidated] </w:t>
      </w:r>
      <w:r>
        <w:rPr>
          <w:color w:val="000000"/>
          <w:sz w:val="20"/>
          <w:szCs w:val="20"/>
        </w:rPr>
        <w:t xml:space="preserve">financial statements, and the carrying amounts of assets and liabilities within the next financial year. Estimates and judgements are continually evaluated and are based on management’s experience and other factors, including expectations of future events that are believed to be reasonable under the circumstances. Management also makes certain judgements, apart from those involving estimations, in the process of applying the accounting policies. Judgements that have the most significant effect on the amounts recognised in the </w:t>
      </w:r>
      <w:r>
        <w:rPr>
          <w:color w:val="0000FF"/>
          <w:sz w:val="20"/>
          <w:szCs w:val="20"/>
        </w:rPr>
        <w:t xml:space="preserve">[consolidated] </w:t>
      </w:r>
      <w:r>
        <w:rPr>
          <w:color w:val="000000"/>
          <w:sz w:val="20"/>
          <w:szCs w:val="20"/>
        </w:rPr>
        <w:t xml:space="preserve">financial statements and estimates that can cause a significant adjustment to the carrying amount of assets and liabilities within the next financial year </w:t>
      </w:r>
      <w:r w:rsidR="009B5044">
        <w:rPr>
          <w:color w:val="000000"/>
          <w:sz w:val="20"/>
          <w:szCs w:val="20"/>
        </w:rPr>
        <w:t>are explained below.</w:t>
      </w:r>
    </w:p>
    <w:p w14:paraId="0532BAD0" w14:textId="1D11E778" w:rsidR="00D83E33" w:rsidRDefault="00BC4072" w:rsidP="001B330E">
      <w:pPr>
        <w:widowControl w:val="0"/>
        <w:pBdr>
          <w:top w:val="nil"/>
          <w:left w:val="nil"/>
          <w:bottom w:val="nil"/>
          <w:right w:val="nil"/>
          <w:between w:val="nil"/>
        </w:pBdr>
        <w:spacing w:before="200" w:after="200"/>
        <w:jc w:val="both"/>
        <w:rPr>
          <w:i/>
          <w:color w:val="FF0000"/>
          <w:sz w:val="20"/>
          <w:szCs w:val="20"/>
        </w:rPr>
      </w:pPr>
      <w:r>
        <w:rPr>
          <w:i/>
          <w:color w:val="FF0000"/>
          <w:sz w:val="20"/>
          <w:szCs w:val="20"/>
        </w:rPr>
        <w:t xml:space="preserve">[Refer to IAS 1.122 and 1.125 for disclosure requirements. The text below must be tailored and only </w:t>
      </w:r>
      <w:r>
        <w:rPr>
          <w:b/>
          <w:i/>
          <w:color w:val="FF0000"/>
          <w:sz w:val="20"/>
          <w:szCs w:val="20"/>
        </w:rPr>
        <w:t>significant</w:t>
      </w:r>
      <w:r>
        <w:rPr>
          <w:i/>
          <w:color w:val="FF0000"/>
          <w:sz w:val="20"/>
          <w:szCs w:val="20"/>
        </w:rPr>
        <w:t xml:space="preserve"> estimates and judgements should be disclosed. </w:t>
      </w:r>
    </w:p>
    <w:p w14:paraId="5D9874BD" w14:textId="232A04D4" w:rsidR="009B5044" w:rsidRDefault="009B5044" w:rsidP="009B5044">
      <w:pPr>
        <w:widowControl w:val="0"/>
        <w:pBdr>
          <w:top w:val="nil"/>
          <w:left w:val="nil"/>
          <w:bottom w:val="nil"/>
          <w:right w:val="nil"/>
          <w:between w:val="nil"/>
        </w:pBdr>
        <w:spacing w:before="200" w:after="200"/>
        <w:ind w:left="426" w:hanging="426"/>
        <w:jc w:val="both"/>
        <w:rPr>
          <w:b/>
          <w:bCs/>
          <w:i/>
          <w:iCs/>
          <w:color w:val="000000"/>
          <w:sz w:val="20"/>
          <w:szCs w:val="20"/>
        </w:rPr>
      </w:pPr>
      <w:r w:rsidRPr="009B5044">
        <w:rPr>
          <w:b/>
          <w:bCs/>
          <w:i/>
          <w:iCs/>
          <w:color w:val="000000"/>
          <w:sz w:val="20"/>
          <w:szCs w:val="20"/>
        </w:rPr>
        <w:t xml:space="preserve">(a) </w:t>
      </w:r>
      <w:r>
        <w:rPr>
          <w:b/>
          <w:bCs/>
          <w:i/>
          <w:iCs/>
          <w:color w:val="000000"/>
          <w:sz w:val="20"/>
          <w:szCs w:val="20"/>
        </w:rPr>
        <w:tab/>
      </w:r>
      <w:r w:rsidRPr="009B5044">
        <w:rPr>
          <w:b/>
          <w:bCs/>
          <w:i/>
          <w:color w:val="000000" w:themeColor="text1"/>
          <w:sz w:val="20"/>
          <w:szCs w:val="20"/>
        </w:rPr>
        <w:t>Estimates</w:t>
      </w:r>
      <w:r>
        <w:rPr>
          <w:b/>
          <w:bCs/>
          <w:i/>
          <w:iCs/>
          <w:color w:val="000000"/>
          <w:sz w:val="20"/>
          <w:szCs w:val="20"/>
        </w:rPr>
        <w:t xml:space="preserve"> </w:t>
      </w:r>
      <w:r w:rsidRPr="009B5044">
        <w:rPr>
          <w:b/>
          <w:bCs/>
          <w:i/>
          <w:iCs/>
          <w:color w:val="000000"/>
          <w:sz w:val="20"/>
          <w:szCs w:val="20"/>
        </w:rPr>
        <w:t>with significant risk of a material adjustment within the next financial year</w:t>
      </w:r>
    </w:p>
    <w:p w14:paraId="2C5D76AE" w14:textId="77777777" w:rsidR="004F3885" w:rsidRDefault="004F3885" w:rsidP="004F3885">
      <w:pPr>
        <w:widowControl w:val="0"/>
        <w:spacing w:before="200" w:after="200"/>
        <w:jc w:val="both"/>
        <w:rPr>
          <w:color w:val="000000"/>
          <w:sz w:val="20"/>
          <w:szCs w:val="20"/>
        </w:rPr>
      </w:pPr>
      <w:r>
        <w:rPr>
          <w:b/>
          <w:i/>
          <w:color w:val="000000"/>
          <w:sz w:val="20"/>
          <w:szCs w:val="20"/>
        </w:rPr>
        <w:t>ECL measurement.</w:t>
      </w:r>
      <w:r>
        <w:rPr>
          <w:color w:val="000000"/>
          <w:sz w:val="20"/>
          <w:szCs w:val="20"/>
        </w:rPr>
        <w:t xml:space="preserve"> Measurement of ECLs is a significant estimate that involves determination of methodology, models and data inputs. Details of ECL measurement methodology are disclosed in Note 41. The following components have a major impact on credit loss allowance: </w:t>
      </w:r>
    </w:p>
    <w:p w14:paraId="189EB89F" w14:textId="77777777" w:rsidR="004F3885" w:rsidRDefault="004F3885" w:rsidP="004F3885">
      <w:pPr>
        <w:pStyle w:val="bullets"/>
      </w:pPr>
      <w:r>
        <w:t>segmentation of financial assets for the ECL assessment purposes;</w:t>
      </w:r>
    </w:p>
    <w:p w14:paraId="1C1D6336" w14:textId="77777777" w:rsidR="004F3885" w:rsidRDefault="004F3885" w:rsidP="004F3885">
      <w:pPr>
        <w:pStyle w:val="bullets"/>
      </w:pPr>
      <w:r>
        <w:t xml:space="preserve">determination of a level of ECL assessment on an individual instrument basis or on a collective basis; </w:t>
      </w:r>
    </w:p>
    <w:p w14:paraId="2E73D1FB" w14:textId="77777777" w:rsidR="004F3885" w:rsidRDefault="004F3885" w:rsidP="004F3885">
      <w:pPr>
        <w:pStyle w:val="bullets"/>
      </w:pPr>
      <w:r>
        <w:t>definition of default applied by the Group;</w:t>
      </w:r>
    </w:p>
    <w:p w14:paraId="2C4B48FA" w14:textId="77777777" w:rsidR="004F3885" w:rsidRDefault="004F3885" w:rsidP="004F3885">
      <w:pPr>
        <w:pStyle w:val="bullets"/>
      </w:pPr>
      <w:r>
        <w:t>development and application of internal credit grading models, which assigns PDs to the individual credit risk grades;</w:t>
      </w:r>
    </w:p>
    <w:p w14:paraId="5F3B5A89" w14:textId="77777777" w:rsidR="004F3885" w:rsidRDefault="004F3885" w:rsidP="004F3885">
      <w:pPr>
        <w:pStyle w:val="bullets"/>
      </w:pPr>
      <w:r>
        <w:t>development and application of internal models used to estimate exposure at default (“EAD”) for financial instruments and credit related commitments;</w:t>
      </w:r>
    </w:p>
    <w:p w14:paraId="030D310F" w14:textId="77777777" w:rsidR="004F3885" w:rsidRDefault="004F3885" w:rsidP="004F3885">
      <w:pPr>
        <w:pStyle w:val="bullets"/>
      </w:pPr>
      <w:r>
        <w:t>assessment of loss given default (“LGD”), including the judgments made in valuation of collaterals;</w:t>
      </w:r>
    </w:p>
    <w:p w14:paraId="2C1FC685" w14:textId="77777777" w:rsidR="004F3885" w:rsidRDefault="004F3885" w:rsidP="004F3885">
      <w:pPr>
        <w:pStyle w:val="bullets"/>
      </w:pPr>
      <w:r>
        <w:t>criteria for assessing if there has been a significant increase in credit risk;</w:t>
      </w:r>
    </w:p>
    <w:p w14:paraId="5A0FAD64" w14:textId="77777777" w:rsidR="004F3885" w:rsidRDefault="004F3885" w:rsidP="004F3885">
      <w:pPr>
        <w:pStyle w:val="bullets"/>
      </w:pPr>
      <w:r>
        <w:t>selection of forward-looking macroeconomic scenarios and their probability weightings.</w:t>
      </w:r>
    </w:p>
    <w:p w14:paraId="267BB457" w14:textId="438065A3" w:rsidR="004F3885" w:rsidRPr="00372E26" w:rsidRDefault="004F3885" w:rsidP="004F3885">
      <w:pPr>
        <w:widowControl w:val="0"/>
        <w:spacing w:before="200" w:after="200"/>
        <w:jc w:val="both"/>
        <w:rPr>
          <w:i/>
          <w:color w:val="FF0000"/>
          <w:sz w:val="20"/>
          <w:szCs w:val="20"/>
        </w:rPr>
      </w:pPr>
      <w:r w:rsidRPr="00372E26">
        <w:rPr>
          <w:i/>
          <w:color w:val="FF0000"/>
          <w:sz w:val="20"/>
          <w:szCs w:val="20"/>
        </w:rPr>
        <w:t>[Please tailor the above list as appropriate for the Group]</w:t>
      </w:r>
    </w:p>
    <w:p w14:paraId="72C22D5E" w14:textId="77777777" w:rsidR="004F3885" w:rsidRDefault="004F3885" w:rsidP="004F3885">
      <w:pPr>
        <w:widowControl w:val="0"/>
        <w:spacing w:before="200" w:after="200"/>
        <w:jc w:val="both"/>
        <w:rPr>
          <w:color w:val="000000"/>
          <w:sz w:val="20"/>
          <w:szCs w:val="20"/>
        </w:rPr>
      </w:pPr>
      <w:r>
        <w:rPr>
          <w:color w:val="000000"/>
          <w:sz w:val="20"/>
          <w:szCs w:val="20"/>
        </w:rPr>
        <w:t xml:space="preserve">The Group regularly reviews and validates the models and inputs to the models to reduce any differences between expected credit loss estimates and actual credit loss experience. </w:t>
      </w:r>
    </w:p>
    <w:p w14:paraId="1E535F18" w14:textId="29CECF9D" w:rsidR="004F3885" w:rsidRDefault="004F3885" w:rsidP="004F3885">
      <w:pPr>
        <w:widowControl w:val="0"/>
        <w:pBdr>
          <w:top w:val="nil"/>
          <w:left w:val="nil"/>
          <w:bottom w:val="nil"/>
          <w:right w:val="nil"/>
          <w:between w:val="nil"/>
        </w:pBdr>
        <w:spacing w:before="200" w:after="200"/>
        <w:jc w:val="both"/>
        <w:rPr>
          <w:color w:val="0000FF"/>
          <w:sz w:val="20"/>
          <w:szCs w:val="20"/>
        </w:rPr>
      </w:pPr>
      <w:r>
        <w:rPr>
          <w:color w:val="0000FF"/>
          <w:sz w:val="20"/>
          <w:szCs w:val="20"/>
        </w:rPr>
        <w:t>[In 2024, due to significant and rapid changes in the economic environment, the Group decided to adjust the approach to measure ECL for the leveraged loans, primarily to commercial real estate and certain energy intensive sectors. The management performed a top-down portfolio analysis and had identified groups of borrowers, for which sufficient reasonable and supportable information for the ECL measurement is available only on sector basis, instead of individual basis. Overlays applied by the management resulted in the increase of ECL for corporate borrowers in the following industries:</w:t>
      </w:r>
    </w:p>
    <w:p w14:paraId="7F73DD6D" w14:textId="7DFF8ACE" w:rsidR="004F3885" w:rsidRPr="001B330E" w:rsidRDefault="004F3885" w:rsidP="004F3885">
      <w:pPr>
        <w:pStyle w:val="bluetabs"/>
      </w:pPr>
      <w:r>
        <w:t>Commercial real estate</w:t>
      </w:r>
      <w:r w:rsidRPr="00864643">
        <w:t xml:space="preserve"> – average ECL increase of __%</w:t>
      </w:r>
      <w:r>
        <w:t xml:space="preserve"> (2023: </w:t>
      </w:r>
      <w:r w:rsidRPr="00864643">
        <w:t>__%</w:t>
      </w:r>
      <w:r>
        <w:t>)</w:t>
      </w:r>
      <w:r w:rsidRPr="00864643">
        <w:t>;</w:t>
      </w:r>
    </w:p>
    <w:p w14:paraId="1B02AA44" w14:textId="4F7CF9B2" w:rsidR="004F3885" w:rsidRPr="001B330E" w:rsidRDefault="004F3885" w:rsidP="004F3885">
      <w:pPr>
        <w:pStyle w:val="bluetabs"/>
      </w:pPr>
      <w:r>
        <w:t>Steel production</w:t>
      </w:r>
      <w:r w:rsidRPr="001B330E">
        <w:t xml:space="preserve"> – average ECL increase of __%</w:t>
      </w:r>
      <w:r>
        <w:t xml:space="preserve"> (2023: </w:t>
      </w:r>
      <w:r w:rsidRPr="00864643">
        <w:t>__%</w:t>
      </w:r>
      <w:r>
        <w:t>)</w:t>
      </w:r>
      <w:r w:rsidRPr="001B330E">
        <w:t xml:space="preserve">; </w:t>
      </w:r>
    </w:p>
    <w:p w14:paraId="504ABC5B" w14:textId="0883FB0F" w:rsidR="004F3885" w:rsidRPr="001B330E" w:rsidRDefault="004F3885" w:rsidP="004F3885">
      <w:pPr>
        <w:pStyle w:val="bluetabs"/>
      </w:pPr>
      <w:r>
        <w:t>Other energy intensive sectors</w:t>
      </w:r>
      <w:r w:rsidRPr="001B330E">
        <w:t xml:space="preserve"> – average ECL increase of __%</w:t>
      </w:r>
      <w:r>
        <w:t xml:space="preserve"> (2023: </w:t>
      </w:r>
      <w:r w:rsidRPr="00864643">
        <w:t>__%</w:t>
      </w:r>
      <w:r>
        <w:t>)</w:t>
      </w:r>
      <w:r w:rsidRPr="001B330E">
        <w:t>;</w:t>
      </w:r>
    </w:p>
    <w:p w14:paraId="31366D61" w14:textId="4A431650" w:rsidR="009B5044" w:rsidRDefault="004F3885" w:rsidP="004F3885">
      <w:pPr>
        <w:pStyle w:val="bluetabs"/>
      </w:pPr>
      <w:r>
        <w:t>Traditional automotive sector</w:t>
      </w:r>
      <w:r w:rsidRPr="001B330E">
        <w:t xml:space="preserve"> – average ECL increase of __%</w:t>
      </w:r>
      <w:r>
        <w:t xml:space="preserve"> (2023: </w:t>
      </w:r>
      <w:r w:rsidRPr="00864643">
        <w:t>__%</w:t>
      </w:r>
      <w:r>
        <w:t>)</w:t>
      </w:r>
      <w:r w:rsidRPr="001B330E">
        <w:t>.]</w:t>
      </w:r>
    </w:p>
    <w:p w14:paraId="6054BB13" w14:textId="52E9B3FE" w:rsidR="004F3885" w:rsidRPr="004F3885" w:rsidRDefault="004F3885" w:rsidP="004F3885">
      <w:pPr>
        <w:widowControl w:val="0"/>
        <w:spacing w:before="200" w:after="200"/>
        <w:jc w:val="both"/>
        <w:rPr>
          <w:i/>
          <w:color w:val="FF0000"/>
          <w:sz w:val="20"/>
          <w:szCs w:val="20"/>
        </w:rPr>
      </w:pPr>
    </w:p>
    <w:p w14:paraId="6BDCA49C" w14:textId="77777777" w:rsidR="004F3885" w:rsidRDefault="004F3885" w:rsidP="004F3885">
      <w:pPr>
        <w:pStyle w:val="Continued"/>
      </w:pPr>
      <w:r>
        <w:lastRenderedPageBreak/>
        <w:t>4</w:t>
      </w:r>
      <w:r>
        <w:tab/>
        <w:t>Critical Accounting Estimates, and Judgements in Applying Accounting Policies (Continued)</w:t>
      </w:r>
    </w:p>
    <w:p w14:paraId="2D99C4E2" w14:textId="0ABBC6D2" w:rsidR="004F3885" w:rsidRPr="004F3885" w:rsidRDefault="004F3885" w:rsidP="004F3885">
      <w:pPr>
        <w:widowControl w:val="0"/>
        <w:spacing w:before="200" w:after="200"/>
        <w:jc w:val="both"/>
        <w:rPr>
          <w:color w:val="000000"/>
          <w:sz w:val="20"/>
          <w:szCs w:val="20"/>
        </w:rPr>
      </w:pPr>
      <w:r w:rsidRPr="004F3885">
        <w:rPr>
          <w:color w:val="000000"/>
          <w:sz w:val="20"/>
          <w:szCs w:val="20"/>
        </w:rPr>
        <w:t>The Group used supportable forward-looking information for measurement of ECL, [primarily an outcome of its own macro-economic forecasting model]. The most significant forward-looking assumptions that correlate with ECL level and their assigned weights were as follows at 31 December 2024:</w:t>
      </w:r>
    </w:p>
    <w:tbl>
      <w:tblPr>
        <w:tblStyle w:val="a8"/>
        <w:tblW w:w="5000" w:type="pct"/>
        <w:tblLayout w:type="fixed"/>
        <w:tblLook w:val="0000" w:firstRow="0" w:lastRow="0" w:firstColumn="0" w:lastColumn="0" w:noHBand="0" w:noVBand="0"/>
      </w:tblPr>
      <w:tblGrid>
        <w:gridCol w:w="2125"/>
        <w:gridCol w:w="1274"/>
        <w:gridCol w:w="851"/>
        <w:gridCol w:w="1020"/>
        <w:gridCol w:w="1022"/>
        <w:gridCol w:w="1020"/>
        <w:gridCol w:w="1020"/>
        <w:gridCol w:w="1023"/>
      </w:tblGrid>
      <w:tr w:rsidR="004F3885" w14:paraId="37DDACE6" w14:textId="77777777" w:rsidTr="004F3885">
        <w:trPr>
          <w:trHeight w:val="23"/>
        </w:trPr>
        <w:tc>
          <w:tcPr>
            <w:tcW w:w="1136" w:type="pct"/>
            <w:vAlign w:val="bottom"/>
          </w:tcPr>
          <w:p w14:paraId="7F22EB0A" w14:textId="77777777" w:rsidR="004F3885" w:rsidRDefault="004F3885" w:rsidP="00C575E9">
            <w:pPr>
              <w:widowControl w:val="0"/>
              <w:pBdr>
                <w:top w:val="nil"/>
                <w:left w:val="nil"/>
                <w:bottom w:val="nil"/>
                <w:right w:val="nil"/>
                <w:between w:val="nil"/>
              </w:pBdr>
              <w:ind w:left="113" w:hanging="113"/>
              <w:rPr>
                <w:b/>
                <w:i/>
                <w:color w:val="000000"/>
              </w:rPr>
            </w:pPr>
          </w:p>
        </w:tc>
        <w:tc>
          <w:tcPr>
            <w:tcW w:w="681" w:type="pct"/>
          </w:tcPr>
          <w:p w14:paraId="799FCFC5" w14:textId="77777777" w:rsidR="004F3885" w:rsidRDefault="004F3885" w:rsidP="00C575E9">
            <w:pPr>
              <w:widowControl w:val="0"/>
              <w:pBdr>
                <w:top w:val="nil"/>
                <w:left w:val="nil"/>
                <w:bottom w:val="nil"/>
                <w:right w:val="nil"/>
                <w:between w:val="nil"/>
              </w:pBdr>
              <w:jc w:val="right"/>
              <w:rPr>
                <w:b/>
                <w:color w:val="000000"/>
              </w:rPr>
            </w:pPr>
          </w:p>
        </w:tc>
        <w:tc>
          <w:tcPr>
            <w:tcW w:w="455" w:type="pct"/>
            <w:vMerge w:val="restart"/>
          </w:tcPr>
          <w:p w14:paraId="02F2C36A" w14:textId="77777777" w:rsidR="004F3885" w:rsidRDefault="004F3885" w:rsidP="00C575E9">
            <w:pPr>
              <w:widowControl w:val="0"/>
              <w:pBdr>
                <w:top w:val="nil"/>
                <w:left w:val="nil"/>
                <w:bottom w:val="nil"/>
                <w:right w:val="nil"/>
                <w:between w:val="nil"/>
              </w:pBdr>
              <w:jc w:val="right"/>
              <w:rPr>
                <w:b/>
                <w:color w:val="000000"/>
              </w:rPr>
            </w:pPr>
            <w:r>
              <w:rPr>
                <w:b/>
                <w:color w:val="000000"/>
              </w:rPr>
              <w:t>Assi-gned weight</w:t>
            </w:r>
          </w:p>
        </w:tc>
        <w:tc>
          <w:tcPr>
            <w:tcW w:w="2728" w:type="pct"/>
            <w:gridSpan w:val="5"/>
            <w:tcBorders>
              <w:bottom w:val="single" w:sz="4" w:space="0" w:color="000000"/>
            </w:tcBorders>
          </w:tcPr>
          <w:p w14:paraId="363F5CF3" w14:textId="77777777" w:rsidR="004F3885" w:rsidRDefault="004F3885" w:rsidP="00C575E9">
            <w:pPr>
              <w:widowControl w:val="0"/>
              <w:pBdr>
                <w:top w:val="nil"/>
                <w:left w:val="nil"/>
                <w:bottom w:val="nil"/>
                <w:right w:val="nil"/>
                <w:between w:val="nil"/>
              </w:pBdr>
              <w:jc w:val="center"/>
              <w:rPr>
                <w:b/>
                <w:color w:val="000000"/>
              </w:rPr>
            </w:pPr>
            <w:r>
              <w:rPr>
                <w:b/>
                <w:color w:val="000000"/>
              </w:rPr>
              <w:t>Assumption for:</w:t>
            </w:r>
          </w:p>
        </w:tc>
      </w:tr>
      <w:tr w:rsidR="004F3885" w14:paraId="0B7BC8B6" w14:textId="77777777" w:rsidTr="004F3885">
        <w:trPr>
          <w:trHeight w:val="23"/>
        </w:trPr>
        <w:tc>
          <w:tcPr>
            <w:tcW w:w="1136" w:type="pct"/>
            <w:tcBorders>
              <w:bottom w:val="single" w:sz="4" w:space="0" w:color="000000"/>
            </w:tcBorders>
            <w:vAlign w:val="bottom"/>
          </w:tcPr>
          <w:p w14:paraId="4E3EBD22" w14:textId="77777777" w:rsidR="004F3885" w:rsidRDefault="004F3885" w:rsidP="004F3885">
            <w:pPr>
              <w:widowControl w:val="0"/>
              <w:pBdr>
                <w:top w:val="nil"/>
                <w:left w:val="nil"/>
                <w:bottom w:val="nil"/>
                <w:right w:val="nil"/>
                <w:between w:val="nil"/>
              </w:pBdr>
              <w:ind w:left="113" w:hanging="113"/>
              <w:rPr>
                <w:b/>
                <w:i/>
                <w:color w:val="000000"/>
              </w:rPr>
            </w:pPr>
            <w:r>
              <w:rPr>
                <w:b/>
                <w:i/>
                <w:color w:val="000000"/>
              </w:rPr>
              <w:t>Variable</w:t>
            </w:r>
          </w:p>
        </w:tc>
        <w:tc>
          <w:tcPr>
            <w:tcW w:w="681" w:type="pct"/>
            <w:tcBorders>
              <w:bottom w:val="single" w:sz="4" w:space="0" w:color="000000"/>
            </w:tcBorders>
          </w:tcPr>
          <w:p w14:paraId="57EAA96D" w14:textId="77777777" w:rsidR="004F3885" w:rsidRDefault="004F3885" w:rsidP="004F3885">
            <w:pPr>
              <w:widowControl w:val="0"/>
              <w:pBdr>
                <w:top w:val="nil"/>
                <w:left w:val="nil"/>
                <w:bottom w:val="nil"/>
                <w:right w:val="nil"/>
                <w:between w:val="nil"/>
              </w:pBdr>
              <w:jc w:val="right"/>
              <w:rPr>
                <w:b/>
                <w:color w:val="000000"/>
              </w:rPr>
            </w:pPr>
            <w:r>
              <w:rPr>
                <w:b/>
                <w:color w:val="000000"/>
              </w:rPr>
              <w:t>Scenario</w:t>
            </w:r>
          </w:p>
        </w:tc>
        <w:tc>
          <w:tcPr>
            <w:tcW w:w="455" w:type="pct"/>
            <w:vMerge/>
          </w:tcPr>
          <w:p w14:paraId="60729FE6" w14:textId="77777777" w:rsidR="004F3885" w:rsidRDefault="004F3885" w:rsidP="004F3885">
            <w:pPr>
              <w:widowControl w:val="0"/>
              <w:pBdr>
                <w:top w:val="nil"/>
                <w:left w:val="nil"/>
                <w:bottom w:val="nil"/>
                <w:right w:val="nil"/>
                <w:between w:val="nil"/>
              </w:pBdr>
              <w:rPr>
                <w:b/>
                <w:color w:val="000000"/>
              </w:rPr>
            </w:pPr>
          </w:p>
        </w:tc>
        <w:tc>
          <w:tcPr>
            <w:tcW w:w="545" w:type="pct"/>
            <w:tcBorders>
              <w:top w:val="single" w:sz="4" w:space="0" w:color="000000"/>
              <w:bottom w:val="single" w:sz="4" w:space="0" w:color="000000"/>
            </w:tcBorders>
          </w:tcPr>
          <w:p w14:paraId="286D2A93" w14:textId="4F207DCD" w:rsidR="004F3885" w:rsidRDefault="004F3885" w:rsidP="004F3885">
            <w:pPr>
              <w:widowControl w:val="0"/>
              <w:pBdr>
                <w:top w:val="nil"/>
                <w:left w:val="nil"/>
                <w:bottom w:val="nil"/>
                <w:right w:val="nil"/>
                <w:between w:val="nil"/>
              </w:pBdr>
              <w:jc w:val="right"/>
              <w:rPr>
                <w:b/>
                <w:color w:val="000000"/>
              </w:rPr>
            </w:pPr>
            <w:r>
              <w:rPr>
                <w:b/>
                <w:color w:val="000000"/>
              </w:rPr>
              <w:t>2024</w:t>
            </w:r>
          </w:p>
        </w:tc>
        <w:tc>
          <w:tcPr>
            <w:tcW w:w="546" w:type="pct"/>
            <w:tcBorders>
              <w:top w:val="single" w:sz="4" w:space="0" w:color="000000"/>
              <w:bottom w:val="single" w:sz="4" w:space="0" w:color="000000"/>
            </w:tcBorders>
          </w:tcPr>
          <w:p w14:paraId="7F071214" w14:textId="605B3C2E" w:rsidR="004F3885" w:rsidRDefault="004F3885" w:rsidP="004F3885">
            <w:pPr>
              <w:widowControl w:val="0"/>
              <w:pBdr>
                <w:top w:val="nil"/>
                <w:left w:val="nil"/>
                <w:bottom w:val="nil"/>
                <w:right w:val="nil"/>
                <w:between w:val="nil"/>
              </w:pBdr>
              <w:jc w:val="right"/>
              <w:rPr>
                <w:b/>
                <w:color w:val="000000"/>
              </w:rPr>
            </w:pPr>
          </w:p>
        </w:tc>
        <w:tc>
          <w:tcPr>
            <w:tcW w:w="545" w:type="pct"/>
            <w:tcBorders>
              <w:top w:val="single" w:sz="4" w:space="0" w:color="000000"/>
              <w:bottom w:val="single" w:sz="4" w:space="0" w:color="000000"/>
            </w:tcBorders>
          </w:tcPr>
          <w:p w14:paraId="4D4D90CF" w14:textId="547324E5" w:rsidR="004F3885" w:rsidRDefault="004F3885" w:rsidP="004F3885">
            <w:pPr>
              <w:widowControl w:val="0"/>
              <w:pBdr>
                <w:top w:val="nil"/>
                <w:left w:val="nil"/>
                <w:bottom w:val="nil"/>
                <w:right w:val="nil"/>
                <w:between w:val="nil"/>
              </w:pBdr>
              <w:jc w:val="right"/>
              <w:rPr>
                <w:b/>
                <w:color w:val="000000"/>
              </w:rPr>
            </w:pPr>
          </w:p>
        </w:tc>
        <w:tc>
          <w:tcPr>
            <w:tcW w:w="545" w:type="pct"/>
            <w:tcBorders>
              <w:top w:val="single" w:sz="4" w:space="0" w:color="000000"/>
              <w:bottom w:val="single" w:sz="4" w:space="0" w:color="000000"/>
            </w:tcBorders>
          </w:tcPr>
          <w:p w14:paraId="33B945AB" w14:textId="7FA0BCAD" w:rsidR="004F3885" w:rsidRDefault="004F3885" w:rsidP="004F3885">
            <w:pPr>
              <w:widowControl w:val="0"/>
              <w:pBdr>
                <w:top w:val="nil"/>
                <w:left w:val="nil"/>
                <w:bottom w:val="nil"/>
                <w:right w:val="nil"/>
                <w:between w:val="nil"/>
              </w:pBdr>
              <w:jc w:val="right"/>
              <w:rPr>
                <w:b/>
                <w:color w:val="000000"/>
              </w:rPr>
            </w:pPr>
          </w:p>
        </w:tc>
        <w:tc>
          <w:tcPr>
            <w:tcW w:w="546" w:type="pct"/>
            <w:tcBorders>
              <w:top w:val="single" w:sz="4" w:space="0" w:color="000000"/>
              <w:bottom w:val="single" w:sz="4" w:space="0" w:color="000000"/>
            </w:tcBorders>
          </w:tcPr>
          <w:p w14:paraId="65B27D3F" w14:textId="061C1D67" w:rsidR="004F3885" w:rsidRDefault="004F3885" w:rsidP="004F3885">
            <w:pPr>
              <w:widowControl w:val="0"/>
              <w:pBdr>
                <w:top w:val="nil"/>
                <w:left w:val="nil"/>
                <w:bottom w:val="nil"/>
                <w:right w:val="nil"/>
                <w:between w:val="nil"/>
              </w:pBdr>
              <w:jc w:val="right"/>
              <w:rPr>
                <w:b/>
                <w:color w:val="000000"/>
              </w:rPr>
            </w:pPr>
          </w:p>
        </w:tc>
      </w:tr>
      <w:tr w:rsidR="004F3885" w14:paraId="6321429D" w14:textId="77777777" w:rsidTr="004F3885">
        <w:trPr>
          <w:trHeight w:val="23"/>
        </w:trPr>
        <w:tc>
          <w:tcPr>
            <w:tcW w:w="1136" w:type="pct"/>
            <w:tcBorders>
              <w:top w:val="single" w:sz="4" w:space="0" w:color="000000"/>
            </w:tcBorders>
            <w:vAlign w:val="bottom"/>
          </w:tcPr>
          <w:p w14:paraId="26CF9408" w14:textId="77777777" w:rsidR="004F3885" w:rsidRDefault="004F3885" w:rsidP="004F3885">
            <w:pPr>
              <w:widowControl w:val="0"/>
              <w:ind w:left="113" w:hanging="113"/>
            </w:pPr>
          </w:p>
        </w:tc>
        <w:tc>
          <w:tcPr>
            <w:tcW w:w="681" w:type="pct"/>
            <w:tcBorders>
              <w:top w:val="single" w:sz="4" w:space="0" w:color="000000"/>
            </w:tcBorders>
          </w:tcPr>
          <w:p w14:paraId="046ECD4D" w14:textId="77777777" w:rsidR="004F3885" w:rsidRDefault="004F3885" w:rsidP="004F3885">
            <w:pPr>
              <w:widowControl w:val="0"/>
              <w:pBdr>
                <w:top w:val="nil"/>
                <w:left w:val="nil"/>
                <w:bottom w:val="nil"/>
                <w:right w:val="nil"/>
                <w:between w:val="nil"/>
              </w:pBdr>
              <w:rPr>
                <w:color w:val="000000"/>
              </w:rPr>
            </w:pPr>
          </w:p>
        </w:tc>
        <w:tc>
          <w:tcPr>
            <w:tcW w:w="455" w:type="pct"/>
            <w:tcBorders>
              <w:top w:val="single" w:sz="4" w:space="0" w:color="000000"/>
            </w:tcBorders>
            <w:vAlign w:val="bottom"/>
          </w:tcPr>
          <w:p w14:paraId="29C6C702" w14:textId="77777777" w:rsidR="004F3885" w:rsidRDefault="004F3885" w:rsidP="004F3885">
            <w:pPr>
              <w:widowControl w:val="0"/>
              <w:pBdr>
                <w:top w:val="nil"/>
                <w:left w:val="nil"/>
                <w:bottom w:val="nil"/>
                <w:right w:val="nil"/>
                <w:between w:val="nil"/>
              </w:pBdr>
              <w:rPr>
                <w:color w:val="000000"/>
              </w:rPr>
            </w:pPr>
          </w:p>
        </w:tc>
        <w:tc>
          <w:tcPr>
            <w:tcW w:w="545" w:type="pct"/>
            <w:tcBorders>
              <w:top w:val="single" w:sz="4" w:space="0" w:color="000000"/>
            </w:tcBorders>
            <w:vAlign w:val="bottom"/>
          </w:tcPr>
          <w:p w14:paraId="49CD6EDE" w14:textId="77777777" w:rsidR="004F3885" w:rsidRDefault="004F3885" w:rsidP="004F3885">
            <w:pPr>
              <w:widowControl w:val="0"/>
              <w:pBdr>
                <w:top w:val="nil"/>
                <w:left w:val="nil"/>
                <w:bottom w:val="nil"/>
                <w:right w:val="nil"/>
                <w:between w:val="nil"/>
              </w:pBdr>
              <w:rPr>
                <w:color w:val="000000"/>
              </w:rPr>
            </w:pPr>
          </w:p>
        </w:tc>
        <w:tc>
          <w:tcPr>
            <w:tcW w:w="546" w:type="pct"/>
            <w:tcBorders>
              <w:top w:val="single" w:sz="4" w:space="0" w:color="000000"/>
            </w:tcBorders>
            <w:vAlign w:val="bottom"/>
          </w:tcPr>
          <w:p w14:paraId="69231E00" w14:textId="77777777" w:rsidR="004F3885" w:rsidRDefault="004F3885" w:rsidP="004F3885">
            <w:pPr>
              <w:widowControl w:val="0"/>
              <w:pBdr>
                <w:top w:val="nil"/>
                <w:left w:val="nil"/>
                <w:bottom w:val="nil"/>
                <w:right w:val="nil"/>
                <w:between w:val="nil"/>
              </w:pBdr>
              <w:rPr>
                <w:color w:val="000000"/>
              </w:rPr>
            </w:pPr>
          </w:p>
        </w:tc>
        <w:tc>
          <w:tcPr>
            <w:tcW w:w="545" w:type="pct"/>
            <w:tcBorders>
              <w:top w:val="single" w:sz="4" w:space="0" w:color="000000"/>
            </w:tcBorders>
            <w:vAlign w:val="bottom"/>
          </w:tcPr>
          <w:p w14:paraId="0342E0A9" w14:textId="77777777" w:rsidR="004F3885" w:rsidRDefault="004F3885" w:rsidP="004F3885">
            <w:pPr>
              <w:widowControl w:val="0"/>
              <w:pBdr>
                <w:top w:val="nil"/>
                <w:left w:val="nil"/>
                <w:bottom w:val="nil"/>
                <w:right w:val="nil"/>
                <w:between w:val="nil"/>
              </w:pBdr>
              <w:rPr>
                <w:color w:val="000000"/>
              </w:rPr>
            </w:pPr>
          </w:p>
        </w:tc>
        <w:tc>
          <w:tcPr>
            <w:tcW w:w="545" w:type="pct"/>
            <w:tcBorders>
              <w:top w:val="single" w:sz="4" w:space="0" w:color="000000"/>
            </w:tcBorders>
            <w:vAlign w:val="bottom"/>
          </w:tcPr>
          <w:p w14:paraId="37B17422" w14:textId="77777777" w:rsidR="004F3885" w:rsidRDefault="004F3885" w:rsidP="004F3885">
            <w:pPr>
              <w:widowControl w:val="0"/>
              <w:pBdr>
                <w:top w:val="nil"/>
                <w:left w:val="nil"/>
                <w:bottom w:val="nil"/>
                <w:right w:val="nil"/>
                <w:between w:val="nil"/>
              </w:pBdr>
              <w:rPr>
                <w:color w:val="000000"/>
              </w:rPr>
            </w:pPr>
          </w:p>
        </w:tc>
        <w:tc>
          <w:tcPr>
            <w:tcW w:w="546" w:type="pct"/>
            <w:tcBorders>
              <w:top w:val="single" w:sz="4" w:space="0" w:color="000000"/>
            </w:tcBorders>
            <w:vAlign w:val="bottom"/>
          </w:tcPr>
          <w:p w14:paraId="2DC113CC" w14:textId="77777777" w:rsidR="004F3885" w:rsidRDefault="004F3885" w:rsidP="004F3885">
            <w:pPr>
              <w:widowControl w:val="0"/>
              <w:pBdr>
                <w:top w:val="nil"/>
                <w:left w:val="nil"/>
                <w:bottom w:val="nil"/>
                <w:right w:val="nil"/>
                <w:between w:val="nil"/>
              </w:pBdr>
              <w:rPr>
                <w:color w:val="000000"/>
              </w:rPr>
            </w:pPr>
          </w:p>
        </w:tc>
      </w:tr>
      <w:tr w:rsidR="004F3885" w14:paraId="3728FDB1" w14:textId="77777777" w:rsidTr="004F3885">
        <w:trPr>
          <w:trHeight w:val="23"/>
        </w:trPr>
        <w:tc>
          <w:tcPr>
            <w:tcW w:w="1136" w:type="pct"/>
            <w:vAlign w:val="bottom"/>
          </w:tcPr>
          <w:p w14:paraId="0E056225" w14:textId="4F29C4CB" w:rsidR="004F3885" w:rsidRDefault="004F3885" w:rsidP="004F3885">
            <w:pPr>
              <w:widowControl w:val="0"/>
              <w:ind w:left="113" w:hanging="113"/>
              <w:rPr>
                <w:b/>
                <w:color w:val="0000FF"/>
              </w:rPr>
            </w:pPr>
            <w:r>
              <w:rPr>
                <w:b/>
                <w:color w:val="0000FF"/>
              </w:rPr>
              <w:t>[Central bank base refinancing interest rate]</w:t>
            </w:r>
          </w:p>
        </w:tc>
        <w:tc>
          <w:tcPr>
            <w:tcW w:w="681" w:type="pct"/>
            <w:vAlign w:val="center"/>
          </w:tcPr>
          <w:p w14:paraId="7F92E880" w14:textId="77777777" w:rsidR="004F3885" w:rsidRDefault="004F3885" w:rsidP="004F3885">
            <w:pPr>
              <w:widowControl w:val="0"/>
              <w:pBdr>
                <w:top w:val="nil"/>
                <w:left w:val="nil"/>
                <w:bottom w:val="nil"/>
                <w:right w:val="nil"/>
                <w:between w:val="nil"/>
              </w:pBdr>
              <w:rPr>
                <w:color w:val="0000FF"/>
              </w:rPr>
            </w:pPr>
            <w:r>
              <w:rPr>
                <w:color w:val="0000FF"/>
              </w:rPr>
              <w:t>[Base]</w:t>
            </w:r>
          </w:p>
        </w:tc>
        <w:tc>
          <w:tcPr>
            <w:tcW w:w="455" w:type="pct"/>
            <w:vAlign w:val="center"/>
          </w:tcPr>
          <w:p w14:paraId="41EE6625" w14:textId="77777777" w:rsidR="004F3885" w:rsidRDefault="004F3885" w:rsidP="004F3885">
            <w:pPr>
              <w:widowControl w:val="0"/>
              <w:pBdr>
                <w:top w:val="nil"/>
                <w:left w:val="nil"/>
                <w:bottom w:val="nil"/>
                <w:right w:val="nil"/>
                <w:between w:val="nil"/>
              </w:pBdr>
              <w:jc w:val="right"/>
              <w:rPr>
                <w:color w:val="0000FF"/>
              </w:rPr>
            </w:pPr>
            <w:r>
              <w:rPr>
                <w:color w:val="0000FF"/>
              </w:rPr>
              <w:t>[60%]</w:t>
            </w:r>
          </w:p>
        </w:tc>
        <w:tc>
          <w:tcPr>
            <w:tcW w:w="545" w:type="pct"/>
            <w:vAlign w:val="center"/>
          </w:tcPr>
          <w:p w14:paraId="71D165A4" w14:textId="77777777" w:rsidR="004F3885" w:rsidRDefault="004F3885" w:rsidP="004F3885">
            <w:pPr>
              <w:widowControl w:val="0"/>
              <w:pBdr>
                <w:top w:val="nil"/>
                <w:left w:val="nil"/>
                <w:bottom w:val="nil"/>
                <w:right w:val="nil"/>
                <w:between w:val="nil"/>
              </w:pBdr>
              <w:jc w:val="right"/>
              <w:rPr>
                <w:color w:val="000000"/>
              </w:rPr>
            </w:pPr>
          </w:p>
        </w:tc>
        <w:tc>
          <w:tcPr>
            <w:tcW w:w="546" w:type="pct"/>
            <w:vAlign w:val="center"/>
          </w:tcPr>
          <w:p w14:paraId="09353A5E" w14:textId="77777777" w:rsidR="004F3885" w:rsidRDefault="004F3885" w:rsidP="004F3885">
            <w:pPr>
              <w:widowControl w:val="0"/>
              <w:pBdr>
                <w:top w:val="nil"/>
                <w:left w:val="nil"/>
                <w:bottom w:val="nil"/>
                <w:right w:val="nil"/>
                <w:between w:val="nil"/>
              </w:pBdr>
              <w:jc w:val="right"/>
              <w:rPr>
                <w:color w:val="000000"/>
              </w:rPr>
            </w:pPr>
          </w:p>
        </w:tc>
        <w:tc>
          <w:tcPr>
            <w:tcW w:w="545" w:type="pct"/>
            <w:vAlign w:val="center"/>
          </w:tcPr>
          <w:p w14:paraId="5A0CF04E" w14:textId="77777777" w:rsidR="004F3885" w:rsidRDefault="004F3885" w:rsidP="004F3885">
            <w:pPr>
              <w:widowControl w:val="0"/>
              <w:pBdr>
                <w:top w:val="nil"/>
                <w:left w:val="nil"/>
                <w:bottom w:val="nil"/>
                <w:right w:val="nil"/>
                <w:between w:val="nil"/>
              </w:pBdr>
              <w:jc w:val="right"/>
              <w:rPr>
                <w:color w:val="000000"/>
              </w:rPr>
            </w:pPr>
          </w:p>
        </w:tc>
        <w:tc>
          <w:tcPr>
            <w:tcW w:w="545" w:type="pct"/>
            <w:vAlign w:val="center"/>
          </w:tcPr>
          <w:p w14:paraId="3D6BB71A" w14:textId="77777777" w:rsidR="004F3885" w:rsidRDefault="004F3885" w:rsidP="004F3885">
            <w:pPr>
              <w:widowControl w:val="0"/>
              <w:pBdr>
                <w:top w:val="nil"/>
                <w:left w:val="nil"/>
                <w:bottom w:val="nil"/>
                <w:right w:val="nil"/>
                <w:between w:val="nil"/>
              </w:pBdr>
              <w:jc w:val="right"/>
              <w:rPr>
                <w:color w:val="000000"/>
              </w:rPr>
            </w:pPr>
          </w:p>
        </w:tc>
        <w:tc>
          <w:tcPr>
            <w:tcW w:w="546" w:type="pct"/>
            <w:vAlign w:val="center"/>
          </w:tcPr>
          <w:p w14:paraId="685C4752" w14:textId="77777777" w:rsidR="004F3885" w:rsidRDefault="004F3885" w:rsidP="004F3885">
            <w:pPr>
              <w:widowControl w:val="0"/>
              <w:pBdr>
                <w:top w:val="nil"/>
                <w:left w:val="nil"/>
                <w:bottom w:val="nil"/>
                <w:right w:val="nil"/>
                <w:between w:val="nil"/>
              </w:pBdr>
              <w:jc w:val="right"/>
              <w:rPr>
                <w:color w:val="000000"/>
              </w:rPr>
            </w:pPr>
          </w:p>
        </w:tc>
      </w:tr>
      <w:tr w:rsidR="004F3885" w14:paraId="2508FCD9" w14:textId="77777777" w:rsidTr="004F3885">
        <w:trPr>
          <w:trHeight w:val="23"/>
        </w:trPr>
        <w:tc>
          <w:tcPr>
            <w:tcW w:w="1136" w:type="pct"/>
            <w:vAlign w:val="bottom"/>
          </w:tcPr>
          <w:p w14:paraId="3A992E2B" w14:textId="77777777" w:rsidR="004F3885" w:rsidRDefault="004F3885" w:rsidP="004F3885">
            <w:pPr>
              <w:widowControl w:val="0"/>
              <w:ind w:left="113" w:hanging="113"/>
              <w:rPr>
                <w:color w:val="0000FF"/>
              </w:rPr>
            </w:pPr>
          </w:p>
        </w:tc>
        <w:tc>
          <w:tcPr>
            <w:tcW w:w="681" w:type="pct"/>
          </w:tcPr>
          <w:p w14:paraId="218CEA4F" w14:textId="77777777" w:rsidR="004F3885" w:rsidRDefault="004F3885" w:rsidP="004F3885">
            <w:pPr>
              <w:widowControl w:val="0"/>
              <w:pBdr>
                <w:top w:val="nil"/>
                <w:left w:val="nil"/>
                <w:bottom w:val="nil"/>
                <w:right w:val="nil"/>
                <w:between w:val="nil"/>
              </w:pBdr>
              <w:rPr>
                <w:color w:val="0000FF"/>
              </w:rPr>
            </w:pPr>
            <w:r>
              <w:rPr>
                <w:color w:val="0000FF"/>
              </w:rPr>
              <w:t>[Upside]</w:t>
            </w:r>
          </w:p>
        </w:tc>
        <w:tc>
          <w:tcPr>
            <w:tcW w:w="455" w:type="pct"/>
            <w:vAlign w:val="bottom"/>
          </w:tcPr>
          <w:p w14:paraId="3605A580" w14:textId="77777777" w:rsidR="004F3885" w:rsidRDefault="004F3885" w:rsidP="004F3885">
            <w:pPr>
              <w:widowControl w:val="0"/>
              <w:pBdr>
                <w:top w:val="nil"/>
                <w:left w:val="nil"/>
                <w:bottom w:val="nil"/>
                <w:right w:val="nil"/>
                <w:between w:val="nil"/>
              </w:pBdr>
              <w:jc w:val="right"/>
              <w:rPr>
                <w:color w:val="0000FF"/>
              </w:rPr>
            </w:pPr>
            <w:r>
              <w:rPr>
                <w:color w:val="0000FF"/>
              </w:rPr>
              <w:t>[10%]</w:t>
            </w:r>
          </w:p>
        </w:tc>
        <w:tc>
          <w:tcPr>
            <w:tcW w:w="545" w:type="pct"/>
            <w:vAlign w:val="bottom"/>
          </w:tcPr>
          <w:p w14:paraId="11AB004F"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6837A43F"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39A50504"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0ABE3529"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3E0A1D0B" w14:textId="77777777" w:rsidR="004F3885" w:rsidRDefault="004F3885" w:rsidP="004F3885">
            <w:pPr>
              <w:widowControl w:val="0"/>
              <w:pBdr>
                <w:top w:val="nil"/>
                <w:left w:val="nil"/>
                <w:bottom w:val="nil"/>
                <w:right w:val="nil"/>
                <w:between w:val="nil"/>
              </w:pBdr>
              <w:jc w:val="right"/>
              <w:rPr>
                <w:color w:val="000000"/>
              </w:rPr>
            </w:pPr>
          </w:p>
        </w:tc>
      </w:tr>
      <w:tr w:rsidR="004F3885" w14:paraId="5F18E92D" w14:textId="77777777" w:rsidTr="004F3885">
        <w:trPr>
          <w:trHeight w:val="23"/>
        </w:trPr>
        <w:tc>
          <w:tcPr>
            <w:tcW w:w="1136" w:type="pct"/>
            <w:vAlign w:val="bottom"/>
          </w:tcPr>
          <w:p w14:paraId="64D8E01B" w14:textId="77777777" w:rsidR="004F3885" w:rsidRDefault="004F3885" w:rsidP="004F3885">
            <w:pPr>
              <w:widowControl w:val="0"/>
              <w:ind w:left="113" w:hanging="113"/>
              <w:rPr>
                <w:color w:val="0000FF"/>
              </w:rPr>
            </w:pPr>
          </w:p>
        </w:tc>
        <w:tc>
          <w:tcPr>
            <w:tcW w:w="681" w:type="pct"/>
          </w:tcPr>
          <w:p w14:paraId="6F1A4C63" w14:textId="77777777" w:rsidR="004F3885" w:rsidRDefault="004F3885" w:rsidP="004F3885">
            <w:pPr>
              <w:widowControl w:val="0"/>
              <w:pBdr>
                <w:top w:val="nil"/>
                <w:left w:val="nil"/>
                <w:bottom w:val="nil"/>
                <w:right w:val="nil"/>
                <w:between w:val="nil"/>
              </w:pBdr>
              <w:rPr>
                <w:color w:val="0000FF"/>
              </w:rPr>
            </w:pPr>
            <w:r>
              <w:rPr>
                <w:color w:val="0000FF"/>
              </w:rPr>
              <w:t>[Downside 1]</w:t>
            </w:r>
          </w:p>
        </w:tc>
        <w:tc>
          <w:tcPr>
            <w:tcW w:w="455" w:type="pct"/>
            <w:vAlign w:val="bottom"/>
          </w:tcPr>
          <w:p w14:paraId="5EF17756" w14:textId="77777777" w:rsidR="004F3885" w:rsidRDefault="004F3885" w:rsidP="004F3885">
            <w:pPr>
              <w:widowControl w:val="0"/>
              <w:pBdr>
                <w:top w:val="nil"/>
                <w:left w:val="nil"/>
                <w:bottom w:val="nil"/>
                <w:right w:val="nil"/>
                <w:between w:val="nil"/>
              </w:pBdr>
              <w:jc w:val="right"/>
              <w:rPr>
                <w:color w:val="0000FF"/>
              </w:rPr>
            </w:pPr>
            <w:r>
              <w:rPr>
                <w:color w:val="0000FF"/>
              </w:rPr>
              <w:t>[20%]</w:t>
            </w:r>
          </w:p>
        </w:tc>
        <w:tc>
          <w:tcPr>
            <w:tcW w:w="545" w:type="pct"/>
            <w:vAlign w:val="bottom"/>
          </w:tcPr>
          <w:p w14:paraId="707C045E"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60C07A17"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5318AC6E"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749BDD43"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1A84435C" w14:textId="77777777" w:rsidR="004F3885" w:rsidRDefault="004F3885" w:rsidP="004F3885">
            <w:pPr>
              <w:widowControl w:val="0"/>
              <w:pBdr>
                <w:top w:val="nil"/>
                <w:left w:val="nil"/>
                <w:bottom w:val="nil"/>
                <w:right w:val="nil"/>
                <w:between w:val="nil"/>
              </w:pBdr>
              <w:jc w:val="right"/>
              <w:rPr>
                <w:color w:val="000000"/>
              </w:rPr>
            </w:pPr>
          </w:p>
        </w:tc>
      </w:tr>
      <w:tr w:rsidR="004F3885" w14:paraId="604732FF" w14:textId="77777777" w:rsidTr="004F3885">
        <w:trPr>
          <w:trHeight w:val="23"/>
        </w:trPr>
        <w:tc>
          <w:tcPr>
            <w:tcW w:w="1136" w:type="pct"/>
            <w:vAlign w:val="bottom"/>
          </w:tcPr>
          <w:p w14:paraId="59B64B7F" w14:textId="77777777" w:rsidR="004F3885" w:rsidRDefault="004F3885" w:rsidP="004F3885">
            <w:pPr>
              <w:widowControl w:val="0"/>
              <w:ind w:left="113" w:hanging="113"/>
              <w:rPr>
                <w:color w:val="0000FF"/>
              </w:rPr>
            </w:pPr>
          </w:p>
        </w:tc>
        <w:tc>
          <w:tcPr>
            <w:tcW w:w="681" w:type="pct"/>
          </w:tcPr>
          <w:p w14:paraId="417B3369" w14:textId="77777777" w:rsidR="004F3885" w:rsidRDefault="004F3885" w:rsidP="004F3885">
            <w:pPr>
              <w:widowControl w:val="0"/>
              <w:pBdr>
                <w:top w:val="nil"/>
                <w:left w:val="nil"/>
                <w:bottom w:val="nil"/>
                <w:right w:val="nil"/>
                <w:between w:val="nil"/>
              </w:pBdr>
              <w:rPr>
                <w:color w:val="0000FF"/>
              </w:rPr>
            </w:pPr>
            <w:r>
              <w:rPr>
                <w:color w:val="0000FF"/>
              </w:rPr>
              <w:t>[Downside 2]</w:t>
            </w:r>
          </w:p>
        </w:tc>
        <w:tc>
          <w:tcPr>
            <w:tcW w:w="455" w:type="pct"/>
            <w:vAlign w:val="bottom"/>
          </w:tcPr>
          <w:p w14:paraId="2E7008AE" w14:textId="77777777" w:rsidR="004F3885" w:rsidRDefault="004F3885" w:rsidP="004F3885">
            <w:pPr>
              <w:widowControl w:val="0"/>
              <w:pBdr>
                <w:top w:val="nil"/>
                <w:left w:val="nil"/>
                <w:bottom w:val="nil"/>
                <w:right w:val="nil"/>
                <w:between w:val="nil"/>
              </w:pBdr>
              <w:jc w:val="right"/>
              <w:rPr>
                <w:color w:val="0000FF"/>
              </w:rPr>
            </w:pPr>
            <w:r>
              <w:rPr>
                <w:color w:val="0000FF"/>
              </w:rPr>
              <w:t>[10%]</w:t>
            </w:r>
          </w:p>
        </w:tc>
        <w:tc>
          <w:tcPr>
            <w:tcW w:w="545" w:type="pct"/>
            <w:vAlign w:val="bottom"/>
          </w:tcPr>
          <w:p w14:paraId="1B09C445"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60BB425D"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0AEDC593"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5EC15F6F"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3B7706A8" w14:textId="77777777" w:rsidR="004F3885" w:rsidRDefault="004F3885" w:rsidP="004F3885">
            <w:pPr>
              <w:widowControl w:val="0"/>
              <w:pBdr>
                <w:top w:val="nil"/>
                <w:left w:val="nil"/>
                <w:bottom w:val="nil"/>
                <w:right w:val="nil"/>
                <w:between w:val="nil"/>
              </w:pBdr>
              <w:jc w:val="right"/>
              <w:rPr>
                <w:color w:val="000000"/>
              </w:rPr>
            </w:pPr>
          </w:p>
        </w:tc>
      </w:tr>
      <w:tr w:rsidR="004F3885" w14:paraId="0BA595AE" w14:textId="77777777" w:rsidTr="004F3885">
        <w:trPr>
          <w:trHeight w:val="23"/>
        </w:trPr>
        <w:tc>
          <w:tcPr>
            <w:tcW w:w="1136" w:type="pct"/>
            <w:vAlign w:val="bottom"/>
          </w:tcPr>
          <w:p w14:paraId="267C43EB" w14:textId="77777777" w:rsidR="004F3885" w:rsidRDefault="004F3885" w:rsidP="004F3885">
            <w:pPr>
              <w:widowControl w:val="0"/>
              <w:ind w:left="113" w:hanging="113"/>
              <w:rPr>
                <w:color w:val="0000FF"/>
              </w:rPr>
            </w:pPr>
          </w:p>
        </w:tc>
        <w:tc>
          <w:tcPr>
            <w:tcW w:w="681" w:type="pct"/>
          </w:tcPr>
          <w:p w14:paraId="08465BB3" w14:textId="77777777" w:rsidR="004F3885" w:rsidRDefault="004F3885" w:rsidP="004F3885">
            <w:pPr>
              <w:widowControl w:val="0"/>
              <w:pBdr>
                <w:top w:val="nil"/>
                <w:left w:val="nil"/>
                <w:bottom w:val="nil"/>
                <w:right w:val="nil"/>
                <w:between w:val="nil"/>
              </w:pBdr>
              <w:rPr>
                <w:color w:val="000000"/>
              </w:rPr>
            </w:pPr>
          </w:p>
        </w:tc>
        <w:tc>
          <w:tcPr>
            <w:tcW w:w="455" w:type="pct"/>
            <w:vAlign w:val="bottom"/>
          </w:tcPr>
          <w:p w14:paraId="0E38A6E4" w14:textId="77777777" w:rsidR="004F3885" w:rsidRDefault="004F3885" w:rsidP="004F3885">
            <w:pPr>
              <w:widowControl w:val="0"/>
              <w:pBdr>
                <w:top w:val="nil"/>
                <w:left w:val="nil"/>
                <w:bottom w:val="nil"/>
                <w:right w:val="nil"/>
                <w:between w:val="nil"/>
              </w:pBdr>
              <w:rPr>
                <w:color w:val="000000"/>
              </w:rPr>
            </w:pPr>
          </w:p>
        </w:tc>
        <w:tc>
          <w:tcPr>
            <w:tcW w:w="545" w:type="pct"/>
            <w:vAlign w:val="bottom"/>
          </w:tcPr>
          <w:p w14:paraId="2E672988"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46B122CB"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14909E2A"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0B1071A0"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10E3BBBA" w14:textId="77777777" w:rsidR="004F3885" w:rsidRDefault="004F3885" w:rsidP="004F3885">
            <w:pPr>
              <w:widowControl w:val="0"/>
              <w:pBdr>
                <w:top w:val="nil"/>
                <w:left w:val="nil"/>
                <w:bottom w:val="nil"/>
                <w:right w:val="nil"/>
                <w:between w:val="nil"/>
              </w:pBdr>
              <w:jc w:val="right"/>
              <w:rPr>
                <w:color w:val="000000"/>
              </w:rPr>
            </w:pPr>
          </w:p>
        </w:tc>
      </w:tr>
      <w:tr w:rsidR="004F3885" w14:paraId="283E1077" w14:textId="77777777" w:rsidTr="004F3885">
        <w:trPr>
          <w:trHeight w:val="23"/>
        </w:trPr>
        <w:tc>
          <w:tcPr>
            <w:tcW w:w="1136" w:type="pct"/>
            <w:vAlign w:val="bottom"/>
          </w:tcPr>
          <w:p w14:paraId="6A6BF625" w14:textId="77777777" w:rsidR="004F3885" w:rsidRDefault="004F3885" w:rsidP="004F3885">
            <w:pPr>
              <w:widowControl w:val="0"/>
              <w:ind w:left="113" w:hanging="113"/>
              <w:rPr>
                <w:b/>
                <w:color w:val="0000FF"/>
              </w:rPr>
            </w:pPr>
            <w:r>
              <w:rPr>
                <w:b/>
                <w:color w:val="0000FF"/>
              </w:rPr>
              <w:t>[Unemployment rate]</w:t>
            </w:r>
          </w:p>
        </w:tc>
        <w:tc>
          <w:tcPr>
            <w:tcW w:w="681" w:type="pct"/>
          </w:tcPr>
          <w:p w14:paraId="4ACEE3A6" w14:textId="77777777" w:rsidR="004F3885" w:rsidRDefault="004F3885" w:rsidP="004F3885">
            <w:pPr>
              <w:widowControl w:val="0"/>
              <w:pBdr>
                <w:top w:val="nil"/>
                <w:left w:val="nil"/>
                <w:bottom w:val="nil"/>
                <w:right w:val="nil"/>
                <w:between w:val="nil"/>
              </w:pBdr>
              <w:rPr>
                <w:color w:val="000000"/>
              </w:rPr>
            </w:pPr>
            <w:r>
              <w:rPr>
                <w:color w:val="0000FF"/>
              </w:rPr>
              <w:t>[Base]</w:t>
            </w:r>
          </w:p>
        </w:tc>
        <w:tc>
          <w:tcPr>
            <w:tcW w:w="455" w:type="pct"/>
            <w:vAlign w:val="bottom"/>
          </w:tcPr>
          <w:p w14:paraId="7E003AF5" w14:textId="77777777" w:rsidR="004F3885" w:rsidRDefault="004F3885" w:rsidP="004F3885">
            <w:pPr>
              <w:widowControl w:val="0"/>
              <w:pBdr>
                <w:top w:val="nil"/>
                <w:left w:val="nil"/>
                <w:bottom w:val="nil"/>
                <w:right w:val="nil"/>
                <w:between w:val="nil"/>
              </w:pBdr>
              <w:jc w:val="right"/>
              <w:rPr>
                <w:color w:val="000000"/>
              </w:rPr>
            </w:pPr>
            <w:r>
              <w:rPr>
                <w:color w:val="0000FF"/>
              </w:rPr>
              <w:t>[60%]</w:t>
            </w:r>
          </w:p>
        </w:tc>
        <w:tc>
          <w:tcPr>
            <w:tcW w:w="545" w:type="pct"/>
            <w:vAlign w:val="bottom"/>
          </w:tcPr>
          <w:p w14:paraId="69E2B92B"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39E6A3AD"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602203C1"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13F6F023"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03672D36" w14:textId="77777777" w:rsidR="004F3885" w:rsidRDefault="004F3885" w:rsidP="004F3885">
            <w:pPr>
              <w:widowControl w:val="0"/>
              <w:pBdr>
                <w:top w:val="nil"/>
                <w:left w:val="nil"/>
                <w:bottom w:val="nil"/>
                <w:right w:val="nil"/>
                <w:between w:val="nil"/>
              </w:pBdr>
              <w:jc w:val="right"/>
              <w:rPr>
                <w:color w:val="000000"/>
              </w:rPr>
            </w:pPr>
          </w:p>
        </w:tc>
      </w:tr>
      <w:tr w:rsidR="004F3885" w14:paraId="377EAC80" w14:textId="77777777" w:rsidTr="004F3885">
        <w:trPr>
          <w:trHeight w:val="23"/>
        </w:trPr>
        <w:tc>
          <w:tcPr>
            <w:tcW w:w="1136" w:type="pct"/>
            <w:vAlign w:val="bottom"/>
          </w:tcPr>
          <w:p w14:paraId="700A6045" w14:textId="77777777" w:rsidR="004F3885" w:rsidRDefault="004F3885" w:rsidP="004F3885">
            <w:pPr>
              <w:widowControl w:val="0"/>
              <w:ind w:left="113" w:hanging="113"/>
              <w:rPr>
                <w:color w:val="0000FF"/>
              </w:rPr>
            </w:pPr>
          </w:p>
        </w:tc>
        <w:tc>
          <w:tcPr>
            <w:tcW w:w="681" w:type="pct"/>
          </w:tcPr>
          <w:p w14:paraId="591C3C5D" w14:textId="77777777" w:rsidR="004F3885" w:rsidRDefault="004F3885" w:rsidP="004F3885">
            <w:pPr>
              <w:widowControl w:val="0"/>
              <w:pBdr>
                <w:top w:val="nil"/>
                <w:left w:val="nil"/>
                <w:bottom w:val="nil"/>
                <w:right w:val="nil"/>
                <w:between w:val="nil"/>
              </w:pBdr>
              <w:rPr>
                <w:color w:val="000000"/>
              </w:rPr>
            </w:pPr>
            <w:r>
              <w:rPr>
                <w:color w:val="0000FF"/>
              </w:rPr>
              <w:t>[Upside]</w:t>
            </w:r>
          </w:p>
        </w:tc>
        <w:tc>
          <w:tcPr>
            <w:tcW w:w="455" w:type="pct"/>
            <w:vAlign w:val="bottom"/>
          </w:tcPr>
          <w:p w14:paraId="2B449B05" w14:textId="77777777" w:rsidR="004F3885" w:rsidRDefault="004F3885" w:rsidP="004F3885">
            <w:pPr>
              <w:widowControl w:val="0"/>
              <w:pBdr>
                <w:top w:val="nil"/>
                <w:left w:val="nil"/>
                <w:bottom w:val="nil"/>
                <w:right w:val="nil"/>
                <w:between w:val="nil"/>
              </w:pBdr>
              <w:jc w:val="right"/>
              <w:rPr>
                <w:color w:val="000000"/>
              </w:rPr>
            </w:pPr>
            <w:r>
              <w:rPr>
                <w:color w:val="0000FF"/>
              </w:rPr>
              <w:t>[10%]</w:t>
            </w:r>
          </w:p>
        </w:tc>
        <w:tc>
          <w:tcPr>
            <w:tcW w:w="545" w:type="pct"/>
            <w:vAlign w:val="bottom"/>
          </w:tcPr>
          <w:p w14:paraId="01FBE37D"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3752EFA1"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03BFB655"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6CC27FE4"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7CB143B0" w14:textId="77777777" w:rsidR="004F3885" w:rsidRDefault="004F3885" w:rsidP="004F3885">
            <w:pPr>
              <w:widowControl w:val="0"/>
              <w:pBdr>
                <w:top w:val="nil"/>
                <w:left w:val="nil"/>
                <w:bottom w:val="nil"/>
                <w:right w:val="nil"/>
                <w:between w:val="nil"/>
              </w:pBdr>
              <w:jc w:val="right"/>
              <w:rPr>
                <w:color w:val="000000"/>
              </w:rPr>
            </w:pPr>
          </w:p>
        </w:tc>
      </w:tr>
      <w:tr w:rsidR="004F3885" w14:paraId="75B89B8A" w14:textId="77777777" w:rsidTr="004F3885">
        <w:trPr>
          <w:trHeight w:val="23"/>
        </w:trPr>
        <w:tc>
          <w:tcPr>
            <w:tcW w:w="1136" w:type="pct"/>
            <w:vAlign w:val="bottom"/>
          </w:tcPr>
          <w:p w14:paraId="11AC8431" w14:textId="77777777" w:rsidR="004F3885" w:rsidRDefault="004F3885" w:rsidP="004F3885">
            <w:pPr>
              <w:widowControl w:val="0"/>
              <w:ind w:left="113" w:hanging="113"/>
              <w:rPr>
                <w:color w:val="0000FF"/>
              </w:rPr>
            </w:pPr>
          </w:p>
        </w:tc>
        <w:tc>
          <w:tcPr>
            <w:tcW w:w="681" w:type="pct"/>
          </w:tcPr>
          <w:p w14:paraId="22580F8A" w14:textId="77777777" w:rsidR="004F3885" w:rsidRDefault="004F3885" w:rsidP="004F3885">
            <w:pPr>
              <w:widowControl w:val="0"/>
              <w:pBdr>
                <w:top w:val="nil"/>
                <w:left w:val="nil"/>
                <w:bottom w:val="nil"/>
                <w:right w:val="nil"/>
                <w:between w:val="nil"/>
              </w:pBdr>
              <w:rPr>
                <w:color w:val="000000"/>
              </w:rPr>
            </w:pPr>
            <w:r>
              <w:rPr>
                <w:color w:val="0000FF"/>
              </w:rPr>
              <w:t>[Downside 1]</w:t>
            </w:r>
          </w:p>
        </w:tc>
        <w:tc>
          <w:tcPr>
            <w:tcW w:w="455" w:type="pct"/>
            <w:vAlign w:val="bottom"/>
          </w:tcPr>
          <w:p w14:paraId="2758DC67" w14:textId="77777777" w:rsidR="004F3885" w:rsidRDefault="004F3885" w:rsidP="004F3885">
            <w:pPr>
              <w:widowControl w:val="0"/>
              <w:pBdr>
                <w:top w:val="nil"/>
                <w:left w:val="nil"/>
                <w:bottom w:val="nil"/>
                <w:right w:val="nil"/>
                <w:between w:val="nil"/>
              </w:pBdr>
              <w:jc w:val="right"/>
              <w:rPr>
                <w:color w:val="000000"/>
              </w:rPr>
            </w:pPr>
            <w:r>
              <w:rPr>
                <w:color w:val="0000FF"/>
              </w:rPr>
              <w:t>[20%]</w:t>
            </w:r>
          </w:p>
        </w:tc>
        <w:tc>
          <w:tcPr>
            <w:tcW w:w="545" w:type="pct"/>
            <w:vAlign w:val="bottom"/>
          </w:tcPr>
          <w:p w14:paraId="170C28E6"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4889ABFD"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6497D7BC"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303C246F"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0E4E87B3" w14:textId="77777777" w:rsidR="004F3885" w:rsidRDefault="004F3885" w:rsidP="004F3885">
            <w:pPr>
              <w:widowControl w:val="0"/>
              <w:pBdr>
                <w:top w:val="nil"/>
                <w:left w:val="nil"/>
                <w:bottom w:val="nil"/>
                <w:right w:val="nil"/>
                <w:between w:val="nil"/>
              </w:pBdr>
              <w:jc w:val="right"/>
              <w:rPr>
                <w:color w:val="000000"/>
              </w:rPr>
            </w:pPr>
          </w:p>
        </w:tc>
      </w:tr>
      <w:tr w:rsidR="004F3885" w14:paraId="0D434A22" w14:textId="77777777" w:rsidTr="004F3885">
        <w:trPr>
          <w:trHeight w:val="23"/>
        </w:trPr>
        <w:tc>
          <w:tcPr>
            <w:tcW w:w="1136" w:type="pct"/>
            <w:vAlign w:val="bottom"/>
          </w:tcPr>
          <w:p w14:paraId="46340235" w14:textId="77777777" w:rsidR="004F3885" w:rsidRDefault="004F3885" w:rsidP="004F3885">
            <w:pPr>
              <w:widowControl w:val="0"/>
              <w:ind w:left="113" w:hanging="113"/>
              <w:rPr>
                <w:color w:val="0000FF"/>
              </w:rPr>
            </w:pPr>
          </w:p>
        </w:tc>
        <w:tc>
          <w:tcPr>
            <w:tcW w:w="681" w:type="pct"/>
          </w:tcPr>
          <w:p w14:paraId="54457582" w14:textId="77777777" w:rsidR="004F3885" w:rsidRDefault="004F3885" w:rsidP="004F3885">
            <w:pPr>
              <w:widowControl w:val="0"/>
              <w:pBdr>
                <w:top w:val="nil"/>
                <w:left w:val="nil"/>
                <w:bottom w:val="nil"/>
                <w:right w:val="nil"/>
                <w:between w:val="nil"/>
              </w:pBdr>
              <w:rPr>
                <w:color w:val="000000"/>
              </w:rPr>
            </w:pPr>
            <w:r>
              <w:rPr>
                <w:color w:val="0000FF"/>
              </w:rPr>
              <w:t>[Downside 2]</w:t>
            </w:r>
          </w:p>
        </w:tc>
        <w:tc>
          <w:tcPr>
            <w:tcW w:w="455" w:type="pct"/>
            <w:vAlign w:val="bottom"/>
          </w:tcPr>
          <w:p w14:paraId="07B9D64B" w14:textId="77777777" w:rsidR="004F3885" w:rsidRDefault="004F3885" w:rsidP="004F3885">
            <w:pPr>
              <w:widowControl w:val="0"/>
              <w:pBdr>
                <w:top w:val="nil"/>
                <w:left w:val="nil"/>
                <w:bottom w:val="nil"/>
                <w:right w:val="nil"/>
                <w:between w:val="nil"/>
              </w:pBdr>
              <w:jc w:val="right"/>
              <w:rPr>
                <w:color w:val="000000"/>
              </w:rPr>
            </w:pPr>
            <w:r>
              <w:rPr>
                <w:color w:val="0000FF"/>
              </w:rPr>
              <w:t>[10%]</w:t>
            </w:r>
          </w:p>
        </w:tc>
        <w:tc>
          <w:tcPr>
            <w:tcW w:w="545" w:type="pct"/>
            <w:vAlign w:val="bottom"/>
          </w:tcPr>
          <w:p w14:paraId="7F5EBB75"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704A6AE4"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71F3A28A"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2AAF6FC3"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275F4769" w14:textId="77777777" w:rsidR="004F3885" w:rsidRDefault="004F3885" w:rsidP="004F3885">
            <w:pPr>
              <w:widowControl w:val="0"/>
              <w:pBdr>
                <w:top w:val="nil"/>
                <w:left w:val="nil"/>
                <w:bottom w:val="nil"/>
                <w:right w:val="nil"/>
                <w:between w:val="nil"/>
              </w:pBdr>
              <w:jc w:val="right"/>
              <w:rPr>
                <w:color w:val="000000"/>
              </w:rPr>
            </w:pPr>
          </w:p>
        </w:tc>
      </w:tr>
      <w:tr w:rsidR="004F3885" w14:paraId="748FB2B8" w14:textId="77777777" w:rsidTr="004F3885">
        <w:trPr>
          <w:trHeight w:val="23"/>
        </w:trPr>
        <w:tc>
          <w:tcPr>
            <w:tcW w:w="1136" w:type="pct"/>
            <w:vAlign w:val="bottom"/>
          </w:tcPr>
          <w:p w14:paraId="697FBCA9" w14:textId="77777777" w:rsidR="004F3885" w:rsidRDefault="004F3885" w:rsidP="004F3885">
            <w:pPr>
              <w:widowControl w:val="0"/>
              <w:ind w:left="113" w:hanging="113"/>
              <w:rPr>
                <w:color w:val="0000FF"/>
              </w:rPr>
            </w:pPr>
          </w:p>
        </w:tc>
        <w:tc>
          <w:tcPr>
            <w:tcW w:w="681" w:type="pct"/>
          </w:tcPr>
          <w:p w14:paraId="64759614" w14:textId="77777777" w:rsidR="004F3885" w:rsidRDefault="004F3885" w:rsidP="004F3885">
            <w:pPr>
              <w:widowControl w:val="0"/>
              <w:pBdr>
                <w:top w:val="nil"/>
                <w:left w:val="nil"/>
                <w:bottom w:val="nil"/>
                <w:right w:val="nil"/>
                <w:between w:val="nil"/>
              </w:pBdr>
              <w:rPr>
                <w:color w:val="000000"/>
              </w:rPr>
            </w:pPr>
          </w:p>
        </w:tc>
        <w:tc>
          <w:tcPr>
            <w:tcW w:w="455" w:type="pct"/>
            <w:vAlign w:val="bottom"/>
          </w:tcPr>
          <w:p w14:paraId="0E0B72AE" w14:textId="77777777" w:rsidR="004F3885" w:rsidRDefault="004F3885" w:rsidP="004F3885">
            <w:pPr>
              <w:widowControl w:val="0"/>
              <w:pBdr>
                <w:top w:val="nil"/>
                <w:left w:val="nil"/>
                <w:bottom w:val="nil"/>
                <w:right w:val="nil"/>
                <w:between w:val="nil"/>
              </w:pBdr>
              <w:rPr>
                <w:color w:val="000000"/>
              </w:rPr>
            </w:pPr>
          </w:p>
        </w:tc>
        <w:tc>
          <w:tcPr>
            <w:tcW w:w="545" w:type="pct"/>
            <w:vAlign w:val="bottom"/>
          </w:tcPr>
          <w:p w14:paraId="683B48E3"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456817D6"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456751BF"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27B7E088"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542D9A92" w14:textId="77777777" w:rsidR="004F3885" w:rsidRDefault="004F3885" w:rsidP="004F3885">
            <w:pPr>
              <w:widowControl w:val="0"/>
              <w:pBdr>
                <w:top w:val="nil"/>
                <w:left w:val="nil"/>
                <w:bottom w:val="nil"/>
                <w:right w:val="nil"/>
                <w:between w:val="nil"/>
              </w:pBdr>
              <w:jc w:val="right"/>
              <w:rPr>
                <w:color w:val="000000"/>
              </w:rPr>
            </w:pPr>
          </w:p>
        </w:tc>
      </w:tr>
      <w:tr w:rsidR="004F3885" w14:paraId="71950D82" w14:textId="77777777" w:rsidTr="004F3885">
        <w:trPr>
          <w:trHeight w:val="23"/>
        </w:trPr>
        <w:tc>
          <w:tcPr>
            <w:tcW w:w="1136" w:type="pct"/>
            <w:vAlign w:val="bottom"/>
          </w:tcPr>
          <w:p w14:paraId="47C83B53" w14:textId="77777777" w:rsidR="004F3885" w:rsidRDefault="004F3885" w:rsidP="004F3885">
            <w:pPr>
              <w:widowControl w:val="0"/>
              <w:ind w:left="113" w:hanging="113"/>
              <w:rPr>
                <w:b/>
                <w:color w:val="0000FF"/>
              </w:rPr>
            </w:pPr>
            <w:r>
              <w:rPr>
                <w:b/>
                <w:color w:val="0000FF"/>
              </w:rPr>
              <w:t>[GDP Growth rate]</w:t>
            </w:r>
          </w:p>
        </w:tc>
        <w:tc>
          <w:tcPr>
            <w:tcW w:w="681" w:type="pct"/>
          </w:tcPr>
          <w:p w14:paraId="6798AA01" w14:textId="77777777" w:rsidR="004F3885" w:rsidRDefault="004F3885" w:rsidP="004F3885">
            <w:pPr>
              <w:widowControl w:val="0"/>
              <w:pBdr>
                <w:top w:val="nil"/>
                <w:left w:val="nil"/>
                <w:bottom w:val="nil"/>
                <w:right w:val="nil"/>
                <w:between w:val="nil"/>
              </w:pBdr>
              <w:rPr>
                <w:color w:val="000000"/>
              </w:rPr>
            </w:pPr>
            <w:r>
              <w:rPr>
                <w:color w:val="0000FF"/>
              </w:rPr>
              <w:t>[Base]</w:t>
            </w:r>
          </w:p>
        </w:tc>
        <w:tc>
          <w:tcPr>
            <w:tcW w:w="455" w:type="pct"/>
            <w:vAlign w:val="bottom"/>
          </w:tcPr>
          <w:p w14:paraId="66BED3CF" w14:textId="77777777" w:rsidR="004F3885" w:rsidRDefault="004F3885" w:rsidP="004F3885">
            <w:pPr>
              <w:widowControl w:val="0"/>
              <w:pBdr>
                <w:top w:val="nil"/>
                <w:left w:val="nil"/>
                <w:bottom w:val="nil"/>
                <w:right w:val="nil"/>
                <w:between w:val="nil"/>
              </w:pBdr>
              <w:jc w:val="right"/>
              <w:rPr>
                <w:color w:val="000000"/>
              </w:rPr>
            </w:pPr>
            <w:r>
              <w:rPr>
                <w:color w:val="0000FF"/>
              </w:rPr>
              <w:t>[60%]</w:t>
            </w:r>
          </w:p>
        </w:tc>
        <w:tc>
          <w:tcPr>
            <w:tcW w:w="545" w:type="pct"/>
            <w:vAlign w:val="bottom"/>
          </w:tcPr>
          <w:p w14:paraId="41D0982C"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7A6AA001"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67894644"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18597AF1"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3BCE3A08" w14:textId="77777777" w:rsidR="004F3885" w:rsidRDefault="004F3885" w:rsidP="004F3885">
            <w:pPr>
              <w:widowControl w:val="0"/>
              <w:pBdr>
                <w:top w:val="nil"/>
                <w:left w:val="nil"/>
                <w:bottom w:val="nil"/>
                <w:right w:val="nil"/>
                <w:between w:val="nil"/>
              </w:pBdr>
              <w:jc w:val="right"/>
              <w:rPr>
                <w:color w:val="000000"/>
              </w:rPr>
            </w:pPr>
          </w:p>
        </w:tc>
      </w:tr>
      <w:tr w:rsidR="004F3885" w14:paraId="5A3FCABF" w14:textId="77777777" w:rsidTr="004F3885">
        <w:trPr>
          <w:trHeight w:val="23"/>
        </w:trPr>
        <w:tc>
          <w:tcPr>
            <w:tcW w:w="1136" w:type="pct"/>
            <w:vAlign w:val="bottom"/>
          </w:tcPr>
          <w:p w14:paraId="7E3434CD" w14:textId="77777777" w:rsidR="004F3885" w:rsidRDefault="004F3885" w:rsidP="004F3885">
            <w:pPr>
              <w:widowControl w:val="0"/>
              <w:ind w:left="113" w:hanging="113"/>
              <w:rPr>
                <w:color w:val="0000FF"/>
              </w:rPr>
            </w:pPr>
          </w:p>
        </w:tc>
        <w:tc>
          <w:tcPr>
            <w:tcW w:w="681" w:type="pct"/>
          </w:tcPr>
          <w:p w14:paraId="33DA90FD" w14:textId="77777777" w:rsidR="004F3885" w:rsidRDefault="004F3885" w:rsidP="004F3885">
            <w:pPr>
              <w:widowControl w:val="0"/>
              <w:pBdr>
                <w:top w:val="nil"/>
                <w:left w:val="nil"/>
                <w:bottom w:val="nil"/>
                <w:right w:val="nil"/>
                <w:between w:val="nil"/>
              </w:pBdr>
              <w:rPr>
                <w:color w:val="000000"/>
              </w:rPr>
            </w:pPr>
            <w:r>
              <w:rPr>
                <w:color w:val="0000FF"/>
              </w:rPr>
              <w:t>[Upside]</w:t>
            </w:r>
          </w:p>
        </w:tc>
        <w:tc>
          <w:tcPr>
            <w:tcW w:w="455" w:type="pct"/>
            <w:vAlign w:val="bottom"/>
          </w:tcPr>
          <w:p w14:paraId="62F8FEC4" w14:textId="77777777" w:rsidR="004F3885" w:rsidRDefault="004F3885" w:rsidP="004F3885">
            <w:pPr>
              <w:widowControl w:val="0"/>
              <w:pBdr>
                <w:top w:val="nil"/>
                <w:left w:val="nil"/>
                <w:bottom w:val="nil"/>
                <w:right w:val="nil"/>
                <w:between w:val="nil"/>
              </w:pBdr>
              <w:jc w:val="right"/>
              <w:rPr>
                <w:color w:val="000000"/>
              </w:rPr>
            </w:pPr>
            <w:r>
              <w:rPr>
                <w:color w:val="0000FF"/>
              </w:rPr>
              <w:t>[10%]</w:t>
            </w:r>
          </w:p>
        </w:tc>
        <w:tc>
          <w:tcPr>
            <w:tcW w:w="545" w:type="pct"/>
            <w:vAlign w:val="bottom"/>
          </w:tcPr>
          <w:p w14:paraId="0552A2A3"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4E35FD3D"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0840E594"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3CB41F21"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651B0FF3" w14:textId="77777777" w:rsidR="004F3885" w:rsidRDefault="004F3885" w:rsidP="004F3885">
            <w:pPr>
              <w:widowControl w:val="0"/>
              <w:pBdr>
                <w:top w:val="nil"/>
                <w:left w:val="nil"/>
                <w:bottom w:val="nil"/>
                <w:right w:val="nil"/>
                <w:between w:val="nil"/>
              </w:pBdr>
              <w:jc w:val="right"/>
              <w:rPr>
                <w:color w:val="000000"/>
              </w:rPr>
            </w:pPr>
          </w:p>
        </w:tc>
      </w:tr>
      <w:tr w:rsidR="004F3885" w14:paraId="29B1D2E2" w14:textId="77777777" w:rsidTr="004F3885">
        <w:trPr>
          <w:trHeight w:val="23"/>
        </w:trPr>
        <w:tc>
          <w:tcPr>
            <w:tcW w:w="1136" w:type="pct"/>
            <w:vAlign w:val="bottom"/>
          </w:tcPr>
          <w:p w14:paraId="5C51E9AF" w14:textId="77777777" w:rsidR="004F3885" w:rsidRDefault="004F3885" w:rsidP="004F3885">
            <w:pPr>
              <w:widowControl w:val="0"/>
              <w:ind w:left="113" w:hanging="113"/>
              <w:rPr>
                <w:color w:val="0000FF"/>
              </w:rPr>
            </w:pPr>
          </w:p>
        </w:tc>
        <w:tc>
          <w:tcPr>
            <w:tcW w:w="681" w:type="pct"/>
          </w:tcPr>
          <w:p w14:paraId="4D7ED8C8" w14:textId="77777777" w:rsidR="004F3885" w:rsidRDefault="004F3885" w:rsidP="004F3885">
            <w:pPr>
              <w:widowControl w:val="0"/>
              <w:pBdr>
                <w:top w:val="nil"/>
                <w:left w:val="nil"/>
                <w:bottom w:val="nil"/>
                <w:right w:val="nil"/>
                <w:between w:val="nil"/>
              </w:pBdr>
              <w:rPr>
                <w:color w:val="000000"/>
              </w:rPr>
            </w:pPr>
            <w:r>
              <w:rPr>
                <w:color w:val="0000FF"/>
              </w:rPr>
              <w:t>[Downside 1]</w:t>
            </w:r>
          </w:p>
        </w:tc>
        <w:tc>
          <w:tcPr>
            <w:tcW w:w="455" w:type="pct"/>
            <w:vAlign w:val="bottom"/>
          </w:tcPr>
          <w:p w14:paraId="164F5450" w14:textId="77777777" w:rsidR="004F3885" w:rsidRDefault="004F3885" w:rsidP="004F3885">
            <w:pPr>
              <w:widowControl w:val="0"/>
              <w:pBdr>
                <w:top w:val="nil"/>
                <w:left w:val="nil"/>
                <w:bottom w:val="nil"/>
                <w:right w:val="nil"/>
                <w:between w:val="nil"/>
              </w:pBdr>
              <w:jc w:val="right"/>
              <w:rPr>
                <w:color w:val="000000"/>
              </w:rPr>
            </w:pPr>
            <w:r>
              <w:rPr>
                <w:color w:val="0000FF"/>
              </w:rPr>
              <w:t>[20%]</w:t>
            </w:r>
          </w:p>
        </w:tc>
        <w:tc>
          <w:tcPr>
            <w:tcW w:w="545" w:type="pct"/>
            <w:vAlign w:val="bottom"/>
          </w:tcPr>
          <w:p w14:paraId="7C624ADD"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61DEFD44"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42A6F2A5"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19B76EB9"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2D1F6D53" w14:textId="77777777" w:rsidR="004F3885" w:rsidRDefault="004F3885" w:rsidP="004F3885">
            <w:pPr>
              <w:widowControl w:val="0"/>
              <w:pBdr>
                <w:top w:val="nil"/>
                <w:left w:val="nil"/>
                <w:bottom w:val="nil"/>
                <w:right w:val="nil"/>
                <w:between w:val="nil"/>
              </w:pBdr>
              <w:jc w:val="right"/>
              <w:rPr>
                <w:color w:val="000000"/>
              </w:rPr>
            </w:pPr>
          </w:p>
        </w:tc>
      </w:tr>
      <w:tr w:rsidR="004F3885" w14:paraId="1892407D" w14:textId="77777777" w:rsidTr="004F3885">
        <w:trPr>
          <w:trHeight w:val="23"/>
        </w:trPr>
        <w:tc>
          <w:tcPr>
            <w:tcW w:w="1136" w:type="pct"/>
            <w:vAlign w:val="bottom"/>
          </w:tcPr>
          <w:p w14:paraId="25F3F7C1" w14:textId="77777777" w:rsidR="004F3885" w:rsidRDefault="004F3885" w:rsidP="004F3885">
            <w:pPr>
              <w:widowControl w:val="0"/>
              <w:ind w:left="113" w:hanging="113"/>
              <w:rPr>
                <w:color w:val="0000FF"/>
              </w:rPr>
            </w:pPr>
          </w:p>
        </w:tc>
        <w:tc>
          <w:tcPr>
            <w:tcW w:w="681" w:type="pct"/>
          </w:tcPr>
          <w:p w14:paraId="1B745DD0" w14:textId="77777777" w:rsidR="004F3885" w:rsidRDefault="004F3885" w:rsidP="004F3885">
            <w:pPr>
              <w:widowControl w:val="0"/>
              <w:pBdr>
                <w:top w:val="nil"/>
                <w:left w:val="nil"/>
                <w:bottom w:val="nil"/>
                <w:right w:val="nil"/>
                <w:between w:val="nil"/>
              </w:pBdr>
              <w:rPr>
                <w:color w:val="000000"/>
              </w:rPr>
            </w:pPr>
            <w:r>
              <w:rPr>
                <w:color w:val="0000FF"/>
              </w:rPr>
              <w:t>[Downside 2]</w:t>
            </w:r>
          </w:p>
        </w:tc>
        <w:tc>
          <w:tcPr>
            <w:tcW w:w="455" w:type="pct"/>
            <w:vAlign w:val="bottom"/>
          </w:tcPr>
          <w:p w14:paraId="5A3FBEF7" w14:textId="77777777" w:rsidR="004F3885" w:rsidRDefault="004F3885" w:rsidP="004F3885">
            <w:pPr>
              <w:widowControl w:val="0"/>
              <w:pBdr>
                <w:top w:val="nil"/>
                <w:left w:val="nil"/>
                <w:bottom w:val="nil"/>
                <w:right w:val="nil"/>
                <w:between w:val="nil"/>
              </w:pBdr>
              <w:jc w:val="right"/>
              <w:rPr>
                <w:color w:val="000000"/>
              </w:rPr>
            </w:pPr>
            <w:r>
              <w:rPr>
                <w:color w:val="0000FF"/>
              </w:rPr>
              <w:t>[10%]</w:t>
            </w:r>
          </w:p>
        </w:tc>
        <w:tc>
          <w:tcPr>
            <w:tcW w:w="545" w:type="pct"/>
            <w:vAlign w:val="bottom"/>
          </w:tcPr>
          <w:p w14:paraId="5A8DF1BB"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127F7145"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3E2931D8"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4D69F3C6"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74B9D7A1" w14:textId="77777777" w:rsidR="004F3885" w:rsidRDefault="004F3885" w:rsidP="004F3885">
            <w:pPr>
              <w:widowControl w:val="0"/>
              <w:pBdr>
                <w:top w:val="nil"/>
                <w:left w:val="nil"/>
                <w:bottom w:val="nil"/>
                <w:right w:val="nil"/>
                <w:between w:val="nil"/>
              </w:pBdr>
              <w:jc w:val="right"/>
              <w:rPr>
                <w:color w:val="000000"/>
              </w:rPr>
            </w:pPr>
          </w:p>
        </w:tc>
      </w:tr>
      <w:tr w:rsidR="004F3885" w14:paraId="4EA47645" w14:textId="77777777" w:rsidTr="004F3885">
        <w:trPr>
          <w:trHeight w:val="23"/>
        </w:trPr>
        <w:tc>
          <w:tcPr>
            <w:tcW w:w="1136" w:type="pct"/>
            <w:vAlign w:val="bottom"/>
          </w:tcPr>
          <w:p w14:paraId="3DC0BEC5" w14:textId="77777777" w:rsidR="004F3885" w:rsidRDefault="004F3885" w:rsidP="004F3885">
            <w:pPr>
              <w:widowControl w:val="0"/>
              <w:ind w:left="113" w:hanging="113"/>
              <w:rPr>
                <w:color w:val="0000FF"/>
              </w:rPr>
            </w:pPr>
          </w:p>
        </w:tc>
        <w:tc>
          <w:tcPr>
            <w:tcW w:w="681" w:type="pct"/>
          </w:tcPr>
          <w:p w14:paraId="266370B9" w14:textId="77777777" w:rsidR="004F3885" w:rsidRDefault="004F3885" w:rsidP="004F3885">
            <w:pPr>
              <w:widowControl w:val="0"/>
              <w:pBdr>
                <w:top w:val="nil"/>
                <w:left w:val="nil"/>
                <w:bottom w:val="nil"/>
                <w:right w:val="nil"/>
                <w:between w:val="nil"/>
              </w:pBdr>
              <w:rPr>
                <w:color w:val="000000"/>
              </w:rPr>
            </w:pPr>
          </w:p>
        </w:tc>
        <w:tc>
          <w:tcPr>
            <w:tcW w:w="455" w:type="pct"/>
            <w:vAlign w:val="bottom"/>
          </w:tcPr>
          <w:p w14:paraId="4FE824ED" w14:textId="77777777" w:rsidR="004F3885" w:rsidRDefault="004F3885" w:rsidP="004F3885">
            <w:pPr>
              <w:widowControl w:val="0"/>
              <w:pBdr>
                <w:top w:val="nil"/>
                <w:left w:val="nil"/>
                <w:bottom w:val="nil"/>
                <w:right w:val="nil"/>
                <w:between w:val="nil"/>
              </w:pBdr>
              <w:rPr>
                <w:color w:val="000000"/>
              </w:rPr>
            </w:pPr>
          </w:p>
        </w:tc>
        <w:tc>
          <w:tcPr>
            <w:tcW w:w="545" w:type="pct"/>
            <w:vAlign w:val="bottom"/>
          </w:tcPr>
          <w:p w14:paraId="17DD6906"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2412C540"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7F25F952"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6EDAAD28"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5631C6CC" w14:textId="77777777" w:rsidR="004F3885" w:rsidRDefault="004F3885" w:rsidP="004F3885">
            <w:pPr>
              <w:widowControl w:val="0"/>
              <w:pBdr>
                <w:top w:val="nil"/>
                <w:left w:val="nil"/>
                <w:bottom w:val="nil"/>
                <w:right w:val="nil"/>
                <w:between w:val="nil"/>
              </w:pBdr>
              <w:jc w:val="right"/>
              <w:rPr>
                <w:color w:val="000000"/>
              </w:rPr>
            </w:pPr>
          </w:p>
        </w:tc>
      </w:tr>
      <w:tr w:rsidR="004F3885" w14:paraId="0B037409" w14:textId="77777777" w:rsidTr="004F3885">
        <w:trPr>
          <w:trHeight w:val="23"/>
        </w:trPr>
        <w:tc>
          <w:tcPr>
            <w:tcW w:w="1136" w:type="pct"/>
            <w:vAlign w:val="bottom"/>
          </w:tcPr>
          <w:p w14:paraId="165A2011" w14:textId="77777777" w:rsidR="004F3885" w:rsidRDefault="004F3885" w:rsidP="004F3885">
            <w:pPr>
              <w:widowControl w:val="0"/>
              <w:ind w:left="113" w:hanging="113"/>
              <w:rPr>
                <w:b/>
                <w:color w:val="0000FF"/>
              </w:rPr>
            </w:pPr>
            <w:r>
              <w:rPr>
                <w:b/>
                <w:color w:val="0000FF"/>
              </w:rPr>
              <w:t>[House price index]</w:t>
            </w:r>
          </w:p>
        </w:tc>
        <w:tc>
          <w:tcPr>
            <w:tcW w:w="681" w:type="pct"/>
          </w:tcPr>
          <w:p w14:paraId="1A8CEE57" w14:textId="77777777" w:rsidR="004F3885" w:rsidRDefault="004F3885" w:rsidP="004F3885">
            <w:pPr>
              <w:widowControl w:val="0"/>
              <w:pBdr>
                <w:top w:val="nil"/>
                <w:left w:val="nil"/>
                <w:bottom w:val="nil"/>
                <w:right w:val="nil"/>
                <w:between w:val="nil"/>
              </w:pBdr>
              <w:rPr>
                <w:color w:val="000000"/>
              </w:rPr>
            </w:pPr>
            <w:r>
              <w:rPr>
                <w:color w:val="0000FF"/>
              </w:rPr>
              <w:t>[Base]</w:t>
            </w:r>
          </w:p>
        </w:tc>
        <w:tc>
          <w:tcPr>
            <w:tcW w:w="455" w:type="pct"/>
            <w:vAlign w:val="bottom"/>
          </w:tcPr>
          <w:p w14:paraId="2BA041FE" w14:textId="77777777" w:rsidR="004F3885" w:rsidRDefault="004F3885" w:rsidP="004F3885">
            <w:pPr>
              <w:widowControl w:val="0"/>
              <w:pBdr>
                <w:top w:val="nil"/>
                <w:left w:val="nil"/>
                <w:bottom w:val="nil"/>
                <w:right w:val="nil"/>
                <w:between w:val="nil"/>
              </w:pBdr>
              <w:jc w:val="right"/>
              <w:rPr>
                <w:color w:val="000000"/>
              </w:rPr>
            </w:pPr>
            <w:r>
              <w:rPr>
                <w:color w:val="0000FF"/>
              </w:rPr>
              <w:t>[60%]</w:t>
            </w:r>
          </w:p>
        </w:tc>
        <w:tc>
          <w:tcPr>
            <w:tcW w:w="545" w:type="pct"/>
            <w:vAlign w:val="bottom"/>
          </w:tcPr>
          <w:p w14:paraId="3E108491"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1ABA799B"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7ED7FB5B"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3ED2E046"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3AF2ADD4" w14:textId="77777777" w:rsidR="004F3885" w:rsidRDefault="004F3885" w:rsidP="004F3885">
            <w:pPr>
              <w:widowControl w:val="0"/>
              <w:pBdr>
                <w:top w:val="nil"/>
                <w:left w:val="nil"/>
                <w:bottom w:val="nil"/>
                <w:right w:val="nil"/>
                <w:between w:val="nil"/>
              </w:pBdr>
              <w:jc w:val="right"/>
              <w:rPr>
                <w:color w:val="000000"/>
              </w:rPr>
            </w:pPr>
          </w:p>
        </w:tc>
      </w:tr>
      <w:tr w:rsidR="004F3885" w14:paraId="46D9265D" w14:textId="77777777" w:rsidTr="004F3885">
        <w:trPr>
          <w:trHeight w:val="23"/>
        </w:trPr>
        <w:tc>
          <w:tcPr>
            <w:tcW w:w="1136" w:type="pct"/>
            <w:vAlign w:val="bottom"/>
          </w:tcPr>
          <w:p w14:paraId="1E8744D4" w14:textId="77777777" w:rsidR="004F3885" w:rsidRDefault="004F3885" w:rsidP="004F3885">
            <w:pPr>
              <w:widowControl w:val="0"/>
              <w:ind w:left="113" w:hanging="113"/>
            </w:pPr>
          </w:p>
        </w:tc>
        <w:tc>
          <w:tcPr>
            <w:tcW w:w="681" w:type="pct"/>
          </w:tcPr>
          <w:p w14:paraId="46683E66" w14:textId="77777777" w:rsidR="004F3885" w:rsidRDefault="004F3885" w:rsidP="004F3885">
            <w:pPr>
              <w:widowControl w:val="0"/>
              <w:pBdr>
                <w:top w:val="nil"/>
                <w:left w:val="nil"/>
                <w:bottom w:val="nil"/>
                <w:right w:val="nil"/>
                <w:between w:val="nil"/>
              </w:pBdr>
              <w:rPr>
                <w:color w:val="000000"/>
              </w:rPr>
            </w:pPr>
            <w:r>
              <w:rPr>
                <w:color w:val="0000FF"/>
              </w:rPr>
              <w:t>[Upside]</w:t>
            </w:r>
          </w:p>
        </w:tc>
        <w:tc>
          <w:tcPr>
            <w:tcW w:w="455" w:type="pct"/>
            <w:vAlign w:val="bottom"/>
          </w:tcPr>
          <w:p w14:paraId="282EB08A" w14:textId="77777777" w:rsidR="004F3885" w:rsidRDefault="004F3885" w:rsidP="004F3885">
            <w:pPr>
              <w:widowControl w:val="0"/>
              <w:pBdr>
                <w:top w:val="nil"/>
                <w:left w:val="nil"/>
                <w:bottom w:val="nil"/>
                <w:right w:val="nil"/>
                <w:between w:val="nil"/>
              </w:pBdr>
              <w:jc w:val="right"/>
              <w:rPr>
                <w:color w:val="000000"/>
              </w:rPr>
            </w:pPr>
            <w:r>
              <w:rPr>
                <w:color w:val="0000FF"/>
              </w:rPr>
              <w:t>[10%]</w:t>
            </w:r>
          </w:p>
        </w:tc>
        <w:tc>
          <w:tcPr>
            <w:tcW w:w="545" w:type="pct"/>
            <w:vAlign w:val="bottom"/>
          </w:tcPr>
          <w:p w14:paraId="22375DAD"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41116A86"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543064C1"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5F96244A"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1DFB2578" w14:textId="77777777" w:rsidR="004F3885" w:rsidRDefault="004F3885" w:rsidP="004F3885">
            <w:pPr>
              <w:widowControl w:val="0"/>
              <w:pBdr>
                <w:top w:val="nil"/>
                <w:left w:val="nil"/>
                <w:bottom w:val="nil"/>
                <w:right w:val="nil"/>
                <w:between w:val="nil"/>
              </w:pBdr>
              <w:jc w:val="right"/>
              <w:rPr>
                <w:color w:val="000000"/>
              </w:rPr>
            </w:pPr>
          </w:p>
        </w:tc>
      </w:tr>
      <w:tr w:rsidR="004F3885" w14:paraId="6592C566" w14:textId="77777777" w:rsidTr="004F3885">
        <w:trPr>
          <w:trHeight w:val="23"/>
        </w:trPr>
        <w:tc>
          <w:tcPr>
            <w:tcW w:w="1136" w:type="pct"/>
            <w:vAlign w:val="bottom"/>
          </w:tcPr>
          <w:p w14:paraId="13A1995A" w14:textId="77777777" w:rsidR="004F3885" w:rsidRDefault="004F3885" w:rsidP="004F3885">
            <w:pPr>
              <w:widowControl w:val="0"/>
              <w:ind w:left="113" w:hanging="113"/>
            </w:pPr>
          </w:p>
        </w:tc>
        <w:tc>
          <w:tcPr>
            <w:tcW w:w="681" w:type="pct"/>
          </w:tcPr>
          <w:p w14:paraId="3984C3D3" w14:textId="77777777" w:rsidR="004F3885" w:rsidRDefault="004F3885" w:rsidP="004F3885">
            <w:pPr>
              <w:widowControl w:val="0"/>
              <w:pBdr>
                <w:top w:val="nil"/>
                <w:left w:val="nil"/>
                <w:bottom w:val="nil"/>
                <w:right w:val="nil"/>
                <w:between w:val="nil"/>
              </w:pBdr>
              <w:rPr>
                <w:color w:val="000000"/>
              </w:rPr>
            </w:pPr>
            <w:r>
              <w:rPr>
                <w:color w:val="0000FF"/>
              </w:rPr>
              <w:t>[Downside 1]</w:t>
            </w:r>
          </w:p>
        </w:tc>
        <w:tc>
          <w:tcPr>
            <w:tcW w:w="455" w:type="pct"/>
            <w:vAlign w:val="bottom"/>
          </w:tcPr>
          <w:p w14:paraId="35593CFC" w14:textId="77777777" w:rsidR="004F3885" w:rsidRDefault="004F3885" w:rsidP="004F3885">
            <w:pPr>
              <w:widowControl w:val="0"/>
              <w:pBdr>
                <w:top w:val="nil"/>
                <w:left w:val="nil"/>
                <w:bottom w:val="nil"/>
                <w:right w:val="nil"/>
                <w:between w:val="nil"/>
              </w:pBdr>
              <w:jc w:val="right"/>
              <w:rPr>
                <w:color w:val="000000"/>
              </w:rPr>
            </w:pPr>
            <w:r>
              <w:rPr>
                <w:color w:val="0000FF"/>
              </w:rPr>
              <w:t>[20%]</w:t>
            </w:r>
          </w:p>
        </w:tc>
        <w:tc>
          <w:tcPr>
            <w:tcW w:w="545" w:type="pct"/>
            <w:vAlign w:val="bottom"/>
          </w:tcPr>
          <w:p w14:paraId="3B856664"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07B5D1D0"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653ED6FA"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36CA1A6D"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026486C4" w14:textId="77777777" w:rsidR="004F3885" w:rsidRDefault="004F3885" w:rsidP="004F3885">
            <w:pPr>
              <w:widowControl w:val="0"/>
              <w:pBdr>
                <w:top w:val="nil"/>
                <w:left w:val="nil"/>
                <w:bottom w:val="nil"/>
                <w:right w:val="nil"/>
                <w:between w:val="nil"/>
              </w:pBdr>
              <w:jc w:val="right"/>
              <w:rPr>
                <w:color w:val="000000"/>
              </w:rPr>
            </w:pPr>
          </w:p>
        </w:tc>
      </w:tr>
      <w:tr w:rsidR="004F3885" w14:paraId="480B6B0E" w14:textId="77777777" w:rsidTr="004F3885">
        <w:trPr>
          <w:trHeight w:val="23"/>
        </w:trPr>
        <w:tc>
          <w:tcPr>
            <w:tcW w:w="1136" w:type="pct"/>
            <w:vAlign w:val="bottom"/>
          </w:tcPr>
          <w:p w14:paraId="4AABBCBD" w14:textId="77777777" w:rsidR="004F3885" w:rsidRDefault="004F3885" w:rsidP="004F3885">
            <w:pPr>
              <w:widowControl w:val="0"/>
              <w:ind w:left="113" w:hanging="113"/>
            </w:pPr>
          </w:p>
        </w:tc>
        <w:tc>
          <w:tcPr>
            <w:tcW w:w="681" w:type="pct"/>
          </w:tcPr>
          <w:p w14:paraId="3974719B" w14:textId="77777777" w:rsidR="004F3885" w:rsidRDefault="004F3885" w:rsidP="004F3885">
            <w:pPr>
              <w:widowControl w:val="0"/>
              <w:pBdr>
                <w:top w:val="nil"/>
                <w:left w:val="nil"/>
                <w:bottom w:val="nil"/>
                <w:right w:val="nil"/>
                <w:between w:val="nil"/>
              </w:pBdr>
              <w:rPr>
                <w:color w:val="000000"/>
              </w:rPr>
            </w:pPr>
            <w:r>
              <w:rPr>
                <w:color w:val="0000FF"/>
              </w:rPr>
              <w:t>[Downside 2]</w:t>
            </w:r>
          </w:p>
        </w:tc>
        <w:tc>
          <w:tcPr>
            <w:tcW w:w="455" w:type="pct"/>
            <w:vAlign w:val="bottom"/>
          </w:tcPr>
          <w:p w14:paraId="43372412" w14:textId="77777777" w:rsidR="004F3885" w:rsidRDefault="004F3885" w:rsidP="004F3885">
            <w:pPr>
              <w:widowControl w:val="0"/>
              <w:pBdr>
                <w:top w:val="nil"/>
                <w:left w:val="nil"/>
                <w:bottom w:val="nil"/>
                <w:right w:val="nil"/>
                <w:between w:val="nil"/>
              </w:pBdr>
              <w:jc w:val="right"/>
              <w:rPr>
                <w:color w:val="000000"/>
              </w:rPr>
            </w:pPr>
            <w:r>
              <w:rPr>
                <w:color w:val="0000FF"/>
              </w:rPr>
              <w:t>[10%]</w:t>
            </w:r>
          </w:p>
        </w:tc>
        <w:tc>
          <w:tcPr>
            <w:tcW w:w="545" w:type="pct"/>
            <w:vAlign w:val="bottom"/>
          </w:tcPr>
          <w:p w14:paraId="356F9B6F"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15AAC373"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5318C940" w14:textId="77777777" w:rsidR="004F3885" w:rsidRDefault="004F3885" w:rsidP="004F3885">
            <w:pPr>
              <w:widowControl w:val="0"/>
              <w:pBdr>
                <w:top w:val="nil"/>
                <w:left w:val="nil"/>
                <w:bottom w:val="nil"/>
                <w:right w:val="nil"/>
                <w:between w:val="nil"/>
              </w:pBdr>
              <w:jc w:val="right"/>
              <w:rPr>
                <w:color w:val="000000"/>
              </w:rPr>
            </w:pPr>
          </w:p>
        </w:tc>
        <w:tc>
          <w:tcPr>
            <w:tcW w:w="545" w:type="pct"/>
            <w:vAlign w:val="bottom"/>
          </w:tcPr>
          <w:p w14:paraId="78ED781C" w14:textId="77777777" w:rsidR="004F3885" w:rsidRDefault="004F3885" w:rsidP="004F3885">
            <w:pPr>
              <w:widowControl w:val="0"/>
              <w:pBdr>
                <w:top w:val="nil"/>
                <w:left w:val="nil"/>
                <w:bottom w:val="nil"/>
                <w:right w:val="nil"/>
                <w:between w:val="nil"/>
              </w:pBdr>
              <w:jc w:val="right"/>
              <w:rPr>
                <w:color w:val="000000"/>
              </w:rPr>
            </w:pPr>
          </w:p>
        </w:tc>
        <w:tc>
          <w:tcPr>
            <w:tcW w:w="546" w:type="pct"/>
            <w:vAlign w:val="bottom"/>
          </w:tcPr>
          <w:p w14:paraId="4925BE89" w14:textId="77777777" w:rsidR="004F3885" w:rsidRDefault="004F3885" w:rsidP="004F3885">
            <w:pPr>
              <w:widowControl w:val="0"/>
              <w:pBdr>
                <w:top w:val="nil"/>
                <w:left w:val="nil"/>
                <w:bottom w:val="nil"/>
                <w:right w:val="nil"/>
                <w:between w:val="nil"/>
              </w:pBdr>
              <w:jc w:val="right"/>
              <w:rPr>
                <w:color w:val="000000"/>
              </w:rPr>
            </w:pPr>
          </w:p>
        </w:tc>
      </w:tr>
      <w:tr w:rsidR="004F3885" w14:paraId="41832426" w14:textId="77777777" w:rsidTr="004F3885">
        <w:trPr>
          <w:trHeight w:val="23"/>
        </w:trPr>
        <w:tc>
          <w:tcPr>
            <w:tcW w:w="1136" w:type="pct"/>
            <w:tcBorders>
              <w:bottom w:val="single" w:sz="12" w:space="0" w:color="000000"/>
            </w:tcBorders>
            <w:vAlign w:val="bottom"/>
          </w:tcPr>
          <w:p w14:paraId="7916D764" w14:textId="77777777" w:rsidR="004F3885" w:rsidRDefault="004F3885" w:rsidP="004F3885">
            <w:pPr>
              <w:widowControl w:val="0"/>
              <w:ind w:left="113" w:hanging="113"/>
            </w:pPr>
          </w:p>
        </w:tc>
        <w:tc>
          <w:tcPr>
            <w:tcW w:w="681" w:type="pct"/>
            <w:tcBorders>
              <w:bottom w:val="single" w:sz="12" w:space="0" w:color="000000"/>
            </w:tcBorders>
          </w:tcPr>
          <w:p w14:paraId="7C521953" w14:textId="77777777" w:rsidR="004F3885" w:rsidRDefault="004F3885" w:rsidP="004F3885">
            <w:pPr>
              <w:widowControl w:val="0"/>
              <w:pBdr>
                <w:top w:val="nil"/>
                <w:left w:val="nil"/>
                <w:bottom w:val="nil"/>
                <w:right w:val="nil"/>
                <w:between w:val="nil"/>
              </w:pBdr>
              <w:rPr>
                <w:color w:val="000000"/>
              </w:rPr>
            </w:pPr>
          </w:p>
        </w:tc>
        <w:tc>
          <w:tcPr>
            <w:tcW w:w="455" w:type="pct"/>
            <w:tcBorders>
              <w:bottom w:val="single" w:sz="12" w:space="0" w:color="000000"/>
            </w:tcBorders>
            <w:vAlign w:val="bottom"/>
          </w:tcPr>
          <w:p w14:paraId="74A28B0C" w14:textId="77777777" w:rsidR="004F3885" w:rsidRDefault="004F3885" w:rsidP="004F3885">
            <w:pPr>
              <w:widowControl w:val="0"/>
              <w:pBdr>
                <w:top w:val="nil"/>
                <w:left w:val="nil"/>
                <w:bottom w:val="nil"/>
                <w:right w:val="nil"/>
                <w:between w:val="nil"/>
              </w:pBdr>
              <w:rPr>
                <w:color w:val="000000"/>
              </w:rPr>
            </w:pPr>
          </w:p>
        </w:tc>
        <w:tc>
          <w:tcPr>
            <w:tcW w:w="545" w:type="pct"/>
            <w:tcBorders>
              <w:bottom w:val="single" w:sz="12" w:space="0" w:color="000000"/>
            </w:tcBorders>
            <w:vAlign w:val="bottom"/>
          </w:tcPr>
          <w:p w14:paraId="1ABD3BFB" w14:textId="77777777" w:rsidR="004F3885" w:rsidRDefault="004F3885" w:rsidP="004F3885">
            <w:pPr>
              <w:widowControl w:val="0"/>
              <w:pBdr>
                <w:top w:val="nil"/>
                <w:left w:val="nil"/>
                <w:bottom w:val="nil"/>
                <w:right w:val="nil"/>
                <w:between w:val="nil"/>
              </w:pBdr>
              <w:jc w:val="right"/>
              <w:rPr>
                <w:color w:val="000000"/>
              </w:rPr>
            </w:pPr>
          </w:p>
        </w:tc>
        <w:tc>
          <w:tcPr>
            <w:tcW w:w="546" w:type="pct"/>
            <w:tcBorders>
              <w:bottom w:val="single" w:sz="12" w:space="0" w:color="000000"/>
            </w:tcBorders>
            <w:vAlign w:val="bottom"/>
          </w:tcPr>
          <w:p w14:paraId="68B2BFF5" w14:textId="77777777" w:rsidR="004F3885" w:rsidRDefault="004F3885" w:rsidP="004F3885">
            <w:pPr>
              <w:widowControl w:val="0"/>
              <w:pBdr>
                <w:top w:val="nil"/>
                <w:left w:val="nil"/>
                <w:bottom w:val="nil"/>
                <w:right w:val="nil"/>
                <w:between w:val="nil"/>
              </w:pBdr>
              <w:jc w:val="right"/>
              <w:rPr>
                <w:color w:val="000000"/>
              </w:rPr>
            </w:pPr>
          </w:p>
        </w:tc>
        <w:tc>
          <w:tcPr>
            <w:tcW w:w="545" w:type="pct"/>
            <w:tcBorders>
              <w:bottom w:val="single" w:sz="12" w:space="0" w:color="000000"/>
            </w:tcBorders>
            <w:vAlign w:val="bottom"/>
          </w:tcPr>
          <w:p w14:paraId="2C7B078D" w14:textId="77777777" w:rsidR="004F3885" w:rsidRDefault="004F3885" w:rsidP="004F3885">
            <w:pPr>
              <w:widowControl w:val="0"/>
              <w:pBdr>
                <w:top w:val="nil"/>
                <w:left w:val="nil"/>
                <w:bottom w:val="nil"/>
                <w:right w:val="nil"/>
                <w:between w:val="nil"/>
              </w:pBdr>
              <w:jc w:val="right"/>
              <w:rPr>
                <w:color w:val="000000"/>
              </w:rPr>
            </w:pPr>
          </w:p>
        </w:tc>
        <w:tc>
          <w:tcPr>
            <w:tcW w:w="545" w:type="pct"/>
            <w:tcBorders>
              <w:bottom w:val="single" w:sz="12" w:space="0" w:color="000000"/>
            </w:tcBorders>
            <w:vAlign w:val="bottom"/>
          </w:tcPr>
          <w:p w14:paraId="06DD7522" w14:textId="77777777" w:rsidR="004F3885" w:rsidRDefault="004F3885" w:rsidP="004F3885">
            <w:pPr>
              <w:widowControl w:val="0"/>
              <w:pBdr>
                <w:top w:val="nil"/>
                <w:left w:val="nil"/>
                <w:bottom w:val="nil"/>
                <w:right w:val="nil"/>
                <w:between w:val="nil"/>
              </w:pBdr>
              <w:jc w:val="right"/>
              <w:rPr>
                <w:color w:val="000000"/>
              </w:rPr>
            </w:pPr>
          </w:p>
        </w:tc>
        <w:tc>
          <w:tcPr>
            <w:tcW w:w="546" w:type="pct"/>
            <w:tcBorders>
              <w:bottom w:val="single" w:sz="12" w:space="0" w:color="000000"/>
            </w:tcBorders>
            <w:vAlign w:val="bottom"/>
          </w:tcPr>
          <w:p w14:paraId="78E342B5" w14:textId="77777777" w:rsidR="004F3885" w:rsidRDefault="004F3885" w:rsidP="004F3885">
            <w:pPr>
              <w:widowControl w:val="0"/>
              <w:pBdr>
                <w:top w:val="nil"/>
                <w:left w:val="nil"/>
                <w:bottom w:val="nil"/>
                <w:right w:val="nil"/>
                <w:between w:val="nil"/>
              </w:pBdr>
              <w:jc w:val="right"/>
              <w:rPr>
                <w:color w:val="000000"/>
              </w:rPr>
            </w:pPr>
          </w:p>
        </w:tc>
      </w:tr>
    </w:tbl>
    <w:p w14:paraId="4C23F03D" w14:textId="2C86F5FE" w:rsidR="004F3885" w:rsidRPr="004F3885" w:rsidRDefault="004F3885" w:rsidP="004F3885">
      <w:pPr>
        <w:widowControl w:val="0"/>
        <w:spacing w:before="200" w:after="200"/>
        <w:jc w:val="both"/>
        <w:rPr>
          <w:color w:val="000000"/>
          <w:sz w:val="20"/>
          <w:szCs w:val="20"/>
        </w:rPr>
      </w:pPr>
      <w:r w:rsidRPr="004F3885">
        <w:rPr>
          <w:color w:val="000000"/>
          <w:sz w:val="20"/>
          <w:szCs w:val="20"/>
        </w:rPr>
        <w:t>The assumptions and assigned weights were as follows at 31 December 2023:</w:t>
      </w:r>
    </w:p>
    <w:tbl>
      <w:tblPr>
        <w:tblStyle w:val="a9"/>
        <w:tblW w:w="5000" w:type="pct"/>
        <w:tblLayout w:type="fixed"/>
        <w:tblLook w:val="0000" w:firstRow="0" w:lastRow="0" w:firstColumn="0" w:lastColumn="0" w:noHBand="0" w:noVBand="0"/>
      </w:tblPr>
      <w:tblGrid>
        <w:gridCol w:w="2126"/>
        <w:gridCol w:w="1274"/>
        <w:gridCol w:w="851"/>
        <w:gridCol w:w="1020"/>
        <w:gridCol w:w="1022"/>
        <w:gridCol w:w="1020"/>
        <w:gridCol w:w="1020"/>
        <w:gridCol w:w="1022"/>
      </w:tblGrid>
      <w:tr w:rsidR="004F3885" w14:paraId="419C8733" w14:textId="77777777" w:rsidTr="004F3885">
        <w:trPr>
          <w:trHeight w:val="23"/>
        </w:trPr>
        <w:tc>
          <w:tcPr>
            <w:tcW w:w="1137" w:type="pct"/>
            <w:vAlign w:val="bottom"/>
          </w:tcPr>
          <w:p w14:paraId="19C42ADB" w14:textId="77777777" w:rsidR="004F3885" w:rsidRDefault="004F3885" w:rsidP="00C575E9">
            <w:pPr>
              <w:widowControl w:val="0"/>
              <w:pBdr>
                <w:top w:val="nil"/>
                <w:left w:val="nil"/>
                <w:bottom w:val="nil"/>
                <w:right w:val="nil"/>
                <w:between w:val="nil"/>
              </w:pBdr>
              <w:ind w:left="113" w:hanging="113"/>
              <w:rPr>
                <w:b/>
                <w:i/>
                <w:color w:val="000000"/>
              </w:rPr>
            </w:pPr>
          </w:p>
        </w:tc>
        <w:tc>
          <w:tcPr>
            <w:tcW w:w="681" w:type="pct"/>
          </w:tcPr>
          <w:p w14:paraId="15ACCD1B" w14:textId="77777777" w:rsidR="004F3885" w:rsidRDefault="004F3885" w:rsidP="00C575E9">
            <w:pPr>
              <w:widowControl w:val="0"/>
              <w:pBdr>
                <w:top w:val="nil"/>
                <w:left w:val="nil"/>
                <w:bottom w:val="nil"/>
                <w:right w:val="nil"/>
                <w:between w:val="nil"/>
              </w:pBdr>
              <w:jc w:val="right"/>
              <w:rPr>
                <w:b/>
                <w:color w:val="000000"/>
              </w:rPr>
            </w:pPr>
          </w:p>
        </w:tc>
        <w:tc>
          <w:tcPr>
            <w:tcW w:w="455" w:type="pct"/>
            <w:vMerge w:val="restart"/>
          </w:tcPr>
          <w:p w14:paraId="21454B78" w14:textId="77777777" w:rsidR="004F3885" w:rsidRDefault="004F3885" w:rsidP="00C575E9">
            <w:pPr>
              <w:widowControl w:val="0"/>
              <w:pBdr>
                <w:top w:val="nil"/>
                <w:left w:val="nil"/>
                <w:bottom w:val="nil"/>
                <w:right w:val="nil"/>
                <w:between w:val="nil"/>
              </w:pBdr>
              <w:jc w:val="right"/>
              <w:rPr>
                <w:b/>
                <w:color w:val="000000"/>
              </w:rPr>
            </w:pPr>
            <w:r>
              <w:rPr>
                <w:b/>
                <w:color w:val="000000"/>
              </w:rPr>
              <w:t>Assi-gned weight</w:t>
            </w:r>
          </w:p>
        </w:tc>
        <w:tc>
          <w:tcPr>
            <w:tcW w:w="2727" w:type="pct"/>
            <w:gridSpan w:val="5"/>
            <w:tcBorders>
              <w:bottom w:val="single" w:sz="4" w:space="0" w:color="000000"/>
            </w:tcBorders>
          </w:tcPr>
          <w:p w14:paraId="7A6CF915" w14:textId="77777777" w:rsidR="004F3885" w:rsidRDefault="004F3885" w:rsidP="00C575E9">
            <w:pPr>
              <w:widowControl w:val="0"/>
              <w:pBdr>
                <w:top w:val="nil"/>
                <w:left w:val="nil"/>
                <w:bottom w:val="nil"/>
                <w:right w:val="nil"/>
                <w:between w:val="nil"/>
              </w:pBdr>
              <w:jc w:val="center"/>
              <w:rPr>
                <w:b/>
                <w:color w:val="000000"/>
              </w:rPr>
            </w:pPr>
            <w:r>
              <w:rPr>
                <w:b/>
                <w:color w:val="000000"/>
              </w:rPr>
              <w:t>Assumption for:</w:t>
            </w:r>
          </w:p>
        </w:tc>
      </w:tr>
      <w:tr w:rsidR="004F3885" w14:paraId="4CD507EB" w14:textId="77777777" w:rsidTr="004F3885">
        <w:trPr>
          <w:trHeight w:val="23"/>
        </w:trPr>
        <w:tc>
          <w:tcPr>
            <w:tcW w:w="1137" w:type="pct"/>
            <w:tcBorders>
              <w:bottom w:val="single" w:sz="4" w:space="0" w:color="000000"/>
            </w:tcBorders>
            <w:vAlign w:val="bottom"/>
          </w:tcPr>
          <w:p w14:paraId="2CFB9103" w14:textId="77777777" w:rsidR="004F3885" w:rsidRDefault="004F3885" w:rsidP="004F3885">
            <w:pPr>
              <w:widowControl w:val="0"/>
              <w:pBdr>
                <w:top w:val="nil"/>
                <w:left w:val="nil"/>
                <w:bottom w:val="nil"/>
                <w:right w:val="nil"/>
                <w:between w:val="nil"/>
              </w:pBdr>
              <w:ind w:left="113" w:hanging="113"/>
              <w:rPr>
                <w:b/>
                <w:i/>
                <w:color w:val="000000"/>
              </w:rPr>
            </w:pPr>
            <w:r>
              <w:rPr>
                <w:b/>
                <w:i/>
                <w:color w:val="000000"/>
              </w:rPr>
              <w:t>Variable</w:t>
            </w:r>
          </w:p>
        </w:tc>
        <w:tc>
          <w:tcPr>
            <w:tcW w:w="681" w:type="pct"/>
            <w:tcBorders>
              <w:bottom w:val="single" w:sz="4" w:space="0" w:color="000000"/>
            </w:tcBorders>
          </w:tcPr>
          <w:p w14:paraId="49F6DFA1" w14:textId="77777777" w:rsidR="004F3885" w:rsidRDefault="004F3885" w:rsidP="004F3885">
            <w:pPr>
              <w:widowControl w:val="0"/>
              <w:pBdr>
                <w:top w:val="nil"/>
                <w:left w:val="nil"/>
                <w:bottom w:val="nil"/>
                <w:right w:val="nil"/>
                <w:between w:val="nil"/>
              </w:pBdr>
              <w:jc w:val="right"/>
              <w:rPr>
                <w:b/>
                <w:color w:val="000000"/>
              </w:rPr>
            </w:pPr>
            <w:r>
              <w:rPr>
                <w:b/>
                <w:color w:val="000000"/>
              </w:rPr>
              <w:t>Scenario</w:t>
            </w:r>
          </w:p>
        </w:tc>
        <w:tc>
          <w:tcPr>
            <w:tcW w:w="455" w:type="pct"/>
            <w:vMerge/>
          </w:tcPr>
          <w:p w14:paraId="1EEDFE87" w14:textId="77777777" w:rsidR="004F3885" w:rsidRDefault="004F3885" w:rsidP="004F3885">
            <w:pPr>
              <w:widowControl w:val="0"/>
              <w:pBdr>
                <w:top w:val="nil"/>
                <w:left w:val="nil"/>
                <w:bottom w:val="nil"/>
                <w:right w:val="nil"/>
                <w:between w:val="nil"/>
              </w:pBdr>
              <w:rPr>
                <w:b/>
                <w:color w:val="000000"/>
              </w:rPr>
            </w:pPr>
          </w:p>
        </w:tc>
        <w:tc>
          <w:tcPr>
            <w:tcW w:w="545" w:type="pct"/>
            <w:tcBorders>
              <w:top w:val="single" w:sz="4" w:space="0" w:color="000000"/>
              <w:bottom w:val="single" w:sz="4" w:space="0" w:color="000000"/>
            </w:tcBorders>
          </w:tcPr>
          <w:p w14:paraId="2B4A4F1F" w14:textId="5097E6EA" w:rsidR="004F3885" w:rsidRDefault="004F3885" w:rsidP="004F3885">
            <w:pPr>
              <w:widowControl w:val="0"/>
              <w:pBdr>
                <w:top w:val="nil"/>
                <w:left w:val="nil"/>
                <w:bottom w:val="nil"/>
                <w:right w:val="nil"/>
                <w:between w:val="nil"/>
              </w:pBdr>
              <w:jc w:val="right"/>
              <w:rPr>
                <w:b/>
                <w:color w:val="000000"/>
              </w:rPr>
            </w:pPr>
            <w:r>
              <w:rPr>
                <w:b/>
                <w:color w:val="000000"/>
              </w:rPr>
              <w:t>2024</w:t>
            </w:r>
          </w:p>
        </w:tc>
        <w:tc>
          <w:tcPr>
            <w:tcW w:w="546" w:type="pct"/>
            <w:tcBorders>
              <w:top w:val="single" w:sz="4" w:space="0" w:color="000000"/>
              <w:bottom w:val="single" w:sz="4" w:space="0" w:color="000000"/>
            </w:tcBorders>
          </w:tcPr>
          <w:p w14:paraId="5CCA1613" w14:textId="118C25FD" w:rsidR="004F3885" w:rsidRDefault="004F3885" w:rsidP="004F3885">
            <w:pPr>
              <w:widowControl w:val="0"/>
              <w:pBdr>
                <w:top w:val="nil"/>
                <w:left w:val="nil"/>
                <w:bottom w:val="nil"/>
                <w:right w:val="nil"/>
                <w:between w:val="nil"/>
              </w:pBdr>
              <w:jc w:val="right"/>
              <w:rPr>
                <w:b/>
                <w:color w:val="000000"/>
              </w:rPr>
            </w:pPr>
            <w:r>
              <w:rPr>
                <w:b/>
                <w:color w:val="000000"/>
              </w:rPr>
              <w:t>2025</w:t>
            </w:r>
          </w:p>
        </w:tc>
        <w:tc>
          <w:tcPr>
            <w:tcW w:w="545" w:type="pct"/>
            <w:tcBorders>
              <w:top w:val="single" w:sz="4" w:space="0" w:color="000000"/>
              <w:bottom w:val="single" w:sz="4" w:space="0" w:color="000000"/>
            </w:tcBorders>
          </w:tcPr>
          <w:p w14:paraId="4FBDD17C" w14:textId="58D08184" w:rsidR="004F3885" w:rsidRDefault="004F3885" w:rsidP="004F3885">
            <w:pPr>
              <w:widowControl w:val="0"/>
              <w:pBdr>
                <w:top w:val="nil"/>
                <w:left w:val="nil"/>
                <w:bottom w:val="nil"/>
                <w:right w:val="nil"/>
                <w:between w:val="nil"/>
              </w:pBdr>
              <w:jc w:val="right"/>
              <w:rPr>
                <w:b/>
                <w:color w:val="000000"/>
              </w:rPr>
            </w:pPr>
            <w:r>
              <w:rPr>
                <w:b/>
                <w:color w:val="000000"/>
              </w:rPr>
              <w:t>2026</w:t>
            </w:r>
          </w:p>
        </w:tc>
        <w:tc>
          <w:tcPr>
            <w:tcW w:w="545" w:type="pct"/>
            <w:tcBorders>
              <w:top w:val="single" w:sz="4" w:space="0" w:color="000000"/>
              <w:bottom w:val="single" w:sz="4" w:space="0" w:color="000000"/>
            </w:tcBorders>
          </w:tcPr>
          <w:p w14:paraId="401A622E" w14:textId="39147574" w:rsidR="004F3885" w:rsidRDefault="004F3885" w:rsidP="004F3885">
            <w:pPr>
              <w:widowControl w:val="0"/>
              <w:pBdr>
                <w:top w:val="nil"/>
                <w:left w:val="nil"/>
                <w:bottom w:val="nil"/>
                <w:right w:val="nil"/>
                <w:between w:val="nil"/>
              </w:pBdr>
              <w:jc w:val="right"/>
              <w:rPr>
                <w:b/>
                <w:color w:val="000000"/>
              </w:rPr>
            </w:pPr>
            <w:r>
              <w:rPr>
                <w:b/>
                <w:color w:val="000000"/>
              </w:rPr>
              <w:t>2027</w:t>
            </w:r>
          </w:p>
        </w:tc>
        <w:tc>
          <w:tcPr>
            <w:tcW w:w="545" w:type="pct"/>
            <w:tcBorders>
              <w:top w:val="single" w:sz="4" w:space="0" w:color="000000"/>
              <w:bottom w:val="single" w:sz="4" w:space="0" w:color="000000"/>
            </w:tcBorders>
          </w:tcPr>
          <w:p w14:paraId="4F355A46" w14:textId="24DA2377" w:rsidR="004F3885" w:rsidRDefault="004F3885" w:rsidP="004F3885">
            <w:pPr>
              <w:widowControl w:val="0"/>
              <w:pBdr>
                <w:top w:val="nil"/>
                <w:left w:val="nil"/>
                <w:bottom w:val="nil"/>
                <w:right w:val="nil"/>
                <w:between w:val="nil"/>
              </w:pBdr>
              <w:jc w:val="right"/>
              <w:rPr>
                <w:b/>
                <w:color w:val="000000"/>
              </w:rPr>
            </w:pPr>
            <w:r>
              <w:rPr>
                <w:b/>
                <w:color w:val="000000"/>
              </w:rPr>
              <w:t>2028</w:t>
            </w:r>
          </w:p>
        </w:tc>
      </w:tr>
      <w:tr w:rsidR="004F3885" w14:paraId="60E772CF" w14:textId="77777777" w:rsidTr="004F3885">
        <w:trPr>
          <w:trHeight w:val="23"/>
        </w:trPr>
        <w:tc>
          <w:tcPr>
            <w:tcW w:w="1137" w:type="pct"/>
            <w:tcBorders>
              <w:top w:val="single" w:sz="4" w:space="0" w:color="000000"/>
            </w:tcBorders>
            <w:vAlign w:val="bottom"/>
          </w:tcPr>
          <w:p w14:paraId="239DB011" w14:textId="77777777" w:rsidR="004F3885" w:rsidRDefault="004F3885" w:rsidP="00C575E9">
            <w:pPr>
              <w:widowControl w:val="0"/>
              <w:ind w:left="113" w:hanging="113"/>
            </w:pPr>
          </w:p>
        </w:tc>
        <w:tc>
          <w:tcPr>
            <w:tcW w:w="681" w:type="pct"/>
            <w:tcBorders>
              <w:top w:val="single" w:sz="4" w:space="0" w:color="000000"/>
            </w:tcBorders>
          </w:tcPr>
          <w:p w14:paraId="73785304" w14:textId="77777777" w:rsidR="004F3885" w:rsidRDefault="004F3885" w:rsidP="00C575E9">
            <w:pPr>
              <w:widowControl w:val="0"/>
              <w:pBdr>
                <w:top w:val="nil"/>
                <w:left w:val="nil"/>
                <w:bottom w:val="nil"/>
                <w:right w:val="nil"/>
                <w:between w:val="nil"/>
              </w:pBdr>
              <w:rPr>
                <w:color w:val="000000"/>
              </w:rPr>
            </w:pPr>
          </w:p>
        </w:tc>
        <w:tc>
          <w:tcPr>
            <w:tcW w:w="455" w:type="pct"/>
            <w:tcBorders>
              <w:top w:val="single" w:sz="4" w:space="0" w:color="000000"/>
            </w:tcBorders>
            <w:vAlign w:val="bottom"/>
          </w:tcPr>
          <w:p w14:paraId="6A15AE4C" w14:textId="77777777" w:rsidR="004F3885" w:rsidRDefault="004F3885" w:rsidP="00C575E9">
            <w:pPr>
              <w:widowControl w:val="0"/>
              <w:pBdr>
                <w:top w:val="nil"/>
                <w:left w:val="nil"/>
                <w:bottom w:val="nil"/>
                <w:right w:val="nil"/>
                <w:between w:val="nil"/>
              </w:pBdr>
              <w:rPr>
                <w:color w:val="000000"/>
              </w:rPr>
            </w:pPr>
          </w:p>
        </w:tc>
        <w:tc>
          <w:tcPr>
            <w:tcW w:w="545" w:type="pct"/>
            <w:tcBorders>
              <w:top w:val="single" w:sz="4" w:space="0" w:color="000000"/>
            </w:tcBorders>
            <w:vAlign w:val="bottom"/>
          </w:tcPr>
          <w:p w14:paraId="5CCC7E63" w14:textId="77777777" w:rsidR="004F3885" w:rsidRDefault="004F3885" w:rsidP="00C575E9">
            <w:pPr>
              <w:widowControl w:val="0"/>
              <w:pBdr>
                <w:top w:val="nil"/>
                <w:left w:val="nil"/>
                <w:bottom w:val="nil"/>
                <w:right w:val="nil"/>
                <w:between w:val="nil"/>
              </w:pBdr>
              <w:jc w:val="right"/>
              <w:rPr>
                <w:color w:val="000000"/>
              </w:rPr>
            </w:pPr>
          </w:p>
        </w:tc>
        <w:tc>
          <w:tcPr>
            <w:tcW w:w="546" w:type="pct"/>
            <w:tcBorders>
              <w:top w:val="single" w:sz="4" w:space="0" w:color="000000"/>
            </w:tcBorders>
            <w:vAlign w:val="bottom"/>
          </w:tcPr>
          <w:p w14:paraId="2C198192" w14:textId="77777777" w:rsidR="004F3885" w:rsidRDefault="004F3885" w:rsidP="00C575E9">
            <w:pPr>
              <w:widowControl w:val="0"/>
              <w:pBdr>
                <w:top w:val="nil"/>
                <w:left w:val="nil"/>
                <w:bottom w:val="nil"/>
                <w:right w:val="nil"/>
                <w:between w:val="nil"/>
              </w:pBdr>
              <w:jc w:val="right"/>
              <w:rPr>
                <w:color w:val="000000"/>
              </w:rPr>
            </w:pPr>
          </w:p>
        </w:tc>
        <w:tc>
          <w:tcPr>
            <w:tcW w:w="545" w:type="pct"/>
            <w:tcBorders>
              <w:top w:val="single" w:sz="4" w:space="0" w:color="000000"/>
            </w:tcBorders>
            <w:vAlign w:val="bottom"/>
          </w:tcPr>
          <w:p w14:paraId="698C7D34" w14:textId="77777777" w:rsidR="004F3885" w:rsidRDefault="004F3885" w:rsidP="00C575E9">
            <w:pPr>
              <w:widowControl w:val="0"/>
              <w:pBdr>
                <w:top w:val="nil"/>
                <w:left w:val="nil"/>
                <w:bottom w:val="nil"/>
                <w:right w:val="nil"/>
                <w:between w:val="nil"/>
              </w:pBdr>
              <w:jc w:val="right"/>
              <w:rPr>
                <w:color w:val="000000"/>
              </w:rPr>
            </w:pPr>
          </w:p>
        </w:tc>
        <w:tc>
          <w:tcPr>
            <w:tcW w:w="545" w:type="pct"/>
            <w:tcBorders>
              <w:top w:val="single" w:sz="4" w:space="0" w:color="000000"/>
            </w:tcBorders>
            <w:vAlign w:val="bottom"/>
          </w:tcPr>
          <w:p w14:paraId="4DAC1273" w14:textId="77777777" w:rsidR="004F3885" w:rsidRDefault="004F3885" w:rsidP="00C575E9">
            <w:pPr>
              <w:widowControl w:val="0"/>
              <w:pBdr>
                <w:top w:val="nil"/>
                <w:left w:val="nil"/>
                <w:bottom w:val="nil"/>
                <w:right w:val="nil"/>
                <w:between w:val="nil"/>
              </w:pBdr>
              <w:jc w:val="right"/>
              <w:rPr>
                <w:color w:val="000000"/>
              </w:rPr>
            </w:pPr>
          </w:p>
        </w:tc>
        <w:tc>
          <w:tcPr>
            <w:tcW w:w="545" w:type="pct"/>
            <w:tcBorders>
              <w:top w:val="single" w:sz="4" w:space="0" w:color="000000"/>
            </w:tcBorders>
            <w:vAlign w:val="bottom"/>
          </w:tcPr>
          <w:p w14:paraId="5D4CA875" w14:textId="77777777" w:rsidR="004F3885" w:rsidRDefault="004F3885" w:rsidP="00C575E9">
            <w:pPr>
              <w:widowControl w:val="0"/>
              <w:pBdr>
                <w:top w:val="nil"/>
                <w:left w:val="nil"/>
                <w:bottom w:val="nil"/>
                <w:right w:val="nil"/>
                <w:between w:val="nil"/>
              </w:pBdr>
              <w:jc w:val="right"/>
              <w:rPr>
                <w:color w:val="000000"/>
              </w:rPr>
            </w:pPr>
          </w:p>
        </w:tc>
      </w:tr>
      <w:tr w:rsidR="004F3885" w14:paraId="18F109A6" w14:textId="77777777" w:rsidTr="004F3885">
        <w:trPr>
          <w:trHeight w:val="23"/>
        </w:trPr>
        <w:tc>
          <w:tcPr>
            <w:tcW w:w="1137" w:type="pct"/>
            <w:vAlign w:val="bottom"/>
          </w:tcPr>
          <w:p w14:paraId="2A2C5507" w14:textId="20F41185" w:rsidR="004F3885" w:rsidRDefault="004F3885" w:rsidP="00C575E9">
            <w:pPr>
              <w:widowControl w:val="0"/>
              <w:ind w:left="113" w:hanging="113"/>
              <w:rPr>
                <w:b/>
                <w:color w:val="0000FF"/>
              </w:rPr>
            </w:pPr>
            <w:r>
              <w:rPr>
                <w:b/>
                <w:color w:val="0000FF"/>
              </w:rPr>
              <w:t>[Central bank base refinancing interest rat]</w:t>
            </w:r>
          </w:p>
        </w:tc>
        <w:tc>
          <w:tcPr>
            <w:tcW w:w="681" w:type="pct"/>
          </w:tcPr>
          <w:p w14:paraId="01C6C19E" w14:textId="77777777" w:rsidR="004F3885" w:rsidRDefault="004F3885" w:rsidP="00C575E9">
            <w:pPr>
              <w:widowControl w:val="0"/>
              <w:pBdr>
                <w:top w:val="nil"/>
                <w:left w:val="nil"/>
                <w:bottom w:val="nil"/>
                <w:right w:val="nil"/>
                <w:between w:val="nil"/>
              </w:pBdr>
              <w:rPr>
                <w:color w:val="0000FF"/>
              </w:rPr>
            </w:pPr>
            <w:r>
              <w:rPr>
                <w:color w:val="0000FF"/>
              </w:rPr>
              <w:t>[Base]</w:t>
            </w:r>
          </w:p>
        </w:tc>
        <w:tc>
          <w:tcPr>
            <w:tcW w:w="455" w:type="pct"/>
            <w:vAlign w:val="bottom"/>
          </w:tcPr>
          <w:p w14:paraId="40FE763B" w14:textId="77777777" w:rsidR="004F3885" w:rsidRDefault="004F3885" w:rsidP="00C575E9">
            <w:pPr>
              <w:widowControl w:val="0"/>
              <w:pBdr>
                <w:top w:val="nil"/>
                <w:left w:val="nil"/>
                <w:bottom w:val="nil"/>
                <w:right w:val="nil"/>
                <w:between w:val="nil"/>
              </w:pBdr>
              <w:jc w:val="right"/>
              <w:rPr>
                <w:color w:val="0000FF"/>
              </w:rPr>
            </w:pPr>
            <w:r>
              <w:rPr>
                <w:color w:val="0000FF"/>
              </w:rPr>
              <w:t>[60%]</w:t>
            </w:r>
          </w:p>
        </w:tc>
        <w:tc>
          <w:tcPr>
            <w:tcW w:w="545" w:type="pct"/>
            <w:vAlign w:val="bottom"/>
          </w:tcPr>
          <w:p w14:paraId="7D0A993D"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1AA5A7E8"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60273497"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B195F5E"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776C832B" w14:textId="77777777" w:rsidR="004F3885" w:rsidRDefault="004F3885" w:rsidP="00C575E9">
            <w:pPr>
              <w:widowControl w:val="0"/>
              <w:pBdr>
                <w:top w:val="nil"/>
                <w:left w:val="nil"/>
                <w:bottom w:val="nil"/>
                <w:right w:val="nil"/>
                <w:between w:val="nil"/>
              </w:pBdr>
              <w:jc w:val="right"/>
              <w:rPr>
                <w:color w:val="000000"/>
              </w:rPr>
            </w:pPr>
          </w:p>
        </w:tc>
      </w:tr>
      <w:tr w:rsidR="004F3885" w14:paraId="7DD294CD" w14:textId="77777777" w:rsidTr="004F3885">
        <w:trPr>
          <w:trHeight w:val="23"/>
        </w:trPr>
        <w:tc>
          <w:tcPr>
            <w:tcW w:w="1137" w:type="pct"/>
            <w:vAlign w:val="bottom"/>
          </w:tcPr>
          <w:p w14:paraId="720BF6E6" w14:textId="77777777" w:rsidR="004F3885" w:rsidRDefault="004F3885" w:rsidP="00C575E9">
            <w:pPr>
              <w:widowControl w:val="0"/>
              <w:ind w:left="113" w:hanging="113"/>
              <w:rPr>
                <w:color w:val="0000FF"/>
              </w:rPr>
            </w:pPr>
          </w:p>
        </w:tc>
        <w:tc>
          <w:tcPr>
            <w:tcW w:w="681" w:type="pct"/>
          </w:tcPr>
          <w:p w14:paraId="500BCE57" w14:textId="77777777" w:rsidR="004F3885" w:rsidRDefault="004F3885" w:rsidP="00C575E9">
            <w:pPr>
              <w:widowControl w:val="0"/>
              <w:pBdr>
                <w:top w:val="nil"/>
                <w:left w:val="nil"/>
                <w:bottom w:val="nil"/>
                <w:right w:val="nil"/>
                <w:between w:val="nil"/>
              </w:pBdr>
              <w:rPr>
                <w:color w:val="0000FF"/>
              </w:rPr>
            </w:pPr>
            <w:r>
              <w:rPr>
                <w:color w:val="0000FF"/>
              </w:rPr>
              <w:t>[Upside]</w:t>
            </w:r>
          </w:p>
        </w:tc>
        <w:tc>
          <w:tcPr>
            <w:tcW w:w="455" w:type="pct"/>
            <w:vAlign w:val="bottom"/>
          </w:tcPr>
          <w:p w14:paraId="6FF7B1F3" w14:textId="77777777" w:rsidR="004F3885" w:rsidRDefault="004F3885" w:rsidP="00C575E9">
            <w:pPr>
              <w:widowControl w:val="0"/>
              <w:pBdr>
                <w:top w:val="nil"/>
                <w:left w:val="nil"/>
                <w:bottom w:val="nil"/>
                <w:right w:val="nil"/>
                <w:between w:val="nil"/>
              </w:pBdr>
              <w:jc w:val="right"/>
              <w:rPr>
                <w:color w:val="0000FF"/>
              </w:rPr>
            </w:pPr>
            <w:r>
              <w:rPr>
                <w:color w:val="0000FF"/>
              </w:rPr>
              <w:t>[20%]</w:t>
            </w:r>
          </w:p>
        </w:tc>
        <w:tc>
          <w:tcPr>
            <w:tcW w:w="545" w:type="pct"/>
            <w:vAlign w:val="bottom"/>
          </w:tcPr>
          <w:p w14:paraId="0C72A906"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25CAF451"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760B968C"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359B71DF"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276C38FA" w14:textId="77777777" w:rsidR="004F3885" w:rsidRDefault="004F3885" w:rsidP="00C575E9">
            <w:pPr>
              <w:widowControl w:val="0"/>
              <w:pBdr>
                <w:top w:val="nil"/>
                <w:left w:val="nil"/>
                <w:bottom w:val="nil"/>
                <w:right w:val="nil"/>
                <w:between w:val="nil"/>
              </w:pBdr>
              <w:jc w:val="right"/>
              <w:rPr>
                <w:color w:val="000000"/>
              </w:rPr>
            </w:pPr>
          </w:p>
        </w:tc>
      </w:tr>
      <w:tr w:rsidR="004F3885" w14:paraId="3DAB0A23" w14:textId="77777777" w:rsidTr="004F3885">
        <w:trPr>
          <w:trHeight w:val="23"/>
        </w:trPr>
        <w:tc>
          <w:tcPr>
            <w:tcW w:w="1137" w:type="pct"/>
            <w:vAlign w:val="bottom"/>
          </w:tcPr>
          <w:p w14:paraId="12A36F57" w14:textId="77777777" w:rsidR="004F3885" w:rsidRDefault="004F3885" w:rsidP="00C575E9">
            <w:pPr>
              <w:widowControl w:val="0"/>
              <w:ind w:left="113" w:hanging="113"/>
              <w:rPr>
                <w:color w:val="0000FF"/>
              </w:rPr>
            </w:pPr>
          </w:p>
        </w:tc>
        <w:tc>
          <w:tcPr>
            <w:tcW w:w="681" w:type="pct"/>
          </w:tcPr>
          <w:p w14:paraId="22F3219E" w14:textId="77777777" w:rsidR="004F3885" w:rsidRDefault="004F3885" w:rsidP="00C575E9">
            <w:pPr>
              <w:widowControl w:val="0"/>
              <w:pBdr>
                <w:top w:val="nil"/>
                <w:left w:val="nil"/>
                <w:bottom w:val="nil"/>
                <w:right w:val="nil"/>
                <w:between w:val="nil"/>
              </w:pBdr>
              <w:rPr>
                <w:color w:val="0000FF"/>
              </w:rPr>
            </w:pPr>
            <w:r>
              <w:rPr>
                <w:color w:val="0000FF"/>
              </w:rPr>
              <w:t>[Downside 1]</w:t>
            </w:r>
          </w:p>
        </w:tc>
        <w:tc>
          <w:tcPr>
            <w:tcW w:w="455" w:type="pct"/>
            <w:vAlign w:val="bottom"/>
          </w:tcPr>
          <w:p w14:paraId="645D6909" w14:textId="77777777" w:rsidR="004F3885" w:rsidRDefault="004F3885" w:rsidP="00C575E9">
            <w:pPr>
              <w:widowControl w:val="0"/>
              <w:pBdr>
                <w:top w:val="nil"/>
                <w:left w:val="nil"/>
                <w:bottom w:val="nil"/>
                <w:right w:val="nil"/>
                <w:between w:val="nil"/>
              </w:pBdr>
              <w:jc w:val="right"/>
              <w:rPr>
                <w:color w:val="0000FF"/>
              </w:rPr>
            </w:pPr>
            <w:r>
              <w:rPr>
                <w:color w:val="0000FF"/>
              </w:rPr>
              <w:t>[10%]</w:t>
            </w:r>
          </w:p>
        </w:tc>
        <w:tc>
          <w:tcPr>
            <w:tcW w:w="545" w:type="pct"/>
            <w:vAlign w:val="bottom"/>
          </w:tcPr>
          <w:p w14:paraId="6E9378C6"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2A8D4376"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0861BF31"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28F06C8E"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2A814E71" w14:textId="77777777" w:rsidR="004F3885" w:rsidRDefault="004F3885" w:rsidP="00C575E9">
            <w:pPr>
              <w:widowControl w:val="0"/>
              <w:pBdr>
                <w:top w:val="nil"/>
                <w:left w:val="nil"/>
                <w:bottom w:val="nil"/>
                <w:right w:val="nil"/>
                <w:between w:val="nil"/>
              </w:pBdr>
              <w:jc w:val="right"/>
              <w:rPr>
                <w:color w:val="000000"/>
              </w:rPr>
            </w:pPr>
          </w:p>
        </w:tc>
      </w:tr>
      <w:tr w:rsidR="004F3885" w14:paraId="5AFB8A50" w14:textId="77777777" w:rsidTr="004F3885">
        <w:trPr>
          <w:trHeight w:val="23"/>
        </w:trPr>
        <w:tc>
          <w:tcPr>
            <w:tcW w:w="1137" w:type="pct"/>
            <w:vAlign w:val="bottom"/>
          </w:tcPr>
          <w:p w14:paraId="65B0A652" w14:textId="77777777" w:rsidR="004F3885" w:rsidRDefault="004F3885" w:rsidP="00C575E9">
            <w:pPr>
              <w:widowControl w:val="0"/>
              <w:ind w:left="113" w:hanging="113"/>
              <w:rPr>
                <w:color w:val="0000FF"/>
              </w:rPr>
            </w:pPr>
          </w:p>
        </w:tc>
        <w:tc>
          <w:tcPr>
            <w:tcW w:w="681" w:type="pct"/>
          </w:tcPr>
          <w:p w14:paraId="44E98E2D" w14:textId="77777777" w:rsidR="004F3885" w:rsidRDefault="004F3885" w:rsidP="00C575E9">
            <w:pPr>
              <w:widowControl w:val="0"/>
              <w:pBdr>
                <w:top w:val="nil"/>
                <w:left w:val="nil"/>
                <w:bottom w:val="nil"/>
                <w:right w:val="nil"/>
                <w:between w:val="nil"/>
              </w:pBdr>
              <w:rPr>
                <w:color w:val="0000FF"/>
              </w:rPr>
            </w:pPr>
            <w:r>
              <w:rPr>
                <w:color w:val="0000FF"/>
              </w:rPr>
              <w:t>[Downside 2]</w:t>
            </w:r>
          </w:p>
        </w:tc>
        <w:tc>
          <w:tcPr>
            <w:tcW w:w="455" w:type="pct"/>
            <w:vAlign w:val="bottom"/>
          </w:tcPr>
          <w:p w14:paraId="4F002DE3" w14:textId="77777777" w:rsidR="004F3885" w:rsidRDefault="004F3885" w:rsidP="00C575E9">
            <w:pPr>
              <w:widowControl w:val="0"/>
              <w:pBdr>
                <w:top w:val="nil"/>
                <w:left w:val="nil"/>
                <w:bottom w:val="nil"/>
                <w:right w:val="nil"/>
                <w:between w:val="nil"/>
              </w:pBdr>
              <w:jc w:val="right"/>
              <w:rPr>
                <w:color w:val="0000FF"/>
              </w:rPr>
            </w:pPr>
            <w:r>
              <w:rPr>
                <w:color w:val="0000FF"/>
              </w:rPr>
              <w:t>[10%]</w:t>
            </w:r>
          </w:p>
        </w:tc>
        <w:tc>
          <w:tcPr>
            <w:tcW w:w="545" w:type="pct"/>
            <w:vAlign w:val="bottom"/>
          </w:tcPr>
          <w:p w14:paraId="54ED39A0"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2BC89900"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49A261BA"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758BF668"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578EBD2" w14:textId="77777777" w:rsidR="004F3885" w:rsidRDefault="004F3885" w:rsidP="00C575E9">
            <w:pPr>
              <w:widowControl w:val="0"/>
              <w:pBdr>
                <w:top w:val="nil"/>
                <w:left w:val="nil"/>
                <w:bottom w:val="nil"/>
                <w:right w:val="nil"/>
                <w:between w:val="nil"/>
              </w:pBdr>
              <w:jc w:val="right"/>
              <w:rPr>
                <w:color w:val="000000"/>
              </w:rPr>
            </w:pPr>
          </w:p>
        </w:tc>
      </w:tr>
      <w:tr w:rsidR="004F3885" w14:paraId="46AF6BAE" w14:textId="77777777" w:rsidTr="004F3885">
        <w:trPr>
          <w:trHeight w:val="23"/>
        </w:trPr>
        <w:tc>
          <w:tcPr>
            <w:tcW w:w="1137" w:type="pct"/>
            <w:vAlign w:val="bottom"/>
          </w:tcPr>
          <w:p w14:paraId="7EF613A6" w14:textId="77777777" w:rsidR="004F3885" w:rsidRDefault="004F3885" w:rsidP="00C575E9">
            <w:pPr>
              <w:widowControl w:val="0"/>
              <w:ind w:left="113" w:hanging="113"/>
              <w:rPr>
                <w:color w:val="0000FF"/>
              </w:rPr>
            </w:pPr>
          </w:p>
        </w:tc>
        <w:tc>
          <w:tcPr>
            <w:tcW w:w="681" w:type="pct"/>
          </w:tcPr>
          <w:p w14:paraId="415CB96C" w14:textId="77777777" w:rsidR="004F3885" w:rsidRDefault="004F3885" w:rsidP="00C575E9">
            <w:pPr>
              <w:widowControl w:val="0"/>
              <w:pBdr>
                <w:top w:val="nil"/>
                <w:left w:val="nil"/>
                <w:bottom w:val="nil"/>
                <w:right w:val="nil"/>
                <w:between w:val="nil"/>
              </w:pBdr>
              <w:rPr>
                <w:color w:val="000000"/>
              </w:rPr>
            </w:pPr>
          </w:p>
        </w:tc>
        <w:tc>
          <w:tcPr>
            <w:tcW w:w="455" w:type="pct"/>
            <w:vAlign w:val="bottom"/>
          </w:tcPr>
          <w:p w14:paraId="1D42304A" w14:textId="77777777" w:rsidR="004F3885" w:rsidRDefault="004F3885" w:rsidP="00C575E9">
            <w:pPr>
              <w:widowControl w:val="0"/>
              <w:pBdr>
                <w:top w:val="nil"/>
                <w:left w:val="nil"/>
                <w:bottom w:val="nil"/>
                <w:right w:val="nil"/>
                <w:between w:val="nil"/>
              </w:pBdr>
              <w:rPr>
                <w:color w:val="000000"/>
              </w:rPr>
            </w:pPr>
          </w:p>
        </w:tc>
        <w:tc>
          <w:tcPr>
            <w:tcW w:w="545" w:type="pct"/>
            <w:vAlign w:val="bottom"/>
          </w:tcPr>
          <w:p w14:paraId="0F434860"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233C34E9"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7C6A4A9"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7AA7D550"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3AF49D0" w14:textId="77777777" w:rsidR="004F3885" w:rsidRDefault="004F3885" w:rsidP="00C575E9">
            <w:pPr>
              <w:widowControl w:val="0"/>
              <w:pBdr>
                <w:top w:val="nil"/>
                <w:left w:val="nil"/>
                <w:bottom w:val="nil"/>
                <w:right w:val="nil"/>
                <w:between w:val="nil"/>
              </w:pBdr>
              <w:jc w:val="right"/>
              <w:rPr>
                <w:color w:val="000000"/>
              </w:rPr>
            </w:pPr>
          </w:p>
        </w:tc>
      </w:tr>
      <w:tr w:rsidR="004F3885" w14:paraId="09A62096" w14:textId="77777777" w:rsidTr="004F3885">
        <w:trPr>
          <w:trHeight w:val="23"/>
        </w:trPr>
        <w:tc>
          <w:tcPr>
            <w:tcW w:w="1137" w:type="pct"/>
            <w:vAlign w:val="bottom"/>
          </w:tcPr>
          <w:p w14:paraId="52C2D81D" w14:textId="77777777" w:rsidR="004F3885" w:rsidRDefault="004F3885" w:rsidP="00C575E9">
            <w:pPr>
              <w:widowControl w:val="0"/>
              <w:ind w:left="113" w:hanging="113"/>
              <w:rPr>
                <w:b/>
                <w:color w:val="0000FF"/>
              </w:rPr>
            </w:pPr>
            <w:r>
              <w:rPr>
                <w:b/>
                <w:color w:val="0000FF"/>
              </w:rPr>
              <w:t>[Unemployment rate]</w:t>
            </w:r>
          </w:p>
        </w:tc>
        <w:tc>
          <w:tcPr>
            <w:tcW w:w="681" w:type="pct"/>
          </w:tcPr>
          <w:p w14:paraId="17E9AB93" w14:textId="77777777" w:rsidR="004F3885" w:rsidRDefault="004F3885" w:rsidP="00C575E9">
            <w:pPr>
              <w:widowControl w:val="0"/>
              <w:pBdr>
                <w:top w:val="nil"/>
                <w:left w:val="nil"/>
                <w:bottom w:val="nil"/>
                <w:right w:val="nil"/>
                <w:between w:val="nil"/>
              </w:pBdr>
              <w:rPr>
                <w:color w:val="000000"/>
              </w:rPr>
            </w:pPr>
            <w:r>
              <w:rPr>
                <w:color w:val="0000FF"/>
              </w:rPr>
              <w:t>[Base]</w:t>
            </w:r>
          </w:p>
        </w:tc>
        <w:tc>
          <w:tcPr>
            <w:tcW w:w="455" w:type="pct"/>
            <w:vAlign w:val="bottom"/>
          </w:tcPr>
          <w:p w14:paraId="7A67F479" w14:textId="77777777" w:rsidR="004F3885" w:rsidRDefault="004F3885" w:rsidP="00C575E9">
            <w:pPr>
              <w:widowControl w:val="0"/>
              <w:pBdr>
                <w:top w:val="nil"/>
                <w:left w:val="nil"/>
                <w:bottom w:val="nil"/>
                <w:right w:val="nil"/>
                <w:between w:val="nil"/>
              </w:pBdr>
              <w:jc w:val="right"/>
              <w:rPr>
                <w:color w:val="000000"/>
              </w:rPr>
            </w:pPr>
            <w:r>
              <w:rPr>
                <w:color w:val="0000FF"/>
              </w:rPr>
              <w:t>[60%]</w:t>
            </w:r>
          </w:p>
        </w:tc>
        <w:tc>
          <w:tcPr>
            <w:tcW w:w="545" w:type="pct"/>
            <w:vAlign w:val="bottom"/>
          </w:tcPr>
          <w:p w14:paraId="011AD081"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7CBD92CA"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0FB55CDA"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3BB7D3D0"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645AA62" w14:textId="77777777" w:rsidR="004F3885" w:rsidRDefault="004F3885" w:rsidP="00C575E9">
            <w:pPr>
              <w:widowControl w:val="0"/>
              <w:pBdr>
                <w:top w:val="nil"/>
                <w:left w:val="nil"/>
                <w:bottom w:val="nil"/>
                <w:right w:val="nil"/>
                <w:between w:val="nil"/>
              </w:pBdr>
              <w:jc w:val="right"/>
              <w:rPr>
                <w:color w:val="000000"/>
              </w:rPr>
            </w:pPr>
          </w:p>
        </w:tc>
      </w:tr>
      <w:tr w:rsidR="004F3885" w14:paraId="7D9A62EA" w14:textId="77777777" w:rsidTr="004F3885">
        <w:trPr>
          <w:trHeight w:val="23"/>
        </w:trPr>
        <w:tc>
          <w:tcPr>
            <w:tcW w:w="1137" w:type="pct"/>
            <w:vAlign w:val="bottom"/>
          </w:tcPr>
          <w:p w14:paraId="453CC9B2" w14:textId="77777777" w:rsidR="004F3885" w:rsidRDefault="004F3885" w:rsidP="00C575E9">
            <w:pPr>
              <w:widowControl w:val="0"/>
              <w:ind w:left="113" w:hanging="113"/>
              <w:rPr>
                <w:color w:val="0000FF"/>
              </w:rPr>
            </w:pPr>
          </w:p>
        </w:tc>
        <w:tc>
          <w:tcPr>
            <w:tcW w:w="681" w:type="pct"/>
          </w:tcPr>
          <w:p w14:paraId="48129C23" w14:textId="77777777" w:rsidR="004F3885" w:rsidRDefault="004F3885" w:rsidP="00C575E9">
            <w:pPr>
              <w:widowControl w:val="0"/>
              <w:pBdr>
                <w:top w:val="nil"/>
                <w:left w:val="nil"/>
                <w:bottom w:val="nil"/>
                <w:right w:val="nil"/>
                <w:between w:val="nil"/>
              </w:pBdr>
              <w:rPr>
                <w:color w:val="000000"/>
              </w:rPr>
            </w:pPr>
            <w:r>
              <w:rPr>
                <w:color w:val="0000FF"/>
              </w:rPr>
              <w:t>[Upside]</w:t>
            </w:r>
          </w:p>
        </w:tc>
        <w:tc>
          <w:tcPr>
            <w:tcW w:w="455" w:type="pct"/>
            <w:vAlign w:val="bottom"/>
          </w:tcPr>
          <w:p w14:paraId="0CFCC8D4" w14:textId="77777777" w:rsidR="004F3885" w:rsidRDefault="004F3885" w:rsidP="00C575E9">
            <w:pPr>
              <w:widowControl w:val="0"/>
              <w:pBdr>
                <w:top w:val="nil"/>
                <w:left w:val="nil"/>
                <w:bottom w:val="nil"/>
                <w:right w:val="nil"/>
                <w:between w:val="nil"/>
              </w:pBdr>
              <w:jc w:val="right"/>
              <w:rPr>
                <w:color w:val="000000"/>
              </w:rPr>
            </w:pPr>
            <w:r>
              <w:rPr>
                <w:color w:val="0000FF"/>
              </w:rPr>
              <w:t>[20%]</w:t>
            </w:r>
          </w:p>
        </w:tc>
        <w:tc>
          <w:tcPr>
            <w:tcW w:w="545" w:type="pct"/>
            <w:vAlign w:val="bottom"/>
          </w:tcPr>
          <w:p w14:paraId="58B125E3"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1F074A23"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75B3DDEE"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055DCAA"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48FF1A22" w14:textId="77777777" w:rsidR="004F3885" w:rsidRDefault="004F3885" w:rsidP="00C575E9">
            <w:pPr>
              <w:widowControl w:val="0"/>
              <w:pBdr>
                <w:top w:val="nil"/>
                <w:left w:val="nil"/>
                <w:bottom w:val="nil"/>
                <w:right w:val="nil"/>
                <w:between w:val="nil"/>
              </w:pBdr>
              <w:jc w:val="right"/>
              <w:rPr>
                <w:color w:val="000000"/>
              </w:rPr>
            </w:pPr>
          </w:p>
        </w:tc>
      </w:tr>
      <w:tr w:rsidR="004F3885" w14:paraId="73507171" w14:textId="77777777" w:rsidTr="004F3885">
        <w:trPr>
          <w:trHeight w:val="23"/>
        </w:trPr>
        <w:tc>
          <w:tcPr>
            <w:tcW w:w="1137" w:type="pct"/>
            <w:vAlign w:val="bottom"/>
          </w:tcPr>
          <w:p w14:paraId="26D19FAC" w14:textId="77777777" w:rsidR="004F3885" w:rsidRDefault="004F3885" w:rsidP="00C575E9">
            <w:pPr>
              <w:widowControl w:val="0"/>
              <w:ind w:left="113" w:hanging="113"/>
              <w:rPr>
                <w:color w:val="0000FF"/>
              </w:rPr>
            </w:pPr>
          </w:p>
        </w:tc>
        <w:tc>
          <w:tcPr>
            <w:tcW w:w="681" w:type="pct"/>
          </w:tcPr>
          <w:p w14:paraId="52E75C48" w14:textId="77777777" w:rsidR="004F3885" w:rsidRDefault="004F3885" w:rsidP="00C575E9">
            <w:pPr>
              <w:widowControl w:val="0"/>
              <w:pBdr>
                <w:top w:val="nil"/>
                <w:left w:val="nil"/>
                <w:bottom w:val="nil"/>
                <w:right w:val="nil"/>
                <w:between w:val="nil"/>
              </w:pBdr>
              <w:rPr>
                <w:color w:val="000000"/>
              </w:rPr>
            </w:pPr>
            <w:r>
              <w:rPr>
                <w:color w:val="0000FF"/>
              </w:rPr>
              <w:t>[Downside 1]</w:t>
            </w:r>
          </w:p>
        </w:tc>
        <w:tc>
          <w:tcPr>
            <w:tcW w:w="455" w:type="pct"/>
            <w:vAlign w:val="bottom"/>
          </w:tcPr>
          <w:p w14:paraId="10CC04FC" w14:textId="77777777" w:rsidR="004F3885" w:rsidRDefault="004F3885" w:rsidP="00C575E9">
            <w:pPr>
              <w:widowControl w:val="0"/>
              <w:pBdr>
                <w:top w:val="nil"/>
                <w:left w:val="nil"/>
                <w:bottom w:val="nil"/>
                <w:right w:val="nil"/>
                <w:between w:val="nil"/>
              </w:pBdr>
              <w:jc w:val="right"/>
              <w:rPr>
                <w:color w:val="000000"/>
              </w:rPr>
            </w:pPr>
            <w:r>
              <w:rPr>
                <w:color w:val="0000FF"/>
              </w:rPr>
              <w:t>[10%]</w:t>
            </w:r>
          </w:p>
        </w:tc>
        <w:tc>
          <w:tcPr>
            <w:tcW w:w="545" w:type="pct"/>
            <w:vAlign w:val="bottom"/>
          </w:tcPr>
          <w:p w14:paraId="7DE7EE51"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45AE9129"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503B5C6"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0A614BA5"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19F9CD5" w14:textId="77777777" w:rsidR="004F3885" w:rsidRDefault="004F3885" w:rsidP="00C575E9">
            <w:pPr>
              <w:widowControl w:val="0"/>
              <w:pBdr>
                <w:top w:val="nil"/>
                <w:left w:val="nil"/>
                <w:bottom w:val="nil"/>
                <w:right w:val="nil"/>
                <w:between w:val="nil"/>
              </w:pBdr>
              <w:jc w:val="right"/>
              <w:rPr>
                <w:color w:val="000000"/>
              </w:rPr>
            </w:pPr>
          </w:p>
        </w:tc>
      </w:tr>
      <w:tr w:rsidR="004F3885" w14:paraId="30BEAF86" w14:textId="77777777" w:rsidTr="004F3885">
        <w:trPr>
          <w:trHeight w:val="23"/>
        </w:trPr>
        <w:tc>
          <w:tcPr>
            <w:tcW w:w="1137" w:type="pct"/>
            <w:vAlign w:val="bottom"/>
          </w:tcPr>
          <w:p w14:paraId="701CE2A0" w14:textId="77777777" w:rsidR="004F3885" w:rsidRDefault="004F3885" w:rsidP="00C575E9">
            <w:pPr>
              <w:widowControl w:val="0"/>
              <w:ind w:left="113" w:hanging="113"/>
              <w:rPr>
                <w:color w:val="0000FF"/>
              </w:rPr>
            </w:pPr>
          </w:p>
        </w:tc>
        <w:tc>
          <w:tcPr>
            <w:tcW w:w="681" w:type="pct"/>
          </w:tcPr>
          <w:p w14:paraId="1F2F0798" w14:textId="77777777" w:rsidR="004F3885" w:rsidRDefault="004F3885" w:rsidP="00C575E9">
            <w:pPr>
              <w:widowControl w:val="0"/>
              <w:pBdr>
                <w:top w:val="nil"/>
                <w:left w:val="nil"/>
                <w:bottom w:val="nil"/>
                <w:right w:val="nil"/>
                <w:between w:val="nil"/>
              </w:pBdr>
              <w:rPr>
                <w:color w:val="000000"/>
              </w:rPr>
            </w:pPr>
            <w:r>
              <w:rPr>
                <w:color w:val="0000FF"/>
              </w:rPr>
              <w:t>[Downside 2]</w:t>
            </w:r>
          </w:p>
        </w:tc>
        <w:tc>
          <w:tcPr>
            <w:tcW w:w="455" w:type="pct"/>
            <w:vAlign w:val="bottom"/>
          </w:tcPr>
          <w:p w14:paraId="6A43023F" w14:textId="77777777" w:rsidR="004F3885" w:rsidRDefault="004F3885" w:rsidP="00C575E9">
            <w:pPr>
              <w:widowControl w:val="0"/>
              <w:pBdr>
                <w:top w:val="nil"/>
                <w:left w:val="nil"/>
                <w:bottom w:val="nil"/>
                <w:right w:val="nil"/>
                <w:between w:val="nil"/>
              </w:pBdr>
              <w:jc w:val="right"/>
              <w:rPr>
                <w:color w:val="000000"/>
              </w:rPr>
            </w:pPr>
            <w:r>
              <w:rPr>
                <w:color w:val="0000FF"/>
              </w:rPr>
              <w:t>[10%]</w:t>
            </w:r>
          </w:p>
        </w:tc>
        <w:tc>
          <w:tcPr>
            <w:tcW w:w="545" w:type="pct"/>
            <w:vAlign w:val="bottom"/>
          </w:tcPr>
          <w:p w14:paraId="27BA1549"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28CF68AA"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37EEFEC0"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66AFE00B"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0432ED1A" w14:textId="77777777" w:rsidR="004F3885" w:rsidRDefault="004F3885" w:rsidP="00C575E9">
            <w:pPr>
              <w:widowControl w:val="0"/>
              <w:pBdr>
                <w:top w:val="nil"/>
                <w:left w:val="nil"/>
                <w:bottom w:val="nil"/>
                <w:right w:val="nil"/>
                <w:between w:val="nil"/>
              </w:pBdr>
              <w:jc w:val="right"/>
              <w:rPr>
                <w:color w:val="000000"/>
              </w:rPr>
            </w:pPr>
          </w:p>
        </w:tc>
      </w:tr>
      <w:tr w:rsidR="004F3885" w14:paraId="5B89C5B2" w14:textId="77777777" w:rsidTr="004F3885">
        <w:trPr>
          <w:trHeight w:val="23"/>
        </w:trPr>
        <w:tc>
          <w:tcPr>
            <w:tcW w:w="1137" w:type="pct"/>
            <w:vAlign w:val="bottom"/>
          </w:tcPr>
          <w:p w14:paraId="1E60808C" w14:textId="77777777" w:rsidR="004F3885" w:rsidRDefault="004F3885" w:rsidP="00C575E9">
            <w:pPr>
              <w:widowControl w:val="0"/>
              <w:ind w:left="113" w:hanging="113"/>
              <w:rPr>
                <w:color w:val="0000FF"/>
              </w:rPr>
            </w:pPr>
          </w:p>
        </w:tc>
        <w:tc>
          <w:tcPr>
            <w:tcW w:w="681" w:type="pct"/>
          </w:tcPr>
          <w:p w14:paraId="77303EAB" w14:textId="77777777" w:rsidR="004F3885" w:rsidRDefault="004F3885" w:rsidP="00C575E9">
            <w:pPr>
              <w:widowControl w:val="0"/>
              <w:pBdr>
                <w:top w:val="nil"/>
                <w:left w:val="nil"/>
                <w:bottom w:val="nil"/>
                <w:right w:val="nil"/>
                <w:between w:val="nil"/>
              </w:pBdr>
              <w:rPr>
                <w:color w:val="000000"/>
              </w:rPr>
            </w:pPr>
          </w:p>
        </w:tc>
        <w:tc>
          <w:tcPr>
            <w:tcW w:w="455" w:type="pct"/>
            <w:vAlign w:val="bottom"/>
          </w:tcPr>
          <w:p w14:paraId="10E10EB9" w14:textId="77777777" w:rsidR="004F3885" w:rsidRDefault="004F3885" w:rsidP="00C575E9">
            <w:pPr>
              <w:widowControl w:val="0"/>
              <w:pBdr>
                <w:top w:val="nil"/>
                <w:left w:val="nil"/>
                <w:bottom w:val="nil"/>
                <w:right w:val="nil"/>
                <w:between w:val="nil"/>
              </w:pBdr>
              <w:rPr>
                <w:color w:val="000000"/>
              </w:rPr>
            </w:pPr>
          </w:p>
        </w:tc>
        <w:tc>
          <w:tcPr>
            <w:tcW w:w="545" w:type="pct"/>
            <w:vAlign w:val="bottom"/>
          </w:tcPr>
          <w:p w14:paraId="24FE9890"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562F9F7B"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7C062359"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286FC3B"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F871050" w14:textId="77777777" w:rsidR="004F3885" w:rsidRDefault="004F3885" w:rsidP="00C575E9">
            <w:pPr>
              <w:widowControl w:val="0"/>
              <w:pBdr>
                <w:top w:val="nil"/>
                <w:left w:val="nil"/>
                <w:bottom w:val="nil"/>
                <w:right w:val="nil"/>
                <w:between w:val="nil"/>
              </w:pBdr>
              <w:jc w:val="right"/>
              <w:rPr>
                <w:color w:val="000000"/>
              </w:rPr>
            </w:pPr>
          </w:p>
        </w:tc>
      </w:tr>
      <w:tr w:rsidR="004F3885" w14:paraId="757C42DC" w14:textId="77777777" w:rsidTr="004F3885">
        <w:trPr>
          <w:trHeight w:val="23"/>
        </w:trPr>
        <w:tc>
          <w:tcPr>
            <w:tcW w:w="1137" w:type="pct"/>
            <w:vAlign w:val="bottom"/>
          </w:tcPr>
          <w:p w14:paraId="4F722870" w14:textId="77777777" w:rsidR="004F3885" w:rsidRDefault="004F3885" w:rsidP="00C575E9">
            <w:pPr>
              <w:widowControl w:val="0"/>
              <w:ind w:left="113" w:hanging="113"/>
              <w:rPr>
                <w:b/>
                <w:color w:val="0000FF"/>
              </w:rPr>
            </w:pPr>
            <w:r>
              <w:rPr>
                <w:b/>
                <w:color w:val="0000FF"/>
              </w:rPr>
              <w:t>[GDP Growth rate]</w:t>
            </w:r>
          </w:p>
        </w:tc>
        <w:tc>
          <w:tcPr>
            <w:tcW w:w="681" w:type="pct"/>
          </w:tcPr>
          <w:p w14:paraId="6986244E" w14:textId="77777777" w:rsidR="004F3885" w:rsidRDefault="004F3885" w:rsidP="00C575E9">
            <w:pPr>
              <w:widowControl w:val="0"/>
              <w:pBdr>
                <w:top w:val="nil"/>
                <w:left w:val="nil"/>
                <w:bottom w:val="nil"/>
                <w:right w:val="nil"/>
                <w:between w:val="nil"/>
              </w:pBdr>
              <w:rPr>
                <w:color w:val="000000"/>
              </w:rPr>
            </w:pPr>
            <w:r>
              <w:rPr>
                <w:color w:val="0000FF"/>
              </w:rPr>
              <w:t>[Base]</w:t>
            </w:r>
          </w:p>
        </w:tc>
        <w:tc>
          <w:tcPr>
            <w:tcW w:w="455" w:type="pct"/>
            <w:vAlign w:val="bottom"/>
          </w:tcPr>
          <w:p w14:paraId="5A2BB973" w14:textId="77777777" w:rsidR="004F3885" w:rsidRDefault="004F3885" w:rsidP="00C575E9">
            <w:pPr>
              <w:widowControl w:val="0"/>
              <w:pBdr>
                <w:top w:val="nil"/>
                <w:left w:val="nil"/>
                <w:bottom w:val="nil"/>
                <w:right w:val="nil"/>
                <w:between w:val="nil"/>
              </w:pBdr>
              <w:jc w:val="right"/>
              <w:rPr>
                <w:color w:val="000000"/>
              </w:rPr>
            </w:pPr>
            <w:r>
              <w:rPr>
                <w:color w:val="0000FF"/>
              </w:rPr>
              <w:t>[60%]</w:t>
            </w:r>
          </w:p>
        </w:tc>
        <w:tc>
          <w:tcPr>
            <w:tcW w:w="545" w:type="pct"/>
            <w:vAlign w:val="bottom"/>
          </w:tcPr>
          <w:p w14:paraId="5A7646F2"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068C8769"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8338449"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4B66C6C0"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40E3929C" w14:textId="77777777" w:rsidR="004F3885" w:rsidRDefault="004F3885" w:rsidP="00C575E9">
            <w:pPr>
              <w:widowControl w:val="0"/>
              <w:pBdr>
                <w:top w:val="nil"/>
                <w:left w:val="nil"/>
                <w:bottom w:val="nil"/>
                <w:right w:val="nil"/>
                <w:between w:val="nil"/>
              </w:pBdr>
              <w:jc w:val="right"/>
              <w:rPr>
                <w:color w:val="000000"/>
              </w:rPr>
            </w:pPr>
          </w:p>
        </w:tc>
      </w:tr>
      <w:tr w:rsidR="004F3885" w14:paraId="2CBD6813" w14:textId="77777777" w:rsidTr="004F3885">
        <w:trPr>
          <w:trHeight w:val="23"/>
        </w:trPr>
        <w:tc>
          <w:tcPr>
            <w:tcW w:w="1137" w:type="pct"/>
            <w:vAlign w:val="bottom"/>
          </w:tcPr>
          <w:p w14:paraId="3B1DEA1C" w14:textId="77777777" w:rsidR="004F3885" w:rsidRDefault="004F3885" w:rsidP="00C575E9">
            <w:pPr>
              <w:widowControl w:val="0"/>
              <w:ind w:left="113" w:hanging="113"/>
              <w:rPr>
                <w:color w:val="0000FF"/>
              </w:rPr>
            </w:pPr>
          </w:p>
        </w:tc>
        <w:tc>
          <w:tcPr>
            <w:tcW w:w="681" w:type="pct"/>
          </w:tcPr>
          <w:p w14:paraId="05AAF523" w14:textId="77777777" w:rsidR="004F3885" w:rsidRDefault="004F3885" w:rsidP="00C575E9">
            <w:pPr>
              <w:widowControl w:val="0"/>
              <w:pBdr>
                <w:top w:val="nil"/>
                <w:left w:val="nil"/>
                <w:bottom w:val="nil"/>
                <w:right w:val="nil"/>
                <w:between w:val="nil"/>
              </w:pBdr>
              <w:rPr>
                <w:color w:val="000000"/>
              </w:rPr>
            </w:pPr>
            <w:r>
              <w:rPr>
                <w:color w:val="0000FF"/>
              </w:rPr>
              <w:t>[Upside]</w:t>
            </w:r>
          </w:p>
        </w:tc>
        <w:tc>
          <w:tcPr>
            <w:tcW w:w="455" w:type="pct"/>
            <w:vAlign w:val="bottom"/>
          </w:tcPr>
          <w:p w14:paraId="0A8B05B4" w14:textId="77777777" w:rsidR="004F3885" w:rsidRDefault="004F3885" w:rsidP="00C575E9">
            <w:pPr>
              <w:widowControl w:val="0"/>
              <w:pBdr>
                <w:top w:val="nil"/>
                <w:left w:val="nil"/>
                <w:bottom w:val="nil"/>
                <w:right w:val="nil"/>
                <w:between w:val="nil"/>
              </w:pBdr>
              <w:jc w:val="right"/>
              <w:rPr>
                <w:color w:val="000000"/>
              </w:rPr>
            </w:pPr>
            <w:r>
              <w:rPr>
                <w:color w:val="0000FF"/>
              </w:rPr>
              <w:t>[20%]</w:t>
            </w:r>
          </w:p>
        </w:tc>
        <w:tc>
          <w:tcPr>
            <w:tcW w:w="545" w:type="pct"/>
            <w:vAlign w:val="bottom"/>
          </w:tcPr>
          <w:p w14:paraId="12667088"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7EF7D656"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04E6A5A5"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F6D5CEC"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41928321" w14:textId="77777777" w:rsidR="004F3885" w:rsidRDefault="004F3885" w:rsidP="00C575E9">
            <w:pPr>
              <w:widowControl w:val="0"/>
              <w:pBdr>
                <w:top w:val="nil"/>
                <w:left w:val="nil"/>
                <w:bottom w:val="nil"/>
                <w:right w:val="nil"/>
                <w:between w:val="nil"/>
              </w:pBdr>
              <w:jc w:val="right"/>
              <w:rPr>
                <w:color w:val="000000"/>
              </w:rPr>
            </w:pPr>
          </w:p>
        </w:tc>
      </w:tr>
      <w:tr w:rsidR="004F3885" w14:paraId="54901FA0" w14:textId="77777777" w:rsidTr="004F3885">
        <w:trPr>
          <w:trHeight w:val="23"/>
        </w:trPr>
        <w:tc>
          <w:tcPr>
            <w:tcW w:w="1137" w:type="pct"/>
            <w:vAlign w:val="bottom"/>
          </w:tcPr>
          <w:p w14:paraId="794E67A2" w14:textId="77777777" w:rsidR="004F3885" w:rsidRDefault="004F3885" w:rsidP="00C575E9">
            <w:pPr>
              <w:widowControl w:val="0"/>
              <w:ind w:left="113" w:hanging="113"/>
              <w:rPr>
                <w:color w:val="0000FF"/>
              </w:rPr>
            </w:pPr>
          </w:p>
        </w:tc>
        <w:tc>
          <w:tcPr>
            <w:tcW w:w="681" w:type="pct"/>
          </w:tcPr>
          <w:p w14:paraId="4FEA9DAC" w14:textId="77777777" w:rsidR="004F3885" w:rsidRDefault="004F3885" w:rsidP="00C575E9">
            <w:pPr>
              <w:widowControl w:val="0"/>
              <w:pBdr>
                <w:top w:val="nil"/>
                <w:left w:val="nil"/>
                <w:bottom w:val="nil"/>
                <w:right w:val="nil"/>
                <w:between w:val="nil"/>
              </w:pBdr>
              <w:rPr>
                <w:color w:val="000000"/>
              </w:rPr>
            </w:pPr>
            <w:r>
              <w:rPr>
                <w:color w:val="0000FF"/>
              </w:rPr>
              <w:t>[Downside 1]</w:t>
            </w:r>
          </w:p>
        </w:tc>
        <w:tc>
          <w:tcPr>
            <w:tcW w:w="455" w:type="pct"/>
            <w:vAlign w:val="bottom"/>
          </w:tcPr>
          <w:p w14:paraId="76AFB802" w14:textId="77777777" w:rsidR="004F3885" w:rsidRDefault="004F3885" w:rsidP="00C575E9">
            <w:pPr>
              <w:widowControl w:val="0"/>
              <w:pBdr>
                <w:top w:val="nil"/>
                <w:left w:val="nil"/>
                <w:bottom w:val="nil"/>
                <w:right w:val="nil"/>
                <w:between w:val="nil"/>
              </w:pBdr>
              <w:jc w:val="right"/>
              <w:rPr>
                <w:color w:val="000000"/>
              </w:rPr>
            </w:pPr>
            <w:r>
              <w:rPr>
                <w:color w:val="0000FF"/>
              </w:rPr>
              <w:t>[10%]</w:t>
            </w:r>
          </w:p>
        </w:tc>
        <w:tc>
          <w:tcPr>
            <w:tcW w:w="545" w:type="pct"/>
            <w:vAlign w:val="bottom"/>
          </w:tcPr>
          <w:p w14:paraId="4E330D7A"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1798D89D"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DBAC9F6"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61E2D4C8"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609E481" w14:textId="77777777" w:rsidR="004F3885" w:rsidRDefault="004F3885" w:rsidP="00C575E9">
            <w:pPr>
              <w:widowControl w:val="0"/>
              <w:pBdr>
                <w:top w:val="nil"/>
                <w:left w:val="nil"/>
                <w:bottom w:val="nil"/>
                <w:right w:val="nil"/>
                <w:between w:val="nil"/>
              </w:pBdr>
              <w:jc w:val="right"/>
              <w:rPr>
                <w:color w:val="000000"/>
              </w:rPr>
            </w:pPr>
          </w:p>
        </w:tc>
      </w:tr>
      <w:tr w:rsidR="004F3885" w14:paraId="4430D613" w14:textId="77777777" w:rsidTr="004F3885">
        <w:trPr>
          <w:trHeight w:val="23"/>
        </w:trPr>
        <w:tc>
          <w:tcPr>
            <w:tcW w:w="1137" w:type="pct"/>
            <w:vAlign w:val="bottom"/>
          </w:tcPr>
          <w:p w14:paraId="381A1325" w14:textId="77777777" w:rsidR="004F3885" w:rsidRDefault="004F3885" w:rsidP="00C575E9">
            <w:pPr>
              <w:widowControl w:val="0"/>
              <w:ind w:left="113" w:hanging="113"/>
              <w:rPr>
                <w:color w:val="0000FF"/>
              </w:rPr>
            </w:pPr>
          </w:p>
        </w:tc>
        <w:tc>
          <w:tcPr>
            <w:tcW w:w="681" w:type="pct"/>
          </w:tcPr>
          <w:p w14:paraId="5B5D39FF" w14:textId="77777777" w:rsidR="004F3885" w:rsidRDefault="004F3885" w:rsidP="00C575E9">
            <w:pPr>
              <w:widowControl w:val="0"/>
              <w:pBdr>
                <w:top w:val="nil"/>
                <w:left w:val="nil"/>
                <w:bottom w:val="nil"/>
                <w:right w:val="nil"/>
                <w:between w:val="nil"/>
              </w:pBdr>
              <w:rPr>
                <w:color w:val="000000"/>
              </w:rPr>
            </w:pPr>
            <w:r>
              <w:rPr>
                <w:color w:val="0000FF"/>
              </w:rPr>
              <w:t>[Downside 2]</w:t>
            </w:r>
          </w:p>
        </w:tc>
        <w:tc>
          <w:tcPr>
            <w:tcW w:w="455" w:type="pct"/>
            <w:vAlign w:val="bottom"/>
          </w:tcPr>
          <w:p w14:paraId="2286D763" w14:textId="77777777" w:rsidR="004F3885" w:rsidRDefault="004F3885" w:rsidP="00C575E9">
            <w:pPr>
              <w:widowControl w:val="0"/>
              <w:pBdr>
                <w:top w:val="nil"/>
                <w:left w:val="nil"/>
                <w:bottom w:val="nil"/>
                <w:right w:val="nil"/>
                <w:between w:val="nil"/>
              </w:pBdr>
              <w:jc w:val="right"/>
              <w:rPr>
                <w:color w:val="000000"/>
              </w:rPr>
            </w:pPr>
            <w:r>
              <w:rPr>
                <w:color w:val="0000FF"/>
              </w:rPr>
              <w:t>[10%]</w:t>
            </w:r>
          </w:p>
        </w:tc>
        <w:tc>
          <w:tcPr>
            <w:tcW w:w="545" w:type="pct"/>
            <w:vAlign w:val="bottom"/>
          </w:tcPr>
          <w:p w14:paraId="2A01AC16"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1D338789"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CE34771"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638AE7E"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78AD598" w14:textId="77777777" w:rsidR="004F3885" w:rsidRDefault="004F3885" w:rsidP="00C575E9">
            <w:pPr>
              <w:widowControl w:val="0"/>
              <w:pBdr>
                <w:top w:val="nil"/>
                <w:left w:val="nil"/>
                <w:bottom w:val="nil"/>
                <w:right w:val="nil"/>
                <w:between w:val="nil"/>
              </w:pBdr>
              <w:jc w:val="right"/>
              <w:rPr>
                <w:color w:val="000000"/>
              </w:rPr>
            </w:pPr>
          </w:p>
        </w:tc>
      </w:tr>
      <w:tr w:rsidR="004F3885" w14:paraId="119D5F5F" w14:textId="77777777" w:rsidTr="004F3885">
        <w:trPr>
          <w:trHeight w:val="23"/>
        </w:trPr>
        <w:tc>
          <w:tcPr>
            <w:tcW w:w="1137" w:type="pct"/>
            <w:vAlign w:val="bottom"/>
          </w:tcPr>
          <w:p w14:paraId="2091770A" w14:textId="77777777" w:rsidR="004F3885" w:rsidRDefault="004F3885" w:rsidP="00C575E9">
            <w:pPr>
              <w:widowControl w:val="0"/>
              <w:ind w:left="113" w:hanging="113"/>
              <w:rPr>
                <w:color w:val="0000FF"/>
              </w:rPr>
            </w:pPr>
          </w:p>
        </w:tc>
        <w:tc>
          <w:tcPr>
            <w:tcW w:w="681" w:type="pct"/>
          </w:tcPr>
          <w:p w14:paraId="07906FD6" w14:textId="77777777" w:rsidR="004F3885" w:rsidRDefault="004F3885" w:rsidP="00C575E9">
            <w:pPr>
              <w:widowControl w:val="0"/>
              <w:pBdr>
                <w:top w:val="nil"/>
                <w:left w:val="nil"/>
                <w:bottom w:val="nil"/>
                <w:right w:val="nil"/>
                <w:between w:val="nil"/>
              </w:pBdr>
              <w:rPr>
                <w:color w:val="000000"/>
              </w:rPr>
            </w:pPr>
          </w:p>
        </w:tc>
        <w:tc>
          <w:tcPr>
            <w:tcW w:w="455" w:type="pct"/>
            <w:vAlign w:val="bottom"/>
          </w:tcPr>
          <w:p w14:paraId="4B1F16DE" w14:textId="77777777" w:rsidR="004F3885" w:rsidRDefault="004F3885" w:rsidP="00C575E9">
            <w:pPr>
              <w:widowControl w:val="0"/>
              <w:pBdr>
                <w:top w:val="nil"/>
                <w:left w:val="nil"/>
                <w:bottom w:val="nil"/>
                <w:right w:val="nil"/>
                <w:between w:val="nil"/>
              </w:pBdr>
              <w:rPr>
                <w:color w:val="000000"/>
              </w:rPr>
            </w:pPr>
          </w:p>
        </w:tc>
        <w:tc>
          <w:tcPr>
            <w:tcW w:w="545" w:type="pct"/>
            <w:vAlign w:val="bottom"/>
          </w:tcPr>
          <w:p w14:paraId="02BD3059"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2EF476D0"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737ED10B"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63268EC7"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94044D4" w14:textId="77777777" w:rsidR="004F3885" w:rsidRDefault="004F3885" w:rsidP="00C575E9">
            <w:pPr>
              <w:widowControl w:val="0"/>
              <w:pBdr>
                <w:top w:val="nil"/>
                <w:left w:val="nil"/>
                <w:bottom w:val="nil"/>
                <w:right w:val="nil"/>
                <w:between w:val="nil"/>
              </w:pBdr>
              <w:jc w:val="right"/>
              <w:rPr>
                <w:color w:val="000000"/>
              </w:rPr>
            </w:pPr>
          </w:p>
        </w:tc>
      </w:tr>
      <w:tr w:rsidR="004F3885" w14:paraId="0F798536" w14:textId="77777777" w:rsidTr="004F3885">
        <w:trPr>
          <w:trHeight w:val="23"/>
        </w:trPr>
        <w:tc>
          <w:tcPr>
            <w:tcW w:w="1137" w:type="pct"/>
            <w:vAlign w:val="bottom"/>
          </w:tcPr>
          <w:p w14:paraId="5D6077A2" w14:textId="77777777" w:rsidR="004F3885" w:rsidRDefault="004F3885" w:rsidP="00C575E9">
            <w:pPr>
              <w:widowControl w:val="0"/>
              <w:ind w:left="113" w:hanging="113"/>
              <w:rPr>
                <w:b/>
                <w:color w:val="0000FF"/>
              </w:rPr>
            </w:pPr>
            <w:r>
              <w:rPr>
                <w:b/>
                <w:color w:val="0000FF"/>
              </w:rPr>
              <w:t>[House price index]</w:t>
            </w:r>
          </w:p>
        </w:tc>
        <w:tc>
          <w:tcPr>
            <w:tcW w:w="681" w:type="pct"/>
          </w:tcPr>
          <w:p w14:paraId="58DA5D90" w14:textId="77777777" w:rsidR="004F3885" w:rsidRDefault="004F3885" w:rsidP="00C575E9">
            <w:pPr>
              <w:widowControl w:val="0"/>
              <w:pBdr>
                <w:top w:val="nil"/>
                <w:left w:val="nil"/>
                <w:bottom w:val="nil"/>
                <w:right w:val="nil"/>
                <w:between w:val="nil"/>
              </w:pBdr>
              <w:rPr>
                <w:color w:val="000000"/>
              </w:rPr>
            </w:pPr>
            <w:r>
              <w:rPr>
                <w:color w:val="0000FF"/>
              </w:rPr>
              <w:t>[Base]</w:t>
            </w:r>
          </w:p>
        </w:tc>
        <w:tc>
          <w:tcPr>
            <w:tcW w:w="455" w:type="pct"/>
            <w:vAlign w:val="bottom"/>
          </w:tcPr>
          <w:p w14:paraId="4C4443BD" w14:textId="77777777" w:rsidR="004F3885" w:rsidRDefault="004F3885" w:rsidP="00C575E9">
            <w:pPr>
              <w:widowControl w:val="0"/>
              <w:pBdr>
                <w:top w:val="nil"/>
                <w:left w:val="nil"/>
                <w:bottom w:val="nil"/>
                <w:right w:val="nil"/>
                <w:between w:val="nil"/>
              </w:pBdr>
              <w:jc w:val="right"/>
              <w:rPr>
                <w:color w:val="000000"/>
              </w:rPr>
            </w:pPr>
            <w:r>
              <w:rPr>
                <w:color w:val="0000FF"/>
              </w:rPr>
              <w:t>[60%]</w:t>
            </w:r>
          </w:p>
        </w:tc>
        <w:tc>
          <w:tcPr>
            <w:tcW w:w="545" w:type="pct"/>
            <w:vAlign w:val="bottom"/>
          </w:tcPr>
          <w:p w14:paraId="71E78F1C"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5B6A2320"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1D26981"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0263C66"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65E7FA48" w14:textId="77777777" w:rsidR="004F3885" w:rsidRDefault="004F3885" w:rsidP="00C575E9">
            <w:pPr>
              <w:widowControl w:val="0"/>
              <w:pBdr>
                <w:top w:val="nil"/>
                <w:left w:val="nil"/>
                <w:bottom w:val="nil"/>
                <w:right w:val="nil"/>
                <w:between w:val="nil"/>
              </w:pBdr>
              <w:jc w:val="right"/>
              <w:rPr>
                <w:color w:val="000000"/>
              </w:rPr>
            </w:pPr>
          </w:p>
        </w:tc>
      </w:tr>
      <w:tr w:rsidR="004F3885" w14:paraId="21FF5EA5" w14:textId="77777777" w:rsidTr="004F3885">
        <w:trPr>
          <w:trHeight w:val="23"/>
        </w:trPr>
        <w:tc>
          <w:tcPr>
            <w:tcW w:w="1137" w:type="pct"/>
            <w:vAlign w:val="bottom"/>
          </w:tcPr>
          <w:p w14:paraId="43F80F0E" w14:textId="77777777" w:rsidR="004F3885" w:rsidRDefault="004F3885" w:rsidP="00C575E9">
            <w:pPr>
              <w:widowControl w:val="0"/>
              <w:ind w:left="113" w:hanging="113"/>
            </w:pPr>
          </w:p>
        </w:tc>
        <w:tc>
          <w:tcPr>
            <w:tcW w:w="681" w:type="pct"/>
          </w:tcPr>
          <w:p w14:paraId="1E666CE5" w14:textId="77777777" w:rsidR="004F3885" w:rsidRDefault="004F3885" w:rsidP="00C575E9">
            <w:pPr>
              <w:widowControl w:val="0"/>
              <w:pBdr>
                <w:top w:val="nil"/>
                <w:left w:val="nil"/>
                <w:bottom w:val="nil"/>
                <w:right w:val="nil"/>
                <w:between w:val="nil"/>
              </w:pBdr>
              <w:rPr>
                <w:color w:val="000000"/>
              </w:rPr>
            </w:pPr>
            <w:r>
              <w:rPr>
                <w:color w:val="0000FF"/>
              </w:rPr>
              <w:t>[Upside]</w:t>
            </w:r>
          </w:p>
        </w:tc>
        <w:tc>
          <w:tcPr>
            <w:tcW w:w="455" w:type="pct"/>
            <w:vAlign w:val="bottom"/>
          </w:tcPr>
          <w:p w14:paraId="5A6C5ABE" w14:textId="77777777" w:rsidR="004F3885" w:rsidRDefault="004F3885" w:rsidP="00C575E9">
            <w:pPr>
              <w:widowControl w:val="0"/>
              <w:pBdr>
                <w:top w:val="nil"/>
                <w:left w:val="nil"/>
                <w:bottom w:val="nil"/>
                <w:right w:val="nil"/>
                <w:between w:val="nil"/>
              </w:pBdr>
              <w:jc w:val="right"/>
              <w:rPr>
                <w:color w:val="000000"/>
              </w:rPr>
            </w:pPr>
            <w:r>
              <w:rPr>
                <w:color w:val="0000FF"/>
              </w:rPr>
              <w:t>[20%]</w:t>
            </w:r>
          </w:p>
        </w:tc>
        <w:tc>
          <w:tcPr>
            <w:tcW w:w="545" w:type="pct"/>
            <w:vAlign w:val="bottom"/>
          </w:tcPr>
          <w:p w14:paraId="09E204CB"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3EDE8416"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797E1D80"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763EABB6"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D4E5AD4" w14:textId="77777777" w:rsidR="004F3885" w:rsidRDefault="004F3885" w:rsidP="00C575E9">
            <w:pPr>
              <w:widowControl w:val="0"/>
              <w:pBdr>
                <w:top w:val="nil"/>
                <w:left w:val="nil"/>
                <w:bottom w:val="nil"/>
                <w:right w:val="nil"/>
                <w:between w:val="nil"/>
              </w:pBdr>
              <w:jc w:val="right"/>
              <w:rPr>
                <w:color w:val="000000"/>
              </w:rPr>
            </w:pPr>
          </w:p>
        </w:tc>
      </w:tr>
      <w:tr w:rsidR="004F3885" w14:paraId="74B818D8" w14:textId="77777777" w:rsidTr="004F3885">
        <w:trPr>
          <w:trHeight w:val="23"/>
        </w:trPr>
        <w:tc>
          <w:tcPr>
            <w:tcW w:w="1137" w:type="pct"/>
            <w:vAlign w:val="bottom"/>
          </w:tcPr>
          <w:p w14:paraId="5CDE9B6F" w14:textId="77777777" w:rsidR="004F3885" w:rsidRDefault="004F3885" w:rsidP="00C575E9">
            <w:pPr>
              <w:widowControl w:val="0"/>
              <w:ind w:left="113" w:hanging="113"/>
            </w:pPr>
          </w:p>
        </w:tc>
        <w:tc>
          <w:tcPr>
            <w:tcW w:w="681" w:type="pct"/>
          </w:tcPr>
          <w:p w14:paraId="62FDD3B4" w14:textId="77777777" w:rsidR="004F3885" w:rsidRDefault="004F3885" w:rsidP="00C575E9">
            <w:pPr>
              <w:widowControl w:val="0"/>
              <w:pBdr>
                <w:top w:val="nil"/>
                <w:left w:val="nil"/>
                <w:bottom w:val="nil"/>
                <w:right w:val="nil"/>
                <w:between w:val="nil"/>
              </w:pBdr>
              <w:rPr>
                <w:color w:val="000000"/>
              </w:rPr>
            </w:pPr>
            <w:r>
              <w:rPr>
                <w:color w:val="0000FF"/>
              </w:rPr>
              <w:t>[Downside 1]</w:t>
            </w:r>
          </w:p>
        </w:tc>
        <w:tc>
          <w:tcPr>
            <w:tcW w:w="455" w:type="pct"/>
            <w:vAlign w:val="bottom"/>
          </w:tcPr>
          <w:p w14:paraId="3EAF8D30" w14:textId="77777777" w:rsidR="004F3885" w:rsidRDefault="004F3885" w:rsidP="00C575E9">
            <w:pPr>
              <w:widowControl w:val="0"/>
              <w:pBdr>
                <w:top w:val="nil"/>
                <w:left w:val="nil"/>
                <w:bottom w:val="nil"/>
                <w:right w:val="nil"/>
                <w:between w:val="nil"/>
              </w:pBdr>
              <w:jc w:val="right"/>
              <w:rPr>
                <w:color w:val="000000"/>
              </w:rPr>
            </w:pPr>
            <w:r>
              <w:rPr>
                <w:color w:val="0000FF"/>
              </w:rPr>
              <w:t>[10%]</w:t>
            </w:r>
          </w:p>
        </w:tc>
        <w:tc>
          <w:tcPr>
            <w:tcW w:w="545" w:type="pct"/>
            <w:vAlign w:val="bottom"/>
          </w:tcPr>
          <w:p w14:paraId="6FC83A62"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6F74BA89"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6C24FA0D"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6199AE4B"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5FC070E6" w14:textId="77777777" w:rsidR="004F3885" w:rsidRDefault="004F3885" w:rsidP="00C575E9">
            <w:pPr>
              <w:widowControl w:val="0"/>
              <w:pBdr>
                <w:top w:val="nil"/>
                <w:left w:val="nil"/>
                <w:bottom w:val="nil"/>
                <w:right w:val="nil"/>
                <w:between w:val="nil"/>
              </w:pBdr>
              <w:jc w:val="right"/>
              <w:rPr>
                <w:color w:val="000000"/>
              </w:rPr>
            </w:pPr>
          </w:p>
        </w:tc>
      </w:tr>
      <w:tr w:rsidR="004F3885" w14:paraId="27AEA8B8" w14:textId="77777777" w:rsidTr="004F3885">
        <w:trPr>
          <w:trHeight w:val="23"/>
        </w:trPr>
        <w:tc>
          <w:tcPr>
            <w:tcW w:w="1137" w:type="pct"/>
            <w:vAlign w:val="bottom"/>
          </w:tcPr>
          <w:p w14:paraId="559E08E2" w14:textId="77777777" w:rsidR="004F3885" w:rsidRDefault="004F3885" w:rsidP="00C575E9">
            <w:pPr>
              <w:widowControl w:val="0"/>
              <w:ind w:left="113" w:hanging="113"/>
            </w:pPr>
          </w:p>
        </w:tc>
        <w:tc>
          <w:tcPr>
            <w:tcW w:w="681" w:type="pct"/>
          </w:tcPr>
          <w:p w14:paraId="2AC7AE07" w14:textId="77777777" w:rsidR="004F3885" w:rsidRDefault="004F3885" w:rsidP="00C575E9">
            <w:pPr>
              <w:widowControl w:val="0"/>
              <w:pBdr>
                <w:top w:val="nil"/>
                <w:left w:val="nil"/>
                <w:bottom w:val="nil"/>
                <w:right w:val="nil"/>
                <w:between w:val="nil"/>
              </w:pBdr>
              <w:rPr>
                <w:color w:val="000000"/>
              </w:rPr>
            </w:pPr>
            <w:r>
              <w:rPr>
                <w:color w:val="0000FF"/>
              </w:rPr>
              <w:t>[Downside 2]</w:t>
            </w:r>
          </w:p>
        </w:tc>
        <w:tc>
          <w:tcPr>
            <w:tcW w:w="455" w:type="pct"/>
            <w:vAlign w:val="bottom"/>
          </w:tcPr>
          <w:p w14:paraId="496C19E9" w14:textId="77777777" w:rsidR="004F3885" w:rsidRDefault="004F3885" w:rsidP="00C575E9">
            <w:pPr>
              <w:widowControl w:val="0"/>
              <w:pBdr>
                <w:top w:val="nil"/>
                <w:left w:val="nil"/>
                <w:bottom w:val="nil"/>
                <w:right w:val="nil"/>
                <w:between w:val="nil"/>
              </w:pBdr>
              <w:jc w:val="right"/>
              <w:rPr>
                <w:color w:val="000000"/>
              </w:rPr>
            </w:pPr>
            <w:r>
              <w:rPr>
                <w:color w:val="0000FF"/>
              </w:rPr>
              <w:t>[10%]</w:t>
            </w:r>
          </w:p>
        </w:tc>
        <w:tc>
          <w:tcPr>
            <w:tcW w:w="545" w:type="pct"/>
            <w:vAlign w:val="bottom"/>
          </w:tcPr>
          <w:p w14:paraId="532AD18A" w14:textId="77777777" w:rsidR="004F3885" w:rsidRDefault="004F3885" w:rsidP="00C575E9">
            <w:pPr>
              <w:widowControl w:val="0"/>
              <w:pBdr>
                <w:top w:val="nil"/>
                <w:left w:val="nil"/>
                <w:bottom w:val="nil"/>
                <w:right w:val="nil"/>
                <w:between w:val="nil"/>
              </w:pBdr>
              <w:jc w:val="right"/>
              <w:rPr>
                <w:color w:val="000000"/>
              </w:rPr>
            </w:pPr>
          </w:p>
        </w:tc>
        <w:tc>
          <w:tcPr>
            <w:tcW w:w="546" w:type="pct"/>
            <w:vAlign w:val="bottom"/>
          </w:tcPr>
          <w:p w14:paraId="2CB5896E"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4B6602D3"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23872588" w14:textId="77777777" w:rsidR="004F3885" w:rsidRDefault="004F3885" w:rsidP="00C575E9">
            <w:pPr>
              <w:widowControl w:val="0"/>
              <w:pBdr>
                <w:top w:val="nil"/>
                <w:left w:val="nil"/>
                <w:bottom w:val="nil"/>
                <w:right w:val="nil"/>
                <w:between w:val="nil"/>
              </w:pBdr>
              <w:jc w:val="right"/>
              <w:rPr>
                <w:color w:val="000000"/>
              </w:rPr>
            </w:pPr>
          </w:p>
        </w:tc>
        <w:tc>
          <w:tcPr>
            <w:tcW w:w="545" w:type="pct"/>
            <w:vAlign w:val="bottom"/>
          </w:tcPr>
          <w:p w14:paraId="12B793D2" w14:textId="77777777" w:rsidR="004F3885" w:rsidRDefault="004F3885" w:rsidP="00C575E9">
            <w:pPr>
              <w:widowControl w:val="0"/>
              <w:pBdr>
                <w:top w:val="nil"/>
                <w:left w:val="nil"/>
                <w:bottom w:val="nil"/>
                <w:right w:val="nil"/>
                <w:between w:val="nil"/>
              </w:pBdr>
              <w:jc w:val="right"/>
              <w:rPr>
                <w:color w:val="000000"/>
              </w:rPr>
            </w:pPr>
          </w:p>
        </w:tc>
      </w:tr>
      <w:tr w:rsidR="004F3885" w14:paraId="17D0D028" w14:textId="77777777" w:rsidTr="004F3885">
        <w:trPr>
          <w:trHeight w:val="23"/>
        </w:trPr>
        <w:tc>
          <w:tcPr>
            <w:tcW w:w="1137" w:type="pct"/>
            <w:tcBorders>
              <w:bottom w:val="single" w:sz="12" w:space="0" w:color="000000"/>
            </w:tcBorders>
            <w:vAlign w:val="bottom"/>
          </w:tcPr>
          <w:p w14:paraId="728B74FB" w14:textId="77777777" w:rsidR="004F3885" w:rsidRDefault="004F3885" w:rsidP="00C575E9">
            <w:pPr>
              <w:widowControl w:val="0"/>
              <w:ind w:left="113" w:hanging="113"/>
            </w:pPr>
          </w:p>
        </w:tc>
        <w:tc>
          <w:tcPr>
            <w:tcW w:w="681" w:type="pct"/>
            <w:tcBorders>
              <w:bottom w:val="single" w:sz="12" w:space="0" w:color="000000"/>
            </w:tcBorders>
          </w:tcPr>
          <w:p w14:paraId="6B13AEBA" w14:textId="77777777" w:rsidR="004F3885" w:rsidRDefault="004F3885" w:rsidP="00C575E9">
            <w:pPr>
              <w:widowControl w:val="0"/>
              <w:pBdr>
                <w:top w:val="nil"/>
                <w:left w:val="nil"/>
                <w:bottom w:val="nil"/>
                <w:right w:val="nil"/>
                <w:between w:val="nil"/>
              </w:pBdr>
              <w:rPr>
                <w:color w:val="000000"/>
              </w:rPr>
            </w:pPr>
          </w:p>
        </w:tc>
        <w:tc>
          <w:tcPr>
            <w:tcW w:w="455" w:type="pct"/>
            <w:tcBorders>
              <w:bottom w:val="single" w:sz="12" w:space="0" w:color="000000"/>
            </w:tcBorders>
            <w:vAlign w:val="bottom"/>
          </w:tcPr>
          <w:p w14:paraId="6D2304D6" w14:textId="77777777" w:rsidR="004F3885" w:rsidRDefault="004F3885" w:rsidP="00C575E9">
            <w:pPr>
              <w:widowControl w:val="0"/>
              <w:pBdr>
                <w:top w:val="nil"/>
                <w:left w:val="nil"/>
                <w:bottom w:val="nil"/>
                <w:right w:val="nil"/>
                <w:between w:val="nil"/>
              </w:pBdr>
              <w:rPr>
                <w:color w:val="000000"/>
              </w:rPr>
            </w:pPr>
          </w:p>
        </w:tc>
        <w:tc>
          <w:tcPr>
            <w:tcW w:w="545" w:type="pct"/>
            <w:tcBorders>
              <w:bottom w:val="single" w:sz="12" w:space="0" w:color="000000"/>
            </w:tcBorders>
            <w:vAlign w:val="bottom"/>
          </w:tcPr>
          <w:p w14:paraId="737D7BE7" w14:textId="77777777" w:rsidR="004F3885" w:rsidRDefault="004F3885" w:rsidP="00C575E9">
            <w:pPr>
              <w:widowControl w:val="0"/>
              <w:pBdr>
                <w:top w:val="nil"/>
                <w:left w:val="nil"/>
                <w:bottom w:val="nil"/>
                <w:right w:val="nil"/>
                <w:between w:val="nil"/>
              </w:pBdr>
              <w:jc w:val="right"/>
              <w:rPr>
                <w:color w:val="000000"/>
              </w:rPr>
            </w:pPr>
          </w:p>
        </w:tc>
        <w:tc>
          <w:tcPr>
            <w:tcW w:w="546" w:type="pct"/>
            <w:tcBorders>
              <w:bottom w:val="single" w:sz="12" w:space="0" w:color="000000"/>
            </w:tcBorders>
            <w:vAlign w:val="bottom"/>
          </w:tcPr>
          <w:p w14:paraId="300737FE" w14:textId="77777777" w:rsidR="004F3885" w:rsidRDefault="004F3885" w:rsidP="00C575E9">
            <w:pPr>
              <w:widowControl w:val="0"/>
              <w:pBdr>
                <w:top w:val="nil"/>
                <w:left w:val="nil"/>
                <w:bottom w:val="nil"/>
                <w:right w:val="nil"/>
                <w:between w:val="nil"/>
              </w:pBdr>
              <w:jc w:val="right"/>
              <w:rPr>
                <w:color w:val="000000"/>
              </w:rPr>
            </w:pPr>
          </w:p>
        </w:tc>
        <w:tc>
          <w:tcPr>
            <w:tcW w:w="545" w:type="pct"/>
            <w:tcBorders>
              <w:bottom w:val="single" w:sz="12" w:space="0" w:color="000000"/>
            </w:tcBorders>
            <w:vAlign w:val="bottom"/>
          </w:tcPr>
          <w:p w14:paraId="1FFBD47B" w14:textId="77777777" w:rsidR="004F3885" w:rsidRDefault="004F3885" w:rsidP="00C575E9">
            <w:pPr>
              <w:widowControl w:val="0"/>
              <w:pBdr>
                <w:top w:val="nil"/>
                <w:left w:val="nil"/>
                <w:bottom w:val="nil"/>
                <w:right w:val="nil"/>
                <w:between w:val="nil"/>
              </w:pBdr>
              <w:jc w:val="right"/>
              <w:rPr>
                <w:color w:val="000000"/>
              </w:rPr>
            </w:pPr>
          </w:p>
        </w:tc>
        <w:tc>
          <w:tcPr>
            <w:tcW w:w="545" w:type="pct"/>
            <w:tcBorders>
              <w:bottom w:val="single" w:sz="12" w:space="0" w:color="000000"/>
            </w:tcBorders>
            <w:vAlign w:val="bottom"/>
          </w:tcPr>
          <w:p w14:paraId="1B1337EB" w14:textId="77777777" w:rsidR="004F3885" w:rsidRDefault="004F3885" w:rsidP="00C575E9">
            <w:pPr>
              <w:widowControl w:val="0"/>
              <w:pBdr>
                <w:top w:val="nil"/>
                <w:left w:val="nil"/>
                <w:bottom w:val="nil"/>
                <w:right w:val="nil"/>
                <w:between w:val="nil"/>
              </w:pBdr>
              <w:jc w:val="right"/>
              <w:rPr>
                <w:color w:val="000000"/>
              </w:rPr>
            </w:pPr>
          </w:p>
        </w:tc>
        <w:tc>
          <w:tcPr>
            <w:tcW w:w="545" w:type="pct"/>
            <w:tcBorders>
              <w:bottom w:val="single" w:sz="12" w:space="0" w:color="000000"/>
            </w:tcBorders>
            <w:vAlign w:val="bottom"/>
          </w:tcPr>
          <w:p w14:paraId="4B5505EA" w14:textId="77777777" w:rsidR="004F3885" w:rsidRDefault="004F3885" w:rsidP="00C575E9">
            <w:pPr>
              <w:widowControl w:val="0"/>
              <w:pBdr>
                <w:top w:val="nil"/>
                <w:left w:val="nil"/>
                <w:bottom w:val="nil"/>
                <w:right w:val="nil"/>
                <w:between w:val="nil"/>
              </w:pBdr>
              <w:jc w:val="right"/>
              <w:rPr>
                <w:color w:val="000000"/>
              </w:rPr>
            </w:pPr>
          </w:p>
        </w:tc>
      </w:tr>
    </w:tbl>
    <w:p w14:paraId="2860A4BB" w14:textId="0508EFE4" w:rsidR="004F3885" w:rsidRDefault="004F3885" w:rsidP="004F3885">
      <w:pPr>
        <w:widowControl w:val="0"/>
        <w:pBdr>
          <w:top w:val="nil"/>
          <w:left w:val="nil"/>
          <w:bottom w:val="nil"/>
          <w:right w:val="nil"/>
          <w:between w:val="nil"/>
        </w:pBdr>
        <w:spacing w:before="200" w:after="200"/>
        <w:jc w:val="both"/>
        <w:rPr>
          <w:sz w:val="20"/>
          <w:szCs w:val="20"/>
        </w:rPr>
      </w:pPr>
      <w:r w:rsidRPr="004F3885">
        <w:rPr>
          <w:sz w:val="20"/>
          <w:szCs w:val="20"/>
        </w:rPr>
        <w:t xml:space="preserve">[The Group </w:t>
      </w:r>
      <w:r w:rsidRPr="004F3885">
        <w:rPr>
          <w:color w:val="000000"/>
          <w:sz w:val="20"/>
          <w:szCs w:val="20"/>
        </w:rPr>
        <w:t>reduced</w:t>
      </w:r>
      <w:r w:rsidRPr="004F3885">
        <w:rPr>
          <w:sz w:val="20"/>
          <w:szCs w:val="20"/>
        </w:rPr>
        <w:t xml:space="preserve"> the weights assigned to the upside scenario during 2023 primarily as a result of the far-reaching implications of the </w:t>
      </w:r>
      <w:r>
        <w:rPr>
          <w:sz w:val="20"/>
          <w:szCs w:val="20"/>
        </w:rPr>
        <w:t>then current macroeconomic outlook</w:t>
      </w:r>
      <w:r w:rsidRPr="004F3885">
        <w:rPr>
          <w:sz w:val="20"/>
          <w:szCs w:val="20"/>
        </w:rPr>
        <w:t>. In 2024, the weights assigned to scenarios were adjusted / remained the same…</w:t>
      </w:r>
      <w:r>
        <w:rPr>
          <w:i/>
          <w:iCs/>
          <w:sz w:val="20"/>
          <w:szCs w:val="20"/>
        </w:rPr>
        <w:t>(</w:t>
      </w:r>
      <w:r w:rsidRPr="004F3885">
        <w:rPr>
          <w:i/>
          <w:iCs/>
          <w:color w:val="0000FF"/>
          <w:sz w:val="20"/>
          <w:szCs w:val="20"/>
        </w:rPr>
        <w:t>provide details of the changes in 2024, as appropriate)</w:t>
      </w:r>
      <w:r w:rsidRPr="004F3885">
        <w:rPr>
          <w:sz w:val="20"/>
          <w:szCs w:val="20"/>
        </w:rPr>
        <w:t xml:space="preserve">] </w:t>
      </w:r>
    </w:p>
    <w:p w14:paraId="72462DC8" w14:textId="73B5F011" w:rsidR="004F3885" w:rsidRPr="004F3885" w:rsidRDefault="004F3885" w:rsidP="004F3885">
      <w:pPr>
        <w:pStyle w:val="Continued"/>
      </w:pPr>
      <w:r>
        <w:lastRenderedPageBreak/>
        <w:t>4</w:t>
      </w:r>
      <w:r>
        <w:tab/>
        <w:t>Critical Accounting Estimates, and Judgements in Applying Accounting Policies (Continued)</w:t>
      </w:r>
    </w:p>
    <w:p w14:paraId="43D8579F" w14:textId="3549E4A9" w:rsidR="004F3885" w:rsidRPr="004F3885" w:rsidRDefault="004F3885" w:rsidP="004F3885">
      <w:pPr>
        <w:widowControl w:val="0"/>
        <w:pBdr>
          <w:top w:val="nil"/>
          <w:left w:val="nil"/>
          <w:bottom w:val="nil"/>
          <w:right w:val="nil"/>
          <w:between w:val="nil"/>
        </w:pBdr>
        <w:spacing w:before="200" w:after="200"/>
        <w:jc w:val="both"/>
        <w:rPr>
          <w:i/>
          <w:color w:val="FF0000"/>
          <w:sz w:val="20"/>
          <w:szCs w:val="20"/>
        </w:rPr>
      </w:pPr>
      <w:r w:rsidRPr="004F3885">
        <w:rPr>
          <w:i/>
          <w:color w:val="FF0000"/>
          <w:sz w:val="20"/>
          <w:szCs w:val="20"/>
        </w:rPr>
        <w:t>[Describe the changes in the key assumptions and state reasons for the changes as required by IFRS 7 para 36G(c).]</w:t>
      </w:r>
    </w:p>
    <w:p w14:paraId="5DA655C9" w14:textId="26A76D76" w:rsidR="004F3885" w:rsidRPr="004F3885" w:rsidRDefault="004F3885" w:rsidP="004F3885">
      <w:pPr>
        <w:widowControl w:val="0"/>
        <w:spacing w:before="200" w:after="200"/>
        <w:jc w:val="both"/>
        <w:rPr>
          <w:color w:val="000000"/>
          <w:sz w:val="20"/>
          <w:szCs w:val="20"/>
        </w:rPr>
      </w:pPr>
      <w:r w:rsidRPr="004F3885">
        <w:rPr>
          <w:color w:val="000000"/>
          <w:sz w:val="20"/>
          <w:szCs w:val="20"/>
        </w:rPr>
        <w:t>[A change in the weight assigned to base forward looking macro-economic set of assumptions by 10% towards the immediate downside level assumptions would result in an increase in ECL by EUR _____ thousand at 31 December 2024 (31 December 2023: by EUR ______ thousand). A corresponding change towards the upside assumptions would result in a decrease in ECL by EUR _____ thousand at 31 December 2024 (31 December 2023: by EUR ______ thousand).</w:t>
      </w:r>
    </w:p>
    <w:p w14:paraId="5135F6DB" w14:textId="3D404FF6" w:rsidR="004F3885" w:rsidRPr="004F3885" w:rsidRDefault="004F3885" w:rsidP="004F3885">
      <w:pPr>
        <w:widowControl w:val="0"/>
        <w:spacing w:before="200" w:after="200"/>
        <w:jc w:val="both"/>
        <w:rPr>
          <w:color w:val="000000"/>
          <w:sz w:val="20"/>
          <w:szCs w:val="20"/>
        </w:rPr>
      </w:pPr>
      <w:r w:rsidRPr="004F3885">
        <w:rPr>
          <w:color w:val="000000"/>
          <w:sz w:val="20"/>
          <w:szCs w:val="20"/>
        </w:rPr>
        <w:t xml:space="preserve">A [10]% increase or decrease in PD estimates would result in an increase or decrease in total expected credit loss allowances of EUR ____ thousand at 31 December 2024 (31 December 2023: increase or decrease of EUR_____thousand). A [10]% increase or decrease in LGD estimates would result in an increase or decrease in total expected credit loss allowances of EUR ____ thousand at 31 December 2024 (31 December 2023: increase or decrease of EUR______ thousand).] </w:t>
      </w:r>
    </w:p>
    <w:p w14:paraId="1E4C0C8C" w14:textId="6AAB0976" w:rsidR="004F3885" w:rsidRPr="004F3885" w:rsidRDefault="004F3885" w:rsidP="004F3885">
      <w:pPr>
        <w:widowControl w:val="0"/>
        <w:spacing w:before="200" w:after="200"/>
        <w:jc w:val="both"/>
        <w:rPr>
          <w:i/>
          <w:iCs/>
          <w:color w:val="FF0000"/>
          <w:sz w:val="20"/>
          <w:szCs w:val="20"/>
        </w:rPr>
      </w:pPr>
      <w:r w:rsidRPr="004F3885">
        <w:rPr>
          <w:i/>
          <w:iCs/>
          <w:color w:val="FF0000"/>
          <w:sz w:val="20"/>
          <w:szCs w:val="20"/>
        </w:rPr>
        <w:t>[Tailor the sensitivity disclosure to the Group’s circumstance</w:t>
      </w:r>
      <w:r>
        <w:rPr>
          <w:i/>
          <w:iCs/>
          <w:color w:val="FF0000"/>
          <w:sz w:val="20"/>
          <w:szCs w:val="20"/>
        </w:rPr>
        <w:t>s</w:t>
      </w:r>
      <w:r w:rsidRPr="004F3885">
        <w:rPr>
          <w:i/>
          <w:iCs/>
          <w:color w:val="FF0000"/>
          <w:sz w:val="20"/>
          <w:szCs w:val="20"/>
        </w:rPr>
        <w:t xml:space="preserve">;. The objective of this disclosure is to provide explanation of the changes between the two reporting dates.] </w:t>
      </w:r>
    </w:p>
    <w:p w14:paraId="668A1A4B" w14:textId="5D7043D5" w:rsidR="004F3885" w:rsidRPr="004F3885" w:rsidRDefault="004F3885" w:rsidP="004F3885">
      <w:pPr>
        <w:widowControl w:val="0"/>
        <w:spacing w:before="200" w:after="200"/>
        <w:jc w:val="both"/>
        <w:rPr>
          <w:color w:val="000000"/>
          <w:sz w:val="20"/>
          <w:szCs w:val="20"/>
        </w:rPr>
      </w:pPr>
      <w:r w:rsidRPr="004F3885">
        <w:rPr>
          <w:color w:val="000000"/>
          <w:sz w:val="20"/>
          <w:szCs w:val="20"/>
        </w:rPr>
        <w:t>[The Group offered payment holidays and temporary reduction in interest rates on certain consumer loans. The Group concluded that these measures result in contractual modification of the respective loans. Since there is no additional interest charged to borrowers during the payment holiday period, the Group recognised a modification loss in the amount of EUR___thousand in the year ended 31 December 2024 (EUR____thousand at 31 December 2023). Please specify where in the income statement this impact is presented.]</w:t>
      </w:r>
    </w:p>
    <w:p w14:paraId="27B33C5C" w14:textId="6FC8DE57" w:rsidR="004F3885" w:rsidRPr="004F3885" w:rsidRDefault="004F3885" w:rsidP="004F3885">
      <w:pPr>
        <w:widowControl w:val="0"/>
        <w:pBdr>
          <w:top w:val="nil"/>
          <w:left w:val="nil"/>
          <w:bottom w:val="nil"/>
          <w:right w:val="nil"/>
          <w:between w:val="nil"/>
        </w:pBdr>
        <w:spacing w:before="200" w:after="200"/>
        <w:jc w:val="both"/>
        <w:rPr>
          <w:i/>
          <w:color w:val="FF0000"/>
          <w:sz w:val="20"/>
          <w:szCs w:val="20"/>
        </w:rPr>
      </w:pPr>
      <w:r w:rsidRPr="004F3885">
        <w:rPr>
          <w:b/>
          <w:i/>
          <w:sz w:val="20"/>
          <w:szCs w:val="20"/>
        </w:rPr>
        <w:t xml:space="preserve">Significant increase in credit risk (“SICR”). </w:t>
      </w:r>
      <w:r w:rsidRPr="004F3885">
        <w:rPr>
          <w:sz w:val="20"/>
          <w:szCs w:val="20"/>
        </w:rPr>
        <w:t xml:space="preserve">In order to determine whether there has been a significant increase in credit risk, the Group compares the risk of a default occurring over the life of a </w:t>
      </w:r>
      <w:r w:rsidRPr="004F3885">
        <w:rPr>
          <w:color w:val="000000"/>
          <w:sz w:val="20"/>
          <w:szCs w:val="20"/>
        </w:rPr>
        <w:t>financial</w:t>
      </w:r>
      <w:r w:rsidRPr="004F3885">
        <w:rPr>
          <w:sz w:val="20"/>
          <w:szCs w:val="20"/>
        </w:rPr>
        <w:t xml:space="preserve"> instrument at the end of the reporting date with the risk of default at the date of initial recognition. The assessment considers relative increase in credit risk rather than achieving a specific level of credit risk at the end of the reporting period. The Group considers all reasonable and supportable forward looking information available without undue cost and effort, which includes a range of factors, including behavioural aspects of particular customer portfolios. The Group identifies behavioural indicators of increases in credit risk prior to delinquency and incorporated appropriate forward looking information into the credit risk assessment, either at an individual instrument, or on a portfolio level. In 2024 and 2023, application for payment holidays which were conditional on losing a job or a major source of income was considered as an indicator of SICR, as explained above. Refer to Note 41.</w:t>
      </w:r>
      <w:r w:rsidRPr="004F3885">
        <w:rPr>
          <w:color w:val="0000FF"/>
          <w:sz w:val="20"/>
          <w:szCs w:val="20"/>
        </w:rPr>
        <w:t xml:space="preserve"> </w:t>
      </w:r>
    </w:p>
    <w:p w14:paraId="2E79A9E2" w14:textId="77777777" w:rsidR="001F436C" w:rsidRPr="004F3885" w:rsidRDefault="001F436C" w:rsidP="001F436C">
      <w:pPr>
        <w:pStyle w:val="Continued"/>
      </w:pPr>
      <w:r>
        <w:lastRenderedPageBreak/>
        <w:t>4</w:t>
      </w:r>
      <w:r>
        <w:tab/>
        <w:t>Critical Accounting Estimates, and Judgements in Applying Accounting Policies (Continued)</w:t>
      </w:r>
    </w:p>
    <w:p w14:paraId="221F66F2" w14:textId="77777777" w:rsidR="004F3885" w:rsidRPr="001F436C" w:rsidRDefault="004F3885" w:rsidP="001F436C">
      <w:pPr>
        <w:widowControl w:val="0"/>
        <w:pBdr>
          <w:top w:val="nil"/>
          <w:left w:val="nil"/>
          <w:bottom w:val="nil"/>
          <w:right w:val="nil"/>
          <w:between w:val="nil"/>
        </w:pBdr>
        <w:spacing w:before="200" w:after="200"/>
        <w:jc w:val="both"/>
        <w:rPr>
          <w:sz w:val="20"/>
          <w:szCs w:val="20"/>
        </w:rPr>
      </w:pPr>
      <w:r w:rsidRPr="001F436C">
        <w:rPr>
          <w:sz w:val="20"/>
          <w:szCs w:val="20"/>
        </w:rPr>
        <w:t xml:space="preserve">The </w:t>
      </w:r>
      <w:r w:rsidRPr="001F436C">
        <w:rPr>
          <w:color w:val="000000"/>
          <w:sz w:val="20"/>
          <w:szCs w:val="20"/>
        </w:rPr>
        <w:t>following</w:t>
      </w:r>
      <w:r w:rsidRPr="001F436C">
        <w:rPr>
          <w:sz w:val="20"/>
          <w:szCs w:val="20"/>
        </w:rPr>
        <w:t xml:space="preserve"> quantitative PD increase thresholds determine when the Group identifies SICR:</w:t>
      </w:r>
    </w:p>
    <w:tbl>
      <w:tblPr>
        <w:tblStyle w:val="aa"/>
        <w:tblW w:w="9404" w:type="dxa"/>
        <w:tblLayout w:type="fixed"/>
        <w:tblLook w:val="0000" w:firstRow="0" w:lastRow="0" w:firstColumn="0" w:lastColumn="0" w:noHBand="0" w:noVBand="0"/>
      </w:tblPr>
      <w:tblGrid>
        <w:gridCol w:w="6270"/>
        <w:gridCol w:w="1567"/>
        <w:gridCol w:w="1567"/>
      </w:tblGrid>
      <w:tr w:rsidR="004F3885" w14:paraId="13E4B771" w14:textId="77777777" w:rsidTr="00C575E9">
        <w:tc>
          <w:tcPr>
            <w:tcW w:w="6270" w:type="dxa"/>
            <w:tcBorders>
              <w:bottom w:val="single" w:sz="4" w:space="0" w:color="000000"/>
            </w:tcBorders>
            <w:vAlign w:val="bottom"/>
          </w:tcPr>
          <w:p w14:paraId="29BD1D5E" w14:textId="77777777" w:rsidR="004F3885" w:rsidRDefault="004F3885" w:rsidP="00C575E9">
            <w:pPr>
              <w:widowControl w:val="0"/>
              <w:pBdr>
                <w:top w:val="nil"/>
                <w:left w:val="nil"/>
                <w:bottom w:val="nil"/>
                <w:right w:val="nil"/>
                <w:between w:val="nil"/>
              </w:pBdr>
              <w:ind w:left="113" w:hanging="113"/>
              <w:rPr>
                <w:b/>
                <w:i/>
                <w:color w:val="000000"/>
              </w:rPr>
            </w:pPr>
          </w:p>
        </w:tc>
        <w:tc>
          <w:tcPr>
            <w:tcW w:w="1567" w:type="dxa"/>
            <w:tcBorders>
              <w:bottom w:val="single" w:sz="4" w:space="0" w:color="000000"/>
            </w:tcBorders>
            <w:vAlign w:val="bottom"/>
          </w:tcPr>
          <w:p w14:paraId="571C759D" w14:textId="3E2545C7" w:rsidR="004F3885" w:rsidRDefault="004F3885" w:rsidP="00C575E9">
            <w:pPr>
              <w:widowControl w:val="0"/>
              <w:pBdr>
                <w:top w:val="nil"/>
                <w:left w:val="nil"/>
                <w:bottom w:val="nil"/>
                <w:right w:val="nil"/>
                <w:between w:val="nil"/>
              </w:pBdr>
              <w:jc w:val="right"/>
              <w:rPr>
                <w:b/>
                <w:color w:val="000000"/>
              </w:rPr>
            </w:pPr>
            <w:r>
              <w:rPr>
                <w:b/>
                <w:color w:val="000000"/>
              </w:rPr>
              <w:t>2024</w:t>
            </w:r>
          </w:p>
        </w:tc>
        <w:tc>
          <w:tcPr>
            <w:tcW w:w="1567" w:type="dxa"/>
            <w:tcBorders>
              <w:bottom w:val="single" w:sz="4" w:space="0" w:color="000000"/>
            </w:tcBorders>
            <w:vAlign w:val="bottom"/>
          </w:tcPr>
          <w:p w14:paraId="79D8F966" w14:textId="36F2BD6F" w:rsidR="004F3885" w:rsidRDefault="004F3885" w:rsidP="00C575E9">
            <w:pPr>
              <w:widowControl w:val="0"/>
              <w:pBdr>
                <w:top w:val="nil"/>
                <w:left w:val="nil"/>
                <w:bottom w:val="nil"/>
                <w:right w:val="nil"/>
                <w:between w:val="nil"/>
              </w:pBdr>
              <w:jc w:val="right"/>
              <w:rPr>
                <w:b/>
                <w:color w:val="000000"/>
              </w:rPr>
            </w:pPr>
            <w:r>
              <w:rPr>
                <w:b/>
                <w:color w:val="000000"/>
              </w:rPr>
              <w:t>2023</w:t>
            </w:r>
          </w:p>
        </w:tc>
      </w:tr>
      <w:tr w:rsidR="004F3885" w14:paraId="24B3A201" w14:textId="77777777" w:rsidTr="00C575E9">
        <w:tc>
          <w:tcPr>
            <w:tcW w:w="6270" w:type="dxa"/>
            <w:vAlign w:val="bottom"/>
          </w:tcPr>
          <w:p w14:paraId="485E276B" w14:textId="77777777" w:rsidR="004F3885" w:rsidRDefault="004F3885" w:rsidP="00C575E9">
            <w:pPr>
              <w:widowControl w:val="0"/>
              <w:ind w:left="113" w:hanging="113"/>
            </w:pPr>
            <w:r>
              <w:t> </w:t>
            </w:r>
          </w:p>
        </w:tc>
        <w:tc>
          <w:tcPr>
            <w:tcW w:w="1567" w:type="dxa"/>
            <w:vAlign w:val="bottom"/>
          </w:tcPr>
          <w:p w14:paraId="5F1B04A4" w14:textId="77777777" w:rsidR="004F3885" w:rsidRDefault="004F3885" w:rsidP="00C575E9">
            <w:pPr>
              <w:widowControl w:val="0"/>
              <w:pBdr>
                <w:top w:val="nil"/>
                <w:left w:val="nil"/>
                <w:bottom w:val="nil"/>
                <w:right w:val="nil"/>
                <w:between w:val="nil"/>
              </w:pBdr>
              <w:jc w:val="right"/>
              <w:rPr>
                <w:color w:val="000000"/>
              </w:rPr>
            </w:pPr>
          </w:p>
        </w:tc>
        <w:tc>
          <w:tcPr>
            <w:tcW w:w="1567" w:type="dxa"/>
            <w:vAlign w:val="bottom"/>
          </w:tcPr>
          <w:p w14:paraId="2A8E0070" w14:textId="77777777" w:rsidR="004F3885" w:rsidRDefault="004F3885" w:rsidP="00C575E9">
            <w:pPr>
              <w:widowControl w:val="0"/>
              <w:pBdr>
                <w:top w:val="nil"/>
                <w:left w:val="nil"/>
                <w:bottom w:val="nil"/>
                <w:right w:val="nil"/>
                <w:between w:val="nil"/>
              </w:pBdr>
              <w:jc w:val="right"/>
              <w:rPr>
                <w:color w:val="000000"/>
              </w:rPr>
            </w:pPr>
          </w:p>
        </w:tc>
      </w:tr>
      <w:tr w:rsidR="004F3885" w14:paraId="6B5A6C54" w14:textId="77777777" w:rsidTr="00C575E9">
        <w:tc>
          <w:tcPr>
            <w:tcW w:w="6270" w:type="dxa"/>
            <w:vAlign w:val="bottom"/>
          </w:tcPr>
          <w:p w14:paraId="1A5AC79F" w14:textId="77777777" w:rsidR="004F3885" w:rsidRPr="000E669E" w:rsidRDefault="004F3885" w:rsidP="00C575E9">
            <w:pPr>
              <w:widowControl w:val="0"/>
              <w:pBdr>
                <w:top w:val="nil"/>
                <w:left w:val="nil"/>
                <w:bottom w:val="nil"/>
                <w:right w:val="nil"/>
                <w:between w:val="nil"/>
              </w:pBdr>
              <w:ind w:left="113" w:hanging="113"/>
              <w:rPr>
                <w:i/>
                <w:iCs/>
                <w:color w:val="000000"/>
              </w:rPr>
            </w:pPr>
            <w:r>
              <w:rPr>
                <w:i/>
                <w:iCs/>
                <w:color w:val="000000"/>
              </w:rPr>
              <w:t>Increase in original lifetime PD for remaining time to maturity by</w:t>
            </w:r>
          </w:p>
        </w:tc>
        <w:tc>
          <w:tcPr>
            <w:tcW w:w="1567" w:type="dxa"/>
            <w:vAlign w:val="bottom"/>
          </w:tcPr>
          <w:p w14:paraId="27A8EEA3" w14:textId="77777777" w:rsidR="004F3885" w:rsidRDefault="004F3885" w:rsidP="00C575E9">
            <w:pPr>
              <w:widowControl w:val="0"/>
              <w:pBdr>
                <w:top w:val="nil"/>
                <w:left w:val="nil"/>
                <w:bottom w:val="nil"/>
                <w:right w:val="nil"/>
                <w:between w:val="nil"/>
              </w:pBdr>
              <w:jc w:val="right"/>
              <w:rPr>
                <w:color w:val="000000"/>
              </w:rPr>
            </w:pPr>
          </w:p>
        </w:tc>
        <w:tc>
          <w:tcPr>
            <w:tcW w:w="1567" w:type="dxa"/>
            <w:vAlign w:val="bottom"/>
          </w:tcPr>
          <w:p w14:paraId="16D7AED2" w14:textId="77777777" w:rsidR="004F3885" w:rsidRDefault="004F3885" w:rsidP="00C575E9">
            <w:pPr>
              <w:widowControl w:val="0"/>
              <w:pBdr>
                <w:top w:val="nil"/>
                <w:left w:val="nil"/>
                <w:bottom w:val="nil"/>
                <w:right w:val="nil"/>
                <w:between w:val="nil"/>
              </w:pBdr>
              <w:jc w:val="right"/>
              <w:rPr>
                <w:color w:val="000000"/>
              </w:rPr>
            </w:pPr>
          </w:p>
        </w:tc>
      </w:tr>
      <w:tr w:rsidR="004F3885" w14:paraId="31D104A2" w14:textId="77777777" w:rsidTr="00C575E9">
        <w:tc>
          <w:tcPr>
            <w:tcW w:w="6270" w:type="dxa"/>
            <w:vAlign w:val="bottom"/>
          </w:tcPr>
          <w:p w14:paraId="06FABBA5" w14:textId="77777777" w:rsidR="004F3885" w:rsidRDefault="004F3885" w:rsidP="00C575E9">
            <w:pPr>
              <w:widowControl w:val="0"/>
              <w:pBdr>
                <w:top w:val="nil"/>
                <w:left w:val="nil"/>
                <w:bottom w:val="nil"/>
                <w:right w:val="nil"/>
                <w:between w:val="nil"/>
              </w:pBdr>
              <w:ind w:left="113" w:hanging="113"/>
              <w:rPr>
                <w:color w:val="000000"/>
              </w:rPr>
            </w:pPr>
            <w:r>
              <w:rPr>
                <w:color w:val="000000"/>
              </w:rPr>
              <w:t xml:space="preserve">Corporate loans </w:t>
            </w:r>
          </w:p>
        </w:tc>
        <w:tc>
          <w:tcPr>
            <w:tcW w:w="1567" w:type="dxa"/>
            <w:vAlign w:val="bottom"/>
          </w:tcPr>
          <w:p w14:paraId="5BFD566C" w14:textId="77777777" w:rsidR="004F3885" w:rsidRPr="000E669E" w:rsidRDefault="004F3885" w:rsidP="00C575E9">
            <w:pPr>
              <w:widowControl w:val="0"/>
              <w:pBdr>
                <w:top w:val="nil"/>
                <w:left w:val="nil"/>
                <w:bottom w:val="nil"/>
                <w:right w:val="nil"/>
                <w:between w:val="nil"/>
              </w:pBdr>
              <w:jc w:val="right"/>
              <w:rPr>
                <w:b/>
                <w:bCs/>
                <w:color w:val="0000FF"/>
              </w:rPr>
            </w:pPr>
            <w:r w:rsidRPr="000E669E">
              <w:rPr>
                <w:color w:val="0000FF"/>
              </w:rPr>
              <w:t>200%</w:t>
            </w:r>
          </w:p>
        </w:tc>
        <w:tc>
          <w:tcPr>
            <w:tcW w:w="1567" w:type="dxa"/>
            <w:vAlign w:val="bottom"/>
          </w:tcPr>
          <w:p w14:paraId="20E950E4" w14:textId="77777777" w:rsidR="004F3885" w:rsidRPr="000E669E" w:rsidRDefault="004F3885" w:rsidP="00C575E9">
            <w:pPr>
              <w:widowControl w:val="0"/>
              <w:pBdr>
                <w:top w:val="nil"/>
                <w:left w:val="nil"/>
                <w:bottom w:val="nil"/>
                <w:right w:val="nil"/>
                <w:between w:val="nil"/>
              </w:pBdr>
              <w:jc w:val="right"/>
              <w:rPr>
                <w:color w:val="0000FF"/>
              </w:rPr>
            </w:pPr>
            <w:r w:rsidRPr="000E669E">
              <w:rPr>
                <w:color w:val="0000FF"/>
              </w:rPr>
              <w:t>200%</w:t>
            </w:r>
          </w:p>
        </w:tc>
      </w:tr>
      <w:tr w:rsidR="004F3885" w14:paraId="53C2F256" w14:textId="77777777" w:rsidTr="00C575E9">
        <w:tc>
          <w:tcPr>
            <w:tcW w:w="6270" w:type="dxa"/>
            <w:vAlign w:val="bottom"/>
          </w:tcPr>
          <w:p w14:paraId="3AAB9178" w14:textId="77777777" w:rsidR="004F3885" w:rsidRDefault="004F3885" w:rsidP="00C575E9">
            <w:pPr>
              <w:widowControl w:val="0"/>
              <w:pBdr>
                <w:top w:val="nil"/>
                <w:left w:val="nil"/>
                <w:bottom w:val="nil"/>
                <w:right w:val="nil"/>
                <w:between w:val="nil"/>
              </w:pBdr>
              <w:ind w:left="113" w:hanging="113"/>
              <w:rPr>
                <w:color w:val="000000"/>
              </w:rPr>
            </w:pPr>
            <w:r>
              <w:rPr>
                <w:color w:val="000000"/>
              </w:rPr>
              <w:t>Mortgage loans</w:t>
            </w:r>
          </w:p>
        </w:tc>
        <w:tc>
          <w:tcPr>
            <w:tcW w:w="1567" w:type="dxa"/>
            <w:vAlign w:val="bottom"/>
          </w:tcPr>
          <w:p w14:paraId="62F88188" w14:textId="77777777" w:rsidR="004F3885" w:rsidRPr="000E669E" w:rsidRDefault="004F3885" w:rsidP="00C575E9">
            <w:pPr>
              <w:widowControl w:val="0"/>
              <w:pBdr>
                <w:top w:val="nil"/>
                <w:left w:val="nil"/>
                <w:bottom w:val="nil"/>
                <w:right w:val="nil"/>
                <w:between w:val="nil"/>
              </w:pBdr>
              <w:jc w:val="right"/>
              <w:rPr>
                <w:color w:val="0000FF"/>
              </w:rPr>
            </w:pPr>
            <w:r w:rsidRPr="000E669E">
              <w:rPr>
                <w:color w:val="0000FF"/>
              </w:rPr>
              <w:t>200%</w:t>
            </w:r>
          </w:p>
        </w:tc>
        <w:tc>
          <w:tcPr>
            <w:tcW w:w="1567" w:type="dxa"/>
            <w:vAlign w:val="bottom"/>
          </w:tcPr>
          <w:p w14:paraId="728E2F8C" w14:textId="77777777" w:rsidR="004F3885" w:rsidRPr="000E669E" w:rsidRDefault="004F3885" w:rsidP="00C575E9">
            <w:pPr>
              <w:widowControl w:val="0"/>
              <w:pBdr>
                <w:top w:val="nil"/>
                <w:left w:val="nil"/>
                <w:bottom w:val="nil"/>
                <w:right w:val="nil"/>
                <w:between w:val="nil"/>
              </w:pBdr>
              <w:jc w:val="right"/>
              <w:rPr>
                <w:color w:val="0000FF"/>
              </w:rPr>
            </w:pPr>
            <w:r w:rsidRPr="000E669E">
              <w:rPr>
                <w:color w:val="0000FF"/>
              </w:rPr>
              <w:t>200%</w:t>
            </w:r>
          </w:p>
        </w:tc>
      </w:tr>
      <w:tr w:rsidR="004F3885" w14:paraId="36104370" w14:textId="77777777" w:rsidTr="00C575E9">
        <w:tc>
          <w:tcPr>
            <w:tcW w:w="6270" w:type="dxa"/>
            <w:vAlign w:val="bottom"/>
          </w:tcPr>
          <w:p w14:paraId="78D7BD68" w14:textId="77777777" w:rsidR="004F3885" w:rsidRDefault="004F3885" w:rsidP="00C575E9">
            <w:pPr>
              <w:widowControl w:val="0"/>
              <w:pBdr>
                <w:top w:val="nil"/>
                <w:left w:val="nil"/>
                <w:bottom w:val="nil"/>
                <w:right w:val="nil"/>
                <w:between w:val="nil"/>
              </w:pBdr>
              <w:ind w:left="113" w:hanging="113"/>
              <w:rPr>
                <w:color w:val="000000"/>
              </w:rPr>
            </w:pPr>
            <w:r>
              <w:rPr>
                <w:color w:val="000000"/>
              </w:rPr>
              <w:t>Unsecured consumer loans</w:t>
            </w:r>
          </w:p>
        </w:tc>
        <w:tc>
          <w:tcPr>
            <w:tcW w:w="1567" w:type="dxa"/>
            <w:vAlign w:val="bottom"/>
          </w:tcPr>
          <w:p w14:paraId="078A3BC4" w14:textId="77777777" w:rsidR="004F3885" w:rsidRPr="000E669E" w:rsidRDefault="004F3885" w:rsidP="00C575E9">
            <w:pPr>
              <w:widowControl w:val="0"/>
              <w:pBdr>
                <w:top w:val="nil"/>
                <w:left w:val="nil"/>
                <w:bottom w:val="nil"/>
                <w:right w:val="nil"/>
                <w:between w:val="nil"/>
              </w:pBdr>
              <w:jc w:val="right"/>
              <w:rPr>
                <w:color w:val="0000FF"/>
              </w:rPr>
            </w:pPr>
            <w:r w:rsidRPr="000E669E">
              <w:rPr>
                <w:color w:val="0000FF"/>
              </w:rPr>
              <w:t>200%</w:t>
            </w:r>
          </w:p>
        </w:tc>
        <w:tc>
          <w:tcPr>
            <w:tcW w:w="1567" w:type="dxa"/>
            <w:vAlign w:val="bottom"/>
          </w:tcPr>
          <w:p w14:paraId="5D2380C7" w14:textId="77777777" w:rsidR="004F3885" w:rsidRPr="000E669E" w:rsidRDefault="004F3885" w:rsidP="00C575E9">
            <w:pPr>
              <w:widowControl w:val="0"/>
              <w:pBdr>
                <w:top w:val="nil"/>
                <w:left w:val="nil"/>
                <w:bottom w:val="nil"/>
                <w:right w:val="nil"/>
                <w:between w:val="nil"/>
              </w:pBdr>
              <w:jc w:val="right"/>
              <w:rPr>
                <w:color w:val="0000FF"/>
              </w:rPr>
            </w:pPr>
            <w:r w:rsidRPr="000E669E">
              <w:rPr>
                <w:color w:val="0000FF"/>
              </w:rPr>
              <w:t>200%</w:t>
            </w:r>
          </w:p>
        </w:tc>
      </w:tr>
      <w:tr w:rsidR="004F3885" w14:paraId="17EFA837" w14:textId="77777777" w:rsidTr="00C575E9">
        <w:tc>
          <w:tcPr>
            <w:tcW w:w="6270" w:type="dxa"/>
            <w:vAlign w:val="bottom"/>
          </w:tcPr>
          <w:p w14:paraId="28F7DDCE" w14:textId="77777777" w:rsidR="004F3885" w:rsidRDefault="004F3885" w:rsidP="00C575E9">
            <w:pPr>
              <w:widowControl w:val="0"/>
              <w:pBdr>
                <w:top w:val="nil"/>
                <w:left w:val="nil"/>
                <w:bottom w:val="nil"/>
                <w:right w:val="nil"/>
                <w:between w:val="nil"/>
              </w:pBdr>
              <w:ind w:left="113" w:hanging="113"/>
              <w:rPr>
                <w:color w:val="000000"/>
              </w:rPr>
            </w:pPr>
            <w:r>
              <w:rPr>
                <w:color w:val="000000"/>
              </w:rPr>
              <w:t>Credit cards</w:t>
            </w:r>
          </w:p>
        </w:tc>
        <w:tc>
          <w:tcPr>
            <w:tcW w:w="1567" w:type="dxa"/>
            <w:vAlign w:val="bottom"/>
          </w:tcPr>
          <w:p w14:paraId="4804F191" w14:textId="77777777" w:rsidR="004F3885" w:rsidRPr="000E669E" w:rsidRDefault="004F3885" w:rsidP="00C575E9">
            <w:pPr>
              <w:widowControl w:val="0"/>
              <w:pBdr>
                <w:top w:val="nil"/>
                <w:left w:val="nil"/>
                <w:bottom w:val="nil"/>
                <w:right w:val="nil"/>
                <w:between w:val="nil"/>
              </w:pBdr>
              <w:jc w:val="right"/>
              <w:rPr>
                <w:color w:val="0000FF"/>
              </w:rPr>
            </w:pPr>
            <w:r w:rsidRPr="000E669E">
              <w:rPr>
                <w:color w:val="0000FF"/>
              </w:rPr>
              <w:t>200%</w:t>
            </w:r>
          </w:p>
        </w:tc>
        <w:tc>
          <w:tcPr>
            <w:tcW w:w="1567" w:type="dxa"/>
            <w:vAlign w:val="bottom"/>
          </w:tcPr>
          <w:p w14:paraId="00B41754" w14:textId="77777777" w:rsidR="004F3885" w:rsidRPr="000E669E" w:rsidRDefault="004F3885" w:rsidP="00C575E9">
            <w:pPr>
              <w:widowControl w:val="0"/>
              <w:pBdr>
                <w:top w:val="nil"/>
                <w:left w:val="nil"/>
                <w:bottom w:val="nil"/>
                <w:right w:val="nil"/>
                <w:between w:val="nil"/>
              </w:pBdr>
              <w:jc w:val="right"/>
              <w:rPr>
                <w:color w:val="0000FF"/>
              </w:rPr>
            </w:pPr>
            <w:r w:rsidRPr="000E669E">
              <w:rPr>
                <w:color w:val="0000FF"/>
              </w:rPr>
              <w:t>200%</w:t>
            </w:r>
          </w:p>
        </w:tc>
      </w:tr>
      <w:tr w:rsidR="004F3885" w14:paraId="415A4F16" w14:textId="77777777" w:rsidTr="00C575E9">
        <w:tc>
          <w:tcPr>
            <w:tcW w:w="6270" w:type="dxa"/>
            <w:vAlign w:val="bottom"/>
          </w:tcPr>
          <w:p w14:paraId="60151062" w14:textId="77777777" w:rsidR="004F3885" w:rsidRDefault="004F3885" w:rsidP="00C575E9">
            <w:pPr>
              <w:widowControl w:val="0"/>
              <w:pBdr>
                <w:top w:val="nil"/>
                <w:left w:val="nil"/>
                <w:bottom w:val="nil"/>
                <w:right w:val="nil"/>
                <w:between w:val="nil"/>
              </w:pBdr>
              <w:ind w:left="113" w:hanging="113"/>
              <w:rPr>
                <w:color w:val="000000"/>
              </w:rPr>
            </w:pPr>
            <w:r>
              <w:rPr>
                <w:color w:val="000000"/>
              </w:rPr>
              <w:t>[etc]</w:t>
            </w:r>
          </w:p>
        </w:tc>
        <w:tc>
          <w:tcPr>
            <w:tcW w:w="1567" w:type="dxa"/>
            <w:vAlign w:val="bottom"/>
          </w:tcPr>
          <w:p w14:paraId="2322731B" w14:textId="77777777" w:rsidR="004F3885" w:rsidRPr="000E669E" w:rsidRDefault="004F3885" w:rsidP="00C575E9">
            <w:pPr>
              <w:widowControl w:val="0"/>
              <w:pBdr>
                <w:top w:val="nil"/>
                <w:left w:val="nil"/>
                <w:bottom w:val="nil"/>
                <w:right w:val="nil"/>
                <w:between w:val="nil"/>
              </w:pBdr>
              <w:jc w:val="right"/>
              <w:rPr>
                <w:color w:val="0000FF"/>
              </w:rPr>
            </w:pPr>
            <w:r w:rsidRPr="000E669E">
              <w:rPr>
                <w:color w:val="0000FF"/>
              </w:rPr>
              <w:t>200%</w:t>
            </w:r>
          </w:p>
        </w:tc>
        <w:tc>
          <w:tcPr>
            <w:tcW w:w="1567" w:type="dxa"/>
            <w:vAlign w:val="bottom"/>
          </w:tcPr>
          <w:p w14:paraId="7BA69976" w14:textId="77777777" w:rsidR="004F3885" w:rsidRPr="000E669E" w:rsidRDefault="004F3885" w:rsidP="00C575E9">
            <w:pPr>
              <w:widowControl w:val="0"/>
              <w:pBdr>
                <w:top w:val="nil"/>
                <w:left w:val="nil"/>
                <w:bottom w:val="nil"/>
                <w:right w:val="nil"/>
                <w:between w:val="nil"/>
              </w:pBdr>
              <w:jc w:val="right"/>
              <w:rPr>
                <w:color w:val="0000FF"/>
              </w:rPr>
            </w:pPr>
            <w:r w:rsidRPr="000E669E">
              <w:rPr>
                <w:color w:val="0000FF"/>
              </w:rPr>
              <w:t>200%</w:t>
            </w:r>
          </w:p>
        </w:tc>
      </w:tr>
      <w:tr w:rsidR="004F3885" w14:paraId="5604CAA2" w14:textId="77777777" w:rsidTr="00C575E9">
        <w:tc>
          <w:tcPr>
            <w:tcW w:w="6270" w:type="dxa"/>
            <w:tcBorders>
              <w:bottom w:val="single" w:sz="12" w:space="0" w:color="000000"/>
            </w:tcBorders>
            <w:vAlign w:val="bottom"/>
          </w:tcPr>
          <w:p w14:paraId="4098C533" w14:textId="77777777" w:rsidR="004F3885" w:rsidRDefault="004F3885" w:rsidP="00C575E9">
            <w:pPr>
              <w:widowControl w:val="0"/>
              <w:pBdr>
                <w:top w:val="nil"/>
                <w:left w:val="nil"/>
                <w:bottom w:val="nil"/>
                <w:right w:val="nil"/>
                <w:between w:val="nil"/>
              </w:pBdr>
              <w:ind w:left="113" w:hanging="113"/>
              <w:rPr>
                <w:color w:val="000000"/>
              </w:rPr>
            </w:pPr>
            <w:r>
              <w:rPr>
                <w:color w:val="000000"/>
              </w:rPr>
              <w:t> </w:t>
            </w:r>
          </w:p>
        </w:tc>
        <w:tc>
          <w:tcPr>
            <w:tcW w:w="1567" w:type="dxa"/>
            <w:tcBorders>
              <w:bottom w:val="single" w:sz="12" w:space="0" w:color="000000"/>
            </w:tcBorders>
            <w:vAlign w:val="bottom"/>
          </w:tcPr>
          <w:p w14:paraId="3FD216EF" w14:textId="77777777" w:rsidR="004F3885" w:rsidRDefault="004F3885" w:rsidP="00C575E9">
            <w:pPr>
              <w:widowControl w:val="0"/>
              <w:jc w:val="right"/>
              <w:rPr>
                <w:b/>
              </w:rPr>
            </w:pPr>
          </w:p>
        </w:tc>
        <w:tc>
          <w:tcPr>
            <w:tcW w:w="1567" w:type="dxa"/>
            <w:tcBorders>
              <w:bottom w:val="single" w:sz="12" w:space="0" w:color="000000"/>
            </w:tcBorders>
            <w:vAlign w:val="bottom"/>
          </w:tcPr>
          <w:p w14:paraId="79C6ADC1" w14:textId="77777777" w:rsidR="004F3885" w:rsidRDefault="004F3885" w:rsidP="00C575E9">
            <w:pPr>
              <w:widowControl w:val="0"/>
              <w:jc w:val="right"/>
              <w:rPr>
                <w:b/>
              </w:rPr>
            </w:pPr>
          </w:p>
        </w:tc>
      </w:tr>
    </w:tbl>
    <w:p w14:paraId="29A955FE" w14:textId="2F84CE22" w:rsidR="004F3885" w:rsidRDefault="004F3885" w:rsidP="001F436C">
      <w:pPr>
        <w:widowControl w:val="0"/>
        <w:pBdr>
          <w:top w:val="nil"/>
          <w:left w:val="nil"/>
          <w:bottom w:val="nil"/>
          <w:right w:val="nil"/>
          <w:between w:val="nil"/>
        </w:pBdr>
        <w:spacing w:before="200" w:after="200"/>
        <w:jc w:val="both"/>
        <w:rPr>
          <w:sz w:val="20"/>
          <w:szCs w:val="20"/>
        </w:rPr>
      </w:pPr>
      <w:r w:rsidRPr="001F436C">
        <w:rPr>
          <w:color w:val="000000"/>
          <w:sz w:val="20"/>
          <w:szCs w:val="20"/>
        </w:rPr>
        <w:t>Should</w:t>
      </w:r>
      <w:r w:rsidRPr="001F436C">
        <w:rPr>
          <w:sz w:val="20"/>
          <w:szCs w:val="20"/>
        </w:rPr>
        <w:t xml:space="preserve"> ECL on all loans and advances to customers be measured at lifetime ECL (that is, including those that are currently in Stage 1 measured at 12-months ECL), the expected credit loss allowance would be higher by EUR ____ thousand as of 31 December 2024 (31 December 2023: higher by EUR ____ thousand).</w:t>
      </w:r>
    </w:p>
    <w:p w14:paraId="14A74392" w14:textId="2345CE15" w:rsidR="0036608B" w:rsidRDefault="001F436C" w:rsidP="006F0269">
      <w:pPr>
        <w:widowControl w:val="0"/>
        <w:pBdr>
          <w:top w:val="nil"/>
          <w:left w:val="nil"/>
          <w:bottom w:val="nil"/>
          <w:right w:val="nil"/>
          <w:between w:val="nil"/>
        </w:pBdr>
        <w:spacing w:before="200" w:after="200"/>
        <w:jc w:val="both"/>
        <w:rPr>
          <w:i/>
          <w:color w:val="FF0000"/>
          <w:sz w:val="20"/>
          <w:szCs w:val="20"/>
        </w:rPr>
      </w:pPr>
      <w:r w:rsidRPr="00372E26">
        <w:rPr>
          <w:b/>
          <w:bCs/>
          <w:i/>
          <w:sz w:val="20"/>
          <w:szCs w:val="20"/>
        </w:rPr>
        <w:t xml:space="preserve">Environmental, Social and Governance </w:t>
      </w:r>
      <w:r>
        <w:rPr>
          <w:b/>
          <w:bCs/>
          <w:i/>
          <w:sz w:val="20"/>
          <w:szCs w:val="20"/>
        </w:rPr>
        <w:t xml:space="preserve">(ESG) </w:t>
      </w:r>
      <w:r w:rsidRPr="00372E26">
        <w:rPr>
          <w:b/>
          <w:bCs/>
          <w:i/>
          <w:sz w:val="20"/>
          <w:szCs w:val="20"/>
        </w:rPr>
        <w:t>matters</w:t>
      </w:r>
      <w:r>
        <w:rPr>
          <w:i/>
          <w:color w:val="FF0000"/>
          <w:sz w:val="20"/>
          <w:szCs w:val="20"/>
        </w:rPr>
        <w:t xml:space="preserve">. </w:t>
      </w:r>
      <w:r w:rsidR="0036608B">
        <w:rPr>
          <w:i/>
          <w:color w:val="FF0000"/>
          <w:sz w:val="20"/>
          <w:szCs w:val="20"/>
        </w:rPr>
        <w:t xml:space="preserve">The note should be tailored to include </w:t>
      </w:r>
      <w:r w:rsidR="0036608B" w:rsidRPr="0036608B">
        <w:rPr>
          <w:i/>
          <w:color w:val="FF0000"/>
          <w:sz w:val="20"/>
          <w:szCs w:val="20"/>
        </w:rPr>
        <w:t xml:space="preserve">ESG-related sources of key estimation uncertainty disclosures </w:t>
      </w:r>
      <w:r w:rsidR="0036608B">
        <w:rPr>
          <w:i/>
          <w:color w:val="FF0000"/>
          <w:sz w:val="20"/>
          <w:szCs w:val="20"/>
        </w:rPr>
        <w:t>specific for the Group.</w:t>
      </w:r>
    </w:p>
    <w:p w14:paraId="504C83A3" w14:textId="4518DA54" w:rsidR="001F436C" w:rsidRDefault="001F436C" w:rsidP="001F436C">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Fair value of derivatives and certain other instruments. </w:t>
      </w:r>
      <w:r>
        <w:rPr>
          <w:color w:val="000000"/>
          <w:sz w:val="20"/>
          <w:szCs w:val="20"/>
        </w:rPr>
        <w:t>Information</w:t>
      </w:r>
      <w:r>
        <w:rPr>
          <w:b/>
          <w:i/>
          <w:color w:val="000000"/>
          <w:sz w:val="20"/>
          <w:szCs w:val="20"/>
        </w:rPr>
        <w:t xml:space="preserve"> </w:t>
      </w:r>
      <w:r>
        <w:rPr>
          <w:color w:val="000000"/>
          <w:sz w:val="20"/>
          <w:szCs w:val="20"/>
        </w:rPr>
        <w:t>about fair</w:t>
      </w:r>
      <w:r>
        <w:rPr>
          <w:b/>
          <w:i/>
          <w:color w:val="000000"/>
          <w:sz w:val="20"/>
          <w:szCs w:val="20"/>
        </w:rPr>
        <w:t xml:space="preserve"> </w:t>
      </w:r>
      <w:r>
        <w:rPr>
          <w:color w:val="000000"/>
          <w:sz w:val="20"/>
          <w:szCs w:val="20"/>
        </w:rPr>
        <w:t>values of instruments that were valued using assumptions that are not based on observable market data is disclosed in Note 49.</w:t>
      </w:r>
    </w:p>
    <w:p w14:paraId="0CAC5360" w14:textId="77777777" w:rsidR="0042155F" w:rsidRPr="004F3885" w:rsidRDefault="0042155F" w:rsidP="0042155F">
      <w:pPr>
        <w:pStyle w:val="Continued"/>
      </w:pPr>
      <w:r>
        <w:lastRenderedPageBreak/>
        <w:t>4</w:t>
      </w:r>
      <w:r>
        <w:tab/>
        <w:t>Critical Accounting Estimates, and Judgements in Applying Accounting Policies (Continued)</w:t>
      </w:r>
    </w:p>
    <w:p w14:paraId="071A58BE" w14:textId="77777777" w:rsidR="001F436C" w:rsidRDefault="001F436C" w:rsidP="001F436C">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Deferred income tax asset recognition. </w:t>
      </w:r>
      <w:r>
        <w:rPr>
          <w:color w:val="000000"/>
          <w:sz w:val="20"/>
          <w:szCs w:val="20"/>
        </w:rPr>
        <w:t xml:space="preserve">The recognised deferred tax asset represents income taxes recoverable through future deductions from taxable profits, and is recorded in the statement of financial position. Deferred income tax assets are recorded to the extent that realisation of the related tax benefit is probable. The future taxable profits and the amount of tax benefits that are probable in the future are based on a medium term business plan prepared by management and extrapolated results thereafter. The business plan is based on management expectations that are believed to be reasonable under the circumstances. Key assumptions in the business plan are </w:t>
      </w:r>
      <w:r>
        <w:rPr>
          <w:color w:val="0000FF"/>
          <w:sz w:val="20"/>
          <w:szCs w:val="20"/>
        </w:rPr>
        <w:t>[list key assumptions used to prepare the budget].</w:t>
      </w:r>
    </w:p>
    <w:p w14:paraId="18CB258D" w14:textId="77777777" w:rsidR="001F436C" w:rsidRDefault="001F436C" w:rsidP="001F436C">
      <w:pPr>
        <w:widowControl w:val="0"/>
        <w:pBdr>
          <w:top w:val="nil"/>
          <w:left w:val="nil"/>
          <w:bottom w:val="nil"/>
          <w:right w:val="nil"/>
          <w:between w:val="nil"/>
        </w:pBdr>
        <w:spacing w:before="200" w:after="200"/>
        <w:jc w:val="both"/>
        <w:rPr>
          <w:color w:val="0000FF"/>
          <w:sz w:val="20"/>
          <w:szCs w:val="20"/>
        </w:rPr>
      </w:pPr>
      <w:r w:rsidRPr="00D54B20">
        <w:rPr>
          <w:b/>
          <w:i/>
          <w:color w:val="0000FF"/>
          <w:sz w:val="20"/>
          <w:szCs w:val="20"/>
        </w:rPr>
        <w:t xml:space="preserve">[Tax legislation. </w:t>
      </w:r>
      <w:r w:rsidRPr="00372E26">
        <w:rPr>
          <w:color w:val="0000FF"/>
          <w:sz w:val="20"/>
          <w:szCs w:val="20"/>
        </w:rPr>
        <w:t>T</w:t>
      </w:r>
      <w:r w:rsidRPr="00D54B20">
        <w:rPr>
          <w:color w:val="0000FF"/>
          <w:sz w:val="20"/>
          <w:szCs w:val="20"/>
        </w:rPr>
        <w:t>ax, currency and customs legislation is subject to varying interpretations. Refer to Note 43.]</w:t>
      </w:r>
    </w:p>
    <w:p w14:paraId="0AA07FD9" w14:textId="2AAA61D6" w:rsidR="001F436C" w:rsidRDefault="001F436C" w:rsidP="001F436C">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Deferred income tax on post-acquisition retained earnings of subsidiaries.</w:t>
      </w:r>
      <w:r>
        <w:rPr>
          <w:color w:val="000000"/>
          <w:sz w:val="20"/>
          <w:szCs w:val="20"/>
        </w:rPr>
        <w:t xml:space="preserve"> Deferred income tax is provided on post-acquisition retained earnings and other post acquisition movements in reserves of subsidiaries, except where the Group controls the subsidiary’s dividend policy and it is probable that the difference will not reverse through dividends, or otherwise, in the foreseeable future. </w:t>
      </w:r>
    </w:p>
    <w:p w14:paraId="59ABD60D" w14:textId="65780883" w:rsidR="002C4E7F" w:rsidRDefault="002C4E7F" w:rsidP="002C4E7F">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Assumptions to determine amount of provisions. </w:t>
      </w:r>
      <w:r>
        <w:rPr>
          <w:i/>
          <w:color w:val="FF0000"/>
          <w:sz w:val="20"/>
          <w:szCs w:val="20"/>
        </w:rPr>
        <w:t>[</w:t>
      </w:r>
      <w:r w:rsidR="0036608B">
        <w:rPr>
          <w:i/>
          <w:color w:val="FF0000"/>
          <w:sz w:val="20"/>
          <w:szCs w:val="20"/>
        </w:rPr>
        <w:t>Tailor accordingly to s</w:t>
      </w:r>
      <w:r>
        <w:rPr>
          <w:i/>
          <w:color w:val="FF0000"/>
          <w:sz w:val="20"/>
          <w:szCs w:val="20"/>
        </w:rPr>
        <w:t>tate key sources of estimation uncertainty.]</w:t>
      </w:r>
    </w:p>
    <w:p w14:paraId="5BEA78F6" w14:textId="77777777" w:rsidR="001F436C" w:rsidRDefault="001F436C" w:rsidP="001F436C">
      <w:pPr>
        <w:widowControl w:val="0"/>
        <w:pBdr>
          <w:top w:val="nil"/>
          <w:left w:val="nil"/>
          <w:bottom w:val="nil"/>
          <w:right w:val="nil"/>
          <w:between w:val="nil"/>
        </w:pBdr>
        <w:spacing w:before="200" w:after="200"/>
        <w:jc w:val="both"/>
        <w:rPr>
          <w:color w:val="000000"/>
          <w:sz w:val="20"/>
          <w:szCs w:val="20"/>
        </w:rPr>
      </w:pPr>
      <w:r>
        <w:rPr>
          <w:b/>
          <w:i/>
          <w:color w:val="000000"/>
          <w:sz w:val="20"/>
          <w:szCs w:val="20"/>
        </w:rPr>
        <w:t>Goodwill.</w:t>
      </w:r>
      <w:r>
        <w:rPr>
          <w:color w:val="000000"/>
          <w:sz w:val="20"/>
          <w:szCs w:val="20"/>
        </w:rPr>
        <w:t xml:space="preserve"> The recoverable amount of goodwill was estimated based on a value in use calculation </w:t>
      </w:r>
      <w:r>
        <w:rPr>
          <w:color w:val="0000FF"/>
          <w:sz w:val="20"/>
          <w:szCs w:val="20"/>
        </w:rPr>
        <w:t>[fair value less costs to sell]</w:t>
      </w:r>
      <w:r>
        <w:rPr>
          <w:color w:val="000000"/>
          <w:sz w:val="20"/>
          <w:szCs w:val="20"/>
        </w:rPr>
        <w:t xml:space="preserve">. Refer to Note </w:t>
      </w:r>
      <w:hyperlink w:anchor="_heading=h.3as4poj">
        <w:r>
          <w:rPr>
            <w:color w:val="0000FF"/>
            <w:sz w:val="20"/>
            <w:szCs w:val="20"/>
            <w:u w:val="single"/>
          </w:rPr>
          <w:t>17</w:t>
        </w:r>
      </w:hyperlink>
      <w:r>
        <w:rPr>
          <w:color w:val="000000"/>
          <w:sz w:val="20"/>
          <w:szCs w:val="20"/>
        </w:rPr>
        <w:t>.</w:t>
      </w:r>
    </w:p>
    <w:p w14:paraId="7D24F98B" w14:textId="265CC2EF" w:rsidR="001F436C" w:rsidRDefault="001F436C" w:rsidP="001F436C">
      <w:pPr>
        <w:widowControl w:val="0"/>
        <w:pBdr>
          <w:top w:val="nil"/>
          <w:left w:val="nil"/>
          <w:bottom w:val="nil"/>
          <w:right w:val="nil"/>
          <w:between w:val="nil"/>
        </w:pBdr>
        <w:spacing w:before="200" w:after="200"/>
        <w:jc w:val="both"/>
        <w:rPr>
          <w:color w:val="000000"/>
          <w:sz w:val="20"/>
          <w:szCs w:val="20"/>
        </w:rPr>
      </w:pPr>
      <w:r>
        <w:rPr>
          <w:b/>
          <w:i/>
          <w:color w:val="000000"/>
          <w:sz w:val="20"/>
          <w:szCs w:val="20"/>
        </w:rPr>
        <w:t>Valuation of investment properties using income capitalisation method.</w:t>
      </w:r>
      <w:r>
        <w:rPr>
          <w:color w:val="000000"/>
          <w:sz w:val="20"/>
          <w:szCs w:val="20"/>
        </w:rPr>
        <w:t xml:space="preserve"> Investment property is stated at its fair value based on reports prepared by an international valuation company at the end of each reporting period. As a result of the current economic environment and market conditions as described in Note 2, the frequency of property transactions is low </w:t>
      </w:r>
      <w:r>
        <w:rPr>
          <w:color w:val="0000FF"/>
          <w:sz w:val="20"/>
          <w:szCs w:val="20"/>
        </w:rPr>
        <w:t>[in the Group’s principal markets]</w:t>
      </w:r>
      <w:r>
        <w:rPr>
          <w:color w:val="000000"/>
          <w:sz w:val="20"/>
          <w:szCs w:val="20"/>
        </w:rPr>
        <w:t xml:space="preserve">. Nevertheless, in management’s assessment there remains sufficient market activity to provide comparable prices for orderly transactions with similar properties when determining the fair value for the Group’s investment properties, except for certain of the Group’s </w:t>
      </w:r>
      <w:r>
        <w:rPr>
          <w:color w:val="0000FF"/>
          <w:sz w:val="20"/>
          <w:szCs w:val="20"/>
        </w:rPr>
        <w:t xml:space="preserve">[specify type] </w:t>
      </w:r>
      <w:r>
        <w:rPr>
          <w:color w:val="000000"/>
          <w:sz w:val="20"/>
          <w:szCs w:val="20"/>
        </w:rPr>
        <w:t xml:space="preserve">properties located in </w:t>
      </w:r>
      <w:r>
        <w:rPr>
          <w:color w:val="0000FF"/>
          <w:sz w:val="20"/>
          <w:szCs w:val="20"/>
        </w:rPr>
        <w:t>[location]</w:t>
      </w:r>
      <w:r>
        <w:rPr>
          <w:color w:val="000000"/>
          <w:sz w:val="20"/>
          <w:szCs w:val="20"/>
        </w:rPr>
        <w:t>, with a carrying value of EUR ___ thousand (2023: EUR ___ thousand), because this information is not readily available there.</w:t>
      </w:r>
    </w:p>
    <w:p w14:paraId="3A986B85" w14:textId="128FF9F5" w:rsidR="001F436C" w:rsidRDefault="001F436C" w:rsidP="001F436C">
      <w:pPr>
        <w:widowControl w:val="0"/>
        <w:pBdr>
          <w:top w:val="nil"/>
          <w:left w:val="nil"/>
          <w:bottom w:val="nil"/>
          <w:right w:val="nil"/>
          <w:between w:val="nil"/>
        </w:pBdr>
        <w:spacing w:before="200" w:after="200"/>
        <w:jc w:val="both"/>
        <w:rPr>
          <w:color w:val="000000"/>
          <w:sz w:val="20"/>
          <w:szCs w:val="20"/>
        </w:rPr>
      </w:pPr>
      <w:r>
        <w:rPr>
          <w:color w:val="000000"/>
          <w:sz w:val="20"/>
          <w:szCs w:val="20"/>
        </w:rPr>
        <w:t>For these properties, the valuation was based principally on discounted cash flow projections based on reliable estimates of future cash flows, supported by the terms of any existing lease and other contracts and by external evidence such as current market rents for similar properties in the same location and condition, and using discount rates that reflect current market assessments of the uncertainty in the amount and timing of the cash flows.</w:t>
      </w:r>
    </w:p>
    <w:p w14:paraId="1A7F586E" w14:textId="77777777" w:rsidR="001F436C" w:rsidRDefault="001F436C" w:rsidP="001F436C">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In preparing the valuation reports on the Group’s investment property, </w:t>
      </w:r>
      <w:r>
        <w:rPr>
          <w:color w:val="0000FF"/>
          <w:sz w:val="20"/>
          <w:szCs w:val="20"/>
        </w:rPr>
        <w:t>[the external appraisers]</w:t>
      </w:r>
      <w:r>
        <w:rPr>
          <w:color w:val="000000"/>
          <w:sz w:val="20"/>
          <w:szCs w:val="20"/>
        </w:rPr>
        <w:t xml:space="preserve"> excluded distressed sales when considering comparable sales prices. Management has reviewed the appraisers’ assumptions underlying discounted cash flow models used in the valuation and confirmed that factors such as the discount rate applied have been appropriately determined considering the market conditions at the end of the reporting period. Notwithstanding the above, management considers that the valuation of its investment properties is currently subject to an increased degree of judgement and an increased likelihood that actual proceeds on a sale may differ from the carrying value.</w:t>
      </w:r>
    </w:p>
    <w:p w14:paraId="22703BF8" w14:textId="77777777" w:rsidR="001F436C" w:rsidRDefault="001F436C" w:rsidP="001F436C">
      <w:pPr>
        <w:widowControl w:val="0"/>
        <w:pBdr>
          <w:top w:val="nil"/>
          <w:left w:val="nil"/>
          <w:bottom w:val="nil"/>
          <w:right w:val="nil"/>
          <w:between w:val="nil"/>
        </w:pBdr>
        <w:spacing w:before="200" w:after="200"/>
        <w:jc w:val="both"/>
        <w:rPr>
          <w:color w:val="000000"/>
          <w:sz w:val="20"/>
          <w:szCs w:val="20"/>
        </w:rPr>
      </w:pPr>
      <w:r>
        <w:rPr>
          <w:color w:val="000000"/>
          <w:sz w:val="20"/>
          <w:szCs w:val="20"/>
        </w:rPr>
        <w:t>The principal assumptions underlying the estimation of the fair value are those relating to: the receipt of contractual rentals; expected future market rentals; void periods; maintenance requirements; and appropriate discount rates. These valuations are regularly compared to actual market yield data and actual transactions by the Group, and those reported by the market.</w:t>
      </w:r>
    </w:p>
    <w:p w14:paraId="3874E4BA" w14:textId="77777777" w:rsidR="0042155F" w:rsidRDefault="0042155F" w:rsidP="0042155F">
      <w:pPr>
        <w:pStyle w:val="Continued"/>
      </w:pPr>
      <w:r>
        <w:lastRenderedPageBreak/>
        <w:t>4</w:t>
      </w:r>
      <w:r>
        <w:tab/>
        <w:t>Critical Accounting Estimates, and Judgements in Applying Accounting Policies (Continued)</w:t>
      </w:r>
    </w:p>
    <w:p w14:paraId="46B961ED" w14:textId="77777777" w:rsidR="001F436C" w:rsidRDefault="001F436C" w:rsidP="001F436C">
      <w:pPr>
        <w:widowControl w:val="0"/>
        <w:pBdr>
          <w:top w:val="nil"/>
          <w:left w:val="nil"/>
          <w:bottom w:val="nil"/>
          <w:right w:val="nil"/>
          <w:between w:val="nil"/>
        </w:pBdr>
        <w:spacing w:before="200" w:after="200"/>
        <w:jc w:val="both"/>
        <w:rPr>
          <w:color w:val="000000"/>
          <w:sz w:val="20"/>
          <w:szCs w:val="20"/>
        </w:rPr>
      </w:pPr>
      <w:r>
        <w:rPr>
          <w:color w:val="000000"/>
          <w:sz w:val="20"/>
          <w:szCs w:val="20"/>
        </w:rPr>
        <w:t>The principal assumptions made and the impact on the aggregate valuations of reasonably possible changes in these assumptions, with all other variables held constant, are as follows:</w:t>
      </w:r>
    </w:p>
    <w:p w14:paraId="50EE89DA" w14:textId="2971E518" w:rsidR="001F436C" w:rsidRDefault="001F436C" w:rsidP="001F436C">
      <w:pPr>
        <w:pStyle w:val="bullets"/>
      </w:pPr>
      <w:r>
        <w:t xml:space="preserve">The future rental rates were estimated depending on the actual location of the properties: for </w:t>
      </w:r>
      <w:r>
        <w:rPr>
          <w:i/>
          <w:color w:val="FF0000"/>
        </w:rPr>
        <w:t>[specify region and rates]</w:t>
      </w:r>
      <w:r>
        <w:t xml:space="preserve"> per square meter per annum for </w:t>
      </w:r>
      <w:r>
        <w:rPr>
          <w:color w:val="0000FF"/>
        </w:rPr>
        <w:t>[retail and office space]</w:t>
      </w:r>
      <w:r>
        <w:t xml:space="preserve"> respectively, and for </w:t>
      </w:r>
      <w:r>
        <w:rPr>
          <w:i/>
          <w:color w:val="FF0000"/>
        </w:rPr>
        <w:t>[specify region and rates]</w:t>
      </w:r>
      <w:r>
        <w:t xml:space="preserve"> per square meter per annum for </w:t>
      </w:r>
      <w:r>
        <w:rPr>
          <w:color w:val="0000FF"/>
        </w:rPr>
        <w:t>[retail and office space]</w:t>
      </w:r>
      <w:r>
        <w:t xml:space="preserve"> respectively. Had these rental rates been increased or decreased by 10 percent, the total carrying value of investment properties would be EUR ____ thousand higher or EUR ____ thousand lower, respectively.</w:t>
      </w:r>
    </w:p>
    <w:p w14:paraId="6A2B5858" w14:textId="7375E2E2" w:rsidR="001F436C" w:rsidRDefault="001F436C" w:rsidP="001F436C">
      <w:pPr>
        <w:pStyle w:val="bullets"/>
      </w:pPr>
      <w:r>
        <w:t>Vacancy loss rate was assumed to be in the range of ___% ‒ ___% (2023: ___% ‒ ___%) in different years of operation. Should the vacancy loss rate increase / decrease by 1 percentage point (2023: 1 percentage point), the carrying value of the investment properties would be EUR ____ thousand lower / EUR ____ thousand higher (2023: EUR ____ thousand lower / EUR ____ thousand higher).</w:t>
      </w:r>
    </w:p>
    <w:p w14:paraId="1BE9143E" w14:textId="06BA67AE" w:rsidR="001F436C" w:rsidRDefault="001F436C" w:rsidP="001F436C">
      <w:pPr>
        <w:pStyle w:val="bullets"/>
      </w:pPr>
      <w:r>
        <w:t xml:space="preserve">Bad debt losses are assumed to be </w:t>
      </w:r>
      <w:r>
        <w:rPr>
          <w:color w:val="0000FF"/>
        </w:rPr>
        <w:t>[nil]</w:t>
      </w:r>
      <w:r>
        <w:t xml:space="preserve"> in all years of operations (2023: </w:t>
      </w:r>
      <w:r>
        <w:rPr>
          <w:color w:val="0000FF"/>
        </w:rPr>
        <w:t>[nil]</w:t>
      </w:r>
      <w:r>
        <w:t xml:space="preserve"> in all years of operations). Should the bad debt losses increase to ___% (2023: ___%) of effective gross income each year, the carrying value of the investment properties would be EUR ____ thousand lower (2023: EUR ____ thousand lower).</w:t>
      </w:r>
    </w:p>
    <w:p w14:paraId="57BA540E" w14:textId="5724D179" w:rsidR="001F436C" w:rsidRDefault="001F436C" w:rsidP="001F436C">
      <w:pPr>
        <w:pStyle w:val="bullets"/>
      </w:pPr>
      <w:r>
        <w:t>Property management fees are assumed to be ___% (2023: ___%) of effective gross income. Should the fees increase / decrease by 1 percentage point (2023: 1 percentage point), the carrying value of the investment properties would be EUR ____ thousand lower / higher (2023: EUR ____ thousand lower / higher).</w:t>
      </w:r>
    </w:p>
    <w:p w14:paraId="22378C82" w14:textId="56DE0CED" w:rsidR="001F436C" w:rsidRDefault="001F436C" w:rsidP="001F436C">
      <w:pPr>
        <w:pStyle w:val="bullets"/>
      </w:pPr>
      <w:r>
        <w:t>Repair expenses are assumed to be ___% (2023: ___%) of effective gross income. Should these expenses increase / decrease by ___ percentage point (2023: ___ percentage point), the carrying value of the investment property would be EUR ____ thousand lower / higher (2023: EUR ____ thousand lower / higher).</w:t>
      </w:r>
    </w:p>
    <w:p w14:paraId="48160E86" w14:textId="358560A6" w:rsidR="001F436C" w:rsidRDefault="001F436C" w:rsidP="001F436C">
      <w:pPr>
        <w:pStyle w:val="bullets"/>
      </w:pPr>
      <w:r>
        <w:t>The discount rate was assumed to be ___% ‒ ___% (2023: ___% ‒ ___%) for different properties. Should this discount rate increase / decrease by 1 percentage point (2023: 1 percentage point), the carrying value of the investment property would be EUR ____ thousand lower / EUR ____ thousand higher (2023: EUR ____ thousand lower / higher).</w:t>
      </w:r>
    </w:p>
    <w:p w14:paraId="11380678" w14:textId="05BE7787" w:rsidR="001F436C" w:rsidRDefault="001F436C" w:rsidP="001F436C">
      <w:pPr>
        <w:pStyle w:val="bullets"/>
        <w:rPr>
          <w:color w:val="0000FF"/>
        </w:rPr>
      </w:pPr>
      <w:r>
        <w:rPr>
          <w:color w:val="0000FF"/>
        </w:rPr>
        <w:t>[The capitalisation rate was assumed to be ___% ‒ ___% (2023: ___% ‒ ___%). Should this capitalisation rate increase / decrease by 1 percentage point (2023: 1 percentage point), the carrying value of the investment property would be EUR ____ thousand lower / EUR ____ thousand higher (2023: EUR ____ thousand lower / EUR ____ thousand higher).]</w:t>
      </w:r>
    </w:p>
    <w:p w14:paraId="61880B75" w14:textId="77777777" w:rsidR="001F436C" w:rsidRDefault="001F436C" w:rsidP="001F436C">
      <w:pPr>
        <w:widowControl w:val="0"/>
        <w:pBdr>
          <w:top w:val="nil"/>
          <w:left w:val="nil"/>
          <w:bottom w:val="nil"/>
          <w:right w:val="nil"/>
          <w:between w:val="nil"/>
        </w:pBdr>
        <w:spacing w:before="200" w:after="200"/>
        <w:jc w:val="both"/>
        <w:rPr>
          <w:color w:val="000000"/>
          <w:sz w:val="20"/>
          <w:szCs w:val="20"/>
        </w:rPr>
      </w:pPr>
      <w:r>
        <w:rPr>
          <w:b/>
          <w:i/>
          <w:color w:val="000000"/>
          <w:sz w:val="20"/>
          <w:szCs w:val="20"/>
        </w:rPr>
        <w:t>Valuation of own use premises.</w:t>
      </w:r>
      <w:r>
        <w:rPr>
          <w:color w:val="000000"/>
          <w:sz w:val="20"/>
          <w:szCs w:val="20"/>
        </w:rPr>
        <w:t xml:space="preserve"> Premises of the Group are stated at fair value based on reports prepared by an international valuation company. Due to the nature of the premises and lack of comparable market data, the fair value of the premises is estimated based on the income capitalisation method, where the value is estimated from the expected market rental income streams from similar properties and capitalisation yields. The method considers net income generated by comparable property, capitalised to determine the value for property which is subject to the valuation.</w:t>
      </w:r>
    </w:p>
    <w:p w14:paraId="3B2C5F78" w14:textId="77777777" w:rsidR="001F436C" w:rsidRDefault="001F436C" w:rsidP="001F436C">
      <w:pPr>
        <w:widowControl w:val="0"/>
        <w:pBdr>
          <w:top w:val="nil"/>
          <w:left w:val="nil"/>
          <w:bottom w:val="nil"/>
          <w:right w:val="nil"/>
          <w:between w:val="nil"/>
        </w:pBdr>
        <w:spacing w:before="200" w:after="200"/>
        <w:jc w:val="both"/>
        <w:rPr>
          <w:color w:val="000000"/>
          <w:sz w:val="20"/>
          <w:szCs w:val="20"/>
        </w:rPr>
      </w:pPr>
      <w:r>
        <w:rPr>
          <w:color w:val="000000"/>
          <w:sz w:val="20"/>
          <w:szCs w:val="20"/>
        </w:rPr>
        <w:t>The principal assumptions underlying the estimation of the fair value are those relating to: the possible market rentals and appropriate discount rates. These valuations are regularly compared to actual market yield data and actual transactions by the Group and those reported by the market.</w:t>
      </w:r>
    </w:p>
    <w:p w14:paraId="305761E0" w14:textId="77777777" w:rsidR="001F436C" w:rsidRDefault="001F436C" w:rsidP="001F436C">
      <w:pPr>
        <w:widowControl w:val="0"/>
        <w:pBdr>
          <w:top w:val="nil"/>
          <w:left w:val="nil"/>
          <w:bottom w:val="nil"/>
          <w:right w:val="nil"/>
          <w:between w:val="nil"/>
        </w:pBdr>
        <w:spacing w:before="200" w:after="200"/>
        <w:jc w:val="both"/>
        <w:rPr>
          <w:color w:val="000000"/>
          <w:sz w:val="20"/>
          <w:szCs w:val="20"/>
        </w:rPr>
      </w:pPr>
      <w:r>
        <w:rPr>
          <w:color w:val="000000"/>
          <w:sz w:val="20"/>
          <w:szCs w:val="20"/>
        </w:rPr>
        <w:t>The impact on the aggregate valuations of reasonably possible changes in these assumptions, with all other variables held constant, are as follows:</w:t>
      </w:r>
    </w:p>
    <w:p w14:paraId="23529BB4" w14:textId="68834F49" w:rsidR="001F436C" w:rsidRDefault="001F436C" w:rsidP="001F436C">
      <w:pPr>
        <w:pStyle w:val="bullets"/>
      </w:pPr>
      <w:r>
        <w:t>The capitalisation rate was assumed to be ___% ‒ ___% (2023: ___% ‒ ___%). Should this capitalisation rate increase / decrease by 1 percentage point (2023: 1 percentage point), the carrying value of the premises would be EUR ____ thousand lower / EUR ____ thousand higher (2023: EUR ____ thousand lower / EUR ____ thousand higher).</w:t>
      </w:r>
    </w:p>
    <w:p w14:paraId="332C0D40" w14:textId="2D527083" w:rsidR="001F436C" w:rsidRDefault="001F436C" w:rsidP="001F436C">
      <w:pPr>
        <w:pStyle w:val="bullets"/>
      </w:pPr>
      <w:r>
        <w:t>Possible property rental income was assumed to be EUR ____ thousand (2023: EUR ____ thousand) per annum. Should this rental income increase / decrease by 10 percent (2023: 10 percent), the carrying value of the premises would be EUR ____ thousand higher / EUR ____ thousand lower (2023: EUR ____ thousand higher / EUR ____ thousand lower).</w:t>
      </w:r>
    </w:p>
    <w:p w14:paraId="6C500803" w14:textId="77777777" w:rsidR="0042155F" w:rsidRDefault="0042155F" w:rsidP="0042155F">
      <w:pPr>
        <w:pStyle w:val="Continued"/>
      </w:pPr>
      <w:r>
        <w:lastRenderedPageBreak/>
        <w:t>4</w:t>
      </w:r>
      <w:r>
        <w:tab/>
        <w:t>Critical Accounting Estimates, and Judgements in Applying Accounting Policies (Continued)</w:t>
      </w:r>
    </w:p>
    <w:p w14:paraId="3C052751" w14:textId="4D8B46D8" w:rsidR="001F436C" w:rsidRDefault="001F436C" w:rsidP="001F436C">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Determining lease term. </w:t>
      </w:r>
      <w:r>
        <w:rPr>
          <w:color w:val="000000"/>
          <w:sz w:val="20"/>
          <w:szCs w:val="20"/>
        </w:rPr>
        <w:t xml:space="preserve">The Group leases office buildings from third parties under contracts which do not have contractual maturity dates and are automatically renewed unless either party submits a termination notice of </w:t>
      </w:r>
      <w:r>
        <w:rPr>
          <w:color w:val="0000FF"/>
          <w:sz w:val="20"/>
          <w:szCs w:val="20"/>
        </w:rPr>
        <w:t>[12 months]</w:t>
      </w:r>
      <w:r>
        <w:rPr>
          <w:color w:val="000000"/>
          <w:sz w:val="20"/>
          <w:szCs w:val="20"/>
        </w:rPr>
        <w:t xml:space="preserve">. The Group determines non-cancellable lease period for such leases, taking into consideration penalties that would be incurred upon termination, including economic disincentives such as leasehold improvements, cost of relocating or the importance of the premises to the Group’s operations. As a result, the lease term for most significant office buildings has been determined as a period of </w:t>
      </w:r>
      <w:r>
        <w:rPr>
          <w:color w:val="0000FF"/>
          <w:sz w:val="20"/>
          <w:szCs w:val="20"/>
        </w:rPr>
        <w:t>[3-5 years]</w:t>
      </w:r>
      <w:r>
        <w:rPr>
          <w:color w:val="000000"/>
          <w:sz w:val="20"/>
          <w:szCs w:val="20"/>
        </w:rPr>
        <w:t xml:space="preserve">. </w:t>
      </w:r>
    </w:p>
    <w:p w14:paraId="2CC22AD0" w14:textId="77777777" w:rsidR="001F436C" w:rsidRDefault="001F436C" w:rsidP="001F436C">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Functional currencies of different entities of the Group.</w:t>
      </w:r>
      <w:r>
        <w:rPr>
          <w:color w:val="000000"/>
          <w:sz w:val="20"/>
          <w:szCs w:val="20"/>
        </w:rPr>
        <w:t xml:space="preserve"> Different entities within the Group have different functional currencies, based on the underlying economic conditions of their operations. This determination, of what the specific underlying economic conditions are, requires judgement. In making this judgement, the Group evaluates among other factors, the location of activities, the sources of revenue, risks associated with activities and denomination of currencies of operations of different entities. Specifically, in determination of the functional currencies of </w:t>
      </w:r>
      <w:r>
        <w:rPr>
          <w:color w:val="0000FF"/>
          <w:sz w:val="20"/>
          <w:szCs w:val="20"/>
        </w:rPr>
        <w:t xml:space="preserve">[entity names], </w:t>
      </w:r>
      <w:r>
        <w:rPr>
          <w:color w:val="000000"/>
          <w:sz w:val="20"/>
          <w:szCs w:val="20"/>
        </w:rPr>
        <w:t xml:space="preserve">the Group based its judgement on the fact that the companies operate internationally on markets mainly influenced by the </w:t>
      </w:r>
      <w:r>
        <w:rPr>
          <w:color w:val="0000FF"/>
          <w:sz w:val="20"/>
          <w:szCs w:val="20"/>
        </w:rPr>
        <w:t>[US Dollar (not Euro)]</w:t>
      </w:r>
      <w:r>
        <w:rPr>
          <w:color w:val="000000"/>
          <w:sz w:val="20"/>
          <w:szCs w:val="20"/>
        </w:rPr>
        <w:t xml:space="preserve"> and their major activities include provision of services to foreign investors. Moreover, the majority of their operations are denominated in </w:t>
      </w:r>
      <w:r>
        <w:rPr>
          <w:color w:val="0000FF"/>
          <w:sz w:val="20"/>
          <w:szCs w:val="20"/>
        </w:rPr>
        <w:t>[US Dollars]</w:t>
      </w:r>
      <w:r>
        <w:rPr>
          <w:color w:val="000000"/>
          <w:sz w:val="20"/>
          <w:szCs w:val="20"/>
        </w:rPr>
        <w:t xml:space="preserve"> and also, the </w:t>
      </w:r>
      <w:r>
        <w:rPr>
          <w:color w:val="0000FF"/>
          <w:sz w:val="20"/>
          <w:szCs w:val="20"/>
        </w:rPr>
        <w:t>[US Dollar]</w:t>
      </w:r>
      <w:r>
        <w:rPr>
          <w:color w:val="000000"/>
          <w:sz w:val="20"/>
          <w:szCs w:val="20"/>
        </w:rPr>
        <w:t xml:space="preserve"> is the currency in which their business risks and exposures are managed, and the performance of their business is measured.</w:t>
      </w:r>
    </w:p>
    <w:p w14:paraId="359BCBD3" w14:textId="77777777" w:rsidR="001F436C" w:rsidRDefault="001F436C" w:rsidP="001F436C">
      <w:pPr>
        <w:widowControl w:val="0"/>
        <w:spacing w:before="200" w:after="200"/>
        <w:jc w:val="both"/>
        <w:rPr>
          <w:color w:val="000000"/>
          <w:sz w:val="20"/>
          <w:szCs w:val="20"/>
        </w:rPr>
      </w:pPr>
      <w:r>
        <w:rPr>
          <w:b/>
          <w:i/>
          <w:color w:val="000000"/>
          <w:sz w:val="20"/>
          <w:szCs w:val="20"/>
        </w:rPr>
        <w:t>Customer loyalty program.</w:t>
      </w:r>
      <w:r>
        <w:rPr>
          <w:color w:val="000000"/>
          <w:sz w:val="20"/>
          <w:szCs w:val="20"/>
        </w:rPr>
        <w:t xml:space="preserve"> The credit card award points provide a material right to customers that they would not otherwise receive. Therefore, the loyalty points represent a separate performance obligation. The transaction price is allocated to the main product and the points on a relative stand-alone selling price basis. Management estimates the stand-alone selling price per point on the basis of the discount granted when the points are redeemed and on the basis of the likelihood of redemption, based on past experience. </w:t>
      </w:r>
    </w:p>
    <w:p w14:paraId="34E724C3" w14:textId="77777777" w:rsidR="001F436C" w:rsidRDefault="001F436C" w:rsidP="001F436C">
      <w:pPr>
        <w:widowControl w:val="0"/>
        <w:spacing w:before="200" w:after="200"/>
        <w:jc w:val="both"/>
        <w:rPr>
          <w:sz w:val="20"/>
          <w:szCs w:val="20"/>
        </w:rPr>
      </w:pPr>
      <w:r>
        <w:rPr>
          <w:color w:val="000000"/>
          <w:sz w:val="20"/>
          <w:szCs w:val="20"/>
        </w:rPr>
        <w:t xml:space="preserve">The stand-alone selling price of the product sold is estimated on the basis of the retail price. Discounts are not considered as they are only given in rare circumstances. If the likelihood of redemption would be </w:t>
      </w:r>
      <w:r>
        <w:rPr>
          <w:color w:val="0000FF"/>
          <w:sz w:val="20"/>
          <w:szCs w:val="20"/>
        </w:rPr>
        <w:t>[5]</w:t>
      </w:r>
      <w:r>
        <w:rPr>
          <w:color w:val="000000"/>
          <w:sz w:val="20"/>
          <w:szCs w:val="20"/>
        </w:rPr>
        <w:t xml:space="preserve"> per cent higher/lower, the amount of the liability under the program would be EUR____ higher/lower.</w:t>
      </w:r>
    </w:p>
    <w:p w14:paraId="151A554B" w14:textId="099461A9" w:rsidR="002C4E7F" w:rsidRDefault="002C4E7F" w:rsidP="002C4E7F">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Changes in accounting estimates. </w:t>
      </w:r>
      <w:r w:rsidR="0036608B">
        <w:rPr>
          <w:i/>
          <w:color w:val="FF0000"/>
          <w:sz w:val="20"/>
          <w:szCs w:val="20"/>
        </w:rPr>
        <w:t>Tailor accordingly to d</w:t>
      </w:r>
      <w:r>
        <w:rPr>
          <w:i/>
          <w:color w:val="FF0000"/>
          <w:sz w:val="20"/>
          <w:szCs w:val="20"/>
        </w:rPr>
        <w:t>isclose the nature and amount of a change in an accounting estimate that has an effect in the current period or that is expected to have an effect in future periods. If it is impracticable to estimate the amount, disclose this fact. Refer to IAS 8 paragraphs 39 and 40.] [Describe also other key assumptions or key sources of estimation uncertainty that have a significant risk of causing a material adjustment to the assets and liabilities within the next year. Refer to IAS 1.125.]</w:t>
      </w:r>
    </w:p>
    <w:p w14:paraId="38087E2B" w14:textId="77777777" w:rsidR="001F436C" w:rsidRPr="001F436C" w:rsidRDefault="001F436C" w:rsidP="001F436C">
      <w:pPr>
        <w:widowControl w:val="0"/>
        <w:pBdr>
          <w:top w:val="nil"/>
          <w:left w:val="nil"/>
          <w:bottom w:val="nil"/>
          <w:right w:val="nil"/>
          <w:between w:val="nil"/>
        </w:pBdr>
        <w:spacing w:before="200" w:after="200"/>
        <w:jc w:val="both"/>
        <w:rPr>
          <w:sz w:val="20"/>
          <w:szCs w:val="20"/>
        </w:rPr>
      </w:pPr>
    </w:p>
    <w:p w14:paraId="2129D9E2" w14:textId="4F8EDCE4" w:rsidR="009B5044" w:rsidRPr="009B5044" w:rsidRDefault="009B5044" w:rsidP="009B5044">
      <w:pPr>
        <w:widowControl w:val="0"/>
        <w:pBdr>
          <w:top w:val="nil"/>
          <w:left w:val="nil"/>
          <w:bottom w:val="nil"/>
          <w:right w:val="nil"/>
          <w:between w:val="nil"/>
        </w:pBdr>
        <w:spacing w:before="200" w:after="200"/>
        <w:ind w:left="426" w:hanging="426"/>
        <w:jc w:val="both"/>
        <w:rPr>
          <w:b/>
          <w:bCs/>
          <w:i/>
          <w:color w:val="FF0000"/>
          <w:sz w:val="20"/>
          <w:szCs w:val="20"/>
        </w:rPr>
      </w:pPr>
      <w:r w:rsidRPr="009B5044">
        <w:rPr>
          <w:b/>
          <w:bCs/>
          <w:i/>
          <w:color w:val="000000" w:themeColor="text1"/>
          <w:sz w:val="20"/>
          <w:szCs w:val="20"/>
        </w:rPr>
        <w:t xml:space="preserve">(b) </w:t>
      </w:r>
      <w:r>
        <w:rPr>
          <w:b/>
          <w:bCs/>
          <w:i/>
          <w:color w:val="000000" w:themeColor="text1"/>
          <w:sz w:val="20"/>
          <w:szCs w:val="20"/>
        </w:rPr>
        <w:tab/>
      </w:r>
      <w:r w:rsidRPr="009B5044">
        <w:rPr>
          <w:b/>
          <w:bCs/>
          <w:i/>
          <w:color w:val="000000" w:themeColor="text1"/>
          <w:sz w:val="20"/>
          <w:szCs w:val="20"/>
        </w:rPr>
        <w:t>Judgements in applying accounting policies with the most significant effect on the recognised amounts.</w:t>
      </w:r>
    </w:p>
    <w:p w14:paraId="063578C2" w14:textId="1C7357BB"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Going concern.</w:t>
      </w:r>
      <w:r>
        <w:rPr>
          <w:i/>
          <w:color w:val="000000"/>
          <w:sz w:val="20"/>
          <w:szCs w:val="20"/>
        </w:rPr>
        <w:t xml:space="preserve"> </w:t>
      </w:r>
      <w:r>
        <w:rPr>
          <w:color w:val="000000"/>
          <w:sz w:val="20"/>
          <w:szCs w:val="20"/>
        </w:rPr>
        <w:t xml:space="preserve">Management prepared these </w:t>
      </w:r>
      <w:r>
        <w:rPr>
          <w:color w:val="0000FF"/>
          <w:sz w:val="20"/>
          <w:szCs w:val="20"/>
        </w:rPr>
        <w:t xml:space="preserve">[consolidated] </w:t>
      </w:r>
      <w:r>
        <w:rPr>
          <w:color w:val="000000"/>
          <w:sz w:val="20"/>
          <w:szCs w:val="20"/>
        </w:rPr>
        <w:t>financial statements on a going concern basis. In making this judgement management considered the Group’s financial position, current intentions, profitability of operations and access to financial resources, and analysed the impact of recent macro-economic developments on future operations of the Group.</w:t>
      </w:r>
      <w:r>
        <w:rPr>
          <w:color w:val="0000FF"/>
          <w:sz w:val="20"/>
          <w:szCs w:val="20"/>
        </w:rPr>
        <w:t xml:space="preserve"> </w:t>
      </w:r>
      <w:r>
        <w:rPr>
          <w:i/>
          <w:color w:val="FF0000"/>
          <w:sz w:val="20"/>
          <w:szCs w:val="20"/>
        </w:rPr>
        <w:t xml:space="preserve">Expand the text to describe material uncertainties relating to events or conditions that may cast significant doubt on the Group’s ability to continue as a going concern – IAS 1.25.] </w:t>
      </w:r>
    </w:p>
    <w:p w14:paraId="1A11D636" w14:textId="0D4510BC" w:rsidR="00213E40" w:rsidRPr="00302F88" w:rsidRDefault="00213E40">
      <w:pPr>
        <w:widowControl w:val="0"/>
        <w:pBdr>
          <w:top w:val="nil"/>
          <w:left w:val="nil"/>
          <w:bottom w:val="nil"/>
          <w:right w:val="nil"/>
          <w:between w:val="nil"/>
        </w:pBdr>
        <w:spacing w:before="200" w:after="200"/>
        <w:jc w:val="both"/>
        <w:rPr>
          <w:i/>
          <w:iCs/>
          <w:color w:val="FF0000"/>
          <w:sz w:val="20"/>
          <w:szCs w:val="20"/>
        </w:rPr>
      </w:pPr>
      <w:r w:rsidRPr="00302F88">
        <w:rPr>
          <w:b/>
          <w:bCs/>
          <w:i/>
          <w:iCs/>
          <w:sz w:val="20"/>
          <w:szCs w:val="20"/>
        </w:rPr>
        <w:t>Performance guarantees treated as loan commitments</w:t>
      </w:r>
      <w:r w:rsidR="00993457" w:rsidRPr="00302F88">
        <w:rPr>
          <w:b/>
          <w:bCs/>
          <w:i/>
          <w:iCs/>
          <w:sz w:val="20"/>
          <w:szCs w:val="20"/>
        </w:rPr>
        <w:t xml:space="preserve">. </w:t>
      </w:r>
      <w:r w:rsidR="00794740" w:rsidRPr="00302F88">
        <w:rPr>
          <w:sz w:val="20"/>
          <w:szCs w:val="20"/>
        </w:rPr>
        <w:t>The Group analysed the issued performance guarantee contracts to assess whether they would meet the definition of insurance contracts in the scope of IFRS 17. The Group has concluded that</w:t>
      </w:r>
      <w:r w:rsidR="000E669E">
        <w:rPr>
          <w:sz w:val="20"/>
          <w:szCs w:val="20"/>
        </w:rPr>
        <w:t xml:space="preserve"> certain of</w:t>
      </w:r>
      <w:r w:rsidR="00794740" w:rsidRPr="00302F88">
        <w:rPr>
          <w:sz w:val="20"/>
          <w:szCs w:val="20"/>
        </w:rPr>
        <w:t xml:space="preserve"> its performance guarantee contracts expose the Group </w:t>
      </w:r>
      <w:r w:rsidR="000E669E" w:rsidRPr="000E669E">
        <w:rPr>
          <w:color w:val="000000" w:themeColor="text1"/>
          <w:sz w:val="20"/>
          <w:szCs w:val="20"/>
        </w:rPr>
        <w:t>solely</w:t>
      </w:r>
      <w:r w:rsidR="00794740" w:rsidRPr="000E669E">
        <w:rPr>
          <w:color w:val="000000" w:themeColor="text1"/>
          <w:sz w:val="20"/>
          <w:szCs w:val="20"/>
        </w:rPr>
        <w:t xml:space="preserve"> </w:t>
      </w:r>
      <w:r w:rsidR="00794740" w:rsidRPr="00302F88">
        <w:rPr>
          <w:sz w:val="20"/>
          <w:szCs w:val="20"/>
        </w:rPr>
        <w:t xml:space="preserve">to credit risk of the applicant because (i) all the contracts require the customers who apply for a guarantee to fully collateralise their obligations to indemnify the Group as the issuer and (ii) there are no scenarios with commercial substance where the Group would have to pay significant additional amounts to the holders of such guarantees. Accordingly, the Group accounts for these contracts as loan commitments in accordance with IFRS 9. </w:t>
      </w:r>
      <w:r w:rsidR="00794740" w:rsidRPr="00302F88">
        <w:rPr>
          <w:color w:val="0000FF"/>
          <w:sz w:val="20"/>
          <w:szCs w:val="20"/>
        </w:rPr>
        <w:t xml:space="preserve">The gross amount of the performance guarantees issued and accounted for as loan commitments is ___ (31 December </w:t>
      </w:r>
      <w:r w:rsidR="00541EBC">
        <w:rPr>
          <w:color w:val="0000FF"/>
          <w:sz w:val="20"/>
          <w:szCs w:val="20"/>
        </w:rPr>
        <w:t>2023</w:t>
      </w:r>
      <w:r w:rsidR="00794740" w:rsidRPr="00302F88">
        <w:rPr>
          <w:color w:val="0000FF"/>
          <w:sz w:val="20"/>
          <w:szCs w:val="20"/>
        </w:rPr>
        <w:t xml:space="preserve">: _____) (refer to Note </w:t>
      </w:r>
      <w:r w:rsidR="002D50B1">
        <w:rPr>
          <w:color w:val="0000FF"/>
          <w:sz w:val="20"/>
          <w:szCs w:val="20"/>
        </w:rPr>
        <w:t>26</w:t>
      </w:r>
      <w:r w:rsidR="00794740" w:rsidRPr="00302F88">
        <w:rPr>
          <w:color w:val="0000FF"/>
          <w:sz w:val="20"/>
          <w:szCs w:val="20"/>
        </w:rPr>
        <w:t xml:space="preserve">) and the carrying value of the related liability recognised in the statement of financial position is ___ at 31 December </w:t>
      </w:r>
      <w:r w:rsidR="00541EBC">
        <w:rPr>
          <w:color w:val="0000FF"/>
          <w:sz w:val="20"/>
          <w:szCs w:val="20"/>
        </w:rPr>
        <w:t>2024</w:t>
      </w:r>
      <w:r w:rsidR="002D50B1">
        <w:rPr>
          <w:color w:val="0000FF"/>
          <w:sz w:val="20"/>
          <w:szCs w:val="20"/>
        </w:rPr>
        <w:t xml:space="preserve"> </w:t>
      </w:r>
      <w:r w:rsidR="002D50B1" w:rsidRPr="00C51CBB">
        <w:rPr>
          <w:color w:val="0000FF"/>
          <w:sz w:val="20"/>
          <w:szCs w:val="20"/>
        </w:rPr>
        <w:t xml:space="preserve">(31 December </w:t>
      </w:r>
      <w:r w:rsidR="00541EBC">
        <w:rPr>
          <w:color w:val="0000FF"/>
          <w:sz w:val="20"/>
          <w:szCs w:val="20"/>
        </w:rPr>
        <w:t>2023</w:t>
      </w:r>
      <w:r w:rsidR="002D50B1" w:rsidRPr="00C51CBB">
        <w:rPr>
          <w:color w:val="0000FF"/>
          <w:sz w:val="20"/>
          <w:szCs w:val="20"/>
        </w:rPr>
        <w:t>: ____</w:t>
      </w:r>
      <w:r w:rsidR="002D50B1">
        <w:rPr>
          <w:color w:val="0000FF"/>
          <w:sz w:val="20"/>
          <w:szCs w:val="20"/>
        </w:rPr>
        <w:t>)</w:t>
      </w:r>
      <w:r w:rsidR="00794740" w:rsidRPr="00302F88">
        <w:rPr>
          <w:color w:val="0000FF"/>
          <w:sz w:val="20"/>
          <w:szCs w:val="20"/>
        </w:rPr>
        <w:t xml:space="preserve">. The fee income recognised for these performance guarantees was ___ for the year ended 31 December </w:t>
      </w:r>
      <w:r w:rsidR="00541EBC">
        <w:rPr>
          <w:color w:val="0000FF"/>
          <w:sz w:val="20"/>
          <w:szCs w:val="20"/>
        </w:rPr>
        <w:t>2024</w:t>
      </w:r>
      <w:r w:rsidR="002D50B1">
        <w:rPr>
          <w:color w:val="0000FF"/>
          <w:sz w:val="20"/>
          <w:szCs w:val="20"/>
        </w:rPr>
        <w:t xml:space="preserve"> </w:t>
      </w:r>
      <w:r w:rsidR="002D50B1" w:rsidRPr="00C51CBB">
        <w:rPr>
          <w:color w:val="0000FF"/>
          <w:sz w:val="20"/>
          <w:szCs w:val="20"/>
        </w:rPr>
        <w:t>(</w:t>
      </w:r>
      <w:r w:rsidR="00541EBC">
        <w:rPr>
          <w:color w:val="0000FF"/>
          <w:sz w:val="20"/>
          <w:szCs w:val="20"/>
        </w:rPr>
        <w:t>2023</w:t>
      </w:r>
      <w:r w:rsidR="002D50B1" w:rsidRPr="00C51CBB">
        <w:rPr>
          <w:color w:val="0000FF"/>
          <w:sz w:val="20"/>
          <w:szCs w:val="20"/>
        </w:rPr>
        <w:t>: _____)</w:t>
      </w:r>
      <w:r w:rsidR="00794740" w:rsidRPr="00302F88">
        <w:rPr>
          <w:color w:val="0000FF"/>
          <w:sz w:val="20"/>
          <w:szCs w:val="20"/>
        </w:rPr>
        <w:t>.</w:t>
      </w:r>
    </w:p>
    <w:p w14:paraId="092784C5" w14:textId="77777777" w:rsidR="0042155F" w:rsidRPr="004F3885" w:rsidRDefault="0042155F" w:rsidP="0042155F">
      <w:pPr>
        <w:pStyle w:val="Continued"/>
      </w:pPr>
      <w:r>
        <w:lastRenderedPageBreak/>
        <w:t>4</w:t>
      </w:r>
      <w:r>
        <w:tab/>
        <w:t>Critical Accounting Estimates, and Judgements in Applying Accounting Policies (Continued)</w:t>
      </w:r>
    </w:p>
    <w:p w14:paraId="09FBBEAF" w14:textId="77777777"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Credit exposure on revolving credit facilities (e.g. credit cards, overdrafts). </w:t>
      </w:r>
      <w:r>
        <w:rPr>
          <w:color w:val="000000"/>
          <w:sz w:val="20"/>
          <w:szCs w:val="20"/>
        </w:rPr>
        <w:t xml:space="preserve">For certain loan facilities, the Group's exposure to credit losses may extend beyond the maximum contractual period of the facility. This exception applies to certain revolving credit facilities, which include both a loan and an undrawn commitment component and where the Group's contractual ability to demand repayment and cancel the undrawn component in practice does not limit its exposure to credit losses. </w:t>
      </w:r>
    </w:p>
    <w:p w14:paraId="19CEF4ED"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For such facilities, the Group measures ECLs over the period that the Group is exposed to credit risk and ECLs are not mitigated by credit risk management actions. Application of this exception requires judgement. Management applied its judgement in identifying the facilities, both retail and commercial, to which this exception applies. The Group applied this exception to facilities with the following characteristics: (a) there is no fixed term or repayment structure, (b) the contractual ability to cancel the contract is not in practice enforced as a result of day-to-day management of the credit exposure and the contract may only be cancelled when the Group becomes aware of an increase in credit risk at the level of an individual facility, and (c) the exposures are managed on a collective basis. Further, the Group applied judgement in determining a period for measuring the ECL, including the starting point and the expected end point of the exposures. </w:t>
      </w:r>
    </w:p>
    <w:p w14:paraId="3396E82A" w14:textId="6AB516FD"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Group considered historical information and experience about: (a) the period over which the Group is exposed to credit risk on similar facilities, including when the last significant modification of the facility occurred and that therefore determines the starting point for assessing SICR, (b) the length of time for related defaults to occur on similar financial instruments following a SICR and (c) the credit risk management actions (eg the reduction or removal of undrawn limits), prepayment rates and other factors that drive expected maturity. In applying these factors, the Group segments the portfolios of revolving facilities into sub-groups and applies the factors that are most relevant based on historical data and experience as well as forward-looking information. </w:t>
      </w:r>
    </w:p>
    <w:p w14:paraId="4FD45C3B" w14:textId="77777777" w:rsidR="004656ED"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Business model assessment.</w:t>
      </w:r>
      <w:r>
        <w:rPr>
          <w:color w:val="FF0000"/>
          <w:sz w:val="20"/>
          <w:szCs w:val="20"/>
        </w:rPr>
        <w:t xml:space="preserve"> </w:t>
      </w:r>
      <w:r>
        <w:rPr>
          <w:color w:val="000000"/>
          <w:sz w:val="20"/>
          <w:szCs w:val="20"/>
        </w:rPr>
        <w:t xml:space="preserve">The business model drives classification of financial assets. Management applied judgement in determining the level of aggregation and portfolios of financial instruments when performing the business model assessment. When assessing sales transactions, the Group considers their historical frequency, timing and value, reasons for the sales and expectations about future sales activity. Sales transactions aimed at minimising potential losses due to credit deterioration are considered consistent with the “hold to collect” business model. Other sales before maturity, not related to credit risk management activities, are also consistent with the “hold to collect” business model, provided that they are infrequent or insignificant in value, both individually and in aggregate. </w:t>
      </w:r>
    </w:p>
    <w:p w14:paraId="3BE7FF89" w14:textId="69FDFCB3"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assesses significance of sales transactions by comparing the value of the sales to the value of the portfolio subject to the business model assessment over the average life of the portfolio. In addition, sales of financial asset expected only in stress case scenario, or in response to an isolated event that is beyond the Group’s control, is not recurring and could not have been anticipated by the Group, are regarded as incidental to the business model objective and do not impact the classification of the respective financial assets. </w:t>
      </w:r>
    </w:p>
    <w:p w14:paraId="4E430CB3"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“hold to collect and sell” business model means that assets are held to collect the cash flows, but selling is also integral to achieving the business model’s objective, such as, managing liquidity needs, achieving a particular yield, or matching the duration of the financial assets to the duration of the liabilities that fund those assets.</w:t>
      </w:r>
    </w:p>
    <w:p w14:paraId="7D4B1860"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residual category includes those portfolios of financial assets, which are managed with the objective of realising cash flows primarily through sale, such as where a pattern of trading exists. Collecting contractual cash flow is often incidental for this business model. </w:t>
      </w:r>
    </w:p>
    <w:p w14:paraId="44F3038D" w14:textId="1C13FDDF"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identified approximately ___% of debt </w:t>
      </w:r>
      <w:r w:rsidR="006F7003">
        <w:rPr>
          <w:color w:val="000000"/>
          <w:sz w:val="20"/>
          <w:szCs w:val="20"/>
        </w:rPr>
        <w:t>securities</w:t>
      </w:r>
      <w:r>
        <w:rPr>
          <w:color w:val="000000"/>
          <w:sz w:val="20"/>
          <w:szCs w:val="20"/>
        </w:rPr>
        <w:t xml:space="preserve"> as a liquidity portfolio and classified as held to collect and sell, while the rest of the debt securities is classified as held to collect based on the assumption that these securities would only be sold in a stress case scenario. </w:t>
      </w:r>
    </w:p>
    <w:p w14:paraId="4C1D3EA6" w14:textId="77777777" w:rsidR="0042155F" w:rsidRPr="004F3885" w:rsidRDefault="0042155F" w:rsidP="0042155F">
      <w:pPr>
        <w:pStyle w:val="Continued"/>
      </w:pPr>
      <w:r>
        <w:lastRenderedPageBreak/>
        <w:t>4</w:t>
      </w:r>
      <w:r>
        <w:tab/>
        <w:t>Critical Accounting Estimates, and Judgements in Applying Accounting Policies (Continued)</w:t>
      </w:r>
    </w:p>
    <w:p w14:paraId="39DC089F" w14:textId="77777777"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[The Group assessed that its residential mortgage loan portfolio meets the criteria for held to collect business model and determined that the past securitisation transactions were infrequent and therefore are not inconsistent with the held to collect business model.]</w:t>
      </w:r>
    </w:p>
    <w:p w14:paraId="494391C7" w14:textId="77777777"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Assessment whether cash flows are solely payments of principal and interest (“SPPI”).</w:t>
      </w:r>
      <w:r>
        <w:rPr>
          <w:color w:val="FF0000"/>
          <w:sz w:val="20"/>
          <w:szCs w:val="20"/>
        </w:rPr>
        <w:t xml:space="preserve"> </w:t>
      </w:r>
      <w:r>
        <w:rPr>
          <w:color w:val="000000"/>
          <w:sz w:val="20"/>
          <w:szCs w:val="20"/>
        </w:rPr>
        <w:t>Determining whether a financial asset’s cash flows are solely payments of principal and interest required judgement. In making this judgement, the Group considers:</w:t>
      </w:r>
    </w:p>
    <w:p w14:paraId="403C6D37" w14:textId="4E8493A7" w:rsidR="00D83E33" w:rsidRDefault="00BC4072" w:rsidP="001B330E">
      <w:pPr>
        <w:pStyle w:val="bullets"/>
      </w:pPr>
      <w:r>
        <w:t>Contingent events that would change the amount and timing of cash flows</w:t>
      </w:r>
      <w:r w:rsidR="008715F6">
        <w:t>,</w:t>
      </w:r>
    </w:p>
    <w:p w14:paraId="69369C5D" w14:textId="77777777" w:rsidR="00D83E33" w:rsidRDefault="00BC4072" w:rsidP="001B330E">
      <w:pPr>
        <w:pStyle w:val="bullets"/>
      </w:pPr>
      <w:r>
        <w:t>Leverage features;</w:t>
      </w:r>
    </w:p>
    <w:p w14:paraId="6F197D44" w14:textId="77777777" w:rsidR="00D83E33" w:rsidRDefault="00BC4072" w:rsidP="001B330E">
      <w:pPr>
        <w:pStyle w:val="bullets"/>
      </w:pPr>
      <w:r>
        <w:t>Prepayment and extension terms;</w:t>
      </w:r>
    </w:p>
    <w:p w14:paraId="3FE77F9B" w14:textId="77777777" w:rsidR="00D83E33" w:rsidRDefault="00BC4072" w:rsidP="001B330E">
      <w:pPr>
        <w:pStyle w:val="bullets"/>
      </w:pPr>
      <w:r>
        <w:t>Terms that limit the Group’s claim to the cash flows from specified assets (e.g. non-recurse financing);</w:t>
      </w:r>
    </w:p>
    <w:p w14:paraId="2F173859" w14:textId="77777777" w:rsidR="00D83E33" w:rsidRDefault="00BC4072" w:rsidP="001B330E">
      <w:pPr>
        <w:pStyle w:val="bullets"/>
      </w:pPr>
      <w:r>
        <w:t>Features that modify consideration of the time value of money element (e.g. periodical reset of interest rates);</w:t>
      </w:r>
    </w:p>
    <w:p w14:paraId="28D97C69" w14:textId="74A2DC05" w:rsidR="00D83E33" w:rsidRPr="001F436C" w:rsidRDefault="00BC4072">
      <w:pPr>
        <w:widowControl w:val="0"/>
        <w:pBdr>
          <w:top w:val="nil"/>
          <w:left w:val="nil"/>
          <w:bottom w:val="nil"/>
          <w:right w:val="nil"/>
          <w:between w:val="nil"/>
        </w:pBdr>
        <w:spacing w:before="200" w:after="200"/>
        <w:jc w:val="both"/>
        <w:rPr>
          <w:i/>
          <w:color w:val="FF0000"/>
          <w:sz w:val="20"/>
          <w:szCs w:val="20"/>
        </w:rPr>
      </w:pPr>
      <w:r w:rsidRPr="001F436C">
        <w:rPr>
          <w:i/>
          <w:color w:val="FF0000"/>
          <w:sz w:val="20"/>
          <w:szCs w:val="20"/>
        </w:rPr>
        <w:t>[Please adjust the above list for specific considerations.]</w:t>
      </w:r>
    </w:p>
    <w:p w14:paraId="55CE0296"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time value of money element may be modified, for example, if a contractual interest rate is periodically reset but the frequency of that reset does not match the tenor of the debt instrument’s underlying base interest rate, for example a loan pays three months interbank rate but the rate is reset every month. The effect of the modified time value of money was assessed by comparing relevant instrument’s cash flows against a benchmark debt instrument with SPPI cash flows, in each period and cumulatively over the life of the instrument. The assessment was done for all reasonably possible scenarios, including reasonably possible financial stress situation that can occur in financial markets. The Group applied a threshold of </w:t>
      </w:r>
      <w:r>
        <w:rPr>
          <w:color w:val="0000FF"/>
          <w:sz w:val="20"/>
          <w:szCs w:val="20"/>
        </w:rPr>
        <w:t xml:space="preserve">[5%] </w:t>
      </w:r>
      <w:r>
        <w:rPr>
          <w:color w:val="000000"/>
          <w:sz w:val="20"/>
          <w:szCs w:val="20"/>
        </w:rPr>
        <w:t>to determine whether differences against a benchmark instruments are significantly different. In case of a scenario with cash flows that significantly differ from the benchmark, the assessed instrument’s cash flows are not SPPI and the instrument is then carried at FVTPL.</w:t>
      </w:r>
    </w:p>
    <w:p w14:paraId="5B4614A0" w14:textId="1DB054D9"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identified and considered contractual terms that change the timing or amount of contractual cash flows. The SPPI criterion is met if a loan allows early settlement and the prepayment amount substantially represents principal and accrued interest, plus a reasonable additional compensation for the early termination of the contract. The asset’s principal is the fair value at initial recognition less subsequent principal repayments, ie instalments net of interest determined using the effective interest method. As an exception to this principle, the standard also allows instruments with prepayment features that meet the following condition to meet SPPI: (i) the asset is originated at a premium or discount, (ii) the prepayment amount represents contractual par amount and accrued interest and a reasonable additional compensation for the early termination of the contract, and (ii) the fair value of the prepayment feature is immaterial at initial recognition.</w:t>
      </w:r>
    </w:p>
    <w:p w14:paraId="2A9219B0"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Groups’ loans </w:t>
      </w:r>
      <w:r>
        <w:rPr>
          <w:color w:val="0000FF"/>
          <w:sz w:val="20"/>
          <w:szCs w:val="20"/>
        </w:rPr>
        <w:t>[and finance lease receivables]</w:t>
      </w:r>
      <w:r>
        <w:rPr>
          <w:color w:val="000000"/>
          <w:sz w:val="20"/>
          <w:szCs w:val="20"/>
        </w:rPr>
        <w:t xml:space="preserve"> include cross-selling clauses that represent a reduction in the interest rate upon the customer entering into other contracts with the Group or achieving certain criteria, such as maintaining a minimum turnover on current bank accounts held with the Group. The cash flows are SPPI if such clauses merely reduce the Group’s overall profit margin on the instrument and there are no other features inconsistent with a basic lending arrangement.</w:t>
      </w:r>
    </w:p>
    <w:p w14:paraId="41F04D6E"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considered examples in the standard and concluded that features that arise solely from legislation and that are not part of the contract, that is, if legislation changed, the features would no longer apply (such as bail in legislation in certain countries), are not relevant for assessing whether cash flows are SPPI.</w:t>
      </w:r>
    </w:p>
    <w:p w14:paraId="2FD63DD1" w14:textId="77777777" w:rsidR="0042155F" w:rsidRPr="001F436C" w:rsidRDefault="0042155F" w:rsidP="0042155F">
      <w:pPr>
        <w:pStyle w:val="Continued"/>
      </w:pPr>
      <w:r>
        <w:lastRenderedPageBreak/>
        <w:t>4</w:t>
      </w:r>
      <w:r>
        <w:tab/>
        <w:t>Critical Accounting Estimates, and Judgements in Applying Accounting Policies (Continued)</w:t>
      </w:r>
    </w:p>
    <w:p w14:paraId="3AD73C4B"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Group’s loan agreements allow adjusting interest rates in response to certain macro-economic or regulatory changes. Management applied judgement and assessed that competition in the banking sector and the practical ability of the borrowers to refinance the loans would prevent it from resetting the interest rates at an above-market level and hence cash flows were assessed as being SPPI.</w:t>
      </w:r>
    </w:p>
    <w:p w14:paraId="7F8E54C6" w14:textId="77777777" w:rsidR="00D95ABB" w:rsidRDefault="00D95ABB" w:rsidP="00D95ABB">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Group’s loans, primarily to real estate developers, have cash flows that highly depend on performance of the underlying assets. The loans are carried at FVTPL where management determined that such loans are in substance non-recourse. </w:t>
      </w:r>
    </w:p>
    <w:p w14:paraId="12571D8E" w14:textId="77777777" w:rsidR="00D95ABB" w:rsidRDefault="00D95ABB" w:rsidP="00D95ABB">
      <w:pPr>
        <w:widowControl w:val="0"/>
        <w:pBdr>
          <w:top w:val="nil"/>
          <w:left w:val="nil"/>
          <w:bottom w:val="nil"/>
          <w:right w:val="nil"/>
          <w:between w:val="nil"/>
        </w:pBdr>
        <w:spacing w:before="200" w:after="200"/>
        <w:jc w:val="both"/>
        <w:rPr>
          <w:color w:val="000000"/>
          <w:sz w:val="20"/>
          <w:szCs w:val="20"/>
        </w:rPr>
      </w:pPr>
      <w:r>
        <w:rPr>
          <w:color w:val="000000"/>
          <w:sz w:val="20"/>
          <w:szCs w:val="20"/>
        </w:rPr>
        <w:t>The instruments that failed the SPPI test are measured at FVTPL.</w:t>
      </w:r>
    </w:p>
    <w:p w14:paraId="6160192C" w14:textId="345EBF59" w:rsidR="00D83E33" w:rsidRPr="0044795B" w:rsidRDefault="00BC4072" w:rsidP="0036608B">
      <w:pPr>
        <w:widowControl w:val="0"/>
        <w:pBdr>
          <w:top w:val="nil"/>
          <w:left w:val="nil"/>
          <w:bottom w:val="nil"/>
          <w:right w:val="nil"/>
          <w:between w:val="nil"/>
        </w:pBdr>
        <w:spacing w:before="200" w:after="200"/>
        <w:jc w:val="both"/>
        <w:rPr>
          <w:i/>
          <w:color w:val="FF0000"/>
          <w:sz w:val="20"/>
          <w:szCs w:val="20"/>
        </w:rPr>
      </w:pPr>
      <w:r>
        <w:rPr>
          <w:b/>
          <w:i/>
          <w:color w:val="000000"/>
          <w:sz w:val="20"/>
          <w:szCs w:val="20"/>
        </w:rPr>
        <w:t xml:space="preserve">Modification of financial assets. </w:t>
      </w:r>
      <w:r>
        <w:rPr>
          <w:color w:val="000000"/>
          <w:sz w:val="20"/>
          <w:szCs w:val="20"/>
        </w:rPr>
        <w:t xml:space="preserve">When financial assets are contractually modified (e.g. renegotiated), the Group assesses whether the modification is substantial and should result in derecognition of the original asset and recognition of a new asset at fair value. This assessment is based primarily on qualitative factors, described in the relevant accounting policy and it requires significant judgment. In particular, the Group applies judgment in deciding whether credit impaired renegotiated loans should be derecognised and whether the new recognised loans should be considered as credit impaired on initial recognition. The derecognition assessment depends on whether the risks and rewards, that is, the variability of expected (rather than contractual) cash flows, change as a result of such modifications. Management determined that risks and rewards did not change as a result of modifying such loans and therefore in substantially all such modifications, the loans were neither derecognised nor reclassified out of the credit-impaired stage. </w:t>
      </w:r>
    </w:p>
    <w:p w14:paraId="3EB29D9A" w14:textId="65779AAF" w:rsidR="00D83E33" w:rsidRDefault="00BC4072">
      <w:pPr>
        <w:widowControl w:val="0"/>
        <w:spacing w:before="200" w:after="200"/>
        <w:jc w:val="both"/>
        <w:rPr>
          <w:i/>
          <w:color w:val="FF0000"/>
          <w:sz w:val="20"/>
          <w:szCs w:val="20"/>
        </w:rPr>
      </w:pPr>
      <w:r>
        <w:rPr>
          <w:b/>
          <w:i/>
          <w:color w:val="000000"/>
          <w:sz w:val="20"/>
          <w:szCs w:val="20"/>
        </w:rPr>
        <w:t xml:space="preserve">Write-off policy. </w:t>
      </w:r>
      <w:r>
        <w:rPr>
          <w:color w:val="000000"/>
          <w:sz w:val="20"/>
          <w:szCs w:val="20"/>
        </w:rPr>
        <w:t xml:space="preserve">Financial assets are written-off, in whole or in part, when the Group exhausted all practical recovery efforts and has concluded that there is no reasonable expectation of recovery. Determining the cash flows for which there is no reasonable expectation of recovery requires judgement. </w:t>
      </w:r>
      <w:r>
        <w:rPr>
          <w:sz w:val="20"/>
          <w:szCs w:val="20"/>
        </w:rPr>
        <w:t xml:space="preserve">Management considered the following indicators that there is no reasonable expectation of recovery: </w:t>
      </w:r>
      <w:r>
        <w:rPr>
          <w:color w:val="0000FF"/>
          <w:sz w:val="20"/>
          <w:szCs w:val="20"/>
        </w:rPr>
        <w:t xml:space="preserve">[loans being past due over ___ days, liquidation or bankruptcy proceedings, fair value of collateral is less than the costs to repossess it or enforcement activities were completed]. </w:t>
      </w:r>
      <w:r>
        <w:rPr>
          <w:sz w:val="20"/>
          <w:szCs w:val="20"/>
        </w:rPr>
        <w:t>Management also considers, based on past practices, that contractual default interest is not collectible for loans overdue over ___ days. Therefore, the default interest was written-off from the gross carrying amounts of the respective loans</w:t>
      </w:r>
    </w:p>
    <w:p w14:paraId="45CB3564" w14:textId="77777777" w:rsidR="0042155F" w:rsidRPr="001F436C" w:rsidRDefault="0042155F" w:rsidP="0042155F">
      <w:pPr>
        <w:pStyle w:val="Continued"/>
      </w:pPr>
      <w:r>
        <w:lastRenderedPageBreak/>
        <w:t>4</w:t>
      </w:r>
      <w:r>
        <w:tab/>
        <w:t>Critical Accounting Estimates, and Judgements in Applying Accounting Policies (Continued)</w:t>
      </w:r>
    </w:p>
    <w:p w14:paraId="0794EE4F" w14:textId="387627F5" w:rsidR="00D83E33" w:rsidRDefault="00BC4072">
      <w:pPr>
        <w:widowControl w:val="0"/>
        <w:pBdr>
          <w:top w:val="nil"/>
          <w:left w:val="nil"/>
          <w:bottom w:val="nil"/>
          <w:right w:val="nil"/>
          <w:between w:val="nil"/>
        </w:pBdr>
        <w:spacing w:before="200" w:after="200"/>
        <w:jc w:val="both"/>
        <w:rPr>
          <w:i/>
          <w:color w:val="FF0000"/>
          <w:sz w:val="20"/>
          <w:szCs w:val="20"/>
        </w:rPr>
      </w:pPr>
      <w:r>
        <w:rPr>
          <w:b/>
          <w:i/>
          <w:color w:val="000000"/>
          <w:sz w:val="20"/>
          <w:szCs w:val="20"/>
        </w:rPr>
        <w:t>Finance leases and derecognition of financial assets.</w:t>
      </w:r>
      <w:r>
        <w:rPr>
          <w:color w:val="000000"/>
          <w:sz w:val="20"/>
          <w:szCs w:val="20"/>
        </w:rPr>
        <w:t xml:space="preserve"> In assessing transfers of financial assets and classification of leases of non-financial assets to third parties, management applies judgement to determine if substantially all the significant risks and rewards of ownership of financial assets and leased assets are transferred to counterparties, in particular which risks and rewards are the most significant and what </w:t>
      </w:r>
      <w:r w:rsidR="00B8495B">
        <w:rPr>
          <w:color w:val="000000"/>
          <w:sz w:val="20"/>
          <w:szCs w:val="20"/>
        </w:rPr>
        <w:t xml:space="preserve">constitutes substantially all risks and rewards. </w:t>
      </w:r>
      <w:r w:rsidR="00B8495B">
        <w:rPr>
          <w:i/>
          <w:color w:val="FF0000"/>
          <w:sz w:val="20"/>
          <w:szCs w:val="20"/>
        </w:rPr>
        <w:t>[</w:t>
      </w:r>
      <w:r w:rsidR="0036608B">
        <w:rPr>
          <w:i/>
          <w:color w:val="FF0000"/>
          <w:sz w:val="20"/>
          <w:szCs w:val="20"/>
        </w:rPr>
        <w:t>Tailor to d</w:t>
      </w:r>
      <w:r w:rsidR="00B8495B">
        <w:rPr>
          <w:i/>
          <w:color w:val="FF0000"/>
          <w:sz w:val="20"/>
          <w:szCs w:val="20"/>
        </w:rPr>
        <w:t>isclose specific judgements made.]</w:t>
      </w:r>
    </w:p>
    <w:p w14:paraId="75C4DB37" w14:textId="7D60BEB1" w:rsidR="00030CA4" w:rsidRPr="00030CA4" w:rsidRDefault="00030CA4" w:rsidP="006F0269">
      <w:pPr>
        <w:widowControl w:val="0"/>
        <w:pBdr>
          <w:top w:val="nil"/>
          <w:left w:val="nil"/>
          <w:bottom w:val="nil"/>
          <w:right w:val="nil"/>
          <w:between w:val="nil"/>
        </w:pBdr>
        <w:spacing w:before="200" w:after="200"/>
        <w:jc w:val="both"/>
        <w:rPr>
          <w:i/>
          <w:iCs/>
          <w:color w:val="FF0000"/>
          <w:sz w:val="20"/>
          <w:szCs w:val="20"/>
        </w:rPr>
      </w:pPr>
      <w:r>
        <w:rPr>
          <w:b/>
          <w:i/>
          <w:color w:val="000000"/>
          <w:sz w:val="20"/>
          <w:szCs w:val="20"/>
        </w:rPr>
        <w:t xml:space="preserve">Acquisition of a business vs assets. </w:t>
      </w:r>
      <w:r>
        <w:rPr>
          <w:color w:val="000000"/>
          <w:sz w:val="20"/>
          <w:szCs w:val="20"/>
        </w:rPr>
        <w:t xml:space="preserve">The acquisition method of accounting is used to account for the acquisition of subsidiaries </w:t>
      </w:r>
      <w:r>
        <w:rPr>
          <w:color w:val="0000FF"/>
          <w:sz w:val="20"/>
          <w:szCs w:val="20"/>
        </w:rPr>
        <w:t>[other than those acquired from parties under common control].</w:t>
      </w:r>
      <w:r>
        <w:rPr>
          <w:color w:val="000000"/>
          <w:sz w:val="20"/>
          <w:szCs w:val="20"/>
        </w:rPr>
        <w:t xml:space="preserve"> Identifiable assets acquired and liabilities and contingent liabilities assumed in a business combination are measured at their fair values at the acquisition date, irrespective of the extent of any non-controlling interest. </w:t>
      </w:r>
      <w:r w:rsidRPr="009004E7">
        <w:rPr>
          <w:iCs/>
          <w:sz w:val="20"/>
          <w:szCs w:val="20"/>
        </w:rPr>
        <w:t xml:space="preserve">The acquisition method of accounting is applied if the acquired entity represents a business: it has inputs and a substantive process that together significantly contribute to the ability to create outputs. This definition is </w:t>
      </w:r>
      <w:r>
        <w:rPr>
          <w:iCs/>
          <w:sz w:val="20"/>
          <w:szCs w:val="20"/>
        </w:rPr>
        <w:t xml:space="preserve">also </w:t>
      </w:r>
      <w:r w:rsidRPr="009004E7">
        <w:rPr>
          <w:iCs/>
          <w:sz w:val="20"/>
          <w:szCs w:val="20"/>
        </w:rPr>
        <w:t>applied to early stage companies that have not yet generated outputs. When assessing whether the acquired entity is a business, the Group may apply a ‘concentration test’ whereby the acquired assets are not considered a business if substantially all of the fair value of gross assets is concentrated in a single asset or a group of similar assets.</w:t>
      </w:r>
      <w:r>
        <w:rPr>
          <w:iCs/>
          <w:sz w:val="20"/>
          <w:szCs w:val="20"/>
        </w:rPr>
        <w:t xml:space="preserve"> </w:t>
      </w:r>
    </w:p>
    <w:p w14:paraId="337F2DFA" w14:textId="08593D82" w:rsidR="00D83E33" w:rsidRDefault="00BC4072">
      <w:pPr>
        <w:widowControl w:val="0"/>
        <w:pBdr>
          <w:top w:val="nil"/>
          <w:left w:val="nil"/>
          <w:bottom w:val="nil"/>
          <w:right w:val="nil"/>
          <w:between w:val="nil"/>
        </w:pBdr>
        <w:spacing w:before="200" w:after="200"/>
        <w:jc w:val="both"/>
        <w:rPr>
          <w:i/>
          <w:color w:val="FF0000"/>
          <w:sz w:val="20"/>
          <w:szCs w:val="20"/>
        </w:rPr>
      </w:pPr>
      <w:r>
        <w:rPr>
          <w:b/>
          <w:i/>
          <w:color w:val="000000"/>
          <w:sz w:val="20"/>
          <w:szCs w:val="20"/>
        </w:rPr>
        <w:t>Structured entities.</w:t>
      </w:r>
      <w:r>
        <w:rPr>
          <w:b/>
          <w:color w:val="000000"/>
          <w:sz w:val="20"/>
          <w:szCs w:val="20"/>
        </w:rPr>
        <w:t xml:space="preserve"> </w:t>
      </w:r>
      <w:r>
        <w:rPr>
          <w:color w:val="000000"/>
          <w:sz w:val="20"/>
          <w:szCs w:val="20"/>
        </w:rPr>
        <w:t>Structured</w:t>
      </w:r>
      <w:r>
        <w:rPr>
          <w:b/>
          <w:color w:val="000000"/>
          <w:sz w:val="20"/>
          <w:szCs w:val="20"/>
        </w:rPr>
        <w:t xml:space="preserve"> </w:t>
      </w:r>
      <w:r>
        <w:rPr>
          <w:color w:val="000000"/>
          <w:sz w:val="20"/>
          <w:szCs w:val="20"/>
        </w:rPr>
        <w:t xml:space="preserve">entities are designed so that voting or similar rights are not the dominant factor in deciding who controls the entity. Judgement is also required to determine whether the substance of the relationship between the Group and a structured entity indicates that the structured entity is controlled by the Group. </w:t>
      </w:r>
    </w:p>
    <w:p w14:paraId="3113B1AE" w14:textId="187583E6"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Group does not consolidate structured entities that it does not control. As it can sometimes be difficult to determine whether the Group does control a structured entity, management makes judgements about its exposure to the risks and rewards, as well as about its ability to make operational decisions for the structured entity in question. In many instances, elements are present that, considered in isolation, indicate control or lack of control over a structured entity, but when considered together make it difficult to reach a clear conclusion. In cases where more arguments are in place towards existence of control, the structured entity is consolidated. </w:t>
      </w:r>
      <w:r>
        <w:rPr>
          <w:i/>
          <w:color w:val="FF0000"/>
          <w:sz w:val="20"/>
          <w:szCs w:val="20"/>
        </w:rPr>
        <w:t xml:space="preserve">[Tailor to disclose specific judgements made.] </w:t>
      </w:r>
    </w:p>
    <w:p w14:paraId="5B941C3A" w14:textId="4CF98458"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Were the Group not to consolidate the assets, liabilities and the results of these consolidated structured entities, the net effect on the statement of financial position would be a </w:t>
      </w:r>
      <w:r>
        <w:rPr>
          <w:color w:val="0000FF"/>
          <w:sz w:val="20"/>
          <w:szCs w:val="20"/>
        </w:rPr>
        <w:t>[decrease]</w:t>
      </w:r>
      <w:r>
        <w:rPr>
          <w:color w:val="000000"/>
          <w:sz w:val="20"/>
          <w:szCs w:val="20"/>
        </w:rPr>
        <w:t xml:space="preserve"> in net assets of </w:t>
      </w:r>
      <w:r w:rsidR="00D73799">
        <w:rPr>
          <w:color w:val="000000"/>
          <w:sz w:val="20"/>
          <w:szCs w:val="20"/>
        </w:rPr>
        <w:t>EUR</w:t>
      </w:r>
      <w:r>
        <w:rPr>
          <w:color w:val="000000"/>
          <w:sz w:val="20"/>
          <w:szCs w:val="20"/>
        </w:rPr>
        <w:t xml:space="preserve"> ____ thousand (31</w:t>
      </w:r>
      <w:r w:rsidR="00181687">
        <w:rPr>
          <w:color w:val="000000"/>
          <w:sz w:val="20"/>
          <w:szCs w:val="20"/>
        </w:rPr>
        <w:t> December </w:t>
      </w:r>
      <w:r w:rsidR="00541EBC">
        <w:rPr>
          <w:color w:val="000000"/>
          <w:sz w:val="20"/>
          <w:szCs w:val="20"/>
        </w:rPr>
        <w:t>2023</w:t>
      </w:r>
      <w:r>
        <w:rPr>
          <w:color w:val="000000"/>
          <w:sz w:val="20"/>
          <w:szCs w:val="20"/>
        </w:rPr>
        <w:t xml:space="preserve">: decrease in net assets of </w:t>
      </w:r>
      <w:r w:rsidR="00D73799">
        <w:rPr>
          <w:color w:val="000000"/>
          <w:sz w:val="20"/>
          <w:szCs w:val="20"/>
        </w:rPr>
        <w:t>EUR</w:t>
      </w:r>
      <w:r>
        <w:rPr>
          <w:color w:val="000000"/>
          <w:sz w:val="20"/>
          <w:szCs w:val="20"/>
        </w:rPr>
        <w:t xml:space="preserve"> ____ thousand) and </w:t>
      </w:r>
      <w:r>
        <w:rPr>
          <w:color w:val="0000FF"/>
          <w:sz w:val="20"/>
          <w:szCs w:val="20"/>
        </w:rPr>
        <w:t>[increase]</w:t>
      </w:r>
      <w:r>
        <w:rPr>
          <w:color w:val="000000"/>
          <w:sz w:val="20"/>
          <w:szCs w:val="20"/>
        </w:rPr>
        <w:t xml:space="preserve"> in profit by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Pr>
          <w:color w:val="0000FF"/>
          <w:sz w:val="20"/>
          <w:szCs w:val="20"/>
        </w:rPr>
        <w:t>[increase]</w:t>
      </w:r>
      <w:r>
        <w:rPr>
          <w:color w:val="000000"/>
          <w:sz w:val="20"/>
          <w:szCs w:val="20"/>
        </w:rPr>
        <w:t xml:space="preserve"> of </w:t>
      </w:r>
      <w:r w:rsidR="00D73799">
        <w:rPr>
          <w:color w:val="000000"/>
          <w:sz w:val="20"/>
          <w:szCs w:val="20"/>
        </w:rPr>
        <w:t>EUR</w:t>
      </w:r>
      <w:r>
        <w:rPr>
          <w:color w:val="000000"/>
          <w:sz w:val="20"/>
          <w:szCs w:val="20"/>
        </w:rPr>
        <w:t xml:space="preserve"> ____ thousand). Refer to Note 46 for further information about the Group’s exposure to structured entities.</w:t>
      </w:r>
    </w:p>
    <w:p w14:paraId="417ED527" w14:textId="27837061"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Initial recognition of related party transactions.</w:t>
      </w:r>
      <w:r>
        <w:rPr>
          <w:color w:val="000000"/>
          <w:sz w:val="20"/>
          <w:szCs w:val="20"/>
        </w:rPr>
        <w:t xml:space="preserve"> In the normal course of business</w:t>
      </w:r>
      <w:r w:rsidR="00D4540C">
        <w:rPr>
          <w:color w:val="000000"/>
          <w:sz w:val="20"/>
          <w:szCs w:val="20"/>
        </w:rPr>
        <w:t>,</w:t>
      </w:r>
      <w:r>
        <w:rPr>
          <w:color w:val="000000"/>
          <w:sz w:val="20"/>
          <w:szCs w:val="20"/>
        </w:rPr>
        <w:t xml:space="preserve"> the Group enters into transactions with its related parties. IFRS 9 requires initial recognition of financial instruments based on their fair values. Judgement is applied in determining if transactions are priced at market or non-market interest rates, where there is no active market for such transactions. The basis for judgement is pricing for similar types of transactions with unrelated parties and effective interest rate analysis. Terms and conditions of related party balances are disclosed in Note 51.</w:t>
      </w:r>
    </w:p>
    <w:p w14:paraId="52CCC6B0" w14:textId="44D10ADB" w:rsidR="00D83E33" w:rsidRDefault="00BC4072" w:rsidP="001B330E">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Identification of leases embedded in</w:t>
      </w:r>
      <w:r w:rsidR="00181687">
        <w:rPr>
          <w:b/>
          <w:i/>
          <w:color w:val="000000"/>
          <w:sz w:val="20"/>
          <w:szCs w:val="20"/>
        </w:rPr>
        <w:t xml:space="preserve"> </w:t>
      </w:r>
      <w:r>
        <w:rPr>
          <w:b/>
          <w:i/>
          <w:color w:val="000000"/>
          <w:sz w:val="20"/>
          <w:szCs w:val="20"/>
        </w:rPr>
        <w:t xml:space="preserve">complex contracts. </w:t>
      </w:r>
      <w:r w:rsidR="0036608B">
        <w:rPr>
          <w:i/>
          <w:color w:val="FF0000"/>
          <w:sz w:val="20"/>
          <w:szCs w:val="20"/>
        </w:rPr>
        <w:t xml:space="preserve">Tailor to disclose </w:t>
      </w:r>
      <w:r>
        <w:rPr>
          <w:i/>
          <w:color w:val="FF0000"/>
          <w:sz w:val="20"/>
          <w:szCs w:val="20"/>
        </w:rPr>
        <w:t xml:space="preserve"> specific judgements made. </w:t>
      </w:r>
    </w:p>
    <w:p w14:paraId="7A122D4A" w14:textId="77777777" w:rsidR="00D83E33" w:rsidRPr="00225139" w:rsidRDefault="00BC4072" w:rsidP="001B330E">
      <w:pPr>
        <w:pStyle w:val="Heading1"/>
        <w:pageBreakBefore/>
      </w:pPr>
      <w:bookmarkStart w:id="11" w:name="_Toc179196007"/>
      <w:r w:rsidRPr="00225139">
        <w:lastRenderedPageBreak/>
        <w:t>Adoption of New or Revised Standards and Interpretations</w:t>
      </w:r>
      <w:bookmarkEnd w:id="11"/>
      <w:r w:rsidRPr="00225139">
        <w:t xml:space="preserve"> </w:t>
      </w:r>
    </w:p>
    <w:p w14:paraId="26607196" w14:textId="16F4D643" w:rsidR="00D83E33" w:rsidRPr="00BF5266" w:rsidRDefault="00BC4072">
      <w:pPr>
        <w:widowControl w:val="0"/>
        <w:pBdr>
          <w:top w:val="nil"/>
          <w:left w:val="nil"/>
          <w:bottom w:val="nil"/>
          <w:right w:val="nil"/>
          <w:between w:val="nil"/>
        </w:pBdr>
        <w:spacing w:before="200" w:after="200"/>
        <w:jc w:val="both"/>
        <w:rPr>
          <w:color w:val="000000"/>
          <w:sz w:val="20"/>
          <w:szCs w:val="20"/>
        </w:rPr>
      </w:pPr>
      <w:r w:rsidRPr="00BF5266">
        <w:rPr>
          <w:color w:val="000000"/>
          <w:sz w:val="20"/>
          <w:szCs w:val="20"/>
        </w:rPr>
        <w:t>The following amend</w:t>
      </w:r>
      <w:r w:rsidR="00DE4054" w:rsidRPr="00BF5266">
        <w:rPr>
          <w:color w:val="000000"/>
          <w:sz w:val="20"/>
          <w:szCs w:val="20"/>
        </w:rPr>
        <w:t>m</w:t>
      </w:r>
      <w:r w:rsidRPr="00BF5266">
        <w:rPr>
          <w:color w:val="000000"/>
          <w:sz w:val="20"/>
          <w:szCs w:val="20"/>
        </w:rPr>
        <w:t>e</w:t>
      </w:r>
      <w:r w:rsidR="00DE4054" w:rsidRPr="00BF5266">
        <w:rPr>
          <w:color w:val="000000"/>
          <w:sz w:val="20"/>
          <w:szCs w:val="20"/>
        </w:rPr>
        <w:t>nts</w:t>
      </w:r>
      <w:r w:rsidRPr="00BF5266">
        <w:rPr>
          <w:color w:val="000000"/>
          <w:sz w:val="20"/>
          <w:szCs w:val="20"/>
        </w:rPr>
        <w:t xml:space="preserve"> became effective from 1 January </w:t>
      </w:r>
      <w:r w:rsidR="00541EBC" w:rsidRPr="00BF5266">
        <w:rPr>
          <w:color w:val="000000"/>
          <w:sz w:val="20"/>
          <w:szCs w:val="20"/>
        </w:rPr>
        <w:t>2024</w:t>
      </w:r>
      <w:r w:rsidRPr="00BF5266">
        <w:rPr>
          <w:color w:val="000000"/>
          <w:sz w:val="20"/>
          <w:szCs w:val="20"/>
        </w:rPr>
        <w:t>:</w:t>
      </w:r>
      <w:r w:rsidR="00AB3424">
        <w:rPr>
          <w:i/>
          <w:color w:val="FF0000"/>
          <w:spacing w:val="-2"/>
          <w:sz w:val="20"/>
          <w:szCs w:val="20"/>
        </w:rPr>
        <w:t xml:space="preserve">  </w:t>
      </w:r>
    </w:p>
    <w:p w14:paraId="57FF80C4" w14:textId="652C8345" w:rsidR="00BF5266" w:rsidRPr="00BF5266" w:rsidRDefault="00BF5266" w:rsidP="00BF5266">
      <w:pPr>
        <w:widowControl w:val="0"/>
        <w:spacing w:before="200" w:after="200" w:line="228" w:lineRule="auto"/>
        <w:jc w:val="both"/>
        <w:rPr>
          <w:color w:val="0000FF"/>
          <w:spacing w:val="-2"/>
          <w:sz w:val="20"/>
          <w:szCs w:val="20"/>
        </w:rPr>
      </w:pPr>
      <w:r w:rsidRPr="00BF5266">
        <w:rPr>
          <w:b/>
          <w:bCs/>
          <w:i/>
          <w:iCs/>
          <w:color w:val="000000"/>
          <w:spacing w:val="-2"/>
          <w:sz w:val="20"/>
          <w:szCs w:val="20"/>
        </w:rPr>
        <w:t>Amendments to IFRS 16 Leases: Lease Liability in a Sale and Leaseback (issued on 22 September 2022 and effective for annual periods beginning on or after 1 January 2024).</w:t>
      </w:r>
      <w:r w:rsidRPr="00BF5266">
        <w:rPr>
          <w:color w:val="000000"/>
          <w:spacing w:val="-2"/>
          <w:sz w:val="20"/>
          <w:szCs w:val="20"/>
        </w:rPr>
        <w:t xml:space="preserve"> The amendments relate to the sale and leaseback transactions that satisfy the requirements in IFRS 15 to be accounted for as a sale.  The amendments require the seller-lessee to subsequently measure liabilities arising from the transaction and in a way that it does not recognise any gain or loss related to the right of use that it retained. This means deferral of such a gain even if the obligation is to make variable payments that do not depend on an index or a rate. </w:t>
      </w:r>
    </w:p>
    <w:p w14:paraId="7FFBC2A1" w14:textId="0544360A" w:rsidR="00BF5266" w:rsidRPr="00BF5266" w:rsidRDefault="00BF5266" w:rsidP="00BF5266">
      <w:pPr>
        <w:widowControl w:val="0"/>
        <w:spacing w:before="200" w:after="200" w:line="228" w:lineRule="auto"/>
        <w:jc w:val="both"/>
        <w:rPr>
          <w:color w:val="000000"/>
          <w:spacing w:val="-2"/>
          <w:sz w:val="20"/>
          <w:szCs w:val="20"/>
        </w:rPr>
      </w:pPr>
      <w:r w:rsidRPr="00BF5266">
        <w:rPr>
          <w:b/>
          <w:bCs/>
          <w:i/>
          <w:iCs/>
          <w:color w:val="000000"/>
          <w:spacing w:val="-2"/>
          <w:sz w:val="20"/>
          <w:szCs w:val="20"/>
        </w:rPr>
        <w:t>Classification of liabilities as current or non-current – Amendments to IAS 1 (originally issued on 23 January 2020 and subsequently amended on 15 July 2020 and 31 October 2022, ultimately effective for annual periods beginning on or after 1 January 2024).</w:t>
      </w:r>
      <w:r w:rsidRPr="00BF5266">
        <w:rPr>
          <w:color w:val="000000"/>
          <w:spacing w:val="-2"/>
          <w:sz w:val="20"/>
          <w:szCs w:val="20"/>
        </w:rPr>
        <w:t xml:space="preserve"> These amendments clarify </w:t>
      </w:r>
      <w:r w:rsidR="00AB3424">
        <w:rPr>
          <w:color w:val="000000"/>
          <w:spacing w:val="-2"/>
          <w:sz w:val="20"/>
          <w:szCs w:val="20"/>
        </w:rPr>
        <w:t>when</w:t>
      </w:r>
      <w:r w:rsidRPr="00BF5266">
        <w:rPr>
          <w:color w:val="000000"/>
          <w:spacing w:val="-2"/>
          <w:sz w:val="20"/>
          <w:szCs w:val="20"/>
        </w:rPr>
        <w:t xml:space="preserve"> liabilities are classified as either current or non-current</w:t>
      </w:r>
      <w:r w:rsidR="00AB3424">
        <w:rPr>
          <w:color w:val="000000"/>
          <w:spacing w:val="-2"/>
          <w:sz w:val="20"/>
          <w:szCs w:val="20"/>
        </w:rPr>
        <w:t>.</w:t>
      </w:r>
      <w:r w:rsidRPr="00BF5266">
        <w:rPr>
          <w:color w:val="000000"/>
          <w:spacing w:val="-2"/>
          <w:sz w:val="20"/>
          <w:szCs w:val="20"/>
        </w:rPr>
        <w:t xml:space="preserve"> </w:t>
      </w:r>
      <w:r w:rsidR="00AB3424">
        <w:rPr>
          <w:color w:val="000000"/>
          <w:spacing w:val="-2"/>
          <w:sz w:val="20"/>
          <w:szCs w:val="20"/>
        </w:rPr>
        <w:t>As most financial institutions, t</w:t>
      </w:r>
      <w:r w:rsidRPr="00AB3424">
        <w:rPr>
          <w:color w:val="000000"/>
          <w:spacing w:val="-2"/>
          <w:sz w:val="20"/>
          <w:szCs w:val="20"/>
        </w:rPr>
        <w:t xml:space="preserve">he Group </w:t>
      </w:r>
      <w:r w:rsidR="009E75EE" w:rsidRPr="00AB3424">
        <w:rPr>
          <w:color w:val="000000"/>
          <w:spacing w:val="-2"/>
          <w:sz w:val="20"/>
          <w:szCs w:val="20"/>
        </w:rPr>
        <w:t>presents its statement of financial position ordered by liquidity rather than classifying its assets and liabilities as current or non-current. Therefore, this amendment had no impact on these consolidated financial statements</w:t>
      </w:r>
      <w:r w:rsidRPr="00AB3424">
        <w:rPr>
          <w:color w:val="000000"/>
          <w:spacing w:val="-2"/>
          <w:sz w:val="20"/>
          <w:szCs w:val="20"/>
        </w:rPr>
        <w:t>.</w:t>
      </w:r>
    </w:p>
    <w:p w14:paraId="1AF4176B" w14:textId="2C775823" w:rsidR="00BF5266" w:rsidRDefault="00BF5266" w:rsidP="00660954">
      <w:pPr>
        <w:spacing w:line="228" w:lineRule="auto"/>
        <w:jc w:val="both"/>
        <w:rPr>
          <w:b/>
          <w:i/>
          <w:color w:val="000000"/>
          <w:spacing w:val="-2"/>
          <w:sz w:val="20"/>
          <w:szCs w:val="20"/>
        </w:rPr>
      </w:pPr>
      <w:r w:rsidRPr="00834ACB">
        <w:rPr>
          <w:b/>
          <w:bCs/>
          <w:i/>
          <w:iCs/>
          <w:color w:val="000000"/>
          <w:spacing w:val="-2"/>
          <w:sz w:val="20"/>
          <w:szCs w:val="20"/>
        </w:rPr>
        <w:t>Amendments to IAS 7 Statement of Cash Flows and IFRS 7 Financial Instruments: Disclosures: Supplier Finance Arrangements (Issued on 25 May 2023).</w:t>
      </w:r>
      <w:r w:rsidRPr="00834ACB">
        <w:rPr>
          <w:color w:val="000000"/>
          <w:spacing w:val="-2"/>
          <w:sz w:val="20"/>
          <w:szCs w:val="20"/>
        </w:rPr>
        <w:t xml:space="preserve"> In response to concerns of the users of financial statements about inadequate or misleading disclosure of financing arrangements, in May 2023, the IASB issued amendments to IAS 7 and IFRS 7 to require disclosure about entity’s supplier finance arrangements (SFAs). These amendments require the disclosures of the entity’s supplier finance arrangements that enable the users of financial statements to assess the effects of those arrangements on the entity’s liabilities and cash flows and on the entity’s exposure to liquidity risk. The purpose of the additional disclosure requirements is to enhance the transparency of the supplier finance arrangements. The amendments do not affect recognition or measurement principles but only disclosure requirements.  </w:t>
      </w:r>
    </w:p>
    <w:p w14:paraId="17762A4B" w14:textId="45A4D868" w:rsidR="00CA645C" w:rsidRPr="00CA645C" w:rsidRDefault="00284E16" w:rsidP="00372E26">
      <w:pPr>
        <w:pStyle w:val="bullets"/>
        <w:numPr>
          <w:ilvl w:val="0"/>
          <w:numId w:val="0"/>
        </w:numPr>
      </w:pPr>
      <w:r>
        <w:t xml:space="preserve">The </w:t>
      </w:r>
      <w:r w:rsidR="00225139">
        <w:t xml:space="preserve">application of the </w:t>
      </w:r>
      <w:r w:rsidR="0096194A">
        <w:t xml:space="preserve">above </w:t>
      </w:r>
      <w:r w:rsidR="00225139">
        <w:t xml:space="preserve">amendments had no significant impact on the </w:t>
      </w:r>
      <w:r>
        <w:t>Group</w:t>
      </w:r>
      <w:r w:rsidR="00225139">
        <w:t xml:space="preserve">’s </w:t>
      </w:r>
      <w:r w:rsidR="00225139" w:rsidRPr="00372E26">
        <w:rPr>
          <w:color w:val="0000FF"/>
        </w:rPr>
        <w:t>[consolidated]</w:t>
      </w:r>
      <w:r w:rsidR="00225139">
        <w:t xml:space="preserve"> </w:t>
      </w:r>
      <w:r>
        <w:t>financial</w:t>
      </w:r>
      <w:r w:rsidR="00225139">
        <w:t xml:space="preserve"> </w:t>
      </w:r>
      <w:r>
        <w:t>statements.</w:t>
      </w:r>
    </w:p>
    <w:p w14:paraId="17E90C1C" w14:textId="57DE0742" w:rsidR="00D83E33" w:rsidRDefault="00BC4072" w:rsidP="001B330E">
      <w:pPr>
        <w:pStyle w:val="Heading1"/>
        <w:spacing w:before="400" w:after="200"/>
      </w:pPr>
      <w:bookmarkStart w:id="12" w:name="_Toc179196008"/>
      <w:r>
        <w:t>New Accounting Pronouncements</w:t>
      </w:r>
      <w:bookmarkEnd w:id="12"/>
    </w:p>
    <w:p w14:paraId="62825C18" w14:textId="487127A9"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Certain new standards and interpretations have been issued that are mandatory for the annual periods beginning on or after 1 January 202</w:t>
      </w:r>
      <w:r w:rsidR="00D22FA2">
        <w:rPr>
          <w:color w:val="000000"/>
          <w:sz w:val="20"/>
          <w:szCs w:val="20"/>
        </w:rPr>
        <w:t>5</w:t>
      </w:r>
      <w:r>
        <w:rPr>
          <w:color w:val="000000"/>
          <w:sz w:val="20"/>
          <w:szCs w:val="20"/>
        </w:rPr>
        <w:t xml:space="preserve"> or later, and which the Group has not early adopted. </w:t>
      </w:r>
    </w:p>
    <w:p w14:paraId="5BB8DF51" w14:textId="77777777" w:rsidR="00D22FA2" w:rsidRPr="00D22FA2" w:rsidRDefault="00D22FA2" w:rsidP="00D22FA2">
      <w:pPr>
        <w:widowControl w:val="0"/>
        <w:pBdr>
          <w:top w:val="nil"/>
          <w:left w:val="nil"/>
          <w:bottom w:val="nil"/>
          <w:right w:val="nil"/>
          <w:between w:val="nil"/>
        </w:pBdr>
        <w:spacing w:before="200" w:after="200"/>
        <w:jc w:val="both"/>
        <w:rPr>
          <w:color w:val="0000FF"/>
          <w:sz w:val="20"/>
          <w:szCs w:val="20"/>
        </w:rPr>
      </w:pPr>
      <w:r w:rsidRPr="00D22FA2">
        <w:rPr>
          <w:b/>
          <w:bCs/>
          <w:i/>
          <w:iCs/>
          <w:color w:val="000000"/>
          <w:sz w:val="20"/>
          <w:szCs w:val="20"/>
        </w:rPr>
        <w:t>Amendments to IAS 21 Lack of Exchangeability (Issued on 15 August 2023 and effective for annual periods beginning on or after 1 January 2025).</w:t>
      </w:r>
      <w:r w:rsidRPr="00D22FA2">
        <w:rPr>
          <w:color w:val="000000"/>
          <w:sz w:val="20"/>
          <w:szCs w:val="20"/>
        </w:rPr>
        <w:t xml:space="preserve">  In August 2023, the IASB issued amendments to IAS 21 to help entities assess exchangeability between two currencies and determine the spot exchange rate, when exchangeability is lacking. An entity is impacted by the amendments when it has a transaction or an operation in a foreign currency that is not exchangeable into another currency at a measurement date for a specified purpose. The amendments to IAS 21 do not provide detailed requirements on how to estimate the spot exchange rate. Instead, they set out a framework under which an entity can determine the spot exchange rate at the measurement date. When applying the new requirements, it is not permitted to restate comparative information. It is required to translate the affected amounts at estimated spot exchange rates at the date of initial application, with an adjustment to retained earnings or to the reserve for cumulative translation differences. </w:t>
      </w:r>
      <w:r w:rsidRPr="00D22FA2">
        <w:rPr>
          <w:color w:val="0000FF"/>
          <w:sz w:val="20"/>
          <w:szCs w:val="20"/>
        </w:rPr>
        <w:t>[The Group is currently assessing the impact of the amendments on its financial statements.]</w:t>
      </w:r>
    </w:p>
    <w:p w14:paraId="0805FBA8" w14:textId="77777777" w:rsidR="00D22FA2" w:rsidRPr="001B330E" w:rsidRDefault="00D22FA2" w:rsidP="00D22FA2">
      <w:pPr>
        <w:pStyle w:val="Continued"/>
        <w:spacing w:line="228" w:lineRule="auto"/>
        <w:rPr>
          <w:spacing w:val="-2"/>
        </w:rPr>
      </w:pPr>
      <w:r w:rsidRPr="001B330E">
        <w:rPr>
          <w:spacing w:val="-2"/>
        </w:rPr>
        <w:lastRenderedPageBreak/>
        <w:t>6</w:t>
      </w:r>
      <w:r w:rsidRPr="001B330E">
        <w:rPr>
          <w:spacing w:val="-2"/>
        </w:rPr>
        <w:tab/>
        <w:t>New Accounting Pronouncements (Continued)</w:t>
      </w:r>
    </w:p>
    <w:p w14:paraId="0E26587A" w14:textId="68941DE4" w:rsidR="00D22FA2" w:rsidRPr="00D22FA2" w:rsidRDefault="00D22FA2" w:rsidP="00D22FA2">
      <w:pPr>
        <w:widowControl w:val="0"/>
        <w:pBdr>
          <w:top w:val="nil"/>
          <w:left w:val="nil"/>
          <w:bottom w:val="nil"/>
          <w:right w:val="nil"/>
          <w:between w:val="nil"/>
        </w:pBdr>
        <w:spacing w:before="200" w:after="200"/>
        <w:jc w:val="both"/>
        <w:rPr>
          <w:b/>
          <w:bCs/>
          <w:i/>
          <w:iCs/>
          <w:color w:val="000000"/>
          <w:sz w:val="20"/>
          <w:szCs w:val="20"/>
        </w:rPr>
      </w:pPr>
      <w:r w:rsidRPr="00D22FA2">
        <w:rPr>
          <w:b/>
          <w:bCs/>
          <w:i/>
          <w:iCs/>
          <w:color w:val="000000"/>
          <w:sz w:val="20"/>
          <w:szCs w:val="20"/>
        </w:rPr>
        <w:t xml:space="preserve">Amendments to the Classification and Measurement of Financial Instruments - Amendments to IFRS 9 and IFRS 7 (issued on 30 May 2024 and effective for annual periods beginning on or after 1 January 2026). </w:t>
      </w:r>
      <w:r w:rsidRPr="00D22FA2">
        <w:rPr>
          <w:color w:val="000000"/>
          <w:sz w:val="20"/>
          <w:szCs w:val="20"/>
        </w:rPr>
        <w:t>On 30 May 2024, the IASB issued amendments to IFRS 9 and IFRS 7 to:</w:t>
      </w:r>
    </w:p>
    <w:p w14:paraId="701CFAD6" w14:textId="154BA712" w:rsidR="00D22FA2" w:rsidRPr="00D22FA2" w:rsidRDefault="00D22FA2" w:rsidP="00D22FA2">
      <w:pPr>
        <w:widowControl w:val="0"/>
        <w:pBdr>
          <w:top w:val="nil"/>
          <w:left w:val="nil"/>
          <w:bottom w:val="nil"/>
          <w:right w:val="nil"/>
          <w:between w:val="nil"/>
        </w:pBdr>
        <w:ind w:left="426" w:hanging="426"/>
        <w:jc w:val="both"/>
        <w:rPr>
          <w:color w:val="000000"/>
          <w:sz w:val="20"/>
          <w:szCs w:val="20"/>
        </w:rPr>
      </w:pPr>
      <w:r w:rsidRPr="00D22FA2">
        <w:rPr>
          <w:color w:val="000000"/>
          <w:sz w:val="20"/>
          <w:szCs w:val="20"/>
        </w:rPr>
        <w:t xml:space="preserve">(a) </w:t>
      </w:r>
      <w:r>
        <w:rPr>
          <w:color w:val="000000"/>
          <w:sz w:val="20"/>
          <w:szCs w:val="20"/>
        </w:rPr>
        <w:tab/>
      </w:r>
      <w:r w:rsidRPr="00D22FA2">
        <w:rPr>
          <w:color w:val="000000"/>
          <w:sz w:val="20"/>
          <w:szCs w:val="20"/>
        </w:rPr>
        <w:t>clarify the date of recognition and derecognition of some financial assets and liabilities, with a new exception for some financial liabilities settled through an electronic cash transfer system;</w:t>
      </w:r>
    </w:p>
    <w:p w14:paraId="22CFDEA0" w14:textId="221B01F9" w:rsidR="00D22FA2" w:rsidRPr="00D22FA2" w:rsidRDefault="00D22FA2" w:rsidP="00D22FA2">
      <w:pPr>
        <w:widowControl w:val="0"/>
        <w:pBdr>
          <w:top w:val="nil"/>
          <w:left w:val="nil"/>
          <w:bottom w:val="nil"/>
          <w:right w:val="nil"/>
          <w:between w:val="nil"/>
        </w:pBdr>
        <w:ind w:left="426" w:hanging="426"/>
        <w:jc w:val="both"/>
        <w:rPr>
          <w:color w:val="000000"/>
          <w:sz w:val="20"/>
          <w:szCs w:val="20"/>
        </w:rPr>
      </w:pPr>
      <w:r w:rsidRPr="00D22FA2">
        <w:rPr>
          <w:color w:val="000000"/>
          <w:sz w:val="20"/>
          <w:szCs w:val="20"/>
        </w:rPr>
        <w:t>(b)</w:t>
      </w:r>
      <w:r>
        <w:rPr>
          <w:color w:val="000000"/>
          <w:sz w:val="20"/>
          <w:szCs w:val="20"/>
        </w:rPr>
        <w:tab/>
      </w:r>
      <w:r w:rsidRPr="00D22FA2">
        <w:rPr>
          <w:color w:val="000000"/>
          <w:sz w:val="20"/>
          <w:szCs w:val="20"/>
        </w:rPr>
        <w:t>clarify and add further guidance for assessing whether a financial asset meets the solely payments of principal and interest (SPPI) criterion;</w:t>
      </w:r>
    </w:p>
    <w:p w14:paraId="1B9C75C5" w14:textId="01277FE2" w:rsidR="00D22FA2" w:rsidRPr="00D22FA2" w:rsidRDefault="00D22FA2" w:rsidP="00D22FA2">
      <w:pPr>
        <w:widowControl w:val="0"/>
        <w:pBdr>
          <w:top w:val="nil"/>
          <w:left w:val="nil"/>
          <w:bottom w:val="nil"/>
          <w:right w:val="nil"/>
          <w:between w:val="nil"/>
        </w:pBdr>
        <w:ind w:left="426" w:hanging="426"/>
        <w:jc w:val="both"/>
        <w:rPr>
          <w:color w:val="000000"/>
          <w:sz w:val="20"/>
          <w:szCs w:val="20"/>
        </w:rPr>
      </w:pPr>
      <w:r w:rsidRPr="00D22FA2">
        <w:rPr>
          <w:color w:val="000000"/>
          <w:sz w:val="20"/>
          <w:szCs w:val="20"/>
        </w:rPr>
        <w:t xml:space="preserve">(c) </w:t>
      </w:r>
      <w:r>
        <w:rPr>
          <w:color w:val="000000"/>
          <w:sz w:val="20"/>
          <w:szCs w:val="20"/>
        </w:rPr>
        <w:tab/>
      </w:r>
      <w:r w:rsidRPr="00D22FA2">
        <w:rPr>
          <w:color w:val="000000"/>
          <w:sz w:val="20"/>
          <w:szCs w:val="20"/>
        </w:rPr>
        <w:t>add new disclosures for certain instruments with contractual terms that can change cash flows (such as some instruments with features linked to the achievement of environment, social and governance (ESG) targets); and</w:t>
      </w:r>
    </w:p>
    <w:p w14:paraId="5C5ED1A5" w14:textId="6361AD15" w:rsidR="00D22FA2" w:rsidRPr="00D22FA2" w:rsidRDefault="00D22FA2" w:rsidP="00D22FA2">
      <w:pPr>
        <w:widowControl w:val="0"/>
        <w:pBdr>
          <w:top w:val="nil"/>
          <w:left w:val="nil"/>
          <w:bottom w:val="nil"/>
          <w:right w:val="nil"/>
          <w:between w:val="nil"/>
        </w:pBdr>
        <w:ind w:left="426" w:hanging="426"/>
        <w:jc w:val="both"/>
        <w:rPr>
          <w:color w:val="000000"/>
          <w:sz w:val="20"/>
          <w:szCs w:val="20"/>
        </w:rPr>
      </w:pPr>
      <w:r w:rsidRPr="00D22FA2">
        <w:rPr>
          <w:color w:val="000000"/>
          <w:sz w:val="20"/>
          <w:szCs w:val="20"/>
        </w:rPr>
        <w:t xml:space="preserve">(d) </w:t>
      </w:r>
      <w:r>
        <w:rPr>
          <w:color w:val="000000"/>
          <w:sz w:val="20"/>
          <w:szCs w:val="20"/>
        </w:rPr>
        <w:tab/>
      </w:r>
      <w:r w:rsidRPr="00D22FA2">
        <w:rPr>
          <w:color w:val="000000"/>
          <w:sz w:val="20"/>
          <w:szCs w:val="20"/>
        </w:rPr>
        <w:t>update the disclosures for equity instruments designated at fair value through other comprehensive income (FVOCI).</w:t>
      </w:r>
    </w:p>
    <w:p w14:paraId="3C9D80EE" w14:textId="77777777" w:rsidR="00D22FA2" w:rsidRPr="00D22FA2" w:rsidRDefault="00D22FA2" w:rsidP="00D22FA2">
      <w:pPr>
        <w:widowControl w:val="0"/>
        <w:pBdr>
          <w:top w:val="nil"/>
          <w:left w:val="nil"/>
          <w:bottom w:val="nil"/>
          <w:right w:val="nil"/>
          <w:between w:val="nil"/>
        </w:pBdr>
        <w:spacing w:before="200" w:after="200"/>
        <w:jc w:val="both"/>
        <w:rPr>
          <w:color w:val="0000FF"/>
          <w:sz w:val="20"/>
          <w:szCs w:val="20"/>
        </w:rPr>
      </w:pPr>
      <w:r w:rsidRPr="00D22FA2">
        <w:rPr>
          <w:color w:val="0000FF"/>
          <w:sz w:val="20"/>
          <w:szCs w:val="20"/>
        </w:rPr>
        <w:t>[The Group is currently assessing the impact of the amendments on its financial statements.]</w:t>
      </w:r>
    </w:p>
    <w:p w14:paraId="01680A13" w14:textId="77777777" w:rsidR="00D22FA2" w:rsidRPr="00D22FA2" w:rsidRDefault="00D22FA2" w:rsidP="00D22FA2">
      <w:pPr>
        <w:widowControl w:val="0"/>
        <w:pBdr>
          <w:top w:val="nil"/>
          <w:left w:val="nil"/>
          <w:bottom w:val="nil"/>
          <w:right w:val="nil"/>
          <w:between w:val="nil"/>
        </w:pBdr>
        <w:spacing w:before="200" w:after="200"/>
        <w:jc w:val="both"/>
        <w:rPr>
          <w:color w:val="000000"/>
          <w:sz w:val="20"/>
          <w:szCs w:val="20"/>
        </w:rPr>
      </w:pPr>
      <w:r w:rsidRPr="00D22FA2">
        <w:rPr>
          <w:b/>
          <w:bCs/>
          <w:i/>
          <w:iCs/>
          <w:color w:val="000000"/>
          <w:sz w:val="20"/>
          <w:szCs w:val="20"/>
        </w:rPr>
        <w:t>IFRS 18 Presentation and Disclosure in Financial Statements (Issued on 9 April 2024 and effective for annual periods beginning on or after 1 January 2027).</w:t>
      </w:r>
      <w:r w:rsidRPr="00D22FA2">
        <w:rPr>
          <w:color w:val="000000"/>
          <w:sz w:val="20"/>
          <w:szCs w:val="20"/>
        </w:rPr>
        <w:t xml:space="preserve"> In April 2024, the IASB has issued IFRS 18, the new standard on presentation and disclosure in financial statements, with a focus on updates to the statement of profit or loss. The key new concepts introduced in IFRS 18 relate to:</w:t>
      </w:r>
    </w:p>
    <w:p w14:paraId="0F5725B1" w14:textId="77777777" w:rsidR="00D22FA2" w:rsidRPr="00D22FA2" w:rsidRDefault="00D22FA2" w:rsidP="00D22FA2">
      <w:pPr>
        <w:widowControl w:val="0"/>
        <w:pBdr>
          <w:top w:val="nil"/>
          <w:left w:val="nil"/>
          <w:bottom w:val="nil"/>
          <w:right w:val="nil"/>
          <w:between w:val="nil"/>
        </w:pBdr>
        <w:ind w:left="284" w:hanging="284"/>
        <w:jc w:val="both"/>
        <w:rPr>
          <w:color w:val="000000"/>
          <w:sz w:val="20"/>
          <w:szCs w:val="20"/>
        </w:rPr>
      </w:pPr>
      <w:r w:rsidRPr="00D22FA2">
        <w:rPr>
          <w:color w:val="000000"/>
          <w:sz w:val="20"/>
          <w:szCs w:val="20"/>
        </w:rPr>
        <w:t>-</w:t>
      </w:r>
      <w:r w:rsidRPr="00D22FA2">
        <w:rPr>
          <w:color w:val="000000"/>
          <w:sz w:val="20"/>
          <w:szCs w:val="20"/>
        </w:rPr>
        <w:tab/>
        <w:t>the structure of the statement of profit or loss;</w:t>
      </w:r>
    </w:p>
    <w:p w14:paraId="1D4D9FEA" w14:textId="77777777" w:rsidR="00D22FA2" w:rsidRPr="00D22FA2" w:rsidRDefault="00D22FA2" w:rsidP="00D22FA2">
      <w:pPr>
        <w:widowControl w:val="0"/>
        <w:pBdr>
          <w:top w:val="nil"/>
          <w:left w:val="nil"/>
          <w:bottom w:val="nil"/>
          <w:right w:val="nil"/>
          <w:between w:val="nil"/>
        </w:pBdr>
        <w:ind w:left="284" w:hanging="284"/>
        <w:jc w:val="both"/>
        <w:rPr>
          <w:color w:val="000000"/>
          <w:sz w:val="20"/>
          <w:szCs w:val="20"/>
        </w:rPr>
      </w:pPr>
      <w:r w:rsidRPr="00D22FA2">
        <w:rPr>
          <w:color w:val="000000"/>
          <w:sz w:val="20"/>
          <w:szCs w:val="20"/>
        </w:rPr>
        <w:t>-</w:t>
      </w:r>
      <w:r w:rsidRPr="00D22FA2">
        <w:rPr>
          <w:color w:val="000000"/>
          <w:sz w:val="20"/>
          <w:szCs w:val="20"/>
        </w:rPr>
        <w:tab/>
        <w:t>required disclosures in the financial statements for certain profit or loss performance measures that are reported outside an entity’s financial statements (that is, management-defined performance measures); and</w:t>
      </w:r>
    </w:p>
    <w:p w14:paraId="45FCA438" w14:textId="77777777" w:rsidR="00D22FA2" w:rsidRPr="00D22FA2" w:rsidRDefault="00D22FA2" w:rsidP="00D22FA2">
      <w:pPr>
        <w:widowControl w:val="0"/>
        <w:pBdr>
          <w:top w:val="nil"/>
          <w:left w:val="nil"/>
          <w:bottom w:val="nil"/>
          <w:right w:val="nil"/>
          <w:between w:val="nil"/>
        </w:pBdr>
        <w:ind w:left="284" w:hanging="284"/>
        <w:jc w:val="both"/>
        <w:rPr>
          <w:color w:val="000000"/>
          <w:sz w:val="20"/>
          <w:szCs w:val="20"/>
        </w:rPr>
      </w:pPr>
      <w:r w:rsidRPr="00D22FA2">
        <w:rPr>
          <w:color w:val="000000"/>
          <w:sz w:val="20"/>
          <w:szCs w:val="20"/>
        </w:rPr>
        <w:t>-</w:t>
      </w:r>
      <w:r w:rsidRPr="00D22FA2">
        <w:rPr>
          <w:color w:val="000000"/>
          <w:sz w:val="20"/>
          <w:szCs w:val="20"/>
        </w:rPr>
        <w:tab/>
        <w:t>enhanced principles on aggregation and disaggregation which apply to the primary financial statements and notes in general.</w:t>
      </w:r>
    </w:p>
    <w:p w14:paraId="0834D020" w14:textId="6E30993F" w:rsidR="00D22FA2" w:rsidRPr="00D22FA2" w:rsidRDefault="00D22FA2" w:rsidP="00D22FA2">
      <w:pPr>
        <w:widowControl w:val="0"/>
        <w:pBdr>
          <w:top w:val="nil"/>
          <w:left w:val="nil"/>
          <w:bottom w:val="nil"/>
          <w:right w:val="nil"/>
          <w:between w:val="nil"/>
        </w:pBdr>
        <w:spacing w:before="200" w:after="200"/>
        <w:jc w:val="both"/>
        <w:rPr>
          <w:color w:val="0000FF"/>
          <w:sz w:val="20"/>
          <w:szCs w:val="20"/>
        </w:rPr>
      </w:pPr>
      <w:r w:rsidRPr="00D22FA2">
        <w:rPr>
          <w:color w:val="000000"/>
          <w:sz w:val="20"/>
          <w:szCs w:val="20"/>
        </w:rPr>
        <w:t xml:space="preserve">IFRS 18 will replace IAS 1; many of the other existing principles in IAS 1 are retained, with limited changes. IFRS 18 will not impact the recognition or measurement of items in the financial statements, but it might change what an entity reports as its ‘operating profit or loss’. IFRS 18 will apply for reporting periods beginning on or after 1 January 2027 and also applies to comparative information. </w:t>
      </w:r>
      <w:r w:rsidRPr="00D22FA2">
        <w:rPr>
          <w:color w:val="0000FF"/>
          <w:sz w:val="20"/>
          <w:szCs w:val="20"/>
        </w:rPr>
        <w:t>[The Group is currently assessing the impact of the amendments on its financial statements.]</w:t>
      </w:r>
    </w:p>
    <w:p w14:paraId="5546D8C3" w14:textId="1E326C9F" w:rsidR="00834ACB" w:rsidRDefault="00D22FA2" w:rsidP="00D22FA2">
      <w:pPr>
        <w:widowControl w:val="0"/>
        <w:pBdr>
          <w:top w:val="nil"/>
          <w:left w:val="nil"/>
          <w:bottom w:val="nil"/>
          <w:right w:val="nil"/>
          <w:between w:val="nil"/>
        </w:pBdr>
        <w:spacing w:before="200" w:after="200"/>
        <w:jc w:val="both"/>
        <w:rPr>
          <w:color w:val="000000"/>
          <w:sz w:val="20"/>
          <w:szCs w:val="20"/>
        </w:rPr>
      </w:pPr>
      <w:r w:rsidRPr="00D22FA2">
        <w:rPr>
          <w:b/>
          <w:bCs/>
          <w:i/>
          <w:iCs/>
          <w:color w:val="000000"/>
          <w:sz w:val="20"/>
          <w:szCs w:val="20"/>
        </w:rPr>
        <w:t>IFRS 19 Subsidiaries without Public Accountability: Disclosures (Issued on 9 May 2024 and effective for annual periods beginning on or after 1 January 2027).</w:t>
      </w:r>
      <w:r w:rsidRPr="00D22FA2">
        <w:rPr>
          <w:color w:val="000000"/>
          <w:sz w:val="20"/>
          <w:szCs w:val="20"/>
        </w:rPr>
        <w:t xml:space="preserve"> IFRS 19 permits eligible subsidiaries to use IFRS Accounting Standards with reduced disclosures. The Group is </w:t>
      </w:r>
      <w:r>
        <w:rPr>
          <w:color w:val="000000"/>
          <w:sz w:val="20"/>
          <w:szCs w:val="20"/>
        </w:rPr>
        <w:t>not eligible to apply the</w:t>
      </w:r>
      <w:r w:rsidR="00ED180C">
        <w:rPr>
          <w:color w:val="000000"/>
          <w:sz w:val="20"/>
          <w:szCs w:val="20"/>
        </w:rPr>
        <w:t xml:space="preserve"> reduced disclosure requirements introduced by this standard</w:t>
      </w:r>
      <w:r w:rsidRPr="00D22FA2">
        <w:rPr>
          <w:color w:val="000000"/>
          <w:sz w:val="20"/>
          <w:szCs w:val="20"/>
        </w:rPr>
        <w:t>.</w:t>
      </w:r>
    </w:p>
    <w:p w14:paraId="7190F956" w14:textId="66420A3B" w:rsidR="00ED180C" w:rsidRPr="00ED180C" w:rsidRDefault="00ED180C" w:rsidP="00ED180C">
      <w:pPr>
        <w:widowControl w:val="0"/>
        <w:pBdr>
          <w:top w:val="nil"/>
          <w:left w:val="nil"/>
          <w:bottom w:val="nil"/>
          <w:right w:val="nil"/>
          <w:between w:val="nil"/>
        </w:pBdr>
        <w:spacing w:before="200" w:after="200"/>
        <w:jc w:val="both"/>
        <w:rPr>
          <w:color w:val="000000"/>
          <w:sz w:val="20"/>
          <w:szCs w:val="20"/>
        </w:rPr>
      </w:pPr>
      <w:r w:rsidRPr="00ED180C">
        <w:rPr>
          <w:b/>
          <w:bCs/>
          <w:i/>
          <w:iCs/>
          <w:color w:val="000000"/>
          <w:sz w:val="20"/>
          <w:szCs w:val="20"/>
        </w:rPr>
        <w:t>IFRS 14, Regulatory Deferral Accounts (issued on 30 January 2014).</w:t>
      </w:r>
      <w:r w:rsidRPr="00ED180C">
        <w:rPr>
          <w:color w:val="000000"/>
          <w:sz w:val="20"/>
          <w:szCs w:val="20"/>
        </w:rPr>
        <w:t xml:space="preserve"> IFRS 14 permits first-time adopters to continue to recognise amounts related to rate regulation in accordance with their previous GAAP requirements when they adopt IFRS. However, to enhance comparability with entities that already apply IFRS and do not recognise such amounts, the standard requires that the effect of rate regulation must be presented separately from other items. An entity that already presents IFRS financial statements is not eligible to apply the standard.</w:t>
      </w:r>
      <w:r>
        <w:rPr>
          <w:color w:val="000000"/>
          <w:sz w:val="20"/>
          <w:szCs w:val="20"/>
        </w:rPr>
        <w:t xml:space="preserve"> This standard will be effective from a </w:t>
      </w:r>
      <w:r w:rsidRPr="00ED180C">
        <w:rPr>
          <w:color w:val="000000"/>
          <w:sz w:val="20"/>
          <w:szCs w:val="20"/>
        </w:rPr>
        <w:t xml:space="preserve">date </w:t>
      </w:r>
      <w:r>
        <w:rPr>
          <w:color w:val="000000"/>
          <w:sz w:val="20"/>
          <w:szCs w:val="20"/>
        </w:rPr>
        <w:t xml:space="preserve">that is yet </w:t>
      </w:r>
      <w:r w:rsidRPr="00ED180C">
        <w:rPr>
          <w:color w:val="000000"/>
          <w:sz w:val="20"/>
          <w:szCs w:val="20"/>
        </w:rPr>
        <w:t>to be determined by the IASB</w:t>
      </w:r>
      <w:r>
        <w:rPr>
          <w:color w:val="000000"/>
          <w:sz w:val="20"/>
          <w:szCs w:val="20"/>
        </w:rPr>
        <w:t>.</w:t>
      </w:r>
    </w:p>
    <w:p w14:paraId="61BA55BF" w14:textId="0E8F5EE4" w:rsidR="00ED180C" w:rsidRPr="00ED180C" w:rsidRDefault="00ED180C" w:rsidP="00ED180C">
      <w:pPr>
        <w:widowControl w:val="0"/>
        <w:pBdr>
          <w:top w:val="nil"/>
          <w:left w:val="nil"/>
          <w:bottom w:val="nil"/>
          <w:right w:val="nil"/>
          <w:between w:val="nil"/>
        </w:pBdr>
        <w:spacing w:before="200" w:after="200"/>
        <w:jc w:val="both"/>
        <w:rPr>
          <w:color w:val="000000"/>
          <w:sz w:val="20"/>
          <w:szCs w:val="20"/>
        </w:rPr>
      </w:pPr>
      <w:r w:rsidRPr="00ED180C">
        <w:rPr>
          <w:b/>
          <w:bCs/>
          <w:i/>
          <w:iCs/>
          <w:color w:val="000000"/>
          <w:sz w:val="20"/>
          <w:szCs w:val="20"/>
        </w:rPr>
        <w:t xml:space="preserve">Sale or Contribution of Assets between an Investor and its Associate or Joint Venture – Amendments to IFRS 10 and IAS 28 (issued on 11 September 2014 and effective for annual periods beginning on or after a date to be determined by the IASB). </w:t>
      </w:r>
      <w:r w:rsidRPr="00ED180C">
        <w:rPr>
          <w:color w:val="000000"/>
          <w:sz w:val="20"/>
          <w:szCs w:val="20"/>
        </w:rPr>
        <w:t xml:space="preserve">These amendments address an inconsistency between the requirements in IFRS 10 and those in IAS 28 in dealing with the sale or contribution of assets between an investor and its associate or joint venture. The main consequence of the amendments is that a full gain or loss is recognised when a transaction involves a business. A partial gain or loss is recognised when a transaction involves assets that do not constitute a business, even if these assets are held by a subsidiary. In 2015, the IASB decided to postpone the effective date of these amendments indefinitely.  </w:t>
      </w:r>
    </w:p>
    <w:p w14:paraId="6EEF68B6" w14:textId="77777777" w:rsidR="00ED180C" w:rsidRDefault="00ED180C" w:rsidP="00D22FA2">
      <w:pPr>
        <w:widowControl w:val="0"/>
        <w:pBdr>
          <w:top w:val="nil"/>
          <w:left w:val="nil"/>
          <w:bottom w:val="nil"/>
          <w:right w:val="nil"/>
          <w:between w:val="nil"/>
        </w:pBdr>
        <w:spacing w:before="200" w:after="200"/>
        <w:jc w:val="both"/>
        <w:rPr>
          <w:color w:val="000000"/>
          <w:sz w:val="20"/>
          <w:szCs w:val="20"/>
        </w:rPr>
      </w:pPr>
    </w:p>
    <w:p w14:paraId="49F4AB51" w14:textId="77777777" w:rsidR="00834ACB" w:rsidRPr="001B330E" w:rsidRDefault="00834ACB" w:rsidP="00834ACB">
      <w:pPr>
        <w:pStyle w:val="Continued"/>
        <w:spacing w:line="228" w:lineRule="auto"/>
        <w:rPr>
          <w:spacing w:val="-2"/>
        </w:rPr>
      </w:pPr>
      <w:r w:rsidRPr="001B330E">
        <w:rPr>
          <w:spacing w:val="-2"/>
        </w:rPr>
        <w:lastRenderedPageBreak/>
        <w:t>6</w:t>
      </w:r>
      <w:r w:rsidRPr="001B330E">
        <w:rPr>
          <w:spacing w:val="-2"/>
        </w:rPr>
        <w:tab/>
        <w:t>New Accounting Pronouncements (Continued)</w:t>
      </w:r>
    </w:p>
    <w:p w14:paraId="54CDB7E9" w14:textId="3CBAC253" w:rsidR="00ED180C" w:rsidRPr="00854448" w:rsidRDefault="00ED180C" w:rsidP="00854448">
      <w:pPr>
        <w:widowControl w:val="0"/>
        <w:pBdr>
          <w:top w:val="nil"/>
          <w:left w:val="nil"/>
          <w:bottom w:val="nil"/>
          <w:right w:val="nil"/>
          <w:between w:val="nil"/>
        </w:pBdr>
        <w:spacing w:before="200" w:after="200"/>
        <w:jc w:val="both"/>
        <w:rPr>
          <w:color w:val="000000"/>
          <w:sz w:val="20"/>
          <w:szCs w:val="20"/>
        </w:rPr>
      </w:pPr>
      <w:r w:rsidRPr="00147BD5">
        <w:rPr>
          <w:b/>
          <w:bCs/>
          <w:i/>
          <w:iCs/>
          <w:color w:val="000000"/>
          <w:sz w:val="20"/>
          <w:szCs w:val="20"/>
        </w:rPr>
        <w:t xml:space="preserve">Annual Improvements to IFRS Accounting Standards (Issued in July 2024 and effective from </w:t>
      </w:r>
      <w:r w:rsidR="006D20AB" w:rsidRPr="00147BD5">
        <w:rPr>
          <w:b/>
          <w:bCs/>
          <w:i/>
          <w:iCs/>
          <w:color w:val="000000"/>
          <w:sz w:val="20"/>
          <w:szCs w:val="20"/>
        </w:rPr>
        <w:t>1</w:t>
      </w:r>
      <w:r w:rsidR="004C67C1">
        <w:rPr>
          <w:b/>
          <w:bCs/>
          <w:i/>
          <w:iCs/>
          <w:color w:val="000000"/>
          <w:sz w:val="20"/>
          <w:szCs w:val="20"/>
        </w:rPr>
        <w:t> </w:t>
      </w:r>
      <w:r w:rsidR="006D20AB" w:rsidRPr="00147BD5">
        <w:rPr>
          <w:b/>
          <w:bCs/>
          <w:i/>
          <w:iCs/>
          <w:color w:val="000000"/>
          <w:sz w:val="20"/>
          <w:szCs w:val="20"/>
        </w:rPr>
        <w:t>January 2026</w:t>
      </w:r>
      <w:r w:rsidRPr="00147BD5">
        <w:rPr>
          <w:b/>
          <w:bCs/>
          <w:i/>
          <w:iCs/>
          <w:color w:val="000000"/>
          <w:sz w:val="20"/>
          <w:szCs w:val="20"/>
        </w:rPr>
        <w:t>).</w:t>
      </w:r>
      <w:r w:rsidR="00147BD5">
        <w:rPr>
          <w:color w:val="000000"/>
          <w:sz w:val="20"/>
          <w:szCs w:val="20"/>
        </w:rPr>
        <w:t xml:space="preserve"> </w:t>
      </w:r>
      <w:r w:rsidRPr="00147BD5">
        <w:rPr>
          <w:color w:val="000000"/>
          <w:sz w:val="20"/>
          <w:szCs w:val="20"/>
        </w:rPr>
        <w:t>IFRS 1 was clarified that</w:t>
      </w:r>
      <w:r w:rsidR="006D20AB" w:rsidRPr="00147BD5">
        <w:rPr>
          <w:color w:val="000000"/>
          <w:sz w:val="20"/>
          <w:szCs w:val="20"/>
        </w:rPr>
        <w:t xml:space="preserve"> a</w:t>
      </w:r>
      <w:r w:rsidRPr="00147BD5">
        <w:rPr>
          <w:color w:val="000000"/>
          <w:sz w:val="20"/>
          <w:szCs w:val="20"/>
        </w:rPr>
        <w:t xml:space="preserve"> hedge should be discontinued upon transition to IFRS Accounting Standards if it does not meet the </w:t>
      </w:r>
      <w:r w:rsidR="006D20AB" w:rsidRPr="00147BD5">
        <w:rPr>
          <w:color w:val="000000"/>
          <w:sz w:val="20"/>
          <w:szCs w:val="20"/>
        </w:rPr>
        <w:t>‘</w:t>
      </w:r>
      <w:r w:rsidRPr="00147BD5">
        <w:rPr>
          <w:color w:val="000000"/>
          <w:sz w:val="20"/>
          <w:szCs w:val="20"/>
        </w:rPr>
        <w:t>qualifying criteria’, rather than ‘conditions’ for hedge accounting, in order to resolve a potential confusion arising from an inconsistency between the wording in IFRS 1 and the requirements for hedge accounting in IFRS 9.</w:t>
      </w:r>
      <w:r w:rsidR="006D20AB" w:rsidRPr="00147BD5">
        <w:rPr>
          <w:color w:val="000000"/>
          <w:sz w:val="20"/>
          <w:szCs w:val="20"/>
        </w:rPr>
        <w:t xml:space="preserve"> IFRS 7 requires disclosures about a gain or loss on derecognition relating to financial assets in which the entity has </w:t>
      </w:r>
      <w:r w:rsidR="00854448">
        <w:rPr>
          <w:color w:val="000000"/>
          <w:sz w:val="20"/>
          <w:szCs w:val="20"/>
        </w:rPr>
        <w:t xml:space="preserve">a </w:t>
      </w:r>
      <w:r w:rsidR="006D20AB" w:rsidRPr="00147BD5">
        <w:rPr>
          <w:color w:val="000000"/>
          <w:sz w:val="20"/>
          <w:szCs w:val="20"/>
        </w:rPr>
        <w:t>continuing involvement</w:t>
      </w:r>
      <w:r w:rsidR="0035264E" w:rsidRPr="00147BD5">
        <w:rPr>
          <w:color w:val="000000"/>
          <w:sz w:val="20"/>
          <w:szCs w:val="20"/>
        </w:rPr>
        <w:t>, including</w:t>
      </w:r>
      <w:r w:rsidR="00854448">
        <w:rPr>
          <w:color w:val="000000"/>
          <w:sz w:val="20"/>
          <w:szCs w:val="20"/>
        </w:rPr>
        <w:t xml:space="preserve"> </w:t>
      </w:r>
      <w:r w:rsidR="0035264E" w:rsidRPr="00147BD5">
        <w:rPr>
          <w:color w:val="000000"/>
          <w:sz w:val="20"/>
          <w:szCs w:val="20"/>
        </w:rPr>
        <w:t xml:space="preserve">whether </w:t>
      </w:r>
      <w:r w:rsidR="006D20AB" w:rsidRPr="00147BD5">
        <w:rPr>
          <w:color w:val="000000"/>
          <w:sz w:val="20"/>
          <w:szCs w:val="20"/>
        </w:rPr>
        <w:t>fair value measurements included ‘significant unobservable inputs’</w:t>
      </w:r>
      <w:r w:rsidR="00854448">
        <w:rPr>
          <w:color w:val="000000"/>
          <w:sz w:val="20"/>
          <w:szCs w:val="20"/>
        </w:rPr>
        <w:t>.</w:t>
      </w:r>
      <w:r w:rsidR="0035264E" w:rsidRPr="00147BD5">
        <w:rPr>
          <w:color w:val="000000"/>
          <w:sz w:val="20"/>
          <w:szCs w:val="20"/>
        </w:rPr>
        <w:t xml:space="preserve"> </w:t>
      </w:r>
      <w:r w:rsidR="00854448">
        <w:rPr>
          <w:color w:val="000000"/>
          <w:sz w:val="20"/>
          <w:szCs w:val="20"/>
        </w:rPr>
        <w:t xml:space="preserve">This </w:t>
      </w:r>
      <w:r w:rsidR="0035264E" w:rsidRPr="00147BD5">
        <w:rPr>
          <w:color w:val="000000"/>
          <w:sz w:val="20"/>
          <w:szCs w:val="20"/>
        </w:rPr>
        <w:t xml:space="preserve">new phrase replaced reference to </w:t>
      </w:r>
      <w:r w:rsidR="006D20AB" w:rsidRPr="00147BD5">
        <w:rPr>
          <w:color w:val="000000"/>
          <w:sz w:val="20"/>
          <w:szCs w:val="20"/>
        </w:rPr>
        <w:t>‘</w:t>
      </w:r>
      <w:r w:rsidR="0035264E" w:rsidRPr="00147BD5">
        <w:rPr>
          <w:color w:val="000000"/>
          <w:sz w:val="20"/>
          <w:szCs w:val="20"/>
        </w:rPr>
        <w:t xml:space="preserve">significant </w:t>
      </w:r>
      <w:r w:rsidR="006D20AB" w:rsidRPr="00147BD5">
        <w:rPr>
          <w:color w:val="000000"/>
          <w:sz w:val="20"/>
          <w:szCs w:val="20"/>
        </w:rPr>
        <w:t>inputs that were not based on observable market</w:t>
      </w:r>
      <w:r w:rsidR="0035264E" w:rsidRPr="00147BD5">
        <w:rPr>
          <w:color w:val="000000"/>
          <w:sz w:val="20"/>
          <w:szCs w:val="20"/>
        </w:rPr>
        <w:t xml:space="preserve"> </w:t>
      </w:r>
      <w:r w:rsidR="006D20AB" w:rsidRPr="00147BD5">
        <w:rPr>
          <w:color w:val="000000"/>
          <w:sz w:val="20"/>
          <w:szCs w:val="20"/>
        </w:rPr>
        <w:t>data’</w:t>
      </w:r>
      <w:r w:rsidR="0035264E" w:rsidRPr="00147BD5">
        <w:rPr>
          <w:color w:val="000000"/>
          <w:sz w:val="20"/>
          <w:szCs w:val="20"/>
        </w:rPr>
        <w:t>.</w:t>
      </w:r>
      <w:r w:rsidR="006D20AB" w:rsidRPr="00147BD5">
        <w:rPr>
          <w:color w:val="000000"/>
          <w:sz w:val="20"/>
          <w:szCs w:val="20"/>
        </w:rPr>
        <w:t xml:space="preserve"> </w:t>
      </w:r>
      <w:r w:rsidR="0035264E" w:rsidRPr="00147BD5">
        <w:rPr>
          <w:color w:val="000000"/>
          <w:sz w:val="20"/>
          <w:szCs w:val="20"/>
        </w:rPr>
        <w:t xml:space="preserve">The amendment makes </w:t>
      </w:r>
      <w:r w:rsidR="006D20AB" w:rsidRPr="00147BD5">
        <w:rPr>
          <w:color w:val="000000"/>
          <w:sz w:val="20"/>
          <w:szCs w:val="20"/>
        </w:rPr>
        <w:t>the wording consistent with</w:t>
      </w:r>
      <w:r w:rsidR="0035264E" w:rsidRPr="00147BD5">
        <w:rPr>
          <w:color w:val="000000"/>
          <w:sz w:val="20"/>
          <w:szCs w:val="20"/>
        </w:rPr>
        <w:t xml:space="preserve"> </w:t>
      </w:r>
      <w:r w:rsidR="006D20AB" w:rsidRPr="00147BD5">
        <w:rPr>
          <w:color w:val="000000"/>
          <w:sz w:val="20"/>
          <w:szCs w:val="20"/>
        </w:rPr>
        <w:t>IFRS 13</w:t>
      </w:r>
      <w:r w:rsidR="0035264E" w:rsidRPr="00147BD5">
        <w:rPr>
          <w:color w:val="000000"/>
          <w:sz w:val="20"/>
          <w:szCs w:val="20"/>
        </w:rPr>
        <w:t xml:space="preserve">. In addition, certain IFRS 7 implementation guidance examples were clarified and text added that the </w:t>
      </w:r>
      <w:r w:rsidR="00854448">
        <w:rPr>
          <w:color w:val="000000"/>
          <w:sz w:val="20"/>
          <w:szCs w:val="20"/>
        </w:rPr>
        <w:t xml:space="preserve">examples </w:t>
      </w:r>
      <w:r w:rsidR="0035264E" w:rsidRPr="00147BD5">
        <w:rPr>
          <w:color w:val="000000"/>
          <w:sz w:val="20"/>
          <w:szCs w:val="20"/>
        </w:rPr>
        <w:t>do not necessarily illustrate all the requirements in the referenced paragraphs of IFRS 7.</w:t>
      </w:r>
      <w:r w:rsidR="00854448">
        <w:rPr>
          <w:color w:val="000000"/>
          <w:sz w:val="20"/>
          <w:szCs w:val="20"/>
        </w:rPr>
        <w:t xml:space="preserve"> </w:t>
      </w:r>
      <w:r w:rsidR="0035264E" w:rsidRPr="00147BD5">
        <w:rPr>
          <w:color w:val="000000"/>
          <w:sz w:val="20"/>
          <w:szCs w:val="20"/>
        </w:rPr>
        <w:t xml:space="preserve">IFRS 16 was amended to clarify that when a lessee has determined that a lease liability </w:t>
      </w:r>
      <w:r w:rsidR="0035264E" w:rsidRPr="0035264E">
        <w:rPr>
          <w:color w:val="000000"/>
          <w:sz w:val="20"/>
          <w:szCs w:val="20"/>
        </w:rPr>
        <w:t>has been extinguished in accordance with IFRS 9, the lessee is required to</w:t>
      </w:r>
      <w:r w:rsidR="0035264E" w:rsidRPr="00147BD5">
        <w:rPr>
          <w:color w:val="000000"/>
          <w:sz w:val="20"/>
          <w:szCs w:val="20"/>
        </w:rPr>
        <w:t xml:space="preserve"> apply IFRS 9 guidance to recognise any resulting gain or loss in profit or loss.</w:t>
      </w:r>
      <w:r w:rsidR="00147BD5" w:rsidRPr="00147BD5">
        <w:rPr>
          <w:color w:val="000000"/>
          <w:sz w:val="20"/>
          <w:szCs w:val="20"/>
        </w:rPr>
        <w:t xml:space="preserve"> This clarification applie</w:t>
      </w:r>
      <w:r w:rsidR="00854448">
        <w:rPr>
          <w:color w:val="000000"/>
          <w:sz w:val="20"/>
          <w:szCs w:val="20"/>
        </w:rPr>
        <w:t>s</w:t>
      </w:r>
      <w:r w:rsidR="00147BD5" w:rsidRPr="00147BD5">
        <w:rPr>
          <w:color w:val="000000"/>
          <w:sz w:val="20"/>
          <w:szCs w:val="20"/>
        </w:rPr>
        <w:t xml:space="preserve"> to lease liabilities that are extinguished on or after the beginning of the annual reporting period in which the entity first applies that amendment. I</w:t>
      </w:r>
      <w:r w:rsidR="00854448">
        <w:rPr>
          <w:color w:val="000000"/>
          <w:sz w:val="20"/>
          <w:szCs w:val="20"/>
        </w:rPr>
        <w:t>n</w:t>
      </w:r>
      <w:r w:rsidR="00147BD5" w:rsidRPr="00147BD5">
        <w:rPr>
          <w:color w:val="000000"/>
          <w:sz w:val="20"/>
          <w:szCs w:val="20"/>
        </w:rPr>
        <w:t xml:space="preserve"> order to resolve an inconsistency between </w:t>
      </w:r>
      <w:r w:rsidR="00854448">
        <w:rPr>
          <w:color w:val="000000"/>
          <w:sz w:val="20"/>
          <w:szCs w:val="20"/>
        </w:rPr>
        <w:t>IFRS 9 and IFRS 15</w:t>
      </w:r>
      <w:r w:rsidR="00147BD5" w:rsidRPr="00147BD5">
        <w:rPr>
          <w:color w:val="000000"/>
          <w:sz w:val="20"/>
          <w:szCs w:val="20"/>
        </w:rPr>
        <w:t xml:space="preserve">, trade receivables are now required to be </w:t>
      </w:r>
      <w:r w:rsidR="00854448">
        <w:rPr>
          <w:color w:val="000000"/>
          <w:sz w:val="20"/>
          <w:szCs w:val="20"/>
        </w:rPr>
        <w:t xml:space="preserve">initially </w:t>
      </w:r>
      <w:r w:rsidR="00147BD5" w:rsidRPr="00147BD5">
        <w:rPr>
          <w:color w:val="000000"/>
          <w:sz w:val="20"/>
          <w:szCs w:val="20"/>
        </w:rPr>
        <w:t xml:space="preserve">recognised at ‘the amount determined by applying IFRS 15’ instead of at ‘their transaction price (as defined in IFRS 15)’. IFRS 10 was amended to use less conclusive language when an entity is a ‘de-facto agent’ and to clarify that the relationship described in paragraph B74 </w:t>
      </w:r>
      <w:r w:rsidR="00854448">
        <w:rPr>
          <w:color w:val="000000"/>
          <w:sz w:val="20"/>
          <w:szCs w:val="20"/>
        </w:rPr>
        <w:t xml:space="preserve">of IFRS 10 </w:t>
      </w:r>
      <w:r w:rsidR="00147BD5" w:rsidRPr="00147BD5">
        <w:rPr>
          <w:color w:val="000000"/>
          <w:sz w:val="20"/>
          <w:szCs w:val="20"/>
        </w:rPr>
        <w:t>is just one example of a circumstance in which judgement is required to determine whether a party is acting as a de</w:t>
      </w:r>
      <w:r w:rsidR="00854448">
        <w:rPr>
          <w:color w:val="000000"/>
          <w:sz w:val="20"/>
          <w:szCs w:val="20"/>
        </w:rPr>
        <w:t>-</w:t>
      </w:r>
      <w:r w:rsidR="00147BD5" w:rsidRPr="00147BD5">
        <w:rPr>
          <w:color w:val="000000"/>
          <w:sz w:val="20"/>
          <w:szCs w:val="20"/>
        </w:rPr>
        <w:t xml:space="preserve">facto agent. IAS 7 was corrected to delete references to ‘cost method’ that </w:t>
      </w:r>
      <w:r w:rsidR="00854448">
        <w:rPr>
          <w:color w:val="000000"/>
          <w:sz w:val="20"/>
          <w:szCs w:val="20"/>
        </w:rPr>
        <w:t xml:space="preserve">was </w:t>
      </w:r>
      <w:r w:rsidR="00147BD5" w:rsidRPr="00147BD5">
        <w:rPr>
          <w:color w:val="000000"/>
          <w:sz w:val="20"/>
          <w:szCs w:val="20"/>
        </w:rPr>
        <w:t>removed from IFRS Accounting Standards in May 2008 when the IASB issued amendment ‘Cost of an Investment in a Subsidiary, Jointly Controlled Entity or Associate’.</w:t>
      </w:r>
    </w:p>
    <w:p w14:paraId="1F1165DD" w14:textId="77777777" w:rsidR="003865ED" w:rsidRDefault="003865ED" w:rsidP="003865ED">
      <w:pPr>
        <w:widowControl w:val="0"/>
        <w:spacing w:before="200" w:after="200" w:line="228" w:lineRule="auto"/>
        <w:jc w:val="both"/>
        <w:rPr>
          <w:color w:val="000000"/>
          <w:spacing w:val="-2"/>
          <w:sz w:val="20"/>
          <w:szCs w:val="20"/>
        </w:rPr>
      </w:pPr>
      <w:r w:rsidRPr="001B330E">
        <w:rPr>
          <w:color w:val="000000"/>
          <w:spacing w:val="-2"/>
          <w:sz w:val="20"/>
          <w:szCs w:val="20"/>
        </w:rPr>
        <w:t xml:space="preserve">Unless otherwise described above, the new standards and interpretations are not expected to affect significantly the Group’s </w:t>
      </w:r>
      <w:r w:rsidRPr="001B330E">
        <w:rPr>
          <w:color w:val="0000FF"/>
          <w:spacing w:val="-2"/>
          <w:sz w:val="20"/>
          <w:szCs w:val="20"/>
        </w:rPr>
        <w:t>[consolidated]</w:t>
      </w:r>
      <w:r w:rsidRPr="001B330E">
        <w:rPr>
          <w:color w:val="000000"/>
          <w:spacing w:val="-2"/>
          <w:sz w:val="20"/>
          <w:szCs w:val="20"/>
        </w:rPr>
        <w:t xml:space="preserve"> financial statements.</w:t>
      </w:r>
    </w:p>
    <w:p w14:paraId="39151D67" w14:textId="77777777" w:rsidR="00D83E33" w:rsidRDefault="00BC4072" w:rsidP="00443AF2">
      <w:pPr>
        <w:pStyle w:val="Heading1"/>
        <w:ind w:left="431" w:hanging="431"/>
      </w:pPr>
      <w:bookmarkStart w:id="13" w:name="_Toc83818295"/>
      <w:bookmarkStart w:id="14" w:name="_Toc83913934"/>
      <w:bookmarkStart w:id="15" w:name="_Toc83917400"/>
      <w:bookmarkStart w:id="16" w:name="_Toc179196009"/>
      <w:bookmarkEnd w:id="13"/>
      <w:bookmarkEnd w:id="14"/>
      <w:bookmarkEnd w:id="15"/>
      <w:r>
        <w:t>Cash and Cash Equivalents</w:t>
      </w:r>
      <w:bookmarkEnd w:id="16"/>
    </w:p>
    <w:tbl>
      <w:tblPr>
        <w:tblStyle w:val="aa"/>
        <w:tblW w:w="9404" w:type="dxa"/>
        <w:tblLayout w:type="fixed"/>
        <w:tblLook w:val="0000" w:firstRow="0" w:lastRow="0" w:firstColumn="0" w:lastColumn="0" w:noHBand="0" w:noVBand="0"/>
      </w:tblPr>
      <w:tblGrid>
        <w:gridCol w:w="6270"/>
        <w:gridCol w:w="1567"/>
        <w:gridCol w:w="1567"/>
      </w:tblGrid>
      <w:tr w:rsidR="00C91C77" w14:paraId="006FB4A5" w14:textId="77777777" w:rsidTr="00C91C77">
        <w:tc>
          <w:tcPr>
            <w:tcW w:w="6270" w:type="dxa"/>
            <w:tcBorders>
              <w:bottom w:val="single" w:sz="4" w:space="0" w:color="000000"/>
            </w:tcBorders>
            <w:vAlign w:val="bottom"/>
          </w:tcPr>
          <w:p w14:paraId="7A15CB83" w14:textId="07390096" w:rsidR="00D83E33"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1567" w:type="dxa"/>
            <w:tcBorders>
              <w:bottom w:val="single" w:sz="4" w:space="0" w:color="000000"/>
            </w:tcBorders>
            <w:vAlign w:val="bottom"/>
          </w:tcPr>
          <w:p w14:paraId="312D4B4A" w14:textId="7651FD71" w:rsidR="00D83E33" w:rsidRDefault="00541EBC">
            <w:pPr>
              <w:widowControl w:val="0"/>
              <w:pBdr>
                <w:top w:val="nil"/>
                <w:left w:val="nil"/>
                <w:bottom w:val="nil"/>
                <w:right w:val="nil"/>
                <w:between w:val="nil"/>
              </w:pBdr>
              <w:jc w:val="right"/>
              <w:rPr>
                <w:b/>
                <w:color w:val="000000"/>
              </w:rPr>
            </w:pPr>
            <w:r>
              <w:rPr>
                <w:b/>
                <w:color w:val="000000"/>
              </w:rPr>
              <w:t>2024</w:t>
            </w:r>
          </w:p>
        </w:tc>
        <w:tc>
          <w:tcPr>
            <w:tcW w:w="1567" w:type="dxa"/>
            <w:tcBorders>
              <w:bottom w:val="single" w:sz="4" w:space="0" w:color="000000"/>
            </w:tcBorders>
            <w:vAlign w:val="bottom"/>
          </w:tcPr>
          <w:p w14:paraId="31AE2289" w14:textId="4274C047" w:rsidR="00D83E33" w:rsidRDefault="00541EBC">
            <w:pPr>
              <w:widowControl w:val="0"/>
              <w:pBdr>
                <w:top w:val="nil"/>
                <w:left w:val="nil"/>
                <w:bottom w:val="nil"/>
                <w:right w:val="nil"/>
                <w:between w:val="nil"/>
              </w:pBdr>
              <w:jc w:val="right"/>
              <w:rPr>
                <w:b/>
                <w:color w:val="000000"/>
              </w:rPr>
            </w:pPr>
            <w:r>
              <w:rPr>
                <w:b/>
                <w:color w:val="000000"/>
              </w:rPr>
              <w:t>2023</w:t>
            </w:r>
          </w:p>
        </w:tc>
      </w:tr>
      <w:tr w:rsidR="00C91C77" w14:paraId="6AD1CBF4" w14:textId="77777777" w:rsidTr="00C91C77">
        <w:tc>
          <w:tcPr>
            <w:tcW w:w="6270" w:type="dxa"/>
            <w:vAlign w:val="bottom"/>
          </w:tcPr>
          <w:p w14:paraId="5871CD5F" w14:textId="77777777" w:rsidR="00D83E33" w:rsidRDefault="00BC4072">
            <w:pPr>
              <w:widowControl w:val="0"/>
              <w:ind w:left="113" w:hanging="113"/>
            </w:pPr>
            <w:r>
              <w:t> </w:t>
            </w:r>
          </w:p>
        </w:tc>
        <w:tc>
          <w:tcPr>
            <w:tcW w:w="1567" w:type="dxa"/>
            <w:vAlign w:val="bottom"/>
          </w:tcPr>
          <w:p w14:paraId="20E08E88"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61C8AE41" w14:textId="77777777" w:rsidR="00D83E33" w:rsidRDefault="00D83E33">
            <w:pPr>
              <w:widowControl w:val="0"/>
              <w:pBdr>
                <w:top w:val="nil"/>
                <w:left w:val="nil"/>
                <w:bottom w:val="nil"/>
                <w:right w:val="nil"/>
                <w:between w:val="nil"/>
              </w:pBdr>
              <w:jc w:val="right"/>
              <w:rPr>
                <w:color w:val="000000"/>
              </w:rPr>
            </w:pPr>
          </w:p>
        </w:tc>
      </w:tr>
      <w:tr w:rsidR="00C91C77" w14:paraId="5FC2B6CD" w14:textId="77777777" w:rsidTr="00C91C77">
        <w:tc>
          <w:tcPr>
            <w:tcW w:w="6270" w:type="dxa"/>
            <w:vAlign w:val="bottom"/>
          </w:tcPr>
          <w:p w14:paraId="0D8A2F67" w14:textId="77777777" w:rsidR="00D83E33" w:rsidRDefault="00BC4072">
            <w:pPr>
              <w:widowControl w:val="0"/>
              <w:pBdr>
                <w:top w:val="nil"/>
                <w:left w:val="nil"/>
                <w:bottom w:val="nil"/>
                <w:right w:val="nil"/>
                <w:between w:val="nil"/>
              </w:pBdr>
              <w:ind w:left="113" w:hanging="113"/>
              <w:rPr>
                <w:color w:val="000000"/>
              </w:rPr>
            </w:pPr>
            <w:r>
              <w:rPr>
                <w:color w:val="000000"/>
              </w:rPr>
              <w:t xml:space="preserve">Cash on hand </w:t>
            </w:r>
          </w:p>
        </w:tc>
        <w:tc>
          <w:tcPr>
            <w:tcW w:w="1567" w:type="dxa"/>
            <w:vAlign w:val="bottom"/>
          </w:tcPr>
          <w:p w14:paraId="09493B4B"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59745A8D" w14:textId="77777777" w:rsidR="00D83E33" w:rsidRDefault="00D83E33">
            <w:pPr>
              <w:widowControl w:val="0"/>
              <w:pBdr>
                <w:top w:val="nil"/>
                <w:left w:val="nil"/>
                <w:bottom w:val="nil"/>
                <w:right w:val="nil"/>
                <w:between w:val="nil"/>
              </w:pBdr>
              <w:jc w:val="right"/>
              <w:rPr>
                <w:color w:val="000000"/>
              </w:rPr>
            </w:pPr>
          </w:p>
        </w:tc>
      </w:tr>
      <w:tr w:rsidR="00C91C77" w14:paraId="299266BB" w14:textId="77777777" w:rsidTr="00C91C77">
        <w:tc>
          <w:tcPr>
            <w:tcW w:w="6270" w:type="dxa"/>
            <w:vAlign w:val="bottom"/>
          </w:tcPr>
          <w:p w14:paraId="4BEBBFAC" w14:textId="2DB5529D" w:rsidR="00D83E33" w:rsidRDefault="00BC4072">
            <w:pPr>
              <w:widowControl w:val="0"/>
              <w:pBdr>
                <w:top w:val="nil"/>
                <w:left w:val="nil"/>
                <w:bottom w:val="nil"/>
                <w:right w:val="nil"/>
                <w:between w:val="nil"/>
              </w:pBdr>
              <w:ind w:left="113" w:hanging="113"/>
              <w:rPr>
                <w:color w:val="000000"/>
              </w:rPr>
            </w:pPr>
            <w:r>
              <w:rPr>
                <w:color w:val="000000"/>
              </w:rPr>
              <w:t xml:space="preserve">Cash balances with the </w:t>
            </w:r>
            <w:r w:rsidR="00613F4D">
              <w:rPr>
                <w:color w:val="000000"/>
              </w:rPr>
              <w:t>NBC</w:t>
            </w:r>
            <w:r>
              <w:rPr>
                <w:color w:val="000000"/>
              </w:rPr>
              <w:t xml:space="preserve"> (other than mandatory reserve deposits)</w:t>
            </w:r>
          </w:p>
        </w:tc>
        <w:tc>
          <w:tcPr>
            <w:tcW w:w="1567" w:type="dxa"/>
            <w:vAlign w:val="bottom"/>
          </w:tcPr>
          <w:p w14:paraId="2E250439"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5D1FD745" w14:textId="77777777" w:rsidR="00D83E33" w:rsidRDefault="00D83E33">
            <w:pPr>
              <w:widowControl w:val="0"/>
              <w:pBdr>
                <w:top w:val="nil"/>
                <w:left w:val="nil"/>
                <w:bottom w:val="nil"/>
                <w:right w:val="nil"/>
                <w:between w:val="nil"/>
              </w:pBdr>
              <w:jc w:val="right"/>
              <w:rPr>
                <w:color w:val="000000"/>
              </w:rPr>
            </w:pPr>
          </w:p>
        </w:tc>
      </w:tr>
      <w:tr w:rsidR="00C91C77" w14:paraId="633EAD13" w14:textId="77777777" w:rsidTr="00C91C77">
        <w:tc>
          <w:tcPr>
            <w:tcW w:w="6270" w:type="dxa"/>
            <w:vAlign w:val="bottom"/>
          </w:tcPr>
          <w:p w14:paraId="707BE6A7" w14:textId="48201800" w:rsidR="00D83E33" w:rsidRDefault="00BC4072">
            <w:pPr>
              <w:widowControl w:val="0"/>
              <w:pBdr>
                <w:top w:val="nil"/>
                <w:left w:val="nil"/>
                <w:bottom w:val="nil"/>
                <w:right w:val="nil"/>
                <w:between w:val="nil"/>
              </w:pBdr>
              <w:ind w:left="113" w:hanging="113"/>
              <w:rPr>
                <w:color w:val="000000"/>
              </w:rPr>
            </w:pPr>
            <w:r>
              <w:rPr>
                <w:color w:val="000000"/>
              </w:rPr>
              <w:t xml:space="preserve">Mandatory cash balances with </w:t>
            </w:r>
            <w:r w:rsidR="00613F4D">
              <w:rPr>
                <w:color w:val="000000"/>
              </w:rPr>
              <w:t>NBC</w:t>
            </w:r>
          </w:p>
        </w:tc>
        <w:tc>
          <w:tcPr>
            <w:tcW w:w="1567" w:type="dxa"/>
            <w:vAlign w:val="bottom"/>
          </w:tcPr>
          <w:p w14:paraId="5C4C82E3"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7E461FCB" w14:textId="77777777" w:rsidR="00D83E33" w:rsidRDefault="00D83E33">
            <w:pPr>
              <w:widowControl w:val="0"/>
              <w:pBdr>
                <w:top w:val="nil"/>
                <w:left w:val="nil"/>
                <w:bottom w:val="nil"/>
                <w:right w:val="nil"/>
                <w:between w:val="nil"/>
              </w:pBdr>
              <w:jc w:val="right"/>
              <w:rPr>
                <w:color w:val="000000"/>
              </w:rPr>
            </w:pPr>
          </w:p>
        </w:tc>
      </w:tr>
      <w:tr w:rsidR="00C91C77" w14:paraId="5FAE4001" w14:textId="77777777" w:rsidTr="00C91C77">
        <w:tc>
          <w:tcPr>
            <w:tcW w:w="6270" w:type="dxa"/>
            <w:vAlign w:val="bottom"/>
          </w:tcPr>
          <w:p w14:paraId="76829554" w14:textId="77777777" w:rsidR="00D83E33" w:rsidRDefault="00BC4072">
            <w:pPr>
              <w:widowControl w:val="0"/>
              <w:pBdr>
                <w:top w:val="nil"/>
                <w:left w:val="nil"/>
                <w:bottom w:val="nil"/>
                <w:right w:val="nil"/>
                <w:between w:val="nil"/>
              </w:pBdr>
              <w:ind w:left="113" w:hanging="113"/>
              <w:rPr>
                <w:color w:val="000000"/>
              </w:rPr>
            </w:pPr>
            <w:r>
              <w:rPr>
                <w:color w:val="000000"/>
              </w:rPr>
              <w:t>Correspondent accounts and overnight placements with other banks</w:t>
            </w:r>
          </w:p>
        </w:tc>
        <w:tc>
          <w:tcPr>
            <w:tcW w:w="1567" w:type="dxa"/>
            <w:vAlign w:val="bottom"/>
          </w:tcPr>
          <w:p w14:paraId="0AA7B925"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5F767D35" w14:textId="77777777" w:rsidR="00D83E33" w:rsidRDefault="00D83E33">
            <w:pPr>
              <w:widowControl w:val="0"/>
              <w:pBdr>
                <w:top w:val="nil"/>
                <w:left w:val="nil"/>
                <w:bottom w:val="nil"/>
                <w:right w:val="nil"/>
                <w:between w:val="nil"/>
              </w:pBdr>
              <w:jc w:val="right"/>
              <w:rPr>
                <w:color w:val="000000"/>
              </w:rPr>
            </w:pPr>
          </w:p>
        </w:tc>
      </w:tr>
      <w:tr w:rsidR="00C91C77" w14:paraId="416841F6" w14:textId="77777777" w:rsidTr="00C91C77">
        <w:tc>
          <w:tcPr>
            <w:tcW w:w="6270" w:type="dxa"/>
            <w:vAlign w:val="bottom"/>
          </w:tcPr>
          <w:p w14:paraId="3ADA59D4" w14:textId="77777777" w:rsidR="00D83E33" w:rsidRDefault="00BC4072">
            <w:pPr>
              <w:widowControl w:val="0"/>
              <w:pBdr>
                <w:top w:val="nil"/>
                <w:left w:val="nil"/>
                <w:bottom w:val="nil"/>
                <w:right w:val="nil"/>
                <w:between w:val="nil"/>
              </w:pBdr>
              <w:ind w:left="113" w:hanging="113"/>
              <w:rPr>
                <w:color w:val="000000"/>
              </w:rPr>
            </w:pPr>
            <w:r>
              <w:rPr>
                <w:color w:val="000000"/>
              </w:rPr>
              <w:t>Placements with other banks with original maturities of less than three months</w:t>
            </w:r>
          </w:p>
        </w:tc>
        <w:tc>
          <w:tcPr>
            <w:tcW w:w="1567" w:type="dxa"/>
            <w:vAlign w:val="bottom"/>
          </w:tcPr>
          <w:p w14:paraId="65B4F055"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6974D04E" w14:textId="77777777" w:rsidR="00D83E33" w:rsidRDefault="00D83E33">
            <w:pPr>
              <w:widowControl w:val="0"/>
              <w:pBdr>
                <w:top w:val="nil"/>
                <w:left w:val="nil"/>
                <w:bottom w:val="nil"/>
                <w:right w:val="nil"/>
                <w:between w:val="nil"/>
              </w:pBdr>
              <w:jc w:val="right"/>
              <w:rPr>
                <w:color w:val="000000"/>
              </w:rPr>
            </w:pPr>
          </w:p>
        </w:tc>
      </w:tr>
      <w:tr w:rsidR="00C91C77" w14:paraId="3C988160" w14:textId="77777777" w:rsidTr="00C91C77">
        <w:tc>
          <w:tcPr>
            <w:tcW w:w="6270" w:type="dxa"/>
            <w:vAlign w:val="bottom"/>
          </w:tcPr>
          <w:p w14:paraId="57B75D59" w14:textId="77777777" w:rsidR="00D83E33" w:rsidRDefault="00BC4072">
            <w:pPr>
              <w:widowControl w:val="0"/>
              <w:pBdr>
                <w:top w:val="nil"/>
                <w:left w:val="nil"/>
                <w:bottom w:val="nil"/>
                <w:right w:val="nil"/>
                <w:between w:val="nil"/>
              </w:pBdr>
              <w:ind w:left="113" w:hanging="113"/>
              <w:rPr>
                <w:color w:val="000000"/>
              </w:rPr>
            </w:pPr>
            <w:r>
              <w:rPr>
                <w:color w:val="000000"/>
              </w:rPr>
              <w:t>Reverse sale and repurchase agreements with other banks with original maturities of less than three months</w:t>
            </w:r>
          </w:p>
        </w:tc>
        <w:tc>
          <w:tcPr>
            <w:tcW w:w="1567" w:type="dxa"/>
            <w:vAlign w:val="bottom"/>
          </w:tcPr>
          <w:p w14:paraId="3084F726"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780A4225" w14:textId="77777777" w:rsidR="00D83E33" w:rsidRDefault="00D83E33">
            <w:pPr>
              <w:widowControl w:val="0"/>
              <w:pBdr>
                <w:top w:val="nil"/>
                <w:left w:val="nil"/>
                <w:bottom w:val="nil"/>
                <w:right w:val="nil"/>
                <w:between w:val="nil"/>
              </w:pBdr>
              <w:jc w:val="right"/>
              <w:rPr>
                <w:color w:val="000000"/>
              </w:rPr>
            </w:pPr>
          </w:p>
        </w:tc>
      </w:tr>
      <w:tr w:rsidR="00C91C77" w14:paraId="028779C8" w14:textId="77777777" w:rsidTr="00C91C77">
        <w:tc>
          <w:tcPr>
            <w:tcW w:w="6270" w:type="dxa"/>
            <w:tcBorders>
              <w:bottom w:val="single" w:sz="4" w:space="0" w:color="000000"/>
            </w:tcBorders>
            <w:vAlign w:val="bottom"/>
          </w:tcPr>
          <w:p w14:paraId="41A80423" w14:textId="77777777" w:rsidR="00D83E33" w:rsidRDefault="00BC4072">
            <w:pPr>
              <w:widowControl w:val="0"/>
              <w:pBdr>
                <w:top w:val="nil"/>
                <w:left w:val="nil"/>
                <w:bottom w:val="nil"/>
                <w:right w:val="nil"/>
                <w:between w:val="nil"/>
              </w:pBdr>
              <w:ind w:left="113" w:hanging="113"/>
              <w:rPr>
                <w:color w:val="000000"/>
              </w:rPr>
            </w:pPr>
            <w:r>
              <w:rPr>
                <w:color w:val="000000"/>
              </w:rPr>
              <w:t> </w:t>
            </w:r>
          </w:p>
        </w:tc>
        <w:tc>
          <w:tcPr>
            <w:tcW w:w="1567" w:type="dxa"/>
            <w:tcBorders>
              <w:bottom w:val="single" w:sz="4" w:space="0" w:color="000000"/>
            </w:tcBorders>
            <w:vAlign w:val="bottom"/>
          </w:tcPr>
          <w:p w14:paraId="65B37865" w14:textId="77777777" w:rsidR="00D83E33" w:rsidRDefault="00D83E33">
            <w:pPr>
              <w:widowControl w:val="0"/>
              <w:pBdr>
                <w:top w:val="nil"/>
                <w:left w:val="nil"/>
                <w:bottom w:val="nil"/>
                <w:right w:val="nil"/>
                <w:between w:val="nil"/>
              </w:pBdr>
              <w:jc w:val="right"/>
              <w:rPr>
                <w:color w:val="000000"/>
              </w:rPr>
            </w:pPr>
          </w:p>
        </w:tc>
        <w:tc>
          <w:tcPr>
            <w:tcW w:w="1567" w:type="dxa"/>
            <w:tcBorders>
              <w:bottom w:val="single" w:sz="4" w:space="0" w:color="000000"/>
            </w:tcBorders>
            <w:vAlign w:val="bottom"/>
          </w:tcPr>
          <w:p w14:paraId="311EB80C" w14:textId="77777777" w:rsidR="00D83E33" w:rsidRDefault="00D83E33">
            <w:pPr>
              <w:widowControl w:val="0"/>
              <w:pBdr>
                <w:top w:val="nil"/>
                <w:left w:val="nil"/>
                <w:bottom w:val="nil"/>
                <w:right w:val="nil"/>
                <w:between w:val="nil"/>
              </w:pBdr>
              <w:jc w:val="right"/>
              <w:rPr>
                <w:color w:val="000000"/>
              </w:rPr>
            </w:pPr>
          </w:p>
        </w:tc>
      </w:tr>
      <w:tr w:rsidR="00C91C77" w14:paraId="58F9B0DC" w14:textId="77777777" w:rsidTr="00C91C77">
        <w:tc>
          <w:tcPr>
            <w:tcW w:w="6270" w:type="dxa"/>
            <w:vAlign w:val="bottom"/>
          </w:tcPr>
          <w:p w14:paraId="2257A3D5" w14:textId="77777777" w:rsidR="00D83E33" w:rsidRDefault="00BC4072">
            <w:pPr>
              <w:widowControl w:val="0"/>
              <w:pBdr>
                <w:top w:val="nil"/>
                <w:left w:val="nil"/>
                <w:bottom w:val="nil"/>
                <w:right w:val="nil"/>
                <w:between w:val="nil"/>
              </w:pBdr>
              <w:ind w:left="113" w:hanging="113"/>
              <w:rPr>
                <w:color w:val="000000"/>
              </w:rPr>
            </w:pPr>
            <w:r>
              <w:rPr>
                <w:color w:val="000000"/>
              </w:rPr>
              <w:t> </w:t>
            </w:r>
          </w:p>
        </w:tc>
        <w:tc>
          <w:tcPr>
            <w:tcW w:w="1567" w:type="dxa"/>
            <w:vAlign w:val="bottom"/>
          </w:tcPr>
          <w:p w14:paraId="1734E25F" w14:textId="77777777" w:rsidR="00D83E33" w:rsidRDefault="00D83E33">
            <w:pPr>
              <w:widowControl w:val="0"/>
              <w:jc w:val="right"/>
              <w:rPr>
                <w:b/>
              </w:rPr>
            </w:pPr>
          </w:p>
        </w:tc>
        <w:tc>
          <w:tcPr>
            <w:tcW w:w="1567" w:type="dxa"/>
            <w:vAlign w:val="bottom"/>
          </w:tcPr>
          <w:p w14:paraId="62DD25A2" w14:textId="77777777" w:rsidR="00D83E33" w:rsidRDefault="00D83E33">
            <w:pPr>
              <w:widowControl w:val="0"/>
              <w:jc w:val="right"/>
              <w:rPr>
                <w:b/>
              </w:rPr>
            </w:pPr>
          </w:p>
        </w:tc>
      </w:tr>
      <w:tr w:rsidR="00C91C77" w14:paraId="19B35094" w14:textId="77777777" w:rsidTr="00C91C77">
        <w:tc>
          <w:tcPr>
            <w:tcW w:w="6270" w:type="dxa"/>
            <w:vAlign w:val="bottom"/>
          </w:tcPr>
          <w:p w14:paraId="7E02CF2B" w14:textId="77777777" w:rsidR="00D83E33" w:rsidRDefault="00BC4072">
            <w:pPr>
              <w:widowControl w:val="0"/>
              <w:pBdr>
                <w:top w:val="nil"/>
                <w:left w:val="nil"/>
                <w:bottom w:val="nil"/>
                <w:right w:val="nil"/>
                <w:between w:val="nil"/>
              </w:pBdr>
              <w:ind w:left="113" w:hanging="113"/>
              <w:rPr>
                <w:b/>
                <w:color w:val="000000"/>
              </w:rPr>
            </w:pPr>
            <w:r>
              <w:rPr>
                <w:b/>
                <w:color w:val="000000"/>
              </w:rPr>
              <w:t>Total cash and cash equivalents</w:t>
            </w:r>
          </w:p>
        </w:tc>
        <w:tc>
          <w:tcPr>
            <w:tcW w:w="1567" w:type="dxa"/>
            <w:vAlign w:val="bottom"/>
          </w:tcPr>
          <w:p w14:paraId="4CD2B05D" w14:textId="77777777" w:rsidR="00D83E33" w:rsidRDefault="00D83E33">
            <w:pPr>
              <w:widowControl w:val="0"/>
              <w:pBdr>
                <w:top w:val="nil"/>
                <w:left w:val="nil"/>
                <w:bottom w:val="nil"/>
                <w:right w:val="nil"/>
                <w:between w:val="nil"/>
              </w:pBdr>
              <w:jc w:val="right"/>
              <w:rPr>
                <w:b/>
                <w:color w:val="000000"/>
              </w:rPr>
            </w:pPr>
          </w:p>
        </w:tc>
        <w:tc>
          <w:tcPr>
            <w:tcW w:w="1567" w:type="dxa"/>
            <w:vAlign w:val="bottom"/>
          </w:tcPr>
          <w:p w14:paraId="49C4B07C" w14:textId="77777777" w:rsidR="00D83E33" w:rsidRDefault="00D83E33">
            <w:pPr>
              <w:widowControl w:val="0"/>
              <w:pBdr>
                <w:top w:val="nil"/>
                <w:left w:val="nil"/>
                <w:bottom w:val="nil"/>
                <w:right w:val="nil"/>
                <w:between w:val="nil"/>
              </w:pBdr>
              <w:jc w:val="right"/>
              <w:rPr>
                <w:b/>
                <w:color w:val="000000"/>
              </w:rPr>
            </w:pPr>
          </w:p>
        </w:tc>
      </w:tr>
      <w:tr w:rsidR="00C91C77" w14:paraId="6AD16B8B" w14:textId="77777777" w:rsidTr="00C91C77">
        <w:tc>
          <w:tcPr>
            <w:tcW w:w="6270" w:type="dxa"/>
            <w:tcBorders>
              <w:bottom w:val="single" w:sz="12" w:space="0" w:color="000000"/>
            </w:tcBorders>
            <w:vAlign w:val="bottom"/>
          </w:tcPr>
          <w:p w14:paraId="0F26F4D7" w14:textId="77777777" w:rsidR="00D83E33" w:rsidRDefault="00BC4072">
            <w:pPr>
              <w:widowControl w:val="0"/>
              <w:pBdr>
                <w:top w:val="nil"/>
                <w:left w:val="nil"/>
                <w:bottom w:val="nil"/>
                <w:right w:val="nil"/>
                <w:between w:val="nil"/>
              </w:pBdr>
              <w:ind w:left="113" w:hanging="113"/>
              <w:rPr>
                <w:color w:val="000000"/>
              </w:rPr>
            </w:pPr>
            <w:r>
              <w:rPr>
                <w:color w:val="000000"/>
              </w:rPr>
              <w:t> </w:t>
            </w:r>
          </w:p>
        </w:tc>
        <w:tc>
          <w:tcPr>
            <w:tcW w:w="1567" w:type="dxa"/>
            <w:tcBorders>
              <w:bottom w:val="single" w:sz="12" w:space="0" w:color="000000"/>
            </w:tcBorders>
            <w:vAlign w:val="bottom"/>
          </w:tcPr>
          <w:p w14:paraId="648BA2FC" w14:textId="77777777" w:rsidR="00D83E33" w:rsidRDefault="00D83E33">
            <w:pPr>
              <w:widowControl w:val="0"/>
              <w:jc w:val="right"/>
              <w:rPr>
                <w:b/>
              </w:rPr>
            </w:pPr>
          </w:p>
        </w:tc>
        <w:tc>
          <w:tcPr>
            <w:tcW w:w="1567" w:type="dxa"/>
            <w:tcBorders>
              <w:bottom w:val="single" w:sz="12" w:space="0" w:color="000000"/>
            </w:tcBorders>
            <w:vAlign w:val="bottom"/>
          </w:tcPr>
          <w:p w14:paraId="5BF8974E" w14:textId="77777777" w:rsidR="00D83E33" w:rsidRDefault="00D83E33">
            <w:pPr>
              <w:widowControl w:val="0"/>
              <w:jc w:val="right"/>
              <w:rPr>
                <w:b/>
              </w:rPr>
            </w:pPr>
          </w:p>
        </w:tc>
      </w:tr>
    </w:tbl>
    <w:p w14:paraId="6BAB222E" w14:textId="77777777" w:rsidR="00FA7D4D" w:rsidRDefault="00FA7D4D" w:rsidP="00FA7D4D">
      <w:pPr>
        <w:widowControl w:val="0"/>
        <w:pBdr>
          <w:top w:val="nil"/>
          <w:left w:val="nil"/>
          <w:bottom w:val="nil"/>
          <w:right w:val="nil"/>
          <w:between w:val="nil"/>
        </w:pBdr>
        <w:jc w:val="both"/>
        <w:rPr>
          <w:i/>
          <w:color w:val="FF0000"/>
          <w:sz w:val="20"/>
          <w:szCs w:val="20"/>
        </w:rPr>
      </w:pPr>
    </w:p>
    <w:p w14:paraId="3EA6037D" w14:textId="77777777" w:rsidR="00FA7D4D" w:rsidRDefault="00FA7D4D" w:rsidP="00FA7D4D">
      <w:pPr>
        <w:pStyle w:val="Continued"/>
      </w:pPr>
      <w:r>
        <w:lastRenderedPageBreak/>
        <w:t>7</w:t>
      </w:r>
      <w:r>
        <w:tab/>
        <w:t>Cash and Cash Equivalents (Continued)</w:t>
      </w:r>
    </w:p>
    <w:p w14:paraId="4C6635C0" w14:textId="5067BD82" w:rsidR="0049022E" w:rsidRPr="0049022E" w:rsidRDefault="00980873" w:rsidP="00071B94">
      <w:pPr>
        <w:widowControl w:val="0"/>
        <w:pBdr>
          <w:top w:val="nil"/>
          <w:left w:val="nil"/>
          <w:bottom w:val="nil"/>
          <w:right w:val="nil"/>
          <w:between w:val="nil"/>
        </w:pBdr>
        <w:spacing w:before="200" w:after="200"/>
        <w:jc w:val="both"/>
        <w:rPr>
          <w:color w:val="0000FF"/>
          <w:sz w:val="20"/>
          <w:szCs w:val="20"/>
        </w:rPr>
      </w:pPr>
      <w:r w:rsidRPr="00FA7D4D">
        <w:rPr>
          <w:i/>
          <w:color w:val="FF0000"/>
          <w:sz w:val="20"/>
          <w:szCs w:val="20"/>
        </w:rPr>
        <w:t xml:space="preserve"> </w:t>
      </w:r>
      <w:r w:rsidR="0049022E" w:rsidRPr="0049022E">
        <w:rPr>
          <w:b/>
          <w:i/>
          <w:color w:val="0000FF"/>
          <w:sz w:val="20"/>
          <w:szCs w:val="20"/>
        </w:rPr>
        <w:t>[</w:t>
      </w:r>
      <w:r w:rsidR="0049022E" w:rsidRPr="0049022E">
        <w:rPr>
          <w:color w:val="0000FF"/>
          <w:sz w:val="20"/>
          <w:szCs w:val="20"/>
        </w:rPr>
        <w:t>Cash and cash equivalents are items which are readily convertible to known amounts of cash and which are subject to an insignificant risk of changes in value. Cash and cash equivalents include [mandatory reserve deposits with the NBC and] all interbank placements [and reverse sale and repurchase agreements with other banks] with original maturities of less than three months. Funds restricted for a period of more than three months on origination are excluded from cash and cash equivalents, both in the statement of financial position and for the purposes of the statement of cash flows. Cash and cash equivalents are carried at AC because: (i) they are held for collection of contractual cash flows and those cash flows represent SPPI, and (ii) they are not designated at FVTPL. [Features mandated solely by legislation, such as the bail-in legislation in certain countries, do not have an impact on the SPPI test, unless they are included in contractual terms such that the feature would apply even if the legislation is subsequently changed.]</w:t>
      </w:r>
    </w:p>
    <w:p w14:paraId="21120B7D" w14:textId="48EBF3CD" w:rsid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[The payments or receipts presented in the statement of cash flows represent transfers of cash and cash equivalents by the Group, including amounts charged or credited to current accounts of the Group’s counterparties held with the Group, such as loan interest income or principal collected by charging the customer’s current account or interest payments or disbursement of loans credited to the customer’s current account, which represents cash or cash equivalent from the customer’s perspective.]</w:t>
      </w:r>
    </w:p>
    <w:p w14:paraId="36937E7F" w14:textId="2C796D3F" w:rsidR="00D83E33" w:rsidRPr="00443AF2" w:rsidRDefault="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[Mandatory cash balances with the NBC are carried at AC and represent non-interest bearing mandatory reserve deposits, which are not available to finance the Group’s day to day operations, and hence are not considered as part of cash and cash equivalents for the purposes of the consolidated statement of cash flows.]</w:t>
      </w:r>
    </w:p>
    <w:p w14:paraId="5B130F4D" w14:textId="140130BF" w:rsidR="00980873" w:rsidRDefault="00980873" w:rsidP="00980873">
      <w:pPr>
        <w:widowControl w:val="0"/>
        <w:pBdr>
          <w:top w:val="nil"/>
          <w:left w:val="nil"/>
          <w:bottom w:val="nil"/>
          <w:right w:val="nil"/>
          <w:between w:val="nil"/>
        </w:pBdr>
        <w:spacing w:before="200" w:after="200"/>
        <w:jc w:val="both"/>
        <w:rPr>
          <w:i/>
          <w:color w:val="FF0000"/>
          <w:sz w:val="20"/>
          <w:szCs w:val="20"/>
        </w:rPr>
      </w:pPr>
      <w:r>
        <w:rPr>
          <w:color w:val="000000"/>
          <w:sz w:val="20"/>
          <w:szCs w:val="20"/>
        </w:rPr>
        <w:t>The table below discloses the credit quality of cash and cash equivalents balances based on credit risk grades at 31 December </w:t>
      </w:r>
      <w:r w:rsidR="00541EBC">
        <w:rPr>
          <w:color w:val="000000"/>
          <w:sz w:val="20"/>
          <w:szCs w:val="20"/>
        </w:rPr>
        <w:t>2024</w:t>
      </w:r>
      <w:r>
        <w:rPr>
          <w:color w:val="000000"/>
          <w:sz w:val="20"/>
          <w:szCs w:val="20"/>
        </w:rPr>
        <w:t xml:space="preserve">. Refer to Note 41 for the description of the Group’s credit risk grading system. </w:t>
      </w:r>
    </w:p>
    <w:tbl>
      <w:tblPr>
        <w:tblStyle w:val="ab"/>
        <w:tblW w:w="5000" w:type="pct"/>
        <w:tblLayout w:type="fixed"/>
        <w:tblLook w:val="0000" w:firstRow="0" w:lastRow="0" w:firstColumn="0" w:lastColumn="0" w:noHBand="0" w:noVBand="0"/>
      </w:tblPr>
      <w:tblGrid>
        <w:gridCol w:w="3687"/>
        <w:gridCol w:w="1134"/>
        <w:gridCol w:w="1134"/>
        <w:gridCol w:w="1134"/>
        <w:gridCol w:w="1134"/>
        <w:gridCol w:w="1132"/>
      </w:tblGrid>
      <w:tr w:rsidR="00980873" w14:paraId="146023F5" w14:textId="77777777" w:rsidTr="00FA7D4D">
        <w:trPr>
          <w:trHeight w:val="23"/>
        </w:trPr>
        <w:tc>
          <w:tcPr>
            <w:tcW w:w="1971" w:type="pct"/>
            <w:tcBorders>
              <w:bottom w:val="single" w:sz="4" w:space="0" w:color="000000"/>
            </w:tcBorders>
            <w:vAlign w:val="bottom"/>
          </w:tcPr>
          <w:p w14:paraId="053ED2B2" w14:textId="77777777" w:rsidR="00980873" w:rsidRDefault="00980873" w:rsidP="00DD0569">
            <w:pPr>
              <w:widowControl w:val="0"/>
              <w:pBdr>
                <w:top w:val="nil"/>
                <w:left w:val="nil"/>
                <w:bottom w:val="nil"/>
                <w:right w:val="nil"/>
                <w:between w:val="nil"/>
              </w:pBdr>
              <w:ind w:left="113" w:hanging="113"/>
              <w:rPr>
                <w:b/>
                <w:i/>
                <w:color w:val="000000"/>
              </w:rPr>
            </w:pPr>
            <w:r>
              <w:rPr>
                <w:i/>
                <w:color w:val="000000"/>
              </w:rPr>
              <w:t>In thousands of EUR</w:t>
            </w:r>
          </w:p>
        </w:tc>
        <w:tc>
          <w:tcPr>
            <w:tcW w:w="606" w:type="pct"/>
            <w:tcBorders>
              <w:bottom w:val="single" w:sz="4" w:space="0" w:color="000000"/>
            </w:tcBorders>
          </w:tcPr>
          <w:p w14:paraId="5625A259" w14:textId="77777777" w:rsidR="00980873" w:rsidRDefault="00980873" w:rsidP="00DD0569">
            <w:pPr>
              <w:widowControl w:val="0"/>
              <w:pBdr>
                <w:top w:val="nil"/>
                <w:left w:val="nil"/>
                <w:bottom w:val="nil"/>
                <w:right w:val="nil"/>
                <w:between w:val="nil"/>
              </w:pBdr>
              <w:ind w:left="-113"/>
              <w:jc w:val="right"/>
              <w:rPr>
                <w:b/>
                <w:color w:val="000000"/>
              </w:rPr>
            </w:pPr>
            <w:r>
              <w:rPr>
                <w:b/>
                <w:color w:val="000000"/>
              </w:rPr>
              <w:t>Cash balances with the NBC, including mandatory reserves</w:t>
            </w:r>
          </w:p>
        </w:tc>
        <w:tc>
          <w:tcPr>
            <w:tcW w:w="606" w:type="pct"/>
            <w:tcBorders>
              <w:bottom w:val="single" w:sz="4" w:space="0" w:color="000000"/>
            </w:tcBorders>
          </w:tcPr>
          <w:p w14:paraId="7CD20632" w14:textId="77777777" w:rsidR="00980873" w:rsidRDefault="00980873" w:rsidP="00DD0569">
            <w:pPr>
              <w:widowControl w:val="0"/>
              <w:pBdr>
                <w:top w:val="nil"/>
                <w:left w:val="nil"/>
                <w:bottom w:val="nil"/>
                <w:right w:val="nil"/>
                <w:between w:val="nil"/>
              </w:pBdr>
              <w:ind w:left="-113"/>
              <w:jc w:val="right"/>
              <w:rPr>
                <w:b/>
                <w:color w:val="000000"/>
              </w:rPr>
            </w:pPr>
            <w:r>
              <w:rPr>
                <w:b/>
                <w:color w:val="000000"/>
              </w:rPr>
              <w:t xml:space="preserve">Correspon-dent accounts and overnight placements </w:t>
            </w:r>
          </w:p>
        </w:tc>
        <w:tc>
          <w:tcPr>
            <w:tcW w:w="606" w:type="pct"/>
            <w:tcBorders>
              <w:bottom w:val="single" w:sz="4" w:space="0" w:color="000000"/>
            </w:tcBorders>
          </w:tcPr>
          <w:p w14:paraId="2044B283" w14:textId="77777777" w:rsidR="00980873" w:rsidRDefault="00980873" w:rsidP="00DD0569">
            <w:pPr>
              <w:widowControl w:val="0"/>
              <w:pBdr>
                <w:top w:val="nil"/>
                <w:left w:val="nil"/>
                <w:bottom w:val="nil"/>
                <w:right w:val="nil"/>
                <w:between w:val="nil"/>
              </w:pBdr>
              <w:ind w:left="-113"/>
              <w:jc w:val="right"/>
              <w:rPr>
                <w:b/>
                <w:color w:val="000000"/>
              </w:rPr>
            </w:pPr>
            <w:r>
              <w:rPr>
                <w:b/>
                <w:color w:val="000000"/>
              </w:rPr>
              <w:t xml:space="preserve">Placements with other banks </w:t>
            </w:r>
          </w:p>
        </w:tc>
        <w:tc>
          <w:tcPr>
            <w:tcW w:w="606" w:type="pct"/>
            <w:tcBorders>
              <w:bottom w:val="single" w:sz="4" w:space="0" w:color="000000"/>
            </w:tcBorders>
          </w:tcPr>
          <w:p w14:paraId="0681194B" w14:textId="77777777" w:rsidR="00980873" w:rsidRDefault="00980873" w:rsidP="00DD0569">
            <w:pPr>
              <w:widowControl w:val="0"/>
              <w:pBdr>
                <w:top w:val="nil"/>
                <w:left w:val="nil"/>
                <w:bottom w:val="nil"/>
                <w:right w:val="nil"/>
                <w:between w:val="nil"/>
              </w:pBdr>
              <w:ind w:left="-113"/>
              <w:jc w:val="right"/>
              <w:rPr>
                <w:b/>
                <w:color w:val="000000"/>
              </w:rPr>
            </w:pPr>
            <w:r>
              <w:rPr>
                <w:b/>
                <w:color w:val="000000"/>
              </w:rPr>
              <w:t xml:space="preserve">Reverse sale and repurchase agreements with other banks </w:t>
            </w:r>
          </w:p>
        </w:tc>
        <w:tc>
          <w:tcPr>
            <w:tcW w:w="605" w:type="pct"/>
            <w:tcBorders>
              <w:bottom w:val="single" w:sz="4" w:space="0" w:color="000000"/>
            </w:tcBorders>
          </w:tcPr>
          <w:p w14:paraId="21B41396" w14:textId="77777777" w:rsidR="00980873" w:rsidRDefault="00980873" w:rsidP="00DD0569">
            <w:pPr>
              <w:widowControl w:val="0"/>
              <w:pBdr>
                <w:top w:val="nil"/>
                <w:left w:val="nil"/>
                <w:bottom w:val="nil"/>
                <w:right w:val="nil"/>
                <w:between w:val="nil"/>
              </w:pBdr>
              <w:ind w:left="-113"/>
              <w:jc w:val="right"/>
              <w:rPr>
                <w:b/>
                <w:color w:val="000000"/>
              </w:rPr>
            </w:pPr>
            <w:r>
              <w:rPr>
                <w:b/>
                <w:color w:val="000000"/>
              </w:rPr>
              <w:t xml:space="preserve">Total </w:t>
            </w:r>
          </w:p>
        </w:tc>
      </w:tr>
      <w:tr w:rsidR="00980873" w14:paraId="048F461E" w14:textId="77777777" w:rsidTr="00FA7D4D">
        <w:trPr>
          <w:trHeight w:val="23"/>
        </w:trPr>
        <w:tc>
          <w:tcPr>
            <w:tcW w:w="1971" w:type="pct"/>
            <w:vAlign w:val="bottom"/>
          </w:tcPr>
          <w:p w14:paraId="475025E6" w14:textId="77777777" w:rsidR="00980873" w:rsidRDefault="00980873" w:rsidP="00DD0569">
            <w:pPr>
              <w:widowControl w:val="0"/>
              <w:ind w:left="113" w:hanging="113"/>
            </w:pPr>
            <w:r>
              <w:t> </w:t>
            </w:r>
          </w:p>
        </w:tc>
        <w:tc>
          <w:tcPr>
            <w:tcW w:w="606" w:type="pct"/>
            <w:vAlign w:val="bottom"/>
          </w:tcPr>
          <w:p w14:paraId="68CAD5B9"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48760CFF"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73DD76F6"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1229C3E4" w14:textId="77777777" w:rsidR="00980873" w:rsidRDefault="00980873" w:rsidP="00DD0569">
            <w:pPr>
              <w:widowControl w:val="0"/>
              <w:pBdr>
                <w:top w:val="nil"/>
                <w:left w:val="nil"/>
                <w:bottom w:val="nil"/>
                <w:right w:val="nil"/>
                <w:between w:val="nil"/>
              </w:pBdr>
              <w:jc w:val="right"/>
              <w:rPr>
                <w:color w:val="000000"/>
              </w:rPr>
            </w:pPr>
          </w:p>
        </w:tc>
        <w:tc>
          <w:tcPr>
            <w:tcW w:w="605" w:type="pct"/>
            <w:vAlign w:val="bottom"/>
          </w:tcPr>
          <w:p w14:paraId="674CB381" w14:textId="77777777" w:rsidR="00980873" w:rsidRDefault="00980873" w:rsidP="00DD0569">
            <w:pPr>
              <w:widowControl w:val="0"/>
              <w:pBdr>
                <w:top w:val="nil"/>
                <w:left w:val="nil"/>
                <w:bottom w:val="nil"/>
                <w:right w:val="nil"/>
                <w:between w:val="nil"/>
              </w:pBdr>
              <w:jc w:val="right"/>
              <w:rPr>
                <w:color w:val="000000"/>
              </w:rPr>
            </w:pPr>
          </w:p>
        </w:tc>
      </w:tr>
      <w:tr w:rsidR="00980873" w14:paraId="4FAB0F55" w14:textId="77777777" w:rsidTr="00FA7D4D">
        <w:trPr>
          <w:trHeight w:val="23"/>
        </w:trPr>
        <w:tc>
          <w:tcPr>
            <w:tcW w:w="1971" w:type="pct"/>
            <w:vAlign w:val="bottom"/>
          </w:tcPr>
          <w:p w14:paraId="07818FBE" w14:textId="77777777" w:rsidR="00980873" w:rsidRDefault="00980873" w:rsidP="00DD0569">
            <w:pPr>
              <w:widowControl w:val="0"/>
              <w:pBdr>
                <w:top w:val="nil"/>
                <w:left w:val="nil"/>
                <w:bottom w:val="nil"/>
                <w:right w:val="nil"/>
                <w:between w:val="nil"/>
              </w:pBdr>
              <w:ind w:left="113" w:hanging="113"/>
              <w:rPr>
                <w:color w:val="000000"/>
              </w:rPr>
            </w:pPr>
            <w:r>
              <w:rPr>
                <w:color w:val="000000"/>
              </w:rPr>
              <w:t xml:space="preserve">- Excellent </w:t>
            </w:r>
          </w:p>
        </w:tc>
        <w:tc>
          <w:tcPr>
            <w:tcW w:w="606" w:type="pct"/>
            <w:vAlign w:val="bottom"/>
          </w:tcPr>
          <w:p w14:paraId="10743143"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54928485"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13F2D077"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65341927" w14:textId="77777777" w:rsidR="00980873" w:rsidRDefault="00980873" w:rsidP="00DD0569">
            <w:pPr>
              <w:widowControl w:val="0"/>
              <w:pBdr>
                <w:top w:val="nil"/>
                <w:left w:val="nil"/>
                <w:bottom w:val="nil"/>
                <w:right w:val="nil"/>
                <w:between w:val="nil"/>
              </w:pBdr>
              <w:jc w:val="right"/>
              <w:rPr>
                <w:color w:val="000000"/>
              </w:rPr>
            </w:pPr>
          </w:p>
        </w:tc>
        <w:tc>
          <w:tcPr>
            <w:tcW w:w="605" w:type="pct"/>
            <w:vAlign w:val="bottom"/>
          </w:tcPr>
          <w:p w14:paraId="1AB5E8A7" w14:textId="77777777" w:rsidR="00980873" w:rsidRDefault="00980873" w:rsidP="00DD0569">
            <w:pPr>
              <w:widowControl w:val="0"/>
              <w:pBdr>
                <w:top w:val="nil"/>
                <w:left w:val="nil"/>
                <w:bottom w:val="nil"/>
                <w:right w:val="nil"/>
                <w:between w:val="nil"/>
              </w:pBdr>
              <w:jc w:val="right"/>
              <w:rPr>
                <w:color w:val="000000"/>
              </w:rPr>
            </w:pPr>
          </w:p>
        </w:tc>
      </w:tr>
      <w:tr w:rsidR="00980873" w14:paraId="49887F47" w14:textId="77777777" w:rsidTr="00FA7D4D">
        <w:trPr>
          <w:trHeight w:val="23"/>
        </w:trPr>
        <w:tc>
          <w:tcPr>
            <w:tcW w:w="1971" w:type="pct"/>
            <w:vAlign w:val="bottom"/>
          </w:tcPr>
          <w:p w14:paraId="70780059" w14:textId="77777777" w:rsidR="00980873" w:rsidRDefault="00980873" w:rsidP="00DD0569">
            <w:pPr>
              <w:widowControl w:val="0"/>
              <w:pBdr>
                <w:top w:val="nil"/>
                <w:left w:val="nil"/>
                <w:bottom w:val="nil"/>
                <w:right w:val="nil"/>
                <w:between w:val="nil"/>
              </w:pBdr>
              <w:ind w:left="113" w:hanging="113"/>
              <w:rPr>
                <w:color w:val="000000"/>
              </w:rPr>
            </w:pPr>
            <w:r>
              <w:rPr>
                <w:color w:val="000000"/>
              </w:rPr>
              <w:t>- Good</w:t>
            </w:r>
          </w:p>
        </w:tc>
        <w:tc>
          <w:tcPr>
            <w:tcW w:w="606" w:type="pct"/>
            <w:vAlign w:val="bottom"/>
          </w:tcPr>
          <w:p w14:paraId="46B259AE"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43275216"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5684E2B8"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42FA86AF" w14:textId="77777777" w:rsidR="00980873" w:rsidRDefault="00980873" w:rsidP="00DD0569">
            <w:pPr>
              <w:widowControl w:val="0"/>
              <w:pBdr>
                <w:top w:val="nil"/>
                <w:left w:val="nil"/>
                <w:bottom w:val="nil"/>
                <w:right w:val="nil"/>
                <w:between w:val="nil"/>
              </w:pBdr>
              <w:jc w:val="right"/>
              <w:rPr>
                <w:color w:val="000000"/>
              </w:rPr>
            </w:pPr>
          </w:p>
        </w:tc>
        <w:tc>
          <w:tcPr>
            <w:tcW w:w="605" w:type="pct"/>
            <w:vAlign w:val="bottom"/>
          </w:tcPr>
          <w:p w14:paraId="200DB940" w14:textId="77777777" w:rsidR="00980873" w:rsidRDefault="00980873" w:rsidP="00DD0569">
            <w:pPr>
              <w:widowControl w:val="0"/>
              <w:pBdr>
                <w:top w:val="nil"/>
                <w:left w:val="nil"/>
                <w:bottom w:val="nil"/>
                <w:right w:val="nil"/>
                <w:between w:val="nil"/>
              </w:pBdr>
              <w:jc w:val="right"/>
              <w:rPr>
                <w:color w:val="000000"/>
              </w:rPr>
            </w:pPr>
          </w:p>
        </w:tc>
      </w:tr>
      <w:tr w:rsidR="00980873" w14:paraId="662F001F" w14:textId="77777777" w:rsidTr="00FA7D4D">
        <w:trPr>
          <w:trHeight w:val="23"/>
        </w:trPr>
        <w:tc>
          <w:tcPr>
            <w:tcW w:w="1971" w:type="pct"/>
            <w:vAlign w:val="bottom"/>
          </w:tcPr>
          <w:p w14:paraId="14879505" w14:textId="77777777" w:rsidR="00980873" w:rsidRDefault="00980873" w:rsidP="00DD0569">
            <w:pPr>
              <w:widowControl w:val="0"/>
              <w:pBdr>
                <w:top w:val="nil"/>
                <w:left w:val="nil"/>
                <w:bottom w:val="nil"/>
                <w:right w:val="nil"/>
                <w:between w:val="nil"/>
              </w:pBdr>
              <w:ind w:left="113" w:hanging="113"/>
              <w:rPr>
                <w:color w:val="000000"/>
              </w:rPr>
            </w:pPr>
            <w:r>
              <w:rPr>
                <w:color w:val="000000"/>
              </w:rPr>
              <w:t>- Satisfactory</w:t>
            </w:r>
          </w:p>
        </w:tc>
        <w:tc>
          <w:tcPr>
            <w:tcW w:w="606" w:type="pct"/>
            <w:vAlign w:val="bottom"/>
          </w:tcPr>
          <w:p w14:paraId="306CAC92"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54252904"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30A35F56"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068D3AC4" w14:textId="77777777" w:rsidR="00980873" w:rsidRDefault="00980873" w:rsidP="00DD0569">
            <w:pPr>
              <w:widowControl w:val="0"/>
              <w:pBdr>
                <w:top w:val="nil"/>
                <w:left w:val="nil"/>
                <w:bottom w:val="nil"/>
                <w:right w:val="nil"/>
                <w:between w:val="nil"/>
              </w:pBdr>
              <w:jc w:val="right"/>
              <w:rPr>
                <w:color w:val="000000"/>
              </w:rPr>
            </w:pPr>
          </w:p>
        </w:tc>
        <w:tc>
          <w:tcPr>
            <w:tcW w:w="605" w:type="pct"/>
            <w:vAlign w:val="bottom"/>
          </w:tcPr>
          <w:p w14:paraId="7314207B" w14:textId="77777777" w:rsidR="00980873" w:rsidRDefault="00980873" w:rsidP="00DD0569">
            <w:pPr>
              <w:widowControl w:val="0"/>
              <w:pBdr>
                <w:top w:val="nil"/>
                <w:left w:val="nil"/>
                <w:bottom w:val="nil"/>
                <w:right w:val="nil"/>
                <w:between w:val="nil"/>
              </w:pBdr>
              <w:jc w:val="right"/>
              <w:rPr>
                <w:color w:val="000000"/>
              </w:rPr>
            </w:pPr>
          </w:p>
        </w:tc>
      </w:tr>
      <w:tr w:rsidR="00980873" w14:paraId="444A31B0" w14:textId="77777777" w:rsidTr="00FA7D4D">
        <w:trPr>
          <w:trHeight w:val="23"/>
        </w:trPr>
        <w:tc>
          <w:tcPr>
            <w:tcW w:w="1971" w:type="pct"/>
            <w:vAlign w:val="bottom"/>
          </w:tcPr>
          <w:p w14:paraId="3424A5C4" w14:textId="77777777" w:rsidR="00980873" w:rsidRDefault="00980873" w:rsidP="00DD0569">
            <w:pPr>
              <w:widowControl w:val="0"/>
              <w:pBdr>
                <w:top w:val="nil"/>
                <w:left w:val="nil"/>
                <w:bottom w:val="nil"/>
                <w:right w:val="nil"/>
                <w:between w:val="nil"/>
              </w:pBdr>
              <w:ind w:left="113" w:hanging="113"/>
              <w:rPr>
                <w:color w:val="000000"/>
              </w:rPr>
            </w:pPr>
            <w:r>
              <w:rPr>
                <w:color w:val="000000"/>
              </w:rPr>
              <w:t>- Special monitoring</w:t>
            </w:r>
          </w:p>
        </w:tc>
        <w:tc>
          <w:tcPr>
            <w:tcW w:w="606" w:type="pct"/>
            <w:vAlign w:val="bottom"/>
          </w:tcPr>
          <w:p w14:paraId="7CF81762"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54A5F9DF"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7E6FAFCF" w14:textId="77777777" w:rsidR="00980873" w:rsidRDefault="00980873" w:rsidP="00DD0569">
            <w:pPr>
              <w:widowControl w:val="0"/>
              <w:pBdr>
                <w:top w:val="nil"/>
                <w:left w:val="nil"/>
                <w:bottom w:val="nil"/>
                <w:right w:val="nil"/>
                <w:between w:val="nil"/>
              </w:pBdr>
              <w:jc w:val="right"/>
              <w:rPr>
                <w:color w:val="000000"/>
              </w:rPr>
            </w:pPr>
          </w:p>
        </w:tc>
        <w:tc>
          <w:tcPr>
            <w:tcW w:w="606" w:type="pct"/>
            <w:vAlign w:val="bottom"/>
          </w:tcPr>
          <w:p w14:paraId="1DB88333" w14:textId="77777777" w:rsidR="00980873" w:rsidRDefault="00980873" w:rsidP="00DD0569">
            <w:pPr>
              <w:widowControl w:val="0"/>
              <w:pBdr>
                <w:top w:val="nil"/>
                <w:left w:val="nil"/>
                <w:bottom w:val="nil"/>
                <w:right w:val="nil"/>
                <w:between w:val="nil"/>
              </w:pBdr>
              <w:jc w:val="right"/>
              <w:rPr>
                <w:color w:val="000000"/>
              </w:rPr>
            </w:pPr>
          </w:p>
        </w:tc>
        <w:tc>
          <w:tcPr>
            <w:tcW w:w="605" w:type="pct"/>
            <w:vAlign w:val="bottom"/>
          </w:tcPr>
          <w:p w14:paraId="4A8DFDB0" w14:textId="77777777" w:rsidR="00980873" w:rsidRDefault="00980873" w:rsidP="00DD0569">
            <w:pPr>
              <w:widowControl w:val="0"/>
              <w:pBdr>
                <w:top w:val="nil"/>
                <w:left w:val="nil"/>
                <w:bottom w:val="nil"/>
                <w:right w:val="nil"/>
                <w:between w:val="nil"/>
              </w:pBdr>
              <w:jc w:val="right"/>
              <w:rPr>
                <w:color w:val="000000"/>
              </w:rPr>
            </w:pPr>
          </w:p>
        </w:tc>
      </w:tr>
      <w:tr w:rsidR="00980873" w14:paraId="706FDC6D" w14:textId="77777777" w:rsidTr="00FA7D4D">
        <w:trPr>
          <w:trHeight w:val="23"/>
        </w:trPr>
        <w:tc>
          <w:tcPr>
            <w:tcW w:w="1971" w:type="pct"/>
            <w:tcBorders>
              <w:bottom w:val="single" w:sz="4" w:space="0" w:color="000000"/>
            </w:tcBorders>
            <w:shd w:val="clear" w:color="auto" w:fill="auto"/>
            <w:vAlign w:val="bottom"/>
          </w:tcPr>
          <w:p w14:paraId="6D61043A" w14:textId="77777777" w:rsidR="00980873" w:rsidRDefault="00980873" w:rsidP="00DD0569">
            <w:pPr>
              <w:widowControl w:val="0"/>
              <w:pBdr>
                <w:top w:val="nil"/>
                <w:left w:val="nil"/>
                <w:bottom w:val="nil"/>
                <w:right w:val="nil"/>
                <w:between w:val="nil"/>
              </w:pBdr>
              <w:ind w:left="113" w:hanging="113"/>
              <w:rPr>
                <w:color w:val="000000"/>
              </w:rPr>
            </w:pPr>
            <w:r>
              <w:rPr>
                <w:color w:val="000000"/>
              </w:rPr>
              <w:t> </w:t>
            </w:r>
          </w:p>
        </w:tc>
        <w:tc>
          <w:tcPr>
            <w:tcW w:w="606" w:type="pct"/>
            <w:tcBorders>
              <w:bottom w:val="single" w:sz="4" w:space="0" w:color="000000"/>
            </w:tcBorders>
            <w:shd w:val="clear" w:color="auto" w:fill="auto"/>
            <w:vAlign w:val="bottom"/>
          </w:tcPr>
          <w:p w14:paraId="3DEC165D" w14:textId="77777777" w:rsidR="00980873" w:rsidRDefault="00980873" w:rsidP="00DD0569">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522B9D7" w14:textId="77777777" w:rsidR="00980873" w:rsidRDefault="00980873" w:rsidP="00DD0569">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0402E98" w14:textId="77777777" w:rsidR="00980873" w:rsidRDefault="00980873" w:rsidP="00DD0569">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9484D9D" w14:textId="77777777" w:rsidR="00980873" w:rsidRDefault="00980873" w:rsidP="00DD0569">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65D67C6A" w14:textId="77777777" w:rsidR="00980873" w:rsidRDefault="00980873" w:rsidP="00DD0569">
            <w:pPr>
              <w:widowControl w:val="0"/>
              <w:pBdr>
                <w:top w:val="nil"/>
                <w:left w:val="nil"/>
                <w:bottom w:val="nil"/>
                <w:right w:val="nil"/>
                <w:between w:val="nil"/>
              </w:pBdr>
              <w:jc w:val="right"/>
              <w:rPr>
                <w:color w:val="000000"/>
              </w:rPr>
            </w:pPr>
          </w:p>
        </w:tc>
      </w:tr>
      <w:tr w:rsidR="00980873" w14:paraId="24A4A0EA" w14:textId="77777777" w:rsidTr="00FA7D4D">
        <w:trPr>
          <w:trHeight w:val="23"/>
        </w:trPr>
        <w:tc>
          <w:tcPr>
            <w:tcW w:w="1971" w:type="pct"/>
            <w:tcBorders>
              <w:top w:val="single" w:sz="4" w:space="0" w:color="000000"/>
            </w:tcBorders>
            <w:shd w:val="clear" w:color="auto" w:fill="auto"/>
            <w:vAlign w:val="bottom"/>
          </w:tcPr>
          <w:p w14:paraId="0E682D59" w14:textId="77777777" w:rsidR="00980873" w:rsidRDefault="00980873" w:rsidP="00DD0569">
            <w:pPr>
              <w:widowControl w:val="0"/>
              <w:pBdr>
                <w:top w:val="nil"/>
                <w:left w:val="nil"/>
                <w:bottom w:val="nil"/>
                <w:right w:val="nil"/>
                <w:between w:val="nil"/>
              </w:pBdr>
              <w:ind w:left="113" w:hanging="113"/>
              <w:rPr>
                <w:color w:val="000000"/>
              </w:rPr>
            </w:pPr>
            <w:r>
              <w:rPr>
                <w:color w:val="000000"/>
              </w:rPr>
              <w:t> </w:t>
            </w:r>
          </w:p>
        </w:tc>
        <w:tc>
          <w:tcPr>
            <w:tcW w:w="606" w:type="pct"/>
            <w:tcBorders>
              <w:top w:val="single" w:sz="4" w:space="0" w:color="000000"/>
            </w:tcBorders>
            <w:shd w:val="clear" w:color="auto" w:fill="auto"/>
            <w:vAlign w:val="bottom"/>
          </w:tcPr>
          <w:p w14:paraId="4DA06A9A" w14:textId="77777777" w:rsidR="00980873" w:rsidRDefault="00980873" w:rsidP="00DD0569">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E26636C" w14:textId="77777777" w:rsidR="00980873" w:rsidRDefault="00980873" w:rsidP="00DD0569">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1C0F908" w14:textId="77777777" w:rsidR="00980873" w:rsidRDefault="00980873" w:rsidP="00DD0569">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31E76BC" w14:textId="77777777" w:rsidR="00980873" w:rsidRDefault="00980873" w:rsidP="00DD0569">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62BDC111" w14:textId="77777777" w:rsidR="00980873" w:rsidRDefault="00980873" w:rsidP="00DD0569">
            <w:pPr>
              <w:widowControl w:val="0"/>
              <w:pBdr>
                <w:top w:val="nil"/>
                <w:left w:val="nil"/>
                <w:bottom w:val="nil"/>
                <w:right w:val="nil"/>
                <w:between w:val="nil"/>
              </w:pBdr>
              <w:jc w:val="right"/>
              <w:rPr>
                <w:color w:val="000000"/>
              </w:rPr>
            </w:pPr>
          </w:p>
        </w:tc>
      </w:tr>
      <w:tr w:rsidR="00980873" w14:paraId="434BAD0E" w14:textId="77777777" w:rsidTr="00FA7D4D">
        <w:trPr>
          <w:trHeight w:val="23"/>
        </w:trPr>
        <w:tc>
          <w:tcPr>
            <w:tcW w:w="1971" w:type="pct"/>
            <w:shd w:val="clear" w:color="auto" w:fill="auto"/>
            <w:vAlign w:val="bottom"/>
          </w:tcPr>
          <w:p w14:paraId="5ABDEE86" w14:textId="77777777" w:rsidR="00980873" w:rsidRDefault="00980873" w:rsidP="00DD0569">
            <w:pPr>
              <w:widowControl w:val="0"/>
              <w:pBdr>
                <w:top w:val="nil"/>
                <w:left w:val="nil"/>
                <w:bottom w:val="nil"/>
                <w:right w:val="nil"/>
                <w:between w:val="nil"/>
              </w:pBdr>
              <w:ind w:left="113" w:hanging="113"/>
              <w:rPr>
                <w:color w:val="000000"/>
              </w:rPr>
            </w:pPr>
            <w:r>
              <w:rPr>
                <w:b/>
                <w:color w:val="000000"/>
              </w:rPr>
              <w:t>Total cash and cash equivalents, excluding cash on hand</w:t>
            </w:r>
          </w:p>
        </w:tc>
        <w:tc>
          <w:tcPr>
            <w:tcW w:w="606" w:type="pct"/>
            <w:shd w:val="clear" w:color="auto" w:fill="auto"/>
            <w:vAlign w:val="bottom"/>
          </w:tcPr>
          <w:p w14:paraId="43746964" w14:textId="77777777" w:rsidR="00980873" w:rsidRDefault="00980873" w:rsidP="00DD0569">
            <w:pPr>
              <w:widowControl w:val="0"/>
              <w:pBdr>
                <w:top w:val="nil"/>
                <w:left w:val="nil"/>
                <w:bottom w:val="nil"/>
                <w:right w:val="nil"/>
                <w:between w:val="nil"/>
              </w:pBdr>
              <w:jc w:val="right"/>
              <w:rPr>
                <w:color w:val="000000"/>
              </w:rPr>
            </w:pPr>
          </w:p>
        </w:tc>
        <w:tc>
          <w:tcPr>
            <w:tcW w:w="606" w:type="pct"/>
            <w:shd w:val="clear" w:color="auto" w:fill="auto"/>
            <w:vAlign w:val="bottom"/>
          </w:tcPr>
          <w:p w14:paraId="63FBEB95" w14:textId="77777777" w:rsidR="00980873" w:rsidRDefault="00980873" w:rsidP="00DD0569">
            <w:pPr>
              <w:widowControl w:val="0"/>
              <w:pBdr>
                <w:top w:val="nil"/>
                <w:left w:val="nil"/>
                <w:bottom w:val="nil"/>
                <w:right w:val="nil"/>
                <w:between w:val="nil"/>
              </w:pBdr>
              <w:jc w:val="right"/>
              <w:rPr>
                <w:color w:val="000000"/>
              </w:rPr>
            </w:pPr>
          </w:p>
        </w:tc>
        <w:tc>
          <w:tcPr>
            <w:tcW w:w="606" w:type="pct"/>
            <w:shd w:val="clear" w:color="auto" w:fill="auto"/>
            <w:vAlign w:val="bottom"/>
          </w:tcPr>
          <w:p w14:paraId="52898D31" w14:textId="77777777" w:rsidR="00980873" w:rsidRDefault="00980873" w:rsidP="00DD0569">
            <w:pPr>
              <w:widowControl w:val="0"/>
              <w:pBdr>
                <w:top w:val="nil"/>
                <w:left w:val="nil"/>
                <w:bottom w:val="nil"/>
                <w:right w:val="nil"/>
                <w:between w:val="nil"/>
              </w:pBdr>
              <w:jc w:val="right"/>
              <w:rPr>
                <w:color w:val="000000"/>
              </w:rPr>
            </w:pPr>
          </w:p>
        </w:tc>
        <w:tc>
          <w:tcPr>
            <w:tcW w:w="606" w:type="pct"/>
            <w:shd w:val="clear" w:color="auto" w:fill="auto"/>
            <w:vAlign w:val="bottom"/>
          </w:tcPr>
          <w:p w14:paraId="01FA7762" w14:textId="77777777" w:rsidR="00980873" w:rsidRDefault="00980873" w:rsidP="00DD0569">
            <w:pPr>
              <w:widowControl w:val="0"/>
              <w:pBdr>
                <w:top w:val="nil"/>
                <w:left w:val="nil"/>
                <w:bottom w:val="nil"/>
                <w:right w:val="nil"/>
                <w:between w:val="nil"/>
              </w:pBdr>
              <w:jc w:val="right"/>
              <w:rPr>
                <w:color w:val="000000"/>
              </w:rPr>
            </w:pPr>
          </w:p>
        </w:tc>
        <w:tc>
          <w:tcPr>
            <w:tcW w:w="605" w:type="pct"/>
            <w:shd w:val="clear" w:color="auto" w:fill="auto"/>
            <w:vAlign w:val="bottom"/>
          </w:tcPr>
          <w:p w14:paraId="00C29145" w14:textId="77777777" w:rsidR="00980873" w:rsidRDefault="00980873" w:rsidP="00DD0569">
            <w:pPr>
              <w:widowControl w:val="0"/>
              <w:pBdr>
                <w:top w:val="nil"/>
                <w:left w:val="nil"/>
                <w:bottom w:val="nil"/>
                <w:right w:val="nil"/>
                <w:between w:val="nil"/>
              </w:pBdr>
              <w:jc w:val="right"/>
              <w:rPr>
                <w:color w:val="000000"/>
              </w:rPr>
            </w:pPr>
          </w:p>
        </w:tc>
      </w:tr>
      <w:tr w:rsidR="00980873" w14:paraId="6BAA020C" w14:textId="77777777" w:rsidTr="00FA7D4D">
        <w:trPr>
          <w:trHeight w:val="23"/>
        </w:trPr>
        <w:tc>
          <w:tcPr>
            <w:tcW w:w="1971" w:type="pct"/>
            <w:tcBorders>
              <w:bottom w:val="single" w:sz="12" w:space="0" w:color="000000"/>
            </w:tcBorders>
            <w:shd w:val="clear" w:color="auto" w:fill="auto"/>
            <w:vAlign w:val="bottom"/>
          </w:tcPr>
          <w:p w14:paraId="493ACA45" w14:textId="77777777" w:rsidR="00980873" w:rsidRDefault="00980873" w:rsidP="00DD0569">
            <w:pPr>
              <w:widowControl w:val="0"/>
              <w:pBdr>
                <w:top w:val="nil"/>
                <w:left w:val="nil"/>
                <w:bottom w:val="nil"/>
                <w:right w:val="nil"/>
                <w:between w:val="nil"/>
              </w:pBdr>
              <w:ind w:left="113" w:hanging="113"/>
              <w:rPr>
                <w:color w:val="000000"/>
              </w:rPr>
            </w:pPr>
            <w:r>
              <w:rPr>
                <w:color w:val="000000"/>
              </w:rPr>
              <w:t> </w:t>
            </w:r>
          </w:p>
        </w:tc>
        <w:tc>
          <w:tcPr>
            <w:tcW w:w="606" w:type="pct"/>
            <w:tcBorders>
              <w:bottom w:val="single" w:sz="12" w:space="0" w:color="000000"/>
            </w:tcBorders>
            <w:shd w:val="clear" w:color="auto" w:fill="auto"/>
            <w:vAlign w:val="bottom"/>
          </w:tcPr>
          <w:p w14:paraId="6F6E9E24" w14:textId="77777777" w:rsidR="00980873" w:rsidRDefault="00980873" w:rsidP="00DD0569">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1B5CC8F" w14:textId="77777777" w:rsidR="00980873" w:rsidRDefault="00980873" w:rsidP="00DD0569">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67538A1" w14:textId="77777777" w:rsidR="00980873" w:rsidRDefault="00980873" w:rsidP="00DD0569">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A0A588C" w14:textId="77777777" w:rsidR="00980873" w:rsidRDefault="00980873" w:rsidP="00DD0569">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09F3DE76" w14:textId="77777777" w:rsidR="00980873" w:rsidRDefault="00980873" w:rsidP="00DD0569">
            <w:pPr>
              <w:widowControl w:val="0"/>
              <w:pBdr>
                <w:top w:val="nil"/>
                <w:left w:val="nil"/>
                <w:bottom w:val="nil"/>
                <w:right w:val="nil"/>
                <w:between w:val="nil"/>
              </w:pBdr>
              <w:jc w:val="right"/>
              <w:rPr>
                <w:color w:val="000000"/>
              </w:rPr>
            </w:pPr>
          </w:p>
        </w:tc>
      </w:tr>
    </w:tbl>
    <w:p w14:paraId="66F8BB8E" w14:textId="77777777" w:rsidR="00FA7D4D" w:rsidRDefault="00FA7D4D" w:rsidP="00FA7D4D">
      <w:pPr>
        <w:pStyle w:val="Continued"/>
      </w:pPr>
      <w:r>
        <w:lastRenderedPageBreak/>
        <w:t>7</w:t>
      </w:r>
      <w:r>
        <w:tab/>
        <w:t>Cash and Cash Equivalents (Continued)</w:t>
      </w:r>
    </w:p>
    <w:p w14:paraId="5368A008" w14:textId="0CB7D7C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credit quality of cash and cash equivalents balances based on credit risk grades at 31</w:t>
      </w:r>
      <w:r w:rsidR="00181687">
        <w:rPr>
          <w:color w:val="000000"/>
          <w:sz w:val="20"/>
          <w:szCs w:val="20"/>
        </w:rPr>
        <w:t> December </w:t>
      </w:r>
      <w:r w:rsidR="00541EBC">
        <w:rPr>
          <w:color w:val="000000"/>
          <w:sz w:val="20"/>
          <w:szCs w:val="20"/>
        </w:rPr>
        <w:t>2023</w:t>
      </w:r>
      <w:r>
        <w:rPr>
          <w:color w:val="000000"/>
          <w:sz w:val="20"/>
          <w:szCs w:val="20"/>
        </w:rPr>
        <w:t xml:space="preserve"> is as follows.</w:t>
      </w:r>
    </w:p>
    <w:tbl>
      <w:tblPr>
        <w:tblStyle w:val="ac"/>
        <w:tblW w:w="5000" w:type="pct"/>
        <w:tblLayout w:type="fixed"/>
        <w:tblLook w:val="0000" w:firstRow="0" w:lastRow="0" w:firstColumn="0" w:lastColumn="0" w:noHBand="0" w:noVBand="0"/>
      </w:tblPr>
      <w:tblGrid>
        <w:gridCol w:w="3687"/>
        <w:gridCol w:w="1134"/>
        <w:gridCol w:w="1134"/>
        <w:gridCol w:w="1134"/>
        <w:gridCol w:w="1134"/>
        <w:gridCol w:w="1132"/>
      </w:tblGrid>
      <w:tr w:rsidR="005041C2" w14:paraId="767F6F6D" w14:textId="77777777" w:rsidTr="001B330E">
        <w:trPr>
          <w:trHeight w:val="23"/>
        </w:trPr>
        <w:tc>
          <w:tcPr>
            <w:tcW w:w="1971" w:type="pct"/>
            <w:tcBorders>
              <w:bottom w:val="single" w:sz="4" w:space="0" w:color="000000"/>
            </w:tcBorders>
            <w:vAlign w:val="bottom"/>
          </w:tcPr>
          <w:p w14:paraId="6FD04133" w14:textId="1F5F3DC5" w:rsidR="00D83E33"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236229C1" w14:textId="63602D3D" w:rsidR="00D83E33" w:rsidRDefault="00BC4072">
            <w:pPr>
              <w:widowControl w:val="0"/>
              <w:pBdr>
                <w:top w:val="nil"/>
                <w:left w:val="nil"/>
                <w:bottom w:val="nil"/>
                <w:right w:val="nil"/>
                <w:between w:val="nil"/>
              </w:pBdr>
              <w:ind w:left="-113"/>
              <w:jc w:val="right"/>
              <w:rPr>
                <w:b/>
                <w:color w:val="000000"/>
              </w:rPr>
            </w:pPr>
            <w:r>
              <w:rPr>
                <w:b/>
                <w:color w:val="000000"/>
              </w:rPr>
              <w:t xml:space="preserve">Cash balances with the </w:t>
            </w:r>
            <w:r w:rsidR="00613F4D">
              <w:rPr>
                <w:b/>
                <w:color w:val="000000"/>
              </w:rPr>
              <w:t>NBC</w:t>
            </w:r>
            <w:r>
              <w:rPr>
                <w:b/>
                <w:color w:val="000000"/>
              </w:rPr>
              <w:t>, including mandatory reserves</w:t>
            </w:r>
          </w:p>
        </w:tc>
        <w:tc>
          <w:tcPr>
            <w:tcW w:w="606" w:type="pct"/>
            <w:tcBorders>
              <w:bottom w:val="single" w:sz="4" w:space="0" w:color="000000"/>
            </w:tcBorders>
          </w:tcPr>
          <w:p w14:paraId="07E89E12" w14:textId="16CAFD46" w:rsidR="00D83E33" w:rsidRDefault="00BC4072">
            <w:pPr>
              <w:widowControl w:val="0"/>
              <w:pBdr>
                <w:top w:val="nil"/>
                <w:left w:val="nil"/>
                <w:bottom w:val="nil"/>
                <w:right w:val="nil"/>
                <w:between w:val="nil"/>
              </w:pBdr>
              <w:ind w:left="-113"/>
              <w:jc w:val="right"/>
              <w:rPr>
                <w:b/>
                <w:color w:val="000000"/>
              </w:rPr>
            </w:pPr>
            <w:r>
              <w:rPr>
                <w:b/>
                <w:color w:val="000000"/>
              </w:rPr>
              <w:t>Correspon-dent accounts and overnight placements</w:t>
            </w:r>
          </w:p>
        </w:tc>
        <w:tc>
          <w:tcPr>
            <w:tcW w:w="606" w:type="pct"/>
            <w:tcBorders>
              <w:bottom w:val="single" w:sz="4" w:space="0" w:color="000000"/>
            </w:tcBorders>
          </w:tcPr>
          <w:p w14:paraId="0204BA90" w14:textId="04632E97" w:rsidR="00D83E33" w:rsidRDefault="00BC4072">
            <w:pPr>
              <w:widowControl w:val="0"/>
              <w:pBdr>
                <w:top w:val="nil"/>
                <w:left w:val="nil"/>
                <w:bottom w:val="nil"/>
                <w:right w:val="nil"/>
                <w:between w:val="nil"/>
              </w:pBdr>
              <w:ind w:left="-113"/>
              <w:jc w:val="right"/>
              <w:rPr>
                <w:b/>
                <w:color w:val="000000"/>
              </w:rPr>
            </w:pPr>
            <w:r>
              <w:rPr>
                <w:b/>
                <w:color w:val="000000"/>
              </w:rPr>
              <w:t>Placements with other banks</w:t>
            </w:r>
          </w:p>
        </w:tc>
        <w:tc>
          <w:tcPr>
            <w:tcW w:w="606" w:type="pct"/>
            <w:tcBorders>
              <w:bottom w:val="single" w:sz="4" w:space="0" w:color="000000"/>
            </w:tcBorders>
          </w:tcPr>
          <w:p w14:paraId="0A75C543" w14:textId="6BFF0742" w:rsidR="00D83E33" w:rsidRDefault="00BC4072">
            <w:pPr>
              <w:widowControl w:val="0"/>
              <w:pBdr>
                <w:top w:val="nil"/>
                <w:left w:val="nil"/>
                <w:bottom w:val="nil"/>
                <w:right w:val="nil"/>
                <w:between w:val="nil"/>
              </w:pBdr>
              <w:ind w:left="-113"/>
              <w:jc w:val="right"/>
              <w:rPr>
                <w:b/>
                <w:color w:val="000000"/>
              </w:rPr>
            </w:pPr>
            <w:r>
              <w:rPr>
                <w:b/>
                <w:color w:val="000000"/>
              </w:rPr>
              <w:t>Reverse sale and repurchase agreements with other banks</w:t>
            </w:r>
          </w:p>
        </w:tc>
        <w:tc>
          <w:tcPr>
            <w:tcW w:w="606" w:type="pct"/>
            <w:tcBorders>
              <w:bottom w:val="single" w:sz="4" w:space="0" w:color="000000"/>
            </w:tcBorders>
          </w:tcPr>
          <w:p w14:paraId="631D4F7E" w14:textId="31C655DB" w:rsidR="00D83E33" w:rsidRDefault="00BC4072">
            <w:pPr>
              <w:widowControl w:val="0"/>
              <w:pBdr>
                <w:top w:val="nil"/>
                <w:left w:val="nil"/>
                <w:bottom w:val="nil"/>
                <w:right w:val="nil"/>
                <w:between w:val="nil"/>
              </w:pBdr>
              <w:ind w:left="-113"/>
              <w:jc w:val="right"/>
              <w:rPr>
                <w:b/>
                <w:color w:val="000000"/>
              </w:rPr>
            </w:pPr>
            <w:r>
              <w:rPr>
                <w:b/>
                <w:color w:val="000000"/>
              </w:rPr>
              <w:t>Total</w:t>
            </w:r>
          </w:p>
        </w:tc>
      </w:tr>
      <w:tr w:rsidR="005041C2" w14:paraId="738FA6AB" w14:textId="77777777" w:rsidTr="005041C2">
        <w:trPr>
          <w:trHeight w:val="23"/>
        </w:trPr>
        <w:tc>
          <w:tcPr>
            <w:tcW w:w="1971" w:type="pct"/>
            <w:vAlign w:val="bottom"/>
          </w:tcPr>
          <w:p w14:paraId="11E29147" w14:textId="77777777" w:rsidR="00D83E33" w:rsidRDefault="00BC4072">
            <w:pPr>
              <w:widowControl w:val="0"/>
              <w:ind w:left="113" w:hanging="113"/>
            </w:pPr>
            <w:r>
              <w:t> </w:t>
            </w:r>
          </w:p>
        </w:tc>
        <w:tc>
          <w:tcPr>
            <w:tcW w:w="606" w:type="pct"/>
            <w:vAlign w:val="bottom"/>
          </w:tcPr>
          <w:p w14:paraId="3BEBFAD4"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67026D08"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631DB9D3"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066EBF67"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61B18D89" w14:textId="77777777" w:rsidR="00D83E33" w:rsidRDefault="00D83E33">
            <w:pPr>
              <w:widowControl w:val="0"/>
              <w:pBdr>
                <w:top w:val="nil"/>
                <w:left w:val="nil"/>
                <w:bottom w:val="nil"/>
                <w:right w:val="nil"/>
                <w:between w:val="nil"/>
              </w:pBdr>
              <w:jc w:val="right"/>
              <w:rPr>
                <w:color w:val="000000"/>
              </w:rPr>
            </w:pPr>
          </w:p>
        </w:tc>
      </w:tr>
      <w:tr w:rsidR="005041C2" w14:paraId="6CB003BA" w14:textId="77777777" w:rsidTr="005041C2">
        <w:trPr>
          <w:trHeight w:val="23"/>
        </w:trPr>
        <w:tc>
          <w:tcPr>
            <w:tcW w:w="1971" w:type="pct"/>
            <w:vAlign w:val="bottom"/>
          </w:tcPr>
          <w:p w14:paraId="68F9EF85" w14:textId="77777777" w:rsidR="00D83E33" w:rsidRDefault="00BC4072">
            <w:pPr>
              <w:widowControl w:val="0"/>
              <w:pBdr>
                <w:top w:val="nil"/>
                <w:left w:val="nil"/>
                <w:bottom w:val="nil"/>
                <w:right w:val="nil"/>
                <w:between w:val="nil"/>
              </w:pBdr>
              <w:ind w:left="113" w:hanging="113"/>
              <w:rPr>
                <w:color w:val="000000"/>
              </w:rPr>
            </w:pPr>
            <w:r>
              <w:rPr>
                <w:color w:val="000000"/>
              </w:rPr>
              <w:t xml:space="preserve">- Excellent </w:t>
            </w:r>
          </w:p>
        </w:tc>
        <w:tc>
          <w:tcPr>
            <w:tcW w:w="606" w:type="pct"/>
            <w:vAlign w:val="bottom"/>
          </w:tcPr>
          <w:p w14:paraId="5766B5D4"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1A5A712A"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1AB4285C"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0C7D0B92"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343191B8" w14:textId="77777777" w:rsidR="00D83E33" w:rsidRDefault="00D83E33">
            <w:pPr>
              <w:widowControl w:val="0"/>
              <w:pBdr>
                <w:top w:val="nil"/>
                <w:left w:val="nil"/>
                <w:bottom w:val="nil"/>
                <w:right w:val="nil"/>
                <w:between w:val="nil"/>
              </w:pBdr>
              <w:jc w:val="right"/>
              <w:rPr>
                <w:color w:val="000000"/>
              </w:rPr>
            </w:pPr>
          </w:p>
        </w:tc>
      </w:tr>
      <w:tr w:rsidR="005041C2" w14:paraId="5A44A232" w14:textId="77777777" w:rsidTr="005041C2">
        <w:trPr>
          <w:trHeight w:val="23"/>
        </w:trPr>
        <w:tc>
          <w:tcPr>
            <w:tcW w:w="1971" w:type="pct"/>
            <w:vAlign w:val="bottom"/>
          </w:tcPr>
          <w:p w14:paraId="378BE624" w14:textId="77777777" w:rsidR="00D83E33" w:rsidRDefault="00BC4072">
            <w:pPr>
              <w:widowControl w:val="0"/>
              <w:pBdr>
                <w:top w:val="nil"/>
                <w:left w:val="nil"/>
                <w:bottom w:val="nil"/>
                <w:right w:val="nil"/>
                <w:between w:val="nil"/>
              </w:pBdr>
              <w:ind w:left="113" w:hanging="113"/>
              <w:rPr>
                <w:color w:val="000000"/>
              </w:rPr>
            </w:pPr>
            <w:r>
              <w:rPr>
                <w:color w:val="000000"/>
              </w:rPr>
              <w:t>- Good</w:t>
            </w:r>
          </w:p>
        </w:tc>
        <w:tc>
          <w:tcPr>
            <w:tcW w:w="606" w:type="pct"/>
            <w:vAlign w:val="bottom"/>
          </w:tcPr>
          <w:p w14:paraId="0D08B864"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2296887B"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03FE9A59"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5973FCA1"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51AFA473" w14:textId="77777777" w:rsidR="00D83E33" w:rsidRDefault="00D83E33">
            <w:pPr>
              <w:widowControl w:val="0"/>
              <w:pBdr>
                <w:top w:val="nil"/>
                <w:left w:val="nil"/>
                <w:bottom w:val="nil"/>
                <w:right w:val="nil"/>
                <w:between w:val="nil"/>
              </w:pBdr>
              <w:jc w:val="right"/>
              <w:rPr>
                <w:color w:val="000000"/>
              </w:rPr>
            </w:pPr>
          </w:p>
        </w:tc>
      </w:tr>
      <w:tr w:rsidR="005041C2" w14:paraId="07D9F9FC" w14:textId="77777777" w:rsidTr="005041C2">
        <w:trPr>
          <w:trHeight w:val="23"/>
        </w:trPr>
        <w:tc>
          <w:tcPr>
            <w:tcW w:w="1971" w:type="pct"/>
            <w:vAlign w:val="bottom"/>
          </w:tcPr>
          <w:p w14:paraId="160F50E0" w14:textId="77777777" w:rsidR="00D83E33" w:rsidRDefault="00BC4072">
            <w:pPr>
              <w:widowControl w:val="0"/>
              <w:pBdr>
                <w:top w:val="nil"/>
                <w:left w:val="nil"/>
                <w:bottom w:val="nil"/>
                <w:right w:val="nil"/>
                <w:between w:val="nil"/>
              </w:pBdr>
              <w:ind w:left="113" w:hanging="113"/>
              <w:rPr>
                <w:color w:val="000000"/>
              </w:rPr>
            </w:pPr>
            <w:r>
              <w:rPr>
                <w:color w:val="000000"/>
              </w:rPr>
              <w:t>- Satisfactory</w:t>
            </w:r>
          </w:p>
        </w:tc>
        <w:tc>
          <w:tcPr>
            <w:tcW w:w="606" w:type="pct"/>
            <w:vAlign w:val="bottom"/>
          </w:tcPr>
          <w:p w14:paraId="649E6CC0"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2CBEF79D"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352E1129"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4355248A"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3467A963" w14:textId="77777777" w:rsidR="00D83E33" w:rsidRDefault="00D83E33">
            <w:pPr>
              <w:widowControl w:val="0"/>
              <w:pBdr>
                <w:top w:val="nil"/>
                <w:left w:val="nil"/>
                <w:bottom w:val="nil"/>
                <w:right w:val="nil"/>
                <w:between w:val="nil"/>
              </w:pBdr>
              <w:jc w:val="right"/>
              <w:rPr>
                <w:color w:val="000000"/>
              </w:rPr>
            </w:pPr>
          </w:p>
        </w:tc>
      </w:tr>
      <w:tr w:rsidR="005041C2" w14:paraId="3853A1E9" w14:textId="77777777" w:rsidTr="005041C2">
        <w:trPr>
          <w:trHeight w:val="23"/>
        </w:trPr>
        <w:tc>
          <w:tcPr>
            <w:tcW w:w="1971" w:type="pct"/>
            <w:vAlign w:val="bottom"/>
          </w:tcPr>
          <w:p w14:paraId="5057E2CE" w14:textId="77777777" w:rsidR="00D83E33" w:rsidRDefault="00BC4072">
            <w:pPr>
              <w:widowControl w:val="0"/>
              <w:pBdr>
                <w:top w:val="nil"/>
                <w:left w:val="nil"/>
                <w:bottom w:val="nil"/>
                <w:right w:val="nil"/>
                <w:between w:val="nil"/>
              </w:pBdr>
              <w:ind w:left="113" w:hanging="113"/>
              <w:rPr>
                <w:color w:val="000000"/>
              </w:rPr>
            </w:pPr>
            <w:r>
              <w:rPr>
                <w:color w:val="000000"/>
              </w:rPr>
              <w:t>- Special monitoring</w:t>
            </w:r>
          </w:p>
        </w:tc>
        <w:tc>
          <w:tcPr>
            <w:tcW w:w="606" w:type="pct"/>
            <w:vAlign w:val="bottom"/>
          </w:tcPr>
          <w:p w14:paraId="56A4E3C2"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0EC26B09"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5390FEC7"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7C8AEF35" w14:textId="77777777" w:rsidR="00D83E33" w:rsidRDefault="00D83E33">
            <w:pPr>
              <w:widowControl w:val="0"/>
              <w:pBdr>
                <w:top w:val="nil"/>
                <w:left w:val="nil"/>
                <w:bottom w:val="nil"/>
                <w:right w:val="nil"/>
                <w:between w:val="nil"/>
              </w:pBdr>
              <w:jc w:val="right"/>
              <w:rPr>
                <w:color w:val="000000"/>
              </w:rPr>
            </w:pPr>
          </w:p>
        </w:tc>
        <w:tc>
          <w:tcPr>
            <w:tcW w:w="606" w:type="pct"/>
            <w:vAlign w:val="bottom"/>
          </w:tcPr>
          <w:p w14:paraId="7907B910" w14:textId="77777777" w:rsidR="00D83E33" w:rsidRDefault="00D83E33">
            <w:pPr>
              <w:widowControl w:val="0"/>
              <w:pBdr>
                <w:top w:val="nil"/>
                <w:left w:val="nil"/>
                <w:bottom w:val="nil"/>
                <w:right w:val="nil"/>
                <w:between w:val="nil"/>
              </w:pBdr>
              <w:jc w:val="right"/>
              <w:rPr>
                <w:color w:val="000000"/>
              </w:rPr>
            </w:pPr>
          </w:p>
        </w:tc>
      </w:tr>
      <w:tr w:rsidR="005041C2" w14:paraId="6D9AB48D" w14:textId="77777777" w:rsidTr="005041C2">
        <w:trPr>
          <w:trHeight w:val="23"/>
        </w:trPr>
        <w:tc>
          <w:tcPr>
            <w:tcW w:w="1971" w:type="pct"/>
            <w:tcBorders>
              <w:bottom w:val="single" w:sz="4" w:space="0" w:color="000000"/>
            </w:tcBorders>
            <w:shd w:val="clear" w:color="auto" w:fill="auto"/>
            <w:vAlign w:val="bottom"/>
          </w:tcPr>
          <w:p w14:paraId="7B772E4C" w14:textId="77777777" w:rsidR="00D83E33" w:rsidRDefault="00BC4072">
            <w:pPr>
              <w:widowControl w:val="0"/>
              <w:pBdr>
                <w:top w:val="nil"/>
                <w:left w:val="nil"/>
                <w:bottom w:val="nil"/>
                <w:right w:val="nil"/>
                <w:between w:val="nil"/>
              </w:pBdr>
              <w:ind w:left="113" w:hanging="113"/>
              <w:rPr>
                <w:color w:val="000000"/>
              </w:rPr>
            </w:pPr>
            <w:r>
              <w:rPr>
                <w:color w:val="000000"/>
              </w:rPr>
              <w:t> </w:t>
            </w:r>
          </w:p>
        </w:tc>
        <w:tc>
          <w:tcPr>
            <w:tcW w:w="606" w:type="pct"/>
            <w:tcBorders>
              <w:bottom w:val="single" w:sz="4" w:space="0" w:color="000000"/>
            </w:tcBorders>
            <w:shd w:val="clear" w:color="auto" w:fill="auto"/>
            <w:vAlign w:val="bottom"/>
          </w:tcPr>
          <w:p w14:paraId="263824D4" w14:textId="77777777" w:rsidR="00D83E33"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2E99F5F" w14:textId="77777777" w:rsidR="00D83E33"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793EEDA" w14:textId="77777777" w:rsidR="00D83E33"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13F1E40" w14:textId="77777777" w:rsidR="00D83E33"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D785D28" w14:textId="77777777" w:rsidR="00D83E33" w:rsidRDefault="00D83E33">
            <w:pPr>
              <w:widowControl w:val="0"/>
              <w:pBdr>
                <w:top w:val="nil"/>
                <w:left w:val="nil"/>
                <w:bottom w:val="nil"/>
                <w:right w:val="nil"/>
                <w:between w:val="nil"/>
              </w:pBdr>
              <w:jc w:val="right"/>
              <w:rPr>
                <w:color w:val="000000"/>
              </w:rPr>
            </w:pPr>
          </w:p>
        </w:tc>
      </w:tr>
      <w:tr w:rsidR="005041C2" w14:paraId="16652D54" w14:textId="77777777" w:rsidTr="005041C2">
        <w:trPr>
          <w:trHeight w:val="23"/>
        </w:trPr>
        <w:tc>
          <w:tcPr>
            <w:tcW w:w="1971" w:type="pct"/>
            <w:tcBorders>
              <w:top w:val="single" w:sz="4" w:space="0" w:color="000000"/>
            </w:tcBorders>
            <w:shd w:val="clear" w:color="auto" w:fill="auto"/>
            <w:vAlign w:val="bottom"/>
          </w:tcPr>
          <w:p w14:paraId="630D6A13" w14:textId="77777777" w:rsidR="00D83E33" w:rsidRDefault="00BC4072">
            <w:pPr>
              <w:widowControl w:val="0"/>
              <w:pBdr>
                <w:top w:val="nil"/>
                <w:left w:val="nil"/>
                <w:bottom w:val="nil"/>
                <w:right w:val="nil"/>
                <w:between w:val="nil"/>
              </w:pBdr>
              <w:ind w:left="113" w:hanging="113"/>
              <w:rPr>
                <w:color w:val="000000"/>
              </w:rPr>
            </w:pPr>
            <w:r>
              <w:rPr>
                <w:color w:val="000000"/>
              </w:rPr>
              <w:t> </w:t>
            </w:r>
          </w:p>
        </w:tc>
        <w:tc>
          <w:tcPr>
            <w:tcW w:w="606" w:type="pct"/>
            <w:tcBorders>
              <w:top w:val="single" w:sz="4" w:space="0" w:color="000000"/>
            </w:tcBorders>
            <w:shd w:val="clear" w:color="auto" w:fill="auto"/>
            <w:vAlign w:val="bottom"/>
          </w:tcPr>
          <w:p w14:paraId="14AB47A0" w14:textId="77777777" w:rsidR="00D83E33"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9E78E1C" w14:textId="77777777" w:rsidR="00D83E33"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3437881" w14:textId="77777777" w:rsidR="00D83E33"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E72A669" w14:textId="77777777" w:rsidR="00D83E33"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F66D0CE" w14:textId="77777777" w:rsidR="00D83E33" w:rsidRDefault="00D83E33">
            <w:pPr>
              <w:widowControl w:val="0"/>
              <w:pBdr>
                <w:top w:val="nil"/>
                <w:left w:val="nil"/>
                <w:bottom w:val="nil"/>
                <w:right w:val="nil"/>
                <w:between w:val="nil"/>
              </w:pBdr>
              <w:jc w:val="right"/>
              <w:rPr>
                <w:color w:val="000000"/>
              </w:rPr>
            </w:pPr>
          </w:p>
        </w:tc>
      </w:tr>
      <w:tr w:rsidR="005041C2" w14:paraId="77D2F9A9" w14:textId="77777777" w:rsidTr="005041C2">
        <w:trPr>
          <w:trHeight w:val="23"/>
        </w:trPr>
        <w:tc>
          <w:tcPr>
            <w:tcW w:w="1971" w:type="pct"/>
            <w:shd w:val="clear" w:color="auto" w:fill="auto"/>
            <w:vAlign w:val="bottom"/>
          </w:tcPr>
          <w:p w14:paraId="4288B5B9" w14:textId="77777777" w:rsidR="00D83E33" w:rsidRDefault="00BC4072">
            <w:pPr>
              <w:widowControl w:val="0"/>
              <w:pBdr>
                <w:top w:val="nil"/>
                <w:left w:val="nil"/>
                <w:bottom w:val="nil"/>
                <w:right w:val="nil"/>
                <w:between w:val="nil"/>
              </w:pBdr>
              <w:ind w:left="113" w:hanging="113"/>
              <w:rPr>
                <w:color w:val="000000"/>
              </w:rPr>
            </w:pPr>
            <w:r>
              <w:rPr>
                <w:b/>
                <w:color w:val="000000"/>
              </w:rPr>
              <w:t>Total cash and cash equivalents, excluding cash on hand</w:t>
            </w:r>
          </w:p>
        </w:tc>
        <w:tc>
          <w:tcPr>
            <w:tcW w:w="606" w:type="pct"/>
            <w:shd w:val="clear" w:color="auto" w:fill="auto"/>
            <w:vAlign w:val="bottom"/>
          </w:tcPr>
          <w:p w14:paraId="11B05B9E" w14:textId="77777777" w:rsidR="00D83E33"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B774F8" w14:textId="77777777" w:rsidR="00D83E33"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0F2D40" w14:textId="77777777" w:rsidR="00D83E33"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47E451" w14:textId="77777777" w:rsidR="00D83E33"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0EB8C3" w14:textId="77777777" w:rsidR="00D83E33" w:rsidRDefault="00D83E33">
            <w:pPr>
              <w:widowControl w:val="0"/>
              <w:pBdr>
                <w:top w:val="nil"/>
                <w:left w:val="nil"/>
                <w:bottom w:val="nil"/>
                <w:right w:val="nil"/>
                <w:between w:val="nil"/>
              </w:pBdr>
              <w:jc w:val="right"/>
              <w:rPr>
                <w:color w:val="000000"/>
              </w:rPr>
            </w:pPr>
          </w:p>
        </w:tc>
      </w:tr>
      <w:tr w:rsidR="005041C2" w14:paraId="3555957C" w14:textId="77777777" w:rsidTr="005041C2">
        <w:trPr>
          <w:trHeight w:val="23"/>
        </w:trPr>
        <w:tc>
          <w:tcPr>
            <w:tcW w:w="1971" w:type="pct"/>
            <w:tcBorders>
              <w:bottom w:val="single" w:sz="12" w:space="0" w:color="000000"/>
            </w:tcBorders>
            <w:shd w:val="clear" w:color="auto" w:fill="auto"/>
            <w:vAlign w:val="bottom"/>
          </w:tcPr>
          <w:p w14:paraId="73C0CD04" w14:textId="77777777" w:rsidR="00D83E33" w:rsidRDefault="00BC4072">
            <w:pPr>
              <w:widowControl w:val="0"/>
              <w:pBdr>
                <w:top w:val="nil"/>
                <w:left w:val="nil"/>
                <w:bottom w:val="nil"/>
                <w:right w:val="nil"/>
                <w:between w:val="nil"/>
              </w:pBdr>
              <w:ind w:left="113" w:hanging="113"/>
              <w:rPr>
                <w:color w:val="000000"/>
              </w:rPr>
            </w:pPr>
            <w:r>
              <w:rPr>
                <w:color w:val="000000"/>
              </w:rPr>
              <w:t> </w:t>
            </w:r>
          </w:p>
        </w:tc>
        <w:tc>
          <w:tcPr>
            <w:tcW w:w="606" w:type="pct"/>
            <w:tcBorders>
              <w:bottom w:val="single" w:sz="12" w:space="0" w:color="000000"/>
            </w:tcBorders>
            <w:shd w:val="clear" w:color="auto" w:fill="auto"/>
            <w:vAlign w:val="bottom"/>
          </w:tcPr>
          <w:p w14:paraId="4685FFC6" w14:textId="77777777" w:rsidR="00D83E33"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DB2295F" w14:textId="77777777" w:rsidR="00D83E33"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6E9DE34" w14:textId="77777777" w:rsidR="00D83E33"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4FE4FAC" w14:textId="77777777" w:rsidR="00D83E33"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B437113" w14:textId="77777777" w:rsidR="00D83E33" w:rsidRDefault="00D83E33">
            <w:pPr>
              <w:widowControl w:val="0"/>
              <w:pBdr>
                <w:top w:val="nil"/>
                <w:left w:val="nil"/>
                <w:bottom w:val="nil"/>
                <w:right w:val="nil"/>
                <w:between w:val="nil"/>
              </w:pBdr>
              <w:jc w:val="right"/>
              <w:rPr>
                <w:color w:val="000000"/>
              </w:rPr>
            </w:pPr>
          </w:p>
        </w:tc>
      </w:tr>
    </w:tbl>
    <w:p w14:paraId="2F5476A3"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For the purpose of ECL measurement cash and cash equivalents balances are included in Stage 1. The ECL for these balances represents an insignificant amount, therefore the Group did not recognise any credit loss allowance for cash and cash equivalents. Refer to Note 41 for the ECL measurement approach. </w:t>
      </w:r>
    </w:p>
    <w:p w14:paraId="565814B8" w14:textId="42AEDA82"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Except for reverse sale and repurchase agreements, amounts of cash and cash equivalents are not collateralised. The Group has a right to sell or repledge securities with a fair value of </w:t>
      </w:r>
      <w:r w:rsidR="00D73799">
        <w:rPr>
          <w:color w:val="000000"/>
          <w:sz w:val="20"/>
          <w:szCs w:val="20"/>
        </w:rPr>
        <w:t>EUR</w:t>
      </w:r>
      <w:r>
        <w:rPr>
          <w:color w:val="000000"/>
          <w:sz w:val="20"/>
          <w:szCs w:val="20"/>
        </w:rPr>
        <w:t xml:space="preserve"> 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thousand) received under reverse sale and repurchase agreements. </w:t>
      </w:r>
      <w:r>
        <w:rPr>
          <w:i/>
          <w:color w:val="FF0000"/>
          <w:sz w:val="20"/>
          <w:szCs w:val="20"/>
        </w:rPr>
        <w:t>[</w:t>
      </w:r>
      <w:r w:rsidR="0036608B">
        <w:rPr>
          <w:i/>
          <w:color w:val="FF0000"/>
          <w:sz w:val="20"/>
          <w:szCs w:val="20"/>
        </w:rPr>
        <w:t>Tailor to d</w:t>
      </w:r>
      <w:r>
        <w:rPr>
          <w:i/>
          <w:color w:val="FF0000"/>
          <w:sz w:val="20"/>
          <w:szCs w:val="20"/>
        </w:rPr>
        <w:t>isclose any material terms and conditions associated with the use of the collateral.]</w:t>
      </w:r>
    </w:p>
    <w:p w14:paraId="4CF58E82" w14:textId="76473F55" w:rsidR="00954FAA"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Investing transactions that did not require the use of cash and cash equivalents, and were excluded from the statement of cash flows are as follows:</w:t>
      </w:r>
    </w:p>
    <w:tbl>
      <w:tblPr>
        <w:tblStyle w:val="ad"/>
        <w:tblW w:w="5000" w:type="pct"/>
        <w:tblLayout w:type="fixed"/>
        <w:tblLook w:val="0000" w:firstRow="0" w:lastRow="0" w:firstColumn="0" w:lastColumn="0" w:noHBand="0" w:noVBand="0"/>
      </w:tblPr>
      <w:tblGrid>
        <w:gridCol w:w="6227"/>
        <w:gridCol w:w="1564"/>
        <w:gridCol w:w="1564"/>
      </w:tblGrid>
      <w:tr w:rsidR="005041C2" w14:paraId="512464F1" w14:textId="77777777" w:rsidTr="005041C2">
        <w:trPr>
          <w:trHeight w:val="23"/>
        </w:trPr>
        <w:tc>
          <w:tcPr>
            <w:tcW w:w="3328" w:type="pct"/>
            <w:tcBorders>
              <w:bottom w:val="single" w:sz="4" w:space="0" w:color="000000"/>
            </w:tcBorders>
            <w:vAlign w:val="bottom"/>
          </w:tcPr>
          <w:p w14:paraId="466698AC" w14:textId="69ABB7B5" w:rsidR="00D83E33"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36" w:type="pct"/>
            <w:tcBorders>
              <w:bottom w:val="single" w:sz="4" w:space="0" w:color="000000"/>
            </w:tcBorders>
            <w:vAlign w:val="bottom"/>
          </w:tcPr>
          <w:p w14:paraId="68FBCAAF" w14:textId="5F9A1CE3" w:rsidR="00D83E33" w:rsidRDefault="00541EBC">
            <w:pPr>
              <w:widowControl w:val="0"/>
              <w:pBdr>
                <w:top w:val="nil"/>
                <w:left w:val="nil"/>
                <w:bottom w:val="nil"/>
                <w:right w:val="nil"/>
                <w:between w:val="nil"/>
              </w:pBdr>
              <w:jc w:val="right"/>
              <w:rPr>
                <w:b/>
                <w:color w:val="000000"/>
              </w:rPr>
            </w:pPr>
            <w:r>
              <w:rPr>
                <w:b/>
                <w:color w:val="000000"/>
              </w:rPr>
              <w:t>2024</w:t>
            </w:r>
          </w:p>
        </w:tc>
        <w:tc>
          <w:tcPr>
            <w:tcW w:w="836" w:type="pct"/>
            <w:tcBorders>
              <w:bottom w:val="single" w:sz="4" w:space="0" w:color="000000"/>
            </w:tcBorders>
            <w:vAlign w:val="bottom"/>
          </w:tcPr>
          <w:p w14:paraId="1E9B915D" w14:textId="36531A7D" w:rsidR="00D83E33" w:rsidRDefault="00541EBC">
            <w:pPr>
              <w:widowControl w:val="0"/>
              <w:pBdr>
                <w:top w:val="nil"/>
                <w:left w:val="nil"/>
                <w:bottom w:val="nil"/>
                <w:right w:val="nil"/>
                <w:between w:val="nil"/>
              </w:pBdr>
              <w:jc w:val="right"/>
              <w:rPr>
                <w:b/>
                <w:color w:val="000000"/>
              </w:rPr>
            </w:pPr>
            <w:r>
              <w:rPr>
                <w:b/>
                <w:color w:val="000000"/>
              </w:rPr>
              <w:t>2023</w:t>
            </w:r>
          </w:p>
        </w:tc>
      </w:tr>
      <w:tr w:rsidR="005041C2" w14:paraId="128FDC30" w14:textId="77777777" w:rsidTr="005041C2">
        <w:trPr>
          <w:trHeight w:val="23"/>
        </w:trPr>
        <w:tc>
          <w:tcPr>
            <w:tcW w:w="3328" w:type="pct"/>
            <w:vAlign w:val="bottom"/>
          </w:tcPr>
          <w:p w14:paraId="7C414850" w14:textId="77777777" w:rsidR="00D83E33" w:rsidRDefault="00BC4072">
            <w:pPr>
              <w:widowControl w:val="0"/>
              <w:pBdr>
                <w:top w:val="nil"/>
                <w:left w:val="nil"/>
                <w:bottom w:val="nil"/>
                <w:right w:val="nil"/>
                <w:between w:val="nil"/>
              </w:pBdr>
              <w:ind w:left="113" w:hanging="113"/>
              <w:rPr>
                <w:b/>
                <w:color w:val="000000"/>
              </w:rPr>
            </w:pPr>
            <w:r>
              <w:rPr>
                <w:b/>
                <w:color w:val="000000"/>
              </w:rPr>
              <w:t> </w:t>
            </w:r>
          </w:p>
        </w:tc>
        <w:tc>
          <w:tcPr>
            <w:tcW w:w="836" w:type="pct"/>
            <w:vAlign w:val="bottom"/>
          </w:tcPr>
          <w:p w14:paraId="6F80324D" w14:textId="77777777" w:rsidR="00D83E33" w:rsidRDefault="00D83E33">
            <w:pPr>
              <w:widowControl w:val="0"/>
              <w:pBdr>
                <w:top w:val="nil"/>
                <w:left w:val="nil"/>
                <w:bottom w:val="nil"/>
                <w:right w:val="nil"/>
                <w:between w:val="nil"/>
              </w:pBdr>
              <w:jc w:val="right"/>
              <w:rPr>
                <w:b/>
                <w:color w:val="000000"/>
              </w:rPr>
            </w:pPr>
          </w:p>
        </w:tc>
        <w:tc>
          <w:tcPr>
            <w:tcW w:w="836" w:type="pct"/>
            <w:vAlign w:val="bottom"/>
          </w:tcPr>
          <w:p w14:paraId="24169CF3" w14:textId="77777777" w:rsidR="00D83E33" w:rsidRDefault="00D83E33">
            <w:pPr>
              <w:widowControl w:val="0"/>
              <w:pBdr>
                <w:top w:val="nil"/>
                <w:left w:val="nil"/>
                <w:bottom w:val="nil"/>
                <w:right w:val="nil"/>
                <w:between w:val="nil"/>
              </w:pBdr>
              <w:jc w:val="right"/>
              <w:rPr>
                <w:b/>
                <w:color w:val="000000"/>
              </w:rPr>
            </w:pPr>
          </w:p>
        </w:tc>
      </w:tr>
      <w:tr w:rsidR="005041C2" w14:paraId="3113A10A" w14:textId="77777777" w:rsidTr="005041C2">
        <w:trPr>
          <w:trHeight w:val="23"/>
        </w:trPr>
        <w:tc>
          <w:tcPr>
            <w:tcW w:w="3328" w:type="pct"/>
            <w:vAlign w:val="bottom"/>
          </w:tcPr>
          <w:p w14:paraId="33FEE2F9" w14:textId="77777777" w:rsidR="00D83E33" w:rsidRDefault="00BC4072">
            <w:pPr>
              <w:widowControl w:val="0"/>
              <w:pBdr>
                <w:top w:val="nil"/>
                <w:left w:val="nil"/>
                <w:bottom w:val="nil"/>
                <w:right w:val="nil"/>
                <w:between w:val="nil"/>
              </w:pBdr>
              <w:ind w:left="113" w:hanging="113"/>
              <w:rPr>
                <w:b/>
                <w:color w:val="000000"/>
              </w:rPr>
            </w:pPr>
            <w:r>
              <w:rPr>
                <w:b/>
                <w:color w:val="000000"/>
              </w:rPr>
              <w:t>Non-cash investing activities</w:t>
            </w:r>
          </w:p>
        </w:tc>
        <w:tc>
          <w:tcPr>
            <w:tcW w:w="836" w:type="pct"/>
            <w:vAlign w:val="bottom"/>
          </w:tcPr>
          <w:p w14:paraId="54563383" w14:textId="77777777" w:rsidR="00D83E33" w:rsidRDefault="00D83E33">
            <w:pPr>
              <w:widowControl w:val="0"/>
              <w:pBdr>
                <w:top w:val="nil"/>
                <w:left w:val="nil"/>
                <w:bottom w:val="nil"/>
                <w:right w:val="nil"/>
                <w:between w:val="nil"/>
              </w:pBdr>
              <w:jc w:val="right"/>
              <w:rPr>
                <w:b/>
                <w:color w:val="000000"/>
              </w:rPr>
            </w:pPr>
          </w:p>
        </w:tc>
        <w:tc>
          <w:tcPr>
            <w:tcW w:w="836" w:type="pct"/>
            <w:vAlign w:val="bottom"/>
          </w:tcPr>
          <w:p w14:paraId="0A030641" w14:textId="77777777" w:rsidR="00D83E33" w:rsidRDefault="00D83E33">
            <w:pPr>
              <w:widowControl w:val="0"/>
              <w:pBdr>
                <w:top w:val="nil"/>
                <w:left w:val="nil"/>
                <w:bottom w:val="nil"/>
                <w:right w:val="nil"/>
                <w:between w:val="nil"/>
              </w:pBdr>
              <w:jc w:val="right"/>
              <w:rPr>
                <w:b/>
                <w:color w:val="000000"/>
              </w:rPr>
            </w:pPr>
          </w:p>
        </w:tc>
      </w:tr>
      <w:tr w:rsidR="005041C2" w14:paraId="59115111" w14:textId="77777777" w:rsidTr="005041C2">
        <w:trPr>
          <w:trHeight w:val="23"/>
        </w:trPr>
        <w:tc>
          <w:tcPr>
            <w:tcW w:w="3328" w:type="pct"/>
            <w:vAlign w:val="bottom"/>
          </w:tcPr>
          <w:p w14:paraId="5915C3AA" w14:textId="77777777" w:rsidR="00D83E33" w:rsidRDefault="00BC4072">
            <w:pPr>
              <w:widowControl w:val="0"/>
              <w:pBdr>
                <w:top w:val="nil"/>
                <w:left w:val="nil"/>
                <w:bottom w:val="nil"/>
                <w:right w:val="nil"/>
                <w:between w:val="nil"/>
              </w:pBdr>
              <w:ind w:left="113" w:hanging="113"/>
              <w:rPr>
                <w:color w:val="000000"/>
              </w:rPr>
            </w:pPr>
            <w:r>
              <w:rPr>
                <w:color w:val="000000"/>
              </w:rPr>
              <w:t>Acquisition of debt securities at FVOCI in exchange for ______ [</w:t>
            </w:r>
            <w:r>
              <w:rPr>
                <w:i/>
                <w:color w:val="000000"/>
              </w:rPr>
              <w:t>e.g. assumed liability]</w:t>
            </w:r>
          </w:p>
        </w:tc>
        <w:tc>
          <w:tcPr>
            <w:tcW w:w="836" w:type="pct"/>
            <w:vAlign w:val="bottom"/>
          </w:tcPr>
          <w:p w14:paraId="33003217"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298E7453" w14:textId="77777777" w:rsidR="00D83E33" w:rsidRDefault="00D83E33">
            <w:pPr>
              <w:widowControl w:val="0"/>
              <w:pBdr>
                <w:top w:val="nil"/>
                <w:left w:val="nil"/>
                <w:bottom w:val="nil"/>
                <w:right w:val="nil"/>
                <w:between w:val="nil"/>
              </w:pBdr>
              <w:jc w:val="right"/>
              <w:rPr>
                <w:color w:val="000000"/>
              </w:rPr>
            </w:pPr>
          </w:p>
        </w:tc>
      </w:tr>
      <w:tr w:rsidR="005041C2" w14:paraId="6B0B90A1" w14:textId="77777777" w:rsidTr="005041C2">
        <w:trPr>
          <w:trHeight w:val="23"/>
        </w:trPr>
        <w:tc>
          <w:tcPr>
            <w:tcW w:w="3328" w:type="pct"/>
            <w:vAlign w:val="bottom"/>
          </w:tcPr>
          <w:p w14:paraId="085FECDE" w14:textId="77777777" w:rsidR="00D83E33" w:rsidRDefault="00BC4072">
            <w:pPr>
              <w:widowControl w:val="0"/>
              <w:pBdr>
                <w:top w:val="nil"/>
                <w:left w:val="nil"/>
                <w:bottom w:val="nil"/>
                <w:right w:val="nil"/>
                <w:between w:val="nil"/>
              </w:pBdr>
              <w:ind w:left="113" w:hanging="113"/>
              <w:rPr>
                <w:color w:val="000000"/>
              </w:rPr>
            </w:pPr>
            <w:r>
              <w:rPr>
                <w:color w:val="000000"/>
              </w:rPr>
              <w:t xml:space="preserve">Proceeds from disposal [and redemption] of debt securities at FVOCI in the form of _____ </w:t>
            </w:r>
            <w:r>
              <w:rPr>
                <w:i/>
                <w:color w:val="000000"/>
              </w:rPr>
              <w:t>[e.g. investment property]</w:t>
            </w:r>
          </w:p>
        </w:tc>
        <w:tc>
          <w:tcPr>
            <w:tcW w:w="836" w:type="pct"/>
            <w:vAlign w:val="bottom"/>
          </w:tcPr>
          <w:p w14:paraId="630EC581"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48BBE34B" w14:textId="77777777" w:rsidR="00D83E33" w:rsidRDefault="00D83E33">
            <w:pPr>
              <w:widowControl w:val="0"/>
              <w:pBdr>
                <w:top w:val="nil"/>
                <w:left w:val="nil"/>
                <w:bottom w:val="nil"/>
                <w:right w:val="nil"/>
                <w:between w:val="nil"/>
              </w:pBdr>
              <w:jc w:val="right"/>
              <w:rPr>
                <w:color w:val="000000"/>
              </w:rPr>
            </w:pPr>
          </w:p>
        </w:tc>
      </w:tr>
      <w:tr w:rsidR="005041C2" w14:paraId="6A0AC35A" w14:textId="77777777" w:rsidTr="005041C2">
        <w:trPr>
          <w:trHeight w:val="23"/>
        </w:trPr>
        <w:tc>
          <w:tcPr>
            <w:tcW w:w="3328" w:type="pct"/>
            <w:vAlign w:val="bottom"/>
          </w:tcPr>
          <w:p w14:paraId="35B86F45" w14:textId="77777777" w:rsidR="00D83E33" w:rsidRDefault="00BC4072">
            <w:pPr>
              <w:widowControl w:val="0"/>
              <w:pBdr>
                <w:top w:val="nil"/>
                <w:left w:val="nil"/>
                <w:bottom w:val="nil"/>
                <w:right w:val="nil"/>
                <w:between w:val="nil"/>
              </w:pBdr>
              <w:ind w:left="113" w:hanging="113"/>
              <w:rPr>
                <w:color w:val="000000"/>
              </w:rPr>
            </w:pPr>
            <w:r>
              <w:rPr>
                <w:color w:val="000000"/>
              </w:rPr>
              <w:t>Acquisition of equity securities at FVOCI in exchange for ______</w:t>
            </w:r>
          </w:p>
        </w:tc>
        <w:tc>
          <w:tcPr>
            <w:tcW w:w="836" w:type="pct"/>
            <w:vAlign w:val="bottom"/>
          </w:tcPr>
          <w:p w14:paraId="7F916A6D"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08ACD8ED" w14:textId="77777777" w:rsidR="00D83E33" w:rsidRDefault="00D83E33">
            <w:pPr>
              <w:widowControl w:val="0"/>
              <w:pBdr>
                <w:top w:val="nil"/>
                <w:left w:val="nil"/>
                <w:bottom w:val="nil"/>
                <w:right w:val="nil"/>
                <w:between w:val="nil"/>
              </w:pBdr>
              <w:jc w:val="right"/>
              <w:rPr>
                <w:color w:val="000000"/>
              </w:rPr>
            </w:pPr>
          </w:p>
        </w:tc>
      </w:tr>
      <w:tr w:rsidR="005041C2" w14:paraId="596FE420" w14:textId="77777777" w:rsidTr="005041C2">
        <w:trPr>
          <w:trHeight w:val="23"/>
        </w:trPr>
        <w:tc>
          <w:tcPr>
            <w:tcW w:w="3328" w:type="pct"/>
            <w:vAlign w:val="bottom"/>
          </w:tcPr>
          <w:p w14:paraId="39F549EF" w14:textId="77777777" w:rsidR="00D83E33" w:rsidRDefault="00BC4072">
            <w:pPr>
              <w:widowControl w:val="0"/>
              <w:pBdr>
                <w:top w:val="nil"/>
                <w:left w:val="nil"/>
                <w:bottom w:val="nil"/>
                <w:right w:val="nil"/>
                <w:between w:val="nil"/>
              </w:pBdr>
              <w:ind w:left="113" w:hanging="113"/>
              <w:rPr>
                <w:color w:val="000000"/>
              </w:rPr>
            </w:pPr>
            <w:r>
              <w:rPr>
                <w:color w:val="000000"/>
              </w:rPr>
              <w:t>Proceeds from disposal of equity securities at FVOCI in the form of _____</w:t>
            </w:r>
          </w:p>
        </w:tc>
        <w:tc>
          <w:tcPr>
            <w:tcW w:w="836" w:type="pct"/>
            <w:vAlign w:val="bottom"/>
          </w:tcPr>
          <w:p w14:paraId="1222216E"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42693700" w14:textId="77777777" w:rsidR="00D83E33" w:rsidRDefault="00D83E33">
            <w:pPr>
              <w:widowControl w:val="0"/>
              <w:pBdr>
                <w:top w:val="nil"/>
                <w:left w:val="nil"/>
                <w:bottom w:val="nil"/>
                <w:right w:val="nil"/>
                <w:between w:val="nil"/>
              </w:pBdr>
              <w:jc w:val="right"/>
              <w:rPr>
                <w:color w:val="000000"/>
              </w:rPr>
            </w:pPr>
          </w:p>
        </w:tc>
      </w:tr>
      <w:tr w:rsidR="005041C2" w14:paraId="19CF3281" w14:textId="77777777" w:rsidTr="005041C2">
        <w:trPr>
          <w:trHeight w:val="23"/>
        </w:trPr>
        <w:tc>
          <w:tcPr>
            <w:tcW w:w="3328" w:type="pct"/>
            <w:vAlign w:val="bottom"/>
          </w:tcPr>
          <w:p w14:paraId="348F7365" w14:textId="77777777" w:rsidR="00D83E33" w:rsidRDefault="00BC4072">
            <w:pPr>
              <w:widowControl w:val="0"/>
              <w:pBdr>
                <w:top w:val="nil"/>
                <w:left w:val="nil"/>
                <w:bottom w:val="nil"/>
                <w:right w:val="nil"/>
                <w:between w:val="nil"/>
              </w:pBdr>
              <w:ind w:left="113" w:hanging="113"/>
              <w:rPr>
                <w:color w:val="000000"/>
              </w:rPr>
            </w:pPr>
            <w:r>
              <w:rPr>
                <w:color w:val="000000"/>
              </w:rPr>
              <w:t>Acquisition of premises and equipment in exchange for _____</w:t>
            </w:r>
          </w:p>
        </w:tc>
        <w:tc>
          <w:tcPr>
            <w:tcW w:w="836" w:type="pct"/>
            <w:vAlign w:val="bottom"/>
          </w:tcPr>
          <w:p w14:paraId="7E4AC660"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15A9452B" w14:textId="77777777" w:rsidR="00D83E33" w:rsidRDefault="00D83E33">
            <w:pPr>
              <w:widowControl w:val="0"/>
              <w:pBdr>
                <w:top w:val="nil"/>
                <w:left w:val="nil"/>
                <w:bottom w:val="nil"/>
                <w:right w:val="nil"/>
                <w:between w:val="nil"/>
              </w:pBdr>
              <w:jc w:val="right"/>
              <w:rPr>
                <w:color w:val="000000"/>
              </w:rPr>
            </w:pPr>
          </w:p>
        </w:tc>
      </w:tr>
      <w:tr w:rsidR="005041C2" w14:paraId="7ABB2665" w14:textId="77777777" w:rsidTr="005041C2">
        <w:trPr>
          <w:trHeight w:val="23"/>
        </w:trPr>
        <w:tc>
          <w:tcPr>
            <w:tcW w:w="3328" w:type="pct"/>
            <w:vAlign w:val="bottom"/>
          </w:tcPr>
          <w:p w14:paraId="3CD134F6" w14:textId="77777777" w:rsidR="00D83E33" w:rsidRDefault="00BC4072">
            <w:pPr>
              <w:widowControl w:val="0"/>
              <w:pBdr>
                <w:top w:val="nil"/>
                <w:left w:val="nil"/>
                <w:bottom w:val="nil"/>
                <w:right w:val="nil"/>
                <w:between w:val="nil"/>
              </w:pBdr>
              <w:ind w:left="113" w:hanging="113"/>
              <w:rPr>
                <w:color w:val="000000"/>
              </w:rPr>
            </w:pPr>
            <w:r>
              <w:rPr>
                <w:color w:val="000000"/>
              </w:rPr>
              <w:t>Proceeds from disposal of premises and equipment in the form of _____</w:t>
            </w:r>
          </w:p>
        </w:tc>
        <w:tc>
          <w:tcPr>
            <w:tcW w:w="836" w:type="pct"/>
            <w:vAlign w:val="bottom"/>
          </w:tcPr>
          <w:p w14:paraId="40E9A0C0"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5DC8C85B" w14:textId="77777777" w:rsidR="00D83E33" w:rsidRDefault="00D83E33">
            <w:pPr>
              <w:widowControl w:val="0"/>
              <w:pBdr>
                <w:top w:val="nil"/>
                <w:left w:val="nil"/>
                <w:bottom w:val="nil"/>
                <w:right w:val="nil"/>
                <w:between w:val="nil"/>
              </w:pBdr>
              <w:jc w:val="right"/>
              <w:rPr>
                <w:color w:val="000000"/>
              </w:rPr>
            </w:pPr>
          </w:p>
        </w:tc>
      </w:tr>
      <w:tr w:rsidR="005041C2" w14:paraId="1FD67F82" w14:textId="77777777" w:rsidTr="005041C2">
        <w:trPr>
          <w:trHeight w:val="23"/>
        </w:trPr>
        <w:tc>
          <w:tcPr>
            <w:tcW w:w="3328" w:type="pct"/>
            <w:vAlign w:val="bottom"/>
          </w:tcPr>
          <w:p w14:paraId="78BCDAA3" w14:textId="77777777" w:rsidR="00D83E33" w:rsidRDefault="00BC4072">
            <w:pPr>
              <w:widowControl w:val="0"/>
              <w:pBdr>
                <w:top w:val="nil"/>
                <w:left w:val="nil"/>
                <w:bottom w:val="nil"/>
                <w:right w:val="nil"/>
                <w:between w:val="nil"/>
              </w:pBdr>
              <w:ind w:left="113" w:hanging="113"/>
              <w:rPr>
                <w:color w:val="000000"/>
              </w:rPr>
            </w:pPr>
            <w:r>
              <w:rPr>
                <w:color w:val="000000"/>
              </w:rPr>
              <w:t>Acquisition of associates in exchange for _____</w:t>
            </w:r>
          </w:p>
        </w:tc>
        <w:tc>
          <w:tcPr>
            <w:tcW w:w="836" w:type="pct"/>
            <w:vAlign w:val="bottom"/>
          </w:tcPr>
          <w:p w14:paraId="001C996D"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6436A7F6" w14:textId="77777777" w:rsidR="00D83E33" w:rsidRDefault="00D83E33">
            <w:pPr>
              <w:widowControl w:val="0"/>
              <w:pBdr>
                <w:top w:val="nil"/>
                <w:left w:val="nil"/>
                <w:bottom w:val="nil"/>
                <w:right w:val="nil"/>
                <w:between w:val="nil"/>
              </w:pBdr>
              <w:jc w:val="right"/>
              <w:rPr>
                <w:color w:val="000000"/>
              </w:rPr>
            </w:pPr>
          </w:p>
        </w:tc>
      </w:tr>
      <w:tr w:rsidR="005041C2" w14:paraId="51E2FE2E" w14:textId="77777777" w:rsidTr="005041C2">
        <w:trPr>
          <w:trHeight w:val="23"/>
        </w:trPr>
        <w:tc>
          <w:tcPr>
            <w:tcW w:w="3328" w:type="pct"/>
            <w:vAlign w:val="bottom"/>
          </w:tcPr>
          <w:p w14:paraId="02E658C0" w14:textId="77777777" w:rsidR="00D83E33" w:rsidRDefault="00BC4072">
            <w:pPr>
              <w:widowControl w:val="0"/>
              <w:pBdr>
                <w:top w:val="nil"/>
                <w:left w:val="nil"/>
                <w:bottom w:val="nil"/>
                <w:right w:val="nil"/>
                <w:between w:val="nil"/>
              </w:pBdr>
              <w:ind w:left="113" w:hanging="113"/>
              <w:rPr>
                <w:color w:val="000000"/>
              </w:rPr>
            </w:pPr>
            <w:r>
              <w:rPr>
                <w:color w:val="000000"/>
              </w:rPr>
              <w:t>Proceeds from disposal of associates in the form of _____</w:t>
            </w:r>
          </w:p>
        </w:tc>
        <w:tc>
          <w:tcPr>
            <w:tcW w:w="836" w:type="pct"/>
            <w:vAlign w:val="bottom"/>
          </w:tcPr>
          <w:p w14:paraId="59E76BE8"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1E2378EE" w14:textId="77777777" w:rsidR="00D83E33" w:rsidRDefault="00D83E33">
            <w:pPr>
              <w:widowControl w:val="0"/>
              <w:pBdr>
                <w:top w:val="nil"/>
                <w:left w:val="nil"/>
                <w:bottom w:val="nil"/>
                <w:right w:val="nil"/>
                <w:between w:val="nil"/>
              </w:pBdr>
              <w:jc w:val="right"/>
              <w:rPr>
                <w:color w:val="000000"/>
              </w:rPr>
            </w:pPr>
          </w:p>
        </w:tc>
      </w:tr>
      <w:tr w:rsidR="005041C2" w14:paraId="5AAF3239" w14:textId="77777777" w:rsidTr="005041C2">
        <w:trPr>
          <w:trHeight w:val="23"/>
        </w:trPr>
        <w:tc>
          <w:tcPr>
            <w:tcW w:w="3328" w:type="pct"/>
            <w:vAlign w:val="bottom"/>
          </w:tcPr>
          <w:p w14:paraId="0C3DFBA3" w14:textId="77777777" w:rsidR="00D83E33" w:rsidRDefault="00BC4072">
            <w:pPr>
              <w:widowControl w:val="0"/>
              <w:pBdr>
                <w:top w:val="nil"/>
                <w:left w:val="nil"/>
                <w:bottom w:val="nil"/>
                <w:right w:val="nil"/>
                <w:between w:val="nil"/>
              </w:pBdr>
              <w:ind w:left="113" w:hanging="113"/>
              <w:rPr>
                <w:color w:val="000000"/>
              </w:rPr>
            </w:pPr>
            <w:r>
              <w:rPr>
                <w:color w:val="000000"/>
              </w:rPr>
              <w:t>Acquisition of investment properties in exchange for _____</w:t>
            </w:r>
          </w:p>
        </w:tc>
        <w:tc>
          <w:tcPr>
            <w:tcW w:w="836" w:type="pct"/>
            <w:vAlign w:val="bottom"/>
          </w:tcPr>
          <w:p w14:paraId="40EB5649"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1F59FF98" w14:textId="77777777" w:rsidR="00D83E33" w:rsidRDefault="00D83E33">
            <w:pPr>
              <w:widowControl w:val="0"/>
              <w:pBdr>
                <w:top w:val="nil"/>
                <w:left w:val="nil"/>
                <w:bottom w:val="nil"/>
                <w:right w:val="nil"/>
                <w:between w:val="nil"/>
              </w:pBdr>
              <w:jc w:val="right"/>
              <w:rPr>
                <w:color w:val="000000"/>
              </w:rPr>
            </w:pPr>
          </w:p>
        </w:tc>
      </w:tr>
      <w:tr w:rsidR="005041C2" w14:paraId="75A4AE45" w14:textId="77777777" w:rsidTr="005041C2">
        <w:trPr>
          <w:trHeight w:val="23"/>
        </w:trPr>
        <w:tc>
          <w:tcPr>
            <w:tcW w:w="3328" w:type="pct"/>
            <w:vAlign w:val="bottom"/>
          </w:tcPr>
          <w:p w14:paraId="0E26A3E7" w14:textId="77777777" w:rsidR="00D83E33" w:rsidRDefault="00BC4072">
            <w:pPr>
              <w:widowControl w:val="0"/>
              <w:pBdr>
                <w:top w:val="nil"/>
                <w:left w:val="nil"/>
                <w:bottom w:val="nil"/>
                <w:right w:val="nil"/>
                <w:between w:val="nil"/>
              </w:pBdr>
              <w:ind w:left="113" w:hanging="113"/>
              <w:rPr>
                <w:color w:val="000000"/>
              </w:rPr>
            </w:pPr>
            <w:r>
              <w:rPr>
                <w:color w:val="000000"/>
              </w:rPr>
              <w:t>Proceeds from disposal of investment properties in the form of _____</w:t>
            </w:r>
          </w:p>
        </w:tc>
        <w:tc>
          <w:tcPr>
            <w:tcW w:w="836" w:type="pct"/>
            <w:vAlign w:val="bottom"/>
          </w:tcPr>
          <w:p w14:paraId="7B6A9DAC"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442FB7A3" w14:textId="77777777" w:rsidR="00D83E33" w:rsidRDefault="00D83E33">
            <w:pPr>
              <w:widowControl w:val="0"/>
              <w:pBdr>
                <w:top w:val="nil"/>
                <w:left w:val="nil"/>
                <w:bottom w:val="nil"/>
                <w:right w:val="nil"/>
                <w:between w:val="nil"/>
              </w:pBdr>
              <w:jc w:val="right"/>
              <w:rPr>
                <w:color w:val="000000"/>
              </w:rPr>
            </w:pPr>
          </w:p>
        </w:tc>
      </w:tr>
      <w:tr w:rsidR="005041C2" w14:paraId="1559187F" w14:textId="77777777" w:rsidTr="005041C2">
        <w:trPr>
          <w:trHeight w:val="23"/>
        </w:trPr>
        <w:tc>
          <w:tcPr>
            <w:tcW w:w="3328" w:type="pct"/>
            <w:vAlign w:val="bottom"/>
          </w:tcPr>
          <w:p w14:paraId="49BE86E6" w14:textId="77777777" w:rsidR="00D83E33" w:rsidRDefault="00BC4072">
            <w:pPr>
              <w:widowControl w:val="0"/>
              <w:pBdr>
                <w:top w:val="nil"/>
                <w:left w:val="nil"/>
                <w:bottom w:val="nil"/>
                <w:right w:val="nil"/>
                <w:between w:val="nil"/>
              </w:pBdr>
              <w:ind w:left="113" w:hanging="113"/>
              <w:rPr>
                <w:color w:val="000000"/>
              </w:rPr>
            </w:pPr>
            <w:r>
              <w:rPr>
                <w:color w:val="000000"/>
              </w:rPr>
              <w:t>Acquisition of intangible assets in exchange for _____</w:t>
            </w:r>
          </w:p>
        </w:tc>
        <w:tc>
          <w:tcPr>
            <w:tcW w:w="836" w:type="pct"/>
            <w:vAlign w:val="bottom"/>
          </w:tcPr>
          <w:p w14:paraId="2D4A0CE2"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0CDD0017" w14:textId="77777777" w:rsidR="00D83E33" w:rsidRDefault="00D83E33">
            <w:pPr>
              <w:widowControl w:val="0"/>
              <w:pBdr>
                <w:top w:val="nil"/>
                <w:left w:val="nil"/>
                <w:bottom w:val="nil"/>
                <w:right w:val="nil"/>
                <w:between w:val="nil"/>
              </w:pBdr>
              <w:jc w:val="right"/>
              <w:rPr>
                <w:color w:val="000000"/>
              </w:rPr>
            </w:pPr>
          </w:p>
        </w:tc>
      </w:tr>
      <w:tr w:rsidR="005041C2" w14:paraId="6D9F24E9" w14:textId="77777777" w:rsidTr="005041C2">
        <w:trPr>
          <w:trHeight w:val="23"/>
        </w:trPr>
        <w:tc>
          <w:tcPr>
            <w:tcW w:w="3328" w:type="pct"/>
            <w:vAlign w:val="bottom"/>
          </w:tcPr>
          <w:p w14:paraId="160D8513" w14:textId="77777777" w:rsidR="00D83E33" w:rsidRDefault="00BC4072">
            <w:pPr>
              <w:widowControl w:val="0"/>
              <w:pBdr>
                <w:top w:val="nil"/>
                <w:left w:val="nil"/>
                <w:bottom w:val="nil"/>
                <w:right w:val="nil"/>
                <w:between w:val="nil"/>
              </w:pBdr>
              <w:ind w:left="113" w:hanging="113"/>
              <w:rPr>
                <w:color w:val="000000"/>
              </w:rPr>
            </w:pPr>
            <w:r>
              <w:rPr>
                <w:color w:val="000000"/>
              </w:rPr>
              <w:t>Proceeds from disposal of intangible assets in the form of _____</w:t>
            </w:r>
          </w:p>
        </w:tc>
        <w:tc>
          <w:tcPr>
            <w:tcW w:w="836" w:type="pct"/>
            <w:vAlign w:val="bottom"/>
          </w:tcPr>
          <w:p w14:paraId="1FB6E194"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45F89CAB" w14:textId="77777777" w:rsidR="00D83E33" w:rsidRDefault="00D83E33">
            <w:pPr>
              <w:widowControl w:val="0"/>
              <w:pBdr>
                <w:top w:val="nil"/>
                <w:left w:val="nil"/>
                <w:bottom w:val="nil"/>
                <w:right w:val="nil"/>
                <w:between w:val="nil"/>
              </w:pBdr>
              <w:jc w:val="right"/>
              <w:rPr>
                <w:color w:val="000000"/>
              </w:rPr>
            </w:pPr>
          </w:p>
        </w:tc>
      </w:tr>
      <w:tr w:rsidR="005041C2" w14:paraId="147C7F85" w14:textId="77777777" w:rsidTr="005041C2">
        <w:trPr>
          <w:trHeight w:val="23"/>
        </w:trPr>
        <w:tc>
          <w:tcPr>
            <w:tcW w:w="3328" w:type="pct"/>
            <w:vAlign w:val="bottom"/>
          </w:tcPr>
          <w:p w14:paraId="0D57E1DA" w14:textId="77777777" w:rsidR="00D83E33" w:rsidRDefault="00BC4072">
            <w:pPr>
              <w:widowControl w:val="0"/>
              <w:pBdr>
                <w:top w:val="nil"/>
                <w:left w:val="nil"/>
                <w:bottom w:val="nil"/>
                <w:right w:val="nil"/>
                <w:between w:val="nil"/>
              </w:pBdr>
              <w:ind w:left="113" w:hanging="113"/>
              <w:rPr>
                <w:color w:val="000000"/>
              </w:rPr>
            </w:pPr>
            <w:r>
              <w:rPr>
                <w:color w:val="000000"/>
              </w:rPr>
              <w:t>Non-cash dividends received</w:t>
            </w:r>
          </w:p>
        </w:tc>
        <w:tc>
          <w:tcPr>
            <w:tcW w:w="836" w:type="pct"/>
            <w:vAlign w:val="bottom"/>
          </w:tcPr>
          <w:p w14:paraId="7F802E8D"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7386C690" w14:textId="77777777" w:rsidR="00D83E33" w:rsidRDefault="00D83E33">
            <w:pPr>
              <w:widowControl w:val="0"/>
              <w:pBdr>
                <w:top w:val="nil"/>
                <w:left w:val="nil"/>
                <w:bottom w:val="nil"/>
                <w:right w:val="nil"/>
                <w:between w:val="nil"/>
              </w:pBdr>
              <w:jc w:val="right"/>
              <w:rPr>
                <w:color w:val="000000"/>
              </w:rPr>
            </w:pPr>
          </w:p>
        </w:tc>
      </w:tr>
      <w:tr w:rsidR="005041C2" w14:paraId="36E7FE73" w14:textId="77777777" w:rsidTr="005041C2">
        <w:trPr>
          <w:trHeight w:val="23"/>
        </w:trPr>
        <w:tc>
          <w:tcPr>
            <w:tcW w:w="3328" w:type="pct"/>
            <w:vAlign w:val="bottom"/>
          </w:tcPr>
          <w:p w14:paraId="34D81C52" w14:textId="77777777" w:rsidR="00D83E33" w:rsidRDefault="00BC4072">
            <w:pPr>
              <w:widowControl w:val="0"/>
              <w:pBdr>
                <w:top w:val="nil"/>
                <w:left w:val="nil"/>
                <w:bottom w:val="nil"/>
                <w:right w:val="nil"/>
                <w:between w:val="nil"/>
              </w:pBdr>
              <w:ind w:left="113" w:hanging="113"/>
              <w:rPr>
                <w:color w:val="000000"/>
              </w:rPr>
            </w:pPr>
            <w:r>
              <w:rPr>
                <w:color w:val="000000"/>
              </w:rPr>
              <w:t>Recognition of right of use assets against lease liabilities</w:t>
            </w:r>
          </w:p>
        </w:tc>
        <w:tc>
          <w:tcPr>
            <w:tcW w:w="836" w:type="pct"/>
            <w:vAlign w:val="bottom"/>
          </w:tcPr>
          <w:p w14:paraId="61C343DD"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1B0F5978" w14:textId="77777777" w:rsidR="00D83E33" w:rsidRDefault="00D83E33">
            <w:pPr>
              <w:widowControl w:val="0"/>
              <w:pBdr>
                <w:top w:val="nil"/>
                <w:left w:val="nil"/>
                <w:bottom w:val="nil"/>
                <w:right w:val="nil"/>
                <w:between w:val="nil"/>
              </w:pBdr>
              <w:jc w:val="right"/>
              <w:rPr>
                <w:color w:val="000000"/>
              </w:rPr>
            </w:pPr>
          </w:p>
        </w:tc>
      </w:tr>
      <w:tr w:rsidR="005041C2" w14:paraId="17898676" w14:textId="77777777" w:rsidTr="005041C2">
        <w:trPr>
          <w:trHeight w:val="23"/>
        </w:trPr>
        <w:tc>
          <w:tcPr>
            <w:tcW w:w="3328" w:type="pct"/>
            <w:tcBorders>
              <w:bottom w:val="single" w:sz="4" w:space="0" w:color="000000"/>
            </w:tcBorders>
            <w:vAlign w:val="bottom"/>
          </w:tcPr>
          <w:p w14:paraId="7D1961E8" w14:textId="77777777" w:rsidR="00D83E33" w:rsidRDefault="00BC4072" w:rsidP="001B330E">
            <w:pPr>
              <w:widowControl w:val="0"/>
              <w:pBdr>
                <w:top w:val="nil"/>
                <w:left w:val="nil"/>
                <w:bottom w:val="nil"/>
                <w:right w:val="nil"/>
                <w:between w:val="nil"/>
              </w:pBdr>
              <w:ind w:left="113" w:hanging="113"/>
              <w:rPr>
                <w:color w:val="000000"/>
              </w:rPr>
            </w:pPr>
            <w:r>
              <w:rPr>
                <w:color w:val="000000"/>
              </w:rPr>
              <w:t> </w:t>
            </w:r>
          </w:p>
        </w:tc>
        <w:tc>
          <w:tcPr>
            <w:tcW w:w="836" w:type="pct"/>
            <w:tcBorders>
              <w:bottom w:val="single" w:sz="4" w:space="0" w:color="000000"/>
            </w:tcBorders>
            <w:vAlign w:val="bottom"/>
          </w:tcPr>
          <w:p w14:paraId="51CE0335" w14:textId="77777777" w:rsidR="00D83E33" w:rsidRDefault="00D83E33">
            <w:pPr>
              <w:widowControl w:val="0"/>
              <w:pBdr>
                <w:top w:val="nil"/>
                <w:left w:val="nil"/>
                <w:bottom w:val="nil"/>
                <w:right w:val="nil"/>
                <w:between w:val="nil"/>
              </w:pBdr>
              <w:jc w:val="right"/>
              <w:rPr>
                <w:color w:val="000000"/>
              </w:rPr>
            </w:pPr>
          </w:p>
        </w:tc>
        <w:tc>
          <w:tcPr>
            <w:tcW w:w="836" w:type="pct"/>
            <w:tcBorders>
              <w:bottom w:val="single" w:sz="4" w:space="0" w:color="000000"/>
            </w:tcBorders>
            <w:vAlign w:val="bottom"/>
          </w:tcPr>
          <w:p w14:paraId="675DE0E4" w14:textId="77777777" w:rsidR="00D83E33" w:rsidRDefault="00D83E33">
            <w:pPr>
              <w:widowControl w:val="0"/>
              <w:pBdr>
                <w:top w:val="nil"/>
                <w:left w:val="nil"/>
                <w:bottom w:val="nil"/>
                <w:right w:val="nil"/>
                <w:between w:val="nil"/>
              </w:pBdr>
              <w:jc w:val="right"/>
              <w:rPr>
                <w:color w:val="000000"/>
              </w:rPr>
            </w:pPr>
          </w:p>
        </w:tc>
      </w:tr>
      <w:tr w:rsidR="005041C2" w14:paraId="3F3BB6CC" w14:textId="77777777" w:rsidTr="005041C2">
        <w:trPr>
          <w:trHeight w:val="23"/>
        </w:trPr>
        <w:tc>
          <w:tcPr>
            <w:tcW w:w="3328" w:type="pct"/>
            <w:vAlign w:val="bottom"/>
          </w:tcPr>
          <w:p w14:paraId="11F82B78" w14:textId="77777777" w:rsidR="00D83E33" w:rsidRDefault="00BC4072" w:rsidP="001B330E">
            <w:pPr>
              <w:widowControl w:val="0"/>
              <w:pBdr>
                <w:top w:val="nil"/>
                <w:left w:val="nil"/>
                <w:bottom w:val="nil"/>
                <w:right w:val="nil"/>
                <w:between w:val="nil"/>
              </w:pBdr>
              <w:ind w:left="113" w:hanging="113"/>
              <w:rPr>
                <w:color w:val="000000"/>
              </w:rPr>
            </w:pPr>
            <w:r>
              <w:rPr>
                <w:color w:val="000000"/>
              </w:rPr>
              <w:t> </w:t>
            </w:r>
          </w:p>
        </w:tc>
        <w:tc>
          <w:tcPr>
            <w:tcW w:w="836" w:type="pct"/>
            <w:vAlign w:val="bottom"/>
          </w:tcPr>
          <w:p w14:paraId="78A862D2" w14:textId="77777777" w:rsidR="00D83E33" w:rsidRDefault="00D83E33">
            <w:pPr>
              <w:widowControl w:val="0"/>
              <w:pBdr>
                <w:top w:val="nil"/>
                <w:left w:val="nil"/>
                <w:bottom w:val="nil"/>
                <w:right w:val="nil"/>
                <w:between w:val="nil"/>
              </w:pBdr>
              <w:jc w:val="right"/>
              <w:rPr>
                <w:color w:val="000000"/>
              </w:rPr>
            </w:pPr>
          </w:p>
        </w:tc>
        <w:tc>
          <w:tcPr>
            <w:tcW w:w="836" w:type="pct"/>
            <w:vAlign w:val="bottom"/>
          </w:tcPr>
          <w:p w14:paraId="6EE41663" w14:textId="77777777" w:rsidR="00D83E33" w:rsidRDefault="00D83E33">
            <w:pPr>
              <w:widowControl w:val="0"/>
              <w:pBdr>
                <w:top w:val="nil"/>
                <w:left w:val="nil"/>
                <w:bottom w:val="nil"/>
                <w:right w:val="nil"/>
                <w:between w:val="nil"/>
              </w:pBdr>
              <w:jc w:val="right"/>
              <w:rPr>
                <w:color w:val="000000"/>
              </w:rPr>
            </w:pPr>
          </w:p>
        </w:tc>
      </w:tr>
      <w:tr w:rsidR="005041C2" w14:paraId="52721A2D" w14:textId="77777777" w:rsidTr="005041C2">
        <w:trPr>
          <w:trHeight w:val="23"/>
        </w:trPr>
        <w:tc>
          <w:tcPr>
            <w:tcW w:w="3328" w:type="pct"/>
            <w:vAlign w:val="bottom"/>
          </w:tcPr>
          <w:p w14:paraId="70E07A10" w14:textId="77777777" w:rsidR="00D83E33" w:rsidRDefault="00BC4072">
            <w:pPr>
              <w:widowControl w:val="0"/>
              <w:pBdr>
                <w:top w:val="nil"/>
                <w:left w:val="nil"/>
                <w:bottom w:val="nil"/>
                <w:right w:val="nil"/>
                <w:between w:val="nil"/>
              </w:pBdr>
              <w:ind w:left="113" w:hanging="113"/>
              <w:rPr>
                <w:b/>
                <w:color w:val="000000"/>
              </w:rPr>
            </w:pPr>
            <w:r>
              <w:rPr>
                <w:b/>
                <w:color w:val="000000"/>
              </w:rPr>
              <w:t>Non-cash investing activities</w:t>
            </w:r>
          </w:p>
        </w:tc>
        <w:tc>
          <w:tcPr>
            <w:tcW w:w="836" w:type="pct"/>
            <w:vAlign w:val="bottom"/>
          </w:tcPr>
          <w:p w14:paraId="6EB79C5D" w14:textId="77777777" w:rsidR="00D83E33" w:rsidRDefault="00D83E33">
            <w:pPr>
              <w:widowControl w:val="0"/>
              <w:pBdr>
                <w:top w:val="nil"/>
                <w:left w:val="nil"/>
                <w:bottom w:val="nil"/>
                <w:right w:val="nil"/>
                <w:between w:val="nil"/>
              </w:pBdr>
              <w:jc w:val="right"/>
              <w:rPr>
                <w:b/>
                <w:color w:val="000000"/>
              </w:rPr>
            </w:pPr>
          </w:p>
        </w:tc>
        <w:tc>
          <w:tcPr>
            <w:tcW w:w="836" w:type="pct"/>
            <w:vAlign w:val="bottom"/>
          </w:tcPr>
          <w:p w14:paraId="14F69300" w14:textId="77777777" w:rsidR="00D83E33" w:rsidRDefault="00D83E33">
            <w:pPr>
              <w:widowControl w:val="0"/>
              <w:pBdr>
                <w:top w:val="nil"/>
                <w:left w:val="nil"/>
                <w:bottom w:val="nil"/>
                <w:right w:val="nil"/>
                <w:between w:val="nil"/>
              </w:pBdr>
              <w:jc w:val="right"/>
              <w:rPr>
                <w:b/>
                <w:color w:val="000000"/>
              </w:rPr>
            </w:pPr>
          </w:p>
        </w:tc>
      </w:tr>
      <w:tr w:rsidR="005041C2" w14:paraId="39E284B2" w14:textId="77777777" w:rsidTr="005041C2">
        <w:trPr>
          <w:trHeight w:val="23"/>
        </w:trPr>
        <w:tc>
          <w:tcPr>
            <w:tcW w:w="3328" w:type="pct"/>
            <w:tcBorders>
              <w:bottom w:val="single" w:sz="12" w:space="0" w:color="000000"/>
            </w:tcBorders>
            <w:vAlign w:val="bottom"/>
          </w:tcPr>
          <w:p w14:paraId="7E630C82" w14:textId="77777777" w:rsidR="00D83E33" w:rsidRDefault="00BC4072" w:rsidP="001B330E">
            <w:pPr>
              <w:widowControl w:val="0"/>
              <w:pBdr>
                <w:top w:val="nil"/>
                <w:left w:val="nil"/>
                <w:bottom w:val="nil"/>
                <w:right w:val="nil"/>
                <w:between w:val="nil"/>
              </w:pBdr>
              <w:ind w:left="113" w:hanging="113"/>
              <w:rPr>
                <w:color w:val="000000"/>
              </w:rPr>
            </w:pPr>
            <w:r>
              <w:rPr>
                <w:color w:val="000000"/>
              </w:rPr>
              <w:t> </w:t>
            </w:r>
          </w:p>
        </w:tc>
        <w:tc>
          <w:tcPr>
            <w:tcW w:w="836" w:type="pct"/>
            <w:tcBorders>
              <w:bottom w:val="single" w:sz="12" w:space="0" w:color="000000"/>
            </w:tcBorders>
            <w:vAlign w:val="bottom"/>
          </w:tcPr>
          <w:p w14:paraId="38E3C11A" w14:textId="77777777" w:rsidR="00D83E33" w:rsidRDefault="00D83E33">
            <w:pPr>
              <w:widowControl w:val="0"/>
              <w:pBdr>
                <w:top w:val="nil"/>
                <w:left w:val="nil"/>
                <w:bottom w:val="nil"/>
                <w:right w:val="nil"/>
                <w:between w:val="nil"/>
              </w:pBdr>
              <w:jc w:val="right"/>
              <w:rPr>
                <w:color w:val="000000"/>
              </w:rPr>
            </w:pPr>
          </w:p>
        </w:tc>
        <w:tc>
          <w:tcPr>
            <w:tcW w:w="836" w:type="pct"/>
            <w:tcBorders>
              <w:bottom w:val="single" w:sz="12" w:space="0" w:color="000000"/>
            </w:tcBorders>
            <w:vAlign w:val="bottom"/>
          </w:tcPr>
          <w:p w14:paraId="1473CF40" w14:textId="77777777" w:rsidR="00D83E33" w:rsidRDefault="00D83E33">
            <w:pPr>
              <w:widowControl w:val="0"/>
              <w:pBdr>
                <w:top w:val="nil"/>
                <w:left w:val="nil"/>
                <w:bottom w:val="nil"/>
                <w:right w:val="nil"/>
                <w:between w:val="nil"/>
              </w:pBdr>
              <w:jc w:val="right"/>
              <w:rPr>
                <w:color w:val="000000"/>
              </w:rPr>
            </w:pPr>
          </w:p>
        </w:tc>
      </w:tr>
    </w:tbl>
    <w:p w14:paraId="030BC5B1" w14:textId="77777777" w:rsidR="005041C2" w:rsidRDefault="005041C2" w:rsidP="005041C2">
      <w:pPr>
        <w:pStyle w:val="Continued"/>
      </w:pPr>
      <w:r>
        <w:lastRenderedPageBreak/>
        <w:t>7</w:t>
      </w:r>
      <w:r>
        <w:tab/>
        <w:t>Cash and Cash Equivalents (Continued)</w:t>
      </w:r>
    </w:p>
    <w:p w14:paraId="42096E37"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Financing transactions that did not require the use of cash and cash equivalents, and were excluded from the statement of cash flows are as follows:</w:t>
      </w:r>
    </w:p>
    <w:tbl>
      <w:tblPr>
        <w:tblStyle w:val="ae"/>
        <w:tblW w:w="9371" w:type="dxa"/>
        <w:tblLayout w:type="fixed"/>
        <w:tblLook w:val="0000" w:firstRow="0" w:lastRow="0" w:firstColumn="0" w:lastColumn="0" w:noHBand="0" w:noVBand="0"/>
      </w:tblPr>
      <w:tblGrid>
        <w:gridCol w:w="6237"/>
        <w:gridCol w:w="1567"/>
        <w:gridCol w:w="1567"/>
      </w:tblGrid>
      <w:tr w:rsidR="00D83E33" w14:paraId="43F42072" w14:textId="77777777" w:rsidTr="009004E7">
        <w:tc>
          <w:tcPr>
            <w:tcW w:w="6237" w:type="dxa"/>
            <w:tcBorders>
              <w:bottom w:val="single" w:sz="4" w:space="0" w:color="000000"/>
            </w:tcBorders>
            <w:vAlign w:val="bottom"/>
          </w:tcPr>
          <w:p w14:paraId="7ED60DBE" w14:textId="414F02E7" w:rsidR="00D83E33" w:rsidRDefault="00313B4D">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1567" w:type="dxa"/>
            <w:tcBorders>
              <w:bottom w:val="single" w:sz="4" w:space="0" w:color="000000"/>
            </w:tcBorders>
            <w:vAlign w:val="bottom"/>
          </w:tcPr>
          <w:p w14:paraId="74DA2316" w14:textId="2D2C0813" w:rsidR="00D83E33" w:rsidRDefault="00541EBC">
            <w:pPr>
              <w:widowControl w:val="0"/>
              <w:pBdr>
                <w:top w:val="nil"/>
                <w:left w:val="nil"/>
                <w:bottom w:val="nil"/>
                <w:right w:val="nil"/>
                <w:between w:val="nil"/>
              </w:pBdr>
              <w:jc w:val="right"/>
              <w:rPr>
                <w:b/>
                <w:color w:val="000000"/>
              </w:rPr>
            </w:pPr>
            <w:r>
              <w:rPr>
                <w:b/>
                <w:color w:val="000000"/>
              </w:rPr>
              <w:t>2024</w:t>
            </w:r>
          </w:p>
        </w:tc>
        <w:tc>
          <w:tcPr>
            <w:tcW w:w="1567" w:type="dxa"/>
            <w:tcBorders>
              <w:bottom w:val="single" w:sz="4" w:space="0" w:color="000000"/>
            </w:tcBorders>
            <w:vAlign w:val="bottom"/>
          </w:tcPr>
          <w:p w14:paraId="6F8106F0" w14:textId="0D3E9281" w:rsidR="00D83E33" w:rsidRDefault="00541EBC">
            <w:pPr>
              <w:widowControl w:val="0"/>
              <w:pBdr>
                <w:top w:val="nil"/>
                <w:left w:val="nil"/>
                <w:bottom w:val="nil"/>
                <w:right w:val="nil"/>
                <w:between w:val="nil"/>
              </w:pBdr>
              <w:jc w:val="right"/>
              <w:rPr>
                <w:b/>
                <w:color w:val="000000"/>
              </w:rPr>
            </w:pPr>
            <w:r>
              <w:rPr>
                <w:b/>
                <w:color w:val="000000"/>
              </w:rPr>
              <w:t>2023</w:t>
            </w:r>
          </w:p>
        </w:tc>
      </w:tr>
      <w:tr w:rsidR="00D83E33" w14:paraId="6206DB30" w14:textId="77777777" w:rsidTr="009004E7">
        <w:tc>
          <w:tcPr>
            <w:tcW w:w="6237" w:type="dxa"/>
            <w:tcBorders>
              <w:top w:val="single" w:sz="4" w:space="0" w:color="000000"/>
            </w:tcBorders>
            <w:vAlign w:val="bottom"/>
          </w:tcPr>
          <w:p w14:paraId="078D879D" w14:textId="77777777" w:rsidR="00D83E33" w:rsidRDefault="00BC4072">
            <w:pPr>
              <w:widowControl w:val="0"/>
              <w:pBdr>
                <w:top w:val="nil"/>
                <w:left w:val="nil"/>
                <w:bottom w:val="nil"/>
                <w:right w:val="nil"/>
                <w:between w:val="nil"/>
              </w:pBdr>
              <w:ind w:left="113" w:hanging="113"/>
              <w:rPr>
                <w:b/>
                <w:color w:val="000000"/>
              </w:rPr>
            </w:pPr>
            <w:r>
              <w:rPr>
                <w:b/>
                <w:color w:val="000000"/>
              </w:rPr>
              <w:t> </w:t>
            </w:r>
          </w:p>
        </w:tc>
        <w:tc>
          <w:tcPr>
            <w:tcW w:w="1567" w:type="dxa"/>
            <w:tcBorders>
              <w:top w:val="single" w:sz="4" w:space="0" w:color="000000"/>
            </w:tcBorders>
            <w:vAlign w:val="bottom"/>
          </w:tcPr>
          <w:p w14:paraId="5B984F7A" w14:textId="77777777" w:rsidR="00D83E33" w:rsidRDefault="00D83E33">
            <w:pPr>
              <w:widowControl w:val="0"/>
              <w:pBdr>
                <w:top w:val="nil"/>
                <w:left w:val="nil"/>
                <w:bottom w:val="nil"/>
                <w:right w:val="nil"/>
                <w:between w:val="nil"/>
              </w:pBdr>
              <w:jc w:val="right"/>
              <w:rPr>
                <w:color w:val="000000"/>
              </w:rPr>
            </w:pPr>
          </w:p>
        </w:tc>
        <w:tc>
          <w:tcPr>
            <w:tcW w:w="1567" w:type="dxa"/>
            <w:tcBorders>
              <w:top w:val="single" w:sz="4" w:space="0" w:color="000000"/>
            </w:tcBorders>
            <w:vAlign w:val="bottom"/>
          </w:tcPr>
          <w:p w14:paraId="7D2DD30F" w14:textId="77777777" w:rsidR="00D83E33" w:rsidRDefault="00D83E33">
            <w:pPr>
              <w:widowControl w:val="0"/>
              <w:pBdr>
                <w:top w:val="nil"/>
                <w:left w:val="nil"/>
                <w:bottom w:val="nil"/>
                <w:right w:val="nil"/>
                <w:between w:val="nil"/>
              </w:pBdr>
              <w:jc w:val="right"/>
              <w:rPr>
                <w:color w:val="000000"/>
              </w:rPr>
            </w:pPr>
          </w:p>
        </w:tc>
      </w:tr>
      <w:tr w:rsidR="00D83E33" w14:paraId="4F9BB6FC" w14:textId="77777777" w:rsidTr="009004E7">
        <w:tc>
          <w:tcPr>
            <w:tcW w:w="6237" w:type="dxa"/>
            <w:vAlign w:val="bottom"/>
          </w:tcPr>
          <w:p w14:paraId="3C139A47" w14:textId="77777777" w:rsidR="00D83E33" w:rsidRDefault="00BC4072">
            <w:pPr>
              <w:widowControl w:val="0"/>
              <w:pBdr>
                <w:top w:val="nil"/>
                <w:left w:val="nil"/>
                <w:bottom w:val="nil"/>
                <w:right w:val="nil"/>
                <w:between w:val="nil"/>
              </w:pBdr>
              <w:ind w:left="113" w:hanging="113"/>
              <w:rPr>
                <w:b/>
                <w:color w:val="000000"/>
              </w:rPr>
            </w:pPr>
            <w:r>
              <w:rPr>
                <w:b/>
                <w:color w:val="000000"/>
              </w:rPr>
              <w:t>Non-cash financing activities</w:t>
            </w:r>
          </w:p>
        </w:tc>
        <w:tc>
          <w:tcPr>
            <w:tcW w:w="1567" w:type="dxa"/>
            <w:vAlign w:val="bottom"/>
          </w:tcPr>
          <w:p w14:paraId="57126777" w14:textId="77777777" w:rsidR="00D83E33" w:rsidRDefault="00D83E33">
            <w:pPr>
              <w:widowControl w:val="0"/>
              <w:pBdr>
                <w:top w:val="nil"/>
                <w:left w:val="nil"/>
                <w:bottom w:val="nil"/>
                <w:right w:val="nil"/>
                <w:between w:val="nil"/>
              </w:pBdr>
              <w:jc w:val="right"/>
              <w:rPr>
                <w:b/>
                <w:color w:val="000000"/>
              </w:rPr>
            </w:pPr>
          </w:p>
        </w:tc>
        <w:tc>
          <w:tcPr>
            <w:tcW w:w="1567" w:type="dxa"/>
            <w:vAlign w:val="bottom"/>
          </w:tcPr>
          <w:p w14:paraId="7818199E" w14:textId="77777777" w:rsidR="00D83E33" w:rsidRDefault="00D83E33">
            <w:pPr>
              <w:widowControl w:val="0"/>
              <w:pBdr>
                <w:top w:val="nil"/>
                <w:left w:val="nil"/>
                <w:bottom w:val="nil"/>
                <w:right w:val="nil"/>
                <w:between w:val="nil"/>
              </w:pBdr>
              <w:jc w:val="right"/>
              <w:rPr>
                <w:b/>
                <w:color w:val="000000"/>
              </w:rPr>
            </w:pPr>
          </w:p>
        </w:tc>
      </w:tr>
      <w:tr w:rsidR="00D83E33" w14:paraId="56A7BE3B" w14:textId="77777777" w:rsidTr="009004E7">
        <w:tc>
          <w:tcPr>
            <w:tcW w:w="6237" w:type="dxa"/>
            <w:vAlign w:val="bottom"/>
          </w:tcPr>
          <w:p w14:paraId="23C7D3AA" w14:textId="77777777" w:rsidR="00D83E33" w:rsidRDefault="00BC4072">
            <w:pPr>
              <w:widowControl w:val="0"/>
              <w:pBdr>
                <w:top w:val="nil"/>
                <w:left w:val="nil"/>
                <w:bottom w:val="nil"/>
                <w:right w:val="nil"/>
                <w:between w:val="nil"/>
              </w:pBdr>
              <w:ind w:left="113" w:hanging="113"/>
              <w:rPr>
                <w:color w:val="000000"/>
              </w:rPr>
            </w:pPr>
            <w:r>
              <w:rPr>
                <w:color w:val="000000"/>
              </w:rPr>
              <w:t>Proceeds from other borrowed funds in the form of _____</w:t>
            </w:r>
          </w:p>
        </w:tc>
        <w:tc>
          <w:tcPr>
            <w:tcW w:w="1567" w:type="dxa"/>
            <w:vAlign w:val="bottom"/>
          </w:tcPr>
          <w:p w14:paraId="440FECBC"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31F9C92E" w14:textId="77777777" w:rsidR="00D83E33" w:rsidRDefault="00D83E33">
            <w:pPr>
              <w:widowControl w:val="0"/>
              <w:pBdr>
                <w:top w:val="nil"/>
                <w:left w:val="nil"/>
                <w:bottom w:val="nil"/>
                <w:right w:val="nil"/>
                <w:between w:val="nil"/>
              </w:pBdr>
              <w:jc w:val="right"/>
              <w:rPr>
                <w:color w:val="000000"/>
              </w:rPr>
            </w:pPr>
          </w:p>
        </w:tc>
      </w:tr>
      <w:tr w:rsidR="00D83E33" w14:paraId="7882B45A" w14:textId="77777777" w:rsidTr="009004E7">
        <w:tc>
          <w:tcPr>
            <w:tcW w:w="6237" w:type="dxa"/>
            <w:vAlign w:val="bottom"/>
          </w:tcPr>
          <w:p w14:paraId="7C39B313" w14:textId="77777777" w:rsidR="00D83E33" w:rsidRDefault="00BC4072">
            <w:pPr>
              <w:widowControl w:val="0"/>
              <w:pBdr>
                <w:top w:val="nil"/>
                <w:left w:val="nil"/>
                <w:bottom w:val="nil"/>
                <w:right w:val="nil"/>
                <w:between w:val="nil"/>
              </w:pBdr>
              <w:ind w:left="113" w:hanging="113"/>
              <w:rPr>
                <w:color w:val="000000"/>
              </w:rPr>
            </w:pPr>
            <w:r>
              <w:rPr>
                <w:color w:val="000000"/>
              </w:rPr>
              <w:t xml:space="preserve">Repayment of other borrowed funds in _____ </w:t>
            </w:r>
            <w:r>
              <w:rPr>
                <w:i/>
                <w:color w:val="FF0000"/>
              </w:rPr>
              <w:t>[e.g. gold]</w:t>
            </w:r>
          </w:p>
        </w:tc>
        <w:tc>
          <w:tcPr>
            <w:tcW w:w="1567" w:type="dxa"/>
            <w:vAlign w:val="bottom"/>
          </w:tcPr>
          <w:p w14:paraId="4C97D158"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7746F71B" w14:textId="77777777" w:rsidR="00D83E33" w:rsidRDefault="00D83E33">
            <w:pPr>
              <w:widowControl w:val="0"/>
              <w:pBdr>
                <w:top w:val="nil"/>
                <w:left w:val="nil"/>
                <w:bottom w:val="nil"/>
                <w:right w:val="nil"/>
                <w:between w:val="nil"/>
              </w:pBdr>
              <w:jc w:val="right"/>
              <w:rPr>
                <w:color w:val="000000"/>
              </w:rPr>
            </w:pPr>
          </w:p>
        </w:tc>
      </w:tr>
      <w:tr w:rsidR="00D83E33" w14:paraId="4D788C90" w14:textId="77777777" w:rsidTr="009004E7">
        <w:tc>
          <w:tcPr>
            <w:tcW w:w="6237" w:type="dxa"/>
            <w:vAlign w:val="bottom"/>
          </w:tcPr>
          <w:p w14:paraId="494DD01D" w14:textId="77777777" w:rsidR="00D83E33" w:rsidRDefault="00BC4072">
            <w:pPr>
              <w:widowControl w:val="0"/>
              <w:pBdr>
                <w:top w:val="nil"/>
                <w:left w:val="nil"/>
                <w:bottom w:val="nil"/>
                <w:right w:val="nil"/>
                <w:between w:val="nil"/>
              </w:pBdr>
              <w:ind w:left="113" w:hanging="113"/>
              <w:rPr>
                <w:color w:val="000000"/>
              </w:rPr>
            </w:pPr>
            <w:r>
              <w:rPr>
                <w:color w:val="000000"/>
              </w:rPr>
              <w:t>Issue of ordinary shares in exchange for _____</w:t>
            </w:r>
          </w:p>
        </w:tc>
        <w:tc>
          <w:tcPr>
            <w:tcW w:w="1567" w:type="dxa"/>
            <w:vAlign w:val="bottom"/>
          </w:tcPr>
          <w:p w14:paraId="4935C645"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2F0427D3" w14:textId="77777777" w:rsidR="00D83E33" w:rsidRDefault="00D83E33">
            <w:pPr>
              <w:widowControl w:val="0"/>
              <w:pBdr>
                <w:top w:val="nil"/>
                <w:left w:val="nil"/>
                <w:bottom w:val="nil"/>
                <w:right w:val="nil"/>
                <w:between w:val="nil"/>
              </w:pBdr>
              <w:jc w:val="right"/>
              <w:rPr>
                <w:color w:val="000000"/>
              </w:rPr>
            </w:pPr>
          </w:p>
        </w:tc>
      </w:tr>
      <w:tr w:rsidR="00D83E33" w14:paraId="7C180BA6" w14:textId="77777777" w:rsidTr="009004E7">
        <w:tc>
          <w:tcPr>
            <w:tcW w:w="6237" w:type="dxa"/>
            <w:vAlign w:val="bottom"/>
          </w:tcPr>
          <w:p w14:paraId="24B55205" w14:textId="77777777" w:rsidR="00D83E33" w:rsidRDefault="00BC4072">
            <w:pPr>
              <w:widowControl w:val="0"/>
              <w:pBdr>
                <w:top w:val="nil"/>
                <w:left w:val="nil"/>
                <w:bottom w:val="nil"/>
                <w:right w:val="nil"/>
                <w:between w:val="nil"/>
              </w:pBdr>
              <w:ind w:left="113" w:hanging="113"/>
              <w:rPr>
                <w:color w:val="000000"/>
              </w:rPr>
            </w:pPr>
            <w:r>
              <w:rPr>
                <w:color w:val="000000"/>
              </w:rPr>
              <w:t>Issue of preference shares in exchange for _____</w:t>
            </w:r>
          </w:p>
        </w:tc>
        <w:tc>
          <w:tcPr>
            <w:tcW w:w="1567" w:type="dxa"/>
            <w:vAlign w:val="bottom"/>
          </w:tcPr>
          <w:p w14:paraId="5B185E42"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50E4FF04" w14:textId="77777777" w:rsidR="00D83E33" w:rsidRDefault="00D83E33">
            <w:pPr>
              <w:widowControl w:val="0"/>
              <w:pBdr>
                <w:top w:val="nil"/>
                <w:left w:val="nil"/>
                <w:bottom w:val="nil"/>
                <w:right w:val="nil"/>
                <w:between w:val="nil"/>
              </w:pBdr>
              <w:jc w:val="right"/>
              <w:rPr>
                <w:color w:val="000000"/>
              </w:rPr>
            </w:pPr>
          </w:p>
        </w:tc>
      </w:tr>
      <w:tr w:rsidR="00D83E33" w14:paraId="6A9F38AE" w14:textId="77777777" w:rsidTr="009004E7">
        <w:tc>
          <w:tcPr>
            <w:tcW w:w="6237" w:type="dxa"/>
            <w:vAlign w:val="bottom"/>
          </w:tcPr>
          <w:p w14:paraId="4183DF48" w14:textId="77777777" w:rsidR="00D83E33" w:rsidRDefault="00BC4072">
            <w:pPr>
              <w:widowControl w:val="0"/>
              <w:pBdr>
                <w:top w:val="nil"/>
                <w:left w:val="nil"/>
                <w:bottom w:val="nil"/>
                <w:right w:val="nil"/>
                <w:between w:val="nil"/>
              </w:pBdr>
              <w:ind w:left="113" w:hanging="113"/>
              <w:rPr>
                <w:color w:val="000000"/>
              </w:rPr>
            </w:pPr>
            <w:r>
              <w:rPr>
                <w:color w:val="000000"/>
              </w:rPr>
              <w:t>Capital contributions from shareholders other than share issues in the form of _____</w:t>
            </w:r>
          </w:p>
        </w:tc>
        <w:tc>
          <w:tcPr>
            <w:tcW w:w="1567" w:type="dxa"/>
            <w:vAlign w:val="bottom"/>
          </w:tcPr>
          <w:p w14:paraId="7B19B048"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238CC646" w14:textId="77777777" w:rsidR="00D83E33" w:rsidRDefault="00D83E33">
            <w:pPr>
              <w:widowControl w:val="0"/>
              <w:pBdr>
                <w:top w:val="nil"/>
                <w:left w:val="nil"/>
                <w:bottom w:val="nil"/>
                <w:right w:val="nil"/>
                <w:between w:val="nil"/>
              </w:pBdr>
              <w:jc w:val="right"/>
              <w:rPr>
                <w:color w:val="000000"/>
              </w:rPr>
            </w:pPr>
          </w:p>
        </w:tc>
      </w:tr>
      <w:tr w:rsidR="00D83E33" w14:paraId="2AD028E9" w14:textId="77777777" w:rsidTr="009004E7">
        <w:tc>
          <w:tcPr>
            <w:tcW w:w="6237" w:type="dxa"/>
            <w:vAlign w:val="bottom"/>
          </w:tcPr>
          <w:p w14:paraId="794E4F76" w14:textId="77777777" w:rsidR="00D83E33" w:rsidRDefault="00BC4072">
            <w:pPr>
              <w:widowControl w:val="0"/>
              <w:pBdr>
                <w:top w:val="nil"/>
                <w:left w:val="nil"/>
                <w:bottom w:val="nil"/>
                <w:right w:val="nil"/>
                <w:between w:val="nil"/>
              </w:pBdr>
              <w:ind w:left="113" w:hanging="113"/>
              <w:rPr>
                <w:color w:val="000000"/>
              </w:rPr>
            </w:pPr>
            <w:r>
              <w:rPr>
                <w:color w:val="000000"/>
              </w:rPr>
              <w:t>Acquisition of treasury shares in exchange for _____</w:t>
            </w:r>
          </w:p>
        </w:tc>
        <w:tc>
          <w:tcPr>
            <w:tcW w:w="1567" w:type="dxa"/>
            <w:vAlign w:val="bottom"/>
          </w:tcPr>
          <w:p w14:paraId="4C4B636B"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0331DBF6" w14:textId="77777777" w:rsidR="00D83E33" w:rsidRDefault="00D83E33">
            <w:pPr>
              <w:widowControl w:val="0"/>
              <w:pBdr>
                <w:top w:val="nil"/>
                <w:left w:val="nil"/>
                <w:bottom w:val="nil"/>
                <w:right w:val="nil"/>
                <w:between w:val="nil"/>
              </w:pBdr>
              <w:jc w:val="right"/>
              <w:rPr>
                <w:color w:val="000000"/>
              </w:rPr>
            </w:pPr>
          </w:p>
        </w:tc>
      </w:tr>
      <w:tr w:rsidR="00D83E33" w14:paraId="5884FE1F" w14:textId="77777777" w:rsidTr="009004E7">
        <w:tc>
          <w:tcPr>
            <w:tcW w:w="6237" w:type="dxa"/>
            <w:vAlign w:val="bottom"/>
          </w:tcPr>
          <w:p w14:paraId="0EBE437F" w14:textId="77777777" w:rsidR="00D83E33" w:rsidRDefault="00BC4072">
            <w:pPr>
              <w:widowControl w:val="0"/>
              <w:pBdr>
                <w:top w:val="nil"/>
                <w:left w:val="nil"/>
                <w:bottom w:val="nil"/>
                <w:right w:val="nil"/>
                <w:between w:val="nil"/>
              </w:pBdr>
              <w:ind w:left="113" w:hanging="113"/>
              <w:rPr>
                <w:color w:val="000000"/>
              </w:rPr>
            </w:pPr>
            <w:r>
              <w:rPr>
                <w:color w:val="000000"/>
              </w:rPr>
              <w:t>Disposal of treasury shares for _____</w:t>
            </w:r>
          </w:p>
        </w:tc>
        <w:tc>
          <w:tcPr>
            <w:tcW w:w="1567" w:type="dxa"/>
            <w:vAlign w:val="bottom"/>
          </w:tcPr>
          <w:p w14:paraId="3430293E"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36AAFBA7" w14:textId="77777777" w:rsidR="00D83E33" w:rsidRDefault="00D83E33">
            <w:pPr>
              <w:widowControl w:val="0"/>
              <w:pBdr>
                <w:top w:val="nil"/>
                <w:left w:val="nil"/>
                <w:bottom w:val="nil"/>
                <w:right w:val="nil"/>
                <w:between w:val="nil"/>
              </w:pBdr>
              <w:jc w:val="right"/>
              <w:rPr>
                <w:color w:val="000000"/>
              </w:rPr>
            </w:pPr>
          </w:p>
        </w:tc>
      </w:tr>
      <w:tr w:rsidR="00D83E33" w14:paraId="4DB023B0" w14:textId="77777777" w:rsidTr="009004E7">
        <w:tc>
          <w:tcPr>
            <w:tcW w:w="6237" w:type="dxa"/>
            <w:vAlign w:val="bottom"/>
          </w:tcPr>
          <w:p w14:paraId="0115DDE8" w14:textId="77777777" w:rsidR="00D83E33" w:rsidRDefault="00BC4072">
            <w:pPr>
              <w:widowControl w:val="0"/>
              <w:pBdr>
                <w:top w:val="nil"/>
                <w:left w:val="nil"/>
                <w:bottom w:val="nil"/>
                <w:right w:val="nil"/>
                <w:between w:val="nil"/>
              </w:pBdr>
              <w:tabs>
                <w:tab w:val="right" w:pos="8782"/>
              </w:tabs>
              <w:ind w:left="113" w:hanging="113"/>
              <w:rPr>
                <w:color w:val="000000"/>
              </w:rPr>
            </w:pPr>
            <w:r>
              <w:rPr>
                <w:color w:val="000000"/>
              </w:rPr>
              <w:t xml:space="preserve">Transfer of _____ as a capital distribution to the shareholders other than a dividend </w:t>
            </w:r>
          </w:p>
        </w:tc>
        <w:tc>
          <w:tcPr>
            <w:tcW w:w="1567" w:type="dxa"/>
            <w:vAlign w:val="bottom"/>
          </w:tcPr>
          <w:p w14:paraId="3EEEBD50"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67E16A19" w14:textId="77777777" w:rsidR="00D83E33" w:rsidRDefault="00D83E33">
            <w:pPr>
              <w:widowControl w:val="0"/>
              <w:pBdr>
                <w:top w:val="nil"/>
                <w:left w:val="nil"/>
                <w:bottom w:val="nil"/>
                <w:right w:val="nil"/>
                <w:between w:val="nil"/>
              </w:pBdr>
              <w:jc w:val="right"/>
              <w:rPr>
                <w:color w:val="000000"/>
              </w:rPr>
            </w:pPr>
          </w:p>
        </w:tc>
      </w:tr>
      <w:tr w:rsidR="00D83E33" w14:paraId="62F76B5B" w14:textId="77777777" w:rsidTr="009004E7">
        <w:tc>
          <w:tcPr>
            <w:tcW w:w="6237" w:type="dxa"/>
            <w:vAlign w:val="bottom"/>
          </w:tcPr>
          <w:p w14:paraId="7955F246" w14:textId="77777777" w:rsidR="00D83E33" w:rsidRDefault="00BC4072">
            <w:pPr>
              <w:widowControl w:val="0"/>
              <w:pBdr>
                <w:top w:val="nil"/>
                <w:left w:val="nil"/>
                <w:bottom w:val="nil"/>
                <w:right w:val="nil"/>
                <w:between w:val="nil"/>
              </w:pBdr>
              <w:tabs>
                <w:tab w:val="right" w:pos="8782"/>
              </w:tabs>
              <w:ind w:left="113" w:hanging="113"/>
              <w:rPr>
                <w:color w:val="000000"/>
              </w:rPr>
            </w:pPr>
            <w:r>
              <w:rPr>
                <w:color w:val="000000"/>
              </w:rPr>
              <w:t>Initial recognition of lease liabilities</w:t>
            </w:r>
          </w:p>
        </w:tc>
        <w:tc>
          <w:tcPr>
            <w:tcW w:w="1567" w:type="dxa"/>
            <w:vAlign w:val="bottom"/>
          </w:tcPr>
          <w:p w14:paraId="713C5160"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320ACA16" w14:textId="77777777" w:rsidR="00D83E33" w:rsidRDefault="00D83E33">
            <w:pPr>
              <w:widowControl w:val="0"/>
              <w:pBdr>
                <w:top w:val="nil"/>
                <w:left w:val="nil"/>
                <w:bottom w:val="nil"/>
                <w:right w:val="nil"/>
                <w:between w:val="nil"/>
              </w:pBdr>
              <w:jc w:val="right"/>
              <w:rPr>
                <w:color w:val="000000"/>
              </w:rPr>
            </w:pPr>
          </w:p>
        </w:tc>
      </w:tr>
      <w:tr w:rsidR="00D83E33" w14:paraId="0A713661" w14:textId="77777777" w:rsidTr="009004E7">
        <w:tc>
          <w:tcPr>
            <w:tcW w:w="6237" w:type="dxa"/>
            <w:tcBorders>
              <w:bottom w:val="single" w:sz="4" w:space="0" w:color="000000"/>
            </w:tcBorders>
            <w:vAlign w:val="bottom"/>
          </w:tcPr>
          <w:p w14:paraId="48DE7932" w14:textId="77777777" w:rsidR="00D83E33" w:rsidRDefault="00BC4072">
            <w:pPr>
              <w:widowControl w:val="0"/>
              <w:pBdr>
                <w:top w:val="nil"/>
                <w:left w:val="nil"/>
                <w:bottom w:val="nil"/>
                <w:right w:val="nil"/>
                <w:between w:val="nil"/>
              </w:pBdr>
              <w:tabs>
                <w:tab w:val="right" w:pos="8782"/>
              </w:tabs>
              <w:ind w:left="113" w:hanging="113"/>
              <w:rPr>
                <w:color w:val="000000"/>
              </w:rPr>
            </w:pPr>
            <w:r>
              <w:rPr>
                <w:color w:val="000000"/>
              </w:rPr>
              <w:t> </w:t>
            </w:r>
          </w:p>
        </w:tc>
        <w:tc>
          <w:tcPr>
            <w:tcW w:w="1567" w:type="dxa"/>
            <w:tcBorders>
              <w:bottom w:val="single" w:sz="4" w:space="0" w:color="000000"/>
            </w:tcBorders>
            <w:vAlign w:val="bottom"/>
          </w:tcPr>
          <w:p w14:paraId="19DC45AA" w14:textId="77777777" w:rsidR="00D83E33" w:rsidRDefault="00D83E33">
            <w:pPr>
              <w:widowControl w:val="0"/>
              <w:pBdr>
                <w:top w:val="nil"/>
                <w:left w:val="nil"/>
                <w:bottom w:val="nil"/>
                <w:right w:val="nil"/>
                <w:between w:val="nil"/>
              </w:pBdr>
              <w:jc w:val="right"/>
              <w:rPr>
                <w:color w:val="000000"/>
              </w:rPr>
            </w:pPr>
          </w:p>
        </w:tc>
        <w:tc>
          <w:tcPr>
            <w:tcW w:w="1567" w:type="dxa"/>
            <w:tcBorders>
              <w:bottom w:val="single" w:sz="4" w:space="0" w:color="000000"/>
            </w:tcBorders>
            <w:vAlign w:val="bottom"/>
          </w:tcPr>
          <w:p w14:paraId="32693DB6" w14:textId="77777777" w:rsidR="00D83E33" w:rsidRDefault="00D83E33">
            <w:pPr>
              <w:widowControl w:val="0"/>
              <w:pBdr>
                <w:top w:val="nil"/>
                <w:left w:val="nil"/>
                <w:bottom w:val="nil"/>
                <w:right w:val="nil"/>
                <w:between w:val="nil"/>
              </w:pBdr>
              <w:jc w:val="right"/>
              <w:rPr>
                <w:color w:val="000000"/>
              </w:rPr>
            </w:pPr>
          </w:p>
        </w:tc>
      </w:tr>
      <w:tr w:rsidR="00D83E33" w14:paraId="607ACE34" w14:textId="77777777" w:rsidTr="009004E7">
        <w:tc>
          <w:tcPr>
            <w:tcW w:w="6237" w:type="dxa"/>
            <w:vAlign w:val="bottom"/>
          </w:tcPr>
          <w:p w14:paraId="343FD0C0" w14:textId="77777777" w:rsidR="00D83E33" w:rsidRDefault="00BC4072">
            <w:pPr>
              <w:widowControl w:val="0"/>
              <w:pBdr>
                <w:top w:val="nil"/>
                <w:left w:val="nil"/>
                <w:bottom w:val="nil"/>
                <w:right w:val="nil"/>
                <w:between w:val="nil"/>
              </w:pBdr>
              <w:tabs>
                <w:tab w:val="right" w:pos="8782"/>
              </w:tabs>
              <w:ind w:left="113" w:hanging="113"/>
              <w:rPr>
                <w:color w:val="000000"/>
              </w:rPr>
            </w:pPr>
            <w:r>
              <w:rPr>
                <w:color w:val="000000"/>
              </w:rPr>
              <w:t> </w:t>
            </w:r>
          </w:p>
        </w:tc>
        <w:tc>
          <w:tcPr>
            <w:tcW w:w="1567" w:type="dxa"/>
            <w:vAlign w:val="bottom"/>
          </w:tcPr>
          <w:p w14:paraId="0F38215B" w14:textId="77777777" w:rsidR="00D83E33" w:rsidRDefault="00D83E33">
            <w:pPr>
              <w:widowControl w:val="0"/>
              <w:pBdr>
                <w:top w:val="nil"/>
                <w:left w:val="nil"/>
                <w:bottom w:val="nil"/>
                <w:right w:val="nil"/>
                <w:between w:val="nil"/>
              </w:pBdr>
              <w:jc w:val="right"/>
              <w:rPr>
                <w:color w:val="000000"/>
              </w:rPr>
            </w:pPr>
          </w:p>
        </w:tc>
        <w:tc>
          <w:tcPr>
            <w:tcW w:w="1567" w:type="dxa"/>
            <w:vAlign w:val="bottom"/>
          </w:tcPr>
          <w:p w14:paraId="77645E19" w14:textId="77777777" w:rsidR="00D83E33" w:rsidRDefault="00D83E33">
            <w:pPr>
              <w:widowControl w:val="0"/>
              <w:pBdr>
                <w:top w:val="nil"/>
                <w:left w:val="nil"/>
                <w:bottom w:val="nil"/>
                <w:right w:val="nil"/>
                <w:between w:val="nil"/>
              </w:pBdr>
              <w:jc w:val="right"/>
              <w:rPr>
                <w:color w:val="000000"/>
              </w:rPr>
            </w:pPr>
          </w:p>
        </w:tc>
      </w:tr>
      <w:tr w:rsidR="00D83E33" w14:paraId="065310DA" w14:textId="77777777" w:rsidTr="009004E7">
        <w:tc>
          <w:tcPr>
            <w:tcW w:w="6237" w:type="dxa"/>
            <w:vAlign w:val="bottom"/>
          </w:tcPr>
          <w:p w14:paraId="62459B19" w14:textId="77777777" w:rsidR="00D83E33" w:rsidRDefault="00BC4072">
            <w:pPr>
              <w:widowControl w:val="0"/>
              <w:pBdr>
                <w:top w:val="nil"/>
                <w:left w:val="nil"/>
                <w:bottom w:val="nil"/>
                <w:right w:val="nil"/>
                <w:between w:val="nil"/>
              </w:pBdr>
              <w:ind w:left="113" w:hanging="113"/>
              <w:rPr>
                <w:b/>
                <w:color w:val="000000"/>
              </w:rPr>
            </w:pPr>
            <w:r>
              <w:rPr>
                <w:b/>
                <w:color w:val="000000"/>
              </w:rPr>
              <w:t>Non-cash financing activities</w:t>
            </w:r>
          </w:p>
        </w:tc>
        <w:tc>
          <w:tcPr>
            <w:tcW w:w="1567" w:type="dxa"/>
            <w:vAlign w:val="bottom"/>
          </w:tcPr>
          <w:p w14:paraId="235BF1BD" w14:textId="77777777" w:rsidR="00D83E33" w:rsidRDefault="00D83E33">
            <w:pPr>
              <w:widowControl w:val="0"/>
              <w:pBdr>
                <w:top w:val="nil"/>
                <w:left w:val="nil"/>
                <w:bottom w:val="nil"/>
                <w:right w:val="nil"/>
                <w:between w:val="nil"/>
              </w:pBdr>
              <w:jc w:val="right"/>
              <w:rPr>
                <w:b/>
                <w:color w:val="000000"/>
              </w:rPr>
            </w:pPr>
          </w:p>
        </w:tc>
        <w:tc>
          <w:tcPr>
            <w:tcW w:w="1567" w:type="dxa"/>
            <w:vAlign w:val="bottom"/>
          </w:tcPr>
          <w:p w14:paraId="1955A978" w14:textId="77777777" w:rsidR="00D83E33" w:rsidRDefault="00D83E33">
            <w:pPr>
              <w:widowControl w:val="0"/>
              <w:pBdr>
                <w:top w:val="nil"/>
                <w:left w:val="nil"/>
                <w:bottom w:val="nil"/>
                <w:right w:val="nil"/>
                <w:between w:val="nil"/>
              </w:pBdr>
              <w:jc w:val="right"/>
              <w:rPr>
                <w:b/>
                <w:color w:val="000000"/>
              </w:rPr>
            </w:pPr>
          </w:p>
        </w:tc>
      </w:tr>
      <w:tr w:rsidR="00D83E33" w14:paraId="5576C29A" w14:textId="77777777" w:rsidTr="009004E7">
        <w:tc>
          <w:tcPr>
            <w:tcW w:w="6237" w:type="dxa"/>
            <w:tcBorders>
              <w:bottom w:val="single" w:sz="12" w:space="0" w:color="000000"/>
            </w:tcBorders>
            <w:vAlign w:val="bottom"/>
          </w:tcPr>
          <w:p w14:paraId="3BBA2DC6" w14:textId="77777777" w:rsidR="00D83E33" w:rsidRDefault="00BC4072">
            <w:pPr>
              <w:widowControl w:val="0"/>
              <w:pBdr>
                <w:top w:val="nil"/>
                <w:left w:val="nil"/>
                <w:bottom w:val="nil"/>
                <w:right w:val="nil"/>
                <w:between w:val="nil"/>
              </w:pBdr>
              <w:ind w:left="113" w:hanging="113"/>
              <w:rPr>
                <w:b/>
                <w:color w:val="000000"/>
              </w:rPr>
            </w:pPr>
            <w:r>
              <w:rPr>
                <w:b/>
                <w:color w:val="000000"/>
              </w:rPr>
              <w:t> </w:t>
            </w:r>
          </w:p>
        </w:tc>
        <w:tc>
          <w:tcPr>
            <w:tcW w:w="1567" w:type="dxa"/>
            <w:tcBorders>
              <w:bottom w:val="single" w:sz="12" w:space="0" w:color="000000"/>
            </w:tcBorders>
            <w:vAlign w:val="bottom"/>
          </w:tcPr>
          <w:p w14:paraId="707ACFB5" w14:textId="77777777" w:rsidR="00D83E33" w:rsidRDefault="00D83E33">
            <w:pPr>
              <w:widowControl w:val="0"/>
              <w:pBdr>
                <w:top w:val="nil"/>
                <w:left w:val="nil"/>
                <w:bottom w:val="nil"/>
                <w:right w:val="nil"/>
                <w:between w:val="nil"/>
              </w:pBdr>
              <w:jc w:val="right"/>
              <w:rPr>
                <w:b/>
                <w:color w:val="000000"/>
              </w:rPr>
            </w:pPr>
          </w:p>
        </w:tc>
        <w:tc>
          <w:tcPr>
            <w:tcW w:w="1567" w:type="dxa"/>
            <w:tcBorders>
              <w:bottom w:val="single" w:sz="12" w:space="0" w:color="000000"/>
            </w:tcBorders>
            <w:vAlign w:val="bottom"/>
          </w:tcPr>
          <w:p w14:paraId="327F373C" w14:textId="77777777" w:rsidR="00D83E33" w:rsidRDefault="00D83E33">
            <w:pPr>
              <w:widowControl w:val="0"/>
              <w:pBdr>
                <w:top w:val="nil"/>
                <w:left w:val="nil"/>
                <w:bottom w:val="nil"/>
                <w:right w:val="nil"/>
                <w:between w:val="nil"/>
              </w:pBdr>
              <w:jc w:val="right"/>
              <w:rPr>
                <w:b/>
                <w:color w:val="000000"/>
              </w:rPr>
            </w:pPr>
          </w:p>
        </w:tc>
      </w:tr>
    </w:tbl>
    <w:p w14:paraId="48146490" w14:textId="4901845E" w:rsidR="00D83E33" w:rsidRDefault="00BC4072">
      <w:pPr>
        <w:widowControl w:val="0"/>
        <w:pBdr>
          <w:top w:val="nil"/>
          <w:left w:val="nil"/>
          <w:bottom w:val="nil"/>
          <w:right w:val="nil"/>
          <w:between w:val="nil"/>
        </w:pBdr>
        <w:spacing w:before="200" w:after="200"/>
        <w:jc w:val="both"/>
        <w:rPr>
          <w:i/>
          <w:color w:val="FF0000"/>
          <w:sz w:val="20"/>
          <w:szCs w:val="20"/>
        </w:rPr>
      </w:pPr>
      <w:bookmarkStart w:id="17" w:name="_heading=h.lnxbz9" w:colFirst="0" w:colLast="0"/>
      <w:bookmarkEnd w:id="17"/>
      <w:r>
        <w:rPr>
          <w:color w:val="0000FF"/>
          <w:sz w:val="20"/>
          <w:szCs w:val="20"/>
        </w:rPr>
        <w:t xml:space="preserve">[Further non-cash transactions are presented in Note 52 which includes details of assets acquired and liabilities assumed in business combinations, and in Note 20 which includes details of assets and liabilities of disposed subsidiaries.] </w:t>
      </w:r>
    </w:p>
    <w:p w14:paraId="5162C140" w14:textId="4E568B3A" w:rsidR="00D83E33" w:rsidRDefault="00BC4072" w:rsidP="00F1145B">
      <w:pPr>
        <w:widowControl w:val="0"/>
        <w:pBdr>
          <w:top w:val="nil"/>
          <w:left w:val="nil"/>
          <w:bottom w:val="nil"/>
          <w:right w:val="nil"/>
          <w:between w:val="nil"/>
        </w:pBdr>
        <w:spacing w:before="200" w:after="200"/>
        <w:jc w:val="both"/>
        <w:rPr>
          <w:color w:val="00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the Group had _____ counterparty banks (</w:t>
      </w:r>
      <w:r w:rsidR="00541EBC">
        <w:rPr>
          <w:color w:val="000000"/>
          <w:sz w:val="20"/>
          <w:szCs w:val="20"/>
        </w:rPr>
        <w:t>2023</w:t>
      </w:r>
      <w:r>
        <w:rPr>
          <w:color w:val="000000"/>
          <w:sz w:val="20"/>
          <w:szCs w:val="20"/>
        </w:rPr>
        <w:t xml:space="preserve">: _____ banks) with aggregated cash and cash equivalent balances above </w:t>
      </w:r>
      <w:r w:rsidR="00D73799">
        <w:rPr>
          <w:color w:val="000000"/>
          <w:sz w:val="20"/>
          <w:szCs w:val="20"/>
        </w:rPr>
        <w:t>EUR</w:t>
      </w:r>
      <w:r>
        <w:rPr>
          <w:color w:val="000000"/>
          <w:sz w:val="20"/>
          <w:szCs w:val="20"/>
        </w:rPr>
        <w:t xml:space="preserve"> ______ thousand. The total aggregate amount of these balances was </w:t>
      </w:r>
      <w:r w:rsidR="00D73799">
        <w:rPr>
          <w:color w:val="000000"/>
          <w:sz w:val="20"/>
          <w:szCs w:val="20"/>
        </w:rPr>
        <w:t>EUR</w:t>
      </w:r>
      <w:r>
        <w:rPr>
          <w:color w:val="000000"/>
          <w:sz w:val="20"/>
          <w:szCs w:val="20"/>
        </w:rPr>
        <w:t> ______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______ thousand) or _____% of the cash and cash equivalents (</w:t>
      </w:r>
      <w:r w:rsidR="00541EBC">
        <w:rPr>
          <w:color w:val="000000"/>
          <w:sz w:val="20"/>
          <w:szCs w:val="20"/>
        </w:rPr>
        <w:t>2023</w:t>
      </w:r>
      <w:r>
        <w:rPr>
          <w:color w:val="000000"/>
          <w:sz w:val="20"/>
          <w:szCs w:val="20"/>
        </w:rPr>
        <w:t>: _____%).</w:t>
      </w:r>
    </w:p>
    <w:p w14:paraId="1DD6E881" w14:textId="77777777" w:rsidR="005041C2" w:rsidRDefault="005041C2" w:rsidP="005041C2">
      <w:pPr>
        <w:widowControl w:val="0"/>
        <w:pBdr>
          <w:top w:val="nil"/>
          <w:left w:val="nil"/>
          <w:bottom w:val="nil"/>
          <w:right w:val="nil"/>
          <w:between w:val="nil"/>
        </w:pBdr>
        <w:spacing w:before="200" w:after="200"/>
        <w:jc w:val="both"/>
        <w:rPr>
          <w:color w:val="000000"/>
          <w:sz w:val="20"/>
          <w:szCs w:val="20"/>
        </w:rPr>
      </w:pPr>
      <w:r>
        <w:rPr>
          <w:color w:val="000000"/>
          <w:sz w:val="20"/>
          <w:szCs w:val="20"/>
        </w:rPr>
        <w:t>Interest rate analysis of cash and cash equivalents is disclosed in Note 41. Information on related party balances is disclosed in Note 51.</w:t>
      </w:r>
    </w:p>
    <w:p w14:paraId="1881D1CF" w14:textId="7D84FC50" w:rsidR="00D83E33" w:rsidRDefault="00BC4072" w:rsidP="001B330E">
      <w:pPr>
        <w:pStyle w:val="Heading1"/>
      </w:pPr>
      <w:bookmarkStart w:id="18" w:name="_Toc83818297"/>
      <w:bookmarkStart w:id="19" w:name="_Toc83913936"/>
      <w:bookmarkStart w:id="20" w:name="_Toc83917402"/>
      <w:bookmarkStart w:id="21" w:name="_Toc83818298"/>
      <w:bookmarkStart w:id="22" w:name="_Toc83913937"/>
      <w:bookmarkStart w:id="23" w:name="_Toc83917403"/>
      <w:bookmarkStart w:id="24" w:name="_Toc179196010"/>
      <w:bookmarkEnd w:id="18"/>
      <w:bookmarkEnd w:id="19"/>
      <w:bookmarkEnd w:id="20"/>
      <w:bookmarkEnd w:id="21"/>
      <w:bookmarkEnd w:id="22"/>
      <w:bookmarkEnd w:id="23"/>
      <w:r>
        <w:t>Due from Other Banks</w:t>
      </w:r>
      <w:bookmarkEnd w:id="24"/>
    </w:p>
    <w:tbl>
      <w:tblPr>
        <w:tblStyle w:val="af"/>
        <w:tblW w:w="5000" w:type="pct"/>
        <w:tblLayout w:type="fixed"/>
        <w:tblLook w:val="0000" w:firstRow="0" w:lastRow="0" w:firstColumn="0" w:lastColumn="0" w:noHBand="0" w:noVBand="0"/>
      </w:tblPr>
      <w:tblGrid>
        <w:gridCol w:w="6180"/>
        <w:gridCol w:w="1588"/>
        <w:gridCol w:w="1587"/>
      </w:tblGrid>
      <w:tr w:rsidR="005041C2" w:rsidRPr="005041C2" w14:paraId="0981AC5B" w14:textId="77777777" w:rsidTr="001B330E">
        <w:trPr>
          <w:trHeight w:val="20"/>
        </w:trPr>
        <w:tc>
          <w:tcPr>
            <w:tcW w:w="3303" w:type="pct"/>
            <w:tcBorders>
              <w:bottom w:val="single" w:sz="4" w:space="0" w:color="000000"/>
            </w:tcBorders>
            <w:vAlign w:val="bottom"/>
          </w:tcPr>
          <w:p w14:paraId="475ABBEE" w14:textId="12857BB2" w:rsidR="00D83E33" w:rsidRPr="005041C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49" w:type="pct"/>
            <w:tcBorders>
              <w:bottom w:val="single" w:sz="4" w:space="0" w:color="000000"/>
            </w:tcBorders>
            <w:vAlign w:val="bottom"/>
          </w:tcPr>
          <w:p w14:paraId="7EE8691B" w14:textId="6927FF31" w:rsidR="00D83E33" w:rsidRPr="005041C2" w:rsidRDefault="00541EBC" w:rsidP="001B330E">
            <w:pPr>
              <w:widowControl w:val="0"/>
              <w:pBdr>
                <w:top w:val="nil"/>
                <w:left w:val="nil"/>
                <w:bottom w:val="nil"/>
                <w:right w:val="nil"/>
                <w:between w:val="nil"/>
              </w:pBdr>
              <w:jc w:val="right"/>
              <w:rPr>
                <w:b/>
                <w:color w:val="000000"/>
              </w:rPr>
            </w:pPr>
            <w:r>
              <w:rPr>
                <w:b/>
                <w:color w:val="000000"/>
              </w:rPr>
              <w:t>2024</w:t>
            </w:r>
          </w:p>
        </w:tc>
        <w:tc>
          <w:tcPr>
            <w:tcW w:w="848" w:type="pct"/>
            <w:tcBorders>
              <w:bottom w:val="single" w:sz="4" w:space="0" w:color="000000"/>
            </w:tcBorders>
            <w:vAlign w:val="bottom"/>
          </w:tcPr>
          <w:p w14:paraId="3515343C" w14:textId="3E75F3CF" w:rsidR="00D83E33" w:rsidRPr="005041C2" w:rsidRDefault="00541EBC" w:rsidP="001B330E">
            <w:pPr>
              <w:widowControl w:val="0"/>
              <w:pBdr>
                <w:top w:val="nil"/>
                <w:left w:val="nil"/>
                <w:bottom w:val="nil"/>
                <w:right w:val="nil"/>
                <w:between w:val="nil"/>
              </w:pBdr>
              <w:jc w:val="right"/>
              <w:rPr>
                <w:b/>
                <w:color w:val="000000"/>
              </w:rPr>
            </w:pPr>
            <w:r>
              <w:rPr>
                <w:b/>
                <w:color w:val="000000"/>
              </w:rPr>
              <w:t>2023</w:t>
            </w:r>
          </w:p>
        </w:tc>
      </w:tr>
      <w:tr w:rsidR="005041C2" w:rsidRPr="005041C2" w14:paraId="5B71747F" w14:textId="77777777" w:rsidTr="001B330E">
        <w:trPr>
          <w:trHeight w:val="20"/>
        </w:trPr>
        <w:tc>
          <w:tcPr>
            <w:tcW w:w="3303" w:type="pct"/>
            <w:vAlign w:val="bottom"/>
          </w:tcPr>
          <w:p w14:paraId="4EBDC845" w14:textId="77777777" w:rsidR="00D83E33" w:rsidRPr="001B330E" w:rsidRDefault="00BC4072" w:rsidP="001B330E">
            <w:pPr>
              <w:widowControl w:val="0"/>
              <w:ind w:left="113" w:hanging="113"/>
            </w:pPr>
            <w:r w:rsidRPr="001B330E">
              <w:t> </w:t>
            </w:r>
          </w:p>
        </w:tc>
        <w:tc>
          <w:tcPr>
            <w:tcW w:w="849" w:type="pct"/>
            <w:vAlign w:val="bottom"/>
          </w:tcPr>
          <w:p w14:paraId="61B8D528" w14:textId="77777777" w:rsidR="00D83E33" w:rsidRPr="001B330E" w:rsidRDefault="00D83E33" w:rsidP="001B330E">
            <w:pPr>
              <w:widowControl w:val="0"/>
              <w:jc w:val="right"/>
            </w:pPr>
          </w:p>
        </w:tc>
        <w:tc>
          <w:tcPr>
            <w:tcW w:w="848" w:type="pct"/>
            <w:vAlign w:val="bottom"/>
          </w:tcPr>
          <w:p w14:paraId="0AD6546C" w14:textId="77777777" w:rsidR="00D83E33" w:rsidRPr="001B330E" w:rsidRDefault="00D83E33" w:rsidP="001B330E">
            <w:pPr>
              <w:widowControl w:val="0"/>
              <w:jc w:val="right"/>
            </w:pPr>
          </w:p>
        </w:tc>
      </w:tr>
      <w:tr w:rsidR="005041C2" w:rsidRPr="005041C2" w14:paraId="6D972F2D" w14:textId="77777777" w:rsidTr="001B330E">
        <w:trPr>
          <w:trHeight w:val="20"/>
        </w:trPr>
        <w:tc>
          <w:tcPr>
            <w:tcW w:w="3303" w:type="pct"/>
            <w:vAlign w:val="bottom"/>
          </w:tcPr>
          <w:p w14:paraId="2A8F0DFF"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Placements with other banks with original maturities of more than three months</w:t>
            </w:r>
          </w:p>
        </w:tc>
        <w:tc>
          <w:tcPr>
            <w:tcW w:w="849" w:type="pct"/>
            <w:vAlign w:val="bottom"/>
          </w:tcPr>
          <w:p w14:paraId="4D18ABA7" w14:textId="77777777" w:rsidR="00D83E33" w:rsidRPr="005041C2" w:rsidRDefault="00D83E33" w:rsidP="001B330E">
            <w:pPr>
              <w:widowControl w:val="0"/>
              <w:pBdr>
                <w:top w:val="nil"/>
                <w:left w:val="nil"/>
                <w:bottom w:val="nil"/>
                <w:right w:val="nil"/>
                <w:between w:val="nil"/>
              </w:pBdr>
              <w:jc w:val="right"/>
              <w:rPr>
                <w:color w:val="000000"/>
              </w:rPr>
            </w:pPr>
          </w:p>
        </w:tc>
        <w:tc>
          <w:tcPr>
            <w:tcW w:w="848" w:type="pct"/>
            <w:vAlign w:val="bottom"/>
          </w:tcPr>
          <w:p w14:paraId="467E1277" w14:textId="77777777" w:rsidR="00D83E33" w:rsidRPr="005041C2" w:rsidRDefault="00D83E33" w:rsidP="001B330E">
            <w:pPr>
              <w:widowControl w:val="0"/>
              <w:pBdr>
                <w:top w:val="nil"/>
                <w:left w:val="nil"/>
                <w:bottom w:val="nil"/>
                <w:right w:val="nil"/>
                <w:between w:val="nil"/>
              </w:pBdr>
              <w:jc w:val="right"/>
              <w:rPr>
                <w:color w:val="000000"/>
              </w:rPr>
            </w:pPr>
          </w:p>
        </w:tc>
      </w:tr>
      <w:tr w:rsidR="005041C2" w:rsidRPr="005041C2" w14:paraId="3D9DEB78" w14:textId="77777777" w:rsidTr="001B330E">
        <w:trPr>
          <w:trHeight w:val="20"/>
        </w:trPr>
        <w:tc>
          <w:tcPr>
            <w:tcW w:w="3303" w:type="pct"/>
            <w:vAlign w:val="bottom"/>
          </w:tcPr>
          <w:p w14:paraId="5BF9CA48"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Reverse sale and repurchase agreements with other banks with original maturities of more than three months</w:t>
            </w:r>
          </w:p>
        </w:tc>
        <w:tc>
          <w:tcPr>
            <w:tcW w:w="849" w:type="pct"/>
            <w:vAlign w:val="bottom"/>
          </w:tcPr>
          <w:p w14:paraId="18D20C97" w14:textId="77777777" w:rsidR="00D83E33" w:rsidRPr="005041C2" w:rsidRDefault="00D83E33" w:rsidP="001B330E">
            <w:pPr>
              <w:widowControl w:val="0"/>
              <w:pBdr>
                <w:top w:val="nil"/>
                <w:left w:val="nil"/>
                <w:bottom w:val="nil"/>
                <w:right w:val="nil"/>
                <w:between w:val="nil"/>
              </w:pBdr>
              <w:jc w:val="right"/>
              <w:rPr>
                <w:color w:val="000000"/>
              </w:rPr>
            </w:pPr>
          </w:p>
        </w:tc>
        <w:tc>
          <w:tcPr>
            <w:tcW w:w="848" w:type="pct"/>
            <w:vAlign w:val="bottom"/>
          </w:tcPr>
          <w:p w14:paraId="4D39CDED" w14:textId="77777777" w:rsidR="00D83E33" w:rsidRPr="005041C2" w:rsidRDefault="00D83E33" w:rsidP="001B330E">
            <w:pPr>
              <w:widowControl w:val="0"/>
              <w:pBdr>
                <w:top w:val="nil"/>
                <w:left w:val="nil"/>
                <w:bottom w:val="nil"/>
                <w:right w:val="nil"/>
                <w:between w:val="nil"/>
              </w:pBdr>
              <w:jc w:val="right"/>
              <w:rPr>
                <w:color w:val="000000"/>
              </w:rPr>
            </w:pPr>
          </w:p>
        </w:tc>
      </w:tr>
      <w:tr w:rsidR="005041C2" w:rsidRPr="005041C2" w14:paraId="5DD4BB9C" w14:textId="77777777" w:rsidTr="001B330E">
        <w:trPr>
          <w:trHeight w:val="20"/>
        </w:trPr>
        <w:tc>
          <w:tcPr>
            <w:tcW w:w="3303" w:type="pct"/>
            <w:tcBorders>
              <w:bottom w:val="single" w:sz="4" w:space="0" w:color="000000"/>
            </w:tcBorders>
            <w:vAlign w:val="bottom"/>
          </w:tcPr>
          <w:p w14:paraId="6E5F236C" w14:textId="77777777" w:rsidR="00D83E33" w:rsidRPr="001B330E" w:rsidRDefault="00D83E33" w:rsidP="001B330E">
            <w:pPr>
              <w:widowControl w:val="0"/>
              <w:pBdr>
                <w:top w:val="nil"/>
                <w:left w:val="nil"/>
                <w:bottom w:val="nil"/>
                <w:right w:val="nil"/>
                <w:between w:val="nil"/>
              </w:pBdr>
              <w:ind w:left="113" w:hanging="113"/>
              <w:rPr>
                <w:color w:val="000000"/>
              </w:rPr>
            </w:pPr>
          </w:p>
        </w:tc>
        <w:tc>
          <w:tcPr>
            <w:tcW w:w="849" w:type="pct"/>
            <w:tcBorders>
              <w:bottom w:val="single" w:sz="4" w:space="0" w:color="000000"/>
            </w:tcBorders>
            <w:vAlign w:val="bottom"/>
          </w:tcPr>
          <w:p w14:paraId="52DED55A" w14:textId="77777777" w:rsidR="00D83E33" w:rsidRPr="001B330E" w:rsidRDefault="00D83E33" w:rsidP="001B330E">
            <w:pPr>
              <w:widowControl w:val="0"/>
              <w:pBdr>
                <w:top w:val="nil"/>
                <w:left w:val="nil"/>
                <w:bottom w:val="nil"/>
                <w:right w:val="nil"/>
                <w:between w:val="nil"/>
              </w:pBdr>
              <w:jc w:val="right"/>
              <w:rPr>
                <w:color w:val="000000"/>
              </w:rPr>
            </w:pPr>
          </w:p>
        </w:tc>
        <w:tc>
          <w:tcPr>
            <w:tcW w:w="848" w:type="pct"/>
            <w:tcBorders>
              <w:bottom w:val="single" w:sz="4" w:space="0" w:color="000000"/>
            </w:tcBorders>
            <w:vAlign w:val="bottom"/>
          </w:tcPr>
          <w:p w14:paraId="49ABC5EC" w14:textId="77777777" w:rsidR="00D83E33" w:rsidRPr="001B330E" w:rsidRDefault="00D83E33" w:rsidP="001B330E">
            <w:pPr>
              <w:widowControl w:val="0"/>
              <w:pBdr>
                <w:top w:val="nil"/>
                <w:left w:val="nil"/>
                <w:bottom w:val="nil"/>
                <w:right w:val="nil"/>
                <w:between w:val="nil"/>
              </w:pBdr>
              <w:jc w:val="right"/>
              <w:rPr>
                <w:color w:val="000000"/>
              </w:rPr>
            </w:pPr>
          </w:p>
        </w:tc>
      </w:tr>
      <w:tr w:rsidR="005041C2" w:rsidRPr="005041C2" w14:paraId="00EDA8E1" w14:textId="77777777" w:rsidTr="001B330E">
        <w:trPr>
          <w:trHeight w:val="20"/>
        </w:trPr>
        <w:tc>
          <w:tcPr>
            <w:tcW w:w="3303" w:type="pct"/>
            <w:tcBorders>
              <w:top w:val="single" w:sz="4" w:space="0" w:color="000000"/>
            </w:tcBorders>
            <w:vAlign w:val="bottom"/>
          </w:tcPr>
          <w:p w14:paraId="452E3773" w14:textId="77777777" w:rsidR="00D83E33" w:rsidRPr="001B330E" w:rsidRDefault="00D83E33" w:rsidP="001B330E">
            <w:pPr>
              <w:widowControl w:val="0"/>
              <w:pBdr>
                <w:top w:val="nil"/>
                <w:left w:val="nil"/>
                <w:bottom w:val="nil"/>
                <w:right w:val="nil"/>
                <w:between w:val="nil"/>
              </w:pBdr>
              <w:ind w:left="113" w:hanging="113"/>
              <w:rPr>
                <w:color w:val="000000"/>
              </w:rPr>
            </w:pPr>
          </w:p>
        </w:tc>
        <w:tc>
          <w:tcPr>
            <w:tcW w:w="849" w:type="pct"/>
            <w:tcBorders>
              <w:top w:val="single" w:sz="4" w:space="0" w:color="000000"/>
            </w:tcBorders>
            <w:vAlign w:val="bottom"/>
          </w:tcPr>
          <w:p w14:paraId="19120036" w14:textId="77777777" w:rsidR="00D83E33" w:rsidRPr="001B330E" w:rsidRDefault="00D83E33" w:rsidP="001B330E">
            <w:pPr>
              <w:widowControl w:val="0"/>
              <w:pBdr>
                <w:top w:val="nil"/>
                <w:left w:val="nil"/>
                <w:bottom w:val="nil"/>
                <w:right w:val="nil"/>
                <w:between w:val="nil"/>
              </w:pBdr>
              <w:jc w:val="right"/>
              <w:rPr>
                <w:color w:val="000000"/>
              </w:rPr>
            </w:pPr>
          </w:p>
        </w:tc>
        <w:tc>
          <w:tcPr>
            <w:tcW w:w="848" w:type="pct"/>
            <w:tcBorders>
              <w:top w:val="single" w:sz="4" w:space="0" w:color="000000"/>
            </w:tcBorders>
            <w:vAlign w:val="bottom"/>
          </w:tcPr>
          <w:p w14:paraId="629ECB64" w14:textId="77777777" w:rsidR="00D83E33" w:rsidRPr="001B330E" w:rsidRDefault="00D83E33" w:rsidP="001B330E">
            <w:pPr>
              <w:widowControl w:val="0"/>
              <w:pBdr>
                <w:top w:val="nil"/>
                <w:left w:val="nil"/>
                <w:bottom w:val="nil"/>
                <w:right w:val="nil"/>
                <w:between w:val="nil"/>
              </w:pBdr>
              <w:jc w:val="right"/>
              <w:rPr>
                <w:color w:val="000000"/>
              </w:rPr>
            </w:pPr>
          </w:p>
        </w:tc>
      </w:tr>
      <w:tr w:rsidR="005041C2" w:rsidRPr="005041C2" w14:paraId="0D247211" w14:textId="77777777" w:rsidTr="001B330E">
        <w:trPr>
          <w:trHeight w:val="20"/>
        </w:trPr>
        <w:tc>
          <w:tcPr>
            <w:tcW w:w="3303" w:type="pct"/>
            <w:vAlign w:val="bottom"/>
          </w:tcPr>
          <w:p w14:paraId="38746248"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xml:space="preserve">Less credit loss allowance </w:t>
            </w:r>
          </w:p>
        </w:tc>
        <w:tc>
          <w:tcPr>
            <w:tcW w:w="849" w:type="pct"/>
            <w:vAlign w:val="bottom"/>
          </w:tcPr>
          <w:p w14:paraId="63EB33E1" w14:textId="77777777" w:rsidR="00D83E33" w:rsidRPr="005041C2" w:rsidRDefault="00D83E33" w:rsidP="001B330E">
            <w:pPr>
              <w:widowControl w:val="0"/>
              <w:pBdr>
                <w:top w:val="nil"/>
                <w:left w:val="nil"/>
                <w:bottom w:val="nil"/>
                <w:right w:val="nil"/>
                <w:between w:val="nil"/>
              </w:pBdr>
              <w:jc w:val="right"/>
              <w:rPr>
                <w:color w:val="000000"/>
              </w:rPr>
            </w:pPr>
          </w:p>
        </w:tc>
        <w:tc>
          <w:tcPr>
            <w:tcW w:w="848" w:type="pct"/>
            <w:vAlign w:val="bottom"/>
          </w:tcPr>
          <w:p w14:paraId="51322E3B" w14:textId="77777777" w:rsidR="00D83E33" w:rsidRPr="005041C2" w:rsidRDefault="00D83E33" w:rsidP="001B330E">
            <w:pPr>
              <w:widowControl w:val="0"/>
              <w:pBdr>
                <w:top w:val="nil"/>
                <w:left w:val="nil"/>
                <w:bottom w:val="nil"/>
                <w:right w:val="nil"/>
                <w:between w:val="nil"/>
              </w:pBdr>
              <w:jc w:val="right"/>
              <w:rPr>
                <w:color w:val="000000"/>
              </w:rPr>
            </w:pPr>
          </w:p>
        </w:tc>
      </w:tr>
      <w:tr w:rsidR="005041C2" w:rsidRPr="005041C2" w14:paraId="56D2EDFB" w14:textId="77777777" w:rsidTr="001B330E">
        <w:trPr>
          <w:trHeight w:val="20"/>
        </w:trPr>
        <w:tc>
          <w:tcPr>
            <w:tcW w:w="3303" w:type="pct"/>
            <w:tcBorders>
              <w:bottom w:val="single" w:sz="4" w:space="0" w:color="000000"/>
            </w:tcBorders>
            <w:vAlign w:val="bottom"/>
          </w:tcPr>
          <w:p w14:paraId="4A38A77A" w14:textId="77777777" w:rsidR="00D83E33" w:rsidRPr="001B330E" w:rsidRDefault="00BC4072" w:rsidP="001B330E">
            <w:pPr>
              <w:widowControl w:val="0"/>
              <w:ind w:left="113" w:hanging="113"/>
            </w:pPr>
            <w:r w:rsidRPr="001B330E">
              <w:t> </w:t>
            </w:r>
          </w:p>
        </w:tc>
        <w:tc>
          <w:tcPr>
            <w:tcW w:w="849" w:type="pct"/>
            <w:tcBorders>
              <w:bottom w:val="single" w:sz="4" w:space="0" w:color="000000"/>
            </w:tcBorders>
            <w:vAlign w:val="bottom"/>
          </w:tcPr>
          <w:p w14:paraId="7A7DE116" w14:textId="77777777" w:rsidR="00D83E33" w:rsidRPr="001B330E" w:rsidRDefault="00D83E33" w:rsidP="001B330E">
            <w:pPr>
              <w:widowControl w:val="0"/>
              <w:jc w:val="right"/>
            </w:pPr>
          </w:p>
        </w:tc>
        <w:tc>
          <w:tcPr>
            <w:tcW w:w="848" w:type="pct"/>
            <w:tcBorders>
              <w:bottom w:val="single" w:sz="4" w:space="0" w:color="000000"/>
            </w:tcBorders>
            <w:vAlign w:val="bottom"/>
          </w:tcPr>
          <w:p w14:paraId="4A310D2A" w14:textId="77777777" w:rsidR="00D83E33" w:rsidRPr="001B330E" w:rsidRDefault="00D83E33" w:rsidP="001B330E">
            <w:pPr>
              <w:widowControl w:val="0"/>
              <w:jc w:val="right"/>
            </w:pPr>
          </w:p>
        </w:tc>
      </w:tr>
      <w:tr w:rsidR="005041C2" w:rsidRPr="005041C2" w14:paraId="7EACEA34" w14:textId="77777777" w:rsidTr="001B330E">
        <w:trPr>
          <w:trHeight w:val="20"/>
        </w:trPr>
        <w:tc>
          <w:tcPr>
            <w:tcW w:w="3303" w:type="pct"/>
            <w:vAlign w:val="bottom"/>
          </w:tcPr>
          <w:p w14:paraId="75009B55" w14:textId="77777777" w:rsidR="00D83E33" w:rsidRPr="001B330E" w:rsidRDefault="00BC4072" w:rsidP="001B330E">
            <w:pPr>
              <w:widowControl w:val="0"/>
              <w:ind w:left="113" w:hanging="113"/>
            </w:pPr>
            <w:r w:rsidRPr="001B330E">
              <w:t> </w:t>
            </w:r>
          </w:p>
        </w:tc>
        <w:tc>
          <w:tcPr>
            <w:tcW w:w="849" w:type="pct"/>
            <w:vAlign w:val="bottom"/>
          </w:tcPr>
          <w:p w14:paraId="33541453" w14:textId="77777777" w:rsidR="00D83E33" w:rsidRPr="001B330E" w:rsidRDefault="00D83E33" w:rsidP="001B330E">
            <w:pPr>
              <w:widowControl w:val="0"/>
              <w:jc w:val="right"/>
              <w:rPr>
                <w:b/>
              </w:rPr>
            </w:pPr>
          </w:p>
        </w:tc>
        <w:tc>
          <w:tcPr>
            <w:tcW w:w="848" w:type="pct"/>
            <w:vAlign w:val="bottom"/>
          </w:tcPr>
          <w:p w14:paraId="3B9C8527" w14:textId="77777777" w:rsidR="00D83E33" w:rsidRPr="001B330E" w:rsidRDefault="00D83E33" w:rsidP="001B330E">
            <w:pPr>
              <w:widowControl w:val="0"/>
              <w:jc w:val="right"/>
              <w:rPr>
                <w:b/>
              </w:rPr>
            </w:pPr>
          </w:p>
        </w:tc>
      </w:tr>
      <w:tr w:rsidR="005041C2" w:rsidRPr="005041C2" w14:paraId="15598416" w14:textId="77777777" w:rsidTr="001B330E">
        <w:trPr>
          <w:trHeight w:val="20"/>
        </w:trPr>
        <w:tc>
          <w:tcPr>
            <w:tcW w:w="3303" w:type="pct"/>
            <w:vAlign w:val="bottom"/>
          </w:tcPr>
          <w:p w14:paraId="4AA1C034" w14:textId="77777777" w:rsidR="00D83E33" w:rsidRPr="005041C2" w:rsidRDefault="00BC4072" w:rsidP="001B330E">
            <w:pPr>
              <w:widowControl w:val="0"/>
              <w:pBdr>
                <w:top w:val="nil"/>
                <w:left w:val="nil"/>
                <w:bottom w:val="nil"/>
                <w:right w:val="nil"/>
                <w:between w:val="nil"/>
              </w:pBdr>
              <w:ind w:left="113" w:hanging="113"/>
              <w:rPr>
                <w:b/>
                <w:color w:val="000000"/>
              </w:rPr>
            </w:pPr>
            <w:r w:rsidRPr="005041C2">
              <w:rPr>
                <w:b/>
                <w:color w:val="000000"/>
              </w:rPr>
              <w:t>Total due from other banks</w:t>
            </w:r>
          </w:p>
        </w:tc>
        <w:tc>
          <w:tcPr>
            <w:tcW w:w="849" w:type="pct"/>
            <w:vAlign w:val="bottom"/>
          </w:tcPr>
          <w:p w14:paraId="3A5779B6" w14:textId="77777777" w:rsidR="00D83E33" w:rsidRPr="005041C2" w:rsidRDefault="00D83E33" w:rsidP="001B330E">
            <w:pPr>
              <w:widowControl w:val="0"/>
              <w:pBdr>
                <w:top w:val="nil"/>
                <w:left w:val="nil"/>
                <w:bottom w:val="nil"/>
                <w:right w:val="nil"/>
                <w:between w:val="nil"/>
              </w:pBdr>
              <w:jc w:val="right"/>
              <w:rPr>
                <w:b/>
                <w:color w:val="000000"/>
              </w:rPr>
            </w:pPr>
          </w:p>
        </w:tc>
        <w:tc>
          <w:tcPr>
            <w:tcW w:w="848" w:type="pct"/>
            <w:vAlign w:val="bottom"/>
          </w:tcPr>
          <w:p w14:paraId="48E50765" w14:textId="77777777" w:rsidR="00D83E33" w:rsidRPr="005041C2" w:rsidRDefault="00D83E33" w:rsidP="001B330E">
            <w:pPr>
              <w:widowControl w:val="0"/>
              <w:pBdr>
                <w:top w:val="nil"/>
                <w:left w:val="nil"/>
                <w:bottom w:val="nil"/>
                <w:right w:val="nil"/>
                <w:between w:val="nil"/>
              </w:pBdr>
              <w:jc w:val="right"/>
              <w:rPr>
                <w:b/>
                <w:color w:val="000000"/>
              </w:rPr>
            </w:pPr>
          </w:p>
        </w:tc>
      </w:tr>
      <w:tr w:rsidR="005041C2" w:rsidRPr="005041C2" w14:paraId="580CF9C1" w14:textId="77777777" w:rsidTr="001B330E">
        <w:trPr>
          <w:trHeight w:val="20"/>
        </w:trPr>
        <w:tc>
          <w:tcPr>
            <w:tcW w:w="3303" w:type="pct"/>
            <w:tcBorders>
              <w:bottom w:val="single" w:sz="12" w:space="0" w:color="000000"/>
            </w:tcBorders>
            <w:vAlign w:val="bottom"/>
          </w:tcPr>
          <w:p w14:paraId="262D0407" w14:textId="77777777" w:rsidR="00D83E33" w:rsidRPr="001B330E" w:rsidRDefault="00BC4072" w:rsidP="001B330E">
            <w:pPr>
              <w:widowControl w:val="0"/>
              <w:ind w:left="113" w:hanging="113"/>
            </w:pPr>
            <w:r w:rsidRPr="001B330E">
              <w:t> </w:t>
            </w:r>
          </w:p>
        </w:tc>
        <w:tc>
          <w:tcPr>
            <w:tcW w:w="849" w:type="pct"/>
            <w:tcBorders>
              <w:bottom w:val="single" w:sz="12" w:space="0" w:color="000000"/>
            </w:tcBorders>
            <w:vAlign w:val="bottom"/>
          </w:tcPr>
          <w:p w14:paraId="280057B0" w14:textId="77777777" w:rsidR="00D83E33" w:rsidRPr="001B330E" w:rsidRDefault="00D83E33" w:rsidP="001B330E">
            <w:pPr>
              <w:widowControl w:val="0"/>
              <w:jc w:val="right"/>
              <w:rPr>
                <w:b/>
              </w:rPr>
            </w:pPr>
          </w:p>
        </w:tc>
        <w:tc>
          <w:tcPr>
            <w:tcW w:w="848" w:type="pct"/>
            <w:tcBorders>
              <w:bottom w:val="single" w:sz="12" w:space="0" w:color="000000"/>
            </w:tcBorders>
            <w:vAlign w:val="bottom"/>
          </w:tcPr>
          <w:p w14:paraId="3030B7EE" w14:textId="77777777" w:rsidR="00D83E33" w:rsidRPr="001B330E" w:rsidRDefault="00D83E33" w:rsidP="001B330E">
            <w:pPr>
              <w:widowControl w:val="0"/>
              <w:jc w:val="right"/>
              <w:rPr>
                <w:b/>
              </w:rPr>
            </w:pPr>
          </w:p>
        </w:tc>
      </w:tr>
    </w:tbl>
    <w:p w14:paraId="2294AE7F" w14:textId="65F48B80" w:rsidR="0049022E" w:rsidRDefault="0049022E" w:rsidP="0049022E">
      <w:pPr>
        <w:widowControl w:val="0"/>
        <w:pBdr>
          <w:top w:val="nil"/>
          <w:left w:val="nil"/>
          <w:bottom w:val="nil"/>
          <w:right w:val="nil"/>
          <w:between w:val="nil"/>
        </w:pBdr>
        <w:spacing w:before="200" w:after="200"/>
        <w:jc w:val="both"/>
        <w:rPr>
          <w:color w:val="0000FF"/>
          <w:sz w:val="20"/>
          <w:szCs w:val="20"/>
        </w:rPr>
      </w:pPr>
      <w:r w:rsidRPr="00443AF2">
        <w:rPr>
          <w:bCs/>
          <w:iCs/>
          <w:color w:val="0000FF"/>
          <w:sz w:val="20"/>
          <w:szCs w:val="20"/>
        </w:rPr>
        <w:t>[</w:t>
      </w:r>
      <w:r w:rsidRPr="0049022E">
        <w:rPr>
          <w:color w:val="0000FF"/>
          <w:sz w:val="20"/>
          <w:szCs w:val="20"/>
        </w:rPr>
        <w:t>Amounts due from other banks are recorded when the Group advances money to counterparty banks. Amounts due from other banks are carried at AC when: (i) they are held for the purposes of collecting contractual cash flows and those cash flows represent SPPI, and (ii) they are not designated at FVTPL.</w:t>
      </w:r>
      <w:r w:rsidR="00443AF2">
        <w:rPr>
          <w:color w:val="0000FF"/>
          <w:sz w:val="20"/>
          <w:szCs w:val="20"/>
        </w:rPr>
        <w:t>]</w:t>
      </w:r>
    </w:p>
    <w:p w14:paraId="5ED497A3" w14:textId="151B5BA3" w:rsidR="00443AF2" w:rsidRPr="0049022E" w:rsidRDefault="00443AF2" w:rsidP="0049022E">
      <w:pPr>
        <w:widowControl w:val="0"/>
        <w:pBdr>
          <w:top w:val="nil"/>
          <w:left w:val="nil"/>
          <w:bottom w:val="nil"/>
          <w:right w:val="nil"/>
          <w:between w:val="nil"/>
        </w:pBdr>
        <w:spacing w:before="200" w:after="200"/>
        <w:jc w:val="both"/>
        <w:rPr>
          <w:color w:val="0000FF"/>
          <w:sz w:val="20"/>
          <w:szCs w:val="20"/>
        </w:rPr>
      </w:pPr>
      <w:r>
        <w:rPr>
          <w:color w:val="0000FF"/>
          <w:sz w:val="20"/>
          <w:szCs w:val="20"/>
        </w:rPr>
        <w:t>[</w:t>
      </w:r>
      <w:r w:rsidRPr="0049022E">
        <w:rPr>
          <w:color w:val="0000FF"/>
          <w:sz w:val="20"/>
          <w:szCs w:val="20"/>
        </w:rPr>
        <w:t>Certain bank deposits held by the Group are subject to the “bail-in” legislation that permits or requires a national resolving authority to impose losses on holders in particular circumstances. Where the bail-in clauses are included in the contractual terms of the instrument and would apply even if legislation subsequently changes, the SPPI test is not met and such instruments are mandatorily measured at FVTPL.</w:t>
      </w:r>
      <w:r>
        <w:rPr>
          <w:color w:val="0000FF"/>
          <w:sz w:val="20"/>
          <w:szCs w:val="20"/>
        </w:rPr>
        <w:t>]</w:t>
      </w:r>
    </w:p>
    <w:p w14:paraId="64204F30" w14:textId="77777777" w:rsidR="00443AF2" w:rsidRDefault="00443AF2" w:rsidP="00443AF2">
      <w:pPr>
        <w:pStyle w:val="Continued"/>
      </w:pPr>
      <w:r>
        <w:lastRenderedPageBreak/>
        <w:t>8</w:t>
      </w:r>
      <w:r>
        <w:tab/>
        <w:t>Due from Other Banks (Continued)</w:t>
      </w:r>
    </w:p>
    <w:p w14:paraId="3CF71175" w14:textId="49994578" w:rsidR="0049022E" w:rsidRPr="0049022E" w:rsidRDefault="00443AF2" w:rsidP="0049022E">
      <w:pPr>
        <w:widowControl w:val="0"/>
        <w:pBdr>
          <w:top w:val="nil"/>
          <w:left w:val="nil"/>
          <w:bottom w:val="nil"/>
          <w:right w:val="nil"/>
          <w:between w:val="nil"/>
        </w:pBdr>
        <w:spacing w:before="200" w:after="200"/>
        <w:jc w:val="both"/>
        <w:rPr>
          <w:color w:val="0000FF"/>
          <w:sz w:val="20"/>
          <w:szCs w:val="20"/>
        </w:rPr>
      </w:pPr>
      <w:r>
        <w:rPr>
          <w:color w:val="0000FF"/>
          <w:sz w:val="20"/>
          <w:szCs w:val="20"/>
        </w:rPr>
        <w:t>[</w:t>
      </w:r>
      <w:r w:rsidR="0049022E" w:rsidRPr="0049022E">
        <w:rPr>
          <w:color w:val="0000FF"/>
          <w:sz w:val="20"/>
          <w:szCs w:val="20"/>
        </w:rPr>
        <w:t>The Group did not identify such balances due from other banks.] Where such clauses in the contract merely acknowledge the existence of the legislation and do not create any additional rights or obligation for the Group, the SPPI criterion is met and the respective instruments are carried at AC.]</w:t>
      </w:r>
    </w:p>
    <w:p w14:paraId="04D64838" w14:textId="6B1DA827"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The following table contains an analysis of due from other banks balances by credit quality at 31</w:t>
      </w:r>
      <w:r w:rsidR="00181687">
        <w:rPr>
          <w:color w:val="000000"/>
          <w:sz w:val="20"/>
          <w:szCs w:val="20"/>
        </w:rPr>
        <w:t> December </w:t>
      </w:r>
      <w:r w:rsidR="00541EBC">
        <w:rPr>
          <w:color w:val="000000"/>
          <w:sz w:val="20"/>
          <w:szCs w:val="20"/>
        </w:rPr>
        <w:t>2024</w:t>
      </w:r>
      <w:r>
        <w:rPr>
          <w:color w:val="000000"/>
          <w:sz w:val="20"/>
          <w:szCs w:val="20"/>
        </w:rPr>
        <w:t xml:space="preserve"> based on credit risk grades and discloses due from other banks balances by three stages for the purpose of ECL measurement. Refer to Note 41 for the description of credit risk grading system used by the Group and the approach to ECL measurement, including the definition of default and SICR as applicable to due from other banks balances. The carrying amount of due from other banks balances at 31</w:t>
      </w:r>
      <w:r w:rsidR="00181687">
        <w:rPr>
          <w:color w:val="000000"/>
          <w:sz w:val="20"/>
          <w:szCs w:val="20"/>
        </w:rPr>
        <w:t> December </w:t>
      </w:r>
      <w:r w:rsidR="00541EBC">
        <w:rPr>
          <w:color w:val="000000"/>
          <w:sz w:val="20"/>
          <w:szCs w:val="20"/>
        </w:rPr>
        <w:t>2024</w:t>
      </w:r>
      <w:r>
        <w:rPr>
          <w:color w:val="000000"/>
          <w:sz w:val="20"/>
          <w:szCs w:val="20"/>
        </w:rPr>
        <w:t xml:space="preserve"> below also represents the Group's maximum exposure to credit risk on these assets:</w:t>
      </w:r>
    </w:p>
    <w:tbl>
      <w:tblPr>
        <w:tblStyle w:val="af0"/>
        <w:tblW w:w="5000" w:type="pct"/>
        <w:tblLayout w:type="fixed"/>
        <w:tblLook w:val="0000" w:firstRow="0" w:lastRow="0" w:firstColumn="0" w:lastColumn="0" w:noHBand="0" w:noVBand="0"/>
      </w:tblPr>
      <w:tblGrid>
        <w:gridCol w:w="3547"/>
        <w:gridCol w:w="1162"/>
        <w:gridCol w:w="1162"/>
        <w:gridCol w:w="1162"/>
        <w:gridCol w:w="1162"/>
        <w:gridCol w:w="1160"/>
      </w:tblGrid>
      <w:tr w:rsidR="00D83E33" w:rsidRPr="005041C2" w14:paraId="39D79F01" w14:textId="77777777" w:rsidTr="001B330E">
        <w:trPr>
          <w:trHeight w:val="23"/>
        </w:trPr>
        <w:tc>
          <w:tcPr>
            <w:tcW w:w="1896" w:type="pct"/>
            <w:tcBorders>
              <w:bottom w:val="single" w:sz="4" w:space="0" w:color="000000"/>
            </w:tcBorders>
            <w:vAlign w:val="bottom"/>
          </w:tcPr>
          <w:p w14:paraId="2B9D3D6C" w14:textId="03F1CD30" w:rsidR="00D83E33" w:rsidRPr="005041C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21" w:type="pct"/>
            <w:tcBorders>
              <w:bottom w:val="single" w:sz="4" w:space="0" w:color="000000"/>
            </w:tcBorders>
          </w:tcPr>
          <w:p w14:paraId="4A4A3119" w14:textId="77777777" w:rsidR="00D83E33" w:rsidRPr="005041C2" w:rsidRDefault="00BC4072" w:rsidP="001B330E">
            <w:pPr>
              <w:widowControl w:val="0"/>
              <w:pBdr>
                <w:top w:val="nil"/>
                <w:left w:val="nil"/>
                <w:bottom w:val="nil"/>
                <w:right w:val="nil"/>
                <w:between w:val="nil"/>
              </w:pBdr>
              <w:jc w:val="right"/>
              <w:rPr>
                <w:b/>
                <w:color w:val="000000"/>
              </w:rPr>
            </w:pPr>
            <w:r w:rsidRPr="005041C2">
              <w:rPr>
                <w:b/>
                <w:color w:val="000000"/>
              </w:rPr>
              <w:t xml:space="preserve">Stage 1 </w:t>
            </w:r>
          </w:p>
          <w:p w14:paraId="1B4A7642" w14:textId="77777777" w:rsidR="00D83E33" w:rsidRPr="005041C2" w:rsidRDefault="00BC4072" w:rsidP="001B330E">
            <w:pPr>
              <w:widowControl w:val="0"/>
              <w:pBdr>
                <w:top w:val="nil"/>
                <w:left w:val="nil"/>
                <w:bottom w:val="nil"/>
                <w:right w:val="nil"/>
                <w:between w:val="nil"/>
              </w:pBdr>
              <w:jc w:val="right"/>
              <w:rPr>
                <w:b/>
                <w:color w:val="000000"/>
              </w:rPr>
            </w:pPr>
            <w:r w:rsidRPr="005041C2">
              <w:rPr>
                <w:b/>
                <w:color w:val="000000"/>
              </w:rPr>
              <w:t>(12-months ECL)</w:t>
            </w:r>
          </w:p>
        </w:tc>
        <w:tc>
          <w:tcPr>
            <w:tcW w:w="621" w:type="pct"/>
            <w:tcBorders>
              <w:bottom w:val="single" w:sz="4" w:space="0" w:color="000000"/>
            </w:tcBorders>
          </w:tcPr>
          <w:p w14:paraId="12A78437" w14:textId="77777777" w:rsidR="00D83E33" w:rsidRPr="005041C2" w:rsidRDefault="00BC4072" w:rsidP="001B330E">
            <w:pPr>
              <w:widowControl w:val="0"/>
              <w:pBdr>
                <w:top w:val="nil"/>
                <w:left w:val="nil"/>
                <w:bottom w:val="nil"/>
                <w:right w:val="nil"/>
                <w:between w:val="nil"/>
              </w:pBdr>
              <w:jc w:val="right"/>
              <w:rPr>
                <w:b/>
                <w:color w:val="000000"/>
              </w:rPr>
            </w:pPr>
            <w:r w:rsidRPr="005041C2">
              <w:rPr>
                <w:b/>
                <w:color w:val="000000"/>
              </w:rPr>
              <w:t>Stage 2</w:t>
            </w:r>
          </w:p>
          <w:p w14:paraId="3F87FB56" w14:textId="77777777" w:rsidR="00D83E33" w:rsidRPr="005041C2" w:rsidRDefault="00BC4072" w:rsidP="001B330E">
            <w:pPr>
              <w:widowControl w:val="0"/>
              <w:pBdr>
                <w:top w:val="nil"/>
                <w:left w:val="nil"/>
                <w:bottom w:val="nil"/>
                <w:right w:val="nil"/>
                <w:between w:val="nil"/>
              </w:pBdr>
              <w:jc w:val="right"/>
              <w:rPr>
                <w:b/>
                <w:color w:val="000000"/>
              </w:rPr>
            </w:pPr>
            <w:r w:rsidRPr="005041C2">
              <w:rPr>
                <w:b/>
                <w:color w:val="000000"/>
              </w:rPr>
              <w:t xml:space="preserve">(lifetime ECL for SICR) </w:t>
            </w:r>
          </w:p>
        </w:tc>
        <w:tc>
          <w:tcPr>
            <w:tcW w:w="621" w:type="pct"/>
            <w:tcBorders>
              <w:bottom w:val="single" w:sz="4" w:space="0" w:color="000000"/>
            </w:tcBorders>
          </w:tcPr>
          <w:p w14:paraId="5EC1E569" w14:textId="77777777" w:rsidR="00D83E33" w:rsidRPr="005041C2" w:rsidRDefault="00BC4072" w:rsidP="001B330E">
            <w:pPr>
              <w:widowControl w:val="0"/>
              <w:pBdr>
                <w:top w:val="nil"/>
                <w:left w:val="nil"/>
                <w:bottom w:val="nil"/>
                <w:right w:val="nil"/>
                <w:between w:val="nil"/>
              </w:pBdr>
              <w:jc w:val="right"/>
              <w:rPr>
                <w:b/>
                <w:color w:val="000000"/>
              </w:rPr>
            </w:pPr>
            <w:r w:rsidRPr="005041C2">
              <w:rPr>
                <w:b/>
                <w:color w:val="000000"/>
              </w:rPr>
              <w:t>Stage 3</w:t>
            </w:r>
          </w:p>
          <w:p w14:paraId="4F8ADECF" w14:textId="77777777" w:rsidR="00D83E33" w:rsidRPr="005041C2" w:rsidRDefault="00BC4072" w:rsidP="001B330E">
            <w:pPr>
              <w:widowControl w:val="0"/>
              <w:pBdr>
                <w:top w:val="nil"/>
                <w:left w:val="nil"/>
                <w:bottom w:val="nil"/>
                <w:right w:val="nil"/>
                <w:between w:val="nil"/>
              </w:pBdr>
              <w:jc w:val="right"/>
              <w:rPr>
                <w:b/>
                <w:color w:val="000000"/>
              </w:rPr>
            </w:pPr>
            <w:r w:rsidRPr="005041C2">
              <w:rPr>
                <w:b/>
                <w:color w:val="000000"/>
              </w:rPr>
              <w:t>(lifetime ECL for credit impaired)</w:t>
            </w:r>
          </w:p>
        </w:tc>
        <w:tc>
          <w:tcPr>
            <w:tcW w:w="621" w:type="pct"/>
            <w:tcBorders>
              <w:bottom w:val="single" w:sz="4" w:space="0" w:color="000000"/>
            </w:tcBorders>
          </w:tcPr>
          <w:p w14:paraId="1D929A18" w14:textId="77777777" w:rsidR="00D83E33" w:rsidRPr="005041C2" w:rsidRDefault="00BC4072" w:rsidP="001B330E">
            <w:pPr>
              <w:widowControl w:val="0"/>
              <w:pBdr>
                <w:top w:val="nil"/>
                <w:left w:val="nil"/>
                <w:bottom w:val="nil"/>
                <w:right w:val="nil"/>
                <w:between w:val="nil"/>
              </w:pBdr>
              <w:jc w:val="right"/>
              <w:rPr>
                <w:b/>
                <w:color w:val="000000"/>
              </w:rPr>
            </w:pPr>
            <w:r w:rsidRPr="005041C2">
              <w:rPr>
                <w:b/>
                <w:color w:val="000000"/>
              </w:rPr>
              <w:t>POCI</w:t>
            </w:r>
          </w:p>
        </w:tc>
        <w:tc>
          <w:tcPr>
            <w:tcW w:w="620" w:type="pct"/>
            <w:tcBorders>
              <w:bottom w:val="single" w:sz="4" w:space="0" w:color="000000"/>
            </w:tcBorders>
          </w:tcPr>
          <w:p w14:paraId="1C2E5DF7" w14:textId="77777777" w:rsidR="00D83E33" w:rsidRPr="005041C2" w:rsidRDefault="00BC4072" w:rsidP="001B330E">
            <w:pPr>
              <w:widowControl w:val="0"/>
              <w:pBdr>
                <w:top w:val="nil"/>
                <w:left w:val="nil"/>
                <w:bottom w:val="nil"/>
                <w:right w:val="nil"/>
                <w:between w:val="nil"/>
              </w:pBdr>
              <w:jc w:val="right"/>
              <w:rPr>
                <w:b/>
                <w:color w:val="000000"/>
              </w:rPr>
            </w:pPr>
            <w:r w:rsidRPr="005041C2">
              <w:rPr>
                <w:b/>
                <w:color w:val="000000"/>
              </w:rPr>
              <w:t>Total</w:t>
            </w:r>
          </w:p>
        </w:tc>
      </w:tr>
      <w:tr w:rsidR="00D83E33" w:rsidRPr="00443AF2" w14:paraId="32D8AC27" w14:textId="77777777" w:rsidTr="001B330E">
        <w:trPr>
          <w:trHeight w:val="23"/>
        </w:trPr>
        <w:tc>
          <w:tcPr>
            <w:tcW w:w="1896" w:type="pct"/>
            <w:vAlign w:val="bottom"/>
          </w:tcPr>
          <w:p w14:paraId="1FFBADC6" w14:textId="77777777" w:rsidR="00D83E33" w:rsidRPr="00443AF2" w:rsidRDefault="00BC4072" w:rsidP="001B330E">
            <w:pPr>
              <w:widowControl w:val="0"/>
              <w:ind w:left="113" w:hanging="113"/>
              <w:rPr>
                <w:sz w:val="13"/>
                <w:szCs w:val="13"/>
              </w:rPr>
            </w:pPr>
            <w:r w:rsidRPr="00443AF2">
              <w:rPr>
                <w:sz w:val="13"/>
                <w:szCs w:val="13"/>
              </w:rPr>
              <w:t> </w:t>
            </w:r>
          </w:p>
        </w:tc>
        <w:tc>
          <w:tcPr>
            <w:tcW w:w="621" w:type="pct"/>
            <w:vAlign w:val="bottom"/>
          </w:tcPr>
          <w:p w14:paraId="1546588D"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vAlign w:val="bottom"/>
          </w:tcPr>
          <w:p w14:paraId="46BFE7F9"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vAlign w:val="bottom"/>
          </w:tcPr>
          <w:p w14:paraId="4B3311A0"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vAlign w:val="bottom"/>
          </w:tcPr>
          <w:p w14:paraId="0137FC9F"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0" w:type="pct"/>
            <w:vAlign w:val="bottom"/>
          </w:tcPr>
          <w:p w14:paraId="5BE31CE7"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r>
      <w:tr w:rsidR="00D83E33" w:rsidRPr="005041C2" w14:paraId="2B13B36F" w14:textId="77777777" w:rsidTr="001B330E">
        <w:trPr>
          <w:trHeight w:val="23"/>
        </w:trPr>
        <w:tc>
          <w:tcPr>
            <w:tcW w:w="1896" w:type="pct"/>
            <w:shd w:val="clear" w:color="auto" w:fill="auto"/>
            <w:vAlign w:val="bottom"/>
          </w:tcPr>
          <w:p w14:paraId="3D511821" w14:textId="77777777" w:rsidR="00D83E33" w:rsidRPr="005041C2" w:rsidRDefault="00BC4072" w:rsidP="001B330E">
            <w:pPr>
              <w:widowControl w:val="0"/>
              <w:pBdr>
                <w:top w:val="nil"/>
                <w:left w:val="nil"/>
                <w:bottom w:val="nil"/>
                <w:right w:val="nil"/>
                <w:between w:val="nil"/>
              </w:pBdr>
              <w:ind w:left="113" w:hanging="113"/>
              <w:rPr>
                <w:b/>
                <w:i/>
                <w:color w:val="000000"/>
              </w:rPr>
            </w:pPr>
            <w:r w:rsidRPr="005041C2">
              <w:rPr>
                <w:b/>
                <w:i/>
                <w:color w:val="000000"/>
              </w:rPr>
              <w:t>Placements with other banks</w:t>
            </w:r>
          </w:p>
        </w:tc>
        <w:tc>
          <w:tcPr>
            <w:tcW w:w="621" w:type="pct"/>
            <w:vAlign w:val="bottom"/>
          </w:tcPr>
          <w:p w14:paraId="6B177A29"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7EB65E5E"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354F3682"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3AEAE488"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604DFDEF"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443AF2" w14:paraId="4E1327BF" w14:textId="77777777" w:rsidTr="00443AF2">
        <w:trPr>
          <w:trHeight w:val="67"/>
        </w:trPr>
        <w:tc>
          <w:tcPr>
            <w:tcW w:w="1896" w:type="pct"/>
            <w:shd w:val="clear" w:color="auto" w:fill="auto"/>
            <w:vAlign w:val="bottom"/>
          </w:tcPr>
          <w:p w14:paraId="2DD77B99" w14:textId="77777777" w:rsidR="00D83E33" w:rsidRPr="00443AF2" w:rsidRDefault="00D83E33" w:rsidP="001B330E">
            <w:pPr>
              <w:widowControl w:val="0"/>
              <w:pBdr>
                <w:top w:val="nil"/>
                <w:left w:val="nil"/>
                <w:bottom w:val="nil"/>
                <w:right w:val="nil"/>
                <w:between w:val="nil"/>
              </w:pBdr>
              <w:ind w:left="113" w:hanging="113"/>
              <w:rPr>
                <w:color w:val="000000"/>
                <w:sz w:val="15"/>
                <w:szCs w:val="15"/>
              </w:rPr>
            </w:pPr>
          </w:p>
        </w:tc>
        <w:tc>
          <w:tcPr>
            <w:tcW w:w="621" w:type="pct"/>
            <w:vAlign w:val="bottom"/>
          </w:tcPr>
          <w:p w14:paraId="3EAD60FE" w14:textId="77777777" w:rsidR="00D83E33" w:rsidRPr="00443AF2" w:rsidRDefault="00D83E33" w:rsidP="001B330E">
            <w:pPr>
              <w:widowControl w:val="0"/>
              <w:pBdr>
                <w:top w:val="nil"/>
                <w:left w:val="nil"/>
                <w:bottom w:val="nil"/>
                <w:right w:val="nil"/>
                <w:between w:val="nil"/>
              </w:pBdr>
              <w:jc w:val="right"/>
              <w:rPr>
                <w:color w:val="000000"/>
                <w:sz w:val="15"/>
                <w:szCs w:val="15"/>
              </w:rPr>
            </w:pPr>
          </w:p>
        </w:tc>
        <w:tc>
          <w:tcPr>
            <w:tcW w:w="621" w:type="pct"/>
            <w:vAlign w:val="bottom"/>
          </w:tcPr>
          <w:p w14:paraId="1C6EC3E5" w14:textId="77777777" w:rsidR="00D83E33" w:rsidRPr="00443AF2" w:rsidRDefault="00D83E33" w:rsidP="001B330E">
            <w:pPr>
              <w:widowControl w:val="0"/>
              <w:pBdr>
                <w:top w:val="nil"/>
                <w:left w:val="nil"/>
                <w:bottom w:val="nil"/>
                <w:right w:val="nil"/>
                <w:between w:val="nil"/>
              </w:pBdr>
              <w:jc w:val="right"/>
              <w:rPr>
                <w:color w:val="000000"/>
                <w:sz w:val="15"/>
                <w:szCs w:val="15"/>
              </w:rPr>
            </w:pPr>
          </w:p>
        </w:tc>
        <w:tc>
          <w:tcPr>
            <w:tcW w:w="621" w:type="pct"/>
            <w:shd w:val="clear" w:color="auto" w:fill="auto"/>
            <w:vAlign w:val="bottom"/>
          </w:tcPr>
          <w:p w14:paraId="605DF6F0" w14:textId="77777777" w:rsidR="00D83E33" w:rsidRPr="00443AF2" w:rsidRDefault="00D83E33" w:rsidP="001B330E">
            <w:pPr>
              <w:widowControl w:val="0"/>
              <w:pBdr>
                <w:top w:val="nil"/>
                <w:left w:val="nil"/>
                <w:bottom w:val="nil"/>
                <w:right w:val="nil"/>
                <w:between w:val="nil"/>
              </w:pBdr>
              <w:jc w:val="right"/>
              <w:rPr>
                <w:color w:val="000000"/>
                <w:sz w:val="15"/>
                <w:szCs w:val="15"/>
              </w:rPr>
            </w:pPr>
          </w:p>
        </w:tc>
        <w:tc>
          <w:tcPr>
            <w:tcW w:w="621" w:type="pct"/>
            <w:shd w:val="clear" w:color="auto" w:fill="auto"/>
            <w:vAlign w:val="bottom"/>
          </w:tcPr>
          <w:p w14:paraId="0FD751B9" w14:textId="77777777" w:rsidR="00D83E33" w:rsidRPr="00443AF2" w:rsidRDefault="00D83E33" w:rsidP="001B330E">
            <w:pPr>
              <w:widowControl w:val="0"/>
              <w:pBdr>
                <w:top w:val="nil"/>
                <w:left w:val="nil"/>
                <w:bottom w:val="nil"/>
                <w:right w:val="nil"/>
                <w:between w:val="nil"/>
              </w:pBdr>
              <w:jc w:val="right"/>
              <w:rPr>
                <w:color w:val="000000"/>
                <w:sz w:val="15"/>
                <w:szCs w:val="15"/>
              </w:rPr>
            </w:pPr>
          </w:p>
        </w:tc>
        <w:tc>
          <w:tcPr>
            <w:tcW w:w="620" w:type="pct"/>
            <w:shd w:val="clear" w:color="auto" w:fill="auto"/>
            <w:vAlign w:val="bottom"/>
          </w:tcPr>
          <w:p w14:paraId="5266D556" w14:textId="77777777" w:rsidR="00D83E33" w:rsidRPr="00443AF2" w:rsidRDefault="00D83E33" w:rsidP="001B330E">
            <w:pPr>
              <w:widowControl w:val="0"/>
              <w:pBdr>
                <w:top w:val="nil"/>
                <w:left w:val="nil"/>
                <w:bottom w:val="nil"/>
                <w:right w:val="nil"/>
                <w:between w:val="nil"/>
              </w:pBdr>
              <w:jc w:val="right"/>
              <w:rPr>
                <w:color w:val="000000"/>
                <w:sz w:val="15"/>
                <w:szCs w:val="15"/>
              </w:rPr>
            </w:pPr>
          </w:p>
        </w:tc>
      </w:tr>
      <w:tr w:rsidR="00D83E33" w:rsidRPr="005041C2" w14:paraId="6230435B" w14:textId="77777777" w:rsidTr="001B330E">
        <w:trPr>
          <w:trHeight w:val="23"/>
        </w:trPr>
        <w:tc>
          <w:tcPr>
            <w:tcW w:w="1896" w:type="pct"/>
            <w:shd w:val="clear" w:color="auto" w:fill="auto"/>
            <w:vAlign w:val="bottom"/>
          </w:tcPr>
          <w:p w14:paraId="4FE8AC9E"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Excellent</w:t>
            </w:r>
          </w:p>
        </w:tc>
        <w:tc>
          <w:tcPr>
            <w:tcW w:w="621" w:type="pct"/>
            <w:vAlign w:val="bottom"/>
          </w:tcPr>
          <w:p w14:paraId="2C330842"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3CD0A42B"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2B36D772"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71F3F160"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367FDC39"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6E9BF1CA" w14:textId="77777777" w:rsidTr="001B330E">
        <w:trPr>
          <w:trHeight w:val="23"/>
        </w:trPr>
        <w:tc>
          <w:tcPr>
            <w:tcW w:w="1896" w:type="pct"/>
            <w:shd w:val="clear" w:color="auto" w:fill="auto"/>
            <w:vAlign w:val="bottom"/>
          </w:tcPr>
          <w:p w14:paraId="7094F34A"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Good</w:t>
            </w:r>
          </w:p>
        </w:tc>
        <w:tc>
          <w:tcPr>
            <w:tcW w:w="621" w:type="pct"/>
            <w:vAlign w:val="bottom"/>
          </w:tcPr>
          <w:p w14:paraId="1D465A0B"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2EF90AB9"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231D33ED"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325DC0F9"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51C0DAEF"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4AB71109" w14:textId="77777777" w:rsidTr="001B330E">
        <w:trPr>
          <w:trHeight w:val="23"/>
        </w:trPr>
        <w:tc>
          <w:tcPr>
            <w:tcW w:w="1896" w:type="pct"/>
            <w:shd w:val="clear" w:color="auto" w:fill="auto"/>
            <w:vAlign w:val="bottom"/>
          </w:tcPr>
          <w:p w14:paraId="6F97D2F5"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Satisfactory</w:t>
            </w:r>
          </w:p>
        </w:tc>
        <w:tc>
          <w:tcPr>
            <w:tcW w:w="621" w:type="pct"/>
            <w:vAlign w:val="bottom"/>
          </w:tcPr>
          <w:p w14:paraId="2E84F585"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3DCBB42D"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4ACBF96A"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0E2C33E6"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50CFB09B"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136444D2" w14:textId="77777777" w:rsidTr="001B330E">
        <w:trPr>
          <w:trHeight w:val="23"/>
        </w:trPr>
        <w:tc>
          <w:tcPr>
            <w:tcW w:w="1896" w:type="pct"/>
            <w:shd w:val="clear" w:color="auto" w:fill="auto"/>
            <w:vAlign w:val="bottom"/>
          </w:tcPr>
          <w:p w14:paraId="6C15613B"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Special monitoring</w:t>
            </w:r>
          </w:p>
        </w:tc>
        <w:tc>
          <w:tcPr>
            <w:tcW w:w="621" w:type="pct"/>
            <w:vAlign w:val="bottom"/>
          </w:tcPr>
          <w:p w14:paraId="0B4001E8"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3195E34B"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5E3D8F0F"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7AA611FB"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500CBABA"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1C8C69CB" w14:textId="77777777" w:rsidTr="001B330E">
        <w:trPr>
          <w:trHeight w:val="23"/>
        </w:trPr>
        <w:tc>
          <w:tcPr>
            <w:tcW w:w="1896" w:type="pct"/>
            <w:shd w:val="clear" w:color="auto" w:fill="auto"/>
            <w:vAlign w:val="bottom"/>
          </w:tcPr>
          <w:p w14:paraId="08B0D833"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Default</w:t>
            </w:r>
          </w:p>
        </w:tc>
        <w:tc>
          <w:tcPr>
            <w:tcW w:w="621" w:type="pct"/>
            <w:vAlign w:val="bottom"/>
          </w:tcPr>
          <w:p w14:paraId="0362E0F1"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035C2AD0"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01E315F4"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7FCDE171"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184EA7EA"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5935406C" w14:textId="77777777" w:rsidTr="001B330E">
        <w:trPr>
          <w:trHeight w:val="23"/>
        </w:trPr>
        <w:tc>
          <w:tcPr>
            <w:tcW w:w="1896" w:type="pct"/>
            <w:tcBorders>
              <w:bottom w:val="single" w:sz="4" w:space="0" w:color="000000"/>
            </w:tcBorders>
            <w:shd w:val="clear" w:color="auto" w:fill="auto"/>
            <w:vAlign w:val="bottom"/>
          </w:tcPr>
          <w:p w14:paraId="51C3438C"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bottom w:val="single" w:sz="4" w:space="0" w:color="000000"/>
            </w:tcBorders>
            <w:vAlign w:val="bottom"/>
          </w:tcPr>
          <w:p w14:paraId="4B03318B"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vAlign w:val="bottom"/>
          </w:tcPr>
          <w:p w14:paraId="5490799C"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459646E3"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312A5DEA"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bottom w:val="single" w:sz="4" w:space="0" w:color="000000"/>
            </w:tcBorders>
            <w:shd w:val="clear" w:color="auto" w:fill="auto"/>
            <w:vAlign w:val="bottom"/>
          </w:tcPr>
          <w:p w14:paraId="41619F9E"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24F44939" w14:textId="77777777" w:rsidTr="001B330E">
        <w:trPr>
          <w:trHeight w:val="23"/>
        </w:trPr>
        <w:tc>
          <w:tcPr>
            <w:tcW w:w="1896" w:type="pct"/>
            <w:tcBorders>
              <w:top w:val="single" w:sz="4" w:space="0" w:color="000000"/>
            </w:tcBorders>
            <w:shd w:val="clear" w:color="auto" w:fill="auto"/>
            <w:vAlign w:val="bottom"/>
          </w:tcPr>
          <w:p w14:paraId="6AF548C5"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top w:val="single" w:sz="4" w:space="0" w:color="000000"/>
            </w:tcBorders>
            <w:vAlign w:val="bottom"/>
          </w:tcPr>
          <w:p w14:paraId="5EF5B017"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vAlign w:val="bottom"/>
          </w:tcPr>
          <w:p w14:paraId="12714C62"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1F8BFFE7"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58E51284"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top w:val="single" w:sz="4" w:space="0" w:color="000000"/>
            </w:tcBorders>
            <w:shd w:val="clear" w:color="auto" w:fill="auto"/>
            <w:vAlign w:val="bottom"/>
          </w:tcPr>
          <w:p w14:paraId="6704245F"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1F43B91C" w14:textId="77777777" w:rsidTr="001B330E">
        <w:trPr>
          <w:trHeight w:val="23"/>
        </w:trPr>
        <w:tc>
          <w:tcPr>
            <w:tcW w:w="1896" w:type="pct"/>
            <w:shd w:val="clear" w:color="auto" w:fill="auto"/>
            <w:vAlign w:val="bottom"/>
          </w:tcPr>
          <w:p w14:paraId="4AA9DB16" w14:textId="77777777" w:rsidR="00D83E33" w:rsidRPr="005041C2" w:rsidRDefault="00BC4072" w:rsidP="001B330E">
            <w:pPr>
              <w:widowControl w:val="0"/>
              <w:pBdr>
                <w:top w:val="nil"/>
                <w:left w:val="nil"/>
                <w:bottom w:val="nil"/>
                <w:right w:val="nil"/>
                <w:between w:val="nil"/>
              </w:pBdr>
              <w:ind w:left="113" w:hanging="113"/>
              <w:rPr>
                <w:b/>
                <w:color w:val="000000"/>
              </w:rPr>
            </w:pPr>
            <w:r w:rsidRPr="005041C2">
              <w:rPr>
                <w:b/>
                <w:color w:val="000000"/>
              </w:rPr>
              <w:t>Gross carrying amount</w:t>
            </w:r>
          </w:p>
        </w:tc>
        <w:tc>
          <w:tcPr>
            <w:tcW w:w="621" w:type="pct"/>
            <w:vAlign w:val="bottom"/>
          </w:tcPr>
          <w:p w14:paraId="7146AA7D"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3F0772E6"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1BCFB434"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0A40EFC8"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783B8AAB"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3771859F" w14:textId="77777777" w:rsidTr="001B330E">
        <w:trPr>
          <w:trHeight w:val="23"/>
        </w:trPr>
        <w:tc>
          <w:tcPr>
            <w:tcW w:w="1896" w:type="pct"/>
            <w:tcBorders>
              <w:bottom w:val="single" w:sz="4" w:space="0" w:color="000000"/>
            </w:tcBorders>
            <w:shd w:val="clear" w:color="auto" w:fill="auto"/>
            <w:vAlign w:val="bottom"/>
          </w:tcPr>
          <w:p w14:paraId="04212BBC"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bottom w:val="single" w:sz="4" w:space="0" w:color="000000"/>
            </w:tcBorders>
            <w:vAlign w:val="bottom"/>
          </w:tcPr>
          <w:p w14:paraId="0797867E"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vAlign w:val="bottom"/>
          </w:tcPr>
          <w:p w14:paraId="5B0F5648"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766DDF12"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7013AA5A"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bottom w:val="single" w:sz="4" w:space="0" w:color="000000"/>
            </w:tcBorders>
            <w:shd w:val="clear" w:color="auto" w:fill="auto"/>
            <w:vAlign w:val="bottom"/>
          </w:tcPr>
          <w:p w14:paraId="3D7B1F6E"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0E8276CD" w14:textId="77777777" w:rsidTr="001B330E">
        <w:trPr>
          <w:trHeight w:val="23"/>
        </w:trPr>
        <w:tc>
          <w:tcPr>
            <w:tcW w:w="1896" w:type="pct"/>
            <w:tcBorders>
              <w:top w:val="single" w:sz="4" w:space="0" w:color="000000"/>
            </w:tcBorders>
            <w:shd w:val="clear" w:color="auto" w:fill="auto"/>
            <w:vAlign w:val="bottom"/>
          </w:tcPr>
          <w:p w14:paraId="191FE341"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top w:val="single" w:sz="4" w:space="0" w:color="000000"/>
            </w:tcBorders>
            <w:vAlign w:val="bottom"/>
          </w:tcPr>
          <w:p w14:paraId="775DFAD1"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vAlign w:val="bottom"/>
          </w:tcPr>
          <w:p w14:paraId="6B6C2BB2"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2FD52A99"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1FD00ED1"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top w:val="single" w:sz="4" w:space="0" w:color="000000"/>
            </w:tcBorders>
            <w:shd w:val="clear" w:color="auto" w:fill="auto"/>
            <w:vAlign w:val="bottom"/>
          </w:tcPr>
          <w:p w14:paraId="0BD53C99"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56C090A3" w14:textId="77777777" w:rsidTr="001B330E">
        <w:trPr>
          <w:trHeight w:val="23"/>
        </w:trPr>
        <w:tc>
          <w:tcPr>
            <w:tcW w:w="1896" w:type="pct"/>
            <w:shd w:val="clear" w:color="auto" w:fill="auto"/>
            <w:vAlign w:val="bottom"/>
          </w:tcPr>
          <w:p w14:paraId="3E14594F"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Credit loss allowance</w:t>
            </w:r>
          </w:p>
        </w:tc>
        <w:tc>
          <w:tcPr>
            <w:tcW w:w="621" w:type="pct"/>
            <w:vAlign w:val="bottom"/>
          </w:tcPr>
          <w:p w14:paraId="2DB30670"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480ACF41"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61BDBEE9"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4751E9BB"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2C8072CB"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0330B941" w14:textId="77777777" w:rsidTr="001B330E">
        <w:trPr>
          <w:trHeight w:val="23"/>
        </w:trPr>
        <w:tc>
          <w:tcPr>
            <w:tcW w:w="1896" w:type="pct"/>
            <w:shd w:val="clear" w:color="auto" w:fill="auto"/>
            <w:vAlign w:val="bottom"/>
          </w:tcPr>
          <w:p w14:paraId="3479B494"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vAlign w:val="bottom"/>
          </w:tcPr>
          <w:p w14:paraId="3C1152CE"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vAlign w:val="bottom"/>
          </w:tcPr>
          <w:p w14:paraId="7FA275C9"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shd w:val="clear" w:color="auto" w:fill="auto"/>
            <w:vAlign w:val="bottom"/>
          </w:tcPr>
          <w:p w14:paraId="168D8EC4"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shd w:val="clear" w:color="auto" w:fill="auto"/>
            <w:vAlign w:val="bottom"/>
          </w:tcPr>
          <w:p w14:paraId="4FAABAA9"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shd w:val="clear" w:color="auto" w:fill="auto"/>
            <w:vAlign w:val="bottom"/>
          </w:tcPr>
          <w:p w14:paraId="63C7CDD8"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7985FA04" w14:textId="77777777" w:rsidTr="001B330E">
        <w:trPr>
          <w:trHeight w:val="23"/>
        </w:trPr>
        <w:tc>
          <w:tcPr>
            <w:tcW w:w="1896" w:type="pct"/>
            <w:tcBorders>
              <w:top w:val="single" w:sz="4" w:space="0" w:color="000000"/>
            </w:tcBorders>
            <w:shd w:val="clear" w:color="auto" w:fill="auto"/>
            <w:vAlign w:val="bottom"/>
          </w:tcPr>
          <w:p w14:paraId="7F3FA7A9"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top w:val="single" w:sz="4" w:space="0" w:color="000000"/>
            </w:tcBorders>
            <w:vAlign w:val="bottom"/>
          </w:tcPr>
          <w:p w14:paraId="480FEF5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vAlign w:val="bottom"/>
          </w:tcPr>
          <w:p w14:paraId="265CB6A4"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4DD77E9B"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5F20CFA8"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top w:val="single" w:sz="4" w:space="0" w:color="000000"/>
            </w:tcBorders>
            <w:shd w:val="clear" w:color="auto" w:fill="auto"/>
            <w:vAlign w:val="bottom"/>
          </w:tcPr>
          <w:p w14:paraId="08CB4796"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789D96AB" w14:textId="77777777" w:rsidTr="001B330E">
        <w:trPr>
          <w:trHeight w:val="23"/>
        </w:trPr>
        <w:tc>
          <w:tcPr>
            <w:tcW w:w="1896" w:type="pct"/>
            <w:shd w:val="clear" w:color="auto" w:fill="auto"/>
            <w:vAlign w:val="bottom"/>
          </w:tcPr>
          <w:p w14:paraId="23D551F5" w14:textId="77777777" w:rsidR="00D83E33" w:rsidRPr="005041C2" w:rsidRDefault="00BC4072" w:rsidP="001B330E">
            <w:pPr>
              <w:widowControl w:val="0"/>
              <w:pBdr>
                <w:top w:val="nil"/>
                <w:left w:val="nil"/>
                <w:bottom w:val="nil"/>
                <w:right w:val="nil"/>
                <w:between w:val="nil"/>
              </w:pBdr>
              <w:ind w:left="113" w:hanging="113"/>
              <w:rPr>
                <w:b/>
                <w:color w:val="000000"/>
              </w:rPr>
            </w:pPr>
            <w:r w:rsidRPr="005041C2">
              <w:rPr>
                <w:b/>
                <w:color w:val="000000"/>
              </w:rPr>
              <w:t>Carrying amount</w:t>
            </w:r>
          </w:p>
        </w:tc>
        <w:tc>
          <w:tcPr>
            <w:tcW w:w="621" w:type="pct"/>
            <w:vAlign w:val="bottom"/>
          </w:tcPr>
          <w:p w14:paraId="49B5EA10"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62E13B48"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75AC2054"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67613B49"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182C5AA1"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10C1486E" w14:textId="77777777" w:rsidTr="001B330E">
        <w:trPr>
          <w:trHeight w:val="23"/>
        </w:trPr>
        <w:tc>
          <w:tcPr>
            <w:tcW w:w="1896" w:type="pct"/>
            <w:tcBorders>
              <w:bottom w:val="single" w:sz="12" w:space="0" w:color="000000"/>
            </w:tcBorders>
            <w:shd w:val="clear" w:color="auto" w:fill="auto"/>
            <w:vAlign w:val="bottom"/>
          </w:tcPr>
          <w:p w14:paraId="50AA2990"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bottom w:val="single" w:sz="12" w:space="0" w:color="000000"/>
            </w:tcBorders>
            <w:vAlign w:val="bottom"/>
          </w:tcPr>
          <w:p w14:paraId="2B09548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12" w:space="0" w:color="000000"/>
            </w:tcBorders>
            <w:vAlign w:val="bottom"/>
          </w:tcPr>
          <w:p w14:paraId="1FFB8E84"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12" w:space="0" w:color="000000"/>
            </w:tcBorders>
            <w:shd w:val="clear" w:color="auto" w:fill="auto"/>
            <w:vAlign w:val="bottom"/>
          </w:tcPr>
          <w:p w14:paraId="10971388"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12" w:space="0" w:color="000000"/>
            </w:tcBorders>
            <w:shd w:val="clear" w:color="auto" w:fill="auto"/>
            <w:vAlign w:val="bottom"/>
          </w:tcPr>
          <w:p w14:paraId="0ED4F704"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bottom w:val="single" w:sz="12" w:space="0" w:color="000000"/>
            </w:tcBorders>
            <w:shd w:val="clear" w:color="auto" w:fill="auto"/>
            <w:vAlign w:val="bottom"/>
          </w:tcPr>
          <w:p w14:paraId="1B15072F"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55129720" w14:textId="77777777" w:rsidTr="001B330E">
        <w:trPr>
          <w:trHeight w:val="23"/>
        </w:trPr>
        <w:tc>
          <w:tcPr>
            <w:tcW w:w="1896" w:type="pct"/>
            <w:tcBorders>
              <w:top w:val="single" w:sz="12" w:space="0" w:color="000000"/>
            </w:tcBorders>
            <w:shd w:val="clear" w:color="auto" w:fill="auto"/>
            <w:vAlign w:val="bottom"/>
          </w:tcPr>
          <w:p w14:paraId="620459D5"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top w:val="single" w:sz="12" w:space="0" w:color="000000"/>
            </w:tcBorders>
            <w:vAlign w:val="bottom"/>
          </w:tcPr>
          <w:p w14:paraId="5BF73138"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12" w:space="0" w:color="000000"/>
            </w:tcBorders>
            <w:vAlign w:val="bottom"/>
          </w:tcPr>
          <w:p w14:paraId="3528205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12" w:space="0" w:color="000000"/>
            </w:tcBorders>
            <w:shd w:val="clear" w:color="auto" w:fill="auto"/>
            <w:vAlign w:val="bottom"/>
          </w:tcPr>
          <w:p w14:paraId="5F6C7746"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12" w:space="0" w:color="000000"/>
            </w:tcBorders>
            <w:shd w:val="clear" w:color="auto" w:fill="auto"/>
            <w:vAlign w:val="bottom"/>
          </w:tcPr>
          <w:p w14:paraId="5F28ACF1"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top w:val="single" w:sz="12" w:space="0" w:color="000000"/>
            </w:tcBorders>
            <w:shd w:val="clear" w:color="auto" w:fill="auto"/>
            <w:vAlign w:val="bottom"/>
          </w:tcPr>
          <w:p w14:paraId="367F84B3"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7326119C" w14:textId="77777777" w:rsidTr="001B330E">
        <w:trPr>
          <w:trHeight w:val="23"/>
        </w:trPr>
        <w:tc>
          <w:tcPr>
            <w:tcW w:w="1896" w:type="pct"/>
            <w:shd w:val="clear" w:color="auto" w:fill="auto"/>
            <w:vAlign w:val="bottom"/>
          </w:tcPr>
          <w:p w14:paraId="453C8722" w14:textId="77777777" w:rsidR="00D83E33" w:rsidRPr="005041C2" w:rsidRDefault="00BC4072" w:rsidP="001B330E">
            <w:pPr>
              <w:widowControl w:val="0"/>
              <w:pBdr>
                <w:top w:val="nil"/>
                <w:left w:val="nil"/>
                <w:bottom w:val="nil"/>
                <w:right w:val="nil"/>
                <w:between w:val="nil"/>
              </w:pBdr>
              <w:ind w:left="113" w:hanging="113"/>
              <w:rPr>
                <w:b/>
                <w:i/>
                <w:color w:val="000000"/>
              </w:rPr>
            </w:pPr>
            <w:r w:rsidRPr="005041C2">
              <w:rPr>
                <w:b/>
                <w:i/>
                <w:color w:val="000000"/>
              </w:rPr>
              <w:t>Reverse sale and repurchase agreements</w:t>
            </w:r>
          </w:p>
        </w:tc>
        <w:tc>
          <w:tcPr>
            <w:tcW w:w="621" w:type="pct"/>
            <w:vAlign w:val="bottom"/>
          </w:tcPr>
          <w:p w14:paraId="3E18FB65"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5F711593"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105597F9"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3EB3F0B1"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182589D9"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443AF2" w14:paraId="11B7A6F5" w14:textId="77777777" w:rsidTr="001B330E">
        <w:trPr>
          <w:trHeight w:val="23"/>
        </w:trPr>
        <w:tc>
          <w:tcPr>
            <w:tcW w:w="1896" w:type="pct"/>
            <w:shd w:val="clear" w:color="auto" w:fill="auto"/>
            <w:vAlign w:val="bottom"/>
          </w:tcPr>
          <w:p w14:paraId="167E8E54" w14:textId="77777777" w:rsidR="00D83E33" w:rsidRPr="00443AF2" w:rsidRDefault="00D83E33" w:rsidP="001B330E">
            <w:pPr>
              <w:widowControl w:val="0"/>
              <w:pBdr>
                <w:top w:val="nil"/>
                <w:left w:val="nil"/>
                <w:bottom w:val="nil"/>
                <w:right w:val="nil"/>
                <w:between w:val="nil"/>
              </w:pBdr>
              <w:ind w:left="113" w:hanging="113"/>
              <w:rPr>
                <w:color w:val="000000"/>
                <w:sz w:val="13"/>
                <w:szCs w:val="13"/>
              </w:rPr>
            </w:pPr>
          </w:p>
        </w:tc>
        <w:tc>
          <w:tcPr>
            <w:tcW w:w="621" w:type="pct"/>
            <w:vAlign w:val="bottom"/>
          </w:tcPr>
          <w:p w14:paraId="1026DB59"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vAlign w:val="bottom"/>
          </w:tcPr>
          <w:p w14:paraId="3DB9ACF7"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shd w:val="clear" w:color="auto" w:fill="auto"/>
            <w:vAlign w:val="bottom"/>
          </w:tcPr>
          <w:p w14:paraId="172D4C16"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shd w:val="clear" w:color="auto" w:fill="auto"/>
            <w:vAlign w:val="bottom"/>
          </w:tcPr>
          <w:p w14:paraId="3FCC9EFD"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0" w:type="pct"/>
            <w:shd w:val="clear" w:color="auto" w:fill="auto"/>
            <w:vAlign w:val="bottom"/>
          </w:tcPr>
          <w:p w14:paraId="27FC3630"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r>
      <w:tr w:rsidR="00D83E33" w:rsidRPr="005041C2" w14:paraId="08D50E17" w14:textId="77777777" w:rsidTr="001B330E">
        <w:trPr>
          <w:trHeight w:val="23"/>
        </w:trPr>
        <w:tc>
          <w:tcPr>
            <w:tcW w:w="1896" w:type="pct"/>
            <w:shd w:val="clear" w:color="auto" w:fill="auto"/>
            <w:vAlign w:val="bottom"/>
          </w:tcPr>
          <w:p w14:paraId="4D8CBE79"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Excellent</w:t>
            </w:r>
          </w:p>
          <w:p w14:paraId="2B740E03"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Good</w:t>
            </w:r>
          </w:p>
        </w:tc>
        <w:tc>
          <w:tcPr>
            <w:tcW w:w="621" w:type="pct"/>
            <w:vAlign w:val="bottom"/>
          </w:tcPr>
          <w:p w14:paraId="1E4A4BB4"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2346FE3A"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7593B5A2"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3EABFB64"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66D808C3"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0E67D89F" w14:textId="77777777" w:rsidTr="001B330E">
        <w:trPr>
          <w:trHeight w:val="23"/>
        </w:trPr>
        <w:tc>
          <w:tcPr>
            <w:tcW w:w="1896" w:type="pct"/>
            <w:shd w:val="clear" w:color="auto" w:fill="auto"/>
            <w:vAlign w:val="bottom"/>
          </w:tcPr>
          <w:p w14:paraId="708A3562"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Satisfactory</w:t>
            </w:r>
          </w:p>
        </w:tc>
        <w:tc>
          <w:tcPr>
            <w:tcW w:w="621" w:type="pct"/>
            <w:vAlign w:val="bottom"/>
          </w:tcPr>
          <w:p w14:paraId="012EF72D"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01CD3585"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388ADD53"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42598C5C"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006A706E"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75D74C0B" w14:textId="77777777" w:rsidTr="001B330E">
        <w:trPr>
          <w:trHeight w:val="23"/>
        </w:trPr>
        <w:tc>
          <w:tcPr>
            <w:tcW w:w="1896" w:type="pct"/>
            <w:shd w:val="clear" w:color="auto" w:fill="auto"/>
            <w:vAlign w:val="bottom"/>
          </w:tcPr>
          <w:p w14:paraId="40EE0921"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Special monitoring</w:t>
            </w:r>
          </w:p>
        </w:tc>
        <w:tc>
          <w:tcPr>
            <w:tcW w:w="621" w:type="pct"/>
            <w:vAlign w:val="bottom"/>
          </w:tcPr>
          <w:p w14:paraId="06E11344"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03ACD273"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181248D7"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10812963"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461D872B"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202C0DAF" w14:textId="77777777" w:rsidTr="001B330E">
        <w:trPr>
          <w:trHeight w:val="23"/>
        </w:trPr>
        <w:tc>
          <w:tcPr>
            <w:tcW w:w="1896" w:type="pct"/>
            <w:shd w:val="clear" w:color="auto" w:fill="auto"/>
            <w:vAlign w:val="bottom"/>
          </w:tcPr>
          <w:p w14:paraId="5F8D3084"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 Default</w:t>
            </w:r>
          </w:p>
        </w:tc>
        <w:tc>
          <w:tcPr>
            <w:tcW w:w="621" w:type="pct"/>
            <w:vAlign w:val="bottom"/>
          </w:tcPr>
          <w:p w14:paraId="468B0ECC"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5FC36F97"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679CD8A2"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072FA475"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49C4DBAB"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6E2C61BD" w14:textId="77777777" w:rsidTr="001B330E">
        <w:trPr>
          <w:trHeight w:val="23"/>
        </w:trPr>
        <w:tc>
          <w:tcPr>
            <w:tcW w:w="1896" w:type="pct"/>
            <w:tcBorders>
              <w:bottom w:val="single" w:sz="4" w:space="0" w:color="000000"/>
            </w:tcBorders>
            <w:shd w:val="clear" w:color="auto" w:fill="auto"/>
            <w:vAlign w:val="bottom"/>
          </w:tcPr>
          <w:p w14:paraId="5515AEE4"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bottom w:val="single" w:sz="4" w:space="0" w:color="000000"/>
            </w:tcBorders>
            <w:vAlign w:val="bottom"/>
          </w:tcPr>
          <w:p w14:paraId="3BE34322"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vAlign w:val="bottom"/>
          </w:tcPr>
          <w:p w14:paraId="1893552F"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673799C7"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5B135FDA"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bottom w:val="single" w:sz="4" w:space="0" w:color="000000"/>
            </w:tcBorders>
            <w:shd w:val="clear" w:color="auto" w:fill="auto"/>
            <w:vAlign w:val="bottom"/>
          </w:tcPr>
          <w:p w14:paraId="11511201"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4BF95302" w14:textId="77777777" w:rsidTr="001B330E">
        <w:trPr>
          <w:trHeight w:val="23"/>
        </w:trPr>
        <w:tc>
          <w:tcPr>
            <w:tcW w:w="1896" w:type="pct"/>
            <w:tcBorders>
              <w:top w:val="single" w:sz="4" w:space="0" w:color="000000"/>
            </w:tcBorders>
            <w:shd w:val="clear" w:color="auto" w:fill="auto"/>
            <w:vAlign w:val="bottom"/>
          </w:tcPr>
          <w:p w14:paraId="37AE8466"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top w:val="single" w:sz="4" w:space="0" w:color="000000"/>
            </w:tcBorders>
            <w:vAlign w:val="bottom"/>
          </w:tcPr>
          <w:p w14:paraId="3D1A16E5"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vAlign w:val="bottom"/>
          </w:tcPr>
          <w:p w14:paraId="2CED20DD"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201297AD"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04519614"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top w:val="single" w:sz="4" w:space="0" w:color="000000"/>
            </w:tcBorders>
            <w:shd w:val="clear" w:color="auto" w:fill="auto"/>
            <w:vAlign w:val="bottom"/>
          </w:tcPr>
          <w:p w14:paraId="48F722A8"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7275F9EC" w14:textId="77777777" w:rsidTr="001B330E">
        <w:trPr>
          <w:trHeight w:val="23"/>
        </w:trPr>
        <w:tc>
          <w:tcPr>
            <w:tcW w:w="1896" w:type="pct"/>
            <w:shd w:val="clear" w:color="auto" w:fill="auto"/>
            <w:vAlign w:val="bottom"/>
          </w:tcPr>
          <w:p w14:paraId="36F2549C" w14:textId="77777777" w:rsidR="00D83E33" w:rsidRPr="005041C2" w:rsidRDefault="00BC4072" w:rsidP="001B330E">
            <w:pPr>
              <w:widowControl w:val="0"/>
              <w:pBdr>
                <w:top w:val="nil"/>
                <w:left w:val="nil"/>
                <w:bottom w:val="nil"/>
                <w:right w:val="nil"/>
                <w:between w:val="nil"/>
              </w:pBdr>
              <w:ind w:left="113" w:hanging="113"/>
              <w:rPr>
                <w:b/>
                <w:color w:val="000000"/>
              </w:rPr>
            </w:pPr>
            <w:r w:rsidRPr="005041C2">
              <w:rPr>
                <w:b/>
                <w:color w:val="000000"/>
              </w:rPr>
              <w:t>Gross carrying amount</w:t>
            </w:r>
          </w:p>
        </w:tc>
        <w:tc>
          <w:tcPr>
            <w:tcW w:w="621" w:type="pct"/>
            <w:vAlign w:val="bottom"/>
          </w:tcPr>
          <w:p w14:paraId="09A4B932"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0F616272"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260A7A7E"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7B0A0DC2"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4BBED173"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531F5119" w14:textId="77777777" w:rsidTr="001B330E">
        <w:trPr>
          <w:trHeight w:val="23"/>
        </w:trPr>
        <w:tc>
          <w:tcPr>
            <w:tcW w:w="1896" w:type="pct"/>
            <w:tcBorders>
              <w:bottom w:val="single" w:sz="4" w:space="0" w:color="000000"/>
            </w:tcBorders>
            <w:shd w:val="clear" w:color="auto" w:fill="auto"/>
            <w:vAlign w:val="bottom"/>
          </w:tcPr>
          <w:p w14:paraId="3301C813"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bottom w:val="single" w:sz="4" w:space="0" w:color="000000"/>
            </w:tcBorders>
            <w:vAlign w:val="bottom"/>
          </w:tcPr>
          <w:p w14:paraId="666545C2"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vAlign w:val="bottom"/>
          </w:tcPr>
          <w:p w14:paraId="563220E8"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5C2540AB"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1C2EB88A"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bottom w:val="single" w:sz="4" w:space="0" w:color="000000"/>
            </w:tcBorders>
            <w:shd w:val="clear" w:color="auto" w:fill="auto"/>
            <w:vAlign w:val="bottom"/>
          </w:tcPr>
          <w:p w14:paraId="476A467F"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421B04C3" w14:textId="77777777" w:rsidTr="001B330E">
        <w:trPr>
          <w:trHeight w:val="23"/>
        </w:trPr>
        <w:tc>
          <w:tcPr>
            <w:tcW w:w="1896" w:type="pct"/>
            <w:tcBorders>
              <w:top w:val="single" w:sz="4" w:space="0" w:color="000000"/>
            </w:tcBorders>
            <w:shd w:val="clear" w:color="auto" w:fill="auto"/>
            <w:vAlign w:val="bottom"/>
          </w:tcPr>
          <w:p w14:paraId="7377198D"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top w:val="single" w:sz="4" w:space="0" w:color="000000"/>
            </w:tcBorders>
            <w:vAlign w:val="bottom"/>
          </w:tcPr>
          <w:p w14:paraId="3B1C1E86"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vAlign w:val="bottom"/>
          </w:tcPr>
          <w:p w14:paraId="40CBCE86"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65BECE55"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shd w:val="clear" w:color="auto" w:fill="auto"/>
            <w:vAlign w:val="bottom"/>
          </w:tcPr>
          <w:p w14:paraId="63FE830B"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top w:val="single" w:sz="4" w:space="0" w:color="000000"/>
            </w:tcBorders>
            <w:shd w:val="clear" w:color="auto" w:fill="auto"/>
            <w:vAlign w:val="bottom"/>
          </w:tcPr>
          <w:p w14:paraId="35F639FA"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7DAAB030" w14:textId="77777777" w:rsidTr="001B330E">
        <w:trPr>
          <w:trHeight w:val="23"/>
        </w:trPr>
        <w:tc>
          <w:tcPr>
            <w:tcW w:w="1896" w:type="pct"/>
            <w:shd w:val="clear" w:color="auto" w:fill="auto"/>
            <w:vAlign w:val="bottom"/>
          </w:tcPr>
          <w:p w14:paraId="2192779F" w14:textId="77777777" w:rsidR="00D83E33" w:rsidRPr="005041C2" w:rsidRDefault="00BC4072" w:rsidP="001B330E">
            <w:pPr>
              <w:widowControl w:val="0"/>
              <w:pBdr>
                <w:top w:val="nil"/>
                <w:left w:val="nil"/>
                <w:bottom w:val="nil"/>
                <w:right w:val="nil"/>
                <w:between w:val="nil"/>
              </w:pBdr>
              <w:ind w:left="113" w:hanging="113"/>
              <w:rPr>
                <w:color w:val="000000"/>
              </w:rPr>
            </w:pPr>
            <w:r w:rsidRPr="005041C2">
              <w:rPr>
                <w:color w:val="000000"/>
              </w:rPr>
              <w:t>Credit loss allowance</w:t>
            </w:r>
          </w:p>
        </w:tc>
        <w:tc>
          <w:tcPr>
            <w:tcW w:w="621" w:type="pct"/>
            <w:vAlign w:val="bottom"/>
          </w:tcPr>
          <w:p w14:paraId="0B03CCE1"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2BD79D78"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09C0D43F"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459B2B96"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6CE3E3E5"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44C7E7BB" w14:textId="77777777" w:rsidTr="001B330E">
        <w:trPr>
          <w:trHeight w:val="23"/>
        </w:trPr>
        <w:tc>
          <w:tcPr>
            <w:tcW w:w="1896" w:type="pct"/>
            <w:tcBorders>
              <w:bottom w:val="single" w:sz="4" w:space="0" w:color="000000"/>
            </w:tcBorders>
            <w:shd w:val="clear" w:color="auto" w:fill="auto"/>
            <w:vAlign w:val="bottom"/>
          </w:tcPr>
          <w:p w14:paraId="18362623"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bottom w:val="single" w:sz="4" w:space="0" w:color="000000"/>
            </w:tcBorders>
            <w:vAlign w:val="bottom"/>
          </w:tcPr>
          <w:p w14:paraId="7061DA9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vAlign w:val="bottom"/>
          </w:tcPr>
          <w:p w14:paraId="750ABBF2"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37D93A03"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4" w:space="0" w:color="000000"/>
            </w:tcBorders>
            <w:shd w:val="clear" w:color="auto" w:fill="auto"/>
            <w:vAlign w:val="bottom"/>
          </w:tcPr>
          <w:p w14:paraId="23934BC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bottom w:val="single" w:sz="4" w:space="0" w:color="000000"/>
            </w:tcBorders>
            <w:shd w:val="clear" w:color="auto" w:fill="auto"/>
            <w:vAlign w:val="bottom"/>
          </w:tcPr>
          <w:p w14:paraId="64CDC33D"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7CF72595" w14:textId="77777777" w:rsidTr="001B330E">
        <w:trPr>
          <w:trHeight w:val="23"/>
        </w:trPr>
        <w:tc>
          <w:tcPr>
            <w:tcW w:w="1896" w:type="pct"/>
            <w:tcBorders>
              <w:top w:val="single" w:sz="4" w:space="0" w:color="000000"/>
            </w:tcBorders>
            <w:vAlign w:val="bottom"/>
          </w:tcPr>
          <w:p w14:paraId="4411D257"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21" w:type="pct"/>
            <w:tcBorders>
              <w:top w:val="single" w:sz="4" w:space="0" w:color="000000"/>
            </w:tcBorders>
            <w:vAlign w:val="bottom"/>
          </w:tcPr>
          <w:p w14:paraId="7ABF3289"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vAlign w:val="bottom"/>
          </w:tcPr>
          <w:p w14:paraId="1402B74B"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vAlign w:val="bottom"/>
          </w:tcPr>
          <w:p w14:paraId="473E8619"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top w:val="single" w:sz="4" w:space="0" w:color="000000"/>
            </w:tcBorders>
            <w:vAlign w:val="bottom"/>
          </w:tcPr>
          <w:p w14:paraId="44AB3C5B"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top w:val="single" w:sz="4" w:space="0" w:color="000000"/>
            </w:tcBorders>
            <w:vAlign w:val="bottom"/>
          </w:tcPr>
          <w:p w14:paraId="78374FA3"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5041C2" w14:paraId="279D23AD" w14:textId="77777777" w:rsidTr="001B330E">
        <w:trPr>
          <w:trHeight w:val="23"/>
        </w:trPr>
        <w:tc>
          <w:tcPr>
            <w:tcW w:w="1896" w:type="pct"/>
            <w:vAlign w:val="bottom"/>
          </w:tcPr>
          <w:p w14:paraId="3069D19F" w14:textId="77777777" w:rsidR="00D83E33" w:rsidRPr="005041C2" w:rsidRDefault="00BC4072" w:rsidP="001B330E">
            <w:pPr>
              <w:widowControl w:val="0"/>
              <w:pBdr>
                <w:top w:val="nil"/>
                <w:left w:val="nil"/>
                <w:bottom w:val="nil"/>
                <w:right w:val="nil"/>
                <w:between w:val="nil"/>
              </w:pBdr>
              <w:ind w:left="113" w:hanging="113"/>
              <w:rPr>
                <w:b/>
                <w:color w:val="000000"/>
              </w:rPr>
            </w:pPr>
            <w:r w:rsidRPr="005041C2">
              <w:rPr>
                <w:b/>
                <w:color w:val="000000"/>
              </w:rPr>
              <w:t>Carrying amount</w:t>
            </w:r>
          </w:p>
        </w:tc>
        <w:tc>
          <w:tcPr>
            <w:tcW w:w="621" w:type="pct"/>
            <w:vAlign w:val="bottom"/>
          </w:tcPr>
          <w:p w14:paraId="669B8A6A"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7819F38C"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16A14968"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4489E4E3"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vAlign w:val="bottom"/>
          </w:tcPr>
          <w:p w14:paraId="791EA497"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5041C2" w14:paraId="03E182D6" w14:textId="77777777" w:rsidTr="001B330E">
        <w:trPr>
          <w:trHeight w:val="23"/>
        </w:trPr>
        <w:tc>
          <w:tcPr>
            <w:tcW w:w="1896" w:type="pct"/>
            <w:tcBorders>
              <w:bottom w:val="single" w:sz="12" w:space="0" w:color="000000"/>
            </w:tcBorders>
            <w:vAlign w:val="bottom"/>
          </w:tcPr>
          <w:p w14:paraId="526E7033" w14:textId="77777777" w:rsidR="00D83E33" w:rsidRPr="001B330E" w:rsidRDefault="00D83E33" w:rsidP="001B330E">
            <w:pPr>
              <w:widowControl w:val="0"/>
              <w:pBdr>
                <w:top w:val="nil"/>
                <w:left w:val="nil"/>
                <w:bottom w:val="nil"/>
                <w:right w:val="nil"/>
                <w:between w:val="nil"/>
              </w:pBdr>
              <w:ind w:left="113" w:hanging="113"/>
              <w:rPr>
                <w:b/>
                <w:color w:val="000000"/>
                <w:szCs w:val="10"/>
              </w:rPr>
            </w:pPr>
          </w:p>
        </w:tc>
        <w:tc>
          <w:tcPr>
            <w:tcW w:w="621" w:type="pct"/>
            <w:tcBorders>
              <w:bottom w:val="single" w:sz="12" w:space="0" w:color="000000"/>
            </w:tcBorders>
            <w:vAlign w:val="bottom"/>
          </w:tcPr>
          <w:p w14:paraId="71D331E3"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12" w:space="0" w:color="000000"/>
            </w:tcBorders>
            <w:vAlign w:val="bottom"/>
          </w:tcPr>
          <w:p w14:paraId="4E2DB7BE"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12" w:space="0" w:color="000000"/>
            </w:tcBorders>
            <w:vAlign w:val="bottom"/>
          </w:tcPr>
          <w:p w14:paraId="4AEECB9D"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1" w:type="pct"/>
            <w:tcBorders>
              <w:bottom w:val="single" w:sz="12" w:space="0" w:color="000000"/>
            </w:tcBorders>
            <w:vAlign w:val="bottom"/>
          </w:tcPr>
          <w:p w14:paraId="46062CD6"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20" w:type="pct"/>
            <w:tcBorders>
              <w:bottom w:val="single" w:sz="12" w:space="0" w:color="000000"/>
            </w:tcBorders>
            <w:vAlign w:val="bottom"/>
          </w:tcPr>
          <w:p w14:paraId="75F2EFAC"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443AF2" w14:paraId="679D4257" w14:textId="77777777" w:rsidTr="001B330E">
        <w:trPr>
          <w:trHeight w:val="23"/>
        </w:trPr>
        <w:tc>
          <w:tcPr>
            <w:tcW w:w="1896" w:type="pct"/>
            <w:tcBorders>
              <w:top w:val="single" w:sz="12" w:space="0" w:color="000000"/>
            </w:tcBorders>
            <w:vAlign w:val="bottom"/>
          </w:tcPr>
          <w:p w14:paraId="7D650E33" w14:textId="77777777" w:rsidR="00D83E33" w:rsidRPr="00443AF2" w:rsidRDefault="00BC4072" w:rsidP="001B330E">
            <w:pPr>
              <w:widowControl w:val="0"/>
              <w:pBdr>
                <w:top w:val="nil"/>
                <w:left w:val="nil"/>
                <w:bottom w:val="nil"/>
                <w:right w:val="nil"/>
                <w:between w:val="nil"/>
              </w:pBdr>
              <w:ind w:left="113" w:hanging="113"/>
              <w:rPr>
                <w:b/>
                <w:color w:val="000000"/>
                <w:sz w:val="13"/>
                <w:szCs w:val="13"/>
              </w:rPr>
            </w:pPr>
            <w:r w:rsidRPr="00443AF2">
              <w:rPr>
                <w:color w:val="000000"/>
                <w:sz w:val="13"/>
                <w:szCs w:val="13"/>
              </w:rPr>
              <w:t> </w:t>
            </w:r>
          </w:p>
        </w:tc>
        <w:tc>
          <w:tcPr>
            <w:tcW w:w="621" w:type="pct"/>
            <w:tcBorders>
              <w:top w:val="single" w:sz="12" w:space="0" w:color="000000"/>
            </w:tcBorders>
            <w:vAlign w:val="bottom"/>
          </w:tcPr>
          <w:p w14:paraId="28DEBF27"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top w:val="single" w:sz="12" w:space="0" w:color="000000"/>
            </w:tcBorders>
            <w:vAlign w:val="bottom"/>
          </w:tcPr>
          <w:p w14:paraId="04580221"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top w:val="single" w:sz="12" w:space="0" w:color="000000"/>
            </w:tcBorders>
            <w:vAlign w:val="bottom"/>
          </w:tcPr>
          <w:p w14:paraId="3F565FFD"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top w:val="single" w:sz="12" w:space="0" w:color="000000"/>
            </w:tcBorders>
            <w:vAlign w:val="bottom"/>
          </w:tcPr>
          <w:p w14:paraId="6FAD48FF"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0" w:type="pct"/>
            <w:tcBorders>
              <w:top w:val="single" w:sz="12" w:space="0" w:color="000000"/>
            </w:tcBorders>
            <w:vAlign w:val="bottom"/>
          </w:tcPr>
          <w:p w14:paraId="65D6418A"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r>
      <w:tr w:rsidR="00D83E33" w:rsidRPr="005041C2" w14:paraId="642ED31F" w14:textId="77777777" w:rsidTr="001B330E">
        <w:trPr>
          <w:trHeight w:val="23"/>
        </w:trPr>
        <w:tc>
          <w:tcPr>
            <w:tcW w:w="1896" w:type="pct"/>
            <w:vAlign w:val="bottom"/>
          </w:tcPr>
          <w:p w14:paraId="17070370" w14:textId="77777777" w:rsidR="00D83E33" w:rsidRPr="005041C2" w:rsidRDefault="00BC4072" w:rsidP="001B330E">
            <w:pPr>
              <w:widowControl w:val="0"/>
              <w:pBdr>
                <w:top w:val="nil"/>
                <w:left w:val="nil"/>
                <w:bottom w:val="nil"/>
                <w:right w:val="nil"/>
                <w:between w:val="nil"/>
              </w:pBdr>
              <w:ind w:left="113" w:hanging="113"/>
              <w:rPr>
                <w:b/>
                <w:color w:val="000000"/>
              </w:rPr>
            </w:pPr>
            <w:r w:rsidRPr="005041C2">
              <w:rPr>
                <w:b/>
                <w:color w:val="000000"/>
              </w:rPr>
              <w:t>Total due from other banks (gross carrying amount)</w:t>
            </w:r>
          </w:p>
        </w:tc>
        <w:tc>
          <w:tcPr>
            <w:tcW w:w="621" w:type="pct"/>
            <w:vAlign w:val="bottom"/>
          </w:tcPr>
          <w:p w14:paraId="031B8E86"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53374BF2"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0B6975A3"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67D295DA"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vAlign w:val="bottom"/>
          </w:tcPr>
          <w:p w14:paraId="14CBA969"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443AF2" w14:paraId="754C045A" w14:textId="77777777" w:rsidTr="001B330E">
        <w:trPr>
          <w:trHeight w:val="23"/>
        </w:trPr>
        <w:tc>
          <w:tcPr>
            <w:tcW w:w="1896" w:type="pct"/>
            <w:tcBorders>
              <w:bottom w:val="single" w:sz="4" w:space="0" w:color="000000"/>
            </w:tcBorders>
            <w:vAlign w:val="bottom"/>
          </w:tcPr>
          <w:p w14:paraId="73662C04" w14:textId="77777777" w:rsidR="00D83E33" w:rsidRPr="00443AF2" w:rsidRDefault="00D83E33" w:rsidP="001B330E">
            <w:pPr>
              <w:widowControl w:val="0"/>
              <w:pBdr>
                <w:top w:val="nil"/>
                <w:left w:val="nil"/>
                <w:bottom w:val="nil"/>
                <w:right w:val="nil"/>
                <w:between w:val="nil"/>
              </w:pBdr>
              <w:ind w:left="113" w:hanging="113"/>
              <w:rPr>
                <w:b/>
                <w:color w:val="000000"/>
                <w:sz w:val="13"/>
                <w:szCs w:val="13"/>
              </w:rPr>
            </w:pPr>
          </w:p>
        </w:tc>
        <w:tc>
          <w:tcPr>
            <w:tcW w:w="621" w:type="pct"/>
            <w:tcBorders>
              <w:bottom w:val="single" w:sz="4" w:space="0" w:color="000000"/>
            </w:tcBorders>
            <w:vAlign w:val="bottom"/>
          </w:tcPr>
          <w:p w14:paraId="31B39AE7"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bottom w:val="single" w:sz="4" w:space="0" w:color="000000"/>
            </w:tcBorders>
            <w:vAlign w:val="bottom"/>
          </w:tcPr>
          <w:p w14:paraId="524A56B9"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bottom w:val="single" w:sz="4" w:space="0" w:color="000000"/>
            </w:tcBorders>
            <w:vAlign w:val="bottom"/>
          </w:tcPr>
          <w:p w14:paraId="08EDEA00"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bottom w:val="single" w:sz="4" w:space="0" w:color="000000"/>
            </w:tcBorders>
            <w:vAlign w:val="bottom"/>
          </w:tcPr>
          <w:p w14:paraId="2A36BFF8"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0" w:type="pct"/>
            <w:tcBorders>
              <w:bottom w:val="single" w:sz="4" w:space="0" w:color="000000"/>
            </w:tcBorders>
            <w:vAlign w:val="bottom"/>
          </w:tcPr>
          <w:p w14:paraId="116F48E4"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r>
      <w:tr w:rsidR="00D83E33" w:rsidRPr="00443AF2" w14:paraId="4CF046AF" w14:textId="77777777" w:rsidTr="001B330E">
        <w:trPr>
          <w:trHeight w:val="23"/>
        </w:trPr>
        <w:tc>
          <w:tcPr>
            <w:tcW w:w="1896" w:type="pct"/>
            <w:tcBorders>
              <w:top w:val="single" w:sz="4" w:space="0" w:color="000000"/>
            </w:tcBorders>
            <w:vAlign w:val="bottom"/>
          </w:tcPr>
          <w:p w14:paraId="004FF360" w14:textId="77777777" w:rsidR="00D83E33" w:rsidRPr="00443AF2" w:rsidRDefault="00D83E33" w:rsidP="001B330E">
            <w:pPr>
              <w:widowControl w:val="0"/>
              <w:pBdr>
                <w:top w:val="nil"/>
                <w:left w:val="nil"/>
                <w:bottom w:val="nil"/>
                <w:right w:val="nil"/>
                <w:between w:val="nil"/>
              </w:pBdr>
              <w:ind w:left="113" w:hanging="113"/>
              <w:rPr>
                <w:b/>
                <w:color w:val="000000"/>
                <w:sz w:val="13"/>
                <w:szCs w:val="13"/>
              </w:rPr>
            </w:pPr>
          </w:p>
        </w:tc>
        <w:tc>
          <w:tcPr>
            <w:tcW w:w="621" w:type="pct"/>
            <w:tcBorders>
              <w:top w:val="single" w:sz="4" w:space="0" w:color="000000"/>
            </w:tcBorders>
            <w:vAlign w:val="bottom"/>
          </w:tcPr>
          <w:p w14:paraId="163854F6"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top w:val="single" w:sz="4" w:space="0" w:color="000000"/>
            </w:tcBorders>
            <w:vAlign w:val="bottom"/>
          </w:tcPr>
          <w:p w14:paraId="0A2025DB"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top w:val="single" w:sz="4" w:space="0" w:color="000000"/>
            </w:tcBorders>
            <w:vAlign w:val="bottom"/>
          </w:tcPr>
          <w:p w14:paraId="0E590528"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top w:val="single" w:sz="4" w:space="0" w:color="000000"/>
            </w:tcBorders>
            <w:vAlign w:val="bottom"/>
          </w:tcPr>
          <w:p w14:paraId="082776DB"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0" w:type="pct"/>
            <w:tcBorders>
              <w:top w:val="single" w:sz="4" w:space="0" w:color="000000"/>
            </w:tcBorders>
            <w:vAlign w:val="bottom"/>
          </w:tcPr>
          <w:p w14:paraId="6D075261"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r>
      <w:tr w:rsidR="00D83E33" w:rsidRPr="005041C2" w14:paraId="550C2856" w14:textId="77777777" w:rsidTr="001B330E">
        <w:trPr>
          <w:trHeight w:val="23"/>
        </w:trPr>
        <w:tc>
          <w:tcPr>
            <w:tcW w:w="1896" w:type="pct"/>
            <w:vAlign w:val="bottom"/>
          </w:tcPr>
          <w:p w14:paraId="38D485C3" w14:textId="77777777" w:rsidR="00D83E33" w:rsidRPr="005041C2" w:rsidRDefault="00BC4072" w:rsidP="001B330E">
            <w:pPr>
              <w:widowControl w:val="0"/>
              <w:pBdr>
                <w:top w:val="nil"/>
                <w:left w:val="nil"/>
                <w:bottom w:val="nil"/>
                <w:right w:val="nil"/>
                <w:between w:val="nil"/>
              </w:pBdr>
              <w:ind w:left="113" w:hanging="113"/>
              <w:rPr>
                <w:b/>
                <w:color w:val="000000"/>
              </w:rPr>
            </w:pPr>
            <w:r w:rsidRPr="005041C2">
              <w:rPr>
                <w:b/>
                <w:color w:val="000000"/>
              </w:rPr>
              <w:t>Credit loss allowance</w:t>
            </w:r>
          </w:p>
        </w:tc>
        <w:tc>
          <w:tcPr>
            <w:tcW w:w="621" w:type="pct"/>
            <w:vAlign w:val="bottom"/>
          </w:tcPr>
          <w:p w14:paraId="4C1C49AE"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744368C2"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5916BE6E"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589467CA"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vAlign w:val="bottom"/>
          </w:tcPr>
          <w:p w14:paraId="505E8474"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443AF2" w14:paraId="5EFFABD6" w14:textId="77777777" w:rsidTr="001B330E">
        <w:trPr>
          <w:trHeight w:val="23"/>
        </w:trPr>
        <w:tc>
          <w:tcPr>
            <w:tcW w:w="1896" w:type="pct"/>
            <w:tcBorders>
              <w:bottom w:val="single" w:sz="4" w:space="0" w:color="000000"/>
            </w:tcBorders>
            <w:shd w:val="clear" w:color="auto" w:fill="auto"/>
            <w:vAlign w:val="bottom"/>
          </w:tcPr>
          <w:p w14:paraId="4E744F0C" w14:textId="77777777" w:rsidR="00D83E33" w:rsidRPr="00443AF2" w:rsidRDefault="00BC4072" w:rsidP="001B330E">
            <w:pPr>
              <w:widowControl w:val="0"/>
              <w:pBdr>
                <w:top w:val="nil"/>
                <w:left w:val="nil"/>
                <w:bottom w:val="nil"/>
                <w:right w:val="nil"/>
                <w:between w:val="nil"/>
              </w:pBdr>
              <w:ind w:left="113" w:hanging="113"/>
              <w:rPr>
                <w:color w:val="000000"/>
                <w:sz w:val="13"/>
                <w:szCs w:val="13"/>
              </w:rPr>
            </w:pPr>
            <w:r w:rsidRPr="00443AF2">
              <w:rPr>
                <w:color w:val="000000"/>
                <w:sz w:val="13"/>
                <w:szCs w:val="13"/>
              </w:rPr>
              <w:t> </w:t>
            </w:r>
          </w:p>
        </w:tc>
        <w:tc>
          <w:tcPr>
            <w:tcW w:w="621" w:type="pct"/>
            <w:tcBorders>
              <w:bottom w:val="single" w:sz="4" w:space="0" w:color="000000"/>
            </w:tcBorders>
            <w:vAlign w:val="bottom"/>
          </w:tcPr>
          <w:p w14:paraId="5F095719"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bottom w:val="single" w:sz="4" w:space="0" w:color="000000"/>
            </w:tcBorders>
            <w:vAlign w:val="bottom"/>
          </w:tcPr>
          <w:p w14:paraId="045F4ED3"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bottom w:val="single" w:sz="4" w:space="0" w:color="000000"/>
            </w:tcBorders>
            <w:shd w:val="clear" w:color="auto" w:fill="auto"/>
            <w:vAlign w:val="bottom"/>
          </w:tcPr>
          <w:p w14:paraId="575FA7FA"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bottom w:val="single" w:sz="4" w:space="0" w:color="000000"/>
            </w:tcBorders>
            <w:shd w:val="clear" w:color="auto" w:fill="auto"/>
            <w:vAlign w:val="bottom"/>
          </w:tcPr>
          <w:p w14:paraId="0BBC0BEC"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0" w:type="pct"/>
            <w:tcBorders>
              <w:bottom w:val="single" w:sz="4" w:space="0" w:color="000000"/>
            </w:tcBorders>
            <w:shd w:val="clear" w:color="auto" w:fill="auto"/>
            <w:vAlign w:val="bottom"/>
          </w:tcPr>
          <w:p w14:paraId="48221801"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r>
      <w:tr w:rsidR="00D83E33" w:rsidRPr="00443AF2" w14:paraId="1BA7E15D" w14:textId="77777777" w:rsidTr="001B330E">
        <w:trPr>
          <w:trHeight w:val="23"/>
        </w:trPr>
        <w:tc>
          <w:tcPr>
            <w:tcW w:w="1896" w:type="pct"/>
            <w:tcBorders>
              <w:top w:val="single" w:sz="4" w:space="0" w:color="000000"/>
            </w:tcBorders>
            <w:shd w:val="clear" w:color="auto" w:fill="auto"/>
            <w:vAlign w:val="bottom"/>
          </w:tcPr>
          <w:p w14:paraId="117029E8" w14:textId="77777777" w:rsidR="00D83E33" w:rsidRPr="00443AF2" w:rsidRDefault="00D83E33" w:rsidP="001B330E">
            <w:pPr>
              <w:widowControl w:val="0"/>
              <w:pBdr>
                <w:top w:val="nil"/>
                <w:left w:val="nil"/>
                <w:bottom w:val="nil"/>
                <w:right w:val="nil"/>
                <w:between w:val="nil"/>
              </w:pBdr>
              <w:ind w:left="113" w:hanging="113"/>
              <w:rPr>
                <w:color w:val="000000"/>
                <w:sz w:val="13"/>
                <w:szCs w:val="13"/>
              </w:rPr>
            </w:pPr>
          </w:p>
        </w:tc>
        <w:tc>
          <w:tcPr>
            <w:tcW w:w="621" w:type="pct"/>
            <w:tcBorders>
              <w:top w:val="single" w:sz="4" w:space="0" w:color="000000"/>
            </w:tcBorders>
            <w:vAlign w:val="bottom"/>
          </w:tcPr>
          <w:p w14:paraId="170451BF"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top w:val="single" w:sz="4" w:space="0" w:color="000000"/>
            </w:tcBorders>
            <w:vAlign w:val="bottom"/>
          </w:tcPr>
          <w:p w14:paraId="1BC0C329"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top w:val="single" w:sz="4" w:space="0" w:color="000000"/>
            </w:tcBorders>
            <w:shd w:val="clear" w:color="auto" w:fill="auto"/>
            <w:vAlign w:val="bottom"/>
          </w:tcPr>
          <w:p w14:paraId="4D0BCD44"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top w:val="single" w:sz="4" w:space="0" w:color="000000"/>
            </w:tcBorders>
            <w:shd w:val="clear" w:color="auto" w:fill="auto"/>
            <w:vAlign w:val="bottom"/>
          </w:tcPr>
          <w:p w14:paraId="58CE8D95"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0" w:type="pct"/>
            <w:tcBorders>
              <w:top w:val="single" w:sz="4" w:space="0" w:color="000000"/>
            </w:tcBorders>
            <w:shd w:val="clear" w:color="auto" w:fill="auto"/>
            <w:vAlign w:val="bottom"/>
          </w:tcPr>
          <w:p w14:paraId="071A6BD8"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r>
      <w:tr w:rsidR="00D83E33" w:rsidRPr="005041C2" w14:paraId="30551F41" w14:textId="77777777" w:rsidTr="001B330E">
        <w:trPr>
          <w:trHeight w:val="23"/>
        </w:trPr>
        <w:tc>
          <w:tcPr>
            <w:tcW w:w="1896" w:type="pct"/>
            <w:shd w:val="clear" w:color="auto" w:fill="auto"/>
            <w:vAlign w:val="bottom"/>
          </w:tcPr>
          <w:p w14:paraId="127D607D" w14:textId="77777777" w:rsidR="00D83E33" w:rsidRPr="005041C2" w:rsidRDefault="00BC4072" w:rsidP="001B330E">
            <w:pPr>
              <w:widowControl w:val="0"/>
              <w:pBdr>
                <w:top w:val="nil"/>
                <w:left w:val="nil"/>
                <w:bottom w:val="nil"/>
                <w:right w:val="nil"/>
                <w:between w:val="nil"/>
              </w:pBdr>
              <w:ind w:left="113" w:hanging="113"/>
              <w:rPr>
                <w:b/>
                <w:color w:val="000000"/>
              </w:rPr>
            </w:pPr>
            <w:r w:rsidRPr="005041C2">
              <w:rPr>
                <w:b/>
                <w:color w:val="000000"/>
              </w:rPr>
              <w:t>Total due from other banks (carrying amount)</w:t>
            </w:r>
          </w:p>
        </w:tc>
        <w:tc>
          <w:tcPr>
            <w:tcW w:w="621" w:type="pct"/>
            <w:vAlign w:val="bottom"/>
          </w:tcPr>
          <w:p w14:paraId="6EEB5B9F"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vAlign w:val="bottom"/>
          </w:tcPr>
          <w:p w14:paraId="5626D626"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2AF26585" w14:textId="77777777" w:rsidR="00D83E33" w:rsidRPr="005041C2" w:rsidRDefault="00D83E33" w:rsidP="001B330E">
            <w:pPr>
              <w:widowControl w:val="0"/>
              <w:pBdr>
                <w:top w:val="nil"/>
                <w:left w:val="nil"/>
                <w:bottom w:val="nil"/>
                <w:right w:val="nil"/>
                <w:between w:val="nil"/>
              </w:pBdr>
              <w:jc w:val="right"/>
              <w:rPr>
                <w:color w:val="000000"/>
              </w:rPr>
            </w:pPr>
          </w:p>
        </w:tc>
        <w:tc>
          <w:tcPr>
            <w:tcW w:w="621" w:type="pct"/>
            <w:shd w:val="clear" w:color="auto" w:fill="auto"/>
            <w:vAlign w:val="bottom"/>
          </w:tcPr>
          <w:p w14:paraId="302D6081" w14:textId="77777777" w:rsidR="00D83E33" w:rsidRPr="005041C2" w:rsidRDefault="00D83E33" w:rsidP="001B330E">
            <w:pPr>
              <w:widowControl w:val="0"/>
              <w:pBdr>
                <w:top w:val="nil"/>
                <w:left w:val="nil"/>
                <w:bottom w:val="nil"/>
                <w:right w:val="nil"/>
                <w:between w:val="nil"/>
              </w:pBdr>
              <w:jc w:val="right"/>
              <w:rPr>
                <w:color w:val="000000"/>
              </w:rPr>
            </w:pPr>
          </w:p>
        </w:tc>
        <w:tc>
          <w:tcPr>
            <w:tcW w:w="620" w:type="pct"/>
            <w:shd w:val="clear" w:color="auto" w:fill="auto"/>
            <w:vAlign w:val="bottom"/>
          </w:tcPr>
          <w:p w14:paraId="57DC0FC0" w14:textId="77777777" w:rsidR="00D83E33" w:rsidRPr="005041C2" w:rsidRDefault="00D83E33" w:rsidP="001B330E">
            <w:pPr>
              <w:widowControl w:val="0"/>
              <w:pBdr>
                <w:top w:val="nil"/>
                <w:left w:val="nil"/>
                <w:bottom w:val="nil"/>
                <w:right w:val="nil"/>
                <w:between w:val="nil"/>
              </w:pBdr>
              <w:jc w:val="right"/>
              <w:rPr>
                <w:color w:val="000000"/>
              </w:rPr>
            </w:pPr>
          </w:p>
        </w:tc>
      </w:tr>
      <w:tr w:rsidR="00D83E33" w:rsidRPr="00443AF2" w14:paraId="198354AC" w14:textId="77777777" w:rsidTr="001B330E">
        <w:trPr>
          <w:trHeight w:val="23"/>
        </w:trPr>
        <w:tc>
          <w:tcPr>
            <w:tcW w:w="1896" w:type="pct"/>
            <w:tcBorders>
              <w:bottom w:val="single" w:sz="12" w:space="0" w:color="000000"/>
            </w:tcBorders>
            <w:shd w:val="clear" w:color="auto" w:fill="auto"/>
            <w:vAlign w:val="bottom"/>
          </w:tcPr>
          <w:p w14:paraId="4C9CC6AC" w14:textId="77777777" w:rsidR="00D83E33" w:rsidRPr="00443AF2" w:rsidRDefault="00D83E33" w:rsidP="001B330E">
            <w:pPr>
              <w:widowControl w:val="0"/>
              <w:pBdr>
                <w:top w:val="nil"/>
                <w:left w:val="nil"/>
                <w:bottom w:val="nil"/>
                <w:right w:val="nil"/>
                <w:between w:val="nil"/>
              </w:pBdr>
              <w:ind w:left="113" w:hanging="113"/>
              <w:rPr>
                <w:color w:val="000000"/>
                <w:sz w:val="13"/>
                <w:szCs w:val="13"/>
              </w:rPr>
            </w:pPr>
          </w:p>
        </w:tc>
        <w:tc>
          <w:tcPr>
            <w:tcW w:w="621" w:type="pct"/>
            <w:tcBorders>
              <w:bottom w:val="single" w:sz="12" w:space="0" w:color="000000"/>
            </w:tcBorders>
            <w:vAlign w:val="bottom"/>
          </w:tcPr>
          <w:p w14:paraId="357E87F5"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bottom w:val="single" w:sz="12" w:space="0" w:color="000000"/>
            </w:tcBorders>
            <w:vAlign w:val="bottom"/>
          </w:tcPr>
          <w:p w14:paraId="523282D1"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bottom w:val="single" w:sz="12" w:space="0" w:color="000000"/>
            </w:tcBorders>
            <w:shd w:val="clear" w:color="auto" w:fill="auto"/>
            <w:vAlign w:val="bottom"/>
          </w:tcPr>
          <w:p w14:paraId="76D16A55"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1" w:type="pct"/>
            <w:tcBorders>
              <w:bottom w:val="single" w:sz="12" w:space="0" w:color="000000"/>
            </w:tcBorders>
            <w:shd w:val="clear" w:color="auto" w:fill="auto"/>
            <w:vAlign w:val="bottom"/>
          </w:tcPr>
          <w:p w14:paraId="5AE939FC"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c>
          <w:tcPr>
            <w:tcW w:w="620" w:type="pct"/>
            <w:tcBorders>
              <w:bottom w:val="single" w:sz="12" w:space="0" w:color="000000"/>
            </w:tcBorders>
            <w:shd w:val="clear" w:color="auto" w:fill="auto"/>
            <w:vAlign w:val="bottom"/>
          </w:tcPr>
          <w:p w14:paraId="4062632C" w14:textId="77777777" w:rsidR="00D83E33" w:rsidRPr="00443AF2" w:rsidRDefault="00D83E33" w:rsidP="001B330E">
            <w:pPr>
              <w:widowControl w:val="0"/>
              <w:pBdr>
                <w:top w:val="nil"/>
                <w:left w:val="nil"/>
                <w:bottom w:val="nil"/>
                <w:right w:val="nil"/>
                <w:between w:val="nil"/>
              </w:pBdr>
              <w:jc w:val="right"/>
              <w:rPr>
                <w:color w:val="000000"/>
                <w:sz w:val="13"/>
                <w:szCs w:val="13"/>
              </w:rPr>
            </w:pPr>
          </w:p>
        </w:tc>
      </w:tr>
    </w:tbl>
    <w:p w14:paraId="1758DF2E" w14:textId="77777777" w:rsidR="005041C2" w:rsidRDefault="005041C2" w:rsidP="001B330E">
      <w:pPr>
        <w:pStyle w:val="Continued"/>
      </w:pPr>
      <w:r>
        <w:lastRenderedPageBreak/>
        <w:t>8</w:t>
      </w:r>
      <w:r>
        <w:tab/>
        <w:t>Due from Other Banks (Continued)</w:t>
      </w:r>
    </w:p>
    <w:p w14:paraId="56D55CF4" w14:textId="6BC8D72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following table contains an analysis of due from other banks balances by credit quality at 31</w:t>
      </w:r>
      <w:r w:rsidR="00181687">
        <w:rPr>
          <w:color w:val="000000"/>
          <w:sz w:val="20"/>
          <w:szCs w:val="20"/>
        </w:rPr>
        <w:t> December </w:t>
      </w:r>
      <w:r w:rsidR="00541EBC">
        <w:rPr>
          <w:color w:val="000000"/>
          <w:sz w:val="20"/>
          <w:szCs w:val="20"/>
        </w:rPr>
        <w:t>2023</w:t>
      </w:r>
      <w:r>
        <w:rPr>
          <w:color w:val="000000"/>
          <w:sz w:val="20"/>
          <w:szCs w:val="20"/>
        </w:rPr>
        <w:t xml:space="preserve"> based on credit risk grades and discloses due from other banks balances by three stages for the purpose of ECL measurement.</w:t>
      </w:r>
    </w:p>
    <w:tbl>
      <w:tblPr>
        <w:tblStyle w:val="af1"/>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856386" w14:paraId="6DC0D7EC" w14:textId="77777777" w:rsidTr="001B330E">
        <w:trPr>
          <w:trHeight w:val="23"/>
        </w:trPr>
        <w:tc>
          <w:tcPr>
            <w:tcW w:w="1971" w:type="pct"/>
            <w:tcBorders>
              <w:bottom w:val="single" w:sz="4" w:space="0" w:color="000000"/>
            </w:tcBorders>
            <w:vAlign w:val="bottom"/>
          </w:tcPr>
          <w:p w14:paraId="525BD92D" w14:textId="749755A3" w:rsidR="00D83E33" w:rsidRPr="00372E26" w:rsidRDefault="00313B4D">
            <w:pPr>
              <w:widowControl w:val="0"/>
              <w:pBdr>
                <w:top w:val="nil"/>
                <w:left w:val="nil"/>
                <w:bottom w:val="nil"/>
                <w:right w:val="nil"/>
                <w:between w:val="nil"/>
              </w:pBdr>
              <w:ind w:left="113" w:hanging="113"/>
              <w:rPr>
                <w:b/>
                <w:i/>
                <w:color w:val="000000"/>
                <w:sz w:val="16"/>
                <w:szCs w:val="16"/>
              </w:rPr>
            </w:pPr>
            <w:r w:rsidRPr="00372E26">
              <w:rPr>
                <w:i/>
                <w:color w:val="000000"/>
                <w:sz w:val="16"/>
                <w:szCs w:val="16"/>
              </w:rPr>
              <w:t xml:space="preserve">In thousands of </w:t>
            </w:r>
            <w:r w:rsidR="002649EE" w:rsidRPr="00372E26">
              <w:rPr>
                <w:i/>
                <w:color w:val="000000"/>
                <w:sz w:val="16"/>
                <w:szCs w:val="16"/>
              </w:rPr>
              <w:t>EUR</w:t>
            </w:r>
          </w:p>
        </w:tc>
        <w:tc>
          <w:tcPr>
            <w:tcW w:w="606" w:type="pct"/>
            <w:tcBorders>
              <w:bottom w:val="single" w:sz="4" w:space="0" w:color="000000"/>
            </w:tcBorders>
          </w:tcPr>
          <w:p w14:paraId="28A779B4" w14:textId="77777777" w:rsidR="00D83E33" w:rsidRPr="00372E26" w:rsidRDefault="00BC4072" w:rsidP="001B330E">
            <w:pPr>
              <w:widowControl w:val="0"/>
              <w:pBdr>
                <w:top w:val="nil"/>
                <w:left w:val="nil"/>
                <w:bottom w:val="nil"/>
                <w:right w:val="nil"/>
                <w:between w:val="nil"/>
              </w:pBdr>
              <w:jc w:val="right"/>
              <w:rPr>
                <w:b/>
                <w:color w:val="000000"/>
                <w:sz w:val="16"/>
                <w:szCs w:val="16"/>
              </w:rPr>
            </w:pPr>
            <w:r w:rsidRPr="00372E26">
              <w:rPr>
                <w:b/>
                <w:color w:val="000000"/>
                <w:sz w:val="16"/>
                <w:szCs w:val="16"/>
              </w:rPr>
              <w:t xml:space="preserve">Stage 1 </w:t>
            </w:r>
          </w:p>
          <w:p w14:paraId="3BF4A683" w14:textId="77777777" w:rsidR="00D83E33" w:rsidRPr="00372E26" w:rsidRDefault="00BC4072" w:rsidP="001B330E">
            <w:pPr>
              <w:widowControl w:val="0"/>
              <w:pBdr>
                <w:top w:val="nil"/>
                <w:left w:val="nil"/>
                <w:bottom w:val="nil"/>
                <w:right w:val="nil"/>
                <w:between w:val="nil"/>
              </w:pBdr>
              <w:jc w:val="right"/>
              <w:rPr>
                <w:b/>
                <w:color w:val="000000"/>
                <w:sz w:val="16"/>
                <w:szCs w:val="16"/>
              </w:rPr>
            </w:pPr>
            <w:r w:rsidRPr="00372E26">
              <w:rPr>
                <w:b/>
                <w:color w:val="000000"/>
                <w:sz w:val="16"/>
                <w:szCs w:val="16"/>
              </w:rPr>
              <w:t>(12-months ECL)</w:t>
            </w:r>
          </w:p>
        </w:tc>
        <w:tc>
          <w:tcPr>
            <w:tcW w:w="606" w:type="pct"/>
            <w:tcBorders>
              <w:bottom w:val="single" w:sz="4" w:space="0" w:color="000000"/>
            </w:tcBorders>
          </w:tcPr>
          <w:p w14:paraId="33A4CB4E" w14:textId="77777777" w:rsidR="00D83E33" w:rsidRPr="00372E26" w:rsidRDefault="00BC4072" w:rsidP="001B330E">
            <w:pPr>
              <w:widowControl w:val="0"/>
              <w:pBdr>
                <w:top w:val="nil"/>
                <w:left w:val="nil"/>
                <w:bottom w:val="nil"/>
                <w:right w:val="nil"/>
                <w:between w:val="nil"/>
              </w:pBdr>
              <w:jc w:val="right"/>
              <w:rPr>
                <w:b/>
                <w:color w:val="000000"/>
                <w:sz w:val="16"/>
                <w:szCs w:val="16"/>
              </w:rPr>
            </w:pPr>
            <w:r w:rsidRPr="00372E26">
              <w:rPr>
                <w:b/>
                <w:color w:val="000000"/>
                <w:sz w:val="16"/>
                <w:szCs w:val="16"/>
              </w:rPr>
              <w:t>Stage 2</w:t>
            </w:r>
          </w:p>
          <w:p w14:paraId="54182F66" w14:textId="77777777" w:rsidR="00D83E33" w:rsidRPr="00372E26" w:rsidRDefault="00BC4072" w:rsidP="001B330E">
            <w:pPr>
              <w:widowControl w:val="0"/>
              <w:pBdr>
                <w:top w:val="nil"/>
                <w:left w:val="nil"/>
                <w:bottom w:val="nil"/>
                <w:right w:val="nil"/>
                <w:between w:val="nil"/>
              </w:pBdr>
              <w:jc w:val="right"/>
              <w:rPr>
                <w:b/>
                <w:color w:val="000000"/>
                <w:sz w:val="16"/>
                <w:szCs w:val="16"/>
              </w:rPr>
            </w:pPr>
            <w:r w:rsidRPr="00372E26">
              <w:rPr>
                <w:b/>
                <w:color w:val="000000"/>
                <w:sz w:val="16"/>
                <w:szCs w:val="16"/>
              </w:rPr>
              <w:t xml:space="preserve">(lifetime ECL for SICR) </w:t>
            </w:r>
          </w:p>
        </w:tc>
        <w:tc>
          <w:tcPr>
            <w:tcW w:w="606" w:type="pct"/>
            <w:tcBorders>
              <w:bottom w:val="single" w:sz="4" w:space="0" w:color="000000"/>
            </w:tcBorders>
          </w:tcPr>
          <w:p w14:paraId="3EDF4182" w14:textId="77777777" w:rsidR="00D83E33" w:rsidRPr="00372E26" w:rsidRDefault="00BC4072" w:rsidP="001B330E">
            <w:pPr>
              <w:widowControl w:val="0"/>
              <w:pBdr>
                <w:top w:val="nil"/>
                <w:left w:val="nil"/>
                <w:bottom w:val="nil"/>
                <w:right w:val="nil"/>
                <w:between w:val="nil"/>
              </w:pBdr>
              <w:jc w:val="right"/>
              <w:rPr>
                <w:b/>
                <w:color w:val="000000"/>
                <w:sz w:val="16"/>
                <w:szCs w:val="16"/>
              </w:rPr>
            </w:pPr>
            <w:r w:rsidRPr="00372E26">
              <w:rPr>
                <w:b/>
                <w:color w:val="000000"/>
                <w:sz w:val="16"/>
                <w:szCs w:val="16"/>
              </w:rPr>
              <w:t>Stage 3</w:t>
            </w:r>
          </w:p>
          <w:p w14:paraId="15E0EFD2" w14:textId="77777777" w:rsidR="00D83E33" w:rsidRPr="00372E26" w:rsidRDefault="00BC4072" w:rsidP="001B330E">
            <w:pPr>
              <w:widowControl w:val="0"/>
              <w:pBdr>
                <w:top w:val="nil"/>
                <w:left w:val="nil"/>
                <w:bottom w:val="nil"/>
                <w:right w:val="nil"/>
                <w:between w:val="nil"/>
              </w:pBdr>
              <w:jc w:val="right"/>
              <w:rPr>
                <w:b/>
                <w:color w:val="000000"/>
                <w:sz w:val="16"/>
                <w:szCs w:val="16"/>
              </w:rPr>
            </w:pPr>
            <w:r w:rsidRPr="00372E26">
              <w:rPr>
                <w:b/>
                <w:color w:val="000000"/>
                <w:sz w:val="16"/>
                <w:szCs w:val="16"/>
              </w:rPr>
              <w:t>(lifetime ECL for credit impaired)</w:t>
            </w:r>
          </w:p>
        </w:tc>
        <w:tc>
          <w:tcPr>
            <w:tcW w:w="606" w:type="pct"/>
            <w:tcBorders>
              <w:bottom w:val="single" w:sz="4" w:space="0" w:color="000000"/>
            </w:tcBorders>
          </w:tcPr>
          <w:p w14:paraId="715D0BBA" w14:textId="77777777" w:rsidR="00D83E33" w:rsidRPr="00372E26" w:rsidRDefault="00BC4072" w:rsidP="001B330E">
            <w:pPr>
              <w:widowControl w:val="0"/>
              <w:pBdr>
                <w:top w:val="nil"/>
                <w:left w:val="nil"/>
                <w:bottom w:val="nil"/>
                <w:right w:val="nil"/>
                <w:between w:val="nil"/>
              </w:pBdr>
              <w:jc w:val="right"/>
              <w:rPr>
                <w:b/>
                <w:color w:val="000000"/>
                <w:sz w:val="16"/>
                <w:szCs w:val="16"/>
              </w:rPr>
            </w:pPr>
            <w:r w:rsidRPr="00372E26">
              <w:rPr>
                <w:b/>
                <w:color w:val="000000"/>
                <w:sz w:val="16"/>
                <w:szCs w:val="16"/>
              </w:rPr>
              <w:t>POCI</w:t>
            </w:r>
          </w:p>
        </w:tc>
        <w:tc>
          <w:tcPr>
            <w:tcW w:w="606" w:type="pct"/>
            <w:tcBorders>
              <w:bottom w:val="single" w:sz="4" w:space="0" w:color="000000"/>
            </w:tcBorders>
          </w:tcPr>
          <w:p w14:paraId="1997C081" w14:textId="77777777" w:rsidR="00D83E33" w:rsidRPr="00372E26" w:rsidRDefault="00BC4072" w:rsidP="001B330E">
            <w:pPr>
              <w:widowControl w:val="0"/>
              <w:pBdr>
                <w:top w:val="nil"/>
                <w:left w:val="nil"/>
                <w:bottom w:val="nil"/>
                <w:right w:val="nil"/>
                <w:between w:val="nil"/>
              </w:pBdr>
              <w:jc w:val="right"/>
              <w:rPr>
                <w:b/>
                <w:color w:val="000000"/>
                <w:sz w:val="16"/>
                <w:szCs w:val="16"/>
              </w:rPr>
            </w:pPr>
            <w:r w:rsidRPr="00372E26">
              <w:rPr>
                <w:b/>
                <w:color w:val="000000"/>
                <w:sz w:val="16"/>
                <w:szCs w:val="16"/>
              </w:rPr>
              <w:t>Total</w:t>
            </w:r>
          </w:p>
        </w:tc>
      </w:tr>
      <w:tr w:rsidR="00D83E33" w:rsidRPr="00856386" w14:paraId="6EE2E540" w14:textId="77777777" w:rsidTr="001B330E">
        <w:trPr>
          <w:trHeight w:val="23"/>
        </w:trPr>
        <w:tc>
          <w:tcPr>
            <w:tcW w:w="1971" w:type="pct"/>
            <w:vAlign w:val="bottom"/>
          </w:tcPr>
          <w:p w14:paraId="1A286861" w14:textId="77777777" w:rsidR="00D83E33" w:rsidRPr="00372E26" w:rsidRDefault="00BC4072">
            <w:pPr>
              <w:widowControl w:val="0"/>
              <w:ind w:left="113" w:hanging="113"/>
              <w:rPr>
                <w:sz w:val="16"/>
                <w:szCs w:val="16"/>
              </w:rPr>
            </w:pPr>
            <w:r w:rsidRPr="00372E26">
              <w:rPr>
                <w:sz w:val="16"/>
                <w:szCs w:val="16"/>
              </w:rPr>
              <w:t> </w:t>
            </w:r>
          </w:p>
        </w:tc>
        <w:tc>
          <w:tcPr>
            <w:tcW w:w="606" w:type="pct"/>
            <w:vAlign w:val="bottom"/>
          </w:tcPr>
          <w:p w14:paraId="1B391D9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7931073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68EEAF4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27C64E9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7DC0F779"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0863EF9B" w14:textId="77777777" w:rsidTr="001B330E">
        <w:trPr>
          <w:trHeight w:val="23"/>
        </w:trPr>
        <w:tc>
          <w:tcPr>
            <w:tcW w:w="1971" w:type="pct"/>
            <w:shd w:val="clear" w:color="auto" w:fill="auto"/>
            <w:vAlign w:val="bottom"/>
          </w:tcPr>
          <w:p w14:paraId="1181B1AD" w14:textId="77777777" w:rsidR="00D83E33" w:rsidRPr="00372E26" w:rsidRDefault="00BC4072">
            <w:pPr>
              <w:widowControl w:val="0"/>
              <w:pBdr>
                <w:top w:val="nil"/>
                <w:left w:val="nil"/>
                <w:bottom w:val="nil"/>
                <w:right w:val="nil"/>
                <w:between w:val="nil"/>
              </w:pBdr>
              <w:ind w:left="113" w:hanging="113"/>
              <w:rPr>
                <w:b/>
                <w:i/>
                <w:color w:val="000000"/>
                <w:sz w:val="16"/>
                <w:szCs w:val="16"/>
              </w:rPr>
            </w:pPr>
            <w:r w:rsidRPr="00372E26">
              <w:rPr>
                <w:b/>
                <w:i/>
                <w:color w:val="000000"/>
                <w:sz w:val="16"/>
                <w:szCs w:val="16"/>
              </w:rPr>
              <w:t>Placements with other banks</w:t>
            </w:r>
          </w:p>
        </w:tc>
        <w:tc>
          <w:tcPr>
            <w:tcW w:w="606" w:type="pct"/>
            <w:vAlign w:val="bottom"/>
          </w:tcPr>
          <w:p w14:paraId="378A033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44A9B51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3D93F21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FBC316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21C11C35"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7F3175A2" w14:textId="77777777" w:rsidTr="001B330E">
        <w:trPr>
          <w:trHeight w:val="23"/>
        </w:trPr>
        <w:tc>
          <w:tcPr>
            <w:tcW w:w="1971" w:type="pct"/>
            <w:shd w:val="clear" w:color="auto" w:fill="auto"/>
            <w:vAlign w:val="bottom"/>
          </w:tcPr>
          <w:p w14:paraId="7CEBB252"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vAlign w:val="bottom"/>
          </w:tcPr>
          <w:p w14:paraId="7924E9A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18247AD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4A8A705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3C047D5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1349543D"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7769A5FF" w14:textId="77777777" w:rsidTr="001B330E">
        <w:trPr>
          <w:trHeight w:val="23"/>
        </w:trPr>
        <w:tc>
          <w:tcPr>
            <w:tcW w:w="1971" w:type="pct"/>
            <w:shd w:val="clear" w:color="auto" w:fill="auto"/>
            <w:vAlign w:val="bottom"/>
          </w:tcPr>
          <w:p w14:paraId="277AC103"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Excellent</w:t>
            </w:r>
          </w:p>
        </w:tc>
        <w:tc>
          <w:tcPr>
            <w:tcW w:w="606" w:type="pct"/>
            <w:vAlign w:val="bottom"/>
          </w:tcPr>
          <w:p w14:paraId="2B4B5EF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0587F40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4BA90AB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2F0C7FA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D89B822"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6CEE83E0" w14:textId="77777777" w:rsidTr="001B330E">
        <w:trPr>
          <w:trHeight w:val="23"/>
        </w:trPr>
        <w:tc>
          <w:tcPr>
            <w:tcW w:w="1971" w:type="pct"/>
            <w:shd w:val="clear" w:color="auto" w:fill="auto"/>
            <w:vAlign w:val="bottom"/>
          </w:tcPr>
          <w:p w14:paraId="2B1229F0"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Good</w:t>
            </w:r>
          </w:p>
        </w:tc>
        <w:tc>
          <w:tcPr>
            <w:tcW w:w="606" w:type="pct"/>
            <w:vAlign w:val="bottom"/>
          </w:tcPr>
          <w:p w14:paraId="72DFB13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0A9F047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117C2A8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377F48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BEBB795"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3705E19D" w14:textId="77777777" w:rsidTr="001B330E">
        <w:trPr>
          <w:trHeight w:val="23"/>
        </w:trPr>
        <w:tc>
          <w:tcPr>
            <w:tcW w:w="1971" w:type="pct"/>
            <w:shd w:val="clear" w:color="auto" w:fill="auto"/>
            <w:vAlign w:val="bottom"/>
          </w:tcPr>
          <w:p w14:paraId="154623C9"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Satisfactory</w:t>
            </w:r>
          </w:p>
        </w:tc>
        <w:tc>
          <w:tcPr>
            <w:tcW w:w="606" w:type="pct"/>
            <w:vAlign w:val="bottom"/>
          </w:tcPr>
          <w:p w14:paraId="3ED78FC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6EB413F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D6E036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5085743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2AC73340"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7FBED2BA" w14:textId="77777777" w:rsidTr="001B330E">
        <w:trPr>
          <w:trHeight w:val="23"/>
        </w:trPr>
        <w:tc>
          <w:tcPr>
            <w:tcW w:w="1971" w:type="pct"/>
            <w:shd w:val="clear" w:color="auto" w:fill="auto"/>
            <w:vAlign w:val="bottom"/>
          </w:tcPr>
          <w:p w14:paraId="77AD02D2"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Special monitoring</w:t>
            </w:r>
          </w:p>
        </w:tc>
        <w:tc>
          <w:tcPr>
            <w:tcW w:w="606" w:type="pct"/>
            <w:vAlign w:val="bottom"/>
          </w:tcPr>
          <w:p w14:paraId="43523AB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44A40F4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4EB97A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3D25884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3E9145B"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43AFBDF9" w14:textId="77777777" w:rsidTr="001B330E">
        <w:trPr>
          <w:trHeight w:val="23"/>
        </w:trPr>
        <w:tc>
          <w:tcPr>
            <w:tcW w:w="1971" w:type="pct"/>
            <w:shd w:val="clear" w:color="auto" w:fill="auto"/>
            <w:vAlign w:val="bottom"/>
          </w:tcPr>
          <w:p w14:paraId="56A72A72"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Default</w:t>
            </w:r>
          </w:p>
        </w:tc>
        <w:tc>
          <w:tcPr>
            <w:tcW w:w="606" w:type="pct"/>
            <w:vAlign w:val="bottom"/>
          </w:tcPr>
          <w:p w14:paraId="6614417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321F405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73F48E4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803A5A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EF76378"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0F20D55B" w14:textId="77777777" w:rsidTr="001B330E">
        <w:trPr>
          <w:trHeight w:val="23"/>
        </w:trPr>
        <w:tc>
          <w:tcPr>
            <w:tcW w:w="1971" w:type="pct"/>
            <w:tcBorders>
              <w:bottom w:val="single" w:sz="4" w:space="0" w:color="000000"/>
            </w:tcBorders>
            <w:shd w:val="clear" w:color="auto" w:fill="auto"/>
            <w:vAlign w:val="bottom"/>
          </w:tcPr>
          <w:p w14:paraId="4817C8F5"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bottom w:val="single" w:sz="4" w:space="0" w:color="000000"/>
            </w:tcBorders>
            <w:vAlign w:val="bottom"/>
          </w:tcPr>
          <w:p w14:paraId="53852E2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37477AA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4C38801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2E974AD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7D1E5146"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45FE036D" w14:textId="77777777" w:rsidTr="001B330E">
        <w:trPr>
          <w:trHeight w:val="23"/>
        </w:trPr>
        <w:tc>
          <w:tcPr>
            <w:tcW w:w="1971" w:type="pct"/>
            <w:tcBorders>
              <w:top w:val="single" w:sz="4" w:space="0" w:color="000000"/>
            </w:tcBorders>
            <w:shd w:val="clear" w:color="auto" w:fill="auto"/>
            <w:vAlign w:val="bottom"/>
          </w:tcPr>
          <w:p w14:paraId="79A5BF53"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top w:val="single" w:sz="4" w:space="0" w:color="000000"/>
            </w:tcBorders>
            <w:vAlign w:val="bottom"/>
          </w:tcPr>
          <w:p w14:paraId="66A9C6F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1A43D13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36BE2E1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38FB96B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26D14984"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095B2D5B" w14:textId="77777777" w:rsidTr="001B330E">
        <w:trPr>
          <w:trHeight w:val="23"/>
        </w:trPr>
        <w:tc>
          <w:tcPr>
            <w:tcW w:w="1971" w:type="pct"/>
            <w:shd w:val="clear" w:color="auto" w:fill="auto"/>
            <w:vAlign w:val="bottom"/>
          </w:tcPr>
          <w:p w14:paraId="3CD64876"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b/>
                <w:color w:val="000000"/>
                <w:sz w:val="16"/>
                <w:szCs w:val="16"/>
              </w:rPr>
              <w:t>Gross carrying amount</w:t>
            </w:r>
          </w:p>
        </w:tc>
        <w:tc>
          <w:tcPr>
            <w:tcW w:w="606" w:type="pct"/>
            <w:vAlign w:val="bottom"/>
          </w:tcPr>
          <w:p w14:paraId="03A6A4D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2B0FB5D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14C0914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3A91971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7E5E792A"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23B3A1B2" w14:textId="77777777" w:rsidTr="001B330E">
        <w:trPr>
          <w:trHeight w:val="23"/>
        </w:trPr>
        <w:tc>
          <w:tcPr>
            <w:tcW w:w="1971" w:type="pct"/>
            <w:tcBorders>
              <w:bottom w:val="single" w:sz="4" w:space="0" w:color="000000"/>
            </w:tcBorders>
            <w:shd w:val="clear" w:color="auto" w:fill="auto"/>
            <w:vAlign w:val="bottom"/>
          </w:tcPr>
          <w:p w14:paraId="09E7C185"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bottom w:val="single" w:sz="4" w:space="0" w:color="000000"/>
            </w:tcBorders>
            <w:vAlign w:val="bottom"/>
          </w:tcPr>
          <w:p w14:paraId="1AF7CD6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2F8FCA3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3A4CE1F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3284A51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25BECC62"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602AD885" w14:textId="77777777" w:rsidTr="001B330E">
        <w:trPr>
          <w:trHeight w:val="23"/>
        </w:trPr>
        <w:tc>
          <w:tcPr>
            <w:tcW w:w="1971" w:type="pct"/>
            <w:tcBorders>
              <w:top w:val="single" w:sz="4" w:space="0" w:color="000000"/>
            </w:tcBorders>
            <w:shd w:val="clear" w:color="auto" w:fill="auto"/>
            <w:vAlign w:val="bottom"/>
          </w:tcPr>
          <w:p w14:paraId="3D4EF830"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top w:val="single" w:sz="4" w:space="0" w:color="000000"/>
            </w:tcBorders>
            <w:vAlign w:val="bottom"/>
          </w:tcPr>
          <w:p w14:paraId="1994311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652B14A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40C4C68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5800094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14717890"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4693596F" w14:textId="77777777" w:rsidTr="001B330E">
        <w:trPr>
          <w:trHeight w:val="23"/>
        </w:trPr>
        <w:tc>
          <w:tcPr>
            <w:tcW w:w="1971" w:type="pct"/>
            <w:shd w:val="clear" w:color="auto" w:fill="auto"/>
            <w:vAlign w:val="bottom"/>
          </w:tcPr>
          <w:p w14:paraId="66C14699"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Credit loss allowance</w:t>
            </w:r>
          </w:p>
        </w:tc>
        <w:tc>
          <w:tcPr>
            <w:tcW w:w="606" w:type="pct"/>
            <w:vAlign w:val="bottom"/>
          </w:tcPr>
          <w:p w14:paraId="1FBE451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616D06E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2EADADD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57F2211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7EEC33FC"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2E780471" w14:textId="77777777" w:rsidTr="001B330E">
        <w:trPr>
          <w:trHeight w:val="23"/>
        </w:trPr>
        <w:tc>
          <w:tcPr>
            <w:tcW w:w="1971" w:type="pct"/>
            <w:shd w:val="clear" w:color="auto" w:fill="auto"/>
            <w:vAlign w:val="bottom"/>
          </w:tcPr>
          <w:p w14:paraId="1DDAE027"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vAlign w:val="bottom"/>
          </w:tcPr>
          <w:p w14:paraId="70D5F01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5A6782F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5018CA0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20C19A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5412012"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34ACC84B" w14:textId="77777777" w:rsidTr="001B330E">
        <w:trPr>
          <w:trHeight w:val="23"/>
        </w:trPr>
        <w:tc>
          <w:tcPr>
            <w:tcW w:w="1971" w:type="pct"/>
            <w:tcBorders>
              <w:top w:val="single" w:sz="4" w:space="0" w:color="000000"/>
            </w:tcBorders>
            <w:shd w:val="clear" w:color="auto" w:fill="auto"/>
            <w:vAlign w:val="bottom"/>
          </w:tcPr>
          <w:p w14:paraId="4D4F3BD7"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top w:val="single" w:sz="4" w:space="0" w:color="000000"/>
            </w:tcBorders>
            <w:vAlign w:val="bottom"/>
          </w:tcPr>
          <w:p w14:paraId="73B78A4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6341E56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720B294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313BD98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6015856E"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3F720FDA" w14:textId="77777777" w:rsidTr="001B330E">
        <w:trPr>
          <w:trHeight w:val="23"/>
        </w:trPr>
        <w:tc>
          <w:tcPr>
            <w:tcW w:w="1971" w:type="pct"/>
            <w:shd w:val="clear" w:color="auto" w:fill="auto"/>
            <w:vAlign w:val="bottom"/>
          </w:tcPr>
          <w:p w14:paraId="638CBE56"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b/>
                <w:color w:val="000000"/>
                <w:sz w:val="16"/>
                <w:szCs w:val="16"/>
              </w:rPr>
              <w:t>Carrying amount</w:t>
            </w:r>
          </w:p>
        </w:tc>
        <w:tc>
          <w:tcPr>
            <w:tcW w:w="606" w:type="pct"/>
            <w:vAlign w:val="bottom"/>
          </w:tcPr>
          <w:p w14:paraId="296EC1F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1913B03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235D050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4295BFF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5F26750"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66446576" w14:textId="77777777" w:rsidTr="001B330E">
        <w:trPr>
          <w:trHeight w:val="23"/>
        </w:trPr>
        <w:tc>
          <w:tcPr>
            <w:tcW w:w="1971" w:type="pct"/>
            <w:tcBorders>
              <w:bottom w:val="single" w:sz="12" w:space="0" w:color="000000"/>
            </w:tcBorders>
            <w:shd w:val="clear" w:color="auto" w:fill="auto"/>
            <w:vAlign w:val="bottom"/>
          </w:tcPr>
          <w:p w14:paraId="15D6E2FB"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bottom w:val="single" w:sz="12" w:space="0" w:color="000000"/>
            </w:tcBorders>
            <w:vAlign w:val="bottom"/>
          </w:tcPr>
          <w:p w14:paraId="6FCE874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vAlign w:val="bottom"/>
          </w:tcPr>
          <w:p w14:paraId="6128B5A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shd w:val="clear" w:color="auto" w:fill="auto"/>
            <w:vAlign w:val="bottom"/>
          </w:tcPr>
          <w:p w14:paraId="71CE12C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shd w:val="clear" w:color="auto" w:fill="auto"/>
            <w:vAlign w:val="bottom"/>
          </w:tcPr>
          <w:p w14:paraId="09B4065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shd w:val="clear" w:color="auto" w:fill="auto"/>
            <w:vAlign w:val="bottom"/>
          </w:tcPr>
          <w:p w14:paraId="5A64C0C6"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45786C0A" w14:textId="77777777" w:rsidTr="001B330E">
        <w:trPr>
          <w:trHeight w:val="23"/>
        </w:trPr>
        <w:tc>
          <w:tcPr>
            <w:tcW w:w="1971" w:type="pct"/>
            <w:tcBorders>
              <w:top w:val="single" w:sz="12" w:space="0" w:color="000000"/>
            </w:tcBorders>
            <w:shd w:val="clear" w:color="auto" w:fill="auto"/>
            <w:vAlign w:val="bottom"/>
          </w:tcPr>
          <w:p w14:paraId="68F55188"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top w:val="single" w:sz="12" w:space="0" w:color="000000"/>
            </w:tcBorders>
            <w:vAlign w:val="bottom"/>
          </w:tcPr>
          <w:p w14:paraId="2645BD4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12" w:space="0" w:color="000000"/>
            </w:tcBorders>
            <w:vAlign w:val="bottom"/>
          </w:tcPr>
          <w:p w14:paraId="5C7C063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12" w:space="0" w:color="000000"/>
            </w:tcBorders>
            <w:shd w:val="clear" w:color="auto" w:fill="auto"/>
            <w:vAlign w:val="bottom"/>
          </w:tcPr>
          <w:p w14:paraId="1D07649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12" w:space="0" w:color="000000"/>
            </w:tcBorders>
            <w:shd w:val="clear" w:color="auto" w:fill="auto"/>
            <w:vAlign w:val="bottom"/>
          </w:tcPr>
          <w:p w14:paraId="3FABC5C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12" w:space="0" w:color="000000"/>
            </w:tcBorders>
            <w:shd w:val="clear" w:color="auto" w:fill="auto"/>
            <w:vAlign w:val="bottom"/>
          </w:tcPr>
          <w:p w14:paraId="3BD069D2"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2E05297F" w14:textId="77777777" w:rsidTr="001B330E">
        <w:trPr>
          <w:trHeight w:val="23"/>
        </w:trPr>
        <w:tc>
          <w:tcPr>
            <w:tcW w:w="1971" w:type="pct"/>
            <w:shd w:val="clear" w:color="auto" w:fill="auto"/>
            <w:vAlign w:val="bottom"/>
          </w:tcPr>
          <w:p w14:paraId="37D591CD" w14:textId="77777777" w:rsidR="00D83E33" w:rsidRPr="00372E26" w:rsidRDefault="00BC4072">
            <w:pPr>
              <w:widowControl w:val="0"/>
              <w:pBdr>
                <w:top w:val="nil"/>
                <w:left w:val="nil"/>
                <w:bottom w:val="nil"/>
                <w:right w:val="nil"/>
                <w:between w:val="nil"/>
              </w:pBdr>
              <w:ind w:left="113" w:hanging="113"/>
              <w:rPr>
                <w:b/>
                <w:i/>
                <w:color w:val="000000"/>
                <w:sz w:val="16"/>
                <w:szCs w:val="16"/>
              </w:rPr>
            </w:pPr>
            <w:r w:rsidRPr="00372E26">
              <w:rPr>
                <w:b/>
                <w:i/>
                <w:color w:val="000000"/>
                <w:sz w:val="16"/>
                <w:szCs w:val="16"/>
              </w:rPr>
              <w:t>Reverse sale and repurchase agreements</w:t>
            </w:r>
          </w:p>
        </w:tc>
        <w:tc>
          <w:tcPr>
            <w:tcW w:w="606" w:type="pct"/>
            <w:vAlign w:val="bottom"/>
          </w:tcPr>
          <w:p w14:paraId="17473AF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22ADF93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73F550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23ADCC6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5D87639B"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17976388" w14:textId="77777777" w:rsidTr="001B330E">
        <w:trPr>
          <w:trHeight w:val="23"/>
        </w:trPr>
        <w:tc>
          <w:tcPr>
            <w:tcW w:w="1971" w:type="pct"/>
            <w:shd w:val="clear" w:color="auto" w:fill="auto"/>
            <w:vAlign w:val="bottom"/>
          </w:tcPr>
          <w:p w14:paraId="1715AE1A"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vAlign w:val="bottom"/>
          </w:tcPr>
          <w:p w14:paraId="35C4E16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5D09057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3E236B2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FD3084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DF1FD84"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18E0F808" w14:textId="77777777" w:rsidTr="001B330E">
        <w:trPr>
          <w:trHeight w:val="23"/>
        </w:trPr>
        <w:tc>
          <w:tcPr>
            <w:tcW w:w="1971" w:type="pct"/>
            <w:shd w:val="clear" w:color="auto" w:fill="auto"/>
            <w:vAlign w:val="bottom"/>
          </w:tcPr>
          <w:p w14:paraId="25D22330"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Excellent</w:t>
            </w:r>
          </w:p>
          <w:p w14:paraId="099CA68F"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Good</w:t>
            </w:r>
          </w:p>
        </w:tc>
        <w:tc>
          <w:tcPr>
            <w:tcW w:w="606" w:type="pct"/>
            <w:vAlign w:val="bottom"/>
          </w:tcPr>
          <w:p w14:paraId="59AE5F5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118B761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2E3D93F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B62352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519D415A"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0AFE5FED" w14:textId="77777777" w:rsidTr="001B330E">
        <w:trPr>
          <w:trHeight w:val="23"/>
        </w:trPr>
        <w:tc>
          <w:tcPr>
            <w:tcW w:w="1971" w:type="pct"/>
            <w:shd w:val="clear" w:color="auto" w:fill="auto"/>
            <w:vAlign w:val="bottom"/>
          </w:tcPr>
          <w:p w14:paraId="099818AF"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Satisfactory</w:t>
            </w:r>
          </w:p>
        </w:tc>
        <w:tc>
          <w:tcPr>
            <w:tcW w:w="606" w:type="pct"/>
            <w:vAlign w:val="bottom"/>
          </w:tcPr>
          <w:p w14:paraId="2AF7B9E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7CA2D17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D49BAB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08BB54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AB709C3"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3A30FEA0" w14:textId="77777777" w:rsidTr="001B330E">
        <w:trPr>
          <w:trHeight w:val="23"/>
        </w:trPr>
        <w:tc>
          <w:tcPr>
            <w:tcW w:w="1971" w:type="pct"/>
            <w:shd w:val="clear" w:color="auto" w:fill="auto"/>
            <w:vAlign w:val="bottom"/>
          </w:tcPr>
          <w:p w14:paraId="5BB2B1A8"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Special monitoring</w:t>
            </w:r>
          </w:p>
        </w:tc>
        <w:tc>
          <w:tcPr>
            <w:tcW w:w="606" w:type="pct"/>
            <w:vAlign w:val="bottom"/>
          </w:tcPr>
          <w:p w14:paraId="71565A7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18D9584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51D707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3571688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5AC45D02"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2AB058D9" w14:textId="77777777" w:rsidTr="001B330E">
        <w:trPr>
          <w:trHeight w:val="23"/>
        </w:trPr>
        <w:tc>
          <w:tcPr>
            <w:tcW w:w="1971" w:type="pct"/>
            <w:shd w:val="clear" w:color="auto" w:fill="auto"/>
            <w:vAlign w:val="bottom"/>
          </w:tcPr>
          <w:p w14:paraId="04A5255B"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Default</w:t>
            </w:r>
          </w:p>
        </w:tc>
        <w:tc>
          <w:tcPr>
            <w:tcW w:w="606" w:type="pct"/>
            <w:vAlign w:val="bottom"/>
          </w:tcPr>
          <w:p w14:paraId="4E96D6B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0BB92A3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5994543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2A70C27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42E01C74"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40A0B787" w14:textId="77777777" w:rsidTr="001B330E">
        <w:trPr>
          <w:trHeight w:val="23"/>
        </w:trPr>
        <w:tc>
          <w:tcPr>
            <w:tcW w:w="1971" w:type="pct"/>
            <w:tcBorders>
              <w:bottom w:val="single" w:sz="4" w:space="0" w:color="000000"/>
            </w:tcBorders>
            <w:shd w:val="clear" w:color="auto" w:fill="auto"/>
            <w:vAlign w:val="bottom"/>
          </w:tcPr>
          <w:p w14:paraId="4A4D33FB"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bottom w:val="single" w:sz="4" w:space="0" w:color="000000"/>
            </w:tcBorders>
            <w:vAlign w:val="bottom"/>
          </w:tcPr>
          <w:p w14:paraId="0ECFF20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5A85128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3E253F1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35F1C14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1690808F"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637E52A9" w14:textId="77777777" w:rsidTr="001B330E">
        <w:trPr>
          <w:trHeight w:val="23"/>
        </w:trPr>
        <w:tc>
          <w:tcPr>
            <w:tcW w:w="1971" w:type="pct"/>
            <w:tcBorders>
              <w:top w:val="single" w:sz="4" w:space="0" w:color="000000"/>
            </w:tcBorders>
            <w:shd w:val="clear" w:color="auto" w:fill="auto"/>
            <w:vAlign w:val="bottom"/>
          </w:tcPr>
          <w:p w14:paraId="70AD9E1E"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top w:val="single" w:sz="4" w:space="0" w:color="000000"/>
            </w:tcBorders>
            <w:vAlign w:val="bottom"/>
          </w:tcPr>
          <w:p w14:paraId="4F97CA3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0D34F68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43E3218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7B8A8C5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0D35C975"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558887C7" w14:textId="77777777" w:rsidTr="001B330E">
        <w:trPr>
          <w:trHeight w:val="23"/>
        </w:trPr>
        <w:tc>
          <w:tcPr>
            <w:tcW w:w="1971" w:type="pct"/>
            <w:shd w:val="clear" w:color="auto" w:fill="auto"/>
            <w:vAlign w:val="bottom"/>
          </w:tcPr>
          <w:p w14:paraId="00361057"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b/>
                <w:color w:val="000000"/>
                <w:sz w:val="16"/>
                <w:szCs w:val="16"/>
              </w:rPr>
              <w:t>Gross carrying amount</w:t>
            </w:r>
          </w:p>
        </w:tc>
        <w:tc>
          <w:tcPr>
            <w:tcW w:w="606" w:type="pct"/>
            <w:vAlign w:val="bottom"/>
          </w:tcPr>
          <w:p w14:paraId="351D7F2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47A3885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7B2F21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56FE067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6A4AE037"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78FDF8F4" w14:textId="77777777" w:rsidTr="001B330E">
        <w:trPr>
          <w:trHeight w:val="23"/>
        </w:trPr>
        <w:tc>
          <w:tcPr>
            <w:tcW w:w="1971" w:type="pct"/>
            <w:tcBorders>
              <w:bottom w:val="single" w:sz="4" w:space="0" w:color="000000"/>
            </w:tcBorders>
            <w:shd w:val="clear" w:color="auto" w:fill="auto"/>
            <w:vAlign w:val="bottom"/>
          </w:tcPr>
          <w:p w14:paraId="71CDC969"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bottom w:val="single" w:sz="4" w:space="0" w:color="000000"/>
            </w:tcBorders>
            <w:vAlign w:val="bottom"/>
          </w:tcPr>
          <w:p w14:paraId="7EB4C57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78085E0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740C908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2112793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5CC126E5"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6FF5A90B" w14:textId="77777777" w:rsidTr="001B330E">
        <w:trPr>
          <w:trHeight w:val="23"/>
        </w:trPr>
        <w:tc>
          <w:tcPr>
            <w:tcW w:w="1971" w:type="pct"/>
            <w:tcBorders>
              <w:top w:val="single" w:sz="4" w:space="0" w:color="000000"/>
            </w:tcBorders>
            <w:shd w:val="clear" w:color="auto" w:fill="auto"/>
            <w:vAlign w:val="bottom"/>
          </w:tcPr>
          <w:p w14:paraId="424499B5"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top w:val="single" w:sz="4" w:space="0" w:color="000000"/>
            </w:tcBorders>
            <w:vAlign w:val="bottom"/>
          </w:tcPr>
          <w:p w14:paraId="5CC9925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3BFFE86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638468C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69B36EB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23AAF13E"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31866CE3" w14:textId="77777777" w:rsidTr="001B330E">
        <w:trPr>
          <w:trHeight w:val="23"/>
        </w:trPr>
        <w:tc>
          <w:tcPr>
            <w:tcW w:w="1971" w:type="pct"/>
            <w:shd w:val="clear" w:color="auto" w:fill="auto"/>
            <w:vAlign w:val="bottom"/>
          </w:tcPr>
          <w:p w14:paraId="3E62FCD0"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Credit loss allowance</w:t>
            </w:r>
          </w:p>
        </w:tc>
        <w:tc>
          <w:tcPr>
            <w:tcW w:w="606" w:type="pct"/>
            <w:vAlign w:val="bottom"/>
          </w:tcPr>
          <w:p w14:paraId="76898E1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161D73C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2EF8EB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3B42816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016C4457"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03692E44" w14:textId="77777777" w:rsidTr="001B330E">
        <w:trPr>
          <w:trHeight w:val="23"/>
        </w:trPr>
        <w:tc>
          <w:tcPr>
            <w:tcW w:w="1971" w:type="pct"/>
            <w:tcBorders>
              <w:bottom w:val="single" w:sz="4" w:space="0" w:color="000000"/>
            </w:tcBorders>
            <w:shd w:val="clear" w:color="auto" w:fill="auto"/>
            <w:vAlign w:val="bottom"/>
          </w:tcPr>
          <w:p w14:paraId="0D0C0B8C"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bottom w:val="single" w:sz="4" w:space="0" w:color="000000"/>
            </w:tcBorders>
            <w:vAlign w:val="bottom"/>
          </w:tcPr>
          <w:p w14:paraId="2223B8F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4F7C89C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77BF756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070785D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46A6ADDF"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2280E465" w14:textId="77777777" w:rsidTr="001B330E">
        <w:trPr>
          <w:trHeight w:val="23"/>
        </w:trPr>
        <w:tc>
          <w:tcPr>
            <w:tcW w:w="1971" w:type="pct"/>
            <w:tcBorders>
              <w:top w:val="single" w:sz="4" w:space="0" w:color="000000"/>
            </w:tcBorders>
            <w:vAlign w:val="bottom"/>
          </w:tcPr>
          <w:p w14:paraId="7520898B"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top w:val="single" w:sz="4" w:space="0" w:color="000000"/>
            </w:tcBorders>
            <w:vAlign w:val="bottom"/>
          </w:tcPr>
          <w:p w14:paraId="7C49851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2B83BD4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7800A18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4B42CC3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5CA0DE66"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2AC48A2D" w14:textId="77777777" w:rsidTr="001B330E">
        <w:trPr>
          <w:trHeight w:val="23"/>
        </w:trPr>
        <w:tc>
          <w:tcPr>
            <w:tcW w:w="1971" w:type="pct"/>
            <w:vAlign w:val="bottom"/>
          </w:tcPr>
          <w:p w14:paraId="45C6BB67"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b/>
                <w:color w:val="000000"/>
                <w:sz w:val="16"/>
                <w:szCs w:val="16"/>
              </w:rPr>
              <w:t>Carrying amount</w:t>
            </w:r>
          </w:p>
        </w:tc>
        <w:tc>
          <w:tcPr>
            <w:tcW w:w="606" w:type="pct"/>
            <w:vAlign w:val="bottom"/>
          </w:tcPr>
          <w:p w14:paraId="7410278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2ACA0A7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2401352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5D60E78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699F992F"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7E89B201" w14:textId="77777777" w:rsidTr="001B330E">
        <w:trPr>
          <w:trHeight w:val="23"/>
        </w:trPr>
        <w:tc>
          <w:tcPr>
            <w:tcW w:w="1971" w:type="pct"/>
            <w:tcBorders>
              <w:bottom w:val="single" w:sz="12" w:space="0" w:color="000000"/>
            </w:tcBorders>
            <w:vAlign w:val="bottom"/>
          </w:tcPr>
          <w:p w14:paraId="50F59B9D" w14:textId="77777777" w:rsidR="00D83E33" w:rsidRPr="00372E26" w:rsidRDefault="00D83E33">
            <w:pPr>
              <w:widowControl w:val="0"/>
              <w:pBdr>
                <w:top w:val="nil"/>
                <w:left w:val="nil"/>
                <w:bottom w:val="nil"/>
                <w:right w:val="nil"/>
                <w:between w:val="nil"/>
              </w:pBdr>
              <w:ind w:left="113" w:hanging="113"/>
              <w:rPr>
                <w:b/>
                <w:color w:val="000000"/>
                <w:sz w:val="16"/>
                <w:szCs w:val="16"/>
              </w:rPr>
            </w:pPr>
          </w:p>
        </w:tc>
        <w:tc>
          <w:tcPr>
            <w:tcW w:w="606" w:type="pct"/>
            <w:tcBorders>
              <w:bottom w:val="single" w:sz="12" w:space="0" w:color="000000"/>
            </w:tcBorders>
            <w:vAlign w:val="bottom"/>
          </w:tcPr>
          <w:p w14:paraId="795FC9D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vAlign w:val="bottom"/>
          </w:tcPr>
          <w:p w14:paraId="6AD0692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vAlign w:val="bottom"/>
          </w:tcPr>
          <w:p w14:paraId="585F8BE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vAlign w:val="bottom"/>
          </w:tcPr>
          <w:p w14:paraId="6486414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vAlign w:val="bottom"/>
          </w:tcPr>
          <w:p w14:paraId="0D833B61"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13A9FFC6" w14:textId="77777777" w:rsidTr="001B330E">
        <w:trPr>
          <w:trHeight w:val="23"/>
        </w:trPr>
        <w:tc>
          <w:tcPr>
            <w:tcW w:w="1971" w:type="pct"/>
            <w:tcBorders>
              <w:top w:val="single" w:sz="12" w:space="0" w:color="000000"/>
            </w:tcBorders>
            <w:vAlign w:val="bottom"/>
          </w:tcPr>
          <w:p w14:paraId="037ED24B"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color w:val="000000"/>
                <w:sz w:val="16"/>
                <w:szCs w:val="16"/>
              </w:rPr>
              <w:t> </w:t>
            </w:r>
          </w:p>
        </w:tc>
        <w:tc>
          <w:tcPr>
            <w:tcW w:w="606" w:type="pct"/>
            <w:tcBorders>
              <w:top w:val="single" w:sz="12" w:space="0" w:color="000000"/>
            </w:tcBorders>
            <w:vAlign w:val="bottom"/>
          </w:tcPr>
          <w:p w14:paraId="3356398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12" w:space="0" w:color="000000"/>
            </w:tcBorders>
            <w:vAlign w:val="bottom"/>
          </w:tcPr>
          <w:p w14:paraId="0DE99EF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12" w:space="0" w:color="000000"/>
            </w:tcBorders>
            <w:vAlign w:val="bottom"/>
          </w:tcPr>
          <w:p w14:paraId="56839EE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12" w:space="0" w:color="000000"/>
            </w:tcBorders>
            <w:vAlign w:val="bottom"/>
          </w:tcPr>
          <w:p w14:paraId="1272E5F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12" w:space="0" w:color="000000"/>
            </w:tcBorders>
            <w:vAlign w:val="bottom"/>
          </w:tcPr>
          <w:p w14:paraId="5CED38D4"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522A743D" w14:textId="77777777" w:rsidTr="001B330E">
        <w:trPr>
          <w:trHeight w:val="23"/>
        </w:trPr>
        <w:tc>
          <w:tcPr>
            <w:tcW w:w="1971" w:type="pct"/>
            <w:vAlign w:val="bottom"/>
          </w:tcPr>
          <w:p w14:paraId="7BC611D6"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b/>
                <w:color w:val="000000"/>
                <w:sz w:val="16"/>
                <w:szCs w:val="16"/>
              </w:rPr>
              <w:t>Total due from other banks (gross carrying amount)</w:t>
            </w:r>
          </w:p>
        </w:tc>
        <w:tc>
          <w:tcPr>
            <w:tcW w:w="606" w:type="pct"/>
            <w:vAlign w:val="bottom"/>
          </w:tcPr>
          <w:p w14:paraId="78A746C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44546E0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760D117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6E644B7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18B0D00E"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2953A8EC" w14:textId="77777777" w:rsidTr="001B330E">
        <w:trPr>
          <w:trHeight w:val="23"/>
        </w:trPr>
        <w:tc>
          <w:tcPr>
            <w:tcW w:w="1971" w:type="pct"/>
            <w:tcBorders>
              <w:bottom w:val="single" w:sz="4" w:space="0" w:color="000000"/>
            </w:tcBorders>
            <w:vAlign w:val="bottom"/>
          </w:tcPr>
          <w:p w14:paraId="41BA291E" w14:textId="77777777" w:rsidR="00D83E33" w:rsidRPr="00372E26" w:rsidRDefault="00D83E33">
            <w:pPr>
              <w:widowControl w:val="0"/>
              <w:pBdr>
                <w:top w:val="nil"/>
                <w:left w:val="nil"/>
                <w:bottom w:val="nil"/>
                <w:right w:val="nil"/>
                <w:between w:val="nil"/>
              </w:pBdr>
              <w:ind w:left="113" w:hanging="113"/>
              <w:rPr>
                <w:b/>
                <w:color w:val="000000"/>
                <w:sz w:val="16"/>
                <w:szCs w:val="16"/>
              </w:rPr>
            </w:pPr>
          </w:p>
        </w:tc>
        <w:tc>
          <w:tcPr>
            <w:tcW w:w="606" w:type="pct"/>
            <w:tcBorders>
              <w:bottom w:val="single" w:sz="4" w:space="0" w:color="000000"/>
            </w:tcBorders>
            <w:vAlign w:val="bottom"/>
          </w:tcPr>
          <w:p w14:paraId="1DC83F6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26348A7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48B1A8D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62A7FCC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6198431D"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05F672E9" w14:textId="77777777" w:rsidTr="001B330E">
        <w:trPr>
          <w:trHeight w:val="23"/>
        </w:trPr>
        <w:tc>
          <w:tcPr>
            <w:tcW w:w="1971" w:type="pct"/>
            <w:tcBorders>
              <w:top w:val="single" w:sz="4" w:space="0" w:color="000000"/>
            </w:tcBorders>
            <w:vAlign w:val="bottom"/>
          </w:tcPr>
          <w:p w14:paraId="0984231B" w14:textId="77777777" w:rsidR="00D83E33" w:rsidRPr="00372E26" w:rsidRDefault="00D83E33">
            <w:pPr>
              <w:widowControl w:val="0"/>
              <w:pBdr>
                <w:top w:val="nil"/>
                <w:left w:val="nil"/>
                <w:bottom w:val="nil"/>
                <w:right w:val="nil"/>
                <w:between w:val="nil"/>
              </w:pBdr>
              <w:ind w:left="113" w:hanging="113"/>
              <w:rPr>
                <w:b/>
                <w:color w:val="000000"/>
                <w:sz w:val="16"/>
                <w:szCs w:val="16"/>
              </w:rPr>
            </w:pPr>
          </w:p>
        </w:tc>
        <w:tc>
          <w:tcPr>
            <w:tcW w:w="606" w:type="pct"/>
            <w:tcBorders>
              <w:top w:val="single" w:sz="4" w:space="0" w:color="000000"/>
            </w:tcBorders>
            <w:vAlign w:val="bottom"/>
          </w:tcPr>
          <w:p w14:paraId="2D436D3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0EC1CFD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3C4F446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4800AA7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5C9973A5"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32E0D90D" w14:textId="77777777" w:rsidTr="001B330E">
        <w:trPr>
          <w:trHeight w:val="23"/>
        </w:trPr>
        <w:tc>
          <w:tcPr>
            <w:tcW w:w="1971" w:type="pct"/>
            <w:vAlign w:val="bottom"/>
          </w:tcPr>
          <w:p w14:paraId="5AA312AF"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b/>
                <w:color w:val="000000"/>
                <w:sz w:val="16"/>
                <w:szCs w:val="16"/>
              </w:rPr>
              <w:t>Credit loss allowance</w:t>
            </w:r>
          </w:p>
        </w:tc>
        <w:tc>
          <w:tcPr>
            <w:tcW w:w="606" w:type="pct"/>
            <w:vAlign w:val="bottom"/>
          </w:tcPr>
          <w:p w14:paraId="3D10ACB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43BE22C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7049C8C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59A9080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44A61783"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03FEAAF2" w14:textId="77777777" w:rsidTr="001B330E">
        <w:trPr>
          <w:trHeight w:val="23"/>
        </w:trPr>
        <w:tc>
          <w:tcPr>
            <w:tcW w:w="1971" w:type="pct"/>
            <w:tcBorders>
              <w:bottom w:val="single" w:sz="4" w:space="0" w:color="000000"/>
            </w:tcBorders>
            <w:shd w:val="clear" w:color="auto" w:fill="auto"/>
            <w:vAlign w:val="bottom"/>
          </w:tcPr>
          <w:p w14:paraId="76F3A71A"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606" w:type="pct"/>
            <w:tcBorders>
              <w:bottom w:val="single" w:sz="4" w:space="0" w:color="000000"/>
            </w:tcBorders>
            <w:vAlign w:val="bottom"/>
          </w:tcPr>
          <w:p w14:paraId="7C5E996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vAlign w:val="bottom"/>
          </w:tcPr>
          <w:p w14:paraId="543052D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5CE7127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27BD467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4" w:space="0" w:color="000000"/>
            </w:tcBorders>
            <w:shd w:val="clear" w:color="auto" w:fill="auto"/>
            <w:vAlign w:val="bottom"/>
          </w:tcPr>
          <w:p w14:paraId="23440849"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29CF5391" w14:textId="77777777" w:rsidTr="001B330E">
        <w:trPr>
          <w:trHeight w:val="23"/>
        </w:trPr>
        <w:tc>
          <w:tcPr>
            <w:tcW w:w="1971" w:type="pct"/>
            <w:tcBorders>
              <w:top w:val="single" w:sz="4" w:space="0" w:color="000000"/>
            </w:tcBorders>
            <w:shd w:val="clear" w:color="auto" w:fill="auto"/>
            <w:vAlign w:val="bottom"/>
          </w:tcPr>
          <w:p w14:paraId="5BF0B1E5"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top w:val="single" w:sz="4" w:space="0" w:color="000000"/>
            </w:tcBorders>
            <w:vAlign w:val="bottom"/>
          </w:tcPr>
          <w:p w14:paraId="3BE58FE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vAlign w:val="bottom"/>
          </w:tcPr>
          <w:p w14:paraId="70CF935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6653A64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321EC47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top w:val="single" w:sz="4" w:space="0" w:color="000000"/>
            </w:tcBorders>
            <w:shd w:val="clear" w:color="auto" w:fill="auto"/>
            <w:vAlign w:val="bottom"/>
          </w:tcPr>
          <w:p w14:paraId="6162E3F0"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09194524" w14:textId="77777777" w:rsidTr="001B330E">
        <w:trPr>
          <w:trHeight w:val="23"/>
        </w:trPr>
        <w:tc>
          <w:tcPr>
            <w:tcW w:w="1971" w:type="pct"/>
            <w:shd w:val="clear" w:color="auto" w:fill="auto"/>
            <w:vAlign w:val="bottom"/>
          </w:tcPr>
          <w:p w14:paraId="11C5B24D"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b/>
                <w:color w:val="000000"/>
                <w:sz w:val="16"/>
                <w:szCs w:val="16"/>
              </w:rPr>
              <w:t>Total due from other banks (carrying amount)</w:t>
            </w:r>
          </w:p>
        </w:tc>
        <w:tc>
          <w:tcPr>
            <w:tcW w:w="606" w:type="pct"/>
            <w:vAlign w:val="bottom"/>
          </w:tcPr>
          <w:p w14:paraId="6855F88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vAlign w:val="bottom"/>
          </w:tcPr>
          <w:p w14:paraId="452C5AF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51AA7C3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146D071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shd w:val="clear" w:color="auto" w:fill="auto"/>
            <w:vAlign w:val="bottom"/>
          </w:tcPr>
          <w:p w14:paraId="35B558B7"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856386" w14:paraId="5CD01022" w14:textId="77777777" w:rsidTr="001B330E">
        <w:trPr>
          <w:trHeight w:val="23"/>
        </w:trPr>
        <w:tc>
          <w:tcPr>
            <w:tcW w:w="1971" w:type="pct"/>
            <w:tcBorders>
              <w:bottom w:val="single" w:sz="12" w:space="0" w:color="000000"/>
            </w:tcBorders>
            <w:shd w:val="clear" w:color="auto" w:fill="auto"/>
            <w:vAlign w:val="bottom"/>
          </w:tcPr>
          <w:p w14:paraId="297E35B2"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606" w:type="pct"/>
            <w:tcBorders>
              <w:bottom w:val="single" w:sz="12" w:space="0" w:color="000000"/>
            </w:tcBorders>
            <w:vAlign w:val="bottom"/>
          </w:tcPr>
          <w:p w14:paraId="69DEA94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vAlign w:val="bottom"/>
          </w:tcPr>
          <w:p w14:paraId="1E1205A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shd w:val="clear" w:color="auto" w:fill="auto"/>
            <w:vAlign w:val="bottom"/>
          </w:tcPr>
          <w:p w14:paraId="346FBC3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shd w:val="clear" w:color="auto" w:fill="auto"/>
            <w:vAlign w:val="bottom"/>
          </w:tcPr>
          <w:p w14:paraId="3D94A76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606" w:type="pct"/>
            <w:tcBorders>
              <w:bottom w:val="single" w:sz="12" w:space="0" w:color="000000"/>
            </w:tcBorders>
            <w:shd w:val="clear" w:color="auto" w:fill="auto"/>
            <w:vAlign w:val="bottom"/>
          </w:tcPr>
          <w:p w14:paraId="0AE70C50" w14:textId="77777777" w:rsidR="00D83E33" w:rsidRPr="00372E26" w:rsidRDefault="00D83E33">
            <w:pPr>
              <w:widowControl w:val="0"/>
              <w:pBdr>
                <w:top w:val="nil"/>
                <w:left w:val="nil"/>
                <w:bottom w:val="nil"/>
                <w:right w:val="nil"/>
                <w:between w:val="nil"/>
              </w:pBdr>
              <w:jc w:val="right"/>
              <w:rPr>
                <w:color w:val="000000"/>
                <w:sz w:val="16"/>
                <w:szCs w:val="16"/>
              </w:rPr>
            </w:pPr>
          </w:p>
        </w:tc>
      </w:tr>
    </w:tbl>
    <w:p w14:paraId="3507D599" w14:textId="12F2DE18" w:rsidR="00D83E33" w:rsidRDefault="00BC4072">
      <w:pPr>
        <w:widowControl w:val="0"/>
        <w:spacing w:before="200" w:after="200"/>
        <w:jc w:val="both"/>
        <w:rPr>
          <w:sz w:val="20"/>
          <w:szCs w:val="20"/>
        </w:rPr>
      </w:pPr>
      <w:r>
        <w:rPr>
          <w:sz w:val="20"/>
          <w:szCs w:val="20"/>
        </w:rPr>
        <w:t xml:space="preserve">The total amount of undiscounted ECLs at initial recognition for POCI financial assets recognised during the period was </w:t>
      </w:r>
      <w:r w:rsidR="00D73799">
        <w:rPr>
          <w:sz w:val="20"/>
          <w:szCs w:val="20"/>
        </w:rPr>
        <w:t>EUR</w:t>
      </w:r>
      <w:r>
        <w:rPr>
          <w:sz w:val="20"/>
          <w:szCs w:val="20"/>
        </w:rPr>
        <w:t xml:space="preserve"> _______</w:t>
      </w:r>
      <w:r>
        <w:rPr>
          <w:color w:val="0070C0"/>
          <w:sz w:val="20"/>
          <w:szCs w:val="20"/>
        </w:rPr>
        <w:t xml:space="preserve"> </w:t>
      </w:r>
      <w:r>
        <w:rPr>
          <w:sz w:val="20"/>
          <w:szCs w:val="20"/>
        </w:rPr>
        <w:t>thousand (</w:t>
      </w:r>
      <w:r w:rsidR="00541EBC">
        <w:rPr>
          <w:sz w:val="20"/>
          <w:szCs w:val="20"/>
        </w:rPr>
        <w:t>2023</w:t>
      </w:r>
      <w:r>
        <w:rPr>
          <w:sz w:val="20"/>
          <w:szCs w:val="20"/>
        </w:rPr>
        <w:t xml:space="preserve">: </w:t>
      </w:r>
      <w:r w:rsidR="00D73799">
        <w:rPr>
          <w:sz w:val="20"/>
          <w:szCs w:val="20"/>
        </w:rPr>
        <w:t>EUR</w:t>
      </w:r>
      <w:r>
        <w:rPr>
          <w:sz w:val="20"/>
          <w:szCs w:val="20"/>
        </w:rPr>
        <w:t xml:space="preserve"> ___ thousand).</w:t>
      </w:r>
    </w:p>
    <w:p w14:paraId="089A21FB" w14:textId="2D092C63"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During </w:t>
      </w:r>
      <w:r w:rsidR="00541EBC">
        <w:rPr>
          <w:color w:val="000000"/>
          <w:sz w:val="20"/>
          <w:szCs w:val="20"/>
        </w:rPr>
        <w:t>2024</w:t>
      </w:r>
      <w:r>
        <w:rPr>
          <w:color w:val="000000"/>
          <w:sz w:val="20"/>
          <w:szCs w:val="20"/>
        </w:rPr>
        <w:t xml:space="preserve">, a gain </w:t>
      </w:r>
      <w:r>
        <w:rPr>
          <w:color w:val="0000FF"/>
          <w:sz w:val="20"/>
          <w:szCs w:val="20"/>
        </w:rPr>
        <w:t>[loss]</w:t>
      </w:r>
      <w:r>
        <w:rPr>
          <w:color w:val="000000"/>
          <w:sz w:val="20"/>
          <w:szCs w:val="20"/>
        </w:rPr>
        <w:t xml:space="preserve"> on initial recognition of due from other banks at rates above </w:t>
      </w:r>
      <w:r>
        <w:rPr>
          <w:color w:val="0000FF"/>
          <w:sz w:val="20"/>
          <w:szCs w:val="20"/>
        </w:rPr>
        <w:t xml:space="preserve">[below] </w:t>
      </w:r>
      <w:r>
        <w:rPr>
          <w:color w:val="000000"/>
          <w:sz w:val="20"/>
          <w:szCs w:val="20"/>
        </w:rPr>
        <w:t xml:space="preserve">market in the amount of </w:t>
      </w:r>
      <w:r w:rsidR="00D73799">
        <w:rPr>
          <w:color w:val="000000"/>
          <w:sz w:val="20"/>
          <w:szCs w:val="20"/>
        </w:rPr>
        <w:t>EUR</w:t>
      </w:r>
      <w:r>
        <w:rPr>
          <w:color w:val="000000"/>
          <w:sz w:val="20"/>
          <w:szCs w:val="20"/>
        </w:rPr>
        <w:t xml:space="preserve"> 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thousand) has been recorded </w:t>
      </w:r>
      <w:r>
        <w:rPr>
          <w:color w:val="0000FF"/>
          <w:sz w:val="20"/>
          <w:szCs w:val="20"/>
        </w:rPr>
        <w:t>[in profit or loss for the year].</w:t>
      </w:r>
    </w:p>
    <w:p w14:paraId="47769EDC" w14:textId="77777777" w:rsidR="005041C2" w:rsidRDefault="005041C2" w:rsidP="001B330E">
      <w:pPr>
        <w:pStyle w:val="Continued"/>
      </w:pPr>
      <w:r>
        <w:lastRenderedPageBreak/>
        <w:t>8</w:t>
      </w:r>
      <w:r>
        <w:tab/>
        <w:t>Due from Other Banks (Continued)</w:t>
      </w:r>
    </w:p>
    <w:p w14:paraId="1C165408" w14:textId="04D59BAB"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and 31</w:t>
      </w:r>
      <w:r w:rsidR="00181687">
        <w:rPr>
          <w:color w:val="000000"/>
          <w:sz w:val="20"/>
          <w:szCs w:val="20"/>
        </w:rPr>
        <w:t> December </w:t>
      </w:r>
      <w:r w:rsidR="00541EBC">
        <w:rPr>
          <w:color w:val="000000"/>
          <w:sz w:val="20"/>
          <w:szCs w:val="20"/>
        </w:rPr>
        <w:t>2023</w:t>
      </w:r>
      <w:r>
        <w:rPr>
          <w:color w:val="000000"/>
          <w:sz w:val="20"/>
          <w:szCs w:val="20"/>
        </w:rPr>
        <w:t xml:space="preserve"> except for reverse sale and repurchase agreements, due from other banks balances are not collateralised. </w:t>
      </w:r>
    </w:p>
    <w:p w14:paraId="1FA27313" w14:textId="5A3FED81"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Group has a right to sell or repledge securities with a fair value of </w:t>
      </w:r>
      <w:r w:rsidR="00D73799">
        <w:rPr>
          <w:color w:val="000000"/>
          <w:sz w:val="20"/>
          <w:szCs w:val="20"/>
        </w:rPr>
        <w:t>EUR</w:t>
      </w:r>
      <w:r>
        <w:rPr>
          <w:color w:val="000000"/>
          <w:sz w:val="20"/>
          <w:szCs w:val="20"/>
        </w:rPr>
        <w:t xml:space="preserve"> 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thousand) received under reverse sale and repurchase agreements. </w:t>
      </w:r>
      <w:r>
        <w:rPr>
          <w:i/>
          <w:color w:val="FF0000"/>
          <w:sz w:val="20"/>
          <w:szCs w:val="20"/>
        </w:rPr>
        <w:t>[</w:t>
      </w:r>
      <w:r w:rsidR="0036608B">
        <w:rPr>
          <w:i/>
          <w:color w:val="FF0000"/>
          <w:sz w:val="20"/>
          <w:szCs w:val="20"/>
        </w:rPr>
        <w:t>Tailor to d</w:t>
      </w:r>
      <w:r>
        <w:rPr>
          <w:i/>
          <w:color w:val="FF0000"/>
          <w:sz w:val="20"/>
          <w:szCs w:val="20"/>
        </w:rPr>
        <w:t>isclose any material terms and conditions associated with the use of the collateral.]</w:t>
      </w:r>
    </w:p>
    <w:p w14:paraId="55EA6923" w14:textId="77777777" w:rsidR="00D83E33" w:rsidRDefault="00BC4072" w:rsidP="001B330E">
      <w:pPr>
        <w:pBdr>
          <w:top w:val="nil"/>
          <w:left w:val="nil"/>
          <w:bottom w:val="nil"/>
          <w:right w:val="nil"/>
          <w:between w:val="nil"/>
        </w:pBdr>
        <w:spacing w:before="200" w:after="200"/>
        <w:jc w:val="both"/>
        <w:rPr>
          <w:color w:val="000000"/>
          <w:sz w:val="20"/>
          <w:szCs w:val="20"/>
        </w:rPr>
      </w:pPr>
      <w:r>
        <w:rPr>
          <w:color w:val="000000"/>
          <w:sz w:val="20"/>
          <w:szCs w:val="20"/>
        </w:rPr>
        <w:t xml:space="preserve">The extent to which collateral mitigates credit risk is presented by disclosing collateral values separately for (i) those assets where collateral and other credit enhancements are equal to or exceed carrying value of the asset (“over-collateralised assets”) and (ii) those assets where collateral and other credit enhancements are less than the carrying value of the asset (“under-collateralised assets”). </w:t>
      </w:r>
    </w:p>
    <w:tbl>
      <w:tblPr>
        <w:tblStyle w:val="af2"/>
        <w:tblW w:w="5000" w:type="pct"/>
        <w:tblLayout w:type="fixed"/>
        <w:tblCellMar>
          <w:left w:w="113" w:type="dxa"/>
          <w:right w:w="113" w:type="dxa"/>
        </w:tblCellMar>
        <w:tblLook w:val="0000" w:firstRow="0" w:lastRow="0" w:firstColumn="0" w:lastColumn="0" w:noHBand="0" w:noVBand="0"/>
      </w:tblPr>
      <w:tblGrid>
        <w:gridCol w:w="4819"/>
        <w:gridCol w:w="1134"/>
        <w:gridCol w:w="1134"/>
        <w:gridCol w:w="1134"/>
        <w:gridCol w:w="1134"/>
      </w:tblGrid>
      <w:tr w:rsidR="00D83E33" w:rsidRPr="00026C49" w14:paraId="1DAC3042" w14:textId="77777777" w:rsidTr="001B330E">
        <w:trPr>
          <w:trHeight w:val="23"/>
        </w:trPr>
        <w:tc>
          <w:tcPr>
            <w:tcW w:w="2576" w:type="pct"/>
            <w:vAlign w:val="bottom"/>
          </w:tcPr>
          <w:p w14:paraId="1CD0370A" w14:textId="77777777" w:rsidR="00D83E33" w:rsidRPr="00026C49" w:rsidRDefault="00D83E33" w:rsidP="001B330E">
            <w:pPr>
              <w:widowControl w:val="0"/>
              <w:pBdr>
                <w:top w:val="nil"/>
                <w:left w:val="nil"/>
                <w:bottom w:val="nil"/>
                <w:right w:val="nil"/>
                <w:between w:val="nil"/>
              </w:pBdr>
              <w:ind w:left="113" w:hanging="113"/>
              <w:rPr>
                <w:b/>
                <w:i/>
                <w:color w:val="000000"/>
              </w:rPr>
            </w:pPr>
          </w:p>
        </w:tc>
        <w:tc>
          <w:tcPr>
            <w:tcW w:w="1212" w:type="pct"/>
            <w:gridSpan w:val="2"/>
            <w:tcBorders>
              <w:bottom w:val="single" w:sz="4" w:space="0" w:color="000000"/>
            </w:tcBorders>
            <w:vAlign w:val="bottom"/>
          </w:tcPr>
          <w:p w14:paraId="7ADC2D82" w14:textId="77777777" w:rsidR="00D83E33" w:rsidRPr="00026C49" w:rsidRDefault="00BC4072" w:rsidP="001B330E">
            <w:pPr>
              <w:widowControl w:val="0"/>
              <w:jc w:val="center"/>
              <w:rPr>
                <w:b/>
              </w:rPr>
            </w:pPr>
            <w:r w:rsidRPr="00026C49">
              <w:rPr>
                <w:b/>
              </w:rPr>
              <w:t>Over-collateralised</w:t>
            </w:r>
          </w:p>
          <w:p w14:paraId="6BCABAE0" w14:textId="59B6937D" w:rsidR="00D83E33" w:rsidRPr="00026C49" w:rsidRDefault="0036608B" w:rsidP="001B330E">
            <w:pPr>
              <w:widowControl w:val="0"/>
              <w:jc w:val="center"/>
              <w:rPr>
                <w:b/>
              </w:rPr>
            </w:pPr>
            <w:r w:rsidRPr="00026C49">
              <w:rPr>
                <w:b/>
              </w:rPr>
              <w:t>A</w:t>
            </w:r>
            <w:r w:rsidR="00BC4072" w:rsidRPr="00026C49">
              <w:rPr>
                <w:b/>
              </w:rPr>
              <w:t>ssets</w:t>
            </w:r>
          </w:p>
        </w:tc>
        <w:tc>
          <w:tcPr>
            <w:tcW w:w="1212" w:type="pct"/>
            <w:gridSpan w:val="2"/>
            <w:tcBorders>
              <w:bottom w:val="single" w:sz="4" w:space="0" w:color="000000"/>
            </w:tcBorders>
          </w:tcPr>
          <w:p w14:paraId="5B701DE2" w14:textId="77777777" w:rsidR="00D83E33" w:rsidRPr="00026C49" w:rsidRDefault="00BC4072" w:rsidP="001B330E">
            <w:pPr>
              <w:widowControl w:val="0"/>
              <w:jc w:val="center"/>
              <w:rPr>
                <w:b/>
              </w:rPr>
            </w:pPr>
            <w:r w:rsidRPr="00026C49">
              <w:rPr>
                <w:b/>
              </w:rPr>
              <w:t>Under-collateralised</w:t>
            </w:r>
          </w:p>
          <w:p w14:paraId="77374057" w14:textId="77777777" w:rsidR="00D83E33" w:rsidRPr="00026C49" w:rsidRDefault="00BC4072" w:rsidP="001B330E">
            <w:pPr>
              <w:widowControl w:val="0"/>
              <w:jc w:val="center"/>
              <w:rPr>
                <w:b/>
              </w:rPr>
            </w:pPr>
            <w:r w:rsidRPr="00026C49">
              <w:rPr>
                <w:b/>
              </w:rPr>
              <w:t>Assets</w:t>
            </w:r>
          </w:p>
        </w:tc>
      </w:tr>
      <w:tr w:rsidR="00D83E33" w:rsidRPr="00026C49" w14:paraId="7EEA9F01" w14:textId="77777777" w:rsidTr="001B330E">
        <w:trPr>
          <w:trHeight w:val="23"/>
        </w:trPr>
        <w:tc>
          <w:tcPr>
            <w:tcW w:w="2576" w:type="pct"/>
            <w:tcBorders>
              <w:bottom w:val="single" w:sz="4" w:space="0" w:color="000000"/>
            </w:tcBorders>
            <w:vAlign w:val="bottom"/>
          </w:tcPr>
          <w:p w14:paraId="71C4281E" w14:textId="3467412B" w:rsidR="00D83E33" w:rsidRPr="00026C49" w:rsidRDefault="00313B4D" w:rsidP="001B330E">
            <w:pPr>
              <w:widowControl w:val="0"/>
              <w:ind w:left="113" w:hanging="113"/>
              <w:rPr>
                <w:i/>
              </w:rPr>
            </w:pPr>
            <w:r w:rsidRPr="00026C49">
              <w:rPr>
                <w:i/>
              </w:rPr>
              <w:t xml:space="preserve">In thousands of </w:t>
            </w:r>
            <w:r w:rsidR="002649EE" w:rsidRPr="00026C49">
              <w:rPr>
                <w:i/>
              </w:rPr>
              <w:t>EUR</w:t>
            </w:r>
          </w:p>
        </w:tc>
        <w:tc>
          <w:tcPr>
            <w:tcW w:w="606" w:type="pct"/>
            <w:tcBorders>
              <w:top w:val="single" w:sz="4" w:space="0" w:color="000000"/>
              <w:bottom w:val="single" w:sz="4" w:space="0" w:color="000000"/>
            </w:tcBorders>
          </w:tcPr>
          <w:p w14:paraId="0D44066E" w14:textId="77777777" w:rsidR="00D83E33" w:rsidRPr="00026C49" w:rsidRDefault="00BC4072" w:rsidP="001B330E">
            <w:pPr>
              <w:widowControl w:val="0"/>
              <w:pBdr>
                <w:top w:val="nil"/>
                <w:left w:val="nil"/>
                <w:bottom w:val="nil"/>
                <w:right w:val="nil"/>
                <w:between w:val="nil"/>
              </w:pBdr>
              <w:jc w:val="right"/>
              <w:rPr>
                <w:b/>
                <w:color w:val="000000"/>
              </w:rPr>
            </w:pPr>
            <w:r w:rsidRPr="00026C49">
              <w:rPr>
                <w:b/>
                <w:color w:val="000000"/>
              </w:rPr>
              <w:t xml:space="preserve">Carrying value of the assets </w:t>
            </w:r>
          </w:p>
        </w:tc>
        <w:tc>
          <w:tcPr>
            <w:tcW w:w="606" w:type="pct"/>
            <w:tcBorders>
              <w:top w:val="single" w:sz="4" w:space="0" w:color="000000"/>
              <w:bottom w:val="single" w:sz="4" w:space="0" w:color="000000"/>
            </w:tcBorders>
          </w:tcPr>
          <w:p w14:paraId="05B7636F" w14:textId="77777777" w:rsidR="00D83E33" w:rsidRPr="00026C49" w:rsidRDefault="00BC4072" w:rsidP="001B330E">
            <w:pPr>
              <w:widowControl w:val="0"/>
              <w:pBdr>
                <w:top w:val="nil"/>
                <w:left w:val="nil"/>
                <w:bottom w:val="nil"/>
                <w:right w:val="nil"/>
                <w:between w:val="nil"/>
              </w:pBdr>
              <w:jc w:val="right"/>
              <w:rPr>
                <w:b/>
                <w:color w:val="000000"/>
              </w:rPr>
            </w:pPr>
            <w:r w:rsidRPr="00026C49">
              <w:rPr>
                <w:b/>
                <w:color w:val="000000"/>
              </w:rPr>
              <w:t>Fair value of collateral</w:t>
            </w:r>
          </w:p>
        </w:tc>
        <w:tc>
          <w:tcPr>
            <w:tcW w:w="606" w:type="pct"/>
            <w:tcBorders>
              <w:top w:val="single" w:sz="4" w:space="0" w:color="000000"/>
              <w:bottom w:val="single" w:sz="4" w:space="0" w:color="000000"/>
            </w:tcBorders>
          </w:tcPr>
          <w:p w14:paraId="676E5903" w14:textId="77777777" w:rsidR="00D83E33" w:rsidRPr="00026C49" w:rsidRDefault="00BC4072" w:rsidP="001B330E">
            <w:pPr>
              <w:widowControl w:val="0"/>
              <w:pBdr>
                <w:top w:val="nil"/>
                <w:left w:val="nil"/>
                <w:bottom w:val="nil"/>
                <w:right w:val="nil"/>
                <w:between w:val="nil"/>
              </w:pBdr>
              <w:jc w:val="right"/>
              <w:rPr>
                <w:b/>
                <w:color w:val="000000"/>
              </w:rPr>
            </w:pPr>
            <w:r w:rsidRPr="00026C49">
              <w:rPr>
                <w:b/>
                <w:color w:val="000000"/>
              </w:rPr>
              <w:t>Carrying value of the assets</w:t>
            </w:r>
          </w:p>
        </w:tc>
        <w:tc>
          <w:tcPr>
            <w:tcW w:w="606" w:type="pct"/>
            <w:tcBorders>
              <w:top w:val="single" w:sz="4" w:space="0" w:color="000000"/>
              <w:bottom w:val="single" w:sz="4" w:space="0" w:color="000000"/>
            </w:tcBorders>
          </w:tcPr>
          <w:p w14:paraId="0F59B111" w14:textId="77777777" w:rsidR="00D83E33" w:rsidRPr="00026C49" w:rsidRDefault="00BC4072" w:rsidP="001B330E">
            <w:pPr>
              <w:widowControl w:val="0"/>
              <w:pBdr>
                <w:top w:val="nil"/>
                <w:left w:val="nil"/>
                <w:bottom w:val="nil"/>
                <w:right w:val="nil"/>
                <w:between w:val="nil"/>
              </w:pBdr>
              <w:jc w:val="right"/>
              <w:rPr>
                <w:b/>
                <w:color w:val="000000"/>
              </w:rPr>
            </w:pPr>
            <w:r w:rsidRPr="00026C49">
              <w:rPr>
                <w:b/>
                <w:color w:val="000000"/>
              </w:rPr>
              <w:t>Fair value of collateral</w:t>
            </w:r>
          </w:p>
        </w:tc>
      </w:tr>
      <w:tr w:rsidR="00D83E33" w:rsidRPr="00026C49" w14:paraId="1B4511B7" w14:textId="77777777" w:rsidTr="001B330E">
        <w:trPr>
          <w:trHeight w:val="23"/>
        </w:trPr>
        <w:tc>
          <w:tcPr>
            <w:tcW w:w="2576" w:type="pct"/>
            <w:tcBorders>
              <w:top w:val="single" w:sz="4" w:space="0" w:color="000000"/>
            </w:tcBorders>
          </w:tcPr>
          <w:p w14:paraId="09E2F4A9" w14:textId="77777777" w:rsidR="00D83E33" w:rsidRPr="00026C49"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2D09E48"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8551468"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2FCDB54"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97727F7" w14:textId="77777777" w:rsidR="00D83E33" w:rsidRPr="00026C49" w:rsidRDefault="00D83E33" w:rsidP="001B330E">
            <w:pPr>
              <w:widowControl w:val="0"/>
              <w:pBdr>
                <w:top w:val="nil"/>
                <w:left w:val="nil"/>
                <w:bottom w:val="nil"/>
                <w:right w:val="nil"/>
                <w:between w:val="nil"/>
              </w:pBdr>
              <w:jc w:val="right"/>
              <w:rPr>
                <w:color w:val="000000"/>
              </w:rPr>
            </w:pPr>
          </w:p>
        </w:tc>
      </w:tr>
      <w:tr w:rsidR="00D83E33" w:rsidRPr="00026C49" w14:paraId="63B789A4" w14:textId="77777777" w:rsidTr="001B330E">
        <w:trPr>
          <w:trHeight w:val="23"/>
        </w:trPr>
        <w:tc>
          <w:tcPr>
            <w:tcW w:w="2576" w:type="pct"/>
          </w:tcPr>
          <w:p w14:paraId="43C54AEF" w14:textId="4D061390" w:rsidR="00D83E33" w:rsidRPr="00026C49" w:rsidRDefault="00BC4072" w:rsidP="001B330E">
            <w:pPr>
              <w:widowControl w:val="0"/>
              <w:pBdr>
                <w:top w:val="nil"/>
                <w:left w:val="nil"/>
                <w:bottom w:val="nil"/>
                <w:right w:val="nil"/>
                <w:between w:val="nil"/>
              </w:pBdr>
              <w:ind w:left="113" w:hanging="113"/>
              <w:rPr>
                <w:b/>
                <w:color w:val="000000"/>
              </w:rPr>
            </w:pPr>
            <w:r w:rsidRPr="00026C49">
              <w:rPr>
                <w:b/>
                <w:color w:val="000000"/>
              </w:rPr>
              <w:t>31</w:t>
            </w:r>
            <w:r w:rsidR="00181687" w:rsidRPr="00026C49">
              <w:rPr>
                <w:b/>
                <w:color w:val="000000"/>
              </w:rPr>
              <w:t> December </w:t>
            </w:r>
            <w:r w:rsidR="00541EBC">
              <w:rPr>
                <w:b/>
                <w:color w:val="000000"/>
              </w:rPr>
              <w:t>2024</w:t>
            </w:r>
          </w:p>
        </w:tc>
        <w:tc>
          <w:tcPr>
            <w:tcW w:w="606" w:type="pct"/>
            <w:vAlign w:val="bottom"/>
          </w:tcPr>
          <w:p w14:paraId="02D8882C"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47ECAF30"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5E09AEE9"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348815C2" w14:textId="77777777" w:rsidR="00D83E33" w:rsidRPr="00026C49" w:rsidRDefault="00D83E33" w:rsidP="001B330E">
            <w:pPr>
              <w:widowControl w:val="0"/>
              <w:pBdr>
                <w:top w:val="nil"/>
                <w:left w:val="nil"/>
                <w:bottom w:val="nil"/>
                <w:right w:val="nil"/>
                <w:between w:val="nil"/>
              </w:pBdr>
              <w:jc w:val="right"/>
              <w:rPr>
                <w:color w:val="000000"/>
              </w:rPr>
            </w:pPr>
          </w:p>
        </w:tc>
      </w:tr>
      <w:tr w:rsidR="00D83E33" w:rsidRPr="00026C49" w14:paraId="73ADDD96" w14:textId="77777777" w:rsidTr="001B330E">
        <w:trPr>
          <w:trHeight w:val="23"/>
        </w:trPr>
        <w:tc>
          <w:tcPr>
            <w:tcW w:w="2576" w:type="pct"/>
          </w:tcPr>
          <w:p w14:paraId="13285470" w14:textId="77777777" w:rsidR="00D83E33" w:rsidRPr="00026C49" w:rsidRDefault="00BC4072" w:rsidP="001B330E">
            <w:pPr>
              <w:widowControl w:val="0"/>
              <w:pBdr>
                <w:top w:val="nil"/>
                <w:left w:val="nil"/>
                <w:bottom w:val="nil"/>
                <w:right w:val="nil"/>
                <w:between w:val="nil"/>
              </w:pBdr>
              <w:ind w:left="113" w:hanging="113"/>
              <w:rPr>
                <w:color w:val="000000"/>
              </w:rPr>
            </w:pPr>
            <w:r w:rsidRPr="00026C49">
              <w:rPr>
                <w:color w:val="000000"/>
              </w:rPr>
              <w:t>Reverse sale and repurchase agreements with other banks with original maturities of less than three months</w:t>
            </w:r>
          </w:p>
        </w:tc>
        <w:tc>
          <w:tcPr>
            <w:tcW w:w="606" w:type="pct"/>
            <w:vAlign w:val="bottom"/>
          </w:tcPr>
          <w:p w14:paraId="0D3C09D5"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5351EC3F"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08E10BC0"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3C8C7694" w14:textId="77777777" w:rsidR="00D83E33" w:rsidRPr="00026C49" w:rsidRDefault="00D83E33" w:rsidP="001B330E">
            <w:pPr>
              <w:widowControl w:val="0"/>
              <w:pBdr>
                <w:top w:val="nil"/>
                <w:left w:val="nil"/>
                <w:bottom w:val="nil"/>
                <w:right w:val="nil"/>
                <w:between w:val="nil"/>
              </w:pBdr>
              <w:jc w:val="right"/>
              <w:rPr>
                <w:color w:val="000000"/>
              </w:rPr>
            </w:pPr>
          </w:p>
        </w:tc>
      </w:tr>
      <w:tr w:rsidR="00D83E33" w:rsidRPr="00026C49" w14:paraId="28243B6E" w14:textId="77777777" w:rsidTr="001B330E">
        <w:trPr>
          <w:trHeight w:val="23"/>
        </w:trPr>
        <w:tc>
          <w:tcPr>
            <w:tcW w:w="2576" w:type="pct"/>
          </w:tcPr>
          <w:p w14:paraId="701AAAD1" w14:textId="77777777" w:rsidR="00D83E33" w:rsidRPr="00026C49"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4A180059"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15D229E1"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3A9D6485"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43261C9B" w14:textId="77777777" w:rsidR="00D83E33" w:rsidRPr="00026C49" w:rsidRDefault="00D83E33" w:rsidP="001B330E">
            <w:pPr>
              <w:widowControl w:val="0"/>
              <w:pBdr>
                <w:top w:val="nil"/>
                <w:left w:val="nil"/>
                <w:bottom w:val="nil"/>
                <w:right w:val="nil"/>
                <w:between w:val="nil"/>
              </w:pBdr>
              <w:jc w:val="right"/>
              <w:rPr>
                <w:color w:val="000000"/>
              </w:rPr>
            </w:pPr>
          </w:p>
        </w:tc>
      </w:tr>
      <w:tr w:rsidR="00D83E33" w:rsidRPr="00026C49" w14:paraId="5D1EE23A" w14:textId="77777777" w:rsidTr="001B330E">
        <w:trPr>
          <w:trHeight w:val="23"/>
        </w:trPr>
        <w:tc>
          <w:tcPr>
            <w:tcW w:w="2576" w:type="pct"/>
          </w:tcPr>
          <w:p w14:paraId="1108ABA1" w14:textId="7D295F30" w:rsidR="00D83E33" w:rsidRPr="00026C49" w:rsidRDefault="00BC4072" w:rsidP="001B330E">
            <w:pPr>
              <w:widowControl w:val="0"/>
              <w:pBdr>
                <w:top w:val="nil"/>
                <w:left w:val="nil"/>
                <w:bottom w:val="nil"/>
                <w:right w:val="nil"/>
                <w:between w:val="nil"/>
              </w:pBdr>
              <w:ind w:left="113" w:hanging="113"/>
              <w:rPr>
                <w:color w:val="000000"/>
              </w:rPr>
            </w:pPr>
            <w:r w:rsidRPr="00026C49">
              <w:rPr>
                <w:b/>
                <w:color w:val="000000"/>
              </w:rPr>
              <w:t>31</w:t>
            </w:r>
            <w:r w:rsidR="00181687" w:rsidRPr="00026C49">
              <w:rPr>
                <w:b/>
                <w:color w:val="000000"/>
              </w:rPr>
              <w:t> December </w:t>
            </w:r>
            <w:r w:rsidR="00541EBC">
              <w:rPr>
                <w:b/>
                <w:color w:val="000000"/>
              </w:rPr>
              <w:t>2023</w:t>
            </w:r>
          </w:p>
        </w:tc>
        <w:tc>
          <w:tcPr>
            <w:tcW w:w="606" w:type="pct"/>
            <w:vAlign w:val="bottom"/>
          </w:tcPr>
          <w:p w14:paraId="14ACE99A"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488A6F91"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01E6F77B"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14B0C915" w14:textId="77777777" w:rsidR="00D83E33" w:rsidRPr="00026C49" w:rsidRDefault="00D83E33" w:rsidP="001B330E">
            <w:pPr>
              <w:widowControl w:val="0"/>
              <w:pBdr>
                <w:top w:val="nil"/>
                <w:left w:val="nil"/>
                <w:bottom w:val="nil"/>
                <w:right w:val="nil"/>
                <w:between w:val="nil"/>
              </w:pBdr>
              <w:jc w:val="right"/>
              <w:rPr>
                <w:color w:val="000000"/>
              </w:rPr>
            </w:pPr>
          </w:p>
        </w:tc>
      </w:tr>
      <w:tr w:rsidR="00D83E33" w:rsidRPr="00026C49" w14:paraId="046B2DA9" w14:textId="77777777" w:rsidTr="001B330E">
        <w:trPr>
          <w:trHeight w:val="23"/>
        </w:trPr>
        <w:tc>
          <w:tcPr>
            <w:tcW w:w="2576" w:type="pct"/>
          </w:tcPr>
          <w:p w14:paraId="04D9B360" w14:textId="77777777" w:rsidR="00D83E33" w:rsidRPr="00026C49" w:rsidRDefault="00BC4072" w:rsidP="001B330E">
            <w:pPr>
              <w:widowControl w:val="0"/>
              <w:pBdr>
                <w:top w:val="nil"/>
                <w:left w:val="nil"/>
                <w:bottom w:val="nil"/>
                <w:right w:val="nil"/>
                <w:between w:val="nil"/>
              </w:pBdr>
              <w:ind w:left="113" w:hanging="113"/>
              <w:rPr>
                <w:color w:val="000000"/>
              </w:rPr>
            </w:pPr>
            <w:r w:rsidRPr="00026C49">
              <w:rPr>
                <w:color w:val="000000"/>
              </w:rPr>
              <w:t>Reverse sale and repurchase agreements with other banks with original maturities of less than three months</w:t>
            </w:r>
          </w:p>
        </w:tc>
        <w:tc>
          <w:tcPr>
            <w:tcW w:w="606" w:type="pct"/>
            <w:vAlign w:val="bottom"/>
          </w:tcPr>
          <w:p w14:paraId="2EC3175C"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0D63E1B7"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4BD6F349" w14:textId="77777777" w:rsidR="00D83E33" w:rsidRPr="00026C49" w:rsidRDefault="00D83E33" w:rsidP="001B330E">
            <w:pPr>
              <w:widowControl w:val="0"/>
              <w:pBdr>
                <w:top w:val="nil"/>
                <w:left w:val="nil"/>
                <w:bottom w:val="nil"/>
                <w:right w:val="nil"/>
                <w:between w:val="nil"/>
              </w:pBdr>
              <w:jc w:val="right"/>
              <w:rPr>
                <w:color w:val="000000"/>
              </w:rPr>
            </w:pPr>
          </w:p>
        </w:tc>
        <w:tc>
          <w:tcPr>
            <w:tcW w:w="606" w:type="pct"/>
            <w:vAlign w:val="bottom"/>
          </w:tcPr>
          <w:p w14:paraId="10400E24" w14:textId="77777777" w:rsidR="00D83E33" w:rsidRPr="00026C49" w:rsidRDefault="00D83E33" w:rsidP="001B330E">
            <w:pPr>
              <w:widowControl w:val="0"/>
              <w:pBdr>
                <w:top w:val="nil"/>
                <w:left w:val="nil"/>
                <w:bottom w:val="nil"/>
                <w:right w:val="nil"/>
                <w:between w:val="nil"/>
              </w:pBdr>
              <w:jc w:val="right"/>
              <w:rPr>
                <w:color w:val="000000"/>
              </w:rPr>
            </w:pPr>
          </w:p>
        </w:tc>
      </w:tr>
      <w:tr w:rsidR="00D83E33" w:rsidRPr="00026C49" w14:paraId="42EAF269" w14:textId="77777777" w:rsidTr="001B330E">
        <w:trPr>
          <w:trHeight w:val="23"/>
        </w:trPr>
        <w:tc>
          <w:tcPr>
            <w:tcW w:w="2576" w:type="pct"/>
            <w:tcBorders>
              <w:bottom w:val="single" w:sz="12" w:space="0" w:color="000000"/>
            </w:tcBorders>
          </w:tcPr>
          <w:p w14:paraId="1EC350D0" w14:textId="77777777" w:rsidR="00D83E33" w:rsidRPr="00026C49"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45FFF9AE" w14:textId="77777777" w:rsidR="00D83E33" w:rsidRPr="00026C49" w:rsidRDefault="00D83E33" w:rsidP="001B330E">
            <w:pPr>
              <w:widowControl w:val="0"/>
              <w:jc w:val="right"/>
              <w:rPr>
                <w:b/>
              </w:rPr>
            </w:pPr>
          </w:p>
        </w:tc>
        <w:tc>
          <w:tcPr>
            <w:tcW w:w="606" w:type="pct"/>
            <w:tcBorders>
              <w:bottom w:val="single" w:sz="12" w:space="0" w:color="000000"/>
            </w:tcBorders>
            <w:vAlign w:val="bottom"/>
          </w:tcPr>
          <w:p w14:paraId="081A51F2" w14:textId="77777777" w:rsidR="00D83E33" w:rsidRPr="00026C49" w:rsidRDefault="00D83E33" w:rsidP="001B330E">
            <w:pPr>
              <w:widowControl w:val="0"/>
              <w:jc w:val="right"/>
              <w:rPr>
                <w:b/>
              </w:rPr>
            </w:pPr>
          </w:p>
        </w:tc>
        <w:tc>
          <w:tcPr>
            <w:tcW w:w="606" w:type="pct"/>
            <w:tcBorders>
              <w:bottom w:val="single" w:sz="12" w:space="0" w:color="000000"/>
            </w:tcBorders>
            <w:vAlign w:val="bottom"/>
          </w:tcPr>
          <w:p w14:paraId="74C65A32" w14:textId="77777777" w:rsidR="00D83E33" w:rsidRPr="00026C49" w:rsidRDefault="00D83E33" w:rsidP="001B330E">
            <w:pPr>
              <w:widowControl w:val="0"/>
              <w:jc w:val="right"/>
              <w:rPr>
                <w:b/>
              </w:rPr>
            </w:pPr>
          </w:p>
        </w:tc>
        <w:tc>
          <w:tcPr>
            <w:tcW w:w="606" w:type="pct"/>
            <w:tcBorders>
              <w:bottom w:val="single" w:sz="12" w:space="0" w:color="000000"/>
            </w:tcBorders>
            <w:vAlign w:val="bottom"/>
          </w:tcPr>
          <w:p w14:paraId="787F3396" w14:textId="77777777" w:rsidR="00D83E33" w:rsidRPr="00026C49" w:rsidRDefault="00D83E33" w:rsidP="001B330E">
            <w:pPr>
              <w:widowControl w:val="0"/>
              <w:jc w:val="right"/>
              <w:rPr>
                <w:b/>
              </w:rPr>
            </w:pPr>
          </w:p>
        </w:tc>
      </w:tr>
    </w:tbl>
    <w:p w14:paraId="4A6275CB" w14:textId="61874228"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Group did not recognise ECL for short-term over-collateralised reverse sale and repurchase agreements. The collateral represents marketable </w:t>
      </w:r>
      <w:r>
        <w:rPr>
          <w:color w:val="0000FF"/>
          <w:sz w:val="20"/>
          <w:szCs w:val="20"/>
        </w:rPr>
        <w:t>[government bonds]</w:t>
      </w:r>
      <w:r>
        <w:rPr>
          <w:color w:val="000000"/>
          <w:sz w:val="20"/>
          <w:szCs w:val="20"/>
        </w:rPr>
        <w:t xml:space="preserve">. </w:t>
      </w:r>
      <w:r>
        <w:rPr>
          <w:i/>
          <w:color w:val="FF0000"/>
          <w:sz w:val="20"/>
          <w:szCs w:val="20"/>
        </w:rPr>
        <w:t>[</w:t>
      </w:r>
      <w:r w:rsidR="0036608B">
        <w:rPr>
          <w:i/>
          <w:color w:val="FF0000"/>
          <w:sz w:val="20"/>
          <w:szCs w:val="20"/>
        </w:rPr>
        <w:t>Tailor to d</w:t>
      </w:r>
      <w:r>
        <w:rPr>
          <w:i/>
          <w:color w:val="FF0000"/>
          <w:sz w:val="20"/>
          <w:szCs w:val="20"/>
        </w:rPr>
        <w:t>isclose nature and quality of collateral, changes in quality of collateral.]</w:t>
      </w:r>
    </w:p>
    <w:p w14:paraId="3E4DC9CF" w14:textId="3735B983" w:rsidR="00D83E33" w:rsidRDefault="00BC4072" w:rsidP="001B330E">
      <w:pPr>
        <w:widowControl w:val="0"/>
        <w:spacing w:before="200" w:after="200"/>
        <w:jc w:val="both"/>
        <w:rPr>
          <w:sz w:val="20"/>
          <w:szCs w:val="20"/>
        </w:rPr>
      </w:pPr>
      <w:r>
        <w:rPr>
          <w:sz w:val="20"/>
          <w:szCs w:val="20"/>
        </w:rPr>
        <w:t xml:space="preserve">The credit loss allowance for due from other banks recognised in </w:t>
      </w:r>
      <w:r w:rsidR="00541EBC">
        <w:rPr>
          <w:sz w:val="20"/>
          <w:szCs w:val="20"/>
        </w:rPr>
        <w:t>2024</w:t>
      </w:r>
      <w:r>
        <w:rPr>
          <w:sz w:val="20"/>
          <w:szCs w:val="20"/>
        </w:rPr>
        <w:t xml:space="preserve"> year is impacted by a variety of factors, as described below:</w:t>
      </w:r>
    </w:p>
    <w:p w14:paraId="4943D49A" w14:textId="77777777" w:rsidR="00D83E33" w:rsidRDefault="00BC4072" w:rsidP="001B330E">
      <w:pPr>
        <w:pStyle w:val="bullets"/>
      </w:pPr>
      <w:r>
        <w:t>Transfers between Stage 1 and Stages 2 or 3 due to balances experiencing significant increases (or decreases) of credit risk or becoming credit-impaired in the period, and the consequent “step up" (or "step down") between 12-month and lifetime ECL;</w:t>
      </w:r>
    </w:p>
    <w:p w14:paraId="4A3FFFF2" w14:textId="77777777" w:rsidR="00D83E33" w:rsidRDefault="00BC4072" w:rsidP="001B330E">
      <w:pPr>
        <w:pStyle w:val="bullets"/>
      </w:pPr>
      <w:r>
        <w:t>Additional allowances for new financial instruments recognised during the period, as well as releases for financial instruments de-recognised in the period;</w:t>
      </w:r>
    </w:p>
    <w:p w14:paraId="144AC540" w14:textId="77777777" w:rsidR="00D83E33" w:rsidRDefault="00BC4072" w:rsidP="001B330E">
      <w:pPr>
        <w:pStyle w:val="bullets"/>
      </w:pPr>
      <w:r>
        <w:t>Impact on the measurement of ECL due to changes in PDs, EADs and LGDs in the period, arising from regular update of inputs to ECL models;</w:t>
      </w:r>
    </w:p>
    <w:p w14:paraId="137DF607" w14:textId="77777777" w:rsidR="00D83E33" w:rsidRDefault="00BC4072" w:rsidP="001B330E">
      <w:pPr>
        <w:pStyle w:val="bullets"/>
      </w:pPr>
      <w:r>
        <w:t>Impacts on the measurement of ECL due to changes made to models and assumptions;</w:t>
      </w:r>
    </w:p>
    <w:p w14:paraId="625432D9" w14:textId="77777777" w:rsidR="00D83E33" w:rsidRDefault="00BC4072" w:rsidP="001B330E">
      <w:pPr>
        <w:pStyle w:val="bullets"/>
      </w:pPr>
      <w:r>
        <w:t>Unwinding of discount due to the passage of time because ECL is measured on a present value basis;</w:t>
      </w:r>
    </w:p>
    <w:p w14:paraId="532F9389" w14:textId="77777777" w:rsidR="00D83E33" w:rsidRDefault="00BC4072" w:rsidP="001B330E">
      <w:pPr>
        <w:pStyle w:val="bullets"/>
      </w:pPr>
      <w:r>
        <w:t>Foreign exchange translations of assets denominated in foreign currencies and other movements; and</w:t>
      </w:r>
    </w:p>
    <w:p w14:paraId="633BCD67" w14:textId="77777777" w:rsidR="00D83E33" w:rsidRDefault="00BC4072" w:rsidP="001B330E">
      <w:pPr>
        <w:pStyle w:val="bullets"/>
      </w:pPr>
      <w:r>
        <w:t>Financial assets derecognised during the period and write-offs of allowances related to assets that were written off during the period.</w:t>
      </w:r>
    </w:p>
    <w:p w14:paraId="09E861D3" w14:textId="77777777" w:rsidR="005041C2" w:rsidRDefault="005041C2" w:rsidP="001B330E">
      <w:pPr>
        <w:pStyle w:val="Continued"/>
      </w:pPr>
      <w:r>
        <w:lastRenderedPageBreak/>
        <w:t>8</w:t>
      </w:r>
      <w:r>
        <w:tab/>
        <w:t>Due from Other Banks (Continued)</w:t>
      </w:r>
    </w:p>
    <w:p w14:paraId="5B8FB1AC" w14:textId="54C70A34" w:rsidR="00D83E33" w:rsidRDefault="00BC4072" w:rsidP="00071B94">
      <w:pPr>
        <w:widowControl w:val="0"/>
        <w:spacing w:before="200" w:after="200"/>
        <w:jc w:val="both"/>
      </w:pPr>
      <w:r>
        <w:rPr>
          <w:sz w:val="20"/>
          <w:szCs w:val="20"/>
        </w:rPr>
        <w:t>The following tables explain the changes in the credit loss allowance and gross carrying amount due from other banks between the beginning and the end of the annual period due to these factors</w:t>
      </w:r>
      <w:r w:rsidR="00071B94">
        <w:rPr>
          <w:sz w:val="20"/>
          <w:szCs w:val="20"/>
          <w:lang w:val="sr-Cyrl-RS"/>
        </w:rPr>
        <w:t>.</w:t>
      </w:r>
      <w:r>
        <w:rPr>
          <w:sz w:val="20"/>
          <w:szCs w:val="20"/>
        </w:rPr>
        <w:t xml:space="preserve"> </w:t>
      </w:r>
    </w:p>
    <w:tbl>
      <w:tblPr>
        <w:tblStyle w:val="af3"/>
        <w:tblW w:w="5000" w:type="pct"/>
        <w:tblLayout w:type="fixed"/>
        <w:tblLook w:val="0000" w:firstRow="0" w:lastRow="0" w:firstColumn="0" w:lastColumn="0" w:noHBand="0" w:noVBand="0"/>
      </w:tblPr>
      <w:tblGrid>
        <w:gridCol w:w="2796"/>
        <w:gridCol w:w="820"/>
        <w:gridCol w:w="820"/>
        <w:gridCol w:w="820"/>
        <w:gridCol w:w="821"/>
        <w:gridCol w:w="819"/>
        <w:gridCol w:w="819"/>
        <w:gridCol w:w="819"/>
        <w:gridCol w:w="821"/>
      </w:tblGrid>
      <w:tr w:rsidR="005041C2" w:rsidRPr="00FB108F" w14:paraId="6EB3DEA4" w14:textId="77777777" w:rsidTr="001B330E">
        <w:trPr>
          <w:trHeight w:val="23"/>
        </w:trPr>
        <w:tc>
          <w:tcPr>
            <w:tcW w:w="1494" w:type="pct"/>
            <w:shd w:val="clear" w:color="auto" w:fill="auto"/>
            <w:vAlign w:val="bottom"/>
          </w:tcPr>
          <w:p w14:paraId="329FF784" w14:textId="77777777" w:rsidR="005041C2" w:rsidRPr="001B330E" w:rsidRDefault="005041C2">
            <w:pPr>
              <w:widowControl w:val="0"/>
              <w:pBdr>
                <w:top w:val="nil"/>
                <w:left w:val="nil"/>
                <w:bottom w:val="nil"/>
                <w:right w:val="nil"/>
                <w:between w:val="nil"/>
              </w:pBdr>
              <w:ind w:left="113" w:hanging="113"/>
              <w:rPr>
                <w:i/>
                <w:color w:val="000000"/>
                <w:sz w:val="17"/>
                <w:szCs w:val="17"/>
              </w:rPr>
            </w:pPr>
          </w:p>
        </w:tc>
        <w:tc>
          <w:tcPr>
            <w:tcW w:w="1753" w:type="pct"/>
            <w:gridSpan w:val="4"/>
            <w:tcBorders>
              <w:bottom w:val="single" w:sz="4" w:space="0" w:color="000000"/>
            </w:tcBorders>
            <w:shd w:val="clear" w:color="auto" w:fill="auto"/>
          </w:tcPr>
          <w:p w14:paraId="3DE7493C" w14:textId="77777777" w:rsidR="005041C2" w:rsidRPr="001B330E" w:rsidRDefault="005041C2" w:rsidP="001B330E">
            <w:pPr>
              <w:widowControl w:val="0"/>
              <w:pBdr>
                <w:top w:val="nil"/>
                <w:left w:val="nil"/>
                <w:bottom w:val="nil"/>
                <w:right w:val="nil"/>
                <w:between w:val="nil"/>
              </w:pBdr>
              <w:tabs>
                <w:tab w:val="left" w:pos="3182"/>
              </w:tabs>
              <w:jc w:val="center"/>
              <w:rPr>
                <w:b/>
                <w:color w:val="000000"/>
                <w:sz w:val="17"/>
                <w:szCs w:val="17"/>
              </w:rPr>
            </w:pPr>
            <w:r w:rsidRPr="001B330E">
              <w:rPr>
                <w:b/>
                <w:color w:val="000000"/>
                <w:sz w:val="17"/>
                <w:szCs w:val="17"/>
              </w:rPr>
              <w:t>Credit loss allowance</w:t>
            </w:r>
          </w:p>
        </w:tc>
        <w:tc>
          <w:tcPr>
            <w:tcW w:w="1753" w:type="pct"/>
            <w:gridSpan w:val="4"/>
            <w:tcBorders>
              <w:bottom w:val="single" w:sz="4" w:space="0" w:color="000000"/>
            </w:tcBorders>
          </w:tcPr>
          <w:p w14:paraId="04A951CD" w14:textId="77777777" w:rsidR="005041C2" w:rsidRPr="001B330E" w:rsidRDefault="005041C2" w:rsidP="001B330E">
            <w:pPr>
              <w:widowControl w:val="0"/>
              <w:pBdr>
                <w:top w:val="nil"/>
                <w:left w:val="nil"/>
                <w:bottom w:val="nil"/>
                <w:right w:val="nil"/>
                <w:between w:val="nil"/>
              </w:pBdr>
              <w:jc w:val="center"/>
              <w:rPr>
                <w:b/>
                <w:color w:val="000000"/>
                <w:sz w:val="17"/>
                <w:szCs w:val="17"/>
              </w:rPr>
            </w:pPr>
            <w:r w:rsidRPr="001B330E">
              <w:rPr>
                <w:b/>
                <w:color w:val="000000"/>
                <w:sz w:val="17"/>
                <w:szCs w:val="17"/>
              </w:rPr>
              <w:t>Gross carrying amount</w:t>
            </w:r>
          </w:p>
        </w:tc>
      </w:tr>
      <w:tr w:rsidR="00FB108F" w:rsidRPr="00FB108F" w14:paraId="3D0BE115" w14:textId="77777777" w:rsidTr="001B330E">
        <w:trPr>
          <w:trHeight w:val="23"/>
        </w:trPr>
        <w:tc>
          <w:tcPr>
            <w:tcW w:w="1494" w:type="pct"/>
            <w:tcBorders>
              <w:bottom w:val="single" w:sz="4" w:space="0" w:color="000000"/>
            </w:tcBorders>
            <w:shd w:val="clear" w:color="auto" w:fill="auto"/>
            <w:vAlign w:val="bottom"/>
          </w:tcPr>
          <w:p w14:paraId="05712A20" w14:textId="77777777" w:rsidR="005041C2" w:rsidRPr="001B330E" w:rsidRDefault="005041C2">
            <w:pPr>
              <w:widowControl w:val="0"/>
              <w:pBdr>
                <w:top w:val="nil"/>
                <w:left w:val="nil"/>
                <w:bottom w:val="nil"/>
                <w:right w:val="nil"/>
                <w:between w:val="nil"/>
              </w:pBdr>
              <w:ind w:left="113" w:hanging="113"/>
              <w:rPr>
                <w:i/>
                <w:color w:val="000000"/>
                <w:sz w:val="17"/>
                <w:szCs w:val="17"/>
              </w:rPr>
            </w:pPr>
          </w:p>
          <w:p w14:paraId="6169BA81" w14:textId="6ECFE2FD" w:rsidR="005041C2" w:rsidRPr="001B330E" w:rsidRDefault="00313B4D">
            <w:pPr>
              <w:widowControl w:val="0"/>
              <w:pBdr>
                <w:top w:val="nil"/>
                <w:left w:val="nil"/>
                <w:bottom w:val="nil"/>
                <w:right w:val="nil"/>
                <w:between w:val="nil"/>
              </w:pBdr>
              <w:ind w:left="113" w:hanging="113"/>
              <w:rPr>
                <w:b/>
                <w:i/>
                <w:color w:val="000000"/>
                <w:sz w:val="17"/>
                <w:szCs w:val="17"/>
              </w:rPr>
            </w:pPr>
            <w:r>
              <w:rPr>
                <w:i/>
                <w:color w:val="000000"/>
                <w:sz w:val="17"/>
                <w:szCs w:val="17"/>
              </w:rPr>
              <w:t xml:space="preserve">In thousands of </w:t>
            </w:r>
            <w:r w:rsidR="002649EE">
              <w:rPr>
                <w:i/>
                <w:color w:val="000000"/>
                <w:sz w:val="17"/>
                <w:szCs w:val="17"/>
              </w:rPr>
              <w:t>EUR</w:t>
            </w:r>
          </w:p>
        </w:tc>
        <w:tc>
          <w:tcPr>
            <w:tcW w:w="438" w:type="pct"/>
            <w:tcBorders>
              <w:top w:val="single" w:sz="4" w:space="0" w:color="000000"/>
              <w:bottom w:val="single" w:sz="4" w:space="0" w:color="000000"/>
            </w:tcBorders>
            <w:shd w:val="clear" w:color="auto" w:fill="auto"/>
          </w:tcPr>
          <w:p w14:paraId="3024DF80"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119EF5EA" w14:textId="77777777" w:rsidR="005041C2" w:rsidRPr="001B330E" w:rsidRDefault="005041C2" w:rsidP="001B330E">
            <w:pPr>
              <w:widowControl w:val="0"/>
              <w:pBdr>
                <w:top w:val="nil"/>
                <w:left w:val="nil"/>
                <w:bottom w:val="nil"/>
                <w:right w:val="nil"/>
                <w:between w:val="nil"/>
              </w:pBdr>
              <w:ind w:left="-113" w:firstLine="142"/>
              <w:jc w:val="right"/>
              <w:rPr>
                <w:b/>
                <w:color w:val="000000"/>
                <w:sz w:val="17"/>
                <w:szCs w:val="17"/>
              </w:rPr>
            </w:pPr>
            <w:r w:rsidRPr="001B330E">
              <w:rPr>
                <w:b/>
                <w:color w:val="000000"/>
                <w:sz w:val="17"/>
                <w:szCs w:val="17"/>
              </w:rPr>
              <w:t>(12-months ECL)</w:t>
            </w:r>
          </w:p>
        </w:tc>
        <w:tc>
          <w:tcPr>
            <w:tcW w:w="438" w:type="pct"/>
            <w:tcBorders>
              <w:top w:val="single" w:sz="4" w:space="0" w:color="000000"/>
              <w:bottom w:val="single" w:sz="4" w:space="0" w:color="000000"/>
            </w:tcBorders>
            <w:shd w:val="clear" w:color="auto" w:fill="auto"/>
          </w:tcPr>
          <w:p w14:paraId="1A4CBF44"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0D526275" w14:textId="429BD235"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SICR)</w:t>
            </w:r>
          </w:p>
        </w:tc>
        <w:tc>
          <w:tcPr>
            <w:tcW w:w="438" w:type="pct"/>
            <w:tcBorders>
              <w:top w:val="single" w:sz="4" w:space="0" w:color="000000"/>
              <w:bottom w:val="single" w:sz="4" w:space="0" w:color="000000"/>
            </w:tcBorders>
            <w:shd w:val="clear" w:color="auto" w:fill="auto"/>
          </w:tcPr>
          <w:p w14:paraId="2C97D24F"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576BF631"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438" w:type="pct"/>
            <w:tcBorders>
              <w:top w:val="single" w:sz="4" w:space="0" w:color="000000"/>
              <w:bottom w:val="single" w:sz="4" w:space="0" w:color="000000"/>
            </w:tcBorders>
            <w:shd w:val="clear" w:color="auto" w:fill="auto"/>
          </w:tcPr>
          <w:p w14:paraId="63D0994E"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c>
          <w:tcPr>
            <w:tcW w:w="438" w:type="pct"/>
            <w:tcBorders>
              <w:top w:val="single" w:sz="4" w:space="0" w:color="000000"/>
              <w:bottom w:val="single" w:sz="4" w:space="0" w:color="000000"/>
            </w:tcBorders>
          </w:tcPr>
          <w:p w14:paraId="1F78C48A"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771893F5"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(12-months ECL)</w:t>
            </w:r>
          </w:p>
        </w:tc>
        <w:tc>
          <w:tcPr>
            <w:tcW w:w="438" w:type="pct"/>
            <w:tcBorders>
              <w:top w:val="single" w:sz="4" w:space="0" w:color="000000"/>
              <w:bottom w:val="single" w:sz="4" w:space="0" w:color="000000"/>
            </w:tcBorders>
          </w:tcPr>
          <w:p w14:paraId="04F11631" w14:textId="77777777" w:rsidR="005041C2" w:rsidRPr="001B330E" w:rsidRDefault="005041C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2FED16C4" w14:textId="6EDC158A" w:rsidR="005041C2" w:rsidRPr="001B330E" w:rsidRDefault="005041C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SICR)</w:t>
            </w:r>
          </w:p>
        </w:tc>
        <w:tc>
          <w:tcPr>
            <w:tcW w:w="438" w:type="pct"/>
            <w:tcBorders>
              <w:top w:val="single" w:sz="4" w:space="0" w:color="000000"/>
              <w:bottom w:val="single" w:sz="4" w:space="0" w:color="000000"/>
            </w:tcBorders>
          </w:tcPr>
          <w:p w14:paraId="358F2330" w14:textId="77777777" w:rsidR="005041C2" w:rsidRPr="001B330E" w:rsidRDefault="005041C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4F45B4F0"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438" w:type="pct"/>
            <w:tcBorders>
              <w:top w:val="single" w:sz="4" w:space="0" w:color="000000"/>
              <w:bottom w:val="single" w:sz="4" w:space="0" w:color="000000"/>
            </w:tcBorders>
            <w:shd w:val="clear" w:color="auto" w:fill="auto"/>
          </w:tcPr>
          <w:p w14:paraId="403B467C"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r>
      <w:tr w:rsidR="00FB108F" w:rsidRPr="00FB108F" w14:paraId="4E1BF2AB" w14:textId="77777777" w:rsidTr="001B330E">
        <w:trPr>
          <w:trHeight w:val="23"/>
        </w:trPr>
        <w:tc>
          <w:tcPr>
            <w:tcW w:w="1494" w:type="pct"/>
            <w:shd w:val="clear" w:color="auto" w:fill="auto"/>
            <w:vAlign w:val="bottom"/>
          </w:tcPr>
          <w:p w14:paraId="0BC6BAE6" w14:textId="77777777" w:rsidR="005041C2" w:rsidRPr="001B330E" w:rsidRDefault="005041C2">
            <w:pPr>
              <w:widowControl w:val="0"/>
              <w:ind w:left="113" w:hanging="113"/>
              <w:rPr>
                <w:sz w:val="17"/>
                <w:szCs w:val="17"/>
              </w:rPr>
            </w:pPr>
          </w:p>
        </w:tc>
        <w:tc>
          <w:tcPr>
            <w:tcW w:w="438" w:type="pct"/>
            <w:shd w:val="clear" w:color="auto" w:fill="auto"/>
            <w:vAlign w:val="bottom"/>
          </w:tcPr>
          <w:p w14:paraId="61FCBBF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37C46F6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05F215B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3336C9E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3D012CB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711D7BD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1325B22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282FD570"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3CB3327A" w14:textId="77777777" w:rsidTr="001B330E">
        <w:trPr>
          <w:trHeight w:val="23"/>
        </w:trPr>
        <w:tc>
          <w:tcPr>
            <w:tcW w:w="1494" w:type="pct"/>
            <w:shd w:val="clear" w:color="auto" w:fill="auto"/>
            <w:vAlign w:val="bottom"/>
          </w:tcPr>
          <w:p w14:paraId="213960D1" w14:textId="77777777" w:rsidR="005041C2" w:rsidRPr="001B330E" w:rsidRDefault="005041C2">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Placements with other banks</w:t>
            </w:r>
          </w:p>
        </w:tc>
        <w:tc>
          <w:tcPr>
            <w:tcW w:w="438" w:type="pct"/>
            <w:shd w:val="clear" w:color="auto" w:fill="auto"/>
            <w:vAlign w:val="bottom"/>
          </w:tcPr>
          <w:p w14:paraId="3143EB7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15AD479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33A136E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4AC38F0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510C24C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59EBEBD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4AC27EA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2280A7D4"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5E4B7BE7" w14:textId="77777777" w:rsidTr="001B330E">
        <w:trPr>
          <w:trHeight w:val="23"/>
        </w:trPr>
        <w:tc>
          <w:tcPr>
            <w:tcW w:w="1494" w:type="pct"/>
            <w:shd w:val="clear" w:color="auto" w:fill="auto"/>
            <w:vAlign w:val="bottom"/>
          </w:tcPr>
          <w:p w14:paraId="41A45095" w14:textId="77777777" w:rsidR="005041C2" w:rsidRPr="001B330E" w:rsidRDefault="005041C2">
            <w:pPr>
              <w:widowControl w:val="0"/>
              <w:pBdr>
                <w:top w:val="nil"/>
                <w:left w:val="nil"/>
                <w:bottom w:val="nil"/>
                <w:right w:val="nil"/>
                <w:between w:val="nil"/>
              </w:pBdr>
              <w:ind w:left="113" w:hanging="113"/>
              <w:rPr>
                <w:b/>
                <w:i/>
                <w:color w:val="000000"/>
                <w:sz w:val="17"/>
                <w:szCs w:val="17"/>
              </w:rPr>
            </w:pPr>
          </w:p>
        </w:tc>
        <w:tc>
          <w:tcPr>
            <w:tcW w:w="438" w:type="pct"/>
            <w:shd w:val="clear" w:color="auto" w:fill="auto"/>
            <w:vAlign w:val="bottom"/>
          </w:tcPr>
          <w:p w14:paraId="57B42AE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35E0059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6E443C5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4ACC9DF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2DDAD11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3E94C20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6BE3D8A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1EFCAB7C"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0D3381C2" w14:textId="77777777" w:rsidTr="001B330E">
        <w:trPr>
          <w:trHeight w:val="23"/>
        </w:trPr>
        <w:tc>
          <w:tcPr>
            <w:tcW w:w="1494" w:type="pct"/>
            <w:shd w:val="clear" w:color="auto" w:fill="auto"/>
            <w:vAlign w:val="bottom"/>
          </w:tcPr>
          <w:p w14:paraId="10DD2E2E" w14:textId="231AA0D9" w:rsidR="005041C2" w:rsidRPr="001B330E" w:rsidRDefault="005041C2">
            <w:pPr>
              <w:widowControl w:val="0"/>
              <w:pBdr>
                <w:top w:val="nil"/>
                <w:left w:val="nil"/>
                <w:bottom w:val="nil"/>
                <w:right w:val="nil"/>
                <w:between w:val="nil"/>
              </w:pBdr>
              <w:ind w:left="113" w:hanging="113"/>
              <w:rPr>
                <w:b/>
                <w:color w:val="0000FF"/>
                <w:sz w:val="17"/>
                <w:szCs w:val="17"/>
              </w:rPr>
            </w:pPr>
            <w:r w:rsidRPr="001B330E">
              <w:rPr>
                <w:b/>
                <w:color w:val="000000"/>
                <w:sz w:val="17"/>
                <w:szCs w:val="17"/>
              </w:rPr>
              <w:t>At 31</w:t>
            </w:r>
            <w:r w:rsidR="00181687" w:rsidRPr="001B330E">
              <w:rPr>
                <w:b/>
                <w:color w:val="000000"/>
                <w:sz w:val="17"/>
                <w:szCs w:val="17"/>
              </w:rPr>
              <w:t> December </w:t>
            </w:r>
            <w:r w:rsidR="00541EBC">
              <w:rPr>
                <w:b/>
                <w:color w:val="000000"/>
                <w:sz w:val="17"/>
                <w:szCs w:val="17"/>
              </w:rPr>
              <w:t>2023</w:t>
            </w:r>
          </w:p>
        </w:tc>
        <w:tc>
          <w:tcPr>
            <w:tcW w:w="438" w:type="pct"/>
            <w:shd w:val="clear" w:color="auto" w:fill="auto"/>
            <w:vAlign w:val="bottom"/>
          </w:tcPr>
          <w:p w14:paraId="1041455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330E285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412F917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58EC4A9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54B9C07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751A18B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0532B26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04F3849F"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603DAA6E" w14:textId="77777777" w:rsidTr="001B330E">
        <w:trPr>
          <w:trHeight w:val="23"/>
        </w:trPr>
        <w:tc>
          <w:tcPr>
            <w:tcW w:w="1494" w:type="pct"/>
            <w:shd w:val="clear" w:color="auto" w:fill="auto"/>
            <w:vAlign w:val="bottom"/>
          </w:tcPr>
          <w:p w14:paraId="0C05B996" w14:textId="77777777" w:rsidR="005041C2" w:rsidRPr="001B330E" w:rsidRDefault="005041C2">
            <w:pPr>
              <w:widowControl w:val="0"/>
              <w:pBdr>
                <w:top w:val="nil"/>
                <w:left w:val="nil"/>
                <w:bottom w:val="nil"/>
                <w:right w:val="nil"/>
                <w:between w:val="nil"/>
              </w:pBdr>
              <w:ind w:left="113" w:hanging="113"/>
              <w:rPr>
                <w:b/>
                <w:color w:val="000000"/>
                <w:sz w:val="17"/>
                <w:szCs w:val="17"/>
              </w:rPr>
            </w:pPr>
          </w:p>
          <w:p w14:paraId="52AD5541" w14:textId="77777777" w:rsidR="005041C2" w:rsidRPr="001B330E" w:rsidRDefault="005041C2">
            <w:pPr>
              <w:widowControl w:val="0"/>
              <w:pBdr>
                <w:top w:val="nil"/>
                <w:left w:val="nil"/>
                <w:bottom w:val="nil"/>
                <w:right w:val="nil"/>
                <w:between w:val="nil"/>
              </w:pBdr>
              <w:ind w:left="113" w:hanging="113"/>
              <w:rPr>
                <w:b/>
                <w:color w:val="000000"/>
                <w:sz w:val="17"/>
                <w:szCs w:val="17"/>
              </w:rPr>
            </w:pPr>
            <w:r w:rsidRPr="001B330E">
              <w:rPr>
                <w:i/>
                <w:color w:val="000000"/>
                <w:sz w:val="17"/>
                <w:szCs w:val="17"/>
              </w:rPr>
              <w:t>Movements with impact on credit loss allowance charge for the period:</w:t>
            </w:r>
          </w:p>
        </w:tc>
        <w:tc>
          <w:tcPr>
            <w:tcW w:w="438" w:type="pct"/>
            <w:shd w:val="clear" w:color="auto" w:fill="auto"/>
            <w:vAlign w:val="bottom"/>
          </w:tcPr>
          <w:p w14:paraId="5EAC8D6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1CBAA79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3FBC955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40B9EEA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2E2DD633" w14:textId="77777777" w:rsidR="005041C2" w:rsidRPr="001B330E" w:rsidRDefault="005041C2" w:rsidP="001B330E">
            <w:pPr>
              <w:widowControl w:val="0"/>
              <w:pBdr>
                <w:top w:val="nil"/>
                <w:left w:val="nil"/>
                <w:bottom w:val="nil"/>
                <w:right w:val="nil"/>
                <w:between w:val="nil"/>
              </w:pBdr>
              <w:jc w:val="right"/>
              <w:rPr>
                <w:color w:val="000000"/>
                <w:sz w:val="17"/>
                <w:szCs w:val="17"/>
              </w:rPr>
            </w:pPr>
          </w:p>
        </w:tc>
        <w:tc>
          <w:tcPr>
            <w:tcW w:w="438" w:type="pct"/>
            <w:vAlign w:val="bottom"/>
          </w:tcPr>
          <w:p w14:paraId="2F7F36D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3E66FD6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1013BCC6"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08795022" w14:textId="77777777" w:rsidTr="001B330E">
        <w:trPr>
          <w:trHeight w:val="23"/>
        </w:trPr>
        <w:tc>
          <w:tcPr>
            <w:tcW w:w="1494" w:type="pct"/>
            <w:shd w:val="clear" w:color="auto" w:fill="auto"/>
            <w:vAlign w:val="bottom"/>
          </w:tcPr>
          <w:p w14:paraId="38C02823"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438" w:type="pct"/>
            <w:shd w:val="clear" w:color="auto" w:fill="auto"/>
            <w:vAlign w:val="bottom"/>
          </w:tcPr>
          <w:p w14:paraId="3ED088F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6122C1F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0D7926C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7BD29E8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53188CF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6FE3A57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0B4F644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7FC6CB7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10F63527" w14:textId="77777777" w:rsidTr="001B330E">
        <w:trPr>
          <w:trHeight w:val="23"/>
        </w:trPr>
        <w:tc>
          <w:tcPr>
            <w:tcW w:w="1494" w:type="pct"/>
            <w:shd w:val="clear" w:color="auto" w:fill="auto"/>
            <w:vAlign w:val="bottom"/>
          </w:tcPr>
          <w:p w14:paraId="3103D409" w14:textId="77777777" w:rsidR="005041C2" w:rsidRPr="001B330E" w:rsidRDefault="005041C2">
            <w:pPr>
              <w:widowControl w:val="0"/>
              <w:pBdr>
                <w:top w:val="nil"/>
                <w:left w:val="nil"/>
                <w:bottom w:val="nil"/>
                <w:right w:val="nil"/>
                <w:between w:val="nil"/>
              </w:pBdr>
              <w:ind w:left="113" w:hanging="113"/>
              <w:rPr>
                <w:color w:val="0000FF"/>
                <w:sz w:val="17"/>
                <w:szCs w:val="17"/>
              </w:rPr>
            </w:pPr>
            <w:r w:rsidRPr="001B330E">
              <w:rPr>
                <w:color w:val="000000"/>
                <w:sz w:val="17"/>
                <w:szCs w:val="17"/>
              </w:rPr>
              <w:t>Transfers:</w:t>
            </w:r>
          </w:p>
        </w:tc>
        <w:tc>
          <w:tcPr>
            <w:tcW w:w="438" w:type="pct"/>
            <w:shd w:val="clear" w:color="auto" w:fill="auto"/>
            <w:vAlign w:val="bottom"/>
          </w:tcPr>
          <w:p w14:paraId="7AEA332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05B8A5B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17B991BB"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4518744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3FD2001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765A392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7E4FCCA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566C39E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5C7DE514" w14:textId="77777777" w:rsidTr="001B330E">
        <w:trPr>
          <w:trHeight w:val="23"/>
        </w:trPr>
        <w:tc>
          <w:tcPr>
            <w:tcW w:w="1494" w:type="pct"/>
            <w:shd w:val="clear" w:color="auto" w:fill="auto"/>
            <w:vAlign w:val="bottom"/>
          </w:tcPr>
          <w:p w14:paraId="5061D1AA"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lifetime (from Stage 1 to Stage 2)</w:t>
            </w:r>
          </w:p>
        </w:tc>
        <w:tc>
          <w:tcPr>
            <w:tcW w:w="438" w:type="pct"/>
            <w:shd w:val="clear" w:color="auto" w:fill="auto"/>
            <w:vAlign w:val="bottom"/>
          </w:tcPr>
          <w:p w14:paraId="53B53EF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6B3CC21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14EF206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34BB223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6E13C89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080373F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0785AC0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2E25000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692AD162" w14:textId="77777777" w:rsidTr="001B330E">
        <w:trPr>
          <w:trHeight w:val="23"/>
        </w:trPr>
        <w:tc>
          <w:tcPr>
            <w:tcW w:w="1494" w:type="pct"/>
            <w:shd w:val="clear" w:color="auto" w:fill="auto"/>
            <w:vAlign w:val="bottom"/>
          </w:tcPr>
          <w:p w14:paraId="64CA0B60"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credit-impaired (from Stage 1 and Stage 2 to Stage 3)</w:t>
            </w:r>
          </w:p>
        </w:tc>
        <w:tc>
          <w:tcPr>
            <w:tcW w:w="438" w:type="pct"/>
            <w:shd w:val="clear" w:color="auto" w:fill="auto"/>
            <w:vAlign w:val="bottom"/>
          </w:tcPr>
          <w:p w14:paraId="36235D4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05BE733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7656D99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7CE5B90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1C2BB79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542EB22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1E7693D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4613302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69A4E037" w14:textId="77777777" w:rsidTr="001B330E">
        <w:trPr>
          <w:trHeight w:val="23"/>
        </w:trPr>
        <w:tc>
          <w:tcPr>
            <w:tcW w:w="1494" w:type="pct"/>
            <w:shd w:val="clear" w:color="auto" w:fill="auto"/>
            <w:vAlign w:val="bottom"/>
          </w:tcPr>
          <w:p w14:paraId="2AAF838E"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12-months ECL (from Stage 2 and Stage 3 to Stage 1)</w:t>
            </w:r>
          </w:p>
        </w:tc>
        <w:tc>
          <w:tcPr>
            <w:tcW w:w="438" w:type="pct"/>
            <w:shd w:val="clear" w:color="auto" w:fill="auto"/>
            <w:vAlign w:val="bottom"/>
          </w:tcPr>
          <w:p w14:paraId="2A56A81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597B5B7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6C70A74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38CEB18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1F1B840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7DA5CD2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5CBC104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35C88BB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0302C3E7" w14:textId="77777777" w:rsidTr="001B330E">
        <w:trPr>
          <w:trHeight w:val="23"/>
        </w:trPr>
        <w:tc>
          <w:tcPr>
            <w:tcW w:w="1494" w:type="pct"/>
            <w:shd w:val="clear" w:color="auto" w:fill="auto"/>
            <w:vAlign w:val="bottom"/>
          </w:tcPr>
          <w:p w14:paraId="753A9E08"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New originated or purchased</w:t>
            </w:r>
          </w:p>
        </w:tc>
        <w:tc>
          <w:tcPr>
            <w:tcW w:w="438" w:type="pct"/>
            <w:shd w:val="clear" w:color="auto" w:fill="auto"/>
            <w:vAlign w:val="bottom"/>
          </w:tcPr>
          <w:p w14:paraId="64CD830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3B279EF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7A0B6A1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22F2AD5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6B570A6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0536B84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1F496CA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5EDA97EA"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46FBC88C" w14:textId="77777777" w:rsidTr="001B330E">
        <w:trPr>
          <w:trHeight w:val="23"/>
        </w:trPr>
        <w:tc>
          <w:tcPr>
            <w:tcW w:w="1494" w:type="pct"/>
            <w:shd w:val="clear" w:color="auto" w:fill="auto"/>
            <w:vAlign w:val="bottom"/>
          </w:tcPr>
          <w:p w14:paraId="1C222ADE"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Derecognised during the period</w:t>
            </w:r>
          </w:p>
        </w:tc>
        <w:tc>
          <w:tcPr>
            <w:tcW w:w="438" w:type="pct"/>
            <w:shd w:val="clear" w:color="auto" w:fill="auto"/>
            <w:vAlign w:val="bottom"/>
          </w:tcPr>
          <w:p w14:paraId="65D3581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77E792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09EEBC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26C4ABC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7503157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125C2F6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759472B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5B00C11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0854956F" w14:textId="77777777" w:rsidTr="001B330E">
        <w:trPr>
          <w:trHeight w:val="23"/>
        </w:trPr>
        <w:tc>
          <w:tcPr>
            <w:tcW w:w="1494" w:type="pct"/>
            <w:shd w:val="clear" w:color="auto" w:fill="auto"/>
            <w:vAlign w:val="bottom"/>
          </w:tcPr>
          <w:p w14:paraId="44498A1C"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Changes to ECL measurement model assumptions</w:t>
            </w:r>
          </w:p>
        </w:tc>
        <w:tc>
          <w:tcPr>
            <w:tcW w:w="438" w:type="pct"/>
            <w:shd w:val="clear" w:color="auto" w:fill="auto"/>
            <w:vAlign w:val="bottom"/>
          </w:tcPr>
          <w:p w14:paraId="5444398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5860A6D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0EED976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4BD5B8E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08D3016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21E88E5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71A8E6C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77AB792C"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5CD3197C" w14:textId="77777777" w:rsidTr="001B330E">
        <w:trPr>
          <w:trHeight w:val="23"/>
        </w:trPr>
        <w:tc>
          <w:tcPr>
            <w:tcW w:w="1494" w:type="pct"/>
            <w:shd w:val="clear" w:color="auto" w:fill="auto"/>
            <w:vAlign w:val="bottom"/>
          </w:tcPr>
          <w:p w14:paraId="2FF56DF6"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Unwinding of discounting </w:t>
            </w:r>
          </w:p>
        </w:tc>
        <w:tc>
          <w:tcPr>
            <w:tcW w:w="438" w:type="pct"/>
            <w:shd w:val="clear" w:color="auto" w:fill="auto"/>
            <w:vAlign w:val="bottom"/>
          </w:tcPr>
          <w:p w14:paraId="7588376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05C25DB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0C92BDC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7486616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278EF05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31A6318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4FC7340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2822DF09"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187D2234" w14:textId="77777777" w:rsidTr="001B330E">
        <w:trPr>
          <w:trHeight w:val="23"/>
        </w:trPr>
        <w:tc>
          <w:tcPr>
            <w:tcW w:w="1494" w:type="pct"/>
            <w:shd w:val="clear" w:color="auto" w:fill="auto"/>
            <w:vAlign w:val="bottom"/>
          </w:tcPr>
          <w:p w14:paraId="2985933F"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Changes in accrued interest</w:t>
            </w:r>
          </w:p>
        </w:tc>
        <w:tc>
          <w:tcPr>
            <w:tcW w:w="438" w:type="pct"/>
            <w:shd w:val="clear" w:color="auto" w:fill="auto"/>
            <w:vAlign w:val="bottom"/>
          </w:tcPr>
          <w:p w14:paraId="046EB2A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25C77CB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7107609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4311C6A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2D92391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5DA4854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0B9942B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11A23FFA"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0816AFC8" w14:textId="77777777" w:rsidTr="001B330E">
        <w:trPr>
          <w:trHeight w:val="23"/>
        </w:trPr>
        <w:tc>
          <w:tcPr>
            <w:tcW w:w="1494" w:type="pct"/>
            <w:shd w:val="clear" w:color="auto" w:fill="auto"/>
            <w:vAlign w:val="bottom"/>
          </w:tcPr>
          <w:p w14:paraId="1395EA34"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Other movements</w:t>
            </w:r>
          </w:p>
        </w:tc>
        <w:tc>
          <w:tcPr>
            <w:tcW w:w="438" w:type="pct"/>
            <w:shd w:val="clear" w:color="auto" w:fill="auto"/>
            <w:vAlign w:val="bottom"/>
          </w:tcPr>
          <w:p w14:paraId="7946810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20D146A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179075C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1C02DF2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16AE7E6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3F338A2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37490E5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08B7A3E1"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04E59F6A" w14:textId="77777777" w:rsidTr="001B330E">
        <w:trPr>
          <w:trHeight w:val="23"/>
        </w:trPr>
        <w:tc>
          <w:tcPr>
            <w:tcW w:w="1494" w:type="pct"/>
            <w:tcBorders>
              <w:bottom w:val="single" w:sz="4" w:space="0" w:color="000000"/>
            </w:tcBorders>
            <w:shd w:val="clear" w:color="auto" w:fill="auto"/>
            <w:vAlign w:val="bottom"/>
          </w:tcPr>
          <w:p w14:paraId="6962323E"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438" w:type="pct"/>
            <w:tcBorders>
              <w:bottom w:val="single" w:sz="4" w:space="0" w:color="000000"/>
            </w:tcBorders>
            <w:shd w:val="clear" w:color="auto" w:fill="auto"/>
            <w:vAlign w:val="bottom"/>
          </w:tcPr>
          <w:p w14:paraId="772E634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49A3136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102B247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6222B3D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vAlign w:val="bottom"/>
          </w:tcPr>
          <w:p w14:paraId="7FBC083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vAlign w:val="bottom"/>
          </w:tcPr>
          <w:p w14:paraId="6B9381C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vAlign w:val="bottom"/>
          </w:tcPr>
          <w:p w14:paraId="14E706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7DF3969A"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1490C8E2" w14:textId="77777777" w:rsidTr="001B330E">
        <w:trPr>
          <w:trHeight w:val="23"/>
        </w:trPr>
        <w:tc>
          <w:tcPr>
            <w:tcW w:w="1494" w:type="pct"/>
            <w:tcBorders>
              <w:top w:val="single" w:sz="4" w:space="0" w:color="000000"/>
            </w:tcBorders>
            <w:shd w:val="clear" w:color="auto" w:fill="auto"/>
            <w:vAlign w:val="bottom"/>
          </w:tcPr>
          <w:p w14:paraId="78215695"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438" w:type="pct"/>
            <w:tcBorders>
              <w:top w:val="single" w:sz="4" w:space="0" w:color="000000"/>
            </w:tcBorders>
            <w:shd w:val="clear" w:color="auto" w:fill="auto"/>
            <w:vAlign w:val="bottom"/>
          </w:tcPr>
          <w:p w14:paraId="3203915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4DEC3A6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7A8891C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644D406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vAlign w:val="bottom"/>
          </w:tcPr>
          <w:p w14:paraId="34FA028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vAlign w:val="bottom"/>
          </w:tcPr>
          <w:p w14:paraId="763F903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vAlign w:val="bottom"/>
          </w:tcPr>
          <w:p w14:paraId="7F8D88E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73C98218"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5C5CDC42" w14:textId="77777777" w:rsidTr="001B330E">
        <w:trPr>
          <w:trHeight w:val="23"/>
        </w:trPr>
        <w:tc>
          <w:tcPr>
            <w:tcW w:w="1494" w:type="pct"/>
            <w:shd w:val="clear" w:color="auto" w:fill="auto"/>
            <w:vAlign w:val="bottom"/>
          </w:tcPr>
          <w:p w14:paraId="11774AD0" w14:textId="77777777" w:rsidR="005041C2" w:rsidRPr="001B330E" w:rsidRDefault="005041C2">
            <w:pPr>
              <w:widowControl w:val="0"/>
              <w:pBdr>
                <w:top w:val="nil"/>
                <w:left w:val="nil"/>
                <w:bottom w:val="nil"/>
                <w:right w:val="nil"/>
                <w:between w:val="nil"/>
              </w:pBdr>
              <w:ind w:left="113" w:hanging="113"/>
              <w:rPr>
                <w:b/>
                <w:color w:val="000000"/>
                <w:sz w:val="17"/>
                <w:szCs w:val="17"/>
              </w:rPr>
            </w:pPr>
            <w:r w:rsidRPr="001B330E">
              <w:rPr>
                <w:b/>
                <w:color w:val="000000"/>
                <w:sz w:val="17"/>
                <w:szCs w:val="17"/>
              </w:rPr>
              <w:t>Total movements with impact on credit loss allowance charge for the period</w:t>
            </w:r>
          </w:p>
        </w:tc>
        <w:tc>
          <w:tcPr>
            <w:tcW w:w="438" w:type="pct"/>
            <w:shd w:val="clear" w:color="auto" w:fill="auto"/>
            <w:vAlign w:val="bottom"/>
          </w:tcPr>
          <w:p w14:paraId="287DD6B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7EA228E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2E090A2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2BD65B8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0A555F0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082A8F4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63C6FEB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64278D19"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15402A0B" w14:textId="77777777" w:rsidTr="001B330E">
        <w:trPr>
          <w:trHeight w:val="23"/>
        </w:trPr>
        <w:tc>
          <w:tcPr>
            <w:tcW w:w="1494" w:type="pct"/>
            <w:tcBorders>
              <w:bottom w:val="single" w:sz="4" w:space="0" w:color="000000"/>
            </w:tcBorders>
            <w:shd w:val="clear" w:color="auto" w:fill="auto"/>
            <w:vAlign w:val="bottom"/>
          </w:tcPr>
          <w:p w14:paraId="717ACA8E"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438" w:type="pct"/>
            <w:tcBorders>
              <w:bottom w:val="single" w:sz="4" w:space="0" w:color="000000"/>
            </w:tcBorders>
            <w:shd w:val="clear" w:color="auto" w:fill="auto"/>
            <w:vAlign w:val="bottom"/>
          </w:tcPr>
          <w:p w14:paraId="0EB9B01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04A4F14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46C89D2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1942177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vAlign w:val="bottom"/>
          </w:tcPr>
          <w:p w14:paraId="5169488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vAlign w:val="bottom"/>
          </w:tcPr>
          <w:p w14:paraId="4F100CD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vAlign w:val="bottom"/>
          </w:tcPr>
          <w:p w14:paraId="35C9EEA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1ED61068"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6FD326B2" w14:textId="77777777" w:rsidTr="001B330E">
        <w:trPr>
          <w:trHeight w:val="23"/>
        </w:trPr>
        <w:tc>
          <w:tcPr>
            <w:tcW w:w="1494" w:type="pct"/>
            <w:tcBorders>
              <w:top w:val="single" w:sz="4" w:space="0" w:color="000000"/>
            </w:tcBorders>
            <w:shd w:val="clear" w:color="auto" w:fill="auto"/>
            <w:vAlign w:val="bottom"/>
          </w:tcPr>
          <w:p w14:paraId="5999ADAE"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438" w:type="pct"/>
            <w:tcBorders>
              <w:top w:val="single" w:sz="4" w:space="0" w:color="000000"/>
            </w:tcBorders>
            <w:shd w:val="clear" w:color="auto" w:fill="auto"/>
            <w:vAlign w:val="bottom"/>
          </w:tcPr>
          <w:p w14:paraId="77A8C33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2055775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09CEEE3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62965A2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vAlign w:val="bottom"/>
          </w:tcPr>
          <w:p w14:paraId="40B4EC9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vAlign w:val="bottom"/>
          </w:tcPr>
          <w:p w14:paraId="77E569A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vAlign w:val="bottom"/>
          </w:tcPr>
          <w:p w14:paraId="3712C46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66052E6E"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45B7A8B7" w14:textId="77777777" w:rsidTr="001B330E">
        <w:trPr>
          <w:trHeight w:val="23"/>
        </w:trPr>
        <w:tc>
          <w:tcPr>
            <w:tcW w:w="1494" w:type="pct"/>
            <w:shd w:val="clear" w:color="auto" w:fill="auto"/>
            <w:vAlign w:val="bottom"/>
          </w:tcPr>
          <w:p w14:paraId="65F0A8A7" w14:textId="72D4D9EE" w:rsidR="005041C2" w:rsidRPr="001B330E" w:rsidRDefault="005041C2" w:rsidP="001B330E">
            <w:pPr>
              <w:widowControl w:val="0"/>
              <w:pBdr>
                <w:top w:val="nil"/>
                <w:left w:val="nil"/>
                <w:bottom w:val="nil"/>
                <w:right w:val="nil"/>
                <w:between w:val="nil"/>
              </w:pBdr>
              <w:ind w:left="113" w:hanging="113"/>
              <w:rPr>
                <w:color w:val="000000"/>
                <w:sz w:val="17"/>
                <w:szCs w:val="17"/>
              </w:rPr>
            </w:pPr>
            <w:r w:rsidRPr="001B330E">
              <w:rPr>
                <w:i/>
                <w:color w:val="000000"/>
                <w:sz w:val="17"/>
                <w:szCs w:val="17"/>
              </w:rPr>
              <w:t>Movements without impact on credit loss allowance charge for the period:</w:t>
            </w:r>
          </w:p>
        </w:tc>
        <w:tc>
          <w:tcPr>
            <w:tcW w:w="438" w:type="pct"/>
            <w:shd w:val="clear" w:color="auto" w:fill="auto"/>
            <w:vAlign w:val="bottom"/>
          </w:tcPr>
          <w:p w14:paraId="5C82F74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2754DB6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7D72916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2F410E1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665D09CB"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1A4DA54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2FC9C02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69DC5BB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58B21350" w14:textId="77777777" w:rsidTr="001B330E">
        <w:trPr>
          <w:trHeight w:val="23"/>
        </w:trPr>
        <w:tc>
          <w:tcPr>
            <w:tcW w:w="1494" w:type="pct"/>
            <w:shd w:val="clear" w:color="auto" w:fill="auto"/>
            <w:vAlign w:val="bottom"/>
          </w:tcPr>
          <w:p w14:paraId="1A65D81F" w14:textId="77777777" w:rsidR="00FB108F" w:rsidRPr="001B330E" w:rsidRDefault="00FB108F">
            <w:pPr>
              <w:widowControl w:val="0"/>
              <w:pBdr>
                <w:top w:val="nil"/>
                <w:left w:val="nil"/>
                <w:bottom w:val="nil"/>
                <w:right w:val="nil"/>
                <w:between w:val="nil"/>
              </w:pBdr>
              <w:ind w:left="113" w:hanging="113"/>
              <w:rPr>
                <w:i/>
                <w:color w:val="000000"/>
                <w:sz w:val="17"/>
                <w:szCs w:val="17"/>
              </w:rPr>
            </w:pPr>
          </w:p>
        </w:tc>
        <w:tc>
          <w:tcPr>
            <w:tcW w:w="438" w:type="pct"/>
            <w:shd w:val="clear" w:color="auto" w:fill="auto"/>
            <w:vAlign w:val="bottom"/>
          </w:tcPr>
          <w:p w14:paraId="5020EB69"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19F4064B"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41A23B58"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07CB7F7B"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438" w:type="pct"/>
            <w:vAlign w:val="bottom"/>
          </w:tcPr>
          <w:p w14:paraId="24E6435D"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438" w:type="pct"/>
            <w:vAlign w:val="bottom"/>
          </w:tcPr>
          <w:p w14:paraId="30B30AAC"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438" w:type="pct"/>
            <w:vAlign w:val="bottom"/>
          </w:tcPr>
          <w:p w14:paraId="5FAD31B0"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1258188A"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r>
      <w:tr w:rsidR="00FB108F" w:rsidRPr="00FB108F" w14:paraId="774DC831" w14:textId="77777777" w:rsidTr="001B330E">
        <w:trPr>
          <w:trHeight w:val="23"/>
        </w:trPr>
        <w:tc>
          <w:tcPr>
            <w:tcW w:w="1494" w:type="pct"/>
            <w:shd w:val="clear" w:color="auto" w:fill="auto"/>
            <w:vAlign w:val="bottom"/>
          </w:tcPr>
          <w:p w14:paraId="31D04C86"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Write-offs</w:t>
            </w:r>
          </w:p>
        </w:tc>
        <w:tc>
          <w:tcPr>
            <w:tcW w:w="438" w:type="pct"/>
            <w:shd w:val="clear" w:color="auto" w:fill="auto"/>
            <w:vAlign w:val="bottom"/>
          </w:tcPr>
          <w:p w14:paraId="1F14749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6EC8A7E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22DD4E5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1F130CC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47754A8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79B9B1F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63EDAAD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2FC0176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7DE9DC7E" w14:textId="77777777" w:rsidTr="001B330E">
        <w:trPr>
          <w:trHeight w:val="23"/>
        </w:trPr>
        <w:tc>
          <w:tcPr>
            <w:tcW w:w="1494" w:type="pct"/>
            <w:shd w:val="clear" w:color="auto" w:fill="auto"/>
            <w:vAlign w:val="bottom"/>
          </w:tcPr>
          <w:p w14:paraId="7E05E57A"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Foreign exchange translation and other movements</w:t>
            </w:r>
          </w:p>
        </w:tc>
        <w:tc>
          <w:tcPr>
            <w:tcW w:w="438" w:type="pct"/>
            <w:shd w:val="clear" w:color="auto" w:fill="auto"/>
            <w:vAlign w:val="bottom"/>
          </w:tcPr>
          <w:p w14:paraId="434165E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3EEEBD4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67E1659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4D039FF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43443BF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2BBC60C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vAlign w:val="bottom"/>
          </w:tcPr>
          <w:p w14:paraId="74D945B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438" w:type="pct"/>
            <w:shd w:val="clear" w:color="auto" w:fill="auto"/>
            <w:vAlign w:val="bottom"/>
          </w:tcPr>
          <w:p w14:paraId="4E53BF9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7B838EF4" w14:textId="77777777" w:rsidTr="001B330E">
        <w:trPr>
          <w:trHeight w:val="23"/>
        </w:trPr>
        <w:tc>
          <w:tcPr>
            <w:tcW w:w="1494" w:type="pct"/>
            <w:shd w:val="clear" w:color="auto" w:fill="auto"/>
            <w:vAlign w:val="bottom"/>
          </w:tcPr>
          <w:p w14:paraId="0FBCC969"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Modification of contractual cash flows</w:t>
            </w:r>
          </w:p>
        </w:tc>
        <w:tc>
          <w:tcPr>
            <w:tcW w:w="438" w:type="pct"/>
            <w:shd w:val="clear" w:color="auto" w:fill="auto"/>
            <w:vAlign w:val="bottom"/>
          </w:tcPr>
          <w:p w14:paraId="5887698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5DE85C9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363448E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0EDD5CB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145B020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026A84E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4B79D6D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1C336A59"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22F12624" w14:textId="77777777" w:rsidTr="001B330E">
        <w:trPr>
          <w:trHeight w:val="23"/>
        </w:trPr>
        <w:tc>
          <w:tcPr>
            <w:tcW w:w="1494" w:type="pct"/>
            <w:shd w:val="clear" w:color="auto" w:fill="auto"/>
            <w:vAlign w:val="bottom"/>
          </w:tcPr>
          <w:p w14:paraId="01101072"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Unwinding of discounting for Stage 3 assets</w:t>
            </w:r>
          </w:p>
        </w:tc>
        <w:tc>
          <w:tcPr>
            <w:tcW w:w="438" w:type="pct"/>
            <w:shd w:val="clear" w:color="auto" w:fill="auto"/>
            <w:vAlign w:val="bottom"/>
          </w:tcPr>
          <w:p w14:paraId="605384C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7F1AD72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43BD1CA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49012E1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481AA7F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41AA64F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40F0B82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6DD51770"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7EE3CD1B" w14:textId="77777777" w:rsidTr="001B330E">
        <w:trPr>
          <w:trHeight w:val="23"/>
        </w:trPr>
        <w:tc>
          <w:tcPr>
            <w:tcW w:w="1494" w:type="pct"/>
            <w:tcBorders>
              <w:bottom w:val="single" w:sz="4" w:space="0" w:color="000000"/>
            </w:tcBorders>
            <w:shd w:val="clear" w:color="auto" w:fill="auto"/>
            <w:vAlign w:val="bottom"/>
          </w:tcPr>
          <w:p w14:paraId="1850EFB3" w14:textId="77777777" w:rsidR="005041C2" w:rsidRPr="001B330E" w:rsidRDefault="005041C2">
            <w:pPr>
              <w:widowControl w:val="0"/>
              <w:pBdr>
                <w:top w:val="nil"/>
                <w:left w:val="nil"/>
                <w:bottom w:val="nil"/>
                <w:right w:val="nil"/>
                <w:between w:val="nil"/>
              </w:pBdr>
              <w:ind w:left="113" w:hanging="113"/>
              <w:rPr>
                <w:b/>
                <w:color w:val="000000"/>
                <w:sz w:val="17"/>
                <w:szCs w:val="17"/>
              </w:rPr>
            </w:pPr>
          </w:p>
        </w:tc>
        <w:tc>
          <w:tcPr>
            <w:tcW w:w="438" w:type="pct"/>
            <w:tcBorders>
              <w:bottom w:val="single" w:sz="4" w:space="0" w:color="000000"/>
            </w:tcBorders>
            <w:shd w:val="clear" w:color="auto" w:fill="auto"/>
            <w:vAlign w:val="bottom"/>
          </w:tcPr>
          <w:p w14:paraId="7408577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7F10DF0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4548E53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188D2D9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vAlign w:val="bottom"/>
          </w:tcPr>
          <w:p w14:paraId="5049390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vAlign w:val="bottom"/>
          </w:tcPr>
          <w:p w14:paraId="241E795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vAlign w:val="bottom"/>
          </w:tcPr>
          <w:p w14:paraId="4021113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4" w:space="0" w:color="000000"/>
            </w:tcBorders>
            <w:shd w:val="clear" w:color="auto" w:fill="auto"/>
            <w:vAlign w:val="bottom"/>
          </w:tcPr>
          <w:p w14:paraId="4F9E16F6"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6897ED95" w14:textId="77777777" w:rsidTr="001B330E">
        <w:trPr>
          <w:trHeight w:val="23"/>
        </w:trPr>
        <w:tc>
          <w:tcPr>
            <w:tcW w:w="1494" w:type="pct"/>
            <w:tcBorders>
              <w:top w:val="single" w:sz="4" w:space="0" w:color="000000"/>
            </w:tcBorders>
            <w:shd w:val="clear" w:color="auto" w:fill="auto"/>
            <w:vAlign w:val="bottom"/>
          </w:tcPr>
          <w:p w14:paraId="04407AAD" w14:textId="77777777" w:rsidR="005041C2" w:rsidRPr="001B330E" w:rsidRDefault="005041C2">
            <w:pPr>
              <w:widowControl w:val="0"/>
              <w:pBdr>
                <w:top w:val="nil"/>
                <w:left w:val="nil"/>
                <w:bottom w:val="nil"/>
                <w:right w:val="nil"/>
                <w:between w:val="nil"/>
              </w:pBdr>
              <w:ind w:left="113" w:hanging="113"/>
              <w:rPr>
                <w:color w:val="000000"/>
                <w:sz w:val="17"/>
                <w:szCs w:val="17"/>
                <w:u w:val="single"/>
              </w:rPr>
            </w:pPr>
          </w:p>
        </w:tc>
        <w:tc>
          <w:tcPr>
            <w:tcW w:w="438" w:type="pct"/>
            <w:tcBorders>
              <w:top w:val="single" w:sz="4" w:space="0" w:color="000000"/>
            </w:tcBorders>
            <w:shd w:val="clear" w:color="auto" w:fill="auto"/>
            <w:vAlign w:val="bottom"/>
          </w:tcPr>
          <w:p w14:paraId="38AEE7A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28FAFE3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3FF65A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68FD526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vAlign w:val="bottom"/>
          </w:tcPr>
          <w:p w14:paraId="6FF8232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vAlign w:val="bottom"/>
          </w:tcPr>
          <w:p w14:paraId="1D688C6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vAlign w:val="bottom"/>
          </w:tcPr>
          <w:p w14:paraId="4EDFC03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top w:val="single" w:sz="4" w:space="0" w:color="000000"/>
            </w:tcBorders>
            <w:shd w:val="clear" w:color="auto" w:fill="auto"/>
            <w:vAlign w:val="bottom"/>
          </w:tcPr>
          <w:p w14:paraId="78DD9B33"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478D0B5E" w14:textId="77777777" w:rsidTr="001B330E">
        <w:trPr>
          <w:trHeight w:val="23"/>
        </w:trPr>
        <w:tc>
          <w:tcPr>
            <w:tcW w:w="1494" w:type="pct"/>
            <w:shd w:val="clear" w:color="auto" w:fill="auto"/>
            <w:vAlign w:val="bottom"/>
          </w:tcPr>
          <w:p w14:paraId="27826949" w14:textId="4F995888" w:rsidR="005041C2" w:rsidRPr="001B330E" w:rsidRDefault="005041C2">
            <w:pPr>
              <w:widowControl w:val="0"/>
              <w:pBdr>
                <w:top w:val="nil"/>
                <w:left w:val="nil"/>
                <w:bottom w:val="nil"/>
                <w:right w:val="nil"/>
                <w:between w:val="nil"/>
              </w:pBdr>
              <w:ind w:left="113" w:hanging="113"/>
              <w:rPr>
                <w:b/>
                <w:color w:val="000000"/>
                <w:sz w:val="17"/>
                <w:szCs w:val="17"/>
              </w:rPr>
            </w:pPr>
            <w:r w:rsidRPr="001B330E">
              <w:rPr>
                <w:b/>
                <w:color w:val="000000"/>
                <w:sz w:val="17"/>
                <w:szCs w:val="17"/>
              </w:rPr>
              <w:t>At 31</w:t>
            </w:r>
            <w:r w:rsidR="00181687" w:rsidRPr="001B330E">
              <w:rPr>
                <w:b/>
                <w:color w:val="000000"/>
                <w:sz w:val="17"/>
                <w:szCs w:val="17"/>
              </w:rPr>
              <w:t> December </w:t>
            </w:r>
            <w:r w:rsidR="00541EBC">
              <w:rPr>
                <w:b/>
                <w:color w:val="000000"/>
                <w:sz w:val="17"/>
                <w:szCs w:val="17"/>
              </w:rPr>
              <w:t>2024</w:t>
            </w:r>
          </w:p>
        </w:tc>
        <w:tc>
          <w:tcPr>
            <w:tcW w:w="438" w:type="pct"/>
            <w:shd w:val="clear" w:color="auto" w:fill="auto"/>
            <w:vAlign w:val="bottom"/>
          </w:tcPr>
          <w:p w14:paraId="510DEE8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1E84CF8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6819DB4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42FF562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132D3D3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4991E68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vAlign w:val="bottom"/>
          </w:tcPr>
          <w:p w14:paraId="7D45C5C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shd w:val="clear" w:color="auto" w:fill="auto"/>
            <w:vAlign w:val="bottom"/>
          </w:tcPr>
          <w:p w14:paraId="78C20D81" w14:textId="77777777" w:rsidR="005041C2" w:rsidRPr="001B330E" w:rsidRDefault="005041C2">
            <w:pPr>
              <w:widowControl w:val="0"/>
              <w:pBdr>
                <w:top w:val="nil"/>
                <w:left w:val="nil"/>
                <w:bottom w:val="nil"/>
                <w:right w:val="nil"/>
                <w:between w:val="nil"/>
              </w:pBdr>
              <w:jc w:val="right"/>
              <w:rPr>
                <w:color w:val="000000"/>
                <w:sz w:val="17"/>
                <w:szCs w:val="17"/>
              </w:rPr>
            </w:pPr>
          </w:p>
        </w:tc>
      </w:tr>
      <w:tr w:rsidR="00FB108F" w:rsidRPr="00FB108F" w14:paraId="5D3B0F34" w14:textId="77777777" w:rsidTr="001B330E">
        <w:trPr>
          <w:trHeight w:val="23"/>
        </w:trPr>
        <w:tc>
          <w:tcPr>
            <w:tcW w:w="1494" w:type="pct"/>
            <w:tcBorders>
              <w:bottom w:val="single" w:sz="12" w:space="0" w:color="000000"/>
            </w:tcBorders>
            <w:shd w:val="clear" w:color="auto" w:fill="auto"/>
            <w:vAlign w:val="bottom"/>
          </w:tcPr>
          <w:p w14:paraId="08F9F895" w14:textId="77777777" w:rsidR="005041C2" w:rsidRPr="001B330E" w:rsidRDefault="005041C2">
            <w:pPr>
              <w:widowControl w:val="0"/>
              <w:pBdr>
                <w:top w:val="nil"/>
                <w:left w:val="nil"/>
                <w:bottom w:val="nil"/>
                <w:right w:val="nil"/>
                <w:between w:val="nil"/>
              </w:pBdr>
              <w:ind w:left="113" w:hanging="113"/>
              <w:rPr>
                <w:b/>
                <w:color w:val="000000"/>
                <w:sz w:val="17"/>
                <w:szCs w:val="17"/>
              </w:rPr>
            </w:pPr>
          </w:p>
        </w:tc>
        <w:tc>
          <w:tcPr>
            <w:tcW w:w="438" w:type="pct"/>
            <w:tcBorders>
              <w:bottom w:val="single" w:sz="12" w:space="0" w:color="000000"/>
            </w:tcBorders>
            <w:shd w:val="clear" w:color="auto" w:fill="auto"/>
            <w:vAlign w:val="bottom"/>
          </w:tcPr>
          <w:p w14:paraId="78C2210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12" w:space="0" w:color="000000"/>
            </w:tcBorders>
            <w:shd w:val="clear" w:color="auto" w:fill="auto"/>
            <w:vAlign w:val="bottom"/>
          </w:tcPr>
          <w:p w14:paraId="4A79EC8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12" w:space="0" w:color="000000"/>
            </w:tcBorders>
            <w:shd w:val="clear" w:color="auto" w:fill="auto"/>
            <w:vAlign w:val="bottom"/>
          </w:tcPr>
          <w:p w14:paraId="4273A89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12" w:space="0" w:color="000000"/>
            </w:tcBorders>
            <w:shd w:val="clear" w:color="auto" w:fill="auto"/>
            <w:vAlign w:val="bottom"/>
          </w:tcPr>
          <w:p w14:paraId="6A16C55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12" w:space="0" w:color="000000"/>
            </w:tcBorders>
            <w:vAlign w:val="bottom"/>
          </w:tcPr>
          <w:p w14:paraId="718652E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12" w:space="0" w:color="000000"/>
            </w:tcBorders>
            <w:vAlign w:val="bottom"/>
          </w:tcPr>
          <w:p w14:paraId="492828B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12" w:space="0" w:color="000000"/>
            </w:tcBorders>
            <w:vAlign w:val="bottom"/>
          </w:tcPr>
          <w:p w14:paraId="24ADB2A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438" w:type="pct"/>
            <w:tcBorders>
              <w:bottom w:val="single" w:sz="12" w:space="0" w:color="000000"/>
            </w:tcBorders>
            <w:shd w:val="clear" w:color="auto" w:fill="auto"/>
            <w:vAlign w:val="bottom"/>
          </w:tcPr>
          <w:p w14:paraId="36AB1B17" w14:textId="77777777" w:rsidR="005041C2" w:rsidRPr="001B330E" w:rsidRDefault="005041C2">
            <w:pPr>
              <w:widowControl w:val="0"/>
              <w:pBdr>
                <w:top w:val="nil"/>
                <w:left w:val="nil"/>
                <w:bottom w:val="nil"/>
                <w:right w:val="nil"/>
                <w:between w:val="nil"/>
              </w:pBdr>
              <w:jc w:val="right"/>
              <w:rPr>
                <w:color w:val="000000"/>
                <w:sz w:val="17"/>
                <w:szCs w:val="17"/>
              </w:rPr>
            </w:pPr>
          </w:p>
        </w:tc>
      </w:tr>
    </w:tbl>
    <w:p w14:paraId="3DC33387" w14:textId="69F8E7C7" w:rsidR="00D83E33" w:rsidRDefault="00BC4072" w:rsidP="001B330E">
      <w:pPr>
        <w:pStyle w:val="Continued"/>
      </w:pPr>
      <w:r>
        <w:lastRenderedPageBreak/>
        <w:t>8</w:t>
      </w:r>
      <w:r>
        <w:tab/>
        <w:t>Due from Other Banks (Continued)</w:t>
      </w:r>
    </w:p>
    <w:tbl>
      <w:tblPr>
        <w:tblStyle w:val="af4"/>
        <w:tblW w:w="9328" w:type="dxa"/>
        <w:tblLayout w:type="fixed"/>
        <w:tblLook w:val="0000" w:firstRow="0" w:lastRow="0" w:firstColumn="0" w:lastColumn="0" w:noHBand="0" w:noVBand="0"/>
      </w:tblPr>
      <w:tblGrid>
        <w:gridCol w:w="2758"/>
        <w:gridCol w:w="821"/>
        <w:gridCol w:w="821"/>
        <w:gridCol w:w="821"/>
        <w:gridCol w:w="822"/>
        <w:gridCol w:w="821"/>
        <w:gridCol w:w="821"/>
        <w:gridCol w:w="821"/>
        <w:gridCol w:w="822"/>
      </w:tblGrid>
      <w:tr w:rsidR="005041C2" w:rsidRPr="00FB108F" w14:paraId="58B3376A" w14:textId="77777777" w:rsidTr="001B330E">
        <w:trPr>
          <w:trHeight w:val="20"/>
        </w:trPr>
        <w:tc>
          <w:tcPr>
            <w:tcW w:w="2758" w:type="dxa"/>
            <w:shd w:val="clear" w:color="auto" w:fill="auto"/>
            <w:vAlign w:val="bottom"/>
          </w:tcPr>
          <w:p w14:paraId="049CA2A1" w14:textId="77777777" w:rsidR="005041C2" w:rsidRPr="001B330E" w:rsidRDefault="005041C2">
            <w:pPr>
              <w:widowControl w:val="0"/>
              <w:pBdr>
                <w:top w:val="nil"/>
                <w:left w:val="nil"/>
                <w:bottom w:val="nil"/>
                <w:right w:val="nil"/>
                <w:between w:val="nil"/>
              </w:pBdr>
              <w:ind w:left="113" w:hanging="113"/>
              <w:rPr>
                <w:i/>
                <w:color w:val="000000"/>
                <w:sz w:val="17"/>
                <w:szCs w:val="17"/>
              </w:rPr>
            </w:pPr>
          </w:p>
        </w:tc>
        <w:tc>
          <w:tcPr>
            <w:tcW w:w="3285" w:type="dxa"/>
            <w:gridSpan w:val="4"/>
            <w:tcBorders>
              <w:bottom w:val="single" w:sz="4" w:space="0" w:color="000000"/>
            </w:tcBorders>
            <w:shd w:val="clear" w:color="auto" w:fill="auto"/>
          </w:tcPr>
          <w:p w14:paraId="0817B323" w14:textId="77777777" w:rsidR="005041C2" w:rsidRPr="001B330E" w:rsidRDefault="005041C2">
            <w:pPr>
              <w:widowControl w:val="0"/>
              <w:pBdr>
                <w:top w:val="nil"/>
                <w:left w:val="nil"/>
                <w:bottom w:val="nil"/>
                <w:right w:val="nil"/>
                <w:between w:val="nil"/>
              </w:pBdr>
              <w:tabs>
                <w:tab w:val="left" w:pos="3182"/>
              </w:tabs>
              <w:ind w:left="-113"/>
              <w:jc w:val="center"/>
              <w:rPr>
                <w:b/>
                <w:color w:val="000000"/>
                <w:sz w:val="17"/>
                <w:szCs w:val="17"/>
              </w:rPr>
            </w:pPr>
            <w:r w:rsidRPr="001B330E">
              <w:rPr>
                <w:b/>
                <w:color w:val="000000"/>
                <w:sz w:val="17"/>
                <w:szCs w:val="17"/>
              </w:rPr>
              <w:t>Credit loss allowance</w:t>
            </w:r>
          </w:p>
        </w:tc>
        <w:tc>
          <w:tcPr>
            <w:tcW w:w="3285" w:type="dxa"/>
            <w:gridSpan w:val="4"/>
            <w:tcBorders>
              <w:bottom w:val="single" w:sz="4" w:space="0" w:color="000000"/>
            </w:tcBorders>
          </w:tcPr>
          <w:p w14:paraId="031F0944" w14:textId="77777777" w:rsidR="005041C2" w:rsidRPr="001B330E" w:rsidRDefault="005041C2">
            <w:pPr>
              <w:widowControl w:val="0"/>
              <w:pBdr>
                <w:top w:val="nil"/>
                <w:left w:val="nil"/>
                <w:bottom w:val="nil"/>
                <w:right w:val="nil"/>
                <w:between w:val="nil"/>
              </w:pBdr>
              <w:ind w:left="-113"/>
              <w:jc w:val="center"/>
              <w:rPr>
                <w:b/>
                <w:color w:val="000000"/>
                <w:sz w:val="17"/>
                <w:szCs w:val="17"/>
              </w:rPr>
            </w:pPr>
            <w:r w:rsidRPr="001B330E">
              <w:rPr>
                <w:b/>
                <w:color w:val="000000"/>
                <w:sz w:val="17"/>
                <w:szCs w:val="17"/>
              </w:rPr>
              <w:t>Gross carrying amount</w:t>
            </w:r>
          </w:p>
        </w:tc>
      </w:tr>
      <w:tr w:rsidR="005041C2" w:rsidRPr="00FB108F" w14:paraId="7C2375A5" w14:textId="77777777" w:rsidTr="001B330E">
        <w:trPr>
          <w:trHeight w:val="20"/>
        </w:trPr>
        <w:tc>
          <w:tcPr>
            <w:tcW w:w="2758" w:type="dxa"/>
            <w:tcBorders>
              <w:bottom w:val="single" w:sz="4" w:space="0" w:color="000000"/>
            </w:tcBorders>
            <w:shd w:val="clear" w:color="auto" w:fill="auto"/>
            <w:vAlign w:val="bottom"/>
          </w:tcPr>
          <w:p w14:paraId="6E61C2D0" w14:textId="77777777" w:rsidR="005041C2" w:rsidRPr="001B330E" w:rsidRDefault="005041C2">
            <w:pPr>
              <w:widowControl w:val="0"/>
              <w:pBdr>
                <w:top w:val="nil"/>
                <w:left w:val="nil"/>
                <w:bottom w:val="nil"/>
                <w:right w:val="nil"/>
                <w:between w:val="nil"/>
              </w:pBdr>
              <w:ind w:left="113" w:hanging="113"/>
              <w:rPr>
                <w:i/>
                <w:color w:val="000000"/>
                <w:sz w:val="17"/>
                <w:szCs w:val="17"/>
              </w:rPr>
            </w:pPr>
          </w:p>
          <w:p w14:paraId="377B8639" w14:textId="35AA1C2B" w:rsidR="005041C2" w:rsidRPr="001B330E" w:rsidRDefault="00313B4D">
            <w:pPr>
              <w:widowControl w:val="0"/>
              <w:pBdr>
                <w:top w:val="nil"/>
                <w:left w:val="nil"/>
                <w:bottom w:val="nil"/>
                <w:right w:val="nil"/>
                <w:between w:val="nil"/>
              </w:pBdr>
              <w:ind w:left="113" w:hanging="113"/>
              <w:rPr>
                <w:b/>
                <w:i/>
                <w:color w:val="000000"/>
                <w:sz w:val="17"/>
                <w:szCs w:val="17"/>
              </w:rPr>
            </w:pPr>
            <w:r>
              <w:rPr>
                <w:i/>
                <w:color w:val="000000"/>
                <w:sz w:val="17"/>
                <w:szCs w:val="17"/>
              </w:rPr>
              <w:t xml:space="preserve">In thousands of </w:t>
            </w:r>
            <w:r w:rsidR="002649EE">
              <w:rPr>
                <w:i/>
                <w:color w:val="000000"/>
                <w:sz w:val="17"/>
                <w:szCs w:val="17"/>
              </w:rPr>
              <w:t>EUR</w:t>
            </w:r>
          </w:p>
        </w:tc>
        <w:tc>
          <w:tcPr>
            <w:tcW w:w="821" w:type="dxa"/>
            <w:tcBorders>
              <w:top w:val="single" w:sz="4" w:space="0" w:color="000000"/>
              <w:bottom w:val="single" w:sz="4" w:space="0" w:color="000000"/>
            </w:tcBorders>
            <w:shd w:val="clear" w:color="auto" w:fill="auto"/>
          </w:tcPr>
          <w:p w14:paraId="18D8F879"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56C10389" w14:textId="77777777" w:rsidR="005041C2" w:rsidRPr="001B330E" w:rsidRDefault="005041C2" w:rsidP="001B330E">
            <w:pPr>
              <w:widowControl w:val="0"/>
              <w:pBdr>
                <w:top w:val="nil"/>
                <w:left w:val="nil"/>
                <w:bottom w:val="nil"/>
                <w:right w:val="nil"/>
                <w:between w:val="nil"/>
              </w:pBdr>
              <w:ind w:left="-113" w:firstLine="142"/>
              <w:jc w:val="right"/>
              <w:rPr>
                <w:b/>
                <w:color w:val="000000"/>
                <w:sz w:val="17"/>
                <w:szCs w:val="17"/>
              </w:rPr>
            </w:pPr>
            <w:r w:rsidRPr="001B330E">
              <w:rPr>
                <w:b/>
                <w:color w:val="000000"/>
                <w:sz w:val="17"/>
                <w:szCs w:val="17"/>
              </w:rPr>
              <w:t>(12-months ECL)</w:t>
            </w:r>
          </w:p>
        </w:tc>
        <w:tc>
          <w:tcPr>
            <w:tcW w:w="821" w:type="dxa"/>
            <w:tcBorders>
              <w:top w:val="single" w:sz="4" w:space="0" w:color="000000"/>
              <w:bottom w:val="single" w:sz="4" w:space="0" w:color="000000"/>
            </w:tcBorders>
            <w:shd w:val="clear" w:color="auto" w:fill="auto"/>
          </w:tcPr>
          <w:p w14:paraId="45B186D8"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468EF1C6" w14:textId="0C334A9E"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SICR)</w:t>
            </w:r>
          </w:p>
        </w:tc>
        <w:tc>
          <w:tcPr>
            <w:tcW w:w="821" w:type="dxa"/>
            <w:tcBorders>
              <w:top w:val="single" w:sz="4" w:space="0" w:color="000000"/>
              <w:bottom w:val="single" w:sz="4" w:space="0" w:color="000000"/>
            </w:tcBorders>
            <w:shd w:val="clear" w:color="auto" w:fill="auto"/>
          </w:tcPr>
          <w:p w14:paraId="74DE0295"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0415FD2D"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822" w:type="dxa"/>
            <w:tcBorders>
              <w:top w:val="single" w:sz="4" w:space="0" w:color="000000"/>
              <w:bottom w:val="single" w:sz="4" w:space="0" w:color="000000"/>
            </w:tcBorders>
            <w:shd w:val="clear" w:color="auto" w:fill="auto"/>
          </w:tcPr>
          <w:p w14:paraId="5A9E6251"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c>
          <w:tcPr>
            <w:tcW w:w="821" w:type="dxa"/>
            <w:tcBorders>
              <w:top w:val="single" w:sz="4" w:space="0" w:color="000000"/>
              <w:bottom w:val="single" w:sz="4" w:space="0" w:color="000000"/>
            </w:tcBorders>
          </w:tcPr>
          <w:p w14:paraId="5B26009B"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5BF22DFF"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(12-months ECL)</w:t>
            </w:r>
          </w:p>
        </w:tc>
        <w:tc>
          <w:tcPr>
            <w:tcW w:w="821" w:type="dxa"/>
            <w:tcBorders>
              <w:top w:val="single" w:sz="4" w:space="0" w:color="000000"/>
              <w:bottom w:val="single" w:sz="4" w:space="0" w:color="000000"/>
            </w:tcBorders>
          </w:tcPr>
          <w:p w14:paraId="74DB7ADB"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230520FE" w14:textId="26C25010"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SICR)</w:t>
            </w:r>
          </w:p>
        </w:tc>
        <w:tc>
          <w:tcPr>
            <w:tcW w:w="821" w:type="dxa"/>
            <w:tcBorders>
              <w:top w:val="single" w:sz="4" w:space="0" w:color="000000"/>
              <w:bottom w:val="single" w:sz="4" w:space="0" w:color="000000"/>
            </w:tcBorders>
          </w:tcPr>
          <w:p w14:paraId="16CF6673"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2D9A09C4"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822" w:type="dxa"/>
            <w:tcBorders>
              <w:top w:val="single" w:sz="4" w:space="0" w:color="000000"/>
              <w:bottom w:val="single" w:sz="4" w:space="0" w:color="000000"/>
            </w:tcBorders>
            <w:shd w:val="clear" w:color="auto" w:fill="auto"/>
          </w:tcPr>
          <w:p w14:paraId="097582B1"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r>
      <w:tr w:rsidR="005041C2" w:rsidRPr="00FB108F" w14:paraId="732FC751" w14:textId="77777777" w:rsidTr="001B330E">
        <w:trPr>
          <w:trHeight w:val="20"/>
        </w:trPr>
        <w:tc>
          <w:tcPr>
            <w:tcW w:w="2758" w:type="dxa"/>
            <w:shd w:val="clear" w:color="auto" w:fill="auto"/>
            <w:vAlign w:val="bottom"/>
          </w:tcPr>
          <w:p w14:paraId="776547BB" w14:textId="77777777" w:rsidR="005041C2" w:rsidRPr="001B330E" w:rsidRDefault="005041C2">
            <w:pPr>
              <w:widowControl w:val="0"/>
              <w:ind w:left="113" w:hanging="113"/>
              <w:rPr>
                <w:sz w:val="17"/>
                <w:szCs w:val="17"/>
              </w:rPr>
            </w:pPr>
          </w:p>
        </w:tc>
        <w:tc>
          <w:tcPr>
            <w:tcW w:w="821" w:type="dxa"/>
            <w:shd w:val="clear" w:color="auto" w:fill="auto"/>
            <w:vAlign w:val="bottom"/>
          </w:tcPr>
          <w:p w14:paraId="037DB67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08CDAB8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5539372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0F058AF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FA2131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7C2F09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C9469C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24ABF056"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4274E0DC" w14:textId="77777777" w:rsidTr="001B330E">
        <w:trPr>
          <w:trHeight w:val="20"/>
        </w:trPr>
        <w:tc>
          <w:tcPr>
            <w:tcW w:w="2758" w:type="dxa"/>
            <w:shd w:val="clear" w:color="auto" w:fill="auto"/>
            <w:vAlign w:val="bottom"/>
          </w:tcPr>
          <w:p w14:paraId="0AFE517C" w14:textId="77777777" w:rsidR="005041C2" w:rsidRPr="001B330E" w:rsidRDefault="005041C2">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Reverse repurchase agreements</w:t>
            </w:r>
          </w:p>
        </w:tc>
        <w:tc>
          <w:tcPr>
            <w:tcW w:w="821" w:type="dxa"/>
            <w:shd w:val="clear" w:color="auto" w:fill="auto"/>
            <w:vAlign w:val="bottom"/>
          </w:tcPr>
          <w:p w14:paraId="5988BA9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6D6C1E8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67DD21A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2960C51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6BE999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4916FD0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1F63D0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2E8F171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713C04EA" w14:textId="77777777" w:rsidTr="001B330E">
        <w:trPr>
          <w:trHeight w:val="20"/>
        </w:trPr>
        <w:tc>
          <w:tcPr>
            <w:tcW w:w="2758" w:type="dxa"/>
            <w:shd w:val="clear" w:color="auto" w:fill="auto"/>
            <w:vAlign w:val="bottom"/>
          </w:tcPr>
          <w:p w14:paraId="18E3312A" w14:textId="77777777" w:rsidR="005041C2" w:rsidRPr="001B330E" w:rsidRDefault="005041C2">
            <w:pPr>
              <w:widowControl w:val="0"/>
              <w:pBdr>
                <w:top w:val="nil"/>
                <w:left w:val="nil"/>
                <w:bottom w:val="nil"/>
                <w:right w:val="nil"/>
                <w:between w:val="nil"/>
              </w:pBdr>
              <w:ind w:left="113" w:hanging="113"/>
              <w:rPr>
                <w:b/>
                <w:i/>
                <w:color w:val="000000"/>
                <w:sz w:val="17"/>
                <w:szCs w:val="17"/>
              </w:rPr>
            </w:pPr>
          </w:p>
        </w:tc>
        <w:tc>
          <w:tcPr>
            <w:tcW w:w="821" w:type="dxa"/>
            <w:shd w:val="clear" w:color="auto" w:fill="auto"/>
            <w:vAlign w:val="bottom"/>
          </w:tcPr>
          <w:p w14:paraId="5EE1D88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93D46D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5ED40AC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07AEA8F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81A530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44F1080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DCD69A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7C5C0516"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0CE9F345" w14:textId="77777777" w:rsidTr="001B330E">
        <w:trPr>
          <w:trHeight w:val="20"/>
        </w:trPr>
        <w:tc>
          <w:tcPr>
            <w:tcW w:w="2758" w:type="dxa"/>
            <w:shd w:val="clear" w:color="auto" w:fill="auto"/>
            <w:vAlign w:val="bottom"/>
          </w:tcPr>
          <w:p w14:paraId="269582D0" w14:textId="48E63FFC" w:rsidR="005041C2" w:rsidRPr="001B330E" w:rsidRDefault="005041C2">
            <w:pPr>
              <w:widowControl w:val="0"/>
              <w:pBdr>
                <w:top w:val="nil"/>
                <w:left w:val="nil"/>
                <w:bottom w:val="nil"/>
                <w:right w:val="nil"/>
                <w:between w:val="nil"/>
              </w:pBdr>
              <w:ind w:left="113" w:hanging="113"/>
              <w:rPr>
                <w:b/>
                <w:color w:val="0000FF"/>
                <w:sz w:val="17"/>
                <w:szCs w:val="17"/>
              </w:rPr>
            </w:pPr>
            <w:r w:rsidRPr="001B330E">
              <w:rPr>
                <w:b/>
                <w:color w:val="000000"/>
                <w:sz w:val="17"/>
                <w:szCs w:val="17"/>
              </w:rPr>
              <w:t>At 31</w:t>
            </w:r>
            <w:r w:rsidR="00181687" w:rsidRPr="001B330E">
              <w:rPr>
                <w:b/>
                <w:color w:val="000000"/>
                <w:sz w:val="17"/>
                <w:szCs w:val="17"/>
              </w:rPr>
              <w:t> December </w:t>
            </w:r>
            <w:r w:rsidR="00541EBC">
              <w:rPr>
                <w:b/>
                <w:color w:val="000000"/>
                <w:sz w:val="17"/>
                <w:szCs w:val="17"/>
              </w:rPr>
              <w:t>2023</w:t>
            </w:r>
          </w:p>
        </w:tc>
        <w:tc>
          <w:tcPr>
            <w:tcW w:w="821" w:type="dxa"/>
            <w:shd w:val="clear" w:color="auto" w:fill="auto"/>
            <w:vAlign w:val="bottom"/>
          </w:tcPr>
          <w:p w14:paraId="50C83E8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2D12A5A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3F69690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49F02E2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F85287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26EE77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3B20EC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10EDC6A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E815C40" w14:textId="77777777" w:rsidTr="001B330E">
        <w:trPr>
          <w:trHeight w:val="20"/>
        </w:trPr>
        <w:tc>
          <w:tcPr>
            <w:tcW w:w="2758" w:type="dxa"/>
            <w:shd w:val="clear" w:color="auto" w:fill="auto"/>
            <w:vAlign w:val="bottom"/>
          </w:tcPr>
          <w:p w14:paraId="06265D4F" w14:textId="77777777" w:rsidR="005041C2" w:rsidRPr="001B330E" w:rsidRDefault="005041C2">
            <w:pPr>
              <w:widowControl w:val="0"/>
              <w:pBdr>
                <w:top w:val="nil"/>
                <w:left w:val="nil"/>
                <w:bottom w:val="nil"/>
                <w:right w:val="nil"/>
                <w:between w:val="nil"/>
              </w:pBdr>
              <w:ind w:left="113" w:hanging="113"/>
              <w:rPr>
                <w:b/>
                <w:color w:val="000000"/>
                <w:sz w:val="17"/>
                <w:szCs w:val="17"/>
              </w:rPr>
            </w:pPr>
          </w:p>
          <w:p w14:paraId="08D65EDE" w14:textId="77777777" w:rsidR="005041C2" w:rsidRPr="001B330E" w:rsidRDefault="005041C2">
            <w:pPr>
              <w:widowControl w:val="0"/>
              <w:pBdr>
                <w:top w:val="nil"/>
                <w:left w:val="nil"/>
                <w:bottom w:val="nil"/>
                <w:right w:val="nil"/>
                <w:between w:val="nil"/>
              </w:pBdr>
              <w:ind w:left="113" w:hanging="113"/>
              <w:rPr>
                <w:b/>
                <w:color w:val="000000"/>
                <w:sz w:val="17"/>
                <w:szCs w:val="17"/>
              </w:rPr>
            </w:pPr>
            <w:r w:rsidRPr="001B330E">
              <w:rPr>
                <w:i/>
                <w:color w:val="000000"/>
                <w:sz w:val="17"/>
                <w:szCs w:val="17"/>
              </w:rPr>
              <w:t>Movements with impact on credit loss allowance charge for the period:</w:t>
            </w:r>
          </w:p>
        </w:tc>
        <w:tc>
          <w:tcPr>
            <w:tcW w:w="821" w:type="dxa"/>
            <w:shd w:val="clear" w:color="auto" w:fill="auto"/>
            <w:vAlign w:val="bottom"/>
          </w:tcPr>
          <w:p w14:paraId="230222D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23FF9B2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FEFE31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50E88F0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F5BCFBC" w14:textId="77777777" w:rsidR="005041C2" w:rsidRPr="001B330E" w:rsidRDefault="005041C2">
            <w:pPr>
              <w:widowControl w:val="0"/>
              <w:pBdr>
                <w:top w:val="nil"/>
                <w:left w:val="nil"/>
                <w:bottom w:val="nil"/>
                <w:right w:val="nil"/>
                <w:between w:val="nil"/>
              </w:pBdr>
              <w:ind w:left="-360"/>
              <w:jc w:val="right"/>
              <w:rPr>
                <w:color w:val="000000"/>
                <w:sz w:val="17"/>
                <w:szCs w:val="17"/>
              </w:rPr>
            </w:pPr>
          </w:p>
        </w:tc>
        <w:tc>
          <w:tcPr>
            <w:tcW w:w="821" w:type="dxa"/>
            <w:vAlign w:val="bottom"/>
          </w:tcPr>
          <w:p w14:paraId="403D431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944143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13C743D1"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3C25409A" w14:textId="77777777" w:rsidTr="001B330E">
        <w:trPr>
          <w:trHeight w:val="20"/>
        </w:trPr>
        <w:tc>
          <w:tcPr>
            <w:tcW w:w="2758" w:type="dxa"/>
            <w:shd w:val="clear" w:color="auto" w:fill="auto"/>
            <w:vAlign w:val="bottom"/>
          </w:tcPr>
          <w:p w14:paraId="23BCED5A"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shd w:val="clear" w:color="auto" w:fill="auto"/>
            <w:vAlign w:val="bottom"/>
          </w:tcPr>
          <w:p w14:paraId="21EA50F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3530E13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2F3C810D"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3F2F9E8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271310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6B71FD9B"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0F1B020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1A29441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23F54887" w14:textId="77777777" w:rsidTr="001B330E">
        <w:trPr>
          <w:trHeight w:val="20"/>
        </w:trPr>
        <w:tc>
          <w:tcPr>
            <w:tcW w:w="2758" w:type="dxa"/>
            <w:shd w:val="clear" w:color="auto" w:fill="auto"/>
            <w:vAlign w:val="bottom"/>
          </w:tcPr>
          <w:p w14:paraId="7C2C3A85" w14:textId="77777777" w:rsidR="005041C2" w:rsidRPr="001B330E" w:rsidRDefault="005041C2">
            <w:pPr>
              <w:widowControl w:val="0"/>
              <w:pBdr>
                <w:top w:val="nil"/>
                <w:left w:val="nil"/>
                <w:bottom w:val="nil"/>
                <w:right w:val="nil"/>
                <w:between w:val="nil"/>
              </w:pBdr>
              <w:ind w:left="113" w:hanging="113"/>
              <w:rPr>
                <w:color w:val="0000FF"/>
                <w:sz w:val="17"/>
                <w:szCs w:val="17"/>
              </w:rPr>
            </w:pPr>
            <w:r w:rsidRPr="001B330E">
              <w:rPr>
                <w:color w:val="000000"/>
                <w:sz w:val="17"/>
                <w:szCs w:val="17"/>
              </w:rPr>
              <w:t>Transfers:</w:t>
            </w:r>
          </w:p>
        </w:tc>
        <w:tc>
          <w:tcPr>
            <w:tcW w:w="821" w:type="dxa"/>
            <w:shd w:val="clear" w:color="auto" w:fill="auto"/>
            <w:vAlign w:val="bottom"/>
          </w:tcPr>
          <w:p w14:paraId="47CDF3B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430B361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20276B0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2340938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628B6B2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1999CAE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3C09A15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587F3A8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145FB1B6" w14:textId="77777777" w:rsidTr="001B330E">
        <w:trPr>
          <w:trHeight w:val="20"/>
        </w:trPr>
        <w:tc>
          <w:tcPr>
            <w:tcW w:w="2758" w:type="dxa"/>
            <w:shd w:val="clear" w:color="auto" w:fill="auto"/>
            <w:vAlign w:val="bottom"/>
          </w:tcPr>
          <w:p w14:paraId="13EC23B6"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lifetime (from Stage 1 to Stage 2)</w:t>
            </w:r>
          </w:p>
        </w:tc>
        <w:tc>
          <w:tcPr>
            <w:tcW w:w="821" w:type="dxa"/>
            <w:shd w:val="clear" w:color="auto" w:fill="auto"/>
            <w:vAlign w:val="bottom"/>
          </w:tcPr>
          <w:p w14:paraId="6522A73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7D76390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3B77B7E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7AD6453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3D8A669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018DB38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342CF64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3BF07FB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64FD021B" w14:textId="77777777" w:rsidTr="001B330E">
        <w:trPr>
          <w:trHeight w:val="20"/>
        </w:trPr>
        <w:tc>
          <w:tcPr>
            <w:tcW w:w="2758" w:type="dxa"/>
            <w:shd w:val="clear" w:color="auto" w:fill="auto"/>
            <w:vAlign w:val="bottom"/>
          </w:tcPr>
          <w:p w14:paraId="36314D6A"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credit-impaired (from Stage 1 and Stage 2 to Stage 3)</w:t>
            </w:r>
          </w:p>
        </w:tc>
        <w:tc>
          <w:tcPr>
            <w:tcW w:w="821" w:type="dxa"/>
            <w:shd w:val="clear" w:color="auto" w:fill="auto"/>
            <w:vAlign w:val="bottom"/>
          </w:tcPr>
          <w:p w14:paraId="1C739B2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1A12D64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5FB2DF0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6C22A75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0D56BB3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35937B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0BC838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7B0E0C5B"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2DB66C19" w14:textId="77777777" w:rsidTr="001B330E">
        <w:trPr>
          <w:trHeight w:val="20"/>
        </w:trPr>
        <w:tc>
          <w:tcPr>
            <w:tcW w:w="2758" w:type="dxa"/>
            <w:shd w:val="clear" w:color="auto" w:fill="auto"/>
            <w:vAlign w:val="bottom"/>
          </w:tcPr>
          <w:p w14:paraId="5946BA2C"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12-months ECL (from Stage 2 and Stage 3 to Stage 1)</w:t>
            </w:r>
          </w:p>
        </w:tc>
        <w:tc>
          <w:tcPr>
            <w:tcW w:w="821" w:type="dxa"/>
            <w:shd w:val="clear" w:color="auto" w:fill="auto"/>
            <w:vAlign w:val="bottom"/>
          </w:tcPr>
          <w:p w14:paraId="0961073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6A5DE18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2EA0F19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6F623FD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315F362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CAC9EC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7555004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58F7990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0EF5D907" w14:textId="77777777" w:rsidTr="001B330E">
        <w:trPr>
          <w:trHeight w:val="20"/>
        </w:trPr>
        <w:tc>
          <w:tcPr>
            <w:tcW w:w="2758" w:type="dxa"/>
            <w:shd w:val="clear" w:color="auto" w:fill="auto"/>
            <w:vAlign w:val="bottom"/>
          </w:tcPr>
          <w:p w14:paraId="4A5DCAA8"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New originated or purchased</w:t>
            </w:r>
          </w:p>
        </w:tc>
        <w:tc>
          <w:tcPr>
            <w:tcW w:w="821" w:type="dxa"/>
            <w:shd w:val="clear" w:color="auto" w:fill="auto"/>
            <w:vAlign w:val="bottom"/>
          </w:tcPr>
          <w:p w14:paraId="0B34652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74184B2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6307D86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3F06D5E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AC4280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2403E8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5AAA9E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2F4541B0"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3E9DA795" w14:textId="77777777" w:rsidTr="001B330E">
        <w:trPr>
          <w:trHeight w:val="20"/>
        </w:trPr>
        <w:tc>
          <w:tcPr>
            <w:tcW w:w="2758" w:type="dxa"/>
            <w:shd w:val="clear" w:color="auto" w:fill="auto"/>
            <w:vAlign w:val="bottom"/>
          </w:tcPr>
          <w:p w14:paraId="08939E17"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Derecognised during the period</w:t>
            </w:r>
          </w:p>
        </w:tc>
        <w:tc>
          <w:tcPr>
            <w:tcW w:w="821" w:type="dxa"/>
            <w:shd w:val="clear" w:color="auto" w:fill="auto"/>
            <w:vAlign w:val="bottom"/>
          </w:tcPr>
          <w:p w14:paraId="222482D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6DBC4B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6BABF53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3EEBC68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E01C22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483679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02A79C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088DAFCB"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7F2C65B0" w14:textId="77777777" w:rsidTr="001B330E">
        <w:trPr>
          <w:trHeight w:val="20"/>
        </w:trPr>
        <w:tc>
          <w:tcPr>
            <w:tcW w:w="2758" w:type="dxa"/>
            <w:shd w:val="clear" w:color="auto" w:fill="auto"/>
            <w:vAlign w:val="bottom"/>
          </w:tcPr>
          <w:p w14:paraId="4132D8BE"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Changes to ECL measurement model assumptions</w:t>
            </w:r>
          </w:p>
        </w:tc>
        <w:tc>
          <w:tcPr>
            <w:tcW w:w="821" w:type="dxa"/>
            <w:shd w:val="clear" w:color="auto" w:fill="auto"/>
            <w:vAlign w:val="bottom"/>
          </w:tcPr>
          <w:p w14:paraId="56B1D42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7F24C1E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403047D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1740B32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2FF3E1E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A2DCB2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9D89E5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56406340"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173652A1" w14:textId="77777777" w:rsidTr="001B330E">
        <w:trPr>
          <w:trHeight w:val="20"/>
        </w:trPr>
        <w:tc>
          <w:tcPr>
            <w:tcW w:w="2758" w:type="dxa"/>
            <w:shd w:val="clear" w:color="auto" w:fill="auto"/>
            <w:vAlign w:val="bottom"/>
          </w:tcPr>
          <w:p w14:paraId="6546102A"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Unwinding of discounting </w:t>
            </w:r>
          </w:p>
        </w:tc>
        <w:tc>
          <w:tcPr>
            <w:tcW w:w="821" w:type="dxa"/>
            <w:shd w:val="clear" w:color="auto" w:fill="auto"/>
            <w:vAlign w:val="bottom"/>
          </w:tcPr>
          <w:p w14:paraId="4BE7059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78CDF54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048727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465B79C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451227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47A3B9D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F1E71E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7E04BF9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3CAB6D3B" w14:textId="77777777" w:rsidTr="001B330E">
        <w:trPr>
          <w:trHeight w:val="20"/>
        </w:trPr>
        <w:tc>
          <w:tcPr>
            <w:tcW w:w="2758" w:type="dxa"/>
            <w:shd w:val="clear" w:color="auto" w:fill="auto"/>
            <w:vAlign w:val="bottom"/>
          </w:tcPr>
          <w:p w14:paraId="1A0CB771"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Changes in accrued interest</w:t>
            </w:r>
          </w:p>
        </w:tc>
        <w:tc>
          <w:tcPr>
            <w:tcW w:w="821" w:type="dxa"/>
            <w:shd w:val="clear" w:color="auto" w:fill="auto"/>
            <w:vAlign w:val="bottom"/>
          </w:tcPr>
          <w:p w14:paraId="74E6326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3E2991A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5BC4CE7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28308FA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795AA1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23AADCE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CE8FAE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40EF7013"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3E520782" w14:textId="77777777" w:rsidTr="001B330E">
        <w:trPr>
          <w:trHeight w:val="20"/>
        </w:trPr>
        <w:tc>
          <w:tcPr>
            <w:tcW w:w="2758" w:type="dxa"/>
            <w:shd w:val="clear" w:color="auto" w:fill="auto"/>
            <w:vAlign w:val="bottom"/>
          </w:tcPr>
          <w:p w14:paraId="178A5298"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Other movements</w:t>
            </w:r>
          </w:p>
        </w:tc>
        <w:tc>
          <w:tcPr>
            <w:tcW w:w="821" w:type="dxa"/>
            <w:shd w:val="clear" w:color="auto" w:fill="auto"/>
            <w:vAlign w:val="bottom"/>
          </w:tcPr>
          <w:p w14:paraId="308F42B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030075B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43B0257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579A7DC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47CF28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870D60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BD05C4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437017E8"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1266C179" w14:textId="77777777" w:rsidTr="001B330E">
        <w:trPr>
          <w:trHeight w:val="20"/>
        </w:trPr>
        <w:tc>
          <w:tcPr>
            <w:tcW w:w="2758" w:type="dxa"/>
            <w:tcBorders>
              <w:bottom w:val="single" w:sz="4" w:space="0" w:color="000000"/>
            </w:tcBorders>
            <w:shd w:val="clear" w:color="auto" w:fill="auto"/>
            <w:vAlign w:val="bottom"/>
          </w:tcPr>
          <w:p w14:paraId="6BF6D31A"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tcBorders>
              <w:bottom w:val="single" w:sz="4" w:space="0" w:color="000000"/>
            </w:tcBorders>
            <w:shd w:val="clear" w:color="auto" w:fill="auto"/>
            <w:vAlign w:val="bottom"/>
          </w:tcPr>
          <w:p w14:paraId="770D743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5A30783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108090C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2F3FD28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1EB906C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3B450C6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62F8BF2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7BCA13CE"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3936A275" w14:textId="77777777" w:rsidTr="001B330E">
        <w:trPr>
          <w:trHeight w:val="20"/>
        </w:trPr>
        <w:tc>
          <w:tcPr>
            <w:tcW w:w="2758" w:type="dxa"/>
            <w:tcBorders>
              <w:top w:val="single" w:sz="4" w:space="0" w:color="000000"/>
            </w:tcBorders>
            <w:shd w:val="clear" w:color="auto" w:fill="auto"/>
            <w:vAlign w:val="bottom"/>
          </w:tcPr>
          <w:p w14:paraId="0B18E759"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tcBorders>
              <w:top w:val="single" w:sz="4" w:space="0" w:color="000000"/>
            </w:tcBorders>
            <w:shd w:val="clear" w:color="auto" w:fill="auto"/>
            <w:vAlign w:val="bottom"/>
          </w:tcPr>
          <w:p w14:paraId="556FF12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4282A13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286F51C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51A061B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45E8CE3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0F3C58E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192B0A2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23316684"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0ECA5275" w14:textId="77777777" w:rsidTr="001B330E">
        <w:trPr>
          <w:trHeight w:val="20"/>
        </w:trPr>
        <w:tc>
          <w:tcPr>
            <w:tcW w:w="2758" w:type="dxa"/>
            <w:shd w:val="clear" w:color="auto" w:fill="auto"/>
            <w:vAlign w:val="bottom"/>
          </w:tcPr>
          <w:p w14:paraId="00032771" w14:textId="77777777" w:rsidR="005041C2" w:rsidRPr="001B330E" w:rsidRDefault="005041C2">
            <w:pPr>
              <w:widowControl w:val="0"/>
              <w:pBdr>
                <w:top w:val="nil"/>
                <w:left w:val="nil"/>
                <w:bottom w:val="nil"/>
                <w:right w:val="nil"/>
                <w:between w:val="nil"/>
              </w:pBdr>
              <w:ind w:left="113" w:hanging="113"/>
              <w:rPr>
                <w:b/>
                <w:color w:val="000000"/>
                <w:sz w:val="17"/>
                <w:szCs w:val="17"/>
              </w:rPr>
            </w:pPr>
            <w:r w:rsidRPr="001B330E">
              <w:rPr>
                <w:b/>
                <w:color w:val="000000"/>
                <w:sz w:val="17"/>
                <w:szCs w:val="17"/>
              </w:rPr>
              <w:t>Total movements with impact on credit loss allowance charge for the period</w:t>
            </w:r>
          </w:p>
        </w:tc>
        <w:tc>
          <w:tcPr>
            <w:tcW w:w="821" w:type="dxa"/>
            <w:shd w:val="clear" w:color="auto" w:fill="auto"/>
            <w:vAlign w:val="bottom"/>
          </w:tcPr>
          <w:p w14:paraId="140CD1B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4AD67E7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21BECE9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30079AB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CA29A3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502E28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ABA52B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09048E0E"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7810853C" w14:textId="77777777" w:rsidTr="001B330E">
        <w:trPr>
          <w:trHeight w:val="20"/>
        </w:trPr>
        <w:tc>
          <w:tcPr>
            <w:tcW w:w="2758" w:type="dxa"/>
            <w:tcBorders>
              <w:bottom w:val="single" w:sz="4" w:space="0" w:color="000000"/>
            </w:tcBorders>
            <w:shd w:val="clear" w:color="auto" w:fill="auto"/>
            <w:vAlign w:val="bottom"/>
          </w:tcPr>
          <w:p w14:paraId="02C9FBCB"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tcBorders>
              <w:bottom w:val="single" w:sz="4" w:space="0" w:color="000000"/>
            </w:tcBorders>
            <w:shd w:val="clear" w:color="auto" w:fill="auto"/>
            <w:vAlign w:val="bottom"/>
          </w:tcPr>
          <w:p w14:paraId="19CD517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74BA4CD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2A21ECE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728B3BC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3595110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32BB98A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61DD223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7B75FA4E"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13D74E18" w14:textId="77777777" w:rsidTr="001B330E">
        <w:trPr>
          <w:trHeight w:val="20"/>
        </w:trPr>
        <w:tc>
          <w:tcPr>
            <w:tcW w:w="2758" w:type="dxa"/>
            <w:tcBorders>
              <w:top w:val="single" w:sz="4" w:space="0" w:color="000000"/>
            </w:tcBorders>
            <w:shd w:val="clear" w:color="auto" w:fill="auto"/>
            <w:vAlign w:val="bottom"/>
          </w:tcPr>
          <w:p w14:paraId="2CD4353A"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tcBorders>
              <w:top w:val="single" w:sz="4" w:space="0" w:color="000000"/>
            </w:tcBorders>
            <w:shd w:val="clear" w:color="auto" w:fill="auto"/>
            <w:vAlign w:val="bottom"/>
          </w:tcPr>
          <w:p w14:paraId="640AB13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093E295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30C56AB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209CB6F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7C42CD0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29C00B0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477355F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2EB5E9CE"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77C8DEBB" w14:textId="77777777" w:rsidTr="001B330E">
        <w:trPr>
          <w:trHeight w:val="20"/>
        </w:trPr>
        <w:tc>
          <w:tcPr>
            <w:tcW w:w="2758" w:type="dxa"/>
            <w:shd w:val="clear" w:color="auto" w:fill="auto"/>
            <w:vAlign w:val="bottom"/>
          </w:tcPr>
          <w:p w14:paraId="15F2C973" w14:textId="226E3E5B" w:rsidR="005041C2" w:rsidRPr="001B330E" w:rsidRDefault="005041C2" w:rsidP="001B330E">
            <w:pPr>
              <w:widowControl w:val="0"/>
              <w:pBdr>
                <w:top w:val="nil"/>
                <w:left w:val="nil"/>
                <w:bottom w:val="nil"/>
                <w:right w:val="nil"/>
                <w:between w:val="nil"/>
              </w:pBdr>
              <w:ind w:left="113" w:hanging="113"/>
              <w:rPr>
                <w:color w:val="000000"/>
                <w:sz w:val="17"/>
                <w:szCs w:val="17"/>
              </w:rPr>
            </w:pPr>
            <w:r w:rsidRPr="001B330E">
              <w:rPr>
                <w:i/>
                <w:color w:val="000000"/>
                <w:sz w:val="17"/>
                <w:szCs w:val="17"/>
              </w:rPr>
              <w:t>Movements without impact on credit loss allowance charge for the period:</w:t>
            </w:r>
          </w:p>
        </w:tc>
        <w:tc>
          <w:tcPr>
            <w:tcW w:w="821" w:type="dxa"/>
            <w:shd w:val="clear" w:color="auto" w:fill="auto"/>
            <w:vAlign w:val="bottom"/>
          </w:tcPr>
          <w:p w14:paraId="1E270DC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5B49672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2A085DA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1DFC9E0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830F04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687EA75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DE67C6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6E3EBC4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69E8DEFF" w14:textId="77777777" w:rsidTr="001B330E">
        <w:trPr>
          <w:trHeight w:val="20"/>
        </w:trPr>
        <w:tc>
          <w:tcPr>
            <w:tcW w:w="2758" w:type="dxa"/>
            <w:shd w:val="clear" w:color="auto" w:fill="auto"/>
            <w:vAlign w:val="bottom"/>
          </w:tcPr>
          <w:p w14:paraId="48623E47" w14:textId="77777777" w:rsidR="00FB108F" w:rsidRPr="001B330E" w:rsidRDefault="00FB108F" w:rsidP="00FB108F">
            <w:pPr>
              <w:widowControl w:val="0"/>
              <w:pBdr>
                <w:top w:val="nil"/>
                <w:left w:val="nil"/>
                <w:bottom w:val="nil"/>
                <w:right w:val="nil"/>
                <w:between w:val="nil"/>
              </w:pBdr>
              <w:ind w:left="113" w:hanging="113"/>
              <w:rPr>
                <w:i/>
                <w:color w:val="000000"/>
                <w:sz w:val="17"/>
                <w:szCs w:val="17"/>
              </w:rPr>
            </w:pPr>
          </w:p>
        </w:tc>
        <w:tc>
          <w:tcPr>
            <w:tcW w:w="821" w:type="dxa"/>
            <w:shd w:val="clear" w:color="auto" w:fill="auto"/>
            <w:vAlign w:val="bottom"/>
          </w:tcPr>
          <w:p w14:paraId="7BFBF2B2"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0B9A8CC1"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431685C8"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52170FF0"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9CB5290"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821" w:type="dxa"/>
            <w:vAlign w:val="bottom"/>
          </w:tcPr>
          <w:p w14:paraId="682B3920"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D3B6028"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49E4CF13" w14:textId="77777777" w:rsidR="00FB108F" w:rsidRPr="001B330E" w:rsidRDefault="00FB108F">
            <w:pPr>
              <w:widowControl w:val="0"/>
              <w:pBdr>
                <w:top w:val="nil"/>
                <w:left w:val="nil"/>
                <w:bottom w:val="nil"/>
                <w:right w:val="nil"/>
                <w:between w:val="nil"/>
              </w:pBdr>
              <w:jc w:val="right"/>
              <w:rPr>
                <w:color w:val="000000"/>
                <w:sz w:val="17"/>
                <w:szCs w:val="17"/>
                <w:highlight w:val="green"/>
              </w:rPr>
            </w:pPr>
          </w:p>
        </w:tc>
      </w:tr>
      <w:tr w:rsidR="005041C2" w:rsidRPr="00FB108F" w14:paraId="6DD44E9A" w14:textId="77777777" w:rsidTr="001B330E">
        <w:trPr>
          <w:trHeight w:val="20"/>
        </w:trPr>
        <w:tc>
          <w:tcPr>
            <w:tcW w:w="2758" w:type="dxa"/>
            <w:shd w:val="clear" w:color="auto" w:fill="auto"/>
            <w:vAlign w:val="bottom"/>
          </w:tcPr>
          <w:p w14:paraId="701592F5"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Write-offs</w:t>
            </w:r>
          </w:p>
        </w:tc>
        <w:tc>
          <w:tcPr>
            <w:tcW w:w="821" w:type="dxa"/>
            <w:shd w:val="clear" w:color="auto" w:fill="auto"/>
            <w:vAlign w:val="bottom"/>
          </w:tcPr>
          <w:p w14:paraId="06B3B7EB"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37A3700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140DF5EB"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769FFA6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4FC72E0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73E264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164E3F5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52DFC6A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47403741" w14:textId="77777777" w:rsidTr="001B330E">
        <w:trPr>
          <w:trHeight w:val="20"/>
        </w:trPr>
        <w:tc>
          <w:tcPr>
            <w:tcW w:w="2758" w:type="dxa"/>
            <w:shd w:val="clear" w:color="auto" w:fill="auto"/>
            <w:vAlign w:val="bottom"/>
          </w:tcPr>
          <w:p w14:paraId="04D85FA9"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FX and other movements</w:t>
            </w:r>
          </w:p>
        </w:tc>
        <w:tc>
          <w:tcPr>
            <w:tcW w:w="821" w:type="dxa"/>
            <w:shd w:val="clear" w:color="auto" w:fill="auto"/>
            <w:vAlign w:val="bottom"/>
          </w:tcPr>
          <w:p w14:paraId="7BDA97A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0BF8E9E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67318BF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72D48A0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689813B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D395A0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0C40874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22919CF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371BD8E8" w14:textId="77777777" w:rsidTr="001B330E">
        <w:trPr>
          <w:trHeight w:val="20"/>
        </w:trPr>
        <w:tc>
          <w:tcPr>
            <w:tcW w:w="2758" w:type="dxa"/>
            <w:shd w:val="clear" w:color="auto" w:fill="auto"/>
            <w:vAlign w:val="bottom"/>
          </w:tcPr>
          <w:p w14:paraId="05948BF0"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Modification of contractual cash flows</w:t>
            </w:r>
          </w:p>
        </w:tc>
        <w:tc>
          <w:tcPr>
            <w:tcW w:w="821" w:type="dxa"/>
            <w:shd w:val="clear" w:color="auto" w:fill="auto"/>
            <w:vAlign w:val="bottom"/>
          </w:tcPr>
          <w:p w14:paraId="2EC9291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7639317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0B2B763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1D635A6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ED0B20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74A88D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16F7E5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2D4E7CF0"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22946698" w14:textId="77777777" w:rsidTr="001B330E">
        <w:trPr>
          <w:trHeight w:val="20"/>
        </w:trPr>
        <w:tc>
          <w:tcPr>
            <w:tcW w:w="2758" w:type="dxa"/>
            <w:shd w:val="clear" w:color="auto" w:fill="auto"/>
            <w:vAlign w:val="bottom"/>
          </w:tcPr>
          <w:p w14:paraId="425D19D4"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Unwinding of discounting (for Stage 3)</w:t>
            </w:r>
          </w:p>
        </w:tc>
        <w:tc>
          <w:tcPr>
            <w:tcW w:w="821" w:type="dxa"/>
            <w:shd w:val="clear" w:color="auto" w:fill="auto"/>
            <w:vAlign w:val="bottom"/>
          </w:tcPr>
          <w:p w14:paraId="08B4BE9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8FFB7B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2538993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0759A3E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BB4AA5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CF8DEB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42851B6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0778063F"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003B1589" w14:textId="77777777" w:rsidTr="001B330E">
        <w:trPr>
          <w:trHeight w:val="20"/>
        </w:trPr>
        <w:tc>
          <w:tcPr>
            <w:tcW w:w="2758" w:type="dxa"/>
            <w:tcBorders>
              <w:bottom w:val="single" w:sz="4" w:space="0" w:color="000000"/>
            </w:tcBorders>
            <w:shd w:val="clear" w:color="auto" w:fill="auto"/>
            <w:vAlign w:val="bottom"/>
          </w:tcPr>
          <w:p w14:paraId="3230A88A" w14:textId="77777777" w:rsidR="005041C2" w:rsidRPr="001B330E" w:rsidRDefault="005041C2">
            <w:pPr>
              <w:widowControl w:val="0"/>
              <w:pBdr>
                <w:top w:val="nil"/>
                <w:left w:val="nil"/>
                <w:bottom w:val="nil"/>
                <w:right w:val="nil"/>
                <w:between w:val="nil"/>
              </w:pBdr>
              <w:ind w:left="113" w:hanging="113"/>
              <w:rPr>
                <w:b/>
                <w:color w:val="000000"/>
                <w:sz w:val="17"/>
                <w:szCs w:val="17"/>
              </w:rPr>
            </w:pPr>
          </w:p>
        </w:tc>
        <w:tc>
          <w:tcPr>
            <w:tcW w:w="821" w:type="dxa"/>
            <w:tcBorders>
              <w:bottom w:val="single" w:sz="4" w:space="0" w:color="000000"/>
            </w:tcBorders>
            <w:shd w:val="clear" w:color="auto" w:fill="auto"/>
            <w:vAlign w:val="bottom"/>
          </w:tcPr>
          <w:p w14:paraId="0FBE8F6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1C8F162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38521D4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413911D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338E034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6A20665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78026C7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100739A4"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42FFAA3A" w14:textId="77777777" w:rsidTr="001B330E">
        <w:trPr>
          <w:trHeight w:val="20"/>
        </w:trPr>
        <w:tc>
          <w:tcPr>
            <w:tcW w:w="2758" w:type="dxa"/>
            <w:tcBorders>
              <w:top w:val="single" w:sz="4" w:space="0" w:color="000000"/>
            </w:tcBorders>
            <w:shd w:val="clear" w:color="auto" w:fill="auto"/>
            <w:vAlign w:val="bottom"/>
          </w:tcPr>
          <w:p w14:paraId="75B5CAC9" w14:textId="77777777" w:rsidR="005041C2" w:rsidRPr="001B330E" w:rsidRDefault="005041C2">
            <w:pPr>
              <w:widowControl w:val="0"/>
              <w:pBdr>
                <w:top w:val="nil"/>
                <w:left w:val="nil"/>
                <w:bottom w:val="nil"/>
                <w:right w:val="nil"/>
                <w:between w:val="nil"/>
              </w:pBdr>
              <w:ind w:left="113" w:hanging="113"/>
              <w:rPr>
                <w:color w:val="000000"/>
                <w:sz w:val="17"/>
                <w:szCs w:val="17"/>
                <w:u w:val="single"/>
              </w:rPr>
            </w:pPr>
          </w:p>
        </w:tc>
        <w:tc>
          <w:tcPr>
            <w:tcW w:w="821" w:type="dxa"/>
            <w:tcBorders>
              <w:top w:val="single" w:sz="4" w:space="0" w:color="000000"/>
            </w:tcBorders>
            <w:shd w:val="clear" w:color="auto" w:fill="auto"/>
            <w:vAlign w:val="bottom"/>
          </w:tcPr>
          <w:p w14:paraId="5A316CB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3523AB4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346E88A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0F7C470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07A334A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1B26BD7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383E26F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43698AD3"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0139AD90" w14:textId="77777777" w:rsidTr="001B330E">
        <w:trPr>
          <w:trHeight w:val="20"/>
        </w:trPr>
        <w:tc>
          <w:tcPr>
            <w:tcW w:w="2758" w:type="dxa"/>
            <w:shd w:val="clear" w:color="auto" w:fill="auto"/>
            <w:vAlign w:val="bottom"/>
          </w:tcPr>
          <w:p w14:paraId="65324A49" w14:textId="44317393" w:rsidR="005041C2" w:rsidRPr="001B330E" w:rsidRDefault="005041C2">
            <w:pPr>
              <w:widowControl w:val="0"/>
              <w:pBdr>
                <w:top w:val="nil"/>
                <w:left w:val="nil"/>
                <w:bottom w:val="nil"/>
                <w:right w:val="nil"/>
                <w:between w:val="nil"/>
              </w:pBdr>
              <w:ind w:left="113" w:hanging="113"/>
              <w:rPr>
                <w:b/>
                <w:color w:val="000000"/>
                <w:sz w:val="17"/>
                <w:szCs w:val="17"/>
              </w:rPr>
            </w:pPr>
            <w:r w:rsidRPr="001B330E">
              <w:rPr>
                <w:b/>
                <w:color w:val="000000"/>
                <w:sz w:val="17"/>
                <w:szCs w:val="17"/>
              </w:rPr>
              <w:t>At 31</w:t>
            </w:r>
            <w:r w:rsidR="00181687" w:rsidRPr="001B330E">
              <w:rPr>
                <w:b/>
                <w:color w:val="000000"/>
                <w:sz w:val="17"/>
                <w:szCs w:val="17"/>
              </w:rPr>
              <w:t> December </w:t>
            </w:r>
            <w:r w:rsidR="00541EBC">
              <w:rPr>
                <w:b/>
                <w:color w:val="000000"/>
                <w:sz w:val="17"/>
                <w:szCs w:val="17"/>
              </w:rPr>
              <w:t>2024</w:t>
            </w:r>
          </w:p>
        </w:tc>
        <w:tc>
          <w:tcPr>
            <w:tcW w:w="821" w:type="dxa"/>
            <w:shd w:val="clear" w:color="auto" w:fill="auto"/>
            <w:vAlign w:val="bottom"/>
          </w:tcPr>
          <w:p w14:paraId="5558BCD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48517AA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78DACD0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7CF9660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97095A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2F2A9F1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125B9E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6F5A960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19C8305A" w14:textId="77777777" w:rsidTr="001B330E">
        <w:trPr>
          <w:trHeight w:val="20"/>
        </w:trPr>
        <w:tc>
          <w:tcPr>
            <w:tcW w:w="2758" w:type="dxa"/>
            <w:tcBorders>
              <w:bottom w:val="single" w:sz="12" w:space="0" w:color="000000"/>
            </w:tcBorders>
            <w:shd w:val="clear" w:color="auto" w:fill="auto"/>
            <w:vAlign w:val="bottom"/>
          </w:tcPr>
          <w:p w14:paraId="1CC410E8" w14:textId="77777777" w:rsidR="005041C2" w:rsidRPr="001B330E" w:rsidRDefault="005041C2">
            <w:pPr>
              <w:widowControl w:val="0"/>
              <w:pBdr>
                <w:top w:val="nil"/>
                <w:left w:val="nil"/>
                <w:bottom w:val="nil"/>
                <w:right w:val="nil"/>
                <w:between w:val="nil"/>
              </w:pBdr>
              <w:ind w:left="113" w:hanging="113"/>
              <w:rPr>
                <w:b/>
                <w:color w:val="000000"/>
                <w:sz w:val="17"/>
                <w:szCs w:val="17"/>
              </w:rPr>
            </w:pPr>
          </w:p>
        </w:tc>
        <w:tc>
          <w:tcPr>
            <w:tcW w:w="821" w:type="dxa"/>
            <w:tcBorders>
              <w:bottom w:val="single" w:sz="12" w:space="0" w:color="000000"/>
            </w:tcBorders>
            <w:shd w:val="clear" w:color="auto" w:fill="auto"/>
            <w:vAlign w:val="bottom"/>
          </w:tcPr>
          <w:p w14:paraId="28C9527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shd w:val="clear" w:color="auto" w:fill="auto"/>
            <w:vAlign w:val="bottom"/>
          </w:tcPr>
          <w:p w14:paraId="4E6DC82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shd w:val="clear" w:color="auto" w:fill="auto"/>
            <w:vAlign w:val="bottom"/>
          </w:tcPr>
          <w:p w14:paraId="64A480B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12" w:space="0" w:color="000000"/>
            </w:tcBorders>
            <w:shd w:val="clear" w:color="auto" w:fill="auto"/>
            <w:vAlign w:val="bottom"/>
          </w:tcPr>
          <w:p w14:paraId="15EA7D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vAlign w:val="bottom"/>
          </w:tcPr>
          <w:p w14:paraId="2BAF296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vAlign w:val="bottom"/>
          </w:tcPr>
          <w:p w14:paraId="79D4F65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vAlign w:val="bottom"/>
          </w:tcPr>
          <w:p w14:paraId="79FA525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12" w:space="0" w:color="000000"/>
            </w:tcBorders>
            <w:shd w:val="clear" w:color="auto" w:fill="auto"/>
            <w:vAlign w:val="bottom"/>
          </w:tcPr>
          <w:p w14:paraId="133600C5" w14:textId="77777777" w:rsidR="005041C2" w:rsidRPr="001B330E" w:rsidRDefault="005041C2">
            <w:pPr>
              <w:widowControl w:val="0"/>
              <w:pBdr>
                <w:top w:val="nil"/>
                <w:left w:val="nil"/>
                <w:bottom w:val="nil"/>
                <w:right w:val="nil"/>
                <w:between w:val="nil"/>
              </w:pBdr>
              <w:jc w:val="right"/>
              <w:rPr>
                <w:color w:val="000000"/>
                <w:sz w:val="17"/>
                <w:szCs w:val="17"/>
              </w:rPr>
            </w:pPr>
          </w:p>
        </w:tc>
      </w:tr>
    </w:tbl>
    <w:p w14:paraId="34737A32" w14:textId="77777777" w:rsidR="00D83E33" w:rsidRDefault="00BC4072" w:rsidP="001B330E">
      <w:pPr>
        <w:pStyle w:val="Continued"/>
      </w:pPr>
      <w:r>
        <w:lastRenderedPageBreak/>
        <w:t>8</w:t>
      </w:r>
      <w:r>
        <w:tab/>
        <w:t>Due from Other Banks (Continued)</w:t>
      </w:r>
    </w:p>
    <w:tbl>
      <w:tblPr>
        <w:tblStyle w:val="af5"/>
        <w:tblW w:w="9326" w:type="dxa"/>
        <w:tblLayout w:type="fixed"/>
        <w:tblLook w:val="0000" w:firstRow="0" w:lastRow="0" w:firstColumn="0" w:lastColumn="0" w:noHBand="0" w:noVBand="0"/>
      </w:tblPr>
      <w:tblGrid>
        <w:gridCol w:w="2791"/>
        <w:gridCol w:w="816"/>
        <w:gridCol w:w="817"/>
        <w:gridCol w:w="817"/>
        <w:gridCol w:w="817"/>
        <w:gridCol w:w="817"/>
        <w:gridCol w:w="817"/>
        <w:gridCol w:w="817"/>
        <w:gridCol w:w="817"/>
      </w:tblGrid>
      <w:tr w:rsidR="005041C2" w:rsidRPr="00FB108F" w14:paraId="065CE53B" w14:textId="77777777" w:rsidTr="001B330E">
        <w:trPr>
          <w:trHeight w:val="20"/>
        </w:trPr>
        <w:tc>
          <w:tcPr>
            <w:tcW w:w="2791" w:type="dxa"/>
            <w:shd w:val="clear" w:color="auto" w:fill="auto"/>
            <w:vAlign w:val="bottom"/>
          </w:tcPr>
          <w:p w14:paraId="4D23994B" w14:textId="77777777" w:rsidR="005041C2" w:rsidRPr="001B330E" w:rsidRDefault="005041C2">
            <w:pPr>
              <w:widowControl w:val="0"/>
              <w:pBdr>
                <w:top w:val="nil"/>
                <w:left w:val="nil"/>
                <w:bottom w:val="nil"/>
                <w:right w:val="nil"/>
                <w:between w:val="nil"/>
              </w:pBdr>
              <w:ind w:left="113" w:hanging="113"/>
              <w:rPr>
                <w:i/>
                <w:color w:val="000000"/>
                <w:sz w:val="17"/>
                <w:szCs w:val="17"/>
              </w:rPr>
            </w:pPr>
          </w:p>
        </w:tc>
        <w:tc>
          <w:tcPr>
            <w:tcW w:w="3267" w:type="dxa"/>
            <w:gridSpan w:val="4"/>
            <w:tcBorders>
              <w:bottom w:val="single" w:sz="4" w:space="0" w:color="000000"/>
            </w:tcBorders>
            <w:shd w:val="clear" w:color="auto" w:fill="auto"/>
          </w:tcPr>
          <w:p w14:paraId="69BCB6DF" w14:textId="77777777" w:rsidR="005041C2" w:rsidRPr="001B330E" w:rsidRDefault="005041C2">
            <w:pPr>
              <w:widowControl w:val="0"/>
              <w:pBdr>
                <w:top w:val="nil"/>
                <w:left w:val="nil"/>
                <w:bottom w:val="nil"/>
                <w:right w:val="nil"/>
                <w:between w:val="nil"/>
              </w:pBdr>
              <w:tabs>
                <w:tab w:val="left" w:pos="3182"/>
              </w:tabs>
              <w:ind w:left="-113"/>
              <w:jc w:val="center"/>
              <w:rPr>
                <w:b/>
                <w:color w:val="000000"/>
                <w:sz w:val="17"/>
                <w:szCs w:val="17"/>
              </w:rPr>
            </w:pPr>
            <w:r w:rsidRPr="001B330E">
              <w:rPr>
                <w:b/>
                <w:color w:val="000000"/>
                <w:sz w:val="17"/>
                <w:szCs w:val="17"/>
              </w:rPr>
              <w:t>Credit loss allowance</w:t>
            </w:r>
          </w:p>
        </w:tc>
        <w:tc>
          <w:tcPr>
            <w:tcW w:w="3268" w:type="dxa"/>
            <w:gridSpan w:val="4"/>
            <w:tcBorders>
              <w:bottom w:val="single" w:sz="4" w:space="0" w:color="000000"/>
            </w:tcBorders>
          </w:tcPr>
          <w:p w14:paraId="00097868" w14:textId="77777777" w:rsidR="005041C2" w:rsidRPr="001B330E" w:rsidRDefault="005041C2">
            <w:pPr>
              <w:widowControl w:val="0"/>
              <w:pBdr>
                <w:top w:val="nil"/>
                <w:left w:val="nil"/>
                <w:bottom w:val="nil"/>
                <w:right w:val="nil"/>
                <w:between w:val="nil"/>
              </w:pBdr>
              <w:ind w:left="-113"/>
              <w:jc w:val="center"/>
              <w:rPr>
                <w:b/>
                <w:color w:val="000000"/>
                <w:sz w:val="17"/>
                <w:szCs w:val="17"/>
              </w:rPr>
            </w:pPr>
            <w:r w:rsidRPr="001B330E">
              <w:rPr>
                <w:b/>
                <w:color w:val="000000"/>
                <w:sz w:val="17"/>
                <w:szCs w:val="17"/>
              </w:rPr>
              <w:t>Gross carrying amount</w:t>
            </w:r>
          </w:p>
        </w:tc>
      </w:tr>
      <w:tr w:rsidR="005041C2" w:rsidRPr="00FB108F" w14:paraId="07CBDC4C" w14:textId="77777777" w:rsidTr="001B330E">
        <w:trPr>
          <w:trHeight w:val="20"/>
        </w:trPr>
        <w:tc>
          <w:tcPr>
            <w:tcW w:w="2791" w:type="dxa"/>
            <w:tcBorders>
              <w:bottom w:val="single" w:sz="4" w:space="0" w:color="000000"/>
            </w:tcBorders>
            <w:shd w:val="clear" w:color="auto" w:fill="auto"/>
            <w:vAlign w:val="bottom"/>
          </w:tcPr>
          <w:p w14:paraId="34D2CBCC" w14:textId="77777777" w:rsidR="005041C2" w:rsidRPr="001B330E" w:rsidRDefault="005041C2">
            <w:pPr>
              <w:widowControl w:val="0"/>
              <w:pBdr>
                <w:top w:val="nil"/>
                <w:left w:val="nil"/>
                <w:bottom w:val="nil"/>
                <w:right w:val="nil"/>
                <w:between w:val="nil"/>
              </w:pBdr>
              <w:ind w:left="113" w:hanging="113"/>
              <w:rPr>
                <w:i/>
                <w:color w:val="000000"/>
                <w:sz w:val="17"/>
                <w:szCs w:val="17"/>
              </w:rPr>
            </w:pPr>
          </w:p>
          <w:p w14:paraId="15E11D8F" w14:textId="4AB99BC5" w:rsidR="005041C2" w:rsidRPr="001B330E" w:rsidRDefault="00313B4D">
            <w:pPr>
              <w:widowControl w:val="0"/>
              <w:pBdr>
                <w:top w:val="nil"/>
                <w:left w:val="nil"/>
                <w:bottom w:val="nil"/>
                <w:right w:val="nil"/>
                <w:between w:val="nil"/>
              </w:pBdr>
              <w:ind w:left="113" w:hanging="113"/>
              <w:rPr>
                <w:b/>
                <w:i/>
                <w:color w:val="000000"/>
                <w:sz w:val="17"/>
                <w:szCs w:val="17"/>
              </w:rPr>
            </w:pPr>
            <w:r>
              <w:rPr>
                <w:i/>
                <w:color w:val="000000"/>
                <w:sz w:val="17"/>
                <w:szCs w:val="17"/>
              </w:rPr>
              <w:t xml:space="preserve">In thousands of </w:t>
            </w:r>
            <w:r w:rsidR="002649EE">
              <w:rPr>
                <w:i/>
                <w:color w:val="000000"/>
                <w:sz w:val="17"/>
                <w:szCs w:val="17"/>
              </w:rPr>
              <w:t>EUR</w:t>
            </w:r>
          </w:p>
        </w:tc>
        <w:tc>
          <w:tcPr>
            <w:tcW w:w="816" w:type="dxa"/>
            <w:tcBorders>
              <w:top w:val="single" w:sz="4" w:space="0" w:color="000000"/>
              <w:bottom w:val="single" w:sz="4" w:space="0" w:color="000000"/>
            </w:tcBorders>
            <w:shd w:val="clear" w:color="auto" w:fill="auto"/>
          </w:tcPr>
          <w:p w14:paraId="7837AD0B"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0AF684BF" w14:textId="77777777" w:rsidR="005041C2" w:rsidRPr="001B330E" w:rsidRDefault="005041C2" w:rsidP="001B330E">
            <w:pPr>
              <w:widowControl w:val="0"/>
              <w:pBdr>
                <w:top w:val="nil"/>
                <w:left w:val="nil"/>
                <w:bottom w:val="nil"/>
                <w:right w:val="nil"/>
                <w:between w:val="nil"/>
              </w:pBdr>
              <w:ind w:left="-113" w:firstLine="142"/>
              <w:jc w:val="right"/>
              <w:rPr>
                <w:b/>
                <w:color w:val="000000"/>
                <w:sz w:val="17"/>
                <w:szCs w:val="17"/>
              </w:rPr>
            </w:pPr>
            <w:r w:rsidRPr="001B330E">
              <w:rPr>
                <w:b/>
                <w:color w:val="000000"/>
                <w:sz w:val="17"/>
                <w:szCs w:val="17"/>
              </w:rPr>
              <w:t>(12-months ECL)</w:t>
            </w:r>
          </w:p>
        </w:tc>
        <w:tc>
          <w:tcPr>
            <w:tcW w:w="817" w:type="dxa"/>
            <w:tcBorders>
              <w:top w:val="single" w:sz="4" w:space="0" w:color="000000"/>
              <w:bottom w:val="single" w:sz="4" w:space="0" w:color="000000"/>
            </w:tcBorders>
            <w:shd w:val="clear" w:color="auto" w:fill="auto"/>
          </w:tcPr>
          <w:p w14:paraId="2E4F4FB5"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33B18EB3" w14:textId="32CF206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SICR)</w:t>
            </w:r>
          </w:p>
        </w:tc>
        <w:tc>
          <w:tcPr>
            <w:tcW w:w="817" w:type="dxa"/>
            <w:tcBorders>
              <w:top w:val="single" w:sz="4" w:space="0" w:color="000000"/>
              <w:bottom w:val="single" w:sz="4" w:space="0" w:color="000000"/>
            </w:tcBorders>
            <w:shd w:val="clear" w:color="auto" w:fill="auto"/>
          </w:tcPr>
          <w:p w14:paraId="3DBC287E"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766A3DD7"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817" w:type="dxa"/>
            <w:tcBorders>
              <w:top w:val="single" w:sz="4" w:space="0" w:color="000000"/>
              <w:bottom w:val="single" w:sz="4" w:space="0" w:color="000000"/>
            </w:tcBorders>
            <w:shd w:val="clear" w:color="auto" w:fill="auto"/>
          </w:tcPr>
          <w:p w14:paraId="64D359AA"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c>
          <w:tcPr>
            <w:tcW w:w="817" w:type="dxa"/>
            <w:tcBorders>
              <w:top w:val="single" w:sz="4" w:space="0" w:color="000000"/>
              <w:bottom w:val="single" w:sz="4" w:space="0" w:color="000000"/>
            </w:tcBorders>
          </w:tcPr>
          <w:p w14:paraId="4388F5ED"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784F4F59"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(12-months ECL)</w:t>
            </w:r>
          </w:p>
        </w:tc>
        <w:tc>
          <w:tcPr>
            <w:tcW w:w="817" w:type="dxa"/>
            <w:tcBorders>
              <w:top w:val="single" w:sz="4" w:space="0" w:color="000000"/>
              <w:bottom w:val="single" w:sz="4" w:space="0" w:color="000000"/>
            </w:tcBorders>
          </w:tcPr>
          <w:p w14:paraId="15A409C3" w14:textId="77777777" w:rsidR="005041C2" w:rsidRPr="001B330E" w:rsidRDefault="005041C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51173E34" w14:textId="4F1AD21B" w:rsidR="005041C2" w:rsidRPr="001B330E" w:rsidRDefault="005041C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SICR)</w:t>
            </w:r>
          </w:p>
        </w:tc>
        <w:tc>
          <w:tcPr>
            <w:tcW w:w="817" w:type="dxa"/>
            <w:tcBorders>
              <w:top w:val="single" w:sz="4" w:space="0" w:color="000000"/>
              <w:bottom w:val="single" w:sz="4" w:space="0" w:color="000000"/>
            </w:tcBorders>
          </w:tcPr>
          <w:p w14:paraId="03BA2BDC" w14:textId="77777777" w:rsidR="005041C2" w:rsidRPr="001B330E" w:rsidRDefault="005041C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183137AB"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817" w:type="dxa"/>
            <w:tcBorders>
              <w:top w:val="single" w:sz="4" w:space="0" w:color="000000"/>
              <w:bottom w:val="single" w:sz="4" w:space="0" w:color="000000"/>
            </w:tcBorders>
            <w:shd w:val="clear" w:color="auto" w:fill="auto"/>
          </w:tcPr>
          <w:p w14:paraId="33315D0F"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r>
      <w:tr w:rsidR="005041C2" w:rsidRPr="00FB108F" w14:paraId="4016668E" w14:textId="77777777" w:rsidTr="001B330E">
        <w:trPr>
          <w:trHeight w:val="20"/>
        </w:trPr>
        <w:tc>
          <w:tcPr>
            <w:tcW w:w="2791" w:type="dxa"/>
            <w:shd w:val="clear" w:color="auto" w:fill="auto"/>
            <w:vAlign w:val="bottom"/>
          </w:tcPr>
          <w:p w14:paraId="32CF0CE7" w14:textId="77777777" w:rsidR="005041C2" w:rsidRPr="001B330E" w:rsidRDefault="005041C2">
            <w:pPr>
              <w:widowControl w:val="0"/>
              <w:ind w:left="113" w:hanging="113"/>
              <w:rPr>
                <w:sz w:val="17"/>
                <w:szCs w:val="17"/>
              </w:rPr>
            </w:pPr>
          </w:p>
        </w:tc>
        <w:tc>
          <w:tcPr>
            <w:tcW w:w="816" w:type="dxa"/>
            <w:shd w:val="clear" w:color="auto" w:fill="auto"/>
            <w:vAlign w:val="bottom"/>
          </w:tcPr>
          <w:p w14:paraId="4C2EC3B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391766D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51D0859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47A1E2F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729889A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60E4B52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4105DCD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8F6689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23AD28CB" w14:textId="77777777" w:rsidTr="001B330E">
        <w:trPr>
          <w:trHeight w:val="20"/>
        </w:trPr>
        <w:tc>
          <w:tcPr>
            <w:tcW w:w="2791" w:type="dxa"/>
            <w:shd w:val="clear" w:color="auto" w:fill="auto"/>
            <w:vAlign w:val="bottom"/>
          </w:tcPr>
          <w:p w14:paraId="3669344C" w14:textId="77777777" w:rsidR="005041C2" w:rsidRPr="001B330E" w:rsidRDefault="005041C2">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Placements with other banks</w:t>
            </w:r>
          </w:p>
        </w:tc>
        <w:tc>
          <w:tcPr>
            <w:tcW w:w="816" w:type="dxa"/>
            <w:shd w:val="clear" w:color="auto" w:fill="auto"/>
            <w:vAlign w:val="bottom"/>
          </w:tcPr>
          <w:p w14:paraId="7D0811D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9A2255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C7FAE1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6945506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391FA45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0DF04B1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567D6EA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250AA01C"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6531206B" w14:textId="77777777" w:rsidTr="001B330E">
        <w:trPr>
          <w:trHeight w:val="20"/>
        </w:trPr>
        <w:tc>
          <w:tcPr>
            <w:tcW w:w="2791" w:type="dxa"/>
            <w:shd w:val="clear" w:color="auto" w:fill="auto"/>
            <w:vAlign w:val="bottom"/>
          </w:tcPr>
          <w:p w14:paraId="4502A653" w14:textId="77777777" w:rsidR="005041C2" w:rsidRPr="001B330E" w:rsidRDefault="005041C2">
            <w:pPr>
              <w:widowControl w:val="0"/>
              <w:pBdr>
                <w:top w:val="nil"/>
                <w:left w:val="nil"/>
                <w:bottom w:val="nil"/>
                <w:right w:val="nil"/>
                <w:between w:val="nil"/>
              </w:pBdr>
              <w:ind w:left="113" w:hanging="113"/>
              <w:rPr>
                <w:b/>
                <w:i/>
                <w:color w:val="000000"/>
                <w:sz w:val="17"/>
                <w:szCs w:val="17"/>
              </w:rPr>
            </w:pPr>
          </w:p>
        </w:tc>
        <w:tc>
          <w:tcPr>
            <w:tcW w:w="816" w:type="dxa"/>
            <w:shd w:val="clear" w:color="auto" w:fill="auto"/>
            <w:vAlign w:val="bottom"/>
          </w:tcPr>
          <w:p w14:paraId="11B388E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2F98F6F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A46454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4DCAAC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1897AAF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0D86611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774721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EDFA7B1"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76BB7633" w14:textId="77777777" w:rsidTr="001B330E">
        <w:trPr>
          <w:trHeight w:val="20"/>
        </w:trPr>
        <w:tc>
          <w:tcPr>
            <w:tcW w:w="2791" w:type="dxa"/>
            <w:shd w:val="clear" w:color="auto" w:fill="auto"/>
            <w:vAlign w:val="bottom"/>
          </w:tcPr>
          <w:p w14:paraId="28B59119" w14:textId="382B9DC1" w:rsidR="005041C2" w:rsidRPr="001B330E" w:rsidRDefault="005041C2">
            <w:pPr>
              <w:widowControl w:val="0"/>
              <w:pBdr>
                <w:top w:val="nil"/>
                <w:left w:val="nil"/>
                <w:bottom w:val="nil"/>
                <w:right w:val="nil"/>
                <w:between w:val="nil"/>
              </w:pBdr>
              <w:ind w:left="113" w:hanging="113"/>
              <w:rPr>
                <w:b/>
                <w:color w:val="0000FF"/>
                <w:sz w:val="17"/>
                <w:szCs w:val="17"/>
              </w:rPr>
            </w:pPr>
            <w:r w:rsidRPr="001B330E">
              <w:rPr>
                <w:b/>
                <w:color w:val="000000"/>
                <w:sz w:val="17"/>
                <w:szCs w:val="17"/>
              </w:rPr>
              <w:t xml:space="preserve">At 1 January </w:t>
            </w:r>
            <w:r w:rsidR="00541EBC">
              <w:rPr>
                <w:b/>
                <w:color w:val="000000"/>
                <w:sz w:val="17"/>
                <w:szCs w:val="17"/>
              </w:rPr>
              <w:t>2023</w:t>
            </w:r>
          </w:p>
        </w:tc>
        <w:tc>
          <w:tcPr>
            <w:tcW w:w="816" w:type="dxa"/>
            <w:shd w:val="clear" w:color="auto" w:fill="auto"/>
            <w:vAlign w:val="bottom"/>
          </w:tcPr>
          <w:p w14:paraId="588C38F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671F6C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2D15201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E7CC62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5FDEC9A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00EBC19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6F6DE21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658692D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20837727" w14:textId="77777777" w:rsidTr="001B330E">
        <w:trPr>
          <w:trHeight w:val="20"/>
        </w:trPr>
        <w:tc>
          <w:tcPr>
            <w:tcW w:w="2791" w:type="dxa"/>
            <w:shd w:val="clear" w:color="auto" w:fill="auto"/>
            <w:vAlign w:val="bottom"/>
          </w:tcPr>
          <w:p w14:paraId="10B282A8" w14:textId="77777777" w:rsidR="005041C2" w:rsidRPr="001B330E" w:rsidRDefault="005041C2">
            <w:pPr>
              <w:widowControl w:val="0"/>
              <w:pBdr>
                <w:top w:val="nil"/>
                <w:left w:val="nil"/>
                <w:bottom w:val="nil"/>
                <w:right w:val="nil"/>
                <w:between w:val="nil"/>
              </w:pBdr>
              <w:ind w:left="113" w:hanging="113"/>
              <w:rPr>
                <w:b/>
                <w:color w:val="000000"/>
                <w:sz w:val="17"/>
                <w:szCs w:val="17"/>
              </w:rPr>
            </w:pPr>
          </w:p>
          <w:p w14:paraId="2B4B31E3" w14:textId="77777777" w:rsidR="005041C2" w:rsidRPr="001B330E" w:rsidRDefault="005041C2">
            <w:pPr>
              <w:widowControl w:val="0"/>
              <w:pBdr>
                <w:top w:val="nil"/>
                <w:left w:val="nil"/>
                <w:bottom w:val="nil"/>
                <w:right w:val="nil"/>
                <w:between w:val="nil"/>
              </w:pBdr>
              <w:ind w:left="113" w:hanging="113"/>
              <w:rPr>
                <w:b/>
                <w:color w:val="000000"/>
                <w:sz w:val="17"/>
                <w:szCs w:val="17"/>
              </w:rPr>
            </w:pPr>
            <w:r w:rsidRPr="001B330E">
              <w:rPr>
                <w:i/>
                <w:color w:val="000000"/>
                <w:sz w:val="17"/>
                <w:szCs w:val="17"/>
              </w:rPr>
              <w:t>Movements with impact on credit loss allowance charge for the period:</w:t>
            </w:r>
          </w:p>
        </w:tc>
        <w:tc>
          <w:tcPr>
            <w:tcW w:w="816" w:type="dxa"/>
            <w:shd w:val="clear" w:color="auto" w:fill="auto"/>
            <w:vAlign w:val="bottom"/>
          </w:tcPr>
          <w:p w14:paraId="7EC5968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D2D64D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51820F7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05989BE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3C19293A" w14:textId="77777777" w:rsidR="005041C2" w:rsidRPr="001B330E" w:rsidRDefault="005041C2">
            <w:pPr>
              <w:widowControl w:val="0"/>
              <w:pBdr>
                <w:top w:val="nil"/>
                <w:left w:val="nil"/>
                <w:bottom w:val="nil"/>
                <w:right w:val="nil"/>
                <w:between w:val="nil"/>
              </w:pBdr>
              <w:ind w:left="-360"/>
              <w:jc w:val="right"/>
              <w:rPr>
                <w:color w:val="000000"/>
                <w:sz w:val="17"/>
                <w:szCs w:val="17"/>
              </w:rPr>
            </w:pPr>
          </w:p>
        </w:tc>
        <w:tc>
          <w:tcPr>
            <w:tcW w:w="817" w:type="dxa"/>
            <w:vAlign w:val="bottom"/>
          </w:tcPr>
          <w:p w14:paraId="2C4F5FA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7C154B6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57F9AD8A"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849AE0C" w14:textId="77777777" w:rsidTr="001B330E">
        <w:trPr>
          <w:trHeight w:val="20"/>
        </w:trPr>
        <w:tc>
          <w:tcPr>
            <w:tcW w:w="2791" w:type="dxa"/>
            <w:shd w:val="clear" w:color="auto" w:fill="auto"/>
            <w:vAlign w:val="bottom"/>
          </w:tcPr>
          <w:p w14:paraId="6E7EDBD9"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16" w:type="dxa"/>
            <w:shd w:val="clear" w:color="auto" w:fill="auto"/>
            <w:vAlign w:val="bottom"/>
          </w:tcPr>
          <w:p w14:paraId="13C4F50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05F8649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25368E1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38F55DB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3DE4C17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0BDDD01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5784B32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18D902B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3D844615" w14:textId="77777777" w:rsidTr="001B330E">
        <w:trPr>
          <w:trHeight w:val="20"/>
        </w:trPr>
        <w:tc>
          <w:tcPr>
            <w:tcW w:w="2791" w:type="dxa"/>
            <w:shd w:val="clear" w:color="auto" w:fill="auto"/>
            <w:vAlign w:val="bottom"/>
          </w:tcPr>
          <w:p w14:paraId="1DA6E977" w14:textId="77777777" w:rsidR="005041C2" w:rsidRPr="001B330E" w:rsidRDefault="005041C2">
            <w:pPr>
              <w:widowControl w:val="0"/>
              <w:pBdr>
                <w:top w:val="nil"/>
                <w:left w:val="nil"/>
                <w:bottom w:val="nil"/>
                <w:right w:val="nil"/>
                <w:between w:val="nil"/>
              </w:pBdr>
              <w:ind w:left="113" w:hanging="113"/>
              <w:rPr>
                <w:color w:val="0000FF"/>
                <w:sz w:val="17"/>
                <w:szCs w:val="17"/>
              </w:rPr>
            </w:pPr>
            <w:r w:rsidRPr="001B330E">
              <w:rPr>
                <w:color w:val="000000"/>
                <w:sz w:val="17"/>
                <w:szCs w:val="17"/>
              </w:rPr>
              <w:t>Transfers:</w:t>
            </w:r>
          </w:p>
        </w:tc>
        <w:tc>
          <w:tcPr>
            <w:tcW w:w="816" w:type="dxa"/>
            <w:shd w:val="clear" w:color="auto" w:fill="auto"/>
            <w:vAlign w:val="bottom"/>
          </w:tcPr>
          <w:p w14:paraId="27572B4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56254E9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7043D47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753B81A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47DFD4A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70ED69D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5F02949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010BD20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51827F00" w14:textId="77777777" w:rsidTr="001B330E">
        <w:trPr>
          <w:trHeight w:val="20"/>
        </w:trPr>
        <w:tc>
          <w:tcPr>
            <w:tcW w:w="2791" w:type="dxa"/>
            <w:shd w:val="clear" w:color="auto" w:fill="auto"/>
            <w:vAlign w:val="bottom"/>
          </w:tcPr>
          <w:p w14:paraId="168165AE"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lifetime (from Stage 1 to Stage 2)</w:t>
            </w:r>
          </w:p>
        </w:tc>
        <w:tc>
          <w:tcPr>
            <w:tcW w:w="816" w:type="dxa"/>
            <w:shd w:val="clear" w:color="auto" w:fill="auto"/>
            <w:vAlign w:val="bottom"/>
          </w:tcPr>
          <w:p w14:paraId="7D267F2D"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48E9DFAD"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4F36D34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0554260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5208C5F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35A0769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67F360F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7EDBCE3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1F31C963" w14:textId="77777777" w:rsidTr="001B330E">
        <w:trPr>
          <w:trHeight w:val="20"/>
        </w:trPr>
        <w:tc>
          <w:tcPr>
            <w:tcW w:w="2791" w:type="dxa"/>
            <w:shd w:val="clear" w:color="auto" w:fill="auto"/>
            <w:vAlign w:val="bottom"/>
          </w:tcPr>
          <w:p w14:paraId="164F023D"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credit-impaired (from Stage 1 and Stage 2 to Stage 3)</w:t>
            </w:r>
          </w:p>
        </w:tc>
        <w:tc>
          <w:tcPr>
            <w:tcW w:w="816" w:type="dxa"/>
            <w:shd w:val="clear" w:color="auto" w:fill="auto"/>
            <w:vAlign w:val="bottom"/>
          </w:tcPr>
          <w:p w14:paraId="70158C7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05BA94D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61EBB27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2A2AADA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57CDC49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0BFABDE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2D5313F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6732B40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6F4F8F14" w14:textId="77777777" w:rsidTr="001B330E">
        <w:trPr>
          <w:trHeight w:val="20"/>
        </w:trPr>
        <w:tc>
          <w:tcPr>
            <w:tcW w:w="2791" w:type="dxa"/>
            <w:shd w:val="clear" w:color="auto" w:fill="auto"/>
            <w:vAlign w:val="bottom"/>
          </w:tcPr>
          <w:p w14:paraId="5407A811"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12-months ECL (from Stage 2 and Stage 3 to Stage 1)</w:t>
            </w:r>
          </w:p>
        </w:tc>
        <w:tc>
          <w:tcPr>
            <w:tcW w:w="816" w:type="dxa"/>
            <w:shd w:val="clear" w:color="auto" w:fill="auto"/>
            <w:vAlign w:val="bottom"/>
          </w:tcPr>
          <w:p w14:paraId="44C76A7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314D473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7CB1712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3E4EC82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7EBC55F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1A3B294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6AAB00A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3D43DBA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174C16D2" w14:textId="77777777" w:rsidTr="001B330E">
        <w:trPr>
          <w:trHeight w:val="20"/>
        </w:trPr>
        <w:tc>
          <w:tcPr>
            <w:tcW w:w="2791" w:type="dxa"/>
            <w:shd w:val="clear" w:color="auto" w:fill="auto"/>
            <w:vAlign w:val="bottom"/>
          </w:tcPr>
          <w:p w14:paraId="5A30EF8B"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New originated or purchased</w:t>
            </w:r>
          </w:p>
        </w:tc>
        <w:tc>
          <w:tcPr>
            <w:tcW w:w="816" w:type="dxa"/>
            <w:shd w:val="clear" w:color="auto" w:fill="auto"/>
            <w:vAlign w:val="bottom"/>
          </w:tcPr>
          <w:p w14:paraId="22629C5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C13635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4ED7800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C57BB4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17CAEFF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5F63C13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10F97FC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4EA7D2BA"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6AAD91B2" w14:textId="77777777" w:rsidTr="001B330E">
        <w:trPr>
          <w:trHeight w:val="20"/>
        </w:trPr>
        <w:tc>
          <w:tcPr>
            <w:tcW w:w="2791" w:type="dxa"/>
            <w:shd w:val="clear" w:color="auto" w:fill="auto"/>
            <w:vAlign w:val="bottom"/>
          </w:tcPr>
          <w:p w14:paraId="5D142352"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Derecognised during the period</w:t>
            </w:r>
          </w:p>
        </w:tc>
        <w:tc>
          <w:tcPr>
            <w:tcW w:w="816" w:type="dxa"/>
            <w:shd w:val="clear" w:color="auto" w:fill="auto"/>
            <w:vAlign w:val="bottom"/>
          </w:tcPr>
          <w:p w14:paraId="689BE0F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F13792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691C3AF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B0FE9F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2E95CF1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4436FF1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0CE5361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5058687E"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36FA67C4" w14:textId="77777777" w:rsidTr="001B330E">
        <w:trPr>
          <w:trHeight w:val="20"/>
        </w:trPr>
        <w:tc>
          <w:tcPr>
            <w:tcW w:w="2791" w:type="dxa"/>
            <w:shd w:val="clear" w:color="auto" w:fill="auto"/>
            <w:vAlign w:val="bottom"/>
          </w:tcPr>
          <w:p w14:paraId="1FBB5765"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Changes to ECL measurement model assumptions</w:t>
            </w:r>
          </w:p>
        </w:tc>
        <w:tc>
          <w:tcPr>
            <w:tcW w:w="816" w:type="dxa"/>
            <w:shd w:val="clear" w:color="auto" w:fill="auto"/>
            <w:vAlign w:val="bottom"/>
          </w:tcPr>
          <w:p w14:paraId="71148F9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CD55BC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602F163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09753BC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38CC69D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1504C42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72E5F9B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BA9AA6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2177F89E" w14:textId="77777777" w:rsidTr="001B330E">
        <w:trPr>
          <w:trHeight w:val="20"/>
        </w:trPr>
        <w:tc>
          <w:tcPr>
            <w:tcW w:w="2791" w:type="dxa"/>
            <w:shd w:val="clear" w:color="auto" w:fill="auto"/>
            <w:vAlign w:val="bottom"/>
          </w:tcPr>
          <w:p w14:paraId="3F6B8EEA"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Unwinding of discounting </w:t>
            </w:r>
          </w:p>
        </w:tc>
        <w:tc>
          <w:tcPr>
            <w:tcW w:w="816" w:type="dxa"/>
            <w:shd w:val="clear" w:color="auto" w:fill="auto"/>
            <w:vAlign w:val="bottom"/>
          </w:tcPr>
          <w:p w14:paraId="1C56702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B18D35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4270AEA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7E86A9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3B7A51C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5E9F8AF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29A4145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6ADB7FC"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60293E1" w14:textId="77777777" w:rsidTr="001B330E">
        <w:trPr>
          <w:trHeight w:val="20"/>
        </w:trPr>
        <w:tc>
          <w:tcPr>
            <w:tcW w:w="2791" w:type="dxa"/>
            <w:shd w:val="clear" w:color="auto" w:fill="auto"/>
            <w:vAlign w:val="bottom"/>
          </w:tcPr>
          <w:p w14:paraId="12899679"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Changes in accrued interest</w:t>
            </w:r>
          </w:p>
        </w:tc>
        <w:tc>
          <w:tcPr>
            <w:tcW w:w="816" w:type="dxa"/>
            <w:shd w:val="clear" w:color="auto" w:fill="auto"/>
            <w:vAlign w:val="bottom"/>
          </w:tcPr>
          <w:p w14:paraId="435E67F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7C7379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50AB581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585E6C5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62DA532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6CB4086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51B35B7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68C7D9FC"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09B1ACE1" w14:textId="77777777" w:rsidTr="001B330E">
        <w:trPr>
          <w:trHeight w:val="20"/>
        </w:trPr>
        <w:tc>
          <w:tcPr>
            <w:tcW w:w="2791" w:type="dxa"/>
            <w:shd w:val="clear" w:color="auto" w:fill="auto"/>
            <w:vAlign w:val="bottom"/>
          </w:tcPr>
          <w:p w14:paraId="3BEFF7D4"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Other movements</w:t>
            </w:r>
          </w:p>
        </w:tc>
        <w:tc>
          <w:tcPr>
            <w:tcW w:w="816" w:type="dxa"/>
            <w:shd w:val="clear" w:color="auto" w:fill="auto"/>
            <w:vAlign w:val="bottom"/>
          </w:tcPr>
          <w:p w14:paraId="000358B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B6FDA2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2D11947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6796FA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400E5DF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023849B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446FC72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0F389B7C"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3394714D" w14:textId="77777777" w:rsidTr="001B330E">
        <w:trPr>
          <w:trHeight w:val="20"/>
        </w:trPr>
        <w:tc>
          <w:tcPr>
            <w:tcW w:w="2791" w:type="dxa"/>
            <w:tcBorders>
              <w:bottom w:val="single" w:sz="4" w:space="0" w:color="000000"/>
            </w:tcBorders>
            <w:shd w:val="clear" w:color="auto" w:fill="auto"/>
            <w:vAlign w:val="bottom"/>
          </w:tcPr>
          <w:p w14:paraId="0041FC7F"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16" w:type="dxa"/>
            <w:tcBorders>
              <w:bottom w:val="single" w:sz="4" w:space="0" w:color="000000"/>
            </w:tcBorders>
            <w:shd w:val="clear" w:color="auto" w:fill="auto"/>
            <w:vAlign w:val="bottom"/>
          </w:tcPr>
          <w:p w14:paraId="7E8055E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1C6D2B0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2317BFB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6122E76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vAlign w:val="bottom"/>
          </w:tcPr>
          <w:p w14:paraId="393FEF9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vAlign w:val="bottom"/>
          </w:tcPr>
          <w:p w14:paraId="64D8524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vAlign w:val="bottom"/>
          </w:tcPr>
          <w:p w14:paraId="59D9F58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19AD975C"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37565512" w14:textId="77777777" w:rsidTr="001B330E">
        <w:trPr>
          <w:trHeight w:val="20"/>
        </w:trPr>
        <w:tc>
          <w:tcPr>
            <w:tcW w:w="2791" w:type="dxa"/>
            <w:tcBorders>
              <w:top w:val="single" w:sz="4" w:space="0" w:color="000000"/>
            </w:tcBorders>
            <w:shd w:val="clear" w:color="auto" w:fill="auto"/>
            <w:vAlign w:val="bottom"/>
          </w:tcPr>
          <w:p w14:paraId="60CB5862"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16" w:type="dxa"/>
            <w:tcBorders>
              <w:top w:val="single" w:sz="4" w:space="0" w:color="000000"/>
            </w:tcBorders>
            <w:shd w:val="clear" w:color="auto" w:fill="auto"/>
            <w:vAlign w:val="bottom"/>
          </w:tcPr>
          <w:p w14:paraId="740A976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555ED7D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328ACDA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11FFB61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vAlign w:val="bottom"/>
          </w:tcPr>
          <w:p w14:paraId="0E49AA6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vAlign w:val="bottom"/>
          </w:tcPr>
          <w:p w14:paraId="3B1B40E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vAlign w:val="bottom"/>
          </w:tcPr>
          <w:p w14:paraId="1F95D80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528E4768"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7767357F" w14:textId="77777777" w:rsidTr="001B330E">
        <w:trPr>
          <w:trHeight w:val="20"/>
        </w:trPr>
        <w:tc>
          <w:tcPr>
            <w:tcW w:w="2791" w:type="dxa"/>
            <w:shd w:val="clear" w:color="auto" w:fill="auto"/>
            <w:vAlign w:val="bottom"/>
          </w:tcPr>
          <w:p w14:paraId="060A69C9" w14:textId="77777777" w:rsidR="005041C2" w:rsidRPr="001B330E" w:rsidRDefault="005041C2">
            <w:pPr>
              <w:widowControl w:val="0"/>
              <w:pBdr>
                <w:top w:val="nil"/>
                <w:left w:val="nil"/>
                <w:bottom w:val="nil"/>
                <w:right w:val="nil"/>
                <w:between w:val="nil"/>
              </w:pBdr>
              <w:ind w:left="113" w:hanging="113"/>
              <w:rPr>
                <w:b/>
                <w:color w:val="000000"/>
                <w:sz w:val="17"/>
                <w:szCs w:val="17"/>
              </w:rPr>
            </w:pPr>
            <w:r w:rsidRPr="001B330E">
              <w:rPr>
                <w:b/>
                <w:color w:val="000000"/>
                <w:sz w:val="17"/>
                <w:szCs w:val="17"/>
              </w:rPr>
              <w:t>Total movements with impact on credit loss allowance charge for the period</w:t>
            </w:r>
          </w:p>
        </w:tc>
        <w:tc>
          <w:tcPr>
            <w:tcW w:w="816" w:type="dxa"/>
            <w:shd w:val="clear" w:color="auto" w:fill="auto"/>
            <w:vAlign w:val="bottom"/>
          </w:tcPr>
          <w:p w14:paraId="5888FA1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9F0304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2E791CC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751402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47377F7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372168C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17BE3AE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7E716EB"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EA1433B" w14:textId="77777777" w:rsidTr="001B330E">
        <w:trPr>
          <w:trHeight w:val="20"/>
        </w:trPr>
        <w:tc>
          <w:tcPr>
            <w:tcW w:w="2791" w:type="dxa"/>
            <w:tcBorders>
              <w:bottom w:val="single" w:sz="4" w:space="0" w:color="000000"/>
            </w:tcBorders>
            <w:shd w:val="clear" w:color="auto" w:fill="auto"/>
            <w:vAlign w:val="bottom"/>
          </w:tcPr>
          <w:p w14:paraId="4D7C3A5A"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16" w:type="dxa"/>
            <w:tcBorders>
              <w:bottom w:val="single" w:sz="4" w:space="0" w:color="000000"/>
            </w:tcBorders>
            <w:shd w:val="clear" w:color="auto" w:fill="auto"/>
            <w:vAlign w:val="bottom"/>
          </w:tcPr>
          <w:p w14:paraId="31D77A3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327882E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544363A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38523E2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vAlign w:val="bottom"/>
          </w:tcPr>
          <w:p w14:paraId="46F005C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vAlign w:val="bottom"/>
          </w:tcPr>
          <w:p w14:paraId="0119B21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vAlign w:val="bottom"/>
          </w:tcPr>
          <w:p w14:paraId="51D1717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6AFBF2DF"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646761ED" w14:textId="77777777" w:rsidTr="001B330E">
        <w:trPr>
          <w:trHeight w:val="20"/>
        </w:trPr>
        <w:tc>
          <w:tcPr>
            <w:tcW w:w="2791" w:type="dxa"/>
            <w:tcBorders>
              <w:top w:val="single" w:sz="4" w:space="0" w:color="000000"/>
            </w:tcBorders>
            <w:shd w:val="clear" w:color="auto" w:fill="auto"/>
            <w:vAlign w:val="bottom"/>
          </w:tcPr>
          <w:p w14:paraId="6B9D0FC3"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16" w:type="dxa"/>
            <w:tcBorders>
              <w:top w:val="single" w:sz="4" w:space="0" w:color="000000"/>
            </w:tcBorders>
            <w:shd w:val="clear" w:color="auto" w:fill="auto"/>
            <w:vAlign w:val="bottom"/>
          </w:tcPr>
          <w:p w14:paraId="0372AA2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60F7170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023C28F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58FD2E8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vAlign w:val="bottom"/>
          </w:tcPr>
          <w:p w14:paraId="7A9C8C4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vAlign w:val="bottom"/>
          </w:tcPr>
          <w:p w14:paraId="62BDFF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vAlign w:val="bottom"/>
          </w:tcPr>
          <w:p w14:paraId="2E02490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28B9365D"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24BF1B42" w14:textId="77777777" w:rsidTr="001B330E">
        <w:trPr>
          <w:trHeight w:val="20"/>
        </w:trPr>
        <w:tc>
          <w:tcPr>
            <w:tcW w:w="2791" w:type="dxa"/>
            <w:shd w:val="clear" w:color="auto" w:fill="auto"/>
            <w:vAlign w:val="bottom"/>
          </w:tcPr>
          <w:p w14:paraId="35FE99CF" w14:textId="0FCA6BE5" w:rsidR="005041C2" w:rsidRPr="001B330E" w:rsidRDefault="005041C2" w:rsidP="001B330E">
            <w:pPr>
              <w:widowControl w:val="0"/>
              <w:pBdr>
                <w:top w:val="nil"/>
                <w:left w:val="nil"/>
                <w:bottom w:val="nil"/>
                <w:right w:val="nil"/>
                <w:between w:val="nil"/>
              </w:pBdr>
              <w:ind w:left="113" w:hanging="113"/>
              <w:rPr>
                <w:color w:val="000000"/>
                <w:sz w:val="17"/>
                <w:szCs w:val="17"/>
              </w:rPr>
            </w:pPr>
            <w:r w:rsidRPr="001B330E">
              <w:rPr>
                <w:i/>
                <w:color w:val="000000"/>
                <w:sz w:val="17"/>
                <w:szCs w:val="17"/>
              </w:rPr>
              <w:t>Movements without impact on credit loss allowance charge for the period:</w:t>
            </w:r>
          </w:p>
        </w:tc>
        <w:tc>
          <w:tcPr>
            <w:tcW w:w="816" w:type="dxa"/>
            <w:shd w:val="clear" w:color="auto" w:fill="auto"/>
            <w:vAlign w:val="bottom"/>
          </w:tcPr>
          <w:p w14:paraId="035F726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7FB4382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3FDAF12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4D616B6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343A643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3F234A07"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47DBC34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54DFB21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607B12E9" w14:textId="77777777" w:rsidTr="00FB108F">
        <w:trPr>
          <w:trHeight w:val="20"/>
        </w:trPr>
        <w:tc>
          <w:tcPr>
            <w:tcW w:w="2791" w:type="dxa"/>
            <w:shd w:val="clear" w:color="auto" w:fill="auto"/>
            <w:vAlign w:val="bottom"/>
          </w:tcPr>
          <w:p w14:paraId="17794A2F" w14:textId="77777777" w:rsidR="00FB108F" w:rsidRPr="00FB108F" w:rsidRDefault="00FB108F" w:rsidP="00FB108F">
            <w:pPr>
              <w:widowControl w:val="0"/>
              <w:pBdr>
                <w:top w:val="nil"/>
                <w:left w:val="nil"/>
                <w:bottom w:val="nil"/>
                <w:right w:val="nil"/>
                <w:between w:val="nil"/>
              </w:pBdr>
              <w:ind w:left="113" w:hanging="113"/>
              <w:rPr>
                <w:i/>
                <w:color w:val="000000"/>
                <w:sz w:val="17"/>
                <w:szCs w:val="17"/>
              </w:rPr>
            </w:pPr>
          </w:p>
        </w:tc>
        <w:tc>
          <w:tcPr>
            <w:tcW w:w="816" w:type="dxa"/>
            <w:shd w:val="clear" w:color="auto" w:fill="auto"/>
            <w:vAlign w:val="bottom"/>
          </w:tcPr>
          <w:p w14:paraId="231FBE4C"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13D43F8E"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5096EB2C"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48C8E6DA"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17" w:type="dxa"/>
            <w:vAlign w:val="bottom"/>
          </w:tcPr>
          <w:p w14:paraId="5E4D1A4D"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17" w:type="dxa"/>
            <w:vAlign w:val="bottom"/>
          </w:tcPr>
          <w:p w14:paraId="4EF6E565"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17" w:type="dxa"/>
            <w:vAlign w:val="bottom"/>
          </w:tcPr>
          <w:p w14:paraId="70CB4355"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40E30672"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r>
      <w:tr w:rsidR="005041C2" w:rsidRPr="00FB108F" w14:paraId="1F29BF69" w14:textId="77777777" w:rsidTr="001B330E">
        <w:trPr>
          <w:trHeight w:val="20"/>
        </w:trPr>
        <w:tc>
          <w:tcPr>
            <w:tcW w:w="2791" w:type="dxa"/>
            <w:shd w:val="clear" w:color="auto" w:fill="auto"/>
            <w:vAlign w:val="bottom"/>
          </w:tcPr>
          <w:p w14:paraId="528567BA"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Write-offs</w:t>
            </w:r>
          </w:p>
        </w:tc>
        <w:tc>
          <w:tcPr>
            <w:tcW w:w="816" w:type="dxa"/>
            <w:shd w:val="clear" w:color="auto" w:fill="auto"/>
            <w:vAlign w:val="bottom"/>
          </w:tcPr>
          <w:p w14:paraId="62E91F9D"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246EAA1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44802F5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04A3ECA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74BD0C3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1389DC9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2AE1560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21ADAF4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57606354" w14:textId="77777777" w:rsidTr="001B330E">
        <w:trPr>
          <w:trHeight w:val="20"/>
        </w:trPr>
        <w:tc>
          <w:tcPr>
            <w:tcW w:w="2791" w:type="dxa"/>
            <w:shd w:val="clear" w:color="auto" w:fill="auto"/>
            <w:vAlign w:val="bottom"/>
          </w:tcPr>
          <w:p w14:paraId="1FA0F4B7"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Foreign exchange translation and other movements</w:t>
            </w:r>
          </w:p>
        </w:tc>
        <w:tc>
          <w:tcPr>
            <w:tcW w:w="816" w:type="dxa"/>
            <w:shd w:val="clear" w:color="auto" w:fill="auto"/>
            <w:vAlign w:val="bottom"/>
          </w:tcPr>
          <w:p w14:paraId="7CD8D49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256082F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028D1CF8"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7A9D046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5025670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45EF55D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vAlign w:val="bottom"/>
          </w:tcPr>
          <w:p w14:paraId="09BCACB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17" w:type="dxa"/>
            <w:shd w:val="clear" w:color="auto" w:fill="auto"/>
            <w:vAlign w:val="bottom"/>
          </w:tcPr>
          <w:p w14:paraId="263B98C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6845F890" w14:textId="77777777" w:rsidTr="001B330E">
        <w:trPr>
          <w:trHeight w:val="20"/>
        </w:trPr>
        <w:tc>
          <w:tcPr>
            <w:tcW w:w="2791" w:type="dxa"/>
            <w:shd w:val="clear" w:color="auto" w:fill="auto"/>
            <w:vAlign w:val="bottom"/>
          </w:tcPr>
          <w:p w14:paraId="27CF7C56"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Modification of contractual cash flows</w:t>
            </w:r>
          </w:p>
        </w:tc>
        <w:tc>
          <w:tcPr>
            <w:tcW w:w="816" w:type="dxa"/>
            <w:shd w:val="clear" w:color="auto" w:fill="auto"/>
            <w:vAlign w:val="bottom"/>
          </w:tcPr>
          <w:p w14:paraId="5DE1BB8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7E3B3B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572112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408DC4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68073B8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78839F1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6C7AB7D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AEB19B5"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6E169432" w14:textId="77777777" w:rsidTr="001B330E">
        <w:trPr>
          <w:trHeight w:val="20"/>
        </w:trPr>
        <w:tc>
          <w:tcPr>
            <w:tcW w:w="2791" w:type="dxa"/>
            <w:shd w:val="clear" w:color="auto" w:fill="auto"/>
            <w:vAlign w:val="bottom"/>
          </w:tcPr>
          <w:p w14:paraId="5F5D94E9"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Unwinding of discounting for Stage 3 assets</w:t>
            </w:r>
          </w:p>
        </w:tc>
        <w:tc>
          <w:tcPr>
            <w:tcW w:w="816" w:type="dxa"/>
            <w:shd w:val="clear" w:color="auto" w:fill="auto"/>
            <w:vAlign w:val="bottom"/>
          </w:tcPr>
          <w:p w14:paraId="24269E5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89628F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3AE0A4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6CE414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64761A5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21DE99A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73B9B87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36E79A48"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18F99014" w14:textId="77777777" w:rsidTr="001B330E">
        <w:trPr>
          <w:trHeight w:val="20"/>
        </w:trPr>
        <w:tc>
          <w:tcPr>
            <w:tcW w:w="2791" w:type="dxa"/>
            <w:tcBorders>
              <w:bottom w:val="single" w:sz="4" w:space="0" w:color="000000"/>
            </w:tcBorders>
            <w:shd w:val="clear" w:color="auto" w:fill="auto"/>
            <w:vAlign w:val="bottom"/>
          </w:tcPr>
          <w:p w14:paraId="73402C69" w14:textId="77777777" w:rsidR="005041C2" w:rsidRPr="001B330E" w:rsidRDefault="005041C2">
            <w:pPr>
              <w:widowControl w:val="0"/>
              <w:pBdr>
                <w:top w:val="nil"/>
                <w:left w:val="nil"/>
                <w:bottom w:val="nil"/>
                <w:right w:val="nil"/>
                <w:between w:val="nil"/>
              </w:pBdr>
              <w:ind w:left="113" w:hanging="113"/>
              <w:rPr>
                <w:b/>
                <w:color w:val="000000"/>
                <w:sz w:val="17"/>
                <w:szCs w:val="17"/>
              </w:rPr>
            </w:pPr>
          </w:p>
        </w:tc>
        <w:tc>
          <w:tcPr>
            <w:tcW w:w="816" w:type="dxa"/>
            <w:tcBorders>
              <w:bottom w:val="single" w:sz="4" w:space="0" w:color="000000"/>
            </w:tcBorders>
            <w:shd w:val="clear" w:color="auto" w:fill="auto"/>
            <w:vAlign w:val="bottom"/>
          </w:tcPr>
          <w:p w14:paraId="7FF4A7D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67D89C8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7BF9DFC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3C09BA7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vAlign w:val="bottom"/>
          </w:tcPr>
          <w:p w14:paraId="41DB634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vAlign w:val="bottom"/>
          </w:tcPr>
          <w:p w14:paraId="187D250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vAlign w:val="bottom"/>
          </w:tcPr>
          <w:p w14:paraId="1401CC1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4" w:space="0" w:color="000000"/>
            </w:tcBorders>
            <w:shd w:val="clear" w:color="auto" w:fill="auto"/>
            <w:vAlign w:val="bottom"/>
          </w:tcPr>
          <w:p w14:paraId="23FF6CB1"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0A126C7A" w14:textId="77777777" w:rsidTr="001B330E">
        <w:trPr>
          <w:trHeight w:val="20"/>
        </w:trPr>
        <w:tc>
          <w:tcPr>
            <w:tcW w:w="2791" w:type="dxa"/>
            <w:tcBorders>
              <w:top w:val="single" w:sz="4" w:space="0" w:color="000000"/>
            </w:tcBorders>
            <w:shd w:val="clear" w:color="auto" w:fill="auto"/>
            <w:vAlign w:val="bottom"/>
          </w:tcPr>
          <w:p w14:paraId="39191792" w14:textId="77777777" w:rsidR="005041C2" w:rsidRPr="001B330E" w:rsidRDefault="005041C2">
            <w:pPr>
              <w:widowControl w:val="0"/>
              <w:pBdr>
                <w:top w:val="nil"/>
                <w:left w:val="nil"/>
                <w:bottom w:val="nil"/>
                <w:right w:val="nil"/>
                <w:between w:val="nil"/>
              </w:pBdr>
              <w:ind w:left="113" w:hanging="113"/>
              <w:rPr>
                <w:color w:val="000000"/>
                <w:sz w:val="17"/>
                <w:szCs w:val="17"/>
                <w:u w:val="single"/>
              </w:rPr>
            </w:pPr>
          </w:p>
        </w:tc>
        <w:tc>
          <w:tcPr>
            <w:tcW w:w="816" w:type="dxa"/>
            <w:tcBorders>
              <w:top w:val="single" w:sz="4" w:space="0" w:color="000000"/>
            </w:tcBorders>
            <w:shd w:val="clear" w:color="auto" w:fill="auto"/>
            <w:vAlign w:val="bottom"/>
          </w:tcPr>
          <w:p w14:paraId="12AA20B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23B6F7A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3D47D1A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0743DE6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vAlign w:val="bottom"/>
          </w:tcPr>
          <w:p w14:paraId="0EBD57B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vAlign w:val="bottom"/>
          </w:tcPr>
          <w:p w14:paraId="10DBD19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vAlign w:val="bottom"/>
          </w:tcPr>
          <w:p w14:paraId="5C0559B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top w:val="single" w:sz="4" w:space="0" w:color="000000"/>
            </w:tcBorders>
            <w:shd w:val="clear" w:color="auto" w:fill="auto"/>
            <w:vAlign w:val="bottom"/>
          </w:tcPr>
          <w:p w14:paraId="544F879D"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6C745AEE" w14:textId="77777777" w:rsidTr="001B330E">
        <w:trPr>
          <w:trHeight w:val="20"/>
        </w:trPr>
        <w:tc>
          <w:tcPr>
            <w:tcW w:w="2791" w:type="dxa"/>
            <w:shd w:val="clear" w:color="auto" w:fill="auto"/>
            <w:vAlign w:val="bottom"/>
          </w:tcPr>
          <w:p w14:paraId="7FD84102" w14:textId="7C4FB64C" w:rsidR="005041C2" w:rsidRPr="001B330E" w:rsidRDefault="005041C2">
            <w:pPr>
              <w:widowControl w:val="0"/>
              <w:pBdr>
                <w:top w:val="nil"/>
                <w:left w:val="nil"/>
                <w:bottom w:val="nil"/>
                <w:right w:val="nil"/>
                <w:between w:val="nil"/>
              </w:pBdr>
              <w:ind w:left="113" w:hanging="113"/>
              <w:rPr>
                <w:b/>
                <w:color w:val="000000"/>
                <w:sz w:val="17"/>
                <w:szCs w:val="17"/>
              </w:rPr>
            </w:pPr>
            <w:r w:rsidRPr="001B330E">
              <w:rPr>
                <w:b/>
                <w:color w:val="000000"/>
                <w:sz w:val="17"/>
                <w:szCs w:val="17"/>
              </w:rPr>
              <w:t>At 31</w:t>
            </w:r>
            <w:r w:rsidR="00181687" w:rsidRPr="001B330E">
              <w:rPr>
                <w:b/>
                <w:color w:val="000000"/>
                <w:sz w:val="17"/>
                <w:szCs w:val="17"/>
              </w:rPr>
              <w:t> December </w:t>
            </w:r>
            <w:r w:rsidR="00541EBC">
              <w:rPr>
                <w:b/>
                <w:color w:val="000000"/>
                <w:sz w:val="17"/>
                <w:szCs w:val="17"/>
              </w:rPr>
              <w:t>2023</w:t>
            </w:r>
          </w:p>
        </w:tc>
        <w:tc>
          <w:tcPr>
            <w:tcW w:w="816" w:type="dxa"/>
            <w:shd w:val="clear" w:color="auto" w:fill="auto"/>
            <w:vAlign w:val="bottom"/>
          </w:tcPr>
          <w:p w14:paraId="2642EEE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70D2D8A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63CF1B6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1B5AD48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0BDB658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7AD30D9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vAlign w:val="bottom"/>
          </w:tcPr>
          <w:p w14:paraId="0DBD250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shd w:val="clear" w:color="auto" w:fill="auto"/>
            <w:vAlign w:val="bottom"/>
          </w:tcPr>
          <w:p w14:paraId="2C419EC3"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2A72C328" w14:textId="77777777" w:rsidTr="001B330E">
        <w:trPr>
          <w:trHeight w:val="20"/>
        </w:trPr>
        <w:tc>
          <w:tcPr>
            <w:tcW w:w="2791" w:type="dxa"/>
            <w:tcBorders>
              <w:bottom w:val="single" w:sz="12" w:space="0" w:color="000000"/>
            </w:tcBorders>
            <w:shd w:val="clear" w:color="auto" w:fill="auto"/>
            <w:vAlign w:val="bottom"/>
          </w:tcPr>
          <w:p w14:paraId="46D1503A" w14:textId="77777777" w:rsidR="005041C2" w:rsidRPr="001B330E" w:rsidRDefault="005041C2">
            <w:pPr>
              <w:widowControl w:val="0"/>
              <w:pBdr>
                <w:top w:val="nil"/>
                <w:left w:val="nil"/>
                <w:bottom w:val="nil"/>
                <w:right w:val="nil"/>
                <w:between w:val="nil"/>
              </w:pBdr>
              <w:ind w:left="113" w:hanging="113"/>
              <w:rPr>
                <w:b/>
                <w:color w:val="000000"/>
                <w:sz w:val="17"/>
                <w:szCs w:val="17"/>
              </w:rPr>
            </w:pPr>
          </w:p>
        </w:tc>
        <w:tc>
          <w:tcPr>
            <w:tcW w:w="816" w:type="dxa"/>
            <w:tcBorders>
              <w:bottom w:val="single" w:sz="12" w:space="0" w:color="000000"/>
            </w:tcBorders>
            <w:shd w:val="clear" w:color="auto" w:fill="auto"/>
            <w:vAlign w:val="bottom"/>
          </w:tcPr>
          <w:p w14:paraId="66FF8CF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12" w:space="0" w:color="000000"/>
            </w:tcBorders>
            <w:shd w:val="clear" w:color="auto" w:fill="auto"/>
            <w:vAlign w:val="bottom"/>
          </w:tcPr>
          <w:p w14:paraId="74D0065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12" w:space="0" w:color="000000"/>
            </w:tcBorders>
            <w:shd w:val="clear" w:color="auto" w:fill="auto"/>
            <w:vAlign w:val="bottom"/>
          </w:tcPr>
          <w:p w14:paraId="6B91432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12" w:space="0" w:color="000000"/>
            </w:tcBorders>
            <w:shd w:val="clear" w:color="auto" w:fill="auto"/>
            <w:vAlign w:val="bottom"/>
          </w:tcPr>
          <w:p w14:paraId="3ECA048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12" w:space="0" w:color="000000"/>
            </w:tcBorders>
            <w:vAlign w:val="bottom"/>
          </w:tcPr>
          <w:p w14:paraId="351C27E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12" w:space="0" w:color="000000"/>
            </w:tcBorders>
            <w:vAlign w:val="bottom"/>
          </w:tcPr>
          <w:p w14:paraId="1432965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12" w:space="0" w:color="000000"/>
            </w:tcBorders>
            <w:vAlign w:val="bottom"/>
          </w:tcPr>
          <w:p w14:paraId="73BF4D6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17" w:type="dxa"/>
            <w:tcBorders>
              <w:bottom w:val="single" w:sz="12" w:space="0" w:color="000000"/>
            </w:tcBorders>
            <w:shd w:val="clear" w:color="auto" w:fill="auto"/>
            <w:vAlign w:val="bottom"/>
          </w:tcPr>
          <w:p w14:paraId="0D08ECD8" w14:textId="77777777" w:rsidR="005041C2" w:rsidRPr="001B330E" w:rsidRDefault="005041C2">
            <w:pPr>
              <w:widowControl w:val="0"/>
              <w:pBdr>
                <w:top w:val="nil"/>
                <w:left w:val="nil"/>
                <w:bottom w:val="nil"/>
                <w:right w:val="nil"/>
                <w:between w:val="nil"/>
              </w:pBdr>
              <w:jc w:val="right"/>
              <w:rPr>
                <w:color w:val="000000"/>
                <w:sz w:val="17"/>
                <w:szCs w:val="17"/>
              </w:rPr>
            </w:pPr>
          </w:p>
        </w:tc>
      </w:tr>
    </w:tbl>
    <w:p w14:paraId="25B1AA22" w14:textId="22D3DC61" w:rsidR="00D83E33" w:rsidRDefault="00BC4072" w:rsidP="001B330E">
      <w:pPr>
        <w:pStyle w:val="Continued"/>
      </w:pPr>
      <w:r>
        <w:lastRenderedPageBreak/>
        <w:t>8</w:t>
      </w:r>
      <w:r>
        <w:tab/>
        <w:t>Due from Other Banks (Continued)</w:t>
      </w:r>
    </w:p>
    <w:tbl>
      <w:tblPr>
        <w:tblStyle w:val="af6"/>
        <w:tblW w:w="9328" w:type="dxa"/>
        <w:tblLayout w:type="fixed"/>
        <w:tblLook w:val="0000" w:firstRow="0" w:lastRow="0" w:firstColumn="0" w:lastColumn="0" w:noHBand="0" w:noVBand="0"/>
      </w:tblPr>
      <w:tblGrid>
        <w:gridCol w:w="2758"/>
        <w:gridCol w:w="821"/>
        <w:gridCol w:w="821"/>
        <w:gridCol w:w="821"/>
        <w:gridCol w:w="822"/>
        <w:gridCol w:w="821"/>
        <w:gridCol w:w="821"/>
        <w:gridCol w:w="821"/>
        <w:gridCol w:w="822"/>
      </w:tblGrid>
      <w:tr w:rsidR="005041C2" w:rsidRPr="00FB108F" w14:paraId="17B78F62" w14:textId="77777777" w:rsidTr="001B330E">
        <w:trPr>
          <w:trHeight w:val="20"/>
        </w:trPr>
        <w:tc>
          <w:tcPr>
            <w:tcW w:w="2758" w:type="dxa"/>
            <w:shd w:val="clear" w:color="auto" w:fill="auto"/>
            <w:vAlign w:val="bottom"/>
          </w:tcPr>
          <w:p w14:paraId="2BD8B385" w14:textId="77777777" w:rsidR="005041C2" w:rsidRPr="001B330E" w:rsidRDefault="005041C2">
            <w:pPr>
              <w:widowControl w:val="0"/>
              <w:pBdr>
                <w:top w:val="nil"/>
                <w:left w:val="nil"/>
                <w:bottom w:val="nil"/>
                <w:right w:val="nil"/>
                <w:between w:val="nil"/>
              </w:pBdr>
              <w:ind w:left="113" w:hanging="113"/>
              <w:rPr>
                <w:i/>
                <w:color w:val="000000"/>
                <w:sz w:val="17"/>
                <w:szCs w:val="17"/>
              </w:rPr>
            </w:pPr>
          </w:p>
        </w:tc>
        <w:tc>
          <w:tcPr>
            <w:tcW w:w="3285" w:type="dxa"/>
            <w:gridSpan w:val="4"/>
            <w:tcBorders>
              <w:bottom w:val="single" w:sz="4" w:space="0" w:color="000000"/>
            </w:tcBorders>
            <w:shd w:val="clear" w:color="auto" w:fill="auto"/>
          </w:tcPr>
          <w:p w14:paraId="336BAEA3" w14:textId="77777777" w:rsidR="005041C2" w:rsidRPr="001B330E" w:rsidRDefault="005041C2">
            <w:pPr>
              <w:widowControl w:val="0"/>
              <w:pBdr>
                <w:top w:val="nil"/>
                <w:left w:val="nil"/>
                <w:bottom w:val="nil"/>
                <w:right w:val="nil"/>
                <w:between w:val="nil"/>
              </w:pBdr>
              <w:tabs>
                <w:tab w:val="left" w:pos="3182"/>
              </w:tabs>
              <w:ind w:left="-113"/>
              <w:jc w:val="center"/>
              <w:rPr>
                <w:b/>
                <w:color w:val="000000"/>
                <w:sz w:val="17"/>
                <w:szCs w:val="17"/>
              </w:rPr>
            </w:pPr>
            <w:r w:rsidRPr="001B330E">
              <w:rPr>
                <w:b/>
                <w:color w:val="000000"/>
                <w:sz w:val="17"/>
                <w:szCs w:val="17"/>
              </w:rPr>
              <w:t>Credit loss allowance</w:t>
            </w:r>
          </w:p>
        </w:tc>
        <w:tc>
          <w:tcPr>
            <w:tcW w:w="3285" w:type="dxa"/>
            <w:gridSpan w:val="4"/>
            <w:tcBorders>
              <w:bottom w:val="single" w:sz="4" w:space="0" w:color="000000"/>
            </w:tcBorders>
          </w:tcPr>
          <w:p w14:paraId="30E336BC" w14:textId="77777777" w:rsidR="005041C2" w:rsidRPr="001B330E" w:rsidRDefault="005041C2">
            <w:pPr>
              <w:widowControl w:val="0"/>
              <w:pBdr>
                <w:top w:val="nil"/>
                <w:left w:val="nil"/>
                <w:bottom w:val="nil"/>
                <w:right w:val="nil"/>
                <w:between w:val="nil"/>
              </w:pBdr>
              <w:ind w:left="-113"/>
              <w:jc w:val="center"/>
              <w:rPr>
                <w:b/>
                <w:color w:val="000000"/>
                <w:sz w:val="17"/>
                <w:szCs w:val="17"/>
              </w:rPr>
            </w:pPr>
            <w:r w:rsidRPr="001B330E">
              <w:rPr>
                <w:b/>
                <w:color w:val="000000"/>
                <w:sz w:val="17"/>
                <w:szCs w:val="17"/>
              </w:rPr>
              <w:t>Gross carrying amount</w:t>
            </w:r>
          </w:p>
        </w:tc>
      </w:tr>
      <w:tr w:rsidR="005041C2" w:rsidRPr="00FB108F" w14:paraId="0870A0B2" w14:textId="77777777" w:rsidTr="001B330E">
        <w:trPr>
          <w:trHeight w:val="20"/>
        </w:trPr>
        <w:tc>
          <w:tcPr>
            <w:tcW w:w="2758" w:type="dxa"/>
            <w:tcBorders>
              <w:bottom w:val="single" w:sz="4" w:space="0" w:color="000000"/>
            </w:tcBorders>
            <w:shd w:val="clear" w:color="auto" w:fill="auto"/>
            <w:vAlign w:val="bottom"/>
          </w:tcPr>
          <w:p w14:paraId="78046835" w14:textId="77777777" w:rsidR="005041C2" w:rsidRPr="001B330E" w:rsidRDefault="005041C2">
            <w:pPr>
              <w:widowControl w:val="0"/>
              <w:pBdr>
                <w:top w:val="nil"/>
                <w:left w:val="nil"/>
                <w:bottom w:val="nil"/>
                <w:right w:val="nil"/>
                <w:between w:val="nil"/>
              </w:pBdr>
              <w:ind w:left="113" w:hanging="113"/>
              <w:rPr>
                <w:i/>
                <w:color w:val="000000"/>
                <w:sz w:val="17"/>
                <w:szCs w:val="17"/>
              </w:rPr>
            </w:pPr>
          </w:p>
          <w:p w14:paraId="5C1EAFA4" w14:textId="354E13A1" w:rsidR="005041C2" w:rsidRPr="001B330E" w:rsidRDefault="00313B4D">
            <w:pPr>
              <w:widowControl w:val="0"/>
              <w:pBdr>
                <w:top w:val="nil"/>
                <w:left w:val="nil"/>
                <w:bottom w:val="nil"/>
                <w:right w:val="nil"/>
                <w:between w:val="nil"/>
              </w:pBdr>
              <w:ind w:left="113" w:hanging="113"/>
              <w:rPr>
                <w:b/>
                <w:i/>
                <w:color w:val="000000"/>
                <w:sz w:val="17"/>
                <w:szCs w:val="17"/>
              </w:rPr>
            </w:pPr>
            <w:r>
              <w:rPr>
                <w:i/>
                <w:color w:val="000000"/>
                <w:sz w:val="17"/>
                <w:szCs w:val="17"/>
              </w:rPr>
              <w:t xml:space="preserve">In thousands of </w:t>
            </w:r>
            <w:r w:rsidR="002649EE">
              <w:rPr>
                <w:i/>
                <w:color w:val="000000"/>
                <w:sz w:val="17"/>
                <w:szCs w:val="17"/>
              </w:rPr>
              <w:t>EUR</w:t>
            </w:r>
          </w:p>
        </w:tc>
        <w:tc>
          <w:tcPr>
            <w:tcW w:w="821" w:type="dxa"/>
            <w:tcBorders>
              <w:top w:val="single" w:sz="4" w:space="0" w:color="000000"/>
              <w:bottom w:val="single" w:sz="4" w:space="0" w:color="000000"/>
            </w:tcBorders>
            <w:shd w:val="clear" w:color="auto" w:fill="auto"/>
          </w:tcPr>
          <w:p w14:paraId="2045001F"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12225B10" w14:textId="77777777" w:rsidR="005041C2" w:rsidRPr="001B330E" w:rsidRDefault="005041C2" w:rsidP="001B330E">
            <w:pPr>
              <w:widowControl w:val="0"/>
              <w:pBdr>
                <w:top w:val="nil"/>
                <w:left w:val="nil"/>
                <w:bottom w:val="nil"/>
                <w:right w:val="nil"/>
                <w:between w:val="nil"/>
              </w:pBdr>
              <w:ind w:left="-113" w:firstLine="142"/>
              <w:jc w:val="right"/>
              <w:rPr>
                <w:b/>
                <w:color w:val="000000"/>
                <w:sz w:val="17"/>
                <w:szCs w:val="17"/>
              </w:rPr>
            </w:pPr>
            <w:r w:rsidRPr="001B330E">
              <w:rPr>
                <w:b/>
                <w:color w:val="000000"/>
                <w:sz w:val="17"/>
                <w:szCs w:val="17"/>
              </w:rPr>
              <w:t>(12-months ECL)</w:t>
            </w:r>
          </w:p>
        </w:tc>
        <w:tc>
          <w:tcPr>
            <w:tcW w:w="821" w:type="dxa"/>
            <w:tcBorders>
              <w:top w:val="single" w:sz="4" w:space="0" w:color="000000"/>
              <w:bottom w:val="single" w:sz="4" w:space="0" w:color="000000"/>
            </w:tcBorders>
            <w:shd w:val="clear" w:color="auto" w:fill="auto"/>
          </w:tcPr>
          <w:p w14:paraId="4B0C3853"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2ED994E1" w14:textId="52FB229C"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SICR)</w:t>
            </w:r>
          </w:p>
        </w:tc>
        <w:tc>
          <w:tcPr>
            <w:tcW w:w="821" w:type="dxa"/>
            <w:tcBorders>
              <w:top w:val="single" w:sz="4" w:space="0" w:color="000000"/>
              <w:bottom w:val="single" w:sz="4" w:space="0" w:color="000000"/>
            </w:tcBorders>
            <w:shd w:val="clear" w:color="auto" w:fill="auto"/>
          </w:tcPr>
          <w:p w14:paraId="6C315593"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3BACE070"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822" w:type="dxa"/>
            <w:tcBorders>
              <w:top w:val="single" w:sz="4" w:space="0" w:color="000000"/>
              <w:bottom w:val="single" w:sz="4" w:space="0" w:color="000000"/>
            </w:tcBorders>
            <w:shd w:val="clear" w:color="auto" w:fill="auto"/>
          </w:tcPr>
          <w:p w14:paraId="722B0239"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c>
          <w:tcPr>
            <w:tcW w:w="821" w:type="dxa"/>
            <w:tcBorders>
              <w:top w:val="single" w:sz="4" w:space="0" w:color="000000"/>
              <w:bottom w:val="single" w:sz="4" w:space="0" w:color="000000"/>
            </w:tcBorders>
          </w:tcPr>
          <w:p w14:paraId="07168C76"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07173F3F"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(12-months ECL)</w:t>
            </w:r>
          </w:p>
        </w:tc>
        <w:tc>
          <w:tcPr>
            <w:tcW w:w="821" w:type="dxa"/>
            <w:tcBorders>
              <w:top w:val="single" w:sz="4" w:space="0" w:color="000000"/>
              <w:bottom w:val="single" w:sz="4" w:space="0" w:color="000000"/>
            </w:tcBorders>
          </w:tcPr>
          <w:p w14:paraId="21E20617"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77106EA7" w14:textId="076B9B7C"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SICR)</w:t>
            </w:r>
          </w:p>
        </w:tc>
        <w:tc>
          <w:tcPr>
            <w:tcW w:w="821" w:type="dxa"/>
            <w:tcBorders>
              <w:top w:val="single" w:sz="4" w:space="0" w:color="000000"/>
              <w:bottom w:val="single" w:sz="4" w:space="0" w:color="000000"/>
            </w:tcBorders>
          </w:tcPr>
          <w:p w14:paraId="4C71F5C0"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4AEDB4F8"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822" w:type="dxa"/>
            <w:tcBorders>
              <w:top w:val="single" w:sz="4" w:space="0" w:color="000000"/>
              <w:bottom w:val="single" w:sz="4" w:space="0" w:color="000000"/>
            </w:tcBorders>
            <w:shd w:val="clear" w:color="auto" w:fill="auto"/>
          </w:tcPr>
          <w:p w14:paraId="1C446F5A" w14:textId="77777777" w:rsidR="005041C2" w:rsidRPr="001B330E" w:rsidRDefault="005041C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r>
      <w:tr w:rsidR="005041C2" w:rsidRPr="00FB108F" w14:paraId="3746B774" w14:textId="77777777" w:rsidTr="001B330E">
        <w:trPr>
          <w:trHeight w:val="20"/>
        </w:trPr>
        <w:tc>
          <w:tcPr>
            <w:tcW w:w="2758" w:type="dxa"/>
            <w:shd w:val="clear" w:color="auto" w:fill="auto"/>
            <w:vAlign w:val="bottom"/>
          </w:tcPr>
          <w:p w14:paraId="63D18DB3" w14:textId="77777777" w:rsidR="005041C2" w:rsidRPr="001B330E" w:rsidRDefault="005041C2">
            <w:pPr>
              <w:widowControl w:val="0"/>
              <w:ind w:left="113" w:hanging="113"/>
              <w:rPr>
                <w:sz w:val="17"/>
                <w:szCs w:val="17"/>
              </w:rPr>
            </w:pPr>
          </w:p>
        </w:tc>
        <w:tc>
          <w:tcPr>
            <w:tcW w:w="821" w:type="dxa"/>
            <w:shd w:val="clear" w:color="auto" w:fill="auto"/>
            <w:vAlign w:val="bottom"/>
          </w:tcPr>
          <w:p w14:paraId="7935FF5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27919B5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1801912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0F2A6D9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25E481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2601BE2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2BE9BA5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409F387C"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2954BCD" w14:textId="77777777" w:rsidTr="001B330E">
        <w:trPr>
          <w:trHeight w:val="20"/>
        </w:trPr>
        <w:tc>
          <w:tcPr>
            <w:tcW w:w="2758" w:type="dxa"/>
            <w:shd w:val="clear" w:color="auto" w:fill="auto"/>
            <w:vAlign w:val="bottom"/>
          </w:tcPr>
          <w:p w14:paraId="2EF89EC7" w14:textId="77777777" w:rsidR="005041C2" w:rsidRPr="001B330E" w:rsidRDefault="005041C2">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Reverse repurchase agreements</w:t>
            </w:r>
          </w:p>
        </w:tc>
        <w:tc>
          <w:tcPr>
            <w:tcW w:w="821" w:type="dxa"/>
            <w:shd w:val="clear" w:color="auto" w:fill="auto"/>
            <w:vAlign w:val="bottom"/>
          </w:tcPr>
          <w:p w14:paraId="12F016A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FA0EC4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7B94B50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12F0F26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200164D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08776D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7E6AF9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07EAB7AE"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45BA87E9" w14:textId="77777777" w:rsidTr="001B330E">
        <w:trPr>
          <w:trHeight w:val="20"/>
        </w:trPr>
        <w:tc>
          <w:tcPr>
            <w:tcW w:w="2758" w:type="dxa"/>
            <w:shd w:val="clear" w:color="auto" w:fill="auto"/>
            <w:vAlign w:val="bottom"/>
          </w:tcPr>
          <w:p w14:paraId="4489DD27" w14:textId="77777777" w:rsidR="005041C2" w:rsidRPr="001B330E" w:rsidRDefault="005041C2">
            <w:pPr>
              <w:widowControl w:val="0"/>
              <w:pBdr>
                <w:top w:val="nil"/>
                <w:left w:val="nil"/>
                <w:bottom w:val="nil"/>
                <w:right w:val="nil"/>
                <w:between w:val="nil"/>
              </w:pBdr>
              <w:ind w:left="113" w:hanging="113"/>
              <w:rPr>
                <w:b/>
                <w:i/>
                <w:color w:val="000000"/>
                <w:sz w:val="17"/>
                <w:szCs w:val="17"/>
              </w:rPr>
            </w:pPr>
          </w:p>
        </w:tc>
        <w:tc>
          <w:tcPr>
            <w:tcW w:w="821" w:type="dxa"/>
            <w:shd w:val="clear" w:color="auto" w:fill="auto"/>
            <w:vAlign w:val="bottom"/>
          </w:tcPr>
          <w:p w14:paraId="77F5E74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2FB74F6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266E524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71572D2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00461B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3267A0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625689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642A4C35"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6467A2C8" w14:textId="77777777" w:rsidTr="001B330E">
        <w:trPr>
          <w:trHeight w:val="20"/>
        </w:trPr>
        <w:tc>
          <w:tcPr>
            <w:tcW w:w="2758" w:type="dxa"/>
            <w:shd w:val="clear" w:color="auto" w:fill="auto"/>
            <w:vAlign w:val="bottom"/>
          </w:tcPr>
          <w:p w14:paraId="1FFCDCC0" w14:textId="191182DD" w:rsidR="005041C2" w:rsidRPr="001B330E" w:rsidRDefault="005041C2">
            <w:pPr>
              <w:widowControl w:val="0"/>
              <w:pBdr>
                <w:top w:val="nil"/>
                <w:left w:val="nil"/>
                <w:bottom w:val="nil"/>
                <w:right w:val="nil"/>
                <w:between w:val="nil"/>
              </w:pBdr>
              <w:ind w:left="113" w:hanging="113"/>
              <w:rPr>
                <w:b/>
                <w:color w:val="0000FF"/>
                <w:sz w:val="17"/>
                <w:szCs w:val="17"/>
              </w:rPr>
            </w:pPr>
            <w:r w:rsidRPr="001B330E">
              <w:rPr>
                <w:b/>
                <w:color w:val="000000"/>
                <w:sz w:val="17"/>
                <w:szCs w:val="17"/>
              </w:rPr>
              <w:t xml:space="preserve">At 1 January </w:t>
            </w:r>
            <w:r w:rsidR="00541EBC">
              <w:rPr>
                <w:b/>
                <w:color w:val="000000"/>
                <w:sz w:val="17"/>
                <w:szCs w:val="17"/>
              </w:rPr>
              <w:t>2023</w:t>
            </w:r>
          </w:p>
        </w:tc>
        <w:tc>
          <w:tcPr>
            <w:tcW w:w="821" w:type="dxa"/>
            <w:shd w:val="clear" w:color="auto" w:fill="auto"/>
            <w:vAlign w:val="bottom"/>
          </w:tcPr>
          <w:p w14:paraId="42AD62D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0B537E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32D9CE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57E97F3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8DCE6B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D8B05F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970C3A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560DA45F"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494D887C" w14:textId="77777777" w:rsidTr="001B330E">
        <w:trPr>
          <w:trHeight w:val="20"/>
        </w:trPr>
        <w:tc>
          <w:tcPr>
            <w:tcW w:w="2758" w:type="dxa"/>
            <w:shd w:val="clear" w:color="auto" w:fill="auto"/>
            <w:vAlign w:val="bottom"/>
          </w:tcPr>
          <w:p w14:paraId="76DCBD6D" w14:textId="77777777" w:rsidR="005041C2" w:rsidRPr="001B330E" w:rsidRDefault="005041C2">
            <w:pPr>
              <w:widowControl w:val="0"/>
              <w:pBdr>
                <w:top w:val="nil"/>
                <w:left w:val="nil"/>
                <w:bottom w:val="nil"/>
                <w:right w:val="nil"/>
                <w:between w:val="nil"/>
              </w:pBdr>
              <w:ind w:left="113" w:hanging="113"/>
              <w:rPr>
                <w:b/>
                <w:color w:val="000000"/>
                <w:sz w:val="17"/>
                <w:szCs w:val="17"/>
              </w:rPr>
            </w:pPr>
          </w:p>
          <w:p w14:paraId="0D5BF896" w14:textId="77777777" w:rsidR="005041C2" w:rsidRPr="001B330E" w:rsidRDefault="005041C2">
            <w:pPr>
              <w:widowControl w:val="0"/>
              <w:pBdr>
                <w:top w:val="nil"/>
                <w:left w:val="nil"/>
                <w:bottom w:val="nil"/>
                <w:right w:val="nil"/>
                <w:between w:val="nil"/>
              </w:pBdr>
              <w:ind w:left="113" w:hanging="113"/>
              <w:rPr>
                <w:b/>
                <w:color w:val="000000"/>
                <w:sz w:val="17"/>
                <w:szCs w:val="17"/>
              </w:rPr>
            </w:pPr>
            <w:r w:rsidRPr="001B330E">
              <w:rPr>
                <w:i/>
                <w:color w:val="000000"/>
                <w:sz w:val="17"/>
                <w:szCs w:val="17"/>
              </w:rPr>
              <w:t>Movements with impact on credit loss allowance charge for the period:</w:t>
            </w:r>
          </w:p>
        </w:tc>
        <w:tc>
          <w:tcPr>
            <w:tcW w:w="821" w:type="dxa"/>
            <w:shd w:val="clear" w:color="auto" w:fill="auto"/>
            <w:vAlign w:val="bottom"/>
          </w:tcPr>
          <w:p w14:paraId="1C5C3AE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94B9FE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05425CC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5DEDFB6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D9C2D73" w14:textId="77777777" w:rsidR="005041C2" w:rsidRPr="001B330E" w:rsidRDefault="005041C2">
            <w:pPr>
              <w:widowControl w:val="0"/>
              <w:pBdr>
                <w:top w:val="nil"/>
                <w:left w:val="nil"/>
                <w:bottom w:val="nil"/>
                <w:right w:val="nil"/>
                <w:between w:val="nil"/>
              </w:pBdr>
              <w:ind w:left="-360"/>
              <w:jc w:val="right"/>
              <w:rPr>
                <w:color w:val="000000"/>
                <w:sz w:val="17"/>
                <w:szCs w:val="17"/>
              </w:rPr>
            </w:pPr>
          </w:p>
        </w:tc>
        <w:tc>
          <w:tcPr>
            <w:tcW w:w="821" w:type="dxa"/>
            <w:vAlign w:val="bottom"/>
          </w:tcPr>
          <w:p w14:paraId="3B88469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6097A2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649F2B50"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7668F971" w14:textId="77777777" w:rsidTr="001B330E">
        <w:trPr>
          <w:trHeight w:val="20"/>
        </w:trPr>
        <w:tc>
          <w:tcPr>
            <w:tcW w:w="2758" w:type="dxa"/>
            <w:shd w:val="clear" w:color="auto" w:fill="auto"/>
            <w:vAlign w:val="bottom"/>
          </w:tcPr>
          <w:p w14:paraId="3E79D084"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shd w:val="clear" w:color="auto" w:fill="auto"/>
            <w:vAlign w:val="bottom"/>
          </w:tcPr>
          <w:p w14:paraId="62413F2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7C1FB36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673224C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09BA90B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CA3112D"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76D6C0C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7ADFBB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589F681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718B7AC9" w14:textId="77777777" w:rsidTr="001B330E">
        <w:trPr>
          <w:trHeight w:val="20"/>
        </w:trPr>
        <w:tc>
          <w:tcPr>
            <w:tcW w:w="2758" w:type="dxa"/>
            <w:shd w:val="clear" w:color="auto" w:fill="auto"/>
            <w:vAlign w:val="bottom"/>
          </w:tcPr>
          <w:p w14:paraId="34366202" w14:textId="77777777" w:rsidR="005041C2" w:rsidRPr="001B330E" w:rsidRDefault="005041C2">
            <w:pPr>
              <w:widowControl w:val="0"/>
              <w:pBdr>
                <w:top w:val="nil"/>
                <w:left w:val="nil"/>
                <w:bottom w:val="nil"/>
                <w:right w:val="nil"/>
                <w:between w:val="nil"/>
              </w:pBdr>
              <w:ind w:left="113" w:hanging="113"/>
              <w:rPr>
                <w:color w:val="0000FF"/>
                <w:sz w:val="17"/>
                <w:szCs w:val="17"/>
              </w:rPr>
            </w:pPr>
            <w:r w:rsidRPr="001B330E">
              <w:rPr>
                <w:color w:val="000000"/>
                <w:sz w:val="17"/>
                <w:szCs w:val="17"/>
              </w:rPr>
              <w:t>Transfers:</w:t>
            </w:r>
          </w:p>
        </w:tc>
        <w:tc>
          <w:tcPr>
            <w:tcW w:w="821" w:type="dxa"/>
            <w:shd w:val="clear" w:color="auto" w:fill="auto"/>
            <w:vAlign w:val="bottom"/>
          </w:tcPr>
          <w:p w14:paraId="255AA73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21CEB81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1277FCA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202561E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345460D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414F23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29C684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5559CFF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42C1A21D" w14:textId="77777777" w:rsidTr="001B330E">
        <w:trPr>
          <w:trHeight w:val="20"/>
        </w:trPr>
        <w:tc>
          <w:tcPr>
            <w:tcW w:w="2758" w:type="dxa"/>
            <w:shd w:val="clear" w:color="auto" w:fill="auto"/>
            <w:vAlign w:val="bottom"/>
          </w:tcPr>
          <w:p w14:paraId="0EF2653D"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lifetime (from Stage 1 to Stage 2)</w:t>
            </w:r>
          </w:p>
        </w:tc>
        <w:tc>
          <w:tcPr>
            <w:tcW w:w="821" w:type="dxa"/>
            <w:shd w:val="clear" w:color="auto" w:fill="auto"/>
            <w:vAlign w:val="bottom"/>
          </w:tcPr>
          <w:p w14:paraId="04227E2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3A4E38F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65ED432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5A36626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3789910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338CBAB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38E2DE4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7276630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749FF6B4" w14:textId="77777777" w:rsidTr="001B330E">
        <w:trPr>
          <w:trHeight w:val="20"/>
        </w:trPr>
        <w:tc>
          <w:tcPr>
            <w:tcW w:w="2758" w:type="dxa"/>
            <w:shd w:val="clear" w:color="auto" w:fill="auto"/>
            <w:vAlign w:val="bottom"/>
          </w:tcPr>
          <w:p w14:paraId="19751093"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credit-impaired (from Stage 1 and Stage 2 to Stage 3)</w:t>
            </w:r>
          </w:p>
        </w:tc>
        <w:tc>
          <w:tcPr>
            <w:tcW w:w="821" w:type="dxa"/>
            <w:shd w:val="clear" w:color="auto" w:fill="auto"/>
            <w:vAlign w:val="bottom"/>
          </w:tcPr>
          <w:p w14:paraId="3B09894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77E54E1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32F304D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300D25BD"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1CB9464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0AC9A4F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74CAD17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23D31A2D"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61DF9EE7" w14:textId="77777777" w:rsidTr="001B330E">
        <w:trPr>
          <w:trHeight w:val="20"/>
        </w:trPr>
        <w:tc>
          <w:tcPr>
            <w:tcW w:w="2758" w:type="dxa"/>
            <w:shd w:val="clear" w:color="auto" w:fill="auto"/>
            <w:vAlign w:val="bottom"/>
          </w:tcPr>
          <w:p w14:paraId="37C846BC"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to 12-months ECL (from Stage 2 and Stage 3 to Stage 1)</w:t>
            </w:r>
          </w:p>
        </w:tc>
        <w:tc>
          <w:tcPr>
            <w:tcW w:w="821" w:type="dxa"/>
            <w:shd w:val="clear" w:color="auto" w:fill="auto"/>
            <w:vAlign w:val="bottom"/>
          </w:tcPr>
          <w:p w14:paraId="194E712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7157398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3A4807B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785D503F"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95D230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651619B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1BE453B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216CB16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473E3D7B" w14:textId="77777777" w:rsidTr="001B330E">
        <w:trPr>
          <w:trHeight w:val="20"/>
        </w:trPr>
        <w:tc>
          <w:tcPr>
            <w:tcW w:w="2758" w:type="dxa"/>
            <w:shd w:val="clear" w:color="auto" w:fill="auto"/>
            <w:vAlign w:val="bottom"/>
          </w:tcPr>
          <w:p w14:paraId="5ADFEADE"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New originated or purchased</w:t>
            </w:r>
          </w:p>
        </w:tc>
        <w:tc>
          <w:tcPr>
            <w:tcW w:w="821" w:type="dxa"/>
            <w:shd w:val="clear" w:color="auto" w:fill="auto"/>
            <w:vAlign w:val="bottom"/>
          </w:tcPr>
          <w:p w14:paraId="5B42368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632471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21DCF3E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3484A1A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0D6AB3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267371D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5E4020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072F939A"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8F46389" w14:textId="77777777" w:rsidTr="001B330E">
        <w:trPr>
          <w:trHeight w:val="20"/>
        </w:trPr>
        <w:tc>
          <w:tcPr>
            <w:tcW w:w="2758" w:type="dxa"/>
            <w:shd w:val="clear" w:color="auto" w:fill="auto"/>
            <w:vAlign w:val="bottom"/>
          </w:tcPr>
          <w:p w14:paraId="39C97CEA"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Derecognised during the period</w:t>
            </w:r>
          </w:p>
        </w:tc>
        <w:tc>
          <w:tcPr>
            <w:tcW w:w="821" w:type="dxa"/>
            <w:shd w:val="clear" w:color="auto" w:fill="auto"/>
            <w:vAlign w:val="bottom"/>
          </w:tcPr>
          <w:p w14:paraId="01C9DFB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38977C7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268EC20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4DB6DE3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21D123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051B1F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924F14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7947F7A5"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2A87AB16" w14:textId="77777777" w:rsidTr="001B330E">
        <w:trPr>
          <w:trHeight w:val="20"/>
        </w:trPr>
        <w:tc>
          <w:tcPr>
            <w:tcW w:w="2758" w:type="dxa"/>
            <w:shd w:val="clear" w:color="auto" w:fill="auto"/>
            <w:vAlign w:val="bottom"/>
          </w:tcPr>
          <w:p w14:paraId="329B5C82"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Changes to ECL measurement model assumptions</w:t>
            </w:r>
          </w:p>
        </w:tc>
        <w:tc>
          <w:tcPr>
            <w:tcW w:w="821" w:type="dxa"/>
            <w:shd w:val="clear" w:color="auto" w:fill="auto"/>
            <w:vAlign w:val="bottom"/>
          </w:tcPr>
          <w:p w14:paraId="0D38A39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50E9CDA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3484213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4BFA293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2E40778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A35B63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99BCC0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68EEC1A4"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45729425" w14:textId="77777777" w:rsidTr="001B330E">
        <w:trPr>
          <w:trHeight w:val="20"/>
        </w:trPr>
        <w:tc>
          <w:tcPr>
            <w:tcW w:w="2758" w:type="dxa"/>
            <w:shd w:val="clear" w:color="auto" w:fill="auto"/>
            <w:vAlign w:val="bottom"/>
          </w:tcPr>
          <w:p w14:paraId="31BB4428"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Unwinding of discounting </w:t>
            </w:r>
          </w:p>
        </w:tc>
        <w:tc>
          <w:tcPr>
            <w:tcW w:w="821" w:type="dxa"/>
            <w:shd w:val="clear" w:color="auto" w:fill="auto"/>
            <w:vAlign w:val="bottom"/>
          </w:tcPr>
          <w:p w14:paraId="7832923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4720201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367C29F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5461A14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9F80FA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C7D799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4ADB23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669A3866"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15D915E" w14:textId="77777777" w:rsidTr="001B330E">
        <w:trPr>
          <w:trHeight w:val="20"/>
        </w:trPr>
        <w:tc>
          <w:tcPr>
            <w:tcW w:w="2758" w:type="dxa"/>
            <w:shd w:val="clear" w:color="auto" w:fill="auto"/>
            <w:vAlign w:val="bottom"/>
          </w:tcPr>
          <w:p w14:paraId="57AA2948"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Changes in accrued interest</w:t>
            </w:r>
          </w:p>
        </w:tc>
        <w:tc>
          <w:tcPr>
            <w:tcW w:w="821" w:type="dxa"/>
            <w:shd w:val="clear" w:color="auto" w:fill="auto"/>
            <w:vAlign w:val="bottom"/>
          </w:tcPr>
          <w:p w14:paraId="35FE80D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7FA11E6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63184A0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35DBFA7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4F63904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9A2C85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4EB7AB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48CF3CD5"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D5FA68B" w14:textId="77777777" w:rsidTr="001B330E">
        <w:trPr>
          <w:trHeight w:val="20"/>
        </w:trPr>
        <w:tc>
          <w:tcPr>
            <w:tcW w:w="2758" w:type="dxa"/>
            <w:shd w:val="clear" w:color="auto" w:fill="auto"/>
            <w:vAlign w:val="bottom"/>
          </w:tcPr>
          <w:p w14:paraId="0D9EA2C3"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Other movements</w:t>
            </w:r>
          </w:p>
        </w:tc>
        <w:tc>
          <w:tcPr>
            <w:tcW w:w="821" w:type="dxa"/>
            <w:shd w:val="clear" w:color="auto" w:fill="auto"/>
            <w:vAlign w:val="bottom"/>
          </w:tcPr>
          <w:p w14:paraId="19D6BDA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5E35721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4367142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647D0BA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08CB8D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19C243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E2715F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1C82B4D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7C4B9EB2" w14:textId="77777777" w:rsidTr="001B330E">
        <w:trPr>
          <w:trHeight w:val="20"/>
        </w:trPr>
        <w:tc>
          <w:tcPr>
            <w:tcW w:w="2758" w:type="dxa"/>
            <w:tcBorders>
              <w:bottom w:val="single" w:sz="4" w:space="0" w:color="000000"/>
            </w:tcBorders>
            <w:shd w:val="clear" w:color="auto" w:fill="auto"/>
            <w:vAlign w:val="bottom"/>
          </w:tcPr>
          <w:p w14:paraId="3984FC90"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tcBorders>
              <w:bottom w:val="single" w:sz="4" w:space="0" w:color="000000"/>
            </w:tcBorders>
            <w:shd w:val="clear" w:color="auto" w:fill="auto"/>
            <w:vAlign w:val="bottom"/>
          </w:tcPr>
          <w:p w14:paraId="3DD9E08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6A87681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67B049E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710F710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68C1CD2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6DE9512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2ADC01A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5538BA30"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1F48DEEB" w14:textId="77777777" w:rsidTr="001B330E">
        <w:trPr>
          <w:trHeight w:val="20"/>
        </w:trPr>
        <w:tc>
          <w:tcPr>
            <w:tcW w:w="2758" w:type="dxa"/>
            <w:tcBorders>
              <w:top w:val="single" w:sz="4" w:space="0" w:color="000000"/>
            </w:tcBorders>
            <w:shd w:val="clear" w:color="auto" w:fill="auto"/>
            <w:vAlign w:val="bottom"/>
          </w:tcPr>
          <w:p w14:paraId="7C141C01"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tcBorders>
              <w:top w:val="single" w:sz="4" w:space="0" w:color="000000"/>
            </w:tcBorders>
            <w:shd w:val="clear" w:color="auto" w:fill="auto"/>
            <w:vAlign w:val="bottom"/>
          </w:tcPr>
          <w:p w14:paraId="2A83509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0AB899C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66F08C6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3548650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455DED0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3F5BA74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3A2DE27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0D555FCC"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1574A698" w14:textId="77777777" w:rsidTr="001B330E">
        <w:trPr>
          <w:trHeight w:val="20"/>
        </w:trPr>
        <w:tc>
          <w:tcPr>
            <w:tcW w:w="2758" w:type="dxa"/>
            <w:shd w:val="clear" w:color="auto" w:fill="auto"/>
            <w:vAlign w:val="bottom"/>
          </w:tcPr>
          <w:p w14:paraId="499C8DA0" w14:textId="77777777" w:rsidR="005041C2" w:rsidRPr="001B330E" w:rsidRDefault="005041C2">
            <w:pPr>
              <w:widowControl w:val="0"/>
              <w:pBdr>
                <w:top w:val="nil"/>
                <w:left w:val="nil"/>
                <w:bottom w:val="nil"/>
                <w:right w:val="nil"/>
                <w:between w:val="nil"/>
              </w:pBdr>
              <w:ind w:left="113" w:hanging="113"/>
              <w:rPr>
                <w:b/>
                <w:color w:val="000000"/>
                <w:sz w:val="17"/>
                <w:szCs w:val="17"/>
              </w:rPr>
            </w:pPr>
            <w:r w:rsidRPr="001B330E">
              <w:rPr>
                <w:b/>
                <w:color w:val="000000"/>
                <w:sz w:val="17"/>
                <w:szCs w:val="17"/>
              </w:rPr>
              <w:t>Total movements with impact on credit loss allowance charge for the period</w:t>
            </w:r>
          </w:p>
        </w:tc>
        <w:tc>
          <w:tcPr>
            <w:tcW w:w="821" w:type="dxa"/>
            <w:shd w:val="clear" w:color="auto" w:fill="auto"/>
            <w:vAlign w:val="bottom"/>
          </w:tcPr>
          <w:p w14:paraId="15F20C1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01C5B2F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86F1F1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7A09B1F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1580AF3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04CFB6B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2FA05D9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363474E1"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1E5FE651" w14:textId="77777777" w:rsidTr="001B330E">
        <w:trPr>
          <w:trHeight w:val="20"/>
        </w:trPr>
        <w:tc>
          <w:tcPr>
            <w:tcW w:w="2758" w:type="dxa"/>
            <w:tcBorders>
              <w:bottom w:val="single" w:sz="4" w:space="0" w:color="000000"/>
            </w:tcBorders>
            <w:shd w:val="clear" w:color="auto" w:fill="auto"/>
            <w:vAlign w:val="bottom"/>
          </w:tcPr>
          <w:p w14:paraId="3727DA4E"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tcBorders>
              <w:bottom w:val="single" w:sz="4" w:space="0" w:color="000000"/>
            </w:tcBorders>
            <w:shd w:val="clear" w:color="auto" w:fill="auto"/>
            <w:vAlign w:val="bottom"/>
          </w:tcPr>
          <w:p w14:paraId="0EEEA7F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74ADBEE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4882D6B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5E7479C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68930FD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6CD29F2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672FF63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3605FA4B"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6C58C4CA" w14:textId="77777777" w:rsidTr="001B330E">
        <w:trPr>
          <w:trHeight w:val="20"/>
        </w:trPr>
        <w:tc>
          <w:tcPr>
            <w:tcW w:w="2758" w:type="dxa"/>
            <w:tcBorders>
              <w:top w:val="single" w:sz="4" w:space="0" w:color="000000"/>
            </w:tcBorders>
            <w:shd w:val="clear" w:color="auto" w:fill="auto"/>
            <w:vAlign w:val="bottom"/>
          </w:tcPr>
          <w:p w14:paraId="60136773" w14:textId="77777777" w:rsidR="005041C2" w:rsidRPr="001B330E" w:rsidRDefault="005041C2">
            <w:pPr>
              <w:widowControl w:val="0"/>
              <w:pBdr>
                <w:top w:val="nil"/>
                <w:left w:val="nil"/>
                <w:bottom w:val="nil"/>
                <w:right w:val="nil"/>
                <w:between w:val="nil"/>
              </w:pBdr>
              <w:ind w:left="113" w:hanging="113"/>
              <w:rPr>
                <w:color w:val="000000"/>
                <w:sz w:val="17"/>
                <w:szCs w:val="17"/>
              </w:rPr>
            </w:pPr>
          </w:p>
        </w:tc>
        <w:tc>
          <w:tcPr>
            <w:tcW w:w="821" w:type="dxa"/>
            <w:tcBorders>
              <w:top w:val="single" w:sz="4" w:space="0" w:color="000000"/>
            </w:tcBorders>
            <w:shd w:val="clear" w:color="auto" w:fill="auto"/>
            <w:vAlign w:val="bottom"/>
          </w:tcPr>
          <w:p w14:paraId="63747F3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0740618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4BEA530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777F3AD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2878180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223FB4B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0105A6D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50DDE9A2"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9B741CE" w14:textId="77777777" w:rsidTr="001B330E">
        <w:trPr>
          <w:trHeight w:val="20"/>
        </w:trPr>
        <w:tc>
          <w:tcPr>
            <w:tcW w:w="2758" w:type="dxa"/>
            <w:shd w:val="clear" w:color="auto" w:fill="auto"/>
            <w:vAlign w:val="bottom"/>
          </w:tcPr>
          <w:p w14:paraId="3BF54772" w14:textId="34BA42A4" w:rsidR="005041C2" w:rsidRPr="001B330E" w:rsidRDefault="005041C2" w:rsidP="001B330E">
            <w:pPr>
              <w:widowControl w:val="0"/>
              <w:pBdr>
                <w:top w:val="nil"/>
                <w:left w:val="nil"/>
                <w:bottom w:val="nil"/>
                <w:right w:val="nil"/>
                <w:between w:val="nil"/>
              </w:pBdr>
              <w:ind w:left="113" w:hanging="113"/>
              <w:rPr>
                <w:color w:val="000000"/>
                <w:sz w:val="17"/>
                <w:szCs w:val="17"/>
              </w:rPr>
            </w:pPr>
            <w:r w:rsidRPr="001B330E">
              <w:rPr>
                <w:i/>
                <w:color w:val="000000"/>
                <w:sz w:val="17"/>
                <w:szCs w:val="17"/>
              </w:rPr>
              <w:t>Movements without impact on credit loss allowance charge for the period:</w:t>
            </w:r>
          </w:p>
        </w:tc>
        <w:tc>
          <w:tcPr>
            <w:tcW w:w="821" w:type="dxa"/>
            <w:shd w:val="clear" w:color="auto" w:fill="auto"/>
            <w:vAlign w:val="bottom"/>
          </w:tcPr>
          <w:p w14:paraId="4BC2C6C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0A502BB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40A8DAA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28D8F8B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54DC48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37A6264"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91D51E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64DBA78A"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FB108F" w:rsidRPr="00FB108F" w14:paraId="38B24BCF" w14:textId="77777777" w:rsidTr="001B330E">
        <w:trPr>
          <w:trHeight w:val="20"/>
        </w:trPr>
        <w:tc>
          <w:tcPr>
            <w:tcW w:w="2758" w:type="dxa"/>
            <w:shd w:val="clear" w:color="auto" w:fill="auto"/>
            <w:vAlign w:val="bottom"/>
          </w:tcPr>
          <w:p w14:paraId="760ECE27" w14:textId="77777777" w:rsidR="00FB108F" w:rsidRPr="00FB108F" w:rsidRDefault="00FB108F" w:rsidP="00FB108F">
            <w:pPr>
              <w:widowControl w:val="0"/>
              <w:pBdr>
                <w:top w:val="nil"/>
                <w:left w:val="nil"/>
                <w:bottom w:val="nil"/>
                <w:right w:val="nil"/>
                <w:between w:val="nil"/>
              </w:pBdr>
              <w:ind w:left="113" w:hanging="113"/>
              <w:rPr>
                <w:i/>
                <w:color w:val="000000"/>
                <w:sz w:val="17"/>
                <w:szCs w:val="17"/>
              </w:rPr>
            </w:pPr>
          </w:p>
        </w:tc>
        <w:tc>
          <w:tcPr>
            <w:tcW w:w="821" w:type="dxa"/>
            <w:shd w:val="clear" w:color="auto" w:fill="auto"/>
            <w:vAlign w:val="bottom"/>
          </w:tcPr>
          <w:p w14:paraId="31079306"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0AA0138A"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3A1A5E1D"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2099553B"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21" w:type="dxa"/>
            <w:vAlign w:val="bottom"/>
          </w:tcPr>
          <w:p w14:paraId="356771FB"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21" w:type="dxa"/>
            <w:vAlign w:val="bottom"/>
          </w:tcPr>
          <w:p w14:paraId="5C8C70D7"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21" w:type="dxa"/>
            <w:vAlign w:val="bottom"/>
          </w:tcPr>
          <w:p w14:paraId="12D1CCF6"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15B0BF94" w14:textId="77777777" w:rsidR="00FB108F" w:rsidRPr="00FB108F" w:rsidRDefault="00FB108F" w:rsidP="00FB108F">
            <w:pPr>
              <w:widowControl w:val="0"/>
              <w:pBdr>
                <w:top w:val="nil"/>
                <w:left w:val="nil"/>
                <w:bottom w:val="nil"/>
                <w:right w:val="nil"/>
                <w:between w:val="nil"/>
              </w:pBdr>
              <w:jc w:val="right"/>
              <w:rPr>
                <w:color w:val="000000"/>
                <w:sz w:val="17"/>
                <w:szCs w:val="17"/>
                <w:highlight w:val="green"/>
              </w:rPr>
            </w:pPr>
          </w:p>
        </w:tc>
      </w:tr>
      <w:tr w:rsidR="005041C2" w:rsidRPr="00FB108F" w14:paraId="12234151" w14:textId="77777777" w:rsidTr="001B330E">
        <w:trPr>
          <w:trHeight w:val="20"/>
        </w:trPr>
        <w:tc>
          <w:tcPr>
            <w:tcW w:w="2758" w:type="dxa"/>
            <w:shd w:val="clear" w:color="auto" w:fill="auto"/>
            <w:vAlign w:val="bottom"/>
          </w:tcPr>
          <w:p w14:paraId="66647285"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Write-offs</w:t>
            </w:r>
          </w:p>
        </w:tc>
        <w:tc>
          <w:tcPr>
            <w:tcW w:w="821" w:type="dxa"/>
            <w:shd w:val="clear" w:color="auto" w:fill="auto"/>
            <w:vAlign w:val="bottom"/>
          </w:tcPr>
          <w:p w14:paraId="368A4DBB"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72D4CA9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686DAE0B"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52BAC113"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18985B80"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7FAF73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61EA0DC2"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6B1EA81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23D55A07" w14:textId="77777777" w:rsidTr="001B330E">
        <w:trPr>
          <w:trHeight w:val="20"/>
        </w:trPr>
        <w:tc>
          <w:tcPr>
            <w:tcW w:w="2758" w:type="dxa"/>
            <w:shd w:val="clear" w:color="auto" w:fill="auto"/>
            <w:vAlign w:val="bottom"/>
          </w:tcPr>
          <w:p w14:paraId="6D8D7480"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FX and other movements</w:t>
            </w:r>
          </w:p>
        </w:tc>
        <w:tc>
          <w:tcPr>
            <w:tcW w:w="821" w:type="dxa"/>
            <w:shd w:val="clear" w:color="auto" w:fill="auto"/>
            <w:vAlign w:val="bottom"/>
          </w:tcPr>
          <w:p w14:paraId="66BB358E"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3702678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shd w:val="clear" w:color="auto" w:fill="auto"/>
            <w:vAlign w:val="bottom"/>
          </w:tcPr>
          <w:p w14:paraId="724A3879"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24656E06"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7DBC99A5"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475F4F71"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1" w:type="dxa"/>
            <w:vAlign w:val="bottom"/>
          </w:tcPr>
          <w:p w14:paraId="2E778FA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c>
          <w:tcPr>
            <w:tcW w:w="822" w:type="dxa"/>
            <w:shd w:val="clear" w:color="auto" w:fill="auto"/>
            <w:vAlign w:val="bottom"/>
          </w:tcPr>
          <w:p w14:paraId="3BCF895C" w14:textId="77777777" w:rsidR="005041C2" w:rsidRPr="001B330E" w:rsidRDefault="005041C2">
            <w:pPr>
              <w:widowControl w:val="0"/>
              <w:pBdr>
                <w:top w:val="nil"/>
                <w:left w:val="nil"/>
                <w:bottom w:val="nil"/>
                <w:right w:val="nil"/>
                <w:between w:val="nil"/>
              </w:pBdr>
              <w:jc w:val="right"/>
              <w:rPr>
                <w:color w:val="000000"/>
                <w:sz w:val="17"/>
                <w:szCs w:val="17"/>
                <w:highlight w:val="green"/>
              </w:rPr>
            </w:pPr>
          </w:p>
        </w:tc>
      </w:tr>
      <w:tr w:rsidR="005041C2" w:rsidRPr="00FB108F" w14:paraId="71AFD3C0" w14:textId="77777777" w:rsidTr="001B330E">
        <w:trPr>
          <w:trHeight w:val="20"/>
        </w:trPr>
        <w:tc>
          <w:tcPr>
            <w:tcW w:w="2758" w:type="dxa"/>
            <w:shd w:val="clear" w:color="auto" w:fill="auto"/>
            <w:vAlign w:val="bottom"/>
          </w:tcPr>
          <w:p w14:paraId="4AEB7C95"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Modification of contractual cash flows</w:t>
            </w:r>
          </w:p>
        </w:tc>
        <w:tc>
          <w:tcPr>
            <w:tcW w:w="821" w:type="dxa"/>
            <w:shd w:val="clear" w:color="auto" w:fill="auto"/>
            <w:vAlign w:val="bottom"/>
          </w:tcPr>
          <w:p w14:paraId="4717494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6362166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45018A4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672306C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4C7C108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4E9250F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5E394310"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55CE9826"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038DCF14" w14:textId="77777777" w:rsidTr="001B330E">
        <w:trPr>
          <w:trHeight w:val="20"/>
        </w:trPr>
        <w:tc>
          <w:tcPr>
            <w:tcW w:w="2758" w:type="dxa"/>
            <w:shd w:val="clear" w:color="auto" w:fill="auto"/>
            <w:vAlign w:val="bottom"/>
          </w:tcPr>
          <w:p w14:paraId="015B66D0" w14:textId="77777777" w:rsidR="005041C2" w:rsidRPr="001B330E" w:rsidRDefault="005041C2">
            <w:pPr>
              <w:widowControl w:val="0"/>
              <w:pBdr>
                <w:top w:val="nil"/>
                <w:left w:val="nil"/>
                <w:bottom w:val="nil"/>
                <w:right w:val="nil"/>
                <w:between w:val="nil"/>
              </w:pBdr>
              <w:ind w:left="113" w:hanging="113"/>
              <w:rPr>
                <w:color w:val="000000"/>
                <w:sz w:val="17"/>
                <w:szCs w:val="17"/>
              </w:rPr>
            </w:pPr>
            <w:r w:rsidRPr="001B330E">
              <w:rPr>
                <w:color w:val="000000"/>
                <w:sz w:val="17"/>
                <w:szCs w:val="17"/>
              </w:rPr>
              <w:t>Unwinding of discounting (for Stage 3)</w:t>
            </w:r>
          </w:p>
        </w:tc>
        <w:tc>
          <w:tcPr>
            <w:tcW w:w="821" w:type="dxa"/>
            <w:shd w:val="clear" w:color="auto" w:fill="auto"/>
            <w:vAlign w:val="bottom"/>
          </w:tcPr>
          <w:p w14:paraId="2A83E8F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218E314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6705C12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62CEFDF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70C498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6D6CB41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7E45316A"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3F859ABB"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754FED7E" w14:textId="77777777" w:rsidTr="001B330E">
        <w:trPr>
          <w:trHeight w:val="20"/>
        </w:trPr>
        <w:tc>
          <w:tcPr>
            <w:tcW w:w="2758" w:type="dxa"/>
            <w:tcBorders>
              <w:bottom w:val="single" w:sz="4" w:space="0" w:color="000000"/>
            </w:tcBorders>
            <w:shd w:val="clear" w:color="auto" w:fill="auto"/>
            <w:vAlign w:val="bottom"/>
          </w:tcPr>
          <w:p w14:paraId="724DEF41" w14:textId="77777777" w:rsidR="005041C2" w:rsidRPr="001B330E" w:rsidRDefault="005041C2">
            <w:pPr>
              <w:widowControl w:val="0"/>
              <w:pBdr>
                <w:top w:val="nil"/>
                <w:left w:val="nil"/>
                <w:bottom w:val="nil"/>
                <w:right w:val="nil"/>
                <w:between w:val="nil"/>
              </w:pBdr>
              <w:ind w:left="113" w:hanging="113"/>
              <w:rPr>
                <w:b/>
                <w:color w:val="000000"/>
                <w:sz w:val="17"/>
                <w:szCs w:val="17"/>
              </w:rPr>
            </w:pPr>
          </w:p>
        </w:tc>
        <w:tc>
          <w:tcPr>
            <w:tcW w:w="821" w:type="dxa"/>
            <w:tcBorders>
              <w:bottom w:val="single" w:sz="4" w:space="0" w:color="000000"/>
            </w:tcBorders>
            <w:shd w:val="clear" w:color="auto" w:fill="auto"/>
            <w:vAlign w:val="bottom"/>
          </w:tcPr>
          <w:p w14:paraId="32E08B4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6B4BBD3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shd w:val="clear" w:color="auto" w:fill="auto"/>
            <w:vAlign w:val="bottom"/>
          </w:tcPr>
          <w:p w14:paraId="53A7D1EF"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682D92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79BB02C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1666B423"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4" w:space="0" w:color="000000"/>
            </w:tcBorders>
            <w:vAlign w:val="bottom"/>
          </w:tcPr>
          <w:p w14:paraId="7D19516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4" w:space="0" w:color="000000"/>
            </w:tcBorders>
            <w:shd w:val="clear" w:color="auto" w:fill="auto"/>
            <w:vAlign w:val="bottom"/>
          </w:tcPr>
          <w:p w14:paraId="4F546FC0"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57BBA7A0" w14:textId="77777777" w:rsidTr="001B330E">
        <w:trPr>
          <w:trHeight w:val="20"/>
        </w:trPr>
        <w:tc>
          <w:tcPr>
            <w:tcW w:w="2758" w:type="dxa"/>
            <w:tcBorders>
              <w:top w:val="single" w:sz="4" w:space="0" w:color="000000"/>
            </w:tcBorders>
            <w:shd w:val="clear" w:color="auto" w:fill="auto"/>
            <w:vAlign w:val="bottom"/>
          </w:tcPr>
          <w:p w14:paraId="1656E553" w14:textId="77777777" w:rsidR="005041C2" w:rsidRPr="001B330E" w:rsidRDefault="005041C2">
            <w:pPr>
              <w:widowControl w:val="0"/>
              <w:pBdr>
                <w:top w:val="nil"/>
                <w:left w:val="nil"/>
                <w:bottom w:val="nil"/>
                <w:right w:val="nil"/>
                <w:between w:val="nil"/>
              </w:pBdr>
              <w:ind w:left="113" w:hanging="113"/>
              <w:rPr>
                <w:color w:val="000000"/>
                <w:sz w:val="17"/>
                <w:szCs w:val="17"/>
                <w:u w:val="single"/>
              </w:rPr>
            </w:pPr>
          </w:p>
        </w:tc>
        <w:tc>
          <w:tcPr>
            <w:tcW w:w="821" w:type="dxa"/>
            <w:tcBorders>
              <w:top w:val="single" w:sz="4" w:space="0" w:color="000000"/>
            </w:tcBorders>
            <w:shd w:val="clear" w:color="auto" w:fill="auto"/>
            <w:vAlign w:val="bottom"/>
          </w:tcPr>
          <w:p w14:paraId="1EA8600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3C78628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shd w:val="clear" w:color="auto" w:fill="auto"/>
            <w:vAlign w:val="bottom"/>
          </w:tcPr>
          <w:p w14:paraId="7167BBA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3397499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407E43D6"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46FD337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top w:val="single" w:sz="4" w:space="0" w:color="000000"/>
            </w:tcBorders>
            <w:vAlign w:val="bottom"/>
          </w:tcPr>
          <w:p w14:paraId="7AAB79E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top w:val="single" w:sz="4" w:space="0" w:color="000000"/>
            </w:tcBorders>
            <w:shd w:val="clear" w:color="auto" w:fill="auto"/>
            <w:vAlign w:val="bottom"/>
          </w:tcPr>
          <w:p w14:paraId="1F7146F3"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64627344" w14:textId="77777777" w:rsidTr="001B330E">
        <w:trPr>
          <w:trHeight w:val="20"/>
        </w:trPr>
        <w:tc>
          <w:tcPr>
            <w:tcW w:w="2758" w:type="dxa"/>
            <w:shd w:val="clear" w:color="auto" w:fill="auto"/>
            <w:vAlign w:val="bottom"/>
          </w:tcPr>
          <w:p w14:paraId="551A8CAD" w14:textId="4FD61880" w:rsidR="005041C2" w:rsidRPr="001B330E" w:rsidRDefault="005041C2">
            <w:pPr>
              <w:widowControl w:val="0"/>
              <w:pBdr>
                <w:top w:val="nil"/>
                <w:left w:val="nil"/>
                <w:bottom w:val="nil"/>
                <w:right w:val="nil"/>
                <w:between w:val="nil"/>
              </w:pBdr>
              <w:ind w:left="113" w:hanging="113"/>
              <w:rPr>
                <w:b/>
                <w:color w:val="000000"/>
                <w:sz w:val="17"/>
                <w:szCs w:val="17"/>
              </w:rPr>
            </w:pPr>
            <w:r w:rsidRPr="001B330E">
              <w:rPr>
                <w:b/>
                <w:color w:val="000000"/>
                <w:sz w:val="17"/>
                <w:szCs w:val="17"/>
              </w:rPr>
              <w:t>At 31</w:t>
            </w:r>
            <w:r w:rsidR="00181687" w:rsidRPr="001B330E">
              <w:rPr>
                <w:b/>
                <w:color w:val="000000"/>
                <w:sz w:val="17"/>
                <w:szCs w:val="17"/>
              </w:rPr>
              <w:t> December </w:t>
            </w:r>
            <w:r w:rsidR="00541EBC">
              <w:rPr>
                <w:b/>
                <w:color w:val="000000"/>
                <w:sz w:val="17"/>
                <w:szCs w:val="17"/>
              </w:rPr>
              <w:t>2023</w:t>
            </w:r>
          </w:p>
        </w:tc>
        <w:tc>
          <w:tcPr>
            <w:tcW w:w="821" w:type="dxa"/>
            <w:shd w:val="clear" w:color="auto" w:fill="auto"/>
            <w:vAlign w:val="bottom"/>
          </w:tcPr>
          <w:p w14:paraId="7693A3B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18FD49CD"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shd w:val="clear" w:color="auto" w:fill="auto"/>
            <w:vAlign w:val="bottom"/>
          </w:tcPr>
          <w:p w14:paraId="48050388"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03654BE1"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48BA7AA2"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34FF6D99"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vAlign w:val="bottom"/>
          </w:tcPr>
          <w:p w14:paraId="461C4AC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shd w:val="clear" w:color="auto" w:fill="auto"/>
            <w:vAlign w:val="bottom"/>
          </w:tcPr>
          <w:p w14:paraId="466D2648" w14:textId="77777777" w:rsidR="005041C2" w:rsidRPr="001B330E" w:rsidRDefault="005041C2">
            <w:pPr>
              <w:widowControl w:val="0"/>
              <w:pBdr>
                <w:top w:val="nil"/>
                <w:left w:val="nil"/>
                <w:bottom w:val="nil"/>
                <w:right w:val="nil"/>
                <w:between w:val="nil"/>
              </w:pBdr>
              <w:jc w:val="right"/>
              <w:rPr>
                <w:color w:val="000000"/>
                <w:sz w:val="17"/>
                <w:szCs w:val="17"/>
              </w:rPr>
            </w:pPr>
          </w:p>
        </w:tc>
      </w:tr>
      <w:tr w:rsidR="005041C2" w:rsidRPr="00FB108F" w14:paraId="310FF09A" w14:textId="77777777" w:rsidTr="001B330E">
        <w:trPr>
          <w:trHeight w:val="20"/>
        </w:trPr>
        <w:tc>
          <w:tcPr>
            <w:tcW w:w="2758" w:type="dxa"/>
            <w:tcBorders>
              <w:bottom w:val="single" w:sz="12" w:space="0" w:color="000000"/>
            </w:tcBorders>
            <w:shd w:val="clear" w:color="auto" w:fill="auto"/>
            <w:vAlign w:val="bottom"/>
          </w:tcPr>
          <w:p w14:paraId="2FECF31C" w14:textId="77777777" w:rsidR="005041C2" w:rsidRPr="001B330E" w:rsidRDefault="005041C2">
            <w:pPr>
              <w:widowControl w:val="0"/>
              <w:pBdr>
                <w:top w:val="nil"/>
                <w:left w:val="nil"/>
                <w:bottom w:val="nil"/>
                <w:right w:val="nil"/>
                <w:between w:val="nil"/>
              </w:pBdr>
              <w:ind w:left="113" w:hanging="113"/>
              <w:rPr>
                <w:b/>
                <w:color w:val="000000"/>
                <w:sz w:val="17"/>
                <w:szCs w:val="17"/>
              </w:rPr>
            </w:pPr>
          </w:p>
        </w:tc>
        <w:tc>
          <w:tcPr>
            <w:tcW w:w="821" w:type="dxa"/>
            <w:tcBorders>
              <w:bottom w:val="single" w:sz="12" w:space="0" w:color="000000"/>
            </w:tcBorders>
            <w:shd w:val="clear" w:color="auto" w:fill="auto"/>
            <w:vAlign w:val="bottom"/>
          </w:tcPr>
          <w:p w14:paraId="3037593B"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shd w:val="clear" w:color="auto" w:fill="auto"/>
            <w:vAlign w:val="bottom"/>
          </w:tcPr>
          <w:p w14:paraId="5667010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shd w:val="clear" w:color="auto" w:fill="auto"/>
            <w:vAlign w:val="bottom"/>
          </w:tcPr>
          <w:p w14:paraId="489F4627"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12" w:space="0" w:color="000000"/>
            </w:tcBorders>
            <w:shd w:val="clear" w:color="auto" w:fill="auto"/>
            <w:vAlign w:val="bottom"/>
          </w:tcPr>
          <w:p w14:paraId="2153337E"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vAlign w:val="bottom"/>
          </w:tcPr>
          <w:p w14:paraId="49BBB404"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vAlign w:val="bottom"/>
          </w:tcPr>
          <w:p w14:paraId="40F5E05C"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1" w:type="dxa"/>
            <w:tcBorders>
              <w:bottom w:val="single" w:sz="12" w:space="0" w:color="000000"/>
            </w:tcBorders>
            <w:vAlign w:val="bottom"/>
          </w:tcPr>
          <w:p w14:paraId="33ACFA45" w14:textId="77777777" w:rsidR="005041C2" w:rsidRPr="001B330E" w:rsidRDefault="005041C2">
            <w:pPr>
              <w:widowControl w:val="0"/>
              <w:pBdr>
                <w:top w:val="nil"/>
                <w:left w:val="nil"/>
                <w:bottom w:val="nil"/>
                <w:right w:val="nil"/>
                <w:between w:val="nil"/>
              </w:pBdr>
              <w:jc w:val="right"/>
              <w:rPr>
                <w:color w:val="000000"/>
                <w:sz w:val="17"/>
                <w:szCs w:val="17"/>
              </w:rPr>
            </w:pPr>
          </w:p>
        </w:tc>
        <w:tc>
          <w:tcPr>
            <w:tcW w:w="822" w:type="dxa"/>
            <w:tcBorders>
              <w:bottom w:val="single" w:sz="12" w:space="0" w:color="000000"/>
            </w:tcBorders>
            <w:shd w:val="clear" w:color="auto" w:fill="auto"/>
            <w:vAlign w:val="bottom"/>
          </w:tcPr>
          <w:p w14:paraId="0E0A0289" w14:textId="77777777" w:rsidR="005041C2" w:rsidRPr="001B330E" w:rsidRDefault="005041C2">
            <w:pPr>
              <w:widowControl w:val="0"/>
              <w:pBdr>
                <w:top w:val="nil"/>
                <w:left w:val="nil"/>
                <w:bottom w:val="nil"/>
                <w:right w:val="nil"/>
                <w:between w:val="nil"/>
              </w:pBdr>
              <w:jc w:val="right"/>
              <w:rPr>
                <w:color w:val="000000"/>
                <w:sz w:val="17"/>
                <w:szCs w:val="17"/>
              </w:rPr>
            </w:pPr>
          </w:p>
        </w:tc>
      </w:tr>
    </w:tbl>
    <w:p w14:paraId="4B8E0B94" w14:textId="7388846A"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[If the Group has POCI financial instruments, the Group should disclose the changes in the credit loss allowance between the beginning and the end of the reporting period for such instruments and explain the changes in the gross carrying amount that contributed to the change in credit loss allowance. For example, it can be achieved by adding column “POCI” in the table above.]</w:t>
      </w:r>
    </w:p>
    <w:p w14:paraId="235EF91F" w14:textId="2AC1BDBA" w:rsidR="00D83E33" w:rsidRDefault="00BC4072" w:rsidP="001B330E">
      <w:pPr>
        <w:pStyle w:val="Continued"/>
      </w:pPr>
      <w:r>
        <w:lastRenderedPageBreak/>
        <w:t>8</w:t>
      </w:r>
      <w:r>
        <w:tab/>
        <w:t>Due from Other Banks (Continued)</w:t>
      </w:r>
    </w:p>
    <w:p w14:paraId="0D87D143" w14:textId="0EA7522C" w:rsidR="00D83E33" w:rsidRDefault="00BC4072" w:rsidP="001B330E">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[The </w:t>
      </w:r>
      <w:r w:rsidR="00AB3EC2">
        <w:rPr>
          <w:color w:val="0000FF"/>
          <w:sz w:val="20"/>
          <w:szCs w:val="20"/>
        </w:rPr>
        <w:t>change in expected credit loss allowance for</w:t>
      </w:r>
      <w:r>
        <w:rPr>
          <w:color w:val="0000FF"/>
          <w:sz w:val="20"/>
          <w:szCs w:val="20"/>
        </w:rPr>
        <w:t xml:space="preserve"> the year differs from the </w:t>
      </w:r>
      <w:r w:rsidR="00AB3EC2">
        <w:rPr>
          <w:color w:val="0000FF"/>
          <w:sz w:val="20"/>
          <w:szCs w:val="20"/>
        </w:rPr>
        <w:t xml:space="preserve">credit loss </w:t>
      </w:r>
      <w:r>
        <w:rPr>
          <w:color w:val="0000FF"/>
          <w:sz w:val="20"/>
          <w:szCs w:val="20"/>
        </w:rPr>
        <w:t xml:space="preserve">amount presented in profit or loss for the year due to </w:t>
      </w:r>
      <w:r w:rsidR="00D73799">
        <w:rPr>
          <w:color w:val="0000FF"/>
          <w:sz w:val="20"/>
          <w:szCs w:val="20"/>
        </w:rPr>
        <w:t>EUR</w:t>
      </w:r>
      <w:r>
        <w:rPr>
          <w:color w:val="0000FF"/>
          <w:sz w:val="20"/>
          <w:szCs w:val="20"/>
        </w:rPr>
        <w:t xml:space="preserve"> _____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_____ thousand), recovery of amounts previously written off as uncollectible. The amount of the recovery was credited directly to the </w:t>
      </w:r>
      <w:r w:rsidR="00412639">
        <w:rPr>
          <w:color w:val="0000FF"/>
          <w:sz w:val="20"/>
          <w:szCs w:val="20"/>
        </w:rPr>
        <w:t>expected credit loss allowance</w:t>
      </w:r>
      <w:r>
        <w:rPr>
          <w:color w:val="0000FF"/>
          <w:sz w:val="20"/>
          <w:szCs w:val="20"/>
        </w:rPr>
        <w:t xml:space="preserve"> line in profit or loss for the year</w:t>
      </w:r>
      <w:r>
        <w:rPr>
          <w:i/>
          <w:color w:val="FF0000"/>
          <w:sz w:val="20"/>
          <w:szCs w:val="20"/>
        </w:rPr>
        <w:t xml:space="preserve">.] </w:t>
      </w:r>
    </w:p>
    <w:p w14:paraId="2E73B741" w14:textId="0C9A7AA1" w:rsidR="00D83E33" w:rsidRDefault="00BC4072" w:rsidP="001B330E">
      <w:pPr>
        <w:widowControl w:val="0"/>
        <w:pBdr>
          <w:top w:val="nil"/>
          <w:left w:val="nil"/>
          <w:bottom w:val="nil"/>
          <w:right w:val="nil"/>
          <w:between w:val="nil"/>
        </w:pBdr>
        <w:spacing w:before="200" w:after="200"/>
        <w:jc w:val="both"/>
        <w:rPr>
          <w:color w:val="0000FF"/>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the Group had balances with _____ counterparty banks (</w:t>
      </w:r>
      <w:r w:rsidR="00541EBC">
        <w:rPr>
          <w:color w:val="000000"/>
          <w:sz w:val="20"/>
          <w:szCs w:val="20"/>
        </w:rPr>
        <w:t>2023</w:t>
      </w:r>
      <w:r>
        <w:rPr>
          <w:color w:val="000000"/>
          <w:sz w:val="20"/>
          <w:szCs w:val="20"/>
        </w:rPr>
        <w:t xml:space="preserve">: _____ banks) with aggregated amounts above </w:t>
      </w:r>
      <w:r w:rsidR="00D73799">
        <w:rPr>
          <w:color w:val="000000"/>
          <w:sz w:val="20"/>
          <w:szCs w:val="20"/>
        </w:rPr>
        <w:t>EUR</w:t>
      </w:r>
      <w:r>
        <w:rPr>
          <w:color w:val="000000"/>
          <w:sz w:val="20"/>
          <w:szCs w:val="20"/>
        </w:rPr>
        <w:t xml:space="preserve"> ______ thousand. The total aggregate amount of these deposits was </w:t>
      </w:r>
      <w:r w:rsidR="00D73799">
        <w:rPr>
          <w:color w:val="000000"/>
          <w:sz w:val="20"/>
          <w:szCs w:val="20"/>
        </w:rPr>
        <w:t>EUR</w:t>
      </w:r>
      <w:r>
        <w:rPr>
          <w:color w:val="000000"/>
          <w:sz w:val="20"/>
          <w:szCs w:val="20"/>
        </w:rPr>
        <w:t> ______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______ thousand) or _____% of the total amount due from other banks (</w:t>
      </w:r>
      <w:r w:rsidR="00541EBC">
        <w:rPr>
          <w:color w:val="000000"/>
          <w:sz w:val="20"/>
          <w:szCs w:val="20"/>
        </w:rPr>
        <w:t>2023</w:t>
      </w:r>
      <w:r>
        <w:rPr>
          <w:color w:val="000000"/>
          <w:sz w:val="20"/>
          <w:szCs w:val="20"/>
        </w:rPr>
        <w:t>: _____%).</w:t>
      </w:r>
    </w:p>
    <w:p w14:paraId="284A1022" w14:textId="18E23692" w:rsidR="00D83E33" w:rsidRDefault="00BC4072" w:rsidP="001B330E">
      <w:pPr>
        <w:widowControl w:val="0"/>
        <w:pBdr>
          <w:top w:val="nil"/>
          <w:left w:val="nil"/>
          <w:bottom w:val="nil"/>
          <w:right w:val="nil"/>
          <w:between w:val="nil"/>
        </w:pBdr>
        <w:spacing w:before="200" w:after="200"/>
        <w:jc w:val="both"/>
        <w:rPr>
          <w:color w:val="FF0000"/>
          <w:sz w:val="20"/>
          <w:szCs w:val="20"/>
        </w:rPr>
      </w:pPr>
      <w:r>
        <w:rPr>
          <w:color w:val="0000FF"/>
          <w:sz w:val="20"/>
          <w:szCs w:val="20"/>
        </w:rPr>
        <w:t xml:space="preserve">[As an active participant in the banking markets, the Group has a significant concentration of credit risk with other financial institutions. In total, credit risk exposure to financial institutions is estimated to have amounted to </w:t>
      </w:r>
      <w:r w:rsidR="00D73799">
        <w:rPr>
          <w:color w:val="0000FF"/>
          <w:sz w:val="20"/>
          <w:szCs w:val="20"/>
        </w:rPr>
        <w:t>EUR</w:t>
      </w:r>
      <w:r>
        <w:rPr>
          <w:color w:val="0000FF"/>
          <w:sz w:val="20"/>
          <w:szCs w:val="20"/>
        </w:rPr>
        <w:t xml:space="preserve"> _____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_____ thousand) comprising cash and cash equivalents, deposits and other amounts due from banks, repurchase receivables and financial derivatives.] </w:t>
      </w:r>
    </w:p>
    <w:p w14:paraId="3C59A1D2"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49 for the estimated fair value of each class of amounts due from other banks. Interest rate analysis of due from other banks is disclosed in Note 41. Information on related party balances is disclosed in Note 51.</w:t>
      </w:r>
    </w:p>
    <w:p w14:paraId="55A1DB57" w14:textId="77777777" w:rsidR="00D83E33" w:rsidRDefault="00BC4072" w:rsidP="001B330E">
      <w:pPr>
        <w:pStyle w:val="Heading1"/>
        <w:keepNext w:val="0"/>
        <w:spacing w:before="400" w:after="200"/>
        <w:rPr>
          <w:color w:val="0000FF"/>
        </w:rPr>
      </w:pPr>
      <w:bookmarkStart w:id="25" w:name="_Toc179196011"/>
      <w:r>
        <w:t>Investments in Debt Securities</w:t>
      </w:r>
      <w:bookmarkEnd w:id="25"/>
      <w:r>
        <w:rPr>
          <w:color w:val="0000FF"/>
        </w:rPr>
        <w:t xml:space="preserve"> </w:t>
      </w:r>
    </w:p>
    <w:p w14:paraId="3D688195" w14:textId="39543F67" w:rsidR="00D83E33" w:rsidRDefault="00D83E33" w:rsidP="001B330E">
      <w:pPr>
        <w:widowControl w:val="0"/>
        <w:pBdr>
          <w:top w:val="nil"/>
          <w:left w:val="nil"/>
          <w:bottom w:val="nil"/>
          <w:right w:val="nil"/>
          <w:between w:val="nil"/>
        </w:pBdr>
        <w:spacing w:before="200" w:after="200"/>
        <w:jc w:val="both"/>
        <w:rPr>
          <w:i/>
          <w:color w:val="FF0000"/>
          <w:sz w:val="20"/>
          <w:szCs w:val="20"/>
        </w:rPr>
      </w:pPr>
    </w:p>
    <w:tbl>
      <w:tblPr>
        <w:tblStyle w:val="af7"/>
        <w:tblW w:w="5000" w:type="pct"/>
        <w:tblLayout w:type="fixed"/>
        <w:tblLook w:val="0000" w:firstRow="0" w:lastRow="0" w:firstColumn="0" w:lastColumn="0" w:noHBand="0" w:noVBand="0"/>
      </w:tblPr>
      <w:tblGrid>
        <w:gridCol w:w="6013"/>
        <w:gridCol w:w="1671"/>
        <w:gridCol w:w="1671"/>
      </w:tblGrid>
      <w:tr w:rsidR="005041C2" w:rsidRPr="008A5EFD" w14:paraId="358CD589" w14:textId="77777777" w:rsidTr="001B330E">
        <w:trPr>
          <w:trHeight w:val="23"/>
        </w:trPr>
        <w:tc>
          <w:tcPr>
            <w:tcW w:w="3214" w:type="pct"/>
            <w:tcBorders>
              <w:bottom w:val="single" w:sz="4" w:space="0" w:color="000000"/>
            </w:tcBorders>
            <w:shd w:val="clear" w:color="auto" w:fill="auto"/>
            <w:vAlign w:val="bottom"/>
          </w:tcPr>
          <w:p w14:paraId="6D3FF6F6" w14:textId="125325F4" w:rsidR="005041C2" w:rsidRPr="008A5EFD"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93" w:type="pct"/>
            <w:tcBorders>
              <w:bottom w:val="single" w:sz="4" w:space="0" w:color="000000"/>
            </w:tcBorders>
          </w:tcPr>
          <w:p w14:paraId="68CDD0DC" w14:textId="69092654" w:rsidR="005041C2" w:rsidRPr="008A5EFD" w:rsidRDefault="00541EBC" w:rsidP="001B330E">
            <w:pPr>
              <w:widowControl w:val="0"/>
              <w:pBdr>
                <w:top w:val="nil"/>
                <w:left w:val="nil"/>
                <w:bottom w:val="nil"/>
                <w:right w:val="nil"/>
                <w:between w:val="nil"/>
              </w:pBdr>
              <w:jc w:val="right"/>
              <w:rPr>
                <w:b/>
                <w:color w:val="000000"/>
              </w:rPr>
            </w:pPr>
            <w:r>
              <w:rPr>
                <w:b/>
                <w:color w:val="000000"/>
              </w:rPr>
              <w:t>2024</w:t>
            </w:r>
          </w:p>
        </w:tc>
        <w:tc>
          <w:tcPr>
            <w:tcW w:w="893" w:type="pct"/>
            <w:tcBorders>
              <w:bottom w:val="single" w:sz="4" w:space="0" w:color="000000"/>
            </w:tcBorders>
            <w:shd w:val="clear" w:color="auto" w:fill="auto"/>
            <w:vAlign w:val="bottom"/>
          </w:tcPr>
          <w:p w14:paraId="3AD26C2D" w14:textId="1F104BB2" w:rsidR="005041C2" w:rsidRPr="008A5EFD" w:rsidRDefault="00541EBC" w:rsidP="001B330E">
            <w:pPr>
              <w:widowControl w:val="0"/>
              <w:pBdr>
                <w:top w:val="nil"/>
                <w:left w:val="nil"/>
                <w:bottom w:val="nil"/>
                <w:right w:val="nil"/>
                <w:between w:val="nil"/>
              </w:pBdr>
              <w:jc w:val="right"/>
              <w:rPr>
                <w:b/>
                <w:color w:val="000000"/>
              </w:rPr>
            </w:pPr>
            <w:r>
              <w:rPr>
                <w:b/>
                <w:color w:val="000000"/>
              </w:rPr>
              <w:t>2023</w:t>
            </w:r>
          </w:p>
        </w:tc>
      </w:tr>
      <w:tr w:rsidR="005041C2" w:rsidRPr="008A5EFD" w14:paraId="4AA6C3A6" w14:textId="77777777" w:rsidTr="001B330E">
        <w:trPr>
          <w:trHeight w:val="23"/>
        </w:trPr>
        <w:tc>
          <w:tcPr>
            <w:tcW w:w="3214" w:type="pct"/>
            <w:shd w:val="clear" w:color="auto" w:fill="auto"/>
            <w:vAlign w:val="bottom"/>
          </w:tcPr>
          <w:p w14:paraId="76E8C4C7" w14:textId="77777777" w:rsidR="005041C2" w:rsidRPr="001B330E" w:rsidRDefault="005041C2" w:rsidP="001B330E">
            <w:pPr>
              <w:widowControl w:val="0"/>
              <w:pBdr>
                <w:top w:val="nil"/>
                <w:left w:val="nil"/>
                <w:bottom w:val="nil"/>
                <w:right w:val="nil"/>
                <w:between w:val="nil"/>
              </w:pBdr>
              <w:ind w:left="113" w:hanging="113"/>
              <w:rPr>
                <w:i/>
                <w:color w:val="000000"/>
                <w:szCs w:val="10"/>
              </w:rPr>
            </w:pPr>
            <w:r w:rsidRPr="001B330E">
              <w:rPr>
                <w:i/>
                <w:color w:val="000000"/>
                <w:szCs w:val="10"/>
              </w:rPr>
              <w:t> </w:t>
            </w:r>
          </w:p>
        </w:tc>
        <w:tc>
          <w:tcPr>
            <w:tcW w:w="893" w:type="pct"/>
          </w:tcPr>
          <w:p w14:paraId="46A08443" w14:textId="77777777" w:rsidR="005041C2" w:rsidRPr="001B330E" w:rsidRDefault="005041C2" w:rsidP="001B330E">
            <w:pPr>
              <w:widowControl w:val="0"/>
              <w:pBdr>
                <w:top w:val="nil"/>
                <w:left w:val="nil"/>
                <w:bottom w:val="nil"/>
                <w:right w:val="nil"/>
                <w:between w:val="nil"/>
              </w:pBdr>
              <w:rPr>
                <w:i/>
                <w:color w:val="000000"/>
                <w:szCs w:val="10"/>
              </w:rPr>
            </w:pPr>
          </w:p>
        </w:tc>
        <w:tc>
          <w:tcPr>
            <w:tcW w:w="893" w:type="pct"/>
            <w:shd w:val="clear" w:color="auto" w:fill="auto"/>
            <w:vAlign w:val="bottom"/>
          </w:tcPr>
          <w:p w14:paraId="16FEDE67" w14:textId="77777777" w:rsidR="005041C2" w:rsidRPr="001B330E" w:rsidRDefault="005041C2" w:rsidP="001B330E">
            <w:pPr>
              <w:widowControl w:val="0"/>
              <w:pBdr>
                <w:top w:val="nil"/>
                <w:left w:val="nil"/>
                <w:bottom w:val="nil"/>
                <w:right w:val="nil"/>
                <w:between w:val="nil"/>
              </w:pBdr>
              <w:rPr>
                <w:i/>
                <w:color w:val="000000"/>
                <w:szCs w:val="10"/>
              </w:rPr>
            </w:pPr>
          </w:p>
        </w:tc>
      </w:tr>
      <w:tr w:rsidR="005041C2" w:rsidRPr="008A5EFD" w14:paraId="48423B73" w14:textId="77777777" w:rsidTr="001B330E">
        <w:trPr>
          <w:trHeight w:val="23"/>
        </w:trPr>
        <w:tc>
          <w:tcPr>
            <w:tcW w:w="3214" w:type="pct"/>
            <w:shd w:val="clear" w:color="auto" w:fill="auto"/>
            <w:vAlign w:val="bottom"/>
          </w:tcPr>
          <w:p w14:paraId="7AAC93EA" w14:textId="77777777" w:rsidR="005041C2" w:rsidRPr="008A5EFD" w:rsidRDefault="005041C2" w:rsidP="001B330E">
            <w:pPr>
              <w:widowControl w:val="0"/>
              <w:pBdr>
                <w:top w:val="nil"/>
                <w:left w:val="nil"/>
                <w:bottom w:val="nil"/>
                <w:right w:val="nil"/>
                <w:between w:val="nil"/>
              </w:pBdr>
              <w:ind w:left="113" w:hanging="113"/>
              <w:rPr>
                <w:color w:val="000000"/>
              </w:rPr>
            </w:pPr>
            <w:r w:rsidRPr="008A5EFD">
              <w:rPr>
                <w:color w:val="000000"/>
              </w:rPr>
              <w:t>Debt securities mandatorily measured at FVTPL</w:t>
            </w:r>
          </w:p>
        </w:tc>
        <w:tc>
          <w:tcPr>
            <w:tcW w:w="893" w:type="pct"/>
          </w:tcPr>
          <w:p w14:paraId="024321F5" w14:textId="77777777" w:rsidR="005041C2" w:rsidRPr="008A5EFD" w:rsidRDefault="005041C2" w:rsidP="001B330E">
            <w:pPr>
              <w:widowControl w:val="0"/>
              <w:pBdr>
                <w:top w:val="nil"/>
                <w:left w:val="nil"/>
                <w:bottom w:val="nil"/>
                <w:right w:val="nil"/>
                <w:between w:val="nil"/>
              </w:pBdr>
              <w:jc w:val="right"/>
              <w:rPr>
                <w:color w:val="000000"/>
              </w:rPr>
            </w:pPr>
          </w:p>
        </w:tc>
        <w:tc>
          <w:tcPr>
            <w:tcW w:w="893" w:type="pct"/>
            <w:shd w:val="clear" w:color="auto" w:fill="auto"/>
            <w:vAlign w:val="bottom"/>
          </w:tcPr>
          <w:p w14:paraId="647A70B2" w14:textId="77777777" w:rsidR="005041C2" w:rsidRPr="008A5EFD" w:rsidRDefault="005041C2" w:rsidP="001B330E">
            <w:pPr>
              <w:widowControl w:val="0"/>
              <w:pBdr>
                <w:top w:val="nil"/>
                <w:left w:val="nil"/>
                <w:bottom w:val="nil"/>
                <w:right w:val="nil"/>
                <w:between w:val="nil"/>
              </w:pBdr>
              <w:jc w:val="right"/>
              <w:rPr>
                <w:color w:val="000000"/>
              </w:rPr>
            </w:pPr>
          </w:p>
        </w:tc>
      </w:tr>
      <w:tr w:rsidR="005041C2" w:rsidRPr="008A5EFD" w14:paraId="4C9CAC89" w14:textId="77777777" w:rsidTr="001B330E">
        <w:trPr>
          <w:trHeight w:val="23"/>
        </w:trPr>
        <w:tc>
          <w:tcPr>
            <w:tcW w:w="3214" w:type="pct"/>
            <w:shd w:val="clear" w:color="auto" w:fill="auto"/>
            <w:vAlign w:val="bottom"/>
          </w:tcPr>
          <w:p w14:paraId="2FEF9301" w14:textId="77777777" w:rsidR="005041C2" w:rsidRPr="008A5EFD" w:rsidRDefault="005041C2" w:rsidP="001B330E">
            <w:pPr>
              <w:widowControl w:val="0"/>
              <w:pBdr>
                <w:top w:val="nil"/>
                <w:left w:val="nil"/>
                <w:bottom w:val="nil"/>
                <w:right w:val="nil"/>
                <w:between w:val="nil"/>
              </w:pBdr>
              <w:ind w:left="113" w:hanging="113"/>
              <w:rPr>
                <w:color w:val="000000"/>
              </w:rPr>
            </w:pPr>
            <w:r w:rsidRPr="008A5EFD">
              <w:rPr>
                <w:color w:val="000000"/>
              </w:rPr>
              <w:t>Debt securities designated as at FVTPL at initial recognition</w:t>
            </w:r>
          </w:p>
        </w:tc>
        <w:tc>
          <w:tcPr>
            <w:tcW w:w="893" w:type="pct"/>
          </w:tcPr>
          <w:p w14:paraId="0A7DBDF0" w14:textId="77777777" w:rsidR="005041C2" w:rsidRPr="008A5EFD" w:rsidRDefault="005041C2" w:rsidP="001B330E">
            <w:pPr>
              <w:widowControl w:val="0"/>
              <w:pBdr>
                <w:top w:val="nil"/>
                <w:left w:val="nil"/>
                <w:bottom w:val="nil"/>
                <w:right w:val="nil"/>
                <w:between w:val="nil"/>
              </w:pBdr>
              <w:jc w:val="right"/>
              <w:rPr>
                <w:color w:val="000000"/>
              </w:rPr>
            </w:pPr>
          </w:p>
        </w:tc>
        <w:tc>
          <w:tcPr>
            <w:tcW w:w="893" w:type="pct"/>
            <w:shd w:val="clear" w:color="auto" w:fill="auto"/>
            <w:vAlign w:val="bottom"/>
          </w:tcPr>
          <w:p w14:paraId="14EC699F" w14:textId="77777777" w:rsidR="005041C2" w:rsidRPr="008A5EFD" w:rsidRDefault="005041C2" w:rsidP="001B330E">
            <w:pPr>
              <w:widowControl w:val="0"/>
              <w:pBdr>
                <w:top w:val="nil"/>
                <w:left w:val="nil"/>
                <w:bottom w:val="nil"/>
                <w:right w:val="nil"/>
                <w:between w:val="nil"/>
              </w:pBdr>
              <w:jc w:val="right"/>
              <w:rPr>
                <w:color w:val="000000"/>
              </w:rPr>
            </w:pPr>
          </w:p>
        </w:tc>
      </w:tr>
      <w:tr w:rsidR="005041C2" w:rsidRPr="008A5EFD" w14:paraId="08F3411B" w14:textId="77777777" w:rsidTr="001B330E">
        <w:trPr>
          <w:trHeight w:val="23"/>
        </w:trPr>
        <w:tc>
          <w:tcPr>
            <w:tcW w:w="3214" w:type="pct"/>
            <w:shd w:val="clear" w:color="auto" w:fill="auto"/>
            <w:vAlign w:val="bottom"/>
          </w:tcPr>
          <w:p w14:paraId="3193F151" w14:textId="77777777" w:rsidR="005041C2" w:rsidRPr="008A5EFD" w:rsidRDefault="005041C2" w:rsidP="001B330E">
            <w:pPr>
              <w:widowControl w:val="0"/>
              <w:pBdr>
                <w:top w:val="nil"/>
                <w:left w:val="nil"/>
                <w:bottom w:val="nil"/>
                <w:right w:val="nil"/>
                <w:between w:val="nil"/>
              </w:pBdr>
              <w:ind w:left="113" w:hanging="113"/>
              <w:rPr>
                <w:color w:val="000000"/>
              </w:rPr>
            </w:pPr>
            <w:r w:rsidRPr="008A5EFD">
              <w:rPr>
                <w:color w:val="000000"/>
              </w:rPr>
              <w:t>Debt securities at FVOCI</w:t>
            </w:r>
          </w:p>
        </w:tc>
        <w:tc>
          <w:tcPr>
            <w:tcW w:w="893" w:type="pct"/>
          </w:tcPr>
          <w:p w14:paraId="1B44819B" w14:textId="77777777" w:rsidR="005041C2" w:rsidRPr="008A5EFD" w:rsidRDefault="005041C2" w:rsidP="001B330E">
            <w:pPr>
              <w:widowControl w:val="0"/>
              <w:pBdr>
                <w:top w:val="nil"/>
                <w:left w:val="nil"/>
                <w:bottom w:val="nil"/>
                <w:right w:val="nil"/>
                <w:between w:val="nil"/>
              </w:pBdr>
              <w:jc w:val="right"/>
              <w:rPr>
                <w:color w:val="000000"/>
              </w:rPr>
            </w:pPr>
          </w:p>
        </w:tc>
        <w:tc>
          <w:tcPr>
            <w:tcW w:w="893" w:type="pct"/>
            <w:shd w:val="clear" w:color="auto" w:fill="auto"/>
            <w:vAlign w:val="bottom"/>
          </w:tcPr>
          <w:p w14:paraId="2E2CD4FA" w14:textId="77777777" w:rsidR="005041C2" w:rsidRPr="008A5EFD" w:rsidRDefault="005041C2" w:rsidP="001B330E">
            <w:pPr>
              <w:widowControl w:val="0"/>
              <w:pBdr>
                <w:top w:val="nil"/>
                <w:left w:val="nil"/>
                <w:bottom w:val="nil"/>
                <w:right w:val="nil"/>
                <w:between w:val="nil"/>
              </w:pBdr>
              <w:jc w:val="right"/>
              <w:rPr>
                <w:color w:val="000000"/>
              </w:rPr>
            </w:pPr>
          </w:p>
        </w:tc>
      </w:tr>
      <w:tr w:rsidR="005041C2" w:rsidRPr="008A5EFD" w14:paraId="7C693B07" w14:textId="77777777" w:rsidTr="001B330E">
        <w:trPr>
          <w:trHeight w:val="23"/>
        </w:trPr>
        <w:tc>
          <w:tcPr>
            <w:tcW w:w="3214" w:type="pct"/>
            <w:shd w:val="clear" w:color="auto" w:fill="auto"/>
            <w:vAlign w:val="bottom"/>
          </w:tcPr>
          <w:p w14:paraId="77156AD1" w14:textId="77777777" w:rsidR="005041C2" w:rsidRPr="008A5EFD" w:rsidRDefault="005041C2" w:rsidP="001B330E">
            <w:pPr>
              <w:widowControl w:val="0"/>
              <w:pBdr>
                <w:top w:val="nil"/>
                <w:left w:val="nil"/>
                <w:bottom w:val="nil"/>
                <w:right w:val="nil"/>
                <w:between w:val="nil"/>
              </w:pBdr>
              <w:ind w:left="113" w:hanging="113"/>
              <w:rPr>
                <w:i/>
                <w:color w:val="000000"/>
              </w:rPr>
            </w:pPr>
            <w:r w:rsidRPr="008A5EFD">
              <w:rPr>
                <w:color w:val="000000"/>
              </w:rPr>
              <w:t>Debt securities at AC</w:t>
            </w:r>
          </w:p>
        </w:tc>
        <w:tc>
          <w:tcPr>
            <w:tcW w:w="893" w:type="pct"/>
          </w:tcPr>
          <w:p w14:paraId="738F25FA" w14:textId="77777777" w:rsidR="005041C2" w:rsidRPr="008A5EFD" w:rsidRDefault="005041C2" w:rsidP="001B330E">
            <w:pPr>
              <w:widowControl w:val="0"/>
              <w:pBdr>
                <w:top w:val="nil"/>
                <w:left w:val="nil"/>
                <w:bottom w:val="nil"/>
                <w:right w:val="nil"/>
                <w:between w:val="nil"/>
              </w:pBdr>
              <w:jc w:val="right"/>
              <w:rPr>
                <w:color w:val="000000"/>
              </w:rPr>
            </w:pPr>
          </w:p>
        </w:tc>
        <w:tc>
          <w:tcPr>
            <w:tcW w:w="893" w:type="pct"/>
            <w:shd w:val="clear" w:color="auto" w:fill="auto"/>
            <w:vAlign w:val="bottom"/>
          </w:tcPr>
          <w:p w14:paraId="55B0D85D" w14:textId="77777777" w:rsidR="005041C2" w:rsidRPr="008A5EFD" w:rsidRDefault="005041C2" w:rsidP="001B330E">
            <w:pPr>
              <w:widowControl w:val="0"/>
              <w:pBdr>
                <w:top w:val="nil"/>
                <w:left w:val="nil"/>
                <w:bottom w:val="nil"/>
                <w:right w:val="nil"/>
                <w:between w:val="nil"/>
              </w:pBdr>
              <w:jc w:val="right"/>
              <w:rPr>
                <w:color w:val="000000"/>
              </w:rPr>
            </w:pPr>
          </w:p>
        </w:tc>
      </w:tr>
      <w:tr w:rsidR="005041C2" w:rsidRPr="008A5EFD" w14:paraId="237740D0" w14:textId="77777777" w:rsidTr="001B330E">
        <w:trPr>
          <w:trHeight w:val="23"/>
        </w:trPr>
        <w:tc>
          <w:tcPr>
            <w:tcW w:w="3214" w:type="pct"/>
            <w:tcBorders>
              <w:bottom w:val="single" w:sz="4" w:space="0" w:color="000000"/>
            </w:tcBorders>
            <w:shd w:val="clear" w:color="auto" w:fill="auto"/>
            <w:vAlign w:val="bottom"/>
          </w:tcPr>
          <w:p w14:paraId="6C0A742D" w14:textId="77777777" w:rsidR="005041C2" w:rsidRPr="001B330E" w:rsidRDefault="005041C2" w:rsidP="001B330E">
            <w:pPr>
              <w:widowControl w:val="0"/>
              <w:pBdr>
                <w:top w:val="nil"/>
                <w:left w:val="nil"/>
                <w:bottom w:val="nil"/>
                <w:right w:val="nil"/>
                <w:between w:val="nil"/>
              </w:pBdr>
              <w:ind w:left="113" w:hanging="113"/>
              <w:rPr>
                <w:i/>
                <w:color w:val="000000"/>
                <w:szCs w:val="10"/>
              </w:rPr>
            </w:pPr>
            <w:r w:rsidRPr="001B330E">
              <w:rPr>
                <w:i/>
                <w:color w:val="000000"/>
                <w:szCs w:val="10"/>
              </w:rPr>
              <w:t> </w:t>
            </w:r>
          </w:p>
        </w:tc>
        <w:tc>
          <w:tcPr>
            <w:tcW w:w="893" w:type="pct"/>
            <w:tcBorders>
              <w:bottom w:val="single" w:sz="4" w:space="0" w:color="000000"/>
            </w:tcBorders>
          </w:tcPr>
          <w:p w14:paraId="742AB1B2" w14:textId="77777777" w:rsidR="005041C2" w:rsidRPr="001B330E" w:rsidRDefault="005041C2" w:rsidP="001B330E">
            <w:pPr>
              <w:widowControl w:val="0"/>
              <w:pBdr>
                <w:top w:val="nil"/>
                <w:left w:val="nil"/>
                <w:bottom w:val="nil"/>
                <w:right w:val="nil"/>
                <w:between w:val="nil"/>
              </w:pBdr>
              <w:jc w:val="right"/>
              <w:rPr>
                <w:color w:val="000000"/>
                <w:szCs w:val="10"/>
              </w:rPr>
            </w:pPr>
          </w:p>
        </w:tc>
        <w:tc>
          <w:tcPr>
            <w:tcW w:w="893" w:type="pct"/>
            <w:tcBorders>
              <w:bottom w:val="single" w:sz="4" w:space="0" w:color="000000"/>
            </w:tcBorders>
            <w:shd w:val="clear" w:color="auto" w:fill="auto"/>
            <w:vAlign w:val="bottom"/>
          </w:tcPr>
          <w:p w14:paraId="24EFED81" w14:textId="77777777" w:rsidR="005041C2" w:rsidRPr="001B330E" w:rsidRDefault="005041C2" w:rsidP="001B330E">
            <w:pPr>
              <w:widowControl w:val="0"/>
              <w:pBdr>
                <w:top w:val="nil"/>
                <w:left w:val="nil"/>
                <w:bottom w:val="nil"/>
                <w:right w:val="nil"/>
                <w:between w:val="nil"/>
              </w:pBdr>
              <w:jc w:val="right"/>
              <w:rPr>
                <w:color w:val="000000"/>
                <w:szCs w:val="10"/>
              </w:rPr>
            </w:pPr>
          </w:p>
        </w:tc>
      </w:tr>
      <w:tr w:rsidR="005041C2" w:rsidRPr="008A5EFD" w14:paraId="37097B41" w14:textId="77777777" w:rsidTr="001B330E">
        <w:trPr>
          <w:trHeight w:val="23"/>
        </w:trPr>
        <w:tc>
          <w:tcPr>
            <w:tcW w:w="3214" w:type="pct"/>
            <w:tcBorders>
              <w:top w:val="single" w:sz="4" w:space="0" w:color="000000"/>
            </w:tcBorders>
            <w:shd w:val="clear" w:color="auto" w:fill="auto"/>
            <w:vAlign w:val="bottom"/>
          </w:tcPr>
          <w:p w14:paraId="30FE21F6" w14:textId="77777777" w:rsidR="005041C2" w:rsidRPr="001B330E" w:rsidRDefault="005041C2" w:rsidP="001B330E">
            <w:pPr>
              <w:widowControl w:val="0"/>
              <w:pBdr>
                <w:top w:val="nil"/>
                <w:left w:val="nil"/>
                <w:bottom w:val="nil"/>
                <w:right w:val="nil"/>
                <w:between w:val="nil"/>
              </w:pBdr>
              <w:ind w:left="113" w:hanging="113"/>
              <w:rPr>
                <w:i/>
                <w:color w:val="000000"/>
                <w:szCs w:val="10"/>
              </w:rPr>
            </w:pPr>
            <w:r w:rsidRPr="001B330E">
              <w:rPr>
                <w:i/>
                <w:color w:val="000000"/>
                <w:szCs w:val="10"/>
              </w:rPr>
              <w:t> </w:t>
            </w:r>
          </w:p>
        </w:tc>
        <w:tc>
          <w:tcPr>
            <w:tcW w:w="893" w:type="pct"/>
            <w:tcBorders>
              <w:top w:val="single" w:sz="4" w:space="0" w:color="000000"/>
            </w:tcBorders>
          </w:tcPr>
          <w:p w14:paraId="11756F77" w14:textId="77777777" w:rsidR="005041C2" w:rsidRPr="001B330E" w:rsidRDefault="005041C2" w:rsidP="001B330E">
            <w:pPr>
              <w:widowControl w:val="0"/>
              <w:pBdr>
                <w:top w:val="nil"/>
                <w:left w:val="nil"/>
                <w:bottom w:val="nil"/>
                <w:right w:val="nil"/>
                <w:between w:val="nil"/>
              </w:pBdr>
              <w:jc w:val="right"/>
              <w:rPr>
                <w:color w:val="000000"/>
                <w:szCs w:val="10"/>
              </w:rPr>
            </w:pPr>
          </w:p>
        </w:tc>
        <w:tc>
          <w:tcPr>
            <w:tcW w:w="893" w:type="pct"/>
            <w:tcBorders>
              <w:top w:val="single" w:sz="4" w:space="0" w:color="000000"/>
            </w:tcBorders>
            <w:shd w:val="clear" w:color="auto" w:fill="auto"/>
            <w:vAlign w:val="bottom"/>
          </w:tcPr>
          <w:p w14:paraId="6141DEB4" w14:textId="77777777" w:rsidR="005041C2" w:rsidRPr="001B330E" w:rsidRDefault="005041C2" w:rsidP="001B330E">
            <w:pPr>
              <w:widowControl w:val="0"/>
              <w:pBdr>
                <w:top w:val="nil"/>
                <w:left w:val="nil"/>
                <w:bottom w:val="nil"/>
                <w:right w:val="nil"/>
                <w:between w:val="nil"/>
              </w:pBdr>
              <w:jc w:val="right"/>
              <w:rPr>
                <w:color w:val="000000"/>
                <w:szCs w:val="10"/>
              </w:rPr>
            </w:pPr>
          </w:p>
        </w:tc>
      </w:tr>
      <w:tr w:rsidR="005041C2" w:rsidRPr="008A5EFD" w14:paraId="4D7E0B65" w14:textId="77777777" w:rsidTr="001B330E">
        <w:trPr>
          <w:trHeight w:val="23"/>
        </w:trPr>
        <w:tc>
          <w:tcPr>
            <w:tcW w:w="3214" w:type="pct"/>
            <w:shd w:val="clear" w:color="auto" w:fill="auto"/>
            <w:vAlign w:val="bottom"/>
          </w:tcPr>
          <w:p w14:paraId="01CA3A9E" w14:textId="77777777" w:rsidR="005041C2" w:rsidRPr="008A5EFD" w:rsidRDefault="005041C2" w:rsidP="001B330E">
            <w:pPr>
              <w:widowControl w:val="0"/>
              <w:pBdr>
                <w:top w:val="nil"/>
                <w:left w:val="nil"/>
                <w:bottom w:val="nil"/>
                <w:right w:val="nil"/>
                <w:between w:val="nil"/>
              </w:pBdr>
              <w:ind w:left="113" w:hanging="113"/>
              <w:rPr>
                <w:i/>
                <w:color w:val="000000"/>
              </w:rPr>
            </w:pPr>
            <w:r w:rsidRPr="008A5EFD">
              <w:rPr>
                <w:b/>
                <w:color w:val="000000"/>
              </w:rPr>
              <w:t xml:space="preserve">Total investments in debt securities </w:t>
            </w:r>
          </w:p>
        </w:tc>
        <w:tc>
          <w:tcPr>
            <w:tcW w:w="893" w:type="pct"/>
          </w:tcPr>
          <w:p w14:paraId="58C0273A" w14:textId="77777777" w:rsidR="005041C2" w:rsidRPr="008A5EFD" w:rsidRDefault="005041C2" w:rsidP="001B330E">
            <w:pPr>
              <w:widowControl w:val="0"/>
              <w:pBdr>
                <w:top w:val="nil"/>
                <w:left w:val="nil"/>
                <w:bottom w:val="nil"/>
                <w:right w:val="nil"/>
                <w:between w:val="nil"/>
              </w:pBdr>
              <w:jc w:val="right"/>
              <w:rPr>
                <w:color w:val="000000"/>
              </w:rPr>
            </w:pPr>
          </w:p>
        </w:tc>
        <w:tc>
          <w:tcPr>
            <w:tcW w:w="893" w:type="pct"/>
            <w:shd w:val="clear" w:color="auto" w:fill="auto"/>
            <w:vAlign w:val="bottom"/>
          </w:tcPr>
          <w:p w14:paraId="5EADD2D5" w14:textId="77777777" w:rsidR="005041C2" w:rsidRPr="008A5EFD" w:rsidRDefault="005041C2" w:rsidP="001B330E">
            <w:pPr>
              <w:widowControl w:val="0"/>
              <w:pBdr>
                <w:top w:val="nil"/>
                <w:left w:val="nil"/>
                <w:bottom w:val="nil"/>
                <w:right w:val="nil"/>
                <w:between w:val="nil"/>
              </w:pBdr>
              <w:jc w:val="right"/>
              <w:rPr>
                <w:color w:val="000000"/>
              </w:rPr>
            </w:pPr>
          </w:p>
        </w:tc>
      </w:tr>
      <w:tr w:rsidR="00DB0A34" w:rsidRPr="008A5EFD" w14:paraId="5B29B8AB" w14:textId="77777777" w:rsidTr="00E960A4">
        <w:trPr>
          <w:trHeight w:val="23"/>
        </w:trPr>
        <w:tc>
          <w:tcPr>
            <w:tcW w:w="3214" w:type="pct"/>
            <w:tcBorders>
              <w:bottom w:val="single" w:sz="12" w:space="0" w:color="000000"/>
            </w:tcBorders>
            <w:shd w:val="clear" w:color="auto" w:fill="auto"/>
            <w:vAlign w:val="bottom"/>
          </w:tcPr>
          <w:p w14:paraId="26E40B51" w14:textId="77777777" w:rsidR="00DB0A34" w:rsidRPr="001B330E" w:rsidRDefault="00DB0A34" w:rsidP="00DB0A34">
            <w:pPr>
              <w:widowControl w:val="0"/>
              <w:pBdr>
                <w:top w:val="nil"/>
                <w:left w:val="nil"/>
                <w:bottom w:val="nil"/>
                <w:right w:val="nil"/>
                <w:between w:val="nil"/>
              </w:pBdr>
              <w:rPr>
                <w:i/>
                <w:color w:val="000000"/>
                <w:szCs w:val="10"/>
              </w:rPr>
            </w:pPr>
          </w:p>
        </w:tc>
        <w:tc>
          <w:tcPr>
            <w:tcW w:w="893" w:type="pct"/>
            <w:tcBorders>
              <w:bottom w:val="single" w:sz="12" w:space="0" w:color="000000"/>
            </w:tcBorders>
          </w:tcPr>
          <w:p w14:paraId="1592FA9F" w14:textId="77777777" w:rsidR="00DB0A34" w:rsidRPr="001B330E" w:rsidRDefault="00DB0A34" w:rsidP="00E960A4">
            <w:pPr>
              <w:widowControl w:val="0"/>
              <w:pBdr>
                <w:top w:val="nil"/>
                <w:left w:val="nil"/>
                <w:bottom w:val="nil"/>
                <w:right w:val="nil"/>
                <w:between w:val="nil"/>
              </w:pBdr>
              <w:rPr>
                <w:color w:val="000000"/>
                <w:szCs w:val="10"/>
              </w:rPr>
            </w:pPr>
          </w:p>
        </w:tc>
        <w:tc>
          <w:tcPr>
            <w:tcW w:w="893" w:type="pct"/>
            <w:tcBorders>
              <w:bottom w:val="single" w:sz="12" w:space="0" w:color="000000"/>
            </w:tcBorders>
            <w:shd w:val="clear" w:color="auto" w:fill="auto"/>
            <w:vAlign w:val="bottom"/>
          </w:tcPr>
          <w:p w14:paraId="42A55138" w14:textId="77777777" w:rsidR="00DB0A34" w:rsidRPr="001B330E" w:rsidRDefault="00DB0A34" w:rsidP="00E960A4">
            <w:pPr>
              <w:widowControl w:val="0"/>
              <w:pBdr>
                <w:top w:val="nil"/>
                <w:left w:val="nil"/>
                <w:bottom w:val="nil"/>
                <w:right w:val="nil"/>
                <w:between w:val="nil"/>
              </w:pBdr>
              <w:rPr>
                <w:color w:val="000000"/>
                <w:szCs w:val="10"/>
              </w:rPr>
            </w:pPr>
          </w:p>
        </w:tc>
      </w:tr>
    </w:tbl>
    <w:p w14:paraId="72423AB6" w14:textId="77777777" w:rsidR="00DB0A34" w:rsidRDefault="00DB0A34"/>
    <w:p w14:paraId="514F71CC" w14:textId="2AE5FFD7" w:rsidR="00DB0A34" w:rsidRDefault="00DB0A34" w:rsidP="0049022E">
      <w:pPr>
        <w:jc w:val="both"/>
        <w:rPr>
          <w:color w:val="000000"/>
          <w:sz w:val="20"/>
          <w:szCs w:val="20"/>
        </w:rPr>
      </w:pPr>
      <w:r>
        <w:rPr>
          <w:color w:val="000000"/>
          <w:sz w:val="20"/>
          <w:szCs w:val="20"/>
        </w:rPr>
        <w:t xml:space="preserve">All purchases and sales of financial assets that require delivery within the time frame established by regulation or market convention (“regular way” purchases and sales) are recorded at trade date, which is the date on which the Group commits to deliver a financial asset. </w:t>
      </w:r>
    </w:p>
    <w:p w14:paraId="2AFFA3FF" w14:textId="14ED2393"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 xml:space="preserve">[Based on the business model and the cash flow characteristics, the Group classifies investments in debt securities as carried at AC, FVOCI or FVTPL. Debt securities are carried at AC if they are held for collection of contractual cash flows and where those cash flows represent SPPI, and if they are not voluntarily designated at FVTPL in order to significantly reduce an accounting mismatch. </w:t>
      </w:r>
    </w:p>
    <w:p w14:paraId="2C433C17" w14:textId="77777777"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Debt securities are carried at FVOCI if they are held for collection of contractual cash flows and for selling, where those cash flows represent SPPI, and if they are not designated at FVTPL. Interest income from these assets is calculated using the effective interest method and recognised in profit or loss. An impairment allowance estimated using the expected credit loss model is recognised in profit or loss for the year. All other changes in the carrying value are recognised in OCI. When the debt security is derecognised, the cumulative gain or loss previously recognised in OCI is reclassified from OCI to profit or loss.</w:t>
      </w:r>
    </w:p>
    <w:p w14:paraId="2A64F8A7" w14:textId="3D2A6E01" w:rsidR="0049022E" w:rsidRPr="0049022E" w:rsidRDefault="0049022E" w:rsidP="0049022E">
      <w:pPr>
        <w:widowControl w:val="0"/>
        <w:pBdr>
          <w:top w:val="nil"/>
          <w:left w:val="nil"/>
          <w:bottom w:val="nil"/>
          <w:right w:val="nil"/>
          <w:between w:val="nil"/>
        </w:pBdr>
        <w:spacing w:before="200" w:after="200"/>
        <w:jc w:val="both"/>
        <w:rPr>
          <w:b/>
          <w:color w:val="0000FF"/>
          <w:sz w:val="20"/>
          <w:szCs w:val="20"/>
        </w:rPr>
      </w:pPr>
      <w:r w:rsidRPr="0049022E">
        <w:rPr>
          <w:color w:val="0000FF"/>
          <w:sz w:val="20"/>
          <w:szCs w:val="20"/>
        </w:rPr>
        <w:t>Investments in debt securities are carried at FVTPL if they do not meet the criteria for AC or FVOCI. The Group may also irrevocably designate investments in debt securities at FVTPL on initial recognition if applying this option significantly reduces an accounting mismatch between financial assets and liabilities being recognised or measured on different accounting bases.]</w:t>
      </w:r>
    </w:p>
    <w:p w14:paraId="7525A5F1" w14:textId="5E026E50" w:rsidR="008A5EFD" w:rsidRDefault="008A5EFD" w:rsidP="001B330E">
      <w:pPr>
        <w:pStyle w:val="Continued"/>
      </w:pPr>
      <w:r>
        <w:lastRenderedPageBreak/>
        <w:t>9</w:t>
      </w:r>
      <w:r>
        <w:tab/>
        <w:t>Investments in Debt Securities (Continued)</w:t>
      </w:r>
    </w:p>
    <w:p w14:paraId="330E5D3E" w14:textId="4F34A3B6"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The table below discloses investments in debt securities at 31</w:t>
      </w:r>
      <w:r w:rsidR="00181687">
        <w:rPr>
          <w:color w:val="000000"/>
          <w:sz w:val="20"/>
          <w:szCs w:val="20"/>
        </w:rPr>
        <w:t> December </w:t>
      </w:r>
      <w:r w:rsidR="00541EBC">
        <w:rPr>
          <w:color w:val="000000"/>
          <w:sz w:val="20"/>
          <w:szCs w:val="20"/>
        </w:rPr>
        <w:t>2024</w:t>
      </w:r>
      <w:r>
        <w:rPr>
          <w:color w:val="000000"/>
          <w:sz w:val="20"/>
          <w:szCs w:val="20"/>
        </w:rPr>
        <w:t xml:space="preserve"> by measurement categories and classes:</w:t>
      </w:r>
    </w:p>
    <w:tbl>
      <w:tblPr>
        <w:tblStyle w:val="af8"/>
        <w:tblW w:w="5000" w:type="pct"/>
        <w:tblLook w:val="0000" w:firstRow="0" w:lastRow="0" w:firstColumn="0" w:lastColumn="0" w:noHBand="0" w:noVBand="0"/>
      </w:tblPr>
      <w:tblGrid>
        <w:gridCol w:w="3699"/>
        <w:gridCol w:w="1247"/>
        <w:gridCol w:w="1207"/>
        <w:gridCol w:w="1067"/>
        <w:gridCol w:w="1067"/>
        <w:gridCol w:w="1068"/>
      </w:tblGrid>
      <w:tr w:rsidR="008A5EFD" w:rsidRPr="008A5EFD" w14:paraId="154ACD20" w14:textId="77777777" w:rsidTr="001B330E">
        <w:trPr>
          <w:trHeight w:val="23"/>
        </w:trPr>
        <w:tc>
          <w:tcPr>
            <w:tcW w:w="1977" w:type="pct"/>
            <w:tcBorders>
              <w:bottom w:val="single" w:sz="4" w:space="0" w:color="000000"/>
            </w:tcBorders>
            <w:shd w:val="clear" w:color="auto" w:fill="auto"/>
            <w:vAlign w:val="bottom"/>
          </w:tcPr>
          <w:p w14:paraId="491BF0A9" w14:textId="7BBE25CB" w:rsidR="00D83E33" w:rsidRPr="008A5EFD"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66" w:type="pct"/>
            <w:tcBorders>
              <w:bottom w:val="single" w:sz="4" w:space="0" w:color="000000"/>
            </w:tcBorders>
            <w:shd w:val="clear" w:color="auto" w:fill="auto"/>
          </w:tcPr>
          <w:p w14:paraId="4FEC54C4"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Debt securities mandatorily measured at FVTPL</w:t>
            </w:r>
          </w:p>
        </w:tc>
        <w:tc>
          <w:tcPr>
            <w:tcW w:w="645" w:type="pct"/>
            <w:tcBorders>
              <w:bottom w:val="single" w:sz="4" w:space="0" w:color="000000"/>
            </w:tcBorders>
            <w:shd w:val="clear" w:color="auto" w:fill="auto"/>
          </w:tcPr>
          <w:p w14:paraId="387CC715"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Debt securities designated as at FVTPL at initial recognition</w:t>
            </w:r>
          </w:p>
        </w:tc>
        <w:tc>
          <w:tcPr>
            <w:tcW w:w="570" w:type="pct"/>
            <w:tcBorders>
              <w:bottom w:val="single" w:sz="4" w:space="0" w:color="000000"/>
            </w:tcBorders>
          </w:tcPr>
          <w:p w14:paraId="25EE4F57"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Debt securities at FVOCI</w:t>
            </w:r>
          </w:p>
        </w:tc>
        <w:tc>
          <w:tcPr>
            <w:tcW w:w="570" w:type="pct"/>
            <w:tcBorders>
              <w:bottom w:val="single" w:sz="4" w:space="0" w:color="000000"/>
            </w:tcBorders>
            <w:shd w:val="clear" w:color="auto" w:fill="auto"/>
          </w:tcPr>
          <w:p w14:paraId="426686DC"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Debt securities at AC</w:t>
            </w:r>
          </w:p>
        </w:tc>
        <w:tc>
          <w:tcPr>
            <w:tcW w:w="571" w:type="pct"/>
            <w:tcBorders>
              <w:bottom w:val="single" w:sz="4" w:space="0" w:color="000000"/>
            </w:tcBorders>
            <w:shd w:val="clear" w:color="auto" w:fill="auto"/>
          </w:tcPr>
          <w:p w14:paraId="72507FFC"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Total</w:t>
            </w:r>
          </w:p>
        </w:tc>
      </w:tr>
      <w:tr w:rsidR="008A5EFD" w:rsidRPr="008A5EFD" w14:paraId="7C00D1D9" w14:textId="77777777" w:rsidTr="001B330E">
        <w:trPr>
          <w:trHeight w:val="23"/>
        </w:trPr>
        <w:tc>
          <w:tcPr>
            <w:tcW w:w="1977" w:type="pct"/>
            <w:shd w:val="clear" w:color="auto" w:fill="auto"/>
            <w:vAlign w:val="bottom"/>
          </w:tcPr>
          <w:p w14:paraId="71AC11B9" w14:textId="77777777" w:rsidR="00D83E33" w:rsidRPr="001B330E" w:rsidRDefault="00BC4072" w:rsidP="001B330E">
            <w:pPr>
              <w:widowControl w:val="0"/>
              <w:ind w:left="113" w:hanging="113"/>
              <w:rPr>
                <w:b/>
                <w:szCs w:val="10"/>
                <w:u w:val="single"/>
              </w:rPr>
            </w:pPr>
            <w:r w:rsidRPr="001B330E">
              <w:rPr>
                <w:szCs w:val="10"/>
              </w:rPr>
              <w:t> </w:t>
            </w:r>
          </w:p>
        </w:tc>
        <w:tc>
          <w:tcPr>
            <w:tcW w:w="666" w:type="pct"/>
            <w:shd w:val="clear" w:color="auto" w:fill="auto"/>
            <w:vAlign w:val="bottom"/>
          </w:tcPr>
          <w:p w14:paraId="7130E2E3" w14:textId="77777777" w:rsidR="00D83E33" w:rsidRPr="001B330E" w:rsidRDefault="00D83E33" w:rsidP="001B330E">
            <w:pPr>
              <w:widowControl w:val="0"/>
              <w:jc w:val="right"/>
              <w:rPr>
                <w:szCs w:val="10"/>
              </w:rPr>
            </w:pPr>
          </w:p>
        </w:tc>
        <w:tc>
          <w:tcPr>
            <w:tcW w:w="645" w:type="pct"/>
            <w:shd w:val="clear" w:color="auto" w:fill="auto"/>
            <w:vAlign w:val="bottom"/>
          </w:tcPr>
          <w:p w14:paraId="7B7D01E4" w14:textId="77777777" w:rsidR="00D83E33" w:rsidRPr="001B330E" w:rsidRDefault="00D83E33" w:rsidP="001B330E">
            <w:pPr>
              <w:widowControl w:val="0"/>
              <w:jc w:val="right"/>
              <w:rPr>
                <w:szCs w:val="10"/>
              </w:rPr>
            </w:pPr>
          </w:p>
        </w:tc>
        <w:tc>
          <w:tcPr>
            <w:tcW w:w="570" w:type="pct"/>
            <w:vAlign w:val="bottom"/>
          </w:tcPr>
          <w:p w14:paraId="05BE8988" w14:textId="77777777" w:rsidR="00D83E33" w:rsidRPr="001B330E" w:rsidRDefault="00D83E33" w:rsidP="001B330E">
            <w:pPr>
              <w:widowControl w:val="0"/>
              <w:jc w:val="right"/>
              <w:rPr>
                <w:szCs w:val="10"/>
              </w:rPr>
            </w:pPr>
          </w:p>
        </w:tc>
        <w:tc>
          <w:tcPr>
            <w:tcW w:w="570" w:type="pct"/>
            <w:shd w:val="clear" w:color="auto" w:fill="auto"/>
            <w:vAlign w:val="bottom"/>
          </w:tcPr>
          <w:p w14:paraId="79AEEA10" w14:textId="77777777" w:rsidR="00D83E33" w:rsidRPr="001B330E" w:rsidRDefault="00D83E33" w:rsidP="001B330E">
            <w:pPr>
              <w:widowControl w:val="0"/>
              <w:jc w:val="right"/>
              <w:rPr>
                <w:szCs w:val="10"/>
              </w:rPr>
            </w:pPr>
          </w:p>
        </w:tc>
        <w:tc>
          <w:tcPr>
            <w:tcW w:w="571" w:type="pct"/>
            <w:shd w:val="clear" w:color="auto" w:fill="auto"/>
            <w:vAlign w:val="bottom"/>
          </w:tcPr>
          <w:p w14:paraId="465668D7" w14:textId="77777777" w:rsidR="00D83E33" w:rsidRPr="001B330E" w:rsidRDefault="00D83E33" w:rsidP="001B330E">
            <w:pPr>
              <w:widowControl w:val="0"/>
              <w:jc w:val="right"/>
              <w:rPr>
                <w:szCs w:val="10"/>
              </w:rPr>
            </w:pPr>
          </w:p>
        </w:tc>
      </w:tr>
      <w:tr w:rsidR="008A5EFD" w:rsidRPr="008A5EFD" w14:paraId="6DE5C6AB" w14:textId="77777777" w:rsidTr="001B330E">
        <w:trPr>
          <w:trHeight w:val="23"/>
        </w:trPr>
        <w:tc>
          <w:tcPr>
            <w:tcW w:w="1977" w:type="pct"/>
            <w:shd w:val="clear" w:color="auto" w:fill="auto"/>
            <w:vAlign w:val="bottom"/>
          </w:tcPr>
          <w:p w14:paraId="467F788E" w14:textId="7457ADED" w:rsidR="00D83E33" w:rsidRPr="008A5EFD" w:rsidRDefault="00372E26" w:rsidP="001B330E">
            <w:pPr>
              <w:widowControl w:val="0"/>
              <w:pBdr>
                <w:top w:val="nil"/>
                <w:left w:val="nil"/>
                <w:bottom w:val="nil"/>
                <w:right w:val="nil"/>
                <w:between w:val="nil"/>
              </w:pBdr>
              <w:ind w:left="113" w:hanging="113"/>
              <w:rPr>
                <w:color w:val="000000"/>
              </w:rPr>
            </w:pPr>
            <w:r>
              <w:rPr>
                <w:color w:val="000000"/>
              </w:rPr>
              <w:t>[Country]</w:t>
            </w:r>
            <w:r w:rsidR="00BC4072" w:rsidRPr="008A5EFD">
              <w:rPr>
                <w:color w:val="000000"/>
              </w:rPr>
              <w:t xml:space="preserve"> government bonds</w:t>
            </w:r>
          </w:p>
        </w:tc>
        <w:tc>
          <w:tcPr>
            <w:tcW w:w="666" w:type="pct"/>
            <w:shd w:val="clear" w:color="auto" w:fill="auto"/>
            <w:vAlign w:val="bottom"/>
          </w:tcPr>
          <w:p w14:paraId="2340A9D8" w14:textId="77777777" w:rsidR="00D83E33" w:rsidRPr="008A5EFD" w:rsidRDefault="00D83E33" w:rsidP="001B330E">
            <w:pPr>
              <w:widowControl w:val="0"/>
              <w:pBdr>
                <w:top w:val="nil"/>
                <w:left w:val="nil"/>
                <w:bottom w:val="nil"/>
                <w:right w:val="nil"/>
                <w:between w:val="nil"/>
              </w:pBdr>
              <w:jc w:val="right"/>
              <w:rPr>
                <w:color w:val="000000"/>
              </w:rPr>
            </w:pPr>
          </w:p>
        </w:tc>
        <w:tc>
          <w:tcPr>
            <w:tcW w:w="645" w:type="pct"/>
            <w:shd w:val="clear" w:color="auto" w:fill="auto"/>
            <w:vAlign w:val="bottom"/>
          </w:tcPr>
          <w:p w14:paraId="02C0772C"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vAlign w:val="bottom"/>
          </w:tcPr>
          <w:p w14:paraId="2CA89333"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shd w:val="clear" w:color="auto" w:fill="auto"/>
            <w:vAlign w:val="bottom"/>
          </w:tcPr>
          <w:p w14:paraId="5A23D88E" w14:textId="77777777" w:rsidR="00D83E33" w:rsidRPr="008A5EFD" w:rsidRDefault="00D83E33" w:rsidP="001B330E">
            <w:pPr>
              <w:widowControl w:val="0"/>
              <w:pBdr>
                <w:top w:val="nil"/>
                <w:left w:val="nil"/>
                <w:bottom w:val="nil"/>
                <w:right w:val="nil"/>
                <w:between w:val="nil"/>
              </w:pBdr>
              <w:jc w:val="right"/>
              <w:rPr>
                <w:color w:val="000000"/>
              </w:rPr>
            </w:pPr>
          </w:p>
        </w:tc>
        <w:tc>
          <w:tcPr>
            <w:tcW w:w="571" w:type="pct"/>
            <w:shd w:val="clear" w:color="auto" w:fill="auto"/>
            <w:vAlign w:val="bottom"/>
          </w:tcPr>
          <w:p w14:paraId="2C37A5F1" w14:textId="77777777" w:rsidR="00D83E33" w:rsidRPr="008A5EFD" w:rsidRDefault="00D83E33" w:rsidP="001B330E">
            <w:pPr>
              <w:widowControl w:val="0"/>
              <w:pBdr>
                <w:top w:val="nil"/>
                <w:left w:val="nil"/>
                <w:bottom w:val="nil"/>
                <w:right w:val="nil"/>
                <w:between w:val="nil"/>
              </w:pBdr>
              <w:jc w:val="right"/>
              <w:rPr>
                <w:color w:val="000000"/>
              </w:rPr>
            </w:pPr>
          </w:p>
        </w:tc>
      </w:tr>
      <w:tr w:rsidR="008A5EFD" w:rsidRPr="008A5EFD" w14:paraId="14F52237" w14:textId="77777777" w:rsidTr="001B330E">
        <w:trPr>
          <w:trHeight w:val="23"/>
        </w:trPr>
        <w:tc>
          <w:tcPr>
            <w:tcW w:w="1977" w:type="pct"/>
            <w:shd w:val="clear" w:color="auto" w:fill="auto"/>
            <w:vAlign w:val="bottom"/>
          </w:tcPr>
          <w:p w14:paraId="23039033"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Municipal bonds</w:t>
            </w:r>
          </w:p>
        </w:tc>
        <w:tc>
          <w:tcPr>
            <w:tcW w:w="666" w:type="pct"/>
            <w:shd w:val="clear" w:color="auto" w:fill="auto"/>
            <w:vAlign w:val="bottom"/>
          </w:tcPr>
          <w:p w14:paraId="5ABFB497" w14:textId="77777777" w:rsidR="00D83E33" w:rsidRPr="008A5EFD" w:rsidRDefault="00D83E33" w:rsidP="001B330E">
            <w:pPr>
              <w:widowControl w:val="0"/>
              <w:pBdr>
                <w:top w:val="nil"/>
                <w:left w:val="nil"/>
                <w:bottom w:val="nil"/>
                <w:right w:val="nil"/>
                <w:between w:val="nil"/>
              </w:pBdr>
              <w:jc w:val="right"/>
              <w:rPr>
                <w:color w:val="000000"/>
              </w:rPr>
            </w:pPr>
          </w:p>
        </w:tc>
        <w:tc>
          <w:tcPr>
            <w:tcW w:w="645" w:type="pct"/>
            <w:shd w:val="clear" w:color="auto" w:fill="auto"/>
            <w:vAlign w:val="bottom"/>
          </w:tcPr>
          <w:p w14:paraId="077FEA50"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vAlign w:val="bottom"/>
          </w:tcPr>
          <w:p w14:paraId="514CB04A"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shd w:val="clear" w:color="auto" w:fill="auto"/>
            <w:vAlign w:val="bottom"/>
          </w:tcPr>
          <w:p w14:paraId="0613EDB0" w14:textId="77777777" w:rsidR="00D83E33" w:rsidRPr="008A5EFD" w:rsidRDefault="00D83E33" w:rsidP="001B330E">
            <w:pPr>
              <w:widowControl w:val="0"/>
              <w:pBdr>
                <w:top w:val="nil"/>
                <w:left w:val="nil"/>
                <w:bottom w:val="nil"/>
                <w:right w:val="nil"/>
                <w:between w:val="nil"/>
              </w:pBdr>
              <w:jc w:val="right"/>
              <w:rPr>
                <w:color w:val="000000"/>
              </w:rPr>
            </w:pPr>
          </w:p>
        </w:tc>
        <w:tc>
          <w:tcPr>
            <w:tcW w:w="571" w:type="pct"/>
            <w:shd w:val="clear" w:color="auto" w:fill="auto"/>
            <w:vAlign w:val="bottom"/>
          </w:tcPr>
          <w:p w14:paraId="45923481" w14:textId="77777777" w:rsidR="00D83E33" w:rsidRPr="008A5EFD" w:rsidRDefault="00D83E33" w:rsidP="001B330E">
            <w:pPr>
              <w:widowControl w:val="0"/>
              <w:pBdr>
                <w:top w:val="nil"/>
                <w:left w:val="nil"/>
                <w:bottom w:val="nil"/>
                <w:right w:val="nil"/>
                <w:between w:val="nil"/>
              </w:pBdr>
              <w:jc w:val="right"/>
              <w:rPr>
                <w:color w:val="000000"/>
              </w:rPr>
            </w:pPr>
          </w:p>
        </w:tc>
      </w:tr>
      <w:tr w:rsidR="008A5EFD" w:rsidRPr="008A5EFD" w14:paraId="127D1542" w14:textId="77777777" w:rsidTr="001B330E">
        <w:trPr>
          <w:trHeight w:val="23"/>
        </w:trPr>
        <w:tc>
          <w:tcPr>
            <w:tcW w:w="1977" w:type="pct"/>
            <w:shd w:val="clear" w:color="auto" w:fill="auto"/>
            <w:vAlign w:val="bottom"/>
          </w:tcPr>
          <w:p w14:paraId="1B2E5A4B"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Corporate bonds</w:t>
            </w:r>
          </w:p>
        </w:tc>
        <w:tc>
          <w:tcPr>
            <w:tcW w:w="666" w:type="pct"/>
            <w:shd w:val="clear" w:color="auto" w:fill="auto"/>
            <w:vAlign w:val="bottom"/>
          </w:tcPr>
          <w:p w14:paraId="5C4ABF91" w14:textId="77777777" w:rsidR="00D83E33" w:rsidRPr="008A5EFD" w:rsidRDefault="00D83E33" w:rsidP="001B330E">
            <w:pPr>
              <w:widowControl w:val="0"/>
              <w:pBdr>
                <w:top w:val="nil"/>
                <w:left w:val="nil"/>
                <w:bottom w:val="nil"/>
                <w:right w:val="nil"/>
                <w:between w:val="nil"/>
              </w:pBdr>
              <w:jc w:val="right"/>
              <w:rPr>
                <w:color w:val="000000"/>
              </w:rPr>
            </w:pPr>
          </w:p>
        </w:tc>
        <w:tc>
          <w:tcPr>
            <w:tcW w:w="645" w:type="pct"/>
            <w:shd w:val="clear" w:color="auto" w:fill="auto"/>
            <w:vAlign w:val="bottom"/>
          </w:tcPr>
          <w:p w14:paraId="3AA41317"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vAlign w:val="bottom"/>
          </w:tcPr>
          <w:p w14:paraId="437D2508"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shd w:val="clear" w:color="auto" w:fill="auto"/>
            <w:vAlign w:val="bottom"/>
          </w:tcPr>
          <w:p w14:paraId="33028F48" w14:textId="77777777" w:rsidR="00D83E33" w:rsidRPr="008A5EFD" w:rsidRDefault="00D83E33" w:rsidP="001B330E">
            <w:pPr>
              <w:widowControl w:val="0"/>
              <w:pBdr>
                <w:top w:val="nil"/>
                <w:left w:val="nil"/>
                <w:bottom w:val="nil"/>
                <w:right w:val="nil"/>
                <w:between w:val="nil"/>
              </w:pBdr>
              <w:jc w:val="right"/>
              <w:rPr>
                <w:color w:val="000000"/>
              </w:rPr>
            </w:pPr>
          </w:p>
        </w:tc>
        <w:tc>
          <w:tcPr>
            <w:tcW w:w="571" w:type="pct"/>
            <w:shd w:val="clear" w:color="auto" w:fill="auto"/>
            <w:vAlign w:val="bottom"/>
          </w:tcPr>
          <w:p w14:paraId="043F7BCD" w14:textId="77777777" w:rsidR="00D83E33" w:rsidRPr="008A5EFD" w:rsidRDefault="00D83E33" w:rsidP="001B330E">
            <w:pPr>
              <w:widowControl w:val="0"/>
              <w:pBdr>
                <w:top w:val="nil"/>
                <w:left w:val="nil"/>
                <w:bottom w:val="nil"/>
                <w:right w:val="nil"/>
                <w:between w:val="nil"/>
              </w:pBdr>
              <w:jc w:val="right"/>
              <w:rPr>
                <w:color w:val="000000"/>
              </w:rPr>
            </w:pPr>
          </w:p>
        </w:tc>
      </w:tr>
      <w:tr w:rsidR="008A5EFD" w:rsidRPr="008A5EFD" w14:paraId="155D0A30" w14:textId="77777777" w:rsidTr="001B330E">
        <w:trPr>
          <w:trHeight w:val="23"/>
        </w:trPr>
        <w:tc>
          <w:tcPr>
            <w:tcW w:w="1977" w:type="pct"/>
            <w:shd w:val="clear" w:color="auto" w:fill="auto"/>
            <w:vAlign w:val="bottom"/>
          </w:tcPr>
          <w:p w14:paraId="63A537C7"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Investments in mutual funds</w:t>
            </w:r>
          </w:p>
        </w:tc>
        <w:tc>
          <w:tcPr>
            <w:tcW w:w="666" w:type="pct"/>
            <w:shd w:val="clear" w:color="auto" w:fill="auto"/>
            <w:vAlign w:val="bottom"/>
          </w:tcPr>
          <w:p w14:paraId="5459ACFA" w14:textId="77777777" w:rsidR="00D83E33" w:rsidRPr="008A5EFD" w:rsidRDefault="00D83E33" w:rsidP="001B330E">
            <w:pPr>
              <w:widowControl w:val="0"/>
              <w:pBdr>
                <w:top w:val="nil"/>
                <w:left w:val="nil"/>
                <w:bottom w:val="nil"/>
                <w:right w:val="nil"/>
                <w:between w:val="nil"/>
              </w:pBdr>
              <w:jc w:val="right"/>
              <w:rPr>
                <w:color w:val="000000"/>
              </w:rPr>
            </w:pPr>
          </w:p>
        </w:tc>
        <w:tc>
          <w:tcPr>
            <w:tcW w:w="645" w:type="pct"/>
            <w:shd w:val="clear" w:color="auto" w:fill="auto"/>
            <w:vAlign w:val="bottom"/>
          </w:tcPr>
          <w:p w14:paraId="0F4DCAF0"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vAlign w:val="bottom"/>
          </w:tcPr>
          <w:p w14:paraId="366F240B"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shd w:val="clear" w:color="auto" w:fill="auto"/>
            <w:vAlign w:val="bottom"/>
          </w:tcPr>
          <w:p w14:paraId="60C67F14" w14:textId="77777777" w:rsidR="00D83E33" w:rsidRPr="008A5EFD" w:rsidRDefault="00D83E33" w:rsidP="001B330E">
            <w:pPr>
              <w:widowControl w:val="0"/>
              <w:pBdr>
                <w:top w:val="nil"/>
                <w:left w:val="nil"/>
                <w:bottom w:val="nil"/>
                <w:right w:val="nil"/>
                <w:between w:val="nil"/>
              </w:pBdr>
              <w:jc w:val="right"/>
              <w:rPr>
                <w:color w:val="000000"/>
              </w:rPr>
            </w:pPr>
          </w:p>
        </w:tc>
        <w:tc>
          <w:tcPr>
            <w:tcW w:w="571" w:type="pct"/>
            <w:shd w:val="clear" w:color="auto" w:fill="auto"/>
            <w:vAlign w:val="bottom"/>
          </w:tcPr>
          <w:p w14:paraId="3A060E3D" w14:textId="77777777" w:rsidR="00D83E33" w:rsidRPr="008A5EFD" w:rsidRDefault="00D83E33" w:rsidP="001B330E">
            <w:pPr>
              <w:widowControl w:val="0"/>
              <w:pBdr>
                <w:top w:val="nil"/>
                <w:left w:val="nil"/>
                <w:bottom w:val="nil"/>
                <w:right w:val="nil"/>
                <w:between w:val="nil"/>
              </w:pBdr>
              <w:jc w:val="right"/>
              <w:rPr>
                <w:color w:val="000000"/>
              </w:rPr>
            </w:pPr>
          </w:p>
        </w:tc>
      </w:tr>
      <w:tr w:rsidR="008A5EFD" w:rsidRPr="008A5EFD" w14:paraId="6AB9547A" w14:textId="77777777" w:rsidTr="001B330E">
        <w:trPr>
          <w:trHeight w:val="23"/>
        </w:trPr>
        <w:tc>
          <w:tcPr>
            <w:tcW w:w="1977" w:type="pct"/>
            <w:shd w:val="clear" w:color="auto" w:fill="auto"/>
            <w:vAlign w:val="bottom"/>
          </w:tcPr>
          <w:p w14:paraId="2D5C869D" w14:textId="70112D61"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 xml:space="preserve">Promissory notes </w:t>
            </w:r>
          </w:p>
        </w:tc>
        <w:tc>
          <w:tcPr>
            <w:tcW w:w="666" w:type="pct"/>
            <w:shd w:val="clear" w:color="auto" w:fill="auto"/>
            <w:vAlign w:val="bottom"/>
          </w:tcPr>
          <w:p w14:paraId="51A51132" w14:textId="77777777" w:rsidR="00D83E33" w:rsidRPr="008A5EFD" w:rsidRDefault="00D83E33" w:rsidP="001B330E">
            <w:pPr>
              <w:widowControl w:val="0"/>
              <w:pBdr>
                <w:top w:val="nil"/>
                <w:left w:val="nil"/>
                <w:bottom w:val="nil"/>
                <w:right w:val="nil"/>
                <w:between w:val="nil"/>
              </w:pBdr>
              <w:jc w:val="right"/>
              <w:rPr>
                <w:color w:val="000000"/>
              </w:rPr>
            </w:pPr>
          </w:p>
        </w:tc>
        <w:tc>
          <w:tcPr>
            <w:tcW w:w="645" w:type="pct"/>
            <w:shd w:val="clear" w:color="auto" w:fill="auto"/>
            <w:vAlign w:val="bottom"/>
          </w:tcPr>
          <w:p w14:paraId="4491950A"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vAlign w:val="bottom"/>
          </w:tcPr>
          <w:p w14:paraId="200F6D5D"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shd w:val="clear" w:color="auto" w:fill="auto"/>
            <w:vAlign w:val="bottom"/>
          </w:tcPr>
          <w:p w14:paraId="0AE33C44" w14:textId="77777777" w:rsidR="00D83E33" w:rsidRPr="008A5EFD" w:rsidRDefault="00D83E33" w:rsidP="001B330E">
            <w:pPr>
              <w:widowControl w:val="0"/>
              <w:pBdr>
                <w:top w:val="nil"/>
                <w:left w:val="nil"/>
                <w:bottom w:val="nil"/>
                <w:right w:val="nil"/>
                <w:between w:val="nil"/>
              </w:pBdr>
              <w:jc w:val="right"/>
              <w:rPr>
                <w:color w:val="000000"/>
              </w:rPr>
            </w:pPr>
          </w:p>
        </w:tc>
        <w:tc>
          <w:tcPr>
            <w:tcW w:w="571" w:type="pct"/>
            <w:shd w:val="clear" w:color="auto" w:fill="auto"/>
            <w:vAlign w:val="bottom"/>
          </w:tcPr>
          <w:p w14:paraId="4A8BA803" w14:textId="77777777" w:rsidR="00D83E33" w:rsidRPr="008A5EFD" w:rsidRDefault="00D83E33" w:rsidP="001B330E">
            <w:pPr>
              <w:widowControl w:val="0"/>
              <w:pBdr>
                <w:top w:val="nil"/>
                <w:left w:val="nil"/>
                <w:bottom w:val="nil"/>
                <w:right w:val="nil"/>
                <w:between w:val="nil"/>
              </w:pBdr>
              <w:jc w:val="right"/>
              <w:rPr>
                <w:color w:val="000000"/>
              </w:rPr>
            </w:pPr>
          </w:p>
        </w:tc>
      </w:tr>
      <w:tr w:rsidR="008A5EFD" w:rsidRPr="008A5EFD" w14:paraId="1EFB8965" w14:textId="77777777" w:rsidTr="001B330E">
        <w:trPr>
          <w:trHeight w:val="23"/>
        </w:trPr>
        <w:tc>
          <w:tcPr>
            <w:tcW w:w="1977" w:type="pct"/>
            <w:tcBorders>
              <w:bottom w:val="single" w:sz="4" w:space="0" w:color="000000"/>
            </w:tcBorders>
            <w:shd w:val="clear" w:color="auto" w:fill="auto"/>
            <w:vAlign w:val="bottom"/>
          </w:tcPr>
          <w:p w14:paraId="62EAC0E8"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66" w:type="pct"/>
            <w:tcBorders>
              <w:bottom w:val="single" w:sz="4" w:space="0" w:color="000000"/>
            </w:tcBorders>
            <w:shd w:val="clear" w:color="auto" w:fill="auto"/>
            <w:vAlign w:val="bottom"/>
          </w:tcPr>
          <w:p w14:paraId="62F77665"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45" w:type="pct"/>
            <w:tcBorders>
              <w:bottom w:val="single" w:sz="4" w:space="0" w:color="000000"/>
            </w:tcBorders>
            <w:shd w:val="clear" w:color="auto" w:fill="auto"/>
            <w:vAlign w:val="bottom"/>
          </w:tcPr>
          <w:p w14:paraId="4A85F308"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bottom w:val="single" w:sz="4" w:space="0" w:color="000000"/>
            </w:tcBorders>
            <w:vAlign w:val="bottom"/>
          </w:tcPr>
          <w:p w14:paraId="0FC95ACB"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bottom w:val="single" w:sz="4" w:space="0" w:color="000000"/>
            </w:tcBorders>
            <w:shd w:val="clear" w:color="auto" w:fill="auto"/>
            <w:vAlign w:val="bottom"/>
          </w:tcPr>
          <w:p w14:paraId="3AACCBE7"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1" w:type="pct"/>
            <w:tcBorders>
              <w:bottom w:val="single" w:sz="4" w:space="0" w:color="000000"/>
            </w:tcBorders>
            <w:shd w:val="clear" w:color="auto" w:fill="auto"/>
            <w:vAlign w:val="bottom"/>
          </w:tcPr>
          <w:p w14:paraId="12173290"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8A5EFD" w:rsidRPr="008A5EFD" w14:paraId="17F79FC2" w14:textId="77777777" w:rsidTr="001B330E">
        <w:trPr>
          <w:trHeight w:val="23"/>
        </w:trPr>
        <w:tc>
          <w:tcPr>
            <w:tcW w:w="1977" w:type="pct"/>
            <w:tcBorders>
              <w:top w:val="single" w:sz="4" w:space="0" w:color="000000"/>
            </w:tcBorders>
            <w:shd w:val="clear" w:color="auto" w:fill="auto"/>
            <w:vAlign w:val="bottom"/>
          </w:tcPr>
          <w:p w14:paraId="32D29B51"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66" w:type="pct"/>
            <w:tcBorders>
              <w:top w:val="single" w:sz="4" w:space="0" w:color="000000"/>
            </w:tcBorders>
            <w:shd w:val="clear" w:color="auto" w:fill="auto"/>
            <w:vAlign w:val="bottom"/>
          </w:tcPr>
          <w:p w14:paraId="549D5209"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45" w:type="pct"/>
            <w:tcBorders>
              <w:top w:val="single" w:sz="4" w:space="0" w:color="000000"/>
            </w:tcBorders>
            <w:shd w:val="clear" w:color="auto" w:fill="auto"/>
            <w:vAlign w:val="bottom"/>
          </w:tcPr>
          <w:p w14:paraId="3260F46B"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top w:val="single" w:sz="4" w:space="0" w:color="000000"/>
            </w:tcBorders>
            <w:vAlign w:val="bottom"/>
          </w:tcPr>
          <w:p w14:paraId="4C8D7BD8"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top w:val="single" w:sz="4" w:space="0" w:color="000000"/>
            </w:tcBorders>
            <w:shd w:val="clear" w:color="auto" w:fill="auto"/>
            <w:vAlign w:val="bottom"/>
          </w:tcPr>
          <w:p w14:paraId="6AD4F88A"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1" w:type="pct"/>
            <w:tcBorders>
              <w:top w:val="single" w:sz="4" w:space="0" w:color="000000"/>
            </w:tcBorders>
            <w:shd w:val="clear" w:color="auto" w:fill="auto"/>
            <w:vAlign w:val="bottom"/>
          </w:tcPr>
          <w:p w14:paraId="074FB5A1"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8A5EFD" w:rsidRPr="008A5EFD" w14:paraId="69CF4D7C" w14:textId="77777777" w:rsidTr="001B330E">
        <w:trPr>
          <w:trHeight w:val="23"/>
        </w:trPr>
        <w:tc>
          <w:tcPr>
            <w:tcW w:w="1977" w:type="pct"/>
            <w:shd w:val="clear" w:color="auto" w:fill="auto"/>
            <w:vAlign w:val="bottom"/>
          </w:tcPr>
          <w:p w14:paraId="11B886C8" w14:textId="317951DD"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 xml:space="preserve">Total investments in debt securities </w:t>
            </w:r>
            <w:r w:rsidRPr="008A5EFD">
              <w:rPr>
                <w:color w:val="000000"/>
              </w:rPr>
              <w:br/>
              <w:t>at 31</w:t>
            </w:r>
            <w:r w:rsidR="00181687">
              <w:rPr>
                <w:color w:val="000000"/>
              </w:rPr>
              <w:t> December </w:t>
            </w:r>
            <w:r w:rsidR="00541EBC">
              <w:rPr>
                <w:color w:val="000000"/>
              </w:rPr>
              <w:t>2024</w:t>
            </w:r>
            <w:r w:rsidRPr="008A5EFD">
              <w:rPr>
                <w:color w:val="000000"/>
              </w:rPr>
              <w:t xml:space="preserve"> (fair value or gross carrying value)</w:t>
            </w:r>
          </w:p>
        </w:tc>
        <w:tc>
          <w:tcPr>
            <w:tcW w:w="666" w:type="pct"/>
            <w:shd w:val="clear" w:color="auto" w:fill="auto"/>
            <w:vAlign w:val="bottom"/>
          </w:tcPr>
          <w:p w14:paraId="6F176E0F" w14:textId="77777777" w:rsidR="00D83E33" w:rsidRPr="008A5EFD" w:rsidRDefault="00D83E33" w:rsidP="001B330E">
            <w:pPr>
              <w:widowControl w:val="0"/>
              <w:pBdr>
                <w:top w:val="nil"/>
                <w:left w:val="nil"/>
                <w:bottom w:val="nil"/>
                <w:right w:val="nil"/>
                <w:between w:val="nil"/>
              </w:pBdr>
              <w:jc w:val="right"/>
              <w:rPr>
                <w:color w:val="000000"/>
              </w:rPr>
            </w:pPr>
          </w:p>
        </w:tc>
        <w:tc>
          <w:tcPr>
            <w:tcW w:w="645" w:type="pct"/>
            <w:shd w:val="clear" w:color="auto" w:fill="auto"/>
            <w:vAlign w:val="bottom"/>
          </w:tcPr>
          <w:p w14:paraId="70E6399F"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vAlign w:val="bottom"/>
          </w:tcPr>
          <w:p w14:paraId="4B3D727C" w14:textId="77777777" w:rsidR="00D83E33" w:rsidRPr="008A5EFD" w:rsidRDefault="00D83E33" w:rsidP="001B330E">
            <w:pPr>
              <w:widowControl w:val="0"/>
              <w:pBdr>
                <w:top w:val="nil"/>
                <w:left w:val="nil"/>
                <w:bottom w:val="nil"/>
                <w:right w:val="nil"/>
                <w:between w:val="nil"/>
              </w:pBdr>
              <w:jc w:val="right"/>
              <w:rPr>
                <w:color w:val="000000"/>
              </w:rPr>
            </w:pPr>
          </w:p>
        </w:tc>
        <w:tc>
          <w:tcPr>
            <w:tcW w:w="570" w:type="pct"/>
            <w:shd w:val="clear" w:color="auto" w:fill="auto"/>
            <w:vAlign w:val="bottom"/>
          </w:tcPr>
          <w:p w14:paraId="0F5DE447" w14:textId="77777777" w:rsidR="00D83E33" w:rsidRPr="008A5EFD" w:rsidRDefault="00D83E33" w:rsidP="001B330E">
            <w:pPr>
              <w:widowControl w:val="0"/>
              <w:pBdr>
                <w:top w:val="nil"/>
                <w:left w:val="nil"/>
                <w:bottom w:val="nil"/>
                <w:right w:val="nil"/>
                <w:between w:val="nil"/>
              </w:pBdr>
              <w:jc w:val="right"/>
              <w:rPr>
                <w:color w:val="000000"/>
              </w:rPr>
            </w:pPr>
          </w:p>
        </w:tc>
        <w:tc>
          <w:tcPr>
            <w:tcW w:w="571" w:type="pct"/>
            <w:shd w:val="clear" w:color="auto" w:fill="auto"/>
            <w:vAlign w:val="bottom"/>
          </w:tcPr>
          <w:p w14:paraId="200B3A7B" w14:textId="77777777" w:rsidR="00D83E33" w:rsidRPr="008A5EFD" w:rsidRDefault="00D83E33" w:rsidP="001B330E">
            <w:pPr>
              <w:widowControl w:val="0"/>
              <w:pBdr>
                <w:top w:val="nil"/>
                <w:left w:val="nil"/>
                <w:bottom w:val="nil"/>
                <w:right w:val="nil"/>
                <w:between w:val="nil"/>
              </w:pBdr>
              <w:jc w:val="right"/>
              <w:rPr>
                <w:color w:val="000000"/>
              </w:rPr>
            </w:pPr>
          </w:p>
        </w:tc>
      </w:tr>
      <w:tr w:rsidR="008A5EFD" w:rsidRPr="008A5EFD" w14:paraId="393A6BDB" w14:textId="77777777" w:rsidTr="001B330E">
        <w:trPr>
          <w:trHeight w:val="23"/>
        </w:trPr>
        <w:tc>
          <w:tcPr>
            <w:tcW w:w="1977" w:type="pct"/>
            <w:tcBorders>
              <w:bottom w:val="single" w:sz="4" w:space="0" w:color="000000"/>
            </w:tcBorders>
            <w:shd w:val="clear" w:color="auto" w:fill="auto"/>
            <w:vAlign w:val="bottom"/>
          </w:tcPr>
          <w:p w14:paraId="50DC6EDB"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66" w:type="pct"/>
            <w:tcBorders>
              <w:bottom w:val="single" w:sz="4" w:space="0" w:color="000000"/>
            </w:tcBorders>
            <w:shd w:val="clear" w:color="auto" w:fill="auto"/>
            <w:vAlign w:val="bottom"/>
          </w:tcPr>
          <w:p w14:paraId="3395951C"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45" w:type="pct"/>
            <w:tcBorders>
              <w:bottom w:val="single" w:sz="4" w:space="0" w:color="000000"/>
            </w:tcBorders>
            <w:shd w:val="clear" w:color="auto" w:fill="auto"/>
            <w:vAlign w:val="bottom"/>
          </w:tcPr>
          <w:p w14:paraId="0C862CF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bottom w:val="single" w:sz="4" w:space="0" w:color="000000"/>
            </w:tcBorders>
            <w:vAlign w:val="bottom"/>
          </w:tcPr>
          <w:p w14:paraId="1276BDE5"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bottom w:val="single" w:sz="4" w:space="0" w:color="000000"/>
            </w:tcBorders>
            <w:shd w:val="clear" w:color="auto" w:fill="auto"/>
            <w:vAlign w:val="bottom"/>
          </w:tcPr>
          <w:p w14:paraId="705FB156"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1" w:type="pct"/>
            <w:tcBorders>
              <w:bottom w:val="single" w:sz="4" w:space="0" w:color="000000"/>
            </w:tcBorders>
            <w:shd w:val="clear" w:color="auto" w:fill="auto"/>
            <w:vAlign w:val="bottom"/>
          </w:tcPr>
          <w:p w14:paraId="22232475"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8A5EFD" w:rsidRPr="008A5EFD" w14:paraId="3BF7C33A" w14:textId="77777777" w:rsidTr="001B330E">
        <w:trPr>
          <w:trHeight w:val="23"/>
        </w:trPr>
        <w:tc>
          <w:tcPr>
            <w:tcW w:w="1977" w:type="pct"/>
            <w:tcBorders>
              <w:top w:val="single" w:sz="4" w:space="0" w:color="000000"/>
            </w:tcBorders>
            <w:shd w:val="clear" w:color="auto" w:fill="auto"/>
            <w:vAlign w:val="bottom"/>
          </w:tcPr>
          <w:p w14:paraId="114871C0" w14:textId="77777777" w:rsidR="00D83E33" w:rsidRPr="001B330E" w:rsidRDefault="00D83E33" w:rsidP="001B330E">
            <w:pPr>
              <w:widowControl w:val="0"/>
              <w:pBdr>
                <w:top w:val="nil"/>
                <w:left w:val="nil"/>
                <w:bottom w:val="nil"/>
                <w:right w:val="nil"/>
                <w:between w:val="nil"/>
              </w:pBdr>
              <w:ind w:left="113" w:hanging="113"/>
              <w:rPr>
                <w:b/>
                <w:color w:val="000000"/>
                <w:szCs w:val="10"/>
              </w:rPr>
            </w:pPr>
          </w:p>
        </w:tc>
        <w:tc>
          <w:tcPr>
            <w:tcW w:w="666" w:type="pct"/>
            <w:tcBorders>
              <w:top w:val="single" w:sz="4" w:space="0" w:color="000000"/>
            </w:tcBorders>
            <w:shd w:val="clear" w:color="auto" w:fill="auto"/>
            <w:vAlign w:val="bottom"/>
          </w:tcPr>
          <w:p w14:paraId="23408747"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45" w:type="pct"/>
            <w:tcBorders>
              <w:top w:val="single" w:sz="4" w:space="0" w:color="000000"/>
            </w:tcBorders>
            <w:shd w:val="clear" w:color="auto" w:fill="auto"/>
            <w:vAlign w:val="bottom"/>
          </w:tcPr>
          <w:p w14:paraId="7D926EEE"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top w:val="single" w:sz="4" w:space="0" w:color="000000"/>
            </w:tcBorders>
            <w:vAlign w:val="bottom"/>
          </w:tcPr>
          <w:p w14:paraId="75B68CE1"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top w:val="single" w:sz="4" w:space="0" w:color="000000"/>
            </w:tcBorders>
            <w:shd w:val="clear" w:color="auto" w:fill="auto"/>
            <w:vAlign w:val="bottom"/>
          </w:tcPr>
          <w:p w14:paraId="77478DA5"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1" w:type="pct"/>
            <w:tcBorders>
              <w:top w:val="single" w:sz="4" w:space="0" w:color="000000"/>
            </w:tcBorders>
            <w:shd w:val="clear" w:color="auto" w:fill="auto"/>
            <w:vAlign w:val="bottom"/>
          </w:tcPr>
          <w:p w14:paraId="0F11E12A"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8A5EFD" w:rsidRPr="008A5EFD" w14:paraId="04512438" w14:textId="77777777" w:rsidTr="001B330E">
        <w:trPr>
          <w:trHeight w:val="23"/>
        </w:trPr>
        <w:tc>
          <w:tcPr>
            <w:tcW w:w="1977" w:type="pct"/>
            <w:shd w:val="clear" w:color="auto" w:fill="auto"/>
            <w:vAlign w:val="bottom"/>
          </w:tcPr>
          <w:p w14:paraId="2B09600A"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Credit loss allowance</w:t>
            </w:r>
          </w:p>
        </w:tc>
        <w:tc>
          <w:tcPr>
            <w:tcW w:w="666" w:type="pct"/>
            <w:shd w:val="clear" w:color="auto" w:fill="auto"/>
            <w:vAlign w:val="bottom"/>
          </w:tcPr>
          <w:p w14:paraId="21B61C8D" w14:textId="77777777" w:rsidR="00D83E33" w:rsidRPr="008A5EFD" w:rsidRDefault="00BC4072" w:rsidP="001B330E">
            <w:pPr>
              <w:widowControl w:val="0"/>
              <w:pBdr>
                <w:top w:val="nil"/>
                <w:left w:val="nil"/>
                <w:bottom w:val="nil"/>
                <w:right w:val="nil"/>
                <w:between w:val="nil"/>
              </w:pBdr>
              <w:jc w:val="right"/>
              <w:rPr>
                <w:color w:val="000000"/>
              </w:rPr>
            </w:pPr>
            <w:r w:rsidRPr="008A5EFD">
              <w:rPr>
                <w:color w:val="000000"/>
              </w:rPr>
              <w:t>-</w:t>
            </w:r>
          </w:p>
        </w:tc>
        <w:tc>
          <w:tcPr>
            <w:tcW w:w="645" w:type="pct"/>
            <w:shd w:val="clear" w:color="auto" w:fill="auto"/>
            <w:vAlign w:val="bottom"/>
          </w:tcPr>
          <w:p w14:paraId="62721A8C" w14:textId="77777777" w:rsidR="00D83E33" w:rsidRPr="008A5EFD" w:rsidRDefault="00BC4072" w:rsidP="001B330E">
            <w:pPr>
              <w:widowControl w:val="0"/>
              <w:pBdr>
                <w:top w:val="nil"/>
                <w:left w:val="nil"/>
                <w:bottom w:val="nil"/>
                <w:right w:val="nil"/>
                <w:between w:val="nil"/>
              </w:pBdr>
              <w:jc w:val="right"/>
              <w:rPr>
                <w:color w:val="000000"/>
              </w:rPr>
            </w:pPr>
            <w:r w:rsidRPr="008A5EFD">
              <w:rPr>
                <w:color w:val="000000"/>
              </w:rPr>
              <w:t>-</w:t>
            </w:r>
          </w:p>
        </w:tc>
        <w:tc>
          <w:tcPr>
            <w:tcW w:w="570" w:type="pct"/>
            <w:vAlign w:val="bottom"/>
          </w:tcPr>
          <w:p w14:paraId="4E715815" w14:textId="77777777" w:rsidR="00D83E33" w:rsidRPr="008A5EFD" w:rsidRDefault="00BC4072" w:rsidP="001B330E">
            <w:pPr>
              <w:widowControl w:val="0"/>
              <w:pBdr>
                <w:top w:val="nil"/>
                <w:left w:val="nil"/>
                <w:bottom w:val="nil"/>
                <w:right w:val="nil"/>
                <w:between w:val="nil"/>
              </w:pBdr>
              <w:jc w:val="right"/>
              <w:rPr>
                <w:color w:val="000000"/>
              </w:rPr>
            </w:pPr>
            <w:r w:rsidRPr="008A5EFD">
              <w:rPr>
                <w:color w:val="000000"/>
              </w:rPr>
              <w:t>-</w:t>
            </w:r>
          </w:p>
        </w:tc>
        <w:tc>
          <w:tcPr>
            <w:tcW w:w="570" w:type="pct"/>
            <w:shd w:val="clear" w:color="auto" w:fill="auto"/>
            <w:vAlign w:val="bottom"/>
          </w:tcPr>
          <w:p w14:paraId="6D4CF4B1" w14:textId="77777777" w:rsidR="00D83E33" w:rsidRPr="008A5EFD" w:rsidRDefault="00D83E33" w:rsidP="001B330E">
            <w:pPr>
              <w:widowControl w:val="0"/>
              <w:pBdr>
                <w:top w:val="nil"/>
                <w:left w:val="nil"/>
                <w:bottom w:val="nil"/>
                <w:right w:val="nil"/>
                <w:between w:val="nil"/>
              </w:pBdr>
              <w:jc w:val="right"/>
              <w:rPr>
                <w:color w:val="000000"/>
              </w:rPr>
            </w:pPr>
          </w:p>
        </w:tc>
        <w:tc>
          <w:tcPr>
            <w:tcW w:w="571" w:type="pct"/>
            <w:shd w:val="clear" w:color="auto" w:fill="auto"/>
            <w:vAlign w:val="bottom"/>
          </w:tcPr>
          <w:p w14:paraId="3C542D0D" w14:textId="77777777" w:rsidR="00D83E33" w:rsidRPr="008A5EFD" w:rsidRDefault="00D83E33" w:rsidP="001B330E">
            <w:pPr>
              <w:widowControl w:val="0"/>
              <w:pBdr>
                <w:top w:val="nil"/>
                <w:left w:val="nil"/>
                <w:bottom w:val="nil"/>
                <w:right w:val="nil"/>
                <w:between w:val="nil"/>
              </w:pBdr>
              <w:jc w:val="right"/>
              <w:rPr>
                <w:color w:val="000000"/>
              </w:rPr>
            </w:pPr>
          </w:p>
        </w:tc>
      </w:tr>
      <w:tr w:rsidR="008A5EFD" w:rsidRPr="008A5EFD" w14:paraId="501589AD" w14:textId="77777777" w:rsidTr="001B330E">
        <w:trPr>
          <w:trHeight w:val="23"/>
        </w:trPr>
        <w:tc>
          <w:tcPr>
            <w:tcW w:w="1977" w:type="pct"/>
            <w:shd w:val="clear" w:color="auto" w:fill="auto"/>
            <w:vAlign w:val="bottom"/>
          </w:tcPr>
          <w:p w14:paraId="37E71950"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666" w:type="pct"/>
            <w:shd w:val="clear" w:color="auto" w:fill="auto"/>
            <w:vAlign w:val="bottom"/>
          </w:tcPr>
          <w:p w14:paraId="37C2E8E8"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45" w:type="pct"/>
            <w:shd w:val="clear" w:color="auto" w:fill="auto"/>
            <w:vAlign w:val="bottom"/>
          </w:tcPr>
          <w:p w14:paraId="4B6DD3C3"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vAlign w:val="bottom"/>
          </w:tcPr>
          <w:p w14:paraId="4F61C49E"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shd w:val="clear" w:color="auto" w:fill="auto"/>
            <w:vAlign w:val="bottom"/>
          </w:tcPr>
          <w:p w14:paraId="74C0C70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1" w:type="pct"/>
            <w:shd w:val="clear" w:color="auto" w:fill="auto"/>
            <w:vAlign w:val="bottom"/>
          </w:tcPr>
          <w:p w14:paraId="229F3088"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8A5EFD" w:rsidRPr="008A5EFD" w14:paraId="76A10D05" w14:textId="77777777" w:rsidTr="001B330E">
        <w:trPr>
          <w:trHeight w:val="23"/>
        </w:trPr>
        <w:tc>
          <w:tcPr>
            <w:tcW w:w="1977" w:type="pct"/>
            <w:tcBorders>
              <w:top w:val="single" w:sz="4" w:space="0" w:color="000000"/>
            </w:tcBorders>
            <w:shd w:val="clear" w:color="auto" w:fill="auto"/>
            <w:vAlign w:val="bottom"/>
          </w:tcPr>
          <w:p w14:paraId="654F9B7F" w14:textId="77777777" w:rsidR="00D83E33" w:rsidRPr="001B330E" w:rsidRDefault="00BC4072" w:rsidP="001B330E">
            <w:pPr>
              <w:widowControl w:val="0"/>
              <w:pBdr>
                <w:top w:val="nil"/>
                <w:left w:val="nil"/>
                <w:bottom w:val="nil"/>
                <w:right w:val="nil"/>
                <w:between w:val="nil"/>
              </w:pBdr>
              <w:ind w:left="113" w:hanging="113"/>
              <w:rPr>
                <w:color w:val="000000"/>
                <w:szCs w:val="10"/>
              </w:rPr>
            </w:pPr>
            <w:r w:rsidRPr="001B330E">
              <w:rPr>
                <w:color w:val="000000"/>
                <w:szCs w:val="10"/>
              </w:rPr>
              <w:t> </w:t>
            </w:r>
          </w:p>
        </w:tc>
        <w:tc>
          <w:tcPr>
            <w:tcW w:w="666" w:type="pct"/>
            <w:tcBorders>
              <w:top w:val="single" w:sz="4" w:space="0" w:color="000000"/>
            </w:tcBorders>
            <w:shd w:val="clear" w:color="auto" w:fill="auto"/>
            <w:vAlign w:val="bottom"/>
          </w:tcPr>
          <w:p w14:paraId="3A0D3553"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45" w:type="pct"/>
            <w:tcBorders>
              <w:top w:val="single" w:sz="4" w:space="0" w:color="000000"/>
            </w:tcBorders>
            <w:shd w:val="clear" w:color="auto" w:fill="auto"/>
            <w:vAlign w:val="bottom"/>
          </w:tcPr>
          <w:p w14:paraId="27C370FE"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top w:val="single" w:sz="4" w:space="0" w:color="000000"/>
            </w:tcBorders>
            <w:vAlign w:val="bottom"/>
          </w:tcPr>
          <w:p w14:paraId="0FD290D3"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top w:val="single" w:sz="4" w:space="0" w:color="000000"/>
            </w:tcBorders>
            <w:shd w:val="clear" w:color="auto" w:fill="auto"/>
            <w:vAlign w:val="bottom"/>
          </w:tcPr>
          <w:p w14:paraId="1C0AAC3F"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1" w:type="pct"/>
            <w:tcBorders>
              <w:top w:val="single" w:sz="4" w:space="0" w:color="000000"/>
            </w:tcBorders>
            <w:shd w:val="clear" w:color="auto" w:fill="auto"/>
            <w:vAlign w:val="bottom"/>
          </w:tcPr>
          <w:p w14:paraId="607EAC33"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8A5EFD" w:rsidRPr="008A5EFD" w14:paraId="4A0D2DE0" w14:textId="77777777" w:rsidTr="001B330E">
        <w:trPr>
          <w:trHeight w:val="23"/>
        </w:trPr>
        <w:tc>
          <w:tcPr>
            <w:tcW w:w="1977" w:type="pct"/>
            <w:shd w:val="clear" w:color="auto" w:fill="auto"/>
            <w:vAlign w:val="bottom"/>
          </w:tcPr>
          <w:p w14:paraId="1B7D799F" w14:textId="16464F79" w:rsidR="00D83E33" w:rsidRPr="008A5EFD" w:rsidRDefault="00BC4072" w:rsidP="001B330E">
            <w:pPr>
              <w:widowControl w:val="0"/>
              <w:pBdr>
                <w:top w:val="nil"/>
                <w:left w:val="nil"/>
                <w:bottom w:val="nil"/>
                <w:right w:val="nil"/>
                <w:between w:val="nil"/>
              </w:pBdr>
              <w:ind w:left="113" w:hanging="113"/>
              <w:rPr>
                <w:b/>
                <w:color w:val="000000"/>
              </w:rPr>
            </w:pPr>
            <w:r w:rsidRPr="008A5EFD">
              <w:rPr>
                <w:b/>
                <w:color w:val="000000"/>
              </w:rPr>
              <w:t xml:space="preserve">Total investments in debt securities </w:t>
            </w:r>
            <w:r w:rsidRPr="008A5EFD">
              <w:rPr>
                <w:b/>
                <w:color w:val="000000"/>
              </w:rPr>
              <w:br/>
              <w:t>at 31</w:t>
            </w:r>
            <w:r w:rsidR="00181687">
              <w:rPr>
                <w:b/>
                <w:color w:val="000000"/>
              </w:rPr>
              <w:t> December </w:t>
            </w:r>
            <w:r w:rsidR="00541EBC">
              <w:rPr>
                <w:b/>
                <w:color w:val="000000"/>
              </w:rPr>
              <w:t>2024</w:t>
            </w:r>
            <w:r w:rsidRPr="008A5EFD">
              <w:rPr>
                <w:b/>
                <w:color w:val="000000"/>
              </w:rPr>
              <w:t xml:space="preserve"> (carrying value)</w:t>
            </w:r>
          </w:p>
        </w:tc>
        <w:tc>
          <w:tcPr>
            <w:tcW w:w="666" w:type="pct"/>
            <w:shd w:val="clear" w:color="auto" w:fill="auto"/>
            <w:vAlign w:val="bottom"/>
          </w:tcPr>
          <w:p w14:paraId="37AF8588" w14:textId="77777777" w:rsidR="00D83E33" w:rsidRPr="008A5EFD" w:rsidRDefault="00D83E33" w:rsidP="001B330E">
            <w:pPr>
              <w:widowControl w:val="0"/>
              <w:pBdr>
                <w:top w:val="nil"/>
                <w:left w:val="nil"/>
                <w:bottom w:val="nil"/>
                <w:right w:val="nil"/>
                <w:between w:val="nil"/>
              </w:pBdr>
              <w:jc w:val="right"/>
              <w:rPr>
                <w:b/>
                <w:color w:val="000000"/>
              </w:rPr>
            </w:pPr>
          </w:p>
        </w:tc>
        <w:tc>
          <w:tcPr>
            <w:tcW w:w="645" w:type="pct"/>
            <w:shd w:val="clear" w:color="auto" w:fill="auto"/>
            <w:vAlign w:val="bottom"/>
          </w:tcPr>
          <w:p w14:paraId="63A271CB" w14:textId="77777777" w:rsidR="00D83E33" w:rsidRPr="008A5EFD" w:rsidRDefault="00D83E33" w:rsidP="001B330E">
            <w:pPr>
              <w:widowControl w:val="0"/>
              <w:pBdr>
                <w:top w:val="nil"/>
                <w:left w:val="nil"/>
                <w:bottom w:val="nil"/>
                <w:right w:val="nil"/>
                <w:between w:val="nil"/>
              </w:pBdr>
              <w:jc w:val="right"/>
              <w:rPr>
                <w:b/>
                <w:color w:val="000000"/>
              </w:rPr>
            </w:pPr>
          </w:p>
        </w:tc>
        <w:tc>
          <w:tcPr>
            <w:tcW w:w="570" w:type="pct"/>
            <w:vAlign w:val="bottom"/>
          </w:tcPr>
          <w:p w14:paraId="69F46C35" w14:textId="77777777" w:rsidR="00D83E33" w:rsidRPr="008A5EFD" w:rsidRDefault="00D83E33" w:rsidP="001B330E">
            <w:pPr>
              <w:widowControl w:val="0"/>
              <w:pBdr>
                <w:top w:val="nil"/>
                <w:left w:val="nil"/>
                <w:bottom w:val="nil"/>
                <w:right w:val="nil"/>
                <w:between w:val="nil"/>
              </w:pBdr>
              <w:jc w:val="right"/>
              <w:rPr>
                <w:b/>
                <w:color w:val="000000"/>
              </w:rPr>
            </w:pPr>
          </w:p>
        </w:tc>
        <w:tc>
          <w:tcPr>
            <w:tcW w:w="570" w:type="pct"/>
            <w:shd w:val="clear" w:color="auto" w:fill="auto"/>
            <w:vAlign w:val="bottom"/>
          </w:tcPr>
          <w:p w14:paraId="60E829EF" w14:textId="77777777" w:rsidR="00D83E33" w:rsidRPr="008A5EFD" w:rsidRDefault="00D83E33" w:rsidP="001B330E">
            <w:pPr>
              <w:widowControl w:val="0"/>
              <w:pBdr>
                <w:top w:val="nil"/>
                <w:left w:val="nil"/>
                <w:bottom w:val="nil"/>
                <w:right w:val="nil"/>
                <w:between w:val="nil"/>
              </w:pBdr>
              <w:jc w:val="right"/>
              <w:rPr>
                <w:b/>
                <w:color w:val="000000"/>
              </w:rPr>
            </w:pPr>
          </w:p>
        </w:tc>
        <w:tc>
          <w:tcPr>
            <w:tcW w:w="571" w:type="pct"/>
            <w:shd w:val="clear" w:color="auto" w:fill="auto"/>
            <w:vAlign w:val="bottom"/>
          </w:tcPr>
          <w:p w14:paraId="459D9941" w14:textId="77777777" w:rsidR="00D83E33" w:rsidRPr="008A5EFD" w:rsidRDefault="00D83E33" w:rsidP="001B330E">
            <w:pPr>
              <w:widowControl w:val="0"/>
              <w:pBdr>
                <w:top w:val="nil"/>
                <w:left w:val="nil"/>
                <w:bottom w:val="nil"/>
                <w:right w:val="nil"/>
                <w:between w:val="nil"/>
              </w:pBdr>
              <w:jc w:val="right"/>
              <w:rPr>
                <w:b/>
                <w:color w:val="000000"/>
              </w:rPr>
            </w:pPr>
          </w:p>
        </w:tc>
      </w:tr>
      <w:tr w:rsidR="008A5EFD" w:rsidRPr="008A5EFD" w14:paraId="5DE67475" w14:textId="77777777" w:rsidTr="001B330E">
        <w:trPr>
          <w:trHeight w:val="23"/>
        </w:trPr>
        <w:tc>
          <w:tcPr>
            <w:tcW w:w="1977" w:type="pct"/>
            <w:tcBorders>
              <w:bottom w:val="single" w:sz="12" w:space="0" w:color="000000"/>
            </w:tcBorders>
            <w:shd w:val="clear" w:color="auto" w:fill="auto"/>
            <w:vAlign w:val="bottom"/>
          </w:tcPr>
          <w:p w14:paraId="76A5CD5A" w14:textId="77777777" w:rsidR="00D83E33" w:rsidRPr="001B330E" w:rsidRDefault="00BC4072" w:rsidP="001B330E">
            <w:pPr>
              <w:widowControl w:val="0"/>
              <w:pBdr>
                <w:top w:val="nil"/>
                <w:left w:val="nil"/>
                <w:bottom w:val="nil"/>
                <w:right w:val="nil"/>
                <w:between w:val="nil"/>
              </w:pBdr>
              <w:ind w:left="113" w:hanging="113"/>
              <w:rPr>
                <w:color w:val="000000"/>
                <w:szCs w:val="10"/>
              </w:rPr>
            </w:pPr>
            <w:r w:rsidRPr="001B330E">
              <w:rPr>
                <w:color w:val="000000"/>
                <w:szCs w:val="10"/>
              </w:rPr>
              <w:t> </w:t>
            </w:r>
          </w:p>
        </w:tc>
        <w:tc>
          <w:tcPr>
            <w:tcW w:w="666" w:type="pct"/>
            <w:tcBorders>
              <w:bottom w:val="single" w:sz="12" w:space="0" w:color="000000"/>
            </w:tcBorders>
            <w:shd w:val="clear" w:color="auto" w:fill="auto"/>
            <w:vAlign w:val="bottom"/>
          </w:tcPr>
          <w:p w14:paraId="51C3F3E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645" w:type="pct"/>
            <w:tcBorders>
              <w:bottom w:val="single" w:sz="12" w:space="0" w:color="000000"/>
            </w:tcBorders>
            <w:shd w:val="clear" w:color="auto" w:fill="auto"/>
            <w:vAlign w:val="bottom"/>
          </w:tcPr>
          <w:p w14:paraId="656FADB7"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bottom w:val="single" w:sz="12" w:space="0" w:color="000000"/>
            </w:tcBorders>
            <w:vAlign w:val="bottom"/>
          </w:tcPr>
          <w:p w14:paraId="0868416A"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0" w:type="pct"/>
            <w:tcBorders>
              <w:bottom w:val="single" w:sz="12" w:space="0" w:color="000000"/>
            </w:tcBorders>
            <w:shd w:val="clear" w:color="auto" w:fill="auto"/>
            <w:vAlign w:val="bottom"/>
          </w:tcPr>
          <w:p w14:paraId="22A2439F"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571" w:type="pct"/>
            <w:tcBorders>
              <w:bottom w:val="single" w:sz="12" w:space="0" w:color="000000"/>
            </w:tcBorders>
            <w:shd w:val="clear" w:color="auto" w:fill="auto"/>
            <w:vAlign w:val="bottom"/>
          </w:tcPr>
          <w:p w14:paraId="4608E282" w14:textId="77777777" w:rsidR="00D83E33" w:rsidRPr="001B330E" w:rsidRDefault="00D83E33" w:rsidP="001B330E">
            <w:pPr>
              <w:widowControl w:val="0"/>
              <w:pBdr>
                <w:top w:val="nil"/>
                <w:left w:val="nil"/>
                <w:bottom w:val="nil"/>
                <w:right w:val="nil"/>
                <w:between w:val="nil"/>
              </w:pBdr>
              <w:jc w:val="right"/>
              <w:rPr>
                <w:color w:val="000000"/>
                <w:szCs w:val="10"/>
              </w:rPr>
            </w:pPr>
          </w:p>
        </w:tc>
      </w:tr>
    </w:tbl>
    <w:p w14:paraId="27F0C561" w14:textId="77777777" w:rsidR="008A5EFD" w:rsidRDefault="008A5EFD" w:rsidP="001B330E">
      <w:pPr>
        <w:widowControl w:val="0"/>
        <w:pBdr>
          <w:top w:val="nil"/>
          <w:left w:val="nil"/>
          <w:bottom w:val="nil"/>
          <w:right w:val="nil"/>
          <w:between w:val="nil"/>
        </w:pBdr>
        <w:ind w:left="567" w:hanging="567"/>
        <w:jc w:val="both"/>
        <w:rPr>
          <w:b/>
          <w:color w:val="000000"/>
          <w:sz w:val="20"/>
          <w:szCs w:val="20"/>
        </w:rPr>
      </w:pPr>
    </w:p>
    <w:p w14:paraId="663E1659" w14:textId="226393AD" w:rsidR="00D83E33" w:rsidRDefault="00BC4072" w:rsidP="001B330E">
      <w:pPr>
        <w:widowControl w:val="0"/>
        <w:pBdr>
          <w:top w:val="nil"/>
          <w:left w:val="nil"/>
          <w:bottom w:val="nil"/>
          <w:right w:val="nil"/>
          <w:between w:val="nil"/>
        </w:pBdr>
        <w:spacing w:after="200"/>
        <w:jc w:val="both"/>
        <w:rPr>
          <w:color w:val="000000"/>
          <w:sz w:val="20"/>
          <w:szCs w:val="20"/>
        </w:rPr>
      </w:pPr>
      <w:r>
        <w:rPr>
          <w:color w:val="000000"/>
          <w:sz w:val="20"/>
          <w:szCs w:val="20"/>
        </w:rPr>
        <w:t>The table below discloses investments in debt securities at 31</w:t>
      </w:r>
      <w:r w:rsidR="00181687">
        <w:rPr>
          <w:color w:val="000000"/>
          <w:sz w:val="20"/>
          <w:szCs w:val="20"/>
        </w:rPr>
        <w:t> December </w:t>
      </w:r>
      <w:r w:rsidR="00541EBC">
        <w:rPr>
          <w:color w:val="000000"/>
          <w:sz w:val="20"/>
          <w:szCs w:val="20"/>
        </w:rPr>
        <w:t>2023</w:t>
      </w:r>
      <w:r>
        <w:rPr>
          <w:color w:val="000000"/>
          <w:sz w:val="20"/>
          <w:szCs w:val="20"/>
        </w:rPr>
        <w:t xml:space="preserve"> by measurement categories and classes:</w:t>
      </w:r>
    </w:p>
    <w:tbl>
      <w:tblPr>
        <w:tblStyle w:val="af9"/>
        <w:tblW w:w="5000" w:type="pct"/>
        <w:tblLook w:val="0000" w:firstRow="0" w:lastRow="0" w:firstColumn="0" w:lastColumn="0" w:noHBand="0" w:noVBand="0"/>
      </w:tblPr>
      <w:tblGrid>
        <w:gridCol w:w="3699"/>
        <w:gridCol w:w="1247"/>
        <w:gridCol w:w="1207"/>
        <w:gridCol w:w="1067"/>
        <w:gridCol w:w="1067"/>
        <w:gridCol w:w="1068"/>
      </w:tblGrid>
      <w:tr w:rsidR="008A5EFD" w:rsidRPr="008A5EFD" w14:paraId="45F8CA3B" w14:textId="77777777" w:rsidTr="008A5EFD">
        <w:trPr>
          <w:trHeight w:val="23"/>
        </w:trPr>
        <w:tc>
          <w:tcPr>
            <w:tcW w:w="1977" w:type="pct"/>
            <w:tcBorders>
              <w:bottom w:val="single" w:sz="4" w:space="0" w:color="000000"/>
            </w:tcBorders>
            <w:shd w:val="clear" w:color="auto" w:fill="auto"/>
            <w:vAlign w:val="bottom"/>
          </w:tcPr>
          <w:p w14:paraId="76EC3D9A" w14:textId="612E4E17" w:rsidR="00D83E33" w:rsidRPr="008A5EFD"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66" w:type="pct"/>
            <w:tcBorders>
              <w:bottom w:val="single" w:sz="4" w:space="0" w:color="000000"/>
            </w:tcBorders>
            <w:shd w:val="clear" w:color="auto" w:fill="auto"/>
          </w:tcPr>
          <w:p w14:paraId="60044503"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Debt securities mandatorily measured at FVTPL</w:t>
            </w:r>
          </w:p>
        </w:tc>
        <w:tc>
          <w:tcPr>
            <w:tcW w:w="645" w:type="pct"/>
            <w:tcBorders>
              <w:bottom w:val="single" w:sz="4" w:space="0" w:color="000000"/>
            </w:tcBorders>
            <w:shd w:val="clear" w:color="auto" w:fill="auto"/>
          </w:tcPr>
          <w:p w14:paraId="1ED87EE6"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Debt securities designated as at FVTPL at initial recognition</w:t>
            </w:r>
          </w:p>
        </w:tc>
        <w:tc>
          <w:tcPr>
            <w:tcW w:w="570" w:type="pct"/>
            <w:tcBorders>
              <w:bottom w:val="single" w:sz="4" w:space="0" w:color="000000"/>
            </w:tcBorders>
          </w:tcPr>
          <w:p w14:paraId="72890C3A"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Debt securities at FVOCI</w:t>
            </w:r>
          </w:p>
        </w:tc>
        <w:tc>
          <w:tcPr>
            <w:tcW w:w="570" w:type="pct"/>
            <w:tcBorders>
              <w:bottom w:val="single" w:sz="4" w:space="0" w:color="000000"/>
            </w:tcBorders>
            <w:shd w:val="clear" w:color="auto" w:fill="auto"/>
          </w:tcPr>
          <w:p w14:paraId="0EA702A3"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Debt securities at AC</w:t>
            </w:r>
          </w:p>
        </w:tc>
        <w:tc>
          <w:tcPr>
            <w:tcW w:w="571" w:type="pct"/>
            <w:tcBorders>
              <w:bottom w:val="single" w:sz="4" w:space="0" w:color="000000"/>
            </w:tcBorders>
            <w:shd w:val="clear" w:color="auto" w:fill="auto"/>
          </w:tcPr>
          <w:p w14:paraId="381CDA8B"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Total</w:t>
            </w:r>
          </w:p>
        </w:tc>
      </w:tr>
      <w:tr w:rsidR="008A5EFD" w:rsidRPr="008A5EFD" w14:paraId="6712D915" w14:textId="77777777" w:rsidTr="008A5EFD">
        <w:trPr>
          <w:trHeight w:val="23"/>
        </w:trPr>
        <w:tc>
          <w:tcPr>
            <w:tcW w:w="1977" w:type="pct"/>
            <w:shd w:val="clear" w:color="auto" w:fill="auto"/>
            <w:vAlign w:val="bottom"/>
          </w:tcPr>
          <w:p w14:paraId="74731B10" w14:textId="77777777" w:rsidR="00D83E33" w:rsidRPr="008A5EFD" w:rsidRDefault="00BC4072">
            <w:pPr>
              <w:widowControl w:val="0"/>
              <w:ind w:left="113" w:hanging="113"/>
              <w:rPr>
                <w:b/>
                <w:u w:val="single"/>
              </w:rPr>
            </w:pPr>
            <w:r w:rsidRPr="008A5EFD">
              <w:t> </w:t>
            </w:r>
          </w:p>
        </w:tc>
        <w:tc>
          <w:tcPr>
            <w:tcW w:w="666" w:type="pct"/>
            <w:shd w:val="clear" w:color="auto" w:fill="auto"/>
            <w:vAlign w:val="bottom"/>
          </w:tcPr>
          <w:p w14:paraId="7EE228A6" w14:textId="77777777" w:rsidR="00D83E33" w:rsidRPr="008A5EFD" w:rsidRDefault="00D83E33">
            <w:pPr>
              <w:widowControl w:val="0"/>
              <w:jc w:val="right"/>
            </w:pPr>
          </w:p>
        </w:tc>
        <w:tc>
          <w:tcPr>
            <w:tcW w:w="645" w:type="pct"/>
            <w:shd w:val="clear" w:color="auto" w:fill="auto"/>
            <w:vAlign w:val="bottom"/>
          </w:tcPr>
          <w:p w14:paraId="453E619D" w14:textId="77777777" w:rsidR="00D83E33" w:rsidRPr="008A5EFD" w:rsidRDefault="00D83E33">
            <w:pPr>
              <w:widowControl w:val="0"/>
              <w:jc w:val="right"/>
            </w:pPr>
          </w:p>
        </w:tc>
        <w:tc>
          <w:tcPr>
            <w:tcW w:w="570" w:type="pct"/>
            <w:vAlign w:val="bottom"/>
          </w:tcPr>
          <w:p w14:paraId="0533A0E0" w14:textId="77777777" w:rsidR="00D83E33" w:rsidRPr="008A5EFD" w:rsidRDefault="00D83E33">
            <w:pPr>
              <w:widowControl w:val="0"/>
              <w:jc w:val="right"/>
            </w:pPr>
          </w:p>
        </w:tc>
        <w:tc>
          <w:tcPr>
            <w:tcW w:w="570" w:type="pct"/>
            <w:shd w:val="clear" w:color="auto" w:fill="auto"/>
            <w:vAlign w:val="bottom"/>
          </w:tcPr>
          <w:p w14:paraId="28AF66E0" w14:textId="77777777" w:rsidR="00D83E33" w:rsidRPr="008A5EFD" w:rsidRDefault="00D83E33">
            <w:pPr>
              <w:widowControl w:val="0"/>
              <w:jc w:val="right"/>
            </w:pPr>
          </w:p>
        </w:tc>
        <w:tc>
          <w:tcPr>
            <w:tcW w:w="571" w:type="pct"/>
            <w:shd w:val="clear" w:color="auto" w:fill="auto"/>
            <w:vAlign w:val="bottom"/>
          </w:tcPr>
          <w:p w14:paraId="6C0A6D5F" w14:textId="77777777" w:rsidR="00D83E33" w:rsidRPr="008A5EFD" w:rsidRDefault="00D83E33">
            <w:pPr>
              <w:widowControl w:val="0"/>
              <w:jc w:val="right"/>
            </w:pPr>
          </w:p>
        </w:tc>
      </w:tr>
      <w:tr w:rsidR="008A5EFD" w:rsidRPr="008A5EFD" w14:paraId="7AB093F4" w14:textId="77777777" w:rsidTr="008A5EFD">
        <w:trPr>
          <w:trHeight w:val="23"/>
        </w:trPr>
        <w:tc>
          <w:tcPr>
            <w:tcW w:w="1977" w:type="pct"/>
            <w:shd w:val="clear" w:color="auto" w:fill="auto"/>
            <w:vAlign w:val="bottom"/>
          </w:tcPr>
          <w:p w14:paraId="591EF955" w14:textId="62B84A57" w:rsidR="00D83E33" w:rsidRPr="008A5EFD" w:rsidRDefault="00372E26">
            <w:pPr>
              <w:widowControl w:val="0"/>
              <w:pBdr>
                <w:top w:val="nil"/>
                <w:left w:val="nil"/>
                <w:bottom w:val="nil"/>
                <w:right w:val="nil"/>
                <w:between w:val="nil"/>
              </w:pBdr>
              <w:ind w:left="113" w:hanging="113"/>
              <w:rPr>
                <w:color w:val="000000"/>
              </w:rPr>
            </w:pPr>
            <w:r>
              <w:rPr>
                <w:color w:val="000000"/>
              </w:rPr>
              <w:t>[Country]</w:t>
            </w:r>
            <w:r w:rsidR="00BC4072" w:rsidRPr="008A5EFD">
              <w:rPr>
                <w:color w:val="000000"/>
              </w:rPr>
              <w:t xml:space="preserve"> government bonds</w:t>
            </w:r>
          </w:p>
        </w:tc>
        <w:tc>
          <w:tcPr>
            <w:tcW w:w="666" w:type="pct"/>
            <w:shd w:val="clear" w:color="auto" w:fill="auto"/>
            <w:vAlign w:val="bottom"/>
          </w:tcPr>
          <w:p w14:paraId="145011A4" w14:textId="77777777" w:rsidR="00D83E33" w:rsidRPr="008A5EFD" w:rsidRDefault="00D83E33">
            <w:pPr>
              <w:widowControl w:val="0"/>
              <w:pBdr>
                <w:top w:val="nil"/>
                <w:left w:val="nil"/>
                <w:bottom w:val="nil"/>
                <w:right w:val="nil"/>
                <w:between w:val="nil"/>
              </w:pBdr>
              <w:jc w:val="right"/>
              <w:rPr>
                <w:color w:val="000000"/>
              </w:rPr>
            </w:pPr>
          </w:p>
        </w:tc>
        <w:tc>
          <w:tcPr>
            <w:tcW w:w="645" w:type="pct"/>
            <w:shd w:val="clear" w:color="auto" w:fill="auto"/>
            <w:vAlign w:val="bottom"/>
          </w:tcPr>
          <w:p w14:paraId="5EC1794C" w14:textId="77777777" w:rsidR="00D83E33" w:rsidRPr="008A5EFD" w:rsidRDefault="00D83E33">
            <w:pPr>
              <w:widowControl w:val="0"/>
              <w:pBdr>
                <w:top w:val="nil"/>
                <w:left w:val="nil"/>
                <w:bottom w:val="nil"/>
                <w:right w:val="nil"/>
                <w:between w:val="nil"/>
              </w:pBdr>
              <w:jc w:val="right"/>
              <w:rPr>
                <w:color w:val="000000"/>
              </w:rPr>
            </w:pPr>
          </w:p>
        </w:tc>
        <w:tc>
          <w:tcPr>
            <w:tcW w:w="570" w:type="pct"/>
            <w:vAlign w:val="bottom"/>
          </w:tcPr>
          <w:p w14:paraId="3F5745B5" w14:textId="77777777" w:rsidR="00D83E33" w:rsidRPr="008A5EFD" w:rsidRDefault="00D83E33">
            <w:pPr>
              <w:widowControl w:val="0"/>
              <w:pBdr>
                <w:top w:val="nil"/>
                <w:left w:val="nil"/>
                <w:bottom w:val="nil"/>
                <w:right w:val="nil"/>
                <w:between w:val="nil"/>
              </w:pBdr>
              <w:jc w:val="right"/>
              <w:rPr>
                <w:color w:val="000000"/>
              </w:rPr>
            </w:pPr>
          </w:p>
        </w:tc>
        <w:tc>
          <w:tcPr>
            <w:tcW w:w="570" w:type="pct"/>
            <w:shd w:val="clear" w:color="auto" w:fill="auto"/>
            <w:vAlign w:val="bottom"/>
          </w:tcPr>
          <w:p w14:paraId="1219F637" w14:textId="77777777" w:rsidR="00D83E33" w:rsidRPr="008A5EFD" w:rsidRDefault="00D83E33">
            <w:pPr>
              <w:widowControl w:val="0"/>
              <w:pBdr>
                <w:top w:val="nil"/>
                <w:left w:val="nil"/>
                <w:bottom w:val="nil"/>
                <w:right w:val="nil"/>
                <w:between w:val="nil"/>
              </w:pBdr>
              <w:jc w:val="right"/>
              <w:rPr>
                <w:color w:val="000000"/>
              </w:rPr>
            </w:pPr>
          </w:p>
        </w:tc>
        <w:tc>
          <w:tcPr>
            <w:tcW w:w="571" w:type="pct"/>
            <w:shd w:val="clear" w:color="auto" w:fill="auto"/>
            <w:vAlign w:val="bottom"/>
          </w:tcPr>
          <w:p w14:paraId="09075E12"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201E7F96" w14:textId="77777777" w:rsidTr="008A5EFD">
        <w:trPr>
          <w:trHeight w:val="23"/>
        </w:trPr>
        <w:tc>
          <w:tcPr>
            <w:tcW w:w="1977" w:type="pct"/>
            <w:shd w:val="clear" w:color="auto" w:fill="auto"/>
            <w:vAlign w:val="bottom"/>
          </w:tcPr>
          <w:p w14:paraId="6328F96A" w14:textId="77777777" w:rsidR="00D83E33" w:rsidRPr="008A5EFD" w:rsidRDefault="00BC4072">
            <w:pPr>
              <w:widowControl w:val="0"/>
              <w:pBdr>
                <w:top w:val="nil"/>
                <w:left w:val="nil"/>
                <w:bottom w:val="nil"/>
                <w:right w:val="nil"/>
                <w:between w:val="nil"/>
              </w:pBdr>
              <w:ind w:left="113" w:hanging="113"/>
              <w:rPr>
                <w:color w:val="000000"/>
              </w:rPr>
            </w:pPr>
            <w:r w:rsidRPr="008A5EFD">
              <w:rPr>
                <w:color w:val="000000"/>
              </w:rPr>
              <w:t>Municipal bonds</w:t>
            </w:r>
          </w:p>
        </w:tc>
        <w:tc>
          <w:tcPr>
            <w:tcW w:w="666" w:type="pct"/>
            <w:shd w:val="clear" w:color="auto" w:fill="auto"/>
            <w:vAlign w:val="bottom"/>
          </w:tcPr>
          <w:p w14:paraId="35F5486D" w14:textId="77777777" w:rsidR="00D83E33" w:rsidRPr="008A5EFD" w:rsidRDefault="00D83E33">
            <w:pPr>
              <w:widowControl w:val="0"/>
              <w:pBdr>
                <w:top w:val="nil"/>
                <w:left w:val="nil"/>
                <w:bottom w:val="nil"/>
                <w:right w:val="nil"/>
                <w:between w:val="nil"/>
              </w:pBdr>
              <w:jc w:val="right"/>
              <w:rPr>
                <w:color w:val="000000"/>
              </w:rPr>
            </w:pPr>
          </w:p>
        </w:tc>
        <w:tc>
          <w:tcPr>
            <w:tcW w:w="645" w:type="pct"/>
            <w:shd w:val="clear" w:color="auto" w:fill="auto"/>
            <w:vAlign w:val="bottom"/>
          </w:tcPr>
          <w:p w14:paraId="1DE84D2D" w14:textId="77777777" w:rsidR="00D83E33" w:rsidRPr="008A5EFD" w:rsidRDefault="00D83E33">
            <w:pPr>
              <w:widowControl w:val="0"/>
              <w:pBdr>
                <w:top w:val="nil"/>
                <w:left w:val="nil"/>
                <w:bottom w:val="nil"/>
                <w:right w:val="nil"/>
                <w:between w:val="nil"/>
              </w:pBdr>
              <w:jc w:val="right"/>
              <w:rPr>
                <w:color w:val="000000"/>
              </w:rPr>
            </w:pPr>
          </w:p>
        </w:tc>
        <w:tc>
          <w:tcPr>
            <w:tcW w:w="570" w:type="pct"/>
            <w:vAlign w:val="bottom"/>
          </w:tcPr>
          <w:p w14:paraId="73E56713" w14:textId="77777777" w:rsidR="00D83E33" w:rsidRPr="008A5EFD" w:rsidRDefault="00D83E33">
            <w:pPr>
              <w:widowControl w:val="0"/>
              <w:pBdr>
                <w:top w:val="nil"/>
                <w:left w:val="nil"/>
                <w:bottom w:val="nil"/>
                <w:right w:val="nil"/>
                <w:between w:val="nil"/>
              </w:pBdr>
              <w:jc w:val="right"/>
              <w:rPr>
                <w:color w:val="000000"/>
              </w:rPr>
            </w:pPr>
          </w:p>
        </w:tc>
        <w:tc>
          <w:tcPr>
            <w:tcW w:w="570" w:type="pct"/>
            <w:shd w:val="clear" w:color="auto" w:fill="auto"/>
            <w:vAlign w:val="bottom"/>
          </w:tcPr>
          <w:p w14:paraId="42B038CA" w14:textId="77777777" w:rsidR="00D83E33" w:rsidRPr="008A5EFD" w:rsidRDefault="00D83E33">
            <w:pPr>
              <w:widowControl w:val="0"/>
              <w:pBdr>
                <w:top w:val="nil"/>
                <w:left w:val="nil"/>
                <w:bottom w:val="nil"/>
                <w:right w:val="nil"/>
                <w:between w:val="nil"/>
              </w:pBdr>
              <w:jc w:val="right"/>
              <w:rPr>
                <w:color w:val="000000"/>
              </w:rPr>
            </w:pPr>
          </w:p>
        </w:tc>
        <w:tc>
          <w:tcPr>
            <w:tcW w:w="571" w:type="pct"/>
            <w:shd w:val="clear" w:color="auto" w:fill="auto"/>
            <w:vAlign w:val="bottom"/>
          </w:tcPr>
          <w:p w14:paraId="7D7F8501"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3A8C8262" w14:textId="77777777" w:rsidTr="008A5EFD">
        <w:trPr>
          <w:trHeight w:val="23"/>
        </w:trPr>
        <w:tc>
          <w:tcPr>
            <w:tcW w:w="1977" w:type="pct"/>
            <w:shd w:val="clear" w:color="auto" w:fill="auto"/>
            <w:vAlign w:val="bottom"/>
          </w:tcPr>
          <w:p w14:paraId="4D1159A9" w14:textId="77777777" w:rsidR="00D83E33" w:rsidRPr="008A5EFD" w:rsidRDefault="00BC4072">
            <w:pPr>
              <w:widowControl w:val="0"/>
              <w:pBdr>
                <w:top w:val="nil"/>
                <w:left w:val="nil"/>
                <w:bottom w:val="nil"/>
                <w:right w:val="nil"/>
                <w:between w:val="nil"/>
              </w:pBdr>
              <w:ind w:left="113" w:hanging="113"/>
              <w:rPr>
                <w:color w:val="000000"/>
              </w:rPr>
            </w:pPr>
            <w:r w:rsidRPr="008A5EFD">
              <w:rPr>
                <w:color w:val="000000"/>
              </w:rPr>
              <w:t>Corporate bonds</w:t>
            </w:r>
          </w:p>
        </w:tc>
        <w:tc>
          <w:tcPr>
            <w:tcW w:w="666" w:type="pct"/>
            <w:shd w:val="clear" w:color="auto" w:fill="auto"/>
            <w:vAlign w:val="bottom"/>
          </w:tcPr>
          <w:p w14:paraId="2DA97CC4" w14:textId="77777777" w:rsidR="00D83E33" w:rsidRPr="008A5EFD" w:rsidRDefault="00D83E33">
            <w:pPr>
              <w:widowControl w:val="0"/>
              <w:pBdr>
                <w:top w:val="nil"/>
                <w:left w:val="nil"/>
                <w:bottom w:val="nil"/>
                <w:right w:val="nil"/>
                <w:between w:val="nil"/>
              </w:pBdr>
              <w:jc w:val="right"/>
              <w:rPr>
                <w:color w:val="000000"/>
              </w:rPr>
            </w:pPr>
          </w:p>
        </w:tc>
        <w:tc>
          <w:tcPr>
            <w:tcW w:w="645" w:type="pct"/>
            <w:shd w:val="clear" w:color="auto" w:fill="auto"/>
            <w:vAlign w:val="bottom"/>
          </w:tcPr>
          <w:p w14:paraId="5A2432E9" w14:textId="77777777" w:rsidR="00D83E33" w:rsidRPr="008A5EFD" w:rsidRDefault="00D83E33">
            <w:pPr>
              <w:widowControl w:val="0"/>
              <w:pBdr>
                <w:top w:val="nil"/>
                <w:left w:val="nil"/>
                <w:bottom w:val="nil"/>
                <w:right w:val="nil"/>
                <w:between w:val="nil"/>
              </w:pBdr>
              <w:jc w:val="right"/>
              <w:rPr>
                <w:color w:val="000000"/>
              </w:rPr>
            </w:pPr>
          </w:p>
        </w:tc>
        <w:tc>
          <w:tcPr>
            <w:tcW w:w="570" w:type="pct"/>
            <w:vAlign w:val="bottom"/>
          </w:tcPr>
          <w:p w14:paraId="39C1E7F7" w14:textId="77777777" w:rsidR="00D83E33" w:rsidRPr="008A5EFD" w:rsidRDefault="00D83E33">
            <w:pPr>
              <w:widowControl w:val="0"/>
              <w:pBdr>
                <w:top w:val="nil"/>
                <w:left w:val="nil"/>
                <w:bottom w:val="nil"/>
                <w:right w:val="nil"/>
                <w:between w:val="nil"/>
              </w:pBdr>
              <w:jc w:val="right"/>
              <w:rPr>
                <w:color w:val="000000"/>
              </w:rPr>
            </w:pPr>
          </w:p>
        </w:tc>
        <w:tc>
          <w:tcPr>
            <w:tcW w:w="570" w:type="pct"/>
            <w:shd w:val="clear" w:color="auto" w:fill="auto"/>
            <w:vAlign w:val="bottom"/>
          </w:tcPr>
          <w:p w14:paraId="5EECC7F8" w14:textId="77777777" w:rsidR="00D83E33" w:rsidRPr="008A5EFD" w:rsidRDefault="00D83E33">
            <w:pPr>
              <w:widowControl w:val="0"/>
              <w:pBdr>
                <w:top w:val="nil"/>
                <w:left w:val="nil"/>
                <w:bottom w:val="nil"/>
                <w:right w:val="nil"/>
                <w:between w:val="nil"/>
              </w:pBdr>
              <w:jc w:val="right"/>
              <w:rPr>
                <w:color w:val="000000"/>
              </w:rPr>
            </w:pPr>
          </w:p>
        </w:tc>
        <w:tc>
          <w:tcPr>
            <w:tcW w:w="571" w:type="pct"/>
            <w:shd w:val="clear" w:color="auto" w:fill="auto"/>
            <w:vAlign w:val="bottom"/>
          </w:tcPr>
          <w:p w14:paraId="3CC05BBF"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0DBA902A" w14:textId="77777777" w:rsidTr="008A5EFD">
        <w:trPr>
          <w:trHeight w:val="23"/>
        </w:trPr>
        <w:tc>
          <w:tcPr>
            <w:tcW w:w="1977" w:type="pct"/>
            <w:shd w:val="clear" w:color="auto" w:fill="auto"/>
            <w:vAlign w:val="bottom"/>
          </w:tcPr>
          <w:p w14:paraId="3B72B4D5" w14:textId="77777777" w:rsidR="00D83E33" w:rsidRPr="008A5EFD" w:rsidRDefault="00BC4072">
            <w:pPr>
              <w:widowControl w:val="0"/>
              <w:pBdr>
                <w:top w:val="nil"/>
                <w:left w:val="nil"/>
                <w:bottom w:val="nil"/>
                <w:right w:val="nil"/>
                <w:between w:val="nil"/>
              </w:pBdr>
              <w:ind w:left="113" w:hanging="113"/>
              <w:rPr>
                <w:color w:val="000000"/>
              </w:rPr>
            </w:pPr>
            <w:r w:rsidRPr="008A5EFD">
              <w:rPr>
                <w:color w:val="000000"/>
              </w:rPr>
              <w:t>Investments in mutual funds</w:t>
            </w:r>
          </w:p>
        </w:tc>
        <w:tc>
          <w:tcPr>
            <w:tcW w:w="666" w:type="pct"/>
            <w:shd w:val="clear" w:color="auto" w:fill="auto"/>
            <w:vAlign w:val="bottom"/>
          </w:tcPr>
          <w:p w14:paraId="3A9010F1" w14:textId="77777777" w:rsidR="00D83E33" w:rsidRPr="008A5EFD" w:rsidRDefault="00D83E33">
            <w:pPr>
              <w:widowControl w:val="0"/>
              <w:pBdr>
                <w:top w:val="nil"/>
                <w:left w:val="nil"/>
                <w:bottom w:val="nil"/>
                <w:right w:val="nil"/>
                <w:between w:val="nil"/>
              </w:pBdr>
              <w:jc w:val="right"/>
              <w:rPr>
                <w:color w:val="000000"/>
              </w:rPr>
            </w:pPr>
          </w:p>
        </w:tc>
        <w:tc>
          <w:tcPr>
            <w:tcW w:w="645" w:type="pct"/>
            <w:shd w:val="clear" w:color="auto" w:fill="auto"/>
            <w:vAlign w:val="bottom"/>
          </w:tcPr>
          <w:p w14:paraId="43E6C4EB" w14:textId="77777777" w:rsidR="00D83E33" w:rsidRPr="008A5EFD" w:rsidRDefault="00D83E33">
            <w:pPr>
              <w:widowControl w:val="0"/>
              <w:pBdr>
                <w:top w:val="nil"/>
                <w:left w:val="nil"/>
                <w:bottom w:val="nil"/>
                <w:right w:val="nil"/>
                <w:between w:val="nil"/>
              </w:pBdr>
              <w:jc w:val="right"/>
              <w:rPr>
                <w:color w:val="000000"/>
              </w:rPr>
            </w:pPr>
          </w:p>
        </w:tc>
        <w:tc>
          <w:tcPr>
            <w:tcW w:w="570" w:type="pct"/>
            <w:vAlign w:val="bottom"/>
          </w:tcPr>
          <w:p w14:paraId="071D3D46" w14:textId="77777777" w:rsidR="00D83E33" w:rsidRPr="008A5EFD" w:rsidRDefault="00D83E33">
            <w:pPr>
              <w:widowControl w:val="0"/>
              <w:pBdr>
                <w:top w:val="nil"/>
                <w:left w:val="nil"/>
                <w:bottom w:val="nil"/>
                <w:right w:val="nil"/>
                <w:between w:val="nil"/>
              </w:pBdr>
              <w:jc w:val="right"/>
              <w:rPr>
                <w:color w:val="000000"/>
              </w:rPr>
            </w:pPr>
          </w:p>
        </w:tc>
        <w:tc>
          <w:tcPr>
            <w:tcW w:w="570" w:type="pct"/>
            <w:shd w:val="clear" w:color="auto" w:fill="auto"/>
            <w:vAlign w:val="bottom"/>
          </w:tcPr>
          <w:p w14:paraId="07C44800" w14:textId="77777777" w:rsidR="00D83E33" w:rsidRPr="008A5EFD" w:rsidRDefault="00D83E33">
            <w:pPr>
              <w:widowControl w:val="0"/>
              <w:pBdr>
                <w:top w:val="nil"/>
                <w:left w:val="nil"/>
                <w:bottom w:val="nil"/>
                <w:right w:val="nil"/>
                <w:between w:val="nil"/>
              </w:pBdr>
              <w:jc w:val="right"/>
              <w:rPr>
                <w:color w:val="000000"/>
              </w:rPr>
            </w:pPr>
          </w:p>
        </w:tc>
        <w:tc>
          <w:tcPr>
            <w:tcW w:w="571" w:type="pct"/>
            <w:shd w:val="clear" w:color="auto" w:fill="auto"/>
            <w:vAlign w:val="bottom"/>
          </w:tcPr>
          <w:p w14:paraId="100AE9DD"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07241556" w14:textId="77777777" w:rsidTr="008A5EFD">
        <w:trPr>
          <w:trHeight w:val="23"/>
        </w:trPr>
        <w:tc>
          <w:tcPr>
            <w:tcW w:w="1977" w:type="pct"/>
            <w:shd w:val="clear" w:color="auto" w:fill="auto"/>
            <w:vAlign w:val="bottom"/>
          </w:tcPr>
          <w:p w14:paraId="49395CAC" w14:textId="5E06CFB5" w:rsidR="00D83E33" w:rsidRPr="008A5EFD" w:rsidRDefault="00BC4072">
            <w:pPr>
              <w:widowControl w:val="0"/>
              <w:pBdr>
                <w:top w:val="nil"/>
                <w:left w:val="nil"/>
                <w:bottom w:val="nil"/>
                <w:right w:val="nil"/>
                <w:between w:val="nil"/>
              </w:pBdr>
              <w:ind w:left="113" w:hanging="113"/>
              <w:rPr>
                <w:color w:val="000000"/>
              </w:rPr>
            </w:pPr>
            <w:r w:rsidRPr="008A5EFD">
              <w:rPr>
                <w:color w:val="000000"/>
              </w:rPr>
              <w:t xml:space="preserve">Promissory notes </w:t>
            </w:r>
          </w:p>
        </w:tc>
        <w:tc>
          <w:tcPr>
            <w:tcW w:w="666" w:type="pct"/>
            <w:shd w:val="clear" w:color="auto" w:fill="auto"/>
            <w:vAlign w:val="bottom"/>
          </w:tcPr>
          <w:p w14:paraId="38A4FBEA" w14:textId="77777777" w:rsidR="00D83E33" w:rsidRPr="008A5EFD" w:rsidRDefault="00D83E33">
            <w:pPr>
              <w:widowControl w:val="0"/>
              <w:pBdr>
                <w:top w:val="nil"/>
                <w:left w:val="nil"/>
                <w:bottom w:val="nil"/>
                <w:right w:val="nil"/>
                <w:between w:val="nil"/>
              </w:pBdr>
              <w:jc w:val="right"/>
              <w:rPr>
                <w:color w:val="000000"/>
              </w:rPr>
            </w:pPr>
          </w:p>
        </w:tc>
        <w:tc>
          <w:tcPr>
            <w:tcW w:w="645" w:type="pct"/>
            <w:shd w:val="clear" w:color="auto" w:fill="auto"/>
            <w:vAlign w:val="bottom"/>
          </w:tcPr>
          <w:p w14:paraId="2C611A26" w14:textId="77777777" w:rsidR="00D83E33" w:rsidRPr="008A5EFD" w:rsidRDefault="00D83E33">
            <w:pPr>
              <w:widowControl w:val="0"/>
              <w:pBdr>
                <w:top w:val="nil"/>
                <w:left w:val="nil"/>
                <w:bottom w:val="nil"/>
                <w:right w:val="nil"/>
                <w:between w:val="nil"/>
              </w:pBdr>
              <w:jc w:val="right"/>
              <w:rPr>
                <w:color w:val="000000"/>
              </w:rPr>
            </w:pPr>
          </w:p>
        </w:tc>
        <w:tc>
          <w:tcPr>
            <w:tcW w:w="570" w:type="pct"/>
            <w:vAlign w:val="bottom"/>
          </w:tcPr>
          <w:p w14:paraId="2434EAFD" w14:textId="77777777" w:rsidR="00D83E33" w:rsidRPr="008A5EFD" w:rsidRDefault="00D83E33">
            <w:pPr>
              <w:widowControl w:val="0"/>
              <w:pBdr>
                <w:top w:val="nil"/>
                <w:left w:val="nil"/>
                <w:bottom w:val="nil"/>
                <w:right w:val="nil"/>
                <w:between w:val="nil"/>
              </w:pBdr>
              <w:jc w:val="right"/>
              <w:rPr>
                <w:color w:val="000000"/>
              </w:rPr>
            </w:pPr>
          </w:p>
        </w:tc>
        <w:tc>
          <w:tcPr>
            <w:tcW w:w="570" w:type="pct"/>
            <w:shd w:val="clear" w:color="auto" w:fill="auto"/>
            <w:vAlign w:val="bottom"/>
          </w:tcPr>
          <w:p w14:paraId="1D27B4D1" w14:textId="77777777" w:rsidR="00D83E33" w:rsidRPr="008A5EFD" w:rsidRDefault="00D83E33">
            <w:pPr>
              <w:widowControl w:val="0"/>
              <w:pBdr>
                <w:top w:val="nil"/>
                <w:left w:val="nil"/>
                <w:bottom w:val="nil"/>
                <w:right w:val="nil"/>
                <w:between w:val="nil"/>
              </w:pBdr>
              <w:jc w:val="right"/>
              <w:rPr>
                <w:color w:val="000000"/>
              </w:rPr>
            </w:pPr>
          </w:p>
        </w:tc>
        <w:tc>
          <w:tcPr>
            <w:tcW w:w="571" w:type="pct"/>
            <w:shd w:val="clear" w:color="auto" w:fill="auto"/>
            <w:vAlign w:val="bottom"/>
          </w:tcPr>
          <w:p w14:paraId="175085A7"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6F295FFB" w14:textId="77777777" w:rsidTr="008A5EFD">
        <w:trPr>
          <w:trHeight w:val="23"/>
        </w:trPr>
        <w:tc>
          <w:tcPr>
            <w:tcW w:w="1977" w:type="pct"/>
            <w:tcBorders>
              <w:bottom w:val="single" w:sz="4" w:space="0" w:color="000000"/>
            </w:tcBorders>
            <w:shd w:val="clear" w:color="auto" w:fill="auto"/>
            <w:vAlign w:val="bottom"/>
          </w:tcPr>
          <w:p w14:paraId="0E534A87" w14:textId="77777777" w:rsidR="00D83E33" w:rsidRPr="008A5EFD" w:rsidRDefault="00D83E33">
            <w:pPr>
              <w:widowControl w:val="0"/>
              <w:pBdr>
                <w:top w:val="nil"/>
                <w:left w:val="nil"/>
                <w:bottom w:val="nil"/>
                <w:right w:val="nil"/>
                <w:between w:val="nil"/>
              </w:pBdr>
              <w:ind w:left="113" w:hanging="113"/>
              <w:rPr>
                <w:color w:val="000000"/>
              </w:rPr>
            </w:pPr>
          </w:p>
        </w:tc>
        <w:tc>
          <w:tcPr>
            <w:tcW w:w="666" w:type="pct"/>
            <w:tcBorders>
              <w:bottom w:val="single" w:sz="4" w:space="0" w:color="000000"/>
            </w:tcBorders>
            <w:shd w:val="clear" w:color="auto" w:fill="auto"/>
            <w:vAlign w:val="bottom"/>
          </w:tcPr>
          <w:p w14:paraId="2C5EDF0E" w14:textId="77777777" w:rsidR="00D83E33" w:rsidRPr="008A5EFD" w:rsidRDefault="00D83E33">
            <w:pPr>
              <w:widowControl w:val="0"/>
              <w:pBdr>
                <w:top w:val="nil"/>
                <w:left w:val="nil"/>
                <w:bottom w:val="nil"/>
                <w:right w:val="nil"/>
                <w:between w:val="nil"/>
              </w:pBdr>
              <w:jc w:val="right"/>
              <w:rPr>
                <w:color w:val="000000"/>
              </w:rPr>
            </w:pPr>
          </w:p>
        </w:tc>
        <w:tc>
          <w:tcPr>
            <w:tcW w:w="645" w:type="pct"/>
            <w:tcBorders>
              <w:bottom w:val="single" w:sz="4" w:space="0" w:color="000000"/>
            </w:tcBorders>
            <w:shd w:val="clear" w:color="auto" w:fill="auto"/>
            <w:vAlign w:val="bottom"/>
          </w:tcPr>
          <w:p w14:paraId="4E9FF6E6"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bottom w:val="single" w:sz="4" w:space="0" w:color="000000"/>
            </w:tcBorders>
            <w:vAlign w:val="bottom"/>
          </w:tcPr>
          <w:p w14:paraId="69CFB516"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bottom w:val="single" w:sz="4" w:space="0" w:color="000000"/>
            </w:tcBorders>
            <w:shd w:val="clear" w:color="auto" w:fill="auto"/>
            <w:vAlign w:val="bottom"/>
          </w:tcPr>
          <w:p w14:paraId="6062FD88" w14:textId="77777777" w:rsidR="00D83E33" w:rsidRPr="008A5EFD" w:rsidRDefault="00D83E33">
            <w:pPr>
              <w:widowControl w:val="0"/>
              <w:pBdr>
                <w:top w:val="nil"/>
                <w:left w:val="nil"/>
                <w:bottom w:val="nil"/>
                <w:right w:val="nil"/>
                <w:between w:val="nil"/>
              </w:pBdr>
              <w:jc w:val="right"/>
              <w:rPr>
                <w:color w:val="000000"/>
              </w:rPr>
            </w:pPr>
          </w:p>
        </w:tc>
        <w:tc>
          <w:tcPr>
            <w:tcW w:w="571" w:type="pct"/>
            <w:tcBorders>
              <w:bottom w:val="single" w:sz="4" w:space="0" w:color="000000"/>
            </w:tcBorders>
            <w:shd w:val="clear" w:color="auto" w:fill="auto"/>
            <w:vAlign w:val="bottom"/>
          </w:tcPr>
          <w:p w14:paraId="50A543DD"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28EBC9A3" w14:textId="77777777" w:rsidTr="008A5EFD">
        <w:trPr>
          <w:trHeight w:val="23"/>
        </w:trPr>
        <w:tc>
          <w:tcPr>
            <w:tcW w:w="1977" w:type="pct"/>
            <w:tcBorders>
              <w:top w:val="single" w:sz="4" w:space="0" w:color="000000"/>
            </w:tcBorders>
            <w:shd w:val="clear" w:color="auto" w:fill="auto"/>
            <w:vAlign w:val="bottom"/>
          </w:tcPr>
          <w:p w14:paraId="21541333" w14:textId="77777777" w:rsidR="00D83E33" w:rsidRPr="008A5EFD" w:rsidRDefault="00D83E33">
            <w:pPr>
              <w:widowControl w:val="0"/>
              <w:pBdr>
                <w:top w:val="nil"/>
                <w:left w:val="nil"/>
                <w:bottom w:val="nil"/>
                <w:right w:val="nil"/>
                <w:between w:val="nil"/>
              </w:pBdr>
              <w:ind w:left="113" w:hanging="113"/>
              <w:rPr>
                <w:color w:val="000000"/>
              </w:rPr>
            </w:pPr>
          </w:p>
        </w:tc>
        <w:tc>
          <w:tcPr>
            <w:tcW w:w="666" w:type="pct"/>
            <w:tcBorders>
              <w:top w:val="single" w:sz="4" w:space="0" w:color="000000"/>
            </w:tcBorders>
            <w:shd w:val="clear" w:color="auto" w:fill="auto"/>
            <w:vAlign w:val="bottom"/>
          </w:tcPr>
          <w:p w14:paraId="31715E79" w14:textId="77777777" w:rsidR="00D83E33" w:rsidRPr="008A5EFD" w:rsidRDefault="00D83E33">
            <w:pPr>
              <w:widowControl w:val="0"/>
              <w:pBdr>
                <w:top w:val="nil"/>
                <w:left w:val="nil"/>
                <w:bottom w:val="nil"/>
                <w:right w:val="nil"/>
                <w:between w:val="nil"/>
              </w:pBdr>
              <w:jc w:val="right"/>
              <w:rPr>
                <w:color w:val="000000"/>
              </w:rPr>
            </w:pPr>
          </w:p>
        </w:tc>
        <w:tc>
          <w:tcPr>
            <w:tcW w:w="645" w:type="pct"/>
            <w:tcBorders>
              <w:top w:val="single" w:sz="4" w:space="0" w:color="000000"/>
            </w:tcBorders>
            <w:shd w:val="clear" w:color="auto" w:fill="auto"/>
            <w:vAlign w:val="bottom"/>
          </w:tcPr>
          <w:p w14:paraId="654224B7"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top w:val="single" w:sz="4" w:space="0" w:color="000000"/>
            </w:tcBorders>
            <w:vAlign w:val="bottom"/>
          </w:tcPr>
          <w:p w14:paraId="35877BBD"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top w:val="single" w:sz="4" w:space="0" w:color="000000"/>
            </w:tcBorders>
            <w:shd w:val="clear" w:color="auto" w:fill="auto"/>
            <w:vAlign w:val="bottom"/>
          </w:tcPr>
          <w:p w14:paraId="29A2D3C9" w14:textId="77777777" w:rsidR="00D83E33" w:rsidRPr="008A5EFD" w:rsidRDefault="00D83E33">
            <w:pPr>
              <w:widowControl w:val="0"/>
              <w:pBdr>
                <w:top w:val="nil"/>
                <w:left w:val="nil"/>
                <w:bottom w:val="nil"/>
                <w:right w:val="nil"/>
                <w:between w:val="nil"/>
              </w:pBdr>
              <w:jc w:val="right"/>
              <w:rPr>
                <w:color w:val="000000"/>
              </w:rPr>
            </w:pPr>
          </w:p>
        </w:tc>
        <w:tc>
          <w:tcPr>
            <w:tcW w:w="571" w:type="pct"/>
            <w:tcBorders>
              <w:top w:val="single" w:sz="4" w:space="0" w:color="000000"/>
            </w:tcBorders>
            <w:shd w:val="clear" w:color="auto" w:fill="auto"/>
            <w:vAlign w:val="bottom"/>
          </w:tcPr>
          <w:p w14:paraId="66A37C7E"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56083D35" w14:textId="77777777" w:rsidTr="008A5EFD">
        <w:trPr>
          <w:trHeight w:val="23"/>
        </w:trPr>
        <w:tc>
          <w:tcPr>
            <w:tcW w:w="1977" w:type="pct"/>
            <w:shd w:val="clear" w:color="auto" w:fill="auto"/>
            <w:vAlign w:val="bottom"/>
          </w:tcPr>
          <w:p w14:paraId="78A34036" w14:textId="61250898" w:rsidR="00D83E33" w:rsidRPr="008A5EFD" w:rsidRDefault="00BC4072">
            <w:pPr>
              <w:widowControl w:val="0"/>
              <w:pBdr>
                <w:top w:val="nil"/>
                <w:left w:val="nil"/>
                <w:bottom w:val="nil"/>
                <w:right w:val="nil"/>
                <w:between w:val="nil"/>
              </w:pBdr>
              <w:ind w:left="113" w:hanging="113"/>
              <w:rPr>
                <w:color w:val="000000"/>
              </w:rPr>
            </w:pPr>
            <w:r w:rsidRPr="008A5EFD">
              <w:rPr>
                <w:color w:val="000000"/>
              </w:rPr>
              <w:t xml:space="preserve">Total investments in debt securities </w:t>
            </w:r>
            <w:r w:rsidRPr="008A5EFD">
              <w:rPr>
                <w:color w:val="000000"/>
              </w:rPr>
              <w:br/>
              <w:t>at 31</w:t>
            </w:r>
            <w:r w:rsidR="00181687">
              <w:rPr>
                <w:color w:val="000000"/>
              </w:rPr>
              <w:t> December </w:t>
            </w:r>
            <w:r w:rsidR="00541EBC">
              <w:rPr>
                <w:color w:val="000000"/>
              </w:rPr>
              <w:t>2023</w:t>
            </w:r>
            <w:r w:rsidRPr="008A5EFD">
              <w:rPr>
                <w:color w:val="000000"/>
              </w:rPr>
              <w:t xml:space="preserve"> (fair value or gross carrying value)</w:t>
            </w:r>
          </w:p>
        </w:tc>
        <w:tc>
          <w:tcPr>
            <w:tcW w:w="666" w:type="pct"/>
            <w:shd w:val="clear" w:color="auto" w:fill="auto"/>
            <w:vAlign w:val="bottom"/>
          </w:tcPr>
          <w:p w14:paraId="29E35B31" w14:textId="77777777" w:rsidR="00D83E33" w:rsidRPr="008A5EFD" w:rsidRDefault="00D83E33">
            <w:pPr>
              <w:widowControl w:val="0"/>
              <w:pBdr>
                <w:top w:val="nil"/>
                <w:left w:val="nil"/>
                <w:bottom w:val="nil"/>
                <w:right w:val="nil"/>
                <w:between w:val="nil"/>
              </w:pBdr>
              <w:jc w:val="right"/>
              <w:rPr>
                <w:color w:val="000000"/>
              </w:rPr>
            </w:pPr>
          </w:p>
        </w:tc>
        <w:tc>
          <w:tcPr>
            <w:tcW w:w="645" w:type="pct"/>
            <w:shd w:val="clear" w:color="auto" w:fill="auto"/>
            <w:vAlign w:val="bottom"/>
          </w:tcPr>
          <w:p w14:paraId="122E3F25" w14:textId="77777777" w:rsidR="00D83E33" w:rsidRPr="008A5EFD" w:rsidRDefault="00D83E33">
            <w:pPr>
              <w:widowControl w:val="0"/>
              <w:pBdr>
                <w:top w:val="nil"/>
                <w:left w:val="nil"/>
                <w:bottom w:val="nil"/>
                <w:right w:val="nil"/>
                <w:between w:val="nil"/>
              </w:pBdr>
              <w:jc w:val="right"/>
              <w:rPr>
                <w:color w:val="000000"/>
              </w:rPr>
            </w:pPr>
          </w:p>
        </w:tc>
        <w:tc>
          <w:tcPr>
            <w:tcW w:w="570" w:type="pct"/>
            <w:vAlign w:val="bottom"/>
          </w:tcPr>
          <w:p w14:paraId="133927D7" w14:textId="77777777" w:rsidR="00D83E33" w:rsidRPr="008A5EFD" w:rsidRDefault="00D83E33">
            <w:pPr>
              <w:widowControl w:val="0"/>
              <w:pBdr>
                <w:top w:val="nil"/>
                <w:left w:val="nil"/>
                <w:bottom w:val="nil"/>
                <w:right w:val="nil"/>
                <w:between w:val="nil"/>
              </w:pBdr>
              <w:jc w:val="right"/>
              <w:rPr>
                <w:color w:val="000000"/>
              </w:rPr>
            </w:pPr>
          </w:p>
        </w:tc>
        <w:tc>
          <w:tcPr>
            <w:tcW w:w="570" w:type="pct"/>
            <w:shd w:val="clear" w:color="auto" w:fill="auto"/>
            <w:vAlign w:val="bottom"/>
          </w:tcPr>
          <w:p w14:paraId="12BA1BD4" w14:textId="77777777" w:rsidR="00D83E33" w:rsidRPr="008A5EFD" w:rsidRDefault="00D83E33">
            <w:pPr>
              <w:widowControl w:val="0"/>
              <w:pBdr>
                <w:top w:val="nil"/>
                <w:left w:val="nil"/>
                <w:bottom w:val="nil"/>
                <w:right w:val="nil"/>
                <w:between w:val="nil"/>
              </w:pBdr>
              <w:jc w:val="right"/>
              <w:rPr>
                <w:color w:val="000000"/>
              </w:rPr>
            </w:pPr>
          </w:p>
        </w:tc>
        <w:tc>
          <w:tcPr>
            <w:tcW w:w="571" w:type="pct"/>
            <w:shd w:val="clear" w:color="auto" w:fill="auto"/>
            <w:vAlign w:val="bottom"/>
          </w:tcPr>
          <w:p w14:paraId="08CA5AC0"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33A4BCC9" w14:textId="77777777" w:rsidTr="008A5EFD">
        <w:trPr>
          <w:trHeight w:val="23"/>
        </w:trPr>
        <w:tc>
          <w:tcPr>
            <w:tcW w:w="1977" w:type="pct"/>
            <w:tcBorders>
              <w:bottom w:val="single" w:sz="4" w:space="0" w:color="000000"/>
            </w:tcBorders>
            <w:shd w:val="clear" w:color="auto" w:fill="auto"/>
            <w:vAlign w:val="bottom"/>
          </w:tcPr>
          <w:p w14:paraId="152102B5" w14:textId="77777777" w:rsidR="00D83E33" w:rsidRPr="008A5EFD" w:rsidRDefault="00D83E33">
            <w:pPr>
              <w:widowControl w:val="0"/>
              <w:pBdr>
                <w:top w:val="nil"/>
                <w:left w:val="nil"/>
                <w:bottom w:val="nil"/>
                <w:right w:val="nil"/>
                <w:between w:val="nil"/>
              </w:pBdr>
              <w:ind w:left="113" w:hanging="113"/>
              <w:rPr>
                <w:color w:val="000000"/>
              </w:rPr>
            </w:pPr>
          </w:p>
        </w:tc>
        <w:tc>
          <w:tcPr>
            <w:tcW w:w="666" w:type="pct"/>
            <w:tcBorders>
              <w:bottom w:val="single" w:sz="4" w:space="0" w:color="000000"/>
            </w:tcBorders>
            <w:shd w:val="clear" w:color="auto" w:fill="auto"/>
            <w:vAlign w:val="bottom"/>
          </w:tcPr>
          <w:p w14:paraId="2E71952C" w14:textId="77777777" w:rsidR="00D83E33" w:rsidRPr="008A5EFD" w:rsidRDefault="00D83E33">
            <w:pPr>
              <w:widowControl w:val="0"/>
              <w:pBdr>
                <w:top w:val="nil"/>
                <w:left w:val="nil"/>
                <w:bottom w:val="nil"/>
                <w:right w:val="nil"/>
                <w:between w:val="nil"/>
              </w:pBdr>
              <w:jc w:val="right"/>
              <w:rPr>
                <w:color w:val="000000"/>
              </w:rPr>
            </w:pPr>
          </w:p>
        </w:tc>
        <w:tc>
          <w:tcPr>
            <w:tcW w:w="645" w:type="pct"/>
            <w:tcBorders>
              <w:bottom w:val="single" w:sz="4" w:space="0" w:color="000000"/>
            </w:tcBorders>
            <w:shd w:val="clear" w:color="auto" w:fill="auto"/>
            <w:vAlign w:val="bottom"/>
          </w:tcPr>
          <w:p w14:paraId="56749465"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bottom w:val="single" w:sz="4" w:space="0" w:color="000000"/>
            </w:tcBorders>
            <w:vAlign w:val="bottom"/>
          </w:tcPr>
          <w:p w14:paraId="516DD79C"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bottom w:val="single" w:sz="4" w:space="0" w:color="000000"/>
            </w:tcBorders>
            <w:shd w:val="clear" w:color="auto" w:fill="auto"/>
            <w:vAlign w:val="bottom"/>
          </w:tcPr>
          <w:p w14:paraId="7DF54B3E" w14:textId="77777777" w:rsidR="00D83E33" w:rsidRPr="008A5EFD" w:rsidRDefault="00D83E33">
            <w:pPr>
              <w:widowControl w:val="0"/>
              <w:pBdr>
                <w:top w:val="nil"/>
                <w:left w:val="nil"/>
                <w:bottom w:val="nil"/>
                <w:right w:val="nil"/>
                <w:between w:val="nil"/>
              </w:pBdr>
              <w:jc w:val="right"/>
              <w:rPr>
                <w:color w:val="000000"/>
              </w:rPr>
            </w:pPr>
          </w:p>
        </w:tc>
        <w:tc>
          <w:tcPr>
            <w:tcW w:w="571" w:type="pct"/>
            <w:tcBorders>
              <w:bottom w:val="single" w:sz="4" w:space="0" w:color="000000"/>
            </w:tcBorders>
            <w:shd w:val="clear" w:color="auto" w:fill="auto"/>
            <w:vAlign w:val="bottom"/>
          </w:tcPr>
          <w:p w14:paraId="465485FB"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6DFF1D6E" w14:textId="77777777" w:rsidTr="008A5EFD">
        <w:trPr>
          <w:trHeight w:val="23"/>
        </w:trPr>
        <w:tc>
          <w:tcPr>
            <w:tcW w:w="1977" w:type="pct"/>
            <w:tcBorders>
              <w:top w:val="single" w:sz="4" w:space="0" w:color="000000"/>
            </w:tcBorders>
            <w:shd w:val="clear" w:color="auto" w:fill="auto"/>
            <w:vAlign w:val="bottom"/>
          </w:tcPr>
          <w:p w14:paraId="51EB3340" w14:textId="77777777" w:rsidR="00D83E33" w:rsidRPr="008A5EFD" w:rsidRDefault="00D83E33">
            <w:pPr>
              <w:widowControl w:val="0"/>
              <w:pBdr>
                <w:top w:val="nil"/>
                <w:left w:val="nil"/>
                <w:bottom w:val="nil"/>
                <w:right w:val="nil"/>
                <w:between w:val="nil"/>
              </w:pBdr>
              <w:ind w:left="113" w:hanging="113"/>
              <w:rPr>
                <w:b/>
                <w:color w:val="000000"/>
              </w:rPr>
            </w:pPr>
          </w:p>
        </w:tc>
        <w:tc>
          <w:tcPr>
            <w:tcW w:w="666" w:type="pct"/>
            <w:tcBorders>
              <w:top w:val="single" w:sz="4" w:space="0" w:color="000000"/>
            </w:tcBorders>
            <w:shd w:val="clear" w:color="auto" w:fill="auto"/>
            <w:vAlign w:val="bottom"/>
          </w:tcPr>
          <w:p w14:paraId="4719FBFC" w14:textId="77777777" w:rsidR="00D83E33" w:rsidRPr="008A5EFD" w:rsidRDefault="00D83E33">
            <w:pPr>
              <w:widowControl w:val="0"/>
              <w:pBdr>
                <w:top w:val="nil"/>
                <w:left w:val="nil"/>
                <w:bottom w:val="nil"/>
                <w:right w:val="nil"/>
                <w:between w:val="nil"/>
              </w:pBdr>
              <w:jc w:val="right"/>
              <w:rPr>
                <w:color w:val="000000"/>
              </w:rPr>
            </w:pPr>
          </w:p>
        </w:tc>
        <w:tc>
          <w:tcPr>
            <w:tcW w:w="645" w:type="pct"/>
            <w:tcBorders>
              <w:top w:val="single" w:sz="4" w:space="0" w:color="000000"/>
            </w:tcBorders>
            <w:shd w:val="clear" w:color="auto" w:fill="auto"/>
            <w:vAlign w:val="bottom"/>
          </w:tcPr>
          <w:p w14:paraId="4AE4D54D"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top w:val="single" w:sz="4" w:space="0" w:color="000000"/>
            </w:tcBorders>
            <w:vAlign w:val="bottom"/>
          </w:tcPr>
          <w:p w14:paraId="47D7D43F"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top w:val="single" w:sz="4" w:space="0" w:color="000000"/>
            </w:tcBorders>
            <w:shd w:val="clear" w:color="auto" w:fill="auto"/>
            <w:vAlign w:val="bottom"/>
          </w:tcPr>
          <w:p w14:paraId="3DF65698" w14:textId="77777777" w:rsidR="00D83E33" w:rsidRPr="008A5EFD" w:rsidRDefault="00D83E33">
            <w:pPr>
              <w:widowControl w:val="0"/>
              <w:pBdr>
                <w:top w:val="nil"/>
                <w:left w:val="nil"/>
                <w:bottom w:val="nil"/>
                <w:right w:val="nil"/>
                <w:between w:val="nil"/>
              </w:pBdr>
              <w:jc w:val="right"/>
              <w:rPr>
                <w:color w:val="000000"/>
              </w:rPr>
            </w:pPr>
          </w:p>
        </w:tc>
        <w:tc>
          <w:tcPr>
            <w:tcW w:w="571" w:type="pct"/>
            <w:tcBorders>
              <w:top w:val="single" w:sz="4" w:space="0" w:color="000000"/>
            </w:tcBorders>
            <w:shd w:val="clear" w:color="auto" w:fill="auto"/>
            <w:vAlign w:val="bottom"/>
          </w:tcPr>
          <w:p w14:paraId="2E64D9AA"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09CD2DB1" w14:textId="77777777" w:rsidTr="008A5EFD">
        <w:trPr>
          <w:trHeight w:val="23"/>
        </w:trPr>
        <w:tc>
          <w:tcPr>
            <w:tcW w:w="1977" w:type="pct"/>
            <w:shd w:val="clear" w:color="auto" w:fill="auto"/>
            <w:vAlign w:val="bottom"/>
          </w:tcPr>
          <w:p w14:paraId="6F18FA85" w14:textId="77777777" w:rsidR="00D83E33" w:rsidRPr="008A5EFD" w:rsidRDefault="00BC4072">
            <w:pPr>
              <w:widowControl w:val="0"/>
              <w:pBdr>
                <w:top w:val="nil"/>
                <w:left w:val="nil"/>
                <w:bottom w:val="nil"/>
                <w:right w:val="nil"/>
                <w:between w:val="nil"/>
              </w:pBdr>
              <w:ind w:left="113" w:hanging="113"/>
              <w:rPr>
                <w:color w:val="000000"/>
              </w:rPr>
            </w:pPr>
            <w:r w:rsidRPr="008A5EFD">
              <w:rPr>
                <w:color w:val="000000"/>
              </w:rPr>
              <w:t>Credit loss allowance</w:t>
            </w:r>
          </w:p>
        </w:tc>
        <w:tc>
          <w:tcPr>
            <w:tcW w:w="666" w:type="pct"/>
            <w:shd w:val="clear" w:color="auto" w:fill="auto"/>
            <w:vAlign w:val="bottom"/>
          </w:tcPr>
          <w:p w14:paraId="2C4FC05F" w14:textId="77777777" w:rsidR="00D83E33" w:rsidRPr="008A5EFD" w:rsidRDefault="00BC4072">
            <w:pPr>
              <w:widowControl w:val="0"/>
              <w:pBdr>
                <w:top w:val="nil"/>
                <w:left w:val="nil"/>
                <w:bottom w:val="nil"/>
                <w:right w:val="nil"/>
                <w:between w:val="nil"/>
              </w:pBdr>
              <w:jc w:val="right"/>
              <w:rPr>
                <w:color w:val="000000"/>
              </w:rPr>
            </w:pPr>
            <w:r w:rsidRPr="008A5EFD">
              <w:rPr>
                <w:color w:val="000000"/>
              </w:rPr>
              <w:t>-</w:t>
            </w:r>
          </w:p>
        </w:tc>
        <w:tc>
          <w:tcPr>
            <w:tcW w:w="645" w:type="pct"/>
            <w:shd w:val="clear" w:color="auto" w:fill="auto"/>
            <w:vAlign w:val="bottom"/>
          </w:tcPr>
          <w:p w14:paraId="0A93C053" w14:textId="77777777" w:rsidR="00D83E33" w:rsidRPr="008A5EFD" w:rsidRDefault="00BC4072">
            <w:pPr>
              <w:widowControl w:val="0"/>
              <w:pBdr>
                <w:top w:val="nil"/>
                <w:left w:val="nil"/>
                <w:bottom w:val="nil"/>
                <w:right w:val="nil"/>
                <w:between w:val="nil"/>
              </w:pBdr>
              <w:jc w:val="right"/>
              <w:rPr>
                <w:color w:val="000000"/>
              </w:rPr>
            </w:pPr>
            <w:r w:rsidRPr="008A5EFD">
              <w:rPr>
                <w:color w:val="000000"/>
              </w:rPr>
              <w:t>-</w:t>
            </w:r>
          </w:p>
        </w:tc>
        <w:tc>
          <w:tcPr>
            <w:tcW w:w="570" w:type="pct"/>
            <w:vAlign w:val="bottom"/>
          </w:tcPr>
          <w:p w14:paraId="6145F263" w14:textId="77777777" w:rsidR="00D83E33" w:rsidRPr="008A5EFD" w:rsidRDefault="00BC4072">
            <w:pPr>
              <w:widowControl w:val="0"/>
              <w:pBdr>
                <w:top w:val="nil"/>
                <w:left w:val="nil"/>
                <w:bottom w:val="nil"/>
                <w:right w:val="nil"/>
                <w:between w:val="nil"/>
              </w:pBdr>
              <w:jc w:val="right"/>
              <w:rPr>
                <w:color w:val="000000"/>
              </w:rPr>
            </w:pPr>
            <w:r w:rsidRPr="008A5EFD">
              <w:rPr>
                <w:color w:val="000000"/>
              </w:rPr>
              <w:t>-</w:t>
            </w:r>
          </w:p>
        </w:tc>
        <w:tc>
          <w:tcPr>
            <w:tcW w:w="570" w:type="pct"/>
            <w:shd w:val="clear" w:color="auto" w:fill="auto"/>
            <w:vAlign w:val="bottom"/>
          </w:tcPr>
          <w:p w14:paraId="5370AFAF" w14:textId="77777777" w:rsidR="00D83E33" w:rsidRPr="008A5EFD" w:rsidRDefault="00D83E33">
            <w:pPr>
              <w:widowControl w:val="0"/>
              <w:pBdr>
                <w:top w:val="nil"/>
                <w:left w:val="nil"/>
                <w:bottom w:val="nil"/>
                <w:right w:val="nil"/>
                <w:between w:val="nil"/>
              </w:pBdr>
              <w:jc w:val="right"/>
              <w:rPr>
                <w:color w:val="000000"/>
              </w:rPr>
            </w:pPr>
          </w:p>
        </w:tc>
        <w:tc>
          <w:tcPr>
            <w:tcW w:w="571" w:type="pct"/>
            <w:shd w:val="clear" w:color="auto" w:fill="auto"/>
            <w:vAlign w:val="bottom"/>
          </w:tcPr>
          <w:p w14:paraId="25109FBF"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027AF929" w14:textId="77777777" w:rsidTr="008A5EFD">
        <w:trPr>
          <w:trHeight w:val="23"/>
        </w:trPr>
        <w:tc>
          <w:tcPr>
            <w:tcW w:w="1977" w:type="pct"/>
            <w:shd w:val="clear" w:color="auto" w:fill="auto"/>
            <w:vAlign w:val="bottom"/>
          </w:tcPr>
          <w:p w14:paraId="1F5EA7D5" w14:textId="77777777" w:rsidR="00D83E33" w:rsidRPr="008A5EFD" w:rsidRDefault="00D83E33">
            <w:pPr>
              <w:widowControl w:val="0"/>
              <w:pBdr>
                <w:top w:val="nil"/>
                <w:left w:val="nil"/>
                <w:bottom w:val="nil"/>
                <w:right w:val="nil"/>
                <w:between w:val="nil"/>
              </w:pBdr>
              <w:ind w:left="113" w:hanging="113"/>
              <w:rPr>
                <w:color w:val="000000"/>
              </w:rPr>
            </w:pPr>
          </w:p>
        </w:tc>
        <w:tc>
          <w:tcPr>
            <w:tcW w:w="666" w:type="pct"/>
            <w:shd w:val="clear" w:color="auto" w:fill="auto"/>
            <w:vAlign w:val="bottom"/>
          </w:tcPr>
          <w:p w14:paraId="0D5969A1" w14:textId="77777777" w:rsidR="00D83E33" w:rsidRPr="008A5EFD" w:rsidRDefault="00D83E33">
            <w:pPr>
              <w:widowControl w:val="0"/>
              <w:pBdr>
                <w:top w:val="nil"/>
                <w:left w:val="nil"/>
                <w:bottom w:val="nil"/>
                <w:right w:val="nil"/>
                <w:between w:val="nil"/>
              </w:pBdr>
              <w:jc w:val="right"/>
              <w:rPr>
                <w:color w:val="000000"/>
              </w:rPr>
            </w:pPr>
          </w:p>
        </w:tc>
        <w:tc>
          <w:tcPr>
            <w:tcW w:w="645" w:type="pct"/>
            <w:shd w:val="clear" w:color="auto" w:fill="auto"/>
            <w:vAlign w:val="bottom"/>
          </w:tcPr>
          <w:p w14:paraId="3A35F166" w14:textId="77777777" w:rsidR="00D83E33" w:rsidRPr="008A5EFD" w:rsidRDefault="00D83E33">
            <w:pPr>
              <w:widowControl w:val="0"/>
              <w:pBdr>
                <w:top w:val="nil"/>
                <w:left w:val="nil"/>
                <w:bottom w:val="nil"/>
                <w:right w:val="nil"/>
                <w:between w:val="nil"/>
              </w:pBdr>
              <w:jc w:val="right"/>
              <w:rPr>
                <w:color w:val="000000"/>
              </w:rPr>
            </w:pPr>
          </w:p>
        </w:tc>
        <w:tc>
          <w:tcPr>
            <w:tcW w:w="570" w:type="pct"/>
            <w:vAlign w:val="bottom"/>
          </w:tcPr>
          <w:p w14:paraId="427A9A77" w14:textId="77777777" w:rsidR="00D83E33" w:rsidRPr="008A5EFD" w:rsidRDefault="00D83E33">
            <w:pPr>
              <w:widowControl w:val="0"/>
              <w:pBdr>
                <w:top w:val="nil"/>
                <w:left w:val="nil"/>
                <w:bottom w:val="nil"/>
                <w:right w:val="nil"/>
                <w:between w:val="nil"/>
              </w:pBdr>
              <w:jc w:val="right"/>
              <w:rPr>
                <w:color w:val="000000"/>
              </w:rPr>
            </w:pPr>
          </w:p>
        </w:tc>
        <w:tc>
          <w:tcPr>
            <w:tcW w:w="570" w:type="pct"/>
            <w:shd w:val="clear" w:color="auto" w:fill="auto"/>
            <w:vAlign w:val="bottom"/>
          </w:tcPr>
          <w:p w14:paraId="74849AD9" w14:textId="77777777" w:rsidR="00D83E33" w:rsidRPr="008A5EFD" w:rsidRDefault="00D83E33">
            <w:pPr>
              <w:widowControl w:val="0"/>
              <w:pBdr>
                <w:top w:val="nil"/>
                <w:left w:val="nil"/>
                <w:bottom w:val="nil"/>
                <w:right w:val="nil"/>
                <w:between w:val="nil"/>
              </w:pBdr>
              <w:jc w:val="right"/>
              <w:rPr>
                <w:color w:val="000000"/>
              </w:rPr>
            </w:pPr>
          </w:p>
        </w:tc>
        <w:tc>
          <w:tcPr>
            <w:tcW w:w="571" w:type="pct"/>
            <w:shd w:val="clear" w:color="auto" w:fill="auto"/>
            <w:vAlign w:val="bottom"/>
          </w:tcPr>
          <w:p w14:paraId="1E356BF3"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2B7B3228" w14:textId="77777777" w:rsidTr="008A5EFD">
        <w:trPr>
          <w:trHeight w:val="23"/>
        </w:trPr>
        <w:tc>
          <w:tcPr>
            <w:tcW w:w="1977" w:type="pct"/>
            <w:tcBorders>
              <w:top w:val="single" w:sz="4" w:space="0" w:color="000000"/>
            </w:tcBorders>
            <w:shd w:val="clear" w:color="auto" w:fill="auto"/>
            <w:vAlign w:val="bottom"/>
          </w:tcPr>
          <w:p w14:paraId="42B54FFE" w14:textId="77777777" w:rsidR="00D83E33" w:rsidRPr="008A5EFD" w:rsidRDefault="00BC4072">
            <w:pPr>
              <w:widowControl w:val="0"/>
              <w:pBdr>
                <w:top w:val="nil"/>
                <w:left w:val="nil"/>
                <w:bottom w:val="nil"/>
                <w:right w:val="nil"/>
                <w:between w:val="nil"/>
              </w:pBdr>
              <w:ind w:left="113" w:hanging="113"/>
              <w:rPr>
                <w:color w:val="000000"/>
              </w:rPr>
            </w:pPr>
            <w:r w:rsidRPr="008A5EFD">
              <w:rPr>
                <w:color w:val="000000"/>
              </w:rPr>
              <w:t> </w:t>
            </w:r>
          </w:p>
        </w:tc>
        <w:tc>
          <w:tcPr>
            <w:tcW w:w="666" w:type="pct"/>
            <w:tcBorders>
              <w:top w:val="single" w:sz="4" w:space="0" w:color="000000"/>
            </w:tcBorders>
            <w:shd w:val="clear" w:color="auto" w:fill="auto"/>
            <w:vAlign w:val="bottom"/>
          </w:tcPr>
          <w:p w14:paraId="40CAA2A9" w14:textId="77777777" w:rsidR="00D83E33" w:rsidRPr="008A5EFD" w:rsidRDefault="00D83E33">
            <w:pPr>
              <w:widowControl w:val="0"/>
              <w:pBdr>
                <w:top w:val="nil"/>
                <w:left w:val="nil"/>
                <w:bottom w:val="nil"/>
                <w:right w:val="nil"/>
                <w:between w:val="nil"/>
              </w:pBdr>
              <w:jc w:val="right"/>
              <w:rPr>
                <w:color w:val="000000"/>
              </w:rPr>
            </w:pPr>
          </w:p>
        </w:tc>
        <w:tc>
          <w:tcPr>
            <w:tcW w:w="645" w:type="pct"/>
            <w:tcBorders>
              <w:top w:val="single" w:sz="4" w:space="0" w:color="000000"/>
            </w:tcBorders>
            <w:shd w:val="clear" w:color="auto" w:fill="auto"/>
            <w:vAlign w:val="bottom"/>
          </w:tcPr>
          <w:p w14:paraId="38CF00A4"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top w:val="single" w:sz="4" w:space="0" w:color="000000"/>
            </w:tcBorders>
            <w:vAlign w:val="bottom"/>
          </w:tcPr>
          <w:p w14:paraId="785865D9"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top w:val="single" w:sz="4" w:space="0" w:color="000000"/>
            </w:tcBorders>
            <w:shd w:val="clear" w:color="auto" w:fill="auto"/>
            <w:vAlign w:val="bottom"/>
          </w:tcPr>
          <w:p w14:paraId="7248209A" w14:textId="77777777" w:rsidR="00D83E33" w:rsidRPr="008A5EFD" w:rsidRDefault="00D83E33">
            <w:pPr>
              <w:widowControl w:val="0"/>
              <w:pBdr>
                <w:top w:val="nil"/>
                <w:left w:val="nil"/>
                <w:bottom w:val="nil"/>
                <w:right w:val="nil"/>
                <w:between w:val="nil"/>
              </w:pBdr>
              <w:jc w:val="right"/>
              <w:rPr>
                <w:color w:val="000000"/>
              </w:rPr>
            </w:pPr>
          </w:p>
        </w:tc>
        <w:tc>
          <w:tcPr>
            <w:tcW w:w="571" w:type="pct"/>
            <w:tcBorders>
              <w:top w:val="single" w:sz="4" w:space="0" w:color="000000"/>
            </w:tcBorders>
            <w:shd w:val="clear" w:color="auto" w:fill="auto"/>
            <w:vAlign w:val="bottom"/>
          </w:tcPr>
          <w:p w14:paraId="5417AE01" w14:textId="77777777" w:rsidR="00D83E33" w:rsidRPr="008A5EFD" w:rsidRDefault="00D83E33">
            <w:pPr>
              <w:widowControl w:val="0"/>
              <w:pBdr>
                <w:top w:val="nil"/>
                <w:left w:val="nil"/>
                <w:bottom w:val="nil"/>
                <w:right w:val="nil"/>
                <w:between w:val="nil"/>
              </w:pBdr>
              <w:jc w:val="right"/>
              <w:rPr>
                <w:color w:val="000000"/>
              </w:rPr>
            </w:pPr>
          </w:p>
        </w:tc>
      </w:tr>
      <w:tr w:rsidR="008A5EFD" w:rsidRPr="008A5EFD" w14:paraId="097731D4" w14:textId="77777777" w:rsidTr="008A5EFD">
        <w:trPr>
          <w:trHeight w:val="23"/>
        </w:trPr>
        <w:tc>
          <w:tcPr>
            <w:tcW w:w="1977" w:type="pct"/>
            <w:shd w:val="clear" w:color="auto" w:fill="auto"/>
            <w:vAlign w:val="bottom"/>
          </w:tcPr>
          <w:p w14:paraId="3040018C" w14:textId="64C7AAA0" w:rsidR="00D83E33" w:rsidRPr="008A5EFD" w:rsidRDefault="00BC4072">
            <w:pPr>
              <w:widowControl w:val="0"/>
              <w:pBdr>
                <w:top w:val="nil"/>
                <w:left w:val="nil"/>
                <w:bottom w:val="nil"/>
                <w:right w:val="nil"/>
                <w:between w:val="nil"/>
              </w:pBdr>
              <w:ind w:left="113" w:hanging="113"/>
              <w:rPr>
                <w:b/>
                <w:color w:val="000000"/>
              </w:rPr>
            </w:pPr>
            <w:r w:rsidRPr="008A5EFD">
              <w:rPr>
                <w:b/>
                <w:color w:val="000000"/>
              </w:rPr>
              <w:t xml:space="preserve">Total investments in debt securities </w:t>
            </w:r>
            <w:r w:rsidRPr="008A5EFD">
              <w:rPr>
                <w:b/>
                <w:color w:val="000000"/>
              </w:rPr>
              <w:br/>
              <w:t>at 31</w:t>
            </w:r>
            <w:r w:rsidR="00181687">
              <w:rPr>
                <w:b/>
                <w:color w:val="000000"/>
              </w:rPr>
              <w:t> December </w:t>
            </w:r>
            <w:r w:rsidR="00541EBC">
              <w:rPr>
                <w:b/>
                <w:color w:val="000000"/>
              </w:rPr>
              <w:t>2023</w:t>
            </w:r>
            <w:r w:rsidRPr="008A5EFD">
              <w:rPr>
                <w:b/>
                <w:color w:val="000000"/>
              </w:rPr>
              <w:t xml:space="preserve"> (carrying value)</w:t>
            </w:r>
          </w:p>
        </w:tc>
        <w:tc>
          <w:tcPr>
            <w:tcW w:w="666" w:type="pct"/>
            <w:shd w:val="clear" w:color="auto" w:fill="auto"/>
            <w:vAlign w:val="bottom"/>
          </w:tcPr>
          <w:p w14:paraId="2288299C" w14:textId="77777777" w:rsidR="00D83E33" w:rsidRPr="008A5EFD" w:rsidRDefault="00D83E33">
            <w:pPr>
              <w:widowControl w:val="0"/>
              <w:pBdr>
                <w:top w:val="nil"/>
                <w:left w:val="nil"/>
                <w:bottom w:val="nil"/>
                <w:right w:val="nil"/>
                <w:between w:val="nil"/>
              </w:pBdr>
              <w:jc w:val="right"/>
              <w:rPr>
                <w:b/>
                <w:color w:val="000000"/>
              </w:rPr>
            </w:pPr>
          </w:p>
        </w:tc>
        <w:tc>
          <w:tcPr>
            <w:tcW w:w="645" w:type="pct"/>
            <w:shd w:val="clear" w:color="auto" w:fill="auto"/>
            <w:vAlign w:val="bottom"/>
          </w:tcPr>
          <w:p w14:paraId="5CB0FFAA" w14:textId="77777777" w:rsidR="00D83E33" w:rsidRPr="008A5EFD" w:rsidRDefault="00D83E33">
            <w:pPr>
              <w:widowControl w:val="0"/>
              <w:pBdr>
                <w:top w:val="nil"/>
                <w:left w:val="nil"/>
                <w:bottom w:val="nil"/>
                <w:right w:val="nil"/>
                <w:between w:val="nil"/>
              </w:pBdr>
              <w:jc w:val="right"/>
              <w:rPr>
                <w:b/>
                <w:color w:val="000000"/>
              </w:rPr>
            </w:pPr>
          </w:p>
        </w:tc>
        <w:tc>
          <w:tcPr>
            <w:tcW w:w="570" w:type="pct"/>
            <w:vAlign w:val="bottom"/>
          </w:tcPr>
          <w:p w14:paraId="0D4D0D3B" w14:textId="77777777" w:rsidR="00D83E33" w:rsidRPr="008A5EFD" w:rsidRDefault="00D83E33">
            <w:pPr>
              <w:widowControl w:val="0"/>
              <w:pBdr>
                <w:top w:val="nil"/>
                <w:left w:val="nil"/>
                <w:bottom w:val="nil"/>
                <w:right w:val="nil"/>
                <w:between w:val="nil"/>
              </w:pBdr>
              <w:jc w:val="right"/>
              <w:rPr>
                <w:b/>
                <w:color w:val="000000"/>
              </w:rPr>
            </w:pPr>
          </w:p>
        </w:tc>
        <w:tc>
          <w:tcPr>
            <w:tcW w:w="570" w:type="pct"/>
            <w:shd w:val="clear" w:color="auto" w:fill="auto"/>
            <w:vAlign w:val="bottom"/>
          </w:tcPr>
          <w:p w14:paraId="60013632" w14:textId="77777777" w:rsidR="00D83E33" w:rsidRPr="008A5EFD" w:rsidRDefault="00D83E33">
            <w:pPr>
              <w:widowControl w:val="0"/>
              <w:pBdr>
                <w:top w:val="nil"/>
                <w:left w:val="nil"/>
                <w:bottom w:val="nil"/>
                <w:right w:val="nil"/>
                <w:between w:val="nil"/>
              </w:pBdr>
              <w:jc w:val="right"/>
              <w:rPr>
                <w:b/>
                <w:color w:val="000000"/>
              </w:rPr>
            </w:pPr>
          </w:p>
        </w:tc>
        <w:tc>
          <w:tcPr>
            <w:tcW w:w="571" w:type="pct"/>
            <w:shd w:val="clear" w:color="auto" w:fill="auto"/>
            <w:vAlign w:val="bottom"/>
          </w:tcPr>
          <w:p w14:paraId="29890AFC" w14:textId="77777777" w:rsidR="00D83E33" w:rsidRPr="008A5EFD" w:rsidRDefault="00D83E33">
            <w:pPr>
              <w:widowControl w:val="0"/>
              <w:pBdr>
                <w:top w:val="nil"/>
                <w:left w:val="nil"/>
                <w:bottom w:val="nil"/>
                <w:right w:val="nil"/>
                <w:between w:val="nil"/>
              </w:pBdr>
              <w:jc w:val="right"/>
              <w:rPr>
                <w:b/>
                <w:color w:val="000000"/>
              </w:rPr>
            </w:pPr>
          </w:p>
        </w:tc>
      </w:tr>
      <w:tr w:rsidR="008A5EFD" w:rsidRPr="008A5EFD" w14:paraId="67B2AA71" w14:textId="77777777" w:rsidTr="008A5EFD">
        <w:trPr>
          <w:trHeight w:val="23"/>
        </w:trPr>
        <w:tc>
          <w:tcPr>
            <w:tcW w:w="1977" w:type="pct"/>
            <w:tcBorders>
              <w:bottom w:val="single" w:sz="12" w:space="0" w:color="000000"/>
            </w:tcBorders>
            <w:shd w:val="clear" w:color="auto" w:fill="auto"/>
            <w:vAlign w:val="bottom"/>
          </w:tcPr>
          <w:p w14:paraId="3CBF420C" w14:textId="77777777" w:rsidR="00D83E33" w:rsidRPr="008A5EFD" w:rsidRDefault="00BC4072">
            <w:pPr>
              <w:widowControl w:val="0"/>
              <w:pBdr>
                <w:top w:val="nil"/>
                <w:left w:val="nil"/>
                <w:bottom w:val="nil"/>
                <w:right w:val="nil"/>
                <w:between w:val="nil"/>
              </w:pBdr>
              <w:ind w:left="113" w:hanging="113"/>
              <w:rPr>
                <w:color w:val="000000"/>
              </w:rPr>
            </w:pPr>
            <w:r w:rsidRPr="008A5EFD">
              <w:rPr>
                <w:color w:val="000000"/>
              </w:rPr>
              <w:t> </w:t>
            </w:r>
          </w:p>
        </w:tc>
        <w:tc>
          <w:tcPr>
            <w:tcW w:w="666" w:type="pct"/>
            <w:tcBorders>
              <w:bottom w:val="single" w:sz="12" w:space="0" w:color="000000"/>
            </w:tcBorders>
            <w:shd w:val="clear" w:color="auto" w:fill="auto"/>
            <w:vAlign w:val="bottom"/>
          </w:tcPr>
          <w:p w14:paraId="10558A66" w14:textId="77777777" w:rsidR="00D83E33" w:rsidRPr="008A5EFD" w:rsidRDefault="00D83E33">
            <w:pPr>
              <w:widowControl w:val="0"/>
              <w:pBdr>
                <w:top w:val="nil"/>
                <w:left w:val="nil"/>
                <w:bottom w:val="nil"/>
                <w:right w:val="nil"/>
                <w:between w:val="nil"/>
              </w:pBdr>
              <w:jc w:val="right"/>
              <w:rPr>
                <w:color w:val="000000"/>
              </w:rPr>
            </w:pPr>
          </w:p>
        </w:tc>
        <w:tc>
          <w:tcPr>
            <w:tcW w:w="645" w:type="pct"/>
            <w:tcBorders>
              <w:bottom w:val="single" w:sz="12" w:space="0" w:color="000000"/>
            </w:tcBorders>
            <w:shd w:val="clear" w:color="auto" w:fill="auto"/>
            <w:vAlign w:val="bottom"/>
          </w:tcPr>
          <w:p w14:paraId="3CAB1BD5"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bottom w:val="single" w:sz="12" w:space="0" w:color="000000"/>
            </w:tcBorders>
            <w:vAlign w:val="bottom"/>
          </w:tcPr>
          <w:p w14:paraId="0B579DBD" w14:textId="77777777" w:rsidR="00D83E33" w:rsidRPr="008A5EFD" w:rsidRDefault="00D83E33">
            <w:pPr>
              <w:widowControl w:val="0"/>
              <w:pBdr>
                <w:top w:val="nil"/>
                <w:left w:val="nil"/>
                <w:bottom w:val="nil"/>
                <w:right w:val="nil"/>
                <w:between w:val="nil"/>
              </w:pBdr>
              <w:jc w:val="right"/>
              <w:rPr>
                <w:color w:val="000000"/>
              </w:rPr>
            </w:pPr>
          </w:p>
        </w:tc>
        <w:tc>
          <w:tcPr>
            <w:tcW w:w="570" w:type="pct"/>
            <w:tcBorders>
              <w:bottom w:val="single" w:sz="12" w:space="0" w:color="000000"/>
            </w:tcBorders>
            <w:shd w:val="clear" w:color="auto" w:fill="auto"/>
            <w:vAlign w:val="bottom"/>
          </w:tcPr>
          <w:p w14:paraId="3B4B0998" w14:textId="77777777" w:rsidR="00D83E33" w:rsidRPr="008A5EFD"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shd w:val="clear" w:color="auto" w:fill="auto"/>
            <w:vAlign w:val="bottom"/>
          </w:tcPr>
          <w:p w14:paraId="48BBCCF5" w14:textId="77777777" w:rsidR="00D83E33" w:rsidRPr="008A5EFD" w:rsidRDefault="00D83E33">
            <w:pPr>
              <w:widowControl w:val="0"/>
              <w:pBdr>
                <w:top w:val="nil"/>
                <w:left w:val="nil"/>
                <w:bottom w:val="nil"/>
                <w:right w:val="nil"/>
                <w:between w:val="nil"/>
              </w:pBdr>
              <w:jc w:val="right"/>
              <w:rPr>
                <w:color w:val="000000"/>
              </w:rPr>
            </w:pPr>
          </w:p>
        </w:tc>
      </w:tr>
    </w:tbl>
    <w:p w14:paraId="11D2AE41" w14:textId="77777777" w:rsidR="008A5EFD" w:rsidRDefault="008A5EFD" w:rsidP="001B330E">
      <w:pPr>
        <w:pStyle w:val="Continued"/>
      </w:pPr>
      <w:r>
        <w:lastRenderedPageBreak/>
        <w:t>9</w:t>
      </w:r>
      <w:r>
        <w:tab/>
        <w:t>Investments in Debt Securities (Continued)</w:t>
      </w:r>
    </w:p>
    <w:p w14:paraId="4C41B047" w14:textId="307B22A6"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Debt securities mandatorily measured at FVTPL include investments in mutual funds. These investments</w:t>
      </w:r>
      <w:r w:rsidR="00181687">
        <w:rPr>
          <w:color w:val="000000"/>
          <w:sz w:val="20"/>
          <w:szCs w:val="20"/>
        </w:rPr>
        <w:t xml:space="preserve"> </w:t>
      </w:r>
      <w:r>
        <w:rPr>
          <w:color w:val="000000"/>
          <w:sz w:val="20"/>
          <w:szCs w:val="20"/>
        </w:rPr>
        <w:t xml:space="preserve">failed to meet the “solely payment of principle and interest” (SPPI) requirement as mutual funds pay dividends at their discretion and, at redemption, a pro rata share of the net asset value of the funds that reflects the fair value changes of the underlying investments rather than an interest payment and a principal payment that equal those of a basic lending arrangement. </w:t>
      </w:r>
      <w:r>
        <w:rPr>
          <w:i/>
          <w:color w:val="FF0000"/>
          <w:sz w:val="20"/>
          <w:szCs w:val="20"/>
        </w:rPr>
        <w:t>[Amend the disclosure as appropriate to reflect the nature of instruments mandator</w:t>
      </w:r>
      <w:r w:rsidR="00815053">
        <w:rPr>
          <w:i/>
          <w:color w:val="FF0000"/>
          <w:sz w:val="20"/>
          <w:szCs w:val="20"/>
        </w:rPr>
        <w:t>il</w:t>
      </w:r>
      <w:r>
        <w:rPr>
          <w:i/>
          <w:color w:val="FF0000"/>
          <w:sz w:val="20"/>
          <w:szCs w:val="20"/>
        </w:rPr>
        <w:t>y measured at FVTPL]</w:t>
      </w:r>
    </w:p>
    <w:p w14:paraId="0F147DF8" w14:textId="77777777" w:rsidR="00D83E33" w:rsidRDefault="00BC4072" w:rsidP="001B330E">
      <w:pPr>
        <w:widowControl w:val="0"/>
        <w:numPr>
          <w:ilvl w:val="0"/>
          <w:numId w:val="27"/>
        </w:numPr>
        <w:pBdr>
          <w:top w:val="nil"/>
          <w:left w:val="nil"/>
          <w:bottom w:val="nil"/>
          <w:right w:val="nil"/>
          <w:between w:val="nil"/>
        </w:pBdr>
        <w:spacing w:before="200" w:after="200"/>
        <w:ind w:left="567" w:hanging="567"/>
        <w:rPr>
          <w:i/>
          <w:color w:val="FF0000"/>
          <w:sz w:val="20"/>
          <w:szCs w:val="20"/>
        </w:rPr>
      </w:pPr>
      <w:r>
        <w:rPr>
          <w:b/>
          <w:color w:val="000000"/>
          <w:sz w:val="20"/>
          <w:szCs w:val="20"/>
        </w:rPr>
        <w:t xml:space="preserve">Investments in debt securities at FVTPL </w:t>
      </w:r>
    </w:p>
    <w:p w14:paraId="20315555"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Debt securities mandatorily classified as at FVTPL by the Group represent securities held for trading and securities in a ‘held to sell’ business model. </w:t>
      </w:r>
    </w:p>
    <w:p w14:paraId="1FA3673C" w14:textId="34F83BCD"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On initial recognition, the Group has irrevocably designated some of its securities at FVTPL. </w:t>
      </w:r>
      <w:r>
        <w:rPr>
          <w:i/>
          <w:color w:val="FF0000"/>
          <w:sz w:val="20"/>
          <w:szCs w:val="20"/>
        </w:rPr>
        <w:t>[</w:t>
      </w:r>
      <w:r w:rsidR="00D00E5A">
        <w:rPr>
          <w:i/>
          <w:color w:val="FF0000"/>
          <w:sz w:val="20"/>
          <w:szCs w:val="20"/>
        </w:rPr>
        <w:t>Tailor to d</w:t>
      </w:r>
      <w:r>
        <w:rPr>
          <w:i/>
          <w:color w:val="FF0000"/>
          <w:sz w:val="20"/>
          <w:szCs w:val="20"/>
        </w:rPr>
        <w:t>isclose how the entity has satisfied the condition for FVTPL designation on initial recognition.</w:t>
      </w:r>
      <w:r w:rsidR="00DB34A6" w:rsidRPr="00DB34A6">
        <w:rPr>
          <w:i/>
          <w:color w:val="FF0000"/>
          <w:sz w:val="20"/>
          <w:szCs w:val="20"/>
        </w:rPr>
        <w:t xml:space="preserve"> </w:t>
      </w:r>
      <w:r w:rsidR="00DB34A6">
        <w:rPr>
          <w:i/>
          <w:color w:val="FF0000"/>
          <w:sz w:val="20"/>
          <w:szCs w:val="20"/>
        </w:rPr>
        <w:t>]</w:t>
      </w:r>
      <w:r>
        <w:rPr>
          <w:i/>
          <w:color w:val="FF0000"/>
          <w:sz w:val="20"/>
          <w:szCs w:val="20"/>
        </w:rPr>
        <w:t xml:space="preserve"> </w:t>
      </w:r>
    </w:p>
    <w:p w14:paraId="5ABC3BF7"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Debt securities at FVTPL are carried at fair value, which also reflects any credit risk related write-downs and best represents Group’s maximum exposure to credit risk.</w:t>
      </w:r>
    </w:p>
    <w:p w14:paraId="02556467" w14:textId="1FBC2E7C"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debt securities at FVTPL are not collateralised. </w:t>
      </w:r>
      <w:r>
        <w:rPr>
          <w:i/>
          <w:color w:val="FF0000"/>
          <w:sz w:val="20"/>
          <w:szCs w:val="20"/>
        </w:rPr>
        <w:t>[Otherwise disclose information about collateral as in Note 11 on loans and advances to customers.]</w:t>
      </w:r>
    </w:p>
    <w:p w14:paraId="20F96596" w14:textId="73635BDC" w:rsidR="00D83E33" w:rsidRDefault="00BC4072">
      <w:pPr>
        <w:widowControl w:val="0"/>
        <w:pBdr>
          <w:top w:val="nil"/>
          <w:left w:val="nil"/>
          <w:bottom w:val="nil"/>
          <w:right w:val="nil"/>
          <w:between w:val="nil"/>
        </w:pBdr>
        <w:spacing w:before="200" w:after="200"/>
        <w:jc w:val="both"/>
        <w:rPr>
          <w:color w:val="FF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debt securities at FVTPL with a carrying value of </w:t>
      </w:r>
      <w:r w:rsidR="00D73799">
        <w:rPr>
          <w:color w:val="000000"/>
          <w:sz w:val="20"/>
          <w:szCs w:val="20"/>
        </w:rPr>
        <w:t>EUR</w:t>
      </w:r>
      <w:r>
        <w:rPr>
          <w:color w:val="000000"/>
          <w:sz w:val="20"/>
          <w:szCs w:val="20"/>
        </w:rPr>
        <w:t> ____ thousand have been pledged to third parties as collateral with respect to term placements of other banks and other borrowed funds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thousand). Refer to Notes 21 and 24. The counterparty is not allowed to sell further or repledge the investments. </w:t>
      </w:r>
      <w:r>
        <w:rPr>
          <w:i/>
          <w:color w:val="FF0000"/>
          <w:sz w:val="20"/>
          <w:szCs w:val="20"/>
        </w:rPr>
        <w:t>[Otherwise reclassify as required by IFRS 9.3.2.23(a)]</w:t>
      </w:r>
      <w:r>
        <w:rPr>
          <w:color w:val="FF0000"/>
          <w:sz w:val="20"/>
          <w:szCs w:val="20"/>
        </w:rPr>
        <w:t>.</w:t>
      </w:r>
    </w:p>
    <w:p w14:paraId="1ABAFEBE" w14:textId="65D9ADC6" w:rsidR="00D83E33" w:rsidRDefault="00BC4072" w:rsidP="001B330E">
      <w:pPr>
        <w:pStyle w:val="Continued"/>
      </w:pPr>
      <w:r>
        <w:lastRenderedPageBreak/>
        <w:t>9</w:t>
      </w:r>
      <w:r>
        <w:tab/>
        <w:t>Investments in Debt Securities (Continued)</w:t>
      </w:r>
    </w:p>
    <w:p w14:paraId="12CB81F0" w14:textId="77777777" w:rsidR="00D83E33" w:rsidRDefault="00BC4072" w:rsidP="001B330E">
      <w:pPr>
        <w:widowControl w:val="0"/>
        <w:numPr>
          <w:ilvl w:val="0"/>
          <w:numId w:val="27"/>
        </w:numPr>
        <w:pBdr>
          <w:top w:val="nil"/>
          <w:left w:val="nil"/>
          <w:bottom w:val="nil"/>
          <w:right w:val="nil"/>
          <w:between w:val="nil"/>
        </w:pBdr>
        <w:spacing w:before="200" w:after="200"/>
        <w:ind w:left="567" w:hanging="567"/>
        <w:rPr>
          <w:b/>
          <w:color w:val="000000"/>
          <w:sz w:val="20"/>
          <w:szCs w:val="20"/>
        </w:rPr>
      </w:pPr>
      <w:r>
        <w:rPr>
          <w:b/>
          <w:color w:val="000000"/>
          <w:sz w:val="20"/>
          <w:szCs w:val="20"/>
        </w:rPr>
        <w:t>Investments in debt securities at FVOCI</w:t>
      </w:r>
    </w:p>
    <w:p w14:paraId="24448F88" w14:textId="64981460" w:rsidR="00D83E33" w:rsidRDefault="00BC4072" w:rsidP="001B330E">
      <w:pPr>
        <w:widowControl w:val="0"/>
        <w:spacing w:before="200" w:after="200"/>
        <w:jc w:val="both"/>
        <w:rPr>
          <w:i/>
          <w:color w:val="FF0000"/>
          <w:sz w:val="20"/>
          <w:szCs w:val="20"/>
        </w:rPr>
      </w:pPr>
      <w:r>
        <w:rPr>
          <w:sz w:val="20"/>
          <w:szCs w:val="20"/>
        </w:rPr>
        <w:t>The table below contains an analysis of the credit risk exposure of debt securities measured at FVOCI at 31</w:t>
      </w:r>
      <w:r w:rsidR="00181687">
        <w:rPr>
          <w:sz w:val="20"/>
          <w:szCs w:val="20"/>
        </w:rPr>
        <w:t> December </w:t>
      </w:r>
      <w:r w:rsidR="00541EBC">
        <w:rPr>
          <w:sz w:val="20"/>
          <w:szCs w:val="20"/>
        </w:rPr>
        <w:t>2024</w:t>
      </w:r>
      <w:r>
        <w:rPr>
          <w:sz w:val="20"/>
          <w:szCs w:val="20"/>
        </w:rPr>
        <w:t>, for which an ECL allowance is recognised, based on credit risk grades. Refer to Note </w:t>
      </w:r>
      <w:r>
        <w:t xml:space="preserve">41 </w:t>
      </w:r>
      <w:r>
        <w:rPr>
          <w:sz w:val="20"/>
          <w:szCs w:val="20"/>
        </w:rPr>
        <w:t xml:space="preserve">for the description of credit risk grading system used by the Group and the approach to ECL measurement, including the definition of default and SICR as applicable to debt securities at FVOCI: </w:t>
      </w:r>
    </w:p>
    <w:tbl>
      <w:tblPr>
        <w:tblStyle w:val="afa"/>
        <w:tblW w:w="5000" w:type="pct"/>
        <w:tblLayout w:type="fixed"/>
        <w:tblLook w:val="0000" w:firstRow="0" w:lastRow="0" w:firstColumn="0" w:lastColumn="0" w:noHBand="0" w:noVBand="0"/>
      </w:tblPr>
      <w:tblGrid>
        <w:gridCol w:w="3690"/>
        <w:gridCol w:w="1227"/>
        <w:gridCol w:w="1227"/>
        <w:gridCol w:w="1227"/>
        <w:gridCol w:w="992"/>
        <w:gridCol w:w="992"/>
      </w:tblGrid>
      <w:tr w:rsidR="00D83E33" w:rsidRPr="008A5EFD" w14:paraId="06A4290F" w14:textId="77777777" w:rsidTr="00372E26">
        <w:trPr>
          <w:trHeight w:val="23"/>
        </w:trPr>
        <w:tc>
          <w:tcPr>
            <w:tcW w:w="1972" w:type="pct"/>
            <w:tcBorders>
              <w:bottom w:val="single" w:sz="4" w:space="0" w:color="000000"/>
            </w:tcBorders>
            <w:shd w:val="clear" w:color="auto" w:fill="auto"/>
            <w:vAlign w:val="bottom"/>
          </w:tcPr>
          <w:p w14:paraId="754328D9" w14:textId="095E5CE4" w:rsidR="00D83E33" w:rsidRPr="008A5EFD"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56" w:type="pct"/>
            <w:tcBorders>
              <w:bottom w:val="single" w:sz="4" w:space="0" w:color="000000"/>
            </w:tcBorders>
            <w:shd w:val="clear" w:color="auto" w:fill="auto"/>
          </w:tcPr>
          <w:p w14:paraId="2C8301DF" w14:textId="2F395FDE" w:rsidR="00D83E33" w:rsidRPr="008A5EFD" w:rsidRDefault="00BC4072" w:rsidP="001B330E">
            <w:pPr>
              <w:widowControl w:val="0"/>
              <w:pBdr>
                <w:top w:val="nil"/>
                <w:left w:val="nil"/>
                <w:bottom w:val="nil"/>
                <w:right w:val="nil"/>
                <w:between w:val="nil"/>
              </w:pBdr>
              <w:ind w:left="-113"/>
              <w:jc w:val="right"/>
              <w:rPr>
                <w:b/>
                <w:color w:val="000000"/>
              </w:rPr>
            </w:pPr>
            <w:r w:rsidRPr="008A5EFD">
              <w:rPr>
                <w:b/>
                <w:color w:val="000000"/>
              </w:rPr>
              <w:t>Stage 1</w:t>
            </w:r>
          </w:p>
          <w:p w14:paraId="38EB975D" w14:textId="77777777" w:rsidR="00D83E33" w:rsidRPr="008A5EFD" w:rsidRDefault="00BC4072" w:rsidP="001B330E">
            <w:pPr>
              <w:widowControl w:val="0"/>
              <w:pBdr>
                <w:top w:val="nil"/>
                <w:left w:val="nil"/>
                <w:bottom w:val="nil"/>
                <w:right w:val="nil"/>
                <w:between w:val="nil"/>
              </w:pBdr>
              <w:ind w:left="-113"/>
              <w:jc w:val="right"/>
              <w:rPr>
                <w:b/>
                <w:color w:val="000000"/>
              </w:rPr>
            </w:pPr>
            <w:r w:rsidRPr="008A5EFD">
              <w:rPr>
                <w:b/>
                <w:color w:val="000000"/>
              </w:rPr>
              <w:t>(12-months ECL)</w:t>
            </w:r>
          </w:p>
        </w:tc>
        <w:tc>
          <w:tcPr>
            <w:tcW w:w="656" w:type="pct"/>
            <w:tcBorders>
              <w:bottom w:val="single" w:sz="4" w:space="0" w:color="000000"/>
            </w:tcBorders>
            <w:shd w:val="clear" w:color="auto" w:fill="auto"/>
          </w:tcPr>
          <w:p w14:paraId="411A8BF9" w14:textId="77777777" w:rsidR="00D83E33" w:rsidRPr="008A5EFD" w:rsidRDefault="00BC4072" w:rsidP="001B330E">
            <w:pPr>
              <w:widowControl w:val="0"/>
              <w:pBdr>
                <w:top w:val="nil"/>
                <w:left w:val="nil"/>
                <w:bottom w:val="nil"/>
                <w:right w:val="nil"/>
                <w:between w:val="nil"/>
              </w:pBdr>
              <w:ind w:left="-113"/>
              <w:jc w:val="right"/>
              <w:rPr>
                <w:b/>
                <w:color w:val="000000"/>
              </w:rPr>
            </w:pPr>
            <w:r w:rsidRPr="008A5EFD">
              <w:rPr>
                <w:b/>
                <w:color w:val="000000"/>
              </w:rPr>
              <w:t>Stage 2</w:t>
            </w:r>
          </w:p>
          <w:p w14:paraId="3278AA59" w14:textId="471F9413" w:rsidR="00D83E33" w:rsidRPr="008A5EFD" w:rsidRDefault="00BC4072" w:rsidP="001B330E">
            <w:pPr>
              <w:widowControl w:val="0"/>
              <w:pBdr>
                <w:top w:val="nil"/>
                <w:left w:val="nil"/>
                <w:bottom w:val="nil"/>
                <w:right w:val="nil"/>
                <w:between w:val="nil"/>
              </w:pBdr>
              <w:ind w:left="-113"/>
              <w:jc w:val="right"/>
              <w:rPr>
                <w:b/>
                <w:color w:val="000000"/>
              </w:rPr>
            </w:pPr>
            <w:r w:rsidRPr="008A5EFD">
              <w:rPr>
                <w:b/>
                <w:color w:val="000000"/>
              </w:rPr>
              <w:t>(lifetime ECL for SICR)</w:t>
            </w:r>
          </w:p>
        </w:tc>
        <w:tc>
          <w:tcPr>
            <w:tcW w:w="656" w:type="pct"/>
            <w:tcBorders>
              <w:bottom w:val="single" w:sz="4" w:space="0" w:color="000000"/>
            </w:tcBorders>
            <w:shd w:val="clear" w:color="auto" w:fill="auto"/>
          </w:tcPr>
          <w:p w14:paraId="5A2BD878" w14:textId="77777777" w:rsidR="00D83E33" w:rsidRPr="008A5EFD" w:rsidRDefault="00BC4072" w:rsidP="001B330E">
            <w:pPr>
              <w:widowControl w:val="0"/>
              <w:pBdr>
                <w:top w:val="nil"/>
                <w:left w:val="nil"/>
                <w:bottom w:val="nil"/>
                <w:right w:val="nil"/>
                <w:between w:val="nil"/>
              </w:pBdr>
              <w:ind w:left="-113"/>
              <w:jc w:val="right"/>
              <w:rPr>
                <w:b/>
                <w:color w:val="000000"/>
              </w:rPr>
            </w:pPr>
            <w:r w:rsidRPr="008A5EFD">
              <w:rPr>
                <w:b/>
                <w:color w:val="000000"/>
              </w:rPr>
              <w:t>Stage 3</w:t>
            </w:r>
          </w:p>
          <w:p w14:paraId="5F1C6003" w14:textId="77777777" w:rsidR="00D83E33" w:rsidRPr="008A5EFD" w:rsidRDefault="00BC4072" w:rsidP="001B330E">
            <w:pPr>
              <w:widowControl w:val="0"/>
              <w:pBdr>
                <w:top w:val="nil"/>
                <w:left w:val="nil"/>
                <w:bottom w:val="nil"/>
                <w:right w:val="nil"/>
                <w:between w:val="nil"/>
              </w:pBdr>
              <w:ind w:left="-113"/>
              <w:jc w:val="right"/>
              <w:rPr>
                <w:b/>
                <w:color w:val="000000"/>
              </w:rPr>
            </w:pPr>
            <w:r w:rsidRPr="008A5EFD">
              <w:rPr>
                <w:b/>
                <w:color w:val="000000"/>
              </w:rPr>
              <w:t>(lifetime ECL for credit im-paired)</w:t>
            </w:r>
          </w:p>
        </w:tc>
        <w:tc>
          <w:tcPr>
            <w:tcW w:w="530" w:type="pct"/>
            <w:tcBorders>
              <w:bottom w:val="single" w:sz="4" w:space="0" w:color="000000"/>
            </w:tcBorders>
          </w:tcPr>
          <w:p w14:paraId="5E9C4CEC"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POCI</w:t>
            </w:r>
          </w:p>
        </w:tc>
        <w:tc>
          <w:tcPr>
            <w:tcW w:w="530" w:type="pct"/>
            <w:tcBorders>
              <w:bottom w:val="single" w:sz="4" w:space="0" w:color="000000"/>
            </w:tcBorders>
            <w:shd w:val="clear" w:color="auto" w:fill="auto"/>
          </w:tcPr>
          <w:p w14:paraId="2D3FE0E9" w14:textId="77777777" w:rsidR="00D83E33" w:rsidRPr="008A5EFD" w:rsidRDefault="00BC4072" w:rsidP="001B330E">
            <w:pPr>
              <w:widowControl w:val="0"/>
              <w:pBdr>
                <w:top w:val="nil"/>
                <w:left w:val="nil"/>
                <w:bottom w:val="nil"/>
                <w:right w:val="nil"/>
                <w:between w:val="nil"/>
              </w:pBdr>
              <w:jc w:val="right"/>
              <w:rPr>
                <w:b/>
                <w:color w:val="000000"/>
              </w:rPr>
            </w:pPr>
            <w:r w:rsidRPr="008A5EFD">
              <w:rPr>
                <w:b/>
                <w:color w:val="000000"/>
              </w:rPr>
              <w:t>Total</w:t>
            </w:r>
          </w:p>
        </w:tc>
      </w:tr>
      <w:tr w:rsidR="00D83E33" w:rsidRPr="008A5EFD" w14:paraId="0965A3E4" w14:textId="77777777" w:rsidTr="00372E26">
        <w:trPr>
          <w:trHeight w:val="23"/>
        </w:trPr>
        <w:tc>
          <w:tcPr>
            <w:tcW w:w="1972" w:type="pct"/>
            <w:shd w:val="clear" w:color="auto" w:fill="auto"/>
            <w:vAlign w:val="bottom"/>
          </w:tcPr>
          <w:p w14:paraId="62C7D2D4" w14:textId="77777777" w:rsidR="00D83E33" w:rsidRPr="008A5EFD" w:rsidRDefault="00D83E33" w:rsidP="001B330E">
            <w:pPr>
              <w:widowControl w:val="0"/>
              <w:ind w:left="113" w:hanging="113"/>
            </w:pPr>
          </w:p>
        </w:tc>
        <w:tc>
          <w:tcPr>
            <w:tcW w:w="656" w:type="pct"/>
            <w:shd w:val="clear" w:color="auto" w:fill="auto"/>
            <w:vAlign w:val="bottom"/>
          </w:tcPr>
          <w:p w14:paraId="26EFF991"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5F45EE64"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18D74D72"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vAlign w:val="bottom"/>
          </w:tcPr>
          <w:p w14:paraId="16C2BD19"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47DD21C7"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01C7E2FD" w14:textId="77777777" w:rsidTr="00372E26">
        <w:trPr>
          <w:trHeight w:val="23"/>
        </w:trPr>
        <w:tc>
          <w:tcPr>
            <w:tcW w:w="1972" w:type="pct"/>
            <w:vAlign w:val="bottom"/>
          </w:tcPr>
          <w:p w14:paraId="1B4D1814" w14:textId="5308E583" w:rsidR="00D83E33" w:rsidRPr="008A5EFD" w:rsidRDefault="00372E26" w:rsidP="001B330E">
            <w:pPr>
              <w:widowControl w:val="0"/>
              <w:pBdr>
                <w:top w:val="nil"/>
                <w:left w:val="nil"/>
                <w:bottom w:val="nil"/>
                <w:right w:val="nil"/>
                <w:between w:val="nil"/>
              </w:pBdr>
              <w:ind w:left="113" w:hanging="113"/>
              <w:rPr>
                <w:i/>
                <w:color w:val="000000"/>
              </w:rPr>
            </w:pPr>
            <w:r>
              <w:rPr>
                <w:b/>
                <w:i/>
                <w:color w:val="000000"/>
              </w:rPr>
              <w:t>[Country]</w:t>
            </w:r>
            <w:r w:rsidR="00BC4072" w:rsidRPr="008A5EFD">
              <w:rPr>
                <w:b/>
                <w:i/>
                <w:color w:val="000000"/>
              </w:rPr>
              <w:t xml:space="preserve"> government bonds</w:t>
            </w:r>
          </w:p>
        </w:tc>
        <w:tc>
          <w:tcPr>
            <w:tcW w:w="656" w:type="pct"/>
            <w:vAlign w:val="bottom"/>
          </w:tcPr>
          <w:p w14:paraId="77A17E38" w14:textId="77777777" w:rsidR="00D83E33" w:rsidRPr="008A5EFD" w:rsidRDefault="00D83E33" w:rsidP="001B330E">
            <w:pPr>
              <w:widowControl w:val="0"/>
              <w:pBdr>
                <w:top w:val="nil"/>
                <w:left w:val="nil"/>
                <w:bottom w:val="nil"/>
                <w:right w:val="nil"/>
                <w:between w:val="nil"/>
              </w:pBdr>
              <w:jc w:val="right"/>
              <w:rPr>
                <w:i/>
                <w:color w:val="000000"/>
              </w:rPr>
            </w:pPr>
          </w:p>
        </w:tc>
        <w:tc>
          <w:tcPr>
            <w:tcW w:w="656" w:type="pct"/>
            <w:vAlign w:val="bottom"/>
          </w:tcPr>
          <w:p w14:paraId="09742B13" w14:textId="77777777" w:rsidR="00D83E33" w:rsidRPr="008A5EFD" w:rsidRDefault="00D83E33" w:rsidP="001B330E">
            <w:pPr>
              <w:widowControl w:val="0"/>
              <w:pBdr>
                <w:top w:val="nil"/>
                <w:left w:val="nil"/>
                <w:bottom w:val="nil"/>
                <w:right w:val="nil"/>
                <w:between w:val="nil"/>
              </w:pBdr>
              <w:jc w:val="right"/>
              <w:rPr>
                <w:i/>
                <w:color w:val="000000"/>
              </w:rPr>
            </w:pPr>
          </w:p>
        </w:tc>
        <w:tc>
          <w:tcPr>
            <w:tcW w:w="656" w:type="pct"/>
            <w:vAlign w:val="bottom"/>
          </w:tcPr>
          <w:p w14:paraId="48A52DC7" w14:textId="77777777" w:rsidR="00D83E33" w:rsidRPr="008A5EFD" w:rsidRDefault="00D83E33" w:rsidP="001B330E">
            <w:pPr>
              <w:widowControl w:val="0"/>
              <w:pBdr>
                <w:top w:val="nil"/>
                <w:left w:val="nil"/>
                <w:bottom w:val="nil"/>
                <w:right w:val="nil"/>
                <w:between w:val="nil"/>
              </w:pBdr>
              <w:jc w:val="right"/>
              <w:rPr>
                <w:i/>
                <w:color w:val="000000"/>
              </w:rPr>
            </w:pPr>
          </w:p>
        </w:tc>
        <w:tc>
          <w:tcPr>
            <w:tcW w:w="530" w:type="pct"/>
            <w:vAlign w:val="bottom"/>
          </w:tcPr>
          <w:p w14:paraId="03D9F5C7" w14:textId="77777777" w:rsidR="00D83E33" w:rsidRPr="008A5EFD" w:rsidRDefault="00D83E33" w:rsidP="001B330E">
            <w:pPr>
              <w:widowControl w:val="0"/>
              <w:pBdr>
                <w:top w:val="nil"/>
                <w:left w:val="nil"/>
                <w:bottom w:val="nil"/>
                <w:right w:val="nil"/>
                <w:between w:val="nil"/>
              </w:pBdr>
              <w:jc w:val="right"/>
              <w:rPr>
                <w:i/>
                <w:color w:val="000000"/>
              </w:rPr>
            </w:pPr>
          </w:p>
        </w:tc>
        <w:tc>
          <w:tcPr>
            <w:tcW w:w="530" w:type="pct"/>
            <w:vAlign w:val="bottom"/>
          </w:tcPr>
          <w:p w14:paraId="5BB67589" w14:textId="77777777" w:rsidR="00D83E33" w:rsidRPr="008A5EFD" w:rsidRDefault="00D83E33" w:rsidP="001B330E">
            <w:pPr>
              <w:widowControl w:val="0"/>
              <w:pBdr>
                <w:top w:val="nil"/>
                <w:left w:val="nil"/>
                <w:bottom w:val="nil"/>
                <w:right w:val="nil"/>
                <w:between w:val="nil"/>
              </w:pBdr>
              <w:jc w:val="right"/>
              <w:rPr>
                <w:i/>
                <w:color w:val="000000"/>
              </w:rPr>
            </w:pPr>
          </w:p>
        </w:tc>
      </w:tr>
      <w:tr w:rsidR="00D83E33" w:rsidRPr="008A5EFD" w14:paraId="69156677" w14:textId="77777777" w:rsidTr="00372E26">
        <w:trPr>
          <w:trHeight w:val="23"/>
        </w:trPr>
        <w:tc>
          <w:tcPr>
            <w:tcW w:w="1972" w:type="pct"/>
            <w:shd w:val="clear" w:color="auto" w:fill="auto"/>
            <w:vAlign w:val="bottom"/>
          </w:tcPr>
          <w:p w14:paraId="6C5BABB2" w14:textId="77777777" w:rsidR="00D83E33" w:rsidRPr="008A5EFD" w:rsidRDefault="00BC4072" w:rsidP="001B330E">
            <w:pPr>
              <w:widowControl w:val="0"/>
              <w:pBdr>
                <w:top w:val="nil"/>
                <w:left w:val="nil"/>
                <w:bottom w:val="nil"/>
                <w:right w:val="nil"/>
                <w:between w:val="nil"/>
              </w:pBdr>
              <w:ind w:left="113" w:hanging="113"/>
              <w:rPr>
                <w:color w:val="0000FF"/>
              </w:rPr>
            </w:pPr>
            <w:r w:rsidRPr="008A5EFD">
              <w:rPr>
                <w:color w:val="000000"/>
              </w:rPr>
              <w:t>- Excellent</w:t>
            </w:r>
          </w:p>
        </w:tc>
        <w:tc>
          <w:tcPr>
            <w:tcW w:w="656" w:type="pct"/>
            <w:shd w:val="clear" w:color="auto" w:fill="auto"/>
            <w:vAlign w:val="bottom"/>
          </w:tcPr>
          <w:p w14:paraId="13D6B6D1"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2F3030BD"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66CAA111"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vAlign w:val="bottom"/>
          </w:tcPr>
          <w:p w14:paraId="06920449"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2ABB28B5"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13BDA20C" w14:textId="77777777" w:rsidTr="00372E26">
        <w:trPr>
          <w:trHeight w:val="23"/>
        </w:trPr>
        <w:tc>
          <w:tcPr>
            <w:tcW w:w="1972" w:type="pct"/>
            <w:shd w:val="clear" w:color="auto" w:fill="auto"/>
            <w:vAlign w:val="bottom"/>
          </w:tcPr>
          <w:p w14:paraId="7508E4B4" w14:textId="77777777" w:rsidR="00D83E33" w:rsidRPr="008A5EFD" w:rsidRDefault="00BC4072" w:rsidP="001B330E">
            <w:pPr>
              <w:widowControl w:val="0"/>
              <w:pBdr>
                <w:top w:val="nil"/>
                <w:left w:val="nil"/>
                <w:bottom w:val="nil"/>
                <w:right w:val="nil"/>
                <w:between w:val="nil"/>
              </w:pBdr>
              <w:ind w:left="113" w:hanging="113"/>
              <w:rPr>
                <w:color w:val="0000FF"/>
              </w:rPr>
            </w:pPr>
            <w:r w:rsidRPr="008A5EFD">
              <w:rPr>
                <w:color w:val="000000"/>
              </w:rPr>
              <w:t>- Good</w:t>
            </w:r>
          </w:p>
        </w:tc>
        <w:tc>
          <w:tcPr>
            <w:tcW w:w="656" w:type="pct"/>
            <w:shd w:val="clear" w:color="auto" w:fill="auto"/>
            <w:vAlign w:val="bottom"/>
          </w:tcPr>
          <w:p w14:paraId="713AC8CB"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77361A3D"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71999828"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vAlign w:val="bottom"/>
          </w:tcPr>
          <w:p w14:paraId="2C6F3C6E"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426E1237"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6CEF5858" w14:textId="77777777" w:rsidTr="00372E26">
        <w:trPr>
          <w:trHeight w:val="23"/>
        </w:trPr>
        <w:tc>
          <w:tcPr>
            <w:tcW w:w="1972" w:type="pct"/>
            <w:shd w:val="clear" w:color="auto" w:fill="auto"/>
            <w:vAlign w:val="bottom"/>
          </w:tcPr>
          <w:p w14:paraId="6CFE6692" w14:textId="77777777" w:rsidR="00D83E33" w:rsidRPr="008A5EFD" w:rsidRDefault="00BC4072" w:rsidP="001B330E">
            <w:pPr>
              <w:widowControl w:val="0"/>
              <w:pBdr>
                <w:top w:val="nil"/>
                <w:left w:val="nil"/>
                <w:bottom w:val="nil"/>
                <w:right w:val="nil"/>
                <w:between w:val="nil"/>
              </w:pBdr>
              <w:ind w:left="113" w:hanging="113"/>
              <w:rPr>
                <w:color w:val="0000FF"/>
              </w:rPr>
            </w:pPr>
            <w:r w:rsidRPr="008A5EFD">
              <w:rPr>
                <w:color w:val="000000"/>
              </w:rPr>
              <w:t>- Satisfactory</w:t>
            </w:r>
          </w:p>
        </w:tc>
        <w:tc>
          <w:tcPr>
            <w:tcW w:w="656" w:type="pct"/>
            <w:shd w:val="clear" w:color="auto" w:fill="auto"/>
            <w:vAlign w:val="bottom"/>
          </w:tcPr>
          <w:p w14:paraId="76B1E26D"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21486550"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71636F53"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vAlign w:val="bottom"/>
          </w:tcPr>
          <w:p w14:paraId="0EB2A503"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76712041"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63904AAD" w14:textId="77777777" w:rsidTr="00372E26">
        <w:trPr>
          <w:trHeight w:val="23"/>
        </w:trPr>
        <w:tc>
          <w:tcPr>
            <w:tcW w:w="1972" w:type="pct"/>
            <w:tcBorders>
              <w:bottom w:val="single" w:sz="4" w:space="0" w:color="000000"/>
            </w:tcBorders>
            <w:shd w:val="clear" w:color="auto" w:fill="auto"/>
            <w:vAlign w:val="bottom"/>
          </w:tcPr>
          <w:p w14:paraId="351D1630"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37E910C5"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03352D89"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2A209DB0"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404E3644"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1384AA91"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23851499" w14:textId="77777777" w:rsidTr="00372E26">
        <w:trPr>
          <w:trHeight w:val="23"/>
        </w:trPr>
        <w:tc>
          <w:tcPr>
            <w:tcW w:w="1972" w:type="pct"/>
            <w:tcBorders>
              <w:top w:val="single" w:sz="4" w:space="0" w:color="000000"/>
            </w:tcBorders>
            <w:shd w:val="clear" w:color="auto" w:fill="auto"/>
            <w:vAlign w:val="bottom"/>
          </w:tcPr>
          <w:p w14:paraId="318DAC0F"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230E93CB"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01488C25"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57352029"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2C1FB1FE"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56FC2E32"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4A1013B8" w14:textId="77777777" w:rsidTr="00372E26">
        <w:trPr>
          <w:trHeight w:val="23"/>
        </w:trPr>
        <w:tc>
          <w:tcPr>
            <w:tcW w:w="1972" w:type="pct"/>
            <w:shd w:val="clear" w:color="auto" w:fill="auto"/>
            <w:vAlign w:val="bottom"/>
          </w:tcPr>
          <w:p w14:paraId="437402A8"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 xml:space="preserve">Total AC gross carrying amount </w:t>
            </w:r>
          </w:p>
        </w:tc>
        <w:tc>
          <w:tcPr>
            <w:tcW w:w="656" w:type="pct"/>
            <w:vAlign w:val="bottom"/>
          </w:tcPr>
          <w:p w14:paraId="5496AF09"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vAlign w:val="bottom"/>
          </w:tcPr>
          <w:p w14:paraId="33C5DB77"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48812CFC"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1EA7A7B3"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20D943F0"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168590D2" w14:textId="77777777" w:rsidTr="00372E26">
        <w:trPr>
          <w:trHeight w:val="23"/>
        </w:trPr>
        <w:tc>
          <w:tcPr>
            <w:tcW w:w="1972" w:type="pct"/>
            <w:tcBorders>
              <w:bottom w:val="single" w:sz="4" w:space="0" w:color="000000"/>
            </w:tcBorders>
            <w:shd w:val="clear" w:color="auto" w:fill="auto"/>
            <w:vAlign w:val="bottom"/>
          </w:tcPr>
          <w:p w14:paraId="65D16943"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2DC00D00"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3BBF94CA"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3FBBD06A"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233753D7"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1C983713"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12E253AD" w14:textId="77777777" w:rsidTr="00372E26">
        <w:trPr>
          <w:trHeight w:val="23"/>
        </w:trPr>
        <w:tc>
          <w:tcPr>
            <w:tcW w:w="1972" w:type="pct"/>
            <w:tcBorders>
              <w:top w:val="single" w:sz="4" w:space="0" w:color="000000"/>
            </w:tcBorders>
            <w:shd w:val="clear" w:color="auto" w:fill="auto"/>
            <w:vAlign w:val="bottom"/>
          </w:tcPr>
          <w:p w14:paraId="1D11959E"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46A59342"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590F220B"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3499DC62"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0DA87405"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1277A42F"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7F6597D1" w14:textId="77777777" w:rsidTr="00372E26">
        <w:trPr>
          <w:trHeight w:val="23"/>
        </w:trPr>
        <w:tc>
          <w:tcPr>
            <w:tcW w:w="1972" w:type="pct"/>
            <w:shd w:val="clear" w:color="auto" w:fill="auto"/>
            <w:vAlign w:val="bottom"/>
          </w:tcPr>
          <w:p w14:paraId="0FB0DAF5"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Less credit loss allowance</w:t>
            </w:r>
          </w:p>
        </w:tc>
        <w:tc>
          <w:tcPr>
            <w:tcW w:w="656" w:type="pct"/>
            <w:vAlign w:val="bottom"/>
          </w:tcPr>
          <w:p w14:paraId="0ECCAAF2"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vAlign w:val="bottom"/>
          </w:tcPr>
          <w:p w14:paraId="5CC6B365"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4DDD0D58"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3455D923"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5C77EA55"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0E17BE9C" w14:textId="77777777" w:rsidTr="00372E26">
        <w:trPr>
          <w:trHeight w:val="23"/>
        </w:trPr>
        <w:tc>
          <w:tcPr>
            <w:tcW w:w="1972" w:type="pct"/>
            <w:shd w:val="clear" w:color="auto" w:fill="auto"/>
            <w:vAlign w:val="bottom"/>
          </w:tcPr>
          <w:p w14:paraId="777E1E11"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Less fair value adjustment from AC to FV</w:t>
            </w:r>
          </w:p>
        </w:tc>
        <w:tc>
          <w:tcPr>
            <w:tcW w:w="656" w:type="pct"/>
            <w:vAlign w:val="bottom"/>
          </w:tcPr>
          <w:p w14:paraId="3C5456CE"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vAlign w:val="bottom"/>
          </w:tcPr>
          <w:p w14:paraId="0A92F495"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42BDA024"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7FB55EC4"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6C016F4D"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04BF5CA1" w14:textId="77777777" w:rsidTr="00372E26">
        <w:trPr>
          <w:trHeight w:val="23"/>
        </w:trPr>
        <w:tc>
          <w:tcPr>
            <w:tcW w:w="1972" w:type="pct"/>
            <w:tcBorders>
              <w:bottom w:val="single" w:sz="4" w:space="0" w:color="000000"/>
            </w:tcBorders>
            <w:shd w:val="clear" w:color="auto" w:fill="auto"/>
            <w:vAlign w:val="bottom"/>
          </w:tcPr>
          <w:p w14:paraId="3FF80DDC"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2A388AB0"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562D4CA4"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22E20D17"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551CF934"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53913587"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3DEC2BEA" w14:textId="77777777" w:rsidTr="00372E26">
        <w:trPr>
          <w:trHeight w:val="23"/>
        </w:trPr>
        <w:tc>
          <w:tcPr>
            <w:tcW w:w="1972" w:type="pct"/>
            <w:tcBorders>
              <w:top w:val="single" w:sz="4" w:space="0" w:color="000000"/>
            </w:tcBorders>
            <w:shd w:val="clear" w:color="auto" w:fill="auto"/>
            <w:vAlign w:val="bottom"/>
          </w:tcPr>
          <w:p w14:paraId="3C514522"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14D60F7B"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731CAB43"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2DE3116B"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7B1FF4E2"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14027917"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2C0C1E59" w14:textId="77777777" w:rsidTr="00372E26">
        <w:trPr>
          <w:trHeight w:val="23"/>
        </w:trPr>
        <w:tc>
          <w:tcPr>
            <w:tcW w:w="1972" w:type="pct"/>
            <w:shd w:val="clear" w:color="auto" w:fill="auto"/>
            <w:vAlign w:val="bottom"/>
          </w:tcPr>
          <w:p w14:paraId="285D9191"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Carrying value (fair value)</w:t>
            </w:r>
          </w:p>
        </w:tc>
        <w:tc>
          <w:tcPr>
            <w:tcW w:w="656" w:type="pct"/>
            <w:vAlign w:val="bottom"/>
          </w:tcPr>
          <w:p w14:paraId="28A62E2F"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vAlign w:val="bottom"/>
          </w:tcPr>
          <w:p w14:paraId="0A4697FF"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5141B9B9"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617ECEDD"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58D2DA43"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1C75B1AC" w14:textId="77777777" w:rsidTr="00372E26">
        <w:trPr>
          <w:trHeight w:val="23"/>
        </w:trPr>
        <w:tc>
          <w:tcPr>
            <w:tcW w:w="1972" w:type="pct"/>
            <w:tcBorders>
              <w:bottom w:val="single" w:sz="12" w:space="0" w:color="000000"/>
            </w:tcBorders>
            <w:shd w:val="clear" w:color="auto" w:fill="auto"/>
            <w:vAlign w:val="bottom"/>
          </w:tcPr>
          <w:p w14:paraId="67F50649"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bottom w:val="single" w:sz="12" w:space="0" w:color="000000"/>
            </w:tcBorders>
            <w:vAlign w:val="bottom"/>
          </w:tcPr>
          <w:p w14:paraId="3DFF0313"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12" w:space="0" w:color="000000"/>
            </w:tcBorders>
            <w:vAlign w:val="bottom"/>
          </w:tcPr>
          <w:p w14:paraId="7B25C099"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12" w:space="0" w:color="000000"/>
            </w:tcBorders>
            <w:shd w:val="clear" w:color="auto" w:fill="auto"/>
            <w:vAlign w:val="bottom"/>
          </w:tcPr>
          <w:p w14:paraId="725A9F78"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12" w:space="0" w:color="000000"/>
            </w:tcBorders>
            <w:shd w:val="clear" w:color="auto" w:fill="auto"/>
            <w:vAlign w:val="bottom"/>
          </w:tcPr>
          <w:p w14:paraId="19A4C265"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12" w:space="0" w:color="000000"/>
            </w:tcBorders>
            <w:shd w:val="clear" w:color="auto" w:fill="auto"/>
            <w:vAlign w:val="bottom"/>
          </w:tcPr>
          <w:p w14:paraId="60C263A6"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34326989" w14:textId="77777777" w:rsidTr="00372E26">
        <w:trPr>
          <w:trHeight w:val="23"/>
        </w:trPr>
        <w:tc>
          <w:tcPr>
            <w:tcW w:w="1972" w:type="pct"/>
            <w:tcBorders>
              <w:top w:val="single" w:sz="12" w:space="0" w:color="000000"/>
            </w:tcBorders>
            <w:shd w:val="clear" w:color="auto" w:fill="auto"/>
            <w:vAlign w:val="bottom"/>
          </w:tcPr>
          <w:p w14:paraId="0CA6CDFA"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top w:val="single" w:sz="12" w:space="0" w:color="000000"/>
            </w:tcBorders>
            <w:vAlign w:val="bottom"/>
          </w:tcPr>
          <w:p w14:paraId="76389C06"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12" w:space="0" w:color="000000"/>
            </w:tcBorders>
            <w:vAlign w:val="bottom"/>
          </w:tcPr>
          <w:p w14:paraId="74C698D3"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12" w:space="0" w:color="000000"/>
            </w:tcBorders>
            <w:shd w:val="clear" w:color="auto" w:fill="auto"/>
            <w:vAlign w:val="bottom"/>
          </w:tcPr>
          <w:p w14:paraId="01E1C03B"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12" w:space="0" w:color="000000"/>
            </w:tcBorders>
            <w:shd w:val="clear" w:color="auto" w:fill="auto"/>
            <w:vAlign w:val="bottom"/>
          </w:tcPr>
          <w:p w14:paraId="4C98485D"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12" w:space="0" w:color="000000"/>
            </w:tcBorders>
            <w:shd w:val="clear" w:color="auto" w:fill="auto"/>
            <w:vAlign w:val="bottom"/>
          </w:tcPr>
          <w:p w14:paraId="091CE2B8"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0C9FC7E1" w14:textId="77777777" w:rsidTr="00372E26">
        <w:trPr>
          <w:trHeight w:val="23"/>
        </w:trPr>
        <w:tc>
          <w:tcPr>
            <w:tcW w:w="1972" w:type="pct"/>
            <w:vAlign w:val="bottom"/>
          </w:tcPr>
          <w:p w14:paraId="0D078B8F" w14:textId="77777777" w:rsidR="00D83E33" w:rsidRPr="008A5EFD" w:rsidRDefault="00BC4072" w:rsidP="001B330E">
            <w:pPr>
              <w:widowControl w:val="0"/>
              <w:pBdr>
                <w:top w:val="nil"/>
                <w:left w:val="nil"/>
                <w:bottom w:val="nil"/>
                <w:right w:val="nil"/>
                <w:between w:val="nil"/>
              </w:pBdr>
              <w:ind w:left="113" w:hanging="113"/>
              <w:rPr>
                <w:b/>
                <w:i/>
                <w:color w:val="000000"/>
              </w:rPr>
            </w:pPr>
            <w:r w:rsidRPr="008A5EFD">
              <w:rPr>
                <w:b/>
                <w:i/>
                <w:color w:val="000000"/>
              </w:rPr>
              <w:t>Municipal bonds</w:t>
            </w:r>
          </w:p>
        </w:tc>
        <w:tc>
          <w:tcPr>
            <w:tcW w:w="656" w:type="pct"/>
            <w:vAlign w:val="bottom"/>
          </w:tcPr>
          <w:p w14:paraId="758197CE" w14:textId="77777777" w:rsidR="00D83E33" w:rsidRPr="008A5EFD" w:rsidRDefault="00D83E33" w:rsidP="001B330E">
            <w:pPr>
              <w:widowControl w:val="0"/>
              <w:pBdr>
                <w:top w:val="nil"/>
                <w:left w:val="nil"/>
                <w:bottom w:val="nil"/>
                <w:right w:val="nil"/>
                <w:between w:val="nil"/>
              </w:pBdr>
              <w:jc w:val="right"/>
              <w:rPr>
                <w:b/>
                <w:i/>
                <w:color w:val="000000"/>
              </w:rPr>
            </w:pPr>
          </w:p>
        </w:tc>
        <w:tc>
          <w:tcPr>
            <w:tcW w:w="656" w:type="pct"/>
            <w:vAlign w:val="bottom"/>
          </w:tcPr>
          <w:p w14:paraId="07A9B625" w14:textId="77777777" w:rsidR="00D83E33" w:rsidRPr="008A5EFD" w:rsidRDefault="00D83E33" w:rsidP="001B330E">
            <w:pPr>
              <w:widowControl w:val="0"/>
              <w:pBdr>
                <w:top w:val="nil"/>
                <w:left w:val="nil"/>
                <w:bottom w:val="nil"/>
                <w:right w:val="nil"/>
                <w:between w:val="nil"/>
              </w:pBdr>
              <w:jc w:val="right"/>
              <w:rPr>
                <w:b/>
                <w:i/>
                <w:color w:val="000000"/>
              </w:rPr>
            </w:pPr>
          </w:p>
        </w:tc>
        <w:tc>
          <w:tcPr>
            <w:tcW w:w="656" w:type="pct"/>
            <w:vAlign w:val="bottom"/>
          </w:tcPr>
          <w:p w14:paraId="14BD6A1C" w14:textId="77777777" w:rsidR="00D83E33" w:rsidRPr="008A5EFD" w:rsidRDefault="00D83E33" w:rsidP="001B330E">
            <w:pPr>
              <w:widowControl w:val="0"/>
              <w:pBdr>
                <w:top w:val="nil"/>
                <w:left w:val="nil"/>
                <w:bottom w:val="nil"/>
                <w:right w:val="nil"/>
                <w:between w:val="nil"/>
              </w:pBdr>
              <w:jc w:val="right"/>
              <w:rPr>
                <w:b/>
                <w:i/>
                <w:color w:val="000000"/>
              </w:rPr>
            </w:pPr>
          </w:p>
        </w:tc>
        <w:tc>
          <w:tcPr>
            <w:tcW w:w="530" w:type="pct"/>
            <w:vAlign w:val="bottom"/>
          </w:tcPr>
          <w:p w14:paraId="419C5E48" w14:textId="77777777" w:rsidR="00D83E33" w:rsidRPr="008A5EFD" w:rsidRDefault="00D83E33" w:rsidP="001B330E">
            <w:pPr>
              <w:widowControl w:val="0"/>
              <w:pBdr>
                <w:top w:val="nil"/>
                <w:left w:val="nil"/>
                <w:bottom w:val="nil"/>
                <w:right w:val="nil"/>
                <w:between w:val="nil"/>
              </w:pBdr>
              <w:jc w:val="right"/>
              <w:rPr>
                <w:b/>
                <w:i/>
                <w:color w:val="000000"/>
              </w:rPr>
            </w:pPr>
          </w:p>
        </w:tc>
        <w:tc>
          <w:tcPr>
            <w:tcW w:w="530" w:type="pct"/>
            <w:vAlign w:val="bottom"/>
          </w:tcPr>
          <w:p w14:paraId="26D9CD25" w14:textId="77777777" w:rsidR="00D83E33" w:rsidRPr="008A5EFD" w:rsidRDefault="00D83E33" w:rsidP="001B330E">
            <w:pPr>
              <w:widowControl w:val="0"/>
              <w:pBdr>
                <w:top w:val="nil"/>
                <w:left w:val="nil"/>
                <w:bottom w:val="nil"/>
                <w:right w:val="nil"/>
                <w:between w:val="nil"/>
              </w:pBdr>
              <w:jc w:val="right"/>
              <w:rPr>
                <w:b/>
                <w:i/>
                <w:color w:val="000000"/>
              </w:rPr>
            </w:pPr>
          </w:p>
        </w:tc>
      </w:tr>
      <w:tr w:rsidR="00D83E33" w:rsidRPr="008A5EFD" w14:paraId="3956A94E" w14:textId="77777777" w:rsidTr="00372E26">
        <w:trPr>
          <w:trHeight w:val="23"/>
        </w:trPr>
        <w:tc>
          <w:tcPr>
            <w:tcW w:w="1972" w:type="pct"/>
            <w:shd w:val="clear" w:color="auto" w:fill="auto"/>
            <w:vAlign w:val="bottom"/>
          </w:tcPr>
          <w:p w14:paraId="68C3C87F" w14:textId="77777777" w:rsidR="00D83E33" w:rsidRPr="008A5EFD" w:rsidRDefault="00BC4072" w:rsidP="001B330E">
            <w:pPr>
              <w:widowControl w:val="0"/>
              <w:pBdr>
                <w:top w:val="nil"/>
                <w:left w:val="nil"/>
                <w:bottom w:val="nil"/>
                <w:right w:val="nil"/>
                <w:between w:val="nil"/>
              </w:pBdr>
              <w:ind w:left="113" w:hanging="113"/>
              <w:rPr>
                <w:color w:val="0000FF"/>
              </w:rPr>
            </w:pPr>
            <w:r w:rsidRPr="008A5EFD">
              <w:rPr>
                <w:color w:val="000000"/>
              </w:rPr>
              <w:t>- Excellent</w:t>
            </w:r>
          </w:p>
        </w:tc>
        <w:tc>
          <w:tcPr>
            <w:tcW w:w="656" w:type="pct"/>
            <w:shd w:val="clear" w:color="auto" w:fill="auto"/>
            <w:vAlign w:val="bottom"/>
          </w:tcPr>
          <w:p w14:paraId="39EF8E19"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362B2661"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306C3427"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vAlign w:val="bottom"/>
          </w:tcPr>
          <w:p w14:paraId="421978A3"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6635CF18"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10FBF30E" w14:textId="77777777" w:rsidTr="00372E26">
        <w:trPr>
          <w:trHeight w:val="23"/>
        </w:trPr>
        <w:tc>
          <w:tcPr>
            <w:tcW w:w="1972" w:type="pct"/>
            <w:shd w:val="clear" w:color="auto" w:fill="auto"/>
            <w:vAlign w:val="bottom"/>
          </w:tcPr>
          <w:p w14:paraId="4CA9EA28" w14:textId="77777777" w:rsidR="00D83E33" w:rsidRPr="008A5EFD" w:rsidRDefault="00BC4072" w:rsidP="001B330E">
            <w:pPr>
              <w:widowControl w:val="0"/>
              <w:pBdr>
                <w:top w:val="nil"/>
                <w:left w:val="nil"/>
                <w:bottom w:val="nil"/>
                <w:right w:val="nil"/>
                <w:between w:val="nil"/>
              </w:pBdr>
              <w:ind w:left="113" w:hanging="113"/>
              <w:rPr>
                <w:color w:val="0000FF"/>
              </w:rPr>
            </w:pPr>
            <w:r w:rsidRPr="008A5EFD">
              <w:rPr>
                <w:color w:val="000000"/>
              </w:rPr>
              <w:t>- Good</w:t>
            </w:r>
          </w:p>
        </w:tc>
        <w:tc>
          <w:tcPr>
            <w:tcW w:w="656" w:type="pct"/>
            <w:shd w:val="clear" w:color="auto" w:fill="auto"/>
            <w:vAlign w:val="bottom"/>
          </w:tcPr>
          <w:p w14:paraId="2D88CBB0"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73FAD987"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797811E4"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vAlign w:val="bottom"/>
          </w:tcPr>
          <w:p w14:paraId="0E534FCB"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2D28CAE1"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6F581A15" w14:textId="77777777" w:rsidTr="00372E26">
        <w:trPr>
          <w:trHeight w:val="23"/>
        </w:trPr>
        <w:tc>
          <w:tcPr>
            <w:tcW w:w="1972" w:type="pct"/>
            <w:shd w:val="clear" w:color="auto" w:fill="auto"/>
            <w:vAlign w:val="bottom"/>
          </w:tcPr>
          <w:p w14:paraId="2CA82758" w14:textId="77777777" w:rsidR="00D83E33" w:rsidRPr="008A5EFD" w:rsidRDefault="00BC4072" w:rsidP="001B330E">
            <w:pPr>
              <w:widowControl w:val="0"/>
              <w:pBdr>
                <w:top w:val="nil"/>
                <w:left w:val="nil"/>
                <w:bottom w:val="nil"/>
                <w:right w:val="nil"/>
                <w:between w:val="nil"/>
              </w:pBdr>
              <w:ind w:left="113" w:hanging="113"/>
              <w:rPr>
                <w:color w:val="0000FF"/>
              </w:rPr>
            </w:pPr>
            <w:r w:rsidRPr="008A5EFD">
              <w:rPr>
                <w:color w:val="000000"/>
              </w:rPr>
              <w:t>- Satisfactory</w:t>
            </w:r>
          </w:p>
        </w:tc>
        <w:tc>
          <w:tcPr>
            <w:tcW w:w="656" w:type="pct"/>
            <w:shd w:val="clear" w:color="auto" w:fill="auto"/>
            <w:vAlign w:val="bottom"/>
          </w:tcPr>
          <w:p w14:paraId="49FA2AD8"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1D4A6C13"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4B20D2F1"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vAlign w:val="bottom"/>
          </w:tcPr>
          <w:p w14:paraId="454950AD"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28A8D09F"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3329937D" w14:textId="77777777" w:rsidTr="00372E26">
        <w:trPr>
          <w:trHeight w:val="23"/>
        </w:trPr>
        <w:tc>
          <w:tcPr>
            <w:tcW w:w="1972" w:type="pct"/>
            <w:shd w:val="clear" w:color="auto" w:fill="auto"/>
            <w:vAlign w:val="bottom"/>
          </w:tcPr>
          <w:p w14:paraId="21ED8BEB"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 Special monitoring</w:t>
            </w:r>
          </w:p>
        </w:tc>
        <w:tc>
          <w:tcPr>
            <w:tcW w:w="656" w:type="pct"/>
            <w:shd w:val="clear" w:color="auto" w:fill="auto"/>
            <w:vAlign w:val="bottom"/>
          </w:tcPr>
          <w:p w14:paraId="311D8C9D"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55A83F7F"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3298CA86"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vAlign w:val="bottom"/>
          </w:tcPr>
          <w:p w14:paraId="2A9E32EC"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12146313"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1F8D1DD5" w14:textId="77777777" w:rsidTr="00372E26">
        <w:trPr>
          <w:trHeight w:val="23"/>
        </w:trPr>
        <w:tc>
          <w:tcPr>
            <w:tcW w:w="1972" w:type="pct"/>
            <w:shd w:val="clear" w:color="auto" w:fill="auto"/>
            <w:vAlign w:val="bottom"/>
          </w:tcPr>
          <w:p w14:paraId="5D0BF61B" w14:textId="77777777" w:rsidR="00D83E33" w:rsidRPr="008A5EFD" w:rsidRDefault="00BC4072" w:rsidP="001B330E">
            <w:pPr>
              <w:widowControl w:val="0"/>
              <w:pBdr>
                <w:top w:val="nil"/>
                <w:left w:val="nil"/>
                <w:bottom w:val="nil"/>
                <w:right w:val="nil"/>
                <w:between w:val="nil"/>
              </w:pBdr>
              <w:ind w:left="113" w:hanging="113"/>
              <w:rPr>
                <w:color w:val="0000FF"/>
              </w:rPr>
            </w:pPr>
            <w:r w:rsidRPr="008A5EFD">
              <w:rPr>
                <w:color w:val="000000"/>
              </w:rPr>
              <w:t>- Default</w:t>
            </w:r>
          </w:p>
        </w:tc>
        <w:tc>
          <w:tcPr>
            <w:tcW w:w="656" w:type="pct"/>
            <w:shd w:val="clear" w:color="auto" w:fill="auto"/>
            <w:vAlign w:val="bottom"/>
          </w:tcPr>
          <w:p w14:paraId="2EED3F87"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5EAAF017"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5EC97839"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vAlign w:val="bottom"/>
          </w:tcPr>
          <w:p w14:paraId="721602B0"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51720DED"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5C394404" w14:textId="77777777" w:rsidTr="00372E26">
        <w:trPr>
          <w:trHeight w:val="23"/>
        </w:trPr>
        <w:tc>
          <w:tcPr>
            <w:tcW w:w="1972" w:type="pct"/>
            <w:tcBorders>
              <w:bottom w:val="single" w:sz="4" w:space="0" w:color="000000"/>
            </w:tcBorders>
            <w:shd w:val="clear" w:color="auto" w:fill="auto"/>
            <w:vAlign w:val="bottom"/>
          </w:tcPr>
          <w:p w14:paraId="03BE3AF7"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33E8CD41"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051700F2"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5E8BFE95"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3BB27C96"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496253E5"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12810F72" w14:textId="77777777" w:rsidTr="00372E26">
        <w:trPr>
          <w:trHeight w:val="23"/>
        </w:trPr>
        <w:tc>
          <w:tcPr>
            <w:tcW w:w="1972" w:type="pct"/>
            <w:tcBorders>
              <w:top w:val="single" w:sz="4" w:space="0" w:color="000000"/>
            </w:tcBorders>
            <w:shd w:val="clear" w:color="auto" w:fill="auto"/>
            <w:vAlign w:val="bottom"/>
          </w:tcPr>
          <w:p w14:paraId="1BF346C4"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5EEE8399"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7F3B7FD6"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28A42D3B"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3D67E6E8"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56122E24"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14E6BFD5" w14:textId="77777777" w:rsidTr="00372E26">
        <w:trPr>
          <w:trHeight w:val="23"/>
        </w:trPr>
        <w:tc>
          <w:tcPr>
            <w:tcW w:w="1972" w:type="pct"/>
            <w:shd w:val="clear" w:color="auto" w:fill="auto"/>
            <w:vAlign w:val="bottom"/>
          </w:tcPr>
          <w:p w14:paraId="7C3A3F42"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Total AC gross carrying amount</w:t>
            </w:r>
          </w:p>
        </w:tc>
        <w:tc>
          <w:tcPr>
            <w:tcW w:w="656" w:type="pct"/>
            <w:vAlign w:val="bottom"/>
          </w:tcPr>
          <w:p w14:paraId="6199C5AE"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vAlign w:val="bottom"/>
          </w:tcPr>
          <w:p w14:paraId="6341840B"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6373800C"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61043555"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797EEA12"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7D0A0A80" w14:textId="77777777" w:rsidTr="00372E26">
        <w:trPr>
          <w:trHeight w:val="23"/>
        </w:trPr>
        <w:tc>
          <w:tcPr>
            <w:tcW w:w="1972" w:type="pct"/>
            <w:tcBorders>
              <w:bottom w:val="single" w:sz="4" w:space="0" w:color="000000"/>
            </w:tcBorders>
            <w:shd w:val="clear" w:color="auto" w:fill="auto"/>
            <w:vAlign w:val="bottom"/>
          </w:tcPr>
          <w:p w14:paraId="735A1BA1"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62E2D3BE"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32E1FB5D"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2274E25F"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791D2A34"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6EE908F8"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4E85E4B3" w14:textId="77777777" w:rsidTr="00372E26">
        <w:trPr>
          <w:trHeight w:val="23"/>
        </w:trPr>
        <w:tc>
          <w:tcPr>
            <w:tcW w:w="1972" w:type="pct"/>
            <w:tcBorders>
              <w:top w:val="single" w:sz="4" w:space="0" w:color="000000"/>
            </w:tcBorders>
            <w:shd w:val="clear" w:color="auto" w:fill="auto"/>
            <w:vAlign w:val="bottom"/>
          </w:tcPr>
          <w:p w14:paraId="0541CCCF"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485AE1DD"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6197ABC2"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12A50E77"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6128AEAA"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70C19BE0"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2EF57C0E" w14:textId="77777777" w:rsidTr="00372E26">
        <w:trPr>
          <w:trHeight w:val="23"/>
        </w:trPr>
        <w:tc>
          <w:tcPr>
            <w:tcW w:w="1972" w:type="pct"/>
            <w:shd w:val="clear" w:color="auto" w:fill="auto"/>
            <w:vAlign w:val="bottom"/>
          </w:tcPr>
          <w:p w14:paraId="01A3787B"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Less credit loss allowance</w:t>
            </w:r>
          </w:p>
        </w:tc>
        <w:tc>
          <w:tcPr>
            <w:tcW w:w="656" w:type="pct"/>
            <w:vAlign w:val="bottom"/>
          </w:tcPr>
          <w:p w14:paraId="7751A4CD"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vAlign w:val="bottom"/>
          </w:tcPr>
          <w:p w14:paraId="122C4D6E"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48A324D7"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35C92891"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01262210"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6AC7C6B8" w14:textId="77777777" w:rsidTr="00372E26">
        <w:trPr>
          <w:trHeight w:val="23"/>
        </w:trPr>
        <w:tc>
          <w:tcPr>
            <w:tcW w:w="1972" w:type="pct"/>
            <w:shd w:val="clear" w:color="auto" w:fill="auto"/>
            <w:vAlign w:val="bottom"/>
          </w:tcPr>
          <w:p w14:paraId="1AA5006D"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Less fair value adjustment from AC to FV</w:t>
            </w:r>
          </w:p>
        </w:tc>
        <w:tc>
          <w:tcPr>
            <w:tcW w:w="656" w:type="pct"/>
            <w:vAlign w:val="bottom"/>
          </w:tcPr>
          <w:p w14:paraId="470E24AF"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vAlign w:val="bottom"/>
          </w:tcPr>
          <w:p w14:paraId="04A22FEC"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5D15208A"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0E8E23A1"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7DF994A0"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786560BE" w14:textId="77777777" w:rsidTr="00372E26">
        <w:trPr>
          <w:trHeight w:val="23"/>
        </w:trPr>
        <w:tc>
          <w:tcPr>
            <w:tcW w:w="1972" w:type="pct"/>
            <w:tcBorders>
              <w:bottom w:val="single" w:sz="4" w:space="0" w:color="000000"/>
            </w:tcBorders>
            <w:shd w:val="clear" w:color="auto" w:fill="auto"/>
            <w:vAlign w:val="bottom"/>
          </w:tcPr>
          <w:p w14:paraId="0D1F5FC8"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07AA3488"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27ADF3B7"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576B70B2"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4FCF45DD"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5DB80A06"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1F6249C6" w14:textId="77777777" w:rsidTr="00372E26">
        <w:trPr>
          <w:trHeight w:val="23"/>
        </w:trPr>
        <w:tc>
          <w:tcPr>
            <w:tcW w:w="1972" w:type="pct"/>
            <w:tcBorders>
              <w:top w:val="single" w:sz="4" w:space="0" w:color="000000"/>
            </w:tcBorders>
            <w:shd w:val="clear" w:color="auto" w:fill="auto"/>
            <w:vAlign w:val="bottom"/>
          </w:tcPr>
          <w:p w14:paraId="643D4DAF"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1EDA2BBC"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32CC9A1F"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6E417465"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601B3E6D"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1036BFA1"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621FC491" w14:textId="77777777" w:rsidTr="00372E26">
        <w:trPr>
          <w:trHeight w:val="23"/>
        </w:trPr>
        <w:tc>
          <w:tcPr>
            <w:tcW w:w="1972" w:type="pct"/>
            <w:shd w:val="clear" w:color="auto" w:fill="auto"/>
            <w:vAlign w:val="bottom"/>
          </w:tcPr>
          <w:p w14:paraId="18B4F2F2" w14:textId="77777777" w:rsidR="00D83E33" w:rsidRPr="008A5EFD" w:rsidRDefault="00BC4072" w:rsidP="001B330E">
            <w:pPr>
              <w:widowControl w:val="0"/>
              <w:pBdr>
                <w:top w:val="nil"/>
                <w:left w:val="nil"/>
                <w:bottom w:val="nil"/>
                <w:right w:val="nil"/>
                <w:between w:val="nil"/>
              </w:pBdr>
              <w:ind w:left="113" w:hanging="113"/>
              <w:rPr>
                <w:color w:val="000000"/>
              </w:rPr>
            </w:pPr>
            <w:r w:rsidRPr="008A5EFD">
              <w:rPr>
                <w:color w:val="000000"/>
              </w:rPr>
              <w:t>Carrying value (fair value)</w:t>
            </w:r>
          </w:p>
        </w:tc>
        <w:tc>
          <w:tcPr>
            <w:tcW w:w="656" w:type="pct"/>
            <w:vAlign w:val="bottom"/>
          </w:tcPr>
          <w:p w14:paraId="70D8E25C"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vAlign w:val="bottom"/>
          </w:tcPr>
          <w:p w14:paraId="4B70E952"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shd w:val="clear" w:color="auto" w:fill="auto"/>
            <w:vAlign w:val="bottom"/>
          </w:tcPr>
          <w:p w14:paraId="45B3B90B"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1ACEB510"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shd w:val="clear" w:color="auto" w:fill="auto"/>
            <w:vAlign w:val="bottom"/>
          </w:tcPr>
          <w:p w14:paraId="0704E708" w14:textId="77777777" w:rsidR="00D83E33" w:rsidRPr="008A5EFD" w:rsidRDefault="00D83E33" w:rsidP="001B330E">
            <w:pPr>
              <w:widowControl w:val="0"/>
              <w:pBdr>
                <w:top w:val="nil"/>
                <w:left w:val="nil"/>
                <w:bottom w:val="nil"/>
                <w:right w:val="nil"/>
                <w:between w:val="nil"/>
              </w:pBdr>
              <w:jc w:val="right"/>
              <w:rPr>
                <w:color w:val="000000"/>
              </w:rPr>
            </w:pPr>
          </w:p>
        </w:tc>
      </w:tr>
      <w:tr w:rsidR="00D83E33" w:rsidRPr="008A5EFD" w14:paraId="04F2C556" w14:textId="77777777" w:rsidTr="00372E26">
        <w:trPr>
          <w:trHeight w:val="23"/>
        </w:trPr>
        <w:tc>
          <w:tcPr>
            <w:tcW w:w="1972" w:type="pct"/>
            <w:tcBorders>
              <w:bottom w:val="single" w:sz="12" w:space="0" w:color="000000"/>
            </w:tcBorders>
            <w:shd w:val="clear" w:color="auto" w:fill="auto"/>
            <w:vAlign w:val="bottom"/>
          </w:tcPr>
          <w:p w14:paraId="77C4E463" w14:textId="77777777" w:rsidR="00D83E33" w:rsidRPr="008A5EFD" w:rsidRDefault="00D83E33" w:rsidP="001B330E">
            <w:pPr>
              <w:widowControl w:val="0"/>
              <w:pBdr>
                <w:top w:val="nil"/>
                <w:left w:val="nil"/>
                <w:bottom w:val="nil"/>
                <w:right w:val="nil"/>
                <w:between w:val="nil"/>
              </w:pBdr>
              <w:ind w:left="113" w:hanging="113"/>
              <w:rPr>
                <w:color w:val="000000"/>
              </w:rPr>
            </w:pPr>
          </w:p>
        </w:tc>
        <w:tc>
          <w:tcPr>
            <w:tcW w:w="656" w:type="pct"/>
            <w:tcBorders>
              <w:bottom w:val="single" w:sz="12" w:space="0" w:color="000000"/>
            </w:tcBorders>
            <w:vAlign w:val="bottom"/>
          </w:tcPr>
          <w:p w14:paraId="577A9184"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12" w:space="0" w:color="000000"/>
            </w:tcBorders>
            <w:vAlign w:val="bottom"/>
          </w:tcPr>
          <w:p w14:paraId="142D4FFE" w14:textId="77777777" w:rsidR="00D83E33" w:rsidRPr="008A5EFD" w:rsidRDefault="00D83E33" w:rsidP="001B330E">
            <w:pPr>
              <w:widowControl w:val="0"/>
              <w:pBdr>
                <w:top w:val="nil"/>
                <w:left w:val="nil"/>
                <w:bottom w:val="nil"/>
                <w:right w:val="nil"/>
                <w:between w:val="nil"/>
              </w:pBdr>
              <w:jc w:val="right"/>
              <w:rPr>
                <w:color w:val="000000"/>
              </w:rPr>
            </w:pPr>
          </w:p>
        </w:tc>
        <w:tc>
          <w:tcPr>
            <w:tcW w:w="656" w:type="pct"/>
            <w:tcBorders>
              <w:bottom w:val="single" w:sz="12" w:space="0" w:color="000000"/>
            </w:tcBorders>
            <w:shd w:val="clear" w:color="auto" w:fill="auto"/>
            <w:vAlign w:val="bottom"/>
          </w:tcPr>
          <w:p w14:paraId="2962915A"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12" w:space="0" w:color="000000"/>
            </w:tcBorders>
            <w:shd w:val="clear" w:color="auto" w:fill="auto"/>
            <w:vAlign w:val="bottom"/>
          </w:tcPr>
          <w:p w14:paraId="456EE783" w14:textId="77777777" w:rsidR="00D83E33" w:rsidRPr="008A5EFD" w:rsidRDefault="00D83E33" w:rsidP="001B330E">
            <w:pPr>
              <w:widowControl w:val="0"/>
              <w:pBdr>
                <w:top w:val="nil"/>
                <w:left w:val="nil"/>
                <w:bottom w:val="nil"/>
                <w:right w:val="nil"/>
                <w:between w:val="nil"/>
              </w:pBdr>
              <w:jc w:val="right"/>
              <w:rPr>
                <w:color w:val="000000"/>
              </w:rPr>
            </w:pPr>
          </w:p>
        </w:tc>
        <w:tc>
          <w:tcPr>
            <w:tcW w:w="530" w:type="pct"/>
            <w:tcBorders>
              <w:bottom w:val="single" w:sz="12" w:space="0" w:color="000000"/>
            </w:tcBorders>
            <w:shd w:val="clear" w:color="auto" w:fill="auto"/>
            <w:vAlign w:val="bottom"/>
          </w:tcPr>
          <w:p w14:paraId="4AB460CF" w14:textId="77777777" w:rsidR="00D83E33" w:rsidRPr="008A5EFD" w:rsidRDefault="00D83E33" w:rsidP="001B330E">
            <w:pPr>
              <w:widowControl w:val="0"/>
              <w:pBdr>
                <w:top w:val="nil"/>
                <w:left w:val="nil"/>
                <w:bottom w:val="nil"/>
                <w:right w:val="nil"/>
                <w:between w:val="nil"/>
              </w:pBdr>
              <w:jc w:val="right"/>
              <w:rPr>
                <w:color w:val="000000"/>
              </w:rPr>
            </w:pPr>
          </w:p>
        </w:tc>
      </w:tr>
    </w:tbl>
    <w:p w14:paraId="70892970" w14:textId="0ABCE911" w:rsidR="00D83E33" w:rsidRDefault="00BC4072" w:rsidP="001B330E">
      <w:pPr>
        <w:pStyle w:val="Continued"/>
      </w:pPr>
      <w:r>
        <w:lastRenderedPageBreak/>
        <w:t>9</w:t>
      </w:r>
      <w:r>
        <w:tab/>
        <w:t>Investments in Debt Securities (Continued)</w:t>
      </w:r>
    </w:p>
    <w:tbl>
      <w:tblPr>
        <w:tblStyle w:val="afb"/>
        <w:tblW w:w="5000" w:type="pct"/>
        <w:tblLook w:val="0000" w:firstRow="0" w:lastRow="0" w:firstColumn="0" w:lastColumn="0" w:noHBand="0" w:noVBand="0"/>
      </w:tblPr>
      <w:tblGrid>
        <w:gridCol w:w="3690"/>
        <w:gridCol w:w="1227"/>
        <w:gridCol w:w="1227"/>
        <w:gridCol w:w="1227"/>
        <w:gridCol w:w="992"/>
        <w:gridCol w:w="992"/>
      </w:tblGrid>
      <w:tr w:rsidR="00762D1F" w:rsidRPr="00762D1F" w14:paraId="472DD568" w14:textId="77777777" w:rsidTr="001B330E">
        <w:trPr>
          <w:trHeight w:val="23"/>
        </w:trPr>
        <w:tc>
          <w:tcPr>
            <w:tcW w:w="1972" w:type="pct"/>
            <w:tcBorders>
              <w:bottom w:val="single" w:sz="4" w:space="0" w:color="000000"/>
            </w:tcBorders>
            <w:shd w:val="clear" w:color="auto" w:fill="auto"/>
            <w:vAlign w:val="bottom"/>
          </w:tcPr>
          <w:p w14:paraId="5907AC8A" w14:textId="19CA7BDD" w:rsidR="00D83E33" w:rsidRPr="00762D1F"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56" w:type="pct"/>
            <w:tcBorders>
              <w:bottom w:val="single" w:sz="4" w:space="0" w:color="000000"/>
            </w:tcBorders>
            <w:shd w:val="clear" w:color="auto" w:fill="auto"/>
          </w:tcPr>
          <w:p w14:paraId="167317E8" w14:textId="1DD9E49C" w:rsidR="00D83E33" w:rsidRPr="00762D1F" w:rsidRDefault="00BC4072">
            <w:pPr>
              <w:widowControl w:val="0"/>
              <w:pBdr>
                <w:top w:val="nil"/>
                <w:left w:val="nil"/>
                <w:bottom w:val="nil"/>
                <w:right w:val="nil"/>
                <w:between w:val="nil"/>
              </w:pBdr>
              <w:ind w:left="-113"/>
              <w:jc w:val="right"/>
              <w:rPr>
                <w:b/>
                <w:color w:val="000000"/>
              </w:rPr>
            </w:pPr>
            <w:r w:rsidRPr="00762D1F">
              <w:rPr>
                <w:b/>
                <w:color w:val="000000"/>
              </w:rPr>
              <w:t>Stage 1</w:t>
            </w:r>
          </w:p>
          <w:p w14:paraId="5868D6BA" w14:textId="77777777" w:rsidR="00D83E33" w:rsidRPr="00762D1F" w:rsidRDefault="00BC4072">
            <w:pPr>
              <w:widowControl w:val="0"/>
              <w:pBdr>
                <w:top w:val="nil"/>
                <w:left w:val="nil"/>
                <w:bottom w:val="nil"/>
                <w:right w:val="nil"/>
                <w:between w:val="nil"/>
              </w:pBdr>
              <w:ind w:left="-113"/>
              <w:jc w:val="right"/>
              <w:rPr>
                <w:b/>
                <w:color w:val="000000"/>
              </w:rPr>
            </w:pPr>
            <w:r w:rsidRPr="00762D1F">
              <w:rPr>
                <w:b/>
                <w:color w:val="000000"/>
              </w:rPr>
              <w:t>(12-months ECL)</w:t>
            </w:r>
          </w:p>
        </w:tc>
        <w:tc>
          <w:tcPr>
            <w:tcW w:w="656" w:type="pct"/>
            <w:tcBorders>
              <w:bottom w:val="single" w:sz="4" w:space="0" w:color="000000"/>
            </w:tcBorders>
            <w:shd w:val="clear" w:color="auto" w:fill="auto"/>
          </w:tcPr>
          <w:p w14:paraId="4902874B" w14:textId="77777777" w:rsidR="00D83E33" w:rsidRPr="00762D1F" w:rsidRDefault="00BC4072">
            <w:pPr>
              <w:widowControl w:val="0"/>
              <w:pBdr>
                <w:top w:val="nil"/>
                <w:left w:val="nil"/>
                <w:bottom w:val="nil"/>
                <w:right w:val="nil"/>
                <w:between w:val="nil"/>
              </w:pBdr>
              <w:ind w:left="-113"/>
              <w:jc w:val="right"/>
              <w:rPr>
                <w:b/>
                <w:color w:val="000000"/>
              </w:rPr>
            </w:pPr>
            <w:r w:rsidRPr="00762D1F">
              <w:rPr>
                <w:b/>
                <w:color w:val="000000"/>
              </w:rPr>
              <w:t>Stage 2</w:t>
            </w:r>
          </w:p>
          <w:p w14:paraId="010D2D67" w14:textId="4B23FEA0" w:rsidR="00D83E33" w:rsidRPr="00762D1F" w:rsidRDefault="00BC4072">
            <w:pPr>
              <w:widowControl w:val="0"/>
              <w:pBdr>
                <w:top w:val="nil"/>
                <w:left w:val="nil"/>
                <w:bottom w:val="nil"/>
                <w:right w:val="nil"/>
                <w:between w:val="nil"/>
              </w:pBdr>
              <w:ind w:left="-113"/>
              <w:jc w:val="right"/>
              <w:rPr>
                <w:b/>
                <w:color w:val="000000"/>
              </w:rPr>
            </w:pPr>
            <w:r w:rsidRPr="00762D1F">
              <w:rPr>
                <w:b/>
                <w:color w:val="000000"/>
              </w:rPr>
              <w:t>(lifetime ECL for SICR)</w:t>
            </w:r>
          </w:p>
        </w:tc>
        <w:tc>
          <w:tcPr>
            <w:tcW w:w="656" w:type="pct"/>
            <w:tcBorders>
              <w:bottom w:val="single" w:sz="4" w:space="0" w:color="000000"/>
            </w:tcBorders>
            <w:shd w:val="clear" w:color="auto" w:fill="auto"/>
          </w:tcPr>
          <w:p w14:paraId="71938422" w14:textId="77777777" w:rsidR="00D83E33" w:rsidRPr="00762D1F" w:rsidRDefault="00BC4072">
            <w:pPr>
              <w:widowControl w:val="0"/>
              <w:pBdr>
                <w:top w:val="nil"/>
                <w:left w:val="nil"/>
                <w:bottom w:val="nil"/>
                <w:right w:val="nil"/>
                <w:between w:val="nil"/>
              </w:pBdr>
              <w:ind w:left="-113"/>
              <w:jc w:val="right"/>
              <w:rPr>
                <w:b/>
                <w:color w:val="000000"/>
              </w:rPr>
            </w:pPr>
            <w:r w:rsidRPr="00762D1F">
              <w:rPr>
                <w:b/>
                <w:color w:val="000000"/>
              </w:rPr>
              <w:t>Stage 3</w:t>
            </w:r>
          </w:p>
          <w:p w14:paraId="434103A4" w14:textId="77777777" w:rsidR="00D83E33" w:rsidRPr="00762D1F" w:rsidRDefault="00BC4072">
            <w:pPr>
              <w:widowControl w:val="0"/>
              <w:pBdr>
                <w:top w:val="nil"/>
                <w:left w:val="nil"/>
                <w:bottom w:val="nil"/>
                <w:right w:val="nil"/>
                <w:between w:val="nil"/>
              </w:pBdr>
              <w:ind w:left="-113"/>
              <w:jc w:val="right"/>
              <w:rPr>
                <w:b/>
                <w:color w:val="000000"/>
              </w:rPr>
            </w:pPr>
            <w:r w:rsidRPr="00762D1F">
              <w:rPr>
                <w:b/>
                <w:color w:val="000000"/>
              </w:rPr>
              <w:t>(lifetime ECL for credit im-paired)</w:t>
            </w:r>
          </w:p>
        </w:tc>
        <w:tc>
          <w:tcPr>
            <w:tcW w:w="530" w:type="pct"/>
            <w:tcBorders>
              <w:bottom w:val="single" w:sz="4" w:space="0" w:color="000000"/>
            </w:tcBorders>
          </w:tcPr>
          <w:p w14:paraId="30357030"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POCI</w:t>
            </w:r>
          </w:p>
        </w:tc>
        <w:tc>
          <w:tcPr>
            <w:tcW w:w="530" w:type="pct"/>
            <w:tcBorders>
              <w:bottom w:val="single" w:sz="4" w:space="0" w:color="000000"/>
            </w:tcBorders>
            <w:shd w:val="clear" w:color="auto" w:fill="auto"/>
          </w:tcPr>
          <w:p w14:paraId="0D1DB177"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Total</w:t>
            </w:r>
          </w:p>
        </w:tc>
      </w:tr>
      <w:tr w:rsidR="00762D1F" w:rsidRPr="00762D1F" w14:paraId="00E6DC91" w14:textId="77777777" w:rsidTr="001B330E">
        <w:trPr>
          <w:trHeight w:val="23"/>
        </w:trPr>
        <w:tc>
          <w:tcPr>
            <w:tcW w:w="1972" w:type="pct"/>
            <w:tcBorders>
              <w:top w:val="single" w:sz="4" w:space="0" w:color="000000"/>
            </w:tcBorders>
            <w:shd w:val="clear" w:color="auto" w:fill="auto"/>
            <w:vAlign w:val="bottom"/>
          </w:tcPr>
          <w:p w14:paraId="4460D2F1" w14:textId="77777777" w:rsidR="00D83E33" w:rsidRPr="00762D1F" w:rsidRDefault="00D83E33">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5189516C"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1C058F54"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1C583CFE"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0028ADF3"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33A5F64E"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1230D1EB" w14:textId="77777777" w:rsidTr="001B330E">
        <w:trPr>
          <w:trHeight w:val="23"/>
        </w:trPr>
        <w:tc>
          <w:tcPr>
            <w:tcW w:w="1972" w:type="pct"/>
            <w:shd w:val="clear" w:color="auto" w:fill="auto"/>
            <w:vAlign w:val="bottom"/>
          </w:tcPr>
          <w:p w14:paraId="33A85A74" w14:textId="77777777" w:rsidR="00D83E33" w:rsidRPr="00762D1F" w:rsidRDefault="00BC4072">
            <w:pPr>
              <w:widowControl w:val="0"/>
              <w:pBdr>
                <w:top w:val="nil"/>
                <w:left w:val="nil"/>
                <w:bottom w:val="nil"/>
                <w:right w:val="nil"/>
                <w:between w:val="nil"/>
              </w:pBdr>
              <w:ind w:left="113" w:hanging="113"/>
              <w:rPr>
                <w:b/>
                <w:color w:val="000000"/>
              </w:rPr>
            </w:pPr>
            <w:r w:rsidRPr="00762D1F">
              <w:rPr>
                <w:b/>
                <w:i/>
                <w:color w:val="000000"/>
              </w:rPr>
              <w:t>Corporate bonds</w:t>
            </w:r>
          </w:p>
        </w:tc>
        <w:tc>
          <w:tcPr>
            <w:tcW w:w="656" w:type="pct"/>
            <w:shd w:val="clear" w:color="auto" w:fill="auto"/>
            <w:vAlign w:val="bottom"/>
          </w:tcPr>
          <w:p w14:paraId="5CA2DB52" w14:textId="77777777" w:rsidR="00D83E33" w:rsidRPr="00762D1F" w:rsidRDefault="00D83E33">
            <w:pPr>
              <w:widowControl w:val="0"/>
              <w:pBdr>
                <w:top w:val="nil"/>
                <w:left w:val="nil"/>
                <w:bottom w:val="nil"/>
                <w:right w:val="nil"/>
                <w:between w:val="nil"/>
              </w:pBdr>
              <w:jc w:val="right"/>
              <w:rPr>
                <w:b/>
                <w:color w:val="000000"/>
              </w:rPr>
            </w:pPr>
          </w:p>
        </w:tc>
        <w:tc>
          <w:tcPr>
            <w:tcW w:w="656" w:type="pct"/>
            <w:shd w:val="clear" w:color="auto" w:fill="auto"/>
            <w:vAlign w:val="bottom"/>
          </w:tcPr>
          <w:p w14:paraId="6EC4D38E" w14:textId="77777777" w:rsidR="00D83E33" w:rsidRPr="00762D1F" w:rsidRDefault="00D83E33">
            <w:pPr>
              <w:widowControl w:val="0"/>
              <w:pBdr>
                <w:top w:val="nil"/>
                <w:left w:val="nil"/>
                <w:bottom w:val="nil"/>
                <w:right w:val="nil"/>
                <w:between w:val="nil"/>
              </w:pBdr>
              <w:jc w:val="right"/>
              <w:rPr>
                <w:b/>
                <w:color w:val="000000"/>
              </w:rPr>
            </w:pPr>
          </w:p>
        </w:tc>
        <w:tc>
          <w:tcPr>
            <w:tcW w:w="656" w:type="pct"/>
            <w:shd w:val="clear" w:color="auto" w:fill="auto"/>
            <w:vAlign w:val="bottom"/>
          </w:tcPr>
          <w:p w14:paraId="0FF4F35D" w14:textId="77777777" w:rsidR="00D83E33" w:rsidRPr="00762D1F" w:rsidRDefault="00D83E33">
            <w:pPr>
              <w:widowControl w:val="0"/>
              <w:pBdr>
                <w:top w:val="nil"/>
                <w:left w:val="nil"/>
                <w:bottom w:val="nil"/>
                <w:right w:val="nil"/>
                <w:between w:val="nil"/>
              </w:pBdr>
              <w:jc w:val="right"/>
              <w:rPr>
                <w:b/>
                <w:color w:val="000000"/>
              </w:rPr>
            </w:pPr>
          </w:p>
        </w:tc>
        <w:tc>
          <w:tcPr>
            <w:tcW w:w="530" w:type="pct"/>
            <w:vAlign w:val="bottom"/>
          </w:tcPr>
          <w:p w14:paraId="4328E52A" w14:textId="77777777" w:rsidR="00D83E33" w:rsidRPr="00762D1F" w:rsidRDefault="00D83E33">
            <w:pPr>
              <w:widowControl w:val="0"/>
              <w:pBdr>
                <w:top w:val="nil"/>
                <w:left w:val="nil"/>
                <w:bottom w:val="nil"/>
                <w:right w:val="nil"/>
                <w:between w:val="nil"/>
              </w:pBdr>
              <w:jc w:val="right"/>
              <w:rPr>
                <w:b/>
                <w:color w:val="000000"/>
              </w:rPr>
            </w:pPr>
          </w:p>
        </w:tc>
        <w:tc>
          <w:tcPr>
            <w:tcW w:w="530" w:type="pct"/>
            <w:shd w:val="clear" w:color="auto" w:fill="auto"/>
            <w:vAlign w:val="bottom"/>
          </w:tcPr>
          <w:p w14:paraId="12EC66CF" w14:textId="77777777" w:rsidR="00D83E33" w:rsidRPr="00762D1F" w:rsidRDefault="00D83E33">
            <w:pPr>
              <w:widowControl w:val="0"/>
              <w:pBdr>
                <w:top w:val="nil"/>
                <w:left w:val="nil"/>
                <w:bottom w:val="nil"/>
                <w:right w:val="nil"/>
                <w:between w:val="nil"/>
              </w:pBdr>
              <w:jc w:val="right"/>
              <w:rPr>
                <w:b/>
                <w:color w:val="000000"/>
              </w:rPr>
            </w:pPr>
          </w:p>
        </w:tc>
      </w:tr>
      <w:tr w:rsidR="00762D1F" w:rsidRPr="00762D1F" w14:paraId="7290066E" w14:textId="77777777" w:rsidTr="001B330E">
        <w:trPr>
          <w:trHeight w:val="23"/>
        </w:trPr>
        <w:tc>
          <w:tcPr>
            <w:tcW w:w="1972" w:type="pct"/>
            <w:shd w:val="clear" w:color="auto" w:fill="auto"/>
            <w:vAlign w:val="bottom"/>
          </w:tcPr>
          <w:p w14:paraId="75F1D91E"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56" w:type="pct"/>
            <w:shd w:val="clear" w:color="auto" w:fill="auto"/>
            <w:vAlign w:val="bottom"/>
          </w:tcPr>
          <w:p w14:paraId="5A234F4E"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17A64379"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60772E28"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57328D05"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4958E683"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5E036651" w14:textId="77777777" w:rsidTr="001B330E">
        <w:trPr>
          <w:trHeight w:val="23"/>
        </w:trPr>
        <w:tc>
          <w:tcPr>
            <w:tcW w:w="1972" w:type="pct"/>
            <w:shd w:val="clear" w:color="auto" w:fill="auto"/>
            <w:vAlign w:val="bottom"/>
          </w:tcPr>
          <w:p w14:paraId="1A5397CF"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56" w:type="pct"/>
            <w:shd w:val="clear" w:color="auto" w:fill="auto"/>
            <w:vAlign w:val="bottom"/>
          </w:tcPr>
          <w:p w14:paraId="13F39EC4"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041E9262"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23E27087"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4103A3FD"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43B6FC8C"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1D260253" w14:textId="77777777" w:rsidTr="001B330E">
        <w:trPr>
          <w:trHeight w:val="23"/>
        </w:trPr>
        <w:tc>
          <w:tcPr>
            <w:tcW w:w="1972" w:type="pct"/>
            <w:shd w:val="clear" w:color="auto" w:fill="auto"/>
            <w:vAlign w:val="bottom"/>
          </w:tcPr>
          <w:p w14:paraId="43791B00"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56" w:type="pct"/>
            <w:shd w:val="clear" w:color="auto" w:fill="auto"/>
            <w:vAlign w:val="bottom"/>
          </w:tcPr>
          <w:p w14:paraId="180DA638"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5EAE764D"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65FD5E82"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441F88B4"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08CC3550"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6E944C64" w14:textId="77777777" w:rsidTr="001B330E">
        <w:trPr>
          <w:trHeight w:val="23"/>
        </w:trPr>
        <w:tc>
          <w:tcPr>
            <w:tcW w:w="1972" w:type="pct"/>
            <w:shd w:val="clear" w:color="auto" w:fill="auto"/>
            <w:vAlign w:val="bottom"/>
          </w:tcPr>
          <w:p w14:paraId="5633EFD6"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Special monitoring</w:t>
            </w:r>
          </w:p>
        </w:tc>
        <w:tc>
          <w:tcPr>
            <w:tcW w:w="656" w:type="pct"/>
            <w:shd w:val="clear" w:color="auto" w:fill="auto"/>
            <w:vAlign w:val="bottom"/>
          </w:tcPr>
          <w:p w14:paraId="2184BBBC"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7C22F0B6"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63797904"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462474E1"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7FA4C130"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3E03FC3A" w14:textId="77777777" w:rsidTr="001B330E">
        <w:trPr>
          <w:trHeight w:val="23"/>
        </w:trPr>
        <w:tc>
          <w:tcPr>
            <w:tcW w:w="1972" w:type="pct"/>
            <w:shd w:val="clear" w:color="auto" w:fill="auto"/>
            <w:vAlign w:val="bottom"/>
          </w:tcPr>
          <w:p w14:paraId="4A437F34"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Default</w:t>
            </w:r>
          </w:p>
        </w:tc>
        <w:tc>
          <w:tcPr>
            <w:tcW w:w="656" w:type="pct"/>
            <w:shd w:val="clear" w:color="auto" w:fill="auto"/>
            <w:vAlign w:val="bottom"/>
          </w:tcPr>
          <w:p w14:paraId="1A73D6DE"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6906C87B"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4445FB9D"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4BD28336"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66008BE7"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03E198B6" w14:textId="77777777" w:rsidTr="001B330E">
        <w:trPr>
          <w:trHeight w:val="23"/>
        </w:trPr>
        <w:tc>
          <w:tcPr>
            <w:tcW w:w="1972" w:type="pct"/>
            <w:tcBorders>
              <w:bottom w:val="single" w:sz="4" w:space="0" w:color="000000"/>
            </w:tcBorders>
            <w:shd w:val="clear" w:color="auto" w:fill="auto"/>
            <w:vAlign w:val="bottom"/>
          </w:tcPr>
          <w:p w14:paraId="39F018B5" w14:textId="77777777" w:rsidR="00D83E33" w:rsidRPr="00762D1F" w:rsidRDefault="00D83E33">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4AF0B736"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0FB17C32"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26F63B05"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4F42F2C7"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56688C77"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62A8D6B1" w14:textId="77777777" w:rsidTr="001B330E">
        <w:trPr>
          <w:trHeight w:val="23"/>
        </w:trPr>
        <w:tc>
          <w:tcPr>
            <w:tcW w:w="1972" w:type="pct"/>
            <w:tcBorders>
              <w:top w:val="single" w:sz="4" w:space="0" w:color="000000"/>
            </w:tcBorders>
            <w:shd w:val="clear" w:color="auto" w:fill="auto"/>
            <w:vAlign w:val="bottom"/>
          </w:tcPr>
          <w:p w14:paraId="00AC2BAE" w14:textId="77777777" w:rsidR="00D83E33" w:rsidRPr="00762D1F" w:rsidRDefault="00D83E33">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6814501B"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6E5207DB"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5C043F03"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29F24A01"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4F0DE220"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28DD2F95" w14:textId="77777777" w:rsidTr="001B330E">
        <w:trPr>
          <w:trHeight w:val="23"/>
        </w:trPr>
        <w:tc>
          <w:tcPr>
            <w:tcW w:w="1972" w:type="pct"/>
            <w:shd w:val="clear" w:color="auto" w:fill="auto"/>
            <w:vAlign w:val="bottom"/>
          </w:tcPr>
          <w:p w14:paraId="024121D1"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Total AC gross carrying amount</w:t>
            </w:r>
          </w:p>
        </w:tc>
        <w:tc>
          <w:tcPr>
            <w:tcW w:w="656" w:type="pct"/>
            <w:vAlign w:val="bottom"/>
          </w:tcPr>
          <w:p w14:paraId="17BAF66A" w14:textId="77777777" w:rsidR="00D83E33" w:rsidRPr="00762D1F" w:rsidRDefault="00D83E33">
            <w:pPr>
              <w:widowControl w:val="0"/>
              <w:pBdr>
                <w:top w:val="nil"/>
                <w:left w:val="nil"/>
                <w:bottom w:val="nil"/>
                <w:right w:val="nil"/>
                <w:between w:val="nil"/>
              </w:pBdr>
              <w:jc w:val="right"/>
              <w:rPr>
                <w:color w:val="000000"/>
              </w:rPr>
            </w:pPr>
          </w:p>
        </w:tc>
        <w:tc>
          <w:tcPr>
            <w:tcW w:w="656" w:type="pct"/>
            <w:vAlign w:val="bottom"/>
          </w:tcPr>
          <w:p w14:paraId="7A8C0FC8"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6A46633D"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295A1778"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00431730"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4B288E67" w14:textId="77777777" w:rsidTr="001B330E">
        <w:trPr>
          <w:trHeight w:val="23"/>
        </w:trPr>
        <w:tc>
          <w:tcPr>
            <w:tcW w:w="1972" w:type="pct"/>
            <w:tcBorders>
              <w:bottom w:val="single" w:sz="4" w:space="0" w:color="000000"/>
            </w:tcBorders>
            <w:shd w:val="clear" w:color="auto" w:fill="auto"/>
            <w:vAlign w:val="bottom"/>
          </w:tcPr>
          <w:p w14:paraId="487721E0" w14:textId="77777777" w:rsidR="00D83E33" w:rsidRPr="00762D1F" w:rsidRDefault="00D83E33">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1D5B5FD3"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5577E623"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73C4A74D"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5A5325F7"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42E44B46"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70B8BF02" w14:textId="77777777" w:rsidTr="001B330E">
        <w:trPr>
          <w:trHeight w:val="23"/>
        </w:trPr>
        <w:tc>
          <w:tcPr>
            <w:tcW w:w="1972" w:type="pct"/>
            <w:tcBorders>
              <w:top w:val="single" w:sz="4" w:space="0" w:color="000000"/>
            </w:tcBorders>
            <w:shd w:val="clear" w:color="auto" w:fill="auto"/>
            <w:vAlign w:val="bottom"/>
          </w:tcPr>
          <w:p w14:paraId="6DEBD451" w14:textId="77777777" w:rsidR="00D83E33" w:rsidRPr="00762D1F" w:rsidRDefault="00D83E33">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0B3D0B89"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3FF02DA8"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7C146A48"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363E4DB5"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0F37F4D8"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1DAF7E1A" w14:textId="77777777" w:rsidTr="001B330E">
        <w:trPr>
          <w:trHeight w:val="23"/>
        </w:trPr>
        <w:tc>
          <w:tcPr>
            <w:tcW w:w="1972" w:type="pct"/>
            <w:shd w:val="clear" w:color="auto" w:fill="auto"/>
            <w:vAlign w:val="bottom"/>
          </w:tcPr>
          <w:p w14:paraId="7A84A6EF"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credit loss allowance</w:t>
            </w:r>
          </w:p>
        </w:tc>
        <w:tc>
          <w:tcPr>
            <w:tcW w:w="656" w:type="pct"/>
            <w:vAlign w:val="bottom"/>
          </w:tcPr>
          <w:p w14:paraId="4E051EBA"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vAlign w:val="bottom"/>
          </w:tcPr>
          <w:p w14:paraId="3578A1CF"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6FE44CAD"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245E77D2"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57276737"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121AD738" w14:textId="77777777" w:rsidTr="001B330E">
        <w:trPr>
          <w:trHeight w:val="23"/>
        </w:trPr>
        <w:tc>
          <w:tcPr>
            <w:tcW w:w="1972" w:type="pct"/>
            <w:shd w:val="clear" w:color="auto" w:fill="auto"/>
            <w:vAlign w:val="bottom"/>
          </w:tcPr>
          <w:p w14:paraId="70856C1B"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fair value adjustment from AC to FV</w:t>
            </w:r>
          </w:p>
        </w:tc>
        <w:tc>
          <w:tcPr>
            <w:tcW w:w="656" w:type="pct"/>
            <w:vAlign w:val="bottom"/>
          </w:tcPr>
          <w:p w14:paraId="49913EA5"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vAlign w:val="bottom"/>
          </w:tcPr>
          <w:p w14:paraId="641D1D13"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4BF159A3"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0508A619"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37D8C56E"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6221DF4A" w14:textId="77777777" w:rsidTr="001B330E">
        <w:trPr>
          <w:trHeight w:val="23"/>
        </w:trPr>
        <w:tc>
          <w:tcPr>
            <w:tcW w:w="1972" w:type="pct"/>
            <w:tcBorders>
              <w:bottom w:val="single" w:sz="4" w:space="0" w:color="000000"/>
            </w:tcBorders>
            <w:shd w:val="clear" w:color="auto" w:fill="auto"/>
            <w:vAlign w:val="bottom"/>
          </w:tcPr>
          <w:p w14:paraId="2ABF330C" w14:textId="77777777" w:rsidR="00D83E33" w:rsidRPr="00762D1F" w:rsidRDefault="00D83E33">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04161394"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5DF9BB6D"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50983A4F"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7B01D03F"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0F9F0224"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3AB1BA63" w14:textId="77777777" w:rsidTr="001B330E">
        <w:trPr>
          <w:trHeight w:val="23"/>
        </w:trPr>
        <w:tc>
          <w:tcPr>
            <w:tcW w:w="1972" w:type="pct"/>
            <w:tcBorders>
              <w:top w:val="single" w:sz="4" w:space="0" w:color="000000"/>
            </w:tcBorders>
            <w:shd w:val="clear" w:color="auto" w:fill="auto"/>
            <w:vAlign w:val="bottom"/>
          </w:tcPr>
          <w:p w14:paraId="48800D46" w14:textId="77777777" w:rsidR="00D83E33" w:rsidRPr="00762D1F" w:rsidRDefault="00D83E33">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738A05C7"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110C8AD9"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29375B82"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4BBE584D"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604E6626"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5A2DE256" w14:textId="77777777" w:rsidTr="001B330E">
        <w:trPr>
          <w:trHeight w:val="23"/>
        </w:trPr>
        <w:tc>
          <w:tcPr>
            <w:tcW w:w="1972" w:type="pct"/>
            <w:shd w:val="clear" w:color="auto" w:fill="auto"/>
            <w:vAlign w:val="bottom"/>
          </w:tcPr>
          <w:p w14:paraId="4F484819"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Carrying value (fair value)</w:t>
            </w:r>
          </w:p>
        </w:tc>
        <w:tc>
          <w:tcPr>
            <w:tcW w:w="656" w:type="pct"/>
            <w:vAlign w:val="bottom"/>
          </w:tcPr>
          <w:p w14:paraId="2302C2A6"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vAlign w:val="bottom"/>
          </w:tcPr>
          <w:p w14:paraId="3BF20C6F"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4FD3C5A8"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0A5294E0"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1D261CDC"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3D1BF18C" w14:textId="77777777" w:rsidTr="001B330E">
        <w:trPr>
          <w:trHeight w:val="23"/>
        </w:trPr>
        <w:tc>
          <w:tcPr>
            <w:tcW w:w="1972" w:type="pct"/>
            <w:tcBorders>
              <w:bottom w:val="single" w:sz="12" w:space="0" w:color="000000"/>
            </w:tcBorders>
            <w:shd w:val="clear" w:color="auto" w:fill="auto"/>
            <w:vAlign w:val="bottom"/>
          </w:tcPr>
          <w:p w14:paraId="2D50E2D9" w14:textId="77777777" w:rsidR="00D83E33" w:rsidRPr="00762D1F" w:rsidRDefault="00D83E33">
            <w:pPr>
              <w:widowControl w:val="0"/>
              <w:pBdr>
                <w:top w:val="nil"/>
                <w:left w:val="nil"/>
                <w:bottom w:val="nil"/>
                <w:right w:val="nil"/>
                <w:between w:val="nil"/>
              </w:pBdr>
              <w:ind w:left="113" w:hanging="113"/>
              <w:rPr>
                <w:b/>
                <w:color w:val="000000"/>
              </w:rPr>
            </w:pPr>
          </w:p>
        </w:tc>
        <w:tc>
          <w:tcPr>
            <w:tcW w:w="656" w:type="pct"/>
            <w:tcBorders>
              <w:bottom w:val="single" w:sz="12" w:space="0" w:color="000000"/>
            </w:tcBorders>
            <w:vAlign w:val="bottom"/>
          </w:tcPr>
          <w:p w14:paraId="131B5E00" w14:textId="77777777" w:rsidR="00D83E33" w:rsidRPr="00762D1F" w:rsidRDefault="00D83E33" w:rsidP="001B330E">
            <w:pPr>
              <w:widowControl w:val="0"/>
              <w:pBdr>
                <w:top w:val="nil"/>
                <w:left w:val="nil"/>
                <w:bottom w:val="nil"/>
                <w:right w:val="nil"/>
                <w:between w:val="nil"/>
              </w:pBdr>
              <w:jc w:val="right"/>
              <w:rPr>
                <w:b/>
                <w:color w:val="000000"/>
              </w:rPr>
            </w:pPr>
          </w:p>
        </w:tc>
        <w:tc>
          <w:tcPr>
            <w:tcW w:w="656" w:type="pct"/>
            <w:tcBorders>
              <w:bottom w:val="single" w:sz="12" w:space="0" w:color="000000"/>
            </w:tcBorders>
            <w:vAlign w:val="bottom"/>
          </w:tcPr>
          <w:p w14:paraId="1BF1DE33" w14:textId="77777777" w:rsidR="00D83E33" w:rsidRPr="00762D1F" w:rsidRDefault="00D83E33">
            <w:pPr>
              <w:widowControl w:val="0"/>
              <w:pBdr>
                <w:top w:val="nil"/>
                <w:left w:val="nil"/>
                <w:bottom w:val="nil"/>
                <w:right w:val="nil"/>
                <w:between w:val="nil"/>
              </w:pBdr>
              <w:jc w:val="right"/>
              <w:rPr>
                <w:b/>
                <w:color w:val="000000"/>
              </w:rPr>
            </w:pPr>
          </w:p>
        </w:tc>
        <w:tc>
          <w:tcPr>
            <w:tcW w:w="656" w:type="pct"/>
            <w:tcBorders>
              <w:bottom w:val="single" w:sz="12" w:space="0" w:color="000000"/>
            </w:tcBorders>
            <w:shd w:val="clear" w:color="auto" w:fill="auto"/>
            <w:vAlign w:val="bottom"/>
          </w:tcPr>
          <w:p w14:paraId="28E606D9" w14:textId="77777777" w:rsidR="00D83E33" w:rsidRPr="00762D1F" w:rsidRDefault="00D83E33">
            <w:pPr>
              <w:widowControl w:val="0"/>
              <w:pBdr>
                <w:top w:val="nil"/>
                <w:left w:val="nil"/>
                <w:bottom w:val="nil"/>
                <w:right w:val="nil"/>
                <w:between w:val="nil"/>
              </w:pBdr>
              <w:jc w:val="right"/>
              <w:rPr>
                <w:b/>
                <w:color w:val="000000"/>
              </w:rPr>
            </w:pPr>
          </w:p>
        </w:tc>
        <w:tc>
          <w:tcPr>
            <w:tcW w:w="530" w:type="pct"/>
            <w:tcBorders>
              <w:bottom w:val="single" w:sz="12" w:space="0" w:color="000000"/>
            </w:tcBorders>
            <w:shd w:val="clear" w:color="auto" w:fill="auto"/>
            <w:vAlign w:val="bottom"/>
          </w:tcPr>
          <w:p w14:paraId="1BA16EC7" w14:textId="77777777" w:rsidR="00D83E33" w:rsidRPr="00762D1F" w:rsidRDefault="00D83E33">
            <w:pPr>
              <w:widowControl w:val="0"/>
              <w:pBdr>
                <w:top w:val="nil"/>
                <w:left w:val="nil"/>
                <w:bottom w:val="nil"/>
                <w:right w:val="nil"/>
                <w:between w:val="nil"/>
              </w:pBdr>
              <w:jc w:val="right"/>
              <w:rPr>
                <w:b/>
                <w:color w:val="000000"/>
              </w:rPr>
            </w:pPr>
          </w:p>
        </w:tc>
        <w:tc>
          <w:tcPr>
            <w:tcW w:w="530" w:type="pct"/>
            <w:tcBorders>
              <w:bottom w:val="single" w:sz="12" w:space="0" w:color="000000"/>
            </w:tcBorders>
            <w:shd w:val="clear" w:color="auto" w:fill="auto"/>
            <w:vAlign w:val="bottom"/>
          </w:tcPr>
          <w:p w14:paraId="1B2387C3" w14:textId="77777777" w:rsidR="00D83E33" w:rsidRPr="00762D1F" w:rsidRDefault="00D83E33">
            <w:pPr>
              <w:widowControl w:val="0"/>
              <w:pBdr>
                <w:top w:val="nil"/>
                <w:left w:val="nil"/>
                <w:bottom w:val="nil"/>
                <w:right w:val="nil"/>
                <w:between w:val="nil"/>
              </w:pBdr>
              <w:jc w:val="right"/>
              <w:rPr>
                <w:b/>
                <w:color w:val="000000"/>
              </w:rPr>
            </w:pPr>
          </w:p>
        </w:tc>
      </w:tr>
      <w:tr w:rsidR="00762D1F" w:rsidRPr="00762D1F" w14:paraId="59CBF1D3" w14:textId="77777777" w:rsidTr="001B330E">
        <w:trPr>
          <w:trHeight w:val="23"/>
        </w:trPr>
        <w:tc>
          <w:tcPr>
            <w:tcW w:w="1972" w:type="pct"/>
            <w:vAlign w:val="bottom"/>
          </w:tcPr>
          <w:p w14:paraId="740E5A0E" w14:textId="77777777" w:rsidR="00D83E33" w:rsidRPr="001B330E" w:rsidRDefault="00D83E33" w:rsidP="001B330E">
            <w:pPr>
              <w:widowControl w:val="0"/>
              <w:pBdr>
                <w:top w:val="nil"/>
                <w:left w:val="nil"/>
                <w:bottom w:val="nil"/>
                <w:right w:val="nil"/>
                <w:between w:val="nil"/>
              </w:pBdr>
              <w:ind w:left="113" w:hanging="113"/>
              <w:rPr>
                <w:b/>
                <w:i/>
                <w:color w:val="000000"/>
                <w:szCs w:val="12"/>
              </w:rPr>
            </w:pPr>
          </w:p>
          <w:p w14:paraId="65A1AEE3" w14:textId="39529193" w:rsidR="00D83E33" w:rsidRPr="00762D1F" w:rsidRDefault="00BC4072" w:rsidP="001B330E">
            <w:pPr>
              <w:widowControl w:val="0"/>
              <w:pBdr>
                <w:top w:val="nil"/>
                <w:left w:val="nil"/>
                <w:bottom w:val="nil"/>
                <w:right w:val="nil"/>
                <w:between w:val="nil"/>
              </w:pBdr>
              <w:ind w:left="113" w:hanging="113"/>
              <w:rPr>
                <w:b/>
                <w:i/>
                <w:color w:val="000000"/>
              </w:rPr>
            </w:pPr>
            <w:r w:rsidRPr="00762D1F">
              <w:rPr>
                <w:b/>
                <w:i/>
                <w:color w:val="000000"/>
              </w:rPr>
              <w:t xml:space="preserve">Promissory notes </w:t>
            </w:r>
          </w:p>
        </w:tc>
        <w:tc>
          <w:tcPr>
            <w:tcW w:w="656" w:type="pct"/>
            <w:vAlign w:val="bottom"/>
          </w:tcPr>
          <w:p w14:paraId="06BF3893" w14:textId="77777777" w:rsidR="00D83E33" w:rsidRPr="00762D1F" w:rsidRDefault="00D83E33" w:rsidP="001B330E">
            <w:pPr>
              <w:widowControl w:val="0"/>
              <w:pBdr>
                <w:top w:val="nil"/>
                <w:left w:val="nil"/>
                <w:bottom w:val="nil"/>
                <w:right w:val="nil"/>
                <w:between w:val="nil"/>
              </w:pBdr>
              <w:jc w:val="right"/>
              <w:rPr>
                <w:b/>
                <w:i/>
                <w:color w:val="000000"/>
              </w:rPr>
            </w:pPr>
          </w:p>
        </w:tc>
        <w:tc>
          <w:tcPr>
            <w:tcW w:w="656" w:type="pct"/>
            <w:vAlign w:val="bottom"/>
          </w:tcPr>
          <w:p w14:paraId="70EA0769" w14:textId="77777777" w:rsidR="00D83E33" w:rsidRPr="00762D1F" w:rsidRDefault="00D83E33" w:rsidP="001B330E">
            <w:pPr>
              <w:widowControl w:val="0"/>
              <w:pBdr>
                <w:top w:val="nil"/>
                <w:left w:val="nil"/>
                <w:bottom w:val="nil"/>
                <w:right w:val="nil"/>
                <w:between w:val="nil"/>
              </w:pBdr>
              <w:jc w:val="right"/>
              <w:rPr>
                <w:b/>
                <w:i/>
                <w:color w:val="000000"/>
              </w:rPr>
            </w:pPr>
          </w:p>
        </w:tc>
        <w:tc>
          <w:tcPr>
            <w:tcW w:w="656" w:type="pct"/>
            <w:vAlign w:val="bottom"/>
          </w:tcPr>
          <w:p w14:paraId="5D2B4732" w14:textId="77777777" w:rsidR="00D83E33" w:rsidRPr="00762D1F" w:rsidRDefault="00D83E33" w:rsidP="001B330E">
            <w:pPr>
              <w:widowControl w:val="0"/>
              <w:pBdr>
                <w:top w:val="nil"/>
                <w:left w:val="nil"/>
                <w:bottom w:val="nil"/>
                <w:right w:val="nil"/>
                <w:between w:val="nil"/>
              </w:pBdr>
              <w:jc w:val="right"/>
              <w:rPr>
                <w:b/>
                <w:i/>
                <w:color w:val="000000"/>
              </w:rPr>
            </w:pPr>
          </w:p>
        </w:tc>
        <w:tc>
          <w:tcPr>
            <w:tcW w:w="530" w:type="pct"/>
            <w:vAlign w:val="bottom"/>
          </w:tcPr>
          <w:p w14:paraId="60573356" w14:textId="77777777" w:rsidR="00D83E33" w:rsidRPr="00762D1F" w:rsidRDefault="00D83E33" w:rsidP="001B330E">
            <w:pPr>
              <w:widowControl w:val="0"/>
              <w:pBdr>
                <w:top w:val="nil"/>
                <w:left w:val="nil"/>
                <w:bottom w:val="nil"/>
                <w:right w:val="nil"/>
                <w:between w:val="nil"/>
              </w:pBdr>
              <w:jc w:val="right"/>
              <w:rPr>
                <w:b/>
                <w:i/>
                <w:color w:val="000000"/>
              </w:rPr>
            </w:pPr>
          </w:p>
        </w:tc>
        <w:tc>
          <w:tcPr>
            <w:tcW w:w="530" w:type="pct"/>
            <w:vAlign w:val="bottom"/>
          </w:tcPr>
          <w:p w14:paraId="0C5952D8" w14:textId="77777777" w:rsidR="00D83E33" w:rsidRPr="00762D1F" w:rsidRDefault="00D83E33" w:rsidP="001B330E">
            <w:pPr>
              <w:widowControl w:val="0"/>
              <w:pBdr>
                <w:top w:val="nil"/>
                <w:left w:val="nil"/>
                <w:bottom w:val="nil"/>
                <w:right w:val="nil"/>
                <w:between w:val="nil"/>
              </w:pBdr>
              <w:jc w:val="right"/>
              <w:rPr>
                <w:b/>
                <w:i/>
                <w:color w:val="000000"/>
              </w:rPr>
            </w:pPr>
          </w:p>
        </w:tc>
      </w:tr>
      <w:tr w:rsidR="00762D1F" w:rsidRPr="00762D1F" w14:paraId="5843C91D" w14:textId="77777777" w:rsidTr="001B330E">
        <w:trPr>
          <w:trHeight w:val="23"/>
        </w:trPr>
        <w:tc>
          <w:tcPr>
            <w:tcW w:w="1972" w:type="pct"/>
            <w:shd w:val="clear" w:color="auto" w:fill="auto"/>
            <w:vAlign w:val="bottom"/>
          </w:tcPr>
          <w:p w14:paraId="0008FED4"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56" w:type="pct"/>
            <w:shd w:val="clear" w:color="auto" w:fill="auto"/>
            <w:vAlign w:val="bottom"/>
          </w:tcPr>
          <w:p w14:paraId="7424AFF4"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3E7F1289"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2BF6F2CE"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3BCD84EE"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56716BDC"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62706269" w14:textId="77777777" w:rsidTr="001B330E">
        <w:trPr>
          <w:trHeight w:val="23"/>
        </w:trPr>
        <w:tc>
          <w:tcPr>
            <w:tcW w:w="1972" w:type="pct"/>
            <w:shd w:val="clear" w:color="auto" w:fill="auto"/>
            <w:vAlign w:val="bottom"/>
          </w:tcPr>
          <w:p w14:paraId="3B87307B"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56" w:type="pct"/>
            <w:shd w:val="clear" w:color="auto" w:fill="auto"/>
            <w:vAlign w:val="bottom"/>
          </w:tcPr>
          <w:p w14:paraId="4C5BBB72"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7632D94E"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17C77DD3"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5B32BE20"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44B4AD7D"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19C8A8B3" w14:textId="77777777" w:rsidTr="001B330E">
        <w:trPr>
          <w:trHeight w:val="23"/>
        </w:trPr>
        <w:tc>
          <w:tcPr>
            <w:tcW w:w="1972" w:type="pct"/>
            <w:shd w:val="clear" w:color="auto" w:fill="auto"/>
            <w:vAlign w:val="bottom"/>
          </w:tcPr>
          <w:p w14:paraId="0C7C335C"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56" w:type="pct"/>
            <w:shd w:val="clear" w:color="auto" w:fill="auto"/>
            <w:vAlign w:val="bottom"/>
          </w:tcPr>
          <w:p w14:paraId="13CB0267"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6E27E2D0"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0B3524A6"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10CBBB1D"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72D613F6"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7F5ED424" w14:textId="77777777" w:rsidTr="001B330E">
        <w:trPr>
          <w:trHeight w:val="23"/>
        </w:trPr>
        <w:tc>
          <w:tcPr>
            <w:tcW w:w="1972" w:type="pct"/>
            <w:shd w:val="clear" w:color="auto" w:fill="auto"/>
            <w:vAlign w:val="bottom"/>
          </w:tcPr>
          <w:p w14:paraId="41FC96E5"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Special monitoring</w:t>
            </w:r>
          </w:p>
        </w:tc>
        <w:tc>
          <w:tcPr>
            <w:tcW w:w="656" w:type="pct"/>
            <w:shd w:val="clear" w:color="auto" w:fill="auto"/>
            <w:vAlign w:val="bottom"/>
          </w:tcPr>
          <w:p w14:paraId="1235AE0E"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306300EA"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6126E2D4"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2BD8C658"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363DE3F4"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5A883C8D" w14:textId="77777777" w:rsidTr="001B330E">
        <w:trPr>
          <w:trHeight w:val="23"/>
        </w:trPr>
        <w:tc>
          <w:tcPr>
            <w:tcW w:w="1972" w:type="pct"/>
            <w:shd w:val="clear" w:color="auto" w:fill="auto"/>
            <w:vAlign w:val="bottom"/>
          </w:tcPr>
          <w:p w14:paraId="73FD545F"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Default</w:t>
            </w:r>
          </w:p>
        </w:tc>
        <w:tc>
          <w:tcPr>
            <w:tcW w:w="656" w:type="pct"/>
            <w:shd w:val="clear" w:color="auto" w:fill="auto"/>
            <w:vAlign w:val="bottom"/>
          </w:tcPr>
          <w:p w14:paraId="589AC4E9"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4480F6FC"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2290014F"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098EEC6C"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4B10B1F7"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59634F39" w14:textId="77777777" w:rsidTr="001B330E">
        <w:trPr>
          <w:trHeight w:val="23"/>
        </w:trPr>
        <w:tc>
          <w:tcPr>
            <w:tcW w:w="1972" w:type="pct"/>
            <w:tcBorders>
              <w:bottom w:val="single" w:sz="4" w:space="0" w:color="000000"/>
            </w:tcBorders>
            <w:shd w:val="clear" w:color="auto" w:fill="auto"/>
            <w:vAlign w:val="bottom"/>
          </w:tcPr>
          <w:p w14:paraId="3787D5AC"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56" w:type="pct"/>
            <w:tcBorders>
              <w:bottom w:val="single" w:sz="4" w:space="0" w:color="000000"/>
            </w:tcBorders>
            <w:vAlign w:val="bottom"/>
          </w:tcPr>
          <w:p w14:paraId="711D094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56" w:type="pct"/>
            <w:tcBorders>
              <w:bottom w:val="single" w:sz="4" w:space="0" w:color="000000"/>
            </w:tcBorders>
            <w:vAlign w:val="bottom"/>
          </w:tcPr>
          <w:p w14:paraId="01F9511F"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bottom w:val="single" w:sz="4" w:space="0" w:color="000000"/>
            </w:tcBorders>
            <w:shd w:val="clear" w:color="auto" w:fill="auto"/>
            <w:vAlign w:val="bottom"/>
          </w:tcPr>
          <w:p w14:paraId="54A9B673"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bottom w:val="single" w:sz="4" w:space="0" w:color="000000"/>
            </w:tcBorders>
            <w:shd w:val="clear" w:color="auto" w:fill="auto"/>
            <w:vAlign w:val="bottom"/>
          </w:tcPr>
          <w:p w14:paraId="0DC94FB8"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bottom w:val="single" w:sz="4" w:space="0" w:color="000000"/>
            </w:tcBorders>
            <w:shd w:val="clear" w:color="auto" w:fill="auto"/>
            <w:vAlign w:val="bottom"/>
          </w:tcPr>
          <w:p w14:paraId="7F040C93" w14:textId="77777777" w:rsidR="00D83E33" w:rsidRPr="001B330E" w:rsidRDefault="00D83E33">
            <w:pPr>
              <w:widowControl w:val="0"/>
              <w:pBdr>
                <w:top w:val="nil"/>
                <w:left w:val="nil"/>
                <w:bottom w:val="nil"/>
                <w:right w:val="nil"/>
                <w:between w:val="nil"/>
              </w:pBdr>
              <w:jc w:val="right"/>
              <w:rPr>
                <w:color w:val="000000"/>
                <w:szCs w:val="12"/>
              </w:rPr>
            </w:pPr>
          </w:p>
        </w:tc>
      </w:tr>
      <w:tr w:rsidR="00762D1F" w:rsidRPr="00762D1F" w14:paraId="35C13331" w14:textId="77777777" w:rsidTr="001B330E">
        <w:trPr>
          <w:trHeight w:val="23"/>
        </w:trPr>
        <w:tc>
          <w:tcPr>
            <w:tcW w:w="1972" w:type="pct"/>
            <w:tcBorders>
              <w:top w:val="single" w:sz="4" w:space="0" w:color="000000"/>
            </w:tcBorders>
            <w:shd w:val="clear" w:color="auto" w:fill="auto"/>
            <w:vAlign w:val="bottom"/>
          </w:tcPr>
          <w:p w14:paraId="51E3263B"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56" w:type="pct"/>
            <w:tcBorders>
              <w:top w:val="single" w:sz="4" w:space="0" w:color="000000"/>
            </w:tcBorders>
            <w:vAlign w:val="bottom"/>
          </w:tcPr>
          <w:p w14:paraId="123E8E30"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top w:val="single" w:sz="4" w:space="0" w:color="000000"/>
            </w:tcBorders>
            <w:vAlign w:val="bottom"/>
          </w:tcPr>
          <w:p w14:paraId="04E1785F"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top w:val="single" w:sz="4" w:space="0" w:color="000000"/>
            </w:tcBorders>
            <w:shd w:val="clear" w:color="auto" w:fill="auto"/>
            <w:vAlign w:val="bottom"/>
          </w:tcPr>
          <w:p w14:paraId="58D37913"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top w:val="single" w:sz="4" w:space="0" w:color="000000"/>
            </w:tcBorders>
            <w:shd w:val="clear" w:color="auto" w:fill="auto"/>
            <w:vAlign w:val="bottom"/>
          </w:tcPr>
          <w:p w14:paraId="43D8C051"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top w:val="single" w:sz="4" w:space="0" w:color="000000"/>
            </w:tcBorders>
            <w:shd w:val="clear" w:color="auto" w:fill="auto"/>
            <w:vAlign w:val="bottom"/>
          </w:tcPr>
          <w:p w14:paraId="6D56CB46" w14:textId="77777777" w:rsidR="00D83E33" w:rsidRPr="001B330E" w:rsidRDefault="00D83E33">
            <w:pPr>
              <w:widowControl w:val="0"/>
              <w:pBdr>
                <w:top w:val="nil"/>
                <w:left w:val="nil"/>
                <w:bottom w:val="nil"/>
                <w:right w:val="nil"/>
                <w:between w:val="nil"/>
              </w:pBdr>
              <w:jc w:val="right"/>
              <w:rPr>
                <w:color w:val="000000"/>
                <w:szCs w:val="12"/>
              </w:rPr>
            </w:pPr>
          </w:p>
        </w:tc>
      </w:tr>
      <w:tr w:rsidR="00762D1F" w:rsidRPr="00762D1F" w14:paraId="30DDC88A" w14:textId="77777777" w:rsidTr="001B330E">
        <w:trPr>
          <w:trHeight w:val="23"/>
        </w:trPr>
        <w:tc>
          <w:tcPr>
            <w:tcW w:w="1972" w:type="pct"/>
            <w:shd w:val="clear" w:color="auto" w:fill="auto"/>
            <w:vAlign w:val="bottom"/>
          </w:tcPr>
          <w:p w14:paraId="4FD5B4E5"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Total AC gross carrying amount</w:t>
            </w:r>
          </w:p>
        </w:tc>
        <w:tc>
          <w:tcPr>
            <w:tcW w:w="656" w:type="pct"/>
            <w:vAlign w:val="bottom"/>
          </w:tcPr>
          <w:p w14:paraId="548983B7" w14:textId="77777777" w:rsidR="00D83E33" w:rsidRPr="00762D1F" w:rsidRDefault="00D83E33">
            <w:pPr>
              <w:widowControl w:val="0"/>
              <w:pBdr>
                <w:top w:val="nil"/>
                <w:left w:val="nil"/>
                <w:bottom w:val="nil"/>
                <w:right w:val="nil"/>
                <w:between w:val="nil"/>
              </w:pBdr>
              <w:jc w:val="right"/>
              <w:rPr>
                <w:color w:val="000000"/>
              </w:rPr>
            </w:pPr>
          </w:p>
        </w:tc>
        <w:tc>
          <w:tcPr>
            <w:tcW w:w="656" w:type="pct"/>
            <w:vAlign w:val="bottom"/>
          </w:tcPr>
          <w:p w14:paraId="3A8EEB1B"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17DE4CAB"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462FF823"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394F4383"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5F43A278" w14:textId="77777777" w:rsidTr="001B330E">
        <w:trPr>
          <w:trHeight w:val="23"/>
        </w:trPr>
        <w:tc>
          <w:tcPr>
            <w:tcW w:w="1972" w:type="pct"/>
            <w:tcBorders>
              <w:bottom w:val="single" w:sz="4" w:space="0" w:color="000000"/>
            </w:tcBorders>
            <w:shd w:val="clear" w:color="auto" w:fill="auto"/>
            <w:vAlign w:val="bottom"/>
          </w:tcPr>
          <w:p w14:paraId="476328B4"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56" w:type="pct"/>
            <w:tcBorders>
              <w:bottom w:val="single" w:sz="4" w:space="0" w:color="000000"/>
            </w:tcBorders>
            <w:vAlign w:val="bottom"/>
          </w:tcPr>
          <w:p w14:paraId="421D61AC"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bottom w:val="single" w:sz="4" w:space="0" w:color="000000"/>
            </w:tcBorders>
            <w:vAlign w:val="bottom"/>
          </w:tcPr>
          <w:p w14:paraId="7C38ECFB"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bottom w:val="single" w:sz="4" w:space="0" w:color="000000"/>
            </w:tcBorders>
            <w:shd w:val="clear" w:color="auto" w:fill="auto"/>
            <w:vAlign w:val="bottom"/>
          </w:tcPr>
          <w:p w14:paraId="2EE84FCC"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bottom w:val="single" w:sz="4" w:space="0" w:color="000000"/>
            </w:tcBorders>
            <w:shd w:val="clear" w:color="auto" w:fill="auto"/>
            <w:vAlign w:val="bottom"/>
          </w:tcPr>
          <w:p w14:paraId="214A0D44"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bottom w:val="single" w:sz="4" w:space="0" w:color="000000"/>
            </w:tcBorders>
            <w:shd w:val="clear" w:color="auto" w:fill="auto"/>
            <w:vAlign w:val="bottom"/>
          </w:tcPr>
          <w:p w14:paraId="30EBC079" w14:textId="77777777" w:rsidR="00D83E33" w:rsidRPr="001B330E" w:rsidRDefault="00D83E33">
            <w:pPr>
              <w:widowControl w:val="0"/>
              <w:pBdr>
                <w:top w:val="nil"/>
                <w:left w:val="nil"/>
                <w:bottom w:val="nil"/>
                <w:right w:val="nil"/>
                <w:between w:val="nil"/>
              </w:pBdr>
              <w:jc w:val="right"/>
              <w:rPr>
                <w:color w:val="000000"/>
                <w:szCs w:val="12"/>
              </w:rPr>
            </w:pPr>
          </w:p>
        </w:tc>
      </w:tr>
      <w:tr w:rsidR="00762D1F" w:rsidRPr="00762D1F" w14:paraId="08C03923" w14:textId="77777777" w:rsidTr="001B330E">
        <w:trPr>
          <w:trHeight w:val="23"/>
        </w:trPr>
        <w:tc>
          <w:tcPr>
            <w:tcW w:w="1972" w:type="pct"/>
            <w:tcBorders>
              <w:top w:val="single" w:sz="4" w:space="0" w:color="000000"/>
            </w:tcBorders>
            <w:shd w:val="clear" w:color="auto" w:fill="auto"/>
            <w:vAlign w:val="bottom"/>
          </w:tcPr>
          <w:p w14:paraId="40BCBE7E"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56" w:type="pct"/>
            <w:tcBorders>
              <w:top w:val="single" w:sz="4" w:space="0" w:color="000000"/>
            </w:tcBorders>
            <w:vAlign w:val="bottom"/>
          </w:tcPr>
          <w:p w14:paraId="23E4CD01"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56" w:type="pct"/>
            <w:tcBorders>
              <w:top w:val="single" w:sz="4" w:space="0" w:color="000000"/>
            </w:tcBorders>
            <w:vAlign w:val="bottom"/>
          </w:tcPr>
          <w:p w14:paraId="1B99620D"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top w:val="single" w:sz="4" w:space="0" w:color="000000"/>
            </w:tcBorders>
            <w:shd w:val="clear" w:color="auto" w:fill="auto"/>
            <w:vAlign w:val="bottom"/>
          </w:tcPr>
          <w:p w14:paraId="66535986"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top w:val="single" w:sz="4" w:space="0" w:color="000000"/>
            </w:tcBorders>
            <w:shd w:val="clear" w:color="auto" w:fill="auto"/>
            <w:vAlign w:val="bottom"/>
          </w:tcPr>
          <w:p w14:paraId="269E4A7D"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top w:val="single" w:sz="4" w:space="0" w:color="000000"/>
            </w:tcBorders>
            <w:shd w:val="clear" w:color="auto" w:fill="auto"/>
            <w:vAlign w:val="bottom"/>
          </w:tcPr>
          <w:p w14:paraId="219C6AF7" w14:textId="77777777" w:rsidR="00D83E33" w:rsidRPr="001B330E" w:rsidRDefault="00D83E33">
            <w:pPr>
              <w:widowControl w:val="0"/>
              <w:pBdr>
                <w:top w:val="nil"/>
                <w:left w:val="nil"/>
                <w:bottom w:val="nil"/>
                <w:right w:val="nil"/>
                <w:between w:val="nil"/>
              </w:pBdr>
              <w:jc w:val="right"/>
              <w:rPr>
                <w:color w:val="000000"/>
                <w:szCs w:val="12"/>
              </w:rPr>
            </w:pPr>
          </w:p>
        </w:tc>
      </w:tr>
      <w:tr w:rsidR="00762D1F" w:rsidRPr="00762D1F" w14:paraId="2FCC8CD5" w14:textId="77777777" w:rsidTr="001B330E">
        <w:trPr>
          <w:trHeight w:val="23"/>
        </w:trPr>
        <w:tc>
          <w:tcPr>
            <w:tcW w:w="1972" w:type="pct"/>
            <w:shd w:val="clear" w:color="auto" w:fill="auto"/>
            <w:vAlign w:val="bottom"/>
          </w:tcPr>
          <w:p w14:paraId="515C980E"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credit loss allowance</w:t>
            </w:r>
          </w:p>
        </w:tc>
        <w:tc>
          <w:tcPr>
            <w:tcW w:w="656" w:type="pct"/>
            <w:vAlign w:val="bottom"/>
          </w:tcPr>
          <w:p w14:paraId="68422E98"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vAlign w:val="bottom"/>
          </w:tcPr>
          <w:p w14:paraId="4E02716F"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4EC67E99"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2FF3942A"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2E87EE45"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7FEC6532" w14:textId="77777777" w:rsidTr="001B330E">
        <w:trPr>
          <w:trHeight w:val="23"/>
        </w:trPr>
        <w:tc>
          <w:tcPr>
            <w:tcW w:w="1972" w:type="pct"/>
            <w:shd w:val="clear" w:color="auto" w:fill="auto"/>
            <w:vAlign w:val="bottom"/>
          </w:tcPr>
          <w:p w14:paraId="554390F5"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fair value adjustment from AC to FV</w:t>
            </w:r>
          </w:p>
        </w:tc>
        <w:tc>
          <w:tcPr>
            <w:tcW w:w="656" w:type="pct"/>
            <w:vAlign w:val="bottom"/>
          </w:tcPr>
          <w:p w14:paraId="1C1CEF15"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vAlign w:val="bottom"/>
          </w:tcPr>
          <w:p w14:paraId="1D0CB792"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0BEB25B2"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5711E658"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64BE9F26"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0DEC20B4" w14:textId="77777777" w:rsidTr="001B330E">
        <w:trPr>
          <w:trHeight w:val="23"/>
        </w:trPr>
        <w:tc>
          <w:tcPr>
            <w:tcW w:w="1972" w:type="pct"/>
            <w:tcBorders>
              <w:bottom w:val="single" w:sz="4" w:space="0" w:color="000000"/>
            </w:tcBorders>
            <w:shd w:val="clear" w:color="auto" w:fill="auto"/>
            <w:vAlign w:val="bottom"/>
          </w:tcPr>
          <w:p w14:paraId="2AF31AB0" w14:textId="77777777" w:rsidR="00D83E33" w:rsidRPr="00762D1F" w:rsidRDefault="00D83E33">
            <w:pPr>
              <w:widowControl w:val="0"/>
              <w:pBdr>
                <w:top w:val="nil"/>
                <w:left w:val="nil"/>
                <w:bottom w:val="nil"/>
                <w:right w:val="nil"/>
                <w:between w:val="nil"/>
              </w:pBdr>
              <w:ind w:left="113" w:hanging="113"/>
              <w:rPr>
                <w:color w:val="000000"/>
              </w:rPr>
            </w:pPr>
          </w:p>
        </w:tc>
        <w:tc>
          <w:tcPr>
            <w:tcW w:w="656" w:type="pct"/>
            <w:tcBorders>
              <w:bottom w:val="single" w:sz="4" w:space="0" w:color="000000"/>
            </w:tcBorders>
            <w:vAlign w:val="bottom"/>
          </w:tcPr>
          <w:p w14:paraId="4B539E97"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tcBorders>
              <w:bottom w:val="single" w:sz="4" w:space="0" w:color="000000"/>
            </w:tcBorders>
            <w:vAlign w:val="bottom"/>
          </w:tcPr>
          <w:p w14:paraId="61F7D9B9"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bottom w:val="single" w:sz="4" w:space="0" w:color="000000"/>
            </w:tcBorders>
            <w:shd w:val="clear" w:color="auto" w:fill="auto"/>
            <w:vAlign w:val="bottom"/>
          </w:tcPr>
          <w:p w14:paraId="7C688A5C"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5190EACD"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3F8C8C38"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519262D0" w14:textId="77777777" w:rsidTr="001B330E">
        <w:trPr>
          <w:trHeight w:val="23"/>
        </w:trPr>
        <w:tc>
          <w:tcPr>
            <w:tcW w:w="1972" w:type="pct"/>
            <w:tcBorders>
              <w:top w:val="single" w:sz="4" w:space="0" w:color="000000"/>
            </w:tcBorders>
            <w:shd w:val="clear" w:color="auto" w:fill="auto"/>
            <w:vAlign w:val="bottom"/>
          </w:tcPr>
          <w:p w14:paraId="36AF637F" w14:textId="77777777" w:rsidR="00D83E33" w:rsidRPr="00762D1F" w:rsidRDefault="00D83E33">
            <w:pPr>
              <w:widowControl w:val="0"/>
              <w:pBdr>
                <w:top w:val="nil"/>
                <w:left w:val="nil"/>
                <w:bottom w:val="nil"/>
                <w:right w:val="nil"/>
                <w:between w:val="nil"/>
              </w:pBdr>
              <w:ind w:left="113" w:hanging="113"/>
              <w:rPr>
                <w:color w:val="000000"/>
              </w:rPr>
            </w:pPr>
          </w:p>
        </w:tc>
        <w:tc>
          <w:tcPr>
            <w:tcW w:w="656" w:type="pct"/>
            <w:tcBorders>
              <w:top w:val="single" w:sz="4" w:space="0" w:color="000000"/>
            </w:tcBorders>
            <w:vAlign w:val="bottom"/>
          </w:tcPr>
          <w:p w14:paraId="0188CB45"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tcBorders>
              <w:top w:val="single" w:sz="4" w:space="0" w:color="000000"/>
            </w:tcBorders>
            <w:vAlign w:val="bottom"/>
          </w:tcPr>
          <w:p w14:paraId="77EAB828" w14:textId="77777777" w:rsidR="00D83E33" w:rsidRPr="00762D1F" w:rsidRDefault="00D83E33">
            <w:pPr>
              <w:widowControl w:val="0"/>
              <w:pBdr>
                <w:top w:val="nil"/>
                <w:left w:val="nil"/>
                <w:bottom w:val="nil"/>
                <w:right w:val="nil"/>
                <w:between w:val="nil"/>
              </w:pBdr>
              <w:jc w:val="right"/>
              <w:rPr>
                <w:color w:val="000000"/>
              </w:rPr>
            </w:pPr>
          </w:p>
        </w:tc>
        <w:tc>
          <w:tcPr>
            <w:tcW w:w="656" w:type="pct"/>
            <w:tcBorders>
              <w:top w:val="single" w:sz="4" w:space="0" w:color="000000"/>
            </w:tcBorders>
            <w:shd w:val="clear" w:color="auto" w:fill="auto"/>
            <w:vAlign w:val="bottom"/>
          </w:tcPr>
          <w:p w14:paraId="02A7C92D"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79DD7EEA" w14:textId="77777777" w:rsidR="00D83E33" w:rsidRPr="00762D1F" w:rsidRDefault="00D83E33">
            <w:pPr>
              <w:widowControl w:val="0"/>
              <w:pBdr>
                <w:top w:val="nil"/>
                <w:left w:val="nil"/>
                <w:bottom w:val="nil"/>
                <w:right w:val="nil"/>
                <w:between w:val="nil"/>
              </w:pBdr>
              <w:jc w:val="right"/>
              <w:rPr>
                <w:color w:val="000000"/>
              </w:rPr>
            </w:pPr>
          </w:p>
        </w:tc>
        <w:tc>
          <w:tcPr>
            <w:tcW w:w="530" w:type="pct"/>
            <w:tcBorders>
              <w:top w:val="single" w:sz="4" w:space="0" w:color="000000"/>
            </w:tcBorders>
            <w:shd w:val="clear" w:color="auto" w:fill="auto"/>
            <w:vAlign w:val="bottom"/>
          </w:tcPr>
          <w:p w14:paraId="415AC05C"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5856C8BB" w14:textId="77777777" w:rsidTr="001B330E">
        <w:trPr>
          <w:trHeight w:val="23"/>
        </w:trPr>
        <w:tc>
          <w:tcPr>
            <w:tcW w:w="1972" w:type="pct"/>
            <w:shd w:val="clear" w:color="auto" w:fill="auto"/>
            <w:vAlign w:val="bottom"/>
          </w:tcPr>
          <w:p w14:paraId="77E593C9"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Carrying value (fair value)</w:t>
            </w:r>
          </w:p>
        </w:tc>
        <w:tc>
          <w:tcPr>
            <w:tcW w:w="656" w:type="pct"/>
            <w:vAlign w:val="bottom"/>
          </w:tcPr>
          <w:p w14:paraId="3D637823" w14:textId="77777777" w:rsidR="00D83E33" w:rsidRPr="00762D1F" w:rsidRDefault="00D83E33" w:rsidP="001B330E">
            <w:pPr>
              <w:widowControl w:val="0"/>
              <w:pBdr>
                <w:top w:val="nil"/>
                <w:left w:val="nil"/>
                <w:bottom w:val="nil"/>
                <w:right w:val="nil"/>
                <w:between w:val="nil"/>
              </w:pBdr>
              <w:jc w:val="right"/>
              <w:rPr>
                <w:color w:val="000000"/>
              </w:rPr>
            </w:pPr>
          </w:p>
        </w:tc>
        <w:tc>
          <w:tcPr>
            <w:tcW w:w="656" w:type="pct"/>
            <w:vAlign w:val="bottom"/>
          </w:tcPr>
          <w:p w14:paraId="2C04A2C5"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48E5210E"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1931E67D"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2A63F911"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6FFBF963" w14:textId="77777777" w:rsidTr="001B330E">
        <w:trPr>
          <w:trHeight w:val="23"/>
        </w:trPr>
        <w:tc>
          <w:tcPr>
            <w:tcW w:w="1972" w:type="pct"/>
            <w:tcBorders>
              <w:bottom w:val="single" w:sz="12" w:space="0" w:color="000000"/>
            </w:tcBorders>
            <w:shd w:val="clear" w:color="auto" w:fill="auto"/>
            <w:vAlign w:val="bottom"/>
          </w:tcPr>
          <w:p w14:paraId="145F99AF"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56" w:type="pct"/>
            <w:tcBorders>
              <w:bottom w:val="single" w:sz="12" w:space="0" w:color="000000"/>
            </w:tcBorders>
            <w:vAlign w:val="bottom"/>
          </w:tcPr>
          <w:p w14:paraId="329789B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56" w:type="pct"/>
            <w:tcBorders>
              <w:bottom w:val="single" w:sz="12" w:space="0" w:color="000000"/>
            </w:tcBorders>
            <w:vAlign w:val="bottom"/>
          </w:tcPr>
          <w:p w14:paraId="7A8A3133"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bottom w:val="single" w:sz="12" w:space="0" w:color="000000"/>
            </w:tcBorders>
            <w:shd w:val="clear" w:color="auto" w:fill="auto"/>
            <w:vAlign w:val="bottom"/>
          </w:tcPr>
          <w:p w14:paraId="228E72EE"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bottom w:val="single" w:sz="12" w:space="0" w:color="000000"/>
            </w:tcBorders>
            <w:shd w:val="clear" w:color="auto" w:fill="auto"/>
            <w:vAlign w:val="bottom"/>
          </w:tcPr>
          <w:p w14:paraId="4DDBE29C"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bottom w:val="single" w:sz="12" w:space="0" w:color="000000"/>
            </w:tcBorders>
            <w:shd w:val="clear" w:color="auto" w:fill="auto"/>
            <w:vAlign w:val="bottom"/>
          </w:tcPr>
          <w:p w14:paraId="079165D3" w14:textId="77777777" w:rsidR="00D83E33" w:rsidRPr="001B330E" w:rsidRDefault="00D83E33">
            <w:pPr>
              <w:widowControl w:val="0"/>
              <w:pBdr>
                <w:top w:val="nil"/>
                <w:left w:val="nil"/>
                <w:bottom w:val="nil"/>
                <w:right w:val="nil"/>
                <w:between w:val="nil"/>
              </w:pBdr>
              <w:jc w:val="right"/>
              <w:rPr>
                <w:color w:val="000000"/>
                <w:szCs w:val="12"/>
              </w:rPr>
            </w:pPr>
          </w:p>
        </w:tc>
      </w:tr>
      <w:tr w:rsidR="00762D1F" w:rsidRPr="00762D1F" w14:paraId="0A1DCE1D" w14:textId="77777777" w:rsidTr="001B330E">
        <w:trPr>
          <w:trHeight w:val="23"/>
        </w:trPr>
        <w:tc>
          <w:tcPr>
            <w:tcW w:w="1972" w:type="pct"/>
            <w:tcBorders>
              <w:top w:val="single" w:sz="12" w:space="0" w:color="000000"/>
            </w:tcBorders>
            <w:shd w:val="clear" w:color="auto" w:fill="auto"/>
            <w:vAlign w:val="bottom"/>
          </w:tcPr>
          <w:p w14:paraId="309B2B79"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56" w:type="pct"/>
            <w:tcBorders>
              <w:top w:val="single" w:sz="12" w:space="0" w:color="000000"/>
            </w:tcBorders>
            <w:vAlign w:val="bottom"/>
          </w:tcPr>
          <w:p w14:paraId="4BDF98FF"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top w:val="single" w:sz="12" w:space="0" w:color="000000"/>
            </w:tcBorders>
            <w:vAlign w:val="bottom"/>
          </w:tcPr>
          <w:p w14:paraId="5BFD58E2"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top w:val="single" w:sz="12" w:space="0" w:color="000000"/>
            </w:tcBorders>
            <w:shd w:val="clear" w:color="auto" w:fill="auto"/>
            <w:vAlign w:val="bottom"/>
          </w:tcPr>
          <w:p w14:paraId="2147C5AC"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top w:val="single" w:sz="12" w:space="0" w:color="000000"/>
            </w:tcBorders>
            <w:shd w:val="clear" w:color="auto" w:fill="auto"/>
            <w:vAlign w:val="bottom"/>
          </w:tcPr>
          <w:p w14:paraId="59771CB8"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top w:val="single" w:sz="12" w:space="0" w:color="000000"/>
            </w:tcBorders>
            <w:shd w:val="clear" w:color="auto" w:fill="auto"/>
            <w:vAlign w:val="bottom"/>
          </w:tcPr>
          <w:p w14:paraId="49959263" w14:textId="77777777" w:rsidR="00D83E33" w:rsidRPr="001B330E" w:rsidRDefault="00D83E33">
            <w:pPr>
              <w:widowControl w:val="0"/>
              <w:pBdr>
                <w:top w:val="nil"/>
                <w:left w:val="nil"/>
                <w:bottom w:val="nil"/>
                <w:right w:val="nil"/>
                <w:between w:val="nil"/>
              </w:pBdr>
              <w:jc w:val="right"/>
              <w:rPr>
                <w:color w:val="000000"/>
                <w:szCs w:val="12"/>
              </w:rPr>
            </w:pPr>
          </w:p>
        </w:tc>
      </w:tr>
      <w:tr w:rsidR="00762D1F" w:rsidRPr="00762D1F" w14:paraId="354F0B77" w14:textId="77777777" w:rsidTr="001B330E">
        <w:trPr>
          <w:trHeight w:val="23"/>
        </w:trPr>
        <w:tc>
          <w:tcPr>
            <w:tcW w:w="1972" w:type="pct"/>
            <w:shd w:val="clear" w:color="auto" w:fill="auto"/>
            <w:vAlign w:val="bottom"/>
          </w:tcPr>
          <w:p w14:paraId="3478E276"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Total investments in debt securities measured at FVOCI (fair value)</w:t>
            </w:r>
          </w:p>
        </w:tc>
        <w:tc>
          <w:tcPr>
            <w:tcW w:w="656" w:type="pct"/>
            <w:shd w:val="clear" w:color="auto" w:fill="auto"/>
            <w:vAlign w:val="bottom"/>
          </w:tcPr>
          <w:p w14:paraId="1C949DFD"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0C7DB394" w14:textId="77777777" w:rsidR="00D83E33" w:rsidRPr="00762D1F" w:rsidRDefault="00D83E33">
            <w:pPr>
              <w:widowControl w:val="0"/>
              <w:pBdr>
                <w:top w:val="nil"/>
                <w:left w:val="nil"/>
                <w:bottom w:val="nil"/>
                <w:right w:val="nil"/>
                <w:between w:val="nil"/>
              </w:pBdr>
              <w:jc w:val="right"/>
              <w:rPr>
                <w:color w:val="000000"/>
              </w:rPr>
            </w:pPr>
          </w:p>
        </w:tc>
        <w:tc>
          <w:tcPr>
            <w:tcW w:w="656" w:type="pct"/>
            <w:shd w:val="clear" w:color="auto" w:fill="auto"/>
            <w:vAlign w:val="bottom"/>
          </w:tcPr>
          <w:p w14:paraId="4D5EDEE0" w14:textId="77777777" w:rsidR="00D83E33" w:rsidRPr="00762D1F" w:rsidRDefault="00D83E33">
            <w:pPr>
              <w:widowControl w:val="0"/>
              <w:pBdr>
                <w:top w:val="nil"/>
                <w:left w:val="nil"/>
                <w:bottom w:val="nil"/>
                <w:right w:val="nil"/>
                <w:between w:val="nil"/>
              </w:pBdr>
              <w:jc w:val="right"/>
              <w:rPr>
                <w:color w:val="000000"/>
              </w:rPr>
            </w:pPr>
          </w:p>
        </w:tc>
        <w:tc>
          <w:tcPr>
            <w:tcW w:w="530" w:type="pct"/>
            <w:vAlign w:val="bottom"/>
          </w:tcPr>
          <w:p w14:paraId="4B99145C" w14:textId="77777777" w:rsidR="00D83E33" w:rsidRPr="00762D1F" w:rsidRDefault="00D83E33">
            <w:pPr>
              <w:widowControl w:val="0"/>
              <w:pBdr>
                <w:top w:val="nil"/>
                <w:left w:val="nil"/>
                <w:bottom w:val="nil"/>
                <w:right w:val="nil"/>
                <w:between w:val="nil"/>
              </w:pBdr>
              <w:jc w:val="right"/>
              <w:rPr>
                <w:color w:val="000000"/>
              </w:rPr>
            </w:pPr>
          </w:p>
        </w:tc>
        <w:tc>
          <w:tcPr>
            <w:tcW w:w="530" w:type="pct"/>
            <w:shd w:val="clear" w:color="auto" w:fill="auto"/>
            <w:vAlign w:val="bottom"/>
          </w:tcPr>
          <w:p w14:paraId="4AAEF738"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41C0F080" w14:textId="77777777" w:rsidTr="001B330E">
        <w:trPr>
          <w:trHeight w:val="23"/>
        </w:trPr>
        <w:tc>
          <w:tcPr>
            <w:tcW w:w="1972" w:type="pct"/>
            <w:tcBorders>
              <w:bottom w:val="single" w:sz="12" w:space="0" w:color="000000"/>
            </w:tcBorders>
            <w:shd w:val="clear" w:color="auto" w:fill="auto"/>
            <w:vAlign w:val="bottom"/>
          </w:tcPr>
          <w:p w14:paraId="3477B231"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56" w:type="pct"/>
            <w:tcBorders>
              <w:bottom w:val="single" w:sz="12" w:space="0" w:color="000000"/>
            </w:tcBorders>
            <w:shd w:val="clear" w:color="auto" w:fill="auto"/>
            <w:vAlign w:val="bottom"/>
          </w:tcPr>
          <w:p w14:paraId="6EFBD318"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bottom w:val="single" w:sz="12" w:space="0" w:color="000000"/>
            </w:tcBorders>
            <w:shd w:val="clear" w:color="auto" w:fill="auto"/>
            <w:vAlign w:val="bottom"/>
          </w:tcPr>
          <w:p w14:paraId="4DDE42FE" w14:textId="77777777" w:rsidR="00D83E33" w:rsidRPr="001B330E" w:rsidRDefault="00D83E33">
            <w:pPr>
              <w:widowControl w:val="0"/>
              <w:pBdr>
                <w:top w:val="nil"/>
                <w:left w:val="nil"/>
                <w:bottom w:val="nil"/>
                <w:right w:val="nil"/>
                <w:between w:val="nil"/>
              </w:pBdr>
              <w:jc w:val="right"/>
              <w:rPr>
                <w:color w:val="000000"/>
                <w:szCs w:val="12"/>
              </w:rPr>
            </w:pPr>
          </w:p>
        </w:tc>
        <w:tc>
          <w:tcPr>
            <w:tcW w:w="656" w:type="pct"/>
            <w:tcBorders>
              <w:bottom w:val="single" w:sz="12" w:space="0" w:color="000000"/>
            </w:tcBorders>
            <w:shd w:val="clear" w:color="auto" w:fill="auto"/>
            <w:vAlign w:val="bottom"/>
          </w:tcPr>
          <w:p w14:paraId="62BCED1A"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bottom w:val="single" w:sz="12" w:space="0" w:color="000000"/>
            </w:tcBorders>
            <w:vAlign w:val="bottom"/>
          </w:tcPr>
          <w:p w14:paraId="04E0EEB1" w14:textId="77777777" w:rsidR="00D83E33" w:rsidRPr="001B330E" w:rsidRDefault="00D83E33">
            <w:pPr>
              <w:widowControl w:val="0"/>
              <w:pBdr>
                <w:top w:val="nil"/>
                <w:left w:val="nil"/>
                <w:bottom w:val="nil"/>
                <w:right w:val="nil"/>
                <w:between w:val="nil"/>
              </w:pBdr>
              <w:jc w:val="right"/>
              <w:rPr>
                <w:color w:val="000000"/>
                <w:szCs w:val="12"/>
              </w:rPr>
            </w:pPr>
          </w:p>
        </w:tc>
        <w:tc>
          <w:tcPr>
            <w:tcW w:w="530" w:type="pct"/>
            <w:tcBorders>
              <w:bottom w:val="single" w:sz="12" w:space="0" w:color="000000"/>
            </w:tcBorders>
            <w:shd w:val="clear" w:color="auto" w:fill="auto"/>
            <w:vAlign w:val="bottom"/>
          </w:tcPr>
          <w:p w14:paraId="4431B386" w14:textId="77777777" w:rsidR="00D83E33" w:rsidRPr="001B330E" w:rsidRDefault="00D83E33">
            <w:pPr>
              <w:widowControl w:val="0"/>
              <w:pBdr>
                <w:top w:val="nil"/>
                <w:left w:val="nil"/>
                <w:bottom w:val="nil"/>
                <w:right w:val="nil"/>
                <w:between w:val="nil"/>
              </w:pBdr>
              <w:jc w:val="right"/>
              <w:rPr>
                <w:color w:val="000000"/>
                <w:szCs w:val="12"/>
              </w:rPr>
            </w:pPr>
          </w:p>
        </w:tc>
      </w:tr>
    </w:tbl>
    <w:p w14:paraId="29BBD651" w14:textId="0C45EDA5" w:rsidR="00D83E33" w:rsidRDefault="00BC4072" w:rsidP="001B330E">
      <w:pPr>
        <w:pStyle w:val="Continued"/>
      </w:pPr>
      <w:r>
        <w:lastRenderedPageBreak/>
        <w:t>9</w:t>
      </w:r>
      <w:r>
        <w:tab/>
        <w:t>Investments in Debt Securities (Continued)</w:t>
      </w:r>
    </w:p>
    <w:p w14:paraId="2619BABE" w14:textId="5A392241"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table below contains an analysis of the credit risk exposure of debt securities measured at FVOCI at 31</w:t>
      </w:r>
      <w:r w:rsidR="00181687">
        <w:rPr>
          <w:color w:val="000000"/>
          <w:sz w:val="20"/>
          <w:szCs w:val="20"/>
        </w:rPr>
        <w:t> December </w:t>
      </w:r>
      <w:r w:rsidR="00541EBC">
        <w:rPr>
          <w:color w:val="000000"/>
          <w:sz w:val="20"/>
          <w:szCs w:val="20"/>
        </w:rPr>
        <w:t>2023</w:t>
      </w:r>
      <w:r>
        <w:rPr>
          <w:color w:val="000000"/>
          <w:sz w:val="20"/>
          <w:szCs w:val="20"/>
        </w:rPr>
        <w:t>, for which an ECL allowance is recognised, based on credit risk grades.</w:t>
      </w:r>
    </w:p>
    <w:tbl>
      <w:tblPr>
        <w:tblStyle w:val="afc"/>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762D1F" w14:paraId="23EB36B0" w14:textId="77777777" w:rsidTr="00372E26">
        <w:trPr>
          <w:trHeight w:val="23"/>
        </w:trPr>
        <w:tc>
          <w:tcPr>
            <w:tcW w:w="1971" w:type="pct"/>
            <w:tcBorders>
              <w:bottom w:val="single" w:sz="4" w:space="0" w:color="000000"/>
            </w:tcBorders>
            <w:shd w:val="clear" w:color="auto" w:fill="auto"/>
            <w:vAlign w:val="bottom"/>
          </w:tcPr>
          <w:p w14:paraId="441DD248" w14:textId="4AE35BE6" w:rsidR="00D83E33" w:rsidRPr="00762D1F"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4718E408"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 xml:space="preserve">Stage 1 </w:t>
            </w:r>
          </w:p>
          <w:p w14:paraId="20F0D283"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(12-months ECL)</w:t>
            </w:r>
          </w:p>
        </w:tc>
        <w:tc>
          <w:tcPr>
            <w:tcW w:w="606" w:type="pct"/>
            <w:tcBorders>
              <w:bottom w:val="single" w:sz="4" w:space="0" w:color="000000"/>
            </w:tcBorders>
            <w:shd w:val="clear" w:color="auto" w:fill="auto"/>
          </w:tcPr>
          <w:p w14:paraId="51C8A9A1"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2</w:t>
            </w:r>
          </w:p>
          <w:p w14:paraId="1A206E9E"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 xml:space="preserve">(lifetime ECL for SICR) </w:t>
            </w:r>
          </w:p>
        </w:tc>
        <w:tc>
          <w:tcPr>
            <w:tcW w:w="606" w:type="pct"/>
            <w:tcBorders>
              <w:bottom w:val="single" w:sz="4" w:space="0" w:color="000000"/>
            </w:tcBorders>
            <w:shd w:val="clear" w:color="auto" w:fill="auto"/>
          </w:tcPr>
          <w:p w14:paraId="694050CE"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3</w:t>
            </w:r>
          </w:p>
          <w:p w14:paraId="6368CB85"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(lifetime ECL for credit im-paired)</w:t>
            </w:r>
          </w:p>
        </w:tc>
        <w:tc>
          <w:tcPr>
            <w:tcW w:w="606" w:type="pct"/>
            <w:tcBorders>
              <w:bottom w:val="single" w:sz="4" w:space="0" w:color="000000"/>
            </w:tcBorders>
          </w:tcPr>
          <w:p w14:paraId="4654A19B"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POCI</w:t>
            </w:r>
          </w:p>
        </w:tc>
        <w:tc>
          <w:tcPr>
            <w:tcW w:w="605" w:type="pct"/>
            <w:tcBorders>
              <w:bottom w:val="single" w:sz="4" w:space="0" w:color="000000"/>
            </w:tcBorders>
            <w:shd w:val="clear" w:color="auto" w:fill="auto"/>
          </w:tcPr>
          <w:p w14:paraId="37C88D8D"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Total</w:t>
            </w:r>
          </w:p>
        </w:tc>
      </w:tr>
      <w:tr w:rsidR="00D83E33" w:rsidRPr="00762D1F" w14:paraId="3C710707" w14:textId="77777777" w:rsidTr="00372E26">
        <w:trPr>
          <w:trHeight w:val="23"/>
        </w:trPr>
        <w:tc>
          <w:tcPr>
            <w:tcW w:w="1971" w:type="pct"/>
            <w:shd w:val="clear" w:color="auto" w:fill="auto"/>
            <w:vAlign w:val="bottom"/>
          </w:tcPr>
          <w:p w14:paraId="119DB6F6" w14:textId="77777777" w:rsidR="00D83E33" w:rsidRPr="00762D1F" w:rsidRDefault="00D83E33">
            <w:pPr>
              <w:widowControl w:val="0"/>
              <w:ind w:left="113" w:hanging="113"/>
            </w:pPr>
          </w:p>
        </w:tc>
        <w:tc>
          <w:tcPr>
            <w:tcW w:w="606" w:type="pct"/>
            <w:shd w:val="clear" w:color="auto" w:fill="auto"/>
            <w:vAlign w:val="bottom"/>
          </w:tcPr>
          <w:p w14:paraId="6A80B79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710B70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749B1AE"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31320D8B"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83E633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F6AF2A1" w14:textId="77777777" w:rsidTr="00372E26">
        <w:trPr>
          <w:trHeight w:val="23"/>
        </w:trPr>
        <w:tc>
          <w:tcPr>
            <w:tcW w:w="1971" w:type="pct"/>
            <w:vAlign w:val="bottom"/>
          </w:tcPr>
          <w:p w14:paraId="57276D69" w14:textId="1759C0BD" w:rsidR="00D83E33" w:rsidRPr="00762D1F" w:rsidRDefault="00372E26">
            <w:pPr>
              <w:widowControl w:val="0"/>
              <w:pBdr>
                <w:top w:val="nil"/>
                <w:left w:val="nil"/>
                <w:bottom w:val="nil"/>
                <w:right w:val="nil"/>
                <w:between w:val="nil"/>
              </w:pBdr>
              <w:ind w:left="113" w:hanging="113"/>
              <w:rPr>
                <w:i/>
                <w:color w:val="000000"/>
              </w:rPr>
            </w:pPr>
            <w:r>
              <w:rPr>
                <w:b/>
                <w:i/>
                <w:color w:val="000000"/>
              </w:rPr>
              <w:t>[Country]</w:t>
            </w:r>
            <w:r w:rsidR="00BC4072" w:rsidRPr="00762D1F">
              <w:rPr>
                <w:b/>
                <w:i/>
                <w:color w:val="000000"/>
              </w:rPr>
              <w:t xml:space="preserve"> government bonds</w:t>
            </w:r>
          </w:p>
        </w:tc>
        <w:tc>
          <w:tcPr>
            <w:tcW w:w="606" w:type="pct"/>
            <w:vAlign w:val="bottom"/>
          </w:tcPr>
          <w:p w14:paraId="1E9D3521" w14:textId="77777777" w:rsidR="00D83E33" w:rsidRPr="00762D1F" w:rsidRDefault="00D83E33" w:rsidP="001B330E">
            <w:pPr>
              <w:widowControl w:val="0"/>
              <w:pBdr>
                <w:top w:val="nil"/>
                <w:left w:val="nil"/>
                <w:bottom w:val="nil"/>
                <w:right w:val="nil"/>
                <w:between w:val="nil"/>
              </w:pBdr>
              <w:jc w:val="right"/>
              <w:rPr>
                <w:i/>
                <w:color w:val="000000"/>
              </w:rPr>
            </w:pPr>
          </w:p>
        </w:tc>
        <w:tc>
          <w:tcPr>
            <w:tcW w:w="606" w:type="pct"/>
            <w:vAlign w:val="bottom"/>
          </w:tcPr>
          <w:p w14:paraId="100C009E" w14:textId="77777777" w:rsidR="00D83E33" w:rsidRPr="00762D1F" w:rsidRDefault="00D83E33" w:rsidP="001B330E">
            <w:pPr>
              <w:widowControl w:val="0"/>
              <w:pBdr>
                <w:top w:val="nil"/>
                <w:left w:val="nil"/>
                <w:bottom w:val="nil"/>
                <w:right w:val="nil"/>
                <w:between w:val="nil"/>
              </w:pBdr>
              <w:jc w:val="right"/>
              <w:rPr>
                <w:i/>
                <w:color w:val="000000"/>
              </w:rPr>
            </w:pPr>
          </w:p>
        </w:tc>
        <w:tc>
          <w:tcPr>
            <w:tcW w:w="606" w:type="pct"/>
            <w:vAlign w:val="bottom"/>
          </w:tcPr>
          <w:p w14:paraId="378067C5" w14:textId="77777777" w:rsidR="00D83E33" w:rsidRPr="00762D1F" w:rsidRDefault="00D83E33" w:rsidP="001B330E">
            <w:pPr>
              <w:widowControl w:val="0"/>
              <w:pBdr>
                <w:top w:val="nil"/>
                <w:left w:val="nil"/>
                <w:bottom w:val="nil"/>
                <w:right w:val="nil"/>
                <w:between w:val="nil"/>
              </w:pBdr>
              <w:jc w:val="right"/>
              <w:rPr>
                <w:i/>
                <w:color w:val="000000"/>
              </w:rPr>
            </w:pPr>
          </w:p>
        </w:tc>
        <w:tc>
          <w:tcPr>
            <w:tcW w:w="606" w:type="pct"/>
            <w:vAlign w:val="bottom"/>
          </w:tcPr>
          <w:p w14:paraId="5419B726" w14:textId="77777777" w:rsidR="00D83E33" w:rsidRPr="00762D1F" w:rsidRDefault="00D83E33" w:rsidP="001B330E">
            <w:pPr>
              <w:widowControl w:val="0"/>
              <w:pBdr>
                <w:top w:val="nil"/>
                <w:left w:val="nil"/>
                <w:bottom w:val="nil"/>
                <w:right w:val="nil"/>
                <w:between w:val="nil"/>
              </w:pBdr>
              <w:jc w:val="right"/>
              <w:rPr>
                <w:i/>
                <w:color w:val="000000"/>
              </w:rPr>
            </w:pPr>
          </w:p>
        </w:tc>
        <w:tc>
          <w:tcPr>
            <w:tcW w:w="605" w:type="pct"/>
            <w:vAlign w:val="bottom"/>
          </w:tcPr>
          <w:p w14:paraId="79940AB0" w14:textId="77777777" w:rsidR="00D83E33" w:rsidRPr="00762D1F" w:rsidRDefault="00D83E33" w:rsidP="001B330E">
            <w:pPr>
              <w:widowControl w:val="0"/>
              <w:pBdr>
                <w:top w:val="nil"/>
                <w:left w:val="nil"/>
                <w:bottom w:val="nil"/>
                <w:right w:val="nil"/>
                <w:between w:val="nil"/>
              </w:pBdr>
              <w:jc w:val="right"/>
              <w:rPr>
                <w:i/>
                <w:color w:val="000000"/>
              </w:rPr>
            </w:pPr>
          </w:p>
        </w:tc>
      </w:tr>
      <w:tr w:rsidR="00D83E33" w:rsidRPr="00762D1F" w14:paraId="37B3A347" w14:textId="77777777" w:rsidTr="00372E26">
        <w:trPr>
          <w:trHeight w:val="23"/>
        </w:trPr>
        <w:tc>
          <w:tcPr>
            <w:tcW w:w="1971" w:type="pct"/>
            <w:shd w:val="clear" w:color="auto" w:fill="auto"/>
            <w:vAlign w:val="bottom"/>
          </w:tcPr>
          <w:p w14:paraId="04EAEB86"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435A2FC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E78C5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EFF64B5"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36C746B3"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5F01DCB"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8A7EB2E" w14:textId="77777777" w:rsidTr="00372E26">
        <w:trPr>
          <w:trHeight w:val="23"/>
        </w:trPr>
        <w:tc>
          <w:tcPr>
            <w:tcW w:w="1971" w:type="pct"/>
            <w:shd w:val="clear" w:color="auto" w:fill="auto"/>
            <w:vAlign w:val="bottom"/>
          </w:tcPr>
          <w:p w14:paraId="018BACEB"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667569D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6A5F5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8D81958"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5511A2B"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36584E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6EEC246" w14:textId="77777777" w:rsidTr="00372E26">
        <w:trPr>
          <w:trHeight w:val="23"/>
        </w:trPr>
        <w:tc>
          <w:tcPr>
            <w:tcW w:w="1971" w:type="pct"/>
            <w:shd w:val="clear" w:color="auto" w:fill="auto"/>
            <w:vAlign w:val="bottom"/>
          </w:tcPr>
          <w:p w14:paraId="1CF62113"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295F95D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034A7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4BB0E2"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32CDB428"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8852525"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24E9ED8" w14:textId="77777777" w:rsidTr="00372E26">
        <w:trPr>
          <w:trHeight w:val="23"/>
        </w:trPr>
        <w:tc>
          <w:tcPr>
            <w:tcW w:w="1971" w:type="pct"/>
            <w:tcBorders>
              <w:bottom w:val="single" w:sz="4" w:space="0" w:color="000000"/>
            </w:tcBorders>
            <w:shd w:val="clear" w:color="auto" w:fill="auto"/>
            <w:vAlign w:val="bottom"/>
          </w:tcPr>
          <w:p w14:paraId="509FDC5B"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FD5829A"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D0004D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4C797F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81D6DA4"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7C040C0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07C28B6" w14:textId="77777777" w:rsidTr="00372E26">
        <w:trPr>
          <w:trHeight w:val="23"/>
        </w:trPr>
        <w:tc>
          <w:tcPr>
            <w:tcW w:w="1971" w:type="pct"/>
            <w:tcBorders>
              <w:top w:val="single" w:sz="4" w:space="0" w:color="000000"/>
            </w:tcBorders>
            <w:shd w:val="clear" w:color="auto" w:fill="auto"/>
            <w:vAlign w:val="bottom"/>
          </w:tcPr>
          <w:p w14:paraId="5D309BC2"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CD452C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8781B9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2C8643F"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CBABBA6"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62BDA552"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C6A54BE" w14:textId="77777777" w:rsidTr="00372E26">
        <w:trPr>
          <w:trHeight w:val="23"/>
        </w:trPr>
        <w:tc>
          <w:tcPr>
            <w:tcW w:w="1971" w:type="pct"/>
            <w:shd w:val="clear" w:color="auto" w:fill="auto"/>
            <w:vAlign w:val="bottom"/>
          </w:tcPr>
          <w:p w14:paraId="56329380"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xml:space="preserve">Total AC gross carrying amount </w:t>
            </w:r>
          </w:p>
        </w:tc>
        <w:tc>
          <w:tcPr>
            <w:tcW w:w="606" w:type="pct"/>
            <w:vAlign w:val="bottom"/>
          </w:tcPr>
          <w:p w14:paraId="6D5176FB"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694E611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EEF640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DD54FB"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612058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570A1CE" w14:textId="77777777" w:rsidTr="00372E26">
        <w:trPr>
          <w:trHeight w:val="23"/>
        </w:trPr>
        <w:tc>
          <w:tcPr>
            <w:tcW w:w="1971" w:type="pct"/>
            <w:tcBorders>
              <w:bottom w:val="single" w:sz="4" w:space="0" w:color="000000"/>
            </w:tcBorders>
            <w:shd w:val="clear" w:color="auto" w:fill="auto"/>
            <w:vAlign w:val="bottom"/>
          </w:tcPr>
          <w:p w14:paraId="1641FB48"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C51AF2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4BA502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AA0C25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44CD1A8"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72140780"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E41CAE8" w14:textId="77777777" w:rsidTr="00372E26">
        <w:trPr>
          <w:trHeight w:val="23"/>
        </w:trPr>
        <w:tc>
          <w:tcPr>
            <w:tcW w:w="1971" w:type="pct"/>
            <w:tcBorders>
              <w:top w:val="single" w:sz="4" w:space="0" w:color="000000"/>
            </w:tcBorders>
            <w:shd w:val="clear" w:color="auto" w:fill="auto"/>
            <w:vAlign w:val="bottom"/>
          </w:tcPr>
          <w:p w14:paraId="4CFC0951"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BFE4C14"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5B98B6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A26F80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405915C"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4A6637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F8C92CE" w14:textId="77777777" w:rsidTr="00372E26">
        <w:trPr>
          <w:trHeight w:val="23"/>
        </w:trPr>
        <w:tc>
          <w:tcPr>
            <w:tcW w:w="1971" w:type="pct"/>
            <w:shd w:val="clear" w:color="auto" w:fill="auto"/>
            <w:vAlign w:val="bottom"/>
          </w:tcPr>
          <w:p w14:paraId="7D11EC7C"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credit loss allowance</w:t>
            </w:r>
          </w:p>
        </w:tc>
        <w:tc>
          <w:tcPr>
            <w:tcW w:w="606" w:type="pct"/>
            <w:vAlign w:val="bottom"/>
          </w:tcPr>
          <w:p w14:paraId="33AA58D1"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291E28D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125F1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CD67655"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A865C38"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C63E440" w14:textId="77777777" w:rsidTr="00372E26">
        <w:trPr>
          <w:trHeight w:val="23"/>
        </w:trPr>
        <w:tc>
          <w:tcPr>
            <w:tcW w:w="1971" w:type="pct"/>
            <w:shd w:val="clear" w:color="auto" w:fill="auto"/>
            <w:vAlign w:val="bottom"/>
          </w:tcPr>
          <w:p w14:paraId="5EE8C718"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fair value adjustment from AC to FV</w:t>
            </w:r>
          </w:p>
        </w:tc>
        <w:tc>
          <w:tcPr>
            <w:tcW w:w="606" w:type="pct"/>
            <w:vAlign w:val="bottom"/>
          </w:tcPr>
          <w:p w14:paraId="232AD0E4"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3C9C874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BFDACF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E07BB5"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7F6A6A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239F82E" w14:textId="77777777" w:rsidTr="00372E26">
        <w:trPr>
          <w:trHeight w:val="23"/>
        </w:trPr>
        <w:tc>
          <w:tcPr>
            <w:tcW w:w="1971" w:type="pct"/>
            <w:tcBorders>
              <w:bottom w:val="single" w:sz="4" w:space="0" w:color="000000"/>
            </w:tcBorders>
            <w:shd w:val="clear" w:color="auto" w:fill="auto"/>
            <w:vAlign w:val="bottom"/>
          </w:tcPr>
          <w:p w14:paraId="4F38630F"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413D215F"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1361B11"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3B9480B"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60DCB47"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7A3C313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ACEE841" w14:textId="77777777" w:rsidTr="00372E26">
        <w:trPr>
          <w:trHeight w:val="23"/>
        </w:trPr>
        <w:tc>
          <w:tcPr>
            <w:tcW w:w="1971" w:type="pct"/>
            <w:tcBorders>
              <w:top w:val="single" w:sz="4" w:space="0" w:color="000000"/>
            </w:tcBorders>
            <w:shd w:val="clear" w:color="auto" w:fill="auto"/>
            <w:vAlign w:val="bottom"/>
          </w:tcPr>
          <w:p w14:paraId="34F2E2D7"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4F51BC2"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A36D08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3EA5F8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15E7B88"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0B5D59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AD77DD8" w14:textId="77777777" w:rsidTr="00372E26">
        <w:trPr>
          <w:trHeight w:val="23"/>
        </w:trPr>
        <w:tc>
          <w:tcPr>
            <w:tcW w:w="1971" w:type="pct"/>
            <w:shd w:val="clear" w:color="auto" w:fill="auto"/>
            <w:vAlign w:val="bottom"/>
          </w:tcPr>
          <w:p w14:paraId="0EB0D185"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Carrying value (fair value)</w:t>
            </w:r>
          </w:p>
        </w:tc>
        <w:tc>
          <w:tcPr>
            <w:tcW w:w="606" w:type="pct"/>
            <w:vAlign w:val="bottom"/>
          </w:tcPr>
          <w:p w14:paraId="30628EDE"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500FB34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5DF32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45EDC6"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5BF66C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01816E4" w14:textId="77777777" w:rsidTr="00372E26">
        <w:trPr>
          <w:trHeight w:val="23"/>
        </w:trPr>
        <w:tc>
          <w:tcPr>
            <w:tcW w:w="1971" w:type="pct"/>
            <w:tcBorders>
              <w:bottom w:val="single" w:sz="12" w:space="0" w:color="000000"/>
            </w:tcBorders>
            <w:shd w:val="clear" w:color="auto" w:fill="auto"/>
            <w:vAlign w:val="bottom"/>
          </w:tcPr>
          <w:p w14:paraId="6803B897"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71CD6546"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6FB32843"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71C79A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A745B2E"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4CDAC72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83DC527" w14:textId="77777777" w:rsidTr="00372E26">
        <w:trPr>
          <w:trHeight w:val="23"/>
        </w:trPr>
        <w:tc>
          <w:tcPr>
            <w:tcW w:w="1971" w:type="pct"/>
            <w:tcBorders>
              <w:top w:val="single" w:sz="12" w:space="0" w:color="000000"/>
            </w:tcBorders>
            <w:shd w:val="clear" w:color="auto" w:fill="auto"/>
            <w:vAlign w:val="bottom"/>
          </w:tcPr>
          <w:p w14:paraId="2ABDFFDA"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12" w:space="0" w:color="000000"/>
            </w:tcBorders>
            <w:vAlign w:val="bottom"/>
          </w:tcPr>
          <w:p w14:paraId="560D0E8F"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vAlign w:val="bottom"/>
          </w:tcPr>
          <w:p w14:paraId="4DF45EE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32E9FE1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55C686D6"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12" w:space="0" w:color="000000"/>
            </w:tcBorders>
            <w:shd w:val="clear" w:color="auto" w:fill="auto"/>
            <w:vAlign w:val="bottom"/>
          </w:tcPr>
          <w:p w14:paraId="3C2F939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455434E" w14:textId="77777777" w:rsidTr="00372E26">
        <w:trPr>
          <w:trHeight w:val="23"/>
        </w:trPr>
        <w:tc>
          <w:tcPr>
            <w:tcW w:w="1971" w:type="pct"/>
            <w:vAlign w:val="bottom"/>
          </w:tcPr>
          <w:p w14:paraId="44C10C9C" w14:textId="77777777" w:rsidR="00D83E33" w:rsidRPr="00762D1F" w:rsidRDefault="00BC4072">
            <w:pPr>
              <w:widowControl w:val="0"/>
              <w:pBdr>
                <w:top w:val="nil"/>
                <w:left w:val="nil"/>
                <w:bottom w:val="nil"/>
                <w:right w:val="nil"/>
                <w:between w:val="nil"/>
              </w:pBdr>
              <w:ind w:left="113" w:hanging="113"/>
              <w:rPr>
                <w:b/>
                <w:i/>
                <w:color w:val="000000"/>
              </w:rPr>
            </w:pPr>
            <w:r w:rsidRPr="00762D1F">
              <w:rPr>
                <w:b/>
                <w:i/>
                <w:color w:val="000000"/>
              </w:rPr>
              <w:t>Municipal bonds</w:t>
            </w:r>
          </w:p>
        </w:tc>
        <w:tc>
          <w:tcPr>
            <w:tcW w:w="606" w:type="pct"/>
            <w:vAlign w:val="bottom"/>
          </w:tcPr>
          <w:p w14:paraId="3D0D934A" w14:textId="77777777" w:rsidR="00D83E33" w:rsidRPr="00762D1F" w:rsidRDefault="00D83E33" w:rsidP="001B330E">
            <w:pPr>
              <w:widowControl w:val="0"/>
              <w:pBdr>
                <w:top w:val="nil"/>
                <w:left w:val="nil"/>
                <w:bottom w:val="nil"/>
                <w:right w:val="nil"/>
                <w:between w:val="nil"/>
              </w:pBdr>
              <w:jc w:val="right"/>
              <w:rPr>
                <w:b/>
                <w:i/>
                <w:color w:val="000000"/>
              </w:rPr>
            </w:pPr>
          </w:p>
        </w:tc>
        <w:tc>
          <w:tcPr>
            <w:tcW w:w="606" w:type="pct"/>
            <w:vAlign w:val="bottom"/>
          </w:tcPr>
          <w:p w14:paraId="4CD856D2" w14:textId="77777777" w:rsidR="00D83E33" w:rsidRPr="00762D1F" w:rsidRDefault="00D83E33" w:rsidP="001B330E">
            <w:pPr>
              <w:widowControl w:val="0"/>
              <w:pBdr>
                <w:top w:val="nil"/>
                <w:left w:val="nil"/>
                <w:bottom w:val="nil"/>
                <w:right w:val="nil"/>
                <w:between w:val="nil"/>
              </w:pBdr>
              <w:jc w:val="right"/>
              <w:rPr>
                <w:b/>
                <w:i/>
                <w:color w:val="000000"/>
              </w:rPr>
            </w:pPr>
          </w:p>
        </w:tc>
        <w:tc>
          <w:tcPr>
            <w:tcW w:w="606" w:type="pct"/>
            <w:vAlign w:val="bottom"/>
          </w:tcPr>
          <w:p w14:paraId="2287A76F" w14:textId="77777777" w:rsidR="00D83E33" w:rsidRPr="00762D1F" w:rsidRDefault="00D83E33" w:rsidP="001B330E">
            <w:pPr>
              <w:widowControl w:val="0"/>
              <w:pBdr>
                <w:top w:val="nil"/>
                <w:left w:val="nil"/>
                <w:bottom w:val="nil"/>
                <w:right w:val="nil"/>
                <w:between w:val="nil"/>
              </w:pBdr>
              <w:jc w:val="right"/>
              <w:rPr>
                <w:b/>
                <w:i/>
                <w:color w:val="000000"/>
              </w:rPr>
            </w:pPr>
          </w:p>
        </w:tc>
        <w:tc>
          <w:tcPr>
            <w:tcW w:w="606" w:type="pct"/>
            <w:vAlign w:val="bottom"/>
          </w:tcPr>
          <w:p w14:paraId="492F0B71" w14:textId="77777777" w:rsidR="00D83E33" w:rsidRPr="00762D1F" w:rsidRDefault="00D83E33" w:rsidP="001B330E">
            <w:pPr>
              <w:widowControl w:val="0"/>
              <w:pBdr>
                <w:top w:val="nil"/>
                <w:left w:val="nil"/>
                <w:bottom w:val="nil"/>
                <w:right w:val="nil"/>
                <w:between w:val="nil"/>
              </w:pBdr>
              <w:jc w:val="right"/>
              <w:rPr>
                <w:b/>
                <w:i/>
                <w:color w:val="000000"/>
              </w:rPr>
            </w:pPr>
          </w:p>
        </w:tc>
        <w:tc>
          <w:tcPr>
            <w:tcW w:w="605" w:type="pct"/>
            <w:vAlign w:val="bottom"/>
          </w:tcPr>
          <w:p w14:paraId="2CD6B7C8" w14:textId="77777777" w:rsidR="00D83E33" w:rsidRPr="00762D1F" w:rsidRDefault="00D83E33" w:rsidP="001B330E">
            <w:pPr>
              <w:widowControl w:val="0"/>
              <w:pBdr>
                <w:top w:val="nil"/>
                <w:left w:val="nil"/>
                <w:bottom w:val="nil"/>
                <w:right w:val="nil"/>
                <w:between w:val="nil"/>
              </w:pBdr>
              <w:jc w:val="right"/>
              <w:rPr>
                <w:b/>
                <w:i/>
                <w:color w:val="000000"/>
              </w:rPr>
            </w:pPr>
          </w:p>
        </w:tc>
      </w:tr>
      <w:tr w:rsidR="00D83E33" w:rsidRPr="00762D1F" w14:paraId="7E05DC47" w14:textId="77777777" w:rsidTr="00372E26">
        <w:trPr>
          <w:trHeight w:val="23"/>
        </w:trPr>
        <w:tc>
          <w:tcPr>
            <w:tcW w:w="1971" w:type="pct"/>
            <w:shd w:val="clear" w:color="auto" w:fill="auto"/>
            <w:vAlign w:val="bottom"/>
          </w:tcPr>
          <w:p w14:paraId="1603E466"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2E5DE77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855B8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E144234"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3A3C6C4E"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B13B4A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0D194F1" w14:textId="77777777" w:rsidTr="00372E26">
        <w:trPr>
          <w:trHeight w:val="23"/>
        </w:trPr>
        <w:tc>
          <w:tcPr>
            <w:tcW w:w="1971" w:type="pct"/>
            <w:shd w:val="clear" w:color="auto" w:fill="auto"/>
            <w:vAlign w:val="bottom"/>
          </w:tcPr>
          <w:p w14:paraId="41E094CA"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5FB8F31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5337F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496BA72"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557B9EB3"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2841977"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6C54389" w14:textId="77777777" w:rsidTr="00372E26">
        <w:trPr>
          <w:trHeight w:val="23"/>
        </w:trPr>
        <w:tc>
          <w:tcPr>
            <w:tcW w:w="1971" w:type="pct"/>
            <w:shd w:val="clear" w:color="auto" w:fill="auto"/>
            <w:vAlign w:val="bottom"/>
          </w:tcPr>
          <w:p w14:paraId="234BA990"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28B4B2C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3B88B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F870BC"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33097BC5"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DDDF32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CB734CF" w14:textId="77777777" w:rsidTr="00372E26">
        <w:trPr>
          <w:trHeight w:val="23"/>
        </w:trPr>
        <w:tc>
          <w:tcPr>
            <w:tcW w:w="1971" w:type="pct"/>
            <w:shd w:val="clear" w:color="auto" w:fill="auto"/>
            <w:vAlign w:val="bottom"/>
          </w:tcPr>
          <w:p w14:paraId="28BC8CA1"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Special monitoring</w:t>
            </w:r>
          </w:p>
        </w:tc>
        <w:tc>
          <w:tcPr>
            <w:tcW w:w="606" w:type="pct"/>
            <w:shd w:val="clear" w:color="auto" w:fill="auto"/>
            <w:vAlign w:val="bottom"/>
          </w:tcPr>
          <w:p w14:paraId="646BB64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3BDD8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AAECF9F"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1F5FF476"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F32035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8555CC3" w14:textId="77777777" w:rsidTr="00372E26">
        <w:trPr>
          <w:trHeight w:val="23"/>
        </w:trPr>
        <w:tc>
          <w:tcPr>
            <w:tcW w:w="1971" w:type="pct"/>
            <w:shd w:val="clear" w:color="auto" w:fill="auto"/>
            <w:vAlign w:val="bottom"/>
          </w:tcPr>
          <w:p w14:paraId="1B71F458"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Default</w:t>
            </w:r>
          </w:p>
        </w:tc>
        <w:tc>
          <w:tcPr>
            <w:tcW w:w="606" w:type="pct"/>
            <w:shd w:val="clear" w:color="auto" w:fill="auto"/>
            <w:vAlign w:val="bottom"/>
          </w:tcPr>
          <w:p w14:paraId="7DB7934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9A1DA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706A1B"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30A370DD"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92DAD1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4B29F13" w14:textId="77777777" w:rsidTr="00372E26">
        <w:trPr>
          <w:trHeight w:val="23"/>
        </w:trPr>
        <w:tc>
          <w:tcPr>
            <w:tcW w:w="1971" w:type="pct"/>
            <w:tcBorders>
              <w:bottom w:val="single" w:sz="4" w:space="0" w:color="000000"/>
            </w:tcBorders>
            <w:shd w:val="clear" w:color="auto" w:fill="auto"/>
            <w:vAlign w:val="bottom"/>
          </w:tcPr>
          <w:p w14:paraId="3DD47AC8"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B77319C"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6B6F72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4355A7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DDBFD91"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3B9B6D08"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8576CDA" w14:textId="77777777" w:rsidTr="00372E26">
        <w:trPr>
          <w:trHeight w:val="23"/>
        </w:trPr>
        <w:tc>
          <w:tcPr>
            <w:tcW w:w="1971" w:type="pct"/>
            <w:tcBorders>
              <w:top w:val="single" w:sz="4" w:space="0" w:color="000000"/>
            </w:tcBorders>
            <w:shd w:val="clear" w:color="auto" w:fill="auto"/>
            <w:vAlign w:val="bottom"/>
          </w:tcPr>
          <w:p w14:paraId="638D8D91"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87CE292"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A0CCE48"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85298C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3BC684D"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DFA59E5"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5F339BF" w14:textId="77777777" w:rsidTr="00372E26">
        <w:trPr>
          <w:trHeight w:val="23"/>
        </w:trPr>
        <w:tc>
          <w:tcPr>
            <w:tcW w:w="1971" w:type="pct"/>
            <w:shd w:val="clear" w:color="auto" w:fill="auto"/>
            <w:vAlign w:val="bottom"/>
          </w:tcPr>
          <w:p w14:paraId="3CF7A5B0"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Total AC gross carrying amount</w:t>
            </w:r>
          </w:p>
        </w:tc>
        <w:tc>
          <w:tcPr>
            <w:tcW w:w="606" w:type="pct"/>
            <w:vAlign w:val="bottom"/>
          </w:tcPr>
          <w:p w14:paraId="039C1726"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1630C7D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6FAEC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90745D"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3CCE17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DFB06F3" w14:textId="77777777" w:rsidTr="00372E26">
        <w:trPr>
          <w:trHeight w:val="23"/>
        </w:trPr>
        <w:tc>
          <w:tcPr>
            <w:tcW w:w="1971" w:type="pct"/>
            <w:tcBorders>
              <w:bottom w:val="single" w:sz="4" w:space="0" w:color="000000"/>
            </w:tcBorders>
            <w:shd w:val="clear" w:color="auto" w:fill="auto"/>
            <w:vAlign w:val="bottom"/>
          </w:tcPr>
          <w:p w14:paraId="3EFB3D36"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47681EE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075648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29F1B4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CE6A3DA"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5728A97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32BD333" w14:textId="77777777" w:rsidTr="00372E26">
        <w:trPr>
          <w:trHeight w:val="23"/>
        </w:trPr>
        <w:tc>
          <w:tcPr>
            <w:tcW w:w="1971" w:type="pct"/>
            <w:tcBorders>
              <w:top w:val="single" w:sz="4" w:space="0" w:color="000000"/>
            </w:tcBorders>
            <w:shd w:val="clear" w:color="auto" w:fill="auto"/>
            <w:vAlign w:val="bottom"/>
          </w:tcPr>
          <w:p w14:paraId="3246750A"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404D587"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8806E2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20F1E18"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9025A95"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5A59D42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9D5C280" w14:textId="77777777" w:rsidTr="00372E26">
        <w:trPr>
          <w:trHeight w:val="23"/>
        </w:trPr>
        <w:tc>
          <w:tcPr>
            <w:tcW w:w="1971" w:type="pct"/>
            <w:shd w:val="clear" w:color="auto" w:fill="auto"/>
            <w:vAlign w:val="bottom"/>
          </w:tcPr>
          <w:p w14:paraId="035223DF"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credit loss allowance</w:t>
            </w:r>
          </w:p>
        </w:tc>
        <w:tc>
          <w:tcPr>
            <w:tcW w:w="606" w:type="pct"/>
            <w:vAlign w:val="bottom"/>
          </w:tcPr>
          <w:p w14:paraId="0136DB69"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308C03DE"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7D396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0F0DDA"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5932A98"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DBF4E19" w14:textId="77777777" w:rsidTr="00372E26">
        <w:trPr>
          <w:trHeight w:val="23"/>
        </w:trPr>
        <w:tc>
          <w:tcPr>
            <w:tcW w:w="1971" w:type="pct"/>
            <w:shd w:val="clear" w:color="auto" w:fill="auto"/>
            <w:vAlign w:val="bottom"/>
          </w:tcPr>
          <w:p w14:paraId="28939051"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fair value adjustment from AC to FV</w:t>
            </w:r>
          </w:p>
        </w:tc>
        <w:tc>
          <w:tcPr>
            <w:tcW w:w="606" w:type="pct"/>
            <w:vAlign w:val="bottom"/>
          </w:tcPr>
          <w:p w14:paraId="40142D1F"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6113D2D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08CF82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1976F1"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AF4D5E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3007846" w14:textId="77777777" w:rsidTr="00372E26">
        <w:trPr>
          <w:trHeight w:val="23"/>
        </w:trPr>
        <w:tc>
          <w:tcPr>
            <w:tcW w:w="1971" w:type="pct"/>
            <w:tcBorders>
              <w:bottom w:val="single" w:sz="4" w:space="0" w:color="000000"/>
            </w:tcBorders>
            <w:shd w:val="clear" w:color="auto" w:fill="auto"/>
            <w:vAlign w:val="bottom"/>
          </w:tcPr>
          <w:p w14:paraId="7F23D19F"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C2DB7FA"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0F7A50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781A6CC"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3E8C9FC"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3499954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0799C59" w14:textId="77777777" w:rsidTr="00372E26">
        <w:trPr>
          <w:trHeight w:val="23"/>
        </w:trPr>
        <w:tc>
          <w:tcPr>
            <w:tcW w:w="1971" w:type="pct"/>
            <w:tcBorders>
              <w:top w:val="single" w:sz="4" w:space="0" w:color="000000"/>
            </w:tcBorders>
            <w:shd w:val="clear" w:color="auto" w:fill="auto"/>
            <w:vAlign w:val="bottom"/>
          </w:tcPr>
          <w:p w14:paraId="4412C0BD"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E78EC0E"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00493F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AACBA53"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F74F550"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4F4053C"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56A8864" w14:textId="77777777" w:rsidTr="00372E26">
        <w:trPr>
          <w:trHeight w:val="23"/>
        </w:trPr>
        <w:tc>
          <w:tcPr>
            <w:tcW w:w="1971" w:type="pct"/>
            <w:shd w:val="clear" w:color="auto" w:fill="auto"/>
            <w:vAlign w:val="bottom"/>
          </w:tcPr>
          <w:p w14:paraId="346FDC19"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Carrying value (fair value)</w:t>
            </w:r>
          </w:p>
        </w:tc>
        <w:tc>
          <w:tcPr>
            <w:tcW w:w="606" w:type="pct"/>
            <w:vAlign w:val="bottom"/>
          </w:tcPr>
          <w:p w14:paraId="425B75C9"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49C27D8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56984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1BEB41"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81CD6D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C2F6CD5" w14:textId="77777777" w:rsidTr="00372E26">
        <w:trPr>
          <w:trHeight w:val="23"/>
        </w:trPr>
        <w:tc>
          <w:tcPr>
            <w:tcW w:w="1971" w:type="pct"/>
            <w:tcBorders>
              <w:bottom w:val="single" w:sz="12" w:space="0" w:color="000000"/>
            </w:tcBorders>
            <w:shd w:val="clear" w:color="auto" w:fill="auto"/>
            <w:vAlign w:val="bottom"/>
          </w:tcPr>
          <w:p w14:paraId="02FF2419"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1118764D"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27F29AF"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36F1AE2"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86710C4"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14FAFFAE" w14:textId="77777777" w:rsidR="00D83E33" w:rsidRPr="00762D1F" w:rsidRDefault="00D83E33">
            <w:pPr>
              <w:widowControl w:val="0"/>
              <w:pBdr>
                <w:top w:val="nil"/>
                <w:left w:val="nil"/>
                <w:bottom w:val="nil"/>
                <w:right w:val="nil"/>
                <w:between w:val="nil"/>
              </w:pBdr>
              <w:jc w:val="right"/>
              <w:rPr>
                <w:color w:val="000000"/>
              </w:rPr>
            </w:pPr>
          </w:p>
        </w:tc>
      </w:tr>
    </w:tbl>
    <w:p w14:paraId="3AF2BCE2" w14:textId="1F1F01E0" w:rsidR="00D83E33" w:rsidRDefault="00BC4072" w:rsidP="001B330E">
      <w:pPr>
        <w:pStyle w:val="Continued"/>
      </w:pPr>
      <w:r>
        <w:lastRenderedPageBreak/>
        <w:t>9</w:t>
      </w:r>
      <w:r>
        <w:tab/>
        <w:t>Investments in Debt Securities (Continued)</w:t>
      </w:r>
    </w:p>
    <w:tbl>
      <w:tblPr>
        <w:tblStyle w:val="afd"/>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762D1F" w14:paraId="2A7718D8" w14:textId="77777777" w:rsidTr="001B330E">
        <w:trPr>
          <w:trHeight w:val="23"/>
        </w:trPr>
        <w:tc>
          <w:tcPr>
            <w:tcW w:w="1971" w:type="pct"/>
            <w:tcBorders>
              <w:bottom w:val="single" w:sz="4" w:space="0" w:color="000000"/>
            </w:tcBorders>
            <w:shd w:val="clear" w:color="auto" w:fill="auto"/>
            <w:vAlign w:val="bottom"/>
          </w:tcPr>
          <w:p w14:paraId="0D450704" w14:textId="0C267E53" w:rsidR="00D83E33" w:rsidRPr="00762D1F"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2C2AE0EC"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 xml:space="preserve">Stage 1 </w:t>
            </w:r>
          </w:p>
          <w:p w14:paraId="0403879E"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(12-months ECL)</w:t>
            </w:r>
          </w:p>
        </w:tc>
        <w:tc>
          <w:tcPr>
            <w:tcW w:w="606" w:type="pct"/>
            <w:tcBorders>
              <w:bottom w:val="single" w:sz="4" w:space="0" w:color="000000"/>
            </w:tcBorders>
            <w:shd w:val="clear" w:color="auto" w:fill="auto"/>
          </w:tcPr>
          <w:p w14:paraId="16766FA0"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2</w:t>
            </w:r>
          </w:p>
          <w:p w14:paraId="58A4FB94"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 xml:space="preserve">(lifetime ECL for SICR) </w:t>
            </w:r>
          </w:p>
        </w:tc>
        <w:tc>
          <w:tcPr>
            <w:tcW w:w="606" w:type="pct"/>
            <w:tcBorders>
              <w:bottom w:val="single" w:sz="4" w:space="0" w:color="000000"/>
            </w:tcBorders>
            <w:shd w:val="clear" w:color="auto" w:fill="auto"/>
          </w:tcPr>
          <w:p w14:paraId="4C544E48"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3</w:t>
            </w:r>
          </w:p>
          <w:p w14:paraId="594C011D"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(lifetime ECL for credit im-paired)</w:t>
            </w:r>
          </w:p>
        </w:tc>
        <w:tc>
          <w:tcPr>
            <w:tcW w:w="606" w:type="pct"/>
            <w:tcBorders>
              <w:bottom w:val="single" w:sz="4" w:space="0" w:color="000000"/>
            </w:tcBorders>
          </w:tcPr>
          <w:p w14:paraId="53D39106"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POCI</w:t>
            </w:r>
          </w:p>
        </w:tc>
        <w:tc>
          <w:tcPr>
            <w:tcW w:w="606" w:type="pct"/>
            <w:tcBorders>
              <w:bottom w:val="single" w:sz="4" w:space="0" w:color="000000"/>
            </w:tcBorders>
            <w:shd w:val="clear" w:color="auto" w:fill="auto"/>
          </w:tcPr>
          <w:p w14:paraId="766F64B3"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Total</w:t>
            </w:r>
          </w:p>
        </w:tc>
      </w:tr>
      <w:tr w:rsidR="00D83E33" w:rsidRPr="00762D1F" w14:paraId="5AA4A92A" w14:textId="77777777" w:rsidTr="001B330E">
        <w:trPr>
          <w:trHeight w:val="23"/>
        </w:trPr>
        <w:tc>
          <w:tcPr>
            <w:tcW w:w="1971" w:type="pct"/>
            <w:tcBorders>
              <w:top w:val="single" w:sz="4" w:space="0" w:color="000000"/>
            </w:tcBorders>
            <w:shd w:val="clear" w:color="auto" w:fill="auto"/>
            <w:vAlign w:val="bottom"/>
          </w:tcPr>
          <w:p w14:paraId="3600ED03"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C915E0F"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FD25AB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3EEDC38"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D8343F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FD2F24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CEA5952" w14:textId="77777777" w:rsidTr="001B330E">
        <w:trPr>
          <w:trHeight w:val="23"/>
        </w:trPr>
        <w:tc>
          <w:tcPr>
            <w:tcW w:w="1971" w:type="pct"/>
            <w:shd w:val="clear" w:color="auto" w:fill="auto"/>
            <w:vAlign w:val="bottom"/>
          </w:tcPr>
          <w:p w14:paraId="79FA8C57" w14:textId="77777777" w:rsidR="00D83E33" w:rsidRPr="00762D1F" w:rsidRDefault="00BC4072">
            <w:pPr>
              <w:widowControl w:val="0"/>
              <w:pBdr>
                <w:top w:val="nil"/>
                <w:left w:val="nil"/>
                <w:bottom w:val="nil"/>
                <w:right w:val="nil"/>
                <w:between w:val="nil"/>
              </w:pBdr>
              <w:ind w:left="113" w:hanging="113"/>
              <w:rPr>
                <w:b/>
                <w:color w:val="000000"/>
              </w:rPr>
            </w:pPr>
            <w:r w:rsidRPr="00762D1F">
              <w:rPr>
                <w:b/>
                <w:i/>
                <w:color w:val="000000"/>
              </w:rPr>
              <w:t>Corporate bonds</w:t>
            </w:r>
          </w:p>
        </w:tc>
        <w:tc>
          <w:tcPr>
            <w:tcW w:w="606" w:type="pct"/>
            <w:shd w:val="clear" w:color="auto" w:fill="auto"/>
            <w:vAlign w:val="bottom"/>
          </w:tcPr>
          <w:p w14:paraId="1BE6EEE0" w14:textId="77777777" w:rsidR="00D83E33" w:rsidRPr="00762D1F"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0566D83A" w14:textId="77777777" w:rsidR="00D83E33" w:rsidRPr="00762D1F"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5581DC2C" w14:textId="77777777" w:rsidR="00D83E33" w:rsidRPr="00762D1F" w:rsidRDefault="00D83E33">
            <w:pPr>
              <w:widowControl w:val="0"/>
              <w:pBdr>
                <w:top w:val="nil"/>
                <w:left w:val="nil"/>
                <w:bottom w:val="nil"/>
                <w:right w:val="nil"/>
                <w:between w:val="nil"/>
              </w:pBdr>
              <w:jc w:val="right"/>
              <w:rPr>
                <w:b/>
                <w:color w:val="000000"/>
              </w:rPr>
            </w:pPr>
          </w:p>
        </w:tc>
        <w:tc>
          <w:tcPr>
            <w:tcW w:w="606" w:type="pct"/>
            <w:vAlign w:val="bottom"/>
          </w:tcPr>
          <w:p w14:paraId="71E8592D" w14:textId="77777777" w:rsidR="00D83E33" w:rsidRPr="00762D1F"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79B20157" w14:textId="77777777" w:rsidR="00D83E33" w:rsidRPr="00762D1F" w:rsidRDefault="00D83E33">
            <w:pPr>
              <w:widowControl w:val="0"/>
              <w:pBdr>
                <w:top w:val="nil"/>
                <w:left w:val="nil"/>
                <w:bottom w:val="nil"/>
                <w:right w:val="nil"/>
                <w:between w:val="nil"/>
              </w:pBdr>
              <w:jc w:val="right"/>
              <w:rPr>
                <w:b/>
                <w:color w:val="000000"/>
              </w:rPr>
            </w:pPr>
          </w:p>
        </w:tc>
      </w:tr>
      <w:tr w:rsidR="00D83E33" w:rsidRPr="00762D1F" w14:paraId="74BFF7A8" w14:textId="77777777" w:rsidTr="001B330E">
        <w:trPr>
          <w:trHeight w:val="23"/>
        </w:trPr>
        <w:tc>
          <w:tcPr>
            <w:tcW w:w="1971" w:type="pct"/>
            <w:shd w:val="clear" w:color="auto" w:fill="auto"/>
            <w:vAlign w:val="bottom"/>
          </w:tcPr>
          <w:p w14:paraId="05717C3B"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6DB783F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4DFB0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A4688E"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744BD2B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BDFD375"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1329F7A" w14:textId="77777777" w:rsidTr="001B330E">
        <w:trPr>
          <w:trHeight w:val="23"/>
        </w:trPr>
        <w:tc>
          <w:tcPr>
            <w:tcW w:w="1971" w:type="pct"/>
            <w:shd w:val="clear" w:color="auto" w:fill="auto"/>
            <w:vAlign w:val="bottom"/>
          </w:tcPr>
          <w:p w14:paraId="038CE52A"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4F403CE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E6DFA3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C24A03E"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74242E0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B06DBF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94DE86B" w14:textId="77777777" w:rsidTr="001B330E">
        <w:trPr>
          <w:trHeight w:val="23"/>
        </w:trPr>
        <w:tc>
          <w:tcPr>
            <w:tcW w:w="1971" w:type="pct"/>
            <w:shd w:val="clear" w:color="auto" w:fill="auto"/>
            <w:vAlign w:val="bottom"/>
          </w:tcPr>
          <w:p w14:paraId="4E1CDCFE"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4456D5A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24FA8F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12974C"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454330F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B9BB2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258D34B" w14:textId="77777777" w:rsidTr="001B330E">
        <w:trPr>
          <w:trHeight w:val="23"/>
        </w:trPr>
        <w:tc>
          <w:tcPr>
            <w:tcW w:w="1971" w:type="pct"/>
            <w:shd w:val="clear" w:color="auto" w:fill="auto"/>
            <w:vAlign w:val="bottom"/>
          </w:tcPr>
          <w:p w14:paraId="5CDA0026"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Special monitoring</w:t>
            </w:r>
          </w:p>
        </w:tc>
        <w:tc>
          <w:tcPr>
            <w:tcW w:w="606" w:type="pct"/>
            <w:shd w:val="clear" w:color="auto" w:fill="auto"/>
            <w:vAlign w:val="bottom"/>
          </w:tcPr>
          <w:p w14:paraId="3244A33F"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E3781E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27E4DFD"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42828DB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82B4A5"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42D938A" w14:textId="77777777" w:rsidTr="001B330E">
        <w:trPr>
          <w:trHeight w:val="23"/>
        </w:trPr>
        <w:tc>
          <w:tcPr>
            <w:tcW w:w="1971" w:type="pct"/>
            <w:shd w:val="clear" w:color="auto" w:fill="auto"/>
            <w:vAlign w:val="bottom"/>
          </w:tcPr>
          <w:p w14:paraId="44AEA44F"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Default</w:t>
            </w:r>
          </w:p>
        </w:tc>
        <w:tc>
          <w:tcPr>
            <w:tcW w:w="606" w:type="pct"/>
            <w:shd w:val="clear" w:color="auto" w:fill="auto"/>
            <w:vAlign w:val="bottom"/>
          </w:tcPr>
          <w:p w14:paraId="7AE2502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729BFC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7AE5C5A"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7719D19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8A997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779E220" w14:textId="77777777" w:rsidTr="001B330E">
        <w:trPr>
          <w:trHeight w:val="23"/>
        </w:trPr>
        <w:tc>
          <w:tcPr>
            <w:tcW w:w="1971" w:type="pct"/>
            <w:tcBorders>
              <w:bottom w:val="single" w:sz="4" w:space="0" w:color="000000"/>
            </w:tcBorders>
            <w:shd w:val="clear" w:color="auto" w:fill="auto"/>
            <w:vAlign w:val="bottom"/>
          </w:tcPr>
          <w:p w14:paraId="2381E8E8"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49D0C29B"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8C6823B"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27F0E0B"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F4A721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607E21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65713B1" w14:textId="77777777" w:rsidTr="001B330E">
        <w:trPr>
          <w:trHeight w:val="23"/>
        </w:trPr>
        <w:tc>
          <w:tcPr>
            <w:tcW w:w="1971" w:type="pct"/>
            <w:tcBorders>
              <w:top w:val="single" w:sz="4" w:space="0" w:color="000000"/>
            </w:tcBorders>
            <w:shd w:val="clear" w:color="auto" w:fill="auto"/>
            <w:vAlign w:val="bottom"/>
          </w:tcPr>
          <w:p w14:paraId="79E4C7ED"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8D6DB4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5A77A0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50137B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AC2FA7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50E72C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850BA04" w14:textId="77777777" w:rsidTr="001B330E">
        <w:trPr>
          <w:trHeight w:val="23"/>
        </w:trPr>
        <w:tc>
          <w:tcPr>
            <w:tcW w:w="1971" w:type="pct"/>
            <w:shd w:val="clear" w:color="auto" w:fill="auto"/>
            <w:vAlign w:val="bottom"/>
          </w:tcPr>
          <w:p w14:paraId="259B3263"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Total AC gross carrying amount</w:t>
            </w:r>
          </w:p>
        </w:tc>
        <w:tc>
          <w:tcPr>
            <w:tcW w:w="606" w:type="pct"/>
            <w:vAlign w:val="bottom"/>
          </w:tcPr>
          <w:p w14:paraId="4DE8C593"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75F0686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E2F72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2FD5F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2FBC1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AE8B171" w14:textId="77777777" w:rsidTr="001B330E">
        <w:trPr>
          <w:trHeight w:val="23"/>
        </w:trPr>
        <w:tc>
          <w:tcPr>
            <w:tcW w:w="1971" w:type="pct"/>
            <w:tcBorders>
              <w:bottom w:val="single" w:sz="4" w:space="0" w:color="000000"/>
            </w:tcBorders>
            <w:shd w:val="clear" w:color="auto" w:fill="auto"/>
            <w:vAlign w:val="bottom"/>
          </w:tcPr>
          <w:p w14:paraId="7BFD139A"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6E5E738"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CE414F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504A4A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E2DE74C"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20F2AC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A8D70A1" w14:textId="77777777" w:rsidTr="001B330E">
        <w:trPr>
          <w:trHeight w:val="23"/>
        </w:trPr>
        <w:tc>
          <w:tcPr>
            <w:tcW w:w="1971" w:type="pct"/>
            <w:tcBorders>
              <w:top w:val="single" w:sz="4" w:space="0" w:color="000000"/>
            </w:tcBorders>
            <w:shd w:val="clear" w:color="auto" w:fill="auto"/>
            <w:vAlign w:val="bottom"/>
          </w:tcPr>
          <w:p w14:paraId="0BEC08C8"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9199421"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554AE0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CA4F5B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F737001"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A9CC062"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BB75975" w14:textId="77777777" w:rsidTr="001B330E">
        <w:trPr>
          <w:trHeight w:val="23"/>
        </w:trPr>
        <w:tc>
          <w:tcPr>
            <w:tcW w:w="1971" w:type="pct"/>
            <w:shd w:val="clear" w:color="auto" w:fill="auto"/>
            <w:vAlign w:val="bottom"/>
          </w:tcPr>
          <w:p w14:paraId="3F26A216"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credit loss allowance</w:t>
            </w:r>
          </w:p>
        </w:tc>
        <w:tc>
          <w:tcPr>
            <w:tcW w:w="606" w:type="pct"/>
            <w:vAlign w:val="bottom"/>
          </w:tcPr>
          <w:p w14:paraId="4824F86A"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4D5ACCD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71B8F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D09EB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649510"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36DCB7D" w14:textId="77777777" w:rsidTr="001B330E">
        <w:trPr>
          <w:trHeight w:val="23"/>
        </w:trPr>
        <w:tc>
          <w:tcPr>
            <w:tcW w:w="1971" w:type="pct"/>
            <w:shd w:val="clear" w:color="auto" w:fill="auto"/>
            <w:vAlign w:val="bottom"/>
          </w:tcPr>
          <w:p w14:paraId="53EFC4C1"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fair value adjustment from AC to FV</w:t>
            </w:r>
          </w:p>
        </w:tc>
        <w:tc>
          <w:tcPr>
            <w:tcW w:w="606" w:type="pct"/>
            <w:vAlign w:val="bottom"/>
          </w:tcPr>
          <w:p w14:paraId="305C057E"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554B836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CFCA49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43FC9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3E19B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802F0C2" w14:textId="77777777" w:rsidTr="001B330E">
        <w:trPr>
          <w:trHeight w:val="23"/>
        </w:trPr>
        <w:tc>
          <w:tcPr>
            <w:tcW w:w="1971" w:type="pct"/>
            <w:tcBorders>
              <w:bottom w:val="single" w:sz="4" w:space="0" w:color="000000"/>
            </w:tcBorders>
            <w:shd w:val="clear" w:color="auto" w:fill="auto"/>
            <w:vAlign w:val="bottom"/>
          </w:tcPr>
          <w:p w14:paraId="762448DB"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90C0094"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C7F13E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22B01C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6EFCAA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83DDAE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700F865" w14:textId="77777777" w:rsidTr="001B330E">
        <w:trPr>
          <w:trHeight w:val="23"/>
        </w:trPr>
        <w:tc>
          <w:tcPr>
            <w:tcW w:w="1971" w:type="pct"/>
            <w:tcBorders>
              <w:top w:val="single" w:sz="4" w:space="0" w:color="000000"/>
            </w:tcBorders>
            <w:shd w:val="clear" w:color="auto" w:fill="auto"/>
            <w:vAlign w:val="bottom"/>
          </w:tcPr>
          <w:p w14:paraId="23DB289B"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9B18BF7"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B534B6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580DC53"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B914C8C"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0325C05"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3EDECCC" w14:textId="77777777" w:rsidTr="001B330E">
        <w:trPr>
          <w:trHeight w:val="23"/>
        </w:trPr>
        <w:tc>
          <w:tcPr>
            <w:tcW w:w="1971" w:type="pct"/>
            <w:shd w:val="clear" w:color="auto" w:fill="auto"/>
            <w:vAlign w:val="bottom"/>
          </w:tcPr>
          <w:p w14:paraId="1B460699"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Carrying value (fair value)</w:t>
            </w:r>
          </w:p>
        </w:tc>
        <w:tc>
          <w:tcPr>
            <w:tcW w:w="606" w:type="pct"/>
            <w:vAlign w:val="bottom"/>
          </w:tcPr>
          <w:p w14:paraId="6877CF21"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575223FE"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3B9C8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F14F1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6743A4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4178884" w14:textId="77777777" w:rsidTr="001B330E">
        <w:trPr>
          <w:trHeight w:val="23"/>
        </w:trPr>
        <w:tc>
          <w:tcPr>
            <w:tcW w:w="1971" w:type="pct"/>
            <w:tcBorders>
              <w:bottom w:val="single" w:sz="12" w:space="0" w:color="000000"/>
            </w:tcBorders>
            <w:shd w:val="clear" w:color="auto" w:fill="auto"/>
            <w:vAlign w:val="bottom"/>
          </w:tcPr>
          <w:p w14:paraId="39A230F1" w14:textId="77777777" w:rsidR="00D83E33" w:rsidRPr="00762D1F" w:rsidRDefault="00D83E33">
            <w:pPr>
              <w:widowControl w:val="0"/>
              <w:pBdr>
                <w:top w:val="nil"/>
                <w:left w:val="nil"/>
                <w:bottom w:val="nil"/>
                <w:right w:val="nil"/>
                <w:between w:val="nil"/>
              </w:pBdr>
              <w:ind w:left="113" w:hanging="113"/>
              <w:rPr>
                <w:b/>
                <w:color w:val="000000"/>
              </w:rPr>
            </w:pPr>
          </w:p>
        </w:tc>
        <w:tc>
          <w:tcPr>
            <w:tcW w:w="606" w:type="pct"/>
            <w:tcBorders>
              <w:bottom w:val="single" w:sz="12" w:space="0" w:color="000000"/>
            </w:tcBorders>
            <w:vAlign w:val="bottom"/>
          </w:tcPr>
          <w:p w14:paraId="1E3C576F" w14:textId="77777777" w:rsidR="00D83E33" w:rsidRPr="00762D1F" w:rsidRDefault="00D83E33" w:rsidP="001B330E">
            <w:pPr>
              <w:widowControl w:val="0"/>
              <w:pBdr>
                <w:top w:val="nil"/>
                <w:left w:val="nil"/>
                <w:bottom w:val="nil"/>
                <w:right w:val="nil"/>
                <w:between w:val="nil"/>
              </w:pBdr>
              <w:jc w:val="right"/>
              <w:rPr>
                <w:b/>
                <w:color w:val="000000"/>
              </w:rPr>
            </w:pPr>
          </w:p>
        </w:tc>
        <w:tc>
          <w:tcPr>
            <w:tcW w:w="606" w:type="pct"/>
            <w:tcBorders>
              <w:bottom w:val="single" w:sz="12" w:space="0" w:color="000000"/>
            </w:tcBorders>
            <w:vAlign w:val="bottom"/>
          </w:tcPr>
          <w:p w14:paraId="0BF2F48D" w14:textId="77777777" w:rsidR="00D83E33" w:rsidRPr="00762D1F" w:rsidRDefault="00D83E33">
            <w:pPr>
              <w:widowControl w:val="0"/>
              <w:pBdr>
                <w:top w:val="nil"/>
                <w:left w:val="nil"/>
                <w:bottom w:val="nil"/>
                <w:right w:val="nil"/>
                <w:between w:val="nil"/>
              </w:pBdr>
              <w:jc w:val="right"/>
              <w:rPr>
                <w:b/>
                <w:color w:val="000000"/>
              </w:rPr>
            </w:pPr>
          </w:p>
        </w:tc>
        <w:tc>
          <w:tcPr>
            <w:tcW w:w="606" w:type="pct"/>
            <w:tcBorders>
              <w:bottom w:val="single" w:sz="12" w:space="0" w:color="000000"/>
            </w:tcBorders>
            <w:shd w:val="clear" w:color="auto" w:fill="auto"/>
            <w:vAlign w:val="bottom"/>
          </w:tcPr>
          <w:p w14:paraId="029C73AF" w14:textId="77777777" w:rsidR="00D83E33" w:rsidRPr="00762D1F" w:rsidRDefault="00D83E33">
            <w:pPr>
              <w:widowControl w:val="0"/>
              <w:pBdr>
                <w:top w:val="nil"/>
                <w:left w:val="nil"/>
                <w:bottom w:val="nil"/>
                <w:right w:val="nil"/>
                <w:between w:val="nil"/>
              </w:pBdr>
              <w:jc w:val="right"/>
              <w:rPr>
                <w:b/>
                <w:color w:val="000000"/>
              </w:rPr>
            </w:pPr>
          </w:p>
        </w:tc>
        <w:tc>
          <w:tcPr>
            <w:tcW w:w="606" w:type="pct"/>
            <w:tcBorders>
              <w:bottom w:val="single" w:sz="12" w:space="0" w:color="000000"/>
            </w:tcBorders>
            <w:shd w:val="clear" w:color="auto" w:fill="auto"/>
            <w:vAlign w:val="bottom"/>
          </w:tcPr>
          <w:p w14:paraId="470EA55D" w14:textId="77777777" w:rsidR="00D83E33" w:rsidRPr="00762D1F" w:rsidRDefault="00D83E33">
            <w:pPr>
              <w:widowControl w:val="0"/>
              <w:pBdr>
                <w:top w:val="nil"/>
                <w:left w:val="nil"/>
                <w:bottom w:val="nil"/>
                <w:right w:val="nil"/>
                <w:between w:val="nil"/>
              </w:pBdr>
              <w:jc w:val="right"/>
              <w:rPr>
                <w:b/>
                <w:color w:val="000000"/>
              </w:rPr>
            </w:pPr>
          </w:p>
        </w:tc>
        <w:tc>
          <w:tcPr>
            <w:tcW w:w="606" w:type="pct"/>
            <w:tcBorders>
              <w:bottom w:val="single" w:sz="12" w:space="0" w:color="000000"/>
            </w:tcBorders>
            <w:shd w:val="clear" w:color="auto" w:fill="auto"/>
            <w:vAlign w:val="bottom"/>
          </w:tcPr>
          <w:p w14:paraId="17EAC1BF" w14:textId="77777777" w:rsidR="00D83E33" w:rsidRPr="00762D1F" w:rsidRDefault="00D83E33">
            <w:pPr>
              <w:widowControl w:val="0"/>
              <w:pBdr>
                <w:top w:val="nil"/>
                <w:left w:val="nil"/>
                <w:bottom w:val="nil"/>
                <w:right w:val="nil"/>
                <w:between w:val="nil"/>
              </w:pBdr>
              <w:jc w:val="right"/>
              <w:rPr>
                <w:b/>
                <w:color w:val="000000"/>
              </w:rPr>
            </w:pPr>
          </w:p>
        </w:tc>
      </w:tr>
      <w:tr w:rsidR="00D83E33" w:rsidRPr="00762D1F" w14:paraId="6403C144" w14:textId="77777777" w:rsidTr="001B330E">
        <w:trPr>
          <w:trHeight w:val="23"/>
        </w:trPr>
        <w:tc>
          <w:tcPr>
            <w:tcW w:w="1971" w:type="pct"/>
            <w:vAlign w:val="bottom"/>
          </w:tcPr>
          <w:p w14:paraId="35DCF869" w14:textId="77777777" w:rsidR="00D83E33" w:rsidRPr="001B330E" w:rsidRDefault="00D83E33" w:rsidP="001B330E">
            <w:pPr>
              <w:widowControl w:val="0"/>
              <w:pBdr>
                <w:top w:val="nil"/>
                <w:left w:val="nil"/>
                <w:bottom w:val="nil"/>
                <w:right w:val="nil"/>
                <w:between w:val="nil"/>
              </w:pBdr>
              <w:ind w:left="113" w:hanging="113"/>
              <w:rPr>
                <w:b/>
                <w:i/>
                <w:color w:val="000000"/>
                <w:szCs w:val="12"/>
              </w:rPr>
            </w:pPr>
          </w:p>
          <w:p w14:paraId="7932A06B" w14:textId="2FA7810E" w:rsidR="00D83E33" w:rsidRPr="00762D1F" w:rsidRDefault="00BC4072" w:rsidP="001B330E">
            <w:pPr>
              <w:widowControl w:val="0"/>
              <w:pBdr>
                <w:top w:val="nil"/>
                <w:left w:val="nil"/>
                <w:bottom w:val="nil"/>
                <w:right w:val="nil"/>
                <w:between w:val="nil"/>
              </w:pBdr>
              <w:ind w:left="113" w:hanging="113"/>
              <w:rPr>
                <w:b/>
                <w:i/>
                <w:color w:val="000000"/>
              </w:rPr>
            </w:pPr>
            <w:r w:rsidRPr="00762D1F">
              <w:rPr>
                <w:b/>
                <w:i/>
                <w:color w:val="000000"/>
              </w:rPr>
              <w:t xml:space="preserve">Promissory notes </w:t>
            </w:r>
          </w:p>
        </w:tc>
        <w:tc>
          <w:tcPr>
            <w:tcW w:w="606" w:type="pct"/>
            <w:vAlign w:val="bottom"/>
          </w:tcPr>
          <w:p w14:paraId="264125A1" w14:textId="77777777" w:rsidR="00D83E33" w:rsidRPr="00762D1F" w:rsidRDefault="00D83E33" w:rsidP="001B330E">
            <w:pPr>
              <w:widowControl w:val="0"/>
              <w:pBdr>
                <w:top w:val="nil"/>
                <w:left w:val="nil"/>
                <w:bottom w:val="nil"/>
                <w:right w:val="nil"/>
                <w:between w:val="nil"/>
              </w:pBdr>
              <w:jc w:val="right"/>
              <w:rPr>
                <w:b/>
                <w:i/>
                <w:color w:val="000000"/>
              </w:rPr>
            </w:pPr>
          </w:p>
        </w:tc>
        <w:tc>
          <w:tcPr>
            <w:tcW w:w="606" w:type="pct"/>
            <w:vAlign w:val="bottom"/>
          </w:tcPr>
          <w:p w14:paraId="2C4D559A" w14:textId="77777777" w:rsidR="00D83E33" w:rsidRPr="00762D1F" w:rsidRDefault="00D83E33" w:rsidP="001B330E">
            <w:pPr>
              <w:widowControl w:val="0"/>
              <w:pBdr>
                <w:top w:val="nil"/>
                <w:left w:val="nil"/>
                <w:bottom w:val="nil"/>
                <w:right w:val="nil"/>
                <w:between w:val="nil"/>
              </w:pBdr>
              <w:jc w:val="right"/>
              <w:rPr>
                <w:b/>
                <w:i/>
                <w:color w:val="000000"/>
              </w:rPr>
            </w:pPr>
          </w:p>
        </w:tc>
        <w:tc>
          <w:tcPr>
            <w:tcW w:w="606" w:type="pct"/>
            <w:vAlign w:val="bottom"/>
          </w:tcPr>
          <w:p w14:paraId="2DD9ACB2" w14:textId="77777777" w:rsidR="00D83E33" w:rsidRPr="00762D1F" w:rsidRDefault="00D83E33" w:rsidP="001B330E">
            <w:pPr>
              <w:widowControl w:val="0"/>
              <w:pBdr>
                <w:top w:val="nil"/>
                <w:left w:val="nil"/>
                <w:bottom w:val="nil"/>
                <w:right w:val="nil"/>
                <w:between w:val="nil"/>
              </w:pBdr>
              <w:jc w:val="right"/>
              <w:rPr>
                <w:b/>
                <w:i/>
                <w:color w:val="000000"/>
              </w:rPr>
            </w:pPr>
          </w:p>
        </w:tc>
        <w:tc>
          <w:tcPr>
            <w:tcW w:w="606" w:type="pct"/>
            <w:vAlign w:val="bottom"/>
          </w:tcPr>
          <w:p w14:paraId="12C2E18A" w14:textId="77777777" w:rsidR="00D83E33" w:rsidRPr="00762D1F" w:rsidRDefault="00D83E33" w:rsidP="001B330E">
            <w:pPr>
              <w:widowControl w:val="0"/>
              <w:pBdr>
                <w:top w:val="nil"/>
                <w:left w:val="nil"/>
                <w:bottom w:val="nil"/>
                <w:right w:val="nil"/>
                <w:between w:val="nil"/>
              </w:pBdr>
              <w:jc w:val="right"/>
              <w:rPr>
                <w:b/>
                <w:i/>
                <w:color w:val="000000"/>
              </w:rPr>
            </w:pPr>
          </w:p>
        </w:tc>
        <w:tc>
          <w:tcPr>
            <w:tcW w:w="606" w:type="pct"/>
            <w:vAlign w:val="bottom"/>
          </w:tcPr>
          <w:p w14:paraId="59531970" w14:textId="77777777" w:rsidR="00D83E33" w:rsidRPr="00762D1F" w:rsidRDefault="00D83E33" w:rsidP="001B330E">
            <w:pPr>
              <w:widowControl w:val="0"/>
              <w:pBdr>
                <w:top w:val="nil"/>
                <w:left w:val="nil"/>
                <w:bottom w:val="nil"/>
                <w:right w:val="nil"/>
                <w:between w:val="nil"/>
              </w:pBdr>
              <w:jc w:val="right"/>
              <w:rPr>
                <w:b/>
                <w:i/>
                <w:color w:val="000000"/>
              </w:rPr>
            </w:pPr>
          </w:p>
        </w:tc>
      </w:tr>
      <w:tr w:rsidR="00D83E33" w:rsidRPr="00762D1F" w14:paraId="17846E06" w14:textId="77777777" w:rsidTr="001B330E">
        <w:trPr>
          <w:trHeight w:val="23"/>
        </w:trPr>
        <w:tc>
          <w:tcPr>
            <w:tcW w:w="1971" w:type="pct"/>
            <w:shd w:val="clear" w:color="auto" w:fill="auto"/>
            <w:vAlign w:val="bottom"/>
          </w:tcPr>
          <w:p w14:paraId="7F1A36E6"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2BB916A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6A703A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44B2C2"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668A64D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64C487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D5B59C5" w14:textId="77777777" w:rsidTr="001B330E">
        <w:trPr>
          <w:trHeight w:val="23"/>
        </w:trPr>
        <w:tc>
          <w:tcPr>
            <w:tcW w:w="1971" w:type="pct"/>
            <w:shd w:val="clear" w:color="auto" w:fill="auto"/>
            <w:vAlign w:val="bottom"/>
          </w:tcPr>
          <w:p w14:paraId="4E7D9486"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42B7C94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B242A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4B4A710"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7179DDD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B40507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DB8E801" w14:textId="77777777" w:rsidTr="001B330E">
        <w:trPr>
          <w:trHeight w:val="23"/>
        </w:trPr>
        <w:tc>
          <w:tcPr>
            <w:tcW w:w="1971" w:type="pct"/>
            <w:shd w:val="clear" w:color="auto" w:fill="auto"/>
            <w:vAlign w:val="bottom"/>
          </w:tcPr>
          <w:p w14:paraId="548F9622"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237F7FB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D52DEB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366FB7"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6688E8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430C315"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FB19D6A" w14:textId="77777777" w:rsidTr="001B330E">
        <w:trPr>
          <w:trHeight w:val="23"/>
        </w:trPr>
        <w:tc>
          <w:tcPr>
            <w:tcW w:w="1971" w:type="pct"/>
            <w:shd w:val="clear" w:color="auto" w:fill="auto"/>
            <w:vAlign w:val="bottom"/>
          </w:tcPr>
          <w:p w14:paraId="09A92D15"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Special monitoring</w:t>
            </w:r>
          </w:p>
        </w:tc>
        <w:tc>
          <w:tcPr>
            <w:tcW w:w="606" w:type="pct"/>
            <w:shd w:val="clear" w:color="auto" w:fill="auto"/>
            <w:vAlign w:val="bottom"/>
          </w:tcPr>
          <w:p w14:paraId="3A33336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946E54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FD6DB38"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40A4A19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D7610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DFC9003" w14:textId="77777777" w:rsidTr="001B330E">
        <w:trPr>
          <w:trHeight w:val="23"/>
        </w:trPr>
        <w:tc>
          <w:tcPr>
            <w:tcW w:w="1971" w:type="pct"/>
            <w:shd w:val="clear" w:color="auto" w:fill="auto"/>
            <w:vAlign w:val="bottom"/>
          </w:tcPr>
          <w:p w14:paraId="2BF09F82"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Default</w:t>
            </w:r>
          </w:p>
        </w:tc>
        <w:tc>
          <w:tcPr>
            <w:tcW w:w="606" w:type="pct"/>
            <w:shd w:val="clear" w:color="auto" w:fill="auto"/>
            <w:vAlign w:val="bottom"/>
          </w:tcPr>
          <w:p w14:paraId="49241A5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1251F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DF67F2"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7BA3620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F408A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6FFCE45" w14:textId="77777777" w:rsidTr="001B330E">
        <w:trPr>
          <w:trHeight w:val="23"/>
        </w:trPr>
        <w:tc>
          <w:tcPr>
            <w:tcW w:w="1971" w:type="pct"/>
            <w:tcBorders>
              <w:bottom w:val="single" w:sz="4" w:space="0" w:color="000000"/>
            </w:tcBorders>
            <w:shd w:val="clear" w:color="auto" w:fill="auto"/>
            <w:vAlign w:val="bottom"/>
          </w:tcPr>
          <w:p w14:paraId="1D2D966A"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78F0136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2D247D41"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6BE5FAC1"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70D1BDA3"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39651C6A" w14:textId="77777777" w:rsidR="00D83E33" w:rsidRPr="001B330E" w:rsidRDefault="00D83E33">
            <w:pPr>
              <w:widowControl w:val="0"/>
              <w:pBdr>
                <w:top w:val="nil"/>
                <w:left w:val="nil"/>
                <w:bottom w:val="nil"/>
                <w:right w:val="nil"/>
                <w:between w:val="nil"/>
              </w:pBdr>
              <w:jc w:val="right"/>
              <w:rPr>
                <w:color w:val="000000"/>
                <w:szCs w:val="12"/>
              </w:rPr>
            </w:pPr>
          </w:p>
        </w:tc>
      </w:tr>
      <w:tr w:rsidR="00D83E33" w:rsidRPr="00762D1F" w14:paraId="0A9F2848" w14:textId="77777777" w:rsidTr="001B330E">
        <w:trPr>
          <w:trHeight w:val="23"/>
        </w:trPr>
        <w:tc>
          <w:tcPr>
            <w:tcW w:w="1971" w:type="pct"/>
            <w:tcBorders>
              <w:top w:val="single" w:sz="4" w:space="0" w:color="000000"/>
            </w:tcBorders>
            <w:shd w:val="clear" w:color="auto" w:fill="auto"/>
            <w:vAlign w:val="bottom"/>
          </w:tcPr>
          <w:p w14:paraId="4E991D02"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62FABDF3"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48560684"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2744DDBB"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17FB185E"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16E281ED" w14:textId="77777777" w:rsidR="00D83E33" w:rsidRPr="001B330E" w:rsidRDefault="00D83E33">
            <w:pPr>
              <w:widowControl w:val="0"/>
              <w:pBdr>
                <w:top w:val="nil"/>
                <w:left w:val="nil"/>
                <w:bottom w:val="nil"/>
                <w:right w:val="nil"/>
                <w:between w:val="nil"/>
              </w:pBdr>
              <w:jc w:val="right"/>
              <w:rPr>
                <w:color w:val="000000"/>
                <w:szCs w:val="12"/>
              </w:rPr>
            </w:pPr>
          </w:p>
        </w:tc>
      </w:tr>
      <w:tr w:rsidR="00D83E33" w:rsidRPr="00762D1F" w14:paraId="41F0E13E" w14:textId="77777777" w:rsidTr="001B330E">
        <w:trPr>
          <w:trHeight w:val="23"/>
        </w:trPr>
        <w:tc>
          <w:tcPr>
            <w:tcW w:w="1971" w:type="pct"/>
            <w:shd w:val="clear" w:color="auto" w:fill="auto"/>
            <w:vAlign w:val="bottom"/>
          </w:tcPr>
          <w:p w14:paraId="16D91B10"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Total AC gross carrying amount</w:t>
            </w:r>
          </w:p>
        </w:tc>
        <w:tc>
          <w:tcPr>
            <w:tcW w:w="606" w:type="pct"/>
            <w:vAlign w:val="bottom"/>
          </w:tcPr>
          <w:p w14:paraId="21F0048A"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FEADFC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9881C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B6B17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CC3E33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119BA0D" w14:textId="77777777" w:rsidTr="001B330E">
        <w:trPr>
          <w:trHeight w:val="23"/>
        </w:trPr>
        <w:tc>
          <w:tcPr>
            <w:tcW w:w="1971" w:type="pct"/>
            <w:tcBorders>
              <w:bottom w:val="single" w:sz="4" w:space="0" w:color="000000"/>
            </w:tcBorders>
            <w:shd w:val="clear" w:color="auto" w:fill="auto"/>
            <w:vAlign w:val="bottom"/>
          </w:tcPr>
          <w:p w14:paraId="50FDD1B4"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3462B97D"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4A72B4BF"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2D8CD00A"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0E15E282"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789F44A7" w14:textId="77777777" w:rsidR="00D83E33" w:rsidRPr="001B330E" w:rsidRDefault="00D83E33">
            <w:pPr>
              <w:widowControl w:val="0"/>
              <w:pBdr>
                <w:top w:val="nil"/>
                <w:left w:val="nil"/>
                <w:bottom w:val="nil"/>
                <w:right w:val="nil"/>
                <w:between w:val="nil"/>
              </w:pBdr>
              <w:jc w:val="right"/>
              <w:rPr>
                <w:color w:val="000000"/>
                <w:szCs w:val="12"/>
              </w:rPr>
            </w:pPr>
          </w:p>
        </w:tc>
      </w:tr>
      <w:tr w:rsidR="00D83E33" w:rsidRPr="00762D1F" w14:paraId="1E8AE48C" w14:textId="77777777" w:rsidTr="001B330E">
        <w:trPr>
          <w:trHeight w:val="23"/>
        </w:trPr>
        <w:tc>
          <w:tcPr>
            <w:tcW w:w="1971" w:type="pct"/>
            <w:tcBorders>
              <w:top w:val="single" w:sz="4" w:space="0" w:color="000000"/>
            </w:tcBorders>
            <w:shd w:val="clear" w:color="auto" w:fill="auto"/>
            <w:vAlign w:val="bottom"/>
          </w:tcPr>
          <w:p w14:paraId="2303301C"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4C595C2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1B31A7BA"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5AFC56B2"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1D96D97C"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3F223653" w14:textId="77777777" w:rsidR="00D83E33" w:rsidRPr="001B330E" w:rsidRDefault="00D83E33">
            <w:pPr>
              <w:widowControl w:val="0"/>
              <w:pBdr>
                <w:top w:val="nil"/>
                <w:left w:val="nil"/>
                <w:bottom w:val="nil"/>
                <w:right w:val="nil"/>
                <w:between w:val="nil"/>
              </w:pBdr>
              <w:jc w:val="right"/>
              <w:rPr>
                <w:color w:val="000000"/>
                <w:szCs w:val="12"/>
              </w:rPr>
            </w:pPr>
          </w:p>
        </w:tc>
      </w:tr>
      <w:tr w:rsidR="00D83E33" w:rsidRPr="00762D1F" w14:paraId="5761EEAB" w14:textId="77777777" w:rsidTr="001B330E">
        <w:trPr>
          <w:trHeight w:val="23"/>
        </w:trPr>
        <w:tc>
          <w:tcPr>
            <w:tcW w:w="1971" w:type="pct"/>
            <w:shd w:val="clear" w:color="auto" w:fill="auto"/>
            <w:vAlign w:val="bottom"/>
          </w:tcPr>
          <w:p w14:paraId="516E92E5"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credit loss allowance</w:t>
            </w:r>
          </w:p>
        </w:tc>
        <w:tc>
          <w:tcPr>
            <w:tcW w:w="606" w:type="pct"/>
            <w:vAlign w:val="bottom"/>
          </w:tcPr>
          <w:p w14:paraId="1A063256"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7AC5CA3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0EC341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0973D8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2068D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508B9B7" w14:textId="77777777" w:rsidTr="001B330E">
        <w:trPr>
          <w:trHeight w:val="23"/>
        </w:trPr>
        <w:tc>
          <w:tcPr>
            <w:tcW w:w="1971" w:type="pct"/>
            <w:shd w:val="clear" w:color="auto" w:fill="auto"/>
            <w:vAlign w:val="bottom"/>
          </w:tcPr>
          <w:p w14:paraId="630E00AB"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Less fair value adjustment from AC to FV</w:t>
            </w:r>
          </w:p>
        </w:tc>
        <w:tc>
          <w:tcPr>
            <w:tcW w:w="606" w:type="pct"/>
            <w:vAlign w:val="bottom"/>
          </w:tcPr>
          <w:p w14:paraId="2B3C8533"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4BCED0A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26F89F"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1CCBD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DC40BE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22BDC89" w14:textId="77777777" w:rsidTr="001B330E">
        <w:trPr>
          <w:trHeight w:val="23"/>
        </w:trPr>
        <w:tc>
          <w:tcPr>
            <w:tcW w:w="1971" w:type="pct"/>
            <w:tcBorders>
              <w:bottom w:val="single" w:sz="4" w:space="0" w:color="000000"/>
            </w:tcBorders>
            <w:shd w:val="clear" w:color="auto" w:fill="auto"/>
            <w:vAlign w:val="bottom"/>
          </w:tcPr>
          <w:p w14:paraId="0AC96871"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BB86B0C"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CEFADD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1EBC12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C5ED98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DCBE56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06BAFB0" w14:textId="77777777" w:rsidTr="001B330E">
        <w:trPr>
          <w:trHeight w:val="23"/>
        </w:trPr>
        <w:tc>
          <w:tcPr>
            <w:tcW w:w="1971" w:type="pct"/>
            <w:tcBorders>
              <w:top w:val="single" w:sz="4" w:space="0" w:color="000000"/>
            </w:tcBorders>
            <w:shd w:val="clear" w:color="auto" w:fill="auto"/>
            <w:vAlign w:val="bottom"/>
          </w:tcPr>
          <w:p w14:paraId="57B837E1"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14490D9"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E75B411"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489C4D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451760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42A938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177B4CB" w14:textId="77777777" w:rsidTr="001B330E">
        <w:trPr>
          <w:trHeight w:val="23"/>
        </w:trPr>
        <w:tc>
          <w:tcPr>
            <w:tcW w:w="1971" w:type="pct"/>
            <w:shd w:val="clear" w:color="auto" w:fill="auto"/>
            <w:vAlign w:val="bottom"/>
          </w:tcPr>
          <w:p w14:paraId="2E3FCB81"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Carrying value (fair value)</w:t>
            </w:r>
          </w:p>
        </w:tc>
        <w:tc>
          <w:tcPr>
            <w:tcW w:w="606" w:type="pct"/>
            <w:vAlign w:val="bottom"/>
          </w:tcPr>
          <w:p w14:paraId="606EE229"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18E737F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5B600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8040E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0463BF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1F24A77" w14:textId="77777777" w:rsidTr="001B330E">
        <w:trPr>
          <w:trHeight w:val="23"/>
        </w:trPr>
        <w:tc>
          <w:tcPr>
            <w:tcW w:w="1971" w:type="pct"/>
            <w:tcBorders>
              <w:bottom w:val="single" w:sz="12" w:space="0" w:color="000000"/>
            </w:tcBorders>
            <w:shd w:val="clear" w:color="auto" w:fill="auto"/>
            <w:vAlign w:val="bottom"/>
          </w:tcPr>
          <w:p w14:paraId="785FBAF7"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06" w:type="pct"/>
            <w:tcBorders>
              <w:bottom w:val="single" w:sz="12" w:space="0" w:color="000000"/>
            </w:tcBorders>
            <w:vAlign w:val="bottom"/>
          </w:tcPr>
          <w:p w14:paraId="0B94932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vAlign w:val="bottom"/>
          </w:tcPr>
          <w:p w14:paraId="5DDE686E"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38592A50"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4FB91D8C"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0BAF5F93" w14:textId="77777777" w:rsidR="00D83E33" w:rsidRPr="001B330E" w:rsidRDefault="00D83E33">
            <w:pPr>
              <w:widowControl w:val="0"/>
              <w:pBdr>
                <w:top w:val="nil"/>
                <w:left w:val="nil"/>
                <w:bottom w:val="nil"/>
                <w:right w:val="nil"/>
                <w:between w:val="nil"/>
              </w:pBdr>
              <w:jc w:val="right"/>
              <w:rPr>
                <w:color w:val="000000"/>
                <w:szCs w:val="12"/>
              </w:rPr>
            </w:pPr>
          </w:p>
        </w:tc>
      </w:tr>
      <w:tr w:rsidR="00D83E33" w:rsidRPr="00762D1F" w14:paraId="1E222761" w14:textId="77777777" w:rsidTr="001B330E">
        <w:trPr>
          <w:trHeight w:val="23"/>
        </w:trPr>
        <w:tc>
          <w:tcPr>
            <w:tcW w:w="1971" w:type="pct"/>
            <w:tcBorders>
              <w:top w:val="single" w:sz="12" w:space="0" w:color="000000"/>
            </w:tcBorders>
            <w:shd w:val="clear" w:color="auto" w:fill="auto"/>
            <w:vAlign w:val="bottom"/>
          </w:tcPr>
          <w:p w14:paraId="271F9CAF"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06" w:type="pct"/>
            <w:tcBorders>
              <w:top w:val="single" w:sz="12" w:space="0" w:color="000000"/>
            </w:tcBorders>
            <w:vAlign w:val="bottom"/>
          </w:tcPr>
          <w:p w14:paraId="02CABD2B"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12" w:space="0" w:color="000000"/>
            </w:tcBorders>
            <w:vAlign w:val="bottom"/>
          </w:tcPr>
          <w:p w14:paraId="36C7DB0F"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12" w:space="0" w:color="000000"/>
            </w:tcBorders>
            <w:shd w:val="clear" w:color="auto" w:fill="auto"/>
            <w:vAlign w:val="bottom"/>
          </w:tcPr>
          <w:p w14:paraId="2C2BB062"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12" w:space="0" w:color="000000"/>
            </w:tcBorders>
            <w:shd w:val="clear" w:color="auto" w:fill="auto"/>
            <w:vAlign w:val="bottom"/>
          </w:tcPr>
          <w:p w14:paraId="231A7998"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top w:val="single" w:sz="12" w:space="0" w:color="000000"/>
            </w:tcBorders>
            <w:shd w:val="clear" w:color="auto" w:fill="auto"/>
            <w:vAlign w:val="bottom"/>
          </w:tcPr>
          <w:p w14:paraId="49B77577" w14:textId="77777777" w:rsidR="00D83E33" w:rsidRPr="001B330E" w:rsidRDefault="00D83E33">
            <w:pPr>
              <w:widowControl w:val="0"/>
              <w:pBdr>
                <w:top w:val="nil"/>
                <w:left w:val="nil"/>
                <w:bottom w:val="nil"/>
                <w:right w:val="nil"/>
                <w:between w:val="nil"/>
              </w:pBdr>
              <w:jc w:val="right"/>
              <w:rPr>
                <w:color w:val="000000"/>
                <w:szCs w:val="12"/>
              </w:rPr>
            </w:pPr>
          </w:p>
        </w:tc>
      </w:tr>
      <w:tr w:rsidR="00D83E33" w:rsidRPr="00762D1F" w14:paraId="477951CD" w14:textId="77777777" w:rsidTr="001B330E">
        <w:trPr>
          <w:trHeight w:val="23"/>
        </w:trPr>
        <w:tc>
          <w:tcPr>
            <w:tcW w:w="1971" w:type="pct"/>
            <w:shd w:val="clear" w:color="auto" w:fill="auto"/>
            <w:vAlign w:val="bottom"/>
          </w:tcPr>
          <w:p w14:paraId="1F4D8337"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Total investments in debt securities measured at FVOCI (fair value)</w:t>
            </w:r>
          </w:p>
        </w:tc>
        <w:tc>
          <w:tcPr>
            <w:tcW w:w="606" w:type="pct"/>
            <w:shd w:val="clear" w:color="auto" w:fill="auto"/>
            <w:vAlign w:val="bottom"/>
          </w:tcPr>
          <w:p w14:paraId="7BAF99B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A7E46F"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F33497"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4E355C8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02B4815"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7A717CE" w14:textId="77777777" w:rsidTr="001B330E">
        <w:trPr>
          <w:trHeight w:val="23"/>
        </w:trPr>
        <w:tc>
          <w:tcPr>
            <w:tcW w:w="1971" w:type="pct"/>
            <w:tcBorders>
              <w:bottom w:val="single" w:sz="12" w:space="0" w:color="000000"/>
            </w:tcBorders>
            <w:shd w:val="clear" w:color="auto" w:fill="auto"/>
            <w:vAlign w:val="bottom"/>
          </w:tcPr>
          <w:p w14:paraId="14440F33" w14:textId="77777777" w:rsidR="00D83E33" w:rsidRPr="001B330E" w:rsidRDefault="00D83E33">
            <w:pPr>
              <w:widowControl w:val="0"/>
              <w:pBdr>
                <w:top w:val="nil"/>
                <w:left w:val="nil"/>
                <w:bottom w:val="nil"/>
                <w:right w:val="nil"/>
                <w:between w:val="nil"/>
              </w:pBdr>
              <w:ind w:left="113" w:hanging="113"/>
              <w:rPr>
                <w:color w:val="000000"/>
                <w:szCs w:val="12"/>
              </w:rPr>
            </w:pPr>
          </w:p>
        </w:tc>
        <w:tc>
          <w:tcPr>
            <w:tcW w:w="606" w:type="pct"/>
            <w:tcBorders>
              <w:bottom w:val="single" w:sz="12" w:space="0" w:color="000000"/>
            </w:tcBorders>
            <w:shd w:val="clear" w:color="auto" w:fill="auto"/>
            <w:vAlign w:val="bottom"/>
          </w:tcPr>
          <w:p w14:paraId="1207D652"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51B5C382"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451A2326"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12" w:space="0" w:color="000000"/>
            </w:tcBorders>
            <w:vAlign w:val="bottom"/>
          </w:tcPr>
          <w:p w14:paraId="16C3493E" w14:textId="77777777" w:rsidR="00D83E33" w:rsidRPr="001B330E" w:rsidRDefault="00D83E33">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5CDD7A3B" w14:textId="77777777" w:rsidR="00D83E33" w:rsidRPr="001B330E" w:rsidRDefault="00D83E33">
            <w:pPr>
              <w:widowControl w:val="0"/>
              <w:pBdr>
                <w:top w:val="nil"/>
                <w:left w:val="nil"/>
                <w:bottom w:val="nil"/>
                <w:right w:val="nil"/>
                <w:between w:val="nil"/>
              </w:pBdr>
              <w:jc w:val="right"/>
              <w:rPr>
                <w:color w:val="000000"/>
                <w:szCs w:val="12"/>
              </w:rPr>
            </w:pPr>
          </w:p>
        </w:tc>
      </w:tr>
    </w:tbl>
    <w:p w14:paraId="204902AB" w14:textId="480EC8F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debt securities at FVOCI are not collateralised. </w:t>
      </w:r>
      <w:r>
        <w:rPr>
          <w:i/>
          <w:color w:val="FF0000"/>
          <w:sz w:val="20"/>
          <w:szCs w:val="20"/>
        </w:rPr>
        <w:t xml:space="preserve">[Otherwise disclose information about collateral as in Note 11 on loans and advances.] </w:t>
      </w:r>
    </w:p>
    <w:p w14:paraId="2BF822E1" w14:textId="164E023F" w:rsidR="00D83E33" w:rsidRDefault="00BC4072">
      <w:pPr>
        <w:widowControl w:val="0"/>
        <w:pBdr>
          <w:top w:val="nil"/>
          <w:left w:val="nil"/>
          <w:bottom w:val="nil"/>
          <w:right w:val="nil"/>
          <w:between w:val="nil"/>
        </w:pBdr>
        <w:spacing w:before="200" w:after="200"/>
        <w:jc w:val="both"/>
        <w:rPr>
          <w:color w:val="FF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debt securities at FVOCI with a carrying value of </w:t>
      </w:r>
      <w:r w:rsidR="00D73799">
        <w:rPr>
          <w:color w:val="000000"/>
          <w:sz w:val="20"/>
          <w:szCs w:val="20"/>
        </w:rPr>
        <w:t>EUR</w:t>
      </w:r>
      <w:r>
        <w:rPr>
          <w:color w:val="000000"/>
          <w:sz w:val="20"/>
          <w:szCs w:val="20"/>
        </w:rPr>
        <w:t> ____ thousand have been pledged to third parties as collateral with respect to term placements of other banks and other borrowed funds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Refer to Notes 21 and 24. The counterparty is not allowed to sell further or repledge the investments. </w:t>
      </w:r>
      <w:r>
        <w:rPr>
          <w:i/>
          <w:color w:val="FF0000"/>
          <w:sz w:val="20"/>
          <w:szCs w:val="20"/>
        </w:rPr>
        <w:t>[Otherwise reclassify as required by IFRS 9.3.2.23(a)]</w:t>
      </w:r>
      <w:r>
        <w:rPr>
          <w:color w:val="FF0000"/>
          <w:sz w:val="20"/>
          <w:szCs w:val="20"/>
        </w:rPr>
        <w:t>.</w:t>
      </w:r>
    </w:p>
    <w:p w14:paraId="75E5A7F3" w14:textId="702B002F" w:rsidR="00D83E33" w:rsidRDefault="00BC4072" w:rsidP="001B330E">
      <w:pPr>
        <w:pStyle w:val="Continued"/>
      </w:pPr>
      <w:r>
        <w:lastRenderedPageBreak/>
        <w:t>9</w:t>
      </w:r>
      <w:r>
        <w:tab/>
        <w:t>Investments in Debt Securities (Continued)</w:t>
      </w:r>
    </w:p>
    <w:p w14:paraId="0669012E" w14:textId="6943C69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w:t>
      </w:r>
      <w:r w:rsidR="00800884">
        <w:rPr>
          <w:color w:val="000000"/>
          <w:sz w:val="20"/>
          <w:szCs w:val="20"/>
        </w:rPr>
        <w:t>carrying</w:t>
      </w:r>
      <w:r>
        <w:rPr>
          <w:color w:val="000000"/>
          <w:sz w:val="20"/>
          <w:szCs w:val="20"/>
        </w:rPr>
        <w:t xml:space="preserve"> amount of </w:t>
      </w:r>
      <w:r w:rsidR="00800884">
        <w:rPr>
          <w:color w:val="0000FF"/>
          <w:sz w:val="20"/>
          <w:szCs w:val="20"/>
        </w:rPr>
        <w:t>[</w:t>
      </w:r>
      <w:r w:rsidR="00372E26">
        <w:rPr>
          <w:color w:val="0000FF"/>
          <w:sz w:val="20"/>
          <w:szCs w:val="20"/>
        </w:rPr>
        <w:t>[Country]</w:t>
      </w:r>
      <w:r w:rsidR="00800884">
        <w:rPr>
          <w:color w:val="0000FF"/>
          <w:sz w:val="20"/>
          <w:szCs w:val="20"/>
        </w:rPr>
        <w:t xml:space="preserve"> government bonds at FVOCI]</w:t>
      </w:r>
      <w:r>
        <w:rPr>
          <w:color w:val="000000"/>
          <w:sz w:val="20"/>
          <w:szCs w:val="20"/>
        </w:rPr>
        <w:t xml:space="preserve"> were as follows</w:t>
      </w:r>
      <w:r w:rsidR="00C32E7C">
        <w:rPr>
          <w:color w:val="000000"/>
          <w:sz w:val="20"/>
          <w:szCs w:val="20"/>
        </w:rPr>
        <w:t>:</w:t>
      </w:r>
      <w:r>
        <w:rPr>
          <w:color w:val="000000"/>
          <w:sz w:val="20"/>
          <w:szCs w:val="20"/>
        </w:rPr>
        <w:t xml:space="preserve"> </w:t>
      </w:r>
    </w:p>
    <w:tbl>
      <w:tblPr>
        <w:tblStyle w:val="afe"/>
        <w:tblW w:w="5000" w:type="pct"/>
        <w:tblLayout w:type="fixed"/>
        <w:tblLook w:val="0000" w:firstRow="0" w:lastRow="0" w:firstColumn="0" w:lastColumn="0" w:noHBand="0" w:noVBand="0"/>
      </w:tblPr>
      <w:tblGrid>
        <w:gridCol w:w="2798"/>
        <w:gridCol w:w="883"/>
        <w:gridCol w:w="911"/>
        <w:gridCol w:w="891"/>
        <w:gridCol w:w="593"/>
        <w:gridCol w:w="906"/>
        <w:gridCol w:w="891"/>
        <w:gridCol w:w="891"/>
        <w:gridCol w:w="591"/>
      </w:tblGrid>
      <w:tr w:rsidR="005041C2" w:rsidRPr="00762D1F" w14:paraId="28C4583B" w14:textId="77777777" w:rsidTr="001B330E">
        <w:trPr>
          <w:trHeight w:val="23"/>
        </w:trPr>
        <w:tc>
          <w:tcPr>
            <w:tcW w:w="1496" w:type="pct"/>
            <w:shd w:val="clear" w:color="auto" w:fill="auto"/>
            <w:vAlign w:val="bottom"/>
          </w:tcPr>
          <w:p w14:paraId="055EE468" w14:textId="77777777" w:rsidR="005041C2" w:rsidRPr="00762D1F" w:rsidRDefault="005041C2">
            <w:pPr>
              <w:widowControl w:val="0"/>
              <w:pBdr>
                <w:top w:val="nil"/>
                <w:left w:val="nil"/>
                <w:bottom w:val="nil"/>
                <w:right w:val="nil"/>
                <w:between w:val="nil"/>
              </w:pBdr>
              <w:ind w:left="113" w:hanging="113"/>
              <w:rPr>
                <w:i/>
                <w:color w:val="000000"/>
              </w:rPr>
            </w:pPr>
          </w:p>
        </w:tc>
        <w:tc>
          <w:tcPr>
            <w:tcW w:w="1752" w:type="pct"/>
            <w:gridSpan w:val="4"/>
            <w:tcBorders>
              <w:bottom w:val="single" w:sz="4" w:space="0" w:color="000000"/>
            </w:tcBorders>
            <w:shd w:val="clear" w:color="auto" w:fill="auto"/>
          </w:tcPr>
          <w:p w14:paraId="246D2115" w14:textId="77777777" w:rsidR="005041C2" w:rsidRPr="00762D1F" w:rsidRDefault="005041C2" w:rsidP="001B330E">
            <w:pPr>
              <w:widowControl w:val="0"/>
              <w:pBdr>
                <w:top w:val="nil"/>
                <w:left w:val="nil"/>
                <w:bottom w:val="nil"/>
                <w:right w:val="nil"/>
                <w:between w:val="nil"/>
              </w:pBdr>
              <w:tabs>
                <w:tab w:val="left" w:pos="3182"/>
              </w:tabs>
              <w:jc w:val="center"/>
              <w:rPr>
                <w:b/>
                <w:color w:val="000000"/>
              </w:rPr>
            </w:pPr>
            <w:r w:rsidRPr="00762D1F">
              <w:rPr>
                <w:b/>
                <w:color w:val="000000"/>
              </w:rPr>
              <w:t>Credit loss allowance</w:t>
            </w:r>
          </w:p>
        </w:tc>
        <w:tc>
          <w:tcPr>
            <w:tcW w:w="1752" w:type="pct"/>
            <w:gridSpan w:val="4"/>
            <w:tcBorders>
              <w:bottom w:val="single" w:sz="4" w:space="0" w:color="000000"/>
            </w:tcBorders>
          </w:tcPr>
          <w:p w14:paraId="145F581F" w14:textId="77777777" w:rsidR="005041C2" w:rsidRPr="00762D1F" w:rsidRDefault="005041C2" w:rsidP="001B330E">
            <w:pPr>
              <w:widowControl w:val="0"/>
              <w:pBdr>
                <w:top w:val="nil"/>
                <w:left w:val="nil"/>
                <w:bottom w:val="nil"/>
                <w:right w:val="nil"/>
                <w:between w:val="nil"/>
              </w:pBdr>
              <w:jc w:val="center"/>
              <w:rPr>
                <w:b/>
                <w:color w:val="000000"/>
              </w:rPr>
            </w:pPr>
            <w:r w:rsidRPr="00762D1F">
              <w:rPr>
                <w:b/>
                <w:color w:val="000000"/>
              </w:rPr>
              <w:t>Gross carrying amount</w:t>
            </w:r>
          </w:p>
        </w:tc>
      </w:tr>
      <w:tr w:rsidR="00762D1F" w:rsidRPr="00762D1F" w14:paraId="7C13CB0E" w14:textId="77777777" w:rsidTr="001B330E">
        <w:trPr>
          <w:trHeight w:val="23"/>
        </w:trPr>
        <w:tc>
          <w:tcPr>
            <w:tcW w:w="1496" w:type="pct"/>
            <w:tcBorders>
              <w:bottom w:val="single" w:sz="4" w:space="0" w:color="000000"/>
            </w:tcBorders>
            <w:shd w:val="clear" w:color="auto" w:fill="auto"/>
            <w:vAlign w:val="bottom"/>
          </w:tcPr>
          <w:p w14:paraId="0F79A767" w14:textId="77777777" w:rsidR="005041C2" w:rsidRPr="00762D1F" w:rsidRDefault="005041C2">
            <w:pPr>
              <w:widowControl w:val="0"/>
              <w:pBdr>
                <w:top w:val="nil"/>
                <w:left w:val="nil"/>
                <w:bottom w:val="nil"/>
                <w:right w:val="nil"/>
                <w:between w:val="nil"/>
              </w:pBdr>
              <w:ind w:left="113" w:hanging="113"/>
              <w:rPr>
                <w:i/>
                <w:color w:val="000000"/>
              </w:rPr>
            </w:pPr>
          </w:p>
          <w:p w14:paraId="4917D756" w14:textId="6CC1EDC9" w:rsidR="005041C2" w:rsidRPr="00762D1F"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472" w:type="pct"/>
            <w:tcBorders>
              <w:top w:val="single" w:sz="4" w:space="0" w:color="000000"/>
              <w:bottom w:val="single" w:sz="4" w:space="0" w:color="000000"/>
            </w:tcBorders>
            <w:shd w:val="clear" w:color="auto" w:fill="auto"/>
          </w:tcPr>
          <w:p w14:paraId="32ACCB92"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Stage 1</w:t>
            </w:r>
          </w:p>
          <w:p w14:paraId="2A0A64E6" w14:textId="77777777" w:rsidR="005041C2" w:rsidRPr="00762D1F" w:rsidRDefault="005041C2" w:rsidP="001B330E">
            <w:pPr>
              <w:widowControl w:val="0"/>
              <w:pBdr>
                <w:top w:val="nil"/>
                <w:left w:val="nil"/>
                <w:bottom w:val="nil"/>
                <w:right w:val="nil"/>
                <w:between w:val="nil"/>
              </w:pBdr>
              <w:ind w:firstLine="142"/>
              <w:jc w:val="right"/>
              <w:rPr>
                <w:b/>
                <w:color w:val="000000"/>
              </w:rPr>
            </w:pPr>
            <w:r w:rsidRPr="00762D1F">
              <w:rPr>
                <w:b/>
                <w:color w:val="000000"/>
              </w:rPr>
              <w:t>(12-months ECL)</w:t>
            </w:r>
          </w:p>
        </w:tc>
        <w:tc>
          <w:tcPr>
            <w:tcW w:w="487" w:type="pct"/>
            <w:tcBorders>
              <w:top w:val="single" w:sz="4" w:space="0" w:color="000000"/>
              <w:bottom w:val="single" w:sz="4" w:space="0" w:color="000000"/>
            </w:tcBorders>
            <w:shd w:val="clear" w:color="auto" w:fill="auto"/>
          </w:tcPr>
          <w:p w14:paraId="6BCDA29E"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Stage 2</w:t>
            </w:r>
          </w:p>
          <w:p w14:paraId="4AE48A26" w14:textId="3FDCF964"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(lifetime ECL for SICR)</w:t>
            </w:r>
          </w:p>
        </w:tc>
        <w:tc>
          <w:tcPr>
            <w:tcW w:w="476" w:type="pct"/>
            <w:tcBorders>
              <w:top w:val="single" w:sz="4" w:space="0" w:color="000000"/>
              <w:bottom w:val="single" w:sz="4" w:space="0" w:color="000000"/>
            </w:tcBorders>
            <w:shd w:val="clear" w:color="auto" w:fill="auto"/>
          </w:tcPr>
          <w:p w14:paraId="3C94AC4C"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Stage 3</w:t>
            </w:r>
          </w:p>
          <w:p w14:paraId="2EA2A6F1"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(lifetime ECL for credit im-paired)</w:t>
            </w:r>
          </w:p>
        </w:tc>
        <w:tc>
          <w:tcPr>
            <w:tcW w:w="317" w:type="pct"/>
            <w:tcBorders>
              <w:top w:val="single" w:sz="4" w:space="0" w:color="000000"/>
              <w:bottom w:val="single" w:sz="4" w:space="0" w:color="000000"/>
            </w:tcBorders>
            <w:shd w:val="clear" w:color="auto" w:fill="auto"/>
          </w:tcPr>
          <w:p w14:paraId="30EB4265"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Total</w:t>
            </w:r>
          </w:p>
        </w:tc>
        <w:tc>
          <w:tcPr>
            <w:tcW w:w="484" w:type="pct"/>
            <w:tcBorders>
              <w:top w:val="single" w:sz="4" w:space="0" w:color="000000"/>
              <w:bottom w:val="single" w:sz="4" w:space="0" w:color="000000"/>
            </w:tcBorders>
          </w:tcPr>
          <w:p w14:paraId="6F6450C3"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Stage 1</w:t>
            </w:r>
          </w:p>
          <w:p w14:paraId="767B2E71"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(12-months ECL)</w:t>
            </w:r>
          </w:p>
        </w:tc>
        <w:tc>
          <w:tcPr>
            <w:tcW w:w="476" w:type="pct"/>
            <w:tcBorders>
              <w:top w:val="single" w:sz="4" w:space="0" w:color="000000"/>
              <w:bottom w:val="single" w:sz="4" w:space="0" w:color="000000"/>
            </w:tcBorders>
          </w:tcPr>
          <w:p w14:paraId="6EB18A93"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Stage 2</w:t>
            </w:r>
          </w:p>
          <w:p w14:paraId="2C1E2E67" w14:textId="1B5839B6"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(lifetime ECL for SICR)</w:t>
            </w:r>
          </w:p>
        </w:tc>
        <w:tc>
          <w:tcPr>
            <w:tcW w:w="476" w:type="pct"/>
            <w:tcBorders>
              <w:top w:val="single" w:sz="4" w:space="0" w:color="000000"/>
              <w:bottom w:val="single" w:sz="4" w:space="0" w:color="000000"/>
            </w:tcBorders>
          </w:tcPr>
          <w:p w14:paraId="1CE6E8C8"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Stage 3</w:t>
            </w:r>
          </w:p>
          <w:p w14:paraId="617CFF72"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(lifetime ECL for credit im-paired)</w:t>
            </w:r>
          </w:p>
        </w:tc>
        <w:tc>
          <w:tcPr>
            <w:tcW w:w="316" w:type="pct"/>
            <w:tcBorders>
              <w:top w:val="single" w:sz="4" w:space="0" w:color="000000"/>
              <w:bottom w:val="single" w:sz="4" w:space="0" w:color="000000"/>
            </w:tcBorders>
            <w:shd w:val="clear" w:color="auto" w:fill="auto"/>
          </w:tcPr>
          <w:p w14:paraId="13609A80" w14:textId="77777777" w:rsidR="005041C2" w:rsidRPr="00762D1F" w:rsidRDefault="005041C2" w:rsidP="001B330E">
            <w:pPr>
              <w:widowControl w:val="0"/>
              <w:pBdr>
                <w:top w:val="nil"/>
                <w:left w:val="nil"/>
                <w:bottom w:val="nil"/>
                <w:right w:val="nil"/>
                <w:between w:val="nil"/>
              </w:pBdr>
              <w:jc w:val="right"/>
              <w:rPr>
                <w:b/>
                <w:color w:val="000000"/>
              </w:rPr>
            </w:pPr>
            <w:r w:rsidRPr="00762D1F">
              <w:rPr>
                <w:b/>
                <w:color w:val="000000"/>
              </w:rPr>
              <w:t>Total</w:t>
            </w:r>
          </w:p>
        </w:tc>
      </w:tr>
      <w:tr w:rsidR="00762D1F" w:rsidRPr="00762D1F" w14:paraId="2285A448" w14:textId="77777777" w:rsidTr="00762D1F">
        <w:trPr>
          <w:trHeight w:val="23"/>
        </w:trPr>
        <w:tc>
          <w:tcPr>
            <w:tcW w:w="1496" w:type="pct"/>
            <w:shd w:val="clear" w:color="auto" w:fill="auto"/>
            <w:vAlign w:val="bottom"/>
          </w:tcPr>
          <w:p w14:paraId="1E61DEE2" w14:textId="77777777" w:rsidR="005041C2" w:rsidRPr="00762D1F" w:rsidRDefault="005041C2">
            <w:pPr>
              <w:widowControl w:val="0"/>
              <w:ind w:left="113" w:hanging="113"/>
            </w:pPr>
          </w:p>
        </w:tc>
        <w:tc>
          <w:tcPr>
            <w:tcW w:w="472" w:type="pct"/>
            <w:shd w:val="clear" w:color="auto" w:fill="auto"/>
            <w:vAlign w:val="bottom"/>
          </w:tcPr>
          <w:p w14:paraId="2BB05540" w14:textId="77777777" w:rsidR="005041C2" w:rsidRPr="00762D1F" w:rsidRDefault="005041C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26C3473A"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2C9040C8" w14:textId="77777777" w:rsidR="005041C2" w:rsidRPr="00762D1F" w:rsidRDefault="005041C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351201CA"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111797F9"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512DF2DD"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6ACAE618"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04EA1072"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26B47320" w14:textId="77777777" w:rsidTr="00762D1F">
        <w:trPr>
          <w:trHeight w:val="23"/>
        </w:trPr>
        <w:tc>
          <w:tcPr>
            <w:tcW w:w="1496" w:type="pct"/>
            <w:shd w:val="clear" w:color="auto" w:fill="auto"/>
            <w:vAlign w:val="bottom"/>
          </w:tcPr>
          <w:p w14:paraId="7BFC20D7" w14:textId="68263D9C" w:rsidR="005041C2" w:rsidRPr="00372E26" w:rsidRDefault="001F77EE">
            <w:pPr>
              <w:widowControl w:val="0"/>
              <w:pBdr>
                <w:top w:val="nil"/>
                <w:left w:val="nil"/>
                <w:bottom w:val="nil"/>
                <w:right w:val="nil"/>
                <w:between w:val="nil"/>
              </w:pBdr>
              <w:ind w:left="113" w:hanging="113"/>
              <w:rPr>
                <w:b/>
                <w:i/>
                <w:color w:val="0000FF"/>
              </w:rPr>
            </w:pPr>
            <w:r w:rsidRPr="00372E26">
              <w:rPr>
                <w:b/>
                <w:i/>
                <w:color w:val="0000FF"/>
              </w:rPr>
              <w:t>[</w:t>
            </w:r>
            <w:r w:rsidR="00372E26">
              <w:rPr>
                <w:b/>
                <w:i/>
                <w:color w:val="0000FF"/>
              </w:rPr>
              <w:t>[Country]</w:t>
            </w:r>
            <w:r w:rsidR="005041C2" w:rsidRPr="00372E26">
              <w:rPr>
                <w:b/>
                <w:i/>
                <w:color w:val="0000FF"/>
              </w:rPr>
              <w:t xml:space="preserve"> government bonds</w:t>
            </w:r>
            <w:r w:rsidRPr="00372E26">
              <w:rPr>
                <w:b/>
                <w:i/>
                <w:color w:val="0000FF"/>
              </w:rPr>
              <w:t>]</w:t>
            </w:r>
          </w:p>
        </w:tc>
        <w:tc>
          <w:tcPr>
            <w:tcW w:w="472" w:type="pct"/>
            <w:shd w:val="clear" w:color="auto" w:fill="auto"/>
            <w:vAlign w:val="bottom"/>
          </w:tcPr>
          <w:p w14:paraId="1284CB46"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0B76F6F4"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6DEC9CCB"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294813C1"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770677A8"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4E2969E2"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25CFD4B3"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311FA973"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07BC352F" w14:textId="77777777" w:rsidTr="00762D1F">
        <w:trPr>
          <w:trHeight w:val="23"/>
        </w:trPr>
        <w:tc>
          <w:tcPr>
            <w:tcW w:w="1496" w:type="pct"/>
            <w:shd w:val="clear" w:color="auto" w:fill="auto"/>
            <w:vAlign w:val="bottom"/>
          </w:tcPr>
          <w:p w14:paraId="73B15E00" w14:textId="77777777" w:rsidR="005041C2" w:rsidRPr="00762D1F" w:rsidRDefault="005041C2">
            <w:pPr>
              <w:widowControl w:val="0"/>
              <w:pBdr>
                <w:top w:val="nil"/>
                <w:left w:val="nil"/>
                <w:bottom w:val="nil"/>
                <w:right w:val="nil"/>
                <w:between w:val="nil"/>
              </w:pBdr>
              <w:ind w:left="113" w:hanging="113"/>
              <w:rPr>
                <w:b/>
                <w:i/>
                <w:color w:val="000000"/>
              </w:rPr>
            </w:pPr>
          </w:p>
        </w:tc>
        <w:tc>
          <w:tcPr>
            <w:tcW w:w="472" w:type="pct"/>
            <w:shd w:val="clear" w:color="auto" w:fill="auto"/>
            <w:vAlign w:val="bottom"/>
          </w:tcPr>
          <w:p w14:paraId="76701BDC"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45E9BC7C"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2F0BABD"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5838A865"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0D6299A2"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1AAC8849"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67F52758"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42F3381B"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211CF629" w14:textId="77777777" w:rsidTr="00762D1F">
        <w:trPr>
          <w:trHeight w:val="23"/>
        </w:trPr>
        <w:tc>
          <w:tcPr>
            <w:tcW w:w="1496" w:type="pct"/>
            <w:shd w:val="clear" w:color="auto" w:fill="auto"/>
            <w:vAlign w:val="bottom"/>
          </w:tcPr>
          <w:p w14:paraId="5A510997" w14:textId="7B88AA2F" w:rsidR="005041C2" w:rsidRPr="00762D1F" w:rsidRDefault="005041C2">
            <w:pPr>
              <w:widowControl w:val="0"/>
              <w:pBdr>
                <w:top w:val="nil"/>
                <w:left w:val="nil"/>
                <w:bottom w:val="nil"/>
                <w:right w:val="nil"/>
                <w:between w:val="nil"/>
              </w:pBdr>
              <w:ind w:left="113" w:hanging="113"/>
              <w:rPr>
                <w:b/>
                <w:color w:val="0000FF"/>
              </w:rPr>
            </w:pPr>
            <w:r w:rsidRPr="00762D1F">
              <w:rPr>
                <w:b/>
                <w:color w:val="000000"/>
              </w:rPr>
              <w:t>At 31</w:t>
            </w:r>
            <w:r w:rsidR="00181687">
              <w:rPr>
                <w:b/>
                <w:color w:val="000000"/>
              </w:rPr>
              <w:t> December </w:t>
            </w:r>
            <w:r w:rsidR="00541EBC">
              <w:rPr>
                <w:b/>
                <w:color w:val="000000"/>
              </w:rPr>
              <w:t>2023</w:t>
            </w:r>
          </w:p>
        </w:tc>
        <w:tc>
          <w:tcPr>
            <w:tcW w:w="472" w:type="pct"/>
            <w:shd w:val="clear" w:color="auto" w:fill="auto"/>
            <w:vAlign w:val="bottom"/>
          </w:tcPr>
          <w:p w14:paraId="71E9C490"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3026B8EE"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58915C99"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5B9A4720"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5DC871EA"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6DC70209"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06A5FFEB"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29579C89"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35D27F4C" w14:textId="77777777" w:rsidTr="00762D1F">
        <w:trPr>
          <w:trHeight w:val="23"/>
        </w:trPr>
        <w:tc>
          <w:tcPr>
            <w:tcW w:w="1496" w:type="pct"/>
            <w:shd w:val="clear" w:color="auto" w:fill="auto"/>
            <w:vAlign w:val="bottom"/>
          </w:tcPr>
          <w:p w14:paraId="6F1C33D2" w14:textId="77777777" w:rsidR="005041C2" w:rsidRPr="00762D1F" w:rsidRDefault="005041C2">
            <w:pPr>
              <w:widowControl w:val="0"/>
              <w:pBdr>
                <w:top w:val="nil"/>
                <w:left w:val="nil"/>
                <w:bottom w:val="nil"/>
                <w:right w:val="nil"/>
                <w:between w:val="nil"/>
              </w:pBdr>
              <w:ind w:left="113" w:hanging="113"/>
              <w:rPr>
                <w:b/>
                <w:color w:val="000000"/>
              </w:rPr>
            </w:pPr>
          </w:p>
          <w:p w14:paraId="27FCF095" w14:textId="77777777" w:rsidR="005041C2" w:rsidRPr="00762D1F" w:rsidRDefault="005041C2">
            <w:pPr>
              <w:widowControl w:val="0"/>
              <w:pBdr>
                <w:top w:val="nil"/>
                <w:left w:val="nil"/>
                <w:bottom w:val="nil"/>
                <w:right w:val="nil"/>
                <w:between w:val="nil"/>
              </w:pBdr>
              <w:ind w:left="113" w:hanging="113"/>
              <w:rPr>
                <w:b/>
                <w:color w:val="000000"/>
              </w:rPr>
            </w:pPr>
            <w:r w:rsidRPr="00762D1F">
              <w:rPr>
                <w:i/>
                <w:color w:val="000000"/>
              </w:rPr>
              <w:t>Movements with impact on credit loss allowance charge for the period:</w:t>
            </w:r>
          </w:p>
        </w:tc>
        <w:tc>
          <w:tcPr>
            <w:tcW w:w="472" w:type="pct"/>
            <w:shd w:val="clear" w:color="auto" w:fill="auto"/>
            <w:vAlign w:val="bottom"/>
          </w:tcPr>
          <w:p w14:paraId="2DA6502F"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605EDC8F"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24050B6"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68652C22"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1A72FCD1" w14:textId="77777777" w:rsidR="005041C2" w:rsidRPr="00762D1F" w:rsidRDefault="005041C2" w:rsidP="001B330E">
            <w:pPr>
              <w:widowControl w:val="0"/>
              <w:pBdr>
                <w:top w:val="nil"/>
                <w:left w:val="nil"/>
                <w:bottom w:val="nil"/>
                <w:right w:val="nil"/>
                <w:between w:val="nil"/>
              </w:pBdr>
              <w:jc w:val="right"/>
              <w:rPr>
                <w:color w:val="000000"/>
              </w:rPr>
            </w:pPr>
          </w:p>
        </w:tc>
        <w:tc>
          <w:tcPr>
            <w:tcW w:w="476" w:type="pct"/>
            <w:vAlign w:val="bottom"/>
          </w:tcPr>
          <w:p w14:paraId="4859990B"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305120E6"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3367F298"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4025A7A2" w14:textId="77777777" w:rsidTr="00762D1F">
        <w:trPr>
          <w:trHeight w:val="23"/>
        </w:trPr>
        <w:tc>
          <w:tcPr>
            <w:tcW w:w="1496" w:type="pct"/>
            <w:shd w:val="clear" w:color="auto" w:fill="auto"/>
            <w:vAlign w:val="bottom"/>
          </w:tcPr>
          <w:p w14:paraId="676A446C" w14:textId="77777777" w:rsidR="005041C2" w:rsidRPr="001B330E" w:rsidRDefault="005041C2">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72CFDDD0" w14:textId="77777777" w:rsidR="005041C2" w:rsidRPr="00762D1F"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2B7D7B0F"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07E6CA17" w14:textId="77777777" w:rsidR="005041C2" w:rsidRPr="00762D1F"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BE38D74" w14:textId="77777777" w:rsidR="005041C2" w:rsidRPr="00762D1F" w:rsidRDefault="005041C2">
            <w:pPr>
              <w:widowControl w:val="0"/>
              <w:pBdr>
                <w:top w:val="nil"/>
                <w:left w:val="nil"/>
                <w:bottom w:val="nil"/>
                <w:right w:val="nil"/>
                <w:between w:val="nil"/>
              </w:pBdr>
              <w:jc w:val="right"/>
              <w:rPr>
                <w:color w:val="000000"/>
                <w:highlight w:val="green"/>
              </w:rPr>
            </w:pPr>
          </w:p>
        </w:tc>
        <w:tc>
          <w:tcPr>
            <w:tcW w:w="484" w:type="pct"/>
            <w:vAlign w:val="bottom"/>
          </w:tcPr>
          <w:p w14:paraId="264E79EA"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2BA7C9F8"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5EFBFF44" w14:textId="77777777" w:rsidR="005041C2" w:rsidRPr="00762D1F"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047CBB2F" w14:textId="77777777" w:rsidR="005041C2" w:rsidRPr="00762D1F" w:rsidRDefault="005041C2">
            <w:pPr>
              <w:widowControl w:val="0"/>
              <w:pBdr>
                <w:top w:val="nil"/>
                <w:left w:val="nil"/>
                <w:bottom w:val="nil"/>
                <w:right w:val="nil"/>
                <w:between w:val="nil"/>
              </w:pBdr>
              <w:jc w:val="right"/>
              <w:rPr>
                <w:color w:val="000000"/>
                <w:highlight w:val="green"/>
              </w:rPr>
            </w:pPr>
          </w:p>
        </w:tc>
      </w:tr>
      <w:tr w:rsidR="00762D1F" w:rsidRPr="00762D1F" w14:paraId="74E6570A" w14:textId="77777777" w:rsidTr="00762D1F">
        <w:trPr>
          <w:trHeight w:val="23"/>
        </w:trPr>
        <w:tc>
          <w:tcPr>
            <w:tcW w:w="1496" w:type="pct"/>
            <w:shd w:val="clear" w:color="auto" w:fill="auto"/>
            <w:vAlign w:val="bottom"/>
          </w:tcPr>
          <w:p w14:paraId="7F9CB61C" w14:textId="77777777" w:rsidR="005041C2" w:rsidRPr="00762D1F" w:rsidRDefault="005041C2">
            <w:pPr>
              <w:widowControl w:val="0"/>
              <w:pBdr>
                <w:top w:val="nil"/>
                <w:left w:val="nil"/>
                <w:bottom w:val="nil"/>
                <w:right w:val="nil"/>
                <w:between w:val="nil"/>
              </w:pBdr>
              <w:ind w:left="113" w:hanging="113"/>
              <w:rPr>
                <w:color w:val="0000FF"/>
              </w:rPr>
            </w:pPr>
            <w:r w:rsidRPr="00762D1F">
              <w:rPr>
                <w:color w:val="000000"/>
              </w:rPr>
              <w:t>Transfers:</w:t>
            </w:r>
          </w:p>
        </w:tc>
        <w:tc>
          <w:tcPr>
            <w:tcW w:w="472" w:type="pct"/>
            <w:shd w:val="clear" w:color="auto" w:fill="auto"/>
            <w:vAlign w:val="bottom"/>
          </w:tcPr>
          <w:p w14:paraId="3A033C38" w14:textId="77777777" w:rsidR="005041C2" w:rsidRPr="00762D1F"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292A077D"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C6E0367" w14:textId="77777777" w:rsidR="005041C2" w:rsidRPr="00762D1F"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3855AB7" w14:textId="77777777" w:rsidR="005041C2" w:rsidRPr="00762D1F" w:rsidRDefault="005041C2">
            <w:pPr>
              <w:widowControl w:val="0"/>
              <w:pBdr>
                <w:top w:val="nil"/>
                <w:left w:val="nil"/>
                <w:bottom w:val="nil"/>
                <w:right w:val="nil"/>
                <w:between w:val="nil"/>
              </w:pBdr>
              <w:jc w:val="right"/>
              <w:rPr>
                <w:color w:val="000000"/>
                <w:highlight w:val="green"/>
              </w:rPr>
            </w:pPr>
          </w:p>
        </w:tc>
        <w:tc>
          <w:tcPr>
            <w:tcW w:w="484" w:type="pct"/>
            <w:vAlign w:val="bottom"/>
          </w:tcPr>
          <w:p w14:paraId="7C813EC8"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05527DE3"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48B4316D" w14:textId="77777777" w:rsidR="005041C2" w:rsidRPr="00762D1F"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3D8F2C5" w14:textId="77777777" w:rsidR="005041C2" w:rsidRPr="00762D1F" w:rsidRDefault="005041C2">
            <w:pPr>
              <w:widowControl w:val="0"/>
              <w:pBdr>
                <w:top w:val="nil"/>
                <w:left w:val="nil"/>
                <w:bottom w:val="nil"/>
                <w:right w:val="nil"/>
                <w:between w:val="nil"/>
              </w:pBdr>
              <w:jc w:val="right"/>
              <w:rPr>
                <w:color w:val="000000"/>
                <w:highlight w:val="green"/>
              </w:rPr>
            </w:pPr>
          </w:p>
        </w:tc>
      </w:tr>
      <w:tr w:rsidR="00762D1F" w:rsidRPr="00762D1F" w14:paraId="1E15CE7F" w14:textId="77777777" w:rsidTr="00762D1F">
        <w:trPr>
          <w:trHeight w:val="23"/>
        </w:trPr>
        <w:tc>
          <w:tcPr>
            <w:tcW w:w="1496" w:type="pct"/>
            <w:shd w:val="clear" w:color="auto" w:fill="auto"/>
            <w:vAlign w:val="bottom"/>
          </w:tcPr>
          <w:p w14:paraId="43A614EA"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 to lifetime (from Stage 1 to Stage 2)</w:t>
            </w:r>
          </w:p>
        </w:tc>
        <w:tc>
          <w:tcPr>
            <w:tcW w:w="472" w:type="pct"/>
            <w:shd w:val="clear" w:color="auto" w:fill="auto"/>
            <w:vAlign w:val="bottom"/>
          </w:tcPr>
          <w:p w14:paraId="557D3FA1" w14:textId="77777777" w:rsidR="005041C2" w:rsidRPr="00762D1F"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40FEEF89"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0F3831C4" w14:textId="77777777" w:rsidR="005041C2" w:rsidRPr="00762D1F"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79D9DB41" w14:textId="77777777" w:rsidR="005041C2" w:rsidRPr="00762D1F" w:rsidRDefault="005041C2">
            <w:pPr>
              <w:widowControl w:val="0"/>
              <w:pBdr>
                <w:top w:val="nil"/>
                <w:left w:val="nil"/>
                <w:bottom w:val="nil"/>
                <w:right w:val="nil"/>
                <w:between w:val="nil"/>
              </w:pBdr>
              <w:jc w:val="right"/>
              <w:rPr>
                <w:color w:val="000000"/>
                <w:highlight w:val="green"/>
              </w:rPr>
            </w:pPr>
          </w:p>
        </w:tc>
        <w:tc>
          <w:tcPr>
            <w:tcW w:w="484" w:type="pct"/>
            <w:vAlign w:val="bottom"/>
          </w:tcPr>
          <w:p w14:paraId="3AA03B04"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3004EDE8"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4827B4DF" w14:textId="77777777" w:rsidR="005041C2" w:rsidRPr="00762D1F"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3652B5D0" w14:textId="77777777" w:rsidR="005041C2" w:rsidRPr="00762D1F" w:rsidRDefault="005041C2">
            <w:pPr>
              <w:widowControl w:val="0"/>
              <w:pBdr>
                <w:top w:val="nil"/>
                <w:left w:val="nil"/>
                <w:bottom w:val="nil"/>
                <w:right w:val="nil"/>
                <w:between w:val="nil"/>
              </w:pBdr>
              <w:jc w:val="right"/>
              <w:rPr>
                <w:color w:val="000000"/>
                <w:highlight w:val="green"/>
              </w:rPr>
            </w:pPr>
          </w:p>
        </w:tc>
      </w:tr>
      <w:tr w:rsidR="00762D1F" w:rsidRPr="00762D1F" w14:paraId="4510C33E" w14:textId="77777777" w:rsidTr="00762D1F">
        <w:trPr>
          <w:trHeight w:val="23"/>
        </w:trPr>
        <w:tc>
          <w:tcPr>
            <w:tcW w:w="1496" w:type="pct"/>
            <w:shd w:val="clear" w:color="auto" w:fill="auto"/>
            <w:vAlign w:val="bottom"/>
          </w:tcPr>
          <w:p w14:paraId="459FA11F"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 to credit-impaired (from Stage 1 and Stage 2 to Stage 3)</w:t>
            </w:r>
          </w:p>
        </w:tc>
        <w:tc>
          <w:tcPr>
            <w:tcW w:w="472" w:type="pct"/>
            <w:shd w:val="clear" w:color="auto" w:fill="auto"/>
            <w:vAlign w:val="bottom"/>
          </w:tcPr>
          <w:p w14:paraId="17F50AF0" w14:textId="77777777" w:rsidR="005041C2" w:rsidRPr="00762D1F"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2EB16983"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672995A3" w14:textId="77777777" w:rsidR="005041C2" w:rsidRPr="00762D1F"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415E8042" w14:textId="77777777" w:rsidR="005041C2" w:rsidRPr="00762D1F" w:rsidRDefault="005041C2">
            <w:pPr>
              <w:widowControl w:val="0"/>
              <w:pBdr>
                <w:top w:val="nil"/>
                <w:left w:val="nil"/>
                <w:bottom w:val="nil"/>
                <w:right w:val="nil"/>
                <w:between w:val="nil"/>
              </w:pBdr>
              <w:jc w:val="right"/>
              <w:rPr>
                <w:color w:val="000000"/>
                <w:highlight w:val="green"/>
              </w:rPr>
            </w:pPr>
          </w:p>
        </w:tc>
        <w:tc>
          <w:tcPr>
            <w:tcW w:w="484" w:type="pct"/>
            <w:vAlign w:val="bottom"/>
          </w:tcPr>
          <w:p w14:paraId="6710308C"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7323655D"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2FF4A050" w14:textId="77777777" w:rsidR="005041C2" w:rsidRPr="00762D1F"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56B6FCE5" w14:textId="77777777" w:rsidR="005041C2" w:rsidRPr="00762D1F" w:rsidRDefault="005041C2">
            <w:pPr>
              <w:widowControl w:val="0"/>
              <w:pBdr>
                <w:top w:val="nil"/>
                <w:left w:val="nil"/>
                <w:bottom w:val="nil"/>
                <w:right w:val="nil"/>
                <w:between w:val="nil"/>
              </w:pBdr>
              <w:jc w:val="right"/>
              <w:rPr>
                <w:color w:val="000000"/>
                <w:highlight w:val="green"/>
              </w:rPr>
            </w:pPr>
          </w:p>
        </w:tc>
      </w:tr>
      <w:tr w:rsidR="00762D1F" w:rsidRPr="00762D1F" w14:paraId="41ADE639" w14:textId="77777777" w:rsidTr="00762D1F">
        <w:trPr>
          <w:trHeight w:val="23"/>
        </w:trPr>
        <w:tc>
          <w:tcPr>
            <w:tcW w:w="1496" w:type="pct"/>
            <w:shd w:val="clear" w:color="auto" w:fill="auto"/>
            <w:vAlign w:val="bottom"/>
          </w:tcPr>
          <w:p w14:paraId="2F1F0A80"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 to 12-months ECL (from Stage 2 and Stage 3 to Stage 1)</w:t>
            </w:r>
          </w:p>
        </w:tc>
        <w:tc>
          <w:tcPr>
            <w:tcW w:w="472" w:type="pct"/>
            <w:shd w:val="clear" w:color="auto" w:fill="auto"/>
            <w:vAlign w:val="bottom"/>
          </w:tcPr>
          <w:p w14:paraId="54E29655" w14:textId="77777777" w:rsidR="005041C2" w:rsidRPr="00762D1F"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3AE1FCF"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1A071561" w14:textId="77777777" w:rsidR="005041C2" w:rsidRPr="00762D1F"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1CCBE12A" w14:textId="77777777" w:rsidR="005041C2" w:rsidRPr="00762D1F" w:rsidRDefault="005041C2">
            <w:pPr>
              <w:widowControl w:val="0"/>
              <w:pBdr>
                <w:top w:val="nil"/>
                <w:left w:val="nil"/>
                <w:bottom w:val="nil"/>
                <w:right w:val="nil"/>
                <w:between w:val="nil"/>
              </w:pBdr>
              <w:jc w:val="right"/>
              <w:rPr>
                <w:color w:val="000000"/>
                <w:highlight w:val="green"/>
              </w:rPr>
            </w:pPr>
          </w:p>
        </w:tc>
        <w:tc>
          <w:tcPr>
            <w:tcW w:w="484" w:type="pct"/>
            <w:vAlign w:val="bottom"/>
          </w:tcPr>
          <w:p w14:paraId="43C5C387"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14EAF181"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143FA514" w14:textId="77777777" w:rsidR="005041C2" w:rsidRPr="00762D1F"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68ACA11E" w14:textId="77777777" w:rsidR="005041C2" w:rsidRPr="00762D1F" w:rsidRDefault="005041C2">
            <w:pPr>
              <w:widowControl w:val="0"/>
              <w:pBdr>
                <w:top w:val="nil"/>
                <w:left w:val="nil"/>
                <w:bottom w:val="nil"/>
                <w:right w:val="nil"/>
                <w:between w:val="nil"/>
              </w:pBdr>
              <w:jc w:val="right"/>
              <w:rPr>
                <w:color w:val="000000"/>
                <w:highlight w:val="green"/>
              </w:rPr>
            </w:pPr>
          </w:p>
        </w:tc>
      </w:tr>
      <w:tr w:rsidR="00762D1F" w:rsidRPr="00762D1F" w14:paraId="40EED077" w14:textId="77777777" w:rsidTr="00762D1F">
        <w:trPr>
          <w:trHeight w:val="23"/>
        </w:trPr>
        <w:tc>
          <w:tcPr>
            <w:tcW w:w="1496" w:type="pct"/>
            <w:shd w:val="clear" w:color="auto" w:fill="auto"/>
            <w:vAlign w:val="bottom"/>
          </w:tcPr>
          <w:p w14:paraId="4765E8E1"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New originated or purchased</w:t>
            </w:r>
          </w:p>
        </w:tc>
        <w:tc>
          <w:tcPr>
            <w:tcW w:w="472" w:type="pct"/>
            <w:shd w:val="clear" w:color="auto" w:fill="auto"/>
            <w:vAlign w:val="bottom"/>
          </w:tcPr>
          <w:p w14:paraId="2BA3E737"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49E9FCE6"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097EE2E"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4F992065"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0720A3FF"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0A4023D0"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59AAA28D"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022AD9B6"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5D492213" w14:textId="77777777" w:rsidTr="00762D1F">
        <w:trPr>
          <w:trHeight w:val="23"/>
        </w:trPr>
        <w:tc>
          <w:tcPr>
            <w:tcW w:w="1496" w:type="pct"/>
            <w:shd w:val="clear" w:color="auto" w:fill="auto"/>
            <w:vAlign w:val="bottom"/>
          </w:tcPr>
          <w:p w14:paraId="24C04BA9"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Derecognised during the period</w:t>
            </w:r>
          </w:p>
        </w:tc>
        <w:tc>
          <w:tcPr>
            <w:tcW w:w="472" w:type="pct"/>
            <w:shd w:val="clear" w:color="auto" w:fill="auto"/>
            <w:vAlign w:val="bottom"/>
          </w:tcPr>
          <w:p w14:paraId="0023687E"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696C51EF"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7B902573"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63F99D05"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5F4751FA"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4E20CD3E"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5B6EB32A"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40DC44D3"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112E24AB" w14:textId="77777777" w:rsidTr="00762D1F">
        <w:trPr>
          <w:trHeight w:val="23"/>
        </w:trPr>
        <w:tc>
          <w:tcPr>
            <w:tcW w:w="1496" w:type="pct"/>
            <w:shd w:val="clear" w:color="auto" w:fill="auto"/>
            <w:vAlign w:val="bottom"/>
          </w:tcPr>
          <w:p w14:paraId="59AD216C"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Changes to ECL measurement model assumptions</w:t>
            </w:r>
          </w:p>
        </w:tc>
        <w:tc>
          <w:tcPr>
            <w:tcW w:w="472" w:type="pct"/>
            <w:shd w:val="clear" w:color="auto" w:fill="auto"/>
            <w:vAlign w:val="bottom"/>
          </w:tcPr>
          <w:p w14:paraId="61E80300"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1CC7FDE1"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F636346"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62E459A8"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4128D16E"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55F749D8"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0AD8B7FE"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37173A8E"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7564D2C2" w14:textId="77777777" w:rsidTr="00762D1F">
        <w:trPr>
          <w:trHeight w:val="23"/>
        </w:trPr>
        <w:tc>
          <w:tcPr>
            <w:tcW w:w="1496" w:type="pct"/>
            <w:shd w:val="clear" w:color="auto" w:fill="auto"/>
            <w:vAlign w:val="bottom"/>
          </w:tcPr>
          <w:p w14:paraId="324167BF"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 xml:space="preserve">Unwinding of discount </w:t>
            </w:r>
          </w:p>
        </w:tc>
        <w:tc>
          <w:tcPr>
            <w:tcW w:w="472" w:type="pct"/>
            <w:shd w:val="clear" w:color="auto" w:fill="auto"/>
            <w:vAlign w:val="bottom"/>
          </w:tcPr>
          <w:p w14:paraId="1235EA00"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395EACC9"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00176A00"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1D4A2059"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6D090421"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0DF06645"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5A901758"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64DC603C"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2909DDC4" w14:textId="77777777" w:rsidTr="00762D1F">
        <w:trPr>
          <w:trHeight w:val="23"/>
        </w:trPr>
        <w:tc>
          <w:tcPr>
            <w:tcW w:w="1496" w:type="pct"/>
            <w:shd w:val="clear" w:color="auto" w:fill="auto"/>
            <w:vAlign w:val="bottom"/>
          </w:tcPr>
          <w:p w14:paraId="37F64B12"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Changes in accrued interest</w:t>
            </w:r>
          </w:p>
        </w:tc>
        <w:tc>
          <w:tcPr>
            <w:tcW w:w="472" w:type="pct"/>
            <w:shd w:val="clear" w:color="auto" w:fill="auto"/>
            <w:vAlign w:val="bottom"/>
          </w:tcPr>
          <w:p w14:paraId="7EAACF45"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79DE932F"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6AC15B7F"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16E006DC"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15681B3D"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55E9BBB1"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02D2488D"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5835F521"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20EDCC32" w14:textId="77777777" w:rsidTr="00762D1F">
        <w:trPr>
          <w:trHeight w:val="23"/>
        </w:trPr>
        <w:tc>
          <w:tcPr>
            <w:tcW w:w="1496" w:type="pct"/>
            <w:shd w:val="clear" w:color="auto" w:fill="auto"/>
            <w:vAlign w:val="bottom"/>
          </w:tcPr>
          <w:p w14:paraId="7A8D6C76"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Other movements</w:t>
            </w:r>
          </w:p>
        </w:tc>
        <w:tc>
          <w:tcPr>
            <w:tcW w:w="472" w:type="pct"/>
            <w:shd w:val="clear" w:color="auto" w:fill="auto"/>
            <w:vAlign w:val="bottom"/>
          </w:tcPr>
          <w:p w14:paraId="1E86D6EB"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35EFA626"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45C5E329"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53A87030"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06EE2D94"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7A573957"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7F3FAFBE"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49461704"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78A9A35D" w14:textId="77777777" w:rsidTr="00762D1F">
        <w:trPr>
          <w:trHeight w:val="23"/>
        </w:trPr>
        <w:tc>
          <w:tcPr>
            <w:tcW w:w="1496" w:type="pct"/>
            <w:tcBorders>
              <w:bottom w:val="single" w:sz="4" w:space="0" w:color="000000"/>
            </w:tcBorders>
            <w:shd w:val="clear" w:color="auto" w:fill="auto"/>
            <w:vAlign w:val="bottom"/>
          </w:tcPr>
          <w:p w14:paraId="5DBF688A" w14:textId="77777777" w:rsidR="005041C2" w:rsidRPr="00762D1F" w:rsidRDefault="005041C2">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131A4FD3" w14:textId="77777777" w:rsidR="005041C2" w:rsidRPr="00762D1F" w:rsidRDefault="005041C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73751562"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6DC25898" w14:textId="77777777" w:rsidR="005041C2" w:rsidRPr="00762D1F" w:rsidRDefault="005041C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53CDB322" w14:textId="77777777" w:rsidR="005041C2" w:rsidRPr="00762D1F" w:rsidRDefault="005041C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512D9E79"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5E256158"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5B14618E" w14:textId="77777777" w:rsidR="005041C2" w:rsidRPr="00762D1F" w:rsidRDefault="005041C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37EF76B4"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19EE33EF" w14:textId="77777777" w:rsidTr="00762D1F">
        <w:trPr>
          <w:trHeight w:val="23"/>
        </w:trPr>
        <w:tc>
          <w:tcPr>
            <w:tcW w:w="1496" w:type="pct"/>
            <w:tcBorders>
              <w:top w:val="single" w:sz="4" w:space="0" w:color="000000"/>
            </w:tcBorders>
            <w:shd w:val="clear" w:color="auto" w:fill="auto"/>
            <w:vAlign w:val="bottom"/>
          </w:tcPr>
          <w:p w14:paraId="1EED2E08" w14:textId="77777777" w:rsidR="005041C2" w:rsidRPr="00762D1F" w:rsidRDefault="005041C2">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0C0BBD81" w14:textId="77777777" w:rsidR="005041C2" w:rsidRPr="00762D1F" w:rsidRDefault="005041C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3971B41D"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5A17837E" w14:textId="77777777" w:rsidR="005041C2" w:rsidRPr="00762D1F" w:rsidRDefault="005041C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531C5323" w14:textId="77777777" w:rsidR="005041C2" w:rsidRPr="00762D1F" w:rsidRDefault="005041C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381F3861"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20C2B217"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6836DAEB" w14:textId="77777777" w:rsidR="005041C2" w:rsidRPr="00762D1F" w:rsidRDefault="005041C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1B795CEA"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6DA0D6B7" w14:textId="77777777" w:rsidTr="00762D1F">
        <w:trPr>
          <w:trHeight w:val="23"/>
        </w:trPr>
        <w:tc>
          <w:tcPr>
            <w:tcW w:w="1496" w:type="pct"/>
            <w:shd w:val="clear" w:color="auto" w:fill="auto"/>
            <w:vAlign w:val="bottom"/>
          </w:tcPr>
          <w:p w14:paraId="624B10C5" w14:textId="77777777" w:rsidR="005041C2" w:rsidRPr="00762D1F" w:rsidRDefault="005041C2">
            <w:pPr>
              <w:widowControl w:val="0"/>
              <w:pBdr>
                <w:top w:val="nil"/>
                <w:left w:val="nil"/>
                <w:bottom w:val="nil"/>
                <w:right w:val="nil"/>
                <w:between w:val="nil"/>
              </w:pBdr>
              <w:ind w:left="113" w:hanging="113"/>
              <w:rPr>
                <w:b/>
                <w:color w:val="000000"/>
              </w:rPr>
            </w:pPr>
            <w:r w:rsidRPr="00762D1F">
              <w:rPr>
                <w:b/>
                <w:color w:val="000000"/>
              </w:rPr>
              <w:t>Total movements with impact on credit loss allowance charge for the period</w:t>
            </w:r>
          </w:p>
        </w:tc>
        <w:tc>
          <w:tcPr>
            <w:tcW w:w="472" w:type="pct"/>
            <w:shd w:val="clear" w:color="auto" w:fill="auto"/>
            <w:vAlign w:val="bottom"/>
          </w:tcPr>
          <w:p w14:paraId="74CF3133"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4B9F7759"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FB27B0E"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3D27AD3D"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18DA1E73"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02CEDBDA"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54D4E4E7"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065E604B"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7DF4D4EE" w14:textId="77777777" w:rsidTr="00762D1F">
        <w:trPr>
          <w:trHeight w:val="23"/>
        </w:trPr>
        <w:tc>
          <w:tcPr>
            <w:tcW w:w="1496" w:type="pct"/>
            <w:tcBorders>
              <w:bottom w:val="single" w:sz="4" w:space="0" w:color="000000"/>
            </w:tcBorders>
            <w:shd w:val="clear" w:color="auto" w:fill="auto"/>
            <w:vAlign w:val="bottom"/>
          </w:tcPr>
          <w:p w14:paraId="4E5A1088" w14:textId="77777777" w:rsidR="005041C2" w:rsidRPr="00762D1F" w:rsidRDefault="005041C2">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70391A87" w14:textId="77777777" w:rsidR="005041C2" w:rsidRPr="00762D1F" w:rsidRDefault="005041C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59BBA72D"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0F094630" w14:textId="77777777" w:rsidR="005041C2" w:rsidRPr="00762D1F" w:rsidRDefault="005041C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71D654EF" w14:textId="77777777" w:rsidR="005041C2" w:rsidRPr="00762D1F" w:rsidRDefault="005041C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025593BA"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2810FF85"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2F274698" w14:textId="77777777" w:rsidR="005041C2" w:rsidRPr="00762D1F" w:rsidRDefault="005041C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10CC0552"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0272C0F8" w14:textId="77777777" w:rsidTr="00762D1F">
        <w:trPr>
          <w:trHeight w:val="23"/>
        </w:trPr>
        <w:tc>
          <w:tcPr>
            <w:tcW w:w="1496" w:type="pct"/>
            <w:tcBorders>
              <w:top w:val="single" w:sz="4" w:space="0" w:color="000000"/>
            </w:tcBorders>
            <w:shd w:val="clear" w:color="auto" w:fill="auto"/>
            <w:vAlign w:val="bottom"/>
          </w:tcPr>
          <w:p w14:paraId="3499ACDE" w14:textId="77777777" w:rsidR="005041C2" w:rsidRPr="00762D1F" w:rsidRDefault="005041C2">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0689849D" w14:textId="77777777" w:rsidR="005041C2" w:rsidRPr="00762D1F" w:rsidRDefault="005041C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64B124D8"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7ADF59F1" w14:textId="77777777" w:rsidR="005041C2" w:rsidRPr="00762D1F" w:rsidRDefault="005041C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658A6CD5" w14:textId="77777777" w:rsidR="005041C2" w:rsidRPr="00762D1F" w:rsidRDefault="005041C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2185760C"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180E815B"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7F852F1C" w14:textId="77777777" w:rsidR="005041C2" w:rsidRPr="00762D1F" w:rsidRDefault="005041C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336D4813"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4929D1DF" w14:textId="77777777" w:rsidTr="00762D1F">
        <w:trPr>
          <w:trHeight w:val="23"/>
        </w:trPr>
        <w:tc>
          <w:tcPr>
            <w:tcW w:w="1496" w:type="pct"/>
            <w:shd w:val="clear" w:color="auto" w:fill="auto"/>
            <w:vAlign w:val="bottom"/>
          </w:tcPr>
          <w:p w14:paraId="0761A930" w14:textId="77777777" w:rsidR="005041C2" w:rsidRPr="00762D1F" w:rsidRDefault="005041C2">
            <w:pPr>
              <w:widowControl w:val="0"/>
              <w:pBdr>
                <w:top w:val="nil"/>
                <w:left w:val="nil"/>
                <w:bottom w:val="nil"/>
                <w:right w:val="nil"/>
                <w:between w:val="nil"/>
              </w:pBdr>
              <w:ind w:left="113" w:hanging="113"/>
              <w:rPr>
                <w:b/>
                <w:color w:val="000000"/>
              </w:rPr>
            </w:pPr>
            <w:r w:rsidRPr="00762D1F">
              <w:rPr>
                <w:i/>
                <w:color w:val="000000"/>
              </w:rPr>
              <w:t>Movements without impact on credit loss allowance charge for the period:</w:t>
            </w:r>
          </w:p>
          <w:p w14:paraId="48A447AB" w14:textId="77777777" w:rsidR="005041C2" w:rsidRPr="001B330E" w:rsidRDefault="005041C2" w:rsidP="001B330E">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615E428D" w14:textId="77777777" w:rsidR="005041C2" w:rsidRPr="00762D1F"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782C0B2A"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CB53255" w14:textId="77777777" w:rsidR="005041C2" w:rsidRPr="00762D1F"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5E58CC41" w14:textId="77777777" w:rsidR="005041C2" w:rsidRPr="00762D1F" w:rsidRDefault="005041C2">
            <w:pPr>
              <w:widowControl w:val="0"/>
              <w:pBdr>
                <w:top w:val="nil"/>
                <w:left w:val="nil"/>
                <w:bottom w:val="nil"/>
                <w:right w:val="nil"/>
                <w:between w:val="nil"/>
              </w:pBdr>
              <w:jc w:val="right"/>
              <w:rPr>
                <w:color w:val="000000"/>
                <w:highlight w:val="green"/>
              </w:rPr>
            </w:pPr>
          </w:p>
        </w:tc>
        <w:tc>
          <w:tcPr>
            <w:tcW w:w="484" w:type="pct"/>
            <w:vAlign w:val="bottom"/>
          </w:tcPr>
          <w:p w14:paraId="276F6882"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7808FE6B"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0C153BBF" w14:textId="77777777" w:rsidR="005041C2" w:rsidRPr="00762D1F"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25A1BF04" w14:textId="77777777" w:rsidR="005041C2" w:rsidRPr="00762D1F" w:rsidRDefault="005041C2">
            <w:pPr>
              <w:widowControl w:val="0"/>
              <w:pBdr>
                <w:top w:val="nil"/>
                <w:left w:val="nil"/>
                <w:bottom w:val="nil"/>
                <w:right w:val="nil"/>
                <w:between w:val="nil"/>
              </w:pBdr>
              <w:jc w:val="right"/>
              <w:rPr>
                <w:color w:val="000000"/>
                <w:highlight w:val="green"/>
              </w:rPr>
            </w:pPr>
          </w:p>
        </w:tc>
      </w:tr>
      <w:tr w:rsidR="00762D1F" w:rsidRPr="00762D1F" w14:paraId="0B1F2F7A" w14:textId="77777777" w:rsidTr="00762D1F">
        <w:trPr>
          <w:trHeight w:val="23"/>
        </w:trPr>
        <w:tc>
          <w:tcPr>
            <w:tcW w:w="1496" w:type="pct"/>
            <w:shd w:val="clear" w:color="auto" w:fill="auto"/>
            <w:vAlign w:val="bottom"/>
          </w:tcPr>
          <w:p w14:paraId="6465348C"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Write-offs</w:t>
            </w:r>
          </w:p>
        </w:tc>
        <w:tc>
          <w:tcPr>
            <w:tcW w:w="472" w:type="pct"/>
            <w:shd w:val="clear" w:color="auto" w:fill="auto"/>
            <w:vAlign w:val="bottom"/>
          </w:tcPr>
          <w:p w14:paraId="199DC537" w14:textId="77777777" w:rsidR="005041C2" w:rsidRPr="00762D1F"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54A3871A"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2082CC29" w14:textId="77777777" w:rsidR="005041C2" w:rsidRPr="00762D1F"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54DF00F5" w14:textId="77777777" w:rsidR="005041C2" w:rsidRPr="00762D1F" w:rsidRDefault="005041C2">
            <w:pPr>
              <w:widowControl w:val="0"/>
              <w:pBdr>
                <w:top w:val="nil"/>
                <w:left w:val="nil"/>
                <w:bottom w:val="nil"/>
                <w:right w:val="nil"/>
                <w:between w:val="nil"/>
              </w:pBdr>
              <w:jc w:val="right"/>
              <w:rPr>
                <w:color w:val="000000"/>
                <w:highlight w:val="green"/>
              </w:rPr>
            </w:pPr>
          </w:p>
        </w:tc>
        <w:tc>
          <w:tcPr>
            <w:tcW w:w="484" w:type="pct"/>
            <w:vAlign w:val="bottom"/>
          </w:tcPr>
          <w:p w14:paraId="1F630C19"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35D3DB85"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1B995F40" w14:textId="77777777" w:rsidR="005041C2" w:rsidRPr="00762D1F"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65E7DD3C" w14:textId="77777777" w:rsidR="005041C2" w:rsidRPr="00762D1F" w:rsidRDefault="005041C2">
            <w:pPr>
              <w:widowControl w:val="0"/>
              <w:pBdr>
                <w:top w:val="nil"/>
                <w:left w:val="nil"/>
                <w:bottom w:val="nil"/>
                <w:right w:val="nil"/>
                <w:between w:val="nil"/>
              </w:pBdr>
              <w:jc w:val="right"/>
              <w:rPr>
                <w:color w:val="000000"/>
                <w:highlight w:val="green"/>
              </w:rPr>
            </w:pPr>
          </w:p>
        </w:tc>
      </w:tr>
      <w:tr w:rsidR="00762D1F" w:rsidRPr="00762D1F" w14:paraId="6A2598E1" w14:textId="77777777" w:rsidTr="00762D1F">
        <w:trPr>
          <w:trHeight w:val="23"/>
        </w:trPr>
        <w:tc>
          <w:tcPr>
            <w:tcW w:w="1496" w:type="pct"/>
            <w:shd w:val="clear" w:color="auto" w:fill="auto"/>
            <w:vAlign w:val="bottom"/>
          </w:tcPr>
          <w:p w14:paraId="466D0548"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FX and other movements</w:t>
            </w:r>
          </w:p>
        </w:tc>
        <w:tc>
          <w:tcPr>
            <w:tcW w:w="472" w:type="pct"/>
            <w:shd w:val="clear" w:color="auto" w:fill="auto"/>
            <w:vAlign w:val="bottom"/>
          </w:tcPr>
          <w:p w14:paraId="5F706A34" w14:textId="77777777" w:rsidR="005041C2" w:rsidRPr="00762D1F"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76A73EEE"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09261BD6" w14:textId="77777777" w:rsidR="005041C2" w:rsidRPr="00762D1F"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16069F76" w14:textId="77777777" w:rsidR="005041C2" w:rsidRPr="00762D1F" w:rsidRDefault="005041C2">
            <w:pPr>
              <w:widowControl w:val="0"/>
              <w:pBdr>
                <w:top w:val="nil"/>
                <w:left w:val="nil"/>
                <w:bottom w:val="nil"/>
                <w:right w:val="nil"/>
                <w:between w:val="nil"/>
              </w:pBdr>
              <w:jc w:val="right"/>
              <w:rPr>
                <w:color w:val="000000"/>
                <w:highlight w:val="green"/>
              </w:rPr>
            </w:pPr>
          </w:p>
        </w:tc>
        <w:tc>
          <w:tcPr>
            <w:tcW w:w="484" w:type="pct"/>
            <w:vAlign w:val="bottom"/>
          </w:tcPr>
          <w:p w14:paraId="47765071"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20F8DF1C" w14:textId="77777777" w:rsidR="005041C2" w:rsidRPr="00762D1F" w:rsidRDefault="005041C2">
            <w:pPr>
              <w:widowControl w:val="0"/>
              <w:pBdr>
                <w:top w:val="nil"/>
                <w:left w:val="nil"/>
                <w:bottom w:val="nil"/>
                <w:right w:val="nil"/>
                <w:between w:val="nil"/>
              </w:pBdr>
              <w:jc w:val="right"/>
              <w:rPr>
                <w:color w:val="000000"/>
                <w:highlight w:val="green"/>
              </w:rPr>
            </w:pPr>
          </w:p>
        </w:tc>
        <w:tc>
          <w:tcPr>
            <w:tcW w:w="476" w:type="pct"/>
            <w:vAlign w:val="bottom"/>
          </w:tcPr>
          <w:p w14:paraId="069409C5" w14:textId="77777777" w:rsidR="005041C2" w:rsidRPr="00762D1F"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784780D0" w14:textId="77777777" w:rsidR="005041C2" w:rsidRPr="00762D1F" w:rsidRDefault="005041C2">
            <w:pPr>
              <w:widowControl w:val="0"/>
              <w:pBdr>
                <w:top w:val="nil"/>
                <w:left w:val="nil"/>
                <w:bottom w:val="nil"/>
                <w:right w:val="nil"/>
                <w:between w:val="nil"/>
              </w:pBdr>
              <w:jc w:val="right"/>
              <w:rPr>
                <w:color w:val="000000"/>
                <w:highlight w:val="green"/>
              </w:rPr>
            </w:pPr>
          </w:p>
        </w:tc>
      </w:tr>
      <w:tr w:rsidR="00762D1F" w:rsidRPr="00762D1F" w14:paraId="565FECA8" w14:textId="77777777" w:rsidTr="00762D1F">
        <w:trPr>
          <w:trHeight w:val="23"/>
        </w:trPr>
        <w:tc>
          <w:tcPr>
            <w:tcW w:w="1496" w:type="pct"/>
            <w:shd w:val="clear" w:color="auto" w:fill="auto"/>
            <w:vAlign w:val="bottom"/>
          </w:tcPr>
          <w:p w14:paraId="3F66F08A"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Modification of contractual cash flows</w:t>
            </w:r>
          </w:p>
        </w:tc>
        <w:tc>
          <w:tcPr>
            <w:tcW w:w="472" w:type="pct"/>
            <w:shd w:val="clear" w:color="auto" w:fill="auto"/>
            <w:vAlign w:val="bottom"/>
          </w:tcPr>
          <w:p w14:paraId="6B26C130"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48CE2D39"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28A9B502"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1191C447"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0FFB9839"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420B79EE"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4D517447"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48E6B94F"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2A80DBA4" w14:textId="77777777" w:rsidTr="00762D1F">
        <w:trPr>
          <w:trHeight w:val="23"/>
        </w:trPr>
        <w:tc>
          <w:tcPr>
            <w:tcW w:w="1496" w:type="pct"/>
            <w:shd w:val="clear" w:color="auto" w:fill="auto"/>
            <w:vAlign w:val="bottom"/>
          </w:tcPr>
          <w:p w14:paraId="3906C485" w14:textId="77777777" w:rsidR="005041C2" w:rsidRPr="00762D1F" w:rsidRDefault="005041C2">
            <w:pPr>
              <w:widowControl w:val="0"/>
              <w:pBdr>
                <w:top w:val="nil"/>
                <w:left w:val="nil"/>
                <w:bottom w:val="nil"/>
                <w:right w:val="nil"/>
                <w:between w:val="nil"/>
              </w:pBdr>
              <w:ind w:left="113" w:hanging="113"/>
              <w:rPr>
                <w:color w:val="000000"/>
              </w:rPr>
            </w:pPr>
            <w:r w:rsidRPr="00762D1F">
              <w:rPr>
                <w:color w:val="000000"/>
              </w:rPr>
              <w:t xml:space="preserve">Unwinding of discount (for Stage 3) </w:t>
            </w:r>
          </w:p>
        </w:tc>
        <w:tc>
          <w:tcPr>
            <w:tcW w:w="472" w:type="pct"/>
            <w:shd w:val="clear" w:color="auto" w:fill="auto"/>
            <w:vAlign w:val="bottom"/>
          </w:tcPr>
          <w:p w14:paraId="53ADF3D6"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53704A8F"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15E9266B"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2C73A1E0"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4174C36C"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3779D715"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583D1A18"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3B1EDFEA"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64B97D5B" w14:textId="77777777" w:rsidTr="00762D1F">
        <w:trPr>
          <w:trHeight w:val="23"/>
        </w:trPr>
        <w:tc>
          <w:tcPr>
            <w:tcW w:w="1496" w:type="pct"/>
            <w:tcBorders>
              <w:bottom w:val="single" w:sz="4" w:space="0" w:color="000000"/>
            </w:tcBorders>
            <w:shd w:val="clear" w:color="auto" w:fill="auto"/>
            <w:vAlign w:val="bottom"/>
          </w:tcPr>
          <w:p w14:paraId="2C76EEEE" w14:textId="77777777" w:rsidR="005041C2" w:rsidRPr="00762D1F" w:rsidRDefault="005041C2">
            <w:pPr>
              <w:widowControl w:val="0"/>
              <w:pBdr>
                <w:top w:val="nil"/>
                <w:left w:val="nil"/>
                <w:bottom w:val="nil"/>
                <w:right w:val="nil"/>
                <w:between w:val="nil"/>
              </w:pBdr>
              <w:ind w:left="113" w:hanging="113"/>
              <w:rPr>
                <w:b/>
                <w:color w:val="000000"/>
              </w:rPr>
            </w:pPr>
          </w:p>
        </w:tc>
        <w:tc>
          <w:tcPr>
            <w:tcW w:w="472" w:type="pct"/>
            <w:tcBorders>
              <w:bottom w:val="single" w:sz="4" w:space="0" w:color="000000"/>
            </w:tcBorders>
            <w:shd w:val="clear" w:color="auto" w:fill="auto"/>
            <w:vAlign w:val="bottom"/>
          </w:tcPr>
          <w:p w14:paraId="69B8FDD2" w14:textId="77777777" w:rsidR="005041C2" w:rsidRPr="00762D1F" w:rsidRDefault="005041C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78EE4790"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683C5D31" w14:textId="77777777" w:rsidR="005041C2" w:rsidRPr="00762D1F" w:rsidRDefault="005041C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6ED000A2" w14:textId="77777777" w:rsidR="005041C2" w:rsidRPr="00762D1F" w:rsidRDefault="005041C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0D88830C"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491810C4"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3B480BE4" w14:textId="77777777" w:rsidR="005041C2" w:rsidRPr="00762D1F" w:rsidRDefault="005041C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55FCF7C1"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32EA1363" w14:textId="77777777" w:rsidTr="00762D1F">
        <w:trPr>
          <w:trHeight w:val="23"/>
        </w:trPr>
        <w:tc>
          <w:tcPr>
            <w:tcW w:w="1496" w:type="pct"/>
            <w:tcBorders>
              <w:top w:val="single" w:sz="4" w:space="0" w:color="000000"/>
            </w:tcBorders>
            <w:shd w:val="clear" w:color="auto" w:fill="auto"/>
            <w:vAlign w:val="bottom"/>
          </w:tcPr>
          <w:p w14:paraId="3B0AE885" w14:textId="77777777" w:rsidR="005041C2" w:rsidRPr="00762D1F" w:rsidRDefault="005041C2">
            <w:pPr>
              <w:widowControl w:val="0"/>
              <w:pBdr>
                <w:top w:val="nil"/>
                <w:left w:val="nil"/>
                <w:bottom w:val="nil"/>
                <w:right w:val="nil"/>
                <w:between w:val="nil"/>
              </w:pBdr>
              <w:ind w:left="113" w:hanging="113"/>
              <w:rPr>
                <w:color w:val="000000"/>
                <w:u w:val="single"/>
              </w:rPr>
            </w:pPr>
          </w:p>
        </w:tc>
        <w:tc>
          <w:tcPr>
            <w:tcW w:w="472" w:type="pct"/>
            <w:tcBorders>
              <w:top w:val="single" w:sz="4" w:space="0" w:color="000000"/>
            </w:tcBorders>
            <w:shd w:val="clear" w:color="auto" w:fill="auto"/>
            <w:vAlign w:val="bottom"/>
          </w:tcPr>
          <w:p w14:paraId="2C8715B4" w14:textId="77777777" w:rsidR="005041C2" w:rsidRPr="00762D1F" w:rsidRDefault="005041C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555856A2"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39006031" w14:textId="77777777" w:rsidR="005041C2" w:rsidRPr="00762D1F" w:rsidRDefault="005041C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5E76FB62" w14:textId="77777777" w:rsidR="005041C2" w:rsidRPr="00762D1F" w:rsidRDefault="005041C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5702A11D"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1AEBA796"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5D88D4FF" w14:textId="77777777" w:rsidR="005041C2" w:rsidRPr="00762D1F" w:rsidRDefault="005041C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65601A9E"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377F2E90" w14:textId="77777777" w:rsidTr="00762D1F">
        <w:trPr>
          <w:trHeight w:val="23"/>
        </w:trPr>
        <w:tc>
          <w:tcPr>
            <w:tcW w:w="1496" w:type="pct"/>
            <w:shd w:val="clear" w:color="auto" w:fill="auto"/>
            <w:vAlign w:val="bottom"/>
          </w:tcPr>
          <w:p w14:paraId="58F69DB2" w14:textId="44F5C449" w:rsidR="005041C2" w:rsidRPr="00762D1F" w:rsidRDefault="005041C2">
            <w:pPr>
              <w:widowControl w:val="0"/>
              <w:pBdr>
                <w:top w:val="nil"/>
                <w:left w:val="nil"/>
                <w:bottom w:val="nil"/>
                <w:right w:val="nil"/>
                <w:between w:val="nil"/>
              </w:pBdr>
              <w:ind w:left="113" w:hanging="113"/>
              <w:rPr>
                <w:b/>
                <w:color w:val="000000"/>
              </w:rPr>
            </w:pPr>
            <w:r w:rsidRPr="00762D1F">
              <w:rPr>
                <w:b/>
                <w:color w:val="000000"/>
              </w:rPr>
              <w:t>At 31</w:t>
            </w:r>
            <w:r w:rsidR="00181687">
              <w:rPr>
                <w:b/>
                <w:color w:val="000000"/>
              </w:rPr>
              <w:t> December </w:t>
            </w:r>
            <w:r w:rsidR="00541EBC">
              <w:rPr>
                <w:b/>
                <w:color w:val="000000"/>
              </w:rPr>
              <w:t>2024</w:t>
            </w:r>
          </w:p>
        </w:tc>
        <w:tc>
          <w:tcPr>
            <w:tcW w:w="472" w:type="pct"/>
            <w:shd w:val="clear" w:color="auto" w:fill="auto"/>
            <w:vAlign w:val="bottom"/>
          </w:tcPr>
          <w:p w14:paraId="080CA29D" w14:textId="77777777" w:rsidR="005041C2" w:rsidRPr="00762D1F"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67C7188E" w14:textId="77777777" w:rsidR="005041C2" w:rsidRPr="00762D1F"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5C05F047" w14:textId="77777777" w:rsidR="005041C2" w:rsidRPr="00762D1F"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6ADFB4D3" w14:textId="77777777" w:rsidR="005041C2" w:rsidRPr="00762D1F" w:rsidRDefault="005041C2">
            <w:pPr>
              <w:widowControl w:val="0"/>
              <w:pBdr>
                <w:top w:val="nil"/>
                <w:left w:val="nil"/>
                <w:bottom w:val="nil"/>
                <w:right w:val="nil"/>
                <w:between w:val="nil"/>
              </w:pBdr>
              <w:jc w:val="right"/>
              <w:rPr>
                <w:color w:val="000000"/>
              </w:rPr>
            </w:pPr>
          </w:p>
        </w:tc>
        <w:tc>
          <w:tcPr>
            <w:tcW w:w="484" w:type="pct"/>
            <w:vAlign w:val="bottom"/>
          </w:tcPr>
          <w:p w14:paraId="72EA30B8"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1D5C02F9" w14:textId="77777777" w:rsidR="005041C2" w:rsidRPr="00762D1F" w:rsidRDefault="005041C2">
            <w:pPr>
              <w:widowControl w:val="0"/>
              <w:pBdr>
                <w:top w:val="nil"/>
                <w:left w:val="nil"/>
                <w:bottom w:val="nil"/>
                <w:right w:val="nil"/>
                <w:between w:val="nil"/>
              </w:pBdr>
              <w:jc w:val="right"/>
              <w:rPr>
                <w:color w:val="000000"/>
              </w:rPr>
            </w:pPr>
          </w:p>
        </w:tc>
        <w:tc>
          <w:tcPr>
            <w:tcW w:w="476" w:type="pct"/>
            <w:vAlign w:val="bottom"/>
          </w:tcPr>
          <w:p w14:paraId="6DEAD54F" w14:textId="77777777" w:rsidR="005041C2" w:rsidRPr="00762D1F"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65062325" w14:textId="77777777" w:rsidR="005041C2" w:rsidRPr="00762D1F" w:rsidRDefault="005041C2">
            <w:pPr>
              <w:widowControl w:val="0"/>
              <w:pBdr>
                <w:top w:val="nil"/>
                <w:left w:val="nil"/>
                <w:bottom w:val="nil"/>
                <w:right w:val="nil"/>
                <w:between w:val="nil"/>
              </w:pBdr>
              <w:jc w:val="right"/>
              <w:rPr>
                <w:color w:val="000000"/>
              </w:rPr>
            </w:pPr>
          </w:p>
        </w:tc>
      </w:tr>
      <w:tr w:rsidR="00762D1F" w:rsidRPr="00762D1F" w14:paraId="5F6D432B" w14:textId="77777777" w:rsidTr="00762D1F">
        <w:trPr>
          <w:trHeight w:val="23"/>
        </w:trPr>
        <w:tc>
          <w:tcPr>
            <w:tcW w:w="1496" w:type="pct"/>
            <w:tcBorders>
              <w:bottom w:val="single" w:sz="12" w:space="0" w:color="000000"/>
            </w:tcBorders>
            <w:shd w:val="clear" w:color="auto" w:fill="auto"/>
            <w:vAlign w:val="bottom"/>
          </w:tcPr>
          <w:p w14:paraId="252A2846" w14:textId="77777777" w:rsidR="005041C2" w:rsidRPr="00762D1F" w:rsidRDefault="005041C2">
            <w:pPr>
              <w:widowControl w:val="0"/>
              <w:pBdr>
                <w:top w:val="nil"/>
                <w:left w:val="nil"/>
                <w:bottom w:val="nil"/>
                <w:right w:val="nil"/>
                <w:between w:val="nil"/>
              </w:pBdr>
              <w:ind w:left="113" w:hanging="113"/>
              <w:rPr>
                <w:b/>
                <w:color w:val="000000"/>
              </w:rPr>
            </w:pPr>
          </w:p>
        </w:tc>
        <w:tc>
          <w:tcPr>
            <w:tcW w:w="472" w:type="pct"/>
            <w:tcBorders>
              <w:bottom w:val="single" w:sz="12" w:space="0" w:color="000000"/>
            </w:tcBorders>
            <w:shd w:val="clear" w:color="auto" w:fill="auto"/>
            <w:vAlign w:val="bottom"/>
          </w:tcPr>
          <w:p w14:paraId="5D57D6BA" w14:textId="77777777" w:rsidR="005041C2" w:rsidRPr="00762D1F" w:rsidRDefault="005041C2">
            <w:pPr>
              <w:widowControl w:val="0"/>
              <w:pBdr>
                <w:top w:val="nil"/>
                <w:left w:val="nil"/>
                <w:bottom w:val="nil"/>
                <w:right w:val="nil"/>
                <w:between w:val="nil"/>
              </w:pBdr>
              <w:jc w:val="right"/>
              <w:rPr>
                <w:color w:val="000000"/>
              </w:rPr>
            </w:pPr>
          </w:p>
        </w:tc>
        <w:tc>
          <w:tcPr>
            <w:tcW w:w="487" w:type="pct"/>
            <w:tcBorders>
              <w:bottom w:val="single" w:sz="12" w:space="0" w:color="000000"/>
            </w:tcBorders>
            <w:shd w:val="clear" w:color="auto" w:fill="auto"/>
            <w:vAlign w:val="bottom"/>
          </w:tcPr>
          <w:p w14:paraId="0DD57A7C"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12" w:space="0" w:color="000000"/>
            </w:tcBorders>
            <w:shd w:val="clear" w:color="auto" w:fill="auto"/>
            <w:vAlign w:val="bottom"/>
          </w:tcPr>
          <w:p w14:paraId="51C8A383" w14:textId="77777777" w:rsidR="005041C2" w:rsidRPr="00762D1F" w:rsidRDefault="005041C2">
            <w:pPr>
              <w:widowControl w:val="0"/>
              <w:pBdr>
                <w:top w:val="nil"/>
                <w:left w:val="nil"/>
                <w:bottom w:val="nil"/>
                <w:right w:val="nil"/>
                <w:between w:val="nil"/>
              </w:pBdr>
              <w:jc w:val="right"/>
              <w:rPr>
                <w:color w:val="000000"/>
              </w:rPr>
            </w:pPr>
          </w:p>
        </w:tc>
        <w:tc>
          <w:tcPr>
            <w:tcW w:w="317" w:type="pct"/>
            <w:tcBorders>
              <w:bottom w:val="single" w:sz="12" w:space="0" w:color="000000"/>
            </w:tcBorders>
            <w:shd w:val="clear" w:color="auto" w:fill="auto"/>
            <w:vAlign w:val="bottom"/>
          </w:tcPr>
          <w:p w14:paraId="1935C8D6" w14:textId="77777777" w:rsidR="005041C2" w:rsidRPr="00762D1F" w:rsidRDefault="005041C2">
            <w:pPr>
              <w:widowControl w:val="0"/>
              <w:pBdr>
                <w:top w:val="nil"/>
                <w:left w:val="nil"/>
                <w:bottom w:val="nil"/>
                <w:right w:val="nil"/>
                <w:between w:val="nil"/>
              </w:pBdr>
              <w:jc w:val="right"/>
              <w:rPr>
                <w:color w:val="000000"/>
              </w:rPr>
            </w:pPr>
          </w:p>
        </w:tc>
        <w:tc>
          <w:tcPr>
            <w:tcW w:w="484" w:type="pct"/>
            <w:tcBorders>
              <w:bottom w:val="single" w:sz="12" w:space="0" w:color="000000"/>
            </w:tcBorders>
            <w:vAlign w:val="bottom"/>
          </w:tcPr>
          <w:p w14:paraId="5808888C"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12" w:space="0" w:color="000000"/>
            </w:tcBorders>
            <w:vAlign w:val="bottom"/>
          </w:tcPr>
          <w:p w14:paraId="5A6B5460" w14:textId="77777777" w:rsidR="005041C2" w:rsidRPr="00762D1F" w:rsidRDefault="005041C2">
            <w:pPr>
              <w:widowControl w:val="0"/>
              <w:pBdr>
                <w:top w:val="nil"/>
                <w:left w:val="nil"/>
                <w:bottom w:val="nil"/>
                <w:right w:val="nil"/>
                <w:between w:val="nil"/>
              </w:pBdr>
              <w:jc w:val="right"/>
              <w:rPr>
                <w:color w:val="000000"/>
              </w:rPr>
            </w:pPr>
          </w:p>
        </w:tc>
        <w:tc>
          <w:tcPr>
            <w:tcW w:w="476" w:type="pct"/>
            <w:tcBorders>
              <w:bottom w:val="single" w:sz="12" w:space="0" w:color="000000"/>
            </w:tcBorders>
            <w:vAlign w:val="bottom"/>
          </w:tcPr>
          <w:p w14:paraId="6290C7D5" w14:textId="77777777" w:rsidR="005041C2" w:rsidRPr="00762D1F" w:rsidRDefault="005041C2">
            <w:pPr>
              <w:widowControl w:val="0"/>
              <w:pBdr>
                <w:top w:val="nil"/>
                <w:left w:val="nil"/>
                <w:bottom w:val="nil"/>
                <w:right w:val="nil"/>
                <w:between w:val="nil"/>
              </w:pBdr>
              <w:jc w:val="right"/>
              <w:rPr>
                <w:color w:val="000000"/>
              </w:rPr>
            </w:pPr>
          </w:p>
        </w:tc>
        <w:tc>
          <w:tcPr>
            <w:tcW w:w="316" w:type="pct"/>
            <w:tcBorders>
              <w:bottom w:val="single" w:sz="12" w:space="0" w:color="000000"/>
            </w:tcBorders>
            <w:shd w:val="clear" w:color="auto" w:fill="auto"/>
            <w:vAlign w:val="bottom"/>
          </w:tcPr>
          <w:p w14:paraId="674F11DD" w14:textId="77777777" w:rsidR="005041C2" w:rsidRPr="00762D1F" w:rsidRDefault="005041C2">
            <w:pPr>
              <w:widowControl w:val="0"/>
              <w:pBdr>
                <w:top w:val="nil"/>
                <w:left w:val="nil"/>
                <w:bottom w:val="nil"/>
                <w:right w:val="nil"/>
                <w:between w:val="nil"/>
              </w:pBdr>
              <w:jc w:val="right"/>
              <w:rPr>
                <w:color w:val="000000"/>
              </w:rPr>
            </w:pPr>
          </w:p>
        </w:tc>
      </w:tr>
    </w:tbl>
    <w:p w14:paraId="08569889" w14:textId="35B83E1E" w:rsidR="00D83E33" w:rsidRDefault="00BC4072" w:rsidP="001B330E">
      <w:pPr>
        <w:pStyle w:val="Continued"/>
      </w:pPr>
      <w:r>
        <w:lastRenderedPageBreak/>
        <w:t>9</w:t>
      </w:r>
      <w:r>
        <w:tab/>
        <w:t>Investments in Debt Securities (Continued)</w:t>
      </w:r>
    </w:p>
    <w:tbl>
      <w:tblPr>
        <w:tblStyle w:val="aff"/>
        <w:tblW w:w="5000" w:type="pct"/>
        <w:tblLayout w:type="fixed"/>
        <w:tblLook w:val="0000" w:firstRow="0" w:lastRow="0" w:firstColumn="0" w:lastColumn="0" w:noHBand="0" w:noVBand="0"/>
      </w:tblPr>
      <w:tblGrid>
        <w:gridCol w:w="2798"/>
        <w:gridCol w:w="820"/>
        <w:gridCol w:w="820"/>
        <w:gridCol w:w="820"/>
        <w:gridCol w:w="819"/>
        <w:gridCol w:w="819"/>
        <w:gridCol w:w="819"/>
        <w:gridCol w:w="819"/>
        <w:gridCol w:w="821"/>
      </w:tblGrid>
      <w:tr w:rsidR="005041C2" w:rsidRPr="00800884" w14:paraId="46494040" w14:textId="77777777" w:rsidTr="001B330E">
        <w:trPr>
          <w:trHeight w:val="23"/>
        </w:trPr>
        <w:tc>
          <w:tcPr>
            <w:tcW w:w="1495" w:type="pct"/>
            <w:shd w:val="clear" w:color="auto" w:fill="auto"/>
            <w:vAlign w:val="bottom"/>
          </w:tcPr>
          <w:p w14:paraId="7D2674E4" w14:textId="77777777" w:rsidR="005041C2" w:rsidRPr="00372E26" w:rsidRDefault="005041C2">
            <w:pPr>
              <w:widowControl w:val="0"/>
              <w:pBdr>
                <w:top w:val="nil"/>
                <w:left w:val="nil"/>
                <w:bottom w:val="nil"/>
                <w:right w:val="nil"/>
                <w:between w:val="nil"/>
              </w:pBdr>
              <w:ind w:left="113" w:hanging="113"/>
              <w:rPr>
                <w:i/>
                <w:color w:val="000000"/>
              </w:rPr>
            </w:pPr>
          </w:p>
        </w:tc>
        <w:tc>
          <w:tcPr>
            <w:tcW w:w="1752" w:type="pct"/>
            <w:gridSpan w:val="4"/>
            <w:tcBorders>
              <w:bottom w:val="single" w:sz="4" w:space="0" w:color="000000"/>
            </w:tcBorders>
            <w:shd w:val="clear" w:color="auto" w:fill="auto"/>
          </w:tcPr>
          <w:p w14:paraId="475F46B7" w14:textId="77777777" w:rsidR="005041C2" w:rsidRPr="00372E26" w:rsidRDefault="005041C2" w:rsidP="001B330E">
            <w:pPr>
              <w:widowControl w:val="0"/>
              <w:pBdr>
                <w:top w:val="nil"/>
                <w:left w:val="nil"/>
                <w:bottom w:val="nil"/>
                <w:right w:val="nil"/>
                <w:between w:val="nil"/>
              </w:pBdr>
              <w:tabs>
                <w:tab w:val="left" w:pos="3182"/>
              </w:tabs>
              <w:jc w:val="center"/>
              <w:rPr>
                <w:b/>
                <w:color w:val="000000"/>
              </w:rPr>
            </w:pPr>
            <w:r w:rsidRPr="00372E26">
              <w:rPr>
                <w:b/>
                <w:color w:val="000000"/>
              </w:rPr>
              <w:t>Credit loss allowance</w:t>
            </w:r>
          </w:p>
        </w:tc>
        <w:tc>
          <w:tcPr>
            <w:tcW w:w="1753" w:type="pct"/>
            <w:gridSpan w:val="4"/>
            <w:tcBorders>
              <w:bottom w:val="single" w:sz="4" w:space="0" w:color="000000"/>
            </w:tcBorders>
          </w:tcPr>
          <w:p w14:paraId="0B72984C" w14:textId="77777777" w:rsidR="005041C2" w:rsidRPr="00372E26" w:rsidRDefault="005041C2" w:rsidP="001B330E">
            <w:pPr>
              <w:widowControl w:val="0"/>
              <w:pBdr>
                <w:top w:val="nil"/>
                <w:left w:val="nil"/>
                <w:bottom w:val="nil"/>
                <w:right w:val="nil"/>
                <w:between w:val="nil"/>
              </w:pBdr>
              <w:jc w:val="center"/>
              <w:rPr>
                <w:b/>
                <w:color w:val="000000"/>
              </w:rPr>
            </w:pPr>
            <w:r w:rsidRPr="00372E26">
              <w:rPr>
                <w:b/>
                <w:color w:val="000000"/>
              </w:rPr>
              <w:t>Gross carrying amount</w:t>
            </w:r>
          </w:p>
        </w:tc>
      </w:tr>
      <w:tr w:rsidR="005041C2" w:rsidRPr="00800884" w14:paraId="2A5B4CB9" w14:textId="77777777" w:rsidTr="001B330E">
        <w:trPr>
          <w:trHeight w:val="23"/>
        </w:trPr>
        <w:tc>
          <w:tcPr>
            <w:tcW w:w="1495" w:type="pct"/>
            <w:tcBorders>
              <w:bottom w:val="single" w:sz="4" w:space="0" w:color="000000"/>
            </w:tcBorders>
            <w:shd w:val="clear" w:color="auto" w:fill="auto"/>
            <w:vAlign w:val="bottom"/>
          </w:tcPr>
          <w:p w14:paraId="0332AA46" w14:textId="77777777" w:rsidR="005041C2" w:rsidRPr="00372E26" w:rsidRDefault="005041C2">
            <w:pPr>
              <w:widowControl w:val="0"/>
              <w:pBdr>
                <w:top w:val="nil"/>
                <w:left w:val="nil"/>
                <w:bottom w:val="nil"/>
                <w:right w:val="nil"/>
                <w:between w:val="nil"/>
              </w:pBdr>
              <w:ind w:left="113" w:hanging="113"/>
              <w:rPr>
                <w:i/>
                <w:color w:val="000000"/>
              </w:rPr>
            </w:pPr>
          </w:p>
          <w:p w14:paraId="49BAFCCC" w14:textId="66760F86" w:rsidR="005041C2" w:rsidRPr="00372E26" w:rsidRDefault="00313B4D">
            <w:pPr>
              <w:widowControl w:val="0"/>
              <w:pBdr>
                <w:top w:val="nil"/>
                <w:left w:val="nil"/>
                <w:bottom w:val="nil"/>
                <w:right w:val="nil"/>
                <w:between w:val="nil"/>
              </w:pBdr>
              <w:ind w:left="113" w:hanging="113"/>
              <w:rPr>
                <w:b/>
                <w:i/>
                <w:color w:val="000000"/>
              </w:rPr>
            </w:pPr>
            <w:r w:rsidRPr="00372E26">
              <w:rPr>
                <w:i/>
                <w:color w:val="000000"/>
              </w:rPr>
              <w:t xml:space="preserve">In thousands of </w:t>
            </w:r>
            <w:r w:rsidR="002649EE" w:rsidRPr="00372E26">
              <w:rPr>
                <w:i/>
                <w:color w:val="000000"/>
              </w:rPr>
              <w:t>EUR</w:t>
            </w:r>
          </w:p>
        </w:tc>
        <w:tc>
          <w:tcPr>
            <w:tcW w:w="438" w:type="pct"/>
            <w:tcBorders>
              <w:top w:val="single" w:sz="4" w:space="0" w:color="000000"/>
              <w:bottom w:val="single" w:sz="4" w:space="0" w:color="000000"/>
            </w:tcBorders>
            <w:shd w:val="clear" w:color="auto" w:fill="auto"/>
          </w:tcPr>
          <w:p w14:paraId="2580EEE3"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1</w:t>
            </w:r>
          </w:p>
          <w:p w14:paraId="5E593D99" w14:textId="77777777" w:rsidR="005041C2" w:rsidRPr="00372E26" w:rsidRDefault="005041C2" w:rsidP="001B330E">
            <w:pPr>
              <w:widowControl w:val="0"/>
              <w:pBdr>
                <w:top w:val="nil"/>
                <w:left w:val="nil"/>
                <w:bottom w:val="nil"/>
                <w:right w:val="nil"/>
                <w:between w:val="nil"/>
              </w:pBdr>
              <w:ind w:left="-113" w:firstLine="142"/>
              <w:jc w:val="right"/>
              <w:rPr>
                <w:b/>
                <w:color w:val="000000"/>
              </w:rPr>
            </w:pPr>
            <w:r w:rsidRPr="00372E26">
              <w:rPr>
                <w:b/>
                <w:color w:val="000000"/>
              </w:rPr>
              <w:t>(12-months ECL)</w:t>
            </w:r>
          </w:p>
        </w:tc>
        <w:tc>
          <w:tcPr>
            <w:tcW w:w="438" w:type="pct"/>
            <w:tcBorders>
              <w:top w:val="single" w:sz="4" w:space="0" w:color="000000"/>
              <w:bottom w:val="single" w:sz="4" w:space="0" w:color="000000"/>
            </w:tcBorders>
            <w:shd w:val="clear" w:color="auto" w:fill="auto"/>
          </w:tcPr>
          <w:p w14:paraId="209D0D32"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2</w:t>
            </w:r>
          </w:p>
          <w:p w14:paraId="440FFF3F" w14:textId="19ADE8A5"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(lifetime ECL for SICR)</w:t>
            </w:r>
          </w:p>
        </w:tc>
        <w:tc>
          <w:tcPr>
            <w:tcW w:w="438" w:type="pct"/>
            <w:tcBorders>
              <w:top w:val="single" w:sz="4" w:space="0" w:color="000000"/>
              <w:bottom w:val="single" w:sz="4" w:space="0" w:color="000000"/>
            </w:tcBorders>
            <w:shd w:val="clear" w:color="auto" w:fill="auto"/>
          </w:tcPr>
          <w:p w14:paraId="34BFE3B0"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3</w:t>
            </w:r>
          </w:p>
          <w:p w14:paraId="408E9B92"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(lifetime ECL for credit im-paired)</w:t>
            </w:r>
          </w:p>
        </w:tc>
        <w:tc>
          <w:tcPr>
            <w:tcW w:w="438" w:type="pct"/>
            <w:tcBorders>
              <w:top w:val="single" w:sz="4" w:space="0" w:color="000000"/>
              <w:bottom w:val="single" w:sz="4" w:space="0" w:color="000000"/>
            </w:tcBorders>
            <w:shd w:val="clear" w:color="auto" w:fill="auto"/>
          </w:tcPr>
          <w:p w14:paraId="39F31891"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Total</w:t>
            </w:r>
          </w:p>
        </w:tc>
        <w:tc>
          <w:tcPr>
            <w:tcW w:w="438" w:type="pct"/>
            <w:tcBorders>
              <w:top w:val="single" w:sz="4" w:space="0" w:color="000000"/>
              <w:bottom w:val="single" w:sz="4" w:space="0" w:color="000000"/>
            </w:tcBorders>
          </w:tcPr>
          <w:p w14:paraId="75BA7E1A"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1</w:t>
            </w:r>
          </w:p>
          <w:p w14:paraId="0E849CBD"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(12-months ECL)</w:t>
            </w:r>
          </w:p>
        </w:tc>
        <w:tc>
          <w:tcPr>
            <w:tcW w:w="438" w:type="pct"/>
            <w:tcBorders>
              <w:top w:val="single" w:sz="4" w:space="0" w:color="000000"/>
              <w:bottom w:val="single" w:sz="4" w:space="0" w:color="000000"/>
            </w:tcBorders>
          </w:tcPr>
          <w:p w14:paraId="107DCAB7"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2</w:t>
            </w:r>
          </w:p>
          <w:p w14:paraId="44D68FF8" w14:textId="3FC2BA84"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(lifetime ECL for SICR)</w:t>
            </w:r>
          </w:p>
        </w:tc>
        <w:tc>
          <w:tcPr>
            <w:tcW w:w="438" w:type="pct"/>
            <w:tcBorders>
              <w:top w:val="single" w:sz="4" w:space="0" w:color="000000"/>
              <w:bottom w:val="single" w:sz="4" w:space="0" w:color="000000"/>
            </w:tcBorders>
          </w:tcPr>
          <w:p w14:paraId="765DED7D"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3</w:t>
            </w:r>
          </w:p>
          <w:p w14:paraId="0C6CD0CB"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(lifetime ECL for credit im-paired)</w:t>
            </w:r>
          </w:p>
        </w:tc>
        <w:tc>
          <w:tcPr>
            <w:tcW w:w="438" w:type="pct"/>
            <w:tcBorders>
              <w:top w:val="single" w:sz="4" w:space="0" w:color="000000"/>
              <w:bottom w:val="single" w:sz="4" w:space="0" w:color="000000"/>
            </w:tcBorders>
            <w:shd w:val="clear" w:color="auto" w:fill="auto"/>
          </w:tcPr>
          <w:p w14:paraId="4592C34D"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Total</w:t>
            </w:r>
          </w:p>
        </w:tc>
      </w:tr>
      <w:tr w:rsidR="005041C2" w:rsidRPr="00800884" w14:paraId="27D84E30" w14:textId="77777777" w:rsidTr="001B330E">
        <w:trPr>
          <w:trHeight w:val="23"/>
        </w:trPr>
        <w:tc>
          <w:tcPr>
            <w:tcW w:w="1495" w:type="pct"/>
            <w:shd w:val="clear" w:color="auto" w:fill="auto"/>
            <w:vAlign w:val="bottom"/>
          </w:tcPr>
          <w:p w14:paraId="0B9B1054" w14:textId="77777777" w:rsidR="005041C2" w:rsidRPr="00372E26" w:rsidRDefault="005041C2">
            <w:pPr>
              <w:widowControl w:val="0"/>
              <w:ind w:left="113" w:hanging="113"/>
            </w:pPr>
          </w:p>
        </w:tc>
        <w:tc>
          <w:tcPr>
            <w:tcW w:w="438" w:type="pct"/>
            <w:shd w:val="clear" w:color="auto" w:fill="auto"/>
            <w:vAlign w:val="bottom"/>
          </w:tcPr>
          <w:p w14:paraId="56CE260E"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3D96C220"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5BA213B3"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73DA9E34"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4634A117"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6C14CAEA"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74B971DC"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951F2B2"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4CF93E2B" w14:textId="77777777" w:rsidTr="001B330E">
        <w:trPr>
          <w:trHeight w:val="23"/>
        </w:trPr>
        <w:tc>
          <w:tcPr>
            <w:tcW w:w="1495" w:type="pct"/>
            <w:shd w:val="clear" w:color="auto" w:fill="auto"/>
            <w:vAlign w:val="bottom"/>
          </w:tcPr>
          <w:p w14:paraId="303C51C5" w14:textId="1E1670B3" w:rsidR="005041C2" w:rsidRPr="00372E26" w:rsidRDefault="001F77EE">
            <w:pPr>
              <w:widowControl w:val="0"/>
              <w:pBdr>
                <w:top w:val="nil"/>
                <w:left w:val="nil"/>
                <w:bottom w:val="nil"/>
                <w:right w:val="nil"/>
                <w:between w:val="nil"/>
              </w:pBdr>
              <w:ind w:left="113" w:hanging="113"/>
              <w:rPr>
                <w:b/>
                <w:i/>
                <w:color w:val="000000"/>
              </w:rPr>
            </w:pPr>
            <w:r>
              <w:rPr>
                <w:b/>
                <w:i/>
                <w:color w:val="0000FF"/>
              </w:rPr>
              <w:t>[</w:t>
            </w:r>
            <w:r w:rsidR="00372E26">
              <w:rPr>
                <w:b/>
                <w:i/>
                <w:color w:val="0000FF"/>
              </w:rPr>
              <w:t>[Country]</w:t>
            </w:r>
            <w:r w:rsidR="005041C2" w:rsidRPr="00372E26">
              <w:rPr>
                <w:b/>
                <w:i/>
                <w:color w:val="0000FF"/>
              </w:rPr>
              <w:t xml:space="preserve"> government bonds</w:t>
            </w:r>
            <w:r>
              <w:rPr>
                <w:b/>
                <w:i/>
                <w:color w:val="0000FF"/>
              </w:rPr>
              <w:t>]</w:t>
            </w:r>
          </w:p>
        </w:tc>
        <w:tc>
          <w:tcPr>
            <w:tcW w:w="438" w:type="pct"/>
            <w:shd w:val="clear" w:color="auto" w:fill="auto"/>
            <w:vAlign w:val="bottom"/>
          </w:tcPr>
          <w:p w14:paraId="1519AD3D"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1517B941"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4A2AC004"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65152547"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08DDD836"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41BC3E4C"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6DAEC9AA"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657B79B7"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052D72B1" w14:textId="77777777" w:rsidTr="001B330E">
        <w:trPr>
          <w:trHeight w:val="23"/>
        </w:trPr>
        <w:tc>
          <w:tcPr>
            <w:tcW w:w="1495" w:type="pct"/>
            <w:shd w:val="clear" w:color="auto" w:fill="auto"/>
            <w:vAlign w:val="bottom"/>
          </w:tcPr>
          <w:p w14:paraId="10D2C58D" w14:textId="77777777" w:rsidR="005041C2" w:rsidRPr="00372E26" w:rsidRDefault="005041C2">
            <w:pPr>
              <w:widowControl w:val="0"/>
              <w:pBdr>
                <w:top w:val="nil"/>
                <w:left w:val="nil"/>
                <w:bottom w:val="nil"/>
                <w:right w:val="nil"/>
                <w:between w:val="nil"/>
              </w:pBdr>
              <w:ind w:left="113" w:hanging="113"/>
              <w:rPr>
                <w:b/>
                <w:i/>
                <w:color w:val="000000"/>
              </w:rPr>
            </w:pPr>
          </w:p>
        </w:tc>
        <w:tc>
          <w:tcPr>
            <w:tcW w:w="438" w:type="pct"/>
            <w:shd w:val="clear" w:color="auto" w:fill="auto"/>
            <w:vAlign w:val="bottom"/>
          </w:tcPr>
          <w:p w14:paraId="00F1621B"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474D5BE8"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DCBB2AA"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A9211D5"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6B1C2D5A"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3304B83A"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571C5D83"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63C5FA0"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59EB2EBC" w14:textId="77777777" w:rsidTr="001B330E">
        <w:trPr>
          <w:trHeight w:val="23"/>
        </w:trPr>
        <w:tc>
          <w:tcPr>
            <w:tcW w:w="1495" w:type="pct"/>
            <w:shd w:val="clear" w:color="auto" w:fill="auto"/>
            <w:vAlign w:val="bottom"/>
          </w:tcPr>
          <w:p w14:paraId="3B95A3A1" w14:textId="2377FE10" w:rsidR="005041C2" w:rsidRPr="00372E26" w:rsidRDefault="005041C2">
            <w:pPr>
              <w:widowControl w:val="0"/>
              <w:pBdr>
                <w:top w:val="nil"/>
                <w:left w:val="nil"/>
                <w:bottom w:val="nil"/>
                <w:right w:val="nil"/>
                <w:between w:val="nil"/>
              </w:pBdr>
              <w:ind w:left="113" w:hanging="113"/>
              <w:rPr>
                <w:b/>
                <w:color w:val="0000FF"/>
              </w:rPr>
            </w:pPr>
            <w:r w:rsidRPr="00372E26">
              <w:rPr>
                <w:b/>
                <w:color w:val="000000"/>
              </w:rPr>
              <w:t xml:space="preserve">At 1 January </w:t>
            </w:r>
            <w:r w:rsidR="00541EBC">
              <w:rPr>
                <w:b/>
                <w:color w:val="000000"/>
              </w:rPr>
              <w:t>2023</w:t>
            </w:r>
          </w:p>
        </w:tc>
        <w:tc>
          <w:tcPr>
            <w:tcW w:w="438" w:type="pct"/>
            <w:shd w:val="clear" w:color="auto" w:fill="auto"/>
            <w:vAlign w:val="bottom"/>
          </w:tcPr>
          <w:p w14:paraId="76B31B38"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50283B57"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32794628"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185464B"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4A0786A6"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1DC56320"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38788DC7"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3E3EC41"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265FC7BB" w14:textId="77777777" w:rsidTr="001B330E">
        <w:trPr>
          <w:trHeight w:val="23"/>
        </w:trPr>
        <w:tc>
          <w:tcPr>
            <w:tcW w:w="1495" w:type="pct"/>
            <w:shd w:val="clear" w:color="auto" w:fill="auto"/>
            <w:vAlign w:val="bottom"/>
          </w:tcPr>
          <w:p w14:paraId="2E6CDA2F" w14:textId="77777777" w:rsidR="005041C2" w:rsidRPr="00372E26" w:rsidRDefault="005041C2">
            <w:pPr>
              <w:widowControl w:val="0"/>
              <w:pBdr>
                <w:top w:val="nil"/>
                <w:left w:val="nil"/>
                <w:bottom w:val="nil"/>
                <w:right w:val="nil"/>
                <w:between w:val="nil"/>
              </w:pBdr>
              <w:ind w:left="113" w:hanging="113"/>
              <w:rPr>
                <w:b/>
                <w:color w:val="000000"/>
              </w:rPr>
            </w:pPr>
          </w:p>
          <w:p w14:paraId="20FB0887" w14:textId="77777777" w:rsidR="005041C2" w:rsidRPr="00372E26" w:rsidRDefault="005041C2">
            <w:pPr>
              <w:widowControl w:val="0"/>
              <w:pBdr>
                <w:top w:val="nil"/>
                <w:left w:val="nil"/>
                <w:bottom w:val="nil"/>
                <w:right w:val="nil"/>
                <w:between w:val="nil"/>
              </w:pBdr>
              <w:ind w:left="113" w:hanging="113"/>
              <w:rPr>
                <w:b/>
                <w:color w:val="000000"/>
              </w:rPr>
            </w:pPr>
            <w:r w:rsidRPr="00372E26">
              <w:rPr>
                <w:i/>
                <w:color w:val="000000"/>
              </w:rPr>
              <w:t>Movements with impact on credit loss allowance charge for the period:</w:t>
            </w:r>
          </w:p>
        </w:tc>
        <w:tc>
          <w:tcPr>
            <w:tcW w:w="438" w:type="pct"/>
            <w:shd w:val="clear" w:color="auto" w:fill="auto"/>
            <w:vAlign w:val="bottom"/>
          </w:tcPr>
          <w:p w14:paraId="5982F982"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10AAE199"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69D573E"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5D28A2E3"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76F84770" w14:textId="77777777" w:rsidR="005041C2" w:rsidRPr="00372E26" w:rsidRDefault="005041C2" w:rsidP="001B330E">
            <w:pPr>
              <w:widowControl w:val="0"/>
              <w:pBdr>
                <w:top w:val="nil"/>
                <w:left w:val="nil"/>
                <w:bottom w:val="nil"/>
                <w:right w:val="nil"/>
                <w:between w:val="nil"/>
              </w:pBdr>
              <w:jc w:val="right"/>
              <w:rPr>
                <w:color w:val="000000"/>
              </w:rPr>
            </w:pPr>
          </w:p>
        </w:tc>
        <w:tc>
          <w:tcPr>
            <w:tcW w:w="438" w:type="pct"/>
          </w:tcPr>
          <w:p w14:paraId="2DD99371"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0EFA245B"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2D51636B"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1082B654" w14:textId="77777777" w:rsidTr="001B330E">
        <w:trPr>
          <w:trHeight w:val="23"/>
        </w:trPr>
        <w:tc>
          <w:tcPr>
            <w:tcW w:w="1495" w:type="pct"/>
            <w:shd w:val="clear" w:color="auto" w:fill="auto"/>
            <w:vAlign w:val="bottom"/>
          </w:tcPr>
          <w:p w14:paraId="437E0BD4" w14:textId="77777777" w:rsidR="005041C2" w:rsidRPr="00372E26" w:rsidRDefault="005041C2">
            <w:pPr>
              <w:widowControl w:val="0"/>
              <w:pBdr>
                <w:top w:val="nil"/>
                <w:left w:val="nil"/>
                <w:bottom w:val="nil"/>
                <w:right w:val="nil"/>
                <w:between w:val="nil"/>
              </w:pBdr>
              <w:ind w:left="113" w:hanging="113"/>
              <w:rPr>
                <w:color w:val="000000"/>
              </w:rPr>
            </w:pPr>
          </w:p>
        </w:tc>
        <w:tc>
          <w:tcPr>
            <w:tcW w:w="438" w:type="pct"/>
            <w:shd w:val="clear" w:color="auto" w:fill="auto"/>
            <w:vAlign w:val="bottom"/>
          </w:tcPr>
          <w:p w14:paraId="55989503"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59997B7D"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70235DB9"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17CF70F4"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364FD588"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2FBFA430"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660AA0D9"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40C995C0"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800884" w14:paraId="3D8B5CCA" w14:textId="77777777" w:rsidTr="001B330E">
        <w:trPr>
          <w:trHeight w:val="23"/>
        </w:trPr>
        <w:tc>
          <w:tcPr>
            <w:tcW w:w="1495" w:type="pct"/>
            <w:shd w:val="clear" w:color="auto" w:fill="auto"/>
            <w:vAlign w:val="bottom"/>
          </w:tcPr>
          <w:p w14:paraId="01996440" w14:textId="77777777" w:rsidR="005041C2" w:rsidRPr="00372E26" w:rsidRDefault="005041C2">
            <w:pPr>
              <w:widowControl w:val="0"/>
              <w:pBdr>
                <w:top w:val="nil"/>
                <w:left w:val="nil"/>
                <w:bottom w:val="nil"/>
                <w:right w:val="nil"/>
                <w:between w:val="nil"/>
              </w:pBdr>
              <w:ind w:left="113" w:hanging="113"/>
              <w:rPr>
                <w:color w:val="0000FF"/>
              </w:rPr>
            </w:pPr>
            <w:r w:rsidRPr="00372E26">
              <w:rPr>
                <w:color w:val="000000"/>
              </w:rPr>
              <w:t>Transfers:</w:t>
            </w:r>
          </w:p>
        </w:tc>
        <w:tc>
          <w:tcPr>
            <w:tcW w:w="438" w:type="pct"/>
            <w:shd w:val="clear" w:color="auto" w:fill="auto"/>
            <w:vAlign w:val="bottom"/>
          </w:tcPr>
          <w:p w14:paraId="74A79369"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5BCF0AC5"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30DD150A"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2C7CE292"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5C6997C1"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59EFB748"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5C571BC6"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14D153DF"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800884" w14:paraId="6CAB5F8B" w14:textId="77777777" w:rsidTr="001B330E">
        <w:trPr>
          <w:trHeight w:val="23"/>
        </w:trPr>
        <w:tc>
          <w:tcPr>
            <w:tcW w:w="1495" w:type="pct"/>
            <w:shd w:val="clear" w:color="auto" w:fill="auto"/>
            <w:vAlign w:val="bottom"/>
          </w:tcPr>
          <w:p w14:paraId="267395DD"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 to lifetime (from Stage 1 to Stage 2)</w:t>
            </w:r>
          </w:p>
        </w:tc>
        <w:tc>
          <w:tcPr>
            <w:tcW w:w="438" w:type="pct"/>
            <w:shd w:val="clear" w:color="auto" w:fill="auto"/>
            <w:vAlign w:val="bottom"/>
          </w:tcPr>
          <w:p w14:paraId="3B490904"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7BEBAE19"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1B82F882"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0A845DC9"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30E65A87"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102BBB92"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78C7914C"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1B1E18D5"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800884" w14:paraId="3F3F043D" w14:textId="77777777" w:rsidTr="001B330E">
        <w:trPr>
          <w:trHeight w:val="23"/>
        </w:trPr>
        <w:tc>
          <w:tcPr>
            <w:tcW w:w="1495" w:type="pct"/>
            <w:shd w:val="clear" w:color="auto" w:fill="auto"/>
            <w:vAlign w:val="bottom"/>
          </w:tcPr>
          <w:p w14:paraId="057D523C"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 to credit-impaired (from Stage 1 and Stage 2 to Stage 3)</w:t>
            </w:r>
          </w:p>
        </w:tc>
        <w:tc>
          <w:tcPr>
            <w:tcW w:w="438" w:type="pct"/>
            <w:shd w:val="clear" w:color="auto" w:fill="auto"/>
            <w:vAlign w:val="bottom"/>
          </w:tcPr>
          <w:p w14:paraId="33C8694A"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2A7C1D24"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7676BF13"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448D234E"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3832C344"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0E79CD2A"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71C08658"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01EEBFC1"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800884" w14:paraId="03F676B5" w14:textId="77777777" w:rsidTr="001B330E">
        <w:trPr>
          <w:trHeight w:val="23"/>
        </w:trPr>
        <w:tc>
          <w:tcPr>
            <w:tcW w:w="1495" w:type="pct"/>
            <w:shd w:val="clear" w:color="auto" w:fill="auto"/>
            <w:vAlign w:val="bottom"/>
          </w:tcPr>
          <w:p w14:paraId="6F9269AF"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 to 12-months ECL (from Stage 2 and Stage 3 to Stage 1)</w:t>
            </w:r>
          </w:p>
        </w:tc>
        <w:tc>
          <w:tcPr>
            <w:tcW w:w="438" w:type="pct"/>
            <w:shd w:val="clear" w:color="auto" w:fill="auto"/>
            <w:vAlign w:val="bottom"/>
          </w:tcPr>
          <w:p w14:paraId="5EED4107"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4EE49D75"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33796B45"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541500C5"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49A4C41E"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5104822C"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tcPr>
          <w:p w14:paraId="3502B291"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438943AF"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800884" w14:paraId="1B42F499" w14:textId="77777777" w:rsidTr="001B330E">
        <w:trPr>
          <w:trHeight w:val="23"/>
        </w:trPr>
        <w:tc>
          <w:tcPr>
            <w:tcW w:w="1495" w:type="pct"/>
            <w:shd w:val="clear" w:color="auto" w:fill="auto"/>
            <w:vAlign w:val="bottom"/>
          </w:tcPr>
          <w:p w14:paraId="2134A0F9"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New originated or purchased</w:t>
            </w:r>
          </w:p>
        </w:tc>
        <w:tc>
          <w:tcPr>
            <w:tcW w:w="438" w:type="pct"/>
            <w:shd w:val="clear" w:color="auto" w:fill="auto"/>
            <w:vAlign w:val="bottom"/>
          </w:tcPr>
          <w:p w14:paraId="7B10322A"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376180ED"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329BCDC1"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1E312DCC"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7D08657D"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462A57EF"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617C3879"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58F7330"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75241B2B" w14:textId="77777777" w:rsidTr="001B330E">
        <w:trPr>
          <w:trHeight w:val="23"/>
        </w:trPr>
        <w:tc>
          <w:tcPr>
            <w:tcW w:w="1495" w:type="pct"/>
            <w:shd w:val="clear" w:color="auto" w:fill="auto"/>
            <w:vAlign w:val="bottom"/>
          </w:tcPr>
          <w:p w14:paraId="72AE444E"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Derecognised during the period</w:t>
            </w:r>
          </w:p>
        </w:tc>
        <w:tc>
          <w:tcPr>
            <w:tcW w:w="438" w:type="pct"/>
            <w:shd w:val="clear" w:color="auto" w:fill="auto"/>
            <w:vAlign w:val="bottom"/>
          </w:tcPr>
          <w:p w14:paraId="227F636B"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C15B5BF"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37EA2ADE"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2D7B4F41"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7CEF752A"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096EB77C" w14:textId="77777777" w:rsidR="005041C2" w:rsidRPr="00372E26" w:rsidRDefault="005041C2">
            <w:pPr>
              <w:widowControl w:val="0"/>
              <w:pBdr>
                <w:top w:val="nil"/>
                <w:left w:val="nil"/>
                <w:bottom w:val="nil"/>
                <w:right w:val="nil"/>
                <w:between w:val="nil"/>
              </w:pBdr>
              <w:jc w:val="right"/>
              <w:rPr>
                <w:color w:val="000000"/>
              </w:rPr>
            </w:pPr>
          </w:p>
        </w:tc>
        <w:tc>
          <w:tcPr>
            <w:tcW w:w="438" w:type="pct"/>
          </w:tcPr>
          <w:p w14:paraId="7781C0D2"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47CF4202"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74EECCC8" w14:textId="77777777" w:rsidTr="001B330E">
        <w:trPr>
          <w:trHeight w:val="23"/>
        </w:trPr>
        <w:tc>
          <w:tcPr>
            <w:tcW w:w="1495" w:type="pct"/>
            <w:shd w:val="clear" w:color="auto" w:fill="auto"/>
            <w:vAlign w:val="bottom"/>
          </w:tcPr>
          <w:p w14:paraId="053335AA"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Changes to ECL measurement model assumptions</w:t>
            </w:r>
          </w:p>
        </w:tc>
        <w:tc>
          <w:tcPr>
            <w:tcW w:w="438" w:type="pct"/>
            <w:shd w:val="clear" w:color="auto" w:fill="auto"/>
            <w:vAlign w:val="bottom"/>
          </w:tcPr>
          <w:p w14:paraId="189E63BF"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F655794"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3DDD7D4A"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51C6662"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11D77BBA"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12B2565B"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5EA794FB"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5E0B5CAA"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4D5AFE4A" w14:textId="77777777" w:rsidTr="001B330E">
        <w:trPr>
          <w:trHeight w:val="23"/>
        </w:trPr>
        <w:tc>
          <w:tcPr>
            <w:tcW w:w="1495" w:type="pct"/>
            <w:shd w:val="clear" w:color="auto" w:fill="auto"/>
            <w:vAlign w:val="bottom"/>
          </w:tcPr>
          <w:p w14:paraId="08330B7F"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 xml:space="preserve">Unwinding of discount </w:t>
            </w:r>
          </w:p>
        </w:tc>
        <w:tc>
          <w:tcPr>
            <w:tcW w:w="438" w:type="pct"/>
            <w:shd w:val="clear" w:color="auto" w:fill="auto"/>
            <w:vAlign w:val="bottom"/>
          </w:tcPr>
          <w:p w14:paraId="294CBDE9"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01E6505"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29162E56"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52FC5197"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19E16B68"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77E24361"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3E3FCED5"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30EE9F1E"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114EA3E8" w14:textId="77777777" w:rsidTr="001B330E">
        <w:trPr>
          <w:trHeight w:val="23"/>
        </w:trPr>
        <w:tc>
          <w:tcPr>
            <w:tcW w:w="1495" w:type="pct"/>
            <w:shd w:val="clear" w:color="auto" w:fill="auto"/>
            <w:vAlign w:val="bottom"/>
          </w:tcPr>
          <w:p w14:paraId="36DA4628"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Changes in accrued interest</w:t>
            </w:r>
          </w:p>
        </w:tc>
        <w:tc>
          <w:tcPr>
            <w:tcW w:w="438" w:type="pct"/>
            <w:shd w:val="clear" w:color="auto" w:fill="auto"/>
            <w:vAlign w:val="bottom"/>
          </w:tcPr>
          <w:p w14:paraId="6EC24E3C"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2F404E9B"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51145F0F"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158F989F"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3BB4A055"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1B77BF1D"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5BEB7408"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2CF2F18"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2D59B384" w14:textId="77777777" w:rsidTr="001B330E">
        <w:trPr>
          <w:trHeight w:val="23"/>
        </w:trPr>
        <w:tc>
          <w:tcPr>
            <w:tcW w:w="1495" w:type="pct"/>
            <w:shd w:val="clear" w:color="auto" w:fill="auto"/>
            <w:vAlign w:val="bottom"/>
          </w:tcPr>
          <w:p w14:paraId="10F2BC3F"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Other movements</w:t>
            </w:r>
          </w:p>
        </w:tc>
        <w:tc>
          <w:tcPr>
            <w:tcW w:w="438" w:type="pct"/>
            <w:shd w:val="clear" w:color="auto" w:fill="auto"/>
            <w:vAlign w:val="bottom"/>
          </w:tcPr>
          <w:p w14:paraId="4B2C82DF"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5A57184"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370099E3"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2D1C7780"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6EE4D4FE"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5BCBF77A"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3AE1F00B"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8C29EFB"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35BE5D74" w14:textId="77777777" w:rsidTr="001B330E">
        <w:trPr>
          <w:trHeight w:val="23"/>
        </w:trPr>
        <w:tc>
          <w:tcPr>
            <w:tcW w:w="1495" w:type="pct"/>
            <w:tcBorders>
              <w:bottom w:val="single" w:sz="4" w:space="0" w:color="000000"/>
            </w:tcBorders>
            <w:shd w:val="clear" w:color="auto" w:fill="auto"/>
            <w:vAlign w:val="bottom"/>
          </w:tcPr>
          <w:p w14:paraId="6548887F" w14:textId="77777777" w:rsidR="005041C2" w:rsidRPr="00372E26" w:rsidRDefault="005041C2">
            <w:pPr>
              <w:widowControl w:val="0"/>
              <w:pBdr>
                <w:top w:val="nil"/>
                <w:left w:val="nil"/>
                <w:bottom w:val="nil"/>
                <w:right w:val="nil"/>
                <w:between w:val="nil"/>
              </w:pBdr>
              <w:ind w:left="113" w:hanging="113"/>
              <w:rPr>
                <w:color w:val="000000"/>
              </w:rPr>
            </w:pPr>
          </w:p>
        </w:tc>
        <w:tc>
          <w:tcPr>
            <w:tcW w:w="438" w:type="pct"/>
            <w:tcBorders>
              <w:bottom w:val="single" w:sz="4" w:space="0" w:color="000000"/>
            </w:tcBorders>
            <w:shd w:val="clear" w:color="auto" w:fill="auto"/>
            <w:vAlign w:val="bottom"/>
          </w:tcPr>
          <w:p w14:paraId="2AA95D29"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3E67AC63"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2A4D182D"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6AA53164"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vAlign w:val="bottom"/>
          </w:tcPr>
          <w:p w14:paraId="5697F17F"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vAlign w:val="bottom"/>
          </w:tcPr>
          <w:p w14:paraId="1E188934"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vAlign w:val="bottom"/>
          </w:tcPr>
          <w:p w14:paraId="2E54513B"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73BD06E4"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4C12D91C" w14:textId="77777777" w:rsidTr="001B330E">
        <w:trPr>
          <w:trHeight w:val="23"/>
        </w:trPr>
        <w:tc>
          <w:tcPr>
            <w:tcW w:w="1495" w:type="pct"/>
            <w:tcBorders>
              <w:top w:val="single" w:sz="4" w:space="0" w:color="000000"/>
            </w:tcBorders>
            <w:shd w:val="clear" w:color="auto" w:fill="auto"/>
            <w:vAlign w:val="bottom"/>
          </w:tcPr>
          <w:p w14:paraId="6313F219" w14:textId="77777777" w:rsidR="005041C2" w:rsidRPr="00372E26" w:rsidRDefault="005041C2">
            <w:pPr>
              <w:widowControl w:val="0"/>
              <w:pBdr>
                <w:top w:val="nil"/>
                <w:left w:val="nil"/>
                <w:bottom w:val="nil"/>
                <w:right w:val="nil"/>
                <w:between w:val="nil"/>
              </w:pBdr>
              <w:ind w:left="113" w:hanging="113"/>
              <w:rPr>
                <w:color w:val="000000"/>
              </w:rPr>
            </w:pPr>
          </w:p>
        </w:tc>
        <w:tc>
          <w:tcPr>
            <w:tcW w:w="438" w:type="pct"/>
            <w:tcBorders>
              <w:top w:val="single" w:sz="4" w:space="0" w:color="000000"/>
            </w:tcBorders>
            <w:shd w:val="clear" w:color="auto" w:fill="auto"/>
            <w:vAlign w:val="bottom"/>
          </w:tcPr>
          <w:p w14:paraId="0F3B8373"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792E887F"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09377969"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30395BA1"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vAlign w:val="bottom"/>
          </w:tcPr>
          <w:p w14:paraId="0ECD4DD6"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vAlign w:val="bottom"/>
          </w:tcPr>
          <w:p w14:paraId="752FD25F"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vAlign w:val="bottom"/>
          </w:tcPr>
          <w:p w14:paraId="46A6793A"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7B858381"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598B0626" w14:textId="77777777" w:rsidTr="001B330E">
        <w:trPr>
          <w:trHeight w:val="23"/>
        </w:trPr>
        <w:tc>
          <w:tcPr>
            <w:tcW w:w="1495" w:type="pct"/>
            <w:shd w:val="clear" w:color="auto" w:fill="auto"/>
            <w:vAlign w:val="bottom"/>
          </w:tcPr>
          <w:p w14:paraId="0A1FDAB8" w14:textId="77777777" w:rsidR="005041C2" w:rsidRPr="00372E26" w:rsidRDefault="005041C2">
            <w:pPr>
              <w:widowControl w:val="0"/>
              <w:pBdr>
                <w:top w:val="nil"/>
                <w:left w:val="nil"/>
                <w:bottom w:val="nil"/>
                <w:right w:val="nil"/>
                <w:between w:val="nil"/>
              </w:pBdr>
              <w:ind w:left="113" w:hanging="113"/>
              <w:rPr>
                <w:b/>
                <w:color w:val="000000"/>
              </w:rPr>
            </w:pPr>
            <w:r w:rsidRPr="00372E26">
              <w:rPr>
                <w:b/>
                <w:color w:val="000000"/>
              </w:rPr>
              <w:t>Total movements with impact on credit loss allowance charge for the period</w:t>
            </w:r>
          </w:p>
        </w:tc>
        <w:tc>
          <w:tcPr>
            <w:tcW w:w="438" w:type="pct"/>
            <w:shd w:val="clear" w:color="auto" w:fill="auto"/>
            <w:vAlign w:val="bottom"/>
          </w:tcPr>
          <w:p w14:paraId="03168CA1"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131DB06B"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505A7A0"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4FCA327"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35F920D1"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316CB404"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3242B8DF"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44BB1E6D"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076BD9B6" w14:textId="77777777" w:rsidTr="001B330E">
        <w:trPr>
          <w:trHeight w:val="23"/>
        </w:trPr>
        <w:tc>
          <w:tcPr>
            <w:tcW w:w="1495" w:type="pct"/>
            <w:tcBorders>
              <w:bottom w:val="single" w:sz="4" w:space="0" w:color="000000"/>
            </w:tcBorders>
            <w:shd w:val="clear" w:color="auto" w:fill="auto"/>
            <w:vAlign w:val="bottom"/>
          </w:tcPr>
          <w:p w14:paraId="4577D5BE" w14:textId="77777777" w:rsidR="005041C2" w:rsidRPr="00372E26" w:rsidRDefault="005041C2">
            <w:pPr>
              <w:widowControl w:val="0"/>
              <w:pBdr>
                <w:top w:val="nil"/>
                <w:left w:val="nil"/>
                <w:bottom w:val="nil"/>
                <w:right w:val="nil"/>
                <w:between w:val="nil"/>
              </w:pBdr>
              <w:ind w:left="113" w:hanging="113"/>
              <w:rPr>
                <w:color w:val="000000"/>
              </w:rPr>
            </w:pPr>
          </w:p>
        </w:tc>
        <w:tc>
          <w:tcPr>
            <w:tcW w:w="438" w:type="pct"/>
            <w:tcBorders>
              <w:bottom w:val="single" w:sz="4" w:space="0" w:color="000000"/>
            </w:tcBorders>
            <w:shd w:val="clear" w:color="auto" w:fill="auto"/>
            <w:vAlign w:val="bottom"/>
          </w:tcPr>
          <w:p w14:paraId="214FB01E"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09243D6D"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4E553FDC"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377FBCC7"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vAlign w:val="bottom"/>
          </w:tcPr>
          <w:p w14:paraId="7578B347"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vAlign w:val="bottom"/>
          </w:tcPr>
          <w:p w14:paraId="3282A11B"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vAlign w:val="bottom"/>
          </w:tcPr>
          <w:p w14:paraId="586B5B74"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29A05865"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27457A73" w14:textId="77777777" w:rsidTr="001B330E">
        <w:trPr>
          <w:trHeight w:val="23"/>
        </w:trPr>
        <w:tc>
          <w:tcPr>
            <w:tcW w:w="1495" w:type="pct"/>
            <w:tcBorders>
              <w:top w:val="single" w:sz="4" w:space="0" w:color="000000"/>
            </w:tcBorders>
            <w:shd w:val="clear" w:color="auto" w:fill="auto"/>
            <w:vAlign w:val="bottom"/>
          </w:tcPr>
          <w:p w14:paraId="4F8BC560" w14:textId="77777777" w:rsidR="005041C2" w:rsidRPr="00372E26" w:rsidRDefault="005041C2">
            <w:pPr>
              <w:widowControl w:val="0"/>
              <w:pBdr>
                <w:top w:val="nil"/>
                <w:left w:val="nil"/>
                <w:bottom w:val="nil"/>
                <w:right w:val="nil"/>
                <w:between w:val="nil"/>
              </w:pBdr>
              <w:ind w:left="113" w:hanging="113"/>
              <w:rPr>
                <w:color w:val="000000"/>
              </w:rPr>
            </w:pPr>
          </w:p>
        </w:tc>
        <w:tc>
          <w:tcPr>
            <w:tcW w:w="438" w:type="pct"/>
            <w:tcBorders>
              <w:top w:val="single" w:sz="4" w:space="0" w:color="000000"/>
            </w:tcBorders>
            <w:shd w:val="clear" w:color="auto" w:fill="auto"/>
            <w:vAlign w:val="bottom"/>
          </w:tcPr>
          <w:p w14:paraId="401FDECC"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21B319AB"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6EEC7BA0"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014FA669"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vAlign w:val="bottom"/>
          </w:tcPr>
          <w:p w14:paraId="5A556217"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vAlign w:val="bottom"/>
          </w:tcPr>
          <w:p w14:paraId="18A0FDCD"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vAlign w:val="bottom"/>
          </w:tcPr>
          <w:p w14:paraId="73355518"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600E7FB0"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1E79D87E" w14:textId="77777777" w:rsidTr="001B330E">
        <w:trPr>
          <w:trHeight w:val="23"/>
        </w:trPr>
        <w:tc>
          <w:tcPr>
            <w:tcW w:w="1495" w:type="pct"/>
            <w:shd w:val="clear" w:color="auto" w:fill="auto"/>
            <w:vAlign w:val="bottom"/>
          </w:tcPr>
          <w:p w14:paraId="112E1CD3" w14:textId="7833DDFC" w:rsidR="005041C2" w:rsidRPr="00372E26" w:rsidRDefault="005041C2" w:rsidP="001B330E">
            <w:pPr>
              <w:widowControl w:val="0"/>
              <w:pBdr>
                <w:top w:val="nil"/>
                <w:left w:val="nil"/>
                <w:bottom w:val="nil"/>
                <w:right w:val="nil"/>
                <w:between w:val="nil"/>
              </w:pBdr>
              <w:ind w:left="113" w:hanging="113"/>
              <w:rPr>
                <w:color w:val="000000"/>
              </w:rPr>
            </w:pPr>
            <w:r w:rsidRPr="00372E26">
              <w:rPr>
                <w:i/>
                <w:color w:val="000000"/>
              </w:rPr>
              <w:t>Movements without impact on credit loss allowance charge for the period:</w:t>
            </w:r>
          </w:p>
        </w:tc>
        <w:tc>
          <w:tcPr>
            <w:tcW w:w="438" w:type="pct"/>
            <w:shd w:val="clear" w:color="auto" w:fill="auto"/>
            <w:vAlign w:val="bottom"/>
          </w:tcPr>
          <w:p w14:paraId="311493C9"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7D764448"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3D267C30"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087704FF"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vAlign w:val="bottom"/>
          </w:tcPr>
          <w:p w14:paraId="0D61514D"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vAlign w:val="bottom"/>
          </w:tcPr>
          <w:p w14:paraId="6978B682"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vAlign w:val="bottom"/>
          </w:tcPr>
          <w:p w14:paraId="56FE9AA0"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007EE091" w14:textId="77777777" w:rsidR="005041C2" w:rsidRPr="00372E26" w:rsidRDefault="005041C2">
            <w:pPr>
              <w:widowControl w:val="0"/>
              <w:pBdr>
                <w:top w:val="nil"/>
                <w:left w:val="nil"/>
                <w:bottom w:val="nil"/>
                <w:right w:val="nil"/>
                <w:between w:val="nil"/>
              </w:pBdr>
              <w:jc w:val="right"/>
              <w:rPr>
                <w:color w:val="000000"/>
                <w:highlight w:val="green"/>
              </w:rPr>
            </w:pPr>
          </w:p>
        </w:tc>
      </w:tr>
      <w:tr w:rsidR="00DE3B8A" w:rsidRPr="00800884" w14:paraId="0316B86D" w14:textId="77777777" w:rsidTr="001B330E">
        <w:trPr>
          <w:trHeight w:val="23"/>
        </w:trPr>
        <w:tc>
          <w:tcPr>
            <w:tcW w:w="1495" w:type="pct"/>
            <w:shd w:val="clear" w:color="auto" w:fill="auto"/>
            <w:vAlign w:val="bottom"/>
          </w:tcPr>
          <w:p w14:paraId="3A447C18" w14:textId="77777777" w:rsidR="00DE3B8A" w:rsidRPr="00372E26" w:rsidRDefault="00DE3B8A">
            <w:pPr>
              <w:widowControl w:val="0"/>
              <w:pBdr>
                <w:top w:val="nil"/>
                <w:left w:val="nil"/>
                <w:bottom w:val="nil"/>
                <w:right w:val="nil"/>
                <w:between w:val="nil"/>
              </w:pBdr>
              <w:ind w:left="113" w:hanging="113"/>
              <w:rPr>
                <w:i/>
                <w:color w:val="000000"/>
              </w:rPr>
            </w:pPr>
          </w:p>
        </w:tc>
        <w:tc>
          <w:tcPr>
            <w:tcW w:w="438" w:type="pct"/>
            <w:shd w:val="clear" w:color="auto" w:fill="auto"/>
            <w:vAlign w:val="bottom"/>
          </w:tcPr>
          <w:p w14:paraId="70596B60" w14:textId="77777777" w:rsidR="00DE3B8A" w:rsidRPr="00372E26" w:rsidRDefault="00DE3B8A">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317926BB" w14:textId="77777777" w:rsidR="00DE3B8A" w:rsidRPr="00372E26" w:rsidRDefault="00DE3B8A">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0FCF9A4B" w14:textId="77777777" w:rsidR="00DE3B8A" w:rsidRPr="00372E26" w:rsidRDefault="00DE3B8A">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2A5EF83A" w14:textId="77777777" w:rsidR="00DE3B8A" w:rsidRPr="00372E26" w:rsidRDefault="00DE3B8A">
            <w:pPr>
              <w:widowControl w:val="0"/>
              <w:pBdr>
                <w:top w:val="nil"/>
                <w:left w:val="nil"/>
                <w:bottom w:val="nil"/>
                <w:right w:val="nil"/>
                <w:between w:val="nil"/>
              </w:pBdr>
              <w:jc w:val="right"/>
              <w:rPr>
                <w:color w:val="000000"/>
                <w:highlight w:val="green"/>
              </w:rPr>
            </w:pPr>
          </w:p>
        </w:tc>
        <w:tc>
          <w:tcPr>
            <w:tcW w:w="438" w:type="pct"/>
            <w:vAlign w:val="bottom"/>
          </w:tcPr>
          <w:p w14:paraId="18659FC4" w14:textId="77777777" w:rsidR="00DE3B8A" w:rsidRPr="00372E26" w:rsidRDefault="00DE3B8A">
            <w:pPr>
              <w:widowControl w:val="0"/>
              <w:pBdr>
                <w:top w:val="nil"/>
                <w:left w:val="nil"/>
                <w:bottom w:val="nil"/>
                <w:right w:val="nil"/>
                <w:between w:val="nil"/>
              </w:pBdr>
              <w:jc w:val="right"/>
              <w:rPr>
                <w:color w:val="000000"/>
                <w:highlight w:val="green"/>
              </w:rPr>
            </w:pPr>
          </w:p>
        </w:tc>
        <w:tc>
          <w:tcPr>
            <w:tcW w:w="438" w:type="pct"/>
            <w:vAlign w:val="bottom"/>
          </w:tcPr>
          <w:p w14:paraId="0DAEDBC0" w14:textId="77777777" w:rsidR="00DE3B8A" w:rsidRPr="00372E26" w:rsidRDefault="00DE3B8A">
            <w:pPr>
              <w:widowControl w:val="0"/>
              <w:pBdr>
                <w:top w:val="nil"/>
                <w:left w:val="nil"/>
                <w:bottom w:val="nil"/>
                <w:right w:val="nil"/>
                <w:between w:val="nil"/>
              </w:pBdr>
              <w:jc w:val="right"/>
              <w:rPr>
                <w:color w:val="000000"/>
                <w:highlight w:val="green"/>
              </w:rPr>
            </w:pPr>
          </w:p>
        </w:tc>
        <w:tc>
          <w:tcPr>
            <w:tcW w:w="438" w:type="pct"/>
            <w:vAlign w:val="bottom"/>
          </w:tcPr>
          <w:p w14:paraId="08311B69" w14:textId="77777777" w:rsidR="00DE3B8A" w:rsidRPr="00372E26" w:rsidRDefault="00DE3B8A">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5EF549A2" w14:textId="77777777" w:rsidR="00DE3B8A" w:rsidRPr="00372E26" w:rsidRDefault="00DE3B8A">
            <w:pPr>
              <w:widowControl w:val="0"/>
              <w:pBdr>
                <w:top w:val="nil"/>
                <w:left w:val="nil"/>
                <w:bottom w:val="nil"/>
                <w:right w:val="nil"/>
                <w:between w:val="nil"/>
              </w:pBdr>
              <w:jc w:val="right"/>
              <w:rPr>
                <w:color w:val="000000"/>
                <w:highlight w:val="green"/>
              </w:rPr>
            </w:pPr>
          </w:p>
        </w:tc>
      </w:tr>
      <w:tr w:rsidR="005041C2" w:rsidRPr="00800884" w14:paraId="1187F7A6" w14:textId="77777777" w:rsidTr="001B330E">
        <w:trPr>
          <w:trHeight w:val="23"/>
        </w:trPr>
        <w:tc>
          <w:tcPr>
            <w:tcW w:w="1495" w:type="pct"/>
            <w:shd w:val="clear" w:color="auto" w:fill="auto"/>
            <w:vAlign w:val="bottom"/>
          </w:tcPr>
          <w:p w14:paraId="43732DFE"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Write-offs</w:t>
            </w:r>
          </w:p>
        </w:tc>
        <w:tc>
          <w:tcPr>
            <w:tcW w:w="438" w:type="pct"/>
            <w:shd w:val="clear" w:color="auto" w:fill="auto"/>
            <w:vAlign w:val="bottom"/>
          </w:tcPr>
          <w:p w14:paraId="34B854E9"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1E9E3288"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3605549D"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058BD046"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vAlign w:val="bottom"/>
          </w:tcPr>
          <w:p w14:paraId="2620E0D2"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vAlign w:val="bottom"/>
          </w:tcPr>
          <w:p w14:paraId="565D8C37"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vAlign w:val="bottom"/>
          </w:tcPr>
          <w:p w14:paraId="5DD8EF19"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6659791B"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800884" w14:paraId="791BBA0C" w14:textId="77777777" w:rsidTr="001B330E">
        <w:trPr>
          <w:trHeight w:val="23"/>
        </w:trPr>
        <w:tc>
          <w:tcPr>
            <w:tcW w:w="1495" w:type="pct"/>
            <w:shd w:val="clear" w:color="auto" w:fill="auto"/>
            <w:vAlign w:val="bottom"/>
          </w:tcPr>
          <w:p w14:paraId="283451EE"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FX and other movements</w:t>
            </w:r>
          </w:p>
        </w:tc>
        <w:tc>
          <w:tcPr>
            <w:tcW w:w="438" w:type="pct"/>
            <w:shd w:val="clear" w:color="auto" w:fill="auto"/>
            <w:vAlign w:val="bottom"/>
          </w:tcPr>
          <w:p w14:paraId="7A37DAE5"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4BD56F50"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561C2E19"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12214D5A"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vAlign w:val="bottom"/>
          </w:tcPr>
          <w:p w14:paraId="1B8D1078"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vAlign w:val="bottom"/>
          </w:tcPr>
          <w:p w14:paraId="0DBD91F4"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vAlign w:val="bottom"/>
          </w:tcPr>
          <w:p w14:paraId="3C95069F" w14:textId="77777777" w:rsidR="005041C2" w:rsidRPr="00372E26" w:rsidRDefault="005041C2">
            <w:pPr>
              <w:widowControl w:val="0"/>
              <w:pBdr>
                <w:top w:val="nil"/>
                <w:left w:val="nil"/>
                <w:bottom w:val="nil"/>
                <w:right w:val="nil"/>
                <w:between w:val="nil"/>
              </w:pBdr>
              <w:jc w:val="right"/>
              <w:rPr>
                <w:color w:val="000000"/>
                <w:highlight w:val="green"/>
              </w:rPr>
            </w:pPr>
          </w:p>
        </w:tc>
        <w:tc>
          <w:tcPr>
            <w:tcW w:w="438" w:type="pct"/>
            <w:shd w:val="clear" w:color="auto" w:fill="auto"/>
            <w:vAlign w:val="bottom"/>
          </w:tcPr>
          <w:p w14:paraId="3C2BD874"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800884" w14:paraId="1148A8CE" w14:textId="77777777" w:rsidTr="001B330E">
        <w:trPr>
          <w:trHeight w:val="23"/>
        </w:trPr>
        <w:tc>
          <w:tcPr>
            <w:tcW w:w="1495" w:type="pct"/>
            <w:shd w:val="clear" w:color="auto" w:fill="auto"/>
            <w:vAlign w:val="bottom"/>
          </w:tcPr>
          <w:p w14:paraId="37BD4B62"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Modification of contractual cash flows</w:t>
            </w:r>
          </w:p>
        </w:tc>
        <w:tc>
          <w:tcPr>
            <w:tcW w:w="438" w:type="pct"/>
            <w:shd w:val="clear" w:color="auto" w:fill="auto"/>
            <w:vAlign w:val="bottom"/>
          </w:tcPr>
          <w:p w14:paraId="7401AD2A"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F5D17CB"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3166CA8C"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4F7523D1"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037B69F9"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309D3200"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1993FADA"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5D0B304C"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665FAB98" w14:textId="77777777" w:rsidTr="001B330E">
        <w:trPr>
          <w:trHeight w:val="23"/>
        </w:trPr>
        <w:tc>
          <w:tcPr>
            <w:tcW w:w="1495" w:type="pct"/>
            <w:shd w:val="clear" w:color="auto" w:fill="auto"/>
            <w:vAlign w:val="bottom"/>
          </w:tcPr>
          <w:p w14:paraId="2B80AE78" w14:textId="78D80B9F" w:rsidR="005041C2" w:rsidRPr="00372E26" w:rsidRDefault="005041C2">
            <w:pPr>
              <w:widowControl w:val="0"/>
              <w:pBdr>
                <w:top w:val="nil"/>
                <w:left w:val="nil"/>
                <w:bottom w:val="nil"/>
                <w:right w:val="nil"/>
                <w:between w:val="nil"/>
              </w:pBdr>
              <w:ind w:left="113" w:hanging="113"/>
              <w:rPr>
                <w:color w:val="000000"/>
              </w:rPr>
            </w:pPr>
            <w:r w:rsidRPr="00372E26">
              <w:rPr>
                <w:color w:val="000000"/>
              </w:rPr>
              <w:t>Unwinding of discount (for Stage</w:t>
            </w:r>
            <w:r w:rsidR="00DE3B8A" w:rsidRPr="00372E26">
              <w:rPr>
                <w:color w:val="000000"/>
                <w:lang w:val="en-US"/>
              </w:rPr>
              <w:t> </w:t>
            </w:r>
            <w:r w:rsidRPr="00372E26">
              <w:rPr>
                <w:color w:val="000000"/>
              </w:rPr>
              <w:t xml:space="preserve">3) </w:t>
            </w:r>
          </w:p>
        </w:tc>
        <w:tc>
          <w:tcPr>
            <w:tcW w:w="438" w:type="pct"/>
            <w:shd w:val="clear" w:color="auto" w:fill="auto"/>
            <w:vAlign w:val="bottom"/>
          </w:tcPr>
          <w:p w14:paraId="02B1FDF3"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1680A47"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F5F05B6"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4B6ADF44"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5EF48B48"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669043E3"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47894989"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78D6E016"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0217E6A5" w14:textId="77777777" w:rsidTr="001B330E">
        <w:trPr>
          <w:trHeight w:val="23"/>
        </w:trPr>
        <w:tc>
          <w:tcPr>
            <w:tcW w:w="1495" w:type="pct"/>
            <w:tcBorders>
              <w:bottom w:val="single" w:sz="4" w:space="0" w:color="000000"/>
            </w:tcBorders>
            <w:shd w:val="clear" w:color="auto" w:fill="auto"/>
            <w:vAlign w:val="bottom"/>
          </w:tcPr>
          <w:p w14:paraId="7F46CCF1" w14:textId="77777777" w:rsidR="005041C2" w:rsidRPr="00372E26" w:rsidRDefault="005041C2">
            <w:pPr>
              <w:widowControl w:val="0"/>
              <w:pBdr>
                <w:top w:val="nil"/>
                <w:left w:val="nil"/>
                <w:bottom w:val="nil"/>
                <w:right w:val="nil"/>
                <w:between w:val="nil"/>
              </w:pBdr>
              <w:ind w:left="113" w:hanging="113"/>
              <w:rPr>
                <w:b/>
                <w:color w:val="000000"/>
              </w:rPr>
            </w:pPr>
          </w:p>
        </w:tc>
        <w:tc>
          <w:tcPr>
            <w:tcW w:w="438" w:type="pct"/>
            <w:tcBorders>
              <w:bottom w:val="single" w:sz="4" w:space="0" w:color="000000"/>
            </w:tcBorders>
            <w:shd w:val="clear" w:color="auto" w:fill="auto"/>
            <w:vAlign w:val="bottom"/>
          </w:tcPr>
          <w:p w14:paraId="5A313AE0"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2DAC90FF"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50435682"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425AAB31"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vAlign w:val="bottom"/>
          </w:tcPr>
          <w:p w14:paraId="10C5C305"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vAlign w:val="bottom"/>
          </w:tcPr>
          <w:p w14:paraId="0DD7443A"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vAlign w:val="bottom"/>
          </w:tcPr>
          <w:p w14:paraId="16611B65"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4" w:space="0" w:color="000000"/>
            </w:tcBorders>
            <w:shd w:val="clear" w:color="auto" w:fill="auto"/>
            <w:vAlign w:val="bottom"/>
          </w:tcPr>
          <w:p w14:paraId="2664BF9E"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12411877" w14:textId="77777777" w:rsidTr="001B330E">
        <w:trPr>
          <w:trHeight w:val="23"/>
        </w:trPr>
        <w:tc>
          <w:tcPr>
            <w:tcW w:w="1495" w:type="pct"/>
            <w:tcBorders>
              <w:top w:val="single" w:sz="4" w:space="0" w:color="000000"/>
            </w:tcBorders>
            <w:shd w:val="clear" w:color="auto" w:fill="auto"/>
            <w:vAlign w:val="bottom"/>
          </w:tcPr>
          <w:p w14:paraId="69F7FE0A" w14:textId="77777777" w:rsidR="005041C2" w:rsidRPr="00372E26" w:rsidRDefault="005041C2">
            <w:pPr>
              <w:widowControl w:val="0"/>
              <w:pBdr>
                <w:top w:val="nil"/>
                <w:left w:val="nil"/>
                <w:bottom w:val="nil"/>
                <w:right w:val="nil"/>
                <w:between w:val="nil"/>
              </w:pBdr>
              <w:ind w:left="113" w:hanging="113"/>
              <w:rPr>
                <w:color w:val="000000"/>
                <w:u w:val="single"/>
              </w:rPr>
            </w:pPr>
          </w:p>
        </w:tc>
        <w:tc>
          <w:tcPr>
            <w:tcW w:w="438" w:type="pct"/>
            <w:tcBorders>
              <w:top w:val="single" w:sz="4" w:space="0" w:color="000000"/>
            </w:tcBorders>
            <w:shd w:val="clear" w:color="auto" w:fill="auto"/>
            <w:vAlign w:val="bottom"/>
          </w:tcPr>
          <w:p w14:paraId="69D9A504"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5D9C840F"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58832C15"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3B3F0C67"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vAlign w:val="bottom"/>
          </w:tcPr>
          <w:p w14:paraId="2AA11162"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vAlign w:val="bottom"/>
          </w:tcPr>
          <w:p w14:paraId="0024B2D9"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vAlign w:val="bottom"/>
          </w:tcPr>
          <w:p w14:paraId="1AEDE4EF"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top w:val="single" w:sz="4" w:space="0" w:color="000000"/>
            </w:tcBorders>
            <w:shd w:val="clear" w:color="auto" w:fill="auto"/>
            <w:vAlign w:val="bottom"/>
          </w:tcPr>
          <w:p w14:paraId="33745DD9"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638EA801" w14:textId="77777777" w:rsidTr="001B330E">
        <w:trPr>
          <w:trHeight w:val="23"/>
        </w:trPr>
        <w:tc>
          <w:tcPr>
            <w:tcW w:w="1495" w:type="pct"/>
            <w:shd w:val="clear" w:color="auto" w:fill="auto"/>
            <w:vAlign w:val="bottom"/>
          </w:tcPr>
          <w:p w14:paraId="66543D68" w14:textId="4D5A619C" w:rsidR="005041C2" w:rsidRPr="00372E26" w:rsidRDefault="005041C2">
            <w:pPr>
              <w:widowControl w:val="0"/>
              <w:pBdr>
                <w:top w:val="nil"/>
                <w:left w:val="nil"/>
                <w:bottom w:val="nil"/>
                <w:right w:val="nil"/>
                <w:between w:val="nil"/>
              </w:pBdr>
              <w:ind w:left="113" w:hanging="113"/>
              <w:rPr>
                <w:b/>
                <w:color w:val="000000"/>
              </w:rPr>
            </w:pPr>
            <w:r w:rsidRPr="00372E26">
              <w:rPr>
                <w:b/>
                <w:color w:val="000000"/>
              </w:rPr>
              <w:t>At 31</w:t>
            </w:r>
            <w:r w:rsidR="00181687" w:rsidRPr="00372E26">
              <w:rPr>
                <w:b/>
                <w:color w:val="000000"/>
              </w:rPr>
              <w:t> December </w:t>
            </w:r>
            <w:r w:rsidR="00541EBC">
              <w:rPr>
                <w:b/>
                <w:color w:val="000000"/>
              </w:rPr>
              <w:t>2023</w:t>
            </w:r>
          </w:p>
        </w:tc>
        <w:tc>
          <w:tcPr>
            <w:tcW w:w="438" w:type="pct"/>
            <w:shd w:val="clear" w:color="auto" w:fill="auto"/>
            <w:vAlign w:val="bottom"/>
          </w:tcPr>
          <w:p w14:paraId="48C4B71E"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3DB1C8CC"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68711E36"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56A0F13B"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51186320"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2F9F9EB7" w14:textId="77777777" w:rsidR="005041C2" w:rsidRPr="00372E26" w:rsidRDefault="005041C2">
            <w:pPr>
              <w:widowControl w:val="0"/>
              <w:pBdr>
                <w:top w:val="nil"/>
                <w:left w:val="nil"/>
                <w:bottom w:val="nil"/>
                <w:right w:val="nil"/>
                <w:between w:val="nil"/>
              </w:pBdr>
              <w:jc w:val="right"/>
              <w:rPr>
                <w:color w:val="000000"/>
              </w:rPr>
            </w:pPr>
          </w:p>
        </w:tc>
        <w:tc>
          <w:tcPr>
            <w:tcW w:w="438" w:type="pct"/>
            <w:vAlign w:val="bottom"/>
          </w:tcPr>
          <w:p w14:paraId="19988F06" w14:textId="77777777" w:rsidR="005041C2" w:rsidRPr="00372E26" w:rsidRDefault="005041C2">
            <w:pPr>
              <w:widowControl w:val="0"/>
              <w:pBdr>
                <w:top w:val="nil"/>
                <w:left w:val="nil"/>
                <w:bottom w:val="nil"/>
                <w:right w:val="nil"/>
                <w:between w:val="nil"/>
              </w:pBdr>
              <w:jc w:val="right"/>
              <w:rPr>
                <w:color w:val="000000"/>
              </w:rPr>
            </w:pPr>
          </w:p>
        </w:tc>
        <w:tc>
          <w:tcPr>
            <w:tcW w:w="438" w:type="pct"/>
            <w:shd w:val="clear" w:color="auto" w:fill="auto"/>
            <w:vAlign w:val="bottom"/>
          </w:tcPr>
          <w:p w14:paraId="0CB3AA08" w14:textId="77777777" w:rsidR="005041C2" w:rsidRPr="00372E26" w:rsidRDefault="005041C2">
            <w:pPr>
              <w:widowControl w:val="0"/>
              <w:pBdr>
                <w:top w:val="nil"/>
                <w:left w:val="nil"/>
                <w:bottom w:val="nil"/>
                <w:right w:val="nil"/>
                <w:between w:val="nil"/>
              </w:pBdr>
              <w:jc w:val="right"/>
              <w:rPr>
                <w:color w:val="000000"/>
              </w:rPr>
            </w:pPr>
          </w:p>
        </w:tc>
      </w:tr>
      <w:tr w:rsidR="005041C2" w:rsidRPr="00800884" w14:paraId="50753305" w14:textId="77777777" w:rsidTr="001B330E">
        <w:trPr>
          <w:trHeight w:val="23"/>
        </w:trPr>
        <w:tc>
          <w:tcPr>
            <w:tcW w:w="1495" w:type="pct"/>
            <w:tcBorders>
              <w:bottom w:val="single" w:sz="12" w:space="0" w:color="000000"/>
            </w:tcBorders>
            <w:shd w:val="clear" w:color="auto" w:fill="auto"/>
            <w:vAlign w:val="bottom"/>
          </w:tcPr>
          <w:p w14:paraId="72D029EB" w14:textId="77777777" w:rsidR="005041C2" w:rsidRPr="00372E26" w:rsidRDefault="005041C2" w:rsidP="00372E26">
            <w:pPr>
              <w:widowControl w:val="0"/>
              <w:pBdr>
                <w:top w:val="nil"/>
                <w:left w:val="nil"/>
                <w:bottom w:val="nil"/>
                <w:right w:val="nil"/>
                <w:between w:val="nil"/>
              </w:pBdr>
              <w:rPr>
                <w:b/>
                <w:color w:val="000000"/>
              </w:rPr>
            </w:pPr>
          </w:p>
        </w:tc>
        <w:tc>
          <w:tcPr>
            <w:tcW w:w="438" w:type="pct"/>
            <w:tcBorders>
              <w:bottom w:val="single" w:sz="12" w:space="0" w:color="000000"/>
            </w:tcBorders>
            <w:shd w:val="clear" w:color="auto" w:fill="auto"/>
            <w:vAlign w:val="bottom"/>
          </w:tcPr>
          <w:p w14:paraId="36E50A5E" w14:textId="77777777" w:rsidR="005041C2" w:rsidRPr="00372E26" w:rsidRDefault="005041C2" w:rsidP="00372E26">
            <w:pPr>
              <w:widowControl w:val="0"/>
              <w:pBdr>
                <w:top w:val="nil"/>
                <w:left w:val="nil"/>
                <w:bottom w:val="nil"/>
                <w:right w:val="nil"/>
                <w:between w:val="nil"/>
              </w:pBdr>
              <w:rPr>
                <w:color w:val="000000"/>
              </w:rPr>
            </w:pPr>
          </w:p>
        </w:tc>
        <w:tc>
          <w:tcPr>
            <w:tcW w:w="438" w:type="pct"/>
            <w:tcBorders>
              <w:bottom w:val="single" w:sz="12" w:space="0" w:color="000000"/>
            </w:tcBorders>
            <w:shd w:val="clear" w:color="auto" w:fill="auto"/>
            <w:vAlign w:val="bottom"/>
          </w:tcPr>
          <w:p w14:paraId="0BCB8481"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12" w:space="0" w:color="000000"/>
            </w:tcBorders>
            <w:shd w:val="clear" w:color="auto" w:fill="auto"/>
            <w:vAlign w:val="bottom"/>
          </w:tcPr>
          <w:p w14:paraId="19A6FFDD"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12" w:space="0" w:color="000000"/>
            </w:tcBorders>
            <w:shd w:val="clear" w:color="auto" w:fill="auto"/>
            <w:vAlign w:val="bottom"/>
          </w:tcPr>
          <w:p w14:paraId="36B28133"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12" w:space="0" w:color="000000"/>
            </w:tcBorders>
          </w:tcPr>
          <w:p w14:paraId="764BDAD4"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12" w:space="0" w:color="000000"/>
            </w:tcBorders>
          </w:tcPr>
          <w:p w14:paraId="5716DD24"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12" w:space="0" w:color="000000"/>
            </w:tcBorders>
          </w:tcPr>
          <w:p w14:paraId="232E9E19" w14:textId="77777777" w:rsidR="005041C2" w:rsidRPr="00372E26" w:rsidRDefault="005041C2">
            <w:pPr>
              <w:widowControl w:val="0"/>
              <w:pBdr>
                <w:top w:val="nil"/>
                <w:left w:val="nil"/>
                <w:bottom w:val="nil"/>
                <w:right w:val="nil"/>
                <w:between w:val="nil"/>
              </w:pBdr>
              <w:jc w:val="right"/>
              <w:rPr>
                <w:color w:val="000000"/>
              </w:rPr>
            </w:pPr>
          </w:p>
        </w:tc>
        <w:tc>
          <w:tcPr>
            <w:tcW w:w="438" w:type="pct"/>
            <w:tcBorders>
              <w:bottom w:val="single" w:sz="12" w:space="0" w:color="000000"/>
            </w:tcBorders>
            <w:shd w:val="clear" w:color="auto" w:fill="auto"/>
            <w:vAlign w:val="bottom"/>
          </w:tcPr>
          <w:p w14:paraId="4E73EDC3" w14:textId="77777777" w:rsidR="005041C2" w:rsidRPr="00372E26" w:rsidRDefault="005041C2">
            <w:pPr>
              <w:widowControl w:val="0"/>
              <w:pBdr>
                <w:top w:val="nil"/>
                <w:left w:val="nil"/>
                <w:bottom w:val="nil"/>
                <w:right w:val="nil"/>
                <w:between w:val="nil"/>
              </w:pBdr>
              <w:jc w:val="right"/>
              <w:rPr>
                <w:color w:val="000000"/>
              </w:rPr>
            </w:pPr>
          </w:p>
        </w:tc>
      </w:tr>
    </w:tbl>
    <w:p w14:paraId="244F398F" w14:textId="3F7C87EC" w:rsidR="00D83E33" w:rsidRDefault="00BC4072" w:rsidP="001B330E">
      <w:pPr>
        <w:pStyle w:val="Continued"/>
      </w:pPr>
      <w:r>
        <w:lastRenderedPageBreak/>
        <w:t>9</w:t>
      </w:r>
      <w:r>
        <w:tab/>
        <w:t>Investments in Debt Securities (Continued)</w:t>
      </w:r>
    </w:p>
    <w:p w14:paraId="3D1EF55D" w14:textId="4C54C5D1" w:rsidR="00D83E33" w:rsidRDefault="00800884" w:rsidP="00372E26">
      <w:pPr>
        <w:widowControl w:val="0"/>
        <w:spacing w:before="200" w:after="200"/>
        <w:rPr>
          <w:b/>
          <w:sz w:val="20"/>
          <w:szCs w:val="20"/>
        </w:rPr>
      </w:pPr>
      <w:r w:rsidDel="00800884">
        <w:rPr>
          <w:color w:val="000000"/>
          <w:sz w:val="20"/>
          <w:szCs w:val="20"/>
        </w:rPr>
        <w:t xml:space="preserve"> </w:t>
      </w:r>
      <w:r w:rsidR="00BC4072">
        <w:rPr>
          <w:b/>
          <w:sz w:val="20"/>
          <w:szCs w:val="20"/>
        </w:rPr>
        <w:t xml:space="preserve">(c) </w:t>
      </w:r>
      <w:r w:rsidR="00BC4072">
        <w:rPr>
          <w:b/>
          <w:sz w:val="20"/>
          <w:szCs w:val="20"/>
        </w:rPr>
        <w:tab/>
        <w:t>Investments in debt securities at AC</w:t>
      </w:r>
    </w:p>
    <w:p w14:paraId="67B7B737" w14:textId="2EDFD296"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The following table contains an analysis of debt securities at AC by credit quality at 31</w:t>
      </w:r>
      <w:r w:rsidR="00181687">
        <w:rPr>
          <w:color w:val="000000"/>
          <w:sz w:val="20"/>
          <w:szCs w:val="20"/>
        </w:rPr>
        <w:t> December </w:t>
      </w:r>
      <w:r w:rsidR="00541EBC">
        <w:rPr>
          <w:color w:val="000000"/>
          <w:sz w:val="20"/>
          <w:szCs w:val="20"/>
        </w:rPr>
        <w:t>2024</w:t>
      </w:r>
      <w:r>
        <w:rPr>
          <w:color w:val="000000"/>
          <w:sz w:val="20"/>
          <w:szCs w:val="20"/>
        </w:rPr>
        <w:t xml:space="preserve"> based on credit risk grades and discloses the balances by three stages for the purpose of ECL measurement. Refer to Note 41 for the description of credit risk grading system used by the Group and the approach to ECL measurement, including the definition of default and SICR as applicable to debt securities at AC. The carrying amount of debt securities at AC at 31</w:t>
      </w:r>
      <w:r w:rsidR="00181687">
        <w:rPr>
          <w:color w:val="000000"/>
          <w:sz w:val="20"/>
          <w:szCs w:val="20"/>
        </w:rPr>
        <w:t> December </w:t>
      </w:r>
      <w:r w:rsidR="00541EBC">
        <w:rPr>
          <w:color w:val="000000"/>
          <w:sz w:val="20"/>
          <w:szCs w:val="20"/>
        </w:rPr>
        <w:t>2024</w:t>
      </w:r>
      <w:r>
        <w:rPr>
          <w:color w:val="000000"/>
          <w:sz w:val="20"/>
          <w:szCs w:val="20"/>
        </w:rPr>
        <w:t xml:space="preserve"> below also represents the Group's maximum exposure to credit risk on these assets:</w:t>
      </w:r>
    </w:p>
    <w:tbl>
      <w:tblPr>
        <w:tblStyle w:val="aff6"/>
        <w:tblW w:w="5000" w:type="pct"/>
        <w:tblLayout w:type="fixed"/>
        <w:tblLook w:val="0000" w:firstRow="0" w:lastRow="0" w:firstColumn="0" w:lastColumn="0" w:noHBand="0" w:noVBand="0"/>
      </w:tblPr>
      <w:tblGrid>
        <w:gridCol w:w="3687"/>
        <w:gridCol w:w="1134"/>
        <w:gridCol w:w="1134"/>
        <w:gridCol w:w="1134"/>
        <w:gridCol w:w="1134"/>
        <w:gridCol w:w="1132"/>
      </w:tblGrid>
      <w:tr w:rsidR="00E05C80" w:rsidRPr="00762D1F" w14:paraId="36BD3CBD" w14:textId="77777777" w:rsidTr="00CE01D4">
        <w:trPr>
          <w:trHeight w:val="23"/>
        </w:trPr>
        <w:tc>
          <w:tcPr>
            <w:tcW w:w="1971" w:type="pct"/>
            <w:tcBorders>
              <w:bottom w:val="single" w:sz="4" w:space="0" w:color="000000"/>
            </w:tcBorders>
            <w:shd w:val="clear" w:color="auto" w:fill="auto"/>
            <w:vAlign w:val="bottom"/>
          </w:tcPr>
          <w:p w14:paraId="1EEC0337" w14:textId="77777777" w:rsidR="00E05C80" w:rsidRPr="00762D1F" w:rsidRDefault="00E05C80" w:rsidP="00CE01D4">
            <w:pPr>
              <w:widowControl w:val="0"/>
              <w:pBdr>
                <w:top w:val="nil"/>
                <w:left w:val="nil"/>
                <w:bottom w:val="nil"/>
                <w:right w:val="nil"/>
                <w:between w:val="nil"/>
              </w:pBdr>
              <w:ind w:left="113" w:hanging="113"/>
              <w:rPr>
                <w:b/>
                <w:i/>
                <w:color w:val="000000"/>
              </w:rPr>
            </w:pPr>
            <w:r>
              <w:rPr>
                <w:i/>
                <w:color w:val="000000"/>
              </w:rPr>
              <w:t>In thousands of EUR</w:t>
            </w:r>
          </w:p>
        </w:tc>
        <w:tc>
          <w:tcPr>
            <w:tcW w:w="606" w:type="pct"/>
            <w:tcBorders>
              <w:bottom w:val="single" w:sz="4" w:space="0" w:color="000000"/>
            </w:tcBorders>
            <w:shd w:val="clear" w:color="auto" w:fill="auto"/>
          </w:tcPr>
          <w:p w14:paraId="5F4407EE" w14:textId="77777777" w:rsidR="00E05C80" w:rsidRPr="00762D1F" w:rsidRDefault="00E05C80" w:rsidP="00CE01D4">
            <w:pPr>
              <w:widowControl w:val="0"/>
              <w:pBdr>
                <w:top w:val="nil"/>
                <w:left w:val="nil"/>
                <w:bottom w:val="nil"/>
                <w:right w:val="nil"/>
                <w:between w:val="nil"/>
              </w:pBdr>
              <w:jc w:val="right"/>
              <w:rPr>
                <w:b/>
                <w:color w:val="000000"/>
              </w:rPr>
            </w:pPr>
            <w:r w:rsidRPr="00762D1F">
              <w:rPr>
                <w:b/>
                <w:color w:val="000000"/>
              </w:rPr>
              <w:t>Stage 1</w:t>
            </w:r>
          </w:p>
          <w:p w14:paraId="4FF12315" w14:textId="77777777" w:rsidR="00E05C80" w:rsidRPr="00762D1F" w:rsidRDefault="00E05C80" w:rsidP="00CE01D4">
            <w:pPr>
              <w:widowControl w:val="0"/>
              <w:pBdr>
                <w:top w:val="nil"/>
                <w:left w:val="nil"/>
                <w:bottom w:val="nil"/>
                <w:right w:val="nil"/>
                <w:between w:val="nil"/>
              </w:pBdr>
              <w:jc w:val="right"/>
              <w:rPr>
                <w:b/>
                <w:color w:val="000000"/>
              </w:rPr>
            </w:pPr>
            <w:r w:rsidRPr="00762D1F">
              <w:rPr>
                <w:b/>
                <w:color w:val="000000"/>
              </w:rPr>
              <w:t>(12-months ECL)</w:t>
            </w:r>
          </w:p>
        </w:tc>
        <w:tc>
          <w:tcPr>
            <w:tcW w:w="606" w:type="pct"/>
            <w:tcBorders>
              <w:bottom w:val="single" w:sz="4" w:space="0" w:color="000000"/>
            </w:tcBorders>
            <w:shd w:val="clear" w:color="auto" w:fill="auto"/>
          </w:tcPr>
          <w:p w14:paraId="70DBAC80" w14:textId="77777777" w:rsidR="00E05C80" w:rsidRPr="00762D1F" w:rsidRDefault="00E05C80" w:rsidP="00CE01D4">
            <w:pPr>
              <w:widowControl w:val="0"/>
              <w:pBdr>
                <w:top w:val="nil"/>
                <w:left w:val="nil"/>
                <w:bottom w:val="nil"/>
                <w:right w:val="nil"/>
                <w:between w:val="nil"/>
              </w:pBdr>
              <w:jc w:val="right"/>
              <w:rPr>
                <w:b/>
                <w:color w:val="000000"/>
              </w:rPr>
            </w:pPr>
            <w:r w:rsidRPr="00762D1F">
              <w:rPr>
                <w:b/>
                <w:color w:val="000000"/>
              </w:rPr>
              <w:t>Stage 2</w:t>
            </w:r>
          </w:p>
          <w:p w14:paraId="36759C78" w14:textId="77777777" w:rsidR="00E05C80" w:rsidRPr="00762D1F" w:rsidRDefault="00E05C80" w:rsidP="00CE01D4">
            <w:pPr>
              <w:widowControl w:val="0"/>
              <w:pBdr>
                <w:top w:val="nil"/>
                <w:left w:val="nil"/>
                <w:bottom w:val="nil"/>
                <w:right w:val="nil"/>
                <w:between w:val="nil"/>
              </w:pBdr>
              <w:jc w:val="right"/>
              <w:rPr>
                <w:b/>
                <w:color w:val="000000"/>
              </w:rPr>
            </w:pPr>
            <w:r w:rsidRPr="00762D1F">
              <w:rPr>
                <w:b/>
                <w:color w:val="000000"/>
              </w:rPr>
              <w:t>(lifetime ECL for SICR)</w:t>
            </w:r>
          </w:p>
        </w:tc>
        <w:tc>
          <w:tcPr>
            <w:tcW w:w="606" w:type="pct"/>
            <w:tcBorders>
              <w:bottom w:val="single" w:sz="4" w:space="0" w:color="000000"/>
            </w:tcBorders>
            <w:shd w:val="clear" w:color="auto" w:fill="auto"/>
          </w:tcPr>
          <w:p w14:paraId="590065B5" w14:textId="77777777" w:rsidR="00E05C80" w:rsidRPr="00762D1F" w:rsidRDefault="00E05C80" w:rsidP="00CE01D4">
            <w:pPr>
              <w:widowControl w:val="0"/>
              <w:pBdr>
                <w:top w:val="nil"/>
                <w:left w:val="nil"/>
                <w:bottom w:val="nil"/>
                <w:right w:val="nil"/>
                <w:between w:val="nil"/>
              </w:pBdr>
              <w:jc w:val="right"/>
              <w:rPr>
                <w:b/>
                <w:color w:val="000000"/>
              </w:rPr>
            </w:pPr>
            <w:r w:rsidRPr="00762D1F">
              <w:rPr>
                <w:b/>
                <w:color w:val="000000"/>
              </w:rPr>
              <w:t>Stage 3</w:t>
            </w:r>
          </w:p>
          <w:p w14:paraId="7F4AC0D8" w14:textId="77777777" w:rsidR="00E05C80" w:rsidRPr="00762D1F" w:rsidRDefault="00E05C80" w:rsidP="00CE01D4">
            <w:pPr>
              <w:widowControl w:val="0"/>
              <w:pBdr>
                <w:top w:val="nil"/>
                <w:left w:val="nil"/>
                <w:bottom w:val="nil"/>
                <w:right w:val="nil"/>
                <w:between w:val="nil"/>
              </w:pBdr>
              <w:jc w:val="right"/>
              <w:rPr>
                <w:b/>
                <w:color w:val="000000"/>
              </w:rPr>
            </w:pPr>
            <w:r w:rsidRPr="00762D1F">
              <w:rPr>
                <w:b/>
                <w:color w:val="000000"/>
              </w:rPr>
              <w:t>(lifetime ECL for credit im-paired)</w:t>
            </w:r>
          </w:p>
        </w:tc>
        <w:tc>
          <w:tcPr>
            <w:tcW w:w="606" w:type="pct"/>
            <w:tcBorders>
              <w:bottom w:val="single" w:sz="4" w:space="0" w:color="000000"/>
            </w:tcBorders>
          </w:tcPr>
          <w:p w14:paraId="71D5147A" w14:textId="77777777" w:rsidR="00E05C80" w:rsidRPr="00762D1F" w:rsidRDefault="00E05C80" w:rsidP="00CE01D4">
            <w:pPr>
              <w:widowControl w:val="0"/>
              <w:pBdr>
                <w:top w:val="nil"/>
                <w:left w:val="nil"/>
                <w:bottom w:val="nil"/>
                <w:right w:val="nil"/>
                <w:between w:val="nil"/>
              </w:pBdr>
              <w:jc w:val="right"/>
              <w:rPr>
                <w:b/>
                <w:color w:val="000000"/>
              </w:rPr>
            </w:pPr>
            <w:r w:rsidRPr="00762D1F">
              <w:rPr>
                <w:b/>
                <w:color w:val="000000"/>
              </w:rPr>
              <w:t>POCI</w:t>
            </w:r>
          </w:p>
        </w:tc>
        <w:tc>
          <w:tcPr>
            <w:tcW w:w="605" w:type="pct"/>
            <w:tcBorders>
              <w:bottom w:val="single" w:sz="4" w:space="0" w:color="000000"/>
            </w:tcBorders>
            <w:shd w:val="clear" w:color="auto" w:fill="auto"/>
          </w:tcPr>
          <w:p w14:paraId="167F8FD3" w14:textId="77777777" w:rsidR="00E05C80" w:rsidRPr="00762D1F" w:rsidRDefault="00E05C80" w:rsidP="00CE01D4">
            <w:pPr>
              <w:widowControl w:val="0"/>
              <w:pBdr>
                <w:top w:val="nil"/>
                <w:left w:val="nil"/>
                <w:bottom w:val="nil"/>
                <w:right w:val="nil"/>
                <w:between w:val="nil"/>
              </w:pBdr>
              <w:jc w:val="right"/>
              <w:rPr>
                <w:b/>
                <w:color w:val="000000"/>
              </w:rPr>
            </w:pPr>
            <w:r w:rsidRPr="00762D1F">
              <w:rPr>
                <w:b/>
                <w:color w:val="000000"/>
              </w:rPr>
              <w:t>Total</w:t>
            </w:r>
          </w:p>
        </w:tc>
      </w:tr>
      <w:tr w:rsidR="00E05C80" w:rsidRPr="00762D1F" w14:paraId="427060BA" w14:textId="77777777" w:rsidTr="00CE01D4">
        <w:trPr>
          <w:trHeight w:val="23"/>
        </w:trPr>
        <w:tc>
          <w:tcPr>
            <w:tcW w:w="1971" w:type="pct"/>
            <w:shd w:val="clear" w:color="auto" w:fill="auto"/>
            <w:vAlign w:val="bottom"/>
          </w:tcPr>
          <w:p w14:paraId="14CFE326" w14:textId="77777777" w:rsidR="00E05C80" w:rsidRPr="00762D1F" w:rsidRDefault="00E05C80" w:rsidP="00CE01D4">
            <w:pPr>
              <w:widowControl w:val="0"/>
              <w:ind w:left="113" w:hanging="113"/>
            </w:pPr>
          </w:p>
        </w:tc>
        <w:tc>
          <w:tcPr>
            <w:tcW w:w="606" w:type="pct"/>
            <w:shd w:val="clear" w:color="auto" w:fill="auto"/>
            <w:vAlign w:val="bottom"/>
          </w:tcPr>
          <w:p w14:paraId="0649DD0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5AB1468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5DEBCC4F"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3A09EB09"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298A872C"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2E07BC12" w14:textId="77777777" w:rsidTr="00CE01D4">
        <w:trPr>
          <w:trHeight w:val="23"/>
        </w:trPr>
        <w:tc>
          <w:tcPr>
            <w:tcW w:w="1971" w:type="pct"/>
            <w:shd w:val="clear" w:color="auto" w:fill="auto"/>
            <w:vAlign w:val="bottom"/>
          </w:tcPr>
          <w:p w14:paraId="6C3B8CD2" w14:textId="5DEE5380" w:rsidR="00E05C80" w:rsidRPr="00762D1F" w:rsidRDefault="00372E26" w:rsidP="00CE01D4">
            <w:pPr>
              <w:widowControl w:val="0"/>
              <w:pBdr>
                <w:top w:val="nil"/>
                <w:left w:val="nil"/>
                <w:bottom w:val="nil"/>
                <w:right w:val="nil"/>
                <w:between w:val="nil"/>
              </w:pBdr>
              <w:ind w:left="113" w:hanging="113"/>
              <w:rPr>
                <w:b/>
                <w:color w:val="000000"/>
              </w:rPr>
            </w:pPr>
            <w:r>
              <w:rPr>
                <w:b/>
                <w:i/>
                <w:color w:val="000000"/>
              </w:rPr>
              <w:t>[Country]</w:t>
            </w:r>
            <w:r w:rsidR="00E05C80" w:rsidRPr="00762D1F">
              <w:rPr>
                <w:b/>
                <w:i/>
                <w:color w:val="000000"/>
              </w:rPr>
              <w:t xml:space="preserve"> government bonds</w:t>
            </w:r>
          </w:p>
        </w:tc>
        <w:tc>
          <w:tcPr>
            <w:tcW w:w="606" w:type="pct"/>
            <w:shd w:val="clear" w:color="auto" w:fill="auto"/>
            <w:vAlign w:val="bottom"/>
          </w:tcPr>
          <w:p w14:paraId="4396388B"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750407D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36AD6054"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34554A5D"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47128F14"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30968A72" w14:textId="77777777" w:rsidTr="00CE01D4">
        <w:trPr>
          <w:trHeight w:val="23"/>
        </w:trPr>
        <w:tc>
          <w:tcPr>
            <w:tcW w:w="1971" w:type="pct"/>
            <w:shd w:val="clear" w:color="auto" w:fill="auto"/>
            <w:vAlign w:val="bottom"/>
          </w:tcPr>
          <w:p w14:paraId="79C6D527" w14:textId="77777777" w:rsidR="00E05C80" w:rsidRPr="00762D1F" w:rsidRDefault="00E05C80" w:rsidP="00CE01D4">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5BEC3878"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103F44D0"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663FA4A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329C39EA"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2E669608"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155BCC62" w14:textId="77777777" w:rsidTr="00CE01D4">
        <w:trPr>
          <w:trHeight w:val="23"/>
        </w:trPr>
        <w:tc>
          <w:tcPr>
            <w:tcW w:w="1971" w:type="pct"/>
            <w:shd w:val="clear" w:color="auto" w:fill="auto"/>
            <w:vAlign w:val="bottom"/>
          </w:tcPr>
          <w:p w14:paraId="1A4A1394" w14:textId="77777777" w:rsidR="00E05C80" w:rsidRPr="00762D1F" w:rsidRDefault="00E05C80" w:rsidP="00CE01D4">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26DDD84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27BEE88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61EB102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11D7A035"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1829C448"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3FF165C3" w14:textId="77777777" w:rsidTr="00CE01D4">
        <w:trPr>
          <w:trHeight w:val="23"/>
        </w:trPr>
        <w:tc>
          <w:tcPr>
            <w:tcW w:w="1971" w:type="pct"/>
            <w:shd w:val="clear" w:color="auto" w:fill="auto"/>
            <w:vAlign w:val="bottom"/>
          </w:tcPr>
          <w:p w14:paraId="7DBC975A" w14:textId="77777777" w:rsidR="00E05C80" w:rsidRPr="00762D1F" w:rsidRDefault="00E05C80" w:rsidP="00CE01D4">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47074A0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7DB01C4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683A986D"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2AF68183"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4DD3585A"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310BEC37" w14:textId="77777777" w:rsidTr="00CE01D4">
        <w:trPr>
          <w:trHeight w:val="23"/>
        </w:trPr>
        <w:tc>
          <w:tcPr>
            <w:tcW w:w="1971" w:type="pct"/>
            <w:tcBorders>
              <w:bottom w:val="single" w:sz="4" w:space="0" w:color="000000"/>
            </w:tcBorders>
            <w:shd w:val="clear" w:color="auto" w:fill="auto"/>
            <w:vAlign w:val="bottom"/>
          </w:tcPr>
          <w:p w14:paraId="2AD9C75A"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FC1958B"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092EB22"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F53581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B670A94"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5B0D8749"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61B967B3" w14:textId="77777777" w:rsidTr="00CE01D4">
        <w:trPr>
          <w:trHeight w:val="23"/>
        </w:trPr>
        <w:tc>
          <w:tcPr>
            <w:tcW w:w="1971" w:type="pct"/>
            <w:tcBorders>
              <w:top w:val="single" w:sz="4" w:space="0" w:color="000000"/>
            </w:tcBorders>
            <w:shd w:val="clear" w:color="auto" w:fill="auto"/>
            <w:vAlign w:val="bottom"/>
          </w:tcPr>
          <w:p w14:paraId="3171B4A7"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22C26C2"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2D7D43E"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CF61A6D"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860A184"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E20F73B"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0CD374D8" w14:textId="77777777" w:rsidTr="00CE01D4">
        <w:trPr>
          <w:trHeight w:val="23"/>
        </w:trPr>
        <w:tc>
          <w:tcPr>
            <w:tcW w:w="1971" w:type="pct"/>
            <w:shd w:val="clear" w:color="auto" w:fill="auto"/>
            <w:vAlign w:val="bottom"/>
          </w:tcPr>
          <w:p w14:paraId="20CC32FE" w14:textId="77777777" w:rsidR="00E05C80" w:rsidRPr="00762D1F" w:rsidRDefault="00E05C80" w:rsidP="00CE01D4">
            <w:pPr>
              <w:widowControl w:val="0"/>
              <w:pBdr>
                <w:top w:val="nil"/>
                <w:left w:val="nil"/>
                <w:bottom w:val="nil"/>
                <w:right w:val="nil"/>
                <w:between w:val="nil"/>
              </w:pBdr>
              <w:ind w:left="113" w:hanging="113"/>
              <w:rPr>
                <w:b/>
                <w:color w:val="000000"/>
              </w:rPr>
            </w:pPr>
            <w:r w:rsidRPr="00762D1F">
              <w:rPr>
                <w:b/>
                <w:color w:val="000000"/>
              </w:rPr>
              <w:t>Gross carrying amount</w:t>
            </w:r>
          </w:p>
        </w:tc>
        <w:tc>
          <w:tcPr>
            <w:tcW w:w="606" w:type="pct"/>
            <w:vAlign w:val="bottom"/>
          </w:tcPr>
          <w:p w14:paraId="54CD0281"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57E5EC9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2AB28C5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1EBEA885"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1353B1AA"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35DF7FE8" w14:textId="77777777" w:rsidTr="00CE01D4">
        <w:trPr>
          <w:trHeight w:val="23"/>
        </w:trPr>
        <w:tc>
          <w:tcPr>
            <w:tcW w:w="1971" w:type="pct"/>
            <w:tcBorders>
              <w:bottom w:val="single" w:sz="4" w:space="0" w:color="000000"/>
            </w:tcBorders>
            <w:shd w:val="clear" w:color="auto" w:fill="auto"/>
            <w:vAlign w:val="bottom"/>
          </w:tcPr>
          <w:p w14:paraId="27362AC8"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41409DB"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FCAF02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76CAB1D"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EED5D5C"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73238CDA"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7203F69D" w14:textId="77777777" w:rsidTr="00CE01D4">
        <w:trPr>
          <w:trHeight w:val="23"/>
        </w:trPr>
        <w:tc>
          <w:tcPr>
            <w:tcW w:w="1971" w:type="pct"/>
            <w:tcBorders>
              <w:top w:val="single" w:sz="4" w:space="0" w:color="000000"/>
            </w:tcBorders>
            <w:shd w:val="clear" w:color="auto" w:fill="auto"/>
            <w:vAlign w:val="bottom"/>
          </w:tcPr>
          <w:p w14:paraId="5A3AB2BC"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8E7ACC4"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ADBA636"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784124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0BDEB2A"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60F354AA"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14A2BA20" w14:textId="77777777" w:rsidTr="00CE01D4">
        <w:trPr>
          <w:trHeight w:val="23"/>
        </w:trPr>
        <w:tc>
          <w:tcPr>
            <w:tcW w:w="1971" w:type="pct"/>
            <w:shd w:val="clear" w:color="auto" w:fill="auto"/>
            <w:vAlign w:val="bottom"/>
          </w:tcPr>
          <w:p w14:paraId="1D18E4B7" w14:textId="77777777" w:rsidR="00E05C80" w:rsidRPr="00762D1F" w:rsidRDefault="00E05C80" w:rsidP="00CE01D4">
            <w:pPr>
              <w:widowControl w:val="0"/>
              <w:pBdr>
                <w:top w:val="nil"/>
                <w:left w:val="nil"/>
                <w:bottom w:val="nil"/>
                <w:right w:val="nil"/>
                <w:between w:val="nil"/>
              </w:pBdr>
              <w:ind w:left="113" w:hanging="113"/>
              <w:rPr>
                <w:color w:val="000000"/>
              </w:rPr>
            </w:pPr>
            <w:r w:rsidRPr="00762D1F">
              <w:rPr>
                <w:color w:val="000000"/>
              </w:rPr>
              <w:t>Credit loss allowance</w:t>
            </w:r>
          </w:p>
        </w:tc>
        <w:tc>
          <w:tcPr>
            <w:tcW w:w="606" w:type="pct"/>
            <w:vAlign w:val="bottom"/>
          </w:tcPr>
          <w:p w14:paraId="5F0B07B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4534AD8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10F22C60"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359D1CEB"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676B2621"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762359A7" w14:textId="77777777" w:rsidTr="00CE01D4">
        <w:trPr>
          <w:trHeight w:val="23"/>
        </w:trPr>
        <w:tc>
          <w:tcPr>
            <w:tcW w:w="1971" w:type="pct"/>
            <w:shd w:val="clear" w:color="auto" w:fill="auto"/>
            <w:vAlign w:val="bottom"/>
          </w:tcPr>
          <w:p w14:paraId="41CB13F3"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vAlign w:val="bottom"/>
          </w:tcPr>
          <w:p w14:paraId="26C91F34"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0CBEE423"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1242C8D1"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271EB2F3"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5FC3D085"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5D10C909" w14:textId="77777777" w:rsidTr="00CE01D4">
        <w:trPr>
          <w:trHeight w:val="23"/>
        </w:trPr>
        <w:tc>
          <w:tcPr>
            <w:tcW w:w="1971" w:type="pct"/>
            <w:tcBorders>
              <w:top w:val="single" w:sz="4" w:space="0" w:color="000000"/>
            </w:tcBorders>
            <w:shd w:val="clear" w:color="auto" w:fill="auto"/>
            <w:vAlign w:val="bottom"/>
          </w:tcPr>
          <w:p w14:paraId="4533459E"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B02923E"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CB1382E"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5C5068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297CC91"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48FD5FB"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03BCA748" w14:textId="77777777" w:rsidTr="00CE01D4">
        <w:trPr>
          <w:trHeight w:val="23"/>
        </w:trPr>
        <w:tc>
          <w:tcPr>
            <w:tcW w:w="1971" w:type="pct"/>
            <w:shd w:val="clear" w:color="auto" w:fill="auto"/>
            <w:vAlign w:val="bottom"/>
          </w:tcPr>
          <w:p w14:paraId="67FD49B7" w14:textId="77777777" w:rsidR="00E05C80" w:rsidRPr="00762D1F" w:rsidRDefault="00E05C80" w:rsidP="00CE01D4">
            <w:pPr>
              <w:widowControl w:val="0"/>
              <w:pBdr>
                <w:top w:val="nil"/>
                <w:left w:val="nil"/>
                <w:bottom w:val="nil"/>
                <w:right w:val="nil"/>
                <w:between w:val="nil"/>
              </w:pBdr>
              <w:ind w:left="113" w:hanging="113"/>
              <w:rPr>
                <w:b/>
                <w:color w:val="000000"/>
              </w:rPr>
            </w:pPr>
            <w:r w:rsidRPr="00762D1F">
              <w:rPr>
                <w:b/>
                <w:color w:val="000000"/>
              </w:rPr>
              <w:t>Carrying amount</w:t>
            </w:r>
          </w:p>
        </w:tc>
        <w:tc>
          <w:tcPr>
            <w:tcW w:w="606" w:type="pct"/>
            <w:vAlign w:val="bottom"/>
          </w:tcPr>
          <w:p w14:paraId="7B01DD73"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11997B2B"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4816D3C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2EC81546"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4CE4E1F1"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342D2296" w14:textId="77777777" w:rsidTr="00CE01D4">
        <w:trPr>
          <w:trHeight w:val="23"/>
        </w:trPr>
        <w:tc>
          <w:tcPr>
            <w:tcW w:w="1971" w:type="pct"/>
            <w:tcBorders>
              <w:bottom w:val="single" w:sz="12" w:space="0" w:color="000000"/>
            </w:tcBorders>
            <w:shd w:val="clear" w:color="auto" w:fill="auto"/>
            <w:vAlign w:val="bottom"/>
          </w:tcPr>
          <w:p w14:paraId="776A28A1"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3EA5A086"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30C0E3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08A5682"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6257CE3"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2734EB21"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1D663926" w14:textId="77777777" w:rsidTr="00CE01D4">
        <w:trPr>
          <w:trHeight w:val="23"/>
        </w:trPr>
        <w:tc>
          <w:tcPr>
            <w:tcW w:w="1971" w:type="pct"/>
            <w:tcBorders>
              <w:top w:val="single" w:sz="12" w:space="0" w:color="000000"/>
            </w:tcBorders>
            <w:shd w:val="clear" w:color="auto" w:fill="auto"/>
            <w:vAlign w:val="bottom"/>
          </w:tcPr>
          <w:p w14:paraId="4294A6EA" w14:textId="77777777" w:rsidR="00E05C80" w:rsidRPr="00762D1F" w:rsidRDefault="00E05C80" w:rsidP="00CE01D4">
            <w:pPr>
              <w:widowControl w:val="0"/>
              <w:pBdr>
                <w:top w:val="nil"/>
                <w:left w:val="nil"/>
                <w:bottom w:val="nil"/>
                <w:right w:val="nil"/>
                <w:between w:val="nil"/>
              </w:pBdr>
              <w:ind w:left="113" w:hanging="113"/>
              <w:rPr>
                <w:b/>
                <w:i/>
                <w:color w:val="000000"/>
              </w:rPr>
            </w:pPr>
          </w:p>
        </w:tc>
        <w:tc>
          <w:tcPr>
            <w:tcW w:w="606" w:type="pct"/>
            <w:tcBorders>
              <w:top w:val="single" w:sz="12" w:space="0" w:color="000000"/>
            </w:tcBorders>
            <w:shd w:val="clear" w:color="auto" w:fill="auto"/>
            <w:vAlign w:val="bottom"/>
          </w:tcPr>
          <w:p w14:paraId="5BD4315A"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76763B6F"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30D30730"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12" w:space="0" w:color="000000"/>
            </w:tcBorders>
            <w:vAlign w:val="bottom"/>
          </w:tcPr>
          <w:p w14:paraId="2AC78BA3"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top w:val="single" w:sz="12" w:space="0" w:color="000000"/>
            </w:tcBorders>
            <w:shd w:val="clear" w:color="auto" w:fill="auto"/>
            <w:vAlign w:val="bottom"/>
          </w:tcPr>
          <w:p w14:paraId="4444C5D4"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2ECF4935" w14:textId="77777777" w:rsidTr="00CE01D4">
        <w:trPr>
          <w:trHeight w:val="23"/>
        </w:trPr>
        <w:tc>
          <w:tcPr>
            <w:tcW w:w="1971" w:type="pct"/>
            <w:shd w:val="clear" w:color="auto" w:fill="auto"/>
            <w:vAlign w:val="bottom"/>
          </w:tcPr>
          <w:p w14:paraId="75AB2631" w14:textId="77777777" w:rsidR="00E05C80" w:rsidRPr="00762D1F" w:rsidRDefault="00E05C80" w:rsidP="00CE01D4">
            <w:pPr>
              <w:widowControl w:val="0"/>
              <w:pBdr>
                <w:top w:val="nil"/>
                <w:left w:val="nil"/>
                <w:bottom w:val="nil"/>
                <w:right w:val="nil"/>
                <w:between w:val="nil"/>
              </w:pBdr>
              <w:ind w:left="113" w:hanging="113"/>
              <w:rPr>
                <w:b/>
                <w:color w:val="000000"/>
              </w:rPr>
            </w:pPr>
            <w:r w:rsidRPr="00762D1F">
              <w:rPr>
                <w:b/>
                <w:i/>
                <w:color w:val="000000"/>
              </w:rPr>
              <w:t>Municipal bonds</w:t>
            </w:r>
          </w:p>
        </w:tc>
        <w:tc>
          <w:tcPr>
            <w:tcW w:w="606" w:type="pct"/>
            <w:shd w:val="clear" w:color="auto" w:fill="auto"/>
            <w:vAlign w:val="bottom"/>
          </w:tcPr>
          <w:p w14:paraId="41E51944"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0D071C1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64CDAF1D"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41C3E90A"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13D007FE"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17B6E6D9" w14:textId="77777777" w:rsidTr="00CE01D4">
        <w:trPr>
          <w:trHeight w:val="23"/>
        </w:trPr>
        <w:tc>
          <w:tcPr>
            <w:tcW w:w="1971" w:type="pct"/>
            <w:shd w:val="clear" w:color="auto" w:fill="auto"/>
            <w:vAlign w:val="bottom"/>
          </w:tcPr>
          <w:p w14:paraId="613836FE" w14:textId="77777777" w:rsidR="00E05C80" w:rsidRPr="00762D1F" w:rsidRDefault="00E05C80" w:rsidP="00CE01D4">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44A285B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29F0965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0DC4982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4A0D85AD"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03CE2D92"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1016975C" w14:textId="77777777" w:rsidTr="00CE01D4">
        <w:trPr>
          <w:trHeight w:val="23"/>
        </w:trPr>
        <w:tc>
          <w:tcPr>
            <w:tcW w:w="1971" w:type="pct"/>
            <w:shd w:val="clear" w:color="auto" w:fill="auto"/>
            <w:vAlign w:val="bottom"/>
          </w:tcPr>
          <w:p w14:paraId="5EC2DE22" w14:textId="77777777" w:rsidR="00E05C80" w:rsidRPr="00762D1F" w:rsidRDefault="00E05C80" w:rsidP="00CE01D4">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74D0AD3E"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04931D23"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1AD173B3"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70506567"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574F1647"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49DDA722" w14:textId="77777777" w:rsidTr="00CE01D4">
        <w:trPr>
          <w:trHeight w:val="23"/>
        </w:trPr>
        <w:tc>
          <w:tcPr>
            <w:tcW w:w="1971" w:type="pct"/>
            <w:shd w:val="clear" w:color="auto" w:fill="auto"/>
            <w:vAlign w:val="bottom"/>
          </w:tcPr>
          <w:p w14:paraId="4DB957AC" w14:textId="77777777" w:rsidR="00E05C80" w:rsidRPr="00762D1F" w:rsidRDefault="00E05C80" w:rsidP="00CE01D4">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5A65449D"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7A0620C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5824B27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12E01571"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39A35416"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3819EF8A" w14:textId="77777777" w:rsidTr="00CE01D4">
        <w:trPr>
          <w:trHeight w:val="23"/>
        </w:trPr>
        <w:tc>
          <w:tcPr>
            <w:tcW w:w="1971" w:type="pct"/>
            <w:shd w:val="clear" w:color="auto" w:fill="auto"/>
            <w:vAlign w:val="bottom"/>
          </w:tcPr>
          <w:p w14:paraId="5761A6B5" w14:textId="77777777" w:rsidR="00E05C80" w:rsidRPr="00762D1F" w:rsidRDefault="00E05C80" w:rsidP="00CE01D4">
            <w:pPr>
              <w:widowControl w:val="0"/>
              <w:pBdr>
                <w:top w:val="nil"/>
                <w:left w:val="nil"/>
                <w:bottom w:val="nil"/>
                <w:right w:val="nil"/>
                <w:between w:val="nil"/>
              </w:pBdr>
              <w:ind w:left="113" w:hanging="113"/>
              <w:rPr>
                <w:color w:val="000000"/>
              </w:rPr>
            </w:pPr>
            <w:r w:rsidRPr="00762D1F">
              <w:rPr>
                <w:color w:val="000000"/>
              </w:rPr>
              <w:t>- Special monitoring</w:t>
            </w:r>
          </w:p>
        </w:tc>
        <w:tc>
          <w:tcPr>
            <w:tcW w:w="606" w:type="pct"/>
            <w:shd w:val="clear" w:color="auto" w:fill="auto"/>
            <w:vAlign w:val="bottom"/>
          </w:tcPr>
          <w:p w14:paraId="5845420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7403AD7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4C225F4F"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5DAF32A3"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2536885C"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5243E3CD" w14:textId="77777777" w:rsidTr="00CE01D4">
        <w:trPr>
          <w:trHeight w:val="23"/>
        </w:trPr>
        <w:tc>
          <w:tcPr>
            <w:tcW w:w="1971" w:type="pct"/>
            <w:shd w:val="clear" w:color="auto" w:fill="auto"/>
            <w:vAlign w:val="bottom"/>
          </w:tcPr>
          <w:p w14:paraId="56074ADC" w14:textId="77777777" w:rsidR="00E05C80" w:rsidRPr="00762D1F" w:rsidRDefault="00E05C80" w:rsidP="00CE01D4">
            <w:pPr>
              <w:widowControl w:val="0"/>
              <w:pBdr>
                <w:top w:val="nil"/>
                <w:left w:val="nil"/>
                <w:bottom w:val="nil"/>
                <w:right w:val="nil"/>
                <w:between w:val="nil"/>
              </w:pBdr>
              <w:ind w:left="113" w:hanging="113"/>
              <w:rPr>
                <w:color w:val="0000FF"/>
              </w:rPr>
            </w:pPr>
            <w:r w:rsidRPr="00762D1F">
              <w:rPr>
                <w:color w:val="000000"/>
              </w:rPr>
              <w:t>- Default</w:t>
            </w:r>
          </w:p>
        </w:tc>
        <w:tc>
          <w:tcPr>
            <w:tcW w:w="606" w:type="pct"/>
            <w:shd w:val="clear" w:color="auto" w:fill="auto"/>
            <w:vAlign w:val="bottom"/>
          </w:tcPr>
          <w:p w14:paraId="70CFCFEE"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6F68E0E2"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25882F0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7480A276"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05E58C4C"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107A1856" w14:textId="77777777" w:rsidTr="00CE01D4">
        <w:trPr>
          <w:trHeight w:val="23"/>
        </w:trPr>
        <w:tc>
          <w:tcPr>
            <w:tcW w:w="1971" w:type="pct"/>
            <w:tcBorders>
              <w:bottom w:val="single" w:sz="4" w:space="0" w:color="000000"/>
            </w:tcBorders>
            <w:shd w:val="clear" w:color="auto" w:fill="auto"/>
            <w:vAlign w:val="bottom"/>
          </w:tcPr>
          <w:p w14:paraId="1186FF0D"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2F3457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9BC41AA"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62FFE63"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A3EEE77"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2B4EFE2F"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1F0463AD" w14:textId="77777777" w:rsidTr="00CE01D4">
        <w:trPr>
          <w:trHeight w:val="23"/>
        </w:trPr>
        <w:tc>
          <w:tcPr>
            <w:tcW w:w="1971" w:type="pct"/>
            <w:tcBorders>
              <w:top w:val="single" w:sz="4" w:space="0" w:color="000000"/>
            </w:tcBorders>
            <w:shd w:val="clear" w:color="auto" w:fill="auto"/>
            <w:vAlign w:val="bottom"/>
          </w:tcPr>
          <w:p w14:paraId="370444C1"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9CE6BB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F072FE2"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1C4DA3B"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7F4B6D7"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21732CB"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760317CE" w14:textId="77777777" w:rsidTr="00CE01D4">
        <w:trPr>
          <w:trHeight w:val="23"/>
        </w:trPr>
        <w:tc>
          <w:tcPr>
            <w:tcW w:w="1971" w:type="pct"/>
            <w:shd w:val="clear" w:color="auto" w:fill="auto"/>
            <w:vAlign w:val="bottom"/>
          </w:tcPr>
          <w:p w14:paraId="067093BB" w14:textId="77777777" w:rsidR="00E05C80" w:rsidRPr="00762D1F" w:rsidRDefault="00E05C80" w:rsidP="00CE01D4">
            <w:pPr>
              <w:widowControl w:val="0"/>
              <w:pBdr>
                <w:top w:val="nil"/>
                <w:left w:val="nil"/>
                <w:bottom w:val="nil"/>
                <w:right w:val="nil"/>
                <w:between w:val="nil"/>
              </w:pBdr>
              <w:ind w:left="113" w:hanging="113"/>
              <w:rPr>
                <w:b/>
                <w:color w:val="000000"/>
              </w:rPr>
            </w:pPr>
            <w:r w:rsidRPr="00762D1F">
              <w:rPr>
                <w:b/>
                <w:color w:val="000000"/>
              </w:rPr>
              <w:t>Gross carrying amount</w:t>
            </w:r>
          </w:p>
        </w:tc>
        <w:tc>
          <w:tcPr>
            <w:tcW w:w="606" w:type="pct"/>
            <w:vAlign w:val="bottom"/>
          </w:tcPr>
          <w:p w14:paraId="27E0230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5CACC94A"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6BB2FE7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4CD9DCBF"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5CF67569"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5EFF3C60" w14:textId="77777777" w:rsidTr="00CE01D4">
        <w:trPr>
          <w:trHeight w:val="23"/>
        </w:trPr>
        <w:tc>
          <w:tcPr>
            <w:tcW w:w="1971" w:type="pct"/>
            <w:tcBorders>
              <w:bottom w:val="single" w:sz="4" w:space="0" w:color="000000"/>
            </w:tcBorders>
            <w:shd w:val="clear" w:color="auto" w:fill="auto"/>
            <w:vAlign w:val="bottom"/>
          </w:tcPr>
          <w:p w14:paraId="6FB531CB"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544319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42FE0B2"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BCC0140"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C58E65F"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498A7033"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6E42FC93" w14:textId="77777777" w:rsidTr="00CE01D4">
        <w:trPr>
          <w:trHeight w:val="23"/>
        </w:trPr>
        <w:tc>
          <w:tcPr>
            <w:tcW w:w="1971" w:type="pct"/>
            <w:tcBorders>
              <w:top w:val="single" w:sz="4" w:space="0" w:color="000000"/>
            </w:tcBorders>
            <w:shd w:val="clear" w:color="auto" w:fill="auto"/>
            <w:vAlign w:val="bottom"/>
          </w:tcPr>
          <w:p w14:paraId="00BC25A4"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CFCB43B"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59B295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C8E58E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BF595BE"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77E95BC"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510B09C4" w14:textId="77777777" w:rsidTr="00CE01D4">
        <w:trPr>
          <w:trHeight w:val="23"/>
        </w:trPr>
        <w:tc>
          <w:tcPr>
            <w:tcW w:w="1971" w:type="pct"/>
            <w:shd w:val="clear" w:color="auto" w:fill="auto"/>
            <w:vAlign w:val="bottom"/>
          </w:tcPr>
          <w:p w14:paraId="1AE084D9" w14:textId="77777777" w:rsidR="00E05C80" w:rsidRPr="00762D1F" w:rsidRDefault="00E05C80" w:rsidP="00CE01D4">
            <w:pPr>
              <w:widowControl w:val="0"/>
              <w:pBdr>
                <w:top w:val="nil"/>
                <w:left w:val="nil"/>
                <w:bottom w:val="nil"/>
                <w:right w:val="nil"/>
                <w:between w:val="nil"/>
              </w:pBdr>
              <w:ind w:left="113" w:hanging="113"/>
              <w:rPr>
                <w:color w:val="000000"/>
              </w:rPr>
            </w:pPr>
            <w:r w:rsidRPr="00762D1F">
              <w:rPr>
                <w:color w:val="000000"/>
              </w:rPr>
              <w:t>Credit loss allowance</w:t>
            </w:r>
          </w:p>
        </w:tc>
        <w:tc>
          <w:tcPr>
            <w:tcW w:w="606" w:type="pct"/>
            <w:vAlign w:val="bottom"/>
          </w:tcPr>
          <w:p w14:paraId="32552C9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089D23D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0F755178"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22C311F5"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3094A1AC"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5B6AE548" w14:textId="77777777" w:rsidTr="00CE01D4">
        <w:trPr>
          <w:trHeight w:val="23"/>
        </w:trPr>
        <w:tc>
          <w:tcPr>
            <w:tcW w:w="1971" w:type="pct"/>
            <w:shd w:val="clear" w:color="auto" w:fill="auto"/>
            <w:vAlign w:val="bottom"/>
          </w:tcPr>
          <w:p w14:paraId="2F828C94"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vAlign w:val="bottom"/>
          </w:tcPr>
          <w:p w14:paraId="3E57E494"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4CE8E14C"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1D18112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3F56D844"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01B36D0B"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0C7195ED" w14:textId="77777777" w:rsidTr="00CE01D4">
        <w:trPr>
          <w:trHeight w:val="23"/>
        </w:trPr>
        <w:tc>
          <w:tcPr>
            <w:tcW w:w="1971" w:type="pct"/>
            <w:tcBorders>
              <w:top w:val="single" w:sz="4" w:space="0" w:color="000000"/>
            </w:tcBorders>
            <w:shd w:val="clear" w:color="auto" w:fill="auto"/>
            <w:vAlign w:val="bottom"/>
          </w:tcPr>
          <w:p w14:paraId="2EEAF465"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6AE8D21"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168D492"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DAFDDF9"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EE379E4"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37C7F0E7"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26623232" w14:textId="77777777" w:rsidTr="00CE01D4">
        <w:trPr>
          <w:trHeight w:val="23"/>
        </w:trPr>
        <w:tc>
          <w:tcPr>
            <w:tcW w:w="1971" w:type="pct"/>
            <w:shd w:val="clear" w:color="auto" w:fill="auto"/>
            <w:vAlign w:val="bottom"/>
          </w:tcPr>
          <w:p w14:paraId="7C916DED" w14:textId="77777777" w:rsidR="00E05C80" w:rsidRPr="00762D1F" w:rsidRDefault="00E05C80" w:rsidP="00CE01D4">
            <w:pPr>
              <w:widowControl w:val="0"/>
              <w:pBdr>
                <w:top w:val="nil"/>
                <w:left w:val="nil"/>
                <w:bottom w:val="nil"/>
                <w:right w:val="nil"/>
                <w:between w:val="nil"/>
              </w:pBdr>
              <w:ind w:left="113" w:hanging="113"/>
              <w:rPr>
                <w:b/>
                <w:color w:val="000000"/>
              </w:rPr>
            </w:pPr>
            <w:r w:rsidRPr="00762D1F">
              <w:rPr>
                <w:b/>
                <w:color w:val="000000"/>
              </w:rPr>
              <w:t>Carrying amount</w:t>
            </w:r>
          </w:p>
        </w:tc>
        <w:tc>
          <w:tcPr>
            <w:tcW w:w="606" w:type="pct"/>
            <w:vAlign w:val="bottom"/>
          </w:tcPr>
          <w:p w14:paraId="72330C37"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vAlign w:val="bottom"/>
          </w:tcPr>
          <w:p w14:paraId="2B68823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6357F834"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shd w:val="clear" w:color="auto" w:fill="auto"/>
            <w:vAlign w:val="bottom"/>
          </w:tcPr>
          <w:p w14:paraId="40D9D1A3"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shd w:val="clear" w:color="auto" w:fill="auto"/>
            <w:vAlign w:val="bottom"/>
          </w:tcPr>
          <w:p w14:paraId="7F4C1F85" w14:textId="77777777" w:rsidR="00E05C80" w:rsidRPr="00762D1F" w:rsidRDefault="00E05C80" w:rsidP="00CE01D4">
            <w:pPr>
              <w:widowControl w:val="0"/>
              <w:pBdr>
                <w:top w:val="nil"/>
                <w:left w:val="nil"/>
                <w:bottom w:val="nil"/>
                <w:right w:val="nil"/>
                <w:between w:val="nil"/>
              </w:pBdr>
              <w:jc w:val="right"/>
              <w:rPr>
                <w:color w:val="000000"/>
              </w:rPr>
            </w:pPr>
          </w:p>
        </w:tc>
      </w:tr>
      <w:tr w:rsidR="00E05C80" w:rsidRPr="00762D1F" w14:paraId="00535CC7" w14:textId="77777777" w:rsidTr="00CE01D4">
        <w:trPr>
          <w:trHeight w:val="23"/>
        </w:trPr>
        <w:tc>
          <w:tcPr>
            <w:tcW w:w="1971" w:type="pct"/>
            <w:tcBorders>
              <w:bottom w:val="single" w:sz="12" w:space="0" w:color="000000"/>
            </w:tcBorders>
            <w:shd w:val="clear" w:color="auto" w:fill="auto"/>
            <w:vAlign w:val="bottom"/>
          </w:tcPr>
          <w:p w14:paraId="202C6BD4" w14:textId="77777777" w:rsidR="00E05C80" w:rsidRPr="00762D1F" w:rsidRDefault="00E05C80" w:rsidP="00CE01D4">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63315850"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715ED05"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F32D19A" w14:textId="77777777" w:rsidR="00E05C80" w:rsidRPr="00762D1F" w:rsidRDefault="00E05C80" w:rsidP="00CE01D4">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B9FD34A" w14:textId="77777777" w:rsidR="00E05C80" w:rsidRPr="00762D1F" w:rsidRDefault="00E05C80" w:rsidP="00CE01D4">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3D79AFA0" w14:textId="77777777" w:rsidR="00E05C80" w:rsidRPr="00762D1F" w:rsidRDefault="00E05C80" w:rsidP="00CE01D4">
            <w:pPr>
              <w:widowControl w:val="0"/>
              <w:pBdr>
                <w:top w:val="nil"/>
                <w:left w:val="nil"/>
                <w:bottom w:val="nil"/>
                <w:right w:val="nil"/>
                <w:between w:val="nil"/>
              </w:pBdr>
              <w:jc w:val="right"/>
              <w:rPr>
                <w:color w:val="000000"/>
              </w:rPr>
            </w:pPr>
          </w:p>
        </w:tc>
      </w:tr>
    </w:tbl>
    <w:p w14:paraId="077E9A24" w14:textId="77777777" w:rsidR="00E05C80" w:rsidRDefault="00E05C80" w:rsidP="001B330E">
      <w:pPr>
        <w:widowControl w:val="0"/>
        <w:pBdr>
          <w:top w:val="nil"/>
          <w:left w:val="nil"/>
          <w:bottom w:val="nil"/>
          <w:right w:val="nil"/>
          <w:between w:val="nil"/>
        </w:pBdr>
        <w:spacing w:before="200" w:after="200"/>
        <w:jc w:val="both"/>
        <w:rPr>
          <w:color w:val="000000"/>
          <w:sz w:val="20"/>
          <w:szCs w:val="20"/>
        </w:rPr>
      </w:pPr>
    </w:p>
    <w:p w14:paraId="27C0B8F9" w14:textId="206D5AD4" w:rsidR="00D83E33" w:rsidRDefault="00BC4072" w:rsidP="001B330E">
      <w:pPr>
        <w:pStyle w:val="Continued"/>
      </w:pPr>
      <w:r>
        <w:lastRenderedPageBreak/>
        <w:t>9</w:t>
      </w:r>
      <w:r>
        <w:tab/>
        <w:t>Investments in Debt Securities (Continued)</w:t>
      </w:r>
    </w:p>
    <w:tbl>
      <w:tblPr>
        <w:tblStyle w:val="aff7"/>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762D1F" w14:paraId="1C4F75B3" w14:textId="77777777" w:rsidTr="001B330E">
        <w:trPr>
          <w:trHeight w:val="23"/>
        </w:trPr>
        <w:tc>
          <w:tcPr>
            <w:tcW w:w="1971" w:type="pct"/>
            <w:tcBorders>
              <w:bottom w:val="single" w:sz="4" w:space="0" w:color="000000"/>
            </w:tcBorders>
            <w:shd w:val="clear" w:color="auto" w:fill="auto"/>
            <w:vAlign w:val="bottom"/>
          </w:tcPr>
          <w:p w14:paraId="2784F8DB" w14:textId="5426B591" w:rsidR="00D83E33" w:rsidRPr="00762D1F"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334BBF94" w14:textId="03DCC41D"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1</w:t>
            </w:r>
          </w:p>
          <w:p w14:paraId="7C015852"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(12-months ECL)</w:t>
            </w:r>
          </w:p>
        </w:tc>
        <w:tc>
          <w:tcPr>
            <w:tcW w:w="606" w:type="pct"/>
            <w:tcBorders>
              <w:bottom w:val="single" w:sz="4" w:space="0" w:color="000000"/>
            </w:tcBorders>
            <w:shd w:val="clear" w:color="auto" w:fill="auto"/>
          </w:tcPr>
          <w:p w14:paraId="5AA62D89"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2</w:t>
            </w:r>
          </w:p>
          <w:p w14:paraId="342DC267" w14:textId="475C3D8A"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(lifetime ECL for SICR)</w:t>
            </w:r>
          </w:p>
        </w:tc>
        <w:tc>
          <w:tcPr>
            <w:tcW w:w="606" w:type="pct"/>
            <w:tcBorders>
              <w:bottom w:val="single" w:sz="4" w:space="0" w:color="000000"/>
            </w:tcBorders>
            <w:shd w:val="clear" w:color="auto" w:fill="auto"/>
          </w:tcPr>
          <w:p w14:paraId="5A87B6E4"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3</w:t>
            </w:r>
          </w:p>
          <w:p w14:paraId="238041FD"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(lifetime ECL for credit im-paired)</w:t>
            </w:r>
          </w:p>
        </w:tc>
        <w:tc>
          <w:tcPr>
            <w:tcW w:w="606" w:type="pct"/>
            <w:tcBorders>
              <w:bottom w:val="single" w:sz="4" w:space="0" w:color="000000"/>
            </w:tcBorders>
          </w:tcPr>
          <w:p w14:paraId="0A7055BD"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POCI</w:t>
            </w:r>
          </w:p>
        </w:tc>
        <w:tc>
          <w:tcPr>
            <w:tcW w:w="606" w:type="pct"/>
            <w:tcBorders>
              <w:bottom w:val="single" w:sz="4" w:space="0" w:color="000000"/>
            </w:tcBorders>
            <w:shd w:val="clear" w:color="auto" w:fill="auto"/>
          </w:tcPr>
          <w:p w14:paraId="1295EA70"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Total</w:t>
            </w:r>
          </w:p>
        </w:tc>
      </w:tr>
      <w:tr w:rsidR="00D83E33" w:rsidRPr="00762D1F" w14:paraId="3E05FC52" w14:textId="77777777" w:rsidTr="001B330E">
        <w:trPr>
          <w:trHeight w:val="23"/>
        </w:trPr>
        <w:tc>
          <w:tcPr>
            <w:tcW w:w="1971" w:type="pct"/>
            <w:tcBorders>
              <w:top w:val="single" w:sz="4" w:space="0" w:color="000000"/>
            </w:tcBorders>
            <w:shd w:val="clear" w:color="auto" w:fill="auto"/>
            <w:vAlign w:val="bottom"/>
          </w:tcPr>
          <w:p w14:paraId="2F63118B"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6A4E03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E3A1B81"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63E244B"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903119B"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5C768A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6C5DCC7" w14:textId="77777777" w:rsidTr="001B330E">
        <w:trPr>
          <w:trHeight w:val="23"/>
        </w:trPr>
        <w:tc>
          <w:tcPr>
            <w:tcW w:w="1971" w:type="pct"/>
            <w:shd w:val="clear" w:color="auto" w:fill="auto"/>
            <w:vAlign w:val="bottom"/>
          </w:tcPr>
          <w:p w14:paraId="06ADBE18" w14:textId="77777777" w:rsidR="00D83E33" w:rsidRPr="00762D1F" w:rsidRDefault="00BC4072">
            <w:pPr>
              <w:widowControl w:val="0"/>
              <w:pBdr>
                <w:top w:val="nil"/>
                <w:left w:val="nil"/>
                <w:bottom w:val="nil"/>
                <w:right w:val="nil"/>
                <w:between w:val="nil"/>
              </w:pBdr>
              <w:ind w:left="113" w:hanging="113"/>
              <w:rPr>
                <w:b/>
                <w:color w:val="000000"/>
              </w:rPr>
            </w:pPr>
            <w:r w:rsidRPr="00762D1F">
              <w:rPr>
                <w:b/>
                <w:i/>
                <w:color w:val="000000"/>
              </w:rPr>
              <w:t>Corporate bonds</w:t>
            </w:r>
          </w:p>
        </w:tc>
        <w:tc>
          <w:tcPr>
            <w:tcW w:w="606" w:type="pct"/>
            <w:shd w:val="clear" w:color="auto" w:fill="auto"/>
            <w:vAlign w:val="bottom"/>
          </w:tcPr>
          <w:p w14:paraId="52624C3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12242F"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302E8E0"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51ACD65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EA839F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D4E99CF" w14:textId="77777777" w:rsidTr="001B330E">
        <w:trPr>
          <w:trHeight w:val="23"/>
        </w:trPr>
        <w:tc>
          <w:tcPr>
            <w:tcW w:w="1971" w:type="pct"/>
            <w:shd w:val="clear" w:color="auto" w:fill="auto"/>
            <w:vAlign w:val="bottom"/>
          </w:tcPr>
          <w:p w14:paraId="2FB3A2EC"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197E0F6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421A9D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7CE176"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53E2559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CFA670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5B7D625" w14:textId="77777777" w:rsidTr="001B330E">
        <w:trPr>
          <w:trHeight w:val="23"/>
        </w:trPr>
        <w:tc>
          <w:tcPr>
            <w:tcW w:w="1971" w:type="pct"/>
            <w:shd w:val="clear" w:color="auto" w:fill="auto"/>
            <w:vAlign w:val="bottom"/>
          </w:tcPr>
          <w:p w14:paraId="6B6F6B1F"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2C6D64B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BCD1CF"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C9E78A"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7DC45DF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156B05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08DC525" w14:textId="77777777" w:rsidTr="001B330E">
        <w:trPr>
          <w:trHeight w:val="23"/>
        </w:trPr>
        <w:tc>
          <w:tcPr>
            <w:tcW w:w="1971" w:type="pct"/>
            <w:shd w:val="clear" w:color="auto" w:fill="auto"/>
            <w:vAlign w:val="bottom"/>
          </w:tcPr>
          <w:p w14:paraId="189F0982"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283C7F5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ED1E0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AA56642"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2650AD8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1E96D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0C2CFD8" w14:textId="77777777" w:rsidTr="001B330E">
        <w:trPr>
          <w:trHeight w:val="23"/>
        </w:trPr>
        <w:tc>
          <w:tcPr>
            <w:tcW w:w="1971" w:type="pct"/>
            <w:shd w:val="clear" w:color="auto" w:fill="auto"/>
            <w:vAlign w:val="bottom"/>
          </w:tcPr>
          <w:p w14:paraId="49D0ECC4"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Special monitoring</w:t>
            </w:r>
          </w:p>
        </w:tc>
        <w:tc>
          <w:tcPr>
            <w:tcW w:w="606" w:type="pct"/>
            <w:shd w:val="clear" w:color="auto" w:fill="auto"/>
            <w:vAlign w:val="bottom"/>
          </w:tcPr>
          <w:p w14:paraId="6F17F8A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AA727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6F5EC69"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537B664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0FFF52"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F3E3D27" w14:textId="77777777" w:rsidTr="001B330E">
        <w:trPr>
          <w:trHeight w:val="23"/>
        </w:trPr>
        <w:tc>
          <w:tcPr>
            <w:tcW w:w="1971" w:type="pct"/>
            <w:shd w:val="clear" w:color="auto" w:fill="auto"/>
            <w:vAlign w:val="bottom"/>
          </w:tcPr>
          <w:p w14:paraId="0CAC7042"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Default</w:t>
            </w:r>
          </w:p>
        </w:tc>
        <w:tc>
          <w:tcPr>
            <w:tcW w:w="606" w:type="pct"/>
            <w:shd w:val="clear" w:color="auto" w:fill="auto"/>
            <w:vAlign w:val="bottom"/>
          </w:tcPr>
          <w:p w14:paraId="4E5B3ED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866DB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92AB987"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71C398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D890F7"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2A2FE33" w14:textId="77777777" w:rsidTr="001B330E">
        <w:trPr>
          <w:trHeight w:val="23"/>
        </w:trPr>
        <w:tc>
          <w:tcPr>
            <w:tcW w:w="1971" w:type="pct"/>
            <w:tcBorders>
              <w:bottom w:val="single" w:sz="4" w:space="0" w:color="000000"/>
            </w:tcBorders>
            <w:shd w:val="clear" w:color="auto" w:fill="auto"/>
            <w:vAlign w:val="bottom"/>
          </w:tcPr>
          <w:p w14:paraId="41BCF0D0"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86F27EB"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B5B195F"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0E9116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84E5A1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0E3EA5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5030868" w14:textId="77777777" w:rsidTr="001B330E">
        <w:trPr>
          <w:trHeight w:val="23"/>
        </w:trPr>
        <w:tc>
          <w:tcPr>
            <w:tcW w:w="1971" w:type="pct"/>
            <w:tcBorders>
              <w:top w:val="single" w:sz="4" w:space="0" w:color="000000"/>
            </w:tcBorders>
            <w:shd w:val="clear" w:color="auto" w:fill="auto"/>
            <w:vAlign w:val="bottom"/>
          </w:tcPr>
          <w:p w14:paraId="21FED381"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804C1B2"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987AE9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541CA6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7FE6221"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50752D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48193E7" w14:textId="77777777" w:rsidTr="001B330E">
        <w:trPr>
          <w:trHeight w:val="23"/>
        </w:trPr>
        <w:tc>
          <w:tcPr>
            <w:tcW w:w="1971" w:type="pct"/>
            <w:shd w:val="clear" w:color="auto" w:fill="auto"/>
            <w:vAlign w:val="bottom"/>
          </w:tcPr>
          <w:p w14:paraId="40665DFD"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Gross carrying amount</w:t>
            </w:r>
          </w:p>
        </w:tc>
        <w:tc>
          <w:tcPr>
            <w:tcW w:w="606" w:type="pct"/>
            <w:vAlign w:val="bottom"/>
          </w:tcPr>
          <w:p w14:paraId="32309571"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CE1E46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04CAF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FEA52DF"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B7A0E4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F38DD24" w14:textId="77777777" w:rsidTr="001B330E">
        <w:trPr>
          <w:trHeight w:val="23"/>
        </w:trPr>
        <w:tc>
          <w:tcPr>
            <w:tcW w:w="1971" w:type="pct"/>
            <w:tcBorders>
              <w:bottom w:val="single" w:sz="4" w:space="0" w:color="000000"/>
            </w:tcBorders>
            <w:shd w:val="clear" w:color="auto" w:fill="auto"/>
            <w:vAlign w:val="bottom"/>
          </w:tcPr>
          <w:p w14:paraId="6A13D8E9"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675543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E2D69B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F3DB593"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D6B9A4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40B43E7"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78DD8DA" w14:textId="77777777" w:rsidTr="001B330E">
        <w:trPr>
          <w:trHeight w:val="23"/>
        </w:trPr>
        <w:tc>
          <w:tcPr>
            <w:tcW w:w="1971" w:type="pct"/>
            <w:tcBorders>
              <w:top w:val="single" w:sz="4" w:space="0" w:color="000000"/>
            </w:tcBorders>
            <w:shd w:val="clear" w:color="auto" w:fill="auto"/>
            <w:vAlign w:val="bottom"/>
          </w:tcPr>
          <w:p w14:paraId="4388A151"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BA18859"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EF8BC1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75383D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9F664C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C85795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0E75BC5" w14:textId="77777777" w:rsidTr="001B330E">
        <w:trPr>
          <w:trHeight w:val="23"/>
        </w:trPr>
        <w:tc>
          <w:tcPr>
            <w:tcW w:w="1971" w:type="pct"/>
            <w:shd w:val="clear" w:color="auto" w:fill="auto"/>
            <w:vAlign w:val="bottom"/>
          </w:tcPr>
          <w:p w14:paraId="07C4E49D"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Credit loss allowance</w:t>
            </w:r>
          </w:p>
        </w:tc>
        <w:tc>
          <w:tcPr>
            <w:tcW w:w="606" w:type="pct"/>
            <w:vAlign w:val="bottom"/>
          </w:tcPr>
          <w:p w14:paraId="2782FE1A"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675B059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9F212A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6C33FC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719ED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5312110" w14:textId="77777777" w:rsidTr="001B330E">
        <w:trPr>
          <w:trHeight w:val="23"/>
        </w:trPr>
        <w:tc>
          <w:tcPr>
            <w:tcW w:w="1971" w:type="pct"/>
            <w:shd w:val="clear" w:color="auto" w:fill="auto"/>
            <w:vAlign w:val="bottom"/>
          </w:tcPr>
          <w:p w14:paraId="26B88137"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vAlign w:val="bottom"/>
          </w:tcPr>
          <w:p w14:paraId="0F41DCFF"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6CC7D71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993468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05734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62504A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9254A24" w14:textId="77777777" w:rsidTr="001B330E">
        <w:trPr>
          <w:trHeight w:val="23"/>
        </w:trPr>
        <w:tc>
          <w:tcPr>
            <w:tcW w:w="1971" w:type="pct"/>
            <w:tcBorders>
              <w:top w:val="single" w:sz="4" w:space="0" w:color="000000"/>
            </w:tcBorders>
            <w:shd w:val="clear" w:color="auto" w:fill="auto"/>
            <w:vAlign w:val="bottom"/>
          </w:tcPr>
          <w:p w14:paraId="68CE2FD6"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90E1A74"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D19BBB1"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F425031"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E0B27F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D080E9C"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E23CAAF" w14:textId="77777777" w:rsidTr="001B330E">
        <w:trPr>
          <w:trHeight w:val="23"/>
        </w:trPr>
        <w:tc>
          <w:tcPr>
            <w:tcW w:w="1971" w:type="pct"/>
            <w:shd w:val="clear" w:color="auto" w:fill="auto"/>
            <w:vAlign w:val="bottom"/>
          </w:tcPr>
          <w:p w14:paraId="069A2E42"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Carrying amount</w:t>
            </w:r>
          </w:p>
        </w:tc>
        <w:tc>
          <w:tcPr>
            <w:tcW w:w="606" w:type="pct"/>
            <w:vAlign w:val="bottom"/>
          </w:tcPr>
          <w:p w14:paraId="63ED5205"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227084E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A83C4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1D7B3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C0D87E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D6161B8" w14:textId="77777777" w:rsidTr="001B330E">
        <w:trPr>
          <w:trHeight w:val="23"/>
        </w:trPr>
        <w:tc>
          <w:tcPr>
            <w:tcW w:w="1971" w:type="pct"/>
            <w:tcBorders>
              <w:bottom w:val="single" w:sz="12" w:space="0" w:color="000000"/>
            </w:tcBorders>
            <w:shd w:val="clear" w:color="auto" w:fill="auto"/>
            <w:vAlign w:val="bottom"/>
          </w:tcPr>
          <w:p w14:paraId="3E23A1FF"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780A8861"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471EDBC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5E2934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037C0EF"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5F183F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2A290E1" w14:textId="77777777" w:rsidTr="001B330E">
        <w:trPr>
          <w:trHeight w:val="23"/>
        </w:trPr>
        <w:tc>
          <w:tcPr>
            <w:tcW w:w="1971" w:type="pct"/>
            <w:shd w:val="clear" w:color="auto" w:fill="auto"/>
            <w:vAlign w:val="bottom"/>
          </w:tcPr>
          <w:p w14:paraId="0BEE9D66"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5C19057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6F3243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C0E2C3"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1AC8470E"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05AB370" w14:textId="77777777" w:rsidR="00D83E33" w:rsidRPr="00762D1F" w:rsidRDefault="00D83E33">
            <w:pPr>
              <w:widowControl w:val="0"/>
              <w:pBdr>
                <w:top w:val="nil"/>
                <w:left w:val="nil"/>
                <w:bottom w:val="nil"/>
                <w:right w:val="nil"/>
                <w:between w:val="nil"/>
              </w:pBdr>
              <w:jc w:val="right"/>
              <w:rPr>
                <w:color w:val="000000"/>
              </w:rPr>
            </w:pPr>
          </w:p>
        </w:tc>
      </w:tr>
      <w:tr w:rsidR="00762D1F" w:rsidRPr="00762D1F" w14:paraId="69567984" w14:textId="77777777" w:rsidTr="001B330E">
        <w:trPr>
          <w:trHeight w:val="23"/>
        </w:trPr>
        <w:tc>
          <w:tcPr>
            <w:tcW w:w="1971" w:type="pct"/>
            <w:shd w:val="clear" w:color="auto" w:fill="auto"/>
            <w:vAlign w:val="bottom"/>
          </w:tcPr>
          <w:p w14:paraId="22DBF775" w14:textId="69CD1806" w:rsidR="00762D1F" w:rsidRPr="00762D1F" w:rsidRDefault="00762D1F">
            <w:pPr>
              <w:widowControl w:val="0"/>
              <w:pBdr>
                <w:top w:val="nil"/>
                <w:left w:val="nil"/>
                <w:bottom w:val="nil"/>
                <w:right w:val="nil"/>
                <w:between w:val="nil"/>
              </w:pBdr>
              <w:ind w:left="113" w:hanging="113"/>
              <w:rPr>
                <w:color w:val="000000"/>
              </w:rPr>
            </w:pPr>
            <w:r w:rsidRPr="00762D1F">
              <w:rPr>
                <w:b/>
                <w:i/>
                <w:color w:val="000000"/>
              </w:rPr>
              <w:t xml:space="preserve">Promissory notes </w:t>
            </w:r>
          </w:p>
        </w:tc>
        <w:tc>
          <w:tcPr>
            <w:tcW w:w="606" w:type="pct"/>
            <w:shd w:val="clear" w:color="auto" w:fill="auto"/>
            <w:vAlign w:val="bottom"/>
          </w:tcPr>
          <w:p w14:paraId="6BB119E5"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043B5098"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728F87FF"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076124FF"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34D4F8B8"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7BEF547D" w14:textId="77777777" w:rsidTr="001B330E">
        <w:trPr>
          <w:trHeight w:val="23"/>
        </w:trPr>
        <w:tc>
          <w:tcPr>
            <w:tcW w:w="1971" w:type="pct"/>
            <w:shd w:val="clear" w:color="auto" w:fill="auto"/>
            <w:vAlign w:val="bottom"/>
          </w:tcPr>
          <w:p w14:paraId="48FE0788" w14:textId="77777777" w:rsidR="00762D1F" w:rsidRPr="00762D1F" w:rsidRDefault="00762D1F">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5473B6CF"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76390B32"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056F81DE"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21D5C923"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219212FE"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4F590320" w14:textId="77777777" w:rsidTr="001B330E">
        <w:trPr>
          <w:trHeight w:val="23"/>
        </w:trPr>
        <w:tc>
          <w:tcPr>
            <w:tcW w:w="1971" w:type="pct"/>
            <w:shd w:val="clear" w:color="auto" w:fill="auto"/>
            <w:vAlign w:val="bottom"/>
          </w:tcPr>
          <w:p w14:paraId="278944C9" w14:textId="77777777" w:rsidR="00762D1F" w:rsidRPr="00762D1F" w:rsidRDefault="00762D1F">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582092C8"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74ABF299"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0386BFA9"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63737568"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5F6C0DC4"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71636FD9" w14:textId="77777777" w:rsidTr="001B330E">
        <w:trPr>
          <w:trHeight w:val="23"/>
        </w:trPr>
        <w:tc>
          <w:tcPr>
            <w:tcW w:w="1971" w:type="pct"/>
            <w:shd w:val="clear" w:color="auto" w:fill="auto"/>
            <w:vAlign w:val="bottom"/>
          </w:tcPr>
          <w:p w14:paraId="24D9C42F" w14:textId="77777777" w:rsidR="00762D1F" w:rsidRPr="00762D1F" w:rsidRDefault="00762D1F">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51480595"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530AFC0B"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677426CF"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6E01B3DB"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525DBE89"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656B7EF7" w14:textId="77777777" w:rsidTr="001B330E">
        <w:trPr>
          <w:trHeight w:val="23"/>
        </w:trPr>
        <w:tc>
          <w:tcPr>
            <w:tcW w:w="1971" w:type="pct"/>
            <w:shd w:val="clear" w:color="auto" w:fill="auto"/>
            <w:vAlign w:val="bottom"/>
          </w:tcPr>
          <w:p w14:paraId="0EC6CF1F" w14:textId="77777777" w:rsidR="00762D1F" w:rsidRPr="00762D1F" w:rsidRDefault="00762D1F">
            <w:pPr>
              <w:widowControl w:val="0"/>
              <w:pBdr>
                <w:top w:val="nil"/>
                <w:left w:val="nil"/>
                <w:bottom w:val="nil"/>
                <w:right w:val="nil"/>
                <w:between w:val="nil"/>
              </w:pBdr>
              <w:ind w:left="113" w:hanging="113"/>
              <w:rPr>
                <w:color w:val="000000"/>
              </w:rPr>
            </w:pPr>
            <w:r w:rsidRPr="00762D1F">
              <w:rPr>
                <w:color w:val="000000"/>
              </w:rPr>
              <w:t>- Special monitoring</w:t>
            </w:r>
          </w:p>
        </w:tc>
        <w:tc>
          <w:tcPr>
            <w:tcW w:w="606" w:type="pct"/>
            <w:shd w:val="clear" w:color="auto" w:fill="auto"/>
            <w:vAlign w:val="bottom"/>
          </w:tcPr>
          <w:p w14:paraId="7C049254"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566E97F3"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6BC833CB"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7A77EFE0"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663A4B66"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3236F65B" w14:textId="77777777" w:rsidTr="001B330E">
        <w:trPr>
          <w:trHeight w:val="23"/>
        </w:trPr>
        <w:tc>
          <w:tcPr>
            <w:tcW w:w="1971" w:type="pct"/>
            <w:shd w:val="clear" w:color="auto" w:fill="auto"/>
            <w:vAlign w:val="bottom"/>
          </w:tcPr>
          <w:p w14:paraId="67F2ADAF" w14:textId="77777777" w:rsidR="00762D1F" w:rsidRPr="00762D1F" w:rsidRDefault="00762D1F">
            <w:pPr>
              <w:widowControl w:val="0"/>
              <w:pBdr>
                <w:top w:val="nil"/>
                <w:left w:val="nil"/>
                <w:bottom w:val="nil"/>
                <w:right w:val="nil"/>
                <w:between w:val="nil"/>
              </w:pBdr>
              <w:ind w:left="113" w:hanging="113"/>
              <w:rPr>
                <w:color w:val="0000FF"/>
              </w:rPr>
            </w:pPr>
            <w:r w:rsidRPr="00762D1F">
              <w:rPr>
                <w:color w:val="000000"/>
              </w:rPr>
              <w:t>- Default</w:t>
            </w:r>
          </w:p>
        </w:tc>
        <w:tc>
          <w:tcPr>
            <w:tcW w:w="606" w:type="pct"/>
            <w:shd w:val="clear" w:color="auto" w:fill="auto"/>
            <w:vAlign w:val="bottom"/>
          </w:tcPr>
          <w:p w14:paraId="63FDF840"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21299BC0"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5448C8D3"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074D29B6"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3645E38A"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15D18FD9" w14:textId="77777777" w:rsidTr="001B330E">
        <w:trPr>
          <w:trHeight w:val="23"/>
        </w:trPr>
        <w:tc>
          <w:tcPr>
            <w:tcW w:w="1971" w:type="pct"/>
            <w:tcBorders>
              <w:bottom w:val="single" w:sz="4" w:space="0" w:color="000000"/>
            </w:tcBorders>
            <w:shd w:val="clear" w:color="auto" w:fill="auto"/>
            <w:vAlign w:val="bottom"/>
          </w:tcPr>
          <w:p w14:paraId="0195D701" w14:textId="77777777" w:rsidR="00762D1F" w:rsidRPr="00762D1F" w:rsidRDefault="00762D1F">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C6601F3" w14:textId="77777777" w:rsidR="00762D1F" w:rsidRPr="00762D1F" w:rsidRDefault="00762D1F">
            <w:pPr>
              <w:widowControl w:val="0"/>
              <w:pBdr>
                <w:top w:val="nil"/>
                <w:left w:val="nil"/>
                <w:bottom w:val="nil"/>
                <w:right w:val="nil"/>
                <w:between w:val="nil"/>
              </w:pBdr>
              <w:rPr>
                <w:color w:val="000000"/>
              </w:rPr>
            </w:pPr>
          </w:p>
        </w:tc>
        <w:tc>
          <w:tcPr>
            <w:tcW w:w="606" w:type="pct"/>
            <w:tcBorders>
              <w:bottom w:val="single" w:sz="4" w:space="0" w:color="000000"/>
            </w:tcBorders>
            <w:vAlign w:val="bottom"/>
          </w:tcPr>
          <w:p w14:paraId="2065B726"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92FF329"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F905B3D"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0090A01"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70A281CE" w14:textId="77777777" w:rsidTr="001B330E">
        <w:trPr>
          <w:trHeight w:val="23"/>
        </w:trPr>
        <w:tc>
          <w:tcPr>
            <w:tcW w:w="1971" w:type="pct"/>
            <w:tcBorders>
              <w:top w:val="single" w:sz="4" w:space="0" w:color="000000"/>
            </w:tcBorders>
            <w:shd w:val="clear" w:color="auto" w:fill="auto"/>
            <w:vAlign w:val="bottom"/>
          </w:tcPr>
          <w:p w14:paraId="23883640" w14:textId="77777777" w:rsidR="00762D1F" w:rsidRPr="00762D1F" w:rsidRDefault="00762D1F">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B95F47D"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2D144F1"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14E89C0"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D074712"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B3E507D"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40BBFDAD" w14:textId="77777777" w:rsidTr="001B330E">
        <w:trPr>
          <w:trHeight w:val="23"/>
        </w:trPr>
        <w:tc>
          <w:tcPr>
            <w:tcW w:w="1971" w:type="pct"/>
            <w:shd w:val="clear" w:color="auto" w:fill="auto"/>
            <w:vAlign w:val="bottom"/>
          </w:tcPr>
          <w:p w14:paraId="255AB718" w14:textId="77777777" w:rsidR="00762D1F" w:rsidRPr="00762D1F" w:rsidRDefault="00762D1F">
            <w:pPr>
              <w:widowControl w:val="0"/>
              <w:pBdr>
                <w:top w:val="nil"/>
                <w:left w:val="nil"/>
                <w:bottom w:val="nil"/>
                <w:right w:val="nil"/>
                <w:between w:val="nil"/>
              </w:pBdr>
              <w:ind w:left="113" w:hanging="113"/>
              <w:rPr>
                <w:b/>
                <w:color w:val="000000"/>
              </w:rPr>
            </w:pPr>
            <w:r w:rsidRPr="00762D1F">
              <w:rPr>
                <w:b/>
                <w:color w:val="000000"/>
              </w:rPr>
              <w:t>Gross carrying amount</w:t>
            </w:r>
          </w:p>
        </w:tc>
        <w:tc>
          <w:tcPr>
            <w:tcW w:w="606" w:type="pct"/>
            <w:vAlign w:val="bottom"/>
          </w:tcPr>
          <w:p w14:paraId="242EE5EB"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363725D0"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7CB2744D"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6524A2B6"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4982F9F5"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3D7DAF82" w14:textId="77777777" w:rsidTr="001B330E">
        <w:trPr>
          <w:trHeight w:val="23"/>
        </w:trPr>
        <w:tc>
          <w:tcPr>
            <w:tcW w:w="1971" w:type="pct"/>
            <w:tcBorders>
              <w:bottom w:val="single" w:sz="4" w:space="0" w:color="000000"/>
            </w:tcBorders>
            <w:shd w:val="clear" w:color="auto" w:fill="auto"/>
            <w:vAlign w:val="bottom"/>
          </w:tcPr>
          <w:p w14:paraId="06FFAF3E" w14:textId="77777777" w:rsidR="00762D1F" w:rsidRPr="00762D1F" w:rsidRDefault="00762D1F">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9F28563"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7F3F2B9"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4B348D2"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CFD812B"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4514982"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7246A37A" w14:textId="77777777" w:rsidTr="001B330E">
        <w:trPr>
          <w:trHeight w:val="23"/>
        </w:trPr>
        <w:tc>
          <w:tcPr>
            <w:tcW w:w="1971" w:type="pct"/>
            <w:tcBorders>
              <w:top w:val="single" w:sz="4" w:space="0" w:color="000000"/>
            </w:tcBorders>
            <w:shd w:val="clear" w:color="auto" w:fill="auto"/>
            <w:vAlign w:val="bottom"/>
          </w:tcPr>
          <w:p w14:paraId="19C2D94F" w14:textId="77777777" w:rsidR="00762D1F" w:rsidRPr="00762D1F" w:rsidRDefault="00762D1F">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3175F53" w14:textId="77777777" w:rsidR="00762D1F" w:rsidRPr="00762D1F" w:rsidRDefault="00762D1F"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2B0D2C4"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49253FD"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CACDFE3"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F15CC2D"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39166666" w14:textId="77777777" w:rsidTr="001B330E">
        <w:trPr>
          <w:trHeight w:val="23"/>
        </w:trPr>
        <w:tc>
          <w:tcPr>
            <w:tcW w:w="1971" w:type="pct"/>
            <w:shd w:val="clear" w:color="auto" w:fill="auto"/>
            <w:vAlign w:val="bottom"/>
          </w:tcPr>
          <w:p w14:paraId="1AFA63F4" w14:textId="77777777" w:rsidR="00762D1F" w:rsidRPr="00762D1F" w:rsidRDefault="00762D1F">
            <w:pPr>
              <w:widowControl w:val="0"/>
              <w:pBdr>
                <w:top w:val="nil"/>
                <w:left w:val="nil"/>
                <w:bottom w:val="nil"/>
                <w:right w:val="nil"/>
                <w:between w:val="nil"/>
              </w:pBdr>
              <w:ind w:left="113" w:hanging="113"/>
              <w:rPr>
                <w:color w:val="000000"/>
              </w:rPr>
            </w:pPr>
            <w:r w:rsidRPr="00762D1F">
              <w:rPr>
                <w:color w:val="000000"/>
              </w:rPr>
              <w:t>Credit loss allowance</w:t>
            </w:r>
          </w:p>
        </w:tc>
        <w:tc>
          <w:tcPr>
            <w:tcW w:w="606" w:type="pct"/>
            <w:vAlign w:val="bottom"/>
          </w:tcPr>
          <w:p w14:paraId="12D93905" w14:textId="77777777" w:rsidR="00762D1F" w:rsidRPr="00762D1F" w:rsidRDefault="00762D1F" w:rsidP="001B330E">
            <w:pPr>
              <w:widowControl w:val="0"/>
              <w:pBdr>
                <w:top w:val="nil"/>
                <w:left w:val="nil"/>
                <w:bottom w:val="nil"/>
                <w:right w:val="nil"/>
                <w:between w:val="nil"/>
              </w:pBdr>
              <w:jc w:val="right"/>
              <w:rPr>
                <w:color w:val="000000"/>
              </w:rPr>
            </w:pPr>
          </w:p>
        </w:tc>
        <w:tc>
          <w:tcPr>
            <w:tcW w:w="606" w:type="pct"/>
            <w:vAlign w:val="bottom"/>
          </w:tcPr>
          <w:p w14:paraId="326D4331"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24B7887E"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2FFC0D83"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739F15DB"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27C0D067" w14:textId="77777777" w:rsidTr="001B330E">
        <w:trPr>
          <w:trHeight w:val="23"/>
        </w:trPr>
        <w:tc>
          <w:tcPr>
            <w:tcW w:w="1971" w:type="pct"/>
            <w:shd w:val="clear" w:color="auto" w:fill="auto"/>
            <w:vAlign w:val="bottom"/>
          </w:tcPr>
          <w:p w14:paraId="2B632A00" w14:textId="77777777" w:rsidR="00762D1F" w:rsidRPr="00762D1F" w:rsidRDefault="00762D1F">
            <w:pPr>
              <w:widowControl w:val="0"/>
              <w:pBdr>
                <w:top w:val="nil"/>
                <w:left w:val="nil"/>
                <w:bottom w:val="nil"/>
                <w:right w:val="nil"/>
                <w:between w:val="nil"/>
              </w:pBdr>
              <w:ind w:left="113" w:hanging="113"/>
              <w:rPr>
                <w:color w:val="000000"/>
              </w:rPr>
            </w:pPr>
          </w:p>
        </w:tc>
        <w:tc>
          <w:tcPr>
            <w:tcW w:w="606" w:type="pct"/>
            <w:vAlign w:val="bottom"/>
          </w:tcPr>
          <w:p w14:paraId="164F1EC4" w14:textId="77777777" w:rsidR="00762D1F" w:rsidRPr="00762D1F" w:rsidRDefault="00762D1F" w:rsidP="001B330E">
            <w:pPr>
              <w:widowControl w:val="0"/>
              <w:pBdr>
                <w:top w:val="nil"/>
                <w:left w:val="nil"/>
                <w:bottom w:val="nil"/>
                <w:right w:val="nil"/>
                <w:between w:val="nil"/>
              </w:pBdr>
              <w:jc w:val="right"/>
              <w:rPr>
                <w:color w:val="000000"/>
              </w:rPr>
            </w:pPr>
          </w:p>
        </w:tc>
        <w:tc>
          <w:tcPr>
            <w:tcW w:w="606" w:type="pct"/>
            <w:vAlign w:val="bottom"/>
          </w:tcPr>
          <w:p w14:paraId="745BF3BB"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06A2456C"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1A4DF6B6"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3BFE599E"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308C5790" w14:textId="77777777" w:rsidTr="001B330E">
        <w:trPr>
          <w:trHeight w:val="23"/>
        </w:trPr>
        <w:tc>
          <w:tcPr>
            <w:tcW w:w="1971" w:type="pct"/>
            <w:tcBorders>
              <w:top w:val="single" w:sz="4" w:space="0" w:color="000000"/>
            </w:tcBorders>
            <w:shd w:val="clear" w:color="auto" w:fill="auto"/>
            <w:vAlign w:val="bottom"/>
          </w:tcPr>
          <w:p w14:paraId="2B07B644" w14:textId="77777777" w:rsidR="00762D1F" w:rsidRPr="00762D1F" w:rsidRDefault="00762D1F">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1E8270B" w14:textId="77777777" w:rsidR="00762D1F" w:rsidRPr="00762D1F" w:rsidRDefault="00762D1F"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22EB0C2"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43FBB32"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BFD5A42"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17C81CC"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3165DE59" w14:textId="77777777" w:rsidTr="001B330E">
        <w:trPr>
          <w:trHeight w:val="23"/>
        </w:trPr>
        <w:tc>
          <w:tcPr>
            <w:tcW w:w="1971" w:type="pct"/>
            <w:shd w:val="clear" w:color="auto" w:fill="auto"/>
            <w:vAlign w:val="bottom"/>
          </w:tcPr>
          <w:p w14:paraId="1307EABC" w14:textId="77777777" w:rsidR="00762D1F" w:rsidRPr="00762D1F" w:rsidRDefault="00762D1F">
            <w:pPr>
              <w:widowControl w:val="0"/>
              <w:pBdr>
                <w:top w:val="nil"/>
                <w:left w:val="nil"/>
                <w:bottom w:val="nil"/>
                <w:right w:val="nil"/>
                <w:between w:val="nil"/>
              </w:pBdr>
              <w:ind w:left="113" w:hanging="113"/>
              <w:rPr>
                <w:b/>
                <w:color w:val="000000"/>
              </w:rPr>
            </w:pPr>
            <w:r w:rsidRPr="00762D1F">
              <w:rPr>
                <w:b/>
                <w:color w:val="000000"/>
              </w:rPr>
              <w:t>Carrying amount</w:t>
            </w:r>
          </w:p>
        </w:tc>
        <w:tc>
          <w:tcPr>
            <w:tcW w:w="606" w:type="pct"/>
            <w:vAlign w:val="bottom"/>
          </w:tcPr>
          <w:p w14:paraId="31C4E359" w14:textId="77777777" w:rsidR="00762D1F" w:rsidRPr="00762D1F" w:rsidRDefault="00762D1F" w:rsidP="001B330E">
            <w:pPr>
              <w:widowControl w:val="0"/>
              <w:pBdr>
                <w:top w:val="nil"/>
                <w:left w:val="nil"/>
                <w:bottom w:val="nil"/>
                <w:right w:val="nil"/>
                <w:between w:val="nil"/>
              </w:pBdr>
              <w:jc w:val="right"/>
              <w:rPr>
                <w:color w:val="000000"/>
              </w:rPr>
            </w:pPr>
          </w:p>
        </w:tc>
        <w:tc>
          <w:tcPr>
            <w:tcW w:w="606" w:type="pct"/>
            <w:vAlign w:val="bottom"/>
          </w:tcPr>
          <w:p w14:paraId="695297E2"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2099AF0A"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42DCE8BA"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2FD8F619"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747073CD" w14:textId="77777777" w:rsidTr="001B330E">
        <w:trPr>
          <w:trHeight w:val="23"/>
        </w:trPr>
        <w:tc>
          <w:tcPr>
            <w:tcW w:w="1971" w:type="pct"/>
            <w:tcBorders>
              <w:bottom w:val="single" w:sz="12" w:space="0" w:color="000000"/>
            </w:tcBorders>
            <w:shd w:val="clear" w:color="auto" w:fill="auto"/>
            <w:vAlign w:val="bottom"/>
          </w:tcPr>
          <w:p w14:paraId="2C0FB7D4" w14:textId="77777777" w:rsidR="00762D1F" w:rsidRPr="00762D1F" w:rsidRDefault="00762D1F">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720BFC08" w14:textId="77777777" w:rsidR="00762D1F" w:rsidRPr="00762D1F" w:rsidRDefault="00762D1F"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50D0ABB4"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057E856"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779242C"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D6DB2C7"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62BCA6B2" w14:textId="77777777" w:rsidTr="001B330E">
        <w:trPr>
          <w:trHeight w:val="23"/>
        </w:trPr>
        <w:tc>
          <w:tcPr>
            <w:tcW w:w="1971" w:type="pct"/>
            <w:tcBorders>
              <w:top w:val="single" w:sz="4" w:space="0" w:color="000000"/>
            </w:tcBorders>
            <w:shd w:val="clear" w:color="auto" w:fill="auto"/>
            <w:vAlign w:val="bottom"/>
          </w:tcPr>
          <w:p w14:paraId="191774E3" w14:textId="77777777" w:rsidR="00762D1F" w:rsidRPr="00762D1F" w:rsidRDefault="00762D1F">
            <w:pPr>
              <w:widowControl w:val="0"/>
              <w:pBdr>
                <w:top w:val="nil"/>
                <w:left w:val="nil"/>
                <w:bottom w:val="nil"/>
                <w:right w:val="nil"/>
                <w:between w:val="nil"/>
              </w:pBdr>
              <w:ind w:left="113" w:hanging="113"/>
              <w:rPr>
                <w:color w:val="000000"/>
              </w:rPr>
            </w:pPr>
          </w:p>
        </w:tc>
        <w:tc>
          <w:tcPr>
            <w:tcW w:w="606" w:type="pct"/>
            <w:tcBorders>
              <w:top w:val="single" w:sz="4" w:space="0" w:color="000000"/>
            </w:tcBorders>
            <w:shd w:val="clear" w:color="auto" w:fill="auto"/>
            <w:vAlign w:val="bottom"/>
          </w:tcPr>
          <w:p w14:paraId="33EBF438"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E04D451"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A522EAD"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DD55114"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B9448E0"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552F0CF6" w14:textId="77777777" w:rsidTr="001B330E">
        <w:trPr>
          <w:trHeight w:val="23"/>
        </w:trPr>
        <w:tc>
          <w:tcPr>
            <w:tcW w:w="1971" w:type="pct"/>
            <w:shd w:val="clear" w:color="auto" w:fill="auto"/>
            <w:vAlign w:val="bottom"/>
          </w:tcPr>
          <w:p w14:paraId="7A53D506" w14:textId="77777777" w:rsidR="00762D1F" w:rsidRPr="00762D1F" w:rsidRDefault="00762D1F">
            <w:pPr>
              <w:widowControl w:val="0"/>
              <w:pBdr>
                <w:top w:val="nil"/>
                <w:left w:val="nil"/>
                <w:bottom w:val="nil"/>
                <w:right w:val="nil"/>
                <w:between w:val="nil"/>
              </w:pBdr>
              <w:ind w:left="113" w:hanging="113"/>
              <w:rPr>
                <w:b/>
                <w:color w:val="000000"/>
              </w:rPr>
            </w:pPr>
            <w:r w:rsidRPr="00762D1F">
              <w:rPr>
                <w:b/>
                <w:color w:val="000000"/>
              </w:rPr>
              <w:t>Total investments in debt securities measured at AC (gross carrying amount)</w:t>
            </w:r>
          </w:p>
        </w:tc>
        <w:tc>
          <w:tcPr>
            <w:tcW w:w="606" w:type="pct"/>
            <w:shd w:val="clear" w:color="auto" w:fill="auto"/>
            <w:vAlign w:val="bottom"/>
          </w:tcPr>
          <w:p w14:paraId="7D2049A0"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5AB58878"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01413B7D"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3E93E05C"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4A12FADF"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01CAE92F" w14:textId="77777777" w:rsidTr="001B330E">
        <w:trPr>
          <w:trHeight w:val="23"/>
        </w:trPr>
        <w:tc>
          <w:tcPr>
            <w:tcW w:w="1971" w:type="pct"/>
            <w:tcBorders>
              <w:bottom w:val="single" w:sz="4" w:space="0" w:color="000000"/>
            </w:tcBorders>
            <w:shd w:val="clear" w:color="auto" w:fill="auto"/>
            <w:vAlign w:val="bottom"/>
          </w:tcPr>
          <w:p w14:paraId="09110BF1" w14:textId="77777777" w:rsidR="00762D1F" w:rsidRPr="00762D1F" w:rsidRDefault="00762D1F">
            <w:pPr>
              <w:widowControl w:val="0"/>
              <w:pBdr>
                <w:top w:val="nil"/>
                <w:left w:val="nil"/>
                <w:bottom w:val="nil"/>
                <w:right w:val="nil"/>
                <w:between w:val="nil"/>
              </w:pBdr>
              <w:ind w:left="113" w:hanging="113"/>
              <w:rPr>
                <w:b/>
                <w:color w:val="000000"/>
              </w:rPr>
            </w:pPr>
            <w:r w:rsidRPr="00762D1F">
              <w:rPr>
                <w:b/>
                <w:color w:val="000000"/>
              </w:rPr>
              <w:t> </w:t>
            </w:r>
          </w:p>
        </w:tc>
        <w:tc>
          <w:tcPr>
            <w:tcW w:w="606" w:type="pct"/>
            <w:tcBorders>
              <w:bottom w:val="single" w:sz="4" w:space="0" w:color="000000"/>
            </w:tcBorders>
            <w:shd w:val="clear" w:color="auto" w:fill="auto"/>
            <w:vAlign w:val="bottom"/>
          </w:tcPr>
          <w:p w14:paraId="6E03D678"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447A318"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B489FF7"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C2DB52C"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08C4F4B"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4CD3C50F" w14:textId="77777777" w:rsidTr="001B330E">
        <w:trPr>
          <w:trHeight w:val="23"/>
        </w:trPr>
        <w:tc>
          <w:tcPr>
            <w:tcW w:w="1971" w:type="pct"/>
            <w:tcBorders>
              <w:top w:val="single" w:sz="4" w:space="0" w:color="000000"/>
            </w:tcBorders>
            <w:shd w:val="clear" w:color="auto" w:fill="auto"/>
            <w:vAlign w:val="bottom"/>
          </w:tcPr>
          <w:p w14:paraId="606069FE" w14:textId="77777777" w:rsidR="00762D1F" w:rsidRPr="00762D1F" w:rsidRDefault="00762D1F">
            <w:pPr>
              <w:widowControl w:val="0"/>
              <w:pBdr>
                <w:top w:val="nil"/>
                <w:left w:val="nil"/>
                <w:bottom w:val="nil"/>
                <w:right w:val="nil"/>
                <w:between w:val="nil"/>
              </w:pBdr>
              <w:ind w:left="113" w:hanging="113"/>
              <w:rPr>
                <w:color w:val="000000"/>
              </w:rPr>
            </w:pPr>
            <w:r w:rsidRPr="00762D1F">
              <w:rPr>
                <w:b/>
                <w:color w:val="000000"/>
              </w:rPr>
              <w:t> </w:t>
            </w:r>
          </w:p>
        </w:tc>
        <w:tc>
          <w:tcPr>
            <w:tcW w:w="606" w:type="pct"/>
            <w:tcBorders>
              <w:top w:val="single" w:sz="4" w:space="0" w:color="000000"/>
            </w:tcBorders>
            <w:shd w:val="clear" w:color="auto" w:fill="auto"/>
            <w:vAlign w:val="bottom"/>
          </w:tcPr>
          <w:p w14:paraId="6DCF1EC6"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DDC792E"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E21BF3D"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FB265B7"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9F52685"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760B70B4" w14:textId="77777777" w:rsidTr="001B330E">
        <w:trPr>
          <w:trHeight w:val="23"/>
        </w:trPr>
        <w:tc>
          <w:tcPr>
            <w:tcW w:w="1971" w:type="pct"/>
            <w:shd w:val="clear" w:color="auto" w:fill="auto"/>
            <w:vAlign w:val="bottom"/>
          </w:tcPr>
          <w:p w14:paraId="733BBD51" w14:textId="77777777" w:rsidR="00762D1F" w:rsidRPr="00762D1F" w:rsidRDefault="00762D1F">
            <w:pPr>
              <w:widowControl w:val="0"/>
              <w:pBdr>
                <w:top w:val="nil"/>
                <w:left w:val="nil"/>
                <w:bottom w:val="nil"/>
                <w:right w:val="nil"/>
                <w:between w:val="nil"/>
              </w:pBdr>
              <w:ind w:left="113" w:hanging="113"/>
              <w:rPr>
                <w:color w:val="000000"/>
              </w:rPr>
            </w:pPr>
            <w:r w:rsidRPr="00762D1F">
              <w:rPr>
                <w:b/>
                <w:color w:val="000000"/>
              </w:rPr>
              <w:t>Credit loss allowance</w:t>
            </w:r>
          </w:p>
        </w:tc>
        <w:tc>
          <w:tcPr>
            <w:tcW w:w="606" w:type="pct"/>
            <w:shd w:val="clear" w:color="auto" w:fill="auto"/>
            <w:vAlign w:val="bottom"/>
          </w:tcPr>
          <w:p w14:paraId="55DAC9B4"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4578F334"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4C16F28C"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2763CAD7"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3A6955C0"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66280ECC" w14:textId="77777777" w:rsidTr="001B330E">
        <w:trPr>
          <w:trHeight w:val="23"/>
        </w:trPr>
        <w:tc>
          <w:tcPr>
            <w:tcW w:w="1971" w:type="pct"/>
            <w:shd w:val="clear" w:color="auto" w:fill="auto"/>
            <w:vAlign w:val="bottom"/>
          </w:tcPr>
          <w:p w14:paraId="2FEF8DF2" w14:textId="77777777" w:rsidR="00762D1F" w:rsidRPr="00762D1F" w:rsidRDefault="00762D1F">
            <w:pPr>
              <w:widowControl w:val="0"/>
              <w:pBdr>
                <w:top w:val="nil"/>
                <w:left w:val="nil"/>
                <w:bottom w:val="nil"/>
                <w:right w:val="nil"/>
                <w:between w:val="nil"/>
              </w:pBdr>
              <w:ind w:left="113" w:hanging="113"/>
              <w:rPr>
                <w:color w:val="000000"/>
              </w:rPr>
            </w:pPr>
            <w:r w:rsidRPr="00762D1F">
              <w:rPr>
                <w:color w:val="000000"/>
              </w:rPr>
              <w:t> </w:t>
            </w:r>
          </w:p>
        </w:tc>
        <w:tc>
          <w:tcPr>
            <w:tcW w:w="606" w:type="pct"/>
            <w:shd w:val="clear" w:color="auto" w:fill="auto"/>
            <w:vAlign w:val="bottom"/>
          </w:tcPr>
          <w:p w14:paraId="14254DC4"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76250B4D"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062F8489"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67FC1D1C"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4DF5B4DB"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36C2ED6E" w14:textId="77777777" w:rsidTr="001B330E">
        <w:trPr>
          <w:trHeight w:val="23"/>
        </w:trPr>
        <w:tc>
          <w:tcPr>
            <w:tcW w:w="1971" w:type="pct"/>
            <w:tcBorders>
              <w:top w:val="single" w:sz="4" w:space="0" w:color="000000"/>
            </w:tcBorders>
            <w:shd w:val="clear" w:color="auto" w:fill="auto"/>
            <w:vAlign w:val="bottom"/>
          </w:tcPr>
          <w:p w14:paraId="29CC8EC3" w14:textId="77777777" w:rsidR="00762D1F" w:rsidRPr="00762D1F" w:rsidRDefault="00762D1F">
            <w:pPr>
              <w:widowControl w:val="0"/>
              <w:pBdr>
                <w:top w:val="nil"/>
                <w:left w:val="nil"/>
                <w:bottom w:val="nil"/>
                <w:right w:val="nil"/>
                <w:between w:val="nil"/>
              </w:pBdr>
              <w:ind w:left="113" w:hanging="113"/>
              <w:rPr>
                <w:color w:val="000000"/>
              </w:rPr>
            </w:pPr>
            <w:r w:rsidRPr="00762D1F">
              <w:rPr>
                <w:color w:val="000000"/>
              </w:rPr>
              <w:t> </w:t>
            </w:r>
          </w:p>
        </w:tc>
        <w:tc>
          <w:tcPr>
            <w:tcW w:w="606" w:type="pct"/>
            <w:tcBorders>
              <w:top w:val="single" w:sz="4" w:space="0" w:color="000000"/>
            </w:tcBorders>
            <w:shd w:val="clear" w:color="auto" w:fill="auto"/>
            <w:vAlign w:val="bottom"/>
          </w:tcPr>
          <w:p w14:paraId="278DA2D6"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FACB6F7"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FF43006"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5E30741"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19A47D8"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3D346DDC" w14:textId="77777777" w:rsidTr="001B330E">
        <w:trPr>
          <w:trHeight w:val="23"/>
        </w:trPr>
        <w:tc>
          <w:tcPr>
            <w:tcW w:w="1971" w:type="pct"/>
            <w:shd w:val="clear" w:color="auto" w:fill="auto"/>
            <w:vAlign w:val="bottom"/>
          </w:tcPr>
          <w:p w14:paraId="6F1B6522" w14:textId="77777777" w:rsidR="00762D1F" w:rsidRPr="00762D1F" w:rsidRDefault="00762D1F">
            <w:pPr>
              <w:widowControl w:val="0"/>
              <w:pBdr>
                <w:top w:val="nil"/>
                <w:left w:val="nil"/>
                <w:bottom w:val="nil"/>
                <w:right w:val="nil"/>
                <w:between w:val="nil"/>
              </w:pBdr>
              <w:ind w:left="113" w:hanging="113"/>
              <w:rPr>
                <w:b/>
                <w:color w:val="000000"/>
              </w:rPr>
            </w:pPr>
            <w:r w:rsidRPr="00762D1F">
              <w:rPr>
                <w:b/>
                <w:color w:val="000000"/>
              </w:rPr>
              <w:t>Total investments in debt securities measured at AC (carrying amount)</w:t>
            </w:r>
          </w:p>
        </w:tc>
        <w:tc>
          <w:tcPr>
            <w:tcW w:w="606" w:type="pct"/>
            <w:shd w:val="clear" w:color="auto" w:fill="auto"/>
            <w:vAlign w:val="bottom"/>
          </w:tcPr>
          <w:p w14:paraId="0903B0D5"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6DA38902"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35CC0352" w14:textId="77777777" w:rsidR="00762D1F" w:rsidRPr="00762D1F" w:rsidRDefault="00762D1F">
            <w:pPr>
              <w:widowControl w:val="0"/>
              <w:pBdr>
                <w:top w:val="nil"/>
                <w:left w:val="nil"/>
                <w:bottom w:val="nil"/>
                <w:right w:val="nil"/>
                <w:between w:val="nil"/>
              </w:pBdr>
              <w:jc w:val="right"/>
              <w:rPr>
                <w:color w:val="000000"/>
              </w:rPr>
            </w:pPr>
          </w:p>
        </w:tc>
        <w:tc>
          <w:tcPr>
            <w:tcW w:w="606" w:type="pct"/>
            <w:vAlign w:val="bottom"/>
          </w:tcPr>
          <w:p w14:paraId="6EA82259" w14:textId="77777777" w:rsidR="00762D1F" w:rsidRPr="00762D1F" w:rsidRDefault="00762D1F">
            <w:pPr>
              <w:widowControl w:val="0"/>
              <w:pBdr>
                <w:top w:val="nil"/>
                <w:left w:val="nil"/>
                <w:bottom w:val="nil"/>
                <w:right w:val="nil"/>
                <w:between w:val="nil"/>
              </w:pBdr>
              <w:jc w:val="right"/>
              <w:rPr>
                <w:color w:val="000000"/>
              </w:rPr>
            </w:pPr>
          </w:p>
        </w:tc>
        <w:tc>
          <w:tcPr>
            <w:tcW w:w="606" w:type="pct"/>
            <w:shd w:val="clear" w:color="auto" w:fill="auto"/>
            <w:vAlign w:val="bottom"/>
          </w:tcPr>
          <w:p w14:paraId="433AAE10" w14:textId="77777777" w:rsidR="00762D1F" w:rsidRPr="00762D1F" w:rsidRDefault="00762D1F">
            <w:pPr>
              <w:widowControl w:val="0"/>
              <w:pBdr>
                <w:top w:val="nil"/>
                <w:left w:val="nil"/>
                <w:bottom w:val="nil"/>
                <w:right w:val="nil"/>
                <w:between w:val="nil"/>
              </w:pBdr>
              <w:jc w:val="right"/>
              <w:rPr>
                <w:color w:val="000000"/>
              </w:rPr>
            </w:pPr>
          </w:p>
        </w:tc>
      </w:tr>
      <w:tr w:rsidR="00762D1F" w:rsidRPr="00762D1F" w14:paraId="11F48700" w14:textId="77777777" w:rsidTr="001B330E">
        <w:trPr>
          <w:trHeight w:val="23"/>
        </w:trPr>
        <w:tc>
          <w:tcPr>
            <w:tcW w:w="1971" w:type="pct"/>
            <w:tcBorders>
              <w:bottom w:val="single" w:sz="12" w:space="0" w:color="000000"/>
            </w:tcBorders>
            <w:shd w:val="clear" w:color="auto" w:fill="auto"/>
            <w:vAlign w:val="bottom"/>
          </w:tcPr>
          <w:p w14:paraId="1F6766CB" w14:textId="77777777" w:rsidR="00762D1F" w:rsidRPr="00762D1F" w:rsidRDefault="00762D1F">
            <w:pPr>
              <w:widowControl w:val="0"/>
              <w:pBdr>
                <w:top w:val="nil"/>
                <w:left w:val="nil"/>
                <w:bottom w:val="nil"/>
                <w:right w:val="nil"/>
                <w:between w:val="nil"/>
              </w:pBdr>
              <w:ind w:left="113" w:hanging="113"/>
              <w:rPr>
                <w:color w:val="000000"/>
              </w:rPr>
            </w:pPr>
            <w:r w:rsidRPr="00762D1F">
              <w:rPr>
                <w:color w:val="000000"/>
              </w:rPr>
              <w:t> </w:t>
            </w:r>
          </w:p>
        </w:tc>
        <w:tc>
          <w:tcPr>
            <w:tcW w:w="606" w:type="pct"/>
            <w:tcBorders>
              <w:bottom w:val="single" w:sz="12" w:space="0" w:color="000000"/>
            </w:tcBorders>
            <w:shd w:val="clear" w:color="auto" w:fill="auto"/>
            <w:vAlign w:val="bottom"/>
          </w:tcPr>
          <w:p w14:paraId="5CDF335D"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9C26AC5"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2870EAA"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24A566B" w14:textId="77777777" w:rsidR="00762D1F" w:rsidRPr="00762D1F" w:rsidRDefault="00762D1F">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8E2055C" w14:textId="77777777" w:rsidR="00762D1F" w:rsidRPr="00762D1F" w:rsidRDefault="00762D1F">
            <w:pPr>
              <w:widowControl w:val="0"/>
              <w:pBdr>
                <w:top w:val="nil"/>
                <w:left w:val="nil"/>
                <w:bottom w:val="nil"/>
                <w:right w:val="nil"/>
                <w:between w:val="nil"/>
              </w:pBdr>
              <w:jc w:val="right"/>
              <w:rPr>
                <w:color w:val="000000"/>
              </w:rPr>
            </w:pPr>
          </w:p>
        </w:tc>
      </w:tr>
    </w:tbl>
    <w:p w14:paraId="13D177D7" w14:textId="1E424265" w:rsidR="00D83E33" w:rsidRDefault="00BC4072" w:rsidP="001B330E">
      <w:pPr>
        <w:pStyle w:val="Continued"/>
        <w:rPr>
          <w:color w:val="000000"/>
        </w:rPr>
      </w:pPr>
      <w:r>
        <w:rPr>
          <w:color w:val="000000"/>
        </w:rPr>
        <w:lastRenderedPageBreak/>
        <w:t>9</w:t>
      </w:r>
      <w:r>
        <w:rPr>
          <w:color w:val="000000"/>
        </w:rPr>
        <w:tab/>
        <w:t>Investments in Debt Securities (Continued)</w:t>
      </w:r>
    </w:p>
    <w:p w14:paraId="65EF3185" w14:textId="5B9E9E54"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The following table contains an analysis of debt securities at AC by credit quality at 31</w:t>
      </w:r>
      <w:r w:rsidR="00181687">
        <w:rPr>
          <w:color w:val="000000"/>
          <w:sz w:val="20"/>
          <w:szCs w:val="20"/>
        </w:rPr>
        <w:t> December </w:t>
      </w:r>
      <w:r w:rsidR="00541EBC">
        <w:rPr>
          <w:color w:val="000000"/>
          <w:sz w:val="20"/>
          <w:szCs w:val="20"/>
        </w:rPr>
        <w:t>2023</w:t>
      </w:r>
      <w:r>
        <w:rPr>
          <w:color w:val="000000"/>
          <w:sz w:val="20"/>
          <w:szCs w:val="20"/>
        </w:rPr>
        <w:t>.</w:t>
      </w:r>
    </w:p>
    <w:tbl>
      <w:tblPr>
        <w:tblStyle w:val="aff8"/>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762D1F" w14:paraId="741D2FB7" w14:textId="77777777" w:rsidTr="00372E26">
        <w:trPr>
          <w:trHeight w:val="23"/>
        </w:trPr>
        <w:tc>
          <w:tcPr>
            <w:tcW w:w="1971" w:type="pct"/>
            <w:tcBorders>
              <w:bottom w:val="single" w:sz="4" w:space="0" w:color="000000"/>
            </w:tcBorders>
            <w:shd w:val="clear" w:color="auto" w:fill="auto"/>
            <w:vAlign w:val="bottom"/>
          </w:tcPr>
          <w:p w14:paraId="244BA0EC" w14:textId="49ECB7C8" w:rsidR="00D83E33" w:rsidRPr="00762D1F"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04693CE7"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 xml:space="preserve">Stage 1 </w:t>
            </w:r>
          </w:p>
          <w:p w14:paraId="5452221D"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(12-months ECL)</w:t>
            </w:r>
          </w:p>
        </w:tc>
        <w:tc>
          <w:tcPr>
            <w:tcW w:w="606" w:type="pct"/>
            <w:tcBorders>
              <w:bottom w:val="single" w:sz="4" w:space="0" w:color="000000"/>
            </w:tcBorders>
            <w:shd w:val="clear" w:color="auto" w:fill="auto"/>
          </w:tcPr>
          <w:p w14:paraId="6DF39537"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2</w:t>
            </w:r>
          </w:p>
          <w:p w14:paraId="34B0414A"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 xml:space="preserve">(lifetime ECL for SICR) </w:t>
            </w:r>
          </w:p>
        </w:tc>
        <w:tc>
          <w:tcPr>
            <w:tcW w:w="606" w:type="pct"/>
            <w:tcBorders>
              <w:bottom w:val="single" w:sz="4" w:space="0" w:color="000000"/>
            </w:tcBorders>
            <w:shd w:val="clear" w:color="auto" w:fill="auto"/>
          </w:tcPr>
          <w:p w14:paraId="68C57358"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3</w:t>
            </w:r>
          </w:p>
          <w:p w14:paraId="79E6F166"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(lifetime ECL for credit im-paired)</w:t>
            </w:r>
          </w:p>
        </w:tc>
        <w:tc>
          <w:tcPr>
            <w:tcW w:w="606" w:type="pct"/>
            <w:tcBorders>
              <w:bottom w:val="single" w:sz="4" w:space="0" w:color="000000"/>
            </w:tcBorders>
          </w:tcPr>
          <w:p w14:paraId="2BC7CE9E"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POCI</w:t>
            </w:r>
          </w:p>
        </w:tc>
        <w:tc>
          <w:tcPr>
            <w:tcW w:w="605" w:type="pct"/>
            <w:tcBorders>
              <w:bottom w:val="single" w:sz="4" w:space="0" w:color="000000"/>
            </w:tcBorders>
            <w:shd w:val="clear" w:color="auto" w:fill="auto"/>
          </w:tcPr>
          <w:p w14:paraId="2B4E40EB"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Total</w:t>
            </w:r>
          </w:p>
        </w:tc>
      </w:tr>
      <w:tr w:rsidR="00D83E33" w:rsidRPr="00762D1F" w14:paraId="656ED31D" w14:textId="77777777" w:rsidTr="00372E26">
        <w:trPr>
          <w:trHeight w:val="23"/>
        </w:trPr>
        <w:tc>
          <w:tcPr>
            <w:tcW w:w="1971" w:type="pct"/>
            <w:shd w:val="clear" w:color="auto" w:fill="auto"/>
            <w:vAlign w:val="bottom"/>
          </w:tcPr>
          <w:p w14:paraId="1EBC701A" w14:textId="77777777" w:rsidR="00D83E33" w:rsidRPr="00762D1F" w:rsidRDefault="00D83E33">
            <w:pPr>
              <w:widowControl w:val="0"/>
              <w:ind w:left="113" w:hanging="113"/>
            </w:pPr>
          </w:p>
        </w:tc>
        <w:tc>
          <w:tcPr>
            <w:tcW w:w="606" w:type="pct"/>
            <w:shd w:val="clear" w:color="auto" w:fill="auto"/>
            <w:vAlign w:val="bottom"/>
          </w:tcPr>
          <w:p w14:paraId="3E25493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76D6E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1EB1BB"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65954905"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B1F28D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03CE096" w14:textId="77777777" w:rsidTr="00372E26">
        <w:trPr>
          <w:trHeight w:val="23"/>
        </w:trPr>
        <w:tc>
          <w:tcPr>
            <w:tcW w:w="1971" w:type="pct"/>
            <w:shd w:val="clear" w:color="auto" w:fill="auto"/>
            <w:vAlign w:val="bottom"/>
          </w:tcPr>
          <w:p w14:paraId="67A5E7E8" w14:textId="1B06327D" w:rsidR="00D83E33" w:rsidRPr="00762D1F" w:rsidRDefault="00372E26">
            <w:pPr>
              <w:widowControl w:val="0"/>
              <w:pBdr>
                <w:top w:val="nil"/>
                <w:left w:val="nil"/>
                <w:bottom w:val="nil"/>
                <w:right w:val="nil"/>
                <w:between w:val="nil"/>
              </w:pBdr>
              <w:ind w:left="113" w:hanging="113"/>
              <w:rPr>
                <w:b/>
                <w:color w:val="000000"/>
              </w:rPr>
            </w:pPr>
            <w:r>
              <w:rPr>
                <w:b/>
                <w:i/>
                <w:color w:val="000000"/>
              </w:rPr>
              <w:t>[Country]</w:t>
            </w:r>
            <w:r w:rsidR="00BC4072" w:rsidRPr="00762D1F">
              <w:rPr>
                <w:b/>
                <w:i/>
                <w:color w:val="000000"/>
              </w:rPr>
              <w:t xml:space="preserve"> government bonds</w:t>
            </w:r>
          </w:p>
        </w:tc>
        <w:tc>
          <w:tcPr>
            <w:tcW w:w="606" w:type="pct"/>
            <w:shd w:val="clear" w:color="auto" w:fill="auto"/>
            <w:vAlign w:val="bottom"/>
          </w:tcPr>
          <w:p w14:paraId="62BEB07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84580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3241D1"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5B139BA8"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A4766BB"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129BD8C" w14:textId="77777777" w:rsidTr="00372E26">
        <w:trPr>
          <w:trHeight w:val="23"/>
        </w:trPr>
        <w:tc>
          <w:tcPr>
            <w:tcW w:w="1971" w:type="pct"/>
            <w:shd w:val="clear" w:color="auto" w:fill="auto"/>
            <w:vAlign w:val="bottom"/>
          </w:tcPr>
          <w:p w14:paraId="7A80AD5C"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35879E9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DB6CD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EBE646"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1EEDE7AB"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7DD559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E98CE95" w14:textId="77777777" w:rsidTr="00372E26">
        <w:trPr>
          <w:trHeight w:val="23"/>
        </w:trPr>
        <w:tc>
          <w:tcPr>
            <w:tcW w:w="1971" w:type="pct"/>
            <w:shd w:val="clear" w:color="auto" w:fill="auto"/>
            <w:vAlign w:val="bottom"/>
          </w:tcPr>
          <w:p w14:paraId="6959A46F"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2F062AD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A63EE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6C780EC"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5EA9E49B"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6B3E65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790492D" w14:textId="77777777" w:rsidTr="00372E26">
        <w:trPr>
          <w:trHeight w:val="23"/>
        </w:trPr>
        <w:tc>
          <w:tcPr>
            <w:tcW w:w="1971" w:type="pct"/>
            <w:shd w:val="clear" w:color="auto" w:fill="auto"/>
            <w:vAlign w:val="bottom"/>
          </w:tcPr>
          <w:p w14:paraId="3739F356"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4538EF7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47EEDE"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6A3826E"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9CF9041"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ADDBC5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4A3CEC8" w14:textId="77777777" w:rsidTr="00372E26">
        <w:trPr>
          <w:trHeight w:val="23"/>
        </w:trPr>
        <w:tc>
          <w:tcPr>
            <w:tcW w:w="1971" w:type="pct"/>
            <w:tcBorders>
              <w:bottom w:val="single" w:sz="4" w:space="0" w:color="000000"/>
            </w:tcBorders>
            <w:shd w:val="clear" w:color="auto" w:fill="auto"/>
            <w:vAlign w:val="bottom"/>
          </w:tcPr>
          <w:p w14:paraId="655413E5"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58C1C25" w14:textId="77777777" w:rsidR="00D83E33" w:rsidRPr="00762D1F" w:rsidRDefault="00D83E33">
            <w:pPr>
              <w:widowControl w:val="0"/>
              <w:pBdr>
                <w:top w:val="nil"/>
                <w:left w:val="nil"/>
                <w:bottom w:val="nil"/>
                <w:right w:val="nil"/>
                <w:between w:val="nil"/>
              </w:pBdr>
              <w:rPr>
                <w:color w:val="000000"/>
              </w:rPr>
            </w:pPr>
          </w:p>
        </w:tc>
        <w:tc>
          <w:tcPr>
            <w:tcW w:w="606" w:type="pct"/>
            <w:tcBorders>
              <w:bottom w:val="single" w:sz="4" w:space="0" w:color="000000"/>
            </w:tcBorders>
            <w:vAlign w:val="bottom"/>
          </w:tcPr>
          <w:p w14:paraId="4B209D1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D38746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9D62121"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66C1D20B"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1B35AE3" w14:textId="77777777" w:rsidTr="00372E26">
        <w:trPr>
          <w:trHeight w:val="23"/>
        </w:trPr>
        <w:tc>
          <w:tcPr>
            <w:tcW w:w="1971" w:type="pct"/>
            <w:tcBorders>
              <w:top w:val="single" w:sz="4" w:space="0" w:color="000000"/>
            </w:tcBorders>
            <w:shd w:val="clear" w:color="auto" w:fill="auto"/>
            <w:vAlign w:val="bottom"/>
          </w:tcPr>
          <w:p w14:paraId="0B409FE2"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94250A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01E0A2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B78B6C3"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10837F3"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3572858"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A47E3C0" w14:textId="77777777" w:rsidTr="00372E26">
        <w:trPr>
          <w:trHeight w:val="23"/>
        </w:trPr>
        <w:tc>
          <w:tcPr>
            <w:tcW w:w="1971" w:type="pct"/>
            <w:shd w:val="clear" w:color="auto" w:fill="auto"/>
            <w:vAlign w:val="bottom"/>
          </w:tcPr>
          <w:p w14:paraId="18B282AB"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Gross carrying amount</w:t>
            </w:r>
          </w:p>
        </w:tc>
        <w:tc>
          <w:tcPr>
            <w:tcW w:w="606" w:type="pct"/>
            <w:vAlign w:val="bottom"/>
          </w:tcPr>
          <w:p w14:paraId="134BA98C"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58B4280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26FF83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926338"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6F5443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2684C59" w14:textId="77777777" w:rsidTr="00372E26">
        <w:trPr>
          <w:trHeight w:val="23"/>
        </w:trPr>
        <w:tc>
          <w:tcPr>
            <w:tcW w:w="1971" w:type="pct"/>
            <w:tcBorders>
              <w:bottom w:val="single" w:sz="4" w:space="0" w:color="000000"/>
            </w:tcBorders>
            <w:shd w:val="clear" w:color="auto" w:fill="auto"/>
            <w:vAlign w:val="bottom"/>
          </w:tcPr>
          <w:p w14:paraId="42F925CD"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B2BF64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093BC3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EA93DB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DB148E2"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6545D0C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46B9FD4" w14:textId="77777777" w:rsidTr="00372E26">
        <w:trPr>
          <w:trHeight w:val="23"/>
        </w:trPr>
        <w:tc>
          <w:tcPr>
            <w:tcW w:w="1971" w:type="pct"/>
            <w:tcBorders>
              <w:top w:val="single" w:sz="4" w:space="0" w:color="000000"/>
            </w:tcBorders>
            <w:shd w:val="clear" w:color="auto" w:fill="auto"/>
            <w:vAlign w:val="bottom"/>
          </w:tcPr>
          <w:p w14:paraId="3645C02F"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CEA9A5A" w14:textId="77777777" w:rsidR="00D83E33" w:rsidRPr="00762D1F" w:rsidRDefault="00D83E33">
            <w:pPr>
              <w:widowControl w:val="0"/>
              <w:pBdr>
                <w:top w:val="nil"/>
                <w:left w:val="nil"/>
                <w:bottom w:val="nil"/>
                <w:right w:val="nil"/>
                <w:between w:val="nil"/>
              </w:pBdr>
              <w:rPr>
                <w:color w:val="000000"/>
              </w:rPr>
            </w:pPr>
          </w:p>
        </w:tc>
        <w:tc>
          <w:tcPr>
            <w:tcW w:w="606" w:type="pct"/>
            <w:tcBorders>
              <w:top w:val="single" w:sz="4" w:space="0" w:color="000000"/>
            </w:tcBorders>
            <w:vAlign w:val="bottom"/>
          </w:tcPr>
          <w:p w14:paraId="3F3028E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59E780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B6F1795"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FE878B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2535E44" w14:textId="77777777" w:rsidTr="00372E26">
        <w:trPr>
          <w:trHeight w:val="23"/>
        </w:trPr>
        <w:tc>
          <w:tcPr>
            <w:tcW w:w="1971" w:type="pct"/>
            <w:shd w:val="clear" w:color="auto" w:fill="auto"/>
            <w:vAlign w:val="bottom"/>
          </w:tcPr>
          <w:p w14:paraId="0FDF6D52"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Credit loss allowance</w:t>
            </w:r>
          </w:p>
        </w:tc>
        <w:tc>
          <w:tcPr>
            <w:tcW w:w="606" w:type="pct"/>
            <w:vAlign w:val="bottom"/>
          </w:tcPr>
          <w:p w14:paraId="0971AC72" w14:textId="77777777" w:rsidR="00D83E33" w:rsidRPr="00762D1F" w:rsidRDefault="00D83E33">
            <w:pPr>
              <w:widowControl w:val="0"/>
              <w:pBdr>
                <w:top w:val="nil"/>
                <w:left w:val="nil"/>
                <w:bottom w:val="nil"/>
                <w:right w:val="nil"/>
                <w:between w:val="nil"/>
              </w:pBdr>
              <w:rPr>
                <w:color w:val="000000"/>
              </w:rPr>
            </w:pPr>
          </w:p>
        </w:tc>
        <w:tc>
          <w:tcPr>
            <w:tcW w:w="606" w:type="pct"/>
            <w:vAlign w:val="bottom"/>
          </w:tcPr>
          <w:p w14:paraId="68F15A1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E1A2BE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1306F3"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DFE5D6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C579857" w14:textId="77777777" w:rsidTr="00372E26">
        <w:trPr>
          <w:trHeight w:val="23"/>
        </w:trPr>
        <w:tc>
          <w:tcPr>
            <w:tcW w:w="1971" w:type="pct"/>
            <w:shd w:val="clear" w:color="auto" w:fill="auto"/>
            <w:vAlign w:val="bottom"/>
          </w:tcPr>
          <w:p w14:paraId="735422C1"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vAlign w:val="bottom"/>
          </w:tcPr>
          <w:p w14:paraId="7DC62DF6" w14:textId="77777777" w:rsidR="00D83E33" w:rsidRPr="00762D1F" w:rsidRDefault="00D83E33">
            <w:pPr>
              <w:widowControl w:val="0"/>
              <w:pBdr>
                <w:top w:val="nil"/>
                <w:left w:val="nil"/>
                <w:bottom w:val="nil"/>
                <w:right w:val="nil"/>
                <w:between w:val="nil"/>
              </w:pBdr>
              <w:rPr>
                <w:color w:val="000000"/>
              </w:rPr>
            </w:pPr>
          </w:p>
        </w:tc>
        <w:tc>
          <w:tcPr>
            <w:tcW w:w="606" w:type="pct"/>
            <w:vAlign w:val="bottom"/>
          </w:tcPr>
          <w:p w14:paraId="36DE2D4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47BE0D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6CC4F0"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ACBED3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3F4D810" w14:textId="77777777" w:rsidTr="00372E26">
        <w:trPr>
          <w:trHeight w:val="23"/>
        </w:trPr>
        <w:tc>
          <w:tcPr>
            <w:tcW w:w="1971" w:type="pct"/>
            <w:tcBorders>
              <w:top w:val="single" w:sz="4" w:space="0" w:color="000000"/>
            </w:tcBorders>
            <w:shd w:val="clear" w:color="auto" w:fill="auto"/>
            <w:vAlign w:val="bottom"/>
          </w:tcPr>
          <w:p w14:paraId="777C2123"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0102C54" w14:textId="77777777" w:rsidR="00D83E33" w:rsidRPr="00762D1F" w:rsidRDefault="00D83E33">
            <w:pPr>
              <w:widowControl w:val="0"/>
              <w:pBdr>
                <w:top w:val="nil"/>
                <w:left w:val="nil"/>
                <w:bottom w:val="nil"/>
                <w:right w:val="nil"/>
                <w:between w:val="nil"/>
              </w:pBdr>
              <w:rPr>
                <w:color w:val="000000"/>
              </w:rPr>
            </w:pPr>
          </w:p>
        </w:tc>
        <w:tc>
          <w:tcPr>
            <w:tcW w:w="606" w:type="pct"/>
            <w:tcBorders>
              <w:top w:val="single" w:sz="4" w:space="0" w:color="000000"/>
            </w:tcBorders>
            <w:vAlign w:val="bottom"/>
          </w:tcPr>
          <w:p w14:paraId="3781930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0F1EE1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C471EC6"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2F7483E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96955DA" w14:textId="77777777" w:rsidTr="00372E26">
        <w:trPr>
          <w:trHeight w:val="23"/>
        </w:trPr>
        <w:tc>
          <w:tcPr>
            <w:tcW w:w="1971" w:type="pct"/>
            <w:shd w:val="clear" w:color="auto" w:fill="auto"/>
            <w:vAlign w:val="bottom"/>
          </w:tcPr>
          <w:p w14:paraId="0311988F"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Carrying amount</w:t>
            </w:r>
          </w:p>
        </w:tc>
        <w:tc>
          <w:tcPr>
            <w:tcW w:w="606" w:type="pct"/>
            <w:vAlign w:val="bottom"/>
          </w:tcPr>
          <w:p w14:paraId="55166902" w14:textId="77777777" w:rsidR="00D83E33" w:rsidRPr="00762D1F" w:rsidRDefault="00D83E33">
            <w:pPr>
              <w:widowControl w:val="0"/>
              <w:pBdr>
                <w:top w:val="nil"/>
                <w:left w:val="nil"/>
                <w:bottom w:val="nil"/>
                <w:right w:val="nil"/>
                <w:between w:val="nil"/>
              </w:pBdr>
              <w:rPr>
                <w:color w:val="000000"/>
              </w:rPr>
            </w:pPr>
          </w:p>
        </w:tc>
        <w:tc>
          <w:tcPr>
            <w:tcW w:w="606" w:type="pct"/>
            <w:vAlign w:val="bottom"/>
          </w:tcPr>
          <w:p w14:paraId="57C7615F"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6EF5CB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7C4C533"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2CE24D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1FF30AA" w14:textId="77777777" w:rsidTr="00372E26">
        <w:trPr>
          <w:trHeight w:val="23"/>
        </w:trPr>
        <w:tc>
          <w:tcPr>
            <w:tcW w:w="1971" w:type="pct"/>
            <w:tcBorders>
              <w:bottom w:val="single" w:sz="12" w:space="0" w:color="000000"/>
            </w:tcBorders>
            <w:shd w:val="clear" w:color="auto" w:fill="auto"/>
            <w:vAlign w:val="bottom"/>
          </w:tcPr>
          <w:p w14:paraId="690F7A0A"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11C9B66A" w14:textId="77777777" w:rsidR="00D83E33" w:rsidRPr="00762D1F" w:rsidRDefault="00D83E33">
            <w:pPr>
              <w:widowControl w:val="0"/>
              <w:pBdr>
                <w:top w:val="nil"/>
                <w:left w:val="nil"/>
                <w:bottom w:val="nil"/>
                <w:right w:val="nil"/>
                <w:between w:val="nil"/>
              </w:pBdr>
              <w:rPr>
                <w:color w:val="000000"/>
              </w:rPr>
            </w:pPr>
          </w:p>
        </w:tc>
        <w:tc>
          <w:tcPr>
            <w:tcW w:w="606" w:type="pct"/>
            <w:tcBorders>
              <w:bottom w:val="single" w:sz="12" w:space="0" w:color="000000"/>
            </w:tcBorders>
            <w:vAlign w:val="bottom"/>
          </w:tcPr>
          <w:p w14:paraId="0267BFC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133E7E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F54DA92"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1551E65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537671A" w14:textId="77777777" w:rsidTr="00372E26">
        <w:trPr>
          <w:trHeight w:val="23"/>
        </w:trPr>
        <w:tc>
          <w:tcPr>
            <w:tcW w:w="1971" w:type="pct"/>
            <w:tcBorders>
              <w:top w:val="single" w:sz="12" w:space="0" w:color="000000"/>
            </w:tcBorders>
            <w:shd w:val="clear" w:color="auto" w:fill="auto"/>
            <w:vAlign w:val="bottom"/>
          </w:tcPr>
          <w:p w14:paraId="6CAFEB08" w14:textId="77777777" w:rsidR="00D83E33" w:rsidRPr="00762D1F" w:rsidRDefault="00D83E33">
            <w:pPr>
              <w:widowControl w:val="0"/>
              <w:pBdr>
                <w:top w:val="nil"/>
                <w:left w:val="nil"/>
                <w:bottom w:val="nil"/>
                <w:right w:val="nil"/>
                <w:between w:val="nil"/>
              </w:pBdr>
              <w:ind w:left="113" w:hanging="113"/>
              <w:rPr>
                <w:b/>
                <w:i/>
                <w:color w:val="000000"/>
              </w:rPr>
            </w:pPr>
          </w:p>
        </w:tc>
        <w:tc>
          <w:tcPr>
            <w:tcW w:w="606" w:type="pct"/>
            <w:tcBorders>
              <w:top w:val="single" w:sz="12" w:space="0" w:color="000000"/>
            </w:tcBorders>
            <w:shd w:val="clear" w:color="auto" w:fill="auto"/>
            <w:vAlign w:val="bottom"/>
          </w:tcPr>
          <w:p w14:paraId="33D8763C"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123CBE08"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3F52F16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vAlign w:val="bottom"/>
          </w:tcPr>
          <w:p w14:paraId="6C03D49B"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12" w:space="0" w:color="000000"/>
            </w:tcBorders>
            <w:shd w:val="clear" w:color="auto" w:fill="auto"/>
            <w:vAlign w:val="bottom"/>
          </w:tcPr>
          <w:p w14:paraId="6A00367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6A79072" w14:textId="77777777" w:rsidTr="00372E26">
        <w:trPr>
          <w:trHeight w:val="23"/>
        </w:trPr>
        <w:tc>
          <w:tcPr>
            <w:tcW w:w="1971" w:type="pct"/>
            <w:shd w:val="clear" w:color="auto" w:fill="auto"/>
            <w:vAlign w:val="bottom"/>
          </w:tcPr>
          <w:p w14:paraId="597B166D" w14:textId="77777777" w:rsidR="00D83E33" w:rsidRPr="00762D1F" w:rsidRDefault="00BC4072">
            <w:pPr>
              <w:widowControl w:val="0"/>
              <w:pBdr>
                <w:top w:val="nil"/>
                <w:left w:val="nil"/>
                <w:bottom w:val="nil"/>
                <w:right w:val="nil"/>
                <w:between w:val="nil"/>
              </w:pBdr>
              <w:ind w:left="113" w:hanging="113"/>
              <w:rPr>
                <w:b/>
                <w:color w:val="000000"/>
              </w:rPr>
            </w:pPr>
            <w:r w:rsidRPr="00762D1F">
              <w:rPr>
                <w:b/>
                <w:i/>
                <w:color w:val="000000"/>
              </w:rPr>
              <w:t>Municipal bonds</w:t>
            </w:r>
          </w:p>
        </w:tc>
        <w:tc>
          <w:tcPr>
            <w:tcW w:w="606" w:type="pct"/>
            <w:shd w:val="clear" w:color="auto" w:fill="auto"/>
            <w:vAlign w:val="bottom"/>
          </w:tcPr>
          <w:p w14:paraId="6218467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54082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ACA114B"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25064283"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C327460"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0512DA2" w14:textId="77777777" w:rsidTr="00372E26">
        <w:trPr>
          <w:trHeight w:val="23"/>
        </w:trPr>
        <w:tc>
          <w:tcPr>
            <w:tcW w:w="1971" w:type="pct"/>
            <w:shd w:val="clear" w:color="auto" w:fill="auto"/>
            <w:vAlign w:val="bottom"/>
          </w:tcPr>
          <w:p w14:paraId="555D2BC5"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726513E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AB9A85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7BCB3A"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3B303DB2"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4BBB66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76BAC3B" w14:textId="77777777" w:rsidTr="00372E26">
        <w:trPr>
          <w:trHeight w:val="23"/>
        </w:trPr>
        <w:tc>
          <w:tcPr>
            <w:tcW w:w="1971" w:type="pct"/>
            <w:shd w:val="clear" w:color="auto" w:fill="auto"/>
            <w:vAlign w:val="bottom"/>
          </w:tcPr>
          <w:p w14:paraId="7550A419"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31B443D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B9BC3E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B78095"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7CCC427"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58DAE7C"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CBF93E6" w14:textId="77777777" w:rsidTr="00372E26">
        <w:trPr>
          <w:trHeight w:val="23"/>
        </w:trPr>
        <w:tc>
          <w:tcPr>
            <w:tcW w:w="1971" w:type="pct"/>
            <w:shd w:val="clear" w:color="auto" w:fill="auto"/>
            <w:vAlign w:val="bottom"/>
          </w:tcPr>
          <w:p w14:paraId="38BB1D77"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7D66236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2687FE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FFB356"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258FABBB"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3BBF55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55CD44C" w14:textId="77777777" w:rsidTr="00372E26">
        <w:trPr>
          <w:trHeight w:val="23"/>
        </w:trPr>
        <w:tc>
          <w:tcPr>
            <w:tcW w:w="1971" w:type="pct"/>
            <w:shd w:val="clear" w:color="auto" w:fill="auto"/>
            <w:vAlign w:val="bottom"/>
          </w:tcPr>
          <w:p w14:paraId="4C99A61C"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Special monitoring</w:t>
            </w:r>
          </w:p>
        </w:tc>
        <w:tc>
          <w:tcPr>
            <w:tcW w:w="606" w:type="pct"/>
            <w:shd w:val="clear" w:color="auto" w:fill="auto"/>
            <w:vAlign w:val="bottom"/>
          </w:tcPr>
          <w:p w14:paraId="3D866BE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E6F7D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BF4C18"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68D7361E"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344116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3294985" w14:textId="77777777" w:rsidTr="00372E26">
        <w:trPr>
          <w:trHeight w:val="23"/>
        </w:trPr>
        <w:tc>
          <w:tcPr>
            <w:tcW w:w="1971" w:type="pct"/>
            <w:shd w:val="clear" w:color="auto" w:fill="auto"/>
            <w:vAlign w:val="bottom"/>
          </w:tcPr>
          <w:p w14:paraId="55491158"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Default</w:t>
            </w:r>
          </w:p>
        </w:tc>
        <w:tc>
          <w:tcPr>
            <w:tcW w:w="606" w:type="pct"/>
            <w:shd w:val="clear" w:color="auto" w:fill="auto"/>
            <w:vAlign w:val="bottom"/>
          </w:tcPr>
          <w:p w14:paraId="6F2B3D7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E2495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C2538BF"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4AFEC78F"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B3AA06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CE8EAC4" w14:textId="77777777" w:rsidTr="00372E26">
        <w:trPr>
          <w:trHeight w:val="23"/>
        </w:trPr>
        <w:tc>
          <w:tcPr>
            <w:tcW w:w="1971" w:type="pct"/>
            <w:tcBorders>
              <w:bottom w:val="single" w:sz="4" w:space="0" w:color="000000"/>
            </w:tcBorders>
            <w:shd w:val="clear" w:color="auto" w:fill="auto"/>
            <w:vAlign w:val="bottom"/>
          </w:tcPr>
          <w:p w14:paraId="61F63793"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DBEEE74" w14:textId="77777777" w:rsidR="00D83E33" w:rsidRPr="00762D1F" w:rsidRDefault="00D83E33">
            <w:pPr>
              <w:widowControl w:val="0"/>
              <w:pBdr>
                <w:top w:val="nil"/>
                <w:left w:val="nil"/>
                <w:bottom w:val="nil"/>
                <w:right w:val="nil"/>
                <w:between w:val="nil"/>
              </w:pBdr>
              <w:rPr>
                <w:color w:val="000000"/>
              </w:rPr>
            </w:pPr>
          </w:p>
        </w:tc>
        <w:tc>
          <w:tcPr>
            <w:tcW w:w="606" w:type="pct"/>
            <w:tcBorders>
              <w:bottom w:val="single" w:sz="4" w:space="0" w:color="000000"/>
            </w:tcBorders>
            <w:vAlign w:val="bottom"/>
          </w:tcPr>
          <w:p w14:paraId="60CE9FC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1D43B4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5F31684"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09B3AC62"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174C5CC" w14:textId="77777777" w:rsidTr="00372E26">
        <w:trPr>
          <w:trHeight w:val="23"/>
        </w:trPr>
        <w:tc>
          <w:tcPr>
            <w:tcW w:w="1971" w:type="pct"/>
            <w:tcBorders>
              <w:top w:val="single" w:sz="4" w:space="0" w:color="000000"/>
            </w:tcBorders>
            <w:shd w:val="clear" w:color="auto" w:fill="auto"/>
            <w:vAlign w:val="bottom"/>
          </w:tcPr>
          <w:p w14:paraId="1E833FC4"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C31FE8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4FE16A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2B6B79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6ADEFEC"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39DA2972"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575D667" w14:textId="77777777" w:rsidTr="00372E26">
        <w:trPr>
          <w:trHeight w:val="23"/>
        </w:trPr>
        <w:tc>
          <w:tcPr>
            <w:tcW w:w="1971" w:type="pct"/>
            <w:shd w:val="clear" w:color="auto" w:fill="auto"/>
            <w:vAlign w:val="bottom"/>
          </w:tcPr>
          <w:p w14:paraId="77D4CC3E"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Gross carrying amount</w:t>
            </w:r>
          </w:p>
        </w:tc>
        <w:tc>
          <w:tcPr>
            <w:tcW w:w="606" w:type="pct"/>
            <w:vAlign w:val="bottom"/>
          </w:tcPr>
          <w:p w14:paraId="39AC5C03"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2452BD4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340CA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8D57367"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FB8F40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EC44736" w14:textId="77777777" w:rsidTr="00372E26">
        <w:trPr>
          <w:trHeight w:val="23"/>
        </w:trPr>
        <w:tc>
          <w:tcPr>
            <w:tcW w:w="1971" w:type="pct"/>
            <w:tcBorders>
              <w:bottom w:val="single" w:sz="4" w:space="0" w:color="000000"/>
            </w:tcBorders>
            <w:shd w:val="clear" w:color="auto" w:fill="auto"/>
            <w:vAlign w:val="bottom"/>
          </w:tcPr>
          <w:p w14:paraId="44AF19FD"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C84E06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0A1423B"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576AC7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4C36C08"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68145315"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CAFA6EB" w14:textId="77777777" w:rsidTr="00372E26">
        <w:trPr>
          <w:trHeight w:val="23"/>
        </w:trPr>
        <w:tc>
          <w:tcPr>
            <w:tcW w:w="1971" w:type="pct"/>
            <w:tcBorders>
              <w:top w:val="single" w:sz="4" w:space="0" w:color="000000"/>
            </w:tcBorders>
            <w:shd w:val="clear" w:color="auto" w:fill="auto"/>
            <w:vAlign w:val="bottom"/>
          </w:tcPr>
          <w:p w14:paraId="7AECC2BF"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7F81B63" w14:textId="77777777" w:rsidR="00D83E33" w:rsidRPr="00762D1F" w:rsidRDefault="00D83E33">
            <w:pPr>
              <w:widowControl w:val="0"/>
              <w:pBdr>
                <w:top w:val="nil"/>
                <w:left w:val="nil"/>
                <w:bottom w:val="nil"/>
                <w:right w:val="nil"/>
                <w:between w:val="nil"/>
              </w:pBdr>
              <w:rPr>
                <w:color w:val="000000"/>
              </w:rPr>
            </w:pPr>
          </w:p>
        </w:tc>
        <w:tc>
          <w:tcPr>
            <w:tcW w:w="606" w:type="pct"/>
            <w:tcBorders>
              <w:top w:val="single" w:sz="4" w:space="0" w:color="000000"/>
            </w:tcBorders>
            <w:vAlign w:val="bottom"/>
          </w:tcPr>
          <w:p w14:paraId="343F848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3CAECAF"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AE6A24F"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CED750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C27B550" w14:textId="77777777" w:rsidTr="00372E26">
        <w:trPr>
          <w:trHeight w:val="23"/>
        </w:trPr>
        <w:tc>
          <w:tcPr>
            <w:tcW w:w="1971" w:type="pct"/>
            <w:shd w:val="clear" w:color="auto" w:fill="auto"/>
            <w:vAlign w:val="bottom"/>
          </w:tcPr>
          <w:p w14:paraId="59A37E9B"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Credit loss allowance</w:t>
            </w:r>
          </w:p>
        </w:tc>
        <w:tc>
          <w:tcPr>
            <w:tcW w:w="606" w:type="pct"/>
            <w:vAlign w:val="bottom"/>
          </w:tcPr>
          <w:p w14:paraId="703CD619" w14:textId="77777777" w:rsidR="00D83E33" w:rsidRPr="00762D1F" w:rsidRDefault="00D83E33">
            <w:pPr>
              <w:widowControl w:val="0"/>
              <w:pBdr>
                <w:top w:val="nil"/>
                <w:left w:val="nil"/>
                <w:bottom w:val="nil"/>
                <w:right w:val="nil"/>
                <w:between w:val="nil"/>
              </w:pBdr>
              <w:rPr>
                <w:color w:val="000000"/>
              </w:rPr>
            </w:pPr>
          </w:p>
        </w:tc>
        <w:tc>
          <w:tcPr>
            <w:tcW w:w="606" w:type="pct"/>
            <w:vAlign w:val="bottom"/>
          </w:tcPr>
          <w:p w14:paraId="68EE7C7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298C9E"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044364"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F9A43CC"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5B73855" w14:textId="77777777" w:rsidTr="00372E26">
        <w:trPr>
          <w:trHeight w:val="23"/>
        </w:trPr>
        <w:tc>
          <w:tcPr>
            <w:tcW w:w="1971" w:type="pct"/>
            <w:shd w:val="clear" w:color="auto" w:fill="auto"/>
            <w:vAlign w:val="bottom"/>
          </w:tcPr>
          <w:p w14:paraId="3A638D7D"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vAlign w:val="bottom"/>
          </w:tcPr>
          <w:p w14:paraId="1837BC92" w14:textId="77777777" w:rsidR="00D83E33" w:rsidRPr="00762D1F" w:rsidRDefault="00D83E33">
            <w:pPr>
              <w:widowControl w:val="0"/>
              <w:pBdr>
                <w:top w:val="nil"/>
                <w:left w:val="nil"/>
                <w:bottom w:val="nil"/>
                <w:right w:val="nil"/>
                <w:between w:val="nil"/>
              </w:pBdr>
              <w:rPr>
                <w:color w:val="000000"/>
              </w:rPr>
            </w:pPr>
          </w:p>
        </w:tc>
        <w:tc>
          <w:tcPr>
            <w:tcW w:w="606" w:type="pct"/>
            <w:vAlign w:val="bottom"/>
          </w:tcPr>
          <w:p w14:paraId="2D49DD7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C11EEE"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CC52FF"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598E5D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57BCF55" w14:textId="77777777" w:rsidTr="00372E26">
        <w:trPr>
          <w:trHeight w:val="23"/>
        </w:trPr>
        <w:tc>
          <w:tcPr>
            <w:tcW w:w="1971" w:type="pct"/>
            <w:tcBorders>
              <w:top w:val="single" w:sz="4" w:space="0" w:color="000000"/>
            </w:tcBorders>
            <w:shd w:val="clear" w:color="auto" w:fill="auto"/>
            <w:vAlign w:val="bottom"/>
          </w:tcPr>
          <w:p w14:paraId="10F9080C"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CB66EE1" w14:textId="77777777" w:rsidR="00D83E33" w:rsidRPr="00762D1F" w:rsidRDefault="00D83E33">
            <w:pPr>
              <w:widowControl w:val="0"/>
              <w:pBdr>
                <w:top w:val="nil"/>
                <w:left w:val="nil"/>
                <w:bottom w:val="nil"/>
                <w:right w:val="nil"/>
                <w:between w:val="nil"/>
              </w:pBdr>
              <w:rPr>
                <w:color w:val="000000"/>
              </w:rPr>
            </w:pPr>
          </w:p>
        </w:tc>
        <w:tc>
          <w:tcPr>
            <w:tcW w:w="606" w:type="pct"/>
            <w:tcBorders>
              <w:top w:val="single" w:sz="4" w:space="0" w:color="000000"/>
            </w:tcBorders>
            <w:vAlign w:val="bottom"/>
          </w:tcPr>
          <w:p w14:paraId="3DC88242"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039F39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A43E5D7"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79D54317"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C505CBC" w14:textId="77777777" w:rsidTr="00372E26">
        <w:trPr>
          <w:trHeight w:val="23"/>
        </w:trPr>
        <w:tc>
          <w:tcPr>
            <w:tcW w:w="1971" w:type="pct"/>
            <w:shd w:val="clear" w:color="auto" w:fill="auto"/>
            <w:vAlign w:val="bottom"/>
          </w:tcPr>
          <w:p w14:paraId="79CD9AA9"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Carrying amount</w:t>
            </w:r>
          </w:p>
        </w:tc>
        <w:tc>
          <w:tcPr>
            <w:tcW w:w="606" w:type="pct"/>
            <w:vAlign w:val="bottom"/>
          </w:tcPr>
          <w:p w14:paraId="5FB33ABB" w14:textId="77777777" w:rsidR="00D83E33" w:rsidRPr="00762D1F" w:rsidRDefault="00D83E33">
            <w:pPr>
              <w:widowControl w:val="0"/>
              <w:pBdr>
                <w:top w:val="nil"/>
                <w:left w:val="nil"/>
                <w:bottom w:val="nil"/>
                <w:right w:val="nil"/>
                <w:between w:val="nil"/>
              </w:pBdr>
              <w:rPr>
                <w:color w:val="000000"/>
              </w:rPr>
            </w:pPr>
          </w:p>
        </w:tc>
        <w:tc>
          <w:tcPr>
            <w:tcW w:w="606" w:type="pct"/>
            <w:vAlign w:val="bottom"/>
          </w:tcPr>
          <w:p w14:paraId="79E1032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42EC9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7B861E"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FD5133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B1A018D" w14:textId="77777777" w:rsidTr="00372E26">
        <w:trPr>
          <w:trHeight w:val="23"/>
        </w:trPr>
        <w:tc>
          <w:tcPr>
            <w:tcW w:w="1971" w:type="pct"/>
            <w:tcBorders>
              <w:bottom w:val="single" w:sz="12" w:space="0" w:color="000000"/>
            </w:tcBorders>
            <w:shd w:val="clear" w:color="auto" w:fill="auto"/>
            <w:vAlign w:val="bottom"/>
          </w:tcPr>
          <w:p w14:paraId="22027416"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532C3706" w14:textId="77777777" w:rsidR="00D83E33" w:rsidRPr="00762D1F" w:rsidRDefault="00D83E33">
            <w:pPr>
              <w:widowControl w:val="0"/>
              <w:pBdr>
                <w:top w:val="nil"/>
                <w:left w:val="nil"/>
                <w:bottom w:val="nil"/>
                <w:right w:val="nil"/>
                <w:between w:val="nil"/>
              </w:pBdr>
              <w:rPr>
                <w:color w:val="000000"/>
              </w:rPr>
            </w:pPr>
          </w:p>
        </w:tc>
        <w:tc>
          <w:tcPr>
            <w:tcW w:w="606" w:type="pct"/>
            <w:tcBorders>
              <w:bottom w:val="single" w:sz="12" w:space="0" w:color="000000"/>
            </w:tcBorders>
            <w:vAlign w:val="bottom"/>
          </w:tcPr>
          <w:p w14:paraId="6247C283"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5FDF38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A7571DE"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769E1F0C" w14:textId="77777777" w:rsidR="00D83E33" w:rsidRPr="00762D1F" w:rsidRDefault="00D83E33">
            <w:pPr>
              <w:widowControl w:val="0"/>
              <w:pBdr>
                <w:top w:val="nil"/>
                <w:left w:val="nil"/>
                <w:bottom w:val="nil"/>
                <w:right w:val="nil"/>
                <w:between w:val="nil"/>
              </w:pBdr>
              <w:jc w:val="right"/>
              <w:rPr>
                <w:color w:val="000000"/>
              </w:rPr>
            </w:pPr>
          </w:p>
        </w:tc>
      </w:tr>
    </w:tbl>
    <w:p w14:paraId="2F60A142" w14:textId="04E6E2EE" w:rsidR="00D83E33" w:rsidRDefault="00BC4072" w:rsidP="001B330E">
      <w:pPr>
        <w:pStyle w:val="Continued"/>
        <w:rPr>
          <w:color w:val="000000"/>
        </w:rPr>
      </w:pPr>
      <w:r>
        <w:rPr>
          <w:color w:val="000000"/>
        </w:rPr>
        <w:lastRenderedPageBreak/>
        <w:t>9</w:t>
      </w:r>
      <w:r>
        <w:rPr>
          <w:color w:val="000000"/>
        </w:rPr>
        <w:tab/>
        <w:t>Investments in Debt Securities (Continued)</w:t>
      </w:r>
    </w:p>
    <w:tbl>
      <w:tblPr>
        <w:tblStyle w:val="aff9"/>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762D1F" w14:paraId="13F01ACF" w14:textId="77777777" w:rsidTr="001B330E">
        <w:trPr>
          <w:trHeight w:val="23"/>
        </w:trPr>
        <w:tc>
          <w:tcPr>
            <w:tcW w:w="1971" w:type="pct"/>
            <w:tcBorders>
              <w:bottom w:val="single" w:sz="4" w:space="0" w:color="000000"/>
            </w:tcBorders>
            <w:shd w:val="clear" w:color="auto" w:fill="auto"/>
            <w:vAlign w:val="bottom"/>
          </w:tcPr>
          <w:p w14:paraId="29173DD0" w14:textId="29A8EBA4" w:rsidR="00D83E33" w:rsidRPr="00762D1F"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7BAB306C"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 xml:space="preserve">Stage 1 </w:t>
            </w:r>
          </w:p>
          <w:p w14:paraId="716D9398"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(12-months ECL)</w:t>
            </w:r>
          </w:p>
        </w:tc>
        <w:tc>
          <w:tcPr>
            <w:tcW w:w="606" w:type="pct"/>
            <w:tcBorders>
              <w:bottom w:val="single" w:sz="4" w:space="0" w:color="000000"/>
            </w:tcBorders>
            <w:shd w:val="clear" w:color="auto" w:fill="auto"/>
          </w:tcPr>
          <w:p w14:paraId="13C431DF"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2</w:t>
            </w:r>
          </w:p>
          <w:p w14:paraId="68B9F108"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 xml:space="preserve">(lifetime ECL for SICR) </w:t>
            </w:r>
          </w:p>
        </w:tc>
        <w:tc>
          <w:tcPr>
            <w:tcW w:w="606" w:type="pct"/>
            <w:tcBorders>
              <w:bottom w:val="single" w:sz="4" w:space="0" w:color="000000"/>
            </w:tcBorders>
            <w:shd w:val="clear" w:color="auto" w:fill="auto"/>
          </w:tcPr>
          <w:p w14:paraId="4060A283"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Stage 3</w:t>
            </w:r>
          </w:p>
          <w:p w14:paraId="564756ED"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(lifetime ECL for credit im-paired)</w:t>
            </w:r>
          </w:p>
        </w:tc>
        <w:tc>
          <w:tcPr>
            <w:tcW w:w="606" w:type="pct"/>
            <w:tcBorders>
              <w:bottom w:val="single" w:sz="4" w:space="0" w:color="000000"/>
            </w:tcBorders>
          </w:tcPr>
          <w:p w14:paraId="09DEAC0D"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POCI</w:t>
            </w:r>
          </w:p>
        </w:tc>
        <w:tc>
          <w:tcPr>
            <w:tcW w:w="605" w:type="pct"/>
            <w:tcBorders>
              <w:bottom w:val="single" w:sz="4" w:space="0" w:color="000000"/>
            </w:tcBorders>
            <w:shd w:val="clear" w:color="auto" w:fill="auto"/>
          </w:tcPr>
          <w:p w14:paraId="3E7B1C0E" w14:textId="77777777" w:rsidR="00D83E33" w:rsidRPr="00762D1F" w:rsidRDefault="00BC4072" w:rsidP="001B330E">
            <w:pPr>
              <w:widowControl w:val="0"/>
              <w:pBdr>
                <w:top w:val="nil"/>
                <w:left w:val="nil"/>
                <w:bottom w:val="nil"/>
                <w:right w:val="nil"/>
                <w:between w:val="nil"/>
              </w:pBdr>
              <w:jc w:val="right"/>
              <w:rPr>
                <w:b/>
                <w:color w:val="000000"/>
              </w:rPr>
            </w:pPr>
            <w:r w:rsidRPr="00762D1F">
              <w:rPr>
                <w:b/>
                <w:color w:val="000000"/>
              </w:rPr>
              <w:t>Total</w:t>
            </w:r>
          </w:p>
        </w:tc>
      </w:tr>
      <w:tr w:rsidR="00D83E33" w:rsidRPr="00762D1F" w14:paraId="6E9161D0" w14:textId="77777777" w:rsidTr="001B330E">
        <w:trPr>
          <w:trHeight w:val="23"/>
        </w:trPr>
        <w:tc>
          <w:tcPr>
            <w:tcW w:w="1971" w:type="pct"/>
            <w:tcBorders>
              <w:top w:val="single" w:sz="4" w:space="0" w:color="000000"/>
            </w:tcBorders>
            <w:shd w:val="clear" w:color="auto" w:fill="auto"/>
            <w:vAlign w:val="bottom"/>
          </w:tcPr>
          <w:p w14:paraId="7D4122E1"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6E40DF8"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5F8C33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36663A2"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A091658"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39AAF54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853235B" w14:textId="77777777" w:rsidTr="001B330E">
        <w:trPr>
          <w:trHeight w:val="23"/>
        </w:trPr>
        <w:tc>
          <w:tcPr>
            <w:tcW w:w="1971" w:type="pct"/>
            <w:shd w:val="clear" w:color="auto" w:fill="auto"/>
            <w:vAlign w:val="bottom"/>
          </w:tcPr>
          <w:p w14:paraId="5A625668" w14:textId="77777777" w:rsidR="00D83E33" w:rsidRPr="00762D1F" w:rsidRDefault="00BC4072">
            <w:pPr>
              <w:widowControl w:val="0"/>
              <w:pBdr>
                <w:top w:val="nil"/>
                <w:left w:val="nil"/>
                <w:bottom w:val="nil"/>
                <w:right w:val="nil"/>
                <w:between w:val="nil"/>
              </w:pBdr>
              <w:ind w:left="113" w:hanging="113"/>
              <w:rPr>
                <w:b/>
                <w:color w:val="000000"/>
              </w:rPr>
            </w:pPr>
            <w:r w:rsidRPr="00762D1F">
              <w:rPr>
                <w:b/>
                <w:i/>
                <w:color w:val="000000"/>
              </w:rPr>
              <w:t>Corporate bonds</w:t>
            </w:r>
          </w:p>
        </w:tc>
        <w:tc>
          <w:tcPr>
            <w:tcW w:w="606" w:type="pct"/>
            <w:shd w:val="clear" w:color="auto" w:fill="auto"/>
            <w:vAlign w:val="bottom"/>
          </w:tcPr>
          <w:p w14:paraId="0999B8B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94FEB4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A027988"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BFD35B8"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C02891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0097A03" w14:textId="77777777" w:rsidTr="001B330E">
        <w:trPr>
          <w:trHeight w:val="23"/>
        </w:trPr>
        <w:tc>
          <w:tcPr>
            <w:tcW w:w="1971" w:type="pct"/>
            <w:shd w:val="clear" w:color="auto" w:fill="auto"/>
            <w:vAlign w:val="bottom"/>
          </w:tcPr>
          <w:p w14:paraId="088043A3"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3BAF751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2AF78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65B9AC"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1590E2F7"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25FCB5C"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EF10A86" w14:textId="77777777" w:rsidTr="001B330E">
        <w:trPr>
          <w:trHeight w:val="23"/>
        </w:trPr>
        <w:tc>
          <w:tcPr>
            <w:tcW w:w="1971" w:type="pct"/>
            <w:shd w:val="clear" w:color="auto" w:fill="auto"/>
            <w:vAlign w:val="bottom"/>
          </w:tcPr>
          <w:p w14:paraId="669AAD03"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56EC49D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D8CF3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912C5F"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1D5FFA60"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61501C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3D46C40" w14:textId="77777777" w:rsidTr="001B330E">
        <w:trPr>
          <w:trHeight w:val="23"/>
        </w:trPr>
        <w:tc>
          <w:tcPr>
            <w:tcW w:w="1971" w:type="pct"/>
            <w:shd w:val="clear" w:color="auto" w:fill="auto"/>
            <w:vAlign w:val="bottom"/>
          </w:tcPr>
          <w:p w14:paraId="302DA679"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62584A1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01F684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EFC19B"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2BE34D79"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A1FDFA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E9305EF" w14:textId="77777777" w:rsidTr="001B330E">
        <w:trPr>
          <w:trHeight w:val="23"/>
        </w:trPr>
        <w:tc>
          <w:tcPr>
            <w:tcW w:w="1971" w:type="pct"/>
            <w:shd w:val="clear" w:color="auto" w:fill="auto"/>
            <w:vAlign w:val="bottom"/>
          </w:tcPr>
          <w:p w14:paraId="4749B7E1"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Special monitoring</w:t>
            </w:r>
          </w:p>
        </w:tc>
        <w:tc>
          <w:tcPr>
            <w:tcW w:w="606" w:type="pct"/>
            <w:shd w:val="clear" w:color="auto" w:fill="auto"/>
            <w:vAlign w:val="bottom"/>
          </w:tcPr>
          <w:p w14:paraId="72200A6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23BFF3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B9B252"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8FAE47C"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C1C23B8"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39C3432" w14:textId="77777777" w:rsidTr="001B330E">
        <w:trPr>
          <w:trHeight w:val="23"/>
        </w:trPr>
        <w:tc>
          <w:tcPr>
            <w:tcW w:w="1971" w:type="pct"/>
            <w:shd w:val="clear" w:color="auto" w:fill="auto"/>
            <w:vAlign w:val="bottom"/>
          </w:tcPr>
          <w:p w14:paraId="69579596"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Default</w:t>
            </w:r>
          </w:p>
        </w:tc>
        <w:tc>
          <w:tcPr>
            <w:tcW w:w="606" w:type="pct"/>
            <w:shd w:val="clear" w:color="auto" w:fill="auto"/>
            <w:vAlign w:val="bottom"/>
          </w:tcPr>
          <w:p w14:paraId="60128DC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D5256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0845F9"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671105E"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A8D8E6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A2A6B1D" w14:textId="77777777" w:rsidTr="001B330E">
        <w:trPr>
          <w:trHeight w:val="23"/>
        </w:trPr>
        <w:tc>
          <w:tcPr>
            <w:tcW w:w="1971" w:type="pct"/>
            <w:tcBorders>
              <w:bottom w:val="single" w:sz="4" w:space="0" w:color="000000"/>
            </w:tcBorders>
            <w:shd w:val="clear" w:color="auto" w:fill="auto"/>
            <w:vAlign w:val="bottom"/>
          </w:tcPr>
          <w:p w14:paraId="7A8B3FE5"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4B1F3D4F"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87FE921"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E1F39E8"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EFD457B"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555F7578"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B7BF449" w14:textId="77777777" w:rsidTr="001B330E">
        <w:trPr>
          <w:trHeight w:val="23"/>
        </w:trPr>
        <w:tc>
          <w:tcPr>
            <w:tcW w:w="1971" w:type="pct"/>
            <w:tcBorders>
              <w:top w:val="single" w:sz="4" w:space="0" w:color="000000"/>
            </w:tcBorders>
            <w:shd w:val="clear" w:color="auto" w:fill="auto"/>
            <w:vAlign w:val="bottom"/>
          </w:tcPr>
          <w:p w14:paraId="585C0E4D"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E9D86D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C4B1BBB"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873BA2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AB99FF2"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5E39D3B7"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807A84B" w14:textId="77777777" w:rsidTr="001B330E">
        <w:trPr>
          <w:trHeight w:val="23"/>
        </w:trPr>
        <w:tc>
          <w:tcPr>
            <w:tcW w:w="1971" w:type="pct"/>
            <w:shd w:val="clear" w:color="auto" w:fill="auto"/>
            <w:vAlign w:val="bottom"/>
          </w:tcPr>
          <w:p w14:paraId="0D578870"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Gross carrying amount</w:t>
            </w:r>
          </w:p>
        </w:tc>
        <w:tc>
          <w:tcPr>
            <w:tcW w:w="606" w:type="pct"/>
            <w:vAlign w:val="bottom"/>
          </w:tcPr>
          <w:p w14:paraId="7219E429"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6652F0E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6F1B40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934029"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9114EC5"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FD5F18C" w14:textId="77777777" w:rsidTr="001B330E">
        <w:trPr>
          <w:trHeight w:val="23"/>
        </w:trPr>
        <w:tc>
          <w:tcPr>
            <w:tcW w:w="1971" w:type="pct"/>
            <w:tcBorders>
              <w:bottom w:val="single" w:sz="4" w:space="0" w:color="000000"/>
            </w:tcBorders>
            <w:shd w:val="clear" w:color="auto" w:fill="auto"/>
            <w:vAlign w:val="bottom"/>
          </w:tcPr>
          <w:p w14:paraId="68D01F15"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34560AB"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79A332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1A90708"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C7F89A8"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73D0E45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1C3C591" w14:textId="77777777" w:rsidTr="001B330E">
        <w:trPr>
          <w:trHeight w:val="23"/>
        </w:trPr>
        <w:tc>
          <w:tcPr>
            <w:tcW w:w="1971" w:type="pct"/>
            <w:tcBorders>
              <w:top w:val="single" w:sz="4" w:space="0" w:color="000000"/>
            </w:tcBorders>
            <w:shd w:val="clear" w:color="auto" w:fill="auto"/>
            <w:vAlign w:val="bottom"/>
          </w:tcPr>
          <w:p w14:paraId="3DA04407"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85E94E9"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F839CB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71FEBC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EA5F0B7"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F105CC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E2CDB6B" w14:textId="77777777" w:rsidTr="001B330E">
        <w:trPr>
          <w:trHeight w:val="23"/>
        </w:trPr>
        <w:tc>
          <w:tcPr>
            <w:tcW w:w="1971" w:type="pct"/>
            <w:shd w:val="clear" w:color="auto" w:fill="auto"/>
            <w:vAlign w:val="bottom"/>
          </w:tcPr>
          <w:p w14:paraId="4E7EF08A"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Credit loss allowance</w:t>
            </w:r>
          </w:p>
        </w:tc>
        <w:tc>
          <w:tcPr>
            <w:tcW w:w="606" w:type="pct"/>
            <w:vAlign w:val="bottom"/>
          </w:tcPr>
          <w:p w14:paraId="76DEC60F"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5B611BD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75103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FB1DE4"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CB6717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163A0FB" w14:textId="77777777" w:rsidTr="001B330E">
        <w:trPr>
          <w:trHeight w:val="23"/>
        </w:trPr>
        <w:tc>
          <w:tcPr>
            <w:tcW w:w="1971" w:type="pct"/>
            <w:shd w:val="clear" w:color="auto" w:fill="auto"/>
            <w:vAlign w:val="bottom"/>
          </w:tcPr>
          <w:p w14:paraId="79EA803E"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vAlign w:val="bottom"/>
          </w:tcPr>
          <w:p w14:paraId="3446CBB3"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1B01719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6E6B7E"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41E93DF"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41B965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87B4EC5" w14:textId="77777777" w:rsidTr="001B330E">
        <w:trPr>
          <w:trHeight w:val="23"/>
        </w:trPr>
        <w:tc>
          <w:tcPr>
            <w:tcW w:w="1971" w:type="pct"/>
            <w:tcBorders>
              <w:top w:val="single" w:sz="4" w:space="0" w:color="000000"/>
            </w:tcBorders>
            <w:shd w:val="clear" w:color="auto" w:fill="auto"/>
            <w:vAlign w:val="bottom"/>
          </w:tcPr>
          <w:p w14:paraId="1623B66C"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319FCD0"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7049E8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741F79C"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8C4E45A"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47931E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B94C382" w14:textId="77777777" w:rsidTr="001B330E">
        <w:trPr>
          <w:trHeight w:val="23"/>
        </w:trPr>
        <w:tc>
          <w:tcPr>
            <w:tcW w:w="1971" w:type="pct"/>
            <w:shd w:val="clear" w:color="auto" w:fill="auto"/>
            <w:vAlign w:val="bottom"/>
          </w:tcPr>
          <w:p w14:paraId="7D89A0B9"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Carrying amount</w:t>
            </w:r>
          </w:p>
        </w:tc>
        <w:tc>
          <w:tcPr>
            <w:tcW w:w="606" w:type="pct"/>
            <w:vAlign w:val="bottom"/>
          </w:tcPr>
          <w:p w14:paraId="23E7CC26"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0E8F99D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0E4E6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E2E28B"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419C48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8AE8AE5" w14:textId="77777777" w:rsidTr="001B330E">
        <w:trPr>
          <w:trHeight w:val="23"/>
        </w:trPr>
        <w:tc>
          <w:tcPr>
            <w:tcW w:w="1971" w:type="pct"/>
            <w:tcBorders>
              <w:bottom w:val="single" w:sz="12" w:space="0" w:color="000000"/>
            </w:tcBorders>
            <w:shd w:val="clear" w:color="auto" w:fill="auto"/>
            <w:vAlign w:val="bottom"/>
          </w:tcPr>
          <w:p w14:paraId="251D3DFA"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6DDF5AF0" w14:textId="77777777" w:rsidR="00D83E33" w:rsidRPr="00762D1F" w:rsidRDefault="00D83E33">
            <w:pPr>
              <w:widowControl w:val="0"/>
              <w:pBdr>
                <w:top w:val="nil"/>
                <w:left w:val="nil"/>
                <w:bottom w:val="nil"/>
                <w:right w:val="nil"/>
                <w:between w:val="nil"/>
              </w:pBdr>
              <w:rPr>
                <w:color w:val="000000"/>
              </w:rPr>
            </w:pPr>
          </w:p>
        </w:tc>
        <w:tc>
          <w:tcPr>
            <w:tcW w:w="606" w:type="pct"/>
            <w:tcBorders>
              <w:bottom w:val="single" w:sz="12" w:space="0" w:color="000000"/>
            </w:tcBorders>
            <w:vAlign w:val="bottom"/>
          </w:tcPr>
          <w:p w14:paraId="2CB08F1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C6E406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CA930C3"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01C0B36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3BB75D8" w14:textId="77777777" w:rsidTr="001B330E">
        <w:trPr>
          <w:trHeight w:val="23"/>
        </w:trPr>
        <w:tc>
          <w:tcPr>
            <w:tcW w:w="1971" w:type="pct"/>
            <w:shd w:val="clear" w:color="auto" w:fill="auto"/>
            <w:vAlign w:val="bottom"/>
          </w:tcPr>
          <w:p w14:paraId="3B135A4C"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707BDDB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F49F1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886D27"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DD060AA"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E191807" w14:textId="77777777" w:rsidR="00D83E33" w:rsidRPr="00762D1F" w:rsidRDefault="00D83E33">
            <w:pPr>
              <w:widowControl w:val="0"/>
              <w:pBdr>
                <w:top w:val="nil"/>
                <w:left w:val="nil"/>
                <w:bottom w:val="nil"/>
                <w:right w:val="nil"/>
                <w:between w:val="nil"/>
              </w:pBdr>
              <w:jc w:val="right"/>
              <w:rPr>
                <w:color w:val="000000"/>
              </w:rPr>
            </w:pPr>
          </w:p>
        </w:tc>
      </w:tr>
      <w:tr w:rsidR="00FE3A14" w:rsidRPr="00762D1F" w14:paraId="5F3FB77C" w14:textId="77777777" w:rsidTr="001B330E">
        <w:trPr>
          <w:trHeight w:val="23"/>
        </w:trPr>
        <w:tc>
          <w:tcPr>
            <w:tcW w:w="1971" w:type="pct"/>
            <w:shd w:val="clear" w:color="auto" w:fill="auto"/>
            <w:vAlign w:val="bottom"/>
          </w:tcPr>
          <w:p w14:paraId="6ED3D0C9" w14:textId="7C1F8CFF" w:rsidR="00FE3A14" w:rsidRPr="00762D1F" w:rsidRDefault="00FE3A14" w:rsidP="001B330E">
            <w:pPr>
              <w:widowControl w:val="0"/>
              <w:pBdr>
                <w:top w:val="nil"/>
                <w:left w:val="nil"/>
                <w:bottom w:val="nil"/>
                <w:right w:val="nil"/>
                <w:between w:val="nil"/>
              </w:pBdr>
              <w:ind w:left="113" w:hanging="113"/>
              <w:rPr>
                <w:color w:val="000000"/>
              </w:rPr>
            </w:pPr>
            <w:r w:rsidRPr="002547FE">
              <w:rPr>
                <w:b/>
                <w:i/>
                <w:color w:val="000000"/>
              </w:rPr>
              <w:t xml:space="preserve">Promissory notes </w:t>
            </w:r>
          </w:p>
        </w:tc>
        <w:tc>
          <w:tcPr>
            <w:tcW w:w="606" w:type="pct"/>
            <w:shd w:val="clear" w:color="auto" w:fill="auto"/>
            <w:vAlign w:val="bottom"/>
          </w:tcPr>
          <w:p w14:paraId="4EFDB178" w14:textId="77777777" w:rsidR="00FE3A14" w:rsidRPr="00762D1F" w:rsidRDefault="00FE3A14" w:rsidP="00762D1F">
            <w:pPr>
              <w:widowControl w:val="0"/>
              <w:pBdr>
                <w:top w:val="nil"/>
                <w:left w:val="nil"/>
                <w:bottom w:val="nil"/>
                <w:right w:val="nil"/>
                <w:between w:val="nil"/>
              </w:pBdr>
              <w:jc w:val="right"/>
              <w:rPr>
                <w:color w:val="000000"/>
              </w:rPr>
            </w:pPr>
          </w:p>
        </w:tc>
        <w:tc>
          <w:tcPr>
            <w:tcW w:w="606" w:type="pct"/>
            <w:shd w:val="clear" w:color="auto" w:fill="auto"/>
            <w:vAlign w:val="bottom"/>
          </w:tcPr>
          <w:p w14:paraId="758E2B92" w14:textId="77777777" w:rsidR="00FE3A14" w:rsidRPr="00762D1F" w:rsidRDefault="00FE3A14" w:rsidP="00762D1F">
            <w:pPr>
              <w:widowControl w:val="0"/>
              <w:pBdr>
                <w:top w:val="nil"/>
                <w:left w:val="nil"/>
                <w:bottom w:val="nil"/>
                <w:right w:val="nil"/>
                <w:between w:val="nil"/>
              </w:pBdr>
              <w:jc w:val="right"/>
              <w:rPr>
                <w:color w:val="000000"/>
              </w:rPr>
            </w:pPr>
          </w:p>
        </w:tc>
        <w:tc>
          <w:tcPr>
            <w:tcW w:w="606" w:type="pct"/>
            <w:shd w:val="clear" w:color="auto" w:fill="auto"/>
            <w:vAlign w:val="bottom"/>
          </w:tcPr>
          <w:p w14:paraId="6A2A7E37" w14:textId="77777777" w:rsidR="00FE3A14" w:rsidRPr="00762D1F" w:rsidRDefault="00FE3A14" w:rsidP="00762D1F">
            <w:pPr>
              <w:widowControl w:val="0"/>
              <w:pBdr>
                <w:top w:val="nil"/>
                <w:left w:val="nil"/>
                <w:bottom w:val="nil"/>
                <w:right w:val="nil"/>
                <w:between w:val="nil"/>
              </w:pBdr>
              <w:jc w:val="right"/>
              <w:rPr>
                <w:color w:val="000000"/>
              </w:rPr>
            </w:pPr>
          </w:p>
        </w:tc>
        <w:tc>
          <w:tcPr>
            <w:tcW w:w="606" w:type="pct"/>
            <w:vAlign w:val="bottom"/>
          </w:tcPr>
          <w:p w14:paraId="7B38FFAF" w14:textId="77777777" w:rsidR="00FE3A14" w:rsidRPr="00762D1F" w:rsidRDefault="00FE3A14" w:rsidP="00762D1F">
            <w:pPr>
              <w:widowControl w:val="0"/>
              <w:pBdr>
                <w:top w:val="nil"/>
                <w:left w:val="nil"/>
                <w:bottom w:val="nil"/>
                <w:right w:val="nil"/>
                <w:between w:val="nil"/>
              </w:pBdr>
              <w:jc w:val="right"/>
              <w:rPr>
                <w:color w:val="000000"/>
              </w:rPr>
            </w:pPr>
          </w:p>
        </w:tc>
        <w:tc>
          <w:tcPr>
            <w:tcW w:w="605" w:type="pct"/>
            <w:shd w:val="clear" w:color="auto" w:fill="auto"/>
            <w:vAlign w:val="bottom"/>
          </w:tcPr>
          <w:p w14:paraId="54B5D881" w14:textId="77777777" w:rsidR="00FE3A14" w:rsidRPr="00762D1F" w:rsidRDefault="00FE3A14" w:rsidP="00762D1F">
            <w:pPr>
              <w:widowControl w:val="0"/>
              <w:pBdr>
                <w:top w:val="nil"/>
                <w:left w:val="nil"/>
                <w:bottom w:val="nil"/>
                <w:right w:val="nil"/>
                <w:between w:val="nil"/>
              </w:pBdr>
              <w:jc w:val="right"/>
              <w:rPr>
                <w:color w:val="000000"/>
              </w:rPr>
            </w:pPr>
          </w:p>
        </w:tc>
      </w:tr>
      <w:tr w:rsidR="00D83E33" w:rsidRPr="00762D1F" w14:paraId="7F202A68" w14:textId="77777777" w:rsidTr="001B330E">
        <w:trPr>
          <w:trHeight w:val="23"/>
        </w:trPr>
        <w:tc>
          <w:tcPr>
            <w:tcW w:w="1971" w:type="pct"/>
            <w:shd w:val="clear" w:color="auto" w:fill="auto"/>
            <w:vAlign w:val="bottom"/>
          </w:tcPr>
          <w:p w14:paraId="571745C3"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Excellent</w:t>
            </w:r>
          </w:p>
        </w:tc>
        <w:tc>
          <w:tcPr>
            <w:tcW w:w="606" w:type="pct"/>
            <w:shd w:val="clear" w:color="auto" w:fill="auto"/>
            <w:vAlign w:val="bottom"/>
          </w:tcPr>
          <w:p w14:paraId="32DC31D7"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70E37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D233D4"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501B1452"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9E7727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B66772C" w14:textId="77777777" w:rsidTr="001B330E">
        <w:trPr>
          <w:trHeight w:val="23"/>
        </w:trPr>
        <w:tc>
          <w:tcPr>
            <w:tcW w:w="1971" w:type="pct"/>
            <w:shd w:val="clear" w:color="auto" w:fill="auto"/>
            <w:vAlign w:val="bottom"/>
          </w:tcPr>
          <w:p w14:paraId="1007C16F"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Good</w:t>
            </w:r>
          </w:p>
        </w:tc>
        <w:tc>
          <w:tcPr>
            <w:tcW w:w="606" w:type="pct"/>
            <w:shd w:val="clear" w:color="auto" w:fill="auto"/>
            <w:vAlign w:val="bottom"/>
          </w:tcPr>
          <w:p w14:paraId="1494774C"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B16C6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97DA46"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379D6DC5"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D88FD3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68E73CC" w14:textId="77777777" w:rsidTr="001B330E">
        <w:trPr>
          <w:trHeight w:val="23"/>
        </w:trPr>
        <w:tc>
          <w:tcPr>
            <w:tcW w:w="1971" w:type="pct"/>
            <w:shd w:val="clear" w:color="auto" w:fill="auto"/>
            <w:vAlign w:val="bottom"/>
          </w:tcPr>
          <w:p w14:paraId="24F6D789"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Satisfactory</w:t>
            </w:r>
          </w:p>
        </w:tc>
        <w:tc>
          <w:tcPr>
            <w:tcW w:w="606" w:type="pct"/>
            <w:shd w:val="clear" w:color="auto" w:fill="auto"/>
            <w:vAlign w:val="bottom"/>
          </w:tcPr>
          <w:p w14:paraId="2CB762AF"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251AB18"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1D7130"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1E8C247E"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160B86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11B0B57" w14:textId="77777777" w:rsidTr="001B330E">
        <w:trPr>
          <w:trHeight w:val="23"/>
        </w:trPr>
        <w:tc>
          <w:tcPr>
            <w:tcW w:w="1971" w:type="pct"/>
            <w:shd w:val="clear" w:color="auto" w:fill="auto"/>
            <w:vAlign w:val="bottom"/>
          </w:tcPr>
          <w:p w14:paraId="51FD3E0A"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Special monitoring</w:t>
            </w:r>
          </w:p>
        </w:tc>
        <w:tc>
          <w:tcPr>
            <w:tcW w:w="606" w:type="pct"/>
            <w:shd w:val="clear" w:color="auto" w:fill="auto"/>
            <w:vAlign w:val="bottom"/>
          </w:tcPr>
          <w:p w14:paraId="7B41DE6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8FEB871"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EF68D68"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639BBE1F"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8D9A85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FCC3D7F" w14:textId="77777777" w:rsidTr="001B330E">
        <w:trPr>
          <w:trHeight w:val="23"/>
        </w:trPr>
        <w:tc>
          <w:tcPr>
            <w:tcW w:w="1971" w:type="pct"/>
            <w:shd w:val="clear" w:color="auto" w:fill="auto"/>
            <w:vAlign w:val="bottom"/>
          </w:tcPr>
          <w:p w14:paraId="058EA8E7" w14:textId="77777777" w:rsidR="00D83E33" w:rsidRPr="00762D1F" w:rsidRDefault="00BC4072">
            <w:pPr>
              <w:widowControl w:val="0"/>
              <w:pBdr>
                <w:top w:val="nil"/>
                <w:left w:val="nil"/>
                <w:bottom w:val="nil"/>
                <w:right w:val="nil"/>
                <w:between w:val="nil"/>
              </w:pBdr>
              <w:ind w:left="113" w:hanging="113"/>
              <w:rPr>
                <w:color w:val="0000FF"/>
              </w:rPr>
            </w:pPr>
            <w:r w:rsidRPr="00762D1F">
              <w:rPr>
                <w:color w:val="000000"/>
              </w:rPr>
              <w:t>- Default</w:t>
            </w:r>
          </w:p>
        </w:tc>
        <w:tc>
          <w:tcPr>
            <w:tcW w:w="606" w:type="pct"/>
            <w:shd w:val="clear" w:color="auto" w:fill="auto"/>
            <w:vAlign w:val="bottom"/>
          </w:tcPr>
          <w:p w14:paraId="4CF2646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02E1D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B9F2A49"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1425EDF1"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E25EB9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666B496" w14:textId="77777777" w:rsidTr="001B330E">
        <w:trPr>
          <w:trHeight w:val="23"/>
        </w:trPr>
        <w:tc>
          <w:tcPr>
            <w:tcW w:w="1971" w:type="pct"/>
            <w:tcBorders>
              <w:bottom w:val="single" w:sz="4" w:space="0" w:color="000000"/>
            </w:tcBorders>
            <w:shd w:val="clear" w:color="auto" w:fill="auto"/>
            <w:vAlign w:val="bottom"/>
          </w:tcPr>
          <w:p w14:paraId="39602713"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8C7D9FF" w14:textId="77777777" w:rsidR="00D83E33" w:rsidRPr="00762D1F" w:rsidRDefault="00D83E33">
            <w:pPr>
              <w:widowControl w:val="0"/>
              <w:pBdr>
                <w:top w:val="nil"/>
                <w:left w:val="nil"/>
                <w:bottom w:val="nil"/>
                <w:right w:val="nil"/>
                <w:between w:val="nil"/>
              </w:pBdr>
              <w:rPr>
                <w:color w:val="000000"/>
              </w:rPr>
            </w:pPr>
          </w:p>
        </w:tc>
        <w:tc>
          <w:tcPr>
            <w:tcW w:w="606" w:type="pct"/>
            <w:tcBorders>
              <w:bottom w:val="single" w:sz="4" w:space="0" w:color="000000"/>
            </w:tcBorders>
            <w:vAlign w:val="bottom"/>
          </w:tcPr>
          <w:p w14:paraId="6602DA2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6783E86"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E03562D"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010DB85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FEC6EE6" w14:textId="77777777" w:rsidTr="001B330E">
        <w:trPr>
          <w:trHeight w:val="23"/>
        </w:trPr>
        <w:tc>
          <w:tcPr>
            <w:tcW w:w="1971" w:type="pct"/>
            <w:tcBorders>
              <w:top w:val="single" w:sz="4" w:space="0" w:color="000000"/>
            </w:tcBorders>
            <w:shd w:val="clear" w:color="auto" w:fill="auto"/>
            <w:vAlign w:val="bottom"/>
          </w:tcPr>
          <w:p w14:paraId="2D2A8814"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3B3455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F77B52B"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E6E0857"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E42C3A6"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258B38A"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88E298E" w14:textId="77777777" w:rsidTr="001B330E">
        <w:trPr>
          <w:trHeight w:val="23"/>
        </w:trPr>
        <w:tc>
          <w:tcPr>
            <w:tcW w:w="1971" w:type="pct"/>
            <w:shd w:val="clear" w:color="auto" w:fill="auto"/>
            <w:vAlign w:val="bottom"/>
          </w:tcPr>
          <w:p w14:paraId="5C676F7B"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Gross carrying amount</w:t>
            </w:r>
          </w:p>
        </w:tc>
        <w:tc>
          <w:tcPr>
            <w:tcW w:w="606" w:type="pct"/>
            <w:vAlign w:val="bottom"/>
          </w:tcPr>
          <w:p w14:paraId="072C9A54"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5529376B"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93FF8D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639F1FA"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804BB3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4F70AA3" w14:textId="77777777" w:rsidTr="001B330E">
        <w:trPr>
          <w:trHeight w:val="23"/>
        </w:trPr>
        <w:tc>
          <w:tcPr>
            <w:tcW w:w="1971" w:type="pct"/>
            <w:tcBorders>
              <w:bottom w:val="single" w:sz="4" w:space="0" w:color="000000"/>
            </w:tcBorders>
            <w:shd w:val="clear" w:color="auto" w:fill="auto"/>
            <w:vAlign w:val="bottom"/>
          </w:tcPr>
          <w:p w14:paraId="00DD15DD"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C9C7AB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A1C26C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50982DC"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8EDD31D"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36C8EB48"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ADF037B" w14:textId="77777777" w:rsidTr="001B330E">
        <w:trPr>
          <w:trHeight w:val="23"/>
        </w:trPr>
        <w:tc>
          <w:tcPr>
            <w:tcW w:w="1971" w:type="pct"/>
            <w:tcBorders>
              <w:top w:val="single" w:sz="4" w:space="0" w:color="000000"/>
            </w:tcBorders>
            <w:shd w:val="clear" w:color="auto" w:fill="auto"/>
            <w:vAlign w:val="bottom"/>
          </w:tcPr>
          <w:p w14:paraId="245FF51F"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04B5AF1"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5EC774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BA8298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D4DA78A"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772112E6"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7583A02" w14:textId="77777777" w:rsidTr="001B330E">
        <w:trPr>
          <w:trHeight w:val="23"/>
        </w:trPr>
        <w:tc>
          <w:tcPr>
            <w:tcW w:w="1971" w:type="pct"/>
            <w:shd w:val="clear" w:color="auto" w:fill="auto"/>
            <w:vAlign w:val="bottom"/>
          </w:tcPr>
          <w:p w14:paraId="68955E52"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Credit loss allowance</w:t>
            </w:r>
          </w:p>
        </w:tc>
        <w:tc>
          <w:tcPr>
            <w:tcW w:w="606" w:type="pct"/>
            <w:vAlign w:val="bottom"/>
          </w:tcPr>
          <w:p w14:paraId="45506B6C"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3935DCD6"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65C5F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68BF30"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E7B9D8E"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50BD4DC0" w14:textId="77777777" w:rsidTr="001B330E">
        <w:trPr>
          <w:trHeight w:val="23"/>
        </w:trPr>
        <w:tc>
          <w:tcPr>
            <w:tcW w:w="1971" w:type="pct"/>
            <w:shd w:val="clear" w:color="auto" w:fill="auto"/>
            <w:vAlign w:val="bottom"/>
          </w:tcPr>
          <w:p w14:paraId="0EB64E60"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vAlign w:val="bottom"/>
          </w:tcPr>
          <w:p w14:paraId="02E95EDE"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4DE921A5"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BC9D3A"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E85BDC"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E19040D"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E3E8BD7" w14:textId="77777777" w:rsidTr="001B330E">
        <w:trPr>
          <w:trHeight w:val="23"/>
        </w:trPr>
        <w:tc>
          <w:tcPr>
            <w:tcW w:w="1971" w:type="pct"/>
            <w:tcBorders>
              <w:top w:val="single" w:sz="4" w:space="0" w:color="000000"/>
            </w:tcBorders>
            <w:shd w:val="clear" w:color="auto" w:fill="auto"/>
            <w:vAlign w:val="bottom"/>
          </w:tcPr>
          <w:p w14:paraId="095C8F4D"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EF23A90"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DBD8BF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BB0556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6C95138"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43DB467"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7F1B8869" w14:textId="77777777" w:rsidTr="001B330E">
        <w:trPr>
          <w:trHeight w:val="23"/>
        </w:trPr>
        <w:tc>
          <w:tcPr>
            <w:tcW w:w="1971" w:type="pct"/>
            <w:shd w:val="clear" w:color="auto" w:fill="auto"/>
            <w:vAlign w:val="bottom"/>
          </w:tcPr>
          <w:p w14:paraId="50878854"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Carrying amount</w:t>
            </w:r>
          </w:p>
        </w:tc>
        <w:tc>
          <w:tcPr>
            <w:tcW w:w="606" w:type="pct"/>
            <w:vAlign w:val="bottom"/>
          </w:tcPr>
          <w:p w14:paraId="7A85D475"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vAlign w:val="bottom"/>
          </w:tcPr>
          <w:p w14:paraId="7B34737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3E1929"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5802A7"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66A8274"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06FE4F9" w14:textId="77777777" w:rsidTr="001B330E">
        <w:trPr>
          <w:trHeight w:val="23"/>
        </w:trPr>
        <w:tc>
          <w:tcPr>
            <w:tcW w:w="1971" w:type="pct"/>
            <w:tcBorders>
              <w:bottom w:val="single" w:sz="12" w:space="0" w:color="000000"/>
            </w:tcBorders>
            <w:shd w:val="clear" w:color="auto" w:fill="auto"/>
            <w:vAlign w:val="bottom"/>
          </w:tcPr>
          <w:p w14:paraId="5E4D100A"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4D6D3F0D" w14:textId="77777777" w:rsidR="00D83E33" w:rsidRPr="00762D1F"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318B361"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5A6926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24ACD70"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7AB8039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8520498" w14:textId="77777777" w:rsidTr="001B330E">
        <w:trPr>
          <w:trHeight w:val="23"/>
        </w:trPr>
        <w:tc>
          <w:tcPr>
            <w:tcW w:w="1971" w:type="pct"/>
            <w:tcBorders>
              <w:top w:val="single" w:sz="4" w:space="0" w:color="000000"/>
            </w:tcBorders>
            <w:shd w:val="clear" w:color="auto" w:fill="auto"/>
            <w:vAlign w:val="bottom"/>
          </w:tcPr>
          <w:p w14:paraId="5FAFE1D2" w14:textId="77777777" w:rsidR="00D83E33" w:rsidRPr="00762D1F"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shd w:val="clear" w:color="auto" w:fill="auto"/>
            <w:vAlign w:val="bottom"/>
          </w:tcPr>
          <w:p w14:paraId="79772C6C"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BF02F8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85D5265"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F2ED79E"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331283AB"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BCD0746" w14:textId="77777777" w:rsidTr="001B330E">
        <w:trPr>
          <w:trHeight w:val="23"/>
        </w:trPr>
        <w:tc>
          <w:tcPr>
            <w:tcW w:w="1971" w:type="pct"/>
            <w:shd w:val="clear" w:color="auto" w:fill="auto"/>
            <w:vAlign w:val="bottom"/>
          </w:tcPr>
          <w:p w14:paraId="2D873461"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Total investments in debt securities measured at AC (gross carrying amount)</w:t>
            </w:r>
          </w:p>
        </w:tc>
        <w:tc>
          <w:tcPr>
            <w:tcW w:w="606" w:type="pct"/>
            <w:shd w:val="clear" w:color="auto" w:fill="auto"/>
            <w:vAlign w:val="bottom"/>
          </w:tcPr>
          <w:p w14:paraId="36F13C10"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F9A0EF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3C51A7"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09153130"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D0CB6C9"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391A3130" w14:textId="77777777" w:rsidTr="001B330E">
        <w:trPr>
          <w:trHeight w:val="23"/>
        </w:trPr>
        <w:tc>
          <w:tcPr>
            <w:tcW w:w="1971" w:type="pct"/>
            <w:tcBorders>
              <w:bottom w:val="single" w:sz="4" w:space="0" w:color="000000"/>
            </w:tcBorders>
            <w:shd w:val="clear" w:color="auto" w:fill="auto"/>
            <w:vAlign w:val="bottom"/>
          </w:tcPr>
          <w:p w14:paraId="439CE27E"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 </w:t>
            </w:r>
          </w:p>
        </w:tc>
        <w:tc>
          <w:tcPr>
            <w:tcW w:w="606" w:type="pct"/>
            <w:tcBorders>
              <w:bottom w:val="single" w:sz="4" w:space="0" w:color="000000"/>
            </w:tcBorders>
            <w:shd w:val="clear" w:color="auto" w:fill="auto"/>
            <w:vAlign w:val="bottom"/>
          </w:tcPr>
          <w:p w14:paraId="74A9E25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45D63B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DC77F8D"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9755222"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54DCE3C0"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27496C7F" w14:textId="77777777" w:rsidTr="001B330E">
        <w:trPr>
          <w:trHeight w:val="23"/>
        </w:trPr>
        <w:tc>
          <w:tcPr>
            <w:tcW w:w="1971" w:type="pct"/>
            <w:tcBorders>
              <w:top w:val="single" w:sz="4" w:space="0" w:color="000000"/>
            </w:tcBorders>
            <w:shd w:val="clear" w:color="auto" w:fill="auto"/>
            <w:vAlign w:val="bottom"/>
          </w:tcPr>
          <w:p w14:paraId="3CDDE29E" w14:textId="77777777" w:rsidR="00D83E33" w:rsidRPr="00762D1F" w:rsidRDefault="00BC4072">
            <w:pPr>
              <w:widowControl w:val="0"/>
              <w:pBdr>
                <w:top w:val="nil"/>
                <w:left w:val="nil"/>
                <w:bottom w:val="nil"/>
                <w:right w:val="nil"/>
                <w:between w:val="nil"/>
              </w:pBdr>
              <w:ind w:left="113" w:hanging="113"/>
              <w:rPr>
                <w:color w:val="000000"/>
              </w:rPr>
            </w:pPr>
            <w:r w:rsidRPr="00762D1F">
              <w:rPr>
                <w:b/>
                <w:color w:val="000000"/>
              </w:rPr>
              <w:t> </w:t>
            </w:r>
          </w:p>
        </w:tc>
        <w:tc>
          <w:tcPr>
            <w:tcW w:w="606" w:type="pct"/>
            <w:tcBorders>
              <w:top w:val="single" w:sz="4" w:space="0" w:color="000000"/>
            </w:tcBorders>
            <w:shd w:val="clear" w:color="auto" w:fill="auto"/>
            <w:vAlign w:val="bottom"/>
          </w:tcPr>
          <w:p w14:paraId="274B9B9F"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A9DDC89"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52228F8"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A8A8A95"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2FF363D3"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6EEB2FD1" w14:textId="77777777" w:rsidTr="001B330E">
        <w:trPr>
          <w:trHeight w:val="23"/>
        </w:trPr>
        <w:tc>
          <w:tcPr>
            <w:tcW w:w="1971" w:type="pct"/>
            <w:shd w:val="clear" w:color="auto" w:fill="auto"/>
            <w:vAlign w:val="bottom"/>
          </w:tcPr>
          <w:p w14:paraId="46D40B9E" w14:textId="77777777" w:rsidR="00D83E33" w:rsidRPr="00762D1F" w:rsidRDefault="00BC4072">
            <w:pPr>
              <w:widowControl w:val="0"/>
              <w:pBdr>
                <w:top w:val="nil"/>
                <w:left w:val="nil"/>
                <w:bottom w:val="nil"/>
                <w:right w:val="nil"/>
                <w:between w:val="nil"/>
              </w:pBdr>
              <w:ind w:left="113" w:hanging="113"/>
              <w:rPr>
                <w:color w:val="000000"/>
              </w:rPr>
            </w:pPr>
            <w:r w:rsidRPr="00762D1F">
              <w:rPr>
                <w:b/>
                <w:color w:val="000000"/>
              </w:rPr>
              <w:t>Credit loss allowance</w:t>
            </w:r>
          </w:p>
        </w:tc>
        <w:tc>
          <w:tcPr>
            <w:tcW w:w="606" w:type="pct"/>
            <w:shd w:val="clear" w:color="auto" w:fill="auto"/>
            <w:vAlign w:val="bottom"/>
          </w:tcPr>
          <w:p w14:paraId="4FCE912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A450F3"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C25FCE"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1FE24066"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5CD455F"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05B0C502" w14:textId="77777777" w:rsidTr="001B330E">
        <w:trPr>
          <w:trHeight w:val="23"/>
        </w:trPr>
        <w:tc>
          <w:tcPr>
            <w:tcW w:w="1971" w:type="pct"/>
            <w:shd w:val="clear" w:color="auto" w:fill="auto"/>
            <w:vAlign w:val="bottom"/>
          </w:tcPr>
          <w:p w14:paraId="4F964AC1"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w:t>
            </w:r>
          </w:p>
        </w:tc>
        <w:tc>
          <w:tcPr>
            <w:tcW w:w="606" w:type="pct"/>
            <w:shd w:val="clear" w:color="auto" w:fill="auto"/>
            <w:vAlign w:val="bottom"/>
          </w:tcPr>
          <w:p w14:paraId="53BEA242"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63972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AA1FC3"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4F9153F4"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54EA8DC"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92F1BB4" w14:textId="77777777" w:rsidTr="001B330E">
        <w:trPr>
          <w:trHeight w:val="23"/>
        </w:trPr>
        <w:tc>
          <w:tcPr>
            <w:tcW w:w="1971" w:type="pct"/>
            <w:tcBorders>
              <w:top w:val="single" w:sz="4" w:space="0" w:color="000000"/>
            </w:tcBorders>
            <w:shd w:val="clear" w:color="auto" w:fill="auto"/>
            <w:vAlign w:val="bottom"/>
          </w:tcPr>
          <w:p w14:paraId="6982A355"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w:t>
            </w:r>
          </w:p>
        </w:tc>
        <w:tc>
          <w:tcPr>
            <w:tcW w:w="606" w:type="pct"/>
            <w:tcBorders>
              <w:top w:val="single" w:sz="4" w:space="0" w:color="000000"/>
            </w:tcBorders>
            <w:shd w:val="clear" w:color="auto" w:fill="auto"/>
            <w:vAlign w:val="bottom"/>
          </w:tcPr>
          <w:p w14:paraId="53C0EA44"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AE80C3E"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32A82B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0E45D73"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3E1D181"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1259FF2D" w14:textId="77777777" w:rsidTr="001B330E">
        <w:trPr>
          <w:trHeight w:val="23"/>
        </w:trPr>
        <w:tc>
          <w:tcPr>
            <w:tcW w:w="1971" w:type="pct"/>
            <w:shd w:val="clear" w:color="auto" w:fill="auto"/>
            <w:vAlign w:val="bottom"/>
          </w:tcPr>
          <w:p w14:paraId="2F469A10" w14:textId="77777777" w:rsidR="00D83E33" w:rsidRPr="00762D1F" w:rsidRDefault="00BC4072">
            <w:pPr>
              <w:widowControl w:val="0"/>
              <w:pBdr>
                <w:top w:val="nil"/>
                <w:left w:val="nil"/>
                <w:bottom w:val="nil"/>
                <w:right w:val="nil"/>
                <w:between w:val="nil"/>
              </w:pBdr>
              <w:ind w:left="113" w:hanging="113"/>
              <w:rPr>
                <w:b/>
                <w:color w:val="000000"/>
              </w:rPr>
            </w:pPr>
            <w:r w:rsidRPr="00762D1F">
              <w:rPr>
                <w:b/>
                <w:color w:val="000000"/>
              </w:rPr>
              <w:t>Total investments in debt securities measured at AC (carrying amount)</w:t>
            </w:r>
          </w:p>
        </w:tc>
        <w:tc>
          <w:tcPr>
            <w:tcW w:w="606" w:type="pct"/>
            <w:shd w:val="clear" w:color="auto" w:fill="auto"/>
            <w:vAlign w:val="bottom"/>
          </w:tcPr>
          <w:p w14:paraId="42913134"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719661D" w14:textId="77777777" w:rsidR="00D83E33" w:rsidRPr="00762D1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46F58A8" w14:textId="77777777" w:rsidR="00D83E33" w:rsidRPr="00762D1F" w:rsidRDefault="00D83E33">
            <w:pPr>
              <w:widowControl w:val="0"/>
              <w:pBdr>
                <w:top w:val="nil"/>
                <w:left w:val="nil"/>
                <w:bottom w:val="nil"/>
                <w:right w:val="nil"/>
                <w:between w:val="nil"/>
              </w:pBdr>
              <w:jc w:val="right"/>
              <w:rPr>
                <w:color w:val="000000"/>
              </w:rPr>
            </w:pPr>
          </w:p>
        </w:tc>
        <w:tc>
          <w:tcPr>
            <w:tcW w:w="606" w:type="pct"/>
            <w:vAlign w:val="bottom"/>
          </w:tcPr>
          <w:p w14:paraId="3EA8CAA5" w14:textId="77777777" w:rsidR="00D83E33" w:rsidRPr="00762D1F"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C72FCD2" w14:textId="77777777" w:rsidR="00D83E33" w:rsidRPr="00762D1F" w:rsidRDefault="00D83E33">
            <w:pPr>
              <w:widowControl w:val="0"/>
              <w:pBdr>
                <w:top w:val="nil"/>
                <w:left w:val="nil"/>
                <w:bottom w:val="nil"/>
                <w:right w:val="nil"/>
                <w:between w:val="nil"/>
              </w:pBdr>
              <w:jc w:val="right"/>
              <w:rPr>
                <w:color w:val="000000"/>
              </w:rPr>
            </w:pPr>
          </w:p>
        </w:tc>
      </w:tr>
      <w:tr w:rsidR="00D83E33" w:rsidRPr="00762D1F" w14:paraId="41A8C87B" w14:textId="77777777" w:rsidTr="001B330E">
        <w:trPr>
          <w:trHeight w:val="23"/>
        </w:trPr>
        <w:tc>
          <w:tcPr>
            <w:tcW w:w="1971" w:type="pct"/>
            <w:tcBorders>
              <w:bottom w:val="single" w:sz="12" w:space="0" w:color="000000"/>
            </w:tcBorders>
            <w:shd w:val="clear" w:color="auto" w:fill="auto"/>
            <w:vAlign w:val="bottom"/>
          </w:tcPr>
          <w:p w14:paraId="219F10A1" w14:textId="77777777" w:rsidR="00D83E33" w:rsidRPr="00762D1F" w:rsidRDefault="00BC4072">
            <w:pPr>
              <w:widowControl w:val="0"/>
              <w:pBdr>
                <w:top w:val="nil"/>
                <w:left w:val="nil"/>
                <w:bottom w:val="nil"/>
                <w:right w:val="nil"/>
                <w:between w:val="nil"/>
              </w:pBdr>
              <w:ind w:left="113" w:hanging="113"/>
              <w:rPr>
                <w:color w:val="000000"/>
              </w:rPr>
            </w:pPr>
            <w:r w:rsidRPr="00762D1F">
              <w:rPr>
                <w:color w:val="000000"/>
              </w:rPr>
              <w:t> </w:t>
            </w:r>
          </w:p>
        </w:tc>
        <w:tc>
          <w:tcPr>
            <w:tcW w:w="606" w:type="pct"/>
            <w:tcBorders>
              <w:bottom w:val="single" w:sz="12" w:space="0" w:color="000000"/>
            </w:tcBorders>
            <w:shd w:val="clear" w:color="auto" w:fill="auto"/>
            <w:vAlign w:val="bottom"/>
          </w:tcPr>
          <w:p w14:paraId="6E4DBB90"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72183AA"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BC4F072" w14:textId="77777777" w:rsidR="00D83E33" w:rsidRPr="00762D1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6D48F72A" w14:textId="77777777" w:rsidR="00D83E33" w:rsidRPr="00762D1F"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233EF77A" w14:textId="77777777" w:rsidR="00D83E33" w:rsidRPr="00762D1F" w:rsidRDefault="00D83E33">
            <w:pPr>
              <w:widowControl w:val="0"/>
              <w:pBdr>
                <w:top w:val="nil"/>
                <w:left w:val="nil"/>
                <w:bottom w:val="nil"/>
                <w:right w:val="nil"/>
                <w:between w:val="nil"/>
              </w:pBdr>
              <w:jc w:val="right"/>
              <w:rPr>
                <w:color w:val="000000"/>
              </w:rPr>
            </w:pPr>
          </w:p>
        </w:tc>
      </w:tr>
    </w:tbl>
    <w:p w14:paraId="795E4D3D" w14:textId="13CCF269"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The debt securities at AC as at 31</w:t>
      </w:r>
      <w:r w:rsidR="00181687">
        <w:rPr>
          <w:color w:val="000000"/>
          <w:sz w:val="20"/>
          <w:szCs w:val="20"/>
        </w:rPr>
        <w:t> December </w:t>
      </w:r>
      <w:r w:rsidR="00541EBC">
        <w:rPr>
          <w:color w:val="000000"/>
          <w:sz w:val="20"/>
          <w:szCs w:val="20"/>
        </w:rPr>
        <w:t>2024</w:t>
      </w:r>
      <w:r>
        <w:rPr>
          <w:color w:val="000000"/>
          <w:sz w:val="20"/>
          <w:szCs w:val="20"/>
        </w:rPr>
        <w:t xml:space="preserve"> are not collateralised (</w:t>
      </w:r>
      <w:r w:rsidR="00541EBC">
        <w:rPr>
          <w:color w:val="000000"/>
          <w:sz w:val="20"/>
          <w:szCs w:val="20"/>
        </w:rPr>
        <w:t>2023</w:t>
      </w:r>
      <w:r>
        <w:rPr>
          <w:color w:val="000000"/>
          <w:sz w:val="20"/>
          <w:szCs w:val="20"/>
        </w:rPr>
        <w:t xml:space="preserve">: not collateralised). </w:t>
      </w:r>
      <w:r>
        <w:rPr>
          <w:i/>
          <w:color w:val="FF0000"/>
          <w:sz w:val="20"/>
          <w:szCs w:val="20"/>
        </w:rPr>
        <w:t>[Otherwise disclose information about collateral as in Note 11 on loans and advances.]</w:t>
      </w:r>
    </w:p>
    <w:p w14:paraId="0A67A851" w14:textId="3CDD3A9D" w:rsidR="00C32E7C" w:rsidRPr="00372E26" w:rsidRDefault="00C32E7C">
      <w:pPr>
        <w:widowControl w:val="0"/>
        <w:pBdr>
          <w:top w:val="nil"/>
          <w:left w:val="nil"/>
          <w:bottom w:val="nil"/>
          <w:right w:val="nil"/>
          <w:between w:val="nil"/>
        </w:pBdr>
        <w:spacing w:before="200" w:after="200"/>
        <w:jc w:val="both"/>
        <w:rPr>
          <w:color w:val="000000"/>
          <w:sz w:val="20"/>
          <w:szCs w:val="20"/>
        </w:rPr>
      </w:pPr>
      <w:r>
        <w:rPr>
          <w:color w:val="000000"/>
          <w:sz w:val="20"/>
          <w:szCs w:val="20"/>
        </w:rPr>
        <w:t>At 31 December </w:t>
      </w:r>
      <w:r w:rsidR="00541EBC">
        <w:rPr>
          <w:color w:val="000000"/>
          <w:sz w:val="20"/>
          <w:szCs w:val="20"/>
        </w:rPr>
        <w:t>2024</w:t>
      </w:r>
      <w:r>
        <w:rPr>
          <w:color w:val="000000"/>
          <w:sz w:val="20"/>
          <w:szCs w:val="20"/>
        </w:rPr>
        <w:t xml:space="preserve"> debt securities at AC with a carrying value of EUR ____ thousand have been pledged to third parties as collateral with respect to term placements of other banks and other borrowed funds (</w:t>
      </w:r>
      <w:r w:rsidR="00541EBC">
        <w:rPr>
          <w:color w:val="000000"/>
          <w:sz w:val="20"/>
          <w:szCs w:val="20"/>
        </w:rPr>
        <w:t>2023</w:t>
      </w:r>
      <w:r>
        <w:rPr>
          <w:color w:val="000000"/>
          <w:sz w:val="20"/>
          <w:szCs w:val="20"/>
        </w:rPr>
        <w:t xml:space="preserve">: ____ thousand). Refer to Notes 21 and 24. The counterparty is not allowed to sell further or repledge the investments. </w:t>
      </w:r>
      <w:r>
        <w:rPr>
          <w:i/>
          <w:color w:val="FF0000"/>
          <w:sz w:val="20"/>
          <w:szCs w:val="20"/>
        </w:rPr>
        <w:t>[Otherwise reclassify as required by IFRS 9.3.2.23(a)]</w:t>
      </w:r>
      <w:r>
        <w:rPr>
          <w:color w:val="FF0000"/>
          <w:sz w:val="20"/>
          <w:szCs w:val="20"/>
        </w:rPr>
        <w:t>.</w:t>
      </w:r>
    </w:p>
    <w:p w14:paraId="31C61D71" w14:textId="149E1047" w:rsidR="00D83E33" w:rsidRDefault="00BC4072" w:rsidP="001B330E">
      <w:pPr>
        <w:pStyle w:val="Continued"/>
      </w:pPr>
      <w:r>
        <w:lastRenderedPageBreak/>
        <w:t>9</w:t>
      </w:r>
      <w:r>
        <w:tab/>
        <w:t>Investments in Debt Securities (Continued)</w:t>
      </w:r>
    </w:p>
    <w:p w14:paraId="7BBF51CD" w14:textId="57CBA8D8" w:rsidR="00C32E7C" w:rsidRDefault="00C32E7C" w:rsidP="00C32E7C">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carrying amount of </w:t>
      </w:r>
      <w:r>
        <w:rPr>
          <w:color w:val="0000FF"/>
          <w:sz w:val="20"/>
          <w:szCs w:val="20"/>
        </w:rPr>
        <w:t>[</w:t>
      </w:r>
      <w:r w:rsidR="00372E26">
        <w:rPr>
          <w:color w:val="0000FF"/>
          <w:sz w:val="20"/>
          <w:szCs w:val="20"/>
        </w:rPr>
        <w:t>[Country]</w:t>
      </w:r>
      <w:r>
        <w:rPr>
          <w:color w:val="0000FF"/>
          <w:sz w:val="20"/>
          <w:szCs w:val="20"/>
        </w:rPr>
        <w:t xml:space="preserve"> government bonds at AC]</w:t>
      </w:r>
      <w:r>
        <w:rPr>
          <w:color w:val="000000"/>
          <w:sz w:val="20"/>
          <w:szCs w:val="20"/>
        </w:rPr>
        <w:t xml:space="preserve"> were as follows: </w:t>
      </w:r>
    </w:p>
    <w:tbl>
      <w:tblPr>
        <w:tblStyle w:val="affa"/>
        <w:tblW w:w="5000" w:type="pct"/>
        <w:tblLayout w:type="fixed"/>
        <w:tblLook w:val="0000" w:firstRow="0" w:lastRow="0" w:firstColumn="0" w:lastColumn="0" w:noHBand="0" w:noVBand="0"/>
      </w:tblPr>
      <w:tblGrid>
        <w:gridCol w:w="2798"/>
        <w:gridCol w:w="883"/>
        <w:gridCol w:w="911"/>
        <w:gridCol w:w="891"/>
        <w:gridCol w:w="593"/>
        <w:gridCol w:w="906"/>
        <w:gridCol w:w="891"/>
        <w:gridCol w:w="891"/>
        <w:gridCol w:w="591"/>
      </w:tblGrid>
      <w:tr w:rsidR="005041C2" w:rsidRPr="00C32E7C" w14:paraId="05C72589" w14:textId="77777777" w:rsidTr="001B330E">
        <w:trPr>
          <w:trHeight w:val="23"/>
        </w:trPr>
        <w:tc>
          <w:tcPr>
            <w:tcW w:w="1496" w:type="pct"/>
            <w:shd w:val="clear" w:color="auto" w:fill="auto"/>
            <w:vAlign w:val="bottom"/>
          </w:tcPr>
          <w:p w14:paraId="55A72CF1" w14:textId="77777777" w:rsidR="005041C2" w:rsidRPr="00372E26" w:rsidRDefault="005041C2" w:rsidP="001B330E">
            <w:pPr>
              <w:widowControl w:val="0"/>
              <w:pBdr>
                <w:top w:val="nil"/>
                <w:left w:val="nil"/>
                <w:bottom w:val="nil"/>
                <w:right w:val="nil"/>
                <w:between w:val="nil"/>
              </w:pBdr>
              <w:ind w:left="113" w:hanging="113"/>
              <w:rPr>
                <w:i/>
                <w:color w:val="000000"/>
              </w:rPr>
            </w:pPr>
          </w:p>
        </w:tc>
        <w:tc>
          <w:tcPr>
            <w:tcW w:w="1752" w:type="pct"/>
            <w:gridSpan w:val="4"/>
            <w:tcBorders>
              <w:bottom w:val="single" w:sz="4" w:space="0" w:color="000000"/>
            </w:tcBorders>
            <w:shd w:val="clear" w:color="auto" w:fill="auto"/>
          </w:tcPr>
          <w:p w14:paraId="09740873" w14:textId="77777777" w:rsidR="005041C2" w:rsidRPr="00372E26" w:rsidRDefault="005041C2" w:rsidP="001B330E">
            <w:pPr>
              <w:widowControl w:val="0"/>
              <w:pBdr>
                <w:top w:val="nil"/>
                <w:left w:val="nil"/>
                <w:bottom w:val="nil"/>
                <w:right w:val="nil"/>
                <w:between w:val="nil"/>
              </w:pBdr>
              <w:tabs>
                <w:tab w:val="left" w:pos="3182"/>
              </w:tabs>
              <w:jc w:val="center"/>
              <w:rPr>
                <w:b/>
                <w:color w:val="000000"/>
              </w:rPr>
            </w:pPr>
            <w:r w:rsidRPr="00372E26">
              <w:rPr>
                <w:b/>
                <w:color w:val="000000"/>
              </w:rPr>
              <w:t>Credit loss allowance</w:t>
            </w:r>
          </w:p>
        </w:tc>
        <w:tc>
          <w:tcPr>
            <w:tcW w:w="1752" w:type="pct"/>
            <w:gridSpan w:val="4"/>
            <w:tcBorders>
              <w:bottom w:val="single" w:sz="4" w:space="0" w:color="000000"/>
            </w:tcBorders>
          </w:tcPr>
          <w:p w14:paraId="7375B5AA" w14:textId="77777777" w:rsidR="005041C2" w:rsidRPr="00372E26" w:rsidRDefault="005041C2" w:rsidP="001B330E">
            <w:pPr>
              <w:widowControl w:val="0"/>
              <w:pBdr>
                <w:top w:val="nil"/>
                <w:left w:val="nil"/>
                <w:bottom w:val="nil"/>
                <w:right w:val="nil"/>
                <w:between w:val="nil"/>
              </w:pBdr>
              <w:jc w:val="center"/>
              <w:rPr>
                <w:b/>
                <w:color w:val="000000"/>
              </w:rPr>
            </w:pPr>
            <w:r w:rsidRPr="00372E26">
              <w:rPr>
                <w:b/>
                <w:color w:val="000000"/>
              </w:rPr>
              <w:t>Gross carrying amount</w:t>
            </w:r>
          </w:p>
        </w:tc>
      </w:tr>
      <w:tr w:rsidR="005041C2" w:rsidRPr="00C32E7C" w14:paraId="1CBAD7BC" w14:textId="77777777" w:rsidTr="001B330E">
        <w:trPr>
          <w:trHeight w:val="23"/>
        </w:trPr>
        <w:tc>
          <w:tcPr>
            <w:tcW w:w="1496" w:type="pct"/>
            <w:tcBorders>
              <w:bottom w:val="single" w:sz="4" w:space="0" w:color="000000"/>
            </w:tcBorders>
            <w:shd w:val="clear" w:color="auto" w:fill="auto"/>
            <w:vAlign w:val="bottom"/>
          </w:tcPr>
          <w:p w14:paraId="43F7A61A" w14:textId="77777777" w:rsidR="005041C2" w:rsidRPr="00372E26" w:rsidRDefault="005041C2" w:rsidP="001B330E">
            <w:pPr>
              <w:widowControl w:val="0"/>
              <w:pBdr>
                <w:top w:val="nil"/>
                <w:left w:val="nil"/>
                <w:bottom w:val="nil"/>
                <w:right w:val="nil"/>
                <w:between w:val="nil"/>
              </w:pBdr>
              <w:ind w:left="113" w:hanging="113"/>
              <w:rPr>
                <w:i/>
                <w:color w:val="000000"/>
              </w:rPr>
            </w:pPr>
          </w:p>
          <w:p w14:paraId="0EAC092B" w14:textId="714E156E" w:rsidR="005041C2" w:rsidRPr="00372E26" w:rsidRDefault="00313B4D" w:rsidP="001B330E">
            <w:pPr>
              <w:widowControl w:val="0"/>
              <w:pBdr>
                <w:top w:val="nil"/>
                <w:left w:val="nil"/>
                <w:bottom w:val="nil"/>
                <w:right w:val="nil"/>
                <w:between w:val="nil"/>
              </w:pBdr>
              <w:ind w:left="113" w:hanging="113"/>
              <w:rPr>
                <w:b/>
                <w:i/>
                <w:color w:val="000000"/>
              </w:rPr>
            </w:pPr>
            <w:r w:rsidRPr="00372E26">
              <w:rPr>
                <w:i/>
                <w:color w:val="000000"/>
              </w:rPr>
              <w:t xml:space="preserve">In thousands of </w:t>
            </w:r>
            <w:r w:rsidR="002649EE" w:rsidRPr="00372E26">
              <w:rPr>
                <w:i/>
                <w:color w:val="000000"/>
              </w:rPr>
              <w:t>EUR</w:t>
            </w:r>
          </w:p>
        </w:tc>
        <w:tc>
          <w:tcPr>
            <w:tcW w:w="472" w:type="pct"/>
            <w:tcBorders>
              <w:top w:val="single" w:sz="4" w:space="0" w:color="000000"/>
              <w:bottom w:val="single" w:sz="4" w:space="0" w:color="000000"/>
            </w:tcBorders>
            <w:shd w:val="clear" w:color="auto" w:fill="auto"/>
          </w:tcPr>
          <w:p w14:paraId="78E8624D"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Stage 1</w:t>
            </w:r>
          </w:p>
          <w:p w14:paraId="06102035" w14:textId="77777777" w:rsidR="005041C2" w:rsidRPr="00372E26" w:rsidRDefault="005041C2" w:rsidP="001B330E">
            <w:pPr>
              <w:widowControl w:val="0"/>
              <w:pBdr>
                <w:top w:val="nil"/>
                <w:left w:val="nil"/>
                <w:bottom w:val="nil"/>
                <w:right w:val="nil"/>
                <w:between w:val="nil"/>
              </w:pBdr>
              <w:ind w:left="-113" w:firstLine="142"/>
              <w:jc w:val="right"/>
              <w:rPr>
                <w:b/>
                <w:color w:val="000000"/>
              </w:rPr>
            </w:pPr>
            <w:r w:rsidRPr="00372E26">
              <w:rPr>
                <w:b/>
                <w:color w:val="000000"/>
              </w:rPr>
              <w:t>(12-months ECL)</w:t>
            </w:r>
          </w:p>
        </w:tc>
        <w:tc>
          <w:tcPr>
            <w:tcW w:w="487" w:type="pct"/>
            <w:tcBorders>
              <w:top w:val="single" w:sz="4" w:space="0" w:color="000000"/>
              <w:bottom w:val="single" w:sz="4" w:space="0" w:color="000000"/>
            </w:tcBorders>
            <w:shd w:val="clear" w:color="auto" w:fill="auto"/>
          </w:tcPr>
          <w:p w14:paraId="33B04B06"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Stage 2</w:t>
            </w:r>
          </w:p>
          <w:p w14:paraId="0D3B00BF" w14:textId="77469836"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(lifetime ECL for SICR)</w:t>
            </w:r>
          </w:p>
        </w:tc>
        <w:tc>
          <w:tcPr>
            <w:tcW w:w="476" w:type="pct"/>
            <w:tcBorders>
              <w:top w:val="single" w:sz="4" w:space="0" w:color="000000"/>
              <w:bottom w:val="single" w:sz="4" w:space="0" w:color="000000"/>
            </w:tcBorders>
            <w:shd w:val="clear" w:color="auto" w:fill="auto"/>
          </w:tcPr>
          <w:p w14:paraId="2B985184"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Stage 3</w:t>
            </w:r>
          </w:p>
          <w:p w14:paraId="0D7BFC4A"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(lifetime ECL for credit im-paired)</w:t>
            </w:r>
          </w:p>
        </w:tc>
        <w:tc>
          <w:tcPr>
            <w:tcW w:w="317" w:type="pct"/>
            <w:tcBorders>
              <w:top w:val="single" w:sz="4" w:space="0" w:color="000000"/>
              <w:bottom w:val="single" w:sz="4" w:space="0" w:color="000000"/>
            </w:tcBorders>
            <w:shd w:val="clear" w:color="auto" w:fill="auto"/>
          </w:tcPr>
          <w:p w14:paraId="688A535C"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Total</w:t>
            </w:r>
          </w:p>
        </w:tc>
        <w:tc>
          <w:tcPr>
            <w:tcW w:w="484" w:type="pct"/>
            <w:tcBorders>
              <w:top w:val="single" w:sz="4" w:space="0" w:color="000000"/>
              <w:bottom w:val="single" w:sz="4" w:space="0" w:color="000000"/>
            </w:tcBorders>
          </w:tcPr>
          <w:p w14:paraId="0BD7BB7C"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Stage 1</w:t>
            </w:r>
          </w:p>
          <w:p w14:paraId="6E404349"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(12-months ECL)</w:t>
            </w:r>
          </w:p>
        </w:tc>
        <w:tc>
          <w:tcPr>
            <w:tcW w:w="476" w:type="pct"/>
            <w:tcBorders>
              <w:top w:val="single" w:sz="4" w:space="0" w:color="000000"/>
              <w:bottom w:val="single" w:sz="4" w:space="0" w:color="000000"/>
            </w:tcBorders>
          </w:tcPr>
          <w:p w14:paraId="32622D0C"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Stage 2</w:t>
            </w:r>
          </w:p>
          <w:p w14:paraId="7B6703FE" w14:textId="6A4A3F7C"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(lifetime ECL for SICR)</w:t>
            </w:r>
          </w:p>
        </w:tc>
        <w:tc>
          <w:tcPr>
            <w:tcW w:w="476" w:type="pct"/>
            <w:tcBorders>
              <w:top w:val="single" w:sz="4" w:space="0" w:color="000000"/>
              <w:bottom w:val="single" w:sz="4" w:space="0" w:color="000000"/>
            </w:tcBorders>
          </w:tcPr>
          <w:p w14:paraId="3A1110EC"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Stage 3</w:t>
            </w:r>
          </w:p>
          <w:p w14:paraId="3BC30C12"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(lifetime ECL for credit im-paired)</w:t>
            </w:r>
          </w:p>
        </w:tc>
        <w:tc>
          <w:tcPr>
            <w:tcW w:w="316" w:type="pct"/>
            <w:tcBorders>
              <w:top w:val="single" w:sz="4" w:space="0" w:color="000000"/>
              <w:bottom w:val="single" w:sz="4" w:space="0" w:color="000000"/>
            </w:tcBorders>
            <w:shd w:val="clear" w:color="auto" w:fill="auto"/>
          </w:tcPr>
          <w:p w14:paraId="44B2DC51" w14:textId="77777777" w:rsidR="005041C2" w:rsidRPr="00372E26" w:rsidRDefault="005041C2" w:rsidP="001B330E">
            <w:pPr>
              <w:widowControl w:val="0"/>
              <w:pBdr>
                <w:top w:val="nil"/>
                <w:left w:val="nil"/>
                <w:bottom w:val="nil"/>
                <w:right w:val="nil"/>
                <w:between w:val="nil"/>
              </w:pBdr>
              <w:ind w:left="-113"/>
              <w:jc w:val="right"/>
              <w:rPr>
                <w:b/>
                <w:color w:val="000000"/>
              </w:rPr>
            </w:pPr>
            <w:r w:rsidRPr="00372E26">
              <w:rPr>
                <w:b/>
                <w:color w:val="000000"/>
              </w:rPr>
              <w:t>Total</w:t>
            </w:r>
          </w:p>
        </w:tc>
      </w:tr>
      <w:tr w:rsidR="005041C2" w:rsidRPr="00C32E7C" w14:paraId="541ADBC9" w14:textId="77777777" w:rsidTr="001B330E">
        <w:trPr>
          <w:trHeight w:val="23"/>
        </w:trPr>
        <w:tc>
          <w:tcPr>
            <w:tcW w:w="1496" w:type="pct"/>
            <w:shd w:val="clear" w:color="auto" w:fill="auto"/>
            <w:vAlign w:val="bottom"/>
          </w:tcPr>
          <w:p w14:paraId="46F305A3" w14:textId="77777777" w:rsidR="005041C2" w:rsidRPr="00372E26" w:rsidRDefault="005041C2" w:rsidP="001B330E">
            <w:pPr>
              <w:widowControl w:val="0"/>
              <w:ind w:left="113" w:hanging="113"/>
            </w:pPr>
          </w:p>
        </w:tc>
        <w:tc>
          <w:tcPr>
            <w:tcW w:w="472" w:type="pct"/>
            <w:shd w:val="clear" w:color="auto" w:fill="auto"/>
            <w:vAlign w:val="bottom"/>
          </w:tcPr>
          <w:p w14:paraId="742C1CD9"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5B5B9A7B"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64423F04"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5C787097"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Pr>
          <w:p w14:paraId="5385DC62"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51647A3C"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16B23973"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4E52A899"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20F16A0D" w14:textId="77777777" w:rsidTr="001B330E">
        <w:trPr>
          <w:trHeight w:val="23"/>
        </w:trPr>
        <w:tc>
          <w:tcPr>
            <w:tcW w:w="1496" w:type="pct"/>
            <w:shd w:val="clear" w:color="auto" w:fill="auto"/>
            <w:vAlign w:val="bottom"/>
          </w:tcPr>
          <w:p w14:paraId="256E7E92" w14:textId="3B195297" w:rsidR="005041C2" w:rsidRPr="00372E26" w:rsidRDefault="001F77EE" w:rsidP="001B330E">
            <w:pPr>
              <w:widowControl w:val="0"/>
              <w:pBdr>
                <w:top w:val="nil"/>
                <w:left w:val="nil"/>
                <w:bottom w:val="nil"/>
                <w:right w:val="nil"/>
                <w:between w:val="nil"/>
              </w:pBdr>
              <w:ind w:left="113" w:hanging="113"/>
              <w:rPr>
                <w:b/>
                <w:i/>
                <w:color w:val="000000"/>
              </w:rPr>
            </w:pPr>
            <w:r w:rsidRPr="00372E26">
              <w:rPr>
                <w:b/>
                <w:i/>
                <w:color w:val="0000FF"/>
              </w:rPr>
              <w:t>[</w:t>
            </w:r>
            <w:r w:rsidR="00372E26">
              <w:rPr>
                <w:b/>
                <w:i/>
                <w:color w:val="0000FF"/>
              </w:rPr>
              <w:t>[Country]</w:t>
            </w:r>
            <w:r w:rsidR="005041C2" w:rsidRPr="00372E26">
              <w:rPr>
                <w:b/>
                <w:i/>
                <w:color w:val="0000FF"/>
              </w:rPr>
              <w:t xml:space="preserve"> government bonds</w:t>
            </w:r>
            <w:r w:rsidRPr="00372E26">
              <w:rPr>
                <w:b/>
                <w:i/>
                <w:color w:val="0000FF"/>
              </w:rPr>
              <w:t>]</w:t>
            </w:r>
          </w:p>
        </w:tc>
        <w:tc>
          <w:tcPr>
            <w:tcW w:w="472" w:type="pct"/>
            <w:shd w:val="clear" w:color="auto" w:fill="auto"/>
            <w:vAlign w:val="bottom"/>
          </w:tcPr>
          <w:p w14:paraId="1AFA64A2"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12F35A2B"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1CD6E9C2"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7BD26B8C"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Pr>
          <w:p w14:paraId="693FF9B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565C33B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2A395AA3"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7556E08D"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7F275D66" w14:textId="77777777" w:rsidTr="001B330E">
        <w:trPr>
          <w:trHeight w:val="23"/>
        </w:trPr>
        <w:tc>
          <w:tcPr>
            <w:tcW w:w="1496" w:type="pct"/>
            <w:shd w:val="clear" w:color="auto" w:fill="auto"/>
            <w:vAlign w:val="bottom"/>
          </w:tcPr>
          <w:p w14:paraId="687E2CB1" w14:textId="77777777" w:rsidR="005041C2" w:rsidRPr="00372E26" w:rsidRDefault="005041C2" w:rsidP="001B330E">
            <w:pPr>
              <w:widowControl w:val="0"/>
              <w:pBdr>
                <w:top w:val="nil"/>
                <w:left w:val="nil"/>
                <w:bottom w:val="nil"/>
                <w:right w:val="nil"/>
                <w:between w:val="nil"/>
              </w:pBdr>
              <w:ind w:left="113" w:hanging="113"/>
              <w:rPr>
                <w:b/>
                <w:i/>
                <w:color w:val="000000"/>
              </w:rPr>
            </w:pPr>
          </w:p>
        </w:tc>
        <w:tc>
          <w:tcPr>
            <w:tcW w:w="472" w:type="pct"/>
            <w:shd w:val="clear" w:color="auto" w:fill="auto"/>
            <w:vAlign w:val="bottom"/>
          </w:tcPr>
          <w:p w14:paraId="4B857670"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5A1D955B"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3BF7A8C3"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27121F7A"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Pr>
          <w:p w14:paraId="402A6E7E"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36DDBE0D"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73D0D03C"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2CD193FF"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260EEE60" w14:textId="77777777" w:rsidTr="001B330E">
        <w:trPr>
          <w:trHeight w:val="23"/>
        </w:trPr>
        <w:tc>
          <w:tcPr>
            <w:tcW w:w="1496" w:type="pct"/>
            <w:shd w:val="clear" w:color="auto" w:fill="auto"/>
            <w:vAlign w:val="bottom"/>
          </w:tcPr>
          <w:p w14:paraId="24370200" w14:textId="4C875F96" w:rsidR="005041C2" w:rsidRPr="00372E26" w:rsidRDefault="005041C2" w:rsidP="001B330E">
            <w:pPr>
              <w:widowControl w:val="0"/>
              <w:pBdr>
                <w:top w:val="nil"/>
                <w:left w:val="nil"/>
                <w:bottom w:val="nil"/>
                <w:right w:val="nil"/>
                <w:between w:val="nil"/>
              </w:pBdr>
              <w:ind w:left="113" w:hanging="113"/>
              <w:rPr>
                <w:b/>
                <w:color w:val="0000FF"/>
              </w:rPr>
            </w:pPr>
            <w:r w:rsidRPr="00372E26">
              <w:rPr>
                <w:b/>
                <w:color w:val="000000"/>
              </w:rPr>
              <w:t>At 31</w:t>
            </w:r>
            <w:r w:rsidR="00181687" w:rsidRPr="00372E26">
              <w:rPr>
                <w:b/>
                <w:color w:val="000000"/>
              </w:rPr>
              <w:t> December </w:t>
            </w:r>
            <w:r w:rsidR="00541EBC">
              <w:rPr>
                <w:b/>
                <w:color w:val="000000"/>
              </w:rPr>
              <w:t>2023</w:t>
            </w:r>
          </w:p>
        </w:tc>
        <w:tc>
          <w:tcPr>
            <w:tcW w:w="472" w:type="pct"/>
            <w:shd w:val="clear" w:color="auto" w:fill="auto"/>
            <w:vAlign w:val="bottom"/>
          </w:tcPr>
          <w:p w14:paraId="6D547BDC"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5D209A29"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46C6FED2"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5B2A95A7"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Pr>
          <w:p w14:paraId="4B21B564"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6738A58D"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03340577"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7DC267A4"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43D52B25" w14:textId="77777777" w:rsidTr="001B330E">
        <w:trPr>
          <w:trHeight w:val="23"/>
        </w:trPr>
        <w:tc>
          <w:tcPr>
            <w:tcW w:w="1496" w:type="pct"/>
            <w:shd w:val="clear" w:color="auto" w:fill="auto"/>
            <w:vAlign w:val="bottom"/>
          </w:tcPr>
          <w:p w14:paraId="25DBA3BB" w14:textId="77777777" w:rsidR="005041C2" w:rsidRPr="00372E26" w:rsidRDefault="005041C2" w:rsidP="001B330E">
            <w:pPr>
              <w:widowControl w:val="0"/>
              <w:pBdr>
                <w:top w:val="nil"/>
                <w:left w:val="nil"/>
                <w:bottom w:val="nil"/>
                <w:right w:val="nil"/>
                <w:between w:val="nil"/>
              </w:pBdr>
              <w:ind w:left="113" w:hanging="113"/>
              <w:rPr>
                <w:b/>
                <w:color w:val="000000"/>
              </w:rPr>
            </w:pPr>
          </w:p>
          <w:p w14:paraId="76250204" w14:textId="77777777" w:rsidR="005041C2" w:rsidRPr="00372E26" w:rsidRDefault="005041C2" w:rsidP="001B330E">
            <w:pPr>
              <w:widowControl w:val="0"/>
              <w:pBdr>
                <w:top w:val="nil"/>
                <w:left w:val="nil"/>
                <w:bottom w:val="nil"/>
                <w:right w:val="nil"/>
                <w:between w:val="nil"/>
              </w:pBdr>
              <w:ind w:left="113" w:hanging="113"/>
              <w:rPr>
                <w:b/>
                <w:color w:val="000000"/>
              </w:rPr>
            </w:pPr>
            <w:r w:rsidRPr="00372E26">
              <w:rPr>
                <w:i/>
                <w:color w:val="000000"/>
              </w:rPr>
              <w:t>Movements with impact on credit loss allowance charge for the period:</w:t>
            </w:r>
          </w:p>
        </w:tc>
        <w:tc>
          <w:tcPr>
            <w:tcW w:w="472" w:type="pct"/>
            <w:shd w:val="clear" w:color="auto" w:fill="auto"/>
            <w:vAlign w:val="bottom"/>
          </w:tcPr>
          <w:p w14:paraId="04CB3F6E"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044D08B3"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1A53752D"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0EC2F107"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Pr>
          <w:p w14:paraId="4DFE0E2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26724CDB"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09FB411B"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06FD7098"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15BF7CFC" w14:textId="77777777" w:rsidTr="001B330E">
        <w:trPr>
          <w:trHeight w:val="23"/>
        </w:trPr>
        <w:tc>
          <w:tcPr>
            <w:tcW w:w="1496" w:type="pct"/>
            <w:shd w:val="clear" w:color="auto" w:fill="auto"/>
            <w:vAlign w:val="bottom"/>
          </w:tcPr>
          <w:p w14:paraId="63E4FF8F" w14:textId="77777777" w:rsidR="005041C2" w:rsidRPr="00372E26" w:rsidRDefault="005041C2" w:rsidP="001B330E">
            <w:pPr>
              <w:widowControl w:val="0"/>
              <w:pBdr>
                <w:top w:val="nil"/>
                <w:left w:val="nil"/>
                <w:bottom w:val="nil"/>
                <w:right w:val="nil"/>
                <w:between w:val="nil"/>
              </w:pBdr>
              <w:ind w:left="113" w:hanging="113"/>
              <w:rPr>
                <w:color w:val="000000"/>
              </w:rPr>
            </w:pPr>
          </w:p>
        </w:tc>
        <w:tc>
          <w:tcPr>
            <w:tcW w:w="472" w:type="pct"/>
            <w:shd w:val="clear" w:color="auto" w:fill="auto"/>
            <w:vAlign w:val="bottom"/>
          </w:tcPr>
          <w:p w14:paraId="632CF7F9"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4F32024B"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C8ED43B"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1E70C53C"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4" w:type="pct"/>
          </w:tcPr>
          <w:p w14:paraId="4FF7A98C"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6B303127"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32DAA872"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097CD9E3" w14:textId="77777777" w:rsidR="005041C2" w:rsidRPr="00372E26" w:rsidRDefault="005041C2" w:rsidP="001B330E">
            <w:pPr>
              <w:widowControl w:val="0"/>
              <w:pBdr>
                <w:top w:val="nil"/>
                <w:left w:val="nil"/>
                <w:bottom w:val="nil"/>
                <w:right w:val="nil"/>
                <w:between w:val="nil"/>
              </w:pBdr>
              <w:jc w:val="right"/>
              <w:rPr>
                <w:color w:val="000000"/>
                <w:highlight w:val="green"/>
              </w:rPr>
            </w:pPr>
          </w:p>
        </w:tc>
      </w:tr>
      <w:tr w:rsidR="005041C2" w:rsidRPr="00C32E7C" w14:paraId="75B9A0E5" w14:textId="77777777" w:rsidTr="001B330E">
        <w:trPr>
          <w:trHeight w:val="23"/>
        </w:trPr>
        <w:tc>
          <w:tcPr>
            <w:tcW w:w="1496" w:type="pct"/>
            <w:shd w:val="clear" w:color="auto" w:fill="auto"/>
            <w:vAlign w:val="bottom"/>
          </w:tcPr>
          <w:p w14:paraId="6E2A86C4" w14:textId="77777777" w:rsidR="005041C2" w:rsidRPr="00372E26" w:rsidRDefault="005041C2" w:rsidP="001B330E">
            <w:pPr>
              <w:widowControl w:val="0"/>
              <w:pBdr>
                <w:top w:val="nil"/>
                <w:left w:val="nil"/>
                <w:bottom w:val="nil"/>
                <w:right w:val="nil"/>
                <w:between w:val="nil"/>
              </w:pBdr>
              <w:ind w:left="113" w:hanging="113"/>
              <w:rPr>
                <w:color w:val="0000FF"/>
              </w:rPr>
            </w:pPr>
            <w:r w:rsidRPr="00372E26">
              <w:rPr>
                <w:color w:val="000000"/>
              </w:rPr>
              <w:t>Transfers:</w:t>
            </w:r>
          </w:p>
        </w:tc>
        <w:tc>
          <w:tcPr>
            <w:tcW w:w="472" w:type="pct"/>
            <w:shd w:val="clear" w:color="auto" w:fill="auto"/>
            <w:vAlign w:val="bottom"/>
          </w:tcPr>
          <w:p w14:paraId="70810862"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212B891F"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1E3824EF"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6AEDA0EA"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4" w:type="pct"/>
          </w:tcPr>
          <w:p w14:paraId="5FE68BD5"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2A8F444B"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553BC9E3"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71BCDEBB" w14:textId="77777777" w:rsidR="005041C2" w:rsidRPr="00372E26" w:rsidRDefault="005041C2" w:rsidP="001B330E">
            <w:pPr>
              <w:widowControl w:val="0"/>
              <w:pBdr>
                <w:top w:val="nil"/>
                <w:left w:val="nil"/>
                <w:bottom w:val="nil"/>
                <w:right w:val="nil"/>
                <w:between w:val="nil"/>
              </w:pBdr>
              <w:jc w:val="right"/>
              <w:rPr>
                <w:color w:val="000000"/>
                <w:highlight w:val="green"/>
              </w:rPr>
            </w:pPr>
          </w:p>
        </w:tc>
      </w:tr>
      <w:tr w:rsidR="005041C2" w:rsidRPr="00C32E7C" w14:paraId="4C46E2F8" w14:textId="77777777" w:rsidTr="001B330E">
        <w:trPr>
          <w:trHeight w:val="23"/>
        </w:trPr>
        <w:tc>
          <w:tcPr>
            <w:tcW w:w="1496" w:type="pct"/>
            <w:shd w:val="clear" w:color="auto" w:fill="auto"/>
            <w:vAlign w:val="bottom"/>
          </w:tcPr>
          <w:p w14:paraId="6D5E5FDC"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 to lifetime (from Stage 1 to Stage 2)</w:t>
            </w:r>
          </w:p>
        </w:tc>
        <w:tc>
          <w:tcPr>
            <w:tcW w:w="472" w:type="pct"/>
            <w:shd w:val="clear" w:color="auto" w:fill="auto"/>
            <w:vAlign w:val="bottom"/>
          </w:tcPr>
          <w:p w14:paraId="58905FB3"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35B43BB5"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5E6354E3"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23BC62E8"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4" w:type="pct"/>
          </w:tcPr>
          <w:p w14:paraId="49B6A13E"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7E5498BE"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0E74AD55"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2D2A568B" w14:textId="77777777" w:rsidR="005041C2" w:rsidRPr="00372E26" w:rsidRDefault="005041C2" w:rsidP="001B330E">
            <w:pPr>
              <w:widowControl w:val="0"/>
              <w:pBdr>
                <w:top w:val="nil"/>
                <w:left w:val="nil"/>
                <w:bottom w:val="nil"/>
                <w:right w:val="nil"/>
                <w:between w:val="nil"/>
              </w:pBdr>
              <w:jc w:val="right"/>
              <w:rPr>
                <w:color w:val="000000"/>
                <w:highlight w:val="green"/>
              </w:rPr>
            </w:pPr>
          </w:p>
        </w:tc>
      </w:tr>
      <w:tr w:rsidR="005041C2" w:rsidRPr="00C32E7C" w14:paraId="5F446CBE" w14:textId="77777777" w:rsidTr="001B330E">
        <w:trPr>
          <w:trHeight w:val="23"/>
        </w:trPr>
        <w:tc>
          <w:tcPr>
            <w:tcW w:w="1496" w:type="pct"/>
            <w:shd w:val="clear" w:color="auto" w:fill="auto"/>
            <w:vAlign w:val="bottom"/>
          </w:tcPr>
          <w:p w14:paraId="567E2114"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 to credit-impaired (from Stage 1 and Stage 2 to Stage 3)</w:t>
            </w:r>
          </w:p>
        </w:tc>
        <w:tc>
          <w:tcPr>
            <w:tcW w:w="472" w:type="pct"/>
            <w:shd w:val="clear" w:color="auto" w:fill="auto"/>
            <w:vAlign w:val="bottom"/>
          </w:tcPr>
          <w:p w14:paraId="3FC7E611"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72D1DFEE"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888B1C8"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2F193D78"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4" w:type="pct"/>
          </w:tcPr>
          <w:p w14:paraId="25985EBA"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6176CC3A"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2585B1ED"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1507974F" w14:textId="77777777" w:rsidR="005041C2" w:rsidRPr="00372E26" w:rsidRDefault="005041C2" w:rsidP="001B330E">
            <w:pPr>
              <w:widowControl w:val="0"/>
              <w:pBdr>
                <w:top w:val="nil"/>
                <w:left w:val="nil"/>
                <w:bottom w:val="nil"/>
                <w:right w:val="nil"/>
                <w:between w:val="nil"/>
              </w:pBdr>
              <w:jc w:val="right"/>
              <w:rPr>
                <w:color w:val="000000"/>
                <w:highlight w:val="green"/>
              </w:rPr>
            </w:pPr>
          </w:p>
        </w:tc>
      </w:tr>
      <w:tr w:rsidR="005041C2" w:rsidRPr="00C32E7C" w14:paraId="4F232997" w14:textId="77777777" w:rsidTr="001B330E">
        <w:trPr>
          <w:trHeight w:val="23"/>
        </w:trPr>
        <w:tc>
          <w:tcPr>
            <w:tcW w:w="1496" w:type="pct"/>
            <w:shd w:val="clear" w:color="auto" w:fill="auto"/>
            <w:vAlign w:val="bottom"/>
          </w:tcPr>
          <w:p w14:paraId="5F0C93F5"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 to 12-months ECL (from Stage 2 and Stage 3 to Stage 1)</w:t>
            </w:r>
          </w:p>
        </w:tc>
        <w:tc>
          <w:tcPr>
            <w:tcW w:w="472" w:type="pct"/>
            <w:shd w:val="clear" w:color="auto" w:fill="auto"/>
            <w:vAlign w:val="bottom"/>
          </w:tcPr>
          <w:p w14:paraId="0094FD2B"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6EC101F5"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D74FBB4"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0BE91CC2"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4" w:type="pct"/>
          </w:tcPr>
          <w:p w14:paraId="04D3295E"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33E6B06C"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tcPr>
          <w:p w14:paraId="340AFEB2"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24D9B5E0" w14:textId="77777777" w:rsidR="005041C2" w:rsidRPr="00372E26" w:rsidRDefault="005041C2" w:rsidP="001B330E">
            <w:pPr>
              <w:widowControl w:val="0"/>
              <w:pBdr>
                <w:top w:val="nil"/>
                <w:left w:val="nil"/>
                <w:bottom w:val="nil"/>
                <w:right w:val="nil"/>
                <w:between w:val="nil"/>
              </w:pBdr>
              <w:jc w:val="right"/>
              <w:rPr>
                <w:color w:val="000000"/>
                <w:highlight w:val="green"/>
              </w:rPr>
            </w:pPr>
          </w:p>
        </w:tc>
      </w:tr>
      <w:tr w:rsidR="005041C2" w:rsidRPr="00C32E7C" w14:paraId="152C6B47" w14:textId="77777777" w:rsidTr="001B330E">
        <w:trPr>
          <w:trHeight w:val="23"/>
        </w:trPr>
        <w:tc>
          <w:tcPr>
            <w:tcW w:w="1496" w:type="pct"/>
            <w:shd w:val="clear" w:color="auto" w:fill="auto"/>
            <w:vAlign w:val="bottom"/>
          </w:tcPr>
          <w:p w14:paraId="12FF702F"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New originated or purchased</w:t>
            </w:r>
          </w:p>
        </w:tc>
        <w:tc>
          <w:tcPr>
            <w:tcW w:w="472" w:type="pct"/>
            <w:shd w:val="clear" w:color="auto" w:fill="auto"/>
            <w:vAlign w:val="bottom"/>
          </w:tcPr>
          <w:p w14:paraId="6C7F64E2"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6E4E1993"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453816C3"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13CE0225"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Pr>
          <w:p w14:paraId="4B65DCB4"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1DD0B7A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6B22B92A"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2E267A3E"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39F1C2FE" w14:textId="77777777" w:rsidTr="001B330E">
        <w:trPr>
          <w:trHeight w:val="23"/>
        </w:trPr>
        <w:tc>
          <w:tcPr>
            <w:tcW w:w="1496" w:type="pct"/>
            <w:shd w:val="clear" w:color="auto" w:fill="auto"/>
            <w:vAlign w:val="bottom"/>
          </w:tcPr>
          <w:p w14:paraId="641C3298"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Derecognised during the period</w:t>
            </w:r>
          </w:p>
        </w:tc>
        <w:tc>
          <w:tcPr>
            <w:tcW w:w="472" w:type="pct"/>
            <w:shd w:val="clear" w:color="auto" w:fill="auto"/>
            <w:vAlign w:val="bottom"/>
          </w:tcPr>
          <w:p w14:paraId="28CDED14"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7F0CD567"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2A63D904"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53892706"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Pr>
          <w:p w14:paraId="6BD3074E"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19CC230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4768F918"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2128EBFB"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4546A5A2" w14:textId="77777777" w:rsidTr="001B330E">
        <w:trPr>
          <w:trHeight w:val="23"/>
        </w:trPr>
        <w:tc>
          <w:tcPr>
            <w:tcW w:w="1496" w:type="pct"/>
            <w:shd w:val="clear" w:color="auto" w:fill="auto"/>
            <w:vAlign w:val="bottom"/>
          </w:tcPr>
          <w:p w14:paraId="0AD256B4"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Changes to ECL measurement model assumptions</w:t>
            </w:r>
          </w:p>
        </w:tc>
        <w:tc>
          <w:tcPr>
            <w:tcW w:w="472" w:type="pct"/>
            <w:shd w:val="clear" w:color="auto" w:fill="auto"/>
            <w:vAlign w:val="bottom"/>
          </w:tcPr>
          <w:p w14:paraId="4254F55B"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50558637"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7C0AC3DE"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44091E53"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vAlign w:val="bottom"/>
          </w:tcPr>
          <w:p w14:paraId="3B45036E"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61A16D8C"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08F484DB"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279975BD"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62DCAC68" w14:textId="77777777" w:rsidTr="001B330E">
        <w:trPr>
          <w:trHeight w:val="23"/>
        </w:trPr>
        <w:tc>
          <w:tcPr>
            <w:tcW w:w="1496" w:type="pct"/>
            <w:shd w:val="clear" w:color="auto" w:fill="auto"/>
            <w:vAlign w:val="bottom"/>
          </w:tcPr>
          <w:p w14:paraId="424D06C0"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 xml:space="preserve">Unwinding of discount </w:t>
            </w:r>
          </w:p>
        </w:tc>
        <w:tc>
          <w:tcPr>
            <w:tcW w:w="472" w:type="pct"/>
            <w:shd w:val="clear" w:color="auto" w:fill="auto"/>
            <w:vAlign w:val="bottom"/>
          </w:tcPr>
          <w:p w14:paraId="2008D7DB"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0E4DB9D0"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56DE1E74"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22432355"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vAlign w:val="bottom"/>
          </w:tcPr>
          <w:p w14:paraId="4ED8FBFB"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7547A126"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57FE2E42"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4D4172C4"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771D7999" w14:textId="77777777" w:rsidTr="001B330E">
        <w:trPr>
          <w:trHeight w:val="23"/>
        </w:trPr>
        <w:tc>
          <w:tcPr>
            <w:tcW w:w="1496" w:type="pct"/>
            <w:shd w:val="clear" w:color="auto" w:fill="auto"/>
            <w:vAlign w:val="bottom"/>
          </w:tcPr>
          <w:p w14:paraId="46CEFE81"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Changes in accrued interest</w:t>
            </w:r>
          </w:p>
        </w:tc>
        <w:tc>
          <w:tcPr>
            <w:tcW w:w="472" w:type="pct"/>
            <w:shd w:val="clear" w:color="auto" w:fill="auto"/>
            <w:vAlign w:val="bottom"/>
          </w:tcPr>
          <w:p w14:paraId="0E0663D9"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26312C2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477800CD"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61C3A57E"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vAlign w:val="bottom"/>
          </w:tcPr>
          <w:p w14:paraId="7B8161B1"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2D8DCB13"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33B45079"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2780111E"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1D1D09AD" w14:textId="77777777" w:rsidTr="001B330E">
        <w:trPr>
          <w:trHeight w:val="23"/>
        </w:trPr>
        <w:tc>
          <w:tcPr>
            <w:tcW w:w="1496" w:type="pct"/>
            <w:shd w:val="clear" w:color="auto" w:fill="auto"/>
            <w:vAlign w:val="bottom"/>
          </w:tcPr>
          <w:p w14:paraId="40CECA48"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Other movements</w:t>
            </w:r>
          </w:p>
        </w:tc>
        <w:tc>
          <w:tcPr>
            <w:tcW w:w="472" w:type="pct"/>
            <w:shd w:val="clear" w:color="auto" w:fill="auto"/>
            <w:vAlign w:val="bottom"/>
          </w:tcPr>
          <w:p w14:paraId="583314FB"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3AB8BF72"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5C953F38"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64A73A22"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vAlign w:val="bottom"/>
          </w:tcPr>
          <w:p w14:paraId="5F360B5E"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375EED31"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4FBE34AF"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4EF80D24"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2EFE1D49" w14:textId="77777777" w:rsidTr="001B330E">
        <w:trPr>
          <w:trHeight w:val="23"/>
        </w:trPr>
        <w:tc>
          <w:tcPr>
            <w:tcW w:w="1496" w:type="pct"/>
            <w:tcBorders>
              <w:bottom w:val="single" w:sz="4" w:space="0" w:color="000000"/>
            </w:tcBorders>
            <w:shd w:val="clear" w:color="auto" w:fill="auto"/>
            <w:vAlign w:val="bottom"/>
          </w:tcPr>
          <w:p w14:paraId="7E090564" w14:textId="77777777" w:rsidR="005041C2" w:rsidRPr="00372E26" w:rsidRDefault="005041C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3B20BB79"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71C4EB65"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2A8764C0"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2730D253"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2DA3A1FB"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7989DB85"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38B76624"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6ED65169"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61A32625" w14:textId="77777777" w:rsidTr="001B330E">
        <w:trPr>
          <w:trHeight w:val="23"/>
        </w:trPr>
        <w:tc>
          <w:tcPr>
            <w:tcW w:w="1496" w:type="pct"/>
            <w:tcBorders>
              <w:top w:val="single" w:sz="4" w:space="0" w:color="000000"/>
            </w:tcBorders>
            <w:shd w:val="clear" w:color="auto" w:fill="auto"/>
            <w:vAlign w:val="bottom"/>
          </w:tcPr>
          <w:p w14:paraId="65B641F9" w14:textId="77777777" w:rsidR="005041C2" w:rsidRPr="00372E26" w:rsidRDefault="005041C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1C0DE01A"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5B5AF579"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4B880D5B"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3D753333"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5259C865"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5969B1CB"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46D69030"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30665A4E"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249C2994" w14:textId="77777777" w:rsidTr="001B330E">
        <w:trPr>
          <w:trHeight w:val="23"/>
        </w:trPr>
        <w:tc>
          <w:tcPr>
            <w:tcW w:w="1496" w:type="pct"/>
            <w:shd w:val="clear" w:color="auto" w:fill="auto"/>
            <w:vAlign w:val="bottom"/>
          </w:tcPr>
          <w:p w14:paraId="4AFB420A" w14:textId="77777777" w:rsidR="005041C2" w:rsidRPr="00372E26" w:rsidRDefault="005041C2" w:rsidP="001B330E">
            <w:pPr>
              <w:widowControl w:val="0"/>
              <w:pBdr>
                <w:top w:val="nil"/>
                <w:left w:val="nil"/>
                <w:bottom w:val="nil"/>
                <w:right w:val="nil"/>
                <w:between w:val="nil"/>
              </w:pBdr>
              <w:ind w:left="113" w:hanging="113"/>
              <w:rPr>
                <w:b/>
                <w:color w:val="000000"/>
              </w:rPr>
            </w:pPr>
            <w:r w:rsidRPr="00372E26">
              <w:rPr>
                <w:b/>
                <w:color w:val="000000"/>
              </w:rPr>
              <w:t>Total movements with impact on credit loss allowance charge for the period</w:t>
            </w:r>
          </w:p>
        </w:tc>
        <w:tc>
          <w:tcPr>
            <w:tcW w:w="472" w:type="pct"/>
            <w:shd w:val="clear" w:color="auto" w:fill="auto"/>
            <w:vAlign w:val="bottom"/>
          </w:tcPr>
          <w:p w14:paraId="2421695A"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30D374DE"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3B3733F4"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4FD0E02C"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vAlign w:val="bottom"/>
          </w:tcPr>
          <w:p w14:paraId="536568B4"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746EAC29"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54CF9AE0"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3B75787D"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4EAC4D0E" w14:textId="77777777" w:rsidTr="001B330E">
        <w:trPr>
          <w:trHeight w:val="23"/>
        </w:trPr>
        <w:tc>
          <w:tcPr>
            <w:tcW w:w="1496" w:type="pct"/>
            <w:tcBorders>
              <w:bottom w:val="single" w:sz="4" w:space="0" w:color="000000"/>
            </w:tcBorders>
            <w:shd w:val="clear" w:color="auto" w:fill="auto"/>
            <w:vAlign w:val="bottom"/>
          </w:tcPr>
          <w:p w14:paraId="15F3E843" w14:textId="77777777" w:rsidR="005041C2" w:rsidRPr="00372E26" w:rsidRDefault="005041C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49220F7B"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3AB8C3E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5D40C6DE"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191A0AD7"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0EB68A6D"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0BE93D96"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0DEC49A2"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3CD190C9"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0E98E091" w14:textId="77777777" w:rsidTr="001B330E">
        <w:trPr>
          <w:trHeight w:val="23"/>
        </w:trPr>
        <w:tc>
          <w:tcPr>
            <w:tcW w:w="1496" w:type="pct"/>
            <w:tcBorders>
              <w:top w:val="single" w:sz="4" w:space="0" w:color="000000"/>
            </w:tcBorders>
            <w:shd w:val="clear" w:color="auto" w:fill="auto"/>
            <w:vAlign w:val="bottom"/>
          </w:tcPr>
          <w:p w14:paraId="4314EA5A" w14:textId="77777777" w:rsidR="005041C2" w:rsidRPr="00372E26" w:rsidRDefault="005041C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146F577D"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0E7C1341"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48FB6AF9"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70439B6F"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0DFBDF3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12AF5B69"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6C528C7B"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35E43382"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5E34830C" w14:textId="77777777" w:rsidTr="001B330E">
        <w:trPr>
          <w:trHeight w:val="23"/>
        </w:trPr>
        <w:tc>
          <w:tcPr>
            <w:tcW w:w="1496" w:type="pct"/>
            <w:shd w:val="clear" w:color="auto" w:fill="auto"/>
            <w:vAlign w:val="bottom"/>
          </w:tcPr>
          <w:p w14:paraId="0481B4AA" w14:textId="36030636" w:rsidR="005041C2" w:rsidRPr="00372E26" w:rsidRDefault="005041C2" w:rsidP="001B330E">
            <w:pPr>
              <w:widowControl w:val="0"/>
              <w:pBdr>
                <w:top w:val="nil"/>
                <w:left w:val="nil"/>
                <w:bottom w:val="nil"/>
                <w:right w:val="nil"/>
                <w:between w:val="nil"/>
              </w:pBdr>
              <w:ind w:left="113" w:hanging="113"/>
              <w:rPr>
                <w:color w:val="000000"/>
              </w:rPr>
            </w:pPr>
            <w:r w:rsidRPr="00372E26">
              <w:rPr>
                <w:i/>
                <w:color w:val="000000"/>
              </w:rPr>
              <w:t>Movements without impact on credit loss allowance charge for the period:</w:t>
            </w:r>
          </w:p>
        </w:tc>
        <w:tc>
          <w:tcPr>
            <w:tcW w:w="472" w:type="pct"/>
            <w:shd w:val="clear" w:color="auto" w:fill="auto"/>
            <w:vAlign w:val="bottom"/>
          </w:tcPr>
          <w:p w14:paraId="7EFC9C18"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3BFD49B8"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F01DB33"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05433F0C"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4" w:type="pct"/>
            <w:vAlign w:val="bottom"/>
          </w:tcPr>
          <w:p w14:paraId="5FDC6EEE"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vAlign w:val="bottom"/>
          </w:tcPr>
          <w:p w14:paraId="269878CE"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vAlign w:val="bottom"/>
          </w:tcPr>
          <w:p w14:paraId="425F303B"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58CA2684" w14:textId="77777777" w:rsidR="005041C2" w:rsidRPr="00372E26" w:rsidRDefault="005041C2" w:rsidP="001B330E">
            <w:pPr>
              <w:widowControl w:val="0"/>
              <w:pBdr>
                <w:top w:val="nil"/>
                <w:left w:val="nil"/>
                <w:bottom w:val="nil"/>
                <w:right w:val="nil"/>
                <w:between w:val="nil"/>
              </w:pBdr>
              <w:jc w:val="right"/>
              <w:rPr>
                <w:color w:val="000000"/>
                <w:highlight w:val="green"/>
              </w:rPr>
            </w:pPr>
          </w:p>
        </w:tc>
      </w:tr>
      <w:tr w:rsidR="00DE3B8A" w:rsidRPr="00C32E7C" w14:paraId="367E02CB" w14:textId="77777777" w:rsidTr="00762D1F">
        <w:trPr>
          <w:trHeight w:val="23"/>
        </w:trPr>
        <w:tc>
          <w:tcPr>
            <w:tcW w:w="1496" w:type="pct"/>
            <w:shd w:val="clear" w:color="auto" w:fill="auto"/>
            <w:vAlign w:val="bottom"/>
          </w:tcPr>
          <w:p w14:paraId="1489C7AD" w14:textId="77777777" w:rsidR="00DE3B8A" w:rsidRPr="00372E26" w:rsidRDefault="00DE3B8A" w:rsidP="00DE3B8A">
            <w:pPr>
              <w:widowControl w:val="0"/>
              <w:pBdr>
                <w:top w:val="nil"/>
                <w:left w:val="nil"/>
                <w:bottom w:val="nil"/>
                <w:right w:val="nil"/>
                <w:between w:val="nil"/>
              </w:pBdr>
              <w:ind w:left="113" w:hanging="113"/>
              <w:rPr>
                <w:i/>
                <w:color w:val="000000"/>
              </w:rPr>
            </w:pPr>
          </w:p>
        </w:tc>
        <w:tc>
          <w:tcPr>
            <w:tcW w:w="472" w:type="pct"/>
            <w:shd w:val="clear" w:color="auto" w:fill="auto"/>
            <w:vAlign w:val="bottom"/>
          </w:tcPr>
          <w:p w14:paraId="04BE0122" w14:textId="77777777" w:rsidR="00DE3B8A" w:rsidRPr="00372E26" w:rsidRDefault="00DE3B8A">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083E1B32" w14:textId="77777777" w:rsidR="00DE3B8A" w:rsidRPr="00372E26" w:rsidRDefault="00DE3B8A">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51A5F639" w14:textId="77777777" w:rsidR="00DE3B8A" w:rsidRPr="00372E26" w:rsidRDefault="00DE3B8A">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66E3D739" w14:textId="77777777" w:rsidR="00DE3B8A" w:rsidRPr="00372E26" w:rsidRDefault="00DE3B8A">
            <w:pPr>
              <w:widowControl w:val="0"/>
              <w:pBdr>
                <w:top w:val="nil"/>
                <w:left w:val="nil"/>
                <w:bottom w:val="nil"/>
                <w:right w:val="nil"/>
                <w:between w:val="nil"/>
              </w:pBdr>
              <w:jc w:val="right"/>
              <w:rPr>
                <w:color w:val="000000"/>
                <w:highlight w:val="green"/>
              </w:rPr>
            </w:pPr>
          </w:p>
        </w:tc>
        <w:tc>
          <w:tcPr>
            <w:tcW w:w="484" w:type="pct"/>
            <w:vAlign w:val="bottom"/>
          </w:tcPr>
          <w:p w14:paraId="4DC4A2D6" w14:textId="77777777" w:rsidR="00DE3B8A" w:rsidRPr="00372E26" w:rsidRDefault="00DE3B8A">
            <w:pPr>
              <w:widowControl w:val="0"/>
              <w:pBdr>
                <w:top w:val="nil"/>
                <w:left w:val="nil"/>
                <w:bottom w:val="nil"/>
                <w:right w:val="nil"/>
                <w:between w:val="nil"/>
              </w:pBdr>
              <w:jc w:val="right"/>
              <w:rPr>
                <w:color w:val="000000"/>
                <w:highlight w:val="green"/>
              </w:rPr>
            </w:pPr>
          </w:p>
        </w:tc>
        <w:tc>
          <w:tcPr>
            <w:tcW w:w="476" w:type="pct"/>
            <w:vAlign w:val="bottom"/>
          </w:tcPr>
          <w:p w14:paraId="0BA7D29F" w14:textId="77777777" w:rsidR="00DE3B8A" w:rsidRPr="00372E26" w:rsidRDefault="00DE3B8A">
            <w:pPr>
              <w:widowControl w:val="0"/>
              <w:pBdr>
                <w:top w:val="nil"/>
                <w:left w:val="nil"/>
                <w:bottom w:val="nil"/>
                <w:right w:val="nil"/>
                <w:between w:val="nil"/>
              </w:pBdr>
              <w:jc w:val="right"/>
              <w:rPr>
                <w:color w:val="000000"/>
                <w:highlight w:val="green"/>
              </w:rPr>
            </w:pPr>
          </w:p>
        </w:tc>
        <w:tc>
          <w:tcPr>
            <w:tcW w:w="476" w:type="pct"/>
            <w:vAlign w:val="bottom"/>
          </w:tcPr>
          <w:p w14:paraId="4047E04C" w14:textId="77777777" w:rsidR="00DE3B8A" w:rsidRPr="00372E26" w:rsidRDefault="00DE3B8A">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2074A8D7" w14:textId="77777777" w:rsidR="00DE3B8A" w:rsidRPr="00372E26" w:rsidRDefault="00DE3B8A">
            <w:pPr>
              <w:widowControl w:val="0"/>
              <w:pBdr>
                <w:top w:val="nil"/>
                <w:left w:val="nil"/>
                <w:bottom w:val="nil"/>
                <w:right w:val="nil"/>
                <w:between w:val="nil"/>
              </w:pBdr>
              <w:jc w:val="right"/>
              <w:rPr>
                <w:color w:val="000000"/>
                <w:highlight w:val="green"/>
              </w:rPr>
            </w:pPr>
          </w:p>
        </w:tc>
      </w:tr>
      <w:tr w:rsidR="005041C2" w:rsidRPr="00C32E7C" w14:paraId="11F33F3B" w14:textId="77777777" w:rsidTr="001B330E">
        <w:trPr>
          <w:trHeight w:val="23"/>
        </w:trPr>
        <w:tc>
          <w:tcPr>
            <w:tcW w:w="1496" w:type="pct"/>
            <w:shd w:val="clear" w:color="auto" w:fill="auto"/>
            <w:vAlign w:val="bottom"/>
          </w:tcPr>
          <w:p w14:paraId="1F944F2F"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Write-offs</w:t>
            </w:r>
          </w:p>
        </w:tc>
        <w:tc>
          <w:tcPr>
            <w:tcW w:w="472" w:type="pct"/>
            <w:shd w:val="clear" w:color="auto" w:fill="auto"/>
            <w:vAlign w:val="bottom"/>
          </w:tcPr>
          <w:p w14:paraId="17AE802A"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C7786AE"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30767643"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4BA3B2E5"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4" w:type="pct"/>
            <w:vAlign w:val="bottom"/>
          </w:tcPr>
          <w:p w14:paraId="05F9974D"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vAlign w:val="bottom"/>
          </w:tcPr>
          <w:p w14:paraId="532E0D22"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vAlign w:val="bottom"/>
          </w:tcPr>
          <w:p w14:paraId="28BAB8FB"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1E5730AE" w14:textId="77777777" w:rsidR="005041C2" w:rsidRPr="00372E26" w:rsidRDefault="005041C2" w:rsidP="001B330E">
            <w:pPr>
              <w:widowControl w:val="0"/>
              <w:pBdr>
                <w:top w:val="nil"/>
                <w:left w:val="nil"/>
                <w:bottom w:val="nil"/>
                <w:right w:val="nil"/>
                <w:between w:val="nil"/>
              </w:pBdr>
              <w:jc w:val="right"/>
              <w:rPr>
                <w:color w:val="000000"/>
                <w:highlight w:val="green"/>
              </w:rPr>
            </w:pPr>
          </w:p>
        </w:tc>
      </w:tr>
      <w:tr w:rsidR="005041C2" w:rsidRPr="00C32E7C" w14:paraId="2BD63D8C" w14:textId="77777777" w:rsidTr="001B330E">
        <w:trPr>
          <w:trHeight w:val="23"/>
        </w:trPr>
        <w:tc>
          <w:tcPr>
            <w:tcW w:w="1496" w:type="pct"/>
            <w:shd w:val="clear" w:color="auto" w:fill="auto"/>
            <w:vAlign w:val="bottom"/>
          </w:tcPr>
          <w:p w14:paraId="3BCD80DE"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FX and other movements</w:t>
            </w:r>
          </w:p>
        </w:tc>
        <w:tc>
          <w:tcPr>
            <w:tcW w:w="472" w:type="pct"/>
            <w:shd w:val="clear" w:color="auto" w:fill="auto"/>
            <w:vAlign w:val="bottom"/>
          </w:tcPr>
          <w:p w14:paraId="55D59499"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7DB28426"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484AC73"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0D8A15A"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84" w:type="pct"/>
            <w:vAlign w:val="bottom"/>
          </w:tcPr>
          <w:p w14:paraId="440564F8"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vAlign w:val="bottom"/>
          </w:tcPr>
          <w:p w14:paraId="1DFF4E46"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476" w:type="pct"/>
            <w:vAlign w:val="bottom"/>
          </w:tcPr>
          <w:p w14:paraId="666A852E" w14:textId="77777777" w:rsidR="005041C2" w:rsidRPr="00372E26" w:rsidRDefault="005041C2" w:rsidP="001B330E">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1F8426EE" w14:textId="77777777" w:rsidR="005041C2" w:rsidRPr="00372E26" w:rsidRDefault="005041C2" w:rsidP="001B330E">
            <w:pPr>
              <w:widowControl w:val="0"/>
              <w:pBdr>
                <w:top w:val="nil"/>
                <w:left w:val="nil"/>
                <w:bottom w:val="nil"/>
                <w:right w:val="nil"/>
                <w:between w:val="nil"/>
              </w:pBdr>
              <w:jc w:val="right"/>
              <w:rPr>
                <w:color w:val="000000"/>
                <w:highlight w:val="green"/>
              </w:rPr>
            </w:pPr>
          </w:p>
        </w:tc>
      </w:tr>
      <w:tr w:rsidR="005041C2" w:rsidRPr="00C32E7C" w14:paraId="30D8EC6C" w14:textId="77777777" w:rsidTr="001B330E">
        <w:trPr>
          <w:trHeight w:val="23"/>
        </w:trPr>
        <w:tc>
          <w:tcPr>
            <w:tcW w:w="1496" w:type="pct"/>
            <w:shd w:val="clear" w:color="auto" w:fill="auto"/>
            <w:vAlign w:val="bottom"/>
          </w:tcPr>
          <w:p w14:paraId="5503E978"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Modification of contractual cash flows</w:t>
            </w:r>
          </w:p>
        </w:tc>
        <w:tc>
          <w:tcPr>
            <w:tcW w:w="472" w:type="pct"/>
            <w:shd w:val="clear" w:color="auto" w:fill="auto"/>
            <w:vAlign w:val="bottom"/>
          </w:tcPr>
          <w:p w14:paraId="1220709F"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018D36F1"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2181715A"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7DE64D34"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vAlign w:val="bottom"/>
          </w:tcPr>
          <w:p w14:paraId="5B2DD135"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07BFC702"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634248A7"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00EA1FF7"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3F0A742C" w14:textId="77777777" w:rsidTr="001B330E">
        <w:trPr>
          <w:trHeight w:val="23"/>
        </w:trPr>
        <w:tc>
          <w:tcPr>
            <w:tcW w:w="1496" w:type="pct"/>
            <w:shd w:val="clear" w:color="auto" w:fill="auto"/>
            <w:vAlign w:val="bottom"/>
          </w:tcPr>
          <w:p w14:paraId="0CF2ACBA" w14:textId="77777777" w:rsidR="005041C2" w:rsidRPr="00372E26" w:rsidRDefault="005041C2" w:rsidP="001B330E">
            <w:pPr>
              <w:widowControl w:val="0"/>
              <w:pBdr>
                <w:top w:val="nil"/>
                <w:left w:val="nil"/>
                <w:bottom w:val="nil"/>
                <w:right w:val="nil"/>
                <w:between w:val="nil"/>
              </w:pBdr>
              <w:ind w:left="113" w:hanging="113"/>
              <w:rPr>
                <w:color w:val="000000"/>
              </w:rPr>
            </w:pPr>
            <w:r w:rsidRPr="00372E26">
              <w:rPr>
                <w:color w:val="000000"/>
              </w:rPr>
              <w:t xml:space="preserve">Unwinding of discount (for Stage 3) </w:t>
            </w:r>
          </w:p>
        </w:tc>
        <w:tc>
          <w:tcPr>
            <w:tcW w:w="472" w:type="pct"/>
            <w:shd w:val="clear" w:color="auto" w:fill="auto"/>
            <w:vAlign w:val="bottom"/>
          </w:tcPr>
          <w:p w14:paraId="54D9111B"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26721D7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02E19941"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23C1147A"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vAlign w:val="bottom"/>
          </w:tcPr>
          <w:p w14:paraId="1CD9D1F2"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6B57F146"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27D00BC2"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735FD8BB"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7E5E38E8" w14:textId="77777777" w:rsidTr="001B330E">
        <w:trPr>
          <w:trHeight w:val="23"/>
        </w:trPr>
        <w:tc>
          <w:tcPr>
            <w:tcW w:w="1496" w:type="pct"/>
            <w:tcBorders>
              <w:bottom w:val="single" w:sz="4" w:space="0" w:color="000000"/>
            </w:tcBorders>
            <w:shd w:val="clear" w:color="auto" w:fill="auto"/>
            <w:vAlign w:val="bottom"/>
          </w:tcPr>
          <w:p w14:paraId="0F1787BD" w14:textId="77777777" w:rsidR="005041C2" w:rsidRPr="00372E26" w:rsidRDefault="005041C2" w:rsidP="001B330E">
            <w:pPr>
              <w:widowControl w:val="0"/>
              <w:pBdr>
                <w:top w:val="nil"/>
                <w:left w:val="nil"/>
                <w:bottom w:val="nil"/>
                <w:right w:val="nil"/>
                <w:between w:val="nil"/>
              </w:pBdr>
              <w:ind w:left="113" w:hanging="113"/>
              <w:rPr>
                <w:b/>
                <w:color w:val="000000"/>
              </w:rPr>
            </w:pPr>
          </w:p>
        </w:tc>
        <w:tc>
          <w:tcPr>
            <w:tcW w:w="472" w:type="pct"/>
            <w:tcBorders>
              <w:bottom w:val="single" w:sz="4" w:space="0" w:color="000000"/>
            </w:tcBorders>
            <w:shd w:val="clear" w:color="auto" w:fill="auto"/>
            <w:vAlign w:val="bottom"/>
          </w:tcPr>
          <w:p w14:paraId="14BF29A4"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04AD331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038E1A9B"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7D9F5B96"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663DFCF6"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731E56E9"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6DF917E9"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08173BCF"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69450B1F" w14:textId="77777777" w:rsidTr="001B330E">
        <w:trPr>
          <w:trHeight w:val="23"/>
        </w:trPr>
        <w:tc>
          <w:tcPr>
            <w:tcW w:w="1496" w:type="pct"/>
            <w:tcBorders>
              <w:top w:val="single" w:sz="4" w:space="0" w:color="000000"/>
            </w:tcBorders>
            <w:shd w:val="clear" w:color="auto" w:fill="auto"/>
            <w:vAlign w:val="bottom"/>
          </w:tcPr>
          <w:p w14:paraId="7FBA0BC5" w14:textId="77777777" w:rsidR="005041C2" w:rsidRPr="00372E26" w:rsidRDefault="005041C2" w:rsidP="001B330E">
            <w:pPr>
              <w:widowControl w:val="0"/>
              <w:pBdr>
                <w:top w:val="nil"/>
                <w:left w:val="nil"/>
                <w:bottom w:val="nil"/>
                <w:right w:val="nil"/>
                <w:between w:val="nil"/>
              </w:pBdr>
              <w:ind w:left="113" w:hanging="113"/>
              <w:rPr>
                <w:color w:val="000000"/>
                <w:u w:val="single"/>
              </w:rPr>
            </w:pPr>
          </w:p>
        </w:tc>
        <w:tc>
          <w:tcPr>
            <w:tcW w:w="472" w:type="pct"/>
            <w:tcBorders>
              <w:top w:val="single" w:sz="4" w:space="0" w:color="000000"/>
            </w:tcBorders>
            <w:shd w:val="clear" w:color="auto" w:fill="auto"/>
            <w:vAlign w:val="bottom"/>
          </w:tcPr>
          <w:p w14:paraId="1F628F90"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232A38B1"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25CDACAD"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5E664289"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481E0548"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42BD68A2"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7763E1A5"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4DD46C21"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650F2AB1" w14:textId="77777777" w:rsidTr="001B330E">
        <w:trPr>
          <w:trHeight w:val="23"/>
        </w:trPr>
        <w:tc>
          <w:tcPr>
            <w:tcW w:w="1496" w:type="pct"/>
            <w:shd w:val="clear" w:color="auto" w:fill="auto"/>
            <w:vAlign w:val="bottom"/>
          </w:tcPr>
          <w:p w14:paraId="18C89C00" w14:textId="006ADEC1" w:rsidR="005041C2" w:rsidRPr="00372E26" w:rsidRDefault="005041C2" w:rsidP="001B330E">
            <w:pPr>
              <w:widowControl w:val="0"/>
              <w:pBdr>
                <w:top w:val="nil"/>
                <w:left w:val="nil"/>
                <w:bottom w:val="nil"/>
                <w:right w:val="nil"/>
                <w:between w:val="nil"/>
              </w:pBdr>
              <w:ind w:left="113" w:hanging="113"/>
              <w:rPr>
                <w:b/>
                <w:color w:val="000000"/>
              </w:rPr>
            </w:pPr>
            <w:r w:rsidRPr="00372E26">
              <w:rPr>
                <w:b/>
                <w:color w:val="000000"/>
              </w:rPr>
              <w:t>At 31</w:t>
            </w:r>
            <w:r w:rsidR="00181687" w:rsidRPr="00372E26">
              <w:rPr>
                <w:b/>
                <w:color w:val="000000"/>
              </w:rPr>
              <w:t> December </w:t>
            </w:r>
            <w:r w:rsidR="00541EBC">
              <w:rPr>
                <w:b/>
                <w:color w:val="000000"/>
              </w:rPr>
              <w:t>2024</w:t>
            </w:r>
          </w:p>
        </w:tc>
        <w:tc>
          <w:tcPr>
            <w:tcW w:w="472" w:type="pct"/>
            <w:shd w:val="clear" w:color="auto" w:fill="auto"/>
            <w:vAlign w:val="bottom"/>
          </w:tcPr>
          <w:p w14:paraId="63156984"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shd w:val="clear" w:color="auto" w:fill="auto"/>
            <w:vAlign w:val="bottom"/>
          </w:tcPr>
          <w:p w14:paraId="477DCBAA"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shd w:val="clear" w:color="auto" w:fill="auto"/>
            <w:vAlign w:val="bottom"/>
          </w:tcPr>
          <w:p w14:paraId="3FFB0303"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shd w:val="clear" w:color="auto" w:fill="auto"/>
            <w:vAlign w:val="bottom"/>
          </w:tcPr>
          <w:p w14:paraId="1BAF6428"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vAlign w:val="bottom"/>
          </w:tcPr>
          <w:p w14:paraId="0EB5F66B"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75BB0FDB"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vAlign w:val="bottom"/>
          </w:tcPr>
          <w:p w14:paraId="245C2C1D"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shd w:val="clear" w:color="auto" w:fill="auto"/>
            <w:vAlign w:val="bottom"/>
          </w:tcPr>
          <w:p w14:paraId="7F150935" w14:textId="77777777" w:rsidR="005041C2" w:rsidRPr="00372E26" w:rsidRDefault="005041C2" w:rsidP="001B330E">
            <w:pPr>
              <w:widowControl w:val="0"/>
              <w:pBdr>
                <w:top w:val="nil"/>
                <w:left w:val="nil"/>
                <w:bottom w:val="nil"/>
                <w:right w:val="nil"/>
                <w:between w:val="nil"/>
              </w:pBdr>
              <w:jc w:val="right"/>
              <w:rPr>
                <w:color w:val="000000"/>
              </w:rPr>
            </w:pPr>
          </w:p>
        </w:tc>
      </w:tr>
      <w:tr w:rsidR="005041C2" w:rsidRPr="00C32E7C" w14:paraId="69E24FA2" w14:textId="77777777" w:rsidTr="001B330E">
        <w:trPr>
          <w:trHeight w:val="23"/>
        </w:trPr>
        <w:tc>
          <w:tcPr>
            <w:tcW w:w="1496" w:type="pct"/>
            <w:tcBorders>
              <w:bottom w:val="single" w:sz="12" w:space="0" w:color="000000"/>
            </w:tcBorders>
            <w:shd w:val="clear" w:color="auto" w:fill="auto"/>
            <w:vAlign w:val="bottom"/>
          </w:tcPr>
          <w:p w14:paraId="11E5ACA2" w14:textId="77777777" w:rsidR="005041C2" w:rsidRPr="00372E26" w:rsidRDefault="005041C2" w:rsidP="001B330E">
            <w:pPr>
              <w:widowControl w:val="0"/>
              <w:pBdr>
                <w:top w:val="nil"/>
                <w:left w:val="nil"/>
                <w:bottom w:val="nil"/>
                <w:right w:val="nil"/>
                <w:between w:val="nil"/>
              </w:pBdr>
              <w:ind w:left="113" w:hanging="113"/>
              <w:rPr>
                <w:b/>
                <w:color w:val="000000"/>
              </w:rPr>
            </w:pPr>
          </w:p>
        </w:tc>
        <w:tc>
          <w:tcPr>
            <w:tcW w:w="472" w:type="pct"/>
            <w:tcBorders>
              <w:bottom w:val="single" w:sz="12" w:space="0" w:color="000000"/>
            </w:tcBorders>
            <w:shd w:val="clear" w:color="auto" w:fill="auto"/>
            <w:vAlign w:val="bottom"/>
          </w:tcPr>
          <w:p w14:paraId="331C7EA5" w14:textId="77777777" w:rsidR="005041C2" w:rsidRPr="00372E26" w:rsidRDefault="005041C2" w:rsidP="001B330E">
            <w:pPr>
              <w:widowControl w:val="0"/>
              <w:pBdr>
                <w:top w:val="nil"/>
                <w:left w:val="nil"/>
                <w:bottom w:val="nil"/>
                <w:right w:val="nil"/>
                <w:between w:val="nil"/>
              </w:pBdr>
              <w:jc w:val="right"/>
              <w:rPr>
                <w:color w:val="000000"/>
              </w:rPr>
            </w:pPr>
          </w:p>
        </w:tc>
        <w:tc>
          <w:tcPr>
            <w:tcW w:w="487" w:type="pct"/>
            <w:tcBorders>
              <w:bottom w:val="single" w:sz="12" w:space="0" w:color="000000"/>
            </w:tcBorders>
            <w:shd w:val="clear" w:color="auto" w:fill="auto"/>
            <w:vAlign w:val="bottom"/>
          </w:tcPr>
          <w:p w14:paraId="673357D5"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12" w:space="0" w:color="000000"/>
            </w:tcBorders>
            <w:shd w:val="clear" w:color="auto" w:fill="auto"/>
            <w:vAlign w:val="bottom"/>
          </w:tcPr>
          <w:p w14:paraId="37BD62B1" w14:textId="77777777" w:rsidR="005041C2" w:rsidRPr="00372E26" w:rsidRDefault="005041C2" w:rsidP="001B330E">
            <w:pPr>
              <w:widowControl w:val="0"/>
              <w:pBdr>
                <w:top w:val="nil"/>
                <w:left w:val="nil"/>
                <w:bottom w:val="nil"/>
                <w:right w:val="nil"/>
                <w:between w:val="nil"/>
              </w:pBdr>
              <w:jc w:val="right"/>
              <w:rPr>
                <w:color w:val="000000"/>
              </w:rPr>
            </w:pPr>
          </w:p>
        </w:tc>
        <w:tc>
          <w:tcPr>
            <w:tcW w:w="317" w:type="pct"/>
            <w:tcBorders>
              <w:bottom w:val="single" w:sz="12" w:space="0" w:color="000000"/>
            </w:tcBorders>
            <w:shd w:val="clear" w:color="auto" w:fill="auto"/>
            <w:vAlign w:val="bottom"/>
          </w:tcPr>
          <w:p w14:paraId="777FF1BF" w14:textId="77777777" w:rsidR="005041C2" w:rsidRPr="00372E26" w:rsidRDefault="005041C2" w:rsidP="001B330E">
            <w:pPr>
              <w:widowControl w:val="0"/>
              <w:pBdr>
                <w:top w:val="nil"/>
                <w:left w:val="nil"/>
                <w:bottom w:val="nil"/>
                <w:right w:val="nil"/>
                <w:between w:val="nil"/>
              </w:pBdr>
              <w:jc w:val="right"/>
              <w:rPr>
                <w:color w:val="000000"/>
              </w:rPr>
            </w:pPr>
          </w:p>
        </w:tc>
        <w:tc>
          <w:tcPr>
            <w:tcW w:w="484" w:type="pct"/>
            <w:tcBorders>
              <w:bottom w:val="single" w:sz="12" w:space="0" w:color="000000"/>
            </w:tcBorders>
          </w:tcPr>
          <w:p w14:paraId="3B0A3389"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1167E757"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5A22B38B" w14:textId="77777777" w:rsidR="005041C2" w:rsidRPr="00372E26" w:rsidRDefault="005041C2" w:rsidP="001B330E">
            <w:pPr>
              <w:widowControl w:val="0"/>
              <w:pBdr>
                <w:top w:val="nil"/>
                <w:left w:val="nil"/>
                <w:bottom w:val="nil"/>
                <w:right w:val="nil"/>
                <w:between w:val="nil"/>
              </w:pBdr>
              <w:jc w:val="right"/>
              <w:rPr>
                <w:color w:val="000000"/>
              </w:rPr>
            </w:pPr>
          </w:p>
        </w:tc>
        <w:tc>
          <w:tcPr>
            <w:tcW w:w="316" w:type="pct"/>
            <w:tcBorders>
              <w:bottom w:val="single" w:sz="12" w:space="0" w:color="000000"/>
            </w:tcBorders>
            <w:shd w:val="clear" w:color="auto" w:fill="auto"/>
            <w:vAlign w:val="bottom"/>
          </w:tcPr>
          <w:p w14:paraId="004ECB85" w14:textId="77777777" w:rsidR="005041C2" w:rsidRPr="00372E26" w:rsidRDefault="005041C2" w:rsidP="001B330E">
            <w:pPr>
              <w:widowControl w:val="0"/>
              <w:pBdr>
                <w:top w:val="nil"/>
                <w:left w:val="nil"/>
                <w:bottom w:val="nil"/>
                <w:right w:val="nil"/>
                <w:between w:val="nil"/>
              </w:pBdr>
              <w:jc w:val="right"/>
              <w:rPr>
                <w:color w:val="000000"/>
              </w:rPr>
            </w:pPr>
          </w:p>
        </w:tc>
      </w:tr>
    </w:tbl>
    <w:p w14:paraId="2A15DB09" w14:textId="2C75AFDB" w:rsidR="00D83E33" w:rsidRDefault="00BC4072" w:rsidP="001B330E">
      <w:pPr>
        <w:pStyle w:val="Continued"/>
      </w:pPr>
      <w:r>
        <w:lastRenderedPageBreak/>
        <w:t>9</w:t>
      </w:r>
      <w:r>
        <w:tab/>
        <w:t>Investments in Debt Securities (Continued)</w:t>
      </w:r>
    </w:p>
    <w:tbl>
      <w:tblPr>
        <w:tblStyle w:val="affb"/>
        <w:tblW w:w="5000" w:type="pct"/>
        <w:tblLayout w:type="fixed"/>
        <w:tblLook w:val="0000" w:firstRow="0" w:lastRow="0" w:firstColumn="0" w:lastColumn="0" w:noHBand="0" w:noVBand="0"/>
      </w:tblPr>
      <w:tblGrid>
        <w:gridCol w:w="2796"/>
        <w:gridCol w:w="883"/>
        <w:gridCol w:w="911"/>
        <w:gridCol w:w="891"/>
        <w:gridCol w:w="593"/>
        <w:gridCol w:w="906"/>
        <w:gridCol w:w="891"/>
        <w:gridCol w:w="891"/>
        <w:gridCol w:w="593"/>
      </w:tblGrid>
      <w:tr w:rsidR="005041C2" w:rsidRPr="00C32E7C" w14:paraId="5E1C0F9F" w14:textId="77777777" w:rsidTr="00372E26">
        <w:trPr>
          <w:trHeight w:val="23"/>
        </w:trPr>
        <w:tc>
          <w:tcPr>
            <w:tcW w:w="1495" w:type="pct"/>
            <w:shd w:val="clear" w:color="auto" w:fill="auto"/>
            <w:vAlign w:val="bottom"/>
          </w:tcPr>
          <w:p w14:paraId="2380C0B0" w14:textId="77777777" w:rsidR="005041C2" w:rsidRPr="00372E26" w:rsidRDefault="005041C2">
            <w:pPr>
              <w:widowControl w:val="0"/>
              <w:pBdr>
                <w:top w:val="nil"/>
                <w:left w:val="nil"/>
                <w:bottom w:val="nil"/>
                <w:right w:val="nil"/>
                <w:between w:val="nil"/>
              </w:pBdr>
              <w:ind w:left="113" w:hanging="113"/>
              <w:rPr>
                <w:i/>
                <w:color w:val="000000"/>
              </w:rPr>
            </w:pPr>
          </w:p>
        </w:tc>
        <w:tc>
          <w:tcPr>
            <w:tcW w:w="1752" w:type="pct"/>
            <w:gridSpan w:val="4"/>
            <w:tcBorders>
              <w:bottom w:val="single" w:sz="4" w:space="0" w:color="000000"/>
            </w:tcBorders>
            <w:shd w:val="clear" w:color="auto" w:fill="auto"/>
          </w:tcPr>
          <w:p w14:paraId="1D6CE04E" w14:textId="77777777" w:rsidR="005041C2" w:rsidRPr="00372E26" w:rsidRDefault="005041C2" w:rsidP="001B330E">
            <w:pPr>
              <w:widowControl w:val="0"/>
              <w:pBdr>
                <w:top w:val="nil"/>
                <w:left w:val="nil"/>
                <w:bottom w:val="nil"/>
                <w:right w:val="nil"/>
                <w:between w:val="nil"/>
              </w:pBdr>
              <w:tabs>
                <w:tab w:val="left" w:pos="3182"/>
              </w:tabs>
              <w:jc w:val="center"/>
              <w:rPr>
                <w:b/>
                <w:color w:val="000000"/>
              </w:rPr>
            </w:pPr>
            <w:r w:rsidRPr="00372E26">
              <w:rPr>
                <w:b/>
                <w:color w:val="000000"/>
              </w:rPr>
              <w:t>Credit loss allowance</w:t>
            </w:r>
          </w:p>
        </w:tc>
        <w:tc>
          <w:tcPr>
            <w:tcW w:w="1753" w:type="pct"/>
            <w:gridSpan w:val="4"/>
            <w:tcBorders>
              <w:bottom w:val="single" w:sz="4" w:space="0" w:color="000000"/>
            </w:tcBorders>
          </w:tcPr>
          <w:p w14:paraId="2DC0F24C" w14:textId="77777777" w:rsidR="005041C2" w:rsidRPr="00372E26" w:rsidRDefault="005041C2" w:rsidP="001B330E">
            <w:pPr>
              <w:widowControl w:val="0"/>
              <w:pBdr>
                <w:top w:val="nil"/>
                <w:left w:val="nil"/>
                <w:bottom w:val="nil"/>
                <w:right w:val="nil"/>
                <w:between w:val="nil"/>
              </w:pBdr>
              <w:jc w:val="center"/>
              <w:rPr>
                <w:b/>
                <w:color w:val="000000"/>
              </w:rPr>
            </w:pPr>
            <w:r w:rsidRPr="00372E26">
              <w:rPr>
                <w:b/>
                <w:color w:val="000000"/>
              </w:rPr>
              <w:t>Gross carrying amount</w:t>
            </w:r>
          </w:p>
        </w:tc>
      </w:tr>
      <w:tr w:rsidR="005041C2" w:rsidRPr="00C32E7C" w14:paraId="32A6313E" w14:textId="77777777" w:rsidTr="00372E26">
        <w:trPr>
          <w:trHeight w:val="23"/>
        </w:trPr>
        <w:tc>
          <w:tcPr>
            <w:tcW w:w="1495" w:type="pct"/>
            <w:tcBorders>
              <w:bottom w:val="single" w:sz="4" w:space="0" w:color="000000"/>
            </w:tcBorders>
            <w:shd w:val="clear" w:color="auto" w:fill="auto"/>
            <w:vAlign w:val="bottom"/>
          </w:tcPr>
          <w:p w14:paraId="75902192" w14:textId="77777777" w:rsidR="005041C2" w:rsidRPr="00372E26" w:rsidRDefault="005041C2">
            <w:pPr>
              <w:widowControl w:val="0"/>
              <w:pBdr>
                <w:top w:val="nil"/>
                <w:left w:val="nil"/>
                <w:bottom w:val="nil"/>
                <w:right w:val="nil"/>
                <w:between w:val="nil"/>
              </w:pBdr>
              <w:ind w:left="113" w:hanging="113"/>
              <w:rPr>
                <w:i/>
                <w:color w:val="000000"/>
              </w:rPr>
            </w:pPr>
          </w:p>
          <w:p w14:paraId="3564E3F0" w14:textId="1CA5073D" w:rsidR="005041C2" w:rsidRPr="00372E26" w:rsidRDefault="00313B4D">
            <w:pPr>
              <w:widowControl w:val="0"/>
              <w:pBdr>
                <w:top w:val="nil"/>
                <w:left w:val="nil"/>
                <w:bottom w:val="nil"/>
                <w:right w:val="nil"/>
                <w:between w:val="nil"/>
              </w:pBdr>
              <w:ind w:left="113" w:hanging="113"/>
              <w:rPr>
                <w:b/>
                <w:i/>
                <w:color w:val="000000"/>
              </w:rPr>
            </w:pPr>
            <w:r w:rsidRPr="00372E26">
              <w:rPr>
                <w:i/>
                <w:color w:val="000000"/>
              </w:rPr>
              <w:t xml:space="preserve">In thousands of </w:t>
            </w:r>
            <w:r w:rsidR="002649EE" w:rsidRPr="00372E26">
              <w:rPr>
                <w:i/>
                <w:color w:val="000000"/>
              </w:rPr>
              <w:t>EUR</w:t>
            </w:r>
          </w:p>
        </w:tc>
        <w:tc>
          <w:tcPr>
            <w:tcW w:w="472" w:type="pct"/>
            <w:tcBorders>
              <w:top w:val="single" w:sz="4" w:space="0" w:color="000000"/>
              <w:bottom w:val="single" w:sz="4" w:space="0" w:color="000000"/>
            </w:tcBorders>
            <w:shd w:val="clear" w:color="auto" w:fill="auto"/>
          </w:tcPr>
          <w:p w14:paraId="7A893870"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1</w:t>
            </w:r>
          </w:p>
          <w:p w14:paraId="7D47211C" w14:textId="77777777" w:rsidR="005041C2" w:rsidRPr="00372E26" w:rsidRDefault="005041C2" w:rsidP="001B330E">
            <w:pPr>
              <w:widowControl w:val="0"/>
              <w:pBdr>
                <w:top w:val="nil"/>
                <w:left w:val="nil"/>
                <w:bottom w:val="nil"/>
                <w:right w:val="nil"/>
                <w:between w:val="nil"/>
              </w:pBdr>
              <w:ind w:left="-113" w:firstLine="142"/>
              <w:jc w:val="right"/>
              <w:rPr>
                <w:b/>
                <w:color w:val="000000"/>
              </w:rPr>
            </w:pPr>
            <w:r w:rsidRPr="00372E26">
              <w:rPr>
                <w:b/>
                <w:color w:val="000000"/>
              </w:rPr>
              <w:t>(12-months ECL)</w:t>
            </w:r>
          </w:p>
        </w:tc>
        <w:tc>
          <w:tcPr>
            <w:tcW w:w="487" w:type="pct"/>
            <w:tcBorders>
              <w:top w:val="single" w:sz="4" w:space="0" w:color="000000"/>
              <w:bottom w:val="single" w:sz="4" w:space="0" w:color="000000"/>
            </w:tcBorders>
            <w:shd w:val="clear" w:color="auto" w:fill="auto"/>
          </w:tcPr>
          <w:p w14:paraId="2CCE3C43"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2</w:t>
            </w:r>
          </w:p>
          <w:p w14:paraId="7EEAB160"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 xml:space="preserve">(lifetime ECL for SICR) </w:t>
            </w:r>
          </w:p>
        </w:tc>
        <w:tc>
          <w:tcPr>
            <w:tcW w:w="476" w:type="pct"/>
            <w:tcBorders>
              <w:top w:val="single" w:sz="4" w:space="0" w:color="000000"/>
              <w:bottom w:val="single" w:sz="4" w:space="0" w:color="000000"/>
            </w:tcBorders>
            <w:shd w:val="clear" w:color="auto" w:fill="auto"/>
          </w:tcPr>
          <w:p w14:paraId="0CA3A451"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3</w:t>
            </w:r>
          </w:p>
          <w:p w14:paraId="7CE37563"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(lifetime ECL for credit im-paired)</w:t>
            </w:r>
          </w:p>
        </w:tc>
        <w:tc>
          <w:tcPr>
            <w:tcW w:w="317" w:type="pct"/>
            <w:tcBorders>
              <w:top w:val="single" w:sz="4" w:space="0" w:color="000000"/>
              <w:bottom w:val="single" w:sz="4" w:space="0" w:color="000000"/>
            </w:tcBorders>
            <w:shd w:val="clear" w:color="auto" w:fill="auto"/>
          </w:tcPr>
          <w:p w14:paraId="3D1B5F7C"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Total</w:t>
            </w:r>
          </w:p>
        </w:tc>
        <w:tc>
          <w:tcPr>
            <w:tcW w:w="484" w:type="pct"/>
            <w:tcBorders>
              <w:top w:val="single" w:sz="4" w:space="0" w:color="000000"/>
              <w:bottom w:val="single" w:sz="4" w:space="0" w:color="000000"/>
            </w:tcBorders>
          </w:tcPr>
          <w:p w14:paraId="3049663E"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1</w:t>
            </w:r>
          </w:p>
          <w:p w14:paraId="0AE421BB"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(12-months ECL)</w:t>
            </w:r>
          </w:p>
        </w:tc>
        <w:tc>
          <w:tcPr>
            <w:tcW w:w="476" w:type="pct"/>
            <w:tcBorders>
              <w:top w:val="single" w:sz="4" w:space="0" w:color="000000"/>
              <w:bottom w:val="single" w:sz="4" w:space="0" w:color="000000"/>
            </w:tcBorders>
          </w:tcPr>
          <w:p w14:paraId="6CEEC82A"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2</w:t>
            </w:r>
          </w:p>
          <w:p w14:paraId="1F81ED2B"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 xml:space="preserve">(lifetime ECL for SICR) </w:t>
            </w:r>
          </w:p>
        </w:tc>
        <w:tc>
          <w:tcPr>
            <w:tcW w:w="476" w:type="pct"/>
            <w:tcBorders>
              <w:top w:val="single" w:sz="4" w:space="0" w:color="000000"/>
              <w:bottom w:val="single" w:sz="4" w:space="0" w:color="000000"/>
            </w:tcBorders>
          </w:tcPr>
          <w:p w14:paraId="5674527A"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Stage 3</w:t>
            </w:r>
          </w:p>
          <w:p w14:paraId="478CF394"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(lifetime ECL for credit im-paired)</w:t>
            </w:r>
          </w:p>
        </w:tc>
        <w:tc>
          <w:tcPr>
            <w:tcW w:w="316" w:type="pct"/>
            <w:tcBorders>
              <w:top w:val="single" w:sz="4" w:space="0" w:color="000000"/>
              <w:bottom w:val="single" w:sz="4" w:space="0" w:color="000000"/>
            </w:tcBorders>
            <w:shd w:val="clear" w:color="auto" w:fill="auto"/>
          </w:tcPr>
          <w:p w14:paraId="056945C4" w14:textId="77777777" w:rsidR="005041C2" w:rsidRPr="00372E26" w:rsidRDefault="005041C2">
            <w:pPr>
              <w:widowControl w:val="0"/>
              <w:pBdr>
                <w:top w:val="nil"/>
                <w:left w:val="nil"/>
                <w:bottom w:val="nil"/>
                <w:right w:val="nil"/>
                <w:between w:val="nil"/>
              </w:pBdr>
              <w:ind w:left="-113"/>
              <w:jc w:val="right"/>
              <w:rPr>
                <w:b/>
                <w:color w:val="000000"/>
              </w:rPr>
            </w:pPr>
            <w:r w:rsidRPr="00372E26">
              <w:rPr>
                <w:b/>
                <w:color w:val="000000"/>
              </w:rPr>
              <w:t>Total</w:t>
            </w:r>
          </w:p>
        </w:tc>
      </w:tr>
      <w:tr w:rsidR="005041C2" w:rsidRPr="00C32E7C" w14:paraId="0F8CC414" w14:textId="77777777" w:rsidTr="00372E26">
        <w:trPr>
          <w:trHeight w:val="23"/>
        </w:trPr>
        <w:tc>
          <w:tcPr>
            <w:tcW w:w="1495" w:type="pct"/>
            <w:shd w:val="clear" w:color="auto" w:fill="auto"/>
            <w:vAlign w:val="bottom"/>
          </w:tcPr>
          <w:p w14:paraId="2CBBE47A" w14:textId="77777777" w:rsidR="005041C2" w:rsidRPr="00372E26" w:rsidRDefault="005041C2">
            <w:pPr>
              <w:widowControl w:val="0"/>
              <w:ind w:left="113" w:hanging="113"/>
            </w:pPr>
          </w:p>
        </w:tc>
        <w:tc>
          <w:tcPr>
            <w:tcW w:w="472" w:type="pct"/>
            <w:shd w:val="clear" w:color="auto" w:fill="auto"/>
            <w:vAlign w:val="bottom"/>
          </w:tcPr>
          <w:p w14:paraId="3F38E4B4" w14:textId="77777777" w:rsidR="005041C2" w:rsidRPr="00372E26" w:rsidRDefault="005041C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04AA92B4"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1ECAB78B" w14:textId="77777777" w:rsidR="005041C2" w:rsidRPr="00372E26" w:rsidRDefault="005041C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61F01328" w14:textId="77777777" w:rsidR="005041C2" w:rsidRPr="00372E26" w:rsidRDefault="005041C2">
            <w:pPr>
              <w:widowControl w:val="0"/>
              <w:pBdr>
                <w:top w:val="nil"/>
                <w:left w:val="nil"/>
                <w:bottom w:val="nil"/>
                <w:right w:val="nil"/>
                <w:between w:val="nil"/>
              </w:pBdr>
              <w:jc w:val="right"/>
              <w:rPr>
                <w:color w:val="000000"/>
              </w:rPr>
            </w:pPr>
          </w:p>
        </w:tc>
        <w:tc>
          <w:tcPr>
            <w:tcW w:w="484" w:type="pct"/>
          </w:tcPr>
          <w:p w14:paraId="0DA90FC4"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29CE7E43"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71CEA2AF"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1F440551"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12D23C09" w14:textId="77777777" w:rsidTr="00372E26">
        <w:trPr>
          <w:trHeight w:val="23"/>
        </w:trPr>
        <w:tc>
          <w:tcPr>
            <w:tcW w:w="1495" w:type="pct"/>
            <w:shd w:val="clear" w:color="auto" w:fill="auto"/>
            <w:vAlign w:val="bottom"/>
          </w:tcPr>
          <w:p w14:paraId="264AE9F7" w14:textId="558248D1" w:rsidR="005041C2" w:rsidRPr="00372E26" w:rsidRDefault="001F77EE">
            <w:pPr>
              <w:widowControl w:val="0"/>
              <w:pBdr>
                <w:top w:val="nil"/>
                <w:left w:val="nil"/>
                <w:bottom w:val="nil"/>
                <w:right w:val="nil"/>
                <w:between w:val="nil"/>
              </w:pBdr>
              <w:ind w:left="113" w:hanging="113"/>
              <w:rPr>
                <w:b/>
                <w:i/>
                <w:color w:val="000000"/>
              </w:rPr>
            </w:pPr>
            <w:r w:rsidRPr="00372E26">
              <w:rPr>
                <w:b/>
                <w:i/>
                <w:color w:val="0000FF"/>
              </w:rPr>
              <w:t>[</w:t>
            </w:r>
            <w:r w:rsidR="00372E26">
              <w:rPr>
                <w:b/>
                <w:i/>
                <w:color w:val="0000FF"/>
              </w:rPr>
              <w:t>[Country]</w:t>
            </w:r>
            <w:r w:rsidR="005041C2" w:rsidRPr="00372E26">
              <w:rPr>
                <w:b/>
                <w:i/>
                <w:color w:val="0000FF"/>
              </w:rPr>
              <w:t xml:space="preserve"> government bonds</w:t>
            </w:r>
            <w:r w:rsidRPr="00372E26">
              <w:rPr>
                <w:b/>
                <w:i/>
                <w:color w:val="0000FF"/>
              </w:rPr>
              <w:t>]</w:t>
            </w:r>
          </w:p>
        </w:tc>
        <w:tc>
          <w:tcPr>
            <w:tcW w:w="472" w:type="pct"/>
            <w:shd w:val="clear" w:color="auto" w:fill="auto"/>
            <w:vAlign w:val="bottom"/>
          </w:tcPr>
          <w:p w14:paraId="22FE7323"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1693C75B"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E53A608"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2A154EAF" w14:textId="77777777" w:rsidR="005041C2" w:rsidRPr="00372E26" w:rsidRDefault="005041C2">
            <w:pPr>
              <w:widowControl w:val="0"/>
              <w:pBdr>
                <w:top w:val="nil"/>
                <w:left w:val="nil"/>
                <w:bottom w:val="nil"/>
                <w:right w:val="nil"/>
                <w:between w:val="nil"/>
              </w:pBdr>
              <w:jc w:val="right"/>
              <w:rPr>
                <w:color w:val="000000"/>
              </w:rPr>
            </w:pPr>
          </w:p>
        </w:tc>
        <w:tc>
          <w:tcPr>
            <w:tcW w:w="484" w:type="pct"/>
          </w:tcPr>
          <w:p w14:paraId="39D03771"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03EBC8B0"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077ECB3A"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264727E5"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501F616A" w14:textId="77777777" w:rsidTr="00372E26">
        <w:trPr>
          <w:trHeight w:val="23"/>
        </w:trPr>
        <w:tc>
          <w:tcPr>
            <w:tcW w:w="1495" w:type="pct"/>
            <w:shd w:val="clear" w:color="auto" w:fill="auto"/>
            <w:vAlign w:val="bottom"/>
          </w:tcPr>
          <w:p w14:paraId="2655CF75" w14:textId="77777777" w:rsidR="005041C2" w:rsidRPr="00372E26" w:rsidRDefault="005041C2">
            <w:pPr>
              <w:widowControl w:val="0"/>
              <w:pBdr>
                <w:top w:val="nil"/>
                <w:left w:val="nil"/>
                <w:bottom w:val="nil"/>
                <w:right w:val="nil"/>
                <w:between w:val="nil"/>
              </w:pBdr>
              <w:ind w:left="113" w:hanging="113"/>
              <w:rPr>
                <w:b/>
                <w:i/>
                <w:color w:val="000000"/>
              </w:rPr>
            </w:pPr>
          </w:p>
        </w:tc>
        <w:tc>
          <w:tcPr>
            <w:tcW w:w="472" w:type="pct"/>
            <w:shd w:val="clear" w:color="auto" w:fill="auto"/>
            <w:vAlign w:val="bottom"/>
          </w:tcPr>
          <w:p w14:paraId="45047918"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57A67365"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27A5D630"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2016C9E1" w14:textId="77777777" w:rsidR="005041C2" w:rsidRPr="00372E26" w:rsidRDefault="005041C2">
            <w:pPr>
              <w:widowControl w:val="0"/>
              <w:pBdr>
                <w:top w:val="nil"/>
                <w:left w:val="nil"/>
                <w:bottom w:val="nil"/>
                <w:right w:val="nil"/>
                <w:between w:val="nil"/>
              </w:pBdr>
              <w:jc w:val="right"/>
              <w:rPr>
                <w:color w:val="000000"/>
              </w:rPr>
            </w:pPr>
          </w:p>
        </w:tc>
        <w:tc>
          <w:tcPr>
            <w:tcW w:w="484" w:type="pct"/>
          </w:tcPr>
          <w:p w14:paraId="5B7E4FBE"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17C6239D"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2750ED9E"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66B886FC"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752DC4EF" w14:textId="77777777" w:rsidTr="00372E26">
        <w:trPr>
          <w:trHeight w:val="23"/>
        </w:trPr>
        <w:tc>
          <w:tcPr>
            <w:tcW w:w="1495" w:type="pct"/>
            <w:shd w:val="clear" w:color="auto" w:fill="auto"/>
            <w:vAlign w:val="bottom"/>
          </w:tcPr>
          <w:p w14:paraId="5EE9009D" w14:textId="1EF03CC0" w:rsidR="005041C2" w:rsidRPr="00372E26" w:rsidRDefault="005041C2">
            <w:pPr>
              <w:widowControl w:val="0"/>
              <w:pBdr>
                <w:top w:val="nil"/>
                <w:left w:val="nil"/>
                <w:bottom w:val="nil"/>
                <w:right w:val="nil"/>
                <w:between w:val="nil"/>
              </w:pBdr>
              <w:ind w:left="113" w:hanging="113"/>
              <w:rPr>
                <w:b/>
                <w:color w:val="0000FF"/>
              </w:rPr>
            </w:pPr>
            <w:r w:rsidRPr="00372E26">
              <w:rPr>
                <w:b/>
                <w:color w:val="000000"/>
              </w:rPr>
              <w:t xml:space="preserve">At 1 January </w:t>
            </w:r>
            <w:r w:rsidR="00541EBC">
              <w:rPr>
                <w:b/>
                <w:color w:val="000000"/>
              </w:rPr>
              <w:t>2023</w:t>
            </w:r>
          </w:p>
        </w:tc>
        <w:tc>
          <w:tcPr>
            <w:tcW w:w="472" w:type="pct"/>
            <w:shd w:val="clear" w:color="auto" w:fill="auto"/>
            <w:vAlign w:val="bottom"/>
          </w:tcPr>
          <w:p w14:paraId="2BC97076"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69EC2825"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23CD0602"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0B6C4A27" w14:textId="77777777" w:rsidR="005041C2" w:rsidRPr="00372E26" w:rsidRDefault="005041C2">
            <w:pPr>
              <w:widowControl w:val="0"/>
              <w:pBdr>
                <w:top w:val="nil"/>
                <w:left w:val="nil"/>
                <w:bottom w:val="nil"/>
                <w:right w:val="nil"/>
                <w:between w:val="nil"/>
              </w:pBdr>
              <w:jc w:val="right"/>
              <w:rPr>
                <w:color w:val="000000"/>
              </w:rPr>
            </w:pPr>
          </w:p>
        </w:tc>
        <w:tc>
          <w:tcPr>
            <w:tcW w:w="484" w:type="pct"/>
          </w:tcPr>
          <w:p w14:paraId="554580EB"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666F9E3F"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6316BFC9"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7AC8673F"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3E472559" w14:textId="77777777" w:rsidTr="00372E26">
        <w:trPr>
          <w:trHeight w:val="23"/>
        </w:trPr>
        <w:tc>
          <w:tcPr>
            <w:tcW w:w="1495" w:type="pct"/>
            <w:shd w:val="clear" w:color="auto" w:fill="auto"/>
            <w:vAlign w:val="bottom"/>
          </w:tcPr>
          <w:p w14:paraId="77E8F823" w14:textId="77777777" w:rsidR="005041C2" w:rsidRPr="00372E26" w:rsidRDefault="005041C2">
            <w:pPr>
              <w:widowControl w:val="0"/>
              <w:pBdr>
                <w:top w:val="nil"/>
                <w:left w:val="nil"/>
                <w:bottom w:val="nil"/>
                <w:right w:val="nil"/>
                <w:between w:val="nil"/>
              </w:pBdr>
              <w:ind w:left="113" w:hanging="113"/>
              <w:rPr>
                <w:b/>
                <w:color w:val="000000"/>
              </w:rPr>
            </w:pPr>
          </w:p>
          <w:p w14:paraId="3F844589" w14:textId="77777777" w:rsidR="005041C2" w:rsidRPr="00372E26" w:rsidRDefault="005041C2">
            <w:pPr>
              <w:widowControl w:val="0"/>
              <w:pBdr>
                <w:top w:val="nil"/>
                <w:left w:val="nil"/>
                <w:bottom w:val="nil"/>
                <w:right w:val="nil"/>
                <w:between w:val="nil"/>
              </w:pBdr>
              <w:ind w:left="113" w:hanging="113"/>
              <w:rPr>
                <w:b/>
                <w:color w:val="000000"/>
              </w:rPr>
            </w:pPr>
            <w:r w:rsidRPr="00372E26">
              <w:rPr>
                <w:i/>
                <w:color w:val="000000"/>
              </w:rPr>
              <w:t>Movements with impact on credit loss allowance charge for the period:</w:t>
            </w:r>
          </w:p>
        </w:tc>
        <w:tc>
          <w:tcPr>
            <w:tcW w:w="472" w:type="pct"/>
            <w:shd w:val="clear" w:color="auto" w:fill="auto"/>
            <w:vAlign w:val="bottom"/>
          </w:tcPr>
          <w:p w14:paraId="506C651F"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6970339F"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1079410B"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16C0F427" w14:textId="77777777" w:rsidR="005041C2" w:rsidRPr="00372E26" w:rsidRDefault="005041C2">
            <w:pPr>
              <w:widowControl w:val="0"/>
              <w:pBdr>
                <w:top w:val="nil"/>
                <w:left w:val="nil"/>
                <w:bottom w:val="nil"/>
                <w:right w:val="nil"/>
                <w:between w:val="nil"/>
              </w:pBdr>
              <w:jc w:val="right"/>
              <w:rPr>
                <w:color w:val="000000"/>
              </w:rPr>
            </w:pPr>
          </w:p>
        </w:tc>
        <w:tc>
          <w:tcPr>
            <w:tcW w:w="484" w:type="pct"/>
          </w:tcPr>
          <w:p w14:paraId="100D9445" w14:textId="77777777" w:rsidR="005041C2" w:rsidRPr="00372E26" w:rsidRDefault="005041C2" w:rsidP="001B330E">
            <w:pPr>
              <w:widowControl w:val="0"/>
              <w:pBdr>
                <w:top w:val="nil"/>
                <w:left w:val="nil"/>
                <w:bottom w:val="nil"/>
                <w:right w:val="nil"/>
                <w:between w:val="nil"/>
              </w:pBdr>
              <w:jc w:val="right"/>
              <w:rPr>
                <w:color w:val="000000"/>
              </w:rPr>
            </w:pPr>
          </w:p>
        </w:tc>
        <w:tc>
          <w:tcPr>
            <w:tcW w:w="476" w:type="pct"/>
          </w:tcPr>
          <w:p w14:paraId="73FDDDAD"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6D2E220B"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1DDCE4ED"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03C09D16" w14:textId="77777777" w:rsidTr="00372E26">
        <w:trPr>
          <w:trHeight w:val="23"/>
        </w:trPr>
        <w:tc>
          <w:tcPr>
            <w:tcW w:w="1495" w:type="pct"/>
            <w:shd w:val="clear" w:color="auto" w:fill="auto"/>
            <w:vAlign w:val="bottom"/>
          </w:tcPr>
          <w:p w14:paraId="4A70AB96" w14:textId="77777777" w:rsidR="005041C2" w:rsidRPr="00372E26" w:rsidRDefault="005041C2">
            <w:pPr>
              <w:widowControl w:val="0"/>
              <w:pBdr>
                <w:top w:val="nil"/>
                <w:left w:val="nil"/>
                <w:bottom w:val="nil"/>
                <w:right w:val="nil"/>
                <w:between w:val="nil"/>
              </w:pBdr>
              <w:ind w:left="113" w:hanging="113"/>
              <w:rPr>
                <w:color w:val="000000"/>
              </w:rPr>
            </w:pPr>
          </w:p>
        </w:tc>
        <w:tc>
          <w:tcPr>
            <w:tcW w:w="472" w:type="pct"/>
            <w:shd w:val="clear" w:color="auto" w:fill="auto"/>
            <w:vAlign w:val="bottom"/>
          </w:tcPr>
          <w:p w14:paraId="5F7374AE" w14:textId="77777777" w:rsidR="005041C2" w:rsidRPr="00372E26"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6B501338"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9FE4DA4" w14:textId="77777777" w:rsidR="005041C2" w:rsidRPr="00372E26"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2BF587FD" w14:textId="77777777" w:rsidR="005041C2" w:rsidRPr="00372E26" w:rsidRDefault="005041C2">
            <w:pPr>
              <w:widowControl w:val="0"/>
              <w:pBdr>
                <w:top w:val="nil"/>
                <w:left w:val="nil"/>
                <w:bottom w:val="nil"/>
                <w:right w:val="nil"/>
                <w:between w:val="nil"/>
              </w:pBdr>
              <w:jc w:val="right"/>
              <w:rPr>
                <w:color w:val="000000"/>
                <w:highlight w:val="green"/>
              </w:rPr>
            </w:pPr>
          </w:p>
        </w:tc>
        <w:tc>
          <w:tcPr>
            <w:tcW w:w="484" w:type="pct"/>
          </w:tcPr>
          <w:p w14:paraId="023024C7"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0BFF986C"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67872E91" w14:textId="77777777" w:rsidR="005041C2" w:rsidRPr="00372E26"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8125E83"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C32E7C" w14:paraId="42C5EFBD" w14:textId="77777777" w:rsidTr="00372E26">
        <w:trPr>
          <w:trHeight w:val="23"/>
        </w:trPr>
        <w:tc>
          <w:tcPr>
            <w:tcW w:w="1495" w:type="pct"/>
            <w:shd w:val="clear" w:color="auto" w:fill="auto"/>
            <w:vAlign w:val="bottom"/>
          </w:tcPr>
          <w:p w14:paraId="0F571223" w14:textId="77777777" w:rsidR="005041C2" w:rsidRPr="00372E26" w:rsidRDefault="005041C2">
            <w:pPr>
              <w:widowControl w:val="0"/>
              <w:pBdr>
                <w:top w:val="nil"/>
                <w:left w:val="nil"/>
                <w:bottom w:val="nil"/>
                <w:right w:val="nil"/>
                <w:between w:val="nil"/>
              </w:pBdr>
              <w:ind w:left="113" w:hanging="113"/>
              <w:rPr>
                <w:color w:val="0000FF"/>
              </w:rPr>
            </w:pPr>
            <w:r w:rsidRPr="00372E26">
              <w:rPr>
                <w:color w:val="000000"/>
              </w:rPr>
              <w:t>Transfers:</w:t>
            </w:r>
          </w:p>
        </w:tc>
        <w:tc>
          <w:tcPr>
            <w:tcW w:w="472" w:type="pct"/>
            <w:shd w:val="clear" w:color="auto" w:fill="auto"/>
            <w:vAlign w:val="bottom"/>
          </w:tcPr>
          <w:p w14:paraId="1A5F8496" w14:textId="77777777" w:rsidR="005041C2" w:rsidRPr="00372E26"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5D6E26FD"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65DA9019" w14:textId="77777777" w:rsidR="005041C2" w:rsidRPr="00372E26"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0CD70745" w14:textId="77777777" w:rsidR="005041C2" w:rsidRPr="00372E26" w:rsidRDefault="005041C2">
            <w:pPr>
              <w:widowControl w:val="0"/>
              <w:pBdr>
                <w:top w:val="nil"/>
                <w:left w:val="nil"/>
                <w:bottom w:val="nil"/>
                <w:right w:val="nil"/>
                <w:between w:val="nil"/>
              </w:pBdr>
              <w:jc w:val="right"/>
              <w:rPr>
                <w:color w:val="000000"/>
                <w:highlight w:val="green"/>
              </w:rPr>
            </w:pPr>
          </w:p>
        </w:tc>
        <w:tc>
          <w:tcPr>
            <w:tcW w:w="484" w:type="pct"/>
          </w:tcPr>
          <w:p w14:paraId="6E012FE3"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3E970A55"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437423E3" w14:textId="77777777" w:rsidR="005041C2" w:rsidRPr="00372E26"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5991A078"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C32E7C" w14:paraId="47643506" w14:textId="77777777" w:rsidTr="00372E26">
        <w:trPr>
          <w:trHeight w:val="23"/>
        </w:trPr>
        <w:tc>
          <w:tcPr>
            <w:tcW w:w="1495" w:type="pct"/>
            <w:shd w:val="clear" w:color="auto" w:fill="auto"/>
            <w:vAlign w:val="bottom"/>
          </w:tcPr>
          <w:p w14:paraId="3E8AFED3"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 to lifetime (from Stage 1 to Stage 2)</w:t>
            </w:r>
          </w:p>
        </w:tc>
        <w:tc>
          <w:tcPr>
            <w:tcW w:w="472" w:type="pct"/>
            <w:shd w:val="clear" w:color="auto" w:fill="auto"/>
            <w:vAlign w:val="bottom"/>
          </w:tcPr>
          <w:p w14:paraId="755EC455" w14:textId="77777777" w:rsidR="005041C2" w:rsidRPr="00372E26"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4F9EEF5B"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1F516747" w14:textId="77777777" w:rsidR="005041C2" w:rsidRPr="00372E26"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10F3D3E1" w14:textId="77777777" w:rsidR="005041C2" w:rsidRPr="00372E26" w:rsidRDefault="005041C2">
            <w:pPr>
              <w:widowControl w:val="0"/>
              <w:pBdr>
                <w:top w:val="nil"/>
                <w:left w:val="nil"/>
                <w:bottom w:val="nil"/>
                <w:right w:val="nil"/>
                <w:between w:val="nil"/>
              </w:pBdr>
              <w:jc w:val="right"/>
              <w:rPr>
                <w:color w:val="000000"/>
                <w:highlight w:val="green"/>
              </w:rPr>
            </w:pPr>
          </w:p>
        </w:tc>
        <w:tc>
          <w:tcPr>
            <w:tcW w:w="484" w:type="pct"/>
          </w:tcPr>
          <w:p w14:paraId="20C33A5C"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7CA28E98"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03455FBF" w14:textId="77777777" w:rsidR="005041C2" w:rsidRPr="00372E26"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1776E60D"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C32E7C" w14:paraId="21BA9381" w14:textId="77777777" w:rsidTr="00372E26">
        <w:trPr>
          <w:trHeight w:val="23"/>
        </w:trPr>
        <w:tc>
          <w:tcPr>
            <w:tcW w:w="1495" w:type="pct"/>
            <w:shd w:val="clear" w:color="auto" w:fill="auto"/>
            <w:vAlign w:val="bottom"/>
          </w:tcPr>
          <w:p w14:paraId="6A530FC7"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 to credit-impaired (from Stage 1 and Stage 2 to Stage 3)</w:t>
            </w:r>
          </w:p>
        </w:tc>
        <w:tc>
          <w:tcPr>
            <w:tcW w:w="472" w:type="pct"/>
            <w:shd w:val="clear" w:color="auto" w:fill="auto"/>
            <w:vAlign w:val="bottom"/>
          </w:tcPr>
          <w:p w14:paraId="0F913504" w14:textId="77777777" w:rsidR="005041C2" w:rsidRPr="00372E26"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50AB8742"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5F70E0A4" w14:textId="77777777" w:rsidR="005041C2" w:rsidRPr="00372E26"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0866E27A" w14:textId="77777777" w:rsidR="005041C2" w:rsidRPr="00372E26" w:rsidRDefault="005041C2">
            <w:pPr>
              <w:widowControl w:val="0"/>
              <w:pBdr>
                <w:top w:val="nil"/>
                <w:left w:val="nil"/>
                <w:bottom w:val="nil"/>
                <w:right w:val="nil"/>
                <w:between w:val="nil"/>
              </w:pBdr>
              <w:jc w:val="right"/>
              <w:rPr>
                <w:color w:val="000000"/>
                <w:highlight w:val="green"/>
              </w:rPr>
            </w:pPr>
          </w:p>
        </w:tc>
        <w:tc>
          <w:tcPr>
            <w:tcW w:w="484" w:type="pct"/>
          </w:tcPr>
          <w:p w14:paraId="3953102A"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429FDFD1"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0A5A367C" w14:textId="77777777" w:rsidR="005041C2" w:rsidRPr="00372E26"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1E8F98E"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C32E7C" w14:paraId="0CCDBA72" w14:textId="77777777" w:rsidTr="00372E26">
        <w:trPr>
          <w:trHeight w:val="23"/>
        </w:trPr>
        <w:tc>
          <w:tcPr>
            <w:tcW w:w="1495" w:type="pct"/>
            <w:shd w:val="clear" w:color="auto" w:fill="auto"/>
            <w:vAlign w:val="bottom"/>
          </w:tcPr>
          <w:p w14:paraId="0DB98A51"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 to 12-months ECL (from Stage 2 and Stage 3 to Stage 1)</w:t>
            </w:r>
          </w:p>
        </w:tc>
        <w:tc>
          <w:tcPr>
            <w:tcW w:w="472" w:type="pct"/>
            <w:shd w:val="clear" w:color="auto" w:fill="auto"/>
            <w:vAlign w:val="bottom"/>
          </w:tcPr>
          <w:p w14:paraId="21FBFFB9" w14:textId="77777777" w:rsidR="005041C2" w:rsidRPr="00372E26"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5B8E1BD2"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5CE294B" w14:textId="77777777" w:rsidR="005041C2" w:rsidRPr="00372E26"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01131291" w14:textId="77777777" w:rsidR="005041C2" w:rsidRPr="00372E26" w:rsidRDefault="005041C2">
            <w:pPr>
              <w:widowControl w:val="0"/>
              <w:pBdr>
                <w:top w:val="nil"/>
                <w:left w:val="nil"/>
                <w:bottom w:val="nil"/>
                <w:right w:val="nil"/>
                <w:between w:val="nil"/>
              </w:pBdr>
              <w:jc w:val="right"/>
              <w:rPr>
                <w:color w:val="000000"/>
                <w:highlight w:val="green"/>
              </w:rPr>
            </w:pPr>
          </w:p>
        </w:tc>
        <w:tc>
          <w:tcPr>
            <w:tcW w:w="484" w:type="pct"/>
          </w:tcPr>
          <w:p w14:paraId="6EC9AF37"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4A53CA37"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tcPr>
          <w:p w14:paraId="0B8175ED" w14:textId="77777777" w:rsidR="005041C2" w:rsidRPr="00372E26"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0095C5B1"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C32E7C" w14:paraId="4CB06D65" w14:textId="77777777" w:rsidTr="00372E26">
        <w:trPr>
          <w:trHeight w:val="23"/>
        </w:trPr>
        <w:tc>
          <w:tcPr>
            <w:tcW w:w="1495" w:type="pct"/>
            <w:shd w:val="clear" w:color="auto" w:fill="auto"/>
            <w:vAlign w:val="bottom"/>
          </w:tcPr>
          <w:p w14:paraId="4B766229"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New originated or purchased</w:t>
            </w:r>
          </w:p>
        </w:tc>
        <w:tc>
          <w:tcPr>
            <w:tcW w:w="472" w:type="pct"/>
            <w:shd w:val="clear" w:color="auto" w:fill="auto"/>
            <w:vAlign w:val="bottom"/>
          </w:tcPr>
          <w:p w14:paraId="17A08D76"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055F9979"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F8F73E0"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7D5D25B3" w14:textId="77777777" w:rsidR="005041C2" w:rsidRPr="00372E26" w:rsidRDefault="005041C2">
            <w:pPr>
              <w:widowControl w:val="0"/>
              <w:pBdr>
                <w:top w:val="nil"/>
                <w:left w:val="nil"/>
                <w:bottom w:val="nil"/>
                <w:right w:val="nil"/>
                <w:between w:val="nil"/>
              </w:pBdr>
              <w:jc w:val="right"/>
              <w:rPr>
                <w:color w:val="000000"/>
              </w:rPr>
            </w:pPr>
          </w:p>
        </w:tc>
        <w:tc>
          <w:tcPr>
            <w:tcW w:w="484" w:type="pct"/>
          </w:tcPr>
          <w:p w14:paraId="2C2D8165"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68C9BCC1"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1E5B39BE"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2CC2EAA4"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7550DB3F" w14:textId="77777777" w:rsidTr="00372E26">
        <w:trPr>
          <w:trHeight w:val="23"/>
        </w:trPr>
        <w:tc>
          <w:tcPr>
            <w:tcW w:w="1495" w:type="pct"/>
            <w:shd w:val="clear" w:color="auto" w:fill="auto"/>
            <w:vAlign w:val="bottom"/>
          </w:tcPr>
          <w:p w14:paraId="27619109"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Derecognised during the period</w:t>
            </w:r>
          </w:p>
        </w:tc>
        <w:tc>
          <w:tcPr>
            <w:tcW w:w="472" w:type="pct"/>
            <w:shd w:val="clear" w:color="auto" w:fill="auto"/>
            <w:vAlign w:val="bottom"/>
          </w:tcPr>
          <w:p w14:paraId="6505DBD6"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2CCF8B37"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11C9B17"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3176A097" w14:textId="77777777" w:rsidR="005041C2" w:rsidRPr="00372E26" w:rsidRDefault="005041C2">
            <w:pPr>
              <w:widowControl w:val="0"/>
              <w:pBdr>
                <w:top w:val="nil"/>
                <w:left w:val="nil"/>
                <w:bottom w:val="nil"/>
                <w:right w:val="nil"/>
                <w:between w:val="nil"/>
              </w:pBdr>
              <w:jc w:val="right"/>
              <w:rPr>
                <w:color w:val="000000"/>
              </w:rPr>
            </w:pPr>
          </w:p>
        </w:tc>
        <w:tc>
          <w:tcPr>
            <w:tcW w:w="484" w:type="pct"/>
          </w:tcPr>
          <w:p w14:paraId="04A41943"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2669E22E" w14:textId="77777777" w:rsidR="005041C2" w:rsidRPr="00372E26" w:rsidRDefault="005041C2">
            <w:pPr>
              <w:widowControl w:val="0"/>
              <w:pBdr>
                <w:top w:val="nil"/>
                <w:left w:val="nil"/>
                <w:bottom w:val="nil"/>
                <w:right w:val="nil"/>
                <w:between w:val="nil"/>
              </w:pBdr>
              <w:jc w:val="right"/>
              <w:rPr>
                <w:color w:val="000000"/>
              </w:rPr>
            </w:pPr>
          </w:p>
        </w:tc>
        <w:tc>
          <w:tcPr>
            <w:tcW w:w="476" w:type="pct"/>
          </w:tcPr>
          <w:p w14:paraId="4716B316"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4CE12B8F"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1ACB52E8" w14:textId="77777777" w:rsidTr="00372E26">
        <w:trPr>
          <w:trHeight w:val="23"/>
        </w:trPr>
        <w:tc>
          <w:tcPr>
            <w:tcW w:w="1495" w:type="pct"/>
            <w:shd w:val="clear" w:color="auto" w:fill="auto"/>
            <w:vAlign w:val="bottom"/>
          </w:tcPr>
          <w:p w14:paraId="39F7F8F9"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Changes to ECL measurement model assumptions</w:t>
            </w:r>
          </w:p>
        </w:tc>
        <w:tc>
          <w:tcPr>
            <w:tcW w:w="472" w:type="pct"/>
            <w:shd w:val="clear" w:color="auto" w:fill="auto"/>
            <w:vAlign w:val="bottom"/>
          </w:tcPr>
          <w:p w14:paraId="7917304F"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09A54E53"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25BA70F0"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7C8B7629" w14:textId="77777777" w:rsidR="005041C2" w:rsidRPr="00372E26" w:rsidRDefault="005041C2">
            <w:pPr>
              <w:widowControl w:val="0"/>
              <w:pBdr>
                <w:top w:val="nil"/>
                <w:left w:val="nil"/>
                <w:bottom w:val="nil"/>
                <w:right w:val="nil"/>
                <w:between w:val="nil"/>
              </w:pBdr>
              <w:jc w:val="right"/>
              <w:rPr>
                <w:color w:val="000000"/>
              </w:rPr>
            </w:pPr>
          </w:p>
        </w:tc>
        <w:tc>
          <w:tcPr>
            <w:tcW w:w="484" w:type="pct"/>
            <w:vAlign w:val="bottom"/>
          </w:tcPr>
          <w:p w14:paraId="0EF60C4D"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1042AB36"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68AEE3CC"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1865F742"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7AAE8204" w14:textId="77777777" w:rsidTr="00372E26">
        <w:trPr>
          <w:trHeight w:val="23"/>
        </w:trPr>
        <w:tc>
          <w:tcPr>
            <w:tcW w:w="1495" w:type="pct"/>
            <w:shd w:val="clear" w:color="auto" w:fill="auto"/>
            <w:vAlign w:val="bottom"/>
          </w:tcPr>
          <w:p w14:paraId="05383D0A"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 xml:space="preserve">Unwinding of discount </w:t>
            </w:r>
          </w:p>
        </w:tc>
        <w:tc>
          <w:tcPr>
            <w:tcW w:w="472" w:type="pct"/>
            <w:shd w:val="clear" w:color="auto" w:fill="auto"/>
            <w:vAlign w:val="bottom"/>
          </w:tcPr>
          <w:p w14:paraId="598A694B"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2DF65915"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5EC4579D"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2D620BD6" w14:textId="77777777" w:rsidR="005041C2" w:rsidRPr="00372E26" w:rsidRDefault="005041C2">
            <w:pPr>
              <w:widowControl w:val="0"/>
              <w:pBdr>
                <w:top w:val="nil"/>
                <w:left w:val="nil"/>
                <w:bottom w:val="nil"/>
                <w:right w:val="nil"/>
                <w:between w:val="nil"/>
              </w:pBdr>
              <w:jc w:val="right"/>
              <w:rPr>
                <w:color w:val="000000"/>
              </w:rPr>
            </w:pPr>
          </w:p>
        </w:tc>
        <w:tc>
          <w:tcPr>
            <w:tcW w:w="484" w:type="pct"/>
            <w:vAlign w:val="bottom"/>
          </w:tcPr>
          <w:p w14:paraId="5B6DCA75"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1DFCE22B"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097D422C"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25604E74"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26D4D1E2" w14:textId="77777777" w:rsidTr="00372E26">
        <w:trPr>
          <w:trHeight w:val="23"/>
        </w:trPr>
        <w:tc>
          <w:tcPr>
            <w:tcW w:w="1495" w:type="pct"/>
            <w:shd w:val="clear" w:color="auto" w:fill="auto"/>
            <w:vAlign w:val="bottom"/>
          </w:tcPr>
          <w:p w14:paraId="13BED768"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Changes in accrued interest</w:t>
            </w:r>
          </w:p>
        </w:tc>
        <w:tc>
          <w:tcPr>
            <w:tcW w:w="472" w:type="pct"/>
            <w:shd w:val="clear" w:color="auto" w:fill="auto"/>
            <w:vAlign w:val="bottom"/>
          </w:tcPr>
          <w:p w14:paraId="1B5A5F50"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7507522E"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4E8B1E9"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5DFE1394" w14:textId="77777777" w:rsidR="005041C2" w:rsidRPr="00372E26" w:rsidRDefault="005041C2">
            <w:pPr>
              <w:widowControl w:val="0"/>
              <w:pBdr>
                <w:top w:val="nil"/>
                <w:left w:val="nil"/>
                <w:bottom w:val="nil"/>
                <w:right w:val="nil"/>
                <w:between w:val="nil"/>
              </w:pBdr>
              <w:jc w:val="right"/>
              <w:rPr>
                <w:color w:val="000000"/>
              </w:rPr>
            </w:pPr>
          </w:p>
        </w:tc>
        <w:tc>
          <w:tcPr>
            <w:tcW w:w="484" w:type="pct"/>
            <w:vAlign w:val="bottom"/>
          </w:tcPr>
          <w:p w14:paraId="3C70682C"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3F5938C6"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5CE3E722"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2E26F013"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235C8718" w14:textId="77777777" w:rsidTr="00372E26">
        <w:trPr>
          <w:trHeight w:val="23"/>
        </w:trPr>
        <w:tc>
          <w:tcPr>
            <w:tcW w:w="1495" w:type="pct"/>
            <w:shd w:val="clear" w:color="auto" w:fill="auto"/>
            <w:vAlign w:val="bottom"/>
          </w:tcPr>
          <w:p w14:paraId="4D84A1CB"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Other movements</w:t>
            </w:r>
          </w:p>
        </w:tc>
        <w:tc>
          <w:tcPr>
            <w:tcW w:w="472" w:type="pct"/>
            <w:shd w:val="clear" w:color="auto" w:fill="auto"/>
            <w:vAlign w:val="bottom"/>
          </w:tcPr>
          <w:p w14:paraId="743FC8A7"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4E019BB0"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2EBE93DE"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603B78D3" w14:textId="77777777" w:rsidR="005041C2" w:rsidRPr="00372E26" w:rsidRDefault="005041C2">
            <w:pPr>
              <w:widowControl w:val="0"/>
              <w:pBdr>
                <w:top w:val="nil"/>
                <w:left w:val="nil"/>
                <w:bottom w:val="nil"/>
                <w:right w:val="nil"/>
                <w:between w:val="nil"/>
              </w:pBdr>
              <w:jc w:val="right"/>
              <w:rPr>
                <w:color w:val="000000"/>
              </w:rPr>
            </w:pPr>
          </w:p>
        </w:tc>
        <w:tc>
          <w:tcPr>
            <w:tcW w:w="484" w:type="pct"/>
            <w:vAlign w:val="bottom"/>
          </w:tcPr>
          <w:p w14:paraId="12E4BD80"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6C468CC6"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69936763"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56F22AB0"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525AC305" w14:textId="77777777" w:rsidTr="00372E26">
        <w:trPr>
          <w:trHeight w:val="23"/>
        </w:trPr>
        <w:tc>
          <w:tcPr>
            <w:tcW w:w="1495" w:type="pct"/>
            <w:tcBorders>
              <w:bottom w:val="single" w:sz="4" w:space="0" w:color="000000"/>
            </w:tcBorders>
            <w:shd w:val="clear" w:color="auto" w:fill="auto"/>
            <w:vAlign w:val="bottom"/>
          </w:tcPr>
          <w:p w14:paraId="2FB75F70" w14:textId="77777777" w:rsidR="005041C2" w:rsidRPr="00372E26" w:rsidRDefault="005041C2">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28D51C9D" w14:textId="77777777" w:rsidR="005041C2" w:rsidRPr="00372E26" w:rsidRDefault="005041C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12B76D1C"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21E175E2" w14:textId="77777777" w:rsidR="005041C2" w:rsidRPr="00372E26" w:rsidRDefault="005041C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6174271B" w14:textId="77777777" w:rsidR="005041C2" w:rsidRPr="00372E26" w:rsidRDefault="005041C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5377BD1E"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339F100D"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783788A1" w14:textId="77777777" w:rsidR="005041C2" w:rsidRPr="00372E26" w:rsidRDefault="005041C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05817464"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26D098DB" w14:textId="77777777" w:rsidTr="00372E26">
        <w:trPr>
          <w:trHeight w:val="23"/>
        </w:trPr>
        <w:tc>
          <w:tcPr>
            <w:tcW w:w="1495" w:type="pct"/>
            <w:tcBorders>
              <w:top w:val="single" w:sz="4" w:space="0" w:color="000000"/>
            </w:tcBorders>
            <w:shd w:val="clear" w:color="auto" w:fill="auto"/>
            <w:vAlign w:val="bottom"/>
          </w:tcPr>
          <w:p w14:paraId="7EF87479" w14:textId="77777777" w:rsidR="005041C2" w:rsidRPr="00372E26" w:rsidRDefault="005041C2">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1C99481C" w14:textId="77777777" w:rsidR="005041C2" w:rsidRPr="00372E26" w:rsidRDefault="005041C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3F702147"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4BB98918" w14:textId="77777777" w:rsidR="005041C2" w:rsidRPr="00372E26" w:rsidRDefault="005041C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27CD3191" w14:textId="77777777" w:rsidR="005041C2" w:rsidRPr="00372E26" w:rsidRDefault="005041C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60A9A7E5"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679AF92B"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3F55E5ED" w14:textId="77777777" w:rsidR="005041C2" w:rsidRPr="00372E26" w:rsidRDefault="005041C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5D627FE0"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4AB7EB1D" w14:textId="77777777" w:rsidTr="00372E26">
        <w:trPr>
          <w:trHeight w:val="23"/>
        </w:trPr>
        <w:tc>
          <w:tcPr>
            <w:tcW w:w="1495" w:type="pct"/>
            <w:shd w:val="clear" w:color="auto" w:fill="auto"/>
            <w:vAlign w:val="bottom"/>
          </w:tcPr>
          <w:p w14:paraId="2B84D34A" w14:textId="77777777" w:rsidR="005041C2" w:rsidRPr="00372E26" w:rsidRDefault="005041C2">
            <w:pPr>
              <w:widowControl w:val="0"/>
              <w:pBdr>
                <w:top w:val="nil"/>
                <w:left w:val="nil"/>
                <w:bottom w:val="nil"/>
                <w:right w:val="nil"/>
                <w:between w:val="nil"/>
              </w:pBdr>
              <w:ind w:left="113" w:hanging="113"/>
              <w:rPr>
                <w:b/>
                <w:color w:val="000000"/>
              </w:rPr>
            </w:pPr>
            <w:r w:rsidRPr="00372E26">
              <w:rPr>
                <w:b/>
                <w:color w:val="000000"/>
              </w:rPr>
              <w:t>Total movements with impact on credit loss allowance charge for the period</w:t>
            </w:r>
          </w:p>
        </w:tc>
        <w:tc>
          <w:tcPr>
            <w:tcW w:w="472" w:type="pct"/>
            <w:shd w:val="clear" w:color="auto" w:fill="auto"/>
            <w:vAlign w:val="bottom"/>
          </w:tcPr>
          <w:p w14:paraId="21AA8D89"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27047778"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716800FF"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3DFB1EA3" w14:textId="77777777" w:rsidR="005041C2" w:rsidRPr="00372E26" w:rsidRDefault="005041C2">
            <w:pPr>
              <w:widowControl w:val="0"/>
              <w:pBdr>
                <w:top w:val="nil"/>
                <w:left w:val="nil"/>
                <w:bottom w:val="nil"/>
                <w:right w:val="nil"/>
                <w:between w:val="nil"/>
              </w:pBdr>
              <w:jc w:val="right"/>
              <w:rPr>
                <w:color w:val="000000"/>
              </w:rPr>
            </w:pPr>
          </w:p>
        </w:tc>
        <w:tc>
          <w:tcPr>
            <w:tcW w:w="484" w:type="pct"/>
            <w:vAlign w:val="bottom"/>
          </w:tcPr>
          <w:p w14:paraId="7220BBFF"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6CD9144E"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5EECD91D"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3F521337"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6672D342" w14:textId="77777777" w:rsidTr="00372E26">
        <w:trPr>
          <w:trHeight w:val="23"/>
        </w:trPr>
        <w:tc>
          <w:tcPr>
            <w:tcW w:w="1495" w:type="pct"/>
            <w:tcBorders>
              <w:bottom w:val="single" w:sz="4" w:space="0" w:color="000000"/>
            </w:tcBorders>
            <w:shd w:val="clear" w:color="auto" w:fill="auto"/>
            <w:vAlign w:val="bottom"/>
          </w:tcPr>
          <w:p w14:paraId="0CC391FA" w14:textId="77777777" w:rsidR="005041C2" w:rsidRPr="00372E26" w:rsidRDefault="005041C2">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45C3E083" w14:textId="77777777" w:rsidR="005041C2" w:rsidRPr="00372E26" w:rsidRDefault="005041C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0688E061"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4C149419" w14:textId="77777777" w:rsidR="005041C2" w:rsidRPr="00372E26" w:rsidRDefault="005041C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4C825906" w14:textId="77777777" w:rsidR="005041C2" w:rsidRPr="00372E26" w:rsidRDefault="005041C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30903BDC"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285521AB"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64F9602E" w14:textId="77777777" w:rsidR="005041C2" w:rsidRPr="00372E26" w:rsidRDefault="005041C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4DEBB45B"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3B3E10B2" w14:textId="77777777" w:rsidTr="00372E26">
        <w:trPr>
          <w:trHeight w:val="23"/>
        </w:trPr>
        <w:tc>
          <w:tcPr>
            <w:tcW w:w="1495" w:type="pct"/>
            <w:tcBorders>
              <w:top w:val="single" w:sz="4" w:space="0" w:color="000000"/>
            </w:tcBorders>
            <w:shd w:val="clear" w:color="auto" w:fill="auto"/>
            <w:vAlign w:val="bottom"/>
          </w:tcPr>
          <w:p w14:paraId="5E1F80C3" w14:textId="77777777" w:rsidR="005041C2" w:rsidRPr="00372E26" w:rsidRDefault="005041C2">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799BA75B" w14:textId="77777777" w:rsidR="005041C2" w:rsidRPr="00372E26" w:rsidRDefault="005041C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63704B30"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66015776" w14:textId="77777777" w:rsidR="005041C2" w:rsidRPr="00372E26" w:rsidRDefault="005041C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5C8540B4" w14:textId="77777777" w:rsidR="005041C2" w:rsidRPr="00372E26" w:rsidRDefault="005041C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27374AAD"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0F38949C"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08A9DC46" w14:textId="77777777" w:rsidR="005041C2" w:rsidRPr="00372E26" w:rsidRDefault="005041C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7774145C"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62D7F511" w14:textId="77777777" w:rsidTr="00372E26">
        <w:trPr>
          <w:trHeight w:val="23"/>
        </w:trPr>
        <w:tc>
          <w:tcPr>
            <w:tcW w:w="1495" w:type="pct"/>
            <w:shd w:val="clear" w:color="auto" w:fill="auto"/>
            <w:vAlign w:val="bottom"/>
          </w:tcPr>
          <w:p w14:paraId="1D435505" w14:textId="39E83B7A" w:rsidR="005041C2" w:rsidRPr="00372E26" w:rsidRDefault="005041C2" w:rsidP="001B330E">
            <w:pPr>
              <w:widowControl w:val="0"/>
              <w:pBdr>
                <w:top w:val="nil"/>
                <w:left w:val="nil"/>
                <w:bottom w:val="nil"/>
                <w:right w:val="nil"/>
                <w:between w:val="nil"/>
              </w:pBdr>
              <w:ind w:left="113" w:hanging="113"/>
              <w:rPr>
                <w:color w:val="000000"/>
              </w:rPr>
            </w:pPr>
            <w:r w:rsidRPr="00372E26">
              <w:rPr>
                <w:i/>
                <w:color w:val="000000"/>
              </w:rPr>
              <w:t>Movements without impact on credit loss allowance charge for the period:</w:t>
            </w:r>
          </w:p>
        </w:tc>
        <w:tc>
          <w:tcPr>
            <w:tcW w:w="472" w:type="pct"/>
            <w:shd w:val="clear" w:color="auto" w:fill="auto"/>
            <w:vAlign w:val="bottom"/>
          </w:tcPr>
          <w:p w14:paraId="3B21580A" w14:textId="77777777" w:rsidR="005041C2" w:rsidRPr="00372E26"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093B4C75"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2F0C94B" w14:textId="77777777" w:rsidR="005041C2" w:rsidRPr="00372E26"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2A672334" w14:textId="77777777" w:rsidR="005041C2" w:rsidRPr="00372E26" w:rsidRDefault="005041C2">
            <w:pPr>
              <w:widowControl w:val="0"/>
              <w:pBdr>
                <w:top w:val="nil"/>
                <w:left w:val="nil"/>
                <w:bottom w:val="nil"/>
                <w:right w:val="nil"/>
                <w:between w:val="nil"/>
              </w:pBdr>
              <w:jc w:val="right"/>
              <w:rPr>
                <w:color w:val="000000"/>
                <w:highlight w:val="green"/>
              </w:rPr>
            </w:pPr>
          </w:p>
        </w:tc>
        <w:tc>
          <w:tcPr>
            <w:tcW w:w="484" w:type="pct"/>
            <w:vAlign w:val="bottom"/>
          </w:tcPr>
          <w:p w14:paraId="0F1123C3"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vAlign w:val="bottom"/>
          </w:tcPr>
          <w:p w14:paraId="1F95BB4C"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vAlign w:val="bottom"/>
          </w:tcPr>
          <w:p w14:paraId="4E3F02B6" w14:textId="77777777" w:rsidR="005041C2" w:rsidRPr="00372E26"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6257F17B" w14:textId="77777777" w:rsidR="005041C2" w:rsidRPr="00372E26" w:rsidRDefault="005041C2">
            <w:pPr>
              <w:widowControl w:val="0"/>
              <w:pBdr>
                <w:top w:val="nil"/>
                <w:left w:val="nil"/>
                <w:bottom w:val="nil"/>
                <w:right w:val="nil"/>
                <w:between w:val="nil"/>
              </w:pBdr>
              <w:jc w:val="right"/>
              <w:rPr>
                <w:color w:val="000000"/>
                <w:highlight w:val="green"/>
              </w:rPr>
            </w:pPr>
          </w:p>
        </w:tc>
      </w:tr>
      <w:tr w:rsidR="00F279EA" w:rsidRPr="00C32E7C" w14:paraId="62B556C5" w14:textId="77777777" w:rsidTr="00372E26">
        <w:trPr>
          <w:trHeight w:val="23"/>
        </w:trPr>
        <w:tc>
          <w:tcPr>
            <w:tcW w:w="1495" w:type="pct"/>
            <w:shd w:val="clear" w:color="auto" w:fill="auto"/>
            <w:vAlign w:val="bottom"/>
          </w:tcPr>
          <w:p w14:paraId="5E0A1571" w14:textId="77777777" w:rsidR="00F279EA" w:rsidRPr="00372E26" w:rsidRDefault="00F279EA" w:rsidP="00F279EA">
            <w:pPr>
              <w:widowControl w:val="0"/>
              <w:pBdr>
                <w:top w:val="nil"/>
                <w:left w:val="nil"/>
                <w:bottom w:val="nil"/>
                <w:right w:val="nil"/>
                <w:between w:val="nil"/>
              </w:pBdr>
              <w:ind w:left="113" w:hanging="113"/>
              <w:rPr>
                <w:i/>
                <w:color w:val="000000"/>
              </w:rPr>
            </w:pPr>
          </w:p>
        </w:tc>
        <w:tc>
          <w:tcPr>
            <w:tcW w:w="472" w:type="pct"/>
            <w:shd w:val="clear" w:color="auto" w:fill="auto"/>
            <w:vAlign w:val="bottom"/>
          </w:tcPr>
          <w:p w14:paraId="43E58025" w14:textId="77777777" w:rsidR="00F279EA" w:rsidRPr="00372E26" w:rsidRDefault="00F279EA">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5671DB17" w14:textId="77777777" w:rsidR="00F279EA" w:rsidRPr="00372E26" w:rsidRDefault="00F279EA">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68EEDE6A" w14:textId="77777777" w:rsidR="00F279EA" w:rsidRPr="00372E26" w:rsidRDefault="00F279EA">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2ED77947" w14:textId="77777777" w:rsidR="00F279EA" w:rsidRPr="00372E26" w:rsidRDefault="00F279EA">
            <w:pPr>
              <w:widowControl w:val="0"/>
              <w:pBdr>
                <w:top w:val="nil"/>
                <w:left w:val="nil"/>
                <w:bottom w:val="nil"/>
                <w:right w:val="nil"/>
                <w:between w:val="nil"/>
              </w:pBdr>
              <w:jc w:val="right"/>
              <w:rPr>
                <w:color w:val="000000"/>
                <w:highlight w:val="green"/>
              </w:rPr>
            </w:pPr>
          </w:p>
        </w:tc>
        <w:tc>
          <w:tcPr>
            <w:tcW w:w="484" w:type="pct"/>
            <w:vAlign w:val="bottom"/>
          </w:tcPr>
          <w:p w14:paraId="1B545A6F" w14:textId="77777777" w:rsidR="00F279EA" w:rsidRPr="00372E26" w:rsidRDefault="00F279EA">
            <w:pPr>
              <w:widowControl w:val="0"/>
              <w:pBdr>
                <w:top w:val="nil"/>
                <w:left w:val="nil"/>
                <w:bottom w:val="nil"/>
                <w:right w:val="nil"/>
                <w:between w:val="nil"/>
              </w:pBdr>
              <w:jc w:val="right"/>
              <w:rPr>
                <w:color w:val="000000"/>
                <w:highlight w:val="green"/>
              </w:rPr>
            </w:pPr>
          </w:p>
        </w:tc>
        <w:tc>
          <w:tcPr>
            <w:tcW w:w="476" w:type="pct"/>
            <w:vAlign w:val="bottom"/>
          </w:tcPr>
          <w:p w14:paraId="0E1E0C4D" w14:textId="77777777" w:rsidR="00F279EA" w:rsidRPr="00372E26" w:rsidRDefault="00F279EA">
            <w:pPr>
              <w:widowControl w:val="0"/>
              <w:pBdr>
                <w:top w:val="nil"/>
                <w:left w:val="nil"/>
                <w:bottom w:val="nil"/>
                <w:right w:val="nil"/>
                <w:between w:val="nil"/>
              </w:pBdr>
              <w:jc w:val="right"/>
              <w:rPr>
                <w:color w:val="000000"/>
                <w:highlight w:val="green"/>
              </w:rPr>
            </w:pPr>
          </w:p>
        </w:tc>
        <w:tc>
          <w:tcPr>
            <w:tcW w:w="476" w:type="pct"/>
            <w:vAlign w:val="bottom"/>
          </w:tcPr>
          <w:p w14:paraId="31CA8D63" w14:textId="77777777" w:rsidR="00F279EA" w:rsidRPr="00372E26" w:rsidRDefault="00F279EA">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29ED745" w14:textId="77777777" w:rsidR="00F279EA" w:rsidRPr="00372E26" w:rsidRDefault="00F279EA">
            <w:pPr>
              <w:widowControl w:val="0"/>
              <w:pBdr>
                <w:top w:val="nil"/>
                <w:left w:val="nil"/>
                <w:bottom w:val="nil"/>
                <w:right w:val="nil"/>
                <w:between w:val="nil"/>
              </w:pBdr>
              <w:jc w:val="right"/>
              <w:rPr>
                <w:color w:val="000000"/>
                <w:highlight w:val="green"/>
              </w:rPr>
            </w:pPr>
          </w:p>
        </w:tc>
      </w:tr>
      <w:tr w:rsidR="005041C2" w:rsidRPr="00C32E7C" w14:paraId="63B93C49" w14:textId="77777777" w:rsidTr="00372E26">
        <w:trPr>
          <w:trHeight w:val="23"/>
        </w:trPr>
        <w:tc>
          <w:tcPr>
            <w:tcW w:w="1495" w:type="pct"/>
            <w:shd w:val="clear" w:color="auto" w:fill="auto"/>
            <w:vAlign w:val="bottom"/>
          </w:tcPr>
          <w:p w14:paraId="11E170E9"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Write-offs</w:t>
            </w:r>
          </w:p>
        </w:tc>
        <w:tc>
          <w:tcPr>
            <w:tcW w:w="472" w:type="pct"/>
            <w:shd w:val="clear" w:color="auto" w:fill="auto"/>
            <w:vAlign w:val="bottom"/>
          </w:tcPr>
          <w:p w14:paraId="10B5450F" w14:textId="77777777" w:rsidR="005041C2" w:rsidRPr="00372E26"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526FC96"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13B4B972" w14:textId="77777777" w:rsidR="005041C2" w:rsidRPr="00372E26"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173B11AC" w14:textId="77777777" w:rsidR="005041C2" w:rsidRPr="00372E26" w:rsidRDefault="005041C2">
            <w:pPr>
              <w:widowControl w:val="0"/>
              <w:pBdr>
                <w:top w:val="nil"/>
                <w:left w:val="nil"/>
                <w:bottom w:val="nil"/>
                <w:right w:val="nil"/>
                <w:between w:val="nil"/>
              </w:pBdr>
              <w:jc w:val="right"/>
              <w:rPr>
                <w:color w:val="000000"/>
                <w:highlight w:val="green"/>
              </w:rPr>
            </w:pPr>
          </w:p>
        </w:tc>
        <w:tc>
          <w:tcPr>
            <w:tcW w:w="484" w:type="pct"/>
            <w:vAlign w:val="bottom"/>
          </w:tcPr>
          <w:p w14:paraId="3A506C06"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vAlign w:val="bottom"/>
          </w:tcPr>
          <w:p w14:paraId="3A4D0696"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vAlign w:val="bottom"/>
          </w:tcPr>
          <w:p w14:paraId="38026B41" w14:textId="77777777" w:rsidR="005041C2" w:rsidRPr="00372E26"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FD97062"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C32E7C" w14:paraId="546205BD" w14:textId="77777777" w:rsidTr="00372E26">
        <w:trPr>
          <w:trHeight w:val="23"/>
        </w:trPr>
        <w:tc>
          <w:tcPr>
            <w:tcW w:w="1495" w:type="pct"/>
            <w:shd w:val="clear" w:color="auto" w:fill="auto"/>
            <w:vAlign w:val="bottom"/>
          </w:tcPr>
          <w:p w14:paraId="544AB0CF"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FX and other movements</w:t>
            </w:r>
          </w:p>
        </w:tc>
        <w:tc>
          <w:tcPr>
            <w:tcW w:w="472" w:type="pct"/>
            <w:shd w:val="clear" w:color="auto" w:fill="auto"/>
            <w:vAlign w:val="bottom"/>
          </w:tcPr>
          <w:p w14:paraId="506DCB71" w14:textId="77777777" w:rsidR="005041C2" w:rsidRPr="00372E26" w:rsidRDefault="005041C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F228A84"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0B28A2FA" w14:textId="77777777" w:rsidR="005041C2" w:rsidRPr="00372E26" w:rsidRDefault="005041C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1010D10" w14:textId="77777777" w:rsidR="005041C2" w:rsidRPr="00372E26" w:rsidRDefault="005041C2">
            <w:pPr>
              <w:widowControl w:val="0"/>
              <w:pBdr>
                <w:top w:val="nil"/>
                <w:left w:val="nil"/>
                <w:bottom w:val="nil"/>
                <w:right w:val="nil"/>
                <w:between w:val="nil"/>
              </w:pBdr>
              <w:jc w:val="right"/>
              <w:rPr>
                <w:color w:val="000000"/>
                <w:highlight w:val="green"/>
              </w:rPr>
            </w:pPr>
          </w:p>
        </w:tc>
        <w:tc>
          <w:tcPr>
            <w:tcW w:w="484" w:type="pct"/>
            <w:vAlign w:val="bottom"/>
          </w:tcPr>
          <w:p w14:paraId="26AF6DC1"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vAlign w:val="bottom"/>
          </w:tcPr>
          <w:p w14:paraId="331258CF" w14:textId="77777777" w:rsidR="005041C2" w:rsidRPr="00372E26" w:rsidRDefault="005041C2">
            <w:pPr>
              <w:widowControl w:val="0"/>
              <w:pBdr>
                <w:top w:val="nil"/>
                <w:left w:val="nil"/>
                <w:bottom w:val="nil"/>
                <w:right w:val="nil"/>
                <w:between w:val="nil"/>
              </w:pBdr>
              <w:jc w:val="right"/>
              <w:rPr>
                <w:color w:val="000000"/>
                <w:highlight w:val="green"/>
              </w:rPr>
            </w:pPr>
          </w:p>
        </w:tc>
        <w:tc>
          <w:tcPr>
            <w:tcW w:w="476" w:type="pct"/>
            <w:vAlign w:val="bottom"/>
          </w:tcPr>
          <w:p w14:paraId="61E5D2EA" w14:textId="77777777" w:rsidR="005041C2" w:rsidRPr="00372E26" w:rsidRDefault="005041C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8D9536B" w14:textId="77777777" w:rsidR="005041C2" w:rsidRPr="00372E26" w:rsidRDefault="005041C2">
            <w:pPr>
              <w:widowControl w:val="0"/>
              <w:pBdr>
                <w:top w:val="nil"/>
                <w:left w:val="nil"/>
                <w:bottom w:val="nil"/>
                <w:right w:val="nil"/>
                <w:between w:val="nil"/>
              </w:pBdr>
              <w:jc w:val="right"/>
              <w:rPr>
                <w:color w:val="000000"/>
                <w:highlight w:val="green"/>
              </w:rPr>
            </w:pPr>
          </w:p>
        </w:tc>
      </w:tr>
      <w:tr w:rsidR="005041C2" w:rsidRPr="00C32E7C" w14:paraId="2894B3EB" w14:textId="77777777" w:rsidTr="00372E26">
        <w:trPr>
          <w:trHeight w:val="23"/>
        </w:trPr>
        <w:tc>
          <w:tcPr>
            <w:tcW w:w="1495" w:type="pct"/>
            <w:shd w:val="clear" w:color="auto" w:fill="auto"/>
            <w:vAlign w:val="bottom"/>
          </w:tcPr>
          <w:p w14:paraId="4F8303A5"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Modification of contractual cash flows</w:t>
            </w:r>
          </w:p>
        </w:tc>
        <w:tc>
          <w:tcPr>
            <w:tcW w:w="472" w:type="pct"/>
            <w:shd w:val="clear" w:color="auto" w:fill="auto"/>
            <w:vAlign w:val="bottom"/>
          </w:tcPr>
          <w:p w14:paraId="702F9E91"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6DE30168"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38B9DFCD"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4DCBA067" w14:textId="77777777" w:rsidR="005041C2" w:rsidRPr="00372E26" w:rsidRDefault="005041C2">
            <w:pPr>
              <w:widowControl w:val="0"/>
              <w:pBdr>
                <w:top w:val="nil"/>
                <w:left w:val="nil"/>
                <w:bottom w:val="nil"/>
                <w:right w:val="nil"/>
                <w:between w:val="nil"/>
              </w:pBdr>
              <w:jc w:val="right"/>
              <w:rPr>
                <w:color w:val="000000"/>
              </w:rPr>
            </w:pPr>
          </w:p>
        </w:tc>
        <w:tc>
          <w:tcPr>
            <w:tcW w:w="484" w:type="pct"/>
            <w:vAlign w:val="bottom"/>
          </w:tcPr>
          <w:p w14:paraId="6F4E1080"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20DC042D"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3398E79F"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0BFA9E39"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471D447C" w14:textId="77777777" w:rsidTr="00372E26">
        <w:trPr>
          <w:trHeight w:val="23"/>
        </w:trPr>
        <w:tc>
          <w:tcPr>
            <w:tcW w:w="1495" w:type="pct"/>
            <w:shd w:val="clear" w:color="auto" w:fill="auto"/>
            <w:vAlign w:val="bottom"/>
          </w:tcPr>
          <w:p w14:paraId="6BC71596" w14:textId="77777777" w:rsidR="005041C2" w:rsidRPr="00372E26" w:rsidRDefault="005041C2">
            <w:pPr>
              <w:widowControl w:val="0"/>
              <w:pBdr>
                <w:top w:val="nil"/>
                <w:left w:val="nil"/>
                <w:bottom w:val="nil"/>
                <w:right w:val="nil"/>
                <w:between w:val="nil"/>
              </w:pBdr>
              <w:ind w:left="113" w:hanging="113"/>
              <w:rPr>
                <w:color w:val="000000"/>
              </w:rPr>
            </w:pPr>
            <w:r w:rsidRPr="00372E26">
              <w:rPr>
                <w:color w:val="000000"/>
              </w:rPr>
              <w:t xml:space="preserve">Unwinding of discount (for Stage 3) </w:t>
            </w:r>
          </w:p>
        </w:tc>
        <w:tc>
          <w:tcPr>
            <w:tcW w:w="472" w:type="pct"/>
            <w:shd w:val="clear" w:color="auto" w:fill="auto"/>
            <w:vAlign w:val="bottom"/>
          </w:tcPr>
          <w:p w14:paraId="4F9405D1"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7CAFF32C"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0510CD6F"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70A5C4E8" w14:textId="77777777" w:rsidR="005041C2" w:rsidRPr="00372E26" w:rsidRDefault="005041C2">
            <w:pPr>
              <w:widowControl w:val="0"/>
              <w:pBdr>
                <w:top w:val="nil"/>
                <w:left w:val="nil"/>
                <w:bottom w:val="nil"/>
                <w:right w:val="nil"/>
                <w:between w:val="nil"/>
              </w:pBdr>
              <w:jc w:val="right"/>
              <w:rPr>
                <w:color w:val="000000"/>
              </w:rPr>
            </w:pPr>
          </w:p>
        </w:tc>
        <w:tc>
          <w:tcPr>
            <w:tcW w:w="484" w:type="pct"/>
            <w:vAlign w:val="bottom"/>
          </w:tcPr>
          <w:p w14:paraId="2155AB6A"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6E9DD294"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37A46623"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38EF159F"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28DF72C7" w14:textId="77777777" w:rsidTr="00372E26">
        <w:trPr>
          <w:trHeight w:val="23"/>
        </w:trPr>
        <w:tc>
          <w:tcPr>
            <w:tcW w:w="1495" w:type="pct"/>
            <w:tcBorders>
              <w:bottom w:val="single" w:sz="4" w:space="0" w:color="000000"/>
            </w:tcBorders>
            <w:shd w:val="clear" w:color="auto" w:fill="auto"/>
            <w:vAlign w:val="bottom"/>
          </w:tcPr>
          <w:p w14:paraId="48D92D13" w14:textId="77777777" w:rsidR="005041C2" w:rsidRPr="00372E26" w:rsidRDefault="005041C2">
            <w:pPr>
              <w:widowControl w:val="0"/>
              <w:pBdr>
                <w:top w:val="nil"/>
                <w:left w:val="nil"/>
                <w:bottom w:val="nil"/>
                <w:right w:val="nil"/>
                <w:between w:val="nil"/>
              </w:pBdr>
              <w:ind w:left="113" w:hanging="113"/>
              <w:rPr>
                <w:b/>
                <w:color w:val="000000"/>
              </w:rPr>
            </w:pPr>
          </w:p>
        </w:tc>
        <w:tc>
          <w:tcPr>
            <w:tcW w:w="472" w:type="pct"/>
            <w:tcBorders>
              <w:bottom w:val="single" w:sz="4" w:space="0" w:color="000000"/>
            </w:tcBorders>
            <w:shd w:val="clear" w:color="auto" w:fill="auto"/>
            <w:vAlign w:val="bottom"/>
          </w:tcPr>
          <w:p w14:paraId="4EA31E8C" w14:textId="77777777" w:rsidR="005041C2" w:rsidRPr="00372E26" w:rsidRDefault="005041C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62D7C93C"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0B4FDD9D" w14:textId="77777777" w:rsidR="005041C2" w:rsidRPr="00372E26" w:rsidRDefault="005041C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11F58935" w14:textId="77777777" w:rsidR="005041C2" w:rsidRPr="00372E26" w:rsidRDefault="005041C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1C54F56C"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0257F493"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034E51B2" w14:textId="77777777" w:rsidR="005041C2" w:rsidRPr="00372E26" w:rsidRDefault="005041C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6EA0C62C"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48D0FB82" w14:textId="77777777" w:rsidTr="00372E26">
        <w:trPr>
          <w:trHeight w:val="23"/>
        </w:trPr>
        <w:tc>
          <w:tcPr>
            <w:tcW w:w="1495" w:type="pct"/>
            <w:tcBorders>
              <w:top w:val="single" w:sz="4" w:space="0" w:color="000000"/>
            </w:tcBorders>
            <w:shd w:val="clear" w:color="auto" w:fill="auto"/>
            <w:vAlign w:val="bottom"/>
          </w:tcPr>
          <w:p w14:paraId="1F4304C0" w14:textId="77777777" w:rsidR="005041C2" w:rsidRPr="00372E26" w:rsidRDefault="005041C2">
            <w:pPr>
              <w:widowControl w:val="0"/>
              <w:pBdr>
                <w:top w:val="nil"/>
                <w:left w:val="nil"/>
                <w:bottom w:val="nil"/>
                <w:right w:val="nil"/>
                <w:between w:val="nil"/>
              </w:pBdr>
              <w:ind w:left="113" w:hanging="113"/>
              <w:rPr>
                <w:color w:val="000000"/>
                <w:u w:val="single"/>
              </w:rPr>
            </w:pPr>
          </w:p>
        </w:tc>
        <w:tc>
          <w:tcPr>
            <w:tcW w:w="472" w:type="pct"/>
            <w:tcBorders>
              <w:top w:val="single" w:sz="4" w:space="0" w:color="000000"/>
            </w:tcBorders>
            <w:shd w:val="clear" w:color="auto" w:fill="auto"/>
            <w:vAlign w:val="bottom"/>
          </w:tcPr>
          <w:p w14:paraId="691A0606" w14:textId="77777777" w:rsidR="005041C2" w:rsidRPr="00372E26" w:rsidRDefault="005041C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266610F0"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34A48B39" w14:textId="77777777" w:rsidR="005041C2" w:rsidRPr="00372E26" w:rsidRDefault="005041C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277DE0DA" w14:textId="77777777" w:rsidR="005041C2" w:rsidRPr="00372E26" w:rsidRDefault="005041C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4837ADBB"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1B10C60A" w14:textId="77777777" w:rsidR="005041C2" w:rsidRPr="00372E26" w:rsidRDefault="005041C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6D8A1EB5" w14:textId="77777777" w:rsidR="005041C2" w:rsidRPr="00372E26" w:rsidRDefault="005041C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66C904FB" w14:textId="77777777" w:rsidR="005041C2" w:rsidRPr="00372E26" w:rsidRDefault="005041C2">
            <w:pPr>
              <w:widowControl w:val="0"/>
              <w:pBdr>
                <w:top w:val="nil"/>
                <w:left w:val="nil"/>
                <w:bottom w:val="nil"/>
                <w:right w:val="nil"/>
                <w:between w:val="nil"/>
              </w:pBdr>
              <w:jc w:val="right"/>
              <w:rPr>
                <w:color w:val="000000"/>
              </w:rPr>
            </w:pPr>
          </w:p>
        </w:tc>
      </w:tr>
      <w:tr w:rsidR="005041C2" w:rsidRPr="00C32E7C" w14:paraId="1502BF05" w14:textId="77777777" w:rsidTr="00372E26">
        <w:trPr>
          <w:trHeight w:val="23"/>
        </w:trPr>
        <w:tc>
          <w:tcPr>
            <w:tcW w:w="1495" w:type="pct"/>
            <w:shd w:val="clear" w:color="auto" w:fill="auto"/>
            <w:vAlign w:val="bottom"/>
          </w:tcPr>
          <w:p w14:paraId="144D7A67" w14:textId="015752CB" w:rsidR="005041C2" w:rsidRPr="00372E26" w:rsidRDefault="005041C2">
            <w:pPr>
              <w:widowControl w:val="0"/>
              <w:pBdr>
                <w:top w:val="nil"/>
                <w:left w:val="nil"/>
                <w:bottom w:val="nil"/>
                <w:right w:val="nil"/>
                <w:between w:val="nil"/>
              </w:pBdr>
              <w:ind w:left="113" w:hanging="113"/>
              <w:rPr>
                <w:b/>
                <w:color w:val="000000"/>
              </w:rPr>
            </w:pPr>
            <w:r w:rsidRPr="00372E26">
              <w:rPr>
                <w:b/>
                <w:color w:val="000000"/>
              </w:rPr>
              <w:t>At 31</w:t>
            </w:r>
            <w:r w:rsidR="00181687" w:rsidRPr="00372E26">
              <w:rPr>
                <w:b/>
                <w:color w:val="000000"/>
              </w:rPr>
              <w:t> December </w:t>
            </w:r>
            <w:r w:rsidR="00541EBC">
              <w:rPr>
                <w:b/>
                <w:color w:val="000000"/>
              </w:rPr>
              <w:t>2023</w:t>
            </w:r>
          </w:p>
        </w:tc>
        <w:tc>
          <w:tcPr>
            <w:tcW w:w="472" w:type="pct"/>
            <w:shd w:val="clear" w:color="auto" w:fill="auto"/>
            <w:vAlign w:val="bottom"/>
          </w:tcPr>
          <w:p w14:paraId="7B5D8287" w14:textId="77777777" w:rsidR="005041C2" w:rsidRPr="00372E26" w:rsidRDefault="005041C2">
            <w:pPr>
              <w:widowControl w:val="0"/>
              <w:pBdr>
                <w:top w:val="nil"/>
                <w:left w:val="nil"/>
                <w:bottom w:val="nil"/>
                <w:right w:val="nil"/>
                <w:between w:val="nil"/>
              </w:pBdr>
              <w:jc w:val="right"/>
              <w:rPr>
                <w:color w:val="000000"/>
              </w:rPr>
            </w:pPr>
          </w:p>
        </w:tc>
        <w:tc>
          <w:tcPr>
            <w:tcW w:w="487" w:type="pct"/>
            <w:shd w:val="clear" w:color="auto" w:fill="auto"/>
            <w:vAlign w:val="bottom"/>
          </w:tcPr>
          <w:p w14:paraId="4D656F53" w14:textId="77777777" w:rsidR="005041C2" w:rsidRPr="00372E26" w:rsidRDefault="005041C2">
            <w:pPr>
              <w:widowControl w:val="0"/>
              <w:pBdr>
                <w:top w:val="nil"/>
                <w:left w:val="nil"/>
                <w:bottom w:val="nil"/>
                <w:right w:val="nil"/>
                <w:between w:val="nil"/>
              </w:pBdr>
              <w:jc w:val="right"/>
              <w:rPr>
                <w:color w:val="000000"/>
              </w:rPr>
            </w:pPr>
          </w:p>
        </w:tc>
        <w:tc>
          <w:tcPr>
            <w:tcW w:w="476" w:type="pct"/>
            <w:shd w:val="clear" w:color="auto" w:fill="auto"/>
            <w:vAlign w:val="bottom"/>
          </w:tcPr>
          <w:p w14:paraId="476CADC6" w14:textId="77777777" w:rsidR="005041C2" w:rsidRPr="00372E26" w:rsidRDefault="005041C2">
            <w:pPr>
              <w:widowControl w:val="0"/>
              <w:pBdr>
                <w:top w:val="nil"/>
                <w:left w:val="nil"/>
                <w:bottom w:val="nil"/>
                <w:right w:val="nil"/>
                <w:between w:val="nil"/>
              </w:pBdr>
              <w:jc w:val="right"/>
              <w:rPr>
                <w:color w:val="000000"/>
              </w:rPr>
            </w:pPr>
          </w:p>
        </w:tc>
        <w:tc>
          <w:tcPr>
            <w:tcW w:w="317" w:type="pct"/>
            <w:shd w:val="clear" w:color="auto" w:fill="auto"/>
            <w:vAlign w:val="bottom"/>
          </w:tcPr>
          <w:p w14:paraId="2F5370FA" w14:textId="77777777" w:rsidR="005041C2" w:rsidRPr="00372E26" w:rsidRDefault="005041C2">
            <w:pPr>
              <w:widowControl w:val="0"/>
              <w:pBdr>
                <w:top w:val="nil"/>
                <w:left w:val="nil"/>
                <w:bottom w:val="nil"/>
                <w:right w:val="nil"/>
                <w:between w:val="nil"/>
              </w:pBdr>
              <w:jc w:val="right"/>
              <w:rPr>
                <w:color w:val="000000"/>
              </w:rPr>
            </w:pPr>
          </w:p>
        </w:tc>
        <w:tc>
          <w:tcPr>
            <w:tcW w:w="484" w:type="pct"/>
            <w:vAlign w:val="bottom"/>
          </w:tcPr>
          <w:p w14:paraId="4612E9FB"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5EA71EB8" w14:textId="77777777" w:rsidR="005041C2" w:rsidRPr="00372E26" w:rsidRDefault="005041C2">
            <w:pPr>
              <w:widowControl w:val="0"/>
              <w:pBdr>
                <w:top w:val="nil"/>
                <w:left w:val="nil"/>
                <w:bottom w:val="nil"/>
                <w:right w:val="nil"/>
                <w:between w:val="nil"/>
              </w:pBdr>
              <w:jc w:val="right"/>
              <w:rPr>
                <w:color w:val="000000"/>
              </w:rPr>
            </w:pPr>
          </w:p>
        </w:tc>
        <w:tc>
          <w:tcPr>
            <w:tcW w:w="476" w:type="pct"/>
            <w:vAlign w:val="bottom"/>
          </w:tcPr>
          <w:p w14:paraId="4C525F32" w14:textId="77777777" w:rsidR="005041C2" w:rsidRPr="00372E26" w:rsidRDefault="005041C2">
            <w:pPr>
              <w:widowControl w:val="0"/>
              <w:pBdr>
                <w:top w:val="nil"/>
                <w:left w:val="nil"/>
                <w:bottom w:val="nil"/>
                <w:right w:val="nil"/>
                <w:between w:val="nil"/>
              </w:pBdr>
              <w:jc w:val="right"/>
              <w:rPr>
                <w:color w:val="000000"/>
              </w:rPr>
            </w:pPr>
          </w:p>
        </w:tc>
        <w:tc>
          <w:tcPr>
            <w:tcW w:w="316" w:type="pct"/>
            <w:shd w:val="clear" w:color="auto" w:fill="auto"/>
            <w:vAlign w:val="bottom"/>
          </w:tcPr>
          <w:p w14:paraId="0F1ADFA7" w14:textId="77777777" w:rsidR="005041C2" w:rsidRPr="00372E26" w:rsidRDefault="005041C2">
            <w:pPr>
              <w:widowControl w:val="0"/>
              <w:pBdr>
                <w:top w:val="nil"/>
                <w:left w:val="nil"/>
                <w:bottom w:val="nil"/>
                <w:right w:val="nil"/>
                <w:between w:val="nil"/>
              </w:pBdr>
              <w:jc w:val="right"/>
              <w:rPr>
                <w:color w:val="000000"/>
              </w:rPr>
            </w:pPr>
          </w:p>
        </w:tc>
      </w:tr>
      <w:tr w:rsidR="00C32E7C" w:rsidRPr="00C32E7C" w14:paraId="1D78D3DA" w14:textId="77777777" w:rsidTr="00372E26">
        <w:trPr>
          <w:trHeight w:val="23"/>
        </w:trPr>
        <w:tc>
          <w:tcPr>
            <w:tcW w:w="1495" w:type="pct"/>
            <w:tcBorders>
              <w:bottom w:val="single" w:sz="12" w:space="0" w:color="000000"/>
            </w:tcBorders>
            <w:shd w:val="clear" w:color="auto" w:fill="auto"/>
            <w:vAlign w:val="bottom"/>
          </w:tcPr>
          <w:p w14:paraId="4FA00BBE" w14:textId="3F642298" w:rsidR="00C32E7C" w:rsidRPr="00C32E7C" w:rsidRDefault="00C32E7C" w:rsidP="00372E26">
            <w:pPr>
              <w:widowControl w:val="0"/>
              <w:pBdr>
                <w:top w:val="nil"/>
                <w:left w:val="nil"/>
                <w:bottom w:val="nil"/>
                <w:right w:val="nil"/>
                <w:between w:val="nil"/>
              </w:pBdr>
              <w:rPr>
                <w:b/>
                <w:color w:val="000000"/>
              </w:rPr>
            </w:pPr>
          </w:p>
        </w:tc>
        <w:tc>
          <w:tcPr>
            <w:tcW w:w="472" w:type="pct"/>
            <w:tcBorders>
              <w:bottom w:val="single" w:sz="12" w:space="0" w:color="000000"/>
            </w:tcBorders>
            <w:shd w:val="clear" w:color="auto" w:fill="auto"/>
            <w:vAlign w:val="bottom"/>
          </w:tcPr>
          <w:p w14:paraId="49EF65A5" w14:textId="77777777" w:rsidR="00C32E7C" w:rsidRPr="00C32E7C" w:rsidRDefault="00C32E7C">
            <w:pPr>
              <w:widowControl w:val="0"/>
              <w:pBdr>
                <w:top w:val="nil"/>
                <w:left w:val="nil"/>
                <w:bottom w:val="nil"/>
                <w:right w:val="nil"/>
                <w:between w:val="nil"/>
              </w:pBdr>
              <w:jc w:val="right"/>
              <w:rPr>
                <w:color w:val="000000"/>
              </w:rPr>
            </w:pPr>
          </w:p>
        </w:tc>
        <w:tc>
          <w:tcPr>
            <w:tcW w:w="487" w:type="pct"/>
            <w:tcBorders>
              <w:bottom w:val="single" w:sz="12" w:space="0" w:color="000000"/>
            </w:tcBorders>
            <w:shd w:val="clear" w:color="auto" w:fill="auto"/>
            <w:vAlign w:val="bottom"/>
          </w:tcPr>
          <w:p w14:paraId="001B3AD2" w14:textId="77777777" w:rsidR="00C32E7C" w:rsidRPr="00C32E7C" w:rsidRDefault="00C32E7C">
            <w:pPr>
              <w:widowControl w:val="0"/>
              <w:pBdr>
                <w:top w:val="nil"/>
                <w:left w:val="nil"/>
                <w:bottom w:val="nil"/>
                <w:right w:val="nil"/>
                <w:between w:val="nil"/>
              </w:pBdr>
              <w:jc w:val="right"/>
              <w:rPr>
                <w:color w:val="000000"/>
              </w:rPr>
            </w:pPr>
          </w:p>
        </w:tc>
        <w:tc>
          <w:tcPr>
            <w:tcW w:w="476" w:type="pct"/>
            <w:tcBorders>
              <w:bottom w:val="single" w:sz="12" w:space="0" w:color="000000"/>
            </w:tcBorders>
            <w:shd w:val="clear" w:color="auto" w:fill="auto"/>
            <w:vAlign w:val="bottom"/>
          </w:tcPr>
          <w:p w14:paraId="2FAC2F88" w14:textId="77777777" w:rsidR="00C32E7C" w:rsidRPr="00C32E7C" w:rsidRDefault="00C32E7C">
            <w:pPr>
              <w:widowControl w:val="0"/>
              <w:pBdr>
                <w:top w:val="nil"/>
                <w:left w:val="nil"/>
                <w:bottom w:val="nil"/>
                <w:right w:val="nil"/>
                <w:between w:val="nil"/>
              </w:pBdr>
              <w:jc w:val="right"/>
              <w:rPr>
                <w:color w:val="000000"/>
              </w:rPr>
            </w:pPr>
          </w:p>
        </w:tc>
        <w:tc>
          <w:tcPr>
            <w:tcW w:w="317" w:type="pct"/>
            <w:tcBorders>
              <w:bottom w:val="single" w:sz="12" w:space="0" w:color="000000"/>
            </w:tcBorders>
            <w:shd w:val="clear" w:color="auto" w:fill="auto"/>
            <w:vAlign w:val="bottom"/>
          </w:tcPr>
          <w:p w14:paraId="7BA83272" w14:textId="77777777" w:rsidR="00C32E7C" w:rsidRPr="00C32E7C" w:rsidRDefault="00C32E7C">
            <w:pPr>
              <w:widowControl w:val="0"/>
              <w:pBdr>
                <w:top w:val="nil"/>
                <w:left w:val="nil"/>
                <w:bottom w:val="nil"/>
                <w:right w:val="nil"/>
                <w:between w:val="nil"/>
              </w:pBdr>
              <w:jc w:val="right"/>
              <w:rPr>
                <w:color w:val="000000"/>
              </w:rPr>
            </w:pPr>
          </w:p>
        </w:tc>
        <w:tc>
          <w:tcPr>
            <w:tcW w:w="484" w:type="pct"/>
            <w:tcBorders>
              <w:bottom w:val="single" w:sz="12" w:space="0" w:color="000000"/>
            </w:tcBorders>
          </w:tcPr>
          <w:p w14:paraId="7EA436EC" w14:textId="77777777" w:rsidR="00C32E7C" w:rsidRPr="00C32E7C" w:rsidRDefault="00C32E7C">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7CDBF125" w14:textId="77777777" w:rsidR="00C32E7C" w:rsidRPr="00C32E7C" w:rsidRDefault="00C32E7C">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1CBF0A8F" w14:textId="77777777" w:rsidR="00C32E7C" w:rsidRPr="00C32E7C" w:rsidRDefault="00C32E7C" w:rsidP="00372E26">
            <w:pPr>
              <w:widowControl w:val="0"/>
              <w:pBdr>
                <w:top w:val="nil"/>
                <w:left w:val="nil"/>
                <w:bottom w:val="nil"/>
                <w:right w:val="nil"/>
                <w:between w:val="nil"/>
              </w:pBdr>
              <w:rPr>
                <w:color w:val="000000"/>
              </w:rPr>
            </w:pPr>
          </w:p>
        </w:tc>
        <w:tc>
          <w:tcPr>
            <w:tcW w:w="316" w:type="pct"/>
            <w:tcBorders>
              <w:bottom w:val="single" w:sz="12" w:space="0" w:color="000000"/>
            </w:tcBorders>
            <w:shd w:val="clear" w:color="auto" w:fill="auto"/>
            <w:vAlign w:val="bottom"/>
          </w:tcPr>
          <w:p w14:paraId="6804DC00" w14:textId="77777777" w:rsidR="00C32E7C" w:rsidRPr="00C32E7C" w:rsidRDefault="00C32E7C" w:rsidP="00372E26">
            <w:pPr>
              <w:widowControl w:val="0"/>
              <w:pBdr>
                <w:top w:val="nil"/>
                <w:left w:val="nil"/>
                <w:bottom w:val="nil"/>
                <w:right w:val="nil"/>
                <w:between w:val="nil"/>
              </w:pBdr>
              <w:rPr>
                <w:color w:val="000000"/>
              </w:rPr>
            </w:pPr>
          </w:p>
        </w:tc>
      </w:tr>
    </w:tbl>
    <w:p w14:paraId="6380B06C" w14:textId="6C524598" w:rsidR="00D83E33" w:rsidRDefault="00BC4072">
      <w:pPr>
        <w:widowControl w:val="0"/>
        <w:spacing w:before="200" w:after="200"/>
        <w:jc w:val="both"/>
        <w:rPr>
          <w:sz w:val="20"/>
          <w:szCs w:val="20"/>
        </w:rPr>
      </w:pPr>
      <w:bookmarkStart w:id="26" w:name="_heading=h.44sinio" w:colFirst="0" w:colLast="0"/>
      <w:bookmarkEnd w:id="26"/>
      <w:r>
        <w:rPr>
          <w:sz w:val="20"/>
          <w:szCs w:val="20"/>
        </w:rPr>
        <w:t xml:space="preserve">The total amount of undiscounted ECLs at initial recognition for POCI financial assets recognised during the period was </w:t>
      </w:r>
      <w:r w:rsidR="00D73799">
        <w:rPr>
          <w:sz w:val="20"/>
          <w:szCs w:val="20"/>
        </w:rPr>
        <w:t>EUR</w:t>
      </w:r>
      <w:r>
        <w:rPr>
          <w:sz w:val="20"/>
          <w:szCs w:val="20"/>
        </w:rPr>
        <w:t xml:space="preserve"> _____</w:t>
      </w:r>
      <w:r>
        <w:rPr>
          <w:color w:val="0070C0"/>
          <w:sz w:val="20"/>
          <w:szCs w:val="20"/>
        </w:rPr>
        <w:t xml:space="preserve"> </w:t>
      </w:r>
      <w:r>
        <w:rPr>
          <w:sz w:val="20"/>
          <w:szCs w:val="20"/>
        </w:rPr>
        <w:t xml:space="preserve">thousand. </w:t>
      </w:r>
      <w:r>
        <w:rPr>
          <w:i/>
          <w:color w:val="FF0000"/>
          <w:sz w:val="20"/>
          <w:szCs w:val="20"/>
        </w:rPr>
        <w:t xml:space="preserve">[Adjust the above tables to separately disclose POCI assets, if there are any.] </w:t>
      </w:r>
    </w:p>
    <w:p w14:paraId="73538ECC" w14:textId="77777777" w:rsidR="00D83E33" w:rsidRDefault="00BC4072" w:rsidP="001B330E">
      <w:pPr>
        <w:pStyle w:val="Heading1"/>
        <w:pageBreakBefore/>
      </w:pPr>
      <w:bookmarkStart w:id="27" w:name="_Toc83818301"/>
      <w:bookmarkStart w:id="28" w:name="_Toc83913940"/>
      <w:bookmarkStart w:id="29" w:name="_Toc83917406"/>
      <w:bookmarkStart w:id="30" w:name="_Toc179196012"/>
      <w:bookmarkEnd w:id="27"/>
      <w:bookmarkEnd w:id="28"/>
      <w:bookmarkEnd w:id="29"/>
      <w:r>
        <w:lastRenderedPageBreak/>
        <w:t>Investments in Equity Securities</w:t>
      </w:r>
      <w:bookmarkEnd w:id="30"/>
    </w:p>
    <w:p w14:paraId="3888238E" w14:textId="133DD3C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tables below disclose investments in equity securities at 31</w:t>
      </w:r>
      <w:r w:rsidR="00181687">
        <w:rPr>
          <w:color w:val="000000"/>
          <w:sz w:val="20"/>
          <w:szCs w:val="20"/>
        </w:rPr>
        <w:t> December </w:t>
      </w:r>
      <w:r w:rsidR="00541EBC">
        <w:rPr>
          <w:color w:val="000000"/>
          <w:sz w:val="20"/>
          <w:szCs w:val="20"/>
        </w:rPr>
        <w:t>2024</w:t>
      </w:r>
      <w:r>
        <w:rPr>
          <w:color w:val="000000"/>
          <w:sz w:val="20"/>
          <w:szCs w:val="20"/>
        </w:rPr>
        <w:t xml:space="preserve"> and 31</w:t>
      </w:r>
      <w:r w:rsidR="00181687">
        <w:rPr>
          <w:color w:val="000000"/>
          <w:sz w:val="20"/>
          <w:szCs w:val="20"/>
        </w:rPr>
        <w:t> December </w:t>
      </w:r>
      <w:r w:rsidR="00541EBC">
        <w:rPr>
          <w:color w:val="000000"/>
          <w:sz w:val="20"/>
          <w:szCs w:val="20"/>
        </w:rPr>
        <w:t>2023</w:t>
      </w:r>
      <w:r>
        <w:rPr>
          <w:color w:val="000000"/>
          <w:sz w:val="20"/>
          <w:szCs w:val="20"/>
        </w:rPr>
        <w:t xml:space="preserve"> by measurement categories and classes:</w:t>
      </w:r>
    </w:p>
    <w:tbl>
      <w:tblPr>
        <w:tblStyle w:val="afff3"/>
        <w:tblW w:w="5000" w:type="pct"/>
        <w:tblLayout w:type="fixed"/>
        <w:tblLook w:val="0000" w:firstRow="0" w:lastRow="0" w:firstColumn="0" w:lastColumn="0" w:noHBand="0" w:noVBand="0"/>
      </w:tblPr>
      <w:tblGrid>
        <w:gridCol w:w="5169"/>
        <w:gridCol w:w="1396"/>
        <w:gridCol w:w="1396"/>
        <w:gridCol w:w="1394"/>
      </w:tblGrid>
      <w:tr w:rsidR="00D83E33" w:rsidRPr="00FE3A14" w14:paraId="175CA5D8" w14:textId="77777777" w:rsidTr="001B330E">
        <w:trPr>
          <w:trHeight w:val="23"/>
        </w:trPr>
        <w:tc>
          <w:tcPr>
            <w:tcW w:w="2763" w:type="pct"/>
            <w:tcBorders>
              <w:bottom w:val="single" w:sz="4" w:space="0" w:color="000000"/>
            </w:tcBorders>
            <w:shd w:val="clear" w:color="auto" w:fill="auto"/>
            <w:vAlign w:val="bottom"/>
          </w:tcPr>
          <w:p w14:paraId="59C8D80D" w14:textId="110B2979" w:rsidR="00D83E33" w:rsidRPr="00FE3A14"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746" w:type="pct"/>
            <w:tcBorders>
              <w:bottom w:val="single" w:sz="4" w:space="0" w:color="000000"/>
            </w:tcBorders>
            <w:shd w:val="clear" w:color="auto" w:fill="auto"/>
          </w:tcPr>
          <w:p w14:paraId="09153FEB" w14:textId="77777777" w:rsidR="00D83E33" w:rsidRPr="00FE3A14" w:rsidRDefault="00BC4072" w:rsidP="001B330E">
            <w:pPr>
              <w:widowControl w:val="0"/>
              <w:pBdr>
                <w:top w:val="nil"/>
                <w:left w:val="nil"/>
                <w:bottom w:val="nil"/>
                <w:right w:val="nil"/>
                <w:between w:val="nil"/>
              </w:pBdr>
              <w:jc w:val="right"/>
              <w:rPr>
                <w:b/>
                <w:color w:val="000000"/>
              </w:rPr>
            </w:pPr>
            <w:r w:rsidRPr="00FE3A14">
              <w:rPr>
                <w:b/>
                <w:color w:val="000000"/>
              </w:rPr>
              <w:t>Equity securities at FVTPL</w:t>
            </w:r>
          </w:p>
        </w:tc>
        <w:tc>
          <w:tcPr>
            <w:tcW w:w="746" w:type="pct"/>
            <w:tcBorders>
              <w:bottom w:val="single" w:sz="4" w:space="0" w:color="000000"/>
            </w:tcBorders>
          </w:tcPr>
          <w:p w14:paraId="0F41E201" w14:textId="77777777" w:rsidR="00D83E33" w:rsidRPr="00FE3A14" w:rsidRDefault="00BC4072" w:rsidP="001B330E">
            <w:pPr>
              <w:widowControl w:val="0"/>
              <w:pBdr>
                <w:top w:val="nil"/>
                <w:left w:val="nil"/>
                <w:bottom w:val="nil"/>
                <w:right w:val="nil"/>
                <w:between w:val="nil"/>
              </w:pBdr>
              <w:jc w:val="right"/>
              <w:rPr>
                <w:b/>
                <w:color w:val="000000"/>
              </w:rPr>
            </w:pPr>
            <w:r w:rsidRPr="00FE3A14">
              <w:rPr>
                <w:b/>
                <w:color w:val="000000"/>
              </w:rPr>
              <w:t>Equity securities at FVOCI</w:t>
            </w:r>
          </w:p>
        </w:tc>
        <w:tc>
          <w:tcPr>
            <w:tcW w:w="745" w:type="pct"/>
            <w:tcBorders>
              <w:bottom w:val="single" w:sz="4" w:space="0" w:color="000000"/>
            </w:tcBorders>
            <w:shd w:val="clear" w:color="auto" w:fill="auto"/>
          </w:tcPr>
          <w:p w14:paraId="6D880CB6" w14:textId="77777777" w:rsidR="00D83E33" w:rsidRPr="00FE3A14" w:rsidRDefault="00BC4072" w:rsidP="001B330E">
            <w:pPr>
              <w:widowControl w:val="0"/>
              <w:pBdr>
                <w:top w:val="nil"/>
                <w:left w:val="nil"/>
                <w:bottom w:val="nil"/>
                <w:right w:val="nil"/>
                <w:between w:val="nil"/>
              </w:pBdr>
              <w:jc w:val="right"/>
              <w:rPr>
                <w:b/>
                <w:color w:val="000000"/>
              </w:rPr>
            </w:pPr>
            <w:r w:rsidRPr="00FE3A14">
              <w:rPr>
                <w:b/>
                <w:color w:val="000000"/>
              </w:rPr>
              <w:t>Total</w:t>
            </w:r>
          </w:p>
        </w:tc>
      </w:tr>
      <w:tr w:rsidR="00D83E33" w:rsidRPr="00FE3A14" w14:paraId="03166A43" w14:textId="77777777" w:rsidTr="001B330E">
        <w:trPr>
          <w:trHeight w:val="23"/>
        </w:trPr>
        <w:tc>
          <w:tcPr>
            <w:tcW w:w="2763" w:type="pct"/>
            <w:shd w:val="clear" w:color="auto" w:fill="auto"/>
            <w:vAlign w:val="bottom"/>
          </w:tcPr>
          <w:p w14:paraId="58530F88" w14:textId="77777777" w:rsidR="00D83E33" w:rsidRPr="00FE3A14" w:rsidRDefault="00BC4072">
            <w:pPr>
              <w:widowControl w:val="0"/>
              <w:ind w:left="113" w:hanging="113"/>
              <w:rPr>
                <w:b/>
                <w:u w:val="single"/>
              </w:rPr>
            </w:pPr>
            <w:r w:rsidRPr="00FE3A14">
              <w:t> </w:t>
            </w:r>
          </w:p>
        </w:tc>
        <w:tc>
          <w:tcPr>
            <w:tcW w:w="746" w:type="pct"/>
            <w:shd w:val="clear" w:color="auto" w:fill="auto"/>
            <w:vAlign w:val="bottom"/>
          </w:tcPr>
          <w:p w14:paraId="0587B9DD" w14:textId="77777777" w:rsidR="00D83E33" w:rsidRPr="00FE3A14" w:rsidRDefault="00D83E33">
            <w:pPr>
              <w:widowControl w:val="0"/>
              <w:jc w:val="right"/>
            </w:pPr>
          </w:p>
        </w:tc>
        <w:tc>
          <w:tcPr>
            <w:tcW w:w="746" w:type="pct"/>
            <w:vAlign w:val="bottom"/>
          </w:tcPr>
          <w:p w14:paraId="42F20483" w14:textId="77777777" w:rsidR="00D83E33" w:rsidRPr="00FE3A14" w:rsidRDefault="00D83E33">
            <w:pPr>
              <w:widowControl w:val="0"/>
              <w:jc w:val="right"/>
            </w:pPr>
          </w:p>
        </w:tc>
        <w:tc>
          <w:tcPr>
            <w:tcW w:w="745" w:type="pct"/>
            <w:shd w:val="clear" w:color="auto" w:fill="auto"/>
            <w:vAlign w:val="bottom"/>
          </w:tcPr>
          <w:p w14:paraId="59A3FC64" w14:textId="77777777" w:rsidR="00D83E33" w:rsidRPr="00FE3A14" w:rsidRDefault="00D83E33">
            <w:pPr>
              <w:widowControl w:val="0"/>
              <w:jc w:val="right"/>
            </w:pPr>
          </w:p>
        </w:tc>
      </w:tr>
      <w:tr w:rsidR="00D83E33" w:rsidRPr="00FE3A14" w14:paraId="16FBA125" w14:textId="77777777" w:rsidTr="001B330E">
        <w:trPr>
          <w:trHeight w:val="23"/>
        </w:trPr>
        <w:tc>
          <w:tcPr>
            <w:tcW w:w="2763" w:type="pct"/>
            <w:shd w:val="clear" w:color="auto" w:fill="auto"/>
            <w:vAlign w:val="bottom"/>
          </w:tcPr>
          <w:p w14:paraId="0DF74F54" w14:textId="77777777" w:rsidR="00D83E33" w:rsidRPr="00FE3A14" w:rsidRDefault="00BC4072">
            <w:pPr>
              <w:widowControl w:val="0"/>
              <w:ind w:left="113" w:hanging="113"/>
            </w:pPr>
            <w:r w:rsidRPr="00FE3A14">
              <w:t>Corporate shares</w:t>
            </w:r>
          </w:p>
        </w:tc>
        <w:tc>
          <w:tcPr>
            <w:tcW w:w="746" w:type="pct"/>
            <w:shd w:val="clear" w:color="auto" w:fill="auto"/>
            <w:vAlign w:val="bottom"/>
          </w:tcPr>
          <w:p w14:paraId="63AB0BD4" w14:textId="77777777" w:rsidR="00D83E33" w:rsidRPr="00FE3A14" w:rsidRDefault="00D83E33">
            <w:pPr>
              <w:widowControl w:val="0"/>
              <w:pBdr>
                <w:top w:val="nil"/>
                <w:left w:val="nil"/>
                <w:bottom w:val="nil"/>
                <w:right w:val="nil"/>
                <w:between w:val="nil"/>
              </w:pBdr>
              <w:jc w:val="right"/>
              <w:rPr>
                <w:color w:val="000000"/>
              </w:rPr>
            </w:pPr>
          </w:p>
        </w:tc>
        <w:tc>
          <w:tcPr>
            <w:tcW w:w="746" w:type="pct"/>
            <w:vAlign w:val="bottom"/>
          </w:tcPr>
          <w:p w14:paraId="33F1AB58" w14:textId="77777777" w:rsidR="00D83E33" w:rsidRPr="00FE3A14" w:rsidRDefault="00D83E33">
            <w:pPr>
              <w:widowControl w:val="0"/>
              <w:pBdr>
                <w:top w:val="nil"/>
                <w:left w:val="nil"/>
                <w:bottom w:val="nil"/>
                <w:right w:val="nil"/>
                <w:between w:val="nil"/>
              </w:pBdr>
              <w:jc w:val="right"/>
              <w:rPr>
                <w:color w:val="000000"/>
              </w:rPr>
            </w:pPr>
          </w:p>
        </w:tc>
        <w:tc>
          <w:tcPr>
            <w:tcW w:w="745" w:type="pct"/>
            <w:shd w:val="clear" w:color="auto" w:fill="auto"/>
            <w:vAlign w:val="bottom"/>
          </w:tcPr>
          <w:p w14:paraId="594714F3" w14:textId="77777777" w:rsidR="00D83E33" w:rsidRPr="00FE3A14" w:rsidRDefault="00D83E33">
            <w:pPr>
              <w:widowControl w:val="0"/>
              <w:pBdr>
                <w:top w:val="nil"/>
                <w:left w:val="nil"/>
                <w:bottom w:val="nil"/>
                <w:right w:val="nil"/>
                <w:between w:val="nil"/>
              </w:pBdr>
              <w:jc w:val="right"/>
              <w:rPr>
                <w:color w:val="000000"/>
              </w:rPr>
            </w:pPr>
          </w:p>
        </w:tc>
      </w:tr>
      <w:tr w:rsidR="00D83E33" w:rsidRPr="00FE3A14" w14:paraId="73FE4B87" w14:textId="77777777" w:rsidTr="001B330E">
        <w:trPr>
          <w:trHeight w:val="23"/>
        </w:trPr>
        <w:tc>
          <w:tcPr>
            <w:tcW w:w="2763" w:type="pct"/>
            <w:shd w:val="clear" w:color="auto" w:fill="auto"/>
            <w:vAlign w:val="bottom"/>
          </w:tcPr>
          <w:p w14:paraId="4E61CD60" w14:textId="77777777" w:rsidR="00D83E33" w:rsidRPr="00FE3A14" w:rsidRDefault="00BC4072">
            <w:pPr>
              <w:widowControl w:val="0"/>
              <w:ind w:left="113" w:hanging="113"/>
            </w:pPr>
            <w:r w:rsidRPr="00FE3A14">
              <w:t>American depositary receipts (ADR)</w:t>
            </w:r>
          </w:p>
        </w:tc>
        <w:tc>
          <w:tcPr>
            <w:tcW w:w="746" w:type="pct"/>
            <w:shd w:val="clear" w:color="auto" w:fill="auto"/>
            <w:vAlign w:val="bottom"/>
          </w:tcPr>
          <w:p w14:paraId="1910B9EA" w14:textId="77777777" w:rsidR="00D83E33" w:rsidRPr="00FE3A14" w:rsidRDefault="00D83E33">
            <w:pPr>
              <w:widowControl w:val="0"/>
              <w:pBdr>
                <w:top w:val="nil"/>
                <w:left w:val="nil"/>
                <w:bottom w:val="nil"/>
                <w:right w:val="nil"/>
                <w:between w:val="nil"/>
              </w:pBdr>
              <w:jc w:val="right"/>
              <w:rPr>
                <w:color w:val="000000"/>
              </w:rPr>
            </w:pPr>
          </w:p>
        </w:tc>
        <w:tc>
          <w:tcPr>
            <w:tcW w:w="746" w:type="pct"/>
            <w:vAlign w:val="bottom"/>
          </w:tcPr>
          <w:p w14:paraId="31B8F7E9" w14:textId="77777777" w:rsidR="00D83E33" w:rsidRPr="00FE3A14" w:rsidRDefault="00D83E33">
            <w:pPr>
              <w:widowControl w:val="0"/>
              <w:pBdr>
                <w:top w:val="nil"/>
                <w:left w:val="nil"/>
                <w:bottom w:val="nil"/>
                <w:right w:val="nil"/>
                <w:between w:val="nil"/>
              </w:pBdr>
              <w:jc w:val="right"/>
              <w:rPr>
                <w:color w:val="000000"/>
              </w:rPr>
            </w:pPr>
          </w:p>
        </w:tc>
        <w:tc>
          <w:tcPr>
            <w:tcW w:w="745" w:type="pct"/>
            <w:shd w:val="clear" w:color="auto" w:fill="auto"/>
            <w:vAlign w:val="bottom"/>
          </w:tcPr>
          <w:p w14:paraId="200B7E70" w14:textId="77777777" w:rsidR="00D83E33" w:rsidRPr="00FE3A14" w:rsidRDefault="00D83E33">
            <w:pPr>
              <w:widowControl w:val="0"/>
              <w:pBdr>
                <w:top w:val="nil"/>
                <w:left w:val="nil"/>
                <w:bottom w:val="nil"/>
                <w:right w:val="nil"/>
                <w:between w:val="nil"/>
              </w:pBdr>
              <w:jc w:val="right"/>
              <w:rPr>
                <w:color w:val="000000"/>
              </w:rPr>
            </w:pPr>
          </w:p>
        </w:tc>
      </w:tr>
      <w:tr w:rsidR="00D83E33" w:rsidRPr="00FE3A14" w14:paraId="66637349" w14:textId="77777777" w:rsidTr="001B330E">
        <w:trPr>
          <w:trHeight w:val="23"/>
        </w:trPr>
        <w:tc>
          <w:tcPr>
            <w:tcW w:w="2763" w:type="pct"/>
            <w:shd w:val="clear" w:color="auto" w:fill="auto"/>
            <w:vAlign w:val="bottom"/>
          </w:tcPr>
          <w:p w14:paraId="7DA466C3" w14:textId="77777777" w:rsidR="00D83E33" w:rsidRPr="00FE3A14" w:rsidRDefault="00D83E33">
            <w:pPr>
              <w:widowControl w:val="0"/>
              <w:ind w:left="113" w:hanging="113"/>
            </w:pPr>
          </w:p>
        </w:tc>
        <w:tc>
          <w:tcPr>
            <w:tcW w:w="746" w:type="pct"/>
            <w:shd w:val="clear" w:color="auto" w:fill="auto"/>
            <w:vAlign w:val="bottom"/>
          </w:tcPr>
          <w:p w14:paraId="27073643" w14:textId="77777777" w:rsidR="00D83E33" w:rsidRPr="00FE3A14" w:rsidRDefault="00D83E33">
            <w:pPr>
              <w:widowControl w:val="0"/>
              <w:pBdr>
                <w:top w:val="nil"/>
                <w:left w:val="nil"/>
                <w:bottom w:val="nil"/>
                <w:right w:val="nil"/>
                <w:between w:val="nil"/>
              </w:pBdr>
              <w:jc w:val="right"/>
              <w:rPr>
                <w:color w:val="000000"/>
              </w:rPr>
            </w:pPr>
          </w:p>
        </w:tc>
        <w:tc>
          <w:tcPr>
            <w:tcW w:w="746" w:type="pct"/>
            <w:vAlign w:val="bottom"/>
          </w:tcPr>
          <w:p w14:paraId="5AB95FB6" w14:textId="77777777" w:rsidR="00D83E33" w:rsidRPr="00FE3A14" w:rsidRDefault="00D83E33">
            <w:pPr>
              <w:widowControl w:val="0"/>
              <w:pBdr>
                <w:top w:val="nil"/>
                <w:left w:val="nil"/>
                <w:bottom w:val="nil"/>
                <w:right w:val="nil"/>
                <w:between w:val="nil"/>
              </w:pBdr>
              <w:jc w:val="right"/>
              <w:rPr>
                <w:color w:val="000000"/>
              </w:rPr>
            </w:pPr>
          </w:p>
        </w:tc>
        <w:tc>
          <w:tcPr>
            <w:tcW w:w="745" w:type="pct"/>
            <w:shd w:val="clear" w:color="auto" w:fill="auto"/>
            <w:vAlign w:val="bottom"/>
          </w:tcPr>
          <w:p w14:paraId="1499ABE0" w14:textId="77777777" w:rsidR="00D83E33" w:rsidRPr="00FE3A14" w:rsidRDefault="00D83E33">
            <w:pPr>
              <w:widowControl w:val="0"/>
              <w:pBdr>
                <w:top w:val="nil"/>
                <w:left w:val="nil"/>
                <w:bottom w:val="nil"/>
                <w:right w:val="nil"/>
                <w:between w:val="nil"/>
              </w:pBdr>
              <w:jc w:val="right"/>
              <w:rPr>
                <w:color w:val="000000"/>
              </w:rPr>
            </w:pPr>
          </w:p>
        </w:tc>
      </w:tr>
      <w:tr w:rsidR="00D83E33" w:rsidRPr="00FE3A14" w14:paraId="1F29548E" w14:textId="77777777" w:rsidTr="001B330E">
        <w:trPr>
          <w:trHeight w:val="23"/>
        </w:trPr>
        <w:tc>
          <w:tcPr>
            <w:tcW w:w="2763" w:type="pct"/>
            <w:shd w:val="clear" w:color="auto" w:fill="auto"/>
            <w:vAlign w:val="bottom"/>
          </w:tcPr>
          <w:p w14:paraId="104A993B" w14:textId="7B9E2F23" w:rsidR="00D83E33" w:rsidRPr="00FE3A14" w:rsidRDefault="00BC4072">
            <w:pPr>
              <w:widowControl w:val="0"/>
              <w:ind w:left="113" w:hanging="113"/>
            </w:pPr>
            <w:r w:rsidRPr="00FE3A14">
              <w:t xml:space="preserve">Global depositary receipts (GDR) </w:t>
            </w:r>
          </w:p>
        </w:tc>
        <w:tc>
          <w:tcPr>
            <w:tcW w:w="746" w:type="pct"/>
            <w:shd w:val="clear" w:color="auto" w:fill="auto"/>
            <w:vAlign w:val="bottom"/>
          </w:tcPr>
          <w:p w14:paraId="18E51A84" w14:textId="77777777" w:rsidR="00D83E33" w:rsidRPr="00FE3A14" w:rsidRDefault="00D83E33">
            <w:pPr>
              <w:widowControl w:val="0"/>
              <w:pBdr>
                <w:top w:val="nil"/>
                <w:left w:val="nil"/>
                <w:bottom w:val="nil"/>
                <w:right w:val="nil"/>
                <w:between w:val="nil"/>
              </w:pBdr>
              <w:jc w:val="right"/>
              <w:rPr>
                <w:color w:val="000000"/>
              </w:rPr>
            </w:pPr>
          </w:p>
        </w:tc>
        <w:tc>
          <w:tcPr>
            <w:tcW w:w="746" w:type="pct"/>
            <w:vAlign w:val="bottom"/>
          </w:tcPr>
          <w:p w14:paraId="283708A1" w14:textId="77777777" w:rsidR="00D83E33" w:rsidRPr="00FE3A14" w:rsidRDefault="00D83E33">
            <w:pPr>
              <w:widowControl w:val="0"/>
              <w:pBdr>
                <w:top w:val="nil"/>
                <w:left w:val="nil"/>
                <w:bottom w:val="nil"/>
                <w:right w:val="nil"/>
                <w:between w:val="nil"/>
              </w:pBdr>
              <w:jc w:val="right"/>
              <w:rPr>
                <w:color w:val="000000"/>
              </w:rPr>
            </w:pPr>
          </w:p>
        </w:tc>
        <w:tc>
          <w:tcPr>
            <w:tcW w:w="745" w:type="pct"/>
            <w:shd w:val="clear" w:color="auto" w:fill="auto"/>
            <w:vAlign w:val="bottom"/>
          </w:tcPr>
          <w:p w14:paraId="6252D7B0" w14:textId="77777777" w:rsidR="00D83E33" w:rsidRPr="00FE3A14" w:rsidRDefault="00D83E33">
            <w:pPr>
              <w:widowControl w:val="0"/>
              <w:pBdr>
                <w:top w:val="nil"/>
                <w:left w:val="nil"/>
                <w:bottom w:val="nil"/>
                <w:right w:val="nil"/>
                <w:between w:val="nil"/>
              </w:pBdr>
              <w:jc w:val="right"/>
              <w:rPr>
                <w:color w:val="000000"/>
              </w:rPr>
            </w:pPr>
          </w:p>
        </w:tc>
      </w:tr>
      <w:tr w:rsidR="00D83E33" w:rsidRPr="00FE3A14" w14:paraId="5DF0CC84" w14:textId="77777777" w:rsidTr="001B330E">
        <w:trPr>
          <w:trHeight w:val="23"/>
        </w:trPr>
        <w:tc>
          <w:tcPr>
            <w:tcW w:w="2763" w:type="pct"/>
            <w:tcBorders>
              <w:bottom w:val="single" w:sz="4" w:space="0" w:color="000000"/>
            </w:tcBorders>
            <w:shd w:val="clear" w:color="auto" w:fill="auto"/>
            <w:vAlign w:val="bottom"/>
          </w:tcPr>
          <w:p w14:paraId="0F9D885B" w14:textId="77777777" w:rsidR="00D83E33" w:rsidRPr="00FE3A14" w:rsidRDefault="00BC4072">
            <w:pPr>
              <w:widowControl w:val="0"/>
              <w:pBdr>
                <w:top w:val="nil"/>
                <w:left w:val="nil"/>
                <w:bottom w:val="nil"/>
                <w:right w:val="nil"/>
                <w:between w:val="nil"/>
              </w:pBdr>
              <w:ind w:left="113" w:hanging="113"/>
              <w:rPr>
                <w:color w:val="000000"/>
              </w:rPr>
            </w:pPr>
            <w:r w:rsidRPr="00FE3A14">
              <w:rPr>
                <w:color w:val="000000"/>
              </w:rPr>
              <w:t> </w:t>
            </w:r>
          </w:p>
        </w:tc>
        <w:tc>
          <w:tcPr>
            <w:tcW w:w="746" w:type="pct"/>
            <w:tcBorders>
              <w:bottom w:val="single" w:sz="4" w:space="0" w:color="000000"/>
            </w:tcBorders>
            <w:shd w:val="clear" w:color="auto" w:fill="auto"/>
            <w:vAlign w:val="bottom"/>
          </w:tcPr>
          <w:p w14:paraId="2984CA73" w14:textId="77777777" w:rsidR="00D83E33" w:rsidRPr="00FE3A14" w:rsidRDefault="00D83E33">
            <w:pPr>
              <w:widowControl w:val="0"/>
              <w:pBdr>
                <w:top w:val="nil"/>
                <w:left w:val="nil"/>
                <w:bottom w:val="nil"/>
                <w:right w:val="nil"/>
                <w:between w:val="nil"/>
              </w:pBdr>
              <w:jc w:val="right"/>
              <w:rPr>
                <w:color w:val="000000"/>
              </w:rPr>
            </w:pPr>
          </w:p>
        </w:tc>
        <w:tc>
          <w:tcPr>
            <w:tcW w:w="746" w:type="pct"/>
            <w:tcBorders>
              <w:bottom w:val="single" w:sz="4" w:space="0" w:color="000000"/>
            </w:tcBorders>
            <w:vAlign w:val="bottom"/>
          </w:tcPr>
          <w:p w14:paraId="66576AE0" w14:textId="77777777" w:rsidR="00D83E33" w:rsidRPr="00FE3A14" w:rsidRDefault="00D83E33">
            <w:pPr>
              <w:widowControl w:val="0"/>
              <w:pBdr>
                <w:top w:val="nil"/>
                <w:left w:val="nil"/>
                <w:bottom w:val="nil"/>
                <w:right w:val="nil"/>
                <w:between w:val="nil"/>
              </w:pBdr>
              <w:jc w:val="right"/>
              <w:rPr>
                <w:color w:val="000000"/>
              </w:rPr>
            </w:pPr>
          </w:p>
        </w:tc>
        <w:tc>
          <w:tcPr>
            <w:tcW w:w="745" w:type="pct"/>
            <w:tcBorders>
              <w:bottom w:val="single" w:sz="4" w:space="0" w:color="000000"/>
            </w:tcBorders>
            <w:shd w:val="clear" w:color="auto" w:fill="auto"/>
            <w:vAlign w:val="bottom"/>
          </w:tcPr>
          <w:p w14:paraId="42AC100E" w14:textId="77777777" w:rsidR="00D83E33" w:rsidRPr="00FE3A14" w:rsidRDefault="00D83E33">
            <w:pPr>
              <w:widowControl w:val="0"/>
              <w:pBdr>
                <w:top w:val="nil"/>
                <w:left w:val="nil"/>
                <w:bottom w:val="nil"/>
                <w:right w:val="nil"/>
                <w:between w:val="nil"/>
              </w:pBdr>
              <w:jc w:val="right"/>
              <w:rPr>
                <w:color w:val="000000"/>
              </w:rPr>
            </w:pPr>
          </w:p>
        </w:tc>
      </w:tr>
      <w:tr w:rsidR="00D83E33" w:rsidRPr="00FE3A14" w14:paraId="6FE45454" w14:textId="77777777" w:rsidTr="001B330E">
        <w:trPr>
          <w:trHeight w:val="23"/>
        </w:trPr>
        <w:tc>
          <w:tcPr>
            <w:tcW w:w="2763" w:type="pct"/>
            <w:tcBorders>
              <w:top w:val="single" w:sz="4" w:space="0" w:color="000000"/>
            </w:tcBorders>
            <w:shd w:val="clear" w:color="auto" w:fill="auto"/>
            <w:vAlign w:val="bottom"/>
          </w:tcPr>
          <w:p w14:paraId="79E2BF36" w14:textId="77777777" w:rsidR="00D83E33" w:rsidRPr="00FE3A14" w:rsidRDefault="00BC4072">
            <w:pPr>
              <w:widowControl w:val="0"/>
              <w:pBdr>
                <w:top w:val="nil"/>
                <w:left w:val="nil"/>
                <w:bottom w:val="nil"/>
                <w:right w:val="nil"/>
                <w:between w:val="nil"/>
              </w:pBdr>
              <w:ind w:left="113" w:hanging="113"/>
              <w:rPr>
                <w:color w:val="000000"/>
              </w:rPr>
            </w:pPr>
            <w:r w:rsidRPr="00FE3A14">
              <w:rPr>
                <w:color w:val="000000"/>
              </w:rPr>
              <w:t> </w:t>
            </w:r>
          </w:p>
        </w:tc>
        <w:tc>
          <w:tcPr>
            <w:tcW w:w="746" w:type="pct"/>
            <w:tcBorders>
              <w:top w:val="single" w:sz="4" w:space="0" w:color="000000"/>
            </w:tcBorders>
            <w:shd w:val="clear" w:color="auto" w:fill="auto"/>
            <w:vAlign w:val="bottom"/>
          </w:tcPr>
          <w:p w14:paraId="0ACE83F7" w14:textId="77777777" w:rsidR="00D83E33" w:rsidRPr="00FE3A14" w:rsidRDefault="00D83E33">
            <w:pPr>
              <w:widowControl w:val="0"/>
              <w:pBdr>
                <w:top w:val="nil"/>
                <w:left w:val="nil"/>
                <w:bottom w:val="nil"/>
                <w:right w:val="nil"/>
                <w:between w:val="nil"/>
              </w:pBdr>
              <w:jc w:val="right"/>
              <w:rPr>
                <w:color w:val="000000"/>
              </w:rPr>
            </w:pPr>
          </w:p>
        </w:tc>
        <w:tc>
          <w:tcPr>
            <w:tcW w:w="746" w:type="pct"/>
            <w:tcBorders>
              <w:top w:val="single" w:sz="4" w:space="0" w:color="000000"/>
            </w:tcBorders>
            <w:vAlign w:val="bottom"/>
          </w:tcPr>
          <w:p w14:paraId="2FA94C42" w14:textId="77777777" w:rsidR="00D83E33" w:rsidRPr="00FE3A14" w:rsidRDefault="00D83E33">
            <w:pPr>
              <w:widowControl w:val="0"/>
              <w:pBdr>
                <w:top w:val="nil"/>
                <w:left w:val="nil"/>
                <w:bottom w:val="nil"/>
                <w:right w:val="nil"/>
                <w:between w:val="nil"/>
              </w:pBdr>
              <w:jc w:val="right"/>
              <w:rPr>
                <w:color w:val="000000"/>
              </w:rPr>
            </w:pPr>
          </w:p>
        </w:tc>
        <w:tc>
          <w:tcPr>
            <w:tcW w:w="745" w:type="pct"/>
            <w:tcBorders>
              <w:top w:val="single" w:sz="4" w:space="0" w:color="000000"/>
            </w:tcBorders>
            <w:shd w:val="clear" w:color="auto" w:fill="auto"/>
            <w:vAlign w:val="bottom"/>
          </w:tcPr>
          <w:p w14:paraId="0CDF5C4B" w14:textId="77777777" w:rsidR="00D83E33" w:rsidRPr="00FE3A14" w:rsidRDefault="00D83E33">
            <w:pPr>
              <w:widowControl w:val="0"/>
              <w:pBdr>
                <w:top w:val="nil"/>
                <w:left w:val="nil"/>
                <w:bottom w:val="nil"/>
                <w:right w:val="nil"/>
                <w:between w:val="nil"/>
              </w:pBdr>
              <w:jc w:val="right"/>
              <w:rPr>
                <w:color w:val="000000"/>
              </w:rPr>
            </w:pPr>
          </w:p>
        </w:tc>
      </w:tr>
      <w:tr w:rsidR="00D83E33" w:rsidRPr="00FE3A14" w14:paraId="0077032A" w14:textId="77777777" w:rsidTr="001B330E">
        <w:trPr>
          <w:trHeight w:val="23"/>
        </w:trPr>
        <w:tc>
          <w:tcPr>
            <w:tcW w:w="2763" w:type="pct"/>
            <w:shd w:val="clear" w:color="auto" w:fill="auto"/>
            <w:vAlign w:val="bottom"/>
          </w:tcPr>
          <w:p w14:paraId="2584055E" w14:textId="45F22427" w:rsidR="00D83E33" w:rsidRPr="00FE3A14" w:rsidRDefault="00BC4072">
            <w:pPr>
              <w:widowControl w:val="0"/>
              <w:pBdr>
                <w:top w:val="nil"/>
                <w:left w:val="nil"/>
                <w:bottom w:val="nil"/>
                <w:right w:val="nil"/>
                <w:between w:val="nil"/>
              </w:pBdr>
              <w:ind w:left="113" w:hanging="113"/>
              <w:rPr>
                <w:b/>
                <w:color w:val="000000"/>
              </w:rPr>
            </w:pPr>
            <w:r w:rsidRPr="00FE3A14">
              <w:rPr>
                <w:b/>
                <w:color w:val="000000"/>
              </w:rPr>
              <w:t>Total investments in equity securities at 31</w:t>
            </w:r>
            <w:r w:rsidR="00181687">
              <w:rPr>
                <w:b/>
                <w:color w:val="000000"/>
              </w:rPr>
              <w:t> December </w:t>
            </w:r>
            <w:r w:rsidR="00541EBC">
              <w:rPr>
                <w:b/>
                <w:color w:val="000000"/>
              </w:rPr>
              <w:t>2024</w:t>
            </w:r>
          </w:p>
        </w:tc>
        <w:tc>
          <w:tcPr>
            <w:tcW w:w="746" w:type="pct"/>
            <w:shd w:val="clear" w:color="auto" w:fill="auto"/>
            <w:vAlign w:val="bottom"/>
          </w:tcPr>
          <w:p w14:paraId="54CE9B86" w14:textId="77777777" w:rsidR="00D83E33" w:rsidRPr="00FE3A14" w:rsidRDefault="00D83E33">
            <w:pPr>
              <w:widowControl w:val="0"/>
              <w:pBdr>
                <w:top w:val="nil"/>
                <w:left w:val="nil"/>
                <w:bottom w:val="nil"/>
                <w:right w:val="nil"/>
                <w:between w:val="nil"/>
              </w:pBdr>
              <w:jc w:val="right"/>
              <w:rPr>
                <w:b/>
                <w:color w:val="000000"/>
              </w:rPr>
            </w:pPr>
          </w:p>
        </w:tc>
        <w:tc>
          <w:tcPr>
            <w:tcW w:w="746" w:type="pct"/>
            <w:vAlign w:val="bottom"/>
          </w:tcPr>
          <w:p w14:paraId="15313C3F" w14:textId="77777777" w:rsidR="00D83E33" w:rsidRPr="00FE3A14" w:rsidRDefault="00D83E33">
            <w:pPr>
              <w:widowControl w:val="0"/>
              <w:pBdr>
                <w:top w:val="nil"/>
                <w:left w:val="nil"/>
                <w:bottom w:val="nil"/>
                <w:right w:val="nil"/>
                <w:between w:val="nil"/>
              </w:pBdr>
              <w:jc w:val="right"/>
              <w:rPr>
                <w:b/>
                <w:color w:val="000000"/>
              </w:rPr>
            </w:pPr>
          </w:p>
        </w:tc>
        <w:tc>
          <w:tcPr>
            <w:tcW w:w="745" w:type="pct"/>
            <w:shd w:val="clear" w:color="auto" w:fill="auto"/>
            <w:vAlign w:val="bottom"/>
          </w:tcPr>
          <w:p w14:paraId="1CE10B30" w14:textId="77777777" w:rsidR="00D83E33" w:rsidRPr="00FE3A14" w:rsidRDefault="00D83E33">
            <w:pPr>
              <w:widowControl w:val="0"/>
              <w:pBdr>
                <w:top w:val="nil"/>
                <w:left w:val="nil"/>
                <w:bottom w:val="nil"/>
                <w:right w:val="nil"/>
                <w:between w:val="nil"/>
              </w:pBdr>
              <w:jc w:val="right"/>
              <w:rPr>
                <w:b/>
                <w:color w:val="000000"/>
              </w:rPr>
            </w:pPr>
          </w:p>
        </w:tc>
      </w:tr>
      <w:tr w:rsidR="00D83E33" w:rsidRPr="00FE3A14" w14:paraId="32C77BF0" w14:textId="77777777" w:rsidTr="001B330E">
        <w:trPr>
          <w:trHeight w:val="23"/>
        </w:trPr>
        <w:tc>
          <w:tcPr>
            <w:tcW w:w="2763" w:type="pct"/>
            <w:tcBorders>
              <w:bottom w:val="single" w:sz="12" w:space="0" w:color="000000"/>
            </w:tcBorders>
            <w:shd w:val="clear" w:color="auto" w:fill="auto"/>
            <w:vAlign w:val="bottom"/>
          </w:tcPr>
          <w:p w14:paraId="70C103C0" w14:textId="77777777" w:rsidR="00D83E33" w:rsidRPr="00FE3A14" w:rsidRDefault="00D83E33">
            <w:pPr>
              <w:widowControl w:val="0"/>
              <w:pBdr>
                <w:top w:val="nil"/>
                <w:left w:val="nil"/>
                <w:bottom w:val="nil"/>
                <w:right w:val="nil"/>
                <w:between w:val="nil"/>
              </w:pBdr>
              <w:ind w:left="113" w:hanging="113"/>
              <w:rPr>
                <w:b/>
                <w:color w:val="000000"/>
              </w:rPr>
            </w:pPr>
          </w:p>
        </w:tc>
        <w:tc>
          <w:tcPr>
            <w:tcW w:w="746" w:type="pct"/>
            <w:tcBorders>
              <w:bottom w:val="single" w:sz="12" w:space="0" w:color="000000"/>
            </w:tcBorders>
            <w:shd w:val="clear" w:color="auto" w:fill="auto"/>
            <w:vAlign w:val="bottom"/>
          </w:tcPr>
          <w:p w14:paraId="37B9BE02" w14:textId="77777777" w:rsidR="00D83E33" w:rsidRPr="00FE3A14" w:rsidRDefault="00D83E33">
            <w:pPr>
              <w:widowControl w:val="0"/>
              <w:pBdr>
                <w:top w:val="nil"/>
                <w:left w:val="nil"/>
                <w:bottom w:val="nil"/>
                <w:right w:val="nil"/>
                <w:between w:val="nil"/>
              </w:pBdr>
              <w:jc w:val="right"/>
              <w:rPr>
                <w:b/>
                <w:color w:val="000000"/>
              </w:rPr>
            </w:pPr>
          </w:p>
        </w:tc>
        <w:tc>
          <w:tcPr>
            <w:tcW w:w="746" w:type="pct"/>
            <w:tcBorders>
              <w:bottom w:val="single" w:sz="12" w:space="0" w:color="000000"/>
            </w:tcBorders>
            <w:vAlign w:val="bottom"/>
          </w:tcPr>
          <w:p w14:paraId="6BBB2F43" w14:textId="77777777" w:rsidR="00D83E33" w:rsidRPr="00FE3A14" w:rsidRDefault="00D83E33">
            <w:pPr>
              <w:widowControl w:val="0"/>
              <w:pBdr>
                <w:top w:val="nil"/>
                <w:left w:val="nil"/>
                <w:bottom w:val="nil"/>
                <w:right w:val="nil"/>
                <w:between w:val="nil"/>
              </w:pBdr>
              <w:jc w:val="right"/>
              <w:rPr>
                <w:b/>
                <w:color w:val="000000"/>
              </w:rPr>
            </w:pPr>
          </w:p>
        </w:tc>
        <w:tc>
          <w:tcPr>
            <w:tcW w:w="745" w:type="pct"/>
            <w:tcBorders>
              <w:bottom w:val="single" w:sz="12" w:space="0" w:color="000000"/>
            </w:tcBorders>
            <w:shd w:val="clear" w:color="auto" w:fill="auto"/>
            <w:vAlign w:val="bottom"/>
          </w:tcPr>
          <w:p w14:paraId="071103B2" w14:textId="77777777" w:rsidR="00D83E33" w:rsidRPr="00FE3A14" w:rsidRDefault="00D83E33">
            <w:pPr>
              <w:widowControl w:val="0"/>
              <w:pBdr>
                <w:top w:val="nil"/>
                <w:left w:val="nil"/>
                <w:bottom w:val="nil"/>
                <w:right w:val="nil"/>
                <w:between w:val="nil"/>
              </w:pBdr>
              <w:jc w:val="right"/>
              <w:rPr>
                <w:b/>
                <w:color w:val="000000"/>
              </w:rPr>
            </w:pPr>
          </w:p>
        </w:tc>
      </w:tr>
    </w:tbl>
    <w:p w14:paraId="29EA697A" w14:textId="77777777" w:rsidR="00D83E33" w:rsidRDefault="00D83E33">
      <w:pPr>
        <w:widowControl w:val="0"/>
        <w:pBdr>
          <w:top w:val="nil"/>
          <w:left w:val="nil"/>
          <w:bottom w:val="nil"/>
          <w:right w:val="nil"/>
          <w:between w:val="nil"/>
        </w:pBdr>
        <w:rPr>
          <w:b/>
          <w:color w:val="000000"/>
          <w:sz w:val="20"/>
          <w:szCs w:val="20"/>
        </w:rPr>
      </w:pPr>
    </w:p>
    <w:tbl>
      <w:tblPr>
        <w:tblStyle w:val="afff4"/>
        <w:tblW w:w="5000" w:type="pct"/>
        <w:tblLayout w:type="fixed"/>
        <w:tblLook w:val="0000" w:firstRow="0" w:lastRow="0" w:firstColumn="0" w:lastColumn="0" w:noHBand="0" w:noVBand="0"/>
      </w:tblPr>
      <w:tblGrid>
        <w:gridCol w:w="5169"/>
        <w:gridCol w:w="1396"/>
        <w:gridCol w:w="1396"/>
        <w:gridCol w:w="1394"/>
      </w:tblGrid>
      <w:tr w:rsidR="00D83E33" w:rsidRPr="00E837F2" w14:paraId="0CFEF4A6" w14:textId="77777777" w:rsidTr="00DB0A34">
        <w:trPr>
          <w:trHeight w:val="23"/>
        </w:trPr>
        <w:tc>
          <w:tcPr>
            <w:tcW w:w="2763" w:type="pct"/>
            <w:tcBorders>
              <w:bottom w:val="single" w:sz="4" w:space="0" w:color="000000"/>
            </w:tcBorders>
            <w:shd w:val="clear" w:color="auto" w:fill="auto"/>
            <w:vAlign w:val="bottom"/>
          </w:tcPr>
          <w:p w14:paraId="20DD2525" w14:textId="41022E76" w:rsidR="00D83E33" w:rsidRPr="00E837F2"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746" w:type="pct"/>
            <w:tcBorders>
              <w:bottom w:val="single" w:sz="4" w:space="0" w:color="000000"/>
            </w:tcBorders>
            <w:shd w:val="clear" w:color="auto" w:fill="auto"/>
          </w:tcPr>
          <w:p w14:paraId="5EE6BC47"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Equity securities at FVTPL</w:t>
            </w:r>
          </w:p>
        </w:tc>
        <w:tc>
          <w:tcPr>
            <w:tcW w:w="746" w:type="pct"/>
            <w:tcBorders>
              <w:bottom w:val="single" w:sz="4" w:space="0" w:color="000000"/>
            </w:tcBorders>
          </w:tcPr>
          <w:p w14:paraId="54D1E6B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Equity securities at FVOCI</w:t>
            </w:r>
          </w:p>
        </w:tc>
        <w:tc>
          <w:tcPr>
            <w:tcW w:w="745" w:type="pct"/>
            <w:tcBorders>
              <w:bottom w:val="single" w:sz="4" w:space="0" w:color="000000"/>
            </w:tcBorders>
            <w:shd w:val="clear" w:color="auto" w:fill="auto"/>
          </w:tcPr>
          <w:p w14:paraId="138C6B59"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1320CBDD" w14:textId="77777777" w:rsidTr="00DB0A34">
        <w:trPr>
          <w:trHeight w:val="23"/>
        </w:trPr>
        <w:tc>
          <w:tcPr>
            <w:tcW w:w="2763" w:type="pct"/>
            <w:shd w:val="clear" w:color="auto" w:fill="auto"/>
            <w:vAlign w:val="bottom"/>
          </w:tcPr>
          <w:p w14:paraId="2BFC4A70" w14:textId="77777777" w:rsidR="00D83E33" w:rsidRPr="00E837F2" w:rsidRDefault="00BC4072">
            <w:pPr>
              <w:widowControl w:val="0"/>
              <w:ind w:left="113" w:hanging="113"/>
              <w:rPr>
                <w:b/>
                <w:u w:val="single"/>
              </w:rPr>
            </w:pPr>
            <w:r w:rsidRPr="00E837F2">
              <w:t> </w:t>
            </w:r>
          </w:p>
        </w:tc>
        <w:tc>
          <w:tcPr>
            <w:tcW w:w="746" w:type="pct"/>
            <w:shd w:val="clear" w:color="auto" w:fill="auto"/>
            <w:vAlign w:val="bottom"/>
          </w:tcPr>
          <w:p w14:paraId="08C08521" w14:textId="77777777" w:rsidR="00D83E33" w:rsidRPr="00E837F2" w:rsidRDefault="00D83E33">
            <w:pPr>
              <w:widowControl w:val="0"/>
              <w:jc w:val="right"/>
            </w:pPr>
          </w:p>
        </w:tc>
        <w:tc>
          <w:tcPr>
            <w:tcW w:w="746" w:type="pct"/>
            <w:vAlign w:val="bottom"/>
          </w:tcPr>
          <w:p w14:paraId="5CBFFFAE" w14:textId="77777777" w:rsidR="00D83E33" w:rsidRPr="00E837F2" w:rsidRDefault="00D83E33">
            <w:pPr>
              <w:widowControl w:val="0"/>
              <w:jc w:val="right"/>
            </w:pPr>
          </w:p>
        </w:tc>
        <w:tc>
          <w:tcPr>
            <w:tcW w:w="745" w:type="pct"/>
            <w:shd w:val="clear" w:color="auto" w:fill="auto"/>
            <w:vAlign w:val="bottom"/>
          </w:tcPr>
          <w:p w14:paraId="4CC094FF" w14:textId="77777777" w:rsidR="00D83E33" w:rsidRPr="00E837F2" w:rsidRDefault="00D83E33">
            <w:pPr>
              <w:widowControl w:val="0"/>
              <w:jc w:val="right"/>
            </w:pPr>
          </w:p>
        </w:tc>
      </w:tr>
      <w:tr w:rsidR="00D83E33" w:rsidRPr="00E837F2" w14:paraId="6A55E75C" w14:textId="77777777" w:rsidTr="00DB0A34">
        <w:trPr>
          <w:trHeight w:val="23"/>
        </w:trPr>
        <w:tc>
          <w:tcPr>
            <w:tcW w:w="2763" w:type="pct"/>
            <w:shd w:val="clear" w:color="auto" w:fill="auto"/>
            <w:vAlign w:val="bottom"/>
          </w:tcPr>
          <w:p w14:paraId="6C398CDD" w14:textId="77777777" w:rsidR="00D83E33" w:rsidRPr="00E837F2" w:rsidRDefault="00BC4072">
            <w:pPr>
              <w:widowControl w:val="0"/>
              <w:ind w:left="113" w:hanging="113"/>
            </w:pPr>
            <w:r w:rsidRPr="00E837F2">
              <w:t>Corporate shares</w:t>
            </w:r>
          </w:p>
        </w:tc>
        <w:tc>
          <w:tcPr>
            <w:tcW w:w="746" w:type="pct"/>
            <w:shd w:val="clear" w:color="auto" w:fill="auto"/>
            <w:vAlign w:val="bottom"/>
          </w:tcPr>
          <w:p w14:paraId="76DDE13C" w14:textId="77777777" w:rsidR="00D83E33" w:rsidRPr="00E837F2" w:rsidRDefault="00D83E33">
            <w:pPr>
              <w:widowControl w:val="0"/>
              <w:pBdr>
                <w:top w:val="nil"/>
                <w:left w:val="nil"/>
                <w:bottom w:val="nil"/>
                <w:right w:val="nil"/>
                <w:between w:val="nil"/>
              </w:pBdr>
              <w:jc w:val="right"/>
              <w:rPr>
                <w:color w:val="000000"/>
              </w:rPr>
            </w:pPr>
          </w:p>
        </w:tc>
        <w:tc>
          <w:tcPr>
            <w:tcW w:w="746" w:type="pct"/>
            <w:vAlign w:val="bottom"/>
          </w:tcPr>
          <w:p w14:paraId="3916AAD1" w14:textId="77777777" w:rsidR="00D83E33" w:rsidRPr="00E837F2" w:rsidRDefault="00D83E33">
            <w:pPr>
              <w:widowControl w:val="0"/>
              <w:pBdr>
                <w:top w:val="nil"/>
                <w:left w:val="nil"/>
                <w:bottom w:val="nil"/>
                <w:right w:val="nil"/>
                <w:between w:val="nil"/>
              </w:pBdr>
              <w:jc w:val="right"/>
              <w:rPr>
                <w:color w:val="000000"/>
              </w:rPr>
            </w:pPr>
          </w:p>
        </w:tc>
        <w:tc>
          <w:tcPr>
            <w:tcW w:w="745" w:type="pct"/>
            <w:shd w:val="clear" w:color="auto" w:fill="auto"/>
            <w:vAlign w:val="bottom"/>
          </w:tcPr>
          <w:p w14:paraId="35A3DC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25D5D52" w14:textId="77777777" w:rsidTr="00DB0A34">
        <w:trPr>
          <w:trHeight w:val="23"/>
        </w:trPr>
        <w:tc>
          <w:tcPr>
            <w:tcW w:w="2763" w:type="pct"/>
            <w:shd w:val="clear" w:color="auto" w:fill="auto"/>
            <w:vAlign w:val="bottom"/>
          </w:tcPr>
          <w:p w14:paraId="7C99A0B1" w14:textId="77777777" w:rsidR="00D83E33" w:rsidRPr="00E837F2" w:rsidRDefault="00BC4072">
            <w:pPr>
              <w:widowControl w:val="0"/>
              <w:ind w:left="113" w:hanging="113"/>
            </w:pPr>
            <w:r w:rsidRPr="00E837F2">
              <w:t>American depositary receipts (ADR)</w:t>
            </w:r>
          </w:p>
        </w:tc>
        <w:tc>
          <w:tcPr>
            <w:tcW w:w="746" w:type="pct"/>
            <w:shd w:val="clear" w:color="auto" w:fill="auto"/>
            <w:vAlign w:val="bottom"/>
          </w:tcPr>
          <w:p w14:paraId="2CB69233" w14:textId="77777777" w:rsidR="00D83E33" w:rsidRPr="00E837F2" w:rsidRDefault="00D83E33">
            <w:pPr>
              <w:widowControl w:val="0"/>
              <w:pBdr>
                <w:top w:val="nil"/>
                <w:left w:val="nil"/>
                <w:bottom w:val="nil"/>
                <w:right w:val="nil"/>
                <w:between w:val="nil"/>
              </w:pBdr>
              <w:jc w:val="right"/>
              <w:rPr>
                <w:color w:val="000000"/>
              </w:rPr>
            </w:pPr>
          </w:p>
        </w:tc>
        <w:tc>
          <w:tcPr>
            <w:tcW w:w="746" w:type="pct"/>
            <w:vAlign w:val="bottom"/>
          </w:tcPr>
          <w:p w14:paraId="73137794" w14:textId="77777777" w:rsidR="00D83E33" w:rsidRPr="00E837F2" w:rsidRDefault="00D83E33">
            <w:pPr>
              <w:widowControl w:val="0"/>
              <w:pBdr>
                <w:top w:val="nil"/>
                <w:left w:val="nil"/>
                <w:bottom w:val="nil"/>
                <w:right w:val="nil"/>
                <w:between w:val="nil"/>
              </w:pBdr>
              <w:jc w:val="right"/>
              <w:rPr>
                <w:color w:val="000000"/>
              </w:rPr>
            </w:pPr>
          </w:p>
        </w:tc>
        <w:tc>
          <w:tcPr>
            <w:tcW w:w="745" w:type="pct"/>
            <w:shd w:val="clear" w:color="auto" w:fill="auto"/>
            <w:vAlign w:val="bottom"/>
          </w:tcPr>
          <w:p w14:paraId="4CDF6CC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1B4963A" w14:textId="77777777" w:rsidTr="00DB0A34">
        <w:trPr>
          <w:trHeight w:val="23"/>
        </w:trPr>
        <w:tc>
          <w:tcPr>
            <w:tcW w:w="2763" w:type="pct"/>
            <w:shd w:val="clear" w:color="auto" w:fill="auto"/>
            <w:vAlign w:val="bottom"/>
          </w:tcPr>
          <w:p w14:paraId="42D1E7C2" w14:textId="77777777" w:rsidR="00D83E33" w:rsidRPr="00E837F2" w:rsidRDefault="00D83E33">
            <w:pPr>
              <w:widowControl w:val="0"/>
              <w:ind w:left="113" w:hanging="113"/>
            </w:pPr>
          </w:p>
        </w:tc>
        <w:tc>
          <w:tcPr>
            <w:tcW w:w="746" w:type="pct"/>
            <w:shd w:val="clear" w:color="auto" w:fill="auto"/>
            <w:vAlign w:val="bottom"/>
          </w:tcPr>
          <w:p w14:paraId="09B4D692" w14:textId="77777777" w:rsidR="00D83E33" w:rsidRPr="00E837F2" w:rsidRDefault="00D83E33">
            <w:pPr>
              <w:widowControl w:val="0"/>
              <w:pBdr>
                <w:top w:val="nil"/>
                <w:left w:val="nil"/>
                <w:bottom w:val="nil"/>
                <w:right w:val="nil"/>
                <w:between w:val="nil"/>
              </w:pBdr>
              <w:jc w:val="right"/>
              <w:rPr>
                <w:color w:val="000000"/>
              </w:rPr>
            </w:pPr>
          </w:p>
        </w:tc>
        <w:tc>
          <w:tcPr>
            <w:tcW w:w="746" w:type="pct"/>
            <w:vAlign w:val="bottom"/>
          </w:tcPr>
          <w:p w14:paraId="79985163" w14:textId="77777777" w:rsidR="00D83E33" w:rsidRPr="00E837F2" w:rsidRDefault="00D83E33">
            <w:pPr>
              <w:widowControl w:val="0"/>
              <w:pBdr>
                <w:top w:val="nil"/>
                <w:left w:val="nil"/>
                <w:bottom w:val="nil"/>
                <w:right w:val="nil"/>
                <w:between w:val="nil"/>
              </w:pBdr>
              <w:jc w:val="right"/>
              <w:rPr>
                <w:color w:val="000000"/>
              </w:rPr>
            </w:pPr>
          </w:p>
        </w:tc>
        <w:tc>
          <w:tcPr>
            <w:tcW w:w="745" w:type="pct"/>
            <w:shd w:val="clear" w:color="auto" w:fill="auto"/>
            <w:vAlign w:val="bottom"/>
          </w:tcPr>
          <w:p w14:paraId="6377459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3F96FB4" w14:textId="77777777" w:rsidTr="00DB0A34">
        <w:trPr>
          <w:trHeight w:val="23"/>
        </w:trPr>
        <w:tc>
          <w:tcPr>
            <w:tcW w:w="2763" w:type="pct"/>
            <w:shd w:val="clear" w:color="auto" w:fill="auto"/>
            <w:vAlign w:val="bottom"/>
          </w:tcPr>
          <w:p w14:paraId="37F42502" w14:textId="7E834FF7" w:rsidR="00D83E33" w:rsidRPr="00E837F2" w:rsidRDefault="00BC4072">
            <w:pPr>
              <w:widowControl w:val="0"/>
              <w:ind w:left="113" w:hanging="113"/>
            </w:pPr>
            <w:r w:rsidRPr="00E837F2">
              <w:t xml:space="preserve">Global depositary receipts (GDR) </w:t>
            </w:r>
          </w:p>
        </w:tc>
        <w:tc>
          <w:tcPr>
            <w:tcW w:w="746" w:type="pct"/>
            <w:shd w:val="clear" w:color="auto" w:fill="auto"/>
            <w:vAlign w:val="bottom"/>
          </w:tcPr>
          <w:p w14:paraId="2C3C93F8" w14:textId="77777777" w:rsidR="00D83E33" w:rsidRPr="00E837F2" w:rsidRDefault="00D83E33">
            <w:pPr>
              <w:widowControl w:val="0"/>
              <w:pBdr>
                <w:top w:val="nil"/>
                <w:left w:val="nil"/>
                <w:bottom w:val="nil"/>
                <w:right w:val="nil"/>
                <w:between w:val="nil"/>
              </w:pBdr>
              <w:jc w:val="right"/>
              <w:rPr>
                <w:color w:val="000000"/>
              </w:rPr>
            </w:pPr>
          </w:p>
        </w:tc>
        <w:tc>
          <w:tcPr>
            <w:tcW w:w="746" w:type="pct"/>
            <w:vAlign w:val="bottom"/>
          </w:tcPr>
          <w:p w14:paraId="2B056D8F" w14:textId="77777777" w:rsidR="00D83E33" w:rsidRPr="00E837F2" w:rsidRDefault="00D83E33">
            <w:pPr>
              <w:widowControl w:val="0"/>
              <w:pBdr>
                <w:top w:val="nil"/>
                <w:left w:val="nil"/>
                <w:bottom w:val="nil"/>
                <w:right w:val="nil"/>
                <w:between w:val="nil"/>
              </w:pBdr>
              <w:jc w:val="right"/>
              <w:rPr>
                <w:color w:val="000000"/>
              </w:rPr>
            </w:pPr>
          </w:p>
        </w:tc>
        <w:tc>
          <w:tcPr>
            <w:tcW w:w="745" w:type="pct"/>
            <w:shd w:val="clear" w:color="auto" w:fill="auto"/>
            <w:vAlign w:val="bottom"/>
          </w:tcPr>
          <w:p w14:paraId="0A48BFF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F065853" w14:textId="77777777" w:rsidTr="00DB0A34">
        <w:trPr>
          <w:trHeight w:val="23"/>
        </w:trPr>
        <w:tc>
          <w:tcPr>
            <w:tcW w:w="2763" w:type="pct"/>
            <w:tcBorders>
              <w:bottom w:val="single" w:sz="4" w:space="0" w:color="000000"/>
            </w:tcBorders>
            <w:shd w:val="clear" w:color="auto" w:fill="auto"/>
            <w:vAlign w:val="bottom"/>
          </w:tcPr>
          <w:p w14:paraId="333F015E"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w:t>
            </w:r>
          </w:p>
        </w:tc>
        <w:tc>
          <w:tcPr>
            <w:tcW w:w="746" w:type="pct"/>
            <w:tcBorders>
              <w:bottom w:val="single" w:sz="4" w:space="0" w:color="000000"/>
            </w:tcBorders>
            <w:shd w:val="clear" w:color="auto" w:fill="auto"/>
            <w:vAlign w:val="bottom"/>
          </w:tcPr>
          <w:p w14:paraId="132436BD" w14:textId="77777777" w:rsidR="00D83E33" w:rsidRPr="00E837F2" w:rsidRDefault="00D83E33">
            <w:pPr>
              <w:widowControl w:val="0"/>
              <w:pBdr>
                <w:top w:val="nil"/>
                <w:left w:val="nil"/>
                <w:bottom w:val="nil"/>
                <w:right w:val="nil"/>
                <w:between w:val="nil"/>
              </w:pBdr>
              <w:jc w:val="right"/>
              <w:rPr>
                <w:color w:val="000000"/>
              </w:rPr>
            </w:pPr>
          </w:p>
        </w:tc>
        <w:tc>
          <w:tcPr>
            <w:tcW w:w="746" w:type="pct"/>
            <w:tcBorders>
              <w:bottom w:val="single" w:sz="4" w:space="0" w:color="000000"/>
            </w:tcBorders>
            <w:vAlign w:val="bottom"/>
          </w:tcPr>
          <w:p w14:paraId="6F549DFD" w14:textId="77777777" w:rsidR="00D83E33" w:rsidRPr="00E837F2" w:rsidRDefault="00D83E33">
            <w:pPr>
              <w:widowControl w:val="0"/>
              <w:pBdr>
                <w:top w:val="nil"/>
                <w:left w:val="nil"/>
                <w:bottom w:val="nil"/>
                <w:right w:val="nil"/>
                <w:between w:val="nil"/>
              </w:pBdr>
              <w:jc w:val="right"/>
              <w:rPr>
                <w:color w:val="000000"/>
              </w:rPr>
            </w:pPr>
          </w:p>
        </w:tc>
        <w:tc>
          <w:tcPr>
            <w:tcW w:w="745" w:type="pct"/>
            <w:tcBorders>
              <w:bottom w:val="single" w:sz="4" w:space="0" w:color="000000"/>
            </w:tcBorders>
            <w:shd w:val="clear" w:color="auto" w:fill="auto"/>
            <w:vAlign w:val="bottom"/>
          </w:tcPr>
          <w:p w14:paraId="1C3DEEF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DBAD9CC" w14:textId="77777777" w:rsidTr="00DB0A34">
        <w:trPr>
          <w:trHeight w:val="23"/>
        </w:trPr>
        <w:tc>
          <w:tcPr>
            <w:tcW w:w="2763" w:type="pct"/>
            <w:tcBorders>
              <w:top w:val="single" w:sz="4" w:space="0" w:color="000000"/>
            </w:tcBorders>
            <w:shd w:val="clear" w:color="auto" w:fill="auto"/>
            <w:vAlign w:val="bottom"/>
          </w:tcPr>
          <w:p w14:paraId="017717A9"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w:t>
            </w:r>
          </w:p>
        </w:tc>
        <w:tc>
          <w:tcPr>
            <w:tcW w:w="746" w:type="pct"/>
            <w:tcBorders>
              <w:top w:val="single" w:sz="4" w:space="0" w:color="000000"/>
            </w:tcBorders>
            <w:shd w:val="clear" w:color="auto" w:fill="auto"/>
            <w:vAlign w:val="bottom"/>
          </w:tcPr>
          <w:p w14:paraId="50D36804" w14:textId="77777777" w:rsidR="00D83E33" w:rsidRPr="00E837F2" w:rsidRDefault="00D83E33">
            <w:pPr>
              <w:widowControl w:val="0"/>
              <w:pBdr>
                <w:top w:val="nil"/>
                <w:left w:val="nil"/>
                <w:bottom w:val="nil"/>
                <w:right w:val="nil"/>
                <w:between w:val="nil"/>
              </w:pBdr>
              <w:jc w:val="right"/>
              <w:rPr>
                <w:color w:val="000000"/>
              </w:rPr>
            </w:pPr>
          </w:p>
        </w:tc>
        <w:tc>
          <w:tcPr>
            <w:tcW w:w="746" w:type="pct"/>
            <w:tcBorders>
              <w:top w:val="single" w:sz="4" w:space="0" w:color="000000"/>
            </w:tcBorders>
            <w:vAlign w:val="bottom"/>
          </w:tcPr>
          <w:p w14:paraId="594A2F14" w14:textId="77777777" w:rsidR="00D83E33" w:rsidRPr="00E837F2" w:rsidRDefault="00D83E33">
            <w:pPr>
              <w:widowControl w:val="0"/>
              <w:pBdr>
                <w:top w:val="nil"/>
                <w:left w:val="nil"/>
                <w:bottom w:val="nil"/>
                <w:right w:val="nil"/>
                <w:between w:val="nil"/>
              </w:pBdr>
              <w:jc w:val="right"/>
              <w:rPr>
                <w:color w:val="000000"/>
              </w:rPr>
            </w:pPr>
          </w:p>
        </w:tc>
        <w:tc>
          <w:tcPr>
            <w:tcW w:w="745" w:type="pct"/>
            <w:tcBorders>
              <w:top w:val="single" w:sz="4" w:space="0" w:color="000000"/>
            </w:tcBorders>
            <w:shd w:val="clear" w:color="auto" w:fill="auto"/>
            <w:vAlign w:val="bottom"/>
          </w:tcPr>
          <w:p w14:paraId="0DFCFE7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23EECBA" w14:textId="77777777" w:rsidTr="00DB0A34">
        <w:trPr>
          <w:trHeight w:val="23"/>
        </w:trPr>
        <w:tc>
          <w:tcPr>
            <w:tcW w:w="2763" w:type="pct"/>
            <w:shd w:val="clear" w:color="auto" w:fill="auto"/>
            <w:vAlign w:val="bottom"/>
          </w:tcPr>
          <w:p w14:paraId="44423449" w14:textId="7561C21C"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Total investments in equity securities at 31</w:t>
            </w:r>
            <w:r w:rsidR="00181687">
              <w:rPr>
                <w:b/>
                <w:color w:val="000000"/>
              </w:rPr>
              <w:t> December </w:t>
            </w:r>
            <w:r w:rsidR="00541EBC">
              <w:rPr>
                <w:b/>
                <w:color w:val="000000"/>
              </w:rPr>
              <w:t>2023</w:t>
            </w:r>
          </w:p>
        </w:tc>
        <w:tc>
          <w:tcPr>
            <w:tcW w:w="746" w:type="pct"/>
            <w:shd w:val="clear" w:color="auto" w:fill="auto"/>
            <w:vAlign w:val="bottom"/>
          </w:tcPr>
          <w:p w14:paraId="3ADCB1CE" w14:textId="77777777" w:rsidR="00D83E33" w:rsidRPr="00E837F2" w:rsidRDefault="00D83E33">
            <w:pPr>
              <w:widowControl w:val="0"/>
              <w:pBdr>
                <w:top w:val="nil"/>
                <w:left w:val="nil"/>
                <w:bottom w:val="nil"/>
                <w:right w:val="nil"/>
                <w:between w:val="nil"/>
              </w:pBdr>
              <w:jc w:val="right"/>
              <w:rPr>
                <w:b/>
                <w:color w:val="000000"/>
              </w:rPr>
            </w:pPr>
          </w:p>
        </w:tc>
        <w:tc>
          <w:tcPr>
            <w:tcW w:w="746" w:type="pct"/>
            <w:vAlign w:val="bottom"/>
          </w:tcPr>
          <w:p w14:paraId="3F9E0B25" w14:textId="77777777" w:rsidR="00D83E33" w:rsidRPr="00E837F2" w:rsidRDefault="00D83E33">
            <w:pPr>
              <w:widowControl w:val="0"/>
              <w:pBdr>
                <w:top w:val="nil"/>
                <w:left w:val="nil"/>
                <w:bottom w:val="nil"/>
                <w:right w:val="nil"/>
                <w:between w:val="nil"/>
              </w:pBdr>
              <w:jc w:val="right"/>
              <w:rPr>
                <w:b/>
                <w:color w:val="000000"/>
              </w:rPr>
            </w:pPr>
          </w:p>
        </w:tc>
        <w:tc>
          <w:tcPr>
            <w:tcW w:w="745" w:type="pct"/>
            <w:shd w:val="clear" w:color="auto" w:fill="auto"/>
            <w:vAlign w:val="bottom"/>
          </w:tcPr>
          <w:p w14:paraId="2D1E6615"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0710536C" w14:textId="77777777" w:rsidTr="00DB0A34">
        <w:trPr>
          <w:trHeight w:val="23"/>
        </w:trPr>
        <w:tc>
          <w:tcPr>
            <w:tcW w:w="2763" w:type="pct"/>
            <w:tcBorders>
              <w:bottom w:val="single" w:sz="12" w:space="0" w:color="000000"/>
            </w:tcBorders>
            <w:shd w:val="clear" w:color="auto" w:fill="auto"/>
            <w:vAlign w:val="bottom"/>
          </w:tcPr>
          <w:p w14:paraId="430C5EC8" w14:textId="77777777" w:rsidR="00D83E33" w:rsidRPr="00E837F2" w:rsidRDefault="00D83E33">
            <w:pPr>
              <w:widowControl w:val="0"/>
              <w:pBdr>
                <w:top w:val="nil"/>
                <w:left w:val="nil"/>
                <w:bottom w:val="nil"/>
                <w:right w:val="nil"/>
                <w:between w:val="nil"/>
              </w:pBdr>
              <w:ind w:left="113" w:hanging="113"/>
              <w:rPr>
                <w:b/>
                <w:color w:val="000000"/>
              </w:rPr>
            </w:pPr>
          </w:p>
        </w:tc>
        <w:tc>
          <w:tcPr>
            <w:tcW w:w="746" w:type="pct"/>
            <w:tcBorders>
              <w:bottom w:val="single" w:sz="12" w:space="0" w:color="000000"/>
            </w:tcBorders>
            <w:shd w:val="clear" w:color="auto" w:fill="auto"/>
            <w:vAlign w:val="bottom"/>
          </w:tcPr>
          <w:p w14:paraId="4C9CF5E0" w14:textId="77777777" w:rsidR="00D83E33" w:rsidRPr="00E837F2" w:rsidRDefault="00D83E33">
            <w:pPr>
              <w:widowControl w:val="0"/>
              <w:pBdr>
                <w:top w:val="nil"/>
                <w:left w:val="nil"/>
                <w:bottom w:val="nil"/>
                <w:right w:val="nil"/>
                <w:between w:val="nil"/>
              </w:pBdr>
              <w:jc w:val="right"/>
              <w:rPr>
                <w:b/>
                <w:color w:val="000000"/>
              </w:rPr>
            </w:pPr>
          </w:p>
        </w:tc>
        <w:tc>
          <w:tcPr>
            <w:tcW w:w="746" w:type="pct"/>
            <w:tcBorders>
              <w:bottom w:val="single" w:sz="12" w:space="0" w:color="000000"/>
            </w:tcBorders>
            <w:vAlign w:val="bottom"/>
          </w:tcPr>
          <w:p w14:paraId="3C916D57" w14:textId="77777777" w:rsidR="00D83E33" w:rsidRPr="00E837F2" w:rsidRDefault="00D83E33">
            <w:pPr>
              <w:widowControl w:val="0"/>
              <w:pBdr>
                <w:top w:val="nil"/>
                <w:left w:val="nil"/>
                <w:bottom w:val="nil"/>
                <w:right w:val="nil"/>
                <w:between w:val="nil"/>
              </w:pBdr>
              <w:jc w:val="right"/>
              <w:rPr>
                <w:b/>
                <w:color w:val="000000"/>
              </w:rPr>
            </w:pPr>
          </w:p>
        </w:tc>
        <w:tc>
          <w:tcPr>
            <w:tcW w:w="745" w:type="pct"/>
            <w:tcBorders>
              <w:bottom w:val="single" w:sz="12" w:space="0" w:color="000000"/>
            </w:tcBorders>
            <w:shd w:val="clear" w:color="auto" w:fill="auto"/>
            <w:vAlign w:val="bottom"/>
          </w:tcPr>
          <w:p w14:paraId="321C69B7" w14:textId="77777777" w:rsidR="00D83E33" w:rsidRPr="00E837F2" w:rsidRDefault="00D83E33">
            <w:pPr>
              <w:widowControl w:val="0"/>
              <w:pBdr>
                <w:top w:val="nil"/>
                <w:left w:val="nil"/>
                <w:bottom w:val="nil"/>
                <w:right w:val="nil"/>
                <w:between w:val="nil"/>
              </w:pBdr>
              <w:jc w:val="right"/>
              <w:rPr>
                <w:b/>
                <w:color w:val="000000"/>
              </w:rPr>
            </w:pPr>
          </w:p>
        </w:tc>
      </w:tr>
    </w:tbl>
    <w:p w14:paraId="4B873639" w14:textId="77777777" w:rsidR="00DB0A34" w:rsidRDefault="00DB0A34" w:rsidP="00DB0A34">
      <w:pPr>
        <w:rPr>
          <w:color w:val="000000"/>
          <w:sz w:val="20"/>
          <w:szCs w:val="20"/>
        </w:rPr>
      </w:pPr>
    </w:p>
    <w:p w14:paraId="2CABAD66" w14:textId="1D380207" w:rsidR="00DB0A34" w:rsidRDefault="00DB0A34" w:rsidP="0049022E">
      <w:pPr>
        <w:jc w:val="both"/>
        <w:rPr>
          <w:color w:val="000000"/>
          <w:sz w:val="20"/>
          <w:szCs w:val="20"/>
        </w:rPr>
      </w:pPr>
      <w:r>
        <w:rPr>
          <w:color w:val="000000"/>
          <w:sz w:val="20"/>
          <w:szCs w:val="20"/>
        </w:rPr>
        <w:t xml:space="preserve">All purchases and sales of financial assets that require delivery within the time frame established by regulation or market convention (“regular way” purchases and sales) are recorded at trade date, which is the date on which the Group commits to deliver a financial asset. </w:t>
      </w:r>
    </w:p>
    <w:p w14:paraId="43DE7064" w14:textId="4BAACBBB" w:rsidR="0049022E" w:rsidRPr="0049022E" w:rsidRDefault="0049022E" w:rsidP="0049022E">
      <w:pPr>
        <w:widowControl w:val="0"/>
        <w:pBdr>
          <w:top w:val="nil"/>
          <w:left w:val="nil"/>
          <w:bottom w:val="nil"/>
          <w:right w:val="nil"/>
          <w:between w:val="nil"/>
        </w:pBdr>
        <w:spacing w:before="200" w:after="200"/>
        <w:jc w:val="both"/>
        <w:rPr>
          <w:b/>
          <w:color w:val="0000FF"/>
          <w:sz w:val="20"/>
          <w:szCs w:val="20"/>
        </w:rPr>
      </w:pPr>
      <w:r w:rsidRPr="0049022E">
        <w:rPr>
          <w:color w:val="0000FF"/>
          <w:sz w:val="20"/>
          <w:szCs w:val="20"/>
        </w:rPr>
        <w:t>[Financial assets that meet the definition of equity from the issuer’s perspective, i.e. instruments that do not contain a contractual obligation to pay cash and that evidence a residual interest in the issuer’s net assets, are considered as investments in equity securities by the Group. Investments in equity securities are measured at FVTPL, except where the Group elects at initial recognition to irrevocably designate an equity investments at FVOCI. The Group’s policy is to designate equity investments as FVOCI when [those investments are held for strategic purposes other than solely to generate investment returns.] When the FVOCI election is used, fair value gains and losses are recognised in OCI and are not subsequently reclassified to profit or loss, including on disposal. Impairment losses and their reversals, if any, are not measured separately from other changes in fair value. Dividends continue to be recognised in profit or loss when the Group’s right to receive payments is established except when they represent a recovery of an investment rather than a return on such investment.]</w:t>
      </w:r>
    </w:p>
    <w:p w14:paraId="185D03B8" w14:textId="0DEBDDE1" w:rsidR="00D83E33" w:rsidRDefault="00BC4072" w:rsidP="001B330E">
      <w:pPr>
        <w:widowControl w:val="0"/>
        <w:numPr>
          <w:ilvl w:val="0"/>
          <w:numId w:val="25"/>
        </w:numPr>
        <w:pBdr>
          <w:top w:val="nil"/>
          <w:left w:val="nil"/>
          <w:bottom w:val="nil"/>
          <w:right w:val="nil"/>
          <w:between w:val="nil"/>
        </w:pBdr>
        <w:spacing w:before="200" w:after="200"/>
        <w:ind w:left="567" w:hanging="567"/>
        <w:rPr>
          <w:b/>
          <w:color w:val="000000"/>
          <w:sz w:val="20"/>
          <w:szCs w:val="20"/>
        </w:rPr>
      </w:pPr>
      <w:r>
        <w:rPr>
          <w:b/>
          <w:color w:val="000000"/>
          <w:sz w:val="20"/>
          <w:szCs w:val="20"/>
        </w:rPr>
        <w:t>Investments in equity securities at FVTPL</w:t>
      </w:r>
    </w:p>
    <w:p w14:paraId="43646723" w14:textId="77777777"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Equity securities at FVTPL represent securities held for trading and other equity securities for which FVOCI election was not made on initial recognition. </w:t>
      </w:r>
    </w:p>
    <w:p w14:paraId="7DD57384" w14:textId="0DF8FC22"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securities with a fair value of </w:t>
      </w:r>
      <w:r w:rsidR="00D73799">
        <w:rPr>
          <w:color w:val="000000"/>
          <w:sz w:val="20"/>
          <w:szCs w:val="20"/>
        </w:rPr>
        <w:t>EUR</w:t>
      </w:r>
      <w:r>
        <w:rPr>
          <w:color w:val="000000"/>
          <w:sz w:val="20"/>
          <w:szCs w:val="20"/>
        </w:rPr>
        <w:t>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 thousand) have been pledged to third parties as collateral with respect to term placements of other banks and other borrowed funds. Refer to Notes 21 and 24.</w:t>
      </w:r>
    </w:p>
    <w:p w14:paraId="1B6BBD63" w14:textId="77777777" w:rsidR="00DB34A6" w:rsidRDefault="00DB34A6">
      <w:pPr>
        <w:widowControl w:val="0"/>
        <w:pBdr>
          <w:top w:val="nil"/>
          <w:left w:val="nil"/>
          <w:bottom w:val="nil"/>
          <w:right w:val="nil"/>
          <w:between w:val="nil"/>
        </w:pBdr>
        <w:spacing w:before="200" w:after="200"/>
        <w:jc w:val="both"/>
        <w:rPr>
          <w:color w:val="000000"/>
          <w:sz w:val="20"/>
          <w:szCs w:val="20"/>
        </w:rPr>
      </w:pPr>
    </w:p>
    <w:p w14:paraId="5FAAED31" w14:textId="77777777" w:rsidR="00DB34A6" w:rsidRDefault="00DB34A6">
      <w:pPr>
        <w:widowControl w:val="0"/>
        <w:pBdr>
          <w:top w:val="nil"/>
          <w:left w:val="nil"/>
          <w:bottom w:val="nil"/>
          <w:right w:val="nil"/>
          <w:between w:val="nil"/>
        </w:pBdr>
        <w:spacing w:before="200" w:after="200"/>
        <w:jc w:val="both"/>
        <w:rPr>
          <w:color w:val="000000"/>
          <w:sz w:val="20"/>
          <w:szCs w:val="20"/>
        </w:rPr>
      </w:pPr>
    </w:p>
    <w:p w14:paraId="265ACD0E" w14:textId="77777777" w:rsidR="00DB34A6" w:rsidRDefault="00DB34A6">
      <w:pPr>
        <w:widowControl w:val="0"/>
        <w:pBdr>
          <w:top w:val="nil"/>
          <w:left w:val="nil"/>
          <w:bottom w:val="nil"/>
          <w:right w:val="nil"/>
          <w:between w:val="nil"/>
        </w:pBdr>
        <w:spacing w:before="200" w:after="200"/>
        <w:jc w:val="both"/>
        <w:rPr>
          <w:color w:val="000000"/>
          <w:sz w:val="20"/>
          <w:szCs w:val="20"/>
        </w:rPr>
      </w:pPr>
    </w:p>
    <w:p w14:paraId="060C493C" w14:textId="1A71EAB9" w:rsidR="00443AF2" w:rsidRPr="00443AF2" w:rsidRDefault="00443AF2">
      <w:pPr>
        <w:widowControl w:val="0"/>
        <w:pBdr>
          <w:top w:val="nil"/>
          <w:left w:val="nil"/>
          <w:bottom w:val="nil"/>
          <w:right w:val="nil"/>
          <w:between w:val="nil"/>
        </w:pBdr>
        <w:spacing w:before="200" w:after="200"/>
        <w:jc w:val="both"/>
        <w:rPr>
          <w:b/>
          <w:bCs/>
          <w:color w:val="000000"/>
          <w:sz w:val="20"/>
          <w:szCs w:val="20"/>
        </w:rPr>
      </w:pPr>
      <w:r w:rsidRPr="00443AF2">
        <w:rPr>
          <w:b/>
          <w:bCs/>
          <w:color w:val="000000"/>
          <w:sz w:val="20"/>
          <w:szCs w:val="20"/>
        </w:rPr>
        <w:lastRenderedPageBreak/>
        <w:t>10</w:t>
      </w:r>
      <w:r w:rsidRPr="00443AF2">
        <w:rPr>
          <w:b/>
          <w:bCs/>
          <w:color w:val="000000"/>
          <w:sz w:val="20"/>
          <w:szCs w:val="20"/>
        </w:rPr>
        <w:tab/>
        <w:t>Investments in Equity Securities (Continued)</w:t>
      </w:r>
    </w:p>
    <w:p w14:paraId="00BD8BF0" w14:textId="77777777" w:rsidR="00D83E33" w:rsidRDefault="00BC4072" w:rsidP="001B330E">
      <w:pPr>
        <w:widowControl w:val="0"/>
        <w:numPr>
          <w:ilvl w:val="0"/>
          <w:numId w:val="25"/>
        </w:numPr>
        <w:pBdr>
          <w:top w:val="nil"/>
          <w:left w:val="nil"/>
          <w:bottom w:val="nil"/>
          <w:right w:val="nil"/>
          <w:between w:val="nil"/>
        </w:pBdr>
        <w:spacing w:before="200" w:after="200"/>
        <w:ind w:left="567" w:hanging="567"/>
        <w:rPr>
          <w:b/>
          <w:color w:val="000000"/>
          <w:sz w:val="20"/>
          <w:szCs w:val="20"/>
        </w:rPr>
      </w:pPr>
      <w:r>
        <w:rPr>
          <w:b/>
          <w:color w:val="000000"/>
          <w:sz w:val="20"/>
          <w:szCs w:val="20"/>
        </w:rPr>
        <w:t>Investments in equity securities at FVOCI</w:t>
      </w:r>
    </w:p>
    <w:p w14:paraId="6E5EB1FB" w14:textId="1F4674C1" w:rsidR="00D83E33" w:rsidRDefault="00BC4072" w:rsidP="00443AF2">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designated investments disclosed in the following table as equity securities at FVOCI. The FVOCI designation was made because the investments are expected to be held for strategic purposes rather than with a view to profit on a subsequent sale and there are no plans to dispose of these investments in the short or medium term. This designation is irrevocable.</w:t>
      </w:r>
    </w:p>
    <w:p w14:paraId="47B1286B" w14:textId="77777777" w:rsidR="00443AF2" w:rsidRDefault="00443AF2" w:rsidP="00443AF2">
      <w:pPr>
        <w:widowControl w:val="0"/>
        <w:pBdr>
          <w:top w:val="nil"/>
          <w:left w:val="nil"/>
          <w:bottom w:val="nil"/>
          <w:right w:val="nil"/>
          <w:between w:val="nil"/>
        </w:pBdr>
        <w:spacing w:before="200" w:after="200"/>
        <w:jc w:val="both"/>
      </w:pPr>
    </w:p>
    <w:tbl>
      <w:tblPr>
        <w:tblStyle w:val="afff5"/>
        <w:tblW w:w="5000" w:type="pct"/>
        <w:tblLayout w:type="fixed"/>
        <w:tblLook w:val="0000" w:firstRow="0" w:lastRow="0" w:firstColumn="0" w:lastColumn="0" w:noHBand="0" w:noVBand="0"/>
      </w:tblPr>
      <w:tblGrid>
        <w:gridCol w:w="4205"/>
        <w:gridCol w:w="1287"/>
        <w:gridCol w:w="1287"/>
        <w:gridCol w:w="1287"/>
        <w:gridCol w:w="1289"/>
      </w:tblGrid>
      <w:tr w:rsidR="00D83E33" w:rsidRPr="00E837F2" w14:paraId="00F42757" w14:textId="77777777" w:rsidTr="001B330E">
        <w:trPr>
          <w:trHeight w:val="23"/>
        </w:trPr>
        <w:tc>
          <w:tcPr>
            <w:tcW w:w="2247" w:type="pct"/>
            <w:tcBorders>
              <w:bottom w:val="single" w:sz="4" w:space="0" w:color="000000"/>
            </w:tcBorders>
            <w:shd w:val="clear" w:color="auto" w:fill="auto"/>
            <w:vAlign w:val="bottom"/>
          </w:tcPr>
          <w:p w14:paraId="41DEDA29" w14:textId="44DD1368"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88" w:type="pct"/>
            <w:tcBorders>
              <w:bottom w:val="single" w:sz="4" w:space="0" w:color="000000"/>
            </w:tcBorders>
            <w:shd w:val="clear" w:color="auto" w:fill="auto"/>
          </w:tcPr>
          <w:p w14:paraId="1D643EAC" w14:textId="77777777" w:rsidR="00D83E33" w:rsidRPr="00E837F2" w:rsidRDefault="00BC4072" w:rsidP="001B330E">
            <w:pPr>
              <w:widowControl w:val="0"/>
              <w:pBdr>
                <w:top w:val="nil"/>
                <w:left w:val="nil"/>
                <w:bottom w:val="nil"/>
                <w:right w:val="nil"/>
                <w:between w:val="nil"/>
              </w:pBdr>
              <w:ind w:left="-113"/>
              <w:jc w:val="right"/>
              <w:rPr>
                <w:b/>
                <w:color w:val="000000"/>
              </w:rPr>
            </w:pPr>
            <w:r w:rsidRPr="00E837F2">
              <w:rPr>
                <w:b/>
                <w:color w:val="000000"/>
              </w:rPr>
              <w:t xml:space="preserve">Fair value at </w:t>
            </w:r>
          </w:p>
          <w:p w14:paraId="29C515EA" w14:textId="23ED5F19" w:rsidR="00D83E33" w:rsidRPr="00E837F2" w:rsidRDefault="00BC4072" w:rsidP="001B330E">
            <w:pPr>
              <w:widowControl w:val="0"/>
              <w:pBdr>
                <w:top w:val="nil"/>
                <w:left w:val="nil"/>
                <w:bottom w:val="nil"/>
                <w:right w:val="nil"/>
                <w:between w:val="nil"/>
              </w:pBdr>
              <w:ind w:left="-113"/>
              <w:jc w:val="right"/>
              <w:rPr>
                <w:b/>
                <w:color w:val="000000"/>
              </w:rPr>
            </w:pPr>
            <w:r w:rsidRPr="00E837F2">
              <w:rPr>
                <w:b/>
                <w:color w:val="000000"/>
              </w:rPr>
              <w:t>31</w:t>
            </w:r>
            <w:r w:rsidR="00181687">
              <w:rPr>
                <w:b/>
                <w:color w:val="000000"/>
              </w:rPr>
              <w:t> December </w:t>
            </w:r>
            <w:r w:rsidR="00541EBC">
              <w:rPr>
                <w:b/>
                <w:color w:val="000000"/>
              </w:rPr>
              <w:t>2024</w:t>
            </w:r>
          </w:p>
        </w:tc>
        <w:tc>
          <w:tcPr>
            <w:tcW w:w="688" w:type="pct"/>
            <w:tcBorders>
              <w:bottom w:val="single" w:sz="4" w:space="0" w:color="000000"/>
            </w:tcBorders>
            <w:shd w:val="clear" w:color="auto" w:fill="auto"/>
          </w:tcPr>
          <w:p w14:paraId="08E68C26" w14:textId="64660524" w:rsidR="00D83E33" w:rsidRPr="00E837F2" w:rsidRDefault="00BC4072" w:rsidP="001B330E">
            <w:pPr>
              <w:widowControl w:val="0"/>
              <w:pBdr>
                <w:top w:val="nil"/>
                <w:left w:val="nil"/>
                <w:bottom w:val="nil"/>
                <w:right w:val="nil"/>
                <w:between w:val="nil"/>
              </w:pBdr>
              <w:ind w:left="-113"/>
              <w:jc w:val="right"/>
              <w:rPr>
                <w:b/>
                <w:color w:val="000000"/>
              </w:rPr>
            </w:pPr>
            <w:r w:rsidRPr="00E837F2">
              <w:rPr>
                <w:b/>
                <w:color w:val="000000"/>
              </w:rPr>
              <w:t xml:space="preserve">Dividend income recognised for </w:t>
            </w:r>
            <w:r w:rsidR="00541EBC">
              <w:rPr>
                <w:b/>
                <w:color w:val="000000"/>
              </w:rPr>
              <w:t>2024</w:t>
            </w:r>
          </w:p>
        </w:tc>
        <w:tc>
          <w:tcPr>
            <w:tcW w:w="688" w:type="pct"/>
            <w:tcBorders>
              <w:bottom w:val="single" w:sz="4" w:space="0" w:color="000000"/>
            </w:tcBorders>
          </w:tcPr>
          <w:p w14:paraId="0F9B54FD" w14:textId="77777777" w:rsidR="00D83E33" w:rsidRPr="00E837F2" w:rsidRDefault="00BC4072" w:rsidP="001B330E">
            <w:pPr>
              <w:widowControl w:val="0"/>
              <w:pBdr>
                <w:top w:val="nil"/>
                <w:left w:val="nil"/>
                <w:bottom w:val="nil"/>
                <w:right w:val="nil"/>
                <w:between w:val="nil"/>
              </w:pBdr>
              <w:ind w:left="-113"/>
              <w:jc w:val="right"/>
              <w:rPr>
                <w:b/>
                <w:color w:val="000000"/>
              </w:rPr>
            </w:pPr>
            <w:r w:rsidRPr="00E837F2">
              <w:rPr>
                <w:b/>
                <w:color w:val="000000"/>
              </w:rPr>
              <w:t xml:space="preserve">Fair value at </w:t>
            </w:r>
          </w:p>
          <w:p w14:paraId="551836D0" w14:textId="38E025B9" w:rsidR="00D83E33" w:rsidRPr="00E837F2" w:rsidRDefault="00BC4072" w:rsidP="001B330E">
            <w:pPr>
              <w:widowControl w:val="0"/>
              <w:pBdr>
                <w:top w:val="nil"/>
                <w:left w:val="nil"/>
                <w:bottom w:val="nil"/>
                <w:right w:val="nil"/>
                <w:between w:val="nil"/>
              </w:pBdr>
              <w:ind w:left="-113"/>
              <w:jc w:val="right"/>
              <w:rPr>
                <w:b/>
                <w:color w:val="000000"/>
              </w:rPr>
            </w:pPr>
            <w:r w:rsidRPr="00E837F2">
              <w:rPr>
                <w:b/>
                <w:color w:val="000000"/>
              </w:rPr>
              <w:t>31</w:t>
            </w:r>
            <w:r w:rsidR="00181687">
              <w:rPr>
                <w:b/>
                <w:color w:val="000000"/>
              </w:rPr>
              <w:t> December </w:t>
            </w:r>
            <w:r w:rsidR="00541EBC">
              <w:rPr>
                <w:b/>
                <w:color w:val="000000"/>
              </w:rPr>
              <w:t>2023</w:t>
            </w:r>
          </w:p>
        </w:tc>
        <w:tc>
          <w:tcPr>
            <w:tcW w:w="689" w:type="pct"/>
            <w:tcBorders>
              <w:bottom w:val="single" w:sz="4" w:space="0" w:color="000000"/>
            </w:tcBorders>
          </w:tcPr>
          <w:p w14:paraId="1CFBBFA7" w14:textId="0A13F66A" w:rsidR="00D83E33" w:rsidRPr="00E837F2" w:rsidRDefault="00BC4072" w:rsidP="001B330E">
            <w:pPr>
              <w:widowControl w:val="0"/>
              <w:pBdr>
                <w:top w:val="nil"/>
                <w:left w:val="nil"/>
                <w:bottom w:val="nil"/>
                <w:right w:val="nil"/>
                <w:between w:val="nil"/>
              </w:pBdr>
              <w:ind w:left="-113"/>
              <w:jc w:val="right"/>
              <w:rPr>
                <w:b/>
                <w:color w:val="000000"/>
              </w:rPr>
            </w:pPr>
            <w:r w:rsidRPr="00E837F2">
              <w:rPr>
                <w:b/>
                <w:color w:val="000000"/>
              </w:rPr>
              <w:t xml:space="preserve">Dividend income recognised for </w:t>
            </w:r>
            <w:r w:rsidR="00541EBC">
              <w:rPr>
                <w:b/>
                <w:color w:val="000000"/>
              </w:rPr>
              <w:t>2024</w:t>
            </w:r>
          </w:p>
        </w:tc>
      </w:tr>
      <w:tr w:rsidR="00D83E33" w:rsidRPr="00E837F2" w14:paraId="21B5E80C" w14:textId="77777777" w:rsidTr="001B330E">
        <w:trPr>
          <w:trHeight w:val="23"/>
        </w:trPr>
        <w:tc>
          <w:tcPr>
            <w:tcW w:w="2247" w:type="pct"/>
            <w:shd w:val="clear" w:color="auto" w:fill="auto"/>
            <w:vAlign w:val="bottom"/>
          </w:tcPr>
          <w:p w14:paraId="3195D487" w14:textId="77777777" w:rsidR="00D83E33" w:rsidRPr="00E837F2" w:rsidRDefault="00BC4072" w:rsidP="001B330E">
            <w:pPr>
              <w:widowControl w:val="0"/>
              <w:ind w:left="113" w:hanging="113"/>
            </w:pPr>
            <w:r w:rsidRPr="00E837F2">
              <w:t> </w:t>
            </w:r>
          </w:p>
        </w:tc>
        <w:tc>
          <w:tcPr>
            <w:tcW w:w="688" w:type="pct"/>
            <w:shd w:val="clear" w:color="auto" w:fill="auto"/>
            <w:vAlign w:val="bottom"/>
          </w:tcPr>
          <w:p w14:paraId="5C07010E" w14:textId="77777777" w:rsidR="00D83E33" w:rsidRPr="00E837F2" w:rsidRDefault="00D83E33">
            <w:pPr>
              <w:widowControl w:val="0"/>
              <w:pBdr>
                <w:top w:val="nil"/>
                <w:left w:val="nil"/>
                <w:bottom w:val="nil"/>
                <w:right w:val="nil"/>
                <w:between w:val="nil"/>
              </w:pBdr>
              <w:jc w:val="right"/>
              <w:rPr>
                <w:color w:val="000000"/>
              </w:rPr>
            </w:pPr>
          </w:p>
        </w:tc>
        <w:tc>
          <w:tcPr>
            <w:tcW w:w="688" w:type="pct"/>
            <w:shd w:val="clear" w:color="auto" w:fill="auto"/>
            <w:vAlign w:val="bottom"/>
          </w:tcPr>
          <w:p w14:paraId="13C05C67" w14:textId="77777777" w:rsidR="00D83E33" w:rsidRPr="00E837F2" w:rsidRDefault="00D83E33">
            <w:pPr>
              <w:widowControl w:val="0"/>
              <w:pBdr>
                <w:top w:val="nil"/>
                <w:left w:val="nil"/>
                <w:bottom w:val="nil"/>
                <w:right w:val="nil"/>
                <w:between w:val="nil"/>
              </w:pBdr>
              <w:jc w:val="right"/>
              <w:rPr>
                <w:color w:val="000000"/>
              </w:rPr>
            </w:pPr>
          </w:p>
        </w:tc>
        <w:tc>
          <w:tcPr>
            <w:tcW w:w="688" w:type="pct"/>
          </w:tcPr>
          <w:p w14:paraId="55A5A333" w14:textId="77777777" w:rsidR="00D83E33" w:rsidRPr="00E837F2" w:rsidRDefault="00D83E33">
            <w:pPr>
              <w:widowControl w:val="0"/>
              <w:pBdr>
                <w:top w:val="nil"/>
                <w:left w:val="nil"/>
                <w:bottom w:val="nil"/>
                <w:right w:val="nil"/>
                <w:between w:val="nil"/>
              </w:pBdr>
              <w:jc w:val="right"/>
              <w:rPr>
                <w:color w:val="000000"/>
              </w:rPr>
            </w:pPr>
          </w:p>
        </w:tc>
        <w:tc>
          <w:tcPr>
            <w:tcW w:w="689" w:type="pct"/>
          </w:tcPr>
          <w:p w14:paraId="4E72B5D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CF5878C" w14:textId="77777777" w:rsidTr="001B330E">
        <w:trPr>
          <w:trHeight w:val="23"/>
        </w:trPr>
        <w:tc>
          <w:tcPr>
            <w:tcW w:w="2247" w:type="pct"/>
            <w:shd w:val="clear" w:color="auto" w:fill="auto"/>
            <w:vAlign w:val="bottom"/>
          </w:tcPr>
          <w:p w14:paraId="5A93D50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Investment in </w:t>
            </w:r>
            <w:r w:rsidRPr="00E837F2">
              <w:rPr>
                <w:color w:val="0000FF"/>
              </w:rPr>
              <w:t>[Name]</w:t>
            </w:r>
            <w:r w:rsidRPr="00E837F2">
              <w:rPr>
                <w:color w:val="000000"/>
              </w:rPr>
              <w:t xml:space="preserve"> Company ordinary shares</w:t>
            </w:r>
          </w:p>
        </w:tc>
        <w:tc>
          <w:tcPr>
            <w:tcW w:w="688" w:type="pct"/>
            <w:shd w:val="clear" w:color="auto" w:fill="auto"/>
            <w:vAlign w:val="bottom"/>
          </w:tcPr>
          <w:p w14:paraId="746017A6" w14:textId="77777777" w:rsidR="00D83E33" w:rsidRPr="00E837F2" w:rsidRDefault="00D83E33">
            <w:pPr>
              <w:widowControl w:val="0"/>
              <w:pBdr>
                <w:top w:val="nil"/>
                <w:left w:val="nil"/>
                <w:bottom w:val="nil"/>
                <w:right w:val="nil"/>
                <w:between w:val="nil"/>
              </w:pBdr>
              <w:jc w:val="right"/>
              <w:rPr>
                <w:color w:val="000000"/>
              </w:rPr>
            </w:pPr>
          </w:p>
        </w:tc>
        <w:tc>
          <w:tcPr>
            <w:tcW w:w="688" w:type="pct"/>
            <w:shd w:val="clear" w:color="auto" w:fill="auto"/>
            <w:vAlign w:val="bottom"/>
          </w:tcPr>
          <w:p w14:paraId="25783EA8" w14:textId="77777777" w:rsidR="00D83E33" w:rsidRPr="00E837F2" w:rsidRDefault="00D83E33">
            <w:pPr>
              <w:widowControl w:val="0"/>
              <w:pBdr>
                <w:top w:val="nil"/>
                <w:left w:val="nil"/>
                <w:bottom w:val="nil"/>
                <w:right w:val="nil"/>
                <w:between w:val="nil"/>
              </w:pBdr>
              <w:jc w:val="right"/>
              <w:rPr>
                <w:color w:val="000000"/>
              </w:rPr>
            </w:pPr>
          </w:p>
        </w:tc>
        <w:tc>
          <w:tcPr>
            <w:tcW w:w="688" w:type="pct"/>
          </w:tcPr>
          <w:p w14:paraId="1108768B" w14:textId="77777777" w:rsidR="00D83E33" w:rsidRPr="00E837F2" w:rsidRDefault="00D83E33">
            <w:pPr>
              <w:widowControl w:val="0"/>
              <w:pBdr>
                <w:top w:val="nil"/>
                <w:left w:val="nil"/>
                <w:bottom w:val="nil"/>
                <w:right w:val="nil"/>
                <w:between w:val="nil"/>
              </w:pBdr>
              <w:jc w:val="right"/>
              <w:rPr>
                <w:color w:val="000000"/>
              </w:rPr>
            </w:pPr>
          </w:p>
        </w:tc>
        <w:tc>
          <w:tcPr>
            <w:tcW w:w="689" w:type="pct"/>
          </w:tcPr>
          <w:p w14:paraId="0CB87F3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9AB1061" w14:textId="77777777" w:rsidTr="001B330E">
        <w:trPr>
          <w:trHeight w:val="23"/>
        </w:trPr>
        <w:tc>
          <w:tcPr>
            <w:tcW w:w="2247" w:type="pct"/>
            <w:shd w:val="clear" w:color="auto" w:fill="auto"/>
            <w:vAlign w:val="bottom"/>
          </w:tcPr>
          <w:p w14:paraId="125DD78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Investment in </w:t>
            </w:r>
            <w:r w:rsidRPr="00E837F2">
              <w:rPr>
                <w:color w:val="0000FF"/>
              </w:rPr>
              <w:t xml:space="preserve">[Name] </w:t>
            </w:r>
            <w:r w:rsidRPr="00E837F2">
              <w:rPr>
                <w:color w:val="000000"/>
              </w:rPr>
              <w:t>Company ordinary shares</w:t>
            </w:r>
          </w:p>
        </w:tc>
        <w:tc>
          <w:tcPr>
            <w:tcW w:w="688" w:type="pct"/>
            <w:shd w:val="clear" w:color="auto" w:fill="auto"/>
            <w:vAlign w:val="bottom"/>
          </w:tcPr>
          <w:p w14:paraId="352255CC" w14:textId="77777777" w:rsidR="00D83E33" w:rsidRPr="00E837F2" w:rsidRDefault="00D83E33">
            <w:pPr>
              <w:widowControl w:val="0"/>
              <w:pBdr>
                <w:top w:val="nil"/>
                <w:left w:val="nil"/>
                <w:bottom w:val="nil"/>
                <w:right w:val="nil"/>
                <w:between w:val="nil"/>
              </w:pBdr>
              <w:jc w:val="right"/>
              <w:rPr>
                <w:color w:val="000000"/>
              </w:rPr>
            </w:pPr>
          </w:p>
        </w:tc>
        <w:tc>
          <w:tcPr>
            <w:tcW w:w="688" w:type="pct"/>
            <w:shd w:val="clear" w:color="auto" w:fill="auto"/>
            <w:vAlign w:val="bottom"/>
          </w:tcPr>
          <w:p w14:paraId="01424157" w14:textId="77777777" w:rsidR="00D83E33" w:rsidRPr="00E837F2" w:rsidRDefault="00D83E33">
            <w:pPr>
              <w:widowControl w:val="0"/>
              <w:pBdr>
                <w:top w:val="nil"/>
                <w:left w:val="nil"/>
                <w:bottom w:val="nil"/>
                <w:right w:val="nil"/>
                <w:between w:val="nil"/>
              </w:pBdr>
              <w:jc w:val="right"/>
              <w:rPr>
                <w:color w:val="000000"/>
              </w:rPr>
            </w:pPr>
          </w:p>
        </w:tc>
        <w:tc>
          <w:tcPr>
            <w:tcW w:w="688" w:type="pct"/>
          </w:tcPr>
          <w:p w14:paraId="65D14BFE" w14:textId="77777777" w:rsidR="00D83E33" w:rsidRPr="00E837F2" w:rsidRDefault="00D83E33">
            <w:pPr>
              <w:widowControl w:val="0"/>
              <w:pBdr>
                <w:top w:val="nil"/>
                <w:left w:val="nil"/>
                <w:bottom w:val="nil"/>
                <w:right w:val="nil"/>
                <w:between w:val="nil"/>
              </w:pBdr>
              <w:jc w:val="right"/>
              <w:rPr>
                <w:color w:val="000000"/>
              </w:rPr>
            </w:pPr>
          </w:p>
        </w:tc>
        <w:tc>
          <w:tcPr>
            <w:tcW w:w="689" w:type="pct"/>
          </w:tcPr>
          <w:p w14:paraId="295D419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8D210A4" w14:textId="77777777" w:rsidTr="001B330E">
        <w:trPr>
          <w:trHeight w:val="23"/>
        </w:trPr>
        <w:tc>
          <w:tcPr>
            <w:tcW w:w="2247" w:type="pct"/>
            <w:tcBorders>
              <w:bottom w:val="single" w:sz="4" w:space="0" w:color="000000"/>
            </w:tcBorders>
            <w:shd w:val="clear" w:color="auto" w:fill="auto"/>
            <w:vAlign w:val="bottom"/>
          </w:tcPr>
          <w:p w14:paraId="32A04C1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688" w:type="pct"/>
            <w:tcBorders>
              <w:bottom w:val="single" w:sz="4" w:space="0" w:color="000000"/>
            </w:tcBorders>
            <w:shd w:val="clear" w:color="auto" w:fill="auto"/>
            <w:vAlign w:val="bottom"/>
          </w:tcPr>
          <w:p w14:paraId="4A946CD1" w14:textId="77777777" w:rsidR="00D83E33" w:rsidRPr="00E837F2" w:rsidRDefault="00D83E33">
            <w:pPr>
              <w:widowControl w:val="0"/>
              <w:pBdr>
                <w:top w:val="nil"/>
                <w:left w:val="nil"/>
                <w:bottom w:val="nil"/>
                <w:right w:val="nil"/>
                <w:between w:val="nil"/>
              </w:pBdr>
              <w:jc w:val="right"/>
              <w:rPr>
                <w:color w:val="000000"/>
              </w:rPr>
            </w:pPr>
          </w:p>
        </w:tc>
        <w:tc>
          <w:tcPr>
            <w:tcW w:w="688" w:type="pct"/>
            <w:tcBorders>
              <w:bottom w:val="single" w:sz="4" w:space="0" w:color="000000"/>
            </w:tcBorders>
            <w:shd w:val="clear" w:color="auto" w:fill="auto"/>
            <w:vAlign w:val="bottom"/>
          </w:tcPr>
          <w:p w14:paraId="3B1F72EE" w14:textId="77777777" w:rsidR="00D83E33" w:rsidRPr="00E837F2" w:rsidRDefault="00D83E33">
            <w:pPr>
              <w:widowControl w:val="0"/>
              <w:pBdr>
                <w:top w:val="nil"/>
                <w:left w:val="nil"/>
                <w:bottom w:val="nil"/>
                <w:right w:val="nil"/>
                <w:between w:val="nil"/>
              </w:pBdr>
              <w:jc w:val="right"/>
              <w:rPr>
                <w:color w:val="000000"/>
              </w:rPr>
            </w:pPr>
          </w:p>
        </w:tc>
        <w:tc>
          <w:tcPr>
            <w:tcW w:w="688" w:type="pct"/>
            <w:tcBorders>
              <w:bottom w:val="single" w:sz="4" w:space="0" w:color="000000"/>
            </w:tcBorders>
          </w:tcPr>
          <w:p w14:paraId="4088E89B" w14:textId="77777777" w:rsidR="00D83E33" w:rsidRPr="00E837F2" w:rsidRDefault="00D83E33">
            <w:pPr>
              <w:widowControl w:val="0"/>
              <w:pBdr>
                <w:top w:val="nil"/>
                <w:left w:val="nil"/>
                <w:bottom w:val="nil"/>
                <w:right w:val="nil"/>
                <w:between w:val="nil"/>
              </w:pBdr>
              <w:jc w:val="right"/>
              <w:rPr>
                <w:color w:val="000000"/>
              </w:rPr>
            </w:pPr>
          </w:p>
        </w:tc>
        <w:tc>
          <w:tcPr>
            <w:tcW w:w="689" w:type="pct"/>
            <w:tcBorders>
              <w:bottom w:val="single" w:sz="4" w:space="0" w:color="000000"/>
            </w:tcBorders>
          </w:tcPr>
          <w:p w14:paraId="5F505B7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D6A6236" w14:textId="77777777" w:rsidTr="001B330E">
        <w:trPr>
          <w:trHeight w:val="23"/>
        </w:trPr>
        <w:tc>
          <w:tcPr>
            <w:tcW w:w="2247" w:type="pct"/>
            <w:tcBorders>
              <w:top w:val="single" w:sz="4" w:space="0" w:color="000000"/>
            </w:tcBorders>
            <w:shd w:val="clear" w:color="auto" w:fill="auto"/>
            <w:vAlign w:val="bottom"/>
          </w:tcPr>
          <w:p w14:paraId="1DD53BB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688" w:type="pct"/>
            <w:tcBorders>
              <w:top w:val="single" w:sz="4" w:space="0" w:color="000000"/>
            </w:tcBorders>
            <w:shd w:val="clear" w:color="auto" w:fill="auto"/>
            <w:vAlign w:val="bottom"/>
          </w:tcPr>
          <w:p w14:paraId="185FE685" w14:textId="77777777" w:rsidR="00D83E33" w:rsidRPr="00E837F2" w:rsidRDefault="00D83E33">
            <w:pPr>
              <w:widowControl w:val="0"/>
              <w:pBdr>
                <w:top w:val="nil"/>
                <w:left w:val="nil"/>
                <w:bottom w:val="nil"/>
                <w:right w:val="nil"/>
                <w:between w:val="nil"/>
              </w:pBdr>
              <w:jc w:val="right"/>
              <w:rPr>
                <w:color w:val="000000"/>
              </w:rPr>
            </w:pPr>
          </w:p>
        </w:tc>
        <w:tc>
          <w:tcPr>
            <w:tcW w:w="688" w:type="pct"/>
            <w:tcBorders>
              <w:top w:val="single" w:sz="4" w:space="0" w:color="000000"/>
            </w:tcBorders>
            <w:shd w:val="clear" w:color="auto" w:fill="auto"/>
            <w:vAlign w:val="bottom"/>
          </w:tcPr>
          <w:p w14:paraId="321B4167" w14:textId="77777777" w:rsidR="00D83E33" w:rsidRPr="00E837F2" w:rsidRDefault="00D83E33">
            <w:pPr>
              <w:widowControl w:val="0"/>
              <w:pBdr>
                <w:top w:val="nil"/>
                <w:left w:val="nil"/>
                <w:bottom w:val="nil"/>
                <w:right w:val="nil"/>
                <w:between w:val="nil"/>
              </w:pBdr>
              <w:jc w:val="right"/>
              <w:rPr>
                <w:color w:val="000000"/>
              </w:rPr>
            </w:pPr>
          </w:p>
        </w:tc>
        <w:tc>
          <w:tcPr>
            <w:tcW w:w="688" w:type="pct"/>
            <w:tcBorders>
              <w:top w:val="single" w:sz="4" w:space="0" w:color="000000"/>
            </w:tcBorders>
          </w:tcPr>
          <w:p w14:paraId="5AA8D206" w14:textId="77777777" w:rsidR="00D83E33" w:rsidRPr="00E837F2" w:rsidRDefault="00D83E33">
            <w:pPr>
              <w:widowControl w:val="0"/>
              <w:pBdr>
                <w:top w:val="nil"/>
                <w:left w:val="nil"/>
                <w:bottom w:val="nil"/>
                <w:right w:val="nil"/>
                <w:between w:val="nil"/>
              </w:pBdr>
              <w:jc w:val="right"/>
              <w:rPr>
                <w:color w:val="000000"/>
              </w:rPr>
            </w:pPr>
          </w:p>
        </w:tc>
        <w:tc>
          <w:tcPr>
            <w:tcW w:w="689" w:type="pct"/>
            <w:tcBorders>
              <w:top w:val="single" w:sz="4" w:space="0" w:color="000000"/>
            </w:tcBorders>
          </w:tcPr>
          <w:p w14:paraId="198E269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E10E575" w14:textId="77777777" w:rsidTr="001B330E">
        <w:trPr>
          <w:trHeight w:val="23"/>
        </w:trPr>
        <w:tc>
          <w:tcPr>
            <w:tcW w:w="2247" w:type="pct"/>
            <w:shd w:val="clear" w:color="auto" w:fill="auto"/>
            <w:vAlign w:val="bottom"/>
          </w:tcPr>
          <w:p w14:paraId="7546B424"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investments in equity securities at FVOCI</w:t>
            </w:r>
          </w:p>
        </w:tc>
        <w:tc>
          <w:tcPr>
            <w:tcW w:w="688" w:type="pct"/>
            <w:shd w:val="clear" w:color="auto" w:fill="auto"/>
            <w:vAlign w:val="bottom"/>
          </w:tcPr>
          <w:p w14:paraId="3479B31A" w14:textId="77777777" w:rsidR="00D83E33" w:rsidRPr="00E837F2" w:rsidRDefault="00D83E33">
            <w:pPr>
              <w:widowControl w:val="0"/>
              <w:pBdr>
                <w:top w:val="nil"/>
                <w:left w:val="nil"/>
                <w:bottom w:val="nil"/>
                <w:right w:val="nil"/>
                <w:between w:val="nil"/>
              </w:pBdr>
              <w:jc w:val="right"/>
              <w:rPr>
                <w:color w:val="000000"/>
              </w:rPr>
            </w:pPr>
          </w:p>
        </w:tc>
        <w:tc>
          <w:tcPr>
            <w:tcW w:w="688" w:type="pct"/>
            <w:shd w:val="clear" w:color="auto" w:fill="auto"/>
            <w:vAlign w:val="bottom"/>
          </w:tcPr>
          <w:p w14:paraId="3BD8C72F" w14:textId="77777777" w:rsidR="00D83E33" w:rsidRPr="00E837F2" w:rsidRDefault="00D83E33">
            <w:pPr>
              <w:widowControl w:val="0"/>
              <w:pBdr>
                <w:top w:val="nil"/>
                <w:left w:val="nil"/>
                <w:bottom w:val="nil"/>
                <w:right w:val="nil"/>
                <w:between w:val="nil"/>
              </w:pBdr>
              <w:jc w:val="right"/>
              <w:rPr>
                <w:color w:val="000000"/>
              </w:rPr>
            </w:pPr>
          </w:p>
        </w:tc>
        <w:tc>
          <w:tcPr>
            <w:tcW w:w="688" w:type="pct"/>
          </w:tcPr>
          <w:p w14:paraId="065E2EA5" w14:textId="77777777" w:rsidR="00D83E33" w:rsidRPr="00E837F2" w:rsidRDefault="00D83E33">
            <w:pPr>
              <w:widowControl w:val="0"/>
              <w:pBdr>
                <w:top w:val="nil"/>
                <w:left w:val="nil"/>
                <w:bottom w:val="nil"/>
                <w:right w:val="nil"/>
                <w:between w:val="nil"/>
              </w:pBdr>
              <w:jc w:val="right"/>
              <w:rPr>
                <w:color w:val="000000"/>
              </w:rPr>
            </w:pPr>
          </w:p>
        </w:tc>
        <w:tc>
          <w:tcPr>
            <w:tcW w:w="689" w:type="pct"/>
          </w:tcPr>
          <w:p w14:paraId="663017E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7E31407" w14:textId="77777777" w:rsidTr="001B330E">
        <w:trPr>
          <w:trHeight w:val="23"/>
        </w:trPr>
        <w:tc>
          <w:tcPr>
            <w:tcW w:w="2247" w:type="pct"/>
            <w:tcBorders>
              <w:bottom w:val="single" w:sz="12" w:space="0" w:color="000000"/>
            </w:tcBorders>
            <w:shd w:val="clear" w:color="auto" w:fill="auto"/>
            <w:vAlign w:val="bottom"/>
          </w:tcPr>
          <w:p w14:paraId="493FA7B9" w14:textId="77777777" w:rsidR="00D83E33" w:rsidRPr="00E837F2" w:rsidRDefault="00BC4072" w:rsidP="001B330E">
            <w:pPr>
              <w:widowControl w:val="0"/>
              <w:ind w:left="113" w:hanging="113"/>
            </w:pPr>
            <w:r w:rsidRPr="00E837F2">
              <w:t> </w:t>
            </w:r>
          </w:p>
        </w:tc>
        <w:tc>
          <w:tcPr>
            <w:tcW w:w="688" w:type="pct"/>
            <w:tcBorders>
              <w:bottom w:val="single" w:sz="12" w:space="0" w:color="000000"/>
            </w:tcBorders>
            <w:shd w:val="clear" w:color="auto" w:fill="auto"/>
            <w:vAlign w:val="bottom"/>
          </w:tcPr>
          <w:p w14:paraId="2A124577" w14:textId="77777777" w:rsidR="00D83E33" w:rsidRPr="00E837F2" w:rsidRDefault="00D83E33">
            <w:pPr>
              <w:widowControl w:val="0"/>
              <w:pBdr>
                <w:top w:val="nil"/>
                <w:left w:val="nil"/>
                <w:bottom w:val="nil"/>
                <w:right w:val="nil"/>
                <w:between w:val="nil"/>
              </w:pBdr>
              <w:jc w:val="right"/>
              <w:rPr>
                <w:color w:val="000000"/>
              </w:rPr>
            </w:pPr>
          </w:p>
        </w:tc>
        <w:tc>
          <w:tcPr>
            <w:tcW w:w="688" w:type="pct"/>
            <w:tcBorders>
              <w:bottom w:val="single" w:sz="12" w:space="0" w:color="000000"/>
            </w:tcBorders>
            <w:shd w:val="clear" w:color="auto" w:fill="auto"/>
            <w:vAlign w:val="bottom"/>
          </w:tcPr>
          <w:p w14:paraId="19FFB73B" w14:textId="77777777" w:rsidR="00D83E33" w:rsidRPr="00E837F2" w:rsidRDefault="00D83E33">
            <w:pPr>
              <w:widowControl w:val="0"/>
              <w:pBdr>
                <w:top w:val="nil"/>
                <w:left w:val="nil"/>
                <w:bottom w:val="nil"/>
                <w:right w:val="nil"/>
                <w:between w:val="nil"/>
              </w:pBdr>
              <w:jc w:val="right"/>
              <w:rPr>
                <w:color w:val="000000"/>
              </w:rPr>
            </w:pPr>
          </w:p>
        </w:tc>
        <w:tc>
          <w:tcPr>
            <w:tcW w:w="688" w:type="pct"/>
            <w:tcBorders>
              <w:bottom w:val="single" w:sz="12" w:space="0" w:color="000000"/>
            </w:tcBorders>
          </w:tcPr>
          <w:p w14:paraId="0225137A" w14:textId="77777777" w:rsidR="00D83E33" w:rsidRPr="00E837F2" w:rsidRDefault="00D83E33">
            <w:pPr>
              <w:widowControl w:val="0"/>
              <w:pBdr>
                <w:top w:val="nil"/>
                <w:left w:val="nil"/>
                <w:bottom w:val="nil"/>
                <w:right w:val="nil"/>
                <w:between w:val="nil"/>
              </w:pBdr>
              <w:jc w:val="right"/>
              <w:rPr>
                <w:color w:val="000000"/>
              </w:rPr>
            </w:pPr>
          </w:p>
        </w:tc>
        <w:tc>
          <w:tcPr>
            <w:tcW w:w="689" w:type="pct"/>
            <w:tcBorders>
              <w:bottom w:val="single" w:sz="12" w:space="0" w:color="000000"/>
            </w:tcBorders>
          </w:tcPr>
          <w:p w14:paraId="6368D5E8" w14:textId="77777777" w:rsidR="00D83E33" w:rsidRPr="00E837F2" w:rsidRDefault="00D83E33">
            <w:pPr>
              <w:widowControl w:val="0"/>
              <w:pBdr>
                <w:top w:val="nil"/>
                <w:left w:val="nil"/>
                <w:bottom w:val="nil"/>
                <w:right w:val="nil"/>
                <w:between w:val="nil"/>
              </w:pBdr>
              <w:jc w:val="right"/>
              <w:rPr>
                <w:color w:val="000000"/>
              </w:rPr>
            </w:pPr>
          </w:p>
        </w:tc>
      </w:tr>
    </w:tbl>
    <w:p w14:paraId="6D842CDA" w14:textId="616D4E31"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securities at FVOCI include equity securities with a carrying value of </w:t>
      </w:r>
      <w:r w:rsidR="00D73799">
        <w:rPr>
          <w:color w:val="000000"/>
          <w:sz w:val="20"/>
          <w:szCs w:val="20"/>
        </w:rPr>
        <w:t>EUR</w:t>
      </w:r>
      <w:r>
        <w:rPr>
          <w:color w:val="000000"/>
          <w:sz w:val="20"/>
          <w:szCs w:val="20"/>
        </w:rPr>
        <w:t xml:space="preserve"> ____ thousand which are not publicly traded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Due to the nature of the local financial markets, it is not possible to obtain current market value for these investments. For these investments, fair value is estimated by reference to the discounted operating cash flows of the investee</w:t>
      </w:r>
      <w:r>
        <w:rPr>
          <w:color w:val="0000FF"/>
          <w:sz w:val="20"/>
          <w:szCs w:val="20"/>
        </w:rPr>
        <w:t xml:space="preserve"> [, the earnings of the investee, the investee’s net asset value]</w:t>
      </w:r>
      <w:r>
        <w:rPr>
          <w:color w:val="000000"/>
          <w:sz w:val="20"/>
          <w:szCs w:val="20"/>
        </w:rPr>
        <w:t xml:space="preserve">. Refer to Note 49. For other investments traded in active markets, fair value is determined by reference to the </w:t>
      </w:r>
      <w:r>
        <w:rPr>
          <w:color w:val="0000FF"/>
          <w:sz w:val="20"/>
          <w:szCs w:val="20"/>
        </w:rPr>
        <w:t>[quoted bid]</w:t>
      </w:r>
      <w:r>
        <w:rPr>
          <w:color w:val="000000"/>
          <w:sz w:val="20"/>
          <w:szCs w:val="20"/>
        </w:rPr>
        <w:t xml:space="preserve"> price at the end of the reporting period.</w:t>
      </w:r>
    </w:p>
    <w:p w14:paraId="02B99F02" w14:textId="59735356" w:rsidR="00D83E33" w:rsidRDefault="00BC4072">
      <w:pPr>
        <w:widowControl w:val="0"/>
        <w:spacing w:before="200" w:after="200"/>
        <w:jc w:val="both"/>
        <w:rPr>
          <w:color w:val="0000FF"/>
          <w:sz w:val="20"/>
          <w:szCs w:val="20"/>
        </w:rPr>
      </w:pPr>
      <w:r>
        <w:rPr>
          <w:color w:val="0000FF"/>
          <w:sz w:val="20"/>
          <w:szCs w:val="20"/>
        </w:rPr>
        <w:t xml:space="preserve">[None of these strategic investments was disposed of during </w:t>
      </w:r>
      <w:r w:rsidR="00541EBC">
        <w:rPr>
          <w:color w:val="0000FF"/>
          <w:sz w:val="20"/>
          <w:szCs w:val="20"/>
        </w:rPr>
        <w:t>2024</w:t>
      </w:r>
      <w:r>
        <w:rPr>
          <w:color w:val="0000FF"/>
          <w:sz w:val="20"/>
          <w:szCs w:val="20"/>
        </w:rPr>
        <w:t xml:space="preserve">, and there were no transfers of any cumulative gain or loss within equity relating to these investments.] [In </w:t>
      </w:r>
      <w:r w:rsidR="00541EBC">
        <w:rPr>
          <w:color w:val="0000FF"/>
          <w:sz w:val="20"/>
          <w:szCs w:val="20"/>
        </w:rPr>
        <w:t>2024</w:t>
      </w:r>
      <w:r>
        <w:rPr>
          <w:color w:val="0000FF"/>
          <w:sz w:val="20"/>
          <w:szCs w:val="20"/>
        </w:rPr>
        <w:t xml:space="preserve">, the Group sold its investment in shares of _____ [name] with fair value of </w:t>
      </w:r>
      <w:r w:rsidR="00D73799">
        <w:rPr>
          <w:color w:val="0000FF"/>
          <w:sz w:val="20"/>
          <w:szCs w:val="20"/>
        </w:rPr>
        <w:t>EUR</w:t>
      </w:r>
      <w:r>
        <w:rPr>
          <w:color w:val="0000FF"/>
          <w:sz w:val="20"/>
          <w:szCs w:val="20"/>
        </w:rPr>
        <w:t xml:space="preserve"> ____ thousand due to </w:t>
      </w:r>
      <w:r w:rsidR="00F0643F">
        <w:rPr>
          <w:color w:val="0000FF"/>
          <w:sz w:val="20"/>
          <w:szCs w:val="20"/>
        </w:rPr>
        <w:t xml:space="preserve">a </w:t>
      </w:r>
      <w:r>
        <w:rPr>
          <w:color w:val="0000FF"/>
          <w:sz w:val="20"/>
          <w:szCs w:val="20"/>
        </w:rPr>
        <w:t xml:space="preserve">change in </w:t>
      </w:r>
      <w:r w:rsidR="00F0643F">
        <w:rPr>
          <w:color w:val="0000FF"/>
          <w:sz w:val="20"/>
          <w:szCs w:val="20"/>
        </w:rPr>
        <w:t xml:space="preserve">the </w:t>
      </w:r>
      <w:r>
        <w:rPr>
          <w:color w:val="0000FF"/>
          <w:sz w:val="20"/>
          <w:szCs w:val="20"/>
        </w:rPr>
        <w:t xml:space="preserve">Group’s strategy. The Group realised a gain of </w:t>
      </w:r>
      <w:r w:rsidR="00D73799">
        <w:rPr>
          <w:color w:val="0000FF"/>
          <w:sz w:val="20"/>
          <w:szCs w:val="20"/>
        </w:rPr>
        <w:t>EUR</w:t>
      </w:r>
      <w:r>
        <w:rPr>
          <w:color w:val="0000FF"/>
          <w:sz w:val="20"/>
          <w:szCs w:val="20"/>
        </w:rPr>
        <w:t xml:space="preserve"> _____ thousand on the sale which was transferred from FVOCI revaluation reserve to retained earnings directly in equity. Dividend income recognised during the year in relation to sold shares was </w:t>
      </w:r>
      <w:r w:rsidR="00D73799">
        <w:rPr>
          <w:color w:val="0000FF"/>
          <w:sz w:val="20"/>
          <w:szCs w:val="20"/>
        </w:rPr>
        <w:t>EUR</w:t>
      </w:r>
      <w:r>
        <w:rPr>
          <w:color w:val="0000FF"/>
          <w:sz w:val="20"/>
          <w:szCs w:val="20"/>
        </w:rPr>
        <w:t xml:space="preserve"> _____ thousand.]</w:t>
      </w:r>
    </w:p>
    <w:p w14:paraId="2615D44A" w14:textId="77777777" w:rsidR="00D83E33" w:rsidRDefault="00BC4072" w:rsidP="001B330E">
      <w:pPr>
        <w:pStyle w:val="Heading1"/>
      </w:pPr>
      <w:bookmarkStart w:id="31" w:name="_Toc179196013"/>
      <w:r>
        <w:t xml:space="preserve">Loans </w:t>
      </w:r>
      <w:r w:rsidRPr="00FE3A14">
        <w:t>and</w:t>
      </w:r>
      <w:r>
        <w:t xml:space="preserve"> Advances to Customers</w:t>
      </w:r>
      <w:bookmarkEnd w:id="31"/>
    </w:p>
    <w:tbl>
      <w:tblPr>
        <w:tblStyle w:val="afff6"/>
        <w:tblW w:w="5000" w:type="pct"/>
        <w:tblLayout w:type="fixed"/>
        <w:tblLook w:val="0000" w:firstRow="0" w:lastRow="0" w:firstColumn="0" w:lastColumn="0" w:noHBand="0" w:noVBand="0"/>
      </w:tblPr>
      <w:tblGrid>
        <w:gridCol w:w="6521"/>
        <w:gridCol w:w="1416"/>
        <w:gridCol w:w="1418"/>
      </w:tblGrid>
      <w:tr w:rsidR="00D83E33" w:rsidRPr="00E837F2" w14:paraId="7FD364B6" w14:textId="77777777" w:rsidTr="001B330E">
        <w:trPr>
          <w:trHeight w:val="23"/>
        </w:trPr>
        <w:tc>
          <w:tcPr>
            <w:tcW w:w="3485" w:type="pct"/>
            <w:tcBorders>
              <w:bottom w:val="single" w:sz="4" w:space="0" w:color="000000"/>
            </w:tcBorders>
            <w:shd w:val="clear" w:color="auto" w:fill="auto"/>
            <w:vAlign w:val="bottom"/>
          </w:tcPr>
          <w:p w14:paraId="2E7DD614" w14:textId="497F698D" w:rsidR="00D83E33" w:rsidRPr="00E837F2" w:rsidRDefault="00313B4D">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757" w:type="pct"/>
            <w:tcBorders>
              <w:bottom w:val="single" w:sz="4" w:space="0" w:color="000000"/>
            </w:tcBorders>
          </w:tcPr>
          <w:p w14:paraId="2C8A9AC7" w14:textId="3850F325"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 </w:t>
            </w:r>
            <w:r w:rsidR="00541EBC">
              <w:rPr>
                <w:b/>
                <w:color w:val="000000"/>
              </w:rPr>
              <w:t>2024</w:t>
            </w:r>
          </w:p>
        </w:tc>
        <w:tc>
          <w:tcPr>
            <w:tcW w:w="758" w:type="pct"/>
            <w:tcBorders>
              <w:bottom w:val="single" w:sz="4" w:space="0" w:color="000000"/>
            </w:tcBorders>
            <w:shd w:val="clear" w:color="auto" w:fill="auto"/>
          </w:tcPr>
          <w:p w14:paraId="5C609224" w14:textId="148C914F"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 </w:t>
            </w:r>
            <w:r w:rsidR="00541EBC">
              <w:rPr>
                <w:b/>
                <w:color w:val="000000"/>
              </w:rPr>
              <w:t>2023</w:t>
            </w:r>
          </w:p>
        </w:tc>
      </w:tr>
      <w:tr w:rsidR="00D83E33" w:rsidRPr="00E837F2" w14:paraId="226ACB4A" w14:textId="77777777" w:rsidTr="001B330E">
        <w:trPr>
          <w:trHeight w:val="23"/>
        </w:trPr>
        <w:tc>
          <w:tcPr>
            <w:tcW w:w="3485" w:type="pct"/>
            <w:tcBorders>
              <w:top w:val="single" w:sz="4" w:space="0" w:color="000000"/>
            </w:tcBorders>
            <w:shd w:val="clear" w:color="auto" w:fill="auto"/>
            <w:vAlign w:val="bottom"/>
          </w:tcPr>
          <w:p w14:paraId="6BCBA110" w14:textId="77777777" w:rsidR="00D83E33" w:rsidRPr="00E837F2" w:rsidRDefault="00D83E33">
            <w:pPr>
              <w:widowControl w:val="0"/>
              <w:pBdr>
                <w:top w:val="nil"/>
                <w:left w:val="nil"/>
                <w:bottom w:val="nil"/>
                <w:right w:val="nil"/>
                <w:between w:val="nil"/>
              </w:pBdr>
              <w:ind w:left="113" w:hanging="113"/>
              <w:rPr>
                <w:color w:val="000000"/>
              </w:rPr>
            </w:pPr>
          </w:p>
        </w:tc>
        <w:tc>
          <w:tcPr>
            <w:tcW w:w="757" w:type="pct"/>
            <w:tcBorders>
              <w:top w:val="single" w:sz="4" w:space="0" w:color="000000"/>
            </w:tcBorders>
            <w:vAlign w:val="bottom"/>
          </w:tcPr>
          <w:p w14:paraId="7DEEC1E5" w14:textId="77777777" w:rsidR="00D83E33" w:rsidRPr="00E837F2" w:rsidRDefault="00D83E33">
            <w:pPr>
              <w:widowControl w:val="0"/>
              <w:pBdr>
                <w:top w:val="nil"/>
                <w:left w:val="nil"/>
                <w:bottom w:val="nil"/>
                <w:right w:val="nil"/>
                <w:between w:val="nil"/>
              </w:pBdr>
              <w:jc w:val="right"/>
              <w:rPr>
                <w:b/>
                <w:color w:val="000000"/>
              </w:rPr>
            </w:pPr>
          </w:p>
        </w:tc>
        <w:tc>
          <w:tcPr>
            <w:tcW w:w="758" w:type="pct"/>
            <w:tcBorders>
              <w:top w:val="single" w:sz="4" w:space="0" w:color="000000"/>
            </w:tcBorders>
            <w:shd w:val="clear" w:color="auto" w:fill="auto"/>
            <w:vAlign w:val="bottom"/>
          </w:tcPr>
          <w:p w14:paraId="4B915B5D"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7EE4A982" w14:textId="77777777" w:rsidTr="001B330E">
        <w:trPr>
          <w:trHeight w:val="23"/>
        </w:trPr>
        <w:tc>
          <w:tcPr>
            <w:tcW w:w="3485" w:type="pct"/>
            <w:shd w:val="clear" w:color="auto" w:fill="auto"/>
            <w:vAlign w:val="bottom"/>
          </w:tcPr>
          <w:p w14:paraId="76059AD0" w14:textId="77777777" w:rsidR="00D83E33" w:rsidRPr="00E837F2" w:rsidRDefault="00BC4072">
            <w:pPr>
              <w:widowControl w:val="0"/>
              <w:ind w:left="113" w:hanging="113"/>
            </w:pPr>
            <w:r w:rsidRPr="00E837F2">
              <w:t>Gross carrying amount of loans and advances to customers at AC</w:t>
            </w:r>
          </w:p>
        </w:tc>
        <w:tc>
          <w:tcPr>
            <w:tcW w:w="757" w:type="pct"/>
            <w:vAlign w:val="bottom"/>
          </w:tcPr>
          <w:p w14:paraId="501121F6" w14:textId="77777777" w:rsidR="00D83E33" w:rsidRPr="00E837F2" w:rsidRDefault="00D83E33">
            <w:pPr>
              <w:widowControl w:val="0"/>
              <w:pBdr>
                <w:top w:val="nil"/>
                <w:left w:val="nil"/>
                <w:bottom w:val="nil"/>
                <w:right w:val="nil"/>
                <w:between w:val="nil"/>
              </w:pBdr>
              <w:jc w:val="right"/>
              <w:rPr>
                <w:b/>
                <w:color w:val="000000"/>
              </w:rPr>
            </w:pPr>
          </w:p>
        </w:tc>
        <w:tc>
          <w:tcPr>
            <w:tcW w:w="758" w:type="pct"/>
            <w:shd w:val="clear" w:color="auto" w:fill="auto"/>
            <w:vAlign w:val="bottom"/>
          </w:tcPr>
          <w:p w14:paraId="3C50B2B5"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2FB8E5D6" w14:textId="77777777" w:rsidTr="001B330E">
        <w:trPr>
          <w:trHeight w:val="23"/>
        </w:trPr>
        <w:tc>
          <w:tcPr>
            <w:tcW w:w="3485" w:type="pct"/>
            <w:shd w:val="clear" w:color="auto" w:fill="auto"/>
            <w:vAlign w:val="bottom"/>
          </w:tcPr>
          <w:p w14:paraId="2547E5AD" w14:textId="77777777" w:rsidR="00D83E33" w:rsidRPr="00E837F2" w:rsidRDefault="00BC4072">
            <w:pPr>
              <w:widowControl w:val="0"/>
              <w:ind w:left="113" w:hanging="113"/>
            </w:pPr>
            <w:r w:rsidRPr="00E837F2">
              <w:t>Less credit loss allowance</w:t>
            </w:r>
          </w:p>
        </w:tc>
        <w:tc>
          <w:tcPr>
            <w:tcW w:w="757" w:type="pct"/>
            <w:vAlign w:val="bottom"/>
          </w:tcPr>
          <w:p w14:paraId="5242E4A7" w14:textId="77777777" w:rsidR="00D83E33" w:rsidRPr="00E837F2" w:rsidRDefault="00D83E33">
            <w:pPr>
              <w:widowControl w:val="0"/>
              <w:jc w:val="right"/>
            </w:pPr>
          </w:p>
        </w:tc>
        <w:tc>
          <w:tcPr>
            <w:tcW w:w="758" w:type="pct"/>
            <w:shd w:val="clear" w:color="auto" w:fill="auto"/>
            <w:vAlign w:val="bottom"/>
          </w:tcPr>
          <w:p w14:paraId="6B4ACD75" w14:textId="77777777" w:rsidR="00D83E33" w:rsidRPr="00E837F2" w:rsidRDefault="00D83E33">
            <w:pPr>
              <w:widowControl w:val="0"/>
              <w:jc w:val="right"/>
            </w:pPr>
          </w:p>
        </w:tc>
      </w:tr>
      <w:tr w:rsidR="00D83E33" w:rsidRPr="00E837F2" w14:paraId="70C1E17A" w14:textId="77777777" w:rsidTr="001B330E">
        <w:trPr>
          <w:trHeight w:val="23"/>
        </w:trPr>
        <w:tc>
          <w:tcPr>
            <w:tcW w:w="3485" w:type="pct"/>
            <w:tcBorders>
              <w:bottom w:val="single" w:sz="4" w:space="0" w:color="000000"/>
            </w:tcBorders>
            <w:shd w:val="clear" w:color="auto" w:fill="auto"/>
            <w:vAlign w:val="bottom"/>
          </w:tcPr>
          <w:p w14:paraId="6355FE9C" w14:textId="77777777" w:rsidR="00D83E33" w:rsidRPr="00E837F2" w:rsidRDefault="00D83E33">
            <w:pPr>
              <w:widowControl w:val="0"/>
              <w:ind w:left="113" w:hanging="113"/>
            </w:pPr>
          </w:p>
        </w:tc>
        <w:tc>
          <w:tcPr>
            <w:tcW w:w="757" w:type="pct"/>
            <w:tcBorders>
              <w:bottom w:val="single" w:sz="4" w:space="0" w:color="000000"/>
            </w:tcBorders>
            <w:vAlign w:val="bottom"/>
          </w:tcPr>
          <w:p w14:paraId="75158587" w14:textId="77777777" w:rsidR="00D83E33" w:rsidRPr="00E837F2" w:rsidRDefault="00D83E33">
            <w:pPr>
              <w:widowControl w:val="0"/>
              <w:jc w:val="right"/>
            </w:pPr>
          </w:p>
        </w:tc>
        <w:tc>
          <w:tcPr>
            <w:tcW w:w="758" w:type="pct"/>
            <w:tcBorders>
              <w:bottom w:val="single" w:sz="4" w:space="0" w:color="000000"/>
            </w:tcBorders>
            <w:shd w:val="clear" w:color="auto" w:fill="auto"/>
            <w:vAlign w:val="bottom"/>
          </w:tcPr>
          <w:p w14:paraId="55B08A99" w14:textId="77777777" w:rsidR="00D83E33" w:rsidRPr="00E837F2" w:rsidRDefault="00D83E33">
            <w:pPr>
              <w:widowControl w:val="0"/>
              <w:jc w:val="right"/>
            </w:pPr>
          </w:p>
        </w:tc>
      </w:tr>
      <w:tr w:rsidR="00D83E33" w:rsidRPr="00E837F2" w14:paraId="787526C1" w14:textId="77777777" w:rsidTr="001B330E">
        <w:trPr>
          <w:trHeight w:val="23"/>
        </w:trPr>
        <w:tc>
          <w:tcPr>
            <w:tcW w:w="3485" w:type="pct"/>
            <w:tcBorders>
              <w:top w:val="single" w:sz="4" w:space="0" w:color="000000"/>
            </w:tcBorders>
            <w:shd w:val="clear" w:color="auto" w:fill="auto"/>
            <w:vAlign w:val="bottom"/>
          </w:tcPr>
          <w:p w14:paraId="58F3F39D" w14:textId="77777777" w:rsidR="00D83E33" w:rsidRPr="00E837F2" w:rsidRDefault="00D83E33">
            <w:pPr>
              <w:widowControl w:val="0"/>
              <w:ind w:left="113" w:hanging="113"/>
            </w:pPr>
          </w:p>
        </w:tc>
        <w:tc>
          <w:tcPr>
            <w:tcW w:w="757" w:type="pct"/>
            <w:tcBorders>
              <w:top w:val="single" w:sz="4" w:space="0" w:color="000000"/>
            </w:tcBorders>
            <w:vAlign w:val="bottom"/>
          </w:tcPr>
          <w:p w14:paraId="21D5B643" w14:textId="77777777" w:rsidR="00D83E33" w:rsidRPr="00E837F2" w:rsidRDefault="00D83E33">
            <w:pPr>
              <w:widowControl w:val="0"/>
              <w:jc w:val="right"/>
            </w:pPr>
          </w:p>
        </w:tc>
        <w:tc>
          <w:tcPr>
            <w:tcW w:w="758" w:type="pct"/>
            <w:tcBorders>
              <w:top w:val="single" w:sz="4" w:space="0" w:color="000000"/>
            </w:tcBorders>
            <w:shd w:val="clear" w:color="auto" w:fill="auto"/>
            <w:vAlign w:val="bottom"/>
          </w:tcPr>
          <w:p w14:paraId="1EBDF538" w14:textId="77777777" w:rsidR="00D83E33" w:rsidRPr="00E837F2" w:rsidRDefault="00D83E33">
            <w:pPr>
              <w:widowControl w:val="0"/>
              <w:jc w:val="right"/>
            </w:pPr>
          </w:p>
        </w:tc>
      </w:tr>
      <w:tr w:rsidR="00D83E33" w:rsidRPr="00E837F2" w14:paraId="19068AC7" w14:textId="77777777" w:rsidTr="001B330E">
        <w:trPr>
          <w:trHeight w:val="23"/>
        </w:trPr>
        <w:tc>
          <w:tcPr>
            <w:tcW w:w="3485" w:type="pct"/>
            <w:shd w:val="clear" w:color="auto" w:fill="auto"/>
            <w:vAlign w:val="bottom"/>
          </w:tcPr>
          <w:p w14:paraId="415CA9E8" w14:textId="77777777" w:rsidR="00D83E33" w:rsidRPr="00E837F2" w:rsidRDefault="00BC4072">
            <w:pPr>
              <w:widowControl w:val="0"/>
              <w:ind w:left="113" w:hanging="113"/>
            </w:pPr>
            <w:r w:rsidRPr="00E837F2">
              <w:rPr>
                <w:b/>
              </w:rPr>
              <w:t>Total carrying amount of loans and advances to customers at AC</w:t>
            </w:r>
          </w:p>
        </w:tc>
        <w:tc>
          <w:tcPr>
            <w:tcW w:w="757" w:type="pct"/>
            <w:vAlign w:val="bottom"/>
          </w:tcPr>
          <w:p w14:paraId="1AEF036C" w14:textId="77777777" w:rsidR="00D83E33" w:rsidRPr="00E837F2" w:rsidRDefault="00D83E33">
            <w:pPr>
              <w:widowControl w:val="0"/>
              <w:jc w:val="right"/>
            </w:pPr>
          </w:p>
        </w:tc>
        <w:tc>
          <w:tcPr>
            <w:tcW w:w="758" w:type="pct"/>
            <w:shd w:val="clear" w:color="auto" w:fill="auto"/>
            <w:vAlign w:val="bottom"/>
          </w:tcPr>
          <w:p w14:paraId="5E630D6A" w14:textId="77777777" w:rsidR="00D83E33" w:rsidRPr="00E837F2" w:rsidRDefault="00D83E33">
            <w:pPr>
              <w:widowControl w:val="0"/>
              <w:jc w:val="right"/>
            </w:pPr>
          </w:p>
        </w:tc>
      </w:tr>
      <w:tr w:rsidR="00D83E33" w:rsidRPr="00E837F2" w14:paraId="3F2186E4" w14:textId="77777777" w:rsidTr="001B330E">
        <w:trPr>
          <w:trHeight w:val="23"/>
        </w:trPr>
        <w:tc>
          <w:tcPr>
            <w:tcW w:w="3485" w:type="pct"/>
            <w:tcBorders>
              <w:bottom w:val="single" w:sz="12" w:space="0" w:color="000000"/>
            </w:tcBorders>
            <w:shd w:val="clear" w:color="auto" w:fill="auto"/>
            <w:vAlign w:val="bottom"/>
          </w:tcPr>
          <w:p w14:paraId="2B06C405" w14:textId="77777777" w:rsidR="00D83E33" w:rsidRPr="00E837F2" w:rsidRDefault="00D83E33">
            <w:pPr>
              <w:widowControl w:val="0"/>
              <w:ind w:left="113" w:hanging="113"/>
            </w:pPr>
          </w:p>
        </w:tc>
        <w:tc>
          <w:tcPr>
            <w:tcW w:w="757" w:type="pct"/>
            <w:tcBorders>
              <w:bottom w:val="single" w:sz="12" w:space="0" w:color="000000"/>
            </w:tcBorders>
            <w:vAlign w:val="bottom"/>
          </w:tcPr>
          <w:p w14:paraId="3D9AB17C" w14:textId="77777777" w:rsidR="00D83E33" w:rsidRPr="00E837F2" w:rsidRDefault="00D83E33">
            <w:pPr>
              <w:widowControl w:val="0"/>
              <w:jc w:val="right"/>
            </w:pPr>
          </w:p>
        </w:tc>
        <w:tc>
          <w:tcPr>
            <w:tcW w:w="758" w:type="pct"/>
            <w:tcBorders>
              <w:bottom w:val="single" w:sz="12" w:space="0" w:color="000000"/>
            </w:tcBorders>
            <w:shd w:val="clear" w:color="auto" w:fill="auto"/>
            <w:vAlign w:val="bottom"/>
          </w:tcPr>
          <w:p w14:paraId="7297A854" w14:textId="77777777" w:rsidR="00D83E33" w:rsidRPr="00E837F2" w:rsidRDefault="00D83E33">
            <w:pPr>
              <w:widowControl w:val="0"/>
              <w:jc w:val="right"/>
            </w:pPr>
          </w:p>
        </w:tc>
      </w:tr>
      <w:tr w:rsidR="00D83E33" w:rsidRPr="00E837F2" w14:paraId="6C23B3C7" w14:textId="77777777" w:rsidTr="001B330E">
        <w:trPr>
          <w:trHeight w:val="23"/>
        </w:trPr>
        <w:tc>
          <w:tcPr>
            <w:tcW w:w="3485" w:type="pct"/>
            <w:tcBorders>
              <w:top w:val="single" w:sz="12" w:space="0" w:color="000000"/>
            </w:tcBorders>
            <w:shd w:val="clear" w:color="auto" w:fill="auto"/>
            <w:vAlign w:val="bottom"/>
          </w:tcPr>
          <w:p w14:paraId="0440B3B8" w14:textId="77777777" w:rsidR="00D83E33" w:rsidRPr="00E837F2" w:rsidRDefault="00D83E33">
            <w:pPr>
              <w:widowControl w:val="0"/>
              <w:ind w:left="113" w:hanging="113"/>
            </w:pPr>
          </w:p>
        </w:tc>
        <w:tc>
          <w:tcPr>
            <w:tcW w:w="757" w:type="pct"/>
            <w:tcBorders>
              <w:top w:val="single" w:sz="12" w:space="0" w:color="000000"/>
            </w:tcBorders>
            <w:vAlign w:val="bottom"/>
          </w:tcPr>
          <w:p w14:paraId="413B59FC" w14:textId="77777777" w:rsidR="00D83E33" w:rsidRPr="00E837F2" w:rsidRDefault="00D83E33">
            <w:pPr>
              <w:widowControl w:val="0"/>
              <w:jc w:val="right"/>
            </w:pPr>
          </w:p>
        </w:tc>
        <w:tc>
          <w:tcPr>
            <w:tcW w:w="758" w:type="pct"/>
            <w:tcBorders>
              <w:top w:val="single" w:sz="12" w:space="0" w:color="000000"/>
            </w:tcBorders>
            <w:shd w:val="clear" w:color="auto" w:fill="auto"/>
            <w:vAlign w:val="bottom"/>
          </w:tcPr>
          <w:p w14:paraId="1CF7DE9B" w14:textId="77777777" w:rsidR="00D83E33" w:rsidRPr="00E837F2" w:rsidRDefault="00D83E33">
            <w:pPr>
              <w:widowControl w:val="0"/>
              <w:jc w:val="right"/>
            </w:pPr>
          </w:p>
        </w:tc>
      </w:tr>
      <w:tr w:rsidR="00D83E33" w:rsidRPr="00E837F2" w14:paraId="6C03793F" w14:textId="77777777" w:rsidTr="001B330E">
        <w:trPr>
          <w:trHeight w:val="23"/>
        </w:trPr>
        <w:tc>
          <w:tcPr>
            <w:tcW w:w="3485" w:type="pct"/>
            <w:shd w:val="clear" w:color="auto" w:fill="auto"/>
            <w:vAlign w:val="bottom"/>
          </w:tcPr>
          <w:p w14:paraId="30B4C078" w14:textId="77777777" w:rsidR="00D83E33" w:rsidRPr="00E837F2" w:rsidRDefault="00BC4072">
            <w:pPr>
              <w:widowControl w:val="0"/>
              <w:ind w:left="113" w:hanging="113"/>
            </w:pPr>
            <w:r w:rsidRPr="00E837F2">
              <w:t>Loans and advances to customers at FVTPL</w:t>
            </w:r>
          </w:p>
        </w:tc>
        <w:tc>
          <w:tcPr>
            <w:tcW w:w="757" w:type="pct"/>
            <w:vAlign w:val="bottom"/>
          </w:tcPr>
          <w:p w14:paraId="21489A15" w14:textId="77777777" w:rsidR="00D83E33" w:rsidRPr="00E837F2" w:rsidRDefault="00D83E33">
            <w:pPr>
              <w:widowControl w:val="0"/>
              <w:jc w:val="right"/>
            </w:pPr>
          </w:p>
        </w:tc>
        <w:tc>
          <w:tcPr>
            <w:tcW w:w="758" w:type="pct"/>
            <w:shd w:val="clear" w:color="auto" w:fill="auto"/>
            <w:vAlign w:val="bottom"/>
          </w:tcPr>
          <w:p w14:paraId="794BCCFA" w14:textId="77777777" w:rsidR="00D83E33" w:rsidRPr="00E837F2" w:rsidRDefault="00BC4072">
            <w:pPr>
              <w:widowControl w:val="0"/>
              <w:jc w:val="right"/>
            </w:pPr>
            <w:r w:rsidRPr="00E837F2">
              <w:t>-</w:t>
            </w:r>
          </w:p>
        </w:tc>
      </w:tr>
      <w:tr w:rsidR="00D83E33" w:rsidRPr="00E837F2" w14:paraId="3C9813C1" w14:textId="77777777" w:rsidTr="001B330E">
        <w:trPr>
          <w:trHeight w:val="23"/>
        </w:trPr>
        <w:tc>
          <w:tcPr>
            <w:tcW w:w="3485" w:type="pct"/>
            <w:tcBorders>
              <w:bottom w:val="single" w:sz="4" w:space="0" w:color="000000"/>
            </w:tcBorders>
            <w:shd w:val="clear" w:color="auto" w:fill="auto"/>
            <w:vAlign w:val="bottom"/>
          </w:tcPr>
          <w:p w14:paraId="5C4F4B6A" w14:textId="77777777" w:rsidR="00D83E33" w:rsidRPr="00E837F2" w:rsidRDefault="00D83E33">
            <w:pPr>
              <w:widowControl w:val="0"/>
              <w:ind w:left="113" w:hanging="113"/>
            </w:pPr>
          </w:p>
        </w:tc>
        <w:tc>
          <w:tcPr>
            <w:tcW w:w="757" w:type="pct"/>
            <w:tcBorders>
              <w:bottom w:val="single" w:sz="4" w:space="0" w:color="000000"/>
            </w:tcBorders>
            <w:vAlign w:val="bottom"/>
          </w:tcPr>
          <w:p w14:paraId="690D0024" w14:textId="77777777" w:rsidR="00D83E33" w:rsidRPr="00E837F2" w:rsidRDefault="00D83E33">
            <w:pPr>
              <w:widowControl w:val="0"/>
              <w:jc w:val="right"/>
            </w:pPr>
          </w:p>
        </w:tc>
        <w:tc>
          <w:tcPr>
            <w:tcW w:w="758" w:type="pct"/>
            <w:tcBorders>
              <w:bottom w:val="single" w:sz="4" w:space="0" w:color="000000"/>
            </w:tcBorders>
            <w:shd w:val="clear" w:color="auto" w:fill="auto"/>
            <w:vAlign w:val="bottom"/>
          </w:tcPr>
          <w:p w14:paraId="32CB4EBA" w14:textId="77777777" w:rsidR="00D83E33" w:rsidRPr="00E837F2" w:rsidRDefault="00D83E33">
            <w:pPr>
              <w:widowControl w:val="0"/>
              <w:jc w:val="right"/>
            </w:pPr>
          </w:p>
        </w:tc>
      </w:tr>
      <w:tr w:rsidR="00D83E33" w:rsidRPr="00E837F2" w14:paraId="40BCEDD3" w14:textId="77777777" w:rsidTr="001B330E">
        <w:trPr>
          <w:trHeight w:val="23"/>
        </w:trPr>
        <w:tc>
          <w:tcPr>
            <w:tcW w:w="3485" w:type="pct"/>
            <w:shd w:val="clear" w:color="auto" w:fill="auto"/>
            <w:vAlign w:val="bottom"/>
          </w:tcPr>
          <w:p w14:paraId="313AB951" w14:textId="77777777" w:rsidR="00D83E33" w:rsidRPr="00E837F2" w:rsidRDefault="00D83E33">
            <w:pPr>
              <w:widowControl w:val="0"/>
              <w:pBdr>
                <w:top w:val="nil"/>
                <w:left w:val="nil"/>
                <w:bottom w:val="nil"/>
                <w:right w:val="nil"/>
                <w:between w:val="nil"/>
              </w:pBdr>
              <w:ind w:left="113" w:hanging="113"/>
              <w:rPr>
                <w:color w:val="000000"/>
              </w:rPr>
            </w:pPr>
          </w:p>
        </w:tc>
        <w:tc>
          <w:tcPr>
            <w:tcW w:w="757" w:type="pct"/>
            <w:vAlign w:val="bottom"/>
          </w:tcPr>
          <w:p w14:paraId="34E428FA" w14:textId="77777777" w:rsidR="00D83E33" w:rsidRPr="00E837F2"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3004BC6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E3A1DBB" w14:textId="77777777" w:rsidTr="001B330E">
        <w:trPr>
          <w:trHeight w:val="23"/>
        </w:trPr>
        <w:tc>
          <w:tcPr>
            <w:tcW w:w="3485" w:type="pct"/>
            <w:shd w:val="clear" w:color="auto" w:fill="auto"/>
            <w:vAlign w:val="bottom"/>
          </w:tcPr>
          <w:p w14:paraId="2AFC7DC9" w14:textId="77777777" w:rsidR="00D83E33" w:rsidRPr="00E837F2" w:rsidRDefault="00BC4072">
            <w:pPr>
              <w:widowControl w:val="0"/>
              <w:pBdr>
                <w:top w:val="nil"/>
                <w:left w:val="nil"/>
                <w:bottom w:val="nil"/>
                <w:right w:val="nil"/>
                <w:between w:val="nil"/>
              </w:pBdr>
              <w:ind w:left="113" w:hanging="113"/>
              <w:rPr>
                <w:color w:val="000000"/>
              </w:rPr>
            </w:pPr>
            <w:r w:rsidRPr="00E837F2">
              <w:rPr>
                <w:b/>
                <w:color w:val="000000"/>
              </w:rPr>
              <w:t>Total loans and advances to customers</w:t>
            </w:r>
          </w:p>
        </w:tc>
        <w:tc>
          <w:tcPr>
            <w:tcW w:w="757" w:type="pct"/>
            <w:vAlign w:val="bottom"/>
          </w:tcPr>
          <w:p w14:paraId="33726276" w14:textId="77777777" w:rsidR="00D83E33" w:rsidRPr="00E837F2"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4638058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17357F8" w14:textId="77777777" w:rsidTr="001B330E">
        <w:trPr>
          <w:trHeight w:val="23"/>
        </w:trPr>
        <w:tc>
          <w:tcPr>
            <w:tcW w:w="3485" w:type="pct"/>
            <w:tcBorders>
              <w:bottom w:val="single" w:sz="12" w:space="0" w:color="000000"/>
            </w:tcBorders>
            <w:shd w:val="clear" w:color="auto" w:fill="auto"/>
            <w:vAlign w:val="bottom"/>
          </w:tcPr>
          <w:p w14:paraId="46938685" w14:textId="77777777" w:rsidR="00D83E33" w:rsidRPr="00E837F2" w:rsidRDefault="00D83E33">
            <w:pPr>
              <w:widowControl w:val="0"/>
              <w:ind w:left="113" w:hanging="113"/>
            </w:pPr>
          </w:p>
        </w:tc>
        <w:tc>
          <w:tcPr>
            <w:tcW w:w="757" w:type="pct"/>
            <w:tcBorders>
              <w:bottom w:val="single" w:sz="12" w:space="0" w:color="000000"/>
            </w:tcBorders>
            <w:vAlign w:val="bottom"/>
          </w:tcPr>
          <w:p w14:paraId="249C7243" w14:textId="77777777" w:rsidR="00D83E33" w:rsidRPr="00E837F2" w:rsidRDefault="00D83E33">
            <w:pPr>
              <w:widowControl w:val="0"/>
              <w:pBdr>
                <w:top w:val="nil"/>
                <w:left w:val="nil"/>
                <w:bottom w:val="nil"/>
                <w:right w:val="nil"/>
                <w:between w:val="nil"/>
              </w:pBdr>
              <w:jc w:val="right"/>
              <w:rPr>
                <w:b/>
                <w:color w:val="000000"/>
              </w:rPr>
            </w:pPr>
          </w:p>
        </w:tc>
        <w:tc>
          <w:tcPr>
            <w:tcW w:w="758" w:type="pct"/>
            <w:tcBorders>
              <w:bottom w:val="single" w:sz="12" w:space="0" w:color="000000"/>
            </w:tcBorders>
            <w:shd w:val="clear" w:color="auto" w:fill="auto"/>
            <w:vAlign w:val="bottom"/>
          </w:tcPr>
          <w:p w14:paraId="20D834EE" w14:textId="77777777" w:rsidR="00D83E33" w:rsidRPr="00E837F2" w:rsidRDefault="00D83E33">
            <w:pPr>
              <w:widowControl w:val="0"/>
              <w:pBdr>
                <w:top w:val="nil"/>
                <w:left w:val="nil"/>
                <w:bottom w:val="nil"/>
                <w:right w:val="nil"/>
                <w:between w:val="nil"/>
              </w:pBdr>
              <w:jc w:val="right"/>
              <w:rPr>
                <w:b/>
                <w:color w:val="000000"/>
              </w:rPr>
            </w:pPr>
          </w:p>
        </w:tc>
      </w:tr>
    </w:tbl>
    <w:p w14:paraId="049ADAE2" w14:textId="67F5BE1B" w:rsidR="0049022E" w:rsidRPr="0049022E" w:rsidRDefault="00DB0A34" w:rsidP="0049022E">
      <w:pPr>
        <w:widowControl w:val="0"/>
        <w:pBdr>
          <w:top w:val="nil"/>
          <w:left w:val="nil"/>
          <w:bottom w:val="nil"/>
          <w:right w:val="nil"/>
          <w:between w:val="nil"/>
        </w:pBdr>
        <w:spacing w:before="200" w:after="200"/>
        <w:jc w:val="both"/>
        <w:rPr>
          <w:color w:val="0000FF"/>
          <w:sz w:val="20"/>
          <w:szCs w:val="20"/>
        </w:rPr>
      </w:pPr>
      <w:r w:rsidRPr="0049022E">
        <w:rPr>
          <w:iCs/>
          <w:color w:val="0000FF"/>
          <w:sz w:val="20"/>
          <w:szCs w:val="20"/>
        </w:rPr>
        <w:t>[</w:t>
      </w:r>
      <w:r w:rsidR="0049022E" w:rsidRPr="0049022E">
        <w:rPr>
          <w:iCs/>
          <w:color w:val="0000FF"/>
          <w:sz w:val="20"/>
          <w:szCs w:val="20"/>
        </w:rPr>
        <w:t>Loans</w:t>
      </w:r>
      <w:r w:rsidR="0049022E" w:rsidRPr="0049022E">
        <w:rPr>
          <w:color w:val="0000FF"/>
          <w:sz w:val="20"/>
          <w:szCs w:val="20"/>
        </w:rPr>
        <w:t xml:space="preserve"> and advances to customers are recorded when the Group advances money to purchase or originate a loan due from a customer. Based on the business model and the cash flow characteristics, the Group classifies loans and advances to customers into one of the following measurement categories: (i) AC: loans that are held for collection of contractual cash flows and those cash flows represent SPPI and loans that are not voluntarily designated at FVTPL, and (ii) FVTPL: loans that do not meet the SPPI test or other criteria for AC or FVOCI are measured at FVTPL.</w:t>
      </w:r>
      <w:r w:rsidR="00443AF2">
        <w:rPr>
          <w:color w:val="0000FF"/>
          <w:sz w:val="20"/>
          <w:szCs w:val="20"/>
        </w:rPr>
        <w:t>]</w:t>
      </w:r>
    </w:p>
    <w:p w14:paraId="1D261C71" w14:textId="77777777" w:rsidR="00443AF2" w:rsidRDefault="00443AF2" w:rsidP="00443AF2">
      <w:pPr>
        <w:pStyle w:val="Continued"/>
      </w:pPr>
      <w:r>
        <w:lastRenderedPageBreak/>
        <w:t>11</w:t>
      </w:r>
      <w:r>
        <w:tab/>
        <w:t>Loans and Advances to Customers (Continued)</w:t>
      </w:r>
    </w:p>
    <w:p w14:paraId="43CBC0CE" w14:textId="5A1DD3D8" w:rsidR="0049022E" w:rsidRPr="0049022E" w:rsidRDefault="00443AF2" w:rsidP="0049022E">
      <w:pPr>
        <w:widowControl w:val="0"/>
        <w:pBdr>
          <w:top w:val="nil"/>
          <w:left w:val="nil"/>
          <w:bottom w:val="nil"/>
          <w:right w:val="nil"/>
          <w:between w:val="nil"/>
        </w:pBdr>
        <w:spacing w:before="200" w:after="200"/>
        <w:jc w:val="both"/>
        <w:rPr>
          <w:color w:val="0000FF"/>
          <w:sz w:val="20"/>
          <w:szCs w:val="20"/>
        </w:rPr>
      </w:pPr>
      <w:r>
        <w:rPr>
          <w:color w:val="0000FF"/>
          <w:sz w:val="20"/>
          <w:szCs w:val="20"/>
        </w:rPr>
        <w:t>[</w:t>
      </w:r>
      <w:r w:rsidR="0049022E" w:rsidRPr="0049022E">
        <w:rPr>
          <w:color w:val="0000FF"/>
          <w:sz w:val="20"/>
          <w:szCs w:val="20"/>
        </w:rPr>
        <w:t>Impairment allowances are determined based on the forward-looking ECL models. Note 41 provides information about inputs, assumptions and estimation techniques used in measuring ECL, including an explanation of how the Group incorporates forward-looking information in the ECL models.]</w:t>
      </w:r>
    </w:p>
    <w:p w14:paraId="0323CFB3" w14:textId="1E9D9C57" w:rsidR="00DB0A34" w:rsidRPr="00DB0A34" w:rsidRDefault="00DB0A34" w:rsidP="00DB0A34">
      <w:pPr>
        <w:widowControl w:val="0"/>
        <w:pBdr>
          <w:top w:val="nil"/>
          <w:left w:val="nil"/>
          <w:bottom w:val="nil"/>
          <w:right w:val="nil"/>
          <w:between w:val="nil"/>
        </w:pBdr>
        <w:spacing w:before="200" w:after="200"/>
        <w:jc w:val="both"/>
        <w:rPr>
          <w:color w:val="0000FF"/>
          <w:sz w:val="20"/>
          <w:szCs w:val="20"/>
        </w:rPr>
      </w:pPr>
      <w:r w:rsidRPr="00DB0A34">
        <w:rPr>
          <w:i/>
          <w:color w:val="0000FF"/>
          <w:sz w:val="20"/>
          <w:szCs w:val="20"/>
        </w:rPr>
        <w:t xml:space="preserve">Amortised cost (“AC”) </w:t>
      </w:r>
      <w:r w:rsidRPr="00DB0A34">
        <w:rPr>
          <w:color w:val="0000FF"/>
          <w:sz w:val="20"/>
          <w:szCs w:val="20"/>
        </w:rPr>
        <w:t>is the amount at which the financial instrument was recognised at initial recognition less any principal repayments, plus accrued interest, and for financial assets less any allowance for expected credit losses. Accrued interest includes amortisation of transaction costs deferred at initial recognition and of any premium or discount to maturity amount using the effective interest method. Accrued interest income and accrued interest expense, including both accrued coupon and amortised discount or premium (including fees deferred at origination, if any), are not presented separately and are included in the carrying values of related items in the statement of financial position.</w:t>
      </w:r>
    </w:p>
    <w:p w14:paraId="0FE3B443" w14:textId="77777777" w:rsidR="00DB0A34" w:rsidRPr="00DB0A34" w:rsidRDefault="00DB0A34" w:rsidP="00DB0A34">
      <w:pPr>
        <w:widowControl w:val="0"/>
        <w:pBdr>
          <w:top w:val="nil"/>
          <w:left w:val="nil"/>
          <w:bottom w:val="nil"/>
          <w:right w:val="nil"/>
          <w:between w:val="nil"/>
        </w:pBdr>
        <w:spacing w:before="200" w:after="200"/>
        <w:jc w:val="both"/>
        <w:rPr>
          <w:color w:val="0000FF"/>
          <w:sz w:val="20"/>
          <w:szCs w:val="20"/>
        </w:rPr>
      </w:pPr>
      <w:r w:rsidRPr="00DB0A34">
        <w:rPr>
          <w:i/>
          <w:color w:val="0000FF"/>
          <w:sz w:val="20"/>
          <w:szCs w:val="20"/>
        </w:rPr>
        <w:t>The effective interest method</w:t>
      </w:r>
      <w:r w:rsidRPr="00DB0A34">
        <w:rPr>
          <w:color w:val="0000FF"/>
          <w:sz w:val="20"/>
          <w:szCs w:val="20"/>
        </w:rPr>
        <w:t xml:space="preserve"> is a method of allocating interest income or interest expense over the relevant period, so as to achieve a constant periodic rate of interest (effective interest rate) on the carrying amount. The effective interest rate is the rate that exactly discounts estimated future cash payments or receipts (excluding future credit losses) through the expected life of the financial instrument or a shorter period, if appropriate, to the gross carrying amount of the financial instrument.</w:t>
      </w:r>
    </w:p>
    <w:p w14:paraId="128A9B92" w14:textId="77777777" w:rsidR="00DB0A34" w:rsidRPr="00DB0A34" w:rsidRDefault="00DB0A34" w:rsidP="00DB0A34">
      <w:pPr>
        <w:widowControl w:val="0"/>
        <w:pBdr>
          <w:top w:val="nil"/>
          <w:left w:val="nil"/>
          <w:bottom w:val="nil"/>
          <w:right w:val="nil"/>
          <w:between w:val="nil"/>
        </w:pBdr>
        <w:spacing w:before="200" w:after="200"/>
        <w:jc w:val="both"/>
        <w:rPr>
          <w:color w:val="0000FF"/>
          <w:sz w:val="20"/>
          <w:szCs w:val="20"/>
        </w:rPr>
      </w:pPr>
      <w:r w:rsidRPr="00DB0A34">
        <w:rPr>
          <w:color w:val="0000FF"/>
          <w:sz w:val="20"/>
          <w:szCs w:val="20"/>
        </w:rPr>
        <w:t>The effective interest rate discounts cash flows of variable interest instruments to the next interest repricing date, except for the premium or discount, which reflects the credit spread over the floating rate specified in the instrument, or other variables that are not reset to market rates. Such premiums or discounts are amortised over the expected life of the instrument. The present value calculation includes all fees paid or received between parties to the contract that are an integral part of the effective interest rate. For assets that are purchased or originated credit impaired (“POCI”) at initial recognition, the effective interest rate is adjusted for credit risk, i.e. it is calculated based on the expected cash flows on initial recognition instead of contractual payments.</w:t>
      </w:r>
    </w:p>
    <w:p w14:paraId="2D872497" w14:textId="47395456" w:rsidR="00DB0A34" w:rsidRPr="00DB0A34" w:rsidRDefault="00DB0A34" w:rsidP="00DB0A34">
      <w:pPr>
        <w:widowControl w:val="0"/>
        <w:pBdr>
          <w:top w:val="nil"/>
          <w:left w:val="nil"/>
          <w:bottom w:val="nil"/>
          <w:right w:val="nil"/>
          <w:between w:val="nil"/>
        </w:pBdr>
        <w:spacing w:before="200" w:after="200"/>
        <w:jc w:val="both"/>
        <w:rPr>
          <w:color w:val="0000FF"/>
          <w:sz w:val="20"/>
          <w:szCs w:val="20"/>
        </w:rPr>
      </w:pPr>
      <w:r w:rsidRPr="00DB0A34">
        <w:rPr>
          <w:i/>
          <w:color w:val="0000FF"/>
          <w:sz w:val="20"/>
          <w:szCs w:val="20"/>
        </w:rPr>
        <w:t xml:space="preserve">Transaction costs </w:t>
      </w:r>
      <w:r w:rsidRPr="00DB0A34">
        <w:rPr>
          <w:color w:val="0000FF"/>
          <w:sz w:val="20"/>
          <w:szCs w:val="20"/>
        </w:rPr>
        <w:t>are incremental costs that are directly attributable to the acquisition, issue or disposal of a financial instrument. An incremental cost is one that would not have been incurred if the transaction had not taken place. Transaction costs include fees and commissions paid to agents (including employees acting as selling agents), advisors, brokers and dealers, levies by regulatory agencies and securities exchanges, and transfer taxes and duties. Transaction costs do not include debt premiums or discounts, financing costs or internal administrative or holding costs.]</w:t>
      </w:r>
    </w:p>
    <w:p w14:paraId="5F12BB49" w14:textId="49B4352B"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Pr>
          <w:b/>
          <w:i/>
          <w:color w:val="0000FF"/>
          <w:sz w:val="20"/>
          <w:szCs w:val="20"/>
        </w:rPr>
        <w:t>[</w:t>
      </w:r>
      <w:r w:rsidRPr="0049022E">
        <w:rPr>
          <w:b/>
          <w:i/>
          <w:color w:val="0000FF"/>
          <w:sz w:val="20"/>
          <w:szCs w:val="20"/>
        </w:rPr>
        <w:t>Credit loss allowance for ECL.</w:t>
      </w:r>
      <w:r w:rsidRPr="0049022E">
        <w:rPr>
          <w:b/>
          <w:color w:val="0000FF"/>
          <w:sz w:val="20"/>
          <w:szCs w:val="20"/>
        </w:rPr>
        <w:t xml:space="preserve"> </w:t>
      </w:r>
      <w:r w:rsidRPr="0049022E">
        <w:rPr>
          <w:color w:val="0000FF"/>
          <w:sz w:val="20"/>
          <w:szCs w:val="20"/>
        </w:rPr>
        <w:t>The Group assesses, on a forward-looking basis, the ECL for debt instruments measured at AC and FVOCI and for the exposures arising from loan commitments and financial guarantee contracts. The Group measures ECL and recognises credit loss allowance at each reporting date. The measurement of ECL reflects: (i) an unbiased and probability weighted amount that is determined by evaluating a range of possible outcomes, (ii) time value of money and (iii) all reasonable and supportable information that is available without undue cost and effort at the end of each reporting period about past events, current conditions and forecasts of future conditions.</w:t>
      </w:r>
    </w:p>
    <w:p w14:paraId="6CA7C652" w14:textId="77777777"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 xml:space="preserve">Debt instruments measured at AC are presented in the consolidated statement of financial position net of the allowance for ECL. For loan commitments and financial guarantees, a separate provision for ECL is recognised as a liability in the consolidated statement of financial position. For debt instruments at FVOCI, changes in amortised cost, net of allowance for ECL, are recognised in profit or loss and other changes in carrying value are recognised in OCI as gains less losses on debt instruments at FVOCI. </w:t>
      </w:r>
    </w:p>
    <w:p w14:paraId="54552DDA" w14:textId="77777777" w:rsidR="00443AF2"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 xml:space="preserve">The Group applies a three stage model for impairment, based on changes in credit quality since initial recognition. A financial instrument that is not credit-impaired on initial recognition is classified in Stage 1. Financial assets in Stage 1 have their ECL measured at an amount equal to the portion of lifetime ECL that results from default events possible within the next 12 months or until contractual maturity, if shorter (“12 Months ECL”). If the Group identifies a significant increase in credit risk (“SICR”) since initial recognition, the asset is transferred to Stage 2 and its ECL is measured based on ECL on a lifetime basis, that is, up until contractual maturity but considering expected prepayments, if any (“Lifetime ECL”). </w:t>
      </w:r>
    </w:p>
    <w:p w14:paraId="5015C897" w14:textId="77777777" w:rsidR="00443AF2" w:rsidRDefault="00443AF2" w:rsidP="00443AF2">
      <w:pPr>
        <w:pStyle w:val="Continued"/>
      </w:pPr>
      <w:r>
        <w:lastRenderedPageBreak/>
        <w:t>11</w:t>
      </w:r>
      <w:r>
        <w:tab/>
        <w:t>Loans and Advances to Customers (Continued)</w:t>
      </w:r>
    </w:p>
    <w:p w14:paraId="7B7019B8" w14:textId="62CCF9D5"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 xml:space="preserve">Refer to Note 41 for a description of how the Group determines when a SICR has occurred. If the Group determines that a financial asset is credit-impaired, the asset is transferred to Stage 3 and its ECL is measured as a Lifetime ECL. The Group’s definition of credit impaired assets and definition of default is explained in Note 41. For financial assets that are purchased or originated credit-impaired (“POCI Assets”), the ECL is always measured as a Lifetime ECL. Note 41 provides information about inputs, assumptions and estimation techniques used in measuring ECL, including an explanation of how the Group incorporates forward-looking information in the ECL models. </w:t>
      </w:r>
    </w:p>
    <w:p w14:paraId="16979145" w14:textId="77777777"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 xml:space="preserve">As an exception, for certain financial instruments, such as credit cards, that may include both a loan and an undrawn commitment component, the Group measures expected credit losses over the period that the Group is exposed to credit risk, that is, until the expected credit losses would be mitigated by credit risk management actions, even if that period extends beyond the maximum contractual period. This is because contractual ability to demand repayment and cancel the undrawn commitment does not limit the exposure to credit losses to such contractual notice period. </w:t>
      </w:r>
    </w:p>
    <w:p w14:paraId="216DC069" w14:textId="216887D1" w:rsidR="0049022E" w:rsidRDefault="0049022E" w:rsidP="0049022E">
      <w:pPr>
        <w:widowControl w:val="0"/>
        <w:spacing w:before="200" w:after="200"/>
        <w:jc w:val="both"/>
        <w:rPr>
          <w:sz w:val="20"/>
          <w:szCs w:val="20"/>
        </w:rPr>
      </w:pPr>
      <w:r w:rsidRPr="0049022E">
        <w:rPr>
          <w:b/>
          <w:i/>
          <w:color w:val="0000FF"/>
          <w:sz w:val="20"/>
          <w:szCs w:val="20"/>
        </w:rPr>
        <w:t>Financial assets – write-off.</w:t>
      </w:r>
      <w:r w:rsidRPr="0049022E">
        <w:rPr>
          <w:b/>
          <w:color w:val="0000FF"/>
          <w:sz w:val="20"/>
          <w:szCs w:val="20"/>
        </w:rPr>
        <w:t xml:space="preserve"> </w:t>
      </w:r>
      <w:r w:rsidRPr="0049022E">
        <w:rPr>
          <w:color w:val="0000FF"/>
          <w:sz w:val="20"/>
          <w:szCs w:val="20"/>
        </w:rPr>
        <w:t xml:space="preserve">Financial assets are written-off, in whole or in part, when the Group exhausted all practical recovery efforts and has concluded that there is no reasonable expectation of recovery. The write-off represents a derecognition event. [Indicators that there is no reasonable expectation of recovery include… </w:t>
      </w:r>
      <w:r w:rsidRPr="0049022E">
        <w:rPr>
          <w:i/>
          <w:color w:val="0000FF"/>
          <w:sz w:val="20"/>
          <w:szCs w:val="20"/>
        </w:rPr>
        <w:t>specify</w:t>
      </w:r>
      <w:r w:rsidRPr="0049022E">
        <w:rPr>
          <w:color w:val="0000FF"/>
          <w:sz w:val="20"/>
          <w:szCs w:val="20"/>
        </w:rPr>
        <w:t>]. The Group may write-off financial assets that are still subject to enforcement activity when the Group seeks to recover amounts that are contractually due, however, there is no reasonable expectation of recovery.</w:t>
      </w:r>
      <w:r>
        <w:rPr>
          <w:color w:val="0000FF"/>
          <w:sz w:val="20"/>
          <w:szCs w:val="20"/>
        </w:rPr>
        <w:t>]</w:t>
      </w:r>
    </w:p>
    <w:p w14:paraId="61027FD6" w14:textId="209B7C2D" w:rsidR="00D83E33" w:rsidRDefault="00BC4072">
      <w:pPr>
        <w:widowControl w:val="0"/>
        <w:spacing w:before="200" w:after="200"/>
        <w:jc w:val="both"/>
        <w:rPr>
          <w:sz w:val="20"/>
          <w:szCs w:val="20"/>
        </w:rPr>
      </w:pPr>
      <w:r>
        <w:rPr>
          <w:sz w:val="20"/>
          <w:szCs w:val="20"/>
        </w:rPr>
        <w:t xml:space="preserve">The Group holds a portfolio of loans and advances to customers that does not meet the SPPI requirement for AC classification under IFRS 9. </w:t>
      </w:r>
      <w:r>
        <w:rPr>
          <w:i/>
          <w:color w:val="FF0000"/>
          <w:sz w:val="20"/>
          <w:szCs w:val="20"/>
        </w:rPr>
        <w:t>[</w:t>
      </w:r>
      <w:r w:rsidR="00D00E5A">
        <w:rPr>
          <w:i/>
          <w:color w:val="FF0000"/>
          <w:sz w:val="20"/>
          <w:szCs w:val="20"/>
        </w:rPr>
        <w:t>Tailor to d</w:t>
      </w:r>
      <w:r>
        <w:rPr>
          <w:i/>
          <w:color w:val="FF0000"/>
          <w:sz w:val="20"/>
          <w:szCs w:val="20"/>
        </w:rPr>
        <w:t xml:space="preserve">escribe the dominant features that fail the SPPI test in more details]. </w:t>
      </w:r>
      <w:r>
        <w:rPr>
          <w:sz w:val="20"/>
          <w:szCs w:val="20"/>
        </w:rPr>
        <w:t>As a result, these loans and advances were classified as at FVTPL from the date of initial recognition. Loans and advances to customers at FVTPL are measured taking into account the credit risk. The carrying amount presented in the statement of financial position best represents the Group's maximum exposure to credit risk arising from loans and advances to customers.</w:t>
      </w:r>
    </w:p>
    <w:p w14:paraId="6B6520E6" w14:textId="322C10C4" w:rsidR="00D83E33" w:rsidRDefault="00BC4072">
      <w:pPr>
        <w:widowControl w:val="0"/>
        <w:spacing w:before="200" w:after="200"/>
        <w:jc w:val="both"/>
        <w:rPr>
          <w:sz w:val="20"/>
          <w:szCs w:val="20"/>
        </w:rPr>
      </w:pPr>
      <w:r>
        <w:rPr>
          <w:sz w:val="20"/>
          <w:szCs w:val="20"/>
        </w:rPr>
        <w:t>Gross carrying amount and credit loss allowance amount for loans and advances to customers at AC by classes at 31</w:t>
      </w:r>
      <w:r w:rsidR="00181687">
        <w:rPr>
          <w:sz w:val="20"/>
          <w:szCs w:val="20"/>
        </w:rPr>
        <w:t> December </w:t>
      </w:r>
      <w:r w:rsidR="00541EBC">
        <w:rPr>
          <w:sz w:val="20"/>
          <w:szCs w:val="20"/>
        </w:rPr>
        <w:t>2024</w:t>
      </w:r>
      <w:r>
        <w:rPr>
          <w:sz w:val="20"/>
          <w:szCs w:val="20"/>
        </w:rPr>
        <w:t xml:space="preserve"> and 31</w:t>
      </w:r>
      <w:r w:rsidR="00181687">
        <w:rPr>
          <w:sz w:val="20"/>
          <w:szCs w:val="20"/>
        </w:rPr>
        <w:t> December </w:t>
      </w:r>
      <w:r w:rsidR="00541EBC">
        <w:rPr>
          <w:sz w:val="20"/>
          <w:szCs w:val="20"/>
        </w:rPr>
        <w:t>2023</w:t>
      </w:r>
      <w:r>
        <w:rPr>
          <w:sz w:val="20"/>
          <w:szCs w:val="20"/>
        </w:rPr>
        <w:t xml:space="preserve"> are disclosed in the table below:</w:t>
      </w:r>
    </w:p>
    <w:tbl>
      <w:tblPr>
        <w:tblStyle w:val="afff7"/>
        <w:tblW w:w="5000" w:type="pct"/>
        <w:tblLayout w:type="fixed"/>
        <w:tblLook w:val="0000" w:firstRow="0" w:lastRow="0" w:firstColumn="0" w:lastColumn="0" w:noHBand="0" w:noVBand="0"/>
      </w:tblPr>
      <w:tblGrid>
        <w:gridCol w:w="2541"/>
        <w:gridCol w:w="1123"/>
        <w:gridCol w:w="1123"/>
        <w:gridCol w:w="1126"/>
        <w:gridCol w:w="1124"/>
        <w:gridCol w:w="1197"/>
        <w:gridCol w:w="1121"/>
      </w:tblGrid>
      <w:tr w:rsidR="00D83E33" w:rsidRPr="00E837F2" w14:paraId="3404A761" w14:textId="77777777" w:rsidTr="001B330E">
        <w:trPr>
          <w:trHeight w:val="23"/>
        </w:trPr>
        <w:tc>
          <w:tcPr>
            <w:tcW w:w="1358" w:type="pct"/>
            <w:shd w:val="clear" w:color="auto" w:fill="auto"/>
            <w:vAlign w:val="bottom"/>
          </w:tcPr>
          <w:p w14:paraId="21AC0A1F" w14:textId="77777777" w:rsidR="00D83E33" w:rsidRPr="00FE3A14" w:rsidRDefault="00D83E33">
            <w:pPr>
              <w:widowControl w:val="0"/>
              <w:pBdr>
                <w:top w:val="nil"/>
                <w:left w:val="nil"/>
                <w:bottom w:val="nil"/>
                <w:right w:val="nil"/>
                <w:between w:val="nil"/>
              </w:pBdr>
              <w:ind w:left="113" w:hanging="113"/>
              <w:rPr>
                <w:i/>
                <w:color w:val="000000"/>
              </w:rPr>
            </w:pPr>
          </w:p>
        </w:tc>
        <w:tc>
          <w:tcPr>
            <w:tcW w:w="1802" w:type="pct"/>
            <w:gridSpan w:val="3"/>
            <w:tcBorders>
              <w:left w:val="nil"/>
              <w:bottom w:val="single" w:sz="4" w:space="0" w:color="000000"/>
            </w:tcBorders>
            <w:vAlign w:val="bottom"/>
          </w:tcPr>
          <w:p w14:paraId="600D16C2" w14:textId="5F8C1015"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31</w:t>
            </w:r>
            <w:r w:rsidR="00181687">
              <w:rPr>
                <w:b/>
                <w:color w:val="000000"/>
              </w:rPr>
              <w:t> December </w:t>
            </w:r>
            <w:r w:rsidR="00541EBC">
              <w:rPr>
                <w:b/>
                <w:color w:val="000000"/>
              </w:rPr>
              <w:t>2024</w:t>
            </w:r>
          </w:p>
        </w:tc>
        <w:tc>
          <w:tcPr>
            <w:tcW w:w="1840" w:type="pct"/>
            <w:gridSpan w:val="3"/>
            <w:tcBorders>
              <w:bottom w:val="single" w:sz="4" w:space="0" w:color="000000"/>
            </w:tcBorders>
            <w:vAlign w:val="bottom"/>
          </w:tcPr>
          <w:p w14:paraId="712F05F6" w14:textId="1B51F084"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31</w:t>
            </w:r>
            <w:r w:rsidR="00181687">
              <w:rPr>
                <w:b/>
                <w:color w:val="000000"/>
              </w:rPr>
              <w:t> December </w:t>
            </w:r>
            <w:r w:rsidR="00541EBC">
              <w:rPr>
                <w:b/>
                <w:color w:val="000000"/>
              </w:rPr>
              <w:t>2023</w:t>
            </w:r>
          </w:p>
        </w:tc>
      </w:tr>
      <w:tr w:rsidR="00D83E33" w:rsidRPr="00E837F2" w14:paraId="1F433E94" w14:textId="77777777" w:rsidTr="00443AF2">
        <w:trPr>
          <w:trHeight w:val="23"/>
        </w:trPr>
        <w:tc>
          <w:tcPr>
            <w:tcW w:w="1358" w:type="pct"/>
            <w:tcBorders>
              <w:bottom w:val="single" w:sz="4" w:space="0" w:color="000000"/>
            </w:tcBorders>
            <w:shd w:val="clear" w:color="auto" w:fill="auto"/>
            <w:vAlign w:val="bottom"/>
          </w:tcPr>
          <w:p w14:paraId="3195F534" w14:textId="2BAD0BBE" w:rsidR="00D83E33" w:rsidRPr="00FE3A14" w:rsidRDefault="00313B4D">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600" w:type="pct"/>
            <w:tcBorders>
              <w:top w:val="single" w:sz="4" w:space="0" w:color="000000"/>
              <w:bottom w:val="single" w:sz="4" w:space="0" w:color="000000"/>
            </w:tcBorders>
          </w:tcPr>
          <w:p w14:paraId="60EC91DF"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Gross carrying amount</w:t>
            </w:r>
          </w:p>
        </w:tc>
        <w:tc>
          <w:tcPr>
            <w:tcW w:w="600" w:type="pct"/>
            <w:tcBorders>
              <w:top w:val="single" w:sz="4" w:space="0" w:color="000000"/>
              <w:bottom w:val="single" w:sz="4" w:space="0" w:color="000000"/>
            </w:tcBorders>
          </w:tcPr>
          <w:p w14:paraId="6EA50AE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Credit loss allowance</w:t>
            </w:r>
          </w:p>
        </w:tc>
        <w:tc>
          <w:tcPr>
            <w:tcW w:w="602" w:type="pct"/>
            <w:tcBorders>
              <w:top w:val="single" w:sz="4" w:space="0" w:color="000000"/>
              <w:bottom w:val="single" w:sz="4" w:space="0" w:color="000000"/>
            </w:tcBorders>
          </w:tcPr>
          <w:p w14:paraId="4C9F1EA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Carrying amount</w:t>
            </w:r>
          </w:p>
        </w:tc>
        <w:tc>
          <w:tcPr>
            <w:tcW w:w="601" w:type="pct"/>
            <w:tcBorders>
              <w:top w:val="single" w:sz="4" w:space="0" w:color="000000"/>
              <w:bottom w:val="single" w:sz="4" w:space="0" w:color="000000"/>
            </w:tcBorders>
          </w:tcPr>
          <w:p w14:paraId="0F688A8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Gross carrying amount</w:t>
            </w:r>
          </w:p>
        </w:tc>
        <w:tc>
          <w:tcPr>
            <w:tcW w:w="640" w:type="pct"/>
            <w:tcBorders>
              <w:top w:val="single" w:sz="4" w:space="0" w:color="000000"/>
              <w:bottom w:val="single" w:sz="4" w:space="0" w:color="000000"/>
            </w:tcBorders>
            <w:shd w:val="clear" w:color="auto" w:fill="auto"/>
          </w:tcPr>
          <w:p w14:paraId="3896E89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Provision for loan impairment</w:t>
            </w:r>
          </w:p>
        </w:tc>
        <w:tc>
          <w:tcPr>
            <w:tcW w:w="599" w:type="pct"/>
            <w:tcBorders>
              <w:top w:val="single" w:sz="4" w:space="0" w:color="000000"/>
              <w:bottom w:val="single" w:sz="4" w:space="0" w:color="000000"/>
            </w:tcBorders>
            <w:shd w:val="clear" w:color="auto" w:fill="auto"/>
          </w:tcPr>
          <w:p w14:paraId="106574E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Carrying amount</w:t>
            </w:r>
          </w:p>
        </w:tc>
      </w:tr>
      <w:tr w:rsidR="00D83E33" w:rsidRPr="00E837F2" w14:paraId="52BC2655" w14:textId="77777777" w:rsidTr="00443AF2">
        <w:trPr>
          <w:trHeight w:val="23"/>
        </w:trPr>
        <w:tc>
          <w:tcPr>
            <w:tcW w:w="1358" w:type="pct"/>
            <w:tcBorders>
              <w:top w:val="single" w:sz="4" w:space="0" w:color="000000"/>
            </w:tcBorders>
            <w:shd w:val="clear" w:color="auto" w:fill="auto"/>
            <w:vAlign w:val="bottom"/>
          </w:tcPr>
          <w:p w14:paraId="71C47A1F"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0" w:type="pct"/>
            <w:tcBorders>
              <w:top w:val="single" w:sz="4" w:space="0" w:color="000000"/>
            </w:tcBorders>
            <w:vAlign w:val="bottom"/>
          </w:tcPr>
          <w:p w14:paraId="198DE69C" w14:textId="77777777" w:rsidR="00D83E33" w:rsidRPr="001B330E" w:rsidRDefault="00D83E33">
            <w:pPr>
              <w:widowControl w:val="0"/>
              <w:pBdr>
                <w:top w:val="nil"/>
                <w:left w:val="nil"/>
                <w:bottom w:val="nil"/>
                <w:right w:val="nil"/>
                <w:between w:val="nil"/>
              </w:pBdr>
              <w:jc w:val="right"/>
              <w:rPr>
                <w:b/>
                <w:color w:val="000000"/>
                <w:szCs w:val="16"/>
              </w:rPr>
            </w:pPr>
          </w:p>
        </w:tc>
        <w:tc>
          <w:tcPr>
            <w:tcW w:w="600" w:type="pct"/>
            <w:tcBorders>
              <w:top w:val="single" w:sz="4" w:space="0" w:color="000000"/>
            </w:tcBorders>
            <w:vAlign w:val="bottom"/>
          </w:tcPr>
          <w:p w14:paraId="73D49F26" w14:textId="77777777" w:rsidR="00D83E33" w:rsidRPr="001B330E" w:rsidRDefault="00D83E33">
            <w:pPr>
              <w:widowControl w:val="0"/>
              <w:pBdr>
                <w:top w:val="nil"/>
                <w:left w:val="nil"/>
                <w:bottom w:val="nil"/>
                <w:right w:val="nil"/>
                <w:between w:val="nil"/>
              </w:pBdr>
              <w:jc w:val="right"/>
              <w:rPr>
                <w:b/>
                <w:color w:val="000000"/>
                <w:szCs w:val="16"/>
              </w:rPr>
            </w:pPr>
          </w:p>
        </w:tc>
        <w:tc>
          <w:tcPr>
            <w:tcW w:w="602" w:type="pct"/>
            <w:tcBorders>
              <w:top w:val="single" w:sz="4" w:space="0" w:color="000000"/>
            </w:tcBorders>
            <w:vAlign w:val="bottom"/>
          </w:tcPr>
          <w:p w14:paraId="3EEA62A6" w14:textId="77777777" w:rsidR="00D83E33" w:rsidRPr="001B330E" w:rsidRDefault="00D83E33">
            <w:pPr>
              <w:widowControl w:val="0"/>
              <w:pBdr>
                <w:top w:val="nil"/>
                <w:left w:val="nil"/>
                <w:bottom w:val="nil"/>
                <w:right w:val="nil"/>
                <w:between w:val="nil"/>
              </w:pBdr>
              <w:jc w:val="right"/>
              <w:rPr>
                <w:b/>
                <w:color w:val="000000"/>
                <w:szCs w:val="16"/>
              </w:rPr>
            </w:pPr>
          </w:p>
        </w:tc>
        <w:tc>
          <w:tcPr>
            <w:tcW w:w="601" w:type="pct"/>
            <w:tcBorders>
              <w:top w:val="single" w:sz="4" w:space="0" w:color="000000"/>
            </w:tcBorders>
            <w:vAlign w:val="bottom"/>
          </w:tcPr>
          <w:p w14:paraId="40D75F3C" w14:textId="77777777" w:rsidR="00D83E33" w:rsidRPr="001B330E" w:rsidRDefault="00D83E33">
            <w:pPr>
              <w:widowControl w:val="0"/>
              <w:pBdr>
                <w:top w:val="nil"/>
                <w:left w:val="nil"/>
                <w:bottom w:val="nil"/>
                <w:right w:val="nil"/>
                <w:between w:val="nil"/>
              </w:pBdr>
              <w:jc w:val="right"/>
              <w:rPr>
                <w:b/>
                <w:color w:val="000000"/>
                <w:szCs w:val="16"/>
              </w:rPr>
            </w:pPr>
          </w:p>
        </w:tc>
        <w:tc>
          <w:tcPr>
            <w:tcW w:w="640" w:type="pct"/>
            <w:tcBorders>
              <w:top w:val="single" w:sz="4" w:space="0" w:color="000000"/>
            </w:tcBorders>
            <w:shd w:val="clear" w:color="auto" w:fill="auto"/>
            <w:vAlign w:val="bottom"/>
          </w:tcPr>
          <w:p w14:paraId="216D4DFA" w14:textId="77777777" w:rsidR="00D83E33" w:rsidRPr="001B330E" w:rsidRDefault="00D83E33">
            <w:pPr>
              <w:widowControl w:val="0"/>
              <w:pBdr>
                <w:top w:val="nil"/>
                <w:left w:val="nil"/>
                <w:bottom w:val="nil"/>
                <w:right w:val="nil"/>
                <w:between w:val="nil"/>
              </w:pBdr>
              <w:jc w:val="right"/>
              <w:rPr>
                <w:b/>
                <w:color w:val="000000"/>
                <w:szCs w:val="16"/>
              </w:rPr>
            </w:pPr>
          </w:p>
        </w:tc>
        <w:tc>
          <w:tcPr>
            <w:tcW w:w="599" w:type="pct"/>
            <w:tcBorders>
              <w:top w:val="single" w:sz="4" w:space="0" w:color="000000"/>
            </w:tcBorders>
            <w:shd w:val="clear" w:color="auto" w:fill="auto"/>
            <w:vAlign w:val="bottom"/>
          </w:tcPr>
          <w:p w14:paraId="795526BD" w14:textId="77777777" w:rsidR="00D83E33" w:rsidRPr="001B330E" w:rsidRDefault="00D83E33">
            <w:pPr>
              <w:widowControl w:val="0"/>
              <w:jc w:val="right"/>
              <w:rPr>
                <w:szCs w:val="16"/>
              </w:rPr>
            </w:pPr>
          </w:p>
        </w:tc>
      </w:tr>
      <w:tr w:rsidR="00D83E33" w:rsidRPr="00E837F2" w14:paraId="5E7BBE52" w14:textId="77777777" w:rsidTr="00443AF2">
        <w:trPr>
          <w:trHeight w:val="23"/>
        </w:trPr>
        <w:tc>
          <w:tcPr>
            <w:tcW w:w="1358" w:type="pct"/>
            <w:shd w:val="clear" w:color="auto" w:fill="auto"/>
            <w:vAlign w:val="bottom"/>
          </w:tcPr>
          <w:p w14:paraId="17176685" w14:textId="77777777" w:rsidR="00D83E33" w:rsidRPr="00FE3A14" w:rsidRDefault="00BC4072">
            <w:pPr>
              <w:widowControl w:val="0"/>
              <w:ind w:left="113" w:hanging="113"/>
            </w:pPr>
            <w:r w:rsidRPr="00FE3A14">
              <w:rPr>
                <w:i/>
              </w:rPr>
              <w:t>Loans to corporate customers</w:t>
            </w:r>
          </w:p>
        </w:tc>
        <w:tc>
          <w:tcPr>
            <w:tcW w:w="600" w:type="pct"/>
            <w:vAlign w:val="bottom"/>
          </w:tcPr>
          <w:p w14:paraId="77C4B569" w14:textId="77777777" w:rsidR="00D83E33" w:rsidRPr="00E837F2" w:rsidRDefault="00D83E33">
            <w:pPr>
              <w:widowControl w:val="0"/>
              <w:pBdr>
                <w:top w:val="nil"/>
                <w:left w:val="nil"/>
                <w:bottom w:val="nil"/>
                <w:right w:val="nil"/>
                <w:between w:val="nil"/>
              </w:pBdr>
              <w:jc w:val="right"/>
              <w:rPr>
                <w:b/>
                <w:color w:val="000000"/>
              </w:rPr>
            </w:pPr>
          </w:p>
        </w:tc>
        <w:tc>
          <w:tcPr>
            <w:tcW w:w="600" w:type="pct"/>
            <w:vAlign w:val="bottom"/>
          </w:tcPr>
          <w:p w14:paraId="507066B8" w14:textId="77777777" w:rsidR="00D83E33" w:rsidRPr="00E837F2" w:rsidRDefault="00D83E33">
            <w:pPr>
              <w:widowControl w:val="0"/>
              <w:pBdr>
                <w:top w:val="nil"/>
                <w:left w:val="nil"/>
                <w:bottom w:val="nil"/>
                <w:right w:val="nil"/>
                <w:between w:val="nil"/>
              </w:pBdr>
              <w:jc w:val="right"/>
              <w:rPr>
                <w:b/>
                <w:color w:val="000000"/>
              </w:rPr>
            </w:pPr>
          </w:p>
        </w:tc>
        <w:tc>
          <w:tcPr>
            <w:tcW w:w="602" w:type="pct"/>
            <w:vAlign w:val="bottom"/>
          </w:tcPr>
          <w:p w14:paraId="03217824" w14:textId="77777777" w:rsidR="00D83E33" w:rsidRPr="00E837F2" w:rsidRDefault="00D83E33">
            <w:pPr>
              <w:widowControl w:val="0"/>
              <w:pBdr>
                <w:top w:val="nil"/>
                <w:left w:val="nil"/>
                <w:bottom w:val="nil"/>
                <w:right w:val="nil"/>
                <w:between w:val="nil"/>
              </w:pBdr>
              <w:jc w:val="right"/>
              <w:rPr>
                <w:b/>
                <w:color w:val="000000"/>
              </w:rPr>
            </w:pPr>
          </w:p>
        </w:tc>
        <w:tc>
          <w:tcPr>
            <w:tcW w:w="601" w:type="pct"/>
            <w:vAlign w:val="bottom"/>
          </w:tcPr>
          <w:p w14:paraId="360AA1A5" w14:textId="77777777" w:rsidR="00D83E33" w:rsidRPr="00E837F2" w:rsidRDefault="00D83E33">
            <w:pPr>
              <w:widowControl w:val="0"/>
              <w:pBdr>
                <w:top w:val="nil"/>
                <w:left w:val="nil"/>
                <w:bottom w:val="nil"/>
                <w:right w:val="nil"/>
                <w:between w:val="nil"/>
              </w:pBdr>
              <w:jc w:val="right"/>
              <w:rPr>
                <w:b/>
                <w:color w:val="000000"/>
              </w:rPr>
            </w:pPr>
          </w:p>
        </w:tc>
        <w:tc>
          <w:tcPr>
            <w:tcW w:w="640" w:type="pct"/>
            <w:shd w:val="clear" w:color="auto" w:fill="auto"/>
            <w:vAlign w:val="bottom"/>
          </w:tcPr>
          <w:p w14:paraId="50E802FF" w14:textId="77777777" w:rsidR="00D83E33" w:rsidRPr="00E837F2" w:rsidRDefault="00D83E33">
            <w:pPr>
              <w:widowControl w:val="0"/>
              <w:pBdr>
                <w:top w:val="nil"/>
                <w:left w:val="nil"/>
                <w:bottom w:val="nil"/>
                <w:right w:val="nil"/>
                <w:between w:val="nil"/>
              </w:pBdr>
              <w:jc w:val="right"/>
              <w:rPr>
                <w:b/>
                <w:color w:val="000000"/>
              </w:rPr>
            </w:pPr>
          </w:p>
        </w:tc>
        <w:tc>
          <w:tcPr>
            <w:tcW w:w="599" w:type="pct"/>
            <w:shd w:val="clear" w:color="auto" w:fill="auto"/>
            <w:vAlign w:val="bottom"/>
          </w:tcPr>
          <w:p w14:paraId="6FC7C920" w14:textId="77777777" w:rsidR="00D83E33" w:rsidRPr="00E837F2" w:rsidRDefault="00D83E33">
            <w:pPr>
              <w:widowControl w:val="0"/>
              <w:jc w:val="right"/>
            </w:pPr>
          </w:p>
        </w:tc>
      </w:tr>
      <w:tr w:rsidR="00D83E33" w:rsidRPr="00443AF2" w14:paraId="1CCF190F" w14:textId="77777777" w:rsidTr="00443AF2">
        <w:trPr>
          <w:trHeight w:val="23"/>
        </w:trPr>
        <w:tc>
          <w:tcPr>
            <w:tcW w:w="1358" w:type="pct"/>
            <w:shd w:val="clear" w:color="auto" w:fill="auto"/>
            <w:vAlign w:val="bottom"/>
          </w:tcPr>
          <w:p w14:paraId="4C4126A1" w14:textId="77777777" w:rsidR="00D83E33" w:rsidRPr="00443AF2" w:rsidRDefault="00D83E33">
            <w:pPr>
              <w:widowControl w:val="0"/>
              <w:ind w:left="113" w:hanging="113"/>
              <w:rPr>
                <w:i/>
                <w:sz w:val="13"/>
                <w:szCs w:val="13"/>
              </w:rPr>
            </w:pPr>
          </w:p>
        </w:tc>
        <w:tc>
          <w:tcPr>
            <w:tcW w:w="600" w:type="pct"/>
            <w:vAlign w:val="bottom"/>
          </w:tcPr>
          <w:p w14:paraId="7A73DC54"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600" w:type="pct"/>
            <w:vAlign w:val="bottom"/>
          </w:tcPr>
          <w:p w14:paraId="49D88DA8"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602" w:type="pct"/>
            <w:vAlign w:val="bottom"/>
          </w:tcPr>
          <w:p w14:paraId="13BF4BB6"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601" w:type="pct"/>
            <w:vAlign w:val="bottom"/>
          </w:tcPr>
          <w:p w14:paraId="2CC84B40"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640" w:type="pct"/>
            <w:shd w:val="clear" w:color="auto" w:fill="auto"/>
            <w:vAlign w:val="bottom"/>
          </w:tcPr>
          <w:p w14:paraId="1AFBB0B1"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599" w:type="pct"/>
            <w:shd w:val="clear" w:color="auto" w:fill="auto"/>
            <w:vAlign w:val="bottom"/>
          </w:tcPr>
          <w:p w14:paraId="44B632FE" w14:textId="77777777" w:rsidR="00D83E33" w:rsidRPr="00443AF2" w:rsidRDefault="00D83E33">
            <w:pPr>
              <w:widowControl w:val="0"/>
              <w:jc w:val="right"/>
              <w:rPr>
                <w:sz w:val="13"/>
                <w:szCs w:val="13"/>
              </w:rPr>
            </w:pPr>
          </w:p>
        </w:tc>
      </w:tr>
      <w:tr w:rsidR="00D83E33" w:rsidRPr="00E837F2" w14:paraId="7FD9DB69" w14:textId="77777777" w:rsidTr="00443AF2">
        <w:trPr>
          <w:trHeight w:val="23"/>
        </w:trPr>
        <w:tc>
          <w:tcPr>
            <w:tcW w:w="1358" w:type="pct"/>
            <w:shd w:val="clear" w:color="auto" w:fill="auto"/>
            <w:vAlign w:val="bottom"/>
          </w:tcPr>
          <w:p w14:paraId="500125AC" w14:textId="77777777" w:rsidR="00D83E33" w:rsidRPr="00FE3A14" w:rsidRDefault="00BC4072">
            <w:pPr>
              <w:widowControl w:val="0"/>
              <w:ind w:left="113" w:hanging="113"/>
            </w:pPr>
            <w:r w:rsidRPr="00FE3A14">
              <w:t>Standard lending</w:t>
            </w:r>
          </w:p>
        </w:tc>
        <w:tc>
          <w:tcPr>
            <w:tcW w:w="600" w:type="pct"/>
            <w:vAlign w:val="bottom"/>
          </w:tcPr>
          <w:p w14:paraId="570F0D6D" w14:textId="77777777" w:rsidR="00D83E33" w:rsidRPr="00E837F2" w:rsidRDefault="00D83E33">
            <w:pPr>
              <w:widowControl w:val="0"/>
              <w:jc w:val="right"/>
            </w:pPr>
          </w:p>
        </w:tc>
        <w:tc>
          <w:tcPr>
            <w:tcW w:w="600" w:type="pct"/>
            <w:vAlign w:val="bottom"/>
          </w:tcPr>
          <w:p w14:paraId="7782F58C" w14:textId="77777777" w:rsidR="00D83E33" w:rsidRPr="00E837F2" w:rsidRDefault="00D83E33">
            <w:pPr>
              <w:widowControl w:val="0"/>
              <w:jc w:val="right"/>
            </w:pPr>
          </w:p>
        </w:tc>
        <w:tc>
          <w:tcPr>
            <w:tcW w:w="602" w:type="pct"/>
            <w:vAlign w:val="bottom"/>
          </w:tcPr>
          <w:p w14:paraId="7612EBB9" w14:textId="77777777" w:rsidR="00D83E33" w:rsidRPr="00E837F2" w:rsidRDefault="00D83E33">
            <w:pPr>
              <w:widowControl w:val="0"/>
              <w:jc w:val="right"/>
            </w:pPr>
          </w:p>
        </w:tc>
        <w:tc>
          <w:tcPr>
            <w:tcW w:w="601" w:type="pct"/>
            <w:vAlign w:val="bottom"/>
          </w:tcPr>
          <w:p w14:paraId="4EEA1FC0" w14:textId="77777777" w:rsidR="00D83E33" w:rsidRPr="00E837F2" w:rsidRDefault="00D83E33">
            <w:pPr>
              <w:widowControl w:val="0"/>
              <w:jc w:val="right"/>
            </w:pPr>
          </w:p>
        </w:tc>
        <w:tc>
          <w:tcPr>
            <w:tcW w:w="640" w:type="pct"/>
            <w:shd w:val="clear" w:color="auto" w:fill="auto"/>
            <w:vAlign w:val="bottom"/>
          </w:tcPr>
          <w:p w14:paraId="06D0F939" w14:textId="77777777" w:rsidR="00D83E33" w:rsidRPr="00E837F2" w:rsidRDefault="00D83E33">
            <w:pPr>
              <w:widowControl w:val="0"/>
              <w:jc w:val="right"/>
            </w:pPr>
          </w:p>
        </w:tc>
        <w:tc>
          <w:tcPr>
            <w:tcW w:w="599" w:type="pct"/>
            <w:shd w:val="clear" w:color="auto" w:fill="auto"/>
            <w:vAlign w:val="bottom"/>
          </w:tcPr>
          <w:p w14:paraId="19F5A579" w14:textId="77777777" w:rsidR="00D83E33" w:rsidRPr="00E837F2" w:rsidRDefault="00D83E33">
            <w:pPr>
              <w:widowControl w:val="0"/>
              <w:jc w:val="right"/>
            </w:pPr>
          </w:p>
        </w:tc>
      </w:tr>
      <w:tr w:rsidR="00D83E33" w:rsidRPr="00E837F2" w14:paraId="1ECCEFCF" w14:textId="77777777" w:rsidTr="00443AF2">
        <w:trPr>
          <w:trHeight w:val="23"/>
        </w:trPr>
        <w:tc>
          <w:tcPr>
            <w:tcW w:w="1358" w:type="pct"/>
            <w:shd w:val="clear" w:color="auto" w:fill="auto"/>
            <w:vAlign w:val="bottom"/>
          </w:tcPr>
          <w:p w14:paraId="63C33DC8" w14:textId="77777777" w:rsidR="00D83E33" w:rsidRPr="00FE3A14" w:rsidRDefault="00BC4072">
            <w:pPr>
              <w:widowControl w:val="0"/>
              <w:ind w:left="113" w:hanging="113"/>
            </w:pPr>
            <w:r w:rsidRPr="00FE3A14">
              <w:t>Specialised lending</w:t>
            </w:r>
          </w:p>
        </w:tc>
        <w:tc>
          <w:tcPr>
            <w:tcW w:w="600" w:type="pct"/>
            <w:vAlign w:val="bottom"/>
          </w:tcPr>
          <w:p w14:paraId="54261E90" w14:textId="77777777" w:rsidR="00D83E33" w:rsidRPr="00E837F2" w:rsidRDefault="00D83E33">
            <w:pPr>
              <w:widowControl w:val="0"/>
              <w:jc w:val="right"/>
            </w:pPr>
          </w:p>
        </w:tc>
        <w:tc>
          <w:tcPr>
            <w:tcW w:w="600" w:type="pct"/>
            <w:vAlign w:val="bottom"/>
          </w:tcPr>
          <w:p w14:paraId="556F4C48" w14:textId="77777777" w:rsidR="00D83E33" w:rsidRPr="00E837F2" w:rsidRDefault="00D83E33">
            <w:pPr>
              <w:widowControl w:val="0"/>
              <w:jc w:val="right"/>
            </w:pPr>
          </w:p>
        </w:tc>
        <w:tc>
          <w:tcPr>
            <w:tcW w:w="602" w:type="pct"/>
            <w:vAlign w:val="bottom"/>
          </w:tcPr>
          <w:p w14:paraId="29CE5B6C" w14:textId="77777777" w:rsidR="00D83E33" w:rsidRPr="00E837F2" w:rsidRDefault="00D83E33">
            <w:pPr>
              <w:widowControl w:val="0"/>
              <w:jc w:val="right"/>
            </w:pPr>
          </w:p>
        </w:tc>
        <w:tc>
          <w:tcPr>
            <w:tcW w:w="601" w:type="pct"/>
            <w:vAlign w:val="bottom"/>
          </w:tcPr>
          <w:p w14:paraId="6C95FBF9" w14:textId="77777777" w:rsidR="00D83E33" w:rsidRPr="00E837F2" w:rsidRDefault="00D83E33">
            <w:pPr>
              <w:widowControl w:val="0"/>
              <w:jc w:val="right"/>
            </w:pPr>
          </w:p>
        </w:tc>
        <w:tc>
          <w:tcPr>
            <w:tcW w:w="640" w:type="pct"/>
            <w:shd w:val="clear" w:color="auto" w:fill="auto"/>
            <w:vAlign w:val="bottom"/>
          </w:tcPr>
          <w:p w14:paraId="50F07312" w14:textId="77777777" w:rsidR="00D83E33" w:rsidRPr="00E837F2" w:rsidRDefault="00D83E33">
            <w:pPr>
              <w:widowControl w:val="0"/>
              <w:jc w:val="right"/>
            </w:pPr>
          </w:p>
        </w:tc>
        <w:tc>
          <w:tcPr>
            <w:tcW w:w="599" w:type="pct"/>
            <w:shd w:val="clear" w:color="auto" w:fill="auto"/>
            <w:vAlign w:val="bottom"/>
          </w:tcPr>
          <w:p w14:paraId="337B5DDE" w14:textId="77777777" w:rsidR="00D83E33" w:rsidRPr="00E837F2" w:rsidRDefault="00D83E33">
            <w:pPr>
              <w:widowControl w:val="0"/>
              <w:jc w:val="right"/>
            </w:pPr>
          </w:p>
        </w:tc>
      </w:tr>
      <w:tr w:rsidR="00D83E33" w:rsidRPr="00E837F2" w14:paraId="4C3CDF7D" w14:textId="77777777" w:rsidTr="00443AF2">
        <w:trPr>
          <w:trHeight w:val="23"/>
        </w:trPr>
        <w:tc>
          <w:tcPr>
            <w:tcW w:w="1358" w:type="pct"/>
            <w:shd w:val="clear" w:color="auto" w:fill="auto"/>
            <w:vAlign w:val="bottom"/>
          </w:tcPr>
          <w:p w14:paraId="371889BA" w14:textId="77777777" w:rsidR="00D83E33" w:rsidRPr="00FE3A14" w:rsidRDefault="00BC4072">
            <w:pPr>
              <w:widowControl w:val="0"/>
              <w:ind w:left="113" w:hanging="113"/>
            </w:pPr>
            <w:r w:rsidRPr="00FE3A14">
              <w:t>Loans to sovereigns</w:t>
            </w:r>
          </w:p>
        </w:tc>
        <w:tc>
          <w:tcPr>
            <w:tcW w:w="600" w:type="pct"/>
            <w:vAlign w:val="bottom"/>
          </w:tcPr>
          <w:p w14:paraId="436880E2" w14:textId="77777777" w:rsidR="00D83E33" w:rsidRPr="00E837F2" w:rsidRDefault="00D83E33">
            <w:pPr>
              <w:widowControl w:val="0"/>
              <w:jc w:val="right"/>
            </w:pPr>
          </w:p>
        </w:tc>
        <w:tc>
          <w:tcPr>
            <w:tcW w:w="600" w:type="pct"/>
            <w:vAlign w:val="bottom"/>
          </w:tcPr>
          <w:p w14:paraId="1B252F8D" w14:textId="77777777" w:rsidR="00D83E33" w:rsidRPr="00E837F2" w:rsidRDefault="00D83E33">
            <w:pPr>
              <w:widowControl w:val="0"/>
              <w:jc w:val="right"/>
            </w:pPr>
          </w:p>
        </w:tc>
        <w:tc>
          <w:tcPr>
            <w:tcW w:w="602" w:type="pct"/>
            <w:vAlign w:val="bottom"/>
          </w:tcPr>
          <w:p w14:paraId="7C9DF8B4" w14:textId="77777777" w:rsidR="00D83E33" w:rsidRPr="00E837F2" w:rsidRDefault="00D83E33">
            <w:pPr>
              <w:widowControl w:val="0"/>
              <w:jc w:val="right"/>
            </w:pPr>
          </w:p>
        </w:tc>
        <w:tc>
          <w:tcPr>
            <w:tcW w:w="601" w:type="pct"/>
            <w:vAlign w:val="bottom"/>
          </w:tcPr>
          <w:p w14:paraId="535B1257" w14:textId="77777777" w:rsidR="00D83E33" w:rsidRPr="00E837F2" w:rsidRDefault="00D83E33">
            <w:pPr>
              <w:widowControl w:val="0"/>
              <w:jc w:val="right"/>
            </w:pPr>
          </w:p>
        </w:tc>
        <w:tc>
          <w:tcPr>
            <w:tcW w:w="640" w:type="pct"/>
            <w:shd w:val="clear" w:color="auto" w:fill="auto"/>
            <w:vAlign w:val="bottom"/>
          </w:tcPr>
          <w:p w14:paraId="67DB84AC" w14:textId="77777777" w:rsidR="00D83E33" w:rsidRPr="00E837F2" w:rsidRDefault="00D83E33">
            <w:pPr>
              <w:widowControl w:val="0"/>
              <w:jc w:val="right"/>
            </w:pPr>
          </w:p>
        </w:tc>
        <w:tc>
          <w:tcPr>
            <w:tcW w:w="599" w:type="pct"/>
            <w:shd w:val="clear" w:color="auto" w:fill="auto"/>
            <w:vAlign w:val="bottom"/>
          </w:tcPr>
          <w:p w14:paraId="6B7D97FE" w14:textId="77777777" w:rsidR="00D83E33" w:rsidRPr="00E837F2" w:rsidRDefault="00D83E33">
            <w:pPr>
              <w:widowControl w:val="0"/>
              <w:jc w:val="right"/>
            </w:pPr>
          </w:p>
        </w:tc>
      </w:tr>
      <w:tr w:rsidR="00D83E33" w:rsidRPr="00E837F2" w14:paraId="7B799929" w14:textId="77777777" w:rsidTr="00443AF2">
        <w:trPr>
          <w:trHeight w:val="23"/>
        </w:trPr>
        <w:tc>
          <w:tcPr>
            <w:tcW w:w="1358" w:type="pct"/>
            <w:shd w:val="clear" w:color="auto" w:fill="auto"/>
            <w:vAlign w:val="bottom"/>
          </w:tcPr>
          <w:p w14:paraId="56568DC2" w14:textId="77777777" w:rsidR="00D83E33" w:rsidRPr="00FE3A14" w:rsidRDefault="00BC4072">
            <w:pPr>
              <w:widowControl w:val="0"/>
              <w:ind w:left="113" w:hanging="113"/>
            </w:pPr>
            <w:r w:rsidRPr="00FE3A14">
              <w:t>Loans to sub-sovereigns</w:t>
            </w:r>
          </w:p>
        </w:tc>
        <w:tc>
          <w:tcPr>
            <w:tcW w:w="600" w:type="pct"/>
            <w:vAlign w:val="bottom"/>
          </w:tcPr>
          <w:p w14:paraId="51893307" w14:textId="77777777" w:rsidR="00D83E33" w:rsidRPr="00E837F2" w:rsidRDefault="00D83E33">
            <w:pPr>
              <w:widowControl w:val="0"/>
              <w:jc w:val="right"/>
            </w:pPr>
          </w:p>
        </w:tc>
        <w:tc>
          <w:tcPr>
            <w:tcW w:w="600" w:type="pct"/>
            <w:vAlign w:val="bottom"/>
          </w:tcPr>
          <w:p w14:paraId="17776E6F" w14:textId="77777777" w:rsidR="00D83E33" w:rsidRPr="00E837F2" w:rsidRDefault="00D83E33">
            <w:pPr>
              <w:widowControl w:val="0"/>
              <w:jc w:val="right"/>
            </w:pPr>
          </w:p>
        </w:tc>
        <w:tc>
          <w:tcPr>
            <w:tcW w:w="602" w:type="pct"/>
            <w:vAlign w:val="bottom"/>
          </w:tcPr>
          <w:p w14:paraId="5BD45876" w14:textId="77777777" w:rsidR="00D83E33" w:rsidRPr="00E837F2" w:rsidRDefault="00D83E33">
            <w:pPr>
              <w:widowControl w:val="0"/>
              <w:jc w:val="right"/>
            </w:pPr>
          </w:p>
        </w:tc>
        <w:tc>
          <w:tcPr>
            <w:tcW w:w="601" w:type="pct"/>
            <w:vAlign w:val="bottom"/>
          </w:tcPr>
          <w:p w14:paraId="7C529349" w14:textId="77777777" w:rsidR="00D83E33" w:rsidRPr="00E837F2" w:rsidRDefault="00D83E33">
            <w:pPr>
              <w:widowControl w:val="0"/>
              <w:jc w:val="right"/>
            </w:pPr>
          </w:p>
        </w:tc>
        <w:tc>
          <w:tcPr>
            <w:tcW w:w="640" w:type="pct"/>
            <w:shd w:val="clear" w:color="auto" w:fill="auto"/>
            <w:vAlign w:val="bottom"/>
          </w:tcPr>
          <w:p w14:paraId="06E9515B" w14:textId="77777777" w:rsidR="00D83E33" w:rsidRPr="00E837F2" w:rsidRDefault="00D83E33">
            <w:pPr>
              <w:widowControl w:val="0"/>
              <w:jc w:val="right"/>
            </w:pPr>
          </w:p>
        </w:tc>
        <w:tc>
          <w:tcPr>
            <w:tcW w:w="599" w:type="pct"/>
            <w:shd w:val="clear" w:color="auto" w:fill="auto"/>
            <w:vAlign w:val="bottom"/>
          </w:tcPr>
          <w:p w14:paraId="3FE2D106" w14:textId="77777777" w:rsidR="00D83E33" w:rsidRPr="00E837F2" w:rsidRDefault="00D83E33">
            <w:pPr>
              <w:widowControl w:val="0"/>
              <w:jc w:val="right"/>
            </w:pPr>
          </w:p>
        </w:tc>
      </w:tr>
      <w:tr w:rsidR="00D83E33" w:rsidRPr="00E837F2" w14:paraId="3716F295" w14:textId="77777777" w:rsidTr="00443AF2">
        <w:trPr>
          <w:trHeight w:val="23"/>
        </w:trPr>
        <w:tc>
          <w:tcPr>
            <w:tcW w:w="1358" w:type="pct"/>
            <w:shd w:val="clear" w:color="auto" w:fill="auto"/>
            <w:vAlign w:val="bottom"/>
          </w:tcPr>
          <w:p w14:paraId="02F5ACC3" w14:textId="77777777" w:rsidR="00D83E33" w:rsidRPr="00FE3A14" w:rsidRDefault="00BC4072">
            <w:pPr>
              <w:widowControl w:val="0"/>
              <w:ind w:left="113" w:hanging="113"/>
            </w:pPr>
            <w:r w:rsidRPr="00FE3A14">
              <w:t>Loans to SME</w:t>
            </w:r>
          </w:p>
        </w:tc>
        <w:tc>
          <w:tcPr>
            <w:tcW w:w="600" w:type="pct"/>
            <w:vAlign w:val="bottom"/>
          </w:tcPr>
          <w:p w14:paraId="25F179DA" w14:textId="77777777" w:rsidR="00D83E33" w:rsidRPr="00E837F2" w:rsidRDefault="00D83E33">
            <w:pPr>
              <w:widowControl w:val="0"/>
              <w:jc w:val="right"/>
            </w:pPr>
          </w:p>
        </w:tc>
        <w:tc>
          <w:tcPr>
            <w:tcW w:w="600" w:type="pct"/>
            <w:vAlign w:val="bottom"/>
          </w:tcPr>
          <w:p w14:paraId="3BDC5ED7" w14:textId="77777777" w:rsidR="00D83E33" w:rsidRPr="00E837F2" w:rsidRDefault="00D83E33">
            <w:pPr>
              <w:widowControl w:val="0"/>
              <w:jc w:val="right"/>
            </w:pPr>
          </w:p>
        </w:tc>
        <w:tc>
          <w:tcPr>
            <w:tcW w:w="602" w:type="pct"/>
            <w:vAlign w:val="bottom"/>
          </w:tcPr>
          <w:p w14:paraId="102F22E5" w14:textId="77777777" w:rsidR="00D83E33" w:rsidRPr="00E837F2" w:rsidRDefault="00D83E33">
            <w:pPr>
              <w:widowControl w:val="0"/>
              <w:jc w:val="right"/>
            </w:pPr>
          </w:p>
        </w:tc>
        <w:tc>
          <w:tcPr>
            <w:tcW w:w="601" w:type="pct"/>
            <w:vAlign w:val="bottom"/>
          </w:tcPr>
          <w:p w14:paraId="7B5A54EC" w14:textId="77777777" w:rsidR="00D83E33" w:rsidRPr="00E837F2" w:rsidRDefault="00D83E33">
            <w:pPr>
              <w:widowControl w:val="0"/>
              <w:jc w:val="right"/>
            </w:pPr>
          </w:p>
        </w:tc>
        <w:tc>
          <w:tcPr>
            <w:tcW w:w="640" w:type="pct"/>
            <w:shd w:val="clear" w:color="auto" w:fill="auto"/>
            <w:vAlign w:val="bottom"/>
          </w:tcPr>
          <w:p w14:paraId="5378E89B" w14:textId="77777777" w:rsidR="00D83E33" w:rsidRPr="00E837F2" w:rsidRDefault="00D83E33">
            <w:pPr>
              <w:widowControl w:val="0"/>
              <w:jc w:val="right"/>
            </w:pPr>
          </w:p>
        </w:tc>
        <w:tc>
          <w:tcPr>
            <w:tcW w:w="599" w:type="pct"/>
            <w:shd w:val="clear" w:color="auto" w:fill="auto"/>
            <w:vAlign w:val="bottom"/>
          </w:tcPr>
          <w:p w14:paraId="60805A59" w14:textId="77777777" w:rsidR="00D83E33" w:rsidRPr="00E837F2" w:rsidRDefault="00D83E33">
            <w:pPr>
              <w:widowControl w:val="0"/>
              <w:jc w:val="right"/>
            </w:pPr>
          </w:p>
        </w:tc>
      </w:tr>
      <w:tr w:rsidR="00D83E33" w:rsidRPr="00E837F2" w14:paraId="12366E83" w14:textId="77777777" w:rsidTr="00443AF2">
        <w:trPr>
          <w:trHeight w:val="23"/>
        </w:trPr>
        <w:tc>
          <w:tcPr>
            <w:tcW w:w="1358" w:type="pct"/>
            <w:shd w:val="clear" w:color="auto" w:fill="auto"/>
            <w:vAlign w:val="bottom"/>
          </w:tcPr>
          <w:p w14:paraId="06650756" w14:textId="77777777" w:rsidR="00387477" w:rsidRPr="00FE3A14" w:rsidRDefault="00BC4072">
            <w:pPr>
              <w:widowControl w:val="0"/>
              <w:ind w:left="113" w:hanging="113"/>
            </w:pPr>
            <w:r w:rsidRPr="00FE3A14">
              <w:t>Loans to leasing companies</w:t>
            </w:r>
          </w:p>
        </w:tc>
        <w:tc>
          <w:tcPr>
            <w:tcW w:w="600" w:type="pct"/>
            <w:vAlign w:val="bottom"/>
          </w:tcPr>
          <w:p w14:paraId="6CD73379" w14:textId="77777777" w:rsidR="00D83E33" w:rsidRPr="00E837F2" w:rsidRDefault="00D83E33">
            <w:pPr>
              <w:widowControl w:val="0"/>
              <w:jc w:val="right"/>
            </w:pPr>
          </w:p>
        </w:tc>
        <w:tc>
          <w:tcPr>
            <w:tcW w:w="600" w:type="pct"/>
            <w:vAlign w:val="bottom"/>
          </w:tcPr>
          <w:p w14:paraId="16DEA2DE" w14:textId="77777777" w:rsidR="00D83E33" w:rsidRPr="00E837F2" w:rsidRDefault="00D83E33">
            <w:pPr>
              <w:widowControl w:val="0"/>
              <w:jc w:val="right"/>
            </w:pPr>
          </w:p>
        </w:tc>
        <w:tc>
          <w:tcPr>
            <w:tcW w:w="602" w:type="pct"/>
            <w:vAlign w:val="bottom"/>
          </w:tcPr>
          <w:p w14:paraId="761AE680" w14:textId="77777777" w:rsidR="00D83E33" w:rsidRPr="00E837F2" w:rsidRDefault="00D83E33">
            <w:pPr>
              <w:widowControl w:val="0"/>
              <w:jc w:val="right"/>
            </w:pPr>
          </w:p>
        </w:tc>
        <w:tc>
          <w:tcPr>
            <w:tcW w:w="601" w:type="pct"/>
            <w:vAlign w:val="bottom"/>
          </w:tcPr>
          <w:p w14:paraId="0109C420" w14:textId="77777777" w:rsidR="00D83E33" w:rsidRPr="00E837F2" w:rsidRDefault="00D83E33">
            <w:pPr>
              <w:widowControl w:val="0"/>
              <w:jc w:val="right"/>
            </w:pPr>
          </w:p>
        </w:tc>
        <w:tc>
          <w:tcPr>
            <w:tcW w:w="640" w:type="pct"/>
            <w:shd w:val="clear" w:color="auto" w:fill="auto"/>
            <w:vAlign w:val="bottom"/>
          </w:tcPr>
          <w:p w14:paraId="6EB5AA68" w14:textId="77777777" w:rsidR="00D83E33" w:rsidRPr="00E837F2" w:rsidRDefault="00D83E33">
            <w:pPr>
              <w:widowControl w:val="0"/>
              <w:jc w:val="right"/>
            </w:pPr>
          </w:p>
        </w:tc>
        <w:tc>
          <w:tcPr>
            <w:tcW w:w="599" w:type="pct"/>
            <w:shd w:val="clear" w:color="auto" w:fill="auto"/>
            <w:vAlign w:val="bottom"/>
          </w:tcPr>
          <w:p w14:paraId="4A574D1F" w14:textId="77777777" w:rsidR="00D83E33" w:rsidRPr="00E837F2" w:rsidRDefault="00D83E33">
            <w:pPr>
              <w:widowControl w:val="0"/>
              <w:jc w:val="right"/>
            </w:pPr>
          </w:p>
        </w:tc>
      </w:tr>
      <w:tr w:rsidR="00D83E33" w:rsidRPr="00E837F2" w14:paraId="103956A8" w14:textId="77777777" w:rsidTr="00443AF2">
        <w:trPr>
          <w:trHeight w:val="23"/>
        </w:trPr>
        <w:tc>
          <w:tcPr>
            <w:tcW w:w="1358" w:type="pct"/>
            <w:shd w:val="clear" w:color="auto" w:fill="auto"/>
            <w:vAlign w:val="bottom"/>
          </w:tcPr>
          <w:p w14:paraId="4D3A5FAC" w14:textId="07F791AF" w:rsidR="00D83E33" w:rsidRPr="00FE3A14" w:rsidRDefault="00BC4072">
            <w:pPr>
              <w:widowControl w:val="0"/>
              <w:ind w:left="113" w:hanging="113"/>
            </w:pPr>
            <w:r w:rsidRPr="00FE3A14">
              <w:t xml:space="preserve">Reverse sale and repurchase agreements </w:t>
            </w:r>
          </w:p>
        </w:tc>
        <w:tc>
          <w:tcPr>
            <w:tcW w:w="600" w:type="pct"/>
            <w:vAlign w:val="bottom"/>
          </w:tcPr>
          <w:p w14:paraId="53751948" w14:textId="77777777" w:rsidR="00D83E33" w:rsidRPr="00E837F2" w:rsidRDefault="00D83E33">
            <w:pPr>
              <w:widowControl w:val="0"/>
              <w:jc w:val="right"/>
            </w:pPr>
          </w:p>
        </w:tc>
        <w:tc>
          <w:tcPr>
            <w:tcW w:w="600" w:type="pct"/>
            <w:vAlign w:val="bottom"/>
          </w:tcPr>
          <w:p w14:paraId="4E57CA27" w14:textId="77777777" w:rsidR="00D83E33" w:rsidRPr="00E837F2" w:rsidRDefault="00D83E33">
            <w:pPr>
              <w:widowControl w:val="0"/>
              <w:jc w:val="right"/>
            </w:pPr>
          </w:p>
        </w:tc>
        <w:tc>
          <w:tcPr>
            <w:tcW w:w="602" w:type="pct"/>
            <w:vAlign w:val="bottom"/>
          </w:tcPr>
          <w:p w14:paraId="18F322B2" w14:textId="77777777" w:rsidR="00D83E33" w:rsidRPr="00E837F2" w:rsidRDefault="00D83E33">
            <w:pPr>
              <w:widowControl w:val="0"/>
              <w:jc w:val="right"/>
            </w:pPr>
          </w:p>
        </w:tc>
        <w:tc>
          <w:tcPr>
            <w:tcW w:w="601" w:type="pct"/>
            <w:vAlign w:val="bottom"/>
          </w:tcPr>
          <w:p w14:paraId="4286C90D" w14:textId="77777777" w:rsidR="00D83E33" w:rsidRPr="00E837F2" w:rsidRDefault="00D83E33">
            <w:pPr>
              <w:widowControl w:val="0"/>
              <w:jc w:val="right"/>
            </w:pPr>
          </w:p>
        </w:tc>
        <w:tc>
          <w:tcPr>
            <w:tcW w:w="640" w:type="pct"/>
            <w:shd w:val="clear" w:color="auto" w:fill="auto"/>
            <w:vAlign w:val="bottom"/>
          </w:tcPr>
          <w:p w14:paraId="47DBCF04" w14:textId="77777777" w:rsidR="00D83E33" w:rsidRPr="00E837F2" w:rsidRDefault="00D83E33">
            <w:pPr>
              <w:widowControl w:val="0"/>
              <w:jc w:val="right"/>
            </w:pPr>
          </w:p>
        </w:tc>
        <w:tc>
          <w:tcPr>
            <w:tcW w:w="599" w:type="pct"/>
            <w:shd w:val="clear" w:color="auto" w:fill="auto"/>
            <w:vAlign w:val="bottom"/>
          </w:tcPr>
          <w:p w14:paraId="56A19761" w14:textId="77777777" w:rsidR="00D83E33" w:rsidRPr="00E837F2" w:rsidRDefault="00D83E33">
            <w:pPr>
              <w:widowControl w:val="0"/>
              <w:jc w:val="right"/>
            </w:pPr>
          </w:p>
        </w:tc>
      </w:tr>
      <w:tr w:rsidR="00D83E33" w:rsidRPr="00443AF2" w14:paraId="194862F9" w14:textId="77777777" w:rsidTr="00443AF2">
        <w:trPr>
          <w:trHeight w:val="23"/>
        </w:trPr>
        <w:tc>
          <w:tcPr>
            <w:tcW w:w="1358" w:type="pct"/>
            <w:shd w:val="clear" w:color="auto" w:fill="auto"/>
            <w:vAlign w:val="bottom"/>
          </w:tcPr>
          <w:p w14:paraId="02BE2C86" w14:textId="77777777" w:rsidR="00D83E33" w:rsidRPr="00443AF2" w:rsidRDefault="00D83E33">
            <w:pPr>
              <w:widowControl w:val="0"/>
              <w:pBdr>
                <w:top w:val="nil"/>
                <w:left w:val="nil"/>
                <w:bottom w:val="nil"/>
                <w:right w:val="nil"/>
                <w:between w:val="nil"/>
              </w:pBdr>
              <w:ind w:left="113" w:hanging="113"/>
              <w:rPr>
                <w:color w:val="000000"/>
                <w:sz w:val="13"/>
                <w:szCs w:val="13"/>
              </w:rPr>
            </w:pPr>
          </w:p>
        </w:tc>
        <w:tc>
          <w:tcPr>
            <w:tcW w:w="600" w:type="pct"/>
            <w:vAlign w:val="bottom"/>
          </w:tcPr>
          <w:p w14:paraId="54BEBAB7"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00" w:type="pct"/>
            <w:vAlign w:val="bottom"/>
          </w:tcPr>
          <w:p w14:paraId="340DD480"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02" w:type="pct"/>
            <w:vAlign w:val="bottom"/>
          </w:tcPr>
          <w:p w14:paraId="119E1110"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01" w:type="pct"/>
            <w:vAlign w:val="bottom"/>
          </w:tcPr>
          <w:p w14:paraId="78014F20"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40" w:type="pct"/>
            <w:shd w:val="clear" w:color="auto" w:fill="auto"/>
            <w:vAlign w:val="bottom"/>
          </w:tcPr>
          <w:p w14:paraId="6545874B"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599" w:type="pct"/>
            <w:shd w:val="clear" w:color="auto" w:fill="auto"/>
            <w:vAlign w:val="bottom"/>
          </w:tcPr>
          <w:p w14:paraId="37642E13" w14:textId="77777777" w:rsidR="00D83E33" w:rsidRPr="00443AF2" w:rsidRDefault="00D83E33">
            <w:pPr>
              <w:widowControl w:val="0"/>
              <w:pBdr>
                <w:top w:val="nil"/>
                <w:left w:val="nil"/>
                <w:bottom w:val="nil"/>
                <w:right w:val="nil"/>
                <w:between w:val="nil"/>
              </w:pBdr>
              <w:jc w:val="right"/>
              <w:rPr>
                <w:color w:val="000000"/>
                <w:sz w:val="13"/>
                <w:szCs w:val="13"/>
              </w:rPr>
            </w:pPr>
          </w:p>
        </w:tc>
      </w:tr>
      <w:tr w:rsidR="00D83E33" w:rsidRPr="00E837F2" w14:paraId="0511D57D" w14:textId="77777777" w:rsidTr="00443AF2">
        <w:trPr>
          <w:trHeight w:val="23"/>
        </w:trPr>
        <w:tc>
          <w:tcPr>
            <w:tcW w:w="1358" w:type="pct"/>
            <w:shd w:val="clear" w:color="auto" w:fill="auto"/>
            <w:vAlign w:val="bottom"/>
          </w:tcPr>
          <w:p w14:paraId="0909BCA8" w14:textId="77777777" w:rsidR="00D83E33" w:rsidRPr="00FE3A14" w:rsidRDefault="00BC4072">
            <w:pPr>
              <w:widowControl w:val="0"/>
              <w:ind w:left="113" w:hanging="113"/>
            </w:pPr>
            <w:r w:rsidRPr="00FE3A14">
              <w:rPr>
                <w:i/>
              </w:rPr>
              <w:t>Loans to individuals</w:t>
            </w:r>
          </w:p>
        </w:tc>
        <w:tc>
          <w:tcPr>
            <w:tcW w:w="600" w:type="pct"/>
            <w:vAlign w:val="bottom"/>
          </w:tcPr>
          <w:p w14:paraId="55973679" w14:textId="77777777" w:rsidR="00D83E33" w:rsidRPr="00E837F2" w:rsidRDefault="00D83E33">
            <w:pPr>
              <w:widowControl w:val="0"/>
              <w:pBdr>
                <w:top w:val="nil"/>
                <w:left w:val="nil"/>
                <w:bottom w:val="nil"/>
                <w:right w:val="nil"/>
                <w:between w:val="nil"/>
              </w:pBdr>
              <w:jc w:val="right"/>
              <w:rPr>
                <w:color w:val="000000"/>
              </w:rPr>
            </w:pPr>
          </w:p>
        </w:tc>
        <w:tc>
          <w:tcPr>
            <w:tcW w:w="600" w:type="pct"/>
            <w:vAlign w:val="bottom"/>
          </w:tcPr>
          <w:p w14:paraId="251197B3" w14:textId="77777777" w:rsidR="00D83E33" w:rsidRPr="00E837F2" w:rsidRDefault="00D83E33">
            <w:pPr>
              <w:widowControl w:val="0"/>
              <w:pBdr>
                <w:top w:val="nil"/>
                <w:left w:val="nil"/>
                <w:bottom w:val="nil"/>
                <w:right w:val="nil"/>
                <w:between w:val="nil"/>
              </w:pBdr>
              <w:jc w:val="right"/>
              <w:rPr>
                <w:color w:val="000000"/>
              </w:rPr>
            </w:pPr>
          </w:p>
        </w:tc>
        <w:tc>
          <w:tcPr>
            <w:tcW w:w="602" w:type="pct"/>
            <w:vAlign w:val="bottom"/>
          </w:tcPr>
          <w:p w14:paraId="2EF57C67" w14:textId="77777777" w:rsidR="00D83E33" w:rsidRPr="00E837F2" w:rsidRDefault="00D83E33">
            <w:pPr>
              <w:widowControl w:val="0"/>
              <w:pBdr>
                <w:top w:val="nil"/>
                <w:left w:val="nil"/>
                <w:bottom w:val="nil"/>
                <w:right w:val="nil"/>
                <w:between w:val="nil"/>
              </w:pBdr>
              <w:jc w:val="right"/>
              <w:rPr>
                <w:color w:val="000000"/>
              </w:rPr>
            </w:pPr>
          </w:p>
        </w:tc>
        <w:tc>
          <w:tcPr>
            <w:tcW w:w="601" w:type="pct"/>
            <w:vAlign w:val="bottom"/>
          </w:tcPr>
          <w:p w14:paraId="1AB2551C" w14:textId="77777777" w:rsidR="00D83E33" w:rsidRPr="00E837F2" w:rsidRDefault="00D83E33">
            <w:pPr>
              <w:widowControl w:val="0"/>
              <w:pBdr>
                <w:top w:val="nil"/>
                <w:left w:val="nil"/>
                <w:bottom w:val="nil"/>
                <w:right w:val="nil"/>
                <w:between w:val="nil"/>
              </w:pBdr>
              <w:jc w:val="right"/>
              <w:rPr>
                <w:color w:val="000000"/>
              </w:rPr>
            </w:pPr>
          </w:p>
        </w:tc>
        <w:tc>
          <w:tcPr>
            <w:tcW w:w="640" w:type="pct"/>
            <w:shd w:val="clear" w:color="auto" w:fill="auto"/>
            <w:vAlign w:val="bottom"/>
          </w:tcPr>
          <w:p w14:paraId="4677D6E8" w14:textId="77777777" w:rsidR="00D83E33" w:rsidRPr="00E837F2" w:rsidRDefault="00D83E33">
            <w:pPr>
              <w:widowControl w:val="0"/>
              <w:pBdr>
                <w:top w:val="nil"/>
                <w:left w:val="nil"/>
                <w:bottom w:val="nil"/>
                <w:right w:val="nil"/>
                <w:between w:val="nil"/>
              </w:pBdr>
              <w:jc w:val="right"/>
              <w:rPr>
                <w:color w:val="000000"/>
              </w:rPr>
            </w:pPr>
          </w:p>
        </w:tc>
        <w:tc>
          <w:tcPr>
            <w:tcW w:w="599" w:type="pct"/>
            <w:shd w:val="clear" w:color="auto" w:fill="auto"/>
            <w:vAlign w:val="bottom"/>
          </w:tcPr>
          <w:p w14:paraId="7E7C63E9" w14:textId="77777777" w:rsidR="00D83E33" w:rsidRPr="00E837F2" w:rsidRDefault="00D83E33">
            <w:pPr>
              <w:widowControl w:val="0"/>
              <w:pBdr>
                <w:top w:val="nil"/>
                <w:left w:val="nil"/>
                <w:bottom w:val="nil"/>
                <w:right w:val="nil"/>
                <w:between w:val="nil"/>
              </w:pBdr>
              <w:jc w:val="right"/>
              <w:rPr>
                <w:color w:val="000000"/>
              </w:rPr>
            </w:pPr>
          </w:p>
        </w:tc>
      </w:tr>
      <w:tr w:rsidR="00D83E33" w:rsidRPr="00443AF2" w14:paraId="6289231A" w14:textId="77777777" w:rsidTr="00443AF2">
        <w:trPr>
          <w:trHeight w:val="23"/>
        </w:trPr>
        <w:tc>
          <w:tcPr>
            <w:tcW w:w="1358" w:type="pct"/>
            <w:shd w:val="clear" w:color="auto" w:fill="auto"/>
            <w:vAlign w:val="bottom"/>
          </w:tcPr>
          <w:p w14:paraId="1837C8FF" w14:textId="77777777" w:rsidR="00D83E33" w:rsidRPr="00443AF2" w:rsidRDefault="00D83E33">
            <w:pPr>
              <w:widowControl w:val="0"/>
              <w:ind w:left="113" w:hanging="113"/>
              <w:rPr>
                <w:i/>
                <w:sz w:val="13"/>
                <w:szCs w:val="13"/>
              </w:rPr>
            </w:pPr>
          </w:p>
        </w:tc>
        <w:tc>
          <w:tcPr>
            <w:tcW w:w="600" w:type="pct"/>
            <w:vAlign w:val="bottom"/>
          </w:tcPr>
          <w:p w14:paraId="2F269509"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00" w:type="pct"/>
            <w:vAlign w:val="bottom"/>
          </w:tcPr>
          <w:p w14:paraId="76304F29"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02" w:type="pct"/>
            <w:vAlign w:val="bottom"/>
          </w:tcPr>
          <w:p w14:paraId="3659D061"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01" w:type="pct"/>
            <w:vAlign w:val="bottom"/>
          </w:tcPr>
          <w:p w14:paraId="2E9BF613"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40" w:type="pct"/>
            <w:shd w:val="clear" w:color="auto" w:fill="auto"/>
            <w:vAlign w:val="bottom"/>
          </w:tcPr>
          <w:p w14:paraId="303C12C4"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599" w:type="pct"/>
            <w:shd w:val="clear" w:color="auto" w:fill="auto"/>
            <w:vAlign w:val="bottom"/>
          </w:tcPr>
          <w:p w14:paraId="0BA8B735" w14:textId="77777777" w:rsidR="00D83E33" w:rsidRPr="00443AF2" w:rsidRDefault="00D83E33">
            <w:pPr>
              <w:widowControl w:val="0"/>
              <w:pBdr>
                <w:top w:val="nil"/>
                <w:left w:val="nil"/>
                <w:bottom w:val="nil"/>
                <w:right w:val="nil"/>
                <w:between w:val="nil"/>
              </w:pBdr>
              <w:jc w:val="right"/>
              <w:rPr>
                <w:color w:val="000000"/>
                <w:sz w:val="13"/>
                <w:szCs w:val="13"/>
              </w:rPr>
            </w:pPr>
          </w:p>
        </w:tc>
      </w:tr>
      <w:tr w:rsidR="00D83E33" w:rsidRPr="00E837F2" w14:paraId="0E64E5EF" w14:textId="77777777" w:rsidTr="00443AF2">
        <w:trPr>
          <w:trHeight w:val="23"/>
        </w:trPr>
        <w:tc>
          <w:tcPr>
            <w:tcW w:w="1358" w:type="pct"/>
            <w:shd w:val="clear" w:color="auto" w:fill="auto"/>
            <w:vAlign w:val="bottom"/>
          </w:tcPr>
          <w:p w14:paraId="421474C9" w14:textId="77777777" w:rsidR="00D83E33" w:rsidRPr="00FE3A14" w:rsidRDefault="00BC4072">
            <w:pPr>
              <w:widowControl w:val="0"/>
              <w:ind w:left="113" w:hanging="113"/>
            </w:pPr>
            <w:r w:rsidRPr="00FE3A14">
              <w:t xml:space="preserve">Mortgage loans </w:t>
            </w:r>
          </w:p>
        </w:tc>
        <w:tc>
          <w:tcPr>
            <w:tcW w:w="600" w:type="pct"/>
            <w:vAlign w:val="bottom"/>
          </w:tcPr>
          <w:p w14:paraId="25D122C8" w14:textId="77777777" w:rsidR="00D83E33" w:rsidRPr="00E837F2" w:rsidRDefault="00D83E33">
            <w:pPr>
              <w:widowControl w:val="0"/>
              <w:jc w:val="right"/>
            </w:pPr>
          </w:p>
        </w:tc>
        <w:tc>
          <w:tcPr>
            <w:tcW w:w="600" w:type="pct"/>
            <w:vAlign w:val="bottom"/>
          </w:tcPr>
          <w:p w14:paraId="63300B60" w14:textId="77777777" w:rsidR="00D83E33" w:rsidRPr="00E837F2" w:rsidRDefault="00D83E33">
            <w:pPr>
              <w:widowControl w:val="0"/>
              <w:jc w:val="right"/>
            </w:pPr>
          </w:p>
        </w:tc>
        <w:tc>
          <w:tcPr>
            <w:tcW w:w="602" w:type="pct"/>
            <w:vAlign w:val="bottom"/>
          </w:tcPr>
          <w:p w14:paraId="45314EF8" w14:textId="77777777" w:rsidR="00D83E33" w:rsidRPr="00E837F2" w:rsidRDefault="00D83E33">
            <w:pPr>
              <w:widowControl w:val="0"/>
              <w:jc w:val="right"/>
            </w:pPr>
          </w:p>
        </w:tc>
        <w:tc>
          <w:tcPr>
            <w:tcW w:w="601" w:type="pct"/>
            <w:vAlign w:val="bottom"/>
          </w:tcPr>
          <w:p w14:paraId="0FAF6BEB" w14:textId="77777777" w:rsidR="00D83E33" w:rsidRPr="00E837F2" w:rsidRDefault="00D83E33">
            <w:pPr>
              <w:widowControl w:val="0"/>
              <w:jc w:val="right"/>
            </w:pPr>
          </w:p>
        </w:tc>
        <w:tc>
          <w:tcPr>
            <w:tcW w:w="640" w:type="pct"/>
            <w:shd w:val="clear" w:color="auto" w:fill="auto"/>
            <w:vAlign w:val="bottom"/>
          </w:tcPr>
          <w:p w14:paraId="57CBD875" w14:textId="77777777" w:rsidR="00D83E33" w:rsidRPr="00E837F2" w:rsidRDefault="00D83E33">
            <w:pPr>
              <w:widowControl w:val="0"/>
              <w:jc w:val="right"/>
            </w:pPr>
          </w:p>
        </w:tc>
        <w:tc>
          <w:tcPr>
            <w:tcW w:w="599" w:type="pct"/>
            <w:shd w:val="clear" w:color="auto" w:fill="auto"/>
            <w:vAlign w:val="bottom"/>
          </w:tcPr>
          <w:p w14:paraId="423BE249" w14:textId="77777777" w:rsidR="00D83E33" w:rsidRPr="00E837F2" w:rsidRDefault="00D83E33">
            <w:pPr>
              <w:widowControl w:val="0"/>
              <w:jc w:val="right"/>
            </w:pPr>
          </w:p>
        </w:tc>
      </w:tr>
      <w:tr w:rsidR="00D83E33" w:rsidRPr="00E837F2" w14:paraId="23C6DC0A" w14:textId="77777777" w:rsidTr="00443AF2">
        <w:trPr>
          <w:trHeight w:val="23"/>
        </w:trPr>
        <w:tc>
          <w:tcPr>
            <w:tcW w:w="1358" w:type="pct"/>
            <w:shd w:val="clear" w:color="auto" w:fill="auto"/>
            <w:vAlign w:val="bottom"/>
          </w:tcPr>
          <w:p w14:paraId="4FD5CC61" w14:textId="77777777" w:rsidR="00D83E33" w:rsidRPr="00FE3A14" w:rsidRDefault="00BC4072">
            <w:pPr>
              <w:widowControl w:val="0"/>
              <w:ind w:left="113" w:hanging="113"/>
            </w:pPr>
            <w:r w:rsidRPr="00FE3A14">
              <w:t>Consumer loans</w:t>
            </w:r>
          </w:p>
        </w:tc>
        <w:tc>
          <w:tcPr>
            <w:tcW w:w="600" w:type="pct"/>
            <w:vAlign w:val="bottom"/>
          </w:tcPr>
          <w:p w14:paraId="580E74D0" w14:textId="77777777" w:rsidR="00D83E33" w:rsidRPr="00E837F2" w:rsidRDefault="00D83E33">
            <w:pPr>
              <w:widowControl w:val="0"/>
              <w:jc w:val="right"/>
            </w:pPr>
          </w:p>
        </w:tc>
        <w:tc>
          <w:tcPr>
            <w:tcW w:w="600" w:type="pct"/>
            <w:vAlign w:val="bottom"/>
          </w:tcPr>
          <w:p w14:paraId="3DA425A8" w14:textId="77777777" w:rsidR="00D83E33" w:rsidRPr="00E837F2" w:rsidRDefault="00D83E33">
            <w:pPr>
              <w:widowControl w:val="0"/>
              <w:jc w:val="right"/>
            </w:pPr>
          </w:p>
        </w:tc>
        <w:tc>
          <w:tcPr>
            <w:tcW w:w="602" w:type="pct"/>
            <w:vAlign w:val="bottom"/>
          </w:tcPr>
          <w:p w14:paraId="5D456C8E" w14:textId="77777777" w:rsidR="00D83E33" w:rsidRPr="00E837F2" w:rsidRDefault="00D83E33">
            <w:pPr>
              <w:widowControl w:val="0"/>
              <w:jc w:val="right"/>
            </w:pPr>
          </w:p>
        </w:tc>
        <w:tc>
          <w:tcPr>
            <w:tcW w:w="601" w:type="pct"/>
            <w:vAlign w:val="bottom"/>
          </w:tcPr>
          <w:p w14:paraId="4B626B36" w14:textId="77777777" w:rsidR="00D83E33" w:rsidRPr="00E837F2" w:rsidRDefault="00D83E33">
            <w:pPr>
              <w:widowControl w:val="0"/>
              <w:jc w:val="right"/>
            </w:pPr>
          </w:p>
        </w:tc>
        <w:tc>
          <w:tcPr>
            <w:tcW w:w="640" w:type="pct"/>
            <w:shd w:val="clear" w:color="auto" w:fill="auto"/>
            <w:vAlign w:val="bottom"/>
          </w:tcPr>
          <w:p w14:paraId="19B7D87A" w14:textId="77777777" w:rsidR="00D83E33" w:rsidRPr="00E837F2" w:rsidRDefault="00D83E33">
            <w:pPr>
              <w:widowControl w:val="0"/>
              <w:jc w:val="right"/>
            </w:pPr>
          </w:p>
        </w:tc>
        <w:tc>
          <w:tcPr>
            <w:tcW w:w="599" w:type="pct"/>
            <w:shd w:val="clear" w:color="auto" w:fill="auto"/>
            <w:vAlign w:val="bottom"/>
          </w:tcPr>
          <w:p w14:paraId="3CF87C57" w14:textId="77777777" w:rsidR="00D83E33" w:rsidRPr="00E837F2" w:rsidRDefault="00D83E33">
            <w:pPr>
              <w:widowControl w:val="0"/>
              <w:jc w:val="right"/>
            </w:pPr>
          </w:p>
        </w:tc>
      </w:tr>
      <w:tr w:rsidR="00D83E33" w:rsidRPr="00E837F2" w14:paraId="324729CC" w14:textId="77777777" w:rsidTr="00443AF2">
        <w:trPr>
          <w:trHeight w:val="23"/>
        </w:trPr>
        <w:tc>
          <w:tcPr>
            <w:tcW w:w="1358" w:type="pct"/>
            <w:shd w:val="clear" w:color="auto" w:fill="auto"/>
            <w:vAlign w:val="bottom"/>
          </w:tcPr>
          <w:p w14:paraId="1EF43B95" w14:textId="77777777" w:rsidR="00D83E33" w:rsidRPr="00FE3A14" w:rsidRDefault="00BC4072">
            <w:pPr>
              <w:widowControl w:val="0"/>
              <w:ind w:left="113" w:hanging="113"/>
            </w:pPr>
            <w:r w:rsidRPr="00FE3A14">
              <w:t>Car loans</w:t>
            </w:r>
          </w:p>
        </w:tc>
        <w:tc>
          <w:tcPr>
            <w:tcW w:w="600" w:type="pct"/>
            <w:vAlign w:val="bottom"/>
          </w:tcPr>
          <w:p w14:paraId="1A9E95B4" w14:textId="77777777" w:rsidR="00D83E33" w:rsidRPr="00E837F2" w:rsidRDefault="00D83E33">
            <w:pPr>
              <w:widowControl w:val="0"/>
              <w:jc w:val="right"/>
            </w:pPr>
          </w:p>
        </w:tc>
        <w:tc>
          <w:tcPr>
            <w:tcW w:w="600" w:type="pct"/>
            <w:vAlign w:val="bottom"/>
          </w:tcPr>
          <w:p w14:paraId="50E1D44F" w14:textId="77777777" w:rsidR="00D83E33" w:rsidRPr="00E837F2" w:rsidRDefault="00D83E33">
            <w:pPr>
              <w:widowControl w:val="0"/>
              <w:jc w:val="right"/>
            </w:pPr>
          </w:p>
        </w:tc>
        <w:tc>
          <w:tcPr>
            <w:tcW w:w="602" w:type="pct"/>
            <w:vAlign w:val="bottom"/>
          </w:tcPr>
          <w:p w14:paraId="029AC434" w14:textId="77777777" w:rsidR="00D83E33" w:rsidRPr="00E837F2" w:rsidRDefault="00D83E33">
            <w:pPr>
              <w:widowControl w:val="0"/>
              <w:jc w:val="right"/>
            </w:pPr>
          </w:p>
        </w:tc>
        <w:tc>
          <w:tcPr>
            <w:tcW w:w="601" w:type="pct"/>
            <w:vAlign w:val="bottom"/>
          </w:tcPr>
          <w:p w14:paraId="0665A8C8" w14:textId="77777777" w:rsidR="00D83E33" w:rsidRPr="00E837F2" w:rsidRDefault="00D83E33">
            <w:pPr>
              <w:widowControl w:val="0"/>
              <w:jc w:val="right"/>
            </w:pPr>
          </w:p>
        </w:tc>
        <w:tc>
          <w:tcPr>
            <w:tcW w:w="640" w:type="pct"/>
            <w:shd w:val="clear" w:color="auto" w:fill="auto"/>
            <w:vAlign w:val="bottom"/>
          </w:tcPr>
          <w:p w14:paraId="0508A261" w14:textId="77777777" w:rsidR="00D83E33" w:rsidRPr="00E837F2" w:rsidRDefault="00D83E33">
            <w:pPr>
              <w:widowControl w:val="0"/>
              <w:jc w:val="right"/>
            </w:pPr>
          </w:p>
        </w:tc>
        <w:tc>
          <w:tcPr>
            <w:tcW w:w="599" w:type="pct"/>
            <w:shd w:val="clear" w:color="auto" w:fill="auto"/>
            <w:vAlign w:val="bottom"/>
          </w:tcPr>
          <w:p w14:paraId="374A23AB" w14:textId="77777777" w:rsidR="00D83E33" w:rsidRPr="00E837F2" w:rsidRDefault="00D83E33">
            <w:pPr>
              <w:widowControl w:val="0"/>
              <w:jc w:val="right"/>
            </w:pPr>
          </w:p>
        </w:tc>
      </w:tr>
      <w:tr w:rsidR="00D83E33" w:rsidRPr="00E837F2" w14:paraId="1B9B283A" w14:textId="77777777" w:rsidTr="00443AF2">
        <w:trPr>
          <w:trHeight w:val="23"/>
        </w:trPr>
        <w:tc>
          <w:tcPr>
            <w:tcW w:w="1358" w:type="pct"/>
            <w:shd w:val="clear" w:color="auto" w:fill="auto"/>
            <w:vAlign w:val="bottom"/>
          </w:tcPr>
          <w:p w14:paraId="6F1B3F6A" w14:textId="755BBB91" w:rsidR="00D83E33" w:rsidRPr="00FE3A14" w:rsidRDefault="00BC4072">
            <w:pPr>
              <w:widowControl w:val="0"/>
              <w:ind w:left="113" w:hanging="113"/>
            </w:pPr>
            <w:r w:rsidRPr="00FE3A14">
              <w:t xml:space="preserve">Credit cards </w:t>
            </w:r>
          </w:p>
        </w:tc>
        <w:tc>
          <w:tcPr>
            <w:tcW w:w="600" w:type="pct"/>
            <w:vAlign w:val="bottom"/>
          </w:tcPr>
          <w:p w14:paraId="035CAA37" w14:textId="77777777" w:rsidR="00D83E33" w:rsidRPr="00E837F2" w:rsidRDefault="00D83E33">
            <w:pPr>
              <w:widowControl w:val="0"/>
              <w:jc w:val="right"/>
            </w:pPr>
          </w:p>
        </w:tc>
        <w:tc>
          <w:tcPr>
            <w:tcW w:w="600" w:type="pct"/>
            <w:vAlign w:val="bottom"/>
          </w:tcPr>
          <w:p w14:paraId="14FAB841" w14:textId="77777777" w:rsidR="00D83E33" w:rsidRPr="00E837F2" w:rsidRDefault="00D83E33">
            <w:pPr>
              <w:widowControl w:val="0"/>
              <w:jc w:val="right"/>
            </w:pPr>
          </w:p>
        </w:tc>
        <w:tc>
          <w:tcPr>
            <w:tcW w:w="602" w:type="pct"/>
            <w:vAlign w:val="bottom"/>
          </w:tcPr>
          <w:p w14:paraId="717B58E5" w14:textId="77777777" w:rsidR="00D83E33" w:rsidRPr="00E837F2" w:rsidRDefault="00D83E33">
            <w:pPr>
              <w:widowControl w:val="0"/>
              <w:jc w:val="right"/>
            </w:pPr>
          </w:p>
        </w:tc>
        <w:tc>
          <w:tcPr>
            <w:tcW w:w="601" w:type="pct"/>
            <w:vAlign w:val="bottom"/>
          </w:tcPr>
          <w:p w14:paraId="240E4DBE" w14:textId="77777777" w:rsidR="00D83E33" w:rsidRPr="00E837F2" w:rsidRDefault="00D83E33">
            <w:pPr>
              <w:widowControl w:val="0"/>
              <w:jc w:val="right"/>
            </w:pPr>
          </w:p>
        </w:tc>
        <w:tc>
          <w:tcPr>
            <w:tcW w:w="640" w:type="pct"/>
            <w:shd w:val="clear" w:color="auto" w:fill="auto"/>
            <w:vAlign w:val="bottom"/>
          </w:tcPr>
          <w:p w14:paraId="53C931F0" w14:textId="77777777" w:rsidR="00D83E33" w:rsidRPr="00E837F2" w:rsidRDefault="00D83E33">
            <w:pPr>
              <w:widowControl w:val="0"/>
              <w:jc w:val="right"/>
            </w:pPr>
          </w:p>
        </w:tc>
        <w:tc>
          <w:tcPr>
            <w:tcW w:w="599" w:type="pct"/>
            <w:shd w:val="clear" w:color="auto" w:fill="auto"/>
            <w:vAlign w:val="bottom"/>
          </w:tcPr>
          <w:p w14:paraId="688D9BB4" w14:textId="77777777" w:rsidR="00D83E33" w:rsidRPr="00E837F2" w:rsidRDefault="00D83E33">
            <w:pPr>
              <w:widowControl w:val="0"/>
              <w:jc w:val="right"/>
            </w:pPr>
          </w:p>
        </w:tc>
      </w:tr>
      <w:tr w:rsidR="00D83E33" w:rsidRPr="00443AF2" w14:paraId="5807E35B" w14:textId="77777777" w:rsidTr="00443AF2">
        <w:trPr>
          <w:trHeight w:val="23"/>
        </w:trPr>
        <w:tc>
          <w:tcPr>
            <w:tcW w:w="1358" w:type="pct"/>
            <w:tcBorders>
              <w:bottom w:val="single" w:sz="4" w:space="0" w:color="000000"/>
            </w:tcBorders>
            <w:shd w:val="clear" w:color="auto" w:fill="auto"/>
            <w:vAlign w:val="bottom"/>
          </w:tcPr>
          <w:p w14:paraId="2A62F8C3" w14:textId="77777777" w:rsidR="00D83E33" w:rsidRPr="00443AF2" w:rsidRDefault="00D83E33">
            <w:pPr>
              <w:widowControl w:val="0"/>
              <w:ind w:left="113" w:hanging="113"/>
              <w:rPr>
                <w:sz w:val="13"/>
                <w:szCs w:val="13"/>
              </w:rPr>
            </w:pPr>
          </w:p>
        </w:tc>
        <w:tc>
          <w:tcPr>
            <w:tcW w:w="600" w:type="pct"/>
            <w:tcBorders>
              <w:bottom w:val="single" w:sz="4" w:space="0" w:color="000000"/>
            </w:tcBorders>
            <w:vAlign w:val="bottom"/>
          </w:tcPr>
          <w:p w14:paraId="31EE1374" w14:textId="77777777" w:rsidR="00D83E33" w:rsidRPr="00443AF2" w:rsidRDefault="00D83E33">
            <w:pPr>
              <w:widowControl w:val="0"/>
              <w:jc w:val="right"/>
              <w:rPr>
                <w:sz w:val="13"/>
                <w:szCs w:val="13"/>
              </w:rPr>
            </w:pPr>
          </w:p>
        </w:tc>
        <w:tc>
          <w:tcPr>
            <w:tcW w:w="600" w:type="pct"/>
            <w:tcBorders>
              <w:bottom w:val="single" w:sz="4" w:space="0" w:color="000000"/>
            </w:tcBorders>
            <w:vAlign w:val="bottom"/>
          </w:tcPr>
          <w:p w14:paraId="156D0EFA" w14:textId="77777777" w:rsidR="00D83E33" w:rsidRPr="00443AF2" w:rsidRDefault="00D83E33">
            <w:pPr>
              <w:widowControl w:val="0"/>
              <w:jc w:val="right"/>
              <w:rPr>
                <w:sz w:val="13"/>
                <w:szCs w:val="13"/>
              </w:rPr>
            </w:pPr>
          </w:p>
        </w:tc>
        <w:tc>
          <w:tcPr>
            <w:tcW w:w="602" w:type="pct"/>
            <w:tcBorders>
              <w:bottom w:val="single" w:sz="4" w:space="0" w:color="000000"/>
            </w:tcBorders>
            <w:vAlign w:val="bottom"/>
          </w:tcPr>
          <w:p w14:paraId="13E44B63" w14:textId="77777777" w:rsidR="00D83E33" w:rsidRPr="00443AF2" w:rsidRDefault="00D83E33">
            <w:pPr>
              <w:widowControl w:val="0"/>
              <w:jc w:val="right"/>
              <w:rPr>
                <w:sz w:val="13"/>
                <w:szCs w:val="13"/>
              </w:rPr>
            </w:pPr>
          </w:p>
        </w:tc>
        <w:tc>
          <w:tcPr>
            <w:tcW w:w="601" w:type="pct"/>
            <w:tcBorders>
              <w:bottom w:val="single" w:sz="4" w:space="0" w:color="000000"/>
            </w:tcBorders>
            <w:vAlign w:val="bottom"/>
          </w:tcPr>
          <w:p w14:paraId="382CE224" w14:textId="77777777" w:rsidR="00D83E33" w:rsidRPr="00443AF2" w:rsidRDefault="00D83E33">
            <w:pPr>
              <w:widowControl w:val="0"/>
              <w:jc w:val="right"/>
              <w:rPr>
                <w:sz w:val="13"/>
                <w:szCs w:val="13"/>
              </w:rPr>
            </w:pPr>
          </w:p>
        </w:tc>
        <w:tc>
          <w:tcPr>
            <w:tcW w:w="640" w:type="pct"/>
            <w:tcBorders>
              <w:bottom w:val="single" w:sz="4" w:space="0" w:color="000000"/>
            </w:tcBorders>
            <w:shd w:val="clear" w:color="auto" w:fill="auto"/>
            <w:vAlign w:val="bottom"/>
          </w:tcPr>
          <w:p w14:paraId="2CEC5C5E" w14:textId="77777777" w:rsidR="00D83E33" w:rsidRPr="00443AF2" w:rsidRDefault="00D83E33">
            <w:pPr>
              <w:widowControl w:val="0"/>
              <w:jc w:val="right"/>
              <w:rPr>
                <w:sz w:val="13"/>
                <w:szCs w:val="13"/>
              </w:rPr>
            </w:pPr>
          </w:p>
        </w:tc>
        <w:tc>
          <w:tcPr>
            <w:tcW w:w="599" w:type="pct"/>
            <w:tcBorders>
              <w:bottom w:val="single" w:sz="4" w:space="0" w:color="000000"/>
            </w:tcBorders>
            <w:shd w:val="clear" w:color="auto" w:fill="auto"/>
            <w:vAlign w:val="bottom"/>
          </w:tcPr>
          <w:p w14:paraId="02A03B19" w14:textId="77777777" w:rsidR="00D83E33" w:rsidRPr="00443AF2" w:rsidRDefault="00D83E33">
            <w:pPr>
              <w:widowControl w:val="0"/>
              <w:jc w:val="right"/>
              <w:rPr>
                <w:sz w:val="13"/>
                <w:szCs w:val="13"/>
              </w:rPr>
            </w:pPr>
          </w:p>
        </w:tc>
      </w:tr>
      <w:tr w:rsidR="00D83E33" w:rsidRPr="00443AF2" w14:paraId="0F9F58EE" w14:textId="77777777" w:rsidTr="00443AF2">
        <w:trPr>
          <w:trHeight w:val="23"/>
        </w:trPr>
        <w:tc>
          <w:tcPr>
            <w:tcW w:w="1358" w:type="pct"/>
            <w:shd w:val="clear" w:color="auto" w:fill="auto"/>
            <w:vAlign w:val="bottom"/>
          </w:tcPr>
          <w:p w14:paraId="41A9F985" w14:textId="77777777" w:rsidR="00D83E33" w:rsidRPr="00443AF2" w:rsidRDefault="00D83E33">
            <w:pPr>
              <w:widowControl w:val="0"/>
              <w:pBdr>
                <w:top w:val="nil"/>
                <w:left w:val="nil"/>
                <w:bottom w:val="nil"/>
                <w:right w:val="nil"/>
                <w:between w:val="nil"/>
              </w:pBdr>
              <w:ind w:left="113" w:hanging="113"/>
              <w:rPr>
                <w:color w:val="000000"/>
                <w:sz w:val="13"/>
                <w:szCs w:val="13"/>
              </w:rPr>
            </w:pPr>
          </w:p>
        </w:tc>
        <w:tc>
          <w:tcPr>
            <w:tcW w:w="600" w:type="pct"/>
            <w:vAlign w:val="bottom"/>
          </w:tcPr>
          <w:p w14:paraId="30D63D88"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00" w:type="pct"/>
            <w:vAlign w:val="bottom"/>
          </w:tcPr>
          <w:p w14:paraId="2603588F"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02" w:type="pct"/>
            <w:vAlign w:val="bottom"/>
          </w:tcPr>
          <w:p w14:paraId="69692ABB"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01" w:type="pct"/>
            <w:vAlign w:val="bottom"/>
          </w:tcPr>
          <w:p w14:paraId="02993E66"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640" w:type="pct"/>
            <w:shd w:val="clear" w:color="auto" w:fill="auto"/>
            <w:vAlign w:val="bottom"/>
          </w:tcPr>
          <w:p w14:paraId="4BFB8933" w14:textId="77777777" w:rsidR="00D83E33" w:rsidRPr="00443AF2" w:rsidRDefault="00D83E33">
            <w:pPr>
              <w:widowControl w:val="0"/>
              <w:pBdr>
                <w:top w:val="nil"/>
                <w:left w:val="nil"/>
                <w:bottom w:val="nil"/>
                <w:right w:val="nil"/>
                <w:between w:val="nil"/>
              </w:pBdr>
              <w:jc w:val="right"/>
              <w:rPr>
                <w:color w:val="000000"/>
                <w:sz w:val="13"/>
                <w:szCs w:val="13"/>
              </w:rPr>
            </w:pPr>
          </w:p>
        </w:tc>
        <w:tc>
          <w:tcPr>
            <w:tcW w:w="599" w:type="pct"/>
            <w:shd w:val="clear" w:color="auto" w:fill="auto"/>
            <w:vAlign w:val="bottom"/>
          </w:tcPr>
          <w:p w14:paraId="0BCB4193" w14:textId="77777777" w:rsidR="00D83E33" w:rsidRPr="00443AF2" w:rsidRDefault="00D83E33">
            <w:pPr>
              <w:widowControl w:val="0"/>
              <w:pBdr>
                <w:top w:val="nil"/>
                <w:left w:val="nil"/>
                <w:bottom w:val="nil"/>
                <w:right w:val="nil"/>
                <w:between w:val="nil"/>
              </w:pBdr>
              <w:jc w:val="right"/>
              <w:rPr>
                <w:color w:val="000000"/>
                <w:sz w:val="13"/>
                <w:szCs w:val="13"/>
              </w:rPr>
            </w:pPr>
          </w:p>
        </w:tc>
      </w:tr>
      <w:tr w:rsidR="00D83E33" w:rsidRPr="00E837F2" w14:paraId="1D1AB502" w14:textId="77777777" w:rsidTr="00443AF2">
        <w:trPr>
          <w:trHeight w:val="23"/>
        </w:trPr>
        <w:tc>
          <w:tcPr>
            <w:tcW w:w="1358" w:type="pct"/>
            <w:shd w:val="clear" w:color="auto" w:fill="auto"/>
            <w:vAlign w:val="bottom"/>
          </w:tcPr>
          <w:p w14:paraId="6F236299" w14:textId="77777777" w:rsidR="00D83E33" w:rsidRPr="00FE3A14" w:rsidRDefault="00BC4072">
            <w:pPr>
              <w:widowControl w:val="0"/>
              <w:pBdr>
                <w:top w:val="nil"/>
                <w:left w:val="nil"/>
                <w:bottom w:val="nil"/>
                <w:right w:val="nil"/>
                <w:between w:val="nil"/>
              </w:pBdr>
              <w:ind w:left="113" w:hanging="113"/>
              <w:rPr>
                <w:color w:val="000000"/>
              </w:rPr>
            </w:pPr>
            <w:r w:rsidRPr="00FE3A14">
              <w:rPr>
                <w:b/>
                <w:color w:val="000000"/>
              </w:rPr>
              <w:t>Total loans and advances to customers at AC</w:t>
            </w:r>
          </w:p>
        </w:tc>
        <w:tc>
          <w:tcPr>
            <w:tcW w:w="600" w:type="pct"/>
            <w:vAlign w:val="bottom"/>
          </w:tcPr>
          <w:p w14:paraId="3B8A7401" w14:textId="77777777" w:rsidR="00D83E33" w:rsidRPr="00E837F2" w:rsidRDefault="00D83E33">
            <w:pPr>
              <w:widowControl w:val="0"/>
              <w:pBdr>
                <w:top w:val="nil"/>
                <w:left w:val="nil"/>
                <w:bottom w:val="nil"/>
                <w:right w:val="nil"/>
                <w:between w:val="nil"/>
              </w:pBdr>
              <w:jc w:val="right"/>
              <w:rPr>
                <w:color w:val="000000"/>
              </w:rPr>
            </w:pPr>
          </w:p>
        </w:tc>
        <w:tc>
          <w:tcPr>
            <w:tcW w:w="600" w:type="pct"/>
            <w:vAlign w:val="bottom"/>
          </w:tcPr>
          <w:p w14:paraId="49911DE8" w14:textId="77777777" w:rsidR="00D83E33" w:rsidRPr="00E837F2" w:rsidRDefault="00D83E33">
            <w:pPr>
              <w:widowControl w:val="0"/>
              <w:pBdr>
                <w:top w:val="nil"/>
                <w:left w:val="nil"/>
                <w:bottom w:val="nil"/>
                <w:right w:val="nil"/>
                <w:between w:val="nil"/>
              </w:pBdr>
              <w:jc w:val="right"/>
              <w:rPr>
                <w:color w:val="000000"/>
              </w:rPr>
            </w:pPr>
          </w:p>
        </w:tc>
        <w:tc>
          <w:tcPr>
            <w:tcW w:w="602" w:type="pct"/>
            <w:vAlign w:val="bottom"/>
          </w:tcPr>
          <w:p w14:paraId="5F353B6D" w14:textId="77777777" w:rsidR="00D83E33" w:rsidRPr="00E837F2" w:rsidRDefault="00D83E33">
            <w:pPr>
              <w:widowControl w:val="0"/>
              <w:pBdr>
                <w:top w:val="nil"/>
                <w:left w:val="nil"/>
                <w:bottom w:val="nil"/>
                <w:right w:val="nil"/>
                <w:between w:val="nil"/>
              </w:pBdr>
              <w:jc w:val="right"/>
              <w:rPr>
                <w:color w:val="000000"/>
              </w:rPr>
            </w:pPr>
          </w:p>
        </w:tc>
        <w:tc>
          <w:tcPr>
            <w:tcW w:w="601" w:type="pct"/>
            <w:vAlign w:val="bottom"/>
          </w:tcPr>
          <w:p w14:paraId="18359EE4" w14:textId="77777777" w:rsidR="00D83E33" w:rsidRPr="00E837F2" w:rsidRDefault="00D83E33">
            <w:pPr>
              <w:widowControl w:val="0"/>
              <w:pBdr>
                <w:top w:val="nil"/>
                <w:left w:val="nil"/>
                <w:bottom w:val="nil"/>
                <w:right w:val="nil"/>
                <w:between w:val="nil"/>
              </w:pBdr>
              <w:jc w:val="right"/>
              <w:rPr>
                <w:color w:val="000000"/>
              </w:rPr>
            </w:pPr>
          </w:p>
        </w:tc>
        <w:tc>
          <w:tcPr>
            <w:tcW w:w="640" w:type="pct"/>
            <w:shd w:val="clear" w:color="auto" w:fill="auto"/>
            <w:vAlign w:val="bottom"/>
          </w:tcPr>
          <w:p w14:paraId="5C1D3F95" w14:textId="77777777" w:rsidR="00D83E33" w:rsidRPr="00E837F2" w:rsidRDefault="00D83E33">
            <w:pPr>
              <w:widowControl w:val="0"/>
              <w:pBdr>
                <w:top w:val="nil"/>
                <w:left w:val="nil"/>
                <w:bottom w:val="nil"/>
                <w:right w:val="nil"/>
                <w:between w:val="nil"/>
              </w:pBdr>
              <w:jc w:val="right"/>
              <w:rPr>
                <w:color w:val="000000"/>
              </w:rPr>
            </w:pPr>
          </w:p>
        </w:tc>
        <w:tc>
          <w:tcPr>
            <w:tcW w:w="599" w:type="pct"/>
            <w:shd w:val="clear" w:color="auto" w:fill="auto"/>
            <w:vAlign w:val="bottom"/>
          </w:tcPr>
          <w:p w14:paraId="691D1E27" w14:textId="77777777" w:rsidR="00D83E33" w:rsidRPr="00E837F2" w:rsidRDefault="00D83E33">
            <w:pPr>
              <w:widowControl w:val="0"/>
              <w:pBdr>
                <w:top w:val="nil"/>
                <w:left w:val="nil"/>
                <w:bottom w:val="nil"/>
                <w:right w:val="nil"/>
                <w:between w:val="nil"/>
              </w:pBdr>
              <w:jc w:val="right"/>
              <w:rPr>
                <w:color w:val="000000"/>
              </w:rPr>
            </w:pPr>
          </w:p>
        </w:tc>
      </w:tr>
      <w:tr w:rsidR="00D83E33" w:rsidRPr="00443AF2" w14:paraId="1DC848D0" w14:textId="77777777" w:rsidTr="00443AF2">
        <w:trPr>
          <w:trHeight w:val="23"/>
        </w:trPr>
        <w:tc>
          <w:tcPr>
            <w:tcW w:w="1358" w:type="pct"/>
            <w:tcBorders>
              <w:bottom w:val="single" w:sz="12" w:space="0" w:color="000000"/>
            </w:tcBorders>
            <w:shd w:val="clear" w:color="auto" w:fill="auto"/>
            <w:vAlign w:val="bottom"/>
          </w:tcPr>
          <w:p w14:paraId="249EC45A" w14:textId="77777777" w:rsidR="00D83E33" w:rsidRPr="00443AF2" w:rsidRDefault="00D83E33">
            <w:pPr>
              <w:widowControl w:val="0"/>
              <w:ind w:left="113" w:hanging="113"/>
              <w:rPr>
                <w:sz w:val="13"/>
                <w:szCs w:val="13"/>
              </w:rPr>
            </w:pPr>
          </w:p>
        </w:tc>
        <w:tc>
          <w:tcPr>
            <w:tcW w:w="600" w:type="pct"/>
            <w:tcBorders>
              <w:bottom w:val="single" w:sz="12" w:space="0" w:color="000000"/>
            </w:tcBorders>
            <w:vAlign w:val="bottom"/>
          </w:tcPr>
          <w:p w14:paraId="79DF7421"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600" w:type="pct"/>
            <w:tcBorders>
              <w:bottom w:val="single" w:sz="12" w:space="0" w:color="000000"/>
            </w:tcBorders>
            <w:vAlign w:val="bottom"/>
          </w:tcPr>
          <w:p w14:paraId="0C77021D"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602" w:type="pct"/>
            <w:tcBorders>
              <w:bottom w:val="single" w:sz="12" w:space="0" w:color="000000"/>
            </w:tcBorders>
            <w:vAlign w:val="bottom"/>
          </w:tcPr>
          <w:p w14:paraId="4C98CA35"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601" w:type="pct"/>
            <w:tcBorders>
              <w:bottom w:val="single" w:sz="12" w:space="0" w:color="000000"/>
            </w:tcBorders>
            <w:vAlign w:val="bottom"/>
          </w:tcPr>
          <w:p w14:paraId="1C922B86"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640" w:type="pct"/>
            <w:tcBorders>
              <w:bottom w:val="single" w:sz="12" w:space="0" w:color="000000"/>
            </w:tcBorders>
            <w:shd w:val="clear" w:color="auto" w:fill="auto"/>
            <w:vAlign w:val="bottom"/>
          </w:tcPr>
          <w:p w14:paraId="2E9C661C" w14:textId="77777777" w:rsidR="00D83E33" w:rsidRPr="00443AF2" w:rsidRDefault="00D83E33">
            <w:pPr>
              <w:widowControl w:val="0"/>
              <w:pBdr>
                <w:top w:val="nil"/>
                <w:left w:val="nil"/>
                <w:bottom w:val="nil"/>
                <w:right w:val="nil"/>
                <w:between w:val="nil"/>
              </w:pBdr>
              <w:jc w:val="right"/>
              <w:rPr>
                <w:b/>
                <w:color w:val="000000"/>
                <w:sz w:val="13"/>
                <w:szCs w:val="13"/>
              </w:rPr>
            </w:pPr>
          </w:p>
        </w:tc>
        <w:tc>
          <w:tcPr>
            <w:tcW w:w="599" w:type="pct"/>
            <w:tcBorders>
              <w:bottom w:val="single" w:sz="12" w:space="0" w:color="000000"/>
            </w:tcBorders>
            <w:shd w:val="clear" w:color="auto" w:fill="auto"/>
            <w:vAlign w:val="bottom"/>
          </w:tcPr>
          <w:p w14:paraId="4105FD04" w14:textId="77777777" w:rsidR="00D83E33" w:rsidRPr="00443AF2" w:rsidRDefault="00D83E33">
            <w:pPr>
              <w:widowControl w:val="0"/>
              <w:pBdr>
                <w:top w:val="nil"/>
                <w:left w:val="nil"/>
                <w:bottom w:val="nil"/>
                <w:right w:val="nil"/>
                <w:between w:val="nil"/>
              </w:pBdr>
              <w:jc w:val="right"/>
              <w:rPr>
                <w:b/>
                <w:color w:val="000000"/>
                <w:sz w:val="13"/>
                <w:szCs w:val="13"/>
              </w:rPr>
            </w:pPr>
          </w:p>
        </w:tc>
      </w:tr>
    </w:tbl>
    <w:p w14:paraId="68421FD6" w14:textId="77777777" w:rsidR="00443AF2" w:rsidRDefault="00443AF2" w:rsidP="00443AF2">
      <w:pPr>
        <w:pStyle w:val="Continued"/>
      </w:pPr>
      <w:r>
        <w:lastRenderedPageBreak/>
        <w:t>11</w:t>
      </w:r>
      <w:r>
        <w:tab/>
        <w:t>Loans and Advances to Customers (Continued)</w:t>
      </w:r>
    </w:p>
    <w:p w14:paraId="279E1C8B" w14:textId="77777777" w:rsidR="00D83E33" w:rsidRDefault="00BC4072">
      <w:pPr>
        <w:widowControl w:val="0"/>
        <w:spacing w:before="200" w:after="200"/>
        <w:jc w:val="both"/>
        <w:rPr>
          <w:sz w:val="20"/>
          <w:szCs w:val="20"/>
        </w:rPr>
      </w:pPr>
      <w:r>
        <w:rPr>
          <w:sz w:val="20"/>
          <w:szCs w:val="20"/>
        </w:rPr>
        <w:t>More detailed explanation of classes of loans to legal entities is provided below:</w:t>
      </w:r>
    </w:p>
    <w:p w14:paraId="77B9D72F" w14:textId="2F757B9E"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Standard lending – loans issued to large commercial entities under the standard terms, mainly for working capital financing</w:t>
      </w:r>
      <w:r w:rsidR="00CE78F2">
        <w:rPr>
          <w:color w:val="000000"/>
          <w:sz w:val="20"/>
          <w:szCs w:val="20"/>
        </w:rPr>
        <w:t xml:space="preserve">. Standard lending also includes supplier financing facilities, i.e. financing provided to large commercial entities </w:t>
      </w:r>
      <w:r w:rsidR="001A577B">
        <w:rPr>
          <w:color w:val="000000"/>
          <w:sz w:val="20"/>
          <w:szCs w:val="20"/>
        </w:rPr>
        <w:t xml:space="preserve">to fund </w:t>
      </w:r>
      <w:r w:rsidR="00CE78F2">
        <w:rPr>
          <w:color w:val="000000"/>
          <w:sz w:val="20"/>
          <w:szCs w:val="20"/>
        </w:rPr>
        <w:t>their trade payables [Specify the average turnover and other significant terms of such transaction]</w:t>
      </w:r>
      <w:r>
        <w:rPr>
          <w:color w:val="000000"/>
          <w:sz w:val="20"/>
          <w:szCs w:val="20"/>
        </w:rPr>
        <w:t>;</w:t>
      </w:r>
    </w:p>
    <w:p w14:paraId="2F812C59"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Specialised lending – loans issued to income producing real estate companies or companies realising investment projects;</w:t>
      </w:r>
    </w:p>
    <w:p w14:paraId="098F18FE"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Loans to sovereigns – government’ bonds purchased or loans issued to government;</w:t>
      </w:r>
    </w:p>
    <w:p w14:paraId="51BE86C3" w14:textId="28A83458"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Loans to sub-sovereigns ‒ loans issued to government regions of </w:t>
      </w:r>
      <w:r w:rsidR="001A1962">
        <w:rPr>
          <w:color w:val="000000"/>
          <w:sz w:val="20"/>
          <w:szCs w:val="20"/>
        </w:rPr>
        <w:t>a sovereign</w:t>
      </w:r>
      <w:r>
        <w:rPr>
          <w:color w:val="000000"/>
          <w:sz w:val="20"/>
          <w:szCs w:val="20"/>
        </w:rPr>
        <w:t xml:space="preserve"> or municipal organisations;</w:t>
      </w:r>
    </w:p>
    <w:p w14:paraId="1544D36A" w14:textId="082A876D" w:rsidR="00D83E33" w:rsidRDefault="00BC4072">
      <w:pPr>
        <w:widowControl w:val="0"/>
        <w:numPr>
          <w:ilvl w:val="0"/>
          <w:numId w:val="23"/>
        </w:numPr>
        <w:pBdr>
          <w:top w:val="nil"/>
          <w:left w:val="nil"/>
          <w:bottom w:val="nil"/>
          <w:right w:val="nil"/>
          <w:between w:val="nil"/>
        </w:pBdr>
        <w:spacing w:before="100" w:after="100"/>
        <w:ind w:left="567" w:hanging="567"/>
        <w:jc w:val="both"/>
        <w:rPr>
          <w:i/>
          <w:color w:val="FF0000"/>
          <w:sz w:val="20"/>
          <w:szCs w:val="20"/>
        </w:rPr>
      </w:pPr>
      <w:r>
        <w:rPr>
          <w:color w:val="000000"/>
          <w:sz w:val="20"/>
          <w:szCs w:val="20"/>
        </w:rPr>
        <w:t>Loans to SME – loans issued to small and medium-sized enterprises, where the Group defines such as;</w:t>
      </w:r>
    </w:p>
    <w:p w14:paraId="0C6F448E" w14:textId="77777777" w:rsidR="00D83E33" w:rsidRPr="00E4469C" w:rsidRDefault="00BC4072">
      <w:pPr>
        <w:widowControl w:val="0"/>
        <w:numPr>
          <w:ilvl w:val="0"/>
          <w:numId w:val="23"/>
        </w:numPr>
        <w:pBdr>
          <w:top w:val="nil"/>
          <w:left w:val="nil"/>
          <w:bottom w:val="nil"/>
          <w:right w:val="nil"/>
          <w:between w:val="nil"/>
        </w:pBdr>
        <w:spacing w:before="100" w:after="100"/>
        <w:ind w:left="567" w:hanging="567"/>
        <w:jc w:val="both"/>
        <w:rPr>
          <w:i/>
          <w:color w:val="FF0000"/>
          <w:sz w:val="20"/>
          <w:szCs w:val="20"/>
        </w:rPr>
      </w:pPr>
      <w:r>
        <w:rPr>
          <w:color w:val="000000"/>
          <w:sz w:val="20"/>
          <w:szCs w:val="20"/>
        </w:rPr>
        <w:t>Loans to leasing companies – loans issued to leasing companies;</w:t>
      </w:r>
    </w:p>
    <w:p w14:paraId="26FD41B1" w14:textId="629A14AC" w:rsidR="00D83E33" w:rsidRDefault="00BC4072">
      <w:pPr>
        <w:widowControl w:val="0"/>
        <w:numPr>
          <w:ilvl w:val="0"/>
          <w:numId w:val="23"/>
        </w:numPr>
        <w:pBdr>
          <w:top w:val="nil"/>
          <w:left w:val="nil"/>
          <w:bottom w:val="nil"/>
          <w:right w:val="nil"/>
          <w:between w:val="nil"/>
        </w:pBdr>
        <w:spacing w:before="100" w:after="100"/>
        <w:ind w:left="567" w:hanging="567"/>
        <w:jc w:val="both"/>
        <w:rPr>
          <w:i/>
          <w:color w:val="FF0000"/>
          <w:sz w:val="20"/>
          <w:szCs w:val="20"/>
        </w:rPr>
      </w:pPr>
      <w:r>
        <w:rPr>
          <w:color w:val="000000"/>
          <w:sz w:val="20"/>
          <w:szCs w:val="20"/>
        </w:rPr>
        <w:t xml:space="preserve">Reverse sale and repurchase agreements. </w:t>
      </w:r>
    </w:p>
    <w:p w14:paraId="10C0DFDB" w14:textId="491073E0" w:rsidR="00D83E33" w:rsidRDefault="00BC4072" w:rsidP="00443AF2">
      <w:pPr>
        <w:spacing w:before="200" w:after="200"/>
        <w:jc w:val="both"/>
      </w:pPr>
      <w:r>
        <w:rPr>
          <w:sz w:val="20"/>
          <w:szCs w:val="20"/>
        </w:rPr>
        <w:t>The loans and advances to customers at FVTPL analysed by classes are as follows at</w:t>
      </w:r>
      <w:r w:rsidR="00443AF2">
        <w:rPr>
          <w:sz w:val="20"/>
          <w:szCs w:val="20"/>
        </w:rPr>
        <w:t xml:space="preserve"> </w:t>
      </w:r>
      <w:r>
        <w:rPr>
          <w:sz w:val="20"/>
          <w:szCs w:val="20"/>
        </w:rPr>
        <w:t>31</w:t>
      </w:r>
      <w:r w:rsidR="00181687">
        <w:rPr>
          <w:sz w:val="20"/>
          <w:szCs w:val="20"/>
        </w:rPr>
        <w:t> December </w:t>
      </w:r>
      <w:r w:rsidR="00541EBC">
        <w:rPr>
          <w:sz w:val="20"/>
          <w:szCs w:val="20"/>
        </w:rPr>
        <w:t>2024</w:t>
      </w:r>
      <w:r>
        <w:rPr>
          <w:sz w:val="20"/>
          <w:szCs w:val="20"/>
        </w:rPr>
        <w:t xml:space="preserve"> and 31</w:t>
      </w:r>
      <w:r w:rsidR="00181687">
        <w:rPr>
          <w:sz w:val="20"/>
          <w:szCs w:val="20"/>
        </w:rPr>
        <w:t> December </w:t>
      </w:r>
      <w:r w:rsidR="00541EBC">
        <w:rPr>
          <w:sz w:val="20"/>
          <w:szCs w:val="20"/>
        </w:rPr>
        <w:t>2023</w:t>
      </w:r>
      <w:r>
        <w:rPr>
          <w:sz w:val="20"/>
          <w:szCs w:val="20"/>
        </w:rPr>
        <w:t>:</w:t>
      </w:r>
      <w:r>
        <w:t xml:space="preserve"> </w:t>
      </w:r>
    </w:p>
    <w:tbl>
      <w:tblPr>
        <w:tblStyle w:val="afff8"/>
        <w:tblW w:w="5000" w:type="pct"/>
        <w:tblLook w:val="0000" w:firstRow="0" w:lastRow="0" w:firstColumn="0" w:lastColumn="0" w:noHBand="0" w:noVBand="0"/>
      </w:tblPr>
      <w:tblGrid>
        <w:gridCol w:w="5759"/>
        <w:gridCol w:w="1798"/>
        <w:gridCol w:w="1798"/>
      </w:tblGrid>
      <w:tr w:rsidR="00E837F2" w:rsidRPr="00E837F2" w14:paraId="5E089FE4" w14:textId="77777777" w:rsidTr="001B330E">
        <w:trPr>
          <w:trHeight w:val="23"/>
        </w:trPr>
        <w:tc>
          <w:tcPr>
            <w:tcW w:w="3440" w:type="pct"/>
            <w:tcBorders>
              <w:bottom w:val="single" w:sz="4" w:space="0" w:color="000000"/>
            </w:tcBorders>
            <w:shd w:val="clear" w:color="auto" w:fill="auto"/>
            <w:vAlign w:val="bottom"/>
          </w:tcPr>
          <w:p w14:paraId="52588C74" w14:textId="631F0D06" w:rsidR="00E837F2" w:rsidRPr="00E837F2" w:rsidRDefault="00313B4D">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780" w:type="pct"/>
            <w:tcBorders>
              <w:bottom w:val="single" w:sz="4" w:space="0" w:color="000000"/>
            </w:tcBorders>
          </w:tcPr>
          <w:p w14:paraId="6FB7687D" w14:textId="173A325E" w:rsidR="00E837F2" w:rsidRPr="00E837F2" w:rsidRDefault="00E837F2" w:rsidP="001B330E">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 </w:t>
            </w:r>
            <w:r w:rsidR="00541EBC">
              <w:rPr>
                <w:b/>
                <w:color w:val="000000"/>
              </w:rPr>
              <w:t>2024</w:t>
            </w:r>
          </w:p>
        </w:tc>
        <w:tc>
          <w:tcPr>
            <w:tcW w:w="780" w:type="pct"/>
            <w:tcBorders>
              <w:bottom w:val="single" w:sz="4" w:space="0" w:color="000000"/>
            </w:tcBorders>
          </w:tcPr>
          <w:p w14:paraId="6A3067BD" w14:textId="2EAAF965" w:rsidR="00E837F2" w:rsidRPr="00E837F2" w:rsidRDefault="00E837F2" w:rsidP="001B330E">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 </w:t>
            </w:r>
            <w:r w:rsidR="00541EBC">
              <w:rPr>
                <w:b/>
                <w:color w:val="000000"/>
              </w:rPr>
              <w:t>2023</w:t>
            </w:r>
          </w:p>
        </w:tc>
      </w:tr>
      <w:tr w:rsidR="00E837F2" w:rsidRPr="00E837F2" w14:paraId="604F7C06" w14:textId="77777777" w:rsidTr="001B330E">
        <w:trPr>
          <w:trHeight w:val="23"/>
        </w:trPr>
        <w:tc>
          <w:tcPr>
            <w:tcW w:w="3440" w:type="pct"/>
            <w:tcBorders>
              <w:top w:val="single" w:sz="4" w:space="0" w:color="000000"/>
            </w:tcBorders>
            <w:shd w:val="clear" w:color="auto" w:fill="auto"/>
            <w:vAlign w:val="bottom"/>
          </w:tcPr>
          <w:p w14:paraId="0BEACCB1" w14:textId="77777777" w:rsidR="00E837F2" w:rsidRPr="00E837F2" w:rsidRDefault="00E837F2">
            <w:pPr>
              <w:widowControl w:val="0"/>
              <w:pBdr>
                <w:top w:val="nil"/>
                <w:left w:val="nil"/>
                <w:bottom w:val="nil"/>
                <w:right w:val="nil"/>
                <w:between w:val="nil"/>
              </w:pBdr>
              <w:ind w:left="113" w:hanging="113"/>
              <w:rPr>
                <w:color w:val="000000"/>
              </w:rPr>
            </w:pPr>
          </w:p>
        </w:tc>
        <w:tc>
          <w:tcPr>
            <w:tcW w:w="780" w:type="pct"/>
            <w:tcBorders>
              <w:top w:val="single" w:sz="4" w:space="0" w:color="000000"/>
            </w:tcBorders>
            <w:vAlign w:val="bottom"/>
          </w:tcPr>
          <w:p w14:paraId="329747D0" w14:textId="77777777" w:rsidR="00E837F2" w:rsidRPr="00E837F2" w:rsidRDefault="00E837F2">
            <w:pPr>
              <w:widowControl w:val="0"/>
              <w:pBdr>
                <w:top w:val="nil"/>
                <w:left w:val="nil"/>
                <w:bottom w:val="nil"/>
                <w:right w:val="nil"/>
                <w:between w:val="nil"/>
              </w:pBdr>
              <w:jc w:val="right"/>
              <w:rPr>
                <w:b/>
                <w:color w:val="000000"/>
              </w:rPr>
            </w:pPr>
          </w:p>
        </w:tc>
        <w:tc>
          <w:tcPr>
            <w:tcW w:w="780" w:type="pct"/>
            <w:tcBorders>
              <w:top w:val="single" w:sz="4" w:space="0" w:color="000000"/>
            </w:tcBorders>
          </w:tcPr>
          <w:p w14:paraId="70AAB786" w14:textId="77777777" w:rsidR="00E837F2" w:rsidRPr="00E837F2" w:rsidRDefault="00E837F2">
            <w:pPr>
              <w:widowControl w:val="0"/>
              <w:pBdr>
                <w:top w:val="nil"/>
                <w:left w:val="nil"/>
                <w:bottom w:val="nil"/>
                <w:right w:val="nil"/>
                <w:between w:val="nil"/>
              </w:pBdr>
              <w:jc w:val="right"/>
              <w:rPr>
                <w:b/>
                <w:color w:val="000000"/>
              </w:rPr>
            </w:pPr>
          </w:p>
        </w:tc>
      </w:tr>
      <w:tr w:rsidR="00E837F2" w:rsidRPr="00E837F2" w14:paraId="3DB08DC4" w14:textId="77777777" w:rsidTr="001B330E">
        <w:trPr>
          <w:trHeight w:val="23"/>
        </w:trPr>
        <w:tc>
          <w:tcPr>
            <w:tcW w:w="3440" w:type="pct"/>
            <w:shd w:val="clear" w:color="auto" w:fill="auto"/>
            <w:vAlign w:val="bottom"/>
          </w:tcPr>
          <w:p w14:paraId="6455E531" w14:textId="77777777" w:rsidR="00E837F2" w:rsidRPr="00E837F2" w:rsidRDefault="00E837F2">
            <w:pPr>
              <w:widowControl w:val="0"/>
              <w:ind w:left="113" w:hanging="113"/>
            </w:pPr>
            <w:r w:rsidRPr="00E837F2">
              <w:rPr>
                <w:i/>
              </w:rPr>
              <w:t>Loans to corporate customers</w:t>
            </w:r>
          </w:p>
        </w:tc>
        <w:tc>
          <w:tcPr>
            <w:tcW w:w="780" w:type="pct"/>
            <w:vAlign w:val="bottom"/>
          </w:tcPr>
          <w:p w14:paraId="01F76911" w14:textId="77777777" w:rsidR="00E837F2" w:rsidRPr="00E837F2" w:rsidRDefault="00E837F2">
            <w:pPr>
              <w:widowControl w:val="0"/>
              <w:pBdr>
                <w:top w:val="nil"/>
                <w:left w:val="nil"/>
                <w:bottom w:val="nil"/>
                <w:right w:val="nil"/>
                <w:between w:val="nil"/>
              </w:pBdr>
              <w:jc w:val="right"/>
              <w:rPr>
                <w:b/>
                <w:color w:val="000000"/>
              </w:rPr>
            </w:pPr>
          </w:p>
        </w:tc>
        <w:tc>
          <w:tcPr>
            <w:tcW w:w="780" w:type="pct"/>
          </w:tcPr>
          <w:p w14:paraId="0B8663D5" w14:textId="77777777" w:rsidR="00E837F2" w:rsidRPr="00E837F2" w:rsidRDefault="00E837F2">
            <w:pPr>
              <w:widowControl w:val="0"/>
              <w:pBdr>
                <w:top w:val="nil"/>
                <w:left w:val="nil"/>
                <w:bottom w:val="nil"/>
                <w:right w:val="nil"/>
                <w:between w:val="nil"/>
              </w:pBdr>
              <w:jc w:val="right"/>
              <w:rPr>
                <w:b/>
                <w:color w:val="000000"/>
              </w:rPr>
            </w:pPr>
          </w:p>
        </w:tc>
      </w:tr>
      <w:tr w:rsidR="00E837F2" w:rsidRPr="00E837F2" w14:paraId="336AD824" w14:textId="77777777" w:rsidTr="001B330E">
        <w:trPr>
          <w:trHeight w:val="23"/>
        </w:trPr>
        <w:tc>
          <w:tcPr>
            <w:tcW w:w="3440" w:type="pct"/>
            <w:shd w:val="clear" w:color="auto" w:fill="auto"/>
            <w:vAlign w:val="bottom"/>
          </w:tcPr>
          <w:p w14:paraId="393B6931" w14:textId="77777777" w:rsidR="00E837F2" w:rsidRPr="00E837F2" w:rsidRDefault="00E837F2">
            <w:pPr>
              <w:widowControl w:val="0"/>
              <w:ind w:left="113" w:hanging="113"/>
              <w:rPr>
                <w:i/>
              </w:rPr>
            </w:pPr>
          </w:p>
        </w:tc>
        <w:tc>
          <w:tcPr>
            <w:tcW w:w="780" w:type="pct"/>
            <w:vAlign w:val="bottom"/>
          </w:tcPr>
          <w:p w14:paraId="13A9863A" w14:textId="77777777" w:rsidR="00E837F2" w:rsidRPr="00E837F2" w:rsidRDefault="00E837F2">
            <w:pPr>
              <w:widowControl w:val="0"/>
              <w:pBdr>
                <w:top w:val="nil"/>
                <w:left w:val="nil"/>
                <w:bottom w:val="nil"/>
                <w:right w:val="nil"/>
                <w:between w:val="nil"/>
              </w:pBdr>
              <w:jc w:val="right"/>
              <w:rPr>
                <w:b/>
                <w:color w:val="000000"/>
              </w:rPr>
            </w:pPr>
          </w:p>
        </w:tc>
        <w:tc>
          <w:tcPr>
            <w:tcW w:w="780" w:type="pct"/>
          </w:tcPr>
          <w:p w14:paraId="698F2427" w14:textId="77777777" w:rsidR="00E837F2" w:rsidRPr="00E837F2" w:rsidRDefault="00E837F2">
            <w:pPr>
              <w:widowControl w:val="0"/>
              <w:pBdr>
                <w:top w:val="nil"/>
                <w:left w:val="nil"/>
                <w:bottom w:val="nil"/>
                <w:right w:val="nil"/>
                <w:between w:val="nil"/>
              </w:pBdr>
              <w:jc w:val="right"/>
              <w:rPr>
                <w:b/>
                <w:color w:val="000000"/>
              </w:rPr>
            </w:pPr>
          </w:p>
        </w:tc>
      </w:tr>
      <w:tr w:rsidR="00E837F2" w:rsidRPr="00E837F2" w14:paraId="68A5FC36" w14:textId="77777777" w:rsidTr="001B330E">
        <w:trPr>
          <w:trHeight w:val="23"/>
        </w:trPr>
        <w:tc>
          <w:tcPr>
            <w:tcW w:w="3440" w:type="pct"/>
            <w:shd w:val="clear" w:color="auto" w:fill="auto"/>
            <w:vAlign w:val="bottom"/>
          </w:tcPr>
          <w:p w14:paraId="24F2AD1B" w14:textId="77777777" w:rsidR="00E837F2" w:rsidRPr="00E837F2" w:rsidRDefault="00E837F2">
            <w:pPr>
              <w:widowControl w:val="0"/>
              <w:ind w:left="113" w:hanging="113"/>
            </w:pPr>
            <w:r w:rsidRPr="00E837F2">
              <w:t>Standard lending</w:t>
            </w:r>
          </w:p>
        </w:tc>
        <w:tc>
          <w:tcPr>
            <w:tcW w:w="780" w:type="pct"/>
            <w:vAlign w:val="bottom"/>
          </w:tcPr>
          <w:p w14:paraId="2BBE7AB6" w14:textId="77777777" w:rsidR="00E837F2" w:rsidRPr="00E837F2" w:rsidRDefault="00E837F2">
            <w:pPr>
              <w:widowControl w:val="0"/>
              <w:jc w:val="right"/>
            </w:pPr>
          </w:p>
        </w:tc>
        <w:tc>
          <w:tcPr>
            <w:tcW w:w="780" w:type="pct"/>
          </w:tcPr>
          <w:p w14:paraId="45765BA1" w14:textId="77777777" w:rsidR="00E837F2" w:rsidRPr="00E837F2" w:rsidRDefault="00E837F2">
            <w:pPr>
              <w:widowControl w:val="0"/>
              <w:jc w:val="right"/>
            </w:pPr>
          </w:p>
        </w:tc>
      </w:tr>
      <w:tr w:rsidR="00E837F2" w:rsidRPr="00E837F2" w14:paraId="5B1C8B24" w14:textId="77777777" w:rsidTr="001B330E">
        <w:trPr>
          <w:trHeight w:val="23"/>
        </w:trPr>
        <w:tc>
          <w:tcPr>
            <w:tcW w:w="3440" w:type="pct"/>
            <w:shd w:val="clear" w:color="auto" w:fill="auto"/>
            <w:vAlign w:val="bottom"/>
          </w:tcPr>
          <w:p w14:paraId="42C9A3D2" w14:textId="77777777" w:rsidR="00E837F2" w:rsidRPr="00E837F2" w:rsidRDefault="00E837F2">
            <w:pPr>
              <w:widowControl w:val="0"/>
              <w:ind w:left="113" w:hanging="113"/>
            </w:pPr>
            <w:r w:rsidRPr="00E837F2">
              <w:t>Specialised lending</w:t>
            </w:r>
          </w:p>
        </w:tc>
        <w:tc>
          <w:tcPr>
            <w:tcW w:w="780" w:type="pct"/>
            <w:vAlign w:val="bottom"/>
          </w:tcPr>
          <w:p w14:paraId="77C636C1" w14:textId="77777777" w:rsidR="00E837F2" w:rsidRPr="00E837F2" w:rsidRDefault="00E837F2">
            <w:pPr>
              <w:widowControl w:val="0"/>
              <w:jc w:val="right"/>
            </w:pPr>
          </w:p>
        </w:tc>
        <w:tc>
          <w:tcPr>
            <w:tcW w:w="780" w:type="pct"/>
          </w:tcPr>
          <w:p w14:paraId="0A2F7EB5" w14:textId="77777777" w:rsidR="00E837F2" w:rsidRPr="00E837F2" w:rsidRDefault="00E837F2">
            <w:pPr>
              <w:widowControl w:val="0"/>
              <w:jc w:val="right"/>
            </w:pPr>
          </w:p>
        </w:tc>
      </w:tr>
      <w:tr w:rsidR="00E837F2" w:rsidRPr="00E837F2" w14:paraId="1BA74BFB" w14:textId="77777777" w:rsidTr="001B330E">
        <w:trPr>
          <w:trHeight w:val="23"/>
        </w:trPr>
        <w:tc>
          <w:tcPr>
            <w:tcW w:w="3440" w:type="pct"/>
            <w:shd w:val="clear" w:color="auto" w:fill="auto"/>
            <w:vAlign w:val="bottom"/>
          </w:tcPr>
          <w:p w14:paraId="7112D66B" w14:textId="77777777" w:rsidR="00E837F2" w:rsidRPr="00E837F2" w:rsidRDefault="00E837F2">
            <w:pPr>
              <w:widowControl w:val="0"/>
              <w:ind w:left="113" w:hanging="113"/>
            </w:pPr>
            <w:r w:rsidRPr="00E837F2">
              <w:t>Loans to sovereigns</w:t>
            </w:r>
          </w:p>
        </w:tc>
        <w:tc>
          <w:tcPr>
            <w:tcW w:w="780" w:type="pct"/>
            <w:vAlign w:val="bottom"/>
          </w:tcPr>
          <w:p w14:paraId="19086BB6" w14:textId="77777777" w:rsidR="00E837F2" w:rsidRPr="00E837F2" w:rsidRDefault="00E837F2">
            <w:pPr>
              <w:widowControl w:val="0"/>
              <w:jc w:val="right"/>
            </w:pPr>
          </w:p>
        </w:tc>
        <w:tc>
          <w:tcPr>
            <w:tcW w:w="780" w:type="pct"/>
          </w:tcPr>
          <w:p w14:paraId="7318DB70" w14:textId="77777777" w:rsidR="00E837F2" w:rsidRPr="00E837F2" w:rsidRDefault="00E837F2">
            <w:pPr>
              <w:widowControl w:val="0"/>
              <w:jc w:val="right"/>
            </w:pPr>
          </w:p>
        </w:tc>
      </w:tr>
      <w:tr w:rsidR="00E837F2" w:rsidRPr="00E837F2" w14:paraId="61D508BD" w14:textId="77777777" w:rsidTr="001B330E">
        <w:trPr>
          <w:trHeight w:val="23"/>
        </w:trPr>
        <w:tc>
          <w:tcPr>
            <w:tcW w:w="3440" w:type="pct"/>
            <w:shd w:val="clear" w:color="auto" w:fill="auto"/>
            <w:vAlign w:val="bottom"/>
          </w:tcPr>
          <w:p w14:paraId="7C1A8C0F" w14:textId="77777777" w:rsidR="00E837F2" w:rsidRPr="00E837F2" w:rsidRDefault="00E837F2">
            <w:pPr>
              <w:widowControl w:val="0"/>
              <w:ind w:left="113" w:hanging="113"/>
            </w:pPr>
            <w:r w:rsidRPr="00E837F2">
              <w:t>Loans to sub-sovereigns</w:t>
            </w:r>
          </w:p>
        </w:tc>
        <w:tc>
          <w:tcPr>
            <w:tcW w:w="780" w:type="pct"/>
            <w:vAlign w:val="bottom"/>
          </w:tcPr>
          <w:p w14:paraId="31A242F7" w14:textId="77777777" w:rsidR="00E837F2" w:rsidRPr="00E837F2" w:rsidRDefault="00E837F2">
            <w:pPr>
              <w:widowControl w:val="0"/>
              <w:jc w:val="right"/>
            </w:pPr>
          </w:p>
        </w:tc>
        <w:tc>
          <w:tcPr>
            <w:tcW w:w="780" w:type="pct"/>
          </w:tcPr>
          <w:p w14:paraId="38EFC7E9" w14:textId="77777777" w:rsidR="00E837F2" w:rsidRPr="00E837F2" w:rsidRDefault="00E837F2">
            <w:pPr>
              <w:widowControl w:val="0"/>
              <w:jc w:val="right"/>
            </w:pPr>
          </w:p>
        </w:tc>
      </w:tr>
      <w:tr w:rsidR="00E837F2" w:rsidRPr="00E837F2" w14:paraId="754ED538" w14:textId="77777777" w:rsidTr="001B330E">
        <w:trPr>
          <w:trHeight w:val="23"/>
        </w:trPr>
        <w:tc>
          <w:tcPr>
            <w:tcW w:w="3440" w:type="pct"/>
            <w:shd w:val="clear" w:color="auto" w:fill="auto"/>
            <w:vAlign w:val="bottom"/>
          </w:tcPr>
          <w:p w14:paraId="44BD255C" w14:textId="77777777" w:rsidR="00E837F2" w:rsidRPr="00E837F2" w:rsidRDefault="00E837F2">
            <w:pPr>
              <w:widowControl w:val="0"/>
              <w:ind w:left="113" w:hanging="113"/>
            </w:pPr>
            <w:r w:rsidRPr="00E837F2">
              <w:t>Loans to SME</w:t>
            </w:r>
          </w:p>
        </w:tc>
        <w:tc>
          <w:tcPr>
            <w:tcW w:w="780" w:type="pct"/>
            <w:vAlign w:val="bottom"/>
          </w:tcPr>
          <w:p w14:paraId="1DCF36C7" w14:textId="77777777" w:rsidR="00E837F2" w:rsidRPr="00E837F2" w:rsidRDefault="00E837F2">
            <w:pPr>
              <w:widowControl w:val="0"/>
              <w:jc w:val="right"/>
            </w:pPr>
          </w:p>
        </w:tc>
        <w:tc>
          <w:tcPr>
            <w:tcW w:w="780" w:type="pct"/>
          </w:tcPr>
          <w:p w14:paraId="31751FB9" w14:textId="77777777" w:rsidR="00E837F2" w:rsidRPr="00E837F2" w:rsidRDefault="00E837F2">
            <w:pPr>
              <w:widowControl w:val="0"/>
              <w:jc w:val="right"/>
            </w:pPr>
          </w:p>
        </w:tc>
      </w:tr>
      <w:tr w:rsidR="00E837F2" w:rsidRPr="00E837F2" w14:paraId="39DEC83D" w14:textId="77777777" w:rsidTr="001B330E">
        <w:trPr>
          <w:trHeight w:val="23"/>
        </w:trPr>
        <w:tc>
          <w:tcPr>
            <w:tcW w:w="3440" w:type="pct"/>
            <w:shd w:val="clear" w:color="auto" w:fill="auto"/>
            <w:vAlign w:val="bottom"/>
          </w:tcPr>
          <w:p w14:paraId="6C56BD74" w14:textId="77777777" w:rsidR="00E837F2" w:rsidRPr="00E837F2" w:rsidRDefault="00E837F2">
            <w:pPr>
              <w:widowControl w:val="0"/>
              <w:ind w:left="113" w:hanging="113"/>
            </w:pPr>
            <w:r w:rsidRPr="00E837F2">
              <w:t>Loans to leasing companies</w:t>
            </w:r>
          </w:p>
        </w:tc>
        <w:tc>
          <w:tcPr>
            <w:tcW w:w="780" w:type="pct"/>
            <w:vAlign w:val="bottom"/>
          </w:tcPr>
          <w:p w14:paraId="0F90378E" w14:textId="77777777" w:rsidR="00E837F2" w:rsidRPr="00E837F2" w:rsidRDefault="00E837F2">
            <w:pPr>
              <w:widowControl w:val="0"/>
              <w:jc w:val="right"/>
            </w:pPr>
          </w:p>
        </w:tc>
        <w:tc>
          <w:tcPr>
            <w:tcW w:w="780" w:type="pct"/>
          </w:tcPr>
          <w:p w14:paraId="2AAFEB33" w14:textId="77777777" w:rsidR="00E837F2" w:rsidRPr="00E837F2" w:rsidRDefault="00E837F2">
            <w:pPr>
              <w:widowControl w:val="0"/>
              <w:jc w:val="right"/>
            </w:pPr>
          </w:p>
        </w:tc>
      </w:tr>
      <w:tr w:rsidR="00E837F2" w:rsidRPr="00E837F2" w14:paraId="2E7E396A" w14:textId="77777777" w:rsidTr="001B330E">
        <w:trPr>
          <w:trHeight w:val="23"/>
        </w:trPr>
        <w:tc>
          <w:tcPr>
            <w:tcW w:w="3440" w:type="pct"/>
            <w:shd w:val="clear" w:color="auto" w:fill="auto"/>
            <w:vAlign w:val="bottom"/>
          </w:tcPr>
          <w:p w14:paraId="32B4954B" w14:textId="4C17ED8A" w:rsidR="00E837F2" w:rsidRPr="00E837F2" w:rsidRDefault="00E837F2">
            <w:pPr>
              <w:widowControl w:val="0"/>
              <w:ind w:left="113" w:hanging="113"/>
            </w:pPr>
            <w:r w:rsidRPr="00E837F2">
              <w:t xml:space="preserve">Reverse sale and repurchase agreements </w:t>
            </w:r>
          </w:p>
        </w:tc>
        <w:tc>
          <w:tcPr>
            <w:tcW w:w="780" w:type="pct"/>
            <w:vAlign w:val="bottom"/>
          </w:tcPr>
          <w:p w14:paraId="4EE2A541" w14:textId="77777777" w:rsidR="00E837F2" w:rsidRPr="00E837F2" w:rsidRDefault="00E837F2">
            <w:pPr>
              <w:widowControl w:val="0"/>
              <w:jc w:val="right"/>
            </w:pPr>
          </w:p>
        </w:tc>
        <w:tc>
          <w:tcPr>
            <w:tcW w:w="780" w:type="pct"/>
          </w:tcPr>
          <w:p w14:paraId="67EA9C62" w14:textId="77777777" w:rsidR="00E837F2" w:rsidRPr="00E837F2" w:rsidRDefault="00E837F2">
            <w:pPr>
              <w:widowControl w:val="0"/>
              <w:jc w:val="right"/>
            </w:pPr>
          </w:p>
        </w:tc>
      </w:tr>
      <w:tr w:rsidR="00E837F2" w:rsidRPr="00E837F2" w14:paraId="186F2488" w14:textId="77777777" w:rsidTr="001B330E">
        <w:trPr>
          <w:trHeight w:val="23"/>
        </w:trPr>
        <w:tc>
          <w:tcPr>
            <w:tcW w:w="3440" w:type="pct"/>
            <w:shd w:val="clear" w:color="auto" w:fill="auto"/>
            <w:vAlign w:val="bottom"/>
          </w:tcPr>
          <w:p w14:paraId="3B6D5ADE" w14:textId="77777777" w:rsidR="00E837F2" w:rsidRPr="00E837F2" w:rsidRDefault="00E837F2">
            <w:pPr>
              <w:widowControl w:val="0"/>
              <w:pBdr>
                <w:top w:val="nil"/>
                <w:left w:val="nil"/>
                <w:bottom w:val="nil"/>
                <w:right w:val="nil"/>
                <w:between w:val="nil"/>
              </w:pBdr>
              <w:ind w:left="113" w:hanging="113"/>
              <w:rPr>
                <w:color w:val="000000"/>
              </w:rPr>
            </w:pPr>
          </w:p>
        </w:tc>
        <w:tc>
          <w:tcPr>
            <w:tcW w:w="780" w:type="pct"/>
            <w:vAlign w:val="bottom"/>
          </w:tcPr>
          <w:p w14:paraId="5F54298D" w14:textId="77777777" w:rsidR="00E837F2" w:rsidRPr="00E837F2" w:rsidRDefault="00E837F2">
            <w:pPr>
              <w:widowControl w:val="0"/>
              <w:pBdr>
                <w:top w:val="nil"/>
                <w:left w:val="nil"/>
                <w:bottom w:val="nil"/>
                <w:right w:val="nil"/>
                <w:between w:val="nil"/>
              </w:pBdr>
              <w:jc w:val="right"/>
              <w:rPr>
                <w:color w:val="000000"/>
              </w:rPr>
            </w:pPr>
          </w:p>
        </w:tc>
        <w:tc>
          <w:tcPr>
            <w:tcW w:w="780" w:type="pct"/>
          </w:tcPr>
          <w:p w14:paraId="3ACAFD96"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327F5A64" w14:textId="77777777" w:rsidTr="001B330E">
        <w:trPr>
          <w:trHeight w:val="23"/>
        </w:trPr>
        <w:tc>
          <w:tcPr>
            <w:tcW w:w="3440" w:type="pct"/>
            <w:shd w:val="clear" w:color="auto" w:fill="auto"/>
            <w:vAlign w:val="bottom"/>
          </w:tcPr>
          <w:p w14:paraId="7AD9425B" w14:textId="77777777" w:rsidR="00E837F2" w:rsidRPr="00E837F2" w:rsidRDefault="00E837F2">
            <w:pPr>
              <w:widowControl w:val="0"/>
              <w:ind w:left="113" w:hanging="113"/>
            </w:pPr>
            <w:r w:rsidRPr="00E837F2">
              <w:rPr>
                <w:i/>
              </w:rPr>
              <w:t>Loans to individuals</w:t>
            </w:r>
          </w:p>
        </w:tc>
        <w:tc>
          <w:tcPr>
            <w:tcW w:w="780" w:type="pct"/>
            <w:vAlign w:val="bottom"/>
          </w:tcPr>
          <w:p w14:paraId="7DA7234B" w14:textId="77777777" w:rsidR="00E837F2" w:rsidRPr="00E837F2" w:rsidRDefault="00E837F2">
            <w:pPr>
              <w:widowControl w:val="0"/>
              <w:pBdr>
                <w:top w:val="nil"/>
                <w:left w:val="nil"/>
                <w:bottom w:val="nil"/>
                <w:right w:val="nil"/>
                <w:between w:val="nil"/>
              </w:pBdr>
              <w:jc w:val="right"/>
              <w:rPr>
                <w:color w:val="000000"/>
              </w:rPr>
            </w:pPr>
          </w:p>
        </w:tc>
        <w:tc>
          <w:tcPr>
            <w:tcW w:w="780" w:type="pct"/>
          </w:tcPr>
          <w:p w14:paraId="1001DCC6"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51296993" w14:textId="77777777" w:rsidTr="001B330E">
        <w:trPr>
          <w:trHeight w:val="23"/>
        </w:trPr>
        <w:tc>
          <w:tcPr>
            <w:tcW w:w="3440" w:type="pct"/>
            <w:shd w:val="clear" w:color="auto" w:fill="auto"/>
            <w:vAlign w:val="bottom"/>
          </w:tcPr>
          <w:p w14:paraId="5ABB8C96" w14:textId="77777777" w:rsidR="00E837F2" w:rsidRPr="00E837F2" w:rsidRDefault="00E837F2">
            <w:pPr>
              <w:widowControl w:val="0"/>
              <w:ind w:left="113" w:hanging="113"/>
              <w:rPr>
                <w:i/>
              </w:rPr>
            </w:pPr>
          </w:p>
        </w:tc>
        <w:tc>
          <w:tcPr>
            <w:tcW w:w="780" w:type="pct"/>
            <w:vAlign w:val="bottom"/>
          </w:tcPr>
          <w:p w14:paraId="5FE99D2F" w14:textId="77777777" w:rsidR="00E837F2" w:rsidRPr="00E837F2" w:rsidRDefault="00E837F2">
            <w:pPr>
              <w:widowControl w:val="0"/>
              <w:pBdr>
                <w:top w:val="nil"/>
                <w:left w:val="nil"/>
                <w:bottom w:val="nil"/>
                <w:right w:val="nil"/>
                <w:between w:val="nil"/>
              </w:pBdr>
              <w:jc w:val="right"/>
              <w:rPr>
                <w:color w:val="000000"/>
              </w:rPr>
            </w:pPr>
          </w:p>
        </w:tc>
        <w:tc>
          <w:tcPr>
            <w:tcW w:w="780" w:type="pct"/>
          </w:tcPr>
          <w:p w14:paraId="203FF868"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254A79DF" w14:textId="77777777" w:rsidTr="001B330E">
        <w:trPr>
          <w:trHeight w:val="23"/>
        </w:trPr>
        <w:tc>
          <w:tcPr>
            <w:tcW w:w="3440" w:type="pct"/>
            <w:shd w:val="clear" w:color="auto" w:fill="auto"/>
            <w:vAlign w:val="bottom"/>
          </w:tcPr>
          <w:p w14:paraId="3CC4044B" w14:textId="77777777" w:rsidR="00E837F2" w:rsidRPr="00E837F2" w:rsidRDefault="00E837F2">
            <w:pPr>
              <w:widowControl w:val="0"/>
              <w:ind w:left="113" w:hanging="113"/>
            </w:pPr>
            <w:r w:rsidRPr="00E837F2">
              <w:t xml:space="preserve">Mortgage loans </w:t>
            </w:r>
          </w:p>
        </w:tc>
        <w:tc>
          <w:tcPr>
            <w:tcW w:w="780" w:type="pct"/>
            <w:vAlign w:val="bottom"/>
          </w:tcPr>
          <w:p w14:paraId="6F747865" w14:textId="77777777" w:rsidR="00E837F2" w:rsidRPr="00E837F2" w:rsidRDefault="00E837F2">
            <w:pPr>
              <w:widowControl w:val="0"/>
              <w:jc w:val="right"/>
            </w:pPr>
          </w:p>
        </w:tc>
        <w:tc>
          <w:tcPr>
            <w:tcW w:w="780" w:type="pct"/>
          </w:tcPr>
          <w:p w14:paraId="623BA58A" w14:textId="77777777" w:rsidR="00E837F2" w:rsidRPr="00E837F2" w:rsidRDefault="00E837F2">
            <w:pPr>
              <w:widowControl w:val="0"/>
              <w:jc w:val="right"/>
            </w:pPr>
          </w:p>
        </w:tc>
      </w:tr>
      <w:tr w:rsidR="00E837F2" w:rsidRPr="00E837F2" w14:paraId="6B2DF266" w14:textId="77777777" w:rsidTr="001B330E">
        <w:trPr>
          <w:trHeight w:val="23"/>
        </w:trPr>
        <w:tc>
          <w:tcPr>
            <w:tcW w:w="3440" w:type="pct"/>
            <w:shd w:val="clear" w:color="auto" w:fill="auto"/>
            <w:vAlign w:val="bottom"/>
          </w:tcPr>
          <w:p w14:paraId="35323894" w14:textId="77777777" w:rsidR="00E837F2" w:rsidRPr="00E837F2" w:rsidRDefault="00E837F2">
            <w:pPr>
              <w:widowControl w:val="0"/>
              <w:ind w:left="113" w:hanging="113"/>
            </w:pPr>
            <w:r w:rsidRPr="00E837F2">
              <w:t>Consumer loans</w:t>
            </w:r>
          </w:p>
        </w:tc>
        <w:tc>
          <w:tcPr>
            <w:tcW w:w="780" w:type="pct"/>
            <w:vAlign w:val="bottom"/>
          </w:tcPr>
          <w:p w14:paraId="47F2E2E5" w14:textId="77777777" w:rsidR="00E837F2" w:rsidRPr="00E837F2" w:rsidRDefault="00E837F2">
            <w:pPr>
              <w:widowControl w:val="0"/>
              <w:jc w:val="right"/>
            </w:pPr>
          </w:p>
        </w:tc>
        <w:tc>
          <w:tcPr>
            <w:tcW w:w="780" w:type="pct"/>
          </w:tcPr>
          <w:p w14:paraId="4BF75969" w14:textId="77777777" w:rsidR="00E837F2" w:rsidRPr="00E837F2" w:rsidRDefault="00E837F2">
            <w:pPr>
              <w:widowControl w:val="0"/>
              <w:jc w:val="right"/>
            </w:pPr>
          </w:p>
        </w:tc>
      </w:tr>
      <w:tr w:rsidR="00E837F2" w:rsidRPr="00E837F2" w14:paraId="058FC03F" w14:textId="77777777" w:rsidTr="001B330E">
        <w:trPr>
          <w:trHeight w:val="23"/>
        </w:trPr>
        <w:tc>
          <w:tcPr>
            <w:tcW w:w="3440" w:type="pct"/>
            <w:shd w:val="clear" w:color="auto" w:fill="auto"/>
            <w:vAlign w:val="bottom"/>
          </w:tcPr>
          <w:p w14:paraId="5CB92A6A" w14:textId="77777777" w:rsidR="00E837F2" w:rsidRPr="00E837F2" w:rsidRDefault="00E837F2">
            <w:pPr>
              <w:widowControl w:val="0"/>
              <w:ind w:left="113" w:hanging="113"/>
            </w:pPr>
            <w:r w:rsidRPr="00E837F2">
              <w:t>Car loans</w:t>
            </w:r>
          </w:p>
        </w:tc>
        <w:tc>
          <w:tcPr>
            <w:tcW w:w="780" w:type="pct"/>
            <w:vAlign w:val="bottom"/>
          </w:tcPr>
          <w:p w14:paraId="11E19678" w14:textId="77777777" w:rsidR="00E837F2" w:rsidRPr="00E837F2" w:rsidRDefault="00E837F2">
            <w:pPr>
              <w:widowControl w:val="0"/>
              <w:jc w:val="right"/>
            </w:pPr>
          </w:p>
        </w:tc>
        <w:tc>
          <w:tcPr>
            <w:tcW w:w="780" w:type="pct"/>
          </w:tcPr>
          <w:p w14:paraId="16563DDB" w14:textId="77777777" w:rsidR="00E837F2" w:rsidRPr="00E837F2" w:rsidRDefault="00E837F2">
            <w:pPr>
              <w:widowControl w:val="0"/>
              <w:jc w:val="right"/>
            </w:pPr>
          </w:p>
        </w:tc>
      </w:tr>
      <w:tr w:rsidR="00E837F2" w:rsidRPr="00E837F2" w14:paraId="53611179" w14:textId="77777777" w:rsidTr="001B330E">
        <w:trPr>
          <w:trHeight w:val="23"/>
        </w:trPr>
        <w:tc>
          <w:tcPr>
            <w:tcW w:w="3440" w:type="pct"/>
            <w:shd w:val="clear" w:color="auto" w:fill="auto"/>
            <w:vAlign w:val="bottom"/>
          </w:tcPr>
          <w:p w14:paraId="76CEE183" w14:textId="2CE9F998" w:rsidR="00E837F2" w:rsidRPr="00E837F2" w:rsidRDefault="00E837F2">
            <w:pPr>
              <w:widowControl w:val="0"/>
              <w:ind w:left="113" w:hanging="113"/>
            </w:pPr>
            <w:r w:rsidRPr="00E837F2">
              <w:t xml:space="preserve">Credit cards </w:t>
            </w:r>
          </w:p>
        </w:tc>
        <w:tc>
          <w:tcPr>
            <w:tcW w:w="780" w:type="pct"/>
            <w:vAlign w:val="bottom"/>
          </w:tcPr>
          <w:p w14:paraId="30CDCB0D" w14:textId="77777777" w:rsidR="00E837F2" w:rsidRPr="00E837F2" w:rsidRDefault="00E837F2">
            <w:pPr>
              <w:widowControl w:val="0"/>
              <w:jc w:val="right"/>
            </w:pPr>
          </w:p>
        </w:tc>
        <w:tc>
          <w:tcPr>
            <w:tcW w:w="780" w:type="pct"/>
          </w:tcPr>
          <w:p w14:paraId="61F371C9" w14:textId="77777777" w:rsidR="00E837F2" w:rsidRPr="00E837F2" w:rsidRDefault="00E837F2">
            <w:pPr>
              <w:widowControl w:val="0"/>
              <w:jc w:val="right"/>
            </w:pPr>
          </w:p>
        </w:tc>
      </w:tr>
      <w:tr w:rsidR="00E837F2" w:rsidRPr="00E837F2" w14:paraId="7BEE742C" w14:textId="77777777" w:rsidTr="001B330E">
        <w:trPr>
          <w:trHeight w:val="23"/>
        </w:trPr>
        <w:tc>
          <w:tcPr>
            <w:tcW w:w="3440" w:type="pct"/>
            <w:tcBorders>
              <w:bottom w:val="single" w:sz="4" w:space="0" w:color="000000"/>
            </w:tcBorders>
            <w:shd w:val="clear" w:color="auto" w:fill="auto"/>
            <w:vAlign w:val="bottom"/>
          </w:tcPr>
          <w:p w14:paraId="4DE8268C" w14:textId="77777777" w:rsidR="00E837F2" w:rsidRPr="00E837F2" w:rsidRDefault="00E837F2">
            <w:pPr>
              <w:widowControl w:val="0"/>
              <w:ind w:left="113" w:hanging="113"/>
            </w:pPr>
          </w:p>
        </w:tc>
        <w:tc>
          <w:tcPr>
            <w:tcW w:w="780" w:type="pct"/>
            <w:tcBorders>
              <w:bottom w:val="single" w:sz="4" w:space="0" w:color="000000"/>
            </w:tcBorders>
            <w:vAlign w:val="bottom"/>
          </w:tcPr>
          <w:p w14:paraId="672EC853" w14:textId="77777777" w:rsidR="00E837F2" w:rsidRPr="00E837F2" w:rsidRDefault="00E837F2">
            <w:pPr>
              <w:widowControl w:val="0"/>
              <w:jc w:val="right"/>
            </w:pPr>
          </w:p>
        </w:tc>
        <w:tc>
          <w:tcPr>
            <w:tcW w:w="780" w:type="pct"/>
            <w:tcBorders>
              <w:bottom w:val="single" w:sz="4" w:space="0" w:color="000000"/>
            </w:tcBorders>
          </w:tcPr>
          <w:p w14:paraId="08C80181" w14:textId="77777777" w:rsidR="00E837F2" w:rsidRPr="00E837F2" w:rsidRDefault="00E837F2">
            <w:pPr>
              <w:widowControl w:val="0"/>
              <w:jc w:val="right"/>
            </w:pPr>
          </w:p>
        </w:tc>
      </w:tr>
      <w:tr w:rsidR="00E837F2" w:rsidRPr="00E837F2" w14:paraId="22B56A06" w14:textId="77777777" w:rsidTr="001B330E">
        <w:trPr>
          <w:trHeight w:val="23"/>
        </w:trPr>
        <w:tc>
          <w:tcPr>
            <w:tcW w:w="3440" w:type="pct"/>
            <w:shd w:val="clear" w:color="auto" w:fill="auto"/>
            <w:vAlign w:val="bottom"/>
          </w:tcPr>
          <w:p w14:paraId="05EBB2AD" w14:textId="77777777" w:rsidR="00E837F2" w:rsidRPr="00E837F2" w:rsidRDefault="00E837F2">
            <w:pPr>
              <w:widowControl w:val="0"/>
              <w:pBdr>
                <w:top w:val="nil"/>
                <w:left w:val="nil"/>
                <w:bottom w:val="nil"/>
                <w:right w:val="nil"/>
                <w:between w:val="nil"/>
              </w:pBdr>
              <w:ind w:left="113" w:hanging="113"/>
              <w:rPr>
                <w:color w:val="000000"/>
              </w:rPr>
            </w:pPr>
          </w:p>
        </w:tc>
        <w:tc>
          <w:tcPr>
            <w:tcW w:w="780" w:type="pct"/>
            <w:vAlign w:val="bottom"/>
          </w:tcPr>
          <w:p w14:paraId="28BC3673" w14:textId="77777777" w:rsidR="00E837F2" w:rsidRPr="00E837F2" w:rsidRDefault="00E837F2">
            <w:pPr>
              <w:widowControl w:val="0"/>
              <w:pBdr>
                <w:top w:val="nil"/>
                <w:left w:val="nil"/>
                <w:bottom w:val="nil"/>
                <w:right w:val="nil"/>
                <w:between w:val="nil"/>
              </w:pBdr>
              <w:jc w:val="right"/>
              <w:rPr>
                <w:color w:val="000000"/>
              </w:rPr>
            </w:pPr>
          </w:p>
        </w:tc>
        <w:tc>
          <w:tcPr>
            <w:tcW w:w="780" w:type="pct"/>
          </w:tcPr>
          <w:p w14:paraId="57819EC9"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29FB47BD" w14:textId="77777777" w:rsidTr="001B330E">
        <w:trPr>
          <w:trHeight w:val="23"/>
        </w:trPr>
        <w:tc>
          <w:tcPr>
            <w:tcW w:w="3440" w:type="pct"/>
            <w:shd w:val="clear" w:color="auto" w:fill="auto"/>
            <w:vAlign w:val="bottom"/>
          </w:tcPr>
          <w:p w14:paraId="24B13C53" w14:textId="77777777" w:rsidR="00E837F2" w:rsidRPr="00E837F2" w:rsidRDefault="00E837F2">
            <w:pPr>
              <w:widowControl w:val="0"/>
              <w:pBdr>
                <w:top w:val="nil"/>
                <w:left w:val="nil"/>
                <w:bottom w:val="nil"/>
                <w:right w:val="nil"/>
                <w:between w:val="nil"/>
              </w:pBdr>
              <w:ind w:left="113" w:hanging="113"/>
              <w:rPr>
                <w:color w:val="000000"/>
              </w:rPr>
            </w:pPr>
            <w:r w:rsidRPr="00E837F2">
              <w:rPr>
                <w:b/>
                <w:color w:val="000000"/>
              </w:rPr>
              <w:t>Total loans and advances to customers at FVTPL</w:t>
            </w:r>
          </w:p>
        </w:tc>
        <w:tc>
          <w:tcPr>
            <w:tcW w:w="780" w:type="pct"/>
            <w:vAlign w:val="bottom"/>
          </w:tcPr>
          <w:p w14:paraId="2092A41D" w14:textId="77777777" w:rsidR="00E837F2" w:rsidRPr="00E837F2" w:rsidRDefault="00E837F2">
            <w:pPr>
              <w:widowControl w:val="0"/>
              <w:pBdr>
                <w:top w:val="nil"/>
                <w:left w:val="nil"/>
                <w:bottom w:val="nil"/>
                <w:right w:val="nil"/>
                <w:between w:val="nil"/>
              </w:pBdr>
              <w:jc w:val="right"/>
              <w:rPr>
                <w:color w:val="000000"/>
              </w:rPr>
            </w:pPr>
          </w:p>
        </w:tc>
        <w:tc>
          <w:tcPr>
            <w:tcW w:w="780" w:type="pct"/>
          </w:tcPr>
          <w:p w14:paraId="34AE9E4A"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2994D4FD" w14:textId="77777777" w:rsidTr="001B330E">
        <w:trPr>
          <w:trHeight w:val="23"/>
        </w:trPr>
        <w:tc>
          <w:tcPr>
            <w:tcW w:w="3440" w:type="pct"/>
            <w:tcBorders>
              <w:bottom w:val="single" w:sz="12" w:space="0" w:color="000000"/>
            </w:tcBorders>
            <w:shd w:val="clear" w:color="auto" w:fill="auto"/>
            <w:vAlign w:val="bottom"/>
          </w:tcPr>
          <w:p w14:paraId="27FBE2BF" w14:textId="77777777" w:rsidR="00E837F2" w:rsidRPr="00E837F2" w:rsidRDefault="00E837F2">
            <w:pPr>
              <w:widowControl w:val="0"/>
              <w:ind w:left="113" w:hanging="113"/>
            </w:pPr>
          </w:p>
        </w:tc>
        <w:tc>
          <w:tcPr>
            <w:tcW w:w="780" w:type="pct"/>
            <w:tcBorders>
              <w:bottom w:val="single" w:sz="12" w:space="0" w:color="000000"/>
            </w:tcBorders>
            <w:vAlign w:val="bottom"/>
          </w:tcPr>
          <w:p w14:paraId="16B2CCAA" w14:textId="77777777" w:rsidR="00E837F2" w:rsidRPr="00E837F2" w:rsidRDefault="00E837F2">
            <w:pPr>
              <w:widowControl w:val="0"/>
              <w:pBdr>
                <w:top w:val="nil"/>
                <w:left w:val="nil"/>
                <w:bottom w:val="nil"/>
                <w:right w:val="nil"/>
                <w:between w:val="nil"/>
              </w:pBdr>
              <w:jc w:val="right"/>
              <w:rPr>
                <w:b/>
                <w:color w:val="000000"/>
              </w:rPr>
            </w:pPr>
          </w:p>
        </w:tc>
        <w:tc>
          <w:tcPr>
            <w:tcW w:w="780" w:type="pct"/>
            <w:tcBorders>
              <w:bottom w:val="single" w:sz="12" w:space="0" w:color="000000"/>
            </w:tcBorders>
          </w:tcPr>
          <w:p w14:paraId="646248EF" w14:textId="77777777" w:rsidR="00E837F2" w:rsidRPr="00E837F2" w:rsidRDefault="00E837F2">
            <w:pPr>
              <w:widowControl w:val="0"/>
              <w:pBdr>
                <w:top w:val="nil"/>
                <w:left w:val="nil"/>
                <w:bottom w:val="nil"/>
                <w:right w:val="nil"/>
                <w:between w:val="nil"/>
              </w:pBdr>
              <w:jc w:val="right"/>
              <w:rPr>
                <w:b/>
                <w:color w:val="000000"/>
              </w:rPr>
            </w:pPr>
          </w:p>
        </w:tc>
      </w:tr>
    </w:tbl>
    <w:p w14:paraId="4DBBB16C" w14:textId="3F78CF1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During </w:t>
      </w:r>
      <w:r w:rsidR="00541EBC">
        <w:rPr>
          <w:color w:val="000000"/>
          <w:sz w:val="20"/>
          <w:szCs w:val="20"/>
        </w:rPr>
        <w:t>2024</w:t>
      </w:r>
      <w:r>
        <w:rPr>
          <w:color w:val="000000"/>
          <w:sz w:val="20"/>
          <w:szCs w:val="20"/>
        </w:rPr>
        <w:t xml:space="preserve">, a loss on initial recognition of loans at rates below market in the amount of </w:t>
      </w:r>
      <w:r w:rsidR="00D73799">
        <w:rPr>
          <w:color w:val="000000"/>
          <w:sz w:val="20"/>
          <w:szCs w:val="20"/>
        </w:rPr>
        <w:t>EUR</w:t>
      </w:r>
      <w:r>
        <w:rPr>
          <w:color w:val="000000"/>
          <w:sz w:val="20"/>
          <w:szCs w:val="20"/>
        </w:rPr>
        <w:t xml:space="preserve"> 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thousand) has been recorded in profit or loss for the year </w:t>
      </w:r>
      <w:r>
        <w:rPr>
          <w:color w:val="0000FF"/>
          <w:sz w:val="20"/>
          <w:szCs w:val="20"/>
        </w:rPr>
        <w:t>[statement of changes in equity because it represented a distribution to the Group’s owners]</w:t>
      </w:r>
      <w:r>
        <w:rPr>
          <w:color w:val="000000"/>
          <w:sz w:val="20"/>
          <w:szCs w:val="20"/>
        </w:rPr>
        <w:t xml:space="preserve">. </w:t>
      </w:r>
    </w:p>
    <w:p w14:paraId="349248F6" w14:textId="2719122A"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has a right to sell or repledge securities with a fair value of </w:t>
      </w:r>
      <w:r w:rsidR="00D73799">
        <w:rPr>
          <w:color w:val="000000"/>
          <w:sz w:val="20"/>
          <w:szCs w:val="20"/>
        </w:rPr>
        <w:t>EUR</w:t>
      </w:r>
      <w:r>
        <w:rPr>
          <w:color w:val="000000"/>
          <w:sz w:val="20"/>
          <w:szCs w:val="20"/>
        </w:rPr>
        <w:t xml:space="preserve"> 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thousand) received under reverse sale and repurchase agreements. </w:t>
      </w:r>
      <w:r>
        <w:rPr>
          <w:i/>
          <w:color w:val="FF0000"/>
          <w:sz w:val="20"/>
          <w:szCs w:val="20"/>
        </w:rPr>
        <w:t>[</w:t>
      </w:r>
      <w:r w:rsidR="00D00E5A">
        <w:rPr>
          <w:i/>
          <w:color w:val="FF0000"/>
          <w:sz w:val="20"/>
          <w:szCs w:val="20"/>
        </w:rPr>
        <w:t>Tailor to d</w:t>
      </w:r>
      <w:r>
        <w:rPr>
          <w:i/>
          <w:color w:val="FF0000"/>
          <w:sz w:val="20"/>
          <w:szCs w:val="20"/>
        </w:rPr>
        <w:t>isclose any material terms and conditions associated with the use of the collateral.]</w:t>
      </w:r>
    </w:p>
    <w:p w14:paraId="6B05DF34" w14:textId="32D046B5" w:rsidR="00D83E33" w:rsidRDefault="00BC4072" w:rsidP="001B330E">
      <w:pPr>
        <w:pStyle w:val="Continued"/>
      </w:pPr>
      <w:r>
        <w:lastRenderedPageBreak/>
        <w:t>11</w:t>
      </w:r>
      <w:r>
        <w:tab/>
        <w:t>Loans and Advances to Customers (Continued)</w:t>
      </w:r>
    </w:p>
    <w:p w14:paraId="5B50C5ED" w14:textId="3D4F19C2" w:rsidR="00D83E33" w:rsidRDefault="00BC4072">
      <w:pPr>
        <w:widowControl w:val="0"/>
        <w:spacing w:before="200" w:after="200"/>
        <w:jc w:val="both"/>
        <w:rPr>
          <w:i/>
          <w:color w:val="FF0000"/>
          <w:sz w:val="20"/>
          <w:szCs w:val="20"/>
        </w:rPr>
      </w:pPr>
      <w:r>
        <w:rPr>
          <w:sz w:val="20"/>
          <w:szCs w:val="20"/>
        </w:rPr>
        <w:t>The following tables disclose the changes in the credit loss allowance and gross carrying amount for loans and advances to customers carried at amortised cost between the beginning and the end of the reporting and comparative periods</w:t>
      </w:r>
      <w:r>
        <w:rPr>
          <w:i/>
          <w:color w:val="FF0000"/>
          <w:sz w:val="20"/>
          <w:szCs w:val="20"/>
        </w:rPr>
        <w:t>:</w:t>
      </w:r>
    </w:p>
    <w:tbl>
      <w:tblPr>
        <w:tblStyle w:val="afff9"/>
        <w:tblW w:w="5000" w:type="pct"/>
        <w:tblLayout w:type="fixed"/>
        <w:tblLook w:val="0000" w:firstRow="0" w:lastRow="0" w:firstColumn="0" w:lastColumn="0" w:noHBand="0" w:noVBand="0"/>
      </w:tblPr>
      <w:tblGrid>
        <w:gridCol w:w="2553"/>
        <w:gridCol w:w="850"/>
        <w:gridCol w:w="850"/>
        <w:gridCol w:w="849"/>
        <w:gridCol w:w="851"/>
        <w:gridCol w:w="851"/>
        <w:gridCol w:w="851"/>
        <w:gridCol w:w="851"/>
        <w:gridCol w:w="849"/>
      </w:tblGrid>
      <w:tr w:rsidR="00D83E33" w:rsidRPr="001F77EE" w14:paraId="7355258C" w14:textId="77777777" w:rsidTr="001B330E">
        <w:trPr>
          <w:trHeight w:val="23"/>
        </w:trPr>
        <w:tc>
          <w:tcPr>
            <w:tcW w:w="1364" w:type="pct"/>
            <w:shd w:val="clear" w:color="auto" w:fill="auto"/>
            <w:vAlign w:val="bottom"/>
          </w:tcPr>
          <w:p w14:paraId="44C5EEA3" w14:textId="77777777" w:rsidR="00D83E33" w:rsidRPr="00372E26" w:rsidRDefault="00D83E33">
            <w:pPr>
              <w:widowControl w:val="0"/>
              <w:pBdr>
                <w:top w:val="nil"/>
                <w:left w:val="nil"/>
                <w:bottom w:val="nil"/>
                <w:right w:val="nil"/>
                <w:between w:val="nil"/>
              </w:pBdr>
              <w:ind w:left="113" w:hanging="113"/>
              <w:rPr>
                <w:i/>
                <w:color w:val="000000"/>
                <w:sz w:val="16"/>
                <w:szCs w:val="16"/>
              </w:rPr>
            </w:pPr>
          </w:p>
        </w:tc>
        <w:tc>
          <w:tcPr>
            <w:tcW w:w="1817" w:type="pct"/>
            <w:gridSpan w:val="4"/>
            <w:tcBorders>
              <w:bottom w:val="single" w:sz="4" w:space="0" w:color="000000"/>
            </w:tcBorders>
            <w:shd w:val="clear" w:color="auto" w:fill="auto"/>
          </w:tcPr>
          <w:p w14:paraId="7860BF60" w14:textId="77777777" w:rsidR="00D83E33" w:rsidRPr="00372E26" w:rsidRDefault="00BC4072" w:rsidP="001B330E">
            <w:pPr>
              <w:widowControl w:val="0"/>
              <w:pBdr>
                <w:top w:val="nil"/>
                <w:left w:val="nil"/>
                <w:bottom w:val="nil"/>
                <w:right w:val="nil"/>
                <w:between w:val="nil"/>
              </w:pBdr>
              <w:tabs>
                <w:tab w:val="left" w:pos="3182"/>
              </w:tabs>
              <w:jc w:val="center"/>
              <w:rPr>
                <w:b/>
                <w:color w:val="000000"/>
                <w:sz w:val="16"/>
                <w:szCs w:val="16"/>
              </w:rPr>
            </w:pPr>
            <w:r w:rsidRPr="00372E26">
              <w:rPr>
                <w:b/>
                <w:color w:val="000000"/>
                <w:sz w:val="16"/>
                <w:szCs w:val="16"/>
              </w:rPr>
              <w:t>Credit loss allowance</w:t>
            </w:r>
          </w:p>
        </w:tc>
        <w:tc>
          <w:tcPr>
            <w:tcW w:w="1819" w:type="pct"/>
            <w:gridSpan w:val="4"/>
            <w:tcBorders>
              <w:bottom w:val="single" w:sz="4" w:space="0" w:color="000000"/>
            </w:tcBorders>
          </w:tcPr>
          <w:p w14:paraId="329AAFC0" w14:textId="77777777" w:rsidR="00D83E33" w:rsidRPr="00372E26" w:rsidRDefault="00BC4072" w:rsidP="001B330E">
            <w:pPr>
              <w:widowControl w:val="0"/>
              <w:pBdr>
                <w:top w:val="nil"/>
                <w:left w:val="nil"/>
                <w:bottom w:val="nil"/>
                <w:right w:val="nil"/>
                <w:between w:val="nil"/>
              </w:pBdr>
              <w:jc w:val="center"/>
              <w:rPr>
                <w:b/>
                <w:color w:val="000000"/>
                <w:sz w:val="16"/>
                <w:szCs w:val="16"/>
              </w:rPr>
            </w:pPr>
            <w:r w:rsidRPr="00372E26">
              <w:rPr>
                <w:b/>
                <w:color w:val="000000"/>
                <w:sz w:val="16"/>
                <w:szCs w:val="16"/>
              </w:rPr>
              <w:t>Gross carrying amount</w:t>
            </w:r>
          </w:p>
        </w:tc>
      </w:tr>
      <w:tr w:rsidR="00D83E33" w:rsidRPr="001F77EE" w14:paraId="4324D7A5" w14:textId="77777777" w:rsidTr="001B330E">
        <w:trPr>
          <w:trHeight w:val="23"/>
        </w:trPr>
        <w:tc>
          <w:tcPr>
            <w:tcW w:w="1364" w:type="pct"/>
            <w:tcBorders>
              <w:bottom w:val="single" w:sz="4" w:space="0" w:color="000000"/>
            </w:tcBorders>
            <w:shd w:val="clear" w:color="auto" w:fill="auto"/>
            <w:vAlign w:val="bottom"/>
          </w:tcPr>
          <w:p w14:paraId="248E7308" w14:textId="77777777" w:rsidR="00D83E33" w:rsidRPr="00372E26" w:rsidRDefault="00D83E33">
            <w:pPr>
              <w:widowControl w:val="0"/>
              <w:pBdr>
                <w:top w:val="nil"/>
                <w:left w:val="nil"/>
                <w:bottom w:val="nil"/>
                <w:right w:val="nil"/>
                <w:between w:val="nil"/>
              </w:pBdr>
              <w:ind w:left="113" w:hanging="113"/>
              <w:rPr>
                <w:i/>
                <w:color w:val="000000"/>
                <w:sz w:val="16"/>
                <w:szCs w:val="16"/>
              </w:rPr>
            </w:pPr>
          </w:p>
          <w:p w14:paraId="07DFC776" w14:textId="7D818242" w:rsidR="00D83E33" w:rsidRPr="00372E26" w:rsidRDefault="00313B4D">
            <w:pPr>
              <w:widowControl w:val="0"/>
              <w:pBdr>
                <w:top w:val="nil"/>
                <w:left w:val="nil"/>
                <w:bottom w:val="nil"/>
                <w:right w:val="nil"/>
                <w:between w:val="nil"/>
              </w:pBdr>
              <w:ind w:left="113" w:hanging="113"/>
              <w:rPr>
                <w:b/>
                <w:i/>
                <w:color w:val="000000"/>
                <w:sz w:val="16"/>
                <w:szCs w:val="16"/>
              </w:rPr>
            </w:pPr>
            <w:r w:rsidRPr="00372E26">
              <w:rPr>
                <w:i/>
                <w:color w:val="000000"/>
                <w:sz w:val="16"/>
                <w:szCs w:val="16"/>
              </w:rPr>
              <w:t xml:space="preserve">In thousands of </w:t>
            </w:r>
            <w:r w:rsidR="002649EE" w:rsidRPr="00372E26">
              <w:rPr>
                <w:i/>
                <w:color w:val="000000"/>
                <w:sz w:val="16"/>
                <w:szCs w:val="16"/>
              </w:rPr>
              <w:t>EUR</w:t>
            </w:r>
          </w:p>
        </w:tc>
        <w:tc>
          <w:tcPr>
            <w:tcW w:w="454" w:type="pct"/>
            <w:tcBorders>
              <w:top w:val="single" w:sz="4" w:space="0" w:color="000000"/>
              <w:bottom w:val="single" w:sz="4" w:space="0" w:color="000000"/>
            </w:tcBorders>
            <w:shd w:val="clear" w:color="auto" w:fill="auto"/>
          </w:tcPr>
          <w:p w14:paraId="2EF3AD45"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1</w:t>
            </w:r>
          </w:p>
          <w:p w14:paraId="554AFAC5" w14:textId="77777777" w:rsidR="00D83E33" w:rsidRPr="00372E26" w:rsidRDefault="00BC4072" w:rsidP="001B330E">
            <w:pPr>
              <w:widowControl w:val="0"/>
              <w:pBdr>
                <w:top w:val="nil"/>
                <w:left w:val="nil"/>
                <w:bottom w:val="nil"/>
                <w:right w:val="nil"/>
                <w:between w:val="nil"/>
              </w:pBdr>
              <w:ind w:left="-113" w:firstLine="142"/>
              <w:jc w:val="right"/>
              <w:rPr>
                <w:b/>
                <w:color w:val="000000"/>
                <w:sz w:val="16"/>
                <w:szCs w:val="16"/>
              </w:rPr>
            </w:pPr>
            <w:r w:rsidRPr="00372E26">
              <w:rPr>
                <w:b/>
                <w:color w:val="000000"/>
                <w:sz w:val="16"/>
                <w:szCs w:val="16"/>
              </w:rPr>
              <w:t>(12-months ECL)</w:t>
            </w:r>
          </w:p>
        </w:tc>
        <w:tc>
          <w:tcPr>
            <w:tcW w:w="454" w:type="pct"/>
            <w:tcBorders>
              <w:top w:val="single" w:sz="4" w:space="0" w:color="000000"/>
              <w:bottom w:val="single" w:sz="4" w:space="0" w:color="000000"/>
            </w:tcBorders>
            <w:shd w:val="clear" w:color="auto" w:fill="auto"/>
          </w:tcPr>
          <w:p w14:paraId="38833514"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2</w:t>
            </w:r>
          </w:p>
          <w:p w14:paraId="1C980E1E"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 xml:space="preserve">(lifetime ECL for SICR) </w:t>
            </w:r>
          </w:p>
        </w:tc>
        <w:tc>
          <w:tcPr>
            <w:tcW w:w="454" w:type="pct"/>
            <w:tcBorders>
              <w:top w:val="single" w:sz="4" w:space="0" w:color="000000"/>
              <w:bottom w:val="single" w:sz="4" w:space="0" w:color="000000"/>
            </w:tcBorders>
            <w:shd w:val="clear" w:color="auto" w:fill="auto"/>
          </w:tcPr>
          <w:p w14:paraId="1062642D"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3</w:t>
            </w:r>
          </w:p>
          <w:p w14:paraId="29A9CC92"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(lifetime ECL for credit im-paired)</w:t>
            </w:r>
          </w:p>
        </w:tc>
        <w:tc>
          <w:tcPr>
            <w:tcW w:w="455" w:type="pct"/>
            <w:tcBorders>
              <w:top w:val="single" w:sz="4" w:space="0" w:color="000000"/>
              <w:bottom w:val="single" w:sz="4" w:space="0" w:color="000000"/>
            </w:tcBorders>
            <w:shd w:val="clear" w:color="auto" w:fill="auto"/>
          </w:tcPr>
          <w:p w14:paraId="7219B5AF"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Total</w:t>
            </w:r>
          </w:p>
        </w:tc>
        <w:tc>
          <w:tcPr>
            <w:tcW w:w="455" w:type="pct"/>
            <w:tcBorders>
              <w:top w:val="single" w:sz="4" w:space="0" w:color="000000"/>
              <w:bottom w:val="single" w:sz="4" w:space="0" w:color="000000"/>
            </w:tcBorders>
          </w:tcPr>
          <w:p w14:paraId="5F5BE0B3"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1</w:t>
            </w:r>
          </w:p>
          <w:p w14:paraId="62C8230B"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(12-months ECL)</w:t>
            </w:r>
          </w:p>
        </w:tc>
        <w:tc>
          <w:tcPr>
            <w:tcW w:w="455" w:type="pct"/>
            <w:tcBorders>
              <w:top w:val="single" w:sz="4" w:space="0" w:color="000000"/>
              <w:bottom w:val="single" w:sz="4" w:space="0" w:color="000000"/>
            </w:tcBorders>
          </w:tcPr>
          <w:p w14:paraId="32F54C0A"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2</w:t>
            </w:r>
          </w:p>
          <w:p w14:paraId="0772FCD2"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 xml:space="preserve">(lifetime ECL for SICR) </w:t>
            </w:r>
          </w:p>
        </w:tc>
        <w:tc>
          <w:tcPr>
            <w:tcW w:w="455" w:type="pct"/>
            <w:tcBorders>
              <w:top w:val="single" w:sz="4" w:space="0" w:color="000000"/>
              <w:bottom w:val="single" w:sz="4" w:space="0" w:color="000000"/>
            </w:tcBorders>
          </w:tcPr>
          <w:p w14:paraId="6159A7F4"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3</w:t>
            </w:r>
          </w:p>
          <w:p w14:paraId="478D272A"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(lifetime ECL for credit im-paired)</w:t>
            </w:r>
          </w:p>
        </w:tc>
        <w:tc>
          <w:tcPr>
            <w:tcW w:w="454" w:type="pct"/>
            <w:tcBorders>
              <w:top w:val="single" w:sz="4" w:space="0" w:color="000000"/>
              <w:bottom w:val="single" w:sz="4" w:space="0" w:color="000000"/>
            </w:tcBorders>
            <w:shd w:val="clear" w:color="auto" w:fill="auto"/>
          </w:tcPr>
          <w:p w14:paraId="0D2442D7" w14:textId="77777777" w:rsidR="00D83E33" w:rsidRPr="00372E26" w:rsidRDefault="00BC4072">
            <w:pPr>
              <w:widowControl w:val="0"/>
              <w:pBdr>
                <w:top w:val="nil"/>
                <w:left w:val="nil"/>
                <w:bottom w:val="nil"/>
                <w:right w:val="nil"/>
                <w:between w:val="nil"/>
              </w:pBdr>
              <w:ind w:left="-113"/>
              <w:jc w:val="right"/>
              <w:rPr>
                <w:b/>
                <w:color w:val="000000"/>
                <w:sz w:val="16"/>
                <w:szCs w:val="16"/>
              </w:rPr>
            </w:pPr>
            <w:r w:rsidRPr="00372E26">
              <w:rPr>
                <w:b/>
                <w:color w:val="000000"/>
                <w:sz w:val="16"/>
                <w:szCs w:val="16"/>
              </w:rPr>
              <w:t>Total</w:t>
            </w:r>
          </w:p>
        </w:tc>
      </w:tr>
      <w:tr w:rsidR="00D83E33" w:rsidRPr="001F77EE" w14:paraId="168BBD1A" w14:textId="77777777" w:rsidTr="001B330E">
        <w:trPr>
          <w:trHeight w:val="23"/>
        </w:trPr>
        <w:tc>
          <w:tcPr>
            <w:tcW w:w="1364" w:type="pct"/>
            <w:shd w:val="clear" w:color="auto" w:fill="auto"/>
            <w:vAlign w:val="bottom"/>
          </w:tcPr>
          <w:p w14:paraId="7771AEDA" w14:textId="77777777" w:rsidR="00D83E33" w:rsidRPr="00372E26" w:rsidRDefault="00D83E33">
            <w:pPr>
              <w:widowControl w:val="0"/>
              <w:ind w:left="113" w:hanging="113"/>
              <w:rPr>
                <w:sz w:val="16"/>
                <w:szCs w:val="16"/>
              </w:rPr>
            </w:pPr>
          </w:p>
        </w:tc>
        <w:tc>
          <w:tcPr>
            <w:tcW w:w="454" w:type="pct"/>
            <w:shd w:val="clear" w:color="auto" w:fill="auto"/>
            <w:vAlign w:val="bottom"/>
          </w:tcPr>
          <w:p w14:paraId="5F4DE03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499ED9D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6E19159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shd w:val="clear" w:color="auto" w:fill="auto"/>
            <w:vAlign w:val="bottom"/>
          </w:tcPr>
          <w:p w14:paraId="535DB93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D98375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6390112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28EF958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A48665D"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73C5904C" w14:textId="77777777" w:rsidTr="001B330E">
        <w:trPr>
          <w:trHeight w:val="23"/>
        </w:trPr>
        <w:tc>
          <w:tcPr>
            <w:tcW w:w="1364" w:type="pct"/>
            <w:shd w:val="clear" w:color="auto" w:fill="auto"/>
            <w:vAlign w:val="bottom"/>
          </w:tcPr>
          <w:p w14:paraId="09E25495" w14:textId="65482720" w:rsidR="00D83E33" w:rsidRPr="00372E26" w:rsidRDefault="001F77EE">
            <w:pPr>
              <w:widowControl w:val="0"/>
              <w:pBdr>
                <w:top w:val="nil"/>
                <w:left w:val="nil"/>
                <w:bottom w:val="nil"/>
                <w:right w:val="nil"/>
                <w:between w:val="nil"/>
              </w:pBdr>
              <w:ind w:left="113" w:hanging="113"/>
              <w:rPr>
                <w:b/>
                <w:i/>
                <w:color w:val="000000"/>
                <w:sz w:val="16"/>
                <w:szCs w:val="16"/>
              </w:rPr>
            </w:pPr>
            <w:r w:rsidRPr="00372E26">
              <w:rPr>
                <w:b/>
                <w:i/>
                <w:color w:val="0000FF"/>
                <w:sz w:val="16"/>
                <w:szCs w:val="16"/>
              </w:rPr>
              <w:t>[</w:t>
            </w:r>
            <w:r w:rsidR="00BC4072" w:rsidRPr="00372E26">
              <w:rPr>
                <w:b/>
                <w:i/>
                <w:color w:val="0000FF"/>
                <w:sz w:val="16"/>
                <w:szCs w:val="16"/>
              </w:rPr>
              <w:t>Standard lending</w:t>
            </w:r>
            <w:r w:rsidRPr="00372E26">
              <w:rPr>
                <w:b/>
                <w:i/>
                <w:color w:val="0000FF"/>
                <w:sz w:val="16"/>
                <w:szCs w:val="16"/>
              </w:rPr>
              <w:t>]</w:t>
            </w:r>
          </w:p>
        </w:tc>
        <w:tc>
          <w:tcPr>
            <w:tcW w:w="454" w:type="pct"/>
            <w:shd w:val="clear" w:color="auto" w:fill="auto"/>
            <w:vAlign w:val="bottom"/>
          </w:tcPr>
          <w:p w14:paraId="4AD38C3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30B689F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65D6E7B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00838F4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521B603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7F461EC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016A71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4014A9DE"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739F7C0F" w14:textId="77777777" w:rsidTr="001B330E">
        <w:trPr>
          <w:trHeight w:val="23"/>
        </w:trPr>
        <w:tc>
          <w:tcPr>
            <w:tcW w:w="1364" w:type="pct"/>
            <w:shd w:val="clear" w:color="auto" w:fill="auto"/>
            <w:vAlign w:val="bottom"/>
          </w:tcPr>
          <w:p w14:paraId="7D3DADF7" w14:textId="77777777" w:rsidR="00D83E33" w:rsidRPr="00372E26" w:rsidRDefault="00D83E33">
            <w:pPr>
              <w:widowControl w:val="0"/>
              <w:pBdr>
                <w:top w:val="nil"/>
                <w:left w:val="nil"/>
                <w:bottom w:val="nil"/>
                <w:right w:val="nil"/>
                <w:between w:val="nil"/>
              </w:pBdr>
              <w:ind w:left="113" w:hanging="113"/>
              <w:rPr>
                <w:b/>
                <w:i/>
                <w:color w:val="000000"/>
                <w:sz w:val="16"/>
                <w:szCs w:val="16"/>
              </w:rPr>
            </w:pPr>
          </w:p>
        </w:tc>
        <w:tc>
          <w:tcPr>
            <w:tcW w:w="454" w:type="pct"/>
            <w:shd w:val="clear" w:color="auto" w:fill="auto"/>
            <w:vAlign w:val="bottom"/>
          </w:tcPr>
          <w:p w14:paraId="4247CE6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57C5E7A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5E55189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019DE6D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21ACF17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02B725C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7317C0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506FFF3C"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0169D19C" w14:textId="77777777" w:rsidTr="001B330E">
        <w:trPr>
          <w:trHeight w:val="23"/>
        </w:trPr>
        <w:tc>
          <w:tcPr>
            <w:tcW w:w="1364" w:type="pct"/>
            <w:shd w:val="clear" w:color="auto" w:fill="auto"/>
            <w:vAlign w:val="bottom"/>
          </w:tcPr>
          <w:p w14:paraId="48672E6E" w14:textId="444B5BBC" w:rsidR="00D83E33" w:rsidRPr="00372E26" w:rsidRDefault="00BC4072">
            <w:pPr>
              <w:widowControl w:val="0"/>
              <w:pBdr>
                <w:top w:val="nil"/>
                <w:left w:val="nil"/>
                <w:bottom w:val="nil"/>
                <w:right w:val="nil"/>
                <w:between w:val="nil"/>
              </w:pBdr>
              <w:ind w:left="113" w:hanging="113"/>
              <w:rPr>
                <w:b/>
                <w:color w:val="0000FF"/>
                <w:sz w:val="16"/>
                <w:szCs w:val="16"/>
              </w:rPr>
            </w:pPr>
            <w:r w:rsidRPr="00372E26">
              <w:rPr>
                <w:b/>
                <w:color w:val="000000"/>
                <w:sz w:val="16"/>
                <w:szCs w:val="16"/>
              </w:rPr>
              <w:t>At 31</w:t>
            </w:r>
            <w:r w:rsidR="00181687" w:rsidRPr="00372E26">
              <w:rPr>
                <w:b/>
                <w:color w:val="000000"/>
                <w:sz w:val="16"/>
                <w:szCs w:val="16"/>
              </w:rPr>
              <w:t> December </w:t>
            </w:r>
            <w:r w:rsidR="00541EBC">
              <w:rPr>
                <w:b/>
                <w:color w:val="000000"/>
                <w:sz w:val="16"/>
                <w:szCs w:val="16"/>
              </w:rPr>
              <w:t>2023</w:t>
            </w:r>
          </w:p>
        </w:tc>
        <w:tc>
          <w:tcPr>
            <w:tcW w:w="454" w:type="pct"/>
            <w:shd w:val="clear" w:color="auto" w:fill="auto"/>
            <w:vAlign w:val="bottom"/>
          </w:tcPr>
          <w:p w14:paraId="396D09D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271FCC8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9F568A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26BD795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DE48C7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53EDA23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5E753B3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526ED839"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73FE4AF3" w14:textId="77777777" w:rsidTr="001B330E">
        <w:trPr>
          <w:trHeight w:val="23"/>
        </w:trPr>
        <w:tc>
          <w:tcPr>
            <w:tcW w:w="1364" w:type="pct"/>
            <w:shd w:val="clear" w:color="auto" w:fill="auto"/>
            <w:vAlign w:val="bottom"/>
          </w:tcPr>
          <w:p w14:paraId="539B0B69" w14:textId="77777777" w:rsidR="00D83E33" w:rsidRPr="00372E26" w:rsidRDefault="00D83E33" w:rsidP="001B330E">
            <w:pPr>
              <w:widowControl w:val="0"/>
              <w:pBdr>
                <w:top w:val="nil"/>
                <w:left w:val="nil"/>
                <w:bottom w:val="nil"/>
                <w:right w:val="nil"/>
                <w:between w:val="nil"/>
              </w:pBdr>
              <w:ind w:left="113" w:hanging="113"/>
              <w:rPr>
                <w:i/>
                <w:color w:val="000000"/>
                <w:sz w:val="16"/>
                <w:szCs w:val="16"/>
              </w:rPr>
            </w:pPr>
          </w:p>
        </w:tc>
        <w:tc>
          <w:tcPr>
            <w:tcW w:w="454" w:type="pct"/>
            <w:shd w:val="clear" w:color="auto" w:fill="auto"/>
            <w:vAlign w:val="bottom"/>
          </w:tcPr>
          <w:p w14:paraId="7E11AEC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76A383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10FAA96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7B41F36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2C24144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455" w:type="pct"/>
            <w:vAlign w:val="bottom"/>
          </w:tcPr>
          <w:p w14:paraId="7F2AE1D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2B273DE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1B7F0C0F"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625FC670" w14:textId="77777777" w:rsidTr="001B330E">
        <w:trPr>
          <w:trHeight w:val="23"/>
        </w:trPr>
        <w:tc>
          <w:tcPr>
            <w:tcW w:w="1364" w:type="pct"/>
            <w:shd w:val="clear" w:color="auto" w:fill="auto"/>
            <w:vAlign w:val="bottom"/>
          </w:tcPr>
          <w:p w14:paraId="7D8E529F"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i/>
                <w:color w:val="000000"/>
                <w:sz w:val="16"/>
                <w:szCs w:val="16"/>
              </w:rPr>
              <w:t>Movements with impact on credit loss allowance charge for the period:</w:t>
            </w:r>
          </w:p>
        </w:tc>
        <w:tc>
          <w:tcPr>
            <w:tcW w:w="454" w:type="pct"/>
            <w:shd w:val="clear" w:color="auto" w:fill="auto"/>
            <w:vAlign w:val="bottom"/>
          </w:tcPr>
          <w:p w14:paraId="580491D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425B336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3FD0CC6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483DF27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0B8BACC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455" w:type="pct"/>
            <w:vAlign w:val="bottom"/>
          </w:tcPr>
          <w:p w14:paraId="0870173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F36CF4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4B9AE49"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72EF02D2" w14:textId="77777777" w:rsidTr="001B330E">
        <w:trPr>
          <w:trHeight w:val="23"/>
        </w:trPr>
        <w:tc>
          <w:tcPr>
            <w:tcW w:w="1364" w:type="pct"/>
            <w:shd w:val="clear" w:color="auto" w:fill="auto"/>
            <w:vAlign w:val="bottom"/>
          </w:tcPr>
          <w:p w14:paraId="0F4C9F11"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454" w:type="pct"/>
            <w:shd w:val="clear" w:color="auto" w:fill="auto"/>
            <w:vAlign w:val="bottom"/>
          </w:tcPr>
          <w:p w14:paraId="097F03A1"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68BAF0A8"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66AF4D92"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shd w:val="clear" w:color="auto" w:fill="auto"/>
            <w:vAlign w:val="bottom"/>
          </w:tcPr>
          <w:p w14:paraId="6E3FD37F"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21A199D6"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4F977365"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0032BC91"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3578B61B"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r>
      <w:tr w:rsidR="00D83E33" w:rsidRPr="001F77EE" w14:paraId="03B3C9F0" w14:textId="77777777" w:rsidTr="001B330E">
        <w:trPr>
          <w:trHeight w:val="23"/>
        </w:trPr>
        <w:tc>
          <w:tcPr>
            <w:tcW w:w="1364" w:type="pct"/>
            <w:shd w:val="clear" w:color="auto" w:fill="auto"/>
            <w:vAlign w:val="bottom"/>
          </w:tcPr>
          <w:p w14:paraId="564C38C9" w14:textId="77777777" w:rsidR="00D83E33" w:rsidRPr="00372E26" w:rsidRDefault="00BC4072">
            <w:pPr>
              <w:widowControl w:val="0"/>
              <w:pBdr>
                <w:top w:val="nil"/>
                <w:left w:val="nil"/>
                <w:bottom w:val="nil"/>
                <w:right w:val="nil"/>
                <w:between w:val="nil"/>
              </w:pBdr>
              <w:ind w:left="113" w:hanging="113"/>
              <w:rPr>
                <w:color w:val="0000FF"/>
                <w:sz w:val="16"/>
                <w:szCs w:val="16"/>
              </w:rPr>
            </w:pPr>
            <w:r w:rsidRPr="00372E26">
              <w:rPr>
                <w:color w:val="000000"/>
                <w:sz w:val="16"/>
                <w:szCs w:val="16"/>
              </w:rPr>
              <w:t>Transfers:</w:t>
            </w:r>
          </w:p>
        </w:tc>
        <w:tc>
          <w:tcPr>
            <w:tcW w:w="454" w:type="pct"/>
            <w:shd w:val="clear" w:color="auto" w:fill="auto"/>
            <w:vAlign w:val="bottom"/>
          </w:tcPr>
          <w:p w14:paraId="452B52A8"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2A0ED67E"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164762FD"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shd w:val="clear" w:color="auto" w:fill="auto"/>
            <w:vAlign w:val="bottom"/>
          </w:tcPr>
          <w:p w14:paraId="4BAD34C3"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4ECE072A"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50F5A66E"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7AFEB16F"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17E9E99C"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r>
      <w:tr w:rsidR="00D83E33" w:rsidRPr="001F77EE" w14:paraId="5F9A0EAB" w14:textId="77777777" w:rsidTr="001B330E">
        <w:trPr>
          <w:trHeight w:val="23"/>
        </w:trPr>
        <w:tc>
          <w:tcPr>
            <w:tcW w:w="1364" w:type="pct"/>
            <w:shd w:val="clear" w:color="auto" w:fill="auto"/>
            <w:vAlign w:val="bottom"/>
          </w:tcPr>
          <w:p w14:paraId="23569B82"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to lifetime (from Stage 1 to Stage 2)</w:t>
            </w:r>
          </w:p>
        </w:tc>
        <w:tc>
          <w:tcPr>
            <w:tcW w:w="454" w:type="pct"/>
            <w:shd w:val="clear" w:color="auto" w:fill="auto"/>
            <w:vAlign w:val="bottom"/>
          </w:tcPr>
          <w:p w14:paraId="4C98A138"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166DB6C4"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0A093361"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shd w:val="clear" w:color="auto" w:fill="auto"/>
            <w:vAlign w:val="bottom"/>
          </w:tcPr>
          <w:p w14:paraId="1E04D03B"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39B51F8E"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7488664C"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2FC9580A"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5A4336CC"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r>
      <w:tr w:rsidR="00D83E33" w:rsidRPr="001F77EE" w14:paraId="50A8F307" w14:textId="77777777" w:rsidTr="001B330E">
        <w:trPr>
          <w:trHeight w:val="23"/>
        </w:trPr>
        <w:tc>
          <w:tcPr>
            <w:tcW w:w="1364" w:type="pct"/>
            <w:shd w:val="clear" w:color="auto" w:fill="auto"/>
            <w:vAlign w:val="bottom"/>
          </w:tcPr>
          <w:p w14:paraId="343198CD"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to credit-impaired (from Stage 1 and Stage 2 to Stage 3)</w:t>
            </w:r>
          </w:p>
        </w:tc>
        <w:tc>
          <w:tcPr>
            <w:tcW w:w="454" w:type="pct"/>
            <w:shd w:val="clear" w:color="auto" w:fill="auto"/>
            <w:vAlign w:val="bottom"/>
          </w:tcPr>
          <w:p w14:paraId="6DBFD2C7"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7306021E"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488C3368"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shd w:val="clear" w:color="auto" w:fill="auto"/>
            <w:vAlign w:val="bottom"/>
          </w:tcPr>
          <w:p w14:paraId="459CF605"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31970478"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09934398"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7194C315"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730CE48D"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r>
      <w:tr w:rsidR="00D83E33" w:rsidRPr="001F77EE" w14:paraId="4A343169" w14:textId="77777777" w:rsidTr="001B330E">
        <w:trPr>
          <w:trHeight w:val="23"/>
        </w:trPr>
        <w:tc>
          <w:tcPr>
            <w:tcW w:w="1364" w:type="pct"/>
            <w:shd w:val="clear" w:color="auto" w:fill="auto"/>
            <w:vAlign w:val="bottom"/>
          </w:tcPr>
          <w:p w14:paraId="7C802C7B"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to 12-months ECL (from Stage 2 and Stage 3 to Stage 1)</w:t>
            </w:r>
          </w:p>
        </w:tc>
        <w:tc>
          <w:tcPr>
            <w:tcW w:w="454" w:type="pct"/>
            <w:shd w:val="clear" w:color="auto" w:fill="auto"/>
            <w:vAlign w:val="bottom"/>
          </w:tcPr>
          <w:p w14:paraId="5C375BD3"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52CA9248"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405AABD3"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shd w:val="clear" w:color="auto" w:fill="auto"/>
            <w:vAlign w:val="bottom"/>
          </w:tcPr>
          <w:p w14:paraId="717E850E"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1DC36E43"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6D69C3B3"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0D858F2F"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57D2B9F1"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r>
      <w:tr w:rsidR="00D83E33" w:rsidRPr="001F77EE" w14:paraId="6BFCB743" w14:textId="77777777" w:rsidTr="001B330E">
        <w:trPr>
          <w:trHeight w:val="23"/>
        </w:trPr>
        <w:tc>
          <w:tcPr>
            <w:tcW w:w="1364" w:type="pct"/>
            <w:shd w:val="clear" w:color="auto" w:fill="auto"/>
            <w:vAlign w:val="bottom"/>
          </w:tcPr>
          <w:p w14:paraId="4F586156"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New originated or purchased</w:t>
            </w:r>
          </w:p>
        </w:tc>
        <w:tc>
          <w:tcPr>
            <w:tcW w:w="454" w:type="pct"/>
            <w:shd w:val="clear" w:color="auto" w:fill="auto"/>
            <w:vAlign w:val="bottom"/>
          </w:tcPr>
          <w:p w14:paraId="0C9AF21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2F45372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D61261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62FE005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55EE85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6504EF7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096333C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3DC5E55B"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67574BBC" w14:textId="77777777" w:rsidTr="001B330E">
        <w:trPr>
          <w:trHeight w:val="23"/>
        </w:trPr>
        <w:tc>
          <w:tcPr>
            <w:tcW w:w="1364" w:type="pct"/>
            <w:shd w:val="clear" w:color="auto" w:fill="auto"/>
            <w:vAlign w:val="bottom"/>
          </w:tcPr>
          <w:p w14:paraId="590F720F"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Derecognised during the period</w:t>
            </w:r>
          </w:p>
        </w:tc>
        <w:tc>
          <w:tcPr>
            <w:tcW w:w="454" w:type="pct"/>
            <w:shd w:val="clear" w:color="auto" w:fill="auto"/>
            <w:vAlign w:val="bottom"/>
          </w:tcPr>
          <w:p w14:paraId="409798D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12D05A5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5E25647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5B8CD67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50B8E6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67621D9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3A1526F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58845254"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4C1DB113" w14:textId="77777777" w:rsidTr="001B330E">
        <w:trPr>
          <w:trHeight w:val="23"/>
        </w:trPr>
        <w:tc>
          <w:tcPr>
            <w:tcW w:w="1364" w:type="pct"/>
            <w:shd w:val="clear" w:color="auto" w:fill="auto"/>
            <w:vAlign w:val="bottom"/>
          </w:tcPr>
          <w:p w14:paraId="1B0168BB"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Changes to ECL measurement model assumptions</w:t>
            </w:r>
          </w:p>
        </w:tc>
        <w:tc>
          <w:tcPr>
            <w:tcW w:w="454" w:type="pct"/>
            <w:shd w:val="clear" w:color="auto" w:fill="auto"/>
            <w:vAlign w:val="bottom"/>
          </w:tcPr>
          <w:p w14:paraId="201B83F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5AA2266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19A8BD9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797E718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02D6CEF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05CEC21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67F9609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64FCAA49"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6B287DF1" w14:textId="77777777" w:rsidTr="001B330E">
        <w:trPr>
          <w:trHeight w:val="23"/>
        </w:trPr>
        <w:tc>
          <w:tcPr>
            <w:tcW w:w="1364" w:type="pct"/>
            <w:shd w:val="clear" w:color="auto" w:fill="auto"/>
            <w:vAlign w:val="bottom"/>
          </w:tcPr>
          <w:p w14:paraId="2A1EF7BA"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Management overlay adjustment</w:t>
            </w:r>
          </w:p>
          <w:p w14:paraId="01125B8A"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Unwinding of discount </w:t>
            </w:r>
          </w:p>
        </w:tc>
        <w:tc>
          <w:tcPr>
            <w:tcW w:w="454" w:type="pct"/>
            <w:shd w:val="clear" w:color="auto" w:fill="auto"/>
            <w:vAlign w:val="bottom"/>
          </w:tcPr>
          <w:p w14:paraId="384E5CC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3149249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5E0E91C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6FFC152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34C35A8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575725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5AF75E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7749F427"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321525BD" w14:textId="77777777" w:rsidTr="001B330E">
        <w:trPr>
          <w:trHeight w:val="23"/>
        </w:trPr>
        <w:tc>
          <w:tcPr>
            <w:tcW w:w="1364" w:type="pct"/>
            <w:shd w:val="clear" w:color="auto" w:fill="auto"/>
            <w:vAlign w:val="bottom"/>
          </w:tcPr>
          <w:p w14:paraId="0B747779"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Changes in accrued interest</w:t>
            </w:r>
          </w:p>
        </w:tc>
        <w:tc>
          <w:tcPr>
            <w:tcW w:w="454" w:type="pct"/>
            <w:shd w:val="clear" w:color="auto" w:fill="auto"/>
            <w:vAlign w:val="bottom"/>
          </w:tcPr>
          <w:p w14:paraId="0E18063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4AB4559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34425E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686EAA3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7883F82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79D33B7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379E367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4B9BC659"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5E71E659" w14:textId="77777777" w:rsidTr="001B330E">
        <w:trPr>
          <w:trHeight w:val="23"/>
        </w:trPr>
        <w:tc>
          <w:tcPr>
            <w:tcW w:w="1364" w:type="pct"/>
            <w:shd w:val="clear" w:color="auto" w:fill="auto"/>
            <w:vAlign w:val="bottom"/>
          </w:tcPr>
          <w:p w14:paraId="7055A297"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Other movements</w:t>
            </w:r>
          </w:p>
        </w:tc>
        <w:tc>
          <w:tcPr>
            <w:tcW w:w="454" w:type="pct"/>
            <w:shd w:val="clear" w:color="auto" w:fill="auto"/>
            <w:vAlign w:val="bottom"/>
          </w:tcPr>
          <w:p w14:paraId="204B806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B88D71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1BB05CA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57DE6D1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0B0B2A8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66C22F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3D870D7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11D5C7D"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651913F3" w14:textId="77777777" w:rsidTr="001B330E">
        <w:trPr>
          <w:trHeight w:val="23"/>
        </w:trPr>
        <w:tc>
          <w:tcPr>
            <w:tcW w:w="1364" w:type="pct"/>
            <w:tcBorders>
              <w:bottom w:val="single" w:sz="4" w:space="0" w:color="000000"/>
            </w:tcBorders>
            <w:shd w:val="clear" w:color="auto" w:fill="auto"/>
            <w:vAlign w:val="bottom"/>
          </w:tcPr>
          <w:p w14:paraId="529ED45A"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454" w:type="pct"/>
            <w:tcBorders>
              <w:bottom w:val="single" w:sz="4" w:space="0" w:color="000000"/>
            </w:tcBorders>
            <w:shd w:val="clear" w:color="auto" w:fill="auto"/>
            <w:vAlign w:val="bottom"/>
          </w:tcPr>
          <w:p w14:paraId="324554D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4" w:space="0" w:color="000000"/>
            </w:tcBorders>
            <w:shd w:val="clear" w:color="auto" w:fill="auto"/>
            <w:vAlign w:val="bottom"/>
          </w:tcPr>
          <w:p w14:paraId="28D4954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4" w:space="0" w:color="000000"/>
            </w:tcBorders>
            <w:shd w:val="clear" w:color="auto" w:fill="auto"/>
            <w:vAlign w:val="bottom"/>
          </w:tcPr>
          <w:p w14:paraId="7E6F57B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shd w:val="clear" w:color="auto" w:fill="auto"/>
            <w:vAlign w:val="bottom"/>
          </w:tcPr>
          <w:p w14:paraId="108638D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vAlign w:val="bottom"/>
          </w:tcPr>
          <w:p w14:paraId="0840678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vAlign w:val="bottom"/>
          </w:tcPr>
          <w:p w14:paraId="29CF84F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vAlign w:val="bottom"/>
          </w:tcPr>
          <w:p w14:paraId="192C23E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4" w:space="0" w:color="000000"/>
            </w:tcBorders>
            <w:shd w:val="clear" w:color="auto" w:fill="auto"/>
            <w:vAlign w:val="bottom"/>
          </w:tcPr>
          <w:p w14:paraId="4D698B7D"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4B57F510" w14:textId="77777777" w:rsidTr="001B330E">
        <w:trPr>
          <w:trHeight w:val="23"/>
        </w:trPr>
        <w:tc>
          <w:tcPr>
            <w:tcW w:w="1364" w:type="pct"/>
            <w:tcBorders>
              <w:top w:val="single" w:sz="4" w:space="0" w:color="000000"/>
            </w:tcBorders>
            <w:shd w:val="clear" w:color="auto" w:fill="auto"/>
            <w:vAlign w:val="bottom"/>
          </w:tcPr>
          <w:p w14:paraId="0E1F2D71"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454" w:type="pct"/>
            <w:tcBorders>
              <w:top w:val="single" w:sz="4" w:space="0" w:color="000000"/>
            </w:tcBorders>
            <w:shd w:val="clear" w:color="auto" w:fill="auto"/>
            <w:vAlign w:val="bottom"/>
          </w:tcPr>
          <w:p w14:paraId="5D1F0B8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0B0B600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4E70397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shd w:val="clear" w:color="auto" w:fill="auto"/>
            <w:vAlign w:val="bottom"/>
          </w:tcPr>
          <w:p w14:paraId="4259A8A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vAlign w:val="bottom"/>
          </w:tcPr>
          <w:p w14:paraId="04A701E2"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vAlign w:val="bottom"/>
          </w:tcPr>
          <w:p w14:paraId="15FFE2F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vAlign w:val="bottom"/>
          </w:tcPr>
          <w:p w14:paraId="14B2E97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2EB40607"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05755878" w14:textId="77777777" w:rsidTr="001B330E">
        <w:trPr>
          <w:trHeight w:val="23"/>
        </w:trPr>
        <w:tc>
          <w:tcPr>
            <w:tcW w:w="1364" w:type="pct"/>
            <w:shd w:val="clear" w:color="auto" w:fill="auto"/>
            <w:vAlign w:val="bottom"/>
          </w:tcPr>
          <w:p w14:paraId="08613B56" w14:textId="77777777" w:rsidR="00D83E33" w:rsidRPr="00372E26" w:rsidRDefault="00BC4072">
            <w:pPr>
              <w:widowControl w:val="0"/>
              <w:pBdr>
                <w:top w:val="nil"/>
                <w:left w:val="nil"/>
                <w:bottom w:val="nil"/>
                <w:right w:val="nil"/>
                <w:between w:val="nil"/>
              </w:pBdr>
              <w:ind w:left="113" w:hanging="113"/>
              <w:rPr>
                <w:b/>
                <w:color w:val="000000"/>
                <w:sz w:val="16"/>
                <w:szCs w:val="16"/>
              </w:rPr>
            </w:pPr>
            <w:r w:rsidRPr="00372E26">
              <w:rPr>
                <w:b/>
                <w:color w:val="000000"/>
                <w:sz w:val="16"/>
                <w:szCs w:val="16"/>
              </w:rPr>
              <w:t>Total movements with impact on credit loss allowance charge for the period</w:t>
            </w:r>
          </w:p>
        </w:tc>
        <w:tc>
          <w:tcPr>
            <w:tcW w:w="454" w:type="pct"/>
            <w:shd w:val="clear" w:color="auto" w:fill="auto"/>
            <w:vAlign w:val="bottom"/>
          </w:tcPr>
          <w:p w14:paraId="152E018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20FD3CC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2E10B87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52818CD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F04E54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09DBBD9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E050E9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330C99CF"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62F7DE2B" w14:textId="77777777" w:rsidTr="001B330E">
        <w:trPr>
          <w:trHeight w:val="23"/>
        </w:trPr>
        <w:tc>
          <w:tcPr>
            <w:tcW w:w="1364" w:type="pct"/>
            <w:tcBorders>
              <w:bottom w:val="single" w:sz="4" w:space="0" w:color="000000"/>
            </w:tcBorders>
            <w:shd w:val="clear" w:color="auto" w:fill="auto"/>
            <w:vAlign w:val="bottom"/>
          </w:tcPr>
          <w:p w14:paraId="01CFA4E7"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454" w:type="pct"/>
            <w:tcBorders>
              <w:bottom w:val="single" w:sz="4" w:space="0" w:color="000000"/>
            </w:tcBorders>
            <w:shd w:val="clear" w:color="auto" w:fill="auto"/>
            <w:vAlign w:val="bottom"/>
          </w:tcPr>
          <w:p w14:paraId="15F5D2F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4" w:space="0" w:color="000000"/>
            </w:tcBorders>
            <w:shd w:val="clear" w:color="auto" w:fill="auto"/>
            <w:vAlign w:val="bottom"/>
          </w:tcPr>
          <w:p w14:paraId="12AB052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4" w:space="0" w:color="000000"/>
            </w:tcBorders>
            <w:shd w:val="clear" w:color="auto" w:fill="auto"/>
            <w:vAlign w:val="bottom"/>
          </w:tcPr>
          <w:p w14:paraId="45F2901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shd w:val="clear" w:color="auto" w:fill="auto"/>
            <w:vAlign w:val="bottom"/>
          </w:tcPr>
          <w:p w14:paraId="058E04F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vAlign w:val="bottom"/>
          </w:tcPr>
          <w:p w14:paraId="346240D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vAlign w:val="bottom"/>
          </w:tcPr>
          <w:p w14:paraId="385D62C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vAlign w:val="bottom"/>
          </w:tcPr>
          <w:p w14:paraId="71A31F6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4" w:space="0" w:color="000000"/>
            </w:tcBorders>
            <w:shd w:val="clear" w:color="auto" w:fill="auto"/>
            <w:vAlign w:val="bottom"/>
          </w:tcPr>
          <w:p w14:paraId="19F83AE3"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0BC19521" w14:textId="77777777" w:rsidTr="001B330E">
        <w:trPr>
          <w:trHeight w:val="23"/>
        </w:trPr>
        <w:tc>
          <w:tcPr>
            <w:tcW w:w="1364" w:type="pct"/>
            <w:tcBorders>
              <w:top w:val="single" w:sz="4" w:space="0" w:color="000000"/>
            </w:tcBorders>
            <w:shd w:val="clear" w:color="auto" w:fill="auto"/>
            <w:vAlign w:val="bottom"/>
          </w:tcPr>
          <w:p w14:paraId="5A13114E" w14:textId="77777777" w:rsidR="00D83E33" w:rsidRPr="00372E26" w:rsidRDefault="00D83E33">
            <w:pPr>
              <w:widowControl w:val="0"/>
              <w:pBdr>
                <w:top w:val="nil"/>
                <w:left w:val="nil"/>
                <w:bottom w:val="nil"/>
                <w:right w:val="nil"/>
                <w:between w:val="nil"/>
              </w:pBdr>
              <w:ind w:left="113" w:hanging="113"/>
              <w:rPr>
                <w:color w:val="000000"/>
                <w:sz w:val="16"/>
                <w:szCs w:val="16"/>
              </w:rPr>
            </w:pPr>
          </w:p>
        </w:tc>
        <w:tc>
          <w:tcPr>
            <w:tcW w:w="454" w:type="pct"/>
            <w:tcBorders>
              <w:top w:val="single" w:sz="4" w:space="0" w:color="000000"/>
            </w:tcBorders>
            <w:shd w:val="clear" w:color="auto" w:fill="auto"/>
            <w:vAlign w:val="bottom"/>
          </w:tcPr>
          <w:p w14:paraId="288BB69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12E80C0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6B234914"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shd w:val="clear" w:color="auto" w:fill="auto"/>
            <w:vAlign w:val="bottom"/>
          </w:tcPr>
          <w:p w14:paraId="43B775D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vAlign w:val="bottom"/>
          </w:tcPr>
          <w:p w14:paraId="70313A7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vAlign w:val="bottom"/>
          </w:tcPr>
          <w:p w14:paraId="2B9D7E6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vAlign w:val="bottom"/>
          </w:tcPr>
          <w:p w14:paraId="54077A8E"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3DF56F74"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1DB4BACD" w14:textId="77777777" w:rsidTr="001B330E">
        <w:trPr>
          <w:trHeight w:val="23"/>
        </w:trPr>
        <w:tc>
          <w:tcPr>
            <w:tcW w:w="1364" w:type="pct"/>
            <w:shd w:val="clear" w:color="auto" w:fill="auto"/>
            <w:vAlign w:val="bottom"/>
          </w:tcPr>
          <w:p w14:paraId="5E3009FB" w14:textId="4BFEF671"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i/>
                <w:color w:val="000000"/>
                <w:sz w:val="16"/>
                <w:szCs w:val="16"/>
              </w:rPr>
              <w:t>Movements without impact on credit loss allowance charge for the period:</w:t>
            </w:r>
          </w:p>
        </w:tc>
        <w:tc>
          <w:tcPr>
            <w:tcW w:w="454" w:type="pct"/>
            <w:shd w:val="clear" w:color="auto" w:fill="auto"/>
            <w:vAlign w:val="bottom"/>
          </w:tcPr>
          <w:p w14:paraId="73FBCF20"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1E4602E0"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7EE915C6"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shd w:val="clear" w:color="auto" w:fill="auto"/>
            <w:vAlign w:val="bottom"/>
          </w:tcPr>
          <w:p w14:paraId="4EF55B4B"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35BC2A95"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0EBA63E8"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1F978397"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129FF633"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r>
      <w:tr w:rsidR="00F279EA" w:rsidRPr="001F77EE" w14:paraId="596065AD" w14:textId="77777777" w:rsidTr="00FE3A14">
        <w:trPr>
          <w:trHeight w:val="23"/>
        </w:trPr>
        <w:tc>
          <w:tcPr>
            <w:tcW w:w="1364" w:type="pct"/>
            <w:shd w:val="clear" w:color="auto" w:fill="auto"/>
            <w:vAlign w:val="bottom"/>
          </w:tcPr>
          <w:p w14:paraId="1BED6572" w14:textId="77777777" w:rsidR="00F279EA" w:rsidRPr="00372E26" w:rsidRDefault="00F279EA" w:rsidP="00F279EA">
            <w:pPr>
              <w:widowControl w:val="0"/>
              <w:pBdr>
                <w:top w:val="nil"/>
                <w:left w:val="nil"/>
                <w:bottom w:val="nil"/>
                <w:right w:val="nil"/>
                <w:between w:val="nil"/>
              </w:pBdr>
              <w:ind w:left="113" w:hanging="113"/>
              <w:rPr>
                <w:i/>
                <w:color w:val="000000"/>
                <w:sz w:val="16"/>
                <w:szCs w:val="16"/>
              </w:rPr>
            </w:pPr>
          </w:p>
        </w:tc>
        <w:tc>
          <w:tcPr>
            <w:tcW w:w="454" w:type="pct"/>
            <w:shd w:val="clear" w:color="auto" w:fill="auto"/>
            <w:vAlign w:val="bottom"/>
          </w:tcPr>
          <w:p w14:paraId="7D598A4C" w14:textId="77777777" w:rsidR="00F279EA" w:rsidRPr="00372E26" w:rsidRDefault="00F279EA">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6F1B752D" w14:textId="77777777" w:rsidR="00F279EA" w:rsidRPr="00372E26" w:rsidRDefault="00F279EA">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0B6B2B06" w14:textId="77777777" w:rsidR="00F279EA" w:rsidRPr="00372E26" w:rsidRDefault="00F279EA">
            <w:pPr>
              <w:widowControl w:val="0"/>
              <w:pBdr>
                <w:top w:val="nil"/>
                <w:left w:val="nil"/>
                <w:bottom w:val="nil"/>
                <w:right w:val="nil"/>
                <w:between w:val="nil"/>
              </w:pBdr>
              <w:jc w:val="right"/>
              <w:rPr>
                <w:color w:val="000000"/>
                <w:sz w:val="16"/>
                <w:szCs w:val="16"/>
                <w:highlight w:val="green"/>
              </w:rPr>
            </w:pPr>
          </w:p>
        </w:tc>
        <w:tc>
          <w:tcPr>
            <w:tcW w:w="455" w:type="pct"/>
            <w:shd w:val="clear" w:color="auto" w:fill="auto"/>
            <w:vAlign w:val="bottom"/>
          </w:tcPr>
          <w:p w14:paraId="295E3968" w14:textId="77777777" w:rsidR="00F279EA" w:rsidRPr="00372E26" w:rsidRDefault="00F279EA">
            <w:pPr>
              <w:widowControl w:val="0"/>
              <w:pBdr>
                <w:top w:val="nil"/>
                <w:left w:val="nil"/>
                <w:bottom w:val="nil"/>
                <w:right w:val="nil"/>
                <w:between w:val="nil"/>
              </w:pBdr>
              <w:jc w:val="right"/>
              <w:rPr>
                <w:color w:val="000000"/>
                <w:sz w:val="16"/>
                <w:szCs w:val="16"/>
                <w:highlight w:val="green"/>
              </w:rPr>
            </w:pPr>
          </w:p>
        </w:tc>
        <w:tc>
          <w:tcPr>
            <w:tcW w:w="455" w:type="pct"/>
            <w:vAlign w:val="bottom"/>
          </w:tcPr>
          <w:p w14:paraId="1ECD156A" w14:textId="77777777" w:rsidR="00F279EA" w:rsidRPr="00372E26" w:rsidRDefault="00F279EA">
            <w:pPr>
              <w:widowControl w:val="0"/>
              <w:pBdr>
                <w:top w:val="nil"/>
                <w:left w:val="nil"/>
                <w:bottom w:val="nil"/>
                <w:right w:val="nil"/>
                <w:between w:val="nil"/>
              </w:pBdr>
              <w:jc w:val="right"/>
              <w:rPr>
                <w:color w:val="000000"/>
                <w:sz w:val="16"/>
                <w:szCs w:val="16"/>
                <w:highlight w:val="green"/>
              </w:rPr>
            </w:pPr>
          </w:p>
        </w:tc>
        <w:tc>
          <w:tcPr>
            <w:tcW w:w="455" w:type="pct"/>
            <w:vAlign w:val="bottom"/>
          </w:tcPr>
          <w:p w14:paraId="3CBB33B0" w14:textId="77777777" w:rsidR="00F279EA" w:rsidRPr="00372E26" w:rsidRDefault="00F279EA">
            <w:pPr>
              <w:widowControl w:val="0"/>
              <w:pBdr>
                <w:top w:val="nil"/>
                <w:left w:val="nil"/>
                <w:bottom w:val="nil"/>
                <w:right w:val="nil"/>
                <w:between w:val="nil"/>
              </w:pBdr>
              <w:jc w:val="right"/>
              <w:rPr>
                <w:color w:val="000000"/>
                <w:sz w:val="16"/>
                <w:szCs w:val="16"/>
                <w:highlight w:val="green"/>
              </w:rPr>
            </w:pPr>
          </w:p>
        </w:tc>
        <w:tc>
          <w:tcPr>
            <w:tcW w:w="455" w:type="pct"/>
            <w:vAlign w:val="bottom"/>
          </w:tcPr>
          <w:p w14:paraId="74BAB8E8" w14:textId="77777777" w:rsidR="00F279EA" w:rsidRPr="00372E26" w:rsidRDefault="00F279EA">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3A54918B" w14:textId="77777777" w:rsidR="00F279EA" w:rsidRPr="00372E26" w:rsidRDefault="00F279EA">
            <w:pPr>
              <w:widowControl w:val="0"/>
              <w:pBdr>
                <w:top w:val="nil"/>
                <w:left w:val="nil"/>
                <w:bottom w:val="nil"/>
                <w:right w:val="nil"/>
                <w:between w:val="nil"/>
              </w:pBdr>
              <w:jc w:val="right"/>
              <w:rPr>
                <w:color w:val="000000"/>
                <w:sz w:val="16"/>
                <w:szCs w:val="16"/>
                <w:highlight w:val="green"/>
              </w:rPr>
            </w:pPr>
          </w:p>
        </w:tc>
      </w:tr>
      <w:tr w:rsidR="00D83E33" w:rsidRPr="001F77EE" w14:paraId="7159678B" w14:textId="77777777" w:rsidTr="001B330E">
        <w:trPr>
          <w:trHeight w:val="23"/>
        </w:trPr>
        <w:tc>
          <w:tcPr>
            <w:tcW w:w="1364" w:type="pct"/>
            <w:shd w:val="clear" w:color="auto" w:fill="auto"/>
            <w:vAlign w:val="bottom"/>
          </w:tcPr>
          <w:p w14:paraId="396F0DC2"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Write-offs</w:t>
            </w:r>
          </w:p>
        </w:tc>
        <w:tc>
          <w:tcPr>
            <w:tcW w:w="454" w:type="pct"/>
            <w:shd w:val="clear" w:color="auto" w:fill="auto"/>
            <w:vAlign w:val="bottom"/>
          </w:tcPr>
          <w:p w14:paraId="746FA9A9"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7ACC9E98"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16ED2422"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shd w:val="clear" w:color="auto" w:fill="auto"/>
            <w:vAlign w:val="bottom"/>
          </w:tcPr>
          <w:p w14:paraId="228FEA05"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0611881A"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699F0F74"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1620D652"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04CAC0F7"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r>
      <w:tr w:rsidR="00D83E33" w:rsidRPr="001F77EE" w14:paraId="50CBFCFF" w14:textId="77777777" w:rsidTr="001B330E">
        <w:trPr>
          <w:trHeight w:val="23"/>
        </w:trPr>
        <w:tc>
          <w:tcPr>
            <w:tcW w:w="1364" w:type="pct"/>
            <w:shd w:val="clear" w:color="auto" w:fill="auto"/>
            <w:vAlign w:val="bottom"/>
          </w:tcPr>
          <w:p w14:paraId="0DE638F5"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Foreign exchange gains and losses and other movements</w:t>
            </w:r>
          </w:p>
        </w:tc>
        <w:tc>
          <w:tcPr>
            <w:tcW w:w="454" w:type="pct"/>
            <w:shd w:val="clear" w:color="auto" w:fill="auto"/>
            <w:vAlign w:val="bottom"/>
          </w:tcPr>
          <w:p w14:paraId="5423D36A"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7D725D20"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276B89BD"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shd w:val="clear" w:color="auto" w:fill="auto"/>
            <w:vAlign w:val="bottom"/>
          </w:tcPr>
          <w:p w14:paraId="638FEDE7"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23A69362"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4870CF9F"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5" w:type="pct"/>
            <w:vAlign w:val="bottom"/>
          </w:tcPr>
          <w:p w14:paraId="2AD9E95E"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c>
          <w:tcPr>
            <w:tcW w:w="454" w:type="pct"/>
            <w:shd w:val="clear" w:color="auto" w:fill="auto"/>
            <w:vAlign w:val="bottom"/>
          </w:tcPr>
          <w:p w14:paraId="04DA967D" w14:textId="77777777" w:rsidR="00D83E33" w:rsidRPr="00372E26" w:rsidRDefault="00D83E33">
            <w:pPr>
              <w:widowControl w:val="0"/>
              <w:pBdr>
                <w:top w:val="nil"/>
                <w:left w:val="nil"/>
                <w:bottom w:val="nil"/>
                <w:right w:val="nil"/>
                <w:between w:val="nil"/>
              </w:pBdr>
              <w:jc w:val="right"/>
              <w:rPr>
                <w:color w:val="000000"/>
                <w:sz w:val="16"/>
                <w:szCs w:val="16"/>
                <w:highlight w:val="green"/>
              </w:rPr>
            </w:pPr>
          </w:p>
        </w:tc>
      </w:tr>
      <w:tr w:rsidR="00D83E33" w:rsidRPr="001F77EE" w14:paraId="6A0AAD43" w14:textId="77777777" w:rsidTr="001B330E">
        <w:trPr>
          <w:trHeight w:val="23"/>
        </w:trPr>
        <w:tc>
          <w:tcPr>
            <w:tcW w:w="1364" w:type="pct"/>
            <w:shd w:val="clear" w:color="auto" w:fill="auto"/>
            <w:vAlign w:val="bottom"/>
          </w:tcPr>
          <w:p w14:paraId="3CB59655"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Modification of contractual cash flows</w:t>
            </w:r>
          </w:p>
        </w:tc>
        <w:tc>
          <w:tcPr>
            <w:tcW w:w="454" w:type="pct"/>
            <w:shd w:val="clear" w:color="auto" w:fill="auto"/>
            <w:vAlign w:val="bottom"/>
          </w:tcPr>
          <w:p w14:paraId="1D55109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636A8FA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A14E95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5F49280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1491FBA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3F6EE37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1C1A45B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36F181BB"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787FD907" w14:textId="77777777" w:rsidTr="001B330E">
        <w:trPr>
          <w:trHeight w:val="23"/>
        </w:trPr>
        <w:tc>
          <w:tcPr>
            <w:tcW w:w="1364" w:type="pct"/>
            <w:shd w:val="clear" w:color="auto" w:fill="auto"/>
            <w:vAlign w:val="bottom"/>
          </w:tcPr>
          <w:p w14:paraId="36A5C45F" w14:textId="77777777" w:rsidR="00D83E33" w:rsidRPr="00372E26" w:rsidRDefault="00BC4072">
            <w:pPr>
              <w:widowControl w:val="0"/>
              <w:pBdr>
                <w:top w:val="nil"/>
                <w:left w:val="nil"/>
                <w:bottom w:val="nil"/>
                <w:right w:val="nil"/>
                <w:between w:val="nil"/>
              </w:pBdr>
              <w:ind w:left="113" w:hanging="113"/>
              <w:rPr>
                <w:color w:val="000000"/>
                <w:sz w:val="16"/>
                <w:szCs w:val="16"/>
              </w:rPr>
            </w:pPr>
            <w:r w:rsidRPr="00372E26">
              <w:rPr>
                <w:color w:val="000000"/>
                <w:sz w:val="16"/>
                <w:szCs w:val="16"/>
              </w:rPr>
              <w:t>Unwinding of discount (for Stage 3)</w:t>
            </w:r>
          </w:p>
        </w:tc>
        <w:tc>
          <w:tcPr>
            <w:tcW w:w="454" w:type="pct"/>
            <w:shd w:val="clear" w:color="auto" w:fill="auto"/>
            <w:vAlign w:val="bottom"/>
          </w:tcPr>
          <w:p w14:paraId="106B52F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005AC18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34BDF0F7"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75D206A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1557060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68DD7E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4A9FE78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7382B5A8"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7F2FDCD4" w14:textId="77777777" w:rsidTr="001B330E">
        <w:trPr>
          <w:trHeight w:val="23"/>
        </w:trPr>
        <w:tc>
          <w:tcPr>
            <w:tcW w:w="1364" w:type="pct"/>
            <w:tcBorders>
              <w:bottom w:val="single" w:sz="4" w:space="0" w:color="000000"/>
            </w:tcBorders>
            <w:shd w:val="clear" w:color="auto" w:fill="auto"/>
            <w:vAlign w:val="bottom"/>
          </w:tcPr>
          <w:p w14:paraId="5BB5CA11" w14:textId="77777777" w:rsidR="00D83E33" w:rsidRPr="00372E26" w:rsidRDefault="00D83E33">
            <w:pPr>
              <w:widowControl w:val="0"/>
              <w:pBdr>
                <w:top w:val="nil"/>
                <w:left w:val="nil"/>
                <w:bottom w:val="nil"/>
                <w:right w:val="nil"/>
                <w:between w:val="nil"/>
              </w:pBdr>
              <w:ind w:left="113" w:hanging="113"/>
              <w:rPr>
                <w:b/>
                <w:color w:val="000000"/>
                <w:sz w:val="16"/>
                <w:szCs w:val="16"/>
              </w:rPr>
            </w:pPr>
          </w:p>
        </w:tc>
        <w:tc>
          <w:tcPr>
            <w:tcW w:w="454" w:type="pct"/>
            <w:tcBorders>
              <w:bottom w:val="single" w:sz="4" w:space="0" w:color="000000"/>
            </w:tcBorders>
            <w:shd w:val="clear" w:color="auto" w:fill="auto"/>
            <w:vAlign w:val="bottom"/>
          </w:tcPr>
          <w:p w14:paraId="6815D70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4" w:space="0" w:color="000000"/>
            </w:tcBorders>
            <w:shd w:val="clear" w:color="auto" w:fill="auto"/>
            <w:vAlign w:val="bottom"/>
          </w:tcPr>
          <w:p w14:paraId="28E5F94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4" w:space="0" w:color="000000"/>
            </w:tcBorders>
            <w:shd w:val="clear" w:color="auto" w:fill="auto"/>
            <w:vAlign w:val="bottom"/>
          </w:tcPr>
          <w:p w14:paraId="19984626"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shd w:val="clear" w:color="auto" w:fill="auto"/>
            <w:vAlign w:val="bottom"/>
          </w:tcPr>
          <w:p w14:paraId="01C7EC3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vAlign w:val="bottom"/>
          </w:tcPr>
          <w:p w14:paraId="6DBE77C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vAlign w:val="bottom"/>
          </w:tcPr>
          <w:p w14:paraId="3F05560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4" w:space="0" w:color="000000"/>
            </w:tcBorders>
            <w:vAlign w:val="bottom"/>
          </w:tcPr>
          <w:p w14:paraId="4AC1069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4" w:space="0" w:color="000000"/>
            </w:tcBorders>
            <w:shd w:val="clear" w:color="auto" w:fill="auto"/>
            <w:vAlign w:val="bottom"/>
          </w:tcPr>
          <w:p w14:paraId="6A274285"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2507B396" w14:textId="77777777" w:rsidTr="001B330E">
        <w:trPr>
          <w:trHeight w:val="23"/>
        </w:trPr>
        <w:tc>
          <w:tcPr>
            <w:tcW w:w="1364" w:type="pct"/>
            <w:tcBorders>
              <w:top w:val="single" w:sz="4" w:space="0" w:color="000000"/>
            </w:tcBorders>
            <w:shd w:val="clear" w:color="auto" w:fill="auto"/>
            <w:vAlign w:val="bottom"/>
          </w:tcPr>
          <w:p w14:paraId="6A379C29" w14:textId="77777777" w:rsidR="00D83E33" w:rsidRPr="00372E26" w:rsidRDefault="00D83E33">
            <w:pPr>
              <w:widowControl w:val="0"/>
              <w:pBdr>
                <w:top w:val="nil"/>
                <w:left w:val="nil"/>
                <w:bottom w:val="nil"/>
                <w:right w:val="nil"/>
                <w:between w:val="nil"/>
              </w:pBdr>
              <w:ind w:left="113" w:hanging="113"/>
              <w:rPr>
                <w:color w:val="000000"/>
                <w:sz w:val="16"/>
                <w:szCs w:val="16"/>
                <w:u w:val="single"/>
              </w:rPr>
            </w:pPr>
          </w:p>
        </w:tc>
        <w:tc>
          <w:tcPr>
            <w:tcW w:w="454" w:type="pct"/>
            <w:tcBorders>
              <w:top w:val="single" w:sz="4" w:space="0" w:color="000000"/>
            </w:tcBorders>
            <w:shd w:val="clear" w:color="auto" w:fill="auto"/>
            <w:vAlign w:val="bottom"/>
          </w:tcPr>
          <w:p w14:paraId="726EC78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1EE88E4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5AA83CA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shd w:val="clear" w:color="auto" w:fill="auto"/>
            <w:vAlign w:val="bottom"/>
          </w:tcPr>
          <w:p w14:paraId="032B7EE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vAlign w:val="bottom"/>
          </w:tcPr>
          <w:p w14:paraId="36AF37A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vAlign w:val="bottom"/>
          </w:tcPr>
          <w:p w14:paraId="7AF7118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top w:val="single" w:sz="4" w:space="0" w:color="000000"/>
            </w:tcBorders>
            <w:vAlign w:val="bottom"/>
          </w:tcPr>
          <w:p w14:paraId="736875A8"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top w:val="single" w:sz="4" w:space="0" w:color="000000"/>
            </w:tcBorders>
            <w:shd w:val="clear" w:color="auto" w:fill="auto"/>
            <w:vAlign w:val="bottom"/>
          </w:tcPr>
          <w:p w14:paraId="09769390"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28647C95" w14:textId="77777777" w:rsidTr="001B330E">
        <w:trPr>
          <w:trHeight w:val="23"/>
        </w:trPr>
        <w:tc>
          <w:tcPr>
            <w:tcW w:w="1364" w:type="pct"/>
            <w:shd w:val="clear" w:color="auto" w:fill="auto"/>
            <w:vAlign w:val="bottom"/>
          </w:tcPr>
          <w:p w14:paraId="338144C7" w14:textId="1A0B1FEE" w:rsidR="00D83E33" w:rsidRPr="00372E26" w:rsidRDefault="00BC4072">
            <w:pPr>
              <w:widowControl w:val="0"/>
              <w:pBdr>
                <w:top w:val="nil"/>
                <w:left w:val="nil"/>
                <w:bottom w:val="nil"/>
                <w:right w:val="nil"/>
                <w:between w:val="nil"/>
              </w:pBdr>
              <w:ind w:left="113" w:hanging="113"/>
              <w:rPr>
                <w:b/>
                <w:color w:val="000000"/>
                <w:sz w:val="16"/>
                <w:szCs w:val="16"/>
              </w:rPr>
            </w:pPr>
            <w:r w:rsidRPr="00372E26">
              <w:rPr>
                <w:b/>
                <w:color w:val="000000"/>
                <w:sz w:val="16"/>
                <w:szCs w:val="16"/>
              </w:rPr>
              <w:t>At 31</w:t>
            </w:r>
            <w:r w:rsidR="00181687" w:rsidRPr="00372E26">
              <w:rPr>
                <w:b/>
                <w:color w:val="000000"/>
                <w:sz w:val="16"/>
                <w:szCs w:val="16"/>
              </w:rPr>
              <w:t> December </w:t>
            </w:r>
            <w:r w:rsidR="00541EBC">
              <w:rPr>
                <w:b/>
                <w:color w:val="000000"/>
                <w:sz w:val="16"/>
                <w:szCs w:val="16"/>
              </w:rPr>
              <w:t>2024</w:t>
            </w:r>
          </w:p>
        </w:tc>
        <w:tc>
          <w:tcPr>
            <w:tcW w:w="454" w:type="pct"/>
            <w:shd w:val="clear" w:color="auto" w:fill="auto"/>
            <w:vAlign w:val="bottom"/>
          </w:tcPr>
          <w:p w14:paraId="0138647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6B73828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49631F3B"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shd w:val="clear" w:color="auto" w:fill="auto"/>
            <w:vAlign w:val="bottom"/>
          </w:tcPr>
          <w:p w14:paraId="7AB1E3A3"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1576CFD1"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0A0F321C"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vAlign w:val="bottom"/>
          </w:tcPr>
          <w:p w14:paraId="040223F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shd w:val="clear" w:color="auto" w:fill="auto"/>
            <w:vAlign w:val="bottom"/>
          </w:tcPr>
          <w:p w14:paraId="612A21ED" w14:textId="77777777" w:rsidR="00D83E33" w:rsidRPr="00372E26" w:rsidRDefault="00D83E33">
            <w:pPr>
              <w:widowControl w:val="0"/>
              <w:pBdr>
                <w:top w:val="nil"/>
                <w:left w:val="nil"/>
                <w:bottom w:val="nil"/>
                <w:right w:val="nil"/>
                <w:between w:val="nil"/>
              </w:pBdr>
              <w:jc w:val="right"/>
              <w:rPr>
                <w:color w:val="000000"/>
                <w:sz w:val="16"/>
                <w:szCs w:val="16"/>
              </w:rPr>
            </w:pPr>
          </w:p>
        </w:tc>
      </w:tr>
      <w:tr w:rsidR="00D83E33" w:rsidRPr="001F77EE" w14:paraId="064E5A68" w14:textId="77777777" w:rsidTr="001B330E">
        <w:trPr>
          <w:trHeight w:val="23"/>
        </w:trPr>
        <w:tc>
          <w:tcPr>
            <w:tcW w:w="1364" w:type="pct"/>
            <w:tcBorders>
              <w:bottom w:val="single" w:sz="12" w:space="0" w:color="000000"/>
            </w:tcBorders>
            <w:shd w:val="clear" w:color="auto" w:fill="auto"/>
            <w:vAlign w:val="bottom"/>
          </w:tcPr>
          <w:p w14:paraId="320C20CB" w14:textId="77777777" w:rsidR="00D83E33" w:rsidRPr="00372E26" w:rsidRDefault="00D83E33">
            <w:pPr>
              <w:widowControl w:val="0"/>
              <w:pBdr>
                <w:top w:val="nil"/>
                <w:left w:val="nil"/>
                <w:bottom w:val="nil"/>
                <w:right w:val="nil"/>
                <w:between w:val="nil"/>
              </w:pBdr>
              <w:ind w:left="113" w:hanging="113"/>
              <w:rPr>
                <w:b/>
                <w:color w:val="000000"/>
                <w:sz w:val="16"/>
                <w:szCs w:val="16"/>
              </w:rPr>
            </w:pPr>
          </w:p>
        </w:tc>
        <w:tc>
          <w:tcPr>
            <w:tcW w:w="454" w:type="pct"/>
            <w:tcBorders>
              <w:bottom w:val="single" w:sz="12" w:space="0" w:color="000000"/>
            </w:tcBorders>
            <w:shd w:val="clear" w:color="auto" w:fill="auto"/>
            <w:vAlign w:val="bottom"/>
          </w:tcPr>
          <w:p w14:paraId="1652DC39"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12" w:space="0" w:color="000000"/>
            </w:tcBorders>
            <w:shd w:val="clear" w:color="auto" w:fill="auto"/>
            <w:vAlign w:val="bottom"/>
          </w:tcPr>
          <w:p w14:paraId="03D72D55"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12" w:space="0" w:color="000000"/>
            </w:tcBorders>
            <w:shd w:val="clear" w:color="auto" w:fill="auto"/>
            <w:vAlign w:val="bottom"/>
          </w:tcPr>
          <w:p w14:paraId="70F2D95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12" w:space="0" w:color="000000"/>
            </w:tcBorders>
            <w:shd w:val="clear" w:color="auto" w:fill="auto"/>
            <w:vAlign w:val="bottom"/>
          </w:tcPr>
          <w:p w14:paraId="2F87BE2F"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12" w:space="0" w:color="000000"/>
            </w:tcBorders>
            <w:vAlign w:val="bottom"/>
          </w:tcPr>
          <w:p w14:paraId="0597EF1D"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12" w:space="0" w:color="000000"/>
            </w:tcBorders>
            <w:vAlign w:val="bottom"/>
          </w:tcPr>
          <w:p w14:paraId="30BCDD70"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5" w:type="pct"/>
            <w:tcBorders>
              <w:bottom w:val="single" w:sz="12" w:space="0" w:color="000000"/>
            </w:tcBorders>
            <w:vAlign w:val="bottom"/>
          </w:tcPr>
          <w:p w14:paraId="5887EA7A" w14:textId="77777777" w:rsidR="00D83E33" w:rsidRPr="00372E26" w:rsidRDefault="00D83E33">
            <w:pPr>
              <w:widowControl w:val="0"/>
              <w:pBdr>
                <w:top w:val="nil"/>
                <w:left w:val="nil"/>
                <w:bottom w:val="nil"/>
                <w:right w:val="nil"/>
                <w:between w:val="nil"/>
              </w:pBdr>
              <w:jc w:val="right"/>
              <w:rPr>
                <w:color w:val="000000"/>
                <w:sz w:val="16"/>
                <w:szCs w:val="16"/>
              </w:rPr>
            </w:pPr>
          </w:p>
        </w:tc>
        <w:tc>
          <w:tcPr>
            <w:tcW w:w="454" w:type="pct"/>
            <w:tcBorders>
              <w:bottom w:val="single" w:sz="12" w:space="0" w:color="000000"/>
            </w:tcBorders>
            <w:shd w:val="clear" w:color="auto" w:fill="auto"/>
            <w:vAlign w:val="bottom"/>
          </w:tcPr>
          <w:p w14:paraId="713B2D86" w14:textId="77777777" w:rsidR="00D83E33" w:rsidRPr="00372E26" w:rsidRDefault="00D83E33">
            <w:pPr>
              <w:widowControl w:val="0"/>
              <w:pBdr>
                <w:top w:val="nil"/>
                <w:left w:val="nil"/>
                <w:bottom w:val="nil"/>
                <w:right w:val="nil"/>
                <w:between w:val="nil"/>
              </w:pBdr>
              <w:jc w:val="right"/>
              <w:rPr>
                <w:color w:val="000000"/>
                <w:sz w:val="16"/>
                <w:szCs w:val="16"/>
              </w:rPr>
            </w:pPr>
          </w:p>
        </w:tc>
      </w:tr>
    </w:tbl>
    <w:p w14:paraId="06EEEA7A" w14:textId="50755666" w:rsidR="00D83E33" w:rsidRDefault="00BC4072" w:rsidP="001B330E">
      <w:pPr>
        <w:pStyle w:val="Continued"/>
      </w:pPr>
      <w:r>
        <w:lastRenderedPageBreak/>
        <w:t>11</w:t>
      </w:r>
      <w:r>
        <w:tab/>
        <w:t>Loans and Advances to Customers (Continued)</w:t>
      </w:r>
    </w:p>
    <w:tbl>
      <w:tblPr>
        <w:tblStyle w:val="afffa"/>
        <w:tblW w:w="5000" w:type="pct"/>
        <w:tblLayout w:type="fixed"/>
        <w:tblLook w:val="0000" w:firstRow="0" w:lastRow="0" w:firstColumn="0" w:lastColumn="0" w:noHBand="0" w:noVBand="0"/>
      </w:tblPr>
      <w:tblGrid>
        <w:gridCol w:w="2553"/>
        <w:gridCol w:w="850"/>
        <w:gridCol w:w="850"/>
        <w:gridCol w:w="849"/>
        <w:gridCol w:w="851"/>
        <w:gridCol w:w="851"/>
        <w:gridCol w:w="851"/>
        <w:gridCol w:w="851"/>
        <w:gridCol w:w="849"/>
      </w:tblGrid>
      <w:tr w:rsidR="00D83E33" w:rsidRPr="00FE3A14" w14:paraId="5D0A8AED" w14:textId="77777777" w:rsidTr="001B330E">
        <w:trPr>
          <w:trHeight w:val="23"/>
        </w:trPr>
        <w:tc>
          <w:tcPr>
            <w:tcW w:w="1364" w:type="pct"/>
            <w:shd w:val="clear" w:color="auto" w:fill="auto"/>
            <w:vAlign w:val="bottom"/>
          </w:tcPr>
          <w:p w14:paraId="16A6019F" w14:textId="77777777" w:rsidR="00D83E33" w:rsidRPr="001B330E" w:rsidRDefault="00D83E33">
            <w:pPr>
              <w:widowControl w:val="0"/>
              <w:pBdr>
                <w:top w:val="nil"/>
                <w:left w:val="nil"/>
                <w:bottom w:val="nil"/>
                <w:right w:val="nil"/>
                <w:between w:val="nil"/>
              </w:pBdr>
              <w:ind w:left="113" w:hanging="113"/>
              <w:rPr>
                <w:i/>
                <w:color w:val="000000"/>
                <w:sz w:val="17"/>
                <w:szCs w:val="17"/>
              </w:rPr>
            </w:pPr>
          </w:p>
        </w:tc>
        <w:tc>
          <w:tcPr>
            <w:tcW w:w="1817" w:type="pct"/>
            <w:gridSpan w:val="4"/>
            <w:tcBorders>
              <w:bottom w:val="single" w:sz="4" w:space="0" w:color="000000"/>
            </w:tcBorders>
            <w:shd w:val="clear" w:color="auto" w:fill="auto"/>
          </w:tcPr>
          <w:p w14:paraId="7998E62F" w14:textId="77777777" w:rsidR="00D83E33" w:rsidRPr="001B330E" w:rsidRDefault="00BC4072" w:rsidP="001B330E">
            <w:pPr>
              <w:widowControl w:val="0"/>
              <w:pBdr>
                <w:top w:val="nil"/>
                <w:left w:val="nil"/>
                <w:bottom w:val="nil"/>
                <w:right w:val="nil"/>
                <w:between w:val="nil"/>
              </w:pBdr>
              <w:tabs>
                <w:tab w:val="left" w:pos="3182"/>
              </w:tabs>
              <w:jc w:val="center"/>
              <w:rPr>
                <w:b/>
                <w:color w:val="000000"/>
                <w:sz w:val="17"/>
                <w:szCs w:val="17"/>
              </w:rPr>
            </w:pPr>
            <w:r w:rsidRPr="001B330E">
              <w:rPr>
                <w:b/>
                <w:color w:val="000000"/>
                <w:sz w:val="17"/>
                <w:szCs w:val="17"/>
              </w:rPr>
              <w:t>Credit loss allowance</w:t>
            </w:r>
          </w:p>
        </w:tc>
        <w:tc>
          <w:tcPr>
            <w:tcW w:w="1819" w:type="pct"/>
            <w:gridSpan w:val="4"/>
            <w:tcBorders>
              <w:bottom w:val="single" w:sz="4" w:space="0" w:color="000000"/>
            </w:tcBorders>
          </w:tcPr>
          <w:p w14:paraId="79C38677" w14:textId="77777777" w:rsidR="00D83E33" w:rsidRPr="001B330E" w:rsidRDefault="00BC4072" w:rsidP="001B330E">
            <w:pPr>
              <w:widowControl w:val="0"/>
              <w:pBdr>
                <w:top w:val="nil"/>
                <w:left w:val="nil"/>
                <w:bottom w:val="nil"/>
                <w:right w:val="nil"/>
                <w:between w:val="nil"/>
              </w:pBdr>
              <w:jc w:val="center"/>
              <w:rPr>
                <w:b/>
                <w:color w:val="000000"/>
                <w:sz w:val="17"/>
                <w:szCs w:val="17"/>
              </w:rPr>
            </w:pPr>
            <w:r w:rsidRPr="001B330E">
              <w:rPr>
                <w:b/>
                <w:color w:val="000000"/>
                <w:sz w:val="17"/>
                <w:szCs w:val="17"/>
              </w:rPr>
              <w:t>Gross carrying amount</w:t>
            </w:r>
          </w:p>
        </w:tc>
      </w:tr>
      <w:tr w:rsidR="00D83E33" w:rsidRPr="00FE3A14" w14:paraId="7BD29104" w14:textId="77777777" w:rsidTr="001B330E">
        <w:trPr>
          <w:trHeight w:val="23"/>
        </w:trPr>
        <w:tc>
          <w:tcPr>
            <w:tcW w:w="1364" w:type="pct"/>
            <w:tcBorders>
              <w:bottom w:val="single" w:sz="4" w:space="0" w:color="000000"/>
            </w:tcBorders>
            <w:shd w:val="clear" w:color="auto" w:fill="auto"/>
            <w:vAlign w:val="bottom"/>
          </w:tcPr>
          <w:p w14:paraId="78807E23" w14:textId="77777777" w:rsidR="00D83E33" w:rsidRPr="001B330E" w:rsidRDefault="00D83E33">
            <w:pPr>
              <w:widowControl w:val="0"/>
              <w:pBdr>
                <w:top w:val="nil"/>
                <w:left w:val="nil"/>
                <w:bottom w:val="nil"/>
                <w:right w:val="nil"/>
                <w:between w:val="nil"/>
              </w:pBdr>
              <w:ind w:left="113" w:hanging="113"/>
              <w:rPr>
                <w:i/>
                <w:color w:val="000000"/>
                <w:sz w:val="17"/>
                <w:szCs w:val="17"/>
              </w:rPr>
            </w:pPr>
          </w:p>
          <w:p w14:paraId="7473EEF6" w14:textId="76ED37E5" w:rsidR="00D83E33" w:rsidRPr="001B330E" w:rsidRDefault="00313B4D">
            <w:pPr>
              <w:widowControl w:val="0"/>
              <w:pBdr>
                <w:top w:val="nil"/>
                <w:left w:val="nil"/>
                <w:bottom w:val="nil"/>
                <w:right w:val="nil"/>
                <w:between w:val="nil"/>
              </w:pBdr>
              <w:ind w:left="113" w:hanging="113"/>
              <w:rPr>
                <w:b/>
                <w:i/>
                <w:color w:val="000000"/>
                <w:sz w:val="17"/>
                <w:szCs w:val="17"/>
              </w:rPr>
            </w:pPr>
            <w:r>
              <w:rPr>
                <w:i/>
                <w:color w:val="000000"/>
                <w:sz w:val="17"/>
                <w:szCs w:val="17"/>
              </w:rPr>
              <w:t xml:space="preserve">In thousands of </w:t>
            </w:r>
            <w:r w:rsidR="002649EE">
              <w:rPr>
                <w:i/>
                <w:color w:val="000000"/>
                <w:sz w:val="17"/>
                <w:szCs w:val="17"/>
              </w:rPr>
              <w:t>EUR</w:t>
            </w:r>
          </w:p>
        </w:tc>
        <w:tc>
          <w:tcPr>
            <w:tcW w:w="454" w:type="pct"/>
            <w:tcBorders>
              <w:top w:val="single" w:sz="4" w:space="0" w:color="000000"/>
              <w:bottom w:val="single" w:sz="4" w:space="0" w:color="000000"/>
            </w:tcBorders>
            <w:shd w:val="clear" w:color="auto" w:fill="auto"/>
          </w:tcPr>
          <w:p w14:paraId="1EA34316"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7851763C" w14:textId="77777777" w:rsidR="00D83E33" w:rsidRPr="001B330E" w:rsidRDefault="00BC4072" w:rsidP="001B330E">
            <w:pPr>
              <w:widowControl w:val="0"/>
              <w:pBdr>
                <w:top w:val="nil"/>
                <w:left w:val="nil"/>
                <w:bottom w:val="nil"/>
                <w:right w:val="nil"/>
                <w:between w:val="nil"/>
              </w:pBdr>
              <w:ind w:left="-113" w:firstLine="142"/>
              <w:jc w:val="right"/>
              <w:rPr>
                <w:b/>
                <w:color w:val="000000"/>
                <w:sz w:val="17"/>
                <w:szCs w:val="17"/>
              </w:rPr>
            </w:pPr>
            <w:r w:rsidRPr="001B330E">
              <w:rPr>
                <w:b/>
                <w:color w:val="000000"/>
                <w:sz w:val="17"/>
                <w:szCs w:val="17"/>
              </w:rPr>
              <w:t>(12-months ECL)</w:t>
            </w:r>
          </w:p>
        </w:tc>
        <w:tc>
          <w:tcPr>
            <w:tcW w:w="454" w:type="pct"/>
            <w:tcBorders>
              <w:top w:val="single" w:sz="4" w:space="0" w:color="000000"/>
              <w:bottom w:val="single" w:sz="4" w:space="0" w:color="000000"/>
            </w:tcBorders>
            <w:shd w:val="clear" w:color="auto" w:fill="auto"/>
          </w:tcPr>
          <w:p w14:paraId="6831D46E"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5AAF6AE2"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 xml:space="preserve">(lifetime ECL for SICR) </w:t>
            </w:r>
          </w:p>
        </w:tc>
        <w:tc>
          <w:tcPr>
            <w:tcW w:w="454" w:type="pct"/>
            <w:tcBorders>
              <w:top w:val="single" w:sz="4" w:space="0" w:color="000000"/>
              <w:bottom w:val="single" w:sz="4" w:space="0" w:color="000000"/>
            </w:tcBorders>
            <w:shd w:val="clear" w:color="auto" w:fill="auto"/>
          </w:tcPr>
          <w:p w14:paraId="16A441A9"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3677B6E7"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455" w:type="pct"/>
            <w:tcBorders>
              <w:top w:val="single" w:sz="4" w:space="0" w:color="000000"/>
              <w:bottom w:val="single" w:sz="4" w:space="0" w:color="000000"/>
            </w:tcBorders>
            <w:shd w:val="clear" w:color="auto" w:fill="auto"/>
          </w:tcPr>
          <w:p w14:paraId="29B092D6"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c>
          <w:tcPr>
            <w:tcW w:w="455" w:type="pct"/>
            <w:tcBorders>
              <w:top w:val="single" w:sz="4" w:space="0" w:color="000000"/>
              <w:bottom w:val="single" w:sz="4" w:space="0" w:color="000000"/>
            </w:tcBorders>
          </w:tcPr>
          <w:p w14:paraId="75FDEA30"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1</w:t>
            </w:r>
          </w:p>
          <w:p w14:paraId="290E3A76"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(12-months ECL)</w:t>
            </w:r>
          </w:p>
        </w:tc>
        <w:tc>
          <w:tcPr>
            <w:tcW w:w="455" w:type="pct"/>
            <w:tcBorders>
              <w:top w:val="single" w:sz="4" w:space="0" w:color="000000"/>
              <w:bottom w:val="single" w:sz="4" w:space="0" w:color="000000"/>
            </w:tcBorders>
          </w:tcPr>
          <w:p w14:paraId="21E580A2"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2</w:t>
            </w:r>
          </w:p>
          <w:p w14:paraId="7C84906E"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 xml:space="preserve">(lifetime ECL for SICR) </w:t>
            </w:r>
          </w:p>
        </w:tc>
        <w:tc>
          <w:tcPr>
            <w:tcW w:w="455" w:type="pct"/>
            <w:tcBorders>
              <w:top w:val="single" w:sz="4" w:space="0" w:color="000000"/>
              <w:bottom w:val="single" w:sz="4" w:space="0" w:color="000000"/>
            </w:tcBorders>
          </w:tcPr>
          <w:p w14:paraId="04A5B40A"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Stage 3</w:t>
            </w:r>
          </w:p>
          <w:p w14:paraId="63F8A2A5"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(lifetime ECL for credit im-paired)</w:t>
            </w:r>
          </w:p>
        </w:tc>
        <w:tc>
          <w:tcPr>
            <w:tcW w:w="454" w:type="pct"/>
            <w:tcBorders>
              <w:top w:val="single" w:sz="4" w:space="0" w:color="000000"/>
              <w:bottom w:val="single" w:sz="4" w:space="0" w:color="000000"/>
            </w:tcBorders>
            <w:shd w:val="clear" w:color="auto" w:fill="auto"/>
          </w:tcPr>
          <w:p w14:paraId="54848AED"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r>
      <w:tr w:rsidR="00D83E33" w:rsidRPr="00FE3A14" w14:paraId="19ABF57A" w14:textId="77777777" w:rsidTr="001B330E">
        <w:trPr>
          <w:trHeight w:val="23"/>
        </w:trPr>
        <w:tc>
          <w:tcPr>
            <w:tcW w:w="1364" w:type="pct"/>
            <w:shd w:val="clear" w:color="auto" w:fill="auto"/>
            <w:vAlign w:val="bottom"/>
          </w:tcPr>
          <w:p w14:paraId="58124E5F" w14:textId="77777777" w:rsidR="00D83E33" w:rsidRPr="001B330E" w:rsidRDefault="00D83E33">
            <w:pPr>
              <w:widowControl w:val="0"/>
              <w:ind w:left="113" w:hanging="113"/>
              <w:rPr>
                <w:sz w:val="17"/>
                <w:szCs w:val="17"/>
              </w:rPr>
            </w:pPr>
          </w:p>
        </w:tc>
        <w:tc>
          <w:tcPr>
            <w:tcW w:w="454" w:type="pct"/>
            <w:shd w:val="clear" w:color="auto" w:fill="auto"/>
            <w:vAlign w:val="bottom"/>
          </w:tcPr>
          <w:p w14:paraId="51557F8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580A694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2274F58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shd w:val="clear" w:color="auto" w:fill="auto"/>
            <w:vAlign w:val="bottom"/>
          </w:tcPr>
          <w:p w14:paraId="7BFCDD4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2EC158A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4A72447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1CB8C47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77552CFE"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6468E431" w14:textId="77777777" w:rsidTr="001B330E">
        <w:trPr>
          <w:trHeight w:val="23"/>
        </w:trPr>
        <w:tc>
          <w:tcPr>
            <w:tcW w:w="1364" w:type="pct"/>
            <w:shd w:val="clear" w:color="auto" w:fill="auto"/>
            <w:vAlign w:val="bottom"/>
          </w:tcPr>
          <w:p w14:paraId="74F4FDB1" w14:textId="75207840" w:rsidR="00D83E33" w:rsidRPr="00372E26" w:rsidRDefault="001F77EE">
            <w:pPr>
              <w:widowControl w:val="0"/>
              <w:pBdr>
                <w:top w:val="nil"/>
                <w:left w:val="nil"/>
                <w:bottom w:val="nil"/>
                <w:right w:val="nil"/>
                <w:between w:val="nil"/>
              </w:pBdr>
              <w:ind w:left="113" w:hanging="113"/>
              <w:rPr>
                <w:b/>
                <w:i/>
                <w:color w:val="0000FF"/>
                <w:sz w:val="17"/>
                <w:szCs w:val="17"/>
              </w:rPr>
            </w:pPr>
            <w:r w:rsidRPr="00372E26">
              <w:rPr>
                <w:b/>
                <w:i/>
                <w:color w:val="0000FF"/>
                <w:sz w:val="17"/>
                <w:szCs w:val="17"/>
              </w:rPr>
              <w:t>[</w:t>
            </w:r>
            <w:r w:rsidR="00BC4072" w:rsidRPr="00372E26">
              <w:rPr>
                <w:b/>
                <w:i/>
                <w:color w:val="0000FF"/>
                <w:sz w:val="17"/>
                <w:szCs w:val="17"/>
              </w:rPr>
              <w:t>Standard lending</w:t>
            </w:r>
            <w:r w:rsidRPr="00372E26">
              <w:rPr>
                <w:b/>
                <w:i/>
                <w:color w:val="0000FF"/>
                <w:sz w:val="17"/>
                <w:szCs w:val="17"/>
              </w:rPr>
              <w:t>]</w:t>
            </w:r>
          </w:p>
        </w:tc>
        <w:tc>
          <w:tcPr>
            <w:tcW w:w="454" w:type="pct"/>
            <w:shd w:val="clear" w:color="auto" w:fill="auto"/>
            <w:vAlign w:val="bottom"/>
          </w:tcPr>
          <w:p w14:paraId="75B56E3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4C529BE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18330DD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79A6915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0621FB0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60A8790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3A38364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1986D367"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4E4050D0" w14:textId="77777777" w:rsidTr="001B330E">
        <w:trPr>
          <w:trHeight w:val="23"/>
        </w:trPr>
        <w:tc>
          <w:tcPr>
            <w:tcW w:w="1364" w:type="pct"/>
            <w:shd w:val="clear" w:color="auto" w:fill="auto"/>
            <w:vAlign w:val="bottom"/>
          </w:tcPr>
          <w:p w14:paraId="27071A79" w14:textId="77777777" w:rsidR="00D83E33" w:rsidRPr="001B330E" w:rsidRDefault="00D83E33">
            <w:pPr>
              <w:widowControl w:val="0"/>
              <w:pBdr>
                <w:top w:val="nil"/>
                <w:left w:val="nil"/>
                <w:bottom w:val="nil"/>
                <w:right w:val="nil"/>
                <w:between w:val="nil"/>
              </w:pBdr>
              <w:ind w:left="113" w:hanging="113"/>
              <w:rPr>
                <w:b/>
                <w:i/>
                <w:color w:val="000000"/>
                <w:sz w:val="17"/>
                <w:szCs w:val="17"/>
              </w:rPr>
            </w:pPr>
          </w:p>
        </w:tc>
        <w:tc>
          <w:tcPr>
            <w:tcW w:w="454" w:type="pct"/>
            <w:shd w:val="clear" w:color="auto" w:fill="auto"/>
            <w:vAlign w:val="bottom"/>
          </w:tcPr>
          <w:p w14:paraId="568F524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53550C3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00C3902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697EC62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3F8545D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76D48BA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52FED4B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153285B6"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23B606B1" w14:textId="77777777" w:rsidTr="001B330E">
        <w:trPr>
          <w:trHeight w:val="23"/>
        </w:trPr>
        <w:tc>
          <w:tcPr>
            <w:tcW w:w="1364" w:type="pct"/>
            <w:shd w:val="clear" w:color="auto" w:fill="auto"/>
            <w:vAlign w:val="bottom"/>
          </w:tcPr>
          <w:p w14:paraId="14691029" w14:textId="37D49EC4" w:rsidR="00D83E33" w:rsidRPr="001B330E" w:rsidRDefault="00BC4072">
            <w:pPr>
              <w:widowControl w:val="0"/>
              <w:pBdr>
                <w:top w:val="nil"/>
                <w:left w:val="nil"/>
                <w:bottom w:val="nil"/>
                <w:right w:val="nil"/>
                <w:between w:val="nil"/>
              </w:pBdr>
              <w:ind w:left="113" w:hanging="113"/>
              <w:rPr>
                <w:b/>
                <w:color w:val="0000FF"/>
                <w:sz w:val="17"/>
                <w:szCs w:val="17"/>
              </w:rPr>
            </w:pPr>
            <w:r w:rsidRPr="001B330E">
              <w:rPr>
                <w:b/>
                <w:color w:val="000000"/>
                <w:sz w:val="17"/>
                <w:szCs w:val="17"/>
              </w:rPr>
              <w:t xml:space="preserve">At 1 January </w:t>
            </w:r>
            <w:r w:rsidR="00541EBC">
              <w:rPr>
                <w:b/>
                <w:color w:val="000000"/>
                <w:sz w:val="17"/>
                <w:szCs w:val="17"/>
              </w:rPr>
              <w:t>2023</w:t>
            </w:r>
          </w:p>
        </w:tc>
        <w:tc>
          <w:tcPr>
            <w:tcW w:w="454" w:type="pct"/>
            <w:shd w:val="clear" w:color="auto" w:fill="auto"/>
            <w:vAlign w:val="bottom"/>
          </w:tcPr>
          <w:p w14:paraId="1D9DAB2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44BB716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65FA306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4A2054F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55681DE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1650447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20606F3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2E984C5B"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1F70F700" w14:textId="77777777" w:rsidTr="001B330E">
        <w:trPr>
          <w:trHeight w:val="23"/>
        </w:trPr>
        <w:tc>
          <w:tcPr>
            <w:tcW w:w="1364" w:type="pct"/>
            <w:shd w:val="clear" w:color="auto" w:fill="auto"/>
            <w:vAlign w:val="bottom"/>
          </w:tcPr>
          <w:p w14:paraId="192B80A8" w14:textId="77777777" w:rsidR="00D83E33" w:rsidRPr="001B330E" w:rsidRDefault="00D83E33">
            <w:pPr>
              <w:widowControl w:val="0"/>
              <w:pBdr>
                <w:top w:val="nil"/>
                <w:left w:val="nil"/>
                <w:bottom w:val="nil"/>
                <w:right w:val="nil"/>
                <w:between w:val="nil"/>
              </w:pBdr>
              <w:ind w:left="113" w:hanging="113"/>
              <w:rPr>
                <w:b/>
                <w:color w:val="000000"/>
                <w:sz w:val="17"/>
                <w:szCs w:val="17"/>
              </w:rPr>
            </w:pPr>
          </w:p>
          <w:p w14:paraId="34F36408" w14:textId="77777777" w:rsidR="00D83E33" w:rsidRPr="001B330E" w:rsidRDefault="00BC4072">
            <w:pPr>
              <w:widowControl w:val="0"/>
              <w:pBdr>
                <w:top w:val="nil"/>
                <w:left w:val="nil"/>
                <w:bottom w:val="nil"/>
                <w:right w:val="nil"/>
                <w:between w:val="nil"/>
              </w:pBdr>
              <w:ind w:left="113" w:hanging="113"/>
              <w:rPr>
                <w:b/>
                <w:color w:val="000000"/>
                <w:sz w:val="17"/>
                <w:szCs w:val="17"/>
              </w:rPr>
            </w:pPr>
            <w:r w:rsidRPr="001B330E">
              <w:rPr>
                <w:i/>
                <w:color w:val="000000"/>
                <w:sz w:val="17"/>
                <w:szCs w:val="17"/>
              </w:rPr>
              <w:t>Movements with impact on credit loss allowance charge for the period:</w:t>
            </w:r>
          </w:p>
        </w:tc>
        <w:tc>
          <w:tcPr>
            <w:tcW w:w="454" w:type="pct"/>
            <w:shd w:val="clear" w:color="auto" w:fill="auto"/>
            <w:vAlign w:val="bottom"/>
          </w:tcPr>
          <w:p w14:paraId="785146D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6116BDC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407C67A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7FA1F12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02AE0DF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55" w:type="pct"/>
          </w:tcPr>
          <w:p w14:paraId="6A5A5C4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2792D55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470ED793"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602F43D6" w14:textId="77777777" w:rsidTr="001B330E">
        <w:trPr>
          <w:trHeight w:val="23"/>
        </w:trPr>
        <w:tc>
          <w:tcPr>
            <w:tcW w:w="1364" w:type="pct"/>
            <w:shd w:val="clear" w:color="auto" w:fill="auto"/>
            <w:vAlign w:val="bottom"/>
          </w:tcPr>
          <w:p w14:paraId="4BC0713F" w14:textId="77777777" w:rsidR="00D83E33" w:rsidRPr="001B330E" w:rsidRDefault="00D83E33">
            <w:pPr>
              <w:widowControl w:val="0"/>
              <w:pBdr>
                <w:top w:val="nil"/>
                <w:left w:val="nil"/>
                <w:bottom w:val="nil"/>
                <w:right w:val="nil"/>
                <w:between w:val="nil"/>
              </w:pBdr>
              <w:ind w:left="113" w:hanging="113"/>
              <w:rPr>
                <w:color w:val="000000"/>
                <w:sz w:val="17"/>
                <w:szCs w:val="17"/>
              </w:rPr>
            </w:pPr>
          </w:p>
        </w:tc>
        <w:tc>
          <w:tcPr>
            <w:tcW w:w="454" w:type="pct"/>
            <w:shd w:val="clear" w:color="auto" w:fill="auto"/>
            <w:vAlign w:val="bottom"/>
          </w:tcPr>
          <w:p w14:paraId="30C56B35"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20AEAA9F"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67D44B7C"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shd w:val="clear" w:color="auto" w:fill="auto"/>
            <w:vAlign w:val="bottom"/>
          </w:tcPr>
          <w:p w14:paraId="5660B6F4"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57577F7D"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52C2B7E0"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1314E192"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231E65AC"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r>
      <w:tr w:rsidR="00D83E33" w:rsidRPr="00FE3A14" w14:paraId="486AD9C6" w14:textId="77777777" w:rsidTr="001B330E">
        <w:trPr>
          <w:trHeight w:val="23"/>
        </w:trPr>
        <w:tc>
          <w:tcPr>
            <w:tcW w:w="1364" w:type="pct"/>
            <w:shd w:val="clear" w:color="auto" w:fill="auto"/>
            <w:vAlign w:val="bottom"/>
          </w:tcPr>
          <w:p w14:paraId="104A461B" w14:textId="77777777" w:rsidR="00D83E33" w:rsidRPr="001B330E" w:rsidRDefault="00BC4072">
            <w:pPr>
              <w:widowControl w:val="0"/>
              <w:pBdr>
                <w:top w:val="nil"/>
                <w:left w:val="nil"/>
                <w:bottom w:val="nil"/>
                <w:right w:val="nil"/>
                <w:between w:val="nil"/>
              </w:pBdr>
              <w:ind w:left="113" w:hanging="113"/>
              <w:rPr>
                <w:color w:val="0000FF"/>
                <w:sz w:val="17"/>
                <w:szCs w:val="17"/>
              </w:rPr>
            </w:pPr>
            <w:r w:rsidRPr="001B330E">
              <w:rPr>
                <w:color w:val="000000"/>
                <w:sz w:val="17"/>
                <w:szCs w:val="17"/>
              </w:rPr>
              <w:t>Transfers:</w:t>
            </w:r>
          </w:p>
        </w:tc>
        <w:tc>
          <w:tcPr>
            <w:tcW w:w="454" w:type="pct"/>
            <w:shd w:val="clear" w:color="auto" w:fill="auto"/>
            <w:vAlign w:val="bottom"/>
          </w:tcPr>
          <w:p w14:paraId="0C7039BA"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486345B9"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2376AA0B"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shd w:val="clear" w:color="auto" w:fill="auto"/>
            <w:vAlign w:val="bottom"/>
          </w:tcPr>
          <w:p w14:paraId="1A6627B0"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5C0D4D8C"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0564E00F"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09F45E05"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7EC78CA0"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r>
      <w:tr w:rsidR="00D83E33" w:rsidRPr="00FE3A14" w14:paraId="71F17A59" w14:textId="77777777" w:rsidTr="001B330E">
        <w:trPr>
          <w:trHeight w:val="23"/>
        </w:trPr>
        <w:tc>
          <w:tcPr>
            <w:tcW w:w="1364" w:type="pct"/>
            <w:shd w:val="clear" w:color="auto" w:fill="auto"/>
            <w:vAlign w:val="bottom"/>
          </w:tcPr>
          <w:p w14:paraId="46316050"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 to lifetime (from Stage 1 to Stage 2)</w:t>
            </w:r>
          </w:p>
        </w:tc>
        <w:tc>
          <w:tcPr>
            <w:tcW w:w="454" w:type="pct"/>
            <w:shd w:val="clear" w:color="auto" w:fill="auto"/>
            <w:vAlign w:val="bottom"/>
          </w:tcPr>
          <w:p w14:paraId="6F48BFAA"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54EDDE75"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447C1887"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shd w:val="clear" w:color="auto" w:fill="auto"/>
            <w:vAlign w:val="bottom"/>
          </w:tcPr>
          <w:p w14:paraId="67C5CDB4"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2A716A5A"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5C09D11D"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7FA83E3E"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7468C243"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r>
      <w:tr w:rsidR="00D83E33" w:rsidRPr="00FE3A14" w14:paraId="51FC0249" w14:textId="77777777" w:rsidTr="001B330E">
        <w:trPr>
          <w:trHeight w:val="23"/>
        </w:trPr>
        <w:tc>
          <w:tcPr>
            <w:tcW w:w="1364" w:type="pct"/>
            <w:shd w:val="clear" w:color="auto" w:fill="auto"/>
            <w:vAlign w:val="bottom"/>
          </w:tcPr>
          <w:p w14:paraId="57EFABD4"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 to credit-impaired (from Stage 1 and Stage 2 to Stage 3)</w:t>
            </w:r>
          </w:p>
        </w:tc>
        <w:tc>
          <w:tcPr>
            <w:tcW w:w="454" w:type="pct"/>
            <w:shd w:val="clear" w:color="auto" w:fill="auto"/>
            <w:vAlign w:val="bottom"/>
          </w:tcPr>
          <w:p w14:paraId="209FDBD4"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2FC11880"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1DD5C117"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shd w:val="clear" w:color="auto" w:fill="auto"/>
            <w:vAlign w:val="bottom"/>
          </w:tcPr>
          <w:p w14:paraId="2C5D59FC"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1451EF18"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264E1754"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1CE1C06B"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1B9F869D"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r>
      <w:tr w:rsidR="00D83E33" w:rsidRPr="00FE3A14" w14:paraId="260589BD" w14:textId="77777777" w:rsidTr="001B330E">
        <w:trPr>
          <w:trHeight w:val="23"/>
        </w:trPr>
        <w:tc>
          <w:tcPr>
            <w:tcW w:w="1364" w:type="pct"/>
            <w:shd w:val="clear" w:color="auto" w:fill="auto"/>
            <w:vAlign w:val="bottom"/>
          </w:tcPr>
          <w:p w14:paraId="4BF08EC6"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 to 12-months ECL (from Stage 2 and Stage 3 to Stage 1)</w:t>
            </w:r>
          </w:p>
        </w:tc>
        <w:tc>
          <w:tcPr>
            <w:tcW w:w="454" w:type="pct"/>
            <w:shd w:val="clear" w:color="auto" w:fill="auto"/>
            <w:vAlign w:val="bottom"/>
          </w:tcPr>
          <w:p w14:paraId="66A21D1E"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7443E3E8"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6B8B3D94"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shd w:val="clear" w:color="auto" w:fill="auto"/>
            <w:vAlign w:val="bottom"/>
          </w:tcPr>
          <w:p w14:paraId="57C6522C"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6E4B421D"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58345476"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tcPr>
          <w:p w14:paraId="6A990B81"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0C5B4F80"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r>
      <w:tr w:rsidR="00D83E33" w:rsidRPr="00FE3A14" w14:paraId="6543468C" w14:textId="77777777" w:rsidTr="001B330E">
        <w:trPr>
          <w:trHeight w:val="23"/>
        </w:trPr>
        <w:tc>
          <w:tcPr>
            <w:tcW w:w="1364" w:type="pct"/>
            <w:shd w:val="clear" w:color="auto" w:fill="auto"/>
            <w:vAlign w:val="bottom"/>
          </w:tcPr>
          <w:p w14:paraId="3D81DFE4"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New originated or purchased</w:t>
            </w:r>
          </w:p>
        </w:tc>
        <w:tc>
          <w:tcPr>
            <w:tcW w:w="454" w:type="pct"/>
            <w:shd w:val="clear" w:color="auto" w:fill="auto"/>
            <w:vAlign w:val="bottom"/>
          </w:tcPr>
          <w:p w14:paraId="3A770B9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0403761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13D5537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79EF447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6B231D7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3D2F398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57BE9FE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4709FD32"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2F63BBFA" w14:textId="77777777" w:rsidTr="001B330E">
        <w:trPr>
          <w:trHeight w:val="23"/>
        </w:trPr>
        <w:tc>
          <w:tcPr>
            <w:tcW w:w="1364" w:type="pct"/>
            <w:shd w:val="clear" w:color="auto" w:fill="auto"/>
            <w:vAlign w:val="bottom"/>
          </w:tcPr>
          <w:p w14:paraId="60F64B77"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Derecognised during the period</w:t>
            </w:r>
          </w:p>
        </w:tc>
        <w:tc>
          <w:tcPr>
            <w:tcW w:w="454" w:type="pct"/>
            <w:shd w:val="clear" w:color="auto" w:fill="auto"/>
            <w:vAlign w:val="bottom"/>
          </w:tcPr>
          <w:p w14:paraId="63B9EF9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6F28779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7E8208D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5D99361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59BC9CB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33D5178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Pr>
          <w:p w14:paraId="10F5A53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3ACEECEB"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78F76D84" w14:textId="77777777" w:rsidTr="001B330E">
        <w:trPr>
          <w:trHeight w:val="23"/>
        </w:trPr>
        <w:tc>
          <w:tcPr>
            <w:tcW w:w="1364" w:type="pct"/>
            <w:shd w:val="clear" w:color="auto" w:fill="auto"/>
            <w:vAlign w:val="bottom"/>
          </w:tcPr>
          <w:p w14:paraId="202F4009"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Changes to ECL measurement model assumptions</w:t>
            </w:r>
          </w:p>
        </w:tc>
        <w:tc>
          <w:tcPr>
            <w:tcW w:w="454" w:type="pct"/>
            <w:shd w:val="clear" w:color="auto" w:fill="auto"/>
            <w:vAlign w:val="bottom"/>
          </w:tcPr>
          <w:p w14:paraId="4FB8676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70645F0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559E12E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2C487B9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73BA2ED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48A4BA6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72903E2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22AD99F1"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6931A91E" w14:textId="77777777" w:rsidTr="001B330E">
        <w:trPr>
          <w:trHeight w:val="23"/>
        </w:trPr>
        <w:tc>
          <w:tcPr>
            <w:tcW w:w="1364" w:type="pct"/>
            <w:shd w:val="clear" w:color="auto" w:fill="auto"/>
            <w:vAlign w:val="bottom"/>
          </w:tcPr>
          <w:p w14:paraId="47315F48"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Unwinding of discount </w:t>
            </w:r>
          </w:p>
        </w:tc>
        <w:tc>
          <w:tcPr>
            <w:tcW w:w="454" w:type="pct"/>
            <w:shd w:val="clear" w:color="auto" w:fill="auto"/>
            <w:vAlign w:val="bottom"/>
          </w:tcPr>
          <w:p w14:paraId="4C21309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3051C5C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4C1C601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779F508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35E16D1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2423C72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0B9CFAC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204DF160"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368E4D31" w14:textId="77777777" w:rsidTr="001B330E">
        <w:trPr>
          <w:trHeight w:val="23"/>
        </w:trPr>
        <w:tc>
          <w:tcPr>
            <w:tcW w:w="1364" w:type="pct"/>
            <w:shd w:val="clear" w:color="auto" w:fill="auto"/>
            <w:vAlign w:val="bottom"/>
          </w:tcPr>
          <w:p w14:paraId="3131DB69"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Changes in accrued interest</w:t>
            </w:r>
          </w:p>
        </w:tc>
        <w:tc>
          <w:tcPr>
            <w:tcW w:w="454" w:type="pct"/>
            <w:shd w:val="clear" w:color="auto" w:fill="auto"/>
            <w:vAlign w:val="bottom"/>
          </w:tcPr>
          <w:p w14:paraId="60BB1A1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04E5DBF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0134A897"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5C34671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6164E7E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7722685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7E095AA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47E85193"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4FD431F6" w14:textId="77777777" w:rsidTr="001B330E">
        <w:trPr>
          <w:trHeight w:val="23"/>
        </w:trPr>
        <w:tc>
          <w:tcPr>
            <w:tcW w:w="1364" w:type="pct"/>
            <w:shd w:val="clear" w:color="auto" w:fill="auto"/>
            <w:vAlign w:val="bottom"/>
          </w:tcPr>
          <w:p w14:paraId="0C343402"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Other movements</w:t>
            </w:r>
          </w:p>
        </w:tc>
        <w:tc>
          <w:tcPr>
            <w:tcW w:w="454" w:type="pct"/>
            <w:shd w:val="clear" w:color="auto" w:fill="auto"/>
            <w:vAlign w:val="bottom"/>
          </w:tcPr>
          <w:p w14:paraId="49BBF71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4B02CFF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45F15A2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571C43B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725E8A2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2FE6459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3007B86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3339EA09"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2A965D44" w14:textId="77777777" w:rsidTr="001B330E">
        <w:trPr>
          <w:trHeight w:val="23"/>
        </w:trPr>
        <w:tc>
          <w:tcPr>
            <w:tcW w:w="1364" w:type="pct"/>
            <w:tcBorders>
              <w:bottom w:val="single" w:sz="4" w:space="0" w:color="000000"/>
            </w:tcBorders>
            <w:shd w:val="clear" w:color="auto" w:fill="auto"/>
            <w:vAlign w:val="bottom"/>
          </w:tcPr>
          <w:p w14:paraId="1A8D8A47" w14:textId="77777777" w:rsidR="00D83E33" w:rsidRPr="001B330E" w:rsidRDefault="00D83E33">
            <w:pPr>
              <w:widowControl w:val="0"/>
              <w:pBdr>
                <w:top w:val="nil"/>
                <w:left w:val="nil"/>
                <w:bottom w:val="nil"/>
                <w:right w:val="nil"/>
                <w:between w:val="nil"/>
              </w:pBdr>
              <w:ind w:left="113" w:hanging="113"/>
              <w:rPr>
                <w:color w:val="000000"/>
                <w:sz w:val="17"/>
                <w:szCs w:val="17"/>
              </w:rPr>
            </w:pPr>
          </w:p>
        </w:tc>
        <w:tc>
          <w:tcPr>
            <w:tcW w:w="454" w:type="pct"/>
            <w:tcBorders>
              <w:bottom w:val="single" w:sz="4" w:space="0" w:color="000000"/>
            </w:tcBorders>
            <w:shd w:val="clear" w:color="auto" w:fill="auto"/>
            <w:vAlign w:val="bottom"/>
          </w:tcPr>
          <w:p w14:paraId="42FE8C7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4" w:space="0" w:color="000000"/>
            </w:tcBorders>
            <w:shd w:val="clear" w:color="auto" w:fill="auto"/>
            <w:vAlign w:val="bottom"/>
          </w:tcPr>
          <w:p w14:paraId="3A5EFCA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4" w:space="0" w:color="000000"/>
            </w:tcBorders>
            <w:shd w:val="clear" w:color="auto" w:fill="auto"/>
            <w:vAlign w:val="bottom"/>
          </w:tcPr>
          <w:p w14:paraId="690E990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shd w:val="clear" w:color="auto" w:fill="auto"/>
            <w:vAlign w:val="bottom"/>
          </w:tcPr>
          <w:p w14:paraId="7012B5D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vAlign w:val="bottom"/>
          </w:tcPr>
          <w:p w14:paraId="18D7717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vAlign w:val="bottom"/>
          </w:tcPr>
          <w:p w14:paraId="1C29CE0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vAlign w:val="bottom"/>
          </w:tcPr>
          <w:p w14:paraId="0AD0F76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4" w:space="0" w:color="000000"/>
            </w:tcBorders>
            <w:shd w:val="clear" w:color="auto" w:fill="auto"/>
            <w:vAlign w:val="bottom"/>
          </w:tcPr>
          <w:p w14:paraId="0DAFC146"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6632E664" w14:textId="77777777" w:rsidTr="001B330E">
        <w:trPr>
          <w:trHeight w:val="23"/>
        </w:trPr>
        <w:tc>
          <w:tcPr>
            <w:tcW w:w="1364" w:type="pct"/>
            <w:tcBorders>
              <w:top w:val="single" w:sz="4" w:space="0" w:color="000000"/>
            </w:tcBorders>
            <w:shd w:val="clear" w:color="auto" w:fill="auto"/>
            <w:vAlign w:val="bottom"/>
          </w:tcPr>
          <w:p w14:paraId="6584D470" w14:textId="77777777" w:rsidR="00D83E33" w:rsidRPr="001B330E" w:rsidRDefault="00D83E33">
            <w:pPr>
              <w:widowControl w:val="0"/>
              <w:pBdr>
                <w:top w:val="nil"/>
                <w:left w:val="nil"/>
                <w:bottom w:val="nil"/>
                <w:right w:val="nil"/>
                <w:between w:val="nil"/>
              </w:pBdr>
              <w:ind w:left="113" w:hanging="113"/>
              <w:rPr>
                <w:color w:val="000000"/>
                <w:sz w:val="17"/>
                <w:szCs w:val="17"/>
              </w:rPr>
            </w:pPr>
          </w:p>
        </w:tc>
        <w:tc>
          <w:tcPr>
            <w:tcW w:w="454" w:type="pct"/>
            <w:tcBorders>
              <w:top w:val="single" w:sz="4" w:space="0" w:color="000000"/>
            </w:tcBorders>
            <w:shd w:val="clear" w:color="auto" w:fill="auto"/>
            <w:vAlign w:val="bottom"/>
          </w:tcPr>
          <w:p w14:paraId="33D6CB9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524E3AB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1E2EB7C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shd w:val="clear" w:color="auto" w:fill="auto"/>
            <w:vAlign w:val="bottom"/>
          </w:tcPr>
          <w:p w14:paraId="014C089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vAlign w:val="bottom"/>
          </w:tcPr>
          <w:p w14:paraId="5CF3039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vAlign w:val="bottom"/>
          </w:tcPr>
          <w:p w14:paraId="71DCA2A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vAlign w:val="bottom"/>
          </w:tcPr>
          <w:p w14:paraId="3859935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5F76A8B4"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40702C86" w14:textId="77777777" w:rsidTr="001B330E">
        <w:trPr>
          <w:trHeight w:val="23"/>
        </w:trPr>
        <w:tc>
          <w:tcPr>
            <w:tcW w:w="1364" w:type="pct"/>
            <w:shd w:val="clear" w:color="auto" w:fill="auto"/>
            <w:vAlign w:val="bottom"/>
          </w:tcPr>
          <w:p w14:paraId="49BD84D6" w14:textId="77777777" w:rsidR="00D83E33" w:rsidRPr="001B330E" w:rsidRDefault="00BC4072">
            <w:pPr>
              <w:widowControl w:val="0"/>
              <w:pBdr>
                <w:top w:val="nil"/>
                <w:left w:val="nil"/>
                <w:bottom w:val="nil"/>
                <w:right w:val="nil"/>
                <w:between w:val="nil"/>
              </w:pBdr>
              <w:ind w:left="113" w:hanging="113"/>
              <w:rPr>
                <w:b/>
                <w:color w:val="000000"/>
                <w:sz w:val="17"/>
                <w:szCs w:val="17"/>
              </w:rPr>
            </w:pPr>
            <w:r w:rsidRPr="001B330E">
              <w:rPr>
                <w:b/>
                <w:color w:val="000000"/>
                <w:sz w:val="17"/>
                <w:szCs w:val="17"/>
              </w:rPr>
              <w:t>Total movements with impact on credit loss allowance charge for the period</w:t>
            </w:r>
          </w:p>
        </w:tc>
        <w:tc>
          <w:tcPr>
            <w:tcW w:w="454" w:type="pct"/>
            <w:shd w:val="clear" w:color="auto" w:fill="auto"/>
            <w:vAlign w:val="bottom"/>
          </w:tcPr>
          <w:p w14:paraId="069DDEE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717D49F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6E8B60D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740F2FA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05A5381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2E65E3B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15DE762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1268256B"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22548C46" w14:textId="77777777" w:rsidTr="001B330E">
        <w:trPr>
          <w:trHeight w:val="23"/>
        </w:trPr>
        <w:tc>
          <w:tcPr>
            <w:tcW w:w="1364" w:type="pct"/>
            <w:tcBorders>
              <w:bottom w:val="single" w:sz="4" w:space="0" w:color="000000"/>
            </w:tcBorders>
            <w:shd w:val="clear" w:color="auto" w:fill="auto"/>
            <w:vAlign w:val="bottom"/>
          </w:tcPr>
          <w:p w14:paraId="2A68E26E" w14:textId="77777777" w:rsidR="00D83E33" w:rsidRPr="001B330E" w:rsidRDefault="00D83E33">
            <w:pPr>
              <w:widowControl w:val="0"/>
              <w:pBdr>
                <w:top w:val="nil"/>
                <w:left w:val="nil"/>
                <w:bottom w:val="nil"/>
                <w:right w:val="nil"/>
                <w:between w:val="nil"/>
              </w:pBdr>
              <w:ind w:left="113" w:hanging="113"/>
              <w:rPr>
                <w:color w:val="000000"/>
                <w:sz w:val="17"/>
                <w:szCs w:val="17"/>
              </w:rPr>
            </w:pPr>
          </w:p>
        </w:tc>
        <w:tc>
          <w:tcPr>
            <w:tcW w:w="454" w:type="pct"/>
            <w:tcBorders>
              <w:bottom w:val="single" w:sz="4" w:space="0" w:color="000000"/>
            </w:tcBorders>
            <w:shd w:val="clear" w:color="auto" w:fill="auto"/>
            <w:vAlign w:val="bottom"/>
          </w:tcPr>
          <w:p w14:paraId="14C34FF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4" w:space="0" w:color="000000"/>
            </w:tcBorders>
            <w:shd w:val="clear" w:color="auto" w:fill="auto"/>
            <w:vAlign w:val="bottom"/>
          </w:tcPr>
          <w:p w14:paraId="23DF341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4" w:space="0" w:color="000000"/>
            </w:tcBorders>
            <w:shd w:val="clear" w:color="auto" w:fill="auto"/>
            <w:vAlign w:val="bottom"/>
          </w:tcPr>
          <w:p w14:paraId="44DEE24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shd w:val="clear" w:color="auto" w:fill="auto"/>
            <w:vAlign w:val="bottom"/>
          </w:tcPr>
          <w:p w14:paraId="359C6C6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vAlign w:val="bottom"/>
          </w:tcPr>
          <w:p w14:paraId="4CF8843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vAlign w:val="bottom"/>
          </w:tcPr>
          <w:p w14:paraId="74F5EE8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vAlign w:val="bottom"/>
          </w:tcPr>
          <w:p w14:paraId="19CD81A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4" w:space="0" w:color="000000"/>
            </w:tcBorders>
            <w:shd w:val="clear" w:color="auto" w:fill="auto"/>
            <w:vAlign w:val="bottom"/>
          </w:tcPr>
          <w:p w14:paraId="7BF287E6"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34CBD337" w14:textId="77777777" w:rsidTr="001B330E">
        <w:trPr>
          <w:trHeight w:val="23"/>
        </w:trPr>
        <w:tc>
          <w:tcPr>
            <w:tcW w:w="1364" w:type="pct"/>
            <w:tcBorders>
              <w:top w:val="single" w:sz="4" w:space="0" w:color="000000"/>
            </w:tcBorders>
            <w:shd w:val="clear" w:color="auto" w:fill="auto"/>
            <w:vAlign w:val="bottom"/>
          </w:tcPr>
          <w:p w14:paraId="20962DE0" w14:textId="77777777" w:rsidR="00D83E33" w:rsidRPr="001B330E" w:rsidRDefault="00D83E33">
            <w:pPr>
              <w:widowControl w:val="0"/>
              <w:pBdr>
                <w:top w:val="nil"/>
                <w:left w:val="nil"/>
                <w:bottom w:val="nil"/>
                <w:right w:val="nil"/>
                <w:between w:val="nil"/>
              </w:pBdr>
              <w:ind w:left="113" w:hanging="113"/>
              <w:rPr>
                <w:color w:val="000000"/>
                <w:sz w:val="17"/>
                <w:szCs w:val="17"/>
              </w:rPr>
            </w:pPr>
          </w:p>
        </w:tc>
        <w:tc>
          <w:tcPr>
            <w:tcW w:w="454" w:type="pct"/>
            <w:tcBorders>
              <w:top w:val="single" w:sz="4" w:space="0" w:color="000000"/>
            </w:tcBorders>
            <w:shd w:val="clear" w:color="auto" w:fill="auto"/>
            <w:vAlign w:val="bottom"/>
          </w:tcPr>
          <w:p w14:paraId="3C6AB90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6549F6E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6192955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shd w:val="clear" w:color="auto" w:fill="auto"/>
            <w:vAlign w:val="bottom"/>
          </w:tcPr>
          <w:p w14:paraId="4F785A7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vAlign w:val="bottom"/>
          </w:tcPr>
          <w:p w14:paraId="5733469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vAlign w:val="bottom"/>
          </w:tcPr>
          <w:p w14:paraId="65290ED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vAlign w:val="bottom"/>
          </w:tcPr>
          <w:p w14:paraId="732C0A9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7B9F995F"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7335A812" w14:textId="77777777" w:rsidTr="001B330E">
        <w:trPr>
          <w:trHeight w:val="23"/>
        </w:trPr>
        <w:tc>
          <w:tcPr>
            <w:tcW w:w="1364" w:type="pct"/>
            <w:shd w:val="clear" w:color="auto" w:fill="auto"/>
            <w:vAlign w:val="bottom"/>
          </w:tcPr>
          <w:p w14:paraId="6BBC763D" w14:textId="40805BF3"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i/>
                <w:color w:val="000000"/>
                <w:sz w:val="17"/>
                <w:szCs w:val="17"/>
              </w:rPr>
              <w:t>Movements without impact on credit loss allowance charge for the period:</w:t>
            </w:r>
          </w:p>
        </w:tc>
        <w:tc>
          <w:tcPr>
            <w:tcW w:w="454" w:type="pct"/>
            <w:shd w:val="clear" w:color="auto" w:fill="auto"/>
            <w:vAlign w:val="bottom"/>
          </w:tcPr>
          <w:p w14:paraId="3810FA1F"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7E5849C1"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1C1270CB"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shd w:val="clear" w:color="auto" w:fill="auto"/>
            <w:vAlign w:val="bottom"/>
          </w:tcPr>
          <w:p w14:paraId="0A7DE302"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vAlign w:val="bottom"/>
          </w:tcPr>
          <w:p w14:paraId="1A7A6D3D"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vAlign w:val="bottom"/>
          </w:tcPr>
          <w:p w14:paraId="65BD88C3"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vAlign w:val="bottom"/>
          </w:tcPr>
          <w:p w14:paraId="3334853F"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00E884A7"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r>
      <w:tr w:rsidR="00F279EA" w:rsidRPr="00FE3A14" w14:paraId="18E07184" w14:textId="77777777" w:rsidTr="00E837F2">
        <w:trPr>
          <w:trHeight w:val="23"/>
        </w:trPr>
        <w:tc>
          <w:tcPr>
            <w:tcW w:w="1364" w:type="pct"/>
            <w:shd w:val="clear" w:color="auto" w:fill="auto"/>
            <w:vAlign w:val="bottom"/>
          </w:tcPr>
          <w:p w14:paraId="39570018" w14:textId="77777777" w:rsidR="00F279EA" w:rsidRPr="00FE3A14" w:rsidRDefault="00F279EA" w:rsidP="00F279EA">
            <w:pPr>
              <w:widowControl w:val="0"/>
              <w:pBdr>
                <w:top w:val="nil"/>
                <w:left w:val="nil"/>
                <w:bottom w:val="nil"/>
                <w:right w:val="nil"/>
                <w:between w:val="nil"/>
              </w:pBdr>
              <w:ind w:left="113" w:hanging="113"/>
              <w:rPr>
                <w:i/>
                <w:color w:val="000000"/>
                <w:sz w:val="17"/>
                <w:szCs w:val="17"/>
              </w:rPr>
            </w:pPr>
          </w:p>
        </w:tc>
        <w:tc>
          <w:tcPr>
            <w:tcW w:w="454" w:type="pct"/>
            <w:shd w:val="clear" w:color="auto" w:fill="auto"/>
            <w:vAlign w:val="bottom"/>
          </w:tcPr>
          <w:p w14:paraId="59AB60CC" w14:textId="77777777" w:rsidR="00F279EA" w:rsidRPr="00FE3A14" w:rsidRDefault="00F279EA">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1EAD6846" w14:textId="77777777" w:rsidR="00F279EA" w:rsidRPr="00FE3A14" w:rsidRDefault="00F279EA">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7D860A10" w14:textId="77777777" w:rsidR="00F279EA" w:rsidRPr="00FE3A14" w:rsidRDefault="00F279EA">
            <w:pPr>
              <w:widowControl w:val="0"/>
              <w:pBdr>
                <w:top w:val="nil"/>
                <w:left w:val="nil"/>
                <w:bottom w:val="nil"/>
                <w:right w:val="nil"/>
                <w:between w:val="nil"/>
              </w:pBdr>
              <w:jc w:val="right"/>
              <w:rPr>
                <w:color w:val="000000"/>
                <w:sz w:val="17"/>
                <w:szCs w:val="17"/>
                <w:highlight w:val="green"/>
              </w:rPr>
            </w:pPr>
          </w:p>
        </w:tc>
        <w:tc>
          <w:tcPr>
            <w:tcW w:w="455" w:type="pct"/>
            <w:shd w:val="clear" w:color="auto" w:fill="auto"/>
            <w:vAlign w:val="bottom"/>
          </w:tcPr>
          <w:p w14:paraId="1A3CF057" w14:textId="77777777" w:rsidR="00F279EA" w:rsidRPr="00FE3A14" w:rsidRDefault="00F279EA">
            <w:pPr>
              <w:widowControl w:val="0"/>
              <w:pBdr>
                <w:top w:val="nil"/>
                <w:left w:val="nil"/>
                <w:bottom w:val="nil"/>
                <w:right w:val="nil"/>
                <w:between w:val="nil"/>
              </w:pBdr>
              <w:jc w:val="right"/>
              <w:rPr>
                <w:color w:val="000000"/>
                <w:sz w:val="17"/>
                <w:szCs w:val="17"/>
                <w:highlight w:val="green"/>
              </w:rPr>
            </w:pPr>
          </w:p>
        </w:tc>
        <w:tc>
          <w:tcPr>
            <w:tcW w:w="455" w:type="pct"/>
            <w:vAlign w:val="bottom"/>
          </w:tcPr>
          <w:p w14:paraId="2EDCFC11" w14:textId="77777777" w:rsidR="00F279EA" w:rsidRPr="00FE3A14" w:rsidRDefault="00F279EA">
            <w:pPr>
              <w:widowControl w:val="0"/>
              <w:pBdr>
                <w:top w:val="nil"/>
                <w:left w:val="nil"/>
                <w:bottom w:val="nil"/>
                <w:right w:val="nil"/>
                <w:between w:val="nil"/>
              </w:pBdr>
              <w:jc w:val="right"/>
              <w:rPr>
                <w:color w:val="000000"/>
                <w:sz w:val="17"/>
                <w:szCs w:val="17"/>
                <w:highlight w:val="green"/>
              </w:rPr>
            </w:pPr>
          </w:p>
        </w:tc>
        <w:tc>
          <w:tcPr>
            <w:tcW w:w="455" w:type="pct"/>
            <w:vAlign w:val="bottom"/>
          </w:tcPr>
          <w:p w14:paraId="6EBEF66F" w14:textId="77777777" w:rsidR="00F279EA" w:rsidRPr="00FE3A14" w:rsidRDefault="00F279EA">
            <w:pPr>
              <w:widowControl w:val="0"/>
              <w:pBdr>
                <w:top w:val="nil"/>
                <w:left w:val="nil"/>
                <w:bottom w:val="nil"/>
                <w:right w:val="nil"/>
                <w:between w:val="nil"/>
              </w:pBdr>
              <w:jc w:val="right"/>
              <w:rPr>
                <w:color w:val="000000"/>
                <w:sz w:val="17"/>
                <w:szCs w:val="17"/>
                <w:highlight w:val="green"/>
              </w:rPr>
            </w:pPr>
          </w:p>
        </w:tc>
        <w:tc>
          <w:tcPr>
            <w:tcW w:w="455" w:type="pct"/>
            <w:vAlign w:val="bottom"/>
          </w:tcPr>
          <w:p w14:paraId="2F00ED7F" w14:textId="77777777" w:rsidR="00F279EA" w:rsidRPr="00FE3A14" w:rsidRDefault="00F279EA">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51A3EDA3" w14:textId="77777777" w:rsidR="00F279EA" w:rsidRPr="00FE3A14" w:rsidRDefault="00F279EA">
            <w:pPr>
              <w:widowControl w:val="0"/>
              <w:pBdr>
                <w:top w:val="nil"/>
                <w:left w:val="nil"/>
                <w:bottom w:val="nil"/>
                <w:right w:val="nil"/>
                <w:between w:val="nil"/>
              </w:pBdr>
              <w:jc w:val="right"/>
              <w:rPr>
                <w:color w:val="000000"/>
                <w:sz w:val="17"/>
                <w:szCs w:val="17"/>
                <w:highlight w:val="green"/>
              </w:rPr>
            </w:pPr>
          </w:p>
        </w:tc>
      </w:tr>
      <w:tr w:rsidR="00D83E33" w:rsidRPr="00FE3A14" w14:paraId="0F023CD9" w14:textId="77777777" w:rsidTr="001B330E">
        <w:trPr>
          <w:trHeight w:val="23"/>
        </w:trPr>
        <w:tc>
          <w:tcPr>
            <w:tcW w:w="1364" w:type="pct"/>
            <w:shd w:val="clear" w:color="auto" w:fill="auto"/>
            <w:vAlign w:val="bottom"/>
          </w:tcPr>
          <w:p w14:paraId="6C7DBD96"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Write-offs</w:t>
            </w:r>
          </w:p>
        </w:tc>
        <w:tc>
          <w:tcPr>
            <w:tcW w:w="454" w:type="pct"/>
            <w:shd w:val="clear" w:color="auto" w:fill="auto"/>
            <w:vAlign w:val="bottom"/>
          </w:tcPr>
          <w:p w14:paraId="2EDF2365"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415DB5EE"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431935F1"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shd w:val="clear" w:color="auto" w:fill="auto"/>
            <w:vAlign w:val="bottom"/>
          </w:tcPr>
          <w:p w14:paraId="39372728"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vAlign w:val="bottom"/>
          </w:tcPr>
          <w:p w14:paraId="13E603BF"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vAlign w:val="bottom"/>
          </w:tcPr>
          <w:p w14:paraId="7A2A8489"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vAlign w:val="bottom"/>
          </w:tcPr>
          <w:p w14:paraId="4C2B66EB"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3818159F"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r>
      <w:tr w:rsidR="00D83E33" w:rsidRPr="00FE3A14" w14:paraId="2C184F8C" w14:textId="77777777" w:rsidTr="001B330E">
        <w:trPr>
          <w:trHeight w:val="23"/>
        </w:trPr>
        <w:tc>
          <w:tcPr>
            <w:tcW w:w="1364" w:type="pct"/>
            <w:shd w:val="clear" w:color="auto" w:fill="auto"/>
            <w:vAlign w:val="bottom"/>
          </w:tcPr>
          <w:p w14:paraId="63E4FA44"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Foreign exchange gains and losses and other movements</w:t>
            </w:r>
          </w:p>
        </w:tc>
        <w:tc>
          <w:tcPr>
            <w:tcW w:w="454" w:type="pct"/>
            <w:shd w:val="clear" w:color="auto" w:fill="auto"/>
            <w:vAlign w:val="bottom"/>
          </w:tcPr>
          <w:p w14:paraId="6261EDB3"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61E8D48D"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3C2F0DF9"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shd w:val="clear" w:color="auto" w:fill="auto"/>
            <w:vAlign w:val="bottom"/>
          </w:tcPr>
          <w:p w14:paraId="7437E0BF"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vAlign w:val="bottom"/>
          </w:tcPr>
          <w:p w14:paraId="1EB5F0AE"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vAlign w:val="bottom"/>
          </w:tcPr>
          <w:p w14:paraId="44DF0F43"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5" w:type="pct"/>
            <w:vAlign w:val="bottom"/>
          </w:tcPr>
          <w:p w14:paraId="3C596531"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c>
          <w:tcPr>
            <w:tcW w:w="454" w:type="pct"/>
            <w:shd w:val="clear" w:color="auto" w:fill="auto"/>
            <w:vAlign w:val="bottom"/>
          </w:tcPr>
          <w:p w14:paraId="4C8BD933" w14:textId="77777777" w:rsidR="00D83E33" w:rsidRPr="001B330E" w:rsidRDefault="00D83E33">
            <w:pPr>
              <w:widowControl w:val="0"/>
              <w:pBdr>
                <w:top w:val="nil"/>
                <w:left w:val="nil"/>
                <w:bottom w:val="nil"/>
                <w:right w:val="nil"/>
                <w:between w:val="nil"/>
              </w:pBdr>
              <w:jc w:val="right"/>
              <w:rPr>
                <w:color w:val="000000"/>
                <w:sz w:val="17"/>
                <w:szCs w:val="17"/>
                <w:highlight w:val="green"/>
              </w:rPr>
            </w:pPr>
          </w:p>
        </w:tc>
      </w:tr>
      <w:tr w:rsidR="00D83E33" w:rsidRPr="00FE3A14" w14:paraId="5BEDE97B" w14:textId="77777777" w:rsidTr="001B330E">
        <w:trPr>
          <w:trHeight w:val="23"/>
        </w:trPr>
        <w:tc>
          <w:tcPr>
            <w:tcW w:w="1364" w:type="pct"/>
            <w:shd w:val="clear" w:color="auto" w:fill="auto"/>
            <w:vAlign w:val="bottom"/>
          </w:tcPr>
          <w:p w14:paraId="3BB0756B"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Modification of contractual cash flows</w:t>
            </w:r>
          </w:p>
        </w:tc>
        <w:tc>
          <w:tcPr>
            <w:tcW w:w="454" w:type="pct"/>
            <w:shd w:val="clear" w:color="auto" w:fill="auto"/>
            <w:vAlign w:val="bottom"/>
          </w:tcPr>
          <w:p w14:paraId="7B954F4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2A0E521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027048B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28A1B6A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5EE9AE7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45D5FA3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3CEE0A8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13165CAC"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790235C3" w14:textId="77777777" w:rsidTr="001B330E">
        <w:trPr>
          <w:trHeight w:val="23"/>
        </w:trPr>
        <w:tc>
          <w:tcPr>
            <w:tcW w:w="1364" w:type="pct"/>
            <w:shd w:val="clear" w:color="auto" w:fill="auto"/>
            <w:vAlign w:val="bottom"/>
          </w:tcPr>
          <w:p w14:paraId="5122F9F6" w14:textId="77777777" w:rsidR="00D83E33" w:rsidRPr="001B330E" w:rsidRDefault="00BC4072">
            <w:pPr>
              <w:widowControl w:val="0"/>
              <w:pBdr>
                <w:top w:val="nil"/>
                <w:left w:val="nil"/>
                <w:bottom w:val="nil"/>
                <w:right w:val="nil"/>
                <w:between w:val="nil"/>
              </w:pBdr>
              <w:ind w:left="113" w:hanging="113"/>
              <w:rPr>
                <w:color w:val="000000"/>
                <w:sz w:val="17"/>
                <w:szCs w:val="17"/>
              </w:rPr>
            </w:pPr>
            <w:r w:rsidRPr="001B330E">
              <w:rPr>
                <w:color w:val="000000"/>
                <w:sz w:val="17"/>
                <w:szCs w:val="17"/>
              </w:rPr>
              <w:t>Unwinding of discount (for Stage 3)</w:t>
            </w:r>
          </w:p>
        </w:tc>
        <w:tc>
          <w:tcPr>
            <w:tcW w:w="454" w:type="pct"/>
            <w:shd w:val="clear" w:color="auto" w:fill="auto"/>
            <w:vAlign w:val="bottom"/>
          </w:tcPr>
          <w:p w14:paraId="45DC29E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2A3FA2F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665A90E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3B74CA5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0A83A48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774BB3F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2E4424A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073E384A"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62A3630D" w14:textId="77777777" w:rsidTr="001B330E">
        <w:trPr>
          <w:trHeight w:val="23"/>
        </w:trPr>
        <w:tc>
          <w:tcPr>
            <w:tcW w:w="1364" w:type="pct"/>
            <w:tcBorders>
              <w:bottom w:val="single" w:sz="4" w:space="0" w:color="000000"/>
            </w:tcBorders>
            <w:shd w:val="clear" w:color="auto" w:fill="auto"/>
            <w:vAlign w:val="bottom"/>
          </w:tcPr>
          <w:p w14:paraId="64D57399" w14:textId="77777777" w:rsidR="00D83E33" w:rsidRPr="001B330E" w:rsidRDefault="00D83E33">
            <w:pPr>
              <w:widowControl w:val="0"/>
              <w:pBdr>
                <w:top w:val="nil"/>
                <w:left w:val="nil"/>
                <w:bottom w:val="nil"/>
                <w:right w:val="nil"/>
                <w:between w:val="nil"/>
              </w:pBdr>
              <w:ind w:left="113" w:hanging="113"/>
              <w:rPr>
                <w:b/>
                <w:color w:val="000000"/>
                <w:sz w:val="17"/>
                <w:szCs w:val="17"/>
              </w:rPr>
            </w:pPr>
          </w:p>
        </w:tc>
        <w:tc>
          <w:tcPr>
            <w:tcW w:w="454" w:type="pct"/>
            <w:tcBorders>
              <w:bottom w:val="single" w:sz="4" w:space="0" w:color="000000"/>
            </w:tcBorders>
            <w:shd w:val="clear" w:color="auto" w:fill="auto"/>
            <w:vAlign w:val="bottom"/>
          </w:tcPr>
          <w:p w14:paraId="6BC094D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4" w:space="0" w:color="000000"/>
            </w:tcBorders>
            <w:shd w:val="clear" w:color="auto" w:fill="auto"/>
            <w:vAlign w:val="bottom"/>
          </w:tcPr>
          <w:p w14:paraId="561BCBC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4" w:space="0" w:color="000000"/>
            </w:tcBorders>
            <w:shd w:val="clear" w:color="auto" w:fill="auto"/>
            <w:vAlign w:val="bottom"/>
          </w:tcPr>
          <w:p w14:paraId="0365AE4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shd w:val="clear" w:color="auto" w:fill="auto"/>
            <w:vAlign w:val="bottom"/>
          </w:tcPr>
          <w:p w14:paraId="6EDB552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vAlign w:val="bottom"/>
          </w:tcPr>
          <w:p w14:paraId="6F5E629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vAlign w:val="bottom"/>
          </w:tcPr>
          <w:p w14:paraId="12F9990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4" w:space="0" w:color="000000"/>
            </w:tcBorders>
            <w:vAlign w:val="bottom"/>
          </w:tcPr>
          <w:p w14:paraId="0C701E0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4" w:space="0" w:color="000000"/>
            </w:tcBorders>
            <w:shd w:val="clear" w:color="auto" w:fill="auto"/>
            <w:vAlign w:val="bottom"/>
          </w:tcPr>
          <w:p w14:paraId="443C916A"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3DA7C6D3" w14:textId="77777777" w:rsidTr="001B330E">
        <w:trPr>
          <w:trHeight w:val="23"/>
        </w:trPr>
        <w:tc>
          <w:tcPr>
            <w:tcW w:w="1364" w:type="pct"/>
            <w:tcBorders>
              <w:top w:val="single" w:sz="4" w:space="0" w:color="000000"/>
            </w:tcBorders>
            <w:shd w:val="clear" w:color="auto" w:fill="auto"/>
            <w:vAlign w:val="bottom"/>
          </w:tcPr>
          <w:p w14:paraId="311BD7DE" w14:textId="77777777" w:rsidR="00D83E33" w:rsidRPr="001B330E" w:rsidRDefault="00D83E33">
            <w:pPr>
              <w:widowControl w:val="0"/>
              <w:pBdr>
                <w:top w:val="nil"/>
                <w:left w:val="nil"/>
                <w:bottom w:val="nil"/>
                <w:right w:val="nil"/>
                <w:between w:val="nil"/>
              </w:pBdr>
              <w:ind w:left="113" w:hanging="113"/>
              <w:rPr>
                <w:color w:val="000000"/>
                <w:sz w:val="17"/>
                <w:szCs w:val="17"/>
                <w:u w:val="single"/>
              </w:rPr>
            </w:pPr>
          </w:p>
        </w:tc>
        <w:tc>
          <w:tcPr>
            <w:tcW w:w="454" w:type="pct"/>
            <w:tcBorders>
              <w:top w:val="single" w:sz="4" w:space="0" w:color="000000"/>
            </w:tcBorders>
            <w:shd w:val="clear" w:color="auto" w:fill="auto"/>
            <w:vAlign w:val="bottom"/>
          </w:tcPr>
          <w:p w14:paraId="143539F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58FC814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69F9745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shd w:val="clear" w:color="auto" w:fill="auto"/>
            <w:vAlign w:val="bottom"/>
          </w:tcPr>
          <w:p w14:paraId="21F1E44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vAlign w:val="bottom"/>
          </w:tcPr>
          <w:p w14:paraId="57CE94F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vAlign w:val="bottom"/>
          </w:tcPr>
          <w:p w14:paraId="2B358B2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top w:val="single" w:sz="4" w:space="0" w:color="000000"/>
            </w:tcBorders>
            <w:vAlign w:val="bottom"/>
          </w:tcPr>
          <w:p w14:paraId="4028B66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top w:val="single" w:sz="4" w:space="0" w:color="000000"/>
            </w:tcBorders>
            <w:shd w:val="clear" w:color="auto" w:fill="auto"/>
            <w:vAlign w:val="bottom"/>
          </w:tcPr>
          <w:p w14:paraId="74E98532"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0889195A" w14:textId="77777777" w:rsidTr="001B330E">
        <w:trPr>
          <w:trHeight w:val="23"/>
        </w:trPr>
        <w:tc>
          <w:tcPr>
            <w:tcW w:w="1364" w:type="pct"/>
            <w:shd w:val="clear" w:color="auto" w:fill="auto"/>
            <w:vAlign w:val="bottom"/>
          </w:tcPr>
          <w:p w14:paraId="688369A3" w14:textId="72DB8C9B" w:rsidR="00D83E33" w:rsidRPr="001B330E" w:rsidRDefault="00BC4072">
            <w:pPr>
              <w:widowControl w:val="0"/>
              <w:pBdr>
                <w:top w:val="nil"/>
                <w:left w:val="nil"/>
                <w:bottom w:val="nil"/>
                <w:right w:val="nil"/>
                <w:between w:val="nil"/>
              </w:pBdr>
              <w:ind w:left="113" w:hanging="113"/>
              <w:rPr>
                <w:b/>
                <w:color w:val="000000"/>
                <w:sz w:val="17"/>
                <w:szCs w:val="17"/>
              </w:rPr>
            </w:pPr>
            <w:r w:rsidRPr="001B330E">
              <w:rPr>
                <w:b/>
                <w:color w:val="000000"/>
                <w:sz w:val="17"/>
                <w:szCs w:val="17"/>
              </w:rPr>
              <w:t>At 31</w:t>
            </w:r>
            <w:r w:rsidR="00181687">
              <w:rPr>
                <w:b/>
                <w:color w:val="000000"/>
                <w:sz w:val="17"/>
                <w:szCs w:val="17"/>
              </w:rPr>
              <w:t> December </w:t>
            </w:r>
            <w:r w:rsidR="00541EBC">
              <w:rPr>
                <w:b/>
                <w:color w:val="000000"/>
                <w:sz w:val="17"/>
                <w:szCs w:val="17"/>
              </w:rPr>
              <w:t>2023</w:t>
            </w:r>
          </w:p>
        </w:tc>
        <w:tc>
          <w:tcPr>
            <w:tcW w:w="454" w:type="pct"/>
            <w:shd w:val="clear" w:color="auto" w:fill="auto"/>
            <w:vAlign w:val="bottom"/>
          </w:tcPr>
          <w:p w14:paraId="14787C0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6D3A6B3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752FD49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shd w:val="clear" w:color="auto" w:fill="auto"/>
            <w:vAlign w:val="bottom"/>
          </w:tcPr>
          <w:p w14:paraId="46FB033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26B7198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595BA4B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vAlign w:val="bottom"/>
          </w:tcPr>
          <w:p w14:paraId="2BC9E0C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shd w:val="clear" w:color="auto" w:fill="auto"/>
            <w:vAlign w:val="bottom"/>
          </w:tcPr>
          <w:p w14:paraId="7AC23C1D"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FE3A14" w14:paraId="59F8171E" w14:textId="77777777" w:rsidTr="001B330E">
        <w:trPr>
          <w:trHeight w:val="23"/>
        </w:trPr>
        <w:tc>
          <w:tcPr>
            <w:tcW w:w="1364" w:type="pct"/>
            <w:tcBorders>
              <w:bottom w:val="single" w:sz="12" w:space="0" w:color="000000"/>
            </w:tcBorders>
            <w:shd w:val="clear" w:color="auto" w:fill="auto"/>
            <w:vAlign w:val="bottom"/>
          </w:tcPr>
          <w:p w14:paraId="0E9E4C11" w14:textId="77777777" w:rsidR="00D83E33" w:rsidRPr="001B330E" w:rsidRDefault="00D83E33">
            <w:pPr>
              <w:widowControl w:val="0"/>
              <w:pBdr>
                <w:top w:val="nil"/>
                <w:left w:val="nil"/>
                <w:bottom w:val="nil"/>
                <w:right w:val="nil"/>
                <w:between w:val="nil"/>
              </w:pBdr>
              <w:ind w:left="113" w:hanging="113"/>
              <w:rPr>
                <w:b/>
                <w:color w:val="000000"/>
                <w:sz w:val="17"/>
                <w:szCs w:val="17"/>
              </w:rPr>
            </w:pPr>
          </w:p>
        </w:tc>
        <w:tc>
          <w:tcPr>
            <w:tcW w:w="454" w:type="pct"/>
            <w:tcBorders>
              <w:bottom w:val="single" w:sz="12" w:space="0" w:color="000000"/>
            </w:tcBorders>
            <w:shd w:val="clear" w:color="auto" w:fill="auto"/>
            <w:vAlign w:val="bottom"/>
          </w:tcPr>
          <w:p w14:paraId="69D8EEC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12" w:space="0" w:color="000000"/>
            </w:tcBorders>
            <w:shd w:val="clear" w:color="auto" w:fill="auto"/>
            <w:vAlign w:val="bottom"/>
          </w:tcPr>
          <w:p w14:paraId="424C665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12" w:space="0" w:color="000000"/>
            </w:tcBorders>
            <w:shd w:val="clear" w:color="auto" w:fill="auto"/>
            <w:vAlign w:val="bottom"/>
          </w:tcPr>
          <w:p w14:paraId="07FFC81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12" w:space="0" w:color="000000"/>
            </w:tcBorders>
            <w:shd w:val="clear" w:color="auto" w:fill="auto"/>
            <w:vAlign w:val="bottom"/>
          </w:tcPr>
          <w:p w14:paraId="7AACE19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12" w:space="0" w:color="000000"/>
            </w:tcBorders>
          </w:tcPr>
          <w:p w14:paraId="55565A2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12" w:space="0" w:color="000000"/>
            </w:tcBorders>
          </w:tcPr>
          <w:p w14:paraId="6CCC97E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5" w:type="pct"/>
            <w:tcBorders>
              <w:bottom w:val="single" w:sz="12" w:space="0" w:color="000000"/>
            </w:tcBorders>
          </w:tcPr>
          <w:p w14:paraId="7FEC52A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54" w:type="pct"/>
            <w:tcBorders>
              <w:bottom w:val="single" w:sz="12" w:space="0" w:color="000000"/>
            </w:tcBorders>
            <w:shd w:val="clear" w:color="auto" w:fill="auto"/>
            <w:vAlign w:val="bottom"/>
          </w:tcPr>
          <w:p w14:paraId="282CCE6E" w14:textId="77777777" w:rsidR="00D83E33" w:rsidRPr="001B330E" w:rsidRDefault="00D83E33">
            <w:pPr>
              <w:widowControl w:val="0"/>
              <w:pBdr>
                <w:top w:val="nil"/>
                <w:left w:val="nil"/>
                <w:bottom w:val="nil"/>
                <w:right w:val="nil"/>
                <w:between w:val="nil"/>
              </w:pBdr>
              <w:jc w:val="right"/>
              <w:rPr>
                <w:color w:val="000000"/>
                <w:sz w:val="17"/>
                <w:szCs w:val="17"/>
              </w:rPr>
            </w:pPr>
          </w:p>
        </w:tc>
      </w:tr>
    </w:tbl>
    <w:p w14:paraId="00C71EC6" w14:textId="77777777" w:rsidR="001F77EE" w:rsidRDefault="001F77EE" w:rsidP="001F77EE">
      <w:pPr>
        <w:widowControl w:val="0"/>
        <w:pBdr>
          <w:top w:val="nil"/>
          <w:left w:val="nil"/>
          <w:bottom w:val="nil"/>
          <w:right w:val="nil"/>
          <w:between w:val="nil"/>
        </w:pBdr>
        <w:spacing w:before="200" w:after="200"/>
        <w:jc w:val="both"/>
        <w:rPr>
          <w:i/>
          <w:color w:val="FF0000"/>
          <w:sz w:val="20"/>
          <w:szCs w:val="20"/>
        </w:rPr>
      </w:pPr>
      <w:r>
        <w:rPr>
          <w:color w:val="000000"/>
          <w:sz w:val="20"/>
          <w:szCs w:val="20"/>
        </w:rPr>
        <w:t>The total amount of undiscounted ECLs at initial recognition for POCI financial assets recognised during the period was EUR ____</w:t>
      </w:r>
      <w:r>
        <w:rPr>
          <w:color w:val="0070C0"/>
          <w:sz w:val="20"/>
          <w:szCs w:val="20"/>
        </w:rPr>
        <w:t xml:space="preserve"> </w:t>
      </w:r>
      <w:r>
        <w:rPr>
          <w:color w:val="000000"/>
          <w:sz w:val="20"/>
          <w:szCs w:val="20"/>
        </w:rPr>
        <w:t>thousand.</w:t>
      </w:r>
    </w:p>
    <w:p w14:paraId="71F43E22" w14:textId="19CB4AC5" w:rsidR="001F77EE" w:rsidRDefault="001F77EE" w:rsidP="001F77EE">
      <w:pPr>
        <w:widowControl w:val="0"/>
        <w:pBdr>
          <w:top w:val="nil"/>
          <w:left w:val="nil"/>
          <w:bottom w:val="nil"/>
          <w:right w:val="nil"/>
          <w:between w:val="nil"/>
        </w:pBdr>
        <w:spacing w:before="200" w:after="200"/>
        <w:jc w:val="both"/>
        <w:rPr>
          <w:i/>
          <w:color w:val="FF0000"/>
          <w:sz w:val="20"/>
          <w:szCs w:val="20"/>
        </w:rPr>
      </w:pPr>
      <w:r>
        <w:rPr>
          <w:i/>
          <w:color w:val="FF0000"/>
          <w:sz w:val="20"/>
          <w:szCs w:val="20"/>
        </w:rPr>
        <w:t>[If the Group has POCI financial instruments, the Group should disclose the changes in the credit loss allowance between the beginning and the end of the reporting period for such instruments and explain the changes in the gross carrying amount that contributed to the change in credit loss allowance. For example, it can be achieved by adding column “POCI” in the tables above.]</w:t>
      </w:r>
    </w:p>
    <w:p w14:paraId="627AF628" w14:textId="458AD0EF" w:rsidR="00D83E33" w:rsidRDefault="00BC4072" w:rsidP="001B330E">
      <w:pPr>
        <w:pStyle w:val="Continued"/>
      </w:pPr>
      <w:r>
        <w:lastRenderedPageBreak/>
        <w:t>11</w:t>
      </w:r>
      <w:r>
        <w:tab/>
        <w:t>Loans and Advances to Customers (Continued)</w:t>
      </w:r>
    </w:p>
    <w:p w14:paraId="22424C07" w14:textId="77777777" w:rsidR="00D83E33" w:rsidRDefault="00BC4072">
      <w:pPr>
        <w:widowControl w:val="0"/>
        <w:spacing w:before="200" w:after="200"/>
        <w:jc w:val="both"/>
        <w:rPr>
          <w:sz w:val="20"/>
          <w:szCs w:val="20"/>
        </w:rPr>
      </w:pPr>
      <w:r>
        <w:rPr>
          <w:sz w:val="20"/>
          <w:szCs w:val="20"/>
        </w:rPr>
        <w:t xml:space="preserve">The credit loss allowance for loans and advances to customers recognised in the period is impacted by a variety of factors, details of ECL measurement are provided in Note </w:t>
      </w:r>
      <w:hyperlink w:anchor="_heading=h.1egqt2p">
        <w:r>
          <w:rPr>
            <w:color w:val="000000"/>
            <w:sz w:val="20"/>
            <w:szCs w:val="20"/>
          </w:rPr>
          <w:t>43</w:t>
        </w:r>
      </w:hyperlink>
      <w:r>
        <w:rPr>
          <w:sz w:val="20"/>
          <w:szCs w:val="20"/>
        </w:rPr>
        <w:t>. The main movements in the table are described below:</w:t>
      </w:r>
    </w:p>
    <w:p w14:paraId="646B66CE" w14:textId="77777777" w:rsidR="00D83E33" w:rsidRDefault="00BC4072" w:rsidP="001B330E">
      <w:pPr>
        <w:pStyle w:val="bullets"/>
      </w:pPr>
      <w:r>
        <w:t>Transfers between Stage 1, 2 and 3 due to balances experiencing significant increases (or decreases) of credit risk or becoming credit-impaired in the period, and the consequent "step up" (or "step down") between 12-month and Lifetime ECL;</w:t>
      </w:r>
    </w:p>
    <w:p w14:paraId="0753EADE" w14:textId="77777777" w:rsidR="00D83E33" w:rsidRDefault="00BC4072" w:rsidP="001B330E">
      <w:pPr>
        <w:pStyle w:val="bullets"/>
      </w:pPr>
      <w:r>
        <w:t>Additional allowances for new financial instruments recognised during the period, as well as releases for financial instruments derecognised in the period;</w:t>
      </w:r>
    </w:p>
    <w:p w14:paraId="39660E0E" w14:textId="4B2E717D" w:rsidR="00D83E33" w:rsidRDefault="00BC4072" w:rsidP="001B330E">
      <w:pPr>
        <w:pStyle w:val="bullets"/>
      </w:pPr>
      <w:r>
        <w:t>Impact on the measurement of ECL due to changes to model assumptions, including changes in PDs, EADs and LGDs in the period, arising from update of inputs to ECL models;</w:t>
      </w:r>
    </w:p>
    <w:p w14:paraId="1B360CE6" w14:textId="77777777" w:rsidR="00D83E33" w:rsidRDefault="00BC4072" w:rsidP="001B330E">
      <w:pPr>
        <w:pStyle w:val="bullets"/>
      </w:pPr>
      <w:r>
        <w:t>Unwinding of discount due to the passage of time because ECL is measured on a present value basis;</w:t>
      </w:r>
    </w:p>
    <w:p w14:paraId="039996EB" w14:textId="77777777" w:rsidR="00D83E33" w:rsidRDefault="00BC4072" w:rsidP="001B330E">
      <w:pPr>
        <w:pStyle w:val="bullets"/>
      </w:pPr>
      <w:r>
        <w:t>Foreign exchange translations of assets denominated in foreign currencies and other movements; and</w:t>
      </w:r>
    </w:p>
    <w:p w14:paraId="363F7429" w14:textId="77777777" w:rsidR="00D83E33" w:rsidRDefault="00BC4072" w:rsidP="001B330E">
      <w:pPr>
        <w:pStyle w:val="bullets"/>
      </w:pPr>
      <w:r>
        <w:t>Write-offs of allowances related to assets that were written off during the period.</w:t>
      </w:r>
    </w:p>
    <w:p w14:paraId="78321E74" w14:textId="10D73F7A" w:rsidR="00D83E33" w:rsidRDefault="00BC4072" w:rsidP="00D00E5A">
      <w:pPr>
        <w:widowControl w:val="0"/>
        <w:spacing w:before="200" w:after="200"/>
        <w:jc w:val="both"/>
        <w:rPr>
          <w:i/>
          <w:color w:val="FF0000"/>
          <w:sz w:val="20"/>
          <w:szCs w:val="20"/>
        </w:rPr>
      </w:pPr>
      <w:r>
        <w:rPr>
          <w:i/>
          <w:color w:val="FF0000"/>
          <w:sz w:val="20"/>
          <w:szCs w:val="20"/>
        </w:rPr>
        <w:t xml:space="preserve">Factors </w:t>
      </w:r>
      <w:r w:rsidR="001A577B">
        <w:rPr>
          <w:i/>
          <w:color w:val="FF0000"/>
          <w:sz w:val="20"/>
          <w:szCs w:val="20"/>
        </w:rPr>
        <w:t xml:space="preserve">should be </w:t>
      </w:r>
      <w:r>
        <w:rPr>
          <w:i/>
          <w:color w:val="FF0000"/>
          <w:sz w:val="20"/>
          <w:szCs w:val="20"/>
        </w:rPr>
        <w:t xml:space="preserve">tailored to </w:t>
      </w:r>
      <w:r w:rsidR="001A577B">
        <w:rPr>
          <w:i/>
          <w:color w:val="FF0000"/>
          <w:sz w:val="20"/>
          <w:szCs w:val="20"/>
        </w:rPr>
        <w:t xml:space="preserve">the </w:t>
      </w:r>
      <w:r>
        <w:rPr>
          <w:i/>
          <w:color w:val="FF0000"/>
          <w:sz w:val="20"/>
          <w:szCs w:val="20"/>
        </w:rPr>
        <w:t xml:space="preserve">specifics of the Group. </w:t>
      </w:r>
    </w:p>
    <w:p w14:paraId="4F46C8A8" w14:textId="77777777" w:rsidR="005D3CDA" w:rsidRDefault="00BC4072">
      <w:pPr>
        <w:widowControl w:val="0"/>
        <w:spacing w:before="200" w:after="200"/>
        <w:jc w:val="both"/>
        <w:rPr>
          <w:i/>
          <w:color w:val="FF0000"/>
          <w:sz w:val="20"/>
          <w:szCs w:val="20"/>
        </w:rPr>
      </w:pPr>
      <w:r>
        <w:rPr>
          <w:sz w:val="20"/>
          <w:szCs w:val="20"/>
        </w:rPr>
        <w:t>The following tables contain analyses of the credit risk exposure of loans and advances to customers measured at AC and for which an ECL allowance is recognised. The carrying amount of loans and advances to customers below also represents the Group's maximum exposure to credit risk on these loans.</w:t>
      </w:r>
      <w:r>
        <w:rPr>
          <w:i/>
          <w:color w:val="FF0000"/>
          <w:sz w:val="20"/>
          <w:szCs w:val="20"/>
        </w:rPr>
        <w:t xml:space="preserve"> </w:t>
      </w:r>
    </w:p>
    <w:p w14:paraId="37DED8EC" w14:textId="797E32DE" w:rsidR="00D83E33" w:rsidRDefault="00BC4072" w:rsidP="001B330E">
      <w:pPr>
        <w:pStyle w:val="Continued"/>
      </w:pPr>
      <w:r>
        <w:lastRenderedPageBreak/>
        <w:t>11</w:t>
      </w:r>
      <w:r>
        <w:tab/>
        <w:t>Loans and Advances to Customers (Continued)</w:t>
      </w:r>
    </w:p>
    <w:p w14:paraId="7B34AC80" w14:textId="6BAE1A7B" w:rsidR="00D83E33" w:rsidRDefault="00BC4072">
      <w:pPr>
        <w:widowControl w:val="0"/>
        <w:spacing w:before="200" w:after="200"/>
        <w:rPr>
          <w:sz w:val="20"/>
          <w:szCs w:val="20"/>
        </w:rPr>
      </w:pPr>
      <w:r>
        <w:rPr>
          <w:sz w:val="20"/>
          <w:szCs w:val="20"/>
        </w:rPr>
        <w:t>The credit quality of loans to corporate customers carried at amortised cost is as follows at 31</w:t>
      </w:r>
      <w:r w:rsidR="00181687">
        <w:rPr>
          <w:sz w:val="20"/>
          <w:szCs w:val="20"/>
        </w:rPr>
        <w:t> December </w:t>
      </w:r>
      <w:r w:rsidR="00541EBC">
        <w:rPr>
          <w:sz w:val="20"/>
          <w:szCs w:val="20"/>
        </w:rPr>
        <w:t>2024</w:t>
      </w:r>
      <w:r>
        <w:rPr>
          <w:sz w:val="20"/>
          <w:szCs w:val="20"/>
        </w:rPr>
        <w:t>:</w:t>
      </w:r>
    </w:p>
    <w:tbl>
      <w:tblPr>
        <w:tblStyle w:val="afffff"/>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55B9BE95" w14:textId="77777777" w:rsidTr="001B330E">
        <w:trPr>
          <w:trHeight w:val="23"/>
        </w:trPr>
        <w:tc>
          <w:tcPr>
            <w:tcW w:w="1971" w:type="pct"/>
            <w:tcBorders>
              <w:bottom w:val="single" w:sz="4" w:space="0" w:color="000000"/>
            </w:tcBorders>
            <w:vAlign w:val="bottom"/>
          </w:tcPr>
          <w:p w14:paraId="2ECA9161" w14:textId="2A26B523" w:rsidR="00D83E33" w:rsidRPr="00E837F2"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2C37F8DA" w14:textId="71990B44"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1</w:t>
            </w:r>
          </w:p>
          <w:p w14:paraId="7A52890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4B5FB679"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31E80D36" w14:textId="175220D9"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SICR)</w:t>
            </w:r>
          </w:p>
        </w:tc>
        <w:tc>
          <w:tcPr>
            <w:tcW w:w="606" w:type="pct"/>
            <w:tcBorders>
              <w:bottom w:val="single" w:sz="4" w:space="0" w:color="000000"/>
            </w:tcBorders>
          </w:tcPr>
          <w:p w14:paraId="2E4F8E82"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3D1AEC6A"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4CEC7A8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tcPr>
          <w:p w14:paraId="27251C4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748319EB" w14:textId="77777777" w:rsidTr="001B330E">
        <w:trPr>
          <w:trHeight w:val="23"/>
        </w:trPr>
        <w:tc>
          <w:tcPr>
            <w:tcW w:w="1971" w:type="pct"/>
            <w:vAlign w:val="bottom"/>
          </w:tcPr>
          <w:p w14:paraId="51D13338" w14:textId="77777777" w:rsidR="00D83E33" w:rsidRPr="00E837F2" w:rsidRDefault="00BC4072">
            <w:pPr>
              <w:widowControl w:val="0"/>
              <w:ind w:left="113" w:hanging="113"/>
            </w:pPr>
            <w:r w:rsidRPr="00E837F2">
              <w:t> </w:t>
            </w:r>
          </w:p>
        </w:tc>
        <w:tc>
          <w:tcPr>
            <w:tcW w:w="606" w:type="pct"/>
            <w:vAlign w:val="bottom"/>
          </w:tcPr>
          <w:p w14:paraId="61A6C40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5BC4FA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449DD6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0C01A7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4C4948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E8C8D02" w14:textId="77777777" w:rsidTr="001B330E">
        <w:trPr>
          <w:trHeight w:val="23"/>
        </w:trPr>
        <w:tc>
          <w:tcPr>
            <w:tcW w:w="1971" w:type="pct"/>
            <w:shd w:val="clear" w:color="auto" w:fill="auto"/>
            <w:vAlign w:val="bottom"/>
          </w:tcPr>
          <w:p w14:paraId="64863784"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Standard lending</w:t>
            </w:r>
          </w:p>
        </w:tc>
        <w:tc>
          <w:tcPr>
            <w:tcW w:w="606" w:type="pct"/>
            <w:vAlign w:val="bottom"/>
          </w:tcPr>
          <w:p w14:paraId="0C0CB99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F37B7C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7915D4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B4316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D90B2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FD30AE1" w14:textId="77777777" w:rsidTr="001B330E">
        <w:trPr>
          <w:trHeight w:val="23"/>
        </w:trPr>
        <w:tc>
          <w:tcPr>
            <w:tcW w:w="1971" w:type="pct"/>
            <w:shd w:val="clear" w:color="auto" w:fill="auto"/>
            <w:vAlign w:val="bottom"/>
          </w:tcPr>
          <w:p w14:paraId="710A8362"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3B5F288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CA2D2D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7EFEA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BFC659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CD26E0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BEB6042" w14:textId="77777777" w:rsidTr="001B330E">
        <w:trPr>
          <w:trHeight w:val="23"/>
        </w:trPr>
        <w:tc>
          <w:tcPr>
            <w:tcW w:w="1971" w:type="pct"/>
            <w:shd w:val="clear" w:color="auto" w:fill="auto"/>
            <w:vAlign w:val="bottom"/>
          </w:tcPr>
          <w:p w14:paraId="5E5556DE"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0AF269A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0CCE25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1340C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A8D5B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81C2CB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C0BFF20" w14:textId="77777777" w:rsidTr="001B330E">
        <w:trPr>
          <w:trHeight w:val="23"/>
        </w:trPr>
        <w:tc>
          <w:tcPr>
            <w:tcW w:w="1971" w:type="pct"/>
            <w:shd w:val="clear" w:color="auto" w:fill="auto"/>
            <w:vAlign w:val="bottom"/>
          </w:tcPr>
          <w:p w14:paraId="6FD8BBA2"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68A3392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8D3637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9B496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5B123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D5904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01DC6CE" w14:textId="77777777" w:rsidTr="001B330E">
        <w:trPr>
          <w:trHeight w:val="23"/>
        </w:trPr>
        <w:tc>
          <w:tcPr>
            <w:tcW w:w="1971" w:type="pct"/>
            <w:shd w:val="clear" w:color="auto" w:fill="auto"/>
            <w:vAlign w:val="bottom"/>
          </w:tcPr>
          <w:p w14:paraId="734775F1"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1784A08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61020C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3C57CA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4C0C2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7A125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1780D36" w14:textId="77777777" w:rsidTr="001B330E">
        <w:trPr>
          <w:trHeight w:val="23"/>
        </w:trPr>
        <w:tc>
          <w:tcPr>
            <w:tcW w:w="1971" w:type="pct"/>
            <w:shd w:val="clear" w:color="auto" w:fill="auto"/>
            <w:vAlign w:val="bottom"/>
          </w:tcPr>
          <w:p w14:paraId="51609FB5"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02DBB88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243ABE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25822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EFDD69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B1F792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7D59980" w14:textId="77777777" w:rsidTr="001B330E">
        <w:trPr>
          <w:trHeight w:val="23"/>
        </w:trPr>
        <w:tc>
          <w:tcPr>
            <w:tcW w:w="1971" w:type="pct"/>
            <w:shd w:val="clear" w:color="auto" w:fill="auto"/>
            <w:vAlign w:val="bottom"/>
          </w:tcPr>
          <w:p w14:paraId="159F9900"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26BD5A4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93E633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70F8A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FF863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ECDCA4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02E43AC" w14:textId="77777777" w:rsidTr="001B330E">
        <w:trPr>
          <w:trHeight w:val="23"/>
        </w:trPr>
        <w:tc>
          <w:tcPr>
            <w:tcW w:w="1971" w:type="pct"/>
            <w:tcBorders>
              <w:bottom w:val="single" w:sz="4" w:space="0" w:color="000000"/>
            </w:tcBorders>
            <w:shd w:val="clear" w:color="auto" w:fill="auto"/>
            <w:vAlign w:val="bottom"/>
          </w:tcPr>
          <w:p w14:paraId="686E9492"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546936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F91EBF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C169E9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ACE558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8B4EE7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C4B7CC2" w14:textId="77777777" w:rsidTr="001B330E">
        <w:trPr>
          <w:trHeight w:val="23"/>
        </w:trPr>
        <w:tc>
          <w:tcPr>
            <w:tcW w:w="1971" w:type="pct"/>
            <w:tcBorders>
              <w:top w:val="single" w:sz="4" w:space="0" w:color="000000"/>
            </w:tcBorders>
            <w:shd w:val="clear" w:color="auto" w:fill="auto"/>
            <w:vAlign w:val="bottom"/>
          </w:tcPr>
          <w:p w14:paraId="59E6E68A"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A2719C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9155C8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38BBAC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28A2BC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9BF55C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9C72157" w14:textId="77777777" w:rsidTr="001B330E">
        <w:trPr>
          <w:trHeight w:val="23"/>
        </w:trPr>
        <w:tc>
          <w:tcPr>
            <w:tcW w:w="1971" w:type="pct"/>
            <w:shd w:val="clear" w:color="auto" w:fill="auto"/>
            <w:vAlign w:val="bottom"/>
          </w:tcPr>
          <w:p w14:paraId="46FDDC6F"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13FE613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0E4A4E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E97A3B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705CE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A7DC9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D720755" w14:textId="77777777" w:rsidTr="001B330E">
        <w:trPr>
          <w:trHeight w:val="23"/>
        </w:trPr>
        <w:tc>
          <w:tcPr>
            <w:tcW w:w="1971" w:type="pct"/>
            <w:tcBorders>
              <w:bottom w:val="single" w:sz="4" w:space="0" w:color="000000"/>
            </w:tcBorders>
            <w:shd w:val="clear" w:color="auto" w:fill="auto"/>
            <w:vAlign w:val="bottom"/>
          </w:tcPr>
          <w:p w14:paraId="2756EA30"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4C62F64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B8EB62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CEF682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77CC7B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907707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1F48AED" w14:textId="77777777" w:rsidTr="001B330E">
        <w:trPr>
          <w:trHeight w:val="23"/>
        </w:trPr>
        <w:tc>
          <w:tcPr>
            <w:tcW w:w="1971" w:type="pct"/>
            <w:tcBorders>
              <w:top w:val="single" w:sz="4" w:space="0" w:color="000000"/>
            </w:tcBorders>
            <w:shd w:val="clear" w:color="auto" w:fill="auto"/>
            <w:vAlign w:val="bottom"/>
          </w:tcPr>
          <w:p w14:paraId="6A8FFEA6"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1291E0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172498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87B054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287253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5ABFC2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E1EE53E" w14:textId="77777777" w:rsidTr="001B330E">
        <w:trPr>
          <w:trHeight w:val="23"/>
        </w:trPr>
        <w:tc>
          <w:tcPr>
            <w:tcW w:w="1971" w:type="pct"/>
            <w:shd w:val="clear" w:color="auto" w:fill="auto"/>
            <w:vAlign w:val="bottom"/>
          </w:tcPr>
          <w:p w14:paraId="2D82997D"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06471FC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719A3D0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24106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97328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A7AA52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BE24A97" w14:textId="77777777" w:rsidTr="001B330E">
        <w:trPr>
          <w:trHeight w:val="23"/>
        </w:trPr>
        <w:tc>
          <w:tcPr>
            <w:tcW w:w="1971" w:type="pct"/>
            <w:shd w:val="clear" w:color="auto" w:fill="auto"/>
            <w:vAlign w:val="bottom"/>
          </w:tcPr>
          <w:p w14:paraId="424D6313"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2DDEAAC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24AEDE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94E38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E95F2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F41BF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CF7794D" w14:textId="77777777" w:rsidTr="001B330E">
        <w:trPr>
          <w:trHeight w:val="23"/>
        </w:trPr>
        <w:tc>
          <w:tcPr>
            <w:tcW w:w="1971" w:type="pct"/>
            <w:tcBorders>
              <w:top w:val="single" w:sz="4" w:space="0" w:color="000000"/>
            </w:tcBorders>
            <w:shd w:val="clear" w:color="auto" w:fill="auto"/>
            <w:vAlign w:val="bottom"/>
          </w:tcPr>
          <w:p w14:paraId="63547DF6"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B7130F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07145F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4959F0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B01720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1816B2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30BF268" w14:textId="77777777" w:rsidTr="001B330E">
        <w:trPr>
          <w:trHeight w:val="23"/>
        </w:trPr>
        <w:tc>
          <w:tcPr>
            <w:tcW w:w="1971" w:type="pct"/>
            <w:shd w:val="clear" w:color="auto" w:fill="auto"/>
            <w:vAlign w:val="bottom"/>
          </w:tcPr>
          <w:p w14:paraId="2CF54E2C"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59C4C79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D2A1BB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75FAE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260A4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64909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EE8BD40" w14:textId="77777777" w:rsidTr="001B330E">
        <w:trPr>
          <w:trHeight w:val="23"/>
        </w:trPr>
        <w:tc>
          <w:tcPr>
            <w:tcW w:w="1971" w:type="pct"/>
            <w:tcBorders>
              <w:bottom w:val="single" w:sz="12" w:space="0" w:color="000000"/>
            </w:tcBorders>
            <w:shd w:val="clear" w:color="auto" w:fill="auto"/>
            <w:vAlign w:val="bottom"/>
          </w:tcPr>
          <w:p w14:paraId="5C5F5BCB"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515156A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8774C8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3C0499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2D3D83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41A457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EACC3D5" w14:textId="77777777" w:rsidTr="001B330E">
        <w:trPr>
          <w:trHeight w:val="23"/>
        </w:trPr>
        <w:tc>
          <w:tcPr>
            <w:tcW w:w="1971" w:type="pct"/>
            <w:tcBorders>
              <w:top w:val="single" w:sz="12" w:space="0" w:color="000000"/>
            </w:tcBorders>
            <w:shd w:val="clear" w:color="auto" w:fill="auto"/>
            <w:vAlign w:val="bottom"/>
          </w:tcPr>
          <w:p w14:paraId="21B12F39"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12" w:space="0" w:color="000000"/>
            </w:tcBorders>
            <w:vAlign w:val="bottom"/>
          </w:tcPr>
          <w:p w14:paraId="256D518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vAlign w:val="bottom"/>
          </w:tcPr>
          <w:p w14:paraId="6DDEA91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120A0F3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26F71AA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70C773A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051E28" w14:textId="77777777" w:rsidTr="001B330E">
        <w:trPr>
          <w:trHeight w:val="23"/>
        </w:trPr>
        <w:tc>
          <w:tcPr>
            <w:tcW w:w="1971" w:type="pct"/>
            <w:shd w:val="clear" w:color="auto" w:fill="auto"/>
            <w:vAlign w:val="bottom"/>
          </w:tcPr>
          <w:p w14:paraId="34E18717"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Specialised lending</w:t>
            </w:r>
          </w:p>
        </w:tc>
        <w:tc>
          <w:tcPr>
            <w:tcW w:w="606" w:type="pct"/>
            <w:vAlign w:val="bottom"/>
          </w:tcPr>
          <w:p w14:paraId="4B08467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784E7A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B8AF8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832225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5D013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8BD26EC" w14:textId="77777777" w:rsidTr="001B330E">
        <w:trPr>
          <w:trHeight w:val="23"/>
        </w:trPr>
        <w:tc>
          <w:tcPr>
            <w:tcW w:w="1971" w:type="pct"/>
            <w:shd w:val="clear" w:color="auto" w:fill="auto"/>
            <w:vAlign w:val="bottom"/>
          </w:tcPr>
          <w:p w14:paraId="3462C9AF"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4CE020A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D519DF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257A1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BC8FBF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776DD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24BDA50" w14:textId="77777777" w:rsidTr="001B330E">
        <w:trPr>
          <w:trHeight w:val="23"/>
        </w:trPr>
        <w:tc>
          <w:tcPr>
            <w:tcW w:w="1971" w:type="pct"/>
            <w:shd w:val="clear" w:color="auto" w:fill="auto"/>
            <w:vAlign w:val="bottom"/>
          </w:tcPr>
          <w:p w14:paraId="4B8AFB75"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p w14:paraId="2DDD9B89"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29A49D0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B29E41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206DE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24C9B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5BAEC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0FD8DAD" w14:textId="77777777" w:rsidTr="001B330E">
        <w:trPr>
          <w:trHeight w:val="23"/>
        </w:trPr>
        <w:tc>
          <w:tcPr>
            <w:tcW w:w="1971" w:type="pct"/>
            <w:shd w:val="clear" w:color="auto" w:fill="auto"/>
            <w:vAlign w:val="bottom"/>
          </w:tcPr>
          <w:p w14:paraId="2302EB62"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420CCA8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FC31C5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22703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3380D0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599D8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39179FB" w14:textId="77777777" w:rsidTr="001B330E">
        <w:trPr>
          <w:trHeight w:val="23"/>
        </w:trPr>
        <w:tc>
          <w:tcPr>
            <w:tcW w:w="1971" w:type="pct"/>
            <w:shd w:val="clear" w:color="auto" w:fill="auto"/>
            <w:vAlign w:val="bottom"/>
          </w:tcPr>
          <w:p w14:paraId="0A30F7D3"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13A0023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C80CF8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4A6D4B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F3C87B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02F59B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7DCF28D" w14:textId="77777777" w:rsidTr="001B330E">
        <w:trPr>
          <w:trHeight w:val="23"/>
        </w:trPr>
        <w:tc>
          <w:tcPr>
            <w:tcW w:w="1971" w:type="pct"/>
            <w:shd w:val="clear" w:color="auto" w:fill="auto"/>
            <w:vAlign w:val="bottom"/>
          </w:tcPr>
          <w:p w14:paraId="7F014402"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6E9AF8E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A4BE9F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5BBB8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358A6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0C386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93CAB63" w14:textId="77777777" w:rsidTr="001B330E">
        <w:trPr>
          <w:trHeight w:val="23"/>
        </w:trPr>
        <w:tc>
          <w:tcPr>
            <w:tcW w:w="1971" w:type="pct"/>
            <w:tcBorders>
              <w:bottom w:val="single" w:sz="4" w:space="0" w:color="000000"/>
            </w:tcBorders>
            <w:shd w:val="clear" w:color="auto" w:fill="auto"/>
            <w:vAlign w:val="bottom"/>
          </w:tcPr>
          <w:p w14:paraId="22520655"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FC9AF1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74DDDE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1464EF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14F489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9A0CF4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8026A60" w14:textId="77777777" w:rsidTr="001B330E">
        <w:trPr>
          <w:trHeight w:val="23"/>
        </w:trPr>
        <w:tc>
          <w:tcPr>
            <w:tcW w:w="1971" w:type="pct"/>
            <w:tcBorders>
              <w:top w:val="single" w:sz="4" w:space="0" w:color="000000"/>
            </w:tcBorders>
            <w:shd w:val="clear" w:color="auto" w:fill="auto"/>
            <w:vAlign w:val="bottom"/>
          </w:tcPr>
          <w:p w14:paraId="3787D194"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07FE1B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503509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B36CD4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06DE75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35110E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F8F00CB" w14:textId="77777777" w:rsidTr="001B330E">
        <w:trPr>
          <w:trHeight w:val="23"/>
        </w:trPr>
        <w:tc>
          <w:tcPr>
            <w:tcW w:w="1971" w:type="pct"/>
            <w:shd w:val="clear" w:color="auto" w:fill="auto"/>
            <w:vAlign w:val="bottom"/>
          </w:tcPr>
          <w:p w14:paraId="1FB7B367"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656A37A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6E6F01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949E8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4939A6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96718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A722F55" w14:textId="77777777" w:rsidTr="001B330E">
        <w:trPr>
          <w:trHeight w:val="23"/>
        </w:trPr>
        <w:tc>
          <w:tcPr>
            <w:tcW w:w="1971" w:type="pct"/>
            <w:tcBorders>
              <w:bottom w:val="single" w:sz="4" w:space="0" w:color="000000"/>
            </w:tcBorders>
            <w:shd w:val="clear" w:color="auto" w:fill="auto"/>
            <w:vAlign w:val="bottom"/>
          </w:tcPr>
          <w:p w14:paraId="0C1E4C08"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157920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78A803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766B8F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AD2DD6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6843F0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E9B269E" w14:textId="77777777" w:rsidTr="001B330E">
        <w:trPr>
          <w:trHeight w:val="23"/>
        </w:trPr>
        <w:tc>
          <w:tcPr>
            <w:tcW w:w="1971" w:type="pct"/>
            <w:tcBorders>
              <w:top w:val="single" w:sz="4" w:space="0" w:color="000000"/>
            </w:tcBorders>
            <w:shd w:val="clear" w:color="auto" w:fill="auto"/>
            <w:vAlign w:val="bottom"/>
          </w:tcPr>
          <w:p w14:paraId="298E902B"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D3D959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EA199A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88F770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2D7051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DEB154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6CE20FD" w14:textId="77777777" w:rsidTr="001B330E">
        <w:trPr>
          <w:trHeight w:val="23"/>
        </w:trPr>
        <w:tc>
          <w:tcPr>
            <w:tcW w:w="1971" w:type="pct"/>
            <w:shd w:val="clear" w:color="auto" w:fill="auto"/>
            <w:vAlign w:val="bottom"/>
          </w:tcPr>
          <w:p w14:paraId="21256A98"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337711F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79F9659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FBBD79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44A34B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D606C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BBEDC0B" w14:textId="77777777" w:rsidTr="001B330E">
        <w:trPr>
          <w:trHeight w:val="23"/>
        </w:trPr>
        <w:tc>
          <w:tcPr>
            <w:tcW w:w="1971" w:type="pct"/>
            <w:tcBorders>
              <w:bottom w:val="single" w:sz="4" w:space="0" w:color="000000"/>
            </w:tcBorders>
            <w:shd w:val="clear" w:color="auto" w:fill="auto"/>
            <w:vAlign w:val="bottom"/>
          </w:tcPr>
          <w:p w14:paraId="7CD43B96"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4FED3B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F0DE96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3BF017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1A8C46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283221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CBDCAF9" w14:textId="77777777" w:rsidTr="001B330E">
        <w:trPr>
          <w:trHeight w:val="23"/>
        </w:trPr>
        <w:tc>
          <w:tcPr>
            <w:tcW w:w="1971" w:type="pct"/>
            <w:tcBorders>
              <w:top w:val="single" w:sz="4" w:space="0" w:color="000000"/>
            </w:tcBorders>
            <w:vAlign w:val="bottom"/>
          </w:tcPr>
          <w:p w14:paraId="340C3AC2"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436F71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BB3478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7CB51F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E1467B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FDBC26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37765CE" w14:textId="77777777" w:rsidTr="001B330E">
        <w:trPr>
          <w:trHeight w:val="23"/>
        </w:trPr>
        <w:tc>
          <w:tcPr>
            <w:tcW w:w="1971" w:type="pct"/>
            <w:vAlign w:val="bottom"/>
          </w:tcPr>
          <w:p w14:paraId="18209F55"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368D308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18AC0A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30D567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1BB6CA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E44E0F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C0B0099" w14:textId="77777777" w:rsidTr="001B330E">
        <w:trPr>
          <w:trHeight w:val="23"/>
        </w:trPr>
        <w:tc>
          <w:tcPr>
            <w:tcW w:w="1971" w:type="pct"/>
            <w:tcBorders>
              <w:bottom w:val="single" w:sz="12" w:space="0" w:color="000000"/>
            </w:tcBorders>
            <w:vAlign w:val="bottom"/>
          </w:tcPr>
          <w:p w14:paraId="26897644" w14:textId="77777777" w:rsidR="00D83E33" w:rsidRPr="00E837F2" w:rsidRDefault="00D83E33">
            <w:pPr>
              <w:widowControl w:val="0"/>
              <w:pBdr>
                <w:top w:val="nil"/>
                <w:left w:val="nil"/>
                <w:bottom w:val="nil"/>
                <w:right w:val="nil"/>
                <w:between w:val="nil"/>
              </w:pBdr>
              <w:ind w:left="113" w:hanging="113"/>
              <w:rPr>
                <w:b/>
                <w:color w:val="000000"/>
              </w:rPr>
            </w:pPr>
          </w:p>
        </w:tc>
        <w:tc>
          <w:tcPr>
            <w:tcW w:w="606" w:type="pct"/>
            <w:tcBorders>
              <w:bottom w:val="single" w:sz="12" w:space="0" w:color="000000"/>
            </w:tcBorders>
            <w:vAlign w:val="bottom"/>
          </w:tcPr>
          <w:p w14:paraId="028ACDC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2205BC5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5117160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DB59CE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B5236B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D85FC63" w14:textId="77777777" w:rsidTr="001B330E">
        <w:trPr>
          <w:trHeight w:val="23"/>
        </w:trPr>
        <w:tc>
          <w:tcPr>
            <w:tcW w:w="1971" w:type="pct"/>
            <w:vAlign w:val="bottom"/>
          </w:tcPr>
          <w:p w14:paraId="2D22C4CD" w14:textId="77777777" w:rsidR="00D83E33" w:rsidRPr="00E837F2" w:rsidRDefault="00BC4072">
            <w:pPr>
              <w:widowControl w:val="0"/>
              <w:ind w:left="113" w:hanging="113"/>
            </w:pPr>
            <w:r w:rsidRPr="00E837F2">
              <w:t> </w:t>
            </w:r>
          </w:p>
        </w:tc>
        <w:tc>
          <w:tcPr>
            <w:tcW w:w="606" w:type="pct"/>
            <w:vAlign w:val="bottom"/>
          </w:tcPr>
          <w:p w14:paraId="29E4B06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551627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E3C899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3781FF4"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26EBE4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E11B97F" w14:textId="77777777" w:rsidTr="001B330E">
        <w:trPr>
          <w:trHeight w:val="23"/>
        </w:trPr>
        <w:tc>
          <w:tcPr>
            <w:tcW w:w="1971" w:type="pct"/>
            <w:shd w:val="clear" w:color="auto" w:fill="auto"/>
            <w:vAlign w:val="bottom"/>
          </w:tcPr>
          <w:p w14:paraId="083038F6"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Loans to sovereigns</w:t>
            </w:r>
          </w:p>
        </w:tc>
        <w:tc>
          <w:tcPr>
            <w:tcW w:w="606" w:type="pct"/>
            <w:vAlign w:val="bottom"/>
          </w:tcPr>
          <w:p w14:paraId="3D05E46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618DFC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4D6EE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A50BD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2C4AC4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40E2F43" w14:textId="77777777" w:rsidTr="001B330E">
        <w:trPr>
          <w:trHeight w:val="23"/>
        </w:trPr>
        <w:tc>
          <w:tcPr>
            <w:tcW w:w="1971" w:type="pct"/>
            <w:shd w:val="clear" w:color="auto" w:fill="auto"/>
            <w:vAlign w:val="bottom"/>
          </w:tcPr>
          <w:p w14:paraId="2905FC3A"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65AA14A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8E77E3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3E1261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7F501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22F84F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B9864D0" w14:textId="77777777" w:rsidTr="001B330E">
        <w:trPr>
          <w:trHeight w:val="23"/>
        </w:trPr>
        <w:tc>
          <w:tcPr>
            <w:tcW w:w="1971" w:type="pct"/>
            <w:shd w:val="clear" w:color="auto" w:fill="auto"/>
            <w:vAlign w:val="bottom"/>
          </w:tcPr>
          <w:p w14:paraId="4F37E44C"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2E3E11F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E44598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F2C0C6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E49C4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4BB62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FC8FD43" w14:textId="77777777" w:rsidTr="001B330E">
        <w:trPr>
          <w:trHeight w:val="23"/>
        </w:trPr>
        <w:tc>
          <w:tcPr>
            <w:tcW w:w="1971" w:type="pct"/>
            <w:shd w:val="clear" w:color="auto" w:fill="auto"/>
            <w:vAlign w:val="bottom"/>
          </w:tcPr>
          <w:p w14:paraId="30606D8F"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7E57D34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A520E5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8FCB94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5DCAC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3397EF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32B3357" w14:textId="77777777" w:rsidTr="001B330E">
        <w:trPr>
          <w:trHeight w:val="23"/>
        </w:trPr>
        <w:tc>
          <w:tcPr>
            <w:tcW w:w="1971" w:type="pct"/>
            <w:shd w:val="clear" w:color="auto" w:fill="auto"/>
            <w:vAlign w:val="bottom"/>
          </w:tcPr>
          <w:p w14:paraId="2CA8AEE9"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5E4AE3A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A0B802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409B9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9D722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E321A6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3C954F" w14:textId="77777777" w:rsidTr="001B330E">
        <w:trPr>
          <w:trHeight w:val="23"/>
        </w:trPr>
        <w:tc>
          <w:tcPr>
            <w:tcW w:w="1971" w:type="pct"/>
            <w:shd w:val="clear" w:color="auto" w:fill="auto"/>
            <w:vAlign w:val="bottom"/>
          </w:tcPr>
          <w:p w14:paraId="1B5D4F40"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65B5F80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0F9241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E9A63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9AB0D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F7E598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55A7326" w14:textId="77777777" w:rsidTr="001B330E">
        <w:trPr>
          <w:trHeight w:val="23"/>
        </w:trPr>
        <w:tc>
          <w:tcPr>
            <w:tcW w:w="1971" w:type="pct"/>
            <w:shd w:val="clear" w:color="auto" w:fill="auto"/>
            <w:vAlign w:val="bottom"/>
          </w:tcPr>
          <w:p w14:paraId="7838E3D1"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3988CD4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036E1B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7D548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20002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B3AF5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9375A26" w14:textId="77777777" w:rsidTr="001B330E">
        <w:trPr>
          <w:trHeight w:val="23"/>
        </w:trPr>
        <w:tc>
          <w:tcPr>
            <w:tcW w:w="1971" w:type="pct"/>
            <w:tcBorders>
              <w:bottom w:val="single" w:sz="4" w:space="0" w:color="000000"/>
            </w:tcBorders>
            <w:shd w:val="clear" w:color="auto" w:fill="auto"/>
            <w:vAlign w:val="bottom"/>
          </w:tcPr>
          <w:p w14:paraId="3A004AC7"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841833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452D2E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871DB8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2FFD4A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B8E329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000BF4E" w14:textId="77777777" w:rsidTr="001B330E">
        <w:trPr>
          <w:trHeight w:val="23"/>
        </w:trPr>
        <w:tc>
          <w:tcPr>
            <w:tcW w:w="1971" w:type="pct"/>
            <w:tcBorders>
              <w:top w:val="single" w:sz="4" w:space="0" w:color="000000"/>
            </w:tcBorders>
            <w:shd w:val="clear" w:color="auto" w:fill="auto"/>
            <w:vAlign w:val="bottom"/>
          </w:tcPr>
          <w:p w14:paraId="2B8A0A05"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9AF2DB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079C5C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AA47C1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33A602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1882BB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23080D8" w14:textId="77777777" w:rsidTr="001B330E">
        <w:trPr>
          <w:trHeight w:val="23"/>
        </w:trPr>
        <w:tc>
          <w:tcPr>
            <w:tcW w:w="1971" w:type="pct"/>
            <w:shd w:val="clear" w:color="auto" w:fill="auto"/>
            <w:vAlign w:val="bottom"/>
          </w:tcPr>
          <w:p w14:paraId="37B7C7F0"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207E094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E37785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1038E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66408E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6B7547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DF77F05" w14:textId="77777777" w:rsidTr="001B330E">
        <w:trPr>
          <w:trHeight w:val="23"/>
        </w:trPr>
        <w:tc>
          <w:tcPr>
            <w:tcW w:w="1971" w:type="pct"/>
            <w:tcBorders>
              <w:bottom w:val="single" w:sz="4" w:space="0" w:color="000000"/>
            </w:tcBorders>
            <w:shd w:val="clear" w:color="auto" w:fill="auto"/>
            <w:vAlign w:val="bottom"/>
          </w:tcPr>
          <w:p w14:paraId="49CBC50C"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29532A7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690C72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B36398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A48E53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98DBF7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2713473" w14:textId="77777777" w:rsidTr="001B330E">
        <w:trPr>
          <w:trHeight w:val="23"/>
        </w:trPr>
        <w:tc>
          <w:tcPr>
            <w:tcW w:w="1971" w:type="pct"/>
            <w:tcBorders>
              <w:top w:val="single" w:sz="4" w:space="0" w:color="000000"/>
            </w:tcBorders>
            <w:shd w:val="clear" w:color="auto" w:fill="auto"/>
            <w:vAlign w:val="bottom"/>
          </w:tcPr>
          <w:p w14:paraId="6AD0922B"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E84740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A642CD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01967C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9AF538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6241CC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136DDBE" w14:textId="77777777" w:rsidTr="001B330E">
        <w:trPr>
          <w:trHeight w:val="23"/>
        </w:trPr>
        <w:tc>
          <w:tcPr>
            <w:tcW w:w="1971" w:type="pct"/>
            <w:shd w:val="clear" w:color="auto" w:fill="auto"/>
            <w:vAlign w:val="bottom"/>
          </w:tcPr>
          <w:p w14:paraId="4BF5C2B2"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2E3AF2D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2684151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295F5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3BFDA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7EB01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462E933" w14:textId="77777777" w:rsidTr="001B330E">
        <w:trPr>
          <w:trHeight w:val="23"/>
        </w:trPr>
        <w:tc>
          <w:tcPr>
            <w:tcW w:w="1971" w:type="pct"/>
            <w:shd w:val="clear" w:color="auto" w:fill="auto"/>
            <w:vAlign w:val="bottom"/>
          </w:tcPr>
          <w:p w14:paraId="00E58503"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002C866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72CEDB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A96C9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B7099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F8871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1BBFEC3" w14:textId="77777777" w:rsidTr="001B330E">
        <w:trPr>
          <w:trHeight w:val="23"/>
        </w:trPr>
        <w:tc>
          <w:tcPr>
            <w:tcW w:w="1971" w:type="pct"/>
            <w:tcBorders>
              <w:top w:val="single" w:sz="4" w:space="0" w:color="000000"/>
            </w:tcBorders>
            <w:shd w:val="clear" w:color="auto" w:fill="auto"/>
            <w:vAlign w:val="bottom"/>
          </w:tcPr>
          <w:p w14:paraId="719928AF"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BBAB5A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4D715F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A737AB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B37258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DA7999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CC58C7C" w14:textId="77777777" w:rsidTr="001B330E">
        <w:trPr>
          <w:trHeight w:val="23"/>
        </w:trPr>
        <w:tc>
          <w:tcPr>
            <w:tcW w:w="1971" w:type="pct"/>
            <w:shd w:val="clear" w:color="auto" w:fill="auto"/>
            <w:vAlign w:val="bottom"/>
          </w:tcPr>
          <w:p w14:paraId="44294EA3"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7FBAAE3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7BA362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BBEBE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55DB2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C63AA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F477B4C" w14:textId="77777777" w:rsidTr="001B330E">
        <w:trPr>
          <w:trHeight w:val="23"/>
        </w:trPr>
        <w:tc>
          <w:tcPr>
            <w:tcW w:w="1971" w:type="pct"/>
            <w:tcBorders>
              <w:bottom w:val="single" w:sz="12" w:space="0" w:color="000000"/>
            </w:tcBorders>
            <w:shd w:val="clear" w:color="auto" w:fill="auto"/>
            <w:vAlign w:val="bottom"/>
          </w:tcPr>
          <w:p w14:paraId="01AB4D23"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23BAF44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563958D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111871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8797C6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7A5D0C8" w14:textId="77777777" w:rsidR="00D83E33" w:rsidRPr="00E837F2" w:rsidRDefault="00D83E33">
            <w:pPr>
              <w:widowControl w:val="0"/>
              <w:pBdr>
                <w:top w:val="nil"/>
                <w:left w:val="nil"/>
                <w:bottom w:val="nil"/>
                <w:right w:val="nil"/>
                <w:between w:val="nil"/>
              </w:pBdr>
              <w:jc w:val="right"/>
              <w:rPr>
                <w:color w:val="000000"/>
              </w:rPr>
            </w:pPr>
          </w:p>
        </w:tc>
      </w:tr>
    </w:tbl>
    <w:p w14:paraId="356A4F24" w14:textId="357B19DF" w:rsidR="00D83E33" w:rsidRDefault="00BC4072" w:rsidP="001B330E">
      <w:pPr>
        <w:pStyle w:val="Continued"/>
      </w:pPr>
      <w:r>
        <w:lastRenderedPageBreak/>
        <w:t>11</w:t>
      </w:r>
      <w:r>
        <w:tab/>
        <w:t>Loans and Advances to Customers (Continued)</w:t>
      </w:r>
    </w:p>
    <w:tbl>
      <w:tblPr>
        <w:tblStyle w:val="afffff0"/>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D95E75" w14:paraId="0B9A9B4B" w14:textId="77777777" w:rsidTr="001B330E">
        <w:trPr>
          <w:trHeight w:val="23"/>
        </w:trPr>
        <w:tc>
          <w:tcPr>
            <w:tcW w:w="1971" w:type="pct"/>
            <w:tcBorders>
              <w:bottom w:val="single" w:sz="4" w:space="0" w:color="000000"/>
            </w:tcBorders>
            <w:vAlign w:val="bottom"/>
          </w:tcPr>
          <w:p w14:paraId="4A6AE6FA" w14:textId="29FFC360" w:rsidR="00D83E33" w:rsidRPr="00D95E75"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022BE8EE" w14:textId="038F0DC1"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Stage 1</w:t>
            </w:r>
          </w:p>
          <w:p w14:paraId="69939959"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(12-months ECL)</w:t>
            </w:r>
          </w:p>
        </w:tc>
        <w:tc>
          <w:tcPr>
            <w:tcW w:w="606" w:type="pct"/>
            <w:tcBorders>
              <w:bottom w:val="single" w:sz="4" w:space="0" w:color="000000"/>
            </w:tcBorders>
          </w:tcPr>
          <w:p w14:paraId="5E6ECF96"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Stage 2</w:t>
            </w:r>
          </w:p>
          <w:p w14:paraId="5C1E9FAE" w14:textId="220F4629"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(lifetime ECL for SICR)</w:t>
            </w:r>
          </w:p>
        </w:tc>
        <w:tc>
          <w:tcPr>
            <w:tcW w:w="606" w:type="pct"/>
            <w:tcBorders>
              <w:bottom w:val="single" w:sz="4" w:space="0" w:color="000000"/>
            </w:tcBorders>
          </w:tcPr>
          <w:p w14:paraId="1DE0CF86"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Stage 3</w:t>
            </w:r>
          </w:p>
          <w:p w14:paraId="5485FE14"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(lifetime ECL for credit im-paired)</w:t>
            </w:r>
          </w:p>
        </w:tc>
        <w:tc>
          <w:tcPr>
            <w:tcW w:w="606" w:type="pct"/>
            <w:tcBorders>
              <w:bottom w:val="single" w:sz="4" w:space="0" w:color="000000"/>
            </w:tcBorders>
          </w:tcPr>
          <w:p w14:paraId="33711A29"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POCI</w:t>
            </w:r>
          </w:p>
        </w:tc>
        <w:tc>
          <w:tcPr>
            <w:tcW w:w="605" w:type="pct"/>
            <w:tcBorders>
              <w:bottom w:val="single" w:sz="4" w:space="0" w:color="000000"/>
            </w:tcBorders>
          </w:tcPr>
          <w:p w14:paraId="15056905"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Total</w:t>
            </w:r>
          </w:p>
        </w:tc>
      </w:tr>
      <w:tr w:rsidR="00D83E33" w:rsidRPr="00D95E75" w14:paraId="6590D57B" w14:textId="77777777" w:rsidTr="001B330E">
        <w:trPr>
          <w:trHeight w:val="23"/>
        </w:trPr>
        <w:tc>
          <w:tcPr>
            <w:tcW w:w="1971" w:type="pct"/>
            <w:tcBorders>
              <w:top w:val="single" w:sz="4" w:space="0" w:color="000000"/>
            </w:tcBorders>
            <w:shd w:val="clear" w:color="auto" w:fill="auto"/>
            <w:vAlign w:val="bottom"/>
          </w:tcPr>
          <w:p w14:paraId="454441BF"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69B0A63"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4EA552C"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CD277B1"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1467AB3"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7DDDDC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6DD1B80" w14:textId="77777777" w:rsidTr="001B330E">
        <w:trPr>
          <w:trHeight w:val="23"/>
        </w:trPr>
        <w:tc>
          <w:tcPr>
            <w:tcW w:w="1971" w:type="pct"/>
            <w:shd w:val="clear" w:color="auto" w:fill="auto"/>
            <w:vAlign w:val="bottom"/>
          </w:tcPr>
          <w:p w14:paraId="005AC703" w14:textId="77777777" w:rsidR="00D83E33" w:rsidRPr="00D95E75" w:rsidRDefault="00BC4072">
            <w:pPr>
              <w:widowControl w:val="0"/>
              <w:pBdr>
                <w:top w:val="nil"/>
                <w:left w:val="nil"/>
                <w:bottom w:val="nil"/>
                <w:right w:val="nil"/>
                <w:between w:val="nil"/>
              </w:pBdr>
              <w:ind w:left="113" w:hanging="113"/>
              <w:rPr>
                <w:b/>
                <w:i/>
                <w:color w:val="000000"/>
              </w:rPr>
            </w:pPr>
            <w:r w:rsidRPr="00D95E75">
              <w:rPr>
                <w:b/>
                <w:i/>
                <w:color w:val="000000"/>
              </w:rPr>
              <w:t>Loans to sub-sovereigns</w:t>
            </w:r>
          </w:p>
        </w:tc>
        <w:tc>
          <w:tcPr>
            <w:tcW w:w="606" w:type="pct"/>
            <w:vAlign w:val="bottom"/>
          </w:tcPr>
          <w:p w14:paraId="35916880"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2662C900"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C5C657"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56BA11"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62CFC7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E503C96" w14:textId="77777777" w:rsidTr="001B330E">
        <w:trPr>
          <w:trHeight w:val="23"/>
        </w:trPr>
        <w:tc>
          <w:tcPr>
            <w:tcW w:w="1971" w:type="pct"/>
            <w:shd w:val="clear" w:color="auto" w:fill="auto"/>
            <w:vAlign w:val="bottom"/>
          </w:tcPr>
          <w:p w14:paraId="6B74A390"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vAlign w:val="bottom"/>
          </w:tcPr>
          <w:p w14:paraId="74B3AFA3"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2C6608D0"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6CCC22"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E01383"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059564B"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CF826BD" w14:textId="77777777" w:rsidTr="001B330E">
        <w:trPr>
          <w:trHeight w:val="23"/>
        </w:trPr>
        <w:tc>
          <w:tcPr>
            <w:tcW w:w="1971" w:type="pct"/>
            <w:shd w:val="clear" w:color="auto" w:fill="auto"/>
            <w:vAlign w:val="bottom"/>
          </w:tcPr>
          <w:p w14:paraId="073108F5"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Excellent</w:t>
            </w:r>
          </w:p>
          <w:p w14:paraId="7F3156E6"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Good</w:t>
            </w:r>
          </w:p>
        </w:tc>
        <w:tc>
          <w:tcPr>
            <w:tcW w:w="606" w:type="pct"/>
            <w:vAlign w:val="bottom"/>
          </w:tcPr>
          <w:p w14:paraId="22DFA2BA"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78728612"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8E4BD6"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002EC7"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40F608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0FDBBF1" w14:textId="77777777" w:rsidTr="001B330E">
        <w:trPr>
          <w:trHeight w:val="23"/>
        </w:trPr>
        <w:tc>
          <w:tcPr>
            <w:tcW w:w="1971" w:type="pct"/>
            <w:shd w:val="clear" w:color="auto" w:fill="auto"/>
            <w:vAlign w:val="bottom"/>
          </w:tcPr>
          <w:p w14:paraId="06F303DE"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Satisfactory</w:t>
            </w:r>
          </w:p>
        </w:tc>
        <w:tc>
          <w:tcPr>
            <w:tcW w:w="606" w:type="pct"/>
            <w:vAlign w:val="bottom"/>
          </w:tcPr>
          <w:p w14:paraId="33E82202"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6B6D6FB4"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634972"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057A65"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93568AE"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F8DB537" w14:textId="77777777" w:rsidTr="001B330E">
        <w:trPr>
          <w:trHeight w:val="23"/>
        </w:trPr>
        <w:tc>
          <w:tcPr>
            <w:tcW w:w="1971" w:type="pct"/>
            <w:shd w:val="clear" w:color="auto" w:fill="auto"/>
            <w:vAlign w:val="bottom"/>
          </w:tcPr>
          <w:p w14:paraId="511FF97F"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Special monitoring</w:t>
            </w:r>
          </w:p>
        </w:tc>
        <w:tc>
          <w:tcPr>
            <w:tcW w:w="606" w:type="pct"/>
            <w:vAlign w:val="bottom"/>
          </w:tcPr>
          <w:p w14:paraId="52B35B2C"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45BD7F40"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1C7930B"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060C9D7"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C2C0377"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6364F76" w14:textId="77777777" w:rsidTr="001B330E">
        <w:trPr>
          <w:trHeight w:val="23"/>
        </w:trPr>
        <w:tc>
          <w:tcPr>
            <w:tcW w:w="1971" w:type="pct"/>
            <w:shd w:val="clear" w:color="auto" w:fill="auto"/>
            <w:vAlign w:val="bottom"/>
          </w:tcPr>
          <w:p w14:paraId="4A6DAF4F"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Default</w:t>
            </w:r>
          </w:p>
        </w:tc>
        <w:tc>
          <w:tcPr>
            <w:tcW w:w="606" w:type="pct"/>
            <w:vAlign w:val="bottom"/>
          </w:tcPr>
          <w:p w14:paraId="6CEB499B"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1973AC55"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A6F773"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16F9D96"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1FD872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EDF763B" w14:textId="77777777" w:rsidTr="001B330E">
        <w:trPr>
          <w:trHeight w:val="23"/>
        </w:trPr>
        <w:tc>
          <w:tcPr>
            <w:tcW w:w="1971" w:type="pct"/>
            <w:tcBorders>
              <w:bottom w:val="single" w:sz="4" w:space="0" w:color="000000"/>
            </w:tcBorders>
            <w:shd w:val="clear" w:color="auto" w:fill="auto"/>
            <w:vAlign w:val="bottom"/>
          </w:tcPr>
          <w:p w14:paraId="7C934478"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8B6B14C"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3BC7445"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FC555BA"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076B888"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75920BE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5E351D6" w14:textId="77777777" w:rsidTr="001B330E">
        <w:trPr>
          <w:trHeight w:val="23"/>
        </w:trPr>
        <w:tc>
          <w:tcPr>
            <w:tcW w:w="1971" w:type="pct"/>
            <w:tcBorders>
              <w:top w:val="single" w:sz="4" w:space="0" w:color="000000"/>
            </w:tcBorders>
            <w:shd w:val="clear" w:color="auto" w:fill="auto"/>
            <w:vAlign w:val="bottom"/>
          </w:tcPr>
          <w:p w14:paraId="5DC7A30D"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EC72009"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824CBD7"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6ACD763"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FCFDA76"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3FCD77B"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7E00749" w14:textId="77777777" w:rsidTr="001B330E">
        <w:trPr>
          <w:trHeight w:val="23"/>
        </w:trPr>
        <w:tc>
          <w:tcPr>
            <w:tcW w:w="1971" w:type="pct"/>
            <w:shd w:val="clear" w:color="auto" w:fill="auto"/>
            <w:vAlign w:val="bottom"/>
          </w:tcPr>
          <w:p w14:paraId="5CC77BDF" w14:textId="77777777" w:rsidR="00D83E33" w:rsidRPr="00D95E75" w:rsidRDefault="00BC4072">
            <w:pPr>
              <w:widowControl w:val="0"/>
              <w:pBdr>
                <w:top w:val="nil"/>
                <w:left w:val="nil"/>
                <w:bottom w:val="nil"/>
                <w:right w:val="nil"/>
                <w:between w:val="nil"/>
              </w:pBdr>
              <w:ind w:left="113" w:hanging="113"/>
              <w:rPr>
                <w:b/>
                <w:color w:val="000000"/>
              </w:rPr>
            </w:pPr>
            <w:r w:rsidRPr="00D95E75">
              <w:rPr>
                <w:b/>
                <w:color w:val="000000"/>
              </w:rPr>
              <w:t>Gross carrying amount</w:t>
            </w:r>
          </w:p>
        </w:tc>
        <w:tc>
          <w:tcPr>
            <w:tcW w:w="606" w:type="pct"/>
            <w:vAlign w:val="bottom"/>
          </w:tcPr>
          <w:p w14:paraId="6BE800E3"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3E76ED5D"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37CEE03"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AC3D224"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5617C07"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C33A2DD" w14:textId="77777777" w:rsidTr="001B330E">
        <w:trPr>
          <w:trHeight w:val="23"/>
        </w:trPr>
        <w:tc>
          <w:tcPr>
            <w:tcW w:w="1971" w:type="pct"/>
            <w:tcBorders>
              <w:bottom w:val="single" w:sz="4" w:space="0" w:color="000000"/>
            </w:tcBorders>
            <w:shd w:val="clear" w:color="auto" w:fill="auto"/>
            <w:vAlign w:val="bottom"/>
          </w:tcPr>
          <w:p w14:paraId="18846732"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2A779D51"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9DAF016"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F3956A7"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5BE3CA2"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6E28BEFB"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BF6B744" w14:textId="77777777" w:rsidTr="001B330E">
        <w:trPr>
          <w:trHeight w:val="23"/>
        </w:trPr>
        <w:tc>
          <w:tcPr>
            <w:tcW w:w="1971" w:type="pct"/>
            <w:tcBorders>
              <w:top w:val="single" w:sz="4" w:space="0" w:color="000000"/>
            </w:tcBorders>
            <w:shd w:val="clear" w:color="auto" w:fill="auto"/>
            <w:vAlign w:val="bottom"/>
          </w:tcPr>
          <w:p w14:paraId="53FBBF8B"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BF0075E"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257931D"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4B3A404"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AA7F72E"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8C295B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365CC5C" w14:textId="77777777" w:rsidTr="001B330E">
        <w:trPr>
          <w:trHeight w:val="23"/>
        </w:trPr>
        <w:tc>
          <w:tcPr>
            <w:tcW w:w="1971" w:type="pct"/>
            <w:shd w:val="clear" w:color="auto" w:fill="auto"/>
            <w:vAlign w:val="bottom"/>
          </w:tcPr>
          <w:p w14:paraId="72E19C78"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Credit loss allowance</w:t>
            </w:r>
          </w:p>
        </w:tc>
        <w:tc>
          <w:tcPr>
            <w:tcW w:w="606" w:type="pct"/>
            <w:vAlign w:val="bottom"/>
          </w:tcPr>
          <w:p w14:paraId="543C8FAB"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vAlign w:val="bottom"/>
          </w:tcPr>
          <w:p w14:paraId="32607880"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FB9720"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E16B30"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9D9CBA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81B9FEC" w14:textId="77777777" w:rsidTr="001B330E">
        <w:trPr>
          <w:trHeight w:val="23"/>
        </w:trPr>
        <w:tc>
          <w:tcPr>
            <w:tcW w:w="1971" w:type="pct"/>
            <w:tcBorders>
              <w:bottom w:val="single" w:sz="4" w:space="0" w:color="000000"/>
            </w:tcBorders>
            <w:shd w:val="clear" w:color="auto" w:fill="auto"/>
            <w:vAlign w:val="bottom"/>
          </w:tcPr>
          <w:p w14:paraId="635DBC69"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E1203EE"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42D77A3"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F536834"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DD17160"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76F74B9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C2FD4DC" w14:textId="77777777" w:rsidTr="001B330E">
        <w:trPr>
          <w:trHeight w:val="23"/>
        </w:trPr>
        <w:tc>
          <w:tcPr>
            <w:tcW w:w="1971" w:type="pct"/>
            <w:tcBorders>
              <w:top w:val="single" w:sz="4" w:space="0" w:color="000000"/>
            </w:tcBorders>
            <w:vAlign w:val="bottom"/>
          </w:tcPr>
          <w:p w14:paraId="26D2DFE7"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2E4591E"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D3B9038"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118704A"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1989D57"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vAlign w:val="bottom"/>
          </w:tcPr>
          <w:p w14:paraId="36D8F4B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D8465E1" w14:textId="77777777" w:rsidTr="001B330E">
        <w:trPr>
          <w:trHeight w:val="23"/>
        </w:trPr>
        <w:tc>
          <w:tcPr>
            <w:tcW w:w="1971" w:type="pct"/>
            <w:vAlign w:val="bottom"/>
          </w:tcPr>
          <w:p w14:paraId="1205DC5C" w14:textId="77777777" w:rsidR="00D83E33" w:rsidRPr="00D95E75" w:rsidRDefault="00BC4072">
            <w:pPr>
              <w:widowControl w:val="0"/>
              <w:pBdr>
                <w:top w:val="nil"/>
                <w:left w:val="nil"/>
                <w:bottom w:val="nil"/>
                <w:right w:val="nil"/>
                <w:between w:val="nil"/>
              </w:pBdr>
              <w:ind w:left="113" w:hanging="113"/>
              <w:rPr>
                <w:b/>
                <w:color w:val="000000"/>
              </w:rPr>
            </w:pPr>
            <w:r w:rsidRPr="00D95E75">
              <w:rPr>
                <w:b/>
                <w:color w:val="000000"/>
              </w:rPr>
              <w:t>Carrying amount</w:t>
            </w:r>
          </w:p>
        </w:tc>
        <w:tc>
          <w:tcPr>
            <w:tcW w:w="606" w:type="pct"/>
            <w:vAlign w:val="bottom"/>
          </w:tcPr>
          <w:p w14:paraId="05E36023"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7EEBC05B"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353F5241"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5943505E" w14:textId="77777777" w:rsidR="00D83E33" w:rsidRPr="00D95E75" w:rsidRDefault="00D83E33">
            <w:pPr>
              <w:widowControl w:val="0"/>
              <w:pBdr>
                <w:top w:val="nil"/>
                <w:left w:val="nil"/>
                <w:bottom w:val="nil"/>
                <w:right w:val="nil"/>
                <w:between w:val="nil"/>
              </w:pBdr>
              <w:jc w:val="right"/>
              <w:rPr>
                <w:color w:val="000000"/>
              </w:rPr>
            </w:pPr>
          </w:p>
        </w:tc>
        <w:tc>
          <w:tcPr>
            <w:tcW w:w="605" w:type="pct"/>
            <w:vAlign w:val="bottom"/>
          </w:tcPr>
          <w:p w14:paraId="066F0E4D"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7B44E66" w14:textId="77777777" w:rsidTr="001B330E">
        <w:trPr>
          <w:trHeight w:val="23"/>
        </w:trPr>
        <w:tc>
          <w:tcPr>
            <w:tcW w:w="1971" w:type="pct"/>
            <w:tcBorders>
              <w:bottom w:val="single" w:sz="12" w:space="0" w:color="000000"/>
            </w:tcBorders>
            <w:vAlign w:val="bottom"/>
          </w:tcPr>
          <w:p w14:paraId="0B4554A3" w14:textId="77777777" w:rsidR="00D83E33" w:rsidRPr="00D95E75" w:rsidRDefault="00D83E33">
            <w:pPr>
              <w:widowControl w:val="0"/>
              <w:pBdr>
                <w:top w:val="nil"/>
                <w:left w:val="nil"/>
                <w:bottom w:val="nil"/>
                <w:right w:val="nil"/>
                <w:between w:val="nil"/>
              </w:pBdr>
              <w:ind w:left="113" w:hanging="113"/>
              <w:rPr>
                <w:b/>
                <w:color w:val="000000"/>
              </w:rPr>
            </w:pPr>
          </w:p>
        </w:tc>
        <w:tc>
          <w:tcPr>
            <w:tcW w:w="606" w:type="pct"/>
            <w:tcBorders>
              <w:bottom w:val="single" w:sz="12" w:space="0" w:color="000000"/>
            </w:tcBorders>
            <w:vAlign w:val="bottom"/>
          </w:tcPr>
          <w:p w14:paraId="7DCCBA44"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212C6BA"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155EA983"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6B99B531"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vAlign w:val="bottom"/>
          </w:tcPr>
          <w:p w14:paraId="02C9184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1F2E985" w14:textId="77777777" w:rsidTr="001B330E">
        <w:trPr>
          <w:trHeight w:val="23"/>
        </w:trPr>
        <w:tc>
          <w:tcPr>
            <w:tcW w:w="1971" w:type="pct"/>
            <w:shd w:val="clear" w:color="auto" w:fill="auto"/>
            <w:vAlign w:val="bottom"/>
          </w:tcPr>
          <w:p w14:paraId="5B30A8A0" w14:textId="77777777" w:rsidR="00D83E33" w:rsidRPr="00D95E75" w:rsidRDefault="00D83E33">
            <w:pPr>
              <w:widowControl w:val="0"/>
              <w:pBdr>
                <w:top w:val="nil"/>
                <w:left w:val="nil"/>
                <w:bottom w:val="nil"/>
                <w:right w:val="nil"/>
                <w:between w:val="nil"/>
              </w:pBdr>
              <w:ind w:left="113" w:hanging="113"/>
              <w:rPr>
                <w:b/>
                <w:i/>
                <w:color w:val="000000"/>
              </w:rPr>
            </w:pPr>
          </w:p>
          <w:p w14:paraId="74C1DF8F" w14:textId="77777777" w:rsidR="00D83E33" w:rsidRPr="00D95E75" w:rsidRDefault="00BC4072">
            <w:pPr>
              <w:widowControl w:val="0"/>
              <w:pBdr>
                <w:top w:val="nil"/>
                <w:left w:val="nil"/>
                <w:bottom w:val="nil"/>
                <w:right w:val="nil"/>
                <w:between w:val="nil"/>
              </w:pBdr>
              <w:ind w:left="113" w:hanging="113"/>
              <w:rPr>
                <w:b/>
                <w:i/>
                <w:color w:val="000000"/>
              </w:rPr>
            </w:pPr>
            <w:r w:rsidRPr="00D95E75">
              <w:rPr>
                <w:b/>
                <w:i/>
                <w:color w:val="000000"/>
              </w:rPr>
              <w:t>Loans to SME</w:t>
            </w:r>
          </w:p>
        </w:tc>
        <w:tc>
          <w:tcPr>
            <w:tcW w:w="606" w:type="pct"/>
            <w:vAlign w:val="bottom"/>
          </w:tcPr>
          <w:p w14:paraId="4CAA5E32"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3EEC77B6"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0B948E7"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2E79D8"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5052897"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DC51515" w14:textId="77777777" w:rsidTr="001B330E">
        <w:trPr>
          <w:trHeight w:val="23"/>
        </w:trPr>
        <w:tc>
          <w:tcPr>
            <w:tcW w:w="1971" w:type="pct"/>
            <w:shd w:val="clear" w:color="auto" w:fill="auto"/>
            <w:vAlign w:val="bottom"/>
          </w:tcPr>
          <w:p w14:paraId="6EF563C9"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vAlign w:val="bottom"/>
          </w:tcPr>
          <w:p w14:paraId="5702195E"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06941507"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F753E7"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5AC51F"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549080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6D32584" w14:textId="77777777" w:rsidTr="001B330E">
        <w:trPr>
          <w:trHeight w:val="23"/>
        </w:trPr>
        <w:tc>
          <w:tcPr>
            <w:tcW w:w="1971" w:type="pct"/>
            <w:shd w:val="clear" w:color="auto" w:fill="auto"/>
            <w:vAlign w:val="bottom"/>
          </w:tcPr>
          <w:p w14:paraId="3CC6B719"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Excellent</w:t>
            </w:r>
          </w:p>
        </w:tc>
        <w:tc>
          <w:tcPr>
            <w:tcW w:w="606" w:type="pct"/>
            <w:vAlign w:val="bottom"/>
          </w:tcPr>
          <w:p w14:paraId="2E6B0649"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5ADCEDF1"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A12511"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17FA4F"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7EA693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C642874" w14:textId="77777777" w:rsidTr="001B330E">
        <w:trPr>
          <w:trHeight w:val="23"/>
        </w:trPr>
        <w:tc>
          <w:tcPr>
            <w:tcW w:w="1971" w:type="pct"/>
            <w:shd w:val="clear" w:color="auto" w:fill="auto"/>
            <w:vAlign w:val="bottom"/>
          </w:tcPr>
          <w:p w14:paraId="1D531E2F"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Good</w:t>
            </w:r>
          </w:p>
        </w:tc>
        <w:tc>
          <w:tcPr>
            <w:tcW w:w="606" w:type="pct"/>
            <w:vAlign w:val="bottom"/>
          </w:tcPr>
          <w:p w14:paraId="18B9B3D7"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2734EC84"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623A47"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6283B8"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964001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8DEEA2B" w14:textId="77777777" w:rsidTr="001B330E">
        <w:trPr>
          <w:trHeight w:val="23"/>
        </w:trPr>
        <w:tc>
          <w:tcPr>
            <w:tcW w:w="1971" w:type="pct"/>
            <w:shd w:val="clear" w:color="auto" w:fill="auto"/>
            <w:vAlign w:val="bottom"/>
          </w:tcPr>
          <w:p w14:paraId="5970C986"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Satisfactory</w:t>
            </w:r>
          </w:p>
        </w:tc>
        <w:tc>
          <w:tcPr>
            <w:tcW w:w="606" w:type="pct"/>
            <w:vAlign w:val="bottom"/>
          </w:tcPr>
          <w:p w14:paraId="56EFFC5C"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4FB137BA"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B3C065"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6E8DD1F"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E77E6D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F1742CE" w14:textId="77777777" w:rsidTr="001B330E">
        <w:trPr>
          <w:trHeight w:val="23"/>
        </w:trPr>
        <w:tc>
          <w:tcPr>
            <w:tcW w:w="1971" w:type="pct"/>
            <w:shd w:val="clear" w:color="auto" w:fill="auto"/>
            <w:vAlign w:val="bottom"/>
          </w:tcPr>
          <w:p w14:paraId="5ACA5254"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Special monitoring</w:t>
            </w:r>
          </w:p>
        </w:tc>
        <w:tc>
          <w:tcPr>
            <w:tcW w:w="606" w:type="pct"/>
            <w:vAlign w:val="bottom"/>
          </w:tcPr>
          <w:p w14:paraId="1EC55123"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12C65F6B"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F474C15"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D3EB505"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9B3502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47E9F9B" w14:textId="77777777" w:rsidTr="001B330E">
        <w:trPr>
          <w:trHeight w:val="23"/>
        </w:trPr>
        <w:tc>
          <w:tcPr>
            <w:tcW w:w="1971" w:type="pct"/>
            <w:shd w:val="clear" w:color="auto" w:fill="auto"/>
            <w:vAlign w:val="bottom"/>
          </w:tcPr>
          <w:p w14:paraId="6A6ADA3C"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Default</w:t>
            </w:r>
          </w:p>
        </w:tc>
        <w:tc>
          <w:tcPr>
            <w:tcW w:w="606" w:type="pct"/>
            <w:vAlign w:val="bottom"/>
          </w:tcPr>
          <w:p w14:paraId="20432450"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vAlign w:val="bottom"/>
          </w:tcPr>
          <w:p w14:paraId="4AD4D5D9"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1CB5EE"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27C4BF9"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57B412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9BDE7DC" w14:textId="77777777" w:rsidTr="001B330E">
        <w:trPr>
          <w:trHeight w:val="23"/>
        </w:trPr>
        <w:tc>
          <w:tcPr>
            <w:tcW w:w="1971" w:type="pct"/>
            <w:tcBorders>
              <w:bottom w:val="single" w:sz="4" w:space="0" w:color="000000"/>
            </w:tcBorders>
            <w:shd w:val="clear" w:color="auto" w:fill="auto"/>
            <w:vAlign w:val="bottom"/>
          </w:tcPr>
          <w:p w14:paraId="58BDB73A"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12B1593"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CE75249"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14CA8F8"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4FAE711"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587F612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CEFF400" w14:textId="77777777" w:rsidTr="001B330E">
        <w:trPr>
          <w:trHeight w:val="23"/>
        </w:trPr>
        <w:tc>
          <w:tcPr>
            <w:tcW w:w="1971" w:type="pct"/>
            <w:tcBorders>
              <w:top w:val="single" w:sz="4" w:space="0" w:color="000000"/>
            </w:tcBorders>
            <w:shd w:val="clear" w:color="auto" w:fill="auto"/>
            <w:vAlign w:val="bottom"/>
          </w:tcPr>
          <w:p w14:paraId="7574B797"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9B3FF70"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95B2E9A"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A17854A"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3613C53"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2454313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31B622F" w14:textId="77777777" w:rsidTr="001B330E">
        <w:trPr>
          <w:trHeight w:val="23"/>
        </w:trPr>
        <w:tc>
          <w:tcPr>
            <w:tcW w:w="1971" w:type="pct"/>
            <w:shd w:val="clear" w:color="auto" w:fill="auto"/>
            <w:vAlign w:val="bottom"/>
          </w:tcPr>
          <w:p w14:paraId="2C707D9E" w14:textId="77777777" w:rsidR="00D83E33" w:rsidRPr="00D95E75" w:rsidRDefault="00BC4072">
            <w:pPr>
              <w:widowControl w:val="0"/>
              <w:pBdr>
                <w:top w:val="nil"/>
                <w:left w:val="nil"/>
                <w:bottom w:val="nil"/>
                <w:right w:val="nil"/>
                <w:between w:val="nil"/>
              </w:pBdr>
              <w:ind w:left="113" w:hanging="113"/>
              <w:rPr>
                <w:b/>
                <w:color w:val="000000"/>
              </w:rPr>
            </w:pPr>
            <w:r w:rsidRPr="00D95E75">
              <w:rPr>
                <w:b/>
                <w:color w:val="000000"/>
              </w:rPr>
              <w:t>Gross carrying amount</w:t>
            </w:r>
          </w:p>
        </w:tc>
        <w:tc>
          <w:tcPr>
            <w:tcW w:w="606" w:type="pct"/>
            <w:vAlign w:val="bottom"/>
          </w:tcPr>
          <w:p w14:paraId="728FD32A"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12A4D803"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FFB857"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4FC5DC"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066641C"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B16916B" w14:textId="77777777" w:rsidTr="001B330E">
        <w:trPr>
          <w:trHeight w:val="23"/>
        </w:trPr>
        <w:tc>
          <w:tcPr>
            <w:tcW w:w="1971" w:type="pct"/>
            <w:tcBorders>
              <w:bottom w:val="single" w:sz="4" w:space="0" w:color="000000"/>
            </w:tcBorders>
            <w:shd w:val="clear" w:color="auto" w:fill="auto"/>
            <w:vAlign w:val="bottom"/>
          </w:tcPr>
          <w:p w14:paraId="3C928103"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5B6C250F"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ED6898A"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7674BD9"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0D5A013"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1E6A9D0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C0C5A0A" w14:textId="77777777" w:rsidTr="001B330E">
        <w:trPr>
          <w:trHeight w:val="23"/>
        </w:trPr>
        <w:tc>
          <w:tcPr>
            <w:tcW w:w="1971" w:type="pct"/>
            <w:tcBorders>
              <w:top w:val="single" w:sz="4" w:space="0" w:color="000000"/>
            </w:tcBorders>
            <w:shd w:val="clear" w:color="auto" w:fill="auto"/>
            <w:vAlign w:val="bottom"/>
          </w:tcPr>
          <w:p w14:paraId="2BD5C1F3"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27E641D"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5D38867"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F247F0F"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62B194C"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E7650F3"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BC192AA" w14:textId="77777777" w:rsidTr="001B330E">
        <w:trPr>
          <w:trHeight w:val="23"/>
        </w:trPr>
        <w:tc>
          <w:tcPr>
            <w:tcW w:w="1971" w:type="pct"/>
            <w:shd w:val="clear" w:color="auto" w:fill="auto"/>
            <w:vAlign w:val="bottom"/>
          </w:tcPr>
          <w:p w14:paraId="70E6EA5A"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Credit loss allowance</w:t>
            </w:r>
          </w:p>
        </w:tc>
        <w:tc>
          <w:tcPr>
            <w:tcW w:w="606" w:type="pct"/>
            <w:vAlign w:val="bottom"/>
          </w:tcPr>
          <w:p w14:paraId="65B96BCA"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vAlign w:val="bottom"/>
          </w:tcPr>
          <w:p w14:paraId="15691035"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A9F8356"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7E8263"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45CEB7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7A5AEBB" w14:textId="77777777" w:rsidTr="001B330E">
        <w:trPr>
          <w:trHeight w:val="23"/>
        </w:trPr>
        <w:tc>
          <w:tcPr>
            <w:tcW w:w="1971" w:type="pct"/>
            <w:shd w:val="clear" w:color="auto" w:fill="auto"/>
            <w:vAlign w:val="bottom"/>
          </w:tcPr>
          <w:p w14:paraId="5C244F36"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vAlign w:val="bottom"/>
          </w:tcPr>
          <w:p w14:paraId="77FFA115"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vAlign w:val="bottom"/>
          </w:tcPr>
          <w:p w14:paraId="24D393FF"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E170BB"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AEA0A1"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855338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3C1DC4C" w14:textId="77777777" w:rsidTr="001B330E">
        <w:trPr>
          <w:trHeight w:val="23"/>
        </w:trPr>
        <w:tc>
          <w:tcPr>
            <w:tcW w:w="1971" w:type="pct"/>
            <w:tcBorders>
              <w:top w:val="single" w:sz="4" w:space="0" w:color="000000"/>
            </w:tcBorders>
            <w:shd w:val="clear" w:color="auto" w:fill="auto"/>
            <w:vAlign w:val="bottom"/>
          </w:tcPr>
          <w:p w14:paraId="2A2D383E"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3D36330"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F90F8E8"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7A9DFA1"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AF50D5D"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360E759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5DDBA60" w14:textId="77777777" w:rsidTr="001B330E">
        <w:trPr>
          <w:trHeight w:val="23"/>
        </w:trPr>
        <w:tc>
          <w:tcPr>
            <w:tcW w:w="1971" w:type="pct"/>
            <w:shd w:val="clear" w:color="auto" w:fill="auto"/>
            <w:vAlign w:val="bottom"/>
          </w:tcPr>
          <w:p w14:paraId="1F2D4387" w14:textId="77777777" w:rsidR="00D83E33" w:rsidRPr="00D95E75" w:rsidRDefault="00BC4072">
            <w:pPr>
              <w:widowControl w:val="0"/>
              <w:pBdr>
                <w:top w:val="nil"/>
                <w:left w:val="nil"/>
                <w:bottom w:val="nil"/>
                <w:right w:val="nil"/>
                <w:between w:val="nil"/>
              </w:pBdr>
              <w:ind w:left="113" w:hanging="113"/>
              <w:rPr>
                <w:b/>
                <w:color w:val="000000"/>
              </w:rPr>
            </w:pPr>
            <w:r w:rsidRPr="00D95E75">
              <w:rPr>
                <w:b/>
                <w:color w:val="000000"/>
              </w:rPr>
              <w:t>Carrying amount</w:t>
            </w:r>
          </w:p>
        </w:tc>
        <w:tc>
          <w:tcPr>
            <w:tcW w:w="606" w:type="pct"/>
            <w:vAlign w:val="bottom"/>
          </w:tcPr>
          <w:p w14:paraId="26844572"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vAlign w:val="bottom"/>
          </w:tcPr>
          <w:p w14:paraId="3B68F11E"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3F6E969"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2652EFE"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EC8BBE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16BB98C" w14:textId="77777777" w:rsidTr="001B330E">
        <w:trPr>
          <w:trHeight w:val="23"/>
        </w:trPr>
        <w:tc>
          <w:tcPr>
            <w:tcW w:w="1971" w:type="pct"/>
            <w:tcBorders>
              <w:bottom w:val="single" w:sz="12" w:space="0" w:color="000000"/>
            </w:tcBorders>
            <w:shd w:val="clear" w:color="auto" w:fill="auto"/>
            <w:vAlign w:val="bottom"/>
          </w:tcPr>
          <w:p w14:paraId="0643E1D3"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753B132C"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65B6FAC"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CD820E2"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A723A44"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0B323D7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6F410C8" w14:textId="77777777" w:rsidTr="001B330E">
        <w:trPr>
          <w:trHeight w:val="23"/>
        </w:trPr>
        <w:tc>
          <w:tcPr>
            <w:tcW w:w="1971" w:type="pct"/>
            <w:shd w:val="clear" w:color="auto" w:fill="auto"/>
            <w:vAlign w:val="bottom"/>
          </w:tcPr>
          <w:p w14:paraId="3CB9EAC1" w14:textId="77777777" w:rsidR="00D83E33" w:rsidRPr="00D95E75" w:rsidRDefault="00D83E33">
            <w:pPr>
              <w:widowControl w:val="0"/>
              <w:pBdr>
                <w:top w:val="nil"/>
                <w:left w:val="nil"/>
                <w:bottom w:val="nil"/>
                <w:right w:val="nil"/>
                <w:between w:val="nil"/>
              </w:pBdr>
              <w:ind w:left="113" w:hanging="113"/>
              <w:rPr>
                <w:b/>
                <w:i/>
                <w:color w:val="000000"/>
              </w:rPr>
            </w:pPr>
          </w:p>
          <w:p w14:paraId="436FBF1C" w14:textId="77777777" w:rsidR="00D83E33" w:rsidRPr="00D95E75" w:rsidRDefault="00BC4072">
            <w:pPr>
              <w:widowControl w:val="0"/>
              <w:pBdr>
                <w:top w:val="nil"/>
                <w:left w:val="nil"/>
                <w:bottom w:val="nil"/>
                <w:right w:val="nil"/>
                <w:between w:val="nil"/>
              </w:pBdr>
              <w:ind w:left="113" w:hanging="113"/>
              <w:rPr>
                <w:b/>
                <w:i/>
                <w:color w:val="000000"/>
              </w:rPr>
            </w:pPr>
            <w:r w:rsidRPr="00D95E75">
              <w:rPr>
                <w:b/>
                <w:i/>
                <w:color w:val="000000"/>
              </w:rPr>
              <w:t>Loans to leasing companies</w:t>
            </w:r>
          </w:p>
        </w:tc>
        <w:tc>
          <w:tcPr>
            <w:tcW w:w="606" w:type="pct"/>
            <w:vAlign w:val="bottom"/>
          </w:tcPr>
          <w:p w14:paraId="31037C93"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6DCEE05A"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81CB71"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2667382"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F6A2AAD"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B86916E" w14:textId="77777777" w:rsidTr="001B330E">
        <w:trPr>
          <w:trHeight w:val="23"/>
        </w:trPr>
        <w:tc>
          <w:tcPr>
            <w:tcW w:w="1971" w:type="pct"/>
            <w:shd w:val="clear" w:color="auto" w:fill="auto"/>
            <w:vAlign w:val="bottom"/>
          </w:tcPr>
          <w:p w14:paraId="5C348BA4"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vAlign w:val="bottom"/>
          </w:tcPr>
          <w:p w14:paraId="66DDFB40"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6CFCBCEF"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E9123D"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6D79EA"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0EAD1FC"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CEF934C" w14:textId="77777777" w:rsidTr="001B330E">
        <w:trPr>
          <w:trHeight w:val="23"/>
        </w:trPr>
        <w:tc>
          <w:tcPr>
            <w:tcW w:w="1971" w:type="pct"/>
            <w:shd w:val="clear" w:color="auto" w:fill="auto"/>
            <w:vAlign w:val="bottom"/>
          </w:tcPr>
          <w:p w14:paraId="5485FD7B"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Excellent</w:t>
            </w:r>
          </w:p>
        </w:tc>
        <w:tc>
          <w:tcPr>
            <w:tcW w:w="606" w:type="pct"/>
            <w:vAlign w:val="bottom"/>
          </w:tcPr>
          <w:p w14:paraId="335A2D54"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2589BA99"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C83335"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6157DD"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7748A6E"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D32E5A0" w14:textId="77777777" w:rsidTr="001B330E">
        <w:trPr>
          <w:trHeight w:val="23"/>
        </w:trPr>
        <w:tc>
          <w:tcPr>
            <w:tcW w:w="1971" w:type="pct"/>
            <w:shd w:val="clear" w:color="auto" w:fill="auto"/>
            <w:vAlign w:val="bottom"/>
          </w:tcPr>
          <w:p w14:paraId="0DF2B5AF"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Good</w:t>
            </w:r>
          </w:p>
        </w:tc>
        <w:tc>
          <w:tcPr>
            <w:tcW w:w="606" w:type="pct"/>
            <w:vAlign w:val="bottom"/>
          </w:tcPr>
          <w:p w14:paraId="3330C3C8"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70D394E3"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03C261"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B44A4BC"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3707B3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B520DED" w14:textId="77777777" w:rsidTr="001B330E">
        <w:trPr>
          <w:trHeight w:val="23"/>
        </w:trPr>
        <w:tc>
          <w:tcPr>
            <w:tcW w:w="1971" w:type="pct"/>
            <w:shd w:val="clear" w:color="auto" w:fill="auto"/>
            <w:vAlign w:val="bottom"/>
          </w:tcPr>
          <w:p w14:paraId="749FECA6"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Satisfactory</w:t>
            </w:r>
          </w:p>
        </w:tc>
        <w:tc>
          <w:tcPr>
            <w:tcW w:w="606" w:type="pct"/>
            <w:vAlign w:val="bottom"/>
          </w:tcPr>
          <w:p w14:paraId="3646835F"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4A2A9453"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89128F"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99F30E"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C0E4AA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6A95A87" w14:textId="77777777" w:rsidTr="001B330E">
        <w:trPr>
          <w:trHeight w:val="23"/>
        </w:trPr>
        <w:tc>
          <w:tcPr>
            <w:tcW w:w="1971" w:type="pct"/>
            <w:shd w:val="clear" w:color="auto" w:fill="auto"/>
            <w:vAlign w:val="bottom"/>
          </w:tcPr>
          <w:p w14:paraId="15ED3EA7"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Special monitoring</w:t>
            </w:r>
          </w:p>
        </w:tc>
        <w:tc>
          <w:tcPr>
            <w:tcW w:w="606" w:type="pct"/>
            <w:vAlign w:val="bottom"/>
          </w:tcPr>
          <w:p w14:paraId="49894264"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31C4D93C"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7CEA3A4"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68CA67"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829CCF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5A56749" w14:textId="77777777" w:rsidTr="001B330E">
        <w:trPr>
          <w:trHeight w:val="23"/>
        </w:trPr>
        <w:tc>
          <w:tcPr>
            <w:tcW w:w="1971" w:type="pct"/>
            <w:shd w:val="clear" w:color="auto" w:fill="auto"/>
            <w:vAlign w:val="bottom"/>
          </w:tcPr>
          <w:p w14:paraId="1A02C05E"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 Default</w:t>
            </w:r>
          </w:p>
        </w:tc>
        <w:tc>
          <w:tcPr>
            <w:tcW w:w="606" w:type="pct"/>
            <w:vAlign w:val="bottom"/>
          </w:tcPr>
          <w:p w14:paraId="769A8906"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vAlign w:val="bottom"/>
          </w:tcPr>
          <w:p w14:paraId="218791D5"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F26C85"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3A29D8"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D642327"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3CD2F8B" w14:textId="77777777" w:rsidTr="001B330E">
        <w:trPr>
          <w:trHeight w:val="23"/>
        </w:trPr>
        <w:tc>
          <w:tcPr>
            <w:tcW w:w="1971" w:type="pct"/>
            <w:tcBorders>
              <w:bottom w:val="single" w:sz="4" w:space="0" w:color="000000"/>
            </w:tcBorders>
            <w:shd w:val="clear" w:color="auto" w:fill="auto"/>
            <w:vAlign w:val="bottom"/>
          </w:tcPr>
          <w:p w14:paraId="05782660"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D64F5F5"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53CA3FA"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26B7DEC"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0CA80E1"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33BF0FC8"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C54FB49" w14:textId="77777777" w:rsidTr="001B330E">
        <w:trPr>
          <w:trHeight w:val="23"/>
        </w:trPr>
        <w:tc>
          <w:tcPr>
            <w:tcW w:w="1971" w:type="pct"/>
            <w:tcBorders>
              <w:top w:val="single" w:sz="4" w:space="0" w:color="000000"/>
            </w:tcBorders>
            <w:shd w:val="clear" w:color="auto" w:fill="auto"/>
            <w:vAlign w:val="bottom"/>
          </w:tcPr>
          <w:p w14:paraId="31A5B0B4"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C78AEA0"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CD003AB"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329A544"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FB5FC23"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396D423"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07894C5" w14:textId="77777777" w:rsidTr="001B330E">
        <w:trPr>
          <w:trHeight w:val="23"/>
        </w:trPr>
        <w:tc>
          <w:tcPr>
            <w:tcW w:w="1971" w:type="pct"/>
            <w:shd w:val="clear" w:color="auto" w:fill="auto"/>
            <w:vAlign w:val="bottom"/>
          </w:tcPr>
          <w:p w14:paraId="7338FEAD" w14:textId="77777777" w:rsidR="00D83E33" w:rsidRPr="00D95E75" w:rsidRDefault="00BC4072">
            <w:pPr>
              <w:widowControl w:val="0"/>
              <w:pBdr>
                <w:top w:val="nil"/>
                <w:left w:val="nil"/>
                <w:bottom w:val="nil"/>
                <w:right w:val="nil"/>
                <w:between w:val="nil"/>
              </w:pBdr>
              <w:ind w:left="113" w:hanging="113"/>
              <w:rPr>
                <w:b/>
                <w:color w:val="000000"/>
              </w:rPr>
            </w:pPr>
            <w:r w:rsidRPr="00D95E75">
              <w:rPr>
                <w:b/>
                <w:color w:val="000000"/>
              </w:rPr>
              <w:t>Gross carrying amount</w:t>
            </w:r>
          </w:p>
        </w:tc>
        <w:tc>
          <w:tcPr>
            <w:tcW w:w="606" w:type="pct"/>
            <w:vAlign w:val="bottom"/>
          </w:tcPr>
          <w:p w14:paraId="6C8F26E9" w14:textId="77777777" w:rsidR="00D83E33" w:rsidRPr="00D95E75" w:rsidRDefault="00D83E33">
            <w:pPr>
              <w:widowControl w:val="0"/>
              <w:pBdr>
                <w:top w:val="nil"/>
                <w:left w:val="nil"/>
                <w:bottom w:val="nil"/>
                <w:right w:val="nil"/>
                <w:between w:val="nil"/>
              </w:pBdr>
              <w:jc w:val="right"/>
              <w:rPr>
                <w:color w:val="000000"/>
              </w:rPr>
            </w:pPr>
          </w:p>
        </w:tc>
        <w:tc>
          <w:tcPr>
            <w:tcW w:w="606" w:type="pct"/>
            <w:vAlign w:val="bottom"/>
          </w:tcPr>
          <w:p w14:paraId="4AD4A06B"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1B18BD"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90EBC4"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EB1A7A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052614B" w14:textId="77777777" w:rsidTr="001B330E">
        <w:trPr>
          <w:trHeight w:val="23"/>
        </w:trPr>
        <w:tc>
          <w:tcPr>
            <w:tcW w:w="1971" w:type="pct"/>
            <w:tcBorders>
              <w:bottom w:val="single" w:sz="4" w:space="0" w:color="000000"/>
            </w:tcBorders>
            <w:shd w:val="clear" w:color="auto" w:fill="auto"/>
            <w:vAlign w:val="bottom"/>
          </w:tcPr>
          <w:p w14:paraId="6CF015C4"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517FF5FD"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50CD96E"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8FE27BA"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946F172"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11A98B5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D07EE69" w14:textId="77777777" w:rsidTr="001B330E">
        <w:trPr>
          <w:trHeight w:val="23"/>
        </w:trPr>
        <w:tc>
          <w:tcPr>
            <w:tcW w:w="1971" w:type="pct"/>
            <w:tcBorders>
              <w:top w:val="single" w:sz="4" w:space="0" w:color="000000"/>
            </w:tcBorders>
            <w:shd w:val="clear" w:color="auto" w:fill="auto"/>
            <w:vAlign w:val="bottom"/>
          </w:tcPr>
          <w:p w14:paraId="636B3CEE"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40D69A1"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199FFEF"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BFC415F"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764D9A4"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2FE336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B9F2A05" w14:textId="77777777" w:rsidTr="001B330E">
        <w:trPr>
          <w:trHeight w:val="23"/>
        </w:trPr>
        <w:tc>
          <w:tcPr>
            <w:tcW w:w="1971" w:type="pct"/>
            <w:shd w:val="clear" w:color="auto" w:fill="auto"/>
            <w:vAlign w:val="bottom"/>
          </w:tcPr>
          <w:p w14:paraId="7451F7C0" w14:textId="77777777" w:rsidR="00D83E33" w:rsidRPr="00D95E75" w:rsidRDefault="00BC4072">
            <w:pPr>
              <w:widowControl w:val="0"/>
              <w:pBdr>
                <w:top w:val="nil"/>
                <w:left w:val="nil"/>
                <w:bottom w:val="nil"/>
                <w:right w:val="nil"/>
                <w:between w:val="nil"/>
              </w:pBdr>
              <w:ind w:left="113" w:hanging="113"/>
              <w:rPr>
                <w:color w:val="000000"/>
              </w:rPr>
            </w:pPr>
            <w:r w:rsidRPr="00D95E75">
              <w:rPr>
                <w:color w:val="000000"/>
              </w:rPr>
              <w:t>Credit loss allowance</w:t>
            </w:r>
          </w:p>
        </w:tc>
        <w:tc>
          <w:tcPr>
            <w:tcW w:w="606" w:type="pct"/>
            <w:vAlign w:val="bottom"/>
          </w:tcPr>
          <w:p w14:paraId="079A7724"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vAlign w:val="bottom"/>
          </w:tcPr>
          <w:p w14:paraId="4BD95341"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B5BC0C6"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FF55CE"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38B8CA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F59EC9C" w14:textId="77777777" w:rsidTr="001B330E">
        <w:trPr>
          <w:trHeight w:val="23"/>
        </w:trPr>
        <w:tc>
          <w:tcPr>
            <w:tcW w:w="1971" w:type="pct"/>
            <w:shd w:val="clear" w:color="auto" w:fill="auto"/>
            <w:vAlign w:val="bottom"/>
          </w:tcPr>
          <w:p w14:paraId="541BF5BB"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vAlign w:val="bottom"/>
          </w:tcPr>
          <w:p w14:paraId="4FAEE0C6"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vAlign w:val="bottom"/>
          </w:tcPr>
          <w:p w14:paraId="02F1DD9B"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CF3656"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F644F79"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649915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02D0C2D" w14:textId="77777777" w:rsidTr="001B330E">
        <w:trPr>
          <w:trHeight w:val="23"/>
        </w:trPr>
        <w:tc>
          <w:tcPr>
            <w:tcW w:w="1971" w:type="pct"/>
            <w:tcBorders>
              <w:top w:val="single" w:sz="4" w:space="0" w:color="000000"/>
            </w:tcBorders>
            <w:shd w:val="clear" w:color="auto" w:fill="auto"/>
            <w:vAlign w:val="bottom"/>
          </w:tcPr>
          <w:p w14:paraId="57D6D804"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829E5E5"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A65773B"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19BE1A3"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42BDD78"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1DC015C"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BF246AD" w14:textId="77777777" w:rsidTr="001B330E">
        <w:trPr>
          <w:trHeight w:val="23"/>
        </w:trPr>
        <w:tc>
          <w:tcPr>
            <w:tcW w:w="1971" w:type="pct"/>
            <w:shd w:val="clear" w:color="auto" w:fill="auto"/>
            <w:vAlign w:val="bottom"/>
          </w:tcPr>
          <w:p w14:paraId="4B38E773" w14:textId="77777777" w:rsidR="00D83E33" w:rsidRPr="00D95E75" w:rsidRDefault="00BC4072">
            <w:pPr>
              <w:widowControl w:val="0"/>
              <w:pBdr>
                <w:top w:val="nil"/>
                <w:left w:val="nil"/>
                <w:bottom w:val="nil"/>
                <w:right w:val="nil"/>
                <w:between w:val="nil"/>
              </w:pBdr>
              <w:ind w:left="113" w:hanging="113"/>
              <w:rPr>
                <w:b/>
                <w:color w:val="000000"/>
              </w:rPr>
            </w:pPr>
            <w:r w:rsidRPr="00D95E75">
              <w:rPr>
                <w:b/>
                <w:color w:val="000000"/>
              </w:rPr>
              <w:t>Carrying amount</w:t>
            </w:r>
          </w:p>
        </w:tc>
        <w:tc>
          <w:tcPr>
            <w:tcW w:w="606" w:type="pct"/>
            <w:vAlign w:val="bottom"/>
          </w:tcPr>
          <w:p w14:paraId="6113FD18"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vAlign w:val="bottom"/>
          </w:tcPr>
          <w:p w14:paraId="56E16526"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F23E12" w14:textId="77777777" w:rsidR="00D83E33" w:rsidRPr="00D95E75"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B43F528" w14:textId="77777777" w:rsidR="00D83E33" w:rsidRPr="00D95E75"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920D758"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45664A1" w14:textId="77777777" w:rsidTr="001B330E">
        <w:trPr>
          <w:trHeight w:val="23"/>
        </w:trPr>
        <w:tc>
          <w:tcPr>
            <w:tcW w:w="1971" w:type="pct"/>
            <w:tcBorders>
              <w:bottom w:val="single" w:sz="12" w:space="0" w:color="000000"/>
            </w:tcBorders>
            <w:shd w:val="clear" w:color="auto" w:fill="auto"/>
            <w:vAlign w:val="bottom"/>
          </w:tcPr>
          <w:p w14:paraId="088E306B" w14:textId="77777777" w:rsidR="00D83E33" w:rsidRPr="00D95E75"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51E43CFB" w14:textId="77777777" w:rsidR="00D83E33" w:rsidRPr="00D95E75"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C04474B"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B2FE77C" w14:textId="77777777" w:rsidR="00D83E33" w:rsidRPr="00D95E75"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7D02E5A" w14:textId="77777777" w:rsidR="00D83E33" w:rsidRPr="00D95E75"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188F1647" w14:textId="77777777" w:rsidR="00D83E33" w:rsidRPr="00D95E75" w:rsidRDefault="00D83E33">
            <w:pPr>
              <w:widowControl w:val="0"/>
              <w:pBdr>
                <w:top w:val="nil"/>
                <w:left w:val="nil"/>
                <w:bottom w:val="nil"/>
                <w:right w:val="nil"/>
                <w:between w:val="nil"/>
              </w:pBdr>
              <w:jc w:val="right"/>
              <w:rPr>
                <w:color w:val="000000"/>
              </w:rPr>
            </w:pPr>
          </w:p>
        </w:tc>
      </w:tr>
    </w:tbl>
    <w:p w14:paraId="415F4F3A" w14:textId="4E9C5BA6" w:rsidR="00D83E33" w:rsidRDefault="00BC4072" w:rsidP="001B330E">
      <w:pPr>
        <w:pStyle w:val="Continued"/>
      </w:pPr>
      <w:r>
        <w:lastRenderedPageBreak/>
        <w:t>11</w:t>
      </w:r>
      <w:r>
        <w:tab/>
        <w:t>Loans and Advances to Customers (Continued)</w:t>
      </w:r>
    </w:p>
    <w:tbl>
      <w:tblPr>
        <w:tblStyle w:val="afffff1"/>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1E64025E" w14:textId="77777777" w:rsidTr="001B330E">
        <w:trPr>
          <w:trHeight w:val="23"/>
        </w:trPr>
        <w:tc>
          <w:tcPr>
            <w:tcW w:w="1971" w:type="pct"/>
            <w:tcBorders>
              <w:bottom w:val="single" w:sz="4" w:space="0" w:color="000000"/>
            </w:tcBorders>
            <w:vAlign w:val="bottom"/>
          </w:tcPr>
          <w:p w14:paraId="006F3CA4" w14:textId="53F7148A" w:rsidR="00D83E33" w:rsidRPr="00E837F2"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4676078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390B25A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7BB1312A"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57B817D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tcPr>
          <w:p w14:paraId="4C7839A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3B48704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6507CE2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tcPr>
          <w:p w14:paraId="777D564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342C85DE" w14:textId="77777777" w:rsidTr="001B330E">
        <w:trPr>
          <w:trHeight w:val="23"/>
        </w:trPr>
        <w:tc>
          <w:tcPr>
            <w:tcW w:w="1971" w:type="pct"/>
            <w:shd w:val="clear" w:color="auto" w:fill="auto"/>
            <w:vAlign w:val="bottom"/>
          </w:tcPr>
          <w:p w14:paraId="7DBB8D83" w14:textId="77777777" w:rsidR="00D83E33" w:rsidRPr="001B330E" w:rsidRDefault="00D83E33">
            <w:pPr>
              <w:widowControl w:val="0"/>
              <w:pBdr>
                <w:top w:val="nil"/>
                <w:left w:val="nil"/>
                <w:bottom w:val="nil"/>
                <w:right w:val="nil"/>
                <w:between w:val="nil"/>
              </w:pBdr>
              <w:ind w:left="113" w:hanging="113"/>
              <w:rPr>
                <w:b/>
                <w:i/>
                <w:color w:val="000000"/>
                <w:szCs w:val="16"/>
              </w:rPr>
            </w:pPr>
          </w:p>
        </w:tc>
        <w:tc>
          <w:tcPr>
            <w:tcW w:w="606" w:type="pct"/>
            <w:vAlign w:val="bottom"/>
          </w:tcPr>
          <w:p w14:paraId="1F30D1B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2EEA9F3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79EAE83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43DC04D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6AB17042"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5B12FB2A" w14:textId="77777777" w:rsidTr="001B330E">
        <w:trPr>
          <w:trHeight w:val="23"/>
        </w:trPr>
        <w:tc>
          <w:tcPr>
            <w:tcW w:w="1971" w:type="pct"/>
            <w:shd w:val="clear" w:color="auto" w:fill="auto"/>
            <w:vAlign w:val="bottom"/>
          </w:tcPr>
          <w:p w14:paraId="2B187316"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Reverse sale and repurchase agreements</w:t>
            </w:r>
          </w:p>
        </w:tc>
        <w:tc>
          <w:tcPr>
            <w:tcW w:w="606" w:type="pct"/>
            <w:vAlign w:val="bottom"/>
          </w:tcPr>
          <w:p w14:paraId="6403D9D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2CA39C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171AC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6B007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FD9A3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F3770F0" w14:textId="77777777" w:rsidTr="001B330E">
        <w:trPr>
          <w:trHeight w:val="23"/>
        </w:trPr>
        <w:tc>
          <w:tcPr>
            <w:tcW w:w="1971" w:type="pct"/>
            <w:shd w:val="clear" w:color="auto" w:fill="auto"/>
            <w:vAlign w:val="bottom"/>
          </w:tcPr>
          <w:p w14:paraId="023A4E68"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11DE9E9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247699D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74F7AFA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5D1B8E5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05314BD9"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5CE63DA0" w14:textId="77777777" w:rsidTr="001B330E">
        <w:trPr>
          <w:trHeight w:val="23"/>
        </w:trPr>
        <w:tc>
          <w:tcPr>
            <w:tcW w:w="1971" w:type="pct"/>
            <w:shd w:val="clear" w:color="auto" w:fill="auto"/>
            <w:vAlign w:val="bottom"/>
          </w:tcPr>
          <w:p w14:paraId="1CF48E5E"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6D06643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93EA6E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95FCE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C1415F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9B7BB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C9B51CD" w14:textId="77777777" w:rsidTr="001B330E">
        <w:trPr>
          <w:trHeight w:val="23"/>
        </w:trPr>
        <w:tc>
          <w:tcPr>
            <w:tcW w:w="1971" w:type="pct"/>
            <w:shd w:val="clear" w:color="auto" w:fill="auto"/>
            <w:vAlign w:val="bottom"/>
          </w:tcPr>
          <w:p w14:paraId="07D6FFAA"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5E1ADCB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79369D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516BB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9E7EA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6CF26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6523A34" w14:textId="77777777" w:rsidTr="001B330E">
        <w:trPr>
          <w:trHeight w:val="23"/>
        </w:trPr>
        <w:tc>
          <w:tcPr>
            <w:tcW w:w="1971" w:type="pct"/>
            <w:shd w:val="clear" w:color="auto" w:fill="auto"/>
            <w:vAlign w:val="bottom"/>
          </w:tcPr>
          <w:p w14:paraId="5D9DE1CA"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0CEBE4B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0B119C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36484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E7F779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1D18E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028B908" w14:textId="77777777" w:rsidTr="001B330E">
        <w:trPr>
          <w:trHeight w:val="23"/>
        </w:trPr>
        <w:tc>
          <w:tcPr>
            <w:tcW w:w="1971" w:type="pct"/>
            <w:shd w:val="clear" w:color="auto" w:fill="auto"/>
            <w:vAlign w:val="bottom"/>
          </w:tcPr>
          <w:p w14:paraId="3B8FAB57"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11AD0944"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649355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18F466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8DDA4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CFBBA5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DBB4665" w14:textId="77777777" w:rsidTr="001B330E">
        <w:trPr>
          <w:trHeight w:val="23"/>
        </w:trPr>
        <w:tc>
          <w:tcPr>
            <w:tcW w:w="1971" w:type="pct"/>
            <w:shd w:val="clear" w:color="auto" w:fill="auto"/>
            <w:vAlign w:val="bottom"/>
          </w:tcPr>
          <w:p w14:paraId="554F336F"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5A7506C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6912DB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93E59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DC252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8A2BB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4A4DC24" w14:textId="77777777" w:rsidTr="001B330E">
        <w:trPr>
          <w:trHeight w:val="23"/>
        </w:trPr>
        <w:tc>
          <w:tcPr>
            <w:tcW w:w="1971" w:type="pct"/>
            <w:tcBorders>
              <w:bottom w:val="single" w:sz="4" w:space="0" w:color="000000"/>
            </w:tcBorders>
            <w:shd w:val="clear" w:color="auto" w:fill="auto"/>
            <w:vAlign w:val="bottom"/>
          </w:tcPr>
          <w:p w14:paraId="44887EC3"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4373D23C"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4D55280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56EC90E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4C7F758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50CDDD05"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5714D8E0" w14:textId="77777777" w:rsidTr="001B330E">
        <w:trPr>
          <w:trHeight w:val="23"/>
        </w:trPr>
        <w:tc>
          <w:tcPr>
            <w:tcW w:w="1971" w:type="pct"/>
            <w:tcBorders>
              <w:top w:val="single" w:sz="4" w:space="0" w:color="000000"/>
            </w:tcBorders>
            <w:shd w:val="clear" w:color="auto" w:fill="auto"/>
            <w:vAlign w:val="bottom"/>
          </w:tcPr>
          <w:p w14:paraId="439E03F4"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200A8E4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5001A73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6A79C0C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5BE46DA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65505D36"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6689D2DB" w14:textId="77777777" w:rsidTr="001B330E">
        <w:trPr>
          <w:trHeight w:val="23"/>
        </w:trPr>
        <w:tc>
          <w:tcPr>
            <w:tcW w:w="1971" w:type="pct"/>
            <w:shd w:val="clear" w:color="auto" w:fill="auto"/>
            <w:vAlign w:val="bottom"/>
          </w:tcPr>
          <w:p w14:paraId="55D0F7AB"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4CBA435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0B67A3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7B2B0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72E9B5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20A0C6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B5E59BE" w14:textId="77777777" w:rsidTr="001B330E">
        <w:trPr>
          <w:trHeight w:val="23"/>
        </w:trPr>
        <w:tc>
          <w:tcPr>
            <w:tcW w:w="1971" w:type="pct"/>
            <w:tcBorders>
              <w:bottom w:val="single" w:sz="4" w:space="0" w:color="000000"/>
            </w:tcBorders>
            <w:shd w:val="clear" w:color="auto" w:fill="auto"/>
            <w:vAlign w:val="bottom"/>
          </w:tcPr>
          <w:p w14:paraId="506B11CB"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36968AB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48544C8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6508737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104189D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3D5119FA"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5FD5E78C" w14:textId="77777777" w:rsidTr="001B330E">
        <w:trPr>
          <w:trHeight w:val="23"/>
        </w:trPr>
        <w:tc>
          <w:tcPr>
            <w:tcW w:w="1971" w:type="pct"/>
            <w:tcBorders>
              <w:top w:val="single" w:sz="4" w:space="0" w:color="000000"/>
            </w:tcBorders>
            <w:shd w:val="clear" w:color="auto" w:fill="auto"/>
            <w:vAlign w:val="bottom"/>
          </w:tcPr>
          <w:p w14:paraId="1DA5CAA2"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7C5B5F05"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58594F8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754CF30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2414B04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48BB987E"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80641FE" w14:textId="77777777" w:rsidTr="001B330E">
        <w:trPr>
          <w:trHeight w:val="23"/>
        </w:trPr>
        <w:tc>
          <w:tcPr>
            <w:tcW w:w="1971" w:type="pct"/>
            <w:shd w:val="clear" w:color="auto" w:fill="auto"/>
            <w:vAlign w:val="bottom"/>
          </w:tcPr>
          <w:p w14:paraId="2C20D488"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028623C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F16350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FCEA7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BBCC7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A0E1E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0709035" w14:textId="77777777" w:rsidTr="001B330E">
        <w:trPr>
          <w:trHeight w:val="23"/>
        </w:trPr>
        <w:tc>
          <w:tcPr>
            <w:tcW w:w="1971" w:type="pct"/>
            <w:shd w:val="clear" w:color="auto" w:fill="auto"/>
            <w:vAlign w:val="bottom"/>
          </w:tcPr>
          <w:p w14:paraId="131E6B2B"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11020573"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vAlign w:val="bottom"/>
          </w:tcPr>
          <w:p w14:paraId="1597C26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7A0AAB8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06637BB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318EDAE7"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EAFA18B" w14:textId="77777777" w:rsidTr="001B330E">
        <w:trPr>
          <w:trHeight w:val="23"/>
        </w:trPr>
        <w:tc>
          <w:tcPr>
            <w:tcW w:w="1971" w:type="pct"/>
            <w:tcBorders>
              <w:top w:val="single" w:sz="4" w:space="0" w:color="000000"/>
            </w:tcBorders>
            <w:shd w:val="clear" w:color="auto" w:fill="auto"/>
            <w:vAlign w:val="bottom"/>
          </w:tcPr>
          <w:p w14:paraId="09591541"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3991037B"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0B3F474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159D134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45F8768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67E74785"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4824900" w14:textId="77777777" w:rsidTr="001B330E">
        <w:trPr>
          <w:trHeight w:val="23"/>
        </w:trPr>
        <w:tc>
          <w:tcPr>
            <w:tcW w:w="1971" w:type="pct"/>
            <w:shd w:val="clear" w:color="auto" w:fill="auto"/>
            <w:vAlign w:val="bottom"/>
          </w:tcPr>
          <w:p w14:paraId="22D51E60"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64FB0A4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DC6825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82113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DABF1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E104D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50C8F9A" w14:textId="77777777" w:rsidTr="001B330E">
        <w:trPr>
          <w:trHeight w:val="23"/>
        </w:trPr>
        <w:tc>
          <w:tcPr>
            <w:tcW w:w="1971" w:type="pct"/>
            <w:tcBorders>
              <w:bottom w:val="single" w:sz="12" w:space="0" w:color="000000"/>
            </w:tcBorders>
            <w:shd w:val="clear" w:color="auto" w:fill="auto"/>
            <w:vAlign w:val="bottom"/>
          </w:tcPr>
          <w:p w14:paraId="353749A3"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12" w:space="0" w:color="000000"/>
            </w:tcBorders>
            <w:vAlign w:val="bottom"/>
          </w:tcPr>
          <w:p w14:paraId="2510B461"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0CE4AFA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3C32646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744327C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4F5AAF86" w14:textId="77777777" w:rsidR="00D83E33" w:rsidRPr="001B330E" w:rsidRDefault="00D83E33">
            <w:pPr>
              <w:widowControl w:val="0"/>
              <w:pBdr>
                <w:top w:val="nil"/>
                <w:left w:val="nil"/>
                <w:bottom w:val="nil"/>
                <w:right w:val="nil"/>
                <w:between w:val="nil"/>
              </w:pBdr>
              <w:jc w:val="right"/>
              <w:rPr>
                <w:color w:val="000000"/>
                <w:szCs w:val="16"/>
              </w:rPr>
            </w:pPr>
          </w:p>
        </w:tc>
      </w:tr>
    </w:tbl>
    <w:p w14:paraId="2DEE04AD" w14:textId="113ACA69" w:rsidR="00D83E33" w:rsidRDefault="00BC4072">
      <w:pPr>
        <w:widowControl w:val="0"/>
        <w:spacing w:before="200" w:after="200"/>
        <w:rPr>
          <w:sz w:val="20"/>
          <w:szCs w:val="20"/>
        </w:rPr>
      </w:pPr>
      <w:r>
        <w:rPr>
          <w:sz w:val="20"/>
          <w:szCs w:val="20"/>
        </w:rPr>
        <w:t>The credit quality of loans to corporate customers carried at amortised cost is as follows at 31</w:t>
      </w:r>
      <w:r w:rsidR="00181687">
        <w:rPr>
          <w:sz w:val="20"/>
          <w:szCs w:val="20"/>
        </w:rPr>
        <w:t> December </w:t>
      </w:r>
      <w:r w:rsidR="00541EBC">
        <w:rPr>
          <w:sz w:val="20"/>
          <w:szCs w:val="20"/>
        </w:rPr>
        <w:t>2023</w:t>
      </w:r>
      <w:r>
        <w:rPr>
          <w:sz w:val="20"/>
          <w:szCs w:val="20"/>
        </w:rPr>
        <w:t>:</w:t>
      </w:r>
    </w:p>
    <w:tbl>
      <w:tblPr>
        <w:tblStyle w:val="afffff2"/>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4279E3AB" w14:textId="77777777" w:rsidTr="001B330E">
        <w:trPr>
          <w:trHeight w:val="23"/>
        </w:trPr>
        <w:tc>
          <w:tcPr>
            <w:tcW w:w="1971" w:type="pct"/>
            <w:tcBorders>
              <w:bottom w:val="single" w:sz="4" w:space="0" w:color="000000"/>
            </w:tcBorders>
            <w:vAlign w:val="bottom"/>
          </w:tcPr>
          <w:p w14:paraId="1F3632BF" w14:textId="31F0AF5B" w:rsidR="00D83E33" w:rsidRPr="00E837F2"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7D45915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70E4B8A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118CAB9F"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5CA0BB37"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tcPr>
          <w:p w14:paraId="1D3B1FA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0038ED29"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22EEDB9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tcPr>
          <w:p w14:paraId="406A20D2"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3257DAF5" w14:textId="77777777" w:rsidTr="001B330E">
        <w:trPr>
          <w:trHeight w:val="23"/>
        </w:trPr>
        <w:tc>
          <w:tcPr>
            <w:tcW w:w="1971" w:type="pct"/>
            <w:vAlign w:val="bottom"/>
          </w:tcPr>
          <w:p w14:paraId="591FE69E" w14:textId="77777777" w:rsidR="00D83E33" w:rsidRPr="00E837F2" w:rsidRDefault="00BC4072">
            <w:pPr>
              <w:widowControl w:val="0"/>
              <w:ind w:left="113" w:hanging="113"/>
            </w:pPr>
            <w:r w:rsidRPr="00E837F2">
              <w:t> </w:t>
            </w:r>
          </w:p>
        </w:tc>
        <w:tc>
          <w:tcPr>
            <w:tcW w:w="606" w:type="pct"/>
            <w:vAlign w:val="bottom"/>
          </w:tcPr>
          <w:p w14:paraId="37DF30E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863471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3ABE46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466E89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AF69FA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986678A" w14:textId="77777777" w:rsidTr="001B330E">
        <w:trPr>
          <w:trHeight w:val="23"/>
        </w:trPr>
        <w:tc>
          <w:tcPr>
            <w:tcW w:w="1971" w:type="pct"/>
            <w:shd w:val="clear" w:color="auto" w:fill="auto"/>
            <w:vAlign w:val="bottom"/>
          </w:tcPr>
          <w:p w14:paraId="6F77A432"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Standard lending</w:t>
            </w:r>
          </w:p>
        </w:tc>
        <w:tc>
          <w:tcPr>
            <w:tcW w:w="606" w:type="pct"/>
            <w:vAlign w:val="bottom"/>
          </w:tcPr>
          <w:p w14:paraId="5BE2FF0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E5ED34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DB86C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CD9D0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0D627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E468758" w14:textId="77777777" w:rsidTr="001B330E">
        <w:trPr>
          <w:trHeight w:val="23"/>
        </w:trPr>
        <w:tc>
          <w:tcPr>
            <w:tcW w:w="1971" w:type="pct"/>
            <w:shd w:val="clear" w:color="auto" w:fill="auto"/>
            <w:vAlign w:val="bottom"/>
          </w:tcPr>
          <w:p w14:paraId="543ECE7B"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08842B1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176B6A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248EFB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21264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C67A1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DDF8FF5" w14:textId="77777777" w:rsidTr="001B330E">
        <w:trPr>
          <w:trHeight w:val="23"/>
        </w:trPr>
        <w:tc>
          <w:tcPr>
            <w:tcW w:w="1971" w:type="pct"/>
            <w:shd w:val="clear" w:color="auto" w:fill="auto"/>
            <w:vAlign w:val="bottom"/>
          </w:tcPr>
          <w:p w14:paraId="42C2FD48"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4D7B837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66FD4B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B40FBF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70F6AD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822C0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7341C53" w14:textId="77777777" w:rsidTr="001B330E">
        <w:trPr>
          <w:trHeight w:val="23"/>
        </w:trPr>
        <w:tc>
          <w:tcPr>
            <w:tcW w:w="1971" w:type="pct"/>
            <w:shd w:val="clear" w:color="auto" w:fill="auto"/>
            <w:vAlign w:val="bottom"/>
          </w:tcPr>
          <w:p w14:paraId="04A2A989"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6F4EA63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74C583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E0F8B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B364C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2E9C6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4EFB4FF" w14:textId="77777777" w:rsidTr="001B330E">
        <w:trPr>
          <w:trHeight w:val="23"/>
        </w:trPr>
        <w:tc>
          <w:tcPr>
            <w:tcW w:w="1971" w:type="pct"/>
            <w:shd w:val="clear" w:color="auto" w:fill="auto"/>
            <w:vAlign w:val="bottom"/>
          </w:tcPr>
          <w:p w14:paraId="652F795C"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694FBD2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317546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0D12B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92B0A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907BF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148AA86" w14:textId="77777777" w:rsidTr="001B330E">
        <w:trPr>
          <w:trHeight w:val="23"/>
        </w:trPr>
        <w:tc>
          <w:tcPr>
            <w:tcW w:w="1971" w:type="pct"/>
            <w:shd w:val="clear" w:color="auto" w:fill="auto"/>
            <w:vAlign w:val="bottom"/>
          </w:tcPr>
          <w:p w14:paraId="2AFFA2C8"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2C14AE2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06992F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37D92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93B68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CEBD8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F8E1A8B" w14:textId="77777777" w:rsidTr="001B330E">
        <w:trPr>
          <w:trHeight w:val="23"/>
        </w:trPr>
        <w:tc>
          <w:tcPr>
            <w:tcW w:w="1971" w:type="pct"/>
            <w:shd w:val="clear" w:color="auto" w:fill="auto"/>
            <w:vAlign w:val="bottom"/>
          </w:tcPr>
          <w:p w14:paraId="2BC2940C"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62B6612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9B927D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3A892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AC3E1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D5BBB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C4638D" w14:textId="77777777" w:rsidTr="001B330E">
        <w:trPr>
          <w:trHeight w:val="23"/>
        </w:trPr>
        <w:tc>
          <w:tcPr>
            <w:tcW w:w="1971" w:type="pct"/>
            <w:tcBorders>
              <w:bottom w:val="single" w:sz="4" w:space="0" w:color="000000"/>
            </w:tcBorders>
            <w:shd w:val="clear" w:color="auto" w:fill="auto"/>
            <w:vAlign w:val="bottom"/>
          </w:tcPr>
          <w:p w14:paraId="299D048A"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7C3E4E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130F8F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ECBD20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C46310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BD321C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F8723E0" w14:textId="77777777" w:rsidTr="001B330E">
        <w:trPr>
          <w:trHeight w:val="23"/>
        </w:trPr>
        <w:tc>
          <w:tcPr>
            <w:tcW w:w="1971" w:type="pct"/>
            <w:tcBorders>
              <w:top w:val="single" w:sz="4" w:space="0" w:color="000000"/>
            </w:tcBorders>
            <w:shd w:val="clear" w:color="auto" w:fill="auto"/>
            <w:vAlign w:val="bottom"/>
          </w:tcPr>
          <w:p w14:paraId="522C0D43"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F05928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3D391C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68B2F8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4AAC0B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5AFACD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EB4664B" w14:textId="77777777" w:rsidTr="001B330E">
        <w:trPr>
          <w:trHeight w:val="23"/>
        </w:trPr>
        <w:tc>
          <w:tcPr>
            <w:tcW w:w="1971" w:type="pct"/>
            <w:shd w:val="clear" w:color="auto" w:fill="auto"/>
            <w:vAlign w:val="bottom"/>
          </w:tcPr>
          <w:p w14:paraId="2E782BCE"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5335592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0AAD6E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04628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445E0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D8515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7491410" w14:textId="77777777" w:rsidTr="001B330E">
        <w:trPr>
          <w:trHeight w:val="23"/>
        </w:trPr>
        <w:tc>
          <w:tcPr>
            <w:tcW w:w="1971" w:type="pct"/>
            <w:tcBorders>
              <w:bottom w:val="single" w:sz="4" w:space="0" w:color="000000"/>
            </w:tcBorders>
            <w:shd w:val="clear" w:color="auto" w:fill="auto"/>
            <w:vAlign w:val="bottom"/>
          </w:tcPr>
          <w:p w14:paraId="29C52B3B"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C18441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9F7D42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393D5A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9786BE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BD0E0B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F10DFFF" w14:textId="77777777" w:rsidTr="001B330E">
        <w:trPr>
          <w:trHeight w:val="23"/>
        </w:trPr>
        <w:tc>
          <w:tcPr>
            <w:tcW w:w="1971" w:type="pct"/>
            <w:tcBorders>
              <w:top w:val="single" w:sz="4" w:space="0" w:color="000000"/>
            </w:tcBorders>
            <w:shd w:val="clear" w:color="auto" w:fill="auto"/>
            <w:vAlign w:val="bottom"/>
          </w:tcPr>
          <w:p w14:paraId="399365E8"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6B942A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C3FFF6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E35E55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4ACFDA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B8A98B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AF88D9D" w14:textId="77777777" w:rsidTr="001B330E">
        <w:trPr>
          <w:trHeight w:val="23"/>
        </w:trPr>
        <w:tc>
          <w:tcPr>
            <w:tcW w:w="1971" w:type="pct"/>
            <w:shd w:val="clear" w:color="auto" w:fill="auto"/>
            <w:vAlign w:val="bottom"/>
          </w:tcPr>
          <w:p w14:paraId="356E12BA"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5AD1424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28E8C6C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1DCAF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FFE19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7EF7E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2BD310" w14:textId="77777777" w:rsidTr="001B330E">
        <w:trPr>
          <w:trHeight w:val="23"/>
        </w:trPr>
        <w:tc>
          <w:tcPr>
            <w:tcW w:w="1971" w:type="pct"/>
            <w:shd w:val="clear" w:color="auto" w:fill="auto"/>
            <w:vAlign w:val="bottom"/>
          </w:tcPr>
          <w:p w14:paraId="0C5DAB30"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007CFA2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5964A7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B49BD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8CA704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94214F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2A7C5BF" w14:textId="77777777" w:rsidTr="001B330E">
        <w:trPr>
          <w:trHeight w:val="23"/>
        </w:trPr>
        <w:tc>
          <w:tcPr>
            <w:tcW w:w="1971" w:type="pct"/>
            <w:tcBorders>
              <w:top w:val="single" w:sz="4" w:space="0" w:color="000000"/>
            </w:tcBorders>
            <w:shd w:val="clear" w:color="auto" w:fill="auto"/>
            <w:vAlign w:val="bottom"/>
          </w:tcPr>
          <w:p w14:paraId="474D0153"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038B84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B03321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4A4BD1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EF82D4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1ED963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5F5762C" w14:textId="77777777" w:rsidTr="001B330E">
        <w:trPr>
          <w:trHeight w:val="23"/>
        </w:trPr>
        <w:tc>
          <w:tcPr>
            <w:tcW w:w="1971" w:type="pct"/>
            <w:shd w:val="clear" w:color="auto" w:fill="auto"/>
            <w:vAlign w:val="bottom"/>
          </w:tcPr>
          <w:p w14:paraId="6959F219"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3AA98E6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5C8359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CBDDD7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E5193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05DCD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23F83CF" w14:textId="77777777" w:rsidTr="001B330E">
        <w:trPr>
          <w:trHeight w:val="23"/>
        </w:trPr>
        <w:tc>
          <w:tcPr>
            <w:tcW w:w="1971" w:type="pct"/>
            <w:tcBorders>
              <w:bottom w:val="single" w:sz="12" w:space="0" w:color="000000"/>
            </w:tcBorders>
            <w:shd w:val="clear" w:color="auto" w:fill="auto"/>
            <w:vAlign w:val="bottom"/>
          </w:tcPr>
          <w:p w14:paraId="44C368ED"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179D180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0AE91E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42096A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140339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7076878" w14:textId="77777777" w:rsidR="00D83E33" w:rsidRPr="00E837F2" w:rsidRDefault="00D83E33">
            <w:pPr>
              <w:widowControl w:val="0"/>
              <w:pBdr>
                <w:top w:val="nil"/>
                <w:left w:val="nil"/>
                <w:bottom w:val="nil"/>
                <w:right w:val="nil"/>
                <w:between w:val="nil"/>
              </w:pBdr>
              <w:jc w:val="right"/>
              <w:rPr>
                <w:color w:val="000000"/>
              </w:rPr>
            </w:pPr>
          </w:p>
        </w:tc>
      </w:tr>
    </w:tbl>
    <w:p w14:paraId="62F3E16C" w14:textId="1F2CF86B" w:rsidR="00D83E33" w:rsidRDefault="00BC4072" w:rsidP="001B330E">
      <w:pPr>
        <w:pStyle w:val="Continued"/>
        <w:rPr>
          <w:color w:val="000000"/>
          <w:szCs w:val="20"/>
        </w:rPr>
      </w:pPr>
      <w:r>
        <w:rPr>
          <w:color w:val="000000"/>
          <w:szCs w:val="20"/>
        </w:rPr>
        <w:lastRenderedPageBreak/>
        <w:t>11</w:t>
      </w:r>
      <w:r>
        <w:rPr>
          <w:color w:val="000000"/>
          <w:szCs w:val="20"/>
        </w:rPr>
        <w:tab/>
        <w:t>Loans and Advances to Customers (Continued)</w:t>
      </w:r>
    </w:p>
    <w:tbl>
      <w:tblPr>
        <w:tblStyle w:val="afffff3"/>
        <w:tblW w:w="9581" w:type="dxa"/>
        <w:tblLayout w:type="fixed"/>
        <w:tblLook w:val="0000" w:firstRow="0" w:lastRow="0" w:firstColumn="0" w:lastColumn="0" w:noHBand="0" w:noVBand="0"/>
      </w:tblPr>
      <w:tblGrid>
        <w:gridCol w:w="3776"/>
        <w:gridCol w:w="1161"/>
        <w:gridCol w:w="1161"/>
        <w:gridCol w:w="1161"/>
        <w:gridCol w:w="1161"/>
        <w:gridCol w:w="1161"/>
      </w:tblGrid>
      <w:tr w:rsidR="00D83E33" w14:paraId="26A5ECA7" w14:textId="77777777">
        <w:tc>
          <w:tcPr>
            <w:tcW w:w="3776" w:type="dxa"/>
            <w:tcBorders>
              <w:bottom w:val="single" w:sz="4" w:space="0" w:color="000000"/>
            </w:tcBorders>
            <w:vAlign w:val="bottom"/>
          </w:tcPr>
          <w:p w14:paraId="411BC71F" w14:textId="79840867" w:rsidR="00D83E33"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1161" w:type="dxa"/>
            <w:tcBorders>
              <w:bottom w:val="single" w:sz="4" w:space="0" w:color="000000"/>
            </w:tcBorders>
          </w:tcPr>
          <w:p w14:paraId="61B2D6C3" w14:textId="77777777" w:rsidR="00D83E33" w:rsidRDefault="00BC4072">
            <w:pPr>
              <w:widowControl w:val="0"/>
              <w:pBdr>
                <w:top w:val="nil"/>
                <w:left w:val="nil"/>
                <w:bottom w:val="nil"/>
                <w:right w:val="nil"/>
                <w:between w:val="nil"/>
              </w:pBdr>
              <w:ind w:left="-113"/>
              <w:jc w:val="right"/>
              <w:rPr>
                <w:b/>
                <w:color w:val="000000"/>
              </w:rPr>
            </w:pPr>
            <w:r>
              <w:rPr>
                <w:b/>
                <w:color w:val="000000"/>
              </w:rPr>
              <w:t xml:space="preserve">Stage 1 </w:t>
            </w:r>
          </w:p>
          <w:p w14:paraId="24E5E343" w14:textId="77777777" w:rsidR="00D83E33" w:rsidRDefault="00BC4072">
            <w:pPr>
              <w:widowControl w:val="0"/>
              <w:pBdr>
                <w:top w:val="nil"/>
                <w:left w:val="nil"/>
                <w:bottom w:val="nil"/>
                <w:right w:val="nil"/>
                <w:between w:val="nil"/>
              </w:pBdr>
              <w:ind w:left="-113"/>
              <w:jc w:val="right"/>
              <w:rPr>
                <w:b/>
                <w:color w:val="000000"/>
              </w:rPr>
            </w:pPr>
            <w:r>
              <w:rPr>
                <w:b/>
                <w:color w:val="000000"/>
              </w:rPr>
              <w:t>(12-months ECL)</w:t>
            </w:r>
          </w:p>
        </w:tc>
        <w:tc>
          <w:tcPr>
            <w:tcW w:w="1161" w:type="dxa"/>
            <w:tcBorders>
              <w:bottom w:val="single" w:sz="4" w:space="0" w:color="000000"/>
            </w:tcBorders>
          </w:tcPr>
          <w:p w14:paraId="224C54D0" w14:textId="77777777" w:rsidR="00D83E33" w:rsidRDefault="00BC4072">
            <w:pPr>
              <w:widowControl w:val="0"/>
              <w:pBdr>
                <w:top w:val="nil"/>
                <w:left w:val="nil"/>
                <w:bottom w:val="nil"/>
                <w:right w:val="nil"/>
                <w:between w:val="nil"/>
              </w:pBdr>
              <w:ind w:left="-113"/>
              <w:jc w:val="right"/>
              <w:rPr>
                <w:b/>
                <w:color w:val="000000"/>
              </w:rPr>
            </w:pPr>
            <w:r>
              <w:rPr>
                <w:b/>
                <w:color w:val="000000"/>
              </w:rPr>
              <w:t>Stage 2</w:t>
            </w:r>
          </w:p>
          <w:p w14:paraId="655E7060" w14:textId="77777777" w:rsidR="00D83E33" w:rsidRDefault="00BC4072">
            <w:pPr>
              <w:widowControl w:val="0"/>
              <w:pBdr>
                <w:top w:val="nil"/>
                <w:left w:val="nil"/>
                <w:bottom w:val="nil"/>
                <w:right w:val="nil"/>
                <w:between w:val="nil"/>
              </w:pBdr>
              <w:ind w:left="-113"/>
              <w:jc w:val="right"/>
              <w:rPr>
                <w:b/>
                <w:color w:val="000000"/>
              </w:rPr>
            </w:pPr>
            <w:r>
              <w:rPr>
                <w:b/>
                <w:color w:val="000000"/>
              </w:rPr>
              <w:t xml:space="preserve">(lifetime ECL for SICR) </w:t>
            </w:r>
          </w:p>
        </w:tc>
        <w:tc>
          <w:tcPr>
            <w:tcW w:w="1161" w:type="dxa"/>
            <w:tcBorders>
              <w:bottom w:val="single" w:sz="4" w:space="0" w:color="000000"/>
            </w:tcBorders>
          </w:tcPr>
          <w:p w14:paraId="7309F148" w14:textId="77777777" w:rsidR="00D83E33" w:rsidRDefault="00BC4072">
            <w:pPr>
              <w:widowControl w:val="0"/>
              <w:pBdr>
                <w:top w:val="nil"/>
                <w:left w:val="nil"/>
                <w:bottom w:val="nil"/>
                <w:right w:val="nil"/>
                <w:between w:val="nil"/>
              </w:pBdr>
              <w:ind w:left="-113"/>
              <w:jc w:val="right"/>
              <w:rPr>
                <w:b/>
                <w:color w:val="000000"/>
              </w:rPr>
            </w:pPr>
            <w:r>
              <w:rPr>
                <w:b/>
                <w:color w:val="000000"/>
              </w:rPr>
              <w:t>Stage 3</w:t>
            </w:r>
          </w:p>
          <w:p w14:paraId="5F7A5243" w14:textId="77777777" w:rsidR="00D83E33" w:rsidRDefault="00BC4072">
            <w:pPr>
              <w:widowControl w:val="0"/>
              <w:pBdr>
                <w:top w:val="nil"/>
                <w:left w:val="nil"/>
                <w:bottom w:val="nil"/>
                <w:right w:val="nil"/>
                <w:between w:val="nil"/>
              </w:pBdr>
              <w:ind w:left="-113"/>
              <w:jc w:val="right"/>
              <w:rPr>
                <w:b/>
                <w:color w:val="000000"/>
              </w:rPr>
            </w:pPr>
            <w:r>
              <w:rPr>
                <w:b/>
                <w:color w:val="000000"/>
              </w:rPr>
              <w:t>(lifetime ECL for credit im-paired)</w:t>
            </w:r>
          </w:p>
        </w:tc>
        <w:tc>
          <w:tcPr>
            <w:tcW w:w="1161" w:type="dxa"/>
            <w:tcBorders>
              <w:bottom w:val="single" w:sz="4" w:space="0" w:color="000000"/>
            </w:tcBorders>
          </w:tcPr>
          <w:p w14:paraId="72B2BEF6" w14:textId="77777777" w:rsidR="00D83E33" w:rsidRDefault="00BC4072">
            <w:pPr>
              <w:widowControl w:val="0"/>
              <w:pBdr>
                <w:top w:val="nil"/>
                <w:left w:val="nil"/>
                <w:bottom w:val="nil"/>
                <w:right w:val="nil"/>
                <w:between w:val="nil"/>
              </w:pBdr>
              <w:ind w:left="-113"/>
              <w:jc w:val="right"/>
              <w:rPr>
                <w:b/>
                <w:color w:val="000000"/>
              </w:rPr>
            </w:pPr>
            <w:r>
              <w:rPr>
                <w:b/>
                <w:color w:val="000000"/>
              </w:rPr>
              <w:t>POCI</w:t>
            </w:r>
          </w:p>
        </w:tc>
        <w:tc>
          <w:tcPr>
            <w:tcW w:w="1161" w:type="dxa"/>
            <w:tcBorders>
              <w:bottom w:val="single" w:sz="4" w:space="0" w:color="000000"/>
            </w:tcBorders>
          </w:tcPr>
          <w:p w14:paraId="4E54CF6A" w14:textId="77777777" w:rsidR="00D83E33" w:rsidRDefault="00BC4072">
            <w:pPr>
              <w:widowControl w:val="0"/>
              <w:pBdr>
                <w:top w:val="nil"/>
                <w:left w:val="nil"/>
                <w:bottom w:val="nil"/>
                <w:right w:val="nil"/>
                <w:between w:val="nil"/>
              </w:pBdr>
              <w:ind w:left="-113"/>
              <w:jc w:val="right"/>
              <w:rPr>
                <w:b/>
                <w:color w:val="000000"/>
              </w:rPr>
            </w:pPr>
            <w:r>
              <w:rPr>
                <w:b/>
                <w:color w:val="000000"/>
              </w:rPr>
              <w:t>Total</w:t>
            </w:r>
          </w:p>
        </w:tc>
      </w:tr>
      <w:tr w:rsidR="00D83E33" w14:paraId="19BAB538" w14:textId="77777777" w:rsidTr="001B330E">
        <w:tc>
          <w:tcPr>
            <w:tcW w:w="3776" w:type="dxa"/>
            <w:tcBorders>
              <w:top w:val="single" w:sz="4" w:space="0" w:color="000000"/>
            </w:tcBorders>
            <w:shd w:val="clear" w:color="auto" w:fill="auto"/>
            <w:vAlign w:val="bottom"/>
          </w:tcPr>
          <w:p w14:paraId="46747FA9"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7E524AAF"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3608290A"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721B3C12"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19DC7DC5"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3AD1B287" w14:textId="77777777" w:rsidR="00D83E33" w:rsidRDefault="00D83E33">
            <w:pPr>
              <w:widowControl w:val="0"/>
              <w:pBdr>
                <w:top w:val="nil"/>
                <w:left w:val="nil"/>
                <w:bottom w:val="nil"/>
                <w:right w:val="nil"/>
                <w:between w:val="nil"/>
              </w:pBdr>
              <w:jc w:val="right"/>
              <w:rPr>
                <w:color w:val="000000"/>
              </w:rPr>
            </w:pPr>
          </w:p>
        </w:tc>
      </w:tr>
      <w:tr w:rsidR="00D83E33" w14:paraId="43D32497" w14:textId="77777777" w:rsidTr="001B330E">
        <w:tc>
          <w:tcPr>
            <w:tcW w:w="3776" w:type="dxa"/>
            <w:shd w:val="clear" w:color="auto" w:fill="auto"/>
            <w:vAlign w:val="bottom"/>
          </w:tcPr>
          <w:p w14:paraId="2AC6E675" w14:textId="77777777" w:rsidR="00D83E33" w:rsidRDefault="00BC4072">
            <w:pPr>
              <w:widowControl w:val="0"/>
              <w:pBdr>
                <w:top w:val="nil"/>
                <w:left w:val="nil"/>
                <w:bottom w:val="nil"/>
                <w:right w:val="nil"/>
                <w:between w:val="nil"/>
              </w:pBdr>
              <w:ind w:left="113" w:hanging="113"/>
              <w:rPr>
                <w:b/>
                <w:i/>
                <w:color w:val="000000"/>
              </w:rPr>
            </w:pPr>
            <w:r>
              <w:rPr>
                <w:b/>
                <w:i/>
                <w:color w:val="000000"/>
              </w:rPr>
              <w:t>Specialised lending</w:t>
            </w:r>
          </w:p>
        </w:tc>
        <w:tc>
          <w:tcPr>
            <w:tcW w:w="1161" w:type="dxa"/>
            <w:vAlign w:val="bottom"/>
          </w:tcPr>
          <w:p w14:paraId="2B83EA6D"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7EC51BDB"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ACA8C9A"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7780ED7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8223835" w14:textId="77777777" w:rsidR="00D83E33" w:rsidRDefault="00D83E33">
            <w:pPr>
              <w:widowControl w:val="0"/>
              <w:pBdr>
                <w:top w:val="nil"/>
                <w:left w:val="nil"/>
                <w:bottom w:val="nil"/>
                <w:right w:val="nil"/>
                <w:between w:val="nil"/>
              </w:pBdr>
              <w:jc w:val="right"/>
              <w:rPr>
                <w:color w:val="000000"/>
              </w:rPr>
            </w:pPr>
          </w:p>
        </w:tc>
      </w:tr>
      <w:tr w:rsidR="00D83E33" w14:paraId="419662BA" w14:textId="77777777" w:rsidTr="001B330E">
        <w:tc>
          <w:tcPr>
            <w:tcW w:w="3776" w:type="dxa"/>
            <w:shd w:val="clear" w:color="auto" w:fill="auto"/>
            <w:vAlign w:val="bottom"/>
          </w:tcPr>
          <w:p w14:paraId="162F9ECF" w14:textId="77777777" w:rsidR="00D83E33" w:rsidRDefault="00D83E33">
            <w:pPr>
              <w:widowControl w:val="0"/>
              <w:pBdr>
                <w:top w:val="nil"/>
                <w:left w:val="nil"/>
                <w:bottom w:val="nil"/>
                <w:right w:val="nil"/>
                <w:between w:val="nil"/>
              </w:pBdr>
              <w:ind w:left="113" w:hanging="113"/>
              <w:rPr>
                <w:color w:val="000000"/>
              </w:rPr>
            </w:pPr>
          </w:p>
        </w:tc>
        <w:tc>
          <w:tcPr>
            <w:tcW w:w="1161" w:type="dxa"/>
            <w:vAlign w:val="bottom"/>
          </w:tcPr>
          <w:p w14:paraId="3BEC1888"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6B75EF1F"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66370AC"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4FE64C6D"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10ED88C" w14:textId="77777777" w:rsidR="00D83E33" w:rsidRDefault="00D83E33">
            <w:pPr>
              <w:widowControl w:val="0"/>
              <w:pBdr>
                <w:top w:val="nil"/>
                <w:left w:val="nil"/>
                <w:bottom w:val="nil"/>
                <w:right w:val="nil"/>
                <w:between w:val="nil"/>
              </w:pBdr>
              <w:jc w:val="right"/>
              <w:rPr>
                <w:color w:val="000000"/>
              </w:rPr>
            </w:pPr>
          </w:p>
        </w:tc>
      </w:tr>
      <w:tr w:rsidR="00D83E33" w14:paraId="41C5ABA7" w14:textId="77777777" w:rsidTr="001B330E">
        <w:tc>
          <w:tcPr>
            <w:tcW w:w="3776" w:type="dxa"/>
            <w:shd w:val="clear" w:color="auto" w:fill="auto"/>
            <w:vAlign w:val="bottom"/>
          </w:tcPr>
          <w:p w14:paraId="41565AAD" w14:textId="77777777" w:rsidR="00D83E33" w:rsidRDefault="00BC4072">
            <w:pPr>
              <w:widowControl w:val="0"/>
              <w:pBdr>
                <w:top w:val="nil"/>
                <w:left w:val="nil"/>
                <w:bottom w:val="nil"/>
                <w:right w:val="nil"/>
                <w:between w:val="nil"/>
              </w:pBdr>
              <w:ind w:left="113" w:hanging="113"/>
              <w:rPr>
                <w:color w:val="000000"/>
              </w:rPr>
            </w:pPr>
            <w:r>
              <w:rPr>
                <w:color w:val="000000"/>
              </w:rPr>
              <w:t>- Excellent</w:t>
            </w:r>
          </w:p>
          <w:p w14:paraId="28E18846" w14:textId="77777777" w:rsidR="00D83E33" w:rsidRDefault="00BC4072">
            <w:pPr>
              <w:widowControl w:val="0"/>
              <w:pBdr>
                <w:top w:val="nil"/>
                <w:left w:val="nil"/>
                <w:bottom w:val="nil"/>
                <w:right w:val="nil"/>
                <w:between w:val="nil"/>
              </w:pBdr>
              <w:ind w:left="113" w:hanging="113"/>
              <w:rPr>
                <w:color w:val="000000"/>
              </w:rPr>
            </w:pPr>
            <w:r>
              <w:rPr>
                <w:color w:val="000000"/>
              </w:rPr>
              <w:t>- Good</w:t>
            </w:r>
          </w:p>
        </w:tc>
        <w:tc>
          <w:tcPr>
            <w:tcW w:w="1161" w:type="dxa"/>
            <w:vAlign w:val="bottom"/>
          </w:tcPr>
          <w:p w14:paraId="6F35AEB5"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797C4851"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FEF414A"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8A88316"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43B9963E" w14:textId="77777777" w:rsidR="00D83E33" w:rsidRDefault="00D83E33">
            <w:pPr>
              <w:widowControl w:val="0"/>
              <w:pBdr>
                <w:top w:val="nil"/>
                <w:left w:val="nil"/>
                <w:bottom w:val="nil"/>
                <w:right w:val="nil"/>
                <w:between w:val="nil"/>
              </w:pBdr>
              <w:jc w:val="right"/>
              <w:rPr>
                <w:color w:val="000000"/>
              </w:rPr>
            </w:pPr>
          </w:p>
        </w:tc>
      </w:tr>
      <w:tr w:rsidR="00D83E33" w14:paraId="2B58F493" w14:textId="77777777" w:rsidTr="001B330E">
        <w:tc>
          <w:tcPr>
            <w:tcW w:w="3776" w:type="dxa"/>
            <w:shd w:val="clear" w:color="auto" w:fill="auto"/>
            <w:vAlign w:val="bottom"/>
          </w:tcPr>
          <w:p w14:paraId="57570B6B" w14:textId="77777777" w:rsidR="00D83E33" w:rsidRDefault="00BC4072">
            <w:pPr>
              <w:widowControl w:val="0"/>
              <w:pBdr>
                <w:top w:val="nil"/>
                <w:left w:val="nil"/>
                <w:bottom w:val="nil"/>
                <w:right w:val="nil"/>
                <w:between w:val="nil"/>
              </w:pBdr>
              <w:ind w:left="113" w:hanging="113"/>
              <w:rPr>
                <w:color w:val="000000"/>
              </w:rPr>
            </w:pPr>
            <w:r>
              <w:rPr>
                <w:color w:val="000000"/>
              </w:rPr>
              <w:t>- Satisfactory</w:t>
            </w:r>
          </w:p>
        </w:tc>
        <w:tc>
          <w:tcPr>
            <w:tcW w:w="1161" w:type="dxa"/>
            <w:vAlign w:val="bottom"/>
          </w:tcPr>
          <w:p w14:paraId="415DFB56"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4D7FE88F"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3F099961"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E4DF980"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4069867B" w14:textId="77777777" w:rsidR="00D83E33" w:rsidRDefault="00D83E33">
            <w:pPr>
              <w:widowControl w:val="0"/>
              <w:pBdr>
                <w:top w:val="nil"/>
                <w:left w:val="nil"/>
                <w:bottom w:val="nil"/>
                <w:right w:val="nil"/>
                <w:between w:val="nil"/>
              </w:pBdr>
              <w:jc w:val="right"/>
              <w:rPr>
                <w:color w:val="000000"/>
              </w:rPr>
            </w:pPr>
          </w:p>
        </w:tc>
      </w:tr>
      <w:tr w:rsidR="00D83E33" w14:paraId="75B83065" w14:textId="77777777" w:rsidTr="001B330E">
        <w:tc>
          <w:tcPr>
            <w:tcW w:w="3776" w:type="dxa"/>
            <w:shd w:val="clear" w:color="auto" w:fill="auto"/>
            <w:vAlign w:val="bottom"/>
          </w:tcPr>
          <w:p w14:paraId="0EAB87B8" w14:textId="77777777" w:rsidR="00D83E33" w:rsidRDefault="00BC4072">
            <w:pPr>
              <w:widowControl w:val="0"/>
              <w:pBdr>
                <w:top w:val="nil"/>
                <w:left w:val="nil"/>
                <w:bottom w:val="nil"/>
                <w:right w:val="nil"/>
                <w:between w:val="nil"/>
              </w:pBdr>
              <w:ind w:left="113" w:hanging="113"/>
              <w:rPr>
                <w:color w:val="000000"/>
              </w:rPr>
            </w:pPr>
            <w:r>
              <w:rPr>
                <w:color w:val="000000"/>
              </w:rPr>
              <w:t>- Special monitoring</w:t>
            </w:r>
          </w:p>
        </w:tc>
        <w:tc>
          <w:tcPr>
            <w:tcW w:w="1161" w:type="dxa"/>
            <w:vAlign w:val="bottom"/>
          </w:tcPr>
          <w:p w14:paraId="658248ED"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523496F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468F9C81"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E73CB7F"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B527752" w14:textId="77777777" w:rsidR="00D83E33" w:rsidRDefault="00D83E33">
            <w:pPr>
              <w:widowControl w:val="0"/>
              <w:pBdr>
                <w:top w:val="nil"/>
                <w:left w:val="nil"/>
                <w:bottom w:val="nil"/>
                <w:right w:val="nil"/>
                <w:between w:val="nil"/>
              </w:pBdr>
              <w:jc w:val="right"/>
              <w:rPr>
                <w:color w:val="000000"/>
              </w:rPr>
            </w:pPr>
          </w:p>
        </w:tc>
      </w:tr>
      <w:tr w:rsidR="00D83E33" w14:paraId="60621D0A" w14:textId="77777777" w:rsidTr="001B330E">
        <w:tc>
          <w:tcPr>
            <w:tcW w:w="3776" w:type="dxa"/>
            <w:shd w:val="clear" w:color="auto" w:fill="auto"/>
            <w:vAlign w:val="bottom"/>
          </w:tcPr>
          <w:p w14:paraId="362587F5" w14:textId="77777777" w:rsidR="00D83E33" w:rsidRDefault="00BC4072">
            <w:pPr>
              <w:widowControl w:val="0"/>
              <w:pBdr>
                <w:top w:val="nil"/>
                <w:left w:val="nil"/>
                <w:bottom w:val="nil"/>
                <w:right w:val="nil"/>
                <w:between w:val="nil"/>
              </w:pBdr>
              <w:ind w:left="113" w:hanging="113"/>
              <w:rPr>
                <w:color w:val="000000"/>
              </w:rPr>
            </w:pPr>
            <w:r>
              <w:rPr>
                <w:color w:val="000000"/>
              </w:rPr>
              <w:t>- Default</w:t>
            </w:r>
          </w:p>
        </w:tc>
        <w:tc>
          <w:tcPr>
            <w:tcW w:w="1161" w:type="dxa"/>
            <w:vAlign w:val="bottom"/>
          </w:tcPr>
          <w:p w14:paraId="58DD7FD2"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447D6F8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1B2BAE5D"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75CCDAFB"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4EF9CE09" w14:textId="77777777" w:rsidR="00D83E33" w:rsidRDefault="00D83E33">
            <w:pPr>
              <w:widowControl w:val="0"/>
              <w:pBdr>
                <w:top w:val="nil"/>
                <w:left w:val="nil"/>
                <w:bottom w:val="nil"/>
                <w:right w:val="nil"/>
                <w:between w:val="nil"/>
              </w:pBdr>
              <w:jc w:val="right"/>
              <w:rPr>
                <w:color w:val="000000"/>
              </w:rPr>
            </w:pPr>
          </w:p>
        </w:tc>
      </w:tr>
      <w:tr w:rsidR="00D83E33" w14:paraId="0B143E40" w14:textId="77777777" w:rsidTr="001B330E">
        <w:tc>
          <w:tcPr>
            <w:tcW w:w="3776" w:type="dxa"/>
            <w:tcBorders>
              <w:bottom w:val="single" w:sz="4" w:space="0" w:color="000000"/>
            </w:tcBorders>
            <w:shd w:val="clear" w:color="auto" w:fill="auto"/>
            <w:vAlign w:val="bottom"/>
          </w:tcPr>
          <w:p w14:paraId="2F00E672" w14:textId="77777777" w:rsidR="00D83E33" w:rsidRDefault="00D83E33">
            <w:pPr>
              <w:widowControl w:val="0"/>
              <w:pBdr>
                <w:top w:val="nil"/>
                <w:left w:val="nil"/>
                <w:bottom w:val="nil"/>
                <w:right w:val="nil"/>
                <w:between w:val="nil"/>
              </w:pBdr>
              <w:ind w:left="113" w:hanging="113"/>
              <w:rPr>
                <w:color w:val="000000"/>
              </w:rPr>
            </w:pPr>
          </w:p>
        </w:tc>
        <w:tc>
          <w:tcPr>
            <w:tcW w:w="1161" w:type="dxa"/>
            <w:tcBorders>
              <w:bottom w:val="single" w:sz="4" w:space="0" w:color="000000"/>
            </w:tcBorders>
            <w:vAlign w:val="bottom"/>
          </w:tcPr>
          <w:p w14:paraId="509566C6"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vAlign w:val="bottom"/>
          </w:tcPr>
          <w:p w14:paraId="0E949F16"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76A7CAB5"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1E18790B"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2BE85511" w14:textId="77777777" w:rsidR="00D83E33" w:rsidRDefault="00D83E33">
            <w:pPr>
              <w:widowControl w:val="0"/>
              <w:pBdr>
                <w:top w:val="nil"/>
                <w:left w:val="nil"/>
                <w:bottom w:val="nil"/>
                <w:right w:val="nil"/>
                <w:between w:val="nil"/>
              </w:pBdr>
              <w:jc w:val="right"/>
              <w:rPr>
                <w:color w:val="000000"/>
              </w:rPr>
            </w:pPr>
          </w:p>
        </w:tc>
      </w:tr>
      <w:tr w:rsidR="00D83E33" w14:paraId="5C5A34BB" w14:textId="77777777" w:rsidTr="001B330E">
        <w:tc>
          <w:tcPr>
            <w:tcW w:w="3776" w:type="dxa"/>
            <w:tcBorders>
              <w:top w:val="single" w:sz="4" w:space="0" w:color="000000"/>
            </w:tcBorders>
            <w:shd w:val="clear" w:color="auto" w:fill="auto"/>
            <w:vAlign w:val="bottom"/>
          </w:tcPr>
          <w:p w14:paraId="22A4E542"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2AFBDDCF"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1B7916F5"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0F7276CB"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35440FA8"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0F196591" w14:textId="77777777" w:rsidR="00D83E33" w:rsidRDefault="00D83E33">
            <w:pPr>
              <w:widowControl w:val="0"/>
              <w:pBdr>
                <w:top w:val="nil"/>
                <w:left w:val="nil"/>
                <w:bottom w:val="nil"/>
                <w:right w:val="nil"/>
                <w:between w:val="nil"/>
              </w:pBdr>
              <w:jc w:val="right"/>
              <w:rPr>
                <w:color w:val="000000"/>
              </w:rPr>
            </w:pPr>
          </w:p>
        </w:tc>
      </w:tr>
      <w:tr w:rsidR="00D83E33" w14:paraId="01144E77" w14:textId="77777777" w:rsidTr="001B330E">
        <w:tc>
          <w:tcPr>
            <w:tcW w:w="3776" w:type="dxa"/>
            <w:shd w:val="clear" w:color="auto" w:fill="auto"/>
            <w:vAlign w:val="bottom"/>
          </w:tcPr>
          <w:p w14:paraId="0BA5C799" w14:textId="77777777" w:rsidR="00D83E33" w:rsidRDefault="00BC4072">
            <w:pPr>
              <w:widowControl w:val="0"/>
              <w:pBdr>
                <w:top w:val="nil"/>
                <w:left w:val="nil"/>
                <w:bottom w:val="nil"/>
                <w:right w:val="nil"/>
                <w:between w:val="nil"/>
              </w:pBdr>
              <w:ind w:left="113" w:hanging="113"/>
              <w:rPr>
                <w:b/>
                <w:color w:val="000000"/>
              </w:rPr>
            </w:pPr>
            <w:r>
              <w:rPr>
                <w:b/>
                <w:color w:val="000000"/>
              </w:rPr>
              <w:t>Gross carrying amount</w:t>
            </w:r>
          </w:p>
        </w:tc>
        <w:tc>
          <w:tcPr>
            <w:tcW w:w="1161" w:type="dxa"/>
            <w:vAlign w:val="bottom"/>
          </w:tcPr>
          <w:p w14:paraId="71E6EE01"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434589C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DC2B8CF" w14:textId="77777777" w:rsidR="00D83E33" w:rsidRDefault="00D83E33" w:rsidP="001B330E">
            <w:pPr>
              <w:widowControl w:val="0"/>
              <w:pBdr>
                <w:top w:val="nil"/>
                <w:left w:val="nil"/>
                <w:bottom w:val="nil"/>
                <w:right w:val="nil"/>
                <w:between w:val="nil"/>
              </w:pBdr>
              <w:jc w:val="right"/>
              <w:rPr>
                <w:color w:val="000000"/>
              </w:rPr>
            </w:pPr>
          </w:p>
        </w:tc>
        <w:tc>
          <w:tcPr>
            <w:tcW w:w="1161" w:type="dxa"/>
            <w:shd w:val="clear" w:color="auto" w:fill="auto"/>
            <w:vAlign w:val="bottom"/>
          </w:tcPr>
          <w:p w14:paraId="1238B52B"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48AEF8A" w14:textId="77777777" w:rsidR="00D83E33" w:rsidRDefault="00D83E33">
            <w:pPr>
              <w:widowControl w:val="0"/>
              <w:pBdr>
                <w:top w:val="nil"/>
                <w:left w:val="nil"/>
                <w:bottom w:val="nil"/>
                <w:right w:val="nil"/>
                <w:between w:val="nil"/>
              </w:pBdr>
              <w:jc w:val="right"/>
              <w:rPr>
                <w:color w:val="000000"/>
              </w:rPr>
            </w:pPr>
          </w:p>
        </w:tc>
      </w:tr>
      <w:tr w:rsidR="00D83E33" w14:paraId="66825E5A" w14:textId="77777777" w:rsidTr="001B330E">
        <w:tc>
          <w:tcPr>
            <w:tcW w:w="3776" w:type="dxa"/>
            <w:tcBorders>
              <w:bottom w:val="single" w:sz="4" w:space="0" w:color="000000"/>
            </w:tcBorders>
            <w:shd w:val="clear" w:color="auto" w:fill="auto"/>
            <w:vAlign w:val="bottom"/>
          </w:tcPr>
          <w:p w14:paraId="0312C9BB" w14:textId="77777777" w:rsidR="00D83E33" w:rsidRDefault="00D83E33">
            <w:pPr>
              <w:widowControl w:val="0"/>
              <w:pBdr>
                <w:top w:val="nil"/>
                <w:left w:val="nil"/>
                <w:bottom w:val="nil"/>
                <w:right w:val="nil"/>
                <w:between w:val="nil"/>
              </w:pBdr>
              <w:ind w:left="113" w:hanging="113"/>
              <w:rPr>
                <w:color w:val="000000"/>
              </w:rPr>
            </w:pPr>
          </w:p>
        </w:tc>
        <w:tc>
          <w:tcPr>
            <w:tcW w:w="1161" w:type="dxa"/>
            <w:tcBorders>
              <w:bottom w:val="single" w:sz="4" w:space="0" w:color="000000"/>
            </w:tcBorders>
            <w:vAlign w:val="bottom"/>
          </w:tcPr>
          <w:p w14:paraId="02D1BBA4"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vAlign w:val="bottom"/>
          </w:tcPr>
          <w:p w14:paraId="4318441A"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14F96985"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3F51C60B"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3F276CB6" w14:textId="77777777" w:rsidR="00D83E33" w:rsidRDefault="00D83E33">
            <w:pPr>
              <w:widowControl w:val="0"/>
              <w:pBdr>
                <w:top w:val="nil"/>
                <w:left w:val="nil"/>
                <w:bottom w:val="nil"/>
                <w:right w:val="nil"/>
                <w:between w:val="nil"/>
              </w:pBdr>
              <w:jc w:val="right"/>
              <w:rPr>
                <w:color w:val="000000"/>
              </w:rPr>
            </w:pPr>
          </w:p>
        </w:tc>
      </w:tr>
      <w:tr w:rsidR="00D83E33" w14:paraId="1677F10C" w14:textId="77777777" w:rsidTr="001B330E">
        <w:tc>
          <w:tcPr>
            <w:tcW w:w="3776" w:type="dxa"/>
            <w:tcBorders>
              <w:top w:val="single" w:sz="4" w:space="0" w:color="000000"/>
            </w:tcBorders>
            <w:shd w:val="clear" w:color="auto" w:fill="auto"/>
            <w:vAlign w:val="bottom"/>
          </w:tcPr>
          <w:p w14:paraId="326A938A"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3DAADDBD"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5F0975DF"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08FBE087"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41E15FD4"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7E26181C" w14:textId="77777777" w:rsidR="00D83E33" w:rsidRDefault="00D83E33">
            <w:pPr>
              <w:widowControl w:val="0"/>
              <w:pBdr>
                <w:top w:val="nil"/>
                <w:left w:val="nil"/>
                <w:bottom w:val="nil"/>
                <w:right w:val="nil"/>
                <w:between w:val="nil"/>
              </w:pBdr>
              <w:jc w:val="right"/>
              <w:rPr>
                <w:color w:val="000000"/>
              </w:rPr>
            </w:pPr>
          </w:p>
        </w:tc>
      </w:tr>
      <w:tr w:rsidR="00D83E33" w14:paraId="5B8D30F0" w14:textId="77777777" w:rsidTr="001B330E">
        <w:tc>
          <w:tcPr>
            <w:tcW w:w="3776" w:type="dxa"/>
            <w:shd w:val="clear" w:color="auto" w:fill="auto"/>
            <w:vAlign w:val="bottom"/>
          </w:tcPr>
          <w:p w14:paraId="12670B0A" w14:textId="77777777" w:rsidR="00D83E33" w:rsidRDefault="00BC4072">
            <w:pPr>
              <w:widowControl w:val="0"/>
              <w:pBdr>
                <w:top w:val="nil"/>
                <w:left w:val="nil"/>
                <w:bottom w:val="nil"/>
                <w:right w:val="nil"/>
                <w:between w:val="nil"/>
              </w:pBdr>
              <w:ind w:left="113" w:hanging="113"/>
              <w:rPr>
                <w:color w:val="000000"/>
              </w:rPr>
            </w:pPr>
            <w:r>
              <w:rPr>
                <w:color w:val="000000"/>
              </w:rPr>
              <w:t>Credit loss allowance</w:t>
            </w:r>
          </w:p>
        </w:tc>
        <w:tc>
          <w:tcPr>
            <w:tcW w:w="1161" w:type="dxa"/>
            <w:vAlign w:val="bottom"/>
          </w:tcPr>
          <w:p w14:paraId="161F4285" w14:textId="77777777" w:rsidR="00D83E33" w:rsidRDefault="00D83E33" w:rsidP="001B330E">
            <w:pPr>
              <w:widowControl w:val="0"/>
              <w:pBdr>
                <w:top w:val="nil"/>
                <w:left w:val="nil"/>
                <w:bottom w:val="nil"/>
                <w:right w:val="nil"/>
                <w:between w:val="nil"/>
              </w:pBdr>
              <w:jc w:val="right"/>
              <w:rPr>
                <w:color w:val="000000"/>
              </w:rPr>
            </w:pPr>
          </w:p>
        </w:tc>
        <w:tc>
          <w:tcPr>
            <w:tcW w:w="1161" w:type="dxa"/>
            <w:vAlign w:val="bottom"/>
          </w:tcPr>
          <w:p w14:paraId="4847B185"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17226EB"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134BB28E"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A0DB95E" w14:textId="77777777" w:rsidR="00D83E33" w:rsidRDefault="00D83E33">
            <w:pPr>
              <w:widowControl w:val="0"/>
              <w:pBdr>
                <w:top w:val="nil"/>
                <w:left w:val="nil"/>
                <w:bottom w:val="nil"/>
                <w:right w:val="nil"/>
                <w:between w:val="nil"/>
              </w:pBdr>
              <w:jc w:val="right"/>
              <w:rPr>
                <w:color w:val="000000"/>
              </w:rPr>
            </w:pPr>
          </w:p>
        </w:tc>
      </w:tr>
      <w:tr w:rsidR="00D83E33" w14:paraId="303CE679" w14:textId="77777777" w:rsidTr="001B330E">
        <w:tc>
          <w:tcPr>
            <w:tcW w:w="3776" w:type="dxa"/>
            <w:tcBorders>
              <w:bottom w:val="single" w:sz="4" w:space="0" w:color="000000"/>
            </w:tcBorders>
            <w:shd w:val="clear" w:color="auto" w:fill="auto"/>
            <w:vAlign w:val="bottom"/>
          </w:tcPr>
          <w:p w14:paraId="529B4AFE" w14:textId="77777777" w:rsidR="00D83E33" w:rsidRDefault="00D83E33">
            <w:pPr>
              <w:widowControl w:val="0"/>
              <w:pBdr>
                <w:top w:val="nil"/>
                <w:left w:val="nil"/>
                <w:bottom w:val="nil"/>
                <w:right w:val="nil"/>
                <w:between w:val="nil"/>
              </w:pBdr>
              <w:ind w:left="113" w:hanging="113"/>
              <w:rPr>
                <w:color w:val="000000"/>
              </w:rPr>
            </w:pPr>
          </w:p>
        </w:tc>
        <w:tc>
          <w:tcPr>
            <w:tcW w:w="1161" w:type="dxa"/>
            <w:tcBorders>
              <w:bottom w:val="single" w:sz="4" w:space="0" w:color="000000"/>
            </w:tcBorders>
            <w:vAlign w:val="bottom"/>
          </w:tcPr>
          <w:p w14:paraId="2A98CA04"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bottom w:val="single" w:sz="4" w:space="0" w:color="000000"/>
            </w:tcBorders>
            <w:vAlign w:val="bottom"/>
          </w:tcPr>
          <w:p w14:paraId="428AC9D4"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616DA3B4"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462E1A7D"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71BB0F0A" w14:textId="77777777" w:rsidR="00D83E33" w:rsidRDefault="00D83E33">
            <w:pPr>
              <w:widowControl w:val="0"/>
              <w:pBdr>
                <w:top w:val="nil"/>
                <w:left w:val="nil"/>
                <w:bottom w:val="nil"/>
                <w:right w:val="nil"/>
                <w:between w:val="nil"/>
              </w:pBdr>
              <w:jc w:val="right"/>
              <w:rPr>
                <w:color w:val="000000"/>
              </w:rPr>
            </w:pPr>
          </w:p>
        </w:tc>
      </w:tr>
      <w:tr w:rsidR="00D83E33" w14:paraId="673B7F28" w14:textId="77777777" w:rsidTr="001B330E">
        <w:tc>
          <w:tcPr>
            <w:tcW w:w="3776" w:type="dxa"/>
            <w:tcBorders>
              <w:top w:val="single" w:sz="4" w:space="0" w:color="000000"/>
            </w:tcBorders>
            <w:vAlign w:val="bottom"/>
          </w:tcPr>
          <w:p w14:paraId="2B6282E7"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7D44B4AD"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4FD44C1B"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1E787A02"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0EED5C2C"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42F5B55D" w14:textId="77777777" w:rsidR="00D83E33" w:rsidRDefault="00D83E33">
            <w:pPr>
              <w:widowControl w:val="0"/>
              <w:pBdr>
                <w:top w:val="nil"/>
                <w:left w:val="nil"/>
                <w:bottom w:val="nil"/>
                <w:right w:val="nil"/>
                <w:between w:val="nil"/>
              </w:pBdr>
              <w:jc w:val="right"/>
              <w:rPr>
                <w:color w:val="000000"/>
              </w:rPr>
            </w:pPr>
          </w:p>
        </w:tc>
      </w:tr>
      <w:tr w:rsidR="00D83E33" w14:paraId="4887E380" w14:textId="77777777" w:rsidTr="001B330E">
        <w:tc>
          <w:tcPr>
            <w:tcW w:w="3776" w:type="dxa"/>
            <w:vAlign w:val="bottom"/>
          </w:tcPr>
          <w:p w14:paraId="708A2195" w14:textId="77777777" w:rsidR="00D83E33" w:rsidRDefault="00BC4072">
            <w:pPr>
              <w:widowControl w:val="0"/>
              <w:pBdr>
                <w:top w:val="nil"/>
                <w:left w:val="nil"/>
                <w:bottom w:val="nil"/>
                <w:right w:val="nil"/>
                <w:between w:val="nil"/>
              </w:pBdr>
              <w:ind w:left="113" w:hanging="113"/>
              <w:rPr>
                <w:b/>
                <w:color w:val="000000"/>
              </w:rPr>
            </w:pPr>
            <w:r>
              <w:rPr>
                <w:b/>
                <w:color w:val="000000"/>
              </w:rPr>
              <w:t>Carrying amount</w:t>
            </w:r>
          </w:p>
        </w:tc>
        <w:tc>
          <w:tcPr>
            <w:tcW w:w="1161" w:type="dxa"/>
            <w:vAlign w:val="bottom"/>
          </w:tcPr>
          <w:p w14:paraId="7E373B39"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27E801B4"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0A9623F2"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3CEDAE51"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05452422" w14:textId="77777777" w:rsidR="00D83E33" w:rsidRDefault="00D83E33">
            <w:pPr>
              <w:widowControl w:val="0"/>
              <w:pBdr>
                <w:top w:val="nil"/>
                <w:left w:val="nil"/>
                <w:bottom w:val="nil"/>
                <w:right w:val="nil"/>
                <w:between w:val="nil"/>
              </w:pBdr>
              <w:jc w:val="right"/>
              <w:rPr>
                <w:color w:val="000000"/>
              </w:rPr>
            </w:pPr>
          </w:p>
        </w:tc>
      </w:tr>
      <w:tr w:rsidR="00D83E33" w14:paraId="77280F07" w14:textId="77777777" w:rsidTr="001B330E">
        <w:tc>
          <w:tcPr>
            <w:tcW w:w="3776" w:type="dxa"/>
            <w:tcBorders>
              <w:bottom w:val="single" w:sz="12" w:space="0" w:color="000000"/>
            </w:tcBorders>
            <w:vAlign w:val="bottom"/>
          </w:tcPr>
          <w:p w14:paraId="202F735A" w14:textId="77777777" w:rsidR="00D83E33" w:rsidRDefault="00D83E33">
            <w:pPr>
              <w:widowControl w:val="0"/>
              <w:pBdr>
                <w:top w:val="nil"/>
                <w:left w:val="nil"/>
                <w:bottom w:val="nil"/>
                <w:right w:val="nil"/>
                <w:between w:val="nil"/>
              </w:pBdr>
              <w:ind w:left="113" w:hanging="113"/>
              <w:rPr>
                <w:b/>
                <w:color w:val="000000"/>
              </w:rPr>
            </w:pPr>
          </w:p>
        </w:tc>
        <w:tc>
          <w:tcPr>
            <w:tcW w:w="1161" w:type="dxa"/>
            <w:tcBorders>
              <w:bottom w:val="single" w:sz="12" w:space="0" w:color="000000"/>
            </w:tcBorders>
            <w:vAlign w:val="bottom"/>
          </w:tcPr>
          <w:p w14:paraId="576912F8"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vAlign w:val="bottom"/>
          </w:tcPr>
          <w:p w14:paraId="750994AC"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vAlign w:val="bottom"/>
          </w:tcPr>
          <w:p w14:paraId="0B998FDC"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vAlign w:val="bottom"/>
          </w:tcPr>
          <w:p w14:paraId="1D30AAB0"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vAlign w:val="bottom"/>
          </w:tcPr>
          <w:p w14:paraId="6F10EB84" w14:textId="77777777" w:rsidR="00D83E33" w:rsidRDefault="00D83E33">
            <w:pPr>
              <w:widowControl w:val="0"/>
              <w:pBdr>
                <w:top w:val="nil"/>
                <w:left w:val="nil"/>
                <w:bottom w:val="nil"/>
                <w:right w:val="nil"/>
                <w:between w:val="nil"/>
              </w:pBdr>
              <w:jc w:val="right"/>
              <w:rPr>
                <w:color w:val="000000"/>
              </w:rPr>
            </w:pPr>
          </w:p>
        </w:tc>
      </w:tr>
      <w:tr w:rsidR="00D83E33" w14:paraId="485AA766" w14:textId="77777777" w:rsidTr="001B330E">
        <w:tc>
          <w:tcPr>
            <w:tcW w:w="3776" w:type="dxa"/>
            <w:vAlign w:val="bottom"/>
          </w:tcPr>
          <w:p w14:paraId="56D564EB" w14:textId="77777777" w:rsidR="00D83E33" w:rsidRDefault="00BC4072">
            <w:pPr>
              <w:widowControl w:val="0"/>
              <w:ind w:left="113" w:hanging="113"/>
            </w:pPr>
            <w:r>
              <w:t> </w:t>
            </w:r>
          </w:p>
        </w:tc>
        <w:tc>
          <w:tcPr>
            <w:tcW w:w="1161" w:type="dxa"/>
            <w:vAlign w:val="bottom"/>
          </w:tcPr>
          <w:p w14:paraId="538D826E"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76D1A7D9"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642133A1"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68C694CE"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2547A391" w14:textId="77777777" w:rsidR="00D83E33" w:rsidRDefault="00D83E33">
            <w:pPr>
              <w:widowControl w:val="0"/>
              <w:pBdr>
                <w:top w:val="nil"/>
                <w:left w:val="nil"/>
                <w:bottom w:val="nil"/>
                <w:right w:val="nil"/>
                <w:between w:val="nil"/>
              </w:pBdr>
              <w:jc w:val="right"/>
              <w:rPr>
                <w:color w:val="000000"/>
              </w:rPr>
            </w:pPr>
          </w:p>
        </w:tc>
      </w:tr>
      <w:tr w:rsidR="00D83E33" w14:paraId="6745A6B4" w14:textId="77777777" w:rsidTr="001B330E">
        <w:tc>
          <w:tcPr>
            <w:tcW w:w="3776" w:type="dxa"/>
            <w:shd w:val="clear" w:color="auto" w:fill="auto"/>
            <w:vAlign w:val="bottom"/>
          </w:tcPr>
          <w:p w14:paraId="58D4D6F5" w14:textId="77777777" w:rsidR="00D83E33" w:rsidRDefault="00BC4072">
            <w:pPr>
              <w:widowControl w:val="0"/>
              <w:pBdr>
                <w:top w:val="nil"/>
                <w:left w:val="nil"/>
                <w:bottom w:val="nil"/>
                <w:right w:val="nil"/>
                <w:between w:val="nil"/>
              </w:pBdr>
              <w:ind w:left="113" w:hanging="113"/>
              <w:rPr>
                <w:b/>
                <w:i/>
                <w:color w:val="000000"/>
              </w:rPr>
            </w:pPr>
            <w:r>
              <w:rPr>
                <w:b/>
                <w:i/>
                <w:color w:val="000000"/>
              </w:rPr>
              <w:t>Loans to sovereigns</w:t>
            </w:r>
          </w:p>
        </w:tc>
        <w:tc>
          <w:tcPr>
            <w:tcW w:w="1161" w:type="dxa"/>
            <w:vAlign w:val="bottom"/>
          </w:tcPr>
          <w:p w14:paraId="78476C36"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670F5371"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20111C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E13150C"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D1B3179" w14:textId="77777777" w:rsidR="00D83E33" w:rsidRDefault="00D83E33">
            <w:pPr>
              <w:widowControl w:val="0"/>
              <w:pBdr>
                <w:top w:val="nil"/>
                <w:left w:val="nil"/>
                <w:bottom w:val="nil"/>
                <w:right w:val="nil"/>
                <w:between w:val="nil"/>
              </w:pBdr>
              <w:jc w:val="right"/>
              <w:rPr>
                <w:color w:val="000000"/>
              </w:rPr>
            </w:pPr>
          </w:p>
        </w:tc>
      </w:tr>
      <w:tr w:rsidR="00D83E33" w14:paraId="1205F0DF" w14:textId="77777777" w:rsidTr="001B330E">
        <w:tc>
          <w:tcPr>
            <w:tcW w:w="3776" w:type="dxa"/>
            <w:shd w:val="clear" w:color="auto" w:fill="auto"/>
            <w:vAlign w:val="bottom"/>
          </w:tcPr>
          <w:p w14:paraId="7619269F" w14:textId="77777777" w:rsidR="00D83E33" w:rsidRDefault="00D83E33">
            <w:pPr>
              <w:widowControl w:val="0"/>
              <w:pBdr>
                <w:top w:val="nil"/>
                <w:left w:val="nil"/>
                <w:bottom w:val="nil"/>
                <w:right w:val="nil"/>
                <w:between w:val="nil"/>
              </w:pBdr>
              <w:ind w:left="113" w:hanging="113"/>
              <w:rPr>
                <w:color w:val="000000"/>
              </w:rPr>
            </w:pPr>
          </w:p>
        </w:tc>
        <w:tc>
          <w:tcPr>
            <w:tcW w:w="1161" w:type="dxa"/>
            <w:vAlign w:val="bottom"/>
          </w:tcPr>
          <w:p w14:paraId="3DEB9CCB"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12EAFB7B"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BBE4817"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DE09337"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1B7C7E4C" w14:textId="77777777" w:rsidR="00D83E33" w:rsidRDefault="00D83E33">
            <w:pPr>
              <w:widowControl w:val="0"/>
              <w:pBdr>
                <w:top w:val="nil"/>
                <w:left w:val="nil"/>
                <w:bottom w:val="nil"/>
                <w:right w:val="nil"/>
                <w:between w:val="nil"/>
              </w:pBdr>
              <w:jc w:val="right"/>
              <w:rPr>
                <w:color w:val="000000"/>
              </w:rPr>
            </w:pPr>
          </w:p>
        </w:tc>
      </w:tr>
      <w:tr w:rsidR="00D83E33" w14:paraId="0B15D7CE" w14:textId="77777777" w:rsidTr="001B330E">
        <w:tc>
          <w:tcPr>
            <w:tcW w:w="3776" w:type="dxa"/>
            <w:shd w:val="clear" w:color="auto" w:fill="auto"/>
            <w:vAlign w:val="bottom"/>
          </w:tcPr>
          <w:p w14:paraId="08F64487" w14:textId="77777777" w:rsidR="00D83E33" w:rsidRDefault="00BC4072">
            <w:pPr>
              <w:widowControl w:val="0"/>
              <w:pBdr>
                <w:top w:val="nil"/>
                <w:left w:val="nil"/>
                <w:bottom w:val="nil"/>
                <w:right w:val="nil"/>
                <w:between w:val="nil"/>
              </w:pBdr>
              <w:ind w:left="113" w:hanging="113"/>
              <w:rPr>
                <w:color w:val="000000"/>
              </w:rPr>
            </w:pPr>
            <w:r>
              <w:rPr>
                <w:color w:val="000000"/>
              </w:rPr>
              <w:t>- Excellent</w:t>
            </w:r>
          </w:p>
        </w:tc>
        <w:tc>
          <w:tcPr>
            <w:tcW w:w="1161" w:type="dxa"/>
            <w:vAlign w:val="bottom"/>
          </w:tcPr>
          <w:p w14:paraId="6AAF9448"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6CD8728F"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46AFC113"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F8EC9BF"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3DE880C" w14:textId="77777777" w:rsidR="00D83E33" w:rsidRDefault="00D83E33">
            <w:pPr>
              <w:widowControl w:val="0"/>
              <w:pBdr>
                <w:top w:val="nil"/>
                <w:left w:val="nil"/>
                <w:bottom w:val="nil"/>
                <w:right w:val="nil"/>
                <w:between w:val="nil"/>
              </w:pBdr>
              <w:jc w:val="right"/>
              <w:rPr>
                <w:color w:val="000000"/>
              </w:rPr>
            </w:pPr>
          </w:p>
        </w:tc>
      </w:tr>
      <w:tr w:rsidR="00D83E33" w14:paraId="772CAE6A" w14:textId="77777777" w:rsidTr="001B330E">
        <w:tc>
          <w:tcPr>
            <w:tcW w:w="3776" w:type="dxa"/>
            <w:shd w:val="clear" w:color="auto" w:fill="auto"/>
            <w:vAlign w:val="bottom"/>
          </w:tcPr>
          <w:p w14:paraId="6004AA17" w14:textId="77777777" w:rsidR="00D83E33" w:rsidRDefault="00BC4072">
            <w:pPr>
              <w:widowControl w:val="0"/>
              <w:pBdr>
                <w:top w:val="nil"/>
                <w:left w:val="nil"/>
                <w:bottom w:val="nil"/>
                <w:right w:val="nil"/>
                <w:between w:val="nil"/>
              </w:pBdr>
              <w:ind w:left="113" w:hanging="113"/>
              <w:rPr>
                <w:color w:val="000000"/>
              </w:rPr>
            </w:pPr>
            <w:r>
              <w:rPr>
                <w:color w:val="000000"/>
              </w:rPr>
              <w:t>- Good</w:t>
            </w:r>
          </w:p>
        </w:tc>
        <w:tc>
          <w:tcPr>
            <w:tcW w:w="1161" w:type="dxa"/>
            <w:vAlign w:val="bottom"/>
          </w:tcPr>
          <w:p w14:paraId="2DFE0D4C"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0650E764"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8C9A571"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1ADCD025"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429EB18" w14:textId="77777777" w:rsidR="00D83E33" w:rsidRDefault="00D83E33">
            <w:pPr>
              <w:widowControl w:val="0"/>
              <w:pBdr>
                <w:top w:val="nil"/>
                <w:left w:val="nil"/>
                <w:bottom w:val="nil"/>
                <w:right w:val="nil"/>
                <w:between w:val="nil"/>
              </w:pBdr>
              <w:jc w:val="right"/>
              <w:rPr>
                <w:color w:val="000000"/>
              </w:rPr>
            </w:pPr>
          </w:p>
        </w:tc>
      </w:tr>
      <w:tr w:rsidR="00D83E33" w14:paraId="6876F51B" w14:textId="77777777" w:rsidTr="001B330E">
        <w:tc>
          <w:tcPr>
            <w:tcW w:w="3776" w:type="dxa"/>
            <w:shd w:val="clear" w:color="auto" w:fill="auto"/>
            <w:vAlign w:val="bottom"/>
          </w:tcPr>
          <w:p w14:paraId="082C0947" w14:textId="77777777" w:rsidR="00D83E33" w:rsidRDefault="00BC4072">
            <w:pPr>
              <w:widowControl w:val="0"/>
              <w:pBdr>
                <w:top w:val="nil"/>
                <w:left w:val="nil"/>
                <w:bottom w:val="nil"/>
                <w:right w:val="nil"/>
                <w:between w:val="nil"/>
              </w:pBdr>
              <w:ind w:left="113" w:hanging="113"/>
              <w:rPr>
                <w:color w:val="000000"/>
              </w:rPr>
            </w:pPr>
            <w:r>
              <w:rPr>
                <w:color w:val="000000"/>
              </w:rPr>
              <w:t>- Satisfactory</w:t>
            </w:r>
          </w:p>
        </w:tc>
        <w:tc>
          <w:tcPr>
            <w:tcW w:w="1161" w:type="dxa"/>
            <w:vAlign w:val="bottom"/>
          </w:tcPr>
          <w:p w14:paraId="1C6CAA82"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0FD5FC2B"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1F37C747"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39E4B779"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165F7E24" w14:textId="77777777" w:rsidR="00D83E33" w:rsidRDefault="00D83E33">
            <w:pPr>
              <w:widowControl w:val="0"/>
              <w:pBdr>
                <w:top w:val="nil"/>
                <w:left w:val="nil"/>
                <w:bottom w:val="nil"/>
                <w:right w:val="nil"/>
                <w:between w:val="nil"/>
              </w:pBdr>
              <w:jc w:val="right"/>
              <w:rPr>
                <w:color w:val="000000"/>
              </w:rPr>
            </w:pPr>
          </w:p>
        </w:tc>
      </w:tr>
      <w:tr w:rsidR="00D83E33" w14:paraId="60CF72C7" w14:textId="77777777" w:rsidTr="001B330E">
        <w:tc>
          <w:tcPr>
            <w:tcW w:w="3776" w:type="dxa"/>
            <w:shd w:val="clear" w:color="auto" w:fill="auto"/>
            <w:vAlign w:val="bottom"/>
          </w:tcPr>
          <w:p w14:paraId="36A5F855" w14:textId="77777777" w:rsidR="00D83E33" w:rsidRDefault="00BC4072">
            <w:pPr>
              <w:widowControl w:val="0"/>
              <w:pBdr>
                <w:top w:val="nil"/>
                <w:left w:val="nil"/>
                <w:bottom w:val="nil"/>
                <w:right w:val="nil"/>
                <w:between w:val="nil"/>
              </w:pBdr>
              <w:ind w:left="113" w:hanging="113"/>
              <w:rPr>
                <w:color w:val="000000"/>
              </w:rPr>
            </w:pPr>
            <w:r>
              <w:rPr>
                <w:color w:val="000000"/>
              </w:rPr>
              <w:t>- Special monitoring</w:t>
            </w:r>
          </w:p>
        </w:tc>
        <w:tc>
          <w:tcPr>
            <w:tcW w:w="1161" w:type="dxa"/>
            <w:vAlign w:val="bottom"/>
          </w:tcPr>
          <w:p w14:paraId="1834A175"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3622D168"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70C85CB1"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198F14E"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736E12AD" w14:textId="77777777" w:rsidR="00D83E33" w:rsidRDefault="00D83E33">
            <w:pPr>
              <w:widowControl w:val="0"/>
              <w:pBdr>
                <w:top w:val="nil"/>
                <w:left w:val="nil"/>
                <w:bottom w:val="nil"/>
                <w:right w:val="nil"/>
                <w:between w:val="nil"/>
              </w:pBdr>
              <w:jc w:val="right"/>
              <w:rPr>
                <w:color w:val="000000"/>
              </w:rPr>
            </w:pPr>
          </w:p>
        </w:tc>
      </w:tr>
      <w:tr w:rsidR="00D83E33" w14:paraId="2BDDF451" w14:textId="77777777" w:rsidTr="001B330E">
        <w:tc>
          <w:tcPr>
            <w:tcW w:w="3776" w:type="dxa"/>
            <w:shd w:val="clear" w:color="auto" w:fill="auto"/>
            <w:vAlign w:val="bottom"/>
          </w:tcPr>
          <w:p w14:paraId="117326EB" w14:textId="77777777" w:rsidR="00D83E33" w:rsidRDefault="00BC4072">
            <w:pPr>
              <w:widowControl w:val="0"/>
              <w:pBdr>
                <w:top w:val="nil"/>
                <w:left w:val="nil"/>
                <w:bottom w:val="nil"/>
                <w:right w:val="nil"/>
                <w:between w:val="nil"/>
              </w:pBdr>
              <w:ind w:left="113" w:hanging="113"/>
              <w:rPr>
                <w:color w:val="000000"/>
              </w:rPr>
            </w:pPr>
            <w:r>
              <w:rPr>
                <w:color w:val="000000"/>
              </w:rPr>
              <w:t>- Default</w:t>
            </w:r>
          </w:p>
        </w:tc>
        <w:tc>
          <w:tcPr>
            <w:tcW w:w="1161" w:type="dxa"/>
            <w:vAlign w:val="bottom"/>
          </w:tcPr>
          <w:p w14:paraId="09A8CB0F" w14:textId="77777777" w:rsidR="00D83E33" w:rsidRDefault="00D83E33" w:rsidP="001B330E">
            <w:pPr>
              <w:widowControl w:val="0"/>
              <w:pBdr>
                <w:top w:val="nil"/>
                <w:left w:val="nil"/>
                <w:bottom w:val="nil"/>
                <w:right w:val="nil"/>
                <w:between w:val="nil"/>
              </w:pBdr>
              <w:jc w:val="right"/>
              <w:rPr>
                <w:color w:val="000000"/>
              </w:rPr>
            </w:pPr>
          </w:p>
        </w:tc>
        <w:tc>
          <w:tcPr>
            <w:tcW w:w="1161" w:type="dxa"/>
            <w:vAlign w:val="bottom"/>
          </w:tcPr>
          <w:p w14:paraId="2B82AF14"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4F8367AF"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7F2D811B"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FBEF587" w14:textId="77777777" w:rsidR="00D83E33" w:rsidRDefault="00D83E33">
            <w:pPr>
              <w:widowControl w:val="0"/>
              <w:pBdr>
                <w:top w:val="nil"/>
                <w:left w:val="nil"/>
                <w:bottom w:val="nil"/>
                <w:right w:val="nil"/>
                <w:between w:val="nil"/>
              </w:pBdr>
              <w:jc w:val="right"/>
              <w:rPr>
                <w:color w:val="000000"/>
              </w:rPr>
            </w:pPr>
          </w:p>
        </w:tc>
      </w:tr>
      <w:tr w:rsidR="00D83E33" w14:paraId="4D6740F7" w14:textId="77777777" w:rsidTr="001B330E">
        <w:tc>
          <w:tcPr>
            <w:tcW w:w="3776" w:type="dxa"/>
            <w:tcBorders>
              <w:bottom w:val="single" w:sz="4" w:space="0" w:color="000000"/>
            </w:tcBorders>
            <w:shd w:val="clear" w:color="auto" w:fill="auto"/>
            <w:vAlign w:val="bottom"/>
          </w:tcPr>
          <w:p w14:paraId="7CF28AB5" w14:textId="77777777" w:rsidR="00D83E33" w:rsidRDefault="00D83E33">
            <w:pPr>
              <w:widowControl w:val="0"/>
              <w:pBdr>
                <w:top w:val="nil"/>
                <w:left w:val="nil"/>
                <w:bottom w:val="nil"/>
                <w:right w:val="nil"/>
                <w:between w:val="nil"/>
              </w:pBdr>
              <w:ind w:left="113" w:hanging="113"/>
              <w:rPr>
                <w:color w:val="000000"/>
              </w:rPr>
            </w:pPr>
          </w:p>
        </w:tc>
        <w:tc>
          <w:tcPr>
            <w:tcW w:w="1161" w:type="dxa"/>
            <w:tcBorders>
              <w:bottom w:val="single" w:sz="4" w:space="0" w:color="000000"/>
            </w:tcBorders>
            <w:vAlign w:val="bottom"/>
          </w:tcPr>
          <w:p w14:paraId="7FC0464C"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bottom w:val="single" w:sz="4" w:space="0" w:color="000000"/>
            </w:tcBorders>
            <w:vAlign w:val="bottom"/>
          </w:tcPr>
          <w:p w14:paraId="0E55DE41"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0F3C14D8"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0EF862E9"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69F74036" w14:textId="77777777" w:rsidR="00D83E33" w:rsidRDefault="00D83E33">
            <w:pPr>
              <w:widowControl w:val="0"/>
              <w:pBdr>
                <w:top w:val="nil"/>
                <w:left w:val="nil"/>
                <w:bottom w:val="nil"/>
                <w:right w:val="nil"/>
                <w:between w:val="nil"/>
              </w:pBdr>
              <w:jc w:val="right"/>
              <w:rPr>
                <w:color w:val="000000"/>
              </w:rPr>
            </w:pPr>
          </w:p>
        </w:tc>
      </w:tr>
      <w:tr w:rsidR="00D83E33" w14:paraId="34D72A16" w14:textId="77777777" w:rsidTr="001B330E">
        <w:tc>
          <w:tcPr>
            <w:tcW w:w="3776" w:type="dxa"/>
            <w:tcBorders>
              <w:top w:val="single" w:sz="4" w:space="0" w:color="000000"/>
            </w:tcBorders>
            <w:shd w:val="clear" w:color="auto" w:fill="auto"/>
            <w:vAlign w:val="bottom"/>
          </w:tcPr>
          <w:p w14:paraId="0D342C69"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2598621B"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61F874DB"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13A7E79A"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2B6CC3F5"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06A64CA6" w14:textId="77777777" w:rsidR="00D83E33" w:rsidRDefault="00D83E33">
            <w:pPr>
              <w:widowControl w:val="0"/>
              <w:pBdr>
                <w:top w:val="nil"/>
                <w:left w:val="nil"/>
                <w:bottom w:val="nil"/>
                <w:right w:val="nil"/>
                <w:between w:val="nil"/>
              </w:pBdr>
              <w:jc w:val="right"/>
              <w:rPr>
                <w:color w:val="000000"/>
              </w:rPr>
            </w:pPr>
          </w:p>
        </w:tc>
      </w:tr>
      <w:tr w:rsidR="00D83E33" w14:paraId="792256F5" w14:textId="77777777" w:rsidTr="001B330E">
        <w:tc>
          <w:tcPr>
            <w:tcW w:w="3776" w:type="dxa"/>
            <w:shd w:val="clear" w:color="auto" w:fill="auto"/>
            <w:vAlign w:val="bottom"/>
          </w:tcPr>
          <w:p w14:paraId="3D766728" w14:textId="77777777" w:rsidR="00D83E33" w:rsidRDefault="00BC4072">
            <w:pPr>
              <w:widowControl w:val="0"/>
              <w:pBdr>
                <w:top w:val="nil"/>
                <w:left w:val="nil"/>
                <w:bottom w:val="nil"/>
                <w:right w:val="nil"/>
                <w:between w:val="nil"/>
              </w:pBdr>
              <w:ind w:left="113" w:hanging="113"/>
              <w:rPr>
                <w:b/>
                <w:color w:val="000000"/>
              </w:rPr>
            </w:pPr>
            <w:r>
              <w:rPr>
                <w:b/>
                <w:color w:val="000000"/>
              </w:rPr>
              <w:t>Gross carrying amount</w:t>
            </w:r>
          </w:p>
        </w:tc>
        <w:tc>
          <w:tcPr>
            <w:tcW w:w="1161" w:type="dxa"/>
            <w:vAlign w:val="bottom"/>
          </w:tcPr>
          <w:p w14:paraId="02604938"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42E59B19"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7D7BD8EF"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133E4B47"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7DA9F69" w14:textId="77777777" w:rsidR="00D83E33" w:rsidRDefault="00D83E33">
            <w:pPr>
              <w:widowControl w:val="0"/>
              <w:pBdr>
                <w:top w:val="nil"/>
                <w:left w:val="nil"/>
                <w:bottom w:val="nil"/>
                <w:right w:val="nil"/>
                <w:between w:val="nil"/>
              </w:pBdr>
              <w:jc w:val="right"/>
              <w:rPr>
                <w:color w:val="000000"/>
              </w:rPr>
            </w:pPr>
          </w:p>
        </w:tc>
      </w:tr>
      <w:tr w:rsidR="00D83E33" w14:paraId="218EE478" w14:textId="77777777" w:rsidTr="001B330E">
        <w:tc>
          <w:tcPr>
            <w:tcW w:w="3776" w:type="dxa"/>
            <w:tcBorders>
              <w:bottom w:val="single" w:sz="4" w:space="0" w:color="000000"/>
            </w:tcBorders>
            <w:shd w:val="clear" w:color="auto" w:fill="auto"/>
            <w:vAlign w:val="bottom"/>
          </w:tcPr>
          <w:p w14:paraId="356EF0B6" w14:textId="77777777" w:rsidR="00D83E33" w:rsidRDefault="00D83E33">
            <w:pPr>
              <w:widowControl w:val="0"/>
              <w:pBdr>
                <w:top w:val="nil"/>
                <w:left w:val="nil"/>
                <w:bottom w:val="nil"/>
                <w:right w:val="nil"/>
                <w:between w:val="nil"/>
              </w:pBdr>
              <w:ind w:left="113" w:hanging="113"/>
              <w:rPr>
                <w:color w:val="000000"/>
              </w:rPr>
            </w:pPr>
          </w:p>
        </w:tc>
        <w:tc>
          <w:tcPr>
            <w:tcW w:w="1161" w:type="dxa"/>
            <w:tcBorders>
              <w:bottom w:val="single" w:sz="4" w:space="0" w:color="000000"/>
            </w:tcBorders>
            <w:vAlign w:val="bottom"/>
          </w:tcPr>
          <w:p w14:paraId="7C154BC2"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vAlign w:val="bottom"/>
          </w:tcPr>
          <w:p w14:paraId="580842EB"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4FFC0B82"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135267C6"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5B63DFD5" w14:textId="77777777" w:rsidR="00D83E33" w:rsidRDefault="00D83E33">
            <w:pPr>
              <w:widowControl w:val="0"/>
              <w:pBdr>
                <w:top w:val="nil"/>
                <w:left w:val="nil"/>
                <w:bottom w:val="nil"/>
                <w:right w:val="nil"/>
                <w:between w:val="nil"/>
              </w:pBdr>
              <w:jc w:val="right"/>
              <w:rPr>
                <w:color w:val="000000"/>
              </w:rPr>
            </w:pPr>
          </w:p>
        </w:tc>
      </w:tr>
      <w:tr w:rsidR="00D83E33" w14:paraId="3D09B842" w14:textId="77777777" w:rsidTr="001B330E">
        <w:tc>
          <w:tcPr>
            <w:tcW w:w="3776" w:type="dxa"/>
            <w:tcBorders>
              <w:top w:val="single" w:sz="4" w:space="0" w:color="000000"/>
            </w:tcBorders>
            <w:shd w:val="clear" w:color="auto" w:fill="auto"/>
            <w:vAlign w:val="bottom"/>
          </w:tcPr>
          <w:p w14:paraId="01DF8D44"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783B099F"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0BED0125"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1E518D89"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39AF70E0"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1A8A0C61" w14:textId="77777777" w:rsidR="00D83E33" w:rsidRDefault="00D83E33">
            <w:pPr>
              <w:widowControl w:val="0"/>
              <w:pBdr>
                <w:top w:val="nil"/>
                <w:left w:val="nil"/>
                <w:bottom w:val="nil"/>
                <w:right w:val="nil"/>
                <w:between w:val="nil"/>
              </w:pBdr>
              <w:jc w:val="right"/>
              <w:rPr>
                <w:color w:val="000000"/>
              </w:rPr>
            </w:pPr>
          </w:p>
        </w:tc>
      </w:tr>
      <w:tr w:rsidR="00D83E33" w14:paraId="6D218E0B" w14:textId="77777777" w:rsidTr="001B330E">
        <w:tc>
          <w:tcPr>
            <w:tcW w:w="3776" w:type="dxa"/>
            <w:shd w:val="clear" w:color="auto" w:fill="auto"/>
            <w:vAlign w:val="bottom"/>
          </w:tcPr>
          <w:p w14:paraId="38EE9FB5" w14:textId="77777777" w:rsidR="00D83E33" w:rsidRDefault="00BC4072">
            <w:pPr>
              <w:widowControl w:val="0"/>
              <w:pBdr>
                <w:top w:val="nil"/>
                <w:left w:val="nil"/>
                <w:bottom w:val="nil"/>
                <w:right w:val="nil"/>
                <w:between w:val="nil"/>
              </w:pBdr>
              <w:ind w:left="113" w:hanging="113"/>
              <w:rPr>
                <w:color w:val="000000"/>
              </w:rPr>
            </w:pPr>
            <w:r>
              <w:rPr>
                <w:color w:val="000000"/>
              </w:rPr>
              <w:t>Credit loss allowance</w:t>
            </w:r>
          </w:p>
        </w:tc>
        <w:tc>
          <w:tcPr>
            <w:tcW w:w="1161" w:type="dxa"/>
            <w:vAlign w:val="bottom"/>
          </w:tcPr>
          <w:p w14:paraId="3571B387" w14:textId="77777777" w:rsidR="00D83E33" w:rsidRDefault="00D83E33" w:rsidP="001B330E">
            <w:pPr>
              <w:widowControl w:val="0"/>
              <w:pBdr>
                <w:top w:val="nil"/>
                <w:left w:val="nil"/>
                <w:bottom w:val="nil"/>
                <w:right w:val="nil"/>
                <w:between w:val="nil"/>
              </w:pBdr>
              <w:jc w:val="right"/>
              <w:rPr>
                <w:color w:val="000000"/>
              </w:rPr>
            </w:pPr>
          </w:p>
        </w:tc>
        <w:tc>
          <w:tcPr>
            <w:tcW w:w="1161" w:type="dxa"/>
            <w:vAlign w:val="bottom"/>
          </w:tcPr>
          <w:p w14:paraId="66011489"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27DCB7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3EF2C209"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20AA326" w14:textId="77777777" w:rsidR="00D83E33" w:rsidRDefault="00D83E33">
            <w:pPr>
              <w:widowControl w:val="0"/>
              <w:pBdr>
                <w:top w:val="nil"/>
                <w:left w:val="nil"/>
                <w:bottom w:val="nil"/>
                <w:right w:val="nil"/>
                <w:between w:val="nil"/>
              </w:pBdr>
              <w:jc w:val="right"/>
              <w:rPr>
                <w:color w:val="000000"/>
              </w:rPr>
            </w:pPr>
          </w:p>
        </w:tc>
      </w:tr>
      <w:tr w:rsidR="00D83E33" w14:paraId="33344946" w14:textId="77777777" w:rsidTr="001B330E">
        <w:tc>
          <w:tcPr>
            <w:tcW w:w="3776" w:type="dxa"/>
            <w:shd w:val="clear" w:color="auto" w:fill="auto"/>
            <w:vAlign w:val="bottom"/>
          </w:tcPr>
          <w:p w14:paraId="3B532067" w14:textId="77777777" w:rsidR="00D83E33" w:rsidRDefault="00D83E33">
            <w:pPr>
              <w:widowControl w:val="0"/>
              <w:pBdr>
                <w:top w:val="nil"/>
                <w:left w:val="nil"/>
                <w:bottom w:val="nil"/>
                <w:right w:val="nil"/>
                <w:between w:val="nil"/>
              </w:pBdr>
              <w:ind w:left="113" w:hanging="113"/>
              <w:rPr>
                <w:color w:val="000000"/>
              </w:rPr>
            </w:pPr>
          </w:p>
        </w:tc>
        <w:tc>
          <w:tcPr>
            <w:tcW w:w="1161" w:type="dxa"/>
            <w:vAlign w:val="bottom"/>
          </w:tcPr>
          <w:p w14:paraId="7F0EE941" w14:textId="77777777" w:rsidR="00D83E33" w:rsidRDefault="00D83E33" w:rsidP="001B330E">
            <w:pPr>
              <w:widowControl w:val="0"/>
              <w:pBdr>
                <w:top w:val="nil"/>
                <w:left w:val="nil"/>
                <w:bottom w:val="nil"/>
                <w:right w:val="nil"/>
                <w:between w:val="nil"/>
              </w:pBdr>
              <w:jc w:val="right"/>
              <w:rPr>
                <w:color w:val="000000"/>
              </w:rPr>
            </w:pPr>
          </w:p>
        </w:tc>
        <w:tc>
          <w:tcPr>
            <w:tcW w:w="1161" w:type="dxa"/>
            <w:vAlign w:val="bottom"/>
          </w:tcPr>
          <w:p w14:paraId="7A175AA5"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CFD6BD7"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11F19B4"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3129FF4F" w14:textId="77777777" w:rsidR="00D83E33" w:rsidRDefault="00D83E33">
            <w:pPr>
              <w:widowControl w:val="0"/>
              <w:pBdr>
                <w:top w:val="nil"/>
                <w:left w:val="nil"/>
                <w:bottom w:val="nil"/>
                <w:right w:val="nil"/>
                <w:between w:val="nil"/>
              </w:pBdr>
              <w:jc w:val="right"/>
              <w:rPr>
                <w:color w:val="000000"/>
              </w:rPr>
            </w:pPr>
          </w:p>
        </w:tc>
      </w:tr>
      <w:tr w:rsidR="00D83E33" w14:paraId="669F1342" w14:textId="77777777" w:rsidTr="001B330E">
        <w:tc>
          <w:tcPr>
            <w:tcW w:w="3776" w:type="dxa"/>
            <w:tcBorders>
              <w:top w:val="single" w:sz="4" w:space="0" w:color="000000"/>
            </w:tcBorders>
            <w:shd w:val="clear" w:color="auto" w:fill="auto"/>
            <w:vAlign w:val="bottom"/>
          </w:tcPr>
          <w:p w14:paraId="77EBD885"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2DDE5B35"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465DC184"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15D5C6D0"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4538D594"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30667B90" w14:textId="77777777" w:rsidR="00D83E33" w:rsidRDefault="00D83E33">
            <w:pPr>
              <w:widowControl w:val="0"/>
              <w:pBdr>
                <w:top w:val="nil"/>
                <w:left w:val="nil"/>
                <w:bottom w:val="nil"/>
                <w:right w:val="nil"/>
                <w:between w:val="nil"/>
              </w:pBdr>
              <w:jc w:val="right"/>
              <w:rPr>
                <w:color w:val="000000"/>
              </w:rPr>
            </w:pPr>
          </w:p>
        </w:tc>
      </w:tr>
      <w:tr w:rsidR="00D83E33" w14:paraId="04084821" w14:textId="77777777" w:rsidTr="001B330E">
        <w:tc>
          <w:tcPr>
            <w:tcW w:w="3776" w:type="dxa"/>
            <w:shd w:val="clear" w:color="auto" w:fill="auto"/>
            <w:vAlign w:val="bottom"/>
          </w:tcPr>
          <w:p w14:paraId="7FB2C3E8" w14:textId="77777777" w:rsidR="00D83E33" w:rsidRDefault="00BC4072">
            <w:pPr>
              <w:widowControl w:val="0"/>
              <w:pBdr>
                <w:top w:val="nil"/>
                <w:left w:val="nil"/>
                <w:bottom w:val="nil"/>
                <w:right w:val="nil"/>
                <w:between w:val="nil"/>
              </w:pBdr>
              <w:ind w:left="113" w:hanging="113"/>
              <w:rPr>
                <w:b/>
                <w:color w:val="000000"/>
              </w:rPr>
            </w:pPr>
            <w:r>
              <w:rPr>
                <w:b/>
                <w:color w:val="000000"/>
              </w:rPr>
              <w:t>Carrying amount</w:t>
            </w:r>
          </w:p>
        </w:tc>
        <w:tc>
          <w:tcPr>
            <w:tcW w:w="1161" w:type="dxa"/>
            <w:vAlign w:val="bottom"/>
          </w:tcPr>
          <w:p w14:paraId="0812A1EE" w14:textId="77777777" w:rsidR="00D83E33" w:rsidRDefault="00D83E33" w:rsidP="001B330E">
            <w:pPr>
              <w:widowControl w:val="0"/>
              <w:pBdr>
                <w:top w:val="nil"/>
                <w:left w:val="nil"/>
                <w:bottom w:val="nil"/>
                <w:right w:val="nil"/>
                <w:between w:val="nil"/>
              </w:pBdr>
              <w:jc w:val="right"/>
              <w:rPr>
                <w:color w:val="000000"/>
              </w:rPr>
            </w:pPr>
          </w:p>
        </w:tc>
        <w:tc>
          <w:tcPr>
            <w:tcW w:w="1161" w:type="dxa"/>
            <w:vAlign w:val="bottom"/>
          </w:tcPr>
          <w:p w14:paraId="4DDAEAAC"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2699FB3"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920805B"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3EE8CCDE" w14:textId="77777777" w:rsidR="00D83E33" w:rsidRDefault="00D83E33">
            <w:pPr>
              <w:widowControl w:val="0"/>
              <w:pBdr>
                <w:top w:val="nil"/>
                <w:left w:val="nil"/>
                <w:bottom w:val="nil"/>
                <w:right w:val="nil"/>
                <w:between w:val="nil"/>
              </w:pBdr>
              <w:jc w:val="right"/>
              <w:rPr>
                <w:color w:val="000000"/>
              </w:rPr>
            </w:pPr>
          </w:p>
        </w:tc>
      </w:tr>
      <w:tr w:rsidR="00D83E33" w14:paraId="594E7CAA" w14:textId="77777777" w:rsidTr="001B330E">
        <w:tc>
          <w:tcPr>
            <w:tcW w:w="3776" w:type="dxa"/>
            <w:tcBorders>
              <w:bottom w:val="single" w:sz="12" w:space="0" w:color="000000"/>
            </w:tcBorders>
            <w:shd w:val="clear" w:color="auto" w:fill="auto"/>
            <w:vAlign w:val="bottom"/>
          </w:tcPr>
          <w:p w14:paraId="4CC3C78B" w14:textId="77777777" w:rsidR="00D83E33" w:rsidRDefault="00D83E33">
            <w:pPr>
              <w:widowControl w:val="0"/>
              <w:pBdr>
                <w:top w:val="nil"/>
                <w:left w:val="nil"/>
                <w:bottom w:val="nil"/>
                <w:right w:val="nil"/>
                <w:between w:val="nil"/>
              </w:pBdr>
              <w:ind w:left="113" w:hanging="113"/>
              <w:rPr>
                <w:color w:val="000000"/>
              </w:rPr>
            </w:pPr>
          </w:p>
        </w:tc>
        <w:tc>
          <w:tcPr>
            <w:tcW w:w="1161" w:type="dxa"/>
            <w:tcBorders>
              <w:bottom w:val="single" w:sz="12" w:space="0" w:color="000000"/>
            </w:tcBorders>
            <w:vAlign w:val="bottom"/>
          </w:tcPr>
          <w:p w14:paraId="0DCB0A1F"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bottom w:val="single" w:sz="12" w:space="0" w:color="000000"/>
            </w:tcBorders>
            <w:vAlign w:val="bottom"/>
          </w:tcPr>
          <w:p w14:paraId="41500CF2"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shd w:val="clear" w:color="auto" w:fill="auto"/>
            <w:vAlign w:val="bottom"/>
          </w:tcPr>
          <w:p w14:paraId="370D76E8"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shd w:val="clear" w:color="auto" w:fill="auto"/>
            <w:vAlign w:val="bottom"/>
          </w:tcPr>
          <w:p w14:paraId="1A9777B4"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shd w:val="clear" w:color="auto" w:fill="auto"/>
            <w:vAlign w:val="bottom"/>
          </w:tcPr>
          <w:p w14:paraId="3FD7EA90" w14:textId="77777777" w:rsidR="00D83E33" w:rsidRDefault="00D83E33">
            <w:pPr>
              <w:widowControl w:val="0"/>
              <w:pBdr>
                <w:top w:val="nil"/>
                <w:left w:val="nil"/>
                <w:bottom w:val="nil"/>
                <w:right w:val="nil"/>
                <w:between w:val="nil"/>
              </w:pBdr>
              <w:jc w:val="right"/>
              <w:rPr>
                <w:color w:val="000000"/>
              </w:rPr>
            </w:pPr>
          </w:p>
        </w:tc>
      </w:tr>
      <w:tr w:rsidR="00D83E33" w14:paraId="2BB537C4" w14:textId="77777777" w:rsidTr="001B330E">
        <w:tc>
          <w:tcPr>
            <w:tcW w:w="3776" w:type="dxa"/>
            <w:tcBorders>
              <w:top w:val="single" w:sz="4" w:space="0" w:color="000000"/>
            </w:tcBorders>
            <w:shd w:val="clear" w:color="auto" w:fill="auto"/>
            <w:vAlign w:val="bottom"/>
          </w:tcPr>
          <w:p w14:paraId="3311643E"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3D3F7A3C"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47413639"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2BCA0E29"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018E127D"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426805D9" w14:textId="77777777" w:rsidR="00D83E33" w:rsidRDefault="00D83E33">
            <w:pPr>
              <w:widowControl w:val="0"/>
              <w:pBdr>
                <w:top w:val="nil"/>
                <w:left w:val="nil"/>
                <w:bottom w:val="nil"/>
                <w:right w:val="nil"/>
                <w:between w:val="nil"/>
              </w:pBdr>
              <w:jc w:val="right"/>
              <w:rPr>
                <w:color w:val="000000"/>
              </w:rPr>
            </w:pPr>
          </w:p>
        </w:tc>
      </w:tr>
      <w:tr w:rsidR="00D83E33" w14:paraId="7586F5FD" w14:textId="77777777" w:rsidTr="001B330E">
        <w:tc>
          <w:tcPr>
            <w:tcW w:w="3776" w:type="dxa"/>
            <w:shd w:val="clear" w:color="auto" w:fill="auto"/>
            <w:vAlign w:val="bottom"/>
          </w:tcPr>
          <w:p w14:paraId="622928A7" w14:textId="77777777" w:rsidR="00D83E33" w:rsidRDefault="00BC4072">
            <w:pPr>
              <w:widowControl w:val="0"/>
              <w:pBdr>
                <w:top w:val="nil"/>
                <w:left w:val="nil"/>
                <w:bottom w:val="nil"/>
                <w:right w:val="nil"/>
                <w:between w:val="nil"/>
              </w:pBdr>
              <w:ind w:left="113" w:hanging="113"/>
              <w:rPr>
                <w:b/>
                <w:i/>
                <w:color w:val="000000"/>
              </w:rPr>
            </w:pPr>
            <w:r>
              <w:rPr>
                <w:b/>
                <w:i/>
                <w:color w:val="000000"/>
              </w:rPr>
              <w:t>Loans to sub-sovereigns</w:t>
            </w:r>
          </w:p>
        </w:tc>
        <w:tc>
          <w:tcPr>
            <w:tcW w:w="1161" w:type="dxa"/>
            <w:vAlign w:val="bottom"/>
          </w:tcPr>
          <w:p w14:paraId="60096F53"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6500A921"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56538FE"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77485897"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D7B7D69" w14:textId="77777777" w:rsidR="00D83E33" w:rsidRDefault="00D83E33">
            <w:pPr>
              <w:widowControl w:val="0"/>
              <w:pBdr>
                <w:top w:val="nil"/>
                <w:left w:val="nil"/>
                <w:bottom w:val="nil"/>
                <w:right w:val="nil"/>
                <w:between w:val="nil"/>
              </w:pBdr>
              <w:jc w:val="right"/>
              <w:rPr>
                <w:color w:val="000000"/>
              </w:rPr>
            </w:pPr>
          </w:p>
        </w:tc>
      </w:tr>
      <w:tr w:rsidR="00D83E33" w14:paraId="6226531E" w14:textId="77777777" w:rsidTr="001B330E">
        <w:tc>
          <w:tcPr>
            <w:tcW w:w="3776" w:type="dxa"/>
            <w:shd w:val="clear" w:color="auto" w:fill="auto"/>
            <w:vAlign w:val="bottom"/>
          </w:tcPr>
          <w:p w14:paraId="5597EABD" w14:textId="77777777" w:rsidR="00D83E33" w:rsidRDefault="00D83E33">
            <w:pPr>
              <w:widowControl w:val="0"/>
              <w:pBdr>
                <w:top w:val="nil"/>
                <w:left w:val="nil"/>
                <w:bottom w:val="nil"/>
                <w:right w:val="nil"/>
                <w:between w:val="nil"/>
              </w:pBdr>
              <w:ind w:left="113" w:hanging="113"/>
              <w:rPr>
                <w:color w:val="000000"/>
              </w:rPr>
            </w:pPr>
          </w:p>
        </w:tc>
        <w:tc>
          <w:tcPr>
            <w:tcW w:w="1161" w:type="dxa"/>
            <w:vAlign w:val="bottom"/>
          </w:tcPr>
          <w:p w14:paraId="40152A01"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06F93DEF"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2C9BDF0"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308857EF"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79A24B0E" w14:textId="77777777" w:rsidR="00D83E33" w:rsidRDefault="00D83E33">
            <w:pPr>
              <w:widowControl w:val="0"/>
              <w:pBdr>
                <w:top w:val="nil"/>
                <w:left w:val="nil"/>
                <w:bottom w:val="nil"/>
                <w:right w:val="nil"/>
                <w:between w:val="nil"/>
              </w:pBdr>
              <w:jc w:val="right"/>
              <w:rPr>
                <w:color w:val="000000"/>
              </w:rPr>
            </w:pPr>
          </w:p>
        </w:tc>
      </w:tr>
      <w:tr w:rsidR="00D83E33" w14:paraId="46DB4AFA" w14:textId="77777777" w:rsidTr="001B330E">
        <w:tc>
          <w:tcPr>
            <w:tcW w:w="3776" w:type="dxa"/>
            <w:shd w:val="clear" w:color="auto" w:fill="auto"/>
            <w:vAlign w:val="bottom"/>
          </w:tcPr>
          <w:p w14:paraId="734F89A0" w14:textId="77777777" w:rsidR="00D83E33" w:rsidRDefault="00BC4072">
            <w:pPr>
              <w:widowControl w:val="0"/>
              <w:pBdr>
                <w:top w:val="nil"/>
                <w:left w:val="nil"/>
                <w:bottom w:val="nil"/>
                <w:right w:val="nil"/>
                <w:between w:val="nil"/>
              </w:pBdr>
              <w:ind w:left="113" w:hanging="113"/>
              <w:rPr>
                <w:color w:val="000000"/>
              </w:rPr>
            </w:pPr>
            <w:r>
              <w:rPr>
                <w:color w:val="000000"/>
              </w:rPr>
              <w:t>- Excellent</w:t>
            </w:r>
          </w:p>
          <w:p w14:paraId="4D5FB643" w14:textId="77777777" w:rsidR="00D83E33" w:rsidRDefault="00BC4072">
            <w:pPr>
              <w:widowControl w:val="0"/>
              <w:pBdr>
                <w:top w:val="nil"/>
                <w:left w:val="nil"/>
                <w:bottom w:val="nil"/>
                <w:right w:val="nil"/>
                <w:between w:val="nil"/>
              </w:pBdr>
              <w:ind w:left="113" w:hanging="113"/>
              <w:rPr>
                <w:color w:val="000000"/>
              </w:rPr>
            </w:pPr>
            <w:r>
              <w:rPr>
                <w:color w:val="000000"/>
              </w:rPr>
              <w:t>- Good</w:t>
            </w:r>
          </w:p>
        </w:tc>
        <w:tc>
          <w:tcPr>
            <w:tcW w:w="1161" w:type="dxa"/>
            <w:vAlign w:val="bottom"/>
          </w:tcPr>
          <w:p w14:paraId="6BDFFAFC"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0AAC7CCD"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163C83A4"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A92E2C7"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012A89C" w14:textId="77777777" w:rsidR="00D83E33" w:rsidRDefault="00D83E33">
            <w:pPr>
              <w:widowControl w:val="0"/>
              <w:pBdr>
                <w:top w:val="nil"/>
                <w:left w:val="nil"/>
                <w:bottom w:val="nil"/>
                <w:right w:val="nil"/>
                <w:between w:val="nil"/>
              </w:pBdr>
              <w:jc w:val="right"/>
              <w:rPr>
                <w:color w:val="000000"/>
              </w:rPr>
            </w:pPr>
          </w:p>
        </w:tc>
      </w:tr>
      <w:tr w:rsidR="00D83E33" w14:paraId="31E14356" w14:textId="77777777" w:rsidTr="001B330E">
        <w:tc>
          <w:tcPr>
            <w:tcW w:w="3776" w:type="dxa"/>
            <w:shd w:val="clear" w:color="auto" w:fill="auto"/>
            <w:vAlign w:val="bottom"/>
          </w:tcPr>
          <w:p w14:paraId="65D83EA5" w14:textId="77777777" w:rsidR="00D83E33" w:rsidRDefault="00BC4072">
            <w:pPr>
              <w:widowControl w:val="0"/>
              <w:pBdr>
                <w:top w:val="nil"/>
                <w:left w:val="nil"/>
                <w:bottom w:val="nil"/>
                <w:right w:val="nil"/>
                <w:between w:val="nil"/>
              </w:pBdr>
              <w:ind w:left="113" w:hanging="113"/>
              <w:rPr>
                <w:color w:val="000000"/>
              </w:rPr>
            </w:pPr>
            <w:r>
              <w:rPr>
                <w:color w:val="000000"/>
              </w:rPr>
              <w:t>- Satisfactory</w:t>
            </w:r>
          </w:p>
        </w:tc>
        <w:tc>
          <w:tcPr>
            <w:tcW w:w="1161" w:type="dxa"/>
            <w:vAlign w:val="bottom"/>
          </w:tcPr>
          <w:p w14:paraId="33E83A60"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6F14471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77F76157"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85E44B5"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37EC892" w14:textId="77777777" w:rsidR="00D83E33" w:rsidRDefault="00D83E33">
            <w:pPr>
              <w:widowControl w:val="0"/>
              <w:pBdr>
                <w:top w:val="nil"/>
                <w:left w:val="nil"/>
                <w:bottom w:val="nil"/>
                <w:right w:val="nil"/>
                <w:between w:val="nil"/>
              </w:pBdr>
              <w:jc w:val="right"/>
              <w:rPr>
                <w:color w:val="000000"/>
              </w:rPr>
            </w:pPr>
          </w:p>
        </w:tc>
      </w:tr>
      <w:tr w:rsidR="00D83E33" w14:paraId="07A9583D" w14:textId="77777777" w:rsidTr="001B330E">
        <w:tc>
          <w:tcPr>
            <w:tcW w:w="3776" w:type="dxa"/>
            <w:shd w:val="clear" w:color="auto" w:fill="auto"/>
            <w:vAlign w:val="bottom"/>
          </w:tcPr>
          <w:p w14:paraId="29E0F9DC" w14:textId="77777777" w:rsidR="00D83E33" w:rsidRDefault="00BC4072">
            <w:pPr>
              <w:widowControl w:val="0"/>
              <w:pBdr>
                <w:top w:val="nil"/>
                <w:left w:val="nil"/>
                <w:bottom w:val="nil"/>
                <w:right w:val="nil"/>
                <w:between w:val="nil"/>
              </w:pBdr>
              <w:ind w:left="113" w:hanging="113"/>
              <w:rPr>
                <w:color w:val="000000"/>
              </w:rPr>
            </w:pPr>
            <w:r>
              <w:rPr>
                <w:color w:val="000000"/>
              </w:rPr>
              <w:t>- Special monitoring</w:t>
            </w:r>
          </w:p>
        </w:tc>
        <w:tc>
          <w:tcPr>
            <w:tcW w:w="1161" w:type="dxa"/>
            <w:vAlign w:val="bottom"/>
          </w:tcPr>
          <w:p w14:paraId="36DE2891"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03C70CA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63C610C"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5563B3B1"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CF17F30" w14:textId="77777777" w:rsidR="00D83E33" w:rsidRDefault="00D83E33">
            <w:pPr>
              <w:widowControl w:val="0"/>
              <w:pBdr>
                <w:top w:val="nil"/>
                <w:left w:val="nil"/>
                <w:bottom w:val="nil"/>
                <w:right w:val="nil"/>
                <w:between w:val="nil"/>
              </w:pBdr>
              <w:jc w:val="right"/>
              <w:rPr>
                <w:color w:val="000000"/>
              </w:rPr>
            </w:pPr>
          </w:p>
        </w:tc>
      </w:tr>
      <w:tr w:rsidR="00D83E33" w14:paraId="5FF7E752" w14:textId="77777777" w:rsidTr="001B330E">
        <w:tc>
          <w:tcPr>
            <w:tcW w:w="3776" w:type="dxa"/>
            <w:shd w:val="clear" w:color="auto" w:fill="auto"/>
            <w:vAlign w:val="bottom"/>
          </w:tcPr>
          <w:p w14:paraId="06AAE31F" w14:textId="77777777" w:rsidR="00D83E33" w:rsidRDefault="00BC4072">
            <w:pPr>
              <w:widowControl w:val="0"/>
              <w:pBdr>
                <w:top w:val="nil"/>
                <w:left w:val="nil"/>
                <w:bottom w:val="nil"/>
                <w:right w:val="nil"/>
                <w:between w:val="nil"/>
              </w:pBdr>
              <w:ind w:left="113" w:hanging="113"/>
              <w:rPr>
                <w:color w:val="000000"/>
              </w:rPr>
            </w:pPr>
            <w:r>
              <w:rPr>
                <w:color w:val="000000"/>
              </w:rPr>
              <w:t>- Default</w:t>
            </w:r>
          </w:p>
        </w:tc>
        <w:tc>
          <w:tcPr>
            <w:tcW w:w="1161" w:type="dxa"/>
            <w:vAlign w:val="bottom"/>
          </w:tcPr>
          <w:p w14:paraId="64D7D043"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465D766D"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A95168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148D23B7"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59FD696" w14:textId="77777777" w:rsidR="00D83E33" w:rsidRDefault="00D83E33">
            <w:pPr>
              <w:widowControl w:val="0"/>
              <w:pBdr>
                <w:top w:val="nil"/>
                <w:left w:val="nil"/>
                <w:bottom w:val="nil"/>
                <w:right w:val="nil"/>
                <w:between w:val="nil"/>
              </w:pBdr>
              <w:jc w:val="right"/>
              <w:rPr>
                <w:color w:val="000000"/>
              </w:rPr>
            </w:pPr>
          </w:p>
        </w:tc>
      </w:tr>
      <w:tr w:rsidR="00D83E33" w14:paraId="414C2F84" w14:textId="77777777" w:rsidTr="001B330E">
        <w:tc>
          <w:tcPr>
            <w:tcW w:w="3776" w:type="dxa"/>
            <w:tcBorders>
              <w:bottom w:val="single" w:sz="4" w:space="0" w:color="000000"/>
            </w:tcBorders>
            <w:shd w:val="clear" w:color="auto" w:fill="auto"/>
            <w:vAlign w:val="bottom"/>
          </w:tcPr>
          <w:p w14:paraId="447222C9" w14:textId="77777777" w:rsidR="00D83E33" w:rsidRDefault="00D83E33">
            <w:pPr>
              <w:widowControl w:val="0"/>
              <w:pBdr>
                <w:top w:val="nil"/>
                <w:left w:val="nil"/>
                <w:bottom w:val="nil"/>
                <w:right w:val="nil"/>
                <w:between w:val="nil"/>
              </w:pBdr>
              <w:ind w:left="113" w:hanging="113"/>
              <w:rPr>
                <w:color w:val="000000"/>
              </w:rPr>
            </w:pPr>
          </w:p>
        </w:tc>
        <w:tc>
          <w:tcPr>
            <w:tcW w:w="1161" w:type="dxa"/>
            <w:tcBorders>
              <w:bottom w:val="single" w:sz="4" w:space="0" w:color="000000"/>
            </w:tcBorders>
            <w:vAlign w:val="bottom"/>
          </w:tcPr>
          <w:p w14:paraId="69AD455F"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vAlign w:val="bottom"/>
          </w:tcPr>
          <w:p w14:paraId="374B2AE0"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59B8934A"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18F75567"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639409E3" w14:textId="77777777" w:rsidR="00D83E33" w:rsidRDefault="00D83E33">
            <w:pPr>
              <w:widowControl w:val="0"/>
              <w:pBdr>
                <w:top w:val="nil"/>
                <w:left w:val="nil"/>
                <w:bottom w:val="nil"/>
                <w:right w:val="nil"/>
                <w:between w:val="nil"/>
              </w:pBdr>
              <w:jc w:val="right"/>
              <w:rPr>
                <w:color w:val="000000"/>
              </w:rPr>
            </w:pPr>
          </w:p>
        </w:tc>
      </w:tr>
      <w:tr w:rsidR="00D83E33" w14:paraId="009C130E" w14:textId="77777777" w:rsidTr="001B330E">
        <w:tc>
          <w:tcPr>
            <w:tcW w:w="3776" w:type="dxa"/>
            <w:tcBorders>
              <w:top w:val="single" w:sz="4" w:space="0" w:color="000000"/>
            </w:tcBorders>
            <w:shd w:val="clear" w:color="auto" w:fill="auto"/>
            <w:vAlign w:val="bottom"/>
          </w:tcPr>
          <w:p w14:paraId="22C7C3EE"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64B4474B"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731FED2C"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2ADAA487"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20E6861E"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46B3F3C8" w14:textId="77777777" w:rsidR="00D83E33" w:rsidRDefault="00D83E33">
            <w:pPr>
              <w:widowControl w:val="0"/>
              <w:pBdr>
                <w:top w:val="nil"/>
                <w:left w:val="nil"/>
                <w:bottom w:val="nil"/>
                <w:right w:val="nil"/>
                <w:between w:val="nil"/>
              </w:pBdr>
              <w:jc w:val="right"/>
              <w:rPr>
                <w:color w:val="000000"/>
              </w:rPr>
            </w:pPr>
          </w:p>
        </w:tc>
      </w:tr>
      <w:tr w:rsidR="00D83E33" w14:paraId="753AC4A1" w14:textId="77777777" w:rsidTr="001B330E">
        <w:tc>
          <w:tcPr>
            <w:tcW w:w="3776" w:type="dxa"/>
            <w:shd w:val="clear" w:color="auto" w:fill="auto"/>
            <w:vAlign w:val="bottom"/>
          </w:tcPr>
          <w:p w14:paraId="7E93B9ED" w14:textId="77777777" w:rsidR="00D83E33" w:rsidRDefault="00BC4072">
            <w:pPr>
              <w:widowControl w:val="0"/>
              <w:pBdr>
                <w:top w:val="nil"/>
                <w:left w:val="nil"/>
                <w:bottom w:val="nil"/>
                <w:right w:val="nil"/>
                <w:between w:val="nil"/>
              </w:pBdr>
              <w:ind w:left="113" w:hanging="113"/>
              <w:rPr>
                <w:b/>
                <w:color w:val="000000"/>
              </w:rPr>
            </w:pPr>
            <w:r>
              <w:rPr>
                <w:b/>
                <w:color w:val="000000"/>
              </w:rPr>
              <w:t>Gross carrying amount</w:t>
            </w:r>
          </w:p>
        </w:tc>
        <w:tc>
          <w:tcPr>
            <w:tcW w:w="1161" w:type="dxa"/>
            <w:vAlign w:val="bottom"/>
          </w:tcPr>
          <w:p w14:paraId="0450C1FF"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292F0D42"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0D1C6A9B" w14:textId="77777777" w:rsidR="00D83E33" w:rsidRDefault="00D83E33" w:rsidP="001B330E">
            <w:pPr>
              <w:widowControl w:val="0"/>
              <w:pBdr>
                <w:top w:val="nil"/>
                <w:left w:val="nil"/>
                <w:bottom w:val="nil"/>
                <w:right w:val="nil"/>
                <w:between w:val="nil"/>
              </w:pBdr>
              <w:jc w:val="right"/>
              <w:rPr>
                <w:color w:val="000000"/>
              </w:rPr>
            </w:pPr>
          </w:p>
        </w:tc>
        <w:tc>
          <w:tcPr>
            <w:tcW w:w="1161" w:type="dxa"/>
            <w:shd w:val="clear" w:color="auto" w:fill="auto"/>
            <w:vAlign w:val="bottom"/>
          </w:tcPr>
          <w:p w14:paraId="163276AE"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8FFB7CC" w14:textId="77777777" w:rsidR="00D83E33" w:rsidRDefault="00D83E33">
            <w:pPr>
              <w:widowControl w:val="0"/>
              <w:pBdr>
                <w:top w:val="nil"/>
                <w:left w:val="nil"/>
                <w:bottom w:val="nil"/>
                <w:right w:val="nil"/>
                <w:between w:val="nil"/>
              </w:pBdr>
              <w:jc w:val="right"/>
              <w:rPr>
                <w:color w:val="000000"/>
              </w:rPr>
            </w:pPr>
          </w:p>
        </w:tc>
      </w:tr>
      <w:tr w:rsidR="00D83E33" w14:paraId="2DC52773" w14:textId="77777777" w:rsidTr="001B330E">
        <w:tc>
          <w:tcPr>
            <w:tcW w:w="3776" w:type="dxa"/>
            <w:tcBorders>
              <w:bottom w:val="single" w:sz="4" w:space="0" w:color="000000"/>
            </w:tcBorders>
            <w:shd w:val="clear" w:color="auto" w:fill="auto"/>
            <w:vAlign w:val="bottom"/>
          </w:tcPr>
          <w:p w14:paraId="6A96452E" w14:textId="77777777" w:rsidR="00D83E33" w:rsidRDefault="00D83E33">
            <w:pPr>
              <w:widowControl w:val="0"/>
              <w:pBdr>
                <w:top w:val="nil"/>
                <w:left w:val="nil"/>
                <w:bottom w:val="nil"/>
                <w:right w:val="nil"/>
                <w:between w:val="nil"/>
              </w:pBdr>
              <w:ind w:left="113" w:hanging="113"/>
              <w:rPr>
                <w:color w:val="000000"/>
              </w:rPr>
            </w:pPr>
          </w:p>
        </w:tc>
        <w:tc>
          <w:tcPr>
            <w:tcW w:w="1161" w:type="dxa"/>
            <w:tcBorders>
              <w:bottom w:val="single" w:sz="4" w:space="0" w:color="000000"/>
            </w:tcBorders>
            <w:vAlign w:val="bottom"/>
          </w:tcPr>
          <w:p w14:paraId="21E8D6BF"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vAlign w:val="bottom"/>
          </w:tcPr>
          <w:p w14:paraId="7C83197A"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4C755116"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4BB484E5"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675B1F1A" w14:textId="77777777" w:rsidR="00D83E33" w:rsidRDefault="00D83E33">
            <w:pPr>
              <w:widowControl w:val="0"/>
              <w:pBdr>
                <w:top w:val="nil"/>
                <w:left w:val="nil"/>
                <w:bottom w:val="nil"/>
                <w:right w:val="nil"/>
                <w:between w:val="nil"/>
              </w:pBdr>
              <w:jc w:val="right"/>
              <w:rPr>
                <w:color w:val="000000"/>
              </w:rPr>
            </w:pPr>
          </w:p>
        </w:tc>
      </w:tr>
      <w:tr w:rsidR="00D83E33" w14:paraId="6FBEC20E" w14:textId="77777777" w:rsidTr="001B330E">
        <w:tc>
          <w:tcPr>
            <w:tcW w:w="3776" w:type="dxa"/>
            <w:tcBorders>
              <w:top w:val="single" w:sz="4" w:space="0" w:color="000000"/>
            </w:tcBorders>
            <w:shd w:val="clear" w:color="auto" w:fill="auto"/>
            <w:vAlign w:val="bottom"/>
          </w:tcPr>
          <w:p w14:paraId="7F873C0B"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021766F7"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56D5B3AC"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5F5AB230"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3572D113"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shd w:val="clear" w:color="auto" w:fill="auto"/>
            <w:vAlign w:val="bottom"/>
          </w:tcPr>
          <w:p w14:paraId="10CBA67D" w14:textId="77777777" w:rsidR="00D83E33" w:rsidRDefault="00D83E33">
            <w:pPr>
              <w:widowControl w:val="0"/>
              <w:pBdr>
                <w:top w:val="nil"/>
                <w:left w:val="nil"/>
                <w:bottom w:val="nil"/>
                <w:right w:val="nil"/>
                <w:between w:val="nil"/>
              </w:pBdr>
              <w:jc w:val="right"/>
              <w:rPr>
                <w:color w:val="000000"/>
              </w:rPr>
            </w:pPr>
          </w:p>
        </w:tc>
      </w:tr>
      <w:tr w:rsidR="00D83E33" w14:paraId="3798381C" w14:textId="77777777" w:rsidTr="001B330E">
        <w:tc>
          <w:tcPr>
            <w:tcW w:w="3776" w:type="dxa"/>
            <w:shd w:val="clear" w:color="auto" w:fill="auto"/>
            <w:vAlign w:val="bottom"/>
          </w:tcPr>
          <w:p w14:paraId="04277938" w14:textId="77777777" w:rsidR="00D83E33" w:rsidRDefault="00BC4072">
            <w:pPr>
              <w:widowControl w:val="0"/>
              <w:pBdr>
                <w:top w:val="nil"/>
                <w:left w:val="nil"/>
                <w:bottom w:val="nil"/>
                <w:right w:val="nil"/>
                <w:between w:val="nil"/>
              </w:pBdr>
              <w:ind w:left="113" w:hanging="113"/>
              <w:rPr>
                <w:color w:val="000000"/>
              </w:rPr>
            </w:pPr>
            <w:r>
              <w:rPr>
                <w:color w:val="000000"/>
              </w:rPr>
              <w:t>Credit loss allowance</w:t>
            </w:r>
          </w:p>
        </w:tc>
        <w:tc>
          <w:tcPr>
            <w:tcW w:w="1161" w:type="dxa"/>
            <w:vAlign w:val="bottom"/>
          </w:tcPr>
          <w:p w14:paraId="7961FCA2" w14:textId="77777777" w:rsidR="00D83E33" w:rsidRDefault="00D83E33" w:rsidP="001B330E">
            <w:pPr>
              <w:widowControl w:val="0"/>
              <w:pBdr>
                <w:top w:val="nil"/>
                <w:left w:val="nil"/>
                <w:bottom w:val="nil"/>
                <w:right w:val="nil"/>
                <w:between w:val="nil"/>
              </w:pBdr>
              <w:jc w:val="right"/>
              <w:rPr>
                <w:color w:val="000000"/>
              </w:rPr>
            </w:pPr>
          </w:p>
        </w:tc>
        <w:tc>
          <w:tcPr>
            <w:tcW w:w="1161" w:type="dxa"/>
            <w:vAlign w:val="bottom"/>
          </w:tcPr>
          <w:p w14:paraId="3F25C1E5"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68C4F86"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6FD39FA5" w14:textId="77777777" w:rsidR="00D83E33" w:rsidRDefault="00D83E33">
            <w:pPr>
              <w:widowControl w:val="0"/>
              <w:pBdr>
                <w:top w:val="nil"/>
                <w:left w:val="nil"/>
                <w:bottom w:val="nil"/>
                <w:right w:val="nil"/>
                <w:between w:val="nil"/>
              </w:pBdr>
              <w:jc w:val="right"/>
              <w:rPr>
                <w:color w:val="000000"/>
              </w:rPr>
            </w:pPr>
          </w:p>
        </w:tc>
        <w:tc>
          <w:tcPr>
            <w:tcW w:w="1161" w:type="dxa"/>
            <w:shd w:val="clear" w:color="auto" w:fill="auto"/>
            <w:vAlign w:val="bottom"/>
          </w:tcPr>
          <w:p w14:paraId="24A06039" w14:textId="77777777" w:rsidR="00D83E33" w:rsidRDefault="00D83E33">
            <w:pPr>
              <w:widowControl w:val="0"/>
              <w:pBdr>
                <w:top w:val="nil"/>
                <w:left w:val="nil"/>
                <w:bottom w:val="nil"/>
                <w:right w:val="nil"/>
                <w:between w:val="nil"/>
              </w:pBdr>
              <w:jc w:val="right"/>
              <w:rPr>
                <w:color w:val="000000"/>
              </w:rPr>
            </w:pPr>
          </w:p>
        </w:tc>
      </w:tr>
      <w:tr w:rsidR="00D83E33" w14:paraId="6C6ADFA7" w14:textId="77777777" w:rsidTr="001B330E">
        <w:tc>
          <w:tcPr>
            <w:tcW w:w="3776" w:type="dxa"/>
            <w:tcBorders>
              <w:bottom w:val="single" w:sz="4" w:space="0" w:color="000000"/>
            </w:tcBorders>
            <w:shd w:val="clear" w:color="auto" w:fill="auto"/>
            <w:vAlign w:val="bottom"/>
          </w:tcPr>
          <w:p w14:paraId="65AD55FF" w14:textId="77777777" w:rsidR="00D83E33" w:rsidRDefault="00D83E33">
            <w:pPr>
              <w:widowControl w:val="0"/>
              <w:pBdr>
                <w:top w:val="nil"/>
                <w:left w:val="nil"/>
                <w:bottom w:val="nil"/>
                <w:right w:val="nil"/>
                <w:between w:val="nil"/>
              </w:pBdr>
              <w:ind w:left="113" w:hanging="113"/>
              <w:rPr>
                <w:color w:val="000000"/>
              </w:rPr>
            </w:pPr>
          </w:p>
        </w:tc>
        <w:tc>
          <w:tcPr>
            <w:tcW w:w="1161" w:type="dxa"/>
            <w:tcBorders>
              <w:bottom w:val="single" w:sz="4" w:space="0" w:color="000000"/>
            </w:tcBorders>
            <w:vAlign w:val="bottom"/>
          </w:tcPr>
          <w:p w14:paraId="45C910F2" w14:textId="77777777" w:rsidR="00D83E33" w:rsidRDefault="00D83E33" w:rsidP="001B330E">
            <w:pPr>
              <w:widowControl w:val="0"/>
              <w:pBdr>
                <w:top w:val="nil"/>
                <w:left w:val="nil"/>
                <w:bottom w:val="nil"/>
                <w:right w:val="nil"/>
                <w:between w:val="nil"/>
              </w:pBdr>
              <w:jc w:val="right"/>
              <w:rPr>
                <w:color w:val="000000"/>
              </w:rPr>
            </w:pPr>
          </w:p>
        </w:tc>
        <w:tc>
          <w:tcPr>
            <w:tcW w:w="1161" w:type="dxa"/>
            <w:tcBorders>
              <w:bottom w:val="single" w:sz="4" w:space="0" w:color="000000"/>
            </w:tcBorders>
            <w:vAlign w:val="bottom"/>
          </w:tcPr>
          <w:p w14:paraId="4D9BF0AD"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726CF1BD"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5882D825"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4" w:space="0" w:color="000000"/>
            </w:tcBorders>
            <w:shd w:val="clear" w:color="auto" w:fill="auto"/>
            <w:vAlign w:val="bottom"/>
          </w:tcPr>
          <w:p w14:paraId="2EAAE047" w14:textId="77777777" w:rsidR="00D83E33" w:rsidRDefault="00D83E33">
            <w:pPr>
              <w:widowControl w:val="0"/>
              <w:pBdr>
                <w:top w:val="nil"/>
                <w:left w:val="nil"/>
                <w:bottom w:val="nil"/>
                <w:right w:val="nil"/>
                <w:between w:val="nil"/>
              </w:pBdr>
              <w:jc w:val="right"/>
              <w:rPr>
                <w:color w:val="000000"/>
              </w:rPr>
            </w:pPr>
          </w:p>
        </w:tc>
      </w:tr>
      <w:tr w:rsidR="00D83E33" w14:paraId="6D9AB5D4" w14:textId="77777777" w:rsidTr="001B330E">
        <w:tc>
          <w:tcPr>
            <w:tcW w:w="3776" w:type="dxa"/>
            <w:tcBorders>
              <w:top w:val="single" w:sz="4" w:space="0" w:color="000000"/>
            </w:tcBorders>
            <w:vAlign w:val="bottom"/>
          </w:tcPr>
          <w:p w14:paraId="5B12FE08" w14:textId="77777777" w:rsidR="00D83E33" w:rsidRDefault="00D83E33">
            <w:pPr>
              <w:widowControl w:val="0"/>
              <w:pBdr>
                <w:top w:val="nil"/>
                <w:left w:val="nil"/>
                <w:bottom w:val="nil"/>
                <w:right w:val="nil"/>
                <w:between w:val="nil"/>
              </w:pBdr>
              <w:ind w:left="113" w:hanging="113"/>
              <w:rPr>
                <w:color w:val="000000"/>
              </w:rPr>
            </w:pPr>
          </w:p>
        </w:tc>
        <w:tc>
          <w:tcPr>
            <w:tcW w:w="1161" w:type="dxa"/>
            <w:tcBorders>
              <w:top w:val="single" w:sz="4" w:space="0" w:color="000000"/>
            </w:tcBorders>
            <w:vAlign w:val="bottom"/>
          </w:tcPr>
          <w:p w14:paraId="02A85632"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0EFF751D"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793C8ECF"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233F91AA" w14:textId="77777777" w:rsidR="00D83E33" w:rsidRDefault="00D83E33">
            <w:pPr>
              <w:widowControl w:val="0"/>
              <w:pBdr>
                <w:top w:val="nil"/>
                <w:left w:val="nil"/>
                <w:bottom w:val="nil"/>
                <w:right w:val="nil"/>
                <w:between w:val="nil"/>
              </w:pBdr>
              <w:jc w:val="right"/>
              <w:rPr>
                <w:color w:val="000000"/>
              </w:rPr>
            </w:pPr>
          </w:p>
        </w:tc>
        <w:tc>
          <w:tcPr>
            <w:tcW w:w="1161" w:type="dxa"/>
            <w:tcBorders>
              <w:top w:val="single" w:sz="4" w:space="0" w:color="000000"/>
            </w:tcBorders>
            <w:vAlign w:val="bottom"/>
          </w:tcPr>
          <w:p w14:paraId="58C3E0FA" w14:textId="77777777" w:rsidR="00D83E33" w:rsidRDefault="00D83E33">
            <w:pPr>
              <w:widowControl w:val="0"/>
              <w:pBdr>
                <w:top w:val="nil"/>
                <w:left w:val="nil"/>
                <w:bottom w:val="nil"/>
                <w:right w:val="nil"/>
                <w:between w:val="nil"/>
              </w:pBdr>
              <w:jc w:val="right"/>
              <w:rPr>
                <w:color w:val="000000"/>
              </w:rPr>
            </w:pPr>
          </w:p>
        </w:tc>
      </w:tr>
      <w:tr w:rsidR="00D83E33" w14:paraId="03DD515B" w14:textId="77777777" w:rsidTr="001B330E">
        <w:tc>
          <w:tcPr>
            <w:tcW w:w="3776" w:type="dxa"/>
            <w:vAlign w:val="bottom"/>
          </w:tcPr>
          <w:p w14:paraId="633E6C24" w14:textId="77777777" w:rsidR="00D83E33" w:rsidRDefault="00BC4072">
            <w:pPr>
              <w:widowControl w:val="0"/>
              <w:pBdr>
                <w:top w:val="nil"/>
                <w:left w:val="nil"/>
                <w:bottom w:val="nil"/>
                <w:right w:val="nil"/>
                <w:between w:val="nil"/>
              </w:pBdr>
              <w:ind w:left="113" w:hanging="113"/>
              <w:rPr>
                <w:b/>
                <w:color w:val="000000"/>
              </w:rPr>
            </w:pPr>
            <w:r>
              <w:rPr>
                <w:b/>
                <w:color w:val="000000"/>
              </w:rPr>
              <w:t>Carrying amount</w:t>
            </w:r>
          </w:p>
        </w:tc>
        <w:tc>
          <w:tcPr>
            <w:tcW w:w="1161" w:type="dxa"/>
            <w:vAlign w:val="bottom"/>
          </w:tcPr>
          <w:p w14:paraId="6CC79118"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3F1634C3"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51F2FE2C"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720DB5F3" w14:textId="77777777" w:rsidR="00D83E33" w:rsidRDefault="00D83E33">
            <w:pPr>
              <w:widowControl w:val="0"/>
              <w:pBdr>
                <w:top w:val="nil"/>
                <w:left w:val="nil"/>
                <w:bottom w:val="nil"/>
                <w:right w:val="nil"/>
                <w:between w:val="nil"/>
              </w:pBdr>
              <w:jc w:val="right"/>
              <w:rPr>
                <w:color w:val="000000"/>
              </w:rPr>
            </w:pPr>
          </w:p>
        </w:tc>
        <w:tc>
          <w:tcPr>
            <w:tcW w:w="1161" w:type="dxa"/>
            <w:vAlign w:val="bottom"/>
          </w:tcPr>
          <w:p w14:paraId="130A0E8F" w14:textId="77777777" w:rsidR="00D83E33" w:rsidRDefault="00D83E33">
            <w:pPr>
              <w:widowControl w:val="0"/>
              <w:pBdr>
                <w:top w:val="nil"/>
                <w:left w:val="nil"/>
                <w:bottom w:val="nil"/>
                <w:right w:val="nil"/>
                <w:between w:val="nil"/>
              </w:pBdr>
              <w:jc w:val="right"/>
              <w:rPr>
                <w:color w:val="000000"/>
              </w:rPr>
            </w:pPr>
          </w:p>
        </w:tc>
      </w:tr>
      <w:tr w:rsidR="00D83E33" w14:paraId="7C267DA1" w14:textId="77777777" w:rsidTr="001B330E">
        <w:tc>
          <w:tcPr>
            <w:tcW w:w="3776" w:type="dxa"/>
            <w:tcBorders>
              <w:bottom w:val="single" w:sz="12" w:space="0" w:color="000000"/>
            </w:tcBorders>
            <w:vAlign w:val="bottom"/>
          </w:tcPr>
          <w:p w14:paraId="5C86B585" w14:textId="77777777" w:rsidR="00D83E33" w:rsidRDefault="00D83E33">
            <w:pPr>
              <w:widowControl w:val="0"/>
              <w:pBdr>
                <w:top w:val="nil"/>
                <w:left w:val="nil"/>
                <w:bottom w:val="nil"/>
                <w:right w:val="nil"/>
                <w:between w:val="nil"/>
              </w:pBdr>
              <w:ind w:left="113" w:hanging="113"/>
              <w:rPr>
                <w:b/>
                <w:color w:val="000000"/>
              </w:rPr>
            </w:pPr>
          </w:p>
        </w:tc>
        <w:tc>
          <w:tcPr>
            <w:tcW w:w="1161" w:type="dxa"/>
            <w:tcBorders>
              <w:bottom w:val="single" w:sz="12" w:space="0" w:color="000000"/>
            </w:tcBorders>
            <w:vAlign w:val="bottom"/>
          </w:tcPr>
          <w:p w14:paraId="36EEA8A0"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vAlign w:val="bottom"/>
          </w:tcPr>
          <w:p w14:paraId="7CC7DEE2"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vAlign w:val="bottom"/>
          </w:tcPr>
          <w:p w14:paraId="1ABE7F5C"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vAlign w:val="bottom"/>
          </w:tcPr>
          <w:p w14:paraId="1928BE9F" w14:textId="77777777" w:rsidR="00D83E33" w:rsidRDefault="00D83E33">
            <w:pPr>
              <w:widowControl w:val="0"/>
              <w:pBdr>
                <w:top w:val="nil"/>
                <w:left w:val="nil"/>
                <w:bottom w:val="nil"/>
                <w:right w:val="nil"/>
                <w:between w:val="nil"/>
              </w:pBdr>
              <w:jc w:val="right"/>
              <w:rPr>
                <w:color w:val="000000"/>
              </w:rPr>
            </w:pPr>
          </w:p>
        </w:tc>
        <w:tc>
          <w:tcPr>
            <w:tcW w:w="1161" w:type="dxa"/>
            <w:tcBorders>
              <w:bottom w:val="single" w:sz="12" w:space="0" w:color="000000"/>
            </w:tcBorders>
            <w:vAlign w:val="bottom"/>
          </w:tcPr>
          <w:p w14:paraId="4B259734" w14:textId="77777777" w:rsidR="00D83E33" w:rsidRDefault="00D83E33">
            <w:pPr>
              <w:widowControl w:val="0"/>
              <w:pBdr>
                <w:top w:val="nil"/>
                <w:left w:val="nil"/>
                <w:bottom w:val="nil"/>
                <w:right w:val="nil"/>
                <w:between w:val="nil"/>
              </w:pBdr>
              <w:jc w:val="right"/>
              <w:rPr>
                <w:color w:val="000000"/>
              </w:rPr>
            </w:pPr>
          </w:p>
        </w:tc>
      </w:tr>
    </w:tbl>
    <w:p w14:paraId="0585CC65" w14:textId="1B42D1BA" w:rsidR="00D83E33" w:rsidRDefault="00BC4072" w:rsidP="001B330E">
      <w:pPr>
        <w:pStyle w:val="Continued"/>
      </w:pPr>
      <w:r>
        <w:lastRenderedPageBreak/>
        <w:t>11</w:t>
      </w:r>
      <w:r>
        <w:tab/>
        <w:t>Loans and Advances to Customers (Continued)</w:t>
      </w:r>
    </w:p>
    <w:tbl>
      <w:tblPr>
        <w:tblStyle w:val="afffff4"/>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383F45F5" w14:textId="77777777" w:rsidTr="001B330E">
        <w:trPr>
          <w:trHeight w:val="23"/>
        </w:trPr>
        <w:tc>
          <w:tcPr>
            <w:tcW w:w="1971" w:type="pct"/>
            <w:tcBorders>
              <w:bottom w:val="single" w:sz="4" w:space="0" w:color="000000"/>
            </w:tcBorders>
            <w:shd w:val="clear" w:color="auto" w:fill="auto"/>
            <w:vAlign w:val="bottom"/>
          </w:tcPr>
          <w:p w14:paraId="78FEF8AF" w14:textId="59434928" w:rsidR="00D83E33" w:rsidRPr="00E837F2" w:rsidRDefault="00313B4D">
            <w:pPr>
              <w:widowControl w:val="0"/>
              <w:pBdr>
                <w:top w:val="nil"/>
                <w:left w:val="nil"/>
                <w:bottom w:val="nil"/>
                <w:right w:val="nil"/>
                <w:between w:val="nil"/>
              </w:pBdr>
              <w:ind w:left="113" w:hanging="113"/>
              <w:rPr>
                <w:b/>
                <w:i/>
                <w:color w:val="000000"/>
              </w:rPr>
            </w:pPr>
            <w:r>
              <w:rPr>
                <w:color w:val="000000"/>
              </w:rPr>
              <w:t xml:space="preserve">In thousands of </w:t>
            </w:r>
            <w:r w:rsidR="002649EE">
              <w:rPr>
                <w:color w:val="000000"/>
              </w:rPr>
              <w:t>EUR</w:t>
            </w:r>
          </w:p>
        </w:tc>
        <w:tc>
          <w:tcPr>
            <w:tcW w:w="606" w:type="pct"/>
            <w:tcBorders>
              <w:bottom w:val="single" w:sz="4" w:space="0" w:color="000000"/>
            </w:tcBorders>
          </w:tcPr>
          <w:p w14:paraId="6897420A"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0DCD6C34" w14:textId="77777777" w:rsidR="00D83E33" w:rsidRPr="00E837F2" w:rsidRDefault="00BC4072">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1CBCAFF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0DB6EBCD" w14:textId="77777777" w:rsidR="00D83E33" w:rsidRPr="00E837F2" w:rsidRDefault="00BC4072">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shd w:val="clear" w:color="auto" w:fill="auto"/>
          </w:tcPr>
          <w:p w14:paraId="3D80C7E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1080C341" w14:textId="77777777" w:rsidR="00D83E33" w:rsidRPr="00E837F2" w:rsidRDefault="00BC4072">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shd w:val="clear" w:color="auto" w:fill="auto"/>
          </w:tcPr>
          <w:p w14:paraId="36CF5727" w14:textId="77777777" w:rsidR="00D83E33" w:rsidRPr="00E837F2" w:rsidRDefault="00BC4072">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shd w:val="clear" w:color="auto" w:fill="auto"/>
          </w:tcPr>
          <w:p w14:paraId="4B4F3208" w14:textId="77777777" w:rsidR="00D83E33" w:rsidRPr="00E837F2" w:rsidRDefault="00BC4072">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5D826FCF" w14:textId="77777777" w:rsidTr="001B330E">
        <w:trPr>
          <w:trHeight w:val="23"/>
        </w:trPr>
        <w:tc>
          <w:tcPr>
            <w:tcW w:w="1971" w:type="pct"/>
            <w:tcBorders>
              <w:top w:val="single" w:sz="4" w:space="0" w:color="000000"/>
            </w:tcBorders>
            <w:shd w:val="clear" w:color="auto" w:fill="auto"/>
            <w:vAlign w:val="bottom"/>
          </w:tcPr>
          <w:p w14:paraId="6E6B94CE" w14:textId="77777777" w:rsidR="00D83E33" w:rsidRPr="00E837F2" w:rsidRDefault="00D83E33">
            <w:pPr>
              <w:widowControl w:val="0"/>
              <w:pBdr>
                <w:top w:val="nil"/>
                <w:left w:val="nil"/>
                <w:bottom w:val="nil"/>
                <w:right w:val="nil"/>
                <w:between w:val="nil"/>
              </w:pBdr>
              <w:ind w:left="113" w:hanging="113"/>
              <w:rPr>
                <w:b/>
                <w:i/>
                <w:color w:val="000000"/>
              </w:rPr>
            </w:pPr>
          </w:p>
          <w:p w14:paraId="303883A5"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Loans to SME</w:t>
            </w:r>
          </w:p>
        </w:tc>
        <w:tc>
          <w:tcPr>
            <w:tcW w:w="606" w:type="pct"/>
            <w:tcBorders>
              <w:top w:val="single" w:sz="4" w:space="0" w:color="000000"/>
            </w:tcBorders>
            <w:vAlign w:val="bottom"/>
          </w:tcPr>
          <w:p w14:paraId="031F1E7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BE1A18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9FEF5D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52A074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86533D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8A6BF86" w14:textId="77777777" w:rsidTr="001B330E">
        <w:trPr>
          <w:trHeight w:val="23"/>
        </w:trPr>
        <w:tc>
          <w:tcPr>
            <w:tcW w:w="1971" w:type="pct"/>
            <w:shd w:val="clear" w:color="auto" w:fill="auto"/>
            <w:vAlign w:val="bottom"/>
          </w:tcPr>
          <w:p w14:paraId="700834BC"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05DBF6A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2921CF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6D0CD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924BE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B77A94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3FF1401" w14:textId="77777777" w:rsidTr="001B330E">
        <w:trPr>
          <w:trHeight w:val="23"/>
        </w:trPr>
        <w:tc>
          <w:tcPr>
            <w:tcW w:w="1971" w:type="pct"/>
            <w:shd w:val="clear" w:color="auto" w:fill="auto"/>
            <w:vAlign w:val="bottom"/>
          </w:tcPr>
          <w:p w14:paraId="500E3545"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4C1E7DB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8CACE8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7619EC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714352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48916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974397E" w14:textId="77777777" w:rsidTr="001B330E">
        <w:trPr>
          <w:trHeight w:val="23"/>
        </w:trPr>
        <w:tc>
          <w:tcPr>
            <w:tcW w:w="1971" w:type="pct"/>
            <w:shd w:val="clear" w:color="auto" w:fill="auto"/>
            <w:vAlign w:val="bottom"/>
          </w:tcPr>
          <w:p w14:paraId="5BAF404E"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6D42D74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849FB6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3DE62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B309D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8D1BE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F7949EE" w14:textId="77777777" w:rsidTr="001B330E">
        <w:trPr>
          <w:trHeight w:val="23"/>
        </w:trPr>
        <w:tc>
          <w:tcPr>
            <w:tcW w:w="1971" w:type="pct"/>
            <w:shd w:val="clear" w:color="auto" w:fill="auto"/>
            <w:vAlign w:val="bottom"/>
          </w:tcPr>
          <w:p w14:paraId="2ACE890A"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506C1E8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EDCB97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C538C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1FAC2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1CB5D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0FB58F6" w14:textId="77777777" w:rsidTr="001B330E">
        <w:trPr>
          <w:trHeight w:val="23"/>
        </w:trPr>
        <w:tc>
          <w:tcPr>
            <w:tcW w:w="1971" w:type="pct"/>
            <w:shd w:val="clear" w:color="auto" w:fill="auto"/>
            <w:vAlign w:val="bottom"/>
          </w:tcPr>
          <w:p w14:paraId="1B161238"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38C5B16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333AC1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5CAE0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8C9EE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B7E5E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6756016" w14:textId="77777777" w:rsidTr="001B330E">
        <w:trPr>
          <w:trHeight w:val="23"/>
        </w:trPr>
        <w:tc>
          <w:tcPr>
            <w:tcW w:w="1971" w:type="pct"/>
            <w:shd w:val="clear" w:color="auto" w:fill="auto"/>
            <w:vAlign w:val="bottom"/>
          </w:tcPr>
          <w:p w14:paraId="359095E2"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06D2C1A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E5B6F7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4CF2B1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B5513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8FABEC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683A166" w14:textId="77777777" w:rsidTr="001B330E">
        <w:trPr>
          <w:trHeight w:val="23"/>
        </w:trPr>
        <w:tc>
          <w:tcPr>
            <w:tcW w:w="1971" w:type="pct"/>
            <w:tcBorders>
              <w:bottom w:val="single" w:sz="4" w:space="0" w:color="000000"/>
            </w:tcBorders>
            <w:shd w:val="clear" w:color="auto" w:fill="auto"/>
            <w:vAlign w:val="bottom"/>
          </w:tcPr>
          <w:p w14:paraId="4FF401A2"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5EEF954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83F383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C5D356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ED6A7E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BF5246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B4D532B" w14:textId="77777777" w:rsidTr="001B330E">
        <w:trPr>
          <w:trHeight w:val="23"/>
        </w:trPr>
        <w:tc>
          <w:tcPr>
            <w:tcW w:w="1971" w:type="pct"/>
            <w:tcBorders>
              <w:top w:val="single" w:sz="4" w:space="0" w:color="000000"/>
            </w:tcBorders>
            <w:shd w:val="clear" w:color="auto" w:fill="auto"/>
            <w:vAlign w:val="bottom"/>
          </w:tcPr>
          <w:p w14:paraId="52D38F2F"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928E2B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08DEB0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F7F65D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573605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644DFE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DB257AD" w14:textId="77777777" w:rsidTr="001B330E">
        <w:trPr>
          <w:trHeight w:val="23"/>
        </w:trPr>
        <w:tc>
          <w:tcPr>
            <w:tcW w:w="1971" w:type="pct"/>
            <w:shd w:val="clear" w:color="auto" w:fill="auto"/>
            <w:vAlign w:val="bottom"/>
          </w:tcPr>
          <w:p w14:paraId="307C5457"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2CBC5E8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183417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73B66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2908B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3F83D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111C74E" w14:textId="77777777" w:rsidTr="001B330E">
        <w:trPr>
          <w:trHeight w:val="23"/>
        </w:trPr>
        <w:tc>
          <w:tcPr>
            <w:tcW w:w="1971" w:type="pct"/>
            <w:tcBorders>
              <w:bottom w:val="single" w:sz="4" w:space="0" w:color="000000"/>
            </w:tcBorders>
            <w:shd w:val="clear" w:color="auto" w:fill="auto"/>
            <w:vAlign w:val="bottom"/>
          </w:tcPr>
          <w:p w14:paraId="7DDA6FFF"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400775E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943314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1C55AA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B32F8C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D7DE04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4D65860" w14:textId="77777777" w:rsidTr="001B330E">
        <w:trPr>
          <w:trHeight w:val="23"/>
        </w:trPr>
        <w:tc>
          <w:tcPr>
            <w:tcW w:w="1971" w:type="pct"/>
            <w:tcBorders>
              <w:top w:val="single" w:sz="4" w:space="0" w:color="000000"/>
            </w:tcBorders>
            <w:shd w:val="clear" w:color="auto" w:fill="auto"/>
            <w:vAlign w:val="bottom"/>
          </w:tcPr>
          <w:p w14:paraId="6217C810"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562E7A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E5DC35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E1BB9F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8BB39F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1AA7EF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51B24AA" w14:textId="77777777" w:rsidTr="001B330E">
        <w:trPr>
          <w:trHeight w:val="23"/>
        </w:trPr>
        <w:tc>
          <w:tcPr>
            <w:tcW w:w="1971" w:type="pct"/>
            <w:shd w:val="clear" w:color="auto" w:fill="auto"/>
            <w:vAlign w:val="bottom"/>
          </w:tcPr>
          <w:p w14:paraId="2E0911A7"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2CF6F5A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93B930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85277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47B1E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17F8B9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9EBA929" w14:textId="77777777" w:rsidTr="001B330E">
        <w:trPr>
          <w:trHeight w:val="23"/>
        </w:trPr>
        <w:tc>
          <w:tcPr>
            <w:tcW w:w="1971" w:type="pct"/>
            <w:shd w:val="clear" w:color="auto" w:fill="auto"/>
            <w:vAlign w:val="bottom"/>
          </w:tcPr>
          <w:p w14:paraId="5D5A792B"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72E73BE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2BF1686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7400C4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23716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C2816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445468B" w14:textId="77777777" w:rsidTr="001B330E">
        <w:trPr>
          <w:trHeight w:val="23"/>
        </w:trPr>
        <w:tc>
          <w:tcPr>
            <w:tcW w:w="1971" w:type="pct"/>
            <w:tcBorders>
              <w:top w:val="single" w:sz="4" w:space="0" w:color="000000"/>
            </w:tcBorders>
            <w:shd w:val="clear" w:color="auto" w:fill="auto"/>
            <w:vAlign w:val="bottom"/>
          </w:tcPr>
          <w:p w14:paraId="00C541B8"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A76EFA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FD5DD2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A90DDB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296A9C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8FD30C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38B690" w14:textId="77777777" w:rsidTr="001B330E">
        <w:trPr>
          <w:trHeight w:val="23"/>
        </w:trPr>
        <w:tc>
          <w:tcPr>
            <w:tcW w:w="1971" w:type="pct"/>
            <w:shd w:val="clear" w:color="auto" w:fill="auto"/>
            <w:vAlign w:val="bottom"/>
          </w:tcPr>
          <w:p w14:paraId="60B00CD3"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5CE8DBA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C40AB0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7EE1F5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33E59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FC1ED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BD19EA1" w14:textId="77777777" w:rsidTr="001B330E">
        <w:trPr>
          <w:trHeight w:val="23"/>
        </w:trPr>
        <w:tc>
          <w:tcPr>
            <w:tcW w:w="1971" w:type="pct"/>
            <w:tcBorders>
              <w:bottom w:val="single" w:sz="12" w:space="0" w:color="000000"/>
            </w:tcBorders>
            <w:shd w:val="clear" w:color="auto" w:fill="auto"/>
            <w:vAlign w:val="bottom"/>
          </w:tcPr>
          <w:p w14:paraId="63C08794"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6C1E2DB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5CCD272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56453F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4F71A0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6AE67D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D3CB496" w14:textId="77777777" w:rsidTr="001B330E">
        <w:trPr>
          <w:trHeight w:val="23"/>
        </w:trPr>
        <w:tc>
          <w:tcPr>
            <w:tcW w:w="1971" w:type="pct"/>
            <w:shd w:val="clear" w:color="auto" w:fill="auto"/>
            <w:vAlign w:val="bottom"/>
          </w:tcPr>
          <w:p w14:paraId="63BF814B" w14:textId="77777777" w:rsidR="00D83E33" w:rsidRPr="00E837F2" w:rsidRDefault="00D83E33">
            <w:pPr>
              <w:widowControl w:val="0"/>
              <w:pBdr>
                <w:top w:val="nil"/>
                <w:left w:val="nil"/>
                <w:bottom w:val="nil"/>
                <w:right w:val="nil"/>
                <w:between w:val="nil"/>
              </w:pBdr>
              <w:ind w:left="113" w:hanging="113"/>
              <w:rPr>
                <w:b/>
                <w:i/>
                <w:color w:val="000000"/>
              </w:rPr>
            </w:pPr>
          </w:p>
          <w:p w14:paraId="44D00F5C"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Loans to leasing companies</w:t>
            </w:r>
          </w:p>
        </w:tc>
        <w:tc>
          <w:tcPr>
            <w:tcW w:w="606" w:type="pct"/>
            <w:vAlign w:val="bottom"/>
          </w:tcPr>
          <w:p w14:paraId="7CEA129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AD8005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B9239E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C2A13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AF46D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1482698" w14:textId="77777777" w:rsidTr="001B330E">
        <w:trPr>
          <w:trHeight w:val="23"/>
        </w:trPr>
        <w:tc>
          <w:tcPr>
            <w:tcW w:w="1971" w:type="pct"/>
            <w:shd w:val="clear" w:color="auto" w:fill="auto"/>
            <w:vAlign w:val="bottom"/>
          </w:tcPr>
          <w:p w14:paraId="1CE8D794"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2BA310A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9C1850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18E1D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9BCFF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8603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81F3B3A" w14:textId="77777777" w:rsidTr="001B330E">
        <w:trPr>
          <w:trHeight w:val="23"/>
        </w:trPr>
        <w:tc>
          <w:tcPr>
            <w:tcW w:w="1971" w:type="pct"/>
            <w:shd w:val="clear" w:color="auto" w:fill="auto"/>
            <w:vAlign w:val="bottom"/>
          </w:tcPr>
          <w:p w14:paraId="17FD5CC7"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6DDD03A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2E2E55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84AD7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009CC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8B6E9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EB92D29" w14:textId="77777777" w:rsidTr="001B330E">
        <w:trPr>
          <w:trHeight w:val="23"/>
        </w:trPr>
        <w:tc>
          <w:tcPr>
            <w:tcW w:w="1971" w:type="pct"/>
            <w:shd w:val="clear" w:color="auto" w:fill="auto"/>
            <w:vAlign w:val="bottom"/>
          </w:tcPr>
          <w:p w14:paraId="712FF0C4"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5734811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449532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07EC6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0571E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6EF8B2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59C169F" w14:textId="77777777" w:rsidTr="001B330E">
        <w:trPr>
          <w:trHeight w:val="23"/>
        </w:trPr>
        <w:tc>
          <w:tcPr>
            <w:tcW w:w="1971" w:type="pct"/>
            <w:shd w:val="clear" w:color="auto" w:fill="auto"/>
            <w:vAlign w:val="bottom"/>
          </w:tcPr>
          <w:p w14:paraId="71062BE6"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14CF04A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4F1418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66B6B8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08D63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0EA9F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219EE2C" w14:textId="77777777" w:rsidTr="001B330E">
        <w:trPr>
          <w:trHeight w:val="23"/>
        </w:trPr>
        <w:tc>
          <w:tcPr>
            <w:tcW w:w="1971" w:type="pct"/>
            <w:shd w:val="clear" w:color="auto" w:fill="auto"/>
            <w:vAlign w:val="bottom"/>
          </w:tcPr>
          <w:p w14:paraId="501C7EB8"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7036321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A2C364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2B3C4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B52F2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7DE316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82FFD1C" w14:textId="77777777" w:rsidTr="001B330E">
        <w:trPr>
          <w:trHeight w:val="23"/>
        </w:trPr>
        <w:tc>
          <w:tcPr>
            <w:tcW w:w="1971" w:type="pct"/>
            <w:shd w:val="clear" w:color="auto" w:fill="auto"/>
            <w:vAlign w:val="bottom"/>
          </w:tcPr>
          <w:p w14:paraId="27D2D8D7"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5ED5753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DFD9E6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B2F22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01352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61420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0B5A73E" w14:textId="77777777" w:rsidTr="001B330E">
        <w:trPr>
          <w:trHeight w:val="23"/>
        </w:trPr>
        <w:tc>
          <w:tcPr>
            <w:tcW w:w="1971" w:type="pct"/>
            <w:tcBorders>
              <w:bottom w:val="single" w:sz="4" w:space="0" w:color="000000"/>
            </w:tcBorders>
            <w:shd w:val="clear" w:color="auto" w:fill="auto"/>
            <w:vAlign w:val="bottom"/>
          </w:tcPr>
          <w:p w14:paraId="440DF5D6"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69CE45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BF0B00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B9DCEE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016CC3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5A4DCC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F0D8D37" w14:textId="77777777" w:rsidTr="001B330E">
        <w:trPr>
          <w:trHeight w:val="23"/>
        </w:trPr>
        <w:tc>
          <w:tcPr>
            <w:tcW w:w="1971" w:type="pct"/>
            <w:tcBorders>
              <w:top w:val="single" w:sz="4" w:space="0" w:color="000000"/>
            </w:tcBorders>
            <w:shd w:val="clear" w:color="auto" w:fill="auto"/>
            <w:vAlign w:val="bottom"/>
          </w:tcPr>
          <w:p w14:paraId="73DDAF75"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AA1238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2DBB30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170D37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06E2D1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DC58F0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30867E5" w14:textId="77777777" w:rsidTr="001B330E">
        <w:trPr>
          <w:trHeight w:val="23"/>
        </w:trPr>
        <w:tc>
          <w:tcPr>
            <w:tcW w:w="1971" w:type="pct"/>
            <w:shd w:val="clear" w:color="auto" w:fill="auto"/>
            <w:vAlign w:val="bottom"/>
          </w:tcPr>
          <w:p w14:paraId="15EF1FE5"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11A74E6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A77F12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66B4B4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346C3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27558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F840DCF" w14:textId="77777777" w:rsidTr="001B330E">
        <w:trPr>
          <w:trHeight w:val="23"/>
        </w:trPr>
        <w:tc>
          <w:tcPr>
            <w:tcW w:w="1971" w:type="pct"/>
            <w:tcBorders>
              <w:bottom w:val="single" w:sz="4" w:space="0" w:color="000000"/>
            </w:tcBorders>
            <w:shd w:val="clear" w:color="auto" w:fill="auto"/>
            <w:vAlign w:val="bottom"/>
          </w:tcPr>
          <w:p w14:paraId="148685D9"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7C99E8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CD2E8C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238BDF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5DC4B8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F4A469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8D33301" w14:textId="77777777" w:rsidTr="001B330E">
        <w:trPr>
          <w:trHeight w:val="23"/>
        </w:trPr>
        <w:tc>
          <w:tcPr>
            <w:tcW w:w="1971" w:type="pct"/>
            <w:tcBorders>
              <w:top w:val="single" w:sz="4" w:space="0" w:color="000000"/>
            </w:tcBorders>
            <w:shd w:val="clear" w:color="auto" w:fill="auto"/>
            <w:vAlign w:val="bottom"/>
          </w:tcPr>
          <w:p w14:paraId="0812CC6B"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438CF0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26C300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B7BD55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8B3243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B806C9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32FB771" w14:textId="77777777" w:rsidTr="001B330E">
        <w:trPr>
          <w:trHeight w:val="23"/>
        </w:trPr>
        <w:tc>
          <w:tcPr>
            <w:tcW w:w="1971" w:type="pct"/>
            <w:shd w:val="clear" w:color="auto" w:fill="auto"/>
            <w:vAlign w:val="bottom"/>
          </w:tcPr>
          <w:p w14:paraId="495865C9"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5F45A13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D479D7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F70C52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449659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CABFE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843FE94" w14:textId="77777777" w:rsidTr="001B330E">
        <w:trPr>
          <w:trHeight w:val="23"/>
        </w:trPr>
        <w:tc>
          <w:tcPr>
            <w:tcW w:w="1971" w:type="pct"/>
            <w:shd w:val="clear" w:color="auto" w:fill="auto"/>
            <w:vAlign w:val="bottom"/>
          </w:tcPr>
          <w:p w14:paraId="589D0CF7"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1C07524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FED140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2682B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71CAC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7DDAE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5309D47" w14:textId="77777777" w:rsidTr="001B330E">
        <w:trPr>
          <w:trHeight w:val="23"/>
        </w:trPr>
        <w:tc>
          <w:tcPr>
            <w:tcW w:w="1971" w:type="pct"/>
            <w:tcBorders>
              <w:top w:val="single" w:sz="4" w:space="0" w:color="000000"/>
            </w:tcBorders>
            <w:shd w:val="clear" w:color="auto" w:fill="auto"/>
            <w:vAlign w:val="bottom"/>
          </w:tcPr>
          <w:p w14:paraId="038A36C1"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8634C6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477C1E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15749C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CB66FB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DE7EB0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E22733F" w14:textId="77777777" w:rsidTr="001B330E">
        <w:trPr>
          <w:trHeight w:val="23"/>
        </w:trPr>
        <w:tc>
          <w:tcPr>
            <w:tcW w:w="1971" w:type="pct"/>
            <w:shd w:val="clear" w:color="auto" w:fill="auto"/>
            <w:vAlign w:val="bottom"/>
          </w:tcPr>
          <w:p w14:paraId="050E5A94"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12B5929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AC4A45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E2358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2CB9F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FE7E3F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70B8F2E" w14:textId="77777777" w:rsidTr="001B330E">
        <w:trPr>
          <w:trHeight w:val="23"/>
        </w:trPr>
        <w:tc>
          <w:tcPr>
            <w:tcW w:w="1971" w:type="pct"/>
            <w:tcBorders>
              <w:bottom w:val="single" w:sz="12" w:space="0" w:color="000000"/>
            </w:tcBorders>
            <w:shd w:val="clear" w:color="auto" w:fill="auto"/>
            <w:vAlign w:val="bottom"/>
          </w:tcPr>
          <w:p w14:paraId="1AAC07EA"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54B84F2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DC29A3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DA3D9A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1E2683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5C4B97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C77F2CA" w14:textId="77777777" w:rsidTr="001B330E">
        <w:trPr>
          <w:trHeight w:val="23"/>
        </w:trPr>
        <w:tc>
          <w:tcPr>
            <w:tcW w:w="1971" w:type="pct"/>
            <w:shd w:val="clear" w:color="auto" w:fill="auto"/>
            <w:vAlign w:val="bottom"/>
          </w:tcPr>
          <w:p w14:paraId="61808ABC" w14:textId="77777777" w:rsidR="00D83E33" w:rsidRPr="001B330E" w:rsidRDefault="00D83E33">
            <w:pPr>
              <w:widowControl w:val="0"/>
              <w:pBdr>
                <w:top w:val="nil"/>
                <w:left w:val="nil"/>
                <w:bottom w:val="nil"/>
                <w:right w:val="nil"/>
                <w:between w:val="nil"/>
              </w:pBdr>
              <w:ind w:left="113" w:hanging="113"/>
              <w:rPr>
                <w:b/>
                <w:i/>
                <w:color w:val="000000"/>
                <w:szCs w:val="16"/>
              </w:rPr>
            </w:pPr>
          </w:p>
        </w:tc>
        <w:tc>
          <w:tcPr>
            <w:tcW w:w="606" w:type="pct"/>
            <w:vAlign w:val="bottom"/>
          </w:tcPr>
          <w:p w14:paraId="1B5742E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7DADCA3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0F33925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488134D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1FD43EBF"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4260E1EE" w14:textId="77777777" w:rsidTr="001B330E">
        <w:trPr>
          <w:trHeight w:val="23"/>
        </w:trPr>
        <w:tc>
          <w:tcPr>
            <w:tcW w:w="1971" w:type="pct"/>
            <w:shd w:val="clear" w:color="auto" w:fill="auto"/>
            <w:vAlign w:val="bottom"/>
          </w:tcPr>
          <w:p w14:paraId="10A9FB37"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Reverse sale and repurchase agreements</w:t>
            </w:r>
          </w:p>
        </w:tc>
        <w:tc>
          <w:tcPr>
            <w:tcW w:w="606" w:type="pct"/>
            <w:vAlign w:val="bottom"/>
          </w:tcPr>
          <w:p w14:paraId="6417199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53C861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F05BC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FE733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4977B4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7A2605D" w14:textId="77777777" w:rsidTr="001B330E">
        <w:trPr>
          <w:trHeight w:val="23"/>
        </w:trPr>
        <w:tc>
          <w:tcPr>
            <w:tcW w:w="1971" w:type="pct"/>
            <w:shd w:val="clear" w:color="auto" w:fill="auto"/>
            <w:vAlign w:val="bottom"/>
          </w:tcPr>
          <w:p w14:paraId="19C83577"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30B7CD1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1643509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2F782A1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2FF2AD4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0BEDAA13"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1F437F47" w14:textId="77777777" w:rsidTr="001B330E">
        <w:trPr>
          <w:trHeight w:val="23"/>
        </w:trPr>
        <w:tc>
          <w:tcPr>
            <w:tcW w:w="1971" w:type="pct"/>
            <w:shd w:val="clear" w:color="auto" w:fill="auto"/>
            <w:vAlign w:val="bottom"/>
          </w:tcPr>
          <w:p w14:paraId="6B5791DF"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1983F9C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712BC3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4CC1B5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40E43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80F4F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F56E160" w14:textId="77777777" w:rsidTr="001B330E">
        <w:trPr>
          <w:trHeight w:val="23"/>
        </w:trPr>
        <w:tc>
          <w:tcPr>
            <w:tcW w:w="1971" w:type="pct"/>
            <w:shd w:val="clear" w:color="auto" w:fill="auto"/>
            <w:vAlign w:val="bottom"/>
          </w:tcPr>
          <w:p w14:paraId="7B7699CF"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0FF7A44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A66A21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654C2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287C4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F342AB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07C5ED8" w14:textId="77777777" w:rsidTr="001B330E">
        <w:trPr>
          <w:trHeight w:val="23"/>
        </w:trPr>
        <w:tc>
          <w:tcPr>
            <w:tcW w:w="1971" w:type="pct"/>
            <w:shd w:val="clear" w:color="auto" w:fill="auto"/>
            <w:vAlign w:val="bottom"/>
          </w:tcPr>
          <w:p w14:paraId="73112399"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738F8B0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4D4B14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EA0E93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E20FF8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F808F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3315ACF" w14:textId="77777777" w:rsidTr="001B330E">
        <w:trPr>
          <w:trHeight w:val="23"/>
        </w:trPr>
        <w:tc>
          <w:tcPr>
            <w:tcW w:w="1971" w:type="pct"/>
            <w:shd w:val="clear" w:color="auto" w:fill="auto"/>
            <w:vAlign w:val="bottom"/>
          </w:tcPr>
          <w:p w14:paraId="5E4F5504"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247D5E6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89BA17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8DF20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189C47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41DFB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4060075" w14:textId="77777777" w:rsidTr="001B330E">
        <w:trPr>
          <w:trHeight w:val="23"/>
        </w:trPr>
        <w:tc>
          <w:tcPr>
            <w:tcW w:w="1971" w:type="pct"/>
            <w:shd w:val="clear" w:color="auto" w:fill="auto"/>
            <w:vAlign w:val="bottom"/>
          </w:tcPr>
          <w:p w14:paraId="0775886D"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42FF6D2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C0C3E4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BED97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A9FE6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92850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77F1526" w14:textId="77777777" w:rsidTr="001B330E">
        <w:trPr>
          <w:trHeight w:val="23"/>
        </w:trPr>
        <w:tc>
          <w:tcPr>
            <w:tcW w:w="1971" w:type="pct"/>
            <w:tcBorders>
              <w:bottom w:val="single" w:sz="4" w:space="0" w:color="000000"/>
            </w:tcBorders>
            <w:shd w:val="clear" w:color="auto" w:fill="auto"/>
            <w:vAlign w:val="bottom"/>
          </w:tcPr>
          <w:p w14:paraId="254C7B12"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021A310B"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41D81BC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1AADB42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14E4078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0B012F45"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9C0AECB" w14:textId="77777777" w:rsidTr="001B330E">
        <w:trPr>
          <w:trHeight w:val="23"/>
        </w:trPr>
        <w:tc>
          <w:tcPr>
            <w:tcW w:w="1971" w:type="pct"/>
            <w:tcBorders>
              <w:top w:val="single" w:sz="4" w:space="0" w:color="000000"/>
            </w:tcBorders>
            <w:shd w:val="clear" w:color="auto" w:fill="auto"/>
            <w:vAlign w:val="bottom"/>
          </w:tcPr>
          <w:p w14:paraId="715B3DA6"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54590A4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76EB50A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3C8300B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08BF871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36AD19B9"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101C7579" w14:textId="77777777" w:rsidTr="001B330E">
        <w:trPr>
          <w:trHeight w:val="23"/>
        </w:trPr>
        <w:tc>
          <w:tcPr>
            <w:tcW w:w="1971" w:type="pct"/>
            <w:shd w:val="clear" w:color="auto" w:fill="auto"/>
            <w:vAlign w:val="bottom"/>
          </w:tcPr>
          <w:p w14:paraId="5FFE5A64"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3BDE947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4F2161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460BB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3BDDB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BB4BF5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7C308BB" w14:textId="77777777" w:rsidTr="001B330E">
        <w:trPr>
          <w:trHeight w:val="23"/>
        </w:trPr>
        <w:tc>
          <w:tcPr>
            <w:tcW w:w="1971" w:type="pct"/>
            <w:tcBorders>
              <w:bottom w:val="single" w:sz="4" w:space="0" w:color="000000"/>
            </w:tcBorders>
            <w:shd w:val="clear" w:color="auto" w:fill="auto"/>
            <w:vAlign w:val="bottom"/>
          </w:tcPr>
          <w:p w14:paraId="2ED35DED"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7DC7250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5BE5BA1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1720F81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66DB891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0F270A4E"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36703F7D" w14:textId="77777777" w:rsidTr="001B330E">
        <w:trPr>
          <w:trHeight w:val="23"/>
        </w:trPr>
        <w:tc>
          <w:tcPr>
            <w:tcW w:w="1971" w:type="pct"/>
            <w:tcBorders>
              <w:top w:val="single" w:sz="4" w:space="0" w:color="000000"/>
            </w:tcBorders>
            <w:shd w:val="clear" w:color="auto" w:fill="auto"/>
            <w:vAlign w:val="bottom"/>
          </w:tcPr>
          <w:p w14:paraId="4032E931"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7C28CEEB"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4497109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72638CF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702427C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361749A0"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564A08D0" w14:textId="77777777" w:rsidTr="001B330E">
        <w:trPr>
          <w:trHeight w:val="23"/>
        </w:trPr>
        <w:tc>
          <w:tcPr>
            <w:tcW w:w="1971" w:type="pct"/>
            <w:shd w:val="clear" w:color="auto" w:fill="auto"/>
            <w:vAlign w:val="bottom"/>
          </w:tcPr>
          <w:p w14:paraId="0B407960"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437D1EF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21A6B7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A9A47E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C4D97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9D833D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ED99431" w14:textId="77777777" w:rsidTr="001B330E">
        <w:trPr>
          <w:trHeight w:val="23"/>
        </w:trPr>
        <w:tc>
          <w:tcPr>
            <w:tcW w:w="1971" w:type="pct"/>
            <w:shd w:val="clear" w:color="auto" w:fill="auto"/>
            <w:vAlign w:val="bottom"/>
          </w:tcPr>
          <w:p w14:paraId="7140EC80"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62BDDBA4"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vAlign w:val="bottom"/>
          </w:tcPr>
          <w:p w14:paraId="28A0073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1E4153E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4B3D4C2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099EDEE4"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63824E0" w14:textId="77777777" w:rsidTr="001B330E">
        <w:trPr>
          <w:trHeight w:val="23"/>
        </w:trPr>
        <w:tc>
          <w:tcPr>
            <w:tcW w:w="1971" w:type="pct"/>
            <w:tcBorders>
              <w:top w:val="single" w:sz="4" w:space="0" w:color="000000"/>
            </w:tcBorders>
            <w:shd w:val="clear" w:color="auto" w:fill="auto"/>
            <w:vAlign w:val="bottom"/>
          </w:tcPr>
          <w:p w14:paraId="6C16DA97"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43CCB4F0"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1F462C3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6219EE7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17DE8B4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4F91C4CF"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31FC96ED" w14:textId="77777777" w:rsidTr="001B330E">
        <w:trPr>
          <w:trHeight w:val="23"/>
        </w:trPr>
        <w:tc>
          <w:tcPr>
            <w:tcW w:w="1971" w:type="pct"/>
            <w:shd w:val="clear" w:color="auto" w:fill="auto"/>
            <w:vAlign w:val="bottom"/>
          </w:tcPr>
          <w:p w14:paraId="52EB5986"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29D653B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E55FB0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8D19A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1F20F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41A8F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061ED5E" w14:textId="77777777" w:rsidTr="001B330E">
        <w:trPr>
          <w:trHeight w:val="23"/>
        </w:trPr>
        <w:tc>
          <w:tcPr>
            <w:tcW w:w="1971" w:type="pct"/>
            <w:tcBorders>
              <w:bottom w:val="single" w:sz="12" w:space="0" w:color="000000"/>
            </w:tcBorders>
            <w:shd w:val="clear" w:color="auto" w:fill="auto"/>
            <w:vAlign w:val="bottom"/>
          </w:tcPr>
          <w:p w14:paraId="4236D199"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12" w:space="0" w:color="000000"/>
            </w:tcBorders>
            <w:vAlign w:val="bottom"/>
          </w:tcPr>
          <w:p w14:paraId="4C13A9B5"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2962576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3CBFCB4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24E754B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59A9C11A" w14:textId="77777777" w:rsidR="00D83E33" w:rsidRPr="001B330E" w:rsidRDefault="00D83E33">
            <w:pPr>
              <w:widowControl w:val="0"/>
              <w:pBdr>
                <w:top w:val="nil"/>
                <w:left w:val="nil"/>
                <w:bottom w:val="nil"/>
                <w:right w:val="nil"/>
                <w:between w:val="nil"/>
              </w:pBdr>
              <w:jc w:val="right"/>
              <w:rPr>
                <w:color w:val="000000"/>
                <w:szCs w:val="16"/>
              </w:rPr>
            </w:pPr>
          </w:p>
        </w:tc>
      </w:tr>
    </w:tbl>
    <w:p w14:paraId="1851FF42" w14:textId="6D749087" w:rsidR="00D83E33" w:rsidRDefault="00BC4072" w:rsidP="001B330E">
      <w:pPr>
        <w:pStyle w:val="Continued"/>
        <w:rPr>
          <w:color w:val="000000"/>
          <w:szCs w:val="20"/>
        </w:rPr>
      </w:pPr>
      <w:r>
        <w:rPr>
          <w:color w:val="000000"/>
          <w:szCs w:val="20"/>
        </w:rPr>
        <w:lastRenderedPageBreak/>
        <w:t>11</w:t>
      </w:r>
      <w:r>
        <w:rPr>
          <w:color w:val="000000"/>
          <w:szCs w:val="20"/>
        </w:rPr>
        <w:tab/>
        <w:t>Loans and Advances to Customers (Continued)</w:t>
      </w:r>
    </w:p>
    <w:p w14:paraId="1CBA556E" w14:textId="1773DD03" w:rsidR="00D83E33" w:rsidRDefault="00BC4072">
      <w:pPr>
        <w:widowControl w:val="0"/>
        <w:spacing w:before="200" w:after="200"/>
        <w:rPr>
          <w:sz w:val="20"/>
          <w:szCs w:val="20"/>
        </w:rPr>
      </w:pPr>
      <w:r>
        <w:rPr>
          <w:sz w:val="20"/>
          <w:szCs w:val="20"/>
        </w:rPr>
        <w:t>The credit quality of loans to individuals carried at amortised cost is as follows at 31</w:t>
      </w:r>
      <w:r w:rsidR="00181687">
        <w:rPr>
          <w:sz w:val="20"/>
          <w:szCs w:val="20"/>
        </w:rPr>
        <w:t> December </w:t>
      </w:r>
      <w:r w:rsidR="00541EBC">
        <w:rPr>
          <w:sz w:val="20"/>
          <w:szCs w:val="20"/>
        </w:rPr>
        <w:t>2024</w:t>
      </w:r>
      <w:r>
        <w:rPr>
          <w:sz w:val="20"/>
          <w:szCs w:val="20"/>
        </w:rPr>
        <w:t>:</w:t>
      </w:r>
    </w:p>
    <w:tbl>
      <w:tblPr>
        <w:tblStyle w:val="afffff5"/>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2B968AA1" w14:textId="77777777" w:rsidTr="001B330E">
        <w:trPr>
          <w:trHeight w:val="23"/>
        </w:trPr>
        <w:tc>
          <w:tcPr>
            <w:tcW w:w="1971" w:type="pct"/>
            <w:tcBorders>
              <w:bottom w:val="single" w:sz="4" w:space="0" w:color="000000"/>
            </w:tcBorders>
            <w:vAlign w:val="bottom"/>
          </w:tcPr>
          <w:p w14:paraId="336C1742" w14:textId="7AF5A68E" w:rsidR="00D83E33" w:rsidRPr="00E837F2"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54C4FE97"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2467C8D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3C91903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375758B7"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tcPr>
          <w:p w14:paraId="2CF3352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094BF13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41728E99"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tcPr>
          <w:p w14:paraId="62D54A7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17CA8A80" w14:textId="77777777" w:rsidTr="001B330E">
        <w:trPr>
          <w:trHeight w:val="23"/>
        </w:trPr>
        <w:tc>
          <w:tcPr>
            <w:tcW w:w="1971" w:type="pct"/>
            <w:vAlign w:val="bottom"/>
          </w:tcPr>
          <w:p w14:paraId="4950FC55" w14:textId="77777777" w:rsidR="00D83E33" w:rsidRPr="001B330E" w:rsidRDefault="00BC4072">
            <w:pPr>
              <w:widowControl w:val="0"/>
              <w:ind w:left="113" w:hanging="113"/>
              <w:rPr>
                <w:szCs w:val="16"/>
              </w:rPr>
            </w:pPr>
            <w:r w:rsidRPr="001B330E">
              <w:rPr>
                <w:szCs w:val="16"/>
              </w:rPr>
              <w:t> </w:t>
            </w:r>
          </w:p>
        </w:tc>
        <w:tc>
          <w:tcPr>
            <w:tcW w:w="606" w:type="pct"/>
            <w:vAlign w:val="bottom"/>
          </w:tcPr>
          <w:p w14:paraId="42ED2B6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1FA72F8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6BD6A2A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242B00B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20C745B9"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8DAD365" w14:textId="77777777" w:rsidTr="001B330E">
        <w:trPr>
          <w:trHeight w:val="23"/>
        </w:trPr>
        <w:tc>
          <w:tcPr>
            <w:tcW w:w="1971" w:type="pct"/>
            <w:shd w:val="clear" w:color="auto" w:fill="auto"/>
            <w:vAlign w:val="bottom"/>
          </w:tcPr>
          <w:p w14:paraId="502FFE21"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Mortgage loans</w:t>
            </w:r>
          </w:p>
        </w:tc>
        <w:tc>
          <w:tcPr>
            <w:tcW w:w="606" w:type="pct"/>
            <w:vAlign w:val="bottom"/>
          </w:tcPr>
          <w:p w14:paraId="5C352994"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E88FAB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062FA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05F852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84987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F56C761" w14:textId="77777777" w:rsidTr="001B330E">
        <w:trPr>
          <w:trHeight w:val="23"/>
        </w:trPr>
        <w:tc>
          <w:tcPr>
            <w:tcW w:w="1971" w:type="pct"/>
            <w:shd w:val="clear" w:color="auto" w:fill="auto"/>
            <w:vAlign w:val="bottom"/>
          </w:tcPr>
          <w:p w14:paraId="6DEC9764"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2878BF0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3B45585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6E5BEC6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57893EF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4740E324"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17F501C5" w14:textId="77777777" w:rsidTr="001B330E">
        <w:trPr>
          <w:trHeight w:val="23"/>
        </w:trPr>
        <w:tc>
          <w:tcPr>
            <w:tcW w:w="1971" w:type="pct"/>
            <w:shd w:val="clear" w:color="auto" w:fill="auto"/>
            <w:vAlign w:val="bottom"/>
          </w:tcPr>
          <w:p w14:paraId="5F2B8BE9"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24A341E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624607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94658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07D8C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C13A02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7102BFD" w14:textId="77777777" w:rsidTr="001B330E">
        <w:trPr>
          <w:trHeight w:val="23"/>
        </w:trPr>
        <w:tc>
          <w:tcPr>
            <w:tcW w:w="1971" w:type="pct"/>
            <w:shd w:val="clear" w:color="auto" w:fill="auto"/>
            <w:vAlign w:val="bottom"/>
          </w:tcPr>
          <w:p w14:paraId="2D519C30"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2EE1AB1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26C658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80727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B336E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4F5F8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7FEAFBF" w14:textId="77777777" w:rsidTr="001B330E">
        <w:trPr>
          <w:trHeight w:val="23"/>
        </w:trPr>
        <w:tc>
          <w:tcPr>
            <w:tcW w:w="1971" w:type="pct"/>
            <w:shd w:val="clear" w:color="auto" w:fill="auto"/>
            <w:vAlign w:val="bottom"/>
          </w:tcPr>
          <w:p w14:paraId="12744501"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118804C4"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A2B9F0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680C8D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A62FF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8A9EE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F96BCD6" w14:textId="77777777" w:rsidTr="001B330E">
        <w:trPr>
          <w:trHeight w:val="23"/>
        </w:trPr>
        <w:tc>
          <w:tcPr>
            <w:tcW w:w="1971" w:type="pct"/>
            <w:shd w:val="clear" w:color="auto" w:fill="auto"/>
            <w:vAlign w:val="bottom"/>
          </w:tcPr>
          <w:p w14:paraId="00A93C8F"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7784EB5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144C3E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1BE70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77BED2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45248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BA83AD5" w14:textId="77777777" w:rsidTr="001B330E">
        <w:trPr>
          <w:trHeight w:val="23"/>
        </w:trPr>
        <w:tc>
          <w:tcPr>
            <w:tcW w:w="1971" w:type="pct"/>
            <w:shd w:val="clear" w:color="auto" w:fill="auto"/>
            <w:vAlign w:val="bottom"/>
          </w:tcPr>
          <w:p w14:paraId="14D73244"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1EB009F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27BD3A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3727B1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9E9E72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55479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FEBB4F0" w14:textId="77777777" w:rsidTr="001B330E">
        <w:trPr>
          <w:trHeight w:val="23"/>
        </w:trPr>
        <w:tc>
          <w:tcPr>
            <w:tcW w:w="1971" w:type="pct"/>
            <w:tcBorders>
              <w:bottom w:val="single" w:sz="4" w:space="0" w:color="000000"/>
            </w:tcBorders>
            <w:shd w:val="clear" w:color="auto" w:fill="auto"/>
            <w:vAlign w:val="bottom"/>
          </w:tcPr>
          <w:p w14:paraId="4FE5C216"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3C53B57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72663AA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56E5D68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4A634D8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5EA15FF9"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03975F48" w14:textId="77777777" w:rsidTr="001B330E">
        <w:trPr>
          <w:trHeight w:val="23"/>
        </w:trPr>
        <w:tc>
          <w:tcPr>
            <w:tcW w:w="1971" w:type="pct"/>
            <w:tcBorders>
              <w:top w:val="single" w:sz="4" w:space="0" w:color="000000"/>
            </w:tcBorders>
            <w:shd w:val="clear" w:color="auto" w:fill="auto"/>
            <w:vAlign w:val="bottom"/>
          </w:tcPr>
          <w:p w14:paraId="40894117"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6C92EA6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5B36F2C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660C2D8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7C3B9C8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15F21835"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38D7535" w14:textId="77777777" w:rsidTr="001B330E">
        <w:trPr>
          <w:trHeight w:val="23"/>
        </w:trPr>
        <w:tc>
          <w:tcPr>
            <w:tcW w:w="1971" w:type="pct"/>
            <w:shd w:val="clear" w:color="auto" w:fill="auto"/>
            <w:vAlign w:val="bottom"/>
          </w:tcPr>
          <w:p w14:paraId="612EFF35"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63017AF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AD7CA2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72DAE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4504F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DB8BC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C838DF1" w14:textId="77777777" w:rsidTr="001B330E">
        <w:trPr>
          <w:trHeight w:val="23"/>
        </w:trPr>
        <w:tc>
          <w:tcPr>
            <w:tcW w:w="1971" w:type="pct"/>
            <w:tcBorders>
              <w:bottom w:val="single" w:sz="4" w:space="0" w:color="000000"/>
            </w:tcBorders>
            <w:shd w:val="clear" w:color="auto" w:fill="auto"/>
            <w:vAlign w:val="bottom"/>
          </w:tcPr>
          <w:p w14:paraId="04D64308"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2AD6360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76E3F6F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22858F8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78E04AB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4F9F476A"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52622FF0" w14:textId="77777777" w:rsidTr="001B330E">
        <w:trPr>
          <w:trHeight w:val="23"/>
        </w:trPr>
        <w:tc>
          <w:tcPr>
            <w:tcW w:w="1971" w:type="pct"/>
            <w:tcBorders>
              <w:top w:val="single" w:sz="4" w:space="0" w:color="000000"/>
            </w:tcBorders>
            <w:shd w:val="clear" w:color="auto" w:fill="auto"/>
            <w:vAlign w:val="bottom"/>
          </w:tcPr>
          <w:p w14:paraId="4DE9279F"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04A1ED2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5312FA2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1A14A5D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252A9E2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6F029D87"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18CC361" w14:textId="77777777" w:rsidTr="001B330E">
        <w:trPr>
          <w:trHeight w:val="23"/>
        </w:trPr>
        <w:tc>
          <w:tcPr>
            <w:tcW w:w="1971" w:type="pct"/>
            <w:shd w:val="clear" w:color="auto" w:fill="auto"/>
            <w:vAlign w:val="bottom"/>
          </w:tcPr>
          <w:p w14:paraId="1BD5F99C"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7AD58CF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D8DE1E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71F623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0773A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EBC26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EB6CB6C" w14:textId="77777777" w:rsidTr="001B330E">
        <w:trPr>
          <w:trHeight w:val="23"/>
        </w:trPr>
        <w:tc>
          <w:tcPr>
            <w:tcW w:w="1971" w:type="pct"/>
            <w:shd w:val="clear" w:color="auto" w:fill="auto"/>
            <w:vAlign w:val="bottom"/>
          </w:tcPr>
          <w:p w14:paraId="3030264C"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423A051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46E1B77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5C47487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35B3AB9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48CB6A38"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7DEBC4B9" w14:textId="77777777" w:rsidTr="001B330E">
        <w:trPr>
          <w:trHeight w:val="23"/>
        </w:trPr>
        <w:tc>
          <w:tcPr>
            <w:tcW w:w="1971" w:type="pct"/>
            <w:tcBorders>
              <w:top w:val="single" w:sz="4" w:space="0" w:color="000000"/>
            </w:tcBorders>
            <w:shd w:val="clear" w:color="auto" w:fill="auto"/>
            <w:vAlign w:val="bottom"/>
          </w:tcPr>
          <w:p w14:paraId="05A6C95A"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6A87306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5F57B2E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42784F6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1C8B987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32659401"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33A74F0A" w14:textId="77777777" w:rsidTr="001B330E">
        <w:trPr>
          <w:trHeight w:val="23"/>
        </w:trPr>
        <w:tc>
          <w:tcPr>
            <w:tcW w:w="1971" w:type="pct"/>
            <w:shd w:val="clear" w:color="auto" w:fill="auto"/>
            <w:vAlign w:val="bottom"/>
          </w:tcPr>
          <w:p w14:paraId="58E6EFA8"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2E84E30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B05C1E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6ECB69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26EDB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7989C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CB99B55" w14:textId="77777777" w:rsidTr="001B330E">
        <w:trPr>
          <w:trHeight w:val="23"/>
        </w:trPr>
        <w:tc>
          <w:tcPr>
            <w:tcW w:w="1971" w:type="pct"/>
            <w:tcBorders>
              <w:bottom w:val="single" w:sz="12" w:space="0" w:color="000000"/>
            </w:tcBorders>
            <w:shd w:val="clear" w:color="auto" w:fill="auto"/>
            <w:vAlign w:val="bottom"/>
          </w:tcPr>
          <w:p w14:paraId="349011DE"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12" w:space="0" w:color="000000"/>
            </w:tcBorders>
            <w:vAlign w:val="bottom"/>
          </w:tcPr>
          <w:p w14:paraId="160A465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2338750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47ED909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7FCFBF0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5FE12E49"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BCF4545" w14:textId="77777777" w:rsidTr="001B330E">
        <w:trPr>
          <w:trHeight w:val="23"/>
        </w:trPr>
        <w:tc>
          <w:tcPr>
            <w:tcW w:w="1971" w:type="pct"/>
            <w:tcBorders>
              <w:top w:val="single" w:sz="12" w:space="0" w:color="000000"/>
            </w:tcBorders>
            <w:shd w:val="clear" w:color="auto" w:fill="auto"/>
            <w:vAlign w:val="bottom"/>
          </w:tcPr>
          <w:p w14:paraId="5788EC89"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12" w:space="0" w:color="000000"/>
            </w:tcBorders>
            <w:vAlign w:val="bottom"/>
          </w:tcPr>
          <w:p w14:paraId="3AE729B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12" w:space="0" w:color="000000"/>
            </w:tcBorders>
            <w:vAlign w:val="bottom"/>
          </w:tcPr>
          <w:p w14:paraId="5139666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12" w:space="0" w:color="000000"/>
            </w:tcBorders>
            <w:shd w:val="clear" w:color="auto" w:fill="auto"/>
            <w:vAlign w:val="bottom"/>
          </w:tcPr>
          <w:p w14:paraId="2219FAA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12" w:space="0" w:color="000000"/>
            </w:tcBorders>
            <w:shd w:val="clear" w:color="auto" w:fill="auto"/>
            <w:vAlign w:val="bottom"/>
          </w:tcPr>
          <w:p w14:paraId="59B1707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12" w:space="0" w:color="000000"/>
            </w:tcBorders>
            <w:shd w:val="clear" w:color="auto" w:fill="auto"/>
            <w:vAlign w:val="bottom"/>
          </w:tcPr>
          <w:p w14:paraId="073588D7"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138AFF52" w14:textId="77777777" w:rsidTr="001B330E">
        <w:trPr>
          <w:trHeight w:val="23"/>
        </w:trPr>
        <w:tc>
          <w:tcPr>
            <w:tcW w:w="1971" w:type="pct"/>
            <w:shd w:val="clear" w:color="auto" w:fill="auto"/>
            <w:vAlign w:val="bottom"/>
          </w:tcPr>
          <w:p w14:paraId="49A14580"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Consumer loans</w:t>
            </w:r>
          </w:p>
        </w:tc>
        <w:tc>
          <w:tcPr>
            <w:tcW w:w="606" w:type="pct"/>
            <w:vAlign w:val="bottom"/>
          </w:tcPr>
          <w:p w14:paraId="4AF42CB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4656EC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257CED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DA7D6D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AE8E44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E69A174" w14:textId="77777777" w:rsidTr="001B330E">
        <w:trPr>
          <w:trHeight w:val="23"/>
        </w:trPr>
        <w:tc>
          <w:tcPr>
            <w:tcW w:w="1971" w:type="pct"/>
            <w:shd w:val="clear" w:color="auto" w:fill="auto"/>
            <w:vAlign w:val="bottom"/>
          </w:tcPr>
          <w:p w14:paraId="567199BF"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5F240DA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052B99C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74B73B4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346A511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6DB68718"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3FBB65E" w14:textId="77777777" w:rsidTr="001B330E">
        <w:trPr>
          <w:trHeight w:val="23"/>
        </w:trPr>
        <w:tc>
          <w:tcPr>
            <w:tcW w:w="1971" w:type="pct"/>
            <w:shd w:val="clear" w:color="auto" w:fill="auto"/>
            <w:vAlign w:val="bottom"/>
          </w:tcPr>
          <w:p w14:paraId="05638AD4"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p w14:paraId="56D19685"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41884C4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4E3F39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05155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0F8B0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54A99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DFAB5B3" w14:textId="77777777" w:rsidTr="001B330E">
        <w:trPr>
          <w:trHeight w:val="23"/>
        </w:trPr>
        <w:tc>
          <w:tcPr>
            <w:tcW w:w="1971" w:type="pct"/>
            <w:shd w:val="clear" w:color="auto" w:fill="auto"/>
            <w:vAlign w:val="bottom"/>
          </w:tcPr>
          <w:p w14:paraId="0A8FEED2"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4EC9AA6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99A3F0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6FD53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6528BB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7C7FB2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48FD305" w14:textId="77777777" w:rsidTr="001B330E">
        <w:trPr>
          <w:trHeight w:val="23"/>
        </w:trPr>
        <w:tc>
          <w:tcPr>
            <w:tcW w:w="1971" w:type="pct"/>
            <w:shd w:val="clear" w:color="auto" w:fill="auto"/>
            <w:vAlign w:val="bottom"/>
          </w:tcPr>
          <w:p w14:paraId="36196626"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07709CA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6361B7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C78C0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54ABE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54C82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15D1462" w14:textId="77777777" w:rsidTr="001B330E">
        <w:trPr>
          <w:trHeight w:val="23"/>
        </w:trPr>
        <w:tc>
          <w:tcPr>
            <w:tcW w:w="1971" w:type="pct"/>
            <w:shd w:val="clear" w:color="auto" w:fill="auto"/>
            <w:vAlign w:val="bottom"/>
          </w:tcPr>
          <w:p w14:paraId="6C9F1F89"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2F89B7D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15F851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82454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A7D6C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E6ABE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7ACD346" w14:textId="77777777" w:rsidTr="001B330E">
        <w:trPr>
          <w:trHeight w:val="23"/>
        </w:trPr>
        <w:tc>
          <w:tcPr>
            <w:tcW w:w="1971" w:type="pct"/>
            <w:tcBorders>
              <w:bottom w:val="single" w:sz="4" w:space="0" w:color="000000"/>
            </w:tcBorders>
            <w:shd w:val="clear" w:color="auto" w:fill="auto"/>
            <w:vAlign w:val="bottom"/>
          </w:tcPr>
          <w:p w14:paraId="0AE3C341"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5EC64B4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7844067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64B8EB3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252514C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1A9A9758"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3E8A7A9F" w14:textId="77777777" w:rsidTr="001B330E">
        <w:trPr>
          <w:trHeight w:val="23"/>
        </w:trPr>
        <w:tc>
          <w:tcPr>
            <w:tcW w:w="1971" w:type="pct"/>
            <w:tcBorders>
              <w:top w:val="single" w:sz="4" w:space="0" w:color="000000"/>
            </w:tcBorders>
            <w:shd w:val="clear" w:color="auto" w:fill="auto"/>
            <w:vAlign w:val="bottom"/>
          </w:tcPr>
          <w:p w14:paraId="7C320921"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26953BF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462B1C4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7EE8683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34F30E6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6B7D3C98"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338803B8" w14:textId="77777777" w:rsidTr="001B330E">
        <w:trPr>
          <w:trHeight w:val="23"/>
        </w:trPr>
        <w:tc>
          <w:tcPr>
            <w:tcW w:w="1971" w:type="pct"/>
            <w:shd w:val="clear" w:color="auto" w:fill="auto"/>
            <w:vAlign w:val="bottom"/>
          </w:tcPr>
          <w:p w14:paraId="618EF2B6"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44021ED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066C99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50A6B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B193DF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6ABAA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00DC51F" w14:textId="77777777" w:rsidTr="001B330E">
        <w:trPr>
          <w:trHeight w:val="23"/>
        </w:trPr>
        <w:tc>
          <w:tcPr>
            <w:tcW w:w="1971" w:type="pct"/>
            <w:tcBorders>
              <w:bottom w:val="single" w:sz="4" w:space="0" w:color="000000"/>
            </w:tcBorders>
            <w:shd w:val="clear" w:color="auto" w:fill="auto"/>
            <w:vAlign w:val="bottom"/>
          </w:tcPr>
          <w:p w14:paraId="04037C45"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14C30F0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1A25311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1FD981F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765AF00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19B78248"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10C69199" w14:textId="77777777" w:rsidTr="001B330E">
        <w:trPr>
          <w:trHeight w:val="23"/>
        </w:trPr>
        <w:tc>
          <w:tcPr>
            <w:tcW w:w="1971" w:type="pct"/>
            <w:tcBorders>
              <w:top w:val="single" w:sz="4" w:space="0" w:color="000000"/>
            </w:tcBorders>
            <w:shd w:val="clear" w:color="auto" w:fill="auto"/>
            <w:vAlign w:val="bottom"/>
          </w:tcPr>
          <w:p w14:paraId="1B4FFC3F"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668CC96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4216C64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7EC0D65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46ECF92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0C1EB306"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52806DA4" w14:textId="77777777" w:rsidTr="001B330E">
        <w:trPr>
          <w:trHeight w:val="23"/>
        </w:trPr>
        <w:tc>
          <w:tcPr>
            <w:tcW w:w="1971" w:type="pct"/>
            <w:shd w:val="clear" w:color="auto" w:fill="auto"/>
            <w:vAlign w:val="bottom"/>
          </w:tcPr>
          <w:p w14:paraId="2CCC58B3"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367394C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B1EA62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1D7F6B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1F885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BE599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DE158AB" w14:textId="77777777" w:rsidTr="001B330E">
        <w:trPr>
          <w:trHeight w:val="23"/>
        </w:trPr>
        <w:tc>
          <w:tcPr>
            <w:tcW w:w="1971" w:type="pct"/>
            <w:tcBorders>
              <w:bottom w:val="single" w:sz="4" w:space="0" w:color="000000"/>
            </w:tcBorders>
            <w:shd w:val="clear" w:color="auto" w:fill="auto"/>
            <w:vAlign w:val="bottom"/>
          </w:tcPr>
          <w:p w14:paraId="23FB20B8"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7422FB2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7D09C58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7AEAEAD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2140E3A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516A162B"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5BD827F4" w14:textId="77777777" w:rsidTr="001B330E">
        <w:trPr>
          <w:trHeight w:val="23"/>
        </w:trPr>
        <w:tc>
          <w:tcPr>
            <w:tcW w:w="1971" w:type="pct"/>
            <w:tcBorders>
              <w:top w:val="single" w:sz="4" w:space="0" w:color="000000"/>
            </w:tcBorders>
            <w:vAlign w:val="bottom"/>
          </w:tcPr>
          <w:p w14:paraId="79138B48"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7DD3506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2EC0540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2363D3C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47C0473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36790596"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0D51CB0" w14:textId="77777777" w:rsidTr="001B330E">
        <w:trPr>
          <w:trHeight w:val="23"/>
        </w:trPr>
        <w:tc>
          <w:tcPr>
            <w:tcW w:w="1971" w:type="pct"/>
            <w:vAlign w:val="bottom"/>
          </w:tcPr>
          <w:p w14:paraId="0E819B07"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1D2517C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30E555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7ED6E0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AA2166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74302F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2164A63" w14:textId="77777777" w:rsidTr="001B330E">
        <w:trPr>
          <w:trHeight w:val="23"/>
        </w:trPr>
        <w:tc>
          <w:tcPr>
            <w:tcW w:w="1971" w:type="pct"/>
            <w:tcBorders>
              <w:bottom w:val="single" w:sz="12" w:space="0" w:color="000000"/>
            </w:tcBorders>
            <w:vAlign w:val="bottom"/>
          </w:tcPr>
          <w:p w14:paraId="2ABA61CF" w14:textId="77777777" w:rsidR="00D83E33" w:rsidRPr="001B330E" w:rsidRDefault="00D83E33">
            <w:pPr>
              <w:widowControl w:val="0"/>
              <w:pBdr>
                <w:top w:val="nil"/>
                <w:left w:val="nil"/>
                <w:bottom w:val="nil"/>
                <w:right w:val="nil"/>
                <w:between w:val="nil"/>
              </w:pBdr>
              <w:ind w:left="113" w:hanging="113"/>
              <w:rPr>
                <w:b/>
                <w:color w:val="000000"/>
                <w:szCs w:val="16"/>
              </w:rPr>
            </w:pPr>
          </w:p>
        </w:tc>
        <w:tc>
          <w:tcPr>
            <w:tcW w:w="606" w:type="pct"/>
            <w:tcBorders>
              <w:bottom w:val="single" w:sz="12" w:space="0" w:color="000000"/>
            </w:tcBorders>
            <w:vAlign w:val="bottom"/>
          </w:tcPr>
          <w:p w14:paraId="4B46FBD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7D3774E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538D15B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6687E0A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05C35811" w14:textId="77777777" w:rsidR="00D83E33" w:rsidRPr="001B330E" w:rsidRDefault="00D83E33">
            <w:pPr>
              <w:widowControl w:val="0"/>
              <w:pBdr>
                <w:top w:val="nil"/>
                <w:left w:val="nil"/>
                <w:bottom w:val="nil"/>
                <w:right w:val="nil"/>
                <w:between w:val="nil"/>
              </w:pBdr>
              <w:jc w:val="right"/>
              <w:rPr>
                <w:color w:val="000000"/>
                <w:szCs w:val="16"/>
              </w:rPr>
            </w:pPr>
          </w:p>
        </w:tc>
      </w:tr>
    </w:tbl>
    <w:p w14:paraId="1C307303" w14:textId="524CF264" w:rsidR="00D83E33" w:rsidRDefault="00BC4072" w:rsidP="001B330E">
      <w:pPr>
        <w:pStyle w:val="Continued"/>
      </w:pPr>
      <w:r>
        <w:lastRenderedPageBreak/>
        <w:t>11</w:t>
      </w:r>
      <w:r>
        <w:tab/>
        <w:t>Loans and Advances to Customers (Continued)</w:t>
      </w:r>
    </w:p>
    <w:tbl>
      <w:tblPr>
        <w:tblStyle w:val="afffff6"/>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7276942C" w14:textId="77777777" w:rsidTr="001B330E">
        <w:trPr>
          <w:trHeight w:val="23"/>
        </w:trPr>
        <w:tc>
          <w:tcPr>
            <w:tcW w:w="1971" w:type="pct"/>
            <w:tcBorders>
              <w:bottom w:val="single" w:sz="4" w:space="0" w:color="000000"/>
            </w:tcBorders>
            <w:vAlign w:val="bottom"/>
          </w:tcPr>
          <w:p w14:paraId="09B8F2AA" w14:textId="3D03865B" w:rsidR="00D83E33" w:rsidRPr="00E837F2"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17421C8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5E4E4149"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7B2B753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4D3CCE2B"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tcPr>
          <w:p w14:paraId="30BE25F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09C2F5C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175BC1F7"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tcPr>
          <w:p w14:paraId="362CDF12"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6220AEA4" w14:textId="77777777" w:rsidTr="001B330E">
        <w:trPr>
          <w:trHeight w:val="23"/>
        </w:trPr>
        <w:tc>
          <w:tcPr>
            <w:tcW w:w="1971" w:type="pct"/>
            <w:vAlign w:val="bottom"/>
          </w:tcPr>
          <w:p w14:paraId="4A1F45A2" w14:textId="77777777" w:rsidR="00D83E33" w:rsidRPr="00E837F2" w:rsidRDefault="00BC4072">
            <w:pPr>
              <w:widowControl w:val="0"/>
              <w:ind w:left="113" w:hanging="113"/>
            </w:pPr>
            <w:r w:rsidRPr="00E837F2">
              <w:t> </w:t>
            </w:r>
          </w:p>
        </w:tc>
        <w:tc>
          <w:tcPr>
            <w:tcW w:w="606" w:type="pct"/>
            <w:vAlign w:val="bottom"/>
          </w:tcPr>
          <w:p w14:paraId="2CBF363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E8E9D3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0320F4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B81483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9BC915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7DC6CC5" w14:textId="77777777" w:rsidTr="001B330E">
        <w:trPr>
          <w:trHeight w:val="23"/>
        </w:trPr>
        <w:tc>
          <w:tcPr>
            <w:tcW w:w="1971" w:type="pct"/>
            <w:shd w:val="clear" w:color="auto" w:fill="auto"/>
            <w:vAlign w:val="bottom"/>
          </w:tcPr>
          <w:p w14:paraId="1AD8A2F8"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Car loans</w:t>
            </w:r>
          </w:p>
        </w:tc>
        <w:tc>
          <w:tcPr>
            <w:tcW w:w="606" w:type="pct"/>
            <w:vAlign w:val="bottom"/>
          </w:tcPr>
          <w:p w14:paraId="03F0D25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8C15F8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7B237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0CB9D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B4241A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B94AE7D" w14:textId="77777777" w:rsidTr="001B330E">
        <w:trPr>
          <w:trHeight w:val="23"/>
        </w:trPr>
        <w:tc>
          <w:tcPr>
            <w:tcW w:w="1971" w:type="pct"/>
            <w:shd w:val="clear" w:color="auto" w:fill="auto"/>
            <w:vAlign w:val="bottom"/>
          </w:tcPr>
          <w:p w14:paraId="7E458CA4"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4D316FE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C9FDD2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BF3AC8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E2FB4C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3807E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612FEE3" w14:textId="77777777" w:rsidTr="001B330E">
        <w:trPr>
          <w:trHeight w:val="23"/>
        </w:trPr>
        <w:tc>
          <w:tcPr>
            <w:tcW w:w="1971" w:type="pct"/>
            <w:shd w:val="clear" w:color="auto" w:fill="auto"/>
            <w:vAlign w:val="bottom"/>
          </w:tcPr>
          <w:p w14:paraId="11F6F5BD"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4A3DFEB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762A9D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1BAA9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6CA09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58FDF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BF3AD84" w14:textId="77777777" w:rsidTr="001B330E">
        <w:trPr>
          <w:trHeight w:val="23"/>
        </w:trPr>
        <w:tc>
          <w:tcPr>
            <w:tcW w:w="1971" w:type="pct"/>
            <w:shd w:val="clear" w:color="auto" w:fill="auto"/>
            <w:vAlign w:val="bottom"/>
          </w:tcPr>
          <w:p w14:paraId="11C9195E"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6ADEE8E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499401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3C239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C2E606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A341AC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C3AE4C6" w14:textId="77777777" w:rsidTr="001B330E">
        <w:trPr>
          <w:trHeight w:val="23"/>
        </w:trPr>
        <w:tc>
          <w:tcPr>
            <w:tcW w:w="1971" w:type="pct"/>
            <w:shd w:val="clear" w:color="auto" w:fill="auto"/>
            <w:vAlign w:val="bottom"/>
          </w:tcPr>
          <w:p w14:paraId="3E547267"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48B59DE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A77818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B022D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36021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FFB716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7E3311B" w14:textId="77777777" w:rsidTr="001B330E">
        <w:trPr>
          <w:trHeight w:val="23"/>
        </w:trPr>
        <w:tc>
          <w:tcPr>
            <w:tcW w:w="1971" w:type="pct"/>
            <w:shd w:val="clear" w:color="auto" w:fill="auto"/>
            <w:vAlign w:val="bottom"/>
          </w:tcPr>
          <w:p w14:paraId="1A673DC0"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05B89C9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65CC67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35B89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7F8378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76FD6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0D26708" w14:textId="77777777" w:rsidTr="001B330E">
        <w:trPr>
          <w:trHeight w:val="23"/>
        </w:trPr>
        <w:tc>
          <w:tcPr>
            <w:tcW w:w="1971" w:type="pct"/>
            <w:shd w:val="clear" w:color="auto" w:fill="auto"/>
            <w:vAlign w:val="bottom"/>
          </w:tcPr>
          <w:p w14:paraId="31DF9B92"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6A6003C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07EF8E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1EEA6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12D49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71CD0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FCC3CE5" w14:textId="77777777" w:rsidTr="001B330E">
        <w:trPr>
          <w:trHeight w:val="23"/>
        </w:trPr>
        <w:tc>
          <w:tcPr>
            <w:tcW w:w="1971" w:type="pct"/>
            <w:tcBorders>
              <w:bottom w:val="single" w:sz="4" w:space="0" w:color="000000"/>
            </w:tcBorders>
            <w:shd w:val="clear" w:color="auto" w:fill="auto"/>
            <w:vAlign w:val="bottom"/>
          </w:tcPr>
          <w:p w14:paraId="32C780F6"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2AAB3C2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62F756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5B7534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502650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7EA3A5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4B0A807" w14:textId="77777777" w:rsidTr="001B330E">
        <w:trPr>
          <w:trHeight w:val="23"/>
        </w:trPr>
        <w:tc>
          <w:tcPr>
            <w:tcW w:w="1971" w:type="pct"/>
            <w:tcBorders>
              <w:top w:val="single" w:sz="4" w:space="0" w:color="000000"/>
            </w:tcBorders>
            <w:shd w:val="clear" w:color="auto" w:fill="auto"/>
            <w:vAlign w:val="bottom"/>
          </w:tcPr>
          <w:p w14:paraId="1949069E"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18FA4A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EAD736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F3178E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7F930F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DD8E40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2F33748" w14:textId="77777777" w:rsidTr="001B330E">
        <w:trPr>
          <w:trHeight w:val="23"/>
        </w:trPr>
        <w:tc>
          <w:tcPr>
            <w:tcW w:w="1971" w:type="pct"/>
            <w:shd w:val="clear" w:color="auto" w:fill="auto"/>
            <w:vAlign w:val="bottom"/>
          </w:tcPr>
          <w:p w14:paraId="282AD2F6"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0DEBE69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DFAADD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4EBC94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9671A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A92F5F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8271CC4" w14:textId="77777777" w:rsidTr="001B330E">
        <w:trPr>
          <w:trHeight w:val="23"/>
        </w:trPr>
        <w:tc>
          <w:tcPr>
            <w:tcW w:w="1971" w:type="pct"/>
            <w:tcBorders>
              <w:bottom w:val="single" w:sz="4" w:space="0" w:color="000000"/>
            </w:tcBorders>
            <w:shd w:val="clear" w:color="auto" w:fill="auto"/>
            <w:vAlign w:val="bottom"/>
          </w:tcPr>
          <w:p w14:paraId="779CBFA9"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5371B5F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C5FDE5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4E270C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E0C3CD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68785D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1B01EC" w14:textId="77777777" w:rsidTr="001B330E">
        <w:trPr>
          <w:trHeight w:val="23"/>
        </w:trPr>
        <w:tc>
          <w:tcPr>
            <w:tcW w:w="1971" w:type="pct"/>
            <w:tcBorders>
              <w:top w:val="single" w:sz="4" w:space="0" w:color="000000"/>
            </w:tcBorders>
            <w:shd w:val="clear" w:color="auto" w:fill="auto"/>
            <w:vAlign w:val="bottom"/>
          </w:tcPr>
          <w:p w14:paraId="6F876EDB"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9B4B7B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4F9314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6E3B73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8F9D8E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403212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DC4CA35" w14:textId="77777777" w:rsidTr="001B330E">
        <w:trPr>
          <w:trHeight w:val="23"/>
        </w:trPr>
        <w:tc>
          <w:tcPr>
            <w:tcW w:w="1971" w:type="pct"/>
            <w:shd w:val="clear" w:color="auto" w:fill="auto"/>
            <w:vAlign w:val="bottom"/>
          </w:tcPr>
          <w:p w14:paraId="42259C24"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37E3F00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E7B824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409EF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1EB7F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284DAA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65AC54D" w14:textId="77777777" w:rsidTr="001B330E">
        <w:trPr>
          <w:trHeight w:val="23"/>
        </w:trPr>
        <w:tc>
          <w:tcPr>
            <w:tcW w:w="1971" w:type="pct"/>
            <w:shd w:val="clear" w:color="auto" w:fill="auto"/>
            <w:vAlign w:val="bottom"/>
          </w:tcPr>
          <w:p w14:paraId="518DFF33"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4F84229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B3052A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7DF88F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9548D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B1817E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78DDD68" w14:textId="77777777" w:rsidTr="001B330E">
        <w:trPr>
          <w:trHeight w:val="23"/>
        </w:trPr>
        <w:tc>
          <w:tcPr>
            <w:tcW w:w="1971" w:type="pct"/>
            <w:tcBorders>
              <w:top w:val="single" w:sz="4" w:space="0" w:color="000000"/>
            </w:tcBorders>
            <w:shd w:val="clear" w:color="auto" w:fill="auto"/>
            <w:vAlign w:val="bottom"/>
          </w:tcPr>
          <w:p w14:paraId="534FEB85"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C0B314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46E09B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C78AA8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C328AC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A01F12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969EE04" w14:textId="77777777" w:rsidTr="001B330E">
        <w:trPr>
          <w:trHeight w:val="23"/>
        </w:trPr>
        <w:tc>
          <w:tcPr>
            <w:tcW w:w="1971" w:type="pct"/>
            <w:shd w:val="clear" w:color="auto" w:fill="auto"/>
            <w:vAlign w:val="bottom"/>
          </w:tcPr>
          <w:p w14:paraId="3873B001"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4933EC4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7FD534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C71076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35421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13495F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D44CDFC" w14:textId="77777777" w:rsidTr="001B330E">
        <w:trPr>
          <w:trHeight w:val="23"/>
        </w:trPr>
        <w:tc>
          <w:tcPr>
            <w:tcW w:w="1971" w:type="pct"/>
            <w:tcBorders>
              <w:bottom w:val="single" w:sz="12" w:space="0" w:color="000000"/>
            </w:tcBorders>
            <w:shd w:val="clear" w:color="auto" w:fill="auto"/>
            <w:vAlign w:val="bottom"/>
          </w:tcPr>
          <w:p w14:paraId="3FDCB571"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11298D6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222DB6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E4895C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1A5C69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FC03F3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93B8085" w14:textId="77777777" w:rsidTr="001B330E">
        <w:trPr>
          <w:trHeight w:val="23"/>
        </w:trPr>
        <w:tc>
          <w:tcPr>
            <w:tcW w:w="1971" w:type="pct"/>
            <w:tcBorders>
              <w:top w:val="single" w:sz="12" w:space="0" w:color="000000"/>
            </w:tcBorders>
            <w:shd w:val="clear" w:color="auto" w:fill="auto"/>
            <w:vAlign w:val="bottom"/>
          </w:tcPr>
          <w:p w14:paraId="439F0334"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12" w:space="0" w:color="000000"/>
            </w:tcBorders>
            <w:vAlign w:val="bottom"/>
          </w:tcPr>
          <w:p w14:paraId="464AC6B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vAlign w:val="bottom"/>
          </w:tcPr>
          <w:p w14:paraId="3DB7539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3D0ECFA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7C400C0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401B7A9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99CBAD8" w14:textId="77777777" w:rsidTr="001B330E">
        <w:trPr>
          <w:trHeight w:val="23"/>
        </w:trPr>
        <w:tc>
          <w:tcPr>
            <w:tcW w:w="1971" w:type="pct"/>
            <w:shd w:val="clear" w:color="auto" w:fill="auto"/>
            <w:vAlign w:val="bottom"/>
          </w:tcPr>
          <w:p w14:paraId="7ABE63F3"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Credit cards</w:t>
            </w:r>
          </w:p>
        </w:tc>
        <w:tc>
          <w:tcPr>
            <w:tcW w:w="606" w:type="pct"/>
            <w:vAlign w:val="bottom"/>
          </w:tcPr>
          <w:p w14:paraId="750D685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E69F18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63D35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DAF576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B9812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DBBAE96" w14:textId="77777777" w:rsidTr="001B330E">
        <w:trPr>
          <w:trHeight w:val="23"/>
        </w:trPr>
        <w:tc>
          <w:tcPr>
            <w:tcW w:w="1971" w:type="pct"/>
            <w:shd w:val="clear" w:color="auto" w:fill="auto"/>
            <w:vAlign w:val="bottom"/>
          </w:tcPr>
          <w:p w14:paraId="2CB8A5BF"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vAlign w:val="bottom"/>
          </w:tcPr>
          <w:p w14:paraId="42BB497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5FEDD4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7B043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5CB62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C3B9C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E2CE6FA" w14:textId="77777777" w:rsidTr="001B330E">
        <w:trPr>
          <w:trHeight w:val="23"/>
        </w:trPr>
        <w:tc>
          <w:tcPr>
            <w:tcW w:w="1971" w:type="pct"/>
            <w:shd w:val="clear" w:color="auto" w:fill="auto"/>
            <w:vAlign w:val="bottom"/>
          </w:tcPr>
          <w:p w14:paraId="44258469"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p w14:paraId="6E559AC4"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651F3D3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A7D976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F25BAA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77A00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42AE7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E12475C" w14:textId="77777777" w:rsidTr="001B330E">
        <w:trPr>
          <w:trHeight w:val="23"/>
        </w:trPr>
        <w:tc>
          <w:tcPr>
            <w:tcW w:w="1971" w:type="pct"/>
            <w:shd w:val="clear" w:color="auto" w:fill="auto"/>
            <w:vAlign w:val="bottom"/>
          </w:tcPr>
          <w:p w14:paraId="6BA5B825"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4F964D8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42988C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7094A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204AA0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FADD8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168D53A" w14:textId="77777777" w:rsidTr="001B330E">
        <w:trPr>
          <w:trHeight w:val="23"/>
        </w:trPr>
        <w:tc>
          <w:tcPr>
            <w:tcW w:w="1971" w:type="pct"/>
            <w:shd w:val="clear" w:color="auto" w:fill="auto"/>
            <w:vAlign w:val="bottom"/>
          </w:tcPr>
          <w:p w14:paraId="0E4865CC"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0A7600A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C02D8D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4553F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B437C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6CC947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6818E0B" w14:textId="77777777" w:rsidTr="001B330E">
        <w:trPr>
          <w:trHeight w:val="23"/>
        </w:trPr>
        <w:tc>
          <w:tcPr>
            <w:tcW w:w="1971" w:type="pct"/>
            <w:shd w:val="clear" w:color="auto" w:fill="auto"/>
            <w:vAlign w:val="bottom"/>
          </w:tcPr>
          <w:p w14:paraId="1DC8E1CC"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3E8B0CC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775F49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3493C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16142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110F3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78D9893" w14:textId="77777777" w:rsidTr="001B330E">
        <w:trPr>
          <w:trHeight w:val="23"/>
        </w:trPr>
        <w:tc>
          <w:tcPr>
            <w:tcW w:w="1971" w:type="pct"/>
            <w:tcBorders>
              <w:bottom w:val="single" w:sz="4" w:space="0" w:color="000000"/>
            </w:tcBorders>
            <w:shd w:val="clear" w:color="auto" w:fill="auto"/>
            <w:vAlign w:val="bottom"/>
          </w:tcPr>
          <w:p w14:paraId="03330667"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57895F0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C107A6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F35660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E9766B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14B79D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7AD2E08" w14:textId="77777777" w:rsidTr="001B330E">
        <w:trPr>
          <w:trHeight w:val="23"/>
        </w:trPr>
        <w:tc>
          <w:tcPr>
            <w:tcW w:w="1971" w:type="pct"/>
            <w:tcBorders>
              <w:top w:val="single" w:sz="4" w:space="0" w:color="000000"/>
            </w:tcBorders>
            <w:shd w:val="clear" w:color="auto" w:fill="auto"/>
            <w:vAlign w:val="bottom"/>
          </w:tcPr>
          <w:p w14:paraId="1E232216"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4DF6D6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A74BFD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BF16B0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7A310E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5CB69F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975F899" w14:textId="77777777" w:rsidTr="001B330E">
        <w:trPr>
          <w:trHeight w:val="23"/>
        </w:trPr>
        <w:tc>
          <w:tcPr>
            <w:tcW w:w="1971" w:type="pct"/>
            <w:shd w:val="clear" w:color="auto" w:fill="auto"/>
            <w:vAlign w:val="bottom"/>
          </w:tcPr>
          <w:p w14:paraId="39CBA1B4"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5407441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5CC0E0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04417E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5623E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AC423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43C44F" w14:textId="77777777" w:rsidTr="001B330E">
        <w:trPr>
          <w:trHeight w:val="23"/>
        </w:trPr>
        <w:tc>
          <w:tcPr>
            <w:tcW w:w="1971" w:type="pct"/>
            <w:tcBorders>
              <w:bottom w:val="single" w:sz="4" w:space="0" w:color="000000"/>
            </w:tcBorders>
            <w:shd w:val="clear" w:color="auto" w:fill="auto"/>
            <w:vAlign w:val="bottom"/>
          </w:tcPr>
          <w:p w14:paraId="7DCEE8A2"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5BF940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19D954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575618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32B0E2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5CA91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0ECC1A" w14:textId="77777777" w:rsidTr="001B330E">
        <w:trPr>
          <w:trHeight w:val="23"/>
        </w:trPr>
        <w:tc>
          <w:tcPr>
            <w:tcW w:w="1971" w:type="pct"/>
            <w:tcBorders>
              <w:top w:val="single" w:sz="4" w:space="0" w:color="000000"/>
            </w:tcBorders>
            <w:shd w:val="clear" w:color="auto" w:fill="auto"/>
            <w:vAlign w:val="bottom"/>
          </w:tcPr>
          <w:p w14:paraId="5DCEED74"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678646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3B1183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BFACA6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F34864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D0FFAA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7988F9E" w14:textId="77777777" w:rsidTr="001B330E">
        <w:trPr>
          <w:trHeight w:val="23"/>
        </w:trPr>
        <w:tc>
          <w:tcPr>
            <w:tcW w:w="1971" w:type="pct"/>
            <w:shd w:val="clear" w:color="auto" w:fill="auto"/>
            <w:vAlign w:val="bottom"/>
          </w:tcPr>
          <w:p w14:paraId="27B8E494"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7B25C12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26FE8A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3C653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04E60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F845B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A98CCC7" w14:textId="77777777" w:rsidTr="001B330E">
        <w:trPr>
          <w:trHeight w:val="23"/>
        </w:trPr>
        <w:tc>
          <w:tcPr>
            <w:tcW w:w="1971" w:type="pct"/>
            <w:tcBorders>
              <w:bottom w:val="single" w:sz="4" w:space="0" w:color="000000"/>
            </w:tcBorders>
            <w:shd w:val="clear" w:color="auto" w:fill="auto"/>
            <w:vAlign w:val="bottom"/>
          </w:tcPr>
          <w:p w14:paraId="62CA9B81"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1BC8E6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9B0373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84360D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BE62D5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865F5F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84084E0" w14:textId="77777777" w:rsidTr="001B330E">
        <w:trPr>
          <w:trHeight w:val="23"/>
        </w:trPr>
        <w:tc>
          <w:tcPr>
            <w:tcW w:w="1971" w:type="pct"/>
            <w:tcBorders>
              <w:top w:val="single" w:sz="4" w:space="0" w:color="000000"/>
            </w:tcBorders>
            <w:vAlign w:val="bottom"/>
          </w:tcPr>
          <w:p w14:paraId="02F4F146" w14:textId="77777777" w:rsidR="00D83E33" w:rsidRPr="00E837F2" w:rsidRDefault="00D83E33">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9D8AB0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825DF8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FFDCA9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6515A5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A02CB5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369BC88" w14:textId="77777777" w:rsidTr="001B330E">
        <w:trPr>
          <w:trHeight w:val="23"/>
        </w:trPr>
        <w:tc>
          <w:tcPr>
            <w:tcW w:w="1971" w:type="pct"/>
            <w:vAlign w:val="bottom"/>
          </w:tcPr>
          <w:p w14:paraId="3E367A57"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4B0023D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F6BA67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FDE791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4D7B72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29B1B0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EA1568A" w14:textId="77777777" w:rsidTr="001B330E">
        <w:trPr>
          <w:trHeight w:val="23"/>
        </w:trPr>
        <w:tc>
          <w:tcPr>
            <w:tcW w:w="1971" w:type="pct"/>
            <w:tcBorders>
              <w:bottom w:val="single" w:sz="12" w:space="0" w:color="000000"/>
            </w:tcBorders>
            <w:vAlign w:val="bottom"/>
          </w:tcPr>
          <w:p w14:paraId="4A727C28" w14:textId="77777777" w:rsidR="00D83E33" w:rsidRPr="00E837F2" w:rsidRDefault="00D83E33">
            <w:pPr>
              <w:widowControl w:val="0"/>
              <w:pBdr>
                <w:top w:val="nil"/>
                <w:left w:val="nil"/>
                <w:bottom w:val="nil"/>
                <w:right w:val="nil"/>
                <w:between w:val="nil"/>
              </w:pBdr>
              <w:ind w:left="113" w:hanging="113"/>
              <w:rPr>
                <w:b/>
                <w:color w:val="000000"/>
              </w:rPr>
            </w:pPr>
          </w:p>
        </w:tc>
        <w:tc>
          <w:tcPr>
            <w:tcW w:w="606" w:type="pct"/>
            <w:tcBorders>
              <w:bottom w:val="single" w:sz="12" w:space="0" w:color="000000"/>
            </w:tcBorders>
            <w:vAlign w:val="bottom"/>
          </w:tcPr>
          <w:p w14:paraId="2511E0B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9E6088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48E1B9D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16A28F8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568C02C" w14:textId="77777777" w:rsidR="00D83E33" w:rsidRPr="00E837F2" w:rsidRDefault="00D83E33">
            <w:pPr>
              <w:widowControl w:val="0"/>
              <w:pBdr>
                <w:top w:val="nil"/>
                <w:left w:val="nil"/>
                <w:bottom w:val="nil"/>
                <w:right w:val="nil"/>
                <w:between w:val="nil"/>
              </w:pBdr>
              <w:jc w:val="right"/>
              <w:rPr>
                <w:color w:val="000000"/>
              </w:rPr>
            </w:pPr>
          </w:p>
        </w:tc>
      </w:tr>
    </w:tbl>
    <w:p w14:paraId="1E81BE08" w14:textId="6CFBC82F" w:rsidR="00D83E33" w:rsidRDefault="00BC4072" w:rsidP="001B330E">
      <w:pPr>
        <w:pStyle w:val="Continued"/>
      </w:pPr>
      <w:r>
        <w:lastRenderedPageBreak/>
        <w:t>11</w:t>
      </w:r>
      <w:r>
        <w:tab/>
        <w:t>Loans and Advances to Customers (Continued)</w:t>
      </w:r>
    </w:p>
    <w:p w14:paraId="726400D6" w14:textId="52F27EC6"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credit quality of loans to individuals carried at amortised cost is as follows at 31</w:t>
      </w:r>
      <w:r w:rsidR="00181687">
        <w:rPr>
          <w:color w:val="000000"/>
          <w:sz w:val="20"/>
          <w:szCs w:val="20"/>
        </w:rPr>
        <w:t> December </w:t>
      </w:r>
      <w:r w:rsidR="00541EBC">
        <w:rPr>
          <w:color w:val="000000"/>
          <w:sz w:val="20"/>
          <w:szCs w:val="20"/>
        </w:rPr>
        <w:t>2023</w:t>
      </w:r>
      <w:r>
        <w:rPr>
          <w:color w:val="000000"/>
          <w:sz w:val="20"/>
          <w:szCs w:val="20"/>
        </w:rPr>
        <w:t>:</w:t>
      </w:r>
    </w:p>
    <w:tbl>
      <w:tblPr>
        <w:tblStyle w:val="afffff7"/>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7EB5ED23" w14:textId="77777777" w:rsidTr="001B330E">
        <w:trPr>
          <w:trHeight w:val="23"/>
        </w:trPr>
        <w:tc>
          <w:tcPr>
            <w:tcW w:w="1971" w:type="pct"/>
            <w:tcBorders>
              <w:bottom w:val="single" w:sz="4" w:space="0" w:color="000000"/>
            </w:tcBorders>
            <w:vAlign w:val="bottom"/>
          </w:tcPr>
          <w:p w14:paraId="0180F9F9" w14:textId="5A4AF4DE" w:rsidR="00D83E33" w:rsidRPr="00E837F2" w:rsidRDefault="00313B4D">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4C026C0B"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13F7D0BF"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250FD9C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6C23399A"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tcPr>
          <w:p w14:paraId="1E65C8A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41CE6962"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26ADA47A"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tcPr>
          <w:p w14:paraId="6E8BA7E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544FA19A" w14:textId="77777777" w:rsidTr="001B330E">
        <w:trPr>
          <w:trHeight w:val="23"/>
        </w:trPr>
        <w:tc>
          <w:tcPr>
            <w:tcW w:w="1971" w:type="pct"/>
            <w:vAlign w:val="bottom"/>
          </w:tcPr>
          <w:p w14:paraId="245740D7" w14:textId="77777777" w:rsidR="00D83E33" w:rsidRPr="001B330E" w:rsidRDefault="00BC4072">
            <w:pPr>
              <w:widowControl w:val="0"/>
              <w:ind w:left="113" w:hanging="113"/>
              <w:rPr>
                <w:szCs w:val="16"/>
              </w:rPr>
            </w:pPr>
            <w:r w:rsidRPr="001B330E">
              <w:rPr>
                <w:szCs w:val="16"/>
              </w:rPr>
              <w:t> </w:t>
            </w:r>
          </w:p>
        </w:tc>
        <w:tc>
          <w:tcPr>
            <w:tcW w:w="606" w:type="pct"/>
            <w:vAlign w:val="bottom"/>
          </w:tcPr>
          <w:p w14:paraId="425F4BF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5CF18CE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39B876A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74ABD51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7F1B45BF"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D4DEA54" w14:textId="77777777" w:rsidTr="001B330E">
        <w:trPr>
          <w:trHeight w:val="23"/>
        </w:trPr>
        <w:tc>
          <w:tcPr>
            <w:tcW w:w="1971" w:type="pct"/>
            <w:shd w:val="clear" w:color="auto" w:fill="auto"/>
            <w:vAlign w:val="bottom"/>
          </w:tcPr>
          <w:p w14:paraId="0DF77C79"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Mortgage loans</w:t>
            </w:r>
          </w:p>
        </w:tc>
        <w:tc>
          <w:tcPr>
            <w:tcW w:w="606" w:type="pct"/>
            <w:vAlign w:val="bottom"/>
          </w:tcPr>
          <w:p w14:paraId="6A6ED42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8CE67E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74496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2FE6E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9B91B0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66DBED6" w14:textId="77777777" w:rsidTr="001B330E">
        <w:trPr>
          <w:trHeight w:val="23"/>
        </w:trPr>
        <w:tc>
          <w:tcPr>
            <w:tcW w:w="1971" w:type="pct"/>
            <w:shd w:val="clear" w:color="auto" w:fill="auto"/>
            <w:vAlign w:val="bottom"/>
          </w:tcPr>
          <w:p w14:paraId="212360C0"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65435D1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6458510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2B28EFB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5C81944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72223C3C"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28519A2D" w14:textId="77777777" w:rsidTr="001B330E">
        <w:trPr>
          <w:trHeight w:val="23"/>
        </w:trPr>
        <w:tc>
          <w:tcPr>
            <w:tcW w:w="1971" w:type="pct"/>
            <w:shd w:val="clear" w:color="auto" w:fill="auto"/>
            <w:vAlign w:val="bottom"/>
          </w:tcPr>
          <w:p w14:paraId="5B3EE717"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173444E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B44532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377F2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714B4A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64710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1AF2F63" w14:textId="77777777" w:rsidTr="001B330E">
        <w:trPr>
          <w:trHeight w:val="23"/>
        </w:trPr>
        <w:tc>
          <w:tcPr>
            <w:tcW w:w="1971" w:type="pct"/>
            <w:shd w:val="clear" w:color="auto" w:fill="auto"/>
            <w:vAlign w:val="bottom"/>
          </w:tcPr>
          <w:p w14:paraId="5D946865"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2175CDD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F65D70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F78E1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4132B6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74CB7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5A37A6D" w14:textId="77777777" w:rsidTr="001B330E">
        <w:trPr>
          <w:trHeight w:val="23"/>
        </w:trPr>
        <w:tc>
          <w:tcPr>
            <w:tcW w:w="1971" w:type="pct"/>
            <w:shd w:val="clear" w:color="auto" w:fill="auto"/>
            <w:vAlign w:val="bottom"/>
          </w:tcPr>
          <w:p w14:paraId="38B9AC8D"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461D70E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281D41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B265B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F45AD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4EE49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AA61BE7" w14:textId="77777777" w:rsidTr="001B330E">
        <w:trPr>
          <w:trHeight w:val="23"/>
        </w:trPr>
        <w:tc>
          <w:tcPr>
            <w:tcW w:w="1971" w:type="pct"/>
            <w:shd w:val="clear" w:color="auto" w:fill="auto"/>
            <w:vAlign w:val="bottom"/>
          </w:tcPr>
          <w:p w14:paraId="6B9C62DD"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6989AC1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19D1A9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112FC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63A05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A0C084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CC79584" w14:textId="77777777" w:rsidTr="001B330E">
        <w:trPr>
          <w:trHeight w:val="23"/>
        </w:trPr>
        <w:tc>
          <w:tcPr>
            <w:tcW w:w="1971" w:type="pct"/>
            <w:shd w:val="clear" w:color="auto" w:fill="auto"/>
            <w:vAlign w:val="bottom"/>
          </w:tcPr>
          <w:p w14:paraId="118948DC"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5ABCCE8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84BEA2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61F31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B6AF6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743FF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0F728BC" w14:textId="77777777" w:rsidTr="001B330E">
        <w:trPr>
          <w:trHeight w:val="23"/>
        </w:trPr>
        <w:tc>
          <w:tcPr>
            <w:tcW w:w="1971" w:type="pct"/>
            <w:tcBorders>
              <w:bottom w:val="single" w:sz="4" w:space="0" w:color="000000"/>
            </w:tcBorders>
            <w:shd w:val="clear" w:color="auto" w:fill="auto"/>
            <w:vAlign w:val="bottom"/>
          </w:tcPr>
          <w:p w14:paraId="4FBFC32B"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0AAF16C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7A096EB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56E9329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4B46385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5FEC8D57"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17A84F85" w14:textId="77777777" w:rsidTr="001B330E">
        <w:trPr>
          <w:trHeight w:val="23"/>
        </w:trPr>
        <w:tc>
          <w:tcPr>
            <w:tcW w:w="1971" w:type="pct"/>
            <w:tcBorders>
              <w:top w:val="single" w:sz="4" w:space="0" w:color="000000"/>
            </w:tcBorders>
            <w:shd w:val="clear" w:color="auto" w:fill="auto"/>
            <w:vAlign w:val="bottom"/>
          </w:tcPr>
          <w:p w14:paraId="74E27DE0"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3003E27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20133B2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1CD13E2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224A491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16E2D8EA"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48F4FA0C" w14:textId="77777777" w:rsidTr="001B330E">
        <w:trPr>
          <w:trHeight w:val="23"/>
        </w:trPr>
        <w:tc>
          <w:tcPr>
            <w:tcW w:w="1971" w:type="pct"/>
            <w:shd w:val="clear" w:color="auto" w:fill="auto"/>
            <w:vAlign w:val="bottom"/>
          </w:tcPr>
          <w:p w14:paraId="2EFF51DF"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13F4A67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BA2DD8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1943A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45660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768579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1278254" w14:textId="77777777" w:rsidTr="001B330E">
        <w:trPr>
          <w:trHeight w:val="23"/>
        </w:trPr>
        <w:tc>
          <w:tcPr>
            <w:tcW w:w="1971" w:type="pct"/>
            <w:tcBorders>
              <w:bottom w:val="single" w:sz="4" w:space="0" w:color="000000"/>
            </w:tcBorders>
            <w:shd w:val="clear" w:color="auto" w:fill="auto"/>
            <w:vAlign w:val="bottom"/>
          </w:tcPr>
          <w:p w14:paraId="79296F0E"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45965DF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34A01D4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7D8F33D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79C5525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21F3CDB6"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756555B9" w14:textId="77777777" w:rsidTr="001B330E">
        <w:trPr>
          <w:trHeight w:val="23"/>
        </w:trPr>
        <w:tc>
          <w:tcPr>
            <w:tcW w:w="1971" w:type="pct"/>
            <w:tcBorders>
              <w:top w:val="single" w:sz="4" w:space="0" w:color="000000"/>
            </w:tcBorders>
            <w:shd w:val="clear" w:color="auto" w:fill="auto"/>
            <w:vAlign w:val="bottom"/>
          </w:tcPr>
          <w:p w14:paraId="03BFA7BC"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6A929B4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155B032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5F94B04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663B8E1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15C65987"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52DC2989" w14:textId="77777777" w:rsidTr="001B330E">
        <w:trPr>
          <w:trHeight w:val="23"/>
        </w:trPr>
        <w:tc>
          <w:tcPr>
            <w:tcW w:w="1971" w:type="pct"/>
            <w:shd w:val="clear" w:color="auto" w:fill="auto"/>
            <w:vAlign w:val="bottom"/>
          </w:tcPr>
          <w:p w14:paraId="4B969790"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6B4144C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1F9765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3DC9D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74F59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FEED2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EBDC948" w14:textId="77777777" w:rsidTr="001B330E">
        <w:trPr>
          <w:trHeight w:val="23"/>
        </w:trPr>
        <w:tc>
          <w:tcPr>
            <w:tcW w:w="1971" w:type="pct"/>
            <w:shd w:val="clear" w:color="auto" w:fill="auto"/>
            <w:vAlign w:val="bottom"/>
          </w:tcPr>
          <w:p w14:paraId="63325418"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1CD1091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1A559DA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618EE12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4160267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20B0EE97"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3D968C88" w14:textId="77777777" w:rsidTr="001B330E">
        <w:trPr>
          <w:trHeight w:val="23"/>
        </w:trPr>
        <w:tc>
          <w:tcPr>
            <w:tcW w:w="1971" w:type="pct"/>
            <w:tcBorders>
              <w:top w:val="single" w:sz="4" w:space="0" w:color="000000"/>
            </w:tcBorders>
            <w:shd w:val="clear" w:color="auto" w:fill="auto"/>
            <w:vAlign w:val="bottom"/>
          </w:tcPr>
          <w:p w14:paraId="11DFB25D"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4DCA602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67D7346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4602E9E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78D50901"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1FC75863"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0FCAA35F" w14:textId="77777777" w:rsidTr="001B330E">
        <w:trPr>
          <w:trHeight w:val="23"/>
        </w:trPr>
        <w:tc>
          <w:tcPr>
            <w:tcW w:w="1971" w:type="pct"/>
            <w:shd w:val="clear" w:color="auto" w:fill="auto"/>
            <w:vAlign w:val="bottom"/>
          </w:tcPr>
          <w:p w14:paraId="539A0A95"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5794D36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37F68D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9E4F59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FAD74C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65932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A431774" w14:textId="77777777" w:rsidTr="001B330E">
        <w:trPr>
          <w:trHeight w:val="23"/>
        </w:trPr>
        <w:tc>
          <w:tcPr>
            <w:tcW w:w="1971" w:type="pct"/>
            <w:tcBorders>
              <w:bottom w:val="single" w:sz="12" w:space="0" w:color="000000"/>
            </w:tcBorders>
            <w:shd w:val="clear" w:color="auto" w:fill="auto"/>
            <w:vAlign w:val="bottom"/>
          </w:tcPr>
          <w:p w14:paraId="6BEA3E83"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12" w:space="0" w:color="000000"/>
            </w:tcBorders>
            <w:vAlign w:val="bottom"/>
          </w:tcPr>
          <w:p w14:paraId="146D20F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3996D43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6A57063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2796181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shd w:val="clear" w:color="auto" w:fill="auto"/>
            <w:vAlign w:val="bottom"/>
          </w:tcPr>
          <w:p w14:paraId="4427E9DA"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69C1A1F4" w14:textId="77777777" w:rsidTr="001B330E">
        <w:trPr>
          <w:trHeight w:val="23"/>
        </w:trPr>
        <w:tc>
          <w:tcPr>
            <w:tcW w:w="1971" w:type="pct"/>
            <w:tcBorders>
              <w:top w:val="single" w:sz="12" w:space="0" w:color="000000"/>
            </w:tcBorders>
            <w:shd w:val="clear" w:color="auto" w:fill="auto"/>
            <w:vAlign w:val="bottom"/>
          </w:tcPr>
          <w:p w14:paraId="0AE78D05"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12" w:space="0" w:color="000000"/>
            </w:tcBorders>
            <w:vAlign w:val="bottom"/>
          </w:tcPr>
          <w:p w14:paraId="70199E0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12" w:space="0" w:color="000000"/>
            </w:tcBorders>
            <w:vAlign w:val="bottom"/>
          </w:tcPr>
          <w:p w14:paraId="21D1637E"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12" w:space="0" w:color="000000"/>
            </w:tcBorders>
            <w:shd w:val="clear" w:color="auto" w:fill="auto"/>
            <w:vAlign w:val="bottom"/>
          </w:tcPr>
          <w:p w14:paraId="78E29B8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12" w:space="0" w:color="000000"/>
            </w:tcBorders>
            <w:shd w:val="clear" w:color="auto" w:fill="auto"/>
            <w:vAlign w:val="bottom"/>
          </w:tcPr>
          <w:p w14:paraId="2875AA8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12" w:space="0" w:color="000000"/>
            </w:tcBorders>
            <w:shd w:val="clear" w:color="auto" w:fill="auto"/>
            <w:vAlign w:val="bottom"/>
          </w:tcPr>
          <w:p w14:paraId="451C4CF8"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73A659F4" w14:textId="77777777" w:rsidTr="001B330E">
        <w:trPr>
          <w:trHeight w:val="23"/>
        </w:trPr>
        <w:tc>
          <w:tcPr>
            <w:tcW w:w="1971" w:type="pct"/>
            <w:shd w:val="clear" w:color="auto" w:fill="auto"/>
            <w:vAlign w:val="bottom"/>
          </w:tcPr>
          <w:p w14:paraId="446F0201" w14:textId="77777777" w:rsidR="00D83E33" w:rsidRPr="00E837F2" w:rsidRDefault="00BC4072">
            <w:pPr>
              <w:widowControl w:val="0"/>
              <w:pBdr>
                <w:top w:val="nil"/>
                <w:left w:val="nil"/>
                <w:bottom w:val="nil"/>
                <w:right w:val="nil"/>
                <w:between w:val="nil"/>
              </w:pBdr>
              <w:ind w:left="113" w:hanging="113"/>
              <w:rPr>
                <w:b/>
                <w:i/>
                <w:color w:val="000000"/>
              </w:rPr>
            </w:pPr>
            <w:r w:rsidRPr="00E837F2">
              <w:rPr>
                <w:b/>
                <w:i/>
                <w:color w:val="000000"/>
              </w:rPr>
              <w:t>Consumer loans</w:t>
            </w:r>
          </w:p>
        </w:tc>
        <w:tc>
          <w:tcPr>
            <w:tcW w:w="606" w:type="pct"/>
            <w:vAlign w:val="bottom"/>
          </w:tcPr>
          <w:p w14:paraId="71ACBD9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AF188B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F17C0D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4E779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64F84C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E988561" w14:textId="77777777" w:rsidTr="001B330E">
        <w:trPr>
          <w:trHeight w:val="23"/>
        </w:trPr>
        <w:tc>
          <w:tcPr>
            <w:tcW w:w="1971" w:type="pct"/>
            <w:shd w:val="clear" w:color="auto" w:fill="auto"/>
            <w:vAlign w:val="bottom"/>
          </w:tcPr>
          <w:p w14:paraId="4FD5C94B"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vAlign w:val="bottom"/>
          </w:tcPr>
          <w:p w14:paraId="57983290"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vAlign w:val="bottom"/>
          </w:tcPr>
          <w:p w14:paraId="04D8A2D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05ECEF5A"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6DA6F4D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shd w:val="clear" w:color="auto" w:fill="auto"/>
            <w:vAlign w:val="bottom"/>
          </w:tcPr>
          <w:p w14:paraId="390C795C"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69E0AD4A" w14:textId="77777777" w:rsidTr="001B330E">
        <w:trPr>
          <w:trHeight w:val="23"/>
        </w:trPr>
        <w:tc>
          <w:tcPr>
            <w:tcW w:w="1971" w:type="pct"/>
            <w:shd w:val="clear" w:color="auto" w:fill="auto"/>
            <w:vAlign w:val="bottom"/>
          </w:tcPr>
          <w:p w14:paraId="2C41B49A"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Excellent</w:t>
            </w:r>
          </w:p>
          <w:p w14:paraId="6FBA5408"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5A3699C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BB7916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C52429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D2300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C88DF0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3EDAB7C" w14:textId="77777777" w:rsidTr="001B330E">
        <w:trPr>
          <w:trHeight w:val="23"/>
        </w:trPr>
        <w:tc>
          <w:tcPr>
            <w:tcW w:w="1971" w:type="pct"/>
            <w:shd w:val="clear" w:color="auto" w:fill="auto"/>
            <w:vAlign w:val="bottom"/>
          </w:tcPr>
          <w:p w14:paraId="6B64CDFE"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153F688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C9917F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396FA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7CCBA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49DC72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F0600C" w14:textId="77777777" w:rsidTr="001B330E">
        <w:trPr>
          <w:trHeight w:val="23"/>
        </w:trPr>
        <w:tc>
          <w:tcPr>
            <w:tcW w:w="1971" w:type="pct"/>
            <w:shd w:val="clear" w:color="auto" w:fill="auto"/>
            <w:vAlign w:val="bottom"/>
          </w:tcPr>
          <w:p w14:paraId="3FD8941B"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72B6A46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3CDE00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1859D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3C4DA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7BB58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18CCCE3" w14:textId="77777777" w:rsidTr="001B330E">
        <w:trPr>
          <w:trHeight w:val="23"/>
        </w:trPr>
        <w:tc>
          <w:tcPr>
            <w:tcW w:w="1971" w:type="pct"/>
            <w:shd w:val="clear" w:color="auto" w:fill="auto"/>
            <w:vAlign w:val="bottom"/>
          </w:tcPr>
          <w:p w14:paraId="69A1A24B"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78DC13B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DECAEE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BFF2EA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ACDEB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E8A84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55AB29D" w14:textId="77777777" w:rsidTr="001B330E">
        <w:trPr>
          <w:trHeight w:val="23"/>
        </w:trPr>
        <w:tc>
          <w:tcPr>
            <w:tcW w:w="1971" w:type="pct"/>
            <w:tcBorders>
              <w:bottom w:val="single" w:sz="4" w:space="0" w:color="000000"/>
            </w:tcBorders>
            <w:shd w:val="clear" w:color="auto" w:fill="auto"/>
            <w:vAlign w:val="bottom"/>
          </w:tcPr>
          <w:p w14:paraId="719D0EAF"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314930D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5FE32C8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29300605"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3263B28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35C4AE2D"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417B53A4" w14:textId="77777777" w:rsidTr="001B330E">
        <w:trPr>
          <w:trHeight w:val="23"/>
        </w:trPr>
        <w:tc>
          <w:tcPr>
            <w:tcW w:w="1971" w:type="pct"/>
            <w:tcBorders>
              <w:top w:val="single" w:sz="4" w:space="0" w:color="000000"/>
            </w:tcBorders>
            <w:shd w:val="clear" w:color="auto" w:fill="auto"/>
            <w:vAlign w:val="bottom"/>
          </w:tcPr>
          <w:p w14:paraId="138308B4"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24F1A8CD"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65E577E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2F365C1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5377E9DF"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3A53F218"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14D5844A" w14:textId="77777777" w:rsidTr="001B330E">
        <w:trPr>
          <w:trHeight w:val="23"/>
        </w:trPr>
        <w:tc>
          <w:tcPr>
            <w:tcW w:w="1971" w:type="pct"/>
            <w:shd w:val="clear" w:color="auto" w:fill="auto"/>
            <w:vAlign w:val="bottom"/>
          </w:tcPr>
          <w:p w14:paraId="33449B03"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69FB932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3497A4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E44B8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328F8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B8EFD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5BDE4F0" w14:textId="77777777" w:rsidTr="001B330E">
        <w:trPr>
          <w:trHeight w:val="23"/>
        </w:trPr>
        <w:tc>
          <w:tcPr>
            <w:tcW w:w="1971" w:type="pct"/>
            <w:tcBorders>
              <w:bottom w:val="single" w:sz="4" w:space="0" w:color="000000"/>
            </w:tcBorders>
            <w:shd w:val="clear" w:color="auto" w:fill="auto"/>
            <w:vAlign w:val="bottom"/>
          </w:tcPr>
          <w:p w14:paraId="5E40D06A"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778861E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46219EC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12D4546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76B73B7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6E719068"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76B61A4E" w14:textId="77777777" w:rsidTr="001B330E">
        <w:trPr>
          <w:trHeight w:val="23"/>
        </w:trPr>
        <w:tc>
          <w:tcPr>
            <w:tcW w:w="1971" w:type="pct"/>
            <w:tcBorders>
              <w:top w:val="single" w:sz="4" w:space="0" w:color="000000"/>
            </w:tcBorders>
            <w:shd w:val="clear" w:color="auto" w:fill="auto"/>
            <w:vAlign w:val="bottom"/>
          </w:tcPr>
          <w:p w14:paraId="3104881B"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15E6412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3D5DA09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4BE5FE7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51601DFB"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shd w:val="clear" w:color="auto" w:fill="auto"/>
            <w:vAlign w:val="bottom"/>
          </w:tcPr>
          <w:p w14:paraId="6F6AFE99"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7906CD19" w14:textId="77777777" w:rsidTr="001B330E">
        <w:trPr>
          <w:trHeight w:val="23"/>
        </w:trPr>
        <w:tc>
          <w:tcPr>
            <w:tcW w:w="1971" w:type="pct"/>
            <w:shd w:val="clear" w:color="auto" w:fill="auto"/>
            <w:vAlign w:val="bottom"/>
          </w:tcPr>
          <w:p w14:paraId="431C23BD" w14:textId="77777777" w:rsidR="00D83E33" w:rsidRPr="00E837F2" w:rsidRDefault="00BC4072">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2993D7D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7CB0B5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7F256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CBCD7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964CA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C077812" w14:textId="77777777" w:rsidTr="001B330E">
        <w:trPr>
          <w:trHeight w:val="23"/>
        </w:trPr>
        <w:tc>
          <w:tcPr>
            <w:tcW w:w="1971" w:type="pct"/>
            <w:tcBorders>
              <w:bottom w:val="single" w:sz="4" w:space="0" w:color="000000"/>
            </w:tcBorders>
            <w:shd w:val="clear" w:color="auto" w:fill="auto"/>
            <w:vAlign w:val="bottom"/>
          </w:tcPr>
          <w:p w14:paraId="14F727A7"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bottom w:val="single" w:sz="4" w:space="0" w:color="000000"/>
            </w:tcBorders>
            <w:vAlign w:val="bottom"/>
          </w:tcPr>
          <w:p w14:paraId="68B8F6F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vAlign w:val="bottom"/>
          </w:tcPr>
          <w:p w14:paraId="1AE7AF56"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453E39E7"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7F402D94"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4" w:space="0" w:color="000000"/>
            </w:tcBorders>
            <w:shd w:val="clear" w:color="auto" w:fill="auto"/>
            <w:vAlign w:val="bottom"/>
          </w:tcPr>
          <w:p w14:paraId="5C217EB9"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705ED58D" w14:textId="77777777" w:rsidTr="001B330E">
        <w:trPr>
          <w:trHeight w:val="23"/>
        </w:trPr>
        <w:tc>
          <w:tcPr>
            <w:tcW w:w="1971" w:type="pct"/>
            <w:tcBorders>
              <w:top w:val="single" w:sz="4" w:space="0" w:color="000000"/>
            </w:tcBorders>
            <w:vAlign w:val="bottom"/>
          </w:tcPr>
          <w:p w14:paraId="1595FD7E" w14:textId="77777777" w:rsidR="00D83E33" w:rsidRPr="001B330E" w:rsidRDefault="00D83E33">
            <w:pPr>
              <w:widowControl w:val="0"/>
              <w:pBdr>
                <w:top w:val="nil"/>
                <w:left w:val="nil"/>
                <w:bottom w:val="nil"/>
                <w:right w:val="nil"/>
                <w:between w:val="nil"/>
              </w:pBdr>
              <w:ind w:left="113" w:hanging="113"/>
              <w:rPr>
                <w:color w:val="000000"/>
                <w:szCs w:val="16"/>
              </w:rPr>
            </w:pPr>
          </w:p>
        </w:tc>
        <w:tc>
          <w:tcPr>
            <w:tcW w:w="606" w:type="pct"/>
            <w:tcBorders>
              <w:top w:val="single" w:sz="4" w:space="0" w:color="000000"/>
            </w:tcBorders>
            <w:vAlign w:val="bottom"/>
          </w:tcPr>
          <w:p w14:paraId="362A920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1A310CC8"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66C4204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0D166862"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top w:val="single" w:sz="4" w:space="0" w:color="000000"/>
            </w:tcBorders>
            <w:vAlign w:val="bottom"/>
          </w:tcPr>
          <w:p w14:paraId="2FAF3A5D"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837F2" w14:paraId="0A3134CB" w14:textId="77777777" w:rsidTr="001B330E">
        <w:trPr>
          <w:trHeight w:val="23"/>
        </w:trPr>
        <w:tc>
          <w:tcPr>
            <w:tcW w:w="1971" w:type="pct"/>
            <w:vAlign w:val="bottom"/>
          </w:tcPr>
          <w:p w14:paraId="01338547" w14:textId="77777777" w:rsidR="00D83E33" w:rsidRPr="00E837F2" w:rsidRDefault="00BC4072">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308C9C6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D5A052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1854CD4"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1E1291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5F103F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596AE57" w14:textId="77777777" w:rsidTr="001B330E">
        <w:trPr>
          <w:trHeight w:val="23"/>
        </w:trPr>
        <w:tc>
          <w:tcPr>
            <w:tcW w:w="1971" w:type="pct"/>
            <w:tcBorders>
              <w:bottom w:val="single" w:sz="12" w:space="0" w:color="000000"/>
            </w:tcBorders>
            <w:vAlign w:val="bottom"/>
          </w:tcPr>
          <w:p w14:paraId="1CC311B9" w14:textId="77777777" w:rsidR="00D83E33" w:rsidRPr="001B330E" w:rsidRDefault="00D83E33">
            <w:pPr>
              <w:widowControl w:val="0"/>
              <w:pBdr>
                <w:top w:val="nil"/>
                <w:left w:val="nil"/>
                <w:bottom w:val="nil"/>
                <w:right w:val="nil"/>
                <w:between w:val="nil"/>
              </w:pBdr>
              <w:ind w:left="113" w:hanging="113"/>
              <w:rPr>
                <w:b/>
                <w:color w:val="000000"/>
                <w:szCs w:val="16"/>
              </w:rPr>
            </w:pPr>
          </w:p>
        </w:tc>
        <w:tc>
          <w:tcPr>
            <w:tcW w:w="606" w:type="pct"/>
            <w:tcBorders>
              <w:bottom w:val="single" w:sz="12" w:space="0" w:color="000000"/>
            </w:tcBorders>
            <w:vAlign w:val="bottom"/>
          </w:tcPr>
          <w:p w14:paraId="028BAA5C"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4313337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52AA72F3"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7008C019" w14:textId="77777777" w:rsidR="00D83E33" w:rsidRPr="001B330E" w:rsidRDefault="00D83E33">
            <w:pPr>
              <w:widowControl w:val="0"/>
              <w:pBdr>
                <w:top w:val="nil"/>
                <w:left w:val="nil"/>
                <w:bottom w:val="nil"/>
                <w:right w:val="nil"/>
                <w:between w:val="nil"/>
              </w:pBdr>
              <w:jc w:val="right"/>
              <w:rPr>
                <w:color w:val="000000"/>
                <w:szCs w:val="16"/>
              </w:rPr>
            </w:pPr>
          </w:p>
        </w:tc>
        <w:tc>
          <w:tcPr>
            <w:tcW w:w="606" w:type="pct"/>
            <w:tcBorders>
              <w:bottom w:val="single" w:sz="12" w:space="0" w:color="000000"/>
            </w:tcBorders>
            <w:vAlign w:val="bottom"/>
          </w:tcPr>
          <w:p w14:paraId="1ABE6789" w14:textId="77777777" w:rsidR="00D83E33" w:rsidRPr="001B330E" w:rsidRDefault="00D83E33">
            <w:pPr>
              <w:widowControl w:val="0"/>
              <w:pBdr>
                <w:top w:val="nil"/>
                <w:left w:val="nil"/>
                <w:bottom w:val="nil"/>
                <w:right w:val="nil"/>
                <w:between w:val="nil"/>
              </w:pBdr>
              <w:jc w:val="right"/>
              <w:rPr>
                <w:color w:val="000000"/>
                <w:szCs w:val="16"/>
              </w:rPr>
            </w:pPr>
          </w:p>
        </w:tc>
      </w:tr>
    </w:tbl>
    <w:p w14:paraId="50AB0297" w14:textId="12E17004" w:rsidR="00D83E33" w:rsidRDefault="00BC4072" w:rsidP="001B330E">
      <w:pPr>
        <w:pStyle w:val="Continued"/>
      </w:pPr>
      <w:r>
        <w:lastRenderedPageBreak/>
        <w:t>11</w:t>
      </w:r>
      <w:r>
        <w:tab/>
        <w:t>Loans and Advances to Customers (Continued)</w:t>
      </w:r>
    </w:p>
    <w:tbl>
      <w:tblPr>
        <w:tblStyle w:val="afffff8"/>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408DD56D" w14:textId="77777777" w:rsidTr="001B330E">
        <w:trPr>
          <w:trHeight w:val="23"/>
        </w:trPr>
        <w:tc>
          <w:tcPr>
            <w:tcW w:w="1971" w:type="pct"/>
            <w:tcBorders>
              <w:bottom w:val="single" w:sz="4" w:space="0" w:color="000000"/>
            </w:tcBorders>
            <w:vAlign w:val="bottom"/>
          </w:tcPr>
          <w:p w14:paraId="4B8F4388" w14:textId="08A0D8AC"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521E88BB"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78703CFB"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04E05B3A"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2E18853B"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tcPr>
          <w:p w14:paraId="7DBBF502"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2EB33FF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2DAACD4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tcPr>
          <w:p w14:paraId="0C9162F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47044CC9" w14:textId="77777777" w:rsidTr="001B330E">
        <w:trPr>
          <w:trHeight w:val="23"/>
        </w:trPr>
        <w:tc>
          <w:tcPr>
            <w:tcW w:w="1971" w:type="pct"/>
            <w:vAlign w:val="bottom"/>
          </w:tcPr>
          <w:p w14:paraId="1C418593" w14:textId="77777777" w:rsidR="00D83E33" w:rsidRPr="00E837F2" w:rsidRDefault="00BC4072" w:rsidP="001B330E">
            <w:pPr>
              <w:widowControl w:val="0"/>
              <w:ind w:left="113" w:hanging="113"/>
            </w:pPr>
            <w:r w:rsidRPr="00E837F2">
              <w:t> </w:t>
            </w:r>
          </w:p>
        </w:tc>
        <w:tc>
          <w:tcPr>
            <w:tcW w:w="606" w:type="pct"/>
            <w:vAlign w:val="bottom"/>
          </w:tcPr>
          <w:p w14:paraId="18AE1D1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A9FAAA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A63206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7DE4DA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6550742"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ECDC2AD" w14:textId="77777777" w:rsidTr="001B330E">
        <w:trPr>
          <w:trHeight w:val="23"/>
        </w:trPr>
        <w:tc>
          <w:tcPr>
            <w:tcW w:w="1971" w:type="pct"/>
            <w:shd w:val="clear" w:color="auto" w:fill="auto"/>
            <w:vAlign w:val="bottom"/>
          </w:tcPr>
          <w:p w14:paraId="0B02A4BF"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Car loans</w:t>
            </w:r>
          </w:p>
        </w:tc>
        <w:tc>
          <w:tcPr>
            <w:tcW w:w="606" w:type="pct"/>
            <w:vAlign w:val="bottom"/>
          </w:tcPr>
          <w:p w14:paraId="7F76F22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1358A6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E0C6EF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E09946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08F26BB"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8EB411A" w14:textId="77777777" w:rsidTr="001B330E">
        <w:trPr>
          <w:trHeight w:val="23"/>
        </w:trPr>
        <w:tc>
          <w:tcPr>
            <w:tcW w:w="1971" w:type="pct"/>
            <w:shd w:val="clear" w:color="auto" w:fill="auto"/>
            <w:vAlign w:val="bottom"/>
          </w:tcPr>
          <w:p w14:paraId="66B2528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621492E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A5498E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A7AF93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AB6786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536230B"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78E214C" w14:textId="77777777" w:rsidTr="001B330E">
        <w:trPr>
          <w:trHeight w:val="23"/>
        </w:trPr>
        <w:tc>
          <w:tcPr>
            <w:tcW w:w="1971" w:type="pct"/>
            <w:shd w:val="clear" w:color="auto" w:fill="auto"/>
            <w:vAlign w:val="bottom"/>
          </w:tcPr>
          <w:p w14:paraId="142D4FB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295743E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3D5699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D3F6EF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590AF4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AA21862"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B8CD0E9" w14:textId="77777777" w:rsidTr="001B330E">
        <w:trPr>
          <w:trHeight w:val="23"/>
        </w:trPr>
        <w:tc>
          <w:tcPr>
            <w:tcW w:w="1971" w:type="pct"/>
            <w:shd w:val="clear" w:color="auto" w:fill="auto"/>
            <w:vAlign w:val="bottom"/>
          </w:tcPr>
          <w:p w14:paraId="02A0353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5725E88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45563D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AE360A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FFFE00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6433674"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2400B35" w14:textId="77777777" w:rsidTr="001B330E">
        <w:trPr>
          <w:trHeight w:val="23"/>
        </w:trPr>
        <w:tc>
          <w:tcPr>
            <w:tcW w:w="1971" w:type="pct"/>
            <w:shd w:val="clear" w:color="auto" w:fill="auto"/>
            <w:vAlign w:val="bottom"/>
          </w:tcPr>
          <w:p w14:paraId="1437738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2E56F54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90B8CD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B26DFD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D66C6E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AE9467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F7252EE" w14:textId="77777777" w:rsidTr="001B330E">
        <w:trPr>
          <w:trHeight w:val="23"/>
        </w:trPr>
        <w:tc>
          <w:tcPr>
            <w:tcW w:w="1971" w:type="pct"/>
            <w:shd w:val="clear" w:color="auto" w:fill="auto"/>
            <w:vAlign w:val="bottom"/>
          </w:tcPr>
          <w:p w14:paraId="0DFAC5E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6886D3A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771C7D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30C62B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D33D7A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8E40A78"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F1108D1" w14:textId="77777777" w:rsidTr="001B330E">
        <w:trPr>
          <w:trHeight w:val="23"/>
        </w:trPr>
        <w:tc>
          <w:tcPr>
            <w:tcW w:w="1971" w:type="pct"/>
            <w:shd w:val="clear" w:color="auto" w:fill="auto"/>
            <w:vAlign w:val="bottom"/>
          </w:tcPr>
          <w:p w14:paraId="5FE4720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59F6640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C69692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2F468A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5603DF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836F2E4"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CD94499" w14:textId="77777777" w:rsidTr="001B330E">
        <w:trPr>
          <w:trHeight w:val="23"/>
        </w:trPr>
        <w:tc>
          <w:tcPr>
            <w:tcW w:w="1971" w:type="pct"/>
            <w:tcBorders>
              <w:bottom w:val="single" w:sz="4" w:space="0" w:color="000000"/>
            </w:tcBorders>
            <w:shd w:val="clear" w:color="auto" w:fill="auto"/>
            <w:vAlign w:val="bottom"/>
          </w:tcPr>
          <w:p w14:paraId="5B8C1AA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28E78BF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5F1D3B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953911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5F1B3A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4863CDA"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11B78EA" w14:textId="77777777" w:rsidTr="001B330E">
        <w:trPr>
          <w:trHeight w:val="23"/>
        </w:trPr>
        <w:tc>
          <w:tcPr>
            <w:tcW w:w="1971" w:type="pct"/>
            <w:tcBorders>
              <w:top w:val="single" w:sz="4" w:space="0" w:color="000000"/>
            </w:tcBorders>
            <w:shd w:val="clear" w:color="auto" w:fill="auto"/>
            <w:vAlign w:val="bottom"/>
          </w:tcPr>
          <w:p w14:paraId="56296D6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E57281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0A9D71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EAE6EC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4DD33D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51BA87D"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20B17E5" w14:textId="77777777" w:rsidTr="001B330E">
        <w:trPr>
          <w:trHeight w:val="23"/>
        </w:trPr>
        <w:tc>
          <w:tcPr>
            <w:tcW w:w="1971" w:type="pct"/>
            <w:shd w:val="clear" w:color="auto" w:fill="auto"/>
            <w:vAlign w:val="bottom"/>
          </w:tcPr>
          <w:p w14:paraId="65FA50A5"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4EF4A72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ABD5B8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D6C69F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32AC7A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B3958A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CB7F85F" w14:textId="77777777" w:rsidTr="001B330E">
        <w:trPr>
          <w:trHeight w:val="23"/>
        </w:trPr>
        <w:tc>
          <w:tcPr>
            <w:tcW w:w="1971" w:type="pct"/>
            <w:tcBorders>
              <w:bottom w:val="single" w:sz="4" w:space="0" w:color="000000"/>
            </w:tcBorders>
            <w:shd w:val="clear" w:color="auto" w:fill="auto"/>
            <w:vAlign w:val="bottom"/>
          </w:tcPr>
          <w:p w14:paraId="2EA0977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1E0747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AE011A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113190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4B2F84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0EBAF7B"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D5698CC" w14:textId="77777777" w:rsidTr="001B330E">
        <w:trPr>
          <w:trHeight w:val="23"/>
        </w:trPr>
        <w:tc>
          <w:tcPr>
            <w:tcW w:w="1971" w:type="pct"/>
            <w:tcBorders>
              <w:top w:val="single" w:sz="4" w:space="0" w:color="000000"/>
            </w:tcBorders>
            <w:shd w:val="clear" w:color="auto" w:fill="auto"/>
            <w:vAlign w:val="bottom"/>
          </w:tcPr>
          <w:p w14:paraId="58C0238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E2116F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67BD34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765562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5A7370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AF753C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CA9E86A" w14:textId="77777777" w:rsidTr="001B330E">
        <w:trPr>
          <w:trHeight w:val="23"/>
        </w:trPr>
        <w:tc>
          <w:tcPr>
            <w:tcW w:w="1971" w:type="pct"/>
            <w:shd w:val="clear" w:color="auto" w:fill="auto"/>
            <w:vAlign w:val="bottom"/>
          </w:tcPr>
          <w:p w14:paraId="4E307BD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350C982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F35622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E03AAD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DBED6A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D3E5E06"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264240F" w14:textId="77777777" w:rsidTr="001B330E">
        <w:trPr>
          <w:trHeight w:val="23"/>
        </w:trPr>
        <w:tc>
          <w:tcPr>
            <w:tcW w:w="1971" w:type="pct"/>
            <w:shd w:val="clear" w:color="auto" w:fill="auto"/>
            <w:vAlign w:val="bottom"/>
          </w:tcPr>
          <w:p w14:paraId="4D461B5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1594147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CE167E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E5CDB5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B58911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FC4224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1269914" w14:textId="77777777" w:rsidTr="001B330E">
        <w:trPr>
          <w:trHeight w:val="23"/>
        </w:trPr>
        <w:tc>
          <w:tcPr>
            <w:tcW w:w="1971" w:type="pct"/>
            <w:tcBorders>
              <w:top w:val="single" w:sz="4" w:space="0" w:color="000000"/>
            </w:tcBorders>
            <w:shd w:val="clear" w:color="auto" w:fill="auto"/>
            <w:vAlign w:val="bottom"/>
          </w:tcPr>
          <w:p w14:paraId="36C82F9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8D75D8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92C909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DB3A45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FB4228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C9E54C2"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01711AC" w14:textId="77777777" w:rsidTr="001B330E">
        <w:trPr>
          <w:trHeight w:val="23"/>
        </w:trPr>
        <w:tc>
          <w:tcPr>
            <w:tcW w:w="1971" w:type="pct"/>
            <w:shd w:val="clear" w:color="auto" w:fill="auto"/>
            <w:vAlign w:val="bottom"/>
          </w:tcPr>
          <w:p w14:paraId="10CB5ED3"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65016DD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2E08D6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B9C90C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06A707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E697E17"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8045F0C" w14:textId="77777777" w:rsidTr="001B330E">
        <w:trPr>
          <w:trHeight w:val="23"/>
        </w:trPr>
        <w:tc>
          <w:tcPr>
            <w:tcW w:w="1971" w:type="pct"/>
            <w:tcBorders>
              <w:bottom w:val="single" w:sz="12" w:space="0" w:color="000000"/>
            </w:tcBorders>
            <w:shd w:val="clear" w:color="auto" w:fill="auto"/>
            <w:vAlign w:val="bottom"/>
          </w:tcPr>
          <w:p w14:paraId="500DBAB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39C1DAE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5CF7752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C5663F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944B0F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B452E0D"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39325AC" w14:textId="77777777" w:rsidTr="001B330E">
        <w:trPr>
          <w:trHeight w:val="23"/>
        </w:trPr>
        <w:tc>
          <w:tcPr>
            <w:tcW w:w="1971" w:type="pct"/>
            <w:tcBorders>
              <w:top w:val="single" w:sz="12" w:space="0" w:color="000000"/>
            </w:tcBorders>
            <w:shd w:val="clear" w:color="auto" w:fill="auto"/>
            <w:vAlign w:val="bottom"/>
          </w:tcPr>
          <w:p w14:paraId="6ABF1D4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12" w:space="0" w:color="000000"/>
            </w:tcBorders>
            <w:vAlign w:val="bottom"/>
          </w:tcPr>
          <w:p w14:paraId="40D34FC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12" w:space="0" w:color="000000"/>
            </w:tcBorders>
            <w:vAlign w:val="bottom"/>
          </w:tcPr>
          <w:p w14:paraId="05A7C84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10BC115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19F2B2A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12" w:space="0" w:color="000000"/>
            </w:tcBorders>
            <w:shd w:val="clear" w:color="auto" w:fill="auto"/>
            <w:vAlign w:val="bottom"/>
          </w:tcPr>
          <w:p w14:paraId="0EBCFF1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1524D9B" w14:textId="77777777" w:rsidTr="001B330E">
        <w:trPr>
          <w:trHeight w:val="23"/>
        </w:trPr>
        <w:tc>
          <w:tcPr>
            <w:tcW w:w="1971" w:type="pct"/>
            <w:shd w:val="clear" w:color="auto" w:fill="auto"/>
            <w:vAlign w:val="bottom"/>
          </w:tcPr>
          <w:p w14:paraId="3F18E4D1"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Credit cards</w:t>
            </w:r>
          </w:p>
        </w:tc>
        <w:tc>
          <w:tcPr>
            <w:tcW w:w="606" w:type="pct"/>
            <w:vAlign w:val="bottom"/>
          </w:tcPr>
          <w:p w14:paraId="390EFBA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ED8BAF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B8A51C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4701F4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C6CB46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4244944" w14:textId="77777777" w:rsidTr="001B330E">
        <w:trPr>
          <w:trHeight w:val="23"/>
        </w:trPr>
        <w:tc>
          <w:tcPr>
            <w:tcW w:w="1971" w:type="pct"/>
            <w:shd w:val="clear" w:color="auto" w:fill="auto"/>
            <w:vAlign w:val="bottom"/>
          </w:tcPr>
          <w:p w14:paraId="0D77F9E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4EBA7DB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3759FC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280A93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CE91EE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652DE3A"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6494525" w14:textId="77777777" w:rsidTr="001B330E">
        <w:trPr>
          <w:trHeight w:val="23"/>
        </w:trPr>
        <w:tc>
          <w:tcPr>
            <w:tcW w:w="1971" w:type="pct"/>
            <w:shd w:val="clear" w:color="auto" w:fill="auto"/>
            <w:vAlign w:val="bottom"/>
          </w:tcPr>
          <w:p w14:paraId="4F1B624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p w14:paraId="6896674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6D050A0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755F66D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7F9494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17E114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C697F66"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B67D2F6" w14:textId="77777777" w:rsidTr="001B330E">
        <w:trPr>
          <w:trHeight w:val="23"/>
        </w:trPr>
        <w:tc>
          <w:tcPr>
            <w:tcW w:w="1971" w:type="pct"/>
            <w:shd w:val="clear" w:color="auto" w:fill="auto"/>
            <w:vAlign w:val="bottom"/>
          </w:tcPr>
          <w:p w14:paraId="33EE752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5E115BC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AFA5F0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21D17F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12D38F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EEE6A1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F48B142" w14:textId="77777777" w:rsidTr="001B330E">
        <w:trPr>
          <w:trHeight w:val="23"/>
        </w:trPr>
        <w:tc>
          <w:tcPr>
            <w:tcW w:w="1971" w:type="pct"/>
            <w:shd w:val="clear" w:color="auto" w:fill="auto"/>
            <w:vAlign w:val="bottom"/>
          </w:tcPr>
          <w:p w14:paraId="7914F79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346C307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58CAEA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1144F6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337C28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D2E2B86"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943EBF3" w14:textId="77777777" w:rsidTr="001B330E">
        <w:trPr>
          <w:trHeight w:val="23"/>
        </w:trPr>
        <w:tc>
          <w:tcPr>
            <w:tcW w:w="1971" w:type="pct"/>
            <w:shd w:val="clear" w:color="auto" w:fill="auto"/>
            <w:vAlign w:val="bottom"/>
          </w:tcPr>
          <w:p w14:paraId="52C51B4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6EB5293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6FB37C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E98105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AB75F7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7D59F1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4484268" w14:textId="77777777" w:rsidTr="001B330E">
        <w:trPr>
          <w:trHeight w:val="23"/>
        </w:trPr>
        <w:tc>
          <w:tcPr>
            <w:tcW w:w="1971" w:type="pct"/>
            <w:tcBorders>
              <w:bottom w:val="single" w:sz="4" w:space="0" w:color="000000"/>
            </w:tcBorders>
            <w:shd w:val="clear" w:color="auto" w:fill="auto"/>
            <w:vAlign w:val="bottom"/>
          </w:tcPr>
          <w:p w14:paraId="5DBF998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A71982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2E5D36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5ECC13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6BDDCF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CD28BC1"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B945849" w14:textId="77777777" w:rsidTr="001B330E">
        <w:trPr>
          <w:trHeight w:val="23"/>
        </w:trPr>
        <w:tc>
          <w:tcPr>
            <w:tcW w:w="1971" w:type="pct"/>
            <w:tcBorders>
              <w:top w:val="single" w:sz="4" w:space="0" w:color="000000"/>
            </w:tcBorders>
            <w:shd w:val="clear" w:color="auto" w:fill="auto"/>
            <w:vAlign w:val="bottom"/>
          </w:tcPr>
          <w:p w14:paraId="03285AB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E2CC42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66E8D7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A36425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E9C906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75B7B42"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C0E3BDC" w14:textId="77777777" w:rsidTr="001B330E">
        <w:trPr>
          <w:trHeight w:val="23"/>
        </w:trPr>
        <w:tc>
          <w:tcPr>
            <w:tcW w:w="1971" w:type="pct"/>
            <w:shd w:val="clear" w:color="auto" w:fill="auto"/>
            <w:vAlign w:val="bottom"/>
          </w:tcPr>
          <w:p w14:paraId="750BC308"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5F45F3E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9ABCC3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EC5991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D8EFC0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1671E9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4FDB1F5" w14:textId="77777777" w:rsidTr="001B330E">
        <w:trPr>
          <w:trHeight w:val="23"/>
        </w:trPr>
        <w:tc>
          <w:tcPr>
            <w:tcW w:w="1971" w:type="pct"/>
            <w:tcBorders>
              <w:bottom w:val="single" w:sz="4" w:space="0" w:color="000000"/>
            </w:tcBorders>
            <w:shd w:val="clear" w:color="auto" w:fill="auto"/>
            <w:vAlign w:val="bottom"/>
          </w:tcPr>
          <w:p w14:paraId="591B440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60EC4D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FA1902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424A05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C27A72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8439D7D"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3AE8F6E" w14:textId="77777777" w:rsidTr="001B330E">
        <w:trPr>
          <w:trHeight w:val="23"/>
        </w:trPr>
        <w:tc>
          <w:tcPr>
            <w:tcW w:w="1971" w:type="pct"/>
            <w:tcBorders>
              <w:top w:val="single" w:sz="4" w:space="0" w:color="000000"/>
            </w:tcBorders>
            <w:shd w:val="clear" w:color="auto" w:fill="auto"/>
            <w:vAlign w:val="bottom"/>
          </w:tcPr>
          <w:p w14:paraId="03A0CCE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AE1D65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4E9B82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54B82F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CED32A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2BCE51F"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0B6A8E1" w14:textId="77777777" w:rsidTr="001B330E">
        <w:trPr>
          <w:trHeight w:val="23"/>
        </w:trPr>
        <w:tc>
          <w:tcPr>
            <w:tcW w:w="1971" w:type="pct"/>
            <w:shd w:val="clear" w:color="auto" w:fill="auto"/>
            <w:vAlign w:val="bottom"/>
          </w:tcPr>
          <w:p w14:paraId="0AC15F8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3779AB1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1A6237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DAA90D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382C24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A63C62F"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5ABBEBE" w14:textId="77777777" w:rsidTr="001B330E">
        <w:trPr>
          <w:trHeight w:val="23"/>
        </w:trPr>
        <w:tc>
          <w:tcPr>
            <w:tcW w:w="1971" w:type="pct"/>
            <w:tcBorders>
              <w:bottom w:val="single" w:sz="4" w:space="0" w:color="000000"/>
            </w:tcBorders>
            <w:shd w:val="clear" w:color="auto" w:fill="auto"/>
            <w:vAlign w:val="bottom"/>
          </w:tcPr>
          <w:p w14:paraId="6A79953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555EDBF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328686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03AAFB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674712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C24AA72"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B84C6C9" w14:textId="77777777" w:rsidTr="001B330E">
        <w:trPr>
          <w:trHeight w:val="23"/>
        </w:trPr>
        <w:tc>
          <w:tcPr>
            <w:tcW w:w="1971" w:type="pct"/>
            <w:tcBorders>
              <w:top w:val="single" w:sz="4" w:space="0" w:color="000000"/>
            </w:tcBorders>
            <w:vAlign w:val="bottom"/>
          </w:tcPr>
          <w:p w14:paraId="18C1450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9812A3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B3DDE5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F889A3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68FD56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6FB2344"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2573B6E" w14:textId="77777777" w:rsidTr="001B330E">
        <w:trPr>
          <w:trHeight w:val="23"/>
        </w:trPr>
        <w:tc>
          <w:tcPr>
            <w:tcW w:w="1971" w:type="pct"/>
            <w:vAlign w:val="bottom"/>
          </w:tcPr>
          <w:p w14:paraId="2FCAFA1E"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18EA165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768898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070220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8D5822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1EE69A3"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2993FD0" w14:textId="77777777" w:rsidTr="001B330E">
        <w:trPr>
          <w:trHeight w:val="23"/>
        </w:trPr>
        <w:tc>
          <w:tcPr>
            <w:tcW w:w="1971" w:type="pct"/>
            <w:tcBorders>
              <w:bottom w:val="single" w:sz="12" w:space="0" w:color="000000"/>
            </w:tcBorders>
            <w:vAlign w:val="bottom"/>
          </w:tcPr>
          <w:p w14:paraId="678F9AB0" w14:textId="77777777" w:rsidR="00D83E33" w:rsidRPr="00E837F2" w:rsidRDefault="00D83E33" w:rsidP="001B330E">
            <w:pPr>
              <w:widowControl w:val="0"/>
              <w:pBdr>
                <w:top w:val="nil"/>
                <w:left w:val="nil"/>
                <w:bottom w:val="nil"/>
                <w:right w:val="nil"/>
                <w:between w:val="nil"/>
              </w:pBdr>
              <w:ind w:left="113" w:hanging="113"/>
              <w:rPr>
                <w:b/>
                <w:color w:val="000000"/>
              </w:rPr>
            </w:pPr>
          </w:p>
        </w:tc>
        <w:tc>
          <w:tcPr>
            <w:tcW w:w="606" w:type="pct"/>
            <w:tcBorders>
              <w:bottom w:val="single" w:sz="12" w:space="0" w:color="000000"/>
            </w:tcBorders>
            <w:vAlign w:val="bottom"/>
          </w:tcPr>
          <w:p w14:paraId="0B2E46D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9600B4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449DA1F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6E5AA41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2656FF9F" w14:textId="77777777" w:rsidR="00D83E33" w:rsidRPr="00E837F2" w:rsidRDefault="00D83E33" w:rsidP="001B330E">
            <w:pPr>
              <w:widowControl w:val="0"/>
              <w:pBdr>
                <w:top w:val="nil"/>
                <w:left w:val="nil"/>
                <w:bottom w:val="nil"/>
                <w:right w:val="nil"/>
                <w:between w:val="nil"/>
              </w:pBdr>
              <w:jc w:val="right"/>
              <w:rPr>
                <w:color w:val="000000"/>
              </w:rPr>
            </w:pPr>
          </w:p>
        </w:tc>
      </w:tr>
    </w:tbl>
    <w:p w14:paraId="7C321295"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For description of the credit risk grading used in the tables above refer to Note </w:t>
      </w:r>
      <w:hyperlink w:anchor="_heading=h.1egqt2p">
        <w:r>
          <w:rPr>
            <w:color w:val="000000"/>
            <w:sz w:val="20"/>
            <w:szCs w:val="20"/>
          </w:rPr>
          <w:t>43</w:t>
        </w:r>
      </w:hyperlink>
      <w:r>
        <w:rPr>
          <w:color w:val="000000"/>
          <w:sz w:val="20"/>
          <w:szCs w:val="20"/>
        </w:rPr>
        <w:t>.</w:t>
      </w:r>
    </w:p>
    <w:p w14:paraId="27FFE06E"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Economic sector risk concentrations within the customer loan portfolio are as follows:</w:t>
      </w:r>
    </w:p>
    <w:tbl>
      <w:tblPr>
        <w:tblStyle w:val="afffff9"/>
        <w:tblW w:w="5000" w:type="pct"/>
        <w:tblLayout w:type="fixed"/>
        <w:tblLook w:val="0000" w:firstRow="0" w:lastRow="0" w:firstColumn="0" w:lastColumn="0" w:noHBand="0" w:noVBand="0"/>
      </w:tblPr>
      <w:tblGrid>
        <w:gridCol w:w="3943"/>
        <w:gridCol w:w="1353"/>
        <w:gridCol w:w="1353"/>
        <w:gridCol w:w="1353"/>
        <w:gridCol w:w="1353"/>
      </w:tblGrid>
      <w:tr w:rsidR="00D83E33" w:rsidRPr="00E837F2" w14:paraId="64B0E3A0" w14:textId="77777777" w:rsidTr="001B330E">
        <w:trPr>
          <w:trHeight w:val="23"/>
        </w:trPr>
        <w:tc>
          <w:tcPr>
            <w:tcW w:w="2107" w:type="pct"/>
            <w:vMerge w:val="restart"/>
            <w:vAlign w:val="bottom"/>
          </w:tcPr>
          <w:p w14:paraId="1E51B102" w14:textId="1DA4E0CE"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1446" w:type="pct"/>
            <w:gridSpan w:val="2"/>
            <w:tcBorders>
              <w:bottom w:val="single" w:sz="4" w:space="0" w:color="000000"/>
            </w:tcBorders>
            <w:vAlign w:val="bottom"/>
          </w:tcPr>
          <w:p w14:paraId="3F00536C" w14:textId="3BF66518" w:rsidR="00D83E33" w:rsidRPr="00E837F2" w:rsidRDefault="00541EBC" w:rsidP="001B330E">
            <w:pPr>
              <w:widowControl w:val="0"/>
              <w:pBdr>
                <w:top w:val="nil"/>
                <w:left w:val="nil"/>
                <w:bottom w:val="nil"/>
                <w:right w:val="nil"/>
                <w:between w:val="nil"/>
              </w:pBdr>
              <w:jc w:val="center"/>
              <w:rPr>
                <w:b/>
                <w:color w:val="000000"/>
              </w:rPr>
            </w:pPr>
            <w:r>
              <w:rPr>
                <w:b/>
                <w:color w:val="000000"/>
              </w:rPr>
              <w:t>2024</w:t>
            </w:r>
          </w:p>
        </w:tc>
        <w:tc>
          <w:tcPr>
            <w:tcW w:w="1446" w:type="pct"/>
            <w:gridSpan w:val="2"/>
            <w:tcBorders>
              <w:bottom w:val="single" w:sz="4" w:space="0" w:color="000000"/>
            </w:tcBorders>
            <w:vAlign w:val="bottom"/>
          </w:tcPr>
          <w:p w14:paraId="0A8D2AD5" w14:textId="76912A86" w:rsidR="00D83E33" w:rsidRPr="00E837F2" w:rsidRDefault="00541EBC" w:rsidP="001B330E">
            <w:pPr>
              <w:widowControl w:val="0"/>
              <w:pBdr>
                <w:top w:val="nil"/>
                <w:left w:val="nil"/>
                <w:bottom w:val="nil"/>
                <w:right w:val="nil"/>
                <w:between w:val="nil"/>
              </w:pBdr>
              <w:jc w:val="center"/>
              <w:rPr>
                <w:b/>
                <w:color w:val="000000"/>
              </w:rPr>
            </w:pPr>
            <w:r>
              <w:rPr>
                <w:b/>
                <w:color w:val="000000"/>
              </w:rPr>
              <w:t>2023</w:t>
            </w:r>
          </w:p>
        </w:tc>
      </w:tr>
      <w:tr w:rsidR="00D83E33" w:rsidRPr="00E837F2" w14:paraId="4C70BDA5" w14:textId="77777777" w:rsidTr="001B330E">
        <w:trPr>
          <w:trHeight w:val="23"/>
        </w:trPr>
        <w:tc>
          <w:tcPr>
            <w:tcW w:w="2107" w:type="pct"/>
            <w:vMerge/>
            <w:vAlign w:val="bottom"/>
          </w:tcPr>
          <w:p w14:paraId="71195E71" w14:textId="77777777" w:rsidR="00D83E33" w:rsidRPr="00E837F2" w:rsidRDefault="00D83E33" w:rsidP="001B330E">
            <w:pPr>
              <w:widowControl w:val="0"/>
              <w:pBdr>
                <w:top w:val="nil"/>
                <w:left w:val="nil"/>
                <w:bottom w:val="nil"/>
                <w:right w:val="nil"/>
                <w:between w:val="nil"/>
              </w:pBdr>
              <w:ind w:left="113" w:hanging="113"/>
              <w:rPr>
                <w:b/>
                <w:color w:val="000000"/>
              </w:rPr>
            </w:pPr>
          </w:p>
        </w:tc>
        <w:tc>
          <w:tcPr>
            <w:tcW w:w="723" w:type="pct"/>
            <w:tcBorders>
              <w:bottom w:val="single" w:sz="4" w:space="0" w:color="000000"/>
            </w:tcBorders>
            <w:vAlign w:val="bottom"/>
          </w:tcPr>
          <w:p w14:paraId="754915C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Amount</w:t>
            </w:r>
          </w:p>
        </w:tc>
        <w:tc>
          <w:tcPr>
            <w:tcW w:w="723" w:type="pct"/>
            <w:tcBorders>
              <w:bottom w:val="single" w:sz="4" w:space="0" w:color="000000"/>
            </w:tcBorders>
            <w:vAlign w:val="bottom"/>
          </w:tcPr>
          <w:p w14:paraId="0FD54F8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w:t>
            </w:r>
          </w:p>
        </w:tc>
        <w:tc>
          <w:tcPr>
            <w:tcW w:w="723" w:type="pct"/>
            <w:tcBorders>
              <w:bottom w:val="single" w:sz="4" w:space="0" w:color="000000"/>
            </w:tcBorders>
            <w:vAlign w:val="bottom"/>
          </w:tcPr>
          <w:p w14:paraId="0558DEF7"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Amount</w:t>
            </w:r>
          </w:p>
        </w:tc>
        <w:tc>
          <w:tcPr>
            <w:tcW w:w="723" w:type="pct"/>
            <w:tcBorders>
              <w:bottom w:val="single" w:sz="4" w:space="0" w:color="000000"/>
            </w:tcBorders>
            <w:vAlign w:val="bottom"/>
          </w:tcPr>
          <w:p w14:paraId="3D6E52F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w:t>
            </w:r>
          </w:p>
        </w:tc>
      </w:tr>
      <w:tr w:rsidR="00D83E33" w:rsidRPr="00E837F2" w14:paraId="5EDDA349" w14:textId="77777777" w:rsidTr="001B330E">
        <w:trPr>
          <w:trHeight w:val="23"/>
        </w:trPr>
        <w:tc>
          <w:tcPr>
            <w:tcW w:w="2107" w:type="pct"/>
            <w:vAlign w:val="bottom"/>
          </w:tcPr>
          <w:p w14:paraId="1C28317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723" w:type="pct"/>
            <w:vAlign w:val="bottom"/>
          </w:tcPr>
          <w:p w14:paraId="4CFE89DB"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5BFB786A"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59475CE3"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21C35D43"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9AD8D8E" w14:textId="77777777" w:rsidTr="001B330E">
        <w:trPr>
          <w:trHeight w:val="23"/>
        </w:trPr>
        <w:tc>
          <w:tcPr>
            <w:tcW w:w="2107" w:type="pct"/>
            <w:vAlign w:val="bottom"/>
          </w:tcPr>
          <w:p w14:paraId="77CE207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State and public organisations</w:t>
            </w:r>
          </w:p>
        </w:tc>
        <w:tc>
          <w:tcPr>
            <w:tcW w:w="723" w:type="pct"/>
            <w:vAlign w:val="bottom"/>
          </w:tcPr>
          <w:p w14:paraId="39BFE26D"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115E32D0"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65D0066A"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7892FAD4"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413FE9B" w14:textId="77777777" w:rsidTr="001B330E">
        <w:trPr>
          <w:trHeight w:val="23"/>
        </w:trPr>
        <w:tc>
          <w:tcPr>
            <w:tcW w:w="2107" w:type="pct"/>
            <w:vAlign w:val="bottom"/>
          </w:tcPr>
          <w:p w14:paraId="521C41D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Cities and municipalities</w:t>
            </w:r>
          </w:p>
        </w:tc>
        <w:tc>
          <w:tcPr>
            <w:tcW w:w="723" w:type="pct"/>
            <w:vAlign w:val="bottom"/>
          </w:tcPr>
          <w:p w14:paraId="211703B1"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0AF55952"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0170653A"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4FE80BA8"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9A8F8BA" w14:textId="77777777" w:rsidTr="001B330E">
        <w:trPr>
          <w:trHeight w:val="23"/>
        </w:trPr>
        <w:tc>
          <w:tcPr>
            <w:tcW w:w="2107" w:type="pct"/>
            <w:vAlign w:val="bottom"/>
          </w:tcPr>
          <w:p w14:paraId="5E1B45B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Manufacturing</w:t>
            </w:r>
          </w:p>
        </w:tc>
        <w:tc>
          <w:tcPr>
            <w:tcW w:w="723" w:type="pct"/>
            <w:vAlign w:val="bottom"/>
          </w:tcPr>
          <w:p w14:paraId="574D78C8"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521F768F"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1C1426FD"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4C2885F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8EDA56F" w14:textId="77777777" w:rsidTr="001B330E">
        <w:trPr>
          <w:trHeight w:val="23"/>
        </w:trPr>
        <w:tc>
          <w:tcPr>
            <w:tcW w:w="2107" w:type="pct"/>
            <w:vAlign w:val="bottom"/>
          </w:tcPr>
          <w:p w14:paraId="725ACBC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Real estate</w:t>
            </w:r>
          </w:p>
        </w:tc>
        <w:tc>
          <w:tcPr>
            <w:tcW w:w="723" w:type="pct"/>
            <w:vAlign w:val="bottom"/>
          </w:tcPr>
          <w:p w14:paraId="2048E485"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27737798"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13BFBB51"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3D81D5A3"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7038C34" w14:textId="77777777" w:rsidTr="001B330E">
        <w:trPr>
          <w:trHeight w:val="23"/>
        </w:trPr>
        <w:tc>
          <w:tcPr>
            <w:tcW w:w="2107" w:type="pct"/>
            <w:vAlign w:val="bottom"/>
          </w:tcPr>
          <w:p w14:paraId="0FF0574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Trade</w:t>
            </w:r>
          </w:p>
        </w:tc>
        <w:tc>
          <w:tcPr>
            <w:tcW w:w="723" w:type="pct"/>
            <w:vAlign w:val="bottom"/>
          </w:tcPr>
          <w:p w14:paraId="12515BB2"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56377CC7"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29BAB237"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7A53AC3D"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C6C94D4" w14:textId="77777777" w:rsidTr="001B330E">
        <w:trPr>
          <w:trHeight w:val="23"/>
        </w:trPr>
        <w:tc>
          <w:tcPr>
            <w:tcW w:w="2107" w:type="pct"/>
            <w:vAlign w:val="bottom"/>
          </w:tcPr>
          <w:p w14:paraId="5E26A46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Agricultural</w:t>
            </w:r>
          </w:p>
        </w:tc>
        <w:tc>
          <w:tcPr>
            <w:tcW w:w="723" w:type="pct"/>
            <w:vAlign w:val="bottom"/>
          </w:tcPr>
          <w:p w14:paraId="0B7D9A20"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6C8E7286"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2FCC61A9"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4ECB684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771AFB2" w14:textId="77777777" w:rsidTr="001B330E">
        <w:trPr>
          <w:trHeight w:val="23"/>
        </w:trPr>
        <w:tc>
          <w:tcPr>
            <w:tcW w:w="2107" w:type="pct"/>
            <w:vAlign w:val="bottom"/>
          </w:tcPr>
          <w:p w14:paraId="1C9680D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Individuals</w:t>
            </w:r>
          </w:p>
        </w:tc>
        <w:tc>
          <w:tcPr>
            <w:tcW w:w="723" w:type="pct"/>
            <w:vAlign w:val="bottom"/>
          </w:tcPr>
          <w:p w14:paraId="54D90993"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25512DF6"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365CFCE0"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285DF44B"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40C15EB" w14:textId="77777777" w:rsidTr="001B330E">
        <w:trPr>
          <w:trHeight w:val="23"/>
        </w:trPr>
        <w:tc>
          <w:tcPr>
            <w:tcW w:w="2107" w:type="pct"/>
            <w:vAlign w:val="bottom"/>
          </w:tcPr>
          <w:p w14:paraId="1F6E205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Other</w:t>
            </w:r>
          </w:p>
        </w:tc>
        <w:tc>
          <w:tcPr>
            <w:tcW w:w="723" w:type="pct"/>
            <w:vAlign w:val="bottom"/>
          </w:tcPr>
          <w:p w14:paraId="5EDACFC4"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0B617436"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34B40593"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vAlign w:val="bottom"/>
          </w:tcPr>
          <w:p w14:paraId="79469697"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FD25AAA" w14:textId="77777777" w:rsidTr="001B330E">
        <w:trPr>
          <w:trHeight w:val="23"/>
        </w:trPr>
        <w:tc>
          <w:tcPr>
            <w:tcW w:w="2107" w:type="pct"/>
            <w:vAlign w:val="bottom"/>
          </w:tcPr>
          <w:p w14:paraId="7EB1A3F8" w14:textId="480823C2" w:rsidR="00D83E33" w:rsidRPr="00E837F2" w:rsidRDefault="00D83E33" w:rsidP="001B330E">
            <w:pPr>
              <w:widowControl w:val="0"/>
              <w:pBdr>
                <w:top w:val="nil"/>
                <w:left w:val="nil"/>
                <w:bottom w:val="nil"/>
                <w:right w:val="nil"/>
                <w:between w:val="nil"/>
              </w:pBdr>
              <w:ind w:left="113" w:hanging="113"/>
              <w:rPr>
                <w:i/>
                <w:color w:val="FF0000"/>
              </w:rPr>
            </w:pPr>
          </w:p>
        </w:tc>
        <w:tc>
          <w:tcPr>
            <w:tcW w:w="723" w:type="pct"/>
            <w:vAlign w:val="bottom"/>
          </w:tcPr>
          <w:p w14:paraId="7FEC6BDB" w14:textId="77777777" w:rsidR="00D83E33" w:rsidRPr="00E837F2" w:rsidRDefault="00D83E33" w:rsidP="001B330E">
            <w:pPr>
              <w:widowControl w:val="0"/>
              <w:pBdr>
                <w:top w:val="nil"/>
                <w:left w:val="nil"/>
                <w:bottom w:val="nil"/>
                <w:right w:val="nil"/>
                <w:between w:val="nil"/>
              </w:pBdr>
              <w:jc w:val="right"/>
              <w:rPr>
                <w:i/>
                <w:color w:val="000000"/>
              </w:rPr>
            </w:pPr>
          </w:p>
        </w:tc>
        <w:tc>
          <w:tcPr>
            <w:tcW w:w="723" w:type="pct"/>
            <w:vAlign w:val="bottom"/>
          </w:tcPr>
          <w:p w14:paraId="2BF2C00C" w14:textId="77777777" w:rsidR="00D83E33" w:rsidRPr="00E837F2" w:rsidRDefault="00D83E33" w:rsidP="001B330E">
            <w:pPr>
              <w:widowControl w:val="0"/>
              <w:pBdr>
                <w:top w:val="nil"/>
                <w:left w:val="nil"/>
                <w:bottom w:val="nil"/>
                <w:right w:val="nil"/>
                <w:between w:val="nil"/>
              </w:pBdr>
              <w:jc w:val="right"/>
              <w:rPr>
                <w:i/>
                <w:color w:val="000000"/>
              </w:rPr>
            </w:pPr>
          </w:p>
        </w:tc>
        <w:tc>
          <w:tcPr>
            <w:tcW w:w="723" w:type="pct"/>
            <w:vAlign w:val="bottom"/>
          </w:tcPr>
          <w:p w14:paraId="1ABE6035" w14:textId="77777777" w:rsidR="00D83E33" w:rsidRPr="00E837F2" w:rsidRDefault="00D83E33" w:rsidP="001B330E">
            <w:pPr>
              <w:widowControl w:val="0"/>
              <w:pBdr>
                <w:top w:val="nil"/>
                <w:left w:val="nil"/>
                <w:bottom w:val="nil"/>
                <w:right w:val="nil"/>
                <w:between w:val="nil"/>
              </w:pBdr>
              <w:jc w:val="right"/>
              <w:rPr>
                <w:i/>
                <w:color w:val="000000"/>
              </w:rPr>
            </w:pPr>
          </w:p>
        </w:tc>
        <w:tc>
          <w:tcPr>
            <w:tcW w:w="723" w:type="pct"/>
            <w:vAlign w:val="bottom"/>
          </w:tcPr>
          <w:p w14:paraId="147D8E8C" w14:textId="77777777" w:rsidR="00D83E33" w:rsidRPr="00E837F2" w:rsidRDefault="00D83E33" w:rsidP="001B330E">
            <w:pPr>
              <w:widowControl w:val="0"/>
              <w:pBdr>
                <w:top w:val="nil"/>
                <w:left w:val="nil"/>
                <w:bottom w:val="nil"/>
                <w:right w:val="nil"/>
                <w:between w:val="nil"/>
              </w:pBdr>
              <w:jc w:val="right"/>
              <w:rPr>
                <w:i/>
                <w:color w:val="000000"/>
              </w:rPr>
            </w:pPr>
          </w:p>
        </w:tc>
      </w:tr>
      <w:tr w:rsidR="00D83E33" w:rsidRPr="00E837F2" w14:paraId="7DB742AB" w14:textId="77777777" w:rsidTr="001B330E">
        <w:trPr>
          <w:trHeight w:val="23"/>
        </w:trPr>
        <w:tc>
          <w:tcPr>
            <w:tcW w:w="2107" w:type="pct"/>
            <w:tcBorders>
              <w:bottom w:val="single" w:sz="4" w:space="0" w:color="000000"/>
            </w:tcBorders>
            <w:vAlign w:val="bottom"/>
          </w:tcPr>
          <w:p w14:paraId="33ED026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723" w:type="pct"/>
            <w:tcBorders>
              <w:bottom w:val="single" w:sz="4" w:space="0" w:color="000000"/>
            </w:tcBorders>
            <w:vAlign w:val="bottom"/>
          </w:tcPr>
          <w:p w14:paraId="2680F5D1"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tcBorders>
              <w:bottom w:val="single" w:sz="4" w:space="0" w:color="000000"/>
            </w:tcBorders>
            <w:vAlign w:val="bottom"/>
          </w:tcPr>
          <w:p w14:paraId="3C631DB4"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tcBorders>
              <w:bottom w:val="single" w:sz="4" w:space="0" w:color="000000"/>
            </w:tcBorders>
            <w:vAlign w:val="bottom"/>
          </w:tcPr>
          <w:p w14:paraId="417766DF"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tcBorders>
              <w:bottom w:val="single" w:sz="4" w:space="0" w:color="000000"/>
            </w:tcBorders>
            <w:vAlign w:val="bottom"/>
          </w:tcPr>
          <w:p w14:paraId="1CB242BE"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7CF4D87" w14:textId="77777777" w:rsidTr="001B330E">
        <w:trPr>
          <w:trHeight w:val="23"/>
        </w:trPr>
        <w:tc>
          <w:tcPr>
            <w:tcW w:w="2107" w:type="pct"/>
            <w:vAlign w:val="bottom"/>
          </w:tcPr>
          <w:p w14:paraId="7A859D8B" w14:textId="77777777" w:rsidR="00D83E33" w:rsidRPr="00E837F2" w:rsidRDefault="00BC4072" w:rsidP="001B330E">
            <w:pPr>
              <w:widowControl w:val="0"/>
              <w:ind w:left="113" w:hanging="113"/>
              <w:rPr>
                <w:b/>
              </w:rPr>
            </w:pPr>
            <w:r w:rsidRPr="00E837F2">
              <w:t> </w:t>
            </w:r>
          </w:p>
        </w:tc>
        <w:tc>
          <w:tcPr>
            <w:tcW w:w="723" w:type="pct"/>
            <w:vAlign w:val="bottom"/>
          </w:tcPr>
          <w:p w14:paraId="72F9CE69" w14:textId="77777777" w:rsidR="00D83E33" w:rsidRPr="00E837F2" w:rsidRDefault="00D83E33" w:rsidP="001B330E">
            <w:pPr>
              <w:widowControl w:val="0"/>
              <w:pBdr>
                <w:top w:val="nil"/>
                <w:left w:val="nil"/>
                <w:bottom w:val="nil"/>
                <w:right w:val="nil"/>
                <w:between w:val="nil"/>
              </w:pBdr>
              <w:jc w:val="right"/>
              <w:rPr>
                <w:b/>
                <w:color w:val="000000"/>
              </w:rPr>
            </w:pPr>
          </w:p>
        </w:tc>
        <w:tc>
          <w:tcPr>
            <w:tcW w:w="723" w:type="pct"/>
            <w:vAlign w:val="bottom"/>
          </w:tcPr>
          <w:p w14:paraId="74708827" w14:textId="77777777" w:rsidR="00D83E33" w:rsidRPr="00E837F2" w:rsidRDefault="00D83E33" w:rsidP="001B330E">
            <w:pPr>
              <w:widowControl w:val="0"/>
              <w:pBdr>
                <w:top w:val="nil"/>
                <w:left w:val="nil"/>
                <w:bottom w:val="nil"/>
                <w:right w:val="nil"/>
                <w:between w:val="nil"/>
              </w:pBdr>
              <w:jc w:val="right"/>
              <w:rPr>
                <w:b/>
                <w:color w:val="000000"/>
              </w:rPr>
            </w:pPr>
          </w:p>
        </w:tc>
        <w:tc>
          <w:tcPr>
            <w:tcW w:w="723" w:type="pct"/>
            <w:vAlign w:val="bottom"/>
          </w:tcPr>
          <w:p w14:paraId="1C2443AB" w14:textId="77777777" w:rsidR="00D83E33" w:rsidRPr="00E837F2" w:rsidRDefault="00D83E33" w:rsidP="001B330E">
            <w:pPr>
              <w:widowControl w:val="0"/>
              <w:pBdr>
                <w:top w:val="nil"/>
                <w:left w:val="nil"/>
                <w:bottom w:val="nil"/>
                <w:right w:val="nil"/>
                <w:between w:val="nil"/>
              </w:pBdr>
              <w:jc w:val="right"/>
              <w:rPr>
                <w:b/>
                <w:color w:val="000000"/>
              </w:rPr>
            </w:pPr>
          </w:p>
        </w:tc>
        <w:tc>
          <w:tcPr>
            <w:tcW w:w="723" w:type="pct"/>
            <w:vAlign w:val="bottom"/>
          </w:tcPr>
          <w:p w14:paraId="3644C892"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27BFE3E" w14:textId="77777777" w:rsidTr="001B330E">
        <w:trPr>
          <w:trHeight w:val="23"/>
        </w:trPr>
        <w:tc>
          <w:tcPr>
            <w:tcW w:w="2107" w:type="pct"/>
            <w:vAlign w:val="bottom"/>
          </w:tcPr>
          <w:p w14:paraId="36DDE845"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loans and advances to customers carried at AC and at FVTPL</w:t>
            </w:r>
          </w:p>
        </w:tc>
        <w:tc>
          <w:tcPr>
            <w:tcW w:w="723" w:type="pct"/>
            <w:vAlign w:val="bottom"/>
          </w:tcPr>
          <w:p w14:paraId="7A2469B1" w14:textId="77777777" w:rsidR="00D83E33" w:rsidRPr="00E837F2" w:rsidRDefault="00D83E33" w:rsidP="001B330E">
            <w:pPr>
              <w:widowControl w:val="0"/>
              <w:pBdr>
                <w:top w:val="nil"/>
                <w:left w:val="nil"/>
                <w:bottom w:val="nil"/>
                <w:right w:val="nil"/>
                <w:between w:val="nil"/>
              </w:pBdr>
              <w:jc w:val="right"/>
              <w:rPr>
                <w:b/>
                <w:color w:val="000000"/>
              </w:rPr>
            </w:pPr>
          </w:p>
        </w:tc>
        <w:tc>
          <w:tcPr>
            <w:tcW w:w="723" w:type="pct"/>
            <w:vAlign w:val="bottom"/>
          </w:tcPr>
          <w:p w14:paraId="61F7A834" w14:textId="77777777" w:rsidR="00D83E33" w:rsidRPr="00E837F2" w:rsidRDefault="00D83E33" w:rsidP="001B330E">
            <w:pPr>
              <w:widowControl w:val="0"/>
              <w:pBdr>
                <w:top w:val="nil"/>
                <w:left w:val="nil"/>
                <w:bottom w:val="nil"/>
                <w:right w:val="nil"/>
                <w:between w:val="nil"/>
              </w:pBdr>
              <w:jc w:val="right"/>
              <w:rPr>
                <w:b/>
                <w:color w:val="000000"/>
              </w:rPr>
            </w:pPr>
          </w:p>
        </w:tc>
        <w:tc>
          <w:tcPr>
            <w:tcW w:w="723" w:type="pct"/>
            <w:vAlign w:val="bottom"/>
          </w:tcPr>
          <w:p w14:paraId="74FCCB4C" w14:textId="77777777" w:rsidR="00D83E33" w:rsidRPr="00E837F2" w:rsidRDefault="00D83E33" w:rsidP="001B330E">
            <w:pPr>
              <w:widowControl w:val="0"/>
              <w:pBdr>
                <w:top w:val="nil"/>
                <w:left w:val="nil"/>
                <w:bottom w:val="nil"/>
                <w:right w:val="nil"/>
                <w:between w:val="nil"/>
              </w:pBdr>
              <w:jc w:val="right"/>
              <w:rPr>
                <w:b/>
                <w:color w:val="000000"/>
              </w:rPr>
            </w:pPr>
          </w:p>
        </w:tc>
        <w:tc>
          <w:tcPr>
            <w:tcW w:w="723" w:type="pct"/>
            <w:vAlign w:val="bottom"/>
          </w:tcPr>
          <w:p w14:paraId="21101ED8"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3701A1B" w14:textId="77777777" w:rsidTr="001B330E">
        <w:trPr>
          <w:trHeight w:val="23"/>
        </w:trPr>
        <w:tc>
          <w:tcPr>
            <w:tcW w:w="2107" w:type="pct"/>
            <w:tcBorders>
              <w:bottom w:val="single" w:sz="12" w:space="0" w:color="000000"/>
            </w:tcBorders>
            <w:vAlign w:val="bottom"/>
          </w:tcPr>
          <w:p w14:paraId="69D545B8" w14:textId="77777777" w:rsidR="00D83E33" w:rsidRPr="00E837F2" w:rsidRDefault="00BC4072" w:rsidP="001B330E">
            <w:pPr>
              <w:widowControl w:val="0"/>
              <w:ind w:left="113" w:hanging="113"/>
            </w:pPr>
            <w:r w:rsidRPr="00E837F2">
              <w:t> </w:t>
            </w:r>
          </w:p>
        </w:tc>
        <w:tc>
          <w:tcPr>
            <w:tcW w:w="723" w:type="pct"/>
            <w:tcBorders>
              <w:bottom w:val="single" w:sz="12" w:space="0" w:color="000000"/>
            </w:tcBorders>
            <w:vAlign w:val="bottom"/>
          </w:tcPr>
          <w:p w14:paraId="35E0A2B3"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tcBorders>
              <w:bottom w:val="single" w:sz="12" w:space="0" w:color="000000"/>
            </w:tcBorders>
            <w:vAlign w:val="bottom"/>
          </w:tcPr>
          <w:p w14:paraId="05CE8B5E"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tcBorders>
              <w:bottom w:val="single" w:sz="12" w:space="0" w:color="000000"/>
            </w:tcBorders>
            <w:vAlign w:val="bottom"/>
          </w:tcPr>
          <w:p w14:paraId="5FC53C8F" w14:textId="77777777" w:rsidR="00D83E33" w:rsidRPr="00E837F2" w:rsidRDefault="00D83E33" w:rsidP="001B330E">
            <w:pPr>
              <w:widowControl w:val="0"/>
              <w:pBdr>
                <w:top w:val="nil"/>
                <w:left w:val="nil"/>
                <w:bottom w:val="nil"/>
                <w:right w:val="nil"/>
                <w:between w:val="nil"/>
              </w:pBdr>
              <w:jc w:val="right"/>
              <w:rPr>
                <w:color w:val="000000"/>
              </w:rPr>
            </w:pPr>
          </w:p>
        </w:tc>
        <w:tc>
          <w:tcPr>
            <w:tcW w:w="723" w:type="pct"/>
            <w:tcBorders>
              <w:bottom w:val="single" w:sz="12" w:space="0" w:color="000000"/>
            </w:tcBorders>
            <w:vAlign w:val="bottom"/>
          </w:tcPr>
          <w:p w14:paraId="2CB1289F" w14:textId="77777777" w:rsidR="00D83E33" w:rsidRPr="00E837F2" w:rsidRDefault="00D83E33" w:rsidP="001B330E">
            <w:pPr>
              <w:widowControl w:val="0"/>
              <w:pBdr>
                <w:top w:val="nil"/>
                <w:left w:val="nil"/>
                <w:bottom w:val="nil"/>
                <w:right w:val="nil"/>
                <w:between w:val="nil"/>
              </w:pBdr>
              <w:jc w:val="right"/>
              <w:rPr>
                <w:color w:val="000000"/>
              </w:rPr>
            </w:pPr>
          </w:p>
        </w:tc>
      </w:tr>
    </w:tbl>
    <w:p w14:paraId="4FE208A7" w14:textId="77777777" w:rsidR="00D95E75" w:rsidRDefault="00D95E75" w:rsidP="001B330E">
      <w:pPr>
        <w:pStyle w:val="Continued"/>
      </w:pPr>
      <w:r>
        <w:lastRenderedPageBreak/>
        <w:t>11</w:t>
      </w:r>
      <w:r>
        <w:tab/>
        <w:t>Loans and Advances to Customers (Continued)</w:t>
      </w:r>
    </w:p>
    <w:p w14:paraId="1EA63615"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State and public organisations exclude government owned profit orientated businesses.</w:t>
      </w:r>
    </w:p>
    <w:p w14:paraId="5CC59D31" w14:textId="7B50B4EC"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the Group had _____ borrowers (</w:t>
      </w:r>
      <w:r w:rsidR="00541EBC">
        <w:rPr>
          <w:color w:val="000000"/>
          <w:sz w:val="20"/>
          <w:szCs w:val="20"/>
        </w:rPr>
        <w:t>2023</w:t>
      </w:r>
      <w:r>
        <w:rPr>
          <w:color w:val="000000"/>
          <w:sz w:val="20"/>
          <w:szCs w:val="20"/>
        </w:rPr>
        <w:t xml:space="preserve">: _____ borrowers) with aggregated loan amounts above </w:t>
      </w:r>
      <w:r w:rsidR="00D73799">
        <w:rPr>
          <w:color w:val="000000"/>
          <w:sz w:val="20"/>
          <w:szCs w:val="20"/>
        </w:rPr>
        <w:t>EUR</w:t>
      </w:r>
      <w:r>
        <w:rPr>
          <w:color w:val="000000"/>
          <w:sz w:val="20"/>
          <w:szCs w:val="20"/>
        </w:rPr>
        <w:t xml:space="preserve"> ______ thousand. The total aggregate amount of these loans was </w:t>
      </w:r>
      <w:r w:rsidR="00D73799">
        <w:rPr>
          <w:color w:val="000000"/>
          <w:sz w:val="20"/>
          <w:szCs w:val="20"/>
        </w:rPr>
        <w:t>EUR</w:t>
      </w:r>
      <w:r>
        <w:rPr>
          <w:color w:val="000000"/>
          <w:sz w:val="20"/>
          <w:szCs w:val="20"/>
        </w:rPr>
        <w:t> ______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______ thousand) or _____% of the gross loan portfolio (</w:t>
      </w:r>
      <w:r w:rsidR="00541EBC">
        <w:rPr>
          <w:color w:val="000000"/>
          <w:sz w:val="20"/>
          <w:szCs w:val="20"/>
        </w:rPr>
        <w:t>2023</w:t>
      </w:r>
      <w:r>
        <w:rPr>
          <w:color w:val="000000"/>
          <w:sz w:val="20"/>
          <w:szCs w:val="20"/>
        </w:rPr>
        <w:t xml:space="preserve">: _____%). </w:t>
      </w:r>
    </w:p>
    <w:p w14:paraId="242C4701" w14:textId="027B82E6" w:rsidR="00D83E33" w:rsidRDefault="00BC4072">
      <w:pPr>
        <w:widowControl w:val="0"/>
        <w:spacing w:before="200" w:after="200"/>
        <w:jc w:val="both"/>
        <w:rPr>
          <w:i/>
          <w:color w:val="FF0000"/>
          <w:sz w:val="20"/>
          <w:szCs w:val="20"/>
        </w:rPr>
      </w:pPr>
      <w:r>
        <w:rPr>
          <w:color w:val="000000"/>
          <w:sz w:val="20"/>
          <w:szCs w:val="20"/>
        </w:rPr>
        <w:t xml:space="preserve">The Group's policies regarding obtaining collateral have not significantly changed during the reporting period and there has been no significant change in the overall quality of the collateral held by the Group since the prior period. </w:t>
      </w:r>
      <w:r>
        <w:rPr>
          <w:sz w:val="20"/>
          <w:szCs w:val="20"/>
        </w:rPr>
        <w:t xml:space="preserve">Description of collateral held </w:t>
      </w:r>
      <w:r>
        <w:rPr>
          <w:color w:val="000000"/>
          <w:sz w:val="20"/>
          <w:szCs w:val="20"/>
        </w:rPr>
        <w:t xml:space="preserve">for loans to corporate customers carried at amortised cost </w:t>
      </w:r>
      <w:r>
        <w:rPr>
          <w:sz w:val="20"/>
          <w:szCs w:val="20"/>
        </w:rPr>
        <w:t>is as follows at 31</w:t>
      </w:r>
      <w:r w:rsidR="00181687">
        <w:rPr>
          <w:sz w:val="20"/>
          <w:szCs w:val="20"/>
        </w:rPr>
        <w:t> December </w:t>
      </w:r>
      <w:r w:rsidR="00541EBC">
        <w:rPr>
          <w:sz w:val="20"/>
          <w:szCs w:val="20"/>
        </w:rPr>
        <w:t>2024</w:t>
      </w:r>
      <w:r>
        <w:rPr>
          <w:sz w:val="20"/>
          <w:szCs w:val="20"/>
        </w:rPr>
        <w:t xml:space="preserve">: </w:t>
      </w:r>
    </w:p>
    <w:tbl>
      <w:tblPr>
        <w:tblStyle w:val="afffffa"/>
        <w:tblW w:w="5000" w:type="pct"/>
        <w:tblLayout w:type="fixed"/>
        <w:tblLook w:val="0000" w:firstRow="0" w:lastRow="0" w:firstColumn="0" w:lastColumn="0" w:noHBand="0" w:noVBand="0"/>
      </w:tblPr>
      <w:tblGrid>
        <w:gridCol w:w="2592"/>
        <w:gridCol w:w="845"/>
        <w:gridCol w:w="846"/>
        <w:gridCol w:w="846"/>
        <w:gridCol w:w="846"/>
        <w:gridCol w:w="846"/>
        <w:gridCol w:w="846"/>
        <w:gridCol w:w="846"/>
        <w:gridCol w:w="842"/>
      </w:tblGrid>
      <w:tr w:rsidR="00D83E33" w:rsidRPr="00E837F2" w14:paraId="7E503249" w14:textId="77777777" w:rsidTr="001B330E">
        <w:trPr>
          <w:trHeight w:val="23"/>
        </w:trPr>
        <w:tc>
          <w:tcPr>
            <w:tcW w:w="1386" w:type="pct"/>
            <w:tcBorders>
              <w:bottom w:val="single" w:sz="6" w:space="0" w:color="000000"/>
            </w:tcBorders>
            <w:vAlign w:val="bottom"/>
          </w:tcPr>
          <w:p w14:paraId="51ACC1E9" w14:textId="428D8408" w:rsidR="00D83E33" w:rsidRPr="00E837F2" w:rsidRDefault="00313B4D" w:rsidP="001B330E">
            <w:pPr>
              <w:widowControl w:val="0"/>
              <w:ind w:left="113" w:hanging="113"/>
              <w:rPr>
                <w:i/>
                <w:color w:val="000000"/>
              </w:rPr>
            </w:pPr>
            <w:r>
              <w:rPr>
                <w:i/>
                <w:color w:val="000000"/>
              </w:rPr>
              <w:t xml:space="preserve">In thousands of </w:t>
            </w:r>
            <w:r w:rsidR="002649EE">
              <w:rPr>
                <w:i/>
                <w:color w:val="000000"/>
              </w:rPr>
              <w:t>EUR</w:t>
            </w:r>
          </w:p>
        </w:tc>
        <w:tc>
          <w:tcPr>
            <w:tcW w:w="452" w:type="pct"/>
            <w:tcBorders>
              <w:bottom w:val="single" w:sz="6" w:space="0" w:color="000000"/>
            </w:tcBorders>
          </w:tcPr>
          <w:p w14:paraId="6B97EB99" w14:textId="77777777" w:rsidR="00D83E33" w:rsidRPr="00E837F2" w:rsidRDefault="00BC4072">
            <w:pPr>
              <w:widowControl w:val="0"/>
              <w:ind w:left="-113"/>
              <w:jc w:val="right"/>
              <w:rPr>
                <w:b/>
                <w:color w:val="000000"/>
              </w:rPr>
            </w:pPr>
            <w:r w:rsidRPr="00E837F2">
              <w:rPr>
                <w:b/>
                <w:color w:val="000000"/>
              </w:rPr>
              <w:t>Stan-dard lending</w:t>
            </w:r>
          </w:p>
        </w:tc>
        <w:tc>
          <w:tcPr>
            <w:tcW w:w="452" w:type="pct"/>
            <w:tcBorders>
              <w:bottom w:val="single" w:sz="6" w:space="0" w:color="000000"/>
            </w:tcBorders>
          </w:tcPr>
          <w:p w14:paraId="3E363243" w14:textId="77777777" w:rsidR="00D83E33" w:rsidRPr="00E837F2" w:rsidRDefault="00BC4072">
            <w:pPr>
              <w:widowControl w:val="0"/>
              <w:ind w:left="-113"/>
              <w:jc w:val="right"/>
              <w:rPr>
                <w:b/>
                <w:color w:val="000000"/>
              </w:rPr>
            </w:pPr>
            <w:r w:rsidRPr="00E837F2">
              <w:rPr>
                <w:b/>
                <w:color w:val="000000"/>
              </w:rPr>
              <w:t>Specia-lised lending</w:t>
            </w:r>
          </w:p>
        </w:tc>
        <w:tc>
          <w:tcPr>
            <w:tcW w:w="452" w:type="pct"/>
            <w:tcBorders>
              <w:bottom w:val="single" w:sz="6" w:space="0" w:color="000000"/>
            </w:tcBorders>
          </w:tcPr>
          <w:p w14:paraId="4032FA8C" w14:textId="77777777" w:rsidR="00D83E33" w:rsidRPr="00E837F2" w:rsidRDefault="00BC4072">
            <w:pPr>
              <w:widowControl w:val="0"/>
              <w:ind w:left="-113"/>
              <w:jc w:val="right"/>
              <w:rPr>
                <w:b/>
                <w:color w:val="000000"/>
              </w:rPr>
            </w:pPr>
            <w:r w:rsidRPr="00E837F2">
              <w:rPr>
                <w:b/>
                <w:color w:val="000000"/>
              </w:rPr>
              <w:t>Loans to sove-reigns</w:t>
            </w:r>
          </w:p>
        </w:tc>
        <w:tc>
          <w:tcPr>
            <w:tcW w:w="452" w:type="pct"/>
            <w:tcBorders>
              <w:bottom w:val="single" w:sz="6" w:space="0" w:color="000000"/>
            </w:tcBorders>
          </w:tcPr>
          <w:p w14:paraId="7EC2AE43" w14:textId="77777777" w:rsidR="00D83E33" w:rsidRPr="00E837F2" w:rsidRDefault="00BC4072">
            <w:pPr>
              <w:widowControl w:val="0"/>
              <w:ind w:left="-113"/>
              <w:jc w:val="right"/>
              <w:rPr>
                <w:b/>
                <w:color w:val="000000"/>
              </w:rPr>
            </w:pPr>
            <w:r w:rsidRPr="00E837F2">
              <w:rPr>
                <w:b/>
                <w:color w:val="000000"/>
              </w:rPr>
              <w:t>Loans to sub-sove-reigns</w:t>
            </w:r>
          </w:p>
        </w:tc>
        <w:tc>
          <w:tcPr>
            <w:tcW w:w="452" w:type="pct"/>
            <w:tcBorders>
              <w:bottom w:val="single" w:sz="6" w:space="0" w:color="000000"/>
            </w:tcBorders>
          </w:tcPr>
          <w:p w14:paraId="0DA445A4" w14:textId="77777777" w:rsidR="00D83E33" w:rsidRPr="00E837F2" w:rsidRDefault="00BC4072">
            <w:pPr>
              <w:widowControl w:val="0"/>
              <w:ind w:left="-113"/>
              <w:jc w:val="right"/>
              <w:rPr>
                <w:b/>
                <w:color w:val="000000"/>
              </w:rPr>
            </w:pPr>
            <w:r w:rsidRPr="00E837F2">
              <w:rPr>
                <w:b/>
                <w:color w:val="000000"/>
              </w:rPr>
              <w:t>Loans to SME</w:t>
            </w:r>
          </w:p>
        </w:tc>
        <w:tc>
          <w:tcPr>
            <w:tcW w:w="452" w:type="pct"/>
            <w:tcBorders>
              <w:bottom w:val="single" w:sz="6" w:space="0" w:color="000000"/>
            </w:tcBorders>
          </w:tcPr>
          <w:p w14:paraId="72105D72" w14:textId="77777777" w:rsidR="00D83E33" w:rsidRPr="00E837F2" w:rsidRDefault="00BC4072">
            <w:pPr>
              <w:widowControl w:val="0"/>
              <w:ind w:left="-113"/>
              <w:jc w:val="right"/>
              <w:rPr>
                <w:b/>
                <w:color w:val="000000"/>
              </w:rPr>
            </w:pPr>
            <w:r w:rsidRPr="00E837F2">
              <w:rPr>
                <w:b/>
                <w:color w:val="000000"/>
              </w:rPr>
              <w:t>Loans to leasing compa-nies</w:t>
            </w:r>
          </w:p>
        </w:tc>
        <w:tc>
          <w:tcPr>
            <w:tcW w:w="452" w:type="pct"/>
            <w:tcBorders>
              <w:bottom w:val="single" w:sz="6" w:space="0" w:color="000000"/>
            </w:tcBorders>
          </w:tcPr>
          <w:p w14:paraId="78DDD971" w14:textId="268C5C9F" w:rsidR="00D83E33" w:rsidRPr="00E837F2" w:rsidRDefault="00BC4072">
            <w:pPr>
              <w:widowControl w:val="0"/>
              <w:ind w:left="-113"/>
              <w:jc w:val="right"/>
              <w:rPr>
                <w:b/>
                <w:color w:val="000000"/>
              </w:rPr>
            </w:pPr>
            <w:r w:rsidRPr="00E837F2">
              <w:rPr>
                <w:b/>
                <w:color w:val="000000"/>
              </w:rPr>
              <w:t>Reverse sale and repur-chase agree-ments</w:t>
            </w:r>
          </w:p>
        </w:tc>
        <w:tc>
          <w:tcPr>
            <w:tcW w:w="451" w:type="pct"/>
            <w:tcBorders>
              <w:bottom w:val="single" w:sz="6" w:space="0" w:color="000000"/>
            </w:tcBorders>
          </w:tcPr>
          <w:p w14:paraId="71EBCE24" w14:textId="77777777" w:rsidR="00D83E33" w:rsidRPr="00E837F2" w:rsidRDefault="00BC4072">
            <w:pPr>
              <w:widowControl w:val="0"/>
              <w:ind w:left="-113"/>
              <w:jc w:val="right"/>
              <w:rPr>
                <w:b/>
                <w:color w:val="000000"/>
              </w:rPr>
            </w:pPr>
            <w:r w:rsidRPr="00E837F2">
              <w:rPr>
                <w:b/>
                <w:color w:val="000000"/>
              </w:rPr>
              <w:t>Total</w:t>
            </w:r>
          </w:p>
        </w:tc>
      </w:tr>
      <w:tr w:rsidR="00D83E33" w:rsidRPr="00E837F2" w14:paraId="3744C0B0" w14:textId="77777777" w:rsidTr="001B330E">
        <w:trPr>
          <w:trHeight w:val="23"/>
        </w:trPr>
        <w:tc>
          <w:tcPr>
            <w:tcW w:w="1386" w:type="pct"/>
            <w:tcBorders>
              <w:top w:val="single" w:sz="6" w:space="0" w:color="000000"/>
            </w:tcBorders>
            <w:vAlign w:val="bottom"/>
          </w:tcPr>
          <w:p w14:paraId="65A61A6C" w14:textId="77777777" w:rsidR="00D83E33" w:rsidRPr="00E837F2" w:rsidRDefault="00D83E33" w:rsidP="001B330E">
            <w:pPr>
              <w:widowControl w:val="0"/>
              <w:ind w:left="113" w:hanging="113"/>
              <w:rPr>
                <w:b/>
                <w:color w:val="000000"/>
              </w:rPr>
            </w:pPr>
          </w:p>
        </w:tc>
        <w:tc>
          <w:tcPr>
            <w:tcW w:w="452" w:type="pct"/>
            <w:tcBorders>
              <w:top w:val="single" w:sz="6" w:space="0" w:color="000000"/>
            </w:tcBorders>
            <w:vAlign w:val="bottom"/>
          </w:tcPr>
          <w:p w14:paraId="30507D79" w14:textId="77777777" w:rsidR="00D83E33" w:rsidRPr="00E837F2" w:rsidRDefault="00D83E33">
            <w:pPr>
              <w:widowControl w:val="0"/>
              <w:jc w:val="right"/>
              <w:rPr>
                <w:b/>
                <w:color w:val="000000"/>
              </w:rPr>
            </w:pPr>
          </w:p>
        </w:tc>
        <w:tc>
          <w:tcPr>
            <w:tcW w:w="452" w:type="pct"/>
            <w:tcBorders>
              <w:top w:val="single" w:sz="6" w:space="0" w:color="000000"/>
            </w:tcBorders>
            <w:vAlign w:val="bottom"/>
          </w:tcPr>
          <w:p w14:paraId="1AEA5570" w14:textId="77777777" w:rsidR="00D83E33" w:rsidRPr="00E837F2" w:rsidRDefault="00D83E33">
            <w:pPr>
              <w:widowControl w:val="0"/>
              <w:jc w:val="right"/>
              <w:rPr>
                <w:b/>
                <w:color w:val="000000"/>
              </w:rPr>
            </w:pPr>
          </w:p>
        </w:tc>
        <w:tc>
          <w:tcPr>
            <w:tcW w:w="452" w:type="pct"/>
            <w:tcBorders>
              <w:top w:val="single" w:sz="6" w:space="0" w:color="000000"/>
            </w:tcBorders>
            <w:vAlign w:val="bottom"/>
          </w:tcPr>
          <w:p w14:paraId="2ADC724B" w14:textId="77777777" w:rsidR="00D83E33" w:rsidRPr="00E837F2" w:rsidRDefault="00D83E33">
            <w:pPr>
              <w:widowControl w:val="0"/>
              <w:jc w:val="right"/>
              <w:rPr>
                <w:b/>
                <w:color w:val="000000"/>
              </w:rPr>
            </w:pPr>
          </w:p>
        </w:tc>
        <w:tc>
          <w:tcPr>
            <w:tcW w:w="452" w:type="pct"/>
            <w:tcBorders>
              <w:top w:val="single" w:sz="6" w:space="0" w:color="000000"/>
            </w:tcBorders>
            <w:vAlign w:val="bottom"/>
          </w:tcPr>
          <w:p w14:paraId="66198175" w14:textId="77777777" w:rsidR="00D83E33" w:rsidRPr="00E837F2" w:rsidRDefault="00D83E33">
            <w:pPr>
              <w:widowControl w:val="0"/>
              <w:jc w:val="right"/>
              <w:rPr>
                <w:b/>
                <w:color w:val="000000"/>
              </w:rPr>
            </w:pPr>
          </w:p>
        </w:tc>
        <w:tc>
          <w:tcPr>
            <w:tcW w:w="452" w:type="pct"/>
            <w:tcBorders>
              <w:top w:val="single" w:sz="6" w:space="0" w:color="000000"/>
            </w:tcBorders>
            <w:vAlign w:val="bottom"/>
          </w:tcPr>
          <w:p w14:paraId="7B885A04" w14:textId="77777777" w:rsidR="00D83E33" w:rsidRPr="00E837F2" w:rsidRDefault="00D83E33">
            <w:pPr>
              <w:widowControl w:val="0"/>
              <w:jc w:val="right"/>
              <w:rPr>
                <w:b/>
                <w:color w:val="000000"/>
              </w:rPr>
            </w:pPr>
          </w:p>
        </w:tc>
        <w:tc>
          <w:tcPr>
            <w:tcW w:w="452" w:type="pct"/>
            <w:tcBorders>
              <w:top w:val="single" w:sz="6" w:space="0" w:color="000000"/>
            </w:tcBorders>
            <w:vAlign w:val="bottom"/>
          </w:tcPr>
          <w:p w14:paraId="38F2369A" w14:textId="77777777" w:rsidR="00D83E33" w:rsidRPr="00E837F2" w:rsidRDefault="00D83E33">
            <w:pPr>
              <w:widowControl w:val="0"/>
              <w:jc w:val="right"/>
              <w:rPr>
                <w:b/>
                <w:color w:val="000000"/>
              </w:rPr>
            </w:pPr>
          </w:p>
        </w:tc>
        <w:tc>
          <w:tcPr>
            <w:tcW w:w="452" w:type="pct"/>
            <w:tcBorders>
              <w:top w:val="single" w:sz="6" w:space="0" w:color="000000"/>
            </w:tcBorders>
          </w:tcPr>
          <w:p w14:paraId="3F258232" w14:textId="77777777" w:rsidR="00D83E33" w:rsidRPr="00E837F2" w:rsidRDefault="00D83E33">
            <w:pPr>
              <w:widowControl w:val="0"/>
              <w:jc w:val="right"/>
              <w:rPr>
                <w:b/>
                <w:color w:val="000000"/>
              </w:rPr>
            </w:pPr>
          </w:p>
        </w:tc>
        <w:tc>
          <w:tcPr>
            <w:tcW w:w="451" w:type="pct"/>
            <w:tcBorders>
              <w:top w:val="single" w:sz="6" w:space="0" w:color="000000"/>
            </w:tcBorders>
            <w:vAlign w:val="bottom"/>
          </w:tcPr>
          <w:p w14:paraId="1D00803F" w14:textId="77777777" w:rsidR="00D83E33" w:rsidRPr="00E837F2" w:rsidRDefault="00D83E33">
            <w:pPr>
              <w:widowControl w:val="0"/>
              <w:jc w:val="right"/>
              <w:rPr>
                <w:b/>
                <w:color w:val="000000"/>
              </w:rPr>
            </w:pPr>
          </w:p>
        </w:tc>
      </w:tr>
      <w:tr w:rsidR="00D83E33" w:rsidRPr="00E837F2" w14:paraId="23DB4840" w14:textId="77777777" w:rsidTr="001B330E">
        <w:trPr>
          <w:trHeight w:val="23"/>
        </w:trPr>
        <w:tc>
          <w:tcPr>
            <w:tcW w:w="1386" w:type="pct"/>
            <w:vAlign w:val="bottom"/>
          </w:tcPr>
          <w:p w14:paraId="63A0E492" w14:textId="77777777" w:rsidR="00D83E33" w:rsidRPr="00E837F2" w:rsidRDefault="00BC4072" w:rsidP="001B330E">
            <w:pPr>
              <w:widowControl w:val="0"/>
              <w:ind w:left="113" w:hanging="113"/>
              <w:rPr>
                <w:color w:val="000000"/>
              </w:rPr>
            </w:pPr>
            <w:r w:rsidRPr="00E837F2">
              <w:rPr>
                <w:color w:val="000000"/>
              </w:rPr>
              <w:t>Loans guaranteed by other banks</w:t>
            </w:r>
          </w:p>
        </w:tc>
        <w:tc>
          <w:tcPr>
            <w:tcW w:w="452" w:type="pct"/>
            <w:vAlign w:val="bottom"/>
          </w:tcPr>
          <w:p w14:paraId="2E6D9D91" w14:textId="77777777" w:rsidR="00D83E33" w:rsidRPr="00E837F2" w:rsidRDefault="00D83E33">
            <w:pPr>
              <w:widowControl w:val="0"/>
              <w:jc w:val="right"/>
              <w:rPr>
                <w:color w:val="000000"/>
              </w:rPr>
            </w:pPr>
          </w:p>
        </w:tc>
        <w:tc>
          <w:tcPr>
            <w:tcW w:w="452" w:type="pct"/>
            <w:vAlign w:val="bottom"/>
          </w:tcPr>
          <w:p w14:paraId="3E428610" w14:textId="77777777" w:rsidR="00D83E33" w:rsidRPr="00E837F2" w:rsidRDefault="00D83E33">
            <w:pPr>
              <w:widowControl w:val="0"/>
              <w:jc w:val="right"/>
              <w:rPr>
                <w:color w:val="000000"/>
              </w:rPr>
            </w:pPr>
          </w:p>
        </w:tc>
        <w:tc>
          <w:tcPr>
            <w:tcW w:w="452" w:type="pct"/>
            <w:vAlign w:val="bottom"/>
          </w:tcPr>
          <w:p w14:paraId="191DEB1B" w14:textId="77777777" w:rsidR="00D83E33" w:rsidRPr="00E837F2" w:rsidRDefault="00D83E33">
            <w:pPr>
              <w:widowControl w:val="0"/>
              <w:jc w:val="right"/>
              <w:rPr>
                <w:color w:val="000000"/>
              </w:rPr>
            </w:pPr>
          </w:p>
        </w:tc>
        <w:tc>
          <w:tcPr>
            <w:tcW w:w="452" w:type="pct"/>
            <w:vAlign w:val="bottom"/>
          </w:tcPr>
          <w:p w14:paraId="2BD135BD" w14:textId="77777777" w:rsidR="00D83E33" w:rsidRPr="00E837F2" w:rsidRDefault="00D83E33">
            <w:pPr>
              <w:widowControl w:val="0"/>
              <w:jc w:val="right"/>
              <w:rPr>
                <w:color w:val="000000"/>
              </w:rPr>
            </w:pPr>
          </w:p>
        </w:tc>
        <w:tc>
          <w:tcPr>
            <w:tcW w:w="452" w:type="pct"/>
            <w:vAlign w:val="bottom"/>
          </w:tcPr>
          <w:p w14:paraId="14075FB7" w14:textId="77777777" w:rsidR="00D83E33" w:rsidRPr="00E837F2" w:rsidRDefault="00D83E33">
            <w:pPr>
              <w:widowControl w:val="0"/>
              <w:jc w:val="right"/>
              <w:rPr>
                <w:color w:val="000000"/>
              </w:rPr>
            </w:pPr>
          </w:p>
        </w:tc>
        <w:tc>
          <w:tcPr>
            <w:tcW w:w="452" w:type="pct"/>
            <w:vAlign w:val="bottom"/>
          </w:tcPr>
          <w:p w14:paraId="79EFB0F7" w14:textId="77777777" w:rsidR="00D83E33" w:rsidRPr="00E837F2" w:rsidRDefault="00D83E33">
            <w:pPr>
              <w:widowControl w:val="0"/>
              <w:jc w:val="right"/>
              <w:rPr>
                <w:color w:val="000000"/>
              </w:rPr>
            </w:pPr>
          </w:p>
        </w:tc>
        <w:tc>
          <w:tcPr>
            <w:tcW w:w="452" w:type="pct"/>
          </w:tcPr>
          <w:p w14:paraId="7B64EA7D" w14:textId="77777777" w:rsidR="00D83E33" w:rsidRPr="00E837F2" w:rsidRDefault="00D83E33">
            <w:pPr>
              <w:widowControl w:val="0"/>
              <w:jc w:val="right"/>
              <w:rPr>
                <w:color w:val="000000"/>
              </w:rPr>
            </w:pPr>
          </w:p>
        </w:tc>
        <w:tc>
          <w:tcPr>
            <w:tcW w:w="451" w:type="pct"/>
            <w:vAlign w:val="bottom"/>
          </w:tcPr>
          <w:p w14:paraId="6984B9DD" w14:textId="77777777" w:rsidR="00D83E33" w:rsidRPr="00E837F2" w:rsidRDefault="00D83E33">
            <w:pPr>
              <w:widowControl w:val="0"/>
              <w:jc w:val="right"/>
              <w:rPr>
                <w:color w:val="000000"/>
              </w:rPr>
            </w:pPr>
          </w:p>
        </w:tc>
      </w:tr>
      <w:tr w:rsidR="00D83E33" w:rsidRPr="00E837F2" w14:paraId="36FA0930" w14:textId="77777777" w:rsidTr="001B330E">
        <w:trPr>
          <w:trHeight w:val="23"/>
        </w:trPr>
        <w:tc>
          <w:tcPr>
            <w:tcW w:w="1386" w:type="pct"/>
            <w:vAlign w:val="bottom"/>
          </w:tcPr>
          <w:p w14:paraId="2E6F877B" w14:textId="77777777" w:rsidR="00D83E33" w:rsidRPr="00E837F2" w:rsidRDefault="00BC4072" w:rsidP="001B330E">
            <w:pPr>
              <w:widowControl w:val="0"/>
              <w:ind w:left="113" w:hanging="113"/>
              <w:rPr>
                <w:color w:val="000000"/>
              </w:rPr>
            </w:pPr>
            <w:r w:rsidRPr="00E837F2">
              <w:rPr>
                <w:color w:val="000000"/>
              </w:rPr>
              <w:t>Loans guaranteed by other parties, including credit insurance</w:t>
            </w:r>
          </w:p>
        </w:tc>
        <w:tc>
          <w:tcPr>
            <w:tcW w:w="452" w:type="pct"/>
            <w:vAlign w:val="bottom"/>
          </w:tcPr>
          <w:p w14:paraId="07AD576C" w14:textId="77777777" w:rsidR="00D83E33" w:rsidRPr="00E837F2" w:rsidRDefault="00D83E33">
            <w:pPr>
              <w:widowControl w:val="0"/>
              <w:jc w:val="right"/>
              <w:rPr>
                <w:color w:val="000000"/>
              </w:rPr>
            </w:pPr>
          </w:p>
        </w:tc>
        <w:tc>
          <w:tcPr>
            <w:tcW w:w="452" w:type="pct"/>
            <w:vAlign w:val="bottom"/>
          </w:tcPr>
          <w:p w14:paraId="1FFF86A1" w14:textId="77777777" w:rsidR="00D83E33" w:rsidRPr="00E837F2" w:rsidRDefault="00D83E33">
            <w:pPr>
              <w:widowControl w:val="0"/>
              <w:jc w:val="right"/>
              <w:rPr>
                <w:color w:val="000000"/>
              </w:rPr>
            </w:pPr>
          </w:p>
        </w:tc>
        <w:tc>
          <w:tcPr>
            <w:tcW w:w="452" w:type="pct"/>
            <w:vAlign w:val="bottom"/>
          </w:tcPr>
          <w:p w14:paraId="28DC9167" w14:textId="77777777" w:rsidR="00D83E33" w:rsidRPr="00E837F2" w:rsidRDefault="00D83E33">
            <w:pPr>
              <w:widowControl w:val="0"/>
              <w:jc w:val="right"/>
              <w:rPr>
                <w:color w:val="000000"/>
              </w:rPr>
            </w:pPr>
          </w:p>
        </w:tc>
        <w:tc>
          <w:tcPr>
            <w:tcW w:w="452" w:type="pct"/>
            <w:vAlign w:val="bottom"/>
          </w:tcPr>
          <w:p w14:paraId="30C2D7C3" w14:textId="77777777" w:rsidR="00D83E33" w:rsidRPr="00E837F2" w:rsidRDefault="00D83E33">
            <w:pPr>
              <w:widowControl w:val="0"/>
              <w:jc w:val="right"/>
              <w:rPr>
                <w:color w:val="000000"/>
              </w:rPr>
            </w:pPr>
          </w:p>
        </w:tc>
        <w:tc>
          <w:tcPr>
            <w:tcW w:w="452" w:type="pct"/>
            <w:vAlign w:val="bottom"/>
          </w:tcPr>
          <w:p w14:paraId="3DDC2849" w14:textId="77777777" w:rsidR="00D83E33" w:rsidRPr="00E837F2" w:rsidRDefault="00D83E33">
            <w:pPr>
              <w:widowControl w:val="0"/>
              <w:jc w:val="right"/>
              <w:rPr>
                <w:color w:val="000000"/>
              </w:rPr>
            </w:pPr>
          </w:p>
        </w:tc>
        <w:tc>
          <w:tcPr>
            <w:tcW w:w="452" w:type="pct"/>
            <w:vAlign w:val="bottom"/>
          </w:tcPr>
          <w:p w14:paraId="42024732" w14:textId="77777777" w:rsidR="00D83E33" w:rsidRPr="00E837F2" w:rsidRDefault="00D83E33">
            <w:pPr>
              <w:widowControl w:val="0"/>
              <w:jc w:val="right"/>
              <w:rPr>
                <w:color w:val="000000"/>
              </w:rPr>
            </w:pPr>
          </w:p>
        </w:tc>
        <w:tc>
          <w:tcPr>
            <w:tcW w:w="452" w:type="pct"/>
          </w:tcPr>
          <w:p w14:paraId="6C72185C" w14:textId="77777777" w:rsidR="00D83E33" w:rsidRPr="00E837F2" w:rsidRDefault="00D83E33">
            <w:pPr>
              <w:widowControl w:val="0"/>
              <w:jc w:val="right"/>
              <w:rPr>
                <w:color w:val="000000"/>
              </w:rPr>
            </w:pPr>
          </w:p>
        </w:tc>
        <w:tc>
          <w:tcPr>
            <w:tcW w:w="451" w:type="pct"/>
            <w:vAlign w:val="bottom"/>
          </w:tcPr>
          <w:p w14:paraId="701D8166" w14:textId="77777777" w:rsidR="00D83E33" w:rsidRPr="00E837F2" w:rsidRDefault="00D83E33">
            <w:pPr>
              <w:widowControl w:val="0"/>
              <w:jc w:val="right"/>
              <w:rPr>
                <w:color w:val="000000"/>
              </w:rPr>
            </w:pPr>
          </w:p>
        </w:tc>
      </w:tr>
      <w:tr w:rsidR="00D83E33" w:rsidRPr="00E837F2" w14:paraId="690FD1C2" w14:textId="77777777" w:rsidTr="001B330E">
        <w:trPr>
          <w:trHeight w:val="23"/>
        </w:trPr>
        <w:tc>
          <w:tcPr>
            <w:tcW w:w="1386" w:type="pct"/>
            <w:vAlign w:val="bottom"/>
          </w:tcPr>
          <w:p w14:paraId="313F35E7" w14:textId="77777777" w:rsidR="00D83E33" w:rsidRPr="00E837F2" w:rsidRDefault="00BC4072" w:rsidP="001B330E">
            <w:pPr>
              <w:widowControl w:val="0"/>
              <w:ind w:left="113" w:hanging="113"/>
              <w:rPr>
                <w:color w:val="000000"/>
              </w:rPr>
            </w:pPr>
            <w:r w:rsidRPr="00E837F2">
              <w:rPr>
                <w:color w:val="000000"/>
              </w:rPr>
              <w:t xml:space="preserve">Loans collateralised by: </w:t>
            </w:r>
          </w:p>
        </w:tc>
        <w:tc>
          <w:tcPr>
            <w:tcW w:w="452" w:type="pct"/>
            <w:vAlign w:val="bottom"/>
          </w:tcPr>
          <w:p w14:paraId="6103B2FC" w14:textId="77777777" w:rsidR="00D83E33" w:rsidRPr="00E837F2" w:rsidRDefault="00D83E33">
            <w:pPr>
              <w:widowControl w:val="0"/>
              <w:jc w:val="right"/>
              <w:rPr>
                <w:color w:val="000000"/>
              </w:rPr>
            </w:pPr>
          </w:p>
        </w:tc>
        <w:tc>
          <w:tcPr>
            <w:tcW w:w="452" w:type="pct"/>
            <w:vAlign w:val="bottom"/>
          </w:tcPr>
          <w:p w14:paraId="65F6661B" w14:textId="77777777" w:rsidR="00D83E33" w:rsidRPr="00E837F2" w:rsidRDefault="00D83E33">
            <w:pPr>
              <w:widowControl w:val="0"/>
              <w:jc w:val="right"/>
              <w:rPr>
                <w:color w:val="000000"/>
              </w:rPr>
            </w:pPr>
          </w:p>
        </w:tc>
        <w:tc>
          <w:tcPr>
            <w:tcW w:w="452" w:type="pct"/>
            <w:vAlign w:val="bottom"/>
          </w:tcPr>
          <w:p w14:paraId="38B7FD9D" w14:textId="77777777" w:rsidR="00D83E33" w:rsidRPr="00E837F2" w:rsidRDefault="00D83E33">
            <w:pPr>
              <w:widowControl w:val="0"/>
              <w:jc w:val="right"/>
              <w:rPr>
                <w:color w:val="000000"/>
              </w:rPr>
            </w:pPr>
          </w:p>
        </w:tc>
        <w:tc>
          <w:tcPr>
            <w:tcW w:w="452" w:type="pct"/>
            <w:vAlign w:val="bottom"/>
          </w:tcPr>
          <w:p w14:paraId="058947C8" w14:textId="77777777" w:rsidR="00D83E33" w:rsidRPr="00E837F2" w:rsidRDefault="00D83E33">
            <w:pPr>
              <w:widowControl w:val="0"/>
              <w:jc w:val="right"/>
              <w:rPr>
                <w:color w:val="000000"/>
              </w:rPr>
            </w:pPr>
          </w:p>
        </w:tc>
        <w:tc>
          <w:tcPr>
            <w:tcW w:w="452" w:type="pct"/>
            <w:vAlign w:val="bottom"/>
          </w:tcPr>
          <w:p w14:paraId="7E936BAA" w14:textId="77777777" w:rsidR="00D83E33" w:rsidRPr="00E837F2" w:rsidRDefault="00D83E33">
            <w:pPr>
              <w:widowControl w:val="0"/>
              <w:jc w:val="right"/>
              <w:rPr>
                <w:color w:val="000000"/>
              </w:rPr>
            </w:pPr>
          </w:p>
        </w:tc>
        <w:tc>
          <w:tcPr>
            <w:tcW w:w="452" w:type="pct"/>
            <w:vAlign w:val="bottom"/>
          </w:tcPr>
          <w:p w14:paraId="789658CF" w14:textId="77777777" w:rsidR="00D83E33" w:rsidRPr="00E837F2" w:rsidRDefault="00D83E33">
            <w:pPr>
              <w:widowControl w:val="0"/>
              <w:jc w:val="right"/>
              <w:rPr>
                <w:color w:val="000000"/>
              </w:rPr>
            </w:pPr>
          </w:p>
        </w:tc>
        <w:tc>
          <w:tcPr>
            <w:tcW w:w="452" w:type="pct"/>
          </w:tcPr>
          <w:p w14:paraId="3AD9E760" w14:textId="77777777" w:rsidR="00D83E33" w:rsidRPr="00E837F2" w:rsidRDefault="00D83E33">
            <w:pPr>
              <w:widowControl w:val="0"/>
              <w:jc w:val="right"/>
              <w:rPr>
                <w:color w:val="000000"/>
              </w:rPr>
            </w:pPr>
          </w:p>
        </w:tc>
        <w:tc>
          <w:tcPr>
            <w:tcW w:w="451" w:type="pct"/>
            <w:vAlign w:val="bottom"/>
          </w:tcPr>
          <w:p w14:paraId="548E1030" w14:textId="77777777" w:rsidR="00D83E33" w:rsidRPr="00E837F2" w:rsidRDefault="00D83E33">
            <w:pPr>
              <w:widowControl w:val="0"/>
              <w:jc w:val="right"/>
              <w:rPr>
                <w:color w:val="000000"/>
              </w:rPr>
            </w:pPr>
          </w:p>
        </w:tc>
      </w:tr>
      <w:tr w:rsidR="00D83E33" w:rsidRPr="00E837F2" w14:paraId="08901896" w14:textId="77777777" w:rsidTr="001B330E">
        <w:trPr>
          <w:trHeight w:val="23"/>
        </w:trPr>
        <w:tc>
          <w:tcPr>
            <w:tcW w:w="1386" w:type="pct"/>
            <w:vAlign w:val="bottom"/>
          </w:tcPr>
          <w:p w14:paraId="1EEEF4E4" w14:textId="77777777" w:rsidR="00D83E33" w:rsidRPr="00E837F2" w:rsidRDefault="00BC4072" w:rsidP="001B330E">
            <w:pPr>
              <w:widowControl w:val="0"/>
              <w:ind w:left="113" w:hanging="113"/>
              <w:rPr>
                <w:color w:val="000000"/>
              </w:rPr>
            </w:pPr>
            <w:r w:rsidRPr="00E837F2">
              <w:rPr>
                <w:color w:val="000000"/>
              </w:rPr>
              <w:t>- residential real estate</w:t>
            </w:r>
          </w:p>
        </w:tc>
        <w:tc>
          <w:tcPr>
            <w:tcW w:w="452" w:type="pct"/>
            <w:vAlign w:val="bottom"/>
          </w:tcPr>
          <w:p w14:paraId="50359A81" w14:textId="77777777" w:rsidR="00D83E33" w:rsidRPr="00E837F2" w:rsidRDefault="00D83E33">
            <w:pPr>
              <w:widowControl w:val="0"/>
              <w:jc w:val="right"/>
              <w:rPr>
                <w:color w:val="000000"/>
              </w:rPr>
            </w:pPr>
          </w:p>
        </w:tc>
        <w:tc>
          <w:tcPr>
            <w:tcW w:w="452" w:type="pct"/>
            <w:vAlign w:val="bottom"/>
          </w:tcPr>
          <w:p w14:paraId="3375323D" w14:textId="77777777" w:rsidR="00D83E33" w:rsidRPr="00E837F2" w:rsidRDefault="00D83E33">
            <w:pPr>
              <w:widowControl w:val="0"/>
              <w:jc w:val="right"/>
              <w:rPr>
                <w:color w:val="000000"/>
              </w:rPr>
            </w:pPr>
          </w:p>
        </w:tc>
        <w:tc>
          <w:tcPr>
            <w:tcW w:w="452" w:type="pct"/>
            <w:vAlign w:val="bottom"/>
          </w:tcPr>
          <w:p w14:paraId="32150CCD" w14:textId="77777777" w:rsidR="00D83E33" w:rsidRPr="00E837F2" w:rsidRDefault="00D83E33">
            <w:pPr>
              <w:widowControl w:val="0"/>
              <w:jc w:val="right"/>
              <w:rPr>
                <w:color w:val="000000"/>
              </w:rPr>
            </w:pPr>
          </w:p>
        </w:tc>
        <w:tc>
          <w:tcPr>
            <w:tcW w:w="452" w:type="pct"/>
            <w:vAlign w:val="bottom"/>
          </w:tcPr>
          <w:p w14:paraId="6C98E89D" w14:textId="77777777" w:rsidR="00D83E33" w:rsidRPr="00E837F2" w:rsidRDefault="00D83E33">
            <w:pPr>
              <w:widowControl w:val="0"/>
              <w:jc w:val="right"/>
              <w:rPr>
                <w:color w:val="000000"/>
              </w:rPr>
            </w:pPr>
          </w:p>
        </w:tc>
        <w:tc>
          <w:tcPr>
            <w:tcW w:w="452" w:type="pct"/>
            <w:vAlign w:val="bottom"/>
          </w:tcPr>
          <w:p w14:paraId="4120CE90" w14:textId="77777777" w:rsidR="00D83E33" w:rsidRPr="00E837F2" w:rsidRDefault="00D83E33">
            <w:pPr>
              <w:widowControl w:val="0"/>
              <w:jc w:val="right"/>
              <w:rPr>
                <w:color w:val="000000"/>
              </w:rPr>
            </w:pPr>
          </w:p>
        </w:tc>
        <w:tc>
          <w:tcPr>
            <w:tcW w:w="452" w:type="pct"/>
            <w:vAlign w:val="bottom"/>
          </w:tcPr>
          <w:p w14:paraId="22A14A26" w14:textId="77777777" w:rsidR="00D83E33" w:rsidRPr="00E837F2" w:rsidRDefault="00D83E33">
            <w:pPr>
              <w:widowControl w:val="0"/>
              <w:jc w:val="right"/>
              <w:rPr>
                <w:color w:val="000000"/>
              </w:rPr>
            </w:pPr>
          </w:p>
        </w:tc>
        <w:tc>
          <w:tcPr>
            <w:tcW w:w="452" w:type="pct"/>
          </w:tcPr>
          <w:p w14:paraId="20A6537F" w14:textId="77777777" w:rsidR="00D83E33" w:rsidRPr="00E837F2" w:rsidRDefault="00D83E33">
            <w:pPr>
              <w:widowControl w:val="0"/>
              <w:jc w:val="right"/>
              <w:rPr>
                <w:color w:val="000000"/>
              </w:rPr>
            </w:pPr>
          </w:p>
        </w:tc>
        <w:tc>
          <w:tcPr>
            <w:tcW w:w="451" w:type="pct"/>
            <w:vAlign w:val="bottom"/>
          </w:tcPr>
          <w:p w14:paraId="27DDF1C0" w14:textId="77777777" w:rsidR="00D83E33" w:rsidRPr="00E837F2" w:rsidRDefault="00D83E33">
            <w:pPr>
              <w:widowControl w:val="0"/>
              <w:jc w:val="right"/>
              <w:rPr>
                <w:color w:val="000000"/>
              </w:rPr>
            </w:pPr>
          </w:p>
        </w:tc>
      </w:tr>
      <w:tr w:rsidR="00D83E33" w:rsidRPr="00E837F2" w14:paraId="42331521" w14:textId="77777777" w:rsidTr="001B330E">
        <w:trPr>
          <w:trHeight w:val="23"/>
        </w:trPr>
        <w:tc>
          <w:tcPr>
            <w:tcW w:w="1386" w:type="pct"/>
            <w:vAlign w:val="bottom"/>
          </w:tcPr>
          <w:p w14:paraId="1B0BF10F" w14:textId="77777777" w:rsidR="00D83E33" w:rsidRPr="00E837F2" w:rsidRDefault="00BC4072" w:rsidP="001B330E">
            <w:pPr>
              <w:widowControl w:val="0"/>
              <w:ind w:left="113" w:hanging="113"/>
              <w:rPr>
                <w:color w:val="000000"/>
              </w:rPr>
            </w:pPr>
            <w:r w:rsidRPr="00E837F2">
              <w:rPr>
                <w:color w:val="000000"/>
              </w:rPr>
              <w:t>- other real estate</w:t>
            </w:r>
          </w:p>
        </w:tc>
        <w:tc>
          <w:tcPr>
            <w:tcW w:w="452" w:type="pct"/>
            <w:vAlign w:val="bottom"/>
          </w:tcPr>
          <w:p w14:paraId="342B99A0" w14:textId="77777777" w:rsidR="00D83E33" w:rsidRPr="00E837F2" w:rsidRDefault="00D83E33">
            <w:pPr>
              <w:widowControl w:val="0"/>
              <w:jc w:val="right"/>
              <w:rPr>
                <w:color w:val="000000"/>
              </w:rPr>
            </w:pPr>
          </w:p>
        </w:tc>
        <w:tc>
          <w:tcPr>
            <w:tcW w:w="452" w:type="pct"/>
            <w:vAlign w:val="bottom"/>
          </w:tcPr>
          <w:p w14:paraId="07B16C6A" w14:textId="77777777" w:rsidR="00D83E33" w:rsidRPr="00E837F2" w:rsidRDefault="00D83E33">
            <w:pPr>
              <w:widowControl w:val="0"/>
              <w:jc w:val="right"/>
              <w:rPr>
                <w:color w:val="000000"/>
              </w:rPr>
            </w:pPr>
          </w:p>
        </w:tc>
        <w:tc>
          <w:tcPr>
            <w:tcW w:w="452" w:type="pct"/>
            <w:vAlign w:val="bottom"/>
          </w:tcPr>
          <w:p w14:paraId="3C98D774" w14:textId="77777777" w:rsidR="00D83E33" w:rsidRPr="00E837F2" w:rsidRDefault="00D83E33">
            <w:pPr>
              <w:widowControl w:val="0"/>
              <w:jc w:val="right"/>
              <w:rPr>
                <w:color w:val="000000"/>
              </w:rPr>
            </w:pPr>
          </w:p>
        </w:tc>
        <w:tc>
          <w:tcPr>
            <w:tcW w:w="452" w:type="pct"/>
            <w:vAlign w:val="bottom"/>
          </w:tcPr>
          <w:p w14:paraId="4E8E58C7" w14:textId="77777777" w:rsidR="00D83E33" w:rsidRPr="00E837F2" w:rsidRDefault="00D83E33">
            <w:pPr>
              <w:widowControl w:val="0"/>
              <w:jc w:val="right"/>
              <w:rPr>
                <w:color w:val="000000"/>
              </w:rPr>
            </w:pPr>
          </w:p>
        </w:tc>
        <w:tc>
          <w:tcPr>
            <w:tcW w:w="452" w:type="pct"/>
            <w:vAlign w:val="bottom"/>
          </w:tcPr>
          <w:p w14:paraId="45F0A9C0" w14:textId="77777777" w:rsidR="00D83E33" w:rsidRPr="00E837F2" w:rsidRDefault="00D83E33">
            <w:pPr>
              <w:widowControl w:val="0"/>
              <w:jc w:val="right"/>
              <w:rPr>
                <w:color w:val="000000"/>
              </w:rPr>
            </w:pPr>
          </w:p>
        </w:tc>
        <w:tc>
          <w:tcPr>
            <w:tcW w:w="452" w:type="pct"/>
            <w:vAlign w:val="bottom"/>
          </w:tcPr>
          <w:p w14:paraId="3CAD1453" w14:textId="77777777" w:rsidR="00D83E33" w:rsidRPr="00E837F2" w:rsidRDefault="00D83E33">
            <w:pPr>
              <w:widowControl w:val="0"/>
              <w:jc w:val="right"/>
              <w:rPr>
                <w:color w:val="000000"/>
              </w:rPr>
            </w:pPr>
          </w:p>
        </w:tc>
        <w:tc>
          <w:tcPr>
            <w:tcW w:w="452" w:type="pct"/>
          </w:tcPr>
          <w:p w14:paraId="56F18B5E" w14:textId="77777777" w:rsidR="00D83E33" w:rsidRPr="00E837F2" w:rsidRDefault="00D83E33">
            <w:pPr>
              <w:widowControl w:val="0"/>
              <w:jc w:val="right"/>
              <w:rPr>
                <w:color w:val="000000"/>
              </w:rPr>
            </w:pPr>
          </w:p>
        </w:tc>
        <w:tc>
          <w:tcPr>
            <w:tcW w:w="451" w:type="pct"/>
            <w:vAlign w:val="bottom"/>
          </w:tcPr>
          <w:p w14:paraId="0B7C7F7A" w14:textId="77777777" w:rsidR="00D83E33" w:rsidRPr="00E837F2" w:rsidRDefault="00D83E33">
            <w:pPr>
              <w:widowControl w:val="0"/>
              <w:jc w:val="right"/>
              <w:rPr>
                <w:color w:val="000000"/>
              </w:rPr>
            </w:pPr>
          </w:p>
        </w:tc>
      </w:tr>
      <w:tr w:rsidR="00D83E33" w:rsidRPr="00E837F2" w14:paraId="6477C712" w14:textId="77777777" w:rsidTr="001B330E">
        <w:trPr>
          <w:trHeight w:val="23"/>
        </w:trPr>
        <w:tc>
          <w:tcPr>
            <w:tcW w:w="1386" w:type="pct"/>
            <w:vAlign w:val="bottom"/>
          </w:tcPr>
          <w:p w14:paraId="3CBE7A77" w14:textId="77777777" w:rsidR="00D83E33" w:rsidRPr="00E837F2" w:rsidRDefault="00BC4072" w:rsidP="001B330E">
            <w:pPr>
              <w:widowControl w:val="0"/>
              <w:ind w:left="113" w:hanging="113"/>
              <w:rPr>
                <w:color w:val="000000"/>
              </w:rPr>
            </w:pPr>
            <w:r w:rsidRPr="00E837F2">
              <w:rPr>
                <w:color w:val="000000"/>
              </w:rPr>
              <w:t>- tradable securities</w:t>
            </w:r>
          </w:p>
        </w:tc>
        <w:tc>
          <w:tcPr>
            <w:tcW w:w="452" w:type="pct"/>
            <w:vAlign w:val="bottom"/>
          </w:tcPr>
          <w:p w14:paraId="726CFB26" w14:textId="77777777" w:rsidR="00D83E33" w:rsidRPr="00E837F2" w:rsidRDefault="00D83E33">
            <w:pPr>
              <w:widowControl w:val="0"/>
              <w:jc w:val="right"/>
              <w:rPr>
                <w:color w:val="000000"/>
              </w:rPr>
            </w:pPr>
          </w:p>
        </w:tc>
        <w:tc>
          <w:tcPr>
            <w:tcW w:w="452" w:type="pct"/>
            <w:vAlign w:val="bottom"/>
          </w:tcPr>
          <w:p w14:paraId="59EBCB6D" w14:textId="77777777" w:rsidR="00D83E33" w:rsidRPr="00E837F2" w:rsidRDefault="00D83E33">
            <w:pPr>
              <w:widowControl w:val="0"/>
              <w:jc w:val="right"/>
              <w:rPr>
                <w:color w:val="000000"/>
              </w:rPr>
            </w:pPr>
          </w:p>
        </w:tc>
        <w:tc>
          <w:tcPr>
            <w:tcW w:w="452" w:type="pct"/>
            <w:vAlign w:val="bottom"/>
          </w:tcPr>
          <w:p w14:paraId="45E800B8" w14:textId="77777777" w:rsidR="00D83E33" w:rsidRPr="00E837F2" w:rsidRDefault="00D83E33">
            <w:pPr>
              <w:widowControl w:val="0"/>
              <w:jc w:val="right"/>
              <w:rPr>
                <w:color w:val="000000"/>
              </w:rPr>
            </w:pPr>
          </w:p>
        </w:tc>
        <w:tc>
          <w:tcPr>
            <w:tcW w:w="452" w:type="pct"/>
            <w:vAlign w:val="bottom"/>
          </w:tcPr>
          <w:p w14:paraId="707070CD" w14:textId="77777777" w:rsidR="00D83E33" w:rsidRPr="00E837F2" w:rsidRDefault="00D83E33">
            <w:pPr>
              <w:widowControl w:val="0"/>
              <w:jc w:val="right"/>
              <w:rPr>
                <w:color w:val="000000"/>
              </w:rPr>
            </w:pPr>
          </w:p>
        </w:tc>
        <w:tc>
          <w:tcPr>
            <w:tcW w:w="452" w:type="pct"/>
            <w:vAlign w:val="bottom"/>
          </w:tcPr>
          <w:p w14:paraId="24A46023" w14:textId="77777777" w:rsidR="00D83E33" w:rsidRPr="00E837F2" w:rsidRDefault="00D83E33">
            <w:pPr>
              <w:widowControl w:val="0"/>
              <w:jc w:val="right"/>
              <w:rPr>
                <w:color w:val="000000"/>
              </w:rPr>
            </w:pPr>
          </w:p>
        </w:tc>
        <w:tc>
          <w:tcPr>
            <w:tcW w:w="452" w:type="pct"/>
            <w:vAlign w:val="bottom"/>
          </w:tcPr>
          <w:p w14:paraId="5108D556" w14:textId="77777777" w:rsidR="00D83E33" w:rsidRPr="00E837F2" w:rsidRDefault="00D83E33">
            <w:pPr>
              <w:widowControl w:val="0"/>
              <w:jc w:val="right"/>
              <w:rPr>
                <w:color w:val="000000"/>
              </w:rPr>
            </w:pPr>
          </w:p>
        </w:tc>
        <w:tc>
          <w:tcPr>
            <w:tcW w:w="452" w:type="pct"/>
          </w:tcPr>
          <w:p w14:paraId="5AED2E0A" w14:textId="77777777" w:rsidR="00D83E33" w:rsidRPr="00E837F2" w:rsidRDefault="00D83E33">
            <w:pPr>
              <w:widowControl w:val="0"/>
              <w:jc w:val="right"/>
              <w:rPr>
                <w:color w:val="000000"/>
              </w:rPr>
            </w:pPr>
          </w:p>
        </w:tc>
        <w:tc>
          <w:tcPr>
            <w:tcW w:w="451" w:type="pct"/>
            <w:vAlign w:val="bottom"/>
          </w:tcPr>
          <w:p w14:paraId="580C21C1" w14:textId="77777777" w:rsidR="00D83E33" w:rsidRPr="00E837F2" w:rsidRDefault="00D83E33">
            <w:pPr>
              <w:widowControl w:val="0"/>
              <w:jc w:val="right"/>
              <w:rPr>
                <w:color w:val="000000"/>
              </w:rPr>
            </w:pPr>
          </w:p>
        </w:tc>
      </w:tr>
      <w:tr w:rsidR="00D83E33" w:rsidRPr="00E837F2" w14:paraId="5F58D39F" w14:textId="77777777" w:rsidTr="001B330E">
        <w:trPr>
          <w:trHeight w:val="23"/>
        </w:trPr>
        <w:tc>
          <w:tcPr>
            <w:tcW w:w="1386" w:type="pct"/>
            <w:vAlign w:val="bottom"/>
          </w:tcPr>
          <w:p w14:paraId="621CF533" w14:textId="77777777" w:rsidR="00D83E33" w:rsidRPr="00E837F2" w:rsidRDefault="00BC4072" w:rsidP="001B330E">
            <w:pPr>
              <w:widowControl w:val="0"/>
              <w:ind w:left="113" w:hanging="113"/>
              <w:rPr>
                <w:color w:val="000000"/>
              </w:rPr>
            </w:pPr>
            <w:r w:rsidRPr="00E837F2">
              <w:rPr>
                <w:color w:val="000000"/>
              </w:rPr>
              <w:t>- cash deposits</w:t>
            </w:r>
          </w:p>
        </w:tc>
        <w:tc>
          <w:tcPr>
            <w:tcW w:w="452" w:type="pct"/>
            <w:vAlign w:val="bottom"/>
          </w:tcPr>
          <w:p w14:paraId="0BF78271" w14:textId="77777777" w:rsidR="00D83E33" w:rsidRPr="00E837F2" w:rsidRDefault="00D83E33">
            <w:pPr>
              <w:widowControl w:val="0"/>
              <w:jc w:val="right"/>
              <w:rPr>
                <w:color w:val="000000"/>
              </w:rPr>
            </w:pPr>
          </w:p>
        </w:tc>
        <w:tc>
          <w:tcPr>
            <w:tcW w:w="452" w:type="pct"/>
            <w:vAlign w:val="bottom"/>
          </w:tcPr>
          <w:p w14:paraId="3153E585" w14:textId="77777777" w:rsidR="00D83E33" w:rsidRPr="00E837F2" w:rsidRDefault="00D83E33">
            <w:pPr>
              <w:widowControl w:val="0"/>
              <w:jc w:val="right"/>
              <w:rPr>
                <w:color w:val="000000"/>
              </w:rPr>
            </w:pPr>
          </w:p>
        </w:tc>
        <w:tc>
          <w:tcPr>
            <w:tcW w:w="452" w:type="pct"/>
            <w:vAlign w:val="bottom"/>
          </w:tcPr>
          <w:p w14:paraId="7A98E931" w14:textId="77777777" w:rsidR="00D83E33" w:rsidRPr="00E837F2" w:rsidRDefault="00D83E33">
            <w:pPr>
              <w:widowControl w:val="0"/>
              <w:jc w:val="right"/>
              <w:rPr>
                <w:color w:val="000000"/>
              </w:rPr>
            </w:pPr>
          </w:p>
        </w:tc>
        <w:tc>
          <w:tcPr>
            <w:tcW w:w="452" w:type="pct"/>
            <w:vAlign w:val="bottom"/>
          </w:tcPr>
          <w:p w14:paraId="573700C0" w14:textId="77777777" w:rsidR="00D83E33" w:rsidRPr="00E837F2" w:rsidRDefault="00D83E33">
            <w:pPr>
              <w:widowControl w:val="0"/>
              <w:jc w:val="right"/>
              <w:rPr>
                <w:color w:val="000000"/>
              </w:rPr>
            </w:pPr>
          </w:p>
        </w:tc>
        <w:tc>
          <w:tcPr>
            <w:tcW w:w="452" w:type="pct"/>
            <w:vAlign w:val="bottom"/>
          </w:tcPr>
          <w:p w14:paraId="74249AA4" w14:textId="77777777" w:rsidR="00D83E33" w:rsidRPr="00E837F2" w:rsidRDefault="00D83E33">
            <w:pPr>
              <w:widowControl w:val="0"/>
              <w:jc w:val="right"/>
              <w:rPr>
                <w:color w:val="000000"/>
              </w:rPr>
            </w:pPr>
          </w:p>
        </w:tc>
        <w:tc>
          <w:tcPr>
            <w:tcW w:w="452" w:type="pct"/>
            <w:vAlign w:val="bottom"/>
          </w:tcPr>
          <w:p w14:paraId="3B4D7E10" w14:textId="77777777" w:rsidR="00D83E33" w:rsidRPr="00E837F2" w:rsidRDefault="00D83E33">
            <w:pPr>
              <w:widowControl w:val="0"/>
              <w:jc w:val="right"/>
              <w:rPr>
                <w:color w:val="000000"/>
              </w:rPr>
            </w:pPr>
          </w:p>
        </w:tc>
        <w:tc>
          <w:tcPr>
            <w:tcW w:w="452" w:type="pct"/>
          </w:tcPr>
          <w:p w14:paraId="26EA08A7" w14:textId="77777777" w:rsidR="00D83E33" w:rsidRPr="00E837F2" w:rsidRDefault="00D83E33">
            <w:pPr>
              <w:widowControl w:val="0"/>
              <w:jc w:val="right"/>
              <w:rPr>
                <w:color w:val="000000"/>
              </w:rPr>
            </w:pPr>
          </w:p>
        </w:tc>
        <w:tc>
          <w:tcPr>
            <w:tcW w:w="451" w:type="pct"/>
            <w:vAlign w:val="bottom"/>
          </w:tcPr>
          <w:p w14:paraId="7B5AA42A" w14:textId="77777777" w:rsidR="00D83E33" w:rsidRPr="00E837F2" w:rsidRDefault="00D83E33">
            <w:pPr>
              <w:widowControl w:val="0"/>
              <w:jc w:val="right"/>
              <w:rPr>
                <w:color w:val="000000"/>
              </w:rPr>
            </w:pPr>
          </w:p>
        </w:tc>
      </w:tr>
      <w:tr w:rsidR="00D83E33" w:rsidRPr="00E837F2" w14:paraId="4E6ED1BD" w14:textId="77777777" w:rsidTr="001B330E">
        <w:trPr>
          <w:trHeight w:val="23"/>
        </w:trPr>
        <w:tc>
          <w:tcPr>
            <w:tcW w:w="1386" w:type="pct"/>
            <w:vAlign w:val="bottom"/>
          </w:tcPr>
          <w:p w14:paraId="6DBB580C" w14:textId="77777777" w:rsidR="00D83E33" w:rsidRPr="00E837F2" w:rsidRDefault="00BC4072" w:rsidP="001B330E">
            <w:pPr>
              <w:widowControl w:val="0"/>
              <w:ind w:left="113" w:hanging="113"/>
              <w:rPr>
                <w:color w:val="000000"/>
              </w:rPr>
            </w:pPr>
            <w:r w:rsidRPr="00E837F2">
              <w:rPr>
                <w:color w:val="000000"/>
              </w:rPr>
              <w:t>- other assets</w:t>
            </w:r>
          </w:p>
        </w:tc>
        <w:tc>
          <w:tcPr>
            <w:tcW w:w="452" w:type="pct"/>
            <w:vAlign w:val="bottom"/>
          </w:tcPr>
          <w:p w14:paraId="472DA3AB" w14:textId="77777777" w:rsidR="00D83E33" w:rsidRPr="00E837F2" w:rsidRDefault="00D83E33">
            <w:pPr>
              <w:widowControl w:val="0"/>
              <w:jc w:val="right"/>
              <w:rPr>
                <w:color w:val="000000"/>
              </w:rPr>
            </w:pPr>
          </w:p>
        </w:tc>
        <w:tc>
          <w:tcPr>
            <w:tcW w:w="452" w:type="pct"/>
            <w:vAlign w:val="bottom"/>
          </w:tcPr>
          <w:p w14:paraId="3CECB2C2" w14:textId="77777777" w:rsidR="00D83E33" w:rsidRPr="00E837F2" w:rsidRDefault="00D83E33">
            <w:pPr>
              <w:widowControl w:val="0"/>
              <w:jc w:val="right"/>
              <w:rPr>
                <w:color w:val="000000"/>
              </w:rPr>
            </w:pPr>
          </w:p>
        </w:tc>
        <w:tc>
          <w:tcPr>
            <w:tcW w:w="452" w:type="pct"/>
            <w:vAlign w:val="bottom"/>
          </w:tcPr>
          <w:p w14:paraId="5F929BEF" w14:textId="77777777" w:rsidR="00D83E33" w:rsidRPr="00E837F2" w:rsidRDefault="00D83E33">
            <w:pPr>
              <w:widowControl w:val="0"/>
              <w:jc w:val="right"/>
              <w:rPr>
                <w:color w:val="000000"/>
              </w:rPr>
            </w:pPr>
          </w:p>
        </w:tc>
        <w:tc>
          <w:tcPr>
            <w:tcW w:w="452" w:type="pct"/>
            <w:vAlign w:val="bottom"/>
          </w:tcPr>
          <w:p w14:paraId="16750967" w14:textId="77777777" w:rsidR="00D83E33" w:rsidRPr="00E837F2" w:rsidRDefault="00D83E33">
            <w:pPr>
              <w:widowControl w:val="0"/>
              <w:jc w:val="right"/>
              <w:rPr>
                <w:color w:val="000000"/>
              </w:rPr>
            </w:pPr>
          </w:p>
        </w:tc>
        <w:tc>
          <w:tcPr>
            <w:tcW w:w="452" w:type="pct"/>
            <w:vAlign w:val="bottom"/>
          </w:tcPr>
          <w:p w14:paraId="22F66546" w14:textId="77777777" w:rsidR="00D83E33" w:rsidRPr="00E837F2" w:rsidRDefault="00D83E33">
            <w:pPr>
              <w:widowControl w:val="0"/>
              <w:jc w:val="right"/>
              <w:rPr>
                <w:color w:val="000000"/>
              </w:rPr>
            </w:pPr>
          </w:p>
        </w:tc>
        <w:tc>
          <w:tcPr>
            <w:tcW w:w="452" w:type="pct"/>
            <w:vAlign w:val="bottom"/>
          </w:tcPr>
          <w:p w14:paraId="6197F263" w14:textId="77777777" w:rsidR="00D83E33" w:rsidRPr="00E837F2" w:rsidRDefault="00D83E33">
            <w:pPr>
              <w:widowControl w:val="0"/>
              <w:jc w:val="right"/>
              <w:rPr>
                <w:color w:val="000000"/>
              </w:rPr>
            </w:pPr>
          </w:p>
        </w:tc>
        <w:tc>
          <w:tcPr>
            <w:tcW w:w="452" w:type="pct"/>
          </w:tcPr>
          <w:p w14:paraId="1D3AB681" w14:textId="77777777" w:rsidR="00D83E33" w:rsidRPr="00E837F2" w:rsidRDefault="00D83E33">
            <w:pPr>
              <w:widowControl w:val="0"/>
              <w:jc w:val="right"/>
              <w:rPr>
                <w:color w:val="000000"/>
              </w:rPr>
            </w:pPr>
          </w:p>
        </w:tc>
        <w:tc>
          <w:tcPr>
            <w:tcW w:w="451" w:type="pct"/>
            <w:vAlign w:val="bottom"/>
          </w:tcPr>
          <w:p w14:paraId="707833F9" w14:textId="77777777" w:rsidR="00D83E33" w:rsidRPr="00E837F2" w:rsidRDefault="00D83E33">
            <w:pPr>
              <w:widowControl w:val="0"/>
              <w:jc w:val="right"/>
              <w:rPr>
                <w:color w:val="000000"/>
              </w:rPr>
            </w:pPr>
          </w:p>
        </w:tc>
      </w:tr>
      <w:tr w:rsidR="00D83E33" w:rsidRPr="00E837F2" w14:paraId="7C6372D2" w14:textId="77777777" w:rsidTr="001B330E">
        <w:trPr>
          <w:trHeight w:val="23"/>
        </w:trPr>
        <w:tc>
          <w:tcPr>
            <w:tcW w:w="1386" w:type="pct"/>
            <w:tcBorders>
              <w:bottom w:val="single" w:sz="6" w:space="0" w:color="000000"/>
            </w:tcBorders>
            <w:vAlign w:val="bottom"/>
          </w:tcPr>
          <w:p w14:paraId="0C712A49" w14:textId="77777777" w:rsidR="00D83E33" w:rsidRPr="00E837F2" w:rsidRDefault="00D83E33" w:rsidP="001B330E">
            <w:pPr>
              <w:widowControl w:val="0"/>
              <w:ind w:left="113" w:hanging="113"/>
              <w:rPr>
                <w:color w:val="000000"/>
              </w:rPr>
            </w:pPr>
          </w:p>
        </w:tc>
        <w:tc>
          <w:tcPr>
            <w:tcW w:w="452" w:type="pct"/>
            <w:tcBorders>
              <w:bottom w:val="single" w:sz="6" w:space="0" w:color="000000"/>
            </w:tcBorders>
            <w:vAlign w:val="bottom"/>
          </w:tcPr>
          <w:p w14:paraId="6C6FF833"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1E91B9E2"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5794E898"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06ABF2BA"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0D8B8571"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3C8AF88C" w14:textId="77777777" w:rsidR="00D83E33" w:rsidRPr="00E837F2" w:rsidRDefault="00D83E33">
            <w:pPr>
              <w:widowControl w:val="0"/>
              <w:jc w:val="right"/>
              <w:rPr>
                <w:color w:val="000000"/>
              </w:rPr>
            </w:pPr>
          </w:p>
        </w:tc>
        <w:tc>
          <w:tcPr>
            <w:tcW w:w="452" w:type="pct"/>
            <w:tcBorders>
              <w:bottom w:val="single" w:sz="6" w:space="0" w:color="000000"/>
            </w:tcBorders>
          </w:tcPr>
          <w:p w14:paraId="3A6DEB0D" w14:textId="77777777" w:rsidR="00D83E33" w:rsidRPr="00E837F2" w:rsidRDefault="00D83E33">
            <w:pPr>
              <w:widowControl w:val="0"/>
              <w:jc w:val="right"/>
              <w:rPr>
                <w:color w:val="000000"/>
              </w:rPr>
            </w:pPr>
          </w:p>
        </w:tc>
        <w:tc>
          <w:tcPr>
            <w:tcW w:w="451" w:type="pct"/>
            <w:tcBorders>
              <w:bottom w:val="single" w:sz="6" w:space="0" w:color="000000"/>
            </w:tcBorders>
            <w:vAlign w:val="bottom"/>
          </w:tcPr>
          <w:p w14:paraId="25DF238C" w14:textId="77777777" w:rsidR="00D83E33" w:rsidRPr="00E837F2" w:rsidRDefault="00D83E33">
            <w:pPr>
              <w:widowControl w:val="0"/>
              <w:jc w:val="right"/>
              <w:rPr>
                <w:color w:val="000000"/>
              </w:rPr>
            </w:pPr>
          </w:p>
        </w:tc>
      </w:tr>
      <w:tr w:rsidR="00D83E33" w:rsidRPr="00E837F2" w14:paraId="207CF4D1" w14:textId="77777777" w:rsidTr="001B330E">
        <w:trPr>
          <w:trHeight w:val="23"/>
        </w:trPr>
        <w:tc>
          <w:tcPr>
            <w:tcW w:w="1386" w:type="pct"/>
            <w:tcBorders>
              <w:top w:val="single" w:sz="6" w:space="0" w:color="000000"/>
            </w:tcBorders>
            <w:vAlign w:val="bottom"/>
          </w:tcPr>
          <w:p w14:paraId="0E38CEA4" w14:textId="77777777" w:rsidR="00D83E33" w:rsidRPr="00E837F2" w:rsidRDefault="00D83E33" w:rsidP="001B330E">
            <w:pPr>
              <w:widowControl w:val="0"/>
              <w:ind w:left="113" w:hanging="113"/>
              <w:rPr>
                <w:color w:val="000000"/>
              </w:rPr>
            </w:pPr>
          </w:p>
        </w:tc>
        <w:tc>
          <w:tcPr>
            <w:tcW w:w="452" w:type="pct"/>
            <w:tcBorders>
              <w:top w:val="single" w:sz="6" w:space="0" w:color="000000"/>
            </w:tcBorders>
            <w:vAlign w:val="bottom"/>
          </w:tcPr>
          <w:p w14:paraId="345C0FDE"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4AD98A85"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16A3E61D"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28BF9930"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5964982F"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032F2370" w14:textId="77777777" w:rsidR="00D83E33" w:rsidRPr="00E837F2" w:rsidRDefault="00D83E33">
            <w:pPr>
              <w:widowControl w:val="0"/>
              <w:jc w:val="right"/>
              <w:rPr>
                <w:color w:val="000000"/>
              </w:rPr>
            </w:pPr>
          </w:p>
        </w:tc>
        <w:tc>
          <w:tcPr>
            <w:tcW w:w="452" w:type="pct"/>
            <w:tcBorders>
              <w:top w:val="single" w:sz="6" w:space="0" w:color="000000"/>
            </w:tcBorders>
          </w:tcPr>
          <w:p w14:paraId="426F236E" w14:textId="77777777" w:rsidR="00D83E33" w:rsidRPr="00E837F2" w:rsidRDefault="00D83E33">
            <w:pPr>
              <w:widowControl w:val="0"/>
              <w:jc w:val="right"/>
              <w:rPr>
                <w:color w:val="000000"/>
              </w:rPr>
            </w:pPr>
          </w:p>
        </w:tc>
        <w:tc>
          <w:tcPr>
            <w:tcW w:w="451" w:type="pct"/>
            <w:tcBorders>
              <w:top w:val="single" w:sz="6" w:space="0" w:color="000000"/>
            </w:tcBorders>
            <w:vAlign w:val="bottom"/>
          </w:tcPr>
          <w:p w14:paraId="3CAEFF17" w14:textId="77777777" w:rsidR="00D83E33" w:rsidRPr="00E837F2" w:rsidRDefault="00D83E33">
            <w:pPr>
              <w:widowControl w:val="0"/>
              <w:jc w:val="right"/>
              <w:rPr>
                <w:color w:val="000000"/>
              </w:rPr>
            </w:pPr>
          </w:p>
        </w:tc>
      </w:tr>
      <w:tr w:rsidR="00D83E33" w:rsidRPr="00E837F2" w14:paraId="06A8EFCF" w14:textId="77777777" w:rsidTr="001B330E">
        <w:trPr>
          <w:trHeight w:val="23"/>
        </w:trPr>
        <w:tc>
          <w:tcPr>
            <w:tcW w:w="1386" w:type="pct"/>
            <w:vAlign w:val="bottom"/>
          </w:tcPr>
          <w:p w14:paraId="74C8B922" w14:textId="77777777" w:rsidR="00D83E33" w:rsidRPr="00E837F2" w:rsidRDefault="00BC4072" w:rsidP="001B330E">
            <w:pPr>
              <w:widowControl w:val="0"/>
              <w:ind w:left="113" w:hanging="113"/>
              <w:rPr>
                <w:color w:val="000000"/>
              </w:rPr>
            </w:pPr>
            <w:r w:rsidRPr="00E837F2">
              <w:rPr>
                <w:color w:val="000000"/>
              </w:rPr>
              <w:t xml:space="preserve">Total </w:t>
            </w:r>
          </w:p>
        </w:tc>
        <w:tc>
          <w:tcPr>
            <w:tcW w:w="452" w:type="pct"/>
            <w:vAlign w:val="bottom"/>
          </w:tcPr>
          <w:p w14:paraId="53734AEE" w14:textId="77777777" w:rsidR="00D83E33" w:rsidRPr="00E837F2" w:rsidRDefault="00D83E33">
            <w:pPr>
              <w:widowControl w:val="0"/>
              <w:jc w:val="right"/>
              <w:rPr>
                <w:color w:val="000000"/>
              </w:rPr>
            </w:pPr>
          </w:p>
        </w:tc>
        <w:tc>
          <w:tcPr>
            <w:tcW w:w="452" w:type="pct"/>
            <w:vAlign w:val="bottom"/>
          </w:tcPr>
          <w:p w14:paraId="090E76CA" w14:textId="77777777" w:rsidR="00D83E33" w:rsidRPr="00E837F2" w:rsidRDefault="00D83E33">
            <w:pPr>
              <w:widowControl w:val="0"/>
              <w:jc w:val="right"/>
              <w:rPr>
                <w:color w:val="000000"/>
              </w:rPr>
            </w:pPr>
          </w:p>
        </w:tc>
        <w:tc>
          <w:tcPr>
            <w:tcW w:w="452" w:type="pct"/>
            <w:vAlign w:val="bottom"/>
          </w:tcPr>
          <w:p w14:paraId="0AEFCD32" w14:textId="77777777" w:rsidR="00D83E33" w:rsidRPr="00E837F2" w:rsidRDefault="00D83E33">
            <w:pPr>
              <w:widowControl w:val="0"/>
              <w:jc w:val="right"/>
              <w:rPr>
                <w:color w:val="000000"/>
              </w:rPr>
            </w:pPr>
          </w:p>
        </w:tc>
        <w:tc>
          <w:tcPr>
            <w:tcW w:w="452" w:type="pct"/>
            <w:vAlign w:val="bottom"/>
          </w:tcPr>
          <w:p w14:paraId="2C9FB847" w14:textId="77777777" w:rsidR="00D83E33" w:rsidRPr="00E837F2" w:rsidRDefault="00D83E33">
            <w:pPr>
              <w:widowControl w:val="0"/>
              <w:jc w:val="right"/>
              <w:rPr>
                <w:color w:val="000000"/>
              </w:rPr>
            </w:pPr>
          </w:p>
        </w:tc>
        <w:tc>
          <w:tcPr>
            <w:tcW w:w="452" w:type="pct"/>
            <w:vAlign w:val="bottom"/>
          </w:tcPr>
          <w:p w14:paraId="066D4FB7" w14:textId="77777777" w:rsidR="00D83E33" w:rsidRPr="00E837F2" w:rsidRDefault="00D83E33">
            <w:pPr>
              <w:widowControl w:val="0"/>
              <w:jc w:val="right"/>
              <w:rPr>
                <w:color w:val="000000"/>
              </w:rPr>
            </w:pPr>
          </w:p>
        </w:tc>
        <w:tc>
          <w:tcPr>
            <w:tcW w:w="452" w:type="pct"/>
            <w:vAlign w:val="bottom"/>
          </w:tcPr>
          <w:p w14:paraId="2A97E3BE" w14:textId="77777777" w:rsidR="00D83E33" w:rsidRPr="00E837F2" w:rsidRDefault="00D83E33">
            <w:pPr>
              <w:widowControl w:val="0"/>
              <w:jc w:val="right"/>
              <w:rPr>
                <w:color w:val="000000"/>
              </w:rPr>
            </w:pPr>
          </w:p>
        </w:tc>
        <w:tc>
          <w:tcPr>
            <w:tcW w:w="452" w:type="pct"/>
          </w:tcPr>
          <w:p w14:paraId="2008B5B6" w14:textId="77777777" w:rsidR="00D83E33" w:rsidRPr="00E837F2" w:rsidRDefault="00D83E33">
            <w:pPr>
              <w:widowControl w:val="0"/>
              <w:jc w:val="right"/>
              <w:rPr>
                <w:color w:val="000000"/>
              </w:rPr>
            </w:pPr>
          </w:p>
        </w:tc>
        <w:tc>
          <w:tcPr>
            <w:tcW w:w="451" w:type="pct"/>
            <w:vAlign w:val="bottom"/>
          </w:tcPr>
          <w:p w14:paraId="092FB7C0" w14:textId="77777777" w:rsidR="00D83E33" w:rsidRPr="00E837F2" w:rsidRDefault="00D83E33">
            <w:pPr>
              <w:widowControl w:val="0"/>
              <w:jc w:val="right"/>
              <w:rPr>
                <w:color w:val="000000"/>
              </w:rPr>
            </w:pPr>
          </w:p>
        </w:tc>
      </w:tr>
      <w:tr w:rsidR="00D83E33" w:rsidRPr="00E837F2" w14:paraId="675D0156" w14:textId="77777777" w:rsidTr="001B330E">
        <w:trPr>
          <w:trHeight w:val="23"/>
        </w:trPr>
        <w:tc>
          <w:tcPr>
            <w:tcW w:w="1386" w:type="pct"/>
            <w:tcBorders>
              <w:bottom w:val="single" w:sz="6" w:space="0" w:color="000000"/>
            </w:tcBorders>
            <w:vAlign w:val="bottom"/>
          </w:tcPr>
          <w:p w14:paraId="1A048E60" w14:textId="77777777" w:rsidR="00D83E33" w:rsidRPr="00E837F2" w:rsidRDefault="00D83E33" w:rsidP="001B330E">
            <w:pPr>
              <w:widowControl w:val="0"/>
              <w:ind w:left="113" w:hanging="113"/>
              <w:rPr>
                <w:color w:val="000000"/>
              </w:rPr>
            </w:pPr>
          </w:p>
        </w:tc>
        <w:tc>
          <w:tcPr>
            <w:tcW w:w="452" w:type="pct"/>
            <w:tcBorders>
              <w:bottom w:val="single" w:sz="6" w:space="0" w:color="000000"/>
            </w:tcBorders>
            <w:vAlign w:val="bottom"/>
          </w:tcPr>
          <w:p w14:paraId="3BD6B8DD"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377ED4C5"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17B56548"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24FB3B39"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551BB8CC"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238D41B4" w14:textId="77777777" w:rsidR="00D83E33" w:rsidRPr="00E837F2" w:rsidRDefault="00D83E33">
            <w:pPr>
              <w:widowControl w:val="0"/>
              <w:jc w:val="right"/>
              <w:rPr>
                <w:color w:val="000000"/>
              </w:rPr>
            </w:pPr>
          </w:p>
        </w:tc>
        <w:tc>
          <w:tcPr>
            <w:tcW w:w="452" w:type="pct"/>
            <w:tcBorders>
              <w:bottom w:val="single" w:sz="6" w:space="0" w:color="000000"/>
            </w:tcBorders>
          </w:tcPr>
          <w:p w14:paraId="7D1E56D3" w14:textId="77777777" w:rsidR="00D83E33" w:rsidRPr="00E837F2" w:rsidRDefault="00D83E33">
            <w:pPr>
              <w:widowControl w:val="0"/>
              <w:jc w:val="right"/>
              <w:rPr>
                <w:color w:val="000000"/>
              </w:rPr>
            </w:pPr>
          </w:p>
        </w:tc>
        <w:tc>
          <w:tcPr>
            <w:tcW w:w="451" w:type="pct"/>
            <w:tcBorders>
              <w:bottom w:val="single" w:sz="6" w:space="0" w:color="000000"/>
            </w:tcBorders>
            <w:vAlign w:val="bottom"/>
          </w:tcPr>
          <w:p w14:paraId="0FF5E4F3" w14:textId="77777777" w:rsidR="00D83E33" w:rsidRPr="00E837F2" w:rsidRDefault="00D83E33">
            <w:pPr>
              <w:widowControl w:val="0"/>
              <w:jc w:val="right"/>
              <w:rPr>
                <w:color w:val="000000"/>
              </w:rPr>
            </w:pPr>
          </w:p>
        </w:tc>
      </w:tr>
      <w:tr w:rsidR="00D83E33" w:rsidRPr="00E837F2" w14:paraId="283D7B91" w14:textId="77777777" w:rsidTr="001B330E">
        <w:trPr>
          <w:trHeight w:val="23"/>
        </w:trPr>
        <w:tc>
          <w:tcPr>
            <w:tcW w:w="1386" w:type="pct"/>
            <w:tcBorders>
              <w:top w:val="single" w:sz="6" w:space="0" w:color="000000"/>
            </w:tcBorders>
            <w:vAlign w:val="bottom"/>
          </w:tcPr>
          <w:p w14:paraId="76092FE2" w14:textId="77777777" w:rsidR="00D83E33" w:rsidRPr="00E837F2" w:rsidRDefault="00D83E33" w:rsidP="001B330E">
            <w:pPr>
              <w:widowControl w:val="0"/>
              <w:ind w:left="113" w:hanging="113"/>
              <w:rPr>
                <w:color w:val="000000"/>
              </w:rPr>
            </w:pPr>
          </w:p>
        </w:tc>
        <w:tc>
          <w:tcPr>
            <w:tcW w:w="452" w:type="pct"/>
            <w:tcBorders>
              <w:top w:val="single" w:sz="6" w:space="0" w:color="000000"/>
            </w:tcBorders>
            <w:vAlign w:val="bottom"/>
          </w:tcPr>
          <w:p w14:paraId="597EE3AA"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73F0E69E"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7BCC30E2"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637C471C"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31C0E480"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500AC87B" w14:textId="77777777" w:rsidR="00D83E33" w:rsidRPr="00E837F2" w:rsidRDefault="00D83E33">
            <w:pPr>
              <w:widowControl w:val="0"/>
              <w:jc w:val="right"/>
              <w:rPr>
                <w:color w:val="000000"/>
              </w:rPr>
            </w:pPr>
          </w:p>
        </w:tc>
        <w:tc>
          <w:tcPr>
            <w:tcW w:w="452" w:type="pct"/>
            <w:tcBorders>
              <w:top w:val="single" w:sz="6" w:space="0" w:color="000000"/>
            </w:tcBorders>
          </w:tcPr>
          <w:p w14:paraId="48BA098C" w14:textId="77777777" w:rsidR="00D83E33" w:rsidRPr="00E837F2" w:rsidRDefault="00D83E33">
            <w:pPr>
              <w:widowControl w:val="0"/>
              <w:jc w:val="right"/>
              <w:rPr>
                <w:color w:val="000000"/>
              </w:rPr>
            </w:pPr>
          </w:p>
        </w:tc>
        <w:tc>
          <w:tcPr>
            <w:tcW w:w="451" w:type="pct"/>
            <w:tcBorders>
              <w:top w:val="single" w:sz="6" w:space="0" w:color="000000"/>
            </w:tcBorders>
            <w:vAlign w:val="bottom"/>
          </w:tcPr>
          <w:p w14:paraId="240D2B29" w14:textId="77777777" w:rsidR="00D83E33" w:rsidRPr="00E837F2" w:rsidRDefault="00D83E33">
            <w:pPr>
              <w:widowControl w:val="0"/>
              <w:jc w:val="right"/>
              <w:rPr>
                <w:color w:val="000000"/>
              </w:rPr>
            </w:pPr>
          </w:p>
        </w:tc>
      </w:tr>
      <w:tr w:rsidR="00D83E33" w:rsidRPr="00E837F2" w14:paraId="12CEC618" w14:textId="77777777" w:rsidTr="001B330E">
        <w:trPr>
          <w:trHeight w:val="23"/>
        </w:trPr>
        <w:tc>
          <w:tcPr>
            <w:tcW w:w="1386" w:type="pct"/>
            <w:vAlign w:val="bottom"/>
          </w:tcPr>
          <w:p w14:paraId="59BA41F1" w14:textId="77777777" w:rsidR="00D83E33" w:rsidRPr="00E837F2" w:rsidRDefault="00BC4072" w:rsidP="001B330E">
            <w:pPr>
              <w:widowControl w:val="0"/>
              <w:ind w:left="113" w:hanging="113"/>
              <w:rPr>
                <w:color w:val="000000"/>
              </w:rPr>
            </w:pPr>
            <w:r w:rsidRPr="00E837F2">
              <w:rPr>
                <w:color w:val="000000"/>
              </w:rPr>
              <w:t>Unsecured exposures</w:t>
            </w:r>
          </w:p>
        </w:tc>
        <w:tc>
          <w:tcPr>
            <w:tcW w:w="452" w:type="pct"/>
            <w:vAlign w:val="bottom"/>
          </w:tcPr>
          <w:p w14:paraId="59809357" w14:textId="77777777" w:rsidR="00D83E33" w:rsidRPr="00E837F2" w:rsidRDefault="00D83E33">
            <w:pPr>
              <w:widowControl w:val="0"/>
              <w:jc w:val="right"/>
              <w:rPr>
                <w:color w:val="000000"/>
              </w:rPr>
            </w:pPr>
          </w:p>
        </w:tc>
        <w:tc>
          <w:tcPr>
            <w:tcW w:w="452" w:type="pct"/>
            <w:vAlign w:val="bottom"/>
          </w:tcPr>
          <w:p w14:paraId="34A153D0" w14:textId="77777777" w:rsidR="00D83E33" w:rsidRPr="00E837F2" w:rsidRDefault="00D83E33">
            <w:pPr>
              <w:widowControl w:val="0"/>
              <w:jc w:val="right"/>
              <w:rPr>
                <w:color w:val="000000"/>
              </w:rPr>
            </w:pPr>
          </w:p>
        </w:tc>
        <w:tc>
          <w:tcPr>
            <w:tcW w:w="452" w:type="pct"/>
            <w:vAlign w:val="bottom"/>
          </w:tcPr>
          <w:p w14:paraId="2C1918EC" w14:textId="77777777" w:rsidR="00D83E33" w:rsidRPr="00E837F2" w:rsidRDefault="00D83E33">
            <w:pPr>
              <w:widowControl w:val="0"/>
              <w:jc w:val="right"/>
              <w:rPr>
                <w:color w:val="000000"/>
              </w:rPr>
            </w:pPr>
          </w:p>
        </w:tc>
        <w:tc>
          <w:tcPr>
            <w:tcW w:w="452" w:type="pct"/>
            <w:vAlign w:val="bottom"/>
          </w:tcPr>
          <w:p w14:paraId="59DDDEB7" w14:textId="77777777" w:rsidR="00D83E33" w:rsidRPr="00E837F2" w:rsidRDefault="00D83E33">
            <w:pPr>
              <w:widowControl w:val="0"/>
              <w:jc w:val="right"/>
              <w:rPr>
                <w:color w:val="000000"/>
              </w:rPr>
            </w:pPr>
          </w:p>
        </w:tc>
        <w:tc>
          <w:tcPr>
            <w:tcW w:w="452" w:type="pct"/>
            <w:vAlign w:val="bottom"/>
          </w:tcPr>
          <w:p w14:paraId="2FB5E92C" w14:textId="77777777" w:rsidR="00D83E33" w:rsidRPr="00E837F2" w:rsidRDefault="00D83E33">
            <w:pPr>
              <w:widowControl w:val="0"/>
              <w:jc w:val="right"/>
              <w:rPr>
                <w:color w:val="000000"/>
              </w:rPr>
            </w:pPr>
          </w:p>
        </w:tc>
        <w:tc>
          <w:tcPr>
            <w:tcW w:w="452" w:type="pct"/>
            <w:vAlign w:val="bottom"/>
          </w:tcPr>
          <w:p w14:paraId="70BF1CE4" w14:textId="77777777" w:rsidR="00D83E33" w:rsidRPr="00E837F2" w:rsidRDefault="00D83E33">
            <w:pPr>
              <w:widowControl w:val="0"/>
              <w:jc w:val="right"/>
              <w:rPr>
                <w:color w:val="000000"/>
              </w:rPr>
            </w:pPr>
          </w:p>
        </w:tc>
        <w:tc>
          <w:tcPr>
            <w:tcW w:w="452" w:type="pct"/>
          </w:tcPr>
          <w:p w14:paraId="6EC443D9" w14:textId="77777777" w:rsidR="00D83E33" w:rsidRPr="00E837F2" w:rsidRDefault="00D83E33">
            <w:pPr>
              <w:widowControl w:val="0"/>
              <w:jc w:val="right"/>
              <w:rPr>
                <w:color w:val="000000"/>
              </w:rPr>
            </w:pPr>
          </w:p>
        </w:tc>
        <w:tc>
          <w:tcPr>
            <w:tcW w:w="451" w:type="pct"/>
            <w:vAlign w:val="bottom"/>
          </w:tcPr>
          <w:p w14:paraId="7A6BC0C2" w14:textId="77777777" w:rsidR="00D83E33" w:rsidRPr="00E837F2" w:rsidRDefault="00D83E33">
            <w:pPr>
              <w:widowControl w:val="0"/>
              <w:jc w:val="right"/>
              <w:rPr>
                <w:color w:val="000000"/>
              </w:rPr>
            </w:pPr>
          </w:p>
        </w:tc>
      </w:tr>
      <w:tr w:rsidR="00D83E33" w:rsidRPr="00E837F2" w14:paraId="48EC41A6" w14:textId="77777777" w:rsidTr="001B330E">
        <w:trPr>
          <w:trHeight w:val="23"/>
        </w:trPr>
        <w:tc>
          <w:tcPr>
            <w:tcW w:w="1386" w:type="pct"/>
            <w:tcBorders>
              <w:bottom w:val="single" w:sz="6" w:space="0" w:color="000000"/>
            </w:tcBorders>
            <w:vAlign w:val="bottom"/>
          </w:tcPr>
          <w:p w14:paraId="219244B0" w14:textId="77777777" w:rsidR="00D83E33" w:rsidRPr="00E837F2" w:rsidRDefault="00D83E33" w:rsidP="001B330E">
            <w:pPr>
              <w:widowControl w:val="0"/>
              <w:ind w:left="113" w:hanging="113"/>
              <w:rPr>
                <w:color w:val="000000"/>
              </w:rPr>
            </w:pPr>
          </w:p>
        </w:tc>
        <w:tc>
          <w:tcPr>
            <w:tcW w:w="452" w:type="pct"/>
            <w:tcBorders>
              <w:bottom w:val="single" w:sz="6" w:space="0" w:color="000000"/>
            </w:tcBorders>
            <w:vAlign w:val="bottom"/>
          </w:tcPr>
          <w:p w14:paraId="0361CFBC"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5A6B10D3"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58714AF6"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0D55B72E"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2C612432" w14:textId="77777777" w:rsidR="00D83E33" w:rsidRPr="00E837F2" w:rsidRDefault="00D83E33">
            <w:pPr>
              <w:widowControl w:val="0"/>
              <w:jc w:val="right"/>
              <w:rPr>
                <w:color w:val="000000"/>
              </w:rPr>
            </w:pPr>
          </w:p>
        </w:tc>
        <w:tc>
          <w:tcPr>
            <w:tcW w:w="452" w:type="pct"/>
            <w:tcBorders>
              <w:bottom w:val="single" w:sz="6" w:space="0" w:color="000000"/>
            </w:tcBorders>
            <w:vAlign w:val="bottom"/>
          </w:tcPr>
          <w:p w14:paraId="25B66CC1" w14:textId="77777777" w:rsidR="00D83E33" w:rsidRPr="00E837F2" w:rsidRDefault="00D83E33">
            <w:pPr>
              <w:widowControl w:val="0"/>
              <w:jc w:val="right"/>
              <w:rPr>
                <w:color w:val="000000"/>
              </w:rPr>
            </w:pPr>
          </w:p>
        </w:tc>
        <w:tc>
          <w:tcPr>
            <w:tcW w:w="452" w:type="pct"/>
            <w:tcBorders>
              <w:bottom w:val="single" w:sz="6" w:space="0" w:color="000000"/>
            </w:tcBorders>
          </w:tcPr>
          <w:p w14:paraId="6276F2BD" w14:textId="77777777" w:rsidR="00D83E33" w:rsidRPr="00E837F2" w:rsidRDefault="00D83E33">
            <w:pPr>
              <w:widowControl w:val="0"/>
              <w:jc w:val="right"/>
              <w:rPr>
                <w:color w:val="000000"/>
              </w:rPr>
            </w:pPr>
          </w:p>
        </w:tc>
        <w:tc>
          <w:tcPr>
            <w:tcW w:w="451" w:type="pct"/>
            <w:tcBorders>
              <w:bottom w:val="single" w:sz="6" w:space="0" w:color="000000"/>
            </w:tcBorders>
            <w:vAlign w:val="bottom"/>
          </w:tcPr>
          <w:p w14:paraId="084B3992" w14:textId="77777777" w:rsidR="00D83E33" w:rsidRPr="00E837F2" w:rsidRDefault="00D83E33">
            <w:pPr>
              <w:widowControl w:val="0"/>
              <w:jc w:val="right"/>
              <w:rPr>
                <w:color w:val="000000"/>
              </w:rPr>
            </w:pPr>
          </w:p>
        </w:tc>
      </w:tr>
      <w:tr w:rsidR="00D83E33" w:rsidRPr="00E837F2" w14:paraId="7DA63C54" w14:textId="77777777" w:rsidTr="001B330E">
        <w:trPr>
          <w:trHeight w:val="23"/>
        </w:trPr>
        <w:tc>
          <w:tcPr>
            <w:tcW w:w="1386" w:type="pct"/>
            <w:tcBorders>
              <w:top w:val="single" w:sz="6" w:space="0" w:color="000000"/>
            </w:tcBorders>
            <w:vAlign w:val="bottom"/>
          </w:tcPr>
          <w:p w14:paraId="2A9F4C35" w14:textId="77777777" w:rsidR="00D83E33" w:rsidRPr="00E837F2" w:rsidRDefault="00D83E33" w:rsidP="001B330E">
            <w:pPr>
              <w:widowControl w:val="0"/>
              <w:ind w:left="113" w:hanging="113"/>
              <w:rPr>
                <w:color w:val="000000"/>
              </w:rPr>
            </w:pPr>
          </w:p>
        </w:tc>
        <w:tc>
          <w:tcPr>
            <w:tcW w:w="452" w:type="pct"/>
            <w:tcBorders>
              <w:top w:val="single" w:sz="6" w:space="0" w:color="000000"/>
            </w:tcBorders>
            <w:vAlign w:val="bottom"/>
          </w:tcPr>
          <w:p w14:paraId="3C3B4AFF"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49B8E5E3"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555819B8"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2FDF8308"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2CB2A5EB" w14:textId="77777777" w:rsidR="00D83E33" w:rsidRPr="00E837F2" w:rsidRDefault="00D83E33">
            <w:pPr>
              <w:widowControl w:val="0"/>
              <w:jc w:val="right"/>
              <w:rPr>
                <w:color w:val="000000"/>
              </w:rPr>
            </w:pPr>
          </w:p>
        </w:tc>
        <w:tc>
          <w:tcPr>
            <w:tcW w:w="452" w:type="pct"/>
            <w:tcBorders>
              <w:top w:val="single" w:sz="6" w:space="0" w:color="000000"/>
            </w:tcBorders>
            <w:vAlign w:val="bottom"/>
          </w:tcPr>
          <w:p w14:paraId="5C94044F" w14:textId="77777777" w:rsidR="00D83E33" w:rsidRPr="00E837F2" w:rsidRDefault="00D83E33">
            <w:pPr>
              <w:widowControl w:val="0"/>
              <w:jc w:val="right"/>
              <w:rPr>
                <w:color w:val="000000"/>
              </w:rPr>
            </w:pPr>
          </w:p>
        </w:tc>
        <w:tc>
          <w:tcPr>
            <w:tcW w:w="452" w:type="pct"/>
            <w:tcBorders>
              <w:top w:val="single" w:sz="6" w:space="0" w:color="000000"/>
            </w:tcBorders>
          </w:tcPr>
          <w:p w14:paraId="35761FAB" w14:textId="77777777" w:rsidR="00D83E33" w:rsidRPr="00E837F2" w:rsidRDefault="00D83E33">
            <w:pPr>
              <w:widowControl w:val="0"/>
              <w:jc w:val="right"/>
              <w:rPr>
                <w:color w:val="000000"/>
              </w:rPr>
            </w:pPr>
          </w:p>
        </w:tc>
        <w:tc>
          <w:tcPr>
            <w:tcW w:w="451" w:type="pct"/>
            <w:tcBorders>
              <w:top w:val="single" w:sz="6" w:space="0" w:color="000000"/>
            </w:tcBorders>
            <w:vAlign w:val="bottom"/>
          </w:tcPr>
          <w:p w14:paraId="0FA9BC37" w14:textId="77777777" w:rsidR="00D83E33" w:rsidRPr="00E837F2" w:rsidRDefault="00D83E33">
            <w:pPr>
              <w:widowControl w:val="0"/>
              <w:jc w:val="right"/>
              <w:rPr>
                <w:color w:val="000000"/>
              </w:rPr>
            </w:pPr>
          </w:p>
        </w:tc>
      </w:tr>
      <w:tr w:rsidR="00D83E33" w:rsidRPr="00E837F2" w14:paraId="6BC2B6AA" w14:textId="77777777" w:rsidTr="001B330E">
        <w:trPr>
          <w:trHeight w:val="23"/>
        </w:trPr>
        <w:tc>
          <w:tcPr>
            <w:tcW w:w="1386" w:type="pct"/>
            <w:vAlign w:val="bottom"/>
          </w:tcPr>
          <w:p w14:paraId="6D65651D" w14:textId="77777777" w:rsidR="00D83E33" w:rsidRPr="00E837F2" w:rsidRDefault="00BC4072" w:rsidP="001B330E">
            <w:pPr>
              <w:widowControl w:val="0"/>
              <w:ind w:left="113" w:hanging="113"/>
              <w:rPr>
                <w:b/>
                <w:color w:val="000000"/>
              </w:rPr>
            </w:pPr>
            <w:r w:rsidRPr="00E837F2">
              <w:rPr>
                <w:b/>
                <w:color w:val="000000"/>
              </w:rPr>
              <w:t>Total carrying value loans and advances to customers at AC (amount representing exposure to credit risk for each class of loans at AC)</w:t>
            </w:r>
          </w:p>
        </w:tc>
        <w:tc>
          <w:tcPr>
            <w:tcW w:w="452" w:type="pct"/>
            <w:vAlign w:val="bottom"/>
          </w:tcPr>
          <w:p w14:paraId="65E4FA73" w14:textId="77777777" w:rsidR="00D83E33" w:rsidRPr="00E837F2" w:rsidRDefault="00D83E33">
            <w:pPr>
              <w:widowControl w:val="0"/>
              <w:jc w:val="right"/>
              <w:rPr>
                <w:b/>
                <w:color w:val="000000"/>
              </w:rPr>
            </w:pPr>
          </w:p>
        </w:tc>
        <w:tc>
          <w:tcPr>
            <w:tcW w:w="452" w:type="pct"/>
            <w:vAlign w:val="bottom"/>
          </w:tcPr>
          <w:p w14:paraId="1C6903CB" w14:textId="77777777" w:rsidR="00D83E33" w:rsidRPr="00E837F2" w:rsidRDefault="00D83E33">
            <w:pPr>
              <w:widowControl w:val="0"/>
              <w:jc w:val="right"/>
              <w:rPr>
                <w:b/>
                <w:color w:val="000000"/>
              </w:rPr>
            </w:pPr>
          </w:p>
        </w:tc>
        <w:tc>
          <w:tcPr>
            <w:tcW w:w="452" w:type="pct"/>
            <w:vAlign w:val="bottom"/>
          </w:tcPr>
          <w:p w14:paraId="03C33973" w14:textId="77777777" w:rsidR="00D83E33" w:rsidRPr="00E837F2" w:rsidRDefault="00D83E33">
            <w:pPr>
              <w:widowControl w:val="0"/>
              <w:jc w:val="right"/>
              <w:rPr>
                <w:b/>
                <w:color w:val="000000"/>
              </w:rPr>
            </w:pPr>
          </w:p>
        </w:tc>
        <w:tc>
          <w:tcPr>
            <w:tcW w:w="452" w:type="pct"/>
            <w:vAlign w:val="bottom"/>
          </w:tcPr>
          <w:p w14:paraId="737F94D1" w14:textId="77777777" w:rsidR="00D83E33" w:rsidRPr="00E837F2" w:rsidRDefault="00D83E33">
            <w:pPr>
              <w:widowControl w:val="0"/>
              <w:jc w:val="right"/>
              <w:rPr>
                <w:b/>
                <w:color w:val="000000"/>
              </w:rPr>
            </w:pPr>
          </w:p>
        </w:tc>
        <w:tc>
          <w:tcPr>
            <w:tcW w:w="452" w:type="pct"/>
            <w:vAlign w:val="bottom"/>
          </w:tcPr>
          <w:p w14:paraId="007CFDEE" w14:textId="77777777" w:rsidR="00D83E33" w:rsidRPr="00E837F2" w:rsidRDefault="00D83E33">
            <w:pPr>
              <w:widowControl w:val="0"/>
              <w:jc w:val="right"/>
              <w:rPr>
                <w:b/>
                <w:color w:val="000000"/>
              </w:rPr>
            </w:pPr>
          </w:p>
        </w:tc>
        <w:tc>
          <w:tcPr>
            <w:tcW w:w="452" w:type="pct"/>
            <w:vAlign w:val="bottom"/>
          </w:tcPr>
          <w:p w14:paraId="56264B6E" w14:textId="77777777" w:rsidR="00D83E33" w:rsidRPr="00E837F2" w:rsidRDefault="00D83E33">
            <w:pPr>
              <w:widowControl w:val="0"/>
              <w:jc w:val="right"/>
              <w:rPr>
                <w:b/>
                <w:color w:val="000000"/>
              </w:rPr>
            </w:pPr>
          </w:p>
        </w:tc>
        <w:tc>
          <w:tcPr>
            <w:tcW w:w="452" w:type="pct"/>
          </w:tcPr>
          <w:p w14:paraId="1628AF1B" w14:textId="77777777" w:rsidR="00D83E33" w:rsidRPr="00E837F2" w:rsidRDefault="00D83E33">
            <w:pPr>
              <w:widowControl w:val="0"/>
              <w:jc w:val="right"/>
              <w:rPr>
                <w:b/>
                <w:color w:val="000000"/>
              </w:rPr>
            </w:pPr>
          </w:p>
        </w:tc>
        <w:tc>
          <w:tcPr>
            <w:tcW w:w="451" w:type="pct"/>
            <w:vAlign w:val="bottom"/>
          </w:tcPr>
          <w:p w14:paraId="31D24C37" w14:textId="77777777" w:rsidR="00D83E33" w:rsidRPr="00E837F2" w:rsidRDefault="00D83E33">
            <w:pPr>
              <w:widowControl w:val="0"/>
              <w:jc w:val="right"/>
              <w:rPr>
                <w:b/>
                <w:color w:val="000000"/>
              </w:rPr>
            </w:pPr>
          </w:p>
        </w:tc>
      </w:tr>
      <w:tr w:rsidR="00D83E33" w:rsidRPr="00E837F2" w14:paraId="710E4BDA" w14:textId="77777777" w:rsidTr="001B330E">
        <w:trPr>
          <w:trHeight w:val="23"/>
        </w:trPr>
        <w:tc>
          <w:tcPr>
            <w:tcW w:w="1386" w:type="pct"/>
            <w:tcBorders>
              <w:bottom w:val="single" w:sz="12" w:space="0" w:color="000000"/>
            </w:tcBorders>
            <w:vAlign w:val="bottom"/>
          </w:tcPr>
          <w:p w14:paraId="27E68C0C" w14:textId="77777777" w:rsidR="00D83E33" w:rsidRPr="001B330E" w:rsidRDefault="00D83E33" w:rsidP="001B330E">
            <w:pPr>
              <w:widowControl w:val="0"/>
              <w:ind w:left="113" w:hanging="113"/>
              <w:rPr>
                <w:b/>
                <w:color w:val="000000"/>
                <w:szCs w:val="16"/>
              </w:rPr>
            </w:pPr>
          </w:p>
        </w:tc>
        <w:tc>
          <w:tcPr>
            <w:tcW w:w="452" w:type="pct"/>
            <w:tcBorders>
              <w:bottom w:val="single" w:sz="12" w:space="0" w:color="000000"/>
            </w:tcBorders>
            <w:vAlign w:val="bottom"/>
          </w:tcPr>
          <w:p w14:paraId="52977E9A" w14:textId="77777777" w:rsidR="00D83E33" w:rsidRPr="001B330E" w:rsidRDefault="00D83E33">
            <w:pPr>
              <w:widowControl w:val="0"/>
              <w:jc w:val="right"/>
              <w:rPr>
                <w:b/>
                <w:color w:val="000000"/>
                <w:szCs w:val="16"/>
              </w:rPr>
            </w:pPr>
          </w:p>
        </w:tc>
        <w:tc>
          <w:tcPr>
            <w:tcW w:w="452" w:type="pct"/>
            <w:tcBorders>
              <w:bottom w:val="single" w:sz="12" w:space="0" w:color="000000"/>
            </w:tcBorders>
            <w:vAlign w:val="bottom"/>
          </w:tcPr>
          <w:p w14:paraId="18E0B669" w14:textId="77777777" w:rsidR="00D83E33" w:rsidRPr="001B330E" w:rsidRDefault="00D83E33">
            <w:pPr>
              <w:widowControl w:val="0"/>
              <w:jc w:val="right"/>
              <w:rPr>
                <w:b/>
                <w:color w:val="000000"/>
                <w:szCs w:val="16"/>
              </w:rPr>
            </w:pPr>
          </w:p>
        </w:tc>
        <w:tc>
          <w:tcPr>
            <w:tcW w:w="452" w:type="pct"/>
            <w:tcBorders>
              <w:bottom w:val="single" w:sz="12" w:space="0" w:color="000000"/>
            </w:tcBorders>
            <w:vAlign w:val="bottom"/>
          </w:tcPr>
          <w:p w14:paraId="7FC29329" w14:textId="77777777" w:rsidR="00D83E33" w:rsidRPr="001B330E" w:rsidRDefault="00D83E33">
            <w:pPr>
              <w:widowControl w:val="0"/>
              <w:jc w:val="right"/>
              <w:rPr>
                <w:b/>
                <w:color w:val="000000"/>
                <w:szCs w:val="16"/>
              </w:rPr>
            </w:pPr>
          </w:p>
        </w:tc>
        <w:tc>
          <w:tcPr>
            <w:tcW w:w="452" w:type="pct"/>
            <w:tcBorders>
              <w:bottom w:val="single" w:sz="12" w:space="0" w:color="000000"/>
            </w:tcBorders>
            <w:vAlign w:val="bottom"/>
          </w:tcPr>
          <w:p w14:paraId="669494DD" w14:textId="77777777" w:rsidR="00D83E33" w:rsidRPr="001B330E" w:rsidRDefault="00D83E33">
            <w:pPr>
              <w:widowControl w:val="0"/>
              <w:jc w:val="right"/>
              <w:rPr>
                <w:b/>
                <w:color w:val="000000"/>
                <w:szCs w:val="16"/>
              </w:rPr>
            </w:pPr>
          </w:p>
        </w:tc>
        <w:tc>
          <w:tcPr>
            <w:tcW w:w="452" w:type="pct"/>
            <w:tcBorders>
              <w:bottom w:val="single" w:sz="12" w:space="0" w:color="000000"/>
            </w:tcBorders>
            <w:vAlign w:val="bottom"/>
          </w:tcPr>
          <w:p w14:paraId="6D1FBD9F" w14:textId="77777777" w:rsidR="00D83E33" w:rsidRPr="001B330E" w:rsidRDefault="00D83E33">
            <w:pPr>
              <w:widowControl w:val="0"/>
              <w:jc w:val="right"/>
              <w:rPr>
                <w:b/>
                <w:color w:val="000000"/>
                <w:szCs w:val="16"/>
              </w:rPr>
            </w:pPr>
          </w:p>
        </w:tc>
        <w:tc>
          <w:tcPr>
            <w:tcW w:w="452" w:type="pct"/>
            <w:tcBorders>
              <w:bottom w:val="single" w:sz="12" w:space="0" w:color="000000"/>
            </w:tcBorders>
            <w:vAlign w:val="bottom"/>
          </w:tcPr>
          <w:p w14:paraId="75BA66B5" w14:textId="77777777" w:rsidR="00D83E33" w:rsidRPr="001B330E" w:rsidRDefault="00D83E33">
            <w:pPr>
              <w:widowControl w:val="0"/>
              <w:jc w:val="right"/>
              <w:rPr>
                <w:b/>
                <w:color w:val="000000"/>
                <w:szCs w:val="16"/>
              </w:rPr>
            </w:pPr>
          </w:p>
        </w:tc>
        <w:tc>
          <w:tcPr>
            <w:tcW w:w="452" w:type="pct"/>
            <w:tcBorders>
              <w:bottom w:val="single" w:sz="12" w:space="0" w:color="000000"/>
            </w:tcBorders>
          </w:tcPr>
          <w:p w14:paraId="0B0327F7" w14:textId="77777777" w:rsidR="00D83E33" w:rsidRPr="001B330E" w:rsidRDefault="00D83E33">
            <w:pPr>
              <w:widowControl w:val="0"/>
              <w:jc w:val="right"/>
              <w:rPr>
                <w:b/>
                <w:color w:val="000000"/>
                <w:szCs w:val="16"/>
              </w:rPr>
            </w:pPr>
          </w:p>
        </w:tc>
        <w:tc>
          <w:tcPr>
            <w:tcW w:w="451" w:type="pct"/>
            <w:tcBorders>
              <w:bottom w:val="single" w:sz="12" w:space="0" w:color="000000"/>
            </w:tcBorders>
            <w:vAlign w:val="bottom"/>
          </w:tcPr>
          <w:p w14:paraId="1320EC1A" w14:textId="77777777" w:rsidR="00D83E33" w:rsidRPr="001B330E" w:rsidRDefault="00D83E33">
            <w:pPr>
              <w:widowControl w:val="0"/>
              <w:jc w:val="right"/>
              <w:rPr>
                <w:b/>
                <w:color w:val="000000"/>
                <w:szCs w:val="16"/>
              </w:rPr>
            </w:pPr>
          </w:p>
        </w:tc>
      </w:tr>
    </w:tbl>
    <w:p w14:paraId="4C80E30E" w14:textId="13B0C403" w:rsidR="00D83E33" w:rsidRDefault="00BC4072" w:rsidP="001B330E">
      <w:pPr>
        <w:pStyle w:val="Continued"/>
      </w:pPr>
      <w:r>
        <w:lastRenderedPageBreak/>
        <w:t>11</w:t>
      </w:r>
      <w:r>
        <w:tab/>
        <w:t>Loans and Advances to Customers (Continued)</w:t>
      </w:r>
    </w:p>
    <w:p w14:paraId="0793697B" w14:textId="575956F1"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Description of collateral held for loans to individuals carried at amortised cost is as follows at 31</w:t>
      </w:r>
      <w:r w:rsidR="00181687">
        <w:rPr>
          <w:color w:val="000000"/>
          <w:sz w:val="20"/>
          <w:szCs w:val="20"/>
        </w:rPr>
        <w:t> December </w:t>
      </w:r>
      <w:r w:rsidR="00541EBC">
        <w:rPr>
          <w:color w:val="000000"/>
          <w:sz w:val="20"/>
          <w:szCs w:val="20"/>
        </w:rPr>
        <w:t>2024</w:t>
      </w:r>
      <w:r>
        <w:rPr>
          <w:color w:val="000000"/>
          <w:sz w:val="20"/>
          <w:szCs w:val="20"/>
        </w:rPr>
        <w:t xml:space="preserve">: </w:t>
      </w:r>
    </w:p>
    <w:tbl>
      <w:tblPr>
        <w:tblStyle w:val="afffffb"/>
        <w:tblW w:w="5000" w:type="pct"/>
        <w:tblLayout w:type="fixed"/>
        <w:tblLook w:val="0000" w:firstRow="0" w:lastRow="0" w:firstColumn="0" w:lastColumn="0" w:noHBand="0" w:noVBand="0"/>
      </w:tblPr>
      <w:tblGrid>
        <w:gridCol w:w="2685"/>
        <w:gridCol w:w="1334"/>
        <w:gridCol w:w="1334"/>
        <w:gridCol w:w="1334"/>
        <w:gridCol w:w="1334"/>
        <w:gridCol w:w="1334"/>
      </w:tblGrid>
      <w:tr w:rsidR="00D83E33" w:rsidRPr="00D95E75" w14:paraId="0E205D34" w14:textId="77777777" w:rsidTr="001B330E">
        <w:trPr>
          <w:trHeight w:val="23"/>
        </w:trPr>
        <w:tc>
          <w:tcPr>
            <w:tcW w:w="1435" w:type="pct"/>
            <w:tcBorders>
              <w:bottom w:val="single" w:sz="6" w:space="0" w:color="000000"/>
            </w:tcBorders>
            <w:vAlign w:val="bottom"/>
          </w:tcPr>
          <w:p w14:paraId="3D423B8C" w14:textId="3E0F4060" w:rsidR="00D83E33" w:rsidRPr="001B330E" w:rsidRDefault="00313B4D" w:rsidP="001B330E">
            <w:pPr>
              <w:widowControl w:val="0"/>
              <w:ind w:left="113" w:right="-57" w:hanging="113"/>
              <w:rPr>
                <w:i/>
                <w:color w:val="000000"/>
                <w:sz w:val="17"/>
                <w:szCs w:val="17"/>
              </w:rPr>
            </w:pPr>
            <w:r>
              <w:rPr>
                <w:i/>
                <w:color w:val="000000"/>
                <w:sz w:val="17"/>
                <w:szCs w:val="17"/>
              </w:rPr>
              <w:t xml:space="preserve">In thousands of </w:t>
            </w:r>
            <w:r w:rsidR="002649EE">
              <w:rPr>
                <w:i/>
                <w:color w:val="000000"/>
                <w:sz w:val="17"/>
                <w:szCs w:val="17"/>
              </w:rPr>
              <w:t>EUR</w:t>
            </w:r>
          </w:p>
        </w:tc>
        <w:tc>
          <w:tcPr>
            <w:tcW w:w="713" w:type="pct"/>
            <w:tcBorders>
              <w:bottom w:val="single" w:sz="6" w:space="0" w:color="000000"/>
            </w:tcBorders>
          </w:tcPr>
          <w:p w14:paraId="30F3359D" w14:textId="77777777" w:rsidR="00D83E33" w:rsidRPr="001B330E" w:rsidRDefault="00BC4072" w:rsidP="001B330E">
            <w:pPr>
              <w:widowControl w:val="0"/>
              <w:ind w:left="-113"/>
              <w:jc w:val="right"/>
              <w:rPr>
                <w:b/>
                <w:color w:val="000000"/>
                <w:sz w:val="17"/>
                <w:szCs w:val="17"/>
              </w:rPr>
            </w:pPr>
            <w:r w:rsidRPr="001B330E">
              <w:rPr>
                <w:b/>
                <w:color w:val="000000"/>
                <w:sz w:val="17"/>
                <w:szCs w:val="17"/>
              </w:rPr>
              <w:t>Mortgage loans</w:t>
            </w:r>
          </w:p>
        </w:tc>
        <w:tc>
          <w:tcPr>
            <w:tcW w:w="713" w:type="pct"/>
            <w:tcBorders>
              <w:bottom w:val="single" w:sz="6" w:space="0" w:color="000000"/>
            </w:tcBorders>
          </w:tcPr>
          <w:p w14:paraId="7D5C9402" w14:textId="77777777" w:rsidR="00D83E33" w:rsidRPr="001B330E" w:rsidRDefault="00BC4072" w:rsidP="001B330E">
            <w:pPr>
              <w:widowControl w:val="0"/>
              <w:ind w:left="-113"/>
              <w:jc w:val="right"/>
              <w:rPr>
                <w:b/>
                <w:color w:val="000000"/>
                <w:sz w:val="17"/>
                <w:szCs w:val="17"/>
              </w:rPr>
            </w:pPr>
            <w:r w:rsidRPr="001B330E">
              <w:rPr>
                <w:b/>
                <w:color w:val="000000"/>
                <w:sz w:val="17"/>
                <w:szCs w:val="17"/>
              </w:rPr>
              <w:t>Consumer loans</w:t>
            </w:r>
          </w:p>
        </w:tc>
        <w:tc>
          <w:tcPr>
            <w:tcW w:w="713" w:type="pct"/>
            <w:tcBorders>
              <w:bottom w:val="single" w:sz="6" w:space="0" w:color="000000"/>
            </w:tcBorders>
          </w:tcPr>
          <w:p w14:paraId="63A717F8" w14:textId="77777777" w:rsidR="00D83E33" w:rsidRPr="001B330E" w:rsidRDefault="00BC4072" w:rsidP="001B330E">
            <w:pPr>
              <w:widowControl w:val="0"/>
              <w:ind w:left="-113"/>
              <w:jc w:val="right"/>
              <w:rPr>
                <w:b/>
                <w:color w:val="000000"/>
                <w:sz w:val="17"/>
                <w:szCs w:val="17"/>
              </w:rPr>
            </w:pPr>
            <w:r w:rsidRPr="001B330E">
              <w:rPr>
                <w:b/>
                <w:color w:val="000000"/>
                <w:sz w:val="17"/>
                <w:szCs w:val="17"/>
              </w:rPr>
              <w:t>Car loans</w:t>
            </w:r>
          </w:p>
        </w:tc>
        <w:tc>
          <w:tcPr>
            <w:tcW w:w="713" w:type="pct"/>
            <w:tcBorders>
              <w:bottom w:val="single" w:sz="6" w:space="0" w:color="000000"/>
            </w:tcBorders>
          </w:tcPr>
          <w:p w14:paraId="1C4F800E" w14:textId="6239ADB4" w:rsidR="00D83E33" w:rsidRPr="001B330E" w:rsidRDefault="00BC4072" w:rsidP="001B330E">
            <w:pPr>
              <w:widowControl w:val="0"/>
              <w:ind w:left="-113"/>
              <w:jc w:val="right"/>
              <w:rPr>
                <w:b/>
                <w:color w:val="000000"/>
                <w:sz w:val="17"/>
                <w:szCs w:val="17"/>
              </w:rPr>
            </w:pPr>
            <w:r w:rsidRPr="001B330E">
              <w:rPr>
                <w:b/>
                <w:sz w:val="17"/>
                <w:szCs w:val="17"/>
              </w:rPr>
              <w:t>Credit cards</w:t>
            </w:r>
            <w:r w:rsidRPr="001B330E">
              <w:rPr>
                <w:sz w:val="17"/>
                <w:szCs w:val="17"/>
              </w:rPr>
              <w:t xml:space="preserve"> </w:t>
            </w:r>
          </w:p>
        </w:tc>
        <w:tc>
          <w:tcPr>
            <w:tcW w:w="713" w:type="pct"/>
            <w:tcBorders>
              <w:bottom w:val="single" w:sz="6" w:space="0" w:color="000000"/>
            </w:tcBorders>
          </w:tcPr>
          <w:p w14:paraId="30F04F56" w14:textId="77777777" w:rsidR="00D83E33" w:rsidRPr="001B330E" w:rsidRDefault="00BC4072" w:rsidP="001B330E">
            <w:pPr>
              <w:widowControl w:val="0"/>
              <w:ind w:left="-113"/>
              <w:jc w:val="right"/>
              <w:rPr>
                <w:b/>
                <w:color w:val="000000"/>
                <w:sz w:val="17"/>
                <w:szCs w:val="17"/>
              </w:rPr>
            </w:pPr>
            <w:r w:rsidRPr="001B330E">
              <w:rPr>
                <w:b/>
                <w:color w:val="000000"/>
                <w:sz w:val="17"/>
                <w:szCs w:val="17"/>
              </w:rPr>
              <w:t>Total</w:t>
            </w:r>
          </w:p>
        </w:tc>
      </w:tr>
      <w:tr w:rsidR="00D83E33" w:rsidRPr="00D95E75" w14:paraId="0941A183" w14:textId="77777777" w:rsidTr="001B330E">
        <w:trPr>
          <w:trHeight w:val="23"/>
        </w:trPr>
        <w:tc>
          <w:tcPr>
            <w:tcW w:w="1435" w:type="pct"/>
            <w:tcBorders>
              <w:top w:val="single" w:sz="6" w:space="0" w:color="000000"/>
            </w:tcBorders>
            <w:vAlign w:val="bottom"/>
          </w:tcPr>
          <w:p w14:paraId="0AA447E5" w14:textId="77777777" w:rsidR="00D83E33" w:rsidRPr="001B330E" w:rsidRDefault="00D83E33" w:rsidP="001B330E">
            <w:pPr>
              <w:widowControl w:val="0"/>
              <w:ind w:left="113" w:right="-57" w:hanging="113"/>
              <w:rPr>
                <w:b/>
                <w:color w:val="000000"/>
                <w:sz w:val="17"/>
                <w:szCs w:val="17"/>
              </w:rPr>
            </w:pPr>
          </w:p>
        </w:tc>
        <w:tc>
          <w:tcPr>
            <w:tcW w:w="713" w:type="pct"/>
            <w:tcBorders>
              <w:top w:val="single" w:sz="6" w:space="0" w:color="000000"/>
            </w:tcBorders>
            <w:vAlign w:val="bottom"/>
          </w:tcPr>
          <w:p w14:paraId="5B66D1EA" w14:textId="77777777" w:rsidR="00D83E33" w:rsidRPr="001B330E" w:rsidRDefault="00D83E33" w:rsidP="001B330E">
            <w:pPr>
              <w:widowControl w:val="0"/>
              <w:jc w:val="right"/>
              <w:rPr>
                <w:b/>
                <w:color w:val="000000"/>
                <w:sz w:val="17"/>
                <w:szCs w:val="17"/>
              </w:rPr>
            </w:pPr>
          </w:p>
        </w:tc>
        <w:tc>
          <w:tcPr>
            <w:tcW w:w="713" w:type="pct"/>
            <w:tcBorders>
              <w:top w:val="single" w:sz="6" w:space="0" w:color="000000"/>
            </w:tcBorders>
            <w:vAlign w:val="bottom"/>
          </w:tcPr>
          <w:p w14:paraId="128FE0EB" w14:textId="77777777" w:rsidR="00D83E33" w:rsidRPr="001B330E" w:rsidRDefault="00D83E33" w:rsidP="001B330E">
            <w:pPr>
              <w:widowControl w:val="0"/>
              <w:jc w:val="right"/>
              <w:rPr>
                <w:b/>
                <w:color w:val="000000"/>
                <w:sz w:val="17"/>
                <w:szCs w:val="17"/>
              </w:rPr>
            </w:pPr>
          </w:p>
        </w:tc>
        <w:tc>
          <w:tcPr>
            <w:tcW w:w="713" w:type="pct"/>
            <w:tcBorders>
              <w:top w:val="single" w:sz="6" w:space="0" w:color="000000"/>
            </w:tcBorders>
            <w:vAlign w:val="bottom"/>
          </w:tcPr>
          <w:p w14:paraId="34B441DB" w14:textId="77777777" w:rsidR="00D83E33" w:rsidRPr="001B330E" w:rsidRDefault="00D83E33" w:rsidP="001B330E">
            <w:pPr>
              <w:widowControl w:val="0"/>
              <w:jc w:val="right"/>
              <w:rPr>
                <w:b/>
                <w:color w:val="000000"/>
                <w:sz w:val="17"/>
                <w:szCs w:val="17"/>
              </w:rPr>
            </w:pPr>
          </w:p>
        </w:tc>
        <w:tc>
          <w:tcPr>
            <w:tcW w:w="713" w:type="pct"/>
            <w:tcBorders>
              <w:top w:val="single" w:sz="6" w:space="0" w:color="000000"/>
            </w:tcBorders>
            <w:vAlign w:val="bottom"/>
          </w:tcPr>
          <w:p w14:paraId="024F4807" w14:textId="77777777" w:rsidR="00D83E33" w:rsidRPr="001B330E" w:rsidRDefault="00D83E33" w:rsidP="001B330E">
            <w:pPr>
              <w:widowControl w:val="0"/>
              <w:jc w:val="right"/>
              <w:rPr>
                <w:b/>
                <w:color w:val="000000"/>
                <w:sz w:val="17"/>
                <w:szCs w:val="17"/>
              </w:rPr>
            </w:pPr>
          </w:p>
        </w:tc>
        <w:tc>
          <w:tcPr>
            <w:tcW w:w="713" w:type="pct"/>
            <w:tcBorders>
              <w:top w:val="single" w:sz="6" w:space="0" w:color="000000"/>
            </w:tcBorders>
            <w:vAlign w:val="bottom"/>
          </w:tcPr>
          <w:p w14:paraId="368AE360" w14:textId="77777777" w:rsidR="00D83E33" w:rsidRPr="001B330E" w:rsidRDefault="00D83E33" w:rsidP="001B330E">
            <w:pPr>
              <w:widowControl w:val="0"/>
              <w:jc w:val="right"/>
              <w:rPr>
                <w:b/>
                <w:color w:val="000000"/>
                <w:sz w:val="17"/>
                <w:szCs w:val="17"/>
              </w:rPr>
            </w:pPr>
          </w:p>
        </w:tc>
      </w:tr>
      <w:tr w:rsidR="00D83E33" w:rsidRPr="00D95E75" w14:paraId="674AAF85" w14:textId="77777777" w:rsidTr="001B330E">
        <w:trPr>
          <w:trHeight w:val="23"/>
        </w:trPr>
        <w:tc>
          <w:tcPr>
            <w:tcW w:w="1435" w:type="pct"/>
            <w:vAlign w:val="bottom"/>
          </w:tcPr>
          <w:p w14:paraId="35DDDB95" w14:textId="77777777" w:rsidR="00D83E33" w:rsidRPr="001B330E" w:rsidRDefault="00BC4072" w:rsidP="001B330E">
            <w:pPr>
              <w:widowControl w:val="0"/>
              <w:ind w:left="113" w:right="-57" w:hanging="113"/>
              <w:rPr>
                <w:color w:val="000000"/>
                <w:sz w:val="17"/>
                <w:szCs w:val="17"/>
              </w:rPr>
            </w:pPr>
            <w:r w:rsidRPr="001B330E">
              <w:rPr>
                <w:color w:val="000000"/>
                <w:sz w:val="17"/>
                <w:szCs w:val="17"/>
              </w:rPr>
              <w:t>Loans guaranteed by other banks</w:t>
            </w:r>
          </w:p>
        </w:tc>
        <w:tc>
          <w:tcPr>
            <w:tcW w:w="713" w:type="pct"/>
            <w:vAlign w:val="bottom"/>
          </w:tcPr>
          <w:p w14:paraId="1B3DB76D" w14:textId="77777777" w:rsidR="00D83E33" w:rsidRPr="001B330E" w:rsidRDefault="00D83E33" w:rsidP="001B330E">
            <w:pPr>
              <w:widowControl w:val="0"/>
              <w:jc w:val="right"/>
              <w:rPr>
                <w:color w:val="000000"/>
                <w:sz w:val="17"/>
                <w:szCs w:val="17"/>
              </w:rPr>
            </w:pPr>
          </w:p>
        </w:tc>
        <w:tc>
          <w:tcPr>
            <w:tcW w:w="713" w:type="pct"/>
            <w:vAlign w:val="bottom"/>
          </w:tcPr>
          <w:p w14:paraId="29B29156" w14:textId="77777777" w:rsidR="00D83E33" w:rsidRPr="001B330E" w:rsidRDefault="00D83E33" w:rsidP="001B330E">
            <w:pPr>
              <w:widowControl w:val="0"/>
              <w:jc w:val="right"/>
              <w:rPr>
                <w:color w:val="000000"/>
                <w:sz w:val="17"/>
                <w:szCs w:val="17"/>
              </w:rPr>
            </w:pPr>
          </w:p>
        </w:tc>
        <w:tc>
          <w:tcPr>
            <w:tcW w:w="713" w:type="pct"/>
            <w:vAlign w:val="bottom"/>
          </w:tcPr>
          <w:p w14:paraId="427E67AF" w14:textId="77777777" w:rsidR="00D83E33" w:rsidRPr="001B330E" w:rsidRDefault="00D83E33" w:rsidP="001B330E">
            <w:pPr>
              <w:widowControl w:val="0"/>
              <w:jc w:val="right"/>
              <w:rPr>
                <w:color w:val="000000"/>
                <w:sz w:val="17"/>
                <w:szCs w:val="17"/>
              </w:rPr>
            </w:pPr>
          </w:p>
        </w:tc>
        <w:tc>
          <w:tcPr>
            <w:tcW w:w="713" w:type="pct"/>
            <w:vAlign w:val="bottom"/>
          </w:tcPr>
          <w:p w14:paraId="065C7D71" w14:textId="77777777" w:rsidR="00D83E33" w:rsidRPr="001B330E" w:rsidRDefault="00D83E33" w:rsidP="001B330E">
            <w:pPr>
              <w:widowControl w:val="0"/>
              <w:jc w:val="right"/>
              <w:rPr>
                <w:color w:val="000000"/>
                <w:sz w:val="17"/>
                <w:szCs w:val="17"/>
              </w:rPr>
            </w:pPr>
          </w:p>
        </w:tc>
        <w:tc>
          <w:tcPr>
            <w:tcW w:w="713" w:type="pct"/>
            <w:vAlign w:val="bottom"/>
          </w:tcPr>
          <w:p w14:paraId="25451BDD" w14:textId="77777777" w:rsidR="00D83E33" w:rsidRPr="001B330E" w:rsidRDefault="00D83E33" w:rsidP="001B330E">
            <w:pPr>
              <w:widowControl w:val="0"/>
              <w:jc w:val="right"/>
              <w:rPr>
                <w:color w:val="000000"/>
                <w:sz w:val="17"/>
                <w:szCs w:val="17"/>
              </w:rPr>
            </w:pPr>
          </w:p>
        </w:tc>
      </w:tr>
      <w:tr w:rsidR="00D83E33" w:rsidRPr="00D95E75" w14:paraId="3A3B9C41" w14:textId="77777777" w:rsidTr="001B330E">
        <w:trPr>
          <w:trHeight w:val="23"/>
        </w:trPr>
        <w:tc>
          <w:tcPr>
            <w:tcW w:w="1435" w:type="pct"/>
            <w:vAlign w:val="bottom"/>
          </w:tcPr>
          <w:p w14:paraId="373C7109" w14:textId="77777777" w:rsidR="00D83E33" w:rsidRPr="001B330E" w:rsidRDefault="00BC4072" w:rsidP="001B330E">
            <w:pPr>
              <w:widowControl w:val="0"/>
              <w:ind w:left="113" w:right="-57" w:hanging="113"/>
              <w:rPr>
                <w:color w:val="000000"/>
                <w:sz w:val="17"/>
                <w:szCs w:val="17"/>
              </w:rPr>
            </w:pPr>
            <w:r w:rsidRPr="001B330E">
              <w:rPr>
                <w:color w:val="000000"/>
                <w:sz w:val="17"/>
                <w:szCs w:val="17"/>
              </w:rPr>
              <w:t>Loans guaranteed by other parties, including credit insurance</w:t>
            </w:r>
          </w:p>
        </w:tc>
        <w:tc>
          <w:tcPr>
            <w:tcW w:w="713" w:type="pct"/>
            <w:vAlign w:val="bottom"/>
          </w:tcPr>
          <w:p w14:paraId="24C93971" w14:textId="77777777" w:rsidR="00D83E33" w:rsidRPr="001B330E" w:rsidRDefault="00D83E33" w:rsidP="001B330E">
            <w:pPr>
              <w:widowControl w:val="0"/>
              <w:jc w:val="right"/>
              <w:rPr>
                <w:color w:val="000000"/>
                <w:sz w:val="17"/>
                <w:szCs w:val="17"/>
              </w:rPr>
            </w:pPr>
          </w:p>
        </w:tc>
        <w:tc>
          <w:tcPr>
            <w:tcW w:w="713" w:type="pct"/>
            <w:vAlign w:val="bottom"/>
          </w:tcPr>
          <w:p w14:paraId="56AD6F5A" w14:textId="77777777" w:rsidR="00D83E33" w:rsidRPr="001B330E" w:rsidRDefault="00D83E33" w:rsidP="001B330E">
            <w:pPr>
              <w:widowControl w:val="0"/>
              <w:jc w:val="right"/>
              <w:rPr>
                <w:color w:val="000000"/>
                <w:sz w:val="17"/>
                <w:szCs w:val="17"/>
              </w:rPr>
            </w:pPr>
          </w:p>
        </w:tc>
        <w:tc>
          <w:tcPr>
            <w:tcW w:w="713" w:type="pct"/>
            <w:vAlign w:val="bottom"/>
          </w:tcPr>
          <w:p w14:paraId="5695BE97" w14:textId="77777777" w:rsidR="00D83E33" w:rsidRPr="001B330E" w:rsidRDefault="00D83E33" w:rsidP="001B330E">
            <w:pPr>
              <w:widowControl w:val="0"/>
              <w:jc w:val="right"/>
              <w:rPr>
                <w:color w:val="000000"/>
                <w:sz w:val="17"/>
                <w:szCs w:val="17"/>
              </w:rPr>
            </w:pPr>
          </w:p>
        </w:tc>
        <w:tc>
          <w:tcPr>
            <w:tcW w:w="713" w:type="pct"/>
            <w:vAlign w:val="bottom"/>
          </w:tcPr>
          <w:p w14:paraId="49BD7A1A" w14:textId="77777777" w:rsidR="00D83E33" w:rsidRPr="001B330E" w:rsidRDefault="00D83E33" w:rsidP="001B330E">
            <w:pPr>
              <w:widowControl w:val="0"/>
              <w:jc w:val="right"/>
              <w:rPr>
                <w:color w:val="000000"/>
                <w:sz w:val="17"/>
                <w:szCs w:val="17"/>
              </w:rPr>
            </w:pPr>
          </w:p>
        </w:tc>
        <w:tc>
          <w:tcPr>
            <w:tcW w:w="713" w:type="pct"/>
            <w:vAlign w:val="bottom"/>
          </w:tcPr>
          <w:p w14:paraId="050209B8" w14:textId="77777777" w:rsidR="00D83E33" w:rsidRPr="001B330E" w:rsidRDefault="00D83E33" w:rsidP="001B330E">
            <w:pPr>
              <w:widowControl w:val="0"/>
              <w:jc w:val="right"/>
              <w:rPr>
                <w:color w:val="000000"/>
                <w:sz w:val="17"/>
                <w:szCs w:val="17"/>
              </w:rPr>
            </w:pPr>
          </w:p>
        </w:tc>
      </w:tr>
      <w:tr w:rsidR="00D83E33" w:rsidRPr="00D95E75" w14:paraId="1640323D" w14:textId="77777777" w:rsidTr="001B330E">
        <w:trPr>
          <w:trHeight w:val="23"/>
        </w:trPr>
        <w:tc>
          <w:tcPr>
            <w:tcW w:w="1435" w:type="pct"/>
            <w:vAlign w:val="bottom"/>
          </w:tcPr>
          <w:p w14:paraId="1BE63D3C"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xml:space="preserve">Loans collateralised by: </w:t>
            </w:r>
          </w:p>
        </w:tc>
        <w:tc>
          <w:tcPr>
            <w:tcW w:w="713" w:type="pct"/>
            <w:vAlign w:val="bottom"/>
          </w:tcPr>
          <w:p w14:paraId="6AC7F58B" w14:textId="77777777" w:rsidR="00D83E33" w:rsidRPr="001B330E" w:rsidRDefault="00D83E33" w:rsidP="001B330E">
            <w:pPr>
              <w:widowControl w:val="0"/>
              <w:jc w:val="right"/>
              <w:rPr>
                <w:color w:val="000000"/>
                <w:sz w:val="17"/>
                <w:szCs w:val="17"/>
              </w:rPr>
            </w:pPr>
          </w:p>
        </w:tc>
        <w:tc>
          <w:tcPr>
            <w:tcW w:w="713" w:type="pct"/>
            <w:vAlign w:val="bottom"/>
          </w:tcPr>
          <w:p w14:paraId="1423D208" w14:textId="77777777" w:rsidR="00D83E33" w:rsidRPr="001B330E" w:rsidRDefault="00D83E33" w:rsidP="001B330E">
            <w:pPr>
              <w:widowControl w:val="0"/>
              <w:jc w:val="right"/>
              <w:rPr>
                <w:color w:val="000000"/>
                <w:sz w:val="17"/>
                <w:szCs w:val="17"/>
              </w:rPr>
            </w:pPr>
          </w:p>
        </w:tc>
        <w:tc>
          <w:tcPr>
            <w:tcW w:w="713" w:type="pct"/>
            <w:vAlign w:val="bottom"/>
          </w:tcPr>
          <w:p w14:paraId="3D3D2C30" w14:textId="77777777" w:rsidR="00D83E33" w:rsidRPr="001B330E" w:rsidRDefault="00D83E33" w:rsidP="001B330E">
            <w:pPr>
              <w:widowControl w:val="0"/>
              <w:jc w:val="right"/>
              <w:rPr>
                <w:color w:val="000000"/>
                <w:sz w:val="17"/>
                <w:szCs w:val="17"/>
              </w:rPr>
            </w:pPr>
          </w:p>
        </w:tc>
        <w:tc>
          <w:tcPr>
            <w:tcW w:w="713" w:type="pct"/>
            <w:vAlign w:val="bottom"/>
          </w:tcPr>
          <w:p w14:paraId="6ED4F883" w14:textId="77777777" w:rsidR="00D83E33" w:rsidRPr="001B330E" w:rsidRDefault="00D83E33" w:rsidP="001B330E">
            <w:pPr>
              <w:widowControl w:val="0"/>
              <w:jc w:val="right"/>
              <w:rPr>
                <w:color w:val="000000"/>
                <w:sz w:val="17"/>
                <w:szCs w:val="17"/>
              </w:rPr>
            </w:pPr>
          </w:p>
        </w:tc>
        <w:tc>
          <w:tcPr>
            <w:tcW w:w="713" w:type="pct"/>
            <w:vAlign w:val="bottom"/>
          </w:tcPr>
          <w:p w14:paraId="7B4EB9F0" w14:textId="77777777" w:rsidR="00D83E33" w:rsidRPr="001B330E" w:rsidRDefault="00D83E33" w:rsidP="001B330E">
            <w:pPr>
              <w:widowControl w:val="0"/>
              <w:jc w:val="right"/>
              <w:rPr>
                <w:color w:val="000000"/>
                <w:sz w:val="17"/>
                <w:szCs w:val="17"/>
              </w:rPr>
            </w:pPr>
          </w:p>
        </w:tc>
      </w:tr>
      <w:tr w:rsidR="00D83E33" w:rsidRPr="00D95E75" w14:paraId="0AC21DC5" w14:textId="77777777" w:rsidTr="001B330E">
        <w:trPr>
          <w:trHeight w:val="23"/>
        </w:trPr>
        <w:tc>
          <w:tcPr>
            <w:tcW w:w="1435" w:type="pct"/>
            <w:vAlign w:val="bottom"/>
          </w:tcPr>
          <w:p w14:paraId="37D3FFFD"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residential real estate</w:t>
            </w:r>
          </w:p>
        </w:tc>
        <w:tc>
          <w:tcPr>
            <w:tcW w:w="713" w:type="pct"/>
            <w:vAlign w:val="bottom"/>
          </w:tcPr>
          <w:p w14:paraId="5B105EBB" w14:textId="77777777" w:rsidR="00D83E33" w:rsidRPr="001B330E" w:rsidRDefault="00D83E33" w:rsidP="001B330E">
            <w:pPr>
              <w:widowControl w:val="0"/>
              <w:jc w:val="right"/>
              <w:rPr>
                <w:color w:val="000000"/>
                <w:sz w:val="17"/>
                <w:szCs w:val="17"/>
              </w:rPr>
            </w:pPr>
          </w:p>
        </w:tc>
        <w:tc>
          <w:tcPr>
            <w:tcW w:w="713" w:type="pct"/>
            <w:vAlign w:val="bottom"/>
          </w:tcPr>
          <w:p w14:paraId="1E0F1343" w14:textId="77777777" w:rsidR="00D83E33" w:rsidRPr="001B330E" w:rsidRDefault="00D83E33" w:rsidP="001B330E">
            <w:pPr>
              <w:widowControl w:val="0"/>
              <w:jc w:val="right"/>
              <w:rPr>
                <w:color w:val="000000"/>
                <w:sz w:val="17"/>
                <w:szCs w:val="17"/>
              </w:rPr>
            </w:pPr>
          </w:p>
        </w:tc>
        <w:tc>
          <w:tcPr>
            <w:tcW w:w="713" w:type="pct"/>
            <w:vAlign w:val="bottom"/>
          </w:tcPr>
          <w:p w14:paraId="4362B753" w14:textId="77777777" w:rsidR="00D83E33" w:rsidRPr="001B330E" w:rsidRDefault="00D83E33" w:rsidP="001B330E">
            <w:pPr>
              <w:widowControl w:val="0"/>
              <w:jc w:val="right"/>
              <w:rPr>
                <w:color w:val="000000"/>
                <w:sz w:val="17"/>
                <w:szCs w:val="17"/>
              </w:rPr>
            </w:pPr>
          </w:p>
        </w:tc>
        <w:tc>
          <w:tcPr>
            <w:tcW w:w="713" w:type="pct"/>
            <w:vAlign w:val="bottom"/>
          </w:tcPr>
          <w:p w14:paraId="3D1FB7A8" w14:textId="77777777" w:rsidR="00D83E33" w:rsidRPr="001B330E" w:rsidRDefault="00D83E33" w:rsidP="001B330E">
            <w:pPr>
              <w:widowControl w:val="0"/>
              <w:jc w:val="right"/>
              <w:rPr>
                <w:color w:val="000000"/>
                <w:sz w:val="17"/>
                <w:szCs w:val="17"/>
              </w:rPr>
            </w:pPr>
          </w:p>
        </w:tc>
        <w:tc>
          <w:tcPr>
            <w:tcW w:w="713" w:type="pct"/>
            <w:vAlign w:val="bottom"/>
          </w:tcPr>
          <w:p w14:paraId="04D56CF8" w14:textId="77777777" w:rsidR="00D83E33" w:rsidRPr="001B330E" w:rsidRDefault="00D83E33" w:rsidP="001B330E">
            <w:pPr>
              <w:widowControl w:val="0"/>
              <w:jc w:val="right"/>
              <w:rPr>
                <w:color w:val="000000"/>
                <w:sz w:val="17"/>
                <w:szCs w:val="17"/>
              </w:rPr>
            </w:pPr>
          </w:p>
        </w:tc>
      </w:tr>
      <w:tr w:rsidR="00D83E33" w:rsidRPr="00D95E75" w14:paraId="382E2814" w14:textId="77777777" w:rsidTr="001B330E">
        <w:trPr>
          <w:trHeight w:val="23"/>
        </w:trPr>
        <w:tc>
          <w:tcPr>
            <w:tcW w:w="1435" w:type="pct"/>
            <w:vAlign w:val="bottom"/>
          </w:tcPr>
          <w:p w14:paraId="53FCC078"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other real estate</w:t>
            </w:r>
          </w:p>
        </w:tc>
        <w:tc>
          <w:tcPr>
            <w:tcW w:w="713" w:type="pct"/>
            <w:vAlign w:val="bottom"/>
          </w:tcPr>
          <w:p w14:paraId="22709463" w14:textId="77777777" w:rsidR="00D83E33" w:rsidRPr="001B330E" w:rsidRDefault="00D83E33" w:rsidP="001B330E">
            <w:pPr>
              <w:widowControl w:val="0"/>
              <w:jc w:val="right"/>
              <w:rPr>
                <w:color w:val="000000"/>
                <w:sz w:val="17"/>
                <w:szCs w:val="17"/>
              </w:rPr>
            </w:pPr>
          </w:p>
        </w:tc>
        <w:tc>
          <w:tcPr>
            <w:tcW w:w="713" w:type="pct"/>
            <w:vAlign w:val="bottom"/>
          </w:tcPr>
          <w:p w14:paraId="53F956CE" w14:textId="77777777" w:rsidR="00D83E33" w:rsidRPr="001B330E" w:rsidRDefault="00D83E33" w:rsidP="001B330E">
            <w:pPr>
              <w:widowControl w:val="0"/>
              <w:jc w:val="right"/>
              <w:rPr>
                <w:color w:val="000000"/>
                <w:sz w:val="17"/>
                <w:szCs w:val="17"/>
              </w:rPr>
            </w:pPr>
          </w:p>
        </w:tc>
        <w:tc>
          <w:tcPr>
            <w:tcW w:w="713" w:type="pct"/>
            <w:vAlign w:val="bottom"/>
          </w:tcPr>
          <w:p w14:paraId="1F84098F" w14:textId="77777777" w:rsidR="00D83E33" w:rsidRPr="001B330E" w:rsidRDefault="00D83E33" w:rsidP="001B330E">
            <w:pPr>
              <w:widowControl w:val="0"/>
              <w:jc w:val="right"/>
              <w:rPr>
                <w:color w:val="000000"/>
                <w:sz w:val="17"/>
                <w:szCs w:val="17"/>
              </w:rPr>
            </w:pPr>
          </w:p>
        </w:tc>
        <w:tc>
          <w:tcPr>
            <w:tcW w:w="713" w:type="pct"/>
            <w:vAlign w:val="bottom"/>
          </w:tcPr>
          <w:p w14:paraId="276F7BEE" w14:textId="77777777" w:rsidR="00D83E33" w:rsidRPr="001B330E" w:rsidRDefault="00D83E33" w:rsidP="001B330E">
            <w:pPr>
              <w:widowControl w:val="0"/>
              <w:jc w:val="right"/>
              <w:rPr>
                <w:color w:val="000000"/>
                <w:sz w:val="17"/>
                <w:szCs w:val="17"/>
              </w:rPr>
            </w:pPr>
          </w:p>
        </w:tc>
        <w:tc>
          <w:tcPr>
            <w:tcW w:w="713" w:type="pct"/>
            <w:vAlign w:val="bottom"/>
          </w:tcPr>
          <w:p w14:paraId="7AF23026" w14:textId="77777777" w:rsidR="00D83E33" w:rsidRPr="001B330E" w:rsidRDefault="00D83E33" w:rsidP="001B330E">
            <w:pPr>
              <w:widowControl w:val="0"/>
              <w:jc w:val="right"/>
              <w:rPr>
                <w:color w:val="000000"/>
                <w:sz w:val="17"/>
                <w:szCs w:val="17"/>
              </w:rPr>
            </w:pPr>
          </w:p>
        </w:tc>
      </w:tr>
      <w:tr w:rsidR="00D83E33" w:rsidRPr="00D95E75" w14:paraId="452D4C57" w14:textId="77777777" w:rsidTr="001B330E">
        <w:trPr>
          <w:trHeight w:val="23"/>
        </w:trPr>
        <w:tc>
          <w:tcPr>
            <w:tcW w:w="1435" w:type="pct"/>
            <w:vAlign w:val="bottom"/>
          </w:tcPr>
          <w:p w14:paraId="5DC44DEC"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tradable securities</w:t>
            </w:r>
          </w:p>
        </w:tc>
        <w:tc>
          <w:tcPr>
            <w:tcW w:w="713" w:type="pct"/>
            <w:vAlign w:val="bottom"/>
          </w:tcPr>
          <w:p w14:paraId="4EEE3B96" w14:textId="77777777" w:rsidR="00D83E33" w:rsidRPr="001B330E" w:rsidRDefault="00D83E33" w:rsidP="001B330E">
            <w:pPr>
              <w:widowControl w:val="0"/>
              <w:jc w:val="right"/>
              <w:rPr>
                <w:color w:val="000000"/>
                <w:sz w:val="17"/>
                <w:szCs w:val="17"/>
              </w:rPr>
            </w:pPr>
          </w:p>
        </w:tc>
        <w:tc>
          <w:tcPr>
            <w:tcW w:w="713" w:type="pct"/>
            <w:vAlign w:val="bottom"/>
          </w:tcPr>
          <w:p w14:paraId="2470D611" w14:textId="77777777" w:rsidR="00D83E33" w:rsidRPr="001B330E" w:rsidRDefault="00D83E33" w:rsidP="001B330E">
            <w:pPr>
              <w:widowControl w:val="0"/>
              <w:jc w:val="right"/>
              <w:rPr>
                <w:color w:val="000000"/>
                <w:sz w:val="17"/>
                <w:szCs w:val="17"/>
              </w:rPr>
            </w:pPr>
          </w:p>
        </w:tc>
        <w:tc>
          <w:tcPr>
            <w:tcW w:w="713" w:type="pct"/>
            <w:vAlign w:val="bottom"/>
          </w:tcPr>
          <w:p w14:paraId="17D10539" w14:textId="77777777" w:rsidR="00D83E33" w:rsidRPr="001B330E" w:rsidRDefault="00D83E33" w:rsidP="001B330E">
            <w:pPr>
              <w:widowControl w:val="0"/>
              <w:jc w:val="right"/>
              <w:rPr>
                <w:color w:val="000000"/>
                <w:sz w:val="17"/>
                <w:szCs w:val="17"/>
              </w:rPr>
            </w:pPr>
          </w:p>
        </w:tc>
        <w:tc>
          <w:tcPr>
            <w:tcW w:w="713" w:type="pct"/>
            <w:vAlign w:val="bottom"/>
          </w:tcPr>
          <w:p w14:paraId="48C21447" w14:textId="77777777" w:rsidR="00D83E33" w:rsidRPr="001B330E" w:rsidRDefault="00D83E33" w:rsidP="001B330E">
            <w:pPr>
              <w:widowControl w:val="0"/>
              <w:jc w:val="right"/>
              <w:rPr>
                <w:color w:val="000000"/>
                <w:sz w:val="17"/>
                <w:szCs w:val="17"/>
              </w:rPr>
            </w:pPr>
          </w:p>
        </w:tc>
        <w:tc>
          <w:tcPr>
            <w:tcW w:w="713" w:type="pct"/>
            <w:vAlign w:val="bottom"/>
          </w:tcPr>
          <w:p w14:paraId="5890C6F3" w14:textId="77777777" w:rsidR="00D83E33" w:rsidRPr="001B330E" w:rsidRDefault="00D83E33" w:rsidP="001B330E">
            <w:pPr>
              <w:widowControl w:val="0"/>
              <w:jc w:val="right"/>
              <w:rPr>
                <w:color w:val="000000"/>
                <w:sz w:val="17"/>
                <w:szCs w:val="17"/>
              </w:rPr>
            </w:pPr>
          </w:p>
        </w:tc>
      </w:tr>
      <w:tr w:rsidR="00D83E33" w:rsidRPr="00D95E75" w14:paraId="7C2EAE30" w14:textId="77777777" w:rsidTr="001B330E">
        <w:trPr>
          <w:trHeight w:val="23"/>
        </w:trPr>
        <w:tc>
          <w:tcPr>
            <w:tcW w:w="1435" w:type="pct"/>
            <w:vAlign w:val="bottom"/>
          </w:tcPr>
          <w:p w14:paraId="75D68D4E"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cash deposits</w:t>
            </w:r>
          </w:p>
        </w:tc>
        <w:tc>
          <w:tcPr>
            <w:tcW w:w="713" w:type="pct"/>
            <w:vAlign w:val="bottom"/>
          </w:tcPr>
          <w:p w14:paraId="42F7D229" w14:textId="77777777" w:rsidR="00D83E33" w:rsidRPr="001B330E" w:rsidRDefault="00D83E33" w:rsidP="001B330E">
            <w:pPr>
              <w:widowControl w:val="0"/>
              <w:jc w:val="right"/>
              <w:rPr>
                <w:color w:val="000000"/>
                <w:sz w:val="17"/>
                <w:szCs w:val="17"/>
              </w:rPr>
            </w:pPr>
          </w:p>
        </w:tc>
        <w:tc>
          <w:tcPr>
            <w:tcW w:w="713" w:type="pct"/>
            <w:vAlign w:val="bottom"/>
          </w:tcPr>
          <w:p w14:paraId="38464D3B" w14:textId="77777777" w:rsidR="00D83E33" w:rsidRPr="001B330E" w:rsidRDefault="00D83E33" w:rsidP="001B330E">
            <w:pPr>
              <w:widowControl w:val="0"/>
              <w:jc w:val="right"/>
              <w:rPr>
                <w:color w:val="000000"/>
                <w:sz w:val="17"/>
                <w:szCs w:val="17"/>
              </w:rPr>
            </w:pPr>
          </w:p>
        </w:tc>
        <w:tc>
          <w:tcPr>
            <w:tcW w:w="713" w:type="pct"/>
            <w:vAlign w:val="bottom"/>
          </w:tcPr>
          <w:p w14:paraId="7C0D9E35" w14:textId="77777777" w:rsidR="00D83E33" w:rsidRPr="001B330E" w:rsidRDefault="00D83E33" w:rsidP="001B330E">
            <w:pPr>
              <w:widowControl w:val="0"/>
              <w:jc w:val="right"/>
              <w:rPr>
                <w:color w:val="000000"/>
                <w:sz w:val="17"/>
                <w:szCs w:val="17"/>
              </w:rPr>
            </w:pPr>
          </w:p>
        </w:tc>
        <w:tc>
          <w:tcPr>
            <w:tcW w:w="713" w:type="pct"/>
            <w:vAlign w:val="bottom"/>
          </w:tcPr>
          <w:p w14:paraId="317B45ED" w14:textId="77777777" w:rsidR="00D83E33" w:rsidRPr="001B330E" w:rsidRDefault="00D83E33" w:rsidP="001B330E">
            <w:pPr>
              <w:widowControl w:val="0"/>
              <w:jc w:val="right"/>
              <w:rPr>
                <w:color w:val="000000"/>
                <w:sz w:val="17"/>
                <w:szCs w:val="17"/>
              </w:rPr>
            </w:pPr>
          </w:p>
        </w:tc>
        <w:tc>
          <w:tcPr>
            <w:tcW w:w="713" w:type="pct"/>
            <w:vAlign w:val="bottom"/>
          </w:tcPr>
          <w:p w14:paraId="61365383" w14:textId="77777777" w:rsidR="00D83E33" w:rsidRPr="001B330E" w:rsidRDefault="00D83E33" w:rsidP="001B330E">
            <w:pPr>
              <w:widowControl w:val="0"/>
              <w:jc w:val="right"/>
              <w:rPr>
                <w:color w:val="000000"/>
                <w:sz w:val="17"/>
                <w:szCs w:val="17"/>
              </w:rPr>
            </w:pPr>
          </w:p>
        </w:tc>
      </w:tr>
      <w:tr w:rsidR="00D83E33" w:rsidRPr="00D95E75" w14:paraId="13E6C244" w14:textId="77777777" w:rsidTr="001B330E">
        <w:trPr>
          <w:trHeight w:val="23"/>
        </w:trPr>
        <w:tc>
          <w:tcPr>
            <w:tcW w:w="1435" w:type="pct"/>
            <w:vAlign w:val="bottom"/>
          </w:tcPr>
          <w:p w14:paraId="25DD7355"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other assets</w:t>
            </w:r>
          </w:p>
        </w:tc>
        <w:tc>
          <w:tcPr>
            <w:tcW w:w="713" w:type="pct"/>
            <w:vAlign w:val="bottom"/>
          </w:tcPr>
          <w:p w14:paraId="3B9E3C27" w14:textId="77777777" w:rsidR="00D83E33" w:rsidRPr="001B330E" w:rsidRDefault="00D83E33" w:rsidP="001B330E">
            <w:pPr>
              <w:widowControl w:val="0"/>
              <w:jc w:val="right"/>
              <w:rPr>
                <w:color w:val="000000"/>
                <w:sz w:val="17"/>
                <w:szCs w:val="17"/>
              </w:rPr>
            </w:pPr>
          </w:p>
        </w:tc>
        <w:tc>
          <w:tcPr>
            <w:tcW w:w="713" w:type="pct"/>
            <w:vAlign w:val="bottom"/>
          </w:tcPr>
          <w:p w14:paraId="40766774" w14:textId="77777777" w:rsidR="00D83E33" w:rsidRPr="001B330E" w:rsidRDefault="00D83E33" w:rsidP="001B330E">
            <w:pPr>
              <w:widowControl w:val="0"/>
              <w:jc w:val="right"/>
              <w:rPr>
                <w:color w:val="000000"/>
                <w:sz w:val="17"/>
                <w:szCs w:val="17"/>
              </w:rPr>
            </w:pPr>
          </w:p>
        </w:tc>
        <w:tc>
          <w:tcPr>
            <w:tcW w:w="713" w:type="pct"/>
            <w:vAlign w:val="bottom"/>
          </w:tcPr>
          <w:p w14:paraId="196BAB54" w14:textId="77777777" w:rsidR="00D83E33" w:rsidRPr="001B330E" w:rsidRDefault="00D83E33" w:rsidP="001B330E">
            <w:pPr>
              <w:widowControl w:val="0"/>
              <w:jc w:val="right"/>
              <w:rPr>
                <w:color w:val="000000"/>
                <w:sz w:val="17"/>
                <w:szCs w:val="17"/>
              </w:rPr>
            </w:pPr>
          </w:p>
        </w:tc>
        <w:tc>
          <w:tcPr>
            <w:tcW w:w="713" w:type="pct"/>
            <w:vAlign w:val="bottom"/>
          </w:tcPr>
          <w:p w14:paraId="5298755B" w14:textId="77777777" w:rsidR="00D83E33" w:rsidRPr="001B330E" w:rsidRDefault="00D83E33" w:rsidP="001B330E">
            <w:pPr>
              <w:widowControl w:val="0"/>
              <w:jc w:val="right"/>
              <w:rPr>
                <w:color w:val="000000"/>
                <w:sz w:val="17"/>
                <w:szCs w:val="17"/>
              </w:rPr>
            </w:pPr>
          </w:p>
        </w:tc>
        <w:tc>
          <w:tcPr>
            <w:tcW w:w="713" w:type="pct"/>
            <w:vAlign w:val="bottom"/>
          </w:tcPr>
          <w:p w14:paraId="3DDAF49B" w14:textId="77777777" w:rsidR="00D83E33" w:rsidRPr="001B330E" w:rsidRDefault="00D83E33" w:rsidP="001B330E">
            <w:pPr>
              <w:widowControl w:val="0"/>
              <w:jc w:val="right"/>
              <w:rPr>
                <w:color w:val="000000"/>
                <w:sz w:val="17"/>
                <w:szCs w:val="17"/>
              </w:rPr>
            </w:pPr>
          </w:p>
        </w:tc>
      </w:tr>
      <w:tr w:rsidR="00D83E33" w:rsidRPr="00D95E75" w14:paraId="6CF53324" w14:textId="77777777" w:rsidTr="001B330E">
        <w:trPr>
          <w:trHeight w:val="23"/>
        </w:trPr>
        <w:tc>
          <w:tcPr>
            <w:tcW w:w="1435" w:type="pct"/>
            <w:tcBorders>
              <w:bottom w:val="single" w:sz="6" w:space="0" w:color="000000"/>
            </w:tcBorders>
            <w:vAlign w:val="bottom"/>
          </w:tcPr>
          <w:p w14:paraId="16B76A05" w14:textId="77777777" w:rsidR="00D83E33" w:rsidRPr="001B330E" w:rsidRDefault="00D83E33" w:rsidP="001B330E">
            <w:pPr>
              <w:widowControl w:val="0"/>
              <w:ind w:left="113" w:right="-57" w:hanging="113"/>
              <w:rPr>
                <w:color w:val="000000"/>
                <w:sz w:val="17"/>
                <w:szCs w:val="17"/>
              </w:rPr>
            </w:pPr>
          </w:p>
        </w:tc>
        <w:tc>
          <w:tcPr>
            <w:tcW w:w="713" w:type="pct"/>
            <w:tcBorders>
              <w:bottom w:val="single" w:sz="6" w:space="0" w:color="000000"/>
            </w:tcBorders>
            <w:vAlign w:val="bottom"/>
          </w:tcPr>
          <w:p w14:paraId="156B07F4"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461CCFB7"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5A598289"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36F1A08E"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6EA938CE" w14:textId="77777777" w:rsidR="00D83E33" w:rsidRPr="001B330E" w:rsidRDefault="00D83E33" w:rsidP="001B330E">
            <w:pPr>
              <w:widowControl w:val="0"/>
              <w:jc w:val="right"/>
              <w:rPr>
                <w:color w:val="000000"/>
                <w:sz w:val="17"/>
                <w:szCs w:val="17"/>
              </w:rPr>
            </w:pPr>
          </w:p>
        </w:tc>
      </w:tr>
      <w:tr w:rsidR="00D83E33" w:rsidRPr="00D95E75" w14:paraId="1955AA4A" w14:textId="77777777" w:rsidTr="001B330E">
        <w:trPr>
          <w:trHeight w:val="23"/>
        </w:trPr>
        <w:tc>
          <w:tcPr>
            <w:tcW w:w="1435" w:type="pct"/>
            <w:tcBorders>
              <w:top w:val="single" w:sz="6" w:space="0" w:color="000000"/>
            </w:tcBorders>
            <w:vAlign w:val="bottom"/>
          </w:tcPr>
          <w:p w14:paraId="15B7D31C" w14:textId="77777777" w:rsidR="00D83E33" w:rsidRPr="001B330E" w:rsidRDefault="00D83E33" w:rsidP="001B330E">
            <w:pPr>
              <w:widowControl w:val="0"/>
              <w:ind w:left="113" w:right="-57" w:hanging="113"/>
              <w:rPr>
                <w:color w:val="000000"/>
                <w:sz w:val="17"/>
                <w:szCs w:val="17"/>
              </w:rPr>
            </w:pPr>
          </w:p>
        </w:tc>
        <w:tc>
          <w:tcPr>
            <w:tcW w:w="713" w:type="pct"/>
            <w:tcBorders>
              <w:top w:val="single" w:sz="6" w:space="0" w:color="000000"/>
            </w:tcBorders>
            <w:vAlign w:val="bottom"/>
          </w:tcPr>
          <w:p w14:paraId="482A835B"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21FE1E04"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2CD23EC5"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18BED1B4"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6B7F9A77" w14:textId="77777777" w:rsidR="00D83E33" w:rsidRPr="001B330E" w:rsidRDefault="00D83E33" w:rsidP="001B330E">
            <w:pPr>
              <w:widowControl w:val="0"/>
              <w:jc w:val="right"/>
              <w:rPr>
                <w:color w:val="000000"/>
                <w:sz w:val="17"/>
                <w:szCs w:val="17"/>
              </w:rPr>
            </w:pPr>
          </w:p>
        </w:tc>
      </w:tr>
      <w:tr w:rsidR="00D83E33" w:rsidRPr="00D95E75" w14:paraId="4FA8D7EF" w14:textId="77777777" w:rsidTr="001B330E">
        <w:trPr>
          <w:trHeight w:val="23"/>
        </w:trPr>
        <w:tc>
          <w:tcPr>
            <w:tcW w:w="1435" w:type="pct"/>
            <w:vAlign w:val="bottom"/>
          </w:tcPr>
          <w:p w14:paraId="06729175"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xml:space="preserve">Total </w:t>
            </w:r>
          </w:p>
        </w:tc>
        <w:tc>
          <w:tcPr>
            <w:tcW w:w="713" w:type="pct"/>
            <w:vAlign w:val="bottom"/>
          </w:tcPr>
          <w:p w14:paraId="7442EE4C" w14:textId="77777777" w:rsidR="00D83E33" w:rsidRPr="001B330E" w:rsidRDefault="00D83E33" w:rsidP="001B330E">
            <w:pPr>
              <w:widowControl w:val="0"/>
              <w:jc w:val="right"/>
              <w:rPr>
                <w:color w:val="000000"/>
                <w:sz w:val="17"/>
                <w:szCs w:val="17"/>
              </w:rPr>
            </w:pPr>
          </w:p>
        </w:tc>
        <w:tc>
          <w:tcPr>
            <w:tcW w:w="713" w:type="pct"/>
            <w:vAlign w:val="bottom"/>
          </w:tcPr>
          <w:p w14:paraId="46BCCDAC" w14:textId="77777777" w:rsidR="00D83E33" w:rsidRPr="001B330E" w:rsidRDefault="00D83E33" w:rsidP="001B330E">
            <w:pPr>
              <w:widowControl w:val="0"/>
              <w:jc w:val="right"/>
              <w:rPr>
                <w:color w:val="000000"/>
                <w:sz w:val="17"/>
                <w:szCs w:val="17"/>
              </w:rPr>
            </w:pPr>
          </w:p>
        </w:tc>
        <w:tc>
          <w:tcPr>
            <w:tcW w:w="713" w:type="pct"/>
            <w:vAlign w:val="bottom"/>
          </w:tcPr>
          <w:p w14:paraId="542B2742" w14:textId="77777777" w:rsidR="00D83E33" w:rsidRPr="001B330E" w:rsidRDefault="00D83E33" w:rsidP="001B330E">
            <w:pPr>
              <w:widowControl w:val="0"/>
              <w:jc w:val="right"/>
              <w:rPr>
                <w:color w:val="000000"/>
                <w:sz w:val="17"/>
                <w:szCs w:val="17"/>
              </w:rPr>
            </w:pPr>
          </w:p>
        </w:tc>
        <w:tc>
          <w:tcPr>
            <w:tcW w:w="713" w:type="pct"/>
            <w:vAlign w:val="bottom"/>
          </w:tcPr>
          <w:p w14:paraId="168DFEC6" w14:textId="77777777" w:rsidR="00D83E33" w:rsidRPr="001B330E" w:rsidRDefault="00D83E33" w:rsidP="001B330E">
            <w:pPr>
              <w:widowControl w:val="0"/>
              <w:jc w:val="right"/>
              <w:rPr>
                <w:color w:val="000000"/>
                <w:sz w:val="17"/>
                <w:szCs w:val="17"/>
              </w:rPr>
            </w:pPr>
          </w:p>
        </w:tc>
        <w:tc>
          <w:tcPr>
            <w:tcW w:w="713" w:type="pct"/>
            <w:vAlign w:val="bottom"/>
          </w:tcPr>
          <w:p w14:paraId="6073A5B4" w14:textId="77777777" w:rsidR="00D83E33" w:rsidRPr="001B330E" w:rsidRDefault="00D83E33" w:rsidP="001B330E">
            <w:pPr>
              <w:widowControl w:val="0"/>
              <w:jc w:val="right"/>
              <w:rPr>
                <w:color w:val="000000"/>
                <w:sz w:val="17"/>
                <w:szCs w:val="17"/>
              </w:rPr>
            </w:pPr>
          </w:p>
        </w:tc>
      </w:tr>
      <w:tr w:rsidR="00D83E33" w:rsidRPr="00D95E75" w14:paraId="24F12206" w14:textId="77777777" w:rsidTr="001B330E">
        <w:trPr>
          <w:trHeight w:val="23"/>
        </w:trPr>
        <w:tc>
          <w:tcPr>
            <w:tcW w:w="1435" w:type="pct"/>
            <w:tcBorders>
              <w:bottom w:val="single" w:sz="6" w:space="0" w:color="000000"/>
            </w:tcBorders>
            <w:vAlign w:val="bottom"/>
          </w:tcPr>
          <w:p w14:paraId="1B70DB18" w14:textId="77777777" w:rsidR="00D83E33" w:rsidRPr="001B330E" w:rsidRDefault="00D83E33" w:rsidP="001B330E">
            <w:pPr>
              <w:widowControl w:val="0"/>
              <w:ind w:left="113" w:right="-57" w:hanging="113"/>
              <w:rPr>
                <w:color w:val="000000"/>
                <w:sz w:val="17"/>
                <w:szCs w:val="17"/>
              </w:rPr>
            </w:pPr>
          </w:p>
        </w:tc>
        <w:tc>
          <w:tcPr>
            <w:tcW w:w="713" w:type="pct"/>
            <w:tcBorders>
              <w:bottom w:val="single" w:sz="6" w:space="0" w:color="000000"/>
            </w:tcBorders>
            <w:vAlign w:val="bottom"/>
          </w:tcPr>
          <w:p w14:paraId="5391F771"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21CE8E15"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0C2D81EA"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48DDB005"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7BB68AA0" w14:textId="77777777" w:rsidR="00D83E33" w:rsidRPr="001B330E" w:rsidRDefault="00D83E33" w:rsidP="001B330E">
            <w:pPr>
              <w:widowControl w:val="0"/>
              <w:jc w:val="right"/>
              <w:rPr>
                <w:color w:val="000000"/>
                <w:sz w:val="17"/>
                <w:szCs w:val="17"/>
              </w:rPr>
            </w:pPr>
          </w:p>
        </w:tc>
      </w:tr>
      <w:tr w:rsidR="00D83E33" w:rsidRPr="00D95E75" w14:paraId="2B31829C" w14:textId="77777777" w:rsidTr="001B330E">
        <w:trPr>
          <w:trHeight w:val="23"/>
        </w:trPr>
        <w:tc>
          <w:tcPr>
            <w:tcW w:w="1435" w:type="pct"/>
            <w:tcBorders>
              <w:top w:val="single" w:sz="6" w:space="0" w:color="000000"/>
            </w:tcBorders>
            <w:vAlign w:val="bottom"/>
          </w:tcPr>
          <w:p w14:paraId="51B30A6F" w14:textId="77777777" w:rsidR="00D83E33" w:rsidRPr="001B330E" w:rsidRDefault="00D83E33" w:rsidP="001B330E">
            <w:pPr>
              <w:widowControl w:val="0"/>
              <w:ind w:left="113" w:right="-57" w:hanging="113"/>
              <w:rPr>
                <w:color w:val="000000"/>
                <w:sz w:val="17"/>
                <w:szCs w:val="17"/>
              </w:rPr>
            </w:pPr>
          </w:p>
        </w:tc>
        <w:tc>
          <w:tcPr>
            <w:tcW w:w="713" w:type="pct"/>
            <w:tcBorders>
              <w:top w:val="single" w:sz="6" w:space="0" w:color="000000"/>
            </w:tcBorders>
            <w:vAlign w:val="bottom"/>
          </w:tcPr>
          <w:p w14:paraId="5CA41E63"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1F2EA28B"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5B1E7B85"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3B759308"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28965B18" w14:textId="77777777" w:rsidR="00D83E33" w:rsidRPr="001B330E" w:rsidRDefault="00D83E33" w:rsidP="001B330E">
            <w:pPr>
              <w:widowControl w:val="0"/>
              <w:jc w:val="right"/>
              <w:rPr>
                <w:color w:val="000000"/>
                <w:sz w:val="17"/>
                <w:szCs w:val="17"/>
              </w:rPr>
            </w:pPr>
          </w:p>
        </w:tc>
      </w:tr>
      <w:tr w:rsidR="00D83E33" w:rsidRPr="00D95E75" w14:paraId="7556640F" w14:textId="77777777" w:rsidTr="001B330E">
        <w:trPr>
          <w:trHeight w:val="23"/>
        </w:trPr>
        <w:tc>
          <w:tcPr>
            <w:tcW w:w="1435" w:type="pct"/>
            <w:vAlign w:val="bottom"/>
          </w:tcPr>
          <w:p w14:paraId="256C5AD0" w14:textId="77777777" w:rsidR="00D83E33" w:rsidRPr="001B330E" w:rsidRDefault="00BC4072" w:rsidP="001B330E">
            <w:pPr>
              <w:widowControl w:val="0"/>
              <w:ind w:left="113" w:right="-57" w:hanging="113"/>
              <w:rPr>
                <w:color w:val="000000"/>
                <w:sz w:val="17"/>
                <w:szCs w:val="17"/>
              </w:rPr>
            </w:pPr>
            <w:r w:rsidRPr="001B330E">
              <w:rPr>
                <w:color w:val="000000"/>
                <w:sz w:val="17"/>
                <w:szCs w:val="17"/>
              </w:rPr>
              <w:t>Unsecured exposures</w:t>
            </w:r>
          </w:p>
        </w:tc>
        <w:tc>
          <w:tcPr>
            <w:tcW w:w="713" w:type="pct"/>
            <w:vAlign w:val="bottom"/>
          </w:tcPr>
          <w:p w14:paraId="48E4A39F" w14:textId="77777777" w:rsidR="00D83E33" w:rsidRPr="001B330E" w:rsidRDefault="00D83E33" w:rsidP="001B330E">
            <w:pPr>
              <w:widowControl w:val="0"/>
              <w:jc w:val="right"/>
              <w:rPr>
                <w:color w:val="000000"/>
                <w:sz w:val="17"/>
                <w:szCs w:val="17"/>
              </w:rPr>
            </w:pPr>
          </w:p>
        </w:tc>
        <w:tc>
          <w:tcPr>
            <w:tcW w:w="713" w:type="pct"/>
            <w:vAlign w:val="bottom"/>
          </w:tcPr>
          <w:p w14:paraId="0665DE3C" w14:textId="77777777" w:rsidR="00D83E33" w:rsidRPr="001B330E" w:rsidRDefault="00D83E33" w:rsidP="001B330E">
            <w:pPr>
              <w:widowControl w:val="0"/>
              <w:jc w:val="right"/>
              <w:rPr>
                <w:color w:val="000000"/>
                <w:sz w:val="17"/>
                <w:szCs w:val="17"/>
              </w:rPr>
            </w:pPr>
          </w:p>
        </w:tc>
        <w:tc>
          <w:tcPr>
            <w:tcW w:w="713" w:type="pct"/>
            <w:vAlign w:val="bottom"/>
          </w:tcPr>
          <w:p w14:paraId="0D0B649D" w14:textId="77777777" w:rsidR="00D83E33" w:rsidRPr="001B330E" w:rsidRDefault="00D83E33" w:rsidP="001B330E">
            <w:pPr>
              <w:widowControl w:val="0"/>
              <w:jc w:val="right"/>
              <w:rPr>
                <w:color w:val="000000"/>
                <w:sz w:val="17"/>
                <w:szCs w:val="17"/>
              </w:rPr>
            </w:pPr>
          </w:p>
        </w:tc>
        <w:tc>
          <w:tcPr>
            <w:tcW w:w="713" w:type="pct"/>
            <w:vAlign w:val="bottom"/>
          </w:tcPr>
          <w:p w14:paraId="091F9316" w14:textId="77777777" w:rsidR="00D83E33" w:rsidRPr="001B330E" w:rsidRDefault="00D83E33" w:rsidP="001B330E">
            <w:pPr>
              <w:widowControl w:val="0"/>
              <w:jc w:val="right"/>
              <w:rPr>
                <w:color w:val="000000"/>
                <w:sz w:val="17"/>
                <w:szCs w:val="17"/>
              </w:rPr>
            </w:pPr>
          </w:p>
        </w:tc>
        <w:tc>
          <w:tcPr>
            <w:tcW w:w="713" w:type="pct"/>
            <w:vAlign w:val="bottom"/>
          </w:tcPr>
          <w:p w14:paraId="1B5A6160" w14:textId="77777777" w:rsidR="00D83E33" w:rsidRPr="001B330E" w:rsidRDefault="00D83E33" w:rsidP="001B330E">
            <w:pPr>
              <w:widowControl w:val="0"/>
              <w:jc w:val="right"/>
              <w:rPr>
                <w:color w:val="000000"/>
                <w:sz w:val="17"/>
                <w:szCs w:val="17"/>
              </w:rPr>
            </w:pPr>
          </w:p>
        </w:tc>
      </w:tr>
      <w:tr w:rsidR="00D83E33" w:rsidRPr="00D95E75" w14:paraId="5FCBAE9F" w14:textId="77777777" w:rsidTr="001B330E">
        <w:trPr>
          <w:trHeight w:val="23"/>
        </w:trPr>
        <w:tc>
          <w:tcPr>
            <w:tcW w:w="1435" w:type="pct"/>
            <w:tcBorders>
              <w:bottom w:val="single" w:sz="6" w:space="0" w:color="000000"/>
            </w:tcBorders>
            <w:vAlign w:val="bottom"/>
          </w:tcPr>
          <w:p w14:paraId="0E497888" w14:textId="77777777" w:rsidR="00D83E33" w:rsidRPr="001B330E" w:rsidRDefault="00D83E33" w:rsidP="001B330E">
            <w:pPr>
              <w:widowControl w:val="0"/>
              <w:ind w:left="113" w:right="-57" w:hanging="113"/>
              <w:rPr>
                <w:color w:val="000000"/>
                <w:sz w:val="17"/>
                <w:szCs w:val="17"/>
              </w:rPr>
            </w:pPr>
          </w:p>
        </w:tc>
        <w:tc>
          <w:tcPr>
            <w:tcW w:w="713" w:type="pct"/>
            <w:tcBorders>
              <w:bottom w:val="single" w:sz="6" w:space="0" w:color="000000"/>
            </w:tcBorders>
            <w:vAlign w:val="bottom"/>
          </w:tcPr>
          <w:p w14:paraId="33A1AE3B"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5CA5E972"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63F99659"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7909CFA9" w14:textId="77777777" w:rsidR="00D83E33" w:rsidRPr="001B330E" w:rsidRDefault="00D83E33" w:rsidP="001B330E">
            <w:pPr>
              <w:widowControl w:val="0"/>
              <w:jc w:val="right"/>
              <w:rPr>
                <w:color w:val="000000"/>
                <w:sz w:val="17"/>
                <w:szCs w:val="17"/>
              </w:rPr>
            </w:pPr>
          </w:p>
        </w:tc>
        <w:tc>
          <w:tcPr>
            <w:tcW w:w="713" w:type="pct"/>
            <w:tcBorders>
              <w:bottom w:val="single" w:sz="6" w:space="0" w:color="000000"/>
            </w:tcBorders>
            <w:vAlign w:val="bottom"/>
          </w:tcPr>
          <w:p w14:paraId="087085DA" w14:textId="77777777" w:rsidR="00D83E33" w:rsidRPr="001B330E" w:rsidRDefault="00D83E33" w:rsidP="001B330E">
            <w:pPr>
              <w:widowControl w:val="0"/>
              <w:jc w:val="right"/>
              <w:rPr>
                <w:color w:val="000000"/>
                <w:sz w:val="17"/>
                <w:szCs w:val="17"/>
              </w:rPr>
            </w:pPr>
          </w:p>
        </w:tc>
      </w:tr>
      <w:tr w:rsidR="00D83E33" w:rsidRPr="00D95E75" w14:paraId="5B72ADE3" w14:textId="77777777" w:rsidTr="001B330E">
        <w:trPr>
          <w:trHeight w:val="23"/>
        </w:trPr>
        <w:tc>
          <w:tcPr>
            <w:tcW w:w="1435" w:type="pct"/>
            <w:tcBorders>
              <w:top w:val="single" w:sz="6" w:space="0" w:color="000000"/>
            </w:tcBorders>
            <w:vAlign w:val="bottom"/>
          </w:tcPr>
          <w:p w14:paraId="23F6ECF8" w14:textId="77777777" w:rsidR="00D83E33" w:rsidRPr="001B330E" w:rsidRDefault="00D83E33" w:rsidP="001B330E">
            <w:pPr>
              <w:widowControl w:val="0"/>
              <w:ind w:left="113" w:right="-57" w:hanging="113"/>
              <w:rPr>
                <w:color w:val="000000"/>
                <w:sz w:val="17"/>
                <w:szCs w:val="17"/>
              </w:rPr>
            </w:pPr>
          </w:p>
        </w:tc>
        <w:tc>
          <w:tcPr>
            <w:tcW w:w="713" w:type="pct"/>
            <w:tcBorders>
              <w:top w:val="single" w:sz="6" w:space="0" w:color="000000"/>
            </w:tcBorders>
            <w:vAlign w:val="bottom"/>
          </w:tcPr>
          <w:p w14:paraId="52EDAC73"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02FDA720"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580126F4"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3F403E8D" w14:textId="77777777" w:rsidR="00D83E33" w:rsidRPr="001B330E" w:rsidRDefault="00D83E33" w:rsidP="001B330E">
            <w:pPr>
              <w:widowControl w:val="0"/>
              <w:jc w:val="right"/>
              <w:rPr>
                <w:color w:val="000000"/>
                <w:sz w:val="17"/>
                <w:szCs w:val="17"/>
              </w:rPr>
            </w:pPr>
          </w:p>
        </w:tc>
        <w:tc>
          <w:tcPr>
            <w:tcW w:w="713" w:type="pct"/>
            <w:tcBorders>
              <w:top w:val="single" w:sz="6" w:space="0" w:color="000000"/>
            </w:tcBorders>
            <w:vAlign w:val="bottom"/>
          </w:tcPr>
          <w:p w14:paraId="1EAC84E3" w14:textId="77777777" w:rsidR="00D83E33" w:rsidRPr="001B330E" w:rsidRDefault="00D83E33" w:rsidP="001B330E">
            <w:pPr>
              <w:widowControl w:val="0"/>
              <w:jc w:val="right"/>
              <w:rPr>
                <w:color w:val="000000"/>
                <w:sz w:val="17"/>
                <w:szCs w:val="17"/>
              </w:rPr>
            </w:pPr>
          </w:p>
        </w:tc>
      </w:tr>
      <w:tr w:rsidR="00D83E33" w:rsidRPr="00D95E75" w14:paraId="7517D794" w14:textId="77777777" w:rsidTr="001B330E">
        <w:trPr>
          <w:trHeight w:val="23"/>
        </w:trPr>
        <w:tc>
          <w:tcPr>
            <w:tcW w:w="1435" w:type="pct"/>
            <w:vAlign w:val="bottom"/>
          </w:tcPr>
          <w:p w14:paraId="5985CADC" w14:textId="77777777" w:rsidR="00D83E33" w:rsidRPr="001B330E" w:rsidRDefault="00BC4072" w:rsidP="001B330E">
            <w:pPr>
              <w:widowControl w:val="0"/>
              <w:ind w:left="113" w:right="-57" w:hanging="113"/>
              <w:rPr>
                <w:b/>
                <w:color w:val="000000"/>
                <w:sz w:val="17"/>
                <w:szCs w:val="17"/>
              </w:rPr>
            </w:pPr>
            <w:r w:rsidRPr="001B330E">
              <w:rPr>
                <w:b/>
                <w:color w:val="000000"/>
                <w:sz w:val="17"/>
                <w:szCs w:val="17"/>
              </w:rPr>
              <w:t>Total carrying value loans and advances to customers at AC (amount representing exposure to credit risk for each class of loans at AC)</w:t>
            </w:r>
          </w:p>
        </w:tc>
        <w:tc>
          <w:tcPr>
            <w:tcW w:w="713" w:type="pct"/>
            <w:vAlign w:val="bottom"/>
          </w:tcPr>
          <w:p w14:paraId="7CC43B40" w14:textId="77777777" w:rsidR="00D83E33" w:rsidRPr="001B330E" w:rsidRDefault="00D83E33" w:rsidP="001B330E">
            <w:pPr>
              <w:widowControl w:val="0"/>
              <w:jc w:val="right"/>
              <w:rPr>
                <w:b/>
                <w:color w:val="000000"/>
                <w:sz w:val="17"/>
                <w:szCs w:val="17"/>
              </w:rPr>
            </w:pPr>
          </w:p>
        </w:tc>
        <w:tc>
          <w:tcPr>
            <w:tcW w:w="713" w:type="pct"/>
            <w:vAlign w:val="bottom"/>
          </w:tcPr>
          <w:p w14:paraId="0F220495" w14:textId="77777777" w:rsidR="00D83E33" w:rsidRPr="001B330E" w:rsidRDefault="00D83E33" w:rsidP="001B330E">
            <w:pPr>
              <w:widowControl w:val="0"/>
              <w:jc w:val="right"/>
              <w:rPr>
                <w:b/>
                <w:color w:val="000000"/>
                <w:sz w:val="17"/>
                <w:szCs w:val="17"/>
              </w:rPr>
            </w:pPr>
          </w:p>
        </w:tc>
        <w:tc>
          <w:tcPr>
            <w:tcW w:w="713" w:type="pct"/>
            <w:vAlign w:val="bottom"/>
          </w:tcPr>
          <w:p w14:paraId="27168533" w14:textId="77777777" w:rsidR="00D83E33" w:rsidRPr="001B330E" w:rsidRDefault="00D83E33" w:rsidP="001B330E">
            <w:pPr>
              <w:widowControl w:val="0"/>
              <w:jc w:val="right"/>
              <w:rPr>
                <w:b/>
                <w:color w:val="000000"/>
                <w:sz w:val="17"/>
                <w:szCs w:val="17"/>
              </w:rPr>
            </w:pPr>
          </w:p>
        </w:tc>
        <w:tc>
          <w:tcPr>
            <w:tcW w:w="713" w:type="pct"/>
            <w:vAlign w:val="bottom"/>
          </w:tcPr>
          <w:p w14:paraId="2600AA6E" w14:textId="77777777" w:rsidR="00D83E33" w:rsidRPr="001B330E" w:rsidRDefault="00D83E33" w:rsidP="001B330E">
            <w:pPr>
              <w:widowControl w:val="0"/>
              <w:jc w:val="right"/>
              <w:rPr>
                <w:b/>
                <w:color w:val="000000"/>
                <w:sz w:val="17"/>
                <w:szCs w:val="17"/>
              </w:rPr>
            </w:pPr>
          </w:p>
        </w:tc>
        <w:tc>
          <w:tcPr>
            <w:tcW w:w="713" w:type="pct"/>
            <w:vAlign w:val="bottom"/>
          </w:tcPr>
          <w:p w14:paraId="0296FA95" w14:textId="77777777" w:rsidR="00D83E33" w:rsidRPr="001B330E" w:rsidRDefault="00D83E33" w:rsidP="001B330E">
            <w:pPr>
              <w:widowControl w:val="0"/>
              <w:jc w:val="right"/>
              <w:rPr>
                <w:b/>
                <w:color w:val="000000"/>
                <w:sz w:val="17"/>
                <w:szCs w:val="17"/>
              </w:rPr>
            </w:pPr>
          </w:p>
        </w:tc>
      </w:tr>
      <w:tr w:rsidR="00D83E33" w:rsidRPr="00D95E75" w14:paraId="5986DB79" w14:textId="77777777" w:rsidTr="001B330E">
        <w:trPr>
          <w:trHeight w:val="23"/>
        </w:trPr>
        <w:tc>
          <w:tcPr>
            <w:tcW w:w="1435" w:type="pct"/>
            <w:tcBorders>
              <w:bottom w:val="single" w:sz="12" w:space="0" w:color="000000"/>
            </w:tcBorders>
            <w:vAlign w:val="bottom"/>
          </w:tcPr>
          <w:p w14:paraId="2EB6447A" w14:textId="77777777" w:rsidR="00D83E33" w:rsidRPr="001B330E" w:rsidRDefault="00D83E33" w:rsidP="001B330E">
            <w:pPr>
              <w:widowControl w:val="0"/>
              <w:ind w:left="113" w:right="-57" w:hanging="113"/>
              <w:rPr>
                <w:b/>
                <w:color w:val="000000"/>
                <w:sz w:val="17"/>
                <w:szCs w:val="17"/>
              </w:rPr>
            </w:pPr>
          </w:p>
        </w:tc>
        <w:tc>
          <w:tcPr>
            <w:tcW w:w="713" w:type="pct"/>
            <w:tcBorders>
              <w:bottom w:val="single" w:sz="12" w:space="0" w:color="000000"/>
            </w:tcBorders>
            <w:vAlign w:val="bottom"/>
          </w:tcPr>
          <w:p w14:paraId="216DC288" w14:textId="77777777" w:rsidR="00D83E33" w:rsidRPr="001B330E" w:rsidRDefault="00D83E33" w:rsidP="001B330E">
            <w:pPr>
              <w:widowControl w:val="0"/>
              <w:jc w:val="right"/>
              <w:rPr>
                <w:b/>
                <w:color w:val="000000"/>
                <w:sz w:val="17"/>
                <w:szCs w:val="17"/>
              </w:rPr>
            </w:pPr>
          </w:p>
        </w:tc>
        <w:tc>
          <w:tcPr>
            <w:tcW w:w="713" w:type="pct"/>
            <w:tcBorders>
              <w:bottom w:val="single" w:sz="12" w:space="0" w:color="000000"/>
            </w:tcBorders>
            <w:vAlign w:val="bottom"/>
          </w:tcPr>
          <w:p w14:paraId="0ACC9674" w14:textId="77777777" w:rsidR="00D83E33" w:rsidRPr="001B330E" w:rsidRDefault="00D83E33" w:rsidP="001B330E">
            <w:pPr>
              <w:widowControl w:val="0"/>
              <w:jc w:val="right"/>
              <w:rPr>
                <w:b/>
                <w:color w:val="000000"/>
                <w:sz w:val="17"/>
                <w:szCs w:val="17"/>
              </w:rPr>
            </w:pPr>
          </w:p>
        </w:tc>
        <w:tc>
          <w:tcPr>
            <w:tcW w:w="713" w:type="pct"/>
            <w:tcBorders>
              <w:bottom w:val="single" w:sz="12" w:space="0" w:color="000000"/>
            </w:tcBorders>
            <w:vAlign w:val="bottom"/>
          </w:tcPr>
          <w:p w14:paraId="65B498B6" w14:textId="77777777" w:rsidR="00D83E33" w:rsidRPr="001B330E" w:rsidRDefault="00D83E33" w:rsidP="001B330E">
            <w:pPr>
              <w:widowControl w:val="0"/>
              <w:jc w:val="right"/>
              <w:rPr>
                <w:b/>
                <w:color w:val="000000"/>
                <w:sz w:val="17"/>
                <w:szCs w:val="17"/>
              </w:rPr>
            </w:pPr>
          </w:p>
        </w:tc>
        <w:tc>
          <w:tcPr>
            <w:tcW w:w="713" w:type="pct"/>
            <w:tcBorders>
              <w:bottom w:val="single" w:sz="12" w:space="0" w:color="000000"/>
            </w:tcBorders>
            <w:vAlign w:val="bottom"/>
          </w:tcPr>
          <w:p w14:paraId="5C535D46" w14:textId="77777777" w:rsidR="00D83E33" w:rsidRPr="001B330E" w:rsidRDefault="00D83E33" w:rsidP="001B330E">
            <w:pPr>
              <w:widowControl w:val="0"/>
              <w:jc w:val="right"/>
              <w:rPr>
                <w:b/>
                <w:color w:val="000000"/>
                <w:sz w:val="17"/>
                <w:szCs w:val="17"/>
              </w:rPr>
            </w:pPr>
          </w:p>
        </w:tc>
        <w:tc>
          <w:tcPr>
            <w:tcW w:w="713" w:type="pct"/>
            <w:tcBorders>
              <w:bottom w:val="single" w:sz="12" w:space="0" w:color="000000"/>
            </w:tcBorders>
            <w:vAlign w:val="bottom"/>
          </w:tcPr>
          <w:p w14:paraId="052E3A7F" w14:textId="77777777" w:rsidR="00D83E33" w:rsidRPr="001B330E" w:rsidRDefault="00D83E33" w:rsidP="001B330E">
            <w:pPr>
              <w:widowControl w:val="0"/>
              <w:jc w:val="right"/>
              <w:rPr>
                <w:b/>
                <w:color w:val="000000"/>
                <w:sz w:val="17"/>
                <w:szCs w:val="17"/>
              </w:rPr>
            </w:pPr>
          </w:p>
        </w:tc>
      </w:tr>
    </w:tbl>
    <w:p w14:paraId="259E99C9" w14:textId="19694DE5"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Information about collateral for loans to corporate customers is as follows at 31</w:t>
      </w:r>
      <w:r w:rsidR="00181687">
        <w:rPr>
          <w:color w:val="000000"/>
          <w:sz w:val="20"/>
          <w:szCs w:val="20"/>
        </w:rPr>
        <w:t> December </w:t>
      </w:r>
      <w:r w:rsidR="00541EBC">
        <w:rPr>
          <w:color w:val="000000"/>
          <w:sz w:val="20"/>
          <w:szCs w:val="20"/>
        </w:rPr>
        <w:t>2023</w:t>
      </w:r>
      <w:r>
        <w:rPr>
          <w:color w:val="000000"/>
          <w:sz w:val="20"/>
          <w:szCs w:val="20"/>
        </w:rPr>
        <w:t>:</w:t>
      </w:r>
    </w:p>
    <w:tbl>
      <w:tblPr>
        <w:tblStyle w:val="afffffc"/>
        <w:tblW w:w="5000" w:type="pct"/>
        <w:tblLayout w:type="fixed"/>
        <w:tblLook w:val="0000" w:firstRow="0" w:lastRow="0" w:firstColumn="0" w:lastColumn="0" w:noHBand="0" w:noVBand="0"/>
      </w:tblPr>
      <w:tblGrid>
        <w:gridCol w:w="2553"/>
        <w:gridCol w:w="807"/>
        <w:gridCol w:w="967"/>
        <w:gridCol w:w="866"/>
        <w:gridCol w:w="791"/>
        <w:gridCol w:w="791"/>
        <w:gridCol w:w="866"/>
        <w:gridCol w:w="926"/>
        <w:gridCol w:w="788"/>
      </w:tblGrid>
      <w:tr w:rsidR="00D83E33" w:rsidRPr="00D95E75" w14:paraId="5C541DFF" w14:textId="77777777" w:rsidTr="001B330E">
        <w:trPr>
          <w:trHeight w:val="23"/>
        </w:trPr>
        <w:tc>
          <w:tcPr>
            <w:tcW w:w="1364" w:type="pct"/>
            <w:tcBorders>
              <w:bottom w:val="single" w:sz="6" w:space="0" w:color="000000"/>
            </w:tcBorders>
            <w:vAlign w:val="bottom"/>
          </w:tcPr>
          <w:p w14:paraId="507E6BEA" w14:textId="3BEEE17D" w:rsidR="00D83E33" w:rsidRPr="001B330E" w:rsidRDefault="00313B4D" w:rsidP="001B330E">
            <w:pPr>
              <w:widowControl w:val="0"/>
              <w:ind w:left="113" w:right="-57" w:hanging="113"/>
              <w:rPr>
                <w:i/>
                <w:color w:val="000000"/>
                <w:sz w:val="17"/>
                <w:szCs w:val="17"/>
              </w:rPr>
            </w:pPr>
            <w:r>
              <w:rPr>
                <w:i/>
                <w:color w:val="000000"/>
                <w:sz w:val="17"/>
                <w:szCs w:val="17"/>
              </w:rPr>
              <w:t xml:space="preserve">In thousands of </w:t>
            </w:r>
            <w:r w:rsidR="002649EE">
              <w:rPr>
                <w:i/>
                <w:color w:val="000000"/>
                <w:sz w:val="17"/>
                <w:szCs w:val="17"/>
              </w:rPr>
              <w:t>EUR</w:t>
            </w:r>
          </w:p>
        </w:tc>
        <w:tc>
          <w:tcPr>
            <w:tcW w:w="431" w:type="pct"/>
            <w:tcBorders>
              <w:bottom w:val="single" w:sz="6" w:space="0" w:color="000000"/>
            </w:tcBorders>
          </w:tcPr>
          <w:p w14:paraId="1CFEDD2E" w14:textId="77777777" w:rsidR="00D83E33" w:rsidRPr="001B330E" w:rsidRDefault="00BC4072" w:rsidP="001B330E">
            <w:pPr>
              <w:widowControl w:val="0"/>
              <w:ind w:left="-113"/>
              <w:jc w:val="right"/>
              <w:rPr>
                <w:b/>
                <w:color w:val="000000"/>
                <w:sz w:val="17"/>
                <w:szCs w:val="17"/>
              </w:rPr>
            </w:pPr>
            <w:r w:rsidRPr="001B330E">
              <w:rPr>
                <w:b/>
                <w:color w:val="000000"/>
                <w:sz w:val="17"/>
                <w:szCs w:val="17"/>
              </w:rPr>
              <w:t>Stan-dard lending</w:t>
            </w:r>
          </w:p>
        </w:tc>
        <w:tc>
          <w:tcPr>
            <w:tcW w:w="517" w:type="pct"/>
            <w:tcBorders>
              <w:bottom w:val="single" w:sz="6" w:space="0" w:color="000000"/>
            </w:tcBorders>
          </w:tcPr>
          <w:p w14:paraId="7877FA22" w14:textId="77777777" w:rsidR="00D83E33" w:rsidRPr="001B330E" w:rsidRDefault="00BC4072" w:rsidP="001B330E">
            <w:pPr>
              <w:widowControl w:val="0"/>
              <w:ind w:left="-113"/>
              <w:jc w:val="right"/>
              <w:rPr>
                <w:b/>
                <w:color w:val="000000"/>
                <w:sz w:val="17"/>
                <w:szCs w:val="17"/>
              </w:rPr>
            </w:pPr>
            <w:r w:rsidRPr="001B330E">
              <w:rPr>
                <w:b/>
                <w:color w:val="000000"/>
                <w:sz w:val="17"/>
                <w:szCs w:val="17"/>
              </w:rPr>
              <w:t>Speciali-sed lending</w:t>
            </w:r>
          </w:p>
        </w:tc>
        <w:tc>
          <w:tcPr>
            <w:tcW w:w="463" w:type="pct"/>
            <w:tcBorders>
              <w:bottom w:val="single" w:sz="6" w:space="0" w:color="000000"/>
            </w:tcBorders>
          </w:tcPr>
          <w:p w14:paraId="2DC3F50C" w14:textId="77777777" w:rsidR="00D83E33" w:rsidRPr="001B330E" w:rsidRDefault="00BC4072" w:rsidP="001B330E">
            <w:pPr>
              <w:widowControl w:val="0"/>
              <w:ind w:left="-113"/>
              <w:jc w:val="right"/>
              <w:rPr>
                <w:b/>
                <w:color w:val="000000"/>
                <w:sz w:val="17"/>
                <w:szCs w:val="17"/>
              </w:rPr>
            </w:pPr>
            <w:r w:rsidRPr="001B330E">
              <w:rPr>
                <w:b/>
                <w:color w:val="000000"/>
                <w:sz w:val="17"/>
                <w:szCs w:val="17"/>
              </w:rPr>
              <w:t>Loans to sovere-igns</w:t>
            </w:r>
          </w:p>
        </w:tc>
        <w:tc>
          <w:tcPr>
            <w:tcW w:w="423" w:type="pct"/>
            <w:tcBorders>
              <w:bottom w:val="single" w:sz="6" w:space="0" w:color="000000"/>
            </w:tcBorders>
          </w:tcPr>
          <w:p w14:paraId="519C893A" w14:textId="77777777" w:rsidR="00D83E33" w:rsidRPr="001B330E" w:rsidRDefault="00BC4072" w:rsidP="001B330E">
            <w:pPr>
              <w:widowControl w:val="0"/>
              <w:ind w:left="-113"/>
              <w:jc w:val="right"/>
              <w:rPr>
                <w:b/>
                <w:color w:val="000000"/>
                <w:sz w:val="17"/>
                <w:szCs w:val="17"/>
              </w:rPr>
            </w:pPr>
            <w:r w:rsidRPr="001B330E">
              <w:rPr>
                <w:b/>
                <w:color w:val="000000"/>
                <w:sz w:val="17"/>
                <w:szCs w:val="17"/>
              </w:rPr>
              <w:t>Loans to sub-sove-reigns</w:t>
            </w:r>
          </w:p>
        </w:tc>
        <w:tc>
          <w:tcPr>
            <w:tcW w:w="423" w:type="pct"/>
            <w:tcBorders>
              <w:bottom w:val="single" w:sz="6" w:space="0" w:color="000000"/>
            </w:tcBorders>
          </w:tcPr>
          <w:p w14:paraId="7D4954ED" w14:textId="77777777" w:rsidR="00D83E33" w:rsidRPr="001B330E" w:rsidRDefault="00BC4072" w:rsidP="001B330E">
            <w:pPr>
              <w:widowControl w:val="0"/>
              <w:ind w:left="-113"/>
              <w:jc w:val="right"/>
              <w:rPr>
                <w:b/>
                <w:color w:val="000000"/>
                <w:sz w:val="17"/>
                <w:szCs w:val="17"/>
              </w:rPr>
            </w:pPr>
            <w:r w:rsidRPr="001B330E">
              <w:rPr>
                <w:b/>
                <w:color w:val="000000"/>
                <w:sz w:val="17"/>
                <w:szCs w:val="17"/>
              </w:rPr>
              <w:t>Loans to SME</w:t>
            </w:r>
          </w:p>
        </w:tc>
        <w:tc>
          <w:tcPr>
            <w:tcW w:w="463" w:type="pct"/>
            <w:tcBorders>
              <w:bottom w:val="single" w:sz="6" w:space="0" w:color="000000"/>
            </w:tcBorders>
          </w:tcPr>
          <w:p w14:paraId="014C06A8" w14:textId="77777777" w:rsidR="00D83E33" w:rsidRPr="001B330E" w:rsidRDefault="00BC4072" w:rsidP="001B330E">
            <w:pPr>
              <w:widowControl w:val="0"/>
              <w:ind w:left="-113"/>
              <w:jc w:val="right"/>
              <w:rPr>
                <w:b/>
                <w:color w:val="000000"/>
                <w:sz w:val="17"/>
                <w:szCs w:val="17"/>
              </w:rPr>
            </w:pPr>
            <w:r w:rsidRPr="001B330E">
              <w:rPr>
                <w:b/>
                <w:color w:val="000000"/>
                <w:sz w:val="17"/>
                <w:szCs w:val="17"/>
              </w:rPr>
              <w:t>Loans to leasing compa-nies</w:t>
            </w:r>
          </w:p>
        </w:tc>
        <w:tc>
          <w:tcPr>
            <w:tcW w:w="495" w:type="pct"/>
            <w:tcBorders>
              <w:bottom w:val="single" w:sz="6" w:space="0" w:color="000000"/>
            </w:tcBorders>
          </w:tcPr>
          <w:p w14:paraId="5CA80690" w14:textId="71C9FC4D" w:rsidR="00D83E33" w:rsidRPr="001B330E" w:rsidRDefault="00BC4072" w:rsidP="001B330E">
            <w:pPr>
              <w:widowControl w:val="0"/>
              <w:ind w:left="-113"/>
              <w:jc w:val="right"/>
              <w:rPr>
                <w:b/>
                <w:color w:val="000000"/>
                <w:sz w:val="17"/>
                <w:szCs w:val="17"/>
              </w:rPr>
            </w:pPr>
            <w:r w:rsidRPr="001B330E">
              <w:rPr>
                <w:b/>
                <w:color w:val="000000"/>
                <w:sz w:val="17"/>
                <w:szCs w:val="17"/>
              </w:rPr>
              <w:t>Reverse sale and repur-chase agree-ments</w:t>
            </w:r>
          </w:p>
        </w:tc>
        <w:tc>
          <w:tcPr>
            <w:tcW w:w="421" w:type="pct"/>
            <w:tcBorders>
              <w:bottom w:val="single" w:sz="6" w:space="0" w:color="000000"/>
            </w:tcBorders>
          </w:tcPr>
          <w:p w14:paraId="3510B09C" w14:textId="77777777" w:rsidR="00D83E33" w:rsidRPr="001B330E" w:rsidRDefault="00BC4072" w:rsidP="001B330E">
            <w:pPr>
              <w:widowControl w:val="0"/>
              <w:ind w:left="-113"/>
              <w:jc w:val="right"/>
              <w:rPr>
                <w:b/>
                <w:color w:val="000000"/>
                <w:sz w:val="17"/>
                <w:szCs w:val="17"/>
              </w:rPr>
            </w:pPr>
            <w:r w:rsidRPr="001B330E">
              <w:rPr>
                <w:b/>
                <w:color w:val="000000"/>
                <w:sz w:val="17"/>
                <w:szCs w:val="17"/>
              </w:rPr>
              <w:t>Total</w:t>
            </w:r>
          </w:p>
        </w:tc>
      </w:tr>
      <w:tr w:rsidR="00D83E33" w:rsidRPr="00D95E75" w14:paraId="6FCC038A" w14:textId="77777777" w:rsidTr="001B330E">
        <w:trPr>
          <w:trHeight w:val="23"/>
        </w:trPr>
        <w:tc>
          <w:tcPr>
            <w:tcW w:w="1364" w:type="pct"/>
            <w:tcBorders>
              <w:top w:val="single" w:sz="6" w:space="0" w:color="000000"/>
            </w:tcBorders>
            <w:vAlign w:val="bottom"/>
          </w:tcPr>
          <w:p w14:paraId="220FAADC" w14:textId="77777777" w:rsidR="00D83E33" w:rsidRPr="001B330E" w:rsidRDefault="00D83E33" w:rsidP="001B330E">
            <w:pPr>
              <w:widowControl w:val="0"/>
              <w:ind w:left="113" w:right="-57" w:hanging="113"/>
              <w:rPr>
                <w:b/>
                <w:color w:val="000000"/>
                <w:sz w:val="17"/>
                <w:szCs w:val="17"/>
              </w:rPr>
            </w:pPr>
          </w:p>
        </w:tc>
        <w:tc>
          <w:tcPr>
            <w:tcW w:w="431" w:type="pct"/>
            <w:tcBorders>
              <w:top w:val="single" w:sz="6" w:space="0" w:color="000000"/>
            </w:tcBorders>
            <w:vAlign w:val="bottom"/>
          </w:tcPr>
          <w:p w14:paraId="4E1A90FD" w14:textId="77777777" w:rsidR="00D83E33" w:rsidRPr="001B330E" w:rsidRDefault="00D83E33" w:rsidP="001B330E">
            <w:pPr>
              <w:widowControl w:val="0"/>
              <w:jc w:val="right"/>
              <w:rPr>
                <w:b/>
                <w:color w:val="000000"/>
                <w:sz w:val="17"/>
                <w:szCs w:val="17"/>
              </w:rPr>
            </w:pPr>
          </w:p>
        </w:tc>
        <w:tc>
          <w:tcPr>
            <w:tcW w:w="517" w:type="pct"/>
            <w:tcBorders>
              <w:top w:val="single" w:sz="6" w:space="0" w:color="000000"/>
            </w:tcBorders>
            <w:vAlign w:val="bottom"/>
          </w:tcPr>
          <w:p w14:paraId="6C39164B" w14:textId="77777777" w:rsidR="00D83E33" w:rsidRPr="001B330E" w:rsidRDefault="00D83E33" w:rsidP="001B330E">
            <w:pPr>
              <w:widowControl w:val="0"/>
              <w:jc w:val="right"/>
              <w:rPr>
                <w:b/>
                <w:color w:val="000000"/>
                <w:sz w:val="17"/>
                <w:szCs w:val="17"/>
              </w:rPr>
            </w:pPr>
          </w:p>
        </w:tc>
        <w:tc>
          <w:tcPr>
            <w:tcW w:w="463" w:type="pct"/>
            <w:tcBorders>
              <w:top w:val="single" w:sz="6" w:space="0" w:color="000000"/>
            </w:tcBorders>
            <w:vAlign w:val="bottom"/>
          </w:tcPr>
          <w:p w14:paraId="65193A06" w14:textId="77777777" w:rsidR="00D83E33" w:rsidRPr="001B330E" w:rsidRDefault="00D83E33" w:rsidP="001B330E">
            <w:pPr>
              <w:widowControl w:val="0"/>
              <w:jc w:val="right"/>
              <w:rPr>
                <w:b/>
                <w:color w:val="000000"/>
                <w:sz w:val="17"/>
                <w:szCs w:val="17"/>
              </w:rPr>
            </w:pPr>
          </w:p>
        </w:tc>
        <w:tc>
          <w:tcPr>
            <w:tcW w:w="423" w:type="pct"/>
            <w:tcBorders>
              <w:top w:val="single" w:sz="6" w:space="0" w:color="000000"/>
            </w:tcBorders>
            <w:vAlign w:val="bottom"/>
          </w:tcPr>
          <w:p w14:paraId="13D3DEE9" w14:textId="77777777" w:rsidR="00D83E33" w:rsidRPr="001B330E" w:rsidRDefault="00D83E33" w:rsidP="001B330E">
            <w:pPr>
              <w:widowControl w:val="0"/>
              <w:jc w:val="right"/>
              <w:rPr>
                <w:b/>
                <w:color w:val="000000"/>
                <w:sz w:val="17"/>
                <w:szCs w:val="17"/>
              </w:rPr>
            </w:pPr>
          </w:p>
        </w:tc>
        <w:tc>
          <w:tcPr>
            <w:tcW w:w="423" w:type="pct"/>
            <w:tcBorders>
              <w:top w:val="single" w:sz="6" w:space="0" w:color="000000"/>
            </w:tcBorders>
            <w:vAlign w:val="bottom"/>
          </w:tcPr>
          <w:p w14:paraId="421B453F" w14:textId="77777777" w:rsidR="00D83E33" w:rsidRPr="001B330E" w:rsidRDefault="00D83E33" w:rsidP="001B330E">
            <w:pPr>
              <w:widowControl w:val="0"/>
              <w:jc w:val="right"/>
              <w:rPr>
                <w:b/>
                <w:color w:val="000000"/>
                <w:sz w:val="17"/>
                <w:szCs w:val="17"/>
              </w:rPr>
            </w:pPr>
          </w:p>
        </w:tc>
        <w:tc>
          <w:tcPr>
            <w:tcW w:w="463" w:type="pct"/>
            <w:tcBorders>
              <w:top w:val="single" w:sz="6" w:space="0" w:color="000000"/>
            </w:tcBorders>
            <w:vAlign w:val="bottom"/>
          </w:tcPr>
          <w:p w14:paraId="2B3C48FF" w14:textId="77777777" w:rsidR="00D83E33" w:rsidRPr="001B330E" w:rsidRDefault="00D83E33" w:rsidP="001B330E">
            <w:pPr>
              <w:widowControl w:val="0"/>
              <w:jc w:val="right"/>
              <w:rPr>
                <w:b/>
                <w:color w:val="000000"/>
                <w:sz w:val="17"/>
                <w:szCs w:val="17"/>
              </w:rPr>
            </w:pPr>
          </w:p>
        </w:tc>
        <w:tc>
          <w:tcPr>
            <w:tcW w:w="495" w:type="pct"/>
            <w:tcBorders>
              <w:top w:val="single" w:sz="6" w:space="0" w:color="000000"/>
            </w:tcBorders>
          </w:tcPr>
          <w:p w14:paraId="42C92093" w14:textId="77777777" w:rsidR="00D83E33" w:rsidRPr="001B330E" w:rsidRDefault="00D83E33" w:rsidP="001B330E">
            <w:pPr>
              <w:widowControl w:val="0"/>
              <w:jc w:val="right"/>
              <w:rPr>
                <w:b/>
                <w:color w:val="000000"/>
                <w:sz w:val="17"/>
                <w:szCs w:val="17"/>
              </w:rPr>
            </w:pPr>
          </w:p>
        </w:tc>
        <w:tc>
          <w:tcPr>
            <w:tcW w:w="421" w:type="pct"/>
            <w:tcBorders>
              <w:top w:val="single" w:sz="6" w:space="0" w:color="000000"/>
            </w:tcBorders>
            <w:vAlign w:val="bottom"/>
          </w:tcPr>
          <w:p w14:paraId="38F37B3F" w14:textId="77777777" w:rsidR="00D83E33" w:rsidRPr="001B330E" w:rsidRDefault="00D83E33" w:rsidP="001B330E">
            <w:pPr>
              <w:widowControl w:val="0"/>
              <w:jc w:val="right"/>
              <w:rPr>
                <w:b/>
                <w:color w:val="000000"/>
                <w:sz w:val="17"/>
                <w:szCs w:val="17"/>
              </w:rPr>
            </w:pPr>
          </w:p>
        </w:tc>
      </w:tr>
      <w:tr w:rsidR="00D83E33" w:rsidRPr="00D95E75" w14:paraId="030C83C2" w14:textId="77777777" w:rsidTr="001B330E">
        <w:trPr>
          <w:trHeight w:val="23"/>
        </w:trPr>
        <w:tc>
          <w:tcPr>
            <w:tcW w:w="1364" w:type="pct"/>
            <w:vAlign w:val="bottom"/>
          </w:tcPr>
          <w:p w14:paraId="00B0B54E" w14:textId="77777777" w:rsidR="00D83E33" w:rsidRPr="001B330E" w:rsidRDefault="00BC4072" w:rsidP="001B330E">
            <w:pPr>
              <w:widowControl w:val="0"/>
              <w:ind w:left="113" w:right="-57" w:hanging="113"/>
              <w:rPr>
                <w:color w:val="000000"/>
                <w:sz w:val="17"/>
                <w:szCs w:val="17"/>
              </w:rPr>
            </w:pPr>
            <w:r w:rsidRPr="001B330E">
              <w:rPr>
                <w:color w:val="000000"/>
                <w:sz w:val="17"/>
                <w:szCs w:val="17"/>
              </w:rPr>
              <w:t>Loans guaranteed by other banks</w:t>
            </w:r>
          </w:p>
        </w:tc>
        <w:tc>
          <w:tcPr>
            <w:tcW w:w="431" w:type="pct"/>
            <w:vAlign w:val="bottom"/>
          </w:tcPr>
          <w:p w14:paraId="162821AB" w14:textId="77777777" w:rsidR="00D83E33" w:rsidRPr="001B330E" w:rsidRDefault="00D83E33" w:rsidP="001B330E">
            <w:pPr>
              <w:widowControl w:val="0"/>
              <w:jc w:val="right"/>
              <w:rPr>
                <w:color w:val="000000"/>
                <w:sz w:val="17"/>
                <w:szCs w:val="17"/>
              </w:rPr>
            </w:pPr>
          </w:p>
        </w:tc>
        <w:tc>
          <w:tcPr>
            <w:tcW w:w="517" w:type="pct"/>
            <w:vAlign w:val="bottom"/>
          </w:tcPr>
          <w:p w14:paraId="1CA056AB" w14:textId="77777777" w:rsidR="00D83E33" w:rsidRPr="001B330E" w:rsidRDefault="00D83E33" w:rsidP="001B330E">
            <w:pPr>
              <w:widowControl w:val="0"/>
              <w:jc w:val="right"/>
              <w:rPr>
                <w:color w:val="000000"/>
                <w:sz w:val="17"/>
                <w:szCs w:val="17"/>
              </w:rPr>
            </w:pPr>
          </w:p>
        </w:tc>
        <w:tc>
          <w:tcPr>
            <w:tcW w:w="463" w:type="pct"/>
            <w:vAlign w:val="bottom"/>
          </w:tcPr>
          <w:p w14:paraId="4E29B048" w14:textId="77777777" w:rsidR="00D83E33" w:rsidRPr="001B330E" w:rsidRDefault="00D83E33" w:rsidP="001B330E">
            <w:pPr>
              <w:widowControl w:val="0"/>
              <w:jc w:val="right"/>
              <w:rPr>
                <w:color w:val="000000"/>
                <w:sz w:val="17"/>
                <w:szCs w:val="17"/>
              </w:rPr>
            </w:pPr>
          </w:p>
        </w:tc>
        <w:tc>
          <w:tcPr>
            <w:tcW w:w="423" w:type="pct"/>
            <w:vAlign w:val="bottom"/>
          </w:tcPr>
          <w:p w14:paraId="305C874C" w14:textId="77777777" w:rsidR="00D83E33" w:rsidRPr="001B330E" w:rsidRDefault="00D83E33" w:rsidP="001B330E">
            <w:pPr>
              <w:widowControl w:val="0"/>
              <w:jc w:val="right"/>
              <w:rPr>
                <w:color w:val="000000"/>
                <w:sz w:val="17"/>
                <w:szCs w:val="17"/>
              </w:rPr>
            </w:pPr>
          </w:p>
        </w:tc>
        <w:tc>
          <w:tcPr>
            <w:tcW w:w="423" w:type="pct"/>
            <w:vAlign w:val="bottom"/>
          </w:tcPr>
          <w:p w14:paraId="68BF3531" w14:textId="77777777" w:rsidR="00D83E33" w:rsidRPr="001B330E" w:rsidRDefault="00D83E33" w:rsidP="001B330E">
            <w:pPr>
              <w:widowControl w:val="0"/>
              <w:jc w:val="right"/>
              <w:rPr>
                <w:color w:val="000000"/>
                <w:sz w:val="17"/>
                <w:szCs w:val="17"/>
              </w:rPr>
            </w:pPr>
          </w:p>
        </w:tc>
        <w:tc>
          <w:tcPr>
            <w:tcW w:w="463" w:type="pct"/>
            <w:vAlign w:val="bottom"/>
          </w:tcPr>
          <w:p w14:paraId="0A6876B1" w14:textId="77777777" w:rsidR="00D83E33" w:rsidRPr="001B330E" w:rsidRDefault="00D83E33" w:rsidP="001B330E">
            <w:pPr>
              <w:widowControl w:val="0"/>
              <w:jc w:val="right"/>
              <w:rPr>
                <w:color w:val="000000"/>
                <w:sz w:val="17"/>
                <w:szCs w:val="17"/>
              </w:rPr>
            </w:pPr>
          </w:p>
        </w:tc>
        <w:tc>
          <w:tcPr>
            <w:tcW w:w="495" w:type="pct"/>
          </w:tcPr>
          <w:p w14:paraId="649E0844" w14:textId="77777777" w:rsidR="00D83E33" w:rsidRPr="001B330E" w:rsidRDefault="00D83E33" w:rsidP="001B330E">
            <w:pPr>
              <w:widowControl w:val="0"/>
              <w:jc w:val="right"/>
              <w:rPr>
                <w:color w:val="000000"/>
                <w:sz w:val="17"/>
                <w:szCs w:val="17"/>
              </w:rPr>
            </w:pPr>
          </w:p>
        </w:tc>
        <w:tc>
          <w:tcPr>
            <w:tcW w:w="421" w:type="pct"/>
            <w:vAlign w:val="bottom"/>
          </w:tcPr>
          <w:p w14:paraId="1DAFF9BD" w14:textId="77777777" w:rsidR="00D83E33" w:rsidRPr="001B330E" w:rsidRDefault="00D83E33" w:rsidP="001B330E">
            <w:pPr>
              <w:widowControl w:val="0"/>
              <w:jc w:val="right"/>
              <w:rPr>
                <w:color w:val="000000"/>
                <w:sz w:val="17"/>
                <w:szCs w:val="17"/>
              </w:rPr>
            </w:pPr>
          </w:p>
        </w:tc>
      </w:tr>
      <w:tr w:rsidR="00D83E33" w:rsidRPr="00D95E75" w14:paraId="3749604B" w14:textId="77777777" w:rsidTr="001B330E">
        <w:trPr>
          <w:trHeight w:val="23"/>
        </w:trPr>
        <w:tc>
          <w:tcPr>
            <w:tcW w:w="1364" w:type="pct"/>
            <w:vAlign w:val="bottom"/>
          </w:tcPr>
          <w:p w14:paraId="12275084" w14:textId="77777777" w:rsidR="00D83E33" w:rsidRPr="001B330E" w:rsidRDefault="00BC4072" w:rsidP="001B330E">
            <w:pPr>
              <w:widowControl w:val="0"/>
              <w:ind w:left="113" w:right="-57" w:hanging="113"/>
              <w:rPr>
                <w:color w:val="000000"/>
                <w:sz w:val="17"/>
                <w:szCs w:val="17"/>
              </w:rPr>
            </w:pPr>
            <w:r w:rsidRPr="001B330E">
              <w:rPr>
                <w:color w:val="000000"/>
                <w:sz w:val="17"/>
                <w:szCs w:val="17"/>
              </w:rPr>
              <w:t>Loans guaranteed by other parties, including credit insurance</w:t>
            </w:r>
          </w:p>
        </w:tc>
        <w:tc>
          <w:tcPr>
            <w:tcW w:w="431" w:type="pct"/>
            <w:vAlign w:val="bottom"/>
          </w:tcPr>
          <w:p w14:paraId="0948A3C9" w14:textId="77777777" w:rsidR="00D83E33" w:rsidRPr="001B330E" w:rsidRDefault="00D83E33" w:rsidP="001B330E">
            <w:pPr>
              <w:widowControl w:val="0"/>
              <w:jc w:val="right"/>
              <w:rPr>
                <w:color w:val="000000"/>
                <w:sz w:val="17"/>
                <w:szCs w:val="17"/>
              </w:rPr>
            </w:pPr>
          </w:p>
        </w:tc>
        <w:tc>
          <w:tcPr>
            <w:tcW w:w="517" w:type="pct"/>
            <w:vAlign w:val="bottom"/>
          </w:tcPr>
          <w:p w14:paraId="42C0199B" w14:textId="77777777" w:rsidR="00D83E33" w:rsidRPr="001B330E" w:rsidRDefault="00D83E33" w:rsidP="001B330E">
            <w:pPr>
              <w:widowControl w:val="0"/>
              <w:jc w:val="right"/>
              <w:rPr>
                <w:color w:val="000000"/>
                <w:sz w:val="17"/>
                <w:szCs w:val="17"/>
              </w:rPr>
            </w:pPr>
          </w:p>
        </w:tc>
        <w:tc>
          <w:tcPr>
            <w:tcW w:w="463" w:type="pct"/>
            <w:vAlign w:val="bottom"/>
          </w:tcPr>
          <w:p w14:paraId="5EA32300" w14:textId="77777777" w:rsidR="00D83E33" w:rsidRPr="001B330E" w:rsidRDefault="00D83E33" w:rsidP="001B330E">
            <w:pPr>
              <w:widowControl w:val="0"/>
              <w:jc w:val="right"/>
              <w:rPr>
                <w:color w:val="000000"/>
                <w:sz w:val="17"/>
                <w:szCs w:val="17"/>
              </w:rPr>
            </w:pPr>
          </w:p>
        </w:tc>
        <w:tc>
          <w:tcPr>
            <w:tcW w:w="423" w:type="pct"/>
            <w:vAlign w:val="bottom"/>
          </w:tcPr>
          <w:p w14:paraId="3382B315" w14:textId="77777777" w:rsidR="00D83E33" w:rsidRPr="001B330E" w:rsidRDefault="00D83E33" w:rsidP="001B330E">
            <w:pPr>
              <w:widowControl w:val="0"/>
              <w:jc w:val="right"/>
              <w:rPr>
                <w:color w:val="000000"/>
                <w:sz w:val="17"/>
                <w:szCs w:val="17"/>
              </w:rPr>
            </w:pPr>
          </w:p>
        </w:tc>
        <w:tc>
          <w:tcPr>
            <w:tcW w:w="423" w:type="pct"/>
            <w:vAlign w:val="bottom"/>
          </w:tcPr>
          <w:p w14:paraId="381CFEAD" w14:textId="77777777" w:rsidR="00D83E33" w:rsidRPr="001B330E" w:rsidRDefault="00D83E33" w:rsidP="001B330E">
            <w:pPr>
              <w:widowControl w:val="0"/>
              <w:jc w:val="right"/>
              <w:rPr>
                <w:color w:val="000000"/>
                <w:sz w:val="17"/>
                <w:szCs w:val="17"/>
              </w:rPr>
            </w:pPr>
          </w:p>
        </w:tc>
        <w:tc>
          <w:tcPr>
            <w:tcW w:w="463" w:type="pct"/>
            <w:vAlign w:val="bottom"/>
          </w:tcPr>
          <w:p w14:paraId="4B6308B7" w14:textId="77777777" w:rsidR="00D83E33" w:rsidRPr="001B330E" w:rsidRDefault="00D83E33" w:rsidP="001B330E">
            <w:pPr>
              <w:widowControl w:val="0"/>
              <w:jc w:val="right"/>
              <w:rPr>
                <w:color w:val="000000"/>
                <w:sz w:val="17"/>
                <w:szCs w:val="17"/>
              </w:rPr>
            </w:pPr>
          </w:p>
        </w:tc>
        <w:tc>
          <w:tcPr>
            <w:tcW w:w="495" w:type="pct"/>
          </w:tcPr>
          <w:p w14:paraId="31523477" w14:textId="77777777" w:rsidR="00D83E33" w:rsidRPr="001B330E" w:rsidRDefault="00D83E33" w:rsidP="001B330E">
            <w:pPr>
              <w:widowControl w:val="0"/>
              <w:jc w:val="right"/>
              <w:rPr>
                <w:color w:val="000000"/>
                <w:sz w:val="17"/>
                <w:szCs w:val="17"/>
              </w:rPr>
            </w:pPr>
          </w:p>
        </w:tc>
        <w:tc>
          <w:tcPr>
            <w:tcW w:w="421" w:type="pct"/>
            <w:vAlign w:val="bottom"/>
          </w:tcPr>
          <w:p w14:paraId="39B386DB" w14:textId="77777777" w:rsidR="00D83E33" w:rsidRPr="001B330E" w:rsidRDefault="00D83E33" w:rsidP="001B330E">
            <w:pPr>
              <w:widowControl w:val="0"/>
              <w:jc w:val="right"/>
              <w:rPr>
                <w:color w:val="000000"/>
                <w:sz w:val="17"/>
                <w:szCs w:val="17"/>
              </w:rPr>
            </w:pPr>
          </w:p>
        </w:tc>
      </w:tr>
      <w:tr w:rsidR="00D83E33" w:rsidRPr="00D95E75" w14:paraId="3E98C43D" w14:textId="77777777" w:rsidTr="001B330E">
        <w:trPr>
          <w:trHeight w:val="23"/>
        </w:trPr>
        <w:tc>
          <w:tcPr>
            <w:tcW w:w="1364" w:type="pct"/>
            <w:vAlign w:val="bottom"/>
          </w:tcPr>
          <w:p w14:paraId="14FFE3D5"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xml:space="preserve">Loans collateralised by: </w:t>
            </w:r>
          </w:p>
        </w:tc>
        <w:tc>
          <w:tcPr>
            <w:tcW w:w="431" w:type="pct"/>
            <w:vAlign w:val="bottom"/>
          </w:tcPr>
          <w:p w14:paraId="37D419E7" w14:textId="77777777" w:rsidR="00D83E33" w:rsidRPr="001B330E" w:rsidRDefault="00D83E33" w:rsidP="001B330E">
            <w:pPr>
              <w:widowControl w:val="0"/>
              <w:jc w:val="right"/>
              <w:rPr>
                <w:color w:val="000000"/>
                <w:sz w:val="17"/>
                <w:szCs w:val="17"/>
              </w:rPr>
            </w:pPr>
          </w:p>
        </w:tc>
        <w:tc>
          <w:tcPr>
            <w:tcW w:w="517" w:type="pct"/>
            <w:vAlign w:val="bottom"/>
          </w:tcPr>
          <w:p w14:paraId="5EF27D3F" w14:textId="77777777" w:rsidR="00D83E33" w:rsidRPr="001B330E" w:rsidRDefault="00D83E33" w:rsidP="001B330E">
            <w:pPr>
              <w:widowControl w:val="0"/>
              <w:jc w:val="right"/>
              <w:rPr>
                <w:color w:val="000000"/>
                <w:sz w:val="17"/>
                <w:szCs w:val="17"/>
              </w:rPr>
            </w:pPr>
          </w:p>
        </w:tc>
        <w:tc>
          <w:tcPr>
            <w:tcW w:w="463" w:type="pct"/>
            <w:vAlign w:val="bottom"/>
          </w:tcPr>
          <w:p w14:paraId="17BBBAEC" w14:textId="77777777" w:rsidR="00D83E33" w:rsidRPr="001B330E" w:rsidRDefault="00D83E33" w:rsidP="001B330E">
            <w:pPr>
              <w:widowControl w:val="0"/>
              <w:jc w:val="right"/>
              <w:rPr>
                <w:color w:val="000000"/>
                <w:sz w:val="17"/>
                <w:szCs w:val="17"/>
              </w:rPr>
            </w:pPr>
          </w:p>
        </w:tc>
        <w:tc>
          <w:tcPr>
            <w:tcW w:w="423" w:type="pct"/>
            <w:vAlign w:val="bottom"/>
          </w:tcPr>
          <w:p w14:paraId="17FEABD4" w14:textId="77777777" w:rsidR="00D83E33" w:rsidRPr="001B330E" w:rsidRDefault="00D83E33" w:rsidP="001B330E">
            <w:pPr>
              <w:widowControl w:val="0"/>
              <w:jc w:val="right"/>
              <w:rPr>
                <w:color w:val="000000"/>
                <w:sz w:val="17"/>
                <w:szCs w:val="17"/>
              </w:rPr>
            </w:pPr>
          </w:p>
        </w:tc>
        <w:tc>
          <w:tcPr>
            <w:tcW w:w="423" w:type="pct"/>
            <w:vAlign w:val="bottom"/>
          </w:tcPr>
          <w:p w14:paraId="2012B16B" w14:textId="77777777" w:rsidR="00D83E33" w:rsidRPr="001B330E" w:rsidRDefault="00D83E33" w:rsidP="001B330E">
            <w:pPr>
              <w:widowControl w:val="0"/>
              <w:jc w:val="right"/>
              <w:rPr>
                <w:color w:val="000000"/>
                <w:sz w:val="17"/>
                <w:szCs w:val="17"/>
              </w:rPr>
            </w:pPr>
          </w:p>
        </w:tc>
        <w:tc>
          <w:tcPr>
            <w:tcW w:w="463" w:type="pct"/>
            <w:vAlign w:val="bottom"/>
          </w:tcPr>
          <w:p w14:paraId="082D21B4" w14:textId="77777777" w:rsidR="00D83E33" w:rsidRPr="001B330E" w:rsidRDefault="00D83E33" w:rsidP="001B330E">
            <w:pPr>
              <w:widowControl w:val="0"/>
              <w:jc w:val="right"/>
              <w:rPr>
                <w:color w:val="000000"/>
                <w:sz w:val="17"/>
                <w:szCs w:val="17"/>
              </w:rPr>
            </w:pPr>
          </w:p>
        </w:tc>
        <w:tc>
          <w:tcPr>
            <w:tcW w:w="495" w:type="pct"/>
          </w:tcPr>
          <w:p w14:paraId="4672A2F9" w14:textId="77777777" w:rsidR="00D83E33" w:rsidRPr="001B330E" w:rsidRDefault="00D83E33" w:rsidP="001B330E">
            <w:pPr>
              <w:widowControl w:val="0"/>
              <w:jc w:val="right"/>
              <w:rPr>
                <w:color w:val="000000"/>
                <w:sz w:val="17"/>
                <w:szCs w:val="17"/>
              </w:rPr>
            </w:pPr>
          </w:p>
        </w:tc>
        <w:tc>
          <w:tcPr>
            <w:tcW w:w="421" w:type="pct"/>
            <w:vAlign w:val="bottom"/>
          </w:tcPr>
          <w:p w14:paraId="36E30738" w14:textId="77777777" w:rsidR="00D83E33" w:rsidRPr="001B330E" w:rsidRDefault="00D83E33" w:rsidP="001B330E">
            <w:pPr>
              <w:widowControl w:val="0"/>
              <w:jc w:val="right"/>
              <w:rPr>
                <w:color w:val="000000"/>
                <w:sz w:val="17"/>
                <w:szCs w:val="17"/>
              </w:rPr>
            </w:pPr>
          </w:p>
        </w:tc>
      </w:tr>
      <w:tr w:rsidR="00D83E33" w:rsidRPr="00D95E75" w14:paraId="01F079B6" w14:textId="77777777" w:rsidTr="001B330E">
        <w:trPr>
          <w:trHeight w:val="23"/>
        </w:trPr>
        <w:tc>
          <w:tcPr>
            <w:tcW w:w="1364" w:type="pct"/>
            <w:vAlign w:val="bottom"/>
          </w:tcPr>
          <w:p w14:paraId="05AD2A49"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residential real estate</w:t>
            </w:r>
          </w:p>
        </w:tc>
        <w:tc>
          <w:tcPr>
            <w:tcW w:w="431" w:type="pct"/>
            <w:vAlign w:val="bottom"/>
          </w:tcPr>
          <w:p w14:paraId="5F3BE8FE" w14:textId="77777777" w:rsidR="00D83E33" w:rsidRPr="001B330E" w:rsidRDefault="00D83E33" w:rsidP="001B330E">
            <w:pPr>
              <w:widowControl w:val="0"/>
              <w:jc w:val="right"/>
              <w:rPr>
                <w:color w:val="000000"/>
                <w:sz w:val="17"/>
                <w:szCs w:val="17"/>
              </w:rPr>
            </w:pPr>
          </w:p>
        </w:tc>
        <w:tc>
          <w:tcPr>
            <w:tcW w:w="517" w:type="pct"/>
            <w:vAlign w:val="bottom"/>
          </w:tcPr>
          <w:p w14:paraId="18663423" w14:textId="77777777" w:rsidR="00D83E33" w:rsidRPr="001B330E" w:rsidRDefault="00D83E33" w:rsidP="001B330E">
            <w:pPr>
              <w:widowControl w:val="0"/>
              <w:jc w:val="right"/>
              <w:rPr>
                <w:color w:val="000000"/>
                <w:sz w:val="17"/>
                <w:szCs w:val="17"/>
              </w:rPr>
            </w:pPr>
          </w:p>
        </w:tc>
        <w:tc>
          <w:tcPr>
            <w:tcW w:w="463" w:type="pct"/>
            <w:vAlign w:val="bottom"/>
          </w:tcPr>
          <w:p w14:paraId="23EAF0B8" w14:textId="77777777" w:rsidR="00D83E33" w:rsidRPr="001B330E" w:rsidRDefault="00D83E33" w:rsidP="001B330E">
            <w:pPr>
              <w:widowControl w:val="0"/>
              <w:jc w:val="right"/>
              <w:rPr>
                <w:color w:val="000000"/>
                <w:sz w:val="17"/>
                <w:szCs w:val="17"/>
              </w:rPr>
            </w:pPr>
          </w:p>
        </w:tc>
        <w:tc>
          <w:tcPr>
            <w:tcW w:w="423" w:type="pct"/>
            <w:vAlign w:val="bottom"/>
          </w:tcPr>
          <w:p w14:paraId="072179B2" w14:textId="77777777" w:rsidR="00D83E33" w:rsidRPr="001B330E" w:rsidRDefault="00D83E33" w:rsidP="001B330E">
            <w:pPr>
              <w:widowControl w:val="0"/>
              <w:jc w:val="right"/>
              <w:rPr>
                <w:color w:val="000000"/>
                <w:sz w:val="17"/>
                <w:szCs w:val="17"/>
              </w:rPr>
            </w:pPr>
          </w:p>
        </w:tc>
        <w:tc>
          <w:tcPr>
            <w:tcW w:w="423" w:type="pct"/>
            <w:vAlign w:val="bottom"/>
          </w:tcPr>
          <w:p w14:paraId="2A4653A5" w14:textId="77777777" w:rsidR="00D83E33" w:rsidRPr="001B330E" w:rsidRDefault="00D83E33" w:rsidP="001B330E">
            <w:pPr>
              <w:widowControl w:val="0"/>
              <w:jc w:val="right"/>
              <w:rPr>
                <w:color w:val="000000"/>
                <w:sz w:val="17"/>
                <w:szCs w:val="17"/>
              </w:rPr>
            </w:pPr>
          </w:p>
        </w:tc>
        <w:tc>
          <w:tcPr>
            <w:tcW w:w="463" w:type="pct"/>
            <w:vAlign w:val="bottom"/>
          </w:tcPr>
          <w:p w14:paraId="67039A56" w14:textId="77777777" w:rsidR="00D83E33" w:rsidRPr="001B330E" w:rsidRDefault="00D83E33" w:rsidP="001B330E">
            <w:pPr>
              <w:widowControl w:val="0"/>
              <w:jc w:val="right"/>
              <w:rPr>
                <w:color w:val="000000"/>
                <w:sz w:val="17"/>
                <w:szCs w:val="17"/>
              </w:rPr>
            </w:pPr>
          </w:p>
        </w:tc>
        <w:tc>
          <w:tcPr>
            <w:tcW w:w="495" w:type="pct"/>
          </w:tcPr>
          <w:p w14:paraId="1044B454" w14:textId="77777777" w:rsidR="00D83E33" w:rsidRPr="001B330E" w:rsidRDefault="00D83E33" w:rsidP="001B330E">
            <w:pPr>
              <w:widowControl w:val="0"/>
              <w:jc w:val="right"/>
              <w:rPr>
                <w:color w:val="000000"/>
                <w:sz w:val="17"/>
                <w:szCs w:val="17"/>
              </w:rPr>
            </w:pPr>
          </w:p>
        </w:tc>
        <w:tc>
          <w:tcPr>
            <w:tcW w:w="421" w:type="pct"/>
            <w:vAlign w:val="bottom"/>
          </w:tcPr>
          <w:p w14:paraId="36C6C140" w14:textId="77777777" w:rsidR="00D83E33" w:rsidRPr="001B330E" w:rsidRDefault="00D83E33" w:rsidP="001B330E">
            <w:pPr>
              <w:widowControl w:val="0"/>
              <w:jc w:val="right"/>
              <w:rPr>
                <w:color w:val="000000"/>
                <w:sz w:val="17"/>
                <w:szCs w:val="17"/>
              </w:rPr>
            </w:pPr>
          </w:p>
        </w:tc>
      </w:tr>
      <w:tr w:rsidR="00D83E33" w:rsidRPr="00D95E75" w14:paraId="36EE98CD" w14:textId="77777777" w:rsidTr="001B330E">
        <w:trPr>
          <w:trHeight w:val="23"/>
        </w:trPr>
        <w:tc>
          <w:tcPr>
            <w:tcW w:w="1364" w:type="pct"/>
            <w:vAlign w:val="bottom"/>
          </w:tcPr>
          <w:p w14:paraId="0179FD35"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other real estate</w:t>
            </w:r>
          </w:p>
        </w:tc>
        <w:tc>
          <w:tcPr>
            <w:tcW w:w="431" w:type="pct"/>
            <w:vAlign w:val="bottom"/>
          </w:tcPr>
          <w:p w14:paraId="3FF395AD" w14:textId="77777777" w:rsidR="00D83E33" w:rsidRPr="001B330E" w:rsidRDefault="00D83E33" w:rsidP="001B330E">
            <w:pPr>
              <w:widowControl w:val="0"/>
              <w:jc w:val="right"/>
              <w:rPr>
                <w:color w:val="000000"/>
                <w:sz w:val="17"/>
                <w:szCs w:val="17"/>
              </w:rPr>
            </w:pPr>
          </w:p>
        </w:tc>
        <w:tc>
          <w:tcPr>
            <w:tcW w:w="517" w:type="pct"/>
            <w:vAlign w:val="bottom"/>
          </w:tcPr>
          <w:p w14:paraId="7EC1D9E4" w14:textId="77777777" w:rsidR="00D83E33" w:rsidRPr="001B330E" w:rsidRDefault="00D83E33" w:rsidP="001B330E">
            <w:pPr>
              <w:widowControl w:val="0"/>
              <w:jc w:val="right"/>
              <w:rPr>
                <w:color w:val="000000"/>
                <w:sz w:val="17"/>
                <w:szCs w:val="17"/>
              </w:rPr>
            </w:pPr>
          </w:p>
        </w:tc>
        <w:tc>
          <w:tcPr>
            <w:tcW w:w="463" w:type="pct"/>
            <w:vAlign w:val="bottom"/>
          </w:tcPr>
          <w:p w14:paraId="6DD0FAEF" w14:textId="77777777" w:rsidR="00D83E33" w:rsidRPr="001B330E" w:rsidRDefault="00D83E33" w:rsidP="001B330E">
            <w:pPr>
              <w:widowControl w:val="0"/>
              <w:jc w:val="right"/>
              <w:rPr>
                <w:color w:val="000000"/>
                <w:sz w:val="17"/>
                <w:szCs w:val="17"/>
              </w:rPr>
            </w:pPr>
          </w:p>
        </w:tc>
        <w:tc>
          <w:tcPr>
            <w:tcW w:w="423" w:type="pct"/>
            <w:vAlign w:val="bottom"/>
          </w:tcPr>
          <w:p w14:paraId="05378D73" w14:textId="77777777" w:rsidR="00D83E33" w:rsidRPr="001B330E" w:rsidRDefault="00D83E33" w:rsidP="001B330E">
            <w:pPr>
              <w:widowControl w:val="0"/>
              <w:jc w:val="right"/>
              <w:rPr>
                <w:color w:val="000000"/>
                <w:sz w:val="17"/>
                <w:szCs w:val="17"/>
              </w:rPr>
            </w:pPr>
          </w:p>
        </w:tc>
        <w:tc>
          <w:tcPr>
            <w:tcW w:w="423" w:type="pct"/>
            <w:vAlign w:val="bottom"/>
          </w:tcPr>
          <w:p w14:paraId="3F3A3A89" w14:textId="77777777" w:rsidR="00D83E33" w:rsidRPr="001B330E" w:rsidRDefault="00D83E33" w:rsidP="001B330E">
            <w:pPr>
              <w:widowControl w:val="0"/>
              <w:jc w:val="right"/>
              <w:rPr>
                <w:color w:val="000000"/>
                <w:sz w:val="17"/>
                <w:szCs w:val="17"/>
              </w:rPr>
            </w:pPr>
          </w:p>
        </w:tc>
        <w:tc>
          <w:tcPr>
            <w:tcW w:w="463" w:type="pct"/>
            <w:vAlign w:val="bottom"/>
          </w:tcPr>
          <w:p w14:paraId="37E477BB" w14:textId="77777777" w:rsidR="00D83E33" w:rsidRPr="001B330E" w:rsidRDefault="00D83E33" w:rsidP="001B330E">
            <w:pPr>
              <w:widowControl w:val="0"/>
              <w:jc w:val="right"/>
              <w:rPr>
                <w:color w:val="000000"/>
                <w:sz w:val="17"/>
                <w:szCs w:val="17"/>
              </w:rPr>
            </w:pPr>
          </w:p>
        </w:tc>
        <w:tc>
          <w:tcPr>
            <w:tcW w:w="495" w:type="pct"/>
          </w:tcPr>
          <w:p w14:paraId="52D2123B" w14:textId="77777777" w:rsidR="00D83E33" w:rsidRPr="001B330E" w:rsidRDefault="00D83E33" w:rsidP="001B330E">
            <w:pPr>
              <w:widowControl w:val="0"/>
              <w:jc w:val="right"/>
              <w:rPr>
                <w:color w:val="000000"/>
                <w:sz w:val="17"/>
                <w:szCs w:val="17"/>
              </w:rPr>
            </w:pPr>
          </w:p>
        </w:tc>
        <w:tc>
          <w:tcPr>
            <w:tcW w:w="421" w:type="pct"/>
            <w:vAlign w:val="bottom"/>
          </w:tcPr>
          <w:p w14:paraId="60123E58" w14:textId="77777777" w:rsidR="00D83E33" w:rsidRPr="001B330E" w:rsidRDefault="00D83E33" w:rsidP="001B330E">
            <w:pPr>
              <w:widowControl w:val="0"/>
              <w:jc w:val="right"/>
              <w:rPr>
                <w:color w:val="000000"/>
                <w:sz w:val="17"/>
                <w:szCs w:val="17"/>
              </w:rPr>
            </w:pPr>
          </w:p>
        </w:tc>
      </w:tr>
      <w:tr w:rsidR="00D83E33" w:rsidRPr="00D95E75" w14:paraId="5E072966" w14:textId="77777777" w:rsidTr="001B330E">
        <w:trPr>
          <w:trHeight w:val="23"/>
        </w:trPr>
        <w:tc>
          <w:tcPr>
            <w:tcW w:w="1364" w:type="pct"/>
            <w:vAlign w:val="bottom"/>
          </w:tcPr>
          <w:p w14:paraId="7A68BA59"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tradable securities</w:t>
            </w:r>
          </w:p>
        </w:tc>
        <w:tc>
          <w:tcPr>
            <w:tcW w:w="431" w:type="pct"/>
            <w:vAlign w:val="bottom"/>
          </w:tcPr>
          <w:p w14:paraId="1EC1EC48" w14:textId="77777777" w:rsidR="00D83E33" w:rsidRPr="001B330E" w:rsidRDefault="00D83E33" w:rsidP="001B330E">
            <w:pPr>
              <w:widowControl w:val="0"/>
              <w:jc w:val="right"/>
              <w:rPr>
                <w:color w:val="000000"/>
                <w:sz w:val="17"/>
                <w:szCs w:val="17"/>
              </w:rPr>
            </w:pPr>
          </w:p>
        </w:tc>
        <w:tc>
          <w:tcPr>
            <w:tcW w:w="517" w:type="pct"/>
            <w:vAlign w:val="bottom"/>
          </w:tcPr>
          <w:p w14:paraId="10925B0E" w14:textId="77777777" w:rsidR="00D83E33" w:rsidRPr="001B330E" w:rsidRDefault="00D83E33" w:rsidP="001B330E">
            <w:pPr>
              <w:widowControl w:val="0"/>
              <w:jc w:val="right"/>
              <w:rPr>
                <w:color w:val="000000"/>
                <w:sz w:val="17"/>
                <w:szCs w:val="17"/>
              </w:rPr>
            </w:pPr>
          </w:p>
        </w:tc>
        <w:tc>
          <w:tcPr>
            <w:tcW w:w="463" w:type="pct"/>
            <w:vAlign w:val="bottom"/>
          </w:tcPr>
          <w:p w14:paraId="59BBD3D8" w14:textId="77777777" w:rsidR="00D83E33" w:rsidRPr="001B330E" w:rsidRDefault="00D83E33" w:rsidP="001B330E">
            <w:pPr>
              <w:widowControl w:val="0"/>
              <w:jc w:val="right"/>
              <w:rPr>
                <w:color w:val="000000"/>
                <w:sz w:val="17"/>
                <w:szCs w:val="17"/>
              </w:rPr>
            </w:pPr>
          </w:p>
        </w:tc>
        <w:tc>
          <w:tcPr>
            <w:tcW w:w="423" w:type="pct"/>
            <w:vAlign w:val="bottom"/>
          </w:tcPr>
          <w:p w14:paraId="15BAE24F" w14:textId="77777777" w:rsidR="00D83E33" w:rsidRPr="001B330E" w:rsidRDefault="00D83E33" w:rsidP="001B330E">
            <w:pPr>
              <w:widowControl w:val="0"/>
              <w:jc w:val="right"/>
              <w:rPr>
                <w:color w:val="000000"/>
                <w:sz w:val="17"/>
                <w:szCs w:val="17"/>
              </w:rPr>
            </w:pPr>
          </w:p>
        </w:tc>
        <w:tc>
          <w:tcPr>
            <w:tcW w:w="423" w:type="pct"/>
            <w:vAlign w:val="bottom"/>
          </w:tcPr>
          <w:p w14:paraId="3D88A633" w14:textId="77777777" w:rsidR="00D83E33" w:rsidRPr="001B330E" w:rsidRDefault="00D83E33" w:rsidP="001B330E">
            <w:pPr>
              <w:widowControl w:val="0"/>
              <w:jc w:val="right"/>
              <w:rPr>
                <w:color w:val="000000"/>
                <w:sz w:val="17"/>
                <w:szCs w:val="17"/>
              </w:rPr>
            </w:pPr>
          </w:p>
        </w:tc>
        <w:tc>
          <w:tcPr>
            <w:tcW w:w="463" w:type="pct"/>
            <w:vAlign w:val="bottom"/>
          </w:tcPr>
          <w:p w14:paraId="3E5CC087" w14:textId="77777777" w:rsidR="00D83E33" w:rsidRPr="001B330E" w:rsidRDefault="00D83E33" w:rsidP="001B330E">
            <w:pPr>
              <w:widowControl w:val="0"/>
              <w:jc w:val="right"/>
              <w:rPr>
                <w:color w:val="000000"/>
                <w:sz w:val="17"/>
                <w:szCs w:val="17"/>
              </w:rPr>
            </w:pPr>
          </w:p>
        </w:tc>
        <w:tc>
          <w:tcPr>
            <w:tcW w:w="495" w:type="pct"/>
          </w:tcPr>
          <w:p w14:paraId="0752D842" w14:textId="77777777" w:rsidR="00D83E33" w:rsidRPr="001B330E" w:rsidRDefault="00D83E33" w:rsidP="001B330E">
            <w:pPr>
              <w:widowControl w:val="0"/>
              <w:jc w:val="right"/>
              <w:rPr>
                <w:color w:val="000000"/>
                <w:sz w:val="17"/>
                <w:szCs w:val="17"/>
              </w:rPr>
            </w:pPr>
          </w:p>
        </w:tc>
        <w:tc>
          <w:tcPr>
            <w:tcW w:w="421" w:type="pct"/>
            <w:vAlign w:val="bottom"/>
          </w:tcPr>
          <w:p w14:paraId="103F0DF5" w14:textId="77777777" w:rsidR="00D83E33" w:rsidRPr="001B330E" w:rsidRDefault="00D83E33" w:rsidP="001B330E">
            <w:pPr>
              <w:widowControl w:val="0"/>
              <w:jc w:val="right"/>
              <w:rPr>
                <w:color w:val="000000"/>
                <w:sz w:val="17"/>
                <w:szCs w:val="17"/>
              </w:rPr>
            </w:pPr>
          </w:p>
        </w:tc>
      </w:tr>
      <w:tr w:rsidR="00D83E33" w:rsidRPr="00D95E75" w14:paraId="4B1F10C5" w14:textId="77777777" w:rsidTr="001B330E">
        <w:trPr>
          <w:trHeight w:val="23"/>
        </w:trPr>
        <w:tc>
          <w:tcPr>
            <w:tcW w:w="1364" w:type="pct"/>
            <w:vAlign w:val="bottom"/>
          </w:tcPr>
          <w:p w14:paraId="53CC0D23"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cash deposits</w:t>
            </w:r>
          </w:p>
        </w:tc>
        <w:tc>
          <w:tcPr>
            <w:tcW w:w="431" w:type="pct"/>
            <w:vAlign w:val="bottom"/>
          </w:tcPr>
          <w:p w14:paraId="5620E4CF" w14:textId="77777777" w:rsidR="00D83E33" w:rsidRPr="001B330E" w:rsidRDefault="00D83E33" w:rsidP="001B330E">
            <w:pPr>
              <w:widowControl w:val="0"/>
              <w:jc w:val="right"/>
              <w:rPr>
                <w:color w:val="000000"/>
                <w:sz w:val="17"/>
                <w:szCs w:val="17"/>
              </w:rPr>
            </w:pPr>
          </w:p>
        </w:tc>
        <w:tc>
          <w:tcPr>
            <w:tcW w:w="517" w:type="pct"/>
            <w:vAlign w:val="bottom"/>
          </w:tcPr>
          <w:p w14:paraId="46F6C505" w14:textId="77777777" w:rsidR="00D83E33" w:rsidRPr="001B330E" w:rsidRDefault="00D83E33" w:rsidP="001B330E">
            <w:pPr>
              <w:widowControl w:val="0"/>
              <w:jc w:val="right"/>
              <w:rPr>
                <w:color w:val="000000"/>
                <w:sz w:val="17"/>
                <w:szCs w:val="17"/>
              </w:rPr>
            </w:pPr>
          </w:p>
        </w:tc>
        <w:tc>
          <w:tcPr>
            <w:tcW w:w="463" w:type="pct"/>
            <w:vAlign w:val="bottom"/>
          </w:tcPr>
          <w:p w14:paraId="03F13945" w14:textId="77777777" w:rsidR="00D83E33" w:rsidRPr="001B330E" w:rsidRDefault="00D83E33" w:rsidP="001B330E">
            <w:pPr>
              <w:widowControl w:val="0"/>
              <w:jc w:val="right"/>
              <w:rPr>
                <w:color w:val="000000"/>
                <w:sz w:val="17"/>
                <w:szCs w:val="17"/>
              </w:rPr>
            </w:pPr>
          </w:p>
        </w:tc>
        <w:tc>
          <w:tcPr>
            <w:tcW w:w="423" w:type="pct"/>
            <w:vAlign w:val="bottom"/>
          </w:tcPr>
          <w:p w14:paraId="582EC77C" w14:textId="77777777" w:rsidR="00D83E33" w:rsidRPr="001B330E" w:rsidRDefault="00D83E33" w:rsidP="001B330E">
            <w:pPr>
              <w:widowControl w:val="0"/>
              <w:jc w:val="right"/>
              <w:rPr>
                <w:color w:val="000000"/>
                <w:sz w:val="17"/>
                <w:szCs w:val="17"/>
              </w:rPr>
            </w:pPr>
          </w:p>
        </w:tc>
        <w:tc>
          <w:tcPr>
            <w:tcW w:w="423" w:type="pct"/>
            <w:vAlign w:val="bottom"/>
          </w:tcPr>
          <w:p w14:paraId="15A7BB76" w14:textId="77777777" w:rsidR="00D83E33" w:rsidRPr="001B330E" w:rsidRDefault="00D83E33" w:rsidP="001B330E">
            <w:pPr>
              <w:widowControl w:val="0"/>
              <w:jc w:val="right"/>
              <w:rPr>
                <w:color w:val="000000"/>
                <w:sz w:val="17"/>
                <w:szCs w:val="17"/>
              </w:rPr>
            </w:pPr>
          </w:p>
        </w:tc>
        <w:tc>
          <w:tcPr>
            <w:tcW w:w="463" w:type="pct"/>
            <w:vAlign w:val="bottom"/>
          </w:tcPr>
          <w:p w14:paraId="5ECF686B" w14:textId="77777777" w:rsidR="00D83E33" w:rsidRPr="001B330E" w:rsidRDefault="00D83E33" w:rsidP="001B330E">
            <w:pPr>
              <w:widowControl w:val="0"/>
              <w:jc w:val="right"/>
              <w:rPr>
                <w:color w:val="000000"/>
                <w:sz w:val="17"/>
                <w:szCs w:val="17"/>
              </w:rPr>
            </w:pPr>
          </w:p>
        </w:tc>
        <w:tc>
          <w:tcPr>
            <w:tcW w:w="495" w:type="pct"/>
          </w:tcPr>
          <w:p w14:paraId="55E5C6CF" w14:textId="77777777" w:rsidR="00D83E33" w:rsidRPr="001B330E" w:rsidRDefault="00D83E33" w:rsidP="001B330E">
            <w:pPr>
              <w:widowControl w:val="0"/>
              <w:jc w:val="right"/>
              <w:rPr>
                <w:color w:val="000000"/>
                <w:sz w:val="17"/>
                <w:szCs w:val="17"/>
              </w:rPr>
            </w:pPr>
          </w:p>
        </w:tc>
        <w:tc>
          <w:tcPr>
            <w:tcW w:w="421" w:type="pct"/>
            <w:vAlign w:val="bottom"/>
          </w:tcPr>
          <w:p w14:paraId="6B08C94A" w14:textId="77777777" w:rsidR="00D83E33" w:rsidRPr="001B330E" w:rsidRDefault="00D83E33" w:rsidP="001B330E">
            <w:pPr>
              <w:widowControl w:val="0"/>
              <w:jc w:val="right"/>
              <w:rPr>
                <w:color w:val="000000"/>
                <w:sz w:val="17"/>
                <w:szCs w:val="17"/>
              </w:rPr>
            </w:pPr>
          </w:p>
        </w:tc>
      </w:tr>
      <w:tr w:rsidR="00D83E33" w:rsidRPr="00D95E75" w14:paraId="15B7A181" w14:textId="77777777" w:rsidTr="001B330E">
        <w:trPr>
          <w:trHeight w:val="23"/>
        </w:trPr>
        <w:tc>
          <w:tcPr>
            <w:tcW w:w="1364" w:type="pct"/>
            <w:vAlign w:val="bottom"/>
          </w:tcPr>
          <w:p w14:paraId="01D33D32"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other assets</w:t>
            </w:r>
          </w:p>
        </w:tc>
        <w:tc>
          <w:tcPr>
            <w:tcW w:w="431" w:type="pct"/>
            <w:vAlign w:val="bottom"/>
          </w:tcPr>
          <w:p w14:paraId="1FDF62A9" w14:textId="77777777" w:rsidR="00D83E33" w:rsidRPr="001B330E" w:rsidRDefault="00D83E33" w:rsidP="001B330E">
            <w:pPr>
              <w:widowControl w:val="0"/>
              <w:jc w:val="right"/>
              <w:rPr>
                <w:color w:val="000000"/>
                <w:sz w:val="17"/>
                <w:szCs w:val="17"/>
              </w:rPr>
            </w:pPr>
          </w:p>
        </w:tc>
        <w:tc>
          <w:tcPr>
            <w:tcW w:w="517" w:type="pct"/>
            <w:vAlign w:val="bottom"/>
          </w:tcPr>
          <w:p w14:paraId="57D8A96A" w14:textId="77777777" w:rsidR="00D83E33" w:rsidRPr="001B330E" w:rsidRDefault="00D83E33" w:rsidP="001B330E">
            <w:pPr>
              <w:widowControl w:val="0"/>
              <w:jc w:val="right"/>
              <w:rPr>
                <w:color w:val="000000"/>
                <w:sz w:val="17"/>
                <w:szCs w:val="17"/>
              </w:rPr>
            </w:pPr>
          </w:p>
        </w:tc>
        <w:tc>
          <w:tcPr>
            <w:tcW w:w="463" w:type="pct"/>
            <w:vAlign w:val="bottom"/>
          </w:tcPr>
          <w:p w14:paraId="2DE824F2" w14:textId="77777777" w:rsidR="00D83E33" w:rsidRPr="001B330E" w:rsidRDefault="00D83E33" w:rsidP="001B330E">
            <w:pPr>
              <w:widowControl w:val="0"/>
              <w:jc w:val="right"/>
              <w:rPr>
                <w:color w:val="000000"/>
                <w:sz w:val="17"/>
                <w:szCs w:val="17"/>
              </w:rPr>
            </w:pPr>
          </w:p>
        </w:tc>
        <w:tc>
          <w:tcPr>
            <w:tcW w:w="423" w:type="pct"/>
            <w:vAlign w:val="bottom"/>
          </w:tcPr>
          <w:p w14:paraId="3DDE1ECC" w14:textId="77777777" w:rsidR="00D83E33" w:rsidRPr="001B330E" w:rsidRDefault="00D83E33" w:rsidP="001B330E">
            <w:pPr>
              <w:widowControl w:val="0"/>
              <w:jc w:val="right"/>
              <w:rPr>
                <w:color w:val="000000"/>
                <w:sz w:val="17"/>
                <w:szCs w:val="17"/>
              </w:rPr>
            </w:pPr>
          </w:p>
        </w:tc>
        <w:tc>
          <w:tcPr>
            <w:tcW w:w="423" w:type="pct"/>
            <w:vAlign w:val="bottom"/>
          </w:tcPr>
          <w:p w14:paraId="0D504B82" w14:textId="77777777" w:rsidR="00D83E33" w:rsidRPr="001B330E" w:rsidRDefault="00D83E33" w:rsidP="001B330E">
            <w:pPr>
              <w:widowControl w:val="0"/>
              <w:jc w:val="right"/>
              <w:rPr>
                <w:color w:val="000000"/>
                <w:sz w:val="17"/>
                <w:szCs w:val="17"/>
              </w:rPr>
            </w:pPr>
          </w:p>
        </w:tc>
        <w:tc>
          <w:tcPr>
            <w:tcW w:w="463" w:type="pct"/>
            <w:vAlign w:val="bottom"/>
          </w:tcPr>
          <w:p w14:paraId="5C6D7412" w14:textId="77777777" w:rsidR="00D83E33" w:rsidRPr="001B330E" w:rsidRDefault="00D83E33" w:rsidP="001B330E">
            <w:pPr>
              <w:widowControl w:val="0"/>
              <w:jc w:val="right"/>
              <w:rPr>
                <w:color w:val="000000"/>
                <w:sz w:val="17"/>
                <w:szCs w:val="17"/>
              </w:rPr>
            </w:pPr>
          </w:p>
        </w:tc>
        <w:tc>
          <w:tcPr>
            <w:tcW w:w="495" w:type="pct"/>
          </w:tcPr>
          <w:p w14:paraId="6E0AB911" w14:textId="77777777" w:rsidR="00D83E33" w:rsidRPr="001B330E" w:rsidRDefault="00D83E33" w:rsidP="001B330E">
            <w:pPr>
              <w:widowControl w:val="0"/>
              <w:jc w:val="right"/>
              <w:rPr>
                <w:color w:val="000000"/>
                <w:sz w:val="17"/>
                <w:szCs w:val="17"/>
              </w:rPr>
            </w:pPr>
          </w:p>
        </w:tc>
        <w:tc>
          <w:tcPr>
            <w:tcW w:w="421" w:type="pct"/>
            <w:vAlign w:val="bottom"/>
          </w:tcPr>
          <w:p w14:paraId="2C6ABBE9" w14:textId="77777777" w:rsidR="00D83E33" w:rsidRPr="001B330E" w:rsidRDefault="00D83E33" w:rsidP="001B330E">
            <w:pPr>
              <w:widowControl w:val="0"/>
              <w:jc w:val="right"/>
              <w:rPr>
                <w:color w:val="000000"/>
                <w:sz w:val="17"/>
                <w:szCs w:val="17"/>
              </w:rPr>
            </w:pPr>
          </w:p>
        </w:tc>
      </w:tr>
      <w:tr w:rsidR="00D83E33" w:rsidRPr="00D95E75" w14:paraId="68DBCE46" w14:textId="77777777" w:rsidTr="001B330E">
        <w:trPr>
          <w:trHeight w:val="23"/>
        </w:trPr>
        <w:tc>
          <w:tcPr>
            <w:tcW w:w="1364" w:type="pct"/>
            <w:tcBorders>
              <w:bottom w:val="single" w:sz="6" w:space="0" w:color="000000"/>
            </w:tcBorders>
            <w:vAlign w:val="bottom"/>
          </w:tcPr>
          <w:p w14:paraId="40BB8CC2" w14:textId="77777777" w:rsidR="00D83E33" w:rsidRPr="001B330E" w:rsidRDefault="00D83E33" w:rsidP="001B330E">
            <w:pPr>
              <w:widowControl w:val="0"/>
              <w:ind w:left="113" w:right="-57" w:hanging="113"/>
              <w:rPr>
                <w:color w:val="000000"/>
                <w:sz w:val="17"/>
                <w:szCs w:val="17"/>
              </w:rPr>
            </w:pPr>
          </w:p>
        </w:tc>
        <w:tc>
          <w:tcPr>
            <w:tcW w:w="431" w:type="pct"/>
            <w:tcBorders>
              <w:bottom w:val="single" w:sz="6" w:space="0" w:color="000000"/>
            </w:tcBorders>
            <w:vAlign w:val="bottom"/>
          </w:tcPr>
          <w:p w14:paraId="7613BF79" w14:textId="77777777" w:rsidR="00D83E33" w:rsidRPr="001B330E" w:rsidRDefault="00D83E33" w:rsidP="001B330E">
            <w:pPr>
              <w:widowControl w:val="0"/>
              <w:jc w:val="right"/>
              <w:rPr>
                <w:color w:val="000000"/>
                <w:sz w:val="17"/>
                <w:szCs w:val="17"/>
              </w:rPr>
            </w:pPr>
          </w:p>
        </w:tc>
        <w:tc>
          <w:tcPr>
            <w:tcW w:w="517" w:type="pct"/>
            <w:tcBorders>
              <w:bottom w:val="single" w:sz="6" w:space="0" w:color="000000"/>
            </w:tcBorders>
            <w:vAlign w:val="bottom"/>
          </w:tcPr>
          <w:p w14:paraId="6EA56C5B" w14:textId="77777777" w:rsidR="00D83E33" w:rsidRPr="001B330E" w:rsidRDefault="00D83E33" w:rsidP="001B330E">
            <w:pPr>
              <w:widowControl w:val="0"/>
              <w:jc w:val="right"/>
              <w:rPr>
                <w:color w:val="000000"/>
                <w:sz w:val="17"/>
                <w:szCs w:val="17"/>
              </w:rPr>
            </w:pPr>
          </w:p>
        </w:tc>
        <w:tc>
          <w:tcPr>
            <w:tcW w:w="463" w:type="pct"/>
            <w:tcBorders>
              <w:bottom w:val="single" w:sz="6" w:space="0" w:color="000000"/>
            </w:tcBorders>
            <w:vAlign w:val="bottom"/>
          </w:tcPr>
          <w:p w14:paraId="5B3AD25F" w14:textId="77777777" w:rsidR="00D83E33" w:rsidRPr="001B330E" w:rsidRDefault="00D83E33" w:rsidP="001B330E">
            <w:pPr>
              <w:widowControl w:val="0"/>
              <w:jc w:val="right"/>
              <w:rPr>
                <w:color w:val="000000"/>
                <w:sz w:val="17"/>
                <w:szCs w:val="17"/>
              </w:rPr>
            </w:pPr>
          </w:p>
        </w:tc>
        <w:tc>
          <w:tcPr>
            <w:tcW w:w="423" w:type="pct"/>
            <w:tcBorders>
              <w:bottom w:val="single" w:sz="6" w:space="0" w:color="000000"/>
            </w:tcBorders>
            <w:vAlign w:val="bottom"/>
          </w:tcPr>
          <w:p w14:paraId="7AA57554" w14:textId="77777777" w:rsidR="00D83E33" w:rsidRPr="001B330E" w:rsidRDefault="00D83E33" w:rsidP="001B330E">
            <w:pPr>
              <w:widowControl w:val="0"/>
              <w:jc w:val="right"/>
              <w:rPr>
                <w:color w:val="000000"/>
                <w:sz w:val="17"/>
                <w:szCs w:val="17"/>
              </w:rPr>
            </w:pPr>
          </w:p>
        </w:tc>
        <w:tc>
          <w:tcPr>
            <w:tcW w:w="423" w:type="pct"/>
            <w:tcBorders>
              <w:bottom w:val="single" w:sz="6" w:space="0" w:color="000000"/>
            </w:tcBorders>
            <w:vAlign w:val="bottom"/>
          </w:tcPr>
          <w:p w14:paraId="38930A28" w14:textId="77777777" w:rsidR="00D83E33" w:rsidRPr="001B330E" w:rsidRDefault="00D83E33" w:rsidP="001B330E">
            <w:pPr>
              <w:widowControl w:val="0"/>
              <w:jc w:val="right"/>
              <w:rPr>
                <w:color w:val="000000"/>
                <w:sz w:val="17"/>
                <w:szCs w:val="17"/>
              </w:rPr>
            </w:pPr>
          </w:p>
        </w:tc>
        <w:tc>
          <w:tcPr>
            <w:tcW w:w="463" w:type="pct"/>
            <w:tcBorders>
              <w:bottom w:val="single" w:sz="6" w:space="0" w:color="000000"/>
            </w:tcBorders>
            <w:vAlign w:val="bottom"/>
          </w:tcPr>
          <w:p w14:paraId="7BF97712" w14:textId="77777777" w:rsidR="00D83E33" w:rsidRPr="001B330E" w:rsidRDefault="00D83E33" w:rsidP="001B330E">
            <w:pPr>
              <w:widowControl w:val="0"/>
              <w:jc w:val="right"/>
              <w:rPr>
                <w:color w:val="000000"/>
                <w:sz w:val="17"/>
                <w:szCs w:val="17"/>
              </w:rPr>
            </w:pPr>
          </w:p>
        </w:tc>
        <w:tc>
          <w:tcPr>
            <w:tcW w:w="495" w:type="pct"/>
            <w:tcBorders>
              <w:bottom w:val="single" w:sz="6" w:space="0" w:color="000000"/>
            </w:tcBorders>
          </w:tcPr>
          <w:p w14:paraId="2C59E5E0" w14:textId="77777777" w:rsidR="00D83E33" w:rsidRPr="001B330E" w:rsidRDefault="00D83E33" w:rsidP="001B330E">
            <w:pPr>
              <w:widowControl w:val="0"/>
              <w:jc w:val="right"/>
              <w:rPr>
                <w:color w:val="000000"/>
                <w:sz w:val="17"/>
                <w:szCs w:val="17"/>
              </w:rPr>
            </w:pPr>
          </w:p>
        </w:tc>
        <w:tc>
          <w:tcPr>
            <w:tcW w:w="421" w:type="pct"/>
            <w:tcBorders>
              <w:bottom w:val="single" w:sz="6" w:space="0" w:color="000000"/>
            </w:tcBorders>
            <w:vAlign w:val="bottom"/>
          </w:tcPr>
          <w:p w14:paraId="0FD4916D" w14:textId="77777777" w:rsidR="00D83E33" w:rsidRPr="001B330E" w:rsidRDefault="00D83E33" w:rsidP="001B330E">
            <w:pPr>
              <w:widowControl w:val="0"/>
              <w:jc w:val="right"/>
              <w:rPr>
                <w:color w:val="000000"/>
                <w:sz w:val="17"/>
                <w:szCs w:val="17"/>
              </w:rPr>
            </w:pPr>
          </w:p>
        </w:tc>
      </w:tr>
      <w:tr w:rsidR="00D83E33" w:rsidRPr="00D95E75" w14:paraId="00ECB882" w14:textId="77777777" w:rsidTr="001B330E">
        <w:trPr>
          <w:trHeight w:val="23"/>
        </w:trPr>
        <w:tc>
          <w:tcPr>
            <w:tcW w:w="1364" w:type="pct"/>
            <w:tcBorders>
              <w:top w:val="single" w:sz="6" w:space="0" w:color="000000"/>
            </w:tcBorders>
            <w:vAlign w:val="bottom"/>
          </w:tcPr>
          <w:p w14:paraId="53853ECD" w14:textId="77777777" w:rsidR="00D83E33" w:rsidRPr="001B330E" w:rsidRDefault="00D83E33" w:rsidP="001B330E">
            <w:pPr>
              <w:widowControl w:val="0"/>
              <w:ind w:left="113" w:right="-57" w:hanging="113"/>
              <w:rPr>
                <w:color w:val="000000"/>
                <w:sz w:val="17"/>
                <w:szCs w:val="17"/>
              </w:rPr>
            </w:pPr>
          </w:p>
        </w:tc>
        <w:tc>
          <w:tcPr>
            <w:tcW w:w="431" w:type="pct"/>
            <w:tcBorders>
              <w:top w:val="single" w:sz="6" w:space="0" w:color="000000"/>
            </w:tcBorders>
            <w:vAlign w:val="bottom"/>
          </w:tcPr>
          <w:p w14:paraId="39C7237A" w14:textId="77777777" w:rsidR="00D83E33" w:rsidRPr="001B330E" w:rsidRDefault="00D83E33" w:rsidP="001B330E">
            <w:pPr>
              <w:widowControl w:val="0"/>
              <w:jc w:val="right"/>
              <w:rPr>
                <w:color w:val="000000"/>
                <w:sz w:val="17"/>
                <w:szCs w:val="17"/>
              </w:rPr>
            </w:pPr>
          </w:p>
        </w:tc>
        <w:tc>
          <w:tcPr>
            <w:tcW w:w="517" w:type="pct"/>
            <w:tcBorders>
              <w:top w:val="single" w:sz="6" w:space="0" w:color="000000"/>
            </w:tcBorders>
            <w:vAlign w:val="bottom"/>
          </w:tcPr>
          <w:p w14:paraId="27A8D377" w14:textId="77777777" w:rsidR="00D83E33" w:rsidRPr="001B330E" w:rsidRDefault="00D83E33" w:rsidP="001B330E">
            <w:pPr>
              <w:widowControl w:val="0"/>
              <w:jc w:val="right"/>
              <w:rPr>
                <w:color w:val="000000"/>
                <w:sz w:val="17"/>
                <w:szCs w:val="17"/>
              </w:rPr>
            </w:pPr>
          </w:p>
        </w:tc>
        <w:tc>
          <w:tcPr>
            <w:tcW w:w="463" w:type="pct"/>
            <w:tcBorders>
              <w:top w:val="single" w:sz="6" w:space="0" w:color="000000"/>
            </w:tcBorders>
            <w:vAlign w:val="bottom"/>
          </w:tcPr>
          <w:p w14:paraId="12C55566" w14:textId="77777777" w:rsidR="00D83E33" w:rsidRPr="001B330E" w:rsidRDefault="00D83E33" w:rsidP="001B330E">
            <w:pPr>
              <w:widowControl w:val="0"/>
              <w:jc w:val="right"/>
              <w:rPr>
                <w:color w:val="000000"/>
                <w:sz w:val="17"/>
                <w:szCs w:val="17"/>
              </w:rPr>
            </w:pPr>
          </w:p>
        </w:tc>
        <w:tc>
          <w:tcPr>
            <w:tcW w:w="423" w:type="pct"/>
            <w:tcBorders>
              <w:top w:val="single" w:sz="6" w:space="0" w:color="000000"/>
            </w:tcBorders>
            <w:vAlign w:val="bottom"/>
          </w:tcPr>
          <w:p w14:paraId="3769E360" w14:textId="77777777" w:rsidR="00D83E33" w:rsidRPr="001B330E" w:rsidRDefault="00D83E33" w:rsidP="001B330E">
            <w:pPr>
              <w:widowControl w:val="0"/>
              <w:jc w:val="right"/>
              <w:rPr>
                <w:color w:val="000000"/>
                <w:sz w:val="17"/>
                <w:szCs w:val="17"/>
              </w:rPr>
            </w:pPr>
          </w:p>
        </w:tc>
        <w:tc>
          <w:tcPr>
            <w:tcW w:w="423" w:type="pct"/>
            <w:tcBorders>
              <w:top w:val="single" w:sz="6" w:space="0" w:color="000000"/>
            </w:tcBorders>
            <w:vAlign w:val="bottom"/>
          </w:tcPr>
          <w:p w14:paraId="7444B1FD" w14:textId="77777777" w:rsidR="00D83E33" w:rsidRPr="001B330E" w:rsidRDefault="00D83E33" w:rsidP="001B330E">
            <w:pPr>
              <w:widowControl w:val="0"/>
              <w:jc w:val="right"/>
              <w:rPr>
                <w:color w:val="000000"/>
                <w:sz w:val="17"/>
                <w:szCs w:val="17"/>
              </w:rPr>
            </w:pPr>
          </w:p>
        </w:tc>
        <w:tc>
          <w:tcPr>
            <w:tcW w:w="463" w:type="pct"/>
            <w:tcBorders>
              <w:top w:val="single" w:sz="6" w:space="0" w:color="000000"/>
            </w:tcBorders>
            <w:vAlign w:val="bottom"/>
          </w:tcPr>
          <w:p w14:paraId="0A6D2821" w14:textId="77777777" w:rsidR="00D83E33" w:rsidRPr="001B330E" w:rsidRDefault="00D83E33" w:rsidP="001B330E">
            <w:pPr>
              <w:widowControl w:val="0"/>
              <w:jc w:val="right"/>
              <w:rPr>
                <w:color w:val="000000"/>
                <w:sz w:val="17"/>
                <w:szCs w:val="17"/>
              </w:rPr>
            </w:pPr>
          </w:p>
        </w:tc>
        <w:tc>
          <w:tcPr>
            <w:tcW w:w="495" w:type="pct"/>
            <w:tcBorders>
              <w:top w:val="single" w:sz="6" w:space="0" w:color="000000"/>
            </w:tcBorders>
          </w:tcPr>
          <w:p w14:paraId="18A93F26" w14:textId="77777777" w:rsidR="00D83E33" w:rsidRPr="001B330E" w:rsidRDefault="00D83E33" w:rsidP="001B330E">
            <w:pPr>
              <w:widowControl w:val="0"/>
              <w:jc w:val="right"/>
              <w:rPr>
                <w:color w:val="000000"/>
                <w:sz w:val="17"/>
                <w:szCs w:val="17"/>
              </w:rPr>
            </w:pPr>
          </w:p>
        </w:tc>
        <w:tc>
          <w:tcPr>
            <w:tcW w:w="421" w:type="pct"/>
            <w:tcBorders>
              <w:top w:val="single" w:sz="6" w:space="0" w:color="000000"/>
            </w:tcBorders>
            <w:vAlign w:val="bottom"/>
          </w:tcPr>
          <w:p w14:paraId="2FE86162" w14:textId="77777777" w:rsidR="00D83E33" w:rsidRPr="001B330E" w:rsidRDefault="00D83E33" w:rsidP="001B330E">
            <w:pPr>
              <w:widowControl w:val="0"/>
              <w:jc w:val="right"/>
              <w:rPr>
                <w:color w:val="000000"/>
                <w:sz w:val="17"/>
                <w:szCs w:val="17"/>
              </w:rPr>
            </w:pPr>
          </w:p>
        </w:tc>
      </w:tr>
      <w:tr w:rsidR="00D83E33" w:rsidRPr="00D95E75" w14:paraId="0D3C9191" w14:textId="77777777" w:rsidTr="001B330E">
        <w:trPr>
          <w:trHeight w:val="23"/>
        </w:trPr>
        <w:tc>
          <w:tcPr>
            <w:tcW w:w="1364" w:type="pct"/>
            <w:vAlign w:val="bottom"/>
          </w:tcPr>
          <w:p w14:paraId="146F06C8" w14:textId="77777777" w:rsidR="00D83E33" w:rsidRPr="001B330E" w:rsidRDefault="00BC4072" w:rsidP="001B330E">
            <w:pPr>
              <w:widowControl w:val="0"/>
              <w:ind w:left="113" w:right="-57" w:hanging="113"/>
              <w:rPr>
                <w:color w:val="000000"/>
                <w:sz w:val="17"/>
                <w:szCs w:val="17"/>
              </w:rPr>
            </w:pPr>
            <w:r w:rsidRPr="001B330E">
              <w:rPr>
                <w:color w:val="000000"/>
                <w:sz w:val="17"/>
                <w:szCs w:val="17"/>
              </w:rPr>
              <w:t xml:space="preserve">Total </w:t>
            </w:r>
          </w:p>
        </w:tc>
        <w:tc>
          <w:tcPr>
            <w:tcW w:w="431" w:type="pct"/>
            <w:vAlign w:val="bottom"/>
          </w:tcPr>
          <w:p w14:paraId="0263D8F0" w14:textId="77777777" w:rsidR="00D83E33" w:rsidRPr="001B330E" w:rsidRDefault="00D83E33" w:rsidP="001B330E">
            <w:pPr>
              <w:widowControl w:val="0"/>
              <w:jc w:val="right"/>
              <w:rPr>
                <w:color w:val="000000"/>
                <w:sz w:val="17"/>
                <w:szCs w:val="17"/>
              </w:rPr>
            </w:pPr>
          </w:p>
        </w:tc>
        <w:tc>
          <w:tcPr>
            <w:tcW w:w="517" w:type="pct"/>
            <w:vAlign w:val="bottom"/>
          </w:tcPr>
          <w:p w14:paraId="4B862998" w14:textId="77777777" w:rsidR="00D83E33" w:rsidRPr="001B330E" w:rsidRDefault="00D83E33" w:rsidP="001B330E">
            <w:pPr>
              <w:widowControl w:val="0"/>
              <w:jc w:val="right"/>
              <w:rPr>
                <w:color w:val="000000"/>
                <w:sz w:val="17"/>
                <w:szCs w:val="17"/>
              </w:rPr>
            </w:pPr>
          </w:p>
        </w:tc>
        <w:tc>
          <w:tcPr>
            <w:tcW w:w="463" w:type="pct"/>
            <w:vAlign w:val="bottom"/>
          </w:tcPr>
          <w:p w14:paraId="74F68977" w14:textId="77777777" w:rsidR="00D83E33" w:rsidRPr="001B330E" w:rsidRDefault="00D83E33" w:rsidP="001B330E">
            <w:pPr>
              <w:widowControl w:val="0"/>
              <w:jc w:val="right"/>
              <w:rPr>
                <w:color w:val="000000"/>
                <w:sz w:val="17"/>
                <w:szCs w:val="17"/>
              </w:rPr>
            </w:pPr>
          </w:p>
        </w:tc>
        <w:tc>
          <w:tcPr>
            <w:tcW w:w="423" w:type="pct"/>
            <w:vAlign w:val="bottom"/>
          </w:tcPr>
          <w:p w14:paraId="3104A034" w14:textId="77777777" w:rsidR="00D83E33" w:rsidRPr="001B330E" w:rsidRDefault="00D83E33" w:rsidP="001B330E">
            <w:pPr>
              <w:widowControl w:val="0"/>
              <w:jc w:val="right"/>
              <w:rPr>
                <w:color w:val="000000"/>
                <w:sz w:val="17"/>
                <w:szCs w:val="17"/>
              </w:rPr>
            </w:pPr>
          </w:p>
        </w:tc>
        <w:tc>
          <w:tcPr>
            <w:tcW w:w="423" w:type="pct"/>
            <w:vAlign w:val="bottom"/>
          </w:tcPr>
          <w:p w14:paraId="1982BC0A" w14:textId="77777777" w:rsidR="00D83E33" w:rsidRPr="001B330E" w:rsidRDefault="00D83E33" w:rsidP="001B330E">
            <w:pPr>
              <w:widowControl w:val="0"/>
              <w:jc w:val="right"/>
              <w:rPr>
                <w:color w:val="000000"/>
                <w:sz w:val="17"/>
                <w:szCs w:val="17"/>
              </w:rPr>
            </w:pPr>
          </w:p>
        </w:tc>
        <w:tc>
          <w:tcPr>
            <w:tcW w:w="463" w:type="pct"/>
            <w:vAlign w:val="bottom"/>
          </w:tcPr>
          <w:p w14:paraId="47749A9B" w14:textId="77777777" w:rsidR="00D83E33" w:rsidRPr="001B330E" w:rsidRDefault="00D83E33" w:rsidP="001B330E">
            <w:pPr>
              <w:widowControl w:val="0"/>
              <w:jc w:val="right"/>
              <w:rPr>
                <w:color w:val="000000"/>
                <w:sz w:val="17"/>
                <w:szCs w:val="17"/>
              </w:rPr>
            </w:pPr>
          </w:p>
        </w:tc>
        <w:tc>
          <w:tcPr>
            <w:tcW w:w="495" w:type="pct"/>
          </w:tcPr>
          <w:p w14:paraId="5F5C1761" w14:textId="77777777" w:rsidR="00D83E33" w:rsidRPr="001B330E" w:rsidRDefault="00D83E33" w:rsidP="001B330E">
            <w:pPr>
              <w:widowControl w:val="0"/>
              <w:jc w:val="right"/>
              <w:rPr>
                <w:color w:val="000000"/>
                <w:sz w:val="17"/>
                <w:szCs w:val="17"/>
              </w:rPr>
            </w:pPr>
          </w:p>
        </w:tc>
        <w:tc>
          <w:tcPr>
            <w:tcW w:w="421" w:type="pct"/>
            <w:vAlign w:val="bottom"/>
          </w:tcPr>
          <w:p w14:paraId="6AF9D3BB" w14:textId="77777777" w:rsidR="00D83E33" w:rsidRPr="001B330E" w:rsidRDefault="00D83E33" w:rsidP="001B330E">
            <w:pPr>
              <w:widowControl w:val="0"/>
              <w:jc w:val="right"/>
              <w:rPr>
                <w:color w:val="000000"/>
                <w:sz w:val="17"/>
                <w:szCs w:val="17"/>
              </w:rPr>
            </w:pPr>
          </w:p>
        </w:tc>
      </w:tr>
      <w:tr w:rsidR="00D83E33" w:rsidRPr="00D95E75" w14:paraId="6CF8CB4C" w14:textId="77777777" w:rsidTr="001B330E">
        <w:trPr>
          <w:trHeight w:val="23"/>
        </w:trPr>
        <w:tc>
          <w:tcPr>
            <w:tcW w:w="1364" w:type="pct"/>
            <w:tcBorders>
              <w:bottom w:val="single" w:sz="6" w:space="0" w:color="000000"/>
            </w:tcBorders>
            <w:vAlign w:val="bottom"/>
          </w:tcPr>
          <w:p w14:paraId="67A9190D" w14:textId="77777777" w:rsidR="00D83E33" w:rsidRPr="001B330E" w:rsidRDefault="00D83E33" w:rsidP="001B330E">
            <w:pPr>
              <w:widowControl w:val="0"/>
              <w:ind w:left="113" w:right="-57" w:hanging="113"/>
              <w:rPr>
                <w:color w:val="000000"/>
                <w:sz w:val="17"/>
                <w:szCs w:val="17"/>
              </w:rPr>
            </w:pPr>
          </w:p>
        </w:tc>
        <w:tc>
          <w:tcPr>
            <w:tcW w:w="431" w:type="pct"/>
            <w:tcBorders>
              <w:bottom w:val="single" w:sz="6" w:space="0" w:color="000000"/>
            </w:tcBorders>
            <w:vAlign w:val="bottom"/>
          </w:tcPr>
          <w:p w14:paraId="5D32FC76" w14:textId="77777777" w:rsidR="00D83E33" w:rsidRPr="001B330E" w:rsidRDefault="00D83E33" w:rsidP="001B330E">
            <w:pPr>
              <w:widowControl w:val="0"/>
              <w:jc w:val="right"/>
              <w:rPr>
                <w:color w:val="000000"/>
                <w:sz w:val="17"/>
                <w:szCs w:val="17"/>
              </w:rPr>
            </w:pPr>
          </w:p>
        </w:tc>
        <w:tc>
          <w:tcPr>
            <w:tcW w:w="517" w:type="pct"/>
            <w:tcBorders>
              <w:bottom w:val="single" w:sz="6" w:space="0" w:color="000000"/>
            </w:tcBorders>
            <w:vAlign w:val="bottom"/>
          </w:tcPr>
          <w:p w14:paraId="080C148F" w14:textId="77777777" w:rsidR="00D83E33" w:rsidRPr="001B330E" w:rsidRDefault="00D83E33" w:rsidP="001B330E">
            <w:pPr>
              <w:widowControl w:val="0"/>
              <w:jc w:val="right"/>
              <w:rPr>
                <w:color w:val="000000"/>
                <w:sz w:val="17"/>
                <w:szCs w:val="17"/>
              </w:rPr>
            </w:pPr>
          </w:p>
        </w:tc>
        <w:tc>
          <w:tcPr>
            <w:tcW w:w="463" w:type="pct"/>
            <w:tcBorders>
              <w:bottom w:val="single" w:sz="6" w:space="0" w:color="000000"/>
            </w:tcBorders>
            <w:vAlign w:val="bottom"/>
          </w:tcPr>
          <w:p w14:paraId="527D75AF" w14:textId="77777777" w:rsidR="00D83E33" w:rsidRPr="001B330E" w:rsidRDefault="00D83E33" w:rsidP="001B330E">
            <w:pPr>
              <w:widowControl w:val="0"/>
              <w:jc w:val="right"/>
              <w:rPr>
                <w:color w:val="000000"/>
                <w:sz w:val="17"/>
                <w:szCs w:val="17"/>
              </w:rPr>
            </w:pPr>
          </w:p>
        </w:tc>
        <w:tc>
          <w:tcPr>
            <w:tcW w:w="423" w:type="pct"/>
            <w:tcBorders>
              <w:bottom w:val="single" w:sz="6" w:space="0" w:color="000000"/>
            </w:tcBorders>
            <w:vAlign w:val="bottom"/>
          </w:tcPr>
          <w:p w14:paraId="32189C35" w14:textId="77777777" w:rsidR="00D83E33" w:rsidRPr="001B330E" w:rsidRDefault="00D83E33" w:rsidP="001B330E">
            <w:pPr>
              <w:widowControl w:val="0"/>
              <w:jc w:val="right"/>
              <w:rPr>
                <w:color w:val="000000"/>
                <w:sz w:val="17"/>
                <w:szCs w:val="17"/>
              </w:rPr>
            </w:pPr>
          </w:p>
        </w:tc>
        <w:tc>
          <w:tcPr>
            <w:tcW w:w="423" w:type="pct"/>
            <w:tcBorders>
              <w:bottom w:val="single" w:sz="6" w:space="0" w:color="000000"/>
            </w:tcBorders>
            <w:vAlign w:val="bottom"/>
          </w:tcPr>
          <w:p w14:paraId="752D6ABA" w14:textId="77777777" w:rsidR="00D83E33" w:rsidRPr="001B330E" w:rsidRDefault="00D83E33" w:rsidP="001B330E">
            <w:pPr>
              <w:widowControl w:val="0"/>
              <w:jc w:val="right"/>
              <w:rPr>
                <w:color w:val="000000"/>
                <w:sz w:val="17"/>
                <w:szCs w:val="17"/>
              </w:rPr>
            </w:pPr>
          </w:p>
        </w:tc>
        <w:tc>
          <w:tcPr>
            <w:tcW w:w="463" w:type="pct"/>
            <w:tcBorders>
              <w:bottom w:val="single" w:sz="6" w:space="0" w:color="000000"/>
            </w:tcBorders>
            <w:vAlign w:val="bottom"/>
          </w:tcPr>
          <w:p w14:paraId="6A645ABA" w14:textId="77777777" w:rsidR="00D83E33" w:rsidRPr="001B330E" w:rsidRDefault="00D83E33" w:rsidP="001B330E">
            <w:pPr>
              <w:widowControl w:val="0"/>
              <w:jc w:val="right"/>
              <w:rPr>
                <w:color w:val="000000"/>
                <w:sz w:val="17"/>
                <w:szCs w:val="17"/>
              </w:rPr>
            </w:pPr>
          </w:p>
        </w:tc>
        <w:tc>
          <w:tcPr>
            <w:tcW w:w="495" w:type="pct"/>
            <w:tcBorders>
              <w:bottom w:val="single" w:sz="6" w:space="0" w:color="000000"/>
            </w:tcBorders>
          </w:tcPr>
          <w:p w14:paraId="26F986D6" w14:textId="77777777" w:rsidR="00D83E33" w:rsidRPr="001B330E" w:rsidRDefault="00D83E33" w:rsidP="001B330E">
            <w:pPr>
              <w:widowControl w:val="0"/>
              <w:jc w:val="right"/>
              <w:rPr>
                <w:color w:val="000000"/>
                <w:sz w:val="17"/>
                <w:szCs w:val="17"/>
              </w:rPr>
            </w:pPr>
          </w:p>
        </w:tc>
        <w:tc>
          <w:tcPr>
            <w:tcW w:w="421" w:type="pct"/>
            <w:tcBorders>
              <w:bottom w:val="single" w:sz="6" w:space="0" w:color="000000"/>
            </w:tcBorders>
            <w:vAlign w:val="bottom"/>
          </w:tcPr>
          <w:p w14:paraId="4DB67D7C" w14:textId="77777777" w:rsidR="00D83E33" w:rsidRPr="001B330E" w:rsidRDefault="00D83E33" w:rsidP="001B330E">
            <w:pPr>
              <w:widowControl w:val="0"/>
              <w:jc w:val="right"/>
              <w:rPr>
                <w:color w:val="000000"/>
                <w:sz w:val="17"/>
                <w:szCs w:val="17"/>
              </w:rPr>
            </w:pPr>
          </w:p>
        </w:tc>
      </w:tr>
      <w:tr w:rsidR="00D83E33" w:rsidRPr="00D95E75" w14:paraId="2E6FB282" w14:textId="77777777" w:rsidTr="001B330E">
        <w:trPr>
          <w:trHeight w:val="23"/>
        </w:trPr>
        <w:tc>
          <w:tcPr>
            <w:tcW w:w="1364" w:type="pct"/>
            <w:tcBorders>
              <w:top w:val="single" w:sz="6" w:space="0" w:color="000000"/>
            </w:tcBorders>
            <w:vAlign w:val="bottom"/>
          </w:tcPr>
          <w:p w14:paraId="1F9C06DE" w14:textId="77777777" w:rsidR="00D83E33" w:rsidRPr="001B330E" w:rsidRDefault="00D83E33" w:rsidP="001B330E">
            <w:pPr>
              <w:widowControl w:val="0"/>
              <w:ind w:left="113" w:right="-57" w:hanging="113"/>
              <w:rPr>
                <w:color w:val="000000"/>
                <w:sz w:val="17"/>
                <w:szCs w:val="17"/>
              </w:rPr>
            </w:pPr>
          </w:p>
        </w:tc>
        <w:tc>
          <w:tcPr>
            <w:tcW w:w="431" w:type="pct"/>
            <w:tcBorders>
              <w:top w:val="single" w:sz="6" w:space="0" w:color="000000"/>
            </w:tcBorders>
            <w:vAlign w:val="bottom"/>
          </w:tcPr>
          <w:p w14:paraId="3FC027A0" w14:textId="77777777" w:rsidR="00D83E33" w:rsidRPr="001B330E" w:rsidRDefault="00D83E33" w:rsidP="001B330E">
            <w:pPr>
              <w:widowControl w:val="0"/>
              <w:jc w:val="right"/>
              <w:rPr>
                <w:color w:val="000000"/>
                <w:sz w:val="17"/>
                <w:szCs w:val="17"/>
              </w:rPr>
            </w:pPr>
          </w:p>
        </w:tc>
        <w:tc>
          <w:tcPr>
            <w:tcW w:w="517" w:type="pct"/>
            <w:tcBorders>
              <w:top w:val="single" w:sz="6" w:space="0" w:color="000000"/>
            </w:tcBorders>
            <w:vAlign w:val="bottom"/>
          </w:tcPr>
          <w:p w14:paraId="49BCE8B6" w14:textId="77777777" w:rsidR="00D83E33" w:rsidRPr="001B330E" w:rsidRDefault="00D83E33" w:rsidP="001B330E">
            <w:pPr>
              <w:widowControl w:val="0"/>
              <w:jc w:val="right"/>
              <w:rPr>
                <w:color w:val="000000"/>
                <w:sz w:val="17"/>
                <w:szCs w:val="17"/>
              </w:rPr>
            </w:pPr>
          </w:p>
        </w:tc>
        <w:tc>
          <w:tcPr>
            <w:tcW w:w="463" w:type="pct"/>
            <w:tcBorders>
              <w:top w:val="single" w:sz="6" w:space="0" w:color="000000"/>
            </w:tcBorders>
            <w:vAlign w:val="bottom"/>
          </w:tcPr>
          <w:p w14:paraId="6F3861CF" w14:textId="77777777" w:rsidR="00D83E33" w:rsidRPr="001B330E" w:rsidRDefault="00D83E33" w:rsidP="001B330E">
            <w:pPr>
              <w:widowControl w:val="0"/>
              <w:jc w:val="right"/>
              <w:rPr>
                <w:color w:val="000000"/>
                <w:sz w:val="17"/>
                <w:szCs w:val="17"/>
              </w:rPr>
            </w:pPr>
          </w:p>
        </w:tc>
        <w:tc>
          <w:tcPr>
            <w:tcW w:w="423" w:type="pct"/>
            <w:tcBorders>
              <w:top w:val="single" w:sz="6" w:space="0" w:color="000000"/>
            </w:tcBorders>
            <w:vAlign w:val="bottom"/>
          </w:tcPr>
          <w:p w14:paraId="610D3E47" w14:textId="77777777" w:rsidR="00D83E33" w:rsidRPr="001B330E" w:rsidRDefault="00D83E33" w:rsidP="001B330E">
            <w:pPr>
              <w:widowControl w:val="0"/>
              <w:jc w:val="right"/>
              <w:rPr>
                <w:color w:val="000000"/>
                <w:sz w:val="17"/>
                <w:szCs w:val="17"/>
              </w:rPr>
            </w:pPr>
          </w:p>
        </w:tc>
        <w:tc>
          <w:tcPr>
            <w:tcW w:w="423" w:type="pct"/>
            <w:tcBorders>
              <w:top w:val="single" w:sz="6" w:space="0" w:color="000000"/>
            </w:tcBorders>
            <w:vAlign w:val="bottom"/>
          </w:tcPr>
          <w:p w14:paraId="541B2234" w14:textId="77777777" w:rsidR="00D83E33" w:rsidRPr="001B330E" w:rsidRDefault="00D83E33" w:rsidP="001B330E">
            <w:pPr>
              <w:widowControl w:val="0"/>
              <w:jc w:val="right"/>
              <w:rPr>
                <w:color w:val="000000"/>
                <w:sz w:val="17"/>
                <w:szCs w:val="17"/>
              </w:rPr>
            </w:pPr>
          </w:p>
        </w:tc>
        <w:tc>
          <w:tcPr>
            <w:tcW w:w="463" w:type="pct"/>
            <w:tcBorders>
              <w:top w:val="single" w:sz="6" w:space="0" w:color="000000"/>
            </w:tcBorders>
            <w:vAlign w:val="bottom"/>
          </w:tcPr>
          <w:p w14:paraId="2FFBFAC2" w14:textId="77777777" w:rsidR="00D83E33" w:rsidRPr="001B330E" w:rsidRDefault="00D83E33" w:rsidP="001B330E">
            <w:pPr>
              <w:widowControl w:val="0"/>
              <w:jc w:val="right"/>
              <w:rPr>
                <w:color w:val="000000"/>
                <w:sz w:val="17"/>
                <w:szCs w:val="17"/>
              </w:rPr>
            </w:pPr>
          </w:p>
        </w:tc>
        <w:tc>
          <w:tcPr>
            <w:tcW w:w="495" w:type="pct"/>
            <w:tcBorders>
              <w:top w:val="single" w:sz="6" w:space="0" w:color="000000"/>
            </w:tcBorders>
          </w:tcPr>
          <w:p w14:paraId="70CFC475" w14:textId="77777777" w:rsidR="00D83E33" w:rsidRPr="001B330E" w:rsidRDefault="00D83E33" w:rsidP="001B330E">
            <w:pPr>
              <w:widowControl w:val="0"/>
              <w:jc w:val="right"/>
              <w:rPr>
                <w:color w:val="000000"/>
                <w:sz w:val="17"/>
                <w:szCs w:val="17"/>
              </w:rPr>
            </w:pPr>
          </w:p>
        </w:tc>
        <w:tc>
          <w:tcPr>
            <w:tcW w:w="421" w:type="pct"/>
            <w:tcBorders>
              <w:top w:val="single" w:sz="6" w:space="0" w:color="000000"/>
            </w:tcBorders>
            <w:vAlign w:val="bottom"/>
          </w:tcPr>
          <w:p w14:paraId="6DB0B07E" w14:textId="77777777" w:rsidR="00D83E33" w:rsidRPr="001B330E" w:rsidRDefault="00D83E33" w:rsidP="001B330E">
            <w:pPr>
              <w:widowControl w:val="0"/>
              <w:jc w:val="right"/>
              <w:rPr>
                <w:color w:val="000000"/>
                <w:sz w:val="17"/>
                <w:szCs w:val="17"/>
              </w:rPr>
            </w:pPr>
          </w:p>
        </w:tc>
      </w:tr>
      <w:tr w:rsidR="00D83E33" w:rsidRPr="00D95E75" w14:paraId="3DF33E6D" w14:textId="77777777" w:rsidTr="001B330E">
        <w:trPr>
          <w:trHeight w:val="23"/>
        </w:trPr>
        <w:tc>
          <w:tcPr>
            <w:tcW w:w="1364" w:type="pct"/>
            <w:vAlign w:val="bottom"/>
          </w:tcPr>
          <w:p w14:paraId="0E1FEBE3" w14:textId="77777777" w:rsidR="00D83E33" w:rsidRPr="001B330E" w:rsidRDefault="00BC4072" w:rsidP="001B330E">
            <w:pPr>
              <w:widowControl w:val="0"/>
              <w:ind w:left="113" w:right="-57" w:hanging="113"/>
              <w:rPr>
                <w:color w:val="000000"/>
                <w:sz w:val="17"/>
                <w:szCs w:val="17"/>
              </w:rPr>
            </w:pPr>
            <w:r w:rsidRPr="001B330E">
              <w:rPr>
                <w:color w:val="000000"/>
                <w:sz w:val="17"/>
                <w:szCs w:val="17"/>
              </w:rPr>
              <w:t>Unsecured exposures</w:t>
            </w:r>
          </w:p>
        </w:tc>
        <w:tc>
          <w:tcPr>
            <w:tcW w:w="431" w:type="pct"/>
            <w:vAlign w:val="bottom"/>
          </w:tcPr>
          <w:p w14:paraId="79A921F4" w14:textId="77777777" w:rsidR="00D83E33" w:rsidRPr="001B330E" w:rsidRDefault="00D83E33" w:rsidP="001B330E">
            <w:pPr>
              <w:widowControl w:val="0"/>
              <w:jc w:val="right"/>
              <w:rPr>
                <w:color w:val="000000"/>
                <w:sz w:val="17"/>
                <w:szCs w:val="17"/>
              </w:rPr>
            </w:pPr>
          </w:p>
        </w:tc>
        <w:tc>
          <w:tcPr>
            <w:tcW w:w="517" w:type="pct"/>
            <w:vAlign w:val="bottom"/>
          </w:tcPr>
          <w:p w14:paraId="68887A36" w14:textId="77777777" w:rsidR="00D83E33" w:rsidRPr="001B330E" w:rsidRDefault="00D83E33" w:rsidP="001B330E">
            <w:pPr>
              <w:widowControl w:val="0"/>
              <w:jc w:val="right"/>
              <w:rPr>
                <w:color w:val="000000"/>
                <w:sz w:val="17"/>
                <w:szCs w:val="17"/>
              </w:rPr>
            </w:pPr>
          </w:p>
        </w:tc>
        <w:tc>
          <w:tcPr>
            <w:tcW w:w="463" w:type="pct"/>
            <w:vAlign w:val="bottom"/>
          </w:tcPr>
          <w:p w14:paraId="56C54B19" w14:textId="77777777" w:rsidR="00D83E33" w:rsidRPr="001B330E" w:rsidRDefault="00D83E33" w:rsidP="001B330E">
            <w:pPr>
              <w:widowControl w:val="0"/>
              <w:jc w:val="right"/>
              <w:rPr>
                <w:color w:val="000000"/>
                <w:sz w:val="17"/>
                <w:szCs w:val="17"/>
              </w:rPr>
            </w:pPr>
          </w:p>
        </w:tc>
        <w:tc>
          <w:tcPr>
            <w:tcW w:w="423" w:type="pct"/>
            <w:vAlign w:val="bottom"/>
          </w:tcPr>
          <w:p w14:paraId="69DEE3FB" w14:textId="77777777" w:rsidR="00D83E33" w:rsidRPr="001B330E" w:rsidRDefault="00D83E33" w:rsidP="001B330E">
            <w:pPr>
              <w:widowControl w:val="0"/>
              <w:jc w:val="right"/>
              <w:rPr>
                <w:color w:val="000000"/>
                <w:sz w:val="17"/>
                <w:szCs w:val="17"/>
              </w:rPr>
            </w:pPr>
          </w:p>
        </w:tc>
        <w:tc>
          <w:tcPr>
            <w:tcW w:w="423" w:type="pct"/>
            <w:vAlign w:val="bottom"/>
          </w:tcPr>
          <w:p w14:paraId="26DD1596" w14:textId="77777777" w:rsidR="00D83E33" w:rsidRPr="001B330E" w:rsidRDefault="00D83E33" w:rsidP="001B330E">
            <w:pPr>
              <w:widowControl w:val="0"/>
              <w:jc w:val="right"/>
              <w:rPr>
                <w:color w:val="000000"/>
                <w:sz w:val="17"/>
                <w:szCs w:val="17"/>
              </w:rPr>
            </w:pPr>
          </w:p>
        </w:tc>
        <w:tc>
          <w:tcPr>
            <w:tcW w:w="463" w:type="pct"/>
            <w:vAlign w:val="bottom"/>
          </w:tcPr>
          <w:p w14:paraId="0A91E992" w14:textId="77777777" w:rsidR="00D83E33" w:rsidRPr="001B330E" w:rsidRDefault="00D83E33" w:rsidP="001B330E">
            <w:pPr>
              <w:widowControl w:val="0"/>
              <w:jc w:val="right"/>
              <w:rPr>
                <w:color w:val="000000"/>
                <w:sz w:val="17"/>
                <w:szCs w:val="17"/>
              </w:rPr>
            </w:pPr>
          </w:p>
        </w:tc>
        <w:tc>
          <w:tcPr>
            <w:tcW w:w="495" w:type="pct"/>
          </w:tcPr>
          <w:p w14:paraId="1ABA43DC" w14:textId="77777777" w:rsidR="00D83E33" w:rsidRPr="001B330E" w:rsidRDefault="00D83E33" w:rsidP="001B330E">
            <w:pPr>
              <w:widowControl w:val="0"/>
              <w:jc w:val="right"/>
              <w:rPr>
                <w:color w:val="000000"/>
                <w:sz w:val="17"/>
                <w:szCs w:val="17"/>
              </w:rPr>
            </w:pPr>
          </w:p>
        </w:tc>
        <w:tc>
          <w:tcPr>
            <w:tcW w:w="421" w:type="pct"/>
            <w:vAlign w:val="bottom"/>
          </w:tcPr>
          <w:p w14:paraId="76C9FCC6" w14:textId="77777777" w:rsidR="00D83E33" w:rsidRPr="001B330E" w:rsidRDefault="00D83E33" w:rsidP="001B330E">
            <w:pPr>
              <w:widowControl w:val="0"/>
              <w:jc w:val="right"/>
              <w:rPr>
                <w:color w:val="000000"/>
                <w:sz w:val="17"/>
                <w:szCs w:val="17"/>
              </w:rPr>
            </w:pPr>
          </w:p>
        </w:tc>
      </w:tr>
      <w:tr w:rsidR="00D83E33" w:rsidRPr="00D95E75" w14:paraId="469297C6" w14:textId="77777777" w:rsidTr="001B330E">
        <w:trPr>
          <w:trHeight w:val="23"/>
        </w:trPr>
        <w:tc>
          <w:tcPr>
            <w:tcW w:w="1364" w:type="pct"/>
            <w:tcBorders>
              <w:bottom w:val="single" w:sz="6" w:space="0" w:color="000000"/>
            </w:tcBorders>
            <w:vAlign w:val="bottom"/>
          </w:tcPr>
          <w:p w14:paraId="37AEB73C" w14:textId="77777777" w:rsidR="00D83E33" w:rsidRPr="001B330E" w:rsidRDefault="00D83E33" w:rsidP="001B330E">
            <w:pPr>
              <w:widowControl w:val="0"/>
              <w:ind w:left="113" w:right="-57" w:hanging="113"/>
              <w:rPr>
                <w:color w:val="000000"/>
                <w:sz w:val="17"/>
                <w:szCs w:val="17"/>
              </w:rPr>
            </w:pPr>
          </w:p>
        </w:tc>
        <w:tc>
          <w:tcPr>
            <w:tcW w:w="431" w:type="pct"/>
            <w:tcBorders>
              <w:bottom w:val="single" w:sz="6" w:space="0" w:color="000000"/>
            </w:tcBorders>
            <w:vAlign w:val="bottom"/>
          </w:tcPr>
          <w:p w14:paraId="44B85841" w14:textId="77777777" w:rsidR="00D83E33" w:rsidRPr="001B330E" w:rsidRDefault="00D83E33" w:rsidP="001B330E">
            <w:pPr>
              <w:widowControl w:val="0"/>
              <w:jc w:val="right"/>
              <w:rPr>
                <w:color w:val="000000"/>
                <w:sz w:val="17"/>
                <w:szCs w:val="17"/>
              </w:rPr>
            </w:pPr>
          </w:p>
        </w:tc>
        <w:tc>
          <w:tcPr>
            <w:tcW w:w="517" w:type="pct"/>
            <w:tcBorders>
              <w:bottom w:val="single" w:sz="6" w:space="0" w:color="000000"/>
            </w:tcBorders>
            <w:vAlign w:val="bottom"/>
          </w:tcPr>
          <w:p w14:paraId="6F1E9F2F" w14:textId="77777777" w:rsidR="00D83E33" w:rsidRPr="001B330E" w:rsidRDefault="00D83E33" w:rsidP="001B330E">
            <w:pPr>
              <w:widowControl w:val="0"/>
              <w:jc w:val="right"/>
              <w:rPr>
                <w:color w:val="000000"/>
                <w:sz w:val="17"/>
                <w:szCs w:val="17"/>
              </w:rPr>
            </w:pPr>
          </w:p>
        </w:tc>
        <w:tc>
          <w:tcPr>
            <w:tcW w:w="463" w:type="pct"/>
            <w:tcBorders>
              <w:bottom w:val="single" w:sz="6" w:space="0" w:color="000000"/>
            </w:tcBorders>
            <w:vAlign w:val="bottom"/>
          </w:tcPr>
          <w:p w14:paraId="04CDCBA8" w14:textId="77777777" w:rsidR="00D83E33" w:rsidRPr="001B330E" w:rsidRDefault="00D83E33" w:rsidP="001B330E">
            <w:pPr>
              <w:widowControl w:val="0"/>
              <w:jc w:val="right"/>
              <w:rPr>
                <w:color w:val="000000"/>
                <w:sz w:val="17"/>
                <w:szCs w:val="17"/>
              </w:rPr>
            </w:pPr>
          </w:p>
        </w:tc>
        <w:tc>
          <w:tcPr>
            <w:tcW w:w="423" w:type="pct"/>
            <w:tcBorders>
              <w:bottom w:val="single" w:sz="6" w:space="0" w:color="000000"/>
            </w:tcBorders>
            <w:vAlign w:val="bottom"/>
          </w:tcPr>
          <w:p w14:paraId="660AAFFD" w14:textId="77777777" w:rsidR="00D83E33" w:rsidRPr="001B330E" w:rsidRDefault="00D83E33" w:rsidP="001B330E">
            <w:pPr>
              <w:widowControl w:val="0"/>
              <w:jc w:val="right"/>
              <w:rPr>
                <w:color w:val="000000"/>
                <w:sz w:val="17"/>
                <w:szCs w:val="17"/>
              </w:rPr>
            </w:pPr>
          </w:p>
        </w:tc>
        <w:tc>
          <w:tcPr>
            <w:tcW w:w="423" w:type="pct"/>
            <w:tcBorders>
              <w:bottom w:val="single" w:sz="6" w:space="0" w:color="000000"/>
            </w:tcBorders>
            <w:vAlign w:val="bottom"/>
          </w:tcPr>
          <w:p w14:paraId="430E7372" w14:textId="77777777" w:rsidR="00D83E33" w:rsidRPr="001B330E" w:rsidRDefault="00D83E33" w:rsidP="001B330E">
            <w:pPr>
              <w:widowControl w:val="0"/>
              <w:jc w:val="right"/>
              <w:rPr>
                <w:color w:val="000000"/>
                <w:sz w:val="17"/>
                <w:szCs w:val="17"/>
              </w:rPr>
            </w:pPr>
          </w:p>
        </w:tc>
        <w:tc>
          <w:tcPr>
            <w:tcW w:w="463" w:type="pct"/>
            <w:tcBorders>
              <w:bottom w:val="single" w:sz="6" w:space="0" w:color="000000"/>
            </w:tcBorders>
            <w:vAlign w:val="bottom"/>
          </w:tcPr>
          <w:p w14:paraId="1C6FC3E4" w14:textId="77777777" w:rsidR="00D83E33" w:rsidRPr="001B330E" w:rsidRDefault="00D83E33" w:rsidP="001B330E">
            <w:pPr>
              <w:widowControl w:val="0"/>
              <w:jc w:val="right"/>
              <w:rPr>
                <w:color w:val="000000"/>
                <w:sz w:val="17"/>
                <w:szCs w:val="17"/>
              </w:rPr>
            </w:pPr>
          </w:p>
        </w:tc>
        <w:tc>
          <w:tcPr>
            <w:tcW w:w="495" w:type="pct"/>
            <w:tcBorders>
              <w:bottom w:val="single" w:sz="6" w:space="0" w:color="000000"/>
            </w:tcBorders>
          </w:tcPr>
          <w:p w14:paraId="06BAD5C0" w14:textId="77777777" w:rsidR="00D83E33" w:rsidRPr="001B330E" w:rsidRDefault="00D83E33" w:rsidP="001B330E">
            <w:pPr>
              <w:widowControl w:val="0"/>
              <w:jc w:val="right"/>
              <w:rPr>
                <w:color w:val="000000"/>
                <w:sz w:val="17"/>
                <w:szCs w:val="17"/>
              </w:rPr>
            </w:pPr>
          </w:p>
        </w:tc>
        <w:tc>
          <w:tcPr>
            <w:tcW w:w="421" w:type="pct"/>
            <w:tcBorders>
              <w:bottom w:val="single" w:sz="6" w:space="0" w:color="000000"/>
            </w:tcBorders>
            <w:vAlign w:val="bottom"/>
          </w:tcPr>
          <w:p w14:paraId="48A6EB02" w14:textId="77777777" w:rsidR="00D83E33" w:rsidRPr="001B330E" w:rsidRDefault="00D83E33" w:rsidP="001B330E">
            <w:pPr>
              <w:widowControl w:val="0"/>
              <w:jc w:val="right"/>
              <w:rPr>
                <w:color w:val="000000"/>
                <w:sz w:val="17"/>
                <w:szCs w:val="17"/>
              </w:rPr>
            </w:pPr>
          </w:p>
        </w:tc>
      </w:tr>
      <w:tr w:rsidR="00D83E33" w:rsidRPr="00D95E75" w14:paraId="5D04A6A8" w14:textId="77777777" w:rsidTr="001B330E">
        <w:trPr>
          <w:trHeight w:val="23"/>
        </w:trPr>
        <w:tc>
          <w:tcPr>
            <w:tcW w:w="1364" w:type="pct"/>
            <w:tcBorders>
              <w:top w:val="single" w:sz="6" w:space="0" w:color="000000"/>
            </w:tcBorders>
            <w:vAlign w:val="bottom"/>
          </w:tcPr>
          <w:p w14:paraId="00D55DED" w14:textId="77777777" w:rsidR="00D83E33" w:rsidRPr="001B330E" w:rsidRDefault="00D83E33" w:rsidP="001B330E">
            <w:pPr>
              <w:widowControl w:val="0"/>
              <w:ind w:left="113" w:right="-57" w:hanging="113"/>
              <w:rPr>
                <w:color w:val="000000"/>
                <w:sz w:val="17"/>
                <w:szCs w:val="17"/>
              </w:rPr>
            </w:pPr>
          </w:p>
        </w:tc>
        <w:tc>
          <w:tcPr>
            <w:tcW w:w="431" w:type="pct"/>
            <w:tcBorders>
              <w:top w:val="single" w:sz="6" w:space="0" w:color="000000"/>
            </w:tcBorders>
            <w:vAlign w:val="bottom"/>
          </w:tcPr>
          <w:p w14:paraId="1480FC28" w14:textId="77777777" w:rsidR="00D83E33" w:rsidRPr="001B330E" w:rsidRDefault="00D83E33" w:rsidP="001B330E">
            <w:pPr>
              <w:widowControl w:val="0"/>
              <w:jc w:val="right"/>
              <w:rPr>
                <w:color w:val="000000"/>
                <w:sz w:val="17"/>
                <w:szCs w:val="17"/>
              </w:rPr>
            </w:pPr>
          </w:p>
        </w:tc>
        <w:tc>
          <w:tcPr>
            <w:tcW w:w="517" w:type="pct"/>
            <w:tcBorders>
              <w:top w:val="single" w:sz="6" w:space="0" w:color="000000"/>
            </w:tcBorders>
            <w:vAlign w:val="bottom"/>
          </w:tcPr>
          <w:p w14:paraId="335640B5" w14:textId="77777777" w:rsidR="00D83E33" w:rsidRPr="001B330E" w:rsidRDefault="00D83E33" w:rsidP="001B330E">
            <w:pPr>
              <w:widowControl w:val="0"/>
              <w:jc w:val="right"/>
              <w:rPr>
                <w:color w:val="000000"/>
                <w:sz w:val="17"/>
                <w:szCs w:val="17"/>
              </w:rPr>
            </w:pPr>
          </w:p>
        </w:tc>
        <w:tc>
          <w:tcPr>
            <w:tcW w:w="463" w:type="pct"/>
            <w:tcBorders>
              <w:top w:val="single" w:sz="6" w:space="0" w:color="000000"/>
            </w:tcBorders>
            <w:vAlign w:val="bottom"/>
          </w:tcPr>
          <w:p w14:paraId="0EFD2B3F" w14:textId="77777777" w:rsidR="00D83E33" w:rsidRPr="001B330E" w:rsidRDefault="00D83E33" w:rsidP="001B330E">
            <w:pPr>
              <w:widowControl w:val="0"/>
              <w:jc w:val="right"/>
              <w:rPr>
                <w:color w:val="000000"/>
                <w:sz w:val="17"/>
                <w:szCs w:val="17"/>
              </w:rPr>
            </w:pPr>
          </w:p>
        </w:tc>
        <w:tc>
          <w:tcPr>
            <w:tcW w:w="423" w:type="pct"/>
            <w:tcBorders>
              <w:top w:val="single" w:sz="6" w:space="0" w:color="000000"/>
            </w:tcBorders>
            <w:vAlign w:val="bottom"/>
          </w:tcPr>
          <w:p w14:paraId="2170D6A9" w14:textId="77777777" w:rsidR="00D83E33" w:rsidRPr="001B330E" w:rsidRDefault="00D83E33" w:rsidP="001B330E">
            <w:pPr>
              <w:widowControl w:val="0"/>
              <w:jc w:val="right"/>
              <w:rPr>
                <w:color w:val="000000"/>
                <w:sz w:val="17"/>
                <w:szCs w:val="17"/>
              </w:rPr>
            </w:pPr>
          </w:p>
        </w:tc>
        <w:tc>
          <w:tcPr>
            <w:tcW w:w="423" w:type="pct"/>
            <w:tcBorders>
              <w:top w:val="single" w:sz="6" w:space="0" w:color="000000"/>
            </w:tcBorders>
            <w:vAlign w:val="bottom"/>
          </w:tcPr>
          <w:p w14:paraId="00E7C729" w14:textId="77777777" w:rsidR="00D83E33" w:rsidRPr="001B330E" w:rsidRDefault="00D83E33" w:rsidP="001B330E">
            <w:pPr>
              <w:widowControl w:val="0"/>
              <w:jc w:val="right"/>
              <w:rPr>
                <w:color w:val="000000"/>
                <w:sz w:val="17"/>
                <w:szCs w:val="17"/>
              </w:rPr>
            </w:pPr>
          </w:p>
        </w:tc>
        <w:tc>
          <w:tcPr>
            <w:tcW w:w="463" w:type="pct"/>
            <w:tcBorders>
              <w:top w:val="single" w:sz="6" w:space="0" w:color="000000"/>
            </w:tcBorders>
            <w:vAlign w:val="bottom"/>
          </w:tcPr>
          <w:p w14:paraId="56D01CBD" w14:textId="77777777" w:rsidR="00D83E33" w:rsidRPr="001B330E" w:rsidRDefault="00D83E33" w:rsidP="001B330E">
            <w:pPr>
              <w:widowControl w:val="0"/>
              <w:jc w:val="right"/>
              <w:rPr>
                <w:color w:val="000000"/>
                <w:sz w:val="17"/>
                <w:szCs w:val="17"/>
              </w:rPr>
            </w:pPr>
          </w:p>
        </w:tc>
        <w:tc>
          <w:tcPr>
            <w:tcW w:w="495" w:type="pct"/>
            <w:tcBorders>
              <w:top w:val="single" w:sz="6" w:space="0" w:color="000000"/>
            </w:tcBorders>
          </w:tcPr>
          <w:p w14:paraId="08EB60A2" w14:textId="77777777" w:rsidR="00D83E33" w:rsidRPr="001B330E" w:rsidRDefault="00D83E33" w:rsidP="001B330E">
            <w:pPr>
              <w:widowControl w:val="0"/>
              <w:jc w:val="right"/>
              <w:rPr>
                <w:color w:val="000000"/>
                <w:sz w:val="17"/>
                <w:szCs w:val="17"/>
              </w:rPr>
            </w:pPr>
          </w:p>
        </w:tc>
        <w:tc>
          <w:tcPr>
            <w:tcW w:w="421" w:type="pct"/>
            <w:tcBorders>
              <w:top w:val="single" w:sz="6" w:space="0" w:color="000000"/>
            </w:tcBorders>
            <w:vAlign w:val="bottom"/>
          </w:tcPr>
          <w:p w14:paraId="48E6E5A4" w14:textId="77777777" w:rsidR="00D83E33" w:rsidRPr="001B330E" w:rsidRDefault="00D83E33" w:rsidP="001B330E">
            <w:pPr>
              <w:widowControl w:val="0"/>
              <w:jc w:val="right"/>
              <w:rPr>
                <w:color w:val="000000"/>
                <w:sz w:val="17"/>
                <w:szCs w:val="17"/>
              </w:rPr>
            </w:pPr>
          </w:p>
        </w:tc>
      </w:tr>
      <w:tr w:rsidR="00D83E33" w:rsidRPr="00D95E75" w14:paraId="40A994B5" w14:textId="77777777" w:rsidTr="001B330E">
        <w:trPr>
          <w:trHeight w:val="23"/>
        </w:trPr>
        <w:tc>
          <w:tcPr>
            <w:tcW w:w="1364" w:type="pct"/>
            <w:vAlign w:val="bottom"/>
          </w:tcPr>
          <w:p w14:paraId="167A7252" w14:textId="77777777" w:rsidR="00D83E33" w:rsidRPr="001B330E" w:rsidRDefault="00BC4072" w:rsidP="001B330E">
            <w:pPr>
              <w:widowControl w:val="0"/>
              <w:ind w:left="113" w:right="-57" w:hanging="113"/>
              <w:rPr>
                <w:b/>
                <w:color w:val="000000"/>
                <w:sz w:val="17"/>
                <w:szCs w:val="17"/>
              </w:rPr>
            </w:pPr>
            <w:r w:rsidRPr="001B330E">
              <w:rPr>
                <w:b/>
                <w:color w:val="000000"/>
                <w:sz w:val="17"/>
                <w:szCs w:val="17"/>
              </w:rPr>
              <w:t>Total carrying value loans and advances to customers at AC (amount representing exposure to credit risk for each class of loans at AC)</w:t>
            </w:r>
          </w:p>
        </w:tc>
        <w:tc>
          <w:tcPr>
            <w:tcW w:w="431" w:type="pct"/>
            <w:vAlign w:val="bottom"/>
          </w:tcPr>
          <w:p w14:paraId="72806DDB" w14:textId="77777777" w:rsidR="00D83E33" w:rsidRPr="001B330E" w:rsidRDefault="00D83E33" w:rsidP="001B330E">
            <w:pPr>
              <w:widowControl w:val="0"/>
              <w:jc w:val="right"/>
              <w:rPr>
                <w:b/>
                <w:color w:val="000000"/>
                <w:sz w:val="17"/>
                <w:szCs w:val="17"/>
              </w:rPr>
            </w:pPr>
          </w:p>
        </w:tc>
        <w:tc>
          <w:tcPr>
            <w:tcW w:w="517" w:type="pct"/>
            <w:vAlign w:val="bottom"/>
          </w:tcPr>
          <w:p w14:paraId="440361FF" w14:textId="77777777" w:rsidR="00D83E33" w:rsidRPr="001B330E" w:rsidRDefault="00D83E33" w:rsidP="001B330E">
            <w:pPr>
              <w:widowControl w:val="0"/>
              <w:jc w:val="right"/>
              <w:rPr>
                <w:b/>
                <w:color w:val="000000"/>
                <w:sz w:val="17"/>
                <w:szCs w:val="17"/>
              </w:rPr>
            </w:pPr>
          </w:p>
        </w:tc>
        <w:tc>
          <w:tcPr>
            <w:tcW w:w="463" w:type="pct"/>
            <w:vAlign w:val="bottom"/>
          </w:tcPr>
          <w:p w14:paraId="50D33BCB" w14:textId="77777777" w:rsidR="00D83E33" w:rsidRPr="001B330E" w:rsidRDefault="00D83E33" w:rsidP="001B330E">
            <w:pPr>
              <w:widowControl w:val="0"/>
              <w:jc w:val="right"/>
              <w:rPr>
                <w:b/>
                <w:color w:val="000000"/>
                <w:sz w:val="17"/>
                <w:szCs w:val="17"/>
              </w:rPr>
            </w:pPr>
          </w:p>
        </w:tc>
        <w:tc>
          <w:tcPr>
            <w:tcW w:w="423" w:type="pct"/>
            <w:vAlign w:val="bottom"/>
          </w:tcPr>
          <w:p w14:paraId="52A9B183" w14:textId="77777777" w:rsidR="00D83E33" w:rsidRPr="001B330E" w:rsidRDefault="00D83E33" w:rsidP="001B330E">
            <w:pPr>
              <w:widowControl w:val="0"/>
              <w:jc w:val="right"/>
              <w:rPr>
                <w:b/>
                <w:color w:val="000000"/>
                <w:sz w:val="17"/>
                <w:szCs w:val="17"/>
              </w:rPr>
            </w:pPr>
          </w:p>
        </w:tc>
        <w:tc>
          <w:tcPr>
            <w:tcW w:w="423" w:type="pct"/>
            <w:vAlign w:val="bottom"/>
          </w:tcPr>
          <w:p w14:paraId="530BD577" w14:textId="77777777" w:rsidR="00D83E33" w:rsidRPr="001B330E" w:rsidRDefault="00D83E33" w:rsidP="001B330E">
            <w:pPr>
              <w:widowControl w:val="0"/>
              <w:jc w:val="right"/>
              <w:rPr>
                <w:b/>
                <w:color w:val="000000"/>
                <w:sz w:val="17"/>
                <w:szCs w:val="17"/>
              </w:rPr>
            </w:pPr>
          </w:p>
        </w:tc>
        <w:tc>
          <w:tcPr>
            <w:tcW w:w="463" w:type="pct"/>
            <w:vAlign w:val="bottom"/>
          </w:tcPr>
          <w:p w14:paraId="08091F22" w14:textId="77777777" w:rsidR="00D83E33" w:rsidRPr="001B330E" w:rsidRDefault="00D83E33" w:rsidP="001B330E">
            <w:pPr>
              <w:widowControl w:val="0"/>
              <w:jc w:val="right"/>
              <w:rPr>
                <w:b/>
                <w:color w:val="000000"/>
                <w:sz w:val="17"/>
                <w:szCs w:val="17"/>
              </w:rPr>
            </w:pPr>
          </w:p>
        </w:tc>
        <w:tc>
          <w:tcPr>
            <w:tcW w:w="495" w:type="pct"/>
          </w:tcPr>
          <w:p w14:paraId="60FC1A37" w14:textId="77777777" w:rsidR="00D83E33" w:rsidRPr="001B330E" w:rsidRDefault="00D83E33" w:rsidP="001B330E">
            <w:pPr>
              <w:widowControl w:val="0"/>
              <w:jc w:val="right"/>
              <w:rPr>
                <w:b/>
                <w:color w:val="000000"/>
                <w:sz w:val="17"/>
                <w:szCs w:val="17"/>
              </w:rPr>
            </w:pPr>
          </w:p>
        </w:tc>
        <w:tc>
          <w:tcPr>
            <w:tcW w:w="421" w:type="pct"/>
            <w:vAlign w:val="bottom"/>
          </w:tcPr>
          <w:p w14:paraId="42869908" w14:textId="77777777" w:rsidR="00D83E33" w:rsidRPr="001B330E" w:rsidRDefault="00D83E33" w:rsidP="001B330E">
            <w:pPr>
              <w:widowControl w:val="0"/>
              <w:jc w:val="right"/>
              <w:rPr>
                <w:b/>
                <w:color w:val="000000"/>
                <w:sz w:val="17"/>
                <w:szCs w:val="17"/>
              </w:rPr>
            </w:pPr>
          </w:p>
        </w:tc>
      </w:tr>
      <w:tr w:rsidR="00D83E33" w:rsidRPr="00D95E75" w14:paraId="54434FFA" w14:textId="77777777" w:rsidTr="001B330E">
        <w:trPr>
          <w:trHeight w:val="23"/>
        </w:trPr>
        <w:tc>
          <w:tcPr>
            <w:tcW w:w="1364" w:type="pct"/>
            <w:tcBorders>
              <w:bottom w:val="single" w:sz="12" w:space="0" w:color="000000"/>
            </w:tcBorders>
            <w:vAlign w:val="bottom"/>
          </w:tcPr>
          <w:p w14:paraId="44BAC490" w14:textId="77777777" w:rsidR="00D83E33" w:rsidRPr="001B330E" w:rsidRDefault="00D83E33" w:rsidP="001B330E">
            <w:pPr>
              <w:widowControl w:val="0"/>
              <w:ind w:left="113" w:right="-57" w:hanging="113"/>
              <w:rPr>
                <w:b/>
                <w:color w:val="000000"/>
                <w:sz w:val="17"/>
                <w:szCs w:val="17"/>
              </w:rPr>
            </w:pPr>
          </w:p>
        </w:tc>
        <w:tc>
          <w:tcPr>
            <w:tcW w:w="431" w:type="pct"/>
            <w:tcBorders>
              <w:bottom w:val="single" w:sz="12" w:space="0" w:color="000000"/>
            </w:tcBorders>
            <w:vAlign w:val="bottom"/>
          </w:tcPr>
          <w:p w14:paraId="4C1395DD" w14:textId="77777777" w:rsidR="00D83E33" w:rsidRPr="001B330E" w:rsidRDefault="00D83E33" w:rsidP="001B330E">
            <w:pPr>
              <w:widowControl w:val="0"/>
              <w:jc w:val="right"/>
              <w:rPr>
                <w:b/>
                <w:color w:val="000000"/>
                <w:sz w:val="17"/>
                <w:szCs w:val="17"/>
              </w:rPr>
            </w:pPr>
          </w:p>
        </w:tc>
        <w:tc>
          <w:tcPr>
            <w:tcW w:w="517" w:type="pct"/>
            <w:tcBorders>
              <w:bottom w:val="single" w:sz="12" w:space="0" w:color="000000"/>
            </w:tcBorders>
            <w:vAlign w:val="bottom"/>
          </w:tcPr>
          <w:p w14:paraId="2669190D" w14:textId="77777777" w:rsidR="00D83E33" w:rsidRPr="001B330E" w:rsidRDefault="00D83E33" w:rsidP="001B330E">
            <w:pPr>
              <w:widowControl w:val="0"/>
              <w:jc w:val="right"/>
              <w:rPr>
                <w:b/>
                <w:color w:val="000000"/>
                <w:sz w:val="17"/>
                <w:szCs w:val="17"/>
              </w:rPr>
            </w:pPr>
          </w:p>
        </w:tc>
        <w:tc>
          <w:tcPr>
            <w:tcW w:w="463" w:type="pct"/>
            <w:tcBorders>
              <w:bottom w:val="single" w:sz="12" w:space="0" w:color="000000"/>
            </w:tcBorders>
            <w:vAlign w:val="bottom"/>
          </w:tcPr>
          <w:p w14:paraId="28F2D26E" w14:textId="77777777" w:rsidR="00D83E33" w:rsidRPr="001B330E" w:rsidRDefault="00D83E33" w:rsidP="001B330E">
            <w:pPr>
              <w:widowControl w:val="0"/>
              <w:jc w:val="right"/>
              <w:rPr>
                <w:b/>
                <w:color w:val="000000"/>
                <w:sz w:val="17"/>
                <w:szCs w:val="17"/>
              </w:rPr>
            </w:pPr>
          </w:p>
        </w:tc>
        <w:tc>
          <w:tcPr>
            <w:tcW w:w="423" w:type="pct"/>
            <w:tcBorders>
              <w:bottom w:val="single" w:sz="12" w:space="0" w:color="000000"/>
            </w:tcBorders>
            <w:vAlign w:val="bottom"/>
          </w:tcPr>
          <w:p w14:paraId="067F7D1D" w14:textId="77777777" w:rsidR="00D83E33" w:rsidRPr="001B330E" w:rsidRDefault="00D83E33" w:rsidP="001B330E">
            <w:pPr>
              <w:widowControl w:val="0"/>
              <w:jc w:val="right"/>
              <w:rPr>
                <w:b/>
                <w:color w:val="000000"/>
                <w:sz w:val="17"/>
                <w:szCs w:val="17"/>
              </w:rPr>
            </w:pPr>
          </w:p>
        </w:tc>
        <w:tc>
          <w:tcPr>
            <w:tcW w:w="423" w:type="pct"/>
            <w:tcBorders>
              <w:bottom w:val="single" w:sz="12" w:space="0" w:color="000000"/>
            </w:tcBorders>
            <w:vAlign w:val="bottom"/>
          </w:tcPr>
          <w:p w14:paraId="63EF6905" w14:textId="77777777" w:rsidR="00D83E33" w:rsidRPr="001B330E" w:rsidRDefault="00D83E33" w:rsidP="001B330E">
            <w:pPr>
              <w:widowControl w:val="0"/>
              <w:jc w:val="right"/>
              <w:rPr>
                <w:b/>
                <w:color w:val="000000"/>
                <w:sz w:val="17"/>
                <w:szCs w:val="17"/>
              </w:rPr>
            </w:pPr>
          </w:p>
        </w:tc>
        <w:tc>
          <w:tcPr>
            <w:tcW w:w="463" w:type="pct"/>
            <w:tcBorders>
              <w:bottom w:val="single" w:sz="12" w:space="0" w:color="000000"/>
            </w:tcBorders>
            <w:vAlign w:val="bottom"/>
          </w:tcPr>
          <w:p w14:paraId="729CDA73" w14:textId="77777777" w:rsidR="00D83E33" w:rsidRPr="001B330E" w:rsidRDefault="00D83E33" w:rsidP="001B330E">
            <w:pPr>
              <w:widowControl w:val="0"/>
              <w:jc w:val="right"/>
              <w:rPr>
                <w:b/>
                <w:color w:val="000000"/>
                <w:sz w:val="17"/>
                <w:szCs w:val="17"/>
              </w:rPr>
            </w:pPr>
          </w:p>
        </w:tc>
        <w:tc>
          <w:tcPr>
            <w:tcW w:w="495" w:type="pct"/>
            <w:tcBorders>
              <w:bottom w:val="single" w:sz="12" w:space="0" w:color="000000"/>
            </w:tcBorders>
          </w:tcPr>
          <w:p w14:paraId="067574BA" w14:textId="77777777" w:rsidR="00D83E33" w:rsidRPr="001B330E" w:rsidRDefault="00D83E33" w:rsidP="001B330E">
            <w:pPr>
              <w:widowControl w:val="0"/>
              <w:jc w:val="right"/>
              <w:rPr>
                <w:b/>
                <w:color w:val="000000"/>
                <w:sz w:val="17"/>
                <w:szCs w:val="17"/>
              </w:rPr>
            </w:pPr>
          </w:p>
        </w:tc>
        <w:tc>
          <w:tcPr>
            <w:tcW w:w="421" w:type="pct"/>
            <w:tcBorders>
              <w:bottom w:val="single" w:sz="12" w:space="0" w:color="000000"/>
            </w:tcBorders>
            <w:vAlign w:val="bottom"/>
          </w:tcPr>
          <w:p w14:paraId="630BBC4A" w14:textId="77777777" w:rsidR="00D83E33" w:rsidRPr="001B330E" w:rsidRDefault="00D83E33" w:rsidP="001B330E">
            <w:pPr>
              <w:widowControl w:val="0"/>
              <w:jc w:val="right"/>
              <w:rPr>
                <w:b/>
                <w:color w:val="000000"/>
                <w:sz w:val="17"/>
                <w:szCs w:val="17"/>
              </w:rPr>
            </w:pPr>
          </w:p>
        </w:tc>
      </w:tr>
    </w:tbl>
    <w:p w14:paraId="356015A5" w14:textId="731E6328" w:rsidR="00D83E33" w:rsidRPr="001B330E" w:rsidRDefault="00BC4072" w:rsidP="001B330E">
      <w:pPr>
        <w:pStyle w:val="Continued"/>
        <w:spacing w:line="235" w:lineRule="auto"/>
        <w:rPr>
          <w:spacing w:val="-2"/>
        </w:rPr>
      </w:pPr>
      <w:r>
        <w:lastRenderedPageBreak/>
        <w:t>11</w:t>
      </w:r>
      <w:r>
        <w:tab/>
      </w:r>
      <w:r w:rsidRPr="001B330E">
        <w:rPr>
          <w:spacing w:val="-2"/>
        </w:rPr>
        <w:t>Loans and Advances to Customers (Continued)</w:t>
      </w:r>
    </w:p>
    <w:p w14:paraId="422B1D07" w14:textId="77DE1BB6" w:rsidR="00D83E33" w:rsidRPr="001B330E" w:rsidRDefault="00BC4072" w:rsidP="001B330E">
      <w:pPr>
        <w:widowControl w:val="0"/>
        <w:pBdr>
          <w:top w:val="nil"/>
          <w:left w:val="nil"/>
          <w:bottom w:val="nil"/>
          <w:right w:val="nil"/>
          <w:between w:val="nil"/>
        </w:pBdr>
        <w:spacing w:before="200" w:after="200" w:line="235" w:lineRule="auto"/>
        <w:jc w:val="both"/>
        <w:rPr>
          <w:i/>
          <w:color w:val="FF0000"/>
          <w:spacing w:val="-2"/>
          <w:sz w:val="20"/>
          <w:szCs w:val="20"/>
        </w:rPr>
      </w:pPr>
      <w:r w:rsidRPr="001B330E">
        <w:rPr>
          <w:color w:val="000000"/>
          <w:spacing w:val="-2"/>
          <w:sz w:val="20"/>
          <w:szCs w:val="20"/>
        </w:rPr>
        <w:t>Information about collateral of loans to individuals carried at amortised cost is as follows at 31</w:t>
      </w:r>
      <w:r w:rsidR="00181687">
        <w:rPr>
          <w:color w:val="000000"/>
          <w:spacing w:val="-2"/>
          <w:sz w:val="20"/>
          <w:szCs w:val="20"/>
        </w:rPr>
        <w:t> December </w:t>
      </w:r>
      <w:r w:rsidR="00541EBC">
        <w:rPr>
          <w:color w:val="000000"/>
          <w:spacing w:val="-2"/>
          <w:sz w:val="20"/>
          <w:szCs w:val="20"/>
        </w:rPr>
        <w:t>2023</w:t>
      </w:r>
      <w:r w:rsidRPr="001B330E">
        <w:rPr>
          <w:color w:val="000000"/>
          <w:spacing w:val="-2"/>
          <w:sz w:val="20"/>
          <w:szCs w:val="20"/>
        </w:rPr>
        <w:t>:</w:t>
      </w:r>
    </w:p>
    <w:tbl>
      <w:tblPr>
        <w:tblStyle w:val="afffffd"/>
        <w:tblW w:w="5000" w:type="pct"/>
        <w:tblLayout w:type="fixed"/>
        <w:tblLook w:val="0000" w:firstRow="0" w:lastRow="0" w:firstColumn="0" w:lastColumn="0" w:noHBand="0" w:noVBand="0"/>
      </w:tblPr>
      <w:tblGrid>
        <w:gridCol w:w="2919"/>
        <w:gridCol w:w="1287"/>
        <w:gridCol w:w="1287"/>
        <w:gridCol w:w="1287"/>
        <w:gridCol w:w="1441"/>
        <w:gridCol w:w="1134"/>
      </w:tblGrid>
      <w:tr w:rsidR="00D83E33" w:rsidRPr="009C6EFA" w14:paraId="19A86965" w14:textId="77777777" w:rsidTr="001B330E">
        <w:trPr>
          <w:trHeight w:val="23"/>
        </w:trPr>
        <w:tc>
          <w:tcPr>
            <w:tcW w:w="1560" w:type="pct"/>
            <w:tcBorders>
              <w:bottom w:val="single" w:sz="6" w:space="0" w:color="000000"/>
            </w:tcBorders>
            <w:vAlign w:val="bottom"/>
          </w:tcPr>
          <w:p w14:paraId="0B057754" w14:textId="6E25A0C2" w:rsidR="00D83E33" w:rsidRPr="001B330E" w:rsidRDefault="00313B4D" w:rsidP="001B330E">
            <w:pPr>
              <w:widowControl w:val="0"/>
              <w:spacing w:line="235" w:lineRule="auto"/>
              <w:ind w:left="113" w:right="-113" w:hanging="113"/>
              <w:rPr>
                <w:i/>
                <w:color w:val="000000"/>
                <w:spacing w:val="-2"/>
              </w:rPr>
            </w:pPr>
            <w:r>
              <w:rPr>
                <w:i/>
                <w:color w:val="000000"/>
                <w:spacing w:val="-2"/>
              </w:rPr>
              <w:t xml:space="preserve">In thousands of </w:t>
            </w:r>
            <w:r w:rsidR="002649EE">
              <w:rPr>
                <w:i/>
                <w:color w:val="000000"/>
                <w:spacing w:val="-2"/>
              </w:rPr>
              <w:t>EUR</w:t>
            </w:r>
          </w:p>
        </w:tc>
        <w:tc>
          <w:tcPr>
            <w:tcW w:w="688" w:type="pct"/>
            <w:tcBorders>
              <w:bottom w:val="single" w:sz="6" w:space="0" w:color="000000"/>
            </w:tcBorders>
          </w:tcPr>
          <w:p w14:paraId="6BBF8690" w14:textId="77777777" w:rsidR="00D83E33" w:rsidRPr="001B330E" w:rsidRDefault="00BC4072" w:rsidP="001B330E">
            <w:pPr>
              <w:widowControl w:val="0"/>
              <w:spacing w:line="235" w:lineRule="auto"/>
              <w:jc w:val="right"/>
              <w:rPr>
                <w:b/>
                <w:color w:val="000000"/>
                <w:spacing w:val="-2"/>
              </w:rPr>
            </w:pPr>
            <w:r w:rsidRPr="001B330E">
              <w:rPr>
                <w:b/>
                <w:color w:val="000000"/>
                <w:spacing w:val="-2"/>
              </w:rPr>
              <w:t>Mortgage loans</w:t>
            </w:r>
          </w:p>
        </w:tc>
        <w:tc>
          <w:tcPr>
            <w:tcW w:w="688" w:type="pct"/>
            <w:tcBorders>
              <w:bottom w:val="single" w:sz="6" w:space="0" w:color="000000"/>
            </w:tcBorders>
          </w:tcPr>
          <w:p w14:paraId="2D9A333B" w14:textId="77777777" w:rsidR="00D83E33" w:rsidRPr="001B330E" w:rsidRDefault="00BC4072" w:rsidP="001B330E">
            <w:pPr>
              <w:widowControl w:val="0"/>
              <w:spacing w:line="235" w:lineRule="auto"/>
              <w:jc w:val="right"/>
              <w:rPr>
                <w:b/>
                <w:color w:val="000000"/>
                <w:spacing w:val="-2"/>
              </w:rPr>
            </w:pPr>
            <w:r w:rsidRPr="001B330E">
              <w:rPr>
                <w:b/>
                <w:color w:val="000000"/>
                <w:spacing w:val="-2"/>
              </w:rPr>
              <w:t>Consumer loans</w:t>
            </w:r>
          </w:p>
        </w:tc>
        <w:tc>
          <w:tcPr>
            <w:tcW w:w="688" w:type="pct"/>
            <w:tcBorders>
              <w:bottom w:val="single" w:sz="6" w:space="0" w:color="000000"/>
            </w:tcBorders>
          </w:tcPr>
          <w:p w14:paraId="0FAC2E16" w14:textId="77777777" w:rsidR="00D83E33" w:rsidRPr="001B330E" w:rsidRDefault="00BC4072" w:rsidP="001B330E">
            <w:pPr>
              <w:widowControl w:val="0"/>
              <w:spacing w:line="235" w:lineRule="auto"/>
              <w:jc w:val="right"/>
              <w:rPr>
                <w:b/>
                <w:color w:val="000000"/>
                <w:spacing w:val="-2"/>
              </w:rPr>
            </w:pPr>
            <w:r w:rsidRPr="001B330E">
              <w:rPr>
                <w:b/>
                <w:color w:val="000000"/>
                <w:spacing w:val="-2"/>
              </w:rPr>
              <w:t>Car loans</w:t>
            </w:r>
          </w:p>
        </w:tc>
        <w:tc>
          <w:tcPr>
            <w:tcW w:w="770" w:type="pct"/>
            <w:tcBorders>
              <w:bottom w:val="single" w:sz="6" w:space="0" w:color="000000"/>
            </w:tcBorders>
          </w:tcPr>
          <w:p w14:paraId="5B70B8B0" w14:textId="59C9C8DA" w:rsidR="00D83E33" w:rsidRPr="001B330E" w:rsidRDefault="00BC4072" w:rsidP="001B330E">
            <w:pPr>
              <w:widowControl w:val="0"/>
              <w:spacing w:line="235" w:lineRule="auto"/>
              <w:jc w:val="right"/>
              <w:rPr>
                <w:b/>
                <w:color w:val="000000"/>
                <w:spacing w:val="-2"/>
              </w:rPr>
            </w:pPr>
            <w:r w:rsidRPr="001B330E">
              <w:rPr>
                <w:b/>
                <w:spacing w:val="-2"/>
              </w:rPr>
              <w:t>Credit cards</w:t>
            </w:r>
            <w:r w:rsidRPr="001B330E">
              <w:rPr>
                <w:spacing w:val="-2"/>
              </w:rPr>
              <w:t xml:space="preserve"> </w:t>
            </w:r>
          </w:p>
        </w:tc>
        <w:tc>
          <w:tcPr>
            <w:tcW w:w="606" w:type="pct"/>
            <w:tcBorders>
              <w:bottom w:val="single" w:sz="6" w:space="0" w:color="000000"/>
            </w:tcBorders>
          </w:tcPr>
          <w:p w14:paraId="0E6A28B5" w14:textId="77777777" w:rsidR="00D83E33" w:rsidRPr="001B330E" w:rsidRDefault="00BC4072" w:rsidP="001B330E">
            <w:pPr>
              <w:widowControl w:val="0"/>
              <w:spacing w:line="235" w:lineRule="auto"/>
              <w:jc w:val="right"/>
              <w:rPr>
                <w:b/>
                <w:color w:val="000000"/>
                <w:spacing w:val="-2"/>
              </w:rPr>
            </w:pPr>
            <w:r w:rsidRPr="001B330E">
              <w:rPr>
                <w:b/>
                <w:color w:val="000000"/>
                <w:spacing w:val="-2"/>
              </w:rPr>
              <w:t>Total</w:t>
            </w:r>
          </w:p>
        </w:tc>
      </w:tr>
      <w:tr w:rsidR="00D83E33" w:rsidRPr="009C6EFA" w14:paraId="713B3773" w14:textId="77777777" w:rsidTr="001B330E">
        <w:trPr>
          <w:trHeight w:val="23"/>
        </w:trPr>
        <w:tc>
          <w:tcPr>
            <w:tcW w:w="1560" w:type="pct"/>
            <w:tcBorders>
              <w:top w:val="single" w:sz="6" w:space="0" w:color="000000"/>
            </w:tcBorders>
            <w:vAlign w:val="bottom"/>
          </w:tcPr>
          <w:p w14:paraId="6CDFFFA9" w14:textId="77777777" w:rsidR="00D83E33" w:rsidRPr="001B330E" w:rsidRDefault="00D83E33" w:rsidP="001B330E">
            <w:pPr>
              <w:widowControl w:val="0"/>
              <w:spacing w:line="235" w:lineRule="auto"/>
              <w:ind w:left="113" w:right="-113" w:hanging="113"/>
              <w:rPr>
                <w:b/>
                <w:color w:val="000000"/>
                <w:spacing w:val="-2"/>
              </w:rPr>
            </w:pPr>
          </w:p>
        </w:tc>
        <w:tc>
          <w:tcPr>
            <w:tcW w:w="688" w:type="pct"/>
            <w:tcBorders>
              <w:top w:val="single" w:sz="6" w:space="0" w:color="000000"/>
            </w:tcBorders>
            <w:vAlign w:val="bottom"/>
          </w:tcPr>
          <w:p w14:paraId="685FEA88" w14:textId="77777777" w:rsidR="00D83E33" w:rsidRPr="001B330E" w:rsidRDefault="00D83E33" w:rsidP="001B330E">
            <w:pPr>
              <w:widowControl w:val="0"/>
              <w:spacing w:line="235" w:lineRule="auto"/>
              <w:jc w:val="right"/>
              <w:rPr>
                <w:b/>
                <w:color w:val="000000"/>
                <w:spacing w:val="-2"/>
              </w:rPr>
            </w:pPr>
          </w:p>
        </w:tc>
        <w:tc>
          <w:tcPr>
            <w:tcW w:w="688" w:type="pct"/>
            <w:tcBorders>
              <w:top w:val="single" w:sz="6" w:space="0" w:color="000000"/>
            </w:tcBorders>
            <w:vAlign w:val="bottom"/>
          </w:tcPr>
          <w:p w14:paraId="42B5523A" w14:textId="77777777" w:rsidR="00D83E33" w:rsidRPr="001B330E" w:rsidRDefault="00D83E33" w:rsidP="001B330E">
            <w:pPr>
              <w:widowControl w:val="0"/>
              <w:spacing w:line="235" w:lineRule="auto"/>
              <w:jc w:val="right"/>
              <w:rPr>
                <w:b/>
                <w:color w:val="000000"/>
                <w:spacing w:val="-2"/>
              </w:rPr>
            </w:pPr>
          </w:p>
        </w:tc>
        <w:tc>
          <w:tcPr>
            <w:tcW w:w="688" w:type="pct"/>
            <w:tcBorders>
              <w:top w:val="single" w:sz="6" w:space="0" w:color="000000"/>
            </w:tcBorders>
            <w:vAlign w:val="bottom"/>
          </w:tcPr>
          <w:p w14:paraId="41204759" w14:textId="77777777" w:rsidR="00D83E33" w:rsidRPr="001B330E" w:rsidRDefault="00D83E33" w:rsidP="001B330E">
            <w:pPr>
              <w:widowControl w:val="0"/>
              <w:spacing w:line="235" w:lineRule="auto"/>
              <w:jc w:val="right"/>
              <w:rPr>
                <w:b/>
                <w:color w:val="000000"/>
                <w:spacing w:val="-2"/>
              </w:rPr>
            </w:pPr>
          </w:p>
        </w:tc>
        <w:tc>
          <w:tcPr>
            <w:tcW w:w="770" w:type="pct"/>
            <w:tcBorders>
              <w:top w:val="single" w:sz="6" w:space="0" w:color="000000"/>
            </w:tcBorders>
            <w:vAlign w:val="bottom"/>
          </w:tcPr>
          <w:p w14:paraId="0E5DF7BA" w14:textId="77777777" w:rsidR="00D83E33" w:rsidRPr="001B330E" w:rsidRDefault="00D83E33" w:rsidP="001B330E">
            <w:pPr>
              <w:widowControl w:val="0"/>
              <w:spacing w:line="235" w:lineRule="auto"/>
              <w:jc w:val="right"/>
              <w:rPr>
                <w:b/>
                <w:color w:val="000000"/>
                <w:spacing w:val="-2"/>
              </w:rPr>
            </w:pPr>
          </w:p>
        </w:tc>
        <w:tc>
          <w:tcPr>
            <w:tcW w:w="606" w:type="pct"/>
            <w:tcBorders>
              <w:top w:val="single" w:sz="6" w:space="0" w:color="000000"/>
            </w:tcBorders>
            <w:vAlign w:val="bottom"/>
          </w:tcPr>
          <w:p w14:paraId="45F55E9B" w14:textId="77777777" w:rsidR="00D83E33" w:rsidRPr="001B330E" w:rsidRDefault="00D83E33" w:rsidP="001B330E">
            <w:pPr>
              <w:widowControl w:val="0"/>
              <w:spacing w:line="235" w:lineRule="auto"/>
              <w:jc w:val="right"/>
              <w:rPr>
                <w:b/>
                <w:color w:val="000000"/>
                <w:spacing w:val="-2"/>
              </w:rPr>
            </w:pPr>
          </w:p>
        </w:tc>
      </w:tr>
      <w:tr w:rsidR="00D83E33" w:rsidRPr="009C6EFA" w14:paraId="1655E11B" w14:textId="77777777" w:rsidTr="001B330E">
        <w:trPr>
          <w:trHeight w:val="23"/>
        </w:trPr>
        <w:tc>
          <w:tcPr>
            <w:tcW w:w="1560" w:type="pct"/>
            <w:vAlign w:val="bottom"/>
          </w:tcPr>
          <w:p w14:paraId="07CB1A23"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Loans guaranteed by other banks</w:t>
            </w:r>
          </w:p>
        </w:tc>
        <w:tc>
          <w:tcPr>
            <w:tcW w:w="688" w:type="pct"/>
            <w:vAlign w:val="bottom"/>
          </w:tcPr>
          <w:p w14:paraId="15B65ECC"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105F86CA"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3BC29C38"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33EFE9F6"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15EF3F23" w14:textId="77777777" w:rsidR="00D83E33" w:rsidRPr="001B330E" w:rsidRDefault="00D83E33" w:rsidP="001B330E">
            <w:pPr>
              <w:widowControl w:val="0"/>
              <w:spacing w:line="235" w:lineRule="auto"/>
              <w:jc w:val="right"/>
              <w:rPr>
                <w:color w:val="000000"/>
                <w:spacing w:val="-2"/>
              </w:rPr>
            </w:pPr>
          </w:p>
        </w:tc>
      </w:tr>
      <w:tr w:rsidR="00D83E33" w:rsidRPr="009C6EFA" w14:paraId="3C013033" w14:textId="77777777" w:rsidTr="001B330E">
        <w:trPr>
          <w:trHeight w:val="23"/>
        </w:trPr>
        <w:tc>
          <w:tcPr>
            <w:tcW w:w="1560" w:type="pct"/>
            <w:vAlign w:val="bottom"/>
          </w:tcPr>
          <w:p w14:paraId="77A995E8"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Loans guaranteed by other parties, including credit insurance</w:t>
            </w:r>
          </w:p>
        </w:tc>
        <w:tc>
          <w:tcPr>
            <w:tcW w:w="688" w:type="pct"/>
            <w:vAlign w:val="bottom"/>
          </w:tcPr>
          <w:p w14:paraId="3FE8E1F6"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64317DCC"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59B3D65F"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6333DD7D"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57C50297" w14:textId="77777777" w:rsidR="00D83E33" w:rsidRPr="001B330E" w:rsidRDefault="00D83E33" w:rsidP="001B330E">
            <w:pPr>
              <w:widowControl w:val="0"/>
              <w:spacing w:line="235" w:lineRule="auto"/>
              <w:jc w:val="right"/>
              <w:rPr>
                <w:color w:val="000000"/>
                <w:spacing w:val="-2"/>
              </w:rPr>
            </w:pPr>
          </w:p>
        </w:tc>
      </w:tr>
      <w:tr w:rsidR="00D83E33" w:rsidRPr="009C6EFA" w14:paraId="56E65083" w14:textId="77777777" w:rsidTr="001B330E">
        <w:trPr>
          <w:trHeight w:val="23"/>
        </w:trPr>
        <w:tc>
          <w:tcPr>
            <w:tcW w:w="1560" w:type="pct"/>
            <w:vAlign w:val="bottom"/>
          </w:tcPr>
          <w:p w14:paraId="14A2EA19"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 xml:space="preserve">Loans collateralised by: </w:t>
            </w:r>
          </w:p>
        </w:tc>
        <w:tc>
          <w:tcPr>
            <w:tcW w:w="688" w:type="pct"/>
            <w:vAlign w:val="bottom"/>
          </w:tcPr>
          <w:p w14:paraId="48FB8531"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743186E8"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2B1177E1"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5830C77B"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6261A43B" w14:textId="77777777" w:rsidR="00D83E33" w:rsidRPr="001B330E" w:rsidRDefault="00D83E33" w:rsidP="001B330E">
            <w:pPr>
              <w:widowControl w:val="0"/>
              <w:spacing w:line="235" w:lineRule="auto"/>
              <w:jc w:val="right"/>
              <w:rPr>
                <w:color w:val="000000"/>
                <w:spacing w:val="-2"/>
              </w:rPr>
            </w:pPr>
          </w:p>
        </w:tc>
      </w:tr>
      <w:tr w:rsidR="00D83E33" w:rsidRPr="009C6EFA" w14:paraId="5E63C89D" w14:textId="77777777" w:rsidTr="001B330E">
        <w:trPr>
          <w:trHeight w:val="23"/>
        </w:trPr>
        <w:tc>
          <w:tcPr>
            <w:tcW w:w="1560" w:type="pct"/>
            <w:vAlign w:val="bottom"/>
          </w:tcPr>
          <w:p w14:paraId="5CAB8CB4"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 residential real estate</w:t>
            </w:r>
          </w:p>
        </w:tc>
        <w:tc>
          <w:tcPr>
            <w:tcW w:w="688" w:type="pct"/>
            <w:vAlign w:val="bottom"/>
          </w:tcPr>
          <w:p w14:paraId="3C41AA6F"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3E344462"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76303831"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32E8B2C7"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241F4341" w14:textId="77777777" w:rsidR="00D83E33" w:rsidRPr="001B330E" w:rsidRDefault="00D83E33" w:rsidP="001B330E">
            <w:pPr>
              <w:widowControl w:val="0"/>
              <w:spacing w:line="235" w:lineRule="auto"/>
              <w:jc w:val="right"/>
              <w:rPr>
                <w:color w:val="000000"/>
                <w:spacing w:val="-2"/>
              </w:rPr>
            </w:pPr>
          </w:p>
        </w:tc>
      </w:tr>
      <w:tr w:rsidR="00D83E33" w:rsidRPr="009C6EFA" w14:paraId="2ACC6AC2" w14:textId="77777777" w:rsidTr="001B330E">
        <w:trPr>
          <w:trHeight w:val="23"/>
        </w:trPr>
        <w:tc>
          <w:tcPr>
            <w:tcW w:w="1560" w:type="pct"/>
            <w:vAlign w:val="bottom"/>
          </w:tcPr>
          <w:p w14:paraId="35140B1F"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 other real estate</w:t>
            </w:r>
          </w:p>
        </w:tc>
        <w:tc>
          <w:tcPr>
            <w:tcW w:w="688" w:type="pct"/>
            <w:vAlign w:val="bottom"/>
          </w:tcPr>
          <w:p w14:paraId="5CFB872A"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387D4D78"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3A11CE0F"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581AEAA4"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1BA88393" w14:textId="77777777" w:rsidR="00D83E33" w:rsidRPr="001B330E" w:rsidRDefault="00D83E33" w:rsidP="001B330E">
            <w:pPr>
              <w:widowControl w:val="0"/>
              <w:spacing w:line="235" w:lineRule="auto"/>
              <w:jc w:val="right"/>
              <w:rPr>
                <w:color w:val="000000"/>
                <w:spacing w:val="-2"/>
              </w:rPr>
            </w:pPr>
          </w:p>
        </w:tc>
      </w:tr>
      <w:tr w:rsidR="00D83E33" w:rsidRPr="009C6EFA" w14:paraId="426C6DB4" w14:textId="77777777" w:rsidTr="001B330E">
        <w:trPr>
          <w:trHeight w:val="23"/>
        </w:trPr>
        <w:tc>
          <w:tcPr>
            <w:tcW w:w="1560" w:type="pct"/>
            <w:vAlign w:val="bottom"/>
          </w:tcPr>
          <w:p w14:paraId="7F284B78"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 tradable securities</w:t>
            </w:r>
          </w:p>
        </w:tc>
        <w:tc>
          <w:tcPr>
            <w:tcW w:w="688" w:type="pct"/>
            <w:vAlign w:val="bottom"/>
          </w:tcPr>
          <w:p w14:paraId="47E4473C"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1B8DA064"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234EDCC5"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23782D23"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54685AB3" w14:textId="77777777" w:rsidR="00D83E33" w:rsidRPr="001B330E" w:rsidRDefault="00D83E33" w:rsidP="001B330E">
            <w:pPr>
              <w:widowControl w:val="0"/>
              <w:spacing w:line="235" w:lineRule="auto"/>
              <w:jc w:val="right"/>
              <w:rPr>
                <w:color w:val="000000"/>
                <w:spacing w:val="-2"/>
              </w:rPr>
            </w:pPr>
          </w:p>
        </w:tc>
      </w:tr>
      <w:tr w:rsidR="00D83E33" w:rsidRPr="009C6EFA" w14:paraId="3780A048" w14:textId="77777777" w:rsidTr="001B330E">
        <w:trPr>
          <w:trHeight w:val="23"/>
        </w:trPr>
        <w:tc>
          <w:tcPr>
            <w:tcW w:w="1560" w:type="pct"/>
            <w:vAlign w:val="bottom"/>
          </w:tcPr>
          <w:p w14:paraId="54B962B6"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 cash deposits</w:t>
            </w:r>
          </w:p>
        </w:tc>
        <w:tc>
          <w:tcPr>
            <w:tcW w:w="688" w:type="pct"/>
            <w:vAlign w:val="bottom"/>
          </w:tcPr>
          <w:p w14:paraId="670CD587"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72688E15"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301FA701"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49569014"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18E22A62" w14:textId="77777777" w:rsidR="00D83E33" w:rsidRPr="001B330E" w:rsidRDefault="00D83E33" w:rsidP="001B330E">
            <w:pPr>
              <w:widowControl w:val="0"/>
              <w:spacing w:line="235" w:lineRule="auto"/>
              <w:jc w:val="right"/>
              <w:rPr>
                <w:color w:val="000000"/>
                <w:spacing w:val="-2"/>
              </w:rPr>
            </w:pPr>
          </w:p>
        </w:tc>
      </w:tr>
      <w:tr w:rsidR="00D83E33" w:rsidRPr="009C6EFA" w14:paraId="1483A8F9" w14:textId="77777777" w:rsidTr="001B330E">
        <w:trPr>
          <w:trHeight w:val="23"/>
        </w:trPr>
        <w:tc>
          <w:tcPr>
            <w:tcW w:w="1560" w:type="pct"/>
            <w:vAlign w:val="bottom"/>
          </w:tcPr>
          <w:p w14:paraId="5C91CA37"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 other assets</w:t>
            </w:r>
          </w:p>
        </w:tc>
        <w:tc>
          <w:tcPr>
            <w:tcW w:w="688" w:type="pct"/>
            <w:vAlign w:val="bottom"/>
          </w:tcPr>
          <w:p w14:paraId="60077493"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19100804"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1710486A"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66B6BE82"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0BB75D51" w14:textId="77777777" w:rsidR="00D83E33" w:rsidRPr="001B330E" w:rsidRDefault="00D83E33" w:rsidP="001B330E">
            <w:pPr>
              <w:widowControl w:val="0"/>
              <w:spacing w:line="235" w:lineRule="auto"/>
              <w:jc w:val="right"/>
              <w:rPr>
                <w:color w:val="000000"/>
                <w:spacing w:val="-2"/>
              </w:rPr>
            </w:pPr>
          </w:p>
        </w:tc>
      </w:tr>
      <w:tr w:rsidR="00D83E33" w:rsidRPr="009C6EFA" w14:paraId="13FD500E" w14:textId="77777777" w:rsidTr="001B330E">
        <w:trPr>
          <w:trHeight w:val="23"/>
        </w:trPr>
        <w:tc>
          <w:tcPr>
            <w:tcW w:w="1560" w:type="pct"/>
            <w:tcBorders>
              <w:bottom w:val="single" w:sz="6" w:space="0" w:color="000000"/>
            </w:tcBorders>
            <w:vAlign w:val="bottom"/>
          </w:tcPr>
          <w:p w14:paraId="19F602F2" w14:textId="77777777" w:rsidR="00D83E33" w:rsidRPr="001B330E" w:rsidRDefault="00D83E33" w:rsidP="001B330E">
            <w:pPr>
              <w:widowControl w:val="0"/>
              <w:spacing w:line="235" w:lineRule="auto"/>
              <w:ind w:left="113" w:right="-113" w:hanging="113"/>
              <w:rPr>
                <w:color w:val="000000"/>
                <w:spacing w:val="-2"/>
              </w:rPr>
            </w:pPr>
          </w:p>
        </w:tc>
        <w:tc>
          <w:tcPr>
            <w:tcW w:w="688" w:type="pct"/>
            <w:tcBorders>
              <w:bottom w:val="single" w:sz="6" w:space="0" w:color="000000"/>
            </w:tcBorders>
            <w:vAlign w:val="bottom"/>
          </w:tcPr>
          <w:p w14:paraId="0DDBB105" w14:textId="77777777" w:rsidR="00D83E33" w:rsidRPr="001B330E" w:rsidRDefault="00D83E33" w:rsidP="001B330E">
            <w:pPr>
              <w:widowControl w:val="0"/>
              <w:spacing w:line="235" w:lineRule="auto"/>
              <w:jc w:val="right"/>
              <w:rPr>
                <w:color w:val="000000"/>
                <w:spacing w:val="-2"/>
              </w:rPr>
            </w:pPr>
          </w:p>
        </w:tc>
        <w:tc>
          <w:tcPr>
            <w:tcW w:w="688" w:type="pct"/>
            <w:tcBorders>
              <w:bottom w:val="single" w:sz="6" w:space="0" w:color="000000"/>
            </w:tcBorders>
            <w:vAlign w:val="bottom"/>
          </w:tcPr>
          <w:p w14:paraId="4022BBA6" w14:textId="77777777" w:rsidR="00D83E33" w:rsidRPr="001B330E" w:rsidRDefault="00D83E33" w:rsidP="001B330E">
            <w:pPr>
              <w:widowControl w:val="0"/>
              <w:spacing w:line="235" w:lineRule="auto"/>
              <w:jc w:val="right"/>
              <w:rPr>
                <w:color w:val="000000"/>
                <w:spacing w:val="-2"/>
              </w:rPr>
            </w:pPr>
          </w:p>
        </w:tc>
        <w:tc>
          <w:tcPr>
            <w:tcW w:w="688" w:type="pct"/>
            <w:tcBorders>
              <w:bottom w:val="single" w:sz="6" w:space="0" w:color="000000"/>
            </w:tcBorders>
            <w:vAlign w:val="bottom"/>
          </w:tcPr>
          <w:p w14:paraId="0F8596F0" w14:textId="77777777" w:rsidR="00D83E33" w:rsidRPr="001B330E" w:rsidRDefault="00D83E33" w:rsidP="001B330E">
            <w:pPr>
              <w:widowControl w:val="0"/>
              <w:spacing w:line="235" w:lineRule="auto"/>
              <w:jc w:val="right"/>
              <w:rPr>
                <w:color w:val="000000"/>
                <w:spacing w:val="-2"/>
              </w:rPr>
            </w:pPr>
          </w:p>
        </w:tc>
        <w:tc>
          <w:tcPr>
            <w:tcW w:w="770" w:type="pct"/>
            <w:tcBorders>
              <w:bottom w:val="single" w:sz="6" w:space="0" w:color="000000"/>
            </w:tcBorders>
            <w:vAlign w:val="bottom"/>
          </w:tcPr>
          <w:p w14:paraId="12FC418B" w14:textId="77777777" w:rsidR="00D83E33" w:rsidRPr="001B330E" w:rsidRDefault="00D83E33" w:rsidP="001B330E">
            <w:pPr>
              <w:widowControl w:val="0"/>
              <w:spacing w:line="235" w:lineRule="auto"/>
              <w:jc w:val="right"/>
              <w:rPr>
                <w:color w:val="000000"/>
                <w:spacing w:val="-2"/>
              </w:rPr>
            </w:pPr>
          </w:p>
        </w:tc>
        <w:tc>
          <w:tcPr>
            <w:tcW w:w="606" w:type="pct"/>
            <w:tcBorders>
              <w:bottom w:val="single" w:sz="6" w:space="0" w:color="000000"/>
            </w:tcBorders>
            <w:vAlign w:val="bottom"/>
          </w:tcPr>
          <w:p w14:paraId="726B287E" w14:textId="77777777" w:rsidR="00D83E33" w:rsidRPr="001B330E" w:rsidRDefault="00D83E33" w:rsidP="001B330E">
            <w:pPr>
              <w:widowControl w:val="0"/>
              <w:spacing w:line="235" w:lineRule="auto"/>
              <w:jc w:val="right"/>
              <w:rPr>
                <w:color w:val="000000"/>
                <w:spacing w:val="-2"/>
              </w:rPr>
            </w:pPr>
          </w:p>
        </w:tc>
      </w:tr>
      <w:tr w:rsidR="00D83E33" w:rsidRPr="009C6EFA" w14:paraId="40530DAD" w14:textId="77777777" w:rsidTr="001B330E">
        <w:trPr>
          <w:trHeight w:val="23"/>
        </w:trPr>
        <w:tc>
          <w:tcPr>
            <w:tcW w:w="1560" w:type="pct"/>
            <w:tcBorders>
              <w:top w:val="single" w:sz="6" w:space="0" w:color="000000"/>
            </w:tcBorders>
            <w:vAlign w:val="bottom"/>
          </w:tcPr>
          <w:p w14:paraId="77F4DA50" w14:textId="77777777" w:rsidR="00D83E33" w:rsidRPr="001B330E" w:rsidRDefault="00D83E33" w:rsidP="001B330E">
            <w:pPr>
              <w:widowControl w:val="0"/>
              <w:spacing w:line="235" w:lineRule="auto"/>
              <w:ind w:left="113" w:right="-113" w:hanging="113"/>
              <w:rPr>
                <w:color w:val="000000"/>
                <w:spacing w:val="-2"/>
              </w:rPr>
            </w:pPr>
          </w:p>
        </w:tc>
        <w:tc>
          <w:tcPr>
            <w:tcW w:w="688" w:type="pct"/>
            <w:tcBorders>
              <w:top w:val="single" w:sz="6" w:space="0" w:color="000000"/>
            </w:tcBorders>
            <w:vAlign w:val="bottom"/>
          </w:tcPr>
          <w:p w14:paraId="076815DE" w14:textId="77777777" w:rsidR="00D83E33" w:rsidRPr="001B330E" w:rsidRDefault="00D83E33" w:rsidP="001B330E">
            <w:pPr>
              <w:widowControl w:val="0"/>
              <w:spacing w:line="235" w:lineRule="auto"/>
              <w:jc w:val="right"/>
              <w:rPr>
                <w:color w:val="000000"/>
                <w:spacing w:val="-2"/>
              </w:rPr>
            </w:pPr>
          </w:p>
        </w:tc>
        <w:tc>
          <w:tcPr>
            <w:tcW w:w="688" w:type="pct"/>
            <w:tcBorders>
              <w:top w:val="single" w:sz="6" w:space="0" w:color="000000"/>
            </w:tcBorders>
            <w:vAlign w:val="bottom"/>
          </w:tcPr>
          <w:p w14:paraId="3F1BA138" w14:textId="77777777" w:rsidR="00D83E33" w:rsidRPr="001B330E" w:rsidRDefault="00D83E33" w:rsidP="001B330E">
            <w:pPr>
              <w:widowControl w:val="0"/>
              <w:spacing w:line="235" w:lineRule="auto"/>
              <w:jc w:val="right"/>
              <w:rPr>
                <w:color w:val="000000"/>
                <w:spacing w:val="-2"/>
              </w:rPr>
            </w:pPr>
          </w:p>
        </w:tc>
        <w:tc>
          <w:tcPr>
            <w:tcW w:w="688" w:type="pct"/>
            <w:tcBorders>
              <w:top w:val="single" w:sz="6" w:space="0" w:color="000000"/>
            </w:tcBorders>
            <w:vAlign w:val="bottom"/>
          </w:tcPr>
          <w:p w14:paraId="2204A455" w14:textId="77777777" w:rsidR="00D83E33" w:rsidRPr="001B330E" w:rsidRDefault="00D83E33" w:rsidP="001B330E">
            <w:pPr>
              <w:widowControl w:val="0"/>
              <w:spacing w:line="235" w:lineRule="auto"/>
              <w:jc w:val="right"/>
              <w:rPr>
                <w:color w:val="000000"/>
                <w:spacing w:val="-2"/>
              </w:rPr>
            </w:pPr>
          </w:p>
        </w:tc>
        <w:tc>
          <w:tcPr>
            <w:tcW w:w="770" w:type="pct"/>
            <w:tcBorders>
              <w:top w:val="single" w:sz="6" w:space="0" w:color="000000"/>
            </w:tcBorders>
            <w:vAlign w:val="bottom"/>
          </w:tcPr>
          <w:p w14:paraId="27211331" w14:textId="77777777" w:rsidR="00D83E33" w:rsidRPr="001B330E" w:rsidRDefault="00D83E33" w:rsidP="001B330E">
            <w:pPr>
              <w:widowControl w:val="0"/>
              <w:spacing w:line="235" w:lineRule="auto"/>
              <w:jc w:val="right"/>
              <w:rPr>
                <w:color w:val="000000"/>
                <w:spacing w:val="-2"/>
              </w:rPr>
            </w:pPr>
          </w:p>
        </w:tc>
        <w:tc>
          <w:tcPr>
            <w:tcW w:w="606" w:type="pct"/>
            <w:tcBorders>
              <w:top w:val="single" w:sz="6" w:space="0" w:color="000000"/>
            </w:tcBorders>
            <w:vAlign w:val="bottom"/>
          </w:tcPr>
          <w:p w14:paraId="3AEA0F20" w14:textId="77777777" w:rsidR="00D83E33" w:rsidRPr="001B330E" w:rsidRDefault="00D83E33" w:rsidP="001B330E">
            <w:pPr>
              <w:widowControl w:val="0"/>
              <w:spacing w:line="235" w:lineRule="auto"/>
              <w:jc w:val="right"/>
              <w:rPr>
                <w:color w:val="000000"/>
                <w:spacing w:val="-2"/>
              </w:rPr>
            </w:pPr>
          </w:p>
        </w:tc>
      </w:tr>
      <w:tr w:rsidR="00D83E33" w:rsidRPr="009C6EFA" w14:paraId="56FCA33D" w14:textId="77777777" w:rsidTr="001B330E">
        <w:trPr>
          <w:trHeight w:val="23"/>
        </w:trPr>
        <w:tc>
          <w:tcPr>
            <w:tcW w:w="1560" w:type="pct"/>
            <w:vAlign w:val="bottom"/>
          </w:tcPr>
          <w:p w14:paraId="4D407186"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 xml:space="preserve">Total </w:t>
            </w:r>
          </w:p>
        </w:tc>
        <w:tc>
          <w:tcPr>
            <w:tcW w:w="688" w:type="pct"/>
            <w:vAlign w:val="bottom"/>
          </w:tcPr>
          <w:p w14:paraId="3C500D0D"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661190B9"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4AEA03B7"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0E9D5CA6"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45F805A0" w14:textId="77777777" w:rsidR="00D83E33" w:rsidRPr="001B330E" w:rsidRDefault="00D83E33" w:rsidP="001B330E">
            <w:pPr>
              <w:widowControl w:val="0"/>
              <w:spacing w:line="235" w:lineRule="auto"/>
              <w:jc w:val="right"/>
              <w:rPr>
                <w:color w:val="000000"/>
                <w:spacing w:val="-2"/>
              </w:rPr>
            </w:pPr>
          </w:p>
        </w:tc>
      </w:tr>
      <w:tr w:rsidR="00D83E33" w:rsidRPr="009C6EFA" w14:paraId="3FAC454F" w14:textId="77777777" w:rsidTr="001B330E">
        <w:trPr>
          <w:trHeight w:val="23"/>
        </w:trPr>
        <w:tc>
          <w:tcPr>
            <w:tcW w:w="1560" w:type="pct"/>
            <w:tcBorders>
              <w:bottom w:val="single" w:sz="6" w:space="0" w:color="000000"/>
            </w:tcBorders>
            <w:vAlign w:val="bottom"/>
          </w:tcPr>
          <w:p w14:paraId="350F4C61" w14:textId="77777777" w:rsidR="00D83E33" w:rsidRPr="001B330E" w:rsidRDefault="00D83E33" w:rsidP="001B330E">
            <w:pPr>
              <w:widowControl w:val="0"/>
              <w:spacing w:line="235" w:lineRule="auto"/>
              <w:ind w:left="113" w:right="-113" w:hanging="113"/>
              <w:rPr>
                <w:color w:val="000000"/>
                <w:spacing w:val="-2"/>
              </w:rPr>
            </w:pPr>
          </w:p>
        </w:tc>
        <w:tc>
          <w:tcPr>
            <w:tcW w:w="688" w:type="pct"/>
            <w:tcBorders>
              <w:bottom w:val="single" w:sz="6" w:space="0" w:color="000000"/>
            </w:tcBorders>
            <w:vAlign w:val="bottom"/>
          </w:tcPr>
          <w:p w14:paraId="26F1EA53" w14:textId="77777777" w:rsidR="00D83E33" w:rsidRPr="001B330E" w:rsidRDefault="00D83E33" w:rsidP="001B330E">
            <w:pPr>
              <w:widowControl w:val="0"/>
              <w:spacing w:line="235" w:lineRule="auto"/>
              <w:jc w:val="right"/>
              <w:rPr>
                <w:color w:val="000000"/>
                <w:spacing w:val="-2"/>
              </w:rPr>
            </w:pPr>
          </w:p>
        </w:tc>
        <w:tc>
          <w:tcPr>
            <w:tcW w:w="688" w:type="pct"/>
            <w:tcBorders>
              <w:bottom w:val="single" w:sz="6" w:space="0" w:color="000000"/>
            </w:tcBorders>
            <w:vAlign w:val="bottom"/>
          </w:tcPr>
          <w:p w14:paraId="29B737C3" w14:textId="77777777" w:rsidR="00D83E33" w:rsidRPr="001B330E" w:rsidRDefault="00D83E33" w:rsidP="001B330E">
            <w:pPr>
              <w:widowControl w:val="0"/>
              <w:spacing w:line="235" w:lineRule="auto"/>
              <w:jc w:val="right"/>
              <w:rPr>
                <w:color w:val="000000"/>
                <w:spacing w:val="-2"/>
              </w:rPr>
            </w:pPr>
          </w:p>
        </w:tc>
        <w:tc>
          <w:tcPr>
            <w:tcW w:w="688" w:type="pct"/>
            <w:tcBorders>
              <w:bottom w:val="single" w:sz="6" w:space="0" w:color="000000"/>
            </w:tcBorders>
            <w:vAlign w:val="bottom"/>
          </w:tcPr>
          <w:p w14:paraId="74E303DC" w14:textId="77777777" w:rsidR="00D83E33" w:rsidRPr="001B330E" w:rsidRDefault="00D83E33" w:rsidP="001B330E">
            <w:pPr>
              <w:widowControl w:val="0"/>
              <w:spacing w:line="235" w:lineRule="auto"/>
              <w:jc w:val="right"/>
              <w:rPr>
                <w:color w:val="000000"/>
                <w:spacing w:val="-2"/>
              </w:rPr>
            </w:pPr>
          </w:p>
        </w:tc>
        <w:tc>
          <w:tcPr>
            <w:tcW w:w="770" w:type="pct"/>
            <w:tcBorders>
              <w:bottom w:val="single" w:sz="6" w:space="0" w:color="000000"/>
            </w:tcBorders>
            <w:vAlign w:val="bottom"/>
          </w:tcPr>
          <w:p w14:paraId="44180ED3" w14:textId="77777777" w:rsidR="00D83E33" w:rsidRPr="001B330E" w:rsidRDefault="00D83E33" w:rsidP="001B330E">
            <w:pPr>
              <w:widowControl w:val="0"/>
              <w:spacing w:line="235" w:lineRule="auto"/>
              <w:jc w:val="right"/>
              <w:rPr>
                <w:color w:val="000000"/>
                <w:spacing w:val="-2"/>
              </w:rPr>
            </w:pPr>
          </w:p>
        </w:tc>
        <w:tc>
          <w:tcPr>
            <w:tcW w:w="606" w:type="pct"/>
            <w:tcBorders>
              <w:bottom w:val="single" w:sz="6" w:space="0" w:color="000000"/>
            </w:tcBorders>
            <w:vAlign w:val="bottom"/>
          </w:tcPr>
          <w:p w14:paraId="69FD90E3" w14:textId="77777777" w:rsidR="00D83E33" w:rsidRPr="001B330E" w:rsidRDefault="00D83E33" w:rsidP="001B330E">
            <w:pPr>
              <w:widowControl w:val="0"/>
              <w:spacing w:line="235" w:lineRule="auto"/>
              <w:jc w:val="right"/>
              <w:rPr>
                <w:color w:val="000000"/>
                <w:spacing w:val="-2"/>
              </w:rPr>
            </w:pPr>
          </w:p>
        </w:tc>
      </w:tr>
      <w:tr w:rsidR="00D83E33" w:rsidRPr="009C6EFA" w14:paraId="5E266B32" w14:textId="77777777" w:rsidTr="001B330E">
        <w:trPr>
          <w:trHeight w:val="23"/>
        </w:trPr>
        <w:tc>
          <w:tcPr>
            <w:tcW w:w="1560" w:type="pct"/>
            <w:tcBorders>
              <w:top w:val="single" w:sz="6" w:space="0" w:color="000000"/>
            </w:tcBorders>
            <w:vAlign w:val="bottom"/>
          </w:tcPr>
          <w:p w14:paraId="4EEBB04E" w14:textId="77777777" w:rsidR="00D83E33" w:rsidRPr="001B330E" w:rsidRDefault="00D83E33" w:rsidP="001B330E">
            <w:pPr>
              <w:widowControl w:val="0"/>
              <w:spacing w:line="235" w:lineRule="auto"/>
              <w:ind w:left="113" w:right="-113" w:hanging="113"/>
              <w:rPr>
                <w:color w:val="000000"/>
                <w:spacing w:val="-2"/>
              </w:rPr>
            </w:pPr>
          </w:p>
        </w:tc>
        <w:tc>
          <w:tcPr>
            <w:tcW w:w="688" w:type="pct"/>
            <w:tcBorders>
              <w:top w:val="single" w:sz="6" w:space="0" w:color="000000"/>
            </w:tcBorders>
            <w:vAlign w:val="bottom"/>
          </w:tcPr>
          <w:p w14:paraId="42D77A8D" w14:textId="77777777" w:rsidR="00D83E33" w:rsidRPr="001B330E" w:rsidRDefault="00D83E33" w:rsidP="001B330E">
            <w:pPr>
              <w:widowControl w:val="0"/>
              <w:spacing w:line="235" w:lineRule="auto"/>
              <w:jc w:val="right"/>
              <w:rPr>
                <w:color w:val="000000"/>
                <w:spacing w:val="-2"/>
              </w:rPr>
            </w:pPr>
          </w:p>
        </w:tc>
        <w:tc>
          <w:tcPr>
            <w:tcW w:w="688" w:type="pct"/>
            <w:tcBorders>
              <w:top w:val="single" w:sz="6" w:space="0" w:color="000000"/>
            </w:tcBorders>
            <w:vAlign w:val="bottom"/>
          </w:tcPr>
          <w:p w14:paraId="5F85415F" w14:textId="77777777" w:rsidR="00D83E33" w:rsidRPr="001B330E" w:rsidRDefault="00D83E33" w:rsidP="001B330E">
            <w:pPr>
              <w:widowControl w:val="0"/>
              <w:spacing w:line="235" w:lineRule="auto"/>
              <w:jc w:val="right"/>
              <w:rPr>
                <w:color w:val="000000"/>
                <w:spacing w:val="-2"/>
              </w:rPr>
            </w:pPr>
          </w:p>
        </w:tc>
        <w:tc>
          <w:tcPr>
            <w:tcW w:w="688" w:type="pct"/>
            <w:tcBorders>
              <w:top w:val="single" w:sz="6" w:space="0" w:color="000000"/>
            </w:tcBorders>
            <w:vAlign w:val="bottom"/>
          </w:tcPr>
          <w:p w14:paraId="1629C4A9" w14:textId="77777777" w:rsidR="00D83E33" w:rsidRPr="001B330E" w:rsidRDefault="00D83E33" w:rsidP="001B330E">
            <w:pPr>
              <w:widowControl w:val="0"/>
              <w:spacing w:line="235" w:lineRule="auto"/>
              <w:jc w:val="right"/>
              <w:rPr>
                <w:color w:val="000000"/>
                <w:spacing w:val="-2"/>
              </w:rPr>
            </w:pPr>
          </w:p>
        </w:tc>
        <w:tc>
          <w:tcPr>
            <w:tcW w:w="770" w:type="pct"/>
            <w:tcBorders>
              <w:top w:val="single" w:sz="6" w:space="0" w:color="000000"/>
            </w:tcBorders>
            <w:vAlign w:val="bottom"/>
          </w:tcPr>
          <w:p w14:paraId="5B6A577E" w14:textId="77777777" w:rsidR="00D83E33" w:rsidRPr="001B330E" w:rsidRDefault="00D83E33" w:rsidP="001B330E">
            <w:pPr>
              <w:widowControl w:val="0"/>
              <w:spacing w:line="235" w:lineRule="auto"/>
              <w:jc w:val="right"/>
              <w:rPr>
                <w:color w:val="000000"/>
                <w:spacing w:val="-2"/>
              </w:rPr>
            </w:pPr>
          </w:p>
        </w:tc>
        <w:tc>
          <w:tcPr>
            <w:tcW w:w="606" w:type="pct"/>
            <w:tcBorders>
              <w:top w:val="single" w:sz="6" w:space="0" w:color="000000"/>
            </w:tcBorders>
            <w:vAlign w:val="bottom"/>
          </w:tcPr>
          <w:p w14:paraId="19AB5D49" w14:textId="77777777" w:rsidR="00D83E33" w:rsidRPr="001B330E" w:rsidRDefault="00D83E33" w:rsidP="001B330E">
            <w:pPr>
              <w:widowControl w:val="0"/>
              <w:spacing w:line="235" w:lineRule="auto"/>
              <w:jc w:val="right"/>
              <w:rPr>
                <w:color w:val="000000"/>
                <w:spacing w:val="-2"/>
              </w:rPr>
            </w:pPr>
          </w:p>
        </w:tc>
      </w:tr>
      <w:tr w:rsidR="00D83E33" w:rsidRPr="009C6EFA" w14:paraId="3045C76B" w14:textId="77777777" w:rsidTr="001B330E">
        <w:trPr>
          <w:trHeight w:val="23"/>
        </w:trPr>
        <w:tc>
          <w:tcPr>
            <w:tcW w:w="1560" w:type="pct"/>
            <w:vAlign w:val="bottom"/>
          </w:tcPr>
          <w:p w14:paraId="02EB476B" w14:textId="77777777" w:rsidR="00D83E33" w:rsidRPr="001B330E" w:rsidRDefault="00BC4072" w:rsidP="001B330E">
            <w:pPr>
              <w:widowControl w:val="0"/>
              <w:spacing w:line="235" w:lineRule="auto"/>
              <w:ind w:left="113" w:right="-113" w:hanging="113"/>
              <w:rPr>
                <w:color w:val="000000"/>
                <w:spacing w:val="-2"/>
              </w:rPr>
            </w:pPr>
            <w:r w:rsidRPr="001B330E">
              <w:rPr>
                <w:color w:val="000000"/>
                <w:spacing w:val="-2"/>
              </w:rPr>
              <w:t>Unsecured exposures</w:t>
            </w:r>
          </w:p>
        </w:tc>
        <w:tc>
          <w:tcPr>
            <w:tcW w:w="688" w:type="pct"/>
            <w:vAlign w:val="bottom"/>
          </w:tcPr>
          <w:p w14:paraId="171F76B7"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2D1A0FB8" w14:textId="77777777" w:rsidR="00D83E33" w:rsidRPr="001B330E" w:rsidRDefault="00D83E33" w:rsidP="001B330E">
            <w:pPr>
              <w:widowControl w:val="0"/>
              <w:spacing w:line="235" w:lineRule="auto"/>
              <w:jc w:val="right"/>
              <w:rPr>
                <w:color w:val="000000"/>
                <w:spacing w:val="-2"/>
              </w:rPr>
            </w:pPr>
          </w:p>
        </w:tc>
        <w:tc>
          <w:tcPr>
            <w:tcW w:w="688" w:type="pct"/>
            <w:vAlign w:val="bottom"/>
          </w:tcPr>
          <w:p w14:paraId="5BD9CA07" w14:textId="77777777" w:rsidR="00D83E33" w:rsidRPr="001B330E" w:rsidRDefault="00D83E33" w:rsidP="001B330E">
            <w:pPr>
              <w:widowControl w:val="0"/>
              <w:spacing w:line="235" w:lineRule="auto"/>
              <w:jc w:val="right"/>
              <w:rPr>
                <w:color w:val="000000"/>
                <w:spacing w:val="-2"/>
              </w:rPr>
            </w:pPr>
          </w:p>
        </w:tc>
        <w:tc>
          <w:tcPr>
            <w:tcW w:w="770" w:type="pct"/>
            <w:vAlign w:val="bottom"/>
          </w:tcPr>
          <w:p w14:paraId="4D28539F" w14:textId="77777777" w:rsidR="00D83E33" w:rsidRPr="001B330E" w:rsidRDefault="00D83E33" w:rsidP="001B330E">
            <w:pPr>
              <w:widowControl w:val="0"/>
              <w:spacing w:line="235" w:lineRule="auto"/>
              <w:jc w:val="right"/>
              <w:rPr>
                <w:color w:val="000000"/>
                <w:spacing w:val="-2"/>
              </w:rPr>
            </w:pPr>
          </w:p>
        </w:tc>
        <w:tc>
          <w:tcPr>
            <w:tcW w:w="606" w:type="pct"/>
            <w:vAlign w:val="bottom"/>
          </w:tcPr>
          <w:p w14:paraId="1F1CD5E0" w14:textId="77777777" w:rsidR="00D83E33" w:rsidRPr="001B330E" w:rsidRDefault="00D83E33" w:rsidP="001B330E">
            <w:pPr>
              <w:widowControl w:val="0"/>
              <w:spacing w:line="235" w:lineRule="auto"/>
              <w:jc w:val="right"/>
              <w:rPr>
                <w:color w:val="000000"/>
                <w:spacing w:val="-2"/>
              </w:rPr>
            </w:pPr>
          </w:p>
        </w:tc>
      </w:tr>
      <w:tr w:rsidR="00D83E33" w:rsidRPr="009C6EFA" w14:paraId="5F1D5139" w14:textId="77777777" w:rsidTr="001B330E">
        <w:trPr>
          <w:trHeight w:val="23"/>
        </w:trPr>
        <w:tc>
          <w:tcPr>
            <w:tcW w:w="1560" w:type="pct"/>
            <w:tcBorders>
              <w:bottom w:val="single" w:sz="6" w:space="0" w:color="000000"/>
            </w:tcBorders>
            <w:vAlign w:val="bottom"/>
          </w:tcPr>
          <w:p w14:paraId="000033EF" w14:textId="77777777" w:rsidR="00D83E33" w:rsidRPr="001B330E" w:rsidRDefault="00D83E33" w:rsidP="001B330E">
            <w:pPr>
              <w:widowControl w:val="0"/>
              <w:spacing w:line="235" w:lineRule="auto"/>
              <w:ind w:left="113" w:right="-113" w:hanging="113"/>
              <w:rPr>
                <w:color w:val="000000"/>
                <w:spacing w:val="-2"/>
              </w:rPr>
            </w:pPr>
          </w:p>
        </w:tc>
        <w:tc>
          <w:tcPr>
            <w:tcW w:w="688" w:type="pct"/>
            <w:tcBorders>
              <w:bottom w:val="single" w:sz="6" w:space="0" w:color="000000"/>
            </w:tcBorders>
            <w:vAlign w:val="bottom"/>
          </w:tcPr>
          <w:p w14:paraId="22D5060F" w14:textId="77777777" w:rsidR="00D83E33" w:rsidRPr="001B330E" w:rsidRDefault="00D83E33" w:rsidP="001B330E">
            <w:pPr>
              <w:widowControl w:val="0"/>
              <w:spacing w:line="235" w:lineRule="auto"/>
              <w:jc w:val="right"/>
              <w:rPr>
                <w:color w:val="000000"/>
                <w:spacing w:val="-2"/>
              </w:rPr>
            </w:pPr>
          </w:p>
        </w:tc>
        <w:tc>
          <w:tcPr>
            <w:tcW w:w="688" w:type="pct"/>
            <w:tcBorders>
              <w:bottom w:val="single" w:sz="6" w:space="0" w:color="000000"/>
            </w:tcBorders>
            <w:vAlign w:val="bottom"/>
          </w:tcPr>
          <w:p w14:paraId="615623B2" w14:textId="77777777" w:rsidR="00D83E33" w:rsidRPr="001B330E" w:rsidRDefault="00D83E33" w:rsidP="001B330E">
            <w:pPr>
              <w:widowControl w:val="0"/>
              <w:spacing w:line="235" w:lineRule="auto"/>
              <w:jc w:val="right"/>
              <w:rPr>
                <w:color w:val="000000"/>
                <w:spacing w:val="-2"/>
              </w:rPr>
            </w:pPr>
          </w:p>
        </w:tc>
        <w:tc>
          <w:tcPr>
            <w:tcW w:w="688" w:type="pct"/>
            <w:tcBorders>
              <w:bottom w:val="single" w:sz="6" w:space="0" w:color="000000"/>
            </w:tcBorders>
            <w:vAlign w:val="bottom"/>
          </w:tcPr>
          <w:p w14:paraId="40A45EC6" w14:textId="77777777" w:rsidR="00D83E33" w:rsidRPr="001B330E" w:rsidRDefault="00D83E33" w:rsidP="001B330E">
            <w:pPr>
              <w:widowControl w:val="0"/>
              <w:spacing w:line="235" w:lineRule="auto"/>
              <w:jc w:val="right"/>
              <w:rPr>
                <w:color w:val="000000"/>
                <w:spacing w:val="-2"/>
              </w:rPr>
            </w:pPr>
          </w:p>
        </w:tc>
        <w:tc>
          <w:tcPr>
            <w:tcW w:w="770" w:type="pct"/>
            <w:tcBorders>
              <w:bottom w:val="single" w:sz="6" w:space="0" w:color="000000"/>
            </w:tcBorders>
            <w:vAlign w:val="bottom"/>
          </w:tcPr>
          <w:p w14:paraId="7CD4961C" w14:textId="77777777" w:rsidR="00D83E33" w:rsidRPr="001B330E" w:rsidRDefault="00D83E33" w:rsidP="001B330E">
            <w:pPr>
              <w:widowControl w:val="0"/>
              <w:spacing w:line="235" w:lineRule="auto"/>
              <w:jc w:val="right"/>
              <w:rPr>
                <w:color w:val="000000"/>
                <w:spacing w:val="-2"/>
              </w:rPr>
            </w:pPr>
          </w:p>
        </w:tc>
        <w:tc>
          <w:tcPr>
            <w:tcW w:w="606" w:type="pct"/>
            <w:tcBorders>
              <w:bottom w:val="single" w:sz="6" w:space="0" w:color="000000"/>
            </w:tcBorders>
            <w:vAlign w:val="bottom"/>
          </w:tcPr>
          <w:p w14:paraId="028FBB9E" w14:textId="77777777" w:rsidR="00D83E33" w:rsidRPr="001B330E" w:rsidRDefault="00D83E33" w:rsidP="001B330E">
            <w:pPr>
              <w:widowControl w:val="0"/>
              <w:spacing w:line="235" w:lineRule="auto"/>
              <w:jc w:val="right"/>
              <w:rPr>
                <w:color w:val="000000"/>
                <w:spacing w:val="-2"/>
              </w:rPr>
            </w:pPr>
          </w:p>
        </w:tc>
      </w:tr>
      <w:tr w:rsidR="00D83E33" w:rsidRPr="009C6EFA" w14:paraId="113E6DED" w14:textId="77777777" w:rsidTr="001B330E">
        <w:trPr>
          <w:trHeight w:val="23"/>
        </w:trPr>
        <w:tc>
          <w:tcPr>
            <w:tcW w:w="1560" w:type="pct"/>
            <w:tcBorders>
              <w:top w:val="single" w:sz="6" w:space="0" w:color="000000"/>
            </w:tcBorders>
            <w:vAlign w:val="bottom"/>
          </w:tcPr>
          <w:p w14:paraId="02C1D3BA" w14:textId="77777777" w:rsidR="00D83E33" w:rsidRPr="001B330E" w:rsidRDefault="00D83E33" w:rsidP="001B330E">
            <w:pPr>
              <w:widowControl w:val="0"/>
              <w:spacing w:line="235" w:lineRule="auto"/>
              <w:ind w:left="113" w:right="-113" w:hanging="113"/>
              <w:rPr>
                <w:color w:val="000000"/>
                <w:spacing w:val="-2"/>
              </w:rPr>
            </w:pPr>
          </w:p>
        </w:tc>
        <w:tc>
          <w:tcPr>
            <w:tcW w:w="688" w:type="pct"/>
            <w:tcBorders>
              <w:top w:val="single" w:sz="6" w:space="0" w:color="000000"/>
            </w:tcBorders>
            <w:vAlign w:val="bottom"/>
          </w:tcPr>
          <w:p w14:paraId="60E42CC8" w14:textId="77777777" w:rsidR="00D83E33" w:rsidRPr="001B330E" w:rsidRDefault="00D83E33" w:rsidP="001B330E">
            <w:pPr>
              <w:widowControl w:val="0"/>
              <w:spacing w:line="235" w:lineRule="auto"/>
              <w:jc w:val="right"/>
              <w:rPr>
                <w:color w:val="000000"/>
                <w:spacing w:val="-2"/>
              </w:rPr>
            </w:pPr>
          </w:p>
        </w:tc>
        <w:tc>
          <w:tcPr>
            <w:tcW w:w="688" w:type="pct"/>
            <w:tcBorders>
              <w:top w:val="single" w:sz="6" w:space="0" w:color="000000"/>
            </w:tcBorders>
            <w:vAlign w:val="bottom"/>
          </w:tcPr>
          <w:p w14:paraId="2C96E6ED" w14:textId="77777777" w:rsidR="00D83E33" w:rsidRPr="001B330E" w:rsidRDefault="00D83E33" w:rsidP="001B330E">
            <w:pPr>
              <w:widowControl w:val="0"/>
              <w:spacing w:line="235" w:lineRule="auto"/>
              <w:jc w:val="right"/>
              <w:rPr>
                <w:color w:val="000000"/>
                <w:spacing w:val="-2"/>
              </w:rPr>
            </w:pPr>
          </w:p>
        </w:tc>
        <w:tc>
          <w:tcPr>
            <w:tcW w:w="688" w:type="pct"/>
            <w:tcBorders>
              <w:top w:val="single" w:sz="6" w:space="0" w:color="000000"/>
            </w:tcBorders>
            <w:vAlign w:val="bottom"/>
          </w:tcPr>
          <w:p w14:paraId="3425DCA7" w14:textId="77777777" w:rsidR="00D83E33" w:rsidRPr="001B330E" w:rsidRDefault="00D83E33" w:rsidP="001B330E">
            <w:pPr>
              <w:widowControl w:val="0"/>
              <w:spacing w:line="235" w:lineRule="auto"/>
              <w:jc w:val="right"/>
              <w:rPr>
                <w:color w:val="000000"/>
                <w:spacing w:val="-2"/>
              </w:rPr>
            </w:pPr>
          </w:p>
        </w:tc>
        <w:tc>
          <w:tcPr>
            <w:tcW w:w="770" w:type="pct"/>
            <w:tcBorders>
              <w:top w:val="single" w:sz="6" w:space="0" w:color="000000"/>
            </w:tcBorders>
            <w:vAlign w:val="bottom"/>
          </w:tcPr>
          <w:p w14:paraId="2B8EC23E" w14:textId="77777777" w:rsidR="00D83E33" w:rsidRPr="001B330E" w:rsidRDefault="00D83E33" w:rsidP="001B330E">
            <w:pPr>
              <w:widowControl w:val="0"/>
              <w:spacing w:line="235" w:lineRule="auto"/>
              <w:jc w:val="right"/>
              <w:rPr>
                <w:color w:val="000000"/>
                <w:spacing w:val="-2"/>
              </w:rPr>
            </w:pPr>
          </w:p>
        </w:tc>
        <w:tc>
          <w:tcPr>
            <w:tcW w:w="606" w:type="pct"/>
            <w:tcBorders>
              <w:top w:val="single" w:sz="6" w:space="0" w:color="000000"/>
            </w:tcBorders>
            <w:vAlign w:val="bottom"/>
          </w:tcPr>
          <w:p w14:paraId="1EBE9A9E" w14:textId="77777777" w:rsidR="00D83E33" w:rsidRPr="001B330E" w:rsidRDefault="00D83E33" w:rsidP="001B330E">
            <w:pPr>
              <w:widowControl w:val="0"/>
              <w:spacing w:line="235" w:lineRule="auto"/>
              <w:jc w:val="right"/>
              <w:rPr>
                <w:color w:val="000000"/>
                <w:spacing w:val="-2"/>
              </w:rPr>
            </w:pPr>
          </w:p>
        </w:tc>
      </w:tr>
      <w:tr w:rsidR="00D83E33" w:rsidRPr="009C6EFA" w14:paraId="28BDD2E5" w14:textId="77777777" w:rsidTr="001B330E">
        <w:trPr>
          <w:trHeight w:val="23"/>
        </w:trPr>
        <w:tc>
          <w:tcPr>
            <w:tcW w:w="1560" w:type="pct"/>
            <w:vAlign w:val="bottom"/>
          </w:tcPr>
          <w:p w14:paraId="230BDE5D" w14:textId="77777777" w:rsidR="00D83E33" w:rsidRPr="001B330E" w:rsidRDefault="00BC4072" w:rsidP="001B330E">
            <w:pPr>
              <w:widowControl w:val="0"/>
              <w:spacing w:line="235" w:lineRule="auto"/>
              <w:ind w:left="113" w:right="-113" w:hanging="113"/>
              <w:rPr>
                <w:b/>
                <w:color w:val="000000"/>
                <w:spacing w:val="-2"/>
              </w:rPr>
            </w:pPr>
            <w:r w:rsidRPr="001B330E">
              <w:rPr>
                <w:b/>
                <w:color w:val="000000"/>
                <w:spacing w:val="-2"/>
              </w:rPr>
              <w:t>Total carrying value loans and advances to customers at AC (amount representing exposure to credit risk for each class of loans at AC)</w:t>
            </w:r>
          </w:p>
        </w:tc>
        <w:tc>
          <w:tcPr>
            <w:tcW w:w="688" w:type="pct"/>
            <w:vAlign w:val="bottom"/>
          </w:tcPr>
          <w:p w14:paraId="195E5148" w14:textId="77777777" w:rsidR="00D83E33" w:rsidRPr="001B330E" w:rsidRDefault="00D83E33" w:rsidP="001B330E">
            <w:pPr>
              <w:widowControl w:val="0"/>
              <w:spacing w:line="235" w:lineRule="auto"/>
              <w:jc w:val="right"/>
              <w:rPr>
                <w:b/>
                <w:color w:val="000000"/>
                <w:spacing w:val="-2"/>
              </w:rPr>
            </w:pPr>
          </w:p>
        </w:tc>
        <w:tc>
          <w:tcPr>
            <w:tcW w:w="688" w:type="pct"/>
            <w:vAlign w:val="bottom"/>
          </w:tcPr>
          <w:p w14:paraId="5260F32C" w14:textId="77777777" w:rsidR="00D83E33" w:rsidRPr="001B330E" w:rsidRDefault="00D83E33" w:rsidP="001B330E">
            <w:pPr>
              <w:widowControl w:val="0"/>
              <w:spacing w:line="235" w:lineRule="auto"/>
              <w:jc w:val="right"/>
              <w:rPr>
                <w:b/>
                <w:color w:val="000000"/>
                <w:spacing w:val="-2"/>
              </w:rPr>
            </w:pPr>
          </w:p>
        </w:tc>
        <w:tc>
          <w:tcPr>
            <w:tcW w:w="688" w:type="pct"/>
            <w:vAlign w:val="bottom"/>
          </w:tcPr>
          <w:p w14:paraId="6C5DCBC7" w14:textId="77777777" w:rsidR="00D83E33" w:rsidRPr="001B330E" w:rsidRDefault="00D83E33" w:rsidP="001B330E">
            <w:pPr>
              <w:widowControl w:val="0"/>
              <w:spacing w:line="235" w:lineRule="auto"/>
              <w:jc w:val="right"/>
              <w:rPr>
                <w:b/>
                <w:color w:val="000000"/>
                <w:spacing w:val="-2"/>
              </w:rPr>
            </w:pPr>
          </w:p>
        </w:tc>
        <w:tc>
          <w:tcPr>
            <w:tcW w:w="770" w:type="pct"/>
            <w:vAlign w:val="bottom"/>
          </w:tcPr>
          <w:p w14:paraId="655F879A" w14:textId="77777777" w:rsidR="00D83E33" w:rsidRPr="001B330E" w:rsidRDefault="00D83E33" w:rsidP="001B330E">
            <w:pPr>
              <w:widowControl w:val="0"/>
              <w:spacing w:line="235" w:lineRule="auto"/>
              <w:jc w:val="right"/>
              <w:rPr>
                <w:b/>
                <w:color w:val="000000"/>
                <w:spacing w:val="-2"/>
              </w:rPr>
            </w:pPr>
          </w:p>
        </w:tc>
        <w:tc>
          <w:tcPr>
            <w:tcW w:w="606" w:type="pct"/>
            <w:vAlign w:val="bottom"/>
          </w:tcPr>
          <w:p w14:paraId="1CE217F5" w14:textId="77777777" w:rsidR="00D83E33" w:rsidRPr="001B330E" w:rsidRDefault="00D83E33" w:rsidP="001B330E">
            <w:pPr>
              <w:widowControl w:val="0"/>
              <w:spacing w:line="235" w:lineRule="auto"/>
              <w:jc w:val="right"/>
              <w:rPr>
                <w:b/>
                <w:color w:val="000000"/>
                <w:spacing w:val="-2"/>
              </w:rPr>
            </w:pPr>
          </w:p>
        </w:tc>
      </w:tr>
      <w:tr w:rsidR="00D83E33" w:rsidRPr="009C6EFA" w14:paraId="2DE83EBC" w14:textId="77777777" w:rsidTr="001B330E">
        <w:trPr>
          <w:trHeight w:val="23"/>
        </w:trPr>
        <w:tc>
          <w:tcPr>
            <w:tcW w:w="1560" w:type="pct"/>
            <w:tcBorders>
              <w:bottom w:val="single" w:sz="12" w:space="0" w:color="000000"/>
            </w:tcBorders>
            <w:vAlign w:val="bottom"/>
          </w:tcPr>
          <w:p w14:paraId="15505A36" w14:textId="77777777" w:rsidR="00D83E33" w:rsidRPr="001B330E" w:rsidRDefault="00D83E33" w:rsidP="001B330E">
            <w:pPr>
              <w:widowControl w:val="0"/>
              <w:spacing w:line="235" w:lineRule="auto"/>
              <w:ind w:left="113" w:right="-113" w:hanging="113"/>
              <w:rPr>
                <w:b/>
                <w:color w:val="000000"/>
                <w:spacing w:val="-2"/>
              </w:rPr>
            </w:pPr>
          </w:p>
        </w:tc>
        <w:tc>
          <w:tcPr>
            <w:tcW w:w="688" w:type="pct"/>
            <w:tcBorders>
              <w:bottom w:val="single" w:sz="12" w:space="0" w:color="000000"/>
            </w:tcBorders>
            <w:vAlign w:val="bottom"/>
          </w:tcPr>
          <w:p w14:paraId="46A173E0" w14:textId="77777777" w:rsidR="00D83E33" w:rsidRPr="001B330E" w:rsidRDefault="00D83E33" w:rsidP="001B330E">
            <w:pPr>
              <w:widowControl w:val="0"/>
              <w:spacing w:line="235" w:lineRule="auto"/>
              <w:jc w:val="right"/>
              <w:rPr>
                <w:b/>
                <w:color w:val="000000"/>
                <w:spacing w:val="-2"/>
              </w:rPr>
            </w:pPr>
          </w:p>
        </w:tc>
        <w:tc>
          <w:tcPr>
            <w:tcW w:w="688" w:type="pct"/>
            <w:tcBorders>
              <w:bottom w:val="single" w:sz="12" w:space="0" w:color="000000"/>
            </w:tcBorders>
            <w:vAlign w:val="bottom"/>
          </w:tcPr>
          <w:p w14:paraId="3AE7434C" w14:textId="77777777" w:rsidR="00D83E33" w:rsidRPr="001B330E" w:rsidRDefault="00D83E33" w:rsidP="001B330E">
            <w:pPr>
              <w:widowControl w:val="0"/>
              <w:spacing w:line="235" w:lineRule="auto"/>
              <w:jc w:val="right"/>
              <w:rPr>
                <w:b/>
                <w:color w:val="000000"/>
                <w:spacing w:val="-2"/>
              </w:rPr>
            </w:pPr>
          </w:p>
        </w:tc>
        <w:tc>
          <w:tcPr>
            <w:tcW w:w="688" w:type="pct"/>
            <w:tcBorders>
              <w:bottom w:val="single" w:sz="12" w:space="0" w:color="000000"/>
            </w:tcBorders>
            <w:vAlign w:val="bottom"/>
          </w:tcPr>
          <w:p w14:paraId="550D9C2A" w14:textId="77777777" w:rsidR="00D83E33" w:rsidRPr="001B330E" w:rsidRDefault="00D83E33" w:rsidP="001B330E">
            <w:pPr>
              <w:widowControl w:val="0"/>
              <w:spacing w:line="235" w:lineRule="auto"/>
              <w:jc w:val="right"/>
              <w:rPr>
                <w:b/>
                <w:color w:val="000000"/>
                <w:spacing w:val="-2"/>
              </w:rPr>
            </w:pPr>
          </w:p>
        </w:tc>
        <w:tc>
          <w:tcPr>
            <w:tcW w:w="770" w:type="pct"/>
            <w:tcBorders>
              <w:bottom w:val="single" w:sz="12" w:space="0" w:color="000000"/>
            </w:tcBorders>
            <w:vAlign w:val="bottom"/>
          </w:tcPr>
          <w:p w14:paraId="062CE422" w14:textId="77777777" w:rsidR="00D83E33" w:rsidRPr="001B330E" w:rsidRDefault="00D83E33" w:rsidP="001B330E">
            <w:pPr>
              <w:widowControl w:val="0"/>
              <w:spacing w:line="235" w:lineRule="auto"/>
              <w:jc w:val="right"/>
              <w:rPr>
                <w:b/>
                <w:color w:val="000000"/>
                <w:spacing w:val="-2"/>
              </w:rPr>
            </w:pPr>
          </w:p>
        </w:tc>
        <w:tc>
          <w:tcPr>
            <w:tcW w:w="606" w:type="pct"/>
            <w:tcBorders>
              <w:bottom w:val="single" w:sz="12" w:space="0" w:color="000000"/>
            </w:tcBorders>
            <w:vAlign w:val="bottom"/>
          </w:tcPr>
          <w:p w14:paraId="03389CE9" w14:textId="77777777" w:rsidR="00D83E33" w:rsidRPr="001B330E" w:rsidRDefault="00D83E33" w:rsidP="001B330E">
            <w:pPr>
              <w:widowControl w:val="0"/>
              <w:spacing w:line="235" w:lineRule="auto"/>
              <w:jc w:val="right"/>
              <w:rPr>
                <w:b/>
                <w:color w:val="000000"/>
                <w:spacing w:val="-2"/>
              </w:rPr>
            </w:pPr>
          </w:p>
        </w:tc>
      </w:tr>
    </w:tbl>
    <w:p w14:paraId="41BB6C98" w14:textId="2D2B33B4" w:rsidR="00D83E33" w:rsidRPr="001B330E" w:rsidRDefault="00BC4072" w:rsidP="001B330E">
      <w:pPr>
        <w:widowControl w:val="0"/>
        <w:pBdr>
          <w:top w:val="nil"/>
          <w:left w:val="nil"/>
          <w:bottom w:val="nil"/>
          <w:right w:val="nil"/>
          <w:between w:val="nil"/>
        </w:pBdr>
        <w:spacing w:before="200" w:after="200" w:line="235" w:lineRule="auto"/>
        <w:jc w:val="both"/>
        <w:rPr>
          <w:color w:val="000000"/>
          <w:spacing w:val="-2"/>
          <w:sz w:val="20"/>
          <w:szCs w:val="20"/>
        </w:rPr>
      </w:pPr>
      <w:r w:rsidRPr="001B330E">
        <w:rPr>
          <w:color w:val="000000"/>
          <w:spacing w:val="-2"/>
          <w:sz w:val="20"/>
          <w:szCs w:val="20"/>
        </w:rPr>
        <w:t xml:space="preserve">Other assets mainly include </w:t>
      </w:r>
      <w:r w:rsidRPr="001B330E">
        <w:rPr>
          <w:color w:val="0000FF"/>
          <w:spacing w:val="-2"/>
          <w:sz w:val="20"/>
          <w:szCs w:val="20"/>
        </w:rPr>
        <w:t>[equipment and receivables]</w:t>
      </w:r>
      <w:r w:rsidRPr="001B330E">
        <w:rPr>
          <w:color w:val="000000"/>
          <w:spacing w:val="-2"/>
          <w:sz w:val="20"/>
          <w:szCs w:val="20"/>
        </w:rPr>
        <w:t xml:space="preserve">. The disclosure above represents the lower of the carrying value of the loan or collateral taken; the remaining part is disclosed within the unsecured exposures. The carrying value of loans was allocated based on liquidity of the assets taken as collateral. </w:t>
      </w:r>
      <w:r w:rsidRPr="001B330E">
        <w:rPr>
          <w:i/>
          <w:color w:val="FF0000"/>
          <w:spacing w:val="-2"/>
          <w:sz w:val="20"/>
          <w:szCs w:val="20"/>
        </w:rPr>
        <w:t>[</w:t>
      </w:r>
      <w:r w:rsidR="00D00E5A">
        <w:rPr>
          <w:i/>
          <w:color w:val="FF0000"/>
          <w:spacing w:val="-2"/>
          <w:sz w:val="20"/>
          <w:szCs w:val="20"/>
        </w:rPr>
        <w:t xml:space="preserve">Tailor to disclose </w:t>
      </w:r>
      <w:r w:rsidRPr="001B330E">
        <w:rPr>
          <w:i/>
          <w:color w:val="FF0000"/>
          <w:spacing w:val="-2"/>
          <w:sz w:val="20"/>
          <w:szCs w:val="20"/>
        </w:rPr>
        <w:t>quality of collateral and its changes due to change in collateral policies.]</w:t>
      </w:r>
    </w:p>
    <w:p w14:paraId="4E41D9D6" w14:textId="77777777" w:rsidR="00D83E33" w:rsidRPr="001B330E" w:rsidRDefault="00BC4072" w:rsidP="001B330E">
      <w:pPr>
        <w:widowControl w:val="0"/>
        <w:pBdr>
          <w:top w:val="nil"/>
          <w:left w:val="nil"/>
          <w:bottom w:val="nil"/>
          <w:right w:val="nil"/>
          <w:between w:val="nil"/>
        </w:pBdr>
        <w:spacing w:before="200" w:after="200" w:line="235" w:lineRule="auto"/>
        <w:jc w:val="both"/>
        <w:rPr>
          <w:color w:val="000000"/>
          <w:spacing w:val="-2"/>
          <w:sz w:val="20"/>
          <w:szCs w:val="20"/>
        </w:rPr>
      </w:pPr>
      <w:r w:rsidRPr="001B330E">
        <w:rPr>
          <w:color w:val="000000"/>
          <w:spacing w:val="-2"/>
          <w:sz w:val="20"/>
          <w:szCs w:val="20"/>
        </w:rPr>
        <w:t xml:space="preserve">The following table provides information on carrying value of loans, for which the Group did not recognise any expected credit loss allowance because of significant excess of collateral value over the gross carrying value of these loans. </w:t>
      </w:r>
    </w:p>
    <w:tbl>
      <w:tblPr>
        <w:tblStyle w:val="afffffe"/>
        <w:tblW w:w="5000" w:type="pct"/>
        <w:tblLayout w:type="fixed"/>
        <w:tblLook w:val="0000" w:firstRow="0" w:lastRow="0" w:firstColumn="0" w:lastColumn="0" w:noHBand="0" w:noVBand="0"/>
      </w:tblPr>
      <w:tblGrid>
        <w:gridCol w:w="5954"/>
        <w:gridCol w:w="567"/>
        <w:gridCol w:w="1418"/>
        <w:gridCol w:w="1416"/>
      </w:tblGrid>
      <w:tr w:rsidR="00D83E33" w:rsidRPr="009C6EFA" w14:paraId="14B162EB" w14:textId="77777777" w:rsidTr="001B330E">
        <w:trPr>
          <w:trHeight w:val="23"/>
        </w:trPr>
        <w:tc>
          <w:tcPr>
            <w:tcW w:w="3182" w:type="pct"/>
            <w:tcBorders>
              <w:bottom w:val="single" w:sz="4" w:space="0" w:color="000000"/>
            </w:tcBorders>
            <w:shd w:val="clear" w:color="auto" w:fill="auto"/>
            <w:vAlign w:val="bottom"/>
          </w:tcPr>
          <w:p w14:paraId="4F4EBFAE" w14:textId="34951ED3" w:rsidR="00D83E33" w:rsidRPr="001B330E" w:rsidRDefault="00313B4D" w:rsidP="001B330E">
            <w:pPr>
              <w:widowControl w:val="0"/>
              <w:pBdr>
                <w:top w:val="nil"/>
                <w:left w:val="nil"/>
                <w:bottom w:val="nil"/>
                <w:right w:val="nil"/>
                <w:between w:val="nil"/>
              </w:pBdr>
              <w:spacing w:line="235" w:lineRule="auto"/>
              <w:ind w:left="113" w:hanging="113"/>
              <w:rPr>
                <w:i/>
                <w:color w:val="000000"/>
                <w:spacing w:val="-2"/>
              </w:rPr>
            </w:pPr>
            <w:r>
              <w:rPr>
                <w:i/>
                <w:color w:val="000000"/>
                <w:spacing w:val="-2"/>
              </w:rPr>
              <w:t xml:space="preserve">In thousands of </w:t>
            </w:r>
            <w:r w:rsidR="002649EE">
              <w:rPr>
                <w:i/>
                <w:color w:val="000000"/>
                <w:spacing w:val="-2"/>
              </w:rPr>
              <w:t>EUR</w:t>
            </w:r>
          </w:p>
        </w:tc>
        <w:tc>
          <w:tcPr>
            <w:tcW w:w="303" w:type="pct"/>
            <w:tcBorders>
              <w:bottom w:val="single" w:sz="4" w:space="0" w:color="000000"/>
            </w:tcBorders>
            <w:shd w:val="clear" w:color="auto" w:fill="auto"/>
          </w:tcPr>
          <w:p w14:paraId="1B1C675B"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2"/>
              </w:rPr>
            </w:pPr>
          </w:p>
        </w:tc>
        <w:tc>
          <w:tcPr>
            <w:tcW w:w="758" w:type="pct"/>
            <w:tcBorders>
              <w:bottom w:val="single" w:sz="4" w:space="0" w:color="000000"/>
            </w:tcBorders>
          </w:tcPr>
          <w:p w14:paraId="2BB5CC2D" w14:textId="1EDA06F0" w:rsidR="00D83E33" w:rsidRPr="001B330E" w:rsidRDefault="00BC4072" w:rsidP="001B330E">
            <w:pPr>
              <w:widowControl w:val="0"/>
              <w:pBdr>
                <w:top w:val="nil"/>
                <w:left w:val="nil"/>
                <w:bottom w:val="nil"/>
                <w:right w:val="nil"/>
                <w:between w:val="nil"/>
              </w:pBdr>
              <w:spacing w:line="235" w:lineRule="auto"/>
              <w:jc w:val="right"/>
              <w:rPr>
                <w:b/>
                <w:color w:val="000000"/>
                <w:spacing w:val="-2"/>
              </w:rPr>
            </w:pPr>
            <w:r w:rsidRPr="001B330E">
              <w:rPr>
                <w:b/>
                <w:color w:val="000000"/>
                <w:spacing w:val="-2"/>
              </w:rPr>
              <w:t>31</w:t>
            </w:r>
            <w:r w:rsidR="00181687">
              <w:rPr>
                <w:b/>
                <w:color w:val="000000"/>
                <w:spacing w:val="-2"/>
              </w:rPr>
              <w:t> December </w:t>
            </w:r>
            <w:r w:rsidR="00541EBC">
              <w:rPr>
                <w:b/>
                <w:color w:val="000000"/>
                <w:spacing w:val="-2"/>
              </w:rPr>
              <w:t>2024</w:t>
            </w:r>
          </w:p>
        </w:tc>
        <w:tc>
          <w:tcPr>
            <w:tcW w:w="757" w:type="pct"/>
            <w:tcBorders>
              <w:bottom w:val="single" w:sz="4" w:space="0" w:color="000000"/>
            </w:tcBorders>
          </w:tcPr>
          <w:p w14:paraId="7866A413" w14:textId="2D48D55E" w:rsidR="00D83E33" w:rsidRPr="001B330E" w:rsidRDefault="00BC4072" w:rsidP="001B330E">
            <w:pPr>
              <w:widowControl w:val="0"/>
              <w:pBdr>
                <w:top w:val="nil"/>
                <w:left w:val="nil"/>
                <w:bottom w:val="nil"/>
                <w:right w:val="nil"/>
                <w:between w:val="nil"/>
              </w:pBdr>
              <w:spacing w:line="235" w:lineRule="auto"/>
              <w:jc w:val="right"/>
              <w:rPr>
                <w:b/>
                <w:color w:val="000000"/>
                <w:spacing w:val="-2"/>
              </w:rPr>
            </w:pPr>
            <w:r w:rsidRPr="001B330E">
              <w:rPr>
                <w:b/>
                <w:color w:val="000000"/>
                <w:spacing w:val="-2"/>
              </w:rPr>
              <w:t>31</w:t>
            </w:r>
            <w:r w:rsidR="00181687">
              <w:rPr>
                <w:b/>
                <w:color w:val="000000"/>
                <w:spacing w:val="-2"/>
              </w:rPr>
              <w:t> December </w:t>
            </w:r>
            <w:r w:rsidR="00541EBC">
              <w:rPr>
                <w:b/>
                <w:color w:val="000000"/>
                <w:spacing w:val="-2"/>
              </w:rPr>
              <w:t>2023</w:t>
            </w:r>
          </w:p>
        </w:tc>
      </w:tr>
      <w:tr w:rsidR="00D83E33" w:rsidRPr="009C6EFA" w14:paraId="41F4CABF" w14:textId="77777777" w:rsidTr="001B330E">
        <w:trPr>
          <w:trHeight w:val="23"/>
        </w:trPr>
        <w:tc>
          <w:tcPr>
            <w:tcW w:w="3182" w:type="pct"/>
            <w:tcBorders>
              <w:top w:val="single" w:sz="4" w:space="0" w:color="000000"/>
            </w:tcBorders>
            <w:shd w:val="clear" w:color="auto" w:fill="auto"/>
            <w:vAlign w:val="bottom"/>
          </w:tcPr>
          <w:p w14:paraId="742C8824" w14:textId="77777777" w:rsidR="00D83E33" w:rsidRPr="001B330E" w:rsidRDefault="00D83E33" w:rsidP="001B330E">
            <w:pPr>
              <w:widowControl w:val="0"/>
              <w:pBdr>
                <w:top w:val="nil"/>
                <w:left w:val="nil"/>
                <w:bottom w:val="nil"/>
                <w:right w:val="nil"/>
                <w:between w:val="nil"/>
              </w:pBdr>
              <w:spacing w:line="235" w:lineRule="auto"/>
              <w:ind w:left="113" w:hanging="113"/>
              <w:rPr>
                <w:color w:val="000000"/>
                <w:spacing w:val="-2"/>
              </w:rPr>
            </w:pPr>
          </w:p>
        </w:tc>
        <w:tc>
          <w:tcPr>
            <w:tcW w:w="303" w:type="pct"/>
            <w:tcBorders>
              <w:top w:val="single" w:sz="4" w:space="0" w:color="000000"/>
            </w:tcBorders>
            <w:shd w:val="clear" w:color="auto" w:fill="auto"/>
            <w:vAlign w:val="bottom"/>
          </w:tcPr>
          <w:p w14:paraId="6B6FC4D0" w14:textId="77777777" w:rsidR="00D83E33" w:rsidRPr="001B330E" w:rsidRDefault="00D83E33" w:rsidP="001B330E">
            <w:pPr>
              <w:widowControl w:val="0"/>
              <w:spacing w:line="235" w:lineRule="auto"/>
              <w:jc w:val="right"/>
              <w:rPr>
                <w:spacing w:val="-2"/>
              </w:rPr>
            </w:pPr>
          </w:p>
        </w:tc>
        <w:tc>
          <w:tcPr>
            <w:tcW w:w="758" w:type="pct"/>
            <w:tcBorders>
              <w:top w:val="single" w:sz="4" w:space="0" w:color="000000"/>
            </w:tcBorders>
          </w:tcPr>
          <w:p w14:paraId="39DE4398" w14:textId="77777777" w:rsidR="00D83E33" w:rsidRPr="001B330E" w:rsidRDefault="00D83E33" w:rsidP="001B330E">
            <w:pPr>
              <w:widowControl w:val="0"/>
              <w:spacing w:line="235" w:lineRule="auto"/>
              <w:jc w:val="right"/>
              <w:rPr>
                <w:spacing w:val="-2"/>
              </w:rPr>
            </w:pPr>
          </w:p>
        </w:tc>
        <w:tc>
          <w:tcPr>
            <w:tcW w:w="757" w:type="pct"/>
            <w:tcBorders>
              <w:top w:val="single" w:sz="4" w:space="0" w:color="000000"/>
            </w:tcBorders>
          </w:tcPr>
          <w:p w14:paraId="1ED3E494" w14:textId="77777777" w:rsidR="00D83E33" w:rsidRPr="001B330E" w:rsidRDefault="00D83E33" w:rsidP="001B330E">
            <w:pPr>
              <w:widowControl w:val="0"/>
              <w:spacing w:line="235" w:lineRule="auto"/>
              <w:jc w:val="right"/>
              <w:rPr>
                <w:spacing w:val="-2"/>
              </w:rPr>
            </w:pPr>
          </w:p>
        </w:tc>
      </w:tr>
      <w:tr w:rsidR="00D83E33" w:rsidRPr="009C6EFA" w14:paraId="3ACA498D" w14:textId="77777777" w:rsidTr="001B330E">
        <w:trPr>
          <w:trHeight w:val="23"/>
        </w:trPr>
        <w:tc>
          <w:tcPr>
            <w:tcW w:w="3182" w:type="pct"/>
            <w:shd w:val="clear" w:color="auto" w:fill="auto"/>
            <w:vAlign w:val="bottom"/>
          </w:tcPr>
          <w:p w14:paraId="6712D814" w14:textId="77777777" w:rsidR="00D83E33" w:rsidRPr="001B330E" w:rsidRDefault="00BC4072" w:rsidP="001B330E">
            <w:pPr>
              <w:widowControl w:val="0"/>
              <w:spacing w:line="235" w:lineRule="auto"/>
              <w:ind w:left="113" w:hanging="113"/>
              <w:rPr>
                <w:spacing w:val="-2"/>
              </w:rPr>
            </w:pPr>
            <w:r w:rsidRPr="001B330E">
              <w:rPr>
                <w:i/>
                <w:spacing w:val="-2"/>
              </w:rPr>
              <w:t>Loans to corporate customers</w:t>
            </w:r>
          </w:p>
        </w:tc>
        <w:tc>
          <w:tcPr>
            <w:tcW w:w="303" w:type="pct"/>
            <w:shd w:val="clear" w:color="auto" w:fill="auto"/>
            <w:vAlign w:val="bottom"/>
          </w:tcPr>
          <w:p w14:paraId="58F8572C" w14:textId="77777777" w:rsidR="00D83E33" w:rsidRPr="001B330E" w:rsidRDefault="00D83E33" w:rsidP="001B330E">
            <w:pPr>
              <w:widowControl w:val="0"/>
              <w:spacing w:line="235" w:lineRule="auto"/>
              <w:jc w:val="right"/>
              <w:rPr>
                <w:spacing w:val="-2"/>
              </w:rPr>
            </w:pPr>
          </w:p>
        </w:tc>
        <w:tc>
          <w:tcPr>
            <w:tcW w:w="758" w:type="pct"/>
          </w:tcPr>
          <w:p w14:paraId="4A352001" w14:textId="77777777" w:rsidR="00D83E33" w:rsidRPr="001B330E" w:rsidRDefault="00D83E33" w:rsidP="001B330E">
            <w:pPr>
              <w:widowControl w:val="0"/>
              <w:spacing w:line="235" w:lineRule="auto"/>
              <w:jc w:val="right"/>
              <w:rPr>
                <w:spacing w:val="-2"/>
              </w:rPr>
            </w:pPr>
          </w:p>
        </w:tc>
        <w:tc>
          <w:tcPr>
            <w:tcW w:w="757" w:type="pct"/>
          </w:tcPr>
          <w:p w14:paraId="7319AB37" w14:textId="77777777" w:rsidR="00D83E33" w:rsidRPr="001B330E" w:rsidRDefault="00D83E33" w:rsidP="001B330E">
            <w:pPr>
              <w:widowControl w:val="0"/>
              <w:spacing w:line="235" w:lineRule="auto"/>
              <w:jc w:val="right"/>
              <w:rPr>
                <w:spacing w:val="-2"/>
              </w:rPr>
            </w:pPr>
          </w:p>
        </w:tc>
      </w:tr>
      <w:tr w:rsidR="00D83E33" w:rsidRPr="009C6EFA" w14:paraId="1A0FFB45" w14:textId="77777777" w:rsidTr="001B330E">
        <w:trPr>
          <w:trHeight w:val="23"/>
        </w:trPr>
        <w:tc>
          <w:tcPr>
            <w:tcW w:w="3182" w:type="pct"/>
            <w:shd w:val="clear" w:color="auto" w:fill="auto"/>
            <w:vAlign w:val="bottom"/>
          </w:tcPr>
          <w:p w14:paraId="7D7487B3" w14:textId="77777777" w:rsidR="00D83E33" w:rsidRPr="001B330E" w:rsidRDefault="00D83E33" w:rsidP="001B330E">
            <w:pPr>
              <w:widowControl w:val="0"/>
              <w:spacing w:line="235" w:lineRule="auto"/>
              <w:ind w:left="113" w:hanging="113"/>
              <w:rPr>
                <w:i/>
                <w:spacing w:val="-2"/>
              </w:rPr>
            </w:pPr>
          </w:p>
        </w:tc>
        <w:tc>
          <w:tcPr>
            <w:tcW w:w="303" w:type="pct"/>
            <w:shd w:val="clear" w:color="auto" w:fill="auto"/>
            <w:vAlign w:val="bottom"/>
          </w:tcPr>
          <w:p w14:paraId="7A86EA4A" w14:textId="77777777" w:rsidR="00D83E33" w:rsidRPr="001B330E" w:rsidRDefault="00D83E33" w:rsidP="001B330E">
            <w:pPr>
              <w:widowControl w:val="0"/>
              <w:spacing w:line="235" w:lineRule="auto"/>
              <w:jc w:val="right"/>
              <w:rPr>
                <w:spacing w:val="-2"/>
              </w:rPr>
            </w:pPr>
          </w:p>
        </w:tc>
        <w:tc>
          <w:tcPr>
            <w:tcW w:w="758" w:type="pct"/>
          </w:tcPr>
          <w:p w14:paraId="24D71A49" w14:textId="77777777" w:rsidR="00D83E33" w:rsidRPr="001B330E" w:rsidRDefault="00D83E33" w:rsidP="001B330E">
            <w:pPr>
              <w:widowControl w:val="0"/>
              <w:spacing w:line="235" w:lineRule="auto"/>
              <w:jc w:val="right"/>
              <w:rPr>
                <w:spacing w:val="-2"/>
              </w:rPr>
            </w:pPr>
          </w:p>
        </w:tc>
        <w:tc>
          <w:tcPr>
            <w:tcW w:w="757" w:type="pct"/>
          </w:tcPr>
          <w:p w14:paraId="6B1830AB" w14:textId="77777777" w:rsidR="00D83E33" w:rsidRPr="001B330E" w:rsidRDefault="00D83E33" w:rsidP="001B330E">
            <w:pPr>
              <w:widowControl w:val="0"/>
              <w:spacing w:line="235" w:lineRule="auto"/>
              <w:jc w:val="right"/>
              <w:rPr>
                <w:spacing w:val="-2"/>
              </w:rPr>
            </w:pPr>
          </w:p>
        </w:tc>
      </w:tr>
      <w:tr w:rsidR="00D83E33" w:rsidRPr="009C6EFA" w14:paraId="673117CD" w14:textId="77777777" w:rsidTr="001B330E">
        <w:trPr>
          <w:trHeight w:val="23"/>
        </w:trPr>
        <w:tc>
          <w:tcPr>
            <w:tcW w:w="3182" w:type="pct"/>
            <w:shd w:val="clear" w:color="auto" w:fill="auto"/>
            <w:vAlign w:val="bottom"/>
          </w:tcPr>
          <w:p w14:paraId="72275650" w14:textId="77777777" w:rsidR="00D83E33" w:rsidRPr="001B330E" w:rsidRDefault="00BC4072" w:rsidP="001B330E">
            <w:pPr>
              <w:widowControl w:val="0"/>
              <w:spacing w:line="235" w:lineRule="auto"/>
              <w:ind w:left="113" w:hanging="113"/>
              <w:rPr>
                <w:spacing w:val="-2"/>
              </w:rPr>
            </w:pPr>
            <w:r w:rsidRPr="001B330E">
              <w:rPr>
                <w:spacing w:val="-2"/>
              </w:rPr>
              <w:t>Standard lending</w:t>
            </w:r>
          </w:p>
        </w:tc>
        <w:tc>
          <w:tcPr>
            <w:tcW w:w="303" w:type="pct"/>
            <w:shd w:val="clear" w:color="auto" w:fill="auto"/>
            <w:vAlign w:val="bottom"/>
          </w:tcPr>
          <w:p w14:paraId="6A272981" w14:textId="77777777" w:rsidR="00D83E33" w:rsidRPr="001B330E" w:rsidRDefault="00D83E33" w:rsidP="001B330E">
            <w:pPr>
              <w:widowControl w:val="0"/>
              <w:spacing w:line="235" w:lineRule="auto"/>
              <w:jc w:val="right"/>
              <w:rPr>
                <w:spacing w:val="-2"/>
              </w:rPr>
            </w:pPr>
          </w:p>
        </w:tc>
        <w:tc>
          <w:tcPr>
            <w:tcW w:w="758" w:type="pct"/>
          </w:tcPr>
          <w:p w14:paraId="7B70302C" w14:textId="77777777" w:rsidR="00D83E33" w:rsidRPr="001B330E" w:rsidRDefault="00D83E33" w:rsidP="001B330E">
            <w:pPr>
              <w:widowControl w:val="0"/>
              <w:spacing w:line="235" w:lineRule="auto"/>
              <w:jc w:val="right"/>
              <w:rPr>
                <w:spacing w:val="-2"/>
              </w:rPr>
            </w:pPr>
          </w:p>
        </w:tc>
        <w:tc>
          <w:tcPr>
            <w:tcW w:w="757" w:type="pct"/>
          </w:tcPr>
          <w:p w14:paraId="19F500EC" w14:textId="77777777" w:rsidR="00D83E33" w:rsidRPr="001B330E" w:rsidRDefault="00D83E33" w:rsidP="001B330E">
            <w:pPr>
              <w:widowControl w:val="0"/>
              <w:spacing w:line="235" w:lineRule="auto"/>
              <w:jc w:val="right"/>
              <w:rPr>
                <w:spacing w:val="-2"/>
              </w:rPr>
            </w:pPr>
          </w:p>
        </w:tc>
      </w:tr>
      <w:tr w:rsidR="00D83E33" w:rsidRPr="009C6EFA" w14:paraId="3A478BC4" w14:textId="77777777" w:rsidTr="001B330E">
        <w:trPr>
          <w:trHeight w:val="23"/>
        </w:trPr>
        <w:tc>
          <w:tcPr>
            <w:tcW w:w="3182" w:type="pct"/>
            <w:shd w:val="clear" w:color="auto" w:fill="auto"/>
            <w:vAlign w:val="bottom"/>
          </w:tcPr>
          <w:p w14:paraId="616B0AE8" w14:textId="77777777" w:rsidR="00D83E33" w:rsidRPr="001B330E" w:rsidRDefault="00BC4072" w:rsidP="001B330E">
            <w:pPr>
              <w:widowControl w:val="0"/>
              <w:spacing w:line="235" w:lineRule="auto"/>
              <w:ind w:left="113" w:hanging="113"/>
              <w:rPr>
                <w:spacing w:val="-2"/>
              </w:rPr>
            </w:pPr>
            <w:r w:rsidRPr="001B330E">
              <w:rPr>
                <w:spacing w:val="-2"/>
              </w:rPr>
              <w:t>Specialised lending</w:t>
            </w:r>
          </w:p>
        </w:tc>
        <w:tc>
          <w:tcPr>
            <w:tcW w:w="303" w:type="pct"/>
            <w:shd w:val="clear" w:color="auto" w:fill="auto"/>
            <w:vAlign w:val="bottom"/>
          </w:tcPr>
          <w:p w14:paraId="628E54A6" w14:textId="77777777" w:rsidR="00D83E33" w:rsidRPr="001B330E" w:rsidRDefault="00D83E33" w:rsidP="001B330E">
            <w:pPr>
              <w:widowControl w:val="0"/>
              <w:spacing w:line="235" w:lineRule="auto"/>
              <w:jc w:val="right"/>
              <w:rPr>
                <w:spacing w:val="-2"/>
              </w:rPr>
            </w:pPr>
          </w:p>
        </w:tc>
        <w:tc>
          <w:tcPr>
            <w:tcW w:w="758" w:type="pct"/>
          </w:tcPr>
          <w:p w14:paraId="09525380" w14:textId="77777777" w:rsidR="00D83E33" w:rsidRPr="001B330E" w:rsidRDefault="00D83E33" w:rsidP="001B330E">
            <w:pPr>
              <w:widowControl w:val="0"/>
              <w:spacing w:line="235" w:lineRule="auto"/>
              <w:jc w:val="right"/>
              <w:rPr>
                <w:spacing w:val="-2"/>
              </w:rPr>
            </w:pPr>
          </w:p>
        </w:tc>
        <w:tc>
          <w:tcPr>
            <w:tcW w:w="757" w:type="pct"/>
          </w:tcPr>
          <w:p w14:paraId="365A1E42" w14:textId="77777777" w:rsidR="00D83E33" w:rsidRPr="001B330E" w:rsidRDefault="00D83E33" w:rsidP="001B330E">
            <w:pPr>
              <w:widowControl w:val="0"/>
              <w:spacing w:line="235" w:lineRule="auto"/>
              <w:jc w:val="right"/>
              <w:rPr>
                <w:spacing w:val="-2"/>
              </w:rPr>
            </w:pPr>
          </w:p>
        </w:tc>
      </w:tr>
      <w:tr w:rsidR="00D83E33" w:rsidRPr="009C6EFA" w14:paraId="0ED03487" w14:textId="77777777" w:rsidTr="001B330E">
        <w:trPr>
          <w:trHeight w:val="23"/>
        </w:trPr>
        <w:tc>
          <w:tcPr>
            <w:tcW w:w="3182" w:type="pct"/>
            <w:shd w:val="clear" w:color="auto" w:fill="auto"/>
            <w:vAlign w:val="bottom"/>
          </w:tcPr>
          <w:p w14:paraId="65C9A41C" w14:textId="77777777" w:rsidR="00D83E33" w:rsidRPr="001B330E" w:rsidRDefault="00BC4072" w:rsidP="001B330E">
            <w:pPr>
              <w:widowControl w:val="0"/>
              <w:spacing w:line="235" w:lineRule="auto"/>
              <w:ind w:left="113" w:hanging="113"/>
              <w:rPr>
                <w:spacing w:val="-2"/>
              </w:rPr>
            </w:pPr>
            <w:r w:rsidRPr="001B330E">
              <w:rPr>
                <w:spacing w:val="-2"/>
              </w:rPr>
              <w:t>Loans to sovereigns</w:t>
            </w:r>
          </w:p>
        </w:tc>
        <w:tc>
          <w:tcPr>
            <w:tcW w:w="303" w:type="pct"/>
            <w:shd w:val="clear" w:color="auto" w:fill="auto"/>
            <w:vAlign w:val="bottom"/>
          </w:tcPr>
          <w:p w14:paraId="03A9B213" w14:textId="77777777" w:rsidR="00D83E33" w:rsidRPr="001B330E" w:rsidRDefault="00D83E33" w:rsidP="001B330E">
            <w:pPr>
              <w:widowControl w:val="0"/>
              <w:spacing w:line="235" w:lineRule="auto"/>
              <w:jc w:val="right"/>
              <w:rPr>
                <w:spacing w:val="-2"/>
              </w:rPr>
            </w:pPr>
          </w:p>
        </w:tc>
        <w:tc>
          <w:tcPr>
            <w:tcW w:w="758" w:type="pct"/>
          </w:tcPr>
          <w:p w14:paraId="20212599" w14:textId="77777777" w:rsidR="00D83E33" w:rsidRPr="001B330E" w:rsidRDefault="00D83E33" w:rsidP="001B330E">
            <w:pPr>
              <w:widowControl w:val="0"/>
              <w:spacing w:line="235" w:lineRule="auto"/>
              <w:jc w:val="right"/>
              <w:rPr>
                <w:spacing w:val="-2"/>
              </w:rPr>
            </w:pPr>
          </w:p>
        </w:tc>
        <w:tc>
          <w:tcPr>
            <w:tcW w:w="757" w:type="pct"/>
          </w:tcPr>
          <w:p w14:paraId="32AC15E1" w14:textId="77777777" w:rsidR="00D83E33" w:rsidRPr="001B330E" w:rsidRDefault="00D83E33" w:rsidP="001B330E">
            <w:pPr>
              <w:widowControl w:val="0"/>
              <w:spacing w:line="235" w:lineRule="auto"/>
              <w:jc w:val="right"/>
              <w:rPr>
                <w:spacing w:val="-2"/>
              </w:rPr>
            </w:pPr>
          </w:p>
        </w:tc>
      </w:tr>
      <w:tr w:rsidR="00D83E33" w:rsidRPr="009C6EFA" w14:paraId="483A51F9" w14:textId="77777777" w:rsidTr="001B330E">
        <w:trPr>
          <w:trHeight w:val="23"/>
        </w:trPr>
        <w:tc>
          <w:tcPr>
            <w:tcW w:w="3182" w:type="pct"/>
            <w:shd w:val="clear" w:color="auto" w:fill="auto"/>
            <w:vAlign w:val="bottom"/>
          </w:tcPr>
          <w:p w14:paraId="647BE613" w14:textId="77777777" w:rsidR="00D83E33" w:rsidRPr="001B330E" w:rsidRDefault="00BC4072" w:rsidP="001B330E">
            <w:pPr>
              <w:widowControl w:val="0"/>
              <w:spacing w:line="235" w:lineRule="auto"/>
              <w:ind w:left="113" w:hanging="113"/>
              <w:rPr>
                <w:spacing w:val="-2"/>
              </w:rPr>
            </w:pPr>
            <w:r w:rsidRPr="001B330E">
              <w:rPr>
                <w:spacing w:val="-2"/>
              </w:rPr>
              <w:t>Loans to sub-sovereigns</w:t>
            </w:r>
          </w:p>
        </w:tc>
        <w:tc>
          <w:tcPr>
            <w:tcW w:w="303" w:type="pct"/>
            <w:shd w:val="clear" w:color="auto" w:fill="auto"/>
            <w:vAlign w:val="bottom"/>
          </w:tcPr>
          <w:p w14:paraId="0036483D" w14:textId="77777777" w:rsidR="00D83E33" w:rsidRPr="001B330E" w:rsidRDefault="00D83E33" w:rsidP="001B330E">
            <w:pPr>
              <w:widowControl w:val="0"/>
              <w:spacing w:line="235" w:lineRule="auto"/>
              <w:jc w:val="right"/>
              <w:rPr>
                <w:spacing w:val="-2"/>
              </w:rPr>
            </w:pPr>
          </w:p>
        </w:tc>
        <w:tc>
          <w:tcPr>
            <w:tcW w:w="758" w:type="pct"/>
          </w:tcPr>
          <w:p w14:paraId="3D7DFDC3" w14:textId="77777777" w:rsidR="00D83E33" w:rsidRPr="001B330E" w:rsidRDefault="00D83E33" w:rsidP="001B330E">
            <w:pPr>
              <w:widowControl w:val="0"/>
              <w:spacing w:line="235" w:lineRule="auto"/>
              <w:jc w:val="right"/>
              <w:rPr>
                <w:spacing w:val="-2"/>
              </w:rPr>
            </w:pPr>
          </w:p>
        </w:tc>
        <w:tc>
          <w:tcPr>
            <w:tcW w:w="757" w:type="pct"/>
          </w:tcPr>
          <w:p w14:paraId="257D0520" w14:textId="77777777" w:rsidR="00D83E33" w:rsidRPr="001B330E" w:rsidRDefault="00D83E33" w:rsidP="001B330E">
            <w:pPr>
              <w:widowControl w:val="0"/>
              <w:spacing w:line="235" w:lineRule="auto"/>
              <w:jc w:val="right"/>
              <w:rPr>
                <w:spacing w:val="-2"/>
              </w:rPr>
            </w:pPr>
          </w:p>
        </w:tc>
      </w:tr>
      <w:tr w:rsidR="00D83E33" w:rsidRPr="009C6EFA" w14:paraId="2DFBA4E8" w14:textId="77777777" w:rsidTr="001B330E">
        <w:trPr>
          <w:trHeight w:val="23"/>
        </w:trPr>
        <w:tc>
          <w:tcPr>
            <w:tcW w:w="3182" w:type="pct"/>
            <w:shd w:val="clear" w:color="auto" w:fill="auto"/>
            <w:vAlign w:val="bottom"/>
          </w:tcPr>
          <w:p w14:paraId="0067A3E3" w14:textId="77777777" w:rsidR="00D83E33" w:rsidRPr="001B330E" w:rsidRDefault="00BC4072" w:rsidP="001B330E">
            <w:pPr>
              <w:widowControl w:val="0"/>
              <w:spacing w:line="235" w:lineRule="auto"/>
              <w:ind w:left="113" w:hanging="113"/>
              <w:rPr>
                <w:spacing w:val="-2"/>
              </w:rPr>
            </w:pPr>
            <w:r w:rsidRPr="001B330E">
              <w:rPr>
                <w:spacing w:val="-2"/>
              </w:rPr>
              <w:t>Loans to SME</w:t>
            </w:r>
          </w:p>
        </w:tc>
        <w:tc>
          <w:tcPr>
            <w:tcW w:w="303" w:type="pct"/>
            <w:shd w:val="clear" w:color="auto" w:fill="auto"/>
            <w:vAlign w:val="bottom"/>
          </w:tcPr>
          <w:p w14:paraId="2306FA8E" w14:textId="77777777" w:rsidR="00D83E33" w:rsidRPr="001B330E" w:rsidRDefault="00D83E33" w:rsidP="001B330E">
            <w:pPr>
              <w:widowControl w:val="0"/>
              <w:spacing w:line="235" w:lineRule="auto"/>
              <w:jc w:val="right"/>
              <w:rPr>
                <w:spacing w:val="-2"/>
              </w:rPr>
            </w:pPr>
          </w:p>
        </w:tc>
        <w:tc>
          <w:tcPr>
            <w:tcW w:w="758" w:type="pct"/>
          </w:tcPr>
          <w:p w14:paraId="5DC6F12D" w14:textId="77777777" w:rsidR="00D83E33" w:rsidRPr="001B330E" w:rsidRDefault="00D83E33" w:rsidP="001B330E">
            <w:pPr>
              <w:widowControl w:val="0"/>
              <w:spacing w:line="235" w:lineRule="auto"/>
              <w:jc w:val="right"/>
              <w:rPr>
                <w:spacing w:val="-2"/>
              </w:rPr>
            </w:pPr>
          </w:p>
        </w:tc>
        <w:tc>
          <w:tcPr>
            <w:tcW w:w="757" w:type="pct"/>
          </w:tcPr>
          <w:p w14:paraId="341F4089" w14:textId="77777777" w:rsidR="00D83E33" w:rsidRPr="001B330E" w:rsidRDefault="00D83E33" w:rsidP="001B330E">
            <w:pPr>
              <w:widowControl w:val="0"/>
              <w:spacing w:line="235" w:lineRule="auto"/>
              <w:jc w:val="right"/>
              <w:rPr>
                <w:spacing w:val="-2"/>
              </w:rPr>
            </w:pPr>
          </w:p>
        </w:tc>
      </w:tr>
      <w:tr w:rsidR="00D83E33" w:rsidRPr="009C6EFA" w14:paraId="1F9AA250" w14:textId="77777777" w:rsidTr="001B330E">
        <w:trPr>
          <w:trHeight w:val="23"/>
        </w:trPr>
        <w:tc>
          <w:tcPr>
            <w:tcW w:w="3182" w:type="pct"/>
            <w:shd w:val="clear" w:color="auto" w:fill="auto"/>
            <w:vAlign w:val="bottom"/>
          </w:tcPr>
          <w:p w14:paraId="29F229A8" w14:textId="77777777" w:rsidR="00D83E33" w:rsidRPr="001B330E" w:rsidRDefault="00BC4072" w:rsidP="001B330E">
            <w:pPr>
              <w:widowControl w:val="0"/>
              <w:spacing w:line="235" w:lineRule="auto"/>
              <w:ind w:left="113" w:hanging="113"/>
              <w:rPr>
                <w:spacing w:val="-2"/>
              </w:rPr>
            </w:pPr>
            <w:r w:rsidRPr="001B330E">
              <w:rPr>
                <w:spacing w:val="-2"/>
              </w:rPr>
              <w:t>Loans to leasing companies</w:t>
            </w:r>
          </w:p>
        </w:tc>
        <w:tc>
          <w:tcPr>
            <w:tcW w:w="303" w:type="pct"/>
            <w:shd w:val="clear" w:color="auto" w:fill="auto"/>
            <w:vAlign w:val="bottom"/>
          </w:tcPr>
          <w:p w14:paraId="4A34CF8C" w14:textId="77777777" w:rsidR="00D83E33" w:rsidRPr="001B330E" w:rsidRDefault="00D83E33" w:rsidP="001B330E">
            <w:pPr>
              <w:widowControl w:val="0"/>
              <w:spacing w:line="235" w:lineRule="auto"/>
              <w:jc w:val="right"/>
              <w:rPr>
                <w:spacing w:val="-2"/>
              </w:rPr>
            </w:pPr>
          </w:p>
        </w:tc>
        <w:tc>
          <w:tcPr>
            <w:tcW w:w="758" w:type="pct"/>
          </w:tcPr>
          <w:p w14:paraId="670B0C91" w14:textId="77777777" w:rsidR="00D83E33" w:rsidRPr="001B330E" w:rsidRDefault="00D83E33" w:rsidP="001B330E">
            <w:pPr>
              <w:widowControl w:val="0"/>
              <w:spacing w:line="235" w:lineRule="auto"/>
              <w:jc w:val="right"/>
              <w:rPr>
                <w:spacing w:val="-2"/>
              </w:rPr>
            </w:pPr>
          </w:p>
        </w:tc>
        <w:tc>
          <w:tcPr>
            <w:tcW w:w="757" w:type="pct"/>
          </w:tcPr>
          <w:p w14:paraId="2DEE074B" w14:textId="77777777" w:rsidR="00D83E33" w:rsidRPr="001B330E" w:rsidRDefault="00D83E33" w:rsidP="001B330E">
            <w:pPr>
              <w:widowControl w:val="0"/>
              <w:spacing w:line="235" w:lineRule="auto"/>
              <w:jc w:val="right"/>
              <w:rPr>
                <w:spacing w:val="-2"/>
              </w:rPr>
            </w:pPr>
          </w:p>
        </w:tc>
      </w:tr>
      <w:tr w:rsidR="00D83E33" w:rsidRPr="009C6EFA" w14:paraId="48B5D409" w14:textId="77777777" w:rsidTr="001B330E">
        <w:trPr>
          <w:trHeight w:val="23"/>
        </w:trPr>
        <w:tc>
          <w:tcPr>
            <w:tcW w:w="3182" w:type="pct"/>
            <w:shd w:val="clear" w:color="auto" w:fill="auto"/>
            <w:vAlign w:val="bottom"/>
          </w:tcPr>
          <w:p w14:paraId="0A519748" w14:textId="77777777" w:rsidR="00D83E33" w:rsidRPr="001B330E" w:rsidRDefault="00BC4072" w:rsidP="001B330E">
            <w:pPr>
              <w:widowControl w:val="0"/>
              <w:spacing w:line="235" w:lineRule="auto"/>
              <w:ind w:left="113" w:hanging="113"/>
              <w:rPr>
                <w:spacing w:val="-2"/>
              </w:rPr>
            </w:pPr>
            <w:r w:rsidRPr="001B330E">
              <w:rPr>
                <w:spacing w:val="-2"/>
              </w:rPr>
              <w:t xml:space="preserve">Reverse sale and repurchase agreements </w:t>
            </w:r>
          </w:p>
        </w:tc>
        <w:tc>
          <w:tcPr>
            <w:tcW w:w="303" w:type="pct"/>
            <w:shd w:val="clear" w:color="auto" w:fill="auto"/>
            <w:vAlign w:val="bottom"/>
          </w:tcPr>
          <w:p w14:paraId="77254BD1" w14:textId="77777777" w:rsidR="00D83E33" w:rsidRPr="001B330E" w:rsidRDefault="00D83E33" w:rsidP="001B330E">
            <w:pPr>
              <w:widowControl w:val="0"/>
              <w:spacing w:line="235" w:lineRule="auto"/>
              <w:jc w:val="right"/>
              <w:rPr>
                <w:spacing w:val="-2"/>
              </w:rPr>
            </w:pPr>
          </w:p>
        </w:tc>
        <w:tc>
          <w:tcPr>
            <w:tcW w:w="758" w:type="pct"/>
          </w:tcPr>
          <w:p w14:paraId="6CDA86A3" w14:textId="77777777" w:rsidR="00D83E33" w:rsidRPr="001B330E" w:rsidRDefault="00D83E33" w:rsidP="001B330E">
            <w:pPr>
              <w:widowControl w:val="0"/>
              <w:spacing w:line="235" w:lineRule="auto"/>
              <w:jc w:val="right"/>
              <w:rPr>
                <w:spacing w:val="-2"/>
              </w:rPr>
            </w:pPr>
          </w:p>
        </w:tc>
        <w:tc>
          <w:tcPr>
            <w:tcW w:w="757" w:type="pct"/>
          </w:tcPr>
          <w:p w14:paraId="166C02D8" w14:textId="77777777" w:rsidR="00D83E33" w:rsidRPr="001B330E" w:rsidRDefault="00D83E33" w:rsidP="001B330E">
            <w:pPr>
              <w:widowControl w:val="0"/>
              <w:spacing w:line="235" w:lineRule="auto"/>
              <w:jc w:val="right"/>
              <w:rPr>
                <w:spacing w:val="-2"/>
              </w:rPr>
            </w:pPr>
          </w:p>
        </w:tc>
      </w:tr>
      <w:tr w:rsidR="00D83E33" w:rsidRPr="009C6EFA" w14:paraId="4E822E3C" w14:textId="77777777" w:rsidTr="001B330E">
        <w:trPr>
          <w:trHeight w:val="23"/>
        </w:trPr>
        <w:tc>
          <w:tcPr>
            <w:tcW w:w="3182" w:type="pct"/>
            <w:shd w:val="clear" w:color="auto" w:fill="auto"/>
            <w:vAlign w:val="bottom"/>
          </w:tcPr>
          <w:p w14:paraId="0294469F" w14:textId="77777777" w:rsidR="00D83E33" w:rsidRPr="001B330E" w:rsidRDefault="00D83E33" w:rsidP="001B330E">
            <w:pPr>
              <w:widowControl w:val="0"/>
              <w:pBdr>
                <w:top w:val="nil"/>
                <w:left w:val="nil"/>
                <w:bottom w:val="nil"/>
                <w:right w:val="nil"/>
                <w:between w:val="nil"/>
              </w:pBdr>
              <w:spacing w:line="235" w:lineRule="auto"/>
              <w:ind w:left="113" w:hanging="113"/>
              <w:rPr>
                <w:color w:val="000000"/>
                <w:spacing w:val="-2"/>
              </w:rPr>
            </w:pPr>
          </w:p>
        </w:tc>
        <w:tc>
          <w:tcPr>
            <w:tcW w:w="303" w:type="pct"/>
            <w:shd w:val="clear" w:color="auto" w:fill="auto"/>
            <w:vAlign w:val="bottom"/>
          </w:tcPr>
          <w:p w14:paraId="0D66041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758" w:type="pct"/>
          </w:tcPr>
          <w:p w14:paraId="1DB71D3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757" w:type="pct"/>
          </w:tcPr>
          <w:p w14:paraId="14E92020"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9C6EFA" w14:paraId="674D0D37" w14:textId="77777777" w:rsidTr="001B330E">
        <w:trPr>
          <w:trHeight w:val="23"/>
        </w:trPr>
        <w:tc>
          <w:tcPr>
            <w:tcW w:w="3182" w:type="pct"/>
            <w:shd w:val="clear" w:color="auto" w:fill="auto"/>
            <w:vAlign w:val="bottom"/>
          </w:tcPr>
          <w:p w14:paraId="73349FFE" w14:textId="77777777" w:rsidR="00D83E33" w:rsidRPr="001B330E" w:rsidRDefault="00BC4072" w:rsidP="001B330E">
            <w:pPr>
              <w:widowControl w:val="0"/>
              <w:spacing w:line="235" w:lineRule="auto"/>
              <w:ind w:left="113" w:hanging="113"/>
              <w:rPr>
                <w:spacing w:val="-2"/>
              </w:rPr>
            </w:pPr>
            <w:r w:rsidRPr="001B330E">
              <w:rPr>
                <w:i/>
                <w:spacing w:val="-2"/>
              </w:rPr>
              <w:t>Loans to individuals</w:t>
            </w:r>
          </w:p>
        </w:tc>
        <w:tc>
          <w:tcPr>
            <w:tcW w:w="303" w:type="pct"/>
            <w:shd w:val="clear" w:color="auto" w:fill="auto"/>
            <w:vAlign w:val="bottom"/>
          </w:tcPr>
          <w:p w14:paraId="44EAB83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758" w:type="pct"/>
          </w:tcPr>
          <w:p w14:paraId="7BA9702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757" w:type="pct"/>
          </w:tcPr>
          <w:p w14:paraId="2E3FF955"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9C6EFA" w14:paraId="6B58287A" w14:textId="77777777" w:rsidTr="001B330E">
        <w:trPr>
          <w:trHeight w:val="23"/>
        </w:trPr>
        <w:tc>
          <w:tcPr>
            <w:tcW w:w="3182" w:type="pct"/>
            <w:shd w:val="clear" w:color="auto" w:fill="auto"/>
            <w:vAlign w:val="bottom"/>
          </w:tcPr>
          <w:p w14:paraId="1200E0EF" w14:textId="77777777" w:rsidR="00D83E33" w:rsidRPr="001B330E" w:rsidRDefault="00D83E33" w:rsidP="001B330E">
            <w:pPr>
              <w:widowControl w:val="0"/>
              <w:spacing w:line="235" w:lineRule="auto"/>
              <w:ind w:left="113" w:hanging="113"/>
              <w:rPr>
                <w:i/>
                <w:spacing w:val="-2"/>
              </w:rPr>
            </w:pPr>
          </w:p>
        </w:tc>
        <w:tc>
          <w:tcPr>
            <w:tcW w:w="303" w:type="pct"/>
            <w:shd w:val="clear" w:color="auto" w:fill="auto"/>
            <w:vAlign w:val="bottom"/>
          </w:tcPr>
          <w:p w14:paraId="46C1DE2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758" w:type="pct"/>
          </w:tcPr>
          <w:p w14:paraId="16747A41"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757" w:type="pct"/>
          </w:tcPr>
          <w:p w14:paraId="0D82BB4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9C6EFA" w14:paraId="6DEC05A1" w14:textId="77777777" w:rsidTr="001B330E">
        <w:trPr>
          <w:trHeight w:val="23"/>
        </w:trPr>
        <w:tc>
          <w:tcPr>
            <w:tcW w:w="3182" w:type="pct"/>
            <w:shd w:val="clear" w:color="auto" w:fill="auto"/>
            <w:vAlign w:val="bottom"/>
          </w:tcPr>
          <w:p w14:paraId="3015B04E" w14:textId="77777777" w:rsidR="00D83E33" w:rsidRPr="001B330E" w:rsidRDefault="00BC4072" w:rsidP="001B330E">
            <w:pPr>
              <w:widowControl w:val="0"/>
              <w:spacing w:line="235" w:lineRule="auto"/>
              <w:ind w:left="113" w:hanging="113"/>
              <w:rPr>
                <w:spacing w:val="-2"/>
              </w:rPr>
            </w:pPr>
            <w:r w:rsidRPr="001B330E">
              <w:rPr>
                <w:spacing w:val="-2"/>
              </w:rPr>
              <w:t xml:space="preserve">Mortgage loans </w:t>
            </w:r>
          </w:p>
        </w:tc>
        <w:tc>
          <w:tcPr>
            <w:tcW w:w="303" w:type="pct"/>
            <w:shd w:val="clear" w:color="auto" w:fill="auto"/>
            <w:vAlign w:val="bottom"/>
          </w:tcPr>
          <w:p w14:paraId="4B196E09" w14:textId="77777777" w:rsidR="00D83E33" w:rsidRPr="001B330E" w:rsidRDefault="00D83E33" w:rsidP="001B330E">
            <w:pPr>
              <w:widowControl w:val="0"/>
              <w:spacing w:line="235" w:lineRule="auto"/>
              <w:jc w:val="right"/>
              <w:rPr>
                <w:spacing w:val="-2"/>
              </w:rPr>
            </w:pPr>
          </w:p>
        </w:tc>
        <w:tc>
          <w:tcPr>
            <w:tcW w:w="758" w:type="pct"/>
          </w:tcPr>
          <w:p w14:paraId="299F36F9" w14:textId="77777777" w:rsidR="00D83E33" w:rsidRPr="001B330E" w:rsidRDefault="00D83E33" w:rsidP="001B330E">
            <w:pPr>
              <w:widowControl w:val="0"/>
              <w:spacing w:line="235" w:lineRule="auto"/>
              <w:jc w:val="right"/>
              <w:rPr>
                <w:spacing w:val="-2"/>
              </w:rPr>
            </w:pPr>
          </w:p>
        </w:tc>
        <w:tc>
          <w:tcPr>
            <w:tcW w:w="757" w:type="pct"/>
          </w:tcPr>
          <w:p w14:paraId="5C0CB0EB" w14:textId="77777777" w:rsidR="00D83E33" w:rsidRPr="001B330E" w:rsidRDefault="00D83E33" w:rsidP="001B330E">
            <w:pPr>
              <w:widowControl w:val="0"/>
              <w:spacing w:line="235" w:lineRule="auto"/>
              <w:jc w:val="right"/>
              <w:rPr>
                <w:spacing w:val="-2"/>
              </w:rPr>
            </w:pPr>
          </w:p>
        </w:tc>
      </w:tr>
      <w:tr w:rsidR="00D83E33" w:rsidRPr="009C6EFA" w14:paraId="2D4E77AE" w14:textId="77777777" w:rsidTr="001B330E">
        <w:trPr>
          <w:trHeight w:val="23"/>
        </w:trPr>
        <w:tc>
          <w:tcPr>
            <w:tcW w:w="3182" w:type="pct"/>
            <w:shd w:val="clear" w:color="auto" w:fill="auto"/>
            <w:vAlign w:val="bottom"/>
          </w:tcPr>
          <w:p w14:paraId="12A0DEA9" w14:textId="77777777" w:rsidR="00D83E33" w:rsidRPr="001B330E" w:rsidRDefault="00BC4072" w:rsidP="001B330E">
            <w:pPr>
              <w:widowControl w:val="0"/>
              <w:spacing w:line="235" w:lineRule="auto"/>
              <w:ind w:left="113" w:hanging="113"/>
              <w:rPr>
                <w:spacing w:val="-2"/>
              </w:rPr>
            </w:pPr>
            <w:r w:rsidRPr="001B330E">
              <w:rPr>
                <w:spacing w:val="-2"/>
              </w:rPr>
              <w:t>Consumer loans</w:t>
            </w:r>
          </w:p>
        </w:tc>
        <w:tc>
          <w:tcPr>
            <w:tcW w:w="303" w:type="pct"/>
            <w:shd w:val="clear" w:color="auto" w:fill="auto"/>
            <w:vAlign w:val="bottom"/>
          </w:tcPr>
          <w:p w14:paraId="408AC5E6" w14:textId="77777777" w:rsidR="00D83E33" w:rsidRPr="001B330E" w:rsidRDefault="00D83E33" w:rsidP="001B330E">
            <w:pPr>
              <w:widowControl w:val="0"/>
              <w:spacing w:line="235" w:lineRule="auto"/>
              <w:jc w:val="right"/>
              <w:rPr>
                <w:spacing w:val="-2"/>
              </w:rPr>
            </w:pPr>
          </w:p>
        </w:tc>
        <w:tc>
          <w:tcPr>
            <w:tcW w:w="758" w:type="pct"/>
          </w:tcPr>
          <w:p w14:paraId="26D6CD7E" w14:textId="77777777" w:rsidR="00D83E33" w:rsidRPr="001B330E" w:rsidRDefault="00D83E33" w:rsidP="001B330E">
            <w:pPr>
              <w:widowControl w:val="0"/>
              <w:spacing w:line="235" w:lineRule="auto"/>
              <w:jc w:val="right"/>
              <w:rPr>
                <w:spacing w:val="-2"/>
              </w:rPr>
            </w:pPr>
          </w:p>
        </w:tc>
        <w:tc>
          <w:tcPr>
            <w:tcW w:w="757" w:type="pct"/>
          </w:tcPr>
          <w:p w14:paraId="19961273" w14:textId="77777777" w:rsidR="00D83E33" w:rsidRPr="001B330E" w:rsidRDefault="00D83E33" w:rsidP="001B330E">
            <w:pPr>
              <w:widowControl w:val="0"/>
              <w:spacing w:line="235" w:lineRule="auto"/>
              <w:jc w:val="right"/>
              <w:rPr>
                <w:spacing w:val="-2"/>
              </w:rPr>
            </w:pPr>
          </w:p>
        </w:tc>
      </w:tr>
      <w:tr w:rsidR="00D83E33" w:rsidRPr="009C6EFA" w14:paraId="6AD87525" w14:textId="77777777" w:rsidTr="001B330E">
        <w:trPr>
          <w:trHeight w:val="23"/>
        </w:trPr>
        <w:tc>
          <w:tcPr>
            <w:tcW w:w="3182" w:type="pct"/>
            <w:shd w:val="clear" w:color="auto" w:fill="auto"/>
            <w:vAlign w:val="bottom"/>
          </w:tcPr>
          <w:p w14:paraId="36522700" w14:textId="77777777" w:rsidR="00D83E33" w:rsidRPr="001B330E" w:rsidRDefault="00BC4072" w:rsidP="001B330E">
            <w:pPr>
              <w:widowControl w:val="0"/>
              <w:spacing w:line="235" w:lineRule="auto"/>
              <w:ind w:left="113" w:hanging="113"/>
              <w:rPr>
                <w:spacing w:val="-2"/>
              </w:rPr>
            </w:pPr>
            <w:r w:rsidRPr="001B330E">
              <w:rPr>
                <w:spacing w:val="-2"/>
              </w:rPr>
              <w:t>Car loans</w:t>
            </w:r>
          </w:p>
        </w:tc>
        <w:tc>
          <w:tcPr>
            <w:tcW w:w="303" w:type="pct"/>
            <w:shd w:val="clear" w:color="auto" w:fill="auto"/>
            <w:vAlign w:val="bottom"/>
          </w:tcPr>
          <w:p w14:paraId="08AF0E35" w14:textId="77777777" w:rsidR="00D83E33" w:rsidRPr="001B330E" w:rsidRDefault="00D83E33" w:rsidP="001B330E">
            <w:pPr>
              <w:widowControl w:val="0"/>
              <w:spacing w:line="235" w:lineRule="auto"/>
              <w:jc w:val="right"/>
              <w:rPr>
                <w:spacing w:val="-2"/>
              </w:rPr>
            </w:pPr>
          </w:p>
        </w:tc>
        <w:tc>
          <w:tcPr>
            <w:tcW w:w="758" w:type="pct"/>
          </w:tcPr>
          <w:p w14:paraId="3EC0CD9D" w14:textId="77777777" w:rsidR="00D83E33" w:rsidRPr="001B330E" w:rsidRDefault="00D83E33" w:rsidP="001B330E">
            <w:pPr>
              <w:widowControl w:val="0"/>
              <w:spacing w:line="235" w:lineRule="auto"/>
              <w:jc w:val="right"/>
              <w:rPr>
                <w:spacing w:val="-2"/>
              </w:rPr>
            </w:pPr>
          </w:p>
        </w:tc>
        <w:tc>
          <w:tcPr>
            <w:tcW w:w="757" w:type="pct"/>
          </w:tcPr>
          <w:p w14:paraId="059CC905" w14:textId="77777777" w:rsidR="00D83E33" w:rsidRPr="001B330E" w:rsidRDefault="00D83E33" w:rsidP="001B330E">
            <w:pPr>
              <w:widowControl w:val="0"/>
              <w:spacing w:line="235" w:lineRule="auto"/>
              <w:jc w:val="right"/>
              <w:rPr>
                <w:spacing w:val="-2"/>
              </w:rPr>
            </w:pPr>
          </w:p>
        </w:tc>
      </w:tr>
      <w:tr w:rsidR="00D83E33" w:rsidRPr="009C6EFA" w14:paraId="2D4D6C5F" w14:textId="77777777" w:rsidTr="001B330E">
        <w:trPr>
          <w:trHeight w:val="23"/>
        </w:trPr>
        <w:tc>
          <w:tcPr>
            <w:tcW w:w="3182" w:type="pct"/>
            <w:shd w:val="clear" w:color="auto" w:fill="auto"/>
            <w:vAlign w:val="bottom"/>
          </w:tcPr>
          <w:p w14:paraId="0D12EC5A" w14:textId="77777777" w:rsidR="00D83E33" w:rsidRPr="001B330E" w:rsidRDefault="00BC4072" w:rsidP="001B330E">
            <w:pPr>
              <w:widowControl w:val="0"/>
              <w:spacing w:line="235" w:lineRule="auto"/>
              <w:ind w:left="113" w:hanging="113"/>
              <w:rPr>
                <w:spacing w:val="-2"/>
              </w:rPr>
            </w:pPr>
            <w:r w:rsidRPr="001B330E">
              <w:rPr>
                <w:spacing w:val="-2"/>
              </w:rPr>
              <w:t xml:space="preserve">Credit cards </w:t>
            </w:r>
          </w:p>
        </w:tc>
        <w:tc>
          <w:tcPr>
            <w:tcW w:w="303" w:type="pct"/>
            <w:shd w:val="clear" w:color="auto" w:fill="auto"/>
            <w:vAlign w:val="bottom"/>
          </w:tcPr>
          <w:p w14:paraId="2A01FF5B" w14:textId="77777777" w:rsidR="00D83E33" w:rsidRPr="001B330E" w:rsidRDefault="00D83E33" w:rsidP="001B330E">
            <w:pPr>
              <w:widowControl w:val="0"/>
              <w:spacing w:line="235" w:lineRule="auto"/>
              <w:jc w:val="right"/>
              <w:rPr>
                <w:spacing w:val="-2"/>
              </w:rPr>
            </w:pPr>
          </w:p>
        </w:tc>
        <w:tc>
          <w:tcPr>
            <w:tcW w:w="758" w:type="pct"/>
          </w:tcPr>
          <w:p w14:paraId="29AE048D" w14:textId="77777777" w:rsidR="00D83E33" w:rsidRPr="001B330E" w:rsidRDefault="00D83E33" w:rsidP="001B330E">
            <w:pPr>
              <w:widowControl w:val="0"/>
              <w:spacing w:line="235" w:lineRule="auto"/>
              <w:jc w:val="right"/>
              <w:rPr>
                <w:spacing w:val="-2"/>
              </w:rPr>
            </w:pPr>
          </w:p>
        </w:tc>
        <w:tc>
          <w:tcPr>
            <w:tcW w:w="757" w:type="pct"/>
          </w:tcPr>
          <w:p w14:paraId="13F15B6F" w14:textId="77777777" w:rsidR="00D83E33" w:rsidRPr="001B330E" w:rsidRDefault="00D83E33" w:rsidP="001B330E">
            <w:pPr>
              <w:widowControl w:val="0"/>
              <w:spacing w:line="235" w:lineRule="auto"/>
              <w:jc w:val="right"/>
              <w:rPr>
                <w:spacing w:val="-2"/>
              </w:rPr>
            </w:pPr>
          </w:p>
        </w:tc>
      </w:tr>
      <w:tr w:rsidR="00D83E33" w:rsidRPr="009C6EFA" w14:paraId="44B73857" w14:textId="77777777" w:rsidTr="001B330E">
        <w:trPr>
          <w:trHeight w:val="23"/>
        </w:trPr>
        <w:tc>
          <w:tcPr>
            <w:tcW w:w="3182" w:type="pct"/>
            <w:tcBorders>
              <w:bottom w:val="single" w:sz="4" w:space="0" w:color="000000"/>
            </w:tcBorders>
            <w:shd w:val="clear" w:color="auto" w:fill="auto"/>
            <w:vAlign w:val="bottom"/>
          </w:tcPr>
          <w:p w14:paraId="0E433116" w14:textId="77777777" w:rsidR="00D83E33" w:rsidRPr="001B330E" w:rsidRDefault="00D83E33" w:rsidP="001B330E">
            <w:pPr>
              <w:widowControl w:val="0"/>
              <w:spacing w:line="235" w:lineRule="auto"/>
              <w:ind w:left="113" w:hanging="113"/>
              <w:rPr>
                <w:spacing w:val="-2"/>
              </w:rPr>
            </w:pPr>
          </w:p>
        </w:tc>
        <w:tc>
          <w:tcPr>
            <w:tcW w:w="303" w:type="pct"/>
            <w:tcBorders>
              <w:bottom w:val="single" w:sz="4" w:space="0" w:color="000000"/>
            </w:tcBorders>
            <w:shd w:val="clear" w:color="auto" w:fill="auto"/>
            <w:vAlign w:val="bottom"/>
          </w:tcPr>
          <w:p w14:paraId="42BED1CA" w14:textId="77777777" w:rsidR="00D83E33" w:rsidRPr="001B330E" w:rsidRDefault="00D83E33" w:rsidP="001B330E">
            <w:pPr>
              <w:widowControl w:val="0"/>
              <w:spacing w:line="235" w:lineRule="auto"/>
              <w:jc w:val="right"/>
              <w:rPr>
                <w:spacing w:val="-2"/>
              </w:rPr>
            </w:pPr>
          </w:p>
        </w:tc>
        <w:tc>
          <w:tcPr>
            <w:tcW w:w="758" w:type="pct"/>
            <w:tcBorders>
              <w:bottom w:val="single" w:sz="4" w:space="0" w:color="000000"/>
            </w:tcBorders>
          </w:tcPr>
          <w:p w14:paraId="2D830016" w14:textId="77777777" w:rsidR="00D83E33" w:rsidRPr="001B330E" w:rsidRDefault="00D83E33" w:rsidP="001B330E">
            <w:pPr>
              <w:widowControl w:val="0"/>
              <w:spacing w:line="235" w:lineRule="auto"/>
              <w:jc w:val="right"/>
              <w:rPr>
                <w:spacing w:val="-2"/>
              </w:rPr>
            </w:pPr>
          </w:p>
        </w:tc>
        <w:tc>
          <w:tcPr>
            <w:tcW w:w="757" w:type="pct"/>
            <w:tcBorders>
              <w:bottom w:val="single" w:sz="4" w:space="0" w:color="000000"/>
            </w:tcBorders>
          </w:tcPr>
          <w:p w14:paraId="15A70D55" w14:textId="77777777" w:rsidR="00D83E33" w:rsidRPr="001B330E" w:rsidRDefault="00D83E33" w:rsidP="001B330E">
            <w:pPr>
              <w:widowControl w:val="0"/>
              <w:spacing w:line="235" w:lineRule="auto"/>
              <w:jc w:val="right"/>
              <w:rPr>
                <w:spacing w:val="-2"/>
              </w:rPr>
            </w:pPr>
          </w:p>
        </w:tc>
      </w:tr>
      <w:tr w:rsidR="00D83E33" w:rsidRPr="009C6EFA" w14:paraId="440A578A" w14:textId="77777777" w:rsidTr="001B330E">
        <w:trPr>
          <w:trHeight w:val="23"/>
        </w:trPr>
        <w:tc>
          <w:tcPr>
            <w:tcW w:w="3182" w:type="pct"/>
            <w:shd w:val="clear" w:color="auto" w:fill="auto"/>
            <w:vAlign w:val="bottom"/>
          </w:tcPr>
          <w:p w14:paraId="43F93FDE" w14:textId="77777777" w:rsidR="00D83E33" w:rsidRPr="001B330E" w:rsidRDefault="00D83E33" w:rsidP="001B330E">
            <w:pPr>
              <w:widowControl w:val="0"/>
              <w:pBdr>
                <w:top w:val="nil"/>
                <w:left w:val="nil"/>
                <w:bottom w:val="nil"/>
                <w:right w:val="nil"/>
                <w:between w:val="nil"/>
              </w:pBdr>
              <w:spacing w:line="235" w:lineRule="auto"/>
              <w:ind w:left="113" w:hanging="113"/>
              <w:rPr>
                <w:color w:val="000000"/>
                <w:spacing w:val="-2"/>
                <w:szCs w:val="8"/>
              </w:rPr>
            </w:pPr>
          </w:p>
        </w:tc>
        <w:tc>
          <w:tcPr>
            <w:tcW w:w="303" w:type="pct"/>
            <w:shd w:val="clear" w:color="auto" w:fill="auto"/>
            <w:vAlign w:val="bottom"/>
          </w:tcPr>
          <w:p w14:paraId="4C13EE75"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szCs w:val="8"/>
              </w:rPr>
            </w:pPr>
          </w:p>
        </w:tc>
        <w:tc>
          <w:tcPr>
            <w:tcW w:w="758" w:type="pct"/>
          </w:tcPr>
          <w:p w14:paraId="33AFCAEF"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szCs w:val="8"/>
              </w:rPr>
            </w:pPr>
          </w:p>
        </w:tc>
        <w:tc>
          <w:tcPr>
            <w:tcW w:w="757" w:type="pct"/>
          </w:tcPr>
          <w:p w14:paraId="7A08F0C9"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szCs w:val="8"/>
              </w:rPr>
            </w:pPr>
          </w:p>
        </w:tc>
      </w:tr>
      <w:tr w:rsidR="00D83E33" w:rsidRPr="009C6EFA" w14:paraId="306BDA21" w14:textId="77777777" w:rsidTr="001B330E">
        <w:trPr>
          <w:trHeight w:val="23"/>
        </w:trPr>
        <w:tc>
          <w:tcPr>
            <w:tcW w:w="3182" w:type="pct"/>
            <w:shd w:val="clear" w:color="auto" w:fill="auto"/>
            <w:vAlign w:val="bottom"/>
          </w:tcPr>
          <w:p w14:paraId="5BCD212C"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2"/>
              </w:rPr>
            </w:pPr>
            <w:r w:rsidRPr="001B330E">
              <w:rPr>
                <w:b/>
                <w:color w:val="000000"/>
                <w:spacing w:val="-2"/>
              </w:rPr>
              <w:t>Total significantly over-collateralised loans and advances to customers carried at AC</w:t>
            </w:r>
          </w:p>
        </w:tc>
        <w:tc>
          <w:tcPr>
            <w:tcW w:w="303" w:type="pct"/>
            <w:shd w:val="clear" w:color="auto" w:fill="auto"/>
            <w:vAlign w:val="bottom"/>
          </w:tcPr>
          <w:p w14:paraId="677E7F3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758" w:type="pct"/>
          </w:tcPr>
          <w:p w14:paraId="7AE3EA00"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757" w:type="pct"/>
          </w:tcPr>
          <w:p w14:paraId="1494ED9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9C6EFA" w14:paraId="1DE414DA" w14:textId="77777777" w:rsidTr="001B330E">
        <w:trPr>
          <w:trHeight w:val="23"/>
        </w:trPr>
        <w:tc>
          <w:tcPr>
            <w:tcW w:w="3182" w:type="pct"/>
            <w:tcBorders>
              <w:bottom w:val="single" w:sz="12" w:space="0" w:color="000000"/>
            </w:tcBorders>
            <w:shd w:val="clear" w:color="auto" w:fill="auto"/>
            <w:vAlign w:val="bottom"/>
          </w:tcPr>
          <w:p w14:paraId="349BEBC5" w14:textId="77777777" w:rsidR="00D83E33" w:rsidRPr="001B330E" w:rsidRDefault="00D83E33" w:rsidP="001B330E">
            <w:pPr>
              <w:widowControl w:val="0"/>
              <w:spacing w:line="235" w:lineRule="auto"/>
              <w:ind w:left="113" w:hanging="113"/>
              <w:rPr>
                <w:spacing w:val="-2"/>
                <w:szCs w:val="8"/>
              </w:rPr>
            </w:pPr>
          </w:p>
        </w:tc>
        <w:tc>
          <w:tcPr>
            <w:tcW w:w="303" w:type="pct"/>
            <w:tcBorders>
              <w:bottom w:val="single" w:sz="12" w:space="0" w:color="000000"/>
            </w:tcBorders>
            <w:shd w:val="clear" w:color="auto" w:fill="auto"/>
            <w:vAlign w:val="bottom"/>
          </w:tcPr>
          <w:p w14:paraId="5CB0BEDB"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2"/>
                <w:szCs w:val="8"/>
              </w:rPr>
            </w:pPr>
          </w:p>
        </w:tc>
        <w:tc>
          <w:tcPr>
            <w:tcW w:w="758" w:type="pct"/>
            <w:tcBorders>
              <w:bottom w:val="single" w:sz="12" w:space="0" w:color="000000"/>
            </w:tcBorders>
          </w:tcPr>
          <w:p w14:paraId="0396ACAE"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2"/>
                <w:szCs w:val="8"/>
              </w:rPr>
            </w:pPr>
          </w:p>
        </w:tc>
        <w:tc>
          <w:tcPr>
            <w:tcW w:w="757" w:type="pct"/>
            <w:tcBorders>
              <w:bottom w:val="single" w:sz="12" w:space="0" w:color="000000"/>
            </w:tcBorders>
          </w:tcPr>
          <w:p w14:paraId="466B4FE0"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2"/>
                <w:szCs w:val="8"/>
              </w:rPr>
            </w:pPr>
          </w:p>
        </w:tc>
      </w:tr>
    </w:tbl>
    <w:p w14:paraId="5200A5D1" w14:textId="40CDB3EC" w:rsidR="00D83E33" w:rsidRDefault="00BC4072" w:rsidP="001B330E">
      <w:pPr>
        <w:pStyle w:val="Continued"/>
      </w:pPr>
      <w:bookmarkStart w:id="32" w:name="bookmark=id.3j2qqm3" w:colFirst="0" w:colLast="0"/>
      <w:bookmarkEnd w:id="32"/>
      <w:r>
        <w:lastRenderedPageBreak/>
        <w:t>11</w:t>
      </w:r>
      <w:r>
        <w:tab/>
        <w:t>Loans and Advances to Customers (Continued)</w:t>
      </w:r>
    </w:p>
    <w:p w14:paraId="7DE62CB9" w14:textId="5E2E491E" w:rsidR="00D83E33" w:rsidRDefault="00BC4072" w:rsidP="001B330E">
      <w:pPr>
        <w:pBdr>
          <w:top w:val="nil"/>
          <w:left w:val="nil"/>
          <w:bottom w:val="nil"/>
          <w:right w:val="nil"/>
          <w:between w:val="nil"/>
        </w:pBdr>
        <w:spacing w:before="200" w:after="200"/>
        <w:jc w:val="both"/>
        <w:rPr>
          <w:color w:val="000000"/>
          <w:sz w:val="20"/>
          <w:szCs w:val="20"/>
        </w:rPr>
      </w:pPr>
      <w:r>
        <w:rPr>
          <w:color w:val="000000"/>
          <w:sz w:val="20"/>
          <w:szCs w:val="20"/>
        </w:rPr>
        <w:t>The extent to which collateral and other credit enhancements mitigate credit risk for financial assets carried at amortised cost that are credit impaired, is presented by disclosing collateral values separately for (i) those assets where collateral and other credit enhancements are equal to or exceed carrying value of the asset (“over-collateralised assets”) and (ii) those assets where collateral and other credit enhancements are less than the carrying value of the asset (“under-collateralised assets”). The effect of collateral on credit impaired assets at 31</w:t>
      </w:r>
      <w:r w:rsidR="00181687">
        <w:rPr>
          <w:color w:val="000000"/>
          <w:sz w:val="20"/>
          <w:szCs w:val="20"/>
        </w:rPr>
        <w:t> December </w:t>
      </w:r>
      <w:r w:rsidR="00541EBC">
        <w:rPr>
          <w:color w:val="000000"/>
          <w:sz w:val="20"/>
          <w:szCs w:val="20"/>
        </w:rPr>
        <w:t>2024</w:t>
      </w:r>
      <w:r>
        <w:rPr>
          <w:color w:val="000000"/>
          <w:sz w:val="20"/>
          <w:szCs w:val="20"/>
        </w:rPr>
        <w:t xml:space="preserve"> is as follows. </w:t>
      </w:r>
    </w:p>
    <w:tbl>
      <w:tblPr>
        <w:tblStyle w:val="affffff"/>
        <w:tblW w:w="5000" w:type="pct"/>
        <w:tblLayout w:type="fixed"/>
        <w:tblCellMar>
          <w:left w:w="113" w:type="dxa"/>
          <w:right w:w="113" w:type="dxa"/>
        </w:tblCellMar>
        <w:tblLook w:val="0000" w:firstRow="0" w:lastRow="0" w:firstColumn="0" w:lastColumn="0" w:noHBand="0" w:noVBand="0"/>
      </w:tblPr>
      <w:tblGrid>
        <w:gridCol w:w="4819"/>
        <w:gridCol w:w="1134"/>
        <w:gridCol w:w="1134"/>
        <w:gridCol w:w="1134"/>
        <w:gridCol w:w="1134"/>
      </w:tblGrid>
      <w:tr w:rsidR="00D83E33" w:rsidRPr="00E837F2" w14:paraId="3DD4CC17" w14:textId="77777777" w:rsidTr="001B330E">
        <w:trPr>
          <w:trHeight w:val="23"/>
        </w:trPr>
        <w:tc>
          <w:tcPr>
            <w:tcW w:w="2576" w:type="pct"/>
            <w:vAlign w:val="bottom"/>
          </w:tcPr>
          <w:p w14:paraId="024EA155" w14:textId="77777777" w:rsidR="00D83E33" w:rsidRPr="00E837F2" w:rsidRDefault="00D83E33" w:rsidP="001B330E">
            <w:pPr>
              <w:widowControl w:val="0"/>
              <w:pBdr>
                <w:top w:val="nil"/>
                <w:left w:val="nil"/>
                <w:bottom w:val="nil"/>
                <w:right w:val="nil"/>
                <w:between w:val="nil"/>
              </w:pBdr>
              <w:ind w:left="113" w:hanging="113"/>
              <w:rPr>
                <w:b/>
                <w:i/>
                <w:color w:val="000000"/>
              </w:rPr>
            </w:pPr>
          </w:p>
        </w:tc>
        <w:tc>
          <w:tcPr>
            <w:tcW w:w="1212" w:type="pct"/>
            <w:gridSpan w:val="2"/>
            <w:tcBorders>
              <w:bottom w:val="single" w:sz="4" w:space="0" w:color="000000"/>
            </w:tcBorders>
            <w:vAlign w:val="bottom"/>
          </w:tcPr>
          <w:p w14:paraId="1D8FF18E"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Over-collateralised</w:t>
            </w:r>
          </w:p>
          <w:p w14:paraId="3632867E"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Assets</w:t>
            </w:r>
          </w:p>
        </w:tc>
        <w:tc>
          <w:tcPr>
            <w:tcW w:w="1212" w:type="pct"/>
            <w:gridSpan w:val="2"/>
            <w:tcBorders>
              <w:bottom w:val="single" w:sz="4" w:space="0" w:color="000000"/>
            </w:tcBorders>
          </w:tcPr>
          <w:p w14:paraId="4B5E5934"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Under-collateralised</w:t>
            </w:r>
          </w:p>
          <w:p w14:paraId="7D90FA07"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assets</w:t>
            </w:r>
          </w:p>
        </w:tc>
      </w:tr>
      <w:tr w:rsidR="00D83E33" w:rsidRPr="00E837F2" w14:paraId="0790927B" w14:textId="77777777" w:rsidTr="001B330E">
        <w:trPr>
          <w:trHeight w:val="23"/>
        </w:trPr>
        <w:tc>
          <w:tcPr>
            <w:tcW w:w="2576" w:type="pct"/>
            <w:tcBorders>
              <w:bottom w:val="single" w:sz="4" w:space="0" w:color="000000"/>
            </w:tcBorders>
            <w:vAlign w:val="bottom"/>
          </w:tcPr>
          <w:p w14:paraId="27A6576A" w14:textId="77777777" w:rsidR="00D83E33" w:rsidRPr="00E837F2" w:rsidRDefault="00D83E33" w:rsidP="001B330E">
            <w:pPr>
              <w:widowControl w:val="0"/>
              <w:ind w:left="113" w:hanging="113"/>
              <w:rPr>
                <w:i/>
              </w:rPr>
            </w:pPr>
          </w:p>
          <w:p w14:paraId="337434CE" w14:textId="3C606060" w:rsidR="00D83E33" w:rsidRPr="00E837F2" w:rsidRDefault="00313B4D" w:rsidP="001B330E">
            <w:pPr>
              <w:widowControl w:val="0"/>
              <w:ind w:left="113" w:hanging="113"/>
              <w:rPr>
                <w:i/>
              </w:rPr>
            </w:pPr>
            <w:r>
              <w:rPr>
                <w:i/>
              </w:rPr>
              <w:t xml:space="preserve">In thousands of </w:t>
            </w:r>
            <w:r w:rsidR="002649EE">
              <w:rPr>
                <w:i/>
              </w:rPr>
              <w:t>EUR</w:t>
            </w:r>
          </w:p>
        </w:tc>
        <w:tc>
          <w:tcPr>
            <w:tcW w:w="606" w:type="pct"/>
            <w:tcBorders>
              <w:top w:val="single" w:sz="4" w:space="0" w:color="000000"/>
              <w:bottom w:val="single" w:sz="4" w:space="0" w:color="000000"/>
            </w:tcBorders>
          </w:tcPr>
          <w:p w14:paraId="0C1A9EA0" w14:textId="7E514A3F"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Carrying value of the assets</w:t>
            </w:r>
          </w:p>
        </w:tc>
        <w:tc>
          <w:tcPr>
            <w:tcW w:w="606" w:type="pct"/>
            <w:tcBorders>
              <w:top w:val="single" w:sz="4" w:space="0" w:color="000000"/>
              <w:bottom w:val="single" w:sz="4" w:space="0" w:color="000000"/>
            </w:tcBorders>
          </w:tcPr>
          <w:p w14:paraId="74442727"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Value of collateral</w:t>
            </w:r>
          </w:p>
        </w:tc>
        <w:tc>
          <w:tcPr>
            <w:tcW w:w="606" w:type="pct"/>
            <w:tcBorders>
              <w:top w:val="single" w:sz="4" w:space="0" w:color="000000"/>
              <w:bottom w:val="single" w:sz="4" w:space="0" w:color="000000"/>
            </w:tcBorders>
          </w:tcPr>
          <w:p w14:paraId="759F0ADC"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Carrying value of the assets</w:t>
            </w:r>
          </w:p>
        </w:tc>
        <w:tc>
          <w:tcPr>
            <w:tcW w:w="606" w:type="pct"/>
            <w:tcBorders>
              <w:top w:val="single" w:sz="4" w:space="0" w:color="000000"/>
              <w:bottom w:val="single" w:sz="4" w:space="0" w:color="000000"/>
            </w:tcBorders>
          </w:tcPr>
          <w:p w14:paraId="71709853"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Value of collateral</w:t>
            </w:r>
          </w:p>
        </w:tc>
      </w:tr>
      <w:tr w:rsidR="00D83E33" w:rsidRPr="00E837F2" w14:paraId="51BF7EF0" w14:textId="77777777" w:rsidTr="001B330E">
        <w:trPr>
          <w:trHeight w:val="23"/>
        </w:trPr>
        <w:tc>
          <w:tcPr>
            <w:tcW w:w="2576" w:type="pct"/>
            <w:tcBorders>
              <w:top w:val="single" w:sz="4" w:space="0" w:color="000000"/>
            </w:tcBorders>
          </w:tcPr>
          <w:p w14:paraId="5050229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D4B031F"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vAlign w:val="bottom"/>
          </w:tcPr>
          <w:p w14:paraId="31C38C10"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tcPr>
          <w:p w14:paraId="35E10673"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tcPr>
          <w:p w14:paraId="14C12BF1"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74F07AB" w14:textId="77777777" w:rsidTr="001B330E">
        <w:trPr>
          <w:trHeight w:val="23"/>
        </w:trPr>
        <w:tc>
          <w:tcPr>
            <w:tcW w:w="2576" w:type="pct"/>
          </w:tcPr>
          <w:p w14:paraId="3A75947B"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Credit impaired assets:</w:t>
            </w:r>
          </w:p>
        </w:tc>
        <w:tc>
          <w:tcPr>
            <w:tcW w:w="606" w:type="pct"/>
            <w:vAlign w:val="bottom"/>
          </w:tcPr>
          <w:p w14:paraId="4BCDFD9D"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38873C1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718FFD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51BD1DE"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4AAF6F93" w14:textId="77777777" w:rsidTr="001B330E">
        <w:trPr>
          <w:trHeight w:val="23"/>
        </w:trPr>
        <w:tc>
          <w:tcPr>
            <w:tcW w:w="2576" w:type="pct"/>
          </w:tcPr>
          <w:p w14:paraId="1DE5F2A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199BC29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78522B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99112EF"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D900F7F"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0872714F" w14:textId="77777777" w:rsidTr="001B330E">
        <w:trPr>
          <w:trHeight w:val="23"/>
        </w:trPr>
        <w:tc>
          <w:tcPr>
            <w:tcW w:w="2576" w:type="pct"/>
            <w:vAlign w:val="bottom"/>
          </w:tcPr>
          <w:p w14:paraId="47583EBB" w14:textId="77777777" w:rsidR="00D83E33" w:rsidRPr="00E837F2" w:rsidRDefault="00BC4072" w:rsidP="001B330E">
            <w:pPr>
              <w:widowControl w:val="0"/>
              <w:ind w:left="113" w:hanging="113"/>
            </w:pPr>
            <w:r w:rsidRPr="00E837F2">
              <w:rPr>
                <w:i/>
              </w:rPr>
              <w:t>Loans to corporate customers carried at AC</w:t>
            </w:r>
          </w:p>
        </w:tc>
        <w:tc>
          <w:tcPr>
            <w:tcW w:w="606" w:type="pct"/>
            <w:vAlign w:val="bottom"/>
          </w:tcPr>
          <w:p w14:paraId="1F6B6E18"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76B403E"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88C8D32"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311AEF9"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38EB188B" w14:textId="77777777" w:rsidTr="001B330E">
        <w:trPr>
          <w:trHeight w:val="23"/>
        </w:trPr>
        <w:tc>
          <w:tcPr>
            <w:tcW w:w="2576" w:type="pct"/>
            <w:vAlign w:val="bottom"/>
          </w:tcPr>
          <w:p w14:paraId="29719813" w14:textId="77777777" w:rsidR="00D83E33" w:rsidRPr="00E837F2" w:rsidRDefault="00D83E33" w:rsidP="001B330E">
            <w:pPr>
              <w:widowControl w:val="0"/>
              <w:ind w:left="113" w:hanging="113"/>
              <w:rPr>
                <w:i/>
              </w:rPr>
            </w:pPr>
          </w:p>
        </w:tc>
        <w:tc>
          <w:tcPr>
            <w:tcW w:w="606" w:type="pct"/>
            <w:vAlign w:val="bottom"/>
          </w:tcPr>
          <w:p w14:paraId="05E3E97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13806EE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12B19E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D8DEDDE"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375DC37B" w14:textId="77777777" w:rsidTr="001B330E">
        <w:trPr>
          <w:trHeight w:val="23"/>
        </w:trPr>
        <w:tc>
          <w:tcPr>
            <w:tcW w:w="2576" w:type="pct"/>
            <w:vAlign w:val="bottom"/>
          </w:tcPr>
          <w:p w14:paraId="2E195D7F" w14:textId="77777777" w:rsidR="00D83E33" w:rsidRPr="00E837F2" w:rsidRDefault="00BC4072" w:rsidP="001B330E">
            <w:pPr>
              <w:widowControl w:val="0"/>
              <w:ind w:left="113" w:hanging="113"/>
            </w:pPr>
            <w:r w:rsidRPr="00E837F2">
              <w:t>Standard lending</w:t>
            </w:r>
          </w:p>
        </w:tc>
        <w:tc>
          <w:tcPr>
            <w:tcW w:w="606" w:type="pct"/>
            <w:vAlign w:val="bottom"/>
          </w:tcPr>
          <w:p w14:paraId="1E24922D"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C08954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054735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2DA2F84"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C9F013F" w14:textId="77777777" w:rsidTr="001B330E">
        <w:trPr>
          <w:trHeight w:val="23"/>
        </w:trPr>
        <w:tc>
          <w:tcPr>
            <w:tcW w:w="2576" w:type="pct"/>
            <w:vAlign w:val="bottom"/>
          </w:tcPr>
          <w:p w14:paraId="23210826" w14:textId="77777777" w:rsidR="00D83E33" w:rsidRPr="00E837F2" w:rsidRDefault="00BC4072" w:rsidP="001B330E">
            <w:pPr>
              <w:widowControl w:val="0"/>
              <w:ind w:left="113" w:hanging="113"/>
            </w:pPr>
            <w:r w:rsidRPr="00E837F2">
              <w:t>Specialised lending</w:t>
            </w:r>
          </w:p>
        </w:tc>
        <w:tc>
          <w:tcPr>
            <w:tcW w:w="606" w:type="pct"/>
            <w:vAlign w:val="bottom"/>
          </w:tcPr>
          <w:p w14:paraId="454251B4"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1C452D33"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4E3C9F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1C779F8"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1E698FF9" w14:textId="77777777" w:rsidTr="001B330E">
        <w:trPr>
          <w:trHeight w:val="23"/>
        </w:trPr>
        <w:tc>
          <w:tcPr>
            <w:tcW w:w="2576" w:type="pct"/>
            <w:vAlign w:val="bottom"/>
          </w:tcPr>
          <w:p w14:paraId="2AFFCC24" w14:textId="77777777" w:rsidR="00D83E33" w:rsidRPr="00E837F2" w:rsidRDefault="00BC4072" w:rsidP="001B330E">
            <w:pPr>
              <w:widowControl w:val="0"/>
              <w:ind w:left="113" w:hanging="113"/>
            </w:pPr>
            <w:r w:rsidRPr="00E837F2">
              <w:t>Loans to sovereigns</w:t>
            </w:r>
          </w:p>
        </w:tc>
        <w:tc>
          <w:tcPr>
            <w:tcW w:w="606" w:type="pct"/>
            <w:vAlign w:val="bottom"/>
          </w:tcPr>
          <w:p w14:paraId="32475D77"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6D976A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FA97EA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46D4128"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EB3F4EE" w14:textId="77777777" w:rsidTr="001B330E">
        <w:trPr>
          <w:trHeight w:val="23"/>
        </w:trPr>
        <w:tc>
          <w:tcPr>
            <w:tcW w:w="2576" w:type="pct"/>
            <w:vAlign w:val="bottom"/>
          </w:tcPr>
          <w:p w14:paraId="52C5016C" w14:textId="77777777" w:rsidR="00D83E33" w:rsidRPr="00E837F2" w:rsidRDefault="00BC4072" w:rsidP="001B330E">
            <w:pPr>
              <w:widowControl w:val="0"/>
              <w:ind w:left="113" w:hanging="113"/>
            </w:pPr>
            <w:r w:rsidRPr="00E837F2">
              <w:t>Loans to sub-sovereigns</w:t>
            </w:r>
          </w:p>
        </w:tc>
        <w:tc>
          <w:tcPr>
            <w:tcW w:w="606" w:type="pct"/>
            <w:vAlign w:val="bottom"/>
          </w:tcPr>
          <w:p w14:paraId="6AD46E63"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29BCA3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DA9A2BB"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FD4B86C"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D9D5C1B" w14:textId="77777777" w:rsidTr="001B330E">
        <w:trPr>
          <w:trHeight w:val="23"/>
        </w:trPr>
        <w:tc>
          <w:tcPr>
            <w:tcW w:w="2576" w:type="pct"/>
            <w:vAlign w:val="bottom"/>
          </w:tcPr>
          <w:p w14:paraId="48C8254D" w14:textId="77777777" w:rsidR="00D83E33" w:rsidRPr="00E837F2" w:rsidRDefault="00BC4072" w:rsidP="001B330E">
            <w:pPr>
              <w:widowControl w:val="0"/>
              <w:ind w:left="113" w:hanging="113"/>
            </w:pPr>
            <w:r w:rsidRPr="00E837F2">
              <w:t>Loans to SME</w:t>
            </w:r>
          </w:p>
        </w:tc>
        <w:tc>
          <w:tcPr>
            <w:tcW w:w="606" w:type="pct"/>
            <w:vAlign w:val="bottom"/>
          </w:tcPr>
          <w:p w14:paraId="414BE8D1"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182F7EB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11CA4FE"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2F289CC"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7E07C41" w14:textId="77777777" w:rsidTr="001B330E">
        <w:trPr>
          <w:trHeight w:val="23"/>
        </w:trPr>
        <w:tc>
          <w:tcPr>
            <w:tcW w:w="2576" w:type="pct"/>
            <w:vAlign w:val="bottom"/>
          </w:tcPr>
          <w:p w14:paraId="78E36187" w14:textId="77777777" w:rsidR="00D83E33" w:rsidRPr="00E837F2" w:rsidRDefault="00BC4072" w:rsidP="001B330E">
            <w:pPr>
              <w:widowControl w:val="0"/>
              <w:ind w:left="113" w:hanging="113"/>
            </w:pPr>
            <w:r w:rsidRPr="00E837F2">
              <w:t>Loans to leasing companies</w:t>
            </w:r>
          </w:p>
        </w:tc>
        <w:tc>
          <w:tcPr>
            <w:tcW w:w="606" w:type="pct"/>
            <w:vAlign w:val="bottom"/>
          </w:tcPr>
          <w:p w14:paraId="4621838F"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EC0E72F"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971AE93"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942EF3B"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3AEA828E" w14:textId="77777777" w:rsidTr="001B330E">
        <w:trPr>
          <w:trHeight w:val="23"/>
        </w:trPr>
        <w:tc>
          <w:tcPr>
            <w:tcW w:w="2576" w:type="pct"/>
            <w:vAlign w:val="bottom"/>
          </w:tcPr>
          <w:p w14:paraId="5A0BB0F0" w14:textId="77777777" w:rsidR="00D83E33" w:rsidRPr="00E837F2" w:rsidRDefault="00BC4072" w:rsidP="001B330E">
            <w:pPr>
              <w:widowControl w:val="0"/>
              <w:ind w:left="113" w:hanging="113"/>
            </w:pPr>
            <w:r w:rsidRPr="00E837F2">
              <w:t xml:space="preserve">Reverse sale and repurchase agreements </w:t>
            </w:r>
          </w:p>
        </w:tc>
        <w:tc>
          <w:tcPr>
            <w:tcW w:w="606" w:type="pct"/>
            <w:vAlign w:val="bottom"/>
          </w:tcPr>
          <w:p w14:paraId="0D8FD38A"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1B2FB4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A5E715E"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42FDAD3"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085FC39" w14:textId="77777777" w:rsidTr="001B330E">
        <w:trPr>
          <w:trHeight w:val="23"/>
        </w:trPr>
        <w:tc>
          <w:tcPr>
            <w:tcW w:w="2576" w:type="pct"/>
            <w:vAlign w:val="bottom"/>
          </w:tcPr>
          <w:p w14:paraId="519F5A6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695AF814"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1EC03F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661C9E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08B0685"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15415EBE" w14:textId="77777777" w:rsidTr="001B330E">
        <w:trPr>
          <w:trHeight w:val="23"/>
        </w:trPr>
        <w:tc>
          <w:tcPr>
            <w:tcW w:w="2576" w:type="pct"/>
            <w:vAlign w:val="bottom"/>
          </w:tcPr>
          <w:p w14:paraId="3F2A03BA" w14:textId="77777777" w:rsidR="00D83E33" w:rsidRPr="00E837F2" w:rsidRDefault="00BC4072" w:rsidP="001B330E">
            <w:pPr>
              <w:widowControl w:val="0"/>
              <w:ind w:left="113" w:hanging="113"/>
            </w:pPr>
            <w:r w:rsidRPr="00E837F2">
              <w:rPr>
                <w:i/>
              </w:rPr>
              <w:t>Loans to individuals carried at AC</w:t>
            </w:r>
          </w:p>
        </w:tc>
        <w:tc>
          <w:tcPr>
            <w:tcW w:w="606" w:type="pct"/>
            <w:vAlign w:val="bottom"/>
          </w:tcPr>
          <w:p w14:paraId="49DDDB6C"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5F37AACE"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5A0823D"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9B16376"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005D2CD6" w14:textId="77777777" w:rsidTr="001B330E">
        <w:trPr>
          <w:trHeight w:val="23"/>
        </w:trPr>
        <w:tc>
          <w:tcPr>
            <w:tcW w:w="2576" w:type="pct"/>
            <w:vAlign w:val="bottom"/>
          </w:tcPr>
          <w:p w14:paraId="07DC4D55" w14:textId="77777777" w:rsidR="00D83E33" w:rsidRPr="00E837F2" w:rsidRDefault="00D83E33" w:rsidP="001B330E">
            <w:pPr>
              <w:widowControl w:val="0"/>
              <w:ind w:left="113" w:hanging="113"/>
              <w:rPr>
                <w:i/>
              </w:rPr>
            </w:pPr>
          </w:p>
        </w:tc>
        <w:tc>
          <w:tcPr>
            <w:tcW w:w="606" w:type="pct"/>
            <w:vAlign w:val="bottom"/>
          </w:tcPr>
          <w:p w14:paraId="298F731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F3F48E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9DD3A1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70B1CCF"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40D8128B" w14:textId="77777777" w:rsidTr="001B330E">
        <w:trPr>
          <w:trHeight w:val="23"/>
        </w:trPr>
        <w:tc>
          <w:tcPr>
            <w:tcW w:w="2576" w:type="pct"/>
            <w:vAlign w:val="bottom"/>
          </w:tcPr>
          <w:p w14:paraId="118DB622" w14:textId="77777777" w:rsidR="00D83E33" w:rsidRPr="00E837F2" w:rsidRDefault="00BC4072" w:rsidP="001B330E">
            <w:pPr>
              <w:widowControl w:val="0"/>
              <w:ind w:left="113" w:hanging="113"/>
            </w:pPr>
            <w:r w:rsidRPr="00E837F2">
              <w:t xml:space="preserve">Mortgage loans </w:t>
            </w:r>
          </w:p>
        </w:tc>
        <w:tc>
          <w:tcPr>
            <w:tcW w:w="606" w:type="pct"/>
            <w:vAlign w:val="bottom"/>
          </w:tcPr>
          <w:p w14:paraId="0490E62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45DA706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81692E2"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50DE35C"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19B9B8E2" w14:textId="77777777" w:rsidTr="001B330E">
        <w:trPr>
          <w:trHeight w:val="23"/>
        </w:trPr>
        <w:tc>
          <w:tcPr>
            <w:tcW w:w="2576" w:type="pct"/>
            <w:vAlign w:val="bottom"/>
          </w:tcPr>
          <w:p w14:paraId="3C4C3B55" w14:textId="77777777" w:rsidR="00D83E33" w:rsidRPr="00E837F2" w:rsidRDefault="00BC4072" w:rsidP="001B330E">
            <w:pPr>
              <w:widowControl w:val="0"/>
              <w:ind w:left="113" w:hanging="113"/>
            </w:pPr>
            <w:r w:rsidRPr="00E837F2">
              <w:t>Consumer loans</w:t>
            </w:r>
          </w:p>
        </w:tc>
        <w:tc>
          <w:tcPr>
            <w:tcW w:w="606" w:type="pct"/>
            <w:vAlign w:val="bottom"/>
          </w:tcPr>
          <w:p w14:paraId="538D07BD"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46ED20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A7C0D6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41A8DAB"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7BDBF83B" w14:textId="77777777" w:rsidTr="001B330E">
        <w:trPr>
          <w:trHeight w:val="23"/>
        </w:trPr>
        <w:tc>
          <w:tcPr>
            <w:tcW w:w="2576" w:type="pct"/>
            <w:vAlign w:val="bottom"/>
          </w:tcPr>
          <w:p w14:paraId="04F66ED4" w14:textId="77777777" w:rsidR="00D83E33" w:rsidRPr="00E837F2" w:rsidRDefault="00BC4072" w:rsidP="001B330E">
            <w:pPr>
              <w:widowControl w:val="0"/>
              <w:ind w:left="113" w:hanging="113"/>
            </w:pPr>
            <w:r w:rsidRPr="00E837F2">
              <w:t>Car loans</w:t>
            </w:r>
          </w:p>
        </w:tc>
        <w:tc>
          <w:tcPr>
            <w:tcW w:w="606" w:type="pct"/>
            <w:vAlign w:val="bottom"/>
          </w:tcPr>
          <w:p w14:paraId="7D065B62"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7ECAA6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D52D9C2"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E78D04C"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AAF5DB9" w14:textId="77777777" w:rsidTr="001B330E">
        <w:trPr>
          <w:trHeight w:val="23"/>
        </w:trPr>
        <w:tc>
          <w:tcPr>
            <w:tcW w:w="2576" w:type="pct"/>
            <w:vAlign w:val="bottom"/>
          </w:tcPr>
          <w:p w14:paraId="40CEDCC1" w14:textId="77777777" w:rsidR="00D83E33" w:rsidRPr="00E837F2" w:rsidRDefault="00BC4072" w:rsidP="001B330E">
            <w:pPr>
              <w:widowControl w:val="0"/>
              <w:ind w:left="113" w:hanging="113"/>
            </w:pPr>
            <w:r w:rsidRPr="00E837F2">
              <w:t xml:space="preserve">Credit cards </w:t>
            </w:r>
          </w:p>
        </w:tc>
        <w:tc>
          <w:tcPr>
            <w:tcW w:w="606" w:type="pct"/>
            <w:vAlign w:val="bottom"/>
          </w:tcPr>
          <w:p w14:paraId="5AF7B28D"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B89AE4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BEFB89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688D710"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3B058E3" w14:textId="77777777" w:rsidTr="001B330E">
        <w:trPr>
          <w:trHeight w:val="23"/>
        </w:trPr>
        <w:tc>
          <w:tcPr>
            <w:tcW w:w="2576" w:type="pct"/>
            <w:tcBorders>
              <w:bottom w:val="single" w:sz="12" w:space="0" w:color="000000"/>
            </w:tcBorders>
          </w:tcPr>
          <w:p w14:paraId="14AB650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0E4FFA84" w14:textId="77777777" w:rsidR="00D83E33" w:rsidRPr="00E837F2" w:rsidRDefault="00D83E33" w:rsidP="001B330E">
            <w:pPr>
              <w:widowControl w:val="0"/>
              <w:rPr>
                <w:b/>
              </w:rPr>
            </w:pPr>
          </w:p>
        </w:tc>
        <w:tc>
          <w:tcPr>
            <w:tcW w:w="606" w:type="pct"/>
            <w:tcBorders>
              <w:bottom w:val="single" w:sz="12" w:space="0" w:color="000000"/>
            </w:tcBorders>
            <w:vAlign w:val="bottom"/>
          </w:tcPr>
          <w:p w14:paraId="2D4A512D" w14:textId="77777777" w:rsidR="00D83E33" w:rsidRPr="00E837F2" w:rsidRDefault="00D83E33" w:rsidP="001B330E">
            <w:pPr>
              <w:widowControl w:val="0"/>
              <w:rPr>
                <w:b/>
              </w:rPr>
            </w:pPr>
          </w:p>
        </w:tc>
        <w:tc>
          <w:tcPr>
            <w:tcW w:w="606" w:type="pct"/>
            <w:tcBorders>
              <w:bottom w:val="single" w:sz="12" w:space="0" w:color="000000"/>
            </w:tcBorders>
          </w:tcPr>
          <w:p w14:paraId="1719002B" w14:textId="77777777" w:rsidR="00D83E33" w:rsidRPr="00E837F2" w:rsidRDefault="00D83E33" w:rsidP="001B330E">
            <w:pPr>
              <w:widowControl w:val="0"/>
              <w:rPr>
                <w:b/>
              </w:rPr>
            </w:pPr>
          </w:p>
        </w:tc>
        <w:tc>
          <w:tcPr>
            <w:tcW w:w="606" w:type="pct"/>
            <w:tcBorders>
              <w:bottom w:val="single" w:sz="12" w:space="0" w:color="000000"/>
            </w:tcBorders>
          </w:tcPr>
          <w:p w14:paraId="35283CC6" w14:textId="77777777" w:rsidR="00D83E33" w:rsidRPr="00E837F2" w:rsidRDefault="00D83E33" w:rsidP="001B330E">
            <w:pPr>
              <w:widowControl w:val="0"/>
              <w:rPr>
                <w:b/>
              </w:rPr>
            </w:pPr>
          </w:p>
        </w:tc>
      </w:tr>
    </w:tbl>
    <w:p w14:paraId="7F4ED7F3" w14:textId="30B7F92A" w:rsidR="00D83E33" w:rsidRDefault="00BC4072" w:rsidP="001B330E">
      <w:pPr>
        <w:pBdr>
          <w:top w:val="nil"/>
          <w:left w:val="nil"/>
          <w:bottom w:val="nil"/>
          <w:right w:val="nil"/>
          <w:between w:val="nil"/>
        </w:pBdr>
        <w:spacing w:before="200" w:after="200"/>
        <w:jc w:val="both"/>
        <w:rPr>
          <w:color w:val="000000"/>
          <w:sz w:val="20"/>
          <w:szCs w:val="20"/>
        </w:rPr>
      </w:pPr>
      <w:r>
        <w:rPr>
          <w:color w:val="000000"/>
          <w:sz w:val="20"/>
          <w:szCs w:val="20"/>
        </w:rPr>
        <w:t>The effect of collateral on credit impaired assets at 31</w:t>
      </w:r>
      <w:r w:rsidR="00181687">
        <w:rPr>
          <w:color w:val="000000"/>
          <w:sz w:val="20"/>
          <w:szCs w:val="20"/>
        </w:rPr>
        <w:t> December </w:t>
      </w:r>
      <w:r w:rsidR="00541EBC">
        <w:rPr>
          <w:color w:val="000000"/>
          <w:sz w:val="20"/>
          <w:szCs w:val="20"/>
        </w:rPr>
        <w:t>2023</w:t>
      </w:r>
      <w:r>
        <w:rPr>
          <w:color w:val="000000"/>
          <w:sz w:val="20"/>
          <w:szCs w:val="20"/>
        </w:rPr>
        <w:t xml:space="preserve"> is as follows.</w:t>
      </w:r>
    </w:p>
    <w:tbl>
      <w:tblPr>
        <w:tblStyle w:val="affffff0"/>
        <w:tblW w:w="5000" w:type="pct"/>
        <w:tblLayout w:type="fixed"/>
        <w:tblCellMar>
          <w:left w:w="113" w:type="dxa"/>
          <w:right w:w="113" w:type="dxa"/>
        </w:tblCellMar>
        <w:tblLook w:val="0000" w:firstRow="0" w:lastRow="0" w:firstColumn="0" w:lastColumn="0" w:noHBand="0" w:noVBand="0"/>
      </w:tblPr>
      <w:tblGrid>
        <w:gridCol w:w="4819"/>
        <w:gridCol w:w="1134"/>
        <w:gridCol w:w="1134"/>
        <w:gridCol w:w="1134"/>
        <w:gridCol w:w="1134"/>
      </w:tblGrid>
      <w:tr w:rsidR="00D83E33" w:rsidRPr="00E837F2" w14:paraId="3AF6B922" w14:textId="77777777" w:rsidTr="001B330E">
        <w:trPr>
          <w:trHeight w:val="23"/>
        </w:trPr>
        <w:tc>
          <w:tcPr>
            <w:tcW w:w="2576" w:type="pct"/>
            <w:vAlign w:val="bottom"/>
          </w:tcPr>
          <w:p w14:paraId="0EBF7D2A" w14:textId="77777777" w:rsidR="00D83E33" w:rsidRPr="00E837F2" w:rsidRDefault="00D83E33" w:rsidP="001B330E">
            <w:pPr>
              <w:widowControl w:val="0"/>
              <w:pBdr>
                <w:top w:val="nil"/>
                <w:left w:val="nil"/>
                <w:bottom w:val="nil"/>
                <w:right w:val="nil"/>
                <w:between w:val="nil"/>
              </w:pBdr>
              <w:ind w:left="113" w:hanging="113"/>
              <w:rPr>
                <w:b/>
                <w:i/>
                <w:color w:val="000000"/>
              </w:rPr>
            </w:pPr>
          </w:p>
        </w:tc>
        <w:tc>
          <w:tcPr>
            <w:tcW w:w="1212" w:type="pct"/>
            <w:gridSpan w:val="2"/>
            <w:tcBorders>
              <w:bottom w:val="single" w:sz="4" w:space="0" w:color="000000"/>
            </w:tcBorders>
            <w:vAlign w:val="bottom"/>
          </w:tcPr>
          <w:p w14:paraId="63317FB5"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Over-collateralised</w:t>
            </w:r>
          </w:p>
          <w:p w14:paraId="7CFD3F95"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Assets</w:t>
            </w:r>
          </w:p>
        </w:tc>
        <w:tc>
          <w:tcPr>
            <w:tcW w:w="1212" w:type="pct"/>
            <w:gridSpan w:val="2"/>
            <w:tcBorders>
              <w:bottom w:val="single" w:sz="4" w:space="0" w:color="000000"/>
            </w:tcBorders>
          </w:tcPr>
          <w:p w14:paraId="1A7D287F"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Under-collateralised</w:t>
            </w:r>
          </w:p>
          <w:p w14:paraId="4E87633B"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assets</w:t>
            </w:r>
          </w:p>
        </w:tc>
      </w:tr>
      <w:tr w:rsidR="00D83E33" w:rsidRPr="00E837F2" w14:paraId="1FE090D9" w14:textId="77777777" w:rsidTr="001B330E">
        <w:trPr>
          <w:trHeight w:val="23"/>
        </w:trPr>
        <w:tc>
          <w:tcPr>
            <w:tcW w:w="2576" w:type="pct"/>
            <w:tcBorders>
              <w:bottom w:val="single" w:sz="4" w:space="0" w:color="000000"/>
            </w:tcBorders>
            <w:vAlign w:val="bottom"/>
          </w:tcPr>
          <w:p w14:paraId="26291A01" w14:textId="77777777" w:rsidR="00D83E33" w:rsidRPr="00E837F2" w:rsidRDefault="00D83E33" w:rsidP="001B330E">
            <w:pPr>
              <w:widowControl w:val="0"/>
              <w:ind w:left="113" w:hanging="113"/>
              <w:rPr>
                <w:i/>
              </w:rPr>
            </w:pPr>
          </w:p>
          <w:p w14:paraId="11D76B3D" w14:textId="2C49F81F" w:rsidR="00D83E33" w:rsidRPr="00E837F2" w:rsidRDefault="00313B4D" w:rsidP="001B330E">
            <w:pPr>
              <w:widowControl w:val="0"/>
              <w:ind w:left="113" w:hanging="113"/>
              <w:rPr>
                <w:i/>
              </w:rPr>
            </w:pPr>
            <w:r>
              <w:rPr>
                <w:i/>
              </w:rPr>
              <w:t xml:space="preserve">In thousands of </w:t>
            </w:r>
            <w:r w:rsidR="002649EE">
              <w:rPr>
                <w:i/>
              </w:rPr>
              <w:t>EUR</w:t>
            </w:r>
          </w:p>
        </w:tc>
        <w:tc>
          <w:tcPr>
            <w:tcW w:w="606" w:type="pct"/>
            <w:tcBorders>
              <w:top w:val="single" w:sz="4" w:space="0" w:color="000000"/>
              <w:bottom w:val="single" w:sz="4" w:space="0" w:color="000000"/>
            </w:tcBorders>
          </w:tcPr>
          <w:p w14:paraId="1039B298" w14:textId="0F9A5378"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Carrying value of the assets</w:t>
            </w:r>
          </w:p>
        </w:tc>
        <w:tc>
          <w:tcPr>
            <w:tcW w:w="606" w:type="pct"/>
            <w:tcBorders>
              <w:top w:val="single" w:sz="4" w:space="0" w:color="000000"/>
              <w:bottom w:val="single" w:sz="4" w:space="0" w:color="000000"/>
            </w:tcBorders>
          </w:tcPr>
          <w:p w14:paraId="108523E0"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Value of collateral</w:t>
            </w:r>
          </w:p>
        </w:tc>
        <w:tc>
          <w:tcPr>
            <w:tcW w:w="606" w:type="pct"/>
            <w:tcBorders>
              <w:top w:val="single" w:sz="4" w:space="0" w:color="000000"/>
              <w:bottom w:val="single" w:sz="4" w:space="0" w:color="000000"/>
            </w:tcBorders>
          </w:tcPr>
          <w:p w14:paraId="5EBDF3C2"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Carrying value of the assets</w:t>
            </w:r>
          </w:p>
        </w:tc>
        <w:tc>
          <w:tcPr>
            <w:tcW w:w="606" w:type="pct"/>
            <w:tcBorders>
              <w:top w:val="single" w:sz="4" w:space="0" w:color="000000"/>
              <w:bottom w:val="single" w:sz="4" w:space="0" w:color="000000"/>
            </w:tcBorders>
          </w:tcPr>
          <w:p w14:paraId="383D39D6"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Value of collateral</w:t>
            </w:r>
          </w:p>
        </w:tc>
      </w:tr>
      <w:tr w:rsidR="00D83E33" w:rsidRPr="00E837F2" w14:paraId="5A2BFA4A" w14:textId="77777777" w:rsidTr="001B330E">
        <w:trPr>
          <w:trHeight w:val="23"/>
        </w:trPr>
        <w:tc>
          <w:tcPr>
            <w:tcW w:w="2576" w:type="pct"/>
            <w:tcBorders>
              <w:top w:val="single" w:sz="4" w:space="0" w:color="000000"/>
            </w:tcBorders>
          </w:tcPr>
          <w:p w14:paraId="0521A0F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628C5D2"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vAlign w:val="bottom"/>
          </w:tcPr>
          <w:p w14:paraId="1539FBEF"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tcPr>
          <w:p w14:paraId="6C82B000"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tcPr>
          <w:p w14:paraId="6CA6E855"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AE3C3F6" w14:textId="77777777" w:rsidTr="001B330E">
        <w:trPr>
          <w:trHeight w:val="23"/>
        </w:trPr>
        <w:tc>
          <w:tcPr>
            <w:tcW w:w="2576" w:type="pct"/>
            <w:vAlign w:val="bottom"/>
          </w:tcPr>
          <w:p w14:paraId="642DDAFF" w14:textId="77777777" w:rsidR="00D83E33" w:rsidRPr="00E837F2" w:rsidRDefault="00BC4072" w:rsidP="001B330E">
            <w:pPr>
              <w:widowControl w:val="0"/>
              <w:ind w:left="113" w:hanging="113"/>
            </w:pPr>
            <w:r w:rsidRPr="00E837F2">
              <w:rPr>
                <w:b/>
                <w:i/>
              </w:rPr>
              <w:t>Credit impaired assets:</w:t>
            </w:r>
          </w:p>
        </w:tc>
        <w:tc>
          <w:tcPr>
            <w:tcW w:w="606" w:type="pct"/>
            <w:vAlign w:val="bottom"/>
          </w:tcPr>
          <w:p w14:paraId="4E375AFA"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3CAA09B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24312E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2394A4A"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673CDA1" w14:textId="77777777" w:rsidTr="001B330E">
        <w:trPr>
          <w:trHeight w:val="23"/>
        </w:trPr>
        <w:tc>
          <w:tcPr>
            <w:tcW w:w="2576" w:type="pct"/>
            <w:vAlign w:val="bottom"/>
          </w:tcPr>
          <w:p w14:paraId="7EE18E5A" w14:textId="77777777" w:rsidR="00D83E33" w:rsidRPr="00E837F2" w:rsidRDefault="00D83E33" w:rsidP="001B330E">
            <w:pPr>
              <w:widowControl w:val="0"/>
              <w:ind w:left="113" w:hanging="113"/>
              <w:rPr>
                <w:i/>
              </w:rPr>
            </w:pPr>
          </w:p>
        </w:tc>
        <w:tc>
          <w:tcPr>
            <w:tcW w:w="606" w:type="pct"/>
            <w:vAlign w:val="bottom"/>
          </w:tcPr>
          <w:p w14:paraId="2E1F18AB"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A02294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FF60B0B"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D1269DB"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49737C91" w14:textId="77777777" w:rsidTr="001B330E">
        <w:trPr>
          <w:trHeight w:val="23"/>
        </w:trPr>
        <w:tc>
          <w:tcPr>
            <w:tcW w:w="2576" w:type="pct"/>
            <w:vAlign w:val="bottom"/>
          </w:tcPr>
          <w:p w14:paraId="43A44F83" w14:textId="77777777" w:rsidR="00D83E33" w:rsidRPr="00E837F2" w:rsidRDefault="00BC4072" w:rsidP="001B330E">
            <w:pPr>
              <w:widowControl w:val="0"/>
              <w:ind w:left="113" w:hanging="113"/>
              <w:rPr>
                <w:i/>
              </w:rPr>
            </w:pPr>
            <w:r w:rsidRPr="00E837F2">
              <w:rPr>
                <w:i/>
              </w:rPr>
              <w:t>Loans to corporate customers carried at AC</w:t>
            </w:r>
          </w:p>
        </w:tc>
        <w:tc>
          <w:tcPr>
            <w:tcW w:w="606" w:type="pct"/>
            <w:vAlign w:val="bottom"/>
          </w:tcPr>
          <w:p w14:paraId="118B2D02"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234A661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83B5B5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82B1FE6"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74AD3531" w14:textId="77777777" w:rsidTr="001B330E">
        <w:trPr>
          <w:trHeight w:val="23"/>
        </w:trPr>
        <w:tc>
          <w:tcPr>
            <w:tcW w:w="2576" w:type="pct"/>
            <w:vAlign w:val="bottom"/>
          </w:tcPr>
          <w:p w14:paraId="6E7EA17D" w14:textId="77777777" w:rsidR="00D83E33" w:rsidRPr="00E837F2" w:rsidRDefault="00D83E33" w:rsidP="001B330E">
            <w:pPr>
              <w:widowControl w:val="0"/>
              <w:ind w:left="113" w:hanging="113"/>
              <w:rPr>
                <w:i/>
              </w:rPr>
            </w:pPr>
          </w:p>
        </w:tc>
        <w:tc>
          <w:tcPr>
            <w:tcW w:w="606" w:type="pct"/>
            <w:vAlign w:val="bottom"/>
          </w:tcPr>
          <w:p w14:paraId="0B0617F3"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3D1692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3BC70B0"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F3BD027"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5BB6B2D" w14:textId="77777777" w:rsidTr="001B330E">
        <w:trPr>
          <w:trHeight w:val="23"/>
        </w:trPr>
        <w:tc>
          <w:tcPr>
            <w:tcW w:w="2576" w:type="pct"/>
            <w:vAlign w:val="bottom"/>
          </w:tcPr>
          <w:p w14:paraId="33DE8E84" w14:textId="77777777" w:rsidR="00D83E33" w:rsidRPr="00E837F2" w:rsidRDefault="00BC4072" w:rsidP="001B330E">
            <w:pPr>
              <w:widowControl w:val="0"/>
              <w:ind w:left="113" w:hanging="113"/>
            </w:pPr>
            <w:r w:rsidRPr="00E837F2">
              <w:t>Standard lending</w:t>
            </w:r>
          </w:p>
        </w:tc>
        <w:tc>
          <w:tcPr>
            <w:tcW w:w="606" w:type="pct"/>
            <w:vAlign w:val="bottom"/>
          </w:tcPr>
          <w:p w14:paraId="7C0E1F36"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44D062D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96C8E4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49AE7CD"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4E727376" w14:textId="77777777" w:rsidTr="001B330E">
        <w:trPr>
          <w:trHeight w:val="23"/>
        </w:trPr>
        <w:tc>
          <w:tcPr>
            <w:tcW w:w="2576" w:type="pct"/>
            <w:vAlign w:val="bottom"/>
          </w:tcPr>
          <w:p w14:paraId="620B9708" w14:textId="77777777" w:rsidR="00D83E33" w:rsidRPr="00E837F2" w:rsidRDefault="00BC4072" w:rsidP="001B330E">
            <w:pPr>
              <w:widowControl w:val="0"/>
              <w:ind w:left="113" w:hanging="113"/>
            </w:pPr>
            <w:r w:rsidRPr="00E837F2">
              <w:t>Specialised lending</w:t>
            </w:r>
          </w:p>
        </w:tc>
        <w:tc>
          <w:tcPr>
            <w:tcW w:w="606" w:type="pct"/>
            <w:vAlign w:val="bottom"/>
          </w:tcPr>
          <w:p w14:paraId="71ADE725"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37895D1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BC535DD"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7B03873"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978A8B9" w14:textId="77777777" w:rsidTr="001B330E">
        <w:trPr>
          <w:trHeight w:val="23"/>
        </w:trPr>
        <w:tc>
          <w:tcPr>
            <w:tcW w:w="2576" w:type="pct"/>
            <w:vAlign w:val="bottom"/>
          </w:tcPr>
          <w:p w14:paraId="17C44DFC" w14:textId="77777777" w:rsidR="00D83E33" w:rsidRPr="00E837F2" w:rsidRDefault="00BC4072" w:rsidP="001B330E">
            <w:pPr>
              <w:widowControl w:val="0"/>
              <w:ind w:left="113" w:hanging="113"/>
            </w:pPr>
            <w:r w:rsidRPr="00E837F2">
              <w:t>Loans to sovereigns</w:t>
            </w:r>
          </w:p>
        </w:tc>
        <w:tc>
          <w:tcPr>
            <w:tcW w:w="606" w:type="pct"/>
            <w:vAlign w:val="bottom"/>
          </w:tcPr>
          <w:p w14:paraId="60F08766"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6873F8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D9BFD7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457DAFB"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DBE4915" w14:textId="77777777" w:rsidTr="001B330E">
        <w:trPr>
          <w:trHeight w:val="23"/>
        </w:trPr>
        <w:tc>
          <w:tcPr>
            <w:tcW w:w="2576" w:type="pct"/>
            <w:vAlign w:val="bottom"/>
          </w:tcPr>
          <w:p w14:paraId="14ED9D5F" w14:textId="77777777" w:rsidR="00D83E33" w:rsidRPr="00E837F2" w:rsidRDefault="00BC4072" w:rsidP="001B330E">
            <w:pPr>
              <w:widowControl w:val="0"/>
              <w:ind w:left="113" w:hanging="113"/>
            </w:pPr>
            <w:r w:rsidRPr="00E837F2">
              <w:t>Loans to sub-sovereigns</w:t>
            </w:r>
          </w:p>
        </w:tc>
        <w:tc>
          <w:tcPr>
            <w:tcW w:w="606" w:type="pct"/>
            <w:vAlign w:val="bottom"/>
          </w:tcPr>
          <w:p w14:paraId="7ABB0905"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455F7E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114591F"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4ABCC03"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75807D36" w14:textId="77777777" w:rsidTr="001B330E">
        <w:trPr>
          <w:trHeight w:val="23"/>
        </w:trPr>
        <w:tc>
          <w:tcPr>
            <w:tcW w:w="2576" w:type="pct"/>
            <w:vAlign w:val="bottom"/>
          </w:tcPr>
          <w:p w14:paraId="38069B19" w14:textId="77777777" w:rsidR="00D83E33" w:rsidRPr="00E837F2" w:rsidRDefault="00BC4072" w:rsidP="001B330E">
            <w:pPr>
              <w:widowControl w:val="0"/>
              <w:ind w:left="113" w:hanging="113"/>
            </w:pPr>
            <w:r w:rsidRPr="00E837F2">
              <w:t>Loans to SME</w:t>
            </w:r>
          </w:p>
        </w:tc>
        <w:tc>
          <w:tcPr>
            <w:tcW w:w="606" w:type="pct"/>
            <w:vAlign w:val="bottom"/>
          </w:tcPr>
          <w:p w14:paraId="7078DA48"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75AF1F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7009912"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CFD1E4E"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88AFB4C" w14:textId="77777777" w:rsidTr="001B330E">
        <w:trPr>
          <w:trHeight w:val="23"/>
        </w:trPr>
        <w:tc>
          <w:tcPr>
            <w:tcW w:w="2576" w:type="pct"/>
            <w:vAlign w:val="bottom"/>
          </w:tcPr>
          <w:p w14:paraId="5D506984" w14:textId="77777777" w:rsidR="00D83E33" w:rsidRPr="00E837F2" w:rsidRDefault="00BC4072" w:rsidP="001B330E">
            <w:pPr>
              <w:widowControl w:val="0"/>
              <w:ind w:left="113" w:hanging="113"/>
            </w:pPr>
            <w:r w:rsidRPr="00E837F2">
              <w:t>Loans to leasing companies</w:t>
            </w:r>
          </w:p>
        </w:tc>
        <w:tc>
          <w:tcPr>
            <w:tcW w:w="606" w:type="pct"/>
            <w:vAlign w:val="bottom"/>
          </w:tcPr>
          <w:p w14:paraId="70ECD22E"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484817C3"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0C460CB"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8C21420"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0E7E79D5" w14:textId="77777777" w:rsidTr="001B330E">
        <w:trPr>
          <w:trHeight w:val="23"/>
        </w:trPr>
        <w:tc>
          <w:tcPr>
            <w:tcW w:w="2576" w:type="pct"/>
            <w:vAlign w:val="bottom"/>
          </w:tcPr>
          <w:p w14:paraId="76D76D1F" w14:textId="77777777" w:rsidR="00D83E33" w:rsidRPr="00E837F2" w:rsidRDefault="00BC4072" w:rsidP="001B330E">
            <w:pPr>
              <w:widowControl w:val="0"/>
              <w:ind w:left="113" w:hanging="113"/>
            </w:pPr>
            <w:r w:rsidRPr="00E837F2">
              <w:t xml:space="preserve">Reverse sale and repurchase agreements </w:t>
            </w:r>
          </w:p>
        </w:tc>
        <w:tc>
          <w:tcPr>
            <w:tcW w:w="606" w:type="pct"/>
            <w:vAlign w:val="bottom"/>
          </w:tcPr>
          <w:p w14:paraId="4182284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39505342"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996E38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CA419CD"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47EC14D" w14:textId="77777777" w:rsidTr="001B330E">
        <w:trPr>
          <w:trHeight w:val="23"/>
        </w:trPr>
        <w:tc>
          <w:tcPr>
            <w:tcW w:w="2576" w:type="pct"/>
            <w:vAlign w:val="bottom"/>
          </w:tcPr>
          <w:p w14:paraId="2514A83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2486E70E"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65AD51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5AD6E0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962F5DC"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43297310" w14:textId="77777777" w:rsidTr="001B330E">
        <w:trPr>
          <w:trHeight w:val="23"/>
        </w:trPr>
        <w:tc>
          <w:tcPr>
            <w:tcW w:w="2576" w:type="pct"/>
            <w:vAlign w:val="bottom"/>
          </w:tcPr>
          <w:p w14:paraId="1DCA92A6" w14:textId="77777777" w:rsidR="00D83E33" w:rsidRPr="00E837F2" w:rsidRDefault="00BC4072" w:rsidP="001B330E">
            <w:pPr>
              <w:widowControl w:val="0"/>
              <w:ind w:left="113" w:hanging="113"/>
            </w:pPr>
            <w:r w:rsidRPr="00E837F2">
              <w:rPr>
                <w:i/>
              </w:rPr>
              <w:t>Loans to individuals carried at AC</w:t>
            </w:r>
          </w:p>
        </w:tc>
        <w:tc>
          <w:tcPr>
            <w:tcW w:w="606" w:type="pct"/>
            <w:vAlign w:val="bottom"/>
          </w:tcPr>
          <w:p w14:paraId="7F689E74"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B93B22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C26D000"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8064248"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7514D62" w14:textId="77777777" w:rsidTr="001B330E">
        <w:trPr>
          <w:trHeight w:val="23"/>
        </w:trPr>
        <w:tc>
          <w:tcPr>
            <w:tcW w:w="2576" w:type="pct"/>
            <w:vAlign w:val="bottom"/>
          </w:tcPr>
          <w:p w14:paraId="282FFB6A" w14:textId="77777777" w:rsidR="00D83E33" w:rsidRPr="00E837F2" w:rsidRDefault="00D83E33" w:rsidP="001B330E">
            <w:pPr>
              <w:widowControl w:val="0"/>
              <w:ind w:left="113" w:hanging="113"/>
              <w:rPr>
                <w:i/>
              </w:rPr>
            </w:pPr>
          </w:p>
        </w:tc>
        <w:tc>
          <w:tcPr>
            <w:tcW w:w="606" w:type="pct"/>
            <w:vAlign w:val="bottom"/>
          </w:tcPr>
          <w:p w14:paraId="53CCD9BD"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4CA056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53DD673"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058BCD7"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34E9F2BF" w14:textId="77777777" w:rsidTr="001B330E">
        <w:trPr>
          <w:trHeight w:val="23"/>
        </w:trPr>
        <w:tc>
          <w:tcPr>
            <w:tcW w:w="2576" w:type="pct"/>
            <w:vAlign w:val="bottom"/>
          </w:tcPr>
          <w:p w14:paraId="65129B2A" w14:textId="77777777" w:rsidR="00D83E33" w:rsidRPr="00E837F2" w:rsidRDefault="00BC4072" w:rsidP="001B330E">
            <w:pPr>
              <w:widowControl w:val="0"/>
              <w:ind w:left="113" w:hanging="113"/>
            </w:pPr>
            <w:r w:rsidRPr="00E837F2">
              <w:t xml:space="preserve">Mortgage loans </w:t>
            </w:r>
          </w:p>
        </w:tc>
        <w:tc>
          <w:tcPr>
            <w:tcW w:w="606" w:type="pct"/>
            <w:vAlign w:val="bottom"/>
          </w:tcPr>
          <w:p w14:paraId="15D7900C"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9BDE48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4F472B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0E1E3B8"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F24BD46" w14:textId="77777777" w:rsidTr="001B330E">
        <w:trPr>
          <w:trHeight w:val="23"/>
        </w:trPr>
        <w:tc>
          <w:tcPr>
            <w:tcW w:w="2576" w:type="pct"/>
            <w:vAlign w:val="bottom"/>
          </w:tcPr>
          <w:p w14:paraId="0E124841" w14:textId="77777777" w:rsidR="00D83E33" w:rsidRPr="00E837F2" w:rsidRDefault="00BC4072" w:rsidP="001B330E">
            <w:pPr>
              <w:widowControl w:val="0"/>
              <w:ind w:left="113" w:hanging="113"/>
            </w:pPr>
            <w:r w:rsidRPr="00E837F2">
              <w:t>Consumer loans</w:t>
            </w:r>
          </w:p>
        </w:tc>
        <w:tc>
          <w:tcPr>
            <w:tcW w:w="606" w:type="pct"/>
            <w:vAlign w:val="bottom"/>
          </w:tcPr>
          <w:p w14:paraId="6E6AA84C"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CC75EC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78BB2D0"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557AA15"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A696450" w14:textId="77777777" w:rsidTr="001B330E">
        <w:trPr>
          <w:trHeight w:val="23"/>
        </w:trPr>
        <w:tc>
          <w:tcPr>
            <w:tcW w:w="2576" w:type="pct"/>
            <w:vAlign w:val="bottom"/>
          </w:tcPr>
          <w:p w14:paraId="2F7DF182" w14:textId="77777777" w:rsidR="00D83E33" w:rsidRPr="00E837F2" w:rsidRDefault="00BC4072" w:rsidP="001B330E">
            <w:pPr>
              <w:widowControl w:val="0"/>
              <w:ind w:left="113" w:hanging="113"/>
            </w:pPr>
            <w:r w:rsidRPr="00E837F2">
              <w:t>Car loans</w:t>
            </w:r>
          </w:p>
        </w:tc>
        <w:tc>
          <w:tcPr>
            <w:tcW w:w="606" w:type="pct"/>
            <w:vAlign w:val="bottom"/>
          </w:tcPr>
          <w:p w14:paraId="0DA6E238"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5641379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EFE6D0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1A88E57"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0E2AD8D3" w14:textId="77777777" w:rsidTr="001B330E">
        <w:trPr>
          <w:trHeight w:val="23"/>
        </w:trPr>
        <w:tc>
          <w:tcPr>
            <w:tcW w:w="2576" w:type="pct"/>
            <w:vAlign w:val="bottom"/>
          </w:tcPr>
          <w:p w14:paraId="183A408F" w14:textId="77777777" w:rsidR="00D83E33" w:rsidRPr="00E837F2" w:rsidRDefault="00BC4072" w:rsidP="001B330E">
            <w:pPr>
              <w:widowControl w:val="0"/>
              <w:ind w:left="113" w:hanging="113"/>
            </w:pPr>
            <w:r w:rsidRPr="00E837F2">
              <w:t xml:space="preserve">Credit cards </w:t>
            </w:r>
          </w:p>
        </w:tc>
        <w:tc>
          <w:tcPr>
            <w:tcW w:w="606" w:type="pct"/>
            <w:vAlign w:val="bottom"/>
          </w:tcPr>
          <w:p w14:paraId="0DCB6C38"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500351A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A6014B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30767ED"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322C893" w14:textId="77777777" w:rsidTr="001B330E">
        <w:trPr>
          <w:trHeight w:val="23"/>
        </w:trPr>
        <w:tc>
          <w:tcPr>
            <w:tcW w:w="2576" w:type="pct"/>
            <w:tcBorders>
              <w:bottom w:val="single" w:sz="12" w:space="0" w:color="000000"/>
            </w:tcBorders>
          </w:tcPr>
          <w:p w14:paraId="1CCCD57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79253221" w14:textId="77777777" w:rsidR="00D83E33" w:rsidRPr="00E837F2" w:rsidRDefault="00D83E33" w:rsidP="001B330E">
            <w:pPr>
              <w:widowControl w:val="0"/>
              <w:rPr>
                <w:b/>
              </w:rPr>
            </w:pPr>
          </w:p>
        </w:tc>
        <w:tc>
          <w:tcPr>
            <w:tcW w:w="606" w:type="pct"/>
            <w:tcBorders>
              <w:bottom w:val="single" w:sz="12" w:space="0" w:color="000000"/>
            </w:tcBorders>
            <w:vAlign w:val="bottom"/>
          </w:tcPr>
          <w:p w14:paraId="23011347" w14:textId="77777777" w:rsidR="00D83E33" w:rsidRPr="00E837F2" w:rsidRDefault="00D83E33" w:rsidP="001B330E">
            <w:pPr>
              <w:widowControl w:val="0"/>
              <w:rPr>
                <w:b/>
              </w:rPr>
            </w:pPr>
          </w:p>
        </w:tc>
        <w:tc>
          <w:tcPr>
            <w:tcW w:w="606" w:type="pct"/>
            <w:tcBorders>
              <w:bottom w:val="single" w:sz="12" w:space="0" w:color="000000"/>
            </w:tcBorders>
          </w:tcPr>
          <w:p w14:paraId="7B4D44DC" w14:textId="77777777" w:rsidR="00D83E33" w:rsidRPr="00E837F2" w:rsidRDefault="00D83E33" w:rsidP="001B330E">
            <w:pPr>
              <w:widowControl w:val="0"/>
              <w:rPr>
                <w:b/>
              </w:rPr>
            </w:pPr>
          </w:p>
        </w:tc>
        <w:tc>
          <w:tcPr>
            <w:tcW w:w="606" w:type="pct"/>
            <w:tcBorders>
              <w:bottom w:val="single" w:sz="12" w:space="0" w:color="000000"/>
            </w:tcBorders>
          </w:tcPr>
          <w:p w14:paraId="5E57A35B" w14:textId="77777777" w:rsidR="00D83E33" w:rsidRPr="00E837F2" w:rsidRDefault="00D83E33" w:rsidP="001B330E">
            <w:pPr>
              <w:widowControl w:val="0"/>
              <w:rPr>
                <w:b/>
              </w:rPr>
            </w:pPr>
          </w:p>
        </w:tc>
      </w:tr>
    </w:tbl>
    <w:p w14:paraId="17CB9241" w14:textId="77777777" w:rsidR="009C6EFA" w:rsidRDefault="009C6EFA" w:rsidP="009C6EFA">
      <w:pPr>
        <w:pStyle w:val="Continued"/>
      </w:pPr>
      <w:r>
        <w:lastRenderedPageBreak/>
        <w:t>11</w:t>
      </w:r>
      <w:r>
        <w:tab/>
        <w:t>Loans and Advances to Customers (Continued)</w:t>
      </w:r>
    </w:p>
    <w:p w14:paraId="4875AC88" w14:textId="2D65A96C" w:rsidR="00D83E33" w:rsidRDefault="00BC4072" w:rsidP="001B330E">
      <w:pPr>
        <w:widowControl w:val="0"/>
        <w:spacing w:before="200" w:after="200"/>
        <w:jc w:val="both"/>
        <w:rPr>
          <w:sz w:val="20"/>
          <w:szCs w:val="20"/>
        </w:rPr>
      </w:pPr>
      <w:r>
        <w:rPr>
          <w:sz w:val="20"/>
          <w:szCs w:val="20"/>
        </w:rPr>
        <w:t xml:space="preserve">The Group obtains collateral valuation at the time of granting loans and generally updates it every </w:t>
      </w:r>
      <w:r>
        <w:rPr>
          <w:color w:val="0000FF"/>
          <w:sz w:val="20"/>
          <w:szCs w:val="20"/>
        </w:rPr>
        <w:t>[two to three]</w:t>
      </w:r>
      <w:r>
        <w:rPr>
          <w:sz w:val="20"/>
          <w:szCs w:val="20"/>
        </w:rPr>
        <w:t xml:space="preserve"> years, depending on the significance of the loan exposure. The values of collateral considered in this disclosure are after a valuation haircut of </w:t>
      </w:r>
      <w:r>
        <w:rPr>
          <w:color w:val="0000FF"/>
          <w:sz w:val="20"/>
          <w:szCs w:val="20"/>
        </w:rPr>
        <w:t>[20-50%]</w:t>
      </w:r>
      <w:r>
        <w:rPr>
          <w:sz w:val="20"/>
          <w:szCs w:val="20"/>
        </w:rPr>
        <w:t xml:space="preserve"> applied to consider liquidity and quality of the pledged assets. </w:t>
      </w:r>
      <w:r>
        <w:rPr>
          <w:i/>
          <w:color w:val="FF0000"/>
          <w:sz w:val="20"/>
          <w:szCs w:val="20"/>
        </w:rPr>
        <w:t>[Expand to describe approach to collateral valuations / collateral policy.]</w:t>
      </w:r>
    </w:p>
    <w:p w14:paraId="7F3EE70D" w14:textId="1CDE7E00" w:rsidR="00D83E33" w:rsidRDefault="00BC4072" w:rsidP="001B330E">
      <w:pPr>
        <w:widowControl w:val="0"/>
        <w:spacing w:before="200" w:after="200"/>
        <w:jc w:val="both"/>
        <w:rPr>
          <w:i/>
          <w:color w:val="FF0000"/>
          <w:sz w:val="20"/>
          <w:szCs w:val="20"/>
        </w:rPr>
      </w:pPr>
      <w:r>
        <w:rPr>
          <w:sz w:val="20"/>
          <w:szCs w:val="20"/>
        </w:rPr>
        <w:t xml:space="preserve">Description of collateral held </w:t>
      </w:r>
      <w:r>
        <w:rPr>
          <w:color w:val="000000"/>
          <w:sz w:val="20"/>
          <w:szCs w:val="20"/>
        </w:rPr>
        <w:t xml:space="preserve">for loans to corporate customers carried at FVTPL </w:t>
      </w:r>
      <w:r>
        <w:rPr>
          <w:sz w:val="20"/>
          <w:szCs w:val="20"/>
        </w:rPr>
        <w:t>is as follows at 31</w:t>
      </w:r>
      <w:r w:rsidR="00181687">
        <w:rPr>
          <w:sz w:val="20"/>
          <w:szCs w:val="20"/>
        </w:rPr>
        <w:t> December </w:t>
      </w:r>
      <w:r w:rsidR="00541EBC">
        <w:rPr>
          <w:sz w:val="20"/>
          <w:szCs w:val="20"/>
        </w:rPr>
        <w:t>2024</w:t>
      </w:r>
      <w:r>
        <w:rPr>
          <w:sz w:val="20"/>
          <w:szCs w:val="20"/>
        </w:rPr>
        <w:t>:</w:t>
      </w:r>
    </w:p>
    <w:tbl>
      <w:tblPr>
        <w:tblStyle w:val="affffff1"/>
        <w:tblW w:w="5000" w:type="pct"/>
        <w:tblLayout w:type="fixed"/>
        <w:tblLook w:val="0000" w:firstRow="0" w:lastRow="0" w:firstColumn="0" w:lastColumn="0" w:noHBand="0" w:noVBand="0"/>
      </w:tblPr>
      <w:tblGrid>
        <w:gridCol w:w="2563"/>
        <w:gridCol w:w="866"/>
        <w:gridCol w:w="866"/>
        <w:gridCol w:w="818"/>
        <w:gridCol w:w="818"/>
        <w:gridCol w:w="818"/>
        <w:gridCol w:w="866"/>
        <w:gridCol w:w="926"/>
        <w:gridCol w:w="814"/>
      </w:tblGrid>
      <w:tr w:rsidR="00D83E33" w:rsidRPr="00E837F2" w14:paraId="64ECFA5D" w14:textId="77777777" w:rsidTr="001B330E">
        <w:trPr>
          <w:trHeight w:val="23"/>
        </w:trPr>
        <w:tc>
          <w:tcPr>
            <w:tcW w:w="1370" w:type="pct"/>
            <w:tcBorders>
              <w:bottom w:val="single" w:sz="6" w:space="0" w:color="000000"/>
            </w:tcBorders>
            <w:vAlign w:val="bottom"/>
          </w:tcPr>
          <w:p w14:paraId="2B32E951" w14:textId="7115ED46" w:rsidR="00D83E33" w:rsidRPr="00E837F2" w:rsidRDefault="00313B4D" w:rsidP="001B330E">
            <w:pPr>
              <w:widowControl w:val="0"/>
              <w:ind w:left="113" w:hanging="113"/>
              <w:rPr>
                <w:i/>
                <w:color w:val="000000"/>
              </w:rPr>
            </w:pPr>
            <w:r>
              <w:rPr>
                <w:i/>
                <w:color w:val="000000"/>
              </w:rPr>
              <w:t xml:space="preserve">In thousands of </w:t>
            </w:r>
            <w:r w:rsidR="002649EE">
              <w:rPr>
                <w:i/>
                <w:color w:val="000000"/>
              </w:rPr>
              <w:t>EUR</w:t>
            </w:r>
          </w:p>
        </w:tc>
        <w:tc>
          <w:tcPr>
            <w:tcW w:w="463" w:type="pct"/>
            <w:tcBorders>
              <w:bottom w:val="single" w:sz="6" w:space="0" w:color="000000"/>
            </w:tcBorders>
          </w:tcPr>
          <w:p w14:paraId="5B2D8B30" w14:textId="77777777" w:rsidR="00D83E33" w:rsidRPr="00E837F2" w:rsidRDefault="00BC4072" w:rsidP="001B330E">
            <w:pPr>
              <w:widowControl w:val="0"/>
              <w:ind w:left="-113"/>
              <w:jc w:val="right"/>
              <w:rPr>
                <w:b/>
                <w:color w:val="000000"/>
              </w:rPr>
            </w:pPr>
            <w:r w:rsidRPr="00E837F2">
              <w:rPr>
                <w:b/>
                <w:color w:val="000000"/>
              </w:rPr>
              <w:t>Stan-dard lending</w:t>
            </w:r>
          </w:p>
        </w:tc>
        <w:tc>
          <w:tcPr>
            <w:tcW w:w="463" w:type="pct"/>
            <w:tcBorders>
              <w:bottom w:val="single" w:sz="6" w:space="0" w:color="000000"/>
            </w:tcBorders>
          </w:tcPr>
          <w:p w14:paraId="7D418434" w14:textId="77777777" w:rsidR="00D83E33" w:rsidRPr="00E837F2" w:rsidRDefault="00BC4072" w:rsidP="001B330E">
            <w:pPr>
              <w:widowControl w:val="0"/>
              <w:ind w:left="-113"/>
              <w:jc w:val="right"/>
              <w:rPr>
                <w:b/>
                <w:color w:val="000000"/>
              </w:rPr>
            </w:pPr>
            <w:r w:rsidRPr="00E837F2">
              <w:rPr>
                <w:b/>
                <w:color w:val="000000"/>
              </w:rPr>
              <w:t>Specia-lised lending</w:t>
            </w:r>
          </w:p>
        </w:tc>
        <w:tc>
          <w:tcPr>
            <w:tcW w:w="437" w:type="pct"/>
            <w:tcBorders>
              <w:bottom w:val="single" w:sz="6" w:space="0" w:color="000000"/>
            </w:tcBorders>
          </w:tcPr>
          <w:p w14:paraId="5579C1F0" w14:textId="77777777" w:rsidR="00D83E33" w:rsidRPr="00E837F2" w:rsidRDefault="00BC4072" w:rsidP="001B330E">
            <w:pPr>
              <w:widowControl w:val="0"/>
              <w:ind w:left="-113"/>
              <w:jc w:val="right"/>
              <w:rPr>
                <w:b/>
                <w:color w:val="000000"/>
              </w:rPr>
            </w:pPr>
            <w:r w:rsidRPr="00E837F2">
              <w:rPr>
                <w:b/>
                <w:color w:val="000000"/>
              </w:rPr>
              <w:t>Loans to sove-reigns</w:t>
            </w:r>
          </w:p>
        </w:tc>
        <w:tc>
          <w:tcPr>
            <w:tcW w:w="437" w:type="pct"/>
            <w:tcBorders>
              <w:bottom w:val="single" w:sz="6" w:space="0" w:color="000000"/>
            </w:tcBorders>
          </w:tcPr>
          <w:p w14:paraId="3B12088D" w14:textId="77777777" w:rsidR="00D83E33" w:rsidRPr="00E837F2" w:rsidRDefault="00BC4072" w:rsidP="001B330E">
            <w:pPr>
              <w:widowControl w:val="0"/>
              <w:ind w:left="-113"/>
              <w:jc w:val="right"/>
              <w:rPr>
                <w:b/>
                <w:color w:val="000000"/>
              </w:rPr>
            </w:pPr>
            <w:r w:rsidRPr="00E837F2">
              <w:rPr>
                <w:b/>
                <w:color w:val="000000"/>
              </w:rPr>
              <w:t>Loans to sub-sove-reigns</w:t>
            </w:r>
          </w:p>
        </w:tc>
        <w:tc>
          <w:tcPr>
            <w:tcW w:w="437" w:type="pct"/>
            <w:tcBorders>
              <w:bottom w:val="single" w:sz="6" w:space="0" w:color="000000"/>
            </w:tcBorders>
          </w:tcPr>
          <w:p w14:paraId="3DDEE66F" w14:textId="77777777" w:rsidR="00D83E33" w:rsidRPr="00E837F2" w:rsidRDefault="00BC4072" w:rsidP="001B330E">
            <w:pPr>
              <w:widowControl w:val="0"/>
              <w:ind w:left="-113"/>
              <w:jc w:val="right"/>
              <w:rPr>
                <w:b/>
                <w:color w:val="000000"/>
              </w:rPr>
            </w:pPr>
            <w:r w:rsidRPr="00E837F2">
              <w:rPr>
                <w:b/>
                <w:color w:val="000000"/>
              </w:rPr>
              <w:t>Loans to SME</w:t>
            </w:r>
          </w:p>
        </w:tc>
        <w:tc>
          <w:tcPr>
            <w:tcW w:w="463" w:type="pct"/>
            <w:tcBorders>
              <w:bottom w:val="single" w:sz="6" w:space="0" w:color="000000"/>
            </w:tcBorders>
          </w:tcPr>
          <w:p w14:paraId="2B3B08AB" w14:textId="77777777" w:rsidR="00D83E33" w:rsidRPr="00E837F2" w:rsidRDefault="00BC4072" w:rsidP="001B330E">
            <w:pPr>
              <w:widowControl w:val="0"/>
              <w:ind w:left="-113"/>
              <w:jc w:val="right"/>
              <w:rPr>
                <w:b/>
                <w:color w:val="000000"/>
              </w:rPr>
            </w:pPr>
            <w:r w:rsidRPr="00E837F2">
              <w:rPr>
                <w:b/>
                <w:color w:val="000000"/>
              </w:rPr>
              <w:t>Loans to leasing compa-nies</w:t>
            </w:r>
          </w:p>
        </w:tc>
        <w:tc>
          <w:tcPr>
            <w:tcW w:w="495" w:type="pct"/>
            <w:tcBorders>
              <w:bottom w:val="single" w:sz="6" w:space="0" w:color="000000"/>
            </w:tcBorders>
          </w:tcPr>
          <w:p w14:paraId="12C84185" w14:textId="77777777" w:rsidR="00D83E33" w:rsidRPr="00E837F2" w:rsidRDefault="00BC4072" w:rsidP="001B330E">
            <w:pPr>
              <w:widowControl w:val="0"/>
              <w:ind w:left="-113"/>
              <w:jc w:val="right"/>
              <w:rPr>
                <w:b/>
                <w:color w:val="000000"/>
              </w:rPr>
            </w:pPr>
            <w:r w:rsidRPr="00E837F2">
              <w:rPr>
                <w:b/>
                <w:color w:val="000000"/>
              </w:rPr>
              <w:t xml:space="preserve">Reverse sale and repur-chase agree-ments </w:t>
            </w:r>
          </w:p>
        </w:tc>
        <w:tc>
          <w:tcPr>
            <w:tcW w:w="435" w:type="pct"/>
            <w:tcBorders>
              <w:bottom w:val="single" w:sz="6" w:space="0" w:color="000000"/>
            </w:tcBorders>
          </w:tcPr>
          <w:p w14:paraId="2786440A" w14:textId="77777777" w:rsidR="00D83E33" w:rsidRPr="00E837F2" w:rsidRDefault="00BC4072" w:rsidP="001B330E">
            <w:pPr>
              <w:widowControl w:val="0"/>
              <w:ind w:left="-113"/>
              <w:jc w:val="right"/>
              <w:rPr>
                <w:b/>
                <w:color w:val="000000"/>
              </w:rPr>
            </w:pPr>
            <w:r w:rsidRPr="00E837F2">
              <w:rPr>
                <w:b/>
                <w:color w:val="000000"/>
              </w:rPr>
              <w:t>Total</w:t>
            </w:r>
          </w:p>
        </w:tc>
      </w:tr>
      <w:tr w:rsidR="00D83E33" w:rsidRPr="00E837F2" w14:paraId="1DB6DFFF" w14:textId="77777777" w:rsidTr="001B330E">
        <w:trPr>
          <w:trHeight w:val="23"/>
        </w:trPr>
        <w:tc>
          <w:tcPr>
            <w:tcW w:w="1370" w:type="pct"/>
            <w:tcBorders>
              <w:top w:val="single" w:sz="6" w:space="0" w:color="000000"/>
            </w:tcBorders>
            <w:vAlign w:val="bottom"/>
          </w:tcPr>
          <w:p w14:paraId="724DAD9B" w14:textId="77777777" w:rsidR="00D83E33" w:rsidRPr="001B330E" w:rsidRDefault="00D83E33" w:rsidP="001B330E">
            <w:pPr>
              <w:widowControl w:val="0"/>
              <w:ind w:left="113" w:hanging="113"/>
              <w:rPr>
                <w:b/>
                <w:color w:val="000000"/>
                <w:szCs w:val="10"/>
              </w:rPr>
            </w:pPr>
          </w:p>
        </w:tc>
        <w:tc>
          <w:tcPr>
            <w:tcW w:w="463" w:type="pct"/>
            <w:tcBorders>
              <w:top w:val="single" w:sz="6" w:space="0" w:color="000000"/>
            </w:tcBorders>
            <w:vAlign w:val="bottom"/>
          </w:tcPr>
          <w:p w14:paraId="2909FBC3" w14:textId="77777777" w:rsidR="00D83E33" w:rsidRPr="001B330E" w:rsidRDefault="00D83E33" w:rsidP="001B330E">
            <w:pPr>
              <w:widowControl w:val="0"/>
              <w:jc w:val="right"/>
              <w:rPr>
                <w:b/>
                <w:color w:val="000000"/>
                <w:szCs w:val="10"/>
              </w:rPr>
            </w:pPr>
          </w:p>
        </w:tc>
        <w:tc>
          <w:tcPr>
            <w:tcW w:w="463" w:type="pct"/>
            <w:tcBorders>
              <w:top w:val="single" w:sz="6" w:space="0" w:color="000000"/>
            </w:tcBorders>
            <w:vAlign w:val="bottom"/>
          </w:tcPr>
          <w:p w14:paraId="7F0C2368" w14:textId="77777777" w:rsidR="00D83E33" w:rsidRPr="001B330E" w:rsidRDefault="00D83E33" w:rsidP="001B330E">
            <w:pPr>
              <w:widowControl w:val="0"/>
              <w:jc w:val="right"/>
              <w:rPr>
                <w:b/>
                <w:color w:val="000000"/>
                <w:szCs w:val="10"/>
              </w:rPr>
            </w:pPr>
          </w:p>
        </w:tc>
        <w:tc>
          <w:tcPr>
            <w:tcW w:w="437" w:type="pct"/>
            <w:tcBorders>
              <w:top w:val="single" w:sz="6" w:space="0" w:color="000000"/>
            </w:tcBorders>
            <w:vAlign w:val="bottom"/>
          </w:tcPr>
          <w:p w14:paraId="0FB73622" w14:textId="77777777" w:rsidR="00D83E33" w:rsidRPr="001B330E" w:rsidRDefault="00D83E33" w:rsidP="001B330E">
            <w:pPr>
              <w:widowControl w:val="0"/>
              <w:jc w:val="right"/>
              <w:rPr>
                <w:b/>
                <w:color w:val="000000"/>
                <w:szCs w:val="10"/>
              </w:rPr>
            </w:pPr>
          </w:p>
        </w:tc>
        <w:tc>
          <w:tcPr>
            <w:tcW w:w="437" w:type="pct"/>
            <w:tcBorders>
              <w:top w:val="single" w:sz="6" w:space="0" w:color="000000"/>
            </w:tcBorders>
            <w:vAlign w:val="bottom"/>
          </w:tcPr>
          <w:p w14:paraId="02A478D1" w14:textId="77777777" w:rsidR="00D83E33" w:rsidRPr="001B330E" w:rsidRDefault="00D83E33" w:rsidP="001B330E">
            <w:pPr>
              <w:widowControl w:val="0"/>
              <w:jc w:val="right"/>
              <w:rPr>
                <w:b/>
                <w:color w:val="000000"/>
                <w:szCs w:val="10"/>
              </w:rPr>
            </w:pPr>
          </w:p>
        </w:tc>
        <w:tc>
          <w:tcPr>
            <w:tcW w:w="437" w:type="pct"/>
            <w:tcBorders>
              <w:top w:val="single" w:sz="6" w:space="0" w:color="000000"/>
            </w:tcBorders>
            <w:vAlign w:val="bottom"/>
          </w:tcPr>
          <w:p w14:paraId="7ABBA1D2" w14:textId="77777777" w:rsidR="00D83E33" w:rsidRPr="001B330E" w:rsidRDefault="00D83E33" w:rsidP="001B330E">
            <w:pPr>
              <w:widowControl w:val="0"/>
              <w:jc w:val="right"/>
              <w:rPr>
                <w:b/>
                <w:color w:val="000000"/>
                <w:szCs w:val="10"/>
              </w:rPr>
            </w:pPr>
          </w:p>
        </w:tc>
        <w:tc>
          <w:tcPr>
            <w:tcW w:w="463" w:type="pct"/>
            <w:tcBorders>
              <w:top w:val="single" w:sz="6" w:space="0" w:color="000000"/>
            </w:tcBorders>
            <w:vAlign w:val="bottom"/>
          </w:tcPr>
          <w:p w14:paraId="0B3BE277" w14:textId="77777777" w:rsidR="00D83E33" w:rsidRPr="001B330E" w:rsidRDefault="00D83E33" w:rsidP="001B330E">
            <w:pPr>
              <w:widowControl w:val="0"/>
              <w:jc w:val="right"/>
              <w:rPr>
                <w:b/>
                <w:color w:val="000000"/>
                <w:szCs w:val="10"/>
              </w:rPr>
            </w:pPr>
          </w:p>
        </w:tc>
        <w:tc>
          <w:tcPr>
            <w:tcW w:w="495" w:type="pct"/>
            <w:tcBorders>
              <w:top w:val="single" w:sz="6" w:space="0" w:color="000000"/>
            </w:tcBorders>
          </w:tcPr>
          <w:p w14:paraId="136BAC4D" w14:textId="77777777" w:rsidR="00D83E33" w:rsidRPr="001B330E" w:rsidRDefault="00D83E33" w:rsidP="001B330E">
            <w:pPr>
              <w:widowControl w:val="0"/>
              <w:jc w:val="right"/>
              <w:rPr>
                <w:b/>
                <w:color w:val="000000"/>
                <w:szCs w:val="10"/>
              </w:rPr>
            </w:pPr>
          </w:p>
        </w:tc>
        <w:tc>
          <w:tcPr>
            <w:tcW w:w="435" w:type="pct"/>
            <w:tcBorders>
              <w:top w:val="single" w:sz="6" w:space="0" w:color="000000"/>
            </w:tcBorders>
            <w:vAlign w:val="bottom"/>
          </w:tcPr>
          <w:p w14:paraId="24BDBAE0" w14:textId="77777777" w:rsidR="00D83E33" w:rsidRPr="001B330E" w:rsidRDefault="00D83E33" w:rsidP="001B330E">
            <w:pPr>
              <w:widowControl w:val="0"/>
              <w:jc w:val="right"/>
              <w:rPr>
                <w:b/>
                <w:color w:val="000000"/>
                <w:szCs w:val="10"/>
              </w:rPr>
            </w:pPr>
          </w:p>
        </w:tc>
      </w:tr>
      <w:tr w:rsidR="00D83E33" w:rsidRPr="00E837F2" w14:paraId="307AC300" w14:textId="77777777" w:rsidTr="001B330E">
        <w:trPr>
          <w:trHeight w:val="23"/>
        </w:trPr>
        <w:tc>
          <w:tcPr>
            <w:tcW w:w="1370" w:type="pct"/>
            <w:vAlign w:val="bottom"/>
          </w:tcPr>
          <w:p w14:paraId="0BBBEB18" w14:textId="77777777" w:rsidR="00D83E33" w:rsidRPr="00E837F2" w:rsidRDefault="00BC4072" w:rsidP="001B330E">
            <w:pPr>
              <w:widowControl w:val="0"/>
              <w:ind w:left="113" w:hanging="113"/>
              <w:rPr>
                <w:color w:val="000000"/>
              </w:rPr>
            </w:pPr>
            <w:r w:rsidRPr="00E837F2">
              <w:rPr>
                <w:color w:val="000000"/>
              </w:rPr>
              <w:t>Loans guaranteed by other banks</w:t>
            </w:r>
          </w:p>
        </w:tc>
        <w:tc>
          <w:tcPr>
            <w:tcW w:w="463" w:type="pct"/>
            <w:vAlign w:val="bottom"/>
          </w:tcPr>
          <w:p w14:paraId="4336A6B3" w14:textId="77777777" w:rsidR="00D83E33" w:rsidRPr="00E837F2" w:rsidRDefault="00D83E33" w:rsidP="001B330E">
            <w:pPr>
              <w:widowControl w:val="0"/>
              <w:jc w:val="right"/>
              <w:rPr>
                <w:color w:val="000000"/>
              </w:rPr>
            </w:pPr>
          </w:p>
        </w:tc>
        <w:tc>
          <w:tcPr>
            <w:tcW w:w="463" w:type="pct"/>
            <w:vAlign w:val="bottom"/>
          </w:tcPr>
          <w:p w14:paraId="22A5F699" w14:textId="77777777" w:rsidR="00D83E33" w:rsidRPr="00E837F2" w:rsidRDefault="00D83E33" w:rsidP="001B330E">
            <w:pPr>
              <w:widowControl w:val="0"/>
              <w:jc w:val="right"/>
              <w:rPr>
                <w:color w:val="000000"/>
              </w:rPr>
            </w:pPr>
          </w:p>
        </w:tc>
        <w:tc>
          <w:tcPr>
            <w:tcW w:w="437" w:type="pct"/>
            <w:vAlign w:val="bottom"/>
          </w:tcPr>
          <w:p w14:paraId="53F20FB1" w14:textId="77777777" w:rsidR="00D83E33" w:rsidRPr="00E837F2" w:rsidRDefault="00D83E33" w:rsidP="001B330E">
            <w:pPr>
              <w:widowControl w:val="0"/>
              <w:jc w:val="right"/>
              <w:rPr>
                <w:color w:val="000000"/>
              </w:rPr>
            </w:pPr>
          </w:p>
        </w:tc>
        <w:tc>
          <w:tcPr>
            <w:tcW w:w="437" w:type="pct"/>
            <w:vAlign w:val="bottom"/>
          </w:tcPr>
          <w:p w14:paraId="0850D76A" w14:textId="77777777" w:rsidR="00D83E33" w:rsidRPr="00E837F2" w:rsidRDefault="00D83E33" w:rsidP="001B330E">
            <w:pPr>
              <w:widowControl w:val="0"/>
              <w:jc w:val="right"/>
              <w:rPr>
                <w:color w:val="000000"/>
              </w:rPr>
            </w:pPr>
          </w:p>
        </w:tc>
        <w:tc>
          <w:tcPr>
            <w:tcW w:w="437" w:type="pct"/>
            <w:vAlign w:val="bottom"/>
          </w:tcPr>
          <w:p w14:paraId="2064B661" w14:textId="77777777" w:rsidR="00D83E33" w:rsidRPr="00E837F2" w:rsidRDefault="00D83E33" w:rsidP="001B330E">
            <w:pPr>
              <w:widowControl w:val="0"/>
              <w:jc w:val="right"/>
              <w:rPr>
                <w:color w:val="000000"/>
              </w:rPr>
            </w:pPr>
          </w:p>
        </w:tc>
        <w:tc>
          <w:tcPr>
            <w:tcW w:w="463" w:type="pct"/>
            <w:vAlign w:val="bottom"/>
          </w:tcPr>
          <w:p w14:paraId="52B57BE8" w14:textId="77777777" w:rsidR="00D83E33" w:rsidRPr="00E837F2" w:rsidRDefault="00D83E33" w:rsidP="001B330E">
            <w:pPr>
              <w:widowControl w:val="0"/>
              <w:jc w:val="right"/>
              <w:rPr>
                <w:color w:val="000000"/>
              </w:rPr>
            </w:pPr>
          </w:p>
        </w:tc>
        <w:tc>
          <w:tcPr>
            <w:tcW w:w="495" w:type="pct"/>
          </w:tcPr>
          <w:p w14:paraId="175F56DD" w14:textId="77777777" w:rsidR="00D83E33" w:rsidRPr="00E837F2" w:rsidRDefault="00D83E33" w:rsidP="001B330E">
            <w:pPr>
              <w:widowControl w:val="0"/>
              <w:jc w:val="right"/>
              <w:rPr>
                <w:color w:val="000000"/>
              </w:rPr>
            </w:pPr>
          </w:p>
        </w:tc>
        <w:tc>
          <w:tcPr>
            <w:tcW w:w="435" w:type="pct"/>
            <w:vAlign w:val="bottom"/>
          </w:tcPr>
          <w:p w14:paraId="3F941F1F" w14:textId="77777777" w:rsidR="00D83E33" w:rsidRPr="00E837F2" w:rsidRDefault="00D83E33" w:rsidP="001B330E">
            <w:pPr>
              <w:widowControl w:val="0"/>
              <w:jc w:val="right"/>
              <w:rPr>
                <w:color w:val="000000"/>
              </w:rPr>
            </w:pPr>
          </w:p>
        </w:tc>
      </w:tr>
      <w:tr w:rsidR="00D83E33" w:rsidRPr="00E837F2" w14:paraId="2A6CB843" w14:textId="77777777" w:rsidTr="001B330E">
        <w:trPr>
          <w:trHeight w:val="23"/>
        </w:trPr>
        <w:tc>
          <w:tcPr>
            <w:tcW w:w="1370" w:type="pct"/>
            <w:vAlign w:val="bottom"/>
          </w:tcPr>
          <w:p w14:paraId="7097AF90" w14:textId="77777777" w:rsidR="00D83E33" w:rsidRPr="00E837F2" w:rsidRDefault="00BC4072" w:rsidP="001B330E">
            <w:pPr>
              <w:widowControl w:val="0"/>
              <w:ind w:left="113" w:hanging="113"/>
              <w:rPr>
                <w:color w:val="000000"/>
              </w:rPr>
            </w:pPr>
            <w:r w:rsidRPr="00E837F2">
              <w:rPr>
                <w:color w:val="000000"/>
              </w:rPr>
              <w:t>Loans guaranteed by other parties, including credit insurance</w:t>
            </w:r>
          </w:p>
        </w:tc>
        <w:tc>
          <w:tcPr>
            <w:tcW w:w="463" w:type="pct"/>
            <w:vAlign w:val="bottom"/>
          </w:tcPr>
          <w:p w14:paraId="06371BFB" w14:textId="77777777" w:rsidR="00D83E33" w:rsidRPr="00E837F2" w:rsidRDefault="00D83E33" w:rsidP="001B330E">
            <w:pPr>
              <w:widowControl w:val="0"/>
              <w:jc w:val="right"/>
              <w:rPr>
                <w:color w:val="000000"/>
              </w:rPr>
            </w:pPr>
          </w:p>
        </w:tc>
        <w:tc>
          <w:tcPr>
            <w:tcW w:w="463" w:type="pct"/>
            <w:vAlign w:val="bottom"/>
          </w:tcPr>
          <w:p w14:paraId="0B39189F" w14:textId="77777777" w:rsidR="00D83E33" w:rsidRPr="00E837F2" w:rsidRDefault="00D83E33" w:rsidP="001B330E">
            <w:pPr>
              <w:widowControl w:val="0"/>
              <w:jc w:val="right"/>
              <w:rPr>
                <w:color w:val="000000"/>
              </w:rPr>
            </w:pPr>
          </w:p>
        </w:tc>
        <w:tc>
          <w:tcPr>
            <w:tcW w:w="437" w:type="pct"/>
            <w:vAlign w:val="bottom"/>
          </w:tcPr>
          <w:p w14:paraId="2872343A" w14:textId="77777777" w:rsidR="00D83E33" w:rsidRPr="00E837F2" w:rsidRDefault="00D83E33" w:rsidP="001B330E">
            <w:pPr>
              <w:widowControl w:val="0"/>
              <w:jc w:val="right"/>
              <w:rPr>
                <w:color w:val="000000"/>
              </w:rPr>
            </w:pPr>
          </w:p>
        </w:tc>
        <w:tc>
          <w:tcPr>
            <w:tcW w:w="437" w:type="pct"/>
            <w:vAlign w:val="bottom"/>
          </w:tcPr>
          <w:p w14:paraId="404A4BD8" w14:textId="77777777" w:rsidR="00D83E33" w:rsidRPr="00E837F2" w:rsidRDefault="00D83E33" w:rsidP="001B330E">
            <w:pPr>
              <w:widowControl w:val="0"/>
              <w:jc w:val="right"/>
              <w:rPr>
                <w:color w:val="000000"/>
              </w:rPr>
            </w:pPr>
          </w:p>
        </w:tc>
        <w:tc>
          <w:tcPr>
            <w:tcW w:w="437" w:type="pct"/>
            <w:vAlign w:val="bottom"/>
          </w:tcPr>
          <w:p w14:paraId="7D4C6ED6" w14:textId="77777777" w:rsidR="00D83E33" w:rsidRPr="00E837F2" w:rsidRDefault="00D83E33" w:rsidP="001B330E">
            <w:pPr>
              <w:widowControl w:val="0"/>
              <w:jc w:val="right"/>
              <w:rPr>
                <w:color w:val="000000"/>
              </w:rPr>
            </w:pPr>
          </w:p>
        </w:tc>
        <w:tc>
          <w:tcPr>
            <w:tcW w:w="463" w:type="pct"/>
            <w:vAlign w:val="bottom"/>
          </w:tcPr>
          <w:p w14:paraId="784511FB" w14:textId="77777777" w:rsidR="00D83E33" w:rsidRPr="00E837F2" w:rsidRDefault="00D83E33" w:rsidP="001B330E">
            <w:pPr>
              <w:widowControl w:val="0"/>
              <w:jc w:val="right"/>
              <w:rPr>
                <w:color w:val="000000"/>
              </w:rPr>
            </w:pPr>
          </w:p>
        </w:tc>
        <w:tc>
          <w:tcPr>
            <w:tcW w:w="495" w:type="pct"/>
          </w:tcPr>
          <w:p w14:paraId="0CCFCF56" w14:textId="77777777" w:rsidR="00D83E33" w:rsidRPr="00E837F2" w:rsidRDefault="00D83E33" w:rsidP="001B330E">
            <w:pPr>
              <w:widowControl w:val="0"/>
              <w:jc w:val="right"/>
              <w:rPr>
                <w:color w:val="000000"/>
              </w:rPr>
            </w:pPr>
          </w:p>
        </w:tc>
        <w:tc>
          <w:tcPr>
            <w:tcW w:w="435" w:type="pct"/>
            <w:vAlign w:val="bottom"/>
          </w:tcPr>
          <w:p w14:paraId="1B51C12E" w14:textId="77777777" w:rsidR="00D83E33" w:rsidRPr="00E837F2" w:rsidRDefault="00D83E33" w:rsidP="001B330E">
            <w:pPr>
              <w:widowControl w:val="0"/>
              <w:jc w:val="right"/>
              <w:rPr>
                <w:color w:val="000000"/>
              </w:rPr>
            </w:pPr>
          </w:p>
        </w:tc>
      </w:tr>
      <w:tr w:rsidR="00D83E33" w:rsidRPr="00E837F2" w14:paraId="1EEF6CC7" w14:textId="77777777" w:rsidTr="001B330E">
        <w:trPr>
          <w:trHeight w:val="23"/>
        </w:trPr>
        <w:tc>
          <w:tcPr>
            <w:tcW w:w="1370" w:type="pct"/>
            <w:vAlign w:val="bottom"/>
          </w:tcPr>
          <w:p w14:paraId="27E59ECF" w14:textId="77777777" w:rsidR="00D83E33" w:rsidRPr="00E837F2" w:rsidRDefault="00BC4072" w:rsidP="001B330E">
            <w:pPr>
              <w:widowControl w:val="0"/>
              <w:ind w:left="113" w:hanging="113"/>
              <w:rPr>
                <w:color w:val="000000"/>
              </w:rPr>
            </w:pPr>
            <w:r w:rsidRPr="00E837F2">
              <w:rPr>
                <w:color w:val="000000"/>
              </w:rPr>
              <w:t xml:space="preserve">Loans collateralised by: </w:t>
            </w:r>
          </w:p>
        </w:tc>
        <w:tc>
          <w:tcPr>
            <w:tcW w:w="463" w:type="pct"/>
            <w:vAlign w:val="bottom"/>
          </w:tcPr>
          <w:p w14:paraId="2F0A3514" w14:textId="77777777" w:rsidR="00D83E33" w:rsidRPr="00E837F2" w:rsidRDefault="00D83E33" w:rsidP="001B330E">
            <w:pPr>
              <w:widowControl w:val="0"/>
              <w:jc w:val="right"/>
              <w:rPr>
                <w:color w:val="000000"/>
              </w:rPr>
            </w:pPr>
          </w:p>
        </w:tc>
        <w:tc>
          <w:tcPr>
            <w:tcW w:w="463" w:type="pct"/>
            <w:vAlign w:val="bottom"/>
          </w:tcPr>
          <w:p w14:paraId="35A31DDA" w14:textId="77777777" w:rsidR="00D83E33" w:rsidRPr="00E837F2" w:rsidRDefault="00D83E33" w:rsidP="001B330E">
            <w:pPr>
              <w:widowControl w:val="0"/>
              <w:jc w:val="right"/>
              <w:rPr>
                <w:color w:val="000000"/>
              </w:rPr>
            </w:pPr>
          </w:p>
        </w:tc>
        <w:tc>
          <w:tcPr>
            <w:tcW w:w="437" w:type="pct"/>
            <w:vAlign w:val="bottom"/>
          </w:tcPr>
          <w:p w14:paraId="4DBD0903" w14:textId="77777777" w:rsidR="00D83E33" w:rsidRPr="00E837F2" w:rsidRDefault="00D83E33" w:rsidP="001B330E">
            <w:pPr>
              <w:widowControl w:val="0"/>
              <w:jc w:val="right"/>
              <w:rPr>
                <w:color w:val="000000"/>
              </w:rPr>
            </w:pPr>
          </w:p>
        </w:tc>
        <w:tc>
          <w:tcPr>
            <w:tcW w:w="437" w:type="pct"/>
            <w:vAlign w:val="bottom"/>
          </w:tcPr>
          <w:p w14:paraId="680FA99B" w14:textId="77777777" w:rsidR="00D83E33" w:rsidRPr="00E837F2" w:rsidRDefault="00D83E33" w:rsidP="001B330E">
            <w:pPr>
              <w:widowControl w:val="0"/>
              <w:jc w:val="right"/>
              <w:rPr>
                <w:color w:val="000000"/>
              </w:rPr>
            </w:pPr>
          </w:p>
        </w:tc>
        <w:tc>
          <w:tcPr>
            <w:tcW w:w="437" w:type="pct"/>
            <w:vAlign w:val="bottom"/>
          </w:tcPr>
          <w:p w14:paraId="3BEA8044" w14:textId="77777777" w:rsidR="00D83E33" w:rsidRPr="00E837F2" w:rsidRDefault="00D83E33" w:rsidP="001B330E">
            <w:pPr>
              <w:widowControl w:val="0"/>
              <w:jc w:val="right"/>
              <w:rPr>
                <w:color w:val="000000"/>
              </w:rPr>
            </w:pPr>
          </w:p>
        </w:tc>
        <w:tc>
          <w:tcPr>
            <w:tcW w:w="463" w:type="pct"/>
            <w:vAlign w:val="bottom"/>
          </w:tcPr>
          <w:p w14:paraId="2E478C31" w14:textId="77777777" w:rsidR="00D83E33" w:rsidRPr="00E837F2" w:rsidRDefault="00D83E33" w:rsidP="001B330E">
            <w:pPr>
              <w:widowControl w:val="0"/>
              <w:jc w:val="right"/>
              <w:rPr>
                <w:color w:val="000000"/>
              </w:rPr>
            </w:pPr>
          </w:p>
        </w:tc>
        <w:tc>
          <w:tcPr>
            <w:tcW w:w="495" w:type="pct"/>
          </w:tcPr>
          <w:p w14:paraId="09DA0554" w14:textId="77777777" w:rsidR="00D83E33" w:rsidRPr="00E837F2" w:rsidRDefault="00D83E33" w:rsidP="001B330E">
            <w:pPr>
              <w:widowControl w:val="0"/>
              <w:jc w:val="right"/>
              <w:rPr>
                <w:color w:val="000000"/>
              </w:rPr>
            </w:pPr>
          </w:p>
        </w:tc>
        <w:tc>
          <w:tcPr>
            <w:tcW w:w="435" w:type="pct"/>
            <w:vAlign w:val="bottom"/>
          </w:tcPr>
          <w:p w14:paraId="0C0B0C9C" w14:textId="77777777" w:rsidR="00D83E33" w:rsidRPr="00E837F2" w:rsidRDefault="00D83E33" w:rsidP="001B330E">
            <w:pPr>
              <w:widowControl w:val="0"/>
              <w:jc w:val="right"/>
              <w:rPr>
                <w:color w:val="000000"/>
              </w:rPr>
            </w:pPr>
          </w:p>
        </w:tc>
      </w:tr>
      <w:tr w:rsidR="00D83E33" w:rsidRPr="00E837F2" w14:paraId="2F36C781" w14:textId="77777777" w:rsidTr="001B330E">
        <w:trPr>
          <w:trHeight w:val="23"/>
        </w:trPr>
        <w:tc>
          <w:tcPr>
            <w:tcW w:w="1370" w:type="pct"/>
            <w:vAlign w:val="bottom"/>
          </w:tcPr>
          <w:p w14:paraId="622CD94B" w14:textId="77777777" w:rsidR="00D83E33" w:rsidRPr="00E837F2" w:rsidRDefault="00BC4072" w:rsidP="001B330E">
            <w:pPr>
              <w:widowControl w:val="0"/>
              <w:ind w:left="113" w:hanging="113"/>
              <w:rPr>
                <w:color w:val="000000"/>
              </w:rPr>
            </w:pPr>
            <w:r w:rsidRPr="00E837F2">
              <w:rPr>
                <w:color w:val="000000"/>
              </w:rPr>
              <w:t>- residential real estate</w:t>
            </w:r>
          </w:p>
        </w:tc>
        <w:tc>
          <w:tcPr>
            <w:tcW w:w="463" w:type="pct"/>
            <w:vAlign w:val="bottom"/>
          </w:tcPr>
          <w:p w14:paraId="6D990BA1" w14:textId="77777777" w:rsidR="00D83E33" w:rsidRPr="00E837F2" w:rsidRDefault="00D83E33" w:rsidP="001B330E">
            <w:pPr>
              <w:widowControl w:val="0"/>
              <w:jc w:val="right"/>
              <w:rPr>
                <w:color w:val="000000"/>
              </w:rPr>
            </w:pPr>
          </w:p>
        </w:tc>
        <w:tc>
          <w:tcPr>
            <w:tcW w:w="463" w:type="pct"/>
            <w:vAlign w:val="bottom"/>
          </w:tcPr>
          <w:p w14:paraId="23600338" w14:textId="77777777" w:rsidR="00D83E33" w:rsidRPr="00E837F2" w:rsidRDefault="00D83E33" w:rsidP="001B330E">
            <w:pPr>
              <w:widowControl w:val="0"/>
              <w:jc w:val="right"/>
              <w:rPr>
                <w:color w:val="000000"/>
              </w:rPr>
            </w:pPr>
          </w:p>
        </w:tc>
        <w:tc>
          <w:tcPr>
            <w:tcW w:w="437" w:type="pct"/>
            <w:vAlign w:val="bottom"/>
          </w:tcPr>
          <w:p w14:paraId="35684C31" w14:textId="77777777" w:rsidR="00D83E33" w:rsidRPr="00E837F2" w:rsidRDefault="00D83E33" w:rsidP="001B330E">
            <w:pPr>
              <w:widowControl w:val="0"/>
              <w:jc w:val="right"/>
              <w:rPr>
                <w:color w:val="000000"/>
              </w:rPr>
            </w:pPr>
          </w:p>
        </w:tc>
        <w:tc>
          <w:tcPr>
            <w:tcW w:w="437" w:type="pct"/>
            <w:vAlign w:val="bottom"/>
          </w:tcPr>
          <w:p w14:paraId="7D3FCD43" w14:textId="77777777" w:rsidR="00D83E33" w:rsidRPr="00E837F2" w:rsidRDefault="00D83E33" w:rsidP="001B330E">
            <w:pPr>
              <w:widowControl w:val="0"/>
              <w:jc w:val="right"/>
              <w:rPr>
                <w:color w:val="000000"/>
              </w:rPr>
            </w:pPr>
          </w:p>
        </w:tc>
        <w:tc>
          <w:tcPr>
            <w:tcW w:w="437" w:type="pct"/>
            <w:vAlign w:val="bottom"/>
          </w:tcPr>
          <w:p w14:paraId="13B27EE6" w14:textId="77777777" w:rsidR="00D83E33" w:rsidRPr="00E837F2" w:rsidRDefault="00D83E33" w:rsidP="001B330E">
            <w:pPr>
              <w:widowControl w:val="0"/>
              <w:jc w:val="right"/>
              <w:rPr>
                <w:color w:val="000000"/>
              </w:rPr>
            </w:pPr>
          </w:p>
        </w:tc>
        <w:tc>
          <w:tcPr>
            <w:tcW w:w="463" w:type="pct"/>
            <w:vAlign w:val="bottom"/>
          </w:tcPr>
          <w:p w14:paraId="41BB0543" w14:textId="77777777" w:rsidR="00D83E33" w:rsidRPr="00E837F2" w:rsidRDefault="00D83E33" w:rsidP="001B330E">
            <w:pPr>
              <w:widowControl w:val="0"/>
              <w:jc w:val="right"/>
              <w:rPr>
                <w:color w:val="000000"/>
              </w:rPr>
            </w:pPr>
          </w:p>
        </w:tc>
        <w:tc>
          <w:tcPr>
            <w:tcW w:w="495" w:type="pct"/>
          </w:tcPr>
          <w:p w14:paraId="3EC5AEA9" w14:textId="77777777" w:rsidR="00D83E33" w:rsidRPr="00E837F2" w:rsidRDefault="00D83E33" w:rsidP="001B330E">
            <w:pPr>
              <w:widowControl w:val="0"/>
              <w:jc w:val="right"/>
              <w:rPr>
                <w:color w:val="000000"/>
              </w:rPr>
            </w:pPr>
          </w:p>
        </w:tc>
        <w:tc>
          <w:tcPr>
            <w:tcW w:w="435" w:type="pct"/>
            <w:vAlign w:val="bottom"/>
          </w:tcPr>
          <w:p w14:paraId="40CA62A2" w14:textId="77777777" w:rsidR="00D83E33" w:rsidRPr="00E837F2" w:rsidRDefault="00D83E33" w:rsidP="001B330E">
            <w:pPr>
              <w:widowControl w:val="0"/>
              <w:jc w:val="right"/>
              <w:rPr>
                <w:color w:val="000000"/>
              </w:rPr>
            </w:pPr>
          </w:p>
        </w:tc>
      </w:tr>
      <w:tr w:rsidR="00D83E33" w:rsidRPr="00E837F2" w14:paraId="3E6B0092" w14:textId="77777777" w:rsidTr="001B330E">
        <w:trPr>
          <w:trHeight w:val="23"/>
        </w:trPr>
        <w:tc>
          <w:tcPr>
            <w:tcW w:w="1370" w:type="pct"/>
            <w:vAlign w:val="bottom"/>
          </w:tcPr>
          <w:p w14:paraId="639073DB" w14:textId="77777777" w:rsidR="00D83E33" w:rsidRPr="00E837F2" w:rsidRDefault="00BC4072" w:rsidP="001B330E">
            <w:pPr>
              <w:widowControl w:val="0"/>
              <w:ind w:left="113" w:hanging="113"/>
              <w:rPr>
                <w:color w:val="000000"/>
              </w:rPr>
            </w:pPr>
            <w:r w:rsidRPr="00E837F2">
              <w:rPr>
                <w:color w:val="000000"/>
              </w:rPr>
              <w:t>- other real estate</w:t>
            </w:r>
          </w:p>
        </w:tc>
        <w:tc>
          <w:tcPr>
            <w:tcW w:w="463" w:type="pct"/>
            <w:vAlign w:val="bottom"/>
          </w:tcPr>
          <w:p w14:paraId="37B98A27" w14:textId="77777777" w:rsidR="00D83E33" w:rsidRPr="00E837F2" w:rsidRDefault="00D83E33" w:rsidP="001B330E">
            <w:pPr>
              <w:widowControl w:val="0"/>
              <w:jc w:val="right"/>
              <w:rPr>
                <w:color w:val="000000"/>
              </w:rPr>
            </w:pPr>
          </w:p>
        </w:tc>
        <w:tc>
          <w:tcPr>
            <w:tcW w:w="463" w:type="pct"/>
            <w:vAlign w:val="bottom"/>
          </w:tcPr>
          <w:p w14:paraId="63F5BBBA" w14:textId="77777777" w:rsidR="00D83E33" w:rsidRPr="00E837F2" w:rsidRDefault="00D83E33" w:rsidP="001B330E">
            <w:pPr>
              <w:widowControl w:val="0"/>
              <w:jc w:val="right"/>
              <w:rPr>
                <w:color w:val="000000"/>
              </w:rPr>
            </w:pPr>
          </w:p>
        </w:tc>
        <w:tc>
          <w:tcPr>
            <w:tcW w:w="437" w:type="pct"/>
            <w:vAlign w:val="bottom"/>
          </w:tcPr>
          <w:p w14:paraId="652FCC4C" w14:textId="77777777" w:rsidR="00D83E33" w:rsidRPr="00E837F2" w:rsidRDefault="00D83E33" w:rsidP="001B330E">
            <w:pPr>
              <w:widowControl w:val="0"/>
              <w:jc w:val="right"/>
              <w:rPr>
                <w:color w:val="000000"/>
              </w:rPr>
            </w:pPr>
          </w:p>
        </w:tc>
        <w:tc>
          <w:tcPr>
            <w:tcW w:w="437" w:type="pct"/>
            <w:vAlign w:val="bottom"/>
          </w:tcPr>
          <w:p w14:paraId="75BD77DE" w14:textId="77777777" w:rsidR="00D83E33" w:rsidRPr="00E837F2" w:rsidRDefault="00D83E33" w:rsidP="001B330E">
            <w:pPr>
              <w:widowControl w:val="0"/>
              <w:jc w:val="right"/>
              <w:rPr>
                <w:color w:val="000000"/>
              </w:rPr>
            </w:pPr>
          </w:p>
        </w:tc>
        <w:tc>
          <w:tcPr>
            <w:tcW w:w="437" w:type="pct"/>
            <w:vAlign w:val="bottom"/>
          </w:tcPr>
          <w:p w14:paraId="00AC6DF2" w14:textId="77777777" w:rsidR="00D83E33" w:rsidRPr="00E837F2" w:rsidRDefault="00D83E33" w:rsidP="001B330E">
            <w:pPr>
              <w:widowControl w:val="0"/>
              <w:jc w:val="right"/>
              <w:rPr>
                <w:color w:val="000000"/>
              </w:rPr>
            </w:pPr>
          </w:p>
        </w:tc>
        <w:tc>
          <w:tcPr>
            <w:tcW w:w="463" w:type="pct"/>
            <w:vAlign w:val="bottom"/>
          </w:tcPr>
          <w:p w14:paraId="72029EC6" w14:textId="77777777" w:rsidR="00D83E33" w:rsidRPr="00E837F2" w:rsidRDefault="00D83E33" w:rsidP="001B330E">
            <w:pPr>
              <w:widowControl w:val="0"/>
              <w:jc w:val="right"/>
              <w:rPr>
                <w:color w:val="000000"/>
              </w:rPr>
            </w:pPr>
          </w:p>
        </w:tc>
        <w:tc>
          <w:tcPr>
            <w:tcW w:w="495" w:type="pct"/>
          </w:tcPr>
          <w:p w14:paraId="6992052B" w14:textId="77777777" w:rsidR="00D83E33" w:rsidRPr="00E837F2" w:rsidRDefault="00D83E33" w:rsidP="001B330E">
            <w:pPr>
              <w:widowControl w:val="0"/>
              <w:jc w:val="right"/>
              <w:rPr>
                <w:color w:val="000000"/>
              </w:rPr>
            </w:pPr>
          </w:p>
        </w:tc>
        <w:tc>
          <w:tcPr>
            <w:tcW w:w="435" w:type="pct"/>
            <w:vAlign w:val="bottom"/>
          </w:tcPr>
          <w:p w14:paraId="21DD35F0" w14:textId="77777777" w:rsidR="00D83E33" w:rsidRPr="00E837F2" w:rsidRDefault="00D83E33" w:rsidP="001B330E">
            <w:pPr>
              <w:widowControl w:val="0"/>
              <w:jc w:val="right"/>
              <w:rPr>
                <w:color w:val="000000"/>
              </w:rPr>
            </w:pPr>
          </w:p>
        </w:tc>
      </w:tr>
      <w:tr w:rsidR="00D83E33" w:rsidRPr="00E837F2" w14:paraId="2016525B" w14:textId="77777777" w:rsidTr="001B330E">
        <w:trPr>
          <w:trHeight w:val="23"/>
        </w:trPr>
        <w:tc>
          <w:tcPr>
            <w:tcW w:w="1370" w:type="pct"/>
            <w:vAlign w:val="bottom"/>
          </w:tcPr>
          <w:p w14:paraId="2A01A659" w14:textId="77777777" w:rsidR="00D83E33" w:rsidRPr="00E837F2" w:rsidRDefault="00BC4072" w:rsidP="001B330E">
            <w:pPr>
              <w:widowControl w:val="0"/>
              <w:ind w:left="113" w:hanging="113"/>
              <w:rPr>
                <w:color w:val="000000"/>
              </w:rPr>
            </w:pPr>
            <w:r w:rsidRPr="00E837F2">
              <w:rPr>
                <w:color w:val="000000"/>
              </w:rPr>
              <w:t>- tradable securities</w:t>
            </w:r>
          </w:p>
        </w:tc>
        <w:tc>
          <w:tcPr>
            <w:tcW w:w="463" w:type="pct"/>
            <w:vAlign w:val="bottom"/>
          </w:tcPr>
          <w:p w14:paraId="1C577ED9" w14:textId="77777777" w:rsidR="00D83E33" w:rsidRPr="00E837F2" w:rsidRDefault="00D83E33" w:rsidP="001B330E">
            <w:pPr>
              <w:widowControl w:val="0"/>
              <w:jc w:val="right"/>
              <w:rPr>
                <w:color w:val="000000"/>
              </w:rPr>
            </w:pPr>
          </w:p>
        </w:tc>
        <w:tc>
          <w:tcPr>
            <w:tcW w:w="463" w:type="pct"/>
            <w:vAlign w:val="bottom"/>
          </w:tcPr>
          <w:p w14:paraId="63AA0E7E" w14:textId="77777777" w:rsidR="00D83E33" w:rsidRPr="00E837F2" w:rsidRDefault="00D83E33" w:rsidP="001B330E">
            <w:pPr>
              <w:widowControl w:val="0"/>
              <w:jc w:val="right"/>
              <w:rPr>
                <w:color w:val="000000"/>
              </w:rPr>
            </w:pPr>
          </w:p>
        </w:tc>
        <w:tc>
          <w:tcPr>
            <w:tcW w:w="437" w:type="pct"/>
            <w:vAlign w:val="bottom"/>
          </w:tcPr>
          <w:p w14:paraId="0DFAD271" w14:textId="77777777" w:rsidR="00D83E33" w:rsidRPr="00E837F2" w:rsidRDefault="00D83E33" w:rsidP="001B330E">
            <w:pPr>
              <w:widowControl w:val="0"/>
              <w:jc w:val="right"/>
              <w:rPr>
                <w:color w:val="000000"/>
              </w:rPr>
            </w:pPr>
          </w:p>
        </w:tc>
        <w:tc>
          <w:tcPr>
            <w:tcW w:w="437" w:type="pct"/>
            <w:vAlign w:val="bottom"/>
          </w:tcPr>
          <w:p w14:paraId="6A67E448" w14:textId="77777777" w:rsidR="00D83E33" w:rsidRPr="00E837F2" w:rsidRDefault="00D83E33" w:rsidP="001B330E">
            <w:pPr>
              <w:widowControl w:val="0"/>
              <w:jc w:val="right"/>
              <w:rPr>
                <w:color w:val="000000"/>
              </w:rPr>
            </w:pPr>
          </w:p>
        </w:tc>
        <w:tc>
          <w:tcPr>
            <w:tcW w:w="437" w:type="pct"/>
            <w:vAlign w:val="bottom"/>
          </w:tcPr>
          <w:p w14:paraId="2EAD96F1" w14:textId="77777777" w:rsidR="00D83E33" w:rsidRPr="00E837F2" w:rsidRDefault="00D83E33" w:rsidP="001B330E">
            <w:pPr>
              <w:widowControl w:val="0"/>
              <w:jc w:val="right"/>
              <w:rPr>
                <w:color w:val="000000"/>
              </w:rPr>
            </w:pPr>
          </w:p>
        </w:tc>
        <w:tc>
          <w:tcPr>
            <w:tcW w:w="463" w:type="pct"/>
            <w:vAlign w:val="bottom"/>
          </w:tcPr>
          <w:p w14:paraId="54846DE5" w14:textId="77777777" w:rsidR="00D83E33" w:rsidRPr="00E837F2" w:rsidRDefault="00D83E33" w:rsidP="001B330E">
            <w:pPr>
              <w:widowControl w:val="0"/>
              <w:jc w:val="right"/>
              <w:rPr>
                <w:color w:val="000000"/>
              </w:rPr>
            </w:pPr>
          </w:p>
        </w:tc>
        <w:tc>
          <w:tcPr>
            <w:tcW w:w="495" w:type="pct"/>
          </w:tcPr>
          <w:p w14:paraId="7778DBEE" w14:textId="77777777" w:rsidR="00D83E33" w:rsidRPr="00E837F2" w:rsidRDefault="00D83E33" w:rsidP="001B330E">
            <w:pPr>
              <w:widowControl w:val="0"/>
              <w:jc w:val="right"/>
              <w:rPr>
                <w:color w:val="000000"/>
              </w:rPr>
            </w:pPr>
          </w:p>
        </w:tc>
        <w:tc>
          <w:tcPr>
            <w:tcW w:w="435" w:type="pct"/>
            <w:vAlign w:val="bottom"/>
          </w:tcPr>
          <w:p w14:paraId="729A2F52" w14:textId="77777777" w:rsidR="00D83E33" w:rsidRPr="00E837F2" w:rsidRDefault="00D83E33" w:rsidP="001B330E">
            <w:pPr>
              <w:widowControl w:val="0"/>
              <w:jc w:val="right"/>
              <w:rPr>
                <w:color w:val="000000"/>
              </w:rPr>
            </w:pPr>
          </w:p>
        </w:tc>
      </w:tr>
      <w:tr w:rsidR="00D83E33" w:rsidRPr="00E837F2" w14:paraId="6E44F69E" w14:textId="77777777" w:rsidTr="001B330E">
        <w:trPr>
          <w:trHeight w:val="23"/>
        </w:trPr>
        <w:tc>
          <w:tcPr>
            <w:tcW w:w="1370" w:type="pct"/>
            <w:vAlign w:val="bottom"/>
          </w:tcPr>
          <w:p w14:paraId="13622063" w14:textId="77777777" w:rsidR="00D83E33" w:rsidRPr="00E837F2" w:rsidRDefault="00BC4072" w:rsidP="001B330E">
            <w:pPr>
              <w:widowControl w:val="0"/>
              <w:ind w:left="113" w:hanging="113"/>
              <w:rPr>
                <w:color w:val="000000"/>
              </w:rPr>
            </w:pPr>
            <w:r w:rsidRPr="00E837F2">
              <w:rPr>
                <w:color w:val="000000"/>
              </w:rPr>
              <w:t>- cash deposits</w:t>
            </w:r>
          </w:p>
        </w:tc>
        <w:tc>
          <w:tcPr>
            <w:tcW w:w="463" w:type="pct"/>
            <w:vAlign w:val="bottom"/>
          </w:tcPr>
          <w:p w14:paraId="368139B3" w14:textId="77777777" w:rsidR="00D83E33" w:rsidRPr="00E837F2" w:rsidRDefault="00D83E33" w:rsidP="001B330E">
            <w:pPr>
              <w:widowControl w:val="0"/>
              <w:jc w:val="right"/>
              <w:rPr>
                <w:color w:val="000000"/>
              </w:rPr>
            </w:pPr>
          </w:p>
        </w:tc>
        <w:tc>
          <w:tcPr>
            <w:tcW w:w="463" w:type="pct"/>
            <w:vAlign w:val="bottom"/>
          </w:tcPr>
          <w:p w14:paraId="168F69A9" w14:textId="77777777" w:rsidR="00D83E33" w:rsidRPr="00E837F2" w:rsidRDefault="00D83E33" w:rsidP="001B330E">
            <w:pPr>
              <w:widowControl w:val="0"/>
              <w:jc w:val="right"/>
              <w:rPr>
                <w:color w:val="000000"/>
              </w:rPr>
            </w:pPr>
          </w:p>
        </w:tc>
        <w:tc>
          <w:tcPr>
            <w:tcW w:w="437" w:type="pct"/>
            <w:vAlign w:val="bottom"/>
          </w:tcPr>
          <w:p w14:paraId="16D545E0" w14:textId="77777777" w:rsidR="00D83E33" w:rsidRPr="00E837F2" w:rsidRDefault="00D83E33" w:rsidP="001B330E">
            <w:pPr>
              <w:widowControl w:val="0"/>
              <w:jc w:val="right"/>
              <w:rPr>
                <w:color w:val="000000"/>
              </w:rPr>
            </w:pPr>
          </w:p>
        </w:tc>
        <w:tc>
          <w:tcPr>
            <w:tcW w:w="437" w:type="pct"/>
            <w:vAlign w:val="bottom"/>
          </w:tcPr>
          <w:p w14:paraId="0EE64ED0" w14:textId="77777777" w:rsidR="00D83E33" w:rsidRPr="00E837F2" w:rsidRDefault="00D83E33" w:rsidP="001B330E">
            <w:pPr>
              <w:widowControl w:val="0"/>
              <w:jc w:val="right"/>
              <w:rPr>
                <w:color w:val="000000"/>
              </w:rPr>
            </w:pPr>
          </w:p>
        </w:tc>
        <w:tc>
          <w:tcPr>
            <w:tcW w:w="437" w:type="pct"/>
            <w:vAlign w:val="bottom"/>
          </w:tcPr>
          <w:p w14:paraId="346A2A06" w14:textId="77777777" w:rsidR="00D83E33" w:rsidRPr="00E837F2" w:rsidRDefault="00D83E33" w:rsidP="001B330E">
            <w:pPr>
              <w:widowControl w:val="0"/>
              <w:jc w:val="right"/>
              <w:rPr>
                <w:color w:val="000000"/>
              </w:rPr>
            </w:pPr>
          </w:p>
        </w:tc>
        <w:tc>
          <w:tcPr>
            <w:tcW w:w="463" w:type="pct"/>
            <w:vAlign w:val="bottom"/>
          </w:tcPr>
          <w:p w14:paraId="67DB0550" w14:textId="77777777" w:rsidR="00D83E33" w:rsidRPr="00E837F2" w:rsidRDefault="00D83E33" w:rsidP="001B330E">
            <w:pPr>
              <w:widowControl w:val="0"/>
              <w:jc w:val="right"/>
              <w:rPr>
                <w:color w:val="000000"/>
              </w:rPr>
            </w:pPr>
          </w:p>
        </w:tc>
        <w:tc>
          <w:tcPr>
            <w:tcW w:w="495" w:type="pct"/>
          </w:tcPr>
          <w:p w14:paraId="5867C5CC" w14:textId="77777777" w:rsidR="00D83E33" w:rsidRPr="00E837F2" w:rsidRDefault="00D83E33" w:rsidP="001B330E">
            <w:pPr>
              <w:widowControl w:val="0"/>
              <w:jc w:val="right"/>
              <w:rPr>
                <w:color w:val="000000"/>
              </w:rPr>
            </w:pPr>
          </w:p>
        </w:tc>
        <w:tc>
          <w:tcPr>
            <w:tcW w:w="435" w:type="pct"/>
            <w:vAlign w:val="bottom"/>
          </w:tcPr>
          <w:p w14:paraId="201C06FE" w14:textId="77777777" w:rsidR="00D83E33" w:rsidRPr="00E837F2" w:rsidRDefault="00D83E33" w:rsidP="001B330E">
            <w:pPr>
              <w:widowControl w:val="0"/>
              <w:jc w:val="right"/>
              <w:rPr>
                <w:color w:val="000000"/>
              </w:rPr>
            </w:pPr>
          </w:p>
        </w:tc>
      </w:tr>
      <w:tr w:rsidR="00D83E33" w:rsidRPr="00E837F2" w14:paraId="1D59F514" w14:textId="77777777" w:rsidTr="001B330E">
        <w:trPr>
          <w:trHeight w:val="23"/>
        </w:trPr>
        <w:tc>
          <w:tcPr>
            <w:tcW w:w="1370" w:type="pct"/>
            <w:vAlign w:val="bottom"/>
          </w:tcPr>
          <w:p w14:paraId="66B5FC03" w14:textId="77777777" w:rsidR="00D83E33" w:rsidRPr="00E837F2" w:rsidRDefault="00BC4072" w:rsidP="001B330E">
            <w:pPr>
              <w:widowControl w:val="0"/>
              <w:ind w:left="113" w:hanging="113"/>
              <w:rPr>
                <w:color w:val="000000"/>
              </w:rPr>
            </w:pPr>
            <w:r w:rsidRPr="00E837F2">
              <w:rPr>
                <w:color w:val="000000"/>
              </w:rPr>
              <w:t>- other assets</w:t>
            </w:r>
          </w:p>
        </w:tc>
        <w:tc>
          <w:tcPr>
            <w:tcW w:w="463" w:type="pct"/>
            <w:vAlign w:val="bottom"/>
          </w:tcPr>
          <w:p w14:paraId="6E91FF97" w14:textId="77777777" w:rsidR="00D83E33" w:rsidRPr="00E837F2" w:rsidRDefault="00D83E33" w:rsidP="001B330E">
            <w:pPr>
              <w:widowControl w:val="0"/>
              <w:jc w:val="right"/>
              <w:rPr>
                <w:color w:val="000000"/>
              </w:rPr>
            </w:pPr>
          </w:p>
        </w:tc>
        <w:tc>
          <w:tcPr>
            <w:tcW w:w="463" w:type="pct"/>
            <w:vAlign w:val="bottom"/>
          </w:tcPr>
          <w:p w14:paraId="72073166" w14:textId="77777777" w:rsidR="00D83E33" w:rsidRPr="00E837F2" w:rsidRDefault="00D83E33" w:rsidP="001B330E">
            <w:pPr>
              <w:widowControl w:val="0"/>
              <w:jc w:val="right"/>
              <w:rPr>
                <w:color w:val="000000"/>
              </w:rPr>
            </w:pPr>
          </w:p>
        </w:tc>
        <w:tc>
          <w:tcPr>
            <w:tcW w:w="437" w:type="pct"/>
            <w:vAlign w:val="bottom"/>
          </w:tcPr>
          <w:p w14:paraId="18FF057A" w14:textId="77777777" w:rsidR="00D83E33" w:rsidRPr="00E837F2" w:rsidRDefault="00D83E33" w:rsidP="001B330E">
            <w:pPr>
              <w:widowControl w:val="0"/>
              <w:jc w:val="right"/>
              <w:rPr>
                <w:color w:val="000000"/>
              </w:rPr>
            </w:pPr>
          </w:p>
        </w:tc>
        <w:tc>
          <w:tcPr>
            <w:tcW w:w="437" w:type="pct"/>
            <w:vAlign w:val="bottom"/>
          </w:tcPr>
          <w:p w14:paraId="0A81D0B2" w14:textId="77777777" w:rsidR="00D83E33" w:rsidRPr="00E837F2" w:rsidRDefault="00D83E33" w:rsidP="001B330E">
            <w:pPr>
              <w:widowControl w:val="0"/>
              <w:jc w:val="right"/>
              <w:rPr>
                <w:color w:val="000000"/>
              </w:rPr>
            </w:pPr>
          </w:p>
        </w:tc>
        <w:tc>
          <w:tcPr>
            <w:tcW w:w="437" w:type="pct"/>
            <w:vAlign w:val="bottom"/>
          </w:tcPr>
          <w:p w14:paraId="312FF90F" w14:textId="77777777" w:rsidR="00D83E33" w:rsidRPr="00E837F2" w:rsidRDefault="00D83E33" w:rsidP="001B330E">
            <w:pPr>
              <w:widowControl w:val="0"/>
              <w:jc w:val="right"/>
              <w:rPr>
                <w:color w:val="000000"/>
              </w:rPr>
            </w:pPr>
          </w:p>
        </w:tc>
        <w:tc>
          <w:tcPr>
            <w:tcW w:w="463" w:type="pct"/>
            <w:vAlign w:val="bottom"/>
          </w:tcPr>
          <w:p w14:paraId="1872775D" w14:textId="77777777" w:rsidR="00D83E33" w:rsidRPr="00E837F2" w:rsidRDefault="00D83E33" w:rsidP="001B330E">
            <w:pPr>
              <w:widowControl w:val="0"/>
              <w:jc w:val="right"/>
              <w:rPr>
                <w:color w:val="000000"/>
              </w:rPr>
            </w:pPr>
          </w:p>
        </w:tc>
        <w:tc>
          <w:tcPr>
            <w:tcW w:w="495" w:type="pct"/>
          </w:tcPr>
          <w:p w14:paraId="7A59E620" w14:textId="77777777" w:rsidR="00D83E33" w:rsidRPr="00E837F2" w:rsidRDefault="00D83E33" w:rsidP="001B330E">
            <w:pPr>
              <w:widowControl w:val="0"/>
              <w:jc w:val="right"/>
              <w:rPr>
                <w:color w:val="000000"/>
              </w:rPr>
            </w:pPr>
          </w:p>
        </w:tc>
        <w:tc>
          <w:tcPr>
            <w:tcW w:w="435" w:type="pct"/>
            <w:vAlign w:val="bottom"/>
          </w:tcPr>
          <w:p w14:paraId="65DE546E" w14:textId="77777777" w:rsidR="00D83E33" w:rsidRPr="00E837F2" w:rsidRDefault="00D83E33" w:rsidP="001B330E">
            <w:pPr>
              <w:widowControl w:val="0"/>
              <w:jc w:val="right"/>
              <w:rPr>
                <w:color w:val="000000"/>
              </w:rPr>
            </w:pPr>
          </w:p>
        </w:tc>
      </w:tr>
      <w:tr w:rsidR="00D83E33" w:rsidRPr="00E837F2" w14:paraId="443E0996" w14:textId="77777777" w:rsidTr="001B330E">
        <w:trPr>
          <w:trHeight w:val="23"/>
        </w:trPr>
        <w:tc>
          <w:tcPr>
            <w:tcW w:w="1370" w:type="pct"/>
            <w:tcBorders>
              <w:bottom w:val="single" w:sz="6" w:space="0" w:color="000000"/>
            </w:tcBorders>
            <w:vAlign w:val="bottom"/>
          </w:tcPr>
          <w:p w14:paraId="1F1BB012" w14:textId="77777777" w:rsidR="00D83E33" w:rsidRPr="001B330E" w:rsidRDefault="00D83E33" w:rsidP="001B330E">
            <w:pPr>
              <w:widowControl w:val="0"/>
              <w:ind w:left="113" w:hanging="113"/>
              <w:rPr>
                <w:color w:val="000000"/>
                <w:szCs w:val="10"/>
              </w:rPr>
            </w:pPr>
          </w:p>
        </w:tc>
        <w:tc>
          <w:tcPr>
            <w:tcW w:w="463" w:type="pct"/>
            <w:tcBorders>
              <w:bottom w:val="single" w:sz="6" w:space="0" w:color="000000"/>
            </w:tcBorders>
            <w:vAlign w:val="bottom"/>
          </w:tcPr>
          <w:p w14:paraId="043E7809" w14:textId="77777777" w:rsidR="00D83E33" w:rsidRPr="001B330E" w:rsidRDefault="00D83E33" w:rsidP="001B330E">
            <w:pPr>
              <w:widowControl w:val="0"/>
              <w:jc w:val="right"/>
              <w:rPr>
                <w:color w:val="000000"/>
                <w:szCs w:val="10"/>
              </w:rPr>
            </w:pPr>
          </w:p>
        </w:tc>
        <w:tc>
          <w:tcPr>
            <w:tcW w:w="463" w:type="pct"/>
            <w:tcBorders>
              <w:bottom w:val="single" w:sz="6" w:space="0" w:color="000000"/>
            </w:tcBorders>
            <w:vAlign w:val="bottom"/>
          </w:tcPr>
          <w:p w14:paraId="6B8FAE69" w14:textId="77777777" w:rsidR="00D83E33" w:rsidRPr="001B330E" w:rsidRDefault="00D83E33" w:rsidP="001B330E">
            <w:pPr>
              <w:widowControl w:val="0"/>
              <w:jc w:val="right"/>
              <w:rPr>
                <w:color w:val="000000"/>
                <w:szCs w:val="10"/>
              </w:rPr>
            </w:pPr>
          </w:p>
        </w:tc>
        <w:tc>
          <w:tcPr>
            <w:tcW w:w="437" w:type="pct"/>
            <w:tcBorders>
              <w:bottom w:val="single" w:sz="6" w:space="0" w:color="000000"/>
            </w:tcBorders>
            <w:vAlign w:val="bottom"/>
          </w:tcPr>
          <w:p w14:paraId="0222D461" w14:textId="77777777" w:rsidR="00D83E33" w:rsidRPr="001B330E" w:rsidRDefault="00D83E33" w:rsidP="001B330E">
            <w:pPr>
              <w:widowControl w:val="0"/>
              <w:jc w:val="right"/>
              <w:rPr>
                <w:color w:val="000000"/>
                <w:szCs w:val="10"/>
              </w:rPr>
            </w:pPr>
          </w:p>
        </w:tc>
        <w:tc>
          <w:tcPr>
            <w:tcW w:w="437" w:type="pct"/>
            <w:tcBorders>
              <w:bottom w:val="single" w:sz="6" w:space="0" w:color="000000"/>
            </w:tcBorders>
            <w:vAlign w:val="bottom"/>
          </w:tcPr>
          <w:p w14:paraId="0D3A45D0" w14:textId="77777777" w:rsidR="00D83E33" w:rsidRPr="001B330E" w:rsidRDefault="00D83E33" w:rsidP="001B330E">
            <w:pPr>
              <w:widowControl w:val="0"/>
              <w:jc w:val="right"/>
              <w:rPr>
                <w:color w:val="000000"/>
                <w:szCs w:val="10"/>
              </w:rPr>
            </w:pPr>
          </w:p>
        </w:tc>
        <w:tc>
          <w:tcPr>
            <w:tcW w:w="437" w:type="pct"/>
            <w:tcBorders>
              <w:bottom w:val="single" w:sz="6" w:space="0" w:color="000000"/>
            </w:tcBorders>
            <w:vAlign w:val="bottom"/>
          </w:tcPr>
          <w:p w14:paraId="0F94F55D" w14:textId="77777777" w:rsidR="00D83E33" w:rsidRPr="001B330E" w:rsidRDefault="00D83E33" w:rsidP="001B330E">
            <w:pPr>
              <w:widowControl w:val="0"/>
              <w:jc w:val="right"/>
              <w:rPr>
                <w:color w:val="000000"/>
                <w:szCs w:val="10"/>
              </w:rPr>
            </w:pPr>
          </w:p>
        </w:tc>
        <w:tc>
          <w:tcPr>
            <w:tcW w:w="463" w:type="pct"/>
            <w:tcBorders>
              <w:bottom w:val="single" w:sz="6" w:space="0" w:color="000000"/>
            </w:tcBorders>
            <w:vAlign w:val="bottom"/>
          </w:tcPr>
          <w:p w14:paraId="6095AF1D" w14:textId="77777777" w:rsidR="00D83E33" w:rsidRPr="001B330E" w:rsidRDefault="00D83E33" w:rsidP="001B330E">
            <w:pPr>
              <w:widowControl w:val="0"/>
              <w:jc w:val="right"/>
              <w:rPr>
                <w:color w:val="000000"/>
                <w:szCs w:val="10"/>
              </w:rPr>
            </w:pPr>
          </w:p>
        </w:tc>
        <w:tc>
          <w:tcPr>
            <w:tcW w:w="495" w:type="pct"/>
            <w:tcBorders>
              <w:bottom w:val="single" w:sz="6" w:space="0" w:color="000000"/>
            </w:tcBorders>
          </w:tcPr>
          <w:p w14:paraId="696BE148" w14:textId="77777777" w:rsidR="00D83E33" w:rsidRPr="001B330E" w:rsidRDefault="00D83E33" w:rsidP="001B330E">
            <w:pPr>
              <w:widowControl w:val="0"/>
              <w:jc w:val="right"/>
              <w:rPr>
                <w:color w:val="000000"/>
                <w:szCs w:val="10"/>
              </w:rPr>
            </w:pPr>
          </w:p>
        </w:tc>
        <w:tc>
          <w:tcPr>
            <w:tcW w:w="435" w:type="pct"/>
            <w:tcBorders>
              <w:bottom w:val="single" w:sz="6" w:space="0" w:color="000000"/>
            </w:tcBorders>
            <w:vAlign w:val="bottom"/>
          </w:tcPr>
          <w:p w14:paraId="6AAE8555" w14:textId="77777777" w:rsidR="00D83E33" w:rsidRPr="001B330E" w:rsidRDefault="00D83E33" w:rsidP="001B330E">
            <w:pPr>
              <w:widowControl w:val="0"/>
              <w:jc w:val="right"/>
              <w:rPr>
                <w:color w:val="000000"/>
                <w:szCs w:val="10"/>
              </w:rPr>
            </w:pPr>
          </w:p>
        </w:tc>
      </w:tr>
      <w:tr w:rsidR="00D83E33" w:rsidRPr="00E837F2" w14:paraId="2790D0E1" w14:textId="77777777" w:rsidTr="001B330E">
        <w:trPr>
          <w:trHeight w:val="23"/>
        </w:trPr>
        <w:tc>
          <w:tcPr>
            <w:tcW w:w="1370" w:type="pct"/>
            <w:tcBorders>
              <w:top w:val="single" w:sz="6" w:space="0" w:color="000000"/>
            </w:tcBorders>
            <w:vAlign w:val="bottom"/>
          </w:tcPr>
          <w:p w14:paraId="1B029510" w14:textId="77777777" w:rsidR="00D83E33" w:rsidRPr="001B330E" w:rsidRDefault="00D83E33" w:rsidP="001B330E">
            <w:pPr>
              <w:widowControl w:val="0"/>
              <w:ind w:left="113" w:hanging="113"/>
              <w:rPr>
                <w:color w:val="000000"/>
                <w:szCs w:val="10"/>
              </w:rPr>
            </w:pPr>
          </w:p>
        </w:tc>
        <w:tc>
          <w:tcPr>
            <w:tcW w:w="463" w:type="pct"/>
            <w:tcBorders>
              <w:top w:val="single" w:sz="6" w:space="0" w:color="000000"/>
            </w:tcBorders>
            <w:vAlign w:val="bottom"/>
          </w:tcPr>
          <w:p w14:paraId="4D1D4AEC" w14:textId="77777777" w:rsidR="00D83E33" w:rsidRPr="001B330E" w:rsidRDefault="00D83E33" w:rsidP="001B330E">
            <w:pPr>
              <w:widowControl w:val="0"/>
              <w:jc w:val="right"/>
              <w:rPr>
                <w:color w:val="000000"/>
                <w:szCs w:val="10"/>
              </w:rPr>
            </w:pPr>
          </w:p>
        </w:tc>
        <w:tc>
          <w:tcPr>
            <w:tcW w:w="463" w:type="pct"/>
            <w:tcBorders>
              <w:top w:val="single" w:sz="6" w:space="0" w:color="000000"/>
            </w:tcBorders>
            <w:vAlign w:val="bottom"/>
          </w:tcPr>
          <w:p w14:paraId="77D01DD7" w14:textId="77777777" w:rsidR="00D83E33" w:rsidRPr="001B330E" w:rsidRDefault="00D83E33" w:rsidP="001B330E">
            <w:pPr>
              <w:widowControl w:val="0"/>
              <w:jc w:val="right"/>
              <w:rPr>
                <w:color w:val="000000"/>
                <w:szCs w:val="10"/>
              </w:rPr>
            </w:pPr>
          </w:p>
        </w:tc>
        <w:tc>
          <w:tcPr>
            <w:tcW w:w="437" w:type="pct"/>
            <w:tcBorders>
              <w:top w:val="single" w:sz="6" w:space="0" w:color="000000"/>
            </w:tcBorders>
            <w:vAlign w:val="bottom"/>
          </w:tcPr>
          <w:p w14:paraId="0615C6B5" w14:textId="77777777" w:rsidR="00D83E33" w:rsidRPr="001B330E" w:rsidRDefault="00D83E33" w:rsidP="001B330E">
            <w:pPr>
              <w:widowControl w:val="0"/>
              <w:jc w:val="right"/>
              <w:rPr>
                <w:color w:val="000000"/>
                <w:szCs w:val="10"/>
              </w:rPr>
            </w:pPr>
          </w:p>
        </w:tc>
        <w:tc>
          <w:tcPr>
            <w:tcW w:w="437" w:type="pct"/>
            <w:tcBorders>
              <w:top w:val="single" w:sz="6" w:space="0" w:color="000000"/>
            </w:tcBorders>
            <w:vAlign w:val="bottom"/>
          </w:tcPr>
          <w:p w14:paraId="0C74BC23" w14:textId="77777777" w:rsidR="00D83E33" w:rsidRPr="001B330E" w:rsidRDefault="00D83E33" w:rsidP="001B330E">
            <w:pPr>
              <w:widowControl w:val="0"/>
              <w:jc w:val="right"/>
              <w:rPr>
                <w:color w:val="000000"/>
                <w:szCs w:val="10"/>
              </w:rPr>
            </w:pPr>
          </w:p>
        </w:tc>
        <w:tc>
          <w:tcPr>
            <w:tcW w:w="437" w:type="pct"/>
            <w:tcBorders>
              <w:top w:val="single" w:sz="6" w:space="0" w:color="000000"/>
            </w:tcBorders>
            <w:vAlign w:val="bottom"/>
          </w:tcPr>
          <w:p w14:paraId="75624EE6" w14:textId="77777777" w:rsidR="00D83E33" w:rsidRPr="001B330E" w:rsidRDefault="00D83E33" w:rsidP="001B330E">
            <w:pPr>
              <w:widowControl w:val="0"/>
              <w:jc w:val="right"/>
              <w:rPr>
                <w:color w:val="000000"/>
                <w:szCs w:val="10"/>
              </w:rPr>
            </w:pPr>
          </w:p>
        </w:tc>
        <w:tc>
          <w:tcPr>
            <w:tcW w:w="463" w:type="pct"/>
            <w:tcBorders>
              <w:top w:val="single" w:sz="6" w:space="0" w:color="000000"/>
            </w:tcBorders>
            <w:vAlign w:val="bottom"/>
          </w:tcPr>
          <w:p w14:paraId="5779B2A2" w14:textId="77777777" w:rsidR="00D83E33" w:rsidRPr="001B330E" w:rsidRDefault="00D83E33" w:rsidP="001B330E">
            <w:pPr>
              <w:widowControl w:val="0"/>
              <w:jc w:val="right"/>
              <w:rPr>
                <w:color w:val="000000"/>
                <w:szCs w:val="10"/>
              </w:rPr>
            </w:pPr>
          </w:p>
        </w:tc>
        <w:tc>
          <w:tcPr>
            <w:tcW w:w="495" w:type="pct"/>
            <w:tcBorders>
              <w:top w:val="single" w:sz="6" w:space="0" w:color="000000"/>
            </w:tcBorders>
          </w:tcPr>
          <w:p w14:paraId="72C6CC09" w14:textId="77777777" w:rsidR="00D83E33" w:rsidRPr="001B330E" w:rsidRDefault="00D83E33" w:rsidP="001B330E">
            <w:pPr>
              <w:widowControl w:val="0"/>
              <w:jc w:val="right"/>
              <w:rPr>
                <w:color w:val="000000"/>
                <w:szCs w:val="10"/>
              </w:rPr>
            </w:pPr>
          </w:p>
        </w:tc>
        <w:tc>
          <w:tcPr>
            <w:tcW w:w="435" w:type="pct"/>
            <w:tcBorders>
              <w:top w:val="single" w:sz="6" w:space="0" w:color="000000"/>
            </w:tcBorders>
            <w:vAlign w:val="bottom"/>
          </w:tcPr>
          <w:p w14:paraId="4F8E77A5" w14:textId="77777777" w:rsidR="00D83E33" w:rsidRPr="001B330E" w:rsidRDefault="00D83E33" w:rsidP="001B330E">
            <w:pPr>
              <w:widowControl w:val="0"/>
              <w:jc w:val="right"/>
              <w:rPr>
                <w:color w:val="000000"/>
                <w:szCs w:val="10"/>
              </w:rPr>
            </w:pPr>
          </w:p>
        </w:tc>
      </w:tr>
      <w:tr w:rsidR="00D83E33" w:rsidRPr="00E837F2" w14:paraId="4D06A5B9" w14:textId="77777777" w:rsidTr="001B330E">
        <w:trPr>
          <w:trHeight w:val="23"/>
        </w:trPr>
        <w:tc>
          <w:tcPr>
            <w:tcW w:w="1370" w:type="pct"/>
            <w:vAlign w:val="bottom"/>
          </w:tcPr>
          <w:p w14:paraId="79AA1CB4" w14:textId="77777777" w:rsidR="00D83E33" w:rsidRPr="00E837F2" w:rsidRDefault="00BC4072" w:rsidP="001B330E">
            <w:pPr>
              <w:widowControl w:val="0"/>
              <w:ind w:left="113" w:hanging="113"/>
              <w:rPr>
                <w:color w:val="000000"/>
              </w:rPr>
            </w:pPr>
            <w:r w:rsidRPr="00E837F2">
              <w:rPr>
                <w:color w:val="000000"/>
              </w:rPr>
              <w:t xml:space="preserve">Total </w:t>
            </w:r>
          </w:p>
        </w:tc>
        <w:tc>
          <w:tcPr>
            <w:tcW w:w="463" w:type="pct"/>
            <w:vAlign w:val="bottom"/>
          </w:tcPr>
          <w:p w14:paraId="0E1C24D9" w14:textId="77777777" w:rsidR="00D83E33" w:rsidRPr="00E837F2" w:rsidRDefault="00D83E33" w:rsidP="001B330E">
            <w:pPr>
              <w:widowControl w:val="0"/>
              <w:jc w:val="right"/>
              <w:rPr>
                <w:color w:val="000000"/>
              </w:rPr>
            </w:pPr>
          </w:p>
        </w:tc>
        <w:tc>
          <w:tcPr>
            <w:tcW w:w="463" w:type="pct"/>
            <w:vAlign w:val="bottom"/>
          </w:tcPr>
          <w:p w14:paraId="68BE4B42" w14:textId="77777777" w:rsidR="00D83E33" w:rsidRPr="00E837F2" w:rsidRDefault="00D83E33" w:rsidP="001B330E">
            <w:pPr>
              <w:widowControl w:val="0"/>
              <w:jc w:val="right"/>
              <w:rPr>
                <w:color w:val="000000"/>
              </w:rPr>
            </w:pPr>
          </w:p>
        </w:tc>
        <w:tc>
          <w:tcPr>
            <w:tcW w:w="437" w:type="pct"/>
            <w:vAlign w:val="bottom"/>
          </w:tcPr>
          <w:p w14:paraId="675A062E" w14:textId="77777777" w:rsidR="00D83E33" w:rsidRPr="00E837F2" w:rsidRDefault="00D83E33" w:rsidP="001B330E">
            <w:pPr>
              <w:widowControl w:val="0"/>
              <w:jc w:val="right"/>
              <w:rPr>
                <w:color w:val="000000"/>
              </w:rPr>
            </w:pPr>
          </w:p>
        </w:tc>
        <w:tc>
          <w:tcPr>
            <w:tcW w:w="437" w:type="pct"/>
            <w:vAlign w:val="bottom"/>
          </w:tcPr>
          <w:p w14:paraId="03ABFF70" w14:textId="77777777" w:rsidR="00D83E33" w:rsidRPr="00E837F2" w:rsidRDefault="00D83E33" w:rsidP="001B330E">
            <w:pPr>
              <w:widowControl w:val="0"/>
              <w:jc w:val="right"/>
              <w:rPr>
                <w:color w:val="000000"/>
              </w:rPr>
            </w:pPr>
          </w:p>
        </w:tc>
        <w:tc>
          <w:tcPr>
            <w:tcW w:w="437" w:type="pct"/>
            <w:vAlign w:val="bottom"/>
          </w:tcPr>
          <w:p w14:paraId="78730E4D" w14:textId="77777777" w:rsidR="00D83E33" w:rsidRPr="00E837F2" w:rsidRDefault="00D83E33" w:rsidP="001B330E">
            <w:pPr>
              <w:widowControl w:val="0"/>
              <w:jc w:val="right"/>
              <w:rPr>
                <w:color w:val="000000"/>
              </w:rPr>
            </w:pPr>
          </w:p>
        </w:tc>
        <w:tc>
          <w:tcPr>
            <w:tcW w:w="463" w:type="pct"/>
            <w:vAlign w:val="bottom"/>
          </w:tcPr>
          <w:p w14:paraId="70F89D06" w14:textId="77777777" w:rsidR="00D83E33" w:rsidRPr="00E837F2" w:rsidRDefault="00D83E33" w:rsidP="001B330E">
            <w:pPr>
              <w:widowControl w:val="0"/>
              <w:jc w:val="right"/>
              <w:rPr>
                <w:color w:val="000000"/>
              </w:rPr>
            </w:pPr>
          </w:p>
        </w:tc>
        <w:tc>
          <w:tcPr>
            <w:tcW w:w="495" w:type="pct"/>
          </w:tcPr>
          <w:p w14:paraId="0CACF588" w14:textId="77777777" w:rsidR="00D83E33" w:rsidRPr="00E837F2" w:rsidRDefault="00D83E33" w:rsidP="001B330E">
            <w:pPr>
              <w:widowControl w:val="0"/>
              <w:jc w:val="right"/>
              <w:rPr>
                <w:color w:val="000000"/>
              </w:rPr>
            </w:pPr>
          </w:p>
        </w:tc>
        <w:tc>
          <w:tcPr>
            <w:tcW w:w="435" w:type="pct"/>
            <w:vAlign w:val="bottom"/>
          </w:tcPr>
          <w:p w14:paraId="625409BE" w14:textId="77777777" w:rsidR="00D83E33" w:rsidRPr="00E837F2" w:rsidRDefault="00D83E33" w:rsidP="001B330E">
            <w:pPr>
              <w:widowControl w:val="0"/>
              <w:jc w:val="right"/>
              <w:rPr>
                <w:color w:val="000000"/>
              </w:rPr>
            </w:pPr>
          </w:p>
        </w:tc>
      </w:tr>
      <w:tr w:rsidR="00D83E33" w:rsidRPr="00E837F2" w14:paraId="0873418F" w14:textId="77777777" w:rsidTr="001B330E">
        <w:trPr>
          <w:trHeight w:val="23"/>
        </w:trPr>
        <w:tc>
          <w:tcPr>
            <w:tcW w:w="1370" w:type="pct"/>
            <w:tcBorders>
              <w:bottom w:val="single" w:sz="6" w:space="0" w:color="000000"/>
            </w:tcBorders>
            <w:vAlign w:val="bottom"/>
          </w:tcPr>
          <w:p w14:paraId="13109309" w14:textId="77777777" w:rsidR="00D83E33" w:rsidRPr="001B330E" w:rsidRDefault="00D83E33" w:rsidP="001B330E">
            <w:pPr>
              <w:widowControl w:val="0"/>
              <w:ind w:left="113" w:hanging="113"/>
              <w:rPr>
                <w:color w:val="000000"/>
                <w:szCs w:val="10"/>
              </w:rPr>
            </w:pPr>
          </w:p>
        </w:tc>
        <w:tc>
          <w:tcPr>
            <w:tcW w:w="463" w:type="pct"/>
            <w:tcBorders>
              <w:bottom w:val="single" w:sz="6" w:space="0" w:color="000000"/>
            </w:tcBorders>
            <w:vAlign w:val="bottom"/>
          </w:tcPr>
          <w:p w14:paraId="7DE5782A" w14:textId="77777777" w:rsidR="00D83E33" w:rsidRPr="001B330E" w:rsidRDefault="00D83E33" w:rsidP="001B330E">
            <w:pPr>
              <w:widowControl w:val="0"/>
              <w:jc w:val="right"/>
              <w:rPr>
                <w:color w:val="000000"/>
                <w:szCs w:val="10"/>
              </w:rPr>
            </w:pPr>
          </w:p>
        </w:tc>
        <w:tc>
          <w:tcPr>
            <w:tcW w:w="463" w:type="pct"/>
            <w:tcBorders>
              <w:bottom w:val="single" w:sz="6" w:space="0" w:color="000000"/>
            </w:tcBorders>
            <w:vAlign w:val="bottom"/>
          </w:tcPr>
          <w:p w14:paraId="673FD06D" w14:textId="77777777" w:rsidR="00D83E33" w:rsidRPr="001B330E" w:rsidRDefault="00D83E33" w:rsidP="001B330E">
            <w:pPr>
              <w:widowControl w:val="0"/>
              <w:jc w:val="right"/>
              <w:rPr>
                <w:color w:val="000000"/>
                <w:szCs w:val="10"/>
              </w:rPr>
            </w:pPr>
          </w:p>
        </w:tc>
        <w:tc>
          <w:tcPr>
            <w:tcW w:w="437" w:type="pct"/>
            <w:tcBorders>
              <w:bottom w:val="single" w:sz="6" w:space="0" w:color="000000"/>
            </w:tcBorders>
            <w:vAlign w:val="bottom"/>
          </w:tcPr>
          <w:p w14:paraId="162BD877" w14:textId="77777777" w:rsidR="00D83E33" w:rsidRPr="001B330E" w:rsidRDefault="00D83E33" w:rsidP="001B330E">
            <w:pPr>
              <w:widowControl w:val="0"/>
              <w:jc w:val="right"/>
              <w:rPr>
                <w:color w:val="000000"/>
                <w:szCs w:val="10"/>
              </w:rPr>
            </w:pPr>
          </w:p>
        </w:tc>
        <w:tc>
          <w:tcPr>
            <w:tcW w:w="437" w:type="pct"/>
            <w:tcBorders>
              <w:bottom w:val="single" w:sz="6" w:space="0" w:color="000000"/>
            </w:tcBorders>
            <w:vAlign w:val="bottom"/>
          </w:tcPr>
          <w:p w14:paraId="2B1C122B" w14:textId="77777777" w:rsidR="00D83E33" w:rsidRPr="001B330E" w:rsidRDefault="00D83E33" w:rsidP="001B330E">
            <w:pPr>
              <w:widowControl w:val="0"/>
              <w:jc w:val="right"/>
              <w:rPr>
                <w:color w:val="000000"/>
                <w:szCs w:val="10"/>
              </w:rPr>
            </w:pPr>
          </w:p>
        </w:tc>
        <w:tc>
          <w:tcPr>
            <w:tcW w:w="437" w:type="pct"/>
            <w:tcBorders>
              <w:bottom w:val="single" w:sz="6" w:space="0" w:color="000000"/>
            </w:tcBorders>
            <w:vAlign w:val="bottom"/>
          </w:tcPr>
          <w:p w14:paraId="6EF1B34A" w14:textId="77777777" w:rsidR="00D83E33" w:rsidRPr="001B330E" w:rsidRDefault="00D83E33" w:rsidP="001B330E">
            <w:pPr>
              <w:widowControl w:val="0"/>
              <w:jc w:val="right"/>
              <w:rPr>
                <w:color w:val="000000"/>
                <w:szCs w:val="10"/>
              </w:rPr>
            </w:pPr>
          </w:p>
        </w:tc>
        <w:tc>
          <w:tcPr>
            <w:tcW w:w="463" w:type="pct"/>
            <w:tcBorders>
              <w:bottom w:val="single" w:sz="6" w:space="0" w:color="000000"/>
            </w:tcBorders>
            <w:vAlign w:val="bottom"/>
          </w:tcPr>
          <w:p w14:paraId="49781C83" w14:textId="77777777" w:rsidR="00D83E33" w:rsidRPr="001B330E" w:rsidRDefault="00D83E33" w:rsidP="001B330E">
            <w:pPr>
              <w:widowControl w:val="0"/>
              <w:jc w:val="right"/>
              <w:rPr>
                <w:color w:val="000000"/>
                <w:szCs w:val="10"/>
              </w:rPr>
            </w:pPr>
          </w:p>
        </w:tc>
        <w:tc>
          <w:tcPr>
            <w:tcW w:w="495" w:type="pct"/>
            <w:tcBorders>
              <w:bottom w:val="single" w:sz="6" w:space="0" w:color="000000"/>
            </w:tcBorders>
          </w:tcPr>
          <w:p w14:paraId="1FEAA688" w14:textId="77777777" w:rsidR="00D83E33" w:rsidRPr="001B330E" w:rsidRDefault="00D83E33" w:rsidP="001B330E">
            <w:pPr>
              <w:widowControl w:val="0"/>
              <w:jc w:val="right"/>
              <w:rPr>
                <w:color w:val="000000"/>
                <w:szCs w:val="10"/>
              </w:rPr>
            </w:pPr>
          </w:p>
        </w:tc>
        <w:tc>
          <w:tcPr>
            <w:tcW w:w="435" w:type="pct"/>
            <w:tcBorders>
              <w:bottom w:val="single" w:sz="6" w:space="0" w:color="000000"/>
            </w:tcBorders>
            <w:vAlign w:val="bottom"/>
          </w:tcPr>
          <w:p w14:paraId="08037A30" w14:textId="77777777" w:rsidR="00D83E33" w:rsidRPr="001B330E" w:rsidRDefault="00D83E33" w:rsidP="001B330E">
            <w:pPr>
              <w:widowControl w:val="0"/>
              <w:jc w:val="right"/>
              <w:rPr>
                <w:color w:val="000000"/>
                <w:szCs w:val="10"/>
              </w:rPr>
            </w:pPr>
          </w:p>
        </w:tc>
      </w:tr>
      <w:tr w:rsidR="00D83E33" w:rsidRPr="00E837F2" w14:paraId="50704DAF" w14:textId="77777777" w:rsidTr="001B330E">
        <w:trPr>
          <w:trHeight w:val="23"/>
        </w:trPr>
        <w:tc>
          <w:tcPr>
            <w:tcW w:w="1370" w:type="pct"/>
            <w:tcBorders>
              <w:top w:val="single" w:sz="6" w:space="0" w:color="000000"/>
            </w:tcBorders>
            <w:vAlign w:val="bottom"/>
          </w:tcPr>
          <w:p w14:paraId="48A6AE51" w14:textId="77777777" w:rsidR="00D83E33" w:rsidRPr="001B330E" w:rsidRDefault="00D83E33" w:rsidP="001B330E">
            <w:pPr>
              <w:widowControl w:val="0"/>
              <w:ind w:left="113" w:hanging="113"/>
              <w:rPr>
                <w:color w:val="000000"/>
                <w:szCs w:val="10"/>
              </w:rPr>
            </w:pPr>
          </w:p>
        </w:tc>
        <w:tc>
          <w:tcPr>
            <w:tcW w:w="463" w:type="pct"/>
            <w:tcBorders>
              <w:top w:val="single" w:sz="6" w:space="0" w:color="000000"/>
            </w:tcBorders>
            <w:vAlign w:val="bottom"/>
          </w:tcPr>
          <w:p w14:paraId="3D7A2913" w14:textId="77777777" w:rsidR="00D83E33" w:rsidRPr="001B330E" w:rsidRDefault="00D83E33" w:rsidP="001B330E">
            <w:pPr>
              <w:widowControl w:val="0"/>
              <w:jc w:val="right"/>
              <w:rPr>
                <w:color w:val="000000"/>
                <w:szCs w:val="10"/>
              </w:rPr>
            </w:pPr>
          </w:p>
        </w:tc>
        <w:tc>
          <w:tcPr>
            <w:tcW w:w="463" w:type="pct"/>
            <w:tcBorders>
              <w:top w:val="single" w:sz="6" w:space="0" w:color="000000"/>
            </w:tcBorders>
            <w:vAlign w:val="bottom"/>
          </w:tcPr>
          <w:p w14:paraId="12869AF7" w14:textId="77777777" w:rsidR="00D83E33" w:rsidRPr="001B330E" w:rsidRDefault="00D83E33" w:rsidP="001B330E">
            <w:pPr>
              <w:widowControl w:val="0"/>
              <w:jc w:val="right"/>
              <w:rPr>
                <w:color w:val="000000"/>
                <w:szCs w:val="10"/>
              </w:rPr>
            </w:pPr>
          </w:p>
        </w:tc>
        <w:tc>
          <w:tcPr>
            <w:tcW w:w="437" w:type="pct"/>
            <w:tcBorders>
              <w:top w:val="single" w:sz="6" w:space="0" w:color="000000"/>
            </w:tcBorders>
            <w:vAlign w:val="bottom"/>
          </w:tcPr>
          <w:p w14:paraId="50F3C022" w14:textId="77777777" w:rsidR="00D83E33" w:rsidRPr="001B330E" w:rsidRDefault="00D83E33" w:rsidP="001B330E">
            <w:pPr>
              <w:widowControl w:val="0"/>
              <w:jc w:val="right"/>
              <w:rPr>
                <w:color w:val="000000"/>
                <w:szCs w:val="10"/>
              </w:rPr>
            </w:pPr>
          </w:p>
        </w:tc>
        <w:tc>
          <w:tcPr>
            <w:tcW w:w="437" w:type="pct"/>
            <w:tcBorders>
              <w:top w:val="single" w:sz="6" w:space="0" w:color="000000"/>
            </w:tcBorders>
            <w:vAlign w:val="bottom"/>
          </w:tcPr>
          <w:p w14:paraId="321EC05A" w14:textId="77777777" w:rsidR="00D83E33" w:rsidRPr="001B330E" w:rsidRDefault="00D83E33" w:rsidP="001B330E">
            <w:pPr>
              <w:widowControl w:val="0"/>
              <w:jc w:val="right"/>
              <w:rPr>
                <w:color w:val="000000"/>
                <w:szCs w:val="10"/>
              </w:rPr>
            </w:pPr>
          </w:p>
        </w:tc>
        <w:tc>
          <w:tcPr>
            <w:tcW w:w="437" w:type="pct"/>
            <w:tcBorders>
              <w:top w:val="single" w:sz="6" w:space="0" w:color="000000"/>
            </w:tcBorders>
            <w:vAlign w:val="bottom"/>
          </w:tcPr>
          <w:p w14:paraId="60C61B07" w14:textId="77777777" w:rsidR="00D83E33" w:rsidRPr="001B330E" w:rsidRDefault="00D83E33" w:rsidP="001B330E">
            <w:pPr>
              <w:widowControl w:val="0"/>
              <w:jc w:val="right"/>
              <w:rPr>
                <w:color w:val="000000"/>
                <w:szCs w:val="10"/>
              </w:rPr>
            </w:pPr>
          </w:p>
        </w:tc>
        <w:tc>
          <w:tcPr>
            <w:tcW w:w="463" w:type="pct"/>
            <w:tcBorders>
              <w:top w:val="single" w:sz="6" w:space="0" w:color="000000"/>
            </w:tcBorders>
            <w:vAlign w:val="bottom"/>
          </w:tcPr>
          <w:p w14:paraId="2B07CFAF" w14:textId="77777777" w:rsidR="00D83E33" w:rsidRPr="001B330E" w:rsidRDefault="00D83E33" w:rsidP="001B330E">
            <w:pPr>
              <w:widowControl w:val="0"/>
              <w:jc w:val="right"/>
              <w:rPr>
                <w:color w:val="000000"/>
                <w:szCs w:val="10"/>
              </w:rPr>
            </w:pPr>
          </w:p>
        </w:tc>
        <w:tc>
          <w:tcPr>
            <w:tcW w:w="495" w:type="pct"/>
            <w:tcBorders>
              <w:top w:val="single" w:sz="6" w:space="0" w:color="000000"/>
            </w:tcBorders>
          </w:tcPr>
          <w:p w14:paraId="65B734E1" w14:textId="77777777" w:rsidR="00D83E33" w:rsidRPr="001B330E" w:rsidRDefault="00D83E33" w:rsidP="001B330E">
            <w:pPr>
              <w:widowControl w:val="0"/>
              <w:jc w:val="right"/>
              <w:rPr>
                <w:color w:val="000000"/>
                <w:szCs w:val="10"/>
              </w:rPr>
            </w:pPr>
          </w:p>
        </w:tc>
        <w:tc>
          <w:tcPr>
            <w:tcW w:w="435" w:type="pct"/>
            <w:tcBorders>
              <w:top w:val="single" w:sz="6" w:space="0" w:color="000000"/>
            </w:tcBorders>
            <w:vAlign w:val="bottom"/>
          </w:tcPr>
          <w:p w14:paraId="40748071" w14:textId="77777777" w:rsidR="00D83E33" w:rsidRPr="001B330E" w:rsidRDefault="00D83E33" w:rsidP="001B330E">
            <w:pPr>
              <w:widowControl w:val="0"/>
              <w:jc w:val="right"/>
              <w:rPr>
                <w:color w:val="000000"/>
                <w:szCs w:val="10"/>
              </w:rPr>
            </w:pPr>
          </w:p>
        </w:tc>
      </w:tr>
      <w:tr w:rsidR="00D83E33" w:rsidRPr="00E837F2" w14:paraId="4B2789AB" w14:textId="77777777" w:rsidTr="001B330E">
        <w:trPr>
          <w:trHeight w:val="23"/>
        </w:trPr>
        <w:tc>
          <w:tcPr>
            <w:tcW w:w="1370" w:type="pct"/>
            <w:vAlign w:val="bottom"/>
          </w:tcPr>
          <w:p w14:paraId="7F611C38" w14:textId="77777777" w:rsidR="00D83E33" w:rsidRPr="00E837F2" w:rsidRDefault="00BC4072" w:rsidP="001B330E">
            <w:pPr>
              <w:widowControl w:val="0"/>
              <w:ind w:left="113" w:hanging="113"/>
              <w:rPr>
                <w:color w:val="000000"/>
              </w:rPr>
            </w:pPr>
            <w:r w:rsidRPr="00E837F2">
              <w:rPr>
                <w:color w:val="000000"/>
              </w:rPr>
              <w:t>Unsecured exposures</w:t>
            </w:r>
          </w:p>
        </w:tc>
        <w:tc>
          <w:tcPr>
            <w:tcW w:w="463" w:type="pct"/>
            <w:vAlign w:val="bottom"/>
          </w:tcPr>
          <w:p w14:paraId="4B8494E4" w14:textId="77777777" w:rsidR="00D83E33" w:rsidRPr="00E837F2" w:rsidRDefault="00D83E33" w:rsidP="001B330E">
            <w:pPr>
              <w:widowControl w:val="0"/>
              <w:jc w:val="right"/>
              <w:rPr>
                <w:color w:val="000000"/>
              </w:rPr>
            </w:pPr>
          </w:p>
        </w:tc>
        <w:tc>
          <w:tcPr>
            <w:tcW w:w="463" w:type="pct"/>
            <w:vAlign w:val="bottom"/>
          </w:tcPr>
          <w:p w14:paraId="3850D51B" w14:textId="77777777" w:rsidR="00D83E33" w:rsidRPr="00E837F2" w:rsidRDefault="00D83E33" w:rsidP="001B330E">
            <w:pPr>
              <w:widowControl w:val="0"/>
              <w:jc w:val="right"/>
              <w:rPr>
                <w:color w:val="000000"/>
              </w:rPr>
            </w:pPr>
          </w:p>
        </w:tc>
        <w:tc>
          <w:tcPr>
            <w:tcW w:w="437" w:type="pct"/>
            <w:vAlign w:val="bottom"/>
          </w:tcPr>
          <w:p w14:paraId="100C4454" w14:textId="77777777" w:rsidR="00D83E33" w:rsidRPr="00E837F2" w:rsidRDefault="00D83E33" w:rsidP="001B330E">
            <w:pPr>
              <w:widowControl w:val="0"/>
              <w:jc w:val="right"/>
              <w:rPr>
                <w:color w:val="000000"/>
              </w:rPr>
            </w:pPr>
          </w:p>
        </w:tc>
        <w:tc>
          <w:tcPr>
            <w:tcW w:w="437" w:type="pct"/>
            <w:vAlign w:val="bottom"/>
          </w:tcPr>
          <w:p w14:paraId="41A603FC" w14:textId="77777777" w:rsidR="00D83E33" w:rsidRPr="00E837F2" w:rsidRDefault="00D83E33" w:rsidP="001B330E">
            <w:pPr>
              <w:widowControl w:val="0"/>
              <w:jc w:val="right"/>
              <w:rPr>
                <w:color w:val="000000"/>
              </w:rPr>
            </w:pPr>
          </w:p>
        </w:tc>
        <w:tc>
          <w:tcPr>
            <w:tcW w:w="437" w:type="pct"/>
            <w:vAlign w:val="bottom"/>
          </w:tcPr>
          <w:p w14:paraId="18F3C09A" w14:textId="77777777" w:rsidR="00D83E33" w:rsidRPr="00E837F2" w:rsidRDefault="00D83E33" w:rsidP="001B330E">
            <w:pPr>
              <w:widowControl w:val="0"/>
              <w:jc w:val="right"/>
              <w:rPr>
                <w:color w:val="000000"/>
              </w:rPr>
            </w:pPr>
          </w:p>
        </w:tc>
        <w:tc>
          <w:tcPr>
            <w:tcW w:w="463" w:type="pct"/>
            <w:vAlign w:val="bottom"/>
          </w:tcPr>
          <w:p w14:paraId="5A30968E" w14:textId="77777777" w:rsidR="00D83E33" w:rsidRPr="00E837F2" w:rsidRDefault="00D83E33" w:rsidP="001B330E">
            <w:pPr>
              <w:widowControl w:val="0"/>
              <w:jc w:val="right"/>
              <w:rPr>
                <w:color w:val="000000"/>
              </w:rPr>
            </w:pPr>
          </w:p>
        </w:tc>
        <w:tc>
          <w:tcPr>
            <w:tcW w:w="495" w:type="pct"/>
          </w:tcPr>
          <w:p w14:paraId="150CB1C9" w14:textId="77777777" w:rsidR="00D83E33" w:rsidRPr="00E837F2" w:rsidRDefault="00D83E33" w:rsidP="001B330E">
            <w:pPr>
              <w:widowControl w:val="0"/>
              <w:jc w:val="right"/>
              <w:rPr>
                <w:color w:val="000000"/>
              </w:rPr>
            </w:pPr>
          </w:p>
        </w:tc>
        <w:tc>
          <w:tcPr>
            <w:tcW w:w="435" w:type="pct"/>
            <w:vAlign w:val="bottom"/>
          </w:tcPr>
          <w:p w14:paraId="230D2A96" w14:textId="77777777" w:rsidR="00D83E33" w:rsidRPr="00E837F2" w:rsidRDefault="00D83E33" w:rsidP="001B330E">
            <w:pPr>
              <w:widowControl w:val="0"/>
              <w:jc w:val="right"/>
              <w:rPr>
                <w:color w:val="000000"/>
              </w:rPr>
            </w:pPr>
          </w:p>
        </w:tc>
      </w:tr>
      <w:tr w:rsidR="00D83E33" w:rsidRPr="00E837F2" w14:paraId="02DE8E0D" w14:textId="77777777" w:rsidTr="001B330E">
        <w:trPr>
          <w:trHeight w:val="23"/>
        </w:trPr>
        <w:tc>
          <w:tcPr>
            <w:tcW w:w="1370" w:type="pct"/>
            <w:tcBorders>
              <w:bottom w:val="single" w:sz="6" w:space="0" w:color="000000"/>
            </w:tcBorders>
            <w:vAlign w:val="bottom"/>
          </w:tcPr>
          <w:p w14:paraId="46D94268" w14:textId="77777777" w:rsidR="00D83E33" w:rsidRPr="001B330E" w:rsidRDefault="00D83E33" w:rsidP="001B330E">
            <w:pPr>
              <w:widowControl w:val="0"/>
              <w:ind w:left="113" w:hanging="113"/>
              <w:rPr>
                <w:color w:val="000000"/>
                <w:szCs w:val="10"/>
              </w:rPr>
            </w:pPr>
          </w:p>
        </w:tc>
        <w:tc>
          <w:tcPr>
            <w:tcW w:w="463" w:type="pct"/>
            <w:tcBorders>
              <w:bottom w:val="single" w:sz="6" w:space="0" w:color="000000"/>
            </w:tcBorders>
            <w:vAlign w:val="bottom"/>
          </w:tcPr>
          <w:p w14:paraId="17D56F18" w14:textId="77777777" w:rsidR="00D83E33" w:rsidRPr="001B330E" w:rsidRDefault="00D83E33" w:rsidP="001B330E">
            <w:pPr>
              <w:widowControl w:val="0"/>
              <w:jc w:val="right"/>
              <w:rPr>
                <w:color w:val="000000"/>
                <w:szCs w:val="10"/>
              </w:rPr>
            </w:pPr>
          </w:p>
        </w:tc>
        <w:tc>
          <w:tcPr>
            <w:tcW w:w="463" w:type="pct"/>
            <w:tcBorders>
              <w:bottom w:val="single" w:sz="6" w:space="0" w:color="000000"/>
            </w:tcBorders>
            <w:vAlign w:val="bottom"/>
          </w:tcPr>
          <w:p w14:paraId="7213A0FD" w14:textId="77777777" w:rsidR="00D83E33" w:rsidRPr="001B330E" w:rsidRDefault="00D83E33" w:rsidP="001B330E">
            <w:pPr>
              <w:widowControl w:val="0"/>
              <w:jc w:val="right"/>
              <w:rPr>
                <w:color w:val="000000"/>
                <w:szCs w:val="10"/>
              </w:rPr>
            </w:pPr>
          </w:p>
        </w:tc>
        <w:tc>
          <w:tcPr>
            <w:tcW w:w="437" w:type="pct"/>
            <w:tcBorders>
              <w:bottom w:val="single" w:sz="6" w:space="0" w:color="000000"/>
            </w:tcBorders>
            <w:vAlign w:val="bottom"/>
          </w:tcPr>
          <w:p w14:paraId="76140FBB" w14:textId="77777777" w:rsidR="00D83E33" w:rsidRPr="001B330E" w:rsidRDefault="00D83E33" w:rsidP="001B330E">
            <w:pPr>
              <w:widowControl w:val="0"/>
              <w:jc w:val="right"/>
              <w:rPr>
                <w:color w:val="000000"/>
                <w:szCs w:val="10"/>
              </w:rPr>
            </w:pPr>
          </w:p>
        </w:tc>
        <w:tc>
          <w:tcPr>
            <w:tcW w:w="437" w:type="pct"/>
            <w:tcBorders>
              <w:bottom w:val="single" w:sz="6" w:space="0" w:color="000000"/>
            </w:tcBorders>
            <w:vAlign w:val="bottom"/>
          </w:tcPr>
          <w:p w14:paraId="7AAC62A7" w14:textId="77777777" w:rsidR="00D83E33" w:rsidRPr="001B330E" w:rsidRDefault="00D83E33" w:rsidP="001B330E">
            <w:pPr>
              <w:widowControl w:val="0"/>
              <w:jc w:val="right"/>
              <w:rPr>
                <w:color w:val="000000"/>
                <w:szCs w:val="10"/>
              </w:rPr>
            </w:pPr>
          </w:p>
        </w:tc>
        <w:tc>
          <w:tcPr>
            <w:tcW w:w="437" w:type="pct"/>
            <w:tcBorders>
              <w:bottom w:val="single" w:sz="6" w:space="0" w:color="000000"/>
            </w:tcBorders>
            <w:vAlign w:val="bottom"/>
          </w:tcPr>
          <w:p w14:paraId="4251AC42" w14:textId="77777777" w:rsidR="00D83E33" w:rsidRPr="001B330E" w:rsidRDefault="00D83E33" w:rsidP="001B330E">
            <w:pPr>
              <w:widowControl w:val="0"/>
              <w:jc w:val="right"/>
              <w:rPr>
                <w:color w:val="000000"/>
                <w:szCs w:val="10"/>
              </w:rPr>
            </w:pPr>
          </w:p>
        </w:tc>
        <w:tc>
          <w:tcPr>
            <w:tcW w:w="463" w:type="pct"/>
            <w:tcBorders>
              <w:bottom w:val="single" w:sz="6" w:space="0" w:color="000000"/>
            </w:tcBorders>
            <w:vAlign w:val="bottom"/>
          </w:tcPr>
          <w:p w14:paraId="524A491A" w14:textId="77777777" w:rsidR="00D83E33" w:rsidRPr="001B330E" w:rsidRDefault="00D83E33" w:rsidP="001B330E">
            <w:pPr>
              <w:widowControl w:val="0"/>
              <w:jc w:val="right"/>
              <w:rPr>
                <w:color w:val="000000"/>
                <w:szCs w:val="10"/>
              </w:rPr>
            </w:pPr>
          </w:p>
        </w:tc>
        <w:tc>
          <w:tcPr>
            <w:tcW w:w="495" w:type="pct"/>
            <w:tcBorders>
              <w:bottom w:val="single" w:sz="6" w:space="0" w:color="000000"/>
            </w:tcBorders>
          </w:tcPr>
          <w:p w14:paraId="06E33E38" w14:textId="77777777" w:rsidR="00D83E33" w:rsidRPr="001B330E" w:rsidRDefault="00D83E33" w:rsidP="001B330E">
            <w:pPr>
              <w:widowControl w:val="0"/>
              <w:jc w:val="right"/>
              <w:rPr>
                <w:color w:val="000000"/>
                <w:szCs w:val="10"/>
              </w:rPr>
            </w:pPr>
          </w:p>
        </w:tc>
        <w:tc>
          <w:tcPr>
            <w:tcW w:w="435" w:type="pct"/>
            <w:tcBorders>
              <w:bottom w:val="single" w:sz="6" w:space="0" w:color="000000"/>
            </w:tcBorders>
            <w:vAlign w:val="bottom"/>
          </w:tcPr>
          <w:p w14:paraId="56D6A0AA" w14:textId="77777777" w:rsidR="00D83E33" w:rsidRPr="001B330E" w:rsidRDefault="00D83E33" w:rsidP="001B330E">
            <w:pPr>
              <w:widowControl w:val="0"/>
              <w:jc w:val="right"/>
              <w:rPr>
                <w:color w:val="000000"/>
                <w:szCs w:val="10"/>
              </w:rPr>
            </w:pPr>
          </w:p>
        </w:tc>
      </w:tr>
      <w:tr w:rsidR="00D83E33" w:rsidRPr="00E837F2" w14:paraId="450FEA06" w14:textId="77777777" w:rsidTr="001B330E">
        <w:trPr>
          <w:trHeight w:val="23"/>
        </w:trPr>
        <w:tc>
          <w:tcPr>
            <w:tcW w:w="1370" w:type="pct"/>
            <w:tcBorders>
              <w:top w:val="single" w:sz="6" w:space="0" w:color="000000"/>
            </w:tcBorders>
            <w:vAlign w:val="bottom"/>
          </w:tcPr>
          <w:p w14:paraId="2EFC389A" w14:textId="77777777" w:rsidR="00D83E33" w:rsidRPr="001B330E" w:rsidRDefault="00D83E33" w:rsidP="001B330E">
            <w:pPr>
              <w:widowControl w:val="0"/>
              <w:ind w:left="113" w:hanging="113"/>
              <w:rPr>
                <w:color w:val="000000"/>
                <w:szCs w:val="10"/>
              </w:rPr>
            </w:pPr>
          </w:p>
        </w:tc>
        <w:tc>
          <w:tcPr>
            <w:tcW w:w="463" w:type="pct"/>
            <w:tcBorders>
              <w:top w:val="single" w:sz="6" w:space="0" w:color="000000"/>
            </w:tcBorders>
            <w:vAlign w:val="bottom"/>
          </w:tcPr>
          <w:p w14:paraId="1D144869" w14:textId="77777777" w:rsidR="00D83E33" w:rsidRPr="001B330E" w:rsidRDefault="00D83E33" w:rsidP="001B330E">
            <w:pPr>
              <w:widowControl w:val="0"/>
              <w:jc w:val="right"/>
              <w:rPr>
                <w:color w:val="000000"/>
                <w:szCs w:val="10"/>
              </w:rPr>
            </w:pPr>
          </w:p>
        </w:tc>
        <w:tc>
          <w:tcPr>
            <w:tcW w:w="463" w:type="pct"/>
            <w:tcBorders>
              <w:top w:val="single" w:sz="6" w:space="0" w:color="000000"/>
            </w:tcBorders>
            <w:vAlign w:val="bottom"/>
          </w:tcPr>
          <w:p w14:paraId="2E2AB42B" w14:textId="77777777" w:rsidR="00D83E33" w:rsidRPr="001B330E" w:rsidRDefault="00D83E33" w:rsidP="001B330E">
            <w:pPr>
              <w:widowControl w:val="0"/>
              <w:jc w:val="right"/>
              <w:rPr>
                <w:color w:val="000000"/>
                <w:szCs w:val="10"/>
              </w:rPr>
            </w:pPr>
          </w:p>
        </w:tc>
        <w:tc>
          <w:tcPr>
            <w:tcW w:w="437" w:type="pct"/>
            <w:tcBorders>
              <w:top w:val="single" w:sz="6" w:space="0" w:color="000000"/>
            </w:tcBorders>
            <w:vAlign w:val="bottom"/>
          </w:tcPr>
          <w:p w14:paraId="374EAF29" w14:textId="77777777" w:rsidR="00D83E33" w:rsidRPr="001B330E" w:rsidRDefault="00D83E33" w:rsidP="001B330E">
            <w:pPr>
              <w:widowControl w:val="0"/>
              <w:jc w:val="right"/>
              <w:rPr>
                <w:color w:val="000000"/>
                <w:szCs w:val="10"/>
              </w:rPr>
            </w:pPr>
          </w:p>
        </w:tc>
        <w:tc>
          <w:tcPr>
            <w:tcW w:w="437" w:type="pct"/>
            <w:tcBorders>
              <w:top w:val="single" w:sz="6" w:space="0" w:color="000000"/>
            </w:tcBorders>
            <w:vAlign w:val="bottom"/>
          </w:tcPr>
          <w:p w14:paraId="60A2940E" w14:textId="77777777" w:rsidR="00D83E33" w:rsidRPr="001B330E" w:rsidRDefault="00D83E33" w:rsidP="001B330E">
            <w:pPr>
              <w:widowControl w:val="0"/>
              <w:jc w:val="right"/>
              <w:rPr>
                <w:color w:val="000000"/>
                <w:szCs w:val="10"/>
              </w:rPr>
            </w:pPr>
          </w:p>
        </w:tc>
        <w:tc>
          <w:tcPr>
            <w:tcW w:w="437" w:type="pct"/>
            <w:tcBorders>
              <w:top w:val="single" w:sz="6" w:space="0" w:color="000000"/>
            </w:tcBorders>
            <w:vAlign w:val="bottom"/>
          </w:tcPr>
          <w:p w14:paraId="5816C6F5" w14:textId="77777777" w:rsidR="00D83E33" w:rsidRPr="001B330E" w:rsidRDefault="00D83E33" w:rsidP="001B330E">
            <w:pPr>
              <w:widowControl w:val="0"/>
              <w:jc w:val="right"/>
              <w:rPr>
                <w:color w:val="000000"/>
                <w:szCs w:val="10"/>
              </w:rPr>
            </w:pPr>
          </w:p>
        </w:tc>
        <w:tc>
          <w:tcPr>
            <w:tcW w:w="463" w:type="pct"/>
            <w:tcBorders>
              <w:top w:val="single" w:sz="6" w:space="0" w:color="000000"/>
            </w:tcBorders>
            <w:vAlign w:val="bottom"/>
          </w:tcPr>
          <w:p w14:paraId="7CDB9817" w14:textId="77777777" w:rsidR="00D83E33" w:rsidRPr="001B330E" w:rsidRDefault="00D83E33" w:rsidP="001B330E">
            <w:pPr>
              <w:widowControl w:val="0"/>
              <w:jc w:val="right"/>
              <w:rPr>
                <w:color w:val="000000"/>
                <w:szCs w:val="10"/>
              </w:rPr>
            </w:pPr>
          </w:p>
        </w:tc>
        <w:tc>
          <w:tcPr>
            <w:tcW w:w="495" w:type="pct"/>
            <w:tcBorders>
              <w:top w:val="single" w:sz="6" w:space="0" w:color="000000"/>
            </w:tcBorders>
          </w:tcPr>
          <w:p w14:paraId="0F66AA90" w14:textId="77777777" w:rsidR="00D83E33" w:rsidRPr="001B330E" w:rsidRDefault="00D83E33" w:rsidP="001B330E">
            <w:pPr>
              <w:widowControl w:val="0"/>
              <w:jc w:val="right"/>
              <w:rPr>
                <w:color w:val="000000"/>
                <w:szCs w:val="10"/>
              </w:rPr>
            </w:pPr>
          </w:p>
        </w:tc>
        <w:tc>
          <w:tcPr>
            <w:tcW w:w="435" w:type="pct"/>
            <w:tcBorders>
              <w:top w:val="single" w:sz="6" w:space="0" w:color="000000"/>
            </w:tcBorders>
            <w:vAlign w:val="bottom"/>
          </w:tcPr>
          <w:p w14:paraId="70AA01B1" w14:textId="77777777" w:rsidR="00D83E33" w:rsidRPr="001B330E" w:rsidRDefault="00D83E33" w:rsidP="001B330E">
            <w:pPr>
              <w:widowControl w:val="0"/>
              <w:jc w:val="right"/>
              <w:rPr>
                <w:color w:val="000000"/>
                <w:szCs w:val="10"/>
              </w:rPr>
            </w:pPr>
          </w:p>
        </w:tc>
      </w:tr>
      <w:tr w:rsidR="00D83E33" w:rsidRPr="00E837F2" w14:paraId="6FEFBA08" w14:textId="77777777" w:rsidTr="001B330E">
        <w:trPr>
          <w:trHeight w:val="23"/>
        </w:trPr>
        <w:tc>
          <w:tcPr>
            <w:tcW w:w="1370" w:type="pct"/>
            <w:vAlign w:val="bottom"/>
          </w:tcPr>
          <w:p w14:paraId="0E91B270" w14:textId="77777777" w:rsidR="00D83E33" w:rsidRPr="00E837F2" w:rsidRDefault="00BC4072" w:rsidP="001B330E">
            <w:pPr>
              <w:widowControl w:val="0"/>
              <w:ind w:left="113" w:hanging="113"/>
              <w:rPr>
                <w:b/>
                <w:color w:val="000000"/>
              </w:rPr>
            </w:pPr>
            <w:r w:rsidRPr="00E837F2">
              <w:rPr>
                <w:b/>
                <w:color w:val="000000"/>
              </w:rPr>
              <w:t>Total carrying value loans and advances to customers at FVTPL (amount representing exposure to credit risk for each class of loans at FVTPL)</w:t>
            </w:r>
          </w:p>
        </w:tc>
        <w:tc>
          <w:tcPr>
            <w:tcW w:w="463" w:type="pct"/>
            <w:vAlign w:val="bottom"/>
          </w:tcPr>
          <w:p w14:paraId="06772664" w14:textId="77777777" w:rsidR="00D83E33" w:rsidRPr="00E837F2" w:rsidRDefault="00D83E33" w:rsidP="001B330E">
            <w:pPr>
              <w:widowControl w:val="0"/>
              <w:jc w:val="right"/>
              <w:rPr>
                <w:b/>
                <w:color w:val="000000"/>
              </w:rPr>
            </w:pPr>
          </w:p>
        </w:tc>
        <w:tc>
          <w:tcPr>
            <w:tcW w:w="463" w:type="pct"/>
            <w:vAlign w:val="bottom"/>
          </w:tcPr>
          <w:p w14:paraId="24088A8B" w14:textId="77777777" w:rsidR="00D83E33" w:rsidRPr="00E837F2" w:rsidRDefault="00D83E33" w:rsidP="001B330E">
            <w:pPr>
              <w:widowControl w:val="0"/>
              <w:jc w:val="right"/>
              <w:rPr>
                <w:b/>
                <w:color w:val="000000"/>
              </w:rPr>
            </w:pPr>
          </w:p>
        </w:tc>
        <w:tc>
          <w:tcPr>
            <w:tcW w:w="437" w:type="pct"/>
            <w:vAlign w:val="bottom"/>
          </w:tcPr>
          <w:p w14:paraId="76B7C385" w14:textId="77777777" w:rsidR="00D83E33" w:rsidRPr="00E837F2" w:rsidRDefault="00D83E33" w:rsidP="001B330E">
            <w:pPr>
              <w:widowControl w:val="0"/>
              <w:jc w:val="right"/>
              <w:rPr>
                <w:b/>
                <w:color w:val="000000"/>
              </w:rPr>
            </w:pPr>
          </w:p>
        </w:tc>
        <w:tc>
          <w:tcPr>
            <w:tcW w:w="437" w:type="pct"/>
            <w:vAlign w:val="bottom"/>
          </w:tcPr>
          <w:p w14:paraId="02D4BB08" w14:textId="77777777" w:rsidR="00D83E33" w:rsidRPr="00E837F2" w:rsidRDefault="00D83E33" w:rsidP="001B330E">
            <w:pPr>
              <w:widowControl w:val="0"/>
              <w:jc w:val="right"/>
              <w:rPr>
                <w:b/>
                <w:color w:val="000000"/>
              </w:rPr>
            </w:pPr>
          </w:p>
        </w:tc>
        <w:tc>
          <w:tcPr>
            <w:tcW w:w="437" w:type="pct"/>
            <w:vAlign w:val="bottom"/>
          </w:tcPr>
          <w:p w14:paraId="3617E32B" w14:textId="77777777" w:rsidR="00D83E33" w:rsidRPr="00E837F2" w:rsidRDefault="00D83E33" w:rsidP="001B330E">
            <w:pPr>
              <w:widowControl w:val="0"/>
              <w:jc w:val="right"/>
              <w:rPr>
                <w:b/>
                <w:color w:val="000000"/>
              </w:rPr>
            </w:pPr>
          </w:p>
        </w:tc>
        <w:tc>
          <w:tcPr>
            <w:tcW w:w="463" w:type="pct"/>
            <w:vAlign w:val="bottom"/>
          </w:tcPr>
          <w:p w14:paraId="4D72CA7B" w14:textId="77777777" w:rsidR="00D83E33" w:rsidRPr="00E837F2" w:rsidRDefault="00D83E33" w:rsidP="001B330E">
            <w:pPr>
              <w:widowControl w:val="0"/>
              <w:jc w:val="right"/>
              <w:rPr>
                <w:b/>
                <w:color w:val="000000"/>
              </w:rPr>
            </w:pPr>
          </w:p>
        </w:tc>
        <w:tc>
          <w:tcPr>
            <w:tcW w:w="495" w:type="pct"/>
          </w:tcPr>
          <w:p w14:paraId="47CEA3B4" w14:textId="77777777" w:rsidR="00D83E33" w:rsidRPr="00E837F2" w:rsidRDefault="00D83E33" w:rsidP="001B330E">
            <w:pPr>
              <w:widowControl w:val="0"/>
              <w:jc w:val="right"/>
              <w:rPr>
                <w:b/>
                <w:color w:val="000000"/>
              </w:rPr>
            </w:pPr>
          </w:p>
        </w:tc>
        <w:tc>
          <w:tcPr>
            <w:tcW w:w="435" w:type="pct"/>
            <w:vAlign w:val="bottom"/>
          </w:tcPr>
          <w:p w14:paraId="5D6B141E" w14:textId="77777777" w:rsidR="00D83E33" w:rsidRPr="00E837F2" w:rsidRDefault="00D83E33" w:rsidP="001B330E">
            <w:pPr>
              <w:widowControl w:val="0"/>
              <w:jc w:val="right"/>
              <w:rPr>
                <w:b/>
                <w:color w:val="000000"/>
              </w:rPr>
            </w:pPr>
          </w:p>
        </w:tc>
      </w:tr>
      <w:tr w:rsidR="00D83E33" w:rsidRPr="00E837F2" w14:paraId="5AB3D28E" w14:textId="77777777" w:rsidTr="001B330E">
        <w:trPr>
          <w:trHeight w:val="23"/>
        </w:trPr>
        <w:tc>
          <w:tcPr>
            <w:tcW w:w="1370" w:type="pct"/>
            <w:tcBorders>
              <w:bottom w:val="single" w:sz="12" w:space="0" w:color="000000"/>
            </w:tcBorders>
            <w:vAlign w:val="bottom"/>
          </w:tcPr>
          <w:p w14:paraId="5AC0BDC4" w14:textId="77777777" w:rsidR="00D83E33" w:rsidRPr="001B330E" w:rsidRDefault="00D83E33" w:rsidP="001B330E">
            <w:pPr>
              <w:widowControl w:val="0"/>
              <w:ind w:left="113" w:hanging="113"/>
              <w:rPr>
                <w:b/>
                <w:color w:val="000000"/>
                <w:szCs w:val="10"/>
              </w:rPr>
            </w:pPr>
          </w:p>
        </w:tc>
        <w:tc>
          <w:tcPr>
            <w:tcW w:w="463" w:type="pct"/>
            <w:tcBorders>
              <w:bottom w:val="single" w:sz="12" w:space="0" w:color="000000"/>
            </w:tcBorders>
            <w:vAlign w:val="bottom"/>
          </w:tcPr>
          <w:p w14:paraId="2F3CE198" w14:textId="77777777" w:rsidR="00D83E33" w:rsidRPr="001B330E" w:rsidRDefault="00D83E33" w:rsidP="001B330E">
            <w:pPr>
              <w:widowControl w:val="0"/>
              <w:jc w:val="right"/>
              <w:rPr>
                <w:b/>
                <w:color w:val="000000"/>
                <w:szCs w:val="10"/>
              </w:rPr>
            </w:pPr>
          </w:p>
        </w:tc>
        <w:tc>
          <w:tcPr>
            <w:tcW w:w="463" w:type="pct"/>
            <w:tcBorders>
              <w:bottom w:val="single" w:sz="12" w:space="0" w:color="000000"/>
            </w:tcBorders>
            <w:vAlign w:val="bottom"/>
          </w:tcPr>
          <w:p w14:paraId="4DA75272" w14:textId="77777777" w:rsidR="00D83E33" w:rsidRPr="001B330E" w:rsidRDefault="00D83E33" w:rsidP="001B330E">
            <w:pPr>
              <w:widowControl w:val="0"/>
              <w:jc w:val="right"/>
              <w:rPr>
                <w:b/>
                <w:color w:val="000000"/>
                <w:szCs w:val="10"/>
              </w:rPr>
            </w:pPr>
          </w:p>
        </w:tc>
        <w:tc>
          <w:tcPr>
            <w:tcW w:w="437" w:type="pct"/>
            <w:tcBorders>
              <w:bottom w:val="single" w:sz="12" w:space="0" w:color="000000"/>
            </w:tcBorders>
            <w:vAlign w:val="bottom"/>
          </w:tcPr>
          <w:p w14:paraId="2712AB2B" w14:textId="77777777" w:rsidR="00D83E33" w:rsidRPr="001B330E" w:rsidRDefault="00D83E33" w:rsidP="001B330E">
            <w:pPr>
              <w:widowControl w:val="0"/>
              <w:jc w:val="right"/>
              <w:rPr>
                <w:b/>
                <w:color w:val="000000"/>
                <w:szCs w:val="10"/>
              </w:rPr>
            </w:pPr>
          </w:p>
        </w:tc>
        <w:tc>
          <w:tcPr>
            <w:tcW w:w="437" w:type="pct"/>
            <w:tcBorders>
              <w:bottom w:val="single" w:sz="12" w:space="0" w:color="000000"/>
            </w:tcBorders>
            <w:vAlign w:val="bottom"/>
          </w:tcPr>
          <w:p w14:paraId="123D5C9A" w14:textId="77777777" w:rsidR="00D83E33" w:rsidRPr="001B330E" w:rsidRDefault="00D83E33" w:rsidP="001B330E">
            <w:pPr>
              <w:widowControl w:val="0"/>
              <w:jc w:val="right"/>
              <w:rPr>
                <w:b/>
                <w:color w:val="000000"/>
                <w:szCs w:val="10"/>
              </w:rPr>
            </w:pPr>
          </w:p>
        </w:tc>
        <w:tc>
          <w:tcPr>
            <w:tcW w:w="437" w:type="pct"/>
            <w:tcBorders>
              <w:bottom w:val="single" w:sz="12" w:space="0" w:color="000000"/>
            </w:tcBorders>
            <w:vAlign w:val="bottom"/>
          </w:tcPr>
          <w:p w14:paraId="57163A77" w14:textId="77777777" w:rsidR="00D83E33" w:rsidRPr="001B330E" w:rsidRDefault="00D83E33" w:rsidP="001B330E">
            <w:pPr>
              <w:widowControl w:val="0"/>
              <w:jc w:val="right"/>
              <w:rPr>
                <w:b/>
                <w:color w:val="000000"/>
                <w:szCs w:val="10"/>
              </w:rPr>
            </w:pPr>
          </w:p>
        </w:tc>
        <w:tc>
          <w:tcPr>
            <w:tcW w:w="463" w:type="pct"/>
            <w:tcBorders>
              <w:bottom w:val="single" w:sz="12" w:space="0" w:color="000000"/>
            </w:tcBorders>
            <w:vAlign w:val="bottom"/>
          </w:tcPr>
          <w:p w14:paraId="0ACDBBC1" w14:textId="77777777" w:rsidR="00D83E33" w:rsidRPr="001B330E" w:rsidRDefault="00D83E33" w:rsidP="001B330E">
            <w:pPr>
              <w:widowControl w:val="0"/>
              <w:jc w:val="right"/>
              <w:rPr>
                <w:b/>
                <w:color w:val="000000"/>
                <w:szCs w:val="10"/>
              </w:rPr>
            </w:pPr>
          </w:p>
        </w:tc>
        <w:tc>
          <w:tcPr>
            <w:tcW w:w="495" w:type="pct"/>
            <w:tcBorders>
              <w:bottom w:val="single" w:sz="12" w:space="0" w:color="000000"/>
            </w:tcBorders>
          </w:tcPr>
          <w:p w14:paraId="11A88A65" w14:textId="77777777" w:rsidR="00D83E33" w:rsidRPr="001B330E" w:rsidRDefault="00D83E33" w:rsidP="001B330E">
            <w:pPr>
              <w:widowControl w:val="0"/>
              <w:jc w:val="right"/>
              <w:rPr>
                <w:b/>
                <w:color w:val="000000"/>
                <w:szCs w:val="10"/>
              </w:rPr>
            </w:pPr>
          </w:p>
        </w:tc>
        <w:tc>
          <w:tcPr>
            <w:tcW w:w="435" w:type="pct"/>
            <w:tcBorders>
              <w:bottom w:val="single" w:sz="12" w:space="0" w:color="000000"/>
            </w:tcBorders>
            <w:vAlign w:val="bottom"/>
          </w:tcPr>
          <w:p w14:paraId="09D20FC6" w14:textId="77777777" w:rsidR="00D83E33" w:rsidRPr="001B330E" w:rsidRDefault="00D83E33" w:rsidP="001B330E">
            <w:pPr>
              <w:widowControl w:val="0"/>
              <w:jc w:val="right"/>
              <w:rPr>
                <w:b/>
                <w:color w:val="000000"/>
                <w:szCs w:val="10"/>
              </w:rPr>
            </w:pPr>
          </w:p>
        </w:tc>
      </w:tr>
    </w:tbl>
    <w:p w14:paraId="77B674CB" w14:textId="77777777" w:rsidR="009C6EFA" w:rsidRDefault="009C6EFA" w:rsidP="009C6EFA">
      <w:pPr>
        <w:pStyle w:val="Continued"/>
      </w:pPr>
      <w:r>
        <w:lastRenderedPageBreak/>
        <w:t>11</w:t>
      </w:r>
      <w:r>
        <w:tab/>
        <w:t>Loans and Advances to Customers (Continued)</w:t>
      </w:r>
    </w:p>
    <w:p w14:paraId="3FA17132" w14:textId="1E949341"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Description of collateral held for loans to individuals carried at FVTPL is as follows at 31</w:t>
      </w:r>
      <w:r w:rsidR="00181687">
        <w:rPr>
          <w:color w:val="000000"/>
          <w:sz w:val="20"/>
          <w:szCs w:val="20"/>
        </w:rPr>
        <w:t> December </w:t>
      </w:r>
      <w:r w:rsidR="00541EBC">
        <w:rPr>
          <w:color w:val="000000"/>
          <w:sz w:val="20"/>
          <w:szCs w:val="20"/>
        </w:rPr>
        <w:t>2024</w:t>
      </w:r>
      <w:r>
        <w:rPr>
          <w:color w:val="000000"/>
          <w:sz w:val="20"/>
          <w:szCs w:val="20"/>
        </w:rPr>
        <w:t xml:space="preserve">: </w:t>
      </w:r>
    </w:p>
    <w:tbl>
      <w:tblPr>
        <w:tblStyle w:val="affffff2"/>
        <w:tblW w:w="5000" w:type="pct"/>
        <w:tblLayout w:type="fixed"/>
        <w:tblLook w:val="0000" w:firstRow="0" w:lastRow="0" w:firstColumn="0" w:lastColumn="0" w:noHBand="0" w:noVBand="0"/>
      </w:tblPr>
      <w:tblGrid>
        <w:gridCol w:w="2269"/>
        <w:gridCol w:w="1418"/>
        <w:gridCol w:w="1418"/>
        <w:gridCol w:w="1418"/>
        <w:gridCol w:w="1418"/>
        <w:gridCol w:w="1414"/>
      </w:tblGrid>
      <w:tr w:rsidR="00D83E33" w:rsidRPr="00E837F2" w14:paraId="218BA36E" w14:textId="77777777" w:rsidTr="001B330E">
        <w:trPr>
          <w:trHeight w:val="23"/>
        </w:trPr>
        <w:tc>
          <w:tcPr>
            <w:tcW w:w="1212" w:type="pct"/>
            <w:tcBorders>
              <w:bottom w:val="single" w:sz="6" w:space="0" w:color="000000"/>
            </w:tcBorders>
            <w:vAlign w:val="bottom"/>
          </w:tcPr>
          <w:p w14:paraId="2F805C50" w14:textId="39D0B49A" w:rsidR="00D83E33" w:rsidRPr="00E837F2" w:rsidRDefault="00313B4D" w:rsidP="001B330E">
            <w:pPr>
              <w:widowControl w:val="0"/>
              <w:ind w:left="113" w:hanging="113"/>
              <w:rPr>
                <w:i/>
                <w:color w:val="000000"/>
              </w:rPr>
            </w:pPr>
            <w:r>
              <w:rPr>
                <w:i/>
                <w:color w:val="000000"/>
              </w:rPr>
              <w:t xml:space="preserve">In thousands of </w:t>
            </w:r>
            <w:r w:rsidR="002649EE">
              <w:rPr>
                <w:i/>
                <w:color w:val="000000"/>
              </w:rPr>
              <w:t>EUR</w:t>
            </w:r>
          </w:p>
        </w:tc>
        <w:tc>
          <w:tcPr>
            <w:tcW w:w="758" w:type="pct"/>
            <w:tcBorders>
              <w:bottom w:val="single" w:sz="6" w:space="0" w:color="000000"/>
            </w:tcBorders>
          </w:tcPr>
          <w:p w14:paraId="6A623809" w14:textId="77777777" w:rsidR="00D83E33" w:rsidRPr="00E837F2" w:rsidRDefault="00BC4072" w:rsidP="001B330E">
            <w:pPr>
              <w:widowControl w:val="0"/>
              <w:jc w:val="right"/>
              <w:rPr>
                <w:b/>
                <w:color w:val="000000"/>
              </w:rPr>
            </w:pPr>
            <w:r w:rsidRPr="00E837F2">
              <w:rPr>
                <w:b/>
                <w:color w:val="000000"/>
              </w:rPr>
              <w:t>Mortgage loans</w:t>
            </w:r>
          </w:p>
        </w:tc>
        <w:tc>
          <w:tcPr>
            <w:tcW w:w="758" w:type="pct"/>
            <w:tcBorders>
              <w:bottom w:val="single" w:sz="6" w:space="0" w:color="000000"/>
            </w:tcBorders>
          </w:tcPr>
          <w:p w14:paraId="550C9C57" w14:textId="77777777" w:rsidR="00D83E33" w:rsidRPr="00E837F2" w:rsidRDefault="00BC4072" w:rsidP="001B330E">
            <w:pPr>
              <w:widowControl w:val="0"/>
              <w:jc w:val="right"/>
              <w:rPr>
                <w:b/>
                <w:color w:val="000000"/>
              </w:rPr>
            </w:pPr>
            <w:r w:rsidRPr="00E837F2">
              <w:rPr>
                <w:b/>
                <w:color w:val="000000"/>
              </w:rPr>
              <w:t>Consumer loans</w:t>
            </w:r>
          </w:p>
        </w:tc>
        <w:tc>
          <w:tcPr>
            <w:tcW w:w="758" w:type="pct"/>
            <w:tcBorders>
              <w:bottom w:val="single" w:sz="6" w:space="0" w:color="000000"/>
            </w:tcBorders>
          </w:tcPr>
          <w:p w14:paraId="5FD6A519" w14:textId="77777777" w:rsidR="00D83E33" w:rsidRPr="00E837F2" w:rsidRDefault="00BC4072" w:rsidP="001B330E">
            <w:pPr>
              <w:widowControl w:val="0"/>
              <w:jc w:val="right"/>
              <w:rPr>
                <w:b/>
                <w:color w:val="000000"/>
              </w:rPr>
            </w:pPr>
            <w:r w:rsidRPr="00E837F2">
              <w:rPr>
                <w:b/>
                <w:color w:val="000000"/>
              </w:rPr>
              <w:t>Car loans</w:t>
            </w:r>
          </w:p>
        </w:tc>
        <w:tc>
          <w:tcPr>
            <w:tcW w:w="758" w:type="pct"/>
            <w:tcBorders>
              <w:bottom w:val="single" w:sz="6" w:space="0" w:color="000000"/>
            </w:tcBorders>
          </w:tcPr>
          <w:p w14:paraId="488894B6" w14:textId="6D6B586E" w:rsidR="00D83E33" w:rsidRPr="00E837F2" w:rsidRDefault="00BC4072" w:rsidP="001B330E">
            <w:pPr>
              <w:widowControl w:val="0"/>
              <w:jc w:val="right"/>
              <w:rPr>
                <w:b/>
                <w:color w:val="000000"/>
              </w:rPr>
            </w:pPr>
            <w:r w:rsidRPr="00E837F2">
              <w:rPr>
                <w:b/>
              </w:rPr>
              <w:t>Credit cards</w:t>
            </w:r>
            <w:r w:rsidRPr="00E837F2">
              <w:t xml:space="preserve"> </w:t>
            </w:r>
          </w:p>
        </w:tc>
        <w:tc>
          <w:tcPr>
            <w:tcW w:w="756" w:type="pct"/>
            <w:tcBorders>
              <w:bottom w:val="single" w:sz="6" w:space="0" w:color="000000"/>
            </w:tcBorders>
          </w:tcPr>
          <w:p w14:paraId="3ABDE1C9" w14:textId="77777777" w:rsidR="00D83E33" w:rsidRPr="00E837F2" w:rsidRDefault="00BC4072" w:rsidP="001B330E">
            <w:pPr>
              <w:widowControl w:val="0"/>
              <w:jc w:val="right"/>
              <w:rPr>
                <w:b/>
                <w:color w:val="000000"/>
              </w:rPr>
            </w:pPr>
            <w:r w:rsidRPr="00E837F2">
              <w:rPr>
                <w:b/>
                <w:color w:val="000000"/>
              </w:rPr>
              <w:t>Total</w:t>
            </w:r>
          </w:p>
        </w:tc>
      </w:tr>
      <w:tr w:rsidR="00D83E33" w:rsidRPr="00E837F2" w14:paraId="4074D15F" w14:textId="77777777" w:rsidTr="001B330E">
        <w:trPr>
          <w:trHeight w:val="23"/>
        </w:trPr>
        <w:tc>
          <w:tcPr>
            <w:tcW w:w="1212" w:type="pct"/>
            <w:tcBorders>
              <w:top w:val="single" w:sz="6" w:space="0" w:color="000000"/>
            </w:tcBorders>
            <w:vAlign w:val="bottom"/>
          </w:tcPr>
          <w:p w14:paraId="05096A69" w14:textId="77777777" w:rsidR="00D83E33" w:rsidRPr="001B330E" w:rsidRDefault="00D83E33" w:rsidP="001B330E">
            <w:pPr>
              <w:widowControl w:val="0"/>
              <w:ind w:left="113" w:hanging="113"/>
              <w:rPr>
                <w:b/>
                <w:color w:val="000000"/>
                <w:szCs w:val="10"/>
              </w:rPr>
            </w:pPr>
          </w:p>
        </w:tc>
        <w:tc>
          <w:tcPr>
            <w:tcW w:w="758" w:type="pct"/>
            <w:tcBorders>
              <w:top w:val="single" w:sz="6" w:space="0" w:color="000000"/>
            </w:tcBorders>
            <w:vAlign w:val="bottom"/>
          </w:tcPr>
          <w:p w14:paraId="55440181" w14:textId="77777777" w:rsidR="00D83E33" w:rsidRPr="001B330E" w:rsidRDefault="00D83E33" w:rsidP="001B330E">
            <w:pPr>
              <w:widowControl w:val="0"/>
              <w:jc w:val="right"/>
              <w:rPr>
                <w:b/>
                <w:color w:val="000000"/>
                <w:szCs w:val="10"/>
              </w:rPr>
            </w:pPr>
          </w:p>
        </w:tc>
        <w:tc>
          <w:tcPr>
            <w:tcW w:w="758" w:type="pct"/>
            <w:tcBorders>
              <w:top w:val="single" w:sz="6" w:space="0" w:color="000000"/>
            </w:tcBorders>
            <w:vAlign w:val="bottom"/>
          </w:tcPr>
          <w:p w14:paraId="2CFA9705" w14:textId="77777777" w:rsidR="00D83E33" w:rsidRPr="001B330E" w:rsidRDefault="00D83E33" w:rsidP="001B330E">
            <w:pPr>
              <w:widowControl w:val="0"/>
              <w:jc w:val="right"/>
              <w:rPr>
                <w:b/>
                <w:color w:val="000000"/>
                <w:szCs w:val="10"/>
              </w:rPr>
            </w:pPr>
          </w:p>
        </w:tc>
        <w:tc>
          <w:tcPr>
            <w:tcW w:w="758" w:type="pct"/>
            <w:tcBorders>
              <w:top w:val="single" w:sz="6" w:space="0" w:color="000000"/>
            </w:tcBorders>
            <w:vAlign w:val="bottom"/>
          </w:tcPr>
          <w:p w14:paraId="24805689" w14:textId="77777777" w:rsidR="00D83E33" w:rsidRPr="001B330E" w:rsidRDefault="00D83E33" w:rsidP="001B330E">
            <w:pPr>
              <w:widowControl w:val="0"/>
              <w:jc w:val="right"/>
              <w:rPr>
                <w:b/>
                <w:color w:val="000000"/>
                <w:szCs w:val="10"/>
              </w:rPr>
            </w:pPr>
          </w:p>
        </w:tc>
        <w:tc>
          <w:tcPr>
            <w:tcW w:w="758" w:type="pct"/>
            <w:tcBorders>
              <w:top w:val="single" w:sz="6" w:space="0" w:color="000000"/>
            </w:tcBorders>
            <w:vAlign w:val="bottom"/>
          </w:tcPr>
          <w:p w14:paraId="6A8496B1" w14:textId="77777777" w:rsidR="00D83E33" w:rsidRPr="001B330E" w:rsidRDefault="00D83E33" w:rsidP="001B330E">
            <w:pPr>
              <w:widowControl w:val="0"/>
              <w:jc w:val="right"/>
              <w:rPr>
                <w:b/>
                <w:color w:val="000000"/>
                <w:szCs w:val="10"/>
              </w:rPr>
            </w:pPr>
          </w:p>
        </w:tc>
        <w:tc>
          <w:tcPr>
            <w:tcW w:w="756" w:type="pct"/>
            <w:tcBorders>
              <w:top w:val="single" w:sz="6" w:space="0" w:color="000000"/>
            </w:tcBorders>
            <w:vAlign w:val="bottom"/>
          </w:tcPr>
          <w:p w14:paraId="7B95E4BB" w14:textId="77777777" w:rsidR="00D83E33" w:rsidRPr="001B330E" w:rsidRDefault="00D83E33" w:rsidP="001B330E">
            <w:pPr>
              <w:widowControl w:val="0"/>
              <w:jc w:val="right"/>
              <w:rPr>
                <w:b/>
                <w:color w:val="000000"/>
                <w:szCs w:val="10"/>
              </w:rPr>
            </w:pPr>
          </w:p>
        </w:tc>
      </w:tr>
      <w:tr w:rsidR="00D83E33" w:rsidRPr="00E837F2" w14:paraId="075657BD" w14:textId="77777777" w:rsidTr="001B330E">
        <w:trPr>
          <w:trHeight w:val="23"/>
        </w:trPr>
        <w:tc>
          <w:tcPr>
            <w:tcW w:w="1212" w:type="pct"/>
            <w:vAlign w:val="bottom"/>
          </w:tcPr>
          <w:p w14:paraId="5C90F1AB" w14:textId="77777777" w:rsidR="00D83E33" w:rsidRPr="00E837F2" w:rsidRDefault="00BC4072" w:rsidP="001B330E">
            <w:pPr>
              <w:widowControl w:val="0"/>
              <w:ind w:left="113" w:hanging="113"/>
              <w:rPr>
                <w:color w:val="000000"/>
              </w:rPr>
            </w:pPr>
            <w:r w:rsidRPr="00E837F2">
              <w:rPr>
                <w:color w:val="000000"/>
              </w:rPr>
              <w:t>Loans guaranteed by other banks</w:t>
            </w:r>
          </w:p>
        </w:tc>
        <w:tc>
          <w:tcPr>
            <w:tcW w:w="758" w:type="pct"/>
            <w:vAlign w:val="bottom"/>
          </w:tcPr>
          <w:p w14:paraId="3F9403E3" w14:textId="77777777" w:rsidR="00D83E33" w:rsidRPr="00E837F2" w:rsidRDefault="00D83E33" w:rsidP="001B330E">
            <w:pPr>
              <w:widowControl w:val="0"/>
              <w:jc w:val="right"/>
              <w:rPr>
                <w:color w:val="000000"/>
              </w:rPr>
            </w:pPr>
          </w:p>
        </w:tc>
        <w:tc>
          <w:tcPr>
            <w:tcW w:w="758" w:type="pct"/>
            <w:vAlign w:val="bottom"/>
          </w:tcPr>
          <w:p w14:paraId="2C660258" w14:textId="77777777" w:rsidR="00D83E33" w:rsidRPr="00E837F2" w:rsidRDefault="00D83E33" w:rsidP="001B330E">
            <w:pPr>
              <w:widowControl w:val="0"/>
              <w:jc w:val="right"/>
              <w:rPr>
                <w:color w:val="000000"/>
              </w:rPr>
            </w:pPr>
          </w:p>
        </w:tc>
        <w:tc>
          <w:tcPr>
            <w:tcW w:w="758" w:type="pct"/>
            <w:vAlign w:val="bottom"/>
          </w:tcPr>
          <w:p w14:paraId="6074AC81" w14:textId="77777777" w:rsidR="00D83E33" w:rsidRPr="00E837F2" w:rsidRDefault="00D83E33" w:rsidP="001B330E">
            <w:pPr>
              <w:widowControl w:val="0"/>
              <w:jc w:val="right"/>
              <w:rPr>
                <w:color w:val="000000"/>
              </w:rPr>
            </w:pPr>
          </w:p>
        </w:tc>
        <w:tc>
          <w:tcPr>
            <w:tcW w:w="758" w:type="pct"/>
            <w:vAlign w:val="bottom"/>
          </w:tcPr>
          <w:p w14:paraId="770AB617" w14:textId="77777777" w:rsidR="00D83E33" w:rsidRPr="00E837F2" w:rsidRDefault="00D83E33" w:rsidP="001B330E">
            <w:pPr>
              <w:widowControl w:val="0"/>
              <w:jc w:val="right"/>
              <w:rPr>
                <w:color w:val="000000"/>
              </w:rPr>
            </w:pPr>
          </w:p>
        </w:tc>
        <w:tc>
          <w:tcPr>
            <w:tcW w:w="756" w:type="pct"/>
            <w:vAlign w:val="bottom"/>
          </w:tcPr>
          <w:p w14:paraId="70F87967" w14:textId="77777777" w:rsidR="00D83E33" w:rsidRPr="00E837F2" w:rsidRDefault="00D83E33" w:rsidP="001B330E">
            <w:pPr>
              <w:widowControl w:val="0"/>
              <w:jc w:val="right"/>
              <w:rPr>
                <w:color w:val="000000"/>
              </w:rPr>
            </w:pPr>
          </w:p>
        </w:tc>
      </w:tr>
      <w:tr w:rsidR="00D83E33" w:rsidRPr="00E837F2" w14:paraId="736C6108" w14:textId="77777777" w:rsidTr="001B330E">
        <w:trPr>
          <w:trHeight w:val="23"/>
        </w:trPr>
        <w:tc>
          <w:tcPr>
            <w:tcW w:w="1212" w:type="pct"/>
            <w:vAlign w:val="bottom"/>
          </w:tcPr>
          <w:p w14:paraId="16708FC1" w14:textId="77777777" w:rsidR="00D83E33" w:rsidRPr="00E837F2" w:rsidRDefault="00BC4072" w:rsidP="001B330E">
            <w:pPr>
              <w:widowControl w:val="0"/>
              <w:ind w:left="113" w:hanging="113"/>
              <w:rPr>
                <w:color w:val="000000"/>
              </w:rPr>
            </w:pPr>
            <w:r w:rsidRPr="00E837F2">
              <w:rPr>
                <w:color w:val="000000"/>
              </w:rPr>
              <w:t>Loans guaranteed by other parties, including credit insurance</w:t>
            </w:r>
          </w:p>
        </w:tc>
        <w:tc>
          <w:tcPr>
            <w:tcW w:w="758" w:type="pct"/>
            <w:vAlign w:val="bottom"/>
          </w:tcPr>
          <w:p w14:paraId="7747AB63" w14:textId="77777777" w:rsidR="00D83E33" w:rsidRPr="00E837F2" w:rsidRDefault="00D83E33" w:rsidP="001B330E">
            <w:pPr>
              <w:widowControl w:val="0"/>
              <w:jc w:val="right"/>
              <w:rPr>
                <w:color w:val="000000"/>
              </w:rPr>
            </w:pPr>
          </w:p>
        </w:tc>
        <w:tc>
          <w:tcPr>
            <w:tcW w:w="758" w:type="pct"/>
            <w:vAlign w:val="bottom"/>
          </w:tcPr>
          <w:p w14:paraId="1386F1B9" w14:textId="77777777" w:rsidR="00D83E33" w:rsidRPr="00E837F2" w:rsidRDefault="00D83E33" w:rsidP="001B330E">
            <w:pPr>
              <w:widowControl w:val="0"/>
              <w:jc w:val="right"/>
              <w:rPr>
                <w:color w:val="000000"/>
              </w:rPr>
            </w:pPr>
          </w:p>
        </w:tc>
        <w:tc>
          <w:tcPr>
            <w:tcW w:w="758" w:type="pct"/>
            <w:vAlign w:val="bottom"/>
          </w:tcPr>
          <w:p w14:paraId="3AF40A51" w14:textId="77777777" w:rsidR="00D83E33" w:rsidRPr="00E837F2" w:rsidRDefault="00D83E33" w:rsidP="001B330E">
            <w:pPr>
              <w:widowControl w:val="0"/>
              <w:jc w:val="right"/>
              <w:rPr>
                <w:color w:val="000000"/>
              </w:rPr>
            </w:pPr>
          </w:p>
        </w:tc>
        <w:tc>
          <w:tcPr>
            <w:tcW w:w="758" w:type="pct"/>
            <w:vAlign w:val="bottom"/>
          </w:tcPr>
          <w:p w14:paraId="3F3CA389" w14:textId="77777777" w:rsidR="00D83E33" w:rsidRPr="00E837F2" w:rsidRDefault="00D83E33" w:rsidP="001B330E">
            <w:pPr>
              <w:widowControl w:val="0"/>
              <w:jc w:val="right"/>
              <w:rPr>
                <w:color w:val="000000"/>
              </w:rPr>
            </w:pPr>
          </w:p>
        </w:tc>
        <w:tc>
          <w:tcPr>
            <w:tcW w:w="756" w:type="pct"/>
            <w:vAlign w:val="bottom"/>
          </w:tcPr>
          <w:p w14:paraId="145A9E02" w14:textId="77777777" w:rsidR="00D83E33" w:rsidRPr="00E837F2" w:rsidRDefault="00D83E33" w:rsidP="001B330E">
            <w:pPr>
              <w:widowControl w:val="0"/>
              <w:jc w:val="right"/>
              <w:rPr>
                <w:color w:val="000000"/>
              </w:rPr>
            </w:pPr>
          </w:p>
        </w:tc>
      </w:tr>
      <w:tr w:rsidR="00D83E33" w:rsidRPr="00E837F2" w14:paraId="408B42F6" w14:textId="77777777" w:rsidTr="001B330E">
        <w:trPr>
          <w:trHeight w:val="23"/>
        </w:trPr>
        <w:tc>
          <w:tcPr>
            <w:tcW w:w="1212" w:type="pct"/>
            <w:vAlign w:val="bottom"/>
          </w:tcPr>
          <w:p w14:paraId="1FD3537D" w14:textId="77777777" w:rsidR="00D83E33" w:rsidRPr="00E837F2" w:rsidRDefault="00BC4072" w:rsidP="001B330E">
            <w:pPr>
              <w:widowControl w:val="0"/>
              <w:ind w:left="113" w:hanging="113"/>
              <w:rPr>
                <w:color w:val="000000"/>
              </w:rPr>
            </w:pPr>
            <w:r w:rsidRPr="00E837F2">
              <w:rPr>
                <w:color w:val="000000"/>
              </w:rPr>
              <w:t xml:space="preserve">Loans collateralised by: </w:t>
            </w:r>
          </w:p>
        </w:tc>
        <w:tc>
          <w:tcPr>
            <w:tcW w:w="758" w:type="pct"/>
            <w:vAlign w:val="bottom"/>
          </w:tcPr>
          <w:p w14:paraId="0936A553" w14:textId="77777777" w:rsidR="00D83E33" w:rsidRPr="00E837F2" w:rsidRDefault="00D83E33" w:rsidP="001B330E">
            <w:pPr>
              <w:widowControl w:val="0"/>
              <w:jc w:val="right"/>
              <w:rPr>
                <w:color w:val="000000"/>
              </w:rPr>
            </w:pPr>
          </w:p>
        </w:tc>
        <w:tc>
          <w:tcPr>
            <w:tcW w:w="758" w:type="pct"/>
            <w:vAlign w:val="bottom"/>
          </w:tcPr>
          <w:p w14:paraId="10711C80" w14:textId="77777777" w:rsidR="00D83E33" w:rsidRPr="00E837F2" w:rsidRDefault="00D83E33" w:rsidP="001B330E">
            <w:pPr>
              <w:widowControl w:val="0"/>
              <w:jc w:val="right"/>
              <w:rPr>
                <w:color w:val="000000"/>
              </w:rPr>
            </w:pPr>
          </w:p>
        </w:tc>
        <w:tc>
          <w:tcPr>
            <w:tcW w:w="758" w:type="pct"/>
            <w:vAlign w:val="bottom"/>
          </w:tcPr>
          <w:p w14:paraId="5E5F0894" w14:textId="77777777" w:rsidR="00D83E33" w:rsidRPr="00E837F2" w:rsidRDefault="00D83E33" w:rsidP="001B330E">
            <w:pPr>
              <w:widowControl w:val="0"/>
              <w:jc w:val="right"/>
              <w:rPr>
                <w:color w:val="000000"/>
              </w:rPr>
            </w:pPr>
          </w:p>
        </w:tc>
        <w:tc>
          <w:tcPr>
            <w:tcW w:w="758" w:type="pct"/>
            <w:vAlign w:val="bottom"/>
          </w:tcPr>
          <w:p w14:paraId="7ED90ACD" w14:textId="77777777" w:rsidR="00D83E33" w:rsidRPr="00E837F2" w:rsidRDefault="00D83E33" w:rsidP="001B330E">
            <w:pPr>
              <w:widowControl w:val="0"/>
              <w:jc w:val="right"/>
              <w:rPr>
                <w:color w:val="000000"/>
              </w:rPr>
            </w:pPr>
          </w:p>
        </w:tc>
        <w:tc>
          <w:tcPr>
            <w:tcW w:w="756" w:type="pct"/>
            <w:vAlign w:val="bottom"/>
          </w:tcPr>
          <w:p w14:paraId="67805008" w14:textId="77777777" w:rsidR="00D83E33" w:rsidRPr="00E837F2" w:rsidRDefault="00D83E33" w:rsidP="001B330E">
            <w:pPr>
              <w:widowControl w:val="0"/>
              <w:jc w:val="right"/>
              <w:rPr>
                <w:color w:val="000000"/>
              </w:rPr>
            </w:pPr>
          </w:p>
        </w:tc>
      </w:tr>
      <w:tr w:rsidR="00D83E33" w:rsidRPr="00E837F2" w14:paraId="013962C0" w14:textId="77777777" w:rsidTr="001B330E">
        <w:trPr>
          <w:trHeight w:val="23"/>
        </w:trPr>
        <w:tc>
          <w:tcPr>
            <w:tcW w:w="1212" w:type="pct"/>
            <w:vAlign w:val="bottom"/>
          </w:tcPr>
          <w:p w14:paraId="39949B1A" w14:textId="77777777" w:rsidR="00D83E33" w:rsidRPr="00E837F2" w:rsidRDefault="00BC4072" w:rsidP="001B330E">
            <w:pPr>
              <w:widowControl w:val="0"/>
              <w:ind w:left="113" w:hanging="113"/>
              <w:rPr>
                <w:color w:val="000000"/>
              </w:rPr>
            </w:pPr>
            <w:r w:rsidRPr="00E837F2">
              <w:rPr>
                <w:color w:val="000000"/>
              </w:rPr>
              <w:t>- residential real estate</w:t>
            </w:r>
          </w:p>
        </w:tc>
        <w:tc>
          <w:tcPr>
            <w:tcW w:w="758" w:type="pct"/>
            <w:vAlign w:val="bottom"/>
          </w:tcPr>
          <w:p w14:paraId="150F1614" w14:textId="77777777" w:rsidR="00D83E33" w:rsidRPr="00E837F2" w:rsidRDefault="00D83E33" w:rsidP="001B330E">
            <w:pPr>
              <w:widowControl w:val="0"/>
              <w:jc w:val="right"/>
              <w:rPr>
                <w:color w:val="000000"/>
              </w:rPr>
            </w:pPr>
          </w:p>
        </w:tc>
        <w:tc>
          <w:tcPr>
            <w:tcW w:w="758" w:type="pct"/>
            <w:vAlign w:val="bottom"/>
          </w:tcPr>
          <w:p w14:paraId="7ECECABD" w14:textId="77777777" w:rsidR="00D83E33" w:rsidRPr="00E837F2" w:rsidRDefault="00D83E33" w:rsidP="001B330E">
            <w:pPr>
              <w:widowControl w:val="0"/>
              <w:jc w:val="right"/>
              <w:rPr>
                <w:color w:val="000000"/>
              </w:rPr>
            </w:pPr>
          </w:p>
        </w:tc>
        <w:tc>
          <w:tcPr>
            <w:tcW w:w="758" w:type="pct"/>
            <w:vAlign w:val="bottom"/>
          </w:tcPr>
          <w:p w14:paraId="5E44ADD1" w14:textId="77777777" w:rsidR="00D83E33" w:rsidRPr="00E837F2" w:rsidRDefault="00D83E33" w:rsidP="001B330E">
            <w:pPr>
              <w:widowControl w:val="0"/>
              <w:jc w:val="right"/>
              <w:rPr>
                <w:color w:val="000000"/>
              </w:rPr>
            </w:pPr>
          </w:p>
        </w:tc>
        <w:tc>
          <w:tcPr>
            <w:tcW w:w="758" w:type="pct"/>
            <w:vAlign w:val="bottom"/>
          </w:tcPr>
          <w:p w14:paraId="0BCD2031" w14:textId="77777777" w:rsidR="00D83E33" w:rsidRPr="00E837F2" w:rsidRDefault="00D83E33" w:rsidP="001B330E">
            <w:pPr>
              <w:widowControl w:val="0"/>
              <w:jc w:val="right"/>
              <w:rPr>
                <w:color w:val="000000"/>
              </w:rPr>
            </w:pPr>
          </w:p>
        </w:tc>
        <w:tc>
          <w:tcPr>
            <w:tcW w:w="756" w:type="pct"/>
            <w:vAlign w:val="bottom"/>
          </w:tcPr>
          <w:p w14:paraId="5758B58A" w14:textId="77777777" w:rsidR="00D83E33" w:rsidRPr="00E837F2" w:rsidRDefault="00D83E33" w:rsidP="001B330E">
            <w:pPr>
              <w:widowControl w:val="0"/>
              <w:jc w:val="right"/>
              <w:rPr>
                <w:color w:val="000000"/>
              </w:rPr>
            </w:pPr>
          </w:p>
        </w:tc>
      </w:tr>
      <w:tr w:rsidR="00D83E33" w:rsidRPr="00E837F2" w14:paraId="0C4CB678" w14:textId="77777777" w:rsidTr="001B330E">
        <w:trPr>
          <w:trHeight w:val="23"/>
        </w:trPr>
        <w:tc>
          <w:tcPr>
            <w:tcW w:w="1212" w:type="pct"/>
            <w:vAlign w:val="bottom"/>
          </w:tcPr>
          <w:p w14:paraId="118E1DA5" w14:textId="77777777" w:rsidR="00D83E33" w:rsidRPr="00E837F2" w:rsidRDefault="00BC4072" w:rsidP="001B330E">
            <w:pPr>
              <w:widowControl w:val="0"/>
              <w:ind w:left="113" w:hanging="113"/>
              <w:rPr>
                <w:color w:val="000000"/>
              </w:rPr>
            </w:pPr>
            <w:r w:rsidRPr="00E837F2">
              <w:rPr>
                <w:color w:val="000000"/>
              </w:rPr>
              <w:t>- other real estate</w:t>
            </w:r>
          </w:p>
        </w:tc>
        <w:tc>
          <w:tcPr>
            <w:tcW w:w="758" w:type="pct"/>
            <w:vAlign w:val="bottom"/>
          </w:tcPr>
          <w:p w14:paraId="1413F7C5" w14:textId="77777777" w:rsidR="00D83E33" w:rsidRPr="00E837F2" w:rsidRDefault="00D83E33" w:rsidP="001B330E">
            <w:pPr>
              <w:widowControl w:val="0"/>
              <w:jc w:val="right"/>
              <w:rPr>
                <w:color w:val="000000"/>
              </w:rPr>
            </w:pPr>
          </w:p>
        </w:tc>
        <w:tc>
          <w:tcPr>
            <w:tcW w:w="758" w:type="pct"/>
            <w:vAlign w:val="bottom"/>
          </w:tcPr>
          <w:p w14:paraId="5D1501B7" w14:textId="77777777" w:rsidR="00D83E33" w:rsidRPr="00E837F2" w:rsidRDefault="00D83E33" w:rsidP="001B330E">
            <w:pPr>
              <w:widowControl w:val="0"/>
              <w:jc w:val="right"/>
              <w:rPr>
                <w:color w:val="000000"/>
              </w:rPr>
            </w:pPr>
          </w:p>
        </w:tc>
        <w:tc>
          <w:tcPr>
            <w:tcW w:w="758" w:type="pct"/>
            <w:vAlign w:val="bottom"/>
          </w:tcPr>
          <w:p w14:paraId="09EFB412" w14:textId="77777777" w:rsidR="00D83E33" w:rsidRPr="00E837F2" w:rsidRDefault="00D83E33" w:rsidP="001B330E">
            <w:pPr>
              <w:widowControl w:val="0"/>
              <w:jc w:val="right"/>
              <w:rPr>
                <w:color w:val="000000"/>
              </w:rPr>
            </w:pPr>
          </w:p>
        </w:tc>
        <w:tc>
          <w:tcPr>
            <w:tcW w:w="758" w:type="pct"/>
            <w:vAlign w:val="bottom"/>
          </w:tcPr>
          <w:p w14:paraId="4BDBC598" w14:textId="77777777" w:rsidR="00D83E33" w:rsidRPr="00E837F2" w:rsidRDefault="00D83E33" w:rsidP="001B330E">
            <w:pPr>
              <w:widowControl w:val="0"/>
              <w:jc w:val="right"/>
              <w:rPr>
                <w:color w:val="000000"/>
              </w:rPr>
            </w:pPr>
          </w:p>
        </w:tc>
        <w:tc>
          <w:tcPr>
            <w:tcW w:w="756" w:type="pct"/>
            <w:vAlign w:val="bottom"/>
          </w:tcPr>
          <w:p w14:paraId="493834C1" w14:textId="77777777" w:rsidR="00D83E33" w:rsidRPr="00E837F2" w:rsidRDefault="00D83E33" w:rsidP="001B330E">
            <w:pPr>
              <w:widowControl w:val="0"/>
              <w:jc w:val="right"/>
              <w:rPr>
                <w:color w:val="000000"/>
              </w:rPr>
            </w:pPr>
          </w:p>
        </w:tc>
      </w:tr>
      <w:tr w:rsidR="00D83E33" w:rsidRPr="00E837F2" w14:paraId="09E91874" w14:textId="77777777" w:rsidTr="001B330E">
        <w:trPr>
          <w:trHeight w:val="23"/>
        </w:trPr>
        <w:tc>
          <w:tcPr>
            <w:tcW w:w="1212" w:type="pct"/>
            <w:vAlign w:val="bottom"/>
          </w:tcPr>
          <w:p w14:paraId="7600D1B6" w14:textId="77777777" w:rsidR="00D83E33" w:rsidRPr="00E837F2" w:rsidRDefault="00BC4072" w:rsidP="001B330E">
            <w:pPr>
              <w:widowControl w:val="0"/>
              <w:ind w:left="113" w:hanging="113"/>
              <w:rPr>
                <w:color w:val="000000"/>
              </w:rPr>
            </w:pPr>
            <w:r w:rsidRPr="00E837F2">
              <w:rPr>
                <w:color w:val="000000"/>
              </w:rPr>
              <w:t>- tradable securities</w:t>
            </w:r>
          </w:p>
        </w:tc>
        <w:tc>
          <w:tcPr>
            <w:tcW w:w="758" w:type="pct"/>
            <w:vAlign w:val="bottom"/>
          </w:tcPr>
          <w:p w14:paraId="187A3532" w14:textId="77777777" w:rsidR="00D83E33" w:rsidRPr="00E837F2" w:rsidRDefault="00D83E33" w:rsidP="001B330E">
            <w:pPr>
              <w:widowControl w:val="0"/>
              <w:jc w:val="right"/>
              <w:rPr>
                <w:color w:val="000000"/>
              </w:rPr>
            </w:pPr>
          </w:p>
        </w:tc>
        <w:tc>
          <w:tcPr>
            <w:tcW w:w="758" w:type="pct"/>
            <w:vAlign w:val="bottom"/>
          </w:tcPr>
          <w:p w14:paraId="23577F3B" w14:textId="77777777" w:rsidR="00D83E33" w:rsidRPr="00E837F2" w:rsidRDefault="00D83E33" w:rsidP="001B330E">
            <w:pPr>
              <w:widowControl w:val="0"/>
              <w:jc w:val="right"/>
              <w:rPr>
                <w:color w:val="000000"/>
              </w:rPr>
            </w:pPr>
          </w:p>
        </w:tc>
        <w:tc>
          <w:tcPr>
            <w:tcW w:w="758" w:type="pct"/>
            <w:vAlign w:val="bottom"/>
          </w:tcPr>
          <w:p w14:paraId="6EB8B985" w14:textId="77777777" w:rsidR="00D83E33" w:rsidRPr="00E837F2" w:rsidRDefault="00D83E33" w:rsidP="001B330E">
            <w:pPr>
              <w:widowControl w:val="0"/>
              <w:jc w:val="right"/>
              <w:rPr>
                <w:color w:val="000000"/>
              </w:rPr>
            </w:pPr>
          </w:p>
        </w:tc>
        <w:tc>
          <w:tcPr>
            <w:tcW w:w="758" w:type="pct"/>
            <w:vAlign w:val="bottom"/>
          </w:tcPr>
          <w:p w14:paraId="3FB22145" w14:textId="77777777" w:rsidR="00D83E33" w:rsidRPr="00E837F2" w:rsidRDefault="00D83E33" w:rsidP="001B330E">
            <w:pPr>
              <w:widowControl w:val="0"/>
              <w:jc w:val="right"/>
              <w:rPr>
                <w:color w:val="000000"/>
              </w:rPr>
            </w:pPr>
          </w:p>
        </w:tc>
        <w:tc>
          <w:tcPr>
            <w:tcW w:w="756" w:type="pct"/>
            <w:vAlign w:val="bottom"/>
          </w:tcPr>
          <w:p w14:paraId="2FB33AF2" w14:textId="77777777" w:rsidR="00D83E33" w:rsidRPr="00E837F2" w:rsidRDefault="00D83E33" w:rsidP="001B330E">
            <w:pPr>
              <w:widowControl w:val="0"/>
              <w:jc w:val="right"/>
              <w:rPr>
                <w:color w:val="000000"/>
              </w:rPr>
            </w:pPr>
          </w:p>
        </w:tc>
      </w:tr>
      <w:tr w:rsidR="00D83E33" w:rsidRPr="00E837F2" w14:paraId="39457406" w14:textId="77777777" w:rsidTr="001B330E">
        <w:trPr>
          <w:trHeight w:val="23"/>
        </w:trPr>
        <w:tc>
          <w:tcPr>
            <w:tcW w:w="1212" w:type="pct"/>
            <w:vAlign w:val="bottom"/>
          </w:tcPr>
          <w:p w14:paraId="4E5BD901" w14:textId="77777777" w:rsidR="00D83E33" w:rsidRPr="00E837F2" w:rsidRDefault="00BC4072" w:rsidP="001B330E">
            <w:pPr>
              <w:widowControl w:val="0"/>
              <w:ind w:left="113" w:hanging="113"/>
              <w:rPr>
                <w:color w:val="000000"/>
              </w:rPr>
            </w:pPr>
            <w:r w:rsidRPr="00E837F2">
              <w:rPr>
                <w:color w:val="000000"/>
              </w:rPr>
              <w:t>- cash deposits</w:t>
            </w:r>
          </w:p>
        </w:tc>
        <w:tc>
          <w:tcPr>
            <w:tcW w:w="758" w:type="pct"/>
            <w:vAlign w:val="bottom"/>
          </w:tcPr>
          <w:p w14:paraId="34A0E46A" w14:textId="77777777" w:rsidR="00D83E33" w:rsidRPr="00E837F2" w:rsidRDefault="00D83E33" w:rsidP="001B330E">
            <w:pPr>
              <w:widowControl w:val="0"/>
              <w:jc w:val="right"/>
              <w:rPr>
                <w:color w:val="000000"/>
              </w:rPr>
            </w:pPr>
          </w:p>
        </w:tc>
        <w:tc>
          <w:tcPr>
            <w:tcW w:w="758" w:type="pct"/>
            <w:vAlign w:val="bottom"/>
          </w:tcPr>
          <w:p w14:paraId="1B678350" w14:textId="77777777" w:rsidR="00D83E33" w:rsidRPr="00E837F2" w:rsidRDefault="00D83E33" w:rsidP="001B330E">
            <w:pPr>
              <w:widowControl w:val="0"/>
              <w:jc w:val="right"/>
              <w:rPr>
                <w:color w:val="000000"/>
              </w:rPr>
            </w:pPr>
          </w:p>
        </w:tc>
        <w:tc>
          <w:tcPr>
            <w:tcW w:w="758" w:type="pct"/>
            <w:vAlign w:val="bottom"/>
          </w:tcPr>
          <w:p w14:paraId="6D254E81" w14:textId="77777777" w:rsidR="00D83E33" w:rsidRPr="00E837F2" w:rsidRDefault="00D83E33" w:rsidP="001B330E">
            <w:pPr>
              <w:widowControl w:val="0"/>
              <w:jc w:val="right"/>
              <w:rPr>
                <w:color w:val="000000"/>
              </w:rPr>
            </w:pPr>
          </w:p>
        </w:tc>
        <w:tc>
          <w:tcPr>
            <w:tcW w:w="758" w:type="pct"/>
            <w:vAlign w:val="bottom"/>
          </w:tcPr>
          <w:p w14:paraId="4B419EC7" w14:textId="77777777" w:rsidR="00D83E33" w:rsidRPr="00E837F2" w:rsidRDefault="00D83E33" w:rsidP="001B330E">
            <w:pPr>
              <w:widowControl w:val="0"/>
              <w:jc w:val="right"/>
              <w:rPr>
                <w:color w:val="000000"/>
              </w:rPr>
            </w:pPr>
          </w:p>
        </w:tc>
        <w:tc>
          <w:tcPr>
            <w:tcW w:w="756" w:type="pct"/>
            <w:vAlign w:val="bottom"/>
          </w:tcPr>
          <w:p w14:paraId="2F751222" w14:textId="77777777" w:rsidR="00D83E33" w:rsidRPr="00E837F2" w:rsidRDefault="00D83E33" w:rsidP="001B330E">
            <w:pPr>
              <w:widowControl w:val="0"/>
              <w:jc w:val="right"/>
              <w:rPr>
                <w:color w:val="000000"/>
              </w:rPr>
            </w:pPr>
          </w:p>
        </w:tc>
      </w:tr>
      <w:tr w:rsidR="00D83E33" w:rsidRPr="00E837F2" w14:paraId="5656AFBD" w14:textId="77777777" w:rsidTr="001B330E">
        <w:trPr>
          <w:trHeight w:val="23"/>
        </w:trPr>
        <w:tc>
          <w:tcPr>
            <w:tcW w:w="1212" w:type="pct"/>
            <w:vAlign w:val="bottom"/>
          </w:tcPr>
          <w:p w14:paraId="3880E392" w14:textId="77777777" w:rsidR="00D83E33" w:rsidRPr="00E837F2" w:rsidRDefault="00BC4072" w:rsidP="001B330E">
            <w:pPr>
              <w:widowControl w:val="0"/>
              <w:ind w:left="113" w:hanging="113"/>
              <w:rPr>
                <w:color w:val="000000"/>
              </w:rPr>
            </w:pPr>
            <w:r w:rsidRPr="00E837F2">
              <w:rPr>
                <w:color w:val="000000"/>
              </w:rPr>
              <w:t>- other assets</w:t>
            </w:r>
          </w:p>
        </w:tc>
        <w:tc>
          <w:tcPr>
            <w:tcW w:w="758" w:type="pct"/>
            <w:vAlign w:val="bottom"/>
          </w:tcPr>
          <w:p w14:paraId="43A72644" w14:textId="77777777" w:rsidR="00D83E33" w:rsidRPr="00E837F2" w:rsidRDefault="00D83E33" w:rsidP="001B330E">
            <w:pPr>
              <w:widowControl w:val="0"/>
              <w:jc w:val="right"/>
              <w:rPr>
                <w:color w:val="000000"/>
              </w:rPr>
            </w:pPr>
          </w:p>
        </w:tc>
        <w:tc>
          <w:tcPr>
            <w:tcW w:w="758" w:type="pct"/>
            <w:vAlign w:val="bottom"/>
          </w:tcPr>
          <w:p w14:paraId="7E73CA74" w14:textId="77777777" w:rsidR="00D83E33" w:rsidRPr="00E837F2" w:rsidRDefault="00D83E33" w:rsidP="001B330E">
            <w:pPr>
              <w:widowControl w:val="0"/>
              <w:jc w:val="right"/>
              <w:rPr>
                <w:color w:val="000000"/>
              </w:rPr>
            </w:pPr>
          </w:p>
        </w:tc>
        <w:tc>
          <w:tcPr>
            <w:tcW w:w="758" w:type="pct"/>
            <w:vAlign w:val="bottom"/>
          </w:tcPr>
          <w:p w14:paraId="3B2AB67B" w14:textId="77777777" w:rsidR="00D83E33" w:rsidRPr="00E837F2" w:rsidRDefault="00D83E33" w:rsidP="001B330E">
            <w:pPr>
              <w:widowControl w:val="0"/>
              <w:jc w:val="right"/>
              <w:rPr>
                <w:color w:val="000000"/>
              </w:rPr>
            </w:pPr>
          </w:p>
        </w:tc>
        <w:tc>
          <w:tcPr>
            <w:tcW w:w="758" w:type="pct"/>
            <w:vAlign w:val="bottom"/>
          </w:tcPr>
          <w:p w14:paraId="70A76DB7" w14:textId="77777777" w:rsidR="00D83E33" w:rsidRPr="00E837F2" w:rsidRDefault="00D83E33" w:rsidP="001B330E">
            <w:pPr>
              <w:widowControl w:val="0"/>
              <w:jc w:val="right"/>
              <w:rPr>
                <w:color w:val="000000"/>
              </w:rPr>
            </w:pPr>
          </w:p>
        </w:tc>
        <w:tc>
          <w:tcPr>
            <w:tcW w:w="756" w:type="pct"/>
            <w:vAlign w:val="bottom"/>
          </w:tcPr>
          <w:p w14:paraId="6228E7EF" w14:textId="77777777" w:rsidR="00D83E33" w:rsidRPr="00E837F2" w:rsidRDefault="00D83E33" w:rsidP="001B330E">
            <w:pPr>
              <w:widowControl w:val="0"/>
              <w:jc w:val="right"/>
              <w:rPr>
                <w:color w:val="000000"/>
              </w:rPr>
            </w:pPr>
          </w:p>
        </w:tc>
      </w:tr>
      <w:tr w:rsidR="00D83E33" w:rsidRPr="00E837F2" w14:paraId="2DD2455B" w14:textId="77777777" w:rsidTr="001B330E">
        <w:trPr>
          <w:trHeight w:val="23"/>
        </w:trPr>
        <w:tc>
          <w:tcPr>
            <w:tcW w:w="1212" w:type="pct"/>
            <w:tcBorders>
              <w:bottom w:val="single" w:sz="6" w:space="0" w:color="000000"/>
            </w:tcBorders>
            <w:vAlign w:val="bottom"/>
          </w:tcPr>
          <w:p w14:paraId="56A0BF6C" w14:textId="77777777" w:rsidR="00D83E33" w:rsidRPr="001B330E" w:rsidRDefault="00D83E33" w:rsidP="001B330E">
            <w:pPr>
              <w:widowControl w:val="0"/>
              <w:ind w:left="113" w:hanging="113"/>
              <w:rPr>
                <w:color w:val="000000"/>
                <w:szCs w:val="10"/>
              </w:rPr>
            </w:pPr>
          </w:p>
        </w:tc>
        <w:tc>
          <w:tcPr>
            <w:tcW w:w="758" w:type="pct"/>
            <w:tcBorders>
              <w:bottom w:val="single" w:sz="6" w:space="0" w:color="000000"/>
            </w:tcBorders>
            <w:vAlign w:val="bottom"/>
          </w:tcPr>
          <w:p w14:paraId="6FDC834C" w14:textId="77777777" w:rsidR="00D83E33" w:rsidRPr="001B330E" w:rsidRDefault="00D83E33" w:rsidP="001B330E">
            <w:pPr>
              <w:widowControl w:val="0"/>
              <w:jc w:val="right"/>
              <w:rPr>
                <w:color w:val="000000"/>
                <w:szCs w:val="10"/>
              </w:rPr>
            </w:pPr>
          </w:p>
        </w:tc>
        <w:tc>
          <w:tcPr>
            <w:tcW w:w="758" w:type="pct"/>
            <w:tcBorders>
              <w:bottom w:val="single" w:sz="6" w:space="0" w:color="000000"/>
            </w:tcBorders>
            <w:vAlign w:val="bottom"/>
          </w:tcPr>
          <w:p w14:paraId="79A5FE7B" w14:textId="77777777" w:rsidR="00D83E33" w:rsidRPr="001B330E" w:rsidRDefault="00D83E33" w:rsidP="001B330E">
            <w:pPr>
              <w:widowControl w:val="0"/>
              <w:jc w:val="right"/>
              <w:rPr>
                <w:color w:val="000000"/>
                <w:szCs w:val="10"/>
              </w:rPr>
            </w:pPr>
          </w:p>
        </w:tc>
        <w:tc>
          <w:tcPr>
            <w:tcW w:w="758" w:type="pct"/>
            <w:tcBorders>
              <w:bottom w:val="single" w:sz="6" w:space="0" w:color="000000"/>
            </w:tcBorders>
            <w:vAlign w:val="bottom"/>
          </w:tcPr>
          <w:p w14:paraId="7020A8E5" w14:textId="77777777" w:rsidR="00D83E33" w:rsidRPr="001B330E" w:rsidRDefault="00D83E33" w:rsidP="001B330E">
            <w:pPr>
              <w:widowControl w:val="0"/>
              <w:jc w:val="right"/>
              <w:rPr>
                <w:color w:val="000000"/>
                <w:szCs w:val="10"/>
              </w:rPr>
            </w:pPr>
          </w:p>
        </w:tc>
        <w:tc>
          <w:tcPr>
            <w:tcW w:w="758" w:type="pct"/>
            <w:tcBorders>
              <w:bottom w:val="single" w:sz="6" w:space="0" w:color="000000"/>
            </w:tcBorders>
            <w:vAlign w:val="bottom"/>
          </w:tcPr>
          <w:p w14:paraId="2FFC4EE8" w14:textId="77777777" w:rsidR="00D83E33" w:rsidRPr="001B330E" w:rsidRDefault="00D83E33" w:rsidP="001B330E">
            <w:pPr>
              <w:widowControl w:val="0"/>
              <w:jc w:val="right"/>
              <w:rPr>
                <w:color w:val="000000"/>
                <w:szCs w:val="10"/>
              </w:rPr>
            </w:pPr>
          </w:p>
        </w:tc>
        <w:tc>
          <w:tcPr>
            <w:tcW w:w="756" w:type="pct"/>
            <w:tcBorders>
              <w:bottom w:val="single" w:sz="6" w:space="0" w:color="000000"/>
            </w:tcBorders>
            <w:vAlign w:val="bottom"/>
          </w:tcPr>
          <w:p w14:paraId="7D6BDB8A" w14:textId="77777777" w:rsidR="00D83E33" w:rsidRPr="001B330E" w:rsidRDefault="00D83E33" w:rsidP="001B330E">
            <w:pPr>
              <w:widowControl w:val="0"/>
              <w:jc w:val="right"/>
              <w:rPr>
                <w:color w:val="000000"/>
                <w:szCs w:val="10"/>
              </w:rPr>
            </w:pPr>
          </w:p>
        </w:tc>
      </w:tr>
      <w:tr w:rsidR="00D83E33" w:rsidRPr="00E837F2" w14:paraId="51153547" w14:textId="77777777" w:rsidTr="001B330E">
        <w:trPr>
          <w:trHeight w:val="23"/>
        </w:trPr>
        <w:tc>
          <w:tcPr>
            <w:tcW w:w="1212" w:type="pct"/>
            <w:tcBorders>
              <w:top w:val="single" w:sz="6" w:space="0" w:color="000000"/>
            </w:tcBorders>
            <w:vAlign w:val="bottom"/>
          </w:tcPr>
          <w:p w14:paraId="76BB7039" w14:textId="77777777" w:rsidR="00D83E33" w:rsidRPr="001B330E" w:rsidRDefault="00D83E33" w:rsidP="001B330E">
            <w:pPr>
              <w:widowControl w:val="0"/>
              <w:ind w:left="113" w:hanging="113"/>
              <w:rPr>
                <w:color w:val="000000"/>
                <w:szCs w:val="10"/>
              </w:rPr>
            </w:pPr>
          </w:p>
        </w:tc>
        <w:tc>
          <w:tcPr>
            <w:tcW w:w="758" w:type="pct"/>
            <w:tcBorders>
              <w:top w:val="single" w:sz="6" w:space="0" w:color="000000"/>
            </w:tcBorders>
            <w:vAlign w:val="bottom"/>
          </w:tcPr>
          <w:p w14:paraId="0FCD3571" w14:textId="77777777" w:rsidR="00D83E33" w:rsidRPr="001B330E" w:rsidRDefault="00D83E33" w:rsidP="001B330E">
            <w:pPr>
              <w:widowControl w:val="0"/>
              <w:jc w:val="right"/>
              <w:rPr>
                <w:color w:val="000000"/>
                <w:szCs w:val="10"/>
              </w:rPr>
            </w:pPr>
          </w:p>
        </w:tc>
        <w:tc>
          <w:tcPr>
            <w:tcW w:w="758" w:type="pct"/>
            <w:tcBorders>
              <w:top w:val="single" w:sz="6" w:space="0" w:color="000000"/>
            </w:tcBorders>
            <w:vAlign w:val="bottom"/>
          </w:tcPr>
          <w:p w14:paraId="4E87F7E8" w14:textId="77777777" w:rsidR="00D83E33" w:rsidRPr="001B330E" w:rsidRDefault="00D83E33" w:rsidP="001B330E">
            <w:pPr>
              <w:widowControl w:val="0"/>
              <w:jc w:val="right"/>
              <w:rPr>
                <w:color w:val="000000"/>
                <w:szCs w:val="10"/>
              </w:rPr>
            </w:pPr>
          </w:p>
        </w:tc>
        <w:tc>
          <w:tcPr>
            <w:tcW w:w="758" w:type="pct"/>
            <w:tcBorders>
              <w:top w:val="single" w:sz="6" w:space="0" w:color="000000"/>
            </w:tcBorders>
            <w:vAlign w:val="bottom"/>
          </w:tcPr>
          <w:p w14:paraId="513E608A" w14:textId="77777777" w:rsidR="00D83E33" w:rsidRPr="001B330E" w:rsidRDefault="00D83E33" w:rsidP="001B330E">
            <w:pPr>
              <w:widowControl w:val="0"/>
              <w:jc w:val="right"/>
              <w:rPr>
                <w:color w:val="000000"/>
                <w:szCs w:val="10"/>
              </w:rPr>
            </w:pPr>
          </w:p>
        </w:tc>
        <w:tc>
          <w:tcPr>
            <w:tcW w:w="758" w:type="pct"/>
            <w:tcBorders>
              <w:top w:val="single" w:sz="6" w:space="0" w:color="000000"/>
            </w:tcBorders>
            <w:vAlign w:val="bottom"/>
          </w:tcPr>
          <w:p w14:paraId="610A5F21" w14:textId="77777777" w:rsidR="00D83E33" w:rsidRPr="001B330E" w:rsidRDefault="00D83E33" w:rsidP="001B330E">
            <w:pPr>
              <w:widowControl w:val="0"/>
              <w:jc w:val="right"/>
              <w:rPr>
                <w:color w:val="000000"/>
                <w:szCs w:val="10"/>
              </w:rPr>
            </w:pPr>
          </w:p>
        </w:tc>
        <w:tc>
          <w:tcPr>
            <w:tcW w:w="756" w:type="pct"/>
            <w:tcBorders>
              <w:top w:val="single" w:sz="6" w:space="0" w:color="000000"/>
            </w:tcBorders>
            <w:vAlign w:val="bottom"/>
          </w:tcPr>
          <w:p w14:paraId="65F05C63" w14:textId="77777777" w:rsidR="00D83E33" w:rsidRPr="001B330E" w:rsidRDefault="00D83E33" w:rsidP="001B330E">
            <w:pPr>
              <w:widowControl w:val="0"/>
              <w:jc w:val="right"/>
              <w:rPr>
                <w:color w:val="000000"/>
                <w:szCs w:val="10"/>
              </w:rPr>
            </w:pPr>
          </w:p>
        </w:tc>
      </w:tr>
      <w:tr w:rsidR="00D83E33" w:rsidRPr="00E837F2" w14:paraId="1A11B129" w14:textId="77777777" w:rsidTr="001B330E">
        <w:trPr>
          <w:trHeight w:val="23"/>
        </w:trPr>
        <w:tc>
          <w:tcPr>
            <w:tcW w:w="1212" w:type="pct"/>
            <w:vAlign w:val="bottom"/>
          </w:tcPr>
          <w:p w14:paraId="35A9D38A" w14:textId="77777777" w:rsidR="00D83E33" w:rsidRPr="00E837F2" w:rsidRDefault="00BC4072" w:rsidP="001B330E">
            <w:pPr>
              <w:widowControl w:val="0"/>
              <w:ind w:left="113" w:hanging="113"/>
              <w:rPr>
                <w:color w:val="000000"/>
              </w:rPr>
            </w:pPr>
            <w:r w:rsidRPr="00E837F2">
              <w:rPr>
                <w:color w:val="000000"/>
              </w:rPr>
              <w:t xml:space="preserve">Total </w:t>
            </w:r>
          </w:p>
        </w:tc>
        <w:tc>
          <w:tcPr>
            <w:tcW w:w="758" w:type="pct"/>
            <w:vAlign w:val="bottom"/>
          </w:tcPr>
          <w:p w14:paraId="4F251A71" w14:textId="77777777" w:rsidR="00D83E33" w:rsidRPr="00E837F2" w:rsidRDefault="00D83E33" w:rsidP="001B330E">
            <w:pPr>
              <w:widowControl w:val="0"/>
              <w:jc w:val="right"/>
              <w:rPr>
                <w:color w:val="000000"/>
              </w:rPr>
            </w:pPr>
          </w:p>
        </w:tc>
        <w:tc>
          <w:tcPr>
            <w:tcW w:w="758" w:type="pct"/>
            <w:vAlign w:val="bottom"/>
          </w:tcPr>
          <w:p w14:paraId="5D743B90" w14:textId="77777777" w:rsidR="00D83E33" w:rsidRPr="00E837F2" w:rsidRDefault="00D83E33" w:rsidP="001B330E">
            <w:pPr>
              <w:widowControl w:val="0"/>
              <w:jc w:val="right"/>
              <w:rPr>
                <w:color w:val="000000"/>
              </w:rPr>
            </w:pPr>
          </w:p>
        </w:tc>
        <w:tc>
          <w:tcPr>
            <w:tcW w:w="758" w:type="pct"/>
            <w:vAlign w:val="bottom"/>
          </w:tcPr>
          <w:p w14:paraId="4F1DED56" w14:textId="77777777" w:rsidR="00D83E33" w:rsidRPr="00E837F2" w:rsidRDefault="00D83E33" w:rsidP="001B330E">
            <w:pPr>
              <w:widowControl w:val="0"/>
              <w:jc w:val="right"/>
              <w:rPr>
                <w:color w:val="000000"/>
              </w:rPr>
            </w:pPr>
          </w:p>
        </w:tc>
        <w:tc>
          <w:tcPr>
            <w:tcW w:w="758" w:type="pct"/>
            <w:vAlign w:val="bottom"/>
          </w:tcPr>
          <w:p w14:paraId="4A26D6E8" w14:textId="77777777" w:rsidR="00D83E33" w:rsidRPr="00E837F2" w:rsidRDefault="00D83E33" w:rsidP="001B330E">
            <w:pPr>
              <w:widowControl w:val="0"/>
              <w:jc w:val="right"/>
              <w:rPr>
                <w:color w:val="000000"/>
              </w:rPr>
            </w:pPr>
          </w:p>
        </w:tc>
        <w:tc>
          <w:tcPr>
            <w:tcW w:w="756" w:type="pct"/>
            <w:vAlign w:val="bottom"/>
          </w:tcPr>
          <w:p w14:paraId="4F0F53E1" w14:textId="77777777" w:rsidR="00D83E33" w:rsidRPr="00E837F2" w:rsidRDefault="00D83E33" w:rsidP="001B330E">
            <w:pPr>
              <w:widowControl w:val="0"/>
              <w:jc w:val="right"/>
              <w:rPr>
                <w:color w:val="000000"/>
              </w:rPr>
            </w:pPr>
          </w:p>
        </w:tc>
      </w:tr>
      <w:tr w:rsidR="00D83E33" w:rsidRPr="00E837F2" w14:paraId="6C4A1E28" w14:textId="77777777" w:rsidTr="001B330E">
        <w:trPr>
          <w:trHeight w:val="23"/>
        </w:trPr>
        <w:tc>
          <w:tcPr>
            <w:tcW w:w="1212" w:type="pct"/>
            <w:tcBorders>
              <w:bottom w:val="single" w:sz="6" w:space="0" w:color="000000"/>
            </w:tcBorders>
            <w:vAlign w:val="bottom"/>
          </w:tcPr>
          <w:p w14:paraId="33C6443E" w14:textId="77777777" w:rsidR="00D83E33" w:rsidRPr="001B330E" w:rsidRDefault="00D83E33" w:rsidP="001B330E">
            <w:pPr>
              <w:widowControl w:val="0"/>
              <w:ind w:left="113" w:hanging="113"/>
              <w:rPr>
                <w:color w:val="000000"/>
                <w:szCs w:val="10"/>
              </w:rPr>
            </w:pPr>
          </w:p>
        </w:tc>
        <w:tc>
          <w:tcPr>
            <w:tcW w:w="758" w:type="pct"/>
            <w:tcBorders>
              <w:bottom w:val="single" w:sz="6" w:space="0" w:color="000000"/>
            </w:tcBorders>
            <w:vAlign w:val="bottom"/>
          </w:tcPr>
          <w:p w14:paraId="5834C9E6" w14:textId="77777777" w:rsidR="00D83E33" w:rsidRPr="001B330E" w:rsidRDefault="00D83E33" w:rsidP="001B330E">
            <w:pPr>
              <w:widowControl w:val="0"/>
              <w:jc w:val="right"/>
              <w:rPr>
                <w:color w:val="000000"/>
                <w:szCs w:val="10"/>
              </w:rPr>
            </w:pPr>
          </w:p>
        </w:tc>
        <w:tc>
          <w:tcPr>
            <w:tcW w:w="758" w:type="pct"/>
            <w:tcBorders>
              <w:bottom w:val="single" w:sz="6" w:space="0" w:color="000000"/>
            </w:tcBorders>
            <w:vAlign w:val="bottom"/>
          </w:tcPr>
          <w:p w14:paraId="7C32726A" w14:textId="77777777" w:rsidR="00D83E33" w:rsidRPr="001B330E" w:rsidRDefault="00D83E33" w:rsidP="001B330E">
            <w:pPr>
              <w:widowControl w:val="0"/>
              <w:jc w:val="right"/>
              <w:rPr>
                <w:color w:val="000000"/>
                <w:szCs w:val="10"/>
              </w:rPr>
            </w:pPr>
          </w:p>
        </w:tc>
        <w:tc>
          <w:tcPr>
            <w:tcW w:w="758" w:type="pct"/>
            <w:tcBorders>
              <w:bottom w:val="single" w:sz="6" w:space="0" w:color="000000"/>
            </w:tcBorders>
            <w:vAlign w:val="bottom"/>
          </w:tcPr>
          <w:p w14:paraId="365C41FF" w14:textId="77777777" w:rsidR="00D83E33" w:rsidRPr="001B330E" w:rsidRDefault="00D83E33" w:rsidP="001B330E">
            <w:pPr>
              <w:widowControl w:val="0"/>
              <w:jc w:val="right"/>
              <w:rPr>
                <w:color w:val="000000"/>
                <w:szCs w:val="10"/>
              </w:rPr>
            </w:pPr>
          </w:p>
        </w:tc>
        <w:tc>
          <w:tcPr>
            <w:tcW w:w="758" w:type="pct"/>
            <w:tcBorders>
              <w:bottom w:val="single" w:sz="6" w:space="0" w:color="000000"/>
            </w:tcBorders>
            <w:vAlign w:val="bottom"/>
          </w:tcPr>
          <w:p w14:paraId="0C5CA649" w14:textId="77777777" w:rsidR="00D83E33" w:rsidRPr="001B330E" w:rsidRDefault="00D83E33" w:rsidP="001B330E">
            <w:pPr>
              <w:widowControl w:val="0"/>
              <w:jc w:val="right"/>
              <w:rPr>
                <w:color w:val="000000"/>
                <w:szCs w:val="10"/>
              </w:rPr>
            </w:pPr>
          </w:p>
        </w:tc>
        <w:tc>
          <w:tcPr>
            <w:tcW w:w="756" w:type="pct"/>
            <w:tcBorders>
              <w:bottom w:val="single" w:sz="6" w:space="0" w:color="000000"/>
            </w:tcBorders>
            <w:vAlign w:val="bottom"/>
          </w:tcPr>
          <w:p w14:paraId="5963FF68" w14:textId="77777777" w:rsidR="00D83E33" w:rsidRPr="001B330E" w:rsidRDefault="00D83E33" w:rsidP="001B330E">
            <w:pPr>
              <w:widowControl w:val="0"/>
              <w:jc w:val="right"/>
              <w:rPr>
                <w:color w:val="000000"/>
                <w:szCs w:val="10"/>
              </w:rPr>
            </w:pPr>
          </w:p>
        </w:tc>
      </w:tr>
      <w:tr w:rsidR="00D83E33" w:rsidRPr="00E837F2" w14:paraId="0C51A2FB" w14:textId="77777777" w:rsidTr="001B330E">
        <w:trPr>
          <w:trHeight w:val="23"/>
        </w:trPr>
        <w:tc>
          <w:tcPr>
            <w:tcW w:w="1212" w:type="pct"/>
            <w:tcBorders>
              <w:top w:val="single" w:sz="6" w:space="0" w:color="000000"/>
            </w:tcBorders>
            <w:vAlign w:val="bottom"/>
          </w:tcPr>
          <w:p w14:paraId="7273DB84" w14:textId="77777777" w:rsidR="00D83E33" w:rsidRPr="001B330E" w:rsidRDefault="00D83E33" w:rsidP="001B330E">
            <w:pPr>
              <w:widowControl w:val="0"/>
              <w:ind w:left="113" w:hanging="113"/>
              <w:rPr>
                <w:color w:val="000000"/>
                <w:szCs w:val="10"/>
              </w:rPr>
            </w:pPr>
          </w:p>
        </w:tc>
        <w:tc>
          <w:tcPr>
            <w:tcW w:w="758" w:type="pct"/>
            <w:tcBorders>
              <w:top w:val="single" w:sz="6" w:space="0" w:color="000000"/>
            </w:tcBorders>
            <w:vAlign w:val="bottom"/>
          </w:tcPr>
          <w:p w14:paraId="61B941E0" w14:textId="77777777" w:rsidR="00D83E33" w:rsidRPr="001B330E" w:rsidRDefault="00D83E33" w:rsidP="001B330E">
            <w:pPr>
              <w:widowControl w:val="0"/>
              <w:jc w:val="right"/>
              <w:rPr>
                <w:color w:val="000000"/>
                <w:szCs w:val="10"/>
              </w:rPr>
            </w:pPr>
          </w:p>
        </w:tc>
        <w:tc>
          <w:tcPr>
            <w:tcW w:w="758" w:type="pct"/>
            <w:tcBorders>
              <w:top w:val="single" w:sz="6" w:space="0" w:color="000000"/>
            </w:tcBorders>
            <w:vAlign w:val="bottom"/>
          </w:tcPr>
          <w:p w14:paraId="1B211002" w14:textId="77777777" w:rsidR="00D83E33" w:rsidRPr="001B330E" w:rsidRDefault="00D83E33" w:rsidP="001B330E">
            <w:pPr>
              <w:widowControl w:val="0"/>
              <w:jc w:val="right"/>
              <w:rPr>
                <w:color w:val="000000"/>
                <w:szCs w:val="10"/>
              </w:rPr>
            </w:pPr>
          </w:p>
        </w:tc>
        <w:tc>
          <w:tcPr>
            <w:tcW w:w="758" w:type="pct"/>
            <w:tcBorders>
              <w:top w:val="single" w:sz="6" w:space="0" w:color="000000"/>
            </w:tcBorders>
            <w:vAlign w:val="bottom"/>
          </w:tcPr>
          <w:p w14:paraId="5E6FEA33" w14:textId="77777777" w:rsidR="00D83E33" w:rsidRPr="001B330E" w:rsidRDefault="00D83E33" w:rsidP="001B330E">
            <w:pPr>
              <w:widowControl w:val="0"/>
              <w:jc w:val="right"/>
              <w:rPr>
                <w:color w:val="000000"/>
                <w:szCs w:val="10"/>
              </w:rPr>
            </w:pPr>
          </w:p>
        </w:tc>
        <w:tc>
          <w:tcPr>
            <w:tcW w:w="758" w:type="pct"/>
            <w:tcBorders>
              <w:top w:val="single" w:sz="6" w:space="0" w:color="000000"/>
            </w:tcBorders>
            <w:vAlign w:val="bottom"/>
          </w:tcPr>
          <w:p w14:paraId="06789FB1" w14:textId="77777777" w:rsidR="00D83E33" w:rsidRPr="001B330E" w:rsidRDefault="00D83E33" w:rsidP="001B330E">
            <w:pPr>
              <w:widowControl w:val="0"/>
              <w:jc w:val="right"/>
              <w:rPr>
                <w:color w:val="000000"/>
                <w:szCs w:val="10"/>
              </w:rPr>
            </w:pPr>
          </w:p>
        </w:tc>
        <w:tc>
          <w:tcPr>
            <w:tcW w:w="756" w:type="pct"/>
            <w:tcBorders>
              <w:top w:val="single" w:sz="6" w:space="0" w:color="000000"/>
            </w:tcBorders>
            <w:vAlign w:val="bottom"/>
          </w:tcPr>
          <w:p w14:paraId="5C92F1C3" w14:textId="77777777" w:rsidR="00D83E33" w:rsidRPr="001B330E" w:rsidRDefault="00D83E33" w:rsidP="001B330E">
            <w:pPr>
              <w:widowControl w:val="0"/>
              <w:jc w:val="right"/>
              <w:rPr>
                <w:color w:val="000000"/>
                <w:szCs w:val="10"/>
              </w:rPr>
            </w:pPr>
          </w:p>
        </w:tc>
      </w:tr>
      <w:tr w:rsidR="00D83E33" w:rsidRPr="00E837F2" w14:paraId="289AB14C" w14:textId="77777777" w:rsidTr="001B330E">
        <w:trPr>
          <w:trHeight w:val="23"/>
        </w:trPr>
        <w:tc>
          <w:tcPr>
            <w:tcW w:w="1212" w:type="pct"/>
            <w:vAlign w:val="bottom"/>
          </w:tcPr>
          <w:p w14:paraId="32E62232" w14:textId="77777777" w:rsidR="00D83E33" w:rsidRPr="00E837F2" w:rsidRDefault="00BC4072" w:rsidP="001B330E">
            <w:pPr>
              <w:widowControl w:val="0"/>
              <w:ind w:left="113" w:hanging="113"/>
              <w:rPr>
                <w:color w:val="000000"/>
              </w:rPr>
            </w:pPr>
            <w:r w:rsidRPr="00E837F2">
              <w:rPr>
                <w:color w:val="000000"/>
              </w:rPr>
              <w:t>Unsecured exposures</w:t>
            </w:r>
          </w:p>
        </w:tc>
        <w:tc>
          <w:tcPr>
            <w:tcW w:w="758" w:type="pct"/>
            <w:vAlign w:val="bottom"/>
          </w:tcPr>
          <w:p w14:paraId="41BA95AE" w14:textId="77777777" w:rsidR="00D83E33" w:rsidRPr="00E837F2" w:rsidRDefault="00D83E33" w:rsidP="001B330E">
            <w:pPr>
              <w:widowControl w:val="0"/>
              <w:jc w:val="right"/>
              <w:rPr>
                <w:color w:val="000000"/>
              </w:rPr>
            </w:pPr>
          </w:p>
        </w:tc>
        <w:tc>
          <w:tcPr>
            <w:tcW w:w="758" w:type="pct"/>
            <w:vAlign w:val="bottom"/>
          </w:tcPr>
          <w:p w14:paraId="2E0D12EC" w14:textId="77777777" w:rsidR="00D83E33" w:rsidRPr="00E837F2" w:rsidRDefault="00D83E33" w:rsidP="001B330E">
            <w:pPr>
              <w:widowControl w:val="0"/>
              <w:jc w:val="right"/>
              <w:rPr>
                <w:color w:val="000000"/>
              </w:rPr>
            </w:pPr>
          </w:p>
        </w:tc>
        <w:tc>
          <w:tcPr>
            <w:tcW w:w="758" w:type="pct"/>
            <w:vAlign w:val="bottom"/>
          </w:tcPr>
          <w:p w14:paraId="469BB1FD" w14:textId="77777777" w:rsidR="00D83E33" w:rsidRPr="00E837F2" w:rsidRDefault="00D83E33" w:rsidP="001B330E">
            <w:pPr>
              <w:widowControl w:val="0"/>
              <w:jc w:val="right"/>
              <w:rPr>
                <w:color w:val="000000"/>
              </w:rPr>
            </w:pPr>
          </w:p>
        </w:tc>
        <w:tc>
          <w:tcPr>
            <w:tcW w:w="758" w:type="pct"/>
            <w:vAlign w:val="bottom"/>
          </w:tcPr>
          <w:p w14:paraId="5E0810F9" w14:textId="77777777" w:rsidR="00D83E33" w:rsidRPr="00E837F2" w:rsidRDefault="00D83E33" w:rsidP="001B330E">
            <w:pPr>
              <w:widowControl w:val="0"/>
              <w:jc w:val="right"/>
              <w:rPr>
                <w:color w:val="000000"/>
              </w:rPr>
            </w:pPr>
          </w:p>
        </w:tc>
        <w:tc>
          <w:tcPr>
            <w:tcW w:w="756" w:type="pct"/>
            <w:vAlign w:val="bottom"/>
          </w:tcPr>
          <w:p w14:paraId="76800708" w14:textId="77777777" w:rsidR="00D83E33" w:rsidRPr="00E837F2" w:rsidRDefault="00D83E33" w:rsidP="001B330E">
            <w:pPr>
              <w:widowControl w:val="0"/>
              <w:jc w:val="right"/>
              <w:rPr>
                <w:color w:val="000000"/>
              </w:rPr>
            </w:pPr>
          </w:p>
        </w:tc>
      </w:tr>
      <w:tr w:rsidR="00D83E33" w:rsidRPr="00E837F2" w14:paraId="55D3E7DA" w14:textId="77777777" w:rsidTr="001B330E">
        <w:trPr>
          <w:trHeight w:val="23"/>
        </w:trPr>
        <w:tc>
          <w:tcPr>
            <w:tcW w:w="1212" w:type="pct"/>
            <w:tcBorders>
              <w:bottom w:val="single" w:sz="6" w:space="0" w:color="000000"/>
            </w:tcBorders>
            <w:vAlign w:val="bottom"/>
          </w:tcPr>
          <w:p w14:paraId="51907FF5" w14:textId="77777777" w:rsidR="00D83E33" w:rsidRPr="001B330E" w:rsidRDefault="00D83E33" w:rsidP="001B330E">
            <w:pPr>
              <w:widowControl w:val="0"/>
              <w:ind w:left="113" w:hanging="113"/>
              <w:rPr>
                <w:color w:val="000000"/>
                <w:szCs w:val="10"/>
              </w:rPr>
            </w:pPr>
          </w:p>
        </w:tc>
        <w:tc>
          <w:tcPr>
            <w:tcW w:w="758" w:type="pct"/>
            <w:tcBorders>
              <w:bottom w:val="single" w:sz="6" w:space="0" w:color="000000"/>
            </w:tcBorders>
            <w:vAlign w:val="bottom"/>
          </w:tcPr>
          <w:p w14:paraId="2F89C18E" w14:textId="77777777" w:rsidR="00D83E33" w:rsidRPr="001B330E" w:rsidRDefault="00D83E33" w:rsidP="001B330E">
            <w:pPr>
              <w:widowControl w:val="0"/>
              <w:jc w:val="right"/>
              <w:rPr>
                <w:color w:val="000000"/>
                <w:szCs w:val="10"/>
              </w:rPr>
            </w:pPr>
          </w:p>
        </w:tc>
        <w:tc>
          <w:tcPr>
            <w:tcW w:w="758" w:type="pct"/>
            <w:tcBorders>
              <w:bottom w:val="single" w:sz="6" w:space="0" w:color="000000"/>
            </w:tcBorders>
            <w:vAlign w:val="bottom"/>
          </w:tcPr>
          <w:p w14:paraId="52D33F79" w14:textId="77777777" w:rsidR="00D83E33" w:rsidRPr="001B330E" w:rsidRDefault="00D83E33" w:rsidP="001B330E">
            <w:pPr>
              <w:widowControl w:val="0"/>
              <w:jc w:val="right"/>
              <w:rPr>
                <w:color w:val="000000"/>
                <w:szCs w:val="10"/>
              </w:rPr>
            </w:pPr>
          </w:p>
        </w:tc>
        <w:tc>
          <w:tcPr>
            <w:tcW w:w="758" w:type="pct"/>
            <w:tcBorders>
              <w:bottom w:val="single" w:sz="6" w:space="0" w:color="000000"/>
            </w:tcBorders>
            <w:vAlign w:val="bottom"/>
          </w:tcPr>
          <w:p w14:paraId="0D36EB76" w14:textId="77777777" w:rsidR="00D83E33" w:rsidRPr="001B330E" w:rsidRDefault="00D83E33" w:rsidP="001B330E">
            <w:pPr>
              <w:widowControl w:val="0"/>
              <w:jc w:val="right"/>
              <w:rPr>
                <w:color w:val="000000"/>
                <w:szCs w:val="10"/>
              </w:rPr>
            </w:pPr>
          </w:p>
        </w:tc>
        <w:tc>
          <w:tcPr>
            <w:tcW w:w="758" w:type="pct"/>
            <w:tcBorders>
              <w:bottom w:val="single" w:sz="6" w:space="0" w:color="000000"/>
            </w:tcBorders>
            <w:vAlign w:val="bottom"/>
          </w:tcPr>
          <w:p w14:paraId="0EF3D3EE" w14:textId="77777777" w:rsidR="00D83E33" w:rsidRPr="001B330E" w:rsidRDefault="00D83E33" w:rsidP="001B330E">
            <w:pPr>
              <w:widowControl w:val="0"/>
              <w:jc w:val="right"/>
              <w:rPr>
                <w:color w:val="000000"/>
                <w:szCs w:val="10"/>
              </w:rPr>
            </w:pPr>
          </w:p>
        </w:tc>
        <w:tc>
          <w:tcPr>
            <w:tcW w:w="756" w:type="pct"/>
            <w:tcBorders>
              <w:bottom w:val="single" w:sz="6" w:space="0" w:color="000000"/>
            </w:tcBorders>
            <w:vAlign w:val="bottom"/>
          </w:tcPr>
          <w:p w14:paraId="3B15FE92" w14:textId="77777777" w:rsidR="00D83E33" w:rsidRPr="001B330E" w:rsidRDefault="00D83E33" w:rsidP="001B330E">
            <w:pPr>
              <w:widowControl w:val="0"/>
              <w:jc w:val="right"/>
              <w:rPr>
                <w:color w:val="000000"/>
                <w:szCs w:val="10"/>
              </w:rPr>
            </w:pPr>
          </w:p>
        </w:tc>
      </w:tr>
      <w:tr w:rsidR="00D83E33" w:rsidRPr="00E837F2" w14:paraId="624472B1" w14:textId="77777777" w:rsidTr="001B330E">
        <w:trPr>
          <w:trHeight w:val="23"/>
        </w:trPr>
        <w:tc>
          <w:tcPr>
            <w:tcW w:w="1212" w:type="pct"/>
            <w:tcBorders>
              <w:top w:val="single" w:sz="6" w:space="0" w:color="000000"/>
            </w:tcBorders>
            <w:vAlign w:val="bottom"/>
          </w:tcPr>
          <w:p w14:paraId="3D72749B" w14:textId="77777777" w:rsidR="00D83E33" w:rsidRPr="001B330E" w:rsidRDefault="00D83E33" w:rsidP="001B330E">
            <w:pPr>
              <w:widowControl w:val="0"/>
              <w:ind w:left="113" w:hanging="113"/>
              <w:rPr>
                <w:color w:val="000000"/>
                <w:szCs w:val="10"/>
              </w:rPr>
            </w:pPr>
          </w:p>
        </w:tc>
        <w:tc>
          <w:tcPr>
            <w:tcW w:w="758" w:type="pct"/>
            <w:tcBorders>
              <w:top w:val="single" w:sz="6" w:space="0" w:color="000000"/>
            </w:tcBorders>
            <w:vAlign w:val="bottom"/>
          </w:tcPr>
          <w:p w14:paraId="6AF0330D" w14:textId="77777777" w:rsidR="00D83E33" w:rsidRPr="001B330E" w:rsidRDefault="00D83E33" w:rsidP="001B330E">
            <w:pPr>
              <w:widowControl w:val="0"/>
              <w:jc w:val="right"/>
              <w:rPr>
                <w:color w:val="000000"/>
                <w:szCs w:val="10"/>
              </w:rPr>
            </w:pPr>
          </w:p>
        </w:tc>
        <w:tc>
          <w:tcPr>
            <w:tcW w:w="758" w:type="pct"/>
            <w:tcBorders>
              <w:top w:val="single" w:sz="6" w:space="0" w:color="000000"/>
            </w:tcBorders>
            <w:vAlign w:val="bottom"/>
          </w:tcPr>
          <w:p w14:paraId="1BE36446" w14:textId="77777777" w:rsidR="00D83E33" w:rsidRPr="001B330E" w:rsidRDefault="00D83E33" w:rsidP="001B330E">
            <w:pPr>
              <w:widowControl w:val="0"/>
              <w:jc w:val="right"/>
              <w:rPr>
                <w:color w:val="000000"/>
                <w:szCs w:val="10"/>
              </w:rPr>
            </w:pPr>
          </w:p>
        </w:tc>
        <w:tc>
          <w:tcPr>
            <w:tcW w:w="758" w:type="pct"/>
            <w:tcBorders>
              <w:top w:val="single" w:sz="6" w:space="0" w:color="000000"/>
            </w:tcBorders>
            <w:vAlign w:val="bottom"/>
          </w:tcPr>
          <w:p w14:paraId="7D8A904B" w14:textId="77777777" w:rsidR="00D83E33" w:rsidRPr="001B330E" w:rsidRDefault="00D83E33" w:rsidP="001B330E">
            <w:pPr>
              <w:widowControl w:val="0"/>
              <w:jc w:val="right"/>
              <w:rPr>
                <w:color w:val="000000"/>
                <w:szCs w:val="10"/>
              </w:rPr>
            </w:pPr>
          </w:p>
        </w:tc>
        <w:tc>
          <w:tcPr>
            <w:tcW w:w="758" w:type="pct"/>
            <w:tcBorders>
              <w:top w:val="single" w:sz="6" w:space="0" w:color="000000"/>
            </w:tcBorders>
            <w:vAlign w:val="bottom"/>
          </w:tcPr>
          <w:p w14:paraId="47CE764C" w14:textId="77777777" w:rsidR="00D83E33" w:rsidRPr="001B330E" w:rsidRDefault="00D83E33" w:rsidP="001B330E">
            <w:pPr>
              <w:widowControl w:val="0"/>
              <w:jc w:val="right"/>
              <w:rPr>
                <w:color w:val="000000"/>
                <w:szCs w:val="10"/>
              </w:rPr>
            </w:pPr>
          </w:p>
        </w:tc>
        <w:tc>
          <w:tcPr>
            <w:tcW w:w="756" w:type="pct"/>
            <w:tcBorders>
              <w:top w:val="single" w:sz="6" w:space="0" w:color="000000"/>
            </w:tcBorders>
            <w:vAlign w:val="bottom"/>
          </w:tcPr>
          <w:p w14:paraId="569D0E8F" w14:textId="77777777" w:rsidR="00D83E33" w:rsidRPr="001B330E" w:rsidRDefault="00D83E33" w:rsidP="001B330E">
            <w:pPr>
              <w:widowControl w:val="0"/>
              <w:jc w:val="right"/>
              <w:rPr>
                <w:color w:val="000000"/>
                <w:szCs w:val="10"/>
              </w:rPr>
            </w:pPr>
          </w:p>
        </w:tc>
      </w:tr>
      <w:tr w:rsidR="00D83E33" w:rsidRPr="00E837F2" w14:paraId="0F92AA86" w14:textId="77777777" w:rsidTr="001B330E">
        <w:trPr>
          <w:trHeight w:val="23"/>
        </w:trPr>
        <w:tc>
          <w:tcPr>
            <w:tcW w:w="1212" w:type="pct"/>
            <w:vAlign w:val="bottom"/>
          </w:tcPr>
          <w:p w14:paraId="76F0DBF8" w14:textId="77777777" w:rsidR="00D83E33" w:rsidRPr="00E837F2" w:rsidRDefault="00BC4072" w:rsidP="001B330E">
            <w:pPr>
              <w:widowControl w:val="0"/>
              <w:ind w:left="113" w:hanging="113"/>
              <w:rPr>
                <w:b/>
                <w:color w:val="000000"/>
              </w:rPr>
            </w:pPr>
            <w:r w:rsidRPr="00E837F2">
              <w:rPr>
                <w:b/>
                <w:color w:val="000000"/>
              </w:rPr>
              <w:t>Total carrying value loans and advances to customers at FVTPL (amount representing exposure to credit risk for each class of loans at FVTPL)</w:t>
            </w:r>
          </w:p>
        </w:tc>
        <w:tc>
          <w:tcPr>
            <w:tcW w:w="758" w:type="pct"/>
            <w:vAlign w:val="bottom"/>
          </w:tcPr>
          <w:p w14:paraId="1133B9F9" w14:textId="77777777" w:rsidR="00D83E33" w:rsidRPr="00E837F2" w:rsidRDefault="00D83E33" w:rsidP="001B330E">
            <w:pPr>
              <w:widowControl w:val="0"/>
              <w:jc w:val="right"/>
              <w:rPr>
                <w:b/>
                <w:color w:val="000000"/>
              </w:rPr>
            </w:pPr>
          </w:p>
        </w:tc>
        <w:tc>
          <w:tcPr>
            <w:tcW w:w="758" w:type="pct"/>
            <w:vAlign w:val="bottom"/>
          </w:tcPr>
          <w:p w14:paraId="0872491F" w14:textId="77777777" w:rsidR="00D83E33" w:rsidRPr="00E837F2" w:rsidRDefault="00D83E33" w:rsidP="001B330E">
            <w:pPr>
              <w:widowControl w:val="0"/>
              <w:jc w:val="right"/>
              <w:rPr>
                <w:b/>
                <w:color w:val="000000"/>
              </w:rPr>
            </w:pPr>
          </w:p>
        </w:tc>
        <w:tc>
          <w:tcPr>
            <w:tcW w:w="758" w:type="pct"/>
            <w:vAlign w:val="bottom"/>
          </w:tcPr>
          <w:p w14:paraId="236BDE90" w14:textId="77777777" w:rsidR="00D83E33" w:rsidRPr="00E837F2" w:rsidRDefault="00D83E33" w:rsidP="001B330E">
            <w:pPr>
              <w:widowControl w:val="0"/>
              <w:jc w:val="right"/>
              <w:rPr>
                <w:b/>
                <w:color w:val="000000"/>
              </w:rPr>
            </w:pPr>
          </w:p>
        </w:tc>
        <w:tc>
          <w:tcPr>
            <w:tcW w:w="758" w:type="pct"/>
            <w:vAlign w:val="bottom"/>
          </w:tcPr>
          <w:p w14:paraId="7C460BE8" w14:textId="77777777" w:rsidR="00D83E33" w:rsidRPr="00E837F2" w:rsidRDefault="00D83E33" w:rsidP="001B330E">
            <w:pPr>
              <w:widowControl w:val="0"/>
              <w:jc w:val="right"/>
              <w:rPr>
                <w:b/>
                <w:color w:val="000000"/>
              </w:rPr>
            </w:pPr>
          </w:p>
        </w:tc>
        <w:tc>
          <w:tcPr>
            <w:tcW w:w="756" w:type="pct"/>
            <w:vAlign w:val="bottom"/>
          </w:tcPr>
          <w:p w14:paraId="2643BC11" w14:textId="77777777" w:rsidR="00D83E33" w:rsidRPr="00E837F2" w:rsidRDefault="00D83E33" w:rsidP="001B330E">
            <w:pPr>
              <w:widowControl w:val="0"/>
              <w:jc w:val="right"/>
              <w:rPr>
                <w:b/>
                <w:color w:val="000000"/>
              </w:rPr>
            </w:pPr>
          </w:p>
        </w:tc>
      </w:tr>
      <w:tr w:rsidR="00D83E33" w:rsidRPr="00E837F2" w14:paraId="39C8776D" w14:textId="77777777" w:rsidTr="001B330E">
        <w:trPr>
          <w:trHeight w:val="23"/>
        </w:trPr>
        <w:tc>
          <w:tcPr>
            <w:tcW w:w="1212" w:type="pct"/>
            <w:tcBorders>
              <w:bottom w:val="single" w:sz="12" w:space="0" w:color="000000"/>
            </w:tcBorders>
            <w:vAlign w:val="bottom"/>
          </w:tcPr>
          <w:p w14:paraId="08A4A210" w14:textId="77777777" w:rsidR="00D83E33" w:rsidRPr="001B330E" w:rsidRDefault="00D83E33" w:rsidP="001B330E">
            <w:pPr>
              <w:widowControl w:val="0"/>
              <w:ind w:left="113" w:hanging="113"/>
              <w:rPr>
                <w:b/>
                <w:color w:val="000000"/>
                <w:szCs w:val="10"/>
              </w:rPr>
            </w:pPr>
          </w:p>
        </w:tc>
        <w:tc>
          <w:tcPr>
            <w:tcW w:w="758" w:type="pct"/>
            <w:tcBorders>
              <w:bottom w:val="single" w:sz="12" w:space="0" w:color="000000"/>
            </w:tcBorders>
            <w:vAlign w:val="bottom"/>
          </w:tcPr>
          <w:p w14:paraId="2EE9E8F3" w14:textId="77777777" w:rsidR="00D83E33" w:rsidRPr="001B330E" w:rsidRDefault="00D83E33" w:rsidP="001B330E">
            <w:pPr>
              <w:widowControl w:val="0"/>
              <w:jc w:val="right"/>
              <w:rPr>
                <w:b/>
                <w:color w:val="000000"/>
                <w:szCs w:val="10"/>
              </w:rPr>
            </w:pPr>
          </w:p>
        </w:tc>
        <w:tc>
          <w:tcPr>
            <w:tcW w:w="758" w:type="pct"/>
            <w:tcBorders>
              <w:bottom w:val="single" w:sz="12" w:space="0" w:color="000000"/>
            </w:tcBorders>
            <w:vAlign w:val="bottom"/>
          </w:tcPr>
          <w:p w14:paraId="5E9A8166" w14:textId="77777777" w:rsidR="00D83E33" w:rsidRPr="001B330E" w:rsidRDefault="00D83E33" w:rsidP="001B330E">
            <w:pPr>
              <w:widowControl w:val="0"/>
              <w:jc w:val="right"/>
              <w:rPr>
                <w:b/>
                <w:color w:val="000000"/>
                <w:szCs w:val="10"/>
              </w:rPr>
            </w:pPr>
          </w:p>
        </w:tc>
        <w:tc>
          <w:tcPr>
            <w:tcW w:w="758" w:type="pct"/>
            <w:tcBorders>
              <w:bottom w:val="single" w:sz="12" w:space="0" w:color="000000"/>
            </w:tcBorders>
            <w:vAlign w:val="bottom"/>
          </w:tcPr>
          <w:p w14:paraId="68631F10" w14:textId="77777777" w:rsidR="00D83E33" w:rsidRPr="001B330E" w:rsidRDefault="00D83E33" w:rsidP="001B330E">
            <w:pPr>
              <w:widowControl w:val="0"/>
              <w:jc w:val="right"/>
              <w:rPr>
                <w:b/>
                <w:color w:val="000000"/>
                <w:szCs w:val="10"/>
              </w:rPr>
            </w:pPr>
          </w:p>
        </w:tc>
        <w:tc>
          <w:tcPr>
            <w:tcW w:w="758" w:type="pct"/>
            <w:tcBorders>
              <w:bottom w:val="single" w:sz="12" w:space="0" w:color="000000"/>
            </w:tcBorders>
            <w:vAlign w:val="bottom"/>
          </w:tcPr>
          <w:p w14:paraId="3DAB9010" w14:textId="77777777" w:rsidR="00D83E33" w:rsidRPr="001B330E" w:rsidRDefault="00D83E33" w:rsidP="001B330E">
            <w:pPr>
              <w:widowControl w:val="0"/>
              <w:jc w:val="right"/>
              <w:rPr>
                <w:b/>
                <w:color w:val="000000"/>
                <w:szCs w:val="10"/>
              </w:rPr>
            </w:pPr>
          </w:p>
        </w:tc>
        <w:tc>
          <w:tcPr>
            <w:tcW w:w="756" w:type="pct"/>
            <w:tcBorders>
              <w:bottom w:val="single" w:sz="12" w:space="0" w:color="000000"/>
            </w:tcBorders>
            <w:vAlign w:val="bottom"/>
          </w:tcPr>
          <w:p w14:paraId="79C29B30" w14:textId="77777777" w:rsidR="00D83E33" w:rsidRPr="001B330E" w:rsidRDefault="00D83E33" w:rsidP="001B330E">
            <w:pPr>
              <w:widowControl w:val="0"/>
              <w:jc w:val="right"/>
              <w:rPr>
                <w:b/>
                <w:color w:val="000000"/>
                <w:szCs w:val="10"/>
              </w:rPr>
            </w:pPr>
          </w:p>
        </w:tc>
      </w:tr>
    </w:tbl>
    <w:p w14:paraId="5A9A5528" w14:textId="71ECDF91" w:rsidR="00D83E33" w:rsidRDefault="00BC4072" w:rsidP="001B330E">
      <w:pPr>
        <w:pStyle w:val="Continued"/>
      </w:pPr>
      <w:r>
        <w:lastRenderedPageBreak/>
        <w:t>11</w:t>
      </w:r>
      <w:r>
        <w:tab/>
        <w:t>Loans and Advances to Customers (Continued)</w:t>
      </w:r>
    </w:p>
    <w:p w14:paraId="6DC1C116" w14:textId="44E1E281" w:rsidR="00D83E33" w:rsidRDefault="00BC4072" w:rsidP="001B330E">
      <w:pPr>
        <w:widowControl w:val="0"/>
        <w:spacing w:before="200" w:after="200"/>
        <w:jc w:val="both"/>
        <w:rPr>
          <w:i/>
          <w:color w:val="FF0000"/>
          <w:sz w:val="20"/>
          <w:szCs w:val="20"/>
        </w:rPr>
      </w:pPr>
      <w:r>
        <w:rPr>
          <w:sz w:val="20"/>
          <w:szCs w:val="20"/>
        </w:rPr>
        <w:t xml:space="preserve">Description of collateral held </w:t>
      </w:r>
      <w:r>
        <w:rPr>
          <w:color w:val="000000"/>
          <w:sz w:val="20"/>
          <w:szCs w:val="20"/>
        </w:rPr>
        <w:t xml:space="preserve">for loans to corporate customers carried at FVTPL </w:t>
      </w:r>
      <w:r>
        <w:rPr>
          <w:sz w:val="20"/>
          <w:szCs w:val="20"/>
        </w:rPr>
        <w:t>is as follows at 31</w:t>
      </w:r>
      <w:r w:rsidR="00181687">
        <w:rPr>
          <w:sz w:val="20"/>
          <w:szCs w:val="20"/>
        </w:rPr>
        <w:t> December </w:t>
      </w:r>
      <w:r w:rsidR="00541EBC">
        <w:rPr>
          <w:sz w:val="20"/>
          <w:szCs w:val="20"/>
        </w:rPr>
        <w:t>2023</w:t>
      </w:r>
      <w:r>
        <w:rPr>
          <w:sz w:val="20"/>
          <w:szCs w:val="20"/>
        </w:rPr>
        <w:t>:</w:t>
      </w:r>
    </w:p>
    <w:tbl>
      <w:tblPr>
        <w:tblStyle w:val="affffff3"/>
        <w:tblW w:w="5000" w:type="pct"/>
        <w:tblLayout w:type="fixed"/>
        <w:tblLook w:val="0000" w:firstRow="0" w:lastRow="0" w:firstColumn="0" w:lastColumn="0" w:noHBand="0" w:noVBand="0"/>
      </w:tblPr>
      <w:tblGrid>
        <w:gridCol w:w="2563"/>
        <w:gridCol w:w="866"/>
        <w:gridCol w:w="866"/>
        <w:gridCol w:w="818"/>
        <w:gridCol w:w="818"/>
        <w:gridCol w:w="818"/>
        <w:gridCol w:w="866"/>
        <w:gridCol w:w="926"/>
        <w:gridCol w:w="814"/>
      </w:tblGrid>
      <w:tr w:rsidR="00D83E33" w:rsidRPr="00E837F2" w14:paraId="1EC78570" w14:textId="77777777" w:rsidTr="001B330E">
        <w:trPr>
          <w:trHeight w:val="23"/>
        </w:trPr>
        <w:tc>
          <w:tcPr>
            <w:tcW w:w="1370" w:type="pct"/>
            <w:tcBorders>
              <w:bottom w:val="single" w:sz="6" w:space="0" w:color="000000"/>
            </w:tcBorders>
            <w:vAlign w:val="bottom"/>
          </w:tcPr>
          <w:p w14:paraId="3D1955DD" w14:textId="12B1577D" w:rsidR="00D83E33" w:rsidRPr="00E837F2" w:rsidRDefault="00313B4D" w:rsidP="001B330E">
            <w:pPr>
              <w:widowControl w:val="0"/>
              <w:ind w:left="113" w:hanging="113"/>
              <w:rPr>
                <w:i/>
                <w:color w:val="000000"/>
              </w:rPr>
            </w:pPr>
            <w:r>
              <w:rPr>
                <w:i/>
                <w:color w:val="000000"/>
              </w:rPr>
              <w:t xml:space="preserve">In thousands of </w:t>
            </w:r>
            <w:r w:rsidR="002649EE">
              <w:rPr>
                <w:i/>
                <w:color w:val="000000"/>
              </w:rPr>
              <w:t>EUR</w:t>
            </w:r>
          </w:p>
        </w:tc>
        <w:tc>
          <w:tcPr>
            <w:tcW w:w="463" w:type="pct"/>
            <w:tcBorders>
              <w:bottom w:val="single" w:sz="6" w:space="0" w:color="000000"/>
            </w:tcBorders>
          </w:tcPr>
          <w:p w14:paraId="0FFFD648" w14:textId="77777777" w:rsidR="00D83E33" w:rsidRPr="00E837F2" w:rsidRDefault="00BC4072" w:rsidP="001B330E">
            <w:pPr>
              <w:widowControl w:val="0"/>
              <w:ind w:left="-113"/>
              <w:jc w:val="right"/>
              <w:rPr>
                <w:b/>
                <w:color w:val="000000"/>
              </w:rPr>
            </w:pPr>
            <w:r w:rsidRPr="00E837F2">
              <w:rPr>
                <w:b/>
                <w:color w:val="000000"/>
              </w:rPr>
              <w:t>Stan-dard lending</w:t>
            </w:r>
          </w:p>
        </w:tc>
        <w:tc>
          <w:tcPr>
            <w:tcW w:w="463" w:type="pct"/>
            <w:tcBorders>
              <w:bottom w:val="single" w:sz="6" w:space="0" w:color="000000"/>
            </w:tcBorders>
          </w:tcPr>
          <w:p w14:paraId="64CC3736" w14:textId="77777777" w:rsidR="00D83E33" w:rsidRPr="00E837F2" w:rsidRDefault="00BC4072" w:rsidP="001B330E">
            <w:pPr>
              <w:widowControl w:val="0"/>
              <w:ind w:left="-113"/>
              <w:jc w:val="right"/>
              <w:rPr>
                <w:b/>
                <w:color w:val="000000"/>
              </w:rPr>
            </w:pPr>
            <w:r w:rsidRPr="00E837F2">
              <w:rPr>
                <w:b/>
                <w:color w:val="000000"/>
              </w:rPr>
              <w:t>Specia-lised lending</w:t>
            </w:r>
          </w:p>
        </w:tc>
        <w:tc>
          <w:tcPr>
            <w:tcW w:w="437" w:type="pct"/>
            <w:tcBorders>
              <w:bottom w:val="single" w:sz="6" w:space="0" w:color="000000"/>
            </w:tcBorders>
          </w:tcPr>
          <w:p w14:paraId="096EEF28" w14:textId="77777777" w:rsidR="00D83E33" w:rsidRPr="00E837F2" w:rsidRDefault="00BC4072" w:rsidP="001B330E">
            <w:pPr>
              <w:widowControl w:val="0"/>
              <w:ind w:left="-113"/>
              <w:jc w:val="right"/>
              <w:rPr>
                <w:b/>
                <w:color w:val="000000"/>
              </w:rPr>
            </w:pPr>
            <w:r w:rsidRPr="00E837F2">
              <w:rPr>
                <w:b/>
                <w:color w:val="000000"/>
              </w:rPr>
              <w:t>Loans to sove-reigns</w:t>
            </w:r>
          </w:p>
        </w:tc>
        <w:tc>
          <w:tcPr>
            <w:tcW w:w="437" w:type="pct"/>
            <w:tcBorders>
              <w:bottom w:val="single" w:sz="6" w:space="0" w:color="000000"/>
            </w:tcBorders>
          </w:tcPr>
          <w:p w14:paraId="7FD99184" w14:textId="77777777" w:rsidR="00D83E33" w:rsidRPr="00E837F2" w:rsidRDefault="00BC4072" w:rsidP="001B330E">
            <w:pPr>
              <w:widowControl w:val="0"/>
              <w:ind w:left="-113"/>
              <w:jc w:val="right"/>
              <w:rPr>
                <w:b/>
                <w:color w:val="000000"/>
              </w:rPr>
            </w:pPr>
            <w:r w:rsidRPr="00E837F2">
              <w:rPr>
                <w:b/>
                <w:color w:val="000000"/>
              </w:rPr>
              <w:t>Loans to sub-sove-reigns</w:t>
            </w:r>
          </w:p>
        </w:tc>
        <w:tc>
          <w:tcPr>
            <w:tcW w:w="437" w:type="pct"/>
            <w:tcBorders>
              <w:bottom w:val="single" w:sz="6" w:space="0" w:color="000000"/>
            </w:tcBorders>
          </w:tcPr>
          <w:p w14:paraId="58B079CD" w14:textId="77777777" w:rsidR="00D83E33" w:rsidRPr="00E837F2" w:rsidRDefault="00BC4072" w:rsidP="001B330E">
            <w:pPr>
              <w:widowControl w:val="0"/>
              <w:ind w:left="-113"/>
              <w:jc w:val="right"/>
              <w:rPr>
                <w:b/>
                <w:color w:val="000000"/>
              </w:rPr>
            </w:pPr>
            <w:r w:rsidRPr="00E837F2">
              <w:rPr>
                <w:b/>
                <w:color w:val="000000"/>
              </w:rPr>
              <w:t>Loans to SME</w:t>
            </w:r>
          </w:p>
        </w:tc>
        <w:tc>
          <w:tcPr>
            <w:tcW w:w="463" w:type="pct"/>
            <w:tcBorders>
              <w:bottom w:val="single" w:sz="6" w:space="0" w:color="000000"/>
            </w:tcBorders>
          </w:tcPr>
          <w:p w14:paraId="053D8944" w14:textId="77777777" w:rsidR="00D83E33" w:rsidRPr="00E837F2" w:rsidRDefault="00BC4072" w:rsidP="001B330E">
            <w:pPr>
              <w:widowControl w:val="0"/>
              <w:ind w:left="-113"/>
              <w:jc w:val="right"/>
              <w:rPr>
                <w:b/>
                <w:color w:val="000000"/>
              </w:rPr>
            </w:pPr>
            <w:r w:rsidRPr="00E837F2">
              <w:rPr>
                <w:b/>
                <w:color w:val="000000"/>
              </w:rPr>
              <w:t>Loans to leasing compa-nies</w:t>
            </w:r>
          </w:p>
        </w:tc>
        <w:tc>
          <w:tcPr>
            <w:tcW w:w="495" w:type="pct"/>
            <w:tcBorders>
              <w:bottom w:val="single" w:sz="6" w:space="0" w:color="000000"/>
            </w:tcBorders>
          </w:tcPr>
          <w:p w14:paraId="24C79660" w14:textId="2E80CA62" w:rsidR="00D83E33" w:rsidRPr="00E837F2" w:rsidRDefault="00BC4072" w:rsidP="001B330E">
            <w:pPr>
              <w:widowControl w:val="0"/>
              <w:ind w:left="-113"/>
              <w:jc w:val="right"/>
              <w:rPr>
                <w:b/>
                <w:color w:val="000000"/>
              </w:rPr>
            </w:pPr>
            <w:r w:rsidRPr="00E837F2">
              <w:rPr>
                <w:b/>
                <w:color w:val="000000"/>
              </w:rPr>
              <w:t>Reverse sale and repur-chase agree-ments</w:t>
            </w:r>
          </w:p>
        </w:tc>
        <w:tc>
          <w:tcPr>
            <w:tcW w:w="435" w:type="pct"/>
            <w:tcBorders>
              <w:bottom w:val="single" w:sz="6" w:space="0" w:color="000000"/>
            </w:tcBorders>
          </w:tcPr>
          <w:p w14:paraId="17E09BD9" w14:textId="77777777" w:rsidR="00D83E33" w:rsidRPr="00E837F2" w:rsidRDefault="00BC4072" w:rsidP="001B330E">
            <w:pPr>
              <w:widowControl w:val="0"/>
              <w:ind w:left="-113"/>
              <w:jc w:val="right"/>
              <w:rPr>
                <w:b/>
                <w:color w:val="000000"/>
              </w:rPr>
            </w:pPr>
            <w:r w:rsidRPr="00E837F2">
              <w:rPr>
                <w:b/>
                <w:color w:val="000000"/>
              </w:rPr>
              <w:t>Total</w:t>
            </w:r>
          </w:p>
        </w:tc>
      </w:tr>
      <w:tr w:rsidR="00D83E33" w:rsidRPr="00E837F2" w14:paraId="5DD3D5D3" w14:textId="77777777" w:rsidTr="001B330E">
        <w:trPr>
          <w:trHeight w:val="23"/>
        </w:trPr>
        <w:tc>
          <w:tcPr>
            <w:tcW w:w="1370" w:type="pct"/>
            <w:tcBorders>
              <w:top w:val="single" w:sz="6" w:space="0" w:color="000000"/>
            </w:tcBorders>
            <w:vAlign w:val="bottom"/>
          </w:tcPr>
          <w:p w14:paraId="6756D69A" w14:textId="77777777" w:rsidR="00D83E33" w:rsidRPr="001B330E" w:rsidRDefault="00D83E33" w:rsidP="001B330E">
            <w:pPr>
              <w:widowControl w:val="0"/>
              <w:ind w:left="113" w:hanging="113"/>
              <w:rPr>
                <w:b/>
                <w:color w:val="000000"/>
                <w:szCs w:val="12"/>
              </w:rPr>
            </w:pPr>
          </w:p>
        </w:tc>
        <w:tc>
          <w:tcPr>
            <w:tcW w:w="463" w:type="pct"/>
            <w:tcBorders>
              <w:top w:val="single" w:sz="6" w:space="0" w:color="000000"/>
            </w:tcBorders>
            <w:vAlign w:val="bottom"/>
          </w:tcPr>
          <w:p w14:paraId="0973C5A3" w14:textId="77777777" w:rsidR="00D83E33" w:rsidRPr="001B330E" w:rsidRDefault="00D83E33" w:rsidP="001B330E">
            <w:pPr>
              <w:widowControl w:val="0"/>
              <w:jc w:val="right"/>
              <w:rPr>
                <w:b/>
                <w:color w:val="000000"/>
                <w:szCs w:val="12"/>
              </w:rPr>
            </w:pPr>
          </w:p>
        </w:tc>
        <w:tc>
          <w:tcPr>
            <w:tcW w:w="463" w:type="pct"/>
            <w:tcBorders>
              <w:top w:val="single" w:sz="6" w:space="0" w:color="000000"/>
            </w:tcBorders>
            <w:vAlign w:val="bottom"/>
          </w:tcPr>
          <w:p w14:paraId="3971C313" w14:textId="77777777" w:rsidR="00D83E33" w:rsidRPr="001B330E" w:rsidRDefault="00D83E33" w:rsidP="001B330E">
            <w:pPr>
              <w:widowControl w:val="0"/>
              <w:jc w:val="right"/>
              <w:rPr>
                <w:b/>
                <w:color w:val="000000"/>
                <w:szCs w:val="12"/>
              </w:rPr>
            </w:pPr>
          </w:p>
        </w:tc>
        <w:tc>
          <w:tcPr>
            <w:tcW w:w="437" w:type="pct"/>
            <w:tcBorders>
              <w:top w:val="single" w:sz="6" w:space="0" w:color="000000"/>
            </w:tcBorders>
            <w:vAlign w:val="bottom"/>
          </w:tcPr>
          <w:p w14:paraId="5C5586F8" w14:textId="77777777" w:rsidR="00D83E33" w:rsidRPr="001B330E" w:rsidRDefault="00D83E33" w:rsidP="001B330E">
            <w:pPr>
              <w:widowControl w:val="0"/>
              <w:jc w:val="right"/>
              <w:rPr>
                <w:b/>
                <w:color w:val="000000"/>
                <w:szCs w:val="12"/>
              </w:rPr>
            </w:pPr>
          </w:p>
        </w:tc>
        <w:tc>
          <w:tcPr>
            <w:tcW w:w="437" w:type="pct"/>
            <w:tcBorders>
              <w:top w:val="single" w:sz="6" w:space="0" w:color="000000"/>
            </w:tcBorders>
            <w:vAlign w:val="bottom"/>
          </w:tcPr>
          <w:p w14:paraId="5827B47B" w14:textId="77777777" w:rsidR="00D83E33" w:rsidRPr="001B330E" w:rsidRDefault="00D83E33" w:rsidP="001B330E">
            <w:pPr>
              <w:widowControl w:val="0"/>
              <w:jc w:val="right"/>
              <w:rPr>
                <w:b/>
                <w:color w:val="000000"/>
                <w:szCs w:val="12"/>
              </w:rPr>
            </w:pPr>
          </w:p>
        </w:tc>
        <w:tc>
          <w:tcPr>
            <w:tcW w:w="437" w:type="pct"/>
            <w:tcBorders>
              <w:top w:val="single" w:sz="6" w:space="0" w:color="000000"/>
            </w:tcBorders>
            <w:vAlign w:val="bottom"/>
          </w:tcPr>
          <w:p w14:paraId="0643AB1A" w14:textId="77777777" w:rsidR="00D83E33" w:rsidRPr="001B330E" w:rsidRDefault="00D83E33" w:rsidP="001B330E">
            <w:pPr>
              <w:widowControl w:val="0"/>
              <w:jc w:val="right"/>
              <w:rPr>
                <w:b/>
                <w:color w:val="000000"/>
                <w:szCs w:val="12"/>
              </w:rPr>
            </w:pPr>
          </w:p>
        </w:tc>
        <w:tc>
          <w:tcPr>
            <w:tcW w:w="463" w:type="pct"/>
            <w:tcBorders>
              <w:top w:val="single" w:sz="6" w:space="0" w:color="000000"/>
            </w:tcBorders>
            <w:vAlign w:val="bottom"/>
          </w:tcPr>
          <w:p w14:paraId="6D07C4CE" w14:textId="77777777" w:rsidR="00D83E33" w:rsidRPr="001B330E" w:rsidRDefault="00D83E33" w:rsidP="001B330E">
            <w:pPr>
              <w:widowControl w:val="0"/>
              <w:jc w:val="right"/>
              <w:rPr>
                <w:b/>
                <w:color w:val="000000"/>
                <w:szCs w:val="12"/>
              </w:rPr>
            </w:pPr>
          </w:p>
        </w:tc>
        <w:tc>
          <w:tcPr>
            <w:tcW w:w="495" w:type="pct"/>
            <w:tcBorders>
              <w:top w:val="single" w:sz="6" w:space="0" w:color="000000"/>
            </w:tcBorders>
          </w:tcPr>
          <w:p w14:paraId="5E161429" w14:textId="77777777" w:rsidR="00D83E33" w:rsidRPr="001B330E" w:rsidRDefault="00D83E33" w:rsidP="001B330E">
            <w:pPr>
              <w:widowControl w:val="0"/>
              <w:jc w:val="right"/>
              <w:rPr>
                <w:b/>
                <w:color w:val="000000"/>
                <w:szCs w:val="12"/>
              </w:rPr>
            </w:pPr>
          </w:p>
        </w:tc>
        <w:tc>
          <w:tcPr>
            <w:tcW w:w="435" w:type="pct"/>
            <w:tcBorders>
              <w:top w:val="single" w:sz="6" w:space="0" w:color="000000"/>
            </w:tcBorders>
            <w:vAlign w:val="bottom"/>
          </w:tcPr>
          <w:p w14:paraId="10105685" w14:textId="77777777" w:rsidR="00D83E33" w:rsidRPr="001B330E" w:rsidRDefault="00D83E33" w:rsidP="001B330E">
            <w:pPr>
              <w:widowControl w:val="0"/>
              <w:jc w:val="right"/>
              <w:rPr>
                <w:b/>
                <w:color w:val="000000"/>
                <w:szCs w:val="12"/>
              </w:rPr>
            </w:pPr>
          </w:p>
        </w:tc>
      </w:tr>
      <w:tr w:rsidR="00D83E33" w:rsidRPr="00E837F2" w14:paraId="2D3FE577" w14:textId="77777777" w:rsidTr="001B330E">
        <w:trPr>
          <w:trHeight w:val="23"/>
        </w:trPr>
        <w:tc>
          <w:tcPr>
            <w:tcW w:w="1370" w:type="pct"/>
            <w:vAlign w:val="bottom"/>
          </w:tcPr>
          <w:p w14:paraId="22BEF19F" w14:textId="77777777" w:rsidR="00D83E33" w:rsidRPr="00E837F2" w:rsidRDefault="00BC4072" w:rsidP="001B330E">
            <w:pPr>
              <w:widowControl w:val="0"/>
              <w:ind w:left="113" w:hanging="113"/>
              <w:rPr>
                <w:color w:val="000000"/>
              </w:rPr>
            </w:pPr>
            <w:r w:rsidRPr="00E837F2">
              <w:rPr>
                <w:color w:val="000000"/>
              </w:rPr>
              <w:t>Loans guaranteed by other banks</w:t>
            </w:r>
          </w:p>
        </w:tc>
        <w:tc>
          <w:tcPr>
            <w:tcW w:w="463" w:type="pct"/>
            <w:vAlign w:val="bottom"/>
          </w:tcPr>
          <w:p w14:paraId="12481ECE" w14:textId="77777777" w:rsidR="00D83E33" w:rsidRPr="00E837F2" w:rsidRDefault="00D83E33" w:rsidP="001B330E">
            <w:pPr>
              <w:widowControl w:val="0"/>
              <w:jc w:val="right"/>
              <w:rPr>
                <w:color w:val="000000"/>
              </w:rPr>
            </w:pPr>
          </w:p>
        </w:tc>
        <w:tc>
          <w:tcPr>
            <w:tcW w:w="463" w:type="pct"/>
            <w:vAlign w:val="bottom"/>
          </w:tcPr>
          <w:p w14:paraId="73D28798" w14:textId="77777777" w:rsidR="00D83E33" w:rsidRPr="00E837F2" w:rsidRDefault="00D83E33" w:rsidP="001B330E">
            <w:pPr>
              <w:widowControl w:val="0"/>
              <w:jc w:val="right"/>
              <w:rPr>
                <w:color w:val="000000"/>
              </w:rPr>
            </w:pPr>
          </w:p>
        </w:tc>
        <w:tc>
          <w:tcPr>
            <w:tcW w:w="437" w:type="pct"/>
            <w:vAlign w:val="bottom"/>
          </w:tcPr>
          <w:p w14:paraId="6EA8CC59" w14:textId="77777777" w:rsidR="00D83E33" w:rsidRPr="00E837F2" w:rsidRDefault="00D83E33" w:rsidP="001B330E">
            <w:pPr>
              <w:widowControl w:val="0"/>
              <w:jc w:val="right"/>
              <w:rPr>
                <w:color w:val="000000"/>
              </w:rPr>
            </w:pPr>
          </w:p>
        </w:tc>
        <w:tc>
          <w:tcPr>
            <w:tcW w:w="437" w:type="pct"/>
            <w:vAlign w:val="bottom"/>
          </w:tcPr>
          <w:p w14:paraId="5CB47588" w14:textId="77777777" w:rsidR="00D83E33" w:rsidRPr="00E837F2" w:rsidRDefault="00D83E33" w:rsidP="001B330E">
            <w:pPr>
              <w:widowControl w:val="0"/>
              <w:jc w:val="right"/>
              <w:rPr>
                <w:color w:val="000000"/>
              </w:rPr>
            </w:pPr>
          </w:p>
        </w:tc>
        <w:tc>
          <w:tcPr>
            <w:tcW w:w="437" w:type="pct"/>
            <w:vAlign w:val="bottom"/>
          </w:tcPr>
          <w:p w14:paraId="120DBE59" w14:textId="77777777" w:rsidR="00D83E33" w:rsidRPr="00E837F2" w:rsidRDefault="00D83E33" w:rsidP="001B330E">
            <w:pPr>
              <w:widowControl w:val="0"/>
              <w:jc w:val="right"/>
              <w:rPr>
                <w:color w:val="000000"/>
              </w:rPr>
            </w:pPr>
          </w:p>
        </w:tc>
        <w:tc>
          <w:tcPr>
            <w:tcW w:w="463" w:type="pct"/>
            <w:vAlign w:val="bottom"/>
          </w:tcPr>
          <w:p w14:paraId="344C0AF0" w14:textId="77777777" w:rsidR="00D83E33" w:rsidRPr="00E837F2" w:rsidRDefault="00D83E33" w:rsidP="001B330E">
            <w:pPr>
              <w:widowControl w:val="0"/>
              <w:jc w:val="right"/>
              <w:rPr>
                <w:color w:val="000000"/>
              </w:rPr>
            </w:pPr>
          </w:p>
        </w:tc>
        <w:tc>
          <w:tcPr>
            <w:tcW w:w="495" w:type="pct"/>
          </w:tcPr>
          <w:p w14:paraId="644C7246" w14:textId="77777777" w:rsidR="00D83E33" w:rsidRPr="00E837F2" w:rsidRDefault="00D83E33" w:rsidP="001B330E">
            <w:pPr>
              <w:widowControl w:val="0"/>
              <w:jc w:val="right"/>
              <w:rPr>
                <w:color w:val="000000"/>
              </w:rPr>
            </w:pPr>
          </w:p>
        </w:tc>
        <w:tc>
          <w:tcPr>
            <w:tcW w:w="435" w:type="pct"/>
            <w:vAlign w:val="bottom"/>
          </w:tcPr>
          <w:p w14:paraId="63C8E682" w14:textId="77777777" w:rsidR="00D83E33" w:rsidRPr="00E837F2" w:rsidRDefault="00D83E33" w:rsidP="001B330E">
            <w:pPr>
              <w:widowControl w:val="0"/>
              <w:jc w:val="right"/>
              <w:rPr>
                <w:color w:val="000000"/>
              </w:rPr>
            </w:pPr>
          </w:p>
        </w:tc>
      </w:tr>
      <w:tr w:rsidR="00D83E33" w:rsidRPr="00E837F2" w14:paraId="3849F2EA" w14:textId="77777777" w:rsidTr="001B330E">
        <w:trPr>
          <w:trHeight w:val="23"/>
        </w:trPr>
        <w:tc>
          <w:tcPr>
            <w:tcW w:w="1370" w:type="pct"/>
            <w:vAlign w:val="bottom"/>
          </w:tcPr>
          <w:p w14:paraId="0752D0B7" w14:textId="77777777" w:rsidR="00D83E33" w:rsidRPr="00E837F2" w:rsidRDefault="00BC4072" w:rsidP="001B330E">
            <w:pPr>
              <w:widowControl w:val="0"/>
              <w:ind w:left="113" w:hanging="113"/>
              <w:rPr>
                <w:color w:val="000000"/>
              </w:rPr>
            </w:pPr>
            <w:r w:rsidRPr="00E837F2">
              <w:rPr>
                <w:color w:val="000000"/>
              </w:rPr>
              <w:t>Loans guaranteed by other parties, including credit insurance</w:t>
            </w:r>
          </w:p>
        </w:tc>
        <w:tc>
          <w:tcPr>
            <w:tcW w:w="463" w:type="pct"/>
            <w:vAlign w:val="bottom"/>
          </w:tcPr>
          <w:p w14:paraId="0F1D9EBA" w14:textId="77777777" w:rsidR="00D83E33" w:rsidRPr="00E837F2" w:rsidRDefault="00D83E33" w:rsidP="001B330E">
            <w:pPr>
              <w:widowControl w:val="0"/>
              <w:jc w:val="right"/>
              <w:rPr>
                <w:color w:val="000000"/>
              </w:rPr>
            </w:pPr>
          </w:p>
        </w:tc>
        <w:tc>
          <w:tcPr>
            <w:tcW w:w="463" w:type="pct"/>
            <w:vAlign w:val="bottom"/>
          </w:tcPr>
          <w:p w14:paraId="7E5EF96B" w14:textId="77777777" w:rsidR="00D83E33" w:rsidRPr="00E837F2" w:rsidRDefault="00D83E33" w:rsidP="001B330E">
            <w:pPr>
              <w:widowControl w:val="0"/>
              <w:jc w:val="right"/>
              <w:rPr>
                <w:color w:val="000000"/>
              </w:rPr>
            </w:pPr>
          </w:p>
        </w:tc>
        <w:tc>
          <w:tcPr>
            <w:tcW w:w="437" w:type="pct"/>
            <w:vAlign w:val="bottom"/>
          </w:tcPr>
          <w:p w14:paraId="1C937263" w14:textId="77777777" w:rsidR="00D83E33" w:rsidRPr="00E837F2" w:rsidRDefault="00D83E33" w:rsidP="001B330E">
            <w:pPr>
              <w:widowControl w:val="0"/>
              <w:jc w:val="right"/>
              <w:rPr>
                <w:color w:val="000000"/>
              </w:rPr>
            </w:pPr>
          </w:p>
        </w:tc>
        <w:tc>
          <w:tcPr>
            <w:tcW w:w="437" w:type="pct"/>
            <w:vAlign w:val="bottom"/>
          </w:tcPr>
          <w:p w14:paraId="5F9804D3" w14:textId="77777777" w:rsidR="00D83E33" w:rsidRPr="00E837F2" w:rsidRDefault="00D83E33" w:rsidP="001B330E">
            <w:pPr>
              <w:widowControl w:val="0"/>
              <w:jc w:val="right"/>
              <w:rPr>
                <w:color w:val="000000"/>
              </w:rPr>
            </w:pPr>
          </w:p>
        </w:tc>
        <w:tc>
          <w:tcPr>
            <w:tcW w:w="437" w:type="pct"/>
            <w:vAlign w:val="bottom"/>
          </w:tcPr>
          <w:p w14:paraId="65FDE9B8" w14:textId="77777777" w:rsidR="00D83E33" w:rsidRPr="00E837F2" w:rsidRDefault="00D83E33" w:rsidP="001B330E">
            <w:pPr>
              <w:widowControl w:val="0"/>
              <w:jc w:val="right"/>
              <w:rPr>
                <w:color w:val="000000"/>
              </w:rPr>
            </w:pPr>
          </w:p>
        </w:tc>
        <w:tc>
          <w:tcPr>
            <w:tcW w:w="463" w:type="pct"/>
            <w:vAlign w:val="bottom"/>
          </w:tcPr>
          <w:p w14:paraId="58FC143B" w14:textId="77777777" w:rsidR="00D83E33" w:rsidRPr="00E837F2" w:rsidRDefault="00D83E33" w:rsidP="001B330E">
            <w:pPr>
              <w:widowControl w:val="0"/>
              <w:jc w:val="right"/>
              <w:rPr>
                <w:color w:val="000000"/>
              </w:rPr>
            </w:pPr>
          </w:p>
        </w:tc>
        <w:tc>
          <w:tcPr>
            <w:tcW w:w="495" w:type="pct"/>
          </w:tcPr>
          <w:p w14:paraId="59A0F3D9" w14:textId="77777777" w:rsidR="00D83E33" w:rsidRPr="00E837F2" w:rsidRDefault="00D83E33" w:rsidP="001B330E">
            <w:pPr>
              <w:widowControl w:val="0"/>
              <w:jc w:val="right"/>
              <w:rPr>
                <w:color w:val="000000"/>
              </w:rPr>
            </w:pPr>
          </w:p>
        </w:tc>
        <w:tc>
          <w:tcPr>
            <w:tcW w:w="435" w:type="pct"/>
            <w:vAlign w:val="bottom"/>
          </w:tcPr>
          <w:p w14:paraId="0EB7B290" w14:textId="77777777" w:rsidR="00D83E33" w:rsidRPr="00E837F2" w:rsidRDefault="00D83E33" w:rsidP="001B330E">
            <w:pPr>
              <w:widowControl w:val="0"/>
              <w:jc w:val="right"/>
              <w:rPr>
                <w:color w:val="000000"/>
              </w:rPr>
            </w:pPr>
          </w:p>
        </w:tc>
      </w:tr>
      <w:tr w:rsidR="00D83E33" w:rsidRPr="00E837F2" w14:paraId="60840BCE" w14:textId="77777777" w:rsidTr="001B330E">
        <w:trPr>
          <w:trHeight w:val="23"/>
        </w:trPr>
        <w:tc>
          <w:tcPr>
            <w:tcW w:w="1370" w:type="pct"/>
            <w:vAlign w:val="bottom"/>
          </w:tcPr>
          <w:p w14:paraId="07F8C21E" w14:textId="77777777" w:rsidR="00D83E33" w:rsidRPr="00E837F2" w:rsidRDefault="00BC4072" w:rsidP="001B330E">
            <w:pPr>
              <w:widowControl w:val="0"/>
              <w:ind w:left="113" w:hanging="113"/>
              <w:rPr>
                <w:color w:val="000000"/>
              </w:rPr>
            </w:pPr>
            <w:r w:rsidRPr="00E837F2">
              <w:rPr>
                <w:color w:val="000000"/>
              </w:rPr>
              <w:t xml:space="preserve">Loans collateralised by: </w:t>
            </w:r>
          </w:p>
        </w:tc>
        <w:tc>
          <w:tcPr>
            <w:tcW w:w="463" w:type="pct"/>
            <w:vAlign w:val="bottom"/>
          </w:tcPr>
          <w:p w14:paraId="6D3BBAD5" w14:textId="77777777" w:rsidR="00D83E33" w:rsidRPr="00E837F2" w:rsidRDefault="00D83E33" w:rsidP="001B330E">
            <w:pPr>
              <w:widowControl w:val="0"/>
              <w:jc w:val="right"/>
              <w:rPr>
                <w:color w:val="000000"/>
              </w:rPr>
            </w:pPr>
          </w:p>
        </w:tc>
        <w:tc>
          <w:tcPr>
            <w:tcW w:w="463" w:type="pct"/>
            <w:vAlign w:val="bottom"/>
          </w:tcPr>
          <w:p w14:paraId="277B7797" w14:textId="77777777" w:rsidR="00D83E33" w:rsidRPr="00E837F2" w:rsidRDefault="00D83E33" w:rsidP="001B330E">
            <w:pPr>
              <w:widowControl w:val="0"/>
              <w:jc w:val="right"/>
              <w:rPr>
                <w:color w:val="000000"/>
              </w:rPr>
            </w:pPr>
          </w:p>
        </w:tc>
        <w:tc>
          <w:tcPr>
            <w:tcW w:w="437" w:type="pct"/>
            <w:vAlign w:val="bottom"/>
          </w:tcPr>
          <w:p w14:paraId="46A79939" w14:textId="77777777" w:rsidR="00D83E33" w:rsidRPr="00E837F2" w:rsidRDefault="00D83E33" w:rsidP="001B330E">
            <w:pPr>
              <w:widowControl w:val="0"/>
              <w:jc w:val="right"/>
              <w:rPr>
                <w:color w:val="000000"/>
              </w:rPr>
            </w:pPr>
          </w:p>
        </w:tc>
        <w:tc>
          <w:tcPr>
            <w:tcW w:w="437" w:type="pct"/>
            <w:vAlign w:val="bottom"/>
          </w:tcPr>
          <w:p w14:paraId="26ADF07B" w14:textId="77777777" w:rsidR="00D83E33" w:rsidRPr="00E837F2" w:rsidRDefault="00D83E33" w:rsidP="001B330E">
            <w:pPr>
              <w:widowControl w:val="0"/>
              <w:jc w:val="right"/>
              <w:rPr>
                <w:color w:val="000000"/>
              </w:rPr>
            </w:pPr>
          </w:p>
        </w:tc>
        <w:tc>
          <w:tcPr>
            <w:tcW w:w="437" w:type="pct"/>
            <w:vAlign w:val="bottom"/>
          </w:tcPr>
          <w:p w14:paraId="79EF712D" w14:textId="77777777" w:rsidR="00D83E33" w:rsidRPr="00E837F2" w:rsidRDefault="00D83E33" w:rsidP="001B330E">
            <w:pPr>
              <w:widowControl w:val="0"/>
              <w:jc w:val="right"/>
              <w:rPr>
                <w:color w:val="000000"/>
              </w:rPr>
            </w:pPr>
          </w:p>
        </w:tc>
        <w:tc>
          <w:tcPr>
            <w:tcW w:w="463" w:type="pct"/>
            <w:vAlign w:val="bottom"/>
          </w:tcPr>
          <w:p w14:paraId="71D5CB06" w14:textId="77777777" w:rsidR="00D83E33" w:rsidRPr="00E837F2" w:rsidRDefault="00D83E33" w:rsidP="001B330E">
            <w:pPr>
              <w:widowControl w:val="0"/>
              <w:jc w:val="right"/>
              <w:rPr>
                <w:color w:val="000000"/>
              </w:rPr>
            </w:pPr>
          </w:p>
        </w:tc>
        <w:tc>
          <w:tcPr>
            <w:tcW w:w="495" w:type="pct"/>
          </w:tcPr>
          <w:p w14:paraId="31DA92CD" w14:textId="77777777" w:rsidR="00D83E33" w:rsidRPr="00E837F2" w:rsidRDefault="00D83E33" w:rsidP="001B330E">
            <w:pPr>
              <w:widowControl w:val="0"/>
              <w:jc w:val="right"/>
              <w:rPr>
                <w:color w:val="000000"/>
              </w:rPr>
            </w:pPr>
          </w:p>
        </w:tc>
        <w:tc>
          <w:tcPr>
            <w:tcW w:w="435" w:type="pct"/>
            <w:vAlign w:val="bottom"/>
          </w:tcPr>
          <w:p w14:paraId="293E926C" w14:textId="77777777" w:rsidR="00D83E33" w:rsidRPr="00E837F2" w:rsidRDefault="00D83E33" w:rsidP="001B330E">
            <w:pPr>
              <w:widowControl w:val="0"/>
              <w:jc w:val="right"/>
              <w:rPr>
                <w:color w:val="000000"/>
              </w:rPr>
            </w:pPr>
          </w:p>
        </w:tc>
      </w:tr>
      <w:tr w:rsidR="00D83E33" w:rsidRPr="00E837F2" w14:paraId="59D22D30" w14:textId="77777777" w:rsidTr="001B330E">
        <w:trPr>
          <w:trHeight w:val="23"/>
        </w:trPr>
        <w:tc>
          <w:tcPr>
            <w:tcW w:w="1370" w:type="pct"/>
            <w:vAlign w:val="bottom"/>
          </w:tcPr>
          <w:p w14:paraId="44C5BE1E" w14:textId="77777777" w:rsidR="00D83E33" w:rsidRPr="00E837F2" w:rsidRDefault="00BC4072" w:rsidP="001B330E">
            <w:pPr>
              <w:widowControl w:val="0"/>
              <w:ind w:left="113" w:hanging="113"/>
              <w:rPr>
                <w:color w:val="000000"/>
              </w:rPr>
            </w:pPr>
            <w:r w:rsidRPr="00E837F2">
              <w:rPr>
                <w:color w:val="000000"/>
              </w:rPr>
              <w:t>- residential real estate</w:t>
            </w:r>
          </w:p>
        </w:tc>
        <w:tc>
          <w:tcPr>
            <w:tcW w:w="463" w:type="pct"/>
            <w:vAlign w:val="bottom"/>
          </w:tcPr>
          <w:p w14:paraId="711B6E65" w14:textId="77777777" w:rsidR="00D83E33" w:rsidRPr="00E837F2" w:rsidRDefault="00D83E33" w:rsidP="001B330E">
            <w:pPr>
              <w:widowControl w:val="0"/>
              <w:jc w:val="right"/>
              <w:rPr>
                <w:color w:val="000000"/>
              </w:rPr>
            </w:pPr>
          </w:p>
        </w:tc>
        <w:tc>
          <w:tcPr>
            <w:tcW w:w="463" w:type="pct"/>
            <w:vAlign w:val="bottom"/>
          </w:tcPr>
          <w:p w14:paraId="44670F4E" w14:textId="77777777" w:rsidR="00D83E33" w:rsidRPr="00E837F2" w:rsidRDefault="00D83E33" w:rsidP="001B330E">
            <w:pPr>
              <w:widowControl w:val="0"/>
              <w:jc w:val="right"/>
              <w:rPr>
                <w:color w:val="000000"/>
              </w:rPr>
            </w:pPr>
          </w:p>
        </w:tc>
        <w:tc>
          <w:tcPr>
            <w:tcW w:w="437" w:type="pct"/>
            <w:vAlign w:val="bottom"/>
          </w:tcPr>
          <w:p w14:paraId="40C2EB7E" w14:textId="77777777" w:rsidR="00D83E33" w:rsidRPr="00E837F2" w:rsidRDefault="00D83E33" w:rsidP="001B330E">
            <w:pPr>
              <w:widowControl w:val="0"/>
              <w:jc w:val="right"/>
              <w:rPr>
                <w:color w:val="000000"/>
              </w:rPr>
            </w:pPr>
          </w:p>
        </w:tc>
        <w:tc>
          <w:tcPr>
            <w:tcW w:w="437" w:type="pct"/>
            <w:vAlign w:val="bottom"/>
          </w:tcPr>
          <w:p w14:paraId="10D1178B" w14:textId="77777777" w:rsidR="00D83E33" w:rsidRPr="00E837F2" w:rsidRDefault="00D83E33" w:rsidP="001B330E">
            <w:pPr>
              <w:widowControl w:val="0"/>
              <w:jc w:val="right"/>
              <w:rPr>
                <w:color w:val="000000"/>
              </w:rPr>
            </w:pPr>
          </w:p>
        </w:tc>
        <w:tc>
          <w:tcPr>
            <w:tcW w:w="437" w:type="pct"/>
            <w:vAlign w:val="bottom"/>
          </w:tcPr>
          <w:p w14:paraId="4080F002" w14:textId="77777777" w:rsidR="00D83E33" w:rsidRPr="00E837F2" w:rsidRDefault="00D83E33" w:rsidP="001B330E">
            <w:pPr>
              <w:widowControl w:val="0"/>
              <w:jc w:val="right"/>
              <w:rPr>
                <w:color w:val="000000"/>
              </w:rPr>
            </w:pPr>
          </w:p>
        </w:tc>
        <w:tc>
          <w:tcPr>
            <w:tcW w:w="463" w:type="pct"/>
            <w:vAlign w:val="bottom"/>
          </w:tcPr>
          <w:p w14:paraId="2D8465A1" w14:textId="77777777" w:rsidR="00D83E33" w:rsidRPr="00E837F2" w:rsidRDefault="00D83E33" w:rsidP="001B330E">
            <w:pPr>
              <w:widowControl w:val="0"/>
              <w:jc w:val="right"/>
              <w:rPr>
                <w:color w:val="000000"/>
              </w:rPr>
            </w:pPr>
          </w:p>
        </w:tc>
        <w:tc>
          <w:tcPr>
            <w:tcW w:w="495" w:type="pct"/>
          </w:tcPr>
          <w:p w14:paraId="4B3B905A" w14:textId="77777777" w:rsidR="00D83E33" w:rsidRPr="00E837F2" w:rsidRDefault="00D83E33" w:rsidP="001B330E">
            <w:pPr>
              <w:widowControl w:val="0"/>
              <w:jc w:val="right"/>
              <w:rPr>
                <w:color w:val="000000"/>
              </w:rPr>
            </w:pPr>
          </w:p>
        </w:tc>
        <w:tc>
          <w:tcPr>
            <w:tcW w:w="435" w:type="pct"/>
            <w:vAlign w:val="bottom"/>
          </w:tcPr>
          <w:p w14:paraId="471DB5BF" w14:textId="77777777" w:rsidR="00D83E33" w:rsidRPr="00E837F2" w:rsidRDefault="00D83E33" w:rsidP="001B330E">
            <w:pPr>
              <w:widowControl w:val="0"/>
              <w:jc w:val="right"/>
              <w:rPr>
                <w:color w:val="000000"/>
              </w:rPr>
            </w:pPr>
          </w:p>
        </w:tc>
      </w:tr>
      <w:tr w:rsidR="00D83E33" w:rsidRPr="00E837F2" w14:paraId="6FBB73F1" w14:textId="77777777" w:rsidTr="001B330E">
        <w:trPr>
          <w:trHeight w:val="23"/>
        </w:trPr>
        <w:tc>
          <w:tcPr>
            <w:tcW w:w="1370" w:type="pct"/>
            <w:vAlign w:val="bottom"/>
          </w:tcPr>
          <w:p w14:paraId="6F1C6B3E" w14:textId="77777777" w:rsidR="00D83E33" w:rsidRPr="00E837F2" w:rsidRDefault="00BC4072" w:rsidP="001B330E">
            <w:pPr>
              <w:widowControl w:val="0"/>
              <w:ind w:left="113" w:hanging="113"/>
              <w:rPr>
                <w:color w:val="000000"/>
              </w:rPr>
            </w:pPr>
            <w:r w:rsidRPr="00E837F2">
              <w:rPr>
                <w:color w:val="000000"/>
              </w:rPr>
              <w:t>- other real estate</w:t>
            </w:r>
          </w:p>
        </w:tc>
        <w:tc>
          <w:tcPr>
            <w:tcW w:w="463" w:type="pct"/>
            <w:vAlign w:val="bottom"/>
          </w:tcPr>
          <w:p w14:paraId="304B1D70" w14:textId="77777777" w:rsidR="00D83E33" w:rsidRPr="00E837F2" w:rsidRDefault="00D83E33" w:rsidP="001B330E">
            <w:pPr>
              <w:widowControl w:val="0"/>
              <w:jc w:val="right"/>
              <w:rPr>
                <w:color w:val="000000"/>
              </w:rPr>
            </w:pPr>
          </w:p>
        </w:tc>
        <w:tc>
          <w:tcPr>
            <w:tcW w:w="463" w:type="pct"/>
            <w:vAlign w:val="bottom"/>
          </w:tcPr>
          <w:p w14:paraId="4CB52B87" w14:textId="77777777" w:rsidR="00D83E33" w:rsidRPr="00E837F2" w:rsidRDefault="00D83E33" w:rsidP="001B330E">
            <w:pPr>
              <w:widowControl w:val="0"/>
              <w:jc w:val="right"/>
              <w:rPr>
                <w:color w:val="000000"/>
              </w:rPr>
            </w:pPr>
          </w:p>
        </w:tc>
        <w:tc>
          <w:tcPr>
            <w:tcW w:w="437" w:type="pct"/>
            <w:vAlign w:val="bottom"/>
          </w:tcPr>
          <w:p w14:paraId="5D53ABB7" w14:textId="77777777" w:rsidR="00D83E33" w:rsidRPr="00E837F2" w:rsidRDefault="00D83E33" w:rsidP="001B330E">
            <w:pPr>
              <w:widowControl w:val="0"/>
              <w:jc w:val="right"/>
              <w:rPr>
                <w:color w:val="000000"/>
              </w:rPr>
            </w:pPr>
          </w:p>
        </w:tc>
        <w:tc>
          <w:tcPr>
            <w:tcW w:w="437" w:type="pct"/>
            <w:vAlign w:val="bottom"/>
          </w:tcPr>
          <w:p w14:paraId="6DEF64DE" w14:textId="77777777" w:rsidR="00D83E33" w:rsidRPr="00E837F2" w:rsidRDefault="00D83E33" w:rsidP="001B330E">
            <w:pPr>
              <w:widowControl w:val="0"/>
              <w:jc w:val="right"/>
              <w:rPr>
                <w:color w:val="000000"/>
              </w:rPr>
            </w:pPr>
          </w:p>
        </w:tc>
        <w:tc>
          <w:tcPr>
            <w:tcW w:w="437" w:type="pct"/>
            <w:vAlign w:val="bottom"/>
          </w:tcPr>
          <w:p w14:paraId="13FD8D3D" w14:textId="77777777" w:rsidR="00D83E33" w:rsidRPr="00E837F2" w:rsidRDefault="00D83E33" w:rsidP="001B330E">
            <w:pPr>
              <w:widowControl w:val="0"/>
              <w:jc w:val="right"/>
              <w:rPr>
                <w:color w:val="000000"/>
              </w:rPr>
            </w:pPr>
          </w:p>
        </w:tc>
        <w:tc>
          <w:tcPr>
            <w:tcW w:w="463" w:type="pct"/>
            <w:vAlign w:val="bottom"/>
          </w:tcPr>
          <w:p w14:paraId="012028EB" w14:textId="77777777" w:rsidR="00D83E33" w:rsidRPr="00E837F2" w:rsidRDefault="00D83E33" w:rsidP="001B330E">
            <w:pPr>
              <w:widowControl w:val="0"/>
              <w:jc w:val="right"/>
              <w:rPr>
                <w:color w:val="000000"/>
              </w:rPr>
            </w:pPr>
          </w:p>
        </w:tc>
        <w:tc>
          <w:tcPr>
            <w:tcW w:w="495" w:type="pct"/>
          </w:tcPr>
          <w:p w14:paraId="49CE64FC" w14:textId="77777777" w:rsidR="00D83E33" w:rsidRPr="00E837F2" w:rsidRDefault="00D83E33" w:rsidP="001B330E">
            <w:pPr>
              <w:widowControl w:val="0"/>
              <w:jc w:val="right"/>
              <w:rPr>
                <w:color w:val="000000"/>
              </w:rPr>
            </w:pPr>
          </w:p>
        </w:tc>
        <w:tc>
          <w:tcPr>
            <w:tcW w:w="435" w:type="pct"/>
            <w:vAlign w:val="bottom"/>
          </w:tcPr>
          <w:p w14:paraId="0E04F86F" w14:textId="77777777" w:rsidR="00D83E33" w:rsidRPr="00E837F2" w:rsidRDefault="00D83E33" w:rsidP="001B330E">
            <w:pPr>
              <w:widowControl w:val="0"/>
              <w:jc w:val="right"/>
              <w:rPr>
                <w:color w:val="000000"/>
              </w:rPr>
            </w:pPr>
          </w:p>
        </w:tc>
      </w:tr>
      <w:tr w:rsidR="00D83E33" w:rsidRPr="00E837F2" w14:paraId="64E76D6C" w14:textId="77777777" w:rsidTr="001B330E">
        <w:trPr>
          <w:trHeight w:val="23"/>
        </w:trPr>
        <w:tc>
          <w:tcPr>
            <w:tcW w:w="1370" w:type="pct"/>
            <w:vAlign w:val="bottom"/>
          </w:tcPr>
          <w:p w14:paraId="055BD88B" w14:textId="77777777" w:rsidR="00D83E33" w:rsidRPr="00E837F2" w:rsidRDefault="00BC4072" w:rsidP="001B330E">
            <w:pPr>
              <w:widowControl w:val="0"/>
              <w:ind w:left="113" w:hanging="113"/>
              <w:rPr>
                <w:color w:val="000000"/>
              </w:rPr>
            </w:pPr>
            <w:r w:rsidRPr="00E837F2">
              <w:rPr>
                <w:color w:val="000000"/>
              </w:rPr>
              <w:t>- tradable securities</w:t>
            </w:r>
          </w:p>
        </w:tc>
        <w:tc>
          <w:tcPr>
            <w:tcW w:w="463" w:type="pct"/>
            <w:vAlign w:val="bottom"/>
          </w:tcPr>
          <w:p w14:paraId="2F8F06DE" w14:textId="77777777" w:rsidR="00D83E33" w:rsidRPr="00E837F2" w:rsidRDefault="00D83E33" w:rsidP="001B330E">
            <w:pPr>
              <w:widowControl w:val="0"/>
              <w:jc w:val="right"/>
              <w:rPr>
                <w:color w:val="000000"/>
              </w:rPr>
            </w:pPr>
          </w:p>
        </w:tc>
        <w:tc>
          <w:tcPr>
            <w:tcW w:w="463" w:type="pct"/>
            <w:vAlign w:val="bottom"/>
          </w:tcPr>
          <w:p w14:paraId="1D07393C" w14:textId="77777777" w:rsidR="00D83E33" w:rsidRPr="00E837F2" w:rsidRDefault="00D83E33" w:rsidP="001B330E">
            <w:pPr>
              <w:widowControl w:val="0"/>
              <w:jc w:val="right"/>
              <w:rPr>
                <w:color w:val="000000"/>
              </w:rPr>
            </w:pPr>
          </w:p>
        </w:tc>
        <w:tc>
          <w:tcPr>
            <w:tcW w:w="437" w:type="pct"/>
            <w:vAlign w:val="bottom"/>
          </w:tcPr>
          <w:p w14:paraId="392B6A52" w14:textId="77777777" w:rsidR="00D83E33" w:rsidRPr="00E837F2" w:rsidRDefault="00D83E33" w:rsidP="001B330E">
            <w:pPr>
              <w:widowControl w:val="0"/>
              <w:jc w:val="right"/>
              <w:rPr>
                <w:color w:val="000000"/>
              </w:rPr>
            </w:pPr>
          </w:p>
        </w:tc>
        <w:tc>
          <w:tcPr>
            <w:tcW w:w="437" w:type="pct"/>
            <w:vAlign w:val="bottom"/>
          </w:tcPr>
          <w:p w14:paraId="519A961E" w14:textId="77777777" w:rsidR="00D83E33" w:rsidRPr="00E837F2" w:rsidRDefault="00D83E33" w:rsidP="001B330E">
            <w:pPr>
              <w:widowControl w:val="0"/>
              <w:jc w:val="right"/>
              <w:rPr>
                <w:color w:val="000000"/>
              </w:rPr>
            </w:pPr>
          </w:p>
        </w:tc>
        <w:tc>
          <w:tcPr>
            <w:tcW w:w="437" w:type="pct"/>
            <w:vAlign w:val="bottom"/>
          </w:tcPr>
          <w:p w14:paraId="327DDDEF" w14:textId="77777777" w:rsidR="00D83E33" w:rsidRPr="00E837F2" w:rsidRDefault="00D83E33" w:rsidP="001B330E">
            <w:pPr>
              <w:widowControl w:val="0"/>
              <w:jc w:val="right"/>
              <w:rPr>
                <w:color w:val="000000"/>
              </w:rPr>
            </w:pPr>
          </w:p>
        </w:tc>
        <w:tc>
          <w:tcPr>
            <w:tcW w:w="463" w:type="pct"/>
            <w:vAlign w:val="bottom"/>
          </w:tcPr>
          <w:p w14:paraId="21B7D5EB" w14:textId="77777777" w:rsidR="00D83E33" w:rsidRPr="00E837F2" w:rsidRDefault="00D83E33" w:rsidP="001B330E">
            <w:pPr>
              <w:widowControl w:val="0"/>
              <w:jc w:val="right"/>
              <w:rPr>
                <w:color w:val="000000"/>
              </w:rPr>
            </w:pPr>
          </w:p>
        </w:tc>
        <w:tc>
          <w:tcPr>
            <w:tcW w:w="495" w:type="pct"/>
          </w:tcPr>
          <w:p w14:paraId="249665C6" w14:textId="77777777" w:rsidR="00D83E33" w:rsidRPr="00E837F2" w:rsidRDefault="00D83E33" w:rsidP="001B330E">
            <w:pPr>
              <w:widowControl w:val="0"/>
              <w:jc w:val="right"/>
              <w:rPr>
                <w:color w:val="000000"/>
              </w:rPr>
            </w:pPr>
          </w:p>
        </w:tc>
        <w:tc>
          <w:tcPr>
            <w:tcW w:w="435" w:type="pct"/>
            <w:vAlign w:val="bottom"/>
          </w:tcPr>
          <w:p w14:paraId="38CB28C2" w14:textId="77777777" w:rsidR="00D83E33" w:rsidRPr="00E837F2" w:rsidRDefault="00D83E33" w:rsidP="001B330E">
            <w:pPr>
              <w:widowControl w:val="0"/>
              <w:jc w:val="right"/>
              <w:rPr>
                <w:color w:val="000000"/>
              </w:rPr>
            </w:pPr>
          </w:p>
        </w:tc>
      </w:tr>
      <w:tr w:rsidR="00D83E33" w:rsidRPr="00E837F2" w14:paraId="539EE67E" w14:textId="77777777" w:rsidTr="001B330E">
        <w:trPr>
          <w:trHeight w:val="23"/>
        </w:trPr>
        <w:tc>
          <w:tcPr>
            <w:tcW w:w="1370" w:type="pct"/>
            <w:vAlign w:val="bottom"/>
          </w:tcPr>
          <w:p w14:paraId="1D5DA4FF" w14:textId="77777777" w:rsidR="00D83E33" w:rsidRPr="00E837F2" w:rsidRDefault="00BC4072" w:rsidP="001B330E">
            <w:pPr>
              <w:widowControl w:val="0"/>
              <w:ind w:left="113" w:hanging="113"/>
              <w:rPr>
                <w:color w:val="000000"/>
              </w:rPr>
            </w:pPr>
            <w:r w:rsidRPr="00E837F2">
              <w:rPr>
                <w:color w:val="000000"/>
              </w:rPr>
              <w:t>- cash deposits</w:t>
            </w:r>
          </w:p>
        </w:tc>
        <w:tc>
          <w:tcPr>
            <w:tcW w:w="463" w:type="pct"/>
            <w:vAlign w:val="bottom"/>
          </w:tcPr>
          <w:p w14:paraId="2C8F9F88" w14:textId="77777777" w:rsidR="00D83E33" w:rsidRPr="00E837F2" w:rsidRDefault="00D83E33" w:rsidP="001B330E">
            <w:pPr>
              <w:widowControl w:val="0"/>
              <w:jc w:val="right"/>
              <w:rPr>
                <w:color w:val="000000"/>
              </w:rPr>
            </w:pPr>
          </w:p>
        </w:tc>
        <w:tc>
          <w:tcPr>
            <w:tcW w:w="463" w:type="pct"/>
            <w:vAlign w:val="bottom"/>
          </w:tcPr>
          <w:p w14:paraId="1CE7F688" w14:textId="77777777" w:rsidR="00D83E33" w:rsidRPr="00E837F2" w:rsidRDefault="00D83E33" w:rsidP="001B330E">
            <w:pPr>
              <w:widowControl w:val="0"/>
              <w:jc w:val="right"/>
              <w:rPr>
                <w:color w:val="000000"/>
              </w:rPr>
            </w:pPr>
          </w:p>
        </w:tc>
        <w:tc>
          <w:tcPr>
            <w:tcW w:w="437" w:type="pct"/>
            <w:vAlign w:val="bottom"/>
          </w:tcPr>
          <w:p w14:paraId="09E975E2" w14:textId="77777777" w:rsidR="00D83E33" w:rsidRPr="00E837F2" w:rsidRDefault="00D83E33" w:rsidP="001B330E">
            <w:pPr>
              <w:widowControl w:val="0"/>
              <w:jc w:val="right"/>
              <w:rPr>
                <w:color w:val="000000"/>
              </w:rPr>
            </w:pPr>
          </w:p>
        </w:tc>
        <w:tc>
          <w:tcPr>
            <w:tcW w:w="437" w:type="pct"/>
            <w:vAlign w:val="bottom"/>
          </w:tcPr>
          <w:p w14:paraId="5C5C1499" w14:textId="77777777" w:rsidR="00D83E33" w:rsidRPr="00E837F2" w:rsidRDefault="00D83E33" w:rsidP="001B330E">
            <w:pPr>
              <w:widowControl w:val="0"/>
              <w:jc w:val="right"/>
              <w:rPr>
                <w:color w:val="000000"/>
              </w:rPr>
            </w:pPr>
          </w:p>
        </w:tc>
        <w:tc>
          <w:tcPr>
            <w:tcW w:w="437" w:type="pct"/>
            <w:vAlign w:val="bottom"/>
          </w:tcPr>
          <w:p w14:paraId="538F25F2" w14:textId="77777777" w:rsidR="00D83E33" w:rsidRPr="00E837F2" w:rsidRDefault="00D83E33" w:rsidP="001B330E">
            <w:pPr>
              <w:widowControl w:val="0"/>
              <w:jc w:val="right"/>
              <w:rPr>
                <w:color w:val="000000"/>
              </w:rPr>
            </w:pPr>
          </w:p>
        </w:tc>
        <w:tc>
          <w:tcPr>
            <w:tcW w:w="463" w:type="pct"/>
            <w:vAlign w:val="bottom"/>
          </w:tcPr>
          <w:p w14:paraId="35AF9220" w14:textId="77777777" w:rsidR="00D83E33" w:rsidRPr="00E837F2" w:rsidRDefault="00D83E33" w:rsidP="001B330E">
            <w:pPr>
              <w:widowControl w:val="0"/>
              <w:jc w:val="right"/>
              <w:rPr>
                <w:color w:val="000000"/>
              </w:rPr>
            </w:pPr>
          </w:p>
        </w:tc>
        <w:tc>
          <w:tcPr>
            <w:tcW w:w="495" w:type="pct"/>
          </w:tcPr>
          <w:p w14:paraId="2B85ADF8" w14:textId="77777777" w:rsidR="00D83E33" w:rsidRPr="00E837F2" w:rsidRDefault="00D83E33" w:rsidP="001B330E">
            <w:pPr>
              <w:widowControl w:val="0"/>
              <w:jc w:val="right"/>
              <w:rPr>
                <w:color w:val="000000"/>
              </w:rPr>
            </w:pPr>
          </w:p>
        </w:tc>
        <w:tc>
          <w:tcPr>
            <w:tcW w:w="435" w:type="pct"/>
            <w:vAlign w:val="bottom"/>
          </w:tcPr>
          <w:p w14:paraId="426FBC7D" w14:textId="77777777" w:rsidR="00D83E33" w:rsidRPr="00E837F2" w:rsidRDefault="00D83E33" w:rsidP="001B330E">
            <w:pPr>
              <w:widowControl w:val="0"/>
              <w:jc w:val="right"/>
              <w:rPr>
                <w:color w:val="000000"/>
              </w:rPr>
            </w:pPr>
          </w:p>
        </w:tc>
      </w:tr>
      <w:tr w:rsidR="00D83E33" w:rsidRPr="00E837F2" w14:paraId="2EA7C485" w14:textId="77777777" w:rsidTr="001B330E">
        <w:trPr>
          <w:trHeight w:val="23"/>
        </w:trPr>
        <w:tc>
          <w:tcPr>
            <w:tcW w:w="1370" w:type="pct"/>
            <w:vAlign w:val="bottom"/>
          </w:tcPr>
          <w:p w14:paraId="11FD5CDF" w14:textId="77777777" w:rsidR="00D83E33" w:rsidRPr="00E837F2" w:rsidRDefault="00BC4072" w:rsidP="001B330E">
            <w:pPr>
              <w:widowControl w:val="0"/>
              <w:ind w:left="113" w:hanging="113"/>
              <w:rPr>
                <w:color w:val="000000"/>
              </w:rPr>
            </w:pPr>
            <w:r w:rsidRPr="00E837F2">
              <w:rPr>
                <w:color w:val="000000"/>
              </w:rPr>
              <w:t>- other assets</w:t>
            </w:r>
          </w:p>
        </w:tc>
        <w:tc>
          <w:tcPr>
            <w:tcW w:w="463" w:type="pct"/>
            <w:vAlign w:val="bottom"/>
          </w:tcPr>
          <w:p w14:paraId="3FE09C78" w14:textId="77777777" w:rsidR="00D83E33" w:rsidRPr="00E837F2" w:rsidRDefault="00D83E33" w:rsidP="001B330E">
            <w:pPr>
              <w:widowControl w:val="0"/>
              <w:jc w:val="right"/>
              <w:rPr>
                <w:color w:val="000000"/>
              </w:rPr>
            </w:pPr>
          </w:p>
        </w:tc>
        <w:tc>
          <w:tcPr>
            <w:tcW w:w="463" w:type="pct"/>
            <w:vAlign w:val="bottom"/>
          </w:tcPr>
          <w:p w14:paraId="26DF900C" w14:textId="77777777" w:rsidR="00D83E33" w:rsidRPr="00E837F2" w:rsidRDefault="00D83E33" w:rsidP="001B330E">
            <w:pPr>
              <w:widowControl w:val="0"/>
              <w:jc w:val="right"/>
              <w:rPr>
                <w:color w:val="000000"/>
              </w:rPr>
            </w:pPr>
          </w:p>
        </w:tc>
        <w:tc>
          <w:tcPr>
            <w:tcW w:w="437" w:type="pct"/>
            <w:vAlign w:val="bottom"/>
          </w:tcPr>
          <w:p w14:paraId="69A5D7C6" w14:textId="77777777" w:rsidR="00D83E33" w:rsidRPr="00E837F2" w:rsidRDefault="00D83E33" w:rsidP="001B330E">
            <w:pPr>
              <w:widowControl w:val="0"/>
              <w:jc w:val="right"/>
              <w:rPr>
                <w:color w:val="000000"/>
              </w:rPr>
            </w:pPr>
          </w:p>
        </w:tc>
        <w:tc>
          <w:tcPr>
            <w:tcW w:w="437" w:type="pct"/>
            <w:vAlign w:val="bottom"/>
          </w:tcPr>
          <w:p w14:paraId="1A53C8B5" w14:textId="77777777" w:rsidR="00D83E33" w:rsidRPr="00E837F2" w:rsidRDefault="00D83E33" w:rsidP="001B330E">
            <w:pPr>
              <w:widowControl w:val="0"/>
              <w:jc w:val="right"/>
              <w:rPr>
                <w:color w:val="000000"/>
              </w:rPr>
            </w:pPr>
          </w:p>
        </w:tc>
        <w:tc>
          <w:tcPr>
            <w:tcW w:w="437" w:type="pct"/>
            <w:vAlign w:val="bottom"/>
          </w:tcPr>
          <w:p w14:paraId="1B47924F" w14:textId="77777777" w:rsidR="00D83E33" w:rsidRPr="00E837F2" w:rsidRDefault="00D83E33" w:rsidP="001B330E">
            <w:pPr>
              <w:widowControl w:val="0"/>
              <w:jc w:val="right"/>
              <w:rPr>
                <w:color w:val="000000"/>
              </w:rPr>
            </w:pPr>
          </w:p>
        </w:tc>
        <w:tc>
          <w:tcPr>
            <w:tcW w:w="463" w:type="pct"/>
            <w:vAlign w:val="bottom"/>
          </w:tcPr>
          <w:p w14:paraId="23C4B046" w14:textId="77777777" w:rsidR="00D83E33" w:rsidRPr="00E837F2" w:rsidRDefault="00D83E33" w:rsidP="001B330E">
            <w:pPr>
              <w:widowControl w:val="0"/>
              <w:jc w:val="right"/>
              <w:rPr>
                <w:color w:val="000000"/>
              </w:rPr>
            </w:pPr>
          </w:p>
        </w:tc>
        <w:tc>
          <w:tcPr>
            <w:tcW w:w="495" w:type="pct"/>
          </w:tcPr>
          <w:p w14:paraId="4BAB4386" w14:textId="77777777" w:rsidR="00D83E33" w:rsidRPr="00E837F2" w:rsidRDefault="00D83E33" w:rsidP="001B330E">
            <w:pPr>
              <w:widowControl w:val="0"/>
              <w:jc w:val="right"/>
              <w:rPr>
                <w:color w:val="000000"/>
              </w:rPr>
            </w:pPr>
          </w:p>
        </w:tc>
        <w:tc>
          <w:tcPr>
            <w:tcW w:w="435" w:type="pct"/>
            <w:vAlign w:val="bottom"/>
          </w:tcPr>
          <w:p w14:paraId="044A3A35" w14:textId="77777777" w:rsidR="00D83E33" w:rsidRPr="00E837F2" w:rsidRDefault="00D83E33" w:rsidP="001B330E">
            <w:pPr>
              <w:widowControl w:val="0"/>
              <w:jc w:val="right"/>
              <w:rPr>
                <w:color w:val="000000"/>
              </w:rPr>
            </w:pPr>
          </w:p>
        </w:tc>
      </w:tr>
      <w:tr w:rsidR="00D83E33" w:rsidRPr="00E837F2" w14:paraId="4426CE7B" w14:textId="77777777" w:rsidTr="001B330E">
        <w:trPr>
          <w:trHeight w:val="23"/>
        </w:trPr>
        <w:tc>
          <w:tcPr>
            <w:tcW w:w="1370" w:type="pct"/>
            <w:tcBorders>
              <w:bottom w:val="single" w:sz="6" w:space="0" w:color="000000"/>
            </w:tcBorders>
            <w:vAlign w:val="bottom"/>
          </w:tcPr>
          <w:p w14:paraId="752ADDCE" w14:textId="77777777" w:rsidR="00D83E33" w:rsidRPr="001B330E" w:rsidRDefault="00D83E33" w:rsidP="001B330E">
            <w:pPr>
              <w:widowControl w:val="0"/>
              <w:ind w:left="113" w:hanging="113"/>
              <w:rPr>
                <w:color w:val="000000"/>
                <w:szCs w:val="12"/>
              </w:rPr>
            </w:pPr>
          </w:p>
        </w:tc>
        <w:tc>
          <w:tcPr>
            <w:tcW w:w="463" w:type="pct"/>
            <w:tcBorders>
              <w:bottom w:val="single" w:sz="6" w:space="0" w:color="000000"/>
            </w:tcBorders>
            <w:vAlign w:val="bottom"/>
          </w:tcPr>
          <w:p w14:paraId="088C3095" w14:textId="77777777" w:rsidR="00D83E33" w:rsidRPr="001B330E" w:rsidRDefault="00D83E33" w:rsidP="001B330E">
            <w:pPr>
              <w:widowControl w:val="0"/>
              <w:jc w:val="right"/>
              <w:rPr>
                <w:color w:val="000000"/>
                <w:szCs w:val="12"/>
              </w:rPr>
            </w:pPr>
          </w:p>
        </w:tc>
        <w:tc>
          <w:tcPr>
            <w:tcW w:w="463" w:type="pct"/>
            <w:tcBorders>
              <w:bottom w:val="single" w:sz="6" w:space="0" w:color="000000"/>
            </w:tcBorders>
            <w:vAlign w:val="bottom"/>
          </w:tcPr>
          <w:p w14:paraId="05308AA4" w14:textId="77777777" w:rsidR="00D83E33" w:rsidRPr="001B330E" w:rsidRDefault="00D83E33" w:rsidP="001B330E">
            <w:pPr>
              <w:widowControl w:val="0"/>
              <w:jc w:val="right"/>
              <w:rPr>
                <w:color w:val="000000"/>
                <w:szCs w:val="12"/>
              </w:rPr>
            </w:pPr>
          </w:p>
        </w:tc>
        <w:tc>
          <w:tcPr>
            <w:tcW w:w="437" w:type="pct"/>
            <w:tcBorders>
              <w:bottom w:val="single" w:sz="6" w:space="0" w:color="000000"/>
            </w:tcBorders>
            <w:vAlign w:val="bottom"/>
          </w:tcPr>
          <w:p w14:paraId="32436622" w14:textId="77777777" w:rsidR="00D83E33" w:rsidRPr="001B330E" w:rsidRDefault="00D83E33" w:rsidP="001B330E">
            <w:pPr>
              <w:widowControl w:val="0"/>
              <w:jc w:val="right"/>
              <w:rPr>
                <w:color w:val="000000"/>
                <w:szCs w:val="12"/>
              </w:rPr>
            </w:pPr>
          </w:p>
        </w:tc>
        <w:tc>
          <w:tcPr>
            <w:tcW w:w="437" w:type="pct"/>
            <w:tcBorders>
              <w:bottom w:val="single" w:sz="6" w:space="0" w:color="000000"/>
            </w:tcBorders>
            <w:vAlign w:val="bottom"/>
          </w:tcPr>
          <w:p w14:paraId="5EB1F4CD" w14:textId="77777777" w:rsidR="00D83E33" w:rsidRPr="001B330E" w:rsidRDefault="00D83E33" w:rsidP="001B330E">
            <w:pPr>
              <w:widowControl w:val="0"/>
              <w:jc w:val="right"/>
              <w:rPr>
                <w:color w:val="000000"/>
                <w:szCs w:val="12"/>
              </w:rPr>
            </w:pPr>
          </w:p>
        </w:tc>
        <w:tc>
          <w:tcPr>
            <w:tcW w:w="437" w:type="pct"/>
            <w:tcBorders>
              <w:bottom w:val="single" w:sz="6" w:space="0" w:color="000000"/>
            </w:tcBorders>
            <w:vAlign w:val="bottom"/>
          </w:tcPr>
          <w:p w14:paraId="6C093D21" w14:textId="77777777" w:rsidR="00D83E33" w:rsidRPr="001B330E" w:rsidRDefault="00D83E33" w:rsidP="001B330E">
            <w:pPr>
              <w:widowControl w:val="0"/>
              <w:jc w:val="right"/>
              <w:rPr>
                <w:color w:val="000000"/>
                <w:szCs w:val="12"/>
              </w:rPr>
            </w:pPr>
          </w:p>
        </w:tc>
        <w:tc>
          <w:tcPr>
            <w:tcW w:w="463" w:type="pct"/>
            <w:tcBorders>
              <w:bottom w:val="single" w:sz="6" w:space="0" w:color="000000"/>
            </w:tcBorders>
            <w:vAlign w:val="bottom"/>
          </w:tcPr>
          <w:p w14:paraId="397B00F7" w14:textId="77777777" w:rsidR="00D83E33" w:rsidRPr="001B330E" w:rsidRDefault="00D83E33" w:rsidP="001B330E">
            <w:pPr>
              <w:widowControl w:val="0"/>
              <w:jc w:val="right"/>
              <w:rPr>
                <w:color w:val="000000"/>
                <w:szCs w:val="12"/>
              </w:rPr>
            </w:pPr>
          </w:p>
        </w:tc>
        <w:tc>
          <w:tcPr>
            <w:tcW w:w="495" w:type="pct"/>
            <w:tcBorders>
              <w:bottom w:val="single" w:sz="6" w:space="0" w:color="000000"/>
            </w:tcBorders>
          </w:tcPr>
          <w:p w14:paraId="3EE0E5D0" w14:textId="77777777" w:rsidR="00D83E33" w:rsidRPr="001B330E" w:rsidRDefault="00D83E33" w:rsidP="001B330E">
            <w:pPr>
              <w:widowControl w:val="0"/>
              <w:jc w:val="right"/>
              <w:rPr>
                <w:color w:val="000000"/>
                <w:szCs w:val="12"/>
              </w:rPr>
            </w:pPr>
          </w:p>
        </w:tc>
        <w:tc>
          <w:tcPr>
            <w:tcW w:w="435" w:type="pct"/>
            <w:tcBorders>
              <w:bottom w:val="single" w:sz="6" w:space="0" w:color="000000"/>
            </w:tcBorders>
            <w:vAlign w:val="bottom"/>
          </w:tcPr>
          <w:p w14:paraId="54DD2D7C" w14:textId="77777777" w:rsidR="00D83E33" w:rsidRPr="001B330E" w:rsidRDefault="00D83E33" w:rsidP="001B330E">
            <w:pPr>
              <w:widowControl w:val="0"/>
              <w:jc w:val="right"/>
              <w:rPr>
                <w:color w:val="000000"/>
                <w:szCs w:val="12"/>
              </w:rPr>
            </w:pPr>
          </w:p>
        </w:tc>
      </w:tr>
      <w:tr w:rsidR="00D83E33" w:rsidRPr="00E837F2" w14:paraId="561C9B63" w14:textId="77777777" w:rsidTr="001B330E">
        <w:trPr>
          <w:trHeight w:val="23"/>
        </w:trPr>
        <w:tc>
          <w:tcPr>
            <w:tcW w:w="1370" w:type="pct"/>
            <w:tcBorders>
              <w:top w:val="single" w:sz="6" w:space="0" w:color="000000"/>
            </w:tcBorders>
            <w:vAlign w:val="bottom"/>
          </w:tcPr>
          <w:p w14:paraId="1FCC15C2" w14:textId="77777777" w:rsidR="00D83E33" w:rsidRPr="001B330E" w:rsidRDefault="00D83E33" w:rsidP="001B330E">
            <w:pPr>
              <w:widowControl w:val="0"/>
              <w:ind w:left="113" w:hanging="113"/>
              <w:rPr>
                <w:color w:val="000000"/>
                <w:szCs w:val="12"/>
              </w:rPr>
            </w:pPr>
          </w:p>
        </w:tc>
        <w:tc>
          <w:tcPr>
            <w:tcW w:w="463" w:type="pct"/>
            <w:tcBorders>
              <w:top w:val="single" w:sz="6" w:space="0" w:color="000000"/>
            </w:tcBorders>
            <w:vAlign w:val="bottom"/>
          </w:tcPr>
          <w:p w14:paraId="736B7B7B" w14:textId="77777777" w:rsidR="00D83E33" w:rsidRPr="001B330E" w:rsidRDefault="00D83E33" w:rsidP="001B330E">
            <w:pPr>
              <w:widowControl w:val="0"/>
              <w:jc w:val="right"/>
              <w:rPr>
                <w:color w:val="000000"/>
                <w:szCs w:val="12"/>
              </w:rPr>
            </w:pPr>
          </w:p>
        </w:tc>
        <w:tc>
          <w:tcPr>
            <w:tcW w:w="463" w:type="pct"/>
            <w:tcBorders>
              <w:top w:val="single" w:sz="6" w:space="0" w:color="000000"/>
            </w:tcBorders>
            <w:vAlign w:val="bottom"/>
          </w:tcPr>
          <w:p w14:paraId="7D6D0CE0" w14:textId="77777777" w:rsidR="00D83E33" w:rsidRPr="001B330E" w:rsidRDefault="00D83E33" w:rsidP="001B330E">
            <w:pPr>
              <w:widowControl w:val="0"/>
              <w:jc w:val="right"/>
              <w:rPr>
                <w:color w:val="000000"/>
                <w:szCs w:val="12"/>
              </w:rPr>
            </w:pPr>
          </w:p>
        </w:tc>
        <w:tc>
          <w:tcPr>
            <w:tcW w:w="437" w:type="pct"/>
            <w:tcBorders>
              <w:top w:val="single" w:sz="6" w:space="0" w:color="000000"/>
            </w:tcBorders>
            <w:vAlign w:val="bottom"/>
          </w:tcPr>
          <w:p w14:paraId="5B93DC7E" w14:textId="77777777" w:rsidR="00D83E33" w:rsidRPr="001B330E" w:rsidRDefault="00D83E33" w:rsidP="001B330E">
            <w:pPr>
              <w:widowControl w:val="0"/>
              <w:jc w:val="right"/>
              <w:rPr>
                <w:color w:val="000000"/>
                <w:szCs w:val="12"/>
              </w:rPr>
            </w:pPr>
          </w:p>
        </w:tc>
        <w:tc>
          <w:tcPr>
            <w:tcW w:w="437" w:type="pct"/>
            <w:tcBorders>
              <w:top w:val="single" w:sz="6" w:space="0" w:color="000000"/>
            </w:tcBorders>
            <w:vAlign w:val="bottom"/>
          </w:tcPr>
          <w:p w14:paraId="527EB5FF" w14:textId="77777777" w:rsidR="00D83E33" w:rsidRPr="001B330E" w:rsidRDefault="00D83E33" w:rsidP="001B330E">
            <w:pPr>
              <w:widowControl w:val="0"/>
              <w:jc w:val="right"/>
              <w:rPr>
                <w:color w:val="000000"/>
                <w:szCs w:val="12"/>
              </w:rPr>
            </w:pPr>
          </w:p>
        </w:tc>
        <w:tc>
          <w:tcPr>
            <w:tcW w:w="437" w:type="pct"/>
            <w:tcBorders>
              <w:top w:val="single" w:sz="6" w:space="0" w:color="000000"/>
            </w:tcBorders>
            <w:vAlign w:val="bottom"/>
          </w:tcPr>
          <w:p w14:paraId="6218EAE0" w14:textId="77777777" w:rsidR="00D83E33" w:rsidRPr="001B330E" w:rsidRDefault="00D83E33" w:rsidP="001B330E">
            <w:pPr>
              <w:widowControl w:val="0"/>
              <w:jc w:val="right"/>
              <w:rPr>
                <w:color w:val="000000"/>
                <w:szCs w:val="12"/>
              </w:rPr>
            </w:pPr>
          </w:p>
        </w:tc>
        <w:tc>
          <w:tcPr>
            <w:tcW w:w="463" w:type="pct"/>
            <w:tcBorders>
              <w:top w:val="single" w:sz="6" w:space="0" w:color="000000"/>
            </w:tcBorders>
            <w:vAlign w:val="bottom"/>
          </w:tcPr>
          <w:p w14:paraId="70F77B26" w14:textId="77777777" w:rsidR="00D83E33" w:rsidRPr="001B330E" w:rsidRDefault="00D83E33" w:rsidP="001B330E">
            <w:pPr>
              <w:widowControl w:val="0"/>
              <w:jc w:val="right"/>
              <w:rPr>
                <w:color w:val="000000"/>
                <w:szCs w:val="12"/>
              </w:rPr>
            </w:pPr>
          </w:p>
        </w:tc>
        <w:tc>
          <w:tcPr>
            <w:tcW w:w="495" w:type="pct"/>
            <w:tcBorders>
              <w:top w:val="single" w:sz="6" w:space="0" w:color="000000"/>
            </w:tcBorders>
          </w:tcPr>
          <w:p w14:paraId="613C5099" w14:textId="77777777" w:rsidR="00D83E33" w:rsidRPr="001B330E" w:rsidRDefault="00D83E33" w:rsidP="001B330E">
            <w:pPr>
              <w:widowControl w:val="0"/>
              <w:jc w:val="right"/>
              <w:rPr>
                <w:color w:val="000000"/>
                <w:szCs w:val="12"/>
              </w:rPr>
            </w:pPr>
          </w:p>
        </w:tc>
        <w:tc>
          <w:tcPr>
            <w:tcW w:w="435" w:type="pct"/>
            <w:tcBorders>
              <w:top w:val="single" w:sz="6" w:space="0" w:color="000000"/>
            </w:tcBorders>
            <w:vAlign w:val="bottom"/>
          </w:tcPr>
          <w:p w14:paraId="61ECD7B8" w14:textId="77777777" w:rsidR="00D83E33" w:rsidRPr="001B330E" w:rsidRDefault="00D83E33" w:rsidP="001B330E">
            <w:pPr>
              <w:widowControl w:val="0"/>
              <w:jc w:val="right"/>
              <w:rPr>
                <w:color w:val="000000"/>
                <w:szCs w:val="12"/>
              </w:rPr>
            </w:pPr>
          </w:p>
        </w:tc>
      </w:tr>
      <w:tr w:rsidR="00D83E33" w:rsidRPr="00E837F2" w14:paraId="3A20EE1F" w14:textId="77777777" w:rsidTr="001B330E">
        <w:trPr>
          <w:trHeight w:val="23"/>
        </w:trPr>
        <w:tc>
          <w:tcPr>
            <w:tcW w:w="1370" w:type="pct"/>
            <w:vAlign w:val="bottom"/>
          </w:tcPr>
          <w:p w14:paraId="2282143C" w14:textId="77777777" w:rsidR="00D83E33" w:rsidRPr="00E837F2" w:rsidRDefault="00BC4072" w:rsidP="001B330E">
            <w:pPr>
              <w:widowControl w:val="0"/>
              <w:ind w:left="113" w:hanging="113"/>
              <w:rPr>
                <w:color w:val="000000"/>
              </w:rPr>
            </w:pPr>
            <w:r w:rsidRPr="00E837F2">
              <w:rPr>
                <w:color w:val="000000"/>
              </w:rPr>
              <w:t xml:space="preserve">Total </w:t>
            </w:r>
          </w:p>
        </w:tc>
        <w:tc>
          <w:tcPr>
            <w:tcW w:w="463" w:type="pct"/>
            <w:vAlign w:val="bottom"/>
          </w:tcPr>
          <w:p w14:paraId="734F1185" w14:textId="77777777" w:rsidR="00D83E33" w:rsidRPr="00E837F2" w:rsidRDefault="00D83E33" w:rsidP="001B330E">
            <w:pPr>
              <w:widowControl w:val="0"/>
              <w:jc w:val="right"/>
              <w:rPr>
                <w:color w:val="000000"/>
              </w:rPr>
            </w:pPr>
          </w:p>
        </w:tc>
        <w:tc>
          <w:tcPr>
            <w:tcW w:w="463" w:type="pct"/>
            <w:vAlign w:val="bottom"/>
          </w:tcPr>
          <w:p w14:paraId="3B5FFF59" w14:textId="77777777" w:rsidR="00D83E33" w:rsidRPr="00E837F2" w:rsidRDefault="00D83E33" w:rsidP="001B330E">
            <w:pPr>
              <w:widowControl w:val="0"/>
              <w:jc w:val="right"/>
              <w:rPr>
                <w:color w:val="000000"/>
              </w:rPr>
            </w:pPr>
          </w:p>
        </w:tc>
        <w:tc>
          <w:tcPr>
            <w:tcW w:w="437" w:type="pct"/>
            <w:vAlign w:val="bottom"/>
          </w:tcPr>
          <w:p w14:paraId="6CD3BFB0" w14:textId="77777777" w:rsidR="00D83E33" w:rsidRPr="00E837F2" w:rsidRDefault="00D83E33" w:rsidP="001B330E">
            <w:pPr>
              <w:widowControl w:val="0"/>
              <w:jc w:val="right"/>
              <w:rPr>
                <w:color w:val="000000"/>
              </w:rPr>
            </w:pPr>
          </w:p>
        </w:tc>
        <w:tc>
          <w:tcPr>
            <w:tcW w:w="437" w:type="pct"/>
            <w:vAlign w:val="bottom"/>
          </w:tcPr>
          <w:p w14:paraId="126DB249" w14:textId="77777777" w:rsidR="00D83E33" w:rsidRPr="00E837F2" w:rsidRDefault="00D83E33" w:rsidP="001B330E">
            <w:pPr>
              <w:widowControl w:val="0"/>
              <w:jc w:val="right"/>
              <w:rPr>
                <w:color w:val="000000"/>
              </w:rPr>
            </w:pPr>
          </w:p>
        </w:tc>
        <w:tc>
          <w:tcPr>
            <w:tcW w:w="437" w:type="pct"/>
            <w:vAlign w:val="bottom"/>
          </w:tcPr>
          <w:p w14:paraId="155D4B00" w14:textId="77777777" w:rsidR="00D83E33" w:rsidRPr="00E837F2" w:rsidRDefault="00D83E33" w:rsidP="001B330E">
            <w:pPr>
              <w:widowControl w:val="0"/>
              <w:jc w:val="right"/>
              <w:rPr>
                <w:color w:val="000000"/>
              </w:rPr>
            </w:pPr>
          </w:p>
        </w:tc>
        <w:tc>
          <w:tcPr>
            <w:tcW w:w="463" w:type="pct"/>
            <w:vAlign w:val="bottom"/>
          </w:tcPr>
          <w:p w14:paraId="3713067C" w14:textId="77777777" w:rsidR="00D83E33" w:rsidRPr="00E837F2" w:rsidRDefault="00D83E33" w:rsidP="001B330E">
            <w:pPr>
              <w:widowControl w:val="0"/>
              <w:jc w:val="right"/>
              <w:rPr>
                <w:color w:val="000000"/>
              </w:rPr>
            </w:pPr>
          </w:p>
        </w:tc>
        <w:tc>
          <w:tcPr>
            <w:tcW w:w="495" w:type="pct"/>
          </w:tcPr>
          <w:p w14:paraId="6FEC8176" w14:textId="77777777" w:rsidR="00D83E33" w:rsidRPr="00E837F2" w:rsidRDefault="00D83E33" w:rsidP="001B330E">
            <w:pPr>
              <w:widowControl w:val="0"/>
              <w:jc w:val="right"/>
              <w:rPr>
                <w:color w:val="000000"/>
              </w:rPr>
            </w:pPr>
          </w:p>
        </w:tc>
        <w:tc>
          <w:tcPr>
            <w:tcW w:w="435" w:type="pct"/>
            <w:vAlign w:val="bottom"/>
          </w:tcPr>
          <w:p w14:paraId="5F2F7178" w14:textId="77777777" w:rsidR="00D83E33" w:rsidRPr="00E837F2" w:rsidRDefault="00D83E33" w:rsidP="001B330E">
            <w:pPr>
              <w:widowControl w:val="0"/>
              <w:jc w:val="right"/>
              <w:rPr>
                <w:color w:val="000000"/>
              </w:rPr>
            </w:pPr>
          </w:p>
        </w:tc>
      </w:tr>
      <w:tr w:rsidR="00D83E33" w:rsidRPr="00E837F2" w14:paraId="0C240AAF" w14:textId="77777777" w:rsidTr="001B330E">
        <w:trPr>
          <w:trHeight w:val="23"/>
        </w:trPr>
        <w:tc>
          <w:tcPr>
            <w:tcW w:w="1370" w:type="pct"/>
            <w:tcBorders>
              <w:bottom w:val="single" w:sz="6" w:space="0" w:color="000000"/>
            </w:tcBorders>
            <w:vAlign w:val="bottom"/>
          </w:tcPr>
          <w:p w14:paraId="1C5BF9D3" w14:textId="77777777" w:rsidR="00D83E33" w:rsidRPr="001B330E" w:rsidRDefault="00D83E33" w:rsidP="001B330E">
            <w:pPr>
              <w:widowControl w:val="0"/>
              <w:ind w:left="113" w:hanging="113"/>
              <w:rPr>
                <w:color w:val="000000"/>
                <w:szCs w:val="12"/>
              </w:rPr>
            </w:pPr>
          </w:p>
        </w:tc>
        <w:tc>
          <w:tcPr>
            <w:tcW w:w="463" w:type="pct"/>
            <w:tcBorders>
              <w:bottom w:val="single" w:sz="6" w:space="0" w:color="000000"/>
            </w:tcBorders>
            <w:vAlign w:val="bottom"/>
          </w:tcPr>
          <w:p w14:paraId="0F8BCFF9" w14:textId="77777777" w:rsidR="00D83E33" w:rsidRPr="001B330E" w:rsidRDefault="00D83E33" w:rsidP="001B330E">
            <w:pPr>
              <w:widowControl w:val="0"/>
              <w:jc w:val="right"/>
              <w:rPr>
                <w:color w:val="000000"/>
                <w:szCs w:val="12"/>
              </w:rPr>
            </w:pPr>
          </w:p>
        </w:tc>
        <w:tc>
          <w:tcPr>
            <w:tcW w:w="463" w:type="pct"/>
            <w:tcBorders>
              <w:bottom w:val="single" w:sz="6" w:space="0" w:color="000000"/>
            </w:tcBorders>
            <w:vAlign w:val="bottom"/>
          </w:tcPr>
          <w:p w14:paraId="01B63F67" w14:textId="77777777" w:rsidR="00D83E33" w:rsidRPr="001B330E" w:rsidRDefault="00D83E33" w:rsidP="001B330E">
            <w:pPr>
              <w:widowControl w:val="0"/>
              <w:jc w:val="right"/>
              <w:rPr>
                <w:color w:val="000000"/>
                <w:szCs w:val="12"/>
              </w:rPr>
            </w:pPr>
          </w:p>
        </w:tc>
        <w:tc>
          <w:tcPr>
            <w:tcW w:w="437" w:type="pct"/>
            <w:tcBorders>
              <w:bottom w:val="single" w:sz="6" w:space="0" w:color="000000"/>
            </w:tcBorders>
            <w:vAlign w:val="bottom"/>
          </w:tcPr>
          <w:p w14:paraId="47AB11E2" w14:textId="77777777" w:rsidR="00D83E33" w:rsidRPr="001B330E" w:rsidRDefault="00D83E33" w:rsidP="001B330E">
            <w:pPr>
              <w:widowControl w:val="0"/>
              <w:jc w:val="right"/>
              <w:rPr>
                <w:color w:val="000000"/>
                <w:szCs w:val="12"/>
              </w:rPr>
            </w:pPr>
          </w:p>
        </w:tc>
        <w:tc>
          <w:tcPr>
            <w:tcW w:w="437" w:type="pct"/>
            <w:tcBorders>
              <w:bottom w:val="single" w:sz="6" w:space="0" w:color="000000"/>
            </w:tcBorders>
            <w:vAlign w:val="bottom"/>
          </w:tcPr>
          <w:p w14:paraId="08D9DF2D" w14:textId="77777777" w:rsidR="00D83E33" w:rsidRPr="001B330E" w:rsidRDefault="00D83E33" w:rsidP="001B330E">
            <w:pPr>
              <w:widowControl w:val="0"/>
              <w:jc w:val="right"/>
              <w:rPr>
                <w:color w:val="000000"/>
                <w:szCs w:val="12"/>
              </w:rPr>
            </w:pPr>
          </w:p>
        </w:tc>
        <w:tc>
          <w:tcPr>
            <w:tcW w:w="437" w:type="pct"/>
            <w:tcBorders>
              <w:bottom w:val="single" w:sz="6" w:space="0" w:color="000000"/>
            </w:tcBorders>
            <w:vAlign w:val="bottom"/>
          </w:tcPr>
          <w:p w14:paraId="2953842F" w14:textId="77777777" w:rsidR="00D83E33" w:rsidRPr="001B330E" w:rsidRDefault="00D83E33" w:rsidP="001B330E">
            <w:pPr>
              <w:widowControl w:val="0"/>
              <w:jc w:val="right"/>
              <w:rPr>
                <w:color w:val="000000"/>
                <w:szCs w:val="12"/>
              </w:rPr>
            </w:pPr>
          </w:p>
        </w:tc>
        <w:tc>
          <w:tcPr>
            <w:tcW w:w="463" w:type="pct"/>
            <w:tcBorders>
              <w:bottom w:val="single" w:sz="6" w:space="0" w:color="000000"/>
            </w:tcBorders>
            <w:vAlign w:val="bottom"/>
          </w:tcPr>
          <w:p w14:paraId="0402D9D1" w14:textId="77777777" w:rsidR="00D83E33" w:rsidRPr="001B330E" w:rsidRDefault="00D83E33" w:rsidP="001B330E">
            <w:pPr>
              <w:widowControl w:val="0"/>
              <w:jc w:val="right"/>
              <w:rPr>
                <w:color w:val="000000"/>
                <w:szCs w:val="12"/>
              </w:rPr>
            </w:pPr>
          </w:p>
        </w:tc>
        <w:tc>
          <w:tcPr>
            <w:tcW w:w="495" w:type="pct"/>
            <w:tcBorders>
              <w:bottom w:val="single" w:sz="6" w:space="0" w:color="000000"/>
            </w:tcBorders>
          </w:tcPr>
          <w:p w14:paraId="7C6AD920" w14:textId="77777777" w:rsidR="00D83E33" w:rsidRPr="001B330E" w:rsidRDefault="00D83E33" w:rsidP="001B330E">
            <w:pPr>
              <w:widowControl w:val="0"/>
              <w:jc w:val="right"/>
              <w:rPr>
                <w:color w:val="000000"/>
                <w:szCs w:val="12"/>
              </w:rPr>
            </w:pPr>
          </w:p>
        </w:tc>
        <w:tc>
          <w:tcPr>
            <w:tcW w:w="435" w:type="pct"/>
            <w:tcBorders>
              <w:bottom w:val="single" w:sz="6" w:space="0" w:color="000000"/>
            </w:tcBorders>
            <w:vAlign w:val="bottom"/>
          </w:tcPr>
          <w:p w14:paraId="2A18954A" w14:textId="77777777" w:rsidR="00D83E33" w:rsidRPr="001B330E" w:rsidRDefault="00D83E33" w:rsidP="001B330E">
            <w:pPr>
              <w:widowControl w:val="0"/>
              <w:jc w:val="right"/>
              <w:rPr>
                <w:color w:val="000000"/>
                <w:szCs w:val="12"/>
              </w:rPr>
            </w:pPr>
          </w:p>
        </w:tc>
      </w:tr>
      <w:tr w:rsidR="00D83E33" w:rsidRPr="00E837F2" w14:paraId="743E7C23" w14:textId="77777777" w:rsidTr="001B330E">
        <w:trPr>
          <w:trHeight w:val="23"/>
        </w:trPr>
        <w:tc>
          <w:tcPr>
            <w:tcW w:w="1370" w:type="pct"/>
            <w:tcBorders>
              <w:top w:val="single" w:sz="6" w:space="0" w:color="000000"/>
            </w:tcBorders>
            <w:vAlign w:val="bottom"/>
          </w:tcPr>
          <w:p w14:paraId="5DBA8409" w14:textId="77777777" w:rsidR="00D83E33" w:rsidRPr="001B330E" w:rsidRDefault="00D83E33" w:rsidP="001B330E">
            <w:pPr>
              <w:widowControl w:val="0"/>
              <w:ind w:left="113" w:hanging="113"/>
              <w:rPr>
                <w:color w:val="000000"/>
                <w:szCs w:val="12"/>
              </w:rPr>
            </w:pPr>
          </w:p>
        </w:tc>
        <w:tc>
          <w:tcPr>
            <w:tcW w:w="463" w:type="pct"/>
            <w:tcBorders>
              <w:top w:val="single" w:sz="6" w:space="0" w:color="000000"/>
            </w:tcBorders>
            <w:vAlign w:val="bottom"/>
          </w:tcPr>
          <w:p w14:paraId="57682A67" w14:textId="77777777" w:rsidR="00D83E33" w:rsidRPr="001B330E" w:rsidRDefault="00D83E33" w:rsidP="001B330E">
            <w:pPr>
              <w:widowControl w:val="0"/>
              <w:jc w:val="right"/>
              <w:rPr>
                <w:color w:val="000000"/>
                <w:szCs w:val="12"/>
              </w:rPr>
            </w:pPr>
          </w:p>
        </w:tc>
        <w:tc>
          <w:tcPr>
            <w:tcW w:w="463" w:type="pct"/>
            <w:tcBorders>
              <w:top w:val="single" w:sz="6" w:space="0" w:color="000000"/>
            </w:tcBorders>
            <w:vAlign w:val="bottom"/>
          </w:tcPr>
          <w:p w14:paraId="522FA927" w14:textId="77777777" w:rsidR="00D83E33" w:rsidRPr="001B330E" w:rsidRDefault="00D83E33" w:rsidP="001B330E">
            <w:pPr>
              <w:widowControl w:val="0"/>
              <w:jc w:val="right"/>
              <w:rPr>
                <w:color w:val="000000"/>
                <w:szCs w:val="12"/>
              </w:rPr>
            </w:pPr>
          </w:p>
        </w:tc>
        <w:tc>
          <w:tcPr>
            <w:tcW w:w="437" w:type="pct"/>
            <w:tcBorders>
              <w:top w:val="single" w:sz="6" w:space="0" w:color="000000"/>
            </w:tcBorders>
            <w:vAlign w:val="bottom"/>
          </w:tcPr>
          <w:p w14:paraId="0979210D" w14:textId="77777777" w:rsidR="00D83E33" w:rsidRPr="001B330E" w:rsidRDefault="00D83E33" w:rsidP="001B330E">
            <w:pPr>
              <w:widowControl w:val="0"/>
              <w:jc w:val="right"/>
              <w:rPr>
                <w:color w:val="000000"/>
                <w:szCs w:val="12"/>
              </w:rPr>
            </w:pPr>
          </w:p>
        </w:tc>
        <w:tc>
          <w:tcPr>
            <w:tcW w:w="437" w:type="pct"/>
            <w:tcBorders>
              <w:top w:val="single" w:sz="6" w:space="0" w:color="000000"/>
            </w:tcBorders>
            <w:vAlign w:val="bottom"/>
          </w:tcPr>
          <w:p w14:paraId="06F5A813" w14:textId="77777777" w:rsidR="00D83E33" w:rsidRPr="001B330E" w:rsidRDefault="00D83E33" w:rsidP="001B330E">
            <w:pPr>
              <w:widowControl w:val="0"/>
              <w:jc w:val="right"/>
              <w:rPr>
                <w:color w:val="000000"/>
                <w:szCs w:val="12"/>
              </w:rPr>
            </w:pPr>
          </w:p>
        </w:tc>
        <w:tc>
          <w:tcPr>
            <w:tcW w:w="437" w:type="pct"/>
            <w:tcBorders>
              <w:top w:val="single" w:sz="6" w:space="0" w:color="000000"/>
            </w:tcBorders>
            <w:vAlign w:val="bottom"/>
          </w:tcPr>
          <w:p w14:paraId="193D84CC" w14:textId="77777777" w:rsidR="00D83E33" w:rsidRPr="001B330E" w:rsidRDefault="00D83E33" w:rsidP="001B330E">
            <w:pPr>
              <w:widowControl w:val="0"/>
              <w:jc w:val="right"/>
              <w:rPr>
                <w:color w:val="000000"/>
                <w:szCs w:val="12"/>
              </w:rPr>
            </w:pPr>
          </w:p>
        </w:tc>
        <w:tc>
          <w:tcPr>
            <w:tcW w:w="463" w:type="pct"/>
            <w:tcBorders>
              <w:top w:val="single" w:sz="6" w:space="0" w:color="000000"/>
            </w:tcBorders>
            <w:vAlign w:val="bottom"/>
          </w:tcPr>
          <w:p w14:paraId="681C39CF" w14:textId="77777777" w:rsidR="00D83E33" w:rsidRPr="001B330E" w:rsidRDefault="00D83E33" w:rsidP="001B330E">
            <w:pPr>
              <w:widowControl w:val="0"/>
              <w:jc w:val="right"/>
              <w:rPr>
                <w:color w:val="000000"/>
                <w:szCs w:val="12"/>
              </w:rPr>
            </w:pPr>
          </w:p>
        </w:tc>
        <w:tc>
          <w:tcPr>
            <w:tcW w:w="495" w:type="pct"/>
            <w:tcBorders>
              <w:top w:val="single" w:sz="6" w:space="0" w:color="000000"/>
            </w:tcBorders>
          </w:tcPr>
          <w:p w14:paraId="1DE2A0C7" w14:textId="77777777" w:rsidR="00D83E33" w:rsidRPr="001B330E" w:rsidRDefault="00D83E33" w:rsidP="001B330E">
            <w:pPr>
              <w:widowControl w:val="0"/>
              <w:jc w:val="right"/>
              <w:rPr>
                <w:color w:val="000000"/>
                <w:szCs w:val="12"/>
              </w:rPr>
            </w:pPr>
          </w:p>
        </w:tc>
        <w:tc>
          <w:tcPr>
            <w:tcW w:w="435" w:type="pct"/>
            <w:tcBorders>
              <w:top w:val="single" w:sz="6" w:space="0" w:color="000000"/>
            </w:tcBorders>
            <w:vAlign w:val="bottom"/>
          </w:tcPr>
          <w:p w14:paraId="1A3EBF52" w14:textId="77777777" w:rsidR="00D83E33" w:rsidRPr="001B330E" w:rsidRDefault="00D83E33" w:rsidP="001B330E">
            <w:pPr>
              <w:widowControl w:val="0"/>
              <w:jc w:val="right"/>
              <w:rPr>
                <w:color w:val="000000"/>
                <w:szCs w:val="12"/>
              </w:rPr>
            </w:pPr>
          </w:p>
        </w:tc>
      </w:tr>
      <w:tr w:rsidR="00D83E33" w:rsidRPr="00E837F2" w14:paraId="2B50749C" w14:textId="77777777" w:rsidTr="001B330E">
        <w:trPr>
          <w:trHeight w:val="23"/>
        </w:trPr>
        <w:tc>
          <w:tcPr>
            <w:tcW w:w="1370" w:type="pct"/>
            <w:vAlign w:val="bottom"/>
          </w:tcPr>
          <w:p w14:paraId="1C2D3245" w14:textId="77777777" w:rsidR="00D83E33" w:rsidRPr="00E837F2" w:rsidRDefault="00BC4072" w:rsidP="001B330E">
            <w:pPr>
              <w:widowControl w:val="0"/>
              <w:ind w:left="113" w:hanging="113"/>
              <w:rPr>
                <w:color w:val="000000"/>
              </w:rPr>
            </w:pPr>
            <w:r w:rsidRPr="00E837F2">
              <w:rPr>
                <w:color w:val="000000"/>
              </w:rPr>
              <w:t>Unsecured exposures</w:t>
            </w:r>
          </w:p>
        </w:tc>
        <w:tc>
          <w:tcPr>
            <w:tcW w:w="463" w:type="pct"/>
            <w:vAlign w:val="bottom"/>
          </w:tcPr>
          <w:p w14:paraId="0CEE35BF" w14:textId="77777777" w:rsidR="00D83E33" w:rsidRPr="00E837F2" w:rsidRDefault="00D83E33" w:rsidP="001B330E">
            <w:pPr>
              <w:widowControl w:val="0"/>
              <w:jc w:val="right"/>
              <w:rPr>
                <w:color w:val="000000"/>
              </w:rPr>
            </w:pPr>
          </w:p>
        </w:tc>
        <w:tc>
          <w:tcPr>
            <w:tcW w:w="463" w:type="pct"/>
            <w:vAlign w:val="bottom"/>
          </w:tcPr>
          <w:p w14:paraId="2990881A" w14:textId="77777777" w:rsidR="00D83E33" w:rsidRPr="00E837F2" w:rsidRDefault="00D83E33" w:rsidP="001B330E">
            <w:pPr>
              <w:widowControl w:val="0"/>
              <w:jc w:val="right"/>
              <w:rPr>
                <w:color w:val="000000"/>
              </w:rPr>
            </w:pPr>
          </w:p>
        </w:tc>
        <w:tc>
          <w:tcPr>
            <w:tcW w:w="437" w:type="pct"/>
            <w:vAlign w:val="bottom"/>
          </w:tcPr>
          <w:p w14:paraId="28C20B43" w14:textId="77777777" w:rsidR="00D83E33" w:rsidRPr="00E837F2" w:rsidRDefault="00D83E33" w:rsidP="001B330E">
            <w:pPr>
              <w:widowControl w:val="0"/>
              <w:jc w:val="right"/>
              <w:rPr>
                <w:color w:val="000000"/>
              </w:rPr>
            </w:pPr>
          </w:p>
        </w:tc>
        <w:tc>
          <w:tcPr>
            <w:tcW w:w="437" w:type="pct"/>
            <w:vAlign w:val="bottom"/>
          </w:tcPr>
          <w:p w14:paraId="3736DD8F" w14:textId="77777777" w:rsidR="00D83E33" w:rsidRPr="00E837F2" w:rsidRDefault="00D83E33" w:rsidP="001B330E">
            <w:pPr>
              <w:widowControl w:val="0"/>
              <w:jc w:val="right"/>
              <w:rPr>
                <w:color w:val="000000"/>
              </w:rPr>
            </w:pPr>
          </w:p>
        </w:tc>
        <w:tc>
          <w:tcPr>
            <w:tcW w:w="437" w:type="pct"/>
            <w:vAlign w:val="bottom"/>
          </w:tcPr>
          <w:p w14:paraId="4EDE9715" w14:textId="77777777" w:rsidR="00D83E33" w:rsidRPr="00E837F2" w:rsidRDefault="00D83E33" w:rsidP="001B330E">
            <w:pPr>
              <w:widowControl w:val="0"/>
              <w:jc w:val="right"/>
              <w:rPr>
                <w:color w:val="000000"/>
              </w:rPr>
            </w:pPr>
          </w:p>
        </w:tc>
        <w:tc>
          <w:tcPr>
            <w:tcW w:w="463" w:type="pct"/>
            <w:vAlign w:val="bottom"/>
          </w:tcPr>
          <w:p w14:paraId="4C56DC31" w14:textId="77777777" w:rsidR="00D83E33" w:rsidRPr="00E837F2" w:rsidRDefault="00D83E33" w:rsidP="001B330E">
            <w:pPr>
              <w:widowControl w:val="0"/>
              <w:jc w:val="right"/>
              <w:rPr>
                <w:color w:val="000000"/>
              </w:rPr>
            </w:pPr>
          </w:p>
        </w:tc>
        <w:tc>
          <w:tcPr>
            <w:tcW w:w="495" w:type="pct"/>
          </w:tcPr>
          <w:p w14:paraId="3B4A1C4B" w14:textId="77777777" w:rsidR="00D83E33" w:rsidRPr="00E837F2" w:rsidRDefault="00D83E33" w:rsidP="001B330E">
            <w:pPr>
              <w:widowControl w:val="0"/>
              <w:jc w:val="right"/>
              <w:rPr>
                <w:color w:val="000000"/>
              </w:rPr>
            </w:pPr>
          </w:p>
        </w:tc>
        <w:tc>
          <w:tcPr>
            <w:tcW w:w="435" w:type="pct"/>
            <w:vAlign w:val="bottom"/>
          </w:tcPr>
          <w:p w14:paraId="252C3094" w14:textId="77777777" w:rsidR="00D83E33" w:rsidRPr="00E837F2" w:rsidRDefault="00D83E33" w:rsidP="001B330E">
            <w:pPr>
              <w:widowControl w:val="0"/>
              <w:jc w:val="right"/>
              <w:rPr>
                <w:color w:val="000000"/>
              </w:rPr>
            </w:pPr>
          </w:p>
        </w:tc>
      </w:tr>
      <w:tr w:rsidR="00D83E33" w:rsidRPr="00E837F2" w14:paraId="332E922B" w14:textId="77777777" w:rsidTr="001B330E">
        <w:trPr>
          <w:trHeight w:val="23"/>
        </w:trPr>
        <w:tc>
          <w:tcPr>
            <w:tcW w:w="1370" w:type="pct"/>
            <w:tcBorders>
              <w:bottom w:val="single" w:sz="6" w:space="0" w:color="000000"/>
            </w:tcBorders>
            <w:vAlign w:val="bottom"/>
          </w:tcPr>
          <w:p w14:paraId="48964C27" w14:textId="77777777" w:rsidR="00D83E33" w:rsidRPr="001B330E" w:rsidRDefault="00D83E33" w:rsidP="001B330E">
            <w:pPr>
              <w:widowControl w:val="0"/>
              <w:ind w:left="113" w:hanging="113"/>
              <w:rPr>
                <w:color w:val="000000"/>
                <w:szCs w:val="12"/>
              </w:rPr>
            </w:pPr>
          </w:p>
        </w:tc>
        <w:tc>
          <w:tcPr>
            <w:tcW w:w="463" w:type="pct"/>
            <w:tcBorders>
              <w:bottom w:val="single" w:sz="6" w:space="0" w:color="000000"/>
            </w:tcBorders>
            <w:vAlign w:val="bottom"/>
          </w:tcPr>
          <w:p w14:paraId="48F458F2" w14:textId="77777777" w:rsidR="00D83E33" w:rsidRPr="001B330E" w:rsidRDefault="00D83E33" w:rsidP="001B330E">
            <w:pPr>
              <w:widowControl w:val="0"/>
              <w:jc w:val="right"/>
              <w:rPr>
                <w:color w:val="000000"/>
                <w:szCs w:val="12"/>
              </w:rPr>
            </w:pPr>
          </w:p>
        </w:tc>
        <w:tc>
          <w:tcPr>
            <w:tcW w:w="463" w:type="pct"/>
            <w:tcBorders>
              <w:bottom w:val="single" w:sz="6" w:space="0" w:color="000000"/>
            </w:tcBorders>
            <w:vAlign w:val="bottom"/>
          </w:tcPr>
          <w:p w14:paraId="61052184" w14:textId="77777777" w:rsidR="00D83E33" w:rsidRPr="001B330E" w:rsidRDefault="00D83E33" w:rsidP="001B330E">
            <w:pPr>
              <w:widowControl w:val="0"/>
              <w:jc w:val="right"/>
              <w:rPr>
                <w:color w:val="000000"/>
                <w:szCs w:val="12"/>
              </w:rPr>
            </w:pPr>
          </w:p>
        </w:tc>
        <w:tc>
          <w:tcPr>
            <w:tcW w:w="437" w:type="pct"/>
            <w:tcBorders>
              <w:bottom w:val="single" w:sz="6" w:space="0" w:color="000000"/>
            </w:tcBorders>
            <w:vAlign w:val="bottom"/>
          </w:tcPr>
          <w:p w14:paraId="1CE3AA7C" w14:textId="77777777" w:rsidR="00D83E33" w:rsidRPr="001B330E" w:rsidRDefault="00D83E33" w:rsidP="001B330E">
            <w:pPr>
              <w:widowControl w:val="0"/>
              <w:jc w:val="right"/>
              <w:rPr>
                <w:color w:val="000000"/>
                <w:szCs w:val="12"/>
              </w:rPr>
            </w:pPr>
          </w:p>
        </w:tc>
        <w:tc>
          <w:tcPr>
            <w:tcW w:w="437" w:type="pct"/>
            <w:tcBorders>
              <w:bottom w:val="single" w:sz="6" w:space="0" w:color="000000"/>
            </w:tcBorders>
            <w:vAlign w:val="bottom"/>
          </w:tcPr>
          <w:p w14:paraId="65100F3E" w14:textId="77777777" w:rsidR="00D83E33" w:rsidRPr="001B330E" w:rsidRDefault="00D83E33" w:rsidP="001B330E">
            <w:pPr>
              <w:widowControl w:val="0"/>
              <w:jc w:val="right"/>
              <w:rPr>
                <w:color w:val="000000"/>
                <w:szCs w:val="12"/>
              </w:rPr>
            </w:pPr>
          </w:p>
        </w:tc>
        <w:tc>
          <w:tcPr>
            <w:tcW w:w="437" w:type="pct"/>
            <w:tcBorders>
              <w:bottom w:val="single" w:sz="6" w:space="0" w:color="000000"/>
            </w:tcBorders>
            <w:vAlign w:val="bottom"/>
          </w:tcPr>
          <w:p w14:paraId="3425A034" w14:textId="77777777" w:rsidR="00D83E33" w:rsidRPr="001B330E" w:rsidRDefault="00D83E33" w:rsidP="001B330E">
            <w:pPr>
              <w:widowControl w:val="0"/>
              <w:jc w:val="right"/>
              <w:rPr>
                <w:color w:val="000000"/>
                <w:szCs w:val="12"/>
              </w:rPr>
            </w:pPr>
          </w:p>
        </w:tc>
        <w:tc>
          <w:tcPr>
            <w:tcW w:w="463" w:type="pct"/>
            <w:tcBorders>
              <w:bottom w:val="single" w:sz="6" w:space="0" w:color="000000"/>
            </w:tcBorders>
            <w:vAlign w:val="bottom"/>
          </w:tcPr>
          <w:p w14:paraId="227FCD33" w14:textId="77777777" w:rsidR="00D83E33" w:rsidRPr="001B330E" w:rsidRDefault="00D83E33" w:rsidP="001B330E">
            <w:pPr>
              <w:widowControl w:val="0"/>
              <w:jc w:val="right"/>
              <w:rPr>
                <w:color w:val="000000"/>
                <w:szCs w:val="12"/>
              </w:rPr>
            </w:pPr>
          </w:p>
        </w:tc>
        <w:tc>
          <w:tcPr>
            <w:tcW w:w="495" w:type="pct"/>
            <w:tcBorders>
              <w:bottom w:val="single" w:sz="6" w:space="0" w:color="000000"/>
            </w:tcBorders>
          </w:tcPr>
          <w:p w14:paraId="1BEFDCFE" w14:textId="77777777" w:rsidR="00D83E33" w:rsidRPr="001B330E" w:rsidRDefault="00D83E33" w:rsidP="001B330E">
            <w:pPr>
              <w:widowControl w:val="0"/>
              <w:jc w:val="right"/>
              <w:rPr>
                <w:color w:val="000000"/>
                <w:szCs w:val="12"/>
              </w:rPr>
            </w:pPr>
          </w:p>
        </w:tc>
        <w:tc>
          <w:tcPr>
            <w:tcW w:w="435" w:type="pct"/>
            <w:tcBorders>
              <w:bottom w:val="single" w:sz="6" w:space="0" w:color="000000"/>
            </w:tcBorders>
            <w:vAlign w:val="bottom"/>
          </w:tcPr>
          <w:p w14:paraId="5BFDD057" w14:textId="77777777" w:rsidR="00D83E33" w:rsidRPr="001B330E" w:rsidRDefault="00D83E33" w:rsidP="001B330E">
            <w:pPr>
              <w:widowControl w:val="0"/>
              <w:jc w:val="right"/>
              <w:rPr>
                <w:color w:val="000000"/>
                <w:szCs w:val="12"/>
              </w:rPr>
            </w:pPr>
          </w:p>
        </w:tc>
      </w:tr>
      <w:tr w:rsidR="00D83E33" w:rsidRPr="00E837F2" w14:paraId="4432671D" w14:textId="77777777" w:rsidTr="001B330E">
        <w:trPr>
          <w:trHeight w:val="23"/>
        </w:trPr>
        <w:tc>
          <w:tcPr>
            <w:tcW w:w="1370" w:type="pct"/>
            <w:tcBorders>
              <w:top w:val="single" w:sz="6" w:space="0" w:color="000000"/>
            </w:tcBorders>
            <w:vAlign w:val="bottom"/>
          </w:tcPr>
          <w:p w14:paraId="1CAA3911" w14:textId="77777777" w:rsidR="00D83E33" w:rsidRPr="001B330E" w:rsidRDefault="00D83E33" w:rsidP="001B330E">
            <w:pPr>
              <w:widowControl w:val="0"/>
              <w:ind w:left="113" w:hanging="113"/>
              <w:rPr>
                <w:color w:val="000000"/>
                <w:szCs w:val="12"/>
              </w:rPr>
            </w:pPr>
          </w:p>
        </w:tc>
        <w:tc>
          <w:tcPr>
            <w:tcW w:w="463" w:type="pct"/>
            <w:tcBorders>
              <w:top w:val="single" w:sz="6" w:space="0" w:color="000000"/>
            </w:tcBorders>
            <w:vAlign w:val="bottom"/>
          </w:tcPr>
          <w:p w14:paraId="495BF28E" w14:textId="77777777" w:rsidR="00D83E33" w:rsidRPr="001B330E" w:rsidRDefault="00D83E33" w:rsidP="001B330E">
            <w:pPr>
              <w:widowControl w:val="0"/>
              <w:jc w:val="right"/>
              <w:rPr>
                <w:color w:val="000000"/>
                <w:szCs w:val="12"/>
              </w:rPr>
            </w:pPr>
          </w:p>
        </w:tc>
        <w:tc>
          <w:tcPr>
            <w:tcW w:w="463" w:type="pct"/>
            <w:tcBorders>
              <w:top w:val="single" w:sz="6" w:space="0" w:color="000000"/>
            </w:tcBorders>
            <w:vAlign w:val="bottom"/>
          </w:tcPr>
          <w:p w14:paraId="6774FFF5" w14:textId="77777777" w:rsidR="00D83E33" w:rsidRPr="001B330E" w:rsidRDefault="00D83E33" w:rsidP="001B330E">
            <w:pPr>
              <w:widowControl w:val="0"/>
              <w:jc w:val="right"/>
              <w:rPr>
                <w:color w:val="000000"/>
                <w:szCs w:val="12"/>
              </w:rPr>
            </w:pPr>
          </w:p>
        </w:tc>
        <w:tc>
          <w:tcPr>
            <w:tcW w:w="437" w:type="pct"/>
            <w:tcBorders>
              <w:top w:val="single" w:sz="6" w:space="0" w:color="000000"/>
            </w:tcBorders>
            <w:vAlign w:val="bottom"/>
          </w:tcPr>
          <w:p w14:paraId="0E8C5A0F" w14:textId="77777777" w:rsidR="00D83E33" w:rsidRPr="001B330E" w:rsidRDefault="00D83E33" w:rsidP="001B330E">
            <w:pPr>
              <w:widowControl w:val="0"/>
              <w:jc w:val="right"/>
              <w:rPr>
                <w:color w:val="000000"/>
                <w:szCs w:val="12"/>
              </w:rPr>
            </w:pPr>
          </w:p>
        </w:tc>
        <w:tc>
          <w:tcPr>
            <w:tcW w:w="437" w:type="pct"/>
            <w:tcBorders>
              <w:top w:val="single" w:sz="6" w:space="0" w:color="000000"/>
            </w:tcBorders>
            <w:vAlign w:val="bottom"/>
          </w:tcPr>
          <w:p w14:paraId="3967B52F" w14:textId="77777777" w:rsidR="00D83E33" w:rsidRPr="001B330E" w:rsidRDefault="00D83E33" w:rsidP="001B330E">
            <w:pPr>
              <w:widowControl w:val="0"/>
              <w:jc w:val="right"/>
              <w:rPr>
                <w:color w:val="000000"/>
                <w:szCs w:val="12"/>
              </w:rPr>
            </w:pPr>
          </w:p>
        </w:tc>
        <w:tc>
          <w:tcPr>
            <w:tcW w:w="437" w:type="pct"/>
            <w:tcBorders>
              <w:top w:val="single" w:sz="6" w:space="0" w:color="000000"/>
            </w:tcBorders>
            <w:vAlign w:val="bottom"/>
          </w:tcPr>
          <w:p w14:paraId="5A9EADB4" w14:textId="77777777" w:rsidR="00D83E33" w:rsidRPr="001B330E" w:rsidRDefault="00D83E33" w:rsidP="001B330E">
            <w:pPr>
              <w:widowControl w:val="0"/>
              <w:jc w:val="right"/>
              <w:rPr>
                <w:color w:val="000000"/>
                <w:szCs w:val="12"/>
              </w:rPr>
            </w:pPr>
          </w:p>
        </w:tc>
        <w:tc>
          <w:tcPr>
            <w:tcW w:w="463" w:type="pct"/>
            <w:tcBorders>
              <w:top w:val="single" w:sz="6" w:space="0" w:color="000000"/>
            </w:tcBorders>
            <w:vAlign w:val="bottom"/>
          </w:tcPr>
          <w:p w14:paraId="147AC63C" w14:textId="77777777" w:rsidR="00D83E33" w:rsidRPr="001B330E" w:rsidRDefault="00D83E33" w:rsidP="001B330E">
            <w:pPr>
              <w:widowControl w:val="0"/>
              <w:jc w:val="right"/>
              <w:rPr>
                <w:color w:val="000000"/>
                <w:szCs w:val="12"/>
              </w:rPr>
            </w:pPr>
          </w:p>
        </w:tc>
        <w:tc>
          <w:tcPr>
            <w:tcW w:w="495" w:type="pct"/>
            <w:tcBorders>
              <w:top w:val="single" w:sz="6" w:space="0" w:color="000000"/>
            </w:tcBorders>
          </w:tcPr>
          <w:p w14:paraId="4513983B" w14:textId="77777777" w:rsidR="00D83E33" w:rsidRPr="001B330E" w:rsidRDefault="00D83E33" w:rsidP="001B330E">
            <w:pPr>
              <w:widowControl w:val="0"/>
              <w:jc w:val="right"/>
              <w:rPr>
                <w:color w:val="000000"/>
                <w:szCs w:val="12"/>
              </w:rPr>
            </w:pPr>
          </w:p>
        </w:tc>
        <w:tc>
          <w:tcPr>
            <w:tcW w:w="435" w:type="pct"/>
            <w:tcBorders>
              <w:top w:val="single" w:sz="6" w:space="0" w:color="000000"/>
            </w:tcBorders>
            <w:vAlign w:val="bottom"/>
          </w:tcPr>
          <w:p w14:paraId="1BC3DE43" w14:textId="77777777" w:rsidR="00D83E33" w:rsidRPr="001B330E" w:rsidRDefault="00D83E33" w:rsidP="001B330E">
            <w:pPr>
              <w:widowControl w:val="0"/>
              <w:jc w:val="right"/>
              <w:rPr>
                <w:color w:val="000000"/>
                <w:szCs w:val="12"/>
              </w:rPr>
            </w:pPr>
          </w:p>
        </w:tc>
      </w:tr>
      <w:tr w:rsidR="00D83E33" w:rsidRPr="00E837F2" w14:paraId="11F8EAD5" w14:textId="77777777" w:rsidTr="001B330E">
        <w:trPr>
          <w:trHeight w:val="23"/>
        </w:trPr>
        <w:tc>
          <w:tcPr>
            <w:tcW w:w="1370" w:type="pct"/>
            <w:vAlign w:val="bottom"/>
          </w:tcPr>
          <w:p w14:paraId="5CAA94E8" w14:textId="77777777" w:rsidR="00D83E33" w:rsidRPr="00E837F2" w:rsidRDefault="00BC4072" w:rsidP="001B330E">
            <w:pPr>
              <w:widowControl w:val="0"/>
              <w:ind w:left="113" w:hanging="113"/>
              <w:rPr>
                <w:b/>
                <w:color w:val="000000"/>
              </w:rPr>
            </w:pPr>
            <w:r w:rsidRPr="00E837F2">
              <w:rPr>
                <w:b/>
                <w:color w:val="000000"/>
              </w:rPr>
              <w:t>Total carrying value loans and advances to customers at FVTPL (amount representing exposure to credit risk for each class of loans at FVTPL)</w:t>
            </w:r>
          </w:p>
        </w:tc>
        <w:tc>
          <w:tcPr>
            <w:tcW w:w="463" w:type="pct"/>
            <w:vAlign w:val="bottom"/>
          </w:tcPr>
          <w:p w14:paraId="171F6C2A" w14:textId="77777777" w:rsidR="00D83E33" w:rsidRPr="00E837F2" w:rsidRDefault="00D83E33" w:rsidP="001B330E">
            <w:pPr>
              <w:widowControl w:val="0"/>
              <w:jc w:val="right"/>
              <w:rPr>
                <w:b/>
                <w:color w:val="000000"/>
              </w:rPr>
            </w:pPr>
          </w:p>
        </w:tc>
        <w:tc>
          <w:tcPr>
            <w:tcW w:w="463" w:type="pct"/>
            <w:vAlign w:val="bottom"/>
          </w:tcPr>
          <w:p w14:paraId="2B853F9B" w14:textId="77777777" w:rsidR="00D83E33" w:rsidRPr="00E837F2" w:rsidRDefault="00D83E33" w:rsidP="001B330E">
            <w:pPr>
              <w:widowControl w:val="0"/>
              <w:jc w:val="right"/>
              <w:rPr>
                <w:b/>
                <w:color w:val="000000"/>
              </w:rPr>
            </w:pPr>
          </w:p>
        </w:tc>
        <w:tc>
          <w:tcPr>
            <w:tcW w:w="437" w:type="pct"/>
            <w:vAlign w:val="bottom"/>
          </w:tcPr>
          <w:p w14:paraId="31E5E790" w14:textId="77777777" w:rsidR="00D83E33" w:rsidRPr="00E837F2" w:rsidRDefault="00D83E33" w:rsidP="001B330E">
            <w:pPr>
              <w:widowControl w:val="0"/>
              <w:jc w:val="right"/>
              <w:rPr>
                <w:b/>
                <w:color w:val="000000"/>
              </w:rPr>
            </w:pPr>
          </w:p>
        </w:tc>
        <w:tc>
          <w:tcPr>
            <w:tcW w:w="437" w:type="pct"/>
            <w:vAlign w:val="bottom"/>
          </w:tcPr>
          <w:p w14:paraId="5BF15960" w14:textId="77777777" w:rsidR="00D83E33" w:rsidRPr="00E837F2" w:rsidRDefault="00D83E33" w:rsidP="001B330E">
            <w:pPr>
              <w:widowControl w:val="0"/>
              <w:jc w:val="right"/>
              <w:rPr>
                <w:b/>
                <w:color w:val="000000"/>
              </w:rPr>
            </w:pPr>
          </w:p>
        </w:tc>
        <w:tc>
          <w:tcPr>
            <w:tcW w:w="437" w:type="pct"/>
            <w:vAlign w:val="bottom"/>
          </w:tcPr>
          <w:p w14:paraId="54FE9E73" w14:textId="77777777" w:rsidR="00D83E33" w:rsidRPr="00E837F2" w:rsidRDefault="00D83E33" w:rsidP="001B330E">
            <w:pPr>
              <w:widowControl w:val="0"/>
              <w:jc w:val="right"/>
              <w:rPr>
                <w:b/>
                <w:color w:val="000000"/>
              </w:rPr>
            </w:pPr>
          </w:p>
        </w:tc>
        <w:tc>
          <w:tcPr>
            <w:tcW w:w="463" w:type="pct"/>
            <w:vAlign w:val="bottom"/>
          </w:tcPr>
          <w:p w14:paraId="4711952B" w14:textId="77777777" w:rsidR="00D83E33" w:rsidRPr="00E837F2" w:rsidRDefault="00D83E33" w:rsidP="001B330E">
            <w:pPr>
              <w:widowControl w:val="0"/>
              <w:jc w:val="right"/>
              <w:rPr>
                <w:b/>
                <w:color w:val="000000"/>
              </w:rPr>
            </w:pPr>
          </w:p>
        </w:tc>
        <w:tc>
          <w:tcPr>
            <w:tcW w:w="495" w:type="pct"/>
          </w:tcPr>
          <w:p w14:paraId="089461F9" w14:textId="77777777" w:rsidR="00D83E33" w:rsidRPr="00E837F2" w:rsidRDefault="00D83E33" w:rsidP="001B330E">
            <w:pPr>
              <w:widowControl w:val="0"/>
              <w:jc w:val="right"/>
              <w:rPr>
                <w:b/>
                <w:color w:val="000000"/>
              </w:rPr>
            </w:pPr>
          </w:p>
        </w:tc>
        <w:tc>
          <w:tcPr>
            <w:tcW w:w="435" w:type="pct"/>
            <w:vAlign w:val="bottom"/>
          </w:tcPr>
          <w:p w14:paraId="3F7F4EA5" w14:textId="77777777" w:rsidR="00D83E33" w:rsidRPr="00E837F2" w:rsidRDefault="00D83E33" w:rsidP="001B330E">
            <w:pPr>
              <w:widowControl w:val="0"/>
              <w:jc w:val="right"/>
              <w:rPr>
                <w:b/>
                <w:color w:val="000000"/>
              </w:rPr>
            </w:pPr>
          </w:p>
        </w:tc>
      </w:tr>
      <w:tr w:rsidR="00D83E33" w:rsidRPr="00E837F2" w14:paraId="707F3427" w14:textId="77777777" w:rsidTr="001B330E">
        <w:trPr>
          <w:trHeight w:val="23"/>
        </w:trPr>
        <w:tc>
          <w:tcPr>
            <w:tcW w:w="1370" w:type="pct"/>
            <w:tcBorders>
              <w:bottom w:val="single" w:sz="12" w:space="0" w:color="000000"/>
            </w:tcBorders>
            <w:vAlign w:val="bottom"/>
          </w:tcPr>
          <w:p w14:paraId="1555AD85" w14:textId="77777777" w:rsidR="00D83E33" w:rsidRPr="001B330E" w:rsidRDefault="00D83E33" w:rsidP="001B330E">
            <w:pPr>
              <w:widowControl w:val="0"/>
              <w:ind w:left="113" w:hanging="113"/>
              <w:rPr>
                <w:b/>
                <w:color w:val="000000"/>
                <w:szCs w:val="12"/>
              </w:rPr>
            </w:pPr>
          </w:p>
        </w:tc>
        <w:tc>
          <w:tcPr>
            <w:tcW w:w="463" w:type="pct"/>
            <w:tcBorders>
              <w:bottom w:val="single" w:sz="12" w:space="0" w:color="000000"/>
            </w:tcBorders>
            <w:vAlign w:val="bottom"/>
          </w:tcPr>
          <w:p w14:paraId="12EE8D61" w14:textId="77777777" w:rsidR="00D83E33" w:rsidRPr="001B330E" w:rsidRDefault="00D83E33" w:rsidP="001B330E">
            <w:pPr>
              <w:widowControl w:val="0"/>
              <w:jc w:val="right"/>
              <w:rPr>
                <w:b/>
                <w:color w:val="000000"/>
                <w:szCs w:val="12"/>
              </w:rPr>
            </w:pPr>
          </w:p>
        </w:tc>
        <w:tc>
          <w:tcPr>
            <w:tcW w:w="463" w:type="pct"/>
            <w:tcBorders>
              <w:bottom w:val="single" w:sz="12" w:space="0" w:color="000000"/>
            </w:tcBorders>
            <w:vAlign w:val="bottom"/>
          </w:tcPr>
          <w:p w14:paraId="64B26F58" w14:textId="77777777" w:rsidR="00D83E33" w:rsidRPr="001B330E" w:rsidRDefault="00D83E33" w:rsidP="001B330E">
            <w:pPr>
              <w:widowControl w:val="0"/>
              <w:jc w:val="right"/>
              <w:rPr>
                <w:b/>
                <w:color w:val="000000"/>
                <w:szCs w:val="12"/>
              </w:rPr>
            </w:pPr>
          </w:p>
        </w:tc>
        <w:tc>
          <w:tcPr>
            <w:tcW w:w="437" w:type="pct"/>
            <w:tcBorders>
              <w:bottom w:val="single" w:sz="12" w:space="0" w:color="000000"/>
            </w:tcBorders>
            <w:vAlign w:val="bottom"/>
          </w:tcPr>
          <w:p w14:paraId="2C666A26" w14:textId="77777777" w:rsidR="00D83E33" w:rsidRPr="001B330E" w:rsidRDefault="00D83E33" w:rsidP="001B330E">
            <w:pPr>
              <w:widowControl w:val="0"/>
              <w:jc w:val="right"/>
              <w:rPr>
                <w:b/>
                <w:color w:val="000000"/>
                <w:szCs w:val="12"/>
              </w:rPr>
            </w:pPr>
          </w:p>
        </w:tc>
        <w:tc>
          <w:tcPr>
            <w:tcW w:w="437" w:type="pct"/>
            <w:tcBorders>
              <w:bottom w:val="single" w:sz="12" w:space="0" w:color="000000"/>
            </w:tcBorders>
            <w:vAlign w:val="bottom"/>
          </w:tcPr>
          <w:p w14:paraId="7002EBD9" w14:textId="77777777" w:rsidR="00D83E33" w:rsidRPr="001B330E" w:rsidRDefault="00D83E33" w:rsidP="001B330E">
            <w:pPr>
              <w:widowControl w:val="0"/>
              <w:jc w:val="right"/>
              <w:rPr>
                <w:b/>
                <w:color w:val="000000"/>
                <w:szCs w:val="12"/>
              </w:rPr>
            </w:pPr>
          </w:p>
        </w:tc>
        <w:tc>
          <w:tcPr>
            <w:tcW w:w="437" w:type="pct"/>
            <w:tcBorders>
              <w:bottom w:val="single" w:sz="12" w:space="0" w:color="000000"/>
            </w:tcBorders>
            <w:vAlign w:val="bottom"/>
          </w:tcPr>
          <w:p w14:paraId="3B1EDEF1" w14:textId="77777777" w:rsidR="00D83E33" w:rsidRPr="001B330E" w:rsidRDefault="00D83E33" w:rsidP="001B330E">
            <w:pPr>
              <w:widowControl w:val="0"/>
              <w:jc w:val="right"/>
              <w:rPr>
                <w:b/>
                <w:color w:val="000000"/>
                <w:szCs w:val="12"/>
              </w:rPr>
            </w:pPr>
          </w:p>
        </w:tc>
        <w:tc>
          <w:tcPr>
            <w:tcW w:w="463" w:type="pct"/>
            <w:tcBorders>
              <w:bottom w:val="single" w:sz="12" w:space="0" w:color="000000"/>
            </w:tcBorders>
            <w:vAlign w:val="bottom"/>
          </w:tcPr>
          <w:p w14:paraId="2A5B87D0" w14:textId="77777777" w:rsidR="00D83E33" w:rsidRPr="001B330E" w:rsidRDefault="00D83E33" w:rsidP="001B330E">
            <w:pPr>
              <w:widowControl w:val="0"/>
              <w:jc w:val="right"/>
              <w:rPr>
                <w:b/>
                <w:color w:val="000000"/>
                <w:szCs w:val="12"/>
              </w:rPr>
            </w:pPr>
          </w:p>
        </w:tc>
        <w:tc>
          <w:tcPr>
            <w:tcW w:w="495" w:type="pct"/>
            <w:tcBorders>
              <w:bottom w:val="single" w:sz="12" w:space="0" w:color="000000"/>
            </w:tcBorders>
          </w:tcPr>
          <w:p w14:paraId="1475FC40" w14:textId="77777777" w:rsidR="00D83E33" w:rsidRPr="001B330E" w:rsidRDefault="00D83E33" w:rsidP="001B330E">
            <w:pPr>
              <w:widowControl w:val="0"/>
              <w:jc w:val="right"/>
              <w:rPr>
                <w:b/>
                <w:color w:val="000000"/>
                <w:szCs w:val="12"/>
              </w:rPr>
            </w:pPr>
          </w:p>
        </w:tc>
        <w:tc>
          <w:tcPr>
            <w:tcW w:w="435" w:type="pct"/>
            <w:tcBorders>
              <w:bottom w:val="single" w:sz="12" w:space="0" w:color="000000"/>
            </w:tcBorders>
            <w:vAlign w:val="bottom"/>
          </w:tcPr>
          <w:p w14:paraId="0D5AD3E2" w14:textId="77777777" w:rsidR="00D83E33" w:rsidRPr="001B330E" w:rsidRDefault="00D83E33" w:rsidP="001B330E">
            <w:pPr>
              <w:widowControl w:val="0"/>
              <w:jc w:val="right"/>
              <w:rPr>
                <w:b/>
                <w:color w:val="000000"/>
                <w:szCs w:val="12"/>
              </w:rPr>
            </w:pPr>
          </w:p>
        </w:tc>
      </w:tr>
    </w:tbl>
    <w:p w14:paraId="2DAB7DE4" w14:textId="77777777" w:rsidR="009C6EFA" w:rsidRDefault="009C6EFA" w:rsidP="009C6EFA">
      <w:pPr>
        <w:pStyle w:val="Continued"/>
      </w:pPr>
      <w:r>
        <w:lastRenderedPageBreak/>
        <w:t>11</w:t>
      </w:r>
      <w:r>
        <w:tab/>
        <w:t>Loans and Advances to Customers (Continued)</w:t>
      </w:r>
    </w:p>
    <w:p w14:paraId="5B00BF11" w14:textId="28BB4A0E"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Description of collateral held for loans to individuals carried at FVTPL is as follows at 31</w:t>
      </w:r>
      <w:r w:rsidR="00181687">
        <w:rPr>
          <w:color w:val="000000"/>
          <w:sz w:val="20"/>
          <w:szCs w:val="20"/>
        </w:rPr>
        <w:t> December </w:t>
      </w:r>
      <w:r w:rsidR="00541EBC">
        <w:rPr>
          <w:color w:val="000000"/>
          <w:sz w:val="20"/>
          <w:szCs w:val="20"/>
        </w:rPr>
        <w:t>2023</w:t>
      </w:r>
      <w:r>
        <w:rPr>
          <w:color w:val="000000"/>
          <w:sz w:val="20"/>
          <w:szCs w:val="20"/>
        </w:rPr>
        <w:t xml:space="preserve">: </w:t>
      </w:r>
    </w:p>
    <w:tbl>
      <w:tblPr>
        <w:tblStyle w:val="affffff4"/>
        <w:tblW w:w="5000" w:type="pct"/>
        <w:tblLayout w:type="fixed"/>
        <w:tblLook w:val="0000" w:firstRow="0" w:lastRow="0" w:firstColumn="0" w:lastColumn="0" w:noHBand="0" w:noVBand="0"/>
      </w:tblPr>
      <w:tblGrid>
        <w:gridCol w:w="2269"/>
        <w:gridCol w:w="1418"/>
        <w:gridCol w:w="1418"/>
        <w:gridCol w:w="1418"/>
        <w:gridCol w:w="1418"/>
        <w:gridCol w:w="1414"/>
      </w:tblGrid>
      <w:tr w:rsidR="00D83E33" w:rsidRPr="00E837F2" w14:paraId="7AEA0395" w14:textId="77777777" w:rsidTr="001B330E">
        <w:trPr>
          <w:trHeight w:val="23"/>
        </w:trPr>
        <w:tc>
          <w:tcPr>
            <w:tcW w:w="1212" w:type="pct"/>
            <w:tcBorders>
              <w:bottom w:val="single" w:sz="6" w:space="0" w:color="000000"/>
            </w:tcBorders>
            <w:vAlign w:val="bottom"/>
          </w:tcPr>
          <w:p w14:paraId="46AED59A" w14:textId="226EE643" w:rsidR="00D83E33" w:rsidRPr="00E837F2" w:rsidRDefault="00313B4D" w:rsidP="001B330E">
            <w:pPr>
              <w:widowControl w:val="0"/>
              <w:ind w:left="113" w:hanging="113"/>
              <w:rPr>
                <w:i/>
                <w:color w:val="000000"/>
              </w:rPr>
            </w:pPr>
            <w:r>
              <w:rPr>
                <w:i/>
                <w:color w:val="000000"/>
              </w:rPr>
              <w:t xml:space="preserve">In thousands of </w:t>
            </w:r>
            <w:r w:rsidR="002649EE">
              <w:rPr>
                <w:i/>
                <w:color w:val="000000"/>
              </w:rPr>
              <w:t>EUR</w:t>
            </w:r>
          </w:p>
        </w:tc>
        <w:tc>
          <w:tcPr>
            <w:tcW w:w="758" w:type="pct"/>
            <w:tcBorders>
              <w:bottom w:val="single" w:sz="6" w:space="0" w:color="000000"/>
            </w:tcBorders>
          </w:tcPr>
          <w:p w14:paraId="3C455A66" w14:textId="77777777" w:rsidR="00D83E33" w:rsidRPr="00E837F2" w:rsidRDefault="00BC4072" w:rsidP="001B330E">
            <w:pPr>
              <w:widowControl w:val="0"/>
              <w:jc w:val="right"/>
              <w:rPr>
                <w:b/>
                <w:color w:val="000000"/>
              </w:rPr>
            </w:pPr>
            <w:r w:rsidRPr="00E837F2">
              <w:rPr>
                <w:b/>
                <w:color w:val="000000"/>
              </w:rPr>
              <w:t>Mortgage loans</w:t>
            </w:r>
          </w:p>
        </w:tc>
        <w:tc>
          <w:tcPr>
            <w:tcW w:w="758" w:type="pct"/>
            <w:tcBorders>
              <w:bottom w:val="single" w:sz="6" w:space="0" w:color="000000"/>
            </w:tcBorders>
          </w:tcPr>
          <w:p w14:paraId="4BA9D2A5" w14:textId="77777777" w:rsidR="00D83E33" w:rsidRPr="00E837F2" w:rsidRDefault="00BC4072" w:rsidP="001B330E">
            <w:pPr>
              <w:widowControl w:val="0"/>
              <w:jc w:val="right"/>
              <w:rPr>
                <w:b/>
                <w:color w:val="000000"/>
              </w:rPr>
            </w:pPr>
            <w:r w:rsidRPr="00E837F2">
              <w:rPr>
                <w:b/>
                <w:color w:val="000000"/>
              </w:rPr>
              <w:t>Consumer loans</w:t>
            </w:r>
          </w:p>
        </w:tc>
        <w:tc>
          <w:tcPr>
            <w:tcW w:w="758" w:type="pct"/>
            <w:tcBorders>
              <w:bottom w:val="single" w:sz="6" w:space="0" w:color="000000"/>
            </w:tcBorders>
          </w:tcPr>
          <w:p w14:paraId="4D02EABE" w14:textId="77777777" w:rsidR="00D83E33" w:rsidRPr="00E837F2" w:rsidRDefault="00BC4072" w:rsidP="001B330E">
            <w:pPr>
              <w:widowControl w:val="0"/>
              <w:jc w:val="right"/>
              <w:rPr>
                <w:b/>
                <w:color w:val="000000"/>
              </w:rPr>
            </w:pPr>
            <w:r w:rsidRPr="00E837F2">
              <w:rPr>
                <w:b/>
                <w:color w:val="000000"/>
              </w:rPr>
              <w:t>Car loans</w:t>
            </w:r>
          </w:p>
        </w:tc>
        <w:tc>
          <w:tcPr>
            <w:tcW w:w="758" w:type="pct"/>
            <w:tcBorders>
              <w:bottom w:val="single" w:sz="6" w:space="0" w:color="000000"/>
            </w:tcBorders>
          </w:tcPr>
          <w:p w14:paraId="03F45CF5" w14:textId="232706F9" w:rsidR="00D83E33" w:rsidRPr="00E837F2" w:rsidRDefault="00BC4072" w:rsidP="001B330E">
            <w:pPr>
              <w:widowControl w:val="0"/>
              <w:jc w:val="right"/>
              <w:rPr>
                <w:b/>
                <w:color w:val="000000"/>
              </w:rPr>
            </w:pPr>
            <w:r w:rsidRPr="00E837F2">
              <w:rPr>
                <w:b/>
              </w:rPr>
              <w:t>Credit cards</w:t>
            </w:r>
            <w:r w:rsidRPr="00E837F2">
              <w:t xml:space="preserve"> </w:t>
            </w:r>
          </w:p>
        </w:tc>
        <w:tc>
          <w:tcPr>
            <w:tcW w:w="756" w:type="pct"/>
            <w:tcBorders>
              <w:bottom w:val="single" w:sz="6" w:space="0" w:color="000000"/>
            </w:tcBorders>
          </w:tcPr>
          <w:p w14:paraId="509EE5FD" w14:textId="77777777" w:rsidR="00D83E33" w:rsidRPr="00E837F2" w:rsidRDefault="00BC4072" w:rsidP="001B330E">
            <w:pPr>
              <w:widowControl w:val="0"/>
              <w:jc w:val="right"/>
              <w:rPr>
                <w:b/>
                <w:color w:val="000000"/>
              </w:rPr>
            </w:pPr>
            <w:r w:rsidRPr="00E837F2">
              <w:rPr>
                <w:b/>
                <w:color w:val="000000"/>
              </w:rPr>
              <w:t>Total</w:t>
            </w:r>
          </w:p>
        </w:tc>
      </w:tr>
      <w:tr w:rsidR="00D83E33" w:rsidRPr="00E837F2" w14:paraId="5669174C" w14:textId="77777777" w:rsidTr="001B330E">
        <w:trPr>
          <w:trHeight w:val="23"/>
        </w:trPr>
        <w:tc>
          <w:tcPr>
            <w:tcW w:w="1212" w:type="pct"/>
            <w:tcBorders>
              <w:top w:val="single" w:sz="6" w:space="0" w:color="000000"/>
            </w:tcBorders>
            <w:vAlign w:val="bottom"/>
          </w:tcPr>
          <w:p w14:paraId="7E9861D0" w14:textId="77777777" w:rsidR="00D83E33" w:rsidRPr="001B330E" w:rsidRDefault="00D83E33" w:rsidP="001B330E">
            <w:pPr>
              <w:widowControl w:val="0"/>
              <w:ind w:left="113" w:hanging="113"/>
              <w:rPr>
                <w:b/>
                <w:color w:val="000000"/>
                <w:szCs w:val="12"/>
              </w:rPr>
            </w:pPr>
          </w:p>
        </w:tc>
        <w:tc>
          <w:tcPr>
            <w:tcW w:w="758" w:type="pct"/>
            <w:tcBorders>
              <w:top w:val="single" w:sz="6" w:space="0" w:color="000000"/>
            </w:tcBorders>
            <w:vAlign w:val="bottom"/>
          </w:tcPr>
          <w:p w14:paraId="36ED5DFA" w14:textId="77777777" w:rsidR="00D83E33" w:rsidRPr="001B330E" w:rsidRDefault="00D83E33" w:rsidP="001B330E">
            <w:pPr>
              <w:widowControl w:val="0"/>
              <w:jc w:val="right"/>
              <w:rPr>
                <w:b/>
                <w:color w:val="000000"/>
                <w:szCs w:val="12"/>
              </w:rPr>
            </w:pPr>
          </w:p>
        </w:tc>
        <w:tc>
          <w:tcPr>
            <w:tcW w:w="758" w:type="pct"/>
            <w:tcBorders>
              <w:top w:val="single" w:sz="6" w:space="0" w:color="000000"/>
            </w:tcBorders>
            <w:vAlign w:val="bottom"/>
          </w:tcPr>
          <w:p w14:paraId="4B3B0B93" w14:textId="77777777" w:rsidR="00D83E33" w:rsidRPr="001B330E" w:rsidRDefault="00D83E33" w:rsidP="001B330E">
            <w:pPr>
              <w:widowControl w:val="0"/>
              <w:jc w:val="right"/>
              <w:rPr>
                <w:b/>
                <w:color w:val="000000"/>
                <w:szCs w:val="12"/>
              </w:rPr>
            </w:pPr>
          </w:p>
        </w:tc>
        <w:tc>
          <w:tcPr>
            <w:tcW w:w="758" w:type="pct"/>
            <w:tcBorders>
              <w:top w:val="single" w:sz="6" w:space="0" w:color="000000"/>
            </w:tcBorders>
            <w:vAlign w:val="bottom"/>
          </w:tcPr>
          <w:p w14:paraId="3337D261" w14:textId="77777777" w:rsidR="00D83E33" w:rsidRPr="001B330E" w:rsidRDefault="00D83E33" w:rsidP="001B330E">
            <w:pPr>
              <w:widowControl w:val="0"/>
              <w:jc w:val="right"/>
              <w:rPr>
                <w:b/>
                <w:color w:val="000000"/>
                <w:szCs w:val="12"/>
              </w:rPr>
            </w:pPr>
          </w:p>
        </w:tc>
        <w:tc>
          <w:tcPr>
            <w:tcW w:w="758" w:type="pct"/>
            <w:tcBorders>
              <w:top w:val="single" w:sz="6" w:space="0" w:color="000000"/>
            </w:tcBorders>
            <w:vAlign w:val="bottom"/>
          </w:tcPr>
          <w:p w14:paraId="7F8EB41E" w14:textId="77777777" w:rsidR="00D83E33" w:rsidRPr="001B330E" w:rsidRDefault="00D83E33" w:rsidP="001B330E">
            <w:pPr>
              <w:widowControl w:val="0"/>
              <w:jc w:val="right"/>
              <w:rPr>
                <w:b/>
                <w:color w:val="000000"/>
                <w:szCs w:val="12"/>
              </w:rPr>
            </w:pPr>
          </w:p>
        </w:tc>
        <w:tc>
          <w:tcPr>
            <w:tcW w:w="756" w:type="pct"/>
            <w:tcBorders>
              <w:top w:val="single" w:sz="6" w:space="0" w:color="000000"/>
            </w:tcBorders>
            <w:vAlign w:val="bottom"/>
          </w:tcPr>
          <w:p w14:paraId="20A0DDC8" w14:textId="77777777" w:rsidR="00D83E33" w:rsidRPr="001B330E" w:rsidRDefault="00D83E33" w:rsidP="001B330E">
            <w:pPr>
              <w:widowControl w:val="0"/>
              <w:jc w:val="right"/>
              <w:rPr>
                <w:b/>
                <w:color w:val="000000"/>
                <w:szCs w:val="12"/>
              </w:rPr>
            </w:pPr>
          </w:p>
        </w:tc>
      </w:tr>
      <w:tr w:rsidR="00D83E33" w:rsidRPr="00E837F2" w14:paraId="0B1DCC22" w14:textId="77777777" w:rsidTr="001B330E">
        <w:trPr>
          <w:trHeight w:val="23"/>
        </w:trPr>
        <w:tc>
          <w:tcPr>
            <w:tcW w:w="1212" w:type="pct"/>
            <w:vAlign w:val="bottom"/>
          </w:tcPr>
          <w:p w14:paraId="18AFB00E" w14:textId="77777777" w:rsidR="00D83E33" w:rsidRPr="00E837F2" w:rsidRDefault="00BC4072" w:rsidP="001B330E">
            <w:pPr>
              <w:widowControl w:val="0"/>
              <w:ind w:left="113" w:hanging="113"/>
              <w:rPr>
                <w:color w:val="000000"/>
              </w:rPr>
            </w:pPr>
            <w:r w:rsidRPr="00E837F2">
              <w:rPr>
                <w:color w:val="000000"/>
              </w:rPr>
              <w:t>Loans guaranteed by other banks</w:t>
            </w:r>
          </w:p>
        </w:tc>
        <w:tc>
          <w:tcPr>
            <w:tcW w:w="758" w:type="pct"/>
            <w:vAlign w:val="bottom"/>
          </w:tcPr>
          <w:p w14:paraId="2701BCB7" w14:textId="77777777" w:rsidR="00D83E33" w:rsidRPr="00E837F2" w:rsidRDefault="00D83E33" w:rsidP="001B330E">
            <w:pPr>
              <w:widowControl w:val="0"/>
              <w:jc w:val="right"/>
              <w:rPr>
                <w:color w:val="000000"/>
              </w:rPr>
            </w:pPr>
          </w:p>
        </w:tc>
        <w:tc>
          <w:tcPr>
            <w:tcW w:w="758" w:type="pct"/>
            <w:vAlign w:val="bottom"/>
          </w:tcPr>
          <w:p w14:paraId="08B171BB" w14:textId="77777777" w:rsidR="00D83E33" w:rsidRPr="00E837F2" w:rsidRDefault="00D83E33" w:rsidP="001B330E">
            <w:pPr>
              <w:widowControl w:val="0"/>
              <w:jc w:val="right"/>
              <w:rPr>
                <w:color w:val="000000"/>
              </w:rPr>
            </w:pPr>
          </w:p>
        </w:tc>
        <w:tc>
          <w:tcPr>
            <w:tcW w:w="758" w:type="pct"/>
            <w:vAlign w:val="bottom"/>
          </w:tcPr>
          <w:p w14:paraId="1A64BDB8" w14:textId="77777777" w:rsidR="00D83E33" w:rsidRPr="00E837F2" w:rsidRDefault="00D83E33" w:rsidP="001B330E">
            <w:pPr>
              <w:widowControl w:val="0"/>
              <w:jc w:val="right"/>
              <w:rPr>
                <w:color w:val="000000"/>
              </w:rPr>
            </w:pPr>
          </w:p>
        </w:tc>
        <w:tc>
          <w:tcPr>
            <w:tcW w:w="758" w:type="pct"/>
            <w:vAlign w:val="bottom"/>
          </w:tcPr>
          <w:p w14:paraId="25CF0AD2" w14:textId="77777777" w:rsidR="00D83E33" w:rsidRPr="00E837F2" w:rsidRDefault="00D83E33" w:rsidP="001B330E">
            <w:pPr>
              <w:widowControl w:val="0"/>
              <w:jc w:val="right"/>
              <w:rPr>
                <w:color w:val="000000"/>
              </w:rPr>
            </w:pPr>
          </w:p>
        </w:tc>
        <w:tc>
          <w:tcPr>
            <w:tcW w:w="756" w:type="pct"/>
            <w:vAlign w:val="bottom"/>
          </w:tcPr>
          <w:p w14:paraId="12DEDF00" w14:textId="77777777" w:rsidR="00D83E33" w:rsidRPr="00E837F2" w:rsidRDefault="00D83E33" w:rsidP="001B330E">
            <w:pPr>
              <w:widowControl w:val="0"/>
              <w:jc w:val="right"/>
              <w:rPr>
                <w:color w:val="000000"/>
              </w:rPr>
            </w:pPr>
          </w:p>
        </w:tc>
      </w:tr>
      <w:tr w:rsidR="00D83E33" w:rsidRPr="00E837F2" w14:paraId="72620230" w14:textId="77777777" w:rsidTr="001B330E">
        <w:trPr>
          <w:trHeight w:val="23"/>
        </w:trPr>
        <w:tc>
          <w:tcPr>
            <w:tcW w:w="1212" w:type="pct"/>
            <w:vAlign w:val="bottom"/>
          </w:tcPr>
          <w:p w14:paraId="112CF29F" w14:textId="77777777" w:rsidR="00D83E33" w:rsidRPr="00E837F2" w:rsidRDefault="00BC4072" w:rsidP="001B330E">
            <w:pPr>
              <w:widowControl w:val="0"/>
              <w:ind w:left="113" w:hanging="113"/>
              <w:rPr>
                <w:color w:val="000000"/>
              </w:rPr>
            </w:pPr>
            <w:r w:rsidRPr="00E837F2">
              <w:rPr>
                <w:color w:val="000000"/>
              </w:rPr>
              <w:t>Loans guaranteed by other parties, including credit insurance</w:t>
            </w:r>
          </w:p>
        </w:tc>
        <w:tc>
          <w:tcPr>
            <w:tcW w:w="758" w:type="pct"/>
            <w:vAlign w:val="bottom"/>
          </w:tcPr>
          <w:p w14:paraId="04646F12" w14:textId="77777777" w:rsidR="00D83E33" w:rsidRPr="00E837F2" w:rsidRDefault="00D83E33" w:rsidP="001B330E">
            <w:pPr>
              <w:widowControl w:val="0"/>
              <w:jc w:val="right"/>
              <w:rPr>
                <w:color w:val="000000"/>
              </w:rPr>
            </w:pPr>
          </w:p>
        </w:tc>
        <w:tc>
          <w:tcPr>
            <w:tcW w:w="758" w:type="pct"/>
            <w:vAlign w:val="bottom"/>
          </w:tcPr>
          <w:p w14:paraId="1C05A696" w14:textId="77777777" w:rsidR="00D83E33" w:rsidRPr="00E837F2" w:rsidRDefault="00D83E33" w:rsidP="001B330E">
            <w:pPr>
              <w:widowControl w:val="0"/>
              <w:jc w:val="right"/>
              <w:rPr>
                <w:color w:val="000000"/>
              </w:rPr>
            </w:pPr>
          </w:p>
        </w:tc>
        <w:tc>
          <w:tcPr>
            <w:tcW w:w="758" w:type="pct"/>
            <w:vAlign w:val="bottom"/>
          </w:tcPr>
          <w:p w14:paraId="1FD47FF1" w14:textId="77777777" w:rsidR="00D83E33" w:rsidRPr="00E837F2" w:rsidRDefault="00D83E33" w:rsidP="001B330E">
            <w:pPr>
              <w:widowControl w:val="0"/>
              <w:jc w:val="right"/>
              <w:rPr>
                <w:color w:val="000000"/>
              </w:rPr>
            </w:pPr>
          </w:p>
        </w:tc>
        <w:tc>
          <w:tcPr>
            <w:tcW w:w="758" w:type="pct"/>
            <w:vAlign w:val="bottom"/>
          </w:tcPr>
          <w:p w14:paraId="363D03EA" w14:textId="77777777" w:rsidR="00D83E33" w:rsidRPr="00E837F2" w:rsidRDefault="00D83E33" w:rsidP="001B330E">
            <w:pPr>
              <w:widowControl w:val="0"/>
              <w:jc w:val="right"/>
              <w:rPr>
                <w:color w:val="000000"/>
              </w:rPr>
            </w:pPr>
          </w:p>
        </w:tc>
        <w:tc>
          <w:tcPr>
            <w:tcW w:w="756" w:type="pct"/>
            <w:vAlign w:val="bottom"/>
          </w:tcPr>
          <w:p w14:paraId="5DCBE6CC" w14:textId="77777777" w:rsidR="00D83E33" w:rsidRPr="00E837F2" w:rsidRDefault="00D83E33" w:rsidP="001B330E">
            <w:pPr>
              <w:widowControl w:val="0"/>
              <w:jc w:val="right"/>
              <w:rPr>
                <w:color w:val="000000"/>
              </w:rPr>
            </w:pPr>
          </w:p>
        </w:tc>
      </w:tr>
      <w:tr w:rsidR="00D83E33" w:rsidRPr="00E837F2" w14:paraId="0B9E62C6" w14:textId="77777777" w:rsidTr="001B330E">
        <w:trPr>
          <w:trHeight w:val="23"/>
        </w:trPr>
        <w:tc>
          <w:tcPr>
            <w:tcW w:w="1212" w:type="pct"/>
            <w:vAlign w:val="bottom"/>
          </w:tcPr>
          <w:p w14:paraId="34FAE2B9" w14:textId="77777777" w:rsidR="00D83E33" w:rsidRPr="00E837F2" w:rsidRDefault="00BC4072" w:rsidP="001B330E">
            <w:pPr>
              <w:widowControl w:val="0"/>
              <w:ind w:left="113" w:hanging="113"/>
              <w:rPr>
                <w:color w:val="000000"/>
              </w:rPr>
            </w:pPr>
            <w:r w:rsidRPr="00E837F2">
              <w:rPr>
                <w:color w:val="000000"/>
              </w:rPr>
              <w:t xml:space="preserve">Loans collateralised by: </w:t>
            </w:r>
          </w:p>
        </w:tc>
        <w:tc>
          <w:tcPr>
            <w:tcW w:w="758" w:type="pct"/>
            <w:vAlign w:val="bottom"/>
          </w:tcPr>
          <w:p w14:paraId="17D8B3A4" w14:textId="77777777" w:rsidR="00D83E33" w:rsidRPr="00E837F2" w:rsidRDefault="00D83E33" w:rsidP="001B330E">
            <w:pPr>
              <w:widowControl w:val="0"/>
              <w:jc w:val="right"/>
              <w:rPr>
                <w:color w:val="000000"/>
              </w:rPr>
            </w:pPr>
          </w:p>
        </w:tc>
        <w:tc>
          <w:tcPr>
            <w:tcW w:w="758" w:type="pct"/>
            <w:vAlign w:val="bottom"/>
          </w:tcPr>
          <w:p w14:paraId="6F706BA6" w14:textId="77777777" w:rsidR="00D83E33" w:rsidRPr="00E837F2" w:rsidRDefault="00D83E33" w:rsidP="001B330E">
            <w:pPr>
              <w:widowControl w:val="0"/>
              <w:jc w:val="right"/>
              <w:rPr>
                <w:color w:val="000000"/>
              </w:rPr>
            </w:pPr>
          </w:p>
        </w:tc>
        <w:tc>
          <w:tcPr>
            <w:tcW w:w="758" w:type="pct"/>
            <w:vAlign w:val="bottom"/>
          </w:tcPr>
          <w:p w14:paraId="46DEADAD" w14:textId="77777777" w:rsidR="00D83E33" w:rsidRPr="00E837F2" w:rsidRDefault="00D83E33" w:rsidP="001B330E">
            <w:pPr>
              <w:widowControl w:val="0"/>
              <w:jc w:val="right"/>
              <w:rPr>
                <w:color w:val="000000"/>
              </w:rPr>
            </w:pPr>
          </w:p>
        </w:tc>
        <w:tc>
          <w:tcPr>
            <w:tcW w:w="758" w:type="pct"/>
            <w:vAlign w:val="bottom"/>
          </w:tcPr>
          <w:p w14:paraId="67B98EC0" w14:textId="77777777" w:rsidR="00D83E33" w:rsidRPr="00E837F2" w:rsidRDefault="00D83E33" w:rsidP="001B330E">
            <w:pPr>
              <w:widowControl w:val="0"/>
              <w:jc w:val="right"/>
              <w:rPr>
                <w:color w:val="000000"/>
              </w:rPr>
            </w:pPr>
          </w:p>
        </w:tc>
        <w:tc>
          <w:tcPr>
            <w:tcW w:w="756" w:type="pct"/>
            <w:vAlign w:val="bottom"/>
          </w:tcPr>
          <w:p w14:paraId="54A651D6" w14:textId="77777777" w:rsidR="00D83E33" w:rsidRPr="00E837F2" w:rsidRDefault="00D83E33" w:rsidP="001B330E">
            <w:pPr>
              <w:widowControl w:val="0"/>
              <w:jc w:val="right"/>
              <w:rPr>
                <w:color w:val="000000"/>
              </w:rPr>
            </w:pPr>
          </w:p>
        </w:tc>
      </w:tr>
      <w:tr w:rsidR="00D83E33" w:rsidRPr="00E837F2" w14:paraId="33174A2C" w14:textId="77777777" w:rsidTr="001B330E">
        <w:trPr>
          <w:trHeight w:val="23"/>
        </w:trPr>
        <w:tc>
          <w:tcPr>
            <w:tcW w:w="1212" w:type="pct"/>
            <w:vAlign w:val="bottom"/>
          </w:tcPr>
          <w:p w14:paraId="56400C36" w14:textId="77777777" w:rsidR="00D83E33" w:rsidRPr="00E837F2" w:rsidRDefault="00BC4072" w:rsidP="001B330E">
            <w:pPr>
              <w:widowControl w:val="0"/>
              <w:ind w:left="113" w:hanging="113"/>
              <w:rPr>
                <w:color w:val="000000"/>
              </w:rPr>
            </w:pPr>
            <w:r w:rsidRPr="00E837F2">
              <w:rPr>
                <w:color w:val="000000"/>
              </w:rPr>
              <w:t>- residential real estate</w:t>
            </w:r>
          </w:p>
        </w:tc>
        <w:tc>
          <w:tcPr>
            <w:tcW w:w="758" w:type="pct"/>
            <w:vAlign w:val="bottom"/>
          </w:tcPr>
          <w:p w14:paraId="72215BFD" w14:textId="77777777" w:rsidR="00D83E33" w:rsidRPr="00E837F2" w:rsidRDefault="00D83E33" w:rsidP="001B330E">
            <w:pPr>
              <w:widowControl w:val="0"/>
              <w:jc w:val="right"/>
              <w:rPr>
                <w:color w:val="000000"/>
              </w:rPr>
            </w:pPr>
          </w:p>
        </w:tc>
        <w:tc>
          <w:tcPr>
            <w:tcW w:w="758" w:type="pct"/>
            <w:vAlign w:val="bottom"/>
          </w:tcPr>
          <w:p w14:paraId="04D2FA17" w14:textId="77777777" w:rsidR="00D83E33" w:rsidRPr="00E837F2" w:rsidRDefault="00D83E33" w:rsidP="001B330E">
            <w:pPr>
              <w:widowControl w:val="0"/>
              <w:jc w:val="right"/>
              <w:rPr>
                <w:color w:val="000000"/>
              </w:rPr>
            </w:pPr>
          </w:p>
        </w:tc>
        <w:tc>
          <w:tcPr>
            <w:tcW w:w="758" w:type="pct"/>
            <w:vAlign w:val="bottom"/>
          </w:tcPr>
          <w:p w14:paraId="2CD0FD87" w14:textId="77777777" w:rsidR="00D83E33" w:rsidRPr="00E837F2" w:rsidRDefault="00D83E33" w:rsidP="001B330E">
            <w:pPr>
              <w:widowControl w:val="0"/>
              <w:jc w:val="right"/>
              <w:rPr>
                <w:color w:val="000000"/>
              </w:rPr>
            </w:pPr>
          </w:p>
        </w:tc>
        <w:tc>
          <w:tcPr>
            <w:tcW w:w="758" w:type="pct"/>
            <w:vAlign w:val="bottom"/>
          </w:tcPr>
          <w:p w14:paraId="689AEE38" w14:textId="77777777" w:rsidR="00D83E33" w:rsidRPr="00E837F2" w:rsidRDefault="00D83E33" w:rsidP="001B330E">
            <w:pPr>
              <w:widowControl w:val="0"/>
              <w:jc w:val="right"/>
              <w:rPr>
                <w:color w:val="000000"/>
              </w:rPr>
            </w:pPr>
          </w:p>
        </w:tc>
        <w:tc>
          <w:tcPr>
            <w:tcW w:w="756" w:type="pct"/>
            <w:vAlign w:val="bottom"/>
          </w:tcPr>
          <w:p w14:paraId="1AB1D3CE" w14:textId="77777777" w:rsidR="00D83E33" w:rsidRPr="00E837F2" w:rsidRDefault="00D83E33" w:rsidP="001B330E">
            <w:pPr>
              <w:widowControl w:val="0"/>
              <w:jc w:val="right"/>
              <w:rPr>
                <w:color w:val="000000"/>
              </w:rPr>
            </w:pPr>
          </w:p>
        </w:tc>
      </w:tr>
      <w:tr w:rsidR="00D83E33" w:rsidRPr="00E837F2" w14:paraId="264E8CAB" w14:textId="77777777" w:rsidTr="001B330E">
        <w:trPr>
          <w:trHeight w:val="23"/>
        </w:trPr>
        <w:tc>
          <w:tcPr>
            <w:tcW w:w="1212" w:type="pct"/>
            <w:vAlign w:val="bottom"/>
          </w:tcPr>
          <w:p w14:paraId="1F8546A3" w14:textId="77777777" w:rsidR="00D83E33" w:rsidRPr="00E837F2" w:rsidRDefault="00BC4072" w:rsidP="001B330E">
            <w:pPr>
              <w:widowControl w:val="0"/>
              <w:ind w:left="113" w:hanging="113"/>
              <w:rPr>
                <w:color w:val="000000"/>
              </w:rPr>
            </w:pPr>
            <w:r w:rsidRPr="00E837F2">
              <w:rPr>
                <w:color w:val="000000"/>
              </w:rPr>
              <w:t>- other real estate</w:t>
            </w:r>
          </w:p>
        </w:tc>
        <w:tc>
          <w:tcPr>
            <w:tcW w:w="758" w:type="pct"/>
            <w:vAlign w:val="bottom"/>
          </w:tcPr>
          <w:p w14:paraId="56F3AE16" w14:textId="77777777" w:rsidR="00D83E33" w:rsidRPr="00E837F2" w:rsidRDefault="00D83E33" w:rsidP="001B330E">
            <w:pPr>
              <w:widowControl w:val="0"/>
              <w:jc w:val="right"/>
              <w:rPr>
                <w:color w:val="000000"/>
              </w:rPr>
            </w:pPr>
          </w:p>
        </w:tc>
        <w:tc>
          <w:tcPr>
            <w:tcW w:w="758" w:type="pct"/>
            <w:vAlign w:val="bottom"/>
          </w:tcPr>
          <w:p w14:paraId="5D6A57C9" w14:textId="77777777" w:rsidR="00D83E33" w:rsidRPr="00E837F2" w:rsidRDefault="00D83E33" w:rsidP="001B330E">
            <w:pPr>
              <w:widowControl w:val="0"/>
              <w:jc w:val="right"/>
              <w:rPr>
                <w:color w:val="000000"/>
              </w:rPr>
            </w:pPr>
          </w:p>
        </w:tc>
        <w:tc>
          <w:tcPr>
            <w:tcW w:w="758" w:type="pct"/>
            <w:vAlign w:val="bottom"/>
          </w:tcPr>
          <w:p w14:paraId="53B69309" w14:textId="77777777" w:rsidR="00D83E33" w:rsidRPr="00E837F2" w:rsidRDefault="00D83E33" w:rsidP="001B330E">
            <w:pPr>
              <w:widowControl w:val="0"/>
              <w:jc w:val="right"/>
              <w:rPr>
                <w:color w:val="000000"/>
              </w:rPr>
            </w:pPr>
          </w:p>
        </w:tc>
        <w:tc>
          <w:tcPr>
            <w:tcW w:w="758" w:type="pct"/>
            <w:vAlign w:val="bottom"/>
          </w:tcPr>
          <w:p w14:paraId="1E339205" w14:textId="77777777" w:rsidR="00D83E33" w:rsidRPr="00E837F2" w:rsidRDefault="00D83E33" w:rsidP="001B330E">
            <w:pPr>
              <w:widowControl w:val="0"/>
              <w:jc w:val="right"/>
              <w:rPr>
                <w:color w:val="000000"/>
              </w:rPr>
            </w:pPr>
          </w:p>
        </w:tc>
        <w:tc>
          <w:tcPr>
            <w:tcW w:w="756" w:type="pct"/>
            <w:vAlign w:val="bottom"/>
          </w:tcPr>
          <w:p w14:paraId="3B7583D0" w14:textId="77777777" w:rsidR="00D83E33" w:rsidRPr="00E837F2" w:rsidRDefault="00D83E33" w:rsidP="001B330E">
            <w:pPr>
              <w:widowControl w:val="0"/>
              <w:jc w:val="right"/>
              <w:rPr>
                <w:color w:val="000000"/>
              </w:rPr>
            </w:pPr>
          </w:p>
        </w:tc>
      </w:tr>
      <w:tr w:rsidR="00D83E33" w:rsidRPr="00E837F2" w14:paraId="604AF100" w14:textId="77777777" w:rsidTr="001B330E">
        <w:trPr>
          <w:trHeight w:val="23"/>
        </w:trPr>
        <w:tc>
          <w:tcPr>
            <w:tcW w:w="1212" w:type="pct"/>
            <w:vAlign w:val="bottom"/>
          </w:tcPr>
          <w:p w14:paraId="2E774840" w14:textId="77777777" w:rsidR="00D83E33" w:rsidRPr="00E837F2" w:rsidRDefault="00BC4072" w:rsidP="001B330E">
            <w:pPr>
              <w:widowControl w:val="0"/>
              <w:ind w:left="113" w:hanging="113"/>
              <w:rPr>
                <w:color w:val="000000"/>
              </w:rPr>
            </w:pPr>
            <w:r w:rsidRPr="00E837F2">
              <w:rPr>
                <w:color w:val="000000"/>
              </w:rPr>
              <w:t>- tradable securities</w:t>
            </w:r>
          </w:p>
        </w:tc>
        <w:tc>
          <w:tcPr>
            <w:tcW w:w="758" w:type="pct"/>
            <w:vAlign w:val="bottom"/>
          </w:tcPr>
          <w:p w14:paraId="311B87B5" w14:textId="77777777" w:rsidR="00D83E33" w:rsidRPr="00E837F2" w:rsidRDefault="00D83E33" w:rsidP="001B330E">
            <w:pPr>
              <w:widowControl w:val="0"/>
              <w:jc w:val="right"/>
              <w:rPr>
                <w:color w:val="000000"/>
              </w:rPr>
            </w:pPr>
          </w:p>
        </w:tc>
        <w:tc>
          <w:tcPr>
            <w:tcW w:w="758" w:type="pct"/>
            <w:vAlign w:val="bottom"/>
          </w:tcPr>
          <w:p w14:paraId="0831F709" w14:textId="77777777" w:rsidR="00D83E33" w:rsidRPr="00E837F2" w:rsidRDefault="00D83E33" w:rsidP="001B330E">
            <w:pPr>
              <w:widowControl w:val="0"/>
              <w:jc w:val="right"/>
              <w:rPr>
                <w:color w:val="000000"/>
              </w:rPr>
            </w:pPr>
          </w:p>
        </w:tc>
        <w:tc>
          <w:tcPr>
            <w:tcW w:w="758" w:type="pct"/>
            <w:vAlign w:val="bottom"/>
          </w:tcPr>
          <w:p w14:paraId="7FDEC44C" w14:textId="77777777" w:rsidR="00D83E33" w:rsidRPr="00E837F2" w:rsidRDefault="00D83E33" w:rsidP="001B330E">
            <w:pPr>
              <w:widowControl w:val="0"/>
              <w:jc w:val="right"/>
              <w:rPr>
                <w:color w:val="000000"/>
              </w:rPr>
            </w:pPr>
          </w:p>
        </w:tc>
        <w:tc>
          <w:tcPr>
            <w:tcW w:w="758" w:type="pct"/>
            <w:vAlign w:val="bottom"/>
          </w:tcPr>
          <w:p w14:paraId="201D8203" w14:textId="77777777" w:rsidR="00D83E33" w:rsidRPr="00E837F2" w:rsidRDefault="00D83E33" w:rsidP="001B330E">
            <w:pPr>
              <w:widowControl w:val="0"/>
              <w:jc w:val="right"/>
              <w:rPr>
                <w:color w:val="000000"/>
              </w:rPr>
            </w:pPr>
          </w:p>
        </w:tc>
        <w:tc>
          <w:tcPr>
            <w:tcW w:w="756" w:type="pct"/>
            <w:vAlign w:val="bottom"/>
          </w:tcPr>
          <w:p w14:paraId="27115DDF" w14:textId="77777777" w:rsidR="00D83E33" w:rsidRPr="00E837F2" w:rsidRDefault="00D83E33" w:rsidP="001B330E">
            <w:pPr>
              <w:widowControl w:val="0"/>
              <w:jc w:val="right"/>
              <w:rPr>
                <w:color w:val="000000"/>
              </w:rPr>
            </w:pPr>
          </w:p>
        </w:tc>
      </w:tr>
      <w:tr w:rsidR="00D83E33" w:rsidRPr="00E837F2" w14:paraId="5DCB86E4" w14:textId="77777777" w:rsidTr="001B330E">
        <w:trPr>
          <w:trHeight w:val="23"/>
        </w:trPr>
        <w:tc>
          <w:tcPr>
            <w:tcW w:w="1212" w:type="pct"/>
            <w:vAlign w:val="bottom"/>
          </w:tcPr>
          <w:p w14:paraId="360C87A9" w14:textId="77777777" w:rsidR="00D83E33" w:rsidRPr="00E837F2" w:rsidRDefault="00BC4072" w:rsidP="001B330E">
            <w:pPr>
              <w:widowControl w:val="0"/>
              <w:ind w:left="113" w:hanging="113"/>
              <w:rPr>
                <w:color w:val="000000"/>
              </w:rPr>
            </w:pPr>
            <w:r w:rsidRPr="00E837F2">
              <w:rPr>
                <w:color w:val="000000"/>
              </w:rPr>
              <w:t>- cash deposits</w:t>
            </w:r>
          </w:p>
        </w:tc>
        <w:tc>
          <w:tcPr>
            <w:tcW w:w="758" w:type="pct"/>
            <w:vAlign w:val="bottom"/>
          </w:tcPr>
          <w:p w14:paraId="19BD1F23" w14:textId="77777777" w:rsidR="00D83E33" w:rsidRPr="00E837F2" w:rsidRDefault="00D83E33" w:rsidP="001B330E">
            <w:pPr>
              <w:widowControl w:val="0"/>
              <w:jc w:val="right"/>
              <w:rPr>
                <w:color w:val="000000"/>
              </w:rPr>
            </w:pPr>
          </w:p>
        </w:tc>
        <w:tc>
          <w:tcPr>
            <w:tcW w:w="758" w:type="pct"/>
            <w:vAlign w:val="bottom"/>
          </w:tcPr>
          <w:p w14:paraId="076032CC" w14:textId="77777777" w:rsidR="00D83E33" w:rsidRPr="00E837F2" w:rsidRDefault="00D83E33" w:rsidP="001B330E">
            <w:pPr>
              <w:widowControl w:val="0"/>
              <w:jc w:val="right"/>
              <w:rPr>
                <w:color w:val="000000"/>
              </w:rPr>
            </w:pPr>
          </w:p>
        </w:tc>
        <w:tc>
          <w:tcPr>
            <w:tcW w:w="758" w:type="pct"/>
            <w:vAlign w:val="bottom"/>
          </w:tcPr>
          <w:p w14:paraId="10896E9D" w14:textId="77777777" w:rsidR="00D83E33" w:rsidRPr="00E837F2" w:rsidRDefault="00D83E33" w:rsidP="001B330E">
            <w:pPr>
              <w:widowControl w:val="0"/>
              <w:jc w:val="right"/>
              <w:rPr>
                <w:color w:val="000000"/>
              </w:rPr>
            </w:pPr>
          </w:p>
        </w:tc>
        <w:tc>
          <w:tcPr>
            <w:tcW w:w="758" w:type="pct"/>
            <w:vAlign w:val="bottom"/>
          </w:tcPr>
          <w:p w14:paraId="036540D9" w14:textId="77777777" w:rsidR="00D83E33" w:rsidRPr="00E837F2" w:rsidRDefault="00D83E33" w:rsidP="001B330E">
            <w:pPr>
              <w:widowControl w:val="0"/>
              <w:jc w:val="right"/>
              <w:rPr>
                <w:color w:val="000000"/>
              </w:rPr>
            </w:pPr>
          </w:p>
        </w:tc>
        <w:tc>
          <w:tcPr>
            <w:tcW w:w="756" w:type="pct"/>
            <w:vAlign w:val="bottom"/>
          </w:tcPr>
          <w:p w14:paraId="5E758711" w14:textId="77777777" w:rsidR="00D83E33" w:rsidRPr="00E837F2" w:rsidRDefault="00D83E33" w:rsidP="001B330E">
            <w:pPr>
              <w:widowControl w:val="0"/>
              <w:jc w:val="right"/>
              <w:rPr>
                <w:color w:val="000000"/>
              </w:rPr>
            </w:pPr>
          </w:p>
        </w:tc>
      </w:tr>
      <w:tr w:rsidR="00D83E33" w:rsidRPr="00E837F2" w14:paraId="1761EC49" w14:textId="77777777" w:rsidTr="001B330E">
        <w:trPr>
          <w:trHeight w:val="23"/>
        </w:trPr>
        <w:tc>
          <w:tcPr>
            <w:tcW w:w="1212" w:type="pct"/>
            <w:vAlign w:val="bottom"/>
          </w:tcPr>
          <w:p w14:paraId="6402D25C" w14:textId="77777777" w:rsidR="00D83E33" w:rsidRPr="00E837F2" w:rsidRDefault="00BC4072" w:rsidP="001B330E">
            <w:pPr>
              <w:widowControl w:val="0"/>
              <w:ind w:left="113" w:hanging="113"/>
              <w:rPr>
                <w:color w:val="000000"/>
              </w:rPr>
            </w:pPr>
            <w:r w:rsidRPr="00E837F2">
              <w:rPr>
                <w:color w:val="000000"/>
              </w:rPr>
              <w:t>- other assets</w:t>
            </w:r>
          </w:p>
        </w:tc>
        <w:tc>
          <w:tcPr>
            <w:tcW w:w="758" w:type="pct"/>
            <w:vAlign w:val="bottom"/>
          </w:tcPr>
          <w:p w14:paraId="5B4D0516" w14:textId="77777777" w:rsidR="00D83E33" w:rsidRPr="00E837F2" w:rsidRDefault="00D83E33" w:rsidP="001B330E">
            <w:pPr>
              <w:widowControl w:val="0"/>
              <w:jc w:val="right"/>
              <w:rPr>
                <w:color w:val="000000"/>
              </w:rPr>
            </w:pPr>
          </w:p>
        </w:tc>
        <w:tc>
          <w:tcPr>
            <w:tcW w:w="758" w:type="pct"/>
            <w:vAlign w:val="bottom"/>
          </w:tcPr>
          <w:p w14:paraId="34C90BE3" w14:textId="77777777" w:rsidR="00D83E33" w:rsidRPr="00E837F2" w:rsidRDefault="00D83E33" w:rsidP="001B330E">
            <w:pPr>
              <w:widowControl w:val="0"/>
              <w:jc w:val="right"/>
              <w:rPr>
                <w:color w:val="000000"/>
              </w:rPr>
            </w:pPr>
          </w:p>
        </w:tc>
        <w:tc>
          <w:tcPr>
            <w:tcW w:w="758" w:type="pct"/>
            <w:vAlign w:val="bottom"/>
          </w:tcPr>
          <w:p w14:paraId="1FD9D6B6" w14:textId="77777777" w:rsidR="00D83E33" w:rsidRPr="00E837F2" w:rsidRDefault="00D83E33" w:rsidP="001B330E">
            <w:pPr>
              <w:widowControl w:val="0"/>
              <w:jc w:val="right"/>
              <w:rPr>
                <w:color w:val="000000"/>
              </w:rPr>
            </w:pPr>
          </w:p>
        </w:tc>
        <w:tc>
          <w:tcPr>
            <w:tcW w:w="758" w:type="pct"/>
            <w:vAlign w:val="bottom"/>
          </w:tcPr>
          <w:p w14:paraId="030ED664" w14:textId="77777777" w:rsidR="00D83E33" w:rsidRPr="00E837F2" w:rsidRDefault="00D83E33" w:rsidP="001B330E">
            <w:pPr>
              <w:widowControl w:val="0"/>
              <w:jc w:val="right"/>
              <w:rPr>
                <w:color w:val="000000"/>
              </w:rPr>
            </w:pPr>
          </w:p>
        </w:tc>
        <w:tc>
          <w:tcPr>
            <w:tcW w:w="756" w:type="pct"/>
            <w:vAlign w:val="bottom"/>
          </w:tcPr>
          <w:p w14:paraId="6B437EBC" w14:textId="77777777" w:rsidR="00D83E33" w:rsidRPr="00E837F2" w:rsidRDefault="00D83E33" w:rsidP="001B330E">
            <w:pPr>
              <w:widowControl w:val="0"/>
              <w:jc w:val="right"/>
              <w:rPr>
                <w:color w:val="000000"/>
              </w:rPr>
            </w:pPr>
          </w:p>
        </w:tc>
      </w:tr>
      <w:tr w:rsidR="00D83E33" w:rsidRPr="00E837F2" w14:paraId="7DB0BC52" w14:textId="77777777" w:rsidTr="001B330E">
        <w:trPr>
          <w:trHeight w:val="23"/>
        </w:trPr>
        <w:tc>
          <w:tcPr>
            <w:tcW w:w="1212" w:type="pct"/>
            <w:tcBorders>
              <w:bottom w:val="single" w:sz="6" w:space="0" w:color="000000"/>
            </w:tcBorders>
            <w:vAlign w:val="bottom"/>
          </w:tcPr>
          <w:p w14:paraId="22B26BFC" w14:textId="77777777" w:rsidR="00D83E33" w:rsidRPr="001B330E" w:rsidRDefault="00D83E33" w:rsidP="001B330E">
            <w:pPr>
              <w:widowControl w:val="0"/>
              <w:ind w:left="113" w:hanging="113"/>
              <w:rPr>
                <w:color w:val="000000"/>
                <w:szCs w:val="12"/>
              </w:rPr>
            </w:pPr>
          </w:p>
        </w:tc>
        <w:tc>
          <w:tcPr>
            <w:tcW w:w="758" w:type="pct"/>
            <w:tcBorders>
              <w:bottom w:val="single" w:sz="6" w:space="0" w:color="000000"/>
            </w:tcBorders>
            <w:vAlign w:val="bottom"/>
          </w:tcPr>
          <w:p w14:paraId="31E5769E" w14:textId="77777777" w:rsidR="00D83E33" w:rsidRPr="001B330E" w:rsidRDefault="00D83E33" w:rsidP="001B330E">
            <w:pPr>
              <w:widowControl w:val="0"/>
              <w:jc w:val="right"/>
              <w:rPr>
                <w:color w:val="000000"/>
                <w:szCs w:val="12"/>
              </w:rPr>
            </w:pPr>
          </w:p>
        </w:tc>
        <w:tc>
          <w:tcPr>
            <w:tcW w:w="758" w:type="pct"/>
            <w:tcBorders>
              <w:bottom w:val="single" w:sz="6" w:space="0" w:color="000000"/>
            </w:tcBorders>
            <w:vAlign w:val="bottom"/>
          </w:tcPr>
          <w:p w14:paraId="4B045D98" w14:textId="77777777" w:rsidR="00D83E33" w:rsidRPr="001B330E" w:rsidRDefault="00D83E33" w:rsidP="001B330E">
            <w:pPr>
              <w:widowControl w:val="0"/>
              <w:jc w:val="right"/>
              <w:rPr>
                <w:color w:val="000000"/>
                <w:szCs w:val="12"/>
              </w:rPr>
            </w:pPr>
          </w:p>
        </w:tc>
        <w:tc>
          <w:tcPr>
            <w:tcW w:w="758" w:type="pct"/>
            <w:tcBorders>
              <w:bottom w:val="single" w:sz="6" w:space="0" w:color="000000"/>
            </w:tcBorders>
            <w:vAlign w:val="bottom"/>
          </w:tcPr>
          <w:p w14:paraId="01877407" w14:textId="77777777" w:rsidR="00D83E33" w:rsidRPr="001B330E" w:rsidRDefault="00D83E33" w:rsidP="001B330E">
            <w:pPr>
              <w:widowControl w:val="0"/>
              <w:jc w:val="right"/>
              <w:rPr>
                <w:color w:val="000000"/>
                <w:szCs w:val="12"/>
              </w:rPr>
            </w:pPr>
          </w:p>
        </w:tc>
        <w:tc>
          <w:tcPr>
            <w:tcW w:w="758" w:type="pct"/>
            <w:tcBorders>
              <w:bottom w:val="single" w:sz="6" w:space="0" w:color="000000"/>
            </w:tcBorders>
            <w:vAlign w:val="bottom"/>
          </w:tcPr>
          <w:p w14:paraId="447AE1EC" w14:textId="77777777" w:rsidR="00D83E33" w:rsidRPr="001B330E" w:rsidRDefault="00D83E33" w:rsidP="001B330E">
            <w:pPr>
              <w:widowControl w:val="0"/>
              <w:jc w:val="right"/>
              <w:rPr>
                <w:color w:val="000000"/>
                <w:szCs w:val="12"/>
              </w:rPr>
            </w:pPr>
          </w:p>
        </w:tc>
        <w:tc>
          <w:tcPr>
            <w:tcW w:w="756" w:type="pct"/>
            <w:tcBorders>
              <w:bottom w:val="single" w:sz="6" w:space="0" w:color="000000"/>
            </w:tcBorders>
            <w:vAlign w:val="bottom"/>
          </w:tcPr>
          <w:p w14:paraId="3939E91C" w14:textId="77777777" w:rsidR="00D83E33" w:rsidRPr="001B330E" w:rsidRDefault="00D83E33" w:rsidP="001B330E">
            <w:pPr>
              <w:widowControl w:val="0"/>
              <w:jc w:val="right"/>
              <w:rPr>
                <w:color w:val="000000"/>
                <w:szCs w:val="12"/>
              </w:rPr>
            </w:pPr>
          </w:p>
        </w:tc>
      </w:tr>
      <w:tr w:rsidR="00D83E33" w:rsidRPr="00E837F2" w14:paraId="347008E1" w14:textId="77777777" w:rsidTr="001B330E">
        <w:trPr>
          <w:trHeight w:val="23"/>
        </w:trPr>
        <w:tc>
          <w:tcPr>
            <w:tcW w:w="1212" w:type="pct"/>
            <w:tcBorders>
              <w:top w:val="single" w:sz="6" w:space="0" w:color="000000"/>
            </w:tcBorders>
            <w:vAlign w:val="bottom"/>
          </w:tcPr>
          <w:p w14:paraId="00359E3D" w14:textId="77777777" w:rsidR="00D83E33" w:rsidRPr="001B330E" w:rsidRDefault="00D83E33" w:rsidP="001B330E">
            <w:pPr>
              <w:widowControl w:val="0"/>
              <w:ind w:left="113" w:hanging="113"/>
              <w:rPr>
                <w:color w:val="000000"/>
                <w:szCs w:val="12"/>
              </w:rPr>
            </w:pPr>
          </w:p>
        </w:tc>
        <w:tc>
          <w:tcPr>
            <w:tcW w:w="758" w:type="pct"/>
            <w:tcBorders>
              <w:top w:val="single" w:sz="6" w:space="0" w:color="000000"/>
            </w:tcBorders>
            <w:vAlign w:val="bottom"/>
          </w:tcPr>
          <w:p w14:paraId="240434CC" w14:textId="77777777" w:rsidR="00D83E33" w:rsidRPr="001B330E" w:rsidRDefault="00D83E33" w:rsidP="001B330E">
            <w:pPr>
              <w:widowControl w:val="0"/>
              <w:jc w:val="right"/>
              <w:rPr>
                <w:color w:val="000000"/>
                <w:szCs w:val="12"/>
              </w:rPr>
            </w:pPr>
          </w:p>
        </w:tc>
        <w:tc>
          <w:tcPr>
            <w:tcW w:w="758" w:type="pct"/>
            <w:tcBorders>
              <w:top w:val="single" w:sz="6" w:space="0" w:color="000000"/>
            </w:tcBorders>
            <w:vAlign w:val="bottom"/>
          </w:tcPr>
          <w:p w14:paraId="506A3726" w14:textId="77777777" w:rsidR="00D83E33" w:rsidRPr="001B330E" w:rsidRDefault="00D83E33" w:rsidP="001B330E">
            <w:pPr>
              <w:widowControl w:val="0"/>
              <w:jc w:val="right"/>
              <w:rPr>
                <w:color w:val="000000"/>
                <w:szCs w:val="12"/>
              </w:rPr>
            </w:pPr>
          </w:p>
        </w:tc>
        <w:tc>
          <w:tcPr>
            <w:tcW w:w="758" w:type="pct"/>
            <w:tcBorders>
              <w:top w:val="single" w:sz="6" w:space="0" w:color="000000"/>
            </w:tcBorders>
            <w:vAlign w:val="bottom"/>
          </w:tcPr>
          <w:p w14:paraId="15D28825" w14:textId="77777777" w:rsidR="00D83E33" w:rsidRPr="001B330E" w:rsidRDefault="00D83E33" w:rsidP="001B330E">
            <w:pPr>
              <w:widowControl w:val="0"/>
              <w:jc w:val="right"/>
              <w:rPr>
                <w:color w:val="000000"/>
                <w:szCs w:val="12"/>
              </w:rPr>
            </w:pPr>
          </w:p>
        </w:tc>
        <w:tc>
          <w:tcPr>
            <w:tcW w:w="758" w:type="pct"/>
            <w:tcBorders>
              <w:top w:val="single" w:sz="6" w:space="0" w:color="000000"/>
            </w:tcBorders>
            <w:vAlign w:val="bottom"/>
          </w:tcPr>
          <w:p w14:paraId="48BDB707" w14:textId="77777777" w:rsidR="00D83E33" w:rsidRPr="001B330E" w:rsidRDefault="00D83E33" w:rsidP="001B330E">
            <w:pPr>
              <w:widowControl w:val="0"/>
              <w:jc w:val="right"/>
              <w:rPr>
                <w:color w:val="000000"/>
                <w:szCs w:val="12"/>
              </w:rPr>
            </w:pPr>
          </w:p>
        </w:tc>
        <w:tc>
          <w:tcPr>
            <w:tcW w:w="756" w:type="pct"/>
            <w:tcBorders>
              <w:top w:val="single" w:sz="6" w:space="0" w:color="000000"/>
            </w:tcBorders>
            <w:vAlign w:val="bottom"/>
          </w:tcPr>
          <w:p w14:paraId="31235B3D" w14:textId="77777777" w:rsidR="00D83E33" w:rsidRPr="001B330E" w:rsidRDefault="00D83E33" w:rsidP="001B330E">
            <w:pPr>
              <w:widowControl w:val="0"/>
              <w:jc w:val="right"/>
              <w:rPr>
                <w:color w:val="000000"/>
                <w:szCs w:val="12"/>
              </w:rPr>
            </w:pPr>
          </w:p>
        </w:tc>
      </w:tr>
      <w:tr w:rsidR="00D83E33" w:rsidRPr="00E837F2" w14:paraId="1AC617CA" w14:textId="77777777" w:rsidTr="001B330E">
        <w:trPr>
          <w:trHeight w:val="23"/>
        </w:trPr>
        <w:tc>
          <w:tcPr>
            <w:tcW w:w="1212" w:type="pct"/>
            <w:vAlign w:val="bottom"/>
          </w:tcPr>
          <w:p w14:paraId="491171C9" w14:textId="77777777" w:rsidR="00D83E33" w:rsidRPr="00E837F2" w:rsidRDefault="00BC4072" w:rsidP="001B330E">
            <w:pPr>
              <w:widowControl w:val="0"/>
              <w:ind w:left="113" w:hanging="113"/>
              <w:rPr>
                <w:color w:val="000000"/>
              </w:rPr>
            </w:pPr>
            <w:r w:rsidRPr="00E837F2">
              <w:rPr>
                <w:color w:val="000000"/>
              </w:rPr>
              <w:t xml:space="preserve">Total </w:t>
            </w:r>
          </w:p>
        </w:tc>
        <w:tc>
          <w:tcPr>
            <w:tcW w:w="758" w:type="pct"/>
            <w:vAlign w:val="bottom"/>
          </w:tcPr>
          <w:p w14:paraId="3D4701E3" w14:textId="77777777" w:rsidR="00D83E33" w:rsidRPr="00E837F2" w:rsidRDefault="00D83E33" w:rsidP="001B330E">
            <w:pPr>
              <w:widowControl w:val="0"/>
              <w:jc w:val="right"/>
              <w:rPr>
                <w:color w:val="000000"/>
              </w:rPr>
            </w:pPr>
          </w:p>
        </w:tc>
        <w:tc>
          <w:tcPr>
            <w:tcW w:w="758" w:type="pct"/>
            <w:vAlign w:val="bottom"/>
          </w:tcPr>
          <w:p w14:paraId="68204172" w14:textId="77777777" w:rsidR="00D83E33" w:rsidRPr="00E837F2" w:rsidRDefault="00D83E33" w:rsidP="001B330E">
            <w:pPr>
              <w:widowControl w:val="0"/>
              <w:jc w:val="right"/>
              <w:rPr>
                <w:color w:val="000000"/>
              </w:rPr>
            </w:pPr>
          </w:p>
        </w:tc>
        <w:tc>
          <w:tcPr>
            <w:tcW w:w="758" w:type="pct"/>
            <w:vAlign w:val="bottom"/>
          </w:tcPr>
          <w:p w14:paraId="387BA667" w14:textId="77777777" w:rsidR="00D83E33" w:rsidRPr="00E837F2" w:rsidRDefault="00D83E33" w:rsidP="001B330E">
            <w:pPr>
              <w:widowControl w:val="0"/>
              <w:jc w:val="right"/>
              <w:rPr>
                <w:color w:val="000000"/>
              </w:rPr>
            </w:pPr>
          </w:p>
        </w:tc>
        <w:tc>
          <w:tcPr>
            <w:tcW w:w="758" w:type="pct"/>
            <w:vAlign w:val="bottom"/>
          </w:tcPr>
          <w:p w14:paraId="7AAB9E26" w14:textId="77777777" w:rsidR="00D83E33" w:rsidRPr="00E837F2" w:rsidRDefault="00D83E33" w:rsidP="001B330E">
            <w:pPr>
              <w:widowControl w:val="0"/>
              <w:jc w:val="right"/>
              <w:rPr>
                <w:color w:val="000000"/>
              </w:rPr>
            </w:pPr>
          </w:p>
        </w:tc>
        <w:tc>
          <w:tcPr>
            <w:tcW w:w="756" w:type="pct"/>
            <w:vAlign w:val="bottom"/>
          </w:tcPr>
          <w:p w14:paraId="24DF04C1" w14:textId="77777777" w:rsidR="00D83E33" w:rsidRPr="00E837F2" w:rsidRDefault="00D83E33" w:rsidP="001B330E">
            <w:pPr>
              <w:widowControl w:val="0"/>
              <w:jc w:val="right"/>
              <w:rPr>
                <w:color w:val="000000"/>
              </w:rPr>
            </w:pPr>
          </w:p>
        </w:tc>
      </w:tr>
      <w:tr w:rsidR="00D83E33" w:rsidRPr="00E837F2" w14:paraId="1229357D" w14:textId="77777777" w:rsidTr="001B330E">
        <w:trPr>
          <w:trHeight w:val="23"/>
        </w:trPr>
        <w:tc>
          <w:tcPr>
            <w:tcW w:w="1212" w:type="pct"/>
            <w:tcBorders>
              <w:bottom w:val="single" w:sz="6" w:space="0" w:color="000000"/>
            </w:tcBorders>
            <w:vAlign w:val="bottom"/>
          </w:tcPr>
          <w:p w14:paraId="3C8B5249" w14:textId="77777777" w:rsidR="00D83E33" w:rsidRPr="001B330E" w:rsidRDefault="00D83E33" w:rsidP="001B330E">
            <w:pPr>
              <w:widowControl w:val="0"/>
              <w:ind w:left="113" w:hanging="113"/>
              <w:rPr>
                <w:color w:val="000000"/>
                <w:szCs w:val="12"/>
              </w:rPr>
            </w:pPr>
          </w:p>
        </w:tc>
        <w:tc>
          <w:tcPr>
            <w:tcW w:w="758" w:type="pct"/>
            <w:tcBorders>
              <w:bottom w:val="single" w:sz="6" w:space="0" w:color="000000"/>
            </w:tcBorders>
            <w:vAlign w:val="bottom"/>
          </w:tcPr>
          <w:p w14:paraId="47E0934F" w14:textId="77777777" w:rsidR="00D83E33" w:rsidRPr="001B330E" w:rsidRDefault="00D83E33" w:rsidP="001B330E">
            <w:pPr>
              <w:widowControl w:val="0"/>
              <w:jc w:val="right"/>
              <w:rPr>
                <w:color w:val="000000"/>
                <w:szCs w:val="12"/>
              </w:rPr>
            </w:pPr>
          </w:p>
        </w:tc>
        <w:tc>
          <w:tcPr>
            <w:tcW w:w="758" w:type="pct"/>
            <w:tcBorders>
              <w:bottom w:val="single" w:sz="6" w:space="0" w:color="000000"/>
            </w:tcBorders>
            <w:vAlign w:val="bottom"/>
          </w:tcPr>
          <w:p w14:paraId="0D8020E8" w14:textId="77777777" w:rsidR="00D83E33" w:rsidRPr="001B330E" w:rsidRDefault="00D83E33" w:rsidP="001B330E">
            <w:pPr>
              <w:widowControl w:val="0"/>
              <w:jc w:val="right"/>
              <w:rPr>
                <w:color w:val="000000"/>
                <w:szCs w:val="12"/>
              </w:rPr>
            </w:pPr>
          </w:p>
        </w:tc>
        <w:tc>
          <w:tcPr>
            <w:tcW w:w="758" w:type="pct"/>
            <w:tcBorders>
              <w:bottom w:val="single" w:sz="6" w:space="0" w:color="000000"/>
            </w:tcBorders>
            <w:vAlign w:val="bottom"/>
          </w:tcPr>
          <w:p w14:paraId="077B2AA5" w14:textId="77777777" w:rsidR="00D83E33" w:rsidRPr="001B330E" w:rsidRDefault="00D83E33" w:rsidP="001B330E">
            <w:pPr>
              <w:widowControl w:val="0"/>
              <w:jc w:val="right"/>
              <w:rPr>
                <w:color w:val="000000"/>
                <w:szCs w:val="12"/>
              </w:rPr>
            </w:pPr>
          </w:p>
        </w:tc>
        <w:tc>
          <w:tcPr>
            <w:tcW w:w="758" w:type="pct"/>
            <w:tcBorders>
              <w:bottom w:val="single" w:sz="6" w:space="0" w:color="000000"/>
            </w:tcBorders>
            <w:vAlign w:val="bottom"/>
          </w:tcPr>
          <w:p w14:paraId="1B1F9E90" w14:textId="77777777" w:rsidR="00D83E33" w:rsidRPr="001B330E" w:rsidRDefault="00D83E33" w:rsidP="001B330E">
            <w:pPr>
              <w:widowControl w:val="0"/>
              <w:jc w:val="right"/>
              <w:rPr>
                <w:color w:val="000000"/>
                <w:szCs w:val="12"/>
              </w:rPr>
            </w:pPr>
          </w:p>
        </w:tc>
        <w:tc>
          <w:tcPr>
            <w:tcW w:w="756" w:type="pct"/>
            <w:tcBorders>
              <w:bottom w:val="single" w:sz="6" w:space="0" w:color="000000"/>
            </w:tcBorders>
            <w:vAlign w:val="bottom"/>
          </w:tcPr>
          <w:p w14:paraId="2712AAA5" w14:textId="77777777" w:rsidR="00D83E33" w:rsidRPr="001B330E" w:rsidRDefault="00D83E33" w:rsidP="001B330E">
            <w:pPr>
              <w:widowControl w:val="0"/>
              <w:jc w:val="right"/>
              <w:rPr>
                <w:color w:val="000000"/>
                <w:szCs w:val="12"/>
              </w:rPr>
            </w:pPr>
          </w:p>
        </w:tc>
      </w:tr>
      <w:tr w:rsidR="00D83E33" w:rsidRPr="00E837F2" w14:paraId="28DB4541" w14:textId="77777777" w:rsidTr="001B330E">
        <w:trPr>
          <w:trHeight w:val="23"/>
        </w:trPr>
        <w:tc>
          <w:tcPr>
            <w:tcW w:w="1212" w:type="pct"/>
            <w:tcBorders>
              <w:top w:val="single" w:sz="6" w:space="0" w:color="000000"/>
            </w:tcBorders>
            <w:vAlign w:val="bottom"/>
          </w:tcPr>
          <w:p w14:paraId="51F5C311" w14:textId="77777777" w:rsidR="00D83E33" w:rsidRPr="001B330E" w:rsidRDefault="00D83E33" w:rsidP="001B330E">
            <w:pPr>
              <w:widowControl w:val="0"/>
              <w:ind w:left="113" w:hanging="113"/>
              <w:rPr>
                <w:color w:val="000000"/>
                <w:szCs w:val="12"/>
              </w:rPr>
            </w:pPr>
          </w:p>
        </w:tc>
        <w:tc>
          <w:tcPr>
            <w:tcW w:w="758" w:type="pct"/>
            <w:tcBorders>
              <w:top w:val="single" w:sz="6" w:space="0" w:color="000000"/>
            </w:tcBorders>
            <w:vAlign w:val="bottom"/>
          </w:tcPr>
          <w:p w14:paraId="5C494807" w14:textId="77777777" w:rsidR="00D83E33" w:rsidRPr="001B330E" w:rsidRDefault="00D83E33" w:rsidP="001B330E">
            <w:pPr>
              <w:widowControl w:val="0"/>
              <w:jc w:val="right"/>
              <w:rPr>
                <w:color w:val="000000"/>
                <w:szCs w:val="12"/>
              </w:rPr>
            </w:pPr>
          </w:p>
        </w:tc>
        <w:tc>
          <w:tcPr>
            <w:tcW w:w="758" w:type="pct"/>
            <w:tcBorders>
              <w:top w:val="single" w:sz="6" w:space="0" w:color="000000"/>
            </w:tcBorders>
            <w:vAlign w:val="bottom"/>
          </w:tcPr>
          <w:p w14:paraId="025D211E" w14:textId="77777777" w:rsidR="00D83E33" w:rsidRPr="001B330E" w:rsidRDefault="00D83E33" w:rsidP="001B330E">
            <w:pPr>
              <w:widowControl w:val="0"/>
              <w:jc w:val="right"/>
              <w:rPr>
                <w:color w:val="000000"/>
                <w:szCs w:val="12"/>
              </w:rPr>
            </w:pPr>
          </w:p>
        </w:tc>
        <w:tc>
          <w:tcPr>
            <w:tcW w:w="758" w:type="pct"/>
            <w:tcBorders>
              <w:top w:val="single" w:sz="6" w:space="0" w:color="000000"/>
            </w:tcBorders>
            <w:vAlign w:val="bottom"/>
          </w:tcPr>
          <w:p w14:paraId="49CC36F1" w14:textId="77777777" w:rsidR="00D83E33" w:rsidRPr="001B330E" w:rsidRDefault="00D83E33" w:rsidP="001B330E">
            <w:pPr>
              <w:widowControl w:val="0"/>
              <w:jc w:val="right"/>
              <w:rPr>
                <w:color w:val="000000"/>
                <w:szCs w:val="12"/>
              </w:rPr>
            </w:pPr>
          </w:p>
        </w:tc>
        <w:tc>
          <w:tcPr>
            <w:tcW w:w="758" w:type="pct"/>
            <w:tcBorders>
              <w:top w:val="single" w:sz="6" w:space="0" w:color="000000"/>
            </w:tcBorders>
            <w:vAlign w:val="bottom"/>
          </w:tcPr>
          <w:p w14:paraId="3A649A7D" w14:textId="77777777" w:rsidR="00D83E33" w:rsidRPr="001B330E" w:rsidRDefault="00D83E33" w:rsidP="001B330E">
            <w:pPr>
              <w:widowControl w:val="0"/>
              <w:jc w:val="right"/>
              <w:rPr>
                <w:color w:val="000000"/>
                <w:szCs w:val="12"/>
              </w:rPr>
            </w:pPr>
          </w:p>
        </w:tc>
        <w:tc>
          <w:tcPr>
            <w:tcW w:w="756" w:type="pct"/>
            <w:tcBorders>
              <w:top w:val="single" w:sz="6" w:space="0" w:color="000000"/>
            </w:tcBorders>
            <w:vAlign w:val="bottom"/>
          </w:tcPr>
          <w:p w14:paraId="40877D36" w14:textId="77777777" w:rsidR="00D83E33" w:rsidRPr="001B330E" w:rsidRDefault="00D83E33" w:rsidP="001B330E">
            <w:pPr>
              <w:widowControl w:val="0"/>
              <w:jc w:val="right"/>
              <w:rPr>
                <w:color w:val="000000"/>
                <w:szCs w:val="12"/>
              </w:rPr>
            </w:pPr>
          </w:p>
        </w:tc>
      </w:tr>
      <w:tr w:rsidR="00D83E33" w:rsidRPr="00E837F2" w14:paraId="6F463980" w14:textId="77777777" w:rsidTr="001B330E">
        <w:trPr>
          <w:trHeight w:val="23"/>
        </w:trPr>
        <w:tc>
          <w:tcPr>
            <w:tcW w:w="1212" w:type="pct"/>
            <w:vAlign w:val="bottom"/>
          </w:tcPr>
          <w:p w14:paraId="7EFC90C5" w14:textId="77777777" w:rsidR="00D83E33" w:rsidRPr="00E837F2" w:rsidRDefault="00BC4072" w:rsidP="001B330E">
            <w:pPr>
              <w:widowControl w:val="0"/>
              <w:ind w:left="113" w:hanging="113"/>
              <w:rPr>
                <w:color w:val="000000"/>
              </w:rPr>
            </w:pPr>
            <w:r w:rsidRPr="00E837F2">
              <w:rPr>
                <w:color w:val="000000"/>
              </w:rPr>
              <w:t>Unsecured exposures</w:t>
            </w:r>
          </w:p>
        </w:tc>
        <w:tc>
          <w:tcPr>
            <w:tcW w:w="758" w:type="pct"/>
            <w:vAlign w:val="bottom"/>
          </w:tcPr>
          <w:p w14:paraId="3A4AE4AE" w14:textId="77777777" w:rsidR="00D83E33" w:rsidRPr="00E837F2" w:rsidRDefault="00D83E33" w:rsidP="001B330E">
            <w:pPr>
              <w:widowControl w:val="0"/>
              <w:jc w:val="right"/>
              <w:rPr>
                <w:color w:val="000000"/>
              </w:rPr>
            </w:pPr>
          </w:p>
        </w:tc>
        <w:tc>
          <w:tcPr>
            <w:tcW w:w="758" w:type="pct"/>
            <w:vAlign w:val="bottom"/>
          </w:tcPr>
          <w:p w14:paraId="6633BEA6" w14:textId="77777777" w:rsidR="00D83E33" w:rsidRPr="00E837F2" w:rsidRDefault="00D83E33" w:rsidP="001B330E">
            <w:pPr>
              <w:widowControl w:val="0"/>
              <w:jc w:val="right"/>
              <w:rPr>
                <w:color w:val="000000"/>
              </w:rPr>
            </w:pPr>
          </w:p>
        </w:tc>
        <w:tc>
          <w:tcPr>
            <w:tcW w:w="758" w:type="pct"/>
            <w:vAlign w:val="bottom"/>
          </w:tcPr>
          <w:p w14:paraId="6A25E588" w14:textId="77777777" w:rsidR="00D83E33" w:rsidRPr="00E837F2" w:rsidRDefault="00D83E33" w:rsidP="001B330E">
            <w:pPr>
              <w:widowControl w:val="0"/>
              <w:jc w:val="right"/>
              <w:rPr>
                <w:color w:val="000000"/>
              </w:rPr>
            </w:pPr>
          </w:p>
        </w:tc>
        <w:tc>
          <w:tcPr>
            <w:tcW w:w="758" w:type="pct"/>
            <w:vAlign w:val="bottom"/>
          </w:tcPr>
          <w:p w14:paraId="4AE37C94" w14:textId="77777777" w:rsidR="00D83E33" w:rsidRPr="00E837F2" w:rsidRDefault="00D83E33" w:rsidP="001B330E">
            <w:pPr>
              <w:widowControl w:val="0"/>
              <w:jc w:val="right"/>
              <w:rPr>
                <w:color w:val="000000"/>
              </w:rPr>
            </w:pPr>
          </w:p>
        </w:tc>
        <w:tc>
          <w:tcPr>
            <w:tcW w:w="756" w:type="pct"/>
            <w:vAlign w:val="bottom"/>
          </w:tcPr>
          <w:p w14:paraId="142F225E" w14:textId="77777777" w:rsidR="00D83E33" w:rsidRPr="00E837F2" w:rsidRDefault="00D83E33" w:rsidP="001B330E">
            <w:pPr>
              <w:widowControl w:val="0"/>
              <w:jc w:val="right"/>
              <w:rPr>
                <w:color w:val="000000"/>
              </w:rPr>
            </w:pPr>
          </w:p>
        </w:tc>
      </w:tr>
      <w:tr w:rsidR="00D83E33" w:rsidRPr="00E837F2" w14:paraId="3690CE5A" w14:textId="77777777" w:rsidTr="001B330E">
        <w:trPr>
          <w:trHeight w:val="23"/>
        </w:trPr>
        <w:tc>
          <w:tcPr>
            <w:tcW w:w="1212" w:type="pct"/>
            <w:tcBorders>
              <w:bottom w:val="single" w:sz="6" w:space="0" w:color="000000"/>
            </w:tcBorders>
            <w:vAlign w:val="bottom"/>
          </w:tcPr>
          <w:p w14:paraId="7418DD08" w14:textId="77777777" w:rsidR="00D83E33" w:rsidRPr="001B330E" w:rsidRDefault="00D83E33" w:rsidP="001B330E">
            <w:pPr>
              <w:widowControl w:val="0"/>
              <w:ind w:left="113" w:hanging="113"/>
              <w:rPr>
                <w:color w:val="000000"/>
                <w:szCs w:val="12"/>
              </w:rPr>
            </w:pPr>
          </w:p>
        </w:tc>
        <w:tc>
          <w:tcPr>
            <w:tcW w:w="758" w:type="pct"/>
            <w:tcBorders>
              <w:bottom w:val="single" w:sz="6" w:space="0" w:color="000000"/>
            </w:tcBorders>
            <w:vAlign w:val="bottom"/>
          </w:tcPr>
          <w:p w14:paraId="78E46DB8" w14:textId="77777777" w:rsidR="00D83E33" w:rsidRPr="001B330E" w:rsidRDefault="00D83E33" w:rsidP="001B330E">
            <w:pPr>
              <w:widowControl w:val="0"/>
              <w:jc w:val="right"/>
              <w:rPr>
                <w:color w:val="000000"/>
                <w:szCs w:val="12"/>
              </w:rPr>
            </w:pPr>
          </w:p>
        </w:tc>
        <w:tc>
          <w:tcPr>
            <w:tcW w:w="758" w:type="pct"/>
            <w:tcBorders>
              <w:bottom w:val="single" w:sz="6" w:space="0" w:color="000000"/>
            </w:tcBorders>
            <w:vAlign w:val="bottom"/>
          </w:tcPr>
          <w:p w14:paraId="6E5228BF" w14:textId="77777777" w:rsidR="00D83E33" w:rsidRPr="001B330E" w:rsidRDefault="00D83E33" w:rsidP="001B330E">
            <w:pPr>
              <w:widowControl w:val="0"/>
              <w:jc w:val="right"/>
              <w:rPr>
                <w:color w:val="000000"/>
                <w:szCs w:val="12"/>
              </w:rPr>
            </w:pPr>
          </w:p>
        </w:tc>
        <w:tc>
          <w:tcPr>
            <w:tcW w:w="758" w:type="pct"/>
            <w:tcBorders>
              <w:bottom w:val="single" w:sz="6" w:space="0" w:color="000000"/>
            </w:tcBorders>
            <w:vAlign w:val="bottom"/>
          </w:tcPr>
          <w:p w14:paraId="60F21FCB" w14:textId="77777777" w:rsidR="00D83E33" w:rsidRPr="001B330E" w:rsidRDefault="00D83E33" w:rsidP="001B330E">
            <w:pPr>
              <w:widowControl w:val="0"/>
              <w:jc w:val="right"/>
              <w:rPr>
                <w:color w:val="000000"/>
                <w:szCs w:val="12"/>
              </w:rPr>
            </w:pPr>
          </w:p>
        </w:tc>
        <w:tc>
          <w:tcPr>
            <w:tcW w:w="758" w:type="pct"/>
            <w:tcBorders>
              <w:bottom w:val="single" w:sz="6" w:space="0" w:color="000000"/>
            </w:tcBorders>
            <w:vAlign w:val="bottom"/>
          </w:tcPr>
          <w:p w14:paraId="43BAAB0D" w14:textId="77777777" w:rsidR="00D83E33" w:rsidRPr="001B330E" w:rsidRDefault="00D83E33" w:rsidP="001B330E">
            <w:pPr>
              <w:widowControl w:val="0"/>
              <w:jc w:val="right"/>
              <w:rPr>
                <w:color w:val="000000"/>
                <w:szCs w:val="12"/>
              </w:rPr>
            </w:pPr>
          </w:p>
        </w:tc>
        <w:tc>
          <w:tcPr>
            <w:tcW w:w="756" w:type="pct"/>
            <w:tcBorders>
              <w:bottom w:val="single" w:sz="6" w:space="0" w:color="000000"/>
            </w:tcBorders>
            <w:vAlign w:val="bottom"/>
          </w:tcPr>
          <w:p w14:paraId="6B40F8AC" w14:textId="77777777" w:rsidR="00D83E33" w:rsidRPr="001B330E" w:rsidRDefault="00D83E33" w:rsidP="001B330E">
            <w:pPr>
              <w:widowControl w:val="0"/>
              <w:jc w:val="right"/>
              <w:rPr>
                <w:color w:val="000000"/>
                <w:szCs w:val="12"/>
              </w:rPr>
            </w:pPr>
          </w:p>
        </w:tc>
      </w:tr>
      <w:tr w:rsidR="00D83E33" w:rsidRPr="00E837F2" w14:paraId="7CD32B8B" w14:textId="77777777" w:rsidTr="001B330E">
        <w:trPr>
          <w:trHeight w:val="23"/>
        </w:trPr>
        <w:tc>
          <w:tcPr>
            <w:tcW w:w="1212" w:type="pct"/>
            <w:tcBorders>
              <w:top w:val="single" w:sz="6" w:space="0" w:color="000000"/>
            </w:tcBorders>
            <w:vAlign w:val="bottom"/>
          </w:tcPr>
          <w:p w14:paraId="6C4933E0" w14:textId="77777777" w:rsidR="00D83E33" w:rsidRPr="001B330E" w:rsidRDefault="00D83E33" w:rsidP="001B330E">
            <w:pPr>
              <w:widowControl w:val="0"/>
              <w:ind w:left="113" w:hanging="113"/>
              <w:rPr>
                <w:color w:val="000000"/>
                <w:szCs w:val="12"/>
              </w:rPr>
            </w:pPr>
          </w:p>
        </w:tc>
        <w:tc>
          <w:tcPr>
            <w:tcW w:w="758" w:type="pct"/>
            <w:tcBorders>
              <w:top w:val="single" w:sz="6" w:space="0" w:color="000000"/>
            </w:tcBorders>
            <w:vAlign w:val="bottom"/>
          </w:tcPr>
          <w:p w14:paraId="4F5808C4" w14:textId="77777777" w:rsidR="00D83E33" w:rsidRPr="001B330E" w:rsidRDefault="00D83E33" w:rsidP="001B330E">
            <w:pPr>
              <w:widowControl w:val="0"/>
              <w:jc w:val="right"/>
              <w:rPr>
                <w:color w:val="000000"/>
                <w:szCs w:val="12"/>
              </w:rPr>
            </w:pPr>
          </w:p>
        </w:tc>
        <w:tc>
          <w:tcPr>
            <w:tcW w:w="758" w:type="pct"/>
            <w:tcBorders>
              <w:top w:val="single" w:sz="6" w:space="0" w:color="000000"/>
            </w:tcBorders>
            <w:vAlign w:val="bottom"/>
          </w:tcPr>
          <w:p w14:paraId="7F5532B9" w14:textId="77777777" w:rsidR="00D83E33" w:rsidRPr="001B330E" w:rsidRDefault="00D83E33" w:rsidP="001B330E">
            <w:pPr>
              <w:widowControl w:val="0"/>
              <w:jc w:val="right"/>
              <w:rPr>
                <w:color w:val="000000"/>
                <w:szCs w:val="12"/>
              </w:rPr>
            </w:pPr>
          </w:p>
        </w:tc>
        <w:tc>
          <w:tcPr>
            <w:tcW w:w="758" w:type="pct"/>
            <w:tcBorders>
              <w:top w:val="single" w:sz="6" w:space="0" w:color="000000"/>
            </w:tcBorders>
            <w:vAlign w:val="bottom"/>
          </w:tcPr>
          <w:p w14:paraId="0287D627" w14:textId="77777777" w:rsidR="00D83E33" w:rsidRPr="001B330E" w:rsidRDefault="00D83E33" w:rsidP="001B330E">
            <w:pPr>
              <w:widowControl w:val="0"/>
              <w:jc w:val="right"/>
              <w:rPr>
                <w:color w:val="000000"/>
                <w:szCs w:val="12"/>
              </w:rPr>
            </w:pPr>
          </w:p>
        </w:tc>
        <w:tc>
          <w:tcPr>
            <w:tcW w:w="758" w:type="pct"/>
            <w:tcBorders>
              <w:top w:val="single" w:sz="6" w:space="0" w:color="000000"/>
            </w:tcBorders>
            <w:vAlign w:val="bottom"/>
          </w:tcPr>
          <w:p w14:paraId="302F3BDC" w14:textId="77777777" w:rsidR="00D83E33" w:rsidRPr="001B330E" w:rsidRDefault="00D83E33" w:rsidP="001B330E">
            <w:pPr>
              <w:widowControl w:val="0"/>
              <w:jc w:val="right"/>
              <w:rPr>
                <w:color w:val="000000"/>
                <w:szCs w:val="12"/>
              </w:rPr>
            </w:pPr>
          </w:p>
        </w:tc>
        <w:tc>
          <w:tcPr>
            <w:tcW w:w="756" w:type="pct"/>
            <w:tcBorders>
              <w:top w:val="single" w:sz="6" w:space="0" w:color="000000"/>
            </w:tcBorders>
            <w:vAlign w:val="bottom"/>
          </w:tcPr>
          <w:p w14:paraId="1F18286A" w14:textId="77777777" w:rsidR="00D83E33" w:rsidRPr="001B330E" w:rsidRDefault="00D83E33" w:rsidP="001B330E">
            <w:pPr>
              <w:widowControl w:val="0"/>
              <w:jc w:val="right"/>
              <w:rPr>
                <w:color w:val="000000"/>
                <w:szCs w:val="12"/>
              </w:rPr>
            </w:pPr>
          </w:p>
        </w:tc>
      </w:tr>
      <w:tr w:rsidR="00D83E33" w:rsidRPr="00E837F2" w14:paraId="789C4D36" w14:textId="77777777" w:rsidTr="001B330E">
        <w:trPr>
          <w:trHeight w:val="23"/>
        </w:trPr>
        <w:tc>
          <w:tcPr>
            <w:tcW w:w="1212" w:type="pct"/>
            <w:vAlign w:val="bottom"/>
          </w:tcPr>
          <w:p w14:paraId="4C3A66CF" w14:textId="77777777" w:rsidR="00D83E33" w:rsidRPr="00E837F2" w:rsidRDefault="00BC4072" w:rsidP="001B330E">
            <w:pPr>
              <w:widowControl w:val="0"/>
              <w:ind w:left="113" w:hanging="113"/>
              <w:rPr>
                <w:b/>
                <w:color w:val="000000"/>
              </w:rPr>
            </w:pPr>
            <w:r w:rsidRPr="00E837F2">
              <w:rPr>
                <w:b/>
                <w:color w:val="000000"/>
              </w:rPr>
              <w:t>Total carrying value loans and advances to customers at FVTPL (amount representing exposure to credit risk for each class of loans at FVTPL)</w:t>
            </w:r>
          </w:p>
        </w:tc>
        <w:tc>
          <w:tcPr>
            <w:tcW w:w="758" w:type="pct"/>
            <w:vAlign w:val="bottom"/>
          </w:tcPr>
          <w:p w14:paraId="77870204" w14:textId="77777777" w:rsidR="00D83E33" w:rsidRPr="00E837F2" w:rsidRDefault="00D83E33" w:rsidP="001B330E">
            <w:pPr>
              <w:widowControl w:val="0"/>
              <w:jc w:val="right"/>
              <w:rPr>
                <w:b/>
                <w:color w:val="000000"/>
              </w:rPr>
            </w:pPr>
          </w:p>
        </w:tc>
        <w:tc>
          <w:tcPr>
            <w:tcW w:w="758" w:type="pct"/>
            <w:vAlign w:val="bottom"/>
          </w:tcPr>
          <w:p w14:paraId="11654619" w14:textId="77777777" w:rsidR="00D83E33" w:rsidRPr="00E837F2" w:rsidRDefault="00D83E33" w:rsidP="001B330E">
            <w:pPr>
              <w:widowControl w:val="0"/>
              <w:jc w:val="right"/>
              <w:rPr>
                <w:b/>
                <w:color w:val="000000"/>
              </w:rPr>
            </w:pPr>
          </w:p>
        </w:tc>
        <w:tc>
          <w:tcPr>
            <w:tcW w:w="758" w:type="pct"/>
            <w:vAlign w:val="bottom"/>
          </w:tcPr>
          <w:p w14:paraId="753EDD42" w14:textId="77777777" w:rsidR="00D83E33" w:rsidRPr="00E837F2" w:rsidRDefault="00D83E33" w:rsidP="001B330E">
            <w:pPr>
              <w:widowControl w:val="0"/>
              <w:jc w:val="right"/>
              <w:rPr>
                <w:b/>
                <w:color w:val="000000"/>
              </w:rPr>
            </w:pPr>
          </w:p>
        </w:tc>
        <w:tc>
          <w:tcPr>
            <w:tcW w:w="758" w:type="pct"/>
            <w:vAlign w:val="bottom"/>
          </w:tcPr>
          <w:p w14:paraId="07BB2551" w14:textId="77777777" w:rsidR="00D83E33" w:rsidRPr="00E837F2" w:rsidRDefault="00D83E33" w:rsidP="001B330E">
            <w:pPr>
              <w:widowControl w:val="0"/>
              <w:jc w:val="right"/>
              <w:rPr>
                <w:b/>
                <w:color w:val="000000"/>
              </w:rPr>
            </w:pPr>
          </w:p>
        </w:tc>
        <w:tc>
          <w:tcPr>
            <w:tcW w:w="756" w:type="pct"/>
            <w:vAlign w:val="bottom"/>
          </w:tcPr>
          <w:p w14:paraId="31933D1D" w14:textId="77777777" w:rsidR="00D83E33" w:rsidRPr="00E837F2" w:rsidRDefault="00D83E33" w:rsidP="001B330E">
            <w:pPr>
              <w:widowControl w:val="0"/>
              <w:jc w:val="right"/>
              <w:rPr>
                <w:b/>
                <w:color w:val="000000"/>
              </w:rPr>
            </w:pPr>
          </w:p>
        </w:tc>
      </w:tr>
      <w:tr w:rsidR="00D83E33" w:rsidRPr="00E837F2" w14:paraId="6CC9E4B8" w14:textId="77777777" w:rsidTr="001B330E">
        <w:trPr>
          <w:trHeight w:val="23"/>
        </w:trPr>
        <w:tc>
          <w:tcPr>
            <w:tcW w:w="1212" w:type="pct"/>
            <w:tcBorders>
              <w:bottom w:val="single" w:sz="12" w:space="0" w:color="000000"/>
            </w:tcBorders>
            <w:vAlign w:val="bottom"/>
          </w:tcPr>
          <w:p w14:paraId="1F4AFBFE" w14:textId="77777777" w:rsidR="00D83E33" w:rsidRPr="001B330E" w:rsidRDefault="00D83E33" w:rsidP="001B330E">
            <w:pPr>
              <w:widowControl w:val="0"/>
              <w:ind w:left="113" w:hanging="113"/>
              <w:rPr>
                <w:b/>
                <w:color w:val="000000"/>
                <w:szCs w:val="12"/>
              </w:rPr>
            </w:pPr>
          </w:p>
        </w:tc>
        <w:tc>
          <w:tcPr>
            <w:tcW w:w="758" w:type="pct"/>
            <w:tcBorders>
              <w:bottom w:val="single" w:sz="12" w:space="0" w:color="000000"/>
            </w:tcBorders>
            <w:vAlign w:val="bottom"/>
          </w:tcPr>
          <w:p w14:paraId="1AB1FDFE" w14:textId="77777777" w:rsidR="00D83E33" w:rsidRPr="001B330E" w:rsidRDefault="00D83E33" w:rsidP="001B330E">
            <w:pPr>
              <w:widowControl w:val="0"/>
              <w:jc w:val="right"/>
              <w:rPr>
                <w:b/>
                <w:color w:val="000000"/>
                <w:szCs w:val="12"/>
              </w:rPr>
            </w:pPr>
          </w:p>
        </w:tc>
        <w:tc>
          <w:tcPr>
            <w:tcW w:w="758" w:type="pct"/>
            <w:tcBorders>
              <w:bottom w:val="single" w:sz="12" w:space="0" w:color="000000"/>
            </w:tcBorders>
            <w:vAlign w:val="bottom"/>
          </w:tcPr>
          <w:p w14:paraId="3969AE06" w14:textId="77777777" w:rsidR="00D83E33" w:rsidRPr="001B330E" w:rsidRDefault="00D83E33" w:rsidP="001B330E">
            <w:pPr>
              <w:widowControl w:val="0"/>
              <w:jc w:val="right"/>
              <w:rPr>
                <w:b/>
                <w:color w:val="000000"/>
                <w:szCs w:val="12"/>
              </w:rPr>
            </w:pPr>
          </w:p>
        </w:tc>
        <w:tc>
          <w:tcPr>
            <w:tcW w:w="758" w:type="pct"/>
            <w:tcBorders>
              <w:bottom w:val="single" w:sz="12" w:space="0" w:color="000000"/>
            </w:tcBorders>
            <w:vAlign w:val="bottom"/>
          </w:tcPr>
          <w:p w14:paraId="2645F13A" w14:textId="77777777" w:rsidR="00D83E33" w:rsidRPr="001B330E" w:rsidRDefault="00D83E33" w:rsidP="001B330E">
            <w:pPr>
              <w:widowControl w:val="0"/>
              <w:jc w:val="right"/>
              <w:rPr>
                <w:b/>
                <w:color w:val="000000"/>
                <w:szCs w:val="12"/>
              </w:rPr>
            </w:pPr>
          </w:p>
        </w:tc>
        <w:tc>
          <w:tcPr>
            <w:tcW w:w="758" w:type="pct"/>
            <w:tcBorders>
              <w:bottom w:val="single" w:sz="12" w:space="0" w:color="000000"/>
            </w:tcBorders>
            <w:vAlign w:val="bottom"/>
          </w:tcPr>
          <w:p w14:paraId="6443F7C3" w14:textId="77777777" w:rsidR="00D83E33" w:rsidRPr="001B330E" w:rsidRDefault="00D83E33" w:rsidP="001B330E">
            <w:pPr>
              <w:widowControl w:val="0"/>
              <w:jc w:val="right"/>
              <w:rPr>
                <w:b/>
                <w:color w:val="000000"/>
                <w:szCs w:val="12"/>
              </w:rPr>
            </w:pPr>
          </w:p>
        </w:tc>
        <w:tc>
          <w:tcPr>
            <w:tcW w:w="756" w:type="pct"/>
            <w:tcBorders>
              <w:bottom w:val="single" w:sz="12" w:space="0" w:color="000000"/>
            </w:tcBorders>
            <w:vAlign w:val="bottom"/>
          </w:tcPr>
          <w:p w14:paraId="1E84EECD" w14:textId="77777777" w:rsidR="00D83E33" w:rsidRPr="001B330E" w:rsidRDefault="00D83E33" w:rsidP="001B330E">
            <w:pPr>
              <w:widowControl w:val="0"/>
              <w:jc w:val="right"/>
              <w:rPr>
                <w:b/>
                <w:color w:val="000000"/>
                <w:szCs w:val="12"/>
              </w:rPr>
            </w:pPr>
          </w:p>
        </w:tc>
      </w:tr>
    </w:tbl>
    <w:p w14:paraId="120D5F42" w14:textId="77777777" w:rsidR="009C6EFA" w:rsidRDefault="009C6EFA" w:rsidP="001B330E">
      <w:pPr>
        <w:widowControl w:val="0"/>
        <w:pBdr>
          <w:top w:val="nil"/>
          <w:left w:val="nil"/>
          <w:bottom w:val="nil"/>
          <w:right w:val="nil"/>
          <w:between w:val="nil"/>
        </w:pBdr>
        <w:spacing w:before="200"/>
        <w:jc w:val="both"/>
        <w:rPr>
          <w:color w:val="000000"/>
          <w:sz w:val="20"/>
          <w:szCs w:val="20"/>
        </w:rPr>
      </w:pPr>
    </w:p>
    <w:p w14:paraId="0FA1A9B3" w14:textId="795D798F" w:rsidR="00D83E33" w:rsidRDefault="00BC4072" w:rsidP="001B330E">
      <w:pPr>
        <w:widowControl w:val="0"/>
        <w:pBdr>
          <w:top w:val="nil"/>
          <w:left w:val="nil"/>
          <w:bottom w:val="nil"/>
          <w:right w:val="nil"/>
          <w:between w:val="nil"/>
        </w:pBdr>
        <w:spacing w:after="200"/>
        <w:jc w:val="both"/>
        <w:rPr>
          <w:color w:val="000000"/>
          <w:sz w:val="20"/>
          <w:szCs w:val="20"/>
        </w:rPr>
      </w:pPr>
      <w:r>
        <w:rPr>
          <w:color w:val="000000"/>
          <w:sz w:val="20"/>
          <w:szCs w:val="20"/>
        </w:rPr>
        <w:t xml:space="preserve">Other assets mainly include </w:t>
      </w:r>
      <w:r>
        <w:rPr>
          <w:color w:val="0000FF"/>
          <w:sz w:val="20"/>
          <w:szCs w:val="20"/>
        </w:rPr>
        <w:t>[equipment and receivables]</w:t>
      </w:r>
      <w:r>
        <w:rPr>
          <w:color w:val="000000"/>
          <w:sz w:val="20"/>
          <w:szCs w:val="20"/>
        </w:rPr>
        <w:t xml:space="preserve">. The disclosure above represents the lower of the carrying value of the loan or collateral taken; the remaining part is disclosed within the unsecured exposures. The carrying value of loans was allocated based on liquidity of the assets taken as collateral. </w:t>
      </w:r>
    </w:p>
    <w:p w14:paraId="260C27A4" w14:textId="77777777" w:rsidR="009C6EFA" w:rsidRDefault="009C6EFA" w:rsidP="009C6EFA">
      <w:pPr>
        <w:pStyle w:val="Continued"/>
      </w:pPr>
      <w:r>
        <w:lastRenderedPageBreak/>
        <w:t>11</w:t>
      </w:r>
      <w:r>
        <w:tab/>
        <w:t>Loans and Advances to Customers (Continued)</w:t>
      </w:r>
    </w:p>
    <w:p w14:paraId="47F7F4B8" w14:textId="3414B0BC" w:rsidR="00D83E33" w:rsidRDefault="00BC4072" w:rsidP="001B330E">
      <w:pPr>
        <w:pBdr>
          <w:top w:val="nil"/>
          <w:left w:val="nil"/>
          <w:bottom w:val="nil"/>
          <w:right w:val="nil"/>
          <w:between w:val="nil"/>
        </w:pBdr>
        <w:spacing w:before="200" w:after="200"/>
        <w:jc w:val="both"/>
        <w:rPr>
          <w:color w:val="000000"/>
          <w:sz w:val="20"/>
          <w:szCs w:val="20"/>
        </w:rPr>
      </w:pPr>
      <w:r>
        <w:rPr>
          <w:color w:val="000000"/>
          <w:sz w:val="20"/>
          <w:szCs w:val="20"/>
        </w:rPr>
        <w:t>The extent to which collateral and other credit enhancements mitigate credit risk for financial assets carried at FVTPL, is presented by disclosing collateral values separately for (i) those assets where collateral and other credit enhancements are equal to or exceed carrying value of the asset (“over-collateralised assets”) and (ii) those assets where collateral and other credit enhancements are less than the carrying value of the asset (“under-collateralised assets”). The effect of collateral on credit impaired assets is as follows at 31</w:t>
      </w:r>
      <w:r w:rsidR="00181687">
        <w:rPr>
          <w:color w:val="000000"/>
          <w:sz w:val="20"/>
          <w:szCs w:val="20"/>
        </w:rPr>
        <w:t> December </w:t>
      </w:r>
      <w:r w:rsidR="00541EBC">
        <w:rPr>
          <w:color w:val="000000"/>
          <w:sz w:val="20"/>
          <w:szCs w:val="20"/>
        </w:rPr>
        <w:t>2024</w:t>
      </w:r>
      <w:r>
        <w:rPr>
          <w:color w:val="000000"/>
          <w:sz w:val="20"/>
          <w:szCs w:val="20"/>
        </w:rPr>
        <w:t xml:space="preserve">. </w:t>
      </w:r>
    </w:p>
    <w:tbl>
      <w:tblPr>
        <w:tblStyle w:val="affffff5"/>
        <w:tblW w:w="5000" w:type="pct"/>
        <w:tblLayout w:type="fixed"/>
        <w:tblCellMar>
          <w:left w:w="113" w:type="dxa"/>
          <w:right w:w="113" w:type="dxa"/>
        </w:tblCellMar>
        <w:tblLook w:val="0000" w:firstRow="0" w:lastRow="0" w:firstColumn="0" w:lastColumn="0" w:noHBand="0" w:noVBand="0"/>
      </w:tblPr>
      <w:tblGrid>
        <w:gridCol w:w="4819"/>
        <w:gridCol w:w="1134"/>
        <w:gridCol w:w="1134"/>
        <w:gridCol w:w="1134"/>
        <w:gridCol w:w="1134"/>
      </w:tblGrid>
      <w:tr w:rsidR="00D83E33" w:rsidRPr="00E837F2" w14:paraId="6B5F2AD7" w14:textId="77777777" w:rsidTr="001B330E">
        <w:trPr>
          <w:trHeight w:val="23"/>
        </w:trPr>
        <w:tc>
          <w:tcPr>
            <w:tcW w:w="2576" w:type="pct"/>
            <w:vAlign w:val="bottom"/>
          </w:tcPr>
          <w:p w14:paraId="0E7415A2" w14:textId="77777777" w:rsidR="00D83E33" w:rsidRPr="00E837F2" w:rsidRDefault="00D83E33" w:rsidP="001B330E">
            <w:pPr>
              <w:widowControl w:val="0"/>
              <w:pBdr>
                <w:top w:val="nil"/>
                <w:left w:val="nil"/>
                <w:bottom w:val="nil"/>
                <w:right w:val="nil"/>
                <w:between w:val="nil"/>
              </w:pBdr>
              <w:ind w:left="113" w:hanging="113"/>
              <w:rPr>
                <w:b/>
                <w:i/>
                <w:color w:val="000000"/>
              </w:rPr>
            </w:pPr>
          </w:p>
        </w:tc>
        <w:tc>
          <w:tcPr>
            <w:tcW w:w="1212" w:type="pct"/>
            <w:gridSpan w:val="2"/>
            <w:tcBorders>
              <w:bottom w:val="single" w:sz="4" w:space="0" w:color="000000"/>
            </w:tcBorders>
            <w:vAlign w:val="bottom"/>
          </w:tcPr>
          <w:p w14:paraId="166E92B7"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Over-collateralised</w:t>
            </w:r>
          </w:p>
          <w:p w14:paraId="2AFF2610"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Assets</w:t>
            </w:r>
          </w:p>
        </w:tc>
        <w:tc>
          <w:tcPr>
            <w:tcW w:w="1212" w:type="pct"/>
            <w:gridSpan w:val="2"/>
            <w:tcBorders>
              <w:bottom w:val="single" w:sz="4" w:space="0" w:color="000000"/>
            </w:tcBorders>
          </w:tcPr>
          <w:p w14:paraId="1963F467"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Under-collateralised</w:t>
            </w:r>
          </w:p>
          <w:p w14:paraId="2AA3DCED"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Assets</w:t>
            </w:r>
          </w:p>
        </w:tc>
      </w:tr>
      <w:tr w:rsidR="00D83E33" w:rsidRPr="00E837F2" w14:paraId="128F3DEA" w14:textId="77777777" w:rsidTr="001B330E">
        <w:trPr>
          <w:trHeight w:val="23"/>
        </w:trPr>
        <w:tc>
          <w:tcPr>
            <w:tcW w:w="2576" w:type="pct"/>
            <w:tcBorders>
              <w:bottom w:val="single" w:sz="4" w:space="0" w:color="000000"/>
            </w:tcBorders>
            <w:vAlign w:val="bottom"/>
          </w:tcPr>
          <w:p w14:paraId="3CFB6388" w14:textId="77777777" w:rsidR="00D83E33" w:rsidRPr="00E837F2" w:rsidRDefault="00D83E33" w:rsidP="001B330E">
            <w:pPr>
              <w:widowControl w:val="0"/>
              <w:ind w:left="113" w:hanging="113"/>
              <w:rPr>
                <w:i/>
              </w:rPr>
            </w:pPr>
          </w:p>
          <w:p w14:paraId="132621C4" w14:textId="56AAD398" w:rsidR="00D83E33" w:rsidRPr="00E837F2" w:rsidRDefault="00313B4D" w:rsidP="001B330E">
            <w:pPr>
              <w:widowControl w:val="0"/>
              <w:ind w:left="113" w:hanging="113"/>
              <w:rPr>
                <w:i/>
              </w:rPr>
            </w:pPr>
            <w:r>
              <w:rPr>
                <w:i/>
              </w:rPr>
              <w:t xml:space="preserve">In thousands of </w:t>
            </w:r>
            <w:r w:rsidR="002649EE">
              <w:rPr>
                <w:i/>
              </w:rPr>
              <w:t>EUR</w:t>
            </w:r>
          </w:p>
        </w:tc>
        <w:tc>
          <w:tcPr>
            <w:tcW w:w="606" w:type="pct"/>
            <w:tcBorders>
              <w:top w:val="single" w:sz="4" w:space="0" w:color="000000"/>
              <w:bottom w:val="single" w:sz="4" w:space="0" w:color="000000"/>
            </w:tcBorders>
          </w:tcPr>
          <w:p w14:paraId="38EA0903" w14:textId="1DE0D663"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Carrying value of the assets</w:t>
            </w:r>
          </w:p>
        </w:tc>
        <w:tc>
          <w:tcPr>
            <w:tcW w:w="606" w:type="pct"/>
            <w:tcBorders>
              <w:top w:val="single" w:sz="4" w:space="0" w:color="000000"/>
              <w:bottom w:val="single" w:sz="4" w:space="0" w:color="000000"/>
            </w:tcBorders>
          </w:tcPr>
          <w:p w14:paraId="05688366"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Value of collateral</w:t>
            </w:r>
          </w:p>
        </w:tc>
        <w:tc>
          <w:tcPr>
            <w:tcW w:w="606" w:type="pct"/>
            <w:tcBorders>
              <w:top w:val="single" w:sz="4" w:space="0" w:color="000000"/>
              <w:bottom w:val="single" w:sz="4" w:space="0" w:color="000000"/>
            </w:tcBorders>
          </w:tcPr>
          <w:p w14:paraId="1585823A"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Carrying value of the assets</w:t>
            </w:r>
          </w:p>
        </w:tc>
        <w:tc>
          <w:tcPr>
            <w:tcW w:w="606" w:type="pct"/>
            <w:tcBorders>
              <w:top w:val="single" w:sz="4" w:space="0" w:color="000000"/>
              <w:bottom w:val="single" w:sz="4" w:space="0" w:color="000000"/>
            </w:tcBorders>
          </w:tcPr>
          <w:p w14:paraId="3DE197F4"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Value of collateral</w:t>
            </w:r>
          </w:p>
        </w:tc>
      </w:tr>
      <w:tr w:rsidR="00D83E33" w:rsidRPr="00E837F2" w14:paraId="71FBF1A8" w14:textId="77777777" w:rsidTr="001B330E">
        <w:trPr>
          <w:trHeight w:val="23"/>
        </w:trPr>
        <w:tc>
          <w:tcPr>
            <w:tcW w:w="2576" w:type="pct"/>
            <w:tcBorders>
              <w:top w:val="single" w:sz="4" w:space="0" w:color="000000"/>
            </w:tcBorders>
          </w:tcPr>
          <w:p w14:paraId="1C46FE6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A9B227D"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vAlign w:val="bottom"/>
          </w:tcPr>
          <w:p w14:paraId="5C870A86"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tcPr>
          <w:p w14:paraId="43AB8CD9"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tcPr>
          <w:p w14:paraId="27473654"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1838F20" w14:textId="77777777" w:rsidTr="001B330E">
        <w:trPr>
          <w:trHeight w:val="23"/>
        </w:trPr>
        <w:tc>
          <w:tcPr>
            <w:tcW w:w="2576" w:type="pct"/>
            <w:vAlign w:val="bottom"/>
          </w:tcPr>
          <w:p w14:paraId="69729C43" w14:textId="77777777" w:rsidR="00D83E33" w:rsidRPr="00E837F2" w:rsidRDefault="00BC4072" w:rsidP="001B330E">
            <w:pPr>
              <w:widowControl w:val="0"/>
              <w:ind w:left="113" w:hanging="113"/>
            </w:pPr>
            <w:r w:rsidRPr="00E837F2">
              <w:rPr>
                <w:b/>
                <w:i/>
              </w:rPr>
              <w:t>Credit impaired assets:</w:t>
            </w:r>
          </w:p>
        </w:tc>
        <w:tc>
          <w:tcPr>
            <w:tcW w:w="606" w:type="pct"/>
            <w:vAlign w:val="bottom"/>
          </w:tcPr>
          <w:p w14:paraId="6CE19546"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25287D9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D66D7B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D6E0A08"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38B087B8" w14:textId="77777777" w:rsidTr="001B330E">
        <w:trPr>
          <w:trHeight w:val="23"/>
        </w:trPr>
        <w:tc>
          <w:tcPr>
            <w:tcW w:w="2576" w:type="pct"/>
            <w:vAlign w:val="bottom"/>
          </w:tcPr>
          <w:p w14:paraId="3F169DA2" w14:textId="77777777" w:rsidR="00D83E33" w:rsidRPr="00E837F2" w:rsidRDefault="00D83E33" w:rsidP="001B330E">
            <w:pPr>
              <w:widowControl w:val="0"/>
              <w:ind w:left="113" w:hanging="113"/>
              <w:rPr>
                <w:i/>
              </w:rPr>
            </w:pPr>
          </w:p>
        </w:tc>
        <w:tc>
          <w:tcPr>
            <w:tcW w:w="606" w:type="pct"/>
            <w:vAlign w:val="bottom"/>
          </w:tcPr>
          <w:p w14:paraId="61AA35FA"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59E5A7C3"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A61CBE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4D8B54F"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1E64AF6D" w14:textId="77777777" w:rsidTr="001B330E">
        <w:trPr>
          <w:trHeight w:val="23"/>
        </w:trPr>
        <w:tc>
          <w:tcPr>
            <w:tcW w:w="2576" w:type="pct"/>
            <w:vAlign w:val="bottom"/>
          </w:tcPr>
          <w:p w14:paraId="67536699" w14:textId="77777777" w:rsidR="00D83E33" w:rsidRPr="00E837F2" w:rsidRDefault="00BC4072" w:rsidP="001B330E">
            <w:pPr>
              <w:widowControl w:val="0"/>
              <w:ind w:left="113" w:hanging="113"/>
              <w:rPr>
                <w:i/>
              </w:rPr>
            </w:pPr>
            <w:r w:rsidRPr="00E837F2">
              <w:rPr>
                <w:i/>
              </w:rPr>
              <w:t>Loans to corporate customers at FVTPL</w:t>
            </w:r>
          </w:p>
        </w:tc>
        <w:tc>
          <w:tcPr>
            <w:tcW w:w="606" w:type="pct"/>
            <w:vAlign w:val="bottom"/>
          </w:tcPr>
          <w:p w14:paraId="0593E3BC"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1594693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994DBC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EC09D70"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0626055" w14:textId="77777777" w:rsidTr="001B330E">
        <w:trPr>
          <w:trHeight w:val="23"/>
        </w:trPr>
        <w:tc>
          <w:tcPr>
            <w:tcW w:w="2576" w:type="pct"/>
            <w:vAlign w:val="bottom"/>
          </w:tcPr>
          <w:p w14:paraId="17AAA4FE" w14:textId="77777777" w:rsidR="00D83E33" w:rsidRPr="00E837F2" w:rsidRDefault="00D83E33" w:rsidP="001B330E">
            <w:pPr>
              <w:widowControl w:val="0"/>
              <w:ind w:left="113" w:hanging="113"/>
              <w:rPr>
                <w:i/>
              </w:rPr>
            </w:pPr>
          </w:p>
        </w:tc>
        <w:tc>
          <w:tcPr>
            <w:tcW w:w="606" w:type="pct"/>
            <w:vAlign w:val="bottom"/>
          </w:tcPr>
          <w:p w14:paraId="08886730"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3EB57C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693681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00D7C33"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373FC3B" w14:textId="77777777" w:rsidTr="001B330E">
        <w:trPr>
          <w:trHeight w:val="23"/>
        </w:trPr>
        <w:tc>
          <w:tcPr>
            <w:tcW w:w="2576" w:type="pct"/>
            <w:vAlign w:val="bottom"/>
          </w:tcPr>
          <w:p w14:paraId="7916725F" w14:textId="77777777" w:rsidR="00D83E33" w:rsidRPr="00E837F2" w:rsidRDefault="00BC4072" w:rsidP="001B330E">
            <w:pPr>
              <w:widowControl w:val="0"/>
              <w:ind w:left="113" w:hanging="113"/>
            </w:pPr>
            <w:r w:rsidRPr="00E837F2">
              <w:t>Standard lending</w:t>
            </w:r>
          </w:p>
        </w:tc>
        <w:tc>
          <w:tcPr>
            <w:tcW w:w="606" w:type="pct"/>
            <w:vAlign w:val="bottom"/>
          </w:tcPr>
          <w:p w14:paraId="6D2E97A7"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2F7CC64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0D0295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CCF3012"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370FD69" w14:textId="77777777" w:rsidTr="001B330E">
        <w:trPr>
          <w:trHeight w:val="23"/>
        </w:trPr>
        <w:tc>
          <w:tcPr>
            <w:tcW w:w="2576" w:type="pct"/>
            <w:vAlign w:val="bottom"/>
          </w:tcPr>
          <w:p w14:paraId="33A0272B" w14:textId="77777777" w:rsidR="00D83E33" w:rsidRPr="00E837F2" w:rsidRDefault="00BC4072" w:rsidP="001B330E">
            <w:pPr>
              <w:widowControl w:val="0"/>
              <w:ind w:left="113" w:hanging="113"/>
            </w:pPr>
            <w:r w:rsidRPr="00E837F2">
              <w:t>Specialised lending</w:t>
            </w:r>
          </w:p>
        </w:tc>
        <w:tc>
          <w:tcPr>
            <w:tcW w:w="606" w:type="pct"/>
            <w:vAlign w:val="bottom"/>
          </w:tcPr>
          <w:p w14:paraId="220B7E41"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2DF7511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3EEB22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73550FD"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1A1B4EC8" w14:textId="77777777" w:rsidTr="001B330E">
        <w:trPr>
          <w:trHeight w:val="23"/>
        </w:trPr>
        <w:tc>
          <w:tcPr>
            <w:tcW w:w="2576" w:type="pct"/>
            <w:vAlign w:val="bottom"/>
          </w:tcPr>
          <w:p w14:paraId="30B67698" w14:textId="77777777" w:rsidR="00D83E33" w:rsidRPr="00E837F2" w:rsidRDefault="00BC4072" w:rsidP="001B330E">
            <w:pPr>
              <w:widowControl w:val="0"/>
              <w:ind w:left="113" w:hanging="113"/>
            </w:pPr>
            <w:r w:rsidRPr="00E837F2">
              <w:t>Loans to sovereigns</w:t>
            </w:r>
          </w:p>
        </w:tc>
        <w:tc>
          <w:tcPr>
            <w:tcW w:w="606" w:type="pct"/>
            <w:vAlign w:val="bottom"/>
          </w:tcPr>
          <w:p w14:paraId="62F069B4"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3C13F8FB"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5437FCF"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98B251A"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3FA08E50" w14:textId="77777777" w:rsidTr="001B330E">
        <w:trPr>
          <w:trHeight w:val="23"/>
        </w:trPr>
        <w:tc>
          <w:tcPr>
            <w:tcW w:w="2576" w:type="pct"/>
            <w:vAlign w:val="bottom"/>
          </w:tcPr>
          <w:p w14:paraId="24AA1D8F" w14:textId="77777777" w:rsidR="00D83E33" w:rsidRPr="00E837F2" w:rsidRDefault="00BC4072" w:rsidP="001B330E">
            <w:pPr>
              <w:widowControl w:val="0"/>
              <w:ind w:left="113" w:hanging="113"/>
            </w:pPr>
            <w:r w:rsidRPr="00E837F2">
              <w:t>Loans to sub-sovereigns</w:t>
            </w:r>
          </w:p>
        </w:tc>
        <w:tc>
          <w:tcPr>
            <w:tcW w:w="606" w:type="pct"/>
            <w:vAlign w:val="bottom"/>
          </w:tcPr>
          <w:p w14:paraId="2D3CB4B1"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CECB78E"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04A807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52FA381"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9F84D72" w14:textId="77777777" w:rsidTr="001B330E">
        <w:trPr>
          <w:trHeight w:val="23"/>
        </w:trPr>
        <w:tc>
          <w:tcPr>
            <w:tcW w:w="2576" w:type="pct"/>
            <w:vAlign w:val="bottom"/>
          </w:tcPr>
          <w:p w14:paraId="0D80760C" w14:textId="77777777" w:rsidR="00D83E33" w:rsidRPr="00E837F2" w:rsidRDefault="00BC4072" w:rsidP="001B330E">
            <w:pPr>
              <w:widowControl w:val="0"/>
              <w:ind w:left="113" w:hanging="113"/>
            </w:pPr>
            <w:r w:rsidRPr="00E837F2">
              <w:t>Loans to SME</w:t>
            </w:r>
          </w:p>
        </w:tc>
        <w:tc>
          <w:tcPr>
            <w:tcW w:w="606" w:type="pct"/>
            <w:vAlign w:val="bottom"/>
          </w:tcPr>
          <w:p w14:paraId="143D5BD1"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10F80FE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7870CD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304CB4E"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78868671" w14:textId="77777777" w:rsidTr="001B330E">
        <w:trPr>
          <w:trHeight w:val="23"/>
        </w:trPr>
        <w:tc>
          <w:tcPr>
            <w:tcW w:w="2576" w:type="pct"/>
            <w:vAlign w:val="bottom"/>
          </w:tcPr>
          <w:p w14:paraId="25BFEDA6" w14:textId="77777777" w:rsidR="00D83E33" w:rsidRPr="00E837F2" w:rsidRDefault="00BC4072" w:rsidP="001B330E">
            <w:pPr>
              <w:widowControl w:val="0"/>
              <w:ind w:left="113" w:hanging="113"/>
            </w:pPr>
            <w:r w:rsidRPr="00E837F2">
              <w:t>Loans to leasing companies</w:t>
            </w:r>
          </w:p>
        </w:tc>
        <w:tc>
          <w:tcPr>
            <w:tcW w:w="606" w:type="pct"/>
            <w:vAlign w:val="bottom"/>
          </w:tcPr>
          <w:p w14:paraId="4F0CCDF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3946AD0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7691B7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64FA555"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3C13DDF5" w14:textId="77777777" w:rsidTr="001B330E">
        <w:trPr>
          <w:trHeight w:val="23"/>
        </w:trPr>
        <w:tc>
          <w:tcPr>
            <w:tcW w:w="2576" w:type="pct"/>
            <w:vAlign w:val="bottom"/>
          </w:tcPr>
          <w:p w14:paraId="5BE091B6" w14:textId="77777777" w:rsidR="00D83E33" w:rsidRPr="00E837F2" w:rsidRDefault="00BC4072" w:rsidP="001B330E">
            <w:pPr>
              <w:widowControl w:val="0"/>
              <w:ind w:left="113" w:hanging="113"/>
            </w:pPr>
            <w:r w:rsidRPr="00E837F2">
              <w:t xml:space="preserve">Reverse sale and repurchase agreements </w:t>
            </w:r>
          </w:p>
        </w:tc>
        <w:tc>
          <w:tcPr>
            <w:tcW w:w="606" w:type="pct"/>
            <w:vAlign w:val="bottom"/>
          </w:tcPr>
          <w:p w14:paraId="5142EC47"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F6F2E9F"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75C408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9249924"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FE53EE4" w14:textId="77777777" w:rsidTr="001B330E">
        <w:trPr>
          <w:trHeight w:val="23"/>
        </w:trPr>
        <w:tc>
          <w:tcPr>
            <w:tcW w:w="2576" w:type="pct"/>
            <w:vAlign w:val="bottom"/>
          </w:tcPr>
          <w:p w14:paraId="6136DEB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110ADCBD"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8C2F25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9D89A00"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598BF07"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AAC4BCD" w14:textId="77777777" w:rsidTr="001B330E">
        <w:trPr>
          <w:trHeight w:val="23"/>
        </w:trPr>
        <w:tc>
          <w:tcPr>
            <w:tcW w:w="2576" w:type="pct"/>
            <w:vAlign w:val="bottom"/>
          </w:tcPr>
          <w:p w14:paraId="48AA9861" w14:textId="77777777" w:rsidR="00D83E33" w:rsidRPr="00E837F2" w:rsidRDefault="00BC4072" w:rsidP="001B330E">
            <w:pPr>
              <w:widowControl w:val="0"/>
              <w:ind w:left="113" w:hanging="113"/>
            </w:pPr>
            <w:r w:rsidRPr="00E837F2">
              <w:rPr>
                <w:i/>
              </w:rPr>
              <w:t>Loans to individuals at FVTPL</w:t>
            </w:r>
          </w:p>
        </w:tc>
        <w:tc>
          <w:tcPr>
            <w:tcW w:w="606" w:type="pct"/>
            <w:vAlign w:val="bottom"/>
          </w:tcPr>
          <w:p w14:paraId="53A49C46"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D0C1DDE"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4E2B1D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7CCE650"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08801F11" w14:textId="77777777" w:rsidTr="001B330E">
        <w:trPr>
          <w:trHeight w:val="23"/>
        </w:trPr>
        <w:tc>
          <w:tcPr>
            <w:tcW w:w="2576" w:type="pct"/>
            <w:vAlign w:val="bottom"/>
          </w:tcPr>
          <w:p w14:paraId="1EE4CEEB" w14:textId="77777777" w:rsidR="00D83E33" w:rsidRPr="00E837F2" w:rsidRDefault="00D83E33" w:rsidP="001B330E">
            <w:pPr>
              <w:widowControl w:val="0"/>
              <w:ind w:left="113" w:hanging="113"/>
              <w:rPr>
                <w:i/>
              </w:rPr>
            </w:pPr>
          </w:p>
        </w:tc>
        <w:tc>
          <w:tcPr>
            <w:tcW w:w="606" w:type="pct"/>
            <w:vAlign w:val="bottom"/>
          </w:tcPr>
          <w:p w14:paraId="4AE2BFDF"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7E7B82F"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F91CBAD"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73F7533"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72EED9D5" w14:textId="77777777" w:rsidTr="001B330E">
        <w:trPr>
          <w:trHeight w:val="23"/>
        </w:trPr>
        <w:tc>
          <w:tcPr>
            <w:tcW w:w="2576" w:type="pct"/>
            <w:vAlign w:val="bottom"/>
          </w:tcPr>
          <w:p w14:paraId="3634741E" w14:textId="77777777" w:rsidR="00D83E33" w:rsidRPr="00E837F2" w:rsidRDefault="00BC4072" w:rsidP="001B330E">
            <w:pPr>
              <w:widowControl w:val="0"/>
              <w:ind w:left="113" w:hanging="113"/>
            </w:pPr>
            <w:r w:rsidRPr="00E837F2">
              <w:t xml:space="preserve">Mortgage loans </w:t>
            </w:r>
          </w:p>
        </w:tc>
        <w:tc>
          <w:tcPr>
            <w:tcW w:w="606" w:type="pct"/>
            <w:vAlign w:val="bottom"/>
          </w:tcPr>
          <w:p w14:paraId="15576B6F"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55C12E3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F16798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C40F474"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FE44B17" w14:textId="77777777" w:rsidTr="001B330E">
        <w:trPr>
          <w:trHeight w:val="23"/>
        </w:trPr>
        <w:tc>
          <w:tcPr>
            <w:tcW w:w="2576" w:type="pct"/>
            <w:vAlign w:val="bottom"/>
          </w:tcPr>
          <w:p w14:paraId="5027BC76" w14:textId="77777777" w:rsidR="00D83E33" w:rsidRPr="00E837F2" w:rsidRDefault="00BC4072" w:rsidP="001B330E">
            <w:pPr>
              <w:widowControl w:val="0"/>
              <w:ind w:left="113" w:hanging="113"/>
            </w:pPr>
            <w:r w:rsidRPr="00E837F2">
              <w:t>Consumer loans</w:t>
            </w:r>
          </w:p>
        </w:tc>
        <w:tc>
          <w:tcPr>
            <w:tcW w:w="606" w:type="pct"/>
            <w:vAlign w:val="bottom"/>
          </w:tcPr>
          <w:p w14:paraId="1F75CCEA"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54302E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6D22B5B"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7D6360B"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D8249B7" w14:textId="77777777" w:rsidTr="001B330E">
        <w:trPr>
          <w:trHeight w:val="23"/>
        </w:trPr>
        <w:tc>
          <w:tcPr>
            <w:tcW w:w="2576" w:type="pct"/>
            <w:vAlign w:val="bottom"/>
          </w:tcPr>
          <w:p w14:paraId="24219E61" w14:textId="77777777" w:rsidR="00D83E33" w:rsidRPr="00E837F2" w:rsidRDefault="00BC4072" w:rsidP="001B330E">
            <w:pPr>
              <w:widowControl w:val="0"/>
              <w:ind w:left="113" w:hanging="113"/>
            </w:pPr>
            <w:r w:rsidRPr="00E837F2">
              <w:t>Car loans</w:t>
            </w:r>
          </w:p>
        </w:tc>
        <w:tc>
          <w:tcPr>
            <w:tcW w:w="606" w:type="pct"/>
            <w:vAlign w:val="bottom"/>
          </w:tcPr>
          <w:p w14:paraId="38C5ADCE"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12A9850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C60A16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21BBF2E"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582D4DC" w14:textId="77777777" w:rsidTr="001B330E">
        <w:trPr>
          <w:trHeight w:val="23"/>
        </w:trPr>
        <w:tc>
          <w:tcPr>
            <w:tcW w:w="2576" w:type="pct"/>
            <w:vAlign w:val="bottom"/>
          </w:tcPr>
          <w:p w14:paraId="7A52AAA6" w14:textId="77777777" w:rsidR="00D83E33" w:rsidRPr="00E837F2" w:rsidRDefault="00BC4072" w:rsidP="001B330E">
            <w:pPr>
              <w:widowControl w:val="0"/>
              <w:ind w:left="113" w:hanging="113"/>
            </w:pPr>
            <w:r w:rsidRPr="00E837F2">
              <w:t xml:space="preserve">Credit cards </w:t>
            </w:r>
          </w:p>
        </w:tc>
        <w:tc>
          <w:tcPr>
            <w:tcW w:w="606" w:type="pct"/>
            <w:vAlign w:val="bottom"/>
          </w:tcPr>
          <w:p w14:paraId="506992D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D336213"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7466B8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39851B2"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39A0A8F" w14:textId="77777777" w:rsidTr="001B330E">
        <w:trPr>
          <w:trHeight w:val="23"/>
        </w:trPr>
        <w:tc>
          <w:tcPr>
            <w:tcW w:w="2576" w:type="pct"/>
            <w:tcBorders>
              <w:bottom w:val="single" w:sz="12" w:space="0" w:color="000000"/>
            </w:tcBorders>
          </w:tcPr>
          <w:p w14:paraId="272CC26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7B2BCCE0" w14:textId="77777777" w:rsidR="00D83E33" w:rsidRPr="00E837F2" w:rsidRDefault="00D83E33" w:rsidP="001B330E">
            <w:pPr>
              <w:widowControl w:val="0"/>
              <w:rPr>
                <w:b/>
              </w:rPr>
            </w:pPr>
          </w:p>
        </w:tc>
        <w:tc>
          <w:tcPr>
            <w:tcW w:w="606" w:type="pct"/>
            <w:tcBorders>
              <w:bottom w:val="single" w:sz="12" w:space="0" w:color="000000"/>
            </w:tcBorders>
            <w:vAlign w:val="bottom"/>
          </w:tcPr>
          <w:p w14:paraId="5A5FA230" w14:textId="77777777" w:rsidR="00D83E33" w:rsidRPr="00E837F2" w:rsidRDefault="00D83E33" w:rsidP="001B330E">
            <w:pPr>
              <w:widowControl w:val="0"/>
              <w:rPr>
                <w:b/>
              </w:rPr>
            </w:pPr>
          </w:p>
        </w:tc>
        <w:tc>
          <w:tcPr>
            <w:tcW w:w="606" w:type="pct"/>
            <w:tcBorders>
              <w:bottom w:val="single" w:sz="12" w:space="0" w:color="000000"/>
            </w:tcBorders>
          </w:tcPr>
          <w:p w14:paraId="21DDEC2C" w14:textId="77777777" w:rsidR="00D83E33" w:rsidRPr="00E837F2" w:rsidRDefault="00D83E33" w:rsidP="001B330E">
            <w:pPr>
              <w:widowControl w:val="0"/>
              <w:rPr>
                <w:b/>
              </w:rPr>
            </w:pPr>
          </w:p>
        </w:tc>
        <w:tc>
          <w:tcPr>
            <w:tcW w:w="606" w:type="pct"/>
            <w:tcBorders>
              <w:bottom w:val="single" w:sz="12" w:space="0" w:color="000000"/>
            </w:tcBorders>
          </w:tcPr>
          <w:p w14:paraId="59BA1A91" w14:textId="77777777" w:rsidR="00D83E33" w:rsidRPr="00E837F2" w:rsidRDefault="00D83E33" w:rsidP="001B330E">
            <w:pPr>
              <w:widowControl w:val="0"/>
              <w:rPr>
                <w:b/>
              </w:rPr>
            </w:pPr>
          </w:p>
        </w:tc>
      </w:tr>
    </w:tbl>
    <w:p w14:paraId="579400A4" w14:textId="18CCF83D" w:rsidR="00D83E33" w:rsidRDefault="00BC4072" w:rsidP="001B330E">
      <w:pPr>
        <w:pBdr>
          <w:top w:val="nil"/>
          <w:left w:val="nil"/>
          <w:bottom w:val="nil"/>
          <w:right w:val="nil"/>
          <w:between w:val="nil"/>
        </w:pBdr>
        <w:spacing w:before="200" w:after="200"/>
        <w:jc w:val="both"/>
        <w:rPr>
          <w:color w:val="000000"/>
          <w:sz w:val="20"/>
          <w:szCs w:val="20"/>
        </w:rPr>
      </w:pPr>
      <w:r>
        <w:rPr>
          <w:color w:val="000000"/>
          <w:sz w:val="20"/>
          <w:szCs w:val="20"/>
        </w:rPr>
        <w:t>The effect of collateral on credit impaired assets is as follows at 31</w:t>
      </w:r>
      <w:r w:rsidR="00181687">
        <w:rPr>
          <w:color w:val="000000"/>
          <w:sz w:val="20"/>
          <w:szCs w:val="20"/>
        </w:rPr>
        <w:t> December </w:t>
      </w:r>
      <w:r w:rsidR="00541EBC">
        <w:rPr>
          <w:color w:val="000000"/>
          <w:sz w:val="20"/>
          <w:szCs w:val="20"/>
        </w:rPr>
        <w:t>2023</w:t>
      </w:r>
      <w:r>
        <w:rPr>
          <w:color w:val="000000"/>
          <w:sz w:val="20"/>
          <w:szCs w:val="20"/>
        </w:rPr>
        <w:t xml:space="preserve">. </w:t>
      </w:r>
    </w:p>
    <w:tbl>
      <w:tblPr>
        <w:tblStyle w:val="affffff6"/>
        <w:tblW w:w="5000" w:type="pct"/>
        <w:tblLayout w:type="fixed"/>
        <w:tblCellMar>
          <w:left w:w="113" w:type="dxa"/>
          <w:right w:w="113" w:type="dxa"/>
        </w:tblCellMar>
        <w:tblLook w:val="0000" w:firstRow="0" w:lastRow="0" w:firstColumn="0" w:lastColumn="0" w:noHBand="0" w:noVBand="0"/>
      </w:tblPr>
      <w:tblGrid>
        <w:gridCol w:w="4819"/>
        <w:gridCol w:w="1134"/>
        <w:gridCol w:w="1134"/>
        <w:gridCol w:w="1134"/>
        <w:gridCol w:w="1134"/>
      </w:tblGrid>
      <w:tr w:rsidR="00D83E33" w:rsidRPr="00E837F2" w14:paraId="78E3EC14" w14:textId="77777777" w:rsidTr="001B330E">
        <w:trPr>
          <w:trHeight w:val="23"/>
        </w:trPr>
        <w:tc>
          <w:tcPr>
            <w:tcW w:w="2576" w:type="pct"/>
            <w:vAlign w:val="bottom"/>
          </w:tcPr>
          <w:p w14:paraId="63E9749C" w14:textId="77777777" w:rsidR="00D83E33" w:rsidRPr="00E837F2" w:rsidRDefault="00D83E33" w:rsidP="001B330E">
            <w:pPr>
              <w:widowControl w:val="0"/>
              <w:pBdr>
                <w:top w:val="nil"/>
                <w:left w:val="nil"/>
                <w:bottom w:val="nil"/>
                <w:right w:val="nil"/>
                <w:between w:val="nil"/>
              </w:pBdr>
              <w:ind w:left="113" w:hanging="113"/>
              <w:rPr>
                <w:b/>
                <w:i/>
                <w:color w:val="000000"/>
              </w:rPr>
            </w:pPr>
          </w:p>
        </w:tc>
        <w:tc>
          <w:tcPr>
            <w:tcW w:w="1212" w:type="pct"/>
            <w:gridSpan w:val="2"/>
            <w:tcBorders>
              <w:bottom w:val="single" w:sz="4" w:space="0" w:color="000000"/>
            </w:tcBorders>
            <w:vAlign w:val="bottom"/>
          </w:tcPr>
          <w:p w14:paraId="0E2B6722"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Over-collateralised</w:t>
            </w:r>
          </w:p>
          <w:p w14:paraId="32202A64"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Assets</w:t>
            </w:r>
          </w:p>
        </w:tc>
        <w:tc>
          <w:tcPr>
            <w:tcW w:w="1212" w:type="pct"/>
            <w:gridSpan w:val="2"/>
            <w:tcBorders>
              <w:bottom w:val="single" w:sz="4" w:space="0" w:color="000000"/>
            </w:tcBorders>
          </w:tcPr>
          <w:p w14:paraId="17070A29"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Under-collateralised</w:t>
            </w:r>
          </w:p>
          <w:p w14:paraId="041D737B" w14:textId="77777777"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Assets</w:t>
            </w:r>
          </w:p>
        </w:tc>
      </w:tr>
      <w:tr w:rsidR="00D83E33" w:rsidRPr="00E837F2" w14:paraId="76DF8FAC" w14:textId="77777777" w:rsidTr="001B330E">
        <w:trPr>
          <w:trHeight w:val="23"/>
        </w:trPr>
        <w:tc>
          <w:tcPr>
            <w:tcW w:w="2576" w:type="pct"/>
            <w:tcBorders>
              <w:bottom w:val="single" w:sz="4" w:space="0" w:color="000000"/>
            </w:tcBorders>
            <w:vAlign w:val="bottom"/>
          </w:tcPr>
          <w:p w14:paraId="5AE4B685" w14:textId="77777777" w:rsidR="00D83E33" w:rsidRPr="00E837F2" w:rsidRDefault="00D83E33" w:rsidP="001B330E">
            <w:pPr>
              <w:widowControl w:val="0"/>
              <w:ind w:left="113" w:hanging="113"/>
              <w:rPr>
                <w:i/>
              </w:rPr>
            </w:pPr>
          </w:p>
          <w:p w14:paraId="133B04E1" w14:textId="5AD55634" w:rsidR="00D83E33" w:rsidRPr="00E837F2" w:rsidRDefault="00313B4D" w:rsidP="001B330E">
            <w:pPr>
              <w:widowControl w:val="0"/>
              <w:ind w:left="113" w:hanging="113"/>
              <w:rPr>
                <w:i/>
              </w:rPr>
            </w:pPr>
            <w:r>
              <w:rPr>
                <w:i/>
              </w:rPr>
              <w:t xml:space="preserve">In thousands of </w:t>
            </w:r>
            <w:r w:rsidR="002649EE">
              <w:rPr>
                <w:i/>
              </w:rPr>
              <w:t>EUR</w:t>
            </w:r>
          </w:p>
        </w:tc>
        <w:tc>
          <w:tcPr>
            <w:tcW w:w="606" w:type="pct"/>
            <w:tcBorders>
              <w:top w:val="single" w:sz="4" w:space="0" w:color="000000"/>
              <w:bottom w:val="single" w:sz="4" w:space="0" w:color="000000"/>
            </w:tcBorders>
          </w:tcPr>
          <w:p w14:paraId="5A36E92E" w14:textId="730B77E8"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Carrying value of the assets</w:t>
            </w:r>
          </w:p>
        </w:tc>
        <w:tc>
          <w:tcPr>
            <w:tcW w:w="606" w:type="pct"/>
            <w:tcBorders>
              <w:top w:val="single" w:sz="4" w:space="0" w:color="000000"/>
              <w:bottom w:val="single" w:sz="4" w:space="0" w:color="000000"/>
            </w:tcBorders>
          </w:tcPr>
          <w:p w14:paraId="079C6175"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Value of collateral</w:t>
            </w:r>
          </w:p>
        </w:tc>
        <w:tc>
          <w:tcPr>
            <w:tcW w:w="606" w:type="pct"/>
            <w:tcBorders>
              <w:top w:val="single" w:sz="4" w:space="0" w:color="000000"/>
              <w:bottom w:val="single" w:sz="4" w:space="0" w:color="000000"/>
            </w:tcBorders>
          </w:tcPr>
          <w:p w14:paraId="15536D85"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Carrying value of the assets</w:t>
            </w:r>
          </w:p>
        </w:tc>
        <w:tc>
          <w:tcPr>
            <w:tcW w:w="606" w:type="pct"/>
            <w:tcBorders>
              <w:top w:val="single" w:sz="4" w:space="0" w:color="000000"/>
              <w:bottom w:val="single" w:sz="4" w:space="0" w:color="000000"/>
            </w:tcBorders>
          </w:tcPr>
          <w:p w14:paraId="3C9D3AA5" w14:textId="77777777" w:rsidR="00D83E33" w:rsidRPr="001B330E" w:rsidRDefault="00BC4072" w:rsidP="001B330E">
            <w:pPr>
              <w:widowControl w:val="0"/>
              <w:pBdr>
                <w:top w:val="nil"/>
                <w:left w:val="nil"/>
                <w:bottom w:val="nil"/>
                <w:right w:val="nil"/>
                <w:between w:val="nil"/>
              </w:pBdr>
              <w:jc w:val="right"/>
              <w:rPr>
                <w:b/>
                <w:bCs/>
                <w:color w:val="000000"/>
              </w:rPr>
            </w:pPr>
            <w:r w:rsidRPr="001B330E">
              <w:rPr>
                <w:b/>
                <w:bCs/>
                <w:color w:val="000000"/>
              </w:rPr>
              <w:t>Value of collateral</w:t>
            </w:r>
          </w:p>
        </w:tc>
      </w:tr>
      <w:tr w:rsidR="00D83E33" w:rsidRPr="00E837F2" w14:paraId="344872C9" w14:textId="77777777" w:rsidTr="001B330E">
        <w:trPr>
          <w:trHeight w:val="23"/>
        </w:trPr>
        <w:tc>
          <w:tcPr>
            <w:tcW w:w="2576" w:type="pct"/>
            <w:tcBorders>
              <w:top w:val="single" w:sz="4" w:space="0" w:color="000000"/>
            </w:tcBorders>
          </w:tcPr>
          <w:p w14:paraId="7997C17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DE6593C"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vAlign w:val="bottom"/>
          </w:tcPr>
          <w:p w14:paraId="18FA2CA3"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tcPr>
          <w:p w14:paraId="508F3AE3" w14:textId="77777777" w:rsidR="00D83E33" w:rsidRPr="00E837F2" w:rsidRDefault="00D83E33" w:rsidP="001B330E">
            <w:pPr>
              <w:widowControl w:val="0"/>
              <w:pBdr>
                <w:top w:val="nil"/>
                <w:left w:val="nil"/>
                <w:bottom w:val="nil"/>
                <w:right w:val="nil"/>
                <w:between w:val="nil"/>
              </w:pBdr>
              <w:rPr>
                <w:color w:val="000000"/>
              </w:rPr>
            </w:pPr>
          </w:p>
        </w:tc>
        <w:tc>
          <w:tcPr>
            <w:tcW w:w="606" w:type="pct"/>
            <w:tcBorders>
              <w:top w:val="single" w:sz="4" w:space="0" w:color="000000"/>
            </w:tcBorders>
          </w:tcPr>
          <w:p w14:paraId="21D2EFDB"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09513208" w14:textId="77777777" w:rsidTr="001B330E">
        <w:trPr>
          <w:trHeight w:val="23"/>
        </w:trPr>
        <w:tc>
          <w:tcPr>
            <w:tcW w:w="2576" w:type="pct"/>
            <w:vAlign w:val="bottom"/>
          </w:tcPr>
          <w:p w14:paraId="5A6854C5" w14:textId="77777777" w:rsidR="00D83E33" w:rsidRPr="00E837F2" w:rsidRDefault="00BC4072" w:rsidP="001B330E">
            <w:pPr>
              <w:widowControl w:val="0"/>
              <w:ind w:left="113" w:hanging="113"/>
            </w:pPr>
            <w:r w:rsidRPr="00E837F2">
              <w:rPr>
                <w:b/>
                <w:i/>
              </w:rPr>
              <w:t>Credit impaired assets:</w:t>
            </w:r>
          </w:p>
        </w:tc>
        <w:tc>
          <w:tcPr>
            <w:tcW w:w="606" w:type="pct"/>
            <w:vAlign w:val="bottom"/>
          </w:tcPr>
          <w:p w14:paraId="6F88FBE8"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534D42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6BC23DB"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AB83EE1"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F678C38" w14:textId="77777777" w:rsidTr="001B330E">
        <w:trPr>
          <w:trHeight w:val="23"/>
        </w:trPr>
        <w:tc>
          <w:tcPr>
            <w:tcW w:w="2576" w:type="pct"/>
            <w:vAlign w:val="bottom"/>
          </w:tcPr>
          <w:p w14:paraId="0AF90CCA" w14:textId="77777777" w:rsidR="00D83E33" w:rsidRPr="00E837F2" w:rsidRDefault="00D83E33" w:rsidP="001B330E">
            <w:pPr>
              <w:widowControl w:val="0"/>
              <w:ind w:left="113" w:hanging="113"/>
              <w:rPr>
                <w:i/>
              </w:rPr>
            </w:pPr>
          </w:p>
        </w:tc>
        <w:tc>
          <w:tcPr>
            <w:tcW w:w="606" w:type="pct"/>
            <w:vAlign w:val="bottom"/>
          </w:tcPr>
          <w:p w14:paraId="0F6C577C"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4A64E91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C4E13C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A59BAFE"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065707FE" w14:textId="77777777" w:rsidTr="001B330E">
        <w:trPr>
          <w:trHeight w:val="23"/>
        </w:trPr>
        <w:tc>
          <w:tcPr>
            <w:tcW w:w="2576" w:type="pct"/>
            <w:vAlign w:val="bottom"/>
          </w:tcPr>
          <w:p w14:paraId="227B3A8E" w14:textId="77777777" w:rsidR="00D83E33" w:rsidRPr="00E837F2" w:rsidRDefault="00BC4072" w:rsidP="001B330E">
            <w:pPr>
              <w:widowControl w:val="0"/>
              <w:ind w:left="113" w:hanging="113"/>
              <w:rPr>
                <w:i/>
              </w:rPr>
            </w:pPr>
            <w:r w:rsidRPr="00E837F2">
              <w:rPr>
                <w:i/>
              </w:rPr>
              <w:t>Loans to corporate customers at FVTPL</w:t>
            </w:r>
          </w:p>
        </w:tc>
        <w:tc>
          <w:tcPr>
            <w:tcW w:w="606" w:type="pct"/>
            <w:vAlign w:val="bottom"/>
          </w:tcPr>
          <w:p w14:paraId="6C8216E0"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55B47F8B"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88DCE3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32BE759"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9844801" w14:textId="77777777" w:rsidTr="001B330E">
        <w:trPr>
          <w:trHeight w:val="23"/>
        </w:trPr>
        <w:tc>
          <w:tcPr>
            <w:tcW w:w="2576" w:type="pct"/>
            <w:vAlign w:val="bottom"/>
          </w:tcPr>
          <w:p w14:paraId="53DA59C3" w14:textId="77777777" w:rsidR="00D83E33" w:rsidRPr="00E837F2" w:rsidRDefault="00D83E33" w:rsidP="001B330E">
            <w:pPr>
              <w:widowControl w:val="0"/>
              <w:ind w:left="113" w:hanging="113"/>
              <w:rPr>
                <w:i/>
              </w:rPr>
            </w:pPr>
          </w:p>
        </w:tc>
        <w:tc>
          <w:tcPr>
            <w:tcW w:w="606" w:type="pct"/>
            <w:vAlign w:val="bottom"/>
          </w:tcPr>
          <w:p w14:paraId="7AB27A68"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2C0EEF8E"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408D32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19984B0"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0A1529A6" w14:textId="77777777" w:rsidTr="001B330E">
        <w:trPr>
          <w:trHeight w:val="23"/>
        </w:trPr>
        <w:tc>
          <w:tcPr>
            <w:tcW w:w="2576" w:type="pct"/>
            <w:vAlign w:val="bottom"/>
          </w:tcPr>
          <w:p w14:paraId="52CB0FC6" w14:textId="77777777" w:rsidR="00D83E33" w:rsidRPr="00E837F2" w:rsidRDefault="00BC4072" w:rsidP="001B330E">
            <w:pPr>
              <w:widowControl w:val="0"/>
              <w:ind w:left="113" w:hanging="113"/>
            </w:pPr>
            <w:r w:rsidRPr="00E837F2">
              <w:t>Standard lending</w:t>
            </w:r>
          </w:p>
        </w:tc>
        <w:tc>
          <w:tcPr>
            <w:tcW w:w="606" w:type="pct"/>
            <w:vAlign w:val="bottom"/>
          </w:tcPr>
          <w:p w14:paraId="53290EB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926A95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B3B828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50ACADD"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42513170" w14:textId="77777777" w:rsidTr="001B330E">
        <w:trPr>
          <w:trHeight w:val="23"/>
        </w:trPr>
        <w:tc>
          <w:tcPr>
            <w:tcW w:w="2576" w:type="pct"/>
            <w:vAlign w:val="bottom"/>
          </w:tcPr>
          <w:p w14:paraId="68EB82F8" w14:textId="77777777" w:rsidR="00D83E33" w:rsidRPr="00E837F2" w:rsidRDefault="00BC4072" w:rsidP="001B330E">
            <w:pPr>
              <w:widowControl w:val="0"/>
              <w:ind w:left="113" w:hanging="113"/>
            </w:pPr>
            <w:r w:rsidRPr="00E837F2">
              <w:t>Specialised lending</w:t>
            </w:r>
          </w:p>
        </w:tc>
        <w:tc>
          <w:tcPr>
            <w:tcW w:w="606" w:type="pct"/>
            <w:vAlign w:val="bottom"/>
          </w:tcPr>
          <w:p w14:paraId="2E0C50BE"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29824B0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685731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89CCC2A"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AF93D4B" w14:textId="77777777" w:rsidTr="001B330E">
        <w:trPr>
          <w:trHeight w:val="23"/>
        </w:trPr>
        <w:tc>
          <w:tcPr>
            <w:tcW w:w="2576" w:type="pct"/>
            <w:vAlign w:val="bottom"/>
          </w:tcPr>
          <w:p w14:paraId="3FE268C9" w14:textId="77777777" w:rsidR="00D83E33" w:rsidRPr="00E837F2" w:rsidRDefault="00BC4072" w:rsidP="001B330E">
            <w:pPr>
              <w:widowControl w:val="0"/>
              <w:ind w:left="113" w:hanging="113"/>
            </w:pPr>
            <w:r w:rsidRPr="00E837F2">
              <w:t>Loans to sovereigns</w:t>
            </w:r>
          </w:p>
        </w:tc>
        <w:tc>
          <w:tcPr>
            <w:tcW w:w="606" w:type="pct"/>
            <w:vAlign w:val="bottom"/>
          </w:tcPr>
          <w:p w14:paraId="6BDAAB5A"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3EEC8EB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42BAF1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6AE7D592"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188E2C6" w14:textId="77777777" w:rsidTr="001B330E">
        <w:trPr>
          <w:trHeight w:val="23"/>
        </w:trPr>
        <w:tc>
          <w:tcPr>
            <w:tcW w:w="2576" w:type="pct"/>
            <w:vAlign w:val="bottom"/>
          </w:tcPr>
          <w:p w14:paraId="26B15ECF" w14:textId="77777777" w:rsidR="00D83E33" w:rsidRPr="00E837F2" w:rsidRDefault="00BC4072" w:rsidP="001B330E">
            <w:pPr>
              <w:widowControl w:val="0"/>
              <w:ind w:left="113" w:hanging="113"/>
            </w:pPr>
            <w:r w:rsidRPr="00E837F2">
              <w:t>Loans to sub-sovereigns</w:t>
            </w:r>
          </w:p>
        </w:tc>
        <w:tc>
          <w:tcPr>
            <w:tcW w:w="606" w:type="pct"/>
            <w:vAlign w:val="bottom"/>
          </w:tcPr>
          <w:p w14:paraId="7D8EE8A3"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E7FB351"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40F1F3D"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32E47E5"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1C6CA755" w14:textId="77777777" w:rsidTr="001B330E">
        <w:trPr>
          <w:trHeight w:val="23"/>
        </w:trPr>
        <w:tc>
          <w:tcPr>
            <w:tcW w:w="2576" w:type="pct"/>
            <w:vAlign w:val="bottom"/>
          </w:tcPr>
          <w:p w14:paraId="5B70A3D0" w14:textId="77777777" w:rsidR="00D83E33" w:rsidRPr="00E837F2" w:rsidRDefault="00BC4072" w:rsidP="001B330E">
            <w:pPr>
              <w:widowControl w:val="0"/>
              <w:ind w:left="113" w:hanging="113"/>
            </w:pPr>
            <w:r w:rsidRPr="00E837F2">
              <w:t>Loans to SME</w:t>
            </w:r>
          </w:p>
        </w:tc>
        <w:tc>
          <w:tcPr>
            <w:tcW w:w="606" w:type="pct"/>
            <w:vAlign w:val="bottom"/>
          </w:tcPr>
          <w:p w14:paraId="0B495342"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170BC5A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9AA2D6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09C6F74"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3457EC6C" w14:textId="77777777" w:rsidTr="001B330E">
        <w:trPr>
          <w:trHeight w:val="23"/>
        </w:trPr>
        <w:tc>
          <w:tcPr>
            <w:tcW w:w="2576" w:type="pct"/>
            <w:vAlign w:val="bottom"/>
          </w:tcPr>
          <w:p w14:paraId="0F5C3AD4" w14:textId="77777777" w:rsidR="00D83E33" w:rsidRPr="00E837F2" w:rsidRDefault="00BC4072" w:rsidP="001B330E">
            <w:pPr>
              <w:widowControl w:val="0"/>
              <w:ind w:left="113" w:hanging="113"/>
            </w:pPr>
            <w:r w:rsidRPr="00E837F2">
              <w:t>Loans to leasing companies</w:t>
            </w:r>
          </w:p>
        </w:tc>
        <w:tc>
          <w:tcPr>
            <w:tcW w:w="606" w:type="pct"/>
            <w:vAlign w:val="bottom"/>
          </w:tcPr>
          <w:p w14:paraId="60498D6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0C2F068"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18D718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A4997F9"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7E4C1962" w14:textId="77777777" w:rsidTr="001B330E">
        <w:trPr>
          <w:trHeight w:val="23"/>
        </w:trPr>
        <w:tc>
          <w:tcPr>
            <w:tcW w:w="2576" w:type="pct"/>
            <w:vAlign w:val="bottom"/>
          </w:tcPr>
          <w:p w14:paraId="2C15B138" w14:textId="77777777" w:rsidR="00D83E33" w:rsidRPr="00E837F2" w:rsidRDefault="00BC4072" w:rsidP="001B330E">
            <w:pPr>
              <w:widowControl w:val="0"/>
              <w:ind w:left="113" w:hanging="113"/>
            </w:pPr>
            <w:r w:rsidRPr="00E837F2">
              <w:t xml:space="preserve">Reverse sale and repurchase agreements </w:t>
            </w:r>
          </w:p>
        </w:tc>
        <w:tc>
          <w:tcPr>
            <w:tcW w:w="606" w:type="pct"/>
            <w:vAlign w:val="bottom"/>
          </w:tcPr>
          <w:p w14:paraId="573C7DD8"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46B4B2C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D3AE73E"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7C5E76C"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6D13572" w14:textId="77777777" w:rsidTr="001B330E">
        <w:trPr>
          <w:trHeight w:val="23"/>
        </w:trPr>
        <w:tc>
          <w:tcPr>
            <w:tcW w:w="2576" w:type="pct"/>
            <w:vAlign w:val="bottom"/>
          </w:tcPr>
          <w:p w14:paraId="4876CE3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10D3144A"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CBE26B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5DFE70F"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9B02D93"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590B0AD9" w14:textId="77777777" w:rsidTr="001B330E">
        <w:trPr>
          <w:trHeight w:val="23"/>
        </w:trPr>
        <w:tc>
          <w:tcPr>
            <w:tcW w:w="2576" w:type="pct"/>
            <w:vAlign w:val="bottom"/>
          </w:tcPr>
          <w:p w14:paraId="02FC367A" w14:textId="77777777" w:rsidR="00D83E33" w:rsidRPr="00E837F2" w:rsidRDefault="00BC4072" w:rsidP="001B330E">
            <w:pPr>
              <w:widowControl w:val="0"/>
              <w:ind w:left="113" w:hanging="113"/>
            </w:pPr>
            <w:r w:rsidRPr="00E837F2">
              <w:rPr>
                <w:i/>
              </w:rPr>
              <w:t>Loans to individuals at FVTPL</w:t>
            </w:r>
          </w:p>
        </w:tc>
        <w:tc>
          <w:tcPr>
            <w:tcW w:w="606" w:type="pct"/>
            <w:vAlign w:val="bottom"/>
          </w:tcPr>
          <w:p w14:paraId="20C2948E"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3C9C1D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E1E0CB4"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71DA26AF"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8EE4103" w14:textId="77777777" w:rsidTr="001B330E">
        <w:trPr>
          <w:trHeight w:val="23"/>
        </w:trPr>
        <w:tc>
          <w:tcPr>
            <w:tcW w:w="2576" w:type="pct"/>
            <w:vAlign w:val="bottom"/>
          </w:tcPr>
          <w:p w14:paraId="17AC09AA" w14:textId="77777777" w:rsidR="00D83E33" w:rsidRPr="00E837F2" w:rsidRDefault="00D83E33" w:rsidP="001B330E">
            <w:pPr>
              <w:widowControl w:val="0"/>
              <w:ind w:left="113" w:hanging="113"/>
              <w:rPr>
                <w:i/>
              </w:rPr>
            </w:pPr>
          </w:p>
        </w:tc>
        <w:tc>
          <w:tcPr>
            <w:tcW w:w="606" w:type="pct"/>
            <w:vAlign w:val="bottom"/>
          </w:tcPr>
          <w:p w14:paraId="3DFB88A3"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75B5B2C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5699374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4EEB0366"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516580B" w14:textId="77777777" w:rsidTr="001B330E">
        <w:trPr>
          <w:trHeight w:val="23"/>
        </w:trPr>
        <w:tc>
          <w:tcPr>
            <w:tcW w:w="2576" w:type="pct"/>
            <w:vAlign w:val="bottom"/>
          </w:tcPr>
          <w:p w14:paraId="5740EB94" w14:textId="77777777" w:rsidR="00D83E33" w:rsidRPr="00E837F2" w:rsidRDefault="00BC4072" w:rsidP="001B330E">
            <w:pPr>
              <w:widowControl w:val="0"/>
              <w:ind w:left="113" w:hanging="113"/>
            </w:pPr>
            <w:r w:rsidRPr="00E837F2">
              <w:t xml:space="preserve">Mortgage loans </w:t>
            </w:r>
          </w:p>
        </w:tc>
        <w:tc>
          <w:tcPr>
            <w:tcW w:w="606" w:type="pct"/>
            <w:vAlign w:val="bottom"/>
          </w:tcPr>
          <w:p w14:paraId="709A5E49"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6D200855"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0ECA1CA"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1076E12"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52F0646" w14:textId="77777777" w:rsidTr="001B330E">
        <w:trPr>
          <w:trHeight w:val="23"/>
        </w:trPr>
        <w:tc>
          <w:tcPr>
            <w:tcW w:w="2576" w:type="pct"/>
            <w:vAlign w:val="bottom"/>
          </w:tcPr>
          <w:p w14:paraId="253C897C" w14:textId="77777777" w:rsidR="00D83E33" w:rsidRPr="00E837F2" w:rsidRDefault="00BC4072" w:rsidP="001B330E">
            <w:pPr>
              <w:widowControl w:val="0"/>
              <w:ind w:left="113" w:hanging="113"/>
            </w:pPr>
            <w:r w:rsidRPr="00E837F2">
              <w:t>Consumer loans</w:t>
            </w:r>
          </w:p>
        </w:tc>
        <w:tc>
          <w:tcPr>
            <w:tcW w:w="606" w:type="pct"/>
            <w:vAlign w:val="bottom"/>
          </w:tcPr>
          <w:p w14:paraId="1E730FFF"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3F397B16"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1B33BF7B"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B4585E9"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6ED881FF" w14:textId="77777777" w:rsidTr="001B330E">
        <w:trPr>
          <w:trHeight w:val="23"/>
        </w:trPr>
        <w:tc>
          <w:tcPr>
            <w:tcW w:w="2576" w:type="pct"/>
            <w:vAlign w:val="bottom"/>
          </w:tcPr>
          <w:p w14:paraId="181081FA" w14:textId="77777777" w:rsidR="00D83E33" w:rsidRPr="00E837F2" w:rsidRDefault="00BC4072" w:rsidP="001B330E">
            <w:pPr>
              <w:widowControl w:val="0"/>
              <w:ind w:left="113" w:hanging="113"/>
            </w:pPr>
            <w:r w:rsidRPr="00E837F2">
              <w:t>Car loans</w:t>
            </w:r>
          </w:p>
        </w:tc>
        <w:tc>
          <w:tcPr>
            <w:tcW w:w="606" w:type="pct"/>
            <w:vAlign w:val="bottom"/>
          </w:tcPr>
          <w:p w14:paraId="4C56FF6E"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4091EDDC"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395EF50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AEADACC"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2264CAAB" w14:textId="77777777" w:rsidTr="001B330E">
        <w:trPr>
          <w:trHeight w:val="23"/>
        </w:trPr>
        <w:tc>
          <w:tcPr>
            <w:tcW w:w="2576" w:type="pct"/>
            <w:vAlign w:val="bottom"/>
          </w:tcPr>
          <w:p w14:paraId="03001531" w14:textId="77777777" w:rsidR="00D83E33" w:rsidRPr="00E837F2" w:rsidRDefault="00BC4072" w:rsidP="001B330E">
            <w:pPr>
              <w:widowControl w:val="0"/>
              <w:ind w:left="113" w:hanging="113"/>
            </w:pPr>
            <w:r w:rsidRPr="00E837F2">
              <w:t xml:space="preserve">Credit cards </w:t>
            </w:r>
          </w:p>
        </w:tc>
        <w:tc>
          <w:tcPr>
            <w:tcW w:w="606" w:type="pct"/>
            <w:vAlign w:val="bottom"/>
          </w:tcPr>
          <w:p w14:paraId="3539AE86" w14:textId="77777777" w:rsidR="00D83E33" w:rsidRPr="00E837F2" w:rsidRDefault="00D83E33" w:rsidP="001B330E">
            <w:pPr>
              <w:widowControl w:val="0"/>
              <w:pBdr>
                <w:top w:val="nil"/>
                <w:left w:val="nil"/>
                <w:bottom w:val="nil"/>
                <w:right w:val="nil"/>
                <w:between w:val="nil"/>
              </w:pBdr>
              <w:rPr>
                <w:color w:val="000000"/>
              </w:rPr>
            </w:pPr>
          </w:p>
        </w:tc>
        <w:tc>
          <w:tcPr>
            <w:tcW w:w="606" w:type="pct"/>
            <w:vAlign w:val="bottom"/>
          </w:tcPr>
          <w:p w14:paraId="00E92D97"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0C86BB59" w14:textId="77777777" w:rsidR="00D83E33" w:rsidRPr="00E837F2" w:rsidRDefault="00D83E33" w:rsidP="001B330E">
            <w:pPr>
              <w:widowControl w:val="0"/>
              <w:pBdr>
                <w:top w:val="nil"/>
                <w:left w:val="nil"/>
                <w:bottom w:val="nil"/>
                <w:right w:val="nil"/>
                <w:between w:val="nil"/>
              </w:pBdr>
              <w:rPr>
                <w:color w:val="000000"/>
              </w:rPr>
            </w:pPr>
          </w:p>
        </w:tc>
        <w:tc>
          <w:tcPr>
            <w:tcW w:w="606" w:type="pct"/>
          </w:tcPr>
          <w:p w14:paraId="27CDEF5F" w14:textId="77777777" w:rsidR="00D83E33" w:rsidRPr="00E837F2" w:rsidRDefault="00D83E33" w:rsidP="001B330E">
            <w:pPr>
              <w:widowControl w:val="0"/>
              <w:pBdr>
                <w:top w:val="nil"/>
                <w:left w:val="nil"/>
                <w:bottom w:val="nil"/>
                <w:right w:val="nil"/>
                <w:between w:val="nil"/>
              </w:pBdr>
              <w:rPr>
                <w:color w:val="000000"/>
              </w:rPr>
            </w:pPr>
          </w:p>
        </w:tc>
      </w:tr>
      <w:tr w:rsidR="00D83E33" w:rsidRPr="00E837F2" w14:paraId="4E7AC7CE" w14:textId="77777777" w:rsidTr="001B330E">
        <w:trPr>
          <w:trHeight w:val="23"/>
        </w:trPr>
        <w:tc>
          <w:tcPr>
            <w:tcW w:w="2576" w:type="pct"/>
            <w:tcBorders>
              <w:bottom w:val="single" w:sz="12" w:space="0" w:color="000000"/>
            </w:tcBorders>
          </w:tcPr>
          <w:p w14:paraId="0FBFD85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4DDAD450" w14:textId="77777777" w:rsidR="00D83E33" w:rsidRPr="00E837F2" w:rsidRDefault="00D83E33" w:rsidP="001B330E">
            <w:pPr>
              <w:widowControl w:val="0"/>
              <w:rPr>
                <w:b/>
              </w:rPr>
            </w:pPr>
          </w:p>
        </w:tc>
        <w:tc>
          <w:tcPr>
            <w:tcW w:w="606" w:type="pct"/>
            <w:tcBorders>
              <w:bottom w:val="single" w:sz="12" w:space="0" w:color="000000"/>
            </w:tcBorders>
            <w:vAlign w:val="bottom"/>
          </w:tcPr>
          <w:p w14:paraId="5F0FCF53" w14:textId="77777777" w:rsidR="00D83E33" w:rsidRPr="00E837F2" w:rsidRDefault="00D83E33" w:rsidP="001B330E">
            <w:pPr>
              <w:widowControl w:val="0"/>
              <w:rPr>
                <w:b/>
              </w:rPr>
            </w:pPr>
          </w:p>
        </w:tc>
        <w:tc>
          <w:tcPr>
            <w:tcW w:w="606" w:type="pct"/>
            <w:tcBorders>
              <w:bottom w:val="single" w:sz="12" w:space="0" w:color="000000"/>
            </w:tcBorders>
          </w:tcPr>
          <w:p w14:paraId="7C91859B" w14:textId="77777777" w:rsidR="00D83E33" w:rsidRPr="00E837F2" w:rsidRDefault="00D83E33" w:rsidP="001B330E">
            <w:pPr>
              <w:widowControl w:val="0"/>
              <w:rPr>
                <w:b/>
              </w:rPr>
            </w:pPr>
          </w:p>
        </w:tc>
        <w:tc>
          <w:tcPr>
            <w:tcW w:w="606" w:type="pct"/>
            <w:tcBorders>
              <w:bottom w:val="single" w:sz="12" w:space="0" w:color="000000"/>
            </w:tcBorders>
          </w:tcPr>
          <w:p w14:paraId="75BF7F12" w14:textId="77777777" w:rsidR="00D83E33" w:rsidRPr="00E837F2" w:rsidRDefault="00D83E33" w:rsidP="001B330E">
            <w:pPr>
              <w:widowControl w:val="0"/>
              <w:rPr>
                <w:b/>
              </w:rPr>
            </w:pPr>
          </w:p>
        </w:tc>
      </w:tr>
    </w:tbl>
    <w:p w14:paraId="33AF9543" w14:textId="3AB7D68F" w:rsidR="00D83E33" w:rsidRDefault="00BC4072" w:rsidP="001B330E">
      <w:pPr>
        <w:pStyle w:val="Continued"/>
      </w:pPr>
      <w:r>
        <w:lastRenderedPageBreak/>
        <w:t>11</w:t>
      </w:r>
      <w:r>
        <w:tab/>
        <w:t>Loans and Advances to Customers (Continued)</w:t>
      </w:r>
    </w:p>
    <w:p w14:paraId="71FDFC7C" w14:textId="01D74700" w:rsidR="00D83E33" w:rsidRDefault="00BC4072" w:rsidP="001B330E">
      <w:pPr>
        <w:widowControl w:val="0"/>
        <w:spacing w:before="200" w:after="200"/>
        <w:jc w:val="both"/>
        <w:rPr>
          <w:sz w:val="20"/>
          <w:szCs w:val="20"/>
        </w:rPr>
      </w:pPr>
      <w:r>
        <w:rPr>
          <w:sz w:val="20"/>
          <w:szCs w:val="20"/>
        </w:rPr>
        <w:t xml:space="preserve">The Group obtains collateral valuation at the time of granting loans and generally updates it every </w:t>
      </w:r>
      <w:r>
        <w:rPr>
          <w:color w:val="0000FF"/>
          <w:sz w:val="20"/>
          <w:szCs w:val="20"/>
        </w:rPr>
        <w:t>[two to three]</w:t>
      </w:r>
      <w:r>
        <w:rPr>
          <w:sz w:val="20"/>
          <w:szCs w:val="20"/>
        </w:rPr>
        <w:t xml:space="preserve"> years, depending on the significance of the loan exposure. The values of collateral considered in this disclosure are after a valuation haircut of </w:t>
      </w:r>
      <w:r>
        <w:rPr>
          <w:color w:val="0000FF"/>
          <w:sz w:val="20"/>
          <w:szCs w:val="20"/>
        </w:rPr>
        <w:t>[20-50%]</w:t>
      </w:r>
      <w:r>
        <w:rPr>
          <w:sz w:val="20"/>
          <w:szCs w:val="20"/>
        </w:rPr>
        <w:t xml:space="preserve"> applied to consider liquidity and quality of the pledged assets. </w:t>
      </w:r>
      <w:r>
        <w:rPr>
          <w:i/>
          <w:color w:val="FF0000"/>
          <w:sz w:val="20"/>
          <w:szCs w:val="20"/>
        </w:rPr>
        <w:t>[Expand to describe approach to collateral valuations / collateral policy.]</w:t>
      </w:r>
    </w:p>
    <w:p w14:paraId="37CC1663" w14:textId="034A3A4C" w:rsidR="00D83E33" w:rsidRDefault="00BC4072" w:rsidP="001B330E">
      <w:pPr>
        <w:widowControl w:val="0"/>
        <w:spacing w:before="200" w:after="200"/>
        <w:jc w:val="both"/>
        <w:rPr>
          <w:sz w:val="20"/>
          <w:szCs w:val="20"/>
        </w:rPr>
      </w:pPr>
      <w:r>
        <w:rPr>
          <w:sz w:val="20"/>
          <w:szCs w:val="20"/>
        </w:rPr>
        <w:t>The outstanding contractual amounts of loans and advances to customers written off that are still subject to enforcement activity was as follows at 31</w:t>
      </w:r>
      <w:r w:rsidR="00181687">
        <w:rPr>
          <w:sz w:val="20"/>
          <w:szCs w:val="20"/>
        </w:rPr>
        <w:t> December </w:t>
      </w:r>
      <w:r w:rsidR="00541EBC">
        <w:rPr>
          <w:sz w:val="20"/>
          <w:szCs w:val="20"/>
        </w:rPr>
        <w:t>2024</w:t>
      </w:r>
      <w:r>
        <w:rPr>
          <w:sz w:val="20"/>
          <w:szCs w:val="20"/>
        </w:rPr>
        <w:t xml:space="preserve"> and 31</w:t>
      </w:r>
      <w:r w:rsidR="00181687">
        <w:rPr>
          <w:sz w:val="20"/>
          <w:szCs w:val="20"/>
        </w:rPr>
        <w:t> December </w:t>
      </w:r>
      <w:r w:rsidR="00541EBC">
        <w:rPr>
          <w:sz w:val="20"/>
          <w:szCs w:val="20"/>
        </w:rPr>
        <w:t>2023</w:t>
      </w:r>
      <w:r>
        <w:rPr>
          <w:sz w:val="20"/>
          <w:szCs w:val="20"/>
        </w:rPr>
        <w:t>:</w:t>
      </w:r>
    </w:p>
    <w:tbl>
      <w:tblPr>
        <w:tblStyle w:val="affffff7"/>
        <w:tblW w:w="5000" w:type="pct"/>
        <w:tblLayout w:type="fixed"/>
        <w:tblLook w:val="0000" w:firstRow="0" w:lastRow="0" w:firstColumn="0" w:lastColumn="0" w:noHBand="0" w:noVBand="0"/>
      </w:tblPr>
      <w:tblGrid>
        <w:gridCol w:w="5103"/>
        <w:gridCol w:w="1418"/>
        <w:gridCol w:w="1418"/>
        <w:gridCol w:w="1416"/>
      </w:tblGrid>
      <w:tr w:rsidR="00D83E33" w:rsidRPr="00E837F2" w14:paraId="529A666E" w14:textId="77777777" w:rsidTr="001B330E">
        <w:trPr>
          <w:trHeight w:val="23"/>
        </w:trPr>
        <w:tc>
          <w:tcPr>
            <w:tcW w:w="2727" w:type="pct"/>
            <w:tcBorders>
              <w:bottom w:val="single" w:sz="4" w:space="0" w:color="000000"/>
            </w:tcBorders>
            <w:shd w:val="clear" w:color="auto" w:fill="auto"/>
            <w:vAlign w:val="bottom"/>
          </w:tcPr>
          <w:p w14:paraId="2B8398D3" w14:textId="46545193" w:rsidR="00D83E33" w:rsidRPr="00E837F2"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758" w:type="pct"/>
            <w:tcBorders>
              <w:bottom w:val="single" w:sz="4" w:space="0" w:color="000000"/>
            </w:tcBorders>
            <w:shd w:val="clear" w:color="auto" w:fill="auto"/>
          </w:tcPr>
          <w:p w14:paraId="728AADB7" w14:textId="77777777" w:rsidR="00D83E33" w:rsidRPr="00E837F2" w:rsidRDefault="00D83E33" w:rsidP="001B330E">
            <w:pPr>
              <w:widowControl w:val="0"/>
              <w:pBdr>
                <w:top w:val="nil"/>
                <w:left w:val="nil"/>
                <w:bottom w:val="nil"/>
                <w:right w:val="nil"/>
                <w:between w:val="nil"/>
              </w:pBdr>
              <w:jc w:val="right"/>
              <w:rPr>
                <w:b/>
                <w:color w:val="000000"/>
              </w:rPr>
            </w:pPr>
          </w:p>
        </w:tc>
        <w:tc>
          <w:tcPr>
            <w:tcW w:w="758" w:type="pct"/>
            <w:tcBorders>
              <w:bottom w:val="single" w:sz="4" w:space="0" w:color="000000"/>
            </w:tcBorders>
          </w:tcPr>
          <w:p w14:paraId="4D37483B" w14:textId="51AB27F6"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 </w:t>
            </w:r>
            <w:r w:rsidR="00541EBC">
              <w:rPr>
                <w:b/>
                <w:color w:val="000000"/>
              </w:rPr>
              <w:t>2024</w:t>
            </w:r>
          </w:p>
        </w:tc>
        <w:tc>
          <w:tcPr>
            <w:tcW w:w="757" w:type="pct"/>
            <w:tcBorders>
              <w:bottom w:val="single" w:sz="4" w:space="0" w:color="000000"/>
            </w:tcBorders>
          </w:tcPr>
          <w:p w14:paraId="5CDAD7EC" w14:textId="2E28E49C"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 </w:t>
            </w:r>
            <w:r w:rsidR="00541EBC">
              <w:rPr>
                <w:b/>
                <w:color w:val="000000"/>
              </w:rPr>
              <w:t>2023</w:t>
            </w:r>
          </w:p>
        </w:tc>
      </w:tr>
      <w:tr w:rsidR="00D83E33" w:rsidRPr="00E837F2" w14:paraId="0FA39D4E" w14:textId="77777777" w:rsidTr="001B330E">
        <w:trPr>
          <w:trHeight w:val="23"/>
        </w:trPr>
        <w:tc>
          <w:tcPr>
            <w:tcW w:w="2727" w:type="pct"/>
            <w:tcBorders>
              <w:top w:val="single" w:sz="4" w:space="0" w:color="000000"/>
            </w:tcBorders>
            <w:shd w:val="clear" w:color="auto" w:fill="auto"/>
            <w:vAlign w:val="bottom"/>
          </w:tcPr>
          <w:p w14:paraId="085860CE" w14:textId="77777777" w:rsidR="00D83E33" w:rsidRPr="001B330E" w:rsidRDefault="00D83E33" w:rsidP="001B330E">
            <w:pPr>
              <w:widowControl w:val="0"/>
              <w:pBdr>
                <w:top w:val="nil"/>
                <w:left w:val="nil"/>
                <w:bottom w:val="nil"/>
                <w:right w:val="nil"/>
                <w:between w:val="nil"/>
              </w:pBdr>
              <w:ind w:left="113" w:hanging="113"/>
              <w:rPr>
                <w:color w:val="000000"/>
                <w:szCs w:val="16"/>
              </w:rPr>
            </w:pPr>
          </w:p>
        </w:tc>
        <w:tc>
          <w:tcPr>
            <w:tcW w:w="758" w:type="pct"/>
            <w:tcBorders>
              <w:top w:val="single" w:sz="4" w:space="0" w:color="000000"/>
            </w:tcBorders>
            <w:shd w:val="clear" w:color="auto" w:fill="auto"/>
            <w:vAlign w:val="bottom"/>
          </w:tcPr>
          <w:p w14:paraId="41868651" w14:textId="77777777" w:rsidR="00D83E33" w:rsidRPr="001B330E" w:rsidRDefault="00D83E33" w:rsidP="001B330E">
            <w:pPr>
              <w:widowControl w:val="0"/>
              <w:jc w:val="right"/>
              <w:rPr>
                <w:szCs w:val="16"/>
              </w:rPr>
            </w:pPr>
          </w:p>
        </w:tc>
        <w:tc>
          <w:tcPr>
            <w:tcW w:w="758" w:type="pct"/>
            <w:tcBorders>
              <w:top w:val="single" w:sz="4" w:space="0" w:color="000000"/>
            </w:tcBorders>
          </w:tcPr>
          <w:p w14:paraId="60DBB634" w14:textId="77777777" w:rsidR="00D83E33" w:rsidRPr="001B330E" w:rsidRDefault="00D83E33" w:rsidP="001B330E">
            <w:pPr>
              <w:widowControl w:val="0"/>
              <w:jc w:val="right"/>
              <w:rPr>
                <w:szCs w:val="16"/>
              </w:rPr>
            </w:pPr>
          </w:p>
        </w:tc>
        <w:tc>
          <w:tcPr>
            <w:tcW w:w="757" w:type="pct"/>
            <w:tcBorders>
              <w:top w:val="single" w:sz="4" w:space="0" w:color="000000"/>
            </w:tcBorders>
          </w:tcPr>
          <w:p w14:paraId="67E9CE7E" w14:textId="77777777" w:rsidR="00D83E33" w:rsidRPr="001B330E" w:rsidRDefault="00D83E33" w:rsidP="001B330E">
            <w:pPr>
              <w:widowControl w:val="0"/>
              <w:jc w:val="right"/>
              <w:rPr>
                <w:szCs w:val="16"/>
              </w:rPr>
            </w:pPr>
          </w:p>
        </w:tc>
      </w:tr>
      <w:tr w:rsidR="00D83E33" w:rsidRPr="00E837F2" w14:paraId="6ABFD4C1" w14:textId="77777777" w:rsidTr="001B330E">
        <w:trPr>
          <w:trHeight w:val="23"/>
        </w:trPr>
        <w:tc>
          <w:tcPr>
            <w:tcW w:w="2727" w:type="pct"/>
            <w:shd w:val="clear" w:color="auto" w:fill="auto"/>
            <w:vAlign w:val="bottom"/>
          </w:tcPr>
          <w:p w14:paraId="12D67189" w14:textId="77777777" w:rsidR="00D83E33" w:rsidRPr="00E837F2" w:rsidRDefault="00BC4072" w:rsidP="001B330E">
            <w:pPr>
              <w:widowControl w:val="0"/>
              <w:ind w:left="113" w:hanging="113"/>
            </w:pPr>
            <w:r w:rsidRPr="00E837F2">
              <w:rPr>
                <w:i/>
              </w:rPr>
              <w:t>Loans to corporate customers</w:t>
            </w:r>
          </w:p>
        </w:tc>
        <w:tc>
          <w:tcPr>
            <w:tcW w:w="758" w:type="pct"/>
            <w:shd w:val="clear" w:color="auto" w:fill="auto"/>
            <w:vAlign w:val="bottom"/>
          </w:tcPr>
          <w:p w14:paraId="47CE5116" w14:textId="77777777" w:rsidR="00D83E33" w:rsidRPr="00E837F2" w:rsidRDefault="00D83E33" w:rsidP="001B330E">
            <w:pPr>
              <w:widowControl w:val="0"/>
              <w:jc w:val="right"/>
            </w:pPr>
          </w:p>
        </w:tc>
        <w:tc>
          <w:tcPr>
            <w:tcW w:w="758" w:type="pct"/>
          </w:tcPr>
          <w:p w14:paraId="51099B4C" w14:textId="77777777" w:rsidR="00D83E33" w:rsidRPr="00E837F2" w:rsidRDefault="00D83E33" w:rsidP="001B330E">
            <w:pPr>
              <w:widowControl w:val="0"/>
              <w:jc w:val="right"/>
            </w:pPr>
          </w:p>
        </w:tc>
        <w:tc>
          <w:tcPr>
            <w:tcW w:w="757" w:type="pct"/>
          </w:tcPr>
          <w:p w14:paraId="7897986F" w14:textId="77777777" w:rsidR="00D83E33" w:rsidRPr="00E837F2" w:rsidRDefault="00D83E33" w:rsidP="001B330E">
            <w:pPr>
              <w:widowControl w:val="0"/>
              <w:jc w:val="right"/>
            </w:pPr>
          </w:p>
        </w:tc>
      </w:tr>
      <w:tr w:rsidR="00D83E33" w:rsidRPr="00E837F2" w14:paraId="2AB5F6EE" w14:textId="77777777" w:rsidTr="001B330E">
        <w:trPr>
          <w:trHeight w:val="23"/>
        </w:trPr>
        <w:tc>
          <w:tcPr>
            <w:tcW w:w="2727" w:type="pct"/>
            <w:shd w:val="clear" w:color="auto" w:fill="auto"/>
            <w:vAlign w:val="bottom"/>
          </w:tcPr>
          <w:p w14:paraId="5C51E8D2" w14:textId="77777777" w:rsidR="00D83E33" w:rsidRPr="001B330E" w:rsidRDefault="00D83E33" w:rsidP="001B330E">
            <w:pPr>
              <w:widowControl w:val="0"/>
              <w:ind w:left="113" w:hanging="113"/>
              <w:rPr>
                <w:i/>
                <w:szCs w:val="16"/>
              </w:rPr>
            </w:pPr>
          </w:p>
        </w:tc>
        <w:tc>
          <w:tcPr>
            <w:tcW w:w="758" w:type="pct"/>
            <w:shd w:val="clear" w:color="auto" w:fill="auto"/>
            <w:vAlign w:val="bottom"/>
          </w:tcPr>
          <w:p w14:paraId="4D5DB208" w14:textId="77777777" w:rsidR="00D83E33" w:rsidRPr="001B330E" w:rsidRDefault="00D83E33" w:rsidP="001B330E">
            <w:pPr>
              <w:widowControl w:val="0"/>
              <w:jc w:val="right"/>
              <w:rPr>
                <w:szCs w:val="16"/>
              </w:rPr>
            </w:pPr>
          </w:p>
        </w:tc>
        <w:tc>
          <w:tcPr>
            <w:tcW w:w="758" w:type="pct"/>
          </w:tcPr>
          <w:p w14:paraId="1E83AC68" w14:textId="77777777" w:rsidR="00D83E33" w:rsidRPr="001B330E" w:rsidRDefault="00D83E33" w:rsidP="001B330E">
            <w:pPr>
              <w:widowControl w:val="0"/>
              <w:jc w:val="right"/>
              <w:rPr>
                <w:szCs w:val="16"/>
              </w:rPr>
            </w:pPr>
          </w:p>
        </w:tc>
        <w:tc>
          <w:tcPr>
            <w:tcW w:w="757" w:type="pct"/>
          </w:tcPr>
          <w:p w14:paraId="3C79E0E8" w14:textId="77777777" w:rsidR="00D83E33" w:rsidRPr="001B330E" w:rsidRDefault="00D83E33" w:rsidP="001B330E">
            <w:pPr>
              <w:widowControl w:val="0"/>
              <w:jc w:val="right"/>
              <w:rPr>
                <w:szCs w:val="16"/>
              </w:rPr>
            </w:pPr>
          </w:p>
        </w:tc>
      </w:tr>
      <w:tr w:rsidR="00D83E33" w:rsidRPr="00E837F2" w14:paraId="002FE4B1" w14:textId="77777777" w:rsidTr="001B330E">
        <w:trPr>
          <w:trHeight w:val="23"/>
        </w:trPr>
        <w:tc>
          <w:tcPr>
            <w:tcW w:w="2727" w:type="pct"/>
            <w:shd w:val="clear" w:color="auto" w:fill="auto"/>
            <w:vAlign w:val="bottom"/>
          </w:tcPr>
          <w:p w14:paraId="21CEC95A" w14:textId="77777777" w:rsidR="00D83E33" w:rsidRPr="00E837F2" w:rsidRDefault="00BC4072" w:rsidP="001B330E">
            <w:pPr>
              <w:widowControl w:val="0"/>
              <w:ind w:left="113" w:hanging="113"/>
            </w:pPr>
            <w:r w:rsidRPr="00E837F2">
              <w:t>Standard lending</w:t>
            </w:r>
          </w:p>
        </w:tc>
        <w:tc>
          <w:tcPr>
            <w:tcW w:w="758" w:type="pct"/>
            <w:shd w:val="clear" w:color="auto" w:fill="auto"/>
            <w:vAlign w:val="bottom"/>
          </w:tcPr>
          <w:p w14:paraId="150F40B7" w14:textId="77777777" w:rsidR="00D83E33" w:rsidRPr="00E837F2" w:rsidRDefault="00D83E33" w:rsidP="001B330E">
            <w:pPr>
              <w:widowControl w:val="0"/>
              <w:jc w:val="right"/>
            </w:pPr>
          </w:p>
        </w:tc>
        <w:tc>
          <w:tcPr>
            <w:tcW w:w="758" w:type="pct"/>
          </w:tcPr>
          <w:p w14:paraId="053256BE" w14:textId="77777777" w:rsidR="00D83E33" w:rsidRPr="00E837F2" w:rsidRDefault="00D83E33" w:rsidP="001B330E">
            <w:pPr>
              <w:widowControl w:val="0"/>
              <w:jc w:val="right"/>
            </w:pPr>
          </w:p>
        </w:tc>
        <w:tc>
          <w:tcPr>
            <w:tcW w:w="757" w:type="pct"/>
          </w:tcPr>
          <w:p w14:paraId="77367B94" w14:textId="77777777" w:rsidR="00D83E33" w:rsidRPr="00E837F2" w:rsidRDefault="00D83E33" w:rsidP="001B330E">
            <w:pPr>
              <w:widowControl w:val="0"/>
              <w:jc w:val="right"/>
            </w:pPr>
          </w:p>
        </w:tc>
      </w:tr>
      <w:tr w:rsidR="00D83E33" w:rsidRPr="00E837F2" w14:paraId="3BB7ABB5" w14:textId="77777777" w:rsidTr="001B330E">
        <w:trPr>
          <w:trHeight w:val="23"/>
        </w:trPr>
        <w:tc>
          <w:tcPr>
            <w:tcW w:w="2727" w:type="pct"/>
            <w:shd w:val="clear" w:color="auto" w:fill="auto"/>
            <w:vAlign w:val="bottom"/>
          </w:tcPr>
          <w:p w14:paraId="4864FA98" w14:textId="77777777" w:rsidR="00D83E33" w:rsidRPr="00E837F2" w:rsidRDefault="00BC4072" w:rsidP="001B330E">
            <w:pPr>
              <w:widowControl w:val="0"/>
              <w:ind w:left="113" w:hanging="113"/>
            </w:pPr>
            <w:r w:rsidRPr="00E837F2">
              <w:t>Specialised lending</w:t>
            </w:r>
          </w:p>
        </w:tc>
        <w:tc>
          <w:tcPr>
            <w:tcW w:w="758" w:type="pct"/>
            <w:shd w:val="clear" w:color="auto" w:fill="auto"/>
            <w:vAlign w:val="bottom"/>
          </w:tcPr>
          <w:p w14:paraId="64EE7E12" w14:textId="77777777" w:rsidR="00D83E33" w:rsidRPr="00E837F2" w:rsidRDefault="00D83E33" w:rsidP="001B330E">
            <w:pPr>
              <w:widowControl w:val="0"/>
              <w:jc w:val="right"/>
            </w:pPr>
          </w:p>
        </w:tc>
        <w:tc>
          <w:tcPr>
            <w:tcW w:w="758" w:type="pct"/>
          </w:tcPr>
          <w:p w14:paraId="2C67737F" w14:textId="77777777" w:rsidR="00D83E33" w:rsidRPr="00E837F2" w:rsidRDefault="00D83E33" w:rsidP="001B330E">
            <w:pPr>
              <w:widowControl w:val="0"/>
              <w:jc w:val="right"/>
            </w:pPr>
          </w:p>
        </w:tc>
        <w:tc>
          <w:tcPr>
            <w:tcW w:w="757" w:type="pct"/>
          </w:tcPr>
          <w:p w14:paraId="17C6ABC0" w14:textId="77777777" w:rsidR="00D83E33" w:rsidRPr="00E837F2" w:rsidRDefault="00D83E33" w:rsidP="001B330E">
            <w:pPr>
              <w:widowControl w:val="0"/>
              <w:jc w:val="right"/>
            </w:pPr>
          </w:p>
        </w:tc>
      </w:tr>
      <w:tr w:rsidR="00D83E33" w:rsidRPr="00E837F2" w14:paraId="33666E73" w14:textId="77777777" w:rsidTr="001B330E">
        <w:trPr>
          <w:trHeight w:val="23"/>
        </w:trPr>
        <w:tc>
          <w:tcPr>
            <w:tcW w:w="2727" w:type="pct"/>
            <w:shd w:val="clear" w:color="auto" w:fill="auto"/>
            <w:vAlign w:val="bottom"/>
          </w:tcPr>
          <w:p w14:paraId="1043191F" w14:textId="77777777" w:rsidR="00D83E33" w:rsidRPr="00E837F2" w:rsidRDefault="00BC4072" w:rsidP="001B330E">
            <w:pPr>
              <w:widowControl w:val="0"/>
              <w:ind w:left="113" w:hanging="113"/>
            </w:pPr>
            <w:r w:rsidRPr="00E837F2">
              <w:t>Loans to sovereigns</w:t>
            </w:r>
          </w:p>
        </w:tc>
        <w:tc>
          <w:tcPr>
            <w:tcW w:w="758" w:type="pct"/>
            <w:shd w:val="clear" w:color="auto" w:fill="auto"/>
            <w:vAlign w:val="bottom"/>
          </w:tcPr>
          <w:p w14:paraId="79276FFB" w14:textId="77777777" w:rsidR="00D83E33" w:rsidRPr="00E837F2" w:rsidRDefault="00D83E33" w:rsidP="001B330E">
            <w:pPr>
              <w:widowControl w:val="0"/>
              <w:jc w:val="right"/>
            </w:pPr>
          </w:p>
        </w:tc>
        <w:tc>
          <w:tcPr>
            <w:tcW w:w="758" w:type="pct"/>
          </w:tcPr>
          <w:p w14:paraId="78FFF973" w14:textId="77777777" w:rsidR="00D83E33" w:rsidRPr="00E837F2" w:rsidRDefault="00D83E33" w:rsidP="001B330E">
            <w:pPr>
              <w:widowControl w:val="0"/>
              <w:jc w:val="right"/>
            </w:pPr>
          </w:p>
        </w:tc>
        <w:tc>
          <w:tcPr>
            <w:tcW w:w="757" w:type="pct"/>
          </w:tcPr>
          <w:p w14:paraId="0F11A7FE" w14:textId="77777777" w:rsidR="00D83E33" w:rsidRPr="00E837F2" w:rsidRDefault="00D83E33" w:rsidP="001B330E">
            <w:pPr>
              <w:widowControl w:val="0"/>
              <w:jc w:val="right"/>
            </w:pPr>
          </w:p>
        </w:tc>
      </w:tr>
      <w:tr w:rsidR="00D83E33" w:rsidRPr="00E837F2" w14:paraId="7FB5BAE3" w14:textId="77777777" w:rsidTr="001B330E">
        <w:trPr>
          <w:trHeight w:val="23"/>
        </w:trPr>
        <w:tc>
          <w:tcPr>
            <w:tcW w:w="2727" w:type="pct"/>
            <w:shd w:val="clear" w:color="auto" w:fill="auto"/>
            <w:vAlign w:val="bottom"/>
          </w:tcPr>
          <w:p w14:paraId="7BA80DF0" w14:textId="77777777" w:rsidR="00D83E33" w:rsidRPr="00E837F2" w:rsidRDefault="00BC4072" w:rsidP="001B330E">
            <w:pPr>
              <w:widowControl w:val="0"/>
              <w:ind w:left="113" w:hanging="113"/>
            </w:pPr>
            <w:r w:rsidRPr="00E837F2">
              <w:t>Loans to sub-sovereigns</w:t>
            </w:r>
          </w:p>
        </w:tc>
        <w:tc>
          <w:tcPr>
            <w:tcW w:w="758" w:type="pct"/>
            <w:shd w:val="clear" w:color="auto" w:fill="auto"/>
            <w:vAlign w:val="bottom"/>
          </w:tcPr>
          <w:p w14:paraId="792B9A0F" w14:textId="77777777" w:rsidR="00D83E33" w:rsidRPr="00E837F2" w:rsidRDefault="00D83E33" w:rsidP="001B330E">
            <w:pPr>
              <w:widowControl w:val="0"/>
              <w:jc w:val="right"/>
            </w:pPr>
          </w:p>
        </w:tc>
        <w:tc>
          <w:tcPr>
            <w:tcW w:w="758" w:type="pct"/>
          </w:tcPr>
          <w:p w14:paraId="18C2249E" w14:textId="77777777" w:rsidR="00D83E33" w:rsidRPr="00E837F2" w:rsidRDefault="00D83E33" w:rsidP="001B330E">
            <w:pPr>
              <w:widowControl w:val="0"/>
              <w:jc w:val="right"/>
            </w:pPr>
          </w:p>
        </w:tc>
        <w:tc>
          <w:tcPr>
            <w:tcW w:w="757" w:type="pct"/>
          </w:tcPr>
          <w:p w14:paraId="6B037BEA" w14:textId="77777777" w:rsidR="00D83E33" w:rsidRPr="00E837F2" w:rsidRDefault="00D83E33" w:rsidP="001B330E">
            <w:pPr>
              <w:widowControl w:val="0"/>
              <w:jc w:val="right"/>
            </w:pPr>
          </w:p>
        </w:tc>
      </w:tr>
      <w:tr w:rsidR="00D83E33" w:rsidRPr="00E837F2" w14:paraId="49B0BABC" w14:textId="77777777" w:rsidTr="001B330E">
        <w:trPr>
          <w:trHeight w:val="23"/>
        </w:trPr>
        <w:tc>
          <w:tcPr>
            <w:tcW w:w="2727" w:type="pct"/>
            <w:shd w:val="clear" w:color="auto" w:fill="auto"/>
            <w:vAlign w:val="bottom"/>
          </w:tcPr>
          <w:p w14:paraId="79CF9278" w14:textId="77777777" w:rsidR="00D83E33" w:rsidRPr="00E837F2" w:rsidRDefault="00BC4072" w:rsidP="001B330E">
            <w:pPr>
              <w:widowControl w:val="0"/>
              <w:ind w:left="113" w:hanging="113"/>
            </w:pPr>
            <w:r w:rsidRPr="00E837F2">
              <w:t>Loans to SME</w:t>
            </w:r>
          </w:p>
        </w:tc>
        <w:tc>
          <w:tcPr>
            <w:tcW w:w="758" w:type="pct"/>
            <w:shd w:val="clear" w:color="auto" w:fill="auto"/>
            <w:vAlign w:val="bottom"/>
          </w:tcPr>
          <w:p w14:paraId="2B32F71D" w14:textId="77777777" w:rsidR="00D83E33" w:rsidRPr="00E837F2" w:rsidRDefault="00D83E33" w:rsidP="001B330E">
            <w:pPr>
              <w:widowControl w:val="0"/>
              <w:jc w:val="right"/>
            </w:pPr>
          </w:p>
        </w:tc>
        <w:tc>
          <w:tcPr>
            <w:tcW w:w="758" w:type="pct"/>
          </w:tcPr>
          <w:p w14:paraId="5D3ECE34" w14:textId="77777777" w:rsidR="00D83E33" w:rsidRPr="00E837F2" w:rsidRDefault="00D83E33" w:rsidP="001B330E">
            <w:pPr>
              <w:widowControl w:val="0"/>
              <w:jc w:val="right"/>
            </w:pPr>
          </w:p>
        </w:tc>
        <w:tc>
          <w:tcPr>
            <w:tcW w:w="757" w:type="pct"/>
          </w:tcPr>
          <w:p w14:paraId="4D798359" w14:textId="77777777" w:rsidR="00D83E33" w:rsidRPr="00E837F2" w:rsidRDefault="00D83E33" w:rsidP="001B330E">
            <w:pPr>
              <w:widowControl w:val="0"/>
              <w:jc w:val="right"/>
            </w:pPr>
          </w:p>
        </w:tc>
      </w:tr>
      <w:tr w:rsidR="00D83E33" w:rsidRPr="00E837F2" w14:paraId="01E14659" w14:textId="77777777" w:rsidTr="001B330E">
        <w:trPr>
          <w:trHeight w:val="23"/>
        </w:trPr>
        <w:tc>
          <w:tcPr>
            <w:tcW w:w="2727" w:type="pct"/>
            <w:shd w:val="clear" w:color="auto" w:fill="auto"/>
            <w:vAlign w:val="bottom"/>
          </w:tcPr>
          <w:p w14:paraId="1BF88A20" w14:textId="77777777" w:rsidR="00D83E33" w:rsidRPr="00E837F2" w:rsidRDefault="00BC4072" w:rsidP="001B330E">
            <w:pPr>
              <w:widowControl w:val="0"/>
              <w:ind w:left="113" w:hanging="113"/>
            </w:pPr>
            <w:r w:rsidRPr="00E837F2">
              <w:t>Loans to leasing companies</w:t>
            </w:r>
          </w:p>
        </w:tc>
        <w:tc>
          <w:tcPr>
            <w:tcW w:w="758" w:type="pct"/>
            <w:shd w:val="clear" w:color="auto" w:fill="auto"/>
            <w:vAlign w:val="bottom"/>
          </w:tcPr>
          <w:p w14:paraId="28D7C093" w14:textId="77777777" w:rsidR="00D83E33" w:rsidRPr="00E837F2" w:rsidRDefault="00D83E33" w:rsidP="001B330E">
            <w:pPr>
              <w:widowControl w:val="0"/>
              <w:jc w:val="right"/>
            </w:pPr>
          </w:p>
        </w:tc>
        <w:tc>
          <w:tcPr>
            <w:tcW w:w="758" w:type="pct"/>
          </w:tcPr>
          <w:p w14:paraId="78037DCC" w14:textId="77777777" w:rsidR="00D83E33" w:rsidRPr="00E837F2" w:rsidRDefault="00D83E33" w:rsidP="001B330E">
            <w:pPr>
              <w:widowControl w:val="0"/>
              <w:jc w:val="right"/>
            </w:pPr>
          </w:p>
        </w:tc>
        <w:tc>
          <w:tcPr>
            <w:tcW w:w="757" w:type="pct"/>
          </w:tcPr>
          <w:p w14:paraId="38FDF65E" w14:textId="77777777" w:rsidR="00D83E33" w:rsidRPr="00E837F2" w:rsidRDefault="00D83E33" w:rsidP="001B330E">
            <w:pPr>
              <w:widowControl w:val="0"/>
              <w:jc w:val="right"/>
            </w:pPr>
          </w:p>
        </w:tc>
      </w:tr>
      <w:tr w:rsidR="00D83E33" w:rsidRPr="00E837F2" w14:paraId="34DF4834" w14:textId="77777777" w:rsidTr="001B330E">
        <w:trPr>
          <w:trHeight w:val="23"/>
        </w:trPr>
        <w:tc>
          <w:tcPr>
            <w:tcW w:w="2727" w:type="pct"/>
            <w:shd w:val="clear" w:color="auto" w:fill="auto"/>
            <w:vAlign w:val="bottom"/>
          </w:tcPr>
          <w:p w14:paraId="3A5481C6" w14:textId="77777777" w:rsidR="00D83E33" w:rsidRPr="00E837F2" w:rsidRDefault="00BC4072" w:rsidP="001B330E">
            <w:pPr>
              <w:widowControl w:val="0"/>
              <w:ind w:left="113" w:hanging="113"/>
            </w:pPr>
            <w:r w:rsidRPr="00E837F2">
              <w:t xml:space="preserve">Reverse sale and repurchase agreements </w:t>
            </w:r>
          </w:p>
        </w:tc>
        <w:tc>
          <w:tcPr>
            <w:tcW w:w="758" w:type="pct"/>
            <w:shd w:val="clear" w:color="auto" w:fill="auto"/>
            <w:vAlign w:val="bottom"/>
          </w:tcPr>
          <w:p w14:paraId="570360AC" w14:textId="77777777" w:rsidR="00D83E33" w:rsidRPr="00E837F2" w:rsidRDefault="00D83E33" w:rsidP="001B330E">
            <w:pPr>
              <w:widowControl w:val="0"/>
              <w:jc w:val="right"/>
            </w:pPr>
          </w:p>
        </w:tc>
        <w:tc>
          <w:tcPr>
            <w:tcW w:w="758" w:type="pct"/>
          </w:tcPr>
          <w:p w14:paraId="37A08BDD" w14:textId="77777777" w:rsidR="00D83E33" w:rsidRPr="00E837F2" w:rsidRDefault="00D83E33" w:rsidP="001B330E">
            <w:pPr>
              <w:widowControl w:val="0"/>
              <w:jc w:val="right"/>
            </w:pPr>
          </w:p>
        </w:tc>
        <w:tc>
          <w:tcPr>
            <w:tcW w:w="757" w:type="pct"/>
          </w:tcPr>
          <w:p w14:paraId="25226DE9" w14:textId="77777777" w:rsidR="00D83E33" w:rsidRPr="00E837F2" w:rsidRDefault="00D83E33" w:rsidP="001B330E">
            <w:pPr>
              <w:widowControl w:val="0"/>
              <w:jc w:val="right"/>
            </w:pPr>
          </w:p>
        </w:tc>
      </w:tr>
      <w:tr w:rsidR="00D83E33" w:rsidRPr="00E837F2" w14:paraId="7BE8C142" w14:textId="77777777" w:rsidTr="001B330E">
        <w:trPr>
          <w:trHeight w:val="23"/>
        </w:trPr>
        <w:tc>
          <w:tcPr>
            <w:tcW w:w="2727" w:type="pct"/>
            <w:shd w:val="clear" w:color="auto" w:fill="auto"/>
            <w:vAlign w:val="bottom"/>
          </w:tcPr>
          <w:p w14:paraId="74E1D472" w14:textId="77777777" w:rsidR="00D83E33" w:rsidRPr="001B330E" w:rsidRDefault="00D83E33" w:rsidP="001B330E">
            <w:pPr>
              <w:widowControl w:val="0"/>
              <w:pBdr>
                <w:top w:val="nil"/>
                <w:left w:val="nil"/>
                <w:bottom w:val="nil"/>
                <w:right w:val="nil"/>
                <w:between w:val="nil"/>
              </w:pBdr>
              <w:ind w:left="113" w:hanging="113"/>
              <w:rPr>
                <w:color w:val="000000"/>
                <w:szCs w:val="16"/>
              </w:rPr>
            </w:pPr>
          </w:p>
        </w:tc>
        <w:tc>
          <w:tcPr>
            <w:tcW w:w="758" w:type="pct"/>
            <w:shd w:val="clear" w:color="auto" w:fill="auto"/>
            <w:vAlign w:val="bottom"/>
          </w:tcPr>
          <w:p w14:paraId="16A0064A"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758" w:type="pct"/>
          </w:tcPr>
          <w:p w14:paraId="141DF584"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757" w:type="pct"/>
          </w:tcPr>
          <w:p w14:paraId="5C607802" w14:textId="77777777" w:rsidR="00D83E33" w:rsidRPr="001B330E" w:rsidRDefault="00D83E33" w:rsidP="001B330E">
            <w:pPr>
              <w:widowControl w:val="0"/>
              <w:pBdr>
                <w:top w:val="nil"/>
                <w:left w:val="nil"/>
                <w:bottom w:val="nil"/>
                <w:right w:val="nil"/>
                <w:between w:val="nil"/>
              </w:pBdr>
              <w:jc w:val="right"/>
              <w:rPr>
                <w:color w:val="000000"/>
                <w:szCs w:val="16"/>
              </w:rPr>
            </w:pPr>
          </w:p>
        </w:tc>
      </w:tr>
      <w:tr w:rsidR="00D83E33" w:rsidRPr="00E837F2" w14:paraId="0C54A61A" w14:textId="77777777" w:rsidTr="001B330E">
        <w:trPr>
          <w:trHeight w:val="23"/>
        </w:trPr>
        <w:tc>
          <w:tcPr>
            <w:tcW w:w="2727" w:type="pct"/>
            <w:shd w:val="clear" w:color="auto" w:fill="auto"/>
            <w:vAlign w:val="bottom"/>
          </w:tcPr>
          <w:p w14:paraId="2B4B0DB2" w14:textId="77777777" w:rsidR="00D83E33" w:rsidRPr="00E837F2" w:rsidRDefault="00BC4072" w:rsidP="001B330E">
            <w:pPr>
              <w:widowControl w:val="0"/>
              <w:ind w:left="113" w:hanging="113"/>
            </w:pPr>
            <w:r w:rsidRPr="00E837F2">
              <w:rPr>
                <w:i/>
              </w:rPr>
              <w:t>Loans to individuals</w:t>
            </w:r>
          </w:p>
        </w:tc>
        <w:tc>
          <w:tcPr>
            <w:tcW w:w="758" w:type="pct"/>
            <w:shd w:val="clear" w:color="auto" w:fill="auto"/>
            <w:vAlign w:val="bottom"/>
          </w:tcPr>
          <w:p w14:paraId="79591DEF" w14:textId="77777777" w:rsidR="00D83E33" w:rsidRPr="00E837F2" w:rsidRDefault="00D83E33" w:rsidP="001B330E">
            <w:pPr>
              <w:widowControl w:val="0"/>
              <w:pBdr>
                <w:top w:val="nil"/>
                <w:left w:val="nil"/>
                <w:bottom w:val="nil"/>
                <w:right w:val="nil"/>
                <w:between w:val="nil"/>
              </w:pBdr>
              <w:jc w:val="right"/>
              <w:rPr>
                <w:color w:val="000000"/>
              </w:rPr>
            </w:pPr>
          </w:p>
        </w:tc>
        <w:tc>
          <w:tcPr>
            <w:tcW w:w="758" w:type="pct"/>
          </w:tcPr>
          <w:p w14:paraId="6ADE4379" w14:textId="77777777" w:rsidR="00D83E33" w:rsidRPr="00E837F2" w:rsidRDefault="00D83E33" w:rsidP="001B330E">
            <w:pPr>
              <w:widowControl w:val="0"/>
              <w:pBdr>
                <w:top w:val="nil"/>
                <w:left w:val="nil"/>
                <w:bottom w:val="nil"/>
                <w:right w:val="nil"/>
                <w:between w:val="nil"/>
              </w:pBdr>
              <w:jc w:val="right"/>
              <w:rPr>
                <w:color w:val="000000"/>
              </w:rPr>
            </w:pPr>
          </w:p>
        </w:tc>
        <w:tc>
          <w:tcPr>
            <w:tcW w:w="757" w:type="pct"/>
          </w:tcPr>
          <w:p w14:paraId="6BCF574A"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23AE1A7" w14:textId="77777777" w:rsidTr="001B330E">
        <w:trPr>
          <w:trHeight w:val="23"/>
        </w:trPr>
        <w:tc>
          <w:tcPr>
            <w:tcW w:w="2727" w:type="pct"/>
            <w:shd w:val="clear" w:color="auto" w:fill="auto"/>
            <w:vAlign w:val="bottom"/>
          </w:tcPr>
          <w:p w14:paraId="2674DC6F" w14:textId="77777777" w:rsidR="00D83E33" w:rsidRPr="001B330E" w:rsidRDefault="00D83E33" w:rsidP="001B330E">
            <w:pPr>
              <w:widowControl w:val="0"/>
              <w:ind w:left="113" w:hanging="113"/>
              <w:rPr>
                <w:i/>
                <w:szCs w:val="16"/>
              </w:rPr>
            </w:pPr>
          </w:p>
        </w:tc>
        <w:tc>
          <w:tcPr>
            <w:tcW w:w="758" w:type="pct"/>
            <w:shd w:val="clear" w:color="auto" w:fill="auto"/>
            <w:vAlign w:val="bottom"/>
          </w:tcPr>
          <w:p w14:paraId="6C394F82"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758" w:type="pct"/>
          </w:tcPr>
          <w:p w14:paraId="6DAC2F7A"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757" w:type="pct"/>
          </w:tcPr>
          <w:p w14:paraId="01A641E7" w14:textId="77777777" w:rsidR="00D83E33" w:rsidRPr="001B330E" w:rsidRDefault="00D83E33" w:rsidP="001B330E">
            <w:pPr>
              <w:widowControl w:val="0"/>
              <w:pBdr>
                <w:top w:val="nil"/>
                <w:left w:val="nil"/>
                <w:bottom w:val="nil"/>
                <w:right w:val="nil"/>
                <w:between w:val="nil"/>
              </w:pBdr>
              <w:jc w:val="right"/>
              <w:rPr>
                <w:color w:val="000000"/>
                <w:szCs w:val="16"/>
              </w:rPr>
            </w:pPr>
          </w:p>
        </w:tc>
      </w:tr>
      <w:tr w:rsidR="00D83E33" w:rsidRPr="00E837F2" w14:paraId="27565570" w14:textId="77777777" w:rsidTr="001B330E">
        <w:trPr>
          <w:trHeight w:val="23"/>
        </w:trPr>
        <w:tc>
          <w:tcPr>
            <w:tcW w:w="2727" w:type="pct"/>
            <w:shd w:val="clear" w:color="auto" w:fill="auto"/>
            <w:vAlign w:val="bottom"/>
          </w:tcPr>
          <w:p w14:paraId="07EFC05B" w14:textId="77777777" w:rsidR="00D83E33" w:rsidRPr="00E837F2" w:rsidRDefault="00BC4072" w:rsidP="001B330E">
            <w:pPr>
              <w:widowControl w:val="0"/>
              <w:ind w:left="113" w:hanging="113"/>
            </w:pPr>
            <w:r w:rsidRPr="00E837F2">
              <w:t xml:space="preserve">Mortgage loans </w:t>
            </w:r>
          </w:p>
        </w:tc>
        <w:tc>
          <w:tcPr>
            <w:tcW w:w="758" w:type="pct"/>
            <w:shd w:val="clear" w:color="auto" w:fill="auto"/>
            <w:vAlign w:val="bottom"/>
          </w:tcPr>
          <w:p w14:paraId="13B3053B" w14:textId="77777777" w:rsidR="00D83E33" w:rsidRPr="00E837F2" w:rsidRDefault="00D83E33" w:rsidP="001B330E">
            <w:pPr>
              <w:widowControl w:val="0"/>
              <w:jc w:val="right"/>
            </w:pPr>
          </w:p>
        </w:tc>
        <w:tc>
          <w:tcPr>
            <w:tcW w:w="758" w:type="pct"/>
          </w:tcPr>
          <w:p w14:paraId="55DC5551" w14:textId="77777777" w:rsidR="00D83E33" w:rsidRPr="00E837F2" w:rsidRDefault="00D83E33" w:rsidP="001B330E">
            <w:pPr>
              <w:widowControl w:val="0"/>
              <w:jc w:val="right"/>
            </w:pPr>
          </w:p>
        </w:tc>
        <w:tc>
          <w:tcPr>
            <w:tcW w:w="757" w:type="pct"/>
          </w:tcPr>
          <w:p w14:paraId="00C1D6B4" w14:textId="77777777" w:rsidR="00D83E33" w:rsidRPr="00E837F2" w:rsidRDefault="00D83E33" w:rsidP="001B330E">
            <w:pPr>
              <w:widowControl w:val="0"/>
              <w:jc w:val="right"/>
            </w:pPr>
          </w:p>
        </w:tc>
      </w:tr>
      <w:tr w:rsidR="00D83E33" w:rsidRPr="00E837F2" w14:paraId="4EE2796E" w14:textId="77777777" w:rsidTr="001B330E">
        <w:trPr>
          <w:trHeight w:val="23"/>
        </w:trPr>
        <w:tc>
          <w:tcPr>
            <w:tcW w:w="2727" w:type="pct"/>
            <w:shd w:val="clear" w:color="auto" w:fill="auto"/>
            <w:vAlign w:val="bottom"/>
          </w:tcPr>
          <w:p w14:paraId="36187D4F" w14:textId="77777777" w:rsidR="00D83E33" w:rsidRPr="00E837F2" w:rsidRDefault="00BC4072" w:rsidP="001B330E">
            <w:pPr>
              <w:widowControl w:val="0"/>
              <w:ind w:left="113" w:hanging="113"/>
            </w:pPr>
            <w:r w:rsidRPr="00E837F2">
              <w:t>Consumer loans</w:t>
            </w:r>
          </w:p>
        </w:tc>
        <w:tc>
          <w:tcPr>
            <w:tcW w:w="758" w:type="pct"/>
            <w:shd w:val="clear" w:color="auto" w:fill="auto"/>
            <w:vAlign w:val="bottom"/>
          </w:tcPr>
          <w:p w14:paraId="648C19F3" w14:textId="77777777" w:rsidR="00D83E33" w:rsidRPr="00E837F2" w:rsidRDefault="00D83E33" w:rsidP="001B330E">
            <w:pPr>
              <w:widowControl w:val="0"/>
              <w:jc w:val="right"/>
            </w:pPr>
          </w:p>
        </w:tc>
        <w:tc>
          <w:tcPr>
            <w:tcW w:w="758" w:type="pct"/>
          </w:tcPr>
          <w:p w14:paraId="6DCC6421" w14:textId="77777777" w:rsidR="00D83E33" w:rsidRPr="00E837F2" w:rsidRDefault="00D83E33" w:rsidP="001B330E">
            <w:pPr>
              <w:widowControl w:val="0"/>
              <w:jc w:val="right"/>
            </w:pPr>
          </w:p>
        </w:tc>
        <w:tc>
          <w:tcPr>
            <w:tcW w:w="757" w:type="pct"/>
          </w:tcPr>
          <w:p w14:paraId="552A328F" w14:textId="77777777" w:rsidR="00D83E33" w:rsidRPr="00E837F2" w:rsidRDefault="00D83E33" w:rsidP="001B330E">
            <w:pPr>
              <w:widowControl w:val="0"/>
              <w:jc w:val="right"/>
            </w:pPr>
          </w:p>
        </w:tc>
      </w:tr>
      <w:tr w:rsidR="00D83E33" w:rsidRPr="00E837F2" w14:paraId="2A9A4D79" w14:textId="77777777" w:rsidTr="001B330E">
        <w:trPr>
          <w:trHeight w:val="23"/>
        </w:trPr>
        <w:tc>
          <w:tcPr>
            <w:tcW w:w="2727" w:type="pct"/>
            <w:shd w:val="clear" w:color="auto" w:fill="auto"/>
            <w:vAlign w:val="bottom"/>
          </w:tcPr>
          <w:p w14:paraId="615956DD" w14:textId="77777777" w:rsidR="00D83E33" w:rsidRPr="00E837F2" w:rsidRDefault="00BC4072" w:rsidP="001B330E">
            <w:pPr>
              <w:widowControl w:val="0"/>
              <w:ind w:left="113" w:hanging="113"/>
            </w:pPr>
            <w:r w:rsidRPr="00E837F2">
              <w:t>Car loans</w:t>
            </w:r>
          </w:p>
        </w:tc>
        <w:tc>
          <w:tcPr>
            <w:tcW w:w="758" w:type="pct"/>
            <w:shd w:val="clear" w:color="auto" w:fill="auto"/>
            <w:vAlign w:val="bottom"/>
          </w:tcPr>
          <w:p w14:paraId="3B663753" w14:textId="77777777" w:rsidR="00D83E33" w:rsidRPr="00E837F2" w:rsidRDefault="00D83E33" w:rsidP="001B330E">
            <w:pPr>
              <w:widowControl w:val="0"/>
              <w:jc w:val="right"/>
            </w:pPr>
          </w:p>
        </w:tc>
        <w:tc>
          <w:tcPr>
            <w:tcW w:w="758" w:type="pct"/>
          </w:tcPr>
          <w:p w14:paraId="5B65393A" w14:textId="77777777" w:rsidR="00D83E33" w:rsidRPr="00E837F2" w:rsidRDefault="00D83E33" w:rsidP="001B330E">
            <w:pPr>
              <w:widowControl w:val="0"/>
              <w:jc w:val="right"/>
            </w:pPr>
          </w:p>
        </w:tc>
        <w:tc>
          <w:tcPr>
            <w:tcW w:w="757" w:type="pct"/>
          </w:tcPr>
          <w:p w14:paraId="55514A40" w14:textId="77777777" w:rsidR="00D83E33" w:rsidRPr="00E837F2" w:rsidRDefault="00D83E33" w:rsidP="001B330E">
            <w:pPr>
              <w:widowControl w:val="0"/>
              <w:jc w:val="right"/>
            </w:pPr>
          </w:p>
        </w:tc>
      </w:tr>
      <w:tr w:rsidR="00D83E33" w:rsidRPr="00E837F2" w14:paraId="1A78FF19" w14:textId="77777777" w:rsidTr="001B330E">
        <w:trPr>
          <w:trHeight w:val="23"/>
        </w:trPr>
        <w:tc>
          <w:tcPr>
            <w:tcW w:w="2727" w:type="pct"/>
            <w:shd w:val="clear" w:color="auto" w:fill="auto"/>
            <w:vAlign w:val="bottom"/>
          </w:tcPr>
          <w:p w14:paraId="7C9AD4B9" w14:textId="77777777" w:rsidR="00D83E33" w:rsidRPr="00E837F2" w:rsidRDefault="00BC4072" w:rsidP="001B330E">
            <w:pPr>
              <w:widowControl w:val="0"/>
              <w:ind w:left="113" w:hanging="113"/>
            </w:pPr>
            <w:r w:rsidRPr="00E837F2">
              <w:t xml:space="preserve">Credit cards </w:t>
            </w:r>
          </w:p>
        </w:tc>
        <w:tc>
          <w:tcPr>
            <w:tcW w:w="758" w:type="pct"/>
            <w:shd w:val="clear" w:color="auto" w:fill="auto"/>
            <w:vAlign w:val="bottom"/>
          </w:tcPr>
          <w:p w14:paraId="5ADFBF22" w14:textId="77777777" w:rsidR="00D83E33" w:rsidRPr="00E837F2" w:rsidRDefault="00D83E33" w:rsidP="001B330E">
            <w:pPr>
              <w:widowControl w:val="0"/>
              <w:jc w:val="right"/>
            </w:pPr>
          </w:p>
        </w:tc>
        <w:tc>
          <w:tcPr>
            <w:tcW w:w="758" w:type="pct"/>
          </w:tcPr>
          <w:p w14:paraId="54B453FE" w14:textId="77777777" w:rsidR="00D83E33" w:rsidRPr="00E837F2" w:rsidRDefault="00D83E33" w:rsidP="001B330E">
            <w:pPr>
              <w:widowControl w:val="0"/>
              <w:jc w:val="right"/>
            </w:pPr>
          </w:p>
        </w:tc>
        <w:tc>
          <w:tcPr>
            <w:tcW w:w="757" w:type="pct"/>
          </w:tcPr>
          <w:p w14:paraId="25070C8B" w14:textId="77777777" w:rsidR="00D83E33" w:rsidRPr="00E837F2" w:rsidRDefault="00D83E33" w:rsidP="001B330E">
            <w:pPr>
              <w:widowControl w:val="0"/>
              <w:jc w:val="right"/>
            </w:pPr>
          </w:p>
        </w:tc>
      </w:tr>
      <w:tr w:rsidR="00D83E33" w:rsidRPr="00E837F2" w14:paraId="338A7AA8" w14:textId="77777777" w:rsidTr="001B330E">
        <w:trPr>
          <w:trHeight w:val="23"/>
        </w:trPr>
        <w:tc>
          <w:tcPr>
            <w:tcW w:w="2727" w:type="pct"/>
            <w:tcBorders>
              <w:bottom w:val="single" w:sz="4" w:space="0" w:color="000000"/>
            </w:tcBorders>
            <w:shd w:val="clear" w:color="auto" w:fill="auto"/>
            <w:vAlign w:val="bottom"/>
          </w:tcPr>
          <w:p w14:paraId="2EDF2A50" w14:textId="77777777" w:rsidR="00D83E33" w:rsidRPr="001B330E" w:rsidRDefault="00D83E33" w:rsidP="001B330E">
            <w:pPr>
              <w:widowControl w:val="0"/>
              <w:ind w:left="113" w:hanging="113"/>
              <w:rPr>
                <w:szCs w:val="16"/>
              </w:rPr>
            </w:pPr>
          </w:p>
        </w:tc>
        <w:tc>
          <w:tcPr>
            <w:tcW w:w="758" w:type="pct"/>
            <w:tcBorders>
              <w:bottom w:val="single" w:sz="4" w:space="0" w:color="000000"/>
            </w:tcBorders>
            <w:shd w:val="clear" w:color="auto" w:fill="auto"/>
            <w:vAlign w:val="bottom"/>
          </w:tcPr>
          <w:p w14:paraId="42671CCC" w14:textId="77777777" w:rsidR="00D83E33" w:rsidRPr="001B330E" w:rsidRDefault="00D83E33" w:rsidP="001B330E">
            <w:pPr>
              <w:widowControl w:val="0"/>
              <w:jc w:val="right"/>
              <w:rPr>
                <w:szCs w:val="16"/>
              </w:rPr>
            </w:pPr>
          </w:p>
        </w:tc>
        <w:tc>
          <w:tcPr>
            <w:tcW w:w="758" w:type="pct"/>
            <w:tcBorders>
              <w:bottom w:val="single" w:sz="4" w:space="0" w:color="000000"/>
            </w:tcBorders>
          </w:tcPr>
          <w:p w14:paraId="08C8A0DE" w14:textId="77777777" w:rsidR="00D83E33" w:rsidRPr="001B330E" w:rsidRDefault="00D83E33" w:rsidP="001B330E">
            <w:pPr>
              <w:widowControl w:val="0"/>
              <w:jc w:val="right"/>
              <w:rPr>
                <w:szCs w:val="16"/>
              </w:rPr>
            </w:pPr>
          </w:p>
        </w:tc>
        <w:tc>
          <w:tcPr>
            <w:tcW w:w="757" w:type="pct"/>
            <w:tcBorders>
              <w:bottom w:val="single" w:sz="4" w:space="0" w:color="000000"/>
            </w:tcBorders>
          </w:tcPr>
          <w:p w14:paraId="13D02790" w14:textId="77777777" w:rsidR="00D83E33" w:rsidRPr="001B330E" w:rsidRDefault="00D83E33" w:rsidP="001B330E">
            <w:pPr>
              <w:widowControl w:val="0"/>
              <w:jc w:val="right"/>
              <w:rPr>
                <w:szCs w:val="16"/>
              </w:rPr>
            </w:pPr>
          </w:p>
        </w:tc>
      </w:tr>
      <w:tr w:rsidR="00D83E33" w:rsidRPr="00E837F2" w14:paraId="42120330" w14:textId="77777777" w:rsidTr="001B330E">
        <w:trPr>
          <w:trHeight w:val="23"/>
        </w:trPr>
        <w:tc>
          <w:tcPr>
            <w:tcW w:w="2727" w:type="pct"/>
            <w:shd w:val="clear" w:color="auto" w:fill="auto"/>
            <w:vAlign w:val="bottom"/>
          </w:tcPr>
          <w:p w14:paraId="62905379" w14:textId="77777777" w:rsidR="00D83E33" w:rsidRPr="001B330E" w:rsidRDefault="00D83E33" w:rsidP="001B330E">
            <w:pPr>
              <w:widowControl w:val="0"/>
              <w:pBdr>
                <w:top w:val="nil"/>
                <w:left w:val="nil"/>
                <w:bottom w:val="nil"/>
                <w:right w:val="nil"/>
                <w:between w:val="nil"/>
              </w:pBdr>
              <w:ind w:left="113" w:hanging="113"/>
              <w:rPr>
                <w:color w:val="000000"/>
                <w:szCs w:val="16"/>
              </w:rPr>
            </w:pPr>
          </w:p>
        </w:tc>
        <w:tc>
          <w:tcPr>
            <w:tcW w:w="758" w:type="pct"/>
            <w:shd w:val="clear" w:color="auto" w:fill="auto"/>
            <w:vAlign w:val="bottom"/>
          </w:tcPr>
          <w:p w14:paraId="55DF3DFE"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758" w:type="pct"/>
          </w:tcPr>
          <w:p w14:paraId="705A2ED5"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757" w:type="pct"/>
          </w:tcPr>
          <w:p w14:paraId="4EC3A15B" w14:textId="77777777" w:rsidR="00D83E33" w:rsidRPr="001B330E" w:rsidRDefault="00D83E33" w:rsidP="001B330E">
            <w:pPr>
              <w:widowControl w:val="0"/>
              <w:pBdr>
                <w:top w:val="nil"/>
                <w:left w:val="nil"/>
                <w:bottom w:val="nil"/>
                <w:right w:val="nil"/>
                <w:between w:val="nil"/>
              </w:pBdr>
              <w:jc w:val="right"/>
              <w:rPr>
                <w:color w:val="000000"/>
                <w:szCs w:val="16"/>
              </w:rPr>
            </w:pPr>
          </w:p>
        </w:tc>
      </w:tr>
      <w:tr w:rsidR="00D83E33" w:rsidRPr="00E837F2" w14:paraId="0D619F56" w14:textId="77777777" w:rsidTr="001B330E">
        <w:trPr>
          <w:trHeight w:val="23"/>
        </w:trPr>
        <w:tc>
          <w:tcPr>
            <w:tcW w:w="2727" w:type="pct"/>
            <w:shd w:val="clear" w:color="auto" w:fill="auto"/>
            <w:vAlign w:val="bottom"/>
          </w:tcPr>
          <w:p w14:paraId="48112E3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color w:val="000000"/>
              </w:rPr>
              <w:t xml:space="preserve">Total </w:t>
            </w:r>
          </w:p>
        </w:tc>
        <w:tc>
          <w:tcPr>
            <w:tcW w:w="758" w:type="pct"/>
            <w:shd w:val="clear" w:color="auto" w:fill="auto"/>
            <w:vAlign w:val="bottom"/>
          </w:tcPr>
          <w:p w14:paraId="5625DAE7" w14:textId="77777777" w:rsidR="00D83E33" w:rsidRPr="00E837F2" w:rsidRDefault="00D83E33" w:rsidP="001B330E">
            <w:pPr>
              <w:widowControl w:val="0"/>
              <w:pBdr>
                <w:top w:val="nil"/>
                <w:left w:val="nil"/>
                <w:bottom w:val="nil"/>
                <w:right w:val="nil"/>
                <w:between w:val="nil"/>
              </w:pBdr>
              <w:jc w:val="right"/>
              <w:rPr>
                <w:color w:val="000000"/>
              </w:rPr>
            </w:pPr>
          </w:p>
        </w:tc>
        <w:tc>
          <w:tcPr>
            <w:tcW w:w="758" w:type="pct"/>
          </w:tcPr>
          <w:p w14:paraId="054BA63D" w14:textId="77777777" w:rsidR="00D83E33" w:rsidRPr="00E837F2" w:rsidRDefault="00D83E33" w:rsidP="001B330E">
            <w:pPr>
              <w:widowControl w:val="0"/>
              <w:pBdr>
                <w:top w:val="nil"/>
                <w:left w:val="nil"/>
                <w:bottom w:val="nil"/>
                <w:right w:val="nil"/>
                <w:between w:val="nil"/>
              </w:pBdr>
              <w:jc w:val="right"/>
              <w:rPr>
                <w:color w:val="000000"/>
              </w:rPr>
            </w:pPr>
          </w:p>
        </w:tc>
        <w:tc>
          <w:tcPr>
            <w:tcW w:w="757" w:type="pct"/>
          </w:tcPr>
          <w:p w14:paraId="42352F3A"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DAA18CE" w14:textId="77777777" w:rsidTr="001B330E">
        <w:trPr>
          <w:trHeight w:val="23"/>
        </w:trPr>
        <w:tc>
          <w:tcPr>
            <w:tcW w:w="2727" w:type="pct"/>
            <w:tcBorders>
              <w:bottom w:val="single" w:sz="12" w:space="0" w:color="000000"/>
            </w:tcBorders>
            <w:shd w:val="clear" w:color="auto" w:fill="auto"/>
            <w:vAlign w:val="bottom"/>
          </w:tcPr>
          <w:p w14:paraId="752A62DB" w14:textId="77777777" w:rsidR="00D83E33" w:rsidRPr="001B330E" w:rsidRDefault="00D83E33" w:rsidP="001B330E">
            <w:pPr>
              <w:widowControl w:val="0"/>
              <w:ind w:left="113" w:hanging="113"/>
              <w:rPr>
                <w:szCs w:val="16"/>
              </w:rPr>
            </w:pPr>
          </w:p>
        </w:tc>
        <w:tc>
          <w:tcPr>
            <w:tcW w:w="758" w:type="pct"/>
            <w:tcBorders>
              <w:bottom w:val="single" w:sz="12" w:space="0" w:color="000000"/>
            </w:tcBorders>
            <w:shd w:val="clear" w:color="auto" w:fill="auto"/>
            <w:vAlign w:val="bottom"/>
          </w:tcPr>
          <w:p w14:paraId="761F69BC" w14:textId="77777777" w:rsidR="00D83E33" w:rsidRPr="001B330E" w:rsidRDefault="00D83E33" w:rsidP="001B330E">
            <w:pPr>
              <w:widowControl w:val="0"/>
              <w:pBdr>
                <w:top w:val="nil"/>
                <w:left w:val="nil"/>
                <w:bottom w:val="nil"/>
                <w:right w:val="nil"/>
                <w:between w:val="nil"/>
              </w:pBdr>
              <w:jc w:val="right"/>
              <w:rPr>
                <w:b/>
                <w:color w:val="000000"/>
                <w:szCs w:val="16"/>
              </w:rPr>
            </w:pPr>
          </w:p>
        </w:tc>
        <w:tc>
          <w:tcPr>
            <w:tcW w:w="758" w:type="pct"/>
            <w:tcBorders>
              <w:bottom w:val="single" w:sz="12" w:space="0" w:color="000000"/>
            </w:tcBorders>
          </w:tcPr>
          <w:p w14:paraId="2E284D01" w14:textId="77777777" w:rsidR="00D83E33" w:rsidRPr="001B330E" w:rsidRDefault="00D83E33" w:rsidP="001B330E">
            <w:pPr>
              <w:widowControl w:val="0"/>
              <w:pBdr>
                <w:top w:val="nil"/>
                <w:left w:val="nil"/>
                <w:bottom w:val="nil"/>
                <w:right w:val="nil"/>
                <w:between w:val="nil"/>
              </w:pBdr>
              <w:jc w:val="right"/>
              <w:rPr>
                <w:b/>
                <w:color w:val="000000"/>
                <w:szCs w:val="16"/>
              </w:rPr>
            </w:pPr>
          </w:p>
        </w:tc>
        <w:tc>
          <w:tcPr>
            <w:tcW w:w="757" w:type="pct"/>
            <w:tcBorders>
              <w:bottom w:val="single" w:sz="12" w:space="0" w:color="000000"/>
            </w:tcBorders>
          </w:tcPr>
          <w:p w14:paraId="5B1EF501" w14:textId="77777777" w:rsidR="00D83E33" w:rsidRPr="001B330E" w:rsidRDefault="00D83E33" w:rsidP="001B330E">
            <w:pPr>
              <w:widowControl w:val="0"/>
              <w:pBdr>
                <w:top w:val="nil"/>
                <w:left w:val="nil"/>
                <w:bottom w:val="nil"/>
                <w:right w:val="nil"/>
                <w:between w:val="nil"/>
              </w:pBdr>
              <w:jc w:val="right"/>
              <w:rPr>
                <w:b/>
                <w:color w:val="000000"/>
                <w:szCs w:val="16"/>
              </w:rPr>
            </w:pPr>
          </w:p>
        </w:tc>
      </w:tr>
    </w:tbl>
    <w:p w14:paraId="118670D4" w14:textId="77777777" w:rsidR="00D83E33" w:rsidRDefault="00BC4072" w:rsidP="001B330E">
      <w:pPr>
        <w:widowControl w:val="0"/>
        <w:spacing w:before="200" w:after="200"/>
        <w:jc w:val="both"/>
        <w:rPr>
          <w:sz w:val="20"/>
          <w:szCs w:val="20"/>
        </w:rPr>
      </w:pPr>
      <w:r>
        <w:rPr>
          <w:sz w:val="20"/>
          <w:szCs w:val="20"/>
        </w:rPr>
        <w:t>The Group’s policy is to complete legal enforcement steps that were initiated even though the loans were written off as there is no reasonable expectation of recovery.</w:t>
      </w:r>
    </w:p>
    <w:p w14:paraId="6DA32E42" w14:textId="77777777" w:rsidR="00D83E33" w:rsidRDefault="00BC4072" w:rsidP="001B330E">
      <w:pPr>
        <w:widowControl w:val="0"/>
        <w:spacing w:before="200" w:after="200"/>
        <w:jc w:val="both"/>
        <w:rPr>
          <w:sz w:val="20"/>
          <w:szCs w:val="20"/>
        </w:rPr>
      </w:pPr>
      <w:r>
        <w:rPr>
          <w:sz w:val="20"/>
          <w:szCs w:val="20"/>
        </w:rPr>
        <w:t>Information about modifications of loans that have not resulted in derecognition is as follows:</w:t>
      </w:r>
    </w:p>
    <w:tbl>
      <w:tblPr>
        <w:tblStyle w:val="affffff8"/>
        <w:tblW w:w="5000" w:type="pct"/>
        <w:tblLayout w:type="fixed"/>
        <w:tblLook w:val="0000" w:firstRow="0" w:lastRow="0" w:firstColumn="0" w:lastColumn="0" w:noHBand="0" w:noVBand="0"/>
      </w:tblPr>
      <w:tblGrid>
        <w:gridCol w:w="7428"/>
        <w:gridCol w:w="1927"/>
      </w:tblGrid>
      <w:tr w:rsidR="00D83E33" w:rsidRPr="00E837F2" w14:paraId="37D0758C" w14:textId="77777777" w:rsidTr="001B330E">
        <w:trPr>
          <w:trHeight w:val="23"/>
        </w:trPr>
        <w:tc>
          <w:tcPr>
            <w:tcW w:w="3970" w:type="pct"/>
            <w:tcBorders>
              <w:bottom w:val="single" w:sz="4" w:space="0" w:color="000000"/>
            </w:tcBorders>
            <w:vAlign w:val="bottom"/>
          </w:tcPr>
          <w:p w14:paraId="2832917D" w14:textId="185582C5" w:rsidR="00D83E33" w:rsidRPr="00E837F2" w:rsidRDefault="00BC4072" w:rsidP="001B330E">
            <w:pPr>
              <w:widowControl w:val="0"/>
              <w:pBdr>
                <w:top w:val="nil"/>
                <w:left w:val="nil"/>
                <w:bottom w:val="nil"/>
                <w:right w:val="nil"/>
                <w:between w:val="nil"/>
              </w:pBdr>
              <w:ind w:left="113" w:hanging="113"/>
              <w:rPr>
                <w:i/>
                <w:color w:val="000000"/>
              </w:rPr>
            </w:pPr>
            <w:r w:rsidRPr="00E837F2">
              <w:rPr>
                <w:i/>
                <w:color w:val="000000"/>
              </w:rPr>
              <w:t xml:space="preserve">In thousands </w:t>
            </w:r>
            <w:r w:rsidR="002649EE">
              <w:rPr>
                <w:i/>
                <w:color w:val="000000"/>
              </w:rPr>
              <w:t>EUR</w:t>
            </w:r>
          </w:p>
        </w:tc>
        <w:tc>
          <w:tcPr>
            <w:tcW w:w="1030" w:type="pct"/>
            <w:tcBorders>
              <w:bottom w:val="single" w:sz="4" w:space="0" w:color="000000"/>
            </w:tcBorders>
          </w:tcPr>
          <w:p w14:paraId="3704377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Loans and advances to customers</w:t>
            </w:r>
          </w:p>
        </w:tc>
      </w:tr>
      <w:tr w:rsidR="00D83E33" w:rsidRPr="00E837F2" w14:paraId="6EFCFFCF" w14:textId="77777777" w:rsidTr="001B330E">
        <w:trPr>
          <w:trHeight w:val="23"/>
        </w:trPr>
        <w:tc>
          <w:tcPr>
            <w:tcW w:w="3970" w:type="pct"/>
            <w:vAlign w:val="bottom"/>
          </w:tcPr>
          <w:p w14:paraId="533A40DE" w14:textId="77777777" w:rsidR="00D83E33" w:rsidRPr="001B330E" w:rsidRDefault="00BC4072" w:rsidP="001B330E">
            <w:pPr>
              <w:widowControl w:val="0"/>
              <w:pBdr>
                <w:top w:val="nil"/>
                <w:left w:val="nil"/>
                <w:bottom w:val="nil"/>
                <w:right w:val="nil"/>
                <w:between w:val="nil"/>
              </w:pBdr>
              <w:ind w:left="113" w:hanging="113"/>
              <w:rPr>
                <w:color w:val="000000"/>
                <w:szCs w:val="16"/>
              </w:rPr>
            </w:pPr>
            <w:r w:rsidRPr="001B330E">
              <w:rPr>
                <w:color w:val="000000"/>
                <w:szCs w:val="16"/>
              </w:rPr>
              <w:t> </w:t>
            </w:r>
          </w:p>
        </w:tc>
        <w:tc>
          <w:tcPr>
            <w:tcW w:w="1030" w:type="pct"/>
            <w:vAlign w:val="bottom"/>
          </w:tcPr>
          <w:p w14:paraId="7CD769A6" w14:textId="77777777" w:rsidR="00D83E33" w:rsidRPr="001B330E" w:rsidRDefault="00D83E33" w:rsidP="001B330E">
            <w:pPr>
              <w:widowControl w:val="0"/>
              <w:pBdr>
                <w:top w:val="nil"/>
                <w:left w:val="nil"/>
                <w:bottom w:val="nil"/>
                <w:right w:val="nil"/>
                <w:between w:val="nil"/>
              </w:pBdr>
              <w:jc w:val="right"/>
              <w:rPr>
                <w:color w:val="000000"/>
                <w:szCs w:val="16"/>
              </w:rPr>
            </w:pPr>
          </w:p>
        </w:tc>
      </w:tr>
      <w:tr w:rsidR="00D83E33" w:rsidRPr="00E837F2" w14:paraId="43336191" w14:textId="77777777" w:rsidTr="001B330E">
        <w:trPr>
          <w:trHeight w:val="23"/>
        </w:trPr>
        <w:tc>
          <w:tcPr>
            <w:tcW w:w="3970" w:type="pct"/>
            <w:vAlign w:val="bottom"/>
          </w:tcPr>
          <w:p w14:paraId="7AEEA7CD" w14:textId="71D6EFCA"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Year ended 31</w:t>
            </w:r>
            <w:r w:rsidR="00181687">
              <w:rPr>
                <w:b/>
                <w:i/>
                <w:color w:val="000000"/>
              </w:rPr>
              <w:t> December </w:t>
            </w:r>
            <w:r w:rsidR="00541EBC">
              <w:rPr>
                <w:b/>
                <w:i/>
                <w:color w:val="000000"/>
              </w:rPr>
              <w:t>2024</w:t>
            </w:r>
          </w:p>
        </w:tc>
        <w:tc>
          <w:tcPr>
            <w:tcW w:w="1030" w:type="pct"/>
            <w:vAlign w:val="bottom"/>
          </w:tcPr>
          <w:p w14:paraId="30A84A33"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3B690AE" w14:textId="77777777" w:rsidTr="001B330E">
        <w:trPr>
          <w:trHeight w:val="23"/>
        </w:trPr>
        <w:tc>
          <w:tcPr>
            <w:tcW w:w="3970" w:type="pct"/>
            <w:vAlign w:val="bottom"/>
          </w:tcPr>
          <w:p w14:paraId="2532C5C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Amortised cost of loans with lifetime ECL immediately before contractual modification that was not a derecognition event</w:t>
            </w:r>
          </w:p>
        </w:tc>
        <w:tc>
          <w:tcPr>
            <w:tcW w:w="1030" w:type="pct"/>
            <w:vAlign w:val="bottom"/>
          </w:tcPr>
          <w:p w14:paraId="27D93AEE"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445D3E6" w14:textId="77777777" w:rsidTr="001B330E">
        <w:trPr>
          <w:trHeight w:val="23"/>
        </w:trPr>
        <w:tc>
          <w:tcPr>
            <w:tcW w:w="3970" w:type="pct"/>
            <w:vAlign w:val="bottom"/>
          </w:tcPr>
          <w:p w14:paraId="1DD9435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Gains less losses recognised in profit or loss on modifications of loans with lifetime ECL that did not lead to derecognition</w:t>
            </w:r>
          </w:p>
        </w:tc>
        <w:tc>
          <w:tcPr>
            <w:tcW w:w="1030" w:type="pct"/>
            <w:vAlign w:val="bottom"/>
          </w:tcPr>
          <w:p w14:paraId="32F96288"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5B2FA2F" w14:textId="77777777" w:rsidTr="001B330E">
        <w:trPr>
          <w:trHeight w:val="23"/>
        </w:trPr>
        <w:tc>
          <w:tcPr>
            <w:tcW w:w="3970" w:type="pct"/>
            <w:vAlign w:val="bottom"/>
          </w:tcPr>
          <w:p w14:paraId="25DEE5E3" w14:textId="77777777" w:rsidR="00D83E33" w:rsidRPr="001B330E" w:rsidRDefault="00D83E33" w:rsidP="001B330E">
            <w:pPr>
              <w:widowControl w:val="0"/>
              <w:pBdr>
                <w:top w:val="nil"/>
                <w:left w:val="nil"/>
                <w:bottom w:val="nil"/>
                <w:right w:val="nil"/>
                <w:between w:val="nil"/>
              </w:pBdr>
              <w:ind w:left="113" w:hanging="113"/>
              <w:rPr>
                <w:color w:val="000000"/>
                <w:szCs w:val="16"/>
              </w:rPr>
            </w:pPr>
          </w:p>
        </w:tc>
        <w:tc>
          <w:tcPr>
            <w:tcW w:w="1030" w:type="pct"/>
            <w:vAlign w:val="bottom"/>
          </w:tcPr>
          <w:p w14:paraId="73260C4E" w14:textId="77777777" w:rsidR="00D83E33" w:rsidRPr="001B330E" w:rsidRDefault="00D83E33" w:rsidP="001B330E">
            <w:pPr>
              <w:widowControl w:val="0"/>
              <w:pBdr>
                <w:top w:val="nil"/>
                <w:left w:val="nil"/>
                <w:bottom w:val="nil"/>
                <w:right w:val="nil"/>
                <w:between w:val="nil"/>
              </w:pBdr>
              <w:jc w:val="right"/>
              <w:rPr>
                <w:color w:val="000000"/>
                <w:szCs w:val="16"/>
              </w:rPr>
            </w:pPr>
          </w:p>
        </w:tc>
      </w:tr>
      <w:tr w:rsidR="00D83E33" w:rsidRPr="00E837F2" w14:paraId="26BA5C67" w14:textId="77777777" w:rsidTr="001B330E">
        <w:trPr>
          <w:trHeight w:val="23"/>
        </w:trPr>
        <w:tc>
          <w:tcPr>
            <w:tcW w:w="3970" w:type="pct"/>
            <w:vAlign w:val="bottom"/>
          </w:tcPr>
          <w:p w14:paraId="0E349BA5" w14:textId="5DB9FE49" w:rsidR="00D83E33" w:rsidRPr="00E837F2" w:rsidRDefault="00BC4072" w:rsidP="001B330E">
            <w:pPr>
              <w:widowControl w:val="0"/>
              <w:pBdr>
                <w:top w:val="nil"/>
                <w:left w:val="nil"/>
                <w:bottom w:val="nil"/>
                <w:right w:val="nil"/>
                <w:between w:val="nil"/>
              </w:pBdr>
              <w:ind w:left="113" w:hanging="113"/>
              <w:rPr>
                <w:color w:val="000000"/>
              </w:rPr>
            </w:pPr>
            <w:r w:rsidRPr="00E837F2">
              <w:rPr>
                <w:b/>
                <w:color w:val="000000"/>
              </w:rPr>
              <w:t>At 31</w:t>
            </w:r>
            <w:r w:rsidR="00181687">
              <w:rPr>
                <w:b/>
                <w:color w:val="000000"/>
              </w:rPr>
              <w:t> December </w:t>
            </w:r>
            <w:r w:rsidR="00541EBC">
              <w:rPr>
                <w:b/>
                <w:color w:val="000000"/>
              </w:rPr>
              <w:t>2024</w:t>
            </w:r>
          </w:p>
        </w:tc>
        <w:tc>
          <w:tcPr>
            <w:tcW w:w="1030" w:type="pct"/>
            <w:vAlign w:val="bottom"/>
          </w:tcPr>
          <w:p w14:paraId="1343AFC2"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62201B2" w14:textId="77777777" w:rsidTr="001B330E">
        <w:trPr>
          <w:trHeight w:val="23"/>
        </w:trPr>
        <w:tc>
          <w:tcPr>
            <w:tcW w:w="3970" w:type="pct"/>
            <w:vAlign w:val="bottom"/>
          </w:tcPr>
          <w:p w14:paraId="5677945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Gross carrying amount of loans that were contractually modified (without derecognition) in the past when measured at lifetime ECL and which were reclassified to Stage 1 (12 months ECL) during the current year</w:t>
            </w:r>
          </w:p>
        </w:tc>
        <w:tc>
          <w:tcPr>
            <w:tcW w:w="1030" w:type="pct"/>
            <w:vAlign w:val="bottom"/>
          </w:tcPr>
          <w:p w14:paraId="44838F6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0CA7F2E" w14:textId="77777777" w:rsidTr="001B330E">
        <w:trPr>
          <w:trHeight w:val="23"/>
        </w:trPr>
        <w:tc>
          <w:tcPr>
            <w:tcW w:w="3970" w:type="pct"/>
            <w:vAlign w:val="bottom"/>
          </w:tcPr>
          <w:p w14:paraId="61A7CCDF" w14:textId="77777777" w:rsidR="00D83E33" w:rsidRPr="001B330E" w:rsidRDefault="00D83E33" w:rsidP="001B330E">
            <w:pPr>
              <w:widowControl w:val="0"/>
              <w:pBdr>
                <w:top w:val="nil"/>
                <w:left w:val="nil"/>
                <w:bottom w:val="nil"/>
                <w:right w:val="nil"/>
                <w:between w:val="nil"/>
              </w:pBdr>
              <w:ind w:left="113" w:hanging="113"/>
              <w:rPr>
                <w:color w:val="000000"/>
                <w:szCs w:val="16"/>
              </w:rPr>
            </w:pPr>
          </w:p>
        </w:tc>
        <w:tc>
          <w:tcPr>
            <w:tcW w:w="1030" w:type="pct"/>
            <w:vAlign w:val="bottom"/>
          </w:tcPr>
          <w:p w14:paraId="7D6B8497" w14:textId="77777777" w:rsidR="00D83E33" w:rsidRPr="001B330E" w:rsidRDefault="00D83E33" w:rsidP="001B330E">
            <w:pPr>
              <w:widowControl w:val="0"/>
              <w:pBdr>
                <w:top w:val="nil"/>
                <w:left w:val="nil"/>
                <w:bottom w:val="nil"/>
                <w:right w:val="nil"/>
                <w:between w:val="nil"/>
              </w:pBdr>
              <w:jc w:val="right"/>
              <w:rPr>
                <w:color w:val="000000"/>
                <w:szCs w:val="16"/>
              </w:rPr>
            </w:pPr>
          </w:p>
        </w:tc>
      </w:tr>
      <w:tr w:rsidR="00D83E33" w:rsidRPr="00E837F2" w14:paraId="792DCB93" w14:textId="77777777" w:rsidTr="001B330E">
        <w:trPr>
          <w:trHeight w:val="23"/>
        </w:trPr>
        <w:tc>
          <w:tcPr>
            <w:tcW w:w="3970" w:type="pct"/>
            <w:vAlign w:val="bottom"/>
          </w:tcPr>
          <w:p w14:paraId="137DD7F6" w14:textId="435D118F"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Year ended 31</w:t>
            </w:r>
            <w:r w:rsidR="00181687">
              <w:rPr>
                <w:b/>
                <w:i/>
                <w:color w:val="000000"/>
              </w:rPr>
              <w:t> December </w:t>
            </w:r>
            <w:r w:rsidR="00541EBC">
              <w:rPr>
                <w:b/>
                <w:i/>
                <w:color w:val="000000"/>
              </w:rPr>
              <w:t>2023</w:t>
            </w:r>
          </w:p>
        </w:tc>
        <w:tc>
          <w:tcPr>
            <w:tcW w:w="1030" w:type="pct"/>
            <w:vAlign w:val="bottom"/>
          </w:tcPr>
          <w:p w14:paraId="5DD2C072" w14:textId="77777777" w:rsidR="00D83E33" w:rsidRPr="00E837F2" w:rsidRDefault="00D83E33" w:rsidP="001B330E">
            <w:pPr>
              <w:widowControl w:val="0"/>
              <w:pBdr>
                <w:top w:val="nil"/>
                <w:left w:val="nil"/>
                <w:bottom w:val="nil"/>
                <w:right w:val="nil"/>
                <w:between w:val="nil"/>
              </w:pBdr>
              <w:jc w:val="right"/>
              <w:rPr>
                <w:b/>
                <w:i/>
                <w:color w:val="000000"/>
              </w:rPr>
            </w:pPr>
          </w:p>
        </w:tc>
      </w:tr>
      <w:tr w:rsidR="00D83E33" w:rsidRPr="00E837F2" w14:paraId="423DDC97" w14:textId="77777777" w:rsidTr="001B330E">
        <w:trPr>
          <w:trHeight w:val="23"/>
        </w:trPr>
        <w:tc>
          <w:tcPr>
            <w:tcW w:w="3970" w:type="pct"/>
            <w:vAlign w:val="bottom"/>
          </w:tcPr>
          <w:p w14:paraId="6CE7B16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Amortised cost of loans with lifetime ECL immediately before contractual modification that was not a derecognition event</w:t>
            </w:r>
          </w:p>
        </w:tc>
        <w:tc>
          <w:tcPr>
            <w:tcW w:w="1030" w:type="pct"/>
            <w:vAlign w:val="bottom"/>
          </w:tcPr>
          <w:p w14:paraId="0F8D7E95"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863002E" w14:textId="77777777" w:rsidTr="001B330E">
        <w:trPr>
          <w:trHeight w:val="23"/>
        </w:trPr>
        <w:tc>
          <w:tcPr>
            <w:tcW w:w="3970" w:type="pct"/>
            <w:vAlign w:val="bottom"/>
          </w:tcPr>
          <w:p w14:paraId="5A446B1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Gains less losses recognised in profit or loss on modifications of loans with lifetime ECL that did not lead to derecognition</w:t>
            </w:r>
          </w:p>
        </w:tc>
        <w:tc>
          <w:tcPr>
            <w:tcW w:w="1030" w:type="pct"/>
            <w:vAlign w:val="bottom"/>
          </w:tcPr>
          <w:p w14:paraId="0DCE24B6"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8A72B46" w14:textId="77777777" w:rsidTr="001B330E">
        <w:trPr>
          <w:trHeight w:val="23"/>
        </w:trPr>
        <w:tc>
          <w:tcPr>
            <w:tcW w:w="3970" w:type="pct"/>
            <w:vAlign w:val="bottom"/>
          </w:tcPr>
          <w:p w14:paraId="490AC90A" w14:textId="77777777" w:rsidR="00D83E33" w:rsidRPr="001B330E" w:rsidRDefault="00D83E33" w:rsidP="001B330E">
            <w:pPr>
              <w:widowControl w:val="0"/>
              <w:pBdr>
                <w:top w:val="nil"/>
                <w:left w:val="nil"/>
                <w:bottom w:val="nil"/>
                <w:right w:val="nil"/>
                <w:between w:val="nil"/>
              </w:pBdr>
              <w:ind w:left="113" w:hanging="113"/>
              <w:rPr>
                <w:color w:val="000000"/>
                <w:szCs w:val="16"/>
              </w:rPr>
            </w:pPr>
          </w:p>
        </w:tc>
        <w:tc>
          <w:tcPr>
            <w:tcW w:w="1030" w:type="pct"/>
            <w:vAlign w:val="bottom"/>
          </w:tcPr>
          <w:p w14:paraId="3DCF66CA" w14:textId="77777777" w:rsidR="00D83E33" w:rsidRPr="001B330E" w:rsidRDefault="00D83E33" w:rsidP="001B330E">
            <w:pPr>
              <w:widowControl w:val="0"/>
              <w:pBdr>
                <w:top w:val="nil"/>
                <w:left w:val="nil"/>
                <w:bottom w:val="nil"/>
                <w:right w:val="nil"/>
                <w:between w:val="nil"/>
              </w:pBdr>
              <w:jc w:val="right"/>
              <w:rPr>
                <w:color w:val="000000"/>
                <w:szCs w:val="16"/>
              </w:rPr>
            </w:pPr>
          </w:p>
        </w:tc>
      </w:tr>
      <w:tr w:rsidR="00D83E33" w:rsidRPr="00E837F2" w14:paraId="49008071" w14:textId="77777777" w:rsidTr="001B330E">
        <w:trPr>
          <w:trHeight w:val="23"/>
        </w:trPr>
        <w:tc>
          <w:tcPr>
            <w:tcW w:w="3970" w:type="pct"/>
            <w:vAlign w:val="bottom"/>
          </w:tcPr>
          <w:p w14:paraId="2033F8BE" w14:textId="64776906"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At 31</w:t>
            </w:r>
            <w:r w:rsidR="00181687">
              <w:rPr>
                <w:b/>
                <w:color w:val="000000"/>
              </w:rPr>
              <w:t> December </w:t>
            </w:r>
            <w:r w:rsidR="00541EBC">
              <w:rPr>
                <w:b/>
                <w:color w:val="000000"/>
              </w:rPr>
              <w:t>2023</w:t>
            </w:r>
          </w:p>
        </w:tc>
        <w:tc>
          <w:tcPr>
            <w:tcW w:w="1030" w:type="pct"/>
            <w:vAlign w:val="bottom"/>
          </w:tcPr>
          <w:p w14:paraId="04DA627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3663ECD" w14:textId="77777777" w:rsidTr="001B330E">
        <w:trPr>
          <w:trHeight w:val="23"/>
        </w:trPr>
        <w:tc>
          <w:tcPr>
            <w:tcW w:w="3970" w:type="pct"/>
            <w:vAlign w:val="bottom"/>
          </w:tcPr>
          <w:p w14:paraId="334C49A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Gross carrying amount of loans that were contractually modified (without derecognition) in the past when measured at lifetime ECL and which were reclassified to Stage 1 (12 months ECL) during the current year</w:t>
            </w:r>
          </w:p>
        </w:tc>
        <w:tc>
          <w:tcPr>
            <w:tcW w:w="1030" w:type="pct"/>
            <w:vAlign w:val="bottom"/>
          </w:tcPr>
          <w:p w14:paraId="10B1E336"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3797D26" w14:textId="77777777" w:rsidTr="001B330E">
        <w:trPr>
          <w:trHeight w:val="23"/>
        </w:trPr>
        <w:tc>
          <w:tcPr>
            <w:tcW w:w="3970" w:type="pct"/>
            <w:tcBorders>
              <w:bottom w:val="single" w:sz="4" w:space="0" w:color="000000"/>
            </w:tcBorders>
            <w:shd w:val="clear" w:color="auto" w:fill="auto"/>
            <w:vAlign w:val="bottom"/>
          </w:tcPr>
          <w:p w14:paraId="5483EA14" w14:textId="77777777" w:rsidR="00D83E33" w:rsidRPr="001B330E" w:rsidRDefault="00D83E33" w:rsidP="001B330E">
            <w:pPr>
              <w:widowControl w:val="0"/>
              <w:pBdr>
                <w:top w:val="nil"/>
                <w:left w:val="nil"/>
                <w:bottom w:val="nil"/>
                <w:right w:val="nil"/>
                <w:between w:val="nil"/>
              </w:pBdr>
              <w:ind w:left="113" w:hanging="113"/>
              <w:rPr>
                <w:color w:val="000000"/>
                <w:szCs w:val="16"/>
              </w:rPr>
            </w:pPr>
          </w:p>
        </w:tc>
        <w:tc>
          <w:tcPr>
            <w:tcW w:w="1030" w:type="pct"/>
            <w:tcBorders>
              <w:bottom w:val="single" w:sz="4" w:space="0" w:color="000000"/>
            </w:tcBorders>
            <w:shd w:val="clear" w:color="auto" w:fill="auto"/>
            <w:vAlign w:val="bottom"/>
          </w:tcPr>
          <w:p w14:paraId="63B7F687" w14:textId="77777777" w:rsidR="00D83E33" w:rsidRPr="001B330E" w:rsidRDefault="00D83E33" w:rsidP="001B330E">
            <w:pPr>
              <w:widowControl w:val="0"/>
              <w:pBdr>
                <w:top w:val="nil"/>
                <w:left w:val="nil"/>
                <w:bottom w:val="nil"/>
                <w:right w:val="nil"/>
                <w:between w:val="nil"/>
              </w:pBdr>
              <w:jc w:val="right"/>
              <w:rPr>
                <w:color w:val="000000"/>
                <w:szCs w:val="16"/>
              </w:rPr>
            </w:pPr>
          </w:p>
        </w:tc>
      </w:tr>
    </w:tbl>
    <w:p w14:paraId="3B598F0D" w14:textId="77777777" w:rsidR="009C6EFA" w:rsidRDefault="009C6EFA" w:rsidP="009C6EFA">
      <w:pPr>
        <w:pStyle w:val="Continued"/>
      </w:pPr>
      <w:r>
        <w:lastRenderedPageBreak/>
        <w:t>11</w:t>
      </w:r>
      <w:r>
        <w:tab/>
        <w:t>Loans and Advances to Customers (Continued)</w:t>
      </w:r>
    </w:p>
    <w:p w14:paraId="06C2E80F"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49 for the estimated fair value of each class of loans and advances to customers. Interest rate analysis of loans and advances to customers is disclosed in Note 41. Information on related party balances is disclosed in Note 51.</w:t>
      </w:r>
    </w:p>
    <w:p w14:paraId="7E4D4556" w14:textId="77777777" w:rsidR="00D83E33" w:rsidRDefault="00BC4072" w:rsidP="001B330E">
      <w:pPr>
        <w:pStyle w:val="Heading1"/>
      </w:pPr>
      <w:bookmarkStart w:id="33" w:name="_Toc179196014"/>
      <w:r>
        <w:t>Repurchase Receivables</w:t>
      </w:r>
      <w:bookmarkEnd w:id="33"/>
    </w:p>
    <w:p w14:paraId="7569F5CA" w14:textId="77777777" w:rsidR="00D83E33" w:rsidRDefault="00BC4072">
      <w:pPr>
        <w:widowControl w:val="0"/>
        <w:pBdr>
          <w:top w:val="nil"/>
          <w:left w:val="nil"/>
          <w:bottom w:val="nil"/>
          <w:right w:val="nil"/>
          <w:between w:val="nil"/>
        </w:pBdr>
        <w:spacing w:before="200" w:after="200"/>
        <w:jc w:val="both"/>
        <w:rPr>
          <w:color w:val="0000FF"/>
          <w:sz w:val="20"/>
          <w:szCs w:val="20"/>
        </w:rPr>
      </w:pPr>
      <w:r>
        <w:rPr>
          <w:color w:val="000000"/>
          <w:sz w:val="20"/>
          <w:szCs w:val="20"/>
        </w:rPr>
        <w:t xml:space="preserve">Repurchase receivables represent securities sold under sale and repurchase agreements which the counterparty has the right, by contract or custom, to sell or repledge. The repurchase agreements are </w:t>
      </w:r>
      <w:r>
        <w:rPr>
          <w:color w:val="0000FF"/>
          <w:sz w:val="20"/>
          <w:szCs w:val="20"/>
        </w:rPr>
        <w:t>[short-term]</w:t>
      </w:r>
      <w:r>
        <w:rPr>
          <w:color w:val="000000"/>
          <w:sz w:val="20"/>
          <w:szCs w:val="20"/>
        </w:rPr>
        <w:t xml:space="preserve"> in nature and mature by </w:t>
      </w:r>
      <w:r>
        <w:rPr>
          <w:color w:val="0000FF"/>
          <w:sz w:val="20"/>
          <w:szCs w:val="20"/>
        </w:rPr>
        <w:t>[ ].</w:t>
      </w:r>
    </w:p>
    <w:tbl>
      <w:tblPr>
        <w:tblStyle w:val="affffff9"/>
        <w:tblW w:w="5000" w:type="pct"/>
        <w:tblLayout w:type="fixed"/>
        <w:tblLook w:val="0000" w:firstRow="0" w:lastRow="0" w:firstColumn="0" w:lastColumn="0" w:noHBand="0" w:noVBand="0"/>
      </w:tblPr>
      <w:tblGrid>
        <w:gridCol w:w="7103"/>
        <w:gridCol w:w="1126"/>
        <w:gridCol w:w="1126"/>
      </w:tblGrid>
      <w:tr w:rsidR="00D83E33" w:rsidRPr="00E837F2" w14:paraId="7D537C5F" w14:textId="77777777" w:rsidTr="001B330E">
        <w:trPr>
          <w:trHeight w:val="23"/>
        </w:trPr>
        <w:tc>
          <w:tcPr>
            <w:tcW w:w="3796" w:type="pct"/>
            <w:tcBorders>
              <w:bottom w:val="single" w:sz="4" w:space="0" w:color="000000"/>
            </w:tcBorders>
            <w:vAlign w:val="bottom"/>
          </w:tcPr>
          <w:p w14:paraId="7D0748D4" w14:textId="0ACCAF6A"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2" w:type="pct"/>
            <w:tcBorders>
              <w:bottom w:val="single" w:sz="4" w:space="0" w:color="000000"/>
            </w:tcBorders>
            <w:vAlign w:val="bottom"/>
          </w:tcPr>
          <w:p w14:paraId="1B81F65D" w14:textId="5404EF5C" w:rsidR="00D83E33" w:rsidRPr="00E837F2" w:rsidRDefault="00541EBC">
            <w:pPr>
              <w:widowControl w:val="0"/>
              <w:pBdr>
                <w:top w:val="nil"/>
                <w:left w:val="nil"/>
                <w:bottom w:val="nil"/>
                <w:right w:val="nil"/>
                <w:between w:val="nil"/>
              </w:pBdr>
              <w:jc w:val="right"/>
              <w:rPr>
                <w:b/>
                <w:color w:val="000000"/>
              </w:rPr>
            </w:pPr>
            <w:r>
              <w:rPr>
                <w:b/>
                <w:color w:val="000000"/>
              </w:rPr>
              <w:t>2024</w:t>
            </w:r>
          </w:p>
        </w:tc>
        <w:tc>
          <w:tcPr>
            <w:tcW w:w="602" w:type="pct"/>
            <w:tcBorders>
              <w:bottom w:val="single" w:sz="4" w:space="0" w:color="000000"/>
            </w:tcBorders>
            <w:vAlign w:val="bottom"/>
          </w:tcPr>
          <w:p w14:paraId="63D4FF50" w14:textId="5C5F70A4" w:rsidR="00D83E33" w:rsidRPr="00E837F2" w:rsidRDefault="00541EBC">
            <w:pPr>
              <w:widowControl w:val="0"/>
              <w:pBdr>
                <w:top w:val="nil"/>
                <w:left w:val="nil"/>
                <w:bottom w:val="nil"/>
                <w:right w:val="nil"/>
                <w:between w:val="nil"/>
              </w:pBdr>
              <w:jc w:val="right"/>
              <w:rPr>
                <w:b/>
                <w:color w:val="000000"/>
              </w:rPr>
            </w:pPr>
            <w:r>
              <w:rPr>
                <w:b/>
                <w:color w:val="000000"/>
              </w:rPr>
              <w:t>2023</w:t>
            </w:r>
          </w:p>
        </w:tc>
      </w:tr>
      <w:tr w:rsidR="00D83E33" w:rsidRPr="00E837F2" w14:paraId="28E8F25B" w14:textId="77777777" w:rsidTr="001B330E">
        <w:trPr>
          <w:trHeight w:val="23"/>
        </w:trPr>
        <w:tc>
          <w:tcPr>
            <w:tcW w:w="3796" w:type="pct"/>
            <w:vAlign w:val="bottom"/>
          </w:tcPr>
          <w:p w14:paraId="06D74053" w14:textId="77777777" w:rsidR="00D83E33" w:rsidRPr="00E837F2" w:rsidRDefault="00BC4072" w:rsidP="001B330E">
            <w:pPr>
              <w:widowControl w:val="0"/>
              <w:ind w:left="113" w:hanging="113"/>
            </w:pPr>
            <w:r w:rsidRPr="00E837F2">
              <w:t> </w:t>
            </w:r>
          </w:p>
        </w:tc>
        <w:tc>
          <w:tcPr>
            <w:tcW w:w="602" w:type="pct"/>
            <w:vAlign w:val="bottom"/>
          </w:tcPr>
          <w:p w14:paraId="0ACB74B7" w14:textId="77777777" w:rsidR="00D83E33" w:rsidRPr="00E837F2" w:rsidRDefault="00D83E33">
            <w:pPr>
              <w:widowControl w:val="0"/>
              <w:pBdr>
                <w:top w:val="nil"/>
                <w:left w:val="nil"/>
                <w:bottom w:val="nil"/>
                <w:right w:val="nil"/>
                <w:between w:val="nil"/>
              </w:pBdr>
              <w:jc w:val="right"/>
              <w:rPr>
                <w:color w:val="000000"/>
              </w:rPr>
            </w:pPr>
          </w:p>
        </w:tc>
        <w:tc>
          <w:tcPr>
            <w:tcW w:w="602" w:type="pct"/>
            <w:vAlign w:val="bottom"/>
          </w:tcPr>
          <w:p w14:paraId="3A494BA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7C2B630" w14:textId="77777777" w:rsidTr="001B330E">
        <w:trPr>
          <w:trHeight w:val="23"/>
        </w:trPr>
        <w:tc>
          <w:tcPr>
            <w:tcW w:w="3796" w:type="pct"/>
            <w:vAlign w:val="bottom"/>
          </w:tcPr>
          <w:p w14:paraId="0BA663F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Debt securities at FVOCI sold under sale and repurchase agreements</w:t>
            </w:r>
          </w:p>
        </w:tc>
        <w:tc>
          <w:tcPr>
            <w:tcW w:w="602" w:type="pct"/>
            <w:vAlign w:val="bottom"/>
          </w:tcPr>
          <w:p w14:paraId="09563C46" w14:textId="77777777" w:rsidR="00D83E33" w:rsidRPr="00E837F2" w:rsidRDefault="00D83E33">
            <w:pPr>
              <w:widowControl w:val="0"/>
              <w:pBdr>
                <w:top w:val="nil"/>
                <w:left w:val="nil"/>
                <w:bottom w:val="nil"/>
                <w:right w:val="nil"/>
                <w:between w:val="nil"/>
              </w:pBdr>
              <w:jc w:val="right"/>
              <w:rPr>
                <w:color w:val="000000"/>
              </w:rPr>
            </w:pPr>
          </w:p>
        </w:tc>
        <w:tc>
          <w:tcPr>
            <w:tcW w:w="602" w:type="pct"/>
            <w:vAlign w:val="bottom"/>
          </w:tcPr>
          <w:p w14:paraId="4C5303B9"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r>
      <w:tr w:rsidR="00D83E33" w:rsidRPr="00E837F2" w14:paraId="01F72026" w14:textId="77777777" w:rsidTr="001B330E">
        <w:trPr>
          <w:trHeight w:val="23"/>
        </w:trPr>
        <w:tc>
          <w:tcPr>
            <w:tcW w:w="3796" w:type="pct"/>
            <w:vAlign w:val="bottom"/>
          </w:tcPr>
          <w:p w14:paraId="73D40B1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Debt securities at FVTPL sold under sale and repurchase agreements </w:t>
            </w:r>
          </w:p>
        </w:tc>
        <w:tc>
          <w:tcPr>
            <w:tcW w:w="602" w:type="pct"/>
            <w:vAlign w:val="bottom"/>
          </w:tcPr>
          <w:p w14:paraId="28B9EE96" w14:textId="77777777" w:rsidR="00D83E33" w:rsidRPr="00E837F2" w:rsidRDefault="00D83E33">
            <w:pPr>
              <w:widowControl w:val="0"/>
              <w:pBdr>
                <w:top w:val="nil"/>
                <w:left w:val="nil"/>
                <w:bottom w:val="nil"/>
                <w:right w:val="nil"/>
                <w:between w:val="nil"/>
              </w:pBdr>
              <w:jc w:val="right"/>
              <w:rPr>
                <w:color w:val="000000"/>
              </w:rPr>
            </w:pPr>
          </w:p>
        </w:tc>
        <w:tc>
          <w:tcPr>
            <w:tcW w:w="602" w:type="pct"/>
            <w:vAlign w:val="bottom"/>
          </w:tcPr>
          <w:p w14:paraId="0002AEC3"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r>
      <w:tr w:rsidR="00D83E33" w:rsidRPr="00E837F2" w14:paraId="7F47E0FF" w14:textId="77777777" w:rsidTr="001B330E">
        <w:trPr>
          <w:trHeight w:val="23"/>
        </w:trPr>
        <w:tc>
          <w:tcPr>
            <w:tcW w:w="3796" w:type="pct"/>
            <w:vAlign w:val="bottom"/>
          </w:tcPr>
          <w:p w14:paraId="0098F2D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Equity securities at FVOCI sold under sale and repurchase agreements</w:t>
            </w:r>
          </w:p>
        </w:tc>
        <w:tc>
          <w:tcPr>
            <w:tcW w:w="602" w:type="pct"/>
            <w:vAlign w:val="bottom"/>
          </w:tcPr>
          <w:p w14:paraId="06A95A7B" w14:textId="77777777" w:rsidR="00D83E33" w:rsidRPr="00E837F2" w:rsidRDefault="00D83E33">
            <w:pPr>
              <w:widowControl w:val="0"/>
              <w:pBdr>
                <w:top w:val="nil"/>
                <w:left w:val="nil"/>
                <w:bottom w:val="nil"/>
                <w:right w:val="nil"/>
                <w:between w:val="nil"/>
              </w:pBdr>
              <w:jc w:val="right"/>
              <w:rPr>
                <w:color w:val="000000"/>
              </w:rPr>
            </w:pPr>
          </w:p>
        </w:tc>
        <w:tc>
          <w:tcPr>
            <w:tcW w:w="602" w:type="pct"/>
            <w:vAlign w:val="bottom"/>
          </w:tcPr>
          <w:p w14:paraId="2A00E46D"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r>
      <w:tr w:rsidR="00D83E33" w:rsidRPr="00E837F2" w14:paraId="21AA7414" w14:textId="77777777" w:rsidTr="001B330E">
        <w:trPr>
          <w:trHeight w:val="23"/>
        </w:trPr>
        <w:tc>
          <w:tcPr>
            <w:tcW w:w="3796" w:type="pct"/>
            <w:vAlign w:val="bottom"/>
          </w:tcPr>
          <w:p w14:paraId="038F80D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Equity securities at FVTPL sold under sale and repurchase agreements</w:t>
            </w:r>
          </w:p>
        </w:tc>
        <w:tc>
          <w:tcPr>
            <w:tcW w:w="602" w:type="pct"/>
            <w:vAlign w:val="bottom"/>
          </w:tcPr>
          <w:p w14:paraId="334D6DE0" w14:textId="77777777" w:rsidR="00D83E33" w:rsidRPr="00E837F2" w:rsidRDefault="00D83E33">
            <w:pPr>
              <w:widowControl w:val="0"/>
              <w:pBdr>
                <w:top w:val="nil"/>
                <w:left w:val="nil"/>
                <w:bottom w:val="nil"/>
                <w:right w:val="nil"/>
                <w:between w:val="nil"/>
              </w:pBdr>
              <w:jc w:val="right"/>
              <w:rPr>
                <w:color w:val="000000"/>
              </w:rPr>
            </w:pPr>
          </w:p>
        </w:tc>
        <w:tc>
          <w:tcPr>
            <w:tcW w:w="602" w:type="pct"/>
            <w:vAlign w:val="bottom"/>
          </w:tcPr>
          <w:p w14:paraId="3C7CFAB3"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r>
      <w:tr w:rsidR="00D83E33" w:rsidRPr="00E837F2" w14:paraId="15D80ECF" w14:textId="77777777" w:rsidTr="001B330E">
        <w:trPr>
          <w:trHeight w:val="23"/>
        </w:trPr>
        <w:tc>
          <w:tcPr>
            <w:tcW w:w="3796" w:type="pct"/>
            <w:vAlign w:val="bottom"/>
          </w:tcPr>
          <w:p w14:paraId="2333EEF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Debt securities at AC sold under sale and repurchase agreements</w:t>
            </w:r>
          </w:p>
        </w:tc>
        <w:tc>
          <w:tcPr>
            <w:tcW w:w="602" w:type="pct"/>
            <w:vAlign w:val="bottom"/>
          </w:tcPr>
          <w:p w14:paraId="1A627EED" w14:textId="77777777" w:rsidR="00D83E33" w:rsidRPr="00E837F2" w:rsidRDefault="00D83E33">
            <w:pPr>
              <w:widowControl w:val="0"/>
              <w:pBdr>
                <w:top w:val="nil"/>
                <w:left w:val="nil"/>
                <w:bottom w:val="nil"/>
                <w:right w:val="nil"/>
                <w:between w:val="nil"/>
              </w:pBdr>
              <w:jc w:val="right"/>
              <w:rPr>
                <w:color w:val="000000"/>
              </w:rPr>
            </w:pPr>
          </w:p>
        </w:tc>
        <w:tc>
          <w:tcPr>
            <w:tcW w:w="602" w:type="pct"/>
            <w:vAlign w:val="bottom"/>
          </w:tcPr>
          <w:p w14:paraId="4FAC08BD"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r>
      <w:tr w:rsidR="00D83E33" w:rsidRPr="00E837F2" w14:paraId="3E3C9B28" w14:textId="77777777" w:rsidTr="001B330E">
        <w:trPr>
          <w:trHeight w:val="23"/>
        </w:trPr>
        <w:tc>
          <w:tcPr>
            <w:tcW w:w="3796" w:type="pct"/>
            <w:tcBorders>
              <w:bottom w:val="single" w:sz="4" w:space="0" w:color="000000"/>
            </w:tcBorders>
            <w:shd w:val="clear" w:color="auto" w:fill="auto"/>
            <w:vAlign w:val="bottom"/>
          </w:tcPr>
          <w:p w14:paraId="1CBCCE0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2" w:type="pct"/>
            <w:tcBorders>
              <w:bottom w:val="single" w:sz="4" w:space="0" w:color="000000"/>
            </w:tcBorders>
            <w:shd w:val="clear" w:color="auto" w:fill="auto"/>
            <w:vAlign w:val="bottom"/>
          </w:tcPr>
          <w:p w14:paraId="1237B5B0" w14:textId="77777777" w:rsidR="00D83E33" w:rsidRPr="00E837F2" w:rsidRDefault="00D83E33">
            <w:pPr>
              <w:widowControl w:val="0"/>
              <w:pBdr>
                <w:top w:val="nil"/>
                <w:left w:val="nil"/>
                <w:bottom w:val="nil"/>
                <w:right w:val="nil"/>
                <w:between w:val="nil"/>
              </w:pBdr>
              <w:jc w:val="right"/>
              <w:rPr>
                <w:color w:val="000000"/>
              </w:rPr>
            </w:pPr>
          </w:p>
        </w:tc>
        <w:tc>
          <w:tcPr>
            <w:tcW w:w="602" w:type="pct"/>
            <w:tcBorders>
              <w:bottom w:val="single" w:sz="4" w:space="0" w:color="000000"/>
            </w:tcBorders>
            <w:shd w:val="clear" w:color="auto" w:fill="auto"/>
            <w:vAlign w:val="bottom"/>
          </w:tcPr>
          <w:p w14:paraId="7E41D2B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473C091" w14:textId="77777777" w:rsidTr="001B330E">
        <w:trPr>
          <w:trHeight w:val="23"/>
        </w:trPr>
        <w:tc>
          <w:tcPr>
            <w:tcW w:w="3796" w:type="pct"/>
            <w:tcBorders>
              <w:top w:val="single" w:sz="4" w:space="0" w:color="000000"/>
            </w:tcBorders>
            <w:vAlign w:val="bottom"/>
          </w:tcPr>
          <w:p w14:paraId="361912B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602" w:type="pct"/>
            <w:tcBorders>
              <w:top w:val="single" w:sz="4" w:space="0" w:color="000000"/>
            </w:tcBorders>
            <w:vAlign w:val="bottom"/>
          </w:tcPr>
          <w:p w14:paraId="7AEEDCE0" w14:textId="77777777" w:rsidR="00D83E33" w:rsidRPr="00E837F2" w:rsidRDefault="00D83E33">
            <w:pPr>
              <w:widowControl w:val="0"/>
              <w:pBdr>
                <w:top w:val="nil"/>
                <w:left w:val="nil"/>
                <w:bottom w:val="nil"/>
                <w:right w:val="nil"/>
                <w:between w:val="nil"/>
              </w:pBdr>
              <w:jc w:val="right"/>
              <w:rPr>
                <w:color w:val="000000"/>
              </w:rPr>
            </w:pPr>
          </w:p>
        </w:tc>
        <w:tc>
          <w:tcPr>
            <w:tcW w:w="602" w:type="pct"/>
            <w:tcBorders>
              <w:top w:val="single" w:sz="4" w:space="0" w:color="000000"/>
            </w:tcBorders>
            <w:vAlign w:val="bottom"/>
          </w:tcPr>
          <w:p w14:paraId="389C6FA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D6121CB" w14:textId="77777777" w:rsidTr="001B330E">
        <w:trPr>
          <w:trHeight w:val="23"/>
        </w:trPr>
        <w:tc>
          <w:tcPr>
            <w:tcW w:w="3796" w:type="pct"/>
            <w:vAlign w:val="bottom"/>
          </w:tcPr>
          <w:p w14:paraId="47AF5A49"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repurchase receivables</w:t>
            </w:r>
          </w:p>
        </w:tc>
        <w:tc>
          <w:tcPr>
            <w:tcW w:w="602" w:type="pct"/>
            <w:vAlign w:val="bottom"/>
          </w:tcPr>
          <w:p w14:paraId="2D2773AB" w14:textId="77777777" w:rsidR="00D83E33" w:rsidRPr="00E837F2" w:rsidRDefault="00D83E33">
            <w:pPr>
              <w:widowControl w:val="0"/>
              <w:pBdr>
                <w:top w:val="nil"/>
                <w:left w:val="nil"/>
                <w:bottom w:val="nil"/>
                <w:right w:val="nil"/>
                <w:between w:val="nil"/>
              </w:pBdr>
              <w:jc w:val="right"/>
              <w:rPr>
                <w:color w:val="000000"/>
              </w:rPr>
            </w:pPr>
          </w:p>
        </w:tc>
        <w:tc>
          <w:tcPr>
            <w:tcW w:w="602" w:type="pct"/>
            <w:vAlign w:val="bottom"/>
          </w:tcPr>
          <w:p w14:paraId="5D8D361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01DDB50" w14:textId="77777777" w:rsidTr="001B330E">
        <w:trPr>
          <w:trHeight w:val="23"/>
        </w:trPr>
        <w:tc>
          <w:tcPr>
            <w:tcW w:w="3796" w:type="pct"/>
            <w:tcBorders>
              <w:bottom w:val="single" w:sz="12" w:space="0" w:color="000000"/>
            </w:tcBorders>
            <w:shd w:val="clear" w:color="auto" w:fill="auto"/>
            <w:vAlign w:val="bottom"/>
          </w:tcPr>
          <w:p w14:paraId="625A31E0" w14:textId="77777777" w:rsidR="00D83E33" w:rsidRPr="00E837F2" w:rsidRDefault="00BC4072" w:rsidP="001B330E">
            <w:pPr>
              <w:widowControl w:val="0"/>
              <w:ind w:left="113" w:hanging="113"/>
            </w:pPr>
            <w:r w:rsidRPr="00E837F2">
              <w:t> </w:t>
            </w:r>
          </w:p>
        </w:tc>
        <w:tc>
          <w:tcPr>
            <w:tcW w:w="602" w:type="pct"/>
            <w:tcBorders>
              <w:bottom w:val="single" w:sz="12" w:space="0" w:color="000000"/>
            </w:tcBorders>
            <w:shd w:val="clear" w:color="auto" w:fill="auto"/>
            <w:vAlign w:val="bottom"/>
          </w:tcPr>
          <w:p w14:paraId="39384301" w14:textId="77777777" w:rsidR="00D83E33" w:rsidRPr="00E837F2" w:rsidRDefault="00D83E33">
            <w:pPr>
              <w:widowControl w:val="0"/>
              <w:pBdr>
                <w:top w:val="nil"/>
                <w:left w:val="nil"/>
                <w:bottom w:val="nil"/>
                <w:right w:val="nil"/>
                <w:between w:val="nil"/>
              </w:pBdr>
              <w:jc w:val="right"/>
              <w:rPr>
                <w:color w:val="000000"/>
              </w:rPr>
            </w:pPr>
          </w:p>
        </w:tc>
        <w:tc>
          <w:tcPr>
            <w:tcW w:w="602" w:type="pct"/>
            <w:tcBorders>
              <w:bottom w:val="single" w:sz="12" w:space="0" w:color="000000"/>
            </w:tcBorders>
            <w:shd w:val="clear" w:color="auto" w:fill="auto"/>
            <w:vAlign w:val="bottom"/>
          </w:tcPr>
          <w:p w14:paraId="3E6F5508" w14:textId="77777777" w:rsidR="00D83E33" w:rsidRPr="00E837F2" w:rsidRDefault="00D83E33">
            <w:pPr>
              <w:widowControl w:val="0"/>
              <w:pBdr>
                <w:top w:val="nil"/>
                <w:left w:val="nil"/>
                <w:bottom w:val="nil"/>
                <w:right w:val="nil"/>
                <w:between w:val="nil"/>
              </w:pBdr>
              <w:jc w:val="right"/>
              <w:rPr>
                <w:color w:val="000000"/>
              </w:rPr>
            </w:pPr>
          </w:p>
        </w:tc>
      </w:tr>
    </w:tbl>
    <w:p w14:paraId="247369E0" w14:textId="547123B6"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Securities sold under sale and repurchase agreements at 31</w:t>
      </w:r>
      <w:r w:rsidR="00181687">
        <w:rPr>
          <w:color w:val="000000"/>
          <w:sz w:val="20"/>
          <w:szCs w:val="20"/>
        </w:rPr>
        <w:t> December </w:t>
      </w:r>
      <w:r w:rsidR="00541EBC">
        <w:rPr>
          <w:color w:val="000000"/>
          <w:sz w:val="20"/>
          <w:szCs w:val="20"/>
        </w:rPr>
        <w:t>2024</w:t>
      </w:r>
      <w:r>
        <w:rPr>
          <w:color w:val="000000"/>
          <w:sz w:val="20"/>
          <w:szCs w:val="20"/>
        </w:rPr>
        <w:t>:</w:t>
      </w:r>
    </w:p>
    <w:tbl>
      <w:tblPr>
        <w:tblStyle w:val="affffffa"/>
        <w:tblW w:w="5000" w:type="pct"/>
        <w:tblLayout w:type="fixed"/>
        <w:tblLook w:val="0000" w:firstRow="0" w:lastRow="0" w:firstColumn="0" w:lastColumn="0" w:noHBand="0" w:noVBand="0"/>
      </w:tblPr>
      <w:tblGrid>
        <w:gridCol w:w="3249"/>
        <w:gridCol w:w="1018"/>
        <w:gridCol w:w="1018"/>
        <w:gridCol w:w="1018"/>
        <w:gridCol w:w="1018"/>
        <w:gridCol w:w="1018"/>
        <w:gridCol w:w="1016"/>
      </w:tblGrid>
      <w:tr w:rsidR="00D83E33" w:rsidRPr="00E837F2" w14:paraId="3AEFDBCD" w14:textId="77777777" w:rsidTr="001B330E">
        <w:trPr>
          <w:trHeight w:val="23"/>
        </w:trPr>
        <w:tc>
          <w:tcPr>
            <w:tcW w:w="1737" w:type="pct"/>
            <w:tcBorders>
              <w:bottom w:val="single" w:sz="4" w:space="0" w:color="000000"/>
            </w:tcBorders>
            <w:vAlign w:val="bottom"/>
          </w:tcPr>
          <w:p w14:paraId="7AB179BB" w14:textId="6DD6BCC2"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44" w:type="pct"/>
            <w:tcBorders>
              <w:bottom w:val="single" w:sz="4" w:space="0" w:color="000000"/>
            </w:tcBorders>
          </w:tcPr>
          <w:p w14:paraId="05980674" w14:textId="1A03EAF5"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Debt securities at FVOCI</w:t>
            </w:r>
          </w:p>
        </w:tc>
        <w:tc>
          <w:tcPr>
            <w:tcW w:w="544" w:type="pct"/>
            <w:tcBorders>
              <w:bottom w:val="single" w:sz="4" w:space="0" w:color="000000"/>
            </w:tcBorders>
          </w:tcPr>
          <w:p w14:paraId="343C4C02" w14:textId="77777777"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Debt securities at FVTPL</w:t>
            </w:r>
          </w:p>
        </w:tc>
        <w:tc>
          <w:tcPr>
            <w:tcW w:w="544" w:type="pct"/>
            <w:tcBorders>
              <w:bottom w:val="single" w:sz="4" w:space="0" w:color="000000"/>
            </w:tcBorders>
          </w:tcPr>
          <w:p w14:paraId="083CC797" w14:textId="77777777"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Equity securities at FVOCI</w:t>
            </w:r>
          </w:p>
        </w:tc>
        <w:tc>
          <w:tcPr>
            <w:tcW w:w="544" w:type="pct"/>
            <w:tcBorders>
              <w:bottom w:val="single" w:sz="4" w:space="0" w:color="000000"/>
            </w:tcBorders>
          </w:tcPr>
          <w:p w14:paraId="1EC19DAF" w14:textId="77777777"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Equity securities at FVTPL</w:t>
            </w:r>
          </w:p>
        </w:tc>
        <w:tc>
          <w:tcPr>
            <w:tcW w:w="544" w:type="pct"/>
            <w:tcBorders>
              <w:bottom w:val="single" w:sz="4" w:space="0" w:color="000000"/>
            </w:tcBorders>
          </w:tcPr>
          <w:p w14:paraId="04CB1466" w14:textId="77777777"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Debt securities at AC</w:t>
            </w:r>
          </w:p>
        </w:tc>
        <w:tc>
          <w:tcPr>
            <w:tcW w:w="543" w:type="pct"/>
            <w:tcBorders>
              <w:bottom w:val="single" w:sz="4" w:space="0" w:color="000000"/>
            </w:tcBorders>
          </w:tcPr>
          <w:p w14:paraId="7DDA4E04" w14:textId="23596D3B"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Total</w:t>
            </w:r>
          </w:p>
        </w:tc>
      </w:tr>
      <w:tr w:rsidR="00D83E33" w:rsidRPr="00E837F2" w14:paraId="66CA2064" w14:textId="77777777" w:rsidTr="001B330E">
        <w:trPr>
          <w:trHeight w:val="23"/>
        </w:trPr>
        <w:tc>
          <w:tcPr>
            <w:tcW w:w="1737" w:type="pct"/>
            <w:vAlign w:val="bottom"/>
          </w:tcPr>
          <w:p w14:paraId="1ED01420" w14:textId="77777777" w:rsidR="00D83E33" w:rsidRPr="00E837F2" w:rsidRDefault="00BC4072" w:rsidP="001B330E">
            <w:pPr>
              <w:widowControl w:val="0"/>
              <w:ind w:left="113" w:hanging="113"/>
              <w:rPr>
                <w:b/>
                <w:u w:val="single"/>
              </w:rPr>
            </w:pPr>
            <w:r w:rsidRPr="00E837F2">
              <w:t> </w:t>
            </w:r>
          </w:p>
        </w:tc>
        <w:tc>
          <w:tcPr>
            <w:tcW w:w="544" w:type="pct"/>
            <w:vAlign w:val="bottom"/>
          </w:tcPr>
          <w:p w14:paraId="2FA0E27F" w14:textId="77777777" w:rsidR="00D83E33" w:rsidRPr="00E837F2" w:rsidRDefault="00D83E33">
            <w:pPr>
              <w:widowControl w:val="0"/>
              <w:jc w:val="right"/>
            </w:pPr>
          </w:p>
        </w:tc>
        <w:tc>
          <w:tcPr>
            <w:tcW w:w="544" w:type="pct"/>
          </w:tcPr>
          <w:p w14:paraId="4A1DF7EE" w14:textId="77777777" w:rsidR="00D83E33" w:rsidRPr="00E837F2" w:rsidRDefault="00D83E33">
            <w:pPr>
              <w:widowControl w:val="0"/>
              <w:jc w:val="right"/>
            </w:pPr>
          </w:p>
        </w:tc>
        <w:tc>
          <w:tcPr>
            <w:tcW w:w="544" w:type="pct"/>
          </w:tcPr>
          <w:p w14:paraId="7ABD3E79" w14:textId="77777777" w:rsidR="00D83E33" w:rsidRPr="00E837F2" w:rsidRDefault="00D83E33">
            <w:pPr>
              <w:widowControl w:val="0"/>
              <w:jc w:val="right"/>
            </w:pPr>
          </w:p>
        </w:tc>
        <w:tc>
          <w:tcPr>
            <w:tcW w:w="544" w:type="pct"/>
            <w:vAlign w:val="bottom"/>
          </w:tcPr>
          <w:p w14:paraId="4912A011" w14:textId="77777777" w:rsidR="00D83E33" w:rsidRPr="00E837F2" w:rsidRDefault="00D83E33">
            <w:pPr>
              <w:widowControl w:val="0"/>
              <w:jc w:val="right"/>
            </w:pPr>
          </w:p>
        </w:tc>
        <w:tc>
          <w:tcPr>
            <w:tcW w:w="544" w:type="pct"/>
            <w:vAlign w:val="bottom"/>
          </w:tcPr>
          <w:p w14:paraId="6A938C9B" w14:textId="77777777" w:rsidR="00D83E33" w:rsidRPr="00E837F2" w:rsidRDefault="00D83E33">
            <w:pPr>
              <w:widowControl w:val="0"/>
              <w:jc w:val="right"/>
            </w:pPr>
          </w:p>
        </w:tc>
        <w:tc>
          <w:tcPr>
            <w:tcW w:w="543" w:type="pct"/>
            <w:vAlign w:val="bottom"/>
          </w:tcPr>
          <w:p w14:paraId="39860DBF" w14:textId="77777777" w:rsidR="00D83E33" w:rsidRPr="00E837F2" w:rsidRDefault="00D83E33">
            <w:pPr>
              <w:widowControl w:val="0"/>
              <w:jc w:val="right"/>
            </w:pPr>
          </w:p>
        </w:tc>
      </w:tr>
      <w:tr w:rsidR="00D83E33" w:rsidRPr="00E837F2" w14:paraId="4BC7F790" w14:textId="77777777" w:rsidTr="001B330E">
        <w:trPr>
          <w:trHeight w:val="23"/>
        </w:trPr>
        <w:tc>
          <w:tcPr>
            <w:tcW w:w="1737" w:type="pct"/>
            <w:vAlign w:val="bottom"/>
          </w:tcPr>
          <w:p w14:paraId="73498B85" w14:textId="02304B3A" w:rsidR="00D83E33" w:rsidRPr="00E837F2" w:rsidRDefault="00372E26" w:rsidP="001B330E">
            <w:pPr>
              <w:widowControl w:val="0"/>
              <w:pBdr>
                <w:top w:val="nil"/>
                <w:left w:val="nil"/>
                <w:bottom w:val="nil"/>
                <w:right w:val="nil"/>
                <w:between w:val="nil"/>
              </w:pBdr>
              <w:ind w:left="113" w:hanging="113"/>
              <w:rPr>
                <w:color w:val="000000"/>
              </w:rPr>
            </w:pPr>
            <w:r>
              <w:rPr>
                <w:color w:val="000000"/>
              </w:rPr>
              <w:t>[Country]</w:t>
            </w:r>
            <w:r w:rsidR="00062BE5" w:rsidRPr="00E837F2">
              <w:rPr>
                <w:color w:val="000000"/>
              </w:rPr>
              <w:t xml:space="preserve"> </w:t>
            </w:r>
            <w:r w:rsidR="00BC4072" w:rsidRPr="00E837F2">
              <w:rPr>
                <w:color w:val="000000"/>
              </w:rPr>
              <w:t>government bonds</w:t>
            </w:r>
          </w:p>
        </w:tc>
        <w:tc>
          <w:tcPr>
            <w:tcW w:w="544" w:type="pct"/>
            <w:vAlign w:val="bottom"/>
          </w:tcPr>
          <w:p w14:paraId="677A5C6F"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C38F68C"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10574C1A"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000F42DD"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6484BB5A"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531445D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D2416E" w14:textId="77777777" w:rsidTr="001B330E">
        <w:trPr>
          <w:trHeight w:val="23"/>
        </w:trPr>
        <w:tc>
          <w:tcPr>
            <w:tcW w:w="1737" w:type="pct"/>
            <w:vAlign w:val="bottom"/>
          </w:tcPr>
          <w:p w14:paraId="380A4A6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Municipal bonds</w:t>
            </w:r>
          </w:p>
        </w:tc>
        <w:tc>
          <w:tcPr>
            <w:tcW w:w="544" w:type="pct"/>
            <w:vAlign w:val="bottom"/>
          </w:tcPr>
          <w:p w14:paraId="7DD417E4"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4CA58FEC"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68F2196"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3C082A98"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2056DE6A"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3F9F502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D779FDA" w14:textId="77777777" w:rsidTr="001B330E">
        <w:trPr>
          <w:trHeight w:val="23"/>
        </w:trPr>
        <w:tc>
          <w:tcPr>
            <w:tcW w:w="1737" w:type="pct"/>
            <w:vAlign w:val="bottom"/>
          </w:tcPr>
          <w:p w14:paraId="6624F65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Corporate bonds</w:t>
            </w:r>
          </w:p>
          <w:p w14:paraId="330A8E1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Investments in mutual funds</w:t>
            </w:r>
          </w:p>
        </w:tc>
        <w:tc>
          <w:tcPr>
            <w:tcW w:w="544" w:type="pct"/>
            <w:vAlign w:val="bottom"/>
          </w:tcPr>
          <w:p w14:paraId="36F8F9B1"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88FDB23"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11D68D68"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6EFB9164"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44059586"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25461A9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F5D60D1" w14:textId="77777777" w:rsidTr="001B330E">
        <w:trPr>
          <w:trHeight w:val="23"/>
        </w:trPr>
        <w:tc>
          <w:tcPr>
            <w:tcW w:w="1737" w:type="pct"/>
            <w:vAlign w:val="bottom"/>
          </w:tcPr>
          <w:p w14:paraId="413C251E" w14:textId="509F58CA"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Promissory notes </w:t>
            </w:r>
          </w:p>
        </w:tc>
        <w:tc>
          <w:tcPr>
            <w:tcW w:w="544" w:type="pct"/>
            <w:vAlign w:val="bottom"/>
          </w:tcPr>
          <w:p w14:paraId="3B68CF35"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3EE1FFE4"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F22AD49"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705EB317"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7C097702"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1227791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8E49E8A" w14:textId="77777777" w:rsidTr="001B330E">
        <w:trPr>
          <w:trHeight w:val="23"/>
        </w:trPr>
        <w:tc>
          <w:tcPr>
            <w:tcW w:w="1737" w:type="pct"/>
            <w:tcBorders>
              <w:bottom w:val="single" w:sz="4" w:space="0" w:color="000000"/>
            </w:tcBorders>
            <w:shd w:val="clear" w:color="auto" w:fill="auto"/>
            <w:vAlign w:val="bottom"/>
          </w:tcPr>
          <w:p w14:paraId="0C57F64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544" w:type="pct"/>
            <w:tcBorders>
              <w:bottom w:val="single" w:sz="4" w:space="0" w:color="000000"/>
            </w:tcBorders>
            <w:vAlign w:val="bottom"/>
          </w:tcPr>
          <w:p w14:paraId="258F34FE"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01F0C726"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0D14AC3D"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6D2052D0"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0C15DE4E"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3DFE1E7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9E51288" w14:textId="77777777" w:rsidTr="001B330E">
        <w:trPr>
          <w:trHeight w:val="23"/>
        </w:trPr>
        <w:tc>
          <w:tcPr>
            <w:tcW w:w="1737" w:type="pct"/>
            <w:tcBorders>
              <w:top w:val="single" w:sz="4" w:space="0" w:color="000000"/>
            </w:tcBorders>
            <w:vAlign w:val="bottom"/>
          </w:tcPr>
          <w:p w14:paraId="55A2FB0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544" w:type="pct"/>
            <w:tcBorders>
              <w:top w:val="single" w:sz="4" w:space="0" w:color="000000"/>
            </w:tcBorders>
            <w:vAlign w:val="bottom"/>
          </w:tcPr>
          <w:p w14:paraId="688464A0"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3A15335B"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5A5FECBE"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2D0A2831"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79B49A3E"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208E307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8AC5354" w14:textId="77777777" w:rsidTr="001B330E">
        <w:trPr>
          <w:trHeight w:val="23"/>
        </w:trPr>
        <w:tc>
          <w:tcPr>
            <w:tcW w:w="1737" w:type="pct"/>
            <w:vAlign w:val="bottom"/>
          </w:tcPr>
          <w:p w14:paraId="340496B7"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debt securities (fair value or gross carrying amount)</w:t>
            </w:r>
          </w:p>
        </w:tc>
        <w:tc>
          <w:tcPr>
            <w:tcW w:w="544" w:type="pct"/>
            <w:vAlign w:val="bottom"/>
          </w:tcPr>
          <w:p w14:paraId="2F16C3DF" w14:textId="77777777" w:rsidR="00D83E33" w:rsidRPr="00E837F2" w:rsidRDefault="00D83E33">
            <w:pPr>
              <w:widowControl w:val="0"/>
              <w:pBdr>
                <w:top w:val="nil"/>
                <w:left w:val="nil"/>
                <w:bottom w:val="nil"/>
                <w:right w:val="nil"/>
                <w:between w:val="nil"/>
              </w:pBdr>
              <w:jc w:val="right"/>
              <w:rPr>
                <w:b/>
                <w:color w:val="000000"/>
              </w:rPr>
            </w:pPr>
          </w:p>
        </w:tc>
        <w:tc>
          <w:tcPr>
            <w:tcW w:w="544" w:type="pct"/>
          </w:tcPr>
          <w:p w14:paraId="1765103D" w14:textId="77777777" w:rsidR="00D83E33" w:rsidRPr="00E837F2" w:rsidRDefault="00D83E33">
            <w:pPr>
              <w:widowControl w:val="0"/>
              <w:pBdr>
                <w:top w:val="nil"/>
                <w:left w:val="nil"/>
                <w:bottom w:val="nil"/>
                <w:right w:val="nil"/>
                <w:between w:val="nil"/>
              </w:pBdr>
              <w:jc w:val="right"/>
              <w:rPr>
                <w:b/>
                <w:color w:val="000000"/>
              </w:rPr>
            </w:pPr>
          </w:p>
        </w:tc>
        <w:tc>
          <w:tcPr>
            <w:tcW w:w="544" w:type="pct"/>
          </w:tcPr>
          <w:p w14:paraId="1B2CBFEA" w14:textId="77777777" w:rsidR="00D83E33" w:rsidRPr="00E837F2" w:rsidRDefault="00D83E33">
            <w:pPr>
              <w:widowControl w:val="0"/>
              <w:pBdr>
                <w:top w:val="nil"/>
                <w:left w:val="nil"/>
                <w:bottom w:val="nil"/>
                <w:right w:val="nil"/>
                <w:between w:val="nil"/>
              </w:pBdr>
              <w:jc w:val="right"/>
              <w:rPr>
                <w:b/>
                <w:color w:val="000000"/>
              </w:rPr>
            </w:pPr>
          </w:p>
        </w:tc>
        <w:tc>
          <w:tcPr>
            <w:tcW w:w="544" w:type="pct"/>
            <w:vAlign w:val="bottom"/>
          </w:tcPr>
          <w:p w14:paraId="1ECB3FFD" w14:textId="77777777" w:rsidR="00D83E33" w:rsidRPr="00E837F2" w:rsidRDefault="00D83E33">
            <w:pPr>
              <w:widowControl w:val="0"/>
              <w:pBdr>
                <w:top w:val="nil"/>
                <w:left w:val="nil"/>
                <w:bottom w:val="nil"/>
                <w:right w:val="nil"/>
                <w:between w:val="nil"/>
              </w:pBdr>
              <w:jc w:val="right"/>
              <w:rPr>
                <w:b/>
                <w:color w:val="000000"/>
              </w:rPr>
            </w:pPr>
          </w:p>
        </w:tc>
        <w:tc>
          <w:tcPr>
            <w:tcW w:w="544" w:type="pct"/>
            <w:vAlign w:val="bottom"/>
          </w:tcPr>
          <w:p w14:paraId="7662876D" w14:textId="77777777" w:rsidR="00D83E33" w:rsidRPr="00E837F2" w:rsidRDefault="00D83E33">
            <w:pPr>
              <w:widowControl w:val="0"/>
              <w:pBdr>
                <w:top w:val="nil"/>
                <w:left w:val="nil"/>
                <w:bottom w:val="nil"/>
                <w:right w:val="nil"/>
                <w:between w:val="nil"/>
              </w:pBdr>
              <w:jc w:val="right"/>
              <w:rPr>
                <w:b/>
                <w:color w:val="000000"/>
              </w:rPr>
            </w:pPr>
          </w:p>
        </w:tc>
        <w:tc>
          <w:tcPr>
            <w:tcW w:w="543" w:type="pct"/>
            <w:vAlign w:val="bottom"/>
          </w:tcPr>
          <w:p w14:paraId="3CF25B7B"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4F8A9B05" w14:textId="77777777" w:rsidTr="001B330E">
        <w:trPr>
          <w:trHeight w:val="23"/>
        </w:trPr>
        <w:tc>
          <w:tcPr>
            <w:tcW w:w="1737" w:type="pct"/>
            <w:tcBorders>
              <w:bottom w:val="single" w:sz="4" w:space="0" w:color="000000"/>
            </w:tcBorders>
            <w:shd w:val="clear" w:color="auto" w:fill="auto"/>
            <w:vAlign w:val="bottom"/>
          </w:tcPr>
          <w:p w14:paraId="4605889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544" w:type="pct"/>
            <w:tcBorders>
              <w:bottom w:val="single" w:sz="4" w:space="0" w:color="000000"/>
            </w:tcBorders>
            <w:vAlign w:val="bottom"/>
          </w:tcPr>
          <w:p w14:paraId="5D560935"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48AC15DD"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0CCF9070"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11E4C14D"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0FD86BAF"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7CA7E1B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6B5316B" w14:textId="77777777" w:rsidTr="001B330E">
        <w:trPr>
          <w:trHeight w:val="23"/>
        </w:trPr>
        <w:tc>
          <w:tcPr>
            <w:tcW w:w="1737" w:type="pct"/>
            <w:shd w:val="clear" w:color="auto" w:fill="auto"/>
            <w:vAlign w:val="bottom"/>
          </w:tcPr>
          <w:p w14:paraId="1369E68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vAlign w:val="bottom"/>
          </w:tcPr>
          <w:p w14:paraId="60BECA53"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1264ABD8"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3B214134"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05CF4987"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7C446727"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67363C5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DC21E9" w14:textId="77777777" w:rsidTr="001B330E">
        <w:trPr>
          <w:trHeight w:val="23"/>
        </w:trPr>
        <w:tc>
          <w:tcPr>
            <w:tcW w:w="1737" w:type="pct"/>
            <w:shd w:val="clear" w:color="auto" w:fill="auto"/>
            <w:vAlign w:val="bottom"/>
          </w:tcPr>
          <w:p w14:paraId="1035939E"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544" w:type="pct"/>
            <w:vAlign w:val="bottom"/>
          </w:tcPr>
          <w:p w14:paraId="726CBB49"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c>
          <w:tcPr>
            <w:tcW w:w="544" w:type="pct"/>
          </w:tcPr>
          <w:p w14:paraId="5059C3C6"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c>
          <w:tcPr>
            <w:tcW w:w="544" w:type="pct"/>
          </w:tcPr>
          <w:p w14:paraId="1EB85E45"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c>
          <w:tcPr>
            <w:tcW w:w="544" w:type="pct"/>
            <w:vAlign w:val="bottom"/>
          </w:tcPr>
          <w:p w14:paraId="220540A7"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c>
          <w:tcPr>
            <w:tcW w:w="544" w:type="pct"/>
            <w:vAlign w:val="bottom"/>
          </w:tcPr>
          <w:p w14:paraId="3E8E1A5D"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6C96378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CFC56CB" w14:textId="77777777" w:rsidTr="001B330E">
        <w:trPr>
          <w:trHeight w:val="23"/>
        </w:trPr>
        <w:tc>
          <w:tcPr>
            <w:tcW w:w="1737" w:type="pct"/>
            <w:tcBorders>
              <w:bottom w:val="single" w:sz="4" w:space="0" w:color="000000"/>
            </w:tcBorders>
            <w:shd w:val="clear" w:color="auto" w:fill="auto"/>
            <w:vAlign w:val="bottom"/>
          </w:tcPr>
          <w:p w14:paraId="6D0DBD9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bottom w:val="single" w:sz="4" w:space="0" w:color="000000"/>
            </w:tcBorders>
            <w:vAlign w:val="bottom"/>
          </w:tcPr>
          <w:p w14:paraId="432F0A72"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7EB08111"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54545838"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42C93DAD"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3D4FEDD0"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3E6327D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C2422DC" w14:textId="77777777" w:rsidTr="001B330E">
        <w:trPr>
          <w:trHeight w:val="23"/>
        </w:trPr>
        <w:tc>
          <w:tcPr>
            <w:tcW w:w="1737" w:type="pct"/>
            <w:shd w:val="clear" w:color="auto" w:fill="auto"/>
            <w:vAlign w:val="bottom"/>
          </w:tcPr>
          <w:p w14:paraId="779A94F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vAlign w:val="bottom"/>
          </w:tcPr>
          <w:p w14:paraId="0051C53D"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C08723A"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4B12F656"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31810C3F"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3EBF9FE8"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58666B0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56DE2F1" w14:textId="77777777" w:rsidTr="001B330E">
        <w:trPr>
          <w:trHeight w:val="23"/>
        </w:trPr>
        <w:tc>
          <w:tcPr>
            <w:tcW w:w="1737" w:type="pct"/>
            <w:shd w:val="clear" w:color="auto" w:fill="auto"/>
            <w:vAlign w:val="bottom"/>
          </w:tcPr>
          <w:p w14:paraId="415A4AC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color w:val="000000"/>
              </w:rPr>
              <w:t>Total debt securities (carrying value)</w:t>
            </w:r>
          </w:p>
        </w:tc>
        <w:tc>
          <w:tcPr>
            <w:tcW w:w="544" w:type="pct"/>
            <w:vAlign w:val="bottom"/>
          </w:tcPr>
          <w:p w14:paraId="3FF3B40C"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34EFE97"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8898C40"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1FD618DE"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7384CE29"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48E5DD7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6443D96" w14:textId="77777777" w:rsidTr="001B330E">
        <w:trPr>
          <w:trHeight w:val="23"/>
        </w:trPr>
        <w:tc>
          <w:tcPr>
            <w:tcW w:w="1737" w:type="pct"/>
            <w:tcBorders>
              <w:bottom w:val="single" w:sz="4" w:space="0" w:color="000000"/>
            </w:tcBorders>
            <w:shd w:val="clear" w:color="auto" w:fill="auto"/>
            <w:vAlign w:val="bottom"/>
          </w:tcPr>
          <w:p w14:paraId="53A800A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bottom w:val="single" w:sz="4" w:space="0" w:color="000000"/>
            </w:tcBorders>
            <w:vAlign w:val="bottom"/>
          </w:tcPr>
          <w:p w14:paraId="6F2EF7D6"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77E6CAC5"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6BFDD57C"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03F3E1DF"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3E2CEA2D"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5C2082B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1E91D76" w14:textId="77777777" w:rsidTr="001B330E">
        <w:trPr>
          <w:trHeight w:val="23"/>
        </w:trPr>
        <w:tc>
          <w:tcPr>
            <w:tcW w:w="1737" w:type="pct"/>
            <w:tcBorders>
              <w:top w:val="single" w:sz="4" w:space="0" w:color="000000"/>
            </w:tcBorders>
            <w:shd w:val="clear" w:color="auto" w:fill="auto"/>
            <w:vAlign w:val="bottom"/>
          </w:tcPr>
          <w:p w14:paraId="62FB94C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top w:val="single" w:sz="4" w:space="0" w:color="000000"/>
            </w:tcBorders>
            <w:vAlign w:val="bottom"/>
          </w:tcPr>
          <w:p w14:paraId="6887AF12"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38542D64"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105E25BB"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06DA2698"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7A073669"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01BF45E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8FC775D" w14:textId="77777777" w:rsidTr="001B330E">
        <w:trPr>
          <w:trHeight w:val="23"/>
        </w:trPr>
        <w:tc>
          <w:tcPr>
            <w:tcW w:w="1737" w:type="pct"/>
            <w:vAlign w:val="bottom"/>
          </w:tcPr>
          <w:p w14:paraId="071C055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Corporate shares </w:t>
            </w:r>
          </w:p>
        </w:tc>
        <w:tc>
          <w:tcPr>
            <w:tcW w:w="544" w:type="pct"/>
            <w:vAlign w:val="bottom"/>
          </w:tcPr>
          <w:p w14:paraId="5905EAC4"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30C4D53"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19FF471D"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7157F4D4"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56586C4A"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193F35B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98645F2" w14:textId="77777777" w:rsidTr="001B330E">
        <w:trPr>
          <w:trHeight w:val="23"/>
        </w:trPr>
        <w:tc>
          <w:tcPr>
            <w:tcW w:w="1737" w:type="pct"/>
            <w:vAlign w:val="bottom"/>
          </w:tcPr>
          <w:p w14:paraId="787BE20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American depositary receipts (ADR)</w:t>
            </w:r>
          </w:p>
        </w:tc>
        <w:tc>
          <w:tcPr>
            <w:tcW w:w="544" w:type="pct"/>
            <w:vAlign w:val="bottom"/>
          </w:tcPr>
          <w:p w14:paraId="439A3B8C"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EEB3504"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05D950B"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512BC8D9"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17C4FE6F"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7B61946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EE7B9A1" w14:textId="77777777" w:rsidTr="001B330E">
        <w:trPr>
          <w:trHeight w:val="23"/>
        </w:trPr>
        <w:tc>
          <w:tcPr>
            <w:tcW w:w="1737" w:type="pct"/>
            <w:vAlign w:val="bottom"/>
          </w:tcPr>
          <w:p w14:paraId="5F3646B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Investments in mutual funds</w:t>
            </w:r>
          </w:p>
        </w:tc>
        <w:tc>
          <w:tcPr>
            <w:tcW w:w="544" w:type="pct"/>
            <w:vAlign w:val="bottom"/>
          </w:tcPr>
          <w:p w14:paraId="40444A67"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16E71C6D"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3B3A2E41"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420D5758"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14DC9BBF"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6E4F9A8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34B0F27" w14:textId="77777777" w:rsidTr="001B330E">
        <w:trPr>
          <w:trHeight w:val="23"/>
        </w:trPr>
        <w:tc>
          <w:tcPr>
            <w:tcW w:w="1737" w:type="pct"/>
            <w:vAlign w:val="bottom"/>
          </w:tcPr>
          <w:p w14:paraId="1AC9431C" w14:textId="0C1E2C48"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Global depositary receipts (GDR) </w:t>
            </w:r>
          </w:p>
        </w:tc>
        <w:tc>
          <w:tcPr>
            <w:tcW w:w="544" w:type="pct"/>
            <w:vAlign w:val="bottom"/>
          </w:tcPr>
          <w:p w14:paraId="3620591F"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1207CCD6"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049E7A9"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3E4927E5"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178C4C71"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7C5D532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F97F8A9" w14:textId="77777777" w:rsidTr="001B330E">
        <w:trPr>
          <w:trHeight w:val="23"/>
        </w:trPr>
        <w:tc>
          <w:tcPr>
            <w:tcW w:w="1737" w:type="pct"/>
            <w:tcBorders>
              <w:bottom w:val="single" w:sz="4" w:space="0" w:color="000000"/>
            </w:tcBorders>
            <w:vAlign w:val="bottom"/>
          </w:tcPr>
          <w:p w14:paraId="11910FE1" w14:textId="77777777" w:rsidR="00D83E33" w:rsidRPr="00E837F2" w:rsidRDefault="00BC4072" w:rsidP="001B330E">
            <w:pPr>
              <w:widowControl w:val="0"/>
              <w:ind w:left="113" w:hanging="113"/>
            </w:pPr>
            <w:r w:rsidRPr="00E837F2">
              <w:t> </w:t>
            </w:r>
          </w:p>
        </w:tc>
        <w:tc>
          <w:tcPr>
            <w:tcW w:w="544" w:type="pct"/>
            <w:tcBorders>
              <w:bottom w:val="single" w:sz="4" w:space="0" w:color="000000"/>
            </w:tcBorders>
            <w:vAlign w:val="bottom"/>
          </w:tcPr>
          <w:p w14:paraId="051AF3DF" w14:textId="77777777" w:rsidR="00D83E33" w:rsidRPr="00E837F2" w:rsidRDefault="00D83E33">
            <w:pPr>
              <w:widowControl w:val="0"/>
              <w:jc w:val="right"/>
            </w:pPr>
          </w:p>
        </w:tc>
        <w:tc>
          <w:tcPr>
            <w:tcW w:w="544" w:type="pct"/>
            <w:tcBorders>
              <w:bottom w:val="single" w:sz="4" w:space="0" w:color="000000"/>
            </w:tcBorders>
          </w:tcPr>
          <w:p w14:paraId="760A7046" w14:textId="77777777" w:rsidR="00D83E33" w:rsidRPr="00E837F2" w:rsidRDefault="00D83E33">
            <w:pPr>
              <w:widowControl w:val="0"/>
              <w:jc w:val="right"/>
            </w:pPr>
          </w:p>
        </w:tc>
        <w:tc>
          <w:tcPr>
            <w:tcW w:w="544" w:type="pct"/>
            <w:tcBorders>
              <w:bottom w:val="single" w:sz="4" w:space="0" w:color="000000"/>
            </w:tcBorders>
          </w:tcPr>
          <w:p w14:paraId="09822B76" w14:textId="77777777" w:rsidR="00D83E33" w:rsidRPr="00E837F2" w:rsidRDefault="00D83E33">
            <w:pPr>
              <w:widowControl w:val="0"/>
              <w:jc w:val="right"/>
            </w:pPr>
          </w:p>
        </w:tc>
        <w:tc>
          <w:tcPr>
            <w:tcW w:w="544" w:type="pct"/>
            <w:tcBorders>
              <w:bottom w:val="single" w:sz="4" w:space="0" w:color="000000"/>
            </w:tcBorders>
            <w:vAlign w:val="bottom"/>
          </w:tcPr>
          <w:p w14:paraId="61CA156C" w14:textId="77777777" w:rsidR="00D83E33" w:rsidRPr="00E837F2" w:rsidRDefault="00D83E33">
            <w:pPr>
              <w:widowControl w:val="0"/>
              <w:jc w:val="right"/>
            </w:pPr>
          </w:p>
        </w:tc>
        <w:tc>
          <w:tcPr>
            <w:tcW w:w="544" w:type="pct"/>
            <w:tcBorders>
              <w:bottom w:val="single" w:sz="4" w:space="0" w:color="000000"/>
            </w:tcBorders>
            <w:vAlign w:val="bottom"/>
          </w:tcPr>
          <w:p w14:paraId="20A4BBFC" w14:textId="77777777" w:rsidR="00D83E33" w:rsidRPr="00E837F2" w:rsidRDefault="00D83E33">
            <w:pPr>
              <w:widowControl w:val="0"/>
              <w:jc w:val="right"/>
            </w:pPr>
          </w:p>
        </w:tc>
        <w:tc>
          <w:tcPr>
            <w:tcW w:w="543" w:type="pct"/>
            <w:tcBorders>
              <w:bottom w:val="single" w:sz="4" w:space="0" w:color="000000"/>
            </w:tcBorders>
            <w:vAlign w:val="bottom"/>
          </w:tcPr>
          <w:p w14:paraId="6ACC6DAA" w14:textId="77777777" w:rsidR="00D83E33" w:rsidRPr="00E837F2" w:rsidRDefault="00D83E33">
            <w:pPr>
              <w:widowControl w:val="0"/>
              <w:jc w:val="right"/>
            </w:pPr>
          </w:p>
        </w:tc>
      </w:tr>
      <w:tr w:rsidR="00D83E33" w:rsidRPr="00E837F2" w14:paraId="36D53BC1" w14:textId="77777777" w:rsidTr="001B330E">
        <w:trPr>
          <w:trHeight w:val="23"/>
        </w:trPr>
        <w:tc>
          <w:tcPr>
            <w:tcW w:w="1737" w:type="pct"/>
            <w:tcBorders>
              <w:top w:val="single" w:sz="4" w:space="0" w:color="000000"/>
            </w:tcBorders>
            <w:shd w:val="clear" w:color="auto" w:fill="auto"/>
            <w:vAlign w:val="bottom"/>
          </w:tcPr>
          <w:p w14:paraId="442B466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top w:val="single" w:sz="4" w:space="0" w:color="000000"/>
            </w:tcBorders>
            <w:vAlign w:val="bottom"/>
          </w:tcPr>
          <w:p w14:paraId="4B39DE66"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0615D33D"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0E557905"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00106E97"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116F4C0F"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75C58D9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25AD031" w14:textId="77777777" w:rsidTr="001B330E">
        <w:trPr>
          <w:trHeight w:val="23"/>
        </w:trPr>
        <w:tc>
          <w:tcPr>
            <w:tcW w:w="1737" w:type="pct"/>
            <w:vAlign w:val="bottom"/>
          </w:tcPr>
          <w:p w14:paraId="2D622C6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color w:val="000000"/>
              </w:rPr>
              <w:t>Total equity securities (carrying value)</w:t>
            </w:r>
          </w:p>
        </w:tc>
        <w:tc>
          <w:tcPr>
            <w:tcW w:w="544" w:type="pct"/>
            <w:vAlign w:val="bottom"/>
          </w:tcPr>
          <w:p w14:paraId="2A4E950F"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23B91CEB"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F972D41"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35AFCDD6"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34785F90"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08F6E27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18BBBF2" w14:textId="77777777" w:rsidTr="001B330E">
        <w:trPr>
          <w:trHeight w:val="23"/>
        </w:trPr>
        <w:tc>
          <w:tcPr>
            <w:tcW w:w="1737" w:type="pct"/>
            <w:tcBorders>
              <w:bottom w:val="single" w:sz="4" w:space="0" w:color="000000"/>
            </w:tcBorders>
            <w:vAlign w:val="bottom"/>
          </w:tcPr>
          <w:p w14:paraId="70F19CEC" w14:textId="77777777" w:rsidR="00D83E33" w:rsidRPr="00E837F2" w:rsidRDefault="00BC4072" w:rsidP="001B330E">
            <w:pPr>
              <w:widowControl w:val="0"/>
              <w:ind w:left="113" w:hanging="113"/>
            </w:pPr>
            <w:r w:rsidRPr="00E837F2">
              <w:t> </w:t>
            </w:r>
          </w:p>
        </w:tc>
        <w:tc>
          <w:tcPr>
            <w:tcW w:w="544" w:type="pct"/>
            <w:tcBorders>
              <w:bottom w:val="single" w:sz="4" w:space="0" w:color="000000"/>
            </w:tcBorders>
            <w:vAlign w:val="bottom"/>
          </w:tcPr>
          <w:p w14:paraId="001E01A0" w14:textId="77777777" w:rsidR="00D83E33" w:rsidRPr="00E837F2" w:rsidRDefault="00D83E33">
            <w:pPr>
              <w:widowControl w:val="0"/>
              <w:jc w:val="right"/>
            </w:pPr>
          </w:p>
        </w:tc>
        <w:tc>
          <w:tcPr>
            <w:tcW w:w="544" w:type="pct"/>
            <w:tcBorders>
              <w:bottom w:val="single" w:sz="4" w:space="0" w:color="000000"/>
            </w:tcBorders>
          </w:tcPr>
          <w:p w14:paraId="1A31134C" w14:textId="77777777" w:rsidR="00D83E33" w:rsidRPr="00E837F2" w:rsidRDefault="00D83E33">
            <w:pPr>
              <w:widowControl w:val="0"/>
              <w:jc w:val="right"/>
            </w:pPr>
          </w:p>
        </w:tc>
        <w:tc>
          <w:tcPr>
            <w:tcW w:w="544" w:type="pct"/>
            <w:tcBorders>
              <w:bottom w:val="single" w:sz="4" w:space="0" w:color="000000"/>
            </w:tcBorders>
          </w:tcPr>
          <w:p w14:paraId="67BDF89D" w14:textId="77777777" w:rsidR="00D83E33" w:rsidRPr="00E837F2" w:rsidRDefault="00D83E33">
            <w:pPr>
              <w:widowControl w:val="0"/>
              <w:jc w:val="right"/>
            </w:pPr>
          </w:p>
        </w:tc>
        <w:tc>
          <w:tcPr>
            <w:tcW w:w="544" w:type="pct"/>
            <w:tcBorders>
              <w:bottom w:val="single" w:sz="4" w:space="0" w:color="000000"/>
            </w:tcBorders>
            <w:vAlign w:val="bottom"/>
          </w:tcPr>
          <w:p w14:paraId="7DF79B78" w14:textId="77777777" w:rsidR="00D83E33" w:rsidRPr="00E837F2" w:rsidRDefault="00D83E33">
            <w:pPr>
              <w:widowControl w:val="0"/>
              <w:jc w:val="right"/>
            </w:pPr>
          </w:p>
        </w:tc>
        <w:tc>
          <w:tcPr>
            <w:tcW w:w="544" w:type="pct"/>
            <w:tcBorders>
              <w:bottom w:val="single" w:sz="4" w:space="0" w:color="000000"/>
            </w:tcBorders>
            <w:vAlign w:val="bottom"/>
          </w:tcPr>
          <w:p w14:paraId="1F14475A" w14:textId="77777777" w:rsidR="00D83E33" w:rsidRPr="00E837F2" w:rsidRDefault="00D83E33">
            <w:pPr>
              <w:widowControl w:val="0"/>
              <w:jc w:val="right"/>
            </w:pPr>
          </w:p>
        </w:tc>
        <w:tc>
          <w:tcPr>
            <w:tcW w:w="543" w:type="pct"/>
            <w:tcBorders>
              <w:bottom w:val="single" w:sz="4" w:space="0" w:color="000000"/>
            </w:tcBorders>
            <w:vAlign w:val="bottom"/>
          </w:tcPr>
          <w:p w14:paraId="68020BCE" w14:textId="77777777" w:rsidR="00D83E33" w:rsidRPr="00E837F2" w:rsidRDefault="00D83E33">
            <w:pPr>
              <w:widowControl w:val="0"/>
              <w:jc w:val="right"/>
            </w:pPr>
          </w:p>
        </w:tc>
      </w:tr>
      <w:tr w:rsidR="00D83E33" w:rsidRPr="00E837F2" w14:paraId="34B76AB4" w14:textId="77777777" w:rsidTr="001B330E">
        <w:trPr>
          <w:trHeight w:val="23"/>
        </w:trPr>
        <w:tc>
          <w:tcPr>
            <w:tcW w:w="1737" w:type="pct"/>
            <w:vAlign w:val="bottom"/>
          </w:tcPr>
          <w:p w14:paraId="58B61226" w14:textId="77777777" w:rsidR="00D83E33" w:rsidRPr="00E837F2" w:rsidRDefault="00BC4072" w:rsidP="001B330E">
            <w:pPr>
              <w:widowControl w:val="0"/>
              <w:ind w:left="113" w:hanging="113"/>
            </w:pPr>
            <w:r w:rsidRPr="00E837F2">
              <w:t> </w:t>
            </w:r>
          </w:p>
        </w:tc>
        <w:tc>
          <w:tcPr>
            <w:tcW w:w="544" w:type="pct"/>
            <w:vAlign w:val="bottom"/>
          </w:tcPr>
          <w:p w14:paraId="5BE31079" w14:textId="77777777" w:rsidR="00D83E33" w:rsidRPr="00E837F2" w:rsidRDefault="00D83E33">
            <w:pPr>
              <w:widowControl w:val="0"/>
              <w:jc w:val="right"/>
            </w:pPr>
          </w:p>
        </w:tc>
        <w:tc>
          <w:tcPr>
            <w:tcW w:w="544" w:type="pct"/>
          </w:tcPr>
          <w:p w14:paraId="30FBD58A" w14:textId="77777777" w:rsidR="00D83E33" w:rsidRPr="00E837F2" w:rsidRDefault="00D83E33">
            <w:pPr>
              <w:widowControl w:val="0"/>
              <w:jc w:val="right"/>
            </w:pPr>
          </w:p>
        </w:tc>
        <w:tc>
          <w:tcPr>
            <w:tcW w:w="544" w:type="pct"/>
          </w:tcPr>
          <w:p w14:paraId="483BD1F8" w14:textId="77777777" w:rsidR="00D83E33" w:rsidRPr="00E837F2" w:rsidRDefault="00D83E33">
            <w:pPr>
              <w:widowControl w:val="0"/>
              <w:jc w:val="right"/>
            </w:pPr>
          </w:p>
        </w:tc>
        <w:tc>
          <w:tcPr>
            <w:tcW w:w="544" w:type="pct"/>
            <w:vAlign w:val="bottom"/>
          </w:tcPr>
          <w:p w14:paraId="39F2F1D5" w14:textId="77777777" w:rsidR="00D83E33" w:rsidRPr="00E837F2" w:rsidRDefault="00D83E33">
            <w:pPr>
              <w:widowControl w:val="0"/>
              <w:jc w:val="right"/>
            </w:pPr>
          </w:p>
        </w:tc>
        <w:tc>
          <w:tcPr>
            <w:tcW w:w="544" w:type="pct"/>
            <w:vAlign w:val="bottom"/>
          </w:tcPr>
          <w:p w14:paraId="383450F2" w14:textId="77777777" w:rsidR="00D83E33" w:rsidRPr="00E837F2" w:rsidRDefault="00D83E33">
            <w:pPr>
              <w:widowControl w:val="0"/>
              <w:jc w:val="right"/>
            </w:pPr>
          </w:p>
        </w:tc>
        <w:tc>
          <w:tcPr>
            <w:tcW w:w="543" w:type="pct"/>
            <w:vAlign w:val="bottom"/>
          </w:tcPr>
          <w:p w14:paraId="4A122237" w14:textId="77777777" w:rsidR="00D83E33" w:rsidRPr="00E837F2" w:rsidRDefault="00D83E33">
            <w:pPr>
              <w:widowControl w:val="0"/>
              <w:jc w:val="right"/>
            </w:pPr>
          </w:p>
        </w:tc>
      </w:tr>
      <w:tr w:rsidR="00D83E33" w:rsidRPr="00E837F2" w14:paraId="63C7C883" w14:textId="77777777" w:rsidTr="001B330E">
        <w:trPr>
          <w:trHeight w:val="23"/>
        </w:trPr>
        <w:tc>
          <w:tcPr>
            <w:tcW w:w="1737" w:type="pct"/>
            <w:vAlign w:val="bottom"/>
          </w:tcPr>
          <w:p w14:paraId="7B85433E"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 xml:space="preserve">Total securities (carrying value) </w:t>
            </w:r>
          </w:p>
        </w:tc>
        <w:tc>
          <w:tcPr>
            <w:tcW w:w="544" w:type="pct"/>
            <w:vAlign w:val="bottom"/>
          </w:tcPr>
          <w:p w14:paraId="4271A925" w14:textId="77777777" w:rsidR="00D83E33" w:rsidRPr="00E837F2" w:rsidRDefault="00D83E33">
            <w:pPr>
              <w:widowControl w:val="0"/>
              <w:pBdr>
                <w:top w:val="nil"/>
                <w:left w:val="nil"/>
                <w:bottom w:val="nil"/>
                <w:right w:val="nil"/>
                <w:between w:val="nil"/>
              </w:pBdr>
              <w:jc w:val="right"/>
              <w:rPr>
                <w:b/>
                <w:color w:val="000000"/>
              </w:rPr>
            </w:pPr>
          </w:p>
        </w:tc>
        <w:tc>
          <w:tcPr>
            <w:tcW w:w="544" w:type="pct"/>
          </w:tcPr>
          <w:p w14:paraId="1D72C197" w14:textId="77777777" w:rsidR="00D83E33" w:rsidRPr="00E837F2" w:rsidRDefault="00D83E33">
            <w:pPr>
              <w:widowControl w:val="0"/>
              <w:pBdr>
                <w:top w:val="nil"/>
                <w:left w:val="nil"/>
                <w:bottom w:val="nil"/>
                <w:right w:val="nil"/>
                <w:between w:val="nil"/>
              </w:pBdr>
              <w:jc w:val="right"/>
              <w:rPr>
                <w:b/>
                <w:color w:val="000000"/>
              </w:rPr>
            </w:pPr>
          </w:p>
        </w:tc>
        <w:tc>
          <w:tcPr>
            <w:tcW w:w="544" w:type="pct"/>
          </w:tcPr>
          <w:p w14:paraId="56798CD4" w14:textId="77777777" w:rsidR="00D83E33" w:rsidRPr="00E837F2" w:rsidRDefault="00D83E33">
            <w:pPr>
              <w:widowControl w:val="0"/>
              <w:pBdr>
                <w:top w:val="nil"/>
                <w:left w:val="nil"/>
                <w:bottom w:val="nil"/>
                <w:right w:val="nil"/>
                <w:between w:val="nil"/>
              </w:pBdr>
              <w:jc w:val="right"/>
              <w:rPr>
                <w:b/>
                <w:color w:val="000000"/>
              </w:rPr>
            </w:pPr>
          </w:p>
        </w:tc>
        <w:tc>
          <w:tcPr>
            <w:tcW w:w="544" w:type="pct"/>
            <w:vAlign w:val="bottom"/>
          </w:tcPr>
          <w:p w14:paraId="101C8C17" w14:textId="77777777" w:rsidR="00D83E33" w:rsidRPr="00E837F2" w:rsidRDefault="00D83E33">
            <w:pPr>
              <w:widowControl w:val="0"/>
              <w:pBdr>
                <w:top w:val="nil"/>
                <w:left w:val="nil"/>
                <w:bottom w:val="nil"/>
                <w:right w:val="nil"/>
                <w:between w:val="nil"/>
              </w:pBdr>
              <w:jc w:val="right"/>
              <w:rPr>
                <w:b/>
                <w:color w:val="000000"/>
              </w:rPr>
            </w:pPr>
          </w:p>
        </w:tc>
        <w:tc>
          <w:tcPr>
            <w:tcW w:w="544" w:type="pct"/>
            <w:vAlign w:val="bottom"/>
          </w:tcPr>
          <w:p w14:paraId="3237177D" w14:textId="77777777" w:rsidR="00D83E33" w:rsidRPr="00E837F2" w:rsidRDefault="00D83E33">
            <w:pPr>
              <w:widowControl w:val="0"/>
              <w:pBdr>
                <w:top w:val="nil"/>
                <w:left w:val="nil"/>
                <w:bottom w:val="nil"/>
                <w:right w:val="nil"/>
                <w:between w:val="nil"/>
              </w:pBdr>
              <w:jc w:val="right"/>
              <w:rPr>
                <w:b/>
                <w:color w:val="000000"/>
              </w:rPr>
            </w:pPr>
          </w:p>
        </w:tc>
        <w:tc>
          <w:tcPr>
            <w:tcW w:w="543" w:type="pct"/>
            <w:vAlign w:val="bottom"/>
          </w:tcPr>
          <w:p w14:paraId="068CD4AE"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3941FB42" w14:textId="77777777" w:rsidTr="001B330E">
        <w:trPr>
          <w:trHeight w:val="23"/>
        </w:trPr>
        <w:tc>
          <w:tcPr>
            <w:tcW w:w="1737" w:type="pct"/>
            <w:tcBorders>
              <w:bottom w:val="single" w:sz="12" w:space="0" w:color="000000"/>
            </w:tcBorders>
            <w:vAlign w:val="bottom"/>
          </w:tcPr>
          <w:p w14:paraId="0264375D"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 </w:t>
            </w:r>
          </w:p>
        </w:tc>
        <w:tc>
          <w:tcPr>
            <w:tcW w:w="544" w:type="pct"/>
            <w:tcBorders>
              <w:bottom w:val="single" w:sz="12" w:space="0" w:color="000000"/>
            </w:tcBorders>
            <w:vAlign w:val="bottom"/>
          </w:tcPr>
          <w:p w14:paraId="59ACA23B" w14:textId="77777777" w:rsidR="00D83E33" w:rsidRPr="00E837F2" w:rsidRDefault="00D83E33">
            <w:pPr>
              <w:widowControl w:val="0"/>
              <w:pBdr>
                <w:top w:val="nil"/>
                <w:left w:val="nil"/>
                <w:bottom w:val="nil"/>
                <w:right w:val="nil"/>
                <w:between w:val="nil"/>
              </w:pBdr>
              <w:jc w:val="right"/>
              <w:rPr>
                <w:b/>
                <w:color w:val="000000"/>
              </w:rPr>
            </w:pPr>
          </w:p>
        </w:tc>
        <w:tc>
          <w:tcPr>
            <w:tcW w:w="544" w:type="pct"/>
            <w:tcBorders>
              <w:bottom w:val="single" w:sz="12" w:space="0" w:color="000000"/>
            </w:tcBorders>
          </w:tcPr>
          <w:p w14:paraId="4ED89B29" w14:textId="77777777" w:rsidR="00D83E33" w:rsidRPr="00E837F2" w:rsidRDefault="00D83E33">
            <w:pPr>
              <w:widowControl w:val="0"/>
              <w:pBdr>
                <w:top w:val="nil"/>
                <w:left w:val="nil"/>
                <w:bottom w:val="nil"/>
                <w:right w:val="nil"/>
                <w:between w:val="nil"/>
              </w:pBdr>
              <w:jc w:val="right"/>
              <w:rPr>
                <w:b/>
                <w:color w:val="000000"/>
              </w:rPr>
            </w:pPr>
          </w:p>
        </w:tc>
        <w:tc>
          <w:tcPr>
            <w:tcW w:w="544" w:type="pct"/>
            <w:tcBorders>
              <w:bottom w:val="single" w:sz="12" w:space="0" w:color="000000"/>
            </w:tcBorders>
          </w:tcPr>
          <w:p w14:paraId="66C549AF" w14:textId="77777777" w:rsidR="00D83E33" w:rsidRPr="00E837F2" w:rsidRDefault="00D83E33">
            <w:pPr>
              <w:widowControl w:val="0"/>
              <w:pBdr>
                <w:top w:val="nil"/>
                <w:left w:val="nil"/>
                <w:bottom w:val="nil"/>
                <w:right w:val="nil"/>
                <w:between w:val="nil"/>
              </w:pBdr>
              <w:jc w:val="right"/>
              <w:rPr>
                <w:b/>
                <w:color w:val="000000"/>
              </w:rPr>
            </w:pPr>
          </w:p>
        </w:tc>
        <w:tc>
          <w:tcPr>
            <w:tcW w:w="544" w:type="pct"/>
            <w:tcBorders>
              <w:bottom w:val="single" w:sz="12" w:space="0" w:color="000000"/>
            </w:tcBorders>
            <w:vAlign w:val="bottom"/>
          </w:tcPr>
          <w:p w14:paraId="39A8BDF4" w14:textId="77777777" w:rsidR="00D83E33" w:rsidRPr="00E837F2" w:rsidRDefault="00D83E33">
            <w:pPr>
              <w:widowControl w:val="0"/>
              <w:pBdr>
                <w:top w:val="nil"/>
                <w:left w:val="nil"/>
                <w:bottom w:val="nil"/>
                <w:right w:val="nil"/>
                <w:between w:val="nil"/>
              </w:pBdr>
              <w:jc w:val="right"/>
              <w:rPr>
                <w:b/>
                <w:color w:val="000000"/>
              </w:rPr>
            </w:pPr>
          </w:p>
        </w:tc>
        <w:tc>
          <w:tcPr>
            <w:tcW w:w="544" w:type="pct"/>
            <w:tcBorders>
              <w:bottom w:val="single" w:sz="12" w:space="0" w:color="000000"/>
            </w:tcBorders>
            <w:vAlign w:val="bottom"/>
          </w:tcPr>
          <w:p w14:paraId="198C0B64" w14:textId="77777777" w:rsidR="00D83E33" w:rsidRPr="00E837F2" w:rsidRDefault="00D83E33">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2C9DB553" w14:textId="77777777" w:rsidR="00D83E33" w:rsidRPr="00E837F2" w:rsidRDefault="00D83E33">
            <w:pPr>
              <w:widowControl w:val="0"/>
              <w:pBdr>
                <w:top w:val="nil"/>
                <w:left w:val="nil"/>
                <w:bottom w:val="nil"/>
                <w:right w:val="nil"/>
                <w:between w:val="nil"/>
              </w:pBdr>
              <w:jc w:val="right"/>
              <w:rPr>
                <w:b/>
                <w:color w:val="000000"/>
              </w:rPr>
            </w:pPr>
          </w:p>
        </w:tc>
      </w:tr>
    </w:tbl>
    <w:p w14:paraId="3350DF1B" w14:textId="3F36E316" w:rsidR="00D83E33" w:rsidRDefault="00BC4072" w:rsidP="001B330E">
      <w:pPr>
        <w:pStyle w:val="Continued"/>
      </w:pPr>
      <w:r>
        <w:lastRenderedPageBreak/>
        <w:t>12</w:t>
      </w:r>
      <w:r>
        <w:tab/>
        <w:t>Repurchase Receivables (Continued)</w:t>
      </w:r>
    </w:p>
    <w:p w14:paraId="408BD744" w14:textId="1373D8AF"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Securities sold under sale and repurchase agreements at 31</w:t>
      </w:r>
      <w:r w:rsidR="00181687">
        <w:rPr>
          <w:color w:val="000000"/>
          <w:sz w:val="20"/>
          <w:szCs w:val="20"/>
        </w:rPr>
        <w:t> December </w:t>
      </w:r>
      <w:r w:rsidR="00541EBC">
        <w:rPr>
          <w:color w:val="000000"/>
          <w:sz w:val="20"/>
          <w:szCs w:val="20"/>
        </w:rPr>
        <w:t>2023</w:t>
      </w:r>
      <w:r>
        <w:rPr>
          <w:color w:val="000000"/>
          <w:sz w:val="20"/>
          <w:szCs w:val="20"/>
        </w:rPr>
        <w:t>:</w:t>
      </w:r>
    </w:p>
    <w:tbl>
      <w:tblPr>
        <w:tblStyle w:val="affffffb"/>
        <w:tblW w:w="5000" w:type="pct"/>
        <w:tblLayout w:type="fixed"/>
        <w:tblLook w:val="0000" w:firstRow="0" w:lastRow="0" w:firstColumn="0" w:lastColumn="0" w:noHBand="0" w:noVBand="0"/>
      </w:tblPr>
      <w:tblGrid>
        <w:gridCol w:w="3249"/>
        <w:gridCol w:w="1018"/>
        <w:gridCol w:w="1018"/>
        <w:gridCol w:w="1018"/>
        <w:gridCol w:w="1018"/>
        <w:gridCol w:w="1018"/>
        <w:gridCol w:w="1016"/>
      </w:tblGrid>
      <w:tr w:rsidR="00D83E33" w:rsidRPr="00E837F2" w14:paraId="7D2633ED" w14:textId="77777777" w:rsidTr="001B330E">
        <w:trPr>
          <w:trHeight w:val="23"/>
        </w:trPr>
        <w:tc>
          <w:tcPr>
            <w:tcW w:w="1737" w:type="pct"/>
            <w:tcBorders>
              <w:bottom w:val="single" w:sz="4" w:space="0" w:color="000000"/>
            </w:tcBorders>
            <w:vAlign w:val="bottom"/>
          </w:tcPr>
          <w:p w14:paraId="4FCE17FB" w14:textId="4E0DF38C"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44" w:type="pct"/>
            <w:tcBorders>
              <w:bottom w:val="single" w:sz="4" w:space="0" w:color="000000"/>
            </w:tcBorders>
          </w:tcPr>
          <w:p w14:paraId="307ACE94" w14:textId="38C03B10"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Debt securities at FVOCI</w:t>
            </w:r>
          </w:p>
        </w:tc>
        <w:tc>
          <w:tcPr>
            <w:tcW w:w="544" w:type="pct"/>
            <w:tcBorders>
              <w:bottom w:val="single" w:sz="4" w:space="0" w:color="000000"/>
            </w:tcBorders>
          </w:tcPr>
          <w:p w14:paraId="7253C7CC" w14:textId="77777777"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Debt securities at FVTPL</w:t>
            </w:r>
          </w:p>
        </w:tc>
        <w:tc>
          <w:tcPr>
            <w:tcW w:w="544" w:type="pct"/>
            <w:tcBorders>
              <w:bottom w:val="single" w:sz="4" w:space="0" w:color="000000"/>
            </w:tcBorders>
          </w:tcPr>
          <w:p w14:paraId="1324DA9E" w14:textId="77777777"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Equity securities at FVOCI</w:t>
            </w:r>
          </w:p>
        </w:tc>
        <w:tc>
          <w:tcPr>
            <w:tcW w:w="544" w:type="pct"/>
            <w:tcBorders>
              <w:bottom w:val="single" w:sz="4" w:space="0" w:color="000000"/>
            </w:tcBorders>
          </w:tcPr>
          <w:p w14:paraId="07E39C78" w14:textId="77777777"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Equity securities at FVTPL</w:t>
            </w:r>
          </w:p>
        </w:tc>
        <w:tc>
          <w:tcPr>
            <w:tcW w:w="544" w:type="pct"/>
            <w:tcBorders>
              <w:bottom w:val="single" w:sz="4" w:space="0" w:color="000000"/>
            </w:tcBorders>
          </w:tcPr>
          <w:p w14:paraId="41F65C7E" w14:textId="77777777"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Debt securities at AC</w:t>
            </w:r>
          </w:p>
        </w:tc>
        <w:tc>
          <w:tcPr>
            <w:tcW w:w="543" w:type="pct"/>
            <w:tcBorders>
              <w:bottom w:val="single" w:sz="4" w:space="0" w:color="000000"/>
            </w:tcBorders>
          </w:tcPr>
          <w:p w14:paraId="234730C1" w14:textId="41A6AB5B" w:rsidR="00D83E33" w:rsidRPr="00E837F2" w:rsidRDefault="00BC4072">
            <w:pPr>
              <w:widowControl w:val="0"/>
              <w:pBdr>
                <w:top w:val="nil"/>
                <w:left w:val="nil"/>
                <w:bottom w:val="nil"/>
                <w:right w:val="nil"/>
                <w:between w:val="nil"/>
              </w:pBdr>
              <w:ind w:left="-113"/>
              <w:jc w:val="right"/>
              <w:rPr>
                <w:b/>
                <w:color w:val="000000"/>
              </w:rPr>
            </w:pPr>
            <w:r w:rsidRPr="00E837F2">
              <w:rPr>
                <w:b/>
                <w:color w:val="000000"/>
              </w:rPr>
              <w:t>Total</w:t>
            </w:r>
          </w:p>
        </w:tc>
      </w:tr>
      <w:tr w:rsidR="00D83E33" w:rsidRPr="00E837F2" w14:paraId="19C03EF5" w14:textId="77777777" w:rsidTr="001B330E">
        <w:trPr>
          <w:trHeight w:val="23"/>
        </w:trPr>
        <w:tc>
          <w:tcPr>
            <w:tcW w:w="1737" w:type="pct"/>
            <w:vAlign w:val="bottom"/>
          </w:tcPr>
          <w:p w14:paraId="3DA306CE" w14:textId="77777777" w:rsidR="00D83E33" w:rsidRPr="00E837F2" w:rsidRDefault="00BC4072" w:rsidP="001B330E">
            <w:pPr>
              <w:widowControl w:val="0"/>
              <w:ind w:left="113" w:hanging="113"/>
              <w:rPr>
                <w:b/>
                <w:u w:val="single"/>
              </w:rPr>
            </w:pPr>
            <w:r w:rsidRPr="00E837F2">
              <w:t> </w:t>
            </w:r>
          </w:p>
        </w:tc>
        <w:tc>
          <w:tcPr>
            <w:tcW w:w="544" w:type="pct"/>
            <w:vAlign w:val="bottom"/>
          </w:tcPr>
          <w:p w14:paraId="3248E27B" w14:textId="77777777" w:rsidR="00D83E33" w:rsidRPr="00E837F2" w:rsidRDefault="00D83E33">
            <w:pPr>
              <w:widowControl w:val="0"/>
              <w:jc w:val="right"/>
            </w:pPr>
          </w:p>
        </w:tc>
        <w:tc>
          <w:tcPr>
            <w:tcW w:w="544" w:type="pct"/>
          </w:tcPr>
          <w:p w14:paraId="312553C3" w14:textId="77777777" w:rsidR="00D83E33" w:rsidRPr="00E837F2" w:rsidRDefault="00D83E33">
            <w:pPr>
              <w:widowControl w:val="0"/>
              <w:jc w:val="right"/>
            </w:pPr>
          </w:p>
        </w:tc>
        <w:tc>
          <w:tcPr>
            <w:tcW w:w="544" w:type="pct"/>
          </w:tcPr>
          <w:p w14:paraId="000B39D5" w14:textId="77777777" w:rsidR="00D83E33" w:rsidRPr="00E837F2" w:rsidRDefault="00D83E33">
            <w:pPr>
              <w:widowControl w:val="0"/>
              <w:jc w:val="right"/>
            </w:pPr>
          </w:p>
        </w:tc>
        <w:tc>
          <w:tcPr>
            <w:tcW w:w="544" w:type="pct"/>
            <w:vAlign w:val="bottom"/>
          </w:tcPr>
          <w:p w14:paraId="49B659A0" w14:textId="77777777" w:rsidR="00D83E33" w:rsidRPr="00E837F2" w:rsidRDefault="00D83E33">
            <w:pPr>
              <w:widowControl w:val="0"/>
              <w:jc w:val="right"/>
            </w:pPr>
          </w:p>
        </w:tc>
        <w:tc>
          <w:tcPr>
            <w:tcW w:w="544" w:type="pct"/>
            <w:vAlign w:val="bottom"/>
          </w:tcPr>
          <w:p w14:paraId="73992045" w14:textId="77777777" w:rsidR="00D83E33" w:rsidRPr="00E837F2" w:rsidRDefault="00D83E33">
            <w:pPr>
              <w:widowControl w:val="0"/>
              <w:jc w:val="right"/>
            </w:pPr>
          </w:p>
        </w:tc>
        <w:tc>
          <w:tcPr>
            <w:tcW w:w="543" w:type="pct"/>
            <w:vAlign w:val="bottom"/>
          </w:tcPr>
          <w:p w14:paraId="5477FA0A" w14:textId="77777777" w:rsidR="00D83E33" w:rsidRPr="00E837F2" w:rsidRDefault="00D83E33">
            <w:pPr>
              <w:widowControl w:val="0"/>
              <w:jc w:val="right"/>
            </w:pPr>
          </w:p>
        </w:tc>
      </w:tr>
      <w:tr w:rsidR="00D83E33" w:rsidRPr="00E837F2" w14:paraId="0F64D9DE" w14:textId="77777777" w:rsidTr="001B330E">
        <w:trPr>
          <w:trHeight w:val="23"/>
        </w:trPr>
        <w:tc>
          <w:tcPr>
            <w:tcW w:w="1737" w:type="pct"/>
            <w:vAlign w:val="bottom"/>
          </w:tcPr>
          <w:p w14:paraId="7F3BF100" w14:textId="11C2A69F" w:rsidR="00D83E33" w:rsidRPr="00E837F2" w:rsidRDefault="00372E26" w:rsidP="001B330E">
            <w:pPr>
              <w:widowControl w:val="0"/>
              <w:pBdr>
                <w:top w:val="nil"/>
                <w:left w:val="nil"/>
                <w:bottom w:val="nil"/>
                <w:right w:val="nil"/>
                <w:between w:val="nil"/>
              </w:pBdr>
              <w:ind w:left="113" w:hanging="113"/>
              <w:rPr>
                <w:color w:val="000000"/>
              </w:rPr>
            </w:pPr>
            <w:r>
              <w:rPr>
                <w:color w:val="000000"/>
              </w:rPr>
              <w:t>[Country]</w:t>
            </w:r>
            <w:r w:rsidR="00BC4072" w:rsidRPr="00E837F2">
              <w:rPr>
                <w:color w:val="000000"/>
              </w:rPr>
              <w:t xml:space="preserve"> government bonds</w:t>
            </w:r>
          </w:p>
        </w:tc>
        <w:tc>
          <w:tcPr>
            <w:tcW w:w="544" w:type="pct"/>
            <w:vAlign w:val="bottom"/>
          </w:tcPr>
          <w:p w14:paraId="39998F73"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32111C2"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36B3174B"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0F916D98"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59260F6C"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242A8CB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EA5CB94" w14:textId="77777777" w:rsidTr="001B330E">
        <w:trPr>
          <w:trHeight w:val="23"/>
        </w:trPr>
        <w:tc>
          <w:tcPr>
            <w:tcW w:w="1737" w:type="pct"/>
            <w:vAlign w:val="bottom"/>
          </w:tcPr>
          <w:p w14:paraId="47F1B73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Municipal bonds</w:t>
            </w:r>
          </w:p>
        </w:tc>
        <w:tc>
          <w:tcPr>
            <w:tcW w:w="544" w:type="pct"/>
            <w:vAlign w:val="bottom"/>
          </w:tcPr>
          <w:p w14:paraId="1F0DD6E7"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0FA184F"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458377F9"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5F9E6D3D"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5BD19892"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12D709F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03F938" w14:textId="77777777" w:rsidTr="001B330E">
        <w:trPr>
          <w:trHeight w:val="23"/>
        </w:trPr>
        <w:tc>
          <w:tcPr>
            <w:tcW w:w="1737" w:type="pct"/>
            <w:vAlign w:val="bottom"/>
          </w:tcPr>
          <w:p w14:paraId="197FC2D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Corporate bonds</w:t>
            </w:r>
          </w:p>
          <w:p w14:paraId="5563407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Investments in mutual funds</w:t>
            </w:r>
          </w:p>
        </w:tc>
        <w:tc>
          <w:tcPr>
            <w:tcW w:w="544" w:type="pct"/>
            <w:vAlign w:val="bottom"/>
          </w:tcPr>
          <w:p w14:paraId="5BAC3D0A"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9AE8A7C"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3803BFCB"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02E19542"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2327B588"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456BF0D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B79131C" w14:textId="77777777" w:rsidTr="001B330E">
        <w:trPr>
          <w:trHeight w:val="23"/>
        </w:trPr>
        <w:tc>
          <w:tcPr>
            <w:tcW w:w="1737" w:type="pct"/>
            <w:vAlign w:val="bottom"/>
          </w:tcPr>
          <w:p w14:paraId="087CB642" w14:textId="7C957309"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Promissory notes </w:t>
            </w:r>
          </w:p>
        </w:tc>
        <w:tc>
          <w:tcPr>
            <w:tcW w:w="544" w:type="pct"/>
            <w:vAlign w:val="bottom"/>
          </w:tcPr>
          <w:p w14:paraId="3368BE72"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45EE54B"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78F4BD5"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2F5CFF33"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1DB712AF"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13547E2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3385F77" w14:textId="77777777" w:rsidTr="001B330E">
        <w:trPr>
          <w:trHeight w:val="23"/>
        </w:trPr>
        <w:tc>
          <w:tcPr>
            <w:tcW w:w="1737" w:type="pct"/>
            <w:tcBorders>
              <w:bottom w:val="single" w:sz="4" w:space="0" w:color="000000"/>
            </w:tcBorders>
            <w:shd w:val="clear" w:color="auto" w:fill="auto"/>
            <w:vAlign w:val="bottom"/>
          </w:tcPr>
          <w:p w14:paraId="5EDEEAB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544" w:type="pct"/>
            <w:tcBorders>
              <w:bottom w:val="single" w:sz="4" w:space="0" w:color="000000"/>
            </w:tcBorders>
            <w:vAlign w:val="bottom"/>
          </w:tcPr>
          <w:p w14:paraId="28DE7A1E"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79FFA75D"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5FC48C26"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12418744"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76EF0009"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49E14C4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37A2EE2" w14:textId="77777777" w:rsidTr="001B330E">
        <w:trPr>
          <w:trHeight w:val="23"/>
        </w:trPr>
        <w:tc>
          <w:tcPr>
            <w:tcW w:w="1737" w:type="pct"/>
            <w:tcBorders>
              <w:top w:val="single" w:sz="4" w:space="0" w:color="000000"/>
            </w:tcBorders>
            <w:vAlign w:val="bottom"/>
          </w:tcPr>
          <w:p w14:paraId="04B334F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544" w:type="pct"/>
            <w:tcBorders>
              <w:top w:val="single" w:sz="4" w:space="0" w:color="000000"/>
            </w:tcBorders>
            <w:vAlign w:val="bottom"/>
          </w:tcPr>
          <w:p w14:paraId="6A04C92A"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54A648BE"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0A417DDD"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0D863CCA"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71D6B904"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5584D20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2D23E4D" w14:textId="77777777" w:rsidTr="001B330E">
        <w:trPr>
          <w:trHeight w:val="23"/>
        </w:trPr>
        <w:tc>
          <w:tcPr>
            <w:tcW w:w="1737" w:type="pct"/>
            <w:vAlign w:val="bottom"/>
          </w:tcPr>
          <w:p w14:paraId="616573DC"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debt securities (fair value or gross carrying amount)</w:t>
            </w:r>
          </w:p>
        </w:tc>
        <w:tc>
          <w:tcPr>
            <w:tcW w:w="544" w:type="pct"/>
            <w:vAlign w:val="bottom"/>
          </w:tcPr>
          <w:p w14:paraId="0C1A9E02" w14:textId="77777777" w:rsidR="00D83E33" w:rsidRPr="00E837F2" w:rsidRDefault="00D83E33">
            <w:pPr>
              <w:widowControl w:val="0"/>
              <w:pBdr>
                <w:top w:val="nil"/>
                <w:left w:val="nil"/>
                <w:bottom w:val="nil"/>
                <w:right w:val="nil"/>
                <w:between w:val="nil"/>
              </w:pBdr>
              <w:jc w:val="right"/>
              <w:rPr>
                <w:b/>
                <w:color w:val="000000"/>
              </w:rPr>
            </w:pPr>
          </w:p>
        </w:tc>
        <w:tc>
          <w:tcPr>
            <w:tcW w:w="544" w:type="pct"/>
          </w:tcPr>
          <w:p w14:paraId="742C7975" w14:textId="77777777" w:rsidR="00D83E33" w:rsidRPr="00E837F2" w:rsidRDefault="00D83E33">
            <w:pPr>
              <w:widowControl w:val="0"/>
              <w:pBdr>
                <w:top w:val="nil"/>
                <w:left w:val="nil"/>
                <w:bottom w:val="nil"/>
                <w:right w:val="nil"/>
                <w:between w:val="nil"/>
              </w:pBdr>
              <w:jc w:val="right"/>
              <w:rPr>
                <w:b/>
                <w:color w:val="000000"/>
              </w:rPr>
            </w:pPr>
          </w:p>
        </w:tc>
        <w:tc>
          <w:tcPr>
            <w:tcW w:w="544" w:type="pct"/>
          </w:tcPr>
          <w:p w14:paraId="693C6953" w14:textId="77777777" w:rsidR="00D83E33" w:rsidRPr="00E837F2" w:rsidRDefault="00D83E33">
            <w:pPr>
              <w:widowControl w:val="0"/>
              <w:pBdr>
                <w:top w:val="nil"/>
                <w:left w:val="nil"/>
                <w:bottom w:val="nil"/>
                <w:right w:val="nil"/>
                <w:between w:val="nil"/>
              </w:pBdr>
              <w:jc w:val="right"/>
              <w:rPr>
                <w:b/>
                <w:color w:val="000000"/>
              </w:rPr>
            </w:pPr>
          </w:p>
        </w:tc>
        <w:tc>
          <w:tcPr>
            <w:tcW w:w="544" w:type="pct"/>
            <w:vAlign w:val="bottom"/>
          </w:tcPr>
          <w:p w14:paraId="4DA17DAD" w14:textId="77777777" w:rsidR="00D83E33" w:rsidRPr="00E837F2" w:rsidRDefault="00D83E33">
            <w:pPr>
              <w:widowControl w:val="0"/>
              <w:pBdr>
                <w:top w:val="nil"/>
                <w:left w:val="nil"/>
                <w:bottom w:val="nil"/>
                <w:right w:val="nil"/>
                <w:between w:val="nil"/>
              </w:pBdr>
              <w:jc w:val="right"/>
              <w:rPr>
                <w:b/>
                <w:color w:val="000000"/>
              </w:rPr>
            </w:pPr>
          </w:p>
        </w:tc>
        <w:tc>
          <w:tcPr>
            <w:tcW w:w="544" w:type="pct"/>
            <w:vAlign w:val="bottom"/>
          </w:tcPr>
          <w:p w14:paraId="475F3E99" w14:textId="77777777" w:rsidR="00D83E33" w:rsidRPr="00E837F2" w:rsidRDefault="00D83E33">
            <w:pPr>
              <w:widowControl w:val="0"/>
              <w:pBdr>
                <w:top w:val="nil"/>
                <w:left w:val="nil"/>
                <w:bottom w:val="nil"/>
                <w:right w:val="nil"/>
                <w:between w:val="nil"/>
              </w:pBdr>
              <w:jc w:val="right"/>
              <w:rPr>
                <w:b/>
                <w:color w:val="000000"/>
              </w:rPr>
            </w:pPr>
          </w:p>
        </w:tc>
        <w:tc>
          <w:tcPr>
            <w:tcW w:w="543" w:type="pct"/>
            <w:vAlign w:val="bottom"/>
          </w:tcPr>
          <w:p w14:paraId="2BF14AE0"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1661DA11" w14:textId="77777777" w:rsidTr="001B330E">
        <w:trPr>
          <w:trHeight w:val="23"/>
        </w:trPr>
        <w:tc>
          <w:tcPr>
            <w:tcW w:w="1737" w:type="pct"/>
            <w:tcBorders>
              <w:bottom w:val="single" w:sz="4" w:space="0" w:color="000000"/>
            </w:tcBorders>
            <w:shd w:val="clear" w:color="auto" w:fill="auto"/>
            <w:vAlign w:val="bottom"/>
          </w:tcPr>
          <w:p w14:paraId="36AD026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544" w:type="pct"/>
            <w:tcBorders>
              <w:bottom w:val="single" w:sz="4" w:space="0" w:color="000000"/>
            </w:tcBorders>
            <w:vAlign w:val="bottom"/>
          </w:tcPr>
          <w:p w14:paraId="264177D1"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389E5D53"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2E6F0F2C"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75A5D28A"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758AE3E0"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6C55105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51572FF" w14:textId="77777777" w:rsidTr="001B330E">
        <w:trPr>
          <w:trHeight w:val="23"/>
        </w:trPr>
        <w:tc>
          <w:tcPr>
            <w:tcW w:w="1737" w:type="pct"/>
            <w:shd w:val="clear" w:color="auto" w:fill="auto"/>
            <w:vAlign w:val="bottom"/>
          </w:tcPr>
          <w:p w14:paraId="42F771A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vAlign w:val="bottom"/>
          </w:tcPr>
          <w:p w14:paraId="29CFE557"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279E13FF"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671EBDC"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0B72490B"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3A68D0B0"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621AB16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6C36C56" w14:textId="77777777" w:rsidTr="001B330E">
        <w:trPr>
          <w:trHeight w:val="23"/>
        </w:trPr>
        <w:tc>
          <w:tcPr>
            <w:tcW w:w="1737" w:type="pct"/>
            <w:shd w:val="clear" w:color="auto" w:fill="auto"/>
            <w:vAlign w:val="bottom"/>
          </w:tcPr>
          <w:p w14:paraId="12E976A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544" w:type="pct"/>
            <w:vAlign w:val="bottom"/>
          </w:tcPr>
          <w:p w14:paraId="2179D297"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c>
          <w:tcPr>
            <w:tcW w:w="544" w:type="pct"/>
          </w:tcPr>
          <w:p w14:paraId="5990B03D"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c>
          <w:tcPr>
            <w:tcW w:w="544" w:type="pct"/>
          </w:tcPr>
          <w:p w14:paraId="1EC5F5A5"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c>
          <w:tcPr>
            <w:tcW w:w="544" w:type="pct"/>
            <w:vAlign w:val="bottom"/>
          </w:tcPr>
          <w:p w14:paraId="2B6D7A7B"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c>
          <w:tcPr>
            <w:tcW w:w="544" w:type="pct"/>
            <w:vAlign w:val="bottom"/>
          </w:tcPr>
          <w:p w14:paraId="22009BB9"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0C62D64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E556DE5" w14:textId="77777777" w:rsidTr="001B330E">
        <w:trPr>
          <w:trHeight w:val="23"/>
        </w:trPr>
        <w:tc>
          <w:tcPr>
            <w:tcW w:w="1737" w:type="pct"/>
            <w:tcBorders>
              <w:bottom w:val="single" w:sz="4" w:space="0" w:color="000000"/>
            </w:tcBorders>
            <w:shd w:val="clear" w:color="auto" w:fill="auto"/>
            <w:vAlign w:val="bottom"/>
          </w:tcPr>
          <w:p w14:paraId="521FF37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bottom w:val="single" w:sz="4" w:space="0" w:color="000000"/>
            </w:tcBorders>
            <w:vAlign w:val="bottom"/>
          </w:tcPr>
          <w:p w14:paraId="2ECBD600"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5CDD9990"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3C5901CE"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3DA7032B"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4B315F76"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40281FB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1A675BA" w14:textId="77777777" w:rsidTr="001B330E">
        <w:trPr>
          <w:trHeight w:val="23"/>
        </w:trPr>
        <w:tc>
          <w:tcPr>
            <w:tcW w:w="1737" w:type="pct"/>
            <w:shd w:val="clear" w:color="auto" w:fill="auto"/>
            <w:vAlign w:val="bottom"/>
          </w:tcPr>
          <w:p w14:paraId="0E65CFCC"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vAlign w:val="bottom"/>
          </w:tcPr>
          <w:p w14:paraId="72E18445"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09C4FFD"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17B57FBE"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28F265E8"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763C2C80"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7D8425A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95A2757" w14:textId="77777777" w:rsidTr="001B330E">
        <w:trPr>
          <w:trHeight w:val="23"/>
        </w:trPr>
        <w:tc>
          <w:tcPr>
            <w:tcW w:w="1737" w:type="pct"/>
            <w:shd w:val="clear" w:color="auto" w:fill="auto"/>
            <w:vAlign w:val="bottom"/>
          </w:tcPr>
          <w:p w14:paraId="79FF419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color w:val="000000"/>
              </w:rPr>
              <w:t>Total debt securities (carrying value)</w:t>
            </w:r>
          </w:p>
        </w:tc>
        <w:tc>
          <w:tcPr>
            <w:tcW w:w="544" w:type="pct"/>
            <w:vAlign w:val="bottom"/>
          </w:tcPr>
          <w:p w14:paraId="50849367"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917A3F9"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6AFA3ADB"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1CB0D4A1"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46D9DBB6"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2ECEA9F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7ABB674" w14:textId="77777777" w:rsidTr="001B330E">
        <w:trPr>
          <w:trHeight w:val="23"/>
        </w:trPr>
        <w:tc>
          <w:tcPr>
            <w:tcW w:w="1737" w:type="pct"/>
            <w:tcBorders>
              <w:bottom w:val="single" w:sz="4" w:space="0" w:color="000000"/>
            </w:tcBorders>
            <w:shd w:val="clear" w:color="auto" w:fill="auto"/>
            <w:vAlign w:val="bottom"/>
          </w:tcPr>
          <w:p w14:paraId="22A4159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bottom w:val="single" w:sz="4" w:space="0" w:color="000000"/>
            </w:tcBorders>
            <w:vAlign w:val="bottom"/>
          </w:tcPr>
          <w:p w14:paraId="0BDC10CE"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147D59FF"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27F25717"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1703E3D3"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vAlign w:val="bottom"/>
          </w:tcPr>
          <w:p w14:paraId="0B47E0A9"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5F82600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3A9938A" w14:textId="77777777" w:rsidTr="001B330E">
        <w:trPr>
          <w:trHeight w:val="23"/>
        </w:trPr>
        <w:tc>
          <w:tcPr>
            <w:tcW w:w="1737" w:type="pct"/>
            <w:tcBorders>
              <w:top w:val="single" w:sz="4" w:space="0" w:color="000000"/>
            </w:tcBorders>
            <w:shd w:val="clear" w:color="auto" w:fill="auto"/>
            <w:vAlign w:val="bottom"/>
          </w:tcPr>
          <w:p w14:paraId="018350E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top w:val="single" w:sz="4" w:space="0" w:color="000000"/>
            </w:tcBorders>
            <w:vAlign w:val="bottom"/>
          </w:tcPr>
          <w:p w14:paraId="25C3F381"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6961752D"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5AD93878"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5A583227"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0488E4DA"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12C03B2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BEC44E5" w14:textId="77777777" w:rsidTr="001B330E">
        <w:trPr>
          <w:trHeight w:val="23"/>
        </w:trPr>
        <w:tc>
          <w:tcPr>
            <w:tcW w:w="1737" w:type="pct"/>
            <w:vAlign w:val="bottom"/>
          </w:tcPr>
          <w:p w14:paraId="4B8E0F9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Corporate shares </w:t>
            </w:r>
          </w:p>
        </w:tc>
        <w:tc>
          <w:tcPr>
            <w:tcW w:w="544" w:type="pct"/>
            <w:vAlign w:val="bottom"/>
          </w:tcPr>
          <w:p w14:paraId="23F80006"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C25B18E"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4D198A73"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67E12CF9"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44874C6F"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158C217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3A41C22" w14:textId="77777777" w:rsidTr="001B330E">
        <w:trPr>
          <w:trHeight w:val="23"/>
        </w:trPr>
        <w:tc>
          <w:tcPr>
            <w:tcW w:w="1737" w:type="pct"/>
            <w:vAlign w:val="bottom"/>
          </w:tcPr>
          <w:p w14:paraId="721BD24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American depositary receipts (ADR)</w:t>
            </w:r>
          </w:p>
        </w:tc>
        <w:tc>
          <w:tcPr>
            <w:tcW w:w="544" w:type="pct"/>
            <w:vAlign w:val="bottom"/>
          </w:tcPr>
          <w:p w14:paraId="305F5D91"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59540BE"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9E19449"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3E029780"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047AE152"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7922B5C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7797F17" w14:textId="77777777" w:rsidTr="001B330E">
        <w:trPr>
          <w:trHeight w:val="23"/>
        </w:trPr>
        <w:tc>
          <w:tcPr>
            <w:tcW w:w="1737" w:type="pct"/>
            <w:vAlign w:val="bottom"/>
          </w:tcPr>
          <w:p w14:paraId="09D82EF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Investments in mutual funds</w:t>
            </w:r>
          </w:p>
        </w:tc>
        <w:tc>
          <w:tcPr>
            <w:tcW w:w="544" w:type="pct"/>
            <w:vAlign w:val="bottom"/>
          </w:tcPr>
          <w:p w14:paraId="458EF281"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17FA15DC"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02547F9"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61471E5B"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00646F7D"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2815CD8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7B44770" w14:textId="77777777" w:rsidTr="001B330E">
        <w:trPr>
          <w:trHeight w:val="23"/>
        </w:trPr>
        <w:tc>
          <w:tcPr>
            <w:tcW w:w="1737" w:type="pct"/>
            <w:vAlign w:val="bottom"/>
          </w:tcPr>
          <w:p w14:paraId="3B0D8A8B" w14:textId="0C6B18E8"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Global depositary receipts (GDR) </w:t>
            </w:r>
          </w:p>
        </w:tc>
        <w:tc>
          <w:tcPr>
            <w:tcW w:w="544" w:type="pct"/>
            <w:vAlign w:val="bottom"/>
          </w:tcPr>
          <w:p w14:paraId="1188D3A3"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492BBF39"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2E53D196"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609C4633"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663E0324"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740B7C8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3A0E689" w14:textId="77777777" w:rsidTr="001B330E">
        <w:trPr>
          <w:trHeight w:val="23"/>
        </w:trPr>
        <w:tc>
          <w:tcPr>
            <w:tcW w:w="1737" w:type="pct"/>
            <w:tcBorders>
              <w:bottom w:val="single" w:sz="4" w:space="0" w:color="000000"/>
            </w:tcBorders>
            <w:vAlign w:val="bottom"/>
          </w:tcPr>
          <w:p w14:paraId="5A258727" w14:textId="77777777" w:rsidR="00D83E33" w:rsidRPr="00E837F2" w:rsidRDefault="00BC4072" w:rsidP="001B330E">
            <w:pPr>
              <w:widowControl w:val="0"/>
              <w:ind w:left="113" w:hanging="113"/>
            </w:pPr>
            <w:r w:rsidRPr="00E837F2">
              <w:t> </w:t>
            </w:r>
          </w:p>
        </w:tc>
        <w:tc>
          <w:tcPr>
            <w:tcW w:w="544" w:type="pct"/>
            <w:tcBorders>
              <w:bottom w:val="single" w:sz="4" w:space="0" w:color="000000"/>
            </w:tcBorders>
            <w:vAlign w:val="bottom"/>
          </w:tcPr>
          <w:p w14:paraId="6CBEB98F" w14:textId="77777777" w:rsidR="00D83E33" w:rsidRPr="00E837F2" w:rsidRDefault="00D83E33">
            <w:pPr>
              <w:widowControl w:val="0"/>
              <w:jc w:val="right"/>
            </w:pPr>
          </w:p>
        </w:tc>
        <w:tc>
          <w:tcPr>
            <w:tcW w:w="544" w:type="pct"/>
            <w:tcBorders>
              <w:bottom w:val="single" w:sz="4" w:space="0" w:color="000000"/>
            </w:tcBorders>
          </w:tcPr>
          <w:p w14:paraId="6BE18D58" w14:textId="77777777" w:rsidR="00D83E33" w:rsidRPr="00E837F2" w:rsidRDefault="00D83E33">
            <w:pPr>
              <w:widowControl w:val="0"/>
              <w:jc w:val="right"/>
            </w:pPr>
          </w:p>
        </w:tc>
        <w:tc>
          <w:tcPr>
            <w:tcW w:w="544" w:type="pct"/>
            <w:tcBorders>
              <w:bottom w:val="single" w:sz="4" w:space="0" w:color="000000"/>
            </w:tcBorders>
          </w:tcPr>
          <w:p w14:paraId="46F86679" w14:textId="77777777" w:rsidR="00D83E33" w:rsidRPr="00E837F2" w:rsidRDefault="00D83E33">
            <w:pPr>
              <w:widowControl w:val="0"/>
              <w:jc w:val="right"/>
            </w:pPr>
          </w:p>
        </w:tc>
        <w:tc>
          <w:tcPr>
            <w:tcW w:w="544" w:type="pct"/>
            <w:tcBorders>
              <w:bottom w:val="single" w:sz="4" w:space="0" w:color="000000"/>
            </w:tcBorders>
            <w:vAlign w:val="bottom"/>
          </w:tcPr>
          <w:p w14:paraId="42801363" w14:textId="77777777" w:rsidR="00D83E33" w:rsidRPr="00E837F2" w:rsidRDefault="00D83E33">
            <w:pPr>
              <w:widowControl w:val="0"/>
              <w:jc w:val="right"/>
            </w:pPr>
          </w:p>
        </w:tc>
        <w:tc>
          <w:tcPr>
            <w:tcW w:w="544" w:type="pct"/>
            <w:tcBorders>
              <w:bottom w:val="single" w:sz="4" w:space="0" w:color="000000"/>
            </w:tcBorders>
            <w:vAlign w:val="bottom"/>
          </w:tcPr>
          <w:p w14:paraId="4674983A" w14:textId="77777777" w:rsidR="00D83E33" w:rsidRPr="00E837F2" w:rsidRDefault="00D83E33">
            <w:pPr>
              <w:widowControl w:val="0"/>
              <w:jc w:val="right"/>
            </w:pPr>
          </w:p>
        </w:tc>
        <w:tc>
          <w:tcPr>
            <w:tcW w:w="543" w:type="pct"/>
            <w:tcBorders>
              <w:bottom w:val="single" w:sz="4" w:space="0" w:color="000000"/>
            </w:tcBorders>
            <w:vAlign w:val="bottom"/>
          </w:tcPr>
          <w:p w14:paraId="0200CC0E" w14:textId="77777777" w:rsidR="00D83E33" w:rsidRPr="00E837F2" w:rsidRDefault="00D83E33">
            <w:pPr>
              <w:widowControl w:val="0"/>
              <w:jc w:val="right"/>
            </w:pPr>
          </w:p>
        </w:tc>
      </w:tr>
      <w:tr w:rsidR="00D83E33" w:rsidRPr="00E837F2" w14:paraId="0508BC84" w14:textId="77777777" w:rsidTr="001B330E">
        <w:trPr>
          <w:trHeight w:val="23"/>
        </w:trPr>
        <w:tc>
          <w:tcPr>
            <w:tcW w:w="1737" w:type="pct"/>
            <w:tcBorders>
              <w:top w:val="single" w:sz="4" w:space="0" w:color="000000"/>
            </w:tcBorders>
            <w:shd w:val="clear" w:color="auto" w:fill="auto"/>
            <w:vAlign w:val="bottom"/>
          </w:tcPr>
          <w:p w14:paraId="7EB9117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top w:val="single" w:sz="4" w:space="0" w:color="000000"/>
            </w:tcBorders>
            <w:vAlign w:val="bottom"/>
          </w:tcPr>
          <w:p w14:paraId="1CE061E5"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6718494F"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29C1419A"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75FE8BFB"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vAlign w:val="bottom"/>
          </w:tcPr>
          <w:p w14:paraId="414D109F" w14:textId="77777777" w:rsidR="00D83E33" w:rsidRPr="00E837F2" w:rsidRDefault="00D83E33">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4483881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7687687" w14:textId="77777777" w:rsidTr="001B330E">
        <w:trPr>
          <w:trHeight w:val="23"/>
        </w:trPr>
        <w:tc>
          <w:tcPr>
            <w:tcW w:w="1737" w:type="pct"/>
            <w:vAlign w:val="bottom"/>
          </w:tcPr>
          <w:p w14:paraId="3B34C57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color w:val="000000"/>
              </w:rPr>
              <w:t>Total equity securities (carrying value)</w:t>
            </w:r>
          </w:p>
        </w:tc>
        <w:tc>
          <w:tcPr>
            <w:tcW w:w="544" w:type="pct"/>
            <w:vAlign w:val="bottom"/>
          </w:tcPr>
          <w:p w14:paraId="7288DBFE"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76C9716"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6BECEB8D"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7B1561C7" w14:textId="77777777" w:rsidR="00D83E33" w:rsidRPr="00E837F2" w:rsidRDefault="00D83E33">
            <w:pPr>
              <w:widowControl w:val="0"/>
              <w:pBdr>
                <w:top w:val="nil"/>
                <w:left w:val="nil"/>
                <w:bottom w:val="nil"/>
                <w:right w:val="nil"/>
                <w:between w:val="nil"/>
              </w:pBdr>
              <w:jc w:val="right"/>
              <w:rPr>
                <w:color w:val="000000"/>
              </w:rPr>
            </w:pPr>
          </w:p>
        </w:tc>
        <w:tc>
          <w:tcPr>
            <w:tcW w:w="544" w:type="pct"/>
            <w:vAlign w:val="bottom"/>
          </w:tcPr>
          <w:p w14:paraId="7E54FC4F" w14:textId="77777777" w:rsidR="00D83E33" w:rsidRPr="00E837F2" w:rsidRDefault="00D83E33">
            <w:pPr>
              <w:widowControl w:val="0"/>
              <w:pBdr>
                <w:top w:val="nil"/>
                <w:left w:val="nil"/>
                <w:bottom w:val="nil"/>
                <w:right w:val="nil"/>
                <w:between w:val="nil"/>
              </w:pBdr>
              <w:jc w:val="right"/>
              <w:rPr>
                <w:color w:val="000000"/>
              </w:rPr>
            </w:pPr>
          </w:p>
        </w:tc>
        <w:tc>
          <w:tcPr>
            <w:tcW w:w="543" w:type="pct"/>
            <w:vAlign w:val="bottom"/>
          </w:tcPr>
          <w:p w14:paraId="1D606DF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083E3A0" w14:textId="77777777" w:rsidTr="001B330E">
        <w:trPr>
          <w:trHeight w:val="23"/>
        </w:trPr>
        <w:tc>
          <w:tcPr>
            <w:tcW w:w="1737" w:type="pct"/>
            <w:tcBorders>
              <w:bottom w:val="single" w:sz="4" w:space="0" w:color="000000"/>
            </w:tcBorders>
            <w:vAlign w:val="bottom"/>
          </w:tcPr>
          <w:p w14:paraId="1D97D6F0" w14:textId="77777777" w:rsidR="00D83E33" w:rsidRPr="00E837F2" w:rsidRDefault="00BC4072" w:rsidP="001B330E">
            <w:pPr>
              <w:widowControl w:val="0"/>
              <w:ind w:left="113" w:hanging="113"/>
            </w:pPr>
            <w:r w:rsidRPr="00E837F2">
              <w:t> </w:t>
            </w:r>
          </w:p>
        </w:tc>
        <w:tc>
          <w:tcPr>
            <w:tcW w:w="544" w:type="pct"/>
            <w:tcBorders>
              <w:bottom w:val="single" w:sz="4" w:space="0" w:color="000000"/>
            </w:tcBorders>
            <w:vAlign w:val="bottom"/>
          </w:tcPr>
          <w:p w14:paraId="651D6A03" w14:textId="77777777" w:rsidR="00D83E33" w:rsidRPr="00E837F2" w:rsidRDefault="00D83E33">
            <w:pPr>
              <w:widowControl w:val="0"/>
              <w:jc w:val="right"/>
            </w:pPr>
          </w:p>
        </w:tc>
        <w:tc>
          <w:tcPr>
            <w:tcW w:w="544" w:type="pct"/>
            <w:tcBorders>
              <w:bottom w:val="single" w:sz="4" w:space="0" w:color="000000"/>
            </w:tcBorders>
          </w:tcPr>
          <w:p w14:paraId="3478D11A" w14:textId="77777777" w:rsidR="00D83E33" w:rsidRPr="00E837F2" w:rsidRDefault="00D83E33">
            <w:pPr>
              <w:widowControl w:val="0"/>
              <w:jc w:val="right"/>
            </w:pPr>
          </w:p>
        </w:tc>
        <w:tc>
          <w:tcPr>
            <w:tcW w:w="544" w:type="pct"/>
            <w:tcBorders>
              <w:bottom w:val="single" w:sz="4" w:space="0" w:color="000000"/>
            </w:tcBorders>
          </w:tcPr>
          <w:p w14:paraId="19FAAE63" w14:textId="77777777" w:rsidR="00D83E33" w:rsidRPr="00E837F2" w:rsidRDefault="00D83E33">
            <w:pPr>
              <w:widowControl w:val="0"/>
              <w:jc w:val="right"/>
            </w:pPr>
          </w:p>
        </w:tc>
        <w:tc>
          <w:tcPr>
            <w:tcW w:w="544" w:type="pct"/>
            <w:tcBorders>
              <w:bottom w:val="single" w:sz="4" w:space="0" w:color="000000"/>
            </w:tcBorders>
            <w:vAlign w:val="bottom"/>
          </w:tcPr>
          <w:p w14:paraId="4100BA92" w14:textId="77777777" w:rsidR="00D83E33" w:rsidRPr="00E837F2" w:rsidRDefault="00D83E33">
            <w:pPr>
              <w:widowControl w:val="0"/>
              <w:jc w:val="right"/>
            </w:pPr>
          </w:p>
        </w:tc>
        <w:tc>
          <w:tcPr>
            <w:tcW w:w="544" w:type="pct"/>
            <w:tcBorders>
              <w:bottom w:val="single" w:sz="4" w:space="0" w:color="000000"/>
            </w:tcBorders>
            <w:vAlign w:val="bottom"/>
          </w:tcPr>
          <w:p w14:paraId="54024C21" w14:textId="77777777" w:rsidR="00D83E33" w:rsidRPr="00E837F2" w:rsidRDefault="00D83E33">
            <w:pPr>
              <w:widowControl w:val="0"/>
              <w:jc w:val="right"/>
            </w:pPr>
          </w:p>
        </w:tc>
        <w:tc>
          <w:tcPr>
            <w:tcW w:w="543" w:type="pct"/>
            <w:tcBorders>
              <w:bottom w:val="single" w:sz="4" w:space="0" w:color="000000"/>
            </w:tcBorders>
            <w:vAlign w:val="bottom"/>
          </w:tcPr>
          <w:p w14:paraId="772F66B3" w14:textId="77777777" w:rsidR="00D83E33" w:rsidRPr="00E837F2" w:rsidRDefault="00D83E33">
            <w:pPr>
              <w:widowControl w:val="0"/>
              <w:jc w:val="right"/>
            </w:pPr>
          </w:p>
        </w:tc>
      </w:tr>
      <w:tr w:rsidR="00D83E33" w:rsidRPr="00E837F2" w14:paraId="3B495923" w14:textId="77777777" w:rsidTr="001B330E">
        <w:trPr>
          <w:trHeight w:val="23"/>
        </w:trPr>
        <w:tc>
          <w:tcPr>
            <w:tcW w:w="1737" w:type="pct"/>
            <w:vAlign w:val="bottom"/>
          </w:tcPr>
          <w:p w14:paraId="0EC0620C" w14:textId="77777777" w:rsidR="00D83E33" w:rsidRPr="00E837F2" w:rsidRDefault="00BC4072" w:rsidP="001B330E">
            <w:pPr>
              <w:widowControl w:val="0"/>
              <w:ind w:left="113" w:hanging="113"/>
            </w:pPr>
            <w:r w:rsidRPr="00E837F2">
              <w:t> </w:t>
            </w:r>
          </w:p>
        </w:tc>
        <w:tc>
          <w:tcPr>
            <w:tcW w:w="544" w:type="pct"/>
            <w:vAlign w:val="bottom"/>
          </w:tcPr>
          <w:p w14:paraId="057E0FA6" w14:textId="77777777" w:rsidR="00D83E33" w:rsidRPr="00E837F2" w:rsidRDefault="00D83E33">
            <w:pPr>
              <w:widowControl w:val="0"/>
              <w:jc w:val="right"/>
            </w:pPr>
          </w:p>
        </w:tc>
        <w:tc>
          <w:tcPr>
            <w:tcW w:w="544" w:type="pct"/>
          </w:tcPr>
          <w:p w14:paraId="502B0A00" w14:textId="77777777" w:rsidR="00D83E33" w:rsidRPr="00E837F2" w:rsidRDefault="00D83E33">
            <w:pPr>
              <w:widowControl w:val="0"/>
              <w:jc w:val="right"/>
            </w:pPr>
          </w:p>
        </w:tc>
        <w:tc>
          <w:tcPr>
            <w:tcW w:w="544" w:type="pct"/>
          </w:tcPr>
          <w:p w14:paraId="1E2B92C5" w14:textId="77777777" w:rsidR="00D83E33" w:rsidRPr="00E837F2" w:rsidRDefault="00D83E33">
            <w:pPr>
              <w:widowControl w:val="0"/>
              <w:jc w:val="right"/>
            </w:pPr>
          </w:p>
        </w:tc>
        <w:tc>
          <w:tcPr>
            <w:tcW w:w="544" w:type="pct"/>
            <w:vAlign w:val="bottom"/>
          </w:tcPr>
          <w:p w14:paraId="08AA5135" w14:textId="77777777" w:rsidR="00D83E33" w:rsidRPr="00E837F2" w:rsidRDefault="00D83E33">
            <w:pPr>
              <w:widowControl w:val="0"/>
              <w:jc w:val="right"/>
            </w:pPr>
          </w:p>
        </w:tc>
        <w:tc>
          <w:tcPr>
            <w:tcW w:w="544" w:type="pct"/>
            <w:vAlign w:val="bottom"/>
          </w:tcPr>
          <w:p w14:paraId="08FA163B" w14:textId="77777777" w:rsidR="00D83E33" w:rsidRPr="00E837F2" w:rsidRDefault="00D83E33">
            <w:pPr>
              <w:widowControl w:val="0"/>
              <w:jc w:val="right"/>
            </w:pPr>
          </w:p>
        </w:tc>
        <w:tc>
          <w:tcPr>
            <w:tcW w:w="543" w:type="pct"/>
            <w:vAlign w:val="bottom"/>
          </w:tcPr>
          <w:p w14:paraId="7D337CD8" w14:textId="77777777" w:rsidR="00D83E33" w:rsidRPr="00E837F2" w:rsidRDefault="00D83E33">
            <w:pPr>
              <w:widowControl w:val="0"/>
              <w:jc w:val="right"/>
            </w:pPr>
          </w:p>
        </w:tc>
      </w:tr>
      <w:tr w:rsidR="00D83E33" w:rsidRPr="00E837F2" w14:paraId="19299AD4" w14:textId="77777777" w:rsidTr="001B330E">
        <w:trPr>
          <w:trHeight w:val="23"/>
        </w:trPr>
        <w:tc>
          <w:tcPr>
            <w:tcW w:w="1737" w:type="pct"/>
            <w:vAlign w:val="bottom"/>
          </w:tcPr>
          <w:p w14:paraId="07ED787F"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 xml:space="preserve">Total securities (carrying value) </w:t>
            </w:r>
          </w:p>
        </w:tc>
        <w:tc>
          <w:tcPr>
            <w:tcW w:w="544" w:type="pct"/>
            <w:vAlign w:val="bottom"/>
          </w:tcPr>
          <w:p w14:paraId="3C345F60" w14:textId="77777777" w:rsidR="00D83E33" w:rsidRPr="00E837F2" w:rsidRDefault="00D83E33">
            <w:pPr>
              <w:widowControl w:val="0"/>
              <w:pBdr>
                <w:top w:val="nil"/>
                <w:left w:val="nil"/>
                <w:bottom w:val="nil"/>
                <w:right w:val="nil"/>
                <w:between w:val="nil"/>
              </w:pBdr>
              <w:jc w:val="right"/>
              <w:rPr>
                <w:b/>
                <w:color w:val="000000"/>
              </w:rPr>
            </w:pPr>
          </w:p>
        </w:tc>
        <w:tc>
          <w:tcPr>
            <w:tcW w:w="544" w:type="pct"/>
          </w:tcPr>
          <w:p w14:paraId="403BCB67" w14:textId="77777777" w:rsidR="00D83E33" w:rsidRPr="00E837F2" w:rsidRDefault="00D83E33">
            <w:pPr>
              <w:widowControl w:val="0"/>
              <w:pBdr>
                <w:top w:val="nil"/>
                <w:left w:val="nil"/>
                <w:bottom w:val="nil"/>
                <w:right w:val="nil"/>
                <w:between w:val="nil"/>
              </w:pBdr>
              <w:jc w:val="right"/>
              <w:rPr>
                <w:b/>
                <w:color w:val="000000"/>
              </w:rPr>
            </w:pPr>
          </w:p>
        </w:tc>
        <w:tc>
          <w:tcPr>
            <w:tcW w:w="544" w:type="pct"/>
          </w:tcPr>
          <w:p w14:paraId="50F70CFA" w14:textId="77777777" w:rsidR="00D83E33" w:rsidRPr="00E837F2" w:rsidRDefault="00D83E33">
            <w:pPr>
              <w:widowControl w:val="0"/>
              <w:pBdr>
                <w:top w:val="nil"/>
                <w:left w:val="nil"/>
                <w:bottom w:val="nil"/>
                <w:right w:val="nil"/>
                <w:between w:val="nil"/>
              </w:pBdr>
              <w:jc w:val="right"/>
              <w:rPr>
                <w:b/>
                <w:color w:val="000000"/>
              </w:rPr>
            </w:pPr>
          </w:p>
        </w:tc>
        <w:tc>
          <w:tcPr>
            <w:tcW w:w="544" w:type="pct"/>
            <w:vAlign w:val="bottom"/>
          </w:tcPr>
          <w:p w14:paraId="30B9B581" w14:textId="77777777" w:rsidR="00D83E33" w:rsidRPr="00E837F2" w:rsidRDefault="00D83E33">
            <w:pPr>
              <w:widowControl w:val="0"/>
              <w:pBdr>
                <w:top w:val="nil"/>
                <w:left w:val="nil"/>
                <w:bottom w:val="nil"/>
                <w:right w:val="nil"/>
                <w:between w:val="nil"/>
              </w:pBdr>
              <w:jc w:val="right"/>
              <w:rPr>
                <w:b/>
                <w:color w:val="000000"/>
              </w:rPr>
            </w:pPr>
          </w:p>
        </w:tc>
        <w:tc>
          <w:tcPr>
            <w:tcW w:w="544" w:type="pct"/>
            <w:vAlign w:val="bottom"/>
          </w:tcPr>
          <w:p w14:paraId="5F74D1CE" w14:textId="77777777" w:rsidR="00D83E33" w:rsidRPr="00E837F2" w:rsidRDefault="00D83E33">
            <w:pPr>
              <w:widowControl w:val="0"/>
              <w:pBdr>
                <w:top w:val="nil"/>
                <w:left w:val="nil"/>
                <w:bottom w:val="nil"/>
                <w:right w:val="nil"/>
                <w:between w:val="nil"/>
              </w:pBdr>
              <w:jc w:val="right"/>
              <w:rPr>
                <w:b/>
                <w:color w:val="000000"/>
              </w:rPr>
            </w:pPr>
          </w:p>
        </w:tc>
        <w:tc>
          <w:tcPr>
            <w:tcW w:w="543" w:type="pct"/>
            <w:vAlign w:val="bottom"/>
          </w:tcPr>
          <w:p w14:paraId="1FA1B1AA"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6F9D7574" w14:textId="77777777" w:rsidTr="001B330E">
        <w:trPr>
          <w:trHeight w:val="23"/>
        </w:trPr>
        <w:tc>
          <w:tcPr>
            <w:tcW w:w="1737" w:type="pct"/>
            <w:tcBorders>
              <w:bottom w:val="single" w:sz="12" w:space="0" w:color="000000"/>
            </w:tcBorders>
            <w:vAlign w:val="bottom"/>
          </w:tcPr>
          <w:p w14:paraId="6C258936"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 </w:t>
            </w:r>
          </w:p>
        </w:tc>
        <w:tc>
          <w:tcPr>
            <w:tcW w:w="544" w:type="pct"/>
            <w:tcBorders>
              <w:bottom w:val="single" w:sz="12" w:space="0" w:color="000000"/>
            </w:tcBorders>
            <w:vAlign w:val="bottom"/>
          </w:tcPr>
          <w:p w14:paraId="770DC06B" w14:textId="77777777" w:rsidR="00D83E33" w:rsidRPr="00E837F2" w:rsidRDefault="00D83E33">
            <w:pPr>
              <w:widowControl w:val="0"/>
              <w:pBdr>
                <w:top w:val="nil"/>
                <w:left w:val="nil"/>
                <w:bottom w:val="nil"/>
                <w:right w:val="nil"/>
                <w:between w:val="nil"/>
              </w:pBdr>
              <w:jc w:val="right"/>
              <w:rPr>
                <w:b/>
                <w:color w:val="000000"/>
              </w:rPr>
            </w:pPr>
          </w:p>
        </w:tc>
        <w:tc>
          <w:tcPr>
            <w:tcW w:w="544" w:type="pct"/>
            <w:tcBorders>
              <w:bottom w:val="single" w:sz="12" w:space="0" w:color="000000"/>
            </w:tcBorders>
          </w:tcPr>
          <w:p w14:paraId="659BC6F9" w14:textId="77777777" w:rsidR="00D83E33" w:rsidRPr="00E837F2" w:rsidRDefault="00D83E33">
            <w:pPr>
              <w:widowControl w:val="0"/>
              <w:pBdr>
                <w:top w:val="nil"/>
                <w:left w:val="nil"/>
                <w:bottom w:val="nil"/>
                <w:right w:val="nil"/>
                <w:between w:val="nil"/>
              </w:pBdr>
              <w:jc w:val="right"/>
              <w:rPr>
                <w:b/>
                <w:color w:val="000000"/>
              </w:rPr>
            </w:pPr>
          </w:p>
        </w:tc>
        <w:tc>
          <w:tcPr>
            <w:tcW w:w="544" w:type="pct"/>
            <w:tcBorders>
              <w:bottom w:val="single" w:sz="12" w:space="0" w:color="000000"/>
            </w:tcBorders>
          </w:tcPr>
          <w:p w14:paraId="242D3346" w14:textId="77777777" w:rsidR="00D83E33" w:rsidRPr="00E837F2" w:rsidRDefault="00D83E33">
            <w:pPr>
              <w:widowControl w:val="0"/>
              <w:pBdr>
                <w:top w:val="nil"/>
                <w:left w:val="nil"/>
                <w:bottom w:val="nil"/>
                <w:right w:val="nil"/>
                <w:between w:val="nil"/>
              </w:pBdr>
              <w:jc w:val="right"/>
              <w:rPr>
                <w:b/>
                <w:color w:val="000000"/>
              </w:rPr>
            </w:pPr>
          </w:p>
        </w:tc>
        <w:tc>
          <w:tcPr>
            <w:tcW w:w="544" w:type="pct"/>
            <w:tcBorders>
              <w:bottom w:val="single" w:sz="12" w:space="0" w:color="000000"/>
            </w:tcBorders>
            <w:vAlign w:val="bottom"/>
          </w:tcPr>
          <w:p w14:paraId="7514BEB9" w14:textId="77777777" w:rsidR="00D83E33" w:rsidRPr="00E837F2" w:rsidRDefault="00D83E33">
            <w:pPr>
              <w:widowControl w:val="0"/>
              <w:pBdr>
                <w:top w:val="nil"/>
                <w:left w:val="nil"/>
                <w:bottom w:val="nil"/>
                <w:right w:val="nil"/>
                <w:between w:val="nil"/>
              </w:pBdr>
              <w:jc w:val="right"/>
              <w:rPr>
                <w:b/>
                <w:color w:val="000000"/>
              </w:rPr>
            </w:pPr>
          </w:p>
        </w:tc>
        <w:tc>
          <w:tcPr>
            <w:tcW w:w="544" w:type="pct"/>
            <w:tcBorders>
              <w:bottom w:val="single" w:sz="12" w:space="0" w:color="000000"/>
            </w:tcBorders>
            <w:vAlign w:val="bottom"/>
          </w:tcPr>
          <w:p w14:paraId="37E5A52F" w14:textId="77777777" w:rsidR="00D83E33" w:rsidRPr="00E837F2" w:rsidRDefault="00D83E33">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7FFEDE27" w14:textId="77777777" w:rsidR="00D83E33" w:rsidRPr="00E837F2" w:rsidRDefault="00D83E33">
            <w:pPr>
              <w:widowControl w:val="0"/>
              <w:pBdr>
                <w:top w:val="nil"/>
                <w:left w:val="nil"/>
                <w:bottom w:val="nil"/>
                <w:right w:val="nil"/>
                <w:between w:val="nil"/>
              </w:pBdr>
              <w:jc w:val="right"/>
              <w:rPr>
                <w:b/>
                <w:color w:val="000000"/>
              </w:rPr>
            </w:pPr>
          </w:p>
        </w:tc>
      </w:tr>
    </w:tbl>
    <w:p w14:paraId="06AFC394" w14:textId="7A8DAFBB"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debt securities are not collateralised. </w:t>
      </w:r>
      <w:r>
        <w:rPr>
          <w:i/>
          <w:color w:val="FF0000"/>
          <w:sz w:val="20"/>
          <w:szCs w:val="20"/>
        </w:rPr>
        <w:t>[Otherwise disclose information about collateral as in Note 11 on loans and advances to customers.]</w:t>
      </w:r>
    </w:p>
    <w:p w14:paraId="2D98EADD" w14:textId="751C6881" w:rsidR="00F56971" w:rsidRPr="00F56971" w:rsidRDefault="00F56971" w:rsidP="00F56971">
      <w:pPr>
        <w:widowControl w:val="0"/>
        <w:pBdr>
          <w:top w:val="nil"/>
          <w:left w:val="nil"/>
          <w:bottom w:val="nil"/>
          <w:right w:val="nil"/>
          <w:between w:val="nil"/>
        </w:pBdr>
        <w:spacing w:before="200" w:after="200"/>
        <w:jc w:val="both"/>
        <w:rPr>
          <w:color w:val="0000FF"/>
          <w:sz w:val="20"/>
          <w:szCs w:val="20"/>
        </w:rPr>
      </w:pPr>
      <w:r w:rsidRPr="00F56971">
        <w:rPr>
          <w:color w:val="0000FF"/>
          <w:sz w:val="20"/>
          <w:szCs w:val="20"/>
        </w:rPr>
        <w:t xml:space="preserve">[Sale and repurchase agreements (“repo agreements”), which effectively provide a lender’s return to the counterparty, are treated as secured financing transactions. Securities sold under such sale and repurchase agreements are not derecognised. The securities are reclassified as repurchase receivables in the statement of financial position if the transferee has the right by contract or custom to sell or repledge the securities. The corresponding liability is presented within amounts due to other banks or other borrowed funds. </w:t>
      </w:r>
    </w:p>
    <w:p w14:paraId="5E76EAA6" w14:textId="77777777" w:rsidR="00F56971" w:rsidRPr="00F56971" w:rsidRDefault="00F56971" w:rsidP="00F56971">
      <w:pPr>
        <w:widowControl w:val="0"/>
        <w:pBdr>
          <w:top w:val="nil"/>
          <w:left w:val="nil"/>
          <w:bottom w:val="nil"/>
          <w:right w:val="nil"/>
          <w:between w:val="nil"/>
        </w:pBdr>
        <w:spacing w:before="200" w:after="200"/>
        <w:jc w:val="both"/>
        <w:rPr>
          <w:color w:val="0000FF"/>
          <w:sz w:val="20"/>
          <w:szCs w:val="20"/>
        </w:rPr>
      </w:pPr>
      <w:r w:rsidRPr="00F56971">
        <w:rPr>
          <w:color w:val="0000FF"/>
          <w:sz w:val="20"/>
          <w:szCs w:val="20"/>
        </w:rPr>
        <w:t xml:space="preserve">Securities purchased under agreements to resell (“reverse repo agreements”), which effectively provide a lender’s return to the Group, are recorded as due from other banks or loans and advances to customers, as appropriate. The difference between the sale and repurchase price, adjusted by interest and dividend income collected by the counterparty, is treated as interest income and accrued over the life of repo agreements using the effective interest method. </w:t>
      </w:r>
    </w:p>
    <w:p w14:paraId="1314DA01" w14:textId="77777777" w:rsidR="00F56971" w:rsidRPr="00F56971" w:rsidRDefault="00F56971" w:rsidP="00F56971">
      <w:pPr>
        <w:widowControl w:val="0"/>
        <w:pBdr>
          <w:top w:val="nil"/>
          <w:left w:val="nil"/>
          <w:bottom w:val="nil"/>
          <w:right w:val="nil"/>
          <w:between w:val="nil"/>
        </w:pBdr>
        <w:spacing w:before="200" w:after="200"/>
        <w:jc w:val="both"/>
        <w:rPr>
          <w:color w:val="0000FF"/>
          <w:sz w:val="20"/>
          <w:szCs w:val="20"/>
        </w:rPr>
      </w:pPr>
      <w:r w:rsidRPr="00F56971">
        <w:rPr>
          <w:color w:val="0000FF"/>
          <w:sz w:val="20"/>
          <w:szCs w:val="20"/>
        </w:rPr>
        <w:t>Securities lent to counterparties for a fixed fee are retained in the [consolidated] financial statements in their original category in the statement of financial position unless the counterparty has the right by contract or custom to sell or repledge the securities, in which case they are reclassified and presented separately. Securities borrowed for a fixed fee are not recorded in the [consolidated] financial statements, unless these are sold to third parties, in which case the purchase and sale are recorded in profit or loss for the year within gains less losses arising from trading securities. The obligation to return the securities is recorded at fair value in other borrowed funds.</w:t>
      </w:r>
    </w:p>
    <w:p w14:paraId="2F375E1B" w14:textId="77777777" w:rsidR="00E03694" w:rsidRDefault="00E03694" w:rsidP="00E03694">
      <w:pPr>
        <w:pStyle w:val="Continued"/>
      </w:pPr>
      <w:r>
        <w:lastRenderedPageBreak/>
        <w:t>12</w:t>
      </w:r>
      <w:r>
        <w:tab/>
        <w:t>Repurchase Receivables (Continued)</w:t>
      </w:r>
    </w:p>
    <w:p w14:paraId="21FC259E" w14:textId="6F5C717E" w:rsidR="00F56971" w:rsidRPr="00F56971" w:rsidRDefault="00F56971" w:rsidP="00F56971">
      <w:pPr>
        <w:widowControl w:val="0"/>
        <w:pBdr>
          <w:top w:val="nil"/>
          <w:left w:val="nil"/>
          <w:bottom w:val="nil"/>
          <w:right w:val="nil"/>
          <w:between w:val="nil"/>
        </w:pBdr>
        <w:spacing w:before="200" w:after="200"/>
        <w:jc w:val="both"/>
        <w:rPr>
          <w:color w:val="0000FF"/>
          <w:sz w:val="20"/>
          <w:szCs w:val="20"/>
        </w:rPr>
      </w:pPr>
      <w:r w:rsidRPr="00F56971">
        <w:rPr>
          <w:color w:val="0000FF"/>
          <w:sz w:val="20"/>
          <w:szCs w:val="20"/>
        </w:rPr>
        <w:t>Based on classification of securities sold under the sale and repurchase agreements, the Group classifies repurchase receivables into one of the following measurement categories: AC, FVOCI, and FVTPL.]</w:t>
      </w:r>
    </w:p>
    <w:p w14:paraId="1FEEAF8D" w14:textId="6A9E289E" w:rsidR="00D83E33" w:rsidRDefault="00D83E33">
      <w:pPr>
        <w:widowControl w:val="0"/>
        <w:pBdr>
          <w:top w:val="nil"/>
          <w:left w:val="nil"/>
          <w:bottom w:val="nil"/>
          <w:right w:val="nil"/>
          <w:between w:val="nil"/>
        </w:pBdr>
        <w:spacing w:before="200" w:after="200"/>
        <w:jc w:val="both"/>
        <w:rPr>
          <w:i/>
          <w:color w:val="FF0000"/>
          <w:sz w:val="20"/>
          <w:szCs w:val="20"/>
        </w:rPr>
      </w:pPr>
    </w:p>
    <w:p w14:paraId="5AA3003C" w14:textId="5E4C63B3"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Analysis by credit quality of debt securities at FVOCI that were transferred in a sale and repurchase agreement is as follows at 31</w:t>
      </w:r>
      <w:r w:rsidR="00181687">
        <w:rPr>
          <w:color w:val="000000"/>
          <w:sz w:val="20"/>
          <w:szCs w:val="20"/>
        </w:rPr>
        <w:t> December </w:t>
      </w:r>
      <w:r w:rsidR="00541EBC">
        <w:rPr>
          <w:color w:val="000000"/>
          <w:sz w:val="20"/>
          <w:szCs w:val="20"/>
        </w:rPr>
        <w:t>2024</w:t>
      </w:r>
      <w:r>
        <w:rPr>
          <w:color w:val="000000"/>
          <w:sz w:val="20"/>
          <w:szCs w:val="20"/>
        </w:rPr>
        <w:t>.</w:t>
      </w:r>
    </w:p>
    <w:tbl>
      <w:tblPr>
        <w:tblStyle w:val="affffffc"/>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669C1071" w14:textId="77777777" w:rsidTr="00372E26">
        <w:trPr>
          <w:trHeight w:val="23"/>
        </w:trPr>
        <w:tc>
          <w:tcPr>
            <w:tcW w:w="1971" w:type="pct"/>
            <w:tcBorders>
              <w:bottom w:val="single" w:sz="4" w:space="0" w:color="000000"/>
            </w:tcBorders>
            <w:shd w:val="clear" w:color="auto" w:fill="auto"/>
            <w:vAlign w:val="bottom"/>
          </w:tcPr>
          <w:p w14:paraId="3A4CED4A" w14:textId="06A70156"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3438148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6677BD4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shd w:val="clear" w:color="auto" w:fill="auto"/>
          </w:tcPr>
          <w:p w14:paraId="1AA4546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2D46116A"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shd w:val="clear" w:color="auto" w:fill="auto"/>
          </w:tcPr>
          <w:p w14:paraId="7416D2D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2AA473C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01FB61B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5" w:type="pct"/>
            <w:tcBorders>
              <w:bottom w:val="single" w:sz="4" w:space="0" w:color="000000"/>
            </w:tcBorders>
            <w:shd w:val="clear" w:color="auto" w:fill="auto"/>
          </w:tcPr>
          <w:p w14:paraId="23E0154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4F5C5567" w14:textId="77777777" w:rsidTr="00372E26">
        <w:trPr>
          <w:trHeight w:val="23"/>
        </w:trPr>
        <w:tc>
          <w:tcPr>
            <w:tcW w:w="1971" w:type="pct"/>
            <w:shd w:val="clear" w:color="auto" w:fill="auto"/>
            <w:vAlign w:val="bottom"/>
          </w:tcPr>
          <w:p w14:paraId="0C2FA7E1" w14:textId="77777777" w:rsidR="00D83E33" w:rsidRPr="00E837F2" w:rsidRDefault="00D83E33" w:rsidP="001B330E">
            <w:pPr>
              <w:widowControl w:val="0"/>
              <w:ind w:left="113" w:hanging="113"/>
            </w:pPr>
          </w:p>
        </w:tc>
        <w:tc>
          <w:tcPr>
            <w:tcW w:w="606" w:type="pct"/>
            <w:shd w:val="clear" w:color="auto" w:fill="auto"/>
            <w:vAlign w:val="bottom"/>
          </w:tcPr>
          <w:p w14:paraId="1B481AA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32A60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18009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5DC1EA3"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890355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DF82DD0" w14:textId="77777777" w:rsidTr="00372E26">
        <w:trPr>
          <w:trHeight w:val="23"/>
        </w:trPr>
        <w:tc>
          <w:tcPr>
            <w:tcW w:w="1971" w:type="pct"/>
            <w:shd w:val="clear" w:color="auto" w:fill="auto"/>
            <w:vAlign w:val="bottom"/>
          </w:tcPr>
          <w:p w14:paraId="24452CCE" w14:textId="65205E50" w:rsidR="00D83E33" w:rsidRPr="00E837F2" w:rsidRDefault="00372E26" w:rsidP="001B330E">
            <w:pPr>
              <w:widowControl w:val="0"/>
              <w:pBdr>
                <w:top w:val="nil"/>
                <w:left w:val="nil"/>
                <w:bottom w:val="nil"/>
                <w:right w:val="nil"/>
                <w:between w:val="nil"/>
              </w:pBdr>
              <w:ind w:left="113" w:hanging="113"/>
              <w:rPr>
                <w:b/>
                <w:color w:val="000000"/>
              </w:rPr>
            </w:pPr>
            <w:r>
              <w:rPr>
                <w:b/>
                <w:i/>
                <w:color w:val="000000"/>
              </w:rPr>
              <w:t>[Country]</w:t>
            </w:r>
            <w:r w:rsidR="00BC4072" w:rsidRPr="00E837F2">
              <w:rPr>
                <w:b/>
                <w:i/>
                <w:color w:val="000000"/>
              </w:rPr>
              <w:t xml:space="preserve"> government bonds</w:t>
            </w:r>
          </w:p>
        </w:tc>
        <w:tc>
          <w:tcPr>
            <w:tcW w:w="606" w:type="pct"/>
            <w:shd w:val="clear" w:color="auto" w:fill="auto"/>
            <w:vAlign w:val="bottom"/>
          </w:tcPr>
          <w:p w14:paraId="0CD4B34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ED84F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11345C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B68F721"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4DD6F0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F6DFC0A" w14:textId="77777777" w:rsidTr="00372E26">
        <w:trPr>
          <w:trHeight w:val="23"/>
        </w:trPr>
        <w:tc>
          <w:tcPr>
            <w:tcW w:w="1971" w:type="pct"/>
            <w:shd w:val="clear" w:color="auto" w:fill="auto"/>
            <w:vAlign w:val="bottom"/>
          </w:tcPr>
          <w:p w14:paraId="4502641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07C6DD4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323266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865B0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B5EC1D6"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D3EDB4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52ECE72" w14:textId="77777777" w:rsidTr="00372E26">
        <w:trPr>
          <w:trHeight w:val="23"/>
        </w:trPr>
        <w:tc>
          <w:tcPr>
            <w:tcW w:w="1971" w:type="pct"/>
            <w:shd w:val="clear" w:color="auto" w:fill="auto"/>
            <w:vAlign w:val="bottom"/>
          </w:tcPr>
          <w:p w14:paraId="396B0B03"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Excellent</w:t>
            </w:r>
          </w:p>
        </w:tc>
        <w:tc>
          <w:tcPr>
            <w:tcW w:w="606" w:type="pct"/>
            <w:shd w:val="clear" w:color="auto" w:fill="auto"/>
            <w:vAlign w:val="bottom"/>
          </w:tcPr>
          <w:p w14:paraId="5A9243D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41491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B9E348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F52D15A"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736322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D97947E" w14:textId="77777777" w:rsidTr="00372E26">
        <w:trPr>
          <w:trHeight w:val="23"/>
        </w:trPr>
        <w:tc>
          <w:tcPr>
            <w:tcW w:w="1971" w:type="pct"/>
            <w:shd w:val="clear" w:color="auto" w:fill="auto"/>
            <w:vAlign w:val="bottom"/>
          </w:tcPr>
          <w:p w14:paraId="0FB2C1CF"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Good</w:t>
            </w:r>
          </w:p>
        </w:tc>
        <w:tc>
          <w:tcPr>
            <w:tcW w:w="606" w:type="pct"/>
            <w:shd w:val="clear" w:color="auto" w:fill="auto"/>
            <w:vAlign w:val="bottom"/>
          </w:tcPr>
          <w:p w14:paraId="57C1E63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AA62F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7A2748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E5DCCCB"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F86487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7C06760" w14:textId="77777777" w:rsidTr="00372E26">
        <w:trPr>
          <w:trHeight w:val="23"/>
        </w:trPr>
        <w:tc>
          <w:tcPr>
            <w:tcW w:w="1971" w:type="pct"/>
            <w:shd w:val="clear" w:color="auto" w:fill="auto"/>
            <w:vAlign w:val="bottom"/>
          </w:tcPr>
          <w:p w14:paraId="5B285846"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Satisfactory</w:t>
            </w:r>
          </w:p>
        </w:tc>
        <w:tc>
          <w:tcPr>
            <w:tcW w:w="606" w:type="pct"/>
            <w:shd w:val="clear" w:color="auto" w:fill="auto"/>
            <w:vAlign w:val="bottom"/>
          </w:tcPr>
          <w:p w14:paraId="35CF5F9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F937F8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890E73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A02FC3A"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F930F5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63B1B60" w14:textId="77777777" w:rsidTr="00372E26">
        <w:trPr>
          <w:trHeight w:val="23"/>
        </w:trPr>
        <w:tc>
          <w:tcPr>
            <w:tcW w:w="1971" w:type="pct"/>
            <w:shd w:val="clear" w:color="auto" w:fill="auto"/>
            <w:vAlign w:val="bottom"/>
          </w:tcPr>
          <w:p w14:paraId="5B4AC7D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5EE211A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CCC9A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60E12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7AAC566"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D63BC4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6596C05" w14:textId="77777777" w:rsidTr="00372E26">
        <w:trPr>
          <w:trHeight w:val="23"/>
        </w:trPr>
        <w:tc>
          <w:tcPr>
            <w:tcW w:w="1971" w:type="pct"/>
            <w:tcBorders>
              <w:top w:val="single" w:sz="4" w:space="0" w:color="000000"/>
            </w:tcBorders>
            <w:shd w:val="clear" w:color="auto" w:fill="auto"/>
            <w:vAlign w:val="bottom"/>
          </w:tcPr>
          <w:p w14:paraId="5496309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0D27D9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6293CA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707FBD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854B9D9"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756A9EC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323A081" w14:textId="77777777" w:rsidTr="00372E26">
        <w:trPr>
          <w:trHeight w:val="23"/>
        </w:trPr>
        <w:tc>
          <w:tcPr>
            <w:tcW w:w="1971" w:type="pct"/>
            <w:shd w:val="clear" w:color="auto" w:fill="auto"/>
            <w:vAlign w:val="bottom"/>
          </w:tcPr>
          <w:p w14:paraId="7F91B2E3"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Total AC gross carrying amount</w:t>
            </w:r>
          </w:p>
        </w:tc>
        <w:tc>
          <w:tcPr>
            <w:tcW w:w="606" w:type="pct"/>
            <w:vAlign w:val="bottom"/>
          </w:tcPr>
          <w:p w14:paraId="13889BB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ACA68A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1E098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60CD93"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DBB3D1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167A610" w14:textId="77777777" w:rsidTr="00372E26">
        <w:trPr>
          <w:trHeight w:val="23"/>
        </w:trPr>
        <w:tc>
          <w:tcPr>
            <w:tcW w:w="1971" w:type="pct"/>
            <w:tcBorders>
              <w:bottom w:val="single" w:sz="4" w:space="0" w:color="000000"/>
            </w:tcBorders>
            <w:shd w:val="clear" w:color="auto" w:fill="auto"/>
            <w:vAlign w:val="bottom"/>
          </w:tcPr>
          <w:p w14:paraId="18D1461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2F7A8FF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BF0AAC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AD45DC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01F3C38"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3955F36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F51DC3A" w14:textId="77777777" w:rsidTr="00372E26">
        <w:trPr>
          <w:trHeight w:val="23"/>
        </w:trPr>
        <w:tc>
          <w:tcPr>
            <w:tcW w:w="1971" w:type="pct"/>
            <w:tcBorders>
              <w:top w:val="single" w:sz="4" w:space="0" w:color="000000"/>
            </w:tcBorders>
            <w:shd w:val="clear" w:color="auto" w:fill="auto"/>
            <w:vAlign w:val="bottom"/>
          </w:tcPr>
          <w:p w14:paraId="705A800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AEDE8E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40BC7E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30072F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3470808"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70BEB6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C345369" w14:textId="77777777" w:rsidTr="00372E26">
        <w:trPr>
          <w:trHeight w:val="23"/>
        </w:trPr>
        <w:tc>
          <w:tcPr>
            <w:tcW w:w="1971" w:type="pct"/>
            <w:shd w:val="clear" w:color="auto" w:fill="auto"/>
            <w:vAlign w:val="bottom"/>
          </w:tcPr>
          <w:p w14:paraId="427A7DCE"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Including: credit loss allowance</w:t>
            </w:r>
          </w:p>
        </w:tc>
        <w:tc>
          <w:tcPr>
            <w:tcW w:w="606" w:type="pct"/>
            <w:vAlign w:val="bottom"/>
          </w:tcPr>
          <w:p w14:paraId="70390E6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7EAFCC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EF68E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9767BD"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6739BF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5D6E7CC" w14:textId="77777777" w:rsidTr="00372E26">
        <w:trPr>
          <w:trHeight w:val="23"/>
        </w:trPr>
        <w:tc>
          <w:tcPr>
            <w:tcW w:w="1971" w:type="pct"/>
            <w:shd w:val="clear" w:color="auto" w:fill="auto"/>
            <w:vAlign w:val="bottom"/>
          </w:tcPr>
          <w:p w14:paraId="5E70D1D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fair value adjustment from AC to FV</w:t>
            </w:r>
          </w:p>
        </w:tc>
        <w:tc>
          <w:tcPr>
            <w:tcW w:w="606" w:type="pct"/>
            <w:vAlign w:val="bottom"/>
          </w:tcPr>
          <w:p w14:paraId="292DFD4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459F85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98E4E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91DD04"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4D8A24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E5FFBBE" w14:textId="77777777" w:rsidTr="00372E26">
        <w:trPr>
          <w:trHeight w:val="23"/>
        </w:trPr>
        <w:tc>
          <w:tcPr>
            <w:tcW w:w="1971" w:type="pct"/>
            <w:tcBorders>
              <w:bottom w:val="single" w:sz="4" w:space="0" w:color="000000"/>
            </w:tcBorders>
            <w:shd w:val="clear" w:color="auto" w:fill="auto"/>
            <w:vAlign w:val="bottom"/>
          </w:tcPr>
          <w:p w14:paraId="40873AB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EE3CAB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3E447E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7A6A9E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FD0E5FA"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2C13603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39D7145" w14:textId="77777777" w:rsidTr="00372E26">
        <w:trPr>
          <w:trHeight w:val="23"/>
        </w:trPr>
        <w:tc>
          <w:tcPr>
            <w:tcW w:w="1971" w:type="pct"/>
            <w:tcBorders>
              <w:top w:val="single" w:sz="4" w:space="0" w:color="000000"/>
            </w:tcBorders>
            <w:shd w:val="clear" w:color="auto" w:fill="auto"/>
            <w:vAlign w:val="bottom"/>
          </w:tcPr>
          <w:p w14:paraId="4349A45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B32118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AD7D1F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49EF43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10C4CCE"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7FEB5EB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A66B336" w14:textId="77777777" w:rsidTr="00372E26">
        <w:trPr>
          <w:trHeight w:val="23"/>
        </w:trPr>
        <w:tc>
          <w:tcPr>
            <w:tcW w:w="1971" w:type="pct"/>
            <w:shd w:val="clear" w:color="auto" w:fill="auto"/>
            <w:vAlign w:val="bottom"/>
          </w:tcPr>
          <w:p w14:paraId="4A0F0F00"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value (fair value)</w:t>
            </w:r>
          </w:p>
        </w:tc>
        <w:tc>
          <w:tcPr>
            <w:tcW w:w="606" w:type="pct"/>
            <w:vAlign w:val="bottom"/>
          </w:tcPr>
          <w:p w14:paraId="3EBF4FE9" w14:textId="77777777" w:rsidR="00D83E33" w:rsidRPr="00E837F2" w:rsidRDefault="00D83E33" w:rsidP="001B330E">
            <w:pPr>
              <w:widowControl w:val="0"/>
              <w:pBdr>
                <w:top w:val="nil"/>
                <w:left w:val="nil"/>
                <w:bottom w:val="nil"/>
                <w:right w:val="nil"/>
                <w:between w:val="nil"/>
              </w:pBdr>
              <w:jc w:val="right"/>
              <w:rPr>
                <w:b/>
                <w:color w:val="000000"/>
              </w:rPr>
            </w:pPr>
          </w:p>
        </w:tc>
        <w:tc>
          <w:tcPr>
            <w:tcW w:w="606" w:type="pct"/>
            <w:vAlign w:val="bottom"/>
          </w:tcPr>
          <w:p w14:paraId="4C698079"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06729234"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745F8C1C" w14:textId="77777777" w:rsidR="00D83E33" w:rsidRPr="00E837F2" w:rsidRDefault="00D83E33">
            <w:pPr>
              <w:widowControl w:val="0"/>
              <w:pBdr>
                <w:top w:val="nil"/>
                <w:left w:val="nil"/>
                <w:bottom w:val="nil"/>
                <w:right w:val="nil"/>
                <w:between w:val="nil"/>
              </w:pBdr>
              <w:jc w:val="right"/>
              <w:rPr>
                <w:b/>
                <w:color w:val="000000"/>
              </w:rPr>
            </w:pPr>
          </w:p>
        </w:tc>
        <w:tc>
          <w:tcPr>
            <w:tcW w:w="605" w:type="pct"/>
            <w:shd w:val="clear" w:color="auto" w:fill="auto"/>
            <w:vAlign w:val="bottom"/>
          </w:tcPr>
          <w:p w14:paraId="108F095B"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397CF41B" w14:textId="77777777" w:rsidTr="00372E26">
        <w:trPr>
          <w:trHeight w:val="23"/>
        </w:trPr>
        <w:tc>
          <w:tcPr>
            <w:tcW w:w="1971" w:type="pct"/>
            <w:tcBorders>
              <w:bottom w:val="single" w:sz="12" w:space="0" w:color="000000"/>
            </w:tcBorders>
            <w:shd w:val="clear" w:color="auto" w:fill="auto"/>
            <w:vAlign w:val="bottom"/>
          </w:tcPr>
          <w:p w14:paraId="30F5FF9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685A85E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3CF4D5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2D7412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6EB2559"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4604996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D4BA205" w14:textId="77777777" w:rsidTr="00372E26">
        <w:trPr>
          <w:trHeight w:val="23"/>
        </w:trPr>
        <w:tc>
          <w:tcPr>
            <w:tcW w:w="1971" w:type="pct"/>
            <w:shd w:val="clear" w:color="auto" w:fill="auto"/>
            <w:vAlign w:val="bottom"/>
          </w:tcPr>
          <w:p w14:paraId="24B7986C"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325F3A5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4D933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1571A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AB526BA"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29B5D0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93873E3" w14:textId="77777777" w:rsidTr="00372E26">
        <w:trPr>
          <w:trHeight w:val="23"/>
        </w:trPr>
        <w:tc>
          <w:tcPr>
            <w:tcW w:w="1971" w:type="pct"/>
            <w:shd w:val="clear" w:color="auto" w:fill="auto"/>
            <w:vAlign w:val="bottom"/>
          </w:tcPr>
          <w:p w14:paraId="29934534"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Municipal bonds</w:t>
            </w:r>
          </w:p>
        </w:tc>
        <w:tc>
          <w:tcPr>
            <w:tcW w:w="606" w:type="pct"/>
            <w:shd w:val="clear" w:color="auto" w:fill="auto"/>
            <w:vAlign w:val="bottom"/>
          </w:tcPr>
          <w:p w14:paraId="11D295E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CCEF9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F0F802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0B4BA13"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0535D8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C946EFF" w14:textId="77777777" w:rsidTr="00372E26">
        <w:trPr>
          <w:trHeight w:val="23"/>
        </w:trPr>
        <w:tc>
          <w:tcPr>
            <w:tcW w:w="1971" w:type="pct"/>
            <w:shd w:val="clear" w:color="auto" w:fill="auto"/>
            <w:vAlign w:val="bottom"/>
          </w:tcPr>
          <w:p w14:paraId="35C2B5D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09C7B66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DAE56F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4AA2F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E5991ED"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D40088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1B17BC6" w14:textId="77777777" w:rsidTr="00372E26">
        <w:trPr>
          <w:trHeight w:val="23"/>
        </w:trPr>
        <w:tc>
          <w:tcPr>
            <w:tcW w:w="1971" w:type="pct"/>
            <w:shd w:val="clear" w:color="auto" w:fill="auto"/>
            <w:vAlign w:val="bottom"/>
          </w:tcPr>
          <w:p w14:paraId="457316CF"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Excellent</w:t>
            </w:r>
          </w:p>
        </w:tc>
        <w:tc>
          <w:tcPr>
            <w:tcW w:w="606" w:type="pct"/>
            <w:shd w:val="clear" w:color="auto" w:fill="auto"/>
            <w:vAlign w:val="bottom"/>
          </w:tcPr>
          <w:p w14:paraId="6B3EEBC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7E8E0D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05F84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C11F49D"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7E1EF9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21DE6B7" w14:textId="77777777" w:rsidTr="00372E26">
        <w:trPr>
          <w:trHeight w:val="23"/>
        </w:trPr>
        <w:tc>
          <w:tcPr>
            <w:tcW w:w="1971" w:type="pct"/>
            <w:shd w:val="clear" w:color="auto" w:fill="auto"/>
            <w:vAlign w:val="bottom"/>
          </w:tcPr>
          <w:p w14:paraId="20E647CD"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Good</w:t>
            </w:r>
          </w:p>
        </w:tc>
        <w:tc>
          <w:tcPr>
            <w:tcW w:w="606" w:type="pct"/>
            <w:shd w:val="clear" w:color="auto" w:fill="auto"/>
            <w:vAlign w:val="bottom"/>
          </w:tcPr>
          <w:p w14:paraId="3D5D5A6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617CC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FCBEF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2365642"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997DD9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D8C6716" w14:textId="77777777" w:rsidTr="00372E26">
        <w:trPr>
          <w:trHeight w:val="23"/>
        </w:trPr>
        <w:tc>
          <w:tcPr>
            <w:tcW w:w="1971" w:type="pct"/>
            <w:shd w:val="clear" w:color="auto" w:fill="auto"/>
            <w:vAlign w:val="bottom"/>
          </w:tcPr>
          <w:p w14:paraId="0028DF0A"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Satisfactory</w:t>
            </w:r>
          </w:p>
        </w:tc>
        <w:tc>
          <w:tcPr>
            <w:tcW w:w="606" w:type="pct"/>
            <w:shd w:val="clear" w:color="auto" w:fill="auto"/>
            <w:vAlign w:val="bottom"/>
          </w:tcPr>
          <w:p w14:paraId="3B012D1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2CB15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9D205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EEF78FC"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401364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89EA542" w14:textId="77777777" w:rsidTr="00372E26">
        <w:trPr>
          <w:trHeight w:val="23"/>
        </w:trPr>
        <w:tc>
          <w:tcPr>
            <w:tcW w:w="1971" w:type="pct"/>
            <w:shd w:val="clear" w:color="auto" w:fill="auto"/>
            <w:vAlign w:val="bottom"/>
          </w:tcPr>
          <w:p w14:paraId="1E5B854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381560F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735D1F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C4388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0B9B0C4"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EBF369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9D3B2EF" w14:textId="77777777" w:rsidTr="00372E26">
        <w:trPr>
          <w:trHeight w:val="23"/>
        </w:trPr>
        <w:tc>
          <w:tcPr>
            <w:tcW w:w="1971" w:type="pct"/>
            <w:shd w:val="clear" w:color="auto" w:fill="auto"/>
            <w:vAlign w:val="bottom"/>
          </w:tcPr>
          <w:p w14:paraId="7936C3B8"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Default</w:t>
            </w:r>
          </w:p>
        </w:tc>
        <w:tc>
          <w:tcPr>
            <w:tcW w:w="606" w:type="pct"/>
            <w:shd w:val="clear" w:color="auto" w:fill="auto"/>
            <w:vAlign w:val="bottom"/>
          </w:tcPr>
          <w:p w14:paraId="44FF55A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286434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3D009E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F18E093"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86C325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0BA88EF" w14:textId="77777777" w:rsidTr="00372E26">
        <w:trPr>
          <w:trHeight w:val="23"/>
        </w:trPr>
        <w:tc>
          <w:tcPr>
            <w:tcW w:w="1971" w:type="pct"/>
            <w:shd w:val="clear" w:color="auto" w:fill="auto"/>
            <w:vAlign w:val="bottom"/>
          </w:tcPr>
          <w:p w14:paraId="19843C5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010A997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EAE19E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23E10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37C7411"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87D79E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E028A27" w14:textId="77777777" w:rsidTr="00372E26">
        <w:trPr>
          <w:trHeight w:val="23"/>
        </w:trPr>
        <w:tc>
          <w:tcPr>
            <w:tcW w:w="1971" w:type="pct"/>
            <w:tcBorders>
              <w:top w:val="single" w:sz="4" w:space="0" w:color="000000"/>
            </w:tcBorders>
            <w:shd w:val="clear" w:color="auto" w:fill="auto"/>
            <w:vAlign w:val="bottom"/>
          </w:tcPr>
          <w:p w14:paraId="0F23EF9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0AB91F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10B2D0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4CB064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BBD06D3"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3DBB85A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0ACCB3E" w14:textId="77777777" w:rsidTr="00372E26">
        <w:trPr>
          <w:trHeight w:val="23"/>
        </w:trPr>
        <w:tc>
          <w:tcPr>
            <w:tcW w:w="1971" w:type="pct"/>
            <w:shd w:val="clear" w:color="auto" w:fill="auto"/>
            <w:vAlign w:val="bottom"/>
          </w:tcPr>
          <w:p w14:paraId="227AEAB6"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Total AC gross carrying amount</w:t>
            </w:r>
          </w:p>
        </w:tc>
        <w:tc>
          <w:tcPr>
            <w:tcW w:w="606" w:type="pct"/>
            <w:vAlign w:val="bottom"/>
          </w:tcPr>
          <w:p w14:paraId="608B1B3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39FD15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2DDD1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B871B23"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928E38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2E9BBA6" w14:textId="77777777" w:rsidTr="00372E26">
        <w:trPr>
          <w:trHeight w:val="23"/>
        </w:trPr>
        <w:tc>
          <w:tcPr>
            <w:tcW w:w="1971" w:type="pct"/>
            <w:tcBorders>
              <w:bottom w:val="single" w:sz="4" w:space="0" w:color="000000"/>
            </w:tcBorders>
            <w:shd w:val="clear" w:color="auto" w:fill="auto"/>
            <w:vAlign w:val="bottom"/>
          </w:tcPr>
          <w:p w14:paraId="3FFDDB4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8D1C66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2B60DB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D387E8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B5A7CC7"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2971843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672C679" w14:textId="77777777" w:rsidTr="00372E26">
        <w:trPr>
          <w:trHeight w:val="23"/>
        </w:trPr>
        <w:tc>
          <w:tcPr>
            <w:tcW w:w="1971" w:type="pct"/>
            <w:tcBorders>
              <w:top w:val="single" w:sz="4" w:space="0" w:color="000000"/>
            </w:tcBorders>
            <w:shd w:val="clear" w:color="auto" w:fill="auto"/>
            <w:vAlign w:val="bottom"/>
          </w:tcPr>
          <w:p w14:paraId="5BD0935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BB147B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B1A64C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E97BEB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E7B54D4"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C7242A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507F19" w14:textId="77777777" w:rsidTr="00372E26">
        <w:trPr>
          <w:trHeight w:val="23"/>
        </w:trPr>
        <w:tc>
          <w:tcPr>
            <w:tcW w:w="1971" w:type="pct"/>
            <w:shd w:val="clear" w:color="auto" w:fill="auto"/>
            <w:vAlign w:val="bottom"/>
          </w:tcPr>
          <w:p w14:paraId="4C34DB5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Including: credit loss allowance</w:t>
            </w:r>
          </w:p>
        </w:tc>
        <w:tc>
          <w:tcPr>
            <w:tcW w:w="606" w:type="pct"/>
            <w:vAlign w:val="bottom"/>
          </w:tcPr>
          <w:p w14:paraId="22CF41B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419E52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078B57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D5E407"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599C61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BA9C010" w14:textId="77777777" w:rsidTr="00372E26">
        <w:trPr>
          <w:trHeight w:val="23"/>
        </w:trPr>
        <w:tc>
          <w:tcPr>
            <w:tcW w:w="1971" w:type="pct"/>
            <w:shd w:val="clear" w:color="auto" w:fill="auto"/>
            <w:vAlign w:val="bottom"/>
          </w:tcPr>
          <w:p w14:paraId="4628C4C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fair value adjustment from AC to FV</w:t>
            </w:r>
          </w:p>
        </w:tc>
        <w:tc>
          <w:tcPr>
            <w:tcW w:w="606" w:type="pct"/>
            <w:vAlign w:val="bottom"/>
          </w:tcPr>
          <w:p w14:paraId="25114F2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2416244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7A3F2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D4F3E9"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09E157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CEE06AE" w14:textId="77777777" w:rsidTr="00372E26">
        <w:trPr>
          <w:trHeight w:val="23"/>
        </w:trPr>
        <w:tc>
          <w:tcPr>
            <w:tcW w:w="1971" w:type="pct"/>
            <w:tcBorders>
              <w:bottom w:val="single" w:sz="4" w:space="0" w:color="000000"/>
            </w:tcBorders>
            <w:shd w:val="clear" w:color="auto" w:fill="auto"/>
            <w:vAlign w:val="bottom"/>
          </w:tcPr>
          <w:p w14:paraId="0A39CCC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671B32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2F2B63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445F82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B4EFB7E"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1012D12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81895E7" w14:textId="77777777" w:rsidTr="00372E26">
        <w:trPr>
          <w:trHeight w:val="23"/>
        </w:trPr>
        <w:tc>
          <w:tcPr>
            <w:tcW w:w="1971" w:type="pct"/>
            <w:tcBorders>
              <w:top w:val="single" w:sz="4" w:space="0" w:color="000000"/>
            </w:tcBorders>
            <w:shd w:val="clear" w:color="auto" w:fill="auto"/>
            <w:vAlign w:val="bottom"/>
          </w:tcPr>
          <w:p w14:paraId="1283085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7E2F3B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8ACFA6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F0F982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44D4D10"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4492356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14773E4" w14:textId="77777777" w:rsidTr="00372E26">
        <w:trPr>
          <w:trHeight w:val="23"/>
        </w:trPr>
        <w:tc>
          <w:tcPr>
            <w:tcW w:w="1971" w:type="pct"/>
            <w:shd w:val="clear" w:color="auto" w:fill="auto"/>
            <w:vAlign w:val="bottom"/>
          </w:tcPr>
          <w:p w14:paraId="223B89B3"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value (fair value)</w:t>
            </w:r>
          </w:p>
        </w:tc>
        <w:tc>
          <w:tcPr>
            <w:tcW w:w="606" w:type="pct"/>
            <w:vAlign w:val="bottom"/>
          </w:tcPr>
          <w:p w14:paraId="611E5624" w14:textId="77777777" w:rsidR="00D83E33" w:rsidRPr="00E837F2" w:rsidRDefault="00D83E33" w:rsidP="001B330E">
            <w:pPr>
              <w:widowControl w:val="0"/>
              <w:pBdr>
                <w:top w:val="nil"/>
                <w:left w:val="nil"/>
                <w:bottom w:val="nil"/>
                <w:right w:val="nil"/>
                <w:between w:val="nil"/>
              </w:pBdr>
              <w:jc w:val="right"/>
              <w:rPr>
                <w:b/>
                <w:color w:val="000000"/>
              </w:rPr>
            </w:pPr>
          </w:p>
        </w:tc>
        <w:tc>
          <w:tcPr>
            <w:tcW w:w="606" w:type="pct"/>
            <w:vAlign w:val="bottom"/>
          </w:tcPr>
          <w:p w14:paraId="63DB932B"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79A9CEA1"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0268F9EB" w14:textId="77777777" w:rsidR="00D83E33" w:rsidRPr="00E837F2" w:rsidRDefault="00D83E33">
            <w:pPr>
              <w:widowControl w:val="0"/>
              <w:pBdr>
                <w:top w:val="nil"/>
                <w:left w:val="nil"/>
                <w:bottom w:val="nil"/>
                <w:right w:val="nil"/>
                <w:between w:val="nil"/>
              </w:pBdr>
              <w:jc w:val="right"/>
              <w:rPr>
                <w:b/>
                <w:color w:val="000000"/>
              </w:rPr>
            </w:pPr>
          </w:p>
        </w:tc>
        <w:tc>
          <w:tcPr>
            <w:tcW w:w="605" w:type="pct"/>
            <w:shd w:val="clear" w:color="auto" w:fill="auto"/>
            <w:vAlign w:val="bottom"/>
          </w:tcPr>
          <w:p w14:paraId="10485091"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0C5B4BEE" w14:textId="77777777" w:rsidTr="00372E26">
        <w:trPr>
          <w:trHeight w:val="23"/>
        </w:trPr>
        <w:tc>
          <w:tcPr>
            <w:tcW w:w="1971" w:type="pct"/>
            <w:tcBorders>
              <w:bottom w:val="single" w:sz="12" w:space="0" w:color="000000"/>
            </w:tcBorders>
            <w:shd w:val="clear" w:color="auto" w:fill="auto"/>
            <w:vAlign w:val="bottom"/>
          </w:tcPr>
          <w:p w14:paraId="6D35B88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40F631C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FE03B1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847CA1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521451A"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3864C160" w14:textId="77777777" w:rsidR="00D83E33" w:rsidRPr="00E837F2" w:rsidRDefault="00D83E33">
            <w:pPr>
              <w:widowControl w:val="0"/>
              <w:pBdr>
                <w:top w:val="nil"/>
                <w:left w:val="nil"/>
                <w:bottom w:val="nil"/>
                <w:right w:val="nil"/>
                <w:between w:val="nil"/>
              </w:pBdr>
              <w:jc w:val="right"/>
              <w:rPr>
                <w:color w:val="000000"/>
              </w:rPr>
            </w:pPr>
          </w:p>
        </w:tc>
      </w:tr>
    </w:tbl>
    <w:p w14:paraId="257CAAF3" w14:textId="191513D2" w:rsidR="00D83E33" w:rsidRDefault="00BC4072" w:rsidP="001B330E">
      <w:pPr>
        <w:pStyle w:val="Continued"/>
      </w:pPr>
      <w:r>
        <w:lastRenderedPageBreak/>
        <w:t>12</w:t>
      </w:r>
      <w:r>
        <w:tab/>
        <w:t>Repurchase Receivables (Continued)</w:t>
      </w:r>
    </w:p>
    <w:tbl>
      <w:tblPr>
        <w:tblStyle w:val="affffffd"/>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7786033B" w14:textId="77777777" w:rsidTr="001B330E">
        <w:trPr>
          <w:trHeight w:val="23"/>
        </w:trPr>
        <w:tc>
          <w:tcPr>
            <w:tcW w:w="1971" w:type="pct"/>
            <w:tcBorders>
              <w:bottom w:val="single" w:sz="4" w:space="0" w:color="000000"/>
            </w:tcBorders>
            <w:shd w:val="clear" w:color="auto" w:fill="auto"/>
            <w:vAlign w:val="bottom"/>
          </w:tcPr>
          <w:p w14:paraId="3AB6FCAD" w14:textId="01AEE160"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19084EDE" w14:textId="32089408"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1</w:t>
            </w:r>
          </w:p>
          <w:p w14:paraId="6EC6623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shd w:val="clear" w:color="auto" w:fill="auto"/>
          </w:tcPr>
          <w:p w14:paraId="4BB250A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12CC5ED9" w14:textId="0E23C5CF"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SICR)</w:t>
            </w:r>
          </w:p>
        </w:tc>
        <w:tc>
          <w:tcPr>
            <w:tcW w:w="606" w:type="pct"/>
            <w:tcBorders>
              <w:bottom w:val="single" w:sz="4" w:space="0" w:color="000000"/>
            </w:tcBorders>
            <w:shd w:val="clear" w:color="auto" w:fill="auto"/>
          </w:tcPr>
          <w:p w14:paraId="455F784F"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7A97417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17B873F7"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shd w:val="clear" w:color="auto" w:fill="auto"/>
          </w:tcPr>
          <w:p w14:paraId="1A45818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60A77522" w14:textId="77777777" w:rsidTr="001B330E">
        <w:trPr>
          <w:trHeight w:val="23"/>
        </w:trPr>
        <w:tc>
          <w:tcPr>
            <w:tcW w:w="1971" w:type="pct"/>
            <w:shd w:val="clear" w:color="auto" w:fill="auto"/>
            <w:vAlign w:val="bottom"/>
          </w:tcPr>
          <w:p w14:paraId="6B36F8A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36EEE3A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9F8F2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4381B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9D42C5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B4C2F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120ECF0" w14:textId="77777777" w:rsidTr="001B330E">
        <w:trPr>
          <w:trHeight w:val="23"/>
        </w:trPr>
        <w:tc>
          <w:tcPr>
            <w:tcW w:w="1971" w:type="pct"/>
            <w:shd w:val="clear" w:color="auto" w:fill="auto"/>
            <w:vAlign w:val="bottom"/>
          </w:tcPr>
          <w:p w14:paraId="1345949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Corporate bonds</w:t>
            </w:r>
          </w:p>
        </w:tc>
        <w:tc>
          <w:tcPr>
            <w:tcW w:w="606" w:type="pct"/>
            <w:shd w:val="clear" w:color="auto" w:fill="auto"/>
            <w:vAlign w:val="bottom"/>
          </w:tcPr>
          <w:p w14:paraId="6F62F6C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A2A69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4DD7E1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03A272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FC8F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370FC87" w14:textId="77777777" w:rsidTr="001B330E">
        <w:trPr>
          <w:trHeight w:val="23"/>
        </w:trPr>
        <w:tc>
          <w:tcPr>
            <w:tcW w:w="1971" w:type="pct"/>
            <w:shd w:val="clear" w:color="auto" w:fill="auto"/>
            <w:vAlign w:val="bottom"/>
          </w:tcPr>
          <w:p w14:paraId="772E8E2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50104C4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C4B1F0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8F2243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C640F3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A7DA5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49D0C59" w14:textId="77777777" w:rsidTr="001B330E">
        <w:trPr>
          <w:trHeight w:val="23"/>
        </w:trPr>
        <w:tc>
          <w:tcPr>
            <w:tcW w:w="1971" w:type="pct"/>
            <w:shd w:val="clear" w:color="auto" w:fill="auto"/>
            <w:vAlign w:val="bottom"/>
          </w:tcPr>
          <w:p w14:paraId="2094793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shd w:val="clear" w:color="auto" w:fill="auto"/>
            <w:vAlign w:val="bottom"/>
          </w:tcPr>
          <w:p w14:paraId="7AFC342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6AE82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5934B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1498B0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D669CE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4025F0D" w14:textId="77777777" w:rsidTr="001B330E">
        <w:trPr>
          <w:trHeight w:val="23"/>
        </w:trPr>
        <w:tc>
          <w:tcPr>
            <w:tcW w:w="1971" w:type="pct"/>
            <w:shd w:val="clear" w:color="auto" w:fill="auto"/>
            <w:vAlign w:val="bottom"/>
          </w:tcPr>
          <w:p w14:paraId="47EF9D6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shd w:val="clear" w:color="auto" w:fill="auto"/>
            <w:vAlign w:val="bottom"/>
          </w:tcPr>
          <w:p w14:paraId="4E7667F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801A2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77D0F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F9941B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79FD9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EB3082E" w14:textId="77777777" w:rsidTr="001B330E">
        <w:trPr>
          <w:trHeight w:val="23"/>
        </w:trPr>
        <w:tc>
          <w:tcPr>
            <w:tcW w:w="1971" w:type="pct"/>
            <w:shd w:val="clear" w:color="auto" w:fill="auto"/>
            <w:vAlign w:val="bottom"/>
          </w:tcPr>
          <w:p w14:paraId="3A053D5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shd w:val="clear" w:color="auto" w:fill="auto"/>
            <w:vAlign w:val="bottom"/>
          </w:tcPr>
          <w:p w14:paraId="760F986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56D18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0B0284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106845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0FAED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6BBD002" w14:textId="77777777" w:rsidTr="001B330E">
        <w:trPr>
          <w:trHeight w:val="23"/>
        </w:trPr>
        <w:tc>
          <w:tcPr>
            <w:tcW w:w="1971" w:type="pct"/>
            <w:shd w:val="clear" w:color="auto" w:fill="auto"/>
            <w:vAlign w:val="bottom"/>
          </w:tcPr>
          <w:p w14:paraId="654DAEA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7031B30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ACF6A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7EE44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208EE9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BB6969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DDAB8C3" w14:textId="77777777" w:rsidTr="001B330E">
        <w:trPr>
          <w:trHeight w:val="23"/>
        </w:trPr>
        <w:tc>
          <w:tcPr>
            <w:tcW w:w="1971" w:type="pct"/>
            <w:shd w:val="clear" w:color="auto" w:fill="auto"/>
            <w:vAlign w:val="bottom"/>
          </w:tcPr>
          <w:p w14:paraId="2E27BC9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shd w:val="clear" w:color="auto" w:fill="auto"/>
            <w:vAlign w:val="bottom"/>
          </w:tcPr>
          <w:p w14:paraId="4579A00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FC08F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0F124A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E17FF9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9B55DC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261E83" w14:textId="77777777" w:rsidTr="001B330E">
        <w:trPr>
          <w:trHeight w:val="23"/>
        </w:trPr>
        <w:tc>
          <w:tcPr>
            <w:tcW w:w="1971" w:type="pct"/>
            <w:shd w:val="clear" w:color="auto" w:fill="auto"/>
            <w:vAlign w:val="bottom"/>
          </w:tcPr>
          <w:p w14:paraId="5AEEF02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1B7FBD7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E93778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5C9FC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E6B52B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50144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F1E5C07" w14:textId="77777777" w:rsidTr="001B330E">
        <w:trPr>
          <w:trHeight w:val="23"/>
        </w:trPr>
        <w:tc>
          <w:tcPr>
            <w:tcW w:w="1971" w:type="pct"/>
            <w:tcBorders>
              <w:top w:val="single" w:sz="4" w:space="0" w:color="000000"/>
            </w:tcBorders>
            <w:shd w:val="clear" w:color="auto" w:fill="auto"/>
            <w:vAlign w:val="bottom"/>
          </w:tcPr>
          <w:p w14:paraId="266D6F1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F4AB31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FC58A5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85917A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CED38C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3A9408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E038910" w14:textId="77777777" w:rsidTr="001B330E">
        <w:trPr>
          <w:trHeight w:val="23"/>
        </w:trPr>
        <w:tc>
          <w:tcPr>
            <w:tcW w:w="1971" w:type="pct"/>
            <w:shd w:val="clear" w:color="auto" w:fill="auto"/>
            <w:vAlign w:val="bottom"/>
          </w:tcPr>
          <w:p w14:paraId="7ABD6D94"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Total AC gross carrying amount</w:t>
            </w:r>
          </w:p>
        </w:tc>
        <w:tc>
          <w:tcPr>
            <w:tcW w:w="606" w:type="pct"/>
            <w:vAlign w:val="bottom"/>
          </w:tcPr>
          <w:p w14:paraId="5021BC7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9487BF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CC7D4C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3A6BF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4C0FB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3AB3CE9" w14:textId="77777777" w:rsidTr="001B330E">
        <w:trPr>
          <w:trHeight w:val="23"/>
        </w:trPr>
        <w:tc>
          <w:tcPr>
            <w:tcW w:w="1971" w:type="pct"/>
            <w:tcBorders>
              <w:bottom w:val="single" w:sz="4" w:space="0" w:color="000000"/>
            </w:tcBorders>
            <w:shd w:val="clear" w:color="auto" w:fill="auto"/>
            <w:vAlign w:val="bottom"/>
          </w:tcPr>
          <w:p w14:paraId="68AE23B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B9E36D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FA9E75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41DA2F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000CE6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9FAC02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ED880E8" w14:textId="77777777" w:rsidTr="001B330E">
        <w:trPr>
          <w:trHeight w:val="23"/>
        </w:trPr>
        <w:tc>
          <w:tcPr>
            <w:tcW w:w="1971" w:type="pct"/>
            <w:tcBorders>
              <w:top w:val="single" w:sz="4" w:space="0" w:color="000000"/>
            </w:tcBorders>
            <w:shd w:val="clear" w:color="auto" w:fill="auto"/>
            <w:vAlign w:val="bottom"/>
          </w:tcPr>
          <w:p w14:paraId="6B4CAA2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729AA5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4796AC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103438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542014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03726C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B0B9984" w14:textId="77777777" w:rsidTr="001B330E">
        <w:trPr>
          <w:trHeight w:val="23"/>
        </w:trPr>
        <w:tc>
          <w:tcPr>
            <w:tcW w:w="1971" w:type="pct"/>
            <w:shd w:val="clear" w:color="auto" w:fill="auto"/>
            <w:vAlign w:val="bottom"/>
          </w:tcPr>
          <w:p w14:paraId="42D6167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Including: credit loss allowance</w:t>
            </w:r>
          </w:p>
        </w:tc>
        <w:tc>
          <w:tcPr>
            <w:tcW w:w="606" w:type="pct"/>
            <w:vAlign w:val="bottom"/>
          </w:tcPr>
          <w:p w14:paraId="2A292A2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841E55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09158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E8B8F5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07F33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CB4CACD" w14:textId="77777777" w:rsidTr="001B330E">
        <w:trPr>
          <w:trHeight w:val="23"/>
        </w:trPr>
        <w:tc>
          <w:tcPr>
            <w:tcW w:w="1971" w:type="pct"/>
            <w:shd w:val="clear" w:color="auto" w:fill="auto"/>
            <w:vAlign w:val="bottom"/>
          </w:tcPr>
          <w:p w14:paraId="070D50D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fair value adjustment from AC to FV</w:t>
            </w:r>
          </w:p>
        </w:tc>
        <w:tc>
          <w:tcPr>
            <w:tcW w:w="606" w:type="pct"/>
            <w:vAlign w:val="bottom"/>
          </w:tcPr>
          <w:p w14:paraId="24E42E7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0D8431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92560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FACC0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728DB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3D85838" w14:textId="77777777" w:rsidTr="001B330E">
        <w:trPr>
          <w:trHeight w:val="23"/>
        </w:trPr>
        <w:tc>
          <w:tcPr>
            <w:tcW w:w="1971" w:type="pct"/>
            <w:tcBorders>
              <w:bottom w:val="single" w:sz="4" w:space="0" w:color="000000"/>
            </w:tcBorders>
            <w:shd w:val="clear" w:color="auto" w:fill="auto"/>
            <w:vAlign w:val="bottom"/>
          </w:tcPr>
          <w:p w14:paraId="6ED5025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CC6FAB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88C890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272CAC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8DB304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BD70B4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C661C24" w14:textId="77777777" w:rsidTr="001B330E">
        <w:trPr>
          <w:trHeight w:val="23"/>
        </w:trPr>
        <w:tc>
          <w:tcPr>
            <w:tcW w:w="1971" w:type="pct"/>
            <w:tcBorders>
              <w:top w:val="single" w:sz="4" w:space="0" w:color="000000"/>
            </w:tcBorders>
            <w:shd w:val="clear" w:color="auto" w:fill="auto"/>
            <w:vAlign w:val="bottom"/>
          </w:tcPr>
          <w:p w14:paraId="3DBD236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C02FB3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96BF83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E1E5F9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E474A7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000090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C6726B4" w14:textId="77777777" w:rsidTr="001B330E">
        <w:trPr>
          <w:trHeight w:val="23"/>
        </w:trPr>
        <w:tc>
          <w:tcPr>
            <w:tcW w:w="1971" w:type="pct"/>
            <w:shd w:val="clear" w:color="auto" w:fill="auto"/>
            <w:vAlign w:val="bottom"/>
          </w:tcPr>
          <w:p w14:paraId="5452746F"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value (fair value)</w:t>
            </w:r>
          </w:p>
        </w:tc>
        <w:tc>
          <w:tcPr>
            <w:tcW w:w="606" w:type="pct"/>
            <w:vAlign w:val="bottom"/>
          </w:tcPr>
          <w:p w14:paraId="7A499A9E" w14:textId="77777777" w:rsidR="00D83E33" w:rsidRPr="00E837F2" w:rsidRDefault="00D83E33" w:rsidP="001B330E">
            <w:pPr>
              <w:widowControl w:val="0"/>
              <w:pBdr>
                <w:top w:val="nil"/>
                <w:left w:val="nil"/>
                <w:bottom w:val="nil"/>
                <w:right w:val="nil"/>
                <w:between w:val="nil"/>
              </w:pBdr>
              <w:jc w:val="right"/>
              <w:rPr>
                <w:b/>
                <w:color w:val="000000"/>
              </w:rPr>
            </w:pPr>
          </w:p>
        </w:tc>
        <w:tc>
          <w:tcPr>
            <w:tcW w:w="606" w:type="pct"/>
            <w:vAlign w:val="bottom"/>
          </w:tcPr>
          <w:p w14:paraId="74BD867F"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25DDB3F1"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454CFD7E"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35A5958E"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7906BFB0" w14:textId="77777777" w:rsidTr="001B330E">
        <w:trPr>
          <w:trHeight w:val="23"/>
        </w:trPr>
        <w:tc>
          <w:tcPr>
            <w:tcW w:w="1971" w:type="pct"/>
            <w:tcBorders>
              <w:bottom w:val="single" w:sz="12" w:space="0" w:color="000000"/>
            </w:tcBorders>
            <w:shd w:val="clear" w:color="auto" w:fill="auto"/>
            <w:vAlign w:val="bottom"/>
          </w:tcPr>
          <w:p w14:paraId="0C44912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3D8021E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7A1C4B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4041E2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D05CC9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2873B9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D37F933" w14:textId="77777777" w:rsidTr="001B330E">
        <w:trPr>
          <w:trHeight w:val="23"/>
        </w:trPr>
        <w:tc>
          <w:tcPr>
            <w:tcW w:w="1971" w:type="pct"/>
            <w:shd w:val="clear" w:color="auto" w:fill="auto"/>
            <w:vAlign w:val="bottom"/>
          </w:tcPr>
          <w:p w14:paraId="12F4B1FC"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505CCB8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2F85EE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5E40A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3E313F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82E27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C6C43AB" w14:textId="77777777" w:rsidTr="001B330E">
        <w:trPr>
          <w:trHeight w:val="23"/>
        </w:trPr>
        <w:tc>
          <w:tcPr>
            <w:tcW w:w="1971" w:type="pct"/>
            <w:shd w:val="clear" w:color="auto" w:fill="auto"/>
            <w:vAlign w:val="bottom"/>
          </w:tcPr>
          <w:p w14:paraId="17601C48" w14:textId="50892A36"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 xml:space="preserve">Promissory notes </w:t>
            </w:r>
          </w:p>
        </w:tc>
        <w:tc>
          <w:tcPr>
            <w:tcW w:w="606" w:type="pct"/>
            <w:shd w:val="clear" w:color="auto" w:fill="auto"/>
            <w:vAlign w:val="bottom"/>
          </w:tcPr>
          <w:p w14:paraId="5D29A84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29BFD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B1E50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1AC781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088D55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F30F927" w14:textId="77777777" w:rsidTr="001B330E">
        <w:trPr>
          <w:trHeight w:val="23"/>
        </w:trPr>
        <w:tc>
          <w:tcPr>
            <w:tcW w:w="1971" w:type="pct"/>
            <w:shd w:val="clear" w:color="auto" w:fill="auto"/>
            <w:vAlign w:val="bottom"/>
          </w:tcPr>
          <w:p w14:paraId="306CB64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5599ED1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28FAF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2FF83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352622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8D062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080037D" w14:textId="77777777" w:rsidTr="001B330E">
        <w:trPr>
          <w:trHeight w:val="23"/>
        </w:trPr>
        <w:tc>
          <w:tcPr>
            <w:tcW w:w="1971" w:type="pct"/>
            <w:shd w:val="clear" w:color="auto" w:fill="auto"/>
            <w:vAlign w:val="bottom"/>
          </w:tcPr>
          <w:p w14:paraId="54D32CD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shd w:val="clear" w:color="auto" w:fill="auto"/>
            <w:vAlign w:val="bottom"/>
          </w:tcPr>
          <w:p w14:paraId="446C7F5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15CEAE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ACFE7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BAA941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00EC9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85D1F5C" w14:textId="77777777" w:rsidTr="001B330E">
        <w:trPr>
          <w:trHeight w:val="23"/>
        </w:trPr>
        <w:tc>
          <w:tcPr>
            <w:tcW w:w="1971" w:type="pct"/>
            <w:shd w:val="clear" w:color="auto" w:fill="auto"/>
            <w:vAlign w:val="bottom"/>
          </w:tcPr>
          <w:p w14:paraId="2A12AE9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shd w:val="clear" w:color="auto" w:fill="auto"/>
            <w:vAlign w:val="bottom"/>
          </w:tcPr>
          <w:p w14:paraId="29C000E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EFDDB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1A4F2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25AC36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06865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D1CE243" w14:textId="77777777" w:rsidTr="001B330E">
        <w:trPr>
          <w:trHeight w:val="23"/>
        </w:trPr>
        <w:tc>
          <w:tcPr>
            <w:tcW w:w="1971" w:type="pct"/>
            <w:shd w:val="clear" w:color="auto" w:fill="auto"/>
            <w:vAlign w:val="bottom"/>
          </w:tcPr>
          <w:p w14:paraId="0788DF2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shd w:val="clear" w:color="auto" w:fill="auto"/>
            <w:vAlign w:val="bottom"/>
          </w:tcPr>
          <w:p w14:paraId="28E5564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2C82D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A54FA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7ED545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C98C6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A4D64B5" w14:textId="77777777" w:rsidTr="001B330E">
        <w:trPr>
          <w:trHeight w:val="23"/>
        </w:trPr>
        <w:tc>
          <w:tcPr>
            <w:tcW w:w="1971" w:type="pct"/>
            <w:shd w:val="clear" w:color="auto" w:fill="auto"/>
            <w:vAlign w:val="bottom"/>
          </w:tcPr>
          <w:p w14:paraId="5821106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077FED0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B41D2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D00AB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937A6E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70AF45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62179F5" w14:textId="77777777" w:rsidTr="001B330E">
        <w:trPr>
          <w:trHeight w:val="23"/>
        </w:trPr>
        <w:tc>
          <w:tcPr>
            <w:tcW w:w="1971" w:type="pct"/>
            <w:shd w:val="clear" w:color="auto" w:fill="auto"/>
            <w:vAlign w:val="bottom"/>
          </w:tcPr>
          <w:p w14:paraId="161D543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shd w:val="clear" w:color="auto" w:fill="auto"/>
            <w:vAlign w:val="bottom"/>
          </w:tcPr>
          <w:p w14:paraId="7E33868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9BC179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FE2117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EC5B82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235D46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D8D42F1" w14:textId="77777777" w:rsidTr="001B330E">
        <w:trPr>
          <w:trHeight w:val="23"/>
        </w:trPr>
        <w:tc>
          <w:tcPr>
            <w:tcW w:w="1971" w:type="pct"/>
            <w:shd w:val="clear" w:color="auto" w:fill="auto"/>
            <w:vAlign w:val="bottom"/>
          </w:tcPr>
          <w:p w14:paraId="2D509B5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0864930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694A6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577F7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EC11D3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89C66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BECF9A3" w14:textId="77777777" w:rsidTr="001B330E">
        <w:trPr>
          <w:trHeight w:val="23"/>
        </w:trPr>
        <w:tc>
          <w:tcPr>
            <w:tcW w:w="1971" w:type="pct"/>
            <w:tcBorders>
              <w:top w:val="single" w:sz="4" w:space="0" w:color="000000"/>
            </w:tcBorders>
            <w:shd w:val="clear" w:color="auto" w:fill="auto"/>
            <w:vAlign w:val="bottom"/>
          </w:tcPr>
          <w:p w14:paraId="2F4E1C7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2A730C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3077F4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1AA0AE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371FAE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6B3D48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A151CCB" w14:textId="77777777" w:rsidTr="001B330E">
        <w:trPr>
          <w:trHeight w:val="23"/>
        </w:trPr>
        <w:tc>
          <w:tcPr>
            <w:tcW w:w="1971" w:type="pct"/>
            <w:shd w:val="clear" w:color="auto" w:fill="auto"/>
            <w:vAlign w:val="bottom"/>
          </w:tcPr>
          <w:p w14:paraId="0D31BDB5"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Total AC gross carrying amount</w:t>
            </w:r>
          </w:p>
        </w:tc>
        <w:tc>
          <w:tcPr>
            <w:tcW w:w="606" w:type="pct"/>
            <w:vAlign w:val="bottom"/>
          </w:tcPr>
          <w:p w14:paraId="484773E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836A37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29BC5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2AFA6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D4D5A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3E4AEC0" w14:textId="77777777" w:rsidTr="001B330E">
        <w:trPr>
          <w:trHeight w:val="23"/>
        </w:trPr>
        <w:tc>
          <w:tcPr>
            <w:tcW w:w="1971" w:type="pct"/>
            <w:tcBorders>
              <w:bottom w:val="single" w:sz="4" w:space="0" w:color="000000"/>
            </w:tcBorders>
            <w:shd w:val="clear" w:color="auto" w:fill="auto"/>
            <w:vAlign w:val="bottom"/>
          </w:tcPr>
          <w:p w14:paraId="06FE694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919478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9D98FC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A6DDD0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3C5023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7F2424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786E4CC" w14:textId="77777777" w:rsidTr="001B330E">
        <w:trPr>
          <w:trHeight w:val="23"/>
        </w:trPr>
        <w:tc>
          <w:tcPr>
            <w:tcW w:w="1971" w:type="pct"/>
            <w:tcBorders>
              <w:top w:val="single" w:sz="4" w:space="0" w:color="000000"/>
            </w:tcBorders>
            <w:shd w:val="clear" w:color="auto" w:fill="auto"/>
            <w:vAlign w:val="bottom"/>
          </w:tcPr>
          <w:p w14:paraId="3710CE3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AC5203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771322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C9DABA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7CFFDC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148F90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7E00C4E" w14:textId="77777777" w:rsidTr="001B330E">
        <w:trPr>
          <w:trHeight w:val="23"/>
        </w:trPr>
        <w:tc>
          <w:tcPr>
            <w:tcW w:w="1971" w:type="pct"/>
            <w:shd w:val="clear" w:color="auto" w:fill="auto"/>
            <w:vAlign w:val="bottom"/>
          </w:tcPr>
          <w:p w14:paraId="3D04631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Including: credit loss allowance</w:t>
            </w:r>
          </w:p>
        </w:tc>
        <w:tc>
          <w:tcPr>
            <w:tcW w:w="606" w:type="pct"/>
            <w:vAlign w:val="bottom"/>
          </w:tcPr>
          <w:p w14:paraId="6C5A4DC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F65F49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658BC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B0A80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B2B517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AFA10C9" w14:textId="77777777" w:rsidTr="001B330E">
        <w:trPr>
          <w:trHeight w:val="23"/>
        </w:trPr>
        <w:tc>
          <w:tcPr>
            <w:tcW w:w="1971" w:type="pct"/>
            <w:shd w:val="clear" w:color="auto" w:fill="auto"/>
            <w:vAlign w:val="bottom"/>
          </w:tcPr>
          <w:p w14:paraId="2944E54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fair value adjustment from AC to FV</w:t>
            </w:r>
          </w:p>
        </w:tc>
        <w:tc>
          <w:tcPr>
            <w:tcW w:w="606" w:type="pct"/>
            <w:vAlign w:val="bottom"/>
          </w:tcPr>
          <w:p w14:paraId="531C9F9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C22888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DC200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EC63C0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F8F5C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4942EC" w14:textId="77777777" w:rsidTr="001B330E">
        <w:trPr>
          <w:trHeight w:val="23"/>
        </w:trPr>
        <w:tc>
          <w:tcPr>
            <w:tcW w:w="1971" w:type="pct"/>
            <w:tcBorders>
              <w:bottom w:val="single" w:sz="4" w:space="0" w:color="000000"/>
            </w:tcBorders>
            <w:shd w:val="clear" w:color="auto" w:fill="auto"/>
            <w:vAlign w:val="bottom"/>
          </w:tcPr>
          <w:p w14:paraId="4662D70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58DFB92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9CEDAF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FB23E3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409CF0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758DDF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1816B99" w14:textId="77777777" w:rsidTr="001B330E">
        <w:trPr>
          <w:trHeight w:val="23"/>
        </w:trPr>
        <w:tc>
          <w:tcPr>
            <w:tcW w:w="1971" w:type="pct"/>
            <w:tcBorders>
              <w:top w:val="single" w:sz="4" w:space="0" w:color="000000"/>
            </w:tcBorders>
            <w:shd w:val="clear" w:color="auto" w:fill="auto"/>
            <w:vAlign w:val="bottom"/>
          </w:tcPr>
          <w:p w14:paraId="309935EC"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0B65E9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F56FDF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759373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4A8C3A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966A2D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EAA9440" w14:textId="77777777" w:rsidTr="001B330E">
        <w:trPr>
          <w:trHeight w:val="23"/>
        </w:trPr>
        <w:tc>
          <w:tcPr>
            <w:tcW w:w="1971" w:type="pct"/>
            <w:shd w:val="clear" w:color="auto" w:fill="auto"/>
            <w:vAlign w:val="bottom"/>
          </w:tcPr>
          <w:p w14:paraId="5D09721F"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value (fair value)</w:t>
            </w:r>
          </w:p>
        </w:tc>
        <w:tc>
          <w:tcPr>
            <w:tcW w:w="606" w:type="pct"/>
            <w:vAlign w:val="bottom"/>
          </w:tcPr>
          <w:p w14:paraId="4E6BE92D" w14:textId="77777777" w:rsidR="00D83E33" w:rsidRPr="00E837F2" w:rsidRDefault="00D83E33" w:rsidP="001B330E">
            <w:pPr>
              <w:widowControl w:val="0"/>
              <w:pBdr>
                <w:top w:val="nil"/>
                <w:left w:val="nil"/>
                <w:bottom w:val="nil"/>
                <w:right w:val="nil"/>
                <w:between w:val="nil"/>
              </w:pBdr>
              <w:jc w:val="right"/>
              <w:rPr>
                <w:b/>
                <w:color w:val="000000"/>
              </w:rPr>
            </w:pPr>
          </w:p>
        </w:tc>
        <w:tc>
          <w:tcPr>
            <w:tcW w:w="606" w:type="pct"/>
            <w:vAlign w:val="bottom"/>
          </w:tcPr>
          <w:p w14:paraId="1CDD4774"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700AFA64"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7034B294"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30B3D978"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37C84DC1" w14:textId="77777777" w:rsidTr="001B330E">
        <w:trPr>
          <w:trHeight w:val="23"/>
        </w:trPr>
        <w:tc>
          <w:tcPr>
            <w:tcW w:w="1971" w:type="pct"/>
            <w:tcBorders>
              <w:bottom w:val="single" w:sz="12" w:space="0" w:color="000000"/>
            </w:tcBorders>
            <w:shd w:val="clear" w:color="auto" w:fill="auto"/>
            <w:vAlign w:val="bottom"/>
          </w:tcPr>
          <w:p w14:paraId="71065C4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1C0EE18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1EF4B9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432CAB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B98EFC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532C54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BBBE80" w14:textId="77777777" w:rsidTr="001B330E">
        <w:trPr>
          <w:trHeight w:val="23"/>
        </w:trPr>
        <w:tc>
          <w:tcPr>
            <w:tcW w:w="1971" w:type="pct"/>
            <w:tcBorders>
              <w:top w:val="single" w:sz="4" w:space="0" w:color="000000"/>
            </w:tcBorders>
            <w:shd w:val="clear" w:color="auto" w:fill="auto"/>
            <w:vAlign w:val="bottom"/>
          </w:tcPr>
          <w:p w14:paraId="1A5BA7E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shd w:val="clear" w:color="auto" w:fill="auto"/>
            <w:vAlign w:val="bottom"/>
          </w:tcPr>
          <w:p w14:paraId="4944102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32C382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27217E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E0C424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7566DB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E71F0D1" w14:textId="77777777" w:rsidTr="001B330E">
        <w:trPr>
          <w:trHeight w:val="23"/>
        </w:trPr>
        <w:tc>
          <w:tcPr>
            <w:tcW w:w="1971" w:type="pct"/>
            <w:shd w:val="clear" w:color="auto" w:fill="auto"/>
            <w:vAlign w:val="bottom"/>
          </w:tcPr>
          <w:p w14:paraId="1288171C"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investments in debt securities at FVOCI sold under sale and repurchase agreements (fair value)</w:t>
            </w:r>
          </w:p>
        </w:tc>
        <w:tc>
          <w:tcPr>
            <w:tcW w:w="606" w:type="pct"/>
            <w:shd w:val="clear" w:color="auto" w:fill="auto"/>
            <w:vAlign w:val="bottom"/>
          </w:tcPr>
          <w:p w14:paraId="09EB422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556F6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9F230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50F72E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B7B39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F147BF8" w14:textId="77777777" w:rsidTr="001B330E">
        <w:trPr>
          <w:trHeight w:val="23"/>
        </w:trPr>
        <w:tc>
          <w:tcPr>
            <w:tcW w:w="1971" w:type="pct"/>
            <w:tcBorders>
              <w:bottom w:val="single" w:sz="12" w:space="0" w:color="000000"/>
            </w:tcBorders>
            <w:shd w:val="clear" w:color="auto" w:fill="auto"/>
            <w:vAlign w:val="bottom"/>
          </w:tcPr>
          <w:p w14:paraId="44303B8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606" w:type="pct"/>
            <w:tcBorders>
              <w:bottom w:val="single" w:sz="12" w:space="0" w:color="000000"/>
            </w:tcBorders>
            <w:shd w:val="clear" w:color="auto" w:fill="auto"/>
            <w:vAlign w:val="bottom"/>
          </w:tcPr>
          <w:p w14:paraId="0969377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48270C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B2D6F3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5911550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8F877B1" w14:textId="77777777" w:rsidR="00D83E33" w:rsidRPr="00E837F2" w:rsidRDefault="00D83E33">
            <w:pPr>
              <w:widowControl w:val="0"/>
              <w:pBdr>
                <w:top w:val="nil"/>
                <w:left w:val="nil"/>
                <w:bottom w:val="nil"/>
                <w:right w:val="nil"/>
                <w:between w:val="nil"/>
              </w:pBdr>
              <w:jc w:val="right"/>
              <w:rPr>
                <w:color w:val="000000"/>
              </w:rPr>
            </w:pPr>
          </w:p>
        </w:tc>
      </w:tr>
    </w:tbl>
    <w:p w14:paraId="0FE4BB8E" w14:textId="58A61ADB" w:rsidR="00D83E33" w:rsidRDefault="00BC4072" w:rsidP="001B330E">
      <w:pPr>
        <w:pStyle w:val="Continued"/>
      </w:pPr>
      <w:r>
        <w:lastRenderedPageBreak/>
        <w:t>12</w:t>
      </w:r>
      <w:r>
        <w:tab/>
        <w:t>Repurchase Receivables (Continued)</w:t>
      </w:r>
    </w:p>
    <w:p w14:paraId="54FBDD9F" w14:textId="3399B7B9"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Analysis by credit quality of debt securities at FVOCI that were transferred in a sale and repurchase agreement is as follows at 31</w:t>
      </w:r>
      <w:r w:rsidR="00181687">
        <w:rPr>
          <w:color w:val="000000"/>
          <w:sz w:val="20"/>
          <w:szCs w:val="20"/>
        </w:rPr>
        <w:t> December </w:t>
      </w:r>
      <w:r w:rsidR="00541EBC">
        <w:rPr>
          <w:color w:val="000000"/>
          <w:sz w:val="20"/>
          <w:szCs w:val="20"/>
        </w:rPr>
        <w:t>2023</w:t>
      </w:r>
      <w:r>
        <w:rPr>
          <w:color w:val="000000"/>
          <w:sz w:val="20"/>
          <w:szCs w:val="20"/>
        </w:rPr>
        <w:t>:</w:t>
      </w:r>
    </w:p>
    <w:tbl>
      <w:tblPr>
        <w:tblStyle w:val="affffffe"/>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4B815BC4" w14:textId="77777777" w:rsidTr="00372E26">
        <w:trPr>
          <w:trHeight w:val="23"/>
        </w:trPr>
        <w:tc>
          <w:tcPr>
            <w:tcW w:w="1971" w:type="pct"/>
            <w:tcBorders>
              <w:bottom w:val="single" w:sz="4" w:space="0" w:color="000000"/>
            </w:tcBorders>
            <w:shd w:val="clear" w:color="auto" w:fill="auto"/>
            <w:vAlign w:val="bottom"/>
          </w:tcPr>
          <w:p w14:paraId="5D720EF3" w14:textId="4772CBEE"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7BB47995" w14:textId="37DCC9BA"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1</w:t>
            </w:r>
          </w:p>
          <w:p w14:paraId="55A94C4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shd w:val="clear" w:color="auto" w:fill="auto"/>
          </w:tcPr>
          <w:p w14:paraId="5ADF2EA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3F0DC317" w14:textId="2C33BFE9"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SICR)</w:t>
            </w:r>
          </w:p>
        </w:tc>
        <w:tc>
          <w:tcPr>
            <w:tcW w:w="606" w:type="pct"/>
            <w:tcBorders>
              <w:bottom w:val="single" w:sz="4" w:space="0" w:color="000000"/>
            </w:tcBorders>
            <w:shd w:val="clear" w:color="auto" w:fill="auto"/>
          </w:tcPr>
          <w:p w14:paraId="0E021DF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0243CFE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7E8B24C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5" w:type="pct"/>
            <w:tcBorders>
              <w:bottom w:val="single" w:sz="4" w:space="0" w:color="000000"/>
            </w:tcBorders>
            <w:shd w:val="clear" w:color="auto" w:fill="auto"/>
          </w:tcPr>
          <w:p w14:paraId="3B0F0D6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61D67017" w14:textId="77777777" w:rsidTr="00372E26">
        <w:trPr>
          <w:trHeight w:val="23"/>
        </w:trPr>
        <w:tc>
          <w:tcPr>
            <w:tcW w:w="1971" w:type="pct"/>
            <w:shd w:val="clear" w:color="auto" w:fill="auto"/>
            <w:vAlign w:val="bottom"/>
          </w:tcPr>
          <w:p w14:paraId="3CAA4F03" w14:textId="77777777" w:rsidR="00D83E33" w:rsidRPr="00E837F2" w:rsidRDefault="00D83E33" w:rsidP="001B330E">
            <w:pPr>
              <w:widowControl w:val="0"/>
              <w:ind w:left="113" w:hanging="113"/>
            </w:pPr>
          </w:p>
        </w:tc>
        <w:tc>
          <w:tcPr>
            <w:tcW w:w="606" w:type="pct"/>
            <w:shd w:val="clear" w:color="auto" w:fill="auto"/>
            <w:vAlign w:val="bottom"/>
          </w:tcPr>
          <w:p w14:paraId="6CA5F3A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80B45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935ED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1A989BD"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015DD4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861AD45" w14:textId="77777777" w:rsidTr="00372E26">
        <w:trPr>
          <w:trHeight w:val="23"/>
        </w:trPr>
        <w:tc>
          <w:tcPr>
            <w:tcW w:w="1971" w:type="pct"/>
            <w:shd w:val="clear" w:color="auto" w:fill="auto"/>
            <w:vAlign w:val="bottom"/>
          </w:tcPr>
          <w:p w14:paraId="7A96FBE5" w14:textId="25CF1E06" w:rsidR="00D83E33" w:rsidRPr="00E837F2" w:rsidRDefault="00372E26" w:rsidP="001B330E">
            <w:pPr>
              <w:widowControl w:val="0"/>
              <w:pBdr>
                <w:top w:val="nil"/>
                <w:left w:val="nil"/>
                <w:bottom w:val="nil"/>
                <w:right w:val="nil"/>
                <w:between w:val="nil"/>
              </w:pBdr>
              <w:ind w:left="113" w:hanging="113"/>
              <w:rPr>
                <w:b/>
                <w:color w:val="000000"/>
              </w:rPr>
            </w:pPr>
            <w:r>
              <w:rPr>
                <w:b/>
                <w:i/>
                <w:color w:val="000000"/>
              </w:rPr>
              <w:t>[Country]</w:t>
            </w:r>
            <w:r w:rsidR="00BC4072" w:rsidRPr="00E837F2">
              <w:rPr>
                <w:b/>
                <w:i/>
                <w:color w:val="000000"/>
              </w:rPr>
              <w:t xml:space="preserve"> government bonds</w:t>
            </w:r>
          </w:p>
        </w:tc>
        <w:tc>
          <w:tcPr>
            <w:tcW w:w="606" w:type="pct"/>
            <w:shd w:val="clear" w:color="auto" w:fill="auto"/>
            <w:vAlign w:val="bottom"/>
          </w:tcPr>
          <w:p w14:paraId="0D4A69F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AD0FB0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3B3FD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20DF919"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D19F89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9F0EF9E" w14:textId="77777777" w:rsidTr="00372E26">
        <w:trPr>
          <w:trHeight w:val="23"/>
        </w:trPr>
        <w:tc>
          <w:tcPr>
            <w:tcW w:w="1971" w:type="pct"/>
            <w:shd w:val="clear" w:color="auto" w:fill="auto"/>
            <w:vAlign w:val="bottom"/>
          </w:tcPr>
          <w:p w14:paraId="7640EB5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33910FB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F14D8C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CD9A2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39F5257"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2267F5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3EEB28" w14:textId="77777777" w:rsidTr="00372E26">
        <w:trPr>
          <w:trHeight w:val="23"/>
        </w:trPr>
        <w:tc>
          <w:tcPr>
            <w:tcW w:w="1971" w:type="pct"/>
            <w:shd w:val="clear" w:color="auto" w:fill="auto"/>
            <w:vAlign w:val="bottom"/>
          </w:tcPr>
          <w:p w14:paraId="2B2582A0"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Excellent</w:t>
            </w:r>
          </w:p>
        </w:tc>
        <w:tc>
          <w:tcPr>
            <w:tcW w:w="606" w:type="pct"/>
            <w:shd w:val="clear" w:color="auto" w:fill="auto"/>
            <w:vAlign w:val="bottom"/>
          </w:tcPr>
          <w:p w14:paraId="5911024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C91229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6E857D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A7F99DD"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C3EB8A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36FCDD5" w14:textId="77777777" w:rsidTr="00372E26">
        <w:trPr>
          <w:trHeight w:val="23"/>
        </w:trPr>
        <w:tc>
          <w:tcPr>
            <w:tcW w:w="1971" w:type="pct"/>
            <w:shd w:val="clear" w:color="auto" w:fill="auto"/>
            <w:vAlign w:val="bottom"/>
          </w:tcPr>
          <w:p w14:paraId="51D04D79"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Good</w:t>
            </w:r>
          </w:p>
        </w:tc>
        <w:tc>
          <w:tcPr>
            <w:tcW w:w="606" w:type="pct"/>
            <w:shd w:val="clear" w:color="auto" w:fill="auto"/>
            <w:vAlign w:val="bottom"/>
          </w:tcPr>
          <w:p w14:paraId="3F39030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362F3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EBDF44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850EA1C"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332158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FF9304D" w14:textId="77777777" w:rsidTr="00372E26">
        <w:trPr>
          <w:trHeight w:val="23"/>
        </w:trPr>
        <w:tc>
          <w:tcPr>
            <w:tcW w:w="1971" w:type="pct"/>
            <w:shd w:val="clear" w:color="auto" w:fill="auto"/>
            <w:vAlign w:val="bottom"/>
          </w:tcPr>
          <w:p w14:paraId="1338214C"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Satisfactory</w:t>
            </w:r>
          </w:p>
        </w:tc>
        <w:tc>
          <w:tcPr>
            <w:tcW w:w="606" w:type="pct"/>
            <w:shd w:val="clear" w:color="auto" w:fill="auto"/>
            <w:vAlign w:val="bottom"/>
          </w:tcPr>
          <w:p w14:paraId="6B622DE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089150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F9448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6C5C5DC"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C4436D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9D2B3BD" w14:textId="77777777" w:rsidTr="00372E26">
        <w:trPr>
          <w:trHeight w:val="23"/>
        </w:trPr>
        <w:tc>
          <w:tcPr>
            <w:tcW w:w="1971" w:type="pct"/>
            <w:shd w:val="clear" w:color="auto" w:fill="auto"/>
            <w:vAlign w:val="bottom"/>
          </w:tcPr>
          <w:p w14:paraId="35BEAB0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6EB4EA9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9866A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A7706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49122A6"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EEB095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08044AE" w14:textId="77777777" w:rsidTr="00372E26">
        <w:trPr>
          <w:trHeight w:val="23"/>
        </w:trPr>
        <w:tc>
          <w:tcPr>
            <w:tcW w:w="1971" w:type="pct"/>
            <w:tcBorders>
              <w:top w:val="single" w:sz="4" w:space="0" w:color="000000"/>
            </w:tcBorders>
            <w:shd w:val="clear" w:color="auto" w:fill="auto"/>
            <w:vAlign w:val="bottom"/>
          </w:tcPr>
          <w:p w14:paraId="63461EA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4136B2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8017EC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C6924B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8B2F99D"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351EFA9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DB4D6B0" w14:textId="77777777" w:rsidTr="00372E26">
        <w:trPr>
          <w:trHeight w:val="23"/>
        </w:trPr>
        <w:tc>
          <w:tcPr>
            <w:tcW w:w="1971" w:type="pct"/>
            <w:shd w:val="clear" w:color="auto" w:fill="auto"/>
            <w:vAlign w:val="bottom"/>
          </w:tcPr>
          <w:p w14:paraId="53D7882C"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Total AC gross carrying amount</w:t>
            </w:r>
          </w:p>
        </w:tc>
        <w:tc>
          <w:tcPr>
            <w:tcW w:w="606" w:type="pct"/>
            <w:vAlign w:val="bottom"/>
          </w:tcPr>
          <w:p w14:paraId="0E8FEC5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26A50D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AC51C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4C90014"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E14C42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289C1A9" w14:textId="77777777" w:rsidTr="00372E26">
        <w:trPr>
          <w:trHeight w:val="23"/>
        </w:trPr>
        <w:tc>
          <w:tcPr>
            <w:tcW w:w="1971" w:type="pct"/>
            <w:tcBorders>
              <w:bottom w:val="single" w:sz="4" w:space="0" w:color="000000"/>
            </w:tcBorders>
            <w:shd w:val="clear" w:color="auto" w:fill="auto"/>
            <w:vAlign w:val="bottom"/>
          </w:tcPr>
          <w:p w14:paraId="4D9D20B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FFBD86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BAABB4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FE0031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FE350D6"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5EA106A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108F35" w14:textId="77777777" w:rsidTr="00372E26">
        <w:trPr>
          <w:trHeight w:val="23"/>
        </w:trPr>
        <w:tc>
          <w:tcPr>
            <w:tcW w:w="1971" w:type="pct"/>
            <w:tcBorders>
              <w:top w:val="single" w:sz="4" w:space="0" w:color="000000"/>
            </w:tcBorders>
            <w:shd w:val="clear" w:color="auto" w:fill="auto"/>
            <w:vAlign w:val="bottom"/>
          </w:tcPr>
          <w:p w14:paraId="59D74DA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3CBEB8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11728F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08AF81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E5CC0A8"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5757C43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BDE93BF" w14:textId="77777777" w:rsidTr="00372E26">
        <w:trPr>
          <w:trHeight w:val="23"/>
        </w:trPr>
        <w:tc>
          <w:tcPr>
            <w:tcW w:w="1971" w:type="pct"/>
            <w:shd w:val="clear" w:color="auto" w:fill="auto"/>
            <w:vAlign w:val="bottom"/>
          </w:tcPr>
          <w:p w14:paraId="5F52DAC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Including: credit loss allowance</w:t>
            </w:r>
          </w:p>
        </w:tc>
        <w:tc>
          <w:tcPr>
            <w:tcW w:w="606" w:type="pct"/>
            <w:vAlign w:val="bottom"/>
          </w:tcPr>
          <w:p w14:paraId="08A05ED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B63F1D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441AFB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FF5E9E"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DDDAA6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00B139F" w14:textId="77777777" w:rsidTr="00372E26">
        <w:trPr>
          <w:trHeight w:val="23"/>
        </w:trPr>
        <w:tc>
          <w:tcPr>
            <w:tcW w:w="1971" w:type="pct"/>
            <w:shd w:val="clear" w:color="auto" w:fill="auto"/>
            <w:vAlign w:val="bottom"/>
          </w:tcPr>
          <w:p w14:paraId="64D6E2E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fair value adjustment from AC to FV</w:t>
            </w:r>
          </w:p>
        </w:tc>
        <w:tc>
          <w:tcPr>
            <w:tcW w:w="606" w:type="pct"/>
            <w:vAlign w:val="bottom"/>
          </w:tcPr>
          <w:p w14:paraId="22CC5E1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542507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C16340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D6FD55"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4C18B5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4D5D3A8" w14:textId="77777777" w:rsidTr="00372E26">
        <w:trPr>
          <w:trHeight w:val="23"/>
        </w:trPr>
        <w:tc>
          <w:tcPr>
            <w:tcW w:w="1971" w:type="pct"/>
            <w:tcBorders>
              <w:bottom w:val="single" w:sz="4" w:space="0" w:color="000000"/>
            </w:tcBorders>
            <w:shd w:val="clear" w:color="auto" w:fill="auto"/>
            <w:vAlign w:val="bottom"/>
          </w:tcPr>
          <w:p w14:paraId="63FC892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A25DD6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9ABA28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886839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B72DEF8"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40E0A2E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B1EABC" w14:textId="77777777" w:rsidTr="00372E26">
        <w:trPr>
          <w:trHeight w:val="23"/>
        </w:trPr>
        <w:tc>
          <w:tcPr>
            <w:tcW w:w="1971" w:type="pct"/>
            <w:tcBorders>
              <w:top w:val="single" w:sz="4" w:space="0" w:color="000000"/>
            </w:tcBorders>
            <w:shd w:val="clear" w:color="auto" w:fill="auto"/>
            <w:vAlign w:val="bottom"/>
          </w:tcPr>
          <w:p w14:paraId="1A258AC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D4AD23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A6F1F2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40A3A1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7624212"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2F8D603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5723855" w14:textId="77777777" w:rsidTr="00372E26">
        <w:trPr>
          <w:trHeight w:val="23"/>
        </w:trPr>
        <w:tc>
          <w:tcPr>
            <w:tcW w:w="1971" w:type="pct"/>
            <w:shd w:val="clear" w:color="auto" w:fill="auto"/>
            <w:vAlign w:val="bottom"/>
          </w:tcPr>
          <w:p w14:paraId="0D8721B1"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value (fair value)</w:t>
            </w:r>
          </w:p>
        </w:tc>
        <w:tc>
          <w:tcPr>
            <w:tcW w:w="606" w:type="pct"/>
            <w:vAlign w:val="bottom"/>
          </w:tcPr>
          <w:p w14:paraId="14242C4A" w14:textId="77777777" w:rsidR="00D83E33" w:rsidRPr="00E837F2" w:rsidRDefault="00D83E33" w:rsidP="001B330E">
            <w:pPr>
              <w:widowControl w:val="0"/>
              <w:pBdr>
                <w:top w:val="nil"/>
                <w:left w:val="nil"/>
                <w:bottom w:val="nil"/>
                <w:right w:val="nil"/>
                <w:between w:val="nil"/>
              </w:pBdr>
              <w:jc w:val="right"/>
              <w:rPr>
                <w:b/>
                <w:color w:val="000000"/>
              </w:rPr>
            </w:pPr>
          </w:p>
        </w:tc>
        <w:tc>
          <w:tcPr>
            <w:tcW w:w="606" w:type="pct"/>
            <w:vAlign w:val="bottom"/>
          </w:tcPr>
          <w:p w14:paraId="4AC3D412"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55AB916D"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31F6E91A" w14:textId="77777777" w:rsidR="00D83E33" w:rsidRPr="00E837F2" w:rsidRDefault="00D83E33">
            <w:pPr>
              <w:widowControl w:val="0"/>
              <w:pBdr>
                <w:top w:val="nil"/>
                <w:left w:val="nil"/>
                <w:bottom w:val="nil"/>
                <w:right w:val="nil"/>
                <w:between w:val="nil"/>
              </w:pBdr>
              <w:jc w:val="right"/>
              <w:rPr>
                <w:b/>
                <w:color w:val="000000"/>
              </w:rPr>
            </w:pPr>
          </w:p>
        </w:tc>
        <w:tc>
          <w:tcPr>
            <w:tcW w:w="605" w:type="pct"/>
            <w:shd w:val="clear" w:color="auto" w:fill="auto"/>
            <w:vAlign w:val="bottom"/>
          </w:tcPr>
          <w:p w14:paraId="68595080"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6C01477D" w14:textId="77777777" w:rsidTr="00372E26">
        <w:trPr>
          <w:trHeight w:val="23"/>
        </w:trPr>
        <w:tc>
          <w:tcPr>
            <w:tcW w:w="1971" w:type="pct"/>
            <w:tcBorders>
              <w:bottom w:val="single" w:sz="12" w:space="0" w:color="000000"/>
            </w:tcBorders>
            <w:shd w:val="clear" w:color="auto" w:fill="auto"/>
            <w:vAlign w:val="bottom"/>
          </w:tcPr>
          <w:p w14:paraId="49E7FC0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63BD837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86A73E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6EC694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68FFABF"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6C935A6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A5235F8" w14:textId="77777777" w:rsidTr="00372E26">
        <w:trPr>
          <w:trHeight w:val="23"/>
        </w:trPr>
        <w:tc>
          <w:tcPr>
            <w:tcW w:w="1971" w:type="pct"/>
            <w:shd w:val="clear" w:color="auto" w:fill="auto"/>
            <w:vAlign w:val="bottom"/>
          </w:tcPr>
          <w:p w14:paraId="1C37F50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29C0073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6E2154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585E5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B2876B0"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A5E2F8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F7F2E7E" w14:textId="77777777" w:rsidTr="00372E26">
        <w:trPr>
          <w:trHeight w:val="23"/>
        </w:trPr>
        <w:tc>
          <w:tcPr>
            <w:tcW w:w="1971" w:type="pct"/>
            <w:shd w:val="clear" w:color="auto" w:fill="auto"/>
            <w:vAlign w:val="bottom"/>
          </w:tcPr>
          <w:p w14:paraId="4EED4276"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Municipal bonds</w:t>
            </w:r>
          </w:p>
        </w:tc>
        <w:tc>
          <w:tcPr>
            <w:tcW w:w="606" w:type="pct"/>
            <w:shd w:val="clear" w:color="auto" w:fill="auto"/>
            <w:vAlign w:val="bottom"/>
          </w:tcPr>
          <w:p w14:paraId="7F1B7AC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41792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D0F59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969FBA5"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1E7AA5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660621C" w14:textId="77777777" w:rsidTr="00372E26">
        <w:trPr>
          <w:trHeight w:val="23"/>
        </w:trPr>
        <w:tc>
          <w:tcPr>
            <w:tcW w:w="1971" w:type="pct"/>
            <w:shd w:val="clear" w:color="auto" w:fill="auto"/>
            <w:vAlign w:val="bottom"/>
          </w:tcPr>
          <w:p w14:paraId="1D274B8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078A276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1689A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ACF4A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F32DB6C"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D18AAE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982BFB5" w14:textId="77777777" w:rsidTr="00372E26">
        <w:trPr>
          <w:trHeight w:val="23"/>
        </w:trPr>
        <w:tc>
          <w:tcPr>
            <w:tcW w:w="1971" w:type="pct"/>
            <w:shd w:val="clear" w:color="auto" w:fill="auto"/>
            <w:vAlign w:val="bottom"/>
          </w:tcPr>
          <w:p w14:paraId="6AA0CD59"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Excellent</w:t>
            </w:r>
          </w:p>
        </w:tc>
        <w:tc>
          <w:tcPr>
            <w:tcW w:w="606" w:type="pct"/>
            <w:shd w:val="clear" w:color="auto" w:fill="auto"/>
            <w:vAlign w:val="bottom"/>
          </w:tcPr>
          <w:p w14:paraId="35F2AED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A2B44D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8FC4C1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200B8DE"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0C10FA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F428677" w14:textId="77777777" w:rsidTr="00372E26">
        <w:trPr>
          <w:trHeight w:val="23"/>
        </w:trPr>
        <w:tc>
          <w:tcPr>
            <w:tcW w:w="1971" w:type="pct"/>
            <w:shd w:val="clear" w:color="auto" w:fill="auto"/>
            <w:vAlign w:val="bottom"/>
          </w:tcPr>
          <w:p w14:paraId="18013928"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Good</w:t>
            </w:r>
          </w:p>
        </w:tc>
        <w:tc>
          <w:tcPr>
            <w:tcW w:w="606" w:type="pct"/>
            <w:shd w:val="clear" w:color="auto" w:fill="auto"/>
            <w:vAlign w:val="bottom"/>
          </w:tcPr>
          <w:p w14:paraId="01FA621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90D1E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D29AA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5843843"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C6F274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B85FBC2" w14:textId="77777777" w:rsidTr="00372E26">
        <w:trPr>
          <w:trHeight w:val="23"/>
        </w:trPr>
        <w:tc>
          <w:tcPr>
            <w:tcW w:w="1971" w:type="pct"/>
            <w:shd w:val="clear" w:color="auto" w:fill="auto"/>
            <w:vAlign w:val="bottom"/>
          </w:tcPr>
          <w:p w14:paraId="262D5B7F"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Satisfactory</w:t>
            </w:r>
          </w:p>
        </w:tc>
        <w:tc>
          <w:tcPr>
            <w:tcW w:w="606" w:type="pct"/>
            <w:shd w:val="clear" w:color="auto" w:fill="auto"/>
            <w:vAlign w:val="bottom"/>
          </w:tcPr>
          <w:p w14:paraId="351BEFE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BD03A4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E5988B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BDDDDA5"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98CD9A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4378A92" w14:textId="77777777" w:rsidTr="00372E26">
        <w:trPr>
          <w:trHeight w:val="23"/>
        </w:trPr>
        <w:tc>
          <w:tcPr>
            <w:tcW w:w="1971" w:type="pct"/>
            <w:shd w:val="clear" w:color="auto" w:fill="auto"/>
            <w:vAlign w:val="bottom"/>
          </w:tcPr>
          <w:p w14:paraId="3E182E7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40BCA2F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C5B07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E10401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077914A"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60DA31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FAD9B53" w14:textId="77777777" w:rsidTr="00372E26">
        <w:trPr>
          <w:trHeight w:val="23"/>
        </w:trPr>
        <w:tc>
          <w:tcPr>
            <w:tcW w:w="1971" w:type="pct"/>
            <w:shd w:val="clear" w:color="auto" w:fill="auto"/>
            <w:vAlign w:val="bottom"/>
          </w:tcPr>
          <w:p w14:paraId="01CBC042"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Default</w:t>
            </w:r>
          </w:p>
        </w:tc>
        <w:tc>
          <w:tcPr>
            <w:tcW w:w="606" w:type="pct"/>
            <w:shd w:val="clear" w:color="auto" w:fill="auto"/>
            <w:vAlign w:val="bottom"/>
          </w:tcPr>
          <w:p w14:paraId="009B66D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C4144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4BBD8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1B30942"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C7716A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8841F78" w14:textId="77777777" w:rsidTr="00372E26">
        <w:trPr>
          <w:trHeight w:val="23"/>
        </w:trPr>
        <w:tc>
          <w:tcPr>
            <w:tcW w:w="1971" w:type="pct"/>
            <w:shd w:val="clear" w:color="auto" w:fill="auto"/>
            <w:vAlign w:val="bottom"/>
          </w:tcPr>
          <w:p w14:paraId="722CACF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36F5979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6C462E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14025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5AB11E3"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ED9E71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78E2020" w14:textId="77777777" w:rsidTr="00372E26">
        <w:trPr>
          <w:trHeight w:val="23"/>
        </w:trPr>
        <w:tc>
          <w:tcPr>
            <w:tcW w:w="1971" w:type="pct"/>
            <w:tcBorders>
              <w:top w:val="single" w:sz="4" w:space="0" w:color="000000"/>
            </w:tcBorders>
            <w:shd w:val="clear" w:color="auto" w:fill="auto"/>
            <w:vAlign w:val="bottom"/>
          </w:tcPr>
          <w:p w14:paraId="2FB839E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993123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A2D942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199786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7ACF842"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71BCEAF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BE064A6" w14:textId="77777777" w:rsidTr="00372E26">
        <w:trPr>
          <w:trHeight w:val="23"/>
        </w:trPr>
        <w:tc>
          <w:tcPr>
            <w:tcW w:w="1971" w:type="pct"/>
            <w:shd w:val="clear" w:color="auto" w:fill="auto"/>
            <w:vAlign w:val="bottom"/>
          </w:tcPr>
          <w:p w14:paraId="22736024"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Total AC gross carrying amount</w:t>
            </w:r>
          </w:p>
        </w:tc>
        <w:tc>
          <w:tcPr>
            <w:tcW w:w="606" w:type="pct"/>
            <w:vAlign w:val="bottom"/>
          </w:tcPr>
          <w:p w14:paraId="3F3C09F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D56134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2D80F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EBAB57D"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BD16A1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2AE68EA" w14:textId="77777777" w:rsidTr="00372E26">
        <w:trPr>
          <w:trHeight w:val="23"/>
        </w:trPr>
        <w:tc>
          <w:tcPr>
            <w:tcW w:w="1971" w:type="pct"/>
            <w:tcBorders>
              <w:bottom w:val="single" w:sz="4" w:space="0" w:color="000000"/>
            </w:tcBorders>
            <w:shd w:val="clear" w:color="auto" w:fill="auto"/>
            <w:vAlign w:val="bottom"/>
          </w:tcPr>
          <w:p w14:paraId="6A82222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D64F0B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474297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767E43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7ABFDD6"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0C35B00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F0A1239" w14:textId="77777777" w:rsidTr="00372E26">
        <w:trPr>
          <w:trHeight w:val="23"/>
        </w:trPr>
        <w:tc>
          <w:tcPr>
            <w:tcW w:w="1971" w:type="pct"/>
            <w:tcBorders>
              <w:top w:val="single" w:sz="4" w:space="0" w:color="000000"/>
            </w:tcBorders>
            <w:shd w:val="clear" w:color="auto" w:fill="auto"/>
            <w:vAlign w:val="bottom"/>
          </w:tcPr>
          <w:p w14:paraId="77FB9C3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AA4E79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3545A5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61AFCC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45FF5E5"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069345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F5E70F0" w14:textId="77777777" w:rsidTr="00372E26">
        <w:trPr>
          <w:trHeight w:val="23"/>
        </w:trPr>
        <w:tc>
          <w:tcPr>
            <w:tcW w:w="1971" w:type="pct"/>
            <w:shd w:val="clear" w:color="auto" w:fill="auto"/>
            <w:vAlign w:val="bottom"/>
          </w:tcPr>
          <w:p w14:paraId="2069F10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Including: credit loss allowance</w:t>
            </w:r>
          </w:p>
        </w:tc>
        <w:tc>
          <w:tcPr>
            <w:tcW w:w="606" w:type="pct"/>
            <w:vAlign w:val="bottom"/>
          </w:tcPr>
          <w:p w14:paraId="1B502CA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DCDC25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A6060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424D2E"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797A33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0CE6EB5" w14:textId="77777777" w:rsidTr="00372E26">
        <w:trPr>
          <w:trHeight w:val="23"/>
        </w:trPr>
        <w:tc>
          <w:tcPr>
            <w:tcW w:w="1971" w:type="pct"/>
            <w:shd w:val="clear" w:color="auto" w:fill="auto"/>
            <w:vAlign w:val="bottom"/>
          </w:tcPr>
          <w:p w14:paraId="651FAB3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fair value adjustment from AC to FV</w:t>
            </w:r>
          </w:p>
        </w:tc>
        <w:tc>
          <w:tcPr>
            <w:tcW w:w="606" w:type="pct"/>
            <w:vAlign w:val="bottom"/>
          </w:tcPr>
          <w:p w14:paraId="0AF8128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9ECA68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BE6EA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A8BB90"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E305F8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E9D96ED" w14:textId="77777777" w:rsidTr="00372E26">
        <w:trPr>
          <w:trHeight w:val="23"/>
        </w:trPr>
        <w:tc>
          <w:tcPr>
            <w:tcW w:w="1971" w:type="pct"/>
            <w:tcBorders>
              <w:bottom w:val="single" w:sz="4" w:space="0" w:color="000000"/>
            </w:tcBorders>
            <w:shd w:val="clear" w:color="auto" w:fill="auto"/>
            <w:vAlign w:val="bottom"/>
          </w:tcPr>
          <w:p w14:paraId="0A79B80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A948BD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FC603D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A8E6F6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553A406"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14C82E1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00D7DBD" w14:textId="77777777" w:rsidTr="00372E26">
        <w:trPr>
          <w:trHeight w:val="23"/>
        </w:trPr>
        <w:tc>
          <w:tcPr>
            <w:tcW w:w="1971" w:type="pct"/>
            <w:tcBorders>
              <w:top w:val="single" w:sz="4" w:space="0" w:color="000000"/>
            </w:tcBorders>
            <w:shd w:val="clear" w:color="auto" w:fill="auto"/>
            <w:vAlign w:val="bottom"/>
          </w:tcPr>
          <w:p w14:paraId="5EB3E91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703411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2E5391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ECB2AF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33C7E94"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52D0D1C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50C1F95" w14:textId="77777777" w:rsidTr="00372E26">
        <w:trPr>
          <w:trHeight w:val="23"/>
        </w:trPr>
        <w:tc>
          <w:tcPr>
            <w:tcW w:w="1971" w:type="pct"/>
            <w:shd w:val="clear" w:color="auto" w:fill="auto"/>
            <w:vAlign w:val="bottom"/>
          </w:tcPr>
          <w:p w14:paraId="109D9474"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value (fair value)</w:t>
            </w:r>
          </w:p>
        </w:tc>
        <w:tc>
          <w:tcPr>
            <w:tcW w:w="606" w:type="pct"/>
            <w:vAlign w:val="bottom"/>
          </w:tcPr>
          <w:p w14:paraId="0854E2FC" w14:textId="77777777" w:rsidR="00D83E33" w:rsidRPr="00E837F2" w:rsidRDefault="00D83E33" w:rsidP="001B330E">
            <w:pPr>
              <w:widowControl w:val="0"/>
              <w:pBdr>
                <w:top w:val="nil"/>
                <w:left w:val="nil"/>
                <w:bottom w:val="nil"/>
                <w:right w:val="nil"/>
                <w:between w:val="nil"/>
              </w:pBdr>
              <w:jc w:val="right"/>
              <w:rPr>
                <w:b/>
                <w:color w:val="000000"/>
              </w:rPr>
            </w:pPr>
          </w:p>
        </w:tc>
        <w:tc>
          <w:tcPr>
            <w:tcW w:w="606" w:type="pct"/>
            <w:vAlign w:val="bottom"/>
          </w:tcPr>
          <w:p w14:paraId="3B94A3E8"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5060C443"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2B561509" w14:textId="77777777" w:rsidR="00D83E33" w:rsidRPr="00E837F2" w:rsidRDefault="00D83E33">
            <w:pPr>
              <w:widowControl w:val="0"/>
              <w:pBdr>
                <w:top w:val="nil"/>
                <w:left w:val="nil"/>
                <w:bottom w:val="nil"/>
                <w:right w:val="nil"/>
                <w:between w:val="nil"/>
              </w:pBdr>
              <w:jc w:val="right"/>
              <w:rPr>
                <w:b/>
                <w:color w:val="000000"/>
              </w:rPr>
            </w:pPr>
          </w:p>
        </w:tc>
        <w:tc>
          <w:tcPr>
            <w:tcW w:w="605" w:type="pct"/>
            <w:shd w:val="clear" w:color="auto" w:fill="auto"/>
            <w:vAlign w:val="bottom"/>
          </w:tcPr>
          <w:p w14:paraId="2071B3D1"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762178A1" w14:textId="77777777" w:rsidTr="00372E26">
        <w:trPr>
          <w:trHeight w:val="23"/>
        </w:trPr>
        <w:tc>
          <w:tcPr>
            <w:tcW w:w="1971" w:type="pct"/>
            <w:tcBorders>
              <w:bottom w:val="single" w:sz="12" w:space="0" w:color="000000"/>
            </w:tcBorders>
            <w:shd w:val="clear" w:color="auto" w:fill="auto"/>
            <w:vAlign w:val="bottom"/>
          </w:tcPr>
          <w:p w14:paraId="7D247BF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7BB538C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24F259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1621E3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C2D4640"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3FECAFCF" w14:textId="77777777" w:rsidR="00D83E33" w:rsidRPr="00E837F2" w:rsidRDefault="00D83E33">
            <w:pPr>
              <w:widowControl w:val="0"/>
              <w:pBdr>
                <w:top w:val="nil"/>
                <w:left w:val="nil"/>
                <w:bottom w:val="nil"/>
                <w:right w:val="nil"/>
                <w:between w:val="nil"/>
              </w:pBdr>
              <w:jc w:val="right"/>
              <w:rPr>
                <w:color w:val="000000"/>
              </w:rPr>
            </w:pPr>
          </w:p>
        </w:tc>
      </w:tr>
    </w:tbl>
    <w:p w14:paraId="7D1DAFEC" w14:textId="6604A8F4" w:rsidR="00D83E33" w:rsidRDefault="00BC4072" w:rsidP="001B330E">
      <w:pPr>
        <w:pStyle w:val="Continued"/>
      </w:pPr>
      <w:r>
        <w:lastRenderedPageBreak/>
        <w:t>12</w:t>
      </w:r>
      <w:r>
        <w:tab/>
        <w:t>Repurchase Receivables (Continued)</w:t>
      </w:r>
    </w:p>
    <w:tbl>
      <w:tblPr>
        <w:tblStyle w:val="afffffff"/>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54EE4C21" w14:textId="77777777" w:rsidTr="001B330E">
        <w:trPr>
          <w:trHeight w:val="23"/>
        </w:trPr>
        <w:tc>
          <w:tcPr>
            <w:tcW w:w="1971" w:type="pct"/>
            <w:tcBorders>
              <w:bottom w:val="single" w:sz="4" w:space="0" w:color="000000"/>
            </w:tcBorders>
            <w:shd w:val="clear" w:color="auto" w:fill="auto"/>
            <w:vAlign w:val="bottom"/>
          </w:tcPr>
          <w:p w14:paraId="76F2DF40" w14:textId="7BDB0374"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5E6B977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609E2B0F"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shd w:val="clear" w:color="auto" w:fill="auto"/>
          </w:tcPr>
          <w:p w14:paraId="2EE6CA3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66E7C1A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shd w:val="clear" w:color="auto" w:fill="auto"/>
          </w:tcPr>
          <w:p w14:paraId="63FCBCD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71E5858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0D3F9A4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shd w:val="clear" w:color="auto" w:fill="auto"/>
          </w:tcPr>
          <w:p w14:paraId="5C0F604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1C34E7EF" w14:textId="77777777" w:rsidTr="001B330E">
        <w:trPr>
          <w:trHeight w:val="23"/>
        </w:trPr>
        <w:tc>
          <w:tcPr>
            <w:tcW w:w="1971" w:type="pct"/>
            <w:shd w:val="clear" w:color="auto" w:fill="auto"/>
            <w:vAlign w:val="bottom"/>
          </w:tcPr>
          <w:p w14:paraId="54EB65E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65B0450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55D52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DFBD7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3747F2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73FF8B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8ACF5A2" w14:textId="77777777" w:rsidTr="001B330E">
        <w:trPr>
          <w:trHeight w:val="23"/>
        </w:trPr>
        <w:tc>
          <w:tcPr>
            <w:tcW w:w="1971" w:type="pct"/>
            <w:shd w:val="clear" w:color="auto" w:fill="auto"/>
            <w:vAlign w:val="bottom"/>
          </w:tcPr>
          <w:p w14:paraId="34B28DC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Corporate bonds</w:t>
            </w:r>
          </w:p>
        </w:tc>
        <w:tc>
          <w:tcPr>
            <w:tcW w:w="606" w:type="pct"/>
            <w:shd w:val="clear" w:color="auto" w:fill="auto"/>
            <w:vAlign w:val="bottom"/>
          </w:tcPr>
          <w:p w14:paraId="40F69A0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7F22D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B6812A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29F8EB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E33EA3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787D7C7" w14:textId="77777777" w:rsidTr="001B330E">
        <w:trPr>
          <w:trHeight w:val="23"/>
        </w:trPr>
        <w:tc>
          <w:tcPr>
            <w:tcW w:w="1971" w:type="pct"/>
            <w:shd w:val="clear" w:color="auto" w:fill="auto"/>
            <w:vAlign w:val="bottom"/>
          </w:tcPr>
          <w:p w14:paraId="0E57FD6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60A2139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D57AC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CD389E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A5ED89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A8A32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4847B48" w14:textId="77777777" w:rsidTr="001B330E">
        <w:trPr>
          <w:trHeight w:val="23"/>
        </w:trPr>
        <w:tc>
          <w:tcPr>
            <w:tcW w:w="1971" w:type="pct"/>
            <w:shd w:val="clear" w:color="auto" w:fill="auto"/>
            <w:vAlign w:val="bottom"/>
          </w:tcPr>
          <w:p w14:paraId="016DA12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shd w:val="clear" w:color="auto" w:fill="auto"/>
            <w:vAlign w:val="bottom"/>
          </w:tcPr>
          <w:p w14:paraId="65CBD69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7F44A0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C7E3E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C7FD39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EE50F3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3D36D4F" w14:textId="77777777" w:rsidTr="001B330E">
        <w:trPr>
          <w:trHeight w:val="23"/>
        </w:trPr>
        <w:tc>
          <w:tcPr>
            <w:tcW w:w="1971" w:type="pct"/>
            <w:shd w:val="clear" w:color="auto" w:fill="auto"/>
            <w:vAlign w:val="bottom"/>
          </w:tcPr>
          <w:p w14:paraId="297A40A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shd w:val="clear" w:color="auto" w:fill="auto"/>
            <w:vAlign w:val="bottom"/>
          </w:tcPr>
          <w:p w14:paraId="520E91F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403A2E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8C50E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4088C7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70206F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5F00289" w14:textId="77777777" w:rsidTr="001B330E">
        <w:trPr>
          <w:trHeight w:val="23"/>
        </w:trPr>
        <w:tc>
          <w:tcPr>
            <w:tcW w:w="1971" w:type="pct"/>
            <w:shd w:val="clear" w:color="auto" w:fill="auto"/>
            <w:vAlign w:val="bottom"/>
          </w:tcPr>
          <w:p w14:paraId="01152F2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shd w:val="clear" w:color="auto" w:fill="auto"/>
            <w:vAlign w:val="bottom"/>
          </w:tcPr>
          <w:p w14:paraId="24BF325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FA92B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8DB3F6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E1CF89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7970F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0DF2538" w14:textId="77777777" w:rsidTr="001B330E">
        <w:trPr>
          <w:trHeight w:val="23"/>
        </w:trPr>
        <w:tc>
          <w:tcPr>
            <w:tcW w:w="1971" w:type="pct"/>
            <w:shd w:val="clear" w:color="auto" w:fill="auto"/>
            <w:vAlign w:val="bottom"/>
          </w:tcPr>
          <w:p w14:paraId="639E01D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3FB92DD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201BF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0DDDFE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AE3362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9A02CB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3CFB7B9" w14:textId="77777777" w:rsidTr="001B330E">
        <w:trPr>
          <w:trHeight w:val="23"/>
        </w:trPr>
        <w:tc>
          <w:tcPr>
            <w:tcW w:w="1971" w:type="pct"/>
            <w:shd w:val="clear" w:color="auto" w:fill="auto"/>
            <w:vAlign w:val="bottom"/>
          </w:tcPr>
          <w:p w14:paraId="2BA3A18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shd w:val="clear" w:color="auto" w:fill="auto"/>
            <w:vAlign w:val="bottom"/>
          </w:tcPr>
          <w:p w14:paraId="3F79474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AB083A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0B85A9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B791FE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CA168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7948375" w14:textId="77777777" w:rsidTr="001B330E">
        <w:trPr>
          <w:trHeight w:val="23"/>
        </w:trPr>
        <w:tc>
          <w:tcPr>
            <w:tcW w:w="1971" w:type="pct"/>
            <w:shd w:val="clear" w:color="auto" w:fill="auto"/>
            <w:vAlign w:val="bottom"/>
          </w:tcPr>
          <w:p w14:paraId="32C81D4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4217453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1C8345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8BC444"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4F5516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418B9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E96AE59" w14:textId="77777777" w:rsidTr="001B330E">
        <w:trPr>
          <w:trHeight w:val="23"/>
        </w:trPr>
        <w:tc>
          <w:tcPr>
            <w:tcW w:w="1971" w:type="pct"/>
            <w:tcBorders>
              <w:top w:val="single" w:sz="4" w:space="0" w:color="000000"/>
            </w:tcBorders>
            <w:shd w:val="clear" w:color="auto" w:fill="auto"/>
            <w:vAlign w:val="bottom"/>
          </w:tcPr>
          <w:p w14:paraId="4783FF6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DEA4C2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078CC1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53B3AB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C496C6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7D196E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6D592E1" w14:textId="77777777" w:rsidTr="001B330E">
        <w:trPr>
          <w:trHeight w:val="23"/>
        </w:trPr>
        <w:tc>
          <w:tcPr>
            <w:tcW w:w="1971" w:type="pct"/>
            <w:shd w:val="clear" w:color="auto" w:fill="auto"/>
            <w:vAlign w:val="bottom"/>
          </w:tcPr>
          <w:p w14:paraId="75AB8065"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Total AC gross carrying amount</w:t>
            </w:r>
          </w:p>
        </w:tc>
        <w:tc>
          <w:tcPr>
            <w:tcW w:w="606" w:type="pct"/>
            <w:vAlign w:val="bottom"/>
          </w:tcPr>
          <w:p w14:paraId="4F698A7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EF1E71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3B8B3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45799D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B67C9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572C4A3" w14:textId="77777777" w:rsidTr="001B330E">
        <w:trPr>
          <w:trHeight w:val="23"/>
        </w:trPr>
        <w:tc>
          <w:tcPr>
            <w:tcW w:w="1971" w:type="pct"/>
            <w:tcBorders>
              <w:bottom w:val="single" w:sz="4" w:space="0" w:color="000000"/>
            </w:tcBorders>
            <w:shd w:val="clear" w:color="auto" w:fill="auto"/>
            <w:vAlign w:val="bottom"/>
          </w:tcPr>
          <w:p w14:paraId="6A70912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B7DC06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24B794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478597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80CADF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97B2CC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1A54338" w14:textId="77777777" w:rsidTr="001B330E">
        <w:trPr>
          <w:trHeight w:val="23"/>
        </w:trPr>
        <w:tc>
          <w:tcPr>
            <w:tcW w:w="1971" w:type="pct"/>
            <w:tcBorders>
              <w:top w:val="single" w:sz="4" w:space="0" w:color="000000"/>
            </w:tcBorders>
            <w:shd w:val="clear" w:color="auto" w:fill="auto"/>
            <w:vAlign w:val="bottom"/>
          </w:tcPr>
          <w:p w14:paraId="1EEE66F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AF13C6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3A7A62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19E9C8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CE7F03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8F81E0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1A47F7D" w14:textId="77777777" w:rsidTr="001B330E">
        <w:trPr>
          <w:trHeight w:val="23"/>
        </w:trPr>
        <w:tc>
          <w:tcPr>
            <w:tcW w:w="1971" w:type="pct"/>
            <w:shd w:val="clear" w:color="auto" w:fill="auto"/>
            <w:vAlign w:val="bottom"/>
          </w:tcPr>
          <w:p w14:paraId="2C10902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Including: credit loss allowance</w:t>
            </w:r>
          </w:p>
        </w:tc>
        <w:tc>
          <w:tcPr>
            <w:tcW w:w="606" w:type="pct"/>
            <w:vAlign w:val="bottom"/>
          </w:tcPr>
          <w:p w14:paraId="1277666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9A0AB1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3D0DFE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2BA55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7312C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59C3BB3" w14:textId="77777777" w:rsidTr="001B330E">
        <w:trPr>
          <w:trHeight w:val="23"/>
        </w:trPr>
        <w:tc>
          <w:tcPr>
            <w:tcW w:w="1971" w:type="pct"/>
            <w:shd w:val="clear" w:color="auto" w:fill="auto"/>
            <w:vAlign w:val="bottom"/>
          </w:tcPr>
          <w:p w14:paraId="0EBBA96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fair value adjustment from AC to FV</w:t>
            </w:r>
          </w:p>
        </w:tc>
        <w:tc>
          <w:tcPr>
            <w:tcW w:w="606" w:type="pct"/>
            <w:vAlign w:val="bottom"/>
          </w:tcPr>
          <w:p w14:paraId="505F1A8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B8990C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83CCB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50E80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E2888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60A7ED9" w14:textId="77777777" w:rsidTr="001B330E">
        <w:trPr>
          <w:trHeight w:val="23"/>
        </w:trPr>
        <w:tc>
          <w:tcPr>
            <w:tcW w:w="1971" w:type="pct"/>
            <w:tcBorders>
              <w:bottom w:val="single" w:sz="4" w:space="0" w:color="000000"/>
            </w:tcBorders>
            <w:shd w:val="clear" w:color="auto" w:fill="auto"/>
            <w:vAlign w:val="bottom"/>
          </w:tcPr>
          <w:p w14:paraId="55AAEC4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937977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4B9AB9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1F9462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30629A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E77D3F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4EB86DB" w14:textId="77777777" w:rsidTr="001B330E">
        <w:trPr>
          <w:trHeight w:val="23"/>
        </w:trPr>
        <w:tc>
          <w:tcPr>
            <w:tcW w:w="1971" w:type="pct"/>
            <w:tcBorders>
              <w:top w:val="single" w:sz="4" w:space="0" w:color="000000"/>
            </w:tcBorders>
            <w:shd w:val="clear" w:color="auto" w:fill="auto"/>
            <w:vAlign w:val="bottom"/>
          </w:tcPr>
          <w:p w14:paraId="7BB10A7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1EA996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00C8E3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CB7ABF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D4DFFF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461BF1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68AC3E9" w14:textId="77777777" w:rsidTr="001B330E">
        <w:trPr>
          <w:trHeight w:val="23"/>
        </w:trPr>
        <w:tc>
          <w:tcPr>
            <w:tcW w:w="1971" w:type="pct"/>
            <w:shd w:val="clear" w:color="auto" w:fill="auto"/>
            <w:vAlign w:val="bottom"/>
          </w:tcPr>
          <w:p w14:paraId="5AA14252"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value (fair value)</w:t>
            </w:r>
          </w:p>
        </w:tc>
        <w:tc>
          <w:tcPr>
            <w:tcW w:w="606" w:type="pct"/>
            <w:vAlign w:val="bottom"/>
          </w:tcPr>
          <w:p w14:paraId="777A178E" w14:textId="77777777" w:rsidR="00D83E33" w:rsidRPr="00E837F2" w:rsidRDefault="00D83E33" w:rsidP="001B330E">
            <w:pPr>
              <w:widowControl w:val="0"/>
              <w:pBdr>
                <w:top w:val="nil"/>
                <w:left w:val="nil"/>
                <w:bottom w:val="nil"/>
                <w:right w:val="nil"/>
                <w:between w:val="nil"/>
              </w:pBdr>
              <w:jc w:val="right"/>
              <w:rPr>
                <w:b/>
                <w:color w:val="000000"/>
              </w:rPr>
            </w:pPr>
          </w:p>
        </w:tc>
        <w:tc>
          <w:tcPr>
            <w:tcW w:w="606" w:type="pct"/>
            <w:vAlign w:val="bottom"/>
          </w:tcPr>
          <w:p w14:paraId="21E6A5A3"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286D2C38"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7F461730"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3EF48B24"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0153509C" w14:textId="77777777" w:rsidTr="001B330E">
        <w:trPr>
          <w:trHeight w:val="23"/>
        </w:trPr>
        <w:tc>
          <w:tcPr>
            <w:tcW w:w="1971" w:type="pct"/>
            <w:tcBorders>
              <w:bottom w:val="single" w:sz="12" w:space="0" w:color="000000"/>
            </w:tcBorders>
            <w:shd w:val="clear" w:color="auto" w:fill="auto"/>
            <w:vAlign w:val="bottom"/>
          </w:tcPr>
          <w:p w14:paraId="548AA7B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665040A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2FCC996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726361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FF5441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F41908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B4C2084" w14:textId="77777777" w:rsidTr="001B330E">
        <w:trPr>
          <w:trHeight w:val="23"/>
        </w:trPr>
        <w:tc>
          <w:tcPr>
            <w:tcW w:w="1971" w:type="pct"/>
            <w:shd w:val="clear" w:color="auto" w:fill="auto"/>
            <w:vAlign w:val="bottom"/>
          </w:tcPr>
          <w:p w14:paraId="74482CE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0FEFE85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B16D8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EC3D40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9A9A6F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C768EA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608F17F" w14:textId="77777777" w:rsidTr="001B330E">
        <w:trPr>
          <w:trHeight w:val="23"/>
        </w:trPr>
        <w:tc>
          <w:tcPr>
            <w:tcW w:w="1971" w:type="pct"/>
            <w:shd w:val="clear" w:color="auto" w:fill="auto"/>
            <w:vAlign w:val="bottom"/>
          </w:tcPr>
          <w:p w14:paraId="32886576" w14:textId="39253A47"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 xml:space="preserve">Promissory notes </w:t>
            </w:r>
          </w:p>
        </w:tc>
        <w:tc>
          <w:tcPr>
            <w:tcW w:w="606" w:type="pct"/>
            <w:shd w:val="clear" w:color="auto" w:fill="auto"/>
            <w:vAlign w:val="bottom"/>
          </w:tcPr>
          <w:p w14:paraId="35A91CE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C7D81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4B9A6F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147764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9130C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EC2C7E2" w14:textId="77777777" w:rsidTr="001B330E">
        <w:trPr>
          <w:trHeight w:val="23"/>
        </w:trPr>
        <w:tc>
          <w:tcPr>
            <w:tcW w:w="1971" w:type="pct"/>
            <w:shd w:val="clear" w:color="auto" w:fill="auto"/>
            <w:vAlign w:val="bottom"/>
          </w:tcPr>
          <w:p w14:paraId="00257F9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399D61C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BD14E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D751E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C6D29E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ECBA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8BA1CC0" w14:textId="77777777" w:rsidTr="001B330E">
        <w:trPr>
          <w:trHeight w:val="23"/>
        </w:trPr>
        <w:tc>
          <w:tcPr>
            <w:tcW w:w="1971" w:type="pct"/>
            <w:shd w:val="clear" w:color="auto" w:fill="auto"/>
            <w:vAlign w:val="bottom"/>
          </w:tcPr>
          <w:p w14:paraId="017AE9B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shd w:val="clear" w:color="auto" w:fill="auto"/>
            <w:vAlign w:val="bottom"/>
          </w:tcPr>
          <w:p w14:paraId="6363F4C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CB363F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90E097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A8CF55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ABDFE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B6B8111" w14:textId="77777777" w:rsidTr="001B330E">
        <w:trPr>
          <w:trHeight w:val="23"/>
        </w:trPr>
        <w:tc>
          <w:tcPr>
            <w:tcW w:w="1971" w:type="pct"/>
            <w:shd w:val="clear" w:color="auto" w:fill="auto"/>
            <w:vAlign w:val="bottom"/>
          </w:tcPr>
          <w:p w14:paraId="26EDDE8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shd w:val="clear" w:color="auto" w:fill="auto"/>
            <w:vAlign w:val="bottom"/>
          </w:tcPr>
          <w:p w14:paraId="0E7F70D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1787C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C070D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8B61E5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DB6732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4F5D102" w14:textId="77777777" w:rsidTr="001B330E">
        <w:trPr>
          <w:trHeight w:val="23"/>
        </w:trPr>
        <w:tc>
          <w:tcPr>
            <w:tcW w:w="1971" w:type="pct"/>
            <w:shd w:val="clear" w:color="auto" w:fill="auto"/>
            <w:vAlign w:val="bottom"/>
          </w:tcPr>
          <w:p w14:paraId="16435F5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shd w:val="clear" w:color="auto" w:fill="auto"/>
            <w:vAlign w:val="bottom"/>
          </w:tcPr>
          <w:p w14:paraId="31AD515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15598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B19813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C7EF2A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2F91B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928125A" w14:textId="77777777" w:rsidTr="001B330E">
        <w:trPr>
          <w:trHeight w:val="23"/>
        </w:trPr>
        <w:tc>
          <w:tcPr>
            <w:tcW w:w="1971" w:type="pct"/>
            <w:shd w:val="clear" w:color="auto" w:fill="auto"/>
            <w:vAlign w:val="bottom"/>
          </w:tcPr>
          <w:p w14:paraId="655FDDB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29C8B05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218F5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84A3A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086BCC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C04A48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E7E9D9C" w14:textId="77777777" w:rsidTr="001B330E">
        <w:trPr>
          <w:trHeight w:val="23"/>
        </w:trPr>
        <w:tc>
          <w:tcPr>
            <w:tcW w:w="1971" w:type="pct"/>
            <w:shd w:val="clear" w:color="auto" w:fill="auto"/>
            <w:vAlign w:val="bottom"/>
          </w:tcPr>
          <w:p w14:paraId="0154DB9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shd w:val="clear" w:color="auto" w:fill="auto"/>
            <w:vAlign w:val="bottom"/>
          </w:tcPr>
          <w:p w14:paraId="2F7901F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04DB0A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7F046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6D8734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CC3E4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B3A94AC" w14:textId="77777777" w:rsidTr="001B330E">
        <w:trPr>
          <w:trHeight w:val="23"/>
        </w:trPr>
        <w:tc>
          <w:tcPr>
            <w:tcW w:w="1971" w:type="pct"/>
            <w:shd w:val="clear" w:color="auto" w:fill="auto"/>
            <w:vAlign w:val="bottom"/>
          </w:tcPr>
          <w:p w14:paraId="3A7145C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268E066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197AE7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0C4B3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9AF5EB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7D1807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C448B9B" w14:textId="77777777" w:rsidTr="001B330E">
        <w:trPr>
          <w:trHeight w:val="23"/>
        </w:trPr>
        <w:tc>
          <w:tcPr>
            <w:tcW w:w="1971" w:type="pct"/>
            <w:tcBorders>
              <w:top w:val="single" w:sz="4" w:space="0" w:color="000000"/>
            </w:tcBorders>
            <w:shd w:val="clear" w:color="auto" w:fill="auto"/>
            <w:vAlign w:val="bottom"/>
          </w:tcPr>
          <w:p w14:paraId="216667D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0AAAFB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F2509E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AF9C2C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AB125C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904127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B80C72C" w14:textId="77777777" w:rsidTr="001B330E">
        <w:trPr>
          <w:trHeight w:val="23"/>
        </w:trPr>
        <w:tc>
          <w:tcPr>
            <w:tcW w:w="1971" w:type="pct"/>
            <w:shd w:val="clear" w:color="auto" w:fill="auto"/>
            <w:vAlign w:val="bottom"/>
          </w:tcPr>
          <w:p w14:paraId="6CACC499"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Total AC gross carrying amount</w:t>
            </w:r>
          </w:p>
        </w:tc>
        <w:tc>
          <w:tcPr>
            <w:tcW w:w="606" w:type="pct"/>
            <w:vAlign w:val="bottom"/>
          </w:tcPr>
          <w:p w14:paraId="3AFF153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6DD037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7DBDAE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6AB45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095BD0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CD42348" w14:textId="77777777" w:rsidTr="001B330E">
        <w:trPr>
          <w:trHeight w:val="23"/>
        </w:trPr>
        <w:tc>
          <w:tcPr>
            <w:tcW w:w="1971" w:type="pct"/>
            <w:tcBorders>
              <w:bottom w:val="single" w:sz="4" w:space="0" w:color="000000"/>
            </w:tcBorders>
            <w:shd w:val="clear" w:color="auto" w:fill="auto"/>
            <w:vAlign w:val="bottom"/>
          </w:tcPr>
          <w:p w14:paraId="7665CDD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A963EF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0FA7AC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445C19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321BE9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09A5C4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A7A706E" w14:textId="77777777" w:rsidTr="001B330E">
        <w:trPr>
          <w:trHeight w:val="23"/>
        </w:trPr>
        <w:tc>
          <w:tcPr>
            <w:tcW w:w="1971" w:type="pct"/>
            <w:tcBorders>
              <w:top w:val="single" w:sz="4" w:space="0" w:color="000000"/>
            </w:tcBorders>
            <w:shd w:val="clear" w:color="auto" w:fill="auto"/>
            <w:vAlign w:val="bottom"/>
          </w:tcPr>
          <w:p w14:paraId="015A602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328116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32FCC8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BC6E41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828637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07D859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54A14BE" w14:textId="77777777" w:rsidTr="001B330E">
        <w:trPr>
          <w:trHeight w:val="23"/>
        </w:trPr>
        <w:tc>
          <w:tcPr>
            <w:tcW w:w="1971" w:type="pct"/>
            <w:shd w:val="clear" w:color="auto" w:fill="auto"/>
            <w:vAlign w:val="bottom"/>
          </w:tcPr>
          <w:p w14:paraId="26381AD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Including: credit loss allowance</w:t>
            </w:r>
          </w:p>
        </w:tc>
        <w:tc>
          <w:tcPr>
            <w:tcW w:w="606" w:type="pct"/>
            <w:vAlign w:val="bottom"/>
          </w:tcPr>
          <w:p w14:paraId="516B16C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456AF1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88899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12ECB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11508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E16993D" w14:textId="77777777" w:rsidTr="001B330E">
        <w:trPr>
          <w:trHeight w:val="23"/>
        </w:trPr>
        <w:tc>
          <w:tcPr>
            <w:tcW w:w="1971" w:type="pct"/>
            <w:shd w:val="clear" w:color="auto" w:fill="auto"/>
            <w:vAlign w:val="bottom"/>
          </w:tcPr>
          <w:p w14:paraId="660A997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fair value adjustment from AC to FV</w:t>
            </w:r>
          </w:p>
        </w:tc>
        <w:tc>
          <w:tcPr>
            <w:tcW w:w="606" w:type="pct"/>
            <w:vAlign w:val="bottom"/>
          </w:tcPr>
          <w:p w14:paraId="3FAF096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909A39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D4CD0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BC9D60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925115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C7C041A" w14:textId="77777777" w:rsidTr="001B330E">
        <w:trPr>
          <w:trHeight w:val="23"/>
        </w:trPr>
        <w:tc>
          <w:tcPr>
            <w:tcW w:w="1971" w:type="pct"/>
            <w:tcBorders>
              <w:bottom w:val="single" w:sz="4" w:space="0" w:color="000000"/>
            </w:tcBorders>
            <w:shd w:val="clear" w:color="auto" w:fill="auto"/>
            <w:vAlign w:val="bottom"/>
          </w:tcPr>
          <w:p w14:paraId="140164D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486885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8292B3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E6C1DB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4BC166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EB40DA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E6EFA68" w14:textId="77777777" w:rsidTr="001B330E">
        <w:trPr>
          <w:trHeight w:val="23"/>
        </w:trPr>
        <w:tc>
          <w:tcPr>
            <w:tcW w:w="1971" w:type="pct"/>
            <w:tcBorders>
              <w:top w:val="single" w:sz="4" w:space="0" w:color="000000"/>
            </w:tcBorders>
            <w:shd w:val="clear" w:color="auto" w:fill="auto"/>
            <w:vAlign w:val="bottom"/>
          </w:tcPr>
          <w:p w14:paraId="5CB623C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28743F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A4716D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4436A0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94866E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9A0F1F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A9917B3" w14:textId="77777777" w:rsidTr="001B330E">
        <w:trPr>
          <w:trHeight w:val="23"/>
        </w:trPr>
        <w:tc>
          <w:tcPr>
            <w:tcW w:w="1971" w:type="pct"/>
            <w:shd w:val="clear" w:color="auto" w:fill="auto"/>
            <w:vAlign w:val="bottom"/>
          </w:tcPr>
          <w:p w14:paraId="52891650"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value (fair value)</w:t>
            </w:r>
          </w:p>
        </w:tc>
        <w:tc>
          <w:tcPr>
            <w:tcW w:w="606" w:type="pct"/>
            <w:vAlign w:val="bottom"/>
          </w:tcPr>
          <w:p w14:paraId="7029CD2E" w14:textId="77777777" w:rsidR="00D83E33" w:rsidRPr="00E837F2" w:rsidRDefault="00D83E33" w:rsidP="001B330E">
            <w:pPr>
              <w:widowControl w:val="0"/>
              <w:pBdr>
                <w:top w:val="nil"/>
                <w:left w:val="nil"/>
                <w:bottom w:val="nil"/>
                <w:right w:val="nil"/>
                <w:between w:val="nil"/>
              </w:pBdr>
              <w:jc w:val="right"/>
              <w:rPr>
                <w:b/>
                <w:color w:val="000000"/>
              </w:rPr>
            </w:pPr>
          </w:p>
        </w:tc>
        <w:tc>
          <w:tcPr>
            <w:tcW w:w="606" w:type="pct"/>
            <w:vAlign w:val="bottom"/>
          </w:tcPr>
          <w:p w14:paraId="0EB160EA"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45DFA695"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30067719"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0313D32D"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26A5D80A" w14:textId="77777777" w:rsidTr="001B330E">
        <w:trPr>
          <w:trHeight w:val="23"/>
        </w:trPr>
        <w:tc>
          <w:tcPr>
            <w:tcW w:w="1971" w:type="pct"/>
            <w:tcBorders>
              <w:bottom w:val="single" w:sz="12" w:space="0" w:color="000000"/>
            </w:tcBorders>
            <w:shd w:val="clear" w:color="auto" w:fill="auto"/>
            <w:vAlign w:val="bottom"/>
          </w:tcPr>
          <w:p w14:paraId="4E2F0A4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7DA9B42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27254F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732D5D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443271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F3EC8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235C15" w14:textId="77777777" w:rsidTr="001B330E">
        <w:trPr>
          <w:trHeight w:val="23"/>
        </w:trPr>
        <w:tc>
          <w:tcPr>
            <w:tcW w:w="1971" w:type="pct"/>
            <w:tcBorders>
              <w:top w:val="single" w:sz="4" w:space="0" w:color="000000"/>
            </w:tcBorders>
            <w:shd w:val="clear" w:color="auto" w:fill="auto"/>
            <w:vAlign w:val="bottom"/>
          </w:tcPr>
          <w:p w14:paraId="435DB1D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shd w:val="clear" w:color="auto" w:fill="auto"/>
            <w:vAlign w:val="bottom"/>
          </w:tcPr>
          <w:p w14:paraId="7C7CD73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C58CC0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597A57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5B3DBA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FFDDD6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B82B6A" w14:textId="77777777" w:rsidTr="001B330E">
        <w:trPr>
          <w:trHeight w:val="23"/>
        </w:trPr>
        <w:tc>
          <w:tcPr>
            <w:tcW w:w="1971" w:type="pct"/>
            <w:shd w:val="clear" w:color="auto" w:fill="auto"/>
            <w:vAlign w:val="bottom"/>
          </w:tcPr>
          <w:p w14:paraId="3C907D27"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investments in debt securities at FVOCI sold under sale and repurchase agreements (fair value)</w:t>
            </w:r>
          </w:p>
        </w:tc>
        <w:tc>
          <w:tcPr>
            <w:tcW w:w="606" w:type="pct"/>
            <w:shd w:val="clear" w:color="auto" w:fill="auto"/>
            <w:vAlign w:val="bottom"/>
          </w:tcPr>
          <w:p w14:paraId="0E1E0DC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02244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3704C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4BFDEC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FD1410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E01989D" w14:textId="77777777" w:rsidTr="001B330E">
        <w:trPr>
          <w:trHeight w:val="23"/>
        </w:trPr>
        <w:tc>
          <w:tcPr>
            <w:tcW w:w="1971" w:type="pct"/>
            <w:tcBorders>
              <w:bottom w:val="single" w:sz="12" w:space="0" w:color="000000"/>
            </w:tcBorders>
            <w:shd w:val="clear" w:color="auto" w:fill="auto"/>
            <w:vAlign w:val="bottom"/>
          </w:tcPr>
          <w:p w14:paraId="0966701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606" w:type="pct"/>
            <w:tcBorders>
              <w:bottom w:val="single" w:sz="12" w:space="0" w:color="000000"/>
            </w:tcBorders>
            <w:shd w:val="clear" w:color="auto" w:fill="auto"/>
            <w:vAlign w:val="bottom"/>
          </w:tcPr>
          <w:p w14:paraId="39E7732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F3A8E7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478548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174EBAA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25B275B" w14:textId="77777777" w:rsidR="00D83E33" w:rsidRPr="00E837F2" w:rsidRDefault="00D83E33">
            <w:pPr>
              <w:widowControl w:val="0"/>
              <w:pBdr>
                <w:top w:val="nil"/>
                <w:left w:val="nil"/>
                <w:bottom w:val="nil"/>
                <w:right w:val="nil"/>
                <w:between w:val="nil"/>
              </w:pBdr>
              <w:jc w:val="right"/>
              <w:rPr>
                <w:color w:val="000000"/>
              </w:rPr>
            </w:pPr>
          </w:p>
        </w:tc>
      </w:tr>
    </w:tbl>
    <w:p w14:paraId="612349BA" w14:textId="5BD28F67" w:rsidR="00D83E33" w:rsidRDefault="00BC4072" w:rsidP="001B330E">
      <w:pPr>
        <w:pStyle w:val="Continued"/>
      </w:pPr>
      <w:r>
        <w:lastRenderedPageBreak/>
        <w:t>12</w:t>
      </w:r>
      <w:r>
        <w:tab/>
        <w:t>Repurchase Receivables (Continued)</w:t>
      </w:r>
    </w:p>
    <w:p w14:paraId="21D04C33" w14:textId="2B2A0B0D"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Analysis by credit quality of debt securities at AC that were transferred in a sale and repurchase agreement is as follows at 31</w:t>
      </w:r>
      <w:r w:rsidR="00181687">
        <w:rPr>
          <w:color w:val="000000"/>
          <w:sz w:val="20"/>
          <w:szCs w:val="20"/>
        </w:rPr>
        <w:t> December </w:t>
      </w:r>
      <w:r w:rsidR="00541EBC">
        <w:rPr>
          <w:color w:val="000000"/>
          <w:sz w:val="20"/>
          <w:szCs w:val="20"/>
        </w:rPr>
        <w:t>2024</w:t>
      </w:r>
      <w:r>
        <w:rPr>
          <w:color w:val="000000"/>
          <w:sz w:val="20"/>
          <w:szCs w:val="20"/>
        </w:rPr>
        <w:t>.</w:t>
      </w:r>
    </w:p>
    <w:tbl>
      <w:tblPr>
        <w:tblStyle w:val="afffffff0"/>
        <w:tblW w:w="5000" w:type="pct"/>
        <w:tblLayout w:type="fixed"/>
        <w:tblLook w:val="0000" w:firstRow="0" w:lastRow="0" w:firstColumn="0" w:lastColumn="0" w:noHBand="0" w:noVBand="0"/>
      </w:tblPr>
      <w:tblGrid>
        <w:gridCol w:w="3689"/>
        <w:gridCol w:w="1134"/>
        <w:gridCol w:w="1134"/>
        <w:gridCol w:w="1134"/>
        <w:gridCol w:w="1134"/>
        <w:gridCol w:w="1130"/>
      </w:tblGrid>
      <w:tr w:rsidR="00D83E33" w:rsidRPr="00E837F2" w14:paraId="45A2F8FA" w14:textId="77777777" w:rsidTr="00372E26">
        <w:trPr>
          <w:trHeight w:val="23"/>
        </w:trPr>
        <w:tc>
          <w:tcPr>
            <w:tcW w:w="1972" w:type="pct"/>
            <w:tcBorders>
              <w:bottom w:val="single" w:sz="4" w:space="0" w:color="000000"/>
            </w:tcBorders>
            <w:shd w:val="clear" w:color="auto" w:fill="auto"/>
            <w:vAlign w:val="bottom"/>
          </w:tcPr>
          <w:p w14:paraId="4F07FC05" w14:textId="2496F9D2"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005C2E34" w14:textId="5856113B"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1</w:t>
            </w:r>
          </w:p>
          <w:p w14:paraId="6B6520F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shd w:val="clear" w:color="auto" w:fill="auto"/>
          </w:tcPr>
          <w:p w14:paraId="21AE4D52"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36D8FD75" w14:textId="78DFD820"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SICR)</w:t>
            </w:r>
          </w:p>
        </w:tc>
        <w:tc>
          <w:tcPr>
            <w:tcW w:w="606" w:type="pct"/>
            <w:tcBorders>
              <w:bottom w:val="single" w:sz="4" w:space="0" w:color="000000"/>
            </w:tcBorders>
            <w:shd w:val="clear" w:color="auto" w:fill="auto"/>
          </w:tcPr>
          <w:p w14:paraId="3D8053F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7F21D1C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4F793E6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4" w:type="pct"/>
            <w:tcBorders>
              <w:bottom w:val="single" w:sz="4" w:space="0" w:color="000000"/>
            </w:tcBorders>
            <w:shd w:val="clear" w:color="auto" w:fill="auto"/>
          </w:tcPr>
          <w:p w14:paraId="795B7BA2"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0815D712" w14:textId="77777777" w:rsidTr="00372E26">
        <w:trPr>
          <w:trHeight w:val="23"/>
        </w:trPr>
        <w:tc>
          <w:tcPr>
            <w:tcW w:w="1972" w:type="pct"/>
            <w:shd w:val="clear" w:color="auto" w:fill="auto"/>
            <w:vAlign w:val="bottom"/>
          </w:tcPr>
          <w:p w14:paraId="183663DE" w14:textId="77777777" w:rsidR="00D83E33" w:rsidRPr="00E837F2" w:rsidRDefault="00D83E33" w:rsidP="001B330E">
            <w:pPr>
              <w:widowControl w:val="0"/>
              <w:ind w:left="113" w:hanging="113"/>
            </w:pPr>
          </w:p>
        </w:tc>
        <w:tc>
          <w:tcPr>
            <w:tcW w:w="606" w:type="pct"/>
            <w:shd w:val="clear" w:color="auto" w:fill="auto"/>
            <w:vAlign w:val="bottom"/>
          </w:tcPr>
          <w:p w14:paraId="79A1F55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4E059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38420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248C7EC"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1D2AA55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AFB40D9" w14:textId="77777777" w:rsidTr="00372E26">
        <w:trPr>
          <w:trHeight w:val="23"/>
        </w:trPr>
        <w:tc>
          <w:tcPr>
            <w:tcW w:w="1972" w:type="pct"/>
            <w:shd w:val="clear" w:color="auto" w:fill="auto"/>
            <w:vAlign w:val="bottom"/>
          </w:tcPr>
          <w:p w14:paraId="48E8868F" w14:textId="15BF826E" w:rsidR="00D83E33" w:rsidRPr="00E837F2" w:rsidRDefault="00372E26" w:rsidP="001B330E">
            <w:pPr>
              <w:widowControl w:val="0"/>
              <w:pBdr>
                <w:top w:val="nil"/>
                <w:left w:val="nil"/>
                <w:bottom w:val="nil"/>
                <w:right w:val="nil"/>
                <w:between w:val="nil"/>
              </w:pBdr>
              <w:ind w:left="113" w:hanging="113"/>
              <w:rPr>
                <w:b/>
                <w:color w:val="000000"/>
              </w:rPr>
            </w:pPr>
            <w:r>
              <w:rPr>
                <w:b/>
                <w:i/>
                <w:color w:val="000000"/>
              </w:rPr>
              <w:t>[Country]</w:t>
            </w:r>
            <w:r w:rsidR="00BC4072" w:rsidRPr="00E837F2">
              <w:rPr>
                <w:b/>
                <w:i/>
                <w:color w:val="000000"/>
              </w:rPr>
              <w:t xml:space="preserve"> government bonds</w:t>
            </w:r>
          </w:p>
        </w:tc>
        <w:tc>
          <w:tcPr>
            <w:tcW w:w="606" w:type="pct"/>
            <w:shd w:val="clear" w:color="auto" w:fill="auto"/>
            <w:vAlign w:val="bottom"/>
          </w:tcPr>
          <w:p w14:paraId="1B7EFE8F"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71F868EC"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61DE0FAE" w14:textId="77777777" w:rsidR="00D83E33" w:rsidRPr="00E837F2" w:rsidRDefault="00D83E33">
            <w:pPr>
              <w:widowControl w:val="0"/>
              <w:pBdr>
                <w:top w:val="nil"/>
                <w:left w:val="nil"/>
                <w:bottom w:val="nil"/>
                <w:right w:val="nil"/>
                <w:between w:val="nil"/>
              </w:pBdr>
              <w:jc w:val="right"/>
              <w:rPr>
                <w:b/>
                <w:color w:val="000000"/>
              </w:rPr>
            </w:pPr>
          </w:p>
        </w:tc>
        <w:tc>
          <w:tcPr>
            <w:tcW w:w="606" w:type="pct"/>
            <w:vAlign w:val="bottom"/>
          </w:tcPr>
          <w:p w14:paraId="1F0C806C" w14:textId="77777777" w:rsidR="00D83E33" w:rsidRPr="00E837F2" w:rsidRDefault="00D83E33">
            <w:pPr>
              <w:widowControl w:val="0"/>
              <w:pBdr>
                <w:top w:val="nil"/>
                <w:left w:val="nil"/>
                <w:bottom w:val="nil"/>
                <w:right w:val="nil"/>
                <w:between w:val="nil"/>
              </w:pBdr>
              <w:jc w:val="right"/>
              <w:rPr>
                <w:b/>
                <w:color w:val="000000"/>
              </w:rPr>
            </w:pPr>
          </w:p>
        </w:tc>
        <w:tc>
          <w:tcPr>
            <w:tcW w:w="604" w:type="pct"/>
            <w:shd w:val="clear" w:color="auto" w:fill="auto"/>
            <w:vAlign w:val="bottom"/>
          </w:tcPr>
          <w:p w14:paraId="3DA76C87"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2596ABB4" w14:textId="77777777" w:rsidTr="00372E26">
        <w:trPr>
          <w:trHeight w:val="23"/>
        </w:trPr>
        <w:tc>
          <w:tcPr>
            <w:tcW w:w="1972" w:type="pct"/>
            <w:shd w:val="clear" w:color="auto" w:fill="auto"/>
            <w:vAlign w:val="bottom"/>
          </w:tcPr>
          <w:p w14:paraId="73F39B7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639F63B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4C154B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DB1C1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BD24A4B"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7D78FD3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9197423" w14:textId="77777777" w:rsidTr="00372E26">
        <w:trPr>
          <w:trHeight w:val="23"/>
        </w:trPr>
        <w:tc>
          <w:tcPr>
            <w:tcW w:w="1972" w:type="pct"/>
            <w:shd w:val="clear" w:color="auto" w:fill="auto"/>
            <w:vAlign w:val="bottom"/>
          </w:tcPr>
          <w:p w14:paraId="2045DCF4"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Excellent</w:t>
            </w:r>
          </w:p>
        </w:tc>
        <w:tc>
          <w:tcPr>
            <w:tcW w:w="606" w:type="pct"/>
            <w:shd w:val="clear" w:color="auto" w:fill="auto"/>
            <w:vAlign w:val="bottom"/>
          </w:tcPr>
          <w:p w14:paraId="333A37D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B7CD34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C1152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055E113"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69A8503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9897D7F" w14:textId="77777777" w:rsidTr="00372E26">
        <w:trPr>
          <w:trHeight w:val="23"/>
        </w:trPr>
        <w:tc>
          <w:tcPr>
            <w:tcW w:w="1972" w:type="pct"/>
            <w:shd w:val="clear" w:color="auto" w:fill="auto"/>
            <w:vAlign w:val="bottom"/>
          </w:tcPr>
          <w:p w14:paraId="60896B15"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Good</w:t>
            </w:r>
          </w:p>
        </w:tc>
        <w:tc>
          <w:tcPr>
            <w:tcW w:w="606" w:type="pct"/>
            <w:shd w:val="clear" w:color="auto" w:fill="auto"/>
            <w:vAlign w:val="bottom"/>
          </w:tcPr>
          <w:p w14:paraId="12DDF4F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0ACC7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52E84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4A650C6"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5B75995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3A29CDA" w14:textId="77777777" w:rsidTr="00372E26">
        <w:trPr>
          <w:trHeight w:val="23"/>
        </w:trPr>
        <w:tc>
          <w:tcPr>
            <w:tcW w:w="1972" w:type="pct"/>
            <w:shd w:val="clear" w:color="auto" w:fill="auto"/>
            <w:vAlign w:val="bottom"/>
          </w:tcPr>
          <w:p w14:paraId="3AA03C84"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Satisfactory</w:t>
            </w:r>
          </w:p>
        </w:tc>
        <w:tc>
          <w:tcPr>
            <w:tcW w:w="606" w:type="pct"/>
            <w:shd w:val="clear" w:color="auto" w:fill="auto"/>
            <w:vAlign w:val="bottom"/>
          </w:tcPr>
          <w:p w14:paraId="303E637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7A284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678B5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859BC95"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35A4858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87EF643" w14:textId="77777777" w:rsidTr="00372E26">
        <w:trPr>
          <w:trHeight w:val="23"/>
        </w:trPr>
        <w:tc>
          <w:tcPr>
            <w:tcW w:w="1972" w:type="pct"/>
            <w:tcBorders>
              <w:bottom w:val="single" w:sz="4" w:space="0" w:color="000000"/>
            </w:tcBorders>
            <w:shd w:val="clear" w:color="auto" w:fill="auto"/>
            <w:vAlign w:val="bottom"/>
          </w:tcPr>
          <w:p w14:paraId="10681BC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4FD9CA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07038F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C473F3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4500941"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bottom w:val="single" w:sz="4" w:space="0" w:color="000000"/>
            </w:tcBorders>
            <w:shd w:val="clear" w:color="auto" w:fill="auto"/>
            <w:vAlign w:val="bottom"/>
          </w:tcPr>
          <w:p w14:paraId="5D7FBCE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D04607E" w14:textId="77777777" w:rsidTr="00372E26">
        <w:trPr>
          <w:trHeight w:val="23"/>
        </w:trPr>
        <w:tc>
          <w:tcPr>
            <w:tcW w:w="1972" w:type="pct"/>
            <w:tcBorders>
              <w:top w:val="single" w:sz="4" w:space="0" w:color="000000"/>
            </w:tcBorders>
            <w:shd w:val="clear" w:color="auto" w:fill="auto"/>
            <w:vAlign w:val="bottom"/>
          </w:tcPr>
          <w:p w14:paraId="09BA23F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503448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967C70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D4C34C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F91CE8C"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top w:val="single" w:sz="4" w:space="0" w:color="000000"/>
            </w:tcBorders>
            <w:shd w:val="clear" w:color="auto" w:fill="auto"/>
            <w:vAlign w:val="bottom"/>
          </w:tcPr>
          <w:p w14:paraId="57ADAE4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43C8D80" w14:textId="77777777" w:rsidTr="00372E26">
        <w:trPr>
          <w:trHeight w:val="23"/>
        </w:trPr>
        <w:tc>
          <w:tcPr>
            <w:tcW w:w="1972" w:type="pct"/>
            <w:shd w:val="clear" w:color="auto" w:fill="auto"/>
            <w:vAlign w:val="bottom"/>
          </w:tcPr>
          <w:p w14:paraId="6BF6952B"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6DC572D4"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AD3118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54FC4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600B03"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2893414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EF7BDAE" w14:textId="77777777" w:rsidTr="00372E26">
        <w:trPr>
          <w:trHeight w:val="23"/>
        </w:trPr>
        <w:tc>
          <w:tcPr>
            <w:tcW w:w="1972" w:type="pct"/>
            <w:tcBorders>
              <w:bottom w:val="single" w:sz="4" w:space="0" w:color="000000"/>
            </w:tcBorders>
            <w:shd w:val="clear" w:color="auto" w:fill="auto"/>
            <w:vAlign w:val="bottom"/>
          </w:tcPr>
          <w:p w14:paraId="120D244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D352A7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BAA979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A86EB9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50A3C8F"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bottom w:val="single" w:sz="4" w:space="0" w:color="000000"/>
            </w:tcBorders>
            <w:shd w:val="clear" w:color="auto" w:fill="auto"/>
            <w:vAlign w:val="bottom"/>
          </w:tcPr>
          <w:p w14:paraId="14C1EEE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9E244D7" w14:textId="77777777" w:rsidTr="00372E26">
        <w:trPr>
          <w:trHeight w:val="23"/>
        </w:trPr>
        <w:tc>
          <w:tcPr>
            <w:tcW w:w="1972" w:type="pct"/>
            <w:tcBorders>
              <w:top w:val="single" w:sz="4" w:space="0" w:color="000000"/>
            </w:tcBorders>
            <w:shd w:val="clear" w:color="auto" w:fill="auto"/>
            <w:vAlign w:val="bottom"/>
          </w:tcPr>
          <w:p w14:paraId="3134B64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E414AD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9E1B2F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29A72F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A381B2F"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top w:val="single" w:sz="4" w:space="0" w:color="000000"/>
            </w:tcBorders>
            <w:shd w:val="clear" w:color="auto" w:fill="auto"/>
            <w:vAlign w:val="bottom"/>
          </w:tcPr>
          <w:p w14:paraId="7577A42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445D90C" w14:textId="77777777" w:rsidTr="00372E26">
        <w:trPr>
          <w:trHeight w:val="23"/>
        </w:trPr>
        <w:tc>
          <w:tcPr>
            <w:tcW w:w="1972" w:type="pct"/>
            <w:shd w:val="clear" w:color="auto" w:fill="auto"/>
            <w:vAlign w:val="bottom"/>
          </w:tcPr>
          <w:p w14:paraId="4877B49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3356C49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22C0AB4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767A4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3E19A9"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496B4BC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1F4E3DB" w14:textId="77777777" w:rsidTr="00372E26">
        <w:trPr>
          <w:trHeight w:val="23"/>
        </w:trPr>
        <w:tc>
          <w:tcPr>
            <w:tcW w:w="1972" w:type="pct"/>
            <w:shd w:val="clear" w:color="auto" w:fill="auto"/>
            <w:vAlign w:val="bottom"/>
          </w:tcPr>
          <w:p w14:paraId="76A4621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1B54308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7D65DA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D2678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DAFD9D"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734039C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EA04246" w14:textId="77777777" w:rsidTr="00372E26">
        <w:trPr>
          <w:trHeight w:val="23"/>
        </w:trPr>
        <w:tc>
          <w:tcPr>
            <w:tcW w:w="1972" w:type="pct"/>
            <w:tcBorders>
              <w:top w:val="single" w:sz="4" w:space="0" w:color="000000"/>
            </w:tcBorders>
            <w:shd w:val="clear" w:color="auto" w:fill="auto"/>
            <w:vAlign w:val="bottom"/>
          </w:tcPr>
          <w:p w14:paraId="2AD5FF5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EB1314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EBB5F2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53D70F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124B1B6"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top w:val="single" w:sz="4" w:space="0" w:color="000000"/>
            </w:tcBorders>
            <w:shd w:val="clear" w:color="auto" w:fill="auto"/>
            <w:vAlign w:val="bottom"/>
          </w:tcPr>
          <w:p w14:paraId="27C2937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D021384" w14:textId="77777777" w:rsidTr="00372E26">
        <w:trPr>
          <w:trHeight w:val="23"/>
        </w:trPr>
        <w:tc>
          <w:tcPr>
            <w:tcW w:w="1972" w:type="pct"/>
            <w:shd w:val="clear" w:color="auto" w:fill="auto"/>
            <w:vAlign w:val="bottom"/>
          </w:tcPr>
          <w:p w14:paraId="151B75E9"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5987367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342919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BD7ED1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AFCE78"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0490AB2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A421E58" w14:textId="77777777" w:rsidTr="00372E26">
        <w:trPr>
          <w:trHeight w:val="23"/>
        </w:trPr>
        <w:tc>
          <w:tcPr>
            <w:tcW w:w="1972" w:type="pct"/>
            <w:tcBorders>
              <w:bottom w:val="single" w:sz="12" w:space="0" w:color="000000"/>
            </w:tcBorders>
            <w:shd w:val="clear" w:color="auto" w:fill="auto"/>
            <w:vAlign w:val="bottom"/>
          </w:tcPr>
          <w:p w14:paraId="13B3727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663B0BF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2468FD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809232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195F578"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bottom w:val="single" w:sz="12" w:space="0" w:color="000000"/>
            </w:tcBorders>
            <w:shd w:val="clear" w:color="auto" w:fill="auto"/>
            <w:vAlign w:val="bottom"/>
          </w:tcPr>
          <w:p w14:paraId="30F6E1D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CA550F6" w14:textId="77777777" w:rsidTr="00372E26">
        <w:trPr>
          <w:trHeight w:val="23"/>
        </w:trPr>
        <w:tc>
          <w:tcPr>
            <w:tcW w:w="1972" w:type="pct"/>
            <w:shd w:val="clear" w:color="auto" w:fill="auto"/>
            <w:vAlign w:val="bottom"/>
          </w:tcPr>
          <w:p w14:paraId="005A6F8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2876211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E0DB1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B41876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BF52F6B"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38291F5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880EA29" w14:textId="77777777" w:rsidTr="00372E26">
        <w:trPr>
          <w:trHeight w:val="23"/>
        </w:trPr>
        <w:tc>
          <w:tcPr>
            <w:tcW w:w="1972" w:type="pct"/>
            <w:shd w:val="clear" w:color="auto" w:fill="auto"/>
            <w:vAlign w:val="bottom"/>
          </w:tcPr>
          <w:p w14:paraId="0D1FB1D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Municipal bonds</w:t>
            </w:r>
          </w:p>
        </w:tc>
        <w:tc>
          <w:tcPr>
            <w:tcW w:w="606" w:type="pct"/>
            <w:shd w:val="clear" w:color="auto" w:fill="auto"/>
            <w:vAlign w:val="bottom"/>
          </w:tcPr>
          <w:p w14:paraId="13F6D2C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0133A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273DD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87C7FE1"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1B42B0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BF08805" w14:textId="77777777" w:rsidTr="00372E26">
        <w:trPr>
          <w:trHeight w:val="23"/>
        </w:trPr>
        <w:tc>
          <w:tcPr>
            <w:tcW w:w="1972" w:type="pct"/>
            <w:shd w:val="clear" w:color="auto" w:fill="auto"/>
            <w:vAlign w:val="bottom"/>
          </w:tcPr>
          <w:p w14:paraId="34A416C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160A17F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C45885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8C3AE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8BBE2AB"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6AF3898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E80EB13" w14:textId="77777777" w:rsidTr="00372E26">
        <w:trPr>
          <w:trHeight w:val="23"/>
        </w:trPr>
        <w:tc>
          <w:tcPr>
            <w:tcW w:w="1972" w:type="pct"/>
            <w:shd w:val="clear" w:color="auto" w:fill="auto"/>
            <w:vAlign w:val="bottom"/>
          </w:tcPr>
          <w:p w14:paraId="759ED84B"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Excellent</w:t>
            </w:r>
          </w:p>
        </w:tc>
        <w:tc>
          <w:tcPr>
            <w:tcW w:w="606" w:type="pct"/>
            <w:shd w:val="clear" w:color="auto" w:fill="auto"/>
            <w:vAlign w:val="bottom"/>
          </w:tcPr>
          <w:p w14:paraId="69DCA31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0698E4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C8453B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B8BB0F2"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391039A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A2DCCA0" w14:textId="77777777" w:rsidTr="00372E26">
        <w:trPr>
          <w:trHeight w:val="23"/>
        </w:trPr>
        <w:tc>
          <w:tcPr>
            <w:tcW w:w="1972" w:type="pct"/>
            <w:shd w:val="clear" w:color="auto" w:fill="auto"/>
            <w:vAlign w:val="bottom"/>
          </w:tcPr>
          <w:p w14:paraId="72C71A35"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Good</w:t>
            </w:r>
          </w:p>
        </w:tc>
        <w:tc>
          <w:tcPr>
            <w:tcW w:w="606" w:type="pct"/>
            <w:shd w:val="clear" w:color="auto" w:fill="auto"/>
            <w:vAlign w:val="bottom"/>
          </w:tcPr>
          <w:p w14:paraId="5B45491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C117EC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6394B1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F02B767"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1642C28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C393C95" w14:textId="77777777" w:rsidTr="00372E26">
        <w:trPr>
          <w:trHeight w:val="23"/>
        </w:trPr>
        <w:tc>
          <w:tcPr>
            <w:tcW w:w="1972" w:type="pct"/>
            <w:shd w:val="clear" w:color="auto" w:fill="auto"/>
            <w:vAlign w:val="bottom"/>
          </w:tcPr>
          <w:p w14:paraId="6A0FDB35"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Satisfactory</w:t>
            </w:r>
          </w:p>
        </w:tc>
        <w:tc>
          <w:tcPr>
            <w:tcW w:w="606" w:type="pct"/>
            <w:shd w:val="clear" w:color="auto" w:fill="auto"/>
            <w:vAlign w:val="bottom"/>
          </w:tcPr>
          <w:p w14:paraId="7D596C3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99BD1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F81B4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73A8F24"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3C921B9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3A9F177" w14:textId="77777777" w:rsidTr="00372E26">
        <w:trPr>
          <w:trHeight w:val="23"/>
        </w:trPr>
        <w:tc>
          <w:tcPr>
            <w:tcW w:w="1972" w:type="pct"/>
            <w:shd w:val="clear" w:color="auto" w:fill="auto"/>
            <w:vAlign w:val="bottom"/>
          </w:tcPr>
          <w:p w14:paraId="4AD5F9F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0DE370C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969E89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0CDD7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B982A2B"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27967F9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E91DB85" w14:textId="77777777" w:rsidTr="00372E26">
        <w:trPr>
          <w:trHeight w:val="23"/>
        </w:trPr>
        <w:tc>
          <w:tcPr>
            <w:tcW w:w="1972" w:type="pct"/>
            <w:shd w:val="clear" w:color="auto" w:fill="auto"/>
            <w:vAlign w:val="bottom"/>
          </w:tcPr>
          <w:p w14:paraId="39A136C0"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Default</w:t>
            </w:r>
          </w:p>
        </w:tc>
        <w:tc>
          <w:tcPr>
            <w:tcW w:w="606" w:type="pct"/>
            <w:shd w:val="clear" w:color="auto" w:fill="auto"/>
            <w:vAlign w:val="bottom"/>
          </w:tcPr>
          <w:p w14:paraId="78BE396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ACA2C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ED39B4"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0CB9BEF"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4E2A0F1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CAB76CF" w14:textId="77777777" w:rsidTr="00372E26">
        <w:trPr>
          <w:trHeight w:val="23"/>
        </w:trPr>
        <w:tc>
          <w:tcPr>
            <w:tcW w:w="1972" w:type="pct"/>
            <w:tcBorders>
              <w:bottom w:val="single" w:sz="4" w:space="0" w:color="000000"/>
            </w:tcBorders>
            <w:shd w:val="clear" w:color="auto" w:fill="auto"/>
            <w:vAlign w:val="bottom"/>
          </w:tcPr>
          <w:p w14:paraId="7C9F41F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4B1EFC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949744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1FF65D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DF3E2D2"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bottom w:val="single" w:sz="4" w:space="0" w:color="000000"/>
            </w:tcBorders>
            <w:shd w:val="clear" w:color="auto" w:fill="auto"/>
            <w:vAlign w:val="bottom"/>
          </w:tcPr>
          <w:p w14:paraId="20515EB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96515AA" w14:textId="77777777" w:rsidTr="00372E26">
        <w:trPr>
          <w:trHeight w:val="23"/>
        </w:trPr>
        <w:tc>
          <w:tcPr>
            <w:tcW w:w="1972" w:type="pct"/>
            <w:tcBorders>
              <w:top w:val="single" w:sz="4" w:space="0" w:color="000000"/>
            </w:tcBorders>
            <w:shd w:val="clear" w:color="auto" w:fill="auto"/>
            <w:vAlign w:val="bottom"/>
          </w:tcPr>
          <w:p w14:paraId="08F9C55C"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1150C1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F7E055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09F573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BE26BF7"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top w:val="single" w:sz="4" w:space="0" w:color="000000"/>
            </w:tcBorders>
            <w:shd w:val="clear" w:color="auto" w:fill="auto"/>
            <w:vAlign w:val="bottom"/>
          </w:tcPr>
          <w:p w14:paraId="6854D46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5A7ACE0" w14:textId="77777777" w:rsidTr="00372E26">
        <w:trPr>
          <w:trHeight w:val="23"/>
        </w:trPr>
        <w:tc>
          <w:tcPr>
            <w:tcW w:w="1972" w:type="pct"/>
            <w:shd w:val="clear" w:color="auto" w:fill="auto"/>
            <w:vAlign w:val="bottom"/>
          </w:tcPr>
          <w:p w14:paraId="55FCCE9B"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5E8F04D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FB8D77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2DB3C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1570687"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72A2411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A8B79B8" w14:textId="77777777" w:rsidTr="00372E26">
        <w:trPr>
          <w:trHeight w:val="23"/>
        </w:trPr>
        <w:tc>
          <w:tcPr>
            <w:tcW w:w="1972" w:type="pct"/>
            <w:tcBorders>
              <w:bottom w:val="single" w:sz="4" w:space="0" w:color="000000"/>
            </w:tcBorders>
            <w:shd w:val="clear" w:color="auto" w:fill="auto"/>
            <w:vAlign w:val="bottom"/>
          </w:tcPr>
          <w:p w14:paraId="1C9FFD1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40BD54E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A6E7A2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B5032E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EBCDB5A"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bottom w:val="single" w:sz="4" w:space="0" w:color="000000"/>
            </w:tcBorders>
            <w:shd w:val="clear" w:color="auto" w:fill="auto"/>
            <w:vAlign w:val="bottom"/>
          </w:tcPr>
          <w:p w14:paraId="7E37B79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12135AD" w14:textId="77777777" w:rsidTr="00372E26">
        <w:trPr>
          <w:trHeight w:val="23"/>
        </w:trPr>
        <w:tc>
          <w:tcPr>
            <w:tcW w:w="1972" w:type="pct"/>
            <w:tcBorders>
              <w:top w:val="single" w:sz="4" w:space="0" w:color="000000"/>
            </w:tcBorders>
            <w:shd w:val="clear" w:color="auto" w:fill="auto"/>
            <w:vAlign w:val="bottom"/>
          </w:tcPr>
          <w:p w14:paraId="13C95B8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EC992D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613873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6382B6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3E57B50"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top w:val="single" w:sz="4" w:space="0" w:color="000000"/>
            </w:tcBorders>
            <w:shd w:val="clear" w:color="auto" w:fill="auto"/>
            <w:vAlign w:val="bottom"/>
          </w:tcPr>
          <w:p w14:paraId="35B879B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E9CF7D9" w14:textId="77777777" w:rsidTr="00372E26">
        <w:trPr>
          <w:trHeight w:val="23"/>
        </w:trPr>
        <w:tc>
          <w:tcPr>
            <w:tcW w:w="1972" w:type="pct"/>
            <w:shd w:val="clear" w:color="auto" w:fill="auto"/>
            <w:vAlign w:val="bottom"/>
          </w:tcPr>
          <w:p w14:paraId="7214CE1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2332401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9D07BC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28821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128FAE"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5A1EE75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C053CE0" w14:textId="77777777" w:rsidTr="00372E26">
        <w:trPr>
          <w:trHeight w:val="23"/>
        </w:trPr>
        <w:tc>
          <w:tcPr>
            <w:tcW w:w="1972" w:type="pct"/>
            <w:shd w:val="clear" w:color="auto" w:fill="auto"/>
            <w:vAlign w:val="bottom"/>
          </w:tcPr>
          <w:p w14:paraId="16DD2F7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3E7327A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2C5CED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99D1AB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17E8E6"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5F4EC5C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1B31011" w14:textId="77777777" w:rsidTr="00372E26">
        <w:trPr>
          <w:trHeight w:val="23"/>
        </w:trPr>
        <w:tc>
          <w:tcPr>
            <w:tcW w:w="1972" w:type="pct"/>
            <w:tcBorders>
              <w:top w:val="single" w:sz="4" w:space="0" w:color="000000"/>
            </w:tcBorders>
            <w:shd w:val="clear" w:color="auto" w:fill="auto"/>
            <w:vAlign w:val="bottom"/>
          </w:tcPr>
          <w:p w14:paraId="1FFD4D5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38C04A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D9B478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914874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39651DB"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top w:val="single" w:sz="4" w:space="0" w:color="000000"/>
            </w:tcBorders>
            <w:shd w:val="clear" w:color="auto" w:fill="auto"/>
            <w:vAlign w:val="bottom"/>
          </w:tcPr>
          <w:p w14:paraId="68CF3F0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811665B" w14:textId="77777777" w:rsidTr="00372E26">
        <w:trPr>
          <w:trHeight w:val="23"/>
        </w:trPr>
        <w:tc>
          <w:tcPr>
            <w:tcW w:w="1972" w:type="pct"/>
            <w:shd w:val="clear" w:color="auto" w:fill="auto"/>
            <w:vAlign w:val="bottom"/>
          </w:tcPr>
          <w:p w14:paraId="7D7C5269"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2572784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37C6E6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7A3DA2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3F5E71B" w14:textId="77777777" w:rsidR="00D83E33" w:rsidRPr="00E837F2" w:rsidRDefault="00D83E33">
            <w:pPr>
              <w:widowControl w:val="0"/>
              <w:pBdr>
                <w:top w:val="nil"/>
                <w:left w:val="nil"/>
                <w:bottom w:val="nil"/>
                <w:right w:val="nil"/>
                <w:between w:val="nil"/>
              </w:pBdr>
              <w:jc w:val="right"/>
              <w:rPr>
                <w:color w:val="000000"/>
              </w:rPr>
            </w:pPr>
          </w:p>
        </w:tc>
        <w:tc>
          <w:tcPr>
            <w:tcW w:w="604" w:type="pct"/>
            <w:shd w:val="clear" w:color="auto" w:fill="auto"/>
            <w:vAlign w:val="bottom"/>
          </w:tcPr>
          <w:p w14:paraId="3BAFF33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49B4FD" w14:textId="77777777" w:rsidTr="00372E26">
        <w:trPr>
          <w:trHeight w:val="23"/>
        </w:trPr>
        <w:tc>
          <w:tcPr>
            <w:tcW w:w="1972" w:type="pct"/>
            <w:tcBorders>
              <w:bottom w:val="single" w:sz="12" w:space="0" w:color="000000"/>
            </w:tcBorders>
            <w:shd w:val="clear" w:color="auto" w:fill="auto"/>
            <w:vAlign w:val="bottom"/>
          </w:tcPr>
          <w:p w14:paraId="7E909CC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0CDC6C5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F34456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357626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1A67B98E" w14:textId="77777777" w:rsidR="00D83E33" w:rsidRPr="00E837F2" w:rsidRDefault="00D83E33">
            <w:pPr>
              <w:widowControl w:val="0"/>
              <w:pBdr>
                <w:top w:val="nil"/>
                <w:left w:val="nil"/>
                <w:bottom w:val="nil"/>
                <w:right w:val="nil"/>
                <w:between w:val="nil"/>
              </w:pBdr>
              <w:jc w:val="right"/>
              <w:rPr>
                <w:color w:val="000000"/>
              </w:rPr>
            </w:pPr>
          </w:p>
        </w:tc>
        <w:tc>
          <w:tcPr>
            <w:tcW w:w="604" w:type="pct"/>
            <w:tcBorders>
              <w:bottom w:val="single" w:sz="12" w:space="0" w:color="000000"/>
            </w:tcBorders>
            <w:shd w:val="clear" w:color="auto" w:fill="auto"/>
            <w:vAlign w:val="bottom"/>
          </w:tcPr>
          <w:p w14:paraId="18463AC7" w14:textId="77777777" w:rsidR="00D83E33" w:rsidRPr="00E837F2" w:rsidRDefault="00D83E33">
            <w:pPr>
              <w:widowControl w:val="0"/>
              <w:pBdr>
                <w:top w:val="nil"/>
                <w:left w:val="nil"/>
                <w:bottom w:val="nil"/>
                <w:right w:val="nil"/>
                <w:between w:val="nil"/>
              </w:pBdr>
              <w:jc w:val="right"/>
              <w:rPr>
                <w:color w:val="000000"/>
              </w:rPr>
            </w:pPr>
          </w:p>
        </w:tc>
      </w:tr>
    </w:tbl>
    <w:p w14:paraId="7BB13FCC" w14:textId="6385E83E" w:rsidR="00D83E33" w:rsidRDefault="00BC4072" w:rsidP="001B330E">
      <w:pPr>
        <w:pStyle w:val="Continued"/>
      </w:pPr>
      <w:r>
        <w:lastRenderedPageBreak/>
        <w:t>12</w:t>
      </w:r>
      <w:r>
        <w:tab/>
        <w:t>Repurchase Receivables (Continued)</w:t>
      </w:r>
    </w:p>
    <w:tbl>
      <w:tblPr>
        <w:tblStyle w:val="afffffff1"/>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5E328867" w14:textId="77777777" w:rsidTr="001B330E">
        <w:trPr>
          <w:trHeight w:val="23"/>
        </w:trPr>
        <w:tc>
          <w:tcPr>
            <w:tcW w:w="1971" w:type="pct"/>
            <w:tcBorders>
              <w:bottom w:val="single" w:sz="4" w:space="0" w:color="000000"/>
            </w:tcBorders>
            <w:shd w:val="clear" w:color="auto" w:fill="auto"/>
            <w:vAlign w:val="bottom"/>
          </w:tcPr>
          <w:p w14:paraId="59E978E8" w14:textId="04433F59"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6CD04999"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0DA4735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shd w:val="clear" w:color="auto" w:fill="auto"/>
          </w:tcPr>
          <w:p w14:paraId="78E879EF"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099AB6AB" w14:textId="3E733FB5"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SICR)</w:t>
            </w:r>
          </w:p>
        </w:tc>
        <w:tc>
          <w:tcPr>
            <w:tcW w:w="606" w:type="pct"/>
            <w:tcBorders>
              <w:bottom w:val="single" w:sz="4" w:space="0" w:color="000000"/>
            </w:tcBorders>
            <w:shd w:val="clear" w:color="auto" w:fill="auto"/>
          </w:tcPr>
          <w:p w14:paraId="0F5E86E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38692787"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351E2BF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shd w:val="clear" w:color="auto" w:fill="auto"/>
          </w:tcPr>
          <w:p w14:paraId="6188F52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4BA53F91" w14:textId="77777777" w:rsidTr="001B330E">
        <w:trPr>
          <w:trHeight w:val="23"/>
        </w:trPr>
        <w:tc>
          <w:tcPr>
            <w:tcW w:w="1971" w:type="pct"/>
            <w:shd w:val="clear" w:color="auto" w:fill="auto"/>
            <w:vAlign w:val="bottom"/>
          </w:tcPr>
          <w:p w14:paraId="53A7B51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63DA9C0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A18C1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893C3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FD87B6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F02DB5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9BCB22" w14:textId="77777777" w:rsidTr="001B330E">
        <w:trPr>
          <w:trHeight w:val="23"/>
        </w:trPr>
        <w:tc>
          <w:tcPr>
            <w:tcW w:w="1971" w:type="pct"/>
            <w:shd w:val="clear" w:color="auto" w:fill="auto"/>
            <w:vAlign w:val="bottom"/>
          </w:tcPr>
          <w:p w14:paraId="1D8488E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Corporate bonds</w:t>
            </w:r>
          </w:p>
        </w:tc>
        <w:tc>
          <w:tcPr>
            <w:tcW w:w="606" w:type="pct"/>
            <w:shd w:val="clear" w:color="auto" w:fill="auto"/>
            <w:vAlign w:val="bottom"/>
          </w:tcPr>
          <w:p w14:paraId="0084B6A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E5ECE2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617603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9D3369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E2D89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291C680" w14:textId="77777777" w:rsidTr="001B330E">
        <w:trPr>
          <w:trHeight w:val="23"/>
        </w:trPr>
        <w:tc>
          <w:tcPr>
            <w:tcW w:w="1971" w:type="pct"/>
            <w:shd w:val="clear" w:color="auto" w:fill="auto"/>
            <w:vAlign w:val="bottom"/>
          </w:tcPr>
          <w:p w14:paraId="0ECCACA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5D071E5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249E0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CEDD3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3085D4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2EEE9F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030B8AB" w14:textId="77777777" w:rsidTr="001B330E">
        <w:trPr>
          <w:trHeight w:val="23"/>
        </w:trPr>
        <w:tc>
          <w:tcPr>
            <w:tcW w:w="1971" w:type="pct"/>
            <w:shd w:val="clear" w:color="auto" w:fill="auto"/>
            <w:vAlign w:val="bottom"/>
          </w:tcPr>
          <w:p w14:paraId="4D78F15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shd w:val="clear" w:color="auto" w:fill="auto"/>
            <w:vAlign w:val="bottom"/>
          </w:tcPr>
          <w:p w14:paraId="33CEB8F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C99F3C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92B022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1FE3D4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180AB1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AC8DC10" w14:textId="77777777" w:rsidTr="001B330E">
        <w:trPr>
          <w:trHeight w:val="23"/>
        </w:trPr>
        <w:tc>
          <w:tcPr>
            <w:tcW w:w="1971" w:type="pct"/>
            <w:shd w:val="clear" w:color="auto" w:fill="auto"/>
            <w:vAlign w:val="bottom"/>
          </w:tcPr>
          <w:p w14:paraId="18296931"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shd w:val="clear" w:color="auto" w:fill="auto"/>
            <w:vAlign w:val="bottom"/>
          </w:tcPr>
          <w:p w14:paraId="07B5340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D999EF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9758E2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DDB4F2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1775A1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F188ED1" w14:textId="77777777" w:rsidTr="001B330E">
        <w:trPr>
          <w:trHeight w:val="23"/>
        </w:trPr>
        <w:tc>
          <w:tcPr>
            <w:tcW w:w="1971" w:type="pct"/>
            <w:shd w:val="clear" w:color="auto" w:fill="auto"/>
            <w:vAlign w:val="bottom"/>
          </w:tcPr>
          <w:p w14:paraId="56AEF6E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shd w:val="clear" w:color="auto" w:fill="auto"/>
            <w:vAlign w:val="bottom"/>
          </w:tcPr>
          <w:p w14:paraId="1142D26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8DEAF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7BFF1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5F6DF4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AE0047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6CAF34F" w14:textId="77777777" w:rsidTr="001B330E">
        <w:trPr>
          <w:trHeight w:val="23"/>
        </w:trPr>
        <w:tc>
          <w:tcPr>
            <w:tcW w:w="1971" w:type="pct"/>
            <w:shd w:val="clear" w:color="auto" w:fill="auto"/>
            <w:vAlign w:val="bottom"/>
          </w:tcPr>
          <w:p w14:paraId="2C2BC13E"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25A12EC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8C7E8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DEF30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71D782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96731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B958B82" w14:textId="77777777" w:rsidTr="001B330E">
        <w:trPr>
          <w:trHeight w:val="23"/>
        </w:trPr>
        <w:tc>
          <w:tcPr>
            <w:tcW w:w="1971" w:type="pct"/>
            <w:shd w:val="clear" w:color="auto" w:fill="auto"/>
            <w:vAlign w:val="bottom"/>
          </w:tcPr>
          <w:p w14:paraId="32E4D40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shd w:val="clear" w:color="auto" w:fill="auto"/>
            <w:vAlign w:val="bottom"/>
          </w:tcPr>
          <w:p w14:paraId="0FA6B81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F1BA0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97B613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D4C277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92961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C84EF1D" w14:textId="77777777" w:rsidTr="001B330E">
        <w:trPr>
          <w:trHeight w:val="23"/>
        </w:trPr>
        <w:tc>
          <w:tcPr>
            <w:tcW w:w="1971" w:type="pct"/>
            <w:tcBorders>
              <w:bottom w:val="single" w:sz="4" w:space="0" w:color="000000"/>
            </w:tcBorders>
            <w:shd w:val="clear" w:color="auto" w:fill="auto"/>
            <w:vAlign w:val="bottom"/>
          </w:tcPr>
          <w:p w14:paraId="1315E42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49DF660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A5A89B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E62038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12E27E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2BDF5A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AAE4B91" w14:textId="77777777" w:rsidTr="001B330E">
        <w:trPr>
          <w:trHeight w:val="23"/>
        </w:trPr>
        <w:tc>
          <w:tcPr>
            <w:tcW w:w="1971" w:type="pct"/>
            <w:tcBorders>
              <w:top w:val="single" w:sz="4" w:space="0" w:color="000000"/>
            </w:tcBorders>
            <w:shd w:val="clear" w:color="auto" w:fill="auto"/>
            <w:vAlign w:val="bottom"/>
          </w:tcPr>
          <w:p w14:paraId="72D60C4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8A179A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5C4B35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620E8D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7928BC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C0A1AA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4CA1B91" w14:textId="77777777" w:rsidTr="001B330E">
        <w:trPr>
          <w:trHeight w:val="23"/>
        </w:trPr>
        <w:tc>
          <w:tcPr>
            <w:tcW w:w="1971" w:type="pct"/>
            <w:shd w:val="clear" w:color="auto" w:fill="auto"/>
            <w:vAlign w:val="bottom"/>
          </w:tcPr>
          <w:p w14:paraId="6B95E918"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711C1B6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E53342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05776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C2176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08058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46E8A22" w14:textId="77777777" w:rsidTr="001B330E">
        <w:trPr>
          <w:trHeight w:val="23"/>
        </w:trPr>
        <w:tc>
          <w:tcPr>
            <w:tcW w:w="1971" w:type="pct"/>
            <w:tcBorders>
              <w:bottom w:val="single" w:sz="4" w:space="0" w:color="000000"/>
            </w:tcBorders>
            <w:shd w:val="clear" w:color="auto" w:fill="auto"/>
            <w:vAlign w:val="bottom"/>
          </w:tcPr>
          <w:p w14:paraId="58902A4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2DB2736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2031F0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CCAF24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0BCEB8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AA559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4DA2BA7" w14:textId="77777777" w:rsidTr="001B330E">
        <w:trPr>
          <w:trHeight w:val="23"/>
        </w:trPr>
        <w:tc>
          <w:tcPr>
            <w:tcW w:w="1971" w:type="pct"/>
            <w:tcBorders>
              <w:top w:val="single" w:sz="4" w:space="0" w:color="000000"/>
            </w:tcBorders>
            <w:shd w:val="clear" w:color="auto" w:fill="auto"/>
            <w:vAlign w:val="bottom"/>
          </w:tcPr>
          <w:p w14:paraId="0FB6021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479CCC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FB17AC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6C1177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8AEEA6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963630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E3DC0BC" w14:textId="77777777" w:rsidTr="001B330E">
        <w:trPr>
          <w:trHeight w:val="23"/>
        </w:trPr>
        <w:tc>
          <w:tcPr>
            <w:tcW w:w="1971" w:type="pct"/>
            <w:shd w:val="clear" w:color="auto" w:fill="auto"/>
            <w:vAlign w:val="bottom"/>
          </w:tcPr>
          <w:p w14:paraId="50C97D0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5CCE942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7C16FD8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909F27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A6F2B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BAB85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4205335" w14:textId="77777777" w:rsidTr="001B330E">
        <w:trPr>
          <w:trHeight w:val="23"/>
        </w:trPr>
        <w:tc>
          <w:tcPr>
            <w:tcW w:w="1971" w:type="pct"/>
            <w:shd w:val="clear" w:color="auto" w:fill="auto"/>
            <w:vAlign w:val="bottom"/>
          </w:tcPr>
          <w:p w14:paraId="1217C6E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3535BD1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9A4184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743944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9D8FF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A8B47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C3F926A" w14:textId="77777777" w:rsidTr="001B330E">
        <w:trPr>
          <w:trHeight w:val="23"/>
        </w:trPr>
        <w:tc>
          <w:tcPr>
            <w:tcW w:w="1971" w:type="pct"/>
            <w:tcBorders>
              <w:top w:val="single" w:sz="4" w:space="0" w:color="000000"/>
            </w:tcBorders>
            <w:shd w:val="clear" w:color="auto" w:fill="auto"/>
            <w:vAlign w:val="bottom"/>
          </w:tcPr>
          <w:p w14:paraId="4724FC9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0FAC24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EFC426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E8C928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1DE43D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6DCB60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7685F68" w14:textId="77777777" w:rsidTr="001B330E">
        <w:trPr>
          <w:trHeight w:val="23"/>
        </w:trPr>
        <w:tc>
          <w:tcPr>
            <w:tcW w:w="1971" w:type="pct"/>
            <w:shd w:val="clear" w:color="auto" w:fill="auto"/>
            <w:vAlign w:val="bottom"/>
          </w:tcPr>
          <w:p w14:paraId="0DE0D9FB"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0617342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3375D1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FBB87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CE0770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436AE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B81CA79" w14:textId="77777777" w:rsidTr="001B330E">
        <w:trPr>
          <w:trHeight w:val="23"/>
        </w:trPr>
        <w:tc>
          <w:tcPr>
            <w:tcW w:w="1971" w:type="pct"/>
            <w:tcBorders>
              <w:bottom w:val="single" w:sz="12" w:space="0" w:color="000000"/>
            </w:tcBorders>
            <w:shd w:val="clear" w:color="auto" w:fill="auto"/>
            <w:vAlign w:val="bottom"/>
          </w:tcPr>
          <w:p w14:paraId="1A20E39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7AC6C96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72A4AB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C8037F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DEF425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ED0CE2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AD91A5C" w14:textId="77777777" w:rsidTr="001B330E">
        <w:trPr>
          <w:trHeight w:val="23"/>
        </w:trPr>
        <w:tc>
          <w:tcPr>
            <w:tcW w:w="1971" w:type="pct"/>
            <w:shd w:val="clear" w:color="auto" w:fill="auto"/>
            <w:vAlign w:val="bottom"/>
          </w:tcPr>
          <w:p w14:paraId="5D4133A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2968B57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106577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B575EA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D628D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EAB97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CCB48F0" w14:textId="77777777" w:rsidTr="001B330E">
        <w:trPr>
          <w:trHeight w:val="23"/>
        </w:trPr>
        <w:tc>
          <w:tcPr>
            <w:tcW w:w="1971" w:type="pct"/>
            <w:vAlign w:val="bottom"/>
          </w:tcPr>
          <w:p w14:paraId="75D5345A" w14:textId="64397568"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 xml:space="preserve">Promissory notes </w:t>
            </w:r>
          </w:p>
        </w:tc>
        <w:tc>
          <w:tcPr>
            <w:tcW w:w="606" w:type="pct"/>
            <w:vAlign w:val="bottom"/>
          </w:tcPr>
          <w:p w14:paraId="0F46677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FD1DE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71B5B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454CBD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1C4D3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5E7FAC6" w14:textId="77777777" w:rsidTr="001B330E">
        <w:trPr>
          <w:trHeight w:val="23"/>
        </w:trPr>
        <w:tc>
          <w:tcPr>
            <w:tcW w:w="1971" w:type="pct"/>
            <w:shd w:val="clear" w:color="auto" w:fill="auto"/>
            <w:vAlign w:val="bottom"/>
          </w:tcPr>
          <w:p w14:paraId="7DBA1918" w14:textId="77777777" w:rsidR="00D83E33" w:rsidRPr="00E837F2" w:rsidRDefault="00D83E33" w:rsidP="001B330E">
            <w:pPr>
              <w:widowControl w:val="0"/>
              <w:pBdr>
                <w:top w:val="nil"/>
                <w:left w:val="nil"/>
                <w:bottom w:val="nil"/>
                <w:right w:val="nil"/>
                <w:between w:val="nil"/>
              </w:pBdr>
              <w:ind w:left="113" w:hanging="113"/>
              <w:rPr>
                <w:b/>
                <w:i/>
                <w:color w:val="000000"/>
              </w:rPr>
            </w:pPr>
          </w:p>
        </w:tc>
        <w:tc>
          <w:tcPr>
            <w:tcW w:w="606" w:type="pct"/>
            <w:shd w:val="clear" w:color="auto" w:fill="auto"/>
            <w:vAlign w:val="bottom"/>
          </w:tcPr>
          <w:p w14:paraId="67619BDC" w14:textId="77777777" w:rsidR="00D83E33" w:rsidRPr="00E837F2" w:rsidRDefault="00D83E33" w:rsidP="001B330E">
            <w:pPr>
              <w:widowControl w:val="0"/>
              <w:jc w:val="right"/>
            </w:pPr>
          </w:p>
        </w:tc>
        <w:tc>
          <w:tcPr>
            <w:tcW w:w="606" w:type="pct"/>
            <w:shd w:val="clear" w:color="auto" w:fill="auto"/>
            <w:vAlign w:val="bottom"/>
          </w:tcPr>
          <w:p w14:paraId="26A547BA" w14:textId="77777777" w:rsidR="00D83E33" w:rsidRPr="00E837F2" w:rsidRDefault="00D83E33" w:rsidP="001B330E">
            <w:pPr>
              <w:widowControl w:val="0"/>
              <w:jc w:val="right"/>
            </w:pPr>
          </w:p>
        </w:tc>
        <w:tc>
          <w:tcPr>
            <w:tcW w:w="606" w:type="pct"/>
            <w:shd w:val="clear" w:color="auto" w:fill="auto"/>
            <w:vAlign w:val="bottom"/>
          </w:tcPr>
          <w:p w14:paraId="2DBD6744" w14:textId="77777777" w:rsidR="00D83E33" w:rsidRPr="00E837F2" w:rsidRDefault="00D83E33" w:rsidP="001B330E">
            <w:pPr>
              <w:widowControl w:val="0"/>
              <w:jc w:val="right"/>
            </w:pPr>
          </w:p>
        </w:tc>
        <w:tc>
          <w:tcPr>
            <w:tcW w:w="606" w:type="pct"/>
            <w:vAlign w:val="bottom"/>
          </w:tcPr>
          <w:p w14:paraId="562F5420" w14:textId="77777777" w:rsidR="00D83E33" w:rsidRPr="00E837F2" w:rsidRDefault="00D83E33" w:rsidP="001B330E">
            <w:pPr>
              <w:widowControl w:val="0"/>
              <w:jc w:val="right"/>
            </w:pPr>
          </w:p>
        </w:tc>
        <w:tc>
          <w:tcPr>
            <w:tcW w:w="606" w:type="pct"/>
            <w:shd w:val="clear" w:color="auto" w:fill="auto"/>
            <w:vAlign w:val="bottom"/>
          </w:tcPr>
          <w:p w14:paraId="70BB20D8" w14:textId="77777777" w:rsidR="00D83E33" w:rsidRPr="00E837F2" w:rsidRDefault="00D83E33" w:rsidP="001B330E">
            <w:pPr>
              <w:widowControl w:val="0"/>
              <w:jc w:val="right"/>
            </w:pPr>
          </w:p>
        </w:tc>
      </w:tr>
      <w:tr w:rsidR="00D83E33" w:rsidRPr="00E837F2" w14:paraId="1B74C5AC" w14:textId="77777777" w:rsidTr="001B330E">
        <w:trPr>
          <w:trHeight w:val="23"/>
        </w:trPr>
        <w:tc>
          <w:tcPr>
            <w:tcW w:w="1971" w:type="pct"/>
            <w:shd w:val="clear" w:color="auto" w:fill="auto"/>
            <w:vAlign w:val="bottom"/>
          </w:tcPr>
          <w:p w14:paraId="3F8C64F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shd w:val="clear" w:color="auto" w:fill="auto"/>
            <w:vAlign w:val="bottom"/>
          </w:tcPr>
          <w:p w14:paraId="0809DB7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35B44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052FE2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AEC4A7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F1E1E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0C56103" w14:textId="77777777" w:rsidTr="001B330E">
        <w:trPr>
          <w:trHeight w:val="23"/>
        </w:trPr>
        <w:tc>
          <w:tcPr>
            <w:tcW w:w="1971" w:type="pct"/>
            <w:shd w:val="clear" w:color="auto" w:fill="auto"/>
            <w:vAlign w:val="bottom"/>
          </w:tcPr>
          <w:p w14:paraId="69D00E0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shd w:val="clear" w:color="auto" w:fill="auto"/>
            <w:vAlign w:val="bottom"/>
          </w:tcPr>
          <w:p w14:paraId="6DB72BB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715BB8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7C87AD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11E796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244DB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985F93B" w14:textId="77777777" w:rsidTr="001B330E">
        <w:trPr>
          <w:trHeight w:val="23"/>
        </w:trPr>
        <w:tc>
          <w:tcPr>
            <w:tcW w:w="1971" w:type="pct"/>
            <w:shd w:val="clear" w:color="auto" w:fill="auto"/>
            <w:vAlign w:val="bottom"/>
          </w:tcPr>
          <w:p w14:paraId="2F275E2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shd w:val="clear" w:color="auto" w:fill="auto"/>
            <w:vAlign w:val="bottom"/>
          </w:tcPr>
          <w:p w14:paraId="14548CA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A50A1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8122F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D27DAB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CFEE43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CA83CDE" w14:textId="77777777" w:rsidTr="001B330E">
        <w:trPr>
          <w:trHeight w:val="23"/>
        </w:trPr>
        <w:tc>
          <w:tcPr>
            <w:tcW w:w="1971" w:type="pct"/>
            <w:shd w:val="clear" w:color="auto" w:fill="auto"/>
            <w:vAlign w:val="bottom"/>
          </w:tcPr>
          <w:p w14:paraId="53B731D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35FEC93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78FB0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41EA3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1C246A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1E0B6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3BBCC83" w14:textId="77777777" w:rsidTr="001B330E">
        <w:trPr>
          <w:trHeight w:val="23"/>
        </w:trPr>
        <w:tc>
          <w:tcPr>
            <w:tcW w:w="1971" w:type="pct"/>
            <w:shd w:val="clear" w:color="auto" w:fill="auto"/>
            <w:vAlign w:val="bottom"/>
          </w:tcPr>
          <w:p w14:paraId="3D33F14E"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shd w:val="clear" w:color="auto" w:fill="auto"/>
            <w:vAlign w:val="bottom"/>
          </w:tcPr>
          <w:p w14:paraId="0CBD235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F00961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89FA7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C5B985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EF9F3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20AE795" w14:textId="77777777" w:rsidTr="001B330E">
        <w:trPr>
          <w:trHeight w:val="23"/>
        </w:trPr>
        <w:tc>
          <w:tcPr>
            <w:tcW w:w="1971" w:type="pct"/>
            <w:tcBorders>
              <w:bottom w:val="single" w:sz="4" w:space="0" w:color="000000"/>
            </w:tcBorders>
            <w:shd w:val="clear" w:color="auto" w:fill="auto"/>
            <w:vAlign w:val="bottom"/>
          </w:tcPr>
          <w:p w14:paraId="56A174A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B05702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AABC92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B50C03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3EB297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FA397F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9976E4D" w14:textId="77777777" w:rsidTr="001B330E">
        <w:trPr>
          <w:trHeight w:val="23"/>
        </w:trPr>
        <w:tc>
          <w:tcPr>
            <w:tcW w:w="1971" w:type="pct"/>
            <w:tcBorders>
              <w:top w:val="single" w:sz="4" w:space="0" w:color="000000"/>
            </w:tcBorders>
            <w:shd w:val="clear" w:color="auto" w:fill="auto"/>
            <w:vAlign w:val="bottom"/>
          </w:tcPr>
          <w:p w14:paraId="6762FFB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BF8FF5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A68DA7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390E41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88BF5E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C64FEF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697791E" w14:textId="77777777" w:rsidTr="001B330E">
        <w:trPr>
          <w:trHeight w:val="23"/>
        </w:trPr>
        <w:tc>
          <w:tcPr>
            <w:tcW w:w="1971" w:type="pct"/>
            <w:shd w:val="clear" w:color="auto" w:fill="auto"/>
            <w:vAlign w:val="bottom"/>
          </w:tcPr>
          <w:p w14:paraId="516F6EF1"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3AFFEDC4"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751465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04D5D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8C8F9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6C8E2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8D34272" w14:textId="77777777" w:rsidTr="001B330E">
        <w:trPr>
          <w:trHeight w:val="23"/>
        </w:trPr>
        <w:tc>
          <w:tcPr>
            <w:tcW w:w="1971" w:type="pct"/>
            <w:tcBorders>
              <w:bottom w:val="single" w:sz="4" w:space="0" w:color="000000"/>
            </w:tcBorders>
            <w:shd w:val="clear" w:color="auto" w:fill="auto"/>
            <w:vAlign w:val="bottom"/>
          </w:tcPr>
          <w:p w14:paraId="4C0E37C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587EE33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6DFED4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79F9CE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15251E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E1C256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5DFBAC7" w14:textId="77777777" w:rsidTr="001B330E">
        <w:trPr>
          <w:trHeight w:val="23"/>
        </w:trPr>
        <w:tc>
          <w:tcPr>
            <w:tcW w:w="1971" w:type="pct"/>
            <w:tcBorders>
              <w:top w:val="single" w:sz="4" w:space="0" w:color="000000"/>
            </w:tcBorders>
            <w:shd w:val="clear" w:color="auto" w:fill="auto"/>
            <w:vAlign w:val="bottom"/>
          </w:tcPr>
          <w:p w14:paraId="3BA8F67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5C031D8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E907AA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7BEB58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A47F4B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583A1B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02F6E4D" w14:textId="77777777" w:rsidTr="001B330E">
        <w:trPr>
          <w:trHeight w:val="23"/>
        </w:trPr>
        <w:tc>
          <w:tcPr>
            <w:tcW w:w="1971" w:type="pct"/>
            <w:shd w:val="clear" w:color="auto" w:fill="auto"/>
            <w:vAlign w:val="bottom"/>
          </w:tcPr>
          <w:p w14:paraId="030D414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2E8E2A9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F04CEF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68541C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139844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69368F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EE66D61" w14:textId="77777777" w:rsidTr="001B330E">
        <w:trPr>
          <w:trHeight w:val="23"/>
        </w:trPr>
        <w:tc>
          <w:tcPr>
            <w:tcW w:w="1971" w:type="pct"/>
            <w:shd w:val="clear" w:color="auto" w:fill="auto"/>
            <w:vAlign w:val="bottom"/>
          </w:tcPr>
          <w:p w14:paraId="76A7693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0F7D779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B61D6A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75066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849F8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E8B14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856AF6B" w14:textId="77777777" w:rsidTr="001B330E">
        <w:trPr>
          <w:trHeight w:val="23"/>
        </w:trPr>
        <w:tc>
          <w:tcPr>
            <w:tcW w:w="1971" w:type="pct"/>
            <w:tcBorders>
              <w:top w:val="single" w:sz="4" w:space="0" w:color="000000"/>
            </w:tcBorders>
            <w:shd w:val="clear" w:color="auto" w:fill="auto"/>
            <w:vAlign w:val="bottom"/>
          </w:tcPr>
          <w:p w14:paraId="58FEE1A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4522AA9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DF7392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059306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8A32DC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71FC1B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A49A0B2" w14:textId="77777777" w:rsidTr="001B330E">
        <w:trPr>
          <w:trHeight w:val="23"/>
        </w:trPr>
        <w:tc>
          <w:tcPr>
            <w:tcW w:w="1971" w:type="pct"/>
            <w:shd w:val="clear" w:color="auto" w:fill="auto"/>
            <w:vAlign w:val="bottom"/>
          </w:tcPr>
          <w:p w14:paraId="709468F8"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088BEEC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7B54055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5E75A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D59DB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10FE82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6746AFF" w14:textId="77777777" w:rsidTr="001B330E">
        <w:trPr>
          <w:trHeight w:val="23"/>
        </w:trPr>
        <w:tc>
          <w:tcPr>
            <w:tcW w:w="1971" w:type="pct"/>
            <w:tcBorders>
              <w:bottom w:val="single" w:sz="12" w:space="0" w:color="000000"/>
            </w:tcBorders>
            <w:shd w:val="clear" w:color="auto" w:fill="auto"/>
            <w:vAlign w:val="bottom"/>
          </w:tcPr>
          <w:p w14:paraId="15A68A8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311E44C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1413BF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EA5687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AA6587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A9C3A4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BE1A44D" w14:textId="77777777" w:rsidTr="001B330E">
        <w:trPr>
          <w:trHeight w:val="23"/>
        </w:trPr>
        <w:tc>
          <w:tcPr>
            <w:tcW w:w="1971" w:type="pct"/>
            <w:tcBorders>
              <w:top w:val="single" w:sz="4" w:space="0" w:color="000000"/>
            </w:tcBorders>
            <w:shd w:val="clear" w:color="auto" w:fill="auto"/>
            <w:vAlign w:val="bottom"/>
          </w:tcPr>
          <w:p w14:paraId="0B396AC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shd w:val="clear" w:color="auto" w:fill="auto"/>
            <w:vAlign w:val="bottom"/>
          </w:tcPr>
          <w:p w14:paraId="34C1A88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46B669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74C5C8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78618B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E6FA38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75DA03F" w14:textId="77777777" w:rsidTr="001B330E">
        <w:trPr>
          <w:trHeight w:val="23"/>
        </w:trPr>
        <w:tc>
          <w:tcPr>
            <w:tcW w:w="1971" w:type="pct"/>
            <w:shd w:val="clear" w:color="auto" w:fill="auto"/>
            <w:vAlign w:val="bottom"/>
          </w:tcPr>
          <w:p w14:paraId="6A68D62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color w:val="000000"/>
              </w:rPr>
              <w:t>Total investments in debt securities at AC sold under sale and repurchase agreements (gross value)</w:t>
            </w:r>
          </w:p>
        </w:tc>
        <w:tc>
          <w:tcPr>
            <w:tcW w:w="606" w:type="pct"/>
            <w:shd w:val="clear" w:color="auto" w:fill="auto"/>
            <w:vAlign w:val="bottom"/>
          </w:tcPr>
          <w:p w14:paraId="52ED124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BE3F64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6BE79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DA192E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A8DA77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59DED96" w14:textId="77777777" w:rsidTr="001B330E">
        <w:trPr>
          <w:trHeight w:val="23"/>
        </w:trPr>
        <w:tc>
          <w:tcPr>
            <w:tcW w:w="1971" w:type="pct"/>
            <w:tcBorders>
              <w:bottom w:val="single" w:sz="4" w:space="0" w:color="000000"/>
            </w:tcBorders>
            <w:shd w:val="clear" w:color="auto" w:fill="auto"/>
            <w:vAlign w:val="bottom"/>
          </w:tcPr>
          <w:p w14:paraId="0DD976F1"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 </w:t>
            </w:r>
          </w:p>
        </w:tc>
        <w:tc>
          <w:tcPr>
            <w:tcW w:w="606" w:type="pct"/>
            <w:tcBorders>
              <w:bottom w:val="single" w:sz="4" w:space="0" w:color="000000"/>
            </w:tcBorders>
            <w:shd w:val="clear" w:color="auto" w:fill="auto"/>
            <w:vAlign w:val="bottom"/>
          </w:tcPr>
          <w:p w14:paraId="6AB4BE2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2F0171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FB2B24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56E67B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78CF4F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EFDC967" w14:textId="77777777" w:rsidTr="001B330E">
        <w:trPr>
          <w:trHeight w:val="23"/>
        </w:trPr>
        <w:tc>
          <w:tcPr>
            <w:tcW w:w="1971" w:type="pct"/>
            <w:tcBorders>
              <w:top w:val="single" w:sz="4" w:space="0" w:color="000000"/>
            </w:tcBorders>
            <w:shd w:val="clear" w:color="auto" w:fill="auto"/>
            <w:vAlign w:val="bottom"/>
          </w:tcPr>
          <w:p w14:paraId="06B06F2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606" w:type="pct"/>
            <w:tcBorders>
              <w:top w:val="single" w:sz="4" w:space="0" w:color="000000"/>
            </w:tcBorders>
            <w:shd w:val="clear" w:color="auto" w:fill="auto"/>
            <w:vAlign w:val="bottom"/>
          </w:tcPr>
          <w:p w14:paraId="39A4247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91712F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5404B2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E8EF4F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D57DE7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1F05CF5" w14:textId="77777777" w:rsidTr="001B330E">
        <w:trPr>
          <w:trHeight w:val="23"/>
        </w:trPr>
        <w:tc>
          <w:tcPr>
            <w:tcW w:w="1971" w:type="pct"/>
            <w:shd w:val="clear" w:color="auto" w:fill="auto"/>
            <w:vAlign w:val="bottom"/>
          </w:tcPr>
          <w:p w14:paraId="29245647"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Credit loss allowance</w:t>
            </w:r>
          </w:p>
        </w:tc>
        <w:tc>
          <w:tcPr>
            <w:tcW w:w="606" w:type="pct"/>
            <w:shd w:val="clear" w:color="auto" w:fill="auto"/>
            <w:vAlign w:val="bottom"/>
          </w:tcPr>
          <w:p w14:paraId="720E9DC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C8FAF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A51D89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0EEC51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0AD73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AE2E3A9" w14:textId="77777777" w:rsidTr="001B330E">
        <w:trPr>
          <w:trHeight w:val="23"/>
        </w:trPr>
        <w:tc>
          <w:tcPr>
            <w:tcW w:w="1971" w:type="pct"/>
            <w:shd w:val="clear" w:color="auto" w:fill="auto"/>
            <w:vAlign w:val="bottom"/>
          </w:tcPr>
          <w:p w14:paraId="5D2B115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606" w:type="pct"/>
            <w:shd w:val="clear" w:color="auto" w:fill="auto"/>
            <w:vAlign w:val="bottom"/>
          </w:tcPr>
          <w:p w14:paraId="584658B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C5E08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42C36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B4E262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1A455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CAB4034" w14:textId="77777777" w:rsidTr="001B330E">
        <w:trPr>
          <w:trHeight w:val="23"/>
        </w:trPr>
        <w:tc>
          <w:tcPr>
            <w:tcW w:w="1971" w:type="pct"/>
            <w:tcBorders>
              <w:top w:val="single" w:sz="4" w:space="0" w:color="000000"/>
            </w:tcBorders>
            <w:shd w:val="clear" w:color="auto" w:fill="auto"/>
            <w:vAlign w:val="bottom"/>
          </w:tcPr>
          <w:p w14:paraId="1D44A80F"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 </w:t>
            </w:r>
          </w:p>
        </w:tc>
        <w:tc>
          <w:tcPr>
            <w:tcW w:w="606" w:type="pct"/>
            <w:tcBorders>
              <w:top w:val="single" w:sz="4" w:space="0" w:color="000000"/>
            </w:tcBorders>
            <w:shd w:val="clear" w:color="auto" w:fill="auto"/>
            <w:vAlign w:val="bottom"/>
          </w:tcPr>
          <w:p w14:paraId="6DEFFD0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ACAA42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B081F0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19BCFA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179E74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C5F1C76" w14:textId="77777777" w:rsidTr="001B330E">
        <w:trPr>
          <w:trHeight w:val="23"/>
        </w:trPr>
        <w:tc>
          <w:tcPr>
            <w:tcW w:w="1971" w:type="pct"/>
            <w:shd w:val="clear" w:color="auto" w:fill="auto"/>
            <w:vAlign w:val="bottom"/>
          </w:tcPr>
          <w:p w14:paraId="20CACC75"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investments in debt securities at AC sold under sale and repurchase agreements (carrying value)</w:t>
            </w:r>
          </w:p>
        </w:tc>
        <w:tc>
          <w:tcPr>
            <w:tcW w:w="606" w:type="pct"/>
            <w:shd w:val="clear" w:color="auto" w:fill="auto"/>
            <w:vAlign w:val="bottom"/>
          </w:tcPr>
          <w:p w14:paraId="1F12558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672E2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61498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14FB4D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D85C7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5BC828B" w14:textId="77777777" w:rsidTr="001B330E">
        <w:trPr>
          <w:trHeight w:val="23"/>
        </w:trPr>
        <w:tc>
          <w:tcPr>
            <w:tcW w:w="1971" w:type="pct"/>
            <w:tcBorders>
              <w:bottom w:val="single" w:sz="12" w:space="0" w:color="000000"/>
            </w:tcBorders>
            <w:shd w:val="clear" w:color="auto" w:fill="auto"/>
            <w:vAlign w:val="bottom"/>
          </w:tcPr>
          <w:p w14:paraId="77D3CAA8"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 </w:t>
            </w:r>
          </w:p>
        </w:tc>
        <w:tc>
          <w:tcPr>
            <w:tcW w:w="606" w:type="pct"/>
            <w:tcBorders>
              <w:bottom w:val="single" w:sz="12" w:space="0" w:color="000000"/>
            </w:tcBorders>
            <w:shd w:val="clear" w:color="auto" w:fill="auto"/>
            <w:vAlign w:val="bottom"/>
          </w:tcPr>
          <w:p w14:paraId="13128F8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A19420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606D66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F5C927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D6C105C" w14:textId="77777777" w:rsidR="00D83E33" w:rsidRPr="00E837F2" w:rsidRDefault="00D83E33">
            <w:pPr>
              <w:widowControl w:val="0"/>
              <w:pBdr>
                <w:top w:val="nil"/>
                <w:left w:val="nil"/>
                <w:bottom w:val="nil"/>
                <w:right w:val="nil"/>
                <w:between w:val="nil"/>
              </w:pBdr>
              <w:jc w:val="right"/>
              <w:rPr>
                <w:color w:val="000000"/>
              </w:rPr>
            </w:pPr>
          </w:p>
        </w:tc>
      </w:tr>
    </w:tbl>
    <w:p w14:paraId="4037272A" w14:textId="232B7E46" w:rsidR="00D83E33" w:rsidRDefault="00BC4072" w:rsidP="001B330E">
      <w:pPr>
        <w:pStyle w:val="Continued"/>
      </w:pPr>
      <w:r>
        <w:lastRenderedPageBreak/>
        <w:t>12</w:t>
      </w:r>
      <w:r>
        <w:tab/>
        <w:t>Repurchase Receivables (Continued)</w:t>
      </w:r>
    </w:p>
    <w:p w14:paraId="1EE64CE1" w14:textId="06F6B93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Analysis by credit quality of debt securities at AC that were transferred in a sale and repurchase agreement is as follows at 31</w:t>
      </w:r>
      <w:r w:rsidR="00181687">
        <w:rPr>
          <w:color w:val="000000"/>
          <w:sz w:val="20"/>
          <w:szCs w:val="20"/>
        </w:rPr>
        <w:t> December </w:t>
      </w:r>
      <w:r w:rsidR="00541EBC">
        <w:rPr>
          <w:color w:val="000000"/>
          <w:sz w:val="20"/>
          <w:szCs w:val="20"/>
        </w:rPr>
        <w:t>2023</w:t>
      </w:r>
      <w:r w:rsidR="003B2D97">
        <w:rPr>
          <w:color w:val="000000"/>
          <w:sz w:val="20"/>
          <w:szCs w:val="20"/>
        </w:rPr>
        <w:t>:</w:t>
      </w:r>
    </w:p>
    <w:tbl>
      <w:tblPr>
        <w:tblStyle w:val="afffffff2"/>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723F12FA" w14:textId="77777777" w:rsidTr="00372E26">
        <w:trPr>
          <w:trHeight w:val="23"/>
        </w:trPr>
        <w:tc>
          <w:tcPr>
            <w:tcW w:w="1971" w:type="pct"/>
            <w:tcBorders>
              <w:bottom w:val="single" w:sz="4" w:space="0" w:color="000000"/>
            </w:tcBorders>
            <w:shd w:val="clear" w:color="auto" w:fill="auto"/>
            <w:vAlign w:val="bottom"/>
          </w:tcPr>
          <w:p w14:paraId="04200652" w14:textId="22E1E6E4"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5B9F1C3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0209DB6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shd w:val="clear" w:color="auto" w:fill="auto"/>
          </w:tcPr>
          <w:p w14:paraId="4F31953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3C373B2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shd w:val="clear" w:color="auto" w:fill="auto"/>
          </w:tcPr>
          <w:p w14:paraId="2DE5FB0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6ADCE30F"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36FF9F4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5" w:type="pct"/>
            <w:tcBorders>
              <w:bottom w:val="single" w:sz="4" w:space="0" w:color="000000"/>
            </w:tcBorders>
            <w:shd w:val="clear" w:color="auto" w:fill="auto"/>
          </w:tcPr>
          <w:p w14:paraId="078E1EC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166057D6" w14:textId="77777777" w:rsidTr="00372E26">
        <w:trPr>
          <w:trHeight w:val="23"/>
        </w:trPr>
        <w:tc>
          <w:tcPr>
            <w:tcW w:w="1971" w:type="pct"/>
            <w:shd w:val="clear" w:color="auto" w:fill="auto"/>
            <w:vAlign w:val="bottom"/>
          </w:tcPr>
          <w:p w14:paraId="78C7EF7C" w14:textId="77777777" w:rsidR="00D83E33" w:rsidRPr="00E837F2" w:rsidRDefault="00D83E33" w:rsidP="001B330E">
            <w:pPr>
              <w:widowControl w:val="0"/>
              <w:ind w:left="113" w:hanging="113"/>
            </w:pPr>
          </w:p>
        </w:tc>
        <w:tc>
          <w:tcPr>
            <w:tcW w:w="606" w:type="pct"/>
            <w:shd w:val="clear" w:color="auto" w:fill="auto"/>
            <w:vAlign w:val="bottom"/>
          </w:tcPr>
          <w:p w14:paraId="293B733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BEDE1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5BEB0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A546C58"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3CD4F1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800A28A" w14:textId="77777777" w:rsidTr="00372E26">
        <w:trPr>
          <w:trHeight w:val="23"/>
        </w:trPr>
        <w:tc>
          <w:tcPr>
            <w:tcW w:w="1971" w:type="pct"/>
            <w:shd w:val="clear" w:color="auto" w:fill="auto"/>
            <w:vAlign w:val="bottom"/>
          </w:tcPr>
          <w:p w14:paraId="091679D9" w14:textId="40F41DBC" w:rsidR="00D83E33" w:rsidRPr="00E837F2" w:rsidRDefault="00372E26" w:rsidP="001B330E">
            <w:pPr>
              <w:widowControl w:val="0"/>
              <w:pBdr>
                <w:top w:val="nil"/>
                <w:left w:val="nil"/>
                <w:bottom w:val="nil"/>
                <w:right w:val="nil"/>
                <w:between w:val="nil"/>
              </w:pBdr>
              <w:ind w:left="113" w:hanging="113"/>
              <w:rPr>
                <w:b/>
                <w:color w:val="000000"/>
              </w:rPr>
            </w:pPr>
            <w:r>
              <w:rPr>
                <w:b/>
                <w:i/>
                <w:color w:val="000000"/>
              </w:rPr>
              <w:t>[Country]</w:t>
            </w:r>
            <w:r w:rsidR="00BC4072" w:rsidRPr="00E837F2">
              <w:rPr>
                <w:b/>
                <w:i/>
                <w:color w:val="000000"/>
              </w:rPr>
              <w:t xml:space="preserve"> government bonds</w:t>
            </w:r>
          </w:p>
        </w:tc>
        <w:tc>
          <w:tcPr>
            <w:tcW w:w="606" w:type="pct"/>
            <w:shd w:val="clear" w:color="auto" w:fill="auto"/>
            <w:vAlign w:val="bottom"/>
          </w:tcPr>
          <w:p w14:paraId="3E4D29C9"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3148E773" w14:textId="77777777" w:rsidR="00D83E33" w:rsidRPr="00E837F2" w:rsidRDefault="00D83E33">
            <w:pPr>
              <w:widowControl w:val="0"/>
              <w:pBdr>
                <w:top w:val="nil"/>
                <w:left w:val="nil"/>
                <w:bottom w:val="nil"/>
                <w:right w:val="nil"/>
                <w:between w:val="nil"/>
              </w:pBdr>
              <w:jc w:val="right"/>
              <w:rPr>
                <w:b/>
                <w:color w:val="000000"/>
              </w:rPr>
            </w:pPr>
          </w:p>
        </w:tc>
        <w:tc>
          <w:tcPr>
            <w:tcW w:w="606" w:type="pct"/>
            <w:shd w:val="clear" w:color="auto" w:fill="auto"/>
            <w:vAlign w:val="bottom"/>
          </w:tcPr>
          <w:p w14:paraId="54E4020A" w14:textId="77777777" w:rsidR="00D83E33" w:rsidRPr="00E837F2" w:rsidRDefault="00D83E33">
            <w:pPr>
              <w:widowControl w:val="0"/>
              <w:pBdr>
                <w:top w:val="nil"/>
                <w:left w:val="nil"/>
                <w:bottom w:val="nil"/>
                <w:right w:val="nil"/>
                <w:between w:val="nil"/>
              </w:pBdr>
              <w:jc w:val="right"/>
              <w:rPr>
                <w:b/>
                <w:color w:val="000000"/>
              </w:rPr>
            </w:pPr>
          </w:p>
        </w:tc>
        <w:tc>
          <w:tcPr>
            <w:tcW w:w="606" w:type="pct"/>
            <w:vAlign w:val="bottom"/>
          </w:tcPr>
          <w:p w14:paraId="4A2F1C9D" w14:textId="77777777" w:rsidR="00D83E33" w:rsidRPr="00E837F2" w:rsidRDefault="00D83E33">
            <w:pPr>
              <w:widowControl w:val="0"/>
              <w:pBdr>
                <w:top w:val="nil"/>
                <w:left w:val="nil"/>
                <w:bottom w:val="nil"/>
                <w:right w:val="nil"/>
                <w:between w:val="nil"/>
              </w:pBdr>
              <w:jc w:val="right"/>
              <w:rPr>
                <w:b/>
                <w:color w:val="000000"/>
              </w:rPr>
            </w:pPr>
          </w:p>
        </w:tc>
        <w:tc>
          <w:tcPr>
            <w:tcW w:w="605" w:type="pct"/>
            <w:shd w:val="clear" w:color="auto" w:fill="auto"/>
            <w:vAlign w:val="bottom"/>
          </w:tcPr>
          <w:p w14:paraId="0C698ADB"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535D20C2" w14:textId="77777777" w:rsidTr="00372E26">
        <w:trPr>
          <w:trHeight w:val="23"/>
        </w:trPr>
        <w:tc>
          <w:tcPr>
            <w:tcW w:w="1971" w:type="pct"/>
            <w:shd w:val="clear" w:color="auto" w:fill="auto"/>
            <w:vAlign w:val="bottom"/>
          </w:tcPr>
          <w:p w14:paraId="5B685DB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4DDF868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37BA9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BFED1E8"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9C785F3"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66A9ED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D7E8E03" w14:textId="77777777" w:rsidTr="00372E26">
        <w:trPr>
          <w:trHeight w:val="23"/>
        </w:trPr>
        <w:tc>
          <w:tcPr>
            <w:tcW w:w="1971" w:type="pct"/>
            <w:shd w:val="clear" w:color="auto" w:fill="auto"/>
            <w:vAlign w:val="bottom"/>
          </w:tcPr>
          <w:p w14:paraId="36BE8D37"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Excellent</w:t>
            </w:r>
          </w:p>
        </w:tc>
        <w:tc>
          <w:tcPr>
            <w:tcW w:w="606" w:type="pct"/>
            <w:shd w:val="clear" w:color="auto" w:fill="auto"/>
            <w:vAlign w:val="bottom"/>
          </w:tcPr>
          <w:p w14:paraId="473C4F8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FC47C2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FDC039D"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6838C42"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FA87AD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3A61E5D" w14:textId="77777777" w:rsidTr="00372E26">
        <w:trPr>
          <w:trHeight w:val="23"/>
        </w:trPr>
        <w:tc>
          <w:tcPr>
            <w:tcW w:w="1971" w:type="pct"/>
            <w:shd w:val="clear" w:color="auto" w:fill="auto"/>
            <w:vAlign w:val="bottom"/>
          </w:tcPr>
          <w:p w14:paraId="4B1ACA21"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Good</w:t>
            </w:r>
          </w:p>
        </w:tc>
        <w:tc>
          <w:tcPr>
            <w:tcW w:w="606" w:type="pct"/>
            <w:shd w:val="clear" w:color="auto" w:fill="auto"/>
            <w:vAlign w:val="bottom"/>
          </w:tcPr>
          <w:p w14:paraId="5DC920F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80185E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7BE72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55EDDDD"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372514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25A9DE1" w14:textId="77777777" w:rsidTr="00372E26">
        <w:trPr>
          <w:trHeight w:val="23"/>
        </w:trPr>
        <w:tc>
          <w:tcPr>
            <w:tcW w:w="1971" w:type="pct"/>
            <w:shd w:val="clear" w:color="auto" w:fill="auto"/>
            <w:vAlign w:val="bottom"/>
          </w:tcPr>
          <w:p w14:paraId="56E7A762"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Satisfactory</w:t>
            </w:r>
          </w:p>
        </w:tc>
        <w:tc>
          <w:tcPr>
            <w:tcW w:w="606" w:type="pct"/>
            <w:shd w:val="clear" w:color="auto" w:fill="auto"/>
            <w:vAlign w:val="bottom"/>
          </w:tcPr>
          <w:p w14:paraId="100D2D0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85118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FFE336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60785BC"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9A24C6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2EFBC59" w14:textId="77777777" w:rsidTr="00372E26">
        <w:trPr>
          <w:trHeight w:val="23"/>
        </w:trPr>
        <w:tc>
          <w:tcPr>
            <w:tcW w:w="1971" w:type="pct"/>
            <w:tcBorders>
              <w:bottom w:val="single" w:sz="4" w:space="0" w:color="000000"/>
            </w:tcBorders>
            <w:shd w:val="clear" w:color="auto" w:fill="auto"/>
            <w:vAlign w:val="bottom"/>
          </w:tcPr>
          <w:p w14:paraId="2967A7F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08A47A4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8F4398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C4EF4C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C11A494"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0BE3884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3BDD111" w14:textId="77777777" w:rsidTr="00372E26">
        <w:trPr>
          <w:trHeight w:val="23"/>
        </w:trPr>
        <w:tc>
          <w:tcPr>
            <w:tcW w:w="1971" w:type="pct"/>
            <w:tcBorders>
              <w:top w:val="single" w:sz="4" w:space="0" w:color="000000"/>
            </w:tcBorders>
            <w:shd w:val="clear" w:color="auto" w:fill="auto"/>
            <w:vAlign w:val="bottom"/>
          </w:tcPr>
          <w:p w14:paraId="321970C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508895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388A80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CA369A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4188289"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B547FF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79B201" w14:textId="77777777" w:rsidTr="00372E26">
        <w:trPr>
          <w:trHeight w:val="23"/>
        </w:trPr>
        <w:tc>
          <w:tcPr>
            <w:tcW w:w="1971" w:type="pct"/>
            <w:shd w:val="clear" w:color="auto" w:fill="auto"/>
            <w:vAlign w:val="bottom"/>
          </w:tcPr>
          <w:p w14:paraId="640A44B4"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78FA8AD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EACADE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98241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ADC13A"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8DAA85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9688959" w14:textId="77777777" w:rsidTr="00372E26">
        <w:trPr>
          <w:trHeight w:val="23"/>
        </w:trPr>
        <w:tc>
          <w:tcPr>
            <w:tcW w:w="1971" w:type="pct"/>
            <w:tcBorders>
              <w:bottom w:val="single" w:sz="4" w:space="0" w:color="000000"/>
            </w:tcBorders>
            <w:shd w:val="clear" w:color="auto" w:fill="auto"/>
            <w:vAlign w:val="bottom"/>
          </w:tcPr>
          <w:p w14:paraId="72AEAF5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28AB5A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E671E3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4FFAC7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F88A580"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38420FE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632D49" w14:textId="77777777" w:rsidTr="00372E26">
        <w:trPr>
          <w:trHeight w:val="23"/>
        </w:trPr>
        <w:tc>
          <w:tcPr>
            <w:tcW w:w="1971" w:type="pct"/>
            <w:tcBorders>
              <w:top w:val="single" w:sz="4" w:space="0" w:color="000000"/>
            </w:tcBorders>
            <w:shd w:val="clear" w:color="auto" w:fill="auto"/>
            <w:vAlign w:val="bottom"/>
          </w:tcPr>
          <w:p w14:paraId="1A6A0E4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1B25F5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30019C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5EA596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A74003B"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2F39CC6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994443" w14:textId="77777777" w:rsidTr="00372E26">
        <w:trPr>
          <w:trHeight w:val="23"/>
        </w:trPr>
        <w:tc>
          <w:tcPr>
            <w:tcW w:w="1971" w:type="pct"/>
            <w:shd w:val="clear" w:color="auto" w:fill="auto"/>
            <w:vAlign w:val="bottom"/>
          </w:tcPr>
          <w:p w14:paraId="12CD274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6367CB5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FF1BE6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2316F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33EFFF"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48AD85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4F16E2B" w14:textId="77777777" w:rsidTr="00372E26">
        <w:trPr>
          <w:trHeight w:val="23"/>
        </w:trPr>
        <w:tc>
          <w:tcPr>
            <w:tcW w:w="1971" w:type="pct"/>
            <w:shd w:val="clear" w:color="auto" w:fill="auto"/>
            <w:vAlign w:val="bottom"/>
          </w:tcPr>
          <w:p w14:paraId="5BDC97F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38BE4EC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77E0C15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46533E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848839"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2C6AB6B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8DE514D" w14:textId="77777777" w:rsidTr="00372E26">
        <w:trPr>
          <w:trHeight w:val="23"/>
        </w:trPr>
        <w:tc>
          <w:tcPr>
            <w:tcW w:w="1971" w:type="pct"/>
            <w:tcBorders>
              <w:top w:val="single" w:sz="4" w:space="0" w:color="000000"/>
            </w:tcBorders>
            <w:shd w:val="clear" w:color="auto" w:fill="auto"/>
            <w:vAlign w:val="bottom"/>
          </w:tcPr>
          <w:p w14:paraId="0D1C249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BB56F5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A7CD09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15C14D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49854F9"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5300984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990E9DE" w14:textId="77777777" w:rsidTr="00372E26">
        <w:trPr>
          <w:trHeight w:val="23"/>
        </w:trPr>
        <w:tc>
          <w:tcPr>
            <w:tcW w:w="1971" w:type="pct"/>
            <w:shd w:val="clear" w:color="auto" w:fill="auto"/>
            <w:vAlign w:val="bottom"/>
          </w:tcPr>
          <w:p w14:paraId="63E1E6B0"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6C5BE77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CCBD84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344AF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2C0021"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B0DC02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BF44C9B" w14:textId="77777777" w:rsidTr="00372E26">
        <w:trPr>
          <w:trHeight w:val="23"/>
        </w:trPr>
        <w:tc>
          <w:tcPr>
            <w:tcW w:w="1971" w:type="pct"/>
            <w:tcBorders>
              <w:bottom w:val="single" w:sz="12" w:space="0" w:color="000000"/>
            </w:tcBorders>
            <w:shd w:val="clear" w:color="auto" w:fill="auto"/>
            <w:vAlign w:val="bottom"/>
          </w:tcPr>
          <w:p w14:paraId="17689389"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21F0B6D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2AA398F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6131334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788C698"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1537779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1FA715E" w14:textId="77777777" w:rsidTr="00372E26">
        <w:trPr>
          <w:trHeight w:val="23"/>
        </w:trPr>
        <w:tc>
          <w:tcPr>
            <w:tcW w:w="1971" w:type="pct"/>
            <w:shd w:val="clear" w:color="auto" w:fill="auto"/>
            <w:vAlign w:val="bottom"/>
          </w:tcPr>
          <w:p w14:paraId="67C0DC1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6CC86E9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4789F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383E2C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59ED7C8"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9C9136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7907EFF" w14:textId="77777777" w:rsidTr="00372E26">
        <w:trPr>
          <w:trHeight w:val="23"/>
        </w:trPr>
        <w:tc>
          <w:tcPr>
            <w:tcW w:w="1971" w:type="pct"/>
            <w:shd w:val="clear" w:color="auto" w:fill="auto"/>
            <w:vAlign w:val="bottom"/>
          </w:tcPr>
          <w:p w14:paraId="0FDC154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Municipal bonds</w:t>
            </w:r>
          </w:p>
        </w:tc>
        <w:tc>
          <w:tcPr>
            <w:tcW w:w="606" w:type="pct"/>
            <w:shd w:val="clear" w:color="auto" w:fill="auto"/>
            <w:vAlign w:val="bottom"/>
          </w:tcPr>
          <w:p w14:paraId="09289DA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635FD1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03B563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F6837CD"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6C31A4E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1EFF66A" w14:textId="77777777" w:rsidTr="00372E26">
        <w:trPr>
          <w:trHeight w:val="23"/>
        </w:trPr>
        <w:tc>
          <w:tcPr>
            <w:tcW w:w="1971" w:type="pct"/>
            <w:shd w:val="clear" w:color="auto" w:fill="auto"/>
            <w:vAlign w:val="bottom"/>
          </w:tcPr>
          <w:p w14:paraId="0D64DC5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71650DE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CD3482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832BD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336FCF4"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F92E88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EFFE997" w14:textId="77777777" w:rsidTr="00372E26">
        <w:trPr>
          <w:trHeight w:val="23"/>
        </w:trPr>
        <w:tc>
          <w:tcPr>
            <w:tcW w:w="1971" w:type="pct"/>
            <w:shd w:val="clear" w:color="auto" w:fill="auto"/>
            <w:vAlign w:val="bottom"/>
          </w:tcPr>
          <w:p w14:paraId="3DCCF2C9"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Excellent</w:t>
            </w:r>
          </w:p>
        </w:tc>
        <w:tc>
          <w:tcPr>
            <w:tcW w:w="606" w:type="pct"/>
            <w:shd w:val="clear" w:color="auto" w:fill="auto"/>
            <w:vAlign w:val="bottom"/>
          </w:tcPr>
          <w:p w14:paraId="7A8ADE4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C7E8B7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B9DC5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E474D66"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507120B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98CFA80" w14:textId="77777777" w:rsidTr="00372E26">
        <w:trPr>
          <w:trHeight w:val="23"/>
        </w:trPr>
        <w:tc>
          <w:tcPr>
            <w:tcW w:w="1971" w:type="pct"/>
            <w:shd w:val="clear" w:color="auto" w:fill="auto"/>
            <w:vAlign w:val="bottom"/>
          </w:tcPr>
          <w:p w14:paraId="5AB0FDAD"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Good</w:t>
            </w:r>
          </w:p>
        </w:tc>
        <w:tc>
          <w:tcPr>
            <w:tcW w:w="606" w:type="pct"/>
            <w:shd w:val="clear" w:color="auto" w:fill="auto"/>
            <w:vAlign w:val="bottom"/>
          </w:tcPr>
          <w:p w14:paraId="5300BC0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3B0F4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C5AE0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CB1DB7F"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E3E5D4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8E932B5" w14:textId="77777777" w:rsidTr="00372E26">
        <w:trPr>
          <w:trHeight w:val="23"/>
        </w:trPr>
        <w:tc>
          <w:tcPr>
            <w:tcW w:w="1971" w:type="pct"/>
            <w:shd w:val="clear" w:color="auto" w:fill="auto"/>
            <w:vAlign w:val="bottom"/>
          </w:tcPr>
          <w:p w14:paraId="307309EB"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Satisfactory</w:t>
            </w:r>
          </w:p>
        </w:tc>
        <w:tc>
          <w:tcPr>
            <w:tcW w:w="606" w:type="pct"/>
            <w:shd w:val="clear" w:color="auto" w:fill="auto"/>
            <w:vAlign w:val="bottom"/>
          </w:tcPr>
          <w:p w14:paraId="48505B4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DCB9E7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8C3BD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9E06871"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1139FE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C80784E" w14:textId="77777777" w:rsidTr="00372E26">
        <w:trPr>
          <w:trHeight w:val="23"/>
        </w:trPr>
        <w:tc>
          <w:tcPr>
            <w:tcW w:w="1971" w:type="pct"/>
            <w:shd w:val="clear" w:color="auto" w:fill="auto"/>
            <w:vAlign w:val="bottom"/>
          </w:tcPr>
          <w:p w14:paraId="054B3DE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3292428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00DE6D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5DA4B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385D04F"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7F9544E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462DB7D" w14:textId="77777777" w:rsidTr="00372E26">
        <w:trPr>
          <w:trHeight w:val="23"/>
        </w:trPr>
        <w:tc>
          <w:tcPr>
            <w:tcW w:w="1971" w:type="pct"/>
            <w:shd w:val="clear" w:color="auto" w:fill="auto"/>
            <w:vAlign w:val="bottom"/>
          </w:tcPr>
          <w:p w14:paraId="079418E3"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00"/>
              </w:rPr>
              <w:t>- Default</w:t>
            </w:r>
          </w:p>
        </w:tc>
        <w:tc>
          <w:tcPr>
            <w:tcW w:w="606" w:type="pct"/>
            <w:shd w:val="clear" w:color="auto" w:fill="auto"/>
            <w:vAlign w:val="bottom"/>
          </w:tcPr>
          <w:p w14:paraId="578B7A0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CD650C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E5355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83BFEAE"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0A63C4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8CB40BB" w14:textId="77777777" w:rsidTr="00372E26">
        <w:trPr>
          <w:trHeight w:val="23"/>
        </w:trPr>
        <w:tc>
          <w:tcPr>
            <w:tcW w:w="1971" w:type="pct"/>
            <w:shd w:val="clear" w:color="auto" w:fill="auto"/>
            <w:vAlign w:val="bottom"/>
          </w:tcPr>
          <w:p w14:paraId="1F8B1BA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36AFEBC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F5B1B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AEE98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A41E784"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1D5B760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CABB58E" w14:textId="77777777" w:rsidTr="00372E26">
        <w:trPr>
          <w:trHeight w:val="23"/>
        </w:trPr>
        <w:tc>
          <w:tcPr>
            <w:tcW w:w="1971" w:type="pct"/>
            <w:tcBorders>
              <w:bottom w:val="single" w:sz="4" w:space="0" w:color="000000"/>
            </w:tcBorders>
            <w:shd w:val="clear" w:color="auto" w:fill="auto"/>
            <w:vAlign w:val="bottom"/>
          </w:tcPr>
          <w:p w14:paraId="087F388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13A755E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5982D4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A0CED6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CFB891E"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48C8066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DDC84E8" w14:textId="77777777" w:rsidTr="00372E26">
        <w:trPr>
          <w:trHeight w:val="23"/>
        </w:trPr>
        <w:tc>
          <w:tcPr>
            <w:tcW w:w="1971" w:type="pct"/>
            <w:tcBorders>
              <w:top w:val="single" w:sz="4" w:space="0" w:color="000000"/>
            </w:tcBorders>
            <w:shd w:val="clear" w:color="auto" w:fill="auto"/>
            <w:vAlign w:val="bottom"/>
          </w:tcPr>
          <w:p w14:paraId="2260CB4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663093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065FD3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3B1011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8830FAA"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06FCDDF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DFDD391" w14:textId="77777777" w:rsidTr="00372E26">
        <w:trPr>
          <w:trHeight w:val="23"/>
        </w:trPr>
        <w:tc>
          <w:tcPr>
            <w:tcW w:w="1971" w:type="pct"/>
            <w:shd w:val="clear" w:color="auto" w:fill="auto"/>
            <w:vAlign w:val="bottom"/>
          </w:tcPr>
          <w:p w14:paraId="7FE37DE3"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556163D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4407BB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8D7B77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A5ED60"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36906EF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5AD6DC1" w14:textId="77777777" w:rsidTr="00372E26">
        <w:trPr>
          <w:trHeight w:val="23"/>
        </w:trPr>
        <w:tc>
          <w:tcPr>
            <w:tcW w:w="1971" w:type="pct"/>
            <w:tcBorders>
              <w:bottom w:val="single" w:sz="4" w:space="0" w:color="000000"/>
            </w:tcBorders>
            <w:shd w:val="clear" w:color="auto" w:fill="auto"/>
            <w:vAlign w:val="bottom"/>
          </w:tcPr>
          <w:p w14:paraId="6DAA59B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B40748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2C26D87"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7F0A6C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63A7510"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4" w:space="0" w:color="000000"/>
            </w:tcBorders>
            <w:shd w:val="clear" w:color="auto" w:fill="auto"/>
            <w:vAlign w:val="bottom"/>
          </w:tcPr>
          <w:p w14:paraId="5BA9A1B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38A1AF3" w14:textId="77777777" w:rsidTr="00372E26">
        <w:trPr>
          <w:trHeight w:val="23"/>
        </w:trPr>
        <w:tc>
          <w:tcPr>
            <w:tcW w:w="1971" w:type="pct"/>
            <w:tcBorders>
              <w:top w:val="single" w:sz="4" w:space="0" w:color="000000"/>
            </w:tcBorders>
            <w:shd w:val="clear" w:color="auto" w:fill="auto"/>
            <w:vAlign w:val="bottom"/>
          </w:tcPr>
          <w:p w14:paraId="3958462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A88131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15254A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E86033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63788C4"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3B868AD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C00A030" w14:textId="77777777" w:rsidTr="00372E26">
        <w:trPr>
          <w:trHeight w:val="23"/>
        </w:trPr>
        <w:tc>
          <w:tcPr>
            <w:tcW w:w="1971" w:type="pct"/>
            <w:shd w:val="clear" w:color="auto" w:fill="auto"/>
            <w:vAlign w:val="bottom"/>
          </w:tcPr>
          <w:p w14:paraId="5438ADE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1D733CC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8F0307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7FC3E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8A8499"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460DD71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D49BE7C" w14:textId="77777777" w:rsidTr="00372E26">
        <w:trPr>
          <w:trHeight w:val="23"/>
        </w:trPr>
        <w:tc>
          <w:tcPr>
            <w:tcW w:w="1971" w:type="pct"/>
            <w:shd w:val="clear" w:color="auto" w:fill="auto"/>
            <w:vAlign w:val="bottom"/>
          </w:tcPr>
          <w:p w14:paraId="5F0E125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39E1DF8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2949350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84387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3770ECB"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97F220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F44CC03" w14:textId="77777777" w:rsidTr="00372E26">
        <w:trPr>
          <w:trHeight w:val="23"/>
        </w:trPr>
        <w:tc>
          <w:tcPr>
            <w:tcW w:w="1971" w:type="pct"/>
            <w:tcBorders>
              <w:top w:val="single" w:sz="4" w:space="0" w:color="000000"/>
            </w:tcBorders>
            <w:shd w:val="clear" w:color="auto" w:fill="auto"/>
            <w:vAlign w:val="bottom"/>
          </w:tcPr>
          <w:p w14:paraId="411D879E"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4E899E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A6432A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0F7989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5A6B379"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top w:val="single" w:sz="4" w:space="0" w:color="000000"/>
            </w:tcBorders>
            <w:shd w:val="clear" w:color="auto" w:fill="auto"/>
            <w:vAlign w:val="bottom"/>
          </w:tcPr>
          <w:p w14:paraId="17400D2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9B833BF" w14:textId="77777777" w:rsidTr="00372E26">
        <w:trPr>
          <w:trHeight w:val="23"/>
        </w:trPr>
        <w:tc>
          <w:tcPr>
            <w:tcW w:w="1971" w:type="pct"/>
            <w:shd w:val="clear" w:color="auto" w:fill="auto"/>
            <w:vAlign w:val="bottom"/>
          </w:tcPr>
          <w:p w14:paraId="5D534FD4"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602A4F7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237145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15445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EAE664" w14:textId="77777777" w:rsidR="00D83E33" w:rsidRPr="00E837F2" w:rsidRDefault="00D83E33">
            <w:pPr>
              <w:widowControl w:val="0"/>
              <w:pBdr>
                <w:top w:val="nil"/>
                <w:left w:val="nil"/>
                <w:bottom w:val="nil"/>
                <w:right w:val="nil"/>
                <w:between w:val="nil"/>
              </w:pBdr>
              <w:jc w:val="right"/>
              <w:rPr>
                <w:color w:val="000000"/>
              </w:rPr>
            </w:pPr>
          </w:p>
        </w:tc>
        <w:tc>
          <w:tcPr>
            <w:tcW w:w="605" w:type="pct"/>
            <w:shd w:val="clear" w:color="auto" w:fill="auto"/>
            <w:vAlign w:val="bottom"/>
          </w:tcPr>
          <w:p w14:paraId="069553B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9F29FE4" w14:textId="77777777" w:rsidTr="00372E26">
        <w:trPr>
          <w:trHeight w:val="23"/>
        </w:trPr>
        <w:tc>
          <w:tcPr>
            <w:tcW w:w="1971" w:type="pct"/>
            <w:tcBorders>
              <w:bottom w:val="single" w:sz="12" w:space="0" w:color="000000"/>
            </w:tcBorders>
            <w:shd w:val="clear" w:color="auto" w:fill="auto"/>
            <w:vAlign w:val="bottom"/>
          </w:tcPr>
          <w:p w14:paraId="1AA5F1B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6B35DBD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C3F4DA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391C57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A517E56" w14:textId="77777777" w:rsidR="00D83E33" w:rsidRPr="00E837F2" w:rsidRDefault="00D83E33">
            <w:pPr>
              <w:widowControl w:val="0"/>
              <w:pBdr>
                <w:top w:val="nil"/>
                <w:left w:val="nil"/>
                <w:bottom w:val="nil"/>
                <w:right w:val="nil"/>
                <w:between w:val="nil"/>
              </w:pBdr>
              <w:jc w:val="right"/>
              <w:rPr>
                <w:color w:val="000000"/>
              </w:rPr>
            </w:pPr>
          </w:p>
        </w:tc>
        <w:tc>
          <w:tcPr>
            <w:tcW w:w="605" w:type="pct"/>
            <w:tcBorders>
              <w:bottom w:val="single" w:sz="12" w:space="0" w:color="000000"/>
            </w:tcBorders>
            <w:shd w:val="clear" w:color="auto" w:fill="auto"/>
            <w:vAlign w:val="bottom"/>
          </w:tcPr>
          <w:p w14:paraId="636878E4" w14:textId="77777777" w:rsidR="00D83E33" w:rsidRPr="00E837F2" w:rsidRDefault="00D83E33">
            <w:pPr>
              <w:widowControl w:val="0"/>
              <w:pBdr>
                <w:top w:val="nil"/>
                <w:left w:val="nil"/>
                <w:bottom w:val="nil"/>
                <w:right w:val="nil"/>
                <w:between w:val="nil"/>
              </w:pBdr>
              <w:jc w:val="right"/>
              <w:rPr>
                <w:color w:val="000000"/>
              </w:rPr>
            </w:pPr>
          </w:p>
        </w:tc>
      </w:tr>
    </w:tbl>
    <w:p w14:paraId="35125BA9" w14:textId="200D26C4" w:rsidR="00D83E33" w:rsidRDefault="00BC4072" w:rsidP="001B330E">
      <w:pPr>
        <w:pStyle w:val="Continued"/>
      </w:pPr>
      <w:r>
        <w:lastRenderedPageBreak/>
        <w:t>12</w:t>
      </w:r>
      <w:r>
        <w:tab/>
        <w:t>Repurchase Receivables (Continued)</w:t>
      </w:r>
    </w:p>
    <w:tbl>
      <w:tblPr>
        <w:tblStyle w:val="afffffff3"/>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00DEC570" w14:textId="77777777" w:rsidTr="001B330E">
        <w:trPr>
          <w:trHeight w:val="23"/>
        </w:trPr>
        <w:tc>
          <w:tcPr>
            <w:tcW w:w="1971" w:type="pct"/>
            <w:tcBorders>
              <w:bottom w:val="single" w:sz="4" w:space="0" w:color="000000"/>
            </w:tcBorders>
            <w:shd w:val="clear" w:color="auto" w:fill="auto"/>
            <w:vAlign w:val="bottom"/>
          </w:tcPr>
          <w:p w14:paraId="1C53302C" w14:textId="36C2A10A"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shd w:val="clear" w:color="auto" w:fill="auto"/>
          </w:tcPr>
          <w:p w14:paraId="3E6BD04A"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49228B9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shd w:val="clear" w:color="auto" w:fill="auto"/>
          </w:tcPr>
          <w:p w14:paraId="4D51D82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57DD2D4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shd w:val="clear" w:color="auto" w:fill="auto"/>
          </w:tcPr>
          <w:p w14:paraId="5B1EB49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4403D13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617EE1B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shd w:val="clear" w:color="auto" w:fill="auto"/>
          </w:tcPr>
          <w:p w14:paraId="5BA5C0B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141D2904" w14:textId="77777777" w:rsidTr="001B330E">
        <w:trPr>
          <w:trHeight w:val="23"/>
        </w:trPr>
        <w:tc>
          <w:tcPr>
            <w:tcW w:w="1971" w:type="pct"/>
            <w:shd w:val="clear" w:color="auto" w:fill="auto"/>
            <w:vAlign w:val="bottom"/>
          </w:tcPr>
          <w:p w14:paraId="7D48F97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7396D7F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CE7273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D8741F"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CEBAEF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8A319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74A9B7D" w14:textId="77777777" w:rsidTr="001B330E">
        <w:trPr>
          <w:trHeight w:val="23"/>
        </w:trPr>
        <w:tc>
          <w:tcPr>
            <w:tcW w:w="1971" w:type="pct"/>
            <w:shd w:val="clear" w:color="auto" w:fill="auto"/>
            <w:vAlign w:val="bottom"/>
          </w:tcPr>
          <w:p w14:paraId="3DBB3B2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Corporate bonds</w:t>
            </w:r>
          </w:p>
        </w:tc>
        <w:tc>
          <w:tcPr>
            <w:tcW w:w="606" w:type="pct"/>
            <w:shd w:val="clear" w:color="auto" w:fill="auto"/>
            <w:vAlign w:val="bottom"/>
          </w:tcPr>
          <w:p w14:paraId="52D8D93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12574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ABAE31"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B464E6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3A1BD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BBF0368" w14:textId="77777777" w:rsidTr="001B330E">
        <w:trPr>
          <w:trHeight w:val="23"/>
        </w:trPr>
        <w:tc>
          <w:tcPr>
            <w:tcW w:w="1971" w:type="pct"/>
            <w:shd w:val="clear" w:color="auto" w:fill="auto"/>
            <w:vAlign w:val="bottom"/>
          </w:tcPr>
          <w:p w14:paraId="543BCD7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shd w:val="clear" w:color="auto" w:fill="auto"/>
            <w:vAlign w:val="bottom"/>
          </w:tcPr>
          <w:p w14:paraId="1546643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880445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CB733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70FA6C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7DD0C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A3A8650" w14:textId="77777777" w:rsidTr="001B330E">
        <w:trPr>
          <w:trHeight w:val="23"/>
        </w:trPr>
        <w:tc>
          <w:tcPr>
            <w:tcW w:w="1971" w:type="pct"/>
            <w:shd w:val="clear" w:color="auto" w:fill="auto"/>
            <w:vAlign w:val="bottom"/>
          </w:tcPr>
          <w:p w14:paraId="69F2B7E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shd w:val="clear" w:color="auto" w:fill="auto"/>
            <w:vAlign w:val="bottom"/>
          </w:tcPr>
          <w:p w14:paraId="1F86BE6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F43AEA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28FA40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4B94108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A4A2A0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FCEAAEC" w14:textId="77777777" w:rsidTr="001B330E">
        <w:trPr>
          <w:trHeight w:val="23"/>
        </w:trPr>
        <w:tc>
          <w:tcPr>
            <w:tcW w:w="1971" w:type="pct"/>
            <w:shd w:val="clear" w:color="auto" w:fill="auto"/>
            <w:vAlign w:val="bottom"/>
          </w:tcPr>
          <w:p w14:paraId="123F810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shd w:val="clear" w:color="auto" w:fill="auto"/>
            <w:vAlign w:val="bottom"/>
          </w:tcPr>
          <w:p w14:paraId="2944EA5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DDEEE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424019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45D011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000BB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F481EDC" w14:textId="77777777" w:rsidTr="001B330E">
        <w:trPr>
          <w:trHeight w:val="23"/>
        </w:trPr>
        <w:tc>
          <w:tcPr>
            <w:tcW w:w="1971" w:type="pct"/>
            <w:shd w:val="clear" w:color="auto" w:fill="auto"/>
            <w:vAlign w:val="bottom"/>
          </w:tcPr>
          <w:p w14:paraId="267FFD1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shd w:val="clear" w:color="auto" w:fill="auto"/>
            <w:vAlign w:val="bottom"/>
          </w:tcPr>
          <w:p w14:paraId="171D680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2B792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D3AD0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7A0BF0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CCE3EB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6358126" w14:textId="77777777" w:rsidTr="001B330E">
        <w:trPr>
          <w:trHeight w:val="23"/>
        </w:trPr>
        <w:tc>
          <w:tcPr>
            <w:tcW w:w="1971" w:type="pct"/>
            <w:shd w:val="clear" w:color="auto" w:fill="auto"/>
            <w:vAlign w:val="bottom"/>
          </w:tcPr>
          <w:p w14:paraId="1CD4C2D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2943F26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B603C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BC886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6CA4C8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E5F6B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A7474D9" w14:textId="77777777" w:rsidTr="001B330E">
        <w:trPr>
          <w:trHeight w:val="23"/>
        </w:trPr>
        <w:tc>
          <w:tcPr>
            <w:tcW w:w="1971" w:type="pct"/>
            <w:shd w:val="clear" w:color="auto" w:fill="auto"/>
            <w:vAlign w:val="bottom"/>
          </w:tcPr>
          <w:p w14:paraId="5DA8660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shd w:val="clear" w:color="auto" w:fill="auto"/>
            <w:vAlign w:val="bottom"/>
          </w:tcPr>
          <w:p w14:paraId="205EB82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CCB0D4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C837B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00EAE9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4BBBE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155824F" w14:textId="77777777" w:rsidTr="001B330E">
        <w:trPr>
          <w:trHeight w:val="23"/>
        </w:trPr>
        <w:tc>
          <w:tcPr>
            <w:tcW w:w="1971" w:type="pct"/>
            <w:tcBorders>
              <w:bottom w:val="single" w:sz="4" w:space="0" w:color="000000"/>
            </w:tcBorders>
            <w:shd w:val="clear" w:color="auto" w:fill="auto"/>
            <w:vAlign w:val="bottom"/>
          </w:tcPr>
          <w:p w14:paraId="00B359D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B8A38A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0ABB384"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61275F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1D455D1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9118CD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9B38B75" w14:textId="77777777" w:rsidTr="001B330E">
        <w:trPr>
          <w:trHeight w:val="23"/>
        </w:trPr>
        <w:tc>
          <w:tcPr>
            <w:tcW w:w="1971" w:type="pct"/>
            <w:tcBorders>
              <w:top w:val="single" w:sz="4" w:space="0" w:color="000000"/>
            </w:tcBorders>
            <w:shd w:val="clear" w:color="auto" w:fill="auto"/>
            <w:vAlign w:val="bottom"/>
          </w:tcPr>
          <w:p w14:paraId="4874AE8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3F58096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F6D4E4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F607A1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338BA1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24705B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79ED35D" w14:textId="77777777" w:rsidTr="001B330E">
        <w:trPr>
          <w:trHeight w:val="23"/>
        </w:trPr>
        <w:tc>
          <w:tcPr>
            <w:tcW w:w="1971" w:type="pct"/>
            <w:shd w:val="clear" w:color="auto" w:fill="auto"/>
            <w:vAlign w:val="bottom"/>
          </w:tcPr>
          <w:p w14:paraId="27FA0503"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3D9F011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7F956E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8882D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10232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229AF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F4FB565" w14:textId="77777777" w:rsidTr="001B330E">
        <w:trPr>
          <w:trHeight w:val="23"/>
        </w:trPr>
        <w:tc>
          <w:tcPr>
            <w:tcW w:w="1971" w:type="pct"/>
            <w:tcBorders>
              <w:bottom w:val="single" w:sz="4" w:space="0" w:color="000000"/>
            </w:tcBorders>
            <w:shd w:val="clear" w:color="auto" w:fill="auto"/>
            <w:vAlign w:val="bottom"/>
          </w:tcPr>
          <w:p w14:paraId="131F590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4A7100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81F0B1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9F93D1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9A8B73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88988B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09D6195" w14:textId="77777777" w:rsidTr="001B330E">
        <w:trPr>
          <w:trHeight w:val="23"/>
        </w:trPr>
        <w:tc>
          <w:tcPr>
            <w:tcW w:w="1971" w:type="pct"/>
            <w:tcBorders>
              <w:top w:val="single" w:sz="4" w:space="0" w:color="000000"/>
            </w:tcBorders>
            <w:shd w:val="clear" w:color="auto" w:fill="auto"/>
            <w:vAlign w:val="bottom"/>
          </w:tcPr>
          <w:p w14:paraId="7FEEAB6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2323B6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C1CAB1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2DD5E3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173427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DC884D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E8A7537" w14:textId="77777777" w:rsidTr="001B330E">
        <w:trPr>
          <w:trHeight w:val="23"/>
        </w:trPr>
        <w:tc>
          <w:tcPr>
            <w:tcW w:w="1971" w:type="pct"/>
            <w:shd w:val="clear" w:color="auto" w:fill="auto"/>
            <w:vAlign w:val="bottom"/>
          </w:tcPr>
          <w:p w14:paraId="10B5686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1A73C22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5EC914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F8F6B8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C1DD09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D939C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099E929" w14:textId="77777777" w:rsidTr="001B330E">
        <w:trPr>
          <w:trHeight w:val="23"/>
        </w:trPr>
        <w:tc>
          <w:tcPr>
            <w:tcW w:w="1971" w:type="pct"/>
            <w:shd w:val="clear" w:color="auto" w:fill="auto"/>
            <w:vAlign w:val="bottom"/>
          </w:tcPr>
          <w:p w14:paraId="70BF845D"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7E45C54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5ADA7A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206A04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402E2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38080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0870720" w14:textId="77777777" w:rsidTr="001B330E">
        <w:trPr>
          <w:trHeight w:val="23"/>
        </w:trPr>
        <w:tc>
          <w:tcPr>
            <w:tcW w:w="1971" w:type="pct"/>
            <w:tcBorders>
              <w:top w:val="single" w:sz="4" w:space="0" w:color="000000"/>
            </w:tcBorders>
            <w:shd w:val="clear" w:color="auto" w:fill="auto"/>
            <w:vAlign w:val="bottom"/>
          </w:tcPr>
          <w:p w14:paraId="0B92AF3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1558012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C3230C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C853D4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E8D56B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F44769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BE0E711" w14:textId="77777777" w:rsidTr="001B330E">
        <w:trPr>
          <w:trHeight w:val="23"/>
        </w:trPr>
        <w:tc>
          <w:tcPr>
            <w:tcW w:w="1971" w:type="pct"/>
            <w:shd w:val="clear" w:color="auto" w:fill="auto"/>
            <w:vAlign w:val="bottom"/>
          </w:tcPr>
          <w:p w14:paraId="67294943"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35EC8C1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EC75F1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98D90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FCB37F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2FB93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7F8FB0F" w14:textId="77777777" w:rsidTr="001B330E">
        <w:trPr>
          <w:trHeight w:val="23"/>
        </w:trPr>
        <w:tc>
          <w:tcPr>
            <w:tcW w:w="1971" w:type="pct"/>
            <w:tcBorders>
              <w:bottom w:val="single" w:sz="12" w:space="0" w:color="000000"/>
            </w:tcBorders>
            <w:shd w:val="clear" w:color="auto" w:fill="auto"/>
            <w:vAlign w:val="bottom"/>
          </w:tcPr>
          <w:p w14:paraId="5E0D559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4099303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4FDC585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3360D0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B9F607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C44D70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57FACA9" w14:textId="77777777" w:rsidTr="001B330E">
        <w:trPr>
          <w:trHeight w:val="23"/>
        </w:trPr>
        <w:tc>
          <w:tcPr>
            <w:tcW w:w="1971" w:type="pct"/>
            <w:shd w:val="clear" w:color="auto" w:fill="auto"/>
            <w:vAlign w:val="bottom"/>
          </w:tcPr>
          <w:p w14:paraId="35C4430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454CD99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044FCA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9C86D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CEE354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97EEE0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7E5F85F" w14:textId="77777777" w:rsidTr="001B330E">
        <w:trPr>
          <w:trHeight w:val="23"/>
        </w:trPr>
        <w:tc>
          <w:tcPr>
            <w:tcW w:w="1971" w:type="pct"/>
            <w:vAlign w:val="bottom"/>
          </w:tcPr>
          <w:p w14:paraId="4E0FA8DC" w14:textId="0B59F8CA" w:rsidR="00D83E33" w:rsidRPr="00E837F2" w:rsidRDefault="00BC4072" w:rsidP="001B330E">
            <w:pPr>
              <w:widowControl w:val="0"/>
              <w:pBdr>
                <w:top w:val="nil"/>
                <w:left w:val="nil"/>
                <w:bottom w:val="nil"/>
                <w:right w:val="nil"/>
                <w:between w:val="nil"/>
              </w:pBdr>
              <w:ind w:left="113" w:hanging="113"/>
              <w:rPr>
                <w:color w:val="000000"/>
              </w:rPr>
            </w:pPr>
            <w:r w:rsidRPr="00E837F2">
              <w:rPr>
                <w:b/>
                <w:i/>
                <w:color w:val="000000"/>
              </w:rPr>
              <w:t xml:space="preserve">Promissory notes </w:t>
            </w:r>
          </w:p>
        </w:tc>
        <w:tc>
          <w:tcPr>
            <w:tcW w:w="606" w:type="pct"/>
            <w:vAlign w:val="bottom"/>
          </w:tcPr>
          <w:p w14:paraId="49CDD51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875A78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A8D8C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C9067E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AEF42E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BD4D90C" w14:textId="77777777" w:rsidTr="001B330E">
        <w:trPr>
          <w:trHeight w:val="23"/>
        </w:trPr>
        <w:tc>
          <w:tcPr>
            <w:tcW w:w="1971" w:type="pct"/>
            <w:shd w:val="clear" w:color="auto" w:fill="auto"/>
            <w:vAlign w:val="bottom"/>
          </w:tcPr>
          <w:p w14:paraId="5C7642BB" w14:textId="77777777" w:rsidR="00D83E33" w:rsidRPr="00E837F2" w:rsidRDefault="00D83E33" w:rsidP="001B330E">
            <w:pPr>
              <w:widowControl w:val="0"/>
              <w:pBdr>
                <w:top w:val="nil"/>
                <w:left w:val="nil"/>
                <w:bottom w:val="nil"/>
                <w:right w:val="nil"/>
                <w:between w:val="nil"/>
              </w:pBdr>
              <w:ind w:left="113" w:hanging="113"/>
              <w:rPr>
                <w:b/>
                <w:i/>
                <w:color w:val="000000"/>
              </w:rPr>
            </w:pPr>
          </w:p>
        </w:tc>
        <w:tc>
          <w:tcPr>
            <w:tcW w:w="606" w:type="pct"/>
            <w:shd w:val="clear" w:color="auto" w:fill="auto"/>
            <w:vAlign w:val="bottom"/>
          </w:tcPr>
          <w:p w14:paraId="3FEAE131" w14:textId="77777777" w:rsidR="00D83E33" w:rsidRPr="00E837F2" w:rsidRDefault="00D83E33" w:rsidP="001B330E">
            <w:pPr>
              <w:widowControl w:val="0"/>
              <w:jc w:val="right"/>
            </w:pPr>
          </w:p>
        </w:tc>
        <w:tc>
          <w:tcPr>
            <w:tcW w:w="606" w:type="pct"/>
            <w:shd w:val="clear" w:color="auto" w:fill="auto"/>
            <w:vAlign w:val="bottom"/>
          </w:tcPr>
          <w:p w14:paraId="30CDE5CD" w14:textId="77777777" w:rsidR="00D83E33" w:rsidRPr="00E837F2" w:rsidRDefault="00D83E33" w:rsidP="001B330E">
            <w:pPr>
              <w:widowControl w:val="0"/>
              <w:jc w:val="right"/>
            </w:pPr>
          </w:p>
        </w:tc>
        <w:tc>
          <w:tcPr>
            <w:tcW w:w="606" w:type="pct"/>
            <w:shd w:val="clear" w:color="auto" w:fill="auto"/>
            <w:vAlign w:val="bottom"/>
          </w:tcPr>
          <w:p w14:paraId="65F5AA82" w14:textId="77777777" w:rsidR="00D83E33" w:rsidRPr="00E837F2" w:rsidRDefault="00D83E33" w:rsidP="001B330E">
            <w:pPr>
              <w:widowControl w:val="0"/>
              <w:jc w:val="right"/>
            </w:pPr>
          </w:p>
        </w:tc>
        <w:tc>
          <w:tcPr>
            <w:tcW w:w="606" w:type="pct"/>
            <w:vAlign w:val="bottom"/>
          </w:tcPr>
          <w:p w14:paraId="1C9B308B" w14:textId="77777777" w:rsidR="00D83E33" w:rsidRPr="00E837F2" w:rsidRDefault="00D83E33" w:rsidP="001B330E">
            <w:pPr>
              <w:widowControl w:val="0"/>
              <w:jc w:val="right"/>
            </w:pPr>
          </w:p>
        </w:tc>
        <w:tc>
          <w:tcPr>
            <w:tcW w:w="606" w:type="pct"/>
            <w:shd w:val="clear" w:color="auto" w:fill="auto"/>
            <w:vAlign w:val="bottom"/>
          </w:tcPr>
          <w:p w14:paraId="08A20CE1" w14:textId="77777777" w:rsidR="00D83E33" w:rsidRPr="00E837F2" w:rsidRDefault="00D83E33" w:rsidP="001B330E">
            <w:pPr>
              <w:widowControl w:val="0"/>
              <w:jc w:val="right"/>
            </w:pPr>
          </w:p>
        </w:tc>
      </w:tr>
      <w:tr w:rsidR="00D83E33" w:rsidRPr="00E837F2" w14:paraId="6EF1419D" w14:textId="77777777" w:rsidTr="001B330E">
        <w:trPr>
          <w:trHeight w:val="23"/>
        </w:trPr>
        <w:tc>
          <w:tcPr>
            <w:tcW w:w="1971" w:type="pct"/>
            <w:shd w:val="clear" w:color="auto" w:fill="auto"/>
            <w:vAlign w:val="bottom"/>
          </w:tcPr>
          <w:p w14:paraId="3F977BE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shd w:val="clear" w:color="auto" w:fill="auto"/>
            <w:vAlign w:val="bottom"/>
          </w:tcPr>
          <w:p w14:paraId="3178040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3FA7E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1A4D6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118FAA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54D16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2D3EA55" w14:textId="77777777" w:rsidTr="001B330E">
        <w:trPr>
          <w:trHeight w:val="23"/>
        </w:trPr>
        <w:tc>
          <w:tcPr>
            <w:tcW w:w="1971" w:type="pct"/>
            <w:shd w:val="clear" w:color="auto" w:fill="auto"/>
            <w:vAlign w:val="bottom"/>
          </w:tcPr>
          <w:p w14:paraId="386F255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shd w:val="clear" w:color="auto" w:fill="auto"/>
            <w:vAlign w:val="bottom"/>
          </w:tcPr>
          <w:p w14:paraId="1AF9280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381FDD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CF51F9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2CAAE7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492E7D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F0CF815" w14:textId="77777777" w:rsidTr="001B330E">
        <w:trPr>
          <w:trHeight w:val="23"/>
        </w:trPr>
        <w:tc>
          <w:tcPr>
            <w:tcW w:w="1971" w:type="pct"/>
            <w:shd w:val="clear" w:color="auto" w:fill="auto"/>
            <w:vAlign w:val="bottom"/>
          </w:tcPr>
          <w:p w14:paraId="06D19B9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shd w:val="clear" w:color="auto" w:fill="auto"/>
            <w:vAlign w:val="bottom"/>
          </w:tcPr>
          <w:p w14:paraId="3249D79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E1053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90DEE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4C3FCF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CB65C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452342C" w14:textId="77777777" w:rsidTr="001B330E">
        <w:trPr>
          <w:trHeight w:val="23"/>
        </w:trPr>
        <w:tc>
          <w:tcPr>
            <w:tcW w:w="1971" w:type="pct"/>
            <w:shd w:val="clear" w:color="auto" w:fill="auto"/>
            <w:vAlign w:val="bottom"/>
          </w:tcPr>
          <w:p w14:paraId="0F96279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shd w:val="clear" w:color="auto" w:fill="auto"/>
            <w:vAlign w:val="bottom"/>
          </w:tcPr>
          <w:p w14:paraId="0E792C7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9AB809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70CC8A"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963A00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DFDFFF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55496CC" w14:textId="77777777" w:rsidTr="001B330E">
        <w:trPr>
          <w:trHeight w:val="23"/>
        </w:trPr>
        <w:tc>
          <w:tcPr>
            <w:tcW w:w="1971" w:type="pct"/>
            <w:shd w:val="clear" w:color="auto" w:fill="auto"/>
            <w:vAlign w:val="bottom"/>
          </w:tcPr>
          <w:p w14:paraId="70A85CB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shd w:val="clear" w:color="auto" w:fill="auto"/>
            <w:vAlign w:val="bottom"/>
          </w:tcPr>
          <w:p w14:paraId="05F9C56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17C4A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DF531E"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7E847EA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BFD092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1E7E387" w14:textId="77777777" w:rsidTr="001B330E">
        <w:trPr>
          <w:trHeight w:val="23"/>
        </w:trPr>
        <w:tc>
          <w:tcPr>
            <w:tcW w:w="1971" w:type="pct"/>
            <w:tcBorders>
              <w:bottom w:val="single" w:sz="4" w:space="0" w:color="000000"/>
            </w:tcBorders>
            <w:shd w:val="clear" w:color="auto" w:fill="auto"/>
            <w:vAlign w:val="bottom"/>
          </w:tcPr>
          <w:p w14:paraId="4929FF74"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6B39DBF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5B91A0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4928637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D7CE62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B9583A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BF405F0" w14:textId="77777777" w:rsidTr="001B330E">
        <w:trPr>
          <w:trHeight w:val="23"/>
        </w:trPr>
        <w:tc>
          <w:tcPr>
            <w:tcW w:w="1971" w:type="pct"/>
            <w:tcBorders>
              <w:top w:val="single" w:sz="4" w:space="0" w:color="000000"/>
            </w:tcBorders>
            <w:shd w:val="clear" w:color="auto" w:fill="auto"/>
            <w:vAlign w:val="bottom"/>
          </w:tcPr>
          <w:p w14:paraId="58106751"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8586DE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37C60A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595A41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8C3E42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E13E2E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BCD4DF7" w14:textId="77777777" w:rsidTr="001B330E">
        <w:trPr>
          <w:trHeight w:val="23"/>
        </w:trPr>
        <w:tc>
          <w:tcPr>
            <w:tcW w:w="1971" w:type="pct"/>
            <w:shd w:val="clear" w:color="auto" w:fill="auto"/>
            <w:vAlign w:val="bottom"/>
          </w:tcPr>
          <w:p w14:paraId="3B94C28C"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54F8401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2BF73E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5CED5B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AEA858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21286E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8C79927" w14:textId="77777777" w:rsidTr="001B330E">
        <w:trPr>
          <w:trHeight w:val="23"/>
        </w:trPr>
        <w:tc>
          <w:tcPr>
            <w:tcW w:w="1971" w:type="pct"/>
            <w:tcBorders>
              <w:bottom w:val="single" w:sz="4" w:space="0" w:color="000000"/>
            </w:tcBorders>
            <w:shd w:val="clear" w:color="auto" w:fill="auto"/>
            <w:vAlign w:val="bottom"/>
          </w:tcPr>
          <w:p w14:paraId="7E34C99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4A27271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B13407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C9E293F"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2AA118F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146EB9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D45CBCB" w14:textId="77777777" w:rsidTr="001B330E">
        <w:trPr>
          <w:trHeight w:val="23"/>
        </w:trPr>
        <w:tc>
          <w:tcPr>
            <w:tcW w:w="1971" w:type="pct"/>
            <w:tcBorders>
              <w:top w:val="single" w:sz="4" w:space="0" w:color="000000"/>
            </w:tcBorders>
            <w:shd w:val="clear" w:color="auto" w:fill="auto"/>
            <w:vAlign w:val="bottom"/>
          </w:tcPr>
          <w:p w14:paraId="3C4B3C98"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2D6066E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65784D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68F909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CAB711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81F211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CEFF97A" w14:textId="77777777" w:rsidTr="001B330E">
        <w:trPr>
          <w:trHeight w:val="23"/>
        </w:trPr>
        <w:tc>
          <w:tcPr>
            <w:tcW w:w="1971" w:type="pct"/>
            <w:shd w:val="clear" w:color="auto" w:fill="auto"/>
            <w:vAlign w:val="bottom"/>
          </w:tcPr>
          <w:p w14:paraId="09A8136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0FFDE69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A82CB0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B28AA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A7EFA3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521B5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0FDC3C0" w14:textId="77777777" w:rsidTr="001B330E">
        <w:trPr>
          <w:trHeight w:val="23"/>
        </w:trPr>
        <w:tc>
          <w:tcPr>
            <w:tcW w:w="1971" w:type="pct"/>
            <w:shd w:val="clear" w:color="auto" w:fill="auto"/>
            <w:vAlign w:val="bottom"/>
          </w:tcPr>
          <w:p w14:paraId="5D42967C"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5E93F2B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CD3C80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3AE659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47BA3E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4C87A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7B26D4B" w14:textId="77777777" w:rsidTr="001B330E">
        <w:trPr>
          <w:trHeight w:val="23"/>
        </w:trPr>
        <w:tc>
          <w:tcPr>
            <w:tcW w:w="1971" w:type="pct"/>
            <w:tcBorders>
              <w:top w:val="single" w:sz="4" w:space="0" w:color="000000"/>
            </w:tcBorders>
            <w:shd w:val="clear" w:color="auto" w:fill="auto"/>
            <w:vAlign w:val="bottom"/>
          </w:tcPr>
          <w:p w14:paraId="124B76AB"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414306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5918E53"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C0DD4E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9AD781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EE4B9A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1CC9AB5" w14:textId="77777777" w:rsidTr="001B330E">
        <w:trPr>
          <w:trHeight w:val="23"/>
        </w:trPr>
        <w:tc>
          <w:tcPr>
            <w:tcW w:w="1971" w:type="pct"/>
            <w:shd w:val="clear" w:color="auto" w:fill="auto"/>
            <w:vAlign w:val="bottom"/>
          </w:tcPr>
          <w:p w14:paraId="5317B03C"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4ED0CD6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B64DFE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7EF7C7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985996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55AA73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AD4BCCF" w14:textId="77777777" w:rsidTr="001B330E">
        <w:trPr>
          <w:trHeight w:val="23"/>
        </w:trPr>
        <w:tc>
          <w:tcPr>
            <w:tcW w:w="1971" w:type="pct"/>
            <w:tcBorders>
              <w:bottom w:val="single" w:sz="12" w:space="0" w:color="000000"/>
            </w:tcBorders>
            <w:shd w:val="clear" w:color="auto" w:fill="auto"/>
            <w:vAlign w:val="bottom"/>
          </w:tcPr>
          <w:p w14:paraId="2157C30F"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bottom w:val="single" w:sz="12" w:space="0" w:color="000000"/>
            </w:tcBorders>
            <w:vAlign w:val="bottom"/>
          </w:tcPr>
          <w:p w14:paraId="3EE2DDD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20660F6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0668902C"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46FA79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A7D7A9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263B8BC" w14:textId="77777777" w:rsidTr="001B330E">
        <w:trPr>
          <w:trHeight w:val="23"/>
        </w:trPr>
        <w:tc>
          <w:tcPr>
            <w:tcW w:w="1971" w:type="pct"/>
            <w:tcBorders>
              <w:top w:val="single" w:sz="4" w:space="0" w:color="000000"/>
            </w:tcBorders>
            <w:shd w:val="clear" w:color="auto" w:fill="auto"/>
            <w:vAlign w:val="bottom"/>
          </w:tcPr>
          <w:p w14:paraId="0E5C35D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shd w:val="clear" w:color="auto" w:fill="auto"/>
            <w:vAlign w:val="bottom"/>
          </w:tcPr>
          <w:p w14:paraId="0289DDB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E0A49F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BC4FFF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F9DB41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012200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EB85DC6" w14:textId="77777777" w:rsidTr="001B330E">
        <w:trPr>
          <w:trHeight w:val="23"/>
        </w:trPr>
        <w:tc>
          <w:tcPr>
            <w:tcW w:w="1971" w:type="pct"/>
            <w:shd w:val="clear" w:color="auto" w:fill="auto"/>
            <w:vAlign w:val="bottom"/>
          </w:tcPr>
          <w:p w14:paraId="36B2D85E"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b/>
                <w:color w:val="000000"/>
              </w:rPr>
              <w:t>Total investments in debt securities at AC sold under sale and repurchase agreements (gross value)</w:t>
            </w:r>
          </w:p>
        </w:tc>
        <w:tc>
          <w:tcPr>
            <w:tcW w:w="606" w:type="pct"/>
            <w:shd w:val="clear" w:color="auto" w:fill="auto"/>
            <w:vAlign w:val="bottom"/>
          </w:tcPr>
          <w:p w14:paraId="0623605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633F3C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21BCAAB"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5F3AF6D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41D2F9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BC38A9E" w14:textId="77777777" w:rsidTr="001B330E">
        <w:trPr>
          <w:trHeight w:val="23"/>
        </w:trPr>
        <w:tc>
          <w:tcPr>
            <w:tcW w:w="1971" w:type="pct"/>
            <w:tcBorders>
              <w:bottom w:val="single" w:sz="4" w:space="0" w:color="000000"/>
            </w:tcBorders>
            <w:shd w:val="clear" w:color="auto" w:fill="auto"/>
            <w:vAlign w:val="bottom"/>
          </w:tcPr>
          <w:p w14:paraId="21F23033"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 </w:t>
            </w:r>
          </w:p>
        </w:tc>
        <w:tc>
          <w:tcPr>
            <w:tcW w:w="606" w:type="pct"/>
            <w:tcBorders>
              <w:bottom w:val="single" w:sz="4" w:space="0" w:color="000000"/>
            </w:tcBorders>
            <w:shd w:val="clear" w:color="auto" w:fill="auto"/>
            <w:vAlign w:val="bottom"/>
          </w:tcPr>
          <w:p w14:paraId="632FE20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EFE1329"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431DAB8"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7A0A1FA"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872EB8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174F6A3" w14:textId="77777777" w:rsidTr="001B330E">
        <w:trPr>
          <w:trHeight w:val="23"/>
        </w:trPr>
        <w:tc>
          <w:tcPr>
            <w:tcW w:w="1971" w:type="pct"/>
            <w:tcBorders>
              <w:top w:val="single" w:sz="4" w:space="0" w:color="000000"/>
            </w:tcBorders>
            <w:shd w:val="clear" w:color="auto" w:fill="auto"/>
            <w:vAlign w:val="bottom"/>
          </w:tcPr>
          <w:p w14:paraId="37A995A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606" w:type="pct"/>
            <w:tcBorders>
              <w:top w:val="single" w:sz="4" w:space="0" w:color="000000"/>
            </w:tcBorders>
            <w:shd w:val="clear" w:color="auto" w:fill="auto"/>
            <w:vAlign w:val="bottom"/>
          </w:tcPr>
          <w:p w14:paraId="7FE01C95"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3B5814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52E6CDE"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113713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1EA380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A596A63" w14:textId="77777777" w:rsidTr="001B330E">
        <w:trPr>
          <w:trHeight w:val="23"/>
        </w:trPr>
        <w:tc>
          <w:tcPr>
            <w:tcW w:w="1971" w:type="pct"/>
            <w:shd w:val="clear" w:color="auto" w:fill="auto"/>
            <w:vAlign w:val="bottom"/>
          </w:tcPr>
          <w:p w14:paraId="7F266942"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Credit loss allowance</w:t>
            </w:r>
          </w:p>
        </w:tc>
        <w:tc>
          <w:tcPr>
            <w:tcW w:w="606" w:type="pct"/>
            <w:shd w:val="clear" w:color="auto" w:fill="auto"/>
            <w:vAlign w:val="bottom"/>
          </w:tcPr>
          <w:p w14:paraId="7FA102F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FB71A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F440F3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2108EBB4"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E4724B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D23AA32" w14:textId="77777777" w:rsidTr="001B330E">
        <w:trPr>
          <w:trHeight w:val="23"/>
        </w:trPr>
        <w:tc>
          <w:tcPr>
            <w:tcW w:w="1971" w:type="pct"/>
            <w:shd w:val="clear" w:color="auto" w:fill="auto"/>
            <w:vAlign w:val="bottom"/>
          </w:tcPr>
          <w:p w14:paraId="1353180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606" w:type="pct"/>
            <w:shd w:val="clear" w:color="auto" w:fill="auto"/>
            <w:vAlign w:val="bottom"/>
          </w:tcPr>
          <w:p w14:paraId="75CDA9F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DFF733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BF45EF2"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8EB52E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D7BAB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0131F9E" w14:textId="77777777" w:rsidTr="001B330E">
        <w:trPr>
          <w:trHeight w:val="23"/>
        </w:trPr>
        <w:tc>
          <w:tcPr>
            <w:tcW w:w="1971" w:type="pct"/>
            <w:tcBorders>
              <w:top w:val="single" w:sz="4" w:space="0" w:color="000000"/>
            </w:tcBorders>
            <w:shd w:val="clear" w:color="auto" w:fill="auto"/>
            <w:vAlign w:val="bottom"/>
          </w:tcPr>
          <w:p w14:paraId="1C450939"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 </w:t>
            </w:r>
          </w:p>
        </w:tc>
        <w:tc>
          <w:tcPr>
            <w:tcW w:w="606" w:type="pct"/>
            <w:tcBorders>
              <w:top w:val="single" w:sz="4" w:space="0" w:color="000000"/>
            </w:tcBorders>
            <w:shd w:val="clear" w:color="auto" w:fill="auto"/>
            <w:vAlign w:val="bottom"/>
          </w:tcPr>
          <w:p w14:paraId="1F7F870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A6B0D26"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7E45832"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E187DDD"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5CA138F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CD3F20F" w14:textId="77777777" w:rsidTr="001B330E">
        <w:trPr>
          <w:trHeight w:val="23"/>
        </w:trPr>
        <w:tc>
          <w:tcPr>
            <w:tcW w:w="1971" w:type="pct"/>
            <w:shd w:val="clear" w:color="auto" w:fill="auto"/>
            <w:vAlign w:val="bottom"/>
          </w:tcPr>
          <w:p w14:paraId="68B0B99A"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investments in debt securities at AC sold under sale and repurchase agreements (carrying value)</w:t>
            </w:r>
          </w:p>
        </w:tc>
        <w:tc>
          <w:tcPr>
            <w:tcW w:w="606" w:type="pct"/>
            <w:shd w:val="clear" w:color="auto" w:fill="auto"/>
            <w:vAlign w:val="bottom"/>
          </w:tcPr>
          <w:p w14:paraId="5ECD348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658C0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BA49C7"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8AD319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75401C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836772C" w14:textId="77777777" w:rsidTr="001B330E">
        <w:trPr>
          <w:trHeight w:val="23"/>
        </w:trPr>
        <w:tc>
          <w:tcPr>
            <w:tcW w:w="1971" w:type="pct"/>
            <w:tcBorders>
              <w:bottom w:val="single" w:sz="12" w:space="0" w:color="000000"/>
            </w:tcBorders>
            <w:shd w:val="clear" w:color="auto" w:fill="auto"/>
            <w:vAlign w:val="bottom"/>
          </w:tcPr>
          <w:p w14:paraId="69FA20BC"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color w:val="000000"/>
              </w:rPr>
              <w:t> </w:t>
            </w:r>
          </w:p>
        </w:tc>
        <w:tc>
          <w:tcPr>
            <w:tcW w:w="606" w:type="pct"/>
            <w:tcBorders>
              <w:bottom w:val="single" w:sz="12" w:space="0" w:color="000000"/>
            </w:tcBorders>
            <w:shd w:val="clear" w:color="auto" w:fill="auto"/>
            <w:vAlign w:val="bottom"/>
          </w:tcPr>
          <w:p w14:paraId="3BC6ACB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FDD5301"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78C63BBB"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67EE6420" w14:textId="77777777" w:rsidR="00D83E33" w:rsidRPr="00E837F2"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3F840EBE" w14:textId="77777777" w:rsidR="00D83E33" w:rsidRPr="00E837F2" w:rsidRDefault="00D83E33">
            <w:pPr>
              <w:widowControl w:val="0"/>
              <w:pBdr>
                <w:top w:val="nil"/>
                <w:left w:val="nil"/>
                <w:bottom w:val="nil"/>
                <w:right w:val="nil"/>
                <w:between w:val="nil"/>
              </w:pBdr>
              <w:jc w:val="right"/>
              <w:rPr>
                <w:color w:val="000000"/>
              </w:rPr>
            </w:pPr>
          </w:p>
        </w:tc>
      </w:tr>
    </w:tbl>
    <w:p w14:paraId="6C86BF41" w14:textId="3BB3F2CC"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total amount of undiscounted ECLs at initial recognition for POCI financial assets recognised during </w:t>
      </w:r>
      <w:r w:rsidR="00541EBC">
        <w:rPr>
          <w:color w:val="000000"/>
          <w:sz w:val="20"/>
          <w:szCs w:val="20"/>
        </w:rPr>
        <w:t>2024</w:t>
      </w:r>
      <w:r w:rsidR="00181687">
        <w:rPr>
          <w:color w:val="000000"/>
          <w:sz w:val="20"/>
          <w:szCs w:val="20"/>
        </w:rPr>
        <w:t xml:space="preserve"> </w:t>
      </w:r>
      <w:r>
        <w:rPr>
          <w:color w:val="000000"/>
          <w:sz w:val="20"/>
          <w:szCs w:val="20"/>
        </w:rPr>
        <w:t xml:space="preserve">was </w:t>
      </w:r>
      <w:r w:rsidR="00D73799">
        <w:rPr>
          <w:color w:val="000000"/>
          <w:sz w:val="20"/>
          <w:szCs w:val="20"/>
        </w:rPr>
        <w:t>EUR</w:t>
      </w:r>
      <w:r>
        <w:rPr>
          <w:color w:val="000000"/>
          <w:sz w:val="20"/>
          <w:szCs w:val="20"/>
        </w:rPr>
        <w:t xml:space="preserve"> </w:t>
      </w:r>
      <w:r>
        <w:rPr>
          <w:color w:val="0000FF"/>
          <w:sz w:val="20"/>
          <w:szCs w:val="20"/>
        </w:rPr>
        <w:t>[ ]</w:t>
      </w:r>
      <w:r>
        <w:rPr>
          <w:color w:val="0070C0"/>
          <w:sz w:val="20"/>
          <w:szCs w:val="20"/>
        </w:rPr>
        <w:t xml:space="preserve"> </w:t>
      </w:r>
      <w:r>
        <w:rPr>
          <w:color w:val="000000"/>
          <w:sz w:val="20"/>
          <w:szCs w:val="20"/>
        </w:rPr>
        <w:t>thousand (</w:t>
      </w:r>
      <w:r w:rsidR="00541EBC">
        <w:rPr>
          <w:color w:val="000000"/>
          <w:sz w:val="20"/>
          <w:szCs w:val="20"/>
        </w:rPr>
        <w:t>2023</w:t>
      </w:r>
      <w:r>
        <w:rPr>
          <w:color w:val="000000"/>
          <w:sz w:val="20"/>
          <w:szCs w:val="20"/>
        </w:rPr>
        <w:t>:</w:t>
      </w:r>
      <w:r w:rsidR="00313B4D">
        <w:rPr>
          <w:color w:val="000000"/>
          <w:sz w:val="20"/>
          <w:szCs w:val="20"/>
        </w:rPr>
        <w:t xml:space="preserve"> </w:t>
      </w:r>
      <w:r w:rsidR="00D73799">
        <w:rPr>
          <w:color w:val="000000"/>
          <w:sz w:val="20"/>
          <w:szCs w:val="20"/>
        </w:rPr>
        <w:t>EUR</w:t>
      </w:r>
      <w:r>
        <w:rPr>
          <w:color w:val="000000"/>
          <w:sz w:val="20"/>
          <w:szCs w:val="20"/>
        </w:rPr>
        <w:t xml:space="preserve"> ____ thousand).</w:t>
      </w:r>
      <w:r w:rsidR="003B2D97">
        <w:rPr>
          <w:color w:val="000000"/>
          <w:sz w:val="20"/>
          <w:szCs w:val="20"/>
        </w:rPr>
        <w:t xml:space="preserve"> </w:t>
      </w:r>
      <w:r>
        <w:rPr>
          <w:color w:val="000000"/>
          <w:sz w:val="20"/>
          <w:szCs w:val="20"/>
        </w:rPr>
        <w:t>Refer to Note 41 for the description of credit risk grading system used by the Group and the approach to ECL measurement, including the definition of default and SICR as applicable to the debt securities.</w:t>
      </w:r>
      <w:r w:rsidR="003B2D97">
        <w:rPr>
          <w:color w:val="000000"/>
          <w:sz w:val="20"/>
          <w:szCs w:val="20"/>
        </w:rPr>
        <w:t xml:space="preserve">  </w:t>
      </w:r>
    </w:p>
    <w:p w14:paraId="08640C84" w14:textId="71AA42D0" w:rsidR="00D83E33" w:rsidRDefault="00BC4072" w:rsidP="001B330E">
      <w:pPr>
        <w:pStyle w:val="Continued"/>
      </w:pPr>
      <w:r>
        <w:lastRenderedPageBreak/>
        <w:t>12</w:t>
      </w:r>
      <w:r>
        <w:tab/>
        <w:t>Repurchase Receivables (Continued)</w:t>
      </w:r>
    </w:p>
    <w:p w14:paraId="5C6D5E04" w14:textId="4777D837" w:rsidR="00922233" w:rsidRDefault="00922233" w:rsidP="00922233">
      <w:pPr>
        <w:widowControl w:val="0"/>
        <w:spacing w:before="200" w:after="200"/>
        <w:jc w:val="both"/>
        <w:rPr>
          <w:sz w:val="20"/>
          <w:szCs w:val="20"/>
        </w:rPr>
      </w:pPr>
    </w:p>
    <w:p w14:paraId="0140C6A6" w14:textId="70259188"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Movements in the credit loss allowance and in the gross amortised cost amount of</w:t>
      </w:r>
      <w:r w:rsidR="00062BE5">
        <w:rPr>
          <w:color w:val="000000"/>
          <w:sz w:val="20"/>
          <w:szCs w:val="20"/>
        </w:rPr>
        <w:t xml:space="preserve"> </w:t>
      </w:r>
      <w:r w:rsidR="00922233" w:rsidRPr="00372E26">
        <w:rPr>
          <w:color w:val="0000FF"/>
          <w:sz w:val="20"/>
          <w:szCs w:val="20"/>
        </w:rPr>
        <w:t>[</w:t>
      </w:r>
      <w:r w:rsidR="00372E26">
        <w:rPr>
          <w:color w:val="0000FF"/>
          <w:sz w:val="20"/>
          <w:szCs w:val="20"/>
        </w:rPr>
        <w:t>[Country]</w:t>
      </w:r>
      <w:r w:rsidRPr="00372E26">
        <w:rPr>
          <w:color w:val="0000FF"/>
          <w:sz w:val="20"/>
          <w:szCs w:val="20"/>
        </w:rPr>
        <w:t xml:space="preserve"> government bonds at FVOCI</w:t>
      </w:r>
      <w:r w:rsidR="00922233" w:rsidRPr="00372E26">
        <w:rPr>
          <w:color w:val="0000FF"/>
          <w:sz w:val="20"/>
          <w:szCs w:val="20"/>
        </w:rPr>
        <w:t>]</w:t>
      </w:r>
      <w:r>
        <w:rPr>
          <w:color w:val="000000"/>
          <w:sz w:val="20"/>
          <w:szCs w:val="20"/>
        </w:rPr>
        <w:t xml:space="preserve"> were as follows. </w:t>
      </w:r>
    </w:p>
    <w:tbl>
      <w:tblPr>
        <w:tblStyle w:val="afffffff4"/>
        <w:tblW w:w="5000" w:type="pct"/>
        <w:tblLook w:val="0000" w:firstRow="0" w:lastRow="0" w:firstColumn="0" w:lastColumn="0" w:noHBand="0" w:noVBand="0"/>
      </w:tblPr>
      <w:tblGrid>
        <w:gridCol w:w="2449"/>
        <w:gridCol w:w="898"/>
        <w:gridCol w:w="941"/>
        <w:gridCol w:w="941"/>
        <w:gridCol w:w="674"/>
        <w:gridCol w:w="898"/>
        <w:gridCol w:w="941"/>
        <w:gridCol w:w="941"/>
        <w:gridCol w:w="672"/>
      </w:tblGrid>
      <w:tr w:rsidR="009C6EFA" w:rsidRPr="00922233" w14:paraId="451A210D" w14:textId="77777777" w:rsidTr="001B330E">
        <w:trPr>
          <w:trHeight w:val="23"/>
        </w:trPr>
        <w:tc>
          <w:tcPr>
            <w:tcW w:w="1309" w:type="pct"/>
            <w:shd w:val="clear" w:color="auto" w:fill="auto"/>
            <w:vAlign w:val="bottom"/>
          </w:tcPr>
          <w:p w14:paraId="2D11859A" w14:textId="77777777" w:rsidR="009C6EFA" w:rsidRPr="00372E26" w:rsidRDefault="009C6EFA" w:rsidP="001B330E">
            <w:pPr>
              <w:widowControl w:val="0"/>
              <w:pBdr>
                <w:top w:val="nil"/>
                <w:left w:val="nil"/>
                <w:bottom w:val="nil"/>
                <w:right w:val="nil"/>
                <w:between w:val="nil"/>
              </w:pBdr>
              <w:ind w:left="113" w:hanging="113"/>
              <w:rPr>
                <w:i/>
                <w:color w:val="000000"/>
                <w:sz w:val="16"/>
                <w:szCs w:val="16"/>
              </w:rPr>
            </w:pPr>
          </w:p>
        </w:tc>
        <w:tc>
          <w:tcPr>
            <w:tcW w:w="1845" w:type="pct"/>
            <w:gridSpan w:val="4"/>
            <w:tcBorders>
              <w:bottom w:val="single" w:sz="4" w:space="0" w:color="000000"/>
            </w:tcBorders>
            <w:shd w:val="clear" w:color="auto" w:fill="auto"/>
          </w:tcPr>
          <w:p w14:paraId="143F40BD" w14:textId="77777777" w:rsidR="009C6EFA" w:rsidRPr="00372E26" w:rsidRDefault="009C6EFA" w:rsidP="001B330E">
            <w:pPr>
              <w:widowControl w:val="0"/>
              <w:pBdr>
                <w:top w:val="nil"/>
                <w:left w:val="nil"/>
                <w:bottom w:val="nil"/>
                <w:right w:val="nil"/>
                <w:between w:val="nil"/>
              </w:pBdr>
              <w:tabs>
                <w:tab w:val="left" w:pos="3182"/>
              </w:tabs>
              <w:jc w:val="center"/>
              <w:rPr>
                <w:b/>
                <w:color w:val="000000"/>
                <w:sz w:val="16"/>
                <w:szCs w:val="16"/>
              </w:rPr>
            </w:pPr>
            <w:r w:rsidRPr="00372E26">
              <w:rPr>
                <w:b/>
                <w:color w:val="000000"/>
                <w:sz w:val="16"/>
                <w:szCs w:val="16"/>
              </w:rPr>
              <w:t>Credit loss allowance</w:t>
            </w:r>
          </w:p>
        </w:tc>
        <w:tc>
          <w:tcPr>
            <w:tcW w:w="1846" w:type="pct"/>
            <w:gridSpan w:val="4"/>
            <w:tcBorders>
              <w:bottom w:val="single" w:sz="4" w:space="0" w:color="000000"/>
            </w:tcBorders>
          </w:tcPr>
          <w:p w14:paraId="66AE3AFE" w14:textId="77777777" w:rsidR="009C6EFA" w:rsidRPr="00372E26" w:rsidRDefault="009C6EFA" w:rsidP="001B330E">
            <w:pPr>
              <w:widowControl w:val="0"/>
              <w:pBdr>
                <w:top w:val="nil"/>
                <w:left w:val="nil"/>
                <w:bottom w:val="nil"/>
                <w:right w:val="nil"/>
                <w:between w:val="nil"/>
              </w:pBdr>
              <w:jc w:val="center"/>
              <w:rPr>
                <w:b/>
                <w:color w:val="000000"/>
                <w:sz w:val="16"/>
                <w:szCs w:val="16"/>
              </w:rPr>
            </w:pPr>
            <w:r w:rsidRPr="00372E26">
              <w:rPr>
                <w:b/>
                <w:color w:val="000000"/>
                <w:sz w:val="16"/>
                <w:szCs w:val="16"/>
              </w:rPr>
              <w:t>Gross carrying amount</w:t>
            </w:r>
          </w:p>
        </w:tc>
      </w:tr>
      <w:tr w:rsidR="009C6EFA" w:rsidRPr="00922233" w14:paraId="75D26251" w14:textId="77777777" w:rsidTr="001B330E">
        <w:trPr>
          <w:trHeight w:val="23"/>
        </w:trPr>
        <w:tc>
          <w:tcPr>
            <w:tcW w:w="1309" w:type="pct"/>
            <w:tcBorders>
              <w:bottom w:val="single" w:sz="4" w:space="0" w:color="000000"/>
            </w:tcBorders>
            <w:shd w:val="clear" w:color="auto" w:fill="auto"/>
            <w:vAlign w:val="bottom"/>
          </w:tcPr>
          <w:p w14:paraId="1672D674" w14:textId="77777777" w:rsidR="009C6EFA" w:rsidRPr="00372E26" w:rsidRDefault="009C6EFA" w:rsidP="001B330E">
            <w:pPr>
              <w:widowControl w:val="0"/>
              <w:pBdr>
                <w:top w:val="nil"/>
                <w:left w:val="nil"/>
                <w:bottom w:val="nil"/>
                <w:right w:val="nil"/>
                <w:between w:val="nil"/>
              </w:pBdr>
              <w:ind w:left="113" w:hanging="113"/>
              <w:rPr>
                <w:i/>
                <w:color w:val="000000"/>
                <w:sz w:val="16"/>
                <w:szCs w:val="16"/>
              </w:rPr>
            </w:pPr>
          </w:p>
          <w:p w14:paraId="4E99D4BD" w14:textId="5E3B7094" w:rsidR="009C6EFA" w:rsidRPr="00372E26" w:rsidRDefault="00313B4D" w:rsidP="001B330E">
            <w:pPr>
              <w:widowControl w:val="0"/>
              <w:pBdr>
                <w:top w:val="nil"/>
                <w:left w:val="nil"/>
                <w:bottom w:val="nil"/>
                <w:right w:val="nil"/>
                <w:between w:val="nil"/>
              </w:pBdr>
              <w:ind w:left="113" w:hanging="113"/>
              <w:rPr>
                <w:b/>
                <w:i/>
                <w:color w:val="000000"/>
                <w:sz w:val="16"/>
                <w:szCs w:val="16"/>
              </w:rPr>
            </w:pPr>
            <w:r w:rsidRPr="00372E26">
              <w:rPr>
                <w:i/>
                <w:color w:val="000000"/>
                <w:sz w:val="16"/>
                <w:szCs w:val="16"/>
              </w:rPr>
              <w:t xml:space="preserve">In thousands of </w:t>
            </w:r>
            <w:r w:rsidR="002649EE" w:rsidRPr="00372E26">
              <w:rPr>
                <w:i/>
                <w:color w:val="000000"/>
                <w:sz w:val="16"/>
                <w:szCs w:val="16"/>
              </w:rPr>
              <w:t>EUR</w:t>
            </w:r>
          </w:p>
        </w:tc>
        <w:tc>
          <w:tcPr>
            <w:tcW w:w="480" w:type="pct"/>
            <w:tcBorders>
              <w:top w:val="single" w:sz="4" w:space="0" w:color="000000"/>
              <w:bottom w:val="single" w:sz="4" w:space="0" w:color="000000"/>
            </w:tcBorders>
            <w:shd w:val="clear" w:color="auto" w:fill="auto"/>
          </w:tcPr>
          <w:p w14:paraId="7E834420"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1</w:t>
            </w:r>
          </w:p>
          <w:p w14:paraId="0CD98E4B" w14:textId="77777777" w:rsidR="009C6EFA" w:rsidRPr="00372E26" w:rsidRDefault="009C6EFA" w:rsidP="001B330E">
            <w:pPr>
              <w:widowControl w:val="0"/>
              <w:pBdr>
                <w:top w:val="nil"/>
                <w:left w:val="nil"/>
                <w:bottom w:val="nil"/>
                <w:right w:val="nil"/>
                <w:between w:val="nil"/>
              </w:pBdr>
              <w:ind w:left="-113" w:firstLine="142"/>
              <w:jc w:val="right"/>
              <w:rPr>
                <w:b/>
                <w:color w:val="000000"/>
                <w:sz w:val="16"/>
                <w:szCs w:val="16"/>
              </w:rPr>
            </w:pPr>
            <w:r w:rsidRPr="00372E26">
              <w:rPr>
                <w:b/>
                <w:color w:val="000000"/>
                <w:sz w:val="16"/>
                <w:szCs w:val="16"/>
              </w:rPr>
              <w:t>(12-months ECL)</w:t>
            </w:r>
          </w:p>
        </w:tc>
        <w:tc>
          <w:tcPr>
            <w:tcW w:w="503" w:type="pct"/>
            <w:tcBorders>
              <w:top w:val="single" w:sz="4" w:space="0" w:color="000000"/>
              <w:bottom w:val="single" w:sz="4" w:space="0" w:color="000000"/>
            </w:tcBorders>
            <w:shd w:val="clear" w:color="auto" w:fill="auto"/>
          </w:tcPr>
          <w:p w14:paraId="113480BB"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2</w:t>
            </w:r>
          </w:p>
          <w:p w14:paraId="263B433A" w14:textId="665FD4CC"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(lifetime ECL for SICR)</w:t>
            </w:r>
          </w:p>
        </w:tc>
        <w:tc>
          <w:tcPr>
            <w:tcW w:w="503" w:type="pct"/>
            <w:tcBorders>
              <w:top w:val="single" w:sz="4" w:space="0" w:color="000000"/>
              <w:bottom w:val="single" w:sz="4" w:space="0" w:color="000000"/>
            </w:tcBorders>
            <w:shd w:val="clear" w:color="auto" w:fill="auto"/>
          </w:tcPr>
          <w:p w14:paraId="4A8ED1E0"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3</w:t>
            </w:r>
          </w:p>
          <w:p w14:paraId="641654FD"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(lifetime ECL for credit im-paired)</w:t>
            </w:r>
          </w:p>
        </w:tc>
        <w:tc>
          <w:tcPr>
            <w:tcW w:w="360" w:type="pct"/>
            <w:tcBorders>
              <w:top w:val="single" w:sz="4" w:space="0" w:color="000000"/>
              <w:bottom w:val="single" w:sz="4" w:space="0" w:color="000000"/>
            </w:tcBorders>
            <w:shd w:val="clear" w:color="auto" w:fill="auto"/>
          </w:tcPr>
          <w:p w14:paraId="47C76D37"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Total</w:t>
            </w:r>
          </w:p>
        </w:tc>
        <w:tc>
          <w:tcPr>
            <w:tcW w:w="480" w:type="pct"/>
            <w:tcBorders>
              <w:top w:val="single" w:sz="4" w:space="0" w:color="000000"/>
              <w:bottom w:val="single" w:sz="4" w:space="0" w:color="000000"/>
            </w:tcBorders>
          </w:tcPr>
          <w:p w14:paraId="7B0B73F4"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1</w:t>
            </w:r>
          </w:p>
          <w:p w14:paraId="016C47BD"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(12-months ECL)</w:t>
            </w:r>
          </w:p>
        </w:tc>
        <w:tc>
          <w:tcPr>
            <w:tcW w:w="503" w:type="pct"/>
            <w:tcBorders>
              <w:top w:val="single" w:sz="4" w:space="0" w:color="000000"/>
              <w:bottom w:val="single" w:sz="4" w:space="0" w:color="000000"/>
            </w:tcBorders>
          </w:tcPr>
          <w:p w14:paraId="3208C6F2"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2</w:t>
            </w:r>
          </w:p>
          <w:p w14:paraId="15C50EFB" w14:textId="05739258"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(lifetime ECL for SICR)</w:t>
            </w:r>
          </w:p>
        </w:tc>
        <w:tc>
          <w:tcPr>
            <w:tcW w:w="503" w:type="pct"/>
            <w:tcBorders>
              <w:top w:val="single" w:sz="4" w:space="0" w:color="000000"/>
              <w:bottom w:val="single" w:sz="4" w:space="0" w:color="000000"/>
            </w:tcBorders>
          </w:tcPr>
          <w:p w14:paraId="43DC62BA"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Stage 3</w:t>
            </w:r>
          </w:p>
          <w:p w14:paraId="78C449DA"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(lifetime ECL for credit im-paired)</w:t>
            </w:r>
          </w:p>
        </w:tc>
        <w:tc>
          <w:tcPr>
            <w:tcW w:w="360" w:type="pct"/>
            <w:tcBorders>
              <w:top w:val="single" w:sz="4" w:space="0" w:color="000000"/>
              <w:bottom w:val="single" w:sz="4" w:space="0" w:color="000000"/>
            </w:tcBorders>
            <w:shd w:val="clear" w:color="auto" w:fill="auto"/>
          </w:tcPr>
          <w:p w14:paraId="1D523545" w14:textId="77777777" w:rsidR="009C6EFA" w:rsidRPr="00372E26" w:rsidRDefault="009C6EFA">
            <w:pPr>
              <w:widowControl w:val="0"/>
              <w:pBdr>
                <w:top w:val="nil"/>
                <w:left w:val="nil"/>
                <w:bottom w:val="nil"/>
                <w:right w:val="nil"/>
                <w:between w:val="nil"/>
              </w:pBdr>
              <w:ind w:left="-113"/>
              <w:jc w:val="right"/>
              <w:rPr>
                <w:b/>
                <w:color w:val="000000"/>
                <w:sz w:val="16"/>
                <w:szCs w:val="16"/>
              </w:rPr>
            </w:pPr>
            <w:r w:rsidRPr="00372E26">
              <w:rPr>
                <w:b/>
                <w:color w:val="000000"/>
                <w:sz w:val="16"/>
                <w:szCs w:val="16"/>
              </w:rPr>
              <w:t>Total</w:t>
            </w:r>
          </w:p>
        </w:tc>
      </w:tr>
      <w:tr w:rsidR="009C6EFA" w:rsidRPr="00922233" w14:paraId="753C88D7" w14:textId="77777777" w:rsidTr="001B330E">
        <w:trPr>
          <w:trHeight w:val="23"/>
        </w:trPr>
        <w:tc>
          <w:tcPr>
            <w:tcW w:w="1309" w:type="pct"/>
            <w:shd w:val="clear" w:color="auto" w:fill="auto"/>
            <w:vAlign w:val="bottom"/>
          </w:tcPr>
          <w:p w14:paraId="2312BDDB" w14:textId="77777777" w:rsidR="009C6EFA" w:rsidRPr="00372E26" w:rsidRDefault="009C6EFA" w:rsidP="001B330E">
            <w:pPr>
              <w:widowControl w:val="0"/>
              <w:ind w:left="113" w:hanging="113"/>
              <w:rPr>
                <w:sz w:val="16"/>
                <w:szCs w:val="16"/>
              </w:rPr>
            </w:pPr>
          </w:p>
        </w:tc>
        <w:tc>
          <w:tcPr>
            <w:tcW w:w="480" w:type="pct"/>
            <w:shd w:val="clear" w:color="auto" w:fill="auto"/>
            <w:vAlign w:val="bottom"/>
          </w:tcPr>
          <w:p w14:paraId="210A3AE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shd w:val="clear" w:color="auto" w:fill="auto"/>
            <w:vAlign w:val="bottom"/>
          </w:tcPr>
          <w:p w14:paraId="20834AB3"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shd w:val="clear" w:color="auto" w:fill="auto"/>
            <w:vAlign w:val="bottom"/>
          </w:tcPr>
          <w:p w14:paraId="67D57C2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top w:val="single" w:sz="4" w:space="0" w:color="000000"/>
            </w:tcBorders>
            <w:shd w:val="clear" w:color="auto" w:fill="auto"/>
            <w:vAlign w:val="bottom"/>
          </w:tcPr>
          <w:p w14:paraId="04080CA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Pr>
          <w:p w14:paraId="256A233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73D6F1B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1802E9EC"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42D4B550"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102AE7AF" w14:textId="77777777" w:rsidTr="001B330E">
        <w:trPr>
          <w:trHeight w:val="23"/>
        </w:trPr>
        <w:tc>
          <w:tcPr>
            <w:tcW w:w="1309" w:type="pct"/>
            <w:shd w:val="clear" w:color="auto" w:fill="auto"/>
            <w:vAlign w:val="bottom"/>
          </w:tcPr>
          <w:p w14:paraId="2E5A8496" w14:textId="6C4CFF3F" w:rsidR="009C6EFA" w:rsidRPr="00372E26" w:rsidRDefault="00922233" w:rsidP="001B330E">
            <w:pPr>
              <w:widowControl w:val="0"/>
              <w:pBdr>
                <w:top w:val="nil"/>
                <w:left w:val="nil"/>
                <w:bottom w:val="nil"/>
                <w:right w:val="nil"/>
                <w:between w:val="nil"/>
              </w:pBdr>
              <w:ind w:left="113" w:hanging="113"/>
              <w:rPr>
                <w:b/>
                <w:i/>
                <w:color w:val="000000"/>
                <w:sz w:val="16"/>
                <w:szCs w:val="16"/>
              </w:rPr>
            </w:pPr>
            <w:r w:rsidRPr="00372E26">
              <w:rPr>
                <w:b/>
                <w:i/>
                <w:color w:val="0000FF"/>
                <w:sz w:val="16"/>
                <w:szCs w:val="16"/>
              </w:rPr>
              <w:t>[</w:t>
            </w:r>
            <w:r w:rsidR="00372E26">
              <w:rPr>
                <w:b/>
                <w:i/>
                <w:color w:val="0000FF"/>
                <w:sz w:val="16"/>
                <w:szCs w:val="16"/>
              </w:rPr>
              <w:t>[Country]</w:t>
            </w:r>
            <w:r w:rsidR="009C6EFA" w:rsidRPr="00372E26">
              <w:rPr>
                <w:b/>
                <w:i/>
                <w:color w:val="0000FF"/>
                <w:sz w:val="16"/>
                <w:szCs w:val="16"/>
              </w:rPr>
              <w:t xml:space="preserve"> government bonds</w:t>
            </w:r>
            <w:r w:rsidRPr="00372E26">
              <w:rPr>
                <w:b/>
                <w:i/>
                <w:color w:val="0000FF"/>
                <w:sz w:val="16"/>
                <w:szCs w:val="16"/>
              </w:rPr>
              <w:t>]</w:t>
            </w:r>
          </w:p>
        </w:tc>
        <w:tc>
          <w:tcPr>
            <w:tcW w:w="480" w:type="pct"/>
            <w:shd w:val="clear" w:color="auto" w:fill="auto"/>
            <w:vAlign w:val="bottom"/>
          </w:tcPr>
          <w:p w14:paraId="619D384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67859239"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0A479404"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770601D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Pr>
          <w:p w14:paraId="766069C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6BC7675C"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5BD533B9"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1D2E316D"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46ECCFBB" w14:textId="77777777" w:rsidTr="001B330E">
        <w:trPr>
          <w:trHeight w:val="23"/>
        </w:trPr>
        <w:tc>
          <w:tcPr>
            <w:tcW w:w="1309" w:type="pct"/>
            <w:shd w:val="clear" w:color="auto" w:fill="auto"/>
            <w:vAlign w:val="bottom"/>
          </w:tcPr>
          <w:p w14:paraId="5906EA2E" w14:textId="77777777" w:rsidR="009C6EFA" w:rsidRPr="00372E26" w:rsidRDefault="009C6EFA" w:rsidP="001B330E">
            <w:pPr>
              <w:widowControl w:val="0"/>
              <w:pBdr>
                <w:top w:val="nil"/>
                <w:left w:val="nil"/>
                <w:bottom w:val="nil"/>
                <w:right w:val="nil"/>
                <w:between w:val="nil"/>
              </w:pBdr>
              <w:ind w:left="113" w:hanging="113"/>
              <w:rPr>
                <w:b/>
                <w:i/>
                <w:color w:val="000000"/>
                <w:sz w:val="16"/>
                <w:szCs w:val="16"/>
              </w:rPr>
            </w:pPr>
          </w:p>
        </w:tc>
        <w:tc>
          <w:tcPr>
            <w:tcW w:w="480" w:type="pct"/>
            <w:shd w:val="clear" w:color="auto" w:fill="auto"/>
            <w:vAlign w:val="bottom"/>
          </w:tcPr>
          <w:p w14:paraId="7952DD1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7AF8E19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38F46D0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1406638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Pr>
          <w:p w14:paraId="52FA10FC"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5E6A886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3800F1F3"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174ED923"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0DEA04C3" w14:textId="77777777" w:rsidTr="001B330E">
        <w:trPr>
          <w:trHeight w:val="23"/>
        </w:trPr>
        <w:tc>
          <w:tcPr>
            <w:tcW w:w="1309" w:type="pct"/>
            <w:shd w:val="clear" w:color="auto" w:fill="auto"/>
            <w:vAlign w:val="bottom"/>
          </w:tcPr>
          <w:p w14:paraId="05EA25BC" w14:textId="27AEF3BD" w:rsidR="009C6EFA" w:rsidRPr="00372E26" w:rsidRDefault="009C6EFA" w:rsidP="001B330E">
            <w:pPr>
              <w:widowControl w:val="0"/>
              <w:pBdr>
                <w:top w:val="nil"/>
                <w:left w:val="nil"/>
                <w:bottom w:val="nil"/>
                <w:right w:val="nil"/>
                <w:between w:val="nil"/>
              </w:pBdr>
              <w:ind w:left="113" w:hanging="113"/>
              <w:rPr>
                <w:b/>
                <w:color w:val="0000FF"/>
                <w:sz w:val="16"/>
                <w:szCs w:val="16"/>
              </w:rPr>
            </w:pPr>
            <w:r w:rsidRPr="00372E26">
              <w:rPr>
                <w:b/>
                <w:color w:val="000000"/>
                <w:sz w:val="16"/>
                <w:szCs w:val="16"/>
              </w:rPr>
              <w:t>At 31</w:t>
            </w:r>
            <w:r w:rsidR="00181687" w:rsidRPr="00372E26">
              <w:rPr>
                <w:b/>
                <w:color w:val="000000"/>
                <w:sz w:val="16"/>
                <w:szCs w:val="16"/>
              </w:rPr>
              <w:t> December </w:t>
            </w:r>
            <w:r w:rsidR="00541EBC">
              <w:rPr>
                <w:b/>
                <w:color w:val="000000"/>
                <w:sz w:val="16"/>
                <w:szCs w:val="16"/>
              </w:rPr>
              <w:t>2023</w:t>
            </w:r>
          </w:p>
        </w:tc>
        <w:tc>
          <w:tcPr>
            <w:tcW w:w="480" w:type="pct"/>
            <w:shd w:val="clear" w:color="auto" w:fill="auto"/>
            <w:vAlign w:val="bottom"/>
          </w:tcPr>
          <w:p w14:paraId="02B646E3"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25CA1EA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56078CC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7AB03BB4"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Pr>
          <w:p w14:paraId="59C0A13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4DF6A52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0A2BD7D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4F050051"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31D18121" w14:textId="77777777" w:rsidTr="001B330E">
        <w:trPr>
          <w:trHeight w:val="23"/>
        </w:trPr>
        <w:tc>
          <w:tcPr>
            <w:tcW w:w="1309" w:type="pct"/>
            <w:shd w:val="clear" w:color="auto" w:fill="auto"/>
            <w:vAlign w:val="bottom"/>
          </w:tcPr>
          <w:p w14:paraId="65C55E71" w14:textId="77777777" w:rsidR="009C6EFA" w:rsidRPr="00372E26" w:rsidRDefault="009C6EFA" w:rsidP="001B330E">
            <w:pPr>
              <w:widowControl w:val="0"/>
              <w:pBdr>
                <w:top w:val="nil"/>
                <w:left w:val="nil"/>
                <w:bottom w:val="nil"/>
                <w:right w:val="nil"/>
                <w:between w:val="nil"/>
              </w:pBdr>
              <w:ind w:left="113" w:hanging="113"/>
              <w:rPr>
                <w:b/>
                <w:color w:val="000000"/>
                <w:sz w:val="16"/>
                <w:szCs w:val="16"/>
              </w:rPr>
            </w:pPr>
          </w:p>
          <w:p w14:paraId="5FC4F854" w14:textId="77777777" w:rsidR="009C6EFA" w:rsidRPr="00372E26" w:rsidRDefault="009C6EFA" w:rsidP="001B330E">
            <w:pPr>
              <w:widowControl w:val="0"/>
              <w:pBdr>
                <w:top w:val="nil"/>
                <w:left w:val="nil"/>
                <w:bottom w:val="nil"/>
                <w:right w:val="nil"/>
                <w:between w:val="nil"/>
              </w:pBdr>
              <w:ind w:left="113" w:hanging="113"/>
              <w:rPr>
                <w:b/>
                <w:color w:val="000000"/>
                <w:sz w:val="16"/>
                <w:szCs w:val="16"/>
              </w:rPr>
            </w:pPr>
            <w:r w:rsidRPr="00372E26">
              <w:rPr>
                <w:i/>
                <w:color w:val="000000"/>
                <w:sz w:val="16"/>
                <w:szCs w:val="16"/>
              </w:rPr>
              <w:t>Movements with impact on credit loss allowance charge for the period:</w:t>
            </w:r>
          </w:p>
        </w:tc>
        <w:tc>
          <w:tcPr>
            <w:tcW w:w="480" w:type="pct"/>
            <w:shd w:val="clear" w:color="auto" w:fill="auto"/>
            <w:vAlign w:val="bottom"/>
          </w:tcPr>
          <w:p w14:paraId="2277A23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6296901C"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45237F9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7DE31354"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Pr>
          <w:p w14:paraId="68D22FF8" w14:textId="77777777" w:rsidR="009C6EFA" w:rsidRPr="00372E26" w:rsidRDefault="009C6EFA" w:rsidP="001B330E">
            <w:pPr>
              <w:widowControl w:val="0"/>
              <w:pBdr>
                <w:top w:val="nil"/>
                <w:left w:val="nil"/>
                <w:bottom w:val="nil"/>
                <w:right w:val="nil"/>
                <w:between w:val="nil"/>
              </w:pBdr>
              <w:jc w:val="right"/>
              <w:rPr>
                <w:color w:val="000000"/>
                <w:sz w:val="16"/>
                <w:szCs w:val="16"/>
              </w:rPr>
            </w:pPr>
          </w:p>
        </w:tc>
        <w:tc>
          <w:tcPr>
            <w:tcW w:w="503" w:type="pct"/>
          </w:tcPr>
          <w:p w14:paraId="62873E6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79727C57"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3818FDE8"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764A25D1" w14:textId="77777777" w:rsidTr="001B330E">
        <w:trPr>
          <w:trHeight w:val="23"/>
        </w:trPr>
        <w:tc>
          <w:tcPr>
            <w:tcW w:w="1309" w:type="pct"/>
            <w:shd w:val="clear" w:color="auto" w:fill="auto"/>
            <w:vAlign w:val="bottom"/>
          </w:tcPr>
          <w:p w14:paraId="4D538C47"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p>
        </w:tc>
        <w:tc>
          <w:tcPr>
            <w:tcW w:w="480" w:type="pct"/>
            <w:shd w:val="clear" w:color="auto" w:fill="auto"/>
            <w:vAlign w:val="bottom"/>
          </w:tcPr>
          <w:p w14:paraId="19396FF7"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4B8906FC"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62DDCA7C"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71ADE830"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480" w:type="pct"/>
          </w:tcPr>
          <w:p w14:paraId="2A6CCA2D"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2A94F6F7"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2FD33AAC"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557EA343"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r>
      <w:tr w:rsidR="009C6EFA" w:rsidRPr="00922233" w14:paraId="65265300" w14:textId="77777777" w:rsidTr="001B330E">
        <w:trPr>
          <w:trHeight w:val="23"/>
        </w:trPr>
        <w:tc>
          <w:tcPr>
            <w:tcW w:w="1309" w:type="pct"/>
            <w:shd w:val="clear" w:color="auto" w:fill="auto"/>
            <w:vAlign w:val="bottom"/>
          </w:tcPr>
          <w:p w14:paraId="1599B305" w14:textId="77777777" w:rsidR="009C6EFA" w:rsidRPr="00372E26" w:rsidRDefault="009C6EFA" w:rsidP="001B330E">
            <w:pPr>
              <w:widowControl w:val="0"/>
              <w:pBdr>
                <w:top w:val="nil"/>
                <w:left w:val="nil"/>
                <w:bottom w:val="nil"/>
                <w:right w:val="nil"/>
                <w:between w:val="nil"/>
              </w:pBdr>
              <w:ind w:left="113" w:hanging="113"/>
              <w:rPr>
                <w:color w:val="0000FF"/>
                <w:sz w:val="16"/>
                <w:szCs w:val="16"/>
              </w:rPr>
            </w:pPr>
            <w:r w:rsidRPr="00372E26">
              <w:rPr>
                <w:color w:val="000000"/>
                <w:sz w:val="16"/>
                <w:szCs w:val="16"/>
              </w:rPr>
              <w:t>Transfers:</w:t>
            </w:r>
          </w:p>
        </w:tc>
        <w:tc>
          <w:tcPr>
            <w:tcW w:w="480" w:type="pct"/>
            <w:shd w:val="clear" w:color="auto" w:fill="auto"/>
            <w:vAlign w:val="bottom"/>
          </w:tcPr>
          <w:p w14:paraId="44759677"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6E1A304A"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7DBB77A5"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1BEA0362"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480" w:type="pct"/>
          </w:tcPr>
          <w:p w14:paraId="7262CF05"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53ACDDBD"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29C37D4B"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4BAA73B9"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r>
      <w:tr w:rsidR="009C6EFA" w:rsidRPr="00922233" w14:paraId="722FF91B" w14:textId="77777777" w:rsidTr="001B330E">
        <w:trPr>
          <w:trHeight w:val="23"/>
        </w:trPr>
        <w:tc>
          <w:tcPr>
            <w:tcW w:w="1309" w:type="pct"/>
            <w:shd w:val="clear" w:color="auto" w:fill="auto"/>
            <w:vAlign w:val="bottom"/>
          </w:tcPr>
          <w:p w14:paraId="0A4B1C31"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to lifetime (from Stage 1 to Stage 2)</w:t>
            </w:r>
          </w:p>
        </w:tc>
        <w:tc>
          <w:tcPr>
            <w:tcW w:w="480" w:type="pct"/>
            <w:shd w:val="clear" w:color="auto" w:fill="auto"/>
            <w:vAlign w:val="bottom"/>
          </w:tcPr>
          <w:p w14:paraId="7E853A92"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5824EAC6"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1B4F91F6"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569F50A6"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480" w:type="pct"/>
          </w:tcPr>
          <w:p w14:paraId="64B66606"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4474D3B7"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50EADDA9"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5D466F7D"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r>
      <w:tr w:rsidR="009C6EFA" w:rsidRPr="00922233" w14:paraId="43BCD7B6" w14:textId="77777777" w:rsidTr="001B330E">
        <w:trPr>
          <w:trHeight w:val="23"/>
        </w:trPr>
        <w:tc>
          <w:tcPr>
            <w:tcW w:w="1309" w:type="pct"/>
            <w:shd w:val="clear" w:color="auto" w:fill="auto"/>
            <w:vAlign w:val="bottom"/>
          </w:tcPr>
          <w:p w14:paraId="357473D3"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to credit-impaired (from Stage 1 and Stage 2 to Stage 3)</w:t>
            </w:r>
          </w:p>
        </w:tc>
        <w:tc>
          <w:tcPr>
            <w:tcW w:w="480" w:type="pct"/>
            <w:shd w:val="clear" w:color="auto" w:fill="auto"/>
            <w:vAlign w:val="bottom"/>
          </w:tcPr>
          <w:p w14:paraId="4F8C3899"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51642258"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09865EDE"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02F21669"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480" w:type="pct"/>
          </w:tcPr>
          <w:p w14:paraId="21B73944"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0D1CA459"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1ED9981E"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1CAD69B4"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r>
      <w:tr w:rsidR="009C6EFA" w:rsidRPr="00922233" w14:paraId="6170E13F" w14:textId="77777777" w:rsidTr="001B330E">
        <w:trPr>
          <w:trHeight w:val="23"/>
        </w:trPr>
        <w:tc>
          <w:tcPr>
            <w:tcW w:w="1309" w:type="pct"/>
            <w:shd w:val="clear" w:color="auto" w:fill="auto"/>
            <w:vAlign w:val="bottom"/>
          </w:tcPr>
          <w:p w14:paraId="3EAC393C"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to 12-months ECL (from Stage 2 and Stage 3 to Stage 1)</w:t>
            </w:r>
          </w:p>
        </w:tc>
        <w:tc>
          <w:tcPr>
            <w:tcW w:w="480" w:type="pct"/>
            <w:shd w:val="clear" w:color="auto" w:fill="auto"/>
            <w:vAlign w:val="bottom"/>
          </w:tcPr>
          <w:p w14:paraId="701C7DA6"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100D34C1"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65AD95DF"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4F5B69F9"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480" w:type="pct"/>
          </w:tcPr>
          <w:p w14:paraId="0F903707"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2A9BC403"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tcPr>
          <w:p w14:paraId="34BB7C79"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17A2F3D5"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r>
      <w:tr w:rsidR="009C6EFA" w:rsidRPr="00922233" w14:paraId="0986C728" w14:textId="77777777" w:rsidTr="001B330E">
        <w:trPr>
          <w:trHeight w:val="23"/>
        </w:trPr>
        <w:tc>
          <w:tcPr>
            <w:tcW w:w="1309" w:type="pct"/>
            <w:shd w:val="clear" w:color="auto" w:fill="auto"/>
            <w:vAlign w:val="bottom"/>
          </w:tcPr>
          <w:p w14:paraId="427E0C2F"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New originated or purchased</w:t>
            </w:r>
          </w:p>
        </w:tc>
        <w:tc>
          <w:tcPr>
            <w:tcW w:w="480" w:type="pct"/>
            <w:shd w:val="clear" w:color="auto" w:fill="auto"/>
            <w:vAlign w:val="bottom"/>
          </w:tcPr>
          <w:p w14:paraId="78A6449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1DA1FC5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6A5A8B51"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2E9F89F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Pr>
          <w:p w14:paraId="0EDD044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4FF91E09"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230212B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2195C3D7"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4BE400FA" w14:textId="77777777" w:rsidTr="001B330E">
        <w:trPr>
          <w:trHeight w:val="23"/>
        </w:trPr>
        <w:tc>
          <w:tcPr>
            <w:tcW w:w="1309" w:type="pct"/>
            <w:shd w:val="clear" w:color="auto" w:fill="auto"/>
            <w:vAlign w:val="bottom"/>
          </w:tcPr>
          <w:p w14:paraId="1292F7EA"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Derecognised during the period</w:t>
            </w:r>
          </w:p>
        </w:tc>
        <w:tc>
          <w:tcPr>
            <w:tcW w:w="480" w:type="pct"/>
            <w:shd w:val="clear" w:color="auto" w:fill="auto"/>
            <w:vAlign w:val="bottom"/>
          </w:tcPr>
          <w:p w14:paraId="2B3D903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73D18CE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49166ED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7CA7763C"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Pr>
          <w:p w14:paraId="42465316"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1EEE5D8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Pr>
          <w:p w14:paraId="39875C36"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18E95EBC"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53CE6667" w14:textId="77777777" w:rsidTr="001B330E">
        <w:trPr>
          <w:trHeight w:val="23"/>
        </w:trPr>
        <w:tc>
          <w:tcPr>
            <w:tcW w:w="1309" w:type="pct"/>
            <w:shd w:val="clear" w:color="auto" w:fill="auto"/>
            <w:vAlign w:val="bottom"/>
          </w:tcPr>
          <w:p w14:paraId="050656E2"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Changes to ECL measurement model assumptions</w:t>
            </w:r>
          </w:p>
        </w:tc>
        <w:tc>
          <w:tcPr>
            <w:tcW w:w="480" w:type="pct"/>
            <w:shd w:val="clear" w:color="auto" w:fill="auto"/>
            <w:vAlign w:val="bottom"/>
          </w:tcPr>
          <w:p w14:paraId="5F3FCA5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2D41FB7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5759D7B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2CB5FB4C"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vAlign w:val="bottom"/>
          </w:tcPr>
          <w:p w14:paraId="4681859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71EE02E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52F197E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195E5ACF"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3279BD59" w14:textId="77777777" w:rsidTr="001B330E">
        <w:trPr>
          <w:trHeight w:val="23"/>
        </w:trPr>
        <w:tc>
          <w:tcPr>
            <w:tcW w:w="1309" w:type="pct"/>
            <w:shd w:val="clear" w:color="auto" w:fill="auto"/>
            <w:vAlign w:val="bottom"/>
          </w:tcPr>
          <w:p w14:paraId="303B67E4"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Unwinding of discount </w:t>
            </w:r>
          </w:p>
        </w:tc>
        <w:tc>
          <w:tcPr>
            <w:tcW w:w="480" w:type="pct"/>
            <w:shd w:val="clear" w:color="auto" w:fill="auto"/>
            <w:vAlign w:val="bottom"/>
          </w:tcPr>
          <w:p w14:paraId="720D73E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09259D6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03150CF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599FBD5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vAlign w:val="bottom"/>
          </w:tcPr>
          <w:p w14:paraId="4519373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7366F869"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5054DB64"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62715FEC"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707E847C" w14:textId="77777777" w:rsidTr="001B330E">
        <w:trPr>
          <w:trHeight w:val="23"/>
        </w:trPr>
        <w:tc>
          <w:tcPr>
            <w:tcW w:w="1309" w:type="pct"/>
            <w:shd w:val="clear" w:color="auto" w:fill="auto"/>
            <w:vAlign w:val="bottom"/>
          </w:tcPr>
          <w:p w14:paraId="0361C64B"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Changes in accrued interest</w:t>
            </w:r>
          </w:p>
        </w:tc>
        <w:tc>
          <w:tcPr>
            <w:tcW w:w="480" w:type="pct"/>
            <w:shd w:val="clear" w:color="auto" w:fill="auto"/>
            <w:vAlign w:val="bottom"/>
          </w:tcPr>
          <w:p w14:paraId="5900DF3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11814FF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28E5E65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16C34EA3"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vAlign w:val="bottom"/>
          </w:tcPr>
          <w:p w14:paraId="3C43D69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118D596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76AB440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235E375C"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7834CFD7" w14:textId="77777777" w:rsidTr="001B330E">
        <w:trPr>
          <w:trHeight w:val="23"/>
        </w:trPr>
        <w:tc>
          <w:tcPr>
            <w:tcW w:w="1309" w:type="pct"/>
            <w:shd w:val="clear" w:color="auto" w:fill="auto"/>
            <w:vAlign w:val="bottom"/>
          </w:tcPr>
          <w:p w14:paraId="40AD6E80"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Other movements</w:t>
            </w:r>
          </w:p>
        </w:tc>
        <w:tc>
          <w:tcPr>
            <w:tcW w:w="480" w:type="pct"/>
            <w:shd w:val="clear" w:color="auto" w:fill="auto"/>
            <w:vAlign w:val="bottom"/>
          </w:tcPr>
          <w:p w14:paraId="5874FC3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1AFDA4E7"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0FABE53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5086659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vAlign w:val="bottom"/>
          </w:tcPr>
          <w:p w14:paraId="3765FE2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5ED48A6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1ACEF9B3"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114DFECE"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1413C4CC" w14:textId="77777777" w:rsidTr="001B330E">
        <w:trPr>
          <w:trHeight w:val="23"/>
        </w:trPr>
        <w:tc>
          <w:tcPr>
            <w:tcW w:w="1309" w:type="pct"/>
            <w:tcBorders>
              <w:bottom w:val="single" w:sz="4" w:space="0" w:color="000000"/>
            </w:tcBorders>
            <w:shd w:val="clear" w:color="auto" w:fill="auto"/>
            <w:vAlign w:val="bottom"/>
          </w:tcPr>
          <w:p w14:paraId="1D16755A"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p>
        </w:tc>
        <w:tc>
          <w:tcPr>
            <w:tcW w:w="480" w:type="pct"/>
            <w:tcBorders>
              <w:bottom w:val="single" w:sz="4" w:space="0" w:color="000000"/>
            </w:tcBorders>
            <w:shd w:val="clear" w:color="auto" w:fill="auto"/>
            <w:vAlign w:val="bottom"/>
          </w:tcPr>
          <w:p w14:paraId="01A0B61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shd w:val="clear" w:color="auto" w:fill="auto"/>
            <w:vAlign w:val="bottom"/>
          </w:tcPr>
          <w:p w14:paraId="0D776E2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shd w:val="clear" w:color="auto" w:fill="auto"/>
            <w:vAlign w:val="bottom"/>
          </w:tcPr>
          <w:p w14:paraId="39C8713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bottom w:val="single" w:sz="4" w:space="0" w:color="000000"/>
            </w:tcBorders>
            <w:shd w:val="clear" w:color="auto" w:fill="auto"/>
            <w:vAlign w:val="bottom"/>
          </w:tcPr>
          <w:p w14:paraId="59ABCA5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Borders>
              <w:bottom w:val="single" w:sz="4" w:space="0" w:color="000000"/>
            </w:tcBorders>
            <w:vAlign w:val="bottom"/>
          </w:tcPr>
          <w:p w14:paraId="42B898D9"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vAlign w:val="bottom"/>
          </w:tcPr>
          <w:p w14:paraId="3ECC81E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vAlign w:val="bottom"/>
          </w:tcPr>
          <w:p w14:paraId="46A0D9F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bottom w:val="single" w:sz="4" w:space="0" w:color="000000"/>
            </w:tcBorders>
            <w:shd w:val="clear" w:color="auto" w:fill="auto"/>
            <w:vAlign w:val="bottom"/>
          </w:tcPr>
          <w:p w14:paraId="23D74236"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48DF528D" w14:textId="77777777" w:rsidTr="001B330E">
        <w:trPr>
          <w:trHeight w:val="23"/>
        </w:trPr>
        <w:tc>
          <w:tcPr>
            <w:tcW w:w="1309" w:type="pct"/>
            <w:tcBorders>
              <w:top w:val="single" w:sz="4" w:space="0" w:color="000000"/>
            </w:tcBorders>
            <w:shd w:val="clear" w:color="auto" w:fill="auto"/>
            <w:vAlign w:val="bottom"/>
          </w:tcPr>
          <w:p w14:paraId="55717BE8"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p>
        </w:tc>
        <w:tc>
          <w:tcPr>
            <w:tcW w:w="480" w:type="pct"/>
            <w:tcBorders>
              <w:top w:val="single" w:sz="4" w:space="0" w:color="000000"/>
            </w:tcBorders>
            <w:shd w:val="clear" w:color="auto" w:fill="auto"/>
            <w:vAlign w:val="bottom"/>
          </w:tcPr>
          <w:p w14:paraId="7DAB5D27"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shd w:val="clear" w:color="auto" w:fill="auto"/>
            <w:vAlign w:val="bottom"/>
          </w:tcPr>
          <w:p w14:paraId="3221944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shd w:val="clear" w:color="auto" w:fill="auto"/>
            <w:vAlign w:val="bottom"/>
          </w:tcPr>
          <w:p w14:paraId="4D4181D1"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top w:val="single" w:sz="4" w:space="0" w:color="000000"/>
            </w:tcBorders>
            <w:shd w:val="clear" w:color="auto" w:fill="auto"/>
            <w:vAlign w:val="bottom"/>
          </w:tcPr>
          <w:p w14:paraId="651E009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Borders>
              <w:top w:val="single" w:sz="4" w:space="0" w:color="000000"/>
            </w:tcBorders>
            <w:vAlign w:val="bottom"/>
          </w:tcPr>
          <w:p w14:paraId="51230CA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vAlign w:val="bottom"/>
          </w:tcPr>
          <w:p w14:paraId="48AA6154"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vAlign w:val="bottom"/>
          </w:tcPr>
          <w:p w14:paraId="4B649F7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top w:val="single" w:sz="4" w:space="0" w:color="000000"/>
            </w:tcBorders>
            <w:shd w:val="clear" w:color="auto" w:fill="auto"/>
            <w:vAlign w:val="bottom"/>
          </w:tcPr>
          <w:p w14:paraId="6E4785A7"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2669791C" w14:textId="77777777" w:rsidTr="001B330E">
        <w:trPr>
          <w:trHeight w:val="23"/>
        </w:trPr>
        <w:tc>
          <w:tcPr>
            <w:tcW w:w="1309" w:type="pct"/>
            <w:shd w:val="clear" w:color="auto" w:fill="auto"/>
            <w:vAlign w:val="bottom"/>
          </w:tcPr>
          <w:p w14:paraId="3A6EC0DE" w14:textId="77777777" w:rsidR="009C6EFA" w:rsidRPr="00372E26" w:rsidRDefault="009C6EFA" w:rsidP="001B330E">
            <w:pPr>
              <w:widowControl w:val="0"/>
              <w:pBdr>
                <w:top w:val="nil"/>
                <w:left w:val="nil"/>
                <w:bottom w:val="nil"/>
                <w:right w:val="nil"/>
                <w:between w:val="nil"/>
              </w:pBdr>
              <w:ind w:left="113" w:hanging="113"/>
              <w:rPr>
                <w:b/>
                <w:color w:val="000000"/>
                <w:sz w:val="16"/>
                <w:szCs w:val="16"/>
              </w:rPr>
            </w:pPr>
            <w:r w:rsidRPr="00372E26">
              <w:rPr>
                <w:b/>
                <w:color w:val="000000"/>
                <w:sz w:val="16"/>
                <w:szCs w:val="16"/>
              </w:rPr>
              <w:t>Total movements with impact on credit loss allowance charge for the period</w:t>
            </w:r>
          </w:p>
        </w:tc>
        <w:tc>
          <w:tcPr>
            <w:tcW w:w="480" w:type="pct"/>
            <w:shd w:val="clear" w:color="auto" w:fill="auto"/>
            <w:vAlign w:val="bottom"/>
          </w:tcPr>
          <w:p w14:paraId="45E9CFB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35D2EC8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77CA098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1CDD8419"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vAlign w:val="bottom"/>
          </w:tcPr>
          <w:p w14:paraId="158A1E0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6EAEDE1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4589FEC1"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59FEFE2A"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0C33BF4C" w14:textId="77777777" w:rsidTr="001B330E">
        <w:trPr>
          <w:trHeight w:val="23"/>
        </w:trPr>
        <w:tc>
          <w:tcPr>
            <w:tcW w:w="1309" w:type="pct"/>
            <w:tcBorders>
              <w:bottom w:val="single" w:sz="4" w:space="0" w:color="000000"/>
            </w:tcBorders>
            <w:shd w:val="clear" w:color="auto" w:fill="auto"/>
            <w:vAlign w:val="bottom"/>
          </w:tcPr>
          <w:p w14:paraId="3757F792"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p>
        </w:tc>
        <w:tc>
          <w:tcPr>
            <w:tcW w:w="480" w:type="pct"/>
            <w:tcBorders>
              <w:bottom w:val="single" w:sz="4" w:space="0" w:color="000000"/>
            </w:tcBorders>
            <w:shd w:val="clear" w:color="auto" w:fill="auto"/>
            <w:vAlign w:val="bottom"/>
          </w:tcPr>
          <w:p w14:paraId="44C1720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shd w:val="clear" w:color="auto" w:fill="auto"/>
            <w:vAlign w:val="bottom"/>
          </w:tcPr>
          <w:p w14:paraId="4C417101"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shd w:val="clear" w:color="auto" w:fill="auto"/>
            <w:vAlign w:val="bottom"/>
          </w:tcPr>
          <w:p w14:paraId="05991F1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bottom w:val="single" w:sz="4" w:space="0" w:color="000000"/>
            </w:tcBorders>
            <w:shd w:val="clear" w:color="auto" w:fill="auto"/>
            <w:vAlign w:val="bottom"/>
          </w:tcPr>
          <w:p w14:paraId="5E4B56A7"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Borders>
              <w:bottom w:val="single" w:sz="4" w:space="0" w:color="000000"/>
            </w:tcBorders>
            <w:vAlign w:val="bottom"/>
          </w:tcPr>
          <w:p w14:paraId="6A95FE13"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vAlign w:val="bottom"/>
          </w:tcPr>
          <w:p w14:paraId="1741135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vAlign w:val="bottom"/>
          </w:tcPr>
          <w:p w14:paraId="368FD4C9"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bottom w:val="single" w:sz="4" w:space="0" w:color="000000"/>
            </w:tcBorders>
            <w:shd w:val="clear" w:color="auto" w:fill="auto"/>
            <w:vAlign w:val="bottom"/>
          </w:tcPr>
          <w:p w14:paraId="46E2F73D"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6719A8E4" w14:textId="77777777" w:rsidTr="001B330E">
        <w:trPr>
          <w:trHeight w:val="23"/>
        </w:trPr>
        <w:tc>
          <w:tcPr>
            <w:tcW w:w="1309" w:type="pct"/>
            <w:tcBorders>
              <w:top w:val="single" w:sz="4" w:space="0" w:color="000000"/>
            </w:tcBorders>
            <w:shd w:val="clear" w:color="auto" w:fill="auto"/>
            <w:vAlign w:val="bottom"/>
          </w:tcPr>
          <w:p w14:paraId="383E7BCF"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p>
        </w:tc>
        <w:tc>
          <w:tcPr>
            <w:tcW w:w="480" w:type="pct"/>
            <w:tcBorders>
              <w:top w:val="single" w:sz="4" w:space="0" w:color="000000"/>
            </w:tcBorders>
            <w:shd w:val="clear" w:color="auto" w:fill="auto"/>
            <w:vAlign w:val="bottom"/>
          </w:tcPr>
          <w:p w14:paraId="50208CB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shd w:val="clear" w:color="auto" w:fill="auto"/>
            <w:vAlign w:val="bottom"/>
          </w:tcPr>
          <w:p w14:paraId="0BC229A3"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shd w:val="clear" w:color="auto" w:fill="auto"/>
            <w:vAlign w:val="bottom"/>
          </w:tcPr>
          <w:p w14:paraId="32C402B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top w:val="single" w:sz="4" w:space="0" w:color="000000"/>
            </w:tcBorders>
            <w:shd w:val="clear" w:color="auto" w:fill="auto"/>
            <w:vAlign w:val="bottom"/>
          </w:tcPr>
          <w:p w14:paraId="24A82E26"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Borders>
              <w:top w:val="single" w:sz="4" w:space="0" w:color="000000"/>
            </w:tcBorders>
            <w:vAlign w:val="bottom"/>
          </w:tcPr>
          <w:p w14:paraId="716A17F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vAlign w:val="bottom"/>
          </w:tcPr>
          <w:p w14:paraId="0E25847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vAlign w:val="bottom"/>
          </w:tcPr>
          <w:p w14:paraId="5056C1A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top w:val="single" w:sz="4" w:space="0" w:color="000000"/>
            </w:tcBorders>
            <w:shd w:val="clear" w:color="auto" w:fill="auto"/>
            <w:vAlign w:val="bottom"/>
          </w:tcPr>
          <w:p w14:paraId="2B51403A"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04E313C7" w14:textId="77777777" w:rsidTr="001B330E">
        <w:trPr>
          <w:trHeight w:val="23"/>
        </w:trPr>
        <w:tc>
          <w:tcPr>
            <w:tcW w:w="1309" w:type="pct"/>
            <w:shd w:val="clear" w:color="auto" w:fill="auto"/>
            <w:vAlign w:val="bottom"/>
          </w:tcPr>
          <w:p w14:paraId="5E711907" w14:textId="77777777" w:rsidR="009C6EFA" w:rsidRPr="00372E26" w:rsidRDefault="009C6EFA" w:rsidP="001B330E">
            <w:pPr>
              <w:widowControl w:val="0"/>
              <w:pBdr>
                <w:top w:val="nil"/>
                <w:left w:val="nil"/>
                <w:bottom w:val="nil"/>
                <w:right w:val="nil"/>
                <w:between w:val="nil"/>
              </w:pBdr>
              <w:ind w:left="113" w:hanging="113"/>
              <w:rPr>
                <w:b/>
                <w:color w:val="000000"/>
                <w:sz w:val="16"/>
                <w:szCs w:val="16"/>
              </w:rPr>
            </w:pPr>
            <w:r w:rsidRPr="00372E26">
              <w:rPr>
                <w:i/>
                <w:color w:val="000000"/>
                <w:sz w:val="16"/>
                <w:szCs w:val="16"/>
              </w:rPr>
              <w:t>Movements without impact on credit loss allowance charge for the period:</w:t>
            </w:r>
          </w:p>
          <w:p w14:paraId="33DA1875"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p>
        </w:tc>
        <w:tc>
          <w:tcPr>
            <w:tcW w:w="480" w:type="pct"/>
            <w:shd w:val="clear" w:color="auto" w:fill="auto"/>
            <w:vAlign w:val="bottom"/>
          </w:tcPr>
          <w:p w14:paraId="50E8FE18"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1568C466"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6F43432F"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027562E1"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480" w:type="pct"/>
            <w:vAlign w:val="bottom"/>
          </w:tcPr>
          <w:p w14:paraId="15BC509F"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vAlign w:val="bottom"/>
          </w:tcPr>
          <w:p w14:paraId="746DA193"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vAlign w:val="bottom"/>
          </w:tcPr>
          <w:p w14:paraId="2CDC7EFD"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220069AF"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r>
      <w:tr w:rsidR="009C6EFA" w:rsidRPr="00922233" w14:paraId="3B845173" w14:textId="77777777" w:rsidTr="001B330E">
        <w:trPr>
          <w:trHeight w:val="23"/>
        </w:trPr>
        <w:tc>
          <w:tcPr>
            <w:tcW w:w="1309" w:type="pct"/>
            <w:shd w:val="clear" w:color="auto" w:fill="auto"/>
            <w:vAlign w:val="bottom"/>
          </w:tcPr>
          <w:p w14:paraId="167A6B6C"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Write-offs</w:t>
            </w:r>
          </w:p>
        </w:tc>
        <w:tc>
          <w:tcPr>
            <w:tcW w:w="480" w:type="pct"/>
            <w:shd w:val="clear" w:color="auto" w:fill="auto"/>
            <w:vAlign w:val="bottom"/>
          </w:tcPr>
          <w:p w14:paraId="7177D590"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1D48F285"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128C9FE0"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37DE19C2"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480" w:type="pct"/>
            <w:vAlign w:val="bottom"/>
          </w:tcPr>
          <w:p w14:paraId="305784E8"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vAlign w:val="bottom"/>
          </w:tcPr>
          <w:p w14:paraId="28929352"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vAlign w:val="bottom"/>
          </w:tcPr>
          <w:p w14:paraId="1A2A7EDE"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6B51C876"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r>
      <w:tr w:rsidR="009C6EFA" w:rsidRPr="00922233" w14:paraId="2A46349F" w14:textId="77777777" w:rsidTr="001B330E">
        <w:trPr>
          <w:trHeight w:val="23"/>
        </w:trPr>
        <w:tc>
          <w:tcPr>
            <w:tcW w:w="1309" w:type="pct"/>
            <w:shd w:val="clear" w:color="auto" w:fill="auto"/>
            <w:vAlign w:val="bottom"/>
          </w:tcPr>
          <w:p w14:paraId="5E3588E9"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FX and other movements</w:t>
            </w:r>
          </w:p>
        </w:tc>
        <w:tc>
          <w:tcPr>
            <w:tcW w:w="480" w:type="pct"/>
            <w:shd w:val="clear" w:color="auto" w:fill="auto"/>
            <w:vAlign w:val="bottom"/>
          </w:tcPr>
          <w:p w14:paraId="46D22E35"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08437FBF"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shd w:val="clear" w:color="auto" w:fill="auto"/>
            <w:vAlign w:val="bottom"/>
          </w:tcPr>
          <w:p w14:paraId="208889B8"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31182EB0"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480" w:type="pct"/>
            <w:vAlign w:val="bottom"/>
          </w:tcPr>
          <w:p w14:paraId="001236A7"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vAlign w:val="bottom"/>
          </w:tcPr>
          <w:p w14:paraId="55C763E8"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503" w:type="pct"/>
            <w:vAlign w:val="bottom"/>
          </w:tcPr>
          <w:p w14:paraId="5D50A0CF"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c>
          <w:tcPr>
            <w:tcW w:w="360" w:type="pct"/>
            <w:shd w:val="clear" w:color="auto" w:fill="auto"/>
            <w:vAlign w:val="bottom"/>
          </w:tcPr>
          <w:p w14:paraId="79361164" w14:textId="77777777" w:rsidR="009C6EFA" w:rsidRPr="00372E26" w:rsidRDefault="009C6EFA">
            <w:pPr>
              <w:widowControl w:val="0"/>
              <w:pBdr>
                <w:top w:val="nil"/>
                <w:left w:val="nil"/>
                <w:bottom w:val="nil"/>
                <w:right w:val="nil"/>
                <w:between w:val="nil"/>
              </w:pBdr>
              <w:jc w:val="right"/>
              <w:rPr>
                <w:color w:val="000000"/>
                <w:sz w:val="16"/>
                <w:szCs w:val="16"/>
                <w:highlight w:val="green"/>
              </w:rPr>
            </w:pPr>
          </w:p>
        </w:tc>
      </w:tr>
      <w:tr w:rsidR="009C6EFA" w:rsidRPr="00922233" w14:paraId="1E5D0AE1" w14:textId="77777777" w:rsidTr="001B330E">
        <w:trPr>
          <w:trHeight w:val="23"/>
        </w:trPr>
        <w:tc>
          <w:tcPr>
            <w:tcW w:w="1309" w:type="pct"/>
            <w:shd w:val="clear" w:color="auto" w:fill="auto"/>
            <w:vAlign w:val="bottom"/>
          </w:tcPr>
          <w:p w14:paraId="625D8503"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Modification of contractual cash flows</w:t>
            </w:r>
          </w:p>
        </w:tc>
        <w:tc>
          <w:tcPr>
            <w:tcW w:w="480" w:type="pct"/>
            <w:shd w:val="clear" w:color="auto" w:fill="auto"/>
            <w:vAlign w:val="bottom"/>
          </w:tcPr>
          <w:p w14:paraId="38C4A85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6B7B1327"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6B9AC18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2AFFCD6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vAlign w:val="bottom"/>
          </w:tcPr>
          <w:p w14:paraId="64AA2634"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6E8893D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089CC87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01C28460"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21CBF5A4" w14:textId="77777777" w:rsidTr="001B330E">
        <w:trPr>
          <w:trHeight w:val="23"/>
        </w:trPr>
        <w:tc>
          <w:tcPr>
            <w:tcW w:w="1309" w:type="pct"/>
            <w:shd w:val="clear" w:color="auto" w:fill="auto"/>
            <w:vAlign w:val="bottom"/>
          </w:tcPr>
          <w:p w14:paraId="72770F76" w14:textId="77777777" w:rsidR="009C6EFA" w:rsidRPr="00372E26" w:rsidRDefault="009C6EFA"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Unwinding of discount (for </w:t>
            </w:r>
            <w:r w:rsidRPr="00372E26">
              <w:rPr>
                <w:color w:val="000000"/>
                <w:sz w:val="16"/>
                <w:szCs w:val="16"/>
              </w:rPr>
              <w:br/>
              <w:t xml:space="preserve">Stage 3) </w:t>
            </w:r>
          </w:p>
        </w:tc>
        <w:tc>
          <w:tcPr>
            <w:tcW w:w="480" w:type="pct"/>
            <w:shd w:val="clear" w:color="auto" w:fill="auto"/>
            <w:vAlign w:val="bottom"/>
          </w:tcPr>
          <w:p w14:paraId="5C991BC6"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78CB692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2E8DB81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0DDB0EF7"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vAlign w:val="bottom"/>
          </w:tcPr>
          <w:p w14:paraId="68016EA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19FFD25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0635383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42BB2D77"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16BC63B6" w14:textId="77777777" w:rsidTr="001B330E">
        <w:trPr>
          <w:trHeight w:val="23"/>
        </w:trPr>
        <w:tc>
          <w:tcPr>
            <w:tcW w:w="1309" w:type="pct"/>
            <w:tcBorders>
              <w:bottom w:val="single" w:sz="4" w:space="0" w:color="000000"/>
            </w:tcBorders>
            <w:shd w:val="clear" w:color="auto" w:fill="auto"/>
            <w:vAlign w:val="bottom"/>
          </w:tcPr>
          <w:p w14:paraId="289B4C07" w14:textId="77777777" w:rsidR="009C6EFA" w:rsidRPr="00372E26" w:rsidRDefault="009C6EFA" w:rsidP="001B330E">
            <w:pPr>
              <w:widowControl w:val="0"/>
              <w:pBdr>
                <w:top w:val="nil"/>
                <w:left w:val="nil"/>
                <w:bottom w:val="nil"/>
                <w:right w:val="nil"/>
                <w:between w:val="nil"/>
              </w:pBdr>
              <w:ind w:left="113" w:hanging="113"/>
              <w:rPr>
                <w:b/>
                <w:color w:val="000000"/>
                <w:sz w:val="16"/>
                <w:szCs w:val="16"/>
              </w:rPr>
            </w:pPr>
          </w:p>
        </w:tc>
        <w:tc>
          <w:tcPr>
            <w:tcW w:w="480" w:type="pct"/>
            <w:tcBorders>
              <w:bottom w:val="single" w:sz="4" w:space="0" w:color="000000"/>
            </w:tcBorders>
            <w:shd w:val="clear" w:color="auto" w:fill="auto"/>
            <w:vAlign w:val="bottom"/>
          </w:tcPr>
          <w:p w14:paraId="68C06BE7"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shd w:val="clear" w:color="auto" w:fill="auto"/>
            <w:vAlign w:val="bottom"/>
          </w:tcPr>
          <w:p w14:paraId="38F8621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shd w:val="clear" w:color="auto" w:fill="auto"/>
            <w:vAlign w:val="bottom"/>
          </w:tcPr>
          <w:p w14:paraId="2BD72E9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bottom w:val="single" w:sz="4" w:space="0" w:color="000000"/>
            </w:tcBorders>
            <w:shd w:val="clear" w:color="auto" w:fill="auto"/>
            <w:vAlign w:val="bottom"/>
          </w:tcPr>
          <w:p w14:paraId="79245AA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Borders>
              <w:bottom w:val="single" w:sz="4" w:space="0" w:color="000000"/>
            </w:tcBorders>
            <w:vAlign w:val="bottom"/>
          </w:tcPr>
          <w:p w14:paraId="601A39D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vAlign w:val="bottom"/>
          </w:tcPr>
          <w:p w14:paraId="692B1559"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4" w:space="0" w:color="000000"/>
            </w:tcBorders>
            <w:vAlign w:val="bottom"/>
          </w:tcPr>
          <w:p w14:paraId="34DEF969"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bottom w:val="single" w:sz="4" w:space="0" w:color="000000"/>
            </w:tcBorders>
            <w:shd w:val="clear" w:color="auto" w:fill="auto"/>
            <w:vAlign w:val="bottom"/>
          </w:tcPr>
          <w:p w14:paraId="6912F135"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0895B2DF" w14:textId="77777777" w:rsidTr="001B330E">
        <w:trPr>
          <w:trHeight w:val="23"/>
        </w:trPr>
        <w:tc>
          <w:tcPr>
            <w:tcW w:w="1309" w:type="pct"/>
            <w:tcBorders>
              <w:top w:val="single" w:sz="4" w:space="0" w:color="000000"/>
            </w:tcBorders>
            <w:shd w:val="clear" w:color="auto" w:fill="auto"/>
            <w:vAlign w:val="bottom"/>
          </w:tcPr>
          <w:p w14:paraId="5449EE58" w14:textId="77777777" w:rsidR="009C6EFA" w:rsidRPr="00372E26" w:rsidRDefault="009C6EFA" w:rsidP="001B330E">
            <w:pPr>
              <w:widowControl w:val="0"/>
              <w:pBdr>
                <w:top w:val="nil"/>
                <w:left w:val="nil"/>
                <w:bottom w:val="nil"/>
                <w:right w:val="nil"/>
                <w:between w:val="nil"/>
              </w:pBdr>
              <w:ind w:left="113" w:hanging="113"/>
              <w:rPr>
                <w:color w:val="000000"/>
                <w:sz w:val="16"/>
                <w:szCs w:val="16"/>
                <w:u w:val="single"/>
              </w:rPr>
            </w:pPr>
          </w:p>
        </w:tc>
        <w:tc>
          <w:tcPr>
            <w:tcW w:w="480" w:type="pct"/>
            <w:tcBorders>
              <w:top w:val="single" w:sz="4" w:space="0" w:color="000000"/>
            </w:tcBorders>
            <w:shd w:val="clear" w:color="auto" w:fill="auto"/>
            <w:vAlign w:val="bottom"/>
          </w:tcPr>
          <w:p w14:paraId="33498CC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shd w:val="clear" w:color="auto" w:fill="auto"/>
            <w:vAlign w:val="bottom"/>
          </w:tcPr>
          <w:p w14:paraId="27AA438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shd w:val="clear" w:color="auto" w:fill="auto"/>
            <w:vAlign w:val="bottom"/>
          </w:tcPr>
          <w:p w14:paraId="49EC487C"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top w:val="single" w:sz="4" w:space="0" w:color="000000"/>
            </w:tcBorders>
            <w:shd w:val="clear" w:color="auto" w:fill="auto"/>
            <w:vAlign w:val="bottom"/>
          </w:tcPr>
          <w:p w14:paraId="08A5A5B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Borders>
              <w:top w:val="single" w:sz="4" w:space="0" w:color="000000"/>
            </w:tcBorders>
            <w:vAlign w:val="bottom"/>
          </w:tcPr>
          <w:p w14:paraId="2D10827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vAlign w:val="bottom"/>
          </w:tcPr>
          <w:p w14:paraId="6D698E2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top w:val="single" w:sz="4" w:space="0" w:color="000000"/>
            </w:tcBorders>
            <w:vAlign w:val="bottom"/>
          </w:tcPr>
          <w:p w14:paraId="05806616"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top w:val="single" w:sz="4" w:space="0" w:color="000000"/>
            </w:tcBorders>
            <w:shd w:val="clear" w:color="auto" w:fill="auto"/>
            <w:vAlign w:val="bottom"/>
          </w:tcPr>
          <w:p w14:paraId="29D918B5"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41E26BF6" w14:textId="77777777" w:rsidTr="001B330E">
        <w:trPr>
          <w:trHeight w:val="23"/>
        </w:trPr>
        <w:tc>
          <w:tcPr>
            <w:tcW w:w="1309" w:type="pct"/>
            <w:shd w:val="clear" w:color="auto" w:fill="auto"/>
            <w:vAlign w:val="bottom"/>
          </w:tcPr>
          <w:p w14:paraId="71FBC3B0" w14:textId="7DC951DA" w:rsidR="009C6EFA" w:rsidRPr="00372E26" w:rsidRDefault="009C6EFA" w:rsidP="001B330E">
            <w:pPr>
              <w:widowControl w:val="0"/>
              <w:pBdr>
                <w:top w:val="nil"/>
                <w:left w:val="nil"/>
                <w:bottom w:val="nil"/>
                <w:right w:val="nil"/>
                <w:between w:val="nil"/>
              </w:pBdr>
              <w:ind w:left="113" w:hanging="113"/>
              <w:rPr>
                <w:b/>
                <w:color w:val="000000"/>
                <w:sz w:val="16"/>
                <w:szCs w:val="16"/>
              </w:rPr>
            </w:pPr>
            <w:r w:rsidRPr="00372E26">
              <w:rPr>
                <w:b/>
                <w:color w:val="000000"/>
                <w:sz w:val="16"/>
                <w:szCs w:val="16"/>
              </w:rPr>
              <w:t>At 31</w:t>
            </w:r>
            <w:r w:rsidR="00181687" w:rsidRPr="00372E26">
              <w:rPr>
                <w:b/>
                <w:color w:val="000000"/>
                <w:sz w:val="16"/>
                <w:szCs w:val="16"/>
              </w:rPr>
              <w:t> December </w:t>
            </w:r>
            <w:r w:rsidR="00541EBC">
              <w:rPr>
                <w:b/>
                <w:color w:val="000000"/>
                <w:sz w:val="16"/>
                <w:szCs w:val="16"/>
              </w:rPr>
              <w:t>2024</w:t>
            </w:r>
          </w:p>
        </w:tc>
        <w:tc>
          <w:tcPr>
            <w:tcW w:w="480" w:type="pct"/>
            <w:shd w:val="clear" w:color="auto" w:fill="auto"/>
            <w:vAlign w:val="bottom"/>
          </w:tcPr>
          <w:p w14:paraId="628F3D5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2C31C72B"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shd w:val="clear" w:color="auto" w:fill="auto"/>
            <w:vAlign w:val="bottom"/>
          </w:tcPr>
          <w:p w14:paraId="0CB280C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370443EA"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vAlign w:val="bottom"/>
          </w:tcPr>
          <w:p w14:paraId="6D51D14E"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76D77D64"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vAlign w:val="bottom"/>
          </w:tcPr>
          <w:p w14:paraId="43F2606F"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shd w:val="clear" w:color="auto" w:fill="auto"/>
            <w:vAlign w:val="bottom"/>
          </w:tcPr>
          <w:p w14:paraId="446A6CF2" w14:textId="77777777" w:rsidR="009C6EFA" w:rsidRPr="00372E26" w:rsidRDefault="009C6EFA">
            <w:pPr>
              <w:widowControl w:val="0"/>
              <w:pBdr>
                <w:top w:val="nil"/>
                <w:left w:val="nil"/>
                <w:bottom w:val="nil"/>
                <w:right w:val="nil"/>
                <w:between w:val="nil"/>
              </w:pBdr>
              <w:jc w:val="right"/>
              <w:rPr>
                <w:color w:val="000000"/>
                <w:sz w:val="16"/>
                <w:szCs w:val="16"/>
              </w:rPr>
            </w:pPr>
          </w:p>
        </w:tc>
      </w:tr>
      <w:tr w:rsidR="009C6EFA" w:rsidRPr="00922233" w14:paraId="692E0210" w14:textId="77777777" w:rsidTr="001B330E">
        <w:trPr>
          <w:trHeight w:val="23"/>
        </w:trPr>
        <w:tc>
          <w:tcPr>
            <w:tcW w:w="1309" w:type="pct"/>
            <w:tcBorders>
              <w:bottom w:val="single" w:sz="12" w:space="0" w:color="000000"/>
            </w:tcBorders>
            <w:shd w:val="clear" w:color="auto" w:fill="auto"/>
            <w:vAlign w:val="bottom"/>
          </w:tcPr>
          <w:p w14:paraId="2654935C" w14:textId="77777777" w:rsidR="009C6EFA" w:rsidRPr="00372E26" w:rsidRDefault="009C6EFA" w:rsidP="001B330E">
            <w:pPr>
              <w:widowControl w:val="0"/>
              <w:pBdr>
                <w:top w:val="nil"/>
                <w:left w:val="nil"/>
                <w:bottom w:val="nil"/>
                <w:right w:val="nil"/>
                <w:between w:val="nil"/>
              </w:pBdr>
              <w:ind w:left="113" w:hanging="113"/>
              <w:rPr>
                <w:b/>
                <w:color w:val="000000"/>
                <w:sz w:val="16"/>
                <w:szCs w:val="16"/>
              </w:rPr>
            </w:pPr>
          </w:p>
        </w:tc>
        <w:tc>
          <w:tcPr>
            <w:tcW w:w="480" w:type="pct"/>
            <w:tcBorders>
              <w:bottom w:val="single" w:sz="12" w:space="0" w:color="000000"/>
            </w:tcBorders>
            <w:shd w:val="clear" w:color="auto" w:fill="auto"/>
            <w:vAlign w:val="bottom"/>
          </w:tcPr>
          <w:p w14:paraId="15A605D8"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12" w:space="0" w:color="000000"/>
            </w:tcBorders>
            <w:shd w:val="clear" w:color="auto" w:fill="auto"/>
            <w:vAlign w:val="bottom"/>
          </w:tcPr>
          <w:p w14:paraId="1D3AE5A5"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12" w:space="0" w:color="000000"/>
            </w:tcBorders>
            <w:shd w:val="clear" w:color="auto" w:fill="auto"/>
            <w:vAlign w:val="bottom"/>
          </w:tcPr>
          <w:p w14:paraId="7788AAE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bottom w:val="single" w:sz="12" w:space="0" w:color="000000"/>
            </w:tcBorders>
            <w:shd w:val="clear" w:color="auto" w:fill="auto"/>
            <w:vAlign w:val="bottom"/>
          </w:tcPr>
          <w:p w14:paraId="51124AF2"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480" w:type="pct"/>
            <w:tcBorders>
              <w:bottom w:val="single" w:sz="12" w:space="0" w:color="000000"/>
            </w:tcBorders>
          </w:tcPr>
          <w:p w14:paraId="24981D6D"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12" w:space="0" w:color="000000"/>
            </w:tcBorders>
          </w:tcPr>
          <w:p w14:paraId="7AAD9990"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503" w:type="pct"/>
            <w:tcBorders>
              <w:bottom w:val="single" w:sz="12" w:space="0" w:color="000000"/>
            </w:tcBorders>
          </w:tcPr>
          <w:p w14:paraId="70E927A4" w14:textId="77777777" w:rsidR="009C6EFA" w:rsidRPr="00372E26" w:rsidRDefault="009C6EFA">
            <w:pPr>
              <w:widowControl w:val="0"/>
              <w:pBdr>
                <w:top w:val="nil"/>
                <w:left w:val="nil"/>
                <w:bottom w:val="nil"/>
                <w:right w:val="nil"/>
                <w:between w:val="nil"/>
              </w:pBdr>
              <w:jc w:val="right"/>
              <w:rPr>
                <w:color w:val="000000"/>
                <w:sz w:val="16"/>
                <w:szCs w:val="16"/>
              </w:rPr>
            </w:pPr>
          </w:p>
        </w:tc>
        <w:tc>
          <w:tcPr>
            <w:tcW w:w="360" w:type="pct"/>
            <w:tcBorders>
              <w:bottom w:val="single" w:sz="12" w:space="0" w:color="000000"/>
            </w:tcBorders>
            <w:shd w:val="clear" w:color="auto" w:fill="auto"/>
            <w:vAlign w:val="bottom"/>
          </w:tcPr>
          <w:p w14:paraId="3BA2A202" w14:textId="77777777" w:rsidR="009C6EFA" w:rsidRPr="00372E26" w:rsidRDefault="009C6EFA">
            <w:pPr>
              <w:widowControl w:val="0"/>
              <w:pBdr>
                <w:top w:val="nil"/>
                <w:left w:val="nil"/>
                <w:bottom w:val="nil"/>
                <w:right w:val="nil"/>
                <w:between w:val="nil"/>
              </w:pBdr>
              <w:jc w:val="right"/>
              <w:rPr>
                <w:color w:val="000000"/>
                <w:sz w:val="16"/>
                <w:szCs w:val="16"/>
              </w:rPr>
            </w:pPr>
          </w:p>
        </w:tc>
      </w:tr>
    </w:tbl>
    <w:p w14:paraId="59FDCA7C" w14:textId="4A161487" w:rsidR="00D83E33" w:rsidRDefault="00BC4072" w:rsidP="001B330E">
      <w:pPr>
        <w:pStyle w:val="Continued"/>
        <w:rPr>
          <w:color w:val="000000"/>
        </w:rPr>
      </w:pPr>
      <w:r>
        <w:rPr>
          <w:color w:val="000000"/>
        </w:rPr>
        <w:lastRenderedPageBreak/>
        <w:t>12</w:t>
      </w:r>
      <w:r>
        <w:rPr>
          <w:color w:val="000000"/>
        </w:rPr>
        <w:tab/>
        <w:t>Repurchase Receivables (Continued)</w:t>
      </w:r>
    </w:p>
    <w:tbl>
      <w:tblPr>
        <w:tblStyle w:val="afffffff5"/>
        <w:tblW w:w="5000" w:type="pct"/>
        <w:tblLook w:val="0000" w:firstRow="0" w:lastRow="0" w:firstColumn="0" w:lastColumn="0" w:noHBand="0" w:noVBand="0"/>
      </w:tblPr>
      <w:tblGrid>
        <w:gridCol w:w="2449"/>
        <w:gridCol w:w="898"/>
        <w:gridCol w:w="941"/>
        <w:gridCol w:w="941"/>
        <w:gridCol w:w="674"/>
        <w:gridCol w:w="898"/>
        <w:gridCol w:w="941"/>
        <w:gridCol w:w="941"/>
        <w:gridCol w:w="672"/>
      </w:tblGrid>
      <w:tr w:rsidR="00E837F2" w:rsidRPr="009C6EFA" w14:paraId="69AB3F5A" w14:textId="77777777" w:rsidTr="001B330E">
        <w:trPr>
          <w:trHeight w:val="23"/>
        </w:trPr>
        <w:tc>
          <w:tcPr>
            <w:tcW w:w="1309" w:type="pct"/>
            <w:shd w:val="clear" w:color="auto" w:fill="auto"/>
            <w:vAlign w:val="bottom"/>
          </w:tcPr>
          <w:p w14:paraId="784DEF74" w14:textId="77777777" w:rsidR="00E837F2" w:rsidRPr="009C6EFA" w:rsidRDefault="00E837F2" w:rsidP="001B330E">
            <w:pPr>
              <w:widowControl w:val="0"/>
              <w:pBdr>
                <w:top w:val="nil"/>
                <w:left w:val="nil"/>
                <w:bottom w:val="nil"/>
                <w:right w:val="nil"/>
                <w:between w:val="nil"/>
              </w:pBdr>
              <w:ind w:left="113" w:hanging="113"/>
              <w:rPr>
                <w:i/>
                <w:color w:val="000000"/>
              </w:rPr>
            </w:pPr>
          </w:p>
        </w:tc>
        <w:tc>
          <w:tcPr>
            <w:tcW w:w="1845" w:type="pct"/>
            <w:gridSpan w:val="4"/>
            <w:tcBorders>
              <w:bottom w:val="single" w:sz="4" w:space="0" w:color="000000"/>
            </w:tcBorders>
            <w:shd w:val="clear" w:color="auto" w:fill="auto"/>
          </w:tcPr>
          <w:p w14:paraId="60E8315F" w14:textId="77777777" w:rsidR="00E837F2" w:rsidRPr="009C6EFA" w:rsidRDefault="00E837F2" w:rsidP="001B330E">
            <w:pPr>
              <w:widowControl w:val="0"/>
              <w:pBdr>
                <w:top w:val="nil"/>
                <w:left w:val="nil"/>
                <w:bottom w:val="nil"/>
                <w:right w:val="nil"/>
                <w:between w:val="nil"/>
              </w:pBdr>
              <w:tabs>
                <w:tab w:val="left" w:pos="3182"/>
              </w:tabs>
              <w:jc w:val="center"/>
              <w:rPr>
                <w:b/>
                <w:color w:val="000000"/>
              </w:rPr>
            </w:pPr>
            <w:r w:rsidRPr="009C6EFA">
              <w:rPr>
                <w:b/>
                <w:color w:val="000000"/>
              </w:rPr>
              <w:t>Credit loss allowance</w:t>
            </w:r>
          </w:p>
        </w:tc>
        <w:tc>
          <w:tcPr>
            <w:tcW w:w="1846" w:type="pct"/>
            <w:gridSpan w:val="4"/>
            <w:tcBorders>
              <w:bottom w:val="single" w:sz="4" w:space="0" w:color="000000"/>
            </w:tcBorders>
          </w:tcPr>
          <w:p w14:paraId="0BA23A82" w14:textId="77777777" w:rsidR="00E837F2" w:rsidRPr="009C6EFA" w:rsidRDefault="00E837F2" w:rsidP="001B330E">
            <w:pPr>
              <w:widowControl w:val="0"/>
              <w:pBdr>
                <w:top w:val="nil"/>
                <w:left w:val="nil"/>
                <w:bottom w:val="nil"/>
                <w:right w:val="nil"/>
                <w:between w:val="nil"/>
              </w:pBdr>
              <w:jc w:val="center"/>
              <w:rPr>
                <w:b/>
                <w:color w:val="000000"/>
              </w:rPr>
            </w:pPr>
            <w:r w:rsidRPr="009C6EFA">
              <w:rPr>
                <w:b/>
                <w:color w:val="000000"/>
              </w:rPr>
              <w:t>Gross carrying amount</w:t>
            </w:r>
          </w:p>
        </w:tc>
      </w:tr>
      <w:tr w:rsidR="00E837F2" w:rsidRPr="009C6EFA" w14:paraId="16E4B36B" w14:textId="77777777" w:rsidTr="001B330E">
        <w:trPr>
          <w:trHeight w:val="23"/>
        </w:trPr>
        <w:tc>
          <w:tcPr>
            <w:tcW w:w="1309" w:type="pct"/>
            <w:tcBorders>
              <w:bottom w:val="single" w:sz="4" w:space="0" w:color="000000"/>
            </w:tcBorders>
            <w:shd w:val="clear" w:color="auto" w:fill="auto"/>
            <w:vAlign w:val="bottom"/>
          </w:tcPr>
          <w:p w14:paraId="69AA4D63" w14:textId="77777777" w:rsidR="00E837F2" w:rsidRPr="009C6EFA" w:rsidRDefault="00E837F2" w:rsidP="001B330E">
            <w:pPr>
              <w:widowControl w:val="0"/>
              <w:pBdr>
                <w:top w:val="nil"/>
                <w:left w:val="nil"/>
                <w:bottom w:val="nil"/>
                <w:right w:val="nil"/>
                <w:between w:val="nil"/>
              </w:pBdr>
              <w:ind w:left="113" w:hanging="113"/>
              <w:rPr>
                <w:i/>
                <w:color w:val="000000"/>
              </w:rPr>
            </w:pPr>
          </w:p>
          <w:p w14:paraId="4567CC2C" w14:textId="47398BB1" w:rsidR="00E837F2" w:rsidRPr="009C6EFA"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480" w:type="pct"/>
            <w:tcBorders>
              <w:top w:val="single" w:sz="4" w:space="0" w:color="000000"/>
              <w:bottom w:val="single" w:sz="4" w:space="0" w:color="000000"/>
            </w:tcBorders>
            <w:shd w:val="clear" w:color="auto" w:fill="auto"/>
          </w:tcPr>
          <w:p w14:paraId="3A107B77"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Stage 1</w:t>
            </w:r>
          </w:p>
          <w:p w14:paraId="255D6903" w14:textId="77777777" w:rsidR="00E837F2" w:rsidRPr="009C6EFA" w:rsidRDefault="00E837F2" w:rsidP="001B330E">
            <w:pPr>
              <w:widowControl w:val="0"/>
              <w:pBdr>
                <w:top w:val="nil"/>
                <w:left w:val="nil"/>
                <w:bottom w:val="nil"/>
                <w:right w:val="nil"/>
                <w:between w:val="nil"/>
              </w:pBdr>
              <w:ind w:left="-113" w:firstLine="142"/>
              <w:jc w:val="right"/>
              <w:rPr>
                <w:b/>
                <w:color w:val="000000"/>
              </w:rPr>
            </w:pPr>
            <w:r w:rsidRPr="009C6EFA">
              <w:rPr>
                <w:b/>
                <w:color w:val="000000"/>
              </w:rPr>
              <w:t>(12-months ECL)</w:t>
            </w:r>
          </w:p>
        </w:tc>
        <w:tc>
          <w:tcPr>
            <w:tcW w:w="503" w:type="pct"/>
            <w:tcBorders>
              <w:top w:val="single" w:sz="4" w:space="0" w:color="000000"/>
              <w:bottom w:val="single" w:sz="4" w:space="0" w:color="000000"/>
            </w:tcBorders>
            <w:shd w:val="clear" w:color="auto" w:fill="auto"/>
          </w:tcPr>
          <w:p w14:paraId="0B925755"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Stage 2</w:t>
            </w:r>
          </w:p>
          <w:p w14:paraId="082D170C" w14:textId="3DC1F39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(lifetime ECL for SICR)</w:t>
            </w:r>
          </w:p>
        </w:tc>
        <w:tc>
          <w:tcPr>
            <w:tcW w:w="503" w:type="pct"/>
            <w:tcBorders>
              <w:top w:val="single" w:sz="4" w:space="0" w:color="000000"/>
              <w:bottom w:val="single" w:sz="4" w:space="0" w:color="000000"/>
            </w:tcBorders>
            <w:shd w:val="clear" w:color="auto" w:fill="auto"/>
          </w:tcPr>
          <w:p w14:paraId="44D9DF8E"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Stage 3</w:t>
            </w:r>
          </w:p>
          <w:p w14:paraId="75622D43"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(lifetime ECL for credit im-paired)</w:t>
            </w:r>
          </w:p>
        </w:tc>
        <w:tc>
          <w:tcPr>
            <w:tcW w:w="360" w:type="pct"/>
            <w:tcBorders>
              <w:top w:val="single" w:sz="4" w:space="0" w:color="000000"/>
              <w:bottom w:val="single" w:sz="4" w:space="0" w:color="000000"/>
            </w:tcBorders>
            <w:shd w:val="clear" w:color="auto" w:fill="auto"/>
          </w:tcPr>
          <w:p w14:paraId="526F6C02"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Total</w:t>
            </w:r>
          </w:p>
        </w:tc>
        <w:tc>
          <w:tcPr>
            <w:tcW w:w="480" w:type="pct"/>
            <w:tcBorders>
              <w:top w:val="single" w:sz="4" w:space="0" w:color="000000"/>
              <w:bottom w:val="single" w:sz="4" w:space="0" w:color="000000"/>
            </w:tcBorders>
          </w:tcPr>
          <w:p w14:paraId="749111A7"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Stage 1</w:t>
            </w:r>
          </w:p>
          <w:p w14:paraId="7C5F2C39"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(12-months ECL)</w:t>
            </w:r>
          </w:p>
        </w:tc>
        <w:tc>
          <w:tcPr>
            <w:tcW w:w="503" w:type="pct"/>
            <w:tcBorders>
              <w:top w:val="single" w:sz="4" w:space="0" w:color="000000"/>
              <w:bottom w:val="single" w:sz="4" w:space="0" w:color="000000"/>
            </w:tcBorders>
          </w:tcPr>
          <w:p w14:paraId="6A3090F3"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Stage 2</w:t>
            </w:r>
          </w:p>
          <w:p w14:paraId="6435990F" w14:textId="54AAB57B"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(lifetime ECL for SICR)</w:t>
            </w:r>
          </w:p>
        </w:tc>
        <w:tc>
          <w:tcPr>
            <w:tcW w:w="503" w:type="pct"/>
            <w:tcBorders>
              <w:top w:val="single" w:sz="4" w:space="0" w:color="000000"/>
              <w:bottom w:val="single" w:sz="4" w:space="0" w:color="000000"/>
            </w:tcBorders>
          </w:tcPr>
          <w:p w14:paraId="773DCC08"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Stage 3</w:t>
            </w:r>
          </w:p>
          <w:p w14:paraId="18C94B37"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(lifetime ECL for credit im-paired)</w:t>
            </w:r>
          </w:p>
        </w:tc>
        <w:tc>
          <w:tcPr>
            <w:tcW w:w="360" w:type="pct"/>
            <w:tcBorders>
              <w:top w:val="single" w:sz="4" w:space="0" w:color="000000"/>
              <w:bottom w:val="single" w:sz="4" w:space="0" w:color="000000"/>
            </w:tcBorders>
            <w:shd w:val="clear" w:color="auto" w:fill="auto"/>
          </w:tcPr>
          <w:p w14:paraId="7D573DA4" w14:textId="77777777" w:rsidR="00E837F2" w:rsidRPr="009C6EFA" w:rsidRDefault="00E837F2">
            <w:pPr>
              <w:widowControl w:val="0"/>
              <w:pBdr>
                <w:top w:val="nil"/>
                <w:left w:val="nil"/>
                <w:bottom w:val="nil"/>
                <w:right w:val="nil"/>
                <w:between w:val="nil"/>
              </w:pBdr>
              <w:ind w:left="-113"/>
              <w:jc w:val="right"/>
              <w:rPr>
                <w:b/>
                <w:color w:val="000000"/>
              </w:rPr>
            </w:pPr>
            <w:r w:rsidRPr="009C6EFA">
              <w:rPr>
                <w:b/>
                <w:color w:val="000000"/>
              </w:rPr>
              <w:t>Total</w:t>
            </w:r>
          </w:p>
        </w:tc>
      </w:tr>
      <w:tr w:rsidR="00E837F2" w:rsidRPr="009C6EFA" w14:paraId="6607319C" w14:textId="77777777" w:rsidTr="001B330E">
        <w:trPr>
          <w:trHeight w:val="23"/>
        </w:trPr>
        <w:tc>
          <w:tcPr>
            <w:tcW w:w="1309" w:type="pct"/>
            <w:shd w:val="clear" w:color="auto" w:fill="auto"/>
            <w:vAlign w:val="bottom"/>
          </w:tcPr>
          <w:p w14:paraId="5EC3C6A4" w14:textId="77777777" w:rsidR="00E837F2" w:rsidRPr="009C6EFA" w:rsidRDefault="00E837F2" w:rsidP="001B330E">
            <w:pPr>
              <w:widowControl w:val="0"/>
              <w:ind w:left="113" w:hanging="113"/>
            </w:pPr>
          </w:p>
        </w:tc>
        <w:tc>
          <w:tcPr>
            <w:tcW w:w="480" w:type="pct"/>
            <w:shd w:val="clear" w:color="auto" w:fill="auto"/>
            <w:vAlign w:val="bottom"/>
          </w:tcPr>
          <w:p w14:paraId="17A87951"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shd w:val="clear" w:color="auto" w:fill="auto"/>
            <w:vAlign w:val="bottom"/>
          </w:tcPr>
          <w:p w14:paraId="3542D5F1"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shd w:val="clear" w:color="auto" w:fill="auto"/>
            <w:vAlign w:val="bottom"/>
          </w:tcPr>
          <w:p w14:paraId="60165D42"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top w:val="single" w:sz="4" w:space="0" w:color="000000"/>
            </w:tcBorders>
            <w:shd w:val="clear" w:color="auto" w:fill="auto"/>
            <w:vAlign w:val="bottom"/>
          </w:tcPr>
          <w:p w14:paraId="55049D98" w14:textId="77777777" w:rsidR="00E837F2" w:rsidRPr="009C6EFA" w:rsidRDefault="00E837F2">
            <w:pPr>
              <w:widowControl w:val="0"/>
              <w:pBdr>
                <w:top w:val="nil"/>
                <w:left w:val="nil"/>
                <w:bottom w:val="nil"/>
                <w:right w:val="nil"/>
                <w:between w:val="nil"/>
              </w:pBdr>
              <w:jc w:val="right"/>
              <w:rPr>
                <w:color w:val="000000"/>
              </w:rPr>
            </w:pPr>
          </w:p>
        </w:tc>
        <w:tc>
          <w:tcPr>
            <w:tcW w:w="480" w:type="pct"/>
          </w:tcPr>
          <w:p w14:paraId="0C7772BD"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5D796352"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14E43681"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120BB40E"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0C547A9C" w14:textId="77777777" w:rsidTr="001B330E">
        <w:trPr>
          <w:trHeight w:val="23"/>
        </w:trPr>
        <w:tc>
          <w:tcPr>
            <w:tcW w:w="1309" w:type="pct"/>
            <w:shd w:val="clear" w:color="auto" w:fill="auto"/>
            <w:vAlign w:val="bottom"/>
          </w:tcPr>
          <w:p w14:paraId="3D07142D" w14:textId="60E90301" w:rsidR="00E837F2" w:rsidRPr="009C6EFA" w:rsidRDefault="00922233" w:rsidP="001B330E">
            <w:pPr>
              <w:widowControl w:val="0"/>
              <w:pBdr>
                <w:top w:val="nil"/>
                <w:left w:val="nil"/>
                <w:bottom w:val="nil"/>
                <w:right w:val="nil"/>
                <w:between w:val="nil"/>
              </w:pBdr>
              <w:ind w:left="113" w:hanging="113"/>
              <w:rPr>
                <w:b/>
                <w:i/>
                <w:color w:val="000000"/>
              </w:rPr>
            </w:pPr>
            <w:r w:rsidRPr="00372E26">
              <w:rPr>
                <w:b/>
                <w:i/>
                <w:color w:val="0000FF"/>
              </w:rPr>
              <w:t>[</w:t>
            </w:r>
            <w:r w:rsidR="00372E26">
              <w:rPr>
                <w:b/>
                <w:i/>
                <w:color w:val="0000FF"/>
              </w:rPr>
              <w:t>[Country]</w:t>
            </w:r>
            <w:r w:rsidR="00E837F2" w:rsidRPr="00372E26">
              <w:rPr>
                <w:b/>
                <w:i/>
                <w:color w:val="0000FF"/>
              </w:rPr>
              <w:t xml:space="preserve"> government bonds</w:t>
            </w:r>
            <w:r w:rsidRPr="00372E26">
              <w:rPr>
                <w:b/>
                <w:i/>
                <w:color w:val="0000FF"/>
              </w:rPr>
              <w:t>]</w:t>
            </w:r>
          </w:p>
        </w:tc>
        <w:tc>
          <w:tcPr>
            <w:tcW w:w="480" w:type="pct"/>
            <w:shd w:val="clear" w:color="auto" w:fill="auto"/>
            <w:vAlign w:val="bottom"/>
          </w:tcPr>
          <w:p w14:paraId="539DC868"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671E1140"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0788AB6E"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21255302" w14:textId="77777777" w:rsidR="00E837F2" w:rsidRPr="009C6EFA" w:rsidRDefault="00E837F2">
            <w:pPr>
              <w:widowControl w:val="0"/>
              <w:pBdr>
                <w:top w:val="nil"/>
                <w:left w:val="nil"/>
                <w:bottom w:val="nil"/>
                <w:right w:val="nil"/>
                <w:between w:val="nil"/>
              </w:pBdr>
              <w:jc w:val="right"/>
              <w:rPr>
                <w:color w:val="000000"/>
              </w:rPr>
            </w:pPr>
          </w:p>
        </w:tc>
        <w:tc>
          <w:tcPr>
            <w:tcW w:w="480" w:type="pct"/>
          </w:tcPr>
          <w:p w14:paraId="635F0E24"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50AE6028"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4CABB9A5"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72FDC3FB"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0E1F9E28" w14:textId="77777777" w:rsidTr="001B330E">
        <w:trPr>
          <w:trHeight w:val="23"/>
        </w:trPr>
        <w:tc>
          <w:tcPr>
            <w:tcW w:w="1309" w:type="pct"/>
            <w:shd w:val="clear" w:color="auto" w:fill="auto"/>
            <w:vAlign w:val="bottom"/>
          </w:tcPr>
          <w:p w14:paraId="1FF0610E" w14:textId="77777777" w:rsidR="00E837F2" w:rsidRPr="009C6EFA" w:rsidRDefault="00E837F2" w:rsidP="001B330E">
            <w:pPr>
              <w:widowControl w:val="0"/>
              <w:pBdr>
                <w:top w:val="nil"/>
                <w:left w:val="nil"/>
                <w:bottom w:val="nil"/>
                <w:right w:val="nil"/>
                <w:between w:val="nil"/>
              </w:pBdr>
              <w:ind w:left="113" w:hanging="113"/>
              <w:rPr>
                <w:b/>
                <w:i/>
                <w:color w:val="000000"/>
              </w:rPr>
            </w:pPr>
          </w:p>
        </w:tc>
        <w:tc>
          <w:tcPr>
            <w:tcW w:w="480" w:type="pct"/>
            <w:shd w:val="clear" w:color="auto" w:fill="auto"/>
            <w:vAlign w:val="bottom"/>
          </w:tcPr>
          <w:p w14:paraId="63C81A45"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0EA4AE26"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5EB99C8D"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11B7C8A2" w14:textId="77777777" w:rsidR="00E837F2" w:rsidRPr="009C6EFA" w:rsidRDefault="00E837F2">
            <w:pPr>
              <w:widowControl w:val="0"/>
              <w:pBdr>
                <w:top w:val="nil"/>
                <w:left w:val="nil"/>
                <w:bottom w:val="nil"/>
                <w:right w:val="nil"/>
                <w:between w:val="nil"/>
              </w:pBdr>
              <w:jc w:val="right"/>
              <w:rPr>
                <w:color w:val="000000"/>
              </w:rPr>
            </w:pPr>
          </w:p>
        </w:tc>
        <w:tc>
          <w:tcPr>
            <w:tcW w:w="480" w:type="pct"/>
          </w:tcPr>
          <w:p w14:paraId="4586D774"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610459C0"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7EF40811"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72E674E6"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78AF3B58" w14:textId="77777777" w:rsidTr="001B330E">
        <w:trPr>
          <w:trHeight w:val="23"/>
        </w:trPr>
        <w:tc>
          <w:tcPr>
            <w:tcW w:w="1309" w:type="pct"/>
            <w:shd w:val="clear" w:color="auto" w:fill="auto"/>
            <w:vAlign w:val="bottom"/>
          </w:tcPr>
          <w:p w14:paraId="6E032F15" w14:textId="2F56213E" w:rsidR="00E837F2" w:rsidRPr="009C6EFA" w:rsidRDefault="00E837F2" w:rsidP="001B330E">
            <w:pPr>
              <w:widowControl w:val="0"/>
              <w:pBdr>
                <w:top w:val="nil"/>
                <w:left w:val="nil"/>
                <w:bottom w:val="nil"/>
                <w:right w:val="nil"/>
                <w:between w:val="nil"/>
              </w:pBdr>
              <w:ind w:left="113" w:hanging="113"/>
              <w:rPr>
                <w:b/>
                <w:color w:val="0000FF"/>
              </w:rPr>
            </w:pPr>
            <w:r w:rsidRPr="009C6EFA">
              <w:rPr>
                <w:b/>
                <w:color w:val="000000"/>
              </w:rPr>
              <w:t xml:space="preserve">At 1 January </w:t>
            </w:r>
            <w:r w:rsidR="00541EBC">
              <w:rPr>
                <w:b/>
                <w:color w:val="000000"/>
              </w:rPr>
              <w:t>2023</w:t>
            </w:r>
          </w:p>
        </w:tc>
        <w:tc>
          <w:tcPr>
            <w:tcW w:w="480" w:type="pct"/>
            <w:shd w:val="clear" w:color="auto" w:fill="auto"/>
            <w:vAlign w:val="bottom"/>
          </w:tcPr>
          <w:p w14:paraId="0B322E92"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1F3146EC"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407A81D5"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36D3A7C3" w14:textId="77777777" w:rsidR="00E837F2" w:rsidRPr="009C6EFA" w:rsidRDefault="00E837F2">
            <w:pPr>
              <w:widowControl w:val="0"/>
              <w:pBdr>
                <w:top w:val="nil"/>
                <w:left w:val="nil"/>
                <w:bottom w:val="nil"/>
                <w:right w:val="nil"/>
                <w:between w:val="nil"/>
              </w:pBdr>
              <w:jc w:val="right"/>
              <w:rPr>
                <w:color w:val="000000"/>
              </w:rPr>
            </w:pPr>
          </w:p>
        </w:tc>
        <w:tc>
          <w:tcPr>
            <w:tcW w:w="480" w:type="pct"/>
          </w:tcPr>
          <w:p w14:paraId="20E4DEC1"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074255C7"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16E16799"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605003D0"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5AFD8022" w14:textId="77777777" w:rsidTr="001B330E">
        <w:trPr>
          <w:trHeight w:val="23"/>
        </w:trPr>
        <w:tc>
          <w:tcPr>
            <w:tcW w:w="1309" w:type="pct"/>
            <w:shd w:val="clear" w:color="auto" w:fill="auto"/>
            <w:vAlign w:val="bottom"/>
          </w:tcPr>
          <w:p w14:paraId="758497AD" w14:textId="77777777" w:rsidR="00E837F2" w:rsidRPr="009C6EFA" w:rsidRDefault="00E837F2" w:rsidP="001B330E">
            <w:pPr>
              <w:widowControl w:val="0"/>
              <w:pBdr>
                <w:top w:val="nil"/>
                <w:left w:val="nil"/>
                <w:bottom w:val="nil"/>
                <w:right w:val="nil"/>
                <w:between w:val="nil"/>
              </w:pBdr>
              <w:ind w:left="113" w:hanging="113"/>
              <w:rPr>
                <w:b/>
                <w:color w:val="000000"/>
              </w:rPr>
            </w:pPr>
          </w:p>
          <w:p w14:paraId="7ABBB9A9" w14:textId="77777777" w:rsidR="00E837F2" w:rsidRPr="009C6EFA" w:rsidRDefault="00E837F2" w:rsidP="001B330E">
            <w:pPr>
              <w:widowControl w:val="0"/>
              <w:pBdr>
                <w:top w:val="nil"/>
                <w:left w:val="nil"/>
                <w:bottom w:val="nil"/>
                <w:right w:val="nil"/>
                <w:between w:val="nil"/>
              </w:pBdr>
              <w:ind w:left="113" w:hanging="113"/>
              <w:rPr>
                <w:b/>
                <w:color w:val="000000"/>
              </w:rPr>
            </w:pPr>
            <w:r w:rsidRPr="009C6EFA">
              <w:rPr>
                <w:i/>
                <w:color w:val="000000"/>
              </w:rPr>
              <w:t>Movements with impact on credit loss allowance charge for the period:</w:t>
            </w:r>
          </w:p>
        </w:tc>
        <w:tc>
          <w:tcPr>
            <w:tcW w:w="480" w:type="pct"/>
            <w:shd w:val="clear" w:color="auto" w:fill="auto"/>
            <w:vAlign w:val="bottom"/>
          </w:tcPr>
          <w:p w14:paraId="0ECE854E"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23DCAD05"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63E66EAF"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1A310F8F" w14:textId="77777777" w:rsidR="00E837F2" w:rsidRPr="009C6EFA" w:rsidRDefault="00E837F2">
            <w:pPr>
              <w:widowControl w:val="0"/>
              <w:pBdr>
                <w:top w:val="nil"/>
                <w:left w:val="nil"/>
                <w:bottom w:val="nil"/>
                <w:right w:val="nil"/>
                <w:between w:val="nil"/>
              </w:pBdr>
              <w:jc w:val="right"/>
              <w:rPr>
                <w:color w:val="000000"/>
              </w:rPr>
            </w:pPr>
          </w:p>
        </w:tc>
        <w:tc>
          <w:tcPr>
            <w:tcW w:w="480" w:type="pct"/>
          </w:tcPr>
          <w:p w14:paraId="04EC1E24" w14:textId="77777777" w:rsidR="00E837F2" w:rsidRPr="009C6EFA" w:rsidRDefault="00E837F2" w:rsidP="001B330E">
            <w:pPr>
              <w:widowControl w:val="0"/>
              <w:pBdr>
                <w:top w:val="nil"/>
                <w:left w:val="nil"/>
                <w:bottom w:val="nil"/>
                <w:right w:val="nil"/>
                <w:between w:val="nil"/>
              </w:pBdr>
              <w:jc w:val="right"/>
              <w:rPr>
                <w:color w:val="000000"/>
              </w:rPr>
            </w:pPr>
          </w:p>
        </w:tc>
        <w:tc>
          <w:tcPr>
            <w:tcW w:w="503" w:type="pct"/>
          </w:tcPr>
          <w:p w14:paraId="714CEB4B"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2EEBA07F"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2078F28B"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2674D082" w14:textId="77777777" w:rsidTr="001B330E">
        <w:trPr>
          <w:trHeight w:val="23"/>
        </w:trPr>
        <w:tc>
          <w:tcPr>
            <w:tcW w:w="1309" w:type="pct"/>
            <w:shd w:val="clear" w:color="auto" w:fill="auto"/>
            <w:vAlign w:val="bottom"/>
          </w:tcPr>
          <w:p w14:paraId="4A2976B0"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80" w:type="pct"/>
            <w:shd w:val="clear" w:color="auto" w:fill="auto"/>
            <w:vAlign w:val="bottom"/>
          </w:tcPr>
          <w:p w14:paraId="33BB0BB7"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29BD33CA"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5A788AB9"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5D6EB9D7" w14:textId="77777777" w:rsidR="00E837F2" w:rsidRPr="009C6EFA" w:rsidRDefault="00E837F2">
            <w:pPr>
              <w:widowControl w:val="0"/>
              <w:pBdr>
                <w:top w:val="nil"/>
                <w:left w:val="nil"/>
                <w:bottom w:val="nil"/>
                <w:right w:val="nil"/>
                <w:between w:val="nil"/>
              </w:pBdr>
              <w:jc w:val="right"/>
              <w:rPr>
                <w:color w:val="000000"/>
                <w:highlight w:val="green"/>
              </w:rPr>
            </w:pPr>
          </w:p>
        </w:tc>
        <w:tc>
          <w:tcPr>
            <w:tcW w:w="480" w:type="pct"/>
          </w:tcPr>
          <w:p w14:paraId="4EF9084C"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42C031E3"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6246A8FB"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4BCD8504" w14:textId="77777777" w:rsidR="00E837F2" w:rsidRPr="009C6EFA" w:rsidRDefault="00E837F2">
            <w:pPr>
              <w:widowControl w:val="0"/>
              <w:pBdr>
                <w:top w:val="nil"/>
                <w:left w:val="nil"/>
                <w:bottom w:val="nil"/>
                <w:right w:val="nil"/>
                <w:between w:val="nil"/>
              </w:pBdr>
              <w:jc w:val="right"/>
              <w:rPr>
                <w:color w:val="000000"/>
                <w:highlight w:val="green"/>
              </w:rPr>
            </w:pPr>
          </w:p>
        </w:tc>
      </w:tr>
      <w:tr w:rsidR="00E837F2" w:rsidRPr="009C6EFA" w14:paraId="228E46DB" w14:textId="77777777" w:rsidTr="001B330E">
        <w:trPr>
          <w:trHeight w:val="23"/>
        </w:trPr>
        <w:tc>
          <w:tcPr>
            <w:tcW w:w="1309" w:type="pct"/>
            <w:shd w:val="clear" w:color="auto" w:fill="auto"/>
            <w:vAlign w:val="bottom"/>
          </w:tcPr>
          <w:p w14:paraId="6A6FCDD6" w14:textId="77777777" w:rsidR="00E837F2" w:rsidRPr="009C6EFA" w:rsidRDefault="00E837F2" w:rsidP="001B330E">
            <w:pPr>
              <w:widowControl w:val="0"/>
              <w:pBdr>
                <w:top w:val="nil"/>
                <w:left w:val="nil"/>
                <w:bottom w:val="nil"/>
                <w:right w:val="nil"/>
                <w:between w:val="nil"/>
              </w:pBdr>
              <w:ind w:left="113" w:hanging="113"/>
              <w:rPr>
                <w:color w:val="0000FF"/>
              </w:rPr>
            </w:pPr>
            <w:r w:rsidRPr="009C6EFA">
              <w:rPr>
                <w:color w:val="000000"/>
              </w:rPr>
              <w:t>Transfers:</w:t>
            </w:r>
          </w:p>
        </w:tc>
        <w:tc>
          <w:tcPr>
            <w:tcW w:w="480" w:type="pct"/>
            <w:shd w:val="clear" w:color="auto" w:fill="auto"/>
            <w:vAlign w:val="bottom"/>
          </w:tcPr>
          <w:p w14:paraId="5E3876F0"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3737BA1E"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6FEBDE12"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46B35C30" w14:textId="77777777" w:rsidR="00E837F2" w:rsidRPr="009C6EFA" w:rsidRDefault="00E837F2">
            <w:pPr>
              <w:widowControl w:val="0"/>
              <w:pBdr>
                <w:top w:val="nil"/>
                <w:left w:val="nil"/>
                <w:bottom w:val="nil"/>
                <w:right w:val="nil"/>
                <w:between w:val="nil"/>
              </w:pBdr>
              <w:jc w:val="right"/>
              <w:rPr>
                <w:color w:val="000000"/>
                <w:highlight w:val="green"/>
              </w:rPr>
            </w:pPr>
          </w:p>
        </w:tc>
        <w:tc>
          <w:tcPr>
            <w:tcW w:w="480" w:type="pct"/>
          </w:tcPr>
          <w:p w14:paraId="7D9566E4"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67993A87"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7C673710"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1EB861D7" w14:textId="77777777" w:rsidR="00E837F2" w:rsidRPr="009C6EFA" w:rsidRDefault="00E837F2">
            <w:pPr>
              <w:widowControl w:val="0"/>
              <w:pBdr>
                <w:top w:val="nil"/>
                <w:left w:val="nil"/>
                <w:bottom w:val="nil"/>
                <w:right w:val="nil"/>
                <w:between w:val="nil"/>
              </w:pBdr>
              <w:jc w:val="right"/>
              <w:rPr>
                <w:color w:val="000000"/>
                <w:highlight w:val="green"/>
              </w:rPr>
            </w:pPr>
          </w:p>
        </w:tc>
      </w:tr>
      <w:tr w:rsidR="00E837F2" w:rsidRPr="009C6EFA" w14:paraId="52649B6E" w14:textId="77777777" w:rsidTr="001B330E">
        <w:trPr>
          <w:trHeight w:val="23"/>
        </w:trPr>
        <w:tc>
          <w:tcPr>
            <w:tcW w:w="1309" w:type="pct"/>
            <w:shd w:val="clear" w:color="auto" w:fill="auto"/>
            <w:vAlign w:val="bottom"/>
          </w:tcPr>
          <w:p w14:paraId="4740F98E"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 to lifetime (from Stage 1 to Stage 2)</w:t>
            </w:r>
          </w:p>
        </w:tc>
        <w:tc>
          <w:tcPr>
            <w:tcW w:w="480" w:type="pct"/>
            <w:shd w:val="clear" w:color="auto" w:fill="auto"/>
            <w:vAlign w:val="bottom"/>
          </w:tcPr>
          <w:p w14:paraId="22B286B1"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35E6006E"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53AB446A"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6C6C8925" w14:textId="77777777" w:rsidR="00E837F2" w:rsidRPr="009C6EFA" w:rsidRDefault="00E837F2">
            <w:pPr>
              <w:widowControl w:val="0"/>
              <w:pBdr>
                <w:top w:val="nil"/>
                <w:left w:val="nil"/>
                <w:bottom w:val="nil"/>
                <w:right w:val="nil"/>
                <w:between w:val="nil"/>
              </w:pBdr>
              <w:jc w:val="right"/>
              <w:rPr>
                <w:color w:val="000000"/>
                <w:highlight w:val="green"/>
              </w:rPr>
            </w:pPr>
          </w:p>
        </w:tc>
        <w:tc>
          <w:tcPr>
            <w:tcW w:w="480" w:type="pct"/>
          </w:tcPr>
          <w:p w14:paraId="2A5C61A4"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351A8853"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55ECB763"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754425A2" w14:textId="77777777" w:rsidR="00E837F2" w:rsidRPr="009C6EFA" w:rsidRDefault="00E837F2">
            <w:pPr>
              <w:widowControl w:val="0"/>
              <w:pBdr>
                <w:top w:val="nil"/>
                <w:left w:val="nil"/>
                <w:bottom w:val="nil"/>
                <w:right w:val="nil"/>
                <w:between w:val="nil"/>
              </w:pBdr>
              <w:jc w:val="right"/>
              <w:rPr>
                <w:color w:val="000000"/>
                <w:highlight w:val="green"/>
              </w:rPr>
            </w:pPr>
          </w:p>
        </w:tc>
      </w:tr>
      <w:tr w:rsidR="00E837F2" w:rsidRPr="009C6EFA" w14:paraId="7EA68642" w14:textId="77777777" w:rsidTr="001B330E">
        <w:trPr>
          <w:trHeight w:val="23"/>
        </w:trPr>
        <w:tc>
          <w:tcPr>
            <w:tcW w:w="1309" w:type="pct"/>
            <w:shd w:val="clear" w:color="auto" w:fill="auto"/>
            <w:vAlign w:val="bottom"/>
          </w:tcPr>
          <w:p w14:paraId="78ABB43B"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 to credit-impaired (from Stage 1 and Stage 2 to Stage 3)</w:t>
            </w:r>
          </w:p>
        </w:tc>
        <w:tc>
          <w:tcPr>
            <w:tcW w:w="480" w:type="pct"/>
            <w:shd w:val="clear" w:color="auto" w:fill="auto"/>
            <w:vAlign w:val="bottom"/>
          </w:tcPr>
          <w:p w14:paraId="6E2E4380"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7FE0804E"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62A72572"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41548305" w14:textId="77777777" w:rsidR="00E837F2" w:rsidRPr="009C6EFA" w:rsidRDefault="00E837F2">
            <w:pPr>
              <w:widowControl w:val="0"/>
              <w:pBdr>
                <w:top w:val="nil"/>
                <w:left w:val="nil"/>
                <w:bottom w:val="nil"/>
                <w:right w:val="nil"/>
                <w:between w:val="nil"/>
              </w:pBdr>
              <w:jc w:val="right"/>
              <w:rPr>
                <w:color w:val="000000"/>
                <w:highlight w:val="green"/>
              </w:rPr>
            </w:pPr>
          </w:p>
        </w:tc>
        <w:tc>
          <w:tcPr>
            <w:tcW w:w="480" w:type="pct"/>
          </w:tcPr>
          <w:p w14:paraId="61430A2D"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63EA42F4"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2D1765FB"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75B011C4" w14:textId="77777777" w:rsidR="00E837F2" w:rsidRPr="009C6EFA" w:rsidRDefault="00E837F2">
            <w:pPr>
              <w:widowControl w:val="0"/>
              <w:pBdr>
                <w:top w:val="nil"/>
                <w:left w:val="nil"/>
                <w:bottom w:val="nil"/>
                <w:right w:val="nil"/>
                <w:between w:val="nil"/>
              </w:pBdr>
              <w:jc w:val="right"/>
              <w:rPr>
                <w:color w:val="000000"/>
                <w:highlight w:val="green"/>
              </w:rPr>
            </w:pPr>
          </w:p>
        </w:tc>
      </w:tr>
      <w:tr w:rsidR="00E837F2" w:rsidRPr="009C6EFA" w14:paraId="5D9EAF96" w14:textId="77777777" w:rsidTr="001B330E">
        <w:trPr>
          <w:trHeight w:val="23"/>
        </w:trPr>
        <w:tc>
          <w:tcPr>
            <w:tcW w:w="1309" w:type="pct"/>
            <w:shd w:val="clear" w:color="auto" w:fill="auto"/>
            <w:vAlign w:val="bottom"/>
          </w:tcPr>
          <w:p w14:paraId="55798E22"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 to 12-months ECL (from Stage 2 and Stage 3 to Stage 1)</w:t>
            </w:r>
          </w:p>
        </w:tc>
        <w:tc>
          <w:tcPr>
            <w:tcW w:w="480" w:type="pct"/>
            <w:shd w:val="clear" w:color="auto" w:fill="auto"/>
            <w:vAlign w:val="bottom"/>
          </w:tcPr>
          <w:p w14:paraId="334E8771"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66AED2C4"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5BD88570"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1C840A88" w14:textId="77777777" w:rsidR="00E837F2" w:rsidRPr="009C6EFA" w:rsidRDefault="00E837F2">
            <w:pPr>
              <w:widowControl w:val="0"/>
              <w:pBdr>
                <w:top w:val="nil"/>
                <w:left w:val="nil"/>
                <w:bottom w:val="nil"/>
                <w:right w:val="nil"/>
                <w:between w:val="nil"/>
              </w:pBdr>
              <w:jc w:val="right"/>
              <w:rPr>
                <w:color w:val="000000"/>
                <w:highlight w:val="green"/>
              </w:rPr>
            </w:pPr>
          </w:p>
        </w:tc>
        <w:tc>
          <w:tcPr>
            <w:tcW w:w="480" w:type="pct"/>
          </w:tcPr>
          <w:p w14:paraId="3763694E"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7BCBA37C"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tcPr>
          <w:p w14:paraId="4E4BB732"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49BFC969" w14:textId="77777777" w:rsidR="00E837F2" w:rsidRPr="009C6EFA" w:rsidRDefault="00E837F2">
            <w:pPr>
              <w:widowControl w:val="0"/>
              <w:pBdr>
                <w:top w:val="nil"/>
                <w:left w:val="nil"/>
                <w:bottom w:val="nil"/>
                <w:right w:val="nil"/>
                <w:between w:val="nil"/>
              </w:pBdr>
              <w:jc w:val="right"/>
              <w:rPr>
                <w:color w:val="000000"/>
                <w:highlight w:val="green"/>
              </w:rPr>
            </w:pPr>
          </w:p>
        </w:tc>
      </w:tr>
      <w:tr w:rsidR="00E837F2" w:rsidRPr="009C6EFA" w14:paraId="1A95E4A7" w14:textId="77777777" w:rsidTr="001B330E">
        <w:trPr>
          <w:trHeight w:val="23"/>
        </w:trPr>
        <w:tc>
          <w:tcPr>
            <w:tcW w:w="1309" w:type="pct"/>
            <w:shd w:val="clear" w:color="auto" w:fill="auto"/>
            <w:vAlign w:val="bottom"/>
          </w:tcPr>
          <w:p w14:paraId="2BC303A8"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New originated or purchased</w:t>
            </w:r>
          </w:p>
        </w:tc>
        <w:tc>
          <w:tcPr>
            <w:tcW w:w="480" w:type="pct"/>
            <w:shd w:val="clear" w:color="auto" w:fill="auto"/>
            <w:vAlign w:val="bottom"/>
          </w:tcPr>
          <w:p w14:paraId="737008AA"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2C094A49"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7B7394FA"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1C273F72" w14:textId="77777777" w:rsidR="00E837F2" w:rsidRPr="009C6EFA" w:rsidRDefault="00E837F2">
            <w:pPr>
              <w:widowControl w:val="0"/>
              <w:pBdr>
                <w:top w:val="nil"/>
                <w:left w:val="nil"/>
                <w:bottom w:val="nil"/>
                <w:right w:val="nil"/>
                <w:between w:val="nil"/>
              </w:pBdr>
              <w:jc w:val="right"/>
              <w:rPr>
                <w:color w:val="000000"/>
              </w:rPr>
            </w:pPr>
          </w:p>
        </w:tc>
        <w:tc>
          <w:tcPr>
            <w:tcW w:w="480" w:type="pct"/>
          </w:tcPr>
          <w:p w14:paraId="78EF79DF"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16236277"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66852BD8"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1DEFFBA7"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35509CE7" w14:textId="77777777" w:rsidTr="001B330E">
        <w:trPr>
          <w:trHeight w:val="23"/>
        </w:trPr>
        <w:tc>
          <w:tcPr>
            <w:tcW w:w="1309" w:type="pct"/>
            <w:shd w:val="clear" w:color="auto" w:fill="auto"/>
            <w:vAlign w:val="bottom"/>
          </w:tcPr>
          <w:p w14:paraId="037189E0"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Derecognised during the period</w:t>
            </w:r>
          </w:p>
        </w:tc>
        <w:tc>
          <w:tcPr>
            <w:tcW w:w="480" w:type="pct"/>
            <w:shd w:val="clear" w:color="auto" w:fill="auto"/>
            <w:vAlign w:val="bottom"/>
          </w:tcPr>
          <w:p w14:paraId="35C31A7C"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18DBE529"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46F30EC4"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758A49DF" w14:textId="77777777" w:rsidR="00E837F2" w:rsidRPr="009C6EFA" w:rsidRDefault="00E837F2">
            <w:pPr>
              <w:widowControl w:val="0"/>
              <w:pBdr>
                <w:top w:val="nil"/>
                <w:left w:val="nil"/>
                <w:bottom w:val="nil"/>
                <w:right w:val="nil"/>
                <w:between w:val="nil"/>
              </w:pBdr>
              <w:jc w:val="right"/>
              <w:rPr>
                <w:color w:val="000000"/>
              </w:rPr>
            </w:pPr>
          </w:p>
        </w:tc>
        <w:tc>
          <w:tcPr>
            <w:tcW w:w="480" w:type="pct"/>
          </w:tcPr>
          <w:p w14:paraId="33023121"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7623A0B1" w14:textId="77777777" w:rsidR="00E837F2" w:rsidRPr="009C6EFA" w:rsidRDefault="00E837F2">
            <w:pPr>
              <w:widowControl w:val="0"/>
              <w:pBdr>
                <w:top w:val="nil"/>
                <w:left w:val="nil"/>
                <w:bottom w:val="nil"/>
                <w:right w:val="nil"/>
                <w:between w:val="nil"/>
              </w:pBdr>
              <w:jc w:val="right"/>
              <w:rPr>
                <w:color w:val="000000"/>
              </w:rPr>
            </w:pPr>
          </w:p>
        </w:tc>
        <w:tc>
          <w:tcPr>
            <w:tcW w:w="503" w:type="pct"/>
          </w:tcPr>
          <w:p w14:paraId="4FD8A11C"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44A97DEC"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44A71E28" w14:textId="77777777" w:rsidTr="001B330E">
        <w:trPr>
          <w:trHeight w:val="23"/>
        </w:trPr>
        <w:tc>
          <w:tcPr>
            <w:tcW w:w="1309" w:type="pct"/>
            <w:shd w:val="clear" w:color="auto" w:fill="auto"/>
            <w:vAlign w:val="bottom"/>
          </w:tcPr>
          <w:p w14:paraId="70A01F69"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Changes to ECL measurement model assumptions</w:t>
            </w:r>
          </w:p>
        </w:tc>
        <w:tc>
          <w:tcPr>
            <w:tcW w:w="480" w:type="pct"/>
            <w:shd w:val="clear" w:color="auto" w:fill="auto"/>
            <w:vAlign w:val="bottom"/>
          </w:tcPr>
          <w:p w14:paraId="49E1E2A6"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79C0DC88"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76D952A0"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0A43C2D5" w14:textId="77777777" w:rsidR="00E837F2" w:rsidRPr="009C6EFA" w:rsidRDefault="00E837F2">
            <w:pPr>
              <w:widowControl w:val="0"/>
              <w:pBdr>
                <w:top w:val="nil"/>
                <w:left w:val="nil"/>
                <w:bottom w:val="nil"/>
                <w:right w:val="nil"/>
                <w:between w:val="nil"/>
              </w:pBdr>
              <w:jc w:val="right"/>
              <w:rPr>
                <w:color w:val="000000"/>
              </w:rPr>
            </w:pPr>
          </w:p>
        </w:tc>
        <w:tc>
          <w:tcPr>
            <w:tcW w:w="480" w:type="pct"/>
            <w:vAlign w:val="bottom"/>
          </w:tcPr>
          <w:p w14:paraId="6E2A50E2"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686DD713"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58E0E02C"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4604E3E2"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4117D994" w14:textId="77777777" w:rsidTr="001B330E">
        <w:trPr>
          <w:trHeight w:val="23"/>
        </w:trPr>
        <w:tc>
          <w:tcPr>
            <w:tcW w:w="1309" w:type="pct"/>
            <w:shd w:val="clear" w:color="auto" w:fill="auto"/>
            <w:vAlign w:val="bottom"/>
          </w:tcPr>
          <w:p w14:paraId="5A3CC231"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 xml:space="preserve">Unwinding of discount </w:t>
            </w:r>
          </w:p>
        </w:tc>
        <w:tc>
          <w:tcPr>
            <w:tcW w:w="480" w:type="pct"/>
            <w:shd w:val="clear" w:color="auto" w:fill="auto"/>
            <w:vAlign w:val="bottom"/>
          </w:tcPr>
          <w:p w14:paraId="67F2AD96"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63FA40E3"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129825CD"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71EEDB13" w14:textId="77777777" w:rsidR="00E837F2" w:rsidRPr="009C6EFA" w:rsidRDefault="00E837F2">
            <w:pPr>
              <w:widowControl w:val="0"/>
              <w:pBdr>
                <w:top w:val="nil"/>
                <w:left w:val="nil"/>
                <w:bottom w:val="nil"/>
                <w:right w:val="nil"/>
                <w:between w:val="nil"/>
              </w:pBdr>
              <w:jc w:val="right"/>
              <w:rPr>
                <w:color w:val="000000"/>
              </w:rPr>
            </w:pPr>
          </w:p>
        </w:tc>
        <w:tc>
          <w:tcPr>
            <w:tcW w:w="480" w:type="pct"/>
            <w:vAlign w:val="bottom"/>
          </w:tcPr>
          <w:p w14:paraId="76EC1779"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5A4D6F39"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67B0B7B2"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01840747"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2E28EE8A" w14:textId="77777777" w:rsidTr="001B330E">
        <w:trPr>
          <w:trHeight w:val="23"/>
        </w:trPr>
        <w:tc>
          <w:tcPr>
            <w:tcW w:w="1309" w:type="pct"/>
            <w:shd w:val="clear" w:color="auto" w:fill="auto"/>
            <w:vAlign w:val="bottom"/>
          </w:tcPr>
          <w:p w14:paraId="4B02D1BE"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Changes in accrued interest</w:t>
            </w:r>
          </w:p>
        </w:tc>
        <w:tc>
          <w:tcPr>
            <w:tcW w:w="480" w:type="pct"/>
            <w:shd w:val="clear" w:color="auto" w:fill="auto"/>
            <w:vAlign w:val="bottom"/>
          </w:tcPr>
          <w:p w14:paraId="46353632"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026D03A5"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2B317E80"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24CEB8C4" w14:textId="77777777" w:rsidR="00E837F2" w:rsidRPr="009C6EFA" w:rsidRDefault="00E837F2">
            <w:pPr>
              <w:widowControl w:val="0"/>
              <w:pBdr>
                <w:top w:val="nil"/>
                <w:left w:val="nil"/>
                <w:bottom w:val="nil"/>
                <w:right w:val="nil"/>
                <w:between w:val="nil"/>
              </w:pBdr>
              <w:jc w:val="right"/>
              <w:rPr>
                <w:color w:val="000000"/>
              </w:rPr>
            </w:pPr>
          </w:p>
        </w:tc>
        <w:tc>
          <w:tcPr>
            <w:tcW w:w="480" w:type="pct"/>
            <w:vAlign w:val="bottom"/>
          </w:tcPr>
          <w:p w14:paraId="04AF21F9"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4DB6FD56"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0021A8B5"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2651E0C7"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3A9EFBB8" w14:textId="77777777" w:rsidTr="001B330E">
        <w:trPr>
          <w:trHeight w:val="23"/>
        </w:trPr>
        <w:tc>
          <w:tcPr>
            <w:tcW w:w="1309" w:type="pct"/>
            <w:shd w:val="clear" w:color="auto" w:fill="auto"/>
            <w:vAlign w:val="bottom"/>
          </w:tcPr>
          <w:p w14:paraId="7353E77E"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Other movements</w:t>
            </w:r>
          </w:p>
        </w:tc>
        <w:tc>
          <w:tcPr>
            <w:tcW w:w="480" w:type="pct"/>
            <w:shd w:val="clear" w:color="auto" w:fill="auto"/>
            <w:vAlign w:val="bottom"/>
          </w:tcPr>
          <w:p w14:paraId="74E4B1EC"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048AB355"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580E7C73"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3EC926F0" w14:textId="77777777" w:rsidR="00E837F2" w:rsidRPr="009C6EFA" w:rsidRDefault="00E837F2">
            <w:pPr>
              <w:widowControl w:val="0"/>
              <w:pBdr>
                <w:top w:val="nil"/>
                <w:left w:val="nil"/>
                <w:bottom w:val="nil"/>
                <w:right w:val="nil"/>
                <w:between w:val="nil"/>
              </w:pBdr>
              <w:jc w:val="right"/>
              <w:rPr>
                <w:color w:val="000000"/>
              </w:rPr>
            </w:pPr>
          </w:p>
        </w:tc>
        <w:tc>
          <w:tcPr>
            <w:tcW w:w="480" w:type="pct"/>
            <w:vAlign w:val="bottom"/>
          </w:tcPr>
          <w:p w14:paraId="5FFAF62A"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39C29215"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786B0DE3"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3E00AAA3"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6F00F322" w14:textId="77777777" w:rsidTr="001B330E">
        <w:trPr>
          <w:trHeight w:val="23"/>
        </w:trPr>
        <w:tc>
          <w:tcPr>
            <w:tcW w:w="1309" w:type="pct"/>
            <w:tcBorders>
              <w:bottom w:val="single" w:sz="4" w:space="0" w:color="000000"/>
            </w:tcBorders>
            <w:shd w:val="clear" w:color="auto" w:fill="auto"/>
            <w:vAlign w:val="bottom"/>
          </w:tcPr>
          <w:p w14:paraId="002B86C8" w14:textId="77777777" w:rsidR="00E837F2" w:rsidRPr="009C6EFA" w:rsidRDefault="00E837F2" w:rsidP="001B330E">
            <w:pPr>
              <w:widowControl w:val="0"/>
              <w:pBdr>
                <w:top w:val="nil"/>
                <w:left w:val="nil"/>
                <w:bottom w:val="nil"/>
                <w:right w:val="nil"/>
                <w:between w:val="nil"/>
              </w:pBdr>
              <w:ind w:left="113" w:hanging="113"/>
              <w:rPr>
                <w:color w:val="000000"/>
              </w:rPr>
            </w:pPr>
          </w:p>
        </w:tc>
        <w:tc>
          <w:tcPr>
            <w:tcW w:w="480" w:type="pct"/>
            <w:tcBorders>
              <w:bottom w:val="single" w:sz="4" w:space="0" w:color="000000"/>
            </w:tcBorders>
            <w:shd w:val="clear" w:color="auto" w:fill="auto"/>
            <w:vAlign w:val="bottom"/>
          </w:tcPr>
          <w:p w14:paraId="20DE5E55"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shd w:val="clear" w:color="auto" w:fill="auto"/>
            <w:vAlign w:val="bottom"/>
          </w:tcPr>
          <w:p w14:paraId="0DD594C9"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shd w:val="clear" w:color="auto" w:fill="auto"/>
            <w:vAlign w:val="bottom"/>
          </w:tcPr>
          <w:p w14:paraId="55B9A3D5"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bottom w:val="single" w:sz="4" w:space="0" w:color="000000"/>
            </w:tcBorders>
            <w:shd w:val="clear" w:color="auto" w:fill="auto"/>
            <w:vAlign w:val="bottom"/>
          </w:tcPr>
          <w:p w14:paraId="4DCF00CA" w14:textId="77777777" w:rsidR="00E837F2" w:rsidRPr="009C6EFA" w:rsidRDefault="00E837F2">
            <w:pPr>
              <w:widowControl w:val="0"/>
              <w:pBdr>
                <w:top w:val="nil"/>
                <w:left w:val="nil"/>
                <w:bottom w:val="nil"/>
                <w:right w:val="nil"/>
                <w:between w:val="nil"/>
              </w:pBdr>
              <w:jc w:val="right"/>
              <w:rPr>
                <w:color w:val="000000"/>
              </w:rPr>
            </w:pPr>
          </w:p>
        </w:tc>
        <w:tc>
          <w:tcPr>
            <w:tcW w:w="480" w:type="pct"/>
            <w:tcBorders>
              <w:bottom w:val="single" w:sz="4" w:space="0" w:color="000000"/>
            </w:tcBorders>
            <w:vAlign w:val="bottom"/>
          </w:tcPr>
          <w:p w14:paraId="4A1D282C"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vAlign w:val="bottom"/>
          </w:tcPr>
          <w:p w14:paraId="5B9B0510"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vAlign w:val="bottom"/>
          </w:tcPr>
          <w:p w14:paraId="651E11EC"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bottom w:val="single" w:sz="4" w:space="0" w:color="000000"/>
            </w:tcBorders>
            <w:shd w:val="clear" w:color="auto" w:fill="auto"/>
            <w:vAlign w:val="bottom"/>
          </w:tcPr>
          <w:p w14:paraId="4DA28624"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311C93A5" w14:textId="77777777" w:rsidTr="001B330E">
        <w:trPr>
          <w:trHeight w:val="23"/>
        </w:trPr>
        <w:tc>
          <w:tcPr>
            <w:tcW w:w="1309" w:type="pct"/>
            <w:tcBorders>
              <w:top w:val="single" w:sz="4" w:space="0" w:color="000000"/>
            </w:tcBorders>
            <w:shd w:val="clear" w:color="auto" w:fill="auto"/>
            <w:vAlign w:val="bottom"/>
          </w:tcPr>
          <w:p w14:paraId="127C5A50" w14:textId="77777777" w:rsidR="00E837F2" w:rsidRPr="009C6EFA" w:rsidRDefault="00E837F2" w:rsidP="001B330E">
            <w:pPr>
              <w:widowControl w:val="0"/>
              <w:pBdr>
                <w:top w:val="nil"/>
                <w:left w:val="nil"/>
                <w:bottom w:val="nil"/>
                <w:right w:val="nil"/>
                <w:between w:val="nil"/>
              </w:pBdr>
              <w:ind w:left="113" w:hanging="113"/>
              <w:rPr>
                <w:color w:val="000000"/>
              </w:rPr>
            </w:pPr>
          </w:p>
        </w:tc>
        <w:tc>
          <w:tcPr>
            <w:tcW w:w="480" w:type="pct"/>
            <w:tcBorders>
              <w:top w:val="single" w:sz="4" w:space="0" w:color="000000"/>
            </w:tcBorders>
            <w:shd w:val="clear" w:color="auto" w:fill="auto"/>
            <w:vAlign w:val="bottom"/>
          </w:tcPr>
          <w:p w14:paraId="47A16563"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shd w:val="clear" w:color="auto" w:fill="auto"/>
            <w:vAlign w:val="bottom"/>
          </w:tcPr>
          <w:p w14:paraId="15BB54E5"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shd w:val="clear" w:color="auto" w:fill="auto"/>
            <w:vAlign w:val="bottom"/>
          </w:tcPr>
          <w:p w14:paraId="4EB48512"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top w:val="single" w:sz="4" w:space="0" w:color="000000"/>
            </w:tcBorders>
            <w:shd w:val="clear" w:color="auto" w:fill="auto"/>
            <w:vAlign w:val="bottom"/>
          </w:tcPr>
          <w:p w14:paraId="7E61DFFF" w14:textId="77777777" w:rsidR="00E837F2" w:rsidRPr="009C6EFA" w:rsidRDefault="00E837F2">
            <w:pPr>
              <w:widowControl w:val="0"/>
              <w:pBdr>
                <w:top w:val="nil"/>
                <w:left w:val="nil"/>
                <w:bottom w:val="nil"/>
                <w:right w:val="nil"/>
                <w:between w:val="nil"/>
              </w:pBdr>
              <w:jc w:val="right"/>
              <w:rPr>
                <w:color w:val="000000"/>
              </w:rPr>
            </w:pPr>
          </w:p>
        </w:tc>
        <w:tc>
          <w:tcPr>
            <w:tcW w:w="480" w:type="pct"/>
            <w:tcBorders>
              <w:top w:val="single" w:sz="4" w:space="0" w:color="000000"/>
            </w:tcBorders>
            <w:vAlign w:val="bottom"/>
          </w:tcPr>
          <w:p w14:paraId="751B7547"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vAlign w:val="bottom"/>
          </w:tcPr>
          <w:p w14:paraId="396F2D77"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vAlign w:val="bottom"/>
          </w:tcPr>
          <w:p w14:paraId="792FEDB1"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top w:val="single" w:sz="4" w:space="0" w:color="000000"/>
            </w:tcBorders>
            <w:shd w:val="clear" w:color="auto" w:fill="auto"/>
            <w:vAlign w:val="bottom"/>
          </w:tcPr>
          <w:p w14:paraId="3EBE99BC"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7837E4C1" w14:textId="77777777" w:rsidTr="001B330E">
        <w:trPr>
          <w:trHeight w:val="23"/>
        </w:trPr>
        <w:tc>
          <w:tcPr>
            <w:tcW w:w="1309" w:type="pct"/>
            <w:shd w:val="clear" w:color="auto" w:fill="auto"/>
            <w:vAlign w:val="bottom"/>
          </w:tcPr>
          <w:p w14:paraId="3058EC52" w14:textId="77777777" w:rsidR="00E837F2" w:rsidRPr="009C6EFA" w:rsidRDefault="00E837F2" w:rsidP="001B330E">
            <w:pPr>
              <w:widowControl w:val="0"/>
              <w:pBdr>
                <w:top w:val="nil"/>
                <w:left w:val="nil"/>
                <w:bottom w:val="nil"/>
                <w:right w:val="nil"/>
                <w:between w:val="nil"/>
              </w:pBdr>
              <w:ind w:left="113" w:hanging="113"/>
              <w:rPr>
                <w:b/>
                <w:color w:val="000000"/>
              </w:rPr>
            </w:pPr>
            <w:r w:rsidRPr="009C6EFA">
              <w:rPr>
                <w:b/>
                <w:color w:val="000000"/>
              </w:rPr>
              <w:t>Total movements with impact on credit loss allowance charge for the period</w:t>
            </w:r>
          </w:p>
        </w:tc>
        <w:tc>
          <w:tcPr>
            <w:tcW w:w="480" w:type="pct"/>
            <w:shd w:val="clear" w:color="auto" w:fill="auto"/>
            <w:vAlign w:val="bottom"/>
          </w:tcPr>
          <w:p w14:paraId="5E6ED549"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5CF94701"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6225EA5F"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639D25C3" w14:textId="77777777" w:rsidR="00E837F2" w:rsidRPr="009C6EFA" w:rsidRDefault="00E837F2">
            <w:pPr>
              <w:widowControl w:val="0"/>
              <w:pBdr>
                <w:top w:val="nil"/>
                <w:left w:val="nil"/>
                <w:bottom w:val="nil"/>
                <w:right w:val="nil"/>
                <w:between w:val="nil"/>
              </w:pBdr>
              <w:jc w:val="right"/>
              <w:rPr>
                <w:color w:val="000000"/>
              </w:rPr>
            </w:pPr>
          </w:p>
        </w:tc>
        <w:tc>
          <w:tcPr>
            <w:tcW w:w="480" w:type="pct"/>
            <w:vAlign w:val="bottom"/>
          </w:tcPr>
          <w:p w14:paraId="0F8927F8"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1BCF19A8"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7317FD39"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7A5A6093"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432EB79D" w14:textId="77777777" w:rsidTr="001B330E">
        <w:trPr>
          <w:trHeight w:val="23"/>
        </w:trPr>
        <w:tc>
          <w:tcPr>
            <w:tcW w:w="1309" w:type="pct"/>
            <w:tcBorders>
              <w:bottom w:val="single" w:sz="4" w:space="0" w:color="000000"/>
            </w:tcBorders>
            <w:shd w:val="clear" w:color="auto" w:fill="auto"/>
            <w:vAlign w:val="bottom"/>
          </w:tcPr>
          <w:p w14:paraId="134FBBF9" w14:textId="77777777" w:rsidR="00E837F2" w:rsidRPr="009C6EFA" w:rsidRDefault="00E837F2" w:rsidP="001B330E">
            <w:pPr>
              <w:widowControl w:val="0"/>
              <w:pBdr>
                <w:top w:val="nil"/>
                <w:left w:val="nil"/>
                <w:bottom w:val="nil"/>
                <w:right w:val="nil"/>
                <w:between w:val="nil"/>
              </w:pBdr>
              <w:ind w:left="113" w:hanging="113"/>
              <w:rPr>
                <w:color w:val="000000"/>
              </w:rPr>
            </w:pPr>
          </w:p>
        </w:tc>
        <w:tc>
          <w:tcPr>
            <w:tcW w:w="480" w:type="pct"/>
            <w:tcBorders>
              <w:bottom w:val="single" w:sz="4" w:space="0" w:color="000000"/>
            </w:tcBorders>
            <w:shd w:val="clear" w:color="auto" w:fill="auto"/>
            <w:vAlign w:val="bottom"/>
          </w:tcPr>
          <w:p w14:paraId="74EAFCAC"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shd w:val="clear" w:color="auto" w:fill="auto"/>
            <w:vAlign w:val="bottom"/>
          </w:tcPr>
          <w:p w14:paraId="75EC3BAE"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shd w:val="clear" w:color="auto" w:fill="auto"/>
            <w:vAlign w:val="bottom"/>
          </w:tcPr>
          <w:p w14:paraId="02BA8351"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bottom w:val="single" w:sz="4" w:space="0" w:color="000000"/>
            </w:tcBorders>
            <w:shd w:val="clear" w:color="auto" w:fill="auto"/>
            <w:vAlign w:val="bottom"/>
          </w:tcPr>
          <w:p w14:paraId="484C6CB4" w14:textId="77777777" w:rsidR="00E837F2" w:rsidRPr="009C6EFA" w:rsidRDefault="00E837F2">
            <w:pPr>
              <w:widowControl w:val="0"/>
              <w:pBdr>
                <w:top w:val="nil"/>
                <w:left w:val="nil"/>
                <w:bottom w:val="nil"/>
                <w:right w:val="nil"/>
                <w:between w:val="nil"/>
              </w:pBdr>
              <w:jc w:val="right"/>
              <w:rPr>
                <w:color w:val="000000"/>
              </w:rPr>
            </w:pPr>
          </w:p>
        </w:tc>
        <w:tc>
          <w:tcPr>
            <w:tcW w:w="480" w:type="pct"/>
            <w:tcBorders>
              <w:bottom w:val="single" w:sz="4" w:space="0" w:color="000000"/>
            </w:tcBorders>
            <w:vAlign w:val="bottom"/>
          </w:tcPr>
          <w:p w14:paraId="24ECDB00"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vAlign w:val="bottom"/>
          </w:tcPr>
          <w:p w14:paraId="2D9A4E2A"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vAlign w:val="bottom"/>
          </w:tcPr>
          <w:p w14:paraId="13B57FD2"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bottom w:val="single" w:sz="4" w:space="0" w:color="000000"/>
            </w:tcBorders>
            <w:shd w:val="clear" w:color="auto" w:fill="auto"/>
            <w:vAlign w:val="bottom"/>
          </w:tcPr>
          <w:p w14:paraId="34F5579B"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5C3A864A" w14:textId="77777777" w:rsidTr="001B330E">
        <w:trPr>
          <w:trHeight w:val="23"/>
        </w:trPr>
        <w:tc>
          <w:tcPr>
            <w:tcW w:w="1309" w:type="pct"/>
            <w:tcBorders>
              <w:top w:val="single" w:sz="4" w:space="0" w:color="000000"/>
            </w:tcBorders>
            <w:shd w:val="clear" w:color="auto" w:fill="auto"/>
            <w:vAlign w:val="bottom"/>
          </w:tcPr>
          <w:p w14:paraId="7246E7DC" w14:textId="77777777" w:rsidR="00E837F2" w:rsidRPr="009C6EFA" w:rsidRDefault="00E837F2" w:rsidP="001B330E">
            <w:pPr>
              <w:widowControl w:val="0"/>
              <w:pBdr>
                <w:top w:val="nil"/>
                <w:left w:val="nil"/>
                <w:bottom w:val="nil"/>
                <w:right w:val="nil"/>
                <w:between w:val="nil"/>
              </w:pBdr>
              <w:ind w:left="113" w:hanging="113"/>
              <w:rPr>
                <w:color w:val="000000"/>
              </w:rPr>
            </w:pPr>
          </w:p>
        </w:tc>
        <w:tc>
          <w:tcPr>
            <w:tcW w:w="480" w:type="pct"/>
            <w:tcBorders>
              <w:top w:val="single" w:sz="4" w:space="0" w:color="000000"/>
            </w:tcBorders>
            <w:shd w:val="clear" w:color="auto" w:fill="auto"/>
            <w:vAlign w:val="bottom"/>
          </w:tcPr>
          <w:p w14:paraId="2539DD5B"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shd w:val="clear" w:color="auto" w:fill="auto"/>
            <w:vAlign w:val="bottom"/>
          </w:tcPr>
          <w:p w14:paraId="37EDBE68"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shd w:val="clear" w:color="auto" w:fill="auto"/>
            <w:vAlign w:val="bottom"/>
          </w:tcPr>
          <w:p w14:paraId="36AE6729"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top w:val="single" w:sz="4" w:space="0" w:color="000000"/>
            </w:tcBorders>
            <w:shd w:val="clear" w:color="auto" w:fill="auto"/>
            <w:vAlign w:val="bottom"/>
          </w:tcPr>
          <w:p w14:paraId="5BB85F64" w14:textId="77777777" w:rsidR="00E837F2" w:rsidRPr="009C6EFA" w:rsidRDefault="00E837F2">
            <w:pPr>
              <w:widowControl w:val="0"/>
              <w:pBdr>
                <w:top w:val="nil"/>
                <w:left w:val="nil"/>
                <w:bottom w:val="nil"/>
                <w:right w:val="nil"/>
                <w:between w:val="nil"/>
              </w:pBdr>
              <w:jc w:val="right"/>
              <w:rPr>
                <w:color w:val="000000"/>
              </w:rPr>
            </w:pPr>
          </w:p>
        </w:tc>
        <w:tc>
          <w:tcPr>
            <w:tcW w:w="480" w:type="pct"/>
            <w:tcBorders>
              <w:top w:val="single" w:sz="4" w:space="0" w:color="000000"/>
            </w:tcBorders>
            <w:vAlign w:val="bottom"/>
          </w:tcPr>
          <w:p w14:paraId="1CFE4893"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vAlign w:val="bottom"/>
          </w:tcPr>
          <w:p w14:paraId="6232F04A"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vAlign w:val="bottom"/>
          </w:tcPr>
          <w:p w14:paraId="57392C42"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top w:val="single" w:sz="4" w:space="0" w:color="000000"/>
            </w:tcBorders>
            <w:shd w:val="clear" w:color="auto" w:fill="auto"/>
            <w:vAlign w:val="bottom"/>
          </w:tcPr>
          <w:p w14:paraId="4763D6F6"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302B66C5" w14:textId="77777777" w:rsidTr="001B330E">
        <w:trPr>
          <w:trHeight w:val="23"/>
        </w:trPr>
        <w:tc>
          <w:tcPr>
            <w:tcW w:w="1309" w:type="pct"/>
            <w:shd w:val="clear" w:color="auto" w:fill="auto"/>
            <w:vAlign w:val="bottom"/>
          </w:tcPr>
          <w:p w14:paraId="4C3EA670" w14:textId="77777777" w:rsidR="00E837F2" w:rsidRPr="009C6EFA" w:rsidRDefault="00E837F2" w:rsidP="001B330E">
            <w:pPr>
              <w:widowControl w:val="0"/>
              <w:pBdr>
                <w:top w:val="nil"/>
                <w:left w:val="nil"/>
                <w:bottom w:val="nil"/>
                <w:right w:val="nil"/>
                <w:between w:val="nil"/>
              </w:pBdr>
              <w:ind w:left="113" w:hanging="113"/>
              <w:rPr>
                <w:b/>
                <w:color w:val="000000"/>
              </w:rPr>
            </w:pPr>
            <w:r w:rsidRPr="009C6EFA">
              <w:rPr>
                <w:i/>
                <w:color w:val="000000"/>
              </w:rPr>
              <w:t>Movements without impact on credit loss allowance charge for the period:</w:t>
            </w:r>
          </w:p>
          <w:p w14:paraId="1A840390"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80" w:type="pct"/>
            <w:shd w:val="clear" w:color="auto" w:fill="auto"/>
            <w:vAlign w:val="bottom"/>
          </w:tcPr>
          <w:p w14:paraId="55895BDD"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1196221A"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47A6F9BD"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6BC7ADA3" w14:textId="77777777" w:rsidR="00E837F2" w:rsidRPr="009C6EFA" w:rsidRDefault="00E837F2">
            <w:pPr>
              <w:widowControl w:val="0"/>
              <w:pBdr>
                <w:top w:val="nil"/>
                <w:left w:val="nil"/>
                <w:bottom w:val="nil"/>
                <w:right w:val="nil"/>
                <w:between w:val="nil"/>
              </w:pBdr>
              <w:jc w:val="right"/>
              <w:rPr>
                <w:color w:val="000000"/>
                <w:highlight w:val="green"/>
              </w:rPr>
            </w:pPr>
          </w:p>
        </w:tc>
        <w:tc>
          <w:tcPr>
            <w:tcW w:w="480" w:type="pct"/>
            <w:vAlign w:val="bottom"/>
          </w:tcPr>
          <w:p w14:paraId="1EDCDCAA"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vAlign w:val="bottom"/>
          </w:tcPr>
          <w:p w14:paraId="1A0A23F3"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vAlign w:val="bottom"/>
          </w:tcPr>
          <w:p w14:paraId="1211F1FA"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557CCF59" w14:textId="77777777" w:rsidR="00E837F2" w:rsidRPr="009C6EFA" w:rsidRDefault="00E837F2">
            <w:pPr>
              <w:widowControl w:val="0"/>
              <w:pBdr>
                <w:top w:val="nil"/>
                <w:left w:val="nil"/>
                <w:bottom w:val="nil"/>
                <w:right w:val="nil"/>
                <w:between w:val="nil"/>
              </w:pBdr>
              <w:jc w:val="right"/>
              <w:rPr>
                <w:color w:val="000000"/>
                <w:highlight w:val="green"/>
              </w:rPr>
            </w:pPr>
          </w:p>
        </w:tc>
      </w:tr>
      <w:tr w:rsidR="00E837F2" w:rsidRPr="009C6EFA" w14:paraId="64ADC34E" w14:textId="77777777" w:rsidTr="001B330E">
        <w:trPr>
          <w:trHeight w:val="23"/>
        </w:trPr>
        <w:tc>
          <w:tcPr>
            <w:tcW w:w="1309" w:type="pct"/>
            <w:shd w:val="clear" w:color="auto" w:fill="auto"/>
            <w:vAlign w:val="bottom"/>
          </w:tcPr>
          <w:p w14:paraId="0C125A74"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Write-offs</w:t>
            </w:r>
          </w:p>
        </w:tc>
        <w:tc>
          <w:tcPr>
            <w:tcW w:w="480" w:type="pct"/>
            <w:shd w:val="clear" w:color="auto" w:fill="auto"/>
            <w:vAlign w:val="bottom"/>
          </w:tcPr>
          <w:p w14:paraId="3724C12C"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18139532"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424F5B55"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796FA03F" w14:textId="77777777" w:rsidR="00E837F2" w:rsidRPr="009C6EFA" w:rsidRDefault="00E837F2">
            <w:pPr>
              <w:widowControl w:val="0"/>
              <w:pBdr>
                <w:top w:val="nil"/>
                <w:left w:val="nil"/>
                <w:bottom w:val="nil"/>
                <w:right w:val="nil"/>
                <w:between w:val="nil"/>
              </w:pBdr>
              <w:jc w:val="right"/>
              <w:rPr>
                <w:color w:val="000000"/>
                <w:highlight w:val="green"/>
              </w:rPr>
            </w:pPr>
          </w:p>
        </w:tc>
        <w:tc>
          <w:tcPr>
            <w:tcW w:w="480" w:type="pct"/>
            <w:vAlign w:val="bottom"/>
          </w:tcPr>
          <w:p w14:paraId="660A5066"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vAlign w:val="bottom"/>
          </w:tcPr>
          <w:p w14:paraId="34BB3943"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vAlign w:val="bottom"/>
          </w:tcPr>
          <w:p w14:paraId="0D90A1E0"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009EBC63" w14:textId="77777777" w:rsidR="00E837F2" w:rsidRPr="009C6EFA" w:rsidRDefault="00E837F2">
            <w:pPr>
              <w:widowControl w:val="0"/>
              <w:pBdr>
                <w:top w:val="nil"/>
                <w:left w:val="nil"/>
                <w:bottom w:val="nil"/>
                <w:right w:val="nil"/>
                <w:between w:val="nil"/>
              </w:pBdr>
              <w:jc w:val="right"/>
              <w:rPr>
                <w:color w:val="000000"/>
                <w:highlight w:val="green"/>
              </w:rPr>
            </w:pPr>
          </w:p>
        </w:tc>
      </w:tr>
      <w:tr w:rsidR="00E837F2" w:rsidRPr="009C6EFA" w14:paraId="74A68290" w14:textId="77777777" w:rsidTr="001B330E">
        <w:trPr>
          <w:trHeight w:val="23"/>
        </w:trPr>
        <w:tc>
          <w:tcPr>
            <w:tcW w:w="1309" w:type="pct"/>
            <w:shd w:val="clear" w:color="auto" w:fill="auto"/>
            <w:vAlign w:val="bottom"/>
          </w:tcPr>
          <w:p w14:paraId="792A8104"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FX and other movements</w:t>
            </w:r>
          </w:p>
        </w:tc>
        <w:tc>
          <w:tcPr>
            <w:tcW w:w="480" w:type="pct"/>
            <w:shd w:val="clear" w:color="auto" w:fill="auto"/>
            <w:vAlign w:val="bottom"/>
          </w:tcPr>
          <w:p w14:paraId="6EA48184"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3809A9F4"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shd w:val="clear" w:color="auto" w:fill="auto"/>
            <w:vAlign w:val="bottom"/>
          </w:tcPr>
          <w:p w14:paraId="65C9B900"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06CB1A28" w14:textId="77777777" w:rsidR="00E837F2" w:rsidRPr="009C6EFA" w:rsidRDefault="00E837F2">
            <w:pPr>
              <w:widowControl w:val="0"/>
              <w:pBdr>
                <w:top w:val="nil"/>
                <w:left w:val="nil"/>
                <w:bottom w:val="nil"/>
                <w:right w:val="nil"/>
                <w:between w:val="nil"/>
              </w:pBdr>
              <w:jc w:val="right"/>
              <w:rPr>
                <w:color w:val="000000"/>
                <w:highlight w:val="green"/>
              </w:rPr>
            </w:pPr>
          </w:p>
        </w:tc>
        <w:tc>
          <w:tcPr>
            <w:tcW w:w="480" w:type="pct"/>
            <w:vAlign w:val="bottom"/>
          </w:tcPr>
          <w:p w14:paraId="6629642C"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vAlign w:val="bottom"/>
          </w:tcPr>
          <w:p w14:paraId="5CF4CC6A" w14:textId="77777777" w:rsidR="00E837F2" w:rsidRPr="009C6EFA" w:rsidRDefault="00E837F2">
            <w:pPr>
              <w:widowControl w:val="0"/>
              <w:pBdr>
                <w:top w:val="nil"/>
                <w:left w:val="nil"/>
                <w:bottom w:val="nil"/>
                <w:right w:val="nil"/>
                <w:between w:val="nil"/>
              </w:pBdr>
              <w:jc w:val="right"/>
              <w:rPr>
                <w:color w:val="000000"/>
                <w:highlight w:val="green"/>
              </w:rPr>
            </w:pPr>
          </w:p>
        </w:tc>
        <w:tc>
          <w:tcPr>
            <w:tcW w:w="503" w:type="pct"/>
            <w:vAlign w:val="bottom"/>
          </w:tcPr>
          <w:p w14:paraId="3652F5F2" w14:textId="77777777" w:rsidR="00E837F2" w:rsidRPr="009C6EFA" w:rsidRDefault="00E837F2">
            <w:pPr>
              <w:widowControl w:val="0"/>
              <w:pBdr>
                <w:top w:val="nil"/>
                <w:left w:val="nil"/>
                <w:bottom w:val="nil"/>
                <w:right w:val="nil"/>
                <w:between w:val="nil"/>
              </w:pBdr>
              <w:jc w:val="right"/>
              <w:rPr>
                <w:color w:val="000000"/>
                <w:highlight w:val="green"/>
              </w:rPr>
            </w:pPr>
          </w:p>
        </w:tc>
        <w:tc>
          <w:tcPr>
            <w:tcW w:w="360" w:type="pct"/>
            <w:shd w:val="clear" w:color="auto" w:fill="auto"/>
            <w:vAlign w:val="bottom"/>
          </w:tcPr>
          <w:p w14:paraId="27B20CEC" w14:textId="77777777" w:rsidR="00E837F2" w:rsidRPr="009C6EFA" w:rsidRDefault="00E837F2">
            <w:pPr>
              <w:widowControl w:val="0"/>
              <w:pBdr>
                <w:top w:val="nil"/>
                <w:left w:val="nil"/>
                <w:bottom w:val="nil"/>
                <w:right w:val="nil"/>
                <w:between w:val="nil"/>
              </w:pBdr>
              <w:jc w:val="right"/>
              <w:rPr>
                <w:color w:val="000000"/>
                <w:highlight w:val="green"/>
              </w:rPr>
            </w:pPr>
          </w:p>
        </w:tc>
      </w:tr>
      <w:tr w:rsidR="00E837F2" w:rsidRPr="009C6EFA" w14:paraId="48E2D20D" w14:textId="77777777" w:rsidTr="001B330E">
        <w:trPr>
          <w:trHeight w:val="23"/>
        </w:trPr>
        <w:tc>
          <w:tcPr>
            <w:tcW w:w="1309" w:type="pct"/>
            <w:shd w:val="clear" w:color="auto" w:fill="auto"/>
            <w:vAlign w:val="bottom"/>
          </w:tcPr>
          <w:p w14:paraId="32EBBD6F"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Modification of contractual cash flows</w:t>
            </w:r>
          </w:p>
        </w:tc>
        <w:tc>
          <w:tcPr>
            <w:tcW w:w="480" w:type="pct"/>
            <w:shd w:val="clear" w:color="auto" w:fill="auto"/>
            <w:vAlign w:val="bottom"/>
          </w:tcPr>
          <w:p w14:paraId="18CF0D30"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5A39B750"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733A5FD6"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217B848A" w14:textId="77777777" w:rsidR="00E837F2" w:rsidRPr="009C6EFA" w:rsidRDefault="00E837F2">
            <w:pPr>
              <w:widowControl w:val="0"/>
              <w:pBdr>
                <w:top w:val="nil"/>
                <w:left w:val="nil"/>
                <w:bottom w:val="nil"/>
                <w:right w:val="nil"/>
                <w:between w:val="nil"/>
              </w:pBdr>
              <w:jc w:val="right"/>
              <w:rPr>
                <w:color w:val="000000"/>
              </w:rPr>
            </w:pPr>
          </w:p>
        </w:tc>
        <w:tc>
          <w:tcPr>
            <w:tcW w:w="480" w:type="pct"/>
            <w:vAlign w:val="bottom"/>
          </w:tcPr>
          <w:p w14:paraId="612492D3"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532197EC"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4ACE0875"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5D275488"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60F086B9" w14:textId="77777777" w:rsidTr="001B330E">
        <w:trPr>
          <w:trHeight w:val="23"/>
        </w:trPr>
        <w:tc>
          <w:tcPr>
            <w:tcW w:w="1309" w:type="pct"/>
            <w:shd w:val="clear" w:color="auto" w:fill="auto"/>
            <w:vAlign w:val="bottom"/>
          </w:tcPr>
          <w:p w14:paraId="40A12519" w14:textId="77777777" w:rsidR="00E837F2" w:rsidRPr="009C6EFA" w:rsidRDefault="00E837F2" w:rsidP="001B330E">
            <w:pPr>
              <w:widowControl w:val="0"/>
              <w:pBdr>
                <w:top w:val="nil"/>
                <w:left w:val="nil"/>
                <w:bottom w:val="nil"/>
                <w:right w:val="nil"/>
                <w:between w:val="nil"/>
              </w:pBdr>
              <w:ind w:left="113" w:hanging="113"/>
              <w:rPr>
                <w:color w:val="000000"/>
              </w:rPr>
            </w:pPr>
            <w:r w:rsidRPr="009C6EFA">
              <w:rPr>
                <w:color w:val="000000"/>
              </w:rPr>
              <w:t xml:space="preserve">Unwinding of discount </w:t>
            </w:r>
            <w:r w:rsidRPr="009C6EFA">
              <w:rPr>
                <w:color w:val="000000"/>
              </w:rPr>
              <w:br/>
              <w:t xml:space="preserve">(for Stage 3) </w:t>
            </w:r>
          </w:p>
        </w:tc>
        <w:tc>
          <w:tcPr>
            <w:tcW w:w="480" w:type="pct"/>
            <w:shd w:val="clear" w:color="auto" w:fill="auto"/>
            <w:vAlign w:val="bottom"/>
          </w:tcPr>
          <w:p w14:paraId="01190AE6"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38C3D2BA"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4B77F3C0"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53CEEB4F" w14:textId="77777777" w:rsidR="00E837F2" w:rsidRPr="009C6EFA" w:rsidRDefault="00E837F2">
            <w:pPr>
              <w:widowControl w:val="0"/>
              <w:pBdr>
                <w:top w:val="nil"/>
                <w:left w:val="nil"/>
                <w:bottom w:val="nil"/>
                <w:right w:val="nil"/>
                <w:between w:val="nil"/>
              </w:pBdr>
              <w:jc w:val="right"/>
              <w:rPr>
                <w:color w:val="000000"/>
              </w:rPr>
            </w:pPr>
          </w:p>
        </w:tc>
        <w:tc>
          <w:tcPr>
            <w:tcW w:w="480" w:type="pct"/>
            <w:vAlign w:val="bottom"/>
          </w:tcPr>
          <w:p w14:paraId="0482238C"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0F9A7154"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32FA5139"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480AC9E7"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1DB3A097" w14:textId="77777777" w:rsidTr="001B330E">
        <w:trPr>
          <w:trHeight w:val="23"/>
        </w:trPr>
        <w:tc>
          <w:tcPr>
            <w:tcW w:w="1309" w:type="pct"/>
            <w:tcBorders>
              <w:bottom w:val="single" w:sz="4" w:space="0" w:color="000000"/>
            </w:tcBorders>
            <w:shd w:val="clear" w:color="auto" w:fill="auto"/>
            <w:vAlign w:val="bottom"/>
          </w:tcPr>
          <w:p w14:paraId="066D3EF4" w14:textId="77777777" w:rsidR="00E837F2" w:rsidRPr="009C6EFA" w:rsidRDefault="00E837F2" w:rsidP="001B330E">
            <w:pPr>
              <w:widowControl w:val="0"/>
              <w:pBdr>
                <w:top w:val="nil"/>
                <w:left w:val="nil"/>
                <w:bottom w:val="nil"/>
                <w:right w:val="nil"/>
                <w:between w:val="nil"/>
              </w:pBdr>
              <w:ind w:left="113" w:hanging="113"/>
              <w:rPr>
                <w:b/>
                <w:color w:val="000000"/>
              </w:rPr>
            </w:pPr>
          </w:p>
        </w:tc>
        <w:tc>
          <w:tcPr>
            <w:tcW w:w="480" w:type="pct"/>
            <w:tcBorders>
              <w:bottom w:val="single" w:sz="4" w:space="0" w:color="000000"/>
            </w:tcBorders>
            <w:shd w:val="clear" w:color="auto" w:fill="auto"/>
            <w:vAlign w:val="bottom"/>
          </w:tcPr>
          <w:p w14:paraId="2814BEA7"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shd w:val="clear" w:color="auto" w:fill="auto"/>
            <w:vAlign w:val="bottom"/>
          </w:tcPr>
          <w:p w14:paraId="3EE2E65C"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shd w:val="clear" w:color="auto" w:fill="auto"/>
            <w:vAlign w:val="bottom"/>
          </w:tcPr>
          <w:p w14:paraId="21AC1B29"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bottom w:val="single" w:sz="4" w:space="0" w:color="000000"/>
            </w:tcBorders>
            <w:shd w:val="clear" w:color="auto" w:fill="auto"/>
            <w:vAlign w:val="bottom"/>
          </w:tcPr>
          <w:p w14:paraId="629AAF29" w14:textId="77777777" w:rsidR="00E837F2" w:rsidRPr="009C6EFA" w:rsidRDefault="00E837F2">
            <w:pPr>
              <w:widowControl w:val="0"/>
              <w:pBdr>
                <w:top w:val="nil"/>
                <w:left w:val="nil"/>
                <w:bottom w:val="nil"/>
                <w:right w:val="nil"/>
                <w:between w:val="nil"/>
              </w:pBdr>
              <w:jc w:val="right"/>
              <w:rPr>
                <w:color w:val="000000"/>
              </w:rPr>
            </w:pPr>
          </w:p>
        </w:tc>
        <w:tc>
          <w:tcPr>
            <w:tcW w:w="480" w:type="pct"/>
            <w:tcBorders>
              <w:bottom w:val="single" w:sz="4" w:space="0" w:color="000000"/>
            </w:tcBorders>
            <w:vAlign w:val="bottom"/>
          </w:tcPr>
          <w:p w14:paraId="764F1E17"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vAlign w:val="bottom"/>
          </w:tcPr>
          <w:p w14:paraId="54424D8B"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4" w:space="0" w:color="000000"/>
            </w:tcBorders>
            <w:vAlign w:val="bottom"/>
          </w:tcPr>
          <w:p w14:paraId="0EA5AAA3"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bottom w:val="single" w:sz="4" w:space="0" w:color="000000"/>
            </w:tcBorders>
            <w:shd w:val="clear" w:color="auto" w:fill="auto"/>
            <w:vAlign w:val="bottom"/>
          </w:tcPr>
          <w:p w14:paraId="048FDA3A"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76854A19" w14:textId="77777777" w:rsidTr="001B330E">
        <w:trPr>
          <w:trHeight w:val="23"/>
        </w:trPr>
        <w:tc>
          <w:tcPr>
            <w:tcW w:w="1309" w:type="pct"/>
            <w:tcBorders>
              <w:top w:val="single" w:sz="4" w:space="0" w:color="000000"/>
            </w:tcBorders>
            <w:shd w:val="clear" w:color="auto" w:fill="auto"/>
            <w:vAlign w:val="bottom"/>
          </w:tcPr>
          <w:p w14:paraId="0F247934" w14:textId="77777777" w:rsidR="00E837F2" w:rsidRPr="009C6EFA" w:rsidRDefault="00E837F2" w:rsidP="001B330E">
            <w:pPr>
              <w:widowControl w:val="0"/>
              <w:pBdr>
                <w:top w:val="nil"/>
                <w:left w:val="nil"/>
                <w:bottom w:val="nil"/>
                <w:right w:val="nil"/>
                <w:between w:val="nil"/>
              </w:pBdr>
              <w:ind w:left="113" w:hanging="113"/>
              <w:rPr>
                <w:color w:val="000000"/>
                <w:u w:val="single"/>
              </w:rPr>
            </w:pPr>
          </w:p>
        </w:tc>
        <w:tc>
          <w:tcPr>
            <w:tcW w:w="480" w:type="pct"/>
            <w:tcBorders>
              <w:top w:val="single" w:sz="4" w:space="0" w:color="000000"/>
            </w:tcBorders>
            <w:shd w:val="clear" w:color="auto" w:fill="auto"/>
            <w:vAlign w:val="bottom"/>
          </w:tcPr>
          <w:p w14:paraId="054A8A26"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shd w:val="clear" w:color="auto" w:fill="auto"/>
            <w:vAlign w:val="bottom"/>
          </w:tcPr>
          <w:p w14:paraId="17A28782"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shd w:val="clear" w:color="auto" w:fill="auto"/>
            <w:vAlign w:val="bottom"/>
          </w:tcPr>
          <w:p w14:paraId="51354670"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top w:val="single" w:sz="4" w:space="0" w:color="000000"/>
            </w:tcBorders>
            <w:shd w:val="clear" w:color="auto" w:fill="auto"/>
            <w:vAlign w:val="bottom"/>
          </w:tcPr>
          <w:p w14:paraId="03DC2A15" w14:textId="77777777" w:rsidR="00E837F2" w:rsidRPr="009C6EFA" w:rsidRDefault="00E837F2">
            <w:pPr>
              <w:widowControl w:val="0"/>
              <w:pBdr>
                <w:top w:val="nil"/>
                <w:left w:val="nil"/>
                <w:bottom w:val="nil"/>
                <w:right w:val="nil"/>
                <w:between w:val="nil"/>
              </w:pBdr>
              <w:jc w:val="right"/>
              <w:rPr>
                <w:color w:val="000000"/>
              </w:rPr>
            </w:pPr>
          </w:p>
        </w:tc>
        <w:tc>
          <w:tcPr>
            <w:tcW w:w="480" w:type="pct"/>
            <w:tcBorders>
              <w:top w:val="single" w:sz="4" w:space="0" w:color="000000"/>
            </w:tcBorders>
            <w:vAlign w:val="bottom"/>
          </w:tcPr>
          <w:p w14:paraId="31553E96"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vAlign w:val="bottom"/>
          </w:tcPr>
          <w:p w14:paraId="2E4EDB62"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top w:val="single" w:sz="4" w:space="0" w:color="000000"/>
            </w:tcBorders>
            <w:vAlign w:val="bottom"/>
          </w:tcPr>
          <w:p w14:paraId="2242FEBE"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top w:val="single" w:sz="4" w:space="0" w:color="000000"/>
            </w:tcBorders>
            <w:shd w:val="clear" w:color="auto" w:fill="auto"/>
            <w:vAlign w:val="bottom"/>
          </w:tcPr>
          <w:p w14:paraId="7F338514"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292F0104" w14:textId="77777777" w:rsidTr="001B330E">
        <w:trPr>
          <w:trHeight w:val="23"/>
        </w:trPr>
        <w:tc>
          <w:tcPr>
            <w:tcW w:w="1309" w:type="pct"/>
            <w:shd w:val="clear" w:color="auto" w:fill="auto"/>
            <w:vAlign w:val="bottom"/>
          </w:tcPr>
          <w:p w14:paraId="72788868" w14:textId="1646038B" w:rsidR="00E837F2" w:rsidRPr="009C6EFA" w:rsidRDefault="00E837F2" w:rsidP="001B330E">
            <w:pPr>
              <w:widowControl w:val="0"/>
              <w:pBdr>
                <w:top w:val="nil"/>
                <w:left w:val="nil"/>
                <w:bottom w:val="nil"/>
                <w:right w:val="nil"/>
                <w:between w:val="nil"/>
              </w:pBdr>
              <w:ind w:left="113" w:hanging="113"/>
              <w:rPr>
                <w:b/>
                <w:color w:val="000000"/>
              </w:rPr>
            </w:pPr>
            <w:r w:rsidRPr="009C6EFA">
              <w:rPr>
                <w:b/>
                <w:color w:val="000000"/>
              </w:rPr>
              <w:t>At 31</w:t>
            </w:r>
            <w:r w:rsidR="00181687">
              <w:rPr>
                <w:b/>
                <w:color w:val="000000"/>
              </w:rPr>
              <w:t> December </w:t>
            </w:r>
            <w:r w:rsidR="00541EBC">
              <w:rPr>
                <w:b/>
                <w:color w:val="000000"/>
              </w:rPr>
              <w:t>2023</w:t>
            </w:r>
          </w:p>
        </w:tc>
        <w:tc>
          <w:tcPr>
            <w:tcW w:w="480" w:type="pct"/>
            <w:shd w:val="clear" w:color="auto" w:fill="auto"/>
            <w:vAlign w:val="bottom"/>
          </w:tcPr>
          <w:p w14:paraId="1515EA35"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04C6A071" w14:textId="77777777" w:rsidR="00E837F2" w:rsidRPr="009C6EFA" w:rsidRDefault="00E837F2">
            <w:pPr>
              <w:widowControl w:val="0"/>
              <w:pBdr>
                <w:top w:val="nil"/>
                <w:left w:val="nil"/>
                <w:bottom w:val="nil"/>
                <w:right w:val="nil"/>
                <w:between w:val="nil"/>
              </w:pBdr>
              <w:jc w:val="right"/>
              <w:rPr>
                <w:color w:val="000000"/>
              </w:rPr>
            </w:pPr>
          </w:p>
        </w:tc>
        <w:tc>
          <w:tcPr>
            <w:tcW w:w="503" w:type="pct"/>
            <w:shd w:val="clear" w:color="auto" w:fill="auto"/>
            <w:vAlign w:val="bottom"/>
          </w:tcPr>
          <w:p w14:paraId="5305B078"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1C4FC5E3" w14:textId="77777777" w:rsidR="00E837F2" w:rsidRPr="009C6EFA" w:rsidRDefault="00E837F2">
            <w:pPr>
              <w:widowControl w:val="0"/>
              <w:pBdr>
                <w:top w:val="nil"/>
                <w:left w:val="nil"/>
                <w:bottom w:val="nil"/>
                <w:right w:val="nil"/>
                <w:between w:val="nil"/>
              </w:pBdr>
              <w:jc w:val="right"/>
              <w:rPr>
                <w:color w:val="000000"/>
              </w:rPr>
            </w:pPr>
          </w:p>
        </w:tc>
        <w:tc>
          <w:tcPr>
            <w:tcW w:w="480" w:type="pct"/>
            <w:vAlign w:val="bottom"/>
          </w:tcPr>
          <w:p w14:paraId="03B0FF60"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3841AFFC" w14:textId="77777777" w:rsidR="00E837F2" w:rsidRPr="009C6EFA" w:rsidRDefault="00E837F2">
            <w:pPr>
              <w:widowControl w:val="0"/>
              <w:pBdr>
                <w:top w:val="nil"/>
                <w:left w:val="nil"/>
                <w:bottom w:val="nil"/>
                <w:right w:val="nil"/>
                <w:between w:val="nil"/>
              </w:pBdr>
              <w:jc w:val="right"/>
              <w:rPr>
                <w:color w:val="000000"/>
              </w:rPr>
            </w:pPr>
          </w:p>
        </w:tc>
        <w:tc>
          <w:tcPr>
            <w:tcW w:w="503" w:type="pct"/>
            <w:vAlign w:val="bottom"/>
          </w:tcPr>
          <w:p w14:paraId="4B093388" w14:textId="77777777" w:rsidR="00E837F2" w:rsidRPr="009C6EFA" w:rsidRDefault="00E837F2">
            <w:pPr>
              <w:widowControl w:val="0"/>
              <w:pBdr>
                <w:top w:val="nil"/>
                <w:left w:val="nil"/>
                <w:bottom w:val="nil"/>
                <w:right w:val="nil"/>
                <w:between w:val="nil"/>
              </w:pBdr>
              <w:jc w:val="right"/>
              <w:rPr>
                <w:color w:val="000000"/>
              </w:rPr>
            </w:pPr>
          </w:p>
        </w:tc>
        <w:tc>
          <w:tcPr>
            <w:tcW w:w="360" w:type="pct"/>
            <w:shd w:val="clear" w:color="auto" w:fill="auto"/>
            <w:vAlign w:val="bottom"/>
          </w:tcPr>
          <w:p w14:paraId="3B0AD235" w14:textId="77777777" w:rsidR="00E837F2" w:rsidRPr="009C6EFA" w:rsidRDefault="00E837F2">
            <w:pPr>
              <w:widowControl w:val="0"/>
              <w:pBdr>
                <w:top w:val="nil"/>
                <w:left w:val="nil"/>
                <w:bottom w:val="nil"/>
                <w:right w:val="nil"/>
                <w:between w:val="nil"/>
              </w:pBdr>
              <w:jc w:val="right"/>
              <w:rPr>
                <w:color w:val="000000"/>
              </w:rPr>
            </w:pPr>
          </w:p>
        </w:tc>
      </w:tr>
      <w:tr w:rsidR="00E837F2" w:rsidRPr="009C6EFA" w14:paraId="0080AE1F" w14:textId="77777777" w:rsidTr="001B330E">
        <w:trPr>
          <w:trHeight w:val="23"/>
        </w:trPr>
        <w:tc>
          <w:tcPr>
            <w:tcW w:w="1309" w:type="pct"/>
            <w:tcBorders>
              <w:bottom w:val="single" w:sz="12" w:space="0" w:color="000000"/>
            </w:tcBorders>
            <w:shd w:val="clear" w:color="auto" w:fill="auto"/>
            <w:vAlign w:val="bottom"/>
          </w:tcPr>
          <w:p w14:paraId="0B46AE0E" w14:textId="77777777" w:rsidR="00E837F2" w:rsidRPr="009C6EFA" w:rsidRDefault="00E837F2" w:rsidP="001B330E">
            <w:pPr>
              <w:widowControl w:val="0"/>
              <w:pBdr>
                <w:top w:val="nil"/>
                <w:left w:val="nil"/>
                <w:bottom w:val="nil"/>
                <w:right w:val="nil"/>
                <w:between w:val="nil"/>
              </w:pBdr>
              <w:ind w:left="113" w:hanging="113"/>
              <w:rPr>
                <w:b/>
                <w:color w:val="000000"/>
              </w:rPr>
            </w:pPr>
          </w:p>
        </w:tc>
        <w:tc>
          <w:tcPr>
            <w:tcW w:w="480" w:type="pct"/>
            <w:tcBorders>
              <w:bottom w:val="single" w:sz="12" w:space="0" w:color="000000"/>
            </w:tcBorders>
            <w:shd w:val="clear" w:color="auto" w:fill="auto"/>
            <w:vAlign w:val="bottom"/>
          </w:tcPr>
          <w:p w14:paraId="318FFA05"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12" w:space="0" w:color="000000"/>
            </w:tcBorders>
            <w:shd w:val="clear" w:color="auto" w:fill="auto"/>
            <w:vAlign w:val="bottom"/>
          </w:tcPr>
          <w:p w14:paraId="7B776EB9"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12" w:space="0" w:color="000000"/>
            </w:tcBorders>
            <w:shd w:val="clear" w:color="auto" w:fill="auto"/>
            <w:vAlign w:val="bottom"/>
          </w:tcPr>
          <w:p w14:paraId="2FDFB867"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bottom w:val="single" w:sz="12" w:space="0" w:color="000000"/>
            </w:tcBorders>
            <w:shd w:val="clear" w:color="auto" w:fill="auto"/>
            <w:vAlign w:val="bottom"/>
          </w:tcPr>
          <w:p w14:paraId="34B21160" w14:textId="77777777" w:rsidR="00E837F2" w:rsidRPr="009C6EFA" w:rsidRDefault="00E837F2">
            <w:pPr>
              <w:widowControl w:val="0"/>
              <w:pBdr>
                <w:top w:val="nil"/>
                <w:left w:val="nil"/>
                <w:bottom w:val="nil"/>
                <w:right w:val="nil"/>
                <w:between w:val="nil"/>
              </w:pBdr>
              <w:jc w:val="right"/>
              <w:rPr>
                <w:color w:val="000000"/>
              </w:rPr>
            </w:pPr>
          </w:p>
        </w:tc>
        <w:tc>
          <w:tcPr>
            <w:tcW w:w="480" w:type="pct"/>
            <w:tcBorders>
              <w:bottom w:val="single" w:sz="12" w:space="0" w:color="000000"/>
            </w:tcBorders>
          </w:tcPr>
          <w:p w14:paraId="002CB2E1"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12" w:space="0" w:color="000000"/>
            </w:tcBorders>
          </w:tcPr>
          <w:p w14:paraId="4DD706E7" w14:textId="77777777" w:rsidR="00E837F2" w:rsidRPr="009C6EFA" w:rsidRDefault="00E837F2">
            <w:pPr>
              <w:widowControl w:val="0"/>
              <w:pBdr>
                <w:top w:val="nil"/>
                <w:left w:val="nil"/>
                <w:bottom w:val="nil"/>
                <w:right w:val="nil"/>
                <w:between w:val="nil"/>
              </w:pBdr>
              <w:jc w:val="right"/>
              <w:rPr>
                <w:color w:val="000000"/>
              </w:rPr>
            </w:pPr>
          </w:p>
        </w:tc>
        <w:tc>
          <w:tcPr>
            <w:tcW w:w="503" w:type="pct"/>
            <w:tcBorders>
              <w:bottom w:val="single" w:sz="12" w:space="0" w:color="000000"/>
            </w:tcBorders>
          </w:tcPr>
          <w:p w14:paraId="4D30A95B" w14:textId="77777777" w:rsidR="00E837F2" w:rsidRPr="009C6EFA" w:rsidRDefault="00E837F2">
            <w:pPr>
              <w:widowControl w:val="0"/>
              <w:pBdr>
                <w:top w:val="nil"/>
                <w:left w:val="nil"/>
                <w:bottom w:val="nil"/>
                <w:right w:val="nil"/>
                <w:between w:val="nil"/>
              </w:pBdr>
              <w:jc w:val="right"/>
              <w:rPr>
                <w:color w:val="000000"/>
              </w:rPr>
            </w:pPr>
          </w:p>
        </w:tc>
        <w:tc>
          <w:tcPr>
            <w:tcW w:w="360" w:type="pct"/>
            <w:tcBorders>
              <w:bottom w:val="single" w:sz="12" w:space="0" w:color="000000"/>
            </w:tcBorders>
            <w:shd w:val="clear" w:color="auto" w:fill="auto"/>
            <w:vAlign w:val="bottom"/>
          </w:tcPr>
          <w:p w14:paraId="5EDDDD53" w14:textId="77777777" w:rsidR="00E837F2" w:rsidRPr="009C6EFA" w:rsidRDefault="00E837F2">
            <w:pPr>
              <w:widowControl w:val="0"/>
              <w:pBdr>
                <w:top w:val="nil"/>
                <w:left w:val="nil"/>
                <w:bottom w:val="nil"/>
                <w:right w:val="nil"/>
                <w:between w:val="nil"/>
              </w:pBdr>
              <w:jc w:val="right"/>
              <w:rPr>
                <w:color w:val="000000"/>
              </w:rPr>
            </w:pPr>
          </w:p>
        </w:tc>
      </w:tr>
    </w:tbl>
    <w:p w14:paraId="3AD5D9D1" w14:textId="789AE164"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[If the Group has POCI financial instruments, the Group should disclose the changes in the credit loss allowance between the beginning and the end of the reporting period for such instruments and explain the changes in the gross carrying amount that contributed to the change in credit loss allowance. For example, it can be achieved by adding column “POCI” in the table above.]</w:t>
      </w:r>
    </w:p>
    <w:p w14:paraId="3911E890" w14:textId="77BF2763" w:rsidR="00D83E33" w:rsidRDefault="00BC4072" w:rsidP="001B330E">
      <w:pPr>
        <w:pStyle w:val="Continued"/>
      </w:pPr>
      <w:r>
        <w:lastRenderedPageBreak/>
        <w:t>12</w:t>
      </w:r>
      <w:r>
        <w:tab/>
        <w:t>Repurchase Receivables (Continued)</w:t>
      </w:r>
    </w:p>
    <w:p w14:paraId="7F13BAA5" w14:textId="66252596"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w:t>
      </w:r>
      <w:r w:rsidR="00922233" w:rsidRPr="00372E26">
        <w:rPr>
          <w:color w:val="0000FF"/>
          <w:sz w:val="20"/>
          <w:szCs w:val="20"/>
        </w:rPr>
        <w:t>[</w:t>
      </w:r>
      <w:r w:rsidR="00372E26">
        <w:rPr>
          <w:color w:val="0000FF"/>
          <w:sz w:val="20"/>
          <w:szCs w:val="20"/>
        </w:rPr>
        <w:t>[Country]</w:t>
      </w:r>
      <w:r w:rsidR="00062BE5" w:rsidRPr="00372E26">
        <w:rPr>
          <w:color w:val="0000FF"/>
          <w:sz w:val="20"/>
          <w:szCs w:val="20"/>
        </w:rPr>
        <w:t xml:space="preserve"> </w:t>
      </w:r>
      <w:r w:rsidRPr="00372E26">
        <w:rPr>
          <w:color w:val="0000FF"/>
          <w:sz w:val="20"/>
          <w:szCs w:val="20"/>
        </w:rPr>
        <w:t>government bonds carried at AC</w:t>
      </w:r>
      <w:r w:rsidR="00922233" w:rsidRPr="00372E26">
        <w:rPr>
          <w:color w:val="0000FF"/>
          <w:sz w:val="20"/>
          <w:szCs w:val="20"/>
        </w:rPr>
        <w:t>]</w:t>
      </w:r>
      <w:r w:rsidRPr="00372E26">
        <w:rPr>
          <w:color w:val="0000FF"/>
          <w:sz w:val="20"/>
          <w:szCs w:val="20"/>
        </w:rPr>
        <w:t xml:space="preserve"> </w:t>
      </w:r>
      <w:r>
        <w:rPr>
          <w:color w:val="000000"/>
          <w:sz w:val="20"/>
          <w:szCs w:val="20"/>
        </w:rPr>
        <w:t xml:space="preserve">were as follows. </w:t>
      </w:r>
    </w:p>
    <w:tbl>
      <w:tblPr>
        <w:tblStyle w:val="afffffffe"/>
        <w:tblW w:w="5000" w:type="pct"/>
        <w:tblLayout w:type="fixed"/>
        <w:tblLook w:val="0000" w:firstRow="0" w:lastRow="0" w:firstColumn="0" w:lastColumn="0" w:noHBand="0" w:noVBand="0"/>
      </w:tblPr>
      <w:tblGrid>
        <w:gridCol w:w="2798"/>
        <w:gridCol w:w="883"/>
        <w:gridCol w:w="911"/>
        <w:gridCol w:w="891"/>
        <w:gridCol w:w="593"/>
        <w:gridCol w:w="906"/>
        <w:gridCol w:w="891"/>
        <w:gridCol w:w="891"/>
        <w:gridCol w:w="591"/>
      </w:tblGrid>
      <w:tr w:rsidR="00E837F2" w:rsidRPr="003B1286" w14:paraId="307289FA" w14:textId="77777777" w:rsidTr="001B330E">
        <w:trPr>
          <w:trHeight w:val="23"/>
        </w:trPr>
        <w:tc>
          <w:tcPr>
            <w:tcW w:w="1496" w:type="pct"/>
            <w:shd w:val="clear" w:color="auto" w:fill="auto"/>
            <w:vAlign w:val="bottom"/>
          </w:tcPr>
          <w:p w14:paraId="32EC4015" w14:textId="77777777" w:rsidR="00E837F2" w:rsidRPr="003B1286" w:rsidRDefault="00E837F2" w:rsidP="001B330E">
            <w:pPr>
              <w:widowControl w:val="0"/>
              <w:pBdr>
                <w:top w:val="nil"/>
                <w:left w:val="nil"/>
                <w:bottom w:val="nil"/>
                <w:right w:val="nil"/>
                <w:between w:val="nil"/>
              </w:pBdr>
              <w:ind w:left="113" w:hanging="113"/>
              <w:rPr>
                <w:i/>
                <w:color w:val="000000"/>
              </w:rPr>
            </w:pPr>
          </w:p>
        </w:tc>
        <w:tc>
          <w:tcPr>
            <w:tcW w:w="1752" w:type="pct"/>
            <w:gridSpan w:val="4"/>
            <w:tcBorders>
              <w:bottom w:val="single" w:sz="4" w:space="0" w:color="000000"/>
            </w:tcBorders>
            <w:shd w:val="clear" w:color="auto" w:fill="auto"/>
          </w:tcPr>
          <w:p w14:paraId="2C632E16" w14:textId="77777777" w:rsidR="00E837F2" w:rsidRPr="003B1286" w:rsidRDefault="00E837F2" w:rsidP="001B330E">
            <w:pPr>
              <w:widowControl w:val="0"/>
              <w:pBdr>
                <w:top w:val="nil"/>
                <w:left w:val="nil"/>
                <w:bottom w:val="nil"/>
                <w:right w:val="nil"/>
                <w:between w:val="nil"/>
              </w:pBdr>
              <w:tabs>
                <w:tab w:val="left" w:pos="3182"/>
              </w:tabs>
              <w:jc w:val="center"/>
              <w:rPr>
                <w:b/>
                <w:color w:val="000000"/>
              </w:rPr>
            </w:pPr>
            <w:r w:rsidRPr="003B1286">
              <w:rPr>
                <w:b/>
                <w:color w:val="000000"/>
              </w:rPr>
              <w:t>Credit loss allowance</w:t>
            </w:r>
          </w:p>
        </w:tc>
        <w:tc>
          <w:tcPr>
            <w:tcW w:w="1752" w:type="pct"/>
            <w:gridSpan w:val="4"/>
            <w:tcBorders>
              <w:bottom w:val="single" w:sz="4" w:space="0" w:color="000000"/>
            </w:tcBorders>
          </w:tcPr>
          <w:p w14:paraId="38550376" w14:textId="77777777" w:rsidR="00E837F2" w:rsidRPr="003B1286" w:rsidRDefault="00E837F2" w:rsidP="001B330E">
            <w:pPr>
              <w:widowControl w:val="0"/>
              <w:pBdr>
                <w:top w:val="nil"/>
                <w:left w:val="nil"/>
                <w:bottom w:val="nil"/>
                <w:right w:val="nil"/>
                <w:between w:val="nil"/>
              </w:pBdr>
              <w:jc w:val="center"/>
              <w:rPr>
                <w:b/>
                <w:color w:val="000000"/>
              </w:rPr>
            </w:pPr>
            <w:r w:rsidRPr="003B1286">
              <w:rPr>
                <w:b/>
                <w:color w:val="000000"/>
              </w:rPr>
              <w:t>Gross carrying amount</w:t>
            </w:r>
          </w:p>
        </w:tc>
      </w:tr>
      <w:tr w:rsidR="00E837F2" w:rsidRPr="003B1286" w14:paraId="4CDC301C" w14:textId="77777777" w:rsidTr="001B330E">
        <w:trPr>
          <w:trHeight w:val="23"/>
        </w:trPr>
        <w:tc>
          <w:tcPr>
            <w:tcW w:w="1496" w:type="pct"/>
            <w:tcBorders>
              <w:bottom w:val="single" w:sz="4" w:space="0" w:color="000000"/>
            </w:tcBorders>
            <w:shd w:val="clear" w:color="auto" w:fill="auto"/>
            <w:vAlign w:val="bottom"/>
          </w:tcPr>
          <w:p w14:paraId="352419EE" w14:textId="77777777" w:rsidR="00E837F2" w:rsidRPr="003B1286" w:rsidRDefault="00E837F2" w:rsidP="001B330E">
            <w:pPr>
              <w:widowControl w:val="0"/>
              <w:pBdr>
                <w:top w:val="nil"/>
                <w:left w:val="nil"/>
                <w:bottom w:val="nil"/>
                <w:right w:val="nil"/>
                <w:between w:val="nil"/>
              </w:pBdr>
              <w:ind w:left="113" w:hanging="113"/>
              <w:rPr>
                <w:i/>
                <w:color w:val="000000"/>
              </w:rPr>
            </w:pPr>
          </w:p>
          <w:p w14:paraId="45039EB2" w14:textId="3325738C" w:rsidR="00E837F2" w:rsidRPr="003B1286"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472" w:type="pct"/>
            <w:tcBorders>
              <w:top w:val="single" w:sz="4" w:space="0" w:color="000000"/>
              <w:bottom w:val="single" w:sz="4" w:space="0" w:color="000000"/>
            </w:tcBorders>
            <w:shd w:val="clear" w:color="auto" w:fill="auto"/>
          </w:tcPr>
          <w:p w14:paraId="36EBE755"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1</w:t>
            </w:r>
          </w:p>
          <w:p w14:paraId="13168B76" w14:textId="77777777" w:rsidR="00E837F2" w:rsidRPr="003B1286" w:rsidRDefault="00E837F2" w:rsidP="001B330E">
            <w:pPr>
              <w:widowControl w:val="0"/>
              <w:pBdr>
                <w:top w:val="nil"/>
                <w:left w:val="nil"/>
                <w:bottom w:val="nil"/>
                <w:right w:val="nil"/>
                <w:between w:val="nil"/>
              </w:pBdr>
              <w:ind w:left="-113" w:firstLine="142"/>
              <w:jc w:val="right"/>
              <w:rPr>
                <w:b/>
                <w:color w:val="000000"/>
              </w:rPr>
            </w:pPr>
            <w:r w:rsidRPr="003B1286">
              <w:rPr>
                <w:b/>
                <w:color w:val="000000"/>
              </w:rPr>
              <w:t>(12-months ECL)</w:t>
            </w:r>
          </w:p>
        </w:tc>
        <w:tc>
          <w:tcPr>
            <w:tcW w:w="487" w:type="pct"/>
            <w:tcBorders>
              <w:top w:val="single" w:sz="4" w:space="0" w:color="000000"/>
              <w:bottom w:val="single" w:sz="4" w:space="0" w:color="000000"/>
            </w:tcBorders>
            <w:shd w:val="clear" w:color="auto" w:fill="auto"/>
          </w:tcPr>
          <w:p w14:paraId="62F0F0B4"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2</w:t>
            </w:r>
          </w:p>
          <w:p w14:paraId="504F0421"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 xml:space="preserve">(lifetime ECL for SICR) </w:t>
            </w:r>
          </w:p>
        </w:tc>
        <w:tc>
          <w:tcPr>
            <w:tcW w:w="476" w:type="pct"/>
            <w:tcBorders>
              <w:top w:val="single" w:sz="4" w:space="0" w:color="000000"/>
              <w:bottom w:val="single" w:sz="4" w:space="0" w:color="000000"/>
            </w:tcBorders>
            <w:shd w:val="clear" w:color="auto" w:fill="auto"/>
          </w:tcPr>
          <w:p w14:paraId="025E3E8F"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3</w:t>
            </w:r>
          </w:p>
          <w:p w14:paraId="74929BE2"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(lifetime ECL for credit im-paired)</w:t>
            </w:r>
          </w:p>
        </w:tc>
        <w:tc>
          <w:tcPr>
            <w:tcW w:w="317" w:type="pct"/>
            <w:tcBorders>
              <w:top w:val="single" w:sz="4" w:space="0" w:color="000000"/>
              <w:bottom w:val="single" w:sz="4" w:space="0" w:color="000000"/>
            </w:tcBorders>
            <w:shd w:val="clear" w:color="auto" w:fill="auto"/>
          </w:tcPr>
          <w:p w14:paraId="37732630"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Total</w:t>
            </w:r>
          </w:p>
        </w:tc>
        <w:tc>
          <w:tcPr>
            <w:tcW w:w="484" w:type="pct"/>
            <w:tcBorders>
              <w:top w:val="single" w:sz="4" w:space="0" w:color="000000"/>
              <w:bottom w:val="single" w:sz="4" w:space="0" w:color="000000"/>
            </w:tcBorders>
          </w:tcPr>
          <w:p w14:paraId="523BC1AB"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1</w:t>
            </w:r>
          </w:p>
          <w:p w14:paraId="5981B12F"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(12-months ECL)</w:t>
            </w:r>
          </w:p>
        </w:tc>
        <w:tc>
          <w:tcPr>
            <w:tcW w:w="476" w:type="pct"/>
            <w:tcBorders>
              <w:top w:val="single" w:sz="4" w:space="0" w:color="000000"/>
              <w:bottom w:val="single" w:sz="4" w:space="0" w:color="000000"/>
            </w:tcBorders>
          </w:tcPr>
          <w:p w14:paraId="5F773FC6"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2</w:t>
            </w:r>
          </w:p>
          <w:p w14:paraId="7CD677C0"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 xml:space="preserve">(lifetime ECL for SICR) </w:t>
            </w:r>
          </w:p>
        </w:tc>
        <w:tc>
          <w:tcPr>
            <w:tcW w:w="476" w:type="pct"/>
            <w:tcBorders>
              <w:top w:val="single" w:sz="4" w:space="0" w:color="000000"/>
              <w:bottom w:val="single" w:sz="4" w:space="0" w:color="000000"/>
            </w:tcBorders>
          </w:tcPr>
          <w:p w14:paraId="4ABD055F"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3</w:t>
            </w:r>
          </w:p>
          <w:p w14:paraId="5083FAD5"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(lifetime ECL for credit im-paired)</w:t>
            </w:r>
          </w:p>
        </w:tc>
        <w:tc>
          <w:tcPr>
            <w:tcW w:w="316" w:type="pct"/>
            <w:tcBorders>
              <w:top w:val="single" w:sz="4" w:space="0" w:color="000000"/>
              <w:bottom w:val="single" w:sz="4" w:space="0" w:color="000000"/>
            </w:tcBorders>
            <w:shd w:val="clear" w:color="auto" w:fill="auto"/>
          </w:tcPr>
          <w:p w14:paraId="723A97BD"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Total</w:t>
            </w:r>
          </w:p>
        </w:tc>
      </w:tr>
      <w:tr w:rsidR="00E837F2" w:rsidRPr="003B1286" w14:paraId="1F2F9A11" w14:textId="77777777" w:rsidTr="001B330E">
        <w:trPr>
          <w:trHeight w:val="23"/>
        </w:trPr>
        <w:tc>
          <w:tcPr>
            <w:tcW w:w="1496" w:type="pct"/>
            <w:shd w:val="clear" w:color="auto" w:fill="auto"/>
            <w:vAlign w:val="bottom"/>
          </w:tcPr>
          <w:p w14:paraId="362E8527" w14:textId="77777777" w:rsidR="00E837F2" w:rsidRPr="003B1286" w:rsidRDefault="00E837F2" w:rsidP="001B330E">
            <w:pPr>
              <w:widowControl w:val="0"/>
              <w:ind w:left="113" w:hanging="113"/>
            </w:pPr>
          </w:p>
        </w:tc>
        <w:tc>
          <w:tcPr>
            <w:tcW w:w="472" w:type="pct"/>
            <w:shd w:val="clear" w:color="auto" w:fill="auto"/>
            <w:vAlign w:val="bottom"/>
          </w:tcPr>
          <w:p w14:paraId="31B700FC"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54AD98E4"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22CF3866"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02B3652B"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34922763"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65FDC646"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53AC45F1"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3041894"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10B42359" w14:textId="77777777" w:rsidTr="001B330E">
        <w:trPr>
          <w:trHeight w:val="23"/>
        </w:trPr>
        <w:tc>
          <w:tcPr>
            <w:tcW w:w="1496" w:type="pct"/>
            <w:shd w:val="clear" w:color="auto" w:fill="auto"/>
            <w:vAlign w:val="bottom"/>
          </w:tcPr>
          <w:p w14:paraId="00364FC7" w14:textId="3A1FDEBC" w:rsidR="00E837F2" w:rsidRPr="003B1286" w:rsidRDefault="00922233" w:rsidP="001B330E">
            <w:pPr>
              <w:widowControl w:val="0"/>
              <w:pBdr>
                <w:top w:val="nil"/>
                <w:left w:val="nil"/>
                <w:bottom w:val="nil"/>
                <w:right w:val="nil"/>
                <w:between w:val="nil"/>
              </w:pBdr>
              <w:ind w:left="113" w:hanging="113"/>
              <w:rPr>
                <w:b/>
                <w:i/>
                <w:color w:val="000000"/>
              </w:rPr>
            </w:pPr>
            <w:r w:rsidRPr="00372E26">
              <w:rPr>
                <w:b/>
                <w:i/>
                <w:color w:val="0000FF"/>
              </w:rPr>
              <w:t>[</w:t>
            </w:r>
            <w:r w:rsidR="00372E26">
              <w:rPr>
                <w:b/>
                <w:i/>
                <w:color w:val="0000FF"/>
              </w:rPr>
              <w:t>[Country]</w:t>
            </w:r>
            <w:r w:rsidR="00E837F2" w:rsidRPr="00372E26">
              <w:rPr>
                <w:b/>
                <w:i/>
                <w:color w:val="0000FF"/>
              </w:rPr>
              <w:t xml:space="preserve"> government bonds</w:t>
            </w:r>
            <w:r w:rsidRPr="00372E26">
              <w:rPr>
                <w:b/>
                <w:i/>
                <w:color w:val="0000FF"/>
              </w:rPr>
              <w:t>]</w:t>
            </w:r>
          </w:p>
        </w:tc>
        <w:tc>
          <w:tcPr>
            <w:tcW w:w="472" w:type="pct"/>
            <w:shd w:val="clear" w:color="auto" w:fill="auto"/>
            <w:vAlign w:val="bottom"/>
          </w:tcPr>
          <w:p w14:paraId="3E9F315A"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C351C0A"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1C81ABC3"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35A722B2"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35974A5C"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080C7B73"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61E89DF4"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340075CE"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7805801A" w14:textId="77777777" w:rsidTr="001B330E">
        <w:trPr>
          <w:trHeight w:val="23"/>
        </w:trPr>
        <w:tc>
          <w:tcPr>
            <w:tcW w:w="1496" w:type="pct"/>
            <w:shd w:val="clear" w:color="auto" w:fill="auto"/>
            <w:vAlign w:val="bottom"/>
          </w:tcPr>
          <w:p w14:paraId="69BCDA0E" w14:textId="77777777" w:rsidR="00E837F2" w:rsidRPr="003B1286" w:rsidRDefault="00E837F2" w:rsidP="001B330E">
            <w:pPr>
              <w:widowControl w:val="0"/>
              <w:pBdr>
                <w:top w:val="nil"/>
                <w:left w:val="nil"/>
                <w:bottom w:val="nil"/>
                <w:right w:val="nil"/>
                <w:between w:val="nil"/>
              </w:pBdr>
              <w:ind w:left="113" w:hanging="113"/>
              <w:rPr>
                <w:b/>
                <w:i/>
                <w:color w:val="000000"/>
              </w:rPr>
            </w:pPr>
          </w:p>
        </w:tc>
        <w:tc>
          <w:tcPr>
            <w:tcW w:w="472" w:type="pct"/>
            <w:shd w:val="clear" w:color="auto" w:fill="auto"/>
            <w:vAlign w:val="bottom"/>
          </w:tcPr>
          <w:p w14:paraId="0D064B4B"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583278E"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53914BF9"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081C840D"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01C60084"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240E8279"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5BB0307A"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140A4F8"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60E41D4C" w14:textId="77777777" w:rsidTr="001B330E">
        <w:trPr>
          <w:trHeight w:val="23"/>
        </w:trPr>
        <w:tc>
          <w:tcPr>
            <w:tcW w:w="1496" w:type="pct"/>
            <w:shd w:val="clear" w:color="auto" w:fill="auto"/>
            <w:vAlign w:val="bottom"/>
          </w:tcPr>
          <w:p w14:paraId="061066A0" w14:textId="1702B1EE" w:rsidR="00E837F2" w:rsidRPr="003B1286" w:rsidRDefault="00E837F2" w:rsidP="001B330E">
            <w:pPr>
              <w:widowControl w:val="0"/>
              <w:pBdr>
                <w:top w:val="nil"/>
                <w:left w:val="nil"/>
                <w:bottom w:val="nil"/>
                <w:right w:val="nil"/>
                <w:between w:val="nil"/>
              </w:pBdr>
              <w:ind w:left="113" w:hanging="113"/>
              <w:rPr>
                <w:b/>
                <w:color w:val="0000FF"/>
              </w:rPr>
            </w:pPr>
            <w:r w:rsidRPr="003B1286">
              <w:rPr>
                <w:b/>
                <w:color w:val="000000"/>
              </w:rPr>
              <w:t>At 31</w:t>
            </w:r>
            <w:r w:rsidR="00181687">
              <w:rPr>
                <w:b/>
                <w:color w:val="000000"/>
              </w:rPr>
              <w:t> December </w:t>
            </w:r>
            <w:r w:rsidR="00541EBC">
              <w:rPr>
                <w:b/>
                <w:color w:val="000000"/>
              </w:rPr>
              <w:t>2023</w:t>
            </w:r>
          </w:p>
        </w:tc>
        <w:tc>
          <w:tcPr>
            <w:tcW w:w="472" w:type="pct"/>
            <w:shd w:val="clear" w:color="auto" w:fill="auto"/>
            <w:vAlign w:val="bottom"/>
          </w:tcPr>
          <w:p w14:paraId="3E3DC14C"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622D4AC9"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7E9AFA7A"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1A880505"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6D4F9776"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2172862D"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41922D03"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FD59C91"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7C0EC3B2" w14:textId="77777777" w:rsidTr="001B330E">
        <w:trPr>
          <w:trHeight w:val="23"/>
        </w:trPr>
        <w:tc>
          <w:tcPr>
            <w:tcW w:w="1496" w:type="pct"/>
            <w:shd w:val="clear" w:color="auto" w:fill="auto"/>
            <w:vAlign w:val="bottom"/>
          </w:tcPr>
          <w:p w14:paraId="2A44D669" w14:textId="77777777" w:rsidR="00E837F2" w:rsidRPr="003B1286" w:rsidRDefault="00E837F2" w:rsidP="001B330E">
            <w:pPr>
              <w:widowControl w:val="0"/>
              <w:pBdr>
                <w:top w:val="nil"/>
                <w:left w:val="nil"/>
                <w:bottom w:val="nil"/>
                <w:right w:val="nil"/>
                <w:between w:val="nil"/>
              </w:pBdr>
              <w:ind w:left="113" w:hanging="113"/>
              <w:rPr>
                <w:b/>
                <w:color w:val="000000"/>
              </w:rPr>
            </w:pPr>
          </w:p>
          <w:p w14:paraId="2DE23FE7" w14:textId="77777777" w:rsidR="00E837F2" w:rsidRPr="003B1286" w:rsidRDefault="00E837F2" w:rsidP="001B330E">
            <w:pPr>
              <w:widowControl w:val="0"/>
              <w:pBdr>
                <w:top w:val="nil"/>
                <w:left w:val="nil"/>
                <w:bottom w:val="nil"/>
                <w:right w:val="nil"/>
                <w:between w:val="nil"/>
              </w:pBdr>
              <w:ind w:left="113" w:hanging="113"/>
              <w:rPr>
                <w:b/>
                <w:color w:val="000000"/>
              </w:rPr>
            </w:pPr>
            <w:r w:rsidRPr="003B1286">
              <w:rPr>
                <w:i/>
                <w:color w:val="000000"/>
              </w:rPr>
              <w:t>Movements with impact on credit loss allowance charge for the period:</w:t>
            </w:r>
          </w:p>
        </w:tc>
        <w:tc>
          <w:tcPr>
            <w:tcW w:w="472" w:type="pct"/>
            <w:shd w:val="clear" w:color="auto" w:fill="auto"/>
            <w:vAlign w:val="bottom"/>
          </w:tcPr>
          <w:p w14:paraId="5BBA5EE0"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17D6AF0A"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2205C92F"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303CC8A"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235CD276" w14:textId="77777777" w:rsidR="00E837F2" w:rsidRPr="003B1286" w:rsidRDefault="00E837F2" w:rsidP="001B330E">
            <w:pPr>
              <w:widowControl w:val="0"/>
              <w:pBdr>
                <w:top w:val="nil"/>
                <w:left w:val="nil"/>
                <w:bottom w:val="nil"/>
                <w:right w:val="nil"/>
                <w:between w:val="nil"/>
              </w:pBdr>
              <w:jc w:val="right"/>
              <w:rPr>
                <w:color w:val="000000"/>
              </w:rPr>
            </w:pPr>
          </w:p>
        </w:tc>
        <w:tc>
          <w:tcPr>
            <w:tcW w:w="476" w:type="pct"/>
          </w:tcPr>
          <w:p w14:paraId="3B02CDB0"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7599A416"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2238E751"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72FDC74D" w14:textId="77777777" w:rsidTr="001B330E">
        <w:trPr>
          <w:trHeight w:val="23"/>
        </w:trPr>
        <w:tc>
          <w:tcPr>
            <w:tcW w:w="1496" w:type="pct"/>
            <w:shd w:val="clear" w:color="auto" w:fill="auto"/>
            <w:vAlign w:val="bottom"/>
          </w:tcPr>
          <w:p w14:paraId="5D76897C"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278543C6"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3E85C1B8"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2C6591ED"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4F9C0205"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21C11A53"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081BAA2A"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285BAFBA"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60713B53"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5918C222" w14:textId="77777777" w:rsidTr="001B330E">
        <w:trPr>
          <w:trHeight w:val="23"/>
        </w:trPr>
        <w:tc>
          <w:tcPr>
            <w:tcW w:w="1496" w:type="pct"/>
            <w:shd w:val="clear" w:color="auto" w:fill="auto"/>
            <w:vAlign w:val="bottom"/>
          </w:tcPr>
          <w:p w14:paraId="0CD3C13F" w14:textId="77777777" w:rsidR="00E837F2" w:rsidRPr="003B1286" w:rsidRDefault="00E837F2" w:rsidP="001B330E">
            <w:pPr>
              <w:widowControl w:val="0"/>
              <w:pBdr>
                <w:top w:val="nil"/>
                <w:left w:val="nil"/>
                <w:bottom w:val="nil"/>
                <w:right w:val="nil"/>
                <w:between w:val="nil"/>
              </w:pBdr>
              <w:ind w:left="113" w:hanging="113"/>
              <w:rPr>
                <w:color w:val="0000FF"/>
              </w:rPr>
            </w:pPr>
            <w:r w:rsidRPr="003B1286">
              <w:rPr>
                <w:color w:val="000000"/>
              </w:rPr>
              <w:t>Transfers:</w:t>
            </w:r>
          </w:p>
        </w:tc>
        <w:tc>
          <w:tcPr>
            <w:tcW w:w="472" w:type="pct"/>
            <w:shd w:val="clear" w:color="auto" w:fill="auto"/>
            <w:vAlign w:val="bottom"/>
          </w:tcPr>
          <w:p w14:paraId="32A9537F"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24F4FF2A"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65EDA16F"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6856FB7C"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0AEF0377"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0E649FB6"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454FB46D"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1DC992FD"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367F80B9" w14:textId="77777777" w:rsidTr="001B330E">
        <w:trPr>
          <w:trHeight w:val="23"/>
        </w:trPr>
        <w:tc>
          <w:tcPr>
            <w:tcW w:w="1496" w:type="pct"/>
            <w:shd w:val="clear" w:color="auto" w:fill="auto"/>
            <w:vAlign w:val="bottom"/>
          </w:tcPr>
          <w:p w14:paraId="25DC8478"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to lifetime (from Stage 1 to Stage 2)</w:t>
            </w:r>
          </w:p>
        </w:tc>
        <w:tc>
          <w:tcPr>
            <w:tcW w:w="472" w:type="pct"/>
            <w:shd w:val="clear" w:color="auto" w:fill="auto"/>
            <w:vAlign w:val="bottom"/>
          </w:tcPr>
          <w:p w14:paraId="17D2BB93"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0A72B0ED"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6CFA2240"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5300ED41"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7DFC7AF1"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5A057166"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1DDC4E04"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27A9C1E0"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38336493" w14:textId="77777777" w:rsidTr="001B330E">
        <w:trPr>
          <w:trHeight w:val="23"/>
        </w:trPr>
        <w:tc>
          <w:tcPr>
            <w:tcW w:w="1496" w:type="pct"/>
            <w:shd w:val="clear" w:color="auto" w:fill="auto"/>
            <w:vAlign w:val="bottom"/>
          </w:tcPr>
          <w:p w14:paraId="547A0495"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to credit-impaired (from Stage 1 and Stage 2 to Stage 3)</w:t>
            </w:r>
          </w:p>
        </w:tc>
        <w:tc>
          <w:tcPr>
            <w:tcW w:w="472" w:type="pct"/>
            <w:shd w:val="clear" w:color="auto" w:fill="auto"/>
            <w:vAlign w:val="bottom"/>
          </w:tcPr>
          <w:p w14:paraId="680EBDFD"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89B8867"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21CC83B4"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DE55147"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45CFC69B"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4F03133B"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44059FFE"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26D799C8"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23AC2256" w14:textId="77777777" w:rsidTr="001B330E">
        <w:trPr>
          <w:trHeight w:val="23"/>
        </w:trPr>
        <w:tc>
          <w:tcPr>
            <w:tcW w:w="1496" w:type="pct"/>
            <w:shd w:val="clear" w:color="auto" w:fill="auto"/>
            <w:vAlign w:val="bottom"/>
          </w:tcPr>
          <w:p w14:paraId="26A629DB"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to 12-months ECL (from Stage 2 and Stage 3 to Stage 1)</w:t>
            </w:r>
          </w:p>
        </w:tc>
        <w:tc>
          <w:tcPr>
            <w:tcW w:w="472" w:type="pct"/>
            <w:shd w:val="clear" w:color="auto" w:fill="auto"/>
            <w:vAlign w:val="bottom"/>
          </w:tcPr>
          <w:p w14:paraId="4FA070DA"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5916412C"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5CF16FE"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4B1D83B"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7A3483D2"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4BB2012E"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06E41F26"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788BBBAF"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7BA9217F" w14:textId="77777777" w:rsidTr="001B330E">
        <w:trPr>
          <w:trHeight w:val="23"/>
        </w:trPr>
        <w:tc>
          <w:tcPr>
            <w:tcW w:w="1496" w:type="pct"/>
            <w:shd w:val="clear" w:color="auto" w:fill="auto"/>
            <w:vAlign w:val="bottom"/>
          </w:tcPr>
          <w:p w14:paraId="1DADF72A"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New originated or purchased</w:t>
            </w:r>
          </w:p>
        </w:tc>
        <w:tc>
          <w:tcPr>
            <w:tcW w:w="472" w:type="pct"/>
            <w:shd w:val="clear" w:color="auto" w:fill="auto"/>
            <w:vAlign w:val="bottom"/>
          </w:tcPr>
          <w:p w14:paraId="35EFC965"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B0DF7F0"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71EDA0A1"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443836A6"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6DF8775E"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700835C6"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0603EB0A"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5F5C86B8"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5954B5CD" w14:textId="77777777" w:rsidTr="001B330E">
        <w:trPr>
          <w:trHeight w:val="23"/>
        </w:trPr>
        <w:tc>
          <w:tcPr>
            <w:tcW w:w="1496" w:type="pct"/>
            <w:shd w:val="clear" w:color="auto" w:fill="auto"/>
            <w:vAlign w:val="bottom"/>
          </w:tcPr>
          <w:p w14:paraId="2277117B"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Derecognised during the period</w:t>
            </w:r>
          </w:p>
        </w:tc>
        <w:tc>
          <w:tcPr>
            <w:tcW w:w="472" w:type="pct"/>
            <w:shd w:val="clear" w:color="auto" w:fill="auto"/>
            <w:vAlign w:val="bottom"/>
          </w:tcPr>
          <w:p w14:paraId="4CE65767"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3BB3DB57"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7DF27909"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A1A45B4"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0389D96A"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5A667805"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281740B8"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F1A91B6"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619FA4F7" w14:textId="77777777" w:rsidTr="001B330E">
        <w:trPr>
          <w:trHeight w:val="23"/>
        </w:trPr>
        <w:tc>
          <w:tcPr>
            <w:tcW w:w="1496" w:type="pct"/>
            <w:shd w:val="clear" w:color="auto" w:fill="auto"/>
            <w:vAlign w:val="bottom"/>
          </w:tcPr>
          <w:p w14:paraId="21CF6CA4"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Changes to ECL measurement model assumptions</w:t>
            </w:r>
          </w:p>
        </w:tc>
        <w:tc>
          <w:tcPr>
            <w:tcW w:w="472" w:type="pct"/>
            <w:shd w:val="clear" w:color="auto" w:fill="auto"/>
            <w:vAlign w:val="bottom"/>
          </w:tcPr>
          <w:p w14:paraId="2D878A06"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3C6D5BB"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3E0240B3"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778DDBA"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76B8DF43"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2D5A030E"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7133F159"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70BEC530"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2958706C" w14:textId="77777777" w:rsidTr="001B330E">
        <w:trPr>
          <w:trHeight w:val="23"/>
        </w:trPr>
        <w:tc>
          <w:tcPr>
            <w:tcW w:w="1496" w:type="pct"/>
            <w:shd w:val="clear" w:color="auto" w:fill="auto"/>
            <w:vAlign w:val="bottom"/>
          </w:tcPr>
          <w:p w14:paraId="4488928A"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xml:space="preserve">Unwinding of discount </w:t>
            </w:r>
          </w:p>
        </w:tc>
        <w:tc>
          <w:tcPr>
            <w:tcW w:w="472" w:type="pct"/>
            <w:shd w:val="clear" w:color="auto" w:fill="auto"/>
            <w:vAlign w:val="bottom"/>
          </w:tcPr>
          <w:p w14:paraId="466A86CF"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FC28265"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64115CAB"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091CEF41"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1DF10378"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421EC28C"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311A584A"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5AB9EA25"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3265435B" w14:textId="77777777" w:rsidTr="001B330E">
        <w:trPr>
          <w:trHeight w:val="23"/>
        </w:trPr>
        <w:tc>
          <w:tcPr>
            <w:tcW w:w="1496" w:type="pct"/>
            <w:shd w:val="clear" w:color="auto" w:fill="auto"/>
            <w:vAlign w:val="bottom"/>
          </w:tcPr>
          <w:p w14:paraId="40DDB70D"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Changes in accrued interest</w:t>
            </w:r>
          </w:p>
        </w:tc>
        <w:tc>
          <w:tcPr>
            <w:tcW w:w="472" w:type="pct"/>
            <w:shd w:val="clear" w:color="auto" w:fill="auto"/>
            <w:vAlign w:val="bottom"/>
          </w:tcPr>
          <w:p w14:paraId="14C44312"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84DB8BE"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68B53B7F"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0BB85540"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778846ED"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4215FC0A"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6072F4E8"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352A49FD"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07849E0F" w14:textId="77777777" w:rsidTr="001B330E">
        <w:trPr>
          <w:trHeight w:val="23"/>
        </w:trPr>
        <w:tc>
          <w:tcPr>
            <w:tcW w:w="1496" w:type="pct"/>
            <w:shd w:val="clear" w:color="auto" w:fill="auto"/>
            <w:vAlign w:val="bottom"/>
          </w:tcPr>
          <w:p w14:paraId="71D5C8BB"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Other movements</w:t>
            </w:r>
          </w:p>
        </w:tc>
        <w:tc>
          <w:tcPr>
            <w:tcW w:w="472" w:type="pct"/>
            <w:shd w:val="clear" w:color="auto" w:fill="auto"/>
            <w:vAlign w:val="bottom"/>
          </w:tcPr>
          <w:p w14:paraId="3182A37F"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BC718D3"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201040C1"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2A90E762"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47EA9A10"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0E2526A4"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4248185A"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62DB0611"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059D5782" w14:textId="77777777" w:rsidTr="001B330E">
        <w:trPr>
          <w:trHeight w:val="23"/>
        </w:trPr>
        <w:tc>
          <w:tcPr>
            <w:tcW w:w="1496" w:type="pct"/>
            <w:tcBorders>
              <w:bottom w:val="single" w:sz="4" w:space="0" w:color="000000"/>
            </w:tcBorders>
            <w:shd w:val="clear" w:color="auto" w:fill="auto"/>
            <w:vAlign w:val="bottom"/>
          </w:tcPr>
          <w:p w14:paraId="05B05DCD" w14:textId="77777777" w:rsidR="00E837F2" w:rsidRPr="003B1286" w:rsidRDefault="00E837F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5A0B255D"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78A53AD9"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75CF7D68"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340AF23F"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3FFB5B31"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28E63DF2"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23E329E8"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5CCB7D93"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7B2472B3" w14:textId="77777777" w:rsidTr="001B330E">
        <w:trPr>
          <w:trHeight w:val="23"/>
        </w:trPr>
        <w:tc>
          <w:tcPr>
            <w:tcW w:w="1496" w:type="pct"/>
            <w:tcBorders>
              <w:top w:val="single" w:sz="4" w:space="0" w:color="000000"/>
            </w:tcBorders>
            <w:shd w:val="clear" w:color="auto" w:fill="auto"/>
            <w:vAlign w:val="bottom"/>
          </w:tcPr>
          <w:p w14:paraId="0032C74F" w14:textId="77777777" w:rsidR="00E837F2" w:rsidRPr="003B1286" w:rsidRDefault="00E837F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3714D434"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351D92B4"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4A91D403"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577F6203"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45D31CD0"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4F052E7B"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14D4F323"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48804002"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1DE67648" w14:textId="77777777" w:rsidTr="001B330E">
        <w:trPr>
          <w:trHeight w:val="23"/>
        </w:trPr>
        <w:tc>
          <w:tcPr>
            <w:tcW w:w="1496" w:type="pct"/>
            <w:shd w:val="clear" w:color="auto" w:fill="auto"/>
            <w:vAlign w:val="bottom"/>
          </w:tcPr>
          <w:p w14:paraId="40514566" w14:textId="77777777" w:rsidR="00E837F2" w:rsidRPr="003B1286" w:rsidRDefault="00E837F2" w:rsidP="001B330E">
            <w:pPr>
              <w:widowControl w:val="0"/>
              <w:pBdr>
                <w:top w:val="nil"/>
                <w:left w:val="nil"/>
                <w:bottom w:val="nil"/>
                <w:right w:val="nil"/>
                <w:between w:val="nil"/>
              </w:pBdr>
              <w:ind w:left="113" w:hanging="113"/>
              <w:rPr>
                <w:b/>
                <w:color w:val="000000"/>
              </w:rPr>
            </w:pPr>
            <w:r w:rsidRPr="003B1286">
              <w:rPr>
                <w:b/>
                <w:color w:val="000000"/>
              </w:rPr>
              <w:t>Total movements with impact on credit loss allowance charge for the period</w:t>
            </w:r>
          </w:p>
        </w:tc>
        <w:tc>
          <w:tcPr>
            <w:tcW w:w="472" w:type="pct"/>
            <w:shd w:val="clear" w:color="auto" w:fill="auto"/>
            <w:vAlign w:val="bottom"/>
          </w:tcPr>
          <w:p w14:paraId="08E02403"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19D24548"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32B8ABDB"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1A5BC15"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30FEC3EB"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38AEE8CF"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29263042"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39160C66"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4A45E22A" w14:textId="77777777" w:rsidTr="001B330E">
        <w:trPr>
          <w:trHeight w:val="23"/>
        </w:trPr>
        <w:tc>
          <w:tcPr>
            <w:tcW w:w="1496" w:type="pct"/>
            <w:tcBorders>
              <w:bottom w:val="single" w:sz="4" w:space="0" w:color="000000"/>
            </w:tcBorders>
            <w:shd w:val="clear" w:color="auto" w:fill="auto"/>
            <w:vAlign w:val="bottom"/>
          </w:tcPr>
          <w:p w14:paraId="2D5457BD" w14:textId="77777777" w:rsidR="00E837F2" w:rsidRPr="003B1286" w:rsidRDefault="00E837F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17B6AE40"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564796C1"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136F4B39"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2FA58CC5"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56769308"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1DF38FC5"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23DF47B1"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47CE23F2"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503251E8" w14:textId="77777777" w:rsidTr="001B330E">
        <w:trPr>
          <w:trHeight w:val="23"/>
        </w:trPr>
        <w:tc>
          <w:tcPr>
            <w:tcW w:w="1496" w:type="pct"/>
            <w:tcBorders>
              <w:top w:val="single" w:sz="4" w:space="0" w:color="000000"/>
            </w:tcBorders>
            <w:shd w:val="clear" w:color="auto" w:fill="auto"/>
            <w:vAlign w:val="bottom"/>
          </w:tcPr>
          <w:p w14:paraId="76024AA2" w14:textId="77777777" w:rsidR="00E837F2" w:rsidRPr="003B1286" w:rsidRDefault="00E837F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50F61FD6"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0D303FAB"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0F073E51"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23EE6FEF"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43C81979"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6E86179D"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2944C804"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4EB9FD2C"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3366BFC0" w14:textId="77777777" w:rsidTr="001B330E">
        <w:trPr>
          <w:trHeight w:val="23"/>
        </w:trPr>
        <w:tc>
          <w:tcPr>
            <w:tcW w:w="1496" w:type="pct"/>
            <w:shd w:val="clear" w:color="auto" w:fill="auto"/>
            <w:vAlign w:val="bottom"/>
          </w:tcPr>
          <w:p w14:paraId="357D11B7" w14:textId="77777777" w:rsidR="00E837F2" w:rsidRPr="003B1286" w:rsidRDefault="00E837F2" w:rsidP="001B330E">
            <w:pPr>
              <w:widowControl w:val="0"/>
              <w:pBdr>
                <w:top w:val="nil"/>
                <w:left w:val="nil"/>
                <w:bottom w:val="nil"/>
                <w:right w:val="nil"/>
                <w:between w:val="nil"/>
              </w:pBdr>
              <w:ind w:left="113" w:hanging="113"/>
              <w:rPr>
                <w:b/>
                <w:color w:val="000000"/>
              </w:rPr>
            </w:pPr>
            <w:r w:rsidRPr="003B1286">
              <w:rPr>
                <w:i/>
                <w:color w:val="000000"/>
              </w:rPr>
              <w:t>Movements without impact on credit loss allowance charge for the period:</w:t>
            </w:r>
          </w:p>
          <w:p w14:paraId="1A1D6A8E"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758D9197"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53173D0C"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3D8DE47A"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07830479"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vAlign w:val="bottom"/>
          </w:tcPr>
          <w:p w14:paraId="2784192F"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11C6E922"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16EA74A7"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3B89E018"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3E65B75E" w14:textId="77777777" w:rsidTr="001B330E">
        <w:trPr>
          <w:trHeight w:val="23"/>
        </w:trPr>
        <w:tc>
          <w:tcPr>
            <w:tcW w:w="1496" w:type="pct"/>
            <w:shd w:val="clear" w:color="auto" w:fill="auto"/>
            <w:vAlign w:val="bottom"/>
          </w:tcPr>
          <w:p w14:paraId="07D70A16"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Write-offs</w:t>
            </w:r>
          </w:p>
        </w:tc>
        <w:tc>
          <w:tcPr>
            <w:tcW w:w="472" w:type="pct"/>
            <w:shd w:val="clear" w:color="auto" w:fill="auto"/>
            <w:vAlign w:val="bottom"/>
          </w:tcPr>
          <w:p w14:paraId="5FAA9F98"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2FB96D80"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7AA94D3"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661C4DDF"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vAlign w:val="bottom"/>
          </w:tcPr>
          <w:p w14:paraId="627DE84E"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1345F2FF"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7D87E15F"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60DDF751"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1A92E045" w14:textId="77777777" w:rsidTr="001B330E">
        <w:trPr>
          <w:trHeight w:val="23"/>
        </w:trPr>
        <w:tc>
          <w:tcPr>
            <w:tcW w:w="1496" w:type="pct"/>
            <w:shd w:val="clear" w:color="auto" w:fill="auto"/>
            <w:vAlign w:val="bottom"/>
          </w:tcPr>
          <w:p w14:paraId="5F385BED"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FX and other movements</w:t>
            </w:r>
          </w:p>
        </w:tc>
        <w:tc>
          <w:tcPr>
            <w:tcW w:w="472" w:type="pct"/>
            <w:shd w:val="clear" w:color="auto" w:fill="auto"/>
            <w:vAlign w:val="bottom"/>
          </w:tcPr>
          <w:p w14:paraId="102B7794"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6E97327E"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397901C9"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72465927"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vAlign w:val="bottom"/>
          </w:tcPr>
          <w:p w14:paraId="4BAF95F2"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2A185190"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01FDC354"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7F3B21F6"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4925E152" w14:textId="77777777" w:rsidTr="001B330E">
        <w:trPr>
          <w:trHeight w:val="23"/>
        </w:trPr>
        <w:tc>
          <w:tcPr>
            <w:tcW w:w="1496" w:type="pct"/>
            <w:shd w:val="clear" w:color="auto" w:fill="auto"/>
            <w:vAlign w:val="bottom"/>
          </w:tcPr>
          <w:p w14:paraId="0FB271E3"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Modification of contractual cash flows</w:t>
            </w:r>
          </w:p>
        </w:tc>
        <w:tc>
          <w:tcPr>
            <w:tcW w:w="472" w:type="pct"/>
            <w:shd w:val="clear" w:color="auto" w:fill="auto"/>
            <w:vAlign w:val="bottom"/>
          </w:tcPr>
          <w:p w14:paraId="4BC7DB7E"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D3C5C4C"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1FAD9C30"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624DA957"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66F8EEF4"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76F40245"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0A080608"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70DC2936"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7B03A0FE" w14:textId="77777777" w:rsidTr="001B330E">
        <w:trPr>
          <w:trHeight w:val="23"/>
        </w:trPr>
        <w:tc>
          <w:tcPr>
            <w:tcW w:w="1496" w:type="pct"/>
            <w:shd w:val="clear" w:color="auto" w:fill="auto"/>
            <w:vAlign w:val="bottom"/>
          </w:tcPr>
          <w:p w14:paraId="4D41E56C"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xml:space="preserve">Unwinding of discount (for </w:t>
            </w:r>
            <w:r w:rsidRPr="003B1286">
              <w:rPr>
                <w:color w:val="000000"/>
              </w:rPr>
              <w:br/>
              <w:t xml:space="preserve">Stage 3) </w:t>
            </w:r>
          </w:p>
        </w:tc>
        <w:tc>
          <w:tcPr>
            <w:tcW w:w="472" w:type="pct"/>
            <w:shd w:val="clear" w:color="auto" w:fill="auto"/>
            <w:vAlign w:val="bottom"/>
          </w:tcPr>
          <w:p w14:paraId="740B49E1"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01E4149"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53BB73CC"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95630B3"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742C8BF2"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6C01AC43"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173A6F2B"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37C77C98"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5CFB6BEA" w14:textId="77777777" w:rsidTr="001B330E">
        <w:trPr>
          <w:trHeight w:val="23"/>
        </w:trPr>
        <w:tc>
          <w:tcPr>
            <w:tcW w:w="1496" w:type="pct"/>
            <w:tcBorders>
              <w:bottom w:val="single" w:sz="4" w:space="0" w:color="000000"/>
            </w:tcBorders>
            <w:shd w:val="clear" w:color="auto" w:fill="auto"/>
            <w:vAlign w:val="bottom"/>
          </w:tcPr>
          <w:p w14:paraId="55441EF1" w14:textId="77777777" w:rsidR="00E837F2" w:rsidRPr="003B1286" w:rsidRDefault="00E837F2" w:rsidP="001B330E">
            <w:pPr>
              <w:widowControl w:val="0"/>
              <w:pBdr>
                <w:top w:val="nil"/>
                <w:left w:val="nil"/>
                <w:bottom w:val="nil"/>
                <w:right w:val="nil"/>
                <w:between w:val="nil"/>
              </w:pBdr>
              <w:ind w:left="113" w:hanging="113"/>
              <w:rPr>
                <w:b/>
                <w:color w:val="000000"/>
              </w:rPr>
            </w:pPr>
          </w:p>
        </w:tc>
        <w:tc>
          <w:tcPr>
            <w:tcW w:w="472" w:type="pct"/>
            <w:tcBorders>
              <w:bottom w:val="single" w:sz="4" w:space="0" w:color="000000"/>
            </w:tcBorders>
            <w:shd w:val="clear" w:color="auto" w:fill="auto"/>
            <w:vAlign w:val="bottom"/>
          </w:tcPr>
          <w:p w14:paraId="3163E855"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60D4C41E"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5D74986D"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5D086C28"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15AF82ED"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093E7D91"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3D63D162"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39646ECC"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0CDCBC81" w14:textId="77777777" w:rsidTr="001B330E">
        <w:trPr>
          <w:trHeight w:val="23"/>
        </w:trPr>
        <w:tc>
          <w:tcPr>
            <w:tcW w:w="1496" w:type="pct"/>
            <w:tcBorders>
              <w:top w:val="single" w:sz="4" w:space="0" w:color="000000"/>
            </w:tcBorders>
            <w:shd w:val="clear" w:color="auto" w:fill="auto"/>
            <w:vAlign w:val="bottom"/>
          </w:tcPr>
          <w:p w14:paraId="3467C7C0" w14:textId="77777777" w:rsidR="00E837F2" w:rsidRPr="003B1286" w:rsidRDefault="00E837F2" w:rsidP="001B330E">
            <w:pPr>
              <w:widowControl w:val="0"/>
              <w:pBdr>
                <w:top w:val="nil"/>
                <w:left w:val="nil"/>
                <w:bottom w:val="nil"/>
                <w:right w:val="nil"/>
                <w:between w:val="nil"/>
              </w:pBdr>
              <w:ind w:left="113" w:hanging="113"/>
              <w:rPr>
                <w:color w:val="000000"/>
                <w:u w:val="single"/>
              </w:rPr>
            </w:pPr>
          </w:p>
        </w:tc>
        <w:tc>
          <w:tcPr>
            <w:tcW w:w="472" w:type="pct"/>
            <w:tcBorders>
              <w:top w:val="single" w:sz="4" w:space="0" w:color="000000"/>
            </w:tcBorders>
            <w:shd w:val="clear" w:color="auto" w:fill="auto"/>
            <w:vAlign w:val="bottom"/>
          </w:tcPr>
          <w:p w14:paraId="0C66DF21"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618AA850"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1F67EF2A"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714ED986"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716E0A42"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258C892E"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1B775F4A"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4D8F487D"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4A9FEB94" w14:textId="77777777" w:rsidTr="001B330E">
        <w:trPr>
          <w:trHeight w:val="23"/>
        </w:trPr>
        <w:tc>
          <w:tcPr>
            <w:tcW w:w="1496" w:type="pct"/>
            <w:shd w:val="clear" w:color="auto" w:fill="auto"/>
            <w:vAlign w:val="bottom"/>
          </w:tcPr>
          <w:p w14:paraId="0B385338" w14:textId="5D70C768" w:rsidR="00E837F2" w:rsidRPr="003B1286" w:rsidRDefault="00E837F2" w:rsidP="001B330E">
            <w:pPr>
              <w:widowControl w:val="0"/>
              <w:pBdr>
                <w:top w:val="nil"/>
                <w:left w:val="nil"/>
                <w:bottom w:val="nil"/>
                <w:right w:val="nil"/>
                <w:between w:val="nil"/>
              </w:pBdr>
              <w:ind w:left="113" w:hanging="113"/>
              <w:rPr>
                <w:b/>
                <w:color w:val="000000"/>
              </w:rPr>
            </w:pPr>
            <w:r w:rsidRPr="003B1286">
              <w:rPr>
                <w:b/>
                <w:color w:val="000000"/>
              </w:rPr>
              <w:t>At 31</w:t>
            </w:r>
            <w:r w:rsidR="00181687">
              <w:rPr>
                <w:b/>
                <w:color w:val="000000"/>
              </w:rPr>
              <w:t> December </w:t>
            </w:r>
            <w:r w:rsidR="00541EBC">
              <w:rPr>
                <w:b/>
                <w:color w:val="000000"/>
              </w:rPr>
              <w:t>2024</w:t>
            </w:r>
          </w:p>
        </w:tc>
        <w:tc>
          <w:tcPr>
            <w:tcW w:w="472" w:type="pct"/>
            <w:shd w:val="clear" w:color="auto" w:fill="auto"/>
            <w:vAlign w:val="bottom"/>
          </w:tcPr>
          <w:p w14:paraId="0ADD4139"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651BCBD2"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76672641"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6E338C30"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77D5B27F"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5C2DAF91"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5FB52A36"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44213FF8"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0A80185E" w14:textId="77777777" w:rsidTr="001B330E">
        <w:trPr>
          <w:trHeight w:val="23"/>
        </w:trPr>
        <w:tc>
          <w:tcPr>
            <w:tcW w:w="1496" w:type="pct"/>
            <w:tcBorders>
              <w:bottom w:val="single" w:sz="12" w:space="0" w:color="000000"/>
            </w:tcBorders>
            <w:shd w:val="clear" w:color="auto" w:fill="auto"/>
            <w:vAlign w:val="bottom"/>
          </w:tcPr>
          <w:p w14:paraId="741D687A" w14:textId="77777777" w:rsidR="00E837F2" w:rsidRPr="003B1286" w:rsidRDefault="00E837F2" w:rsidP="001B330E">
            <w:pPr>
              <w:widowControl w:val="0"/>
              <w:pBdr>
                <w:top w:val="nil"/>
                <w:left w:val="nil"/>
                <w:bottom w:val="nil"/>
                <w:right w:val="nil"/>
                <w:between w:val="nil"/>
              </w:pBdr>
              <w:ind w:left="113" w:hanging="113"/>
              <w:rPr>
                <w:b/>
                <w:color w:val="000000"/>
              </w:rPr>
            </w:pPr>
          </w:p>
        </w:tc>
        <w:tc>
          <w:tcPr>
            <w:tcW w:w="472" w:type="pct"/>
            <w:tcBorders>
              <w:bottom w:val="single" w:sz="12" w:space="0" w:color="000000"/>
            </w:tcBorders>
            <w:shd w:val="clear" w:color="auto" w:fill="auto"/>
            <w:vAlign w:val="bottom"/>
          </w:tcPr>
          <w:p w14:paraId="273DF6C0"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bottom w:val="single" w:sz="12" w:space="0" w:color="000000"/>
            </w:tcBorders>
            <w:shd w:val="clear" w:color="auto" w:fill="auto"/>
            <w:vAlign w:val="bottom"/>
          </w:tcPr>
          <w:p w14:paraId="0F2FE2EB"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shd w:val="clear" w:color="auto" w:fill="auto"/>
            <w:vAlign w:val="bottom"/>
          </w:tcPr>
          <w:p w14:paraId="3B210991"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bottom w:val="single" w:sz="12" w:space="0" w:color="000000"/>
            </w:tcBorders>
            <w:shd w:val="clear" w:color="auto" w:fill="auto"/>
            <w:vAlign w:val="bottom"/>
          </w:tcPr>
          <w:p w14:paraId="7D78E25A"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bottom w:val="single" w:sz="12" w:space="0" w:color="000000"/>
            </w:tcBorders>
          </w:tcPr>
          <w:p w14:paraId="443E989D"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3071931B"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10254502"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bottom w:val="single" w:sz="12" w:space="0" w:color="000000"/>
            </w:tcBorders>
            <w:shd w:val="clear" w:color="auto" w:fill="auto"/>
            <w:vAlign w:val="bottom"/>
          </w:tcPr>
          <w:p w14:paraId="00D51B2C" w14:textId="77777777" w:rsidR="00E837F2" w:rsidRPr="003B1286" w:rsidRDefault="00E837F2">
            <w:pPr>
              <w:widowControl w:val="0"/>
              <w:pBdr>
                <w:top w:val="nil"/>
                <w:left w:val="nil"/>
                <w:bottom w:val="nil"/>
                <w:right w:val="nil"/>
                <w:between w:val="nil"/>
              </w:pBdr>
              <w:jc w:val="right"/>
              <w:rPr>
                <w:color w:val="000000"/>
              </w:rPr>
            </w:pPr>
          </w:p>
        </w:tc>
      </w:tr>
    </w:tbl>
    <w:p w14:paraId="2448E816" w14:textId="173F4C1D" w:rsidR="00D83E33" w:rsidRDefault="00BC4072" w:rsidP="001B330E">
      <w:pPr>
        <w:pStyle w:val="Continued"/>
      </w:pPr>
      <w:r>
        <w:lastRenderedPageBreak/>
        <w:t>12</w:t>
      </w:r>
      <w:r>
        <w:tab/>
        <w:t>Repurchase Receivables (Continued)</w:t>
      </w:r>
    </w:p>
    <w:tbl>
      <w:tblPr>
        <w:tblStyle w:val="affffffff"/>
        <w:tblW w:w="5000" w:type="pct"/>
        <w:tblLayout w:type="fixed"/>
        <w:tblLook w:val="0000" w:firstRow="0" w:lastRow="0" w:firstColumn="0" w:lastColumn="0" w:noHBand="0" w:noVBand="0"/>
      </w:tblPr>
      <w:tblGrid>
        <w:gridCol w:w="2798"/>
        <w:gridCol w:w="883"/>
        <w:gridCol w:w="911"/>
        <w:gridCol w:w="891"/>
        <w:gridCol w:w="593"/>
        <w:gridCol w:w="906"/>
        <w:gridCol w:w="891"/>
        <w:gridCol w:w="891"/>
        <w:gridCol w:w="591"/>
      </w:tblGrid>
      <w:tr w:rsidR="00E837F2" w:rsidRPr="003B1286" w14:paraId="1D283A6F" w14:textId="77777777" w:rsidTr="001B330E">
        <w:trPr>
          <w:trHeight w:val="23"/>
        </w:trPr>
        <w:tc>
          <w:tcPr>
            <w:tcW w:w="1496" w:type="pct"/>
            <w:shd w:val="clear" w:color="auto" w:fill="auto"/>
            <w:vAlign w:val="bottom"/>
          </w:tcPr>
          <w:p w14:paraId="1BFC667E" w14:textId="77777777" w:rsidR="00E837F2" w:rsidRPr="003B1286" w:rsidRDefault="00E837F2" w:rsidP="001B330E">
            <w:pPr>
              <w:widowControl w:val="0"/>
              <w:pBdr>
                <w:top w:val="nil"/>
                <w:left w:val="nil"/>
                <w:bottom w:val="nil"/>
                <w:right w:val="nil"/>
                <w:between w:val="nil"/>
              </w:pBdr>
              <w:ind w:left="113" w:hanging="113"/>
              <w:rPr>
                <w:i/>
                <w:color w:val="000000"/>
              </w:rPr>
            </w:pPr>
          </w:p>
        </w:tc>
        <w:tc>
          <w:tcPr>
            <w:tcW w:w="1752" w:type="pct"/>
            <w:gridSpan w:val="4"/>
            <w:tcBorders>
              <w:bottom w:val="single" w:sz="4" w:space="0" w:color="000000"/>
            </w:tcBorders>
            <w:shd w:val="clear" w:color="auto" w:fill="auto"/>
          </w:tcPr>
          <w:p w14:paraId="3CF4A2BA" w14:textId="77777777" w:rsidR="00E837F2" w:rsidRPr="003B1286" w:rsidRDefault="00E837F2" w:rsidP="001B330E">
            <w:pPr>
              <w:widowControl w:val="0"/>
              <w:pBdr>
                <w:top w:val="nil"/>
                <w:left w:val="nil"/>
                <w:bottom w:val="nil"/>
                <w:right w:val="nil"/>
                <w:between w:val="nil"/>
              </w:pBdr>
              <w:tabs>
                <w:tab w:val="left" w:pos="3182"/>
              </w:tabs>
              <w:jc w:val="center"/>
              <w:rPr>
                <w:b/>
                <w:color w:val="000000"/>
              </w:rPr>
            </w:pPr>
            <w:r w:rsidRPr="003B1286">
              <w:rPr>
                <w:b/>
                <w:color w:val="000000"/>
              </w:rPr>
              <w:t>Credit loss allowance</w:t>
            </w:r>
          </w:p>
        </w:tc>
        <w:tc>
          <w:tcPr>
            <w:tcW w:w="1752" w:type="pct"/>
            <w:gridSpan w:val="4"/>
            <w:tcBorders>
              <w:bottom w:val="single" w:sz="4" w:space="0" w:color="000000"/>
            </w:tcBorders>
          </w:tcPr>
          <w:p w14:paraId="574214E3" w14:textId="77777777" w:rsidR="00E837F2" w:rsidRPr="003B1286" w:rsidRDefault="00E837F2" w:rsidP="001B330E">
            <w:pPr>
              <w:widowControl w:val="0"/>
              <w:pBdr>
                <w:top w:val="nil"/>
                <w:left w:val="nil"/>
                <w:bottom w:val="nil"/>
                <w:right w:val="nil"/>
                <w:between w:val="nil"/>
              </w:pBdr>
              <w:jc w:val="center"/>
              <w:rPr>
                <w:b/>
                <w:color w:val="000000"/>
              </w:rPr>
            </w:pPr>
            <w:r w:rsidRPr="003B1286">
              <w:rPr>
                <w:b/>
                <w:color w:val="000000"/>
              </w:rPr>
              <w:t>Gross carrying amount</w:t>
            </w:r>
          </w:p>
        </w:tc>
      </w:tr>
      <w:tr w:rsidR="00E837F2" w:rsidRPr="003B1286" w14:paraId="52BBEA00" w14:textId="77777777" w:rsidTr="001B330E">
        <w:trPr>
          <w:trHeight w:val="23"/>
        </w:trPr>
        <w:tc>
          <w:tcPr>
            <w:tcW w:w="1496" w:type="pct"/>
            <w:tcBorders>
              <w:bottom w:val="single" w:sz="4" w:space="0" w:color="000000"/>
            </w:tcBorders>
            <w:shd w:val="clear" w:color="auto" w:fill="auto"/>
            <w:vAlign w:val="bottom"/>
          </w:tcPr>
          <w:p w14:paraId="2B56725E" w14:textId="77777777" w:rsidR="00E837F2" w:rsidRPr="003B1286" w:rsidRDefault="00E837F2" w:rsidP="001B330E">
            <w:pPr>
              <w:widowControl w:val="0"/>
              <w:pBdr>
                <w:top w:val="nil"/>
                <w:left w:val="nil"/>
                <w:bottom w:val="nil"/>
                <w:right w:val="nil"/>
                <w:between w:val="nil"/>
              </w:pBdr>
              <w:ind w:left="113" w:hanging="113"/>
              <w:rPr>
                <w:i/>
                <w:color w:val="000000"/>
              </w:rPr>
            </w:pPr>
          </w:p>
          <w:p w14:paraId="2E6E42E9" w14:textId="0388C499" w:rsidR="00E837F2" w:rsidRPr="003B1286"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472" w:type="pct"/>
            <w:tcBorders>
              <w:top w:val="single" w:sz="4" w:space="0" w:color="000000"/>
              <w:bottom w:val="single" w:sz="4" w:space="0" w:color="000000"/>
            </w:tcBorders>
            <w:shd w:val="clear" w:color="auto" w:fill="auto"/>
          </w:tcPr>
          <w:p w14:paraId="5709B86A"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1</w:t>
            </w:r>
          </w:p>
          <w:p w14:paraId="2AF49732" w14:textId="77777777" w:rsidR="00E837F2" w:rsidRPr="003B1286" w:rsidRDefault="00E837F2" w:rsidP="001B330E">
            <w:pPr>
              <w:widowControl w:val="0"/>
              <w:pBdr>
                <w:top w:val="nil"/>
                <w:left w:val="nil"/>
                <w:bottom w:val="nil"/>
                <w:right w:val="nil"/>
                <w:between w:val="nil"/>
              </w:pBdr>
              <w:ind w:left="-113" w:firstLine="142"/>
              <w:jc w:val="right"/>
              <w:rPr>
                <w:b/>
                <w:color w:val="000000"/>
              </w:rPr>
            </w:pPr>
            <w:r w:rsidRPr="003B1286">
              <w:rPr>
                <w:b/>
                <w:color w:val="000000"/>
              </w:rPr>
              <w:t>(12-months ECL)</w:t>
            </w:r>
          </w:p>
        </w:tc>
        <w:tc>
          <w:tcPr>
            <w:tcW w:w="487" w:type="pct"/>
            <w:tcBorders>
              <w:top w:val="single" w:sz="4" w:space="0" w:color="000000"/>
              <w:bottom w:val="single" w:sz="4" w:space="0" w:color="000000"/>
            </w:tcBorders>
            <w:shd w:val="clear" w:color="auto" w:fill="auto"/>
          </w:tcPr>
          <w:p w14:paraId="04592718"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2</w:t>
            </w:r>
          </w:p>
          <w:p w14:paraId="6B3D7398"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 xml:space="preserve">(lifetime ECL for SICR) </w:t>
            </w:r>
          </w:p>
        </w:tc>
        <w:tc>
          <w:tcPr>
            <w:tcW w:w="476" w:type="pct"/>
            <w:tcBorders>
              <w:top w:val="single" w:sz="4" w:space="0" w:color="000000"/>
              <w:bottom w:val="single" w:sz="4" w:space="0" w:color="000000"/>
            </w:tcBorders>
            <w:shd w:val="clear" w:color="auto" w:fill="auto"/>
          </w:tcPr>
          <w:p w14:paraId="2F88910B"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3</w:t>
            </w:r>
          </w:p>
          <w:p w14:paraId="25313288"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(lifetime ECL for credit im-paired)</w:t>
            </w:r>
          </w:p>
        </w:tc>
        <w:tc>
          <w:tcPr>
            <w:tcW w:w="317" w:type="pct"/>
            <w:tcBorders>
              <w:top w:val="single" w:sz="4" w:space="0" w:color="000000"/>
              <w:bottom w:val="single" w:sz="4" w:space="0" w:color="000000"/>
            </w:tcBorders>
            <w:shd w:val="clear" w:color="auto" w:fill="auto"/>
          </w:tcPr>
          <w:p w14:paraId="6B6C5595"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Total</w:t>
            </w:r>
          </w:p>
        </w:tc>
        <w:tc>
          <w:tcPr>
            <w:tcW w:w="484" w:type="pct"/>
            <w:tcBorders>
              <w:top w:val="single" w:sz="4" w:space="0" w:color="000000"/>
              <w:bottom w:val="single" w:sz="4" w:space="0" w:color="000000"/>
            </w:tcBorders>
          </w:tcPr>
          <w:p w14:paraId="72341B43"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1</w:t>
            </w:r>
          </w:p>
          <w:p w14:paraId="5406D352"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(12-months ECL)</w:t>
            </w:r>
          </w:p>
        </w:tc>
        <w:tc>
          <w:tcPr>
            <w:tcW w:w="476" w:type="pct"/>
            <w:tcBorders>
              <w:top w:val="single" w:sz="4" w:space="0" w:color="000000"/>
              <w:bottom w:val="single" w:sz="4" w:space="0" w:color="000000"/>
            </w:tcBorders>
          </w:tcPr>
          <w:p w14:paraId="24E5E5E7"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2</w:t>
            </w:r>
          </w:p>
          <w:p w14:paraId="22B1A516"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 xml:space="preserve">(lifetime ECL for SICR) </w:t>
            </w:r>
          </w:p>
        </w:tc>
        <w:tc>
          <w:tcPr>
            <w:tcW w:w="476" w:type="pct"/>
            <w:tcBorders>
              <w:top w:val="single" w:sz="4" w:space="0" w:color="000000"/>
              <w:bottom w:val="single" w:sz="4" w:space="0" w:color="000000"/>
            </w:tcBorders>
          </w:tcPr>
          <w:p w14:paraId="1417127D"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Stage 3</w:t>
            </w:r>
          </w:p>
          <w:p w14:paraId="542D028D"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(lifetime ECL for credit im-paired)</w:t>
            </w:r>
          </w:p>
        </w:tc>
        <w:tc>
          <w:tcPr>
            <w:tcW w:w="316" w:type="pct"/>
            <w:tcBorders>
              <w:top w:val="single" w:sz="4" w:space="0" w:color="000000"/>
              <w:bottom w:val="single" w:sz="4" w:space="0" w:color="000000"/>
            </w:tcBorders>
            <w:shd w:val="clear" w:color="auto" w:fill="auto"/>
          </w:tcPr>
          <w:p w14:paraId="5DC7BD74" w14:textId="77777777" w:rsidR="00E837F2" w:rsidRPr="003B1286" w:rsidRDefault="00E837F2">
            <w:pPr>
              <w:widowControl w:val="0"/>
              <w:pBdr>
                <w:top w:val="nil"/>
                <w:left w:val="nil"/>
                <w:bottom w:val="nil"/>
                <w:right w:val="nil"/>
                <w:between w:val="nil"/>
              </w:pBdr>
              <w:ind w:left="-113"/>
              <w:jc w:val="right"/>
              <w:rPr>
                <w:b/>
                <w:color w:val="000000"/>
              </w:rPr>
            </w:pPr>
            <w:r w:rsidRPr="003B1286">
              <w:rPr>
                <w:b/>
                <w:color w:val="000000"/>
              </w:rPr>
              <w:t>Total</w:t>
            </w:r>
          </w:p>
        </w:tc>
      </w:tr>
      <w:tr w:rsidR="00E837F2" w:rsidRPr="003B1286" w14:paraId="0B61B8D2" w14:textId="77777777" w:rsidTr="001B330E">
        <w:trPr>
          <w:trHeight w:val="23"/>
        </w:trPr>
        <w:tc>
          <w:tcPr>
            <w:tcW w:w="1496" w:type="pct"/>
            <w:shd w:val="clear" w:color="auto" w:fill="auto"/>
            <w:vAlign w:val="bottom"/>
          </w:tcPr>
          <w:p w14:paraId="0E0CDA32" w14:textId="77777777" w:rsidR="00E837F2" w:rsidRPr="003B1286" w:rsidRDefault="00E837F2" w:rsidP="001B330E">
            <w:pPr>
              <w:widowControl w:val="0"/>
              <w:ind w:left="113" w:hanging="113"/>
            </w:pPr>
          </w:p>
        </w:tc>
        <w:tc>
          <w:tcPr>
            <w:tcW w:w="472" w:type="pct"/>
            <w:shd w:val="clear" w:color="auto" w:fill="auto"/>
            <w:vAlign w:val="bottom"/>
          </w:tcPr>
          <w:p w14:paraId="1E1B5BA0"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1A96CA17"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25D39A57"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41D4C81C"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749DACD7"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5FFCB2BC"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7C61AF3C"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4A8C81F0"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59793BF1" w14:textId="77777777" w:rsidTr="001B330E">
        <w:trPr>
          <w:trHeight w:val="23"/>
        </w:trPr>
        <w:tc>
          <w:tcPr>
            <w:tcW w:w="1496" w:type="pct"/>
            <w:shd w:val="clear" w:color="auto" w:fill="auto"/>
            <w:vAlign w:val="bottom"/>
          </w:tcPr>
          <w:p w14:paraId="3EFC0198" w14:textId="73B093B5" w:rsidR="00E837F2" w:rsidRPr="003B1286" w:rsidRDefault="00922233" w:rsidP="001B330E">
            <w:pPr>
              <w:widowControl w:val="0"/>
              <w:pBdr>
                <w:top w:val="nil"/>
                <w:left w:val="nil"/>
                <w:bottom w:val="nil"/>
                <w:right w:val="nil"/>
                <w:between w:val="nil"/>
              </w:pBdr>
              <w:ind w:left="113" w:hanging="113"/>
              <w:rPr>
                <w:b/>
                <w:i/>
                <w:color w:val="000000"/>
              </w:rPr>
            </w:pPr>
            <w:r w:rsidRPr="00372E26">
              <w:rPr>
                <w:b/>
                <w:i/>
                <w:color w:val="0000FF"/>
              </w:rPr>
              <w:t>[</w:t>
            </w:r>
            <w:r w:rsidR="00372E26">
              <w:rPr>
                <w:b/>
                <w:i/>
                <w:color w:val="0000FF"/>
              </w:rPr>
              <w:t>[Country]</w:t>
            </w:r>
            <w:r w:rsidR="00E837F2" w:rsidRPr="00372E26">
              <w:rPr>
                <w:b/>
                <w:i/>
                <w:color w:val="0000FF"/>
              </w:rPr>
              <w:t xml:space="preserve"> government bonds</w:t>
            </w:r>
            <w:r w:rsidRPr="00372E26">
              <w:rPr>
                <w:b/>
                <w:i/>
                <w:color w:val="0000FF"/>
              </w:rPr>
              <w:t>]</w:t>
            </w:r>
          </w:p>
        </w:tc>
        <w:tc>
          <w:tcPr>
            <w:tcW w:w="472" w:type="pct"/>
            <w:shd w:val="clear" w:color="auto" w:fill="auto"/>
            <w:vAlign w:val="bottom"/>
          </w:tcPr>
          <w:p w14:paraId="64D5EBA0"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DBD36EF"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5EF1588C"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6BDED816"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373F4BF3"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125171A9"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598225B4"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70ED44E7"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148E41CD" w14:textId="77777777" w:rsidTr="001B330E">
        <w:trPr>
          <w:trHeight w:val="23"/>
        </w:trPr>
        <w:tc>
          <w:tcPr>
            <w:tcW w:w="1496" w:type="pct"/>
            <w:shd w:val="clear" w:color="auto" w:fill="auto"/>
            <w:vAlign w:val="bottom"/>
          </w:tcPr>
          <w:p w14:paraId="1AFD674B" w14:textId="77777777" w:rsidR="00E837F2" w:rsidRPr="003B1286" w:rsidRDefault="00E837F2" w:rsidP="001B330E">
            <w:pPr>
              <w:widowControl w:val="0"/>
              <w:pBdr>
                <w:top w:val="nil"/>
                <w:left w:val="nil"/>
                <w:bottom w:val="nil"/>
                <w:right w:val="nil"/>
                <w:between w:val="nil"/>
              </w:pBdr>
              <w:ind w:left="113" w:hanging="113"/>
              <w:rPr>
                <w:b/>
                <w:i/>
                <w:color w:val="000000"/>
              </w:rPr>
            </w:pPr>
          </w:p>
        </w:tc>
        <w:tc>
          <w:tcPr>
            <w:tcW w:w="472" w:type="pct"/>
            <w:shd w:val="clear" w:color="auto" w:fill="auto"/>
            <w:vAlign w:val="bottom"/>
          </w:tcPr>
          <w:p w14:paraId="06705A74"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1F4ABC14"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111E1DFD"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4B713AC4"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58B049DD"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7E0E8AAF"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0EEB4EE4"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743E4948"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1EB15363" w14:textId="77777777" w:rsidTr="001B330E">
        <w:trPr>
          <w:trHeight w:val="23"/>
        </w:trPr>
        <w:tc>
          <w:tcPr>
            <w:tcW w:w="1496" w:type="pct"/>
            <w:shd w:val="clear" w:color="auto" w:fill="auto"/>
            <w:vAlign w:val="bottom"/>
          </w:tcPr>
          <w:p w14:paraId="307F05A7" w14:textId="4A9ED9B7" w:rsidR="00E837F2" w:rsidRPr="003B1286" w:rsidRDefault="00E837F2" w:rsidP="001B330E">
            <w:pPr>
              <w:widowControl w:val="0"/>
              <w:pBdr>
                <w:top w:val="nil"/>
                <w:left w:val="nil"/>
                <w:bottom w:val="nil"/>
                <w:right w:val="nil"/>
                <w:between w:val="nil"/>
              </w:pBdr>
              <w:ind w:left="113" w:hanging="113"/>
              <w:rPr>
                <w:b/>
                <w:color w:val="0000FF"/>
              </w:rPr>
            </w:pPr>
            <w:r w:rsidRPr="003B1286">
              <w:rPr>
                <w:b/>
                <w:color w:val="000000"/>
              </w:rPr>
              <w:t xml:space="preserve">At 1 January </w:t>
            </w:r>
            <w:r w:rsidR="00541EBC">
              <w:rPr>
                <w:b/>
                <w:color w:val="000000"/>
              </w:rPr>
              <w:t>2023</w:t>
            </w:r>
          </w:p>
        </w:tc>
        <w:tc>
          <w:tcPr>
            <w:tcW w:w="472" w:type="pct"/>
            <w:shd w:val="clear" w:color="auto" w:fill="auto"/>
            <w:vAlign w:val="bottom"/>
          </w:tcPr>
          <w:p w14:paraId="1408A9A4"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2B60C77B"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3AD1776D"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10DF5DDA"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422E512E"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05ED2DBA"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76FFEE24"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535FD669"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1A99383F" w14:textId="77777777" w:rsidTr="001B330E">
        <w:trPr>
          <w:trHeight w:val="23"/>
        </w:trPr>
        <w:tc>
          <w:tcPr>
            <w:tcW w:w="1496" w:type="pct"/>
            <w:shd w:val="clear" w:color="auto" w:fill="auto"/>
            <w:vAlign w:val="bottom"/>
          </w:tcPr>
          <w:p w14:paraId="13D8BD42" w14:textId="77777777" w:rsidR="00E837F2" w:rsidRPr="003B1286" w:rsidRDefault="00E837F2" w:rsidP="001B330E">
            <w:pPr>
              <w:widowControl w:val="0"/>
              <w:pBdr>
                <w:top w:val="nil"/>
                <w:left w:val="nil"/>
                <w:bottom w:val="nil"/>
                <w:right w:val="nil"/>
                <w:between w:val="nil"/>
              </w:pBdr>
              <w:ind w:left="113" w:hanging="113"/>
              <w:rPr>
                <w:b/>
                <w:color w:val="000000"/>
              </w:rPr>
            </w:pPr>
          </w:p>
          <w:p w14:paraId="7CE13A9B" w14:textId="77777777" w:rsidR="00E837F2" w:rsidRPr="003B1286" w:rsidRDefault="00E837F2" w:rsidP="001B330E">
            <w:pPr>
              <w:widowControl w:val="0"/>
              <w:pBdr>
                <w:top w:val="nil"/>
                <w:left w:val="nil"/>
                <w:bottom w:val="nil"/>
                <w:right w:val="nil"/>
                <w:between w:val="nil"/>
              </w:pBdr>
              <w:ind w:left="113" w:hanging="113"/>
              <w:rPr>
                <w:b/>
                <w:color w:val="000000"/>
              </w:rPr>
            </w:pPr>
            <w:r w:rsidRPr="003B1286">
              <w:rPr>
                <w:i/>
                <w:color w:val="000000"/>
              </w:rPr>
              <w:t>Movements with impact on credit loss allowance charge for the period:</w:t>
            </w:r>
          </w:p>
        </w:tc>
        <w:tc>
          <w:tcPr>
            <w:tcW w:w="472" w:type="pct"/>
            <w:shd w:val="clear" w:color="auto" w:fill="auto"/>
            <w:vAlign w:val="bottom"/>
          </w:tcPr>
          <w:p w14:paraId="67923DE6"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05D887A"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4F49AE0D"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8A6FAC5"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2AAEDB4F" w14:textId="77777777" w:rsidR="00E837F2" w:rsidRPr="003B1286" w:rsidRDefault="00E837F2" w:rsidP="001B330E">
            <w:pPr>
              <w:widowControl w:val="0"/>
              <w:pBdr>
                <w:top w:val="nil"/>
                <w:left w:val="nil"/>
                <w:bottom w:val="nil"/>
                <w:right w:val="nil"/>
                <w:between w:val="nil"/>
              </w:pBdr>
              <w:jc w:val="right"/>
              <w:rPr>
                <w:color w:val="000000"/>
              </w:rPr>
            </w:pPr>
          </w:p>
        </w:tc>
        <w:tc>
          <w:tcPr>
            <w:tcW w:w="476" w:type="pct"/>
          </w:tcPr>
          <w:p w14:paraId="11203354"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1B5DD7E3"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7A2FE60B"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7FEE6B4F" w14:textId="77777777" w:rsidTr="001B330E">
        <w:trPr>
          <w:trHeight w:val="23"/>
        </w:trPr>
        <w:tc>
          <w:tcPr>
            <w:tcW w:w="1496" w:type="pct"/>
            <w:shd w:val="clear" w:color="auto" w:fill="auto"/>
            <w:vAlign w:val="bottom"/>
          </w:tcPr>
          <w:p w14:paraId="030F934B"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079265E3"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65B6D71"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C824675"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CD5CCDC"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16654DFD"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476DB0E9"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5628B7DB"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732224E5"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0468933A" w14:textId="77777777" w:rsidTr="001B330E">
        <w:trPr>
          <w:trHeight w:val="23"/>
        </w:trPr>
        <w:tc>
          <w:tcPr>
            <w:tcW w:w="1496" w:type="pct"/>
            <w:shd w:val="clear" w:color="auto" w:fill="auto"/>
            <w:vAlign w:val="bottom"/>
          </w:tcPr>
          <w:p w14:paraId="7897BB4B" w14:textId="77777777" w:rsidR="00E837F2" w:rsidRPr="003B1286" w:rsidRDefault="00E837F2" w:rsidP="001B330E">
            <w:pPr>
              <w:widowControl w:val="0"/>
              <w:pBdr>
                <w:top w:val="nil"/>
                <w:left w:val="nil"/>
                <w:bottom w:val="nil"/>
                <w:right w:val="nil"/>
                <w:between w:val="nil"/>
              </w:pBdr>
              <w:ind w:left="113" w:hanging="113"/>
              <w:rPr>
                <w:color w:val="0000FF"/>
              </w:rPr>
            </w:pPr>
            <w:r w:rsidRPr="003B1286">
              <w:rPr>
                <w:color w:val="000000"/>
              </w:rPr>
              <w:t>Transfers:</w:t>
            </w:r>
          </w:p>
        </w:tc>
        <w:tc>
          <w:tcPr>
            <w:tcW w:w="472" w:type="pct"/>
            <w:shd w:val="clear" w:color="auto" w:fill="auto"/>
            <w:vAlign w:val="bottom"/>
          </w:tcPr>
          <w:p w14:paraId="6FF9275A"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44679251"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5465198C"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4591EDD2"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3B9BF167"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6888DF3F"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65E96421"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5B32393"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689032FA" w14:textId="77777777" w:rsidTr="001B330E">
        <w:trPr>
          <w:trHeight w:val="23"/>
        </w:trPr>
        <w:tc>
          <w:tcPr>
            <w:tcW w:w="1496" w:type="pct"/>
            <w:shd w:val="clear" w:color="auto" w:fill="auto"/>
            <w:vAlign w:val="bottom"/>
          </w:tcPr>
          <w:p w14:paraId="3AE4BCDC"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to lifetime (from Stage 1 to Stage 2)</w:t>
            </w:r>
          </w:p>
        </w:tc>
        <w:tc>
          <w:tcPr>
            <w:tcW w:w="472" w:type="pct"/>
            <w:shd w:val="clear" w:color="auto" w:fill="auto"/>
            <w:vAlign w:val="bottom"/>
          </w:tcPr>
          <w:p w14:paraId="742E24E0"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2949A73A"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09A12DAC"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0761CB8C"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68B1DAD8"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0A258656"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5C9F3A00"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63810B02"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2082700C" w14:textId="77777777" w:rsidTr="001B330E">
        <w:trPr>
          <w:trHeight w:val="23"/>
        </w:trPr>
        <w:tc>
          <w:tcPr>
            <w:tcW w:w="1496" w:type="pct"/>
            <w:shd w:val="clear" w:color="auto" w:fill="auto"/>
            <w:vAlign w:val="bottom"/>
          </w:tcPr>
          <w:p w14:paraId="7F008632"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to credit-impaired (from Stage 1 and Stage 2 to Stage 3)</w:t>
            </w:r>
          </w:p>
        </w:tc>
        <w:tc>
          <w:tcPr>
            <w:tcW w:w="472" w:type="pct"/>
            <w:shd w:val="clear" w:color="auto" w:fill="auto"/>
            <w:vAlign w:val="bottom"/>
          </w:tcPr>
          <w:p w14:paraId="52292326"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0F3653BB"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3236E821"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7F74007E"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66D0EA89"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77C26A6D"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7879BD92"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716A927B"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5CCECF39" w14:textId="77777777" w:rsidTr="001B330E">
        <w:trPr>
          <w:trHeight w:val="23"/>
        </w:trPr>
        <w:tc>
          <w:tcPr>
            <w:tcW w:w="1496" w:type="pct"/>
            <w:shd w:val="clear" w:color="auto" w:fill="auto"/>
            <w:vAlign w:val="bottom"/>
          </w:tcPr>
          <w:p w14:paraId="47113D79"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to 12-months ECL (from Stage 2 and Stage 3 to Stage 1)</w:t>
            </w:r>
          </w:p>
        </w:tc>
        <w:tc>
          <w:tcPr>
            <w:tcW w:w="472" w:type="pct"/>
            <w:shd w:val="clear" w:color="auto" w:fill="auto"/>
            <w:vAlign w:val="bottom"/>
          </w:tcPr>
          <w:p w14:paraId="7B701EE0"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75D6200"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4855FC1"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BB77370"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tcPr>
          <w:p w14:paraId="799F4032"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6D6EBF1D"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tcPr>
          <w:p w14:paraId="4CA6AC9A"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31386D88"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04B44F7B" w14:textId="77777777" w:rsidTr="001B330E">
        <w:trPr>
          <w:trHeight w:val="23"/>
        </w:trPr>
        <w:tc>
          <w:tcPr>
            <w:tcW w:w="1496" w:type="pct"/>
            <w:shd w:val="clear" w:color="auto" w:fill="auto"/>
            <w:vAlign w:val="bottom"/>
          </w:tcPr>
          <w:p w14:paraId="04F0AF3A"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New originated or purchased</w:t>
            </w:r>
          </w:p>
        </w:tc>
        <w:tc>
          <w:tcPr>
            <w:tcW w:w="472" w:type="pct"/>
            <w:shd w:val="clear" w:color="auto" w:fill="auto"/>
            <w:vAlign w:val="bottom"/>
          </w:tcPr>
          <w:p w14:paraId="207EFEAB"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2FC9B3F"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6FDC9168"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BC33498"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5BCFA5AC"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48138D5A"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312295AE"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6D501D7"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01C4D446" w14:textId="77777777" w:rsidTr="001B330E">
        <w:trPr>
          <w:trHeight w:val="23"/>
        </w:trPr>
        <w:tc>
          <w:tcPr>
            <w:tcW w:w="1496" w:type="pct"/>
            <w:shd w:val="clear" w:color="auto" w:fill="auto"/>
            <w:vAlign w:val="bottom"/>
          </w:tcPr>
          <w:p w14:paraId="1459C1E8"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Derecognised during the period</w:t>
            </w:r>
          </w:p>
        </w:tc>
        <w:tc>
          <w:tcPr>
            <w:tcW w:w="472" w:type="pct"/>
            <w:shd w:val="clear" w:color="auto" w:fill="auto"/>
            <w:vAlign w:val="bottom"/>
          </w:tcPr>
          <w:p w14:paraId="527098CD"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4A2E12A"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37A4E94A"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4C969E57" w14:textId="77777777" w:rsidR="00E837F2" w:rsidRPr="003B1286" w:rsidRDefault="00E837F2">
            <w:pPr>
              <w:widowControl w:val="0"/>
              <w:pBdr>
                <w:top w:val="nil"/>
                <w:left w:val="nil"/>
                <w:bottom w:val="nil"/>
                <w:right w:val="nil"/>
                <w:between w:val="nil"/>
              </w:pBdr>
              <w:jc w:val="right"/>
              <w:rPr>
                <w:color w:val="000000"/>
              </w:rPr>
            </w:pPr>
          </w:p>
        </w:tc>
        <w:tc>
          <w:tcPr>
            <w:tcW w:w="484" w:type="pct"/>
          </w:tcPr>
          <w:p w14:paraId="0042418F"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08D9B789" w14:textId="77777777" w:rsidR="00E837F2" w:rsidRPr="003B1286" w:rsidRDefault="00E837F2">
            <w:pPr>
              <w:widowControl w:val="0"/>
              <w:pBdr>
                <w:top w:val="nil"/>
                <w:left w:val="nil"/>
                <w:bottom w:val="nil"/>
                <w:right w:val="nil"/>
                <w:between w:val="nil"/>
              </w:pBdr>
              <w:jc w:val="right"/>
              <w:rPr>
                <w:color w:val="000000"/>
              </w:rPr>
            </w:pPr>
          </w:p>
        </w:tc>
        <w:tc>
          <w:tcPr>
            <w:tcW w:w="476" w:type="pct"/>
          </w:tcPr>
          <w:p w14:paraId="2362B92C"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D6689E5"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0ADFE62D" w14:textId="77777777" w:rsidTr="001B330E">
        <w:trPr>
          <w:trHeight w:val="23"/>
        </w:trPr>
        <w:tc>
          <w:tcPr>
            <w:tcW w:w="1496" w:type="pct"/>
            <w:shd w:val="clear" w:color="auto" w:fill="auto"/>
            <w:vAlign w:val="bottom"/>
          </w:tcPr>
          <w:p w14:paraId="7710347E"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Changes to ECL measurement model assumptions</w:t>
            </w:r>
          </w:p>
        </w:tc>
        <w:tc>
          <w:tcPr>
            <w:tcW w:w="472" w:type="pct"/>
            <w:shd w:val="clear" w:color="auto" w:fill="auto"/>
            <w:vAlign w:val="bottom"/>
          </w:tcPr>
          <w:p w14:paraId="43BAAAAB"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6B322FAB"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7F5BB33F"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BF8691A"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01BCF7C0"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49792D42"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48CA12C6"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0B3EFF96"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533367E9" w14:textId="77777777" w:rsidTr="001B330E">
        <w:trPr>
          <w:trHeight w:val="23"/>
        </w:trPr>
        <w:tc>
          <w:tcPr>
            <w:tcW w:w="1496" w:type="pct"/>
            <w:shd w:val="clear" w:color="auto" w:fill="auto"/>
            <w:vAlign w:val="bottom"/>
          </w:tcPr>
          <w:p w14:paraId="4A8E072B"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xml:space="preserve">Unwinding of discount </w:t>
            </w:r>
          </w:p>
        </w:tc>
        <w:tc>
          <w:tcPr>
            <w:tcW w:w="472" w:type="pct"/>
            <w:shd w:val="clear" w:color="auto" w:fill="auto"/>
            <w:vAlign w:val="bottom"/>
          </w:tcPr>
          <w:p w14:paraId="45B5C6A6"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6992B9D3"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3CEFC698"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5A2811F"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7E1D02FC"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3A08792E"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721DA875"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76D48D08"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43816524" w14:textId="77777777" w:rsidTr="001B330E">
        <w:trPr>
          <w:trHeight w:val="23"/>
        </w:trPr>
        <w:tc>
          <w:tcPr>
            <w:tcW w:w="1496" w:type="pct"/>
            <w:shd w:val="clear" w:color="auto" w:fill="auto"/>
            <w:vAlign w:val="bottom"/>
          </w:tcPr>
          <w:p w14:paraId="76264728"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Changes in accrued interest</w:t>
            </w:r>
          </w:p>
        </w:tc>
        <w:tc>
          <w:tcPr>
            <w:tcW w:w="472" w:type="pct"/>
            <w:shd w:val="clear" w:color="auto" w:fill="auto"/>
            <w:vAlign w:val="bottom"/>
          </w:tcPr>
          <w:p w14:paraId="3584D0DA"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34D16D5"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7F71C8D6"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4B32A351"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32702AC6"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1425B9FC"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065CBA0A"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2E59BBAB"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479E4BCA" w14:textId="77777777" w:rsidTr="001B330E">
        <w:trPr>
          <w:trHeight w:val="23"/>
        </w:trPr>
        <w:tc>
          <w:tcPr>
            <w:tcW w:w="1496" w:type="pct"/>
            <w:shd w:val="clear" w:color="auto" w:fill="auto"/>
            <w:vAlign w:val="bottom"/>
          </w:tcPr>
          <w:p w14:paraId="5611DDA2"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Other movements</w:t>
            </w:r>
          </w:p>
        </w:tc>
        <w:tc>
          <w:tcPr>
            <w:tcW w:w="472" w:type="pct"/>
            <w:shd w:val="clear" w:color="auto" w:fill="auto"/>
            <w:vAlign w:val="bottom"/>
          </w:tcPr>
          <w:p w14:paraId="06707B9A"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24427E11"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25EB11B8"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46137485"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3FD24082"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00018F86"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56EBC86B"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2E748851"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663319D3" w14:textId="77777777" w:rsidTr="001B330E">
        <w:trPr>
          <w:trHeight w:val="23"/>
        </w:trPr>
        <w:tc>
          <w:tcPr>
            <w:tcW w:w="1496" w:type="pct"/>
            <w:tcBorders>
              <w:bottom w:val="single" w:sz="4" w:space="0" w:color="000000"/>
            </w:tcBorders>
            <w:shd w:val="clear" w:color="auto" w:fill="auto"/>
            <w:vAlign w:val="bottom"/>
          </w:tcPr>
          <w:p w14:paraId="1ECE5F59" w14:textId="77777777" w:rsidR="00E837F2" w:rsidRPr="003B1286" w:rsidRDefault="00E837F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6E2CA070"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4113D0FD"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30454DC2"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6DC4C8C4"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705CCE33"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335F80CD"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71DCFF21"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463479D7"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5AF0F28E" w14:textId="77777777" w:rsidTr="001B330E">
        <w:trPr>
          <w:trHeight w:val="23"/>
        </w:trPr>
        <w:tc>
          <w:tcPr>
            <w:tcW w:w="1496" w:type="pct"/>
            <w:tcBorders>
              <w:top w:val="single" w:sz="4" w:space="0" w:color="000000"/>
            </w:tcBorders>
            <w:shd w:val="clear" w:color="auto" w:fill="auto"/>
            <w:vAlign w:val="bottom"/>
          </w:tcPr>
          <w:p w14:paraId="5172A2FF" w14:textId="77777777" w:rsidR="00E837F2" w:rsidRPr="003B1286" w:rsidRDefault="00E837F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35E3E754"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032E616E"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255C5942"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62D8F778"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1D251E2E"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3403841B"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05EFDEE5"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5E46BDEC"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3EDB3DBE" w14:textId="77777777" w:rsidTr="001B330E">
        <w:trPr>
          <w:trHeight w:val="23"/>
        </w:trPr>
        <w:tc>
          <w:tcPr>
            <w:tcW w:w="1496" w:type="pct"/>
            <w:shd w:val="clear" w:color="auto" w:fill="auto"/>
            <w:vAlign w:val="bottom"/>
          </w:tcPr>
          <w:p w14:paraId="68961A09" w14:textId="77777777" w:rsidR="00E837F2" w:rsidRPr="003B1286" w:rsidRDefault="00E837F2" w:rsidP="001B330E">
            <w:pPr>
              <w:widowControl w:val="0"/>
              <w:pBdr>
                <w:top w:val="nil"/>
                <w:left w:val="nil"/>
                <w:bottom w:val="nil"/>
                <w:right w:val="nil"/>
                <w:between w:val="nil"/>
              </w:pBdr>
              <w:ind w:left="113" w:hanging="113"/>
              <w:rPr>
                <w:b/>
                <w:color w:val="000000"/>
              </w:rPr>
            </w:pPr>
            <w:r w:rsidRPr="003B1286">
              <w:rPr>
                <w:b/>
                <w:color w:val="000000"/>
              </w:rPr>
              <w:t>Total movements with impact on credit loss allowance charge for the period</w:t>
            </w:r>
          </w:p>
        </w:tc>
        <w:tc>
          <w:tcPr>
            <w:tcW w:w="472" w:type="pct"/>
            <w:shd w:val="clear" w:color="auto" w:fill="auto"/>
            <w:vAlign w:val="bottom"/>
          </w:tcPr>
          <w:p w14:paraId="6171AD0D"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6108A722"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2400B445"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4A108AA4"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58321402"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1436785B"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08B3F68E"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7B06619A"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65AF805C" w14:textId="77777777" w:rsidTr="001B330E">
        <w:trPr>
          <w:trHeight w:val="23"/>
        </w:trPr>
        <w:tc>
          <w:tcPr>
            <w:tcW w:w="1496" w:type="pct"/>
            <w:tcBorders>
              <w:bottom w:val="single" w:sz="4" w:space="0" w:color="000000"/>
            </w:tcBorders>
            <w:shd w:val="clear" w:color="auto" w:fill="auto"/>
            <w:vAlign w:val="bottom"/>
          </w:tcPr>
          <w:p w14:paraId="7BDC71F8" w14:textId="77777777" w:rsidR="00E837F2" w:rsidRPr="003B1286" w:rsidRDefault="00E837F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530D3007"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3BF85CFA"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4213B3E5"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08E92034"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755E4B2D"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3D76E593"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1552055B"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06A43C71"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2842E544" w14:textId="77777777" w:rsidTr="001B330E">
        <w:trPr>
          <w:trHeight w:val="23"/>
        </w:trPr>
        <w:tc>
          <w:tcPr>
            <w:tcW w:w="1496" w:type="pct"/>
            <w:tcBorders>
              <w:top w:val="single" w:sz="4" w:space="0" w:color="000000"/>
            </w:tcBorders>
            <w:shd w:val="clear" w:color="auto" w:fill="auto"/>
            <w:vAlign w:val="bottom"/>
          </w:tcPr>
          <w:p w14:paraId="18DC23F0" w14:textId="77777777" w:rsidR="00E837F2" w:rsidRPr="003B1286" w:rsidRDefault="00E837F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505B71D9"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5F2B6C7E"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1FEE15BC"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0BC49FB9"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7F82AB2D"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52EDD336"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08CC8DD2"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2A69648B"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25F16BBA" w14:textId="77777777" w:rsidTr="001B330E">
        <w:trPr>
          <w:trHeight w:val="23"/>
        </w:trPr>
        <w:tc>
          <w:tcPr>
            <w:tcW w:w="1496" w:type="pct"/>
            <w:shd w:val="clear" w:color="auto" w:fill="auto"/>
            <w:vAlign w:val="bottom"/>
          </w:tcPr>
          <w:p w14:paraId="29622118" w14:textId="77777777" w:rsidR="00E837F2" w:rsidRPr="003B1286" w:rsidRDefault="00E837F2" w:rsidP="001B330E">
            <w:pPr>
              <w:widowControl w:val="0"/>
              <w:pBdr>
                <w:top w:val="nil"/>
                <w:left w:val="nil"/>
                <w:bottom w:val="nil"/>
                <w:right w:val="nil"/>
                <w:between w:val="nil"/>
              </w:pBdr>
              <w:ind w:left="113" w:hanging="113"/>
              <w:rPr>
                <w:b/>
                <w:color w:val="000000"/>
              </w:rPr>
            </w:pPr>
            <w:r w:rsidRPr="003B1286">
              <w:rPr>
                <w:i/>
                <w:color w:val="000000"/>
              </w:rPr>
              <w:t>Movements without impact on credit loss allowance charge for the period:</w:t>
            </w:r>
          </w:p>
          <w:p w14:paraId="349C62D2"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6E87E89B"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6EF365BC"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0A92DF00"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F81C6A9"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vAlign w:val="bottom"/>
          </w:tcPr>
          <w:p w14:paraId="08D43D0D"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5136C7DB"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3D9DF5E0"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6FEE59A1"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02845EA9" w14:textId="77777777" w:rsidTr="001B330E">
        <w:trPr>
          <w:trHeight w:val="23"/>
        </w:trPr>
        <w:tc>
          <w:tcPr>
            <w:tcW w:w="1496" w:type="pct"/>
            <w:shd w:val="clear" w:color="auto" w:fill="auto"/>
            <w:vAlign w:val="bottom"/>
          </w:tcPr>
          <w:p w14:paraId="39BE8A53"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Write-offs</w:t>
            </w:r>
          </w:p>
        </w:tc>
        <w:tc>
          <w:tcPr>
            <w:tcW w:w="472" w:type="pct"/>
            <w:shd w:val="clear" w:color="auto" w:fill="auto"/>
            <w:vAlign w:val="bottom"/>
          </w:tcPr>
          <w:p w14:paraId="5DCD5E21"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2AA0F8DF"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C785787"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2FC2D20D"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vAlign w:val="bottom"/>
          </w:tcPr>
          <w:p w14:paraId="2297FD56"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3BDE815E"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6215C4AB"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7826C5EF"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0F7CCE09" w14:textId="77777777" w:rsidTr="001B330E">
        <w:trPr>
          <w:trHeight w:val="23"/>
        </w:trPr>
        <w:tc>
          <w:tcPr>
            <w:tcW w:w="1496" w:type="pct"/>
            <w:shd w:val="clear" w:color="auto" w:fill="auto"/>
            <w:vAlign w:val="bottom"/>
          </w:tcPr>
          <w:p w14:paraId="2B301E30"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FX and other movements</w:t>
            </w:r>
          </w:p>
        </w:tc>
        <w:tc>
          <w:tcPr>
            <w:tcW w:w="472" w:type="pct"/>
            <w:shd w:val="clear" w:color="auto" w:fill="auto"/>
            <w:vAlign w:val="bottom"/>
          </w:tcPr>
          <w:p w14:paraId="7002D208" w14:textId="77777777" w:rsidR="00E837F2" w:rsidRPr="003B1286"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37406F66"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3DFE6483" w14:textId="77777777" w:rsidR="00E837F2" w:rsidRPr="003B1286"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6362C1DD" w14:textId="77777777" w:rsidR="00E837F2" w:rsidRPr="003B1286" w:rsidRDefault="00E837F2">
            <w:pPr>
              <w:widowControl w:val="0"/>
              <w:pBdr>
                <w:top w:val="nil"/>
                <w:left w:val="nil"/>
                <w:bottom w:val="nil"/>
                <w:right w:val="nil"/>
                <w:between w:val="nil"/>
              </w:pBdr>
              <w:jc w:val="right"/>
              <w:rPr>
                <w:color w:val="000000"/>
                <w:highlight w:val="green"/>
              </w:rPr>
            </w:pPr>
          </w:p>
        </w:tc>
        <w:tc>
          <w:tcPr>
            <w:tcW w:w="484" w:type="pct"/>
            <w:vAlign w:val="bottom"/>
          </w:tcPr>
          <w:p w14:paraId="42D6C208"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43DE840C" w14:textId="77777777" w:rsidR="00E837F2" w:rsidRPr="003B1286" w:rsidRDefault="00E837F2">
            <w:pPr>
              <w:widowControl w:val="0"/>
              <w:pBdr>
                <w:top w:val="nil"/>
                <w:left w:val="nil"/>
                <w:bottom w:val="nil"/>
                <w:right w:val="nil"/>
                <w:between w:val="nil"/>
              </w:pBdr>
              <w:jc w:val="right"/>
              <w:rPr>
                <w:color w:val="000000"/>
                <w:highlight w:val="green"/>
              </w:rPr>
            </w:pPr>
          </w:p>
        </w:tc>
        <w:tc>
          <w:tcPr>
            <w:tcW w:w="476" w:type="pct"/>
            <w:vAlign w:val="bottom"/>
          </w:tcPr>
          <w:p w14:paraId="4A7CA3B7" w14:textId="77777777" w:rsidR="00E837F2" w:rsidRPr="003B1286"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2AA177C7" w14:textId="77777777" w:rsidR="00E837F2" w:rsidRPr="003B1286" w:rsidRDefault="00E837F2">
            <w:pPr>
              <w:widowControl w:val="0"/>
              <w:pBdr>
                <w:top w:val="nil"/>
                <w:left w:val="nil"/>
                <w:bottom w:val="nil"/>
                <w:right w:val="nil"/>
                <w:between w:val="nil"/>
              </w:pBdr>
              <w:jc w:val="right"/>
              <w:rPr>
                <w:color w:val="000000"/>
                <w:highlight w:val="green"/>
              </w:rPr>
            </w:pPr>
          </w:p>
        </w:tc>
      </w:tr>
      <w:tr w:rsidR="00E837F2" w:rsidRPr="003B1286" w14:paraId="67369412" w14:textId="77777777" w:rsidTr="001B330E">
        <w:trPr>
          <w:trHeight w:val="23"/>
        </w:trPr>
        <w:tc>
          <w:tcPr>
            <w:tcW w:w="1496" w:type="pct"/>
            <w:shd w:val="clear" w:color="auto" w:fill="auto"/>
            <w:vAlign w:val="bottom"/>
          </w:tcPr>
          <w:p w14:paraId="41F8E059"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Modification of contractual cash flows</w:t>
            </w:r>
          </w:p>
        </w:tc>
        <w:tc>
          <w:tcPr>
            <w:tcW w:w="472" w:type="pct"/>
            <w:shd w:val="clear" w:color="auto" w:fill="auto"/>
            <w:vAlign w:val="bottom"/>
          </w:tcPr>
          <w:p w14:paraId="03C38F33"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00595B57"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7F11DAD7"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6B0559D3"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762A1F11"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48F6CF4E"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3F7BAE31"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06D652E3"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3547DD52" w14:textId="77777777" w:rsidTr="001B330E">
        <w:trPr>
          <w:trHeight w:val="23"/>
        </w:trPr>
        <w:tc>
          <w:tcPr>
            <w:tcW w:w="1496" w:type="pct"/>
            <w:shd w:val="clear" w:color="auto" w:fill="auto"/>
            <w:vAlign w:val="bottom"/>
          </w:tcPr>
          <w:p w14:paraId="33DB6CED" w14:textId="77777777" w:rsidR="00E837F2" w:rsidRPr="003B1286" w:rsidRDefault="00E837F2" w:rsidP="001B330E">
            <w:pPr>
              <w:widowControl w:val="0"/>
              <w:pBdr>
                <w:top w:val="nil"/>
                <w:left w:val="nil"/>
                <w:bottom w:val="nil"/>
                <w:right w:val="nil"/>
                <w:between w:val="nil"/>
              </w:pBdr>
              <w:ind w:left="113" w:hanging="113"/>
              <w:rPr>
                <w:color w:val="000000"/>
              </w:rPr>
            </w:pPr>
            <w:r w:rsidRPr="003B1286">
              <w:rPr>
                <w:color w:val="000000"/>
              </w:rPr>
              <w:t xml:space="preserve">Unwinding of discount (for </w:t>
            </w:r>
            <w:r w:rsidRPr="003B1286">
              <w:rPr>
                <w:color w:val="000000"/>
              </w:rPr>
              <w:br/>
              <w:t xml:space="preserve">Stage 3) </w:t>
            </w:r>
          </w:p>
        </w:tc>
        <w:tc>
          <w:tcPr>
            <w:tcW w:w="472" w:type="pct"/>
            <w:shd w:val="clear" w:color="auto" w:fill="auto"/>
            <w:vAlign w:val="bottom"/>
          </w:tcPr>
          <w:p w14:paraId="03EE99A4"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388DE60"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64C7F2BF"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65B87C8D"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181A1676"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3BDC6058"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1068E1A5"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22A529F8"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4BB0FBA4" w14:textId="77777777" w:rsidTr="001B330E">
        <w:trPr>
          <w:trHeight w:val="23"/>
        </w:trPr>
        <w:tc>
          <w:tcPr>
            <w:tcW w:w="1496" w:type="pct"/>
            <w:tcBorders>
              <w:bottom w:val="single" w:sz="4" w:space="0" w:color="000000"/>
            </w:tcBorders>
            <w:shd w:val="clear" w:color="auto" w:fill="auto"/>
            <w:vAlign w:val="bottom"/>
          </w:tcPr>
          <w:p w14:paraId="21025E8B" w14:textId="77777777" w:rsidR="00E837F2" w:rsidRPr="003B1286" w:rsidRDefault="00E837F2" w:rsidP="001B330E">
            <w:pPr>
              <w:widowControl w:val="0"/>
              <w:pBdr>
                <w:top w:val="nil"/>
                <w:left w:val="nil"/>
                <w:bottom w:val="nil"/>
                <w:right w:val="nil"/>
                <w:between w:val="nil"/>
              </w:pBdr>
              <w:ind w:left="113" w:hanging="113"/>
              <w:rPr>
                <w:b/>
                <w:color w:val="000000"/>
              </w:rPr>
            </w:pPr>
          </w:p>
        </w:tc>
        <w:tc>
          <w:tcPr>
            <w:tcW w:w="472" w:type="pct"/>
            <w:tcBorders>
              <w:bottom w:val="single" w:sz="4" w:space="0" w:color="000000"/>
            </w:tcBorders>
            <w:shd w:val="clear" w:color="auto" w:fill="auto"/>
            <w:vAlign w:val="bottom"/>
          </w:tcPr>
          <w:p w14:paraId="72F1C678"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4057F0D7"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08BF3CB4"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2B887BA4"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3906A722"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4F469F70"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635F6E97"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5F228E11"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7BA10CA7" w14:textId="77777777" w:rsidTr="001B330E">
        <w:trPr>
          <w:trHeight w:val="23"/>
        </w:trPr>
        <w:tc>
          <w:tcPr>
            <w:tcW w:w="1496" w:type="pct"/>
            <w:tcBorders>
              <w:top w:val="single" w:sz="4" w:space="0" w:color="000000"/>
            </w:tcBorders>
            <w:shd w:val="clear" w:color="auto" w:fill="auto"/>
            <w:vAlign w:val="bottom"/>
          </w:tcPr>
          <w:p w14:paraId="5FB297C5" w14:textId="77777777" w:rsidR="00E837F2" w:rsidRPr="003B1286" w:rsidRDefault="00E837F2" w:rsidP="001B330E">
            <w:pPr>
              <w:widowControl w:val="0"/>
              <w:pBdr>
                <w:top w:val="nil"/>
                <w:left w:val="nil"/>
                <w:bottom w:val="nil"/>
                <w:right w:val="nil"/>
                <w:between w:val="nil"/>
              </w:pBdr>
              <w:ind w:left="113" w:hanging="113"/>
              <w:rPr>
                <w:color w:val="000000"/>
                <w:u w:val="single"/>
              </w:rPr>
            </w:pPr>
          </w:p>
        </w:tc>
        <w:tc>
          <w:tcPr>
            <w:tcW w:w="472" w:type="pct"/>
            <w:tcBorders>
              <w:top w:val="single" w:sz="4" w:space="0" w:color="000000"/>
            </w:tcBorders>
            <w:shd w:val="clear" w:color="auto" w:fill="auto"/>
            <w:vAlign w:val="bottom"/>
          </w:tcPr>
          <w:p w14:paraId="61754E8F"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6C53B6A9"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6293751E"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4E00E653"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387888E7"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0328C65C"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4E4E72FD"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329E3D43"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1C09242A" w14:textId="77777777" w:rsidTr="001B330E">
        <w:trPr>
          <w:trHeight w:val="23"/>
        </w:trPr>
        <w:tc>
          <w:tcPr>
            <w:tcW w:w="1496" w:type="pct"/>
            <w:shd w:val="clear" w:color="auto" w:fill="auto"/>
            <w:vAlign w:val="bottom"/>
          </w:tcPr>
          <w:p w14:paraId="6C6F5049" w14:textId="4B1321C3" w:rsidR="00E837F2" w:rsidRPr="003B1286" w:rsidRDefault="00E837F2" w:rsidP="001B330E">
            <w:pPr>
              <w:widowControl w:val="0"/>
              <w:pBdr>
                <w:top w:val="nil"/>
                <w:left w:val="nil"/>
                <w:bottom w:val="nil"/>
                <w:right w:val="nil"/>
                <w:between w:val="nil"/>
              </w:pBdr>
              <w:ind w:left="113" w:hanging="113"/>
              <w:rPr>
                <w:b/>
                <w:color w:val="000000"/>
              </w:rPr>
            </w:pPr>
            <w:r w:rsidRPr="003B1286">
              <w:rPr>
                <w:b/>
                <w:color w:val="000000"/>
              </w:rPr>
              <w:t>At 31</w:t>
            </w:r>
            <w:r w:rsidR="00181687">
              <w:rPr>
                <w:b/>
                <w:color w:val="000000"/>
              </w:rPr>
              <w:t> December </w:t>
            </w:r>
            <w:r w:rsidR="00541EBC">
              <w:rPr>
                <w:b/>
                <w:color w:val="000000"/>
              </w:rPr>
              <w:t>2023</w:t>
            </w:r>
          </w:p>
        </w:tc>
        <w:tc>
          <w:tcPr>
            <w:tcW w:w="472" w:type="pct"/>
            <w:shd w:val="clear" w:color="auto" w:fill="auto"/>
            <w:vAlign w:val="bottom"/>
          </w:tcPr>
          <w:p w14:paraId="0567F6D6" w14:textId="77777777" w:rsidR="00E837F2" w:rsidRPr="003B1286"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00751C07" w14:textId="77777777" w:rsidR="00E837F2" w:rsidRPr="003B1286"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27C0F96F" w14:textId="77777777" w:rsidR="00E837F2" w:rsidRPr="003B1286"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312DD657" w14:textId="77777777" w:rsidR="00E837F2" w:rsidRPr="003B1286" w:rsidRDefault="00E837F2">
            <w:pPr>
              <w:widowControl w:val="0"/>
              <w:pBdr>
                <w:top w:val="nil"/>
                <w:left w:val="nil"/>
                <w:bottom w:val="nil"/>
                <w:right w:val="nil"/>
                <w:between w:val="nil"/>
              </w:pBdr>
              <w:jc w:val="right"/>
              <w:rPr>
                <w:color w:val="000000"/>
              </w:rPr>
            </w:pPr>
          </w:p>
        </w:tc>
        <w:tc>
          <w:tcPr>
            <w:tcW w:w="484" w:type="pct"/>
            <w:vAlign w:val="bottom"/>
          </w:tcPr>
          <w:p w14:paraId="698A1024"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709A1715" w14:textId="77777777" w:rsidR="00E837F2" w:rsidRPr="003B1286" w:rsidRDefault="00E837F2">
            <w:pPr>
              <w:widowControl w:val="0"/>
              <w:pBdr>
                <w:top w:val="nil"/>
                <w:left w:val="nil"/>
                <w:bottom w:val="nil"/>
                <w:right w:val="nil"/>
                <w:between w:val="nil"/>
              </w:pBdr>
              <w:jc w:val="right"/>
              <w:rPr>
                <w:color w:val="000000"/>
              </w:rPr>
            </w:pPr>
          </w:p>
        </w:tc>
        <w:tc>
          <w:tcPr>
            <w:tcW w:w="476" w:type="pct"/>
            <w:vAlign w:val="bottom"/>
          </w:tcPr>
          <w:p w14:paraId="627470F2" w14:textId="77777777" w:rsidR="00E837F2" w:rsidRPr="003B1286"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281DD88B" w14:textId="77777777" w:rsidR="00E837F2" w:rsidRPr="003B1286" w:rsidRDefault="00E837F2">
            <w:pPr>
              <w:widowControl w:val="0"/>
              <w:pBdr>
                <w:top w:val="nil"/>
                <w:left w:val="nil"/>
                <w:bottom w:val="nil"/>
                <w:right w:val="nil"/>
                <w:between w:val="nil"/>
              </w:pBdr>
              <w:jc w:val="right"/>
              <w:rPr>
                <w:color w:val="000000"/>
              </w:rPr>
            </w:pPr>
          </w:p>
        </w:tc>
      </w:tr>
      <w:tr w:rsidR="00E837F2" w:rsidRPr="003B1286" w14:paraId="57592C7C" w14:textId="77777777" w:rsidTr="001B330E">
        <w:trPr>
          <w:trHeight w:val="23"/>
        </w:trPr>
        <w:tc>
          <w:tcPr>
            <w:tcW w:w="1496" w:type="pct"/>
            <w:tcBorders>
              <w:bottom w:val="single" w:sz="12" w:space="0" w:color="000000"/>
            </w:tcBorders>
            <w:shd w:val="clear" w:color="auto" w:fill="auto"/>
            <w:vAlign w:val="bottom"/>
          </w:tcPr>
          <w:p w14:paraId="25BD26AB" w14:textId="77777777" w:rsidR="00E837F2" w:rsidRPr="003B1286" w:rsidRDefault="00E837F2" w:rsidP="001B330E">
            <w:pPr>
              <w:widowControl w:val="0"/>
              <w:pBdr>
                <w:top w:val="nil"/>
                <w:left w:val="nil"/>
                <w:bottom w:val="nil"/>
                <w:right w:val="nil"/>
                <w:between w:val="nil"/>
              </w:pBdr>
              <w:ind w:left="113" w:hanging="113"/>
              <w:rPr>
                <w:b/>
                <w:color w:val="000000"/>
              </w:rPr>
            </w:pPr>
          </w:p>
        </w:tc>
        <w:tc>
          <w:tcPr>
            <w:tcW w:w="472" w:type="pct"/>
            <w:tcBorders>
              <w:bottom w:val="single" w:sz="12" w:space="0" w:color="000000"/>
            </w:tcBorders>
            <w:shd w:val="clear" w:color="auto" w:fill="auto"/>
            <w:vAlign w:val="bottom"/>
          </w:tcPr>
          <w:p w14:paraId="64812591" w14:textId="77777777" w:rsidR="00E837F2" w:rsidRPr="003B1286" w:rsidRDefault="00E837F2">
            <w:pPr>
              <w:widowControl w:val="0"/>
              <w:pBdr>
                <w:top w:val="nil"/>
                <w:left w:val="nil"/>
                <w:bottom w:val="nil"/>
                <w:right w:val="nil"/>
                <w:between w:val="nil"/>
              </w:pBdr>
              <w:jc w:val="right"/>
              <w:rPr>
                <w:color w:val="000000"/>
              </w:rPr>
            </w:pPr>
          </w:p>
        </w:tc>
        <w:tc>
          <w:tcPr>
            <w:tcW w:w="487" w:type="pct"/>
            <w:tcBorders>
              <w:bottom w:val="single" w:sz="12" w:space="0" w:color="000000"/>
            </w:tcBorders>
            <w:shd w:val="clear" w:color="auto" w:fill="auto"/>
            <w:vAlign w:val="bottom"/>
          </w:tcPr>
          <w:p w14:paraId="498B1566"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shd w:val="clear" w:color="auto" w:fill="auto"/>
            <w:vAlign w:val="bottom"/>
          </w:tcPr>
          <w:p w14:paraId="77C0CF34" w14:textId="77777777" w:rsidR="00E837F2" w:rsidRPr="003B1286" w:rsidRDefault="00E837F2">
            <w:pPr>
              <w:widowControl w:val="0"/>
              <w:pBdr>
                <w:top w:val="nil"/>
                <w:left w:val="nil"/>
                <w:bottom w:val="nil"/>
                <w:right w:val="nil"/>
                <w:between w:val="nil"/>
              </w:pBdr>
              <w:jc w:val="right"/>
              <w:rPr>
                <w:color w:val="000000"/>
              </w:rPr>
            </w:pPr>
          </w:p>
        </w:tc>
        <w:tc>
          <w:tcPr>
            <w:tcW w:w="317" w:type="pct"/>
            <w:tcBorders>
              <w:bottom w:val="single" w:sz="12" w:space="0" w:color="000000"/>
            </w:tcBorders>
            <w:shd w:val="clear" w:color="auto" w:fill="auto"/>
            <w:vAlign w:val="bottom"/>
          </w:tcPr>
          <w:p w14:paraId="3ADA0656" w14:textId="77777777" w:rsidR="00E837F2" w:rsidRPr="003B1286" w:rsidRDefault="00E837F2">
            <w:pPr>
              <w:widowControl w:val="0"/>
              <w:pBdr>
                <w:top w:val="nil"/>
                <w:left w:val="nil"/>
                <w:bottom w:val="nil"/>
                <w:right w:val="nil"/>
                <w:between w:val="nil"/>
              </w:pBdr>
              <w:jc w:val="right"/>
              <w:rPr>
                <w:color w:val="000000"/>
              </w:rPr>
            </w:pPr>
          </w:p>
        </w:tc>
        <w:tc>
          <w:tcPr>
            <w:tcW w:w="484" w:type="pct"/>
            <w:tcBorders>
              <w:bottom w:val="single" w:sz="12" w:space="0" w:color="000000"/>
            </w:tcBorders>
          </w:tcPr>
          <w:p w14:paraId="69C1258F"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31CAD244" w14:textId="77777777" w:rsidR="00E837F2" w:rsidRPr="003B1286"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4CF14315" w14:textId="77777777" w:rsidR="00E837F2" w:rsidRPr="003B1286" w:rsidRDefault="00E837F2">
            <w:pPr>
              <w:widowControl w:val="0"/>
              <w:pBdr>
                <w:top w:val="nil"/>
                <w:left w:val="nil"/>
                <w:bottom w:val="nil"/>
                <w:right w:val="nil"/>
                <w:between w:val="nil"/>
              </w:pBdr>
              <w:jc w:val="right"/>
              <w:rPr>
                <w:color w:val="000000"/>
              </w:rPr>
            </w:pPr>
          </w:p>
        </w:tc>
        <w:tc>
          <w:tcPr>
            <w:tcW w:w="316" w:type="pct"/>
            <w:tcBorders>
              <w:bottom w:val="single" w:sz="12" w:space="0" w:color="000000"/>
            </w:tcBorders>
            <w:shd w:val="clear" w:color="auto" w:fill="auto"/>
            <w:vAlign w:val="bottom"/>
          </w:tcPr>
          <w:p w14:paraId="5EA7684D" w14:textId="77777777" w:rsidR="00E837F2" w:rsidRPr="003B1286" w:rsidRDefault="00E837F2">
            <w:pPr>
              <w:widowControl w:val="0"/>
              <w:pBdr>
                <w:top w:val="nil"/>
                <w:left w:val="nil"/>
                <w:bottom w:val="nil"/>
                <w:right w:val="nil"/>
                <w:between w:val="nil"/>
              </w:pBdr>
              <w:jc w:val="right"/>
              <w:rPr>
                <w:color w:val="000000"/>
              </w:rPr>
            </w:pPr>
          </w:p>
        </w:tc>
      </w:tr>
    </w:tbl>
    <w:p w14:paraId="595B68DB" w14:textId="753A5134"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[If the Group has POCI financial instruments, the Group should disclose the changes in the credit loss allowance between the beginning and the end of the reporting period for such instruments and explain the changes in the gross carrying amount that contributed to the change in credit loss allowance. For example, it can be achieved by adding column “POCI” in the table above.]</w:t>
      </w:r>
    </w:p>
    <w:p w14:paraId="7E93825F" w14:textId="4FD1783E" w:rsidR="00D83E33" w:rsidRDefault="00BC4072" w:rsidP="001B330E">
      <w:pPr>
        <w:pStyle w:val="Continued"/>
      </w:pPr>
      <w:r>
        <w:lastRenderedPageBreak/>
        <w:t>12</w:t>
      </w:r>
      <w:r>
        <w:tab/>
        <w:t>Repurchase Receivables (Continued)</w:t>
      </w:r>
    </w:p>
    <w:p w14:paraId="7BFD6481" w14:textId="07DAFA33"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Securities at FVTPL classified as repurchase receivables were provided as collateral under sale and repurchase agreements and the Group, therefore, has an additional credit risk exposure relating to the repurchase of the securities. The counterparty bank belongs to </w:t>
      </w:r>
      <w:r>
        <w:rPr>
          <w:color w:val="0000FF"/>
          <w:sz w:val="20"/>
          <w:szCs w:val="20"/>
        </w:rPr>
        <w:t>[the top 20]</w:t>
      </w:r>
      <w:r>
        <w:rPr>
          <w:color w:val="000000"/>
          <w:sz w:val="20"/>
          <w:szCs w:val="20"/>
        </w:rPr>
        <w:t xml:space="preserve"> banks operating in </w:t>
      </w:r>
      <w:r w:rsidR="00194FBA">
        <w:rPr>
          <w:color w:val="000000"/>
          <w:sz w:val="20"/>
          <w:szCs w:val="20"/>
        </w:rPr>
        <w:t>the Eurozone</w:t>
      </w:r>
      <w:r>
        <w:rPr>
          <w:color w:val="000000"/>
          <w:sz w:val="20"/>
          <w:szCs w:val="20"/>
        </w:rPr>
        <w:t xml:space="preserve"> with rating _____ by </w:t>
      </w:r>
      <w:r>
        <w:rPr>
          <w:color w:val="0000FF"/>
          <w:sz w:val="20"/>
          <w:szCs w:val="20"/>
        </w:rPr>
        <w:t>[Standard &amp; Poor’s / Moody’s]</w:t>
      </w:r>
      <w:r>
        <w:rPr>
          <w:color w:val="000000"/>
          <w:sz w:val="20"/>
          <w:szCs w:val="20"/>
        </w:rPr>
        <w:t xml:space="preserve">. </w:t>
      </w:r>
    </w:p>
    <w:p w14:paraId="43059B94" w14:textId="6AD61CDA"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carrying amount of financial assets that the Group reclassified as repurchase receivables during </w:t>
      </w:r>
      <w:r w:rsidR="00541EBC">
        <w:rPr>
          <w:color w:val="000000"/>
          <w:sz w:val="20"/>
          <w:szCs w:val="20"/>
        </w:rPr>
        <w:t>2024</w:t>
      </w:r>
      <w:r>
        <w:rPr>
          <w:color w:val="000000"/>
          <w:sz w:val="20"/>
          <w:szCs w:val="20"/>
        </w:rPr>
        <w:t xml:space="preserve"> was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w:t>
      </w:r>
    </w:p>
    <w:p w14:paraId="492E5A33"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49 for the disclosure of the fair value of each class of repurchase receivables. Securities at FVTPL and securities at FVOCI reclassified to repurchase receivables continue to be carried at fair value in accordance with accounting policies for these categories of assets.</w:t>
      </w:r>
    </w:p>
    <w:p w14:paraId="124743C7" w14:textId="77777777" w:rsidR="00D83E33" w:rsidRDefault="00BC4072">
      <w:pPr>
        <w:widowControl w:val="0"/>
        <w:pBdr>
          <w:top w:val="nil"/>
          <w:left w:val="nil"/>
          <w:bottom w:val="nil"/>
          <w:right w:val="nil"/>
          <w:between w:val="nil"/>
        </w:pBdr>
        <w:spacing w:before="200" w:after="200"/>
        <w:jc w:val="both"/>
        <w:rPr>
          <w:color w:val="000000"/>
          <w:sz w:val="20"/>
          <w:szCs w:val="20"/>
        </w:rPr>
      </w:pPr>
      <w:bookmarkStart w:id="34" w:name="_heading=h.4i7ojhp" w:colFirst="0" w:colLast="0"/>
      <w:bookmarkEnd w:id="34"/>
      <w:r>
        <w:rPr>
          <w:color w:val="000000"/>
          <w:sz w:val="20"/>
          <w:szCs w:val="20"/>
        </w:rPr>
        <w:t>Interest rate analysis of securities classified as repurchase receivables is disclosed in Note 41. Information on related party debt securities is disclosed in Note 51.</w:t>
      </w:r>
    </w:p>
    <w:p w14:paraId="52FFD653" w14:textId="77777777" w:rsidR="00D83E33" w:rsidRDefault="00BC4072" w:rsidP="001B330E">
      <w:pPr>
        <w:pStyle w:val="Heading1"/>
      </w:pPr>
      <w:bookmarkStart w:id="35" w:name="_Toc179196015"/>
      <w:r w:rsidRPr="006C5889">
        <w:t>Investment</w:t>
      </w:r>
      <w:r>
        <w:t xml:space="preserve"> Properties</w:t>
      </w:r>
      <w:bookmarkEnd w:id="35"/>
    </w:p>
    <w:tbl>
      <w:tblPr>
        <w:tblStyle w:val="affffffff8"/>
        <w:tblW w:w="5000" w:type="pct"/>
        <w:tblLayout w:type="fixed"/>
        <w:tblLook w:val="0000" w:firstRow="0" w:lastRow="0" w:firstColumn="0" w:lastColumn="0" w:noHBand="0" w:noVBand="0"/>
      </w:tblPr>
      <w:tblGrid>
        <w:gridCol w:w="5728"/>
        <w:gridCol w:w="567"/>
        <w:gridCol w:w="1530"/>
        <w:gridCol w:w="1530"/>
      </w:tblGrid>
      <w:tr w:rsidR="00D83E33" w:rsidRPr="00E837F2" w14:paraId="5AED493F" w14:textId="77777777" w:rsidTr="001B330E">
        <w:trPr>
          <w:trHeight w:val="23"/>
        </w:trPr>
        <w:tc>
          <w:tcPr>
            <w:tcW w:w="3061" w:type="pct"/>
            <w:tcBorders>
              <w:bottom w:val="single" w:sz="4" w:space="0" w:color="000000"/>
            </w:tcBorders>
            <w:vAlign w:val="bottom"/>
          </w:tcPr>
          <w:p w14:paraId="3BCE0E5C" w14:textId="124CBBDF"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03" w:type="pct"/>
            <w:tcBorders>
              <w:bottom w:val="single" w:sz="4" w:space="0" w:color="000000"/>
            </w:tcBorders>
            <w:vAlign w:val="bottom"/>
          </w:tcPr>
          <w:p w14:paraId="6B09C1F3" w14:textId="77777777" w:rsidR="00D83E33" w:rsidRPr="00E837F2" w:rsidRDefault="00D83E33">
            <w:pPr>
              <w:widowControl w:val="0"/>
              <w:jc w:val="center"/>
              <w:rPr>
                <w:b/>
              </w:rPr>
            </w:pPr>
          </w:p>
        </w:tc>
        <w:tc>
          <w:tcPr>
            <w:tcW w:w="818" w:type="pct"/>
            <w:tcBorders>
              <w:bottom w:val="single" w:sz="4" w:space="0" w:color="000000"/>
            </w:tcBorders>
            <w:vAlign w:val="bottom"/>
          </w:tcPr>
          <w:p w14:paraId="70628202" w14:textId="331DC5A4" w:rsidR="00D83E33" w:rsidRPr="00E837F2"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0E2274F3" w14:textId="1833F461" w:rsidR="00D83E33" w:rsidRPr="00E837F2" w:rsidRDefault="00541EBC">
            <w:pPr>
              <w:widowControl w:val="0"/>
              <w:pBdr>
                <w:top w:val="nil"/>
                <w:left w:val="nil"/>
                <w:bottom w:val="nil"/>
                <w:right w:val="nil"/>
                <w:between w:val="nil"/>
              </w:pBdr>
              <w:jc w:val="right"/>
              <w:rPr>
                <w:b/>
                <w:color w:val="000000"/>
              </w:rPr>
            </w:pPr>
            <w:r>
              <w:rPr>
                <w:b/>
                <w:color w:val="000000"/>
              </w:rPr>
              <w:t>2023</w:t>
            </w:r>
          </w:p>
        </w:tc>
      </w:tr>
      <w:tr w:rsidR="00D83E33" w:rsidRPr="00E837F2" w14:paraId="416BB353" w14:textId="77777777" w:rsidTr="001B330E">
        <w:trPr>
          <w:trHeight w:val="23"/>
        </w:trPr>
        <w:tc>
          <w:tcPr>
            <w:tcW w:w="3061" w:type="pct"/>
            <w:tcBorders>
              <w:top w:val="single" w:sz="4" w:space="0" w:color="000000"/>
            </w:tcBorders>
            <w:vAlign w:val="bottom"/>
          </w:tcPr>
          <w:p w14:paraId="5C1FCDDA" w14:textId="77777777" w:rsidR="00D83E33" w:rsidRPr="00E837F2" w:rsidRDefault="00BC4072" w:rsidP="001B330E">
            <w:pPr>
              <w:widowControl w:val="0"/>
              <w:ind w:left="113" w:hanging="113"/>
            </w:pPr>
            <w:r w:rsidRPr="00E837F2">
              <w:t> </w:t>
            </w:r>
          </w:p>
        </w:tc>
        <w:tc>
          <w:tcPr>
            <w:tcW w:w="303" w:type="pct"/>
            <w:tcBorders>
              <w:top w:val="single" w:sz="4" w:space="0" w:color="000000"/>
            </w:tcBorders>
            <w:vAlign w:val="bottom"/>
          </w:tcPr>
          <w:p w14:paraId="4B29077A" w14:textId="77777777" w:rsidR="00D83E33" w:rsidRPr="00E837F2" w:rsidRDefault="00D83E33">
            <w:pPr>
              <w:widowControl w:val="0"/>
              <w:jc w:val="center"/>
              <w:rPr>
                <w:b/>
              </w:rPr>
            </w:pPr>
          </w:p>
        </w:tc>
        <w:tc>
          <w:tcPr>
            <w:tcW w:w="818" w:type="pct"/>
            <w:tcBorders>
              <w:top w:val="single" w:sz="4" w:space="0" w:color="000000"/>
            </w:tcBorders>
            <w:vAlign w:val="bottom"/>
          </w:tcPr>
          <w:p w14:paraId="0010A0A7" w14:textId="77777777" w:rsidR="00D83E33" w:rsidRPr="00E837F2"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18EFC52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6327990" w14:textId="77777777" w:rsidTr="001B330E">
        <w:trPr>
          <w:trHeight w:val="23"/>
        </w:trPr>
        <w:tc>
          <w:tcPr>
            <w:tcW w:w="3061" w:type="pct"/>
            <w:vAlign w:val="bottom"/>
          </w:tcPr>
          <w:p w14:paraId="5BCB6131"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Investment properties at fair value at 1 January</w:t>
            </w:r>
          </w:p>
        </w:tc>
        <w:tc>
          <w:tcPr>
            <w:tcW w:w="303" w:type="pct"/>
            <w:vAlign w:val="bottom"/>
          </w:tcPr>
          <w:p w14:paraId="245C8DF6" w14:textId="77777777" w:rsidR="00D83E33" w:rsidRPr="00E837F2" w:rsidRDefault="00D83E33">
            <w:pPr>
              <w:widowControl w:val="0"/>
              <w:pBdr>
                <w:top w:val="nil"/>
                <w:left w:val="nil"/>
                <w:bottom w:val="nil"/>
                <w:right w:val="nil"/>
                <w:between w:val="nil"/>
              </w:pBdr>
              <w:jc w:val="center"/>
              <w:rPr>
                <w:b/>
                <w:color w:val="000000"/>
              </w:rPr>
            </w:pPr>
          </w:p>
        </w:tc>
        <w:tc>
          <w:tcPr>
            <w:tcW w:w="818" w:type="pct"/>
            <w:vAlign w:val="bottom"/>
          </w:tcPr>
          <w:p w14:paraId="0DBEE532" w14:textId="77777777" w:rsidR="00D83E33" w:rsidRPr="00E837F2" w:rsidRDefault="00D83E33">
            <w:pPr>
              <w:widowControl w:val="0"/>
              <w:pBdr>
                <w:top w:val="nil"/>
                <w:left w:val="nil"/>
                <w:bottom w:val="nil"/>
                <w:right w:val="nil"/>
                <w:between w:val="nil"/>
              </w:pBdr>
              <w:jc w:val="right"/>
              <w:rPr>
                <w:b/>
                <w:color w:val="000000"/>
              </w:rPr>
            </w:pPr>
          </w:p>
        </w:tc>
        <w:tc>
          <w:tcPr>
            <w:tcW w:w="818" w:type="pct"/>
            <w:vAlign w:val="bottom"/>
          </w:tcPr>
          <w:p w14:paraId="6F6B65EF"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717E7FAA" w14:textId="77777777" w:rsidTr="001B330E">
        <w:trPr>
          <w:trHeight w:val="23"/>
        </w:trPr>
        <w:tc>
          <w:tcPr>
            <w:tcW w:w="3061" w:type="pct"/>
            <w:vAlign w:val="bottom"/>
          </w:tcPr>
          <w:p w14:paraId="596E46F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303" w:type="pct"/>
            <w:vAlign w:val="bottom"/>
          </w:tcPr>
          <w:p w14:paraId="76A5D177" w14:textId="77777777" w:rsidR="00D83E33" w:rsidRPr="00E837F2" w:rsidRDefault="00D83E33">
            <w:pPr>
              <w:widowControl w:val="0"/>
              <w:pBdr>
                <w:top w:val="nil"/>
                <w:left w:val="nil"/>
                <w:bottom w:val="nil"/>
                <w:right w:val="nil"/>
                <w:between w:val="nil"/>
              </w:pBdr>
              <w:jc w:val="center"/>
              <w:rPr>
                <w:b/>
                <w:color w:val="000000"/>
              </w:rPr>
            </w:pPr>
          </w:p>
        </w:tc>
        <w:tc>
          <w:tcPr>
            <w:tcW w:w="818" w:type="pct"/>
            <w:vAlign w:val="bottom"/>
          </w:tcPr>
          <w:p w14:paraId="5261AA9B"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07DAD73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6636411" w14:textId="77777777" w:rsidTr="001B330E">
        <w:trPr>
          <w:trHeight w:val="23"/>
        </w:trPr>
        <w:tc>
          <w:tcPr>
            <w:tcW w:w="3061" w:type="pct"/>
            <w:vAlign w:val="bottom"/>
          </w:tcPr>
          <w:p w14:paraId="1CF4892E"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Additions</w:t>
            </w:r>
          </w:p>
        </w:tc>
        <w:tc>
          <w:tcPr>
            <w:tcW w:w="303" w:type="pct"/>
            <w:vAlign w:val="bottom"/>
          </w:tcPr>
          <w:p w14:paraId="6C3F7D41" w14:textId="77777777" w:rsidR="00D83E33" w:rsidRPr="00E837F2" w:rsidRDefault="00D83E33">
            <w:pPr>
              <w:widowControl w:val="0"/>
              <w:pBdr>
                <w:top w:val="nil"/>
                <w:left w:val="nil"/>
                <w:bottom w:val="nil"/>
                <w:right w:val="nil"/>
                <w:between w:val="nil"/>
              </w:pBdr>
              <w:jc w:val="center"/>
              <w:rPr>
                <w:b/>
                <w:color w:val="000000"/>
              </w:rPr>
            </w:pPr>
          </w:p>
        </w:tc>
        <w:tc>
          <w:tcPr>
            <w:tcW w:w="818" w:type="pct"/>
            <w:vAlign w:val="bottom"/>
          </w:tcPr>
          <w:p w14:paraId="5AB514C2"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6FEA30E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CF04020" w14:textId="77777777" w:rsidTr="001B330E">
        <w:trPr>
          <w:trHeight w:val="23"/>
        </w:trPr>
        <w:tc>
          <w:tcPr>
            <w:tcW w:w="3061" w:type="pct"/>
            <w:vAlign w:val="bottom"/>
          </w:tcPr>
          <w:p w14:paraId="2E0298C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Expenditure on technical enhancements </w:t>
            </w:r>
          </w:p>
        </w:tc>
        <w:tc>
          <w:tcPr>
            <w:tcW w:w="303" w:type="pct"/>
            <w:vAlign w:val="bottom"/>
          </w:tcPr>
          <w:p w14:paraId="34AAB68C" w14:textId="77777777" w:rsidR="00D83E33" w:rsidRPr="00E837F2" w:rsidRDefault="00D83E33">
            <w:pPr>
              <w:widowControl w:val="0"/>
              <w:pBdr>
                <w:top w:val="nil"/>
                <w:left w:val="nil"/>
                <w:bottom w:val="nil"/>
                <w:right w:val="nil"/>
                <w:between w:val="nil"/>
              </w:pBdr>
              <w:jc w:val="center"/>
              <w:rPr>
                <w:color w:val="000000"/>
              </w:rPr>
            </w:pPr>
          </w:p>
        </w:tc>
        <w:tc>
          <w:tcPr>
            <w:tcW w:w="818" w:type="pct"/>
            <w:vAlign w:val="bottom"/>
          </w:tcPr>
          <w:p w14:paraId="1429E690"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267EE3A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E738606" w14:textId="77777777" w:rsidTr="001B330E">
        <w:trPr>
          <w:trHeight w:val="23"/>
        </w:trPr>
        <w:tc>
          <w:tcPr>
            <w:tcW w:w="3061" w:type="pct"/>
            <w:vAlign w:val="bottom"/>
          </w:tcPr>
          <w:p w14:paraId="57D9103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Additions through business combinations</w:t>
            </w:r>
          </w:p>
        </w:tc>
        <w:tc>
          <w:tcPr>
            <w:tcW w:w="303" w:type="pct"/>
            <w:vAlign w:val="bottom"/>
          </w:tcPr>
          <w:p w14:paraId="3D512E35" w14:textId="77777777" w:rsidR="00D83E33" w:rsidRPr="00E837F2" w:rsidRDefault="00BC4072">
            <w:pPr>
              <w:widowControl w:val="0"/>
              <w:pBdr>
                <w:top w:val="nil"/>
                <w:left w:val="nil"/>
                <w:bottom w:val="nil"/>
                <w:right w:val="nil"/>
                <w:between w:val="nil"/>
              </w:pBdr>
              <w:jc w:val="center"/>
              <w:rPr>
                <w:color w:val="000000"/>
              </w:rPr>
            </w:pPr>
            <w:r w:rsidRPr="00E837F2">
              <w:rPr>
                <w:color w:val="000000"/>
              </w:rPr>
              <w:t>52</w:t>
            </w:r>
          </w:p>
        </w:tc>
        <w:tc>
          <w:tcPr>
            <w:tcW w:w="818" w:type="pct"/>
            <w:vAlign w:val="bottom"/>
          </w:tcPr>
          <w:p w14:paraId="6E66819D"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6D87667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DF05150" w14:textId="77777777" w:rsidTr="001B330E">
        <w:trPr>
          <w:trHeight w:val="23"/>
        </w:trPr>
        <w:tc>
          <w:tcPr>
            <w:tcW w:w="3061" w:type="pct"/>
            <w:vAlign w:val="bottom"/>
          </w:tcPr>
          <w:p w14:paraId="30E9926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Transfer to non-current assets held for sale (or disposal groups)</w:t>
            </w:r>
          </w:p>
        </w:tc>
        <w:tc>
          <w:tcPr>
            <w:tcW w:w="303" w:type="pct"/>
            <w:vAlign w:val="bottom"/>
          </w:tcPr>
          <w:p w14:paraId="0BA388B7" w14:textId="77777777" w:rsidR="00D83E33" w:rsidRPr="00E837F2" w:rsidRDefault="00BC4072">
            <w:pPr>
              <w:widowControl w:val="0"/>
              <w:pBdr>
                <w:top w:val="nil"/>
                <w:left w:val="nil"/>
                <w:bottom w:val="nil"/>
                <w:right w:val="nil"/>
                <w:between w:val="nil"/>
              </w:pBdr>
              <w:jc w:val="center"/>
              <w:rPr>
                <w:color w:val="000000"/>
              </w:rPr>
            </w:pPr>
            <w:r w:rsidRPr="00E837F2">
              <w:rPr>
                <w:color w:val="000000"/>
              </w:rPr>
              <w:t>20</w:t>
            </w:r>
          </w:p>
        </w:tc>
        <w:tc>
          <w:tcPr>
            <w:tcW w:w="818" w:type="pct"/>
            <w:vAlign w:val="bottom"/>
          </w:tcPr>
          <w:p w14:paraId="1BC08689"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43F5F62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00619F7" w14:textId="77777777" w:rsidTr="001B330E">
        <w:trPr>
          <w:trHeight w:val="23"/>
        </w:trPr>
        <w:tc>
          <w:tcPr>
            <w:tcW w:w="3061" w:type="pct"/>
            <w:vAlign w:val="bottom"/>
          </w:tcPr>
          <w:p w14:paraId="176C578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Disposals</w:t>
            </w:r>
          </w:p>
        </w:tc>
        <w:tc>
          <w:tcPr>
            <w:tcW w:w="303" w:type="pct"/>
            <w:vAlign w:val="bottom"/>
          </w:tcPr>
          <w:p w14:paraId="3266E4B5" w14:textId="77777777" w:rsidR="00D83E33" w:rsidRPr="00E837F2" w:rsidRDefault="00D83E33">
            <w:pPr>
              <w:widowControl w:val="0"/>
              <w:pBdr>
                <w:top w:val="nil"/>
                <w:left w:val="nil"/>
                <w:bottom w:val="nil"/>
                <w:right w:val="nil"/>
                <w:between w:val="nil"/>
              </w:pBdr>
              <w:jc w:val="center"/>
              <w:rPr>
                <w:color w:val="000000"/>
              </w:rPr>
            </w:pPr>
          </w:p>
        </w:tc>
        <w:tc>
          <w:tcPr>
            <w:tcW w:w="818" w:type="pct"/>
            <w:vAlign w:val="bottom"/>
          </w:tcPr>
          <w:p w14:paraId="3060C79A"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0BD61C3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EB35311" w14:textId="77777777" w:rsidTr="001B330E">
        <w:trPr>
          <w:trHeight w:val="23"/>
        </w:trPr>
        <w:tc>
          <w:tcPr>
            <w:tcW w:w="3061" w:type="pct"/>
            <w:vAlign w:val="bottom"/>
          </w:tcPr>
          <w:p w14:paraId="751EEF5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Transfer to owner-occupied premises </w:t>
            </w:r>
          </w:p>
        </w:tc>
        <w:tc>
          <w:tcPr>
            <w:tcW w:w="303" w:type="pct"/>
            <w:vAlign w:val="bottom"/>
          </w:tcPr>
          <w:p w14:paraId="3ED10246" w14:textId="77777777" w:rsidR="00D83E33" w:rsidRPr="00E837F2" w:rsidRDefault="00BC4072">
            <w:pPr>
              <w:widowControl w:val="0"/>
              <w:pBdr>
                <w:top w:val="nil"/>
                <w:left w:val="nil"/>
                <w:bottom w:val="nil"/>
                <w:right w:val="nil"/>
                <w:between w:val="nil"/>
              </w:pBdr>
              <w:jc w:val="center"/>
              <w:rPr>
                <w:color w:val="000000"/>
              </w:rPr>
            </w:pPr>
            <w:r w:rsidRPr="00E837F2">
              <w:rPr>
                <w:color w:val="000000"/>
              </w:rPr>
              <w:t>15</w:t>
            </w:r>
          </w:p>
        </w:tc>
        <w:tc>
          <w:tcPr>
            <w:tcW w:w="818" w:type="pct"/>
            <w:vAlign w:val="bottom"/>
          </w:tcPr>
          <w:p w14:paraId="73510248"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05D16F9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FF85041" w14:textId="77777777" w:rsidTr="001B330E">
        <w:trPr>
          <w:trHeight w:val="23"/>
        </w:trPr>
        <w:tc>
          <w:tcPr>
            <w:tcW w:w="3061" w:type="pct"/>
            <w:vAlign w:val="bottom"/>
          </w:tcPr>
          <w:p w14:paraId="5086912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Transfer from owner-occupied premises </w:t>
            </w:r>
          </w:p>
        </w:tc>
        <w:tc>
          <w:tcPr>
            <w:tcW w:w="303" w:type="pct"/>
            <w:vAlign w:val="bottom"/>
          </w:tcPr>
          <w:p w14:paraId="557ABD03" w14:textId="77777777" w:rsidR="00D83E33" w:rsidRPr="00E837F2" w:rsidRDefault="00BC4072">
            <w:pPr>
              <w:widowControl w:val="0"/>
              <w:pBdr>
                <w:top w:val="nil"/>
                <w:left w:val="nil"/>
                <w:bottom w:val="nil"/>
                <w:right w:val="nil"/>
                <w:between w:val="nil"/>
              </w:pBdr>
              <w:jc w:val="center"/>
              <w:rPr>
                <w:color w:val="000000"/>
              </w:rPr>
            </w:pPr>
            <w:r w:rsidRPr="00E837F2">
              <w:rPr>
                <w:color w:val="000000"/>
              </w:rPr>
              <w:t>15</w:t>
            </w:r>
          </w:p>
        </w:tc>
        <w:tc>
          <w:tcPr>
            <w:tcW w:w="818" w:type="pct"/>
            <w:vAlign w:val="bottom"/>
          </w:tcPr>
          <w:p w14:paraId="60B1F900"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26AA57D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13CCDFB" w14:textId="77777777" w:rsidTr="001B330E">
        <w:trPr>
          <w:trHeight w:val="23"/>
        </w:trPr>
        <w:tc>
          <w:tcPr>
            <w:tcW w:w="3061" w:type="pct"/>
            <w:vAlign w:val="bottom"/>
          </w:tcPr>
          <w:p w14:paraId="242BD19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Transfer to other assets</w:t>
            </w:r>
          </w:p>
        </w:tc>
        <w:tc>
          <w:tcPr>
            <w:tcW w:w="303" w:type="pct"/>
            <w:vAlign w:val="bottom"/>
          </w:tcPr>
          <w:p w14:paraId="40135635" w14:textId="77777777" w:rsidR="00D83E33" w:rsidRPr="00E837F2" w:rsidRDefault="00D83E33">
            <w:pPr>
              <w:widowControl w:val="0"/>
              <w:pBdr>
                <w:top w:val="nil"/>
                <w:left w:val="nil"/>
                <w:bottom w:val="nil"/>
                <w:right w:val="nil"/>
                <w:between w:val="nil"/>
              </w:pBdr>
              <w:jc w:val="center"/>
              <w:rPr>
                <w:color w:val="000000"/>
              </w:rPr>
            </w:pPr>
          </w:p>
        </w:tc>
        <w:tc>
          <w:tcPr>
            <w:tcW w:w="818" w:type="pct"/>
            <w:vAlign w:val="bottom"/>
          </w:tcPr>
          <w:p w14:paraId="40DF0160"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46449CB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0BBC14C" w14:textId="77777777" w:rsidTr="001B330E">
        <w:trPr>
          <w:trHeight w:val="23"/>
        </w:trPr>
        <w:tc>
          <w:tcPr>
            <w:tcW w:w="3061" w:type="pct"/>
            <w:vAlign w:val="bottom"/>
          </w:tcPr>
          <w:p w14:paraId="24B6E43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Fair value gains/(losses)</w:t>
            </w:r>
          </w:p>
        </w:tc>
        <w:tc>
          <w:tcPr>
            <w:tcW w:w="303" w:type="pct"/>
            <w:vAlign w:val="bottom"/>
          </w:tcPr>
          <w:p w14:paraId="175CBC4A" w14:textId="77777777" w:rsidR="00D83E33" w:rsidRPr="00E837F2" w:rsidRDefault="00BC4072">
            <w:pPr>
              <w:widowControl w:val="0"/>
              <w:pBdr>
                <w:top w:val="nil"/>
                <w:left w:val="nil"/>
                <w:bottom w:val="nil"/>
                <w:right w:val="nil"/>
                <w:between w:val="nil"/>
              </w:pBdr>
              <w:jc w:val="center"/>
              <w:rPr>
                <w:color w:val="000000"/>
              </w:rPr>
            </w:pPr>
            <w:r w:rsidRPr="00E837F2">
              <w:rPr>
                <w:color w:val="000000"/>
              </w:rPr>
              <w:t>34</w:t>
            </w:r>
          </w:p>
        </w:tc>
        <w:tc>
          <w:tcPr>
            <w:tcW w:w="818" w:type="pct"/>
            <w:vAlign w:val="bottom"/>
          </w:tcPr>
          <w:p w14:paraId="5BB014DC"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0D1D1BA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30EE491" w14:textId="77777777" w:rsidTr="001B330E">
        <w:trPr>
          <w:trHeight w:val="23"/>
        </w:trPr>
        <w:tc>
          <w:tcPr>
            <w:tcW w:w="3061" w:type="pct"/>
            <w:vAlign w:val="bottom"/>
          </w:tcPr>
          <w:p w14:paraId="2DF3475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Other</w:t>
            </w:r>
          </w:p>
        </w:tc>
        <w:tc>
          <w:tcPr>
            <w:tcW w:w="303" w:type="pct"/>
            <w:vAlign w:val="bottom"/>
          </w:tcPr>
          <w:p w14:paraId="6904C06D" w14:textId="77777777" w:rsidR="00D83E33" w:rsidRPr="00E837F2" w:rsidRDefault="00D83E33">
            <w:pPr>
              <w:widowControl w:val="0"/>
              <w:pBdr>
                <w:top w:val="nil"/>
                <w:left w:val="nil"/>
                <w:bottom w:val="nil"/>
                <w:right w:val="nil"/>
                <w:between w:val="nil"/>
              </w:pBdr>
              <w:jc w:val="center"/>
              <w:rPr>
                <w:color w:val="000000"/>
              </w:rPr>
            </w:pPr>
          </w:p>
        </w:tc>
        <w:tc>
          <w:tcPr>
            <w:tcW w:w="818" w:type="pct"/>
            <w:vAlign w:val="bottom"/>
          </w:tcPr>
          <w:p w14:paraId="7656FE0B"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025CF42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4D08AC0" w14:textId="77777777" w:rsidTr="001B330E">
        <w:trPr>
          <w:trHeight w:val="23"/>
        </w:trPr>
        <w:tc>
          <w:tcPr>
            <w:tcW w:w="3061" w:type="pct"/>
            <w:vAlign w:val="bottom"/>
          </w:tcPr>
          <w:p w14:paraId="2D636034"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FF"/>
              </w:rPr>
              <w:t>[Effect of translation to presentation currency]</w:t>
            </w:r>
          </w:p>
        </w:tc>
        <w:tc>
          <w:tcPr>
            <w:tcW w:w="303" w:type="pct"/>
            <w:vAlign w:val="bottom"/>
          </w:tcPr>
          <w:p w14:paraId="586E66FB" w14:textId="77777777" w:rsidR="00D83E33" w:rsidRPr="00E837F2" w:rsidRDefault="00D83E33">
            <w:pPr>
              <w:widowControl w:val="0"/>
              <w:pBdr>
                <w:top w:val="nil"/>
                <w:left w:val="nil"/>
                <w:bottom w:val="nil"/>
                <w:right w:val="nil"/>
                <w:between w:val="nil"/>
              </w:pBdr>
              <w:jc w:val="center"/>
              <w:rPr>
                <w:color w:val="000000"/>
              </w:rPr>
            </w:pPr>
          </w:p>
        </w:tc>
        <w:tc>
          <w:tcPr>
            <w:tcW w:w="818" w:type="pct"/>
            <w:vAlign w:val="bottom"/>
          </w:tcPr>
          <w:p w14:paraId="1E719EF3"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07EB9C1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25BB297" w14:textId="77777777" w:rsidTr="001B330E">
        <w:trPr>
          <w:trHeight w:val="23"/>
        </w:trPr>
        <w:tc>
          <w:tcPr>
            <w:tcW w:w="3061" w:type="pct"/>
            <w:tcBorders>
              <w:bottom w:val="single" w:sz="4" w:space="0" w:color="000000"/>
            </w:tcBorders>
            <w:vAlign w:val="bottom"/>
          </w:tcPr>
          <w:p w14:paraId="7F67EAD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303" w:type="pct"/>
            <w:tcBorders>
              <w:bottom w:val="single" w:sz="4" w:space="0" w:color="000000"/>
            </w:tcBorders>
            <w:vAlign w:val="bottom"/>
          </w:tcPr>
          <w:p w14:paraId="50AA686B" w14:textId="77777777" w:rsidR="00D83E33" w:rsidRPr="00E837F2" w:rsidRDefault="00D83E33">
            <w:pPr>
              <w:widowControl w:val="0"/>
              <w:jc w:val="center"/>
              <w:rPr>
                <w:b/>
              </w:rPr>
            </w:pPr>
          </w:p>
        </w:tc>
        <w:tc>
          <w:tcPr>
            <w:tcW w:w="818" w:type="pct"/>
            <w:tcBorders>
              <w:bottom w:val="single" w:sz="4" w:space="0" w:color="000000"/>
            </w:tcBorders>
            <w:vAlign w:val="bottom"/>
          </w:tcPr>
          <w:p w14:paraId="3474B101" w14:textId="77777777" w:rsidR="00D83E33" w:rsidRPr="00E837F2"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7BB74EE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0F5ED3F" w14:textId="77777777" w:rsidTr="001B330E">
        <w:trPr>
          <w:trHeight w:val="23"/>
        </w:trPr>
        <w:tc>
          <w:tcPr>
            <w:tcW w:w="3061" w:type="pct"/>
            <w:tcBorders>
              <w:top w:val="single" w:sz="4" w:space="0" w:color="000000"/>
            </w:tcBorders>
            <w:vAlign w:val="bottom"/>
          </w:tcPr>
          <w:p w14:paraId="52DF1243" w14:textId="77777777" w:rsidR="00D83E33" w:rsidRPr="00E837F2" w:rsidRDefault="00BC4072" w:rsidP="001B330E">
            <w:pPr>
              <w:widowControl w:val="0"/>
              <w:ind w:left="113" w:hanging="113"/>
            </w:pPr>
            <w:r w:rsidRPr="00E837F2">
              <w:t> </w:t>
            </w:r>
          </w:p>
        </w:tc>
        <w:tc>
          <w:tcPr>
            <w:tcW w:w="303" w:type="pct"/>
            <w:tcBorders>
              <w:top w:val="single" w:sz="4" w:space="0" w:color="000000"/>
            </w:tcBorders>
            <w:vAlign w:val="bottom"/>
          </w:tcPr>
          <w:p w14:paraId="52CC7226" w14:textId="77777777" w:rsidR="00D83E33" w:rsidRPr="00E837F2" w:rsidRDefault="00D83E33">
            <w:pPr>
              <w:widowControl w:val="0"/>
              <w:jc w:val="center"/>
            </w:pPr>
          </w:p>
        </w:tc>
        <w:tc>
          <w:tcPr>
            <w:tcW w:w="818" w:type="pct"/>
            <w:tcBorders>
              <w:top w:val="single" w:sz="4" w:space="0" w:color="000000"/>
            </w:tcBorders>
            <w:vAlign w:val="bottom"/>
          </w:tcPr>
          <w:p w14:paraId="08440588" w14:textId="77777777" w:rsidR="00D83E33" w:rsidRPr="00E837F2" w:rsidRDefault="00D83E33">
            <w:pPr>
              <w:widowControl w:val="0"/>
              <w:pBdr>
                <w:top w:val="nil"/>
                <w:left w:val="nil"/>
                <w:bottom w:val="nil"/>
                <w:right w:val="nil"/>
                <w:between w:val="nil"/>
              </w:pBdr>
              <w:jc w:val="right"/>
              <w:rPr>
                <w:b/>
                <w:color w:val="000000"/>
              </w:rPr>
            </w:pPr>
          </w:p>
        </w:tc>
        <w:tc>
          <w:tcPr>
            <w:tcW w:w="818" w:type="pct"/>
            <w:tcBorders>
              <w:top w:val="single" w:sz="4" w:space="0" w:color="000000"/>
            </w:tcBorders>
            <w:vAlign w:val="bottom"/>
          </w:tcPr>
          <w:p w14:paraId="3494F132"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68CC72A3" w14:textId="77777777" w:rsidTr="001B330E">
        <w:trPr>
          <w:trHeight w:val="23"/>
        </w:trPr>
        <w:tc>
          <w:tcPr>
            <w:tcW w:w="3061" w:type="pct"/>
            <w:vAlign w:val="bottom"/>
          </w:tcPr>
          <w:p w14:paraId="059B5AD0"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Investment properties at fair value at 31 December</w:t>
            </w:r>
          </w:p>
        </w:tc>
        <w:tc>
          <w:tcPr>
            <w:tcW w:w="303" w:type="pct"/>
            <w:vAlign w:val="bottom"/>
          </w:tcPr>
          <w:p w14:paraId="33F797A2" w14:textId="77777777" w:rsidR="00D83E33" w:rsidRPr="00E837F2" w:rsidRDefault="00D83E33">
            <w:pPr>
              <w:widowControl w:val="0"/>
              <w:jc w:val="center"/>
              <w:rPr>
                <w:b/>
              </w:rPr>
            </w:pPr>
          </w:p>
        </w:tc>
        <w:tc>
          <w:tcPr>
            <w:tcW w:w="818" w:type="pct"/>
            <w:vAlign w:val="bottom"/>
          </w:tcPr>
          <w:p w14:paraId="3C80F2ED" w14:textId="77777777" w:rsidR="00D83E33" w:rsidRPr="00E837F2" w:rsidRDefault="00D83E33">
            <w:pPr>
              <w:widowControl w:val="0"/>
              <w:pBdr>
                <w:top w:val="nil"/>
                <w:left w:val="nil"/>
                <w:bottom w:val="nil"/>
                <w:right w:val="nil"/>
                <w:between w:val="nil"/>
              </w:pBdr>
              <w:jc w:val="right"/>
              <w:rPr>
                <w:b/>
                <w:color w:val="000000"/>
              </w:rPr>
            </w:pPr>
          </w:p>
        </w:tc>
        <w:tc>
          <w:tcPr>
            <w:tcW w:w="818" w:type="pct"/>
            <w:vAlign w:val="bottom"/>
          </w:tcPr>
          <w:p w14:paraId="39F4361B"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018669ED" w14:textId="77777777" w:rsidTr="001B330E">
        <w:trPr>
          <w:trHeight w:val="23"/>
        </w:trPr>
        <w:tc>
          <w:tcPr>
            <w:tcW w:w="3061" w:type="pct"/>
            <w:tcBorders>
              <w:bottom w:val="single" w:sz="12" w:space="0" w:color="000000"/>
            </w:tcBorders>
            <w:vAlign w:val="bottom"/>
          </w:tcPr>
          <w:p w14:paraId="0656C656" w14:textId="77777777" w:rsidR="00D83E33" w:rsidRPr="00E837F2" w:rsidRDefault="00BC4072" w:rsidP="001B330E">
            <w:pPr>
              <w:widowControl w:val="0"/>
              <w:ind w:left="113" w:hanging="113"/>
            </w:pPr>
            <w:r w:rsidRPr="00E837F2">
              <w:t> </w:t>
            </w:r>
          </w:p>
        </w:tc>
        <w:tc>
          <w:tcPr>
            <w:tcW w:w="303" w:type="pct"/>
            <w:tcBorders>
              <w:bottom w:val="single" w:sz="12" w:space="0" w:color="000000"/>
            </w:tcBorders>
            <w:vAlign w:val="bottom"/>
          </w:tcPr>
          <w:p w14:paraId="4A039307" w14:textId="77777777" w:rsidR="00D83E33" w:rsidRPr="00E837F2" w:rsidRDefault="00D83E33">
            <w:pPr>
              <w:widowControl w:val="0"/>
              <w:jc w:val="center"/>
            </w:pPr>
          </w:p>
        </w:tc>
        <w:tc>
          <w:tcPr>
            <w:tcW w:w="818" w:type="pct"/>
            <w:tcBorders>
              <w:bottom w:val="single" w:sz="12" w:space="0" w:color="000000"/>
            </w:tcBorders>
            <w:vAlign w:val="bottom"/>
          </w:tcPr>
          <w:p w14:paraId="062C5FD1" w14:textId="77777777" w:rsidR="00D83E33" w:rsidRPr="00E837F2" w:rsidRDefault="00D83E33">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6F649A75" w14:textId="77777777" w:rsidR="00D83E33" w:rsidRPr="00E837F2" w:rsidRDefault="00D83E33">
            <w:pPr>
              <w:widowControl w:val="0"/>
              <w:pBdr>
                <w:top w:val="nil"/>
                <w:left w:val="nil"/>
                <w:bottom w:val="nil"/>
                <w:right w:val="nil"/>
                <w:between w:val="nil"/>
              </w:pBdr>
              <w:jc w:val="right"/>
              <w:rPr>
                <w:b/>
                <w:color w:val="000000"/>
              </w:rPr>
            </w:pPr>
          </w:p>
        </w:tc>
      </w:tr>
    </w:tbl>
    <w:p w14:paraId="33FD03EA" w14:textId="268B6E1A" w:rsidR="00F56971" w:rsidRDefault="00F56971" w:rsidP="00F56971">
      <w:pPr>
        <w:widowControl w:val="0"/>
        <w:pBdr>
          <w:top w:val="nil"/>
          <w:left w:val="nil"/>
          <w:bottom w:val="nil"/>
          <w:right w:val="nil"/>
          <w:between w:val="nil"/>
        </w:pBdr>
        <w:spacing w:before="200" w:after="200"/>
        <w:jc w:val="both"/>
        <w:rPr>
          <w:color w:val="000000"/>
          <w:sz w:val="20"/>
          <w:szCs w:val="20"/>
        </w:rPr>
      </w:pPr>
      <w:r>
        <w:rPr>
          <w:color w:val="000000"/>
          <w:sz w:val="20"/>
          <w:szCs w:val="20"/>
        </w:rPr>
        <w:t>Investment property is property held by the Group (owned or held as a right-of-use asset under a lease) to earn rental income or for capital appreciation, or both and which is not occupied by the Group. Investment property includes assets under construction for future use as investment property.</w:t>
      </w:r>
    </w:p>
    <w:p w14:paraId="0C8C0645" w14:textId="77777777" w:rsidR="00F56971" w:rsidRDefault="00F56971" w:rsidP="00F56971">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Investment property is initially recognised at cost, including transaction costs, and subsequently remeasured at fair value updated to reflect market conditions at the end of the reporting period. Fair value of investment property is the price that would be received from sale of the asset in an orderly transaction, without deduction of any transaction costs. </w:t>
      </w:r>
    </w:p>
    <w:p w14:paraId="72D94BDF" w14:textId="7014D821" w:rsidR="00F56971" w:rsidRDefault="00F56971" w:rsidP="00F56971">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Fair value of the Group’s investment property is determined based on reports of independent appraisers, who hold a recognised and relevant professional qualification and who have recent experience in valuation of property of similar location and category. </w:t>
      </w:r>
      <w:r>
        <w:rPr>
          <w:i/>
          <w:color w:val="FF0000"/>
          <w:sz w:val="20"/>
          <w:szCs w:val="20"/>
        </w:rPr>
        <w:t>[If valuation is done by the entity’s staff, amend wording accordingly and disclose that professional valuers were not involved – see IAS 40.75(e).]</w:t>
      </w:r>
      <w:r>
        <w:rPr>
          <w:color w:val="000000"/>
          <w:sz w:val="20"/>
          <w:szCs w:val="20"/>
        </w:rPr>
        <w:t xml:space="preserve"> </w:t>
      </w:r>
    </w:p>
    <w:p w14:paraId="15409CCE" w14:textId="07115DD1" w:rsidR="00F56971" w:rsidRDefault="00F56971" w:rsidP="00F56971">
      <w:pPr>
        <w:widowControl w:val="0"/>
        <w:pBdr>
          <w:top w:val="nil"/>
          <w:left w:val="nil"/>
          <w:bottom w:val="nil"/>
          <w:right w:val="nil"/>
          <w:between w:val="nil"/>
        </w:pBdr>
        <w:spacing w:before="200" w:after="200"/>
        <w:jc w:val="both"/>
        <w:rPr>
          <w:color w:val="000000"/>
          <w:sz w:val="20"/>
          <w:szCs w:val="20"/>
        </w:rPr>
      </w:pPr>
      <w:r>
        <w:rPr>
          <w:color w:val="0000FF"/>
          <w:sz w:val="20"/>
          <w:szCs w:val="20"/>
        </w:rPr>
        <w:t>[Investment property represents industrial land and buildings that the Group valued using its expectation to convert them into a residential complex.]</w:t>
      </w:r>
      <w:r>
        <w:rPr>
          <w:color w:val="000000"/>
          <w:sz w:val="20"/>
          <w:szCs w:val="20"/>
        </w:rPr>
        <w:t xml:space="preserve"> </w:t>
      </w:r>
      <w:r>
        <w:rPr>
          <w:i/>
          <w:color w:val="FF0000"/>
          <w:sz w:val="20"/>
          <w:szCs w:val="20"/>
        </w:rPr>
        <w:t>[</w:t>
      </w:r>
      <w:r w:rsidR="00D00E5A">
        <w:rPr>
          <w:i/>
          <w:color w:val="FF0000"/>
          <w:sz w:val="20"/>
          <w:szCs w:val="20"/>
        </w:rPr>
        <w:t>Tailor to d</w:t>
      </w:r>
      <w:r>
        <w:rPr>
          <w:i/>
          <w:color w:val="FF0000"/>
          <w:sz w:val="20"/>
          <w:szCs w:val="20"/>
        </w:rPr>
        <w:t>isclose if highest and best use differs from current use.]</w:t>
      </w:r>
    </w:p>
    <w:p w14:paraId="6ACC48CD" w14:textId="40243784" w:rsidR="00F56971" w:rsidRDefault="00F56971" w:rsidP="00F56971">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Earned rental income is recorded in profit or loss for the year within </w:t>
      </w:r>
      <w:r>
        <w:rPr>
          <w:color w:val="0000FF"/>
          <w:sz w:val="20"/>
          <w:szCs w:val="20"/>
        </w:rPr>
        <w:t>[other operating income]</w:t>
      </w:r>
      <w:r>
        <w:rPr>
          <w:color w:val="000000"/>
          <w:sz w:val="20"/>
          <w:szCs w:val="20"/>
        </w:rPr>
        <w:t xml:space="preserve">. Gains and losses resulting from changes in the fair value of investment property are recorded in profit or loss for the year and presented separately. </w:t>
      </w:r>
      <w:r>
        <w:rPr>
          <w:i/>
          <w:color w:val="FF0000"/>
          <w:sz w:val="20"/>
          <w:szCs w:val="20"/>
        </w:rPr>
        <w:t>[Refer to Appendix D for an extended accounting policy if investment properties are material.]</w:t>
      </w:r>
    </w:p>
    <w:p w14:paraId="22FA84FC" w14:textId="77777777" w:rsidR="00E03694" w:rsidRDefault="00E03694" w:rsidP="00E03694">
      <w:pPr>
        <w:pStyle w:val="Continued"/>
      </w:pPr>
      <w:r>
        <w:lastRenderedPageBreak/>
        <w:t>13</w:t>
      </w:r>
      <w:r>
        <w:tab/>
      </w:r>
      <w:r w:rsidRPr="001B330E">
        <w:t>Investment</w:t>
      </w:r>
      <w:r>
        <w:t xml:space="preserve"> Properties (Continued)</w:t>
      </w:r>
    </w:p>
    <w:p w14:paraId="3A11C2A1" w14:textId="194B8F67" w:rsidR="00F56971" w:rsidRDefault="00F56971" w:rsidP="00F56971">
      <w:pPr>
        <w:widowControl w:val="0"/>
        <w:pBdr>
          <w:top w:val="nil"/>
          <w:left w:val="nil"/>
          <w:bottom w:val="nil"/>
          <w:right w:val="nil"/>
          <w:between w:val="nil"/>
        </w:pBdr>
        <w:spacing w:before="200" w:after="200"/>
        <w:jc w:val="both"/>
        <w:rPr>
          <w:color w:val="000000"/>
          <w:sz w:val="20"/>
          <w:szCs w:val="20"/>
        </w:rPr>
      </w:pPr>
      <w:r>
        <w:rPr>
          <w:i/>
          <w:color w:val="FF0000"/>
          <w:sz w:val="20"/>
          <w:szCs w:val="20"/>
        </w:rPr>
        <w:t xml:space="preserve">[Alternative policy ‒ cost model: </w:t>
      </w:r>
      <w:r>
        <w:rPr>
          <w:color w:val="0000FF"/>
          <w:sz w:val="20"/>
          <w:szCs w:val="20"/>
        </w:rPr>
        <w:t>Investment properties are stated at cost less accumulated depreciation and provision for impairment, where required. If any indication exists that investment properties may be impaired, the Group estimates the recoverable amount as the higher of value in use and fair value less costs to sell. The carrying amount of an investment property is written down to its recoverable amount through a charge to profit or loss for the year. An impairment loss recognised in prior years is reversed if there has been a subsequent change in the estimates used to determine the asset’s recoverable amount.</w:t>
      </w:r>
    </w:p>
    <w:p w14:paraId="56647261" w14:textId="77777777" w:rsidR="00F56971" w:rsidRDefault="00F56971" w:rsidP="00F56971">
      <w:pPr>
        <w:widowControl w:val="0"/>
        <w:pBdr>
          <w:top w:val="nil"/>
          <w:left w:val="nil"/>
          <w:bottom w:val="nil"/>
          <w:right w:val="nil"/>
          <w:between w:val="nil"/>
        </w:pBdr>
        <w:spacing w:before="200" w:after="200"/>
        <w:jc w:val="both"/>
        <w:rPr>
          <w:color w:val="0000FF"/>
          <w:sz w:val="20"/>
          <w:szCs w:val="20"/>
        </w:rPr>
      </w:pPr>
      <w:r>
        <w:rPr>
          <w:color w:val="0000FF"/>
          <w:sz w:val="20"/>
          <w:szCs w:val="20"/>
        </w:rPr>
        <w:t>Subsequent expenditure is capitalised only when it is probable that future economic benefits associated with it will flow to the Group, and the cost can be measured reliably. All other repairs and maintenance costs are expensed when incurred. If an investment property becomes owner-occupied, it is reclassified to premises and equipment.]</w:t>
      </w:r>
    </w:p>
    <w:p w14:paraId="1C9A6079" w14:textId="4048C1F7" w:rsidR="00D83E33" w:rsidRDefault="00BC4072" w:rsidP="00513139">
      <w:pPr>
        <w:widowControl w:val="0"/>
        <w:pBdr>
          <w:top w:val="nil"/>
          <w:left w:val="nil"/>
          <w:bottom w:val="nil"/>
          <w:right w:val="nil"/>
          <w:between w:val="nil"/>
        </w:pBdr>
        <w:spacing w:before="200" w:after="200"/>
        <w:jc w:val="both"/>
        <w:rPr>
          <w:i/>
          <w:color w:val="FF0000"/>
          <w:sz w:val="20"/>
          <w:szCs w:val="20"/>
        </w:rPr>
      </w:pPr>
      <w:r>
        <w:rPr>
          <w:color w:val="0000FF"/>
          <w:sz w:val="20"/>
          <w:szCs w:val="20"/>
        </w:rPr>
        <w:t xml:space="preserve">[The Group did not classify any right-of-use assets, where the underlying properties were sub-let, as investment properties in </w:t>
      </w:r>
      <w:r w:rsidR="00541EBC">
        <w:rPr>
          <w:color w:val="0000FF"/>
          <w:sz w:val="20"/>
          <w:szCs w:val="20"/>
        </w:rPr>
        <w:t>2024</w:t>
      </w:r>
      <w:r>
        <w:rPr>
          <w:color w:val="0000FF"/>
          <w:sz w:val="20"/>
          <w:szCs w:val="20"/>
        </w:rPr>
        <w:t xml:space="preserve"> (</w:t>
      </w:r>
      <w:r w:rsidR="00541EBC">
        <w:rPr>
          <w:color w:val="0000FF"/>
          <w:sz w:val="20"/>
          <w:szCs w:val="20"/>
        </w:rPr>
        <w:t>2023</w:t>
      </w:r>
      <w:r>
        <w:rPr>
          <w:color w:val="0000FF"/>
          <w:sz w:val="20"/>
          <w:szCs w:val="20"/>
        </w:rPr>
        <w:t>: nil.)]</w:t>
      </w:r>
      <w:r>
        <w:rPr>
          <w:color w:val="000000"/>
          <w:sz w:val="20"/>
          <w:szCs w:val="20"/>
        </w:rPr>
        <w:t xml:space="preserve"> The investment properties are valued annually on 31</w:t>
      </w:r>
      <w:r w:rsidR="00181687">
        <w:rPr>
          <w:color w:val="000000"/>
          <w:sz w:val="20"/>
          <w:szCs w:val="20"/>
        </w:rPr>
        <w:t> December </w:t>
      </w:r>
      <w:r>
        <w:rPr>
          <w:color w:val="000000"/>
          <w:sz w:val="20"/>
          <w:szCs w:val="20"/>
        </w:rPr>
        <w:t xml:space="preserve">at fair value, by an independent, professionally qualified appraiser who has recent experience in valuing similar properties in </w:t>
      </w:r>
      <w:r w:rsidR="00372E26">
        <w:rPr>
          <w:color w:val="000000"/>
          <w:sz w:val="20"/>
          <w:szCs w:val="20"/>
        </w:rPr>
        <w:t>[Country]</w:t>
      </w:r>
      <w:r>
        <w:rPr>
          <w:color w:val="000000"/>
          <w:sz w:val="20"/>
          <w:szCs w:val="20"/>
        </w:rPr>
        <w:t xml:space="preserve">. The methods and significant assumptions applied in determining the fair value were </w:t>
      </w:r>
      <w:r>
        <w:rPr>
          <w:i/>
          <w:color w:val="FF0000"/>
          <w:sz w:val="20"/>
          <w:szCs w:val="20"/>
        </w:rPr>
        <w:t>[</w:t>
      </w:r>
      <w:r w:rsidR="000A1B81">
        <w:rPr>
          <w:i/>
          <w:color w:val="FF0000"/>
          <w:sz w:val="20"/>
          <w:szCs w:val="20"/>
        </w:rPr>
        <w:t>Tailor to d</w:t>
      </w:r>
      <w:r>
        <w:rPr>
          <w:i/>
          <w:color w:val="FF0000"/>
          <w:sz w:val="20"/>
          <w:szCs w:val="20"/>
        </w:rPr>
        <w:t xml:space="preserve">escribe methods and assumptions, e.g. capitalisation rate used.] </w:t>
      </w:r>
    </w:p>
    <w:p w14:paraId="59CAD5E0"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Valuations of properties obtained from independent professionally qualified appraisers were adjusted for the purpose of the </w:t>
      </w:r>
      <w:r>
        <w:rPr>
          <w:color w:val="0000FF"/>
          <w:sz w:val="20"/>
          <w:szCs w:val="20"/>
        </w:rPr>
        <w:t xml:space="preserve">[consolidated] </w:t>
      </w:r>
      <w:r>
        <w:rPr>
          <w:color w:val="000000"/>
          <w:sz w:val="20"/>
          <w:szCs w:val="20"/>
        </w:rPr>
        <w:t>financial statements to avoid double-counting of assets and liabilities that are recognised separately from the valuation in the statement of financial position. Reconciliation between the valuations obtained and the carrying amount of investment properties, is as follows:</w:t>
      </w:r>
    </w:p>
    <w:tbl>
      <w:tblPr>
        <w:tblStyle w:val="affffffff9"/>
        <w:tblW w:w="5000" w:type="pct"/>
        <w:tblLayout w:type="fixed"/>
        <w:tblLook w:val="0000" w:firstRow="0" w:lastRow="0" w:firstColumn="0" w:lastColumn="0" w:noHBand="0" w:noVBand="0"/>
      </w:tblPr>
      <w:tblGrid>
        <w:gridCol w:w="5530"/>
        <w:gridCol w:w="140"/>
        <w:gridCol w:w="625"/>
        <w:gridCol w:w="1530"/>
        <w:gridCol w:w="1530"/>
      </w:tblGrid>
      <w:tr w:rsidR="00D83E33" w:rsidRPr="00E837F2" w14:paraId="0A90FFF9" w14:textId="77777777" w:rsidTr="00372E26">
        <w:trPr>
          <w:trHeight w:val="23"/>
        </w:trPr>
        <w:tc>
          <w:tcPr>
            <w:tcW w:w="2955" w:type="pct"/>
            <w:tcBorders>
              <w:bottom w:val="single" w:sz="4" w:space="0" w:color="000000"/>
            </w:tcBorders>
            <w:vAlign w:val="bottom"/>
          </w:tcPr>
          <w:p w14:paraId="557BCC4A" w14:textId="77777777" w:rsidR="00D83E33" w:rsidRPr="00E837F2" w:rsidRDefault="00D83E33" w:rsidP="001B330E">
            <w:pPr>
              <w:widowControl w:val="0"/>
              <w:pBdr>
                <w:top w:val="nil"/>
                <w:left w:val="nil"/>
                <w:bottom w:val="nil"/>
                <w:right w:val="nil"/>
                <w:between w:val="nil"/>
              </w:pBdr>
              <w:ind w:left="113" w:hanging="113"/>
              <w:rPr>
                <w:b/>
                <w:i/>
                <w:color w:val="000000"/>
              </w:rPr>
            </w:pPr>
          </w:p>
        </w:tc>
        <w:tc>
          <w:tcPr>
            <w:tcW w:w="409" w:type="pct"/>
            <w:gridSpan w:val="2"/>
            <w:tcBorders>
              <w:bottom w:val="single" w:sz="4" w:space="0" w:color="000000"/>
            </w:tcBorders>
            <w:vAlign w:val="bottom"/>
          </w:tcPr>
          <w:p w14:paraId="09590B87" w14:textId="77777777" w:rsidR="00D83E33" w:rsidRPr="00E837F2" w:rsidRDefault="00BC4072" w:rsidP="001B330E">
            <w:pPr>
              <w:widowControl w:val="0"/>
              <w:jc w:val="center"/>
              <w:rPr>
                <w:b/>
              </w:rPr>
            </w:pPr>
            <w:r w:rsidRPr="00E837F2">
              <w:rPr>
                <w:b/>
              </w:rPr>
              <w:t>Note</w:t>
            </w:r>
          </w:p>
        </w:tc>
        <w:tc>
          <w:tcPr>
            <w:tcW w:w="818" w:type="pct"/>
            <w:tcBorders>
              <w:bottom w:val="single" w:sz="4" w:space="0" w:color="000000"/>
            </w:tcBorders>
            <w:vAlign w:val="bottom"/>
          </w:tcPr>
          <w:p w14:paraId="658F650B" w14:textId="77EDDAD3" w:rsidR="00F279EA" w:rsidRDefault="00BC4072">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w:t>
            </w:r>
          </w:p>
          <w:p w14:paraId="381BE8F3" w14:textId="6A33D084" w:rsidR="00D83E33" w:rsidRPr="00E837F2" w:rsidRDefault="00541EBC" w:rsidP="001B330E">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391A53DC" w14:textId="7AF0B92D" w:rsidR="00F279EA" w:rsidRDefault="00BC4072" w:rsidP="00F279EA">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w:t>
            </w:r>
          </w:p>
          <w:p w14:paraId="21C480E1" w14:textId="60D3559B" w:rsidR="00D83E33" w:rsidRPr="001B330E" w:rsidRDefault="00541EBC" w:rsidP="001B330E">
            <w:pPr>
              <w:widowControl w:val="0"/>
              <w:pBdr>
                <w:top w:val="nil"/>
                <w:left w:val="nil"/>
                <w:bottom w:val="nil"/>
                <w:right w:val="nil"/>
                <w:between w:val="nil"/>
              </w:pBdr>
              <w:jc w:val="right"/>
              <w:rPr>
                <w:b/>
                <w:color w:val="000000"/>
                <w:lang w:val="ru-RU"/>
              </w:rPr>
            </w:pPr>
            <w:r>
              <w:rPr>
                <w:b/>
                <w:color w:val="000000"/>
              </w:rPr>
              <w:t>2023</w:t>
            </w:r>
          </w:p>
        </w:tc>
      </w:tr>
      <w:tr w:rsidR="00D83E33" w:rsidRPr="00E837F2" w14:paraId="1BD76ACB" w14:textId="77777777" w:rsidTr="001B330E">
        <w:trPr>
          <w:trHeight w:val="23"/>
        </w:trPr>
        <w:tc>
          <w:tcPr>
            <w:tcW w:w="3030" w:type="pct"/>
            <w:gridSpan w:val="2"/>
            <w:tcBorders>
              <w:top w:val="single" w:sz="4" w:space="0" w:color="000000"/>
            </w:tcBorders>
            <w:vAlign w:val="bottom"/>
          </w:tcPr>
          <w:p w14:paraId="77B8AAD3" w14:textId="77777777" w:rsidR="00D83E33" w:rsidRPr="00E837F2" w:rsidRDefault="00BC4072" w:rsidP="001B330E">
            <w:pPr>
              <w:widowControl w:val="0"/>
              <w:ind w:left="113" w:hanging="113"/>
            </w:pPr>
            <w:r w:rsidRPr="00E837F2">
              <w:t> </w:t>
            </w:r>
          </w:p>
        </w:tc>
        <w:tc>
          <w:tcPr>
            <w:tcW w:w="334" w:type="pct"/>
            <w:tcBorders>
              <w:top w:val="single" w:sz="4" w:space="0" w:color="000000"/>
            </w:tcBorders>
            <w:vAlign w:val="bottom"/>
          </w:tcPr>
          <w:p w14:paraId="027E69C6" w14:textId="77777777" w:rsidR="00D83E33" w:rsidRPr="00E837F2" w:rsidRDefault="00D83E33" w:rsidP="001B330E">
            <w:pPr>
              <w:widowControl w:val="0"/>
              <w:jc w:val="center"/>
            </w:pPr>
          </w:p>
        </w:tc>
        <w:tc>
          <w:tcPr>
            <w:tcW w:w="818" w:type="pct"/>
            <w:tcBorders>
              <w:top w:val="single" w:sz="4" w:space="0" w:color="000000"/>
            </w:tcBorders>
            <w:vAlign w:val="bottom"/>
          </w:tcPr>
          <w:p w14:paraId="46AC93FE"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65B6408E"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E51DE39" w14:textId="77777777" w:rsidTr="001B330E">
        <w:trPr>
          <w:trHeight w:val="23"/>
        </w:trPr>
        <w:tc>
          <w:tcPr>
            <w:tcW w:w="3030" w:type="pct"/>
            <w:gridSpan w:val="2"/>
            <w:vAlign w:val="bottom"/>
          </w:tcPr>
          <w:p w14:paraId="3228B41B"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Valuations obtained</w:t>
            </w:r>
          </w:p>
        </w:tc>
        <w:tc>
          <w:tcPr>
            <w:tcW w:w="334" w:type="pct"/>
            <w:vAlign w:val="bottom"/>
          </w:tcPr>
          <w:p w14:paraId="5E9238CA" w14:textId="77777777" w:rsidR="00D83E33" w:rsidRPr="00E837F2" w:rsidRDefault="00D83E33" w:rsidP="001B330E">
            <w:pPr>
              <w:widowControl w:val="0"/>
              <w:pBdr>
                <w:top w:val="nil"/>
                <w:left w:val="nil"/>
                <w:bottom w:val="nil"/>
                <w:right w:val="nil"/>
                <w:between w:val="nil"/>
              </w:pBdr>
              <w:jc w:val="center"/>
              <w:rPr>
                <w:color w:val="000000"/>
              </w:rPr>
            </w:pPr>
          </w:p>
        </w:tc>
        <w:tc>
          <w:tcPr>
            <w:tcW w:w="818" w:type="pct"/>
            <w:vAlign w:val="bottom"/>
          </w:tcPr>
          <w:p w14:paraId="2A997414" w14:textId="77777777" w:rsidR="00D83E33" w:rsidRPr="00E837F2" w:rsidRDefault="00D83E33" w:rsidP="001B330E">
            <w:pPr>
              <w:widowControl w:val="0"/>
              <w:pBdr>
                <w:top w:val="nil"/>
                <w:left w:val="nil"/>
                <w:bottom w:val="nil"/>
                <w:right w:val="nil"/>
                <w:between w:val="nil"/>
              </w:pBdr>
              <w:jc w:val="right"/>
              <w:rPr>
                <w:b/>
                <w:color w:val="000000"/>
              </w:rPr>
            </w:pPr>
          </w:p>
        </w:tc>
        <w:tc>
          <w:tcPr>
            <w:tcW w:w="818" w:type="pct"/>
            <w:vAlign w:val="bottom"/>
          </w:tcPr>
          <w:p w14:paraId="5C06DCCF" w14:textId="77777777" w:rsidR="00D83E33" w:rsidRPr="00E837F2" w:rsidRDefault="00D83E33" w:rsidP="001B330E">
            <w:pPr>
              <w:widowControl w:val="0"/>
              <w:pBdr>
                <w:top w:val="nil"/>
                <w:left w:val="nil"/>
                <w:bottom w:val="nil"/>
                <w:right w:val="nil"/>
                <w:between w:val="nil"/>
              </w:pBdr>
              <w:jc w:val="right"/>
              <w:rPr>
                <w:b/>
                <w:color w:val="000000"/>
              </w:rPr>
            </w:pPr>
          </w:p>
        </w:tc>
      </w:tr>
      <w:tr w:rsidR="00D83E33" w:rsidRPr="00E837F2" w14:paraId="0F887713" w14:textId="77777777" w:rsidTr="001B330E">
        <w:trPr>
          <w:trHeight w:val="23"/>
        </w:trPr>
        <w:tc>
          <w:tcPr>
            <w:tcW w:w="3030" w:type="pct"/>
            <w:gridSpan w:val="2"/>
            <w:vAlign w:val="bottom"/>
          </w:tcPr>
          <w:p w14:paraId="75C6EF3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future construction costs and developers profit deducted from properties valued on an “as if complete” basis</w:t>
            </w:r>
          </w:p>
        </w:tc>
        <w:tc>
          <w:tcPr>
            <w:tcW w:w="334" w:type="pct"/>
            <w:vAlign w:val="bottom"/>
          </w:tcPr>
          <w:p w14:paraId="6BD33DBC" w14:textId="77777777" w:rsidR="00D83E33" w:rsidRPr="00E837F2" w:rsidRDefault="00D83E33" w:rsidP="001B330E">
            <w:pPr>
              <w:widowControl w:val="0"/>
              <w:pBdr>
                <w:top w:val="nil"/>
                <w:left w:val="nil"/>
                <w:bottom w:val="nil"/>
                <w:right w:val="nil"/>
                <w:between w:val="nil"/>
              </w:pBdr>
              <w:jc w:val="center"/>
              <w:rPr>
                <w:color w:val="000000"/>
              </w:rPr>
            </w:pPr>
          </w:p>
        </w:tc>
        <w:tc>
          <w:tcPr>
            <w:tcW w:w="818" w:type="pct"/>
            <w:vAlign w:val="bottom"/>
          </w:tcPr>
          <w:p w14:paraId="21F436C8"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30E65646"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F150A9F" w14:textId="77777777" w:rsidTr="001B330E">
        <w:trPr>
          <w:trHeight w:val="23"/>
        </w:trPr>
        <w:tc>
          <w:tcPr>
            <w:tcW w:w="3030" w:type="pct"/>
            <w:gridSpan w:val="2"/>
            <w:vAlign w:val="bottom"/>
          </w:tcPr>
          <w:p w14:paraId="014CDDD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accrued rental income recognised as a separate asset</w:t>
            </w:r>
          </w:p>
        </w:tc>
        <w:tc>
          <w:tcPr>
            <w:tcW w:w="334" w:type="pct"/>
            <w:vAlign w:val="bottom"/>
          </w:tcPr>
          <w:p w14:paraId="7CE7FF1C" w14:textId="77777777" w:rsidR="00D83E33" w:rsidRPr="00E837F2" w:rsidRDefault="00D83E33" w:rsidP="001B330E">
            <w:pPr>
              <w:widowControl w:val="0"/>
              <w:pBdr>
                <w:top w:val="nil"/>
                <w:left w:val="nil"/>
                <w:bottom w:val="nil"/>
                <w:right w:val="nil"/>
                <w:between w:val="nil"/>
              </w:pBdr>
              <w:jc w:val="center"/>
              <w:rPr>
                <w:color w:val="000000"/>
              </w:rPr>
            </w:pPr>
          </w:p>
        </w:tc>
        <w:tc>
          <w:tcPr>
            <w:tcW w:w="818" w:type="pct"/>
            <w:vAlign w:val="bottom"/>
          </w:tcPr>
          <w:p w14:paraId="6B32CC3B"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16D1F0F1"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D728082" w14:textId="77777777" w:rsidTr="001B330E">
        <w:trPr>
          <w:trHeight w:val="23"/>
        </w:trPr>
        <w:tc>
          <w:tcPr>
            <w:tcW w:w="3030" w:type="pct"/>
            <w:gridSpan w:val="2"/>
            <w:vAlign w:val="bottom"/>
          </w:tcPr>
          <w:p w14:paraId="35452AA9" w14:textId="1DF0C39F"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Plus lease liabilities recognised for investment properties held under leases </w:t>
            </w:r>
          </w:p>
        </w:tc>
        <w:tc>
          <w:tcPr>
            <w:tcW w:w="334" w:type="pct"/>
            <w:vAlign w:val="bottom"/>
          </w:tcPr>
          <w:p w14:paraId="39827860" w14:textId="77777777" w:rsidR="00D83E33" w:rsidRPr="00E837F2" w:rsidRDefault="00D83E33" w:rsidP="001B330E">
            <w:pPr>
              <w:widowControl w:val="0"/>
              <w:pBdr>
                <w:top w:val="nil"/>
                <w:left w:val="nil"/>
                <w:bottom w:val="nil"/>
                <w:right w:val="nil"/>
                <w:between w:val="nil"/>
              </w:pBdr>
              <w:jc w:val="center"/>
              <w:rPr>
                <w:color w:val="000000"/>
              </w:rPr>
            </w:pPr>
          </w:p>
        </w:tc>
        <w:tc>
          <w:tcPr>
            <w:tcW w:w="818" w:type="pct"/>
            <w:vAlign w:val="bottom"/>
          </w:tcPr>
          <w:p w14:paraId="5D50D2B1"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00AFA5A6"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2436BEC" w14:textId="77777777" w:rsidTr="001B330E">
        <w:trPr>
          <w:trHeight w:val="23"/>
        </w:trPr>
        <w:tc>
          <w:tcPr>
            <w:tcW w:w="3030" w:type="pct"/>
            <w:gridSpan w:val="2"/>
            <w:tcBorders>
              <w:bottom w:val="single" w:sz="4" w:space="0" w:color="000000"/>
            </w:tcBorders>
            <w:vAlign w:val="bottom"/>
          </w:tcPr>
          <w:p w14:paraId="5CB8E5B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334" w:type="pct"/>
            <w:tcBorders>
              <w:bottom w:val="single" w:sz="4" w:space="0" w:color="000000"/>
            </w:tcBorders>
            <w:vAlign w:val="bottom"/>
          </w:tcPr>
          <w:p w14:paraId="3C50EDC0" w14:textId="77777777" w:rsidR="00D83E33" w:rsidRPr="00E837F2" w:rsidRDefault="00D83E33" w:rsidP="001B330E">
            <w:pPr>
              <w:widowControl w:val="0"/>
              <w:pBdr>
                <w:top w:val="nil"/>
                <w:left w:val="nil"/>
                <w:bottom w:val="nil"/>
                <w:right w:val="nil"/>
                <w:between w:val="nil"/>
              </w:pBdr>
              <w:jc w:val="center"/>
              <w:rPr>
                <w:color w:val="000000"/>
              </w:rPr>
            </w:pPr>
          </w:p>
        </w:tc>
        <w:tc>
          <w:tcPr>
            <w:tcW w:w="818" w:type="pct"/>
            <w:tcBorders>
              <w:bottom w:val="single" w:sz="4" w:space="0" w:color="000000"/>
            </w:tcBorders>
            <w:vAlign w:val="bottom"/>
          </w:tcPr>
          <w:p w14:paraId="07BDC3E8"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16115701"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935EA2E" w14:textId="77777777" w:rsidTr="001B330E">
        <w:trPr>
          <w:trHeight w:val="23"/>
        </w:trPr>
        <w:tc>
          <w:tcPr>
            <w:tcW w:w="3030" w:type="pct"/>
            <w:gridSpan w:val="2"/>
            <w:tcBorders>
              <w:top w:val="single" w:sz="4" w:space="0" w:color="000000"/>
            </w:tcBorders>
            <w:vAlign w:val="bottom"/>
          </w:tcPr>
          <w:p w14:paraId="5F901D2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334" w:type="pct"/>
            <w:tcBorders>
              <w:top w:val="single" w:sz="4" w:space="0" w:color="000000"/>
            </w:tcBorders>
            <w:vAlign w:val="bottom"/>
          </w:tcPr>
          <w:p w14:paraId="36BBCBB2" w14:textId="77777777" w:rsidR="00D83E33" w:rsidRPr="00E837F2" w:rsidRDefault="00D83E33" w:rsidP="001B330E">
            <w:pPr>
              <w:widowControl w:val="0"/>
              <w:pBdr>
                <w:top w:val="nil"/>
                <w:left w:val="nil"/>
                <w:bottom w:val="nil"/>
                <w:right w:val="nil"/>
                <w:between w:val="nil"/>
              </w:pBdr>
              <w:jc w:val="center"/>
              <w:rPr>
                <w:color w:val="000000"/>
              </w:rPr>
            </w:pPr>
          </w:p>
        </w:tc>
        <w:tc>
          <w:tcPr>
            <w:tcW w:w="818" w:type="pct"/>
            <w:tcBorders>
              <w:top w:val="single" w:sz="4" w:space="0" w:color="000000"/>
            </w:tcBorders>
            <w:vAlign w:val="bottom"/>
          </w:tcPr>
          <w:p w14:paraId="5D8233AB"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6705165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9FFEC4A" w14:textId="77777777" w:rsidTr="001B330E">
        <w:trPr>
          <w:trHeight w:val="23"/>
        </w:trPr>
        <w:tc>
          <w:tcPr>
            <w:tcW w:w="3030" w:type="pct"/>
            <w:gridSpan w:val="2"/>
            <w:vAlign w:val="bottom"/>
          </w:tcPr>
          <w:p w14:paraId="3465CEDD"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 xml:space="preserve">Fair value in the statement of financial position </w:t>
            </w:r>
          </w:p>
        </w:tc>
        <w:tc>
          <w:tcPr>
            <w:tcW w:w="334" w:type="pct"/>
            <w:vAlign w:val="bottom"/>
          </w:tcPr>
          <w:p w14:paraId="40BDBA32" w14:textId="77777777" w:rsidR="00D83E33" w:rsidRPr="00E837F2" w:rsidRDefault="00D83E33" w:rsidP="001B330E">
            <w:pPr>
              <w:widowControl w:val="0"/>
              <w:jc w:val="center"/>
            </w:pPr>
          </w:p>
        </w:tc>
        <w:tc>
          <w:tcPr>
            <w:tcW w:w="818" w:type="pct"/>
            <w:vAlign w:val="bottom"/>
          </w:tcPr>
          <w:p w14:paraId="499CD5B2" w14:textId="77777777" w:rsidR="00D83E33" w:rsidRPr="00E837F2" w:rsidRDefault="00D83E33" w:rsidP="001B330E">
            <w:pPr>
              <w:widowControl w:val="0"/>
              <w:pBdr>
                <w:top w:val="nil"/>
                <w:left w:val="nil"/>
                <w:bottom w:val="nil"/>
                <w:right w:val="nil"/>
                <w:between w:val="nil"/>
              </w:pBdr>
              <w:jc w:val="right"/>
              <w:rPr>
                <w:b/>
                <w:color w:val="000000"/>
              </w:rPr>
            </w:pPr>
          </w:p>
        </w:tc>
        <w:tc>
          <w:tcPr>
            <w:tcW w:w="818" w:type="pct"/>
            <w:vAlign w:val="bottom"/>
          </w:tcPr>
          <w:p w14:paraId="20BEFD16" w14:textId="77777777" w:rsidR="00D83E33" w:rsidRPr="00E837F2" w:rsidRDefault="00D83E33" w:rsidP="001B330E">
            <w:pPr>
              <w:widowControl w:val="0"/>
              <w:pBdr>
                <w:top w:val="nil"/>
                <w:left w:val="nil"/>
                <w:bottom w:val="nil"/>
                <w:right w:val="nil"/>
                <w:between w:val="nil"/>
              </w:pBdr>
              <w:jc w:val="right"/>
              <w:rPr>
                <w:b/>
                <w:color w:val="000000"/>
              </w:rPr>
            </w:pPr>
          </w:p>
        </w:tc>
      </w:tr>
      <w:tr w:rsidR="00D83E33" w:rsidRPr="00E837F2" w14:paraId="03EDA055" w14:textId="77777777" w:rsidTr="001B330E">
        <w:trPr>
          <w:trHeight w:val="23"/>
        </w:trPr>
        <w:tc>
          <w:tcPr>
            <w:tcW w:w="3030" w:type="pct"/>
            <w:gridSpan w:val="2"/>
            <w:tcBorders>
              <w:bottom w:val="single" w:sz="12" w:space="0" w:color="000000"/>
            </w:tcBorders>
            <w:vAlign w:val="bottom"/>
          </w:tcPr>
          <w:p w14:paraId="4A18AEAB" w14:textId="77777777" w:rsidR="00D83E33" w:rsidRPr="00E837F2" w:rsidRDefault="00BC4072" w:rsidP="001B330E">
            <w:pPr>
              <w:widowControl w:val="0"/>
              <w:ind w:left="113" w:hanging="113"/>
            </w:pPr>
            <w:r w:rsidRPr="00E837F2">
              <w:t> </w:t>
            </w:r>
          </w:p>
        </w:tc>
        <w:tc>
          <w:tcPr>
            <w:tcW w:w="334" w:type="pct"/>
            <w:tcBorders>
              <w:bottom w:val="single" w:sz="12" w:space="0" w:color="000000"/>
            </w:tcBorders>
            <w:vAlign w:val="bottom"/>
          </w:tcPr>
          <w:p w14:paraId="2FF1C385" w14:textId="77777777" w:rsidR="00D83E33" w:rsidRPr="00E837F2" w:rsidRDefault="00D83E33" w:rsidP="001B330E">
            <w:pPr>
              <w:widowControl w:val="0"/>
              <w:jc w:val="center"/>
            </w:pPr>
          </w:p>
        </w:tc>
        <w:tc>
          <w:tcPr>
            <w:tcW w:w="818" w:type="pct"/>
            <w:tcBorders>
              <w:bottom w:val="single" w:sz="12" w:space="0" w:color="000000"/>
            </w:tcBorders>
            <w:vAlign w:val="bottom"/>
          </w:tcPr>
          <w:p w14:paraId="68E68048" w14:textId="77777777" w:rsidR="00D83E33" w:rsidRPr="00E837F2" w:rsidRDefault="00D83E33" w:rsidP="001B330E">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6DD4487C" w14:textId="77777777" w:rsidR="00D83E33" w:rsidRPr="00E837F2" w:rsidRDefault="00D83E33" w:rsidP="001B330E">
            <w:pPr>
              <w:widowControl w:val="0"/>
              <w:pBdr>
                <w:top w:val="nil"/>
                <w:left w:val="nil"/>
                <w:bottom w:val="nil"/>
                <w:right w:val="nil"/>
                <w:between w:val="nil"/>
              </w:pBdr>
              <w:jc w:val="right"/>
              <w:rPr>
                <w:b/>
                <w:color w:val="000000"/>
              </w:rPr>
            </w:pPr>
          </w:p>
        </w:tc>
      </w:tr>
    </w:tbl>
    <w:p w14:paraId="4E2C83EA" w14:textId="265EAE0D"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FF"/>
          <w:sz w:val="20"/>
          <w:szCs w:val="20"/>
        </w:rPr>
        <w:t xml:space="preserve">[Investment properties with a carrying value of </w:t>
      </w:r>
      <w:r w:rsidR="00D73799">
        <w:rPr>
          <w:color w:val="0000FF"/>
          <w:sz w:val="20"/>
          <w:szCs w:val="20"/>
        </w:rPr>
        <w:t>EUR</w:t>
      </w:r>
      <w:r>
        <w:rPr>
          <w:color w:val="0000FF"/>
          <w:sz w:val="20"/>
          <w:szCs w:val="20"/>
        </w:rPr>
        <w:t xml:space="preserve"> 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 thousand) were fully completed and in use at the end of the reporting period. The properties are required to comply with relevant health and safety and other environmental requirements, subject to ongoing self-certification and periodic inspections from independent oversight bodies, in order to continue in operation. Management considers that the Group’s completed properties comply substantially with all relevant requirements, and based on the Group’s historical experience, all properties are expected to continue to be approved for ongoing use.]</w:t>
      </w:r>
    </w:p>
    <w:p w14:paraId="7FCC7309" w14:textId="77777777" w:rsidR="00E03694" w:rsidRDefault="00E03694" w:rsidP="00E03694">
      <w:pPr>
        <w:pStyle w:val="Continued"/>
      </w:pPr>
      <w:r>
        <w:lastRenderedPageBreak/>
        <w:t>13</w:t>
      </w:r>
      <w:r>
        <w:tab/>
      </w:r>
      <w:r w:rsidRPr="001B330E">
        <w:t>Investment</w:t>
      </w:r>
      <w:r>
        <w:t xml:space="preserve"> Properties (Continued)</w:t>
      </w:r>
    </w:p>
    <w:p w14:paraId="3D2B0AC8" w14:textId="19480111"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investment properties carried at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have been pledged to third parties as collateral with respect to [other borrowed funds]. Refer to Note [24]. </w:t>
      </w:r>
      <w:r>
        <w:rPr>
          <w:i/>
          <w:color w:val="FF0000"/>
          <w:sz w:val="20"/>
          <w:szCs w:val="20"/>
        </w:rPr>
        <w:t>[</w:t>
      </w:r>
      <w:r w:rsidR="000A1B81">
        <w:rPr>
          <w:i/>
          <w:color w:val="FF0000"/>
          <w:sz w:val="20"/>
          <w:szCs w:val="20"/>
        </w:rPr>
        <w:t>Tailor to d</w:t>
      </w:r>
      <w:r>
        <w:rPr>
          <w:i/>
          <w:color w:val="FF0000"/>
          <w:sz w:val="20"/>
          <w:szCs w:val="20"/>
        </w:rPr>
        <w:t>isclose the existence and amounts of any other restrictions on the realisability of investment property or the remittance of income and proceeds of disposal.]</w:t>
      </w:r>
    </w:p>
    <w:p w14:paraId="3749777E" w14:textId="314F846F"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Where the Group is the lessor, the future minimum lease payments receivable under non-cancellable operating leases are as follows: </w:t>
      </w:r>
    </w:p>
    <w:tbl>
      <w:tblPr>
        <w:tblStyle w:val="affffffffa"/>
        <w:tblW w:w="5000" w:type="pct"/>
        <w:tblLayout w:type="fixed"/>
        <w:tblLook w:val="0000" w:firstRow="0" w:lastRow="0" w:firstColumn="0" w:lastColumn="0" w:noHBand="0" w:noVBand="0"/>
      </w:tblPr>
      <w:tblGrid>
        <w:gridCol w:w="6275"/>
        <w:gridCol w:w="1540"/>
        <w:gridCol w:w="1540"/>
      </w:tblGrid>
      <w:tr w:rsidR="00D83E33" w:rsidRPr="00E837F2" w14:paraId="11AD2A25" w14:textId="77777777" w:rsidTr="001B330E">
        <w:trPr>
          <w:trHeight w:val="23"/>
        </w:trPr>
        <w:tc>
          <w:tcPr>
            <w:tcW w:w="3353" w:type="pct"/>
            <w:tcBorders>
              <w:bottom w:val="single" w:sz="4" w:space="0" w:color="000000"/>
            </w:tcBorders>
            <w:vAlign w:val="bottom"/>
          </w:tcPr>
          <w:p w14:paraId="1879F8A3" w14:textId="264395B7" w:rsidR="00D83E33" w:rsidRPr="00E837F2" w:rsidRDefault="00313B4D" w:rsidP="001B330E">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823" w:type="pct"/>
            <w:tcBorders>
              <w:bottom w:val="single" w:sz="4" w:space="0" w:color="000000"/>
            </w:tcBorders>
            <w:vAlign w:val="bottom"/>
          </w:tcPr>
          <w:p w14:paraId="6827566F" w14:textId="63674B19" w:rsidR="00F279EA" w:rsidRDefault="00BC4072">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w:t>
            </w:r>
          </w:p>
          <w:p w14:paraId="1A445338" w14:textId="2CFAC4CF" w:rsidR="00D83E33" w:rsidRPr="00E837F2" w:rsidRDefault="00541EBC" w:rsidP="001B330E">
            <w:pPr>
              <w:widowControl w:val="0"/>
              <w:pBdr>
                <w:top w:val="nil"/>
                <w:left w:val="nil"/>
                <w:bottom w:val="nil"/>
                <w:right w:val="nil"/>
                <w:between w:val="nil"/>
              </w:pBdr>
              <w:jc w:val="right"/>
              <w:rPr>
                <w:b/>
                <w:color w:val="000000"/>
              </w:rPr>
            </w:pPr>
            <w:r>
              <w:rPr>
                <w:b/>
                <w:color w:val="000000"/>
              </w:rPr>
              <w:t>2024</w:t>
            </w:r>
          </w:p>
        </w:tc>
        <w:tc>
          <w:tcPr>
            <w:tcW w:w="823" w:type="pct"/>
            <w:tcBorders>
              <w:bottom w:val="single" w:sz="4" w:space="0" w:color="000000"/>
            </w:tcBorders>
          </w:tcPr>
          <w:p w14:paraId="03B8C844" w14:textId="0CB8EE07" w:rsidR="00F279EA" w:rsidRDefault="00BC4072">
            <w:pPr>
              <w:widowControl w:val="0"/>
              <w:pBdr>
                <w:top w:val="nil"/>
                <w:left w:val="nil"/>
                <w:bottom w:val="nil"/>
                <w:right w:val="nil"/>
                <w:between w:val="nil"/>
              </w:pBdr>
              <w:jc w:val="right"/>
              <w:rPr>
                <w:b/>
                <w:color w:val="000000"/>
              </w:rPr>
            </w:pPr>
            <w:r w:rsidRPr="00E837F2">
              <w:rPr>
                <w:b/>
                <w:color w:val="000000"/>
              </w:rPr>
              <w:t>31</w:t>
            </w:r>
            <w:r w:rsidR="00181687">
              <w:rPr>
                <w:b/>
                <w:color w:val="000000"/>
              </w:rPr>
              <w:t> December</w:t>
            </w:r>
          </w:p>
          <w:p w14:paraId="4A394231" w14:textId="2B5D0F4B" w:rsidR="00D83E33" w:rsidRPr="00E837F2" w:rsidRDefault="00541EBC" w:rsidP="001B330E">
            <w:pPr>
              <w:widowControl w:val="0"/>
              <w:pBdr>
                <w:top w:val="nil"/>
                <w:left w:val="nil"/>
                <w:bottom w:val="nil"/>
                <w:right w:val="nil"/>
                <w:between w:val="nil"/>
              </w:pBdr>
              <w:jc w:val="right"/>
              <w:rPr>
                <w:b/>
                <w:color w:val="000000"/>
              </w:rPr>
            </w:pPr>
            <w:r>
              <w:rPr>
                <w:b/>
                <w:color w:val="000000"/>
              </w:rPr>
              <w:t>2023</w:t>
            </w:r>
          </w:p>
        </w:tc>
      </w:tr>
      <w:tr w:rsidR="00D83E33" w:rsidRPr="00E837F2" w14:paraId="5D331835" w14:textId="77777777" w:rsidTr="001B330E">
        <w:trPr>
          <w:trHeight w:val="23"/>
        </w:trPr>
        <w:tc>
          <w:tcPr>
            <w:tcW w:w="3353" w:type="pct"/>
            <w:vAlign w:val="bottom"/>
          </w:tcPr>
          <w:p w14:paraId="3B3686D6"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 </w:t>
            </w:r>
          </w:p>
        </w:tc>
        <w:tc>
          <w:tcPr>
            <w:tcW w:w="823" w:type="pct"/>
            <w:vAlign w:val="bottom"/>
          </w:tcPr>
          <w:p w14:paraId="35DF9ED4" w14:textId="77777777" w:rsidR="00D83E33" w:rsidRPr="00E837F2" w:rsidRDefault="00D83E33" w:rsidP="001B330E">
            <w:pPr>
              <w:widowControl w:val="0"/>
              <w:pBdr>
                <w:top w:val="nil"/>
                <w:left w:val="nil"/>
                <w:bottom w:val="nil"/>
                <w:right w:val="nil"/>
                <w:between w:val="nil"/>
              </w:pBdr>
              <w:jc w:val="right"/>
              <w:rPr>
                <w:color w:val="000000"/>
              </w:rPr>
            </w:pPr>
          </w:p>
        </w:tc>
        <w:tc>
          <w:tcPr>
            <w:tcW w:w="823" w:type="pct"/>
          </w:tcPr>
          <w:p w14:paraId="5EDCF1BF"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987A29C" w14:textId="77777777" w:rsidTr="001B330E">
        <w:trPr>
          <w:trHeight w:val="23"/>
        </w:trPr>
        <w:tc>
          <w:tcPr>
            <w:tcW w:w="3353" w:type="pct"/>
            <w:vAlign w:val="bottom"/>
          </w:tcPr>
          <w:p w14:paraId="0C3491B5"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Not later than 1 year</w:t>
            </w:r>
          </w:p>
        </w:tc>
        <w:tc>
          <w:tcPr>
            <w:tcW w:w="823" w:type="pct"/>
            <w:vAlign w:val="bottom"/>
          </w:tcPr>
          <w:p w14:paraId="57C6882C" w14:textId="77777777" w:rsidR="00D83E33" w:rsidRPr="00E837F2" w:rsidRDefault="00D83E33" w:rsidP="001B330E">
            <w:pPr>
              <w:widowControl w:val="0"/>
              <w:pBdr>
                <w:top w:val="nil"/>
                <w:left w:val="nil"/>
                <w:bottom w:val="nil"/>
                <w:right w:val="nil"/>
                <w:between w:val="nil"/>
              </w:pBdr>
              <w:jc w:val="right"/>
              <w:rPr>
                <w:color w:val="000000"/>
              </w:rPr>
            </w:pPr>
          </w:p>
        </w:tc>
        <w:tc>
          <w:tcPr>
            <w:tcW w:w="823" w:type="pct"/>
          </w:tcPr>
          <w:p w14:paraId="7662DB65"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2F61E53" w14:textId="77777777" w:rsidTr="001B330E">
        <w:trPr>
          <w:trHeight w:val="23"/>
        </w:trPr>
        <w:tc>
          <w:tcPr>
            <w:tcW w:w="3353" w:type="pct"/>
            <w:vAlign w:val="bottom"/>
          </w:tcPr>
          <w:p w14:paraId="73760A51"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Later than 1 year and not later than 2 years</w:t>
            </w:r>
          </w:p>
        </w:tc>
        <w:tc>
          <w:tcPr>
            <w:tcW w:w="823" w:type="pct"/>
            <w:vAlign w:val="bottom"/>
          </w:tcPr>
          <w:p w14:paraId="1276C8DA" w14:textId="77777777" w:rsidR="00D83E33" w:rsidRPr="00E837F2" w:rsidRDefault="00D83E33" w:rsidP="001B330E">
            <w:pPr>
              <w:widowControl w:val="0"/>
              <w:pBdr>
                <w:top w:val="nil"/>
                <w:left w:val="nil"/>
                <w:bottom w:val="nil"/>
                <w:right w:val="nil"/>
                <w:between w:val="nil"/>
              </w:pBdr>
              <w:jc w:val="right"/>
              <w:rPr>
                <w:color w:val="000000"/>
              </w:rPr>
            </w:pPr>
          </w:p>
        </w:tc>
        <w:tc>
          <w:tcPr>
            <w:tcW w:w="823" w:type="pct"/>
          </w:tcPr>
          <w:p w14:paraId="72041DBF"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68591D4" w14:textId="77777777" w:rsidTr="001B330E">
        <w:trPr>
          <w:trHeight w:val="23"/>
        </w:trPr>
        <w:tc>
          <w:tcPr>
            <w:tcW w:w="3353" w:type="pct"/>
            <w:vAlign w:val="bottom"/>
          </w:tcPr>
          <w:p w14:paraId="56F62C65"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Later than 2 years and not later than 3 years</w:t>
            </w:r>
          </w:p>
        </w:tc>
        <w:tc>
          <w:tcPr>
            <w:tcW w:w="823" w:type="pct"/>
            <w:vAlign w:val="bottom"/>
          </w:tcPr>
          <w:p w14:paraId="3D11FB27" w14:textId="77777777" w:rsidR="00D83E33" w:rsidRPr="00E837F2" w:rsidRDefault="00D83E33" w:rsidP="001B330E">
            <w:pPr>
              <w:widowControl w:val="0"/>
              <w:pBdr>
                <w:top w:val="nil"/>
                <w:left w:val="nil"/>
                <w:bottom w:val="nil"/>
                <w:right w:val="nil"/>
                <w:between w:val="nil"/>
              </w:pBdr>
              <w:jc w:val="right"/>
              <w:rPr>
                <w:color w:val="000000"/>
              </w:rPr>
            </w:pPr>
          </w:p>
        </w:tc>
        <w:tc>
          <w:tcPr>
            <w:tcW w:w="823" w:type="pct"/>
          </w:tcPr>
          <w:p w14:paraId="75DCE68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F0112F0" w14:textId="77777777" w:rsidTr="001B330E">
        <w:trPr>
          <w:trHeight w:val="23"/>
        </w:trPr>
        <w:tc>
          <w:tcPr>
            <w:tcW w:w="3353" w:type="pct"/>
            <w:vAlign w:val="bottom"/>
          </w:tcPr>
          <w:p w14:paraId="3D384D5B"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Later than 3 years and not later than 4 years</w:t>
            </w:r>
          </w:p>
        </w:tc>
        <w:tc>
          <w:tcPr>
            <w:tcW w:w="823" w:type="pct"/>
            <w:vAlign w:val="bottom"/>
          </w:tcPr>
          <w:p w14:paraId="33FC5FA5" w14:textId="77777777" w:rsidR="00D83E33" w:rsidRPr="00E837F2" w:rsidRDefault="00D83E33" w:rsidP="001B330E">
            <w:pPr>
              <w:widowControl w:val="0"/>
              <w:pBdr>
                <w:top w:val="nil"/>
                <w:left w:val="nil"/>
                <w:bottom w:val="nil"/>
                <w:right w:val="nil"/>
                <w:between w:val="nil"/>
              </w:pBdr>
              <w:jc w:val="right"/>
              <w:rPr>
                <w:color w:val="000000"/>
              </w:rPr>
            </w:pPr>
          </w:p>
        </w:tc>
        <w:tc>
          <w:tcPr>
            <w:tcW w:w="823" w:type="pct"/>
          </w:tcPr>
          <w:p w14:paraId="73EE10A2"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CB07DD6" w14:textId="77777777" w:rsidTr="001B330E">
        <w:trPr>
          <w:trHeight w:val="23"/>
        </w:trPr>
        <w:tc>
          <w:tcPr>
            <w:tcW w:w="3353" w:type="pct"/>
            <w:vAlign w:val="bottom"/>
          </w:tcPr>
          <w:p w14:paraId="37402CDF"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Later than 4 years and not later than 5 years</w:t>
            </w:r>
          </w:p>
        </w:tc>
        <w:tc>
          <w:tcPr>
            <w:tcW w:w="823" w:type="pct"/>
            <w:vAlign w:val="bottom"/>
          </w:tcPr>
          <w:p w14:paraId="34063CE1" w14:textId="77777777" w:rsidR="00D83E33" w:rsidRPr="00E837F2" w:rsidRDefault="00D83E33" w:rsidP="001B330E">
            <w:pPr>
              <w:widowControl w:val="0"/>
              <w:pBdr>
                <w:top w:val="nil"/>
                <w:left w:val="nil"/>
                <w:bottom w:val="nil"/>
                <w:right w:val="nil"/>
                <w:between w:val="nil"/>
              </w:pBdr>
              <w:jc w:val="right"/>
              <w:rPr>
                <w:color w:val="000000"/>
              </w:rPr>
            </w:pPr>
          </w:p>
        </w:tc>
        <w:tc>
          <w:tcPr>
            <w:tcW w:w="823" w:type="pct"/>
          </w:tcPr>
          <w:p w14:paraId="6E5A63B8"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316B559" w14:textId="77777777" w:rsidTr="001B330E">
        <w:trPr>
          <w:trHeight w:val="23"/>
        </w:trPr>
        <w:tc>
          <w:tcPr>
            <w:tcW w:w="3353" w:type="pct"/>
            <w:vAlign w:val="bottom"/>
          </w:tcPr>
          <w:p w14:paraId="39D8351D"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Later than 5 years</w:t>
            </w:r>
          </w:p>
        </w:tc>
        <w:tc>
          <w:tcPr>
            <w:tcW w:w="823" w:type="pct"/>
            <w:vAlign w:val="bottom"/>
          </w:tcPr>
          <w:p w14:paraId="367A601E" w14:textId="77777777" w:rsidR="00D83E33" w:rsidRPr="00E837F2" w:rsidRDefault="00D83E33" w:rsidP="001B330E">
            <w:pPr>
              <w:widowControl w:val="0"/>
              <w:pBdr>
                <w:top w:val="nil"/>
                <w:left w:val="nil"/>
                <w:bottom w:val="nil"/>
                <w:right w:val="nil"/>
                <w:between w:val="nil"/>
              </w:pBdr>
              <w:jc w:val="right"/>
              <w:rPr>
                <w:color w:val="000000"/>
              </w:rPr>
            </w:pPr>
          </w:p>
        </w:tc>
        <w:tc>
          <w:tcPr>
            <w:tcW w:w="823" w:type="pct"/>
          </w:tcPr>
          <w:p w14:paraId="0FC63CC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C9164EC" w14:textId="77777777" w:rsidTr="001B330E">
        <w:trPr>
          <w:trHeight w:val="23"/>
        </w:trPr>
        <w:tc>
          <w:tcPr>
            <w:tcW w:w="3353" w:type="pct"/>
            <w:tcBorders>
              <w:bottom w:val="single" w:sz="4" w:space="0" w:color="000000"/>
            </w:tcBorders>
            <w:vAlign w:val="bottom"/>
          </w:tcPr>
          <w:p w14:paraId="5937F85D"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 </w:t>
            </w:r>
          </w:p>
        </w:tc>
        <w:tc>
          <w:tcPr>
            <w:tcW w:w="823" w:type="pct"/>
            <w:tcBorders>
              <w:bottom w:val="single" w:sz="4" w:space="0" w:color="000000"/>
            </w:tcBorders>
            <w:vAlign w:val="bottom"/>
          </w:tcPr>
          <w:p w14:paraId="533FEA3D" w14:textId="77777777" w:rsidR="00D83E33" w:rsidRPr="00E837F2" w:rsidRDefault="00D83E33" w:rsidP="001B330E">
            <w:pPr>
              <w:widowControl w:val="0"/>
              <w:pBdr>
                <w:top w:val="nil"/>
                <w:left w:val="nil"/>
                <w:bottom w:val="nil"/>
                <w:right w:val="nil"/>
                <w:between w:val="nil"/>
              </w:pBdr>
              <w:jc w:val="right"/>
              <w:rPr>
                <w:color w:val="000000"/>
              </w:rPr>
            </w:pPr>
          </w:p>
        </w:tc>
        <w:tc>
          <w:tcPr>
            <w:tcW w:w="823" w:type="pct"/>
            <w:tcBorders>
              <w:bottom w:val="single" w:sz="4" w:space="0" w:color="000000"/>
            </w:tcBorders>
          </w:tcPr>
          <w:p w14:paraId="560A19E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6D462A2" w14:textId="77777777" w:rsidTr="001B330E">
        <w:trPr>
          <w:trHeight w:val="23"/>
        </w:trPr>
        <w:tc>
          <w:tcPr>
            <w:tcW w:w="3353" w:type="pct"/>
            <w:vAlign w:val="bottom"/>
          </w:tcPr>
          <w:p w14:paraId="50D9AB0B" w14:textId="77777777" w:rsidR="00D83E33" w:rsidRPr="00E837F2" w:rsidRDefault="00BC4072" w:rsidP="001B330E">
            <w:pPr>
              <w:widowControl w:val="0"/>
            </w:pPr>
            <w:r w:rsidRPr="00E837F2">
              <w:t> </w:t>
            </w:r>
          </w:p>
        </w:tc>
        <w:tc>
          <w:tcPr>
            <w:tcW w:w="823" w:type="pct"/>
            <w:vAlign w:val="bottom"/>
          </w:tcPr>
          <w:p w14:paraId="4983A1C2" w14:textId="77777777" w:rsidR="00D83E33" w:rsidRPr="00E837F2" w:rsidRDefault="00D83E33" w:rsidP="001B330E">
            <w:pPr>
              <w:widowControl w:val="0"/>
              <w:pBdr>
                <w:top w:val="nil"/>
                <w:left w:val="nil"/>
                <w:bottom w:val="nil"/>
                <w:right w:val="nil"/>
                <w:between w:val="nil"/>
              </w:pBdr>
              <w:jc w:val="right"/>
              <w:rPr>
                <w:b/>
                <w:color w:val="000000"/>
              </w:rPr>
            </w:pPr>
          </w:p>
        </w:tc>
        <w:tc>
          <w:tcPr>
            <w:tcW w:w="823" w:type="pct"/>
          </w:tcPr>
          <w:p w14:paraId="59E1645E" w14:textId="77777777" w:rsidR="00D83E33" w:rsidRPr="00E837F2" w:rsidRDefault="00D83E33" w:rsidP="001B330E">
            <w:pPr>
              <w:widowControl w:val="0"/>
              <w:pBdr>
                <w:top w:val="nil"/>
                <w:left w:val="nil"/>
                <w:bottom w:val="nil"/>
                <w:right w:val="nil"/>
                <w:between w:val="nil"/>
              </w:pBdr>
              <w:jc w:val="right"/>
              <w:rPr>
                <w:b/>
                <w:color w:val="000000"/>
              </w:rPr>
            </w:pPr>
          </w:p>
        </w:tc>
      </w:tr>
      <w:tr w:rsidR="00D83E33" w:rsidRPr="00E837F2" w14:paraId="1812B13F" w14:textId="77777777" w:rsidTr="001B330E">
        <w:trPr>
          <w:trHeight w:val="23"/>
        </w:trPr>
        <w:tc>
          <w:tcPr>
            <w:tcW w:w="3353" w:type="pct"/>
            <w:vAlign w:val="bottom"/>
          </w:tcPr>
          <w:p w14:paraId="0CD8BDB1" w14:textId="2D904442" w:rsidR="00D83E33" w:rsidRPr="00E837F2" w:rsidRDefault="00BC4072" w:rsidP="001B330E">
            <w:pPr>
              <w:widowControl w:val="0"/>
              <w:pBdr>
                <w:top w:val="nil"/>
                <w:left w:val="nil"/>
                <w:bottom w:val="nil"/>
                <w:right w:val="nil"/>
                <w:between w:val="nil"/>
              </w:pBdr>
              <w:rPr>
                <w:b/>
                <w:color w:val="000000"/>
              </w:rPr>
            </w:pPr>
            <w:r w:rsidRPr="00E837F2">
              <w:rPr>
                <w:b/>
                <w:color w:val="000000"/>
              </w:rPr>
              <w:t>Total future operating lease payments receivable at 31</w:t>
            </w:r>
            <w:r w:rsidR="00181687">
              <w:rPr>
                <w:b/>
                <w:color w:val="000000"/>
              </w:rPr>
              <w:t> December </w:t>
            </w:r>
          </w:p>
        </w:tc>
        <w:tc>
          <w:tcPr>
            <w:tcW w:w="823" w:type="pct"/>
            <w:vAlign w:val="bottom"/>
          </w:tcPr>
          <w:p w14:paraId="71F1E4CC" w14:textId="77777777" w:rsidR="00D83E33" w:rsidRPr="00E837F2" w:rsidRDefault="00D83E33" w:rsidP="001B330E">
            <w:pPr>
              <w:widowControl w:val="0"/>
              <w:pBdr>
                <w:top w:val="nil"/>
                <w:left w:val="nil"/>
                <w:bottom w:val="nil"/>
                <w:right w:val="nil"/>
                <w:between w:val="nil"/>
              </w:pBdr>
              <w:jc w:val="right"/>
              <w:rPr>
                <w:b/>
                <w:color w:val="000000"/>
              </w:rPr>
            </w:pPr>
          </w:p>
        </w:tc>
        <w:tc>
          <w:tcPr>
            <w:tcW w:w="823" w:type="pct"/>
          </w:tcPr>
          <w:p w14:paraId="67E35A79" w14:textId="77777777" w:rsidR="00D83E33" w:rsidRPr="00E837F2" w:rsidRDefault="00D83E33" w:rsidP="001B330E">
            <w:pPr>
              <w:widowControl w:val="0"/>
              <w:pBdr>
                <w:top w:val="nil"/>
                <w:left w:val="nil"/>
                <w:bottom w:val="nil"/>
                <w:right w:val="nil"/>
                <w:between w:val="nil"/>
              </w:pBdr>
              <w:jc w:val="right"/>
              <w:rPr>
                <w:b/>
                <w:color w:val="000000"/>
              </w:rPr>
            </w:pPr>
          </w:p>
        </w:tc>
      </w:tr>
      <w:tr w:rsidR="00D83E33" w:rsidRPr="00E837F2" w14:paraId="3BE7F95E" w14:textId="77777777" w:rsidTr="001B330E">
        <w:trPr>
          <w:trHeight w:val="23"/>
        </w:trPr>
        <w:tc>
          <w:tcPr>
            <w:tcW w:w="3353" w:type="pct"/>
            <w:tcBorders>
              <w:bottom w:val="single" w:sz="12" w:space="0" w:color="000000"/>
            </w:tcBorders>
            <w:vAlign w:val="bottom"/>
          </w:tcPr>
          <w:p w14:paraId="202676D6" w14:textId="77777777" w:rsidR="00D83E33" w:rsidRPr="00E837F2" w:rsidRDefault="00BC4072" w:rsidP="001B330E">
            <w:pPr>
              <w:widowControl w:val="0"/>
              <w:rPr>
                <w:b/>
              </w:rPr>
            </w:pPr>
            <w:r w:rsidRPr="00E837F2">
              <w:t> </w:t>
            </w:r>
          </w:p>
        </w:tc>
        <w:tc>
          <w:tcPr>
            <w:tcW w:w="823" w:type="pct"/>
            <w:tcBorders>
              <w:bottom w:val="single" w:sz="12" w:space="0" w:color="000000"/>
            </w:tcBorders>
            <w:vAlign w:val="bottom"/>
          </w:tcPr>
          <w:p w14:paraId="7EA9A503" w14:textId="77777777" w:rsidR="00D83E33" w:rsidRPr="00E837F2" w:rsidRDefault="00D83E33" w:rsidP="001B330E">
            <w:pPr>
              <w:widowControl w:val="0"/>
              <w:pBdr>
                <w:top w:val="nil"/>
                <w:left w:val="nil"/>
                <w:bottom w:val="nil"/>
                <w:right w:val="nil"/>
                <w:between w:val="nil"/>
              </w:pBdr>
              <w:jc w:val="right"/>
              <w:rPr>
                <w:b/>
                <w:color w:val="000000"/>
              </w:rPr>
            </w:pPr>
          </w:p>
        </w:tc>
        <w:tc>
          <w:tcPr>
            <w:tcW w:w="823" w:type="pct"/>
            <w:tcBorders>
              <w:bottom w:val="single" w:sz="12" w:space="0" w:color="000000"/>
            </w:tcBorders>
          </w:tcPr>
          <w:p w14:paraId="4D2C69E9" w14:textId="77777777" w:rsidR="00D83E33" w:rsidRPr="00E837F2" w:rsidRDefault="00D83E33" w:rsidP="001B330E">
            <w:pPr>
              <w:widowControl w:val="0"/>
              <w:pBdr>
                <w:top w:val="nil"/>
                <w:left w:val="nil"/>
                <w:bottom w:val="nil"/>
                <w:right w:val="nil"/>
                <w:between w:val="nil"/>
              </w:pBdr>
              <w:jc w:val="right"/>
              <w:rPr>
                <w:b/>
                <w:color w:val="000000"/>
              </w:rPr>
            </w:pPr>
          </w:p>
        </w:tc>
      </w:tr>
    </w:tbl>
    <w:p w14:paraId="081F1C0F" w14:textId="0EB3FF51" w:rsidR="00D83E33" w:rsidRDefault="00BC4072" w:rsidP="001B330E">
      <w:pPr>
        <w:widowControl w:val="0"/>
        <w:pBdr>
          <w:top w:val="nil"/>
          <w:left w:val="nil"/>
          <w:bottom w:val="nil"/>
          <w:right w:val="nil"/>
          <w:between w:val="nil"/>
        </w:pBdr>
        <w:spacing w:before="200" w:after="200"/>
        <w:jc w:val="both"/>
        <w:rPr>
          <w:i/>
          <w:color w:val="FF0000"/>
          <w:sz w:val="20"/>
          <w:szCs w:val="20"/>
        </w:rPr>
      </w:pPr>
      <w:bookmarkStart w:id="36" w:name="_heading=h.1ci93xb" w:colFirst="0" w:colLast="0"/>
      <w:bookmarkEnd w:id="36"/>
      <w:r>
        <w:rPr>
          <w:color w:val="000000"/>
          <w:sz w:val="20"/>
          <w:szCs w:val="20"/>
        </w:rPr>
        <w:t xml:space="preserve">Total variable lease payments receivable that are not based on an index or rate recognised as income under the Group’s non-cancellable operating leases were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total contingent rent payments receivable recognised as income under the Group’s non-cancellable operating leases were </w:t>
      </w:r>
      <w:r w:rsidR="00D73799">
        <w:rPr>
          <w:color w:val="000000"/>
          <w:sz w:val="20"/>
          <w:szCs w:val="20"/>
        </w:rPr>
        <w:t>EUR</w:t>
      </w:r>
      <w:r>
        <w:rPr>
          <w:color w:val="000000"/>
          <w:sz w:val="20"/>
          <w:szCs w:val="20"/>
        </w:rPr>
        <w:t xml:space="preserve"> _____ thousand). </w:t>
      </w:r>
    </w:p>
    <w:p w14:paraId="07705D8A" w14:textId="77777777" w:rsidR="00D83E33" w:rsidRDefault="00BC4072" w:rsidP="001B330E">
      <w:pPr>
        <w:pStyle w:val="Heading1"/>
      </w:pPr>
      <w:bookmarkStart w:id="37" w:name="_Toc179196016"/>
      <w:r w:rsidRPr="006C5889">
        <w:t>Investment</w:t>
      </w:r>
      <w:r>
        <w:t xml:space="preserve"> in Associates</w:t>
      </w:r>
      <w:bookmarkEnd w:id="37"/>
    </w:p>
    <w:p w14:paraId="7CC119D2" w14:textId="77777777" w:rsidR="00D83E33" w:rsidRDefault="00BC4072" w:rsidP="001B330E">
      <w:pPr>
        <w:widowControl w:val="0"/>
        <w:pBdr>
          <w:top w:val="nil"/>
          <w:left w:val="nil"/>
          <w:bottom w:val="nil"/>
          <w:right w:val="nil"/>
          <w:between w:val="nil"/>
        </w:pBdr>
        <w:spacing w:before="200" w:after="200"/>
        <w:jc w:val="both"/>
        <w:rPr>
          <w:i/>
          <w:color w:val="000000"/>
          <w:sz w:val="20"/>
          <w:szCs w:val="20"/>
        </w:rPr>
      </w:pPr>
      <w:r>
        <w:rPr>
          <w:color w:val="000000"/>
          <w:sz w:val="20"/>
          <w:szCs w:val="20"/>
        </w:rPr>
        <w:t xml:space="preserve">The table below summarises the movements in the carrying amount of the Group’s investment in associates. </w:t>
      </w:r>
    </w:p>
    <w:tbl>
      <w:tblPr>
        <w:tblStyle w:val="affffffffb"/>
        <w:tblW w:w="5000" w:type="pct"/>
        <w:tblLayout w:type="fixed"/>
        <w:tblLook w:val="0000" w:firstRow="0" w:lastRow="0" w:firstColumn="0" w:lastColumn="0" w:noHBand="0" w:noVBand="0"/>
      </w:tblPr>
      <w:tblGrid>
        <w:gridCol w:w="5728"/>
        <w:gridCol w:w="567"/>
        <w:gridCol w:w="1530"/>
        <w:gridCol w:w="1530"/>
      </w:tblGrid>
      <w:tr w:rsidR="00D83E33" w:rsidRPr="00E837F2" w14:paraId="76A10CC9" w14:textId="77777777" w:rsidTr="001B330E">
        <w:trPr>
          <w:trHeight w:val="23"/>
        </w:trPr>
        <w:tc>
          <w:tcPr>
            <w:tcW w:w="3061" w:type="pct"/>
            <w:tcBorders>
              <w:bottom w:val="single" w:sz="4" w:space="0" w:color="000000"/>
            </w:tcBorders>
            <w:vAlign w:val="bottom"/>
          </w:tcPr>
          <w:p w14:paraId="17089151" w14:textId="4CB7A96E" w:rsidR="00D83E33" w:rsidRPr="00E837F2" w:rsidRDefault="00313B4D" w:rsidP="001B330E">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303" w:type="pct"/>
            <w:tcBorders>
              <w:bottom w:val="single" w:sz="4" w:space="0" w:color="000000"/>
            </w:tcBorders>
            <w:vAlign w:val="bottom"/>
          </w:tcPr>
          <w:p w14:paraId="3EBB8600" w14:textId="77777777" w:rsidR="00D83E33" w:rsidRPr="00E837F2" w:rsidRDefault="00D83E33" w:rsidP="001B330E">
            <w:pPr>
              <w:widowControl w:val="0"/>
              <w:jc w:val="center"/>
              <w:rPr>
                <w:b/>
              </w:rPr>
            </w:pPr>
          </w:p>
        </w:tc>
        <w:tc>
          <w:tcPr>
            <w:tcW w:w="818" w:type="pct"/>
            <w:tcBorders>
              <w:bottom w:val="single" w:sz="4" w:space="0" w:color="000000"/>
            </w:tcBorders>
            <w:vAlign w:val="bottom"/>
          </w:tcPr>
          <w:p w14:paraId="3B1082F8" w14:textId="75AC3330" w:rsidR="00D83E33" w:rsidRPr="00E837F2" w:rsidRDefault="00541EBC" w:rsidP="001B330E">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037D3D30" w14:textId="6A34C0A8" w:rsidR="00D83E33" w:rsidRPr="00E837F2" w:rsidRDefault="00541EBC" w:rsidP="001B330E">
            <w:pPr>
              <w:widowControl w:val="0"/>
              <w:pBdr>
                <w:top w:val="nil"/>
                <w:left w:val="nil"/>
                <w:bottom w:val="nil"/>
                <w:right w:val="nil"/>
                <w:between w:val="nil"/>
              </w:pBdr>
              <w:jc w:val="right"/>
              <w:rPr>
                <w:b/>
                <w:color w:val="000000"/>
              </w:rPr>
            </w:pPr>
            <w:r>
              <w:rPr>
                <w:b/>
                <w:color w:val="000000"/>
              </w:rPr>
              <w:t>2023</w:t>
            </w:r>
          </w:p>
        </w:tc>
      </w:tr>
      <w:tr w:rsidR="00D83E33" w:rsidRPr="00E837F2" w14:paraId="1B08133F" w14:textId="77777777" w:rsidTr="001B330E">
        <w:trPr>
          <w:trHeight w:val="23"/>
        </w:trPr>
        <w:tc>
          <w:tcPr>
            <w:tcW w:w="3061" w:type="pct"/>
            <w:tcBorders>
              <w:top w:val="single" w:sz="4" w:space="0" w:color="000000"/>
            </w:tcBorders>
            <w:vAlign w:val="bottom"/>
          </w:tcPr>
          <w:p w14:paraId="1B747D9F" w14:textId="77777777" w:rsidR="00D83E33" w:rsidRPr="001B330E" w:rsidRDefault="00BC4072" w:rsidP="001B330E">
            <w:pPr>
              <w:widowControl w:val="0"/>
              <w:rPr>
                <w:szCs w:val="14"/>
              </w:rPr>
            </w:pPr>
            <w:r w:rsidRPr="001B330E">
              <w:rPr>
                <w:szCs w:val="14"/>
              </w:rPr>
              <w:t> </w:t>
            </w:r>
          </w:p>
        </w:tc>
        <w:tc>
          <w:tcPr>
            <w:tcW w:w="303" w:type="pct"/>
            <w:tcBorders>
              <w:top w:val="single" w:sz="4" w:space="0" w:color="000000"/>
            </w:tcBorders>
            <w:vAlign w:val="bottom"/>
          </w:tcPr>
          <w:p w14:paraId="5F040750" w14:textId="77777777" w:rsidR="00D83E33" w:rsidRPr="001B330E" w:rsidRDefault="00D83E33" w:rsidP="001B330E">
            <w:pPr>
              <w:widowControl w:val="0"/>
              <w:jc w:val="center"/>
              <w:rPr>
                <w:b/>
                <w:szCs w:val="14"/>
              </w:rPr>
            </w:pPr>
          </w:p>
        </w:tc>
        <w:tc>
          <w:tcPr>
            <w:tcW w:w="818" w:type="pct"/>
            <w:tcBorders>
              <w:top w:val="single" w:sz="4" w:space="0" w:color="000000"/>
            </w:tcBorders>
            <w:vAlign w:val="bottom"/>
          </w:tcPr>
          <w:p w14:paraId="38997E00"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818" w:type="pct"/>
            <w:tcBorders>
              <w:top w:val="single" w:sz="4" w:space="0" w:color="000000"/>
            </w:tcBorders>
            <w:vAlign w:val="bottom"/>
          </w:tcPr>
          <w:p w14:paraId="73839C17" w14:textId="77777777" w:rsidR="00D83E33" w:rsidRPr="001B330E" w:rsidRDefault="00D83E33" w:rsidP="001B330E">
            <w:pPr>
              <w:widowControl w:val="0"/>
              <w:pBdr>
                <w:top w:val="nil"/>
                <w:left w:val="nil"/>
                <w:bottom w:val="nil"/>
                <w:right w:val="nil"/>
                <w:between w:val="nil"/>
              </w:pBdr>
              <w:jc w:val="right"/>
              <w:rPr>
                <w:color w:val="000000"/>
                <w:szCs w:val="14"/>
              </w:rPr>
            </w:pPr>
          </w:p>
        </w:tc>
      </w:tr>
      <w:tr w:rsidR="00D83E33" w:rsidRPr="00E837F2" w14:paraId="3A31CC85" w14:textId="77777777" w:rsidTr="001B330E">
        <w:trPr>
          <w:trHeight w:val="23"/>
        </w:trPr>
        <w:tc>
          <w:tcPr>
            <w:tcW w:w="3061" w:type="pct"/>
            <w:vAlign w:val="bottom"/>
          </w:tcPr>
          <w:p w14:paraId="1FD71927" w14:textId="77777777" w:rsidR="00D83E33" w:rsidRPr="00E837F2" w:rsidRDefault="00BC4072" w:rsidP="001B330E">
            <w:pPr>
              <w:widowControl w:val="0"/>
              <w:pBdr>
                <w:top w:val="nil"/>
                <w:left w:val="nil"/>
                <w:bottom w:val="nil"/>
                <w:right w:val="nil"/>
                <w:between w:val="nil"/>
              </w:pBdr>
              <w:rPr>
                <w:b/>
                <w:color w:val="000000"/>
              </w:rPr>
            </w:pPr>
            <w:r w:rsidRPr="00E837F2">
              <w:rPr>
                <w:b/>
                <w:color w:val="000000"/>
              </w:rPr>
              <w:t>Carrying amount at 1 January</w:t>
            </w:r>
          </w:p>
        </w:tc>
        <w:tc>
          <w:tcPr>
            <w:tcW w:w="303" w:type="pct"/>
            <w:vAlign w:val="bottom"/>
          </w:tcPr>
          <w:p w14:paraId="19ECA8AA" w14:textId="77777777" w:rsidR="00D83E33" w:rsidRPr="00E837F2" w:rsidRDefault="00D83E33" w:rsidP="001B330E">
            <w:pPr>
              <w:widowControl w:val="0"/>
              <w:pBdr>
                <w:top w:val="nil"/>
                <w:left w:val="nil"/>
                <w:bottom w:val="nil"/>
                <w:right w:val="nil"/>
                <w:between w:val="nil"/>
              </w:pBdr>
              <w:jc w:val="center"/>
              <w:rPr>
                <w:b/>
                <w:color w:val="000000"/>
              </w:rPr>
            </w:pPr>
          </w:p>
        </w:tc>
        <w:tc>
          <w:tcPr>
            <w:tcW w:w="818" w:type="pct"/>
            <w:vAlign w:val="bottom"/>
          </w:tcPr>
          <w:p w14:paraId="270F3DC7" w14:textId="77777777" w:rsidR="00D83E33" w:rsidRPr="00E837F2" w:rsidRDefault="00D83E33" w:rsidP="001B330E">
            <w:pPr>
              <w:widowControl w:val="0"/>
              <w:pBdr>
                <w:top w:val="nil"/>
                <w:left w:val="nil"/>
                <w:bottom w:val="nil"/>
                <w:right w:val="nil"/>
                <w:between w:val="nil"/>
              </w:pBdr>
              <w:jc w:val="right"/>
              <w:rPr>
                <w:b/>
                <w:color w:val="000000"/>
              </w:rPr>
            </w:pPr>
          </w:p>
        </w:tc>
        <w:tc>
          <w:tcPr>
            <w:tcW w:w="818" w:type="pct"/>
            <w:vAlign w:val="bottom"/>
          </w:tcPr>
          <w:p w14:paraId="0EC1C1BB" w14:textId="77777777" w:rsidR="00D83E33" w:rsidRPr="00E837F2" w:rsidRDefault="00D83E33" w:rsidP="001B330E">
            <w:pPr>
              <w:widowControl w:val="0"/>
              <w:pBdr>
                <w:top w:val="nil"/>
                <w:left w:val="nil"/>
                <w:bottom w:val="nil"/>
                <w:right w:val="nil"/>
                <w:between w:val="nil"/>
              </w:pBdr>
              <w:jc w:val="right"/>
              <w:rPr>
                <w:b/>
                <w:color w:val="000000"/>
              </w:rPr>
            </w:pPr>
          </w:p>
        </w:tc>
      </w:tr>
      <w:tr w:rsidR="00D83E33" w:rsidRPr="00E837F2" w14:paraId="6698108F" w14:textId="77777777" w:rsidTr="001B330E">
        <w:trPr>
          <w:trHeight w:val="23"/>
        </w:trPr>
        <w:tc>
          <w:tcPr>
            <w:tcW w:w="3061" w:type="pct"/>
            <w:vAlign w:val="bottom"/>
          </w:tcPr>
          <w:p w14:paraId="237FDCE4" w14:textId="77777777" w:rsidR="00D83E33" w:rsidRPr="001B330E" w:rsidRDefault="00BC4072" w:rsidP="001B330E">
            <w:pPr>
              <w:widowControl w:val="0"/>
              <w:pBdr>
                <w:top w:val="nil"/>
                <w:left w:val="nil"/>
                <w:bottom w:val="nil"/>
                <w:right w:val="nil"/>
                <w:between w:val="nil"/>
              </w:pBdr>
              <w:rPr>
                <w:color w:val="000000"/>
                <w:szCs w:val="16"/>
              </w:rPr>
            </w:pPr>
            <w:r w:rsidRPr="001B330E">
              <w:rPr>
                <w:color w:val="000000"/>
                <w:szCs w:val="16"/>
              </w:rPr>
              <w:t> </w:t>
            </w:r>
          </w:p>
        </w:tc>
        <w:tc>
          <w:tcPr>
            <w:tcW w:w="303" w:type="pct"/>
            <w:vAlign w:val="bottom"/>
          </w:tcPr>
          <w:p w14:paraId="7B49D0BF" w14:textId="77777777" w:rsidR="00D83E33" w:rsidRPr="001B330E" w:rsidRDefault="00D83E33" w:rsidP="001B330E">
            <w:pPr>
              <w:widowControl w:val="0"/>
              <w:pBdr>
                <w:top w:val="nil"/>
                <w:left w:val="nil"/>
                <w:bottom w:val="nil"/>
                <w:right w:val="nil"/>
                <w:between w:val="nil"/>
              </w:pBdr>
              <w:jc w:val="center"/>
              <w:rPr>
                <w:b/>
                <w:color w:val="000000"/>
                <w:szCs w:val="16"/>
              </w:rPr>
            </w:pPr>
          </w:p>
        </w:tc>
        <w:tc>
          <w:tcPr>
            <w:tcW w:w="818" w:type="pct"/>
            <w:vAlign w:val="bottom"/>
          </w:tcPr>
          <w:p w14:paraId="59DA18E2" w14:textId="77777777" w:rsidR="00D83E33" w:rsidRPr="001B330E" w:rsidRDefault="00D83E33" w:rsidP="001B330E">
            <w:pPr>
              <w:widowControl w:val="0"/>
              <w:pBdr>
                <w:top w:val="nil"/>
                <w:left w:val="nil"/>
                <w:bottom w:val="nil"/>
                <w:right w:val="nil"/>
                <w:between w:val="nil"/>
              </w:pBdr>
              <w:jc w:val="right"/>
              <w:rPr>
                <w:color w:val="000000"/>
                <w:szCs w:val="16"/>
              </w:rPr>
            </w:pPr>
          </w:p>
        </w:tc>
        <w:tc>
          <w:tcPr>
            <w:tcW w:w="818" w:type="pct"/>
            <w:vAlign w:val="bottom"/>
          </w:tcPr>
          <w:p w14:paraId="1EF98CB7" w14:textId="77777777" w:rsidR="00D83E33" w:rsidRPr="001B330E" w:rsidRDefault="00D83E33" w:rsidP="001B330E">
            <w:pPr>
              <w:widowControl w:val="0"/>
              <w:pBdr>
                <w:top w:val="nil"/>
                <w:left w:val="nil"/>
                <w:bottom w:val="nil"/>
                <w:right w:val="nil"/>
                <w:between w:val="nil"/>
              </w:pBdr>
              <w:jc w:val="right"/>
              <w:rPr>
                <w:color w:val="000000"/>
                <w:szCs w:val="16"/>
              </w:rPr>
            </w:pPr>
          </w:p>
        </w:tc>
      </w:tr>
      <w:tr w:rsidR="00D83E33" w:rsidRPr="00E837F2" w14:paraId="30780218" w14:textId="77777777" w:rsidTr="001B330E">
        <w:trPr>
          <w:trHeight w:val="23"/>
        </w:trPr>
        <w:tc>
          <w:tcPr>
            <w:tcW w:w="3061" w:type="pct"/>
            <w:vAlign w:val="bottom"/>
          </w:tcPr>
          <w:p w14:paraId="72C0341C"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Fair value of net assets of associate acquired</w:t>
            </w:r>
          </w:p>
        </w:tc>
        <w:tc>
          <w:tcPr>
            <w:tcW w:w="303" w:type="pct"/>
            <w:vAlign w:val="bottom"/>
          </w:tcPr>
          <w:p w14:paraId="529C012B" w14:textId="77777777" w:rsidR="00D83E33" w:rsidRPr="00E837F2" w:rsidRDefault="00D83E33" w:rsidP="001B330E">
            <w:pPr>
              <w:widowControl w:val="0"/>
              <w:pBdr>
                <w:top w:val="nil"/>
                <w:left w:val="nil"/>
                <w:bottom w:val="nil"/>
                <w:right w:val="nil"/>
                <w:between w:val="nil"/>
              </w:pBdr>
              <w:jc w:val="center"/>
              <w:rPr>
                <w:b/>
                <w:color w:val="000000"/>
              </w:rPr>
            </w:pPr>
          </w:p>
        </w:tc>
        <w:tc>
          <w:tcPr>
            <w:tcW w:w="818" w:type="pct"/>
            <w:vAlign w:val="bottom"/>
          </w:tcPr>
          <w:p w14:paraId="45E5B725"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18AFEF32"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DC3CE04" w14:textId="77777777" w:rsidTr="001B330E">
        <w:trPr>
          <w:trHeight w:val="23"/>
        </w:trPr>
        <w:tc>
          <w:tcPr>
            <w:tcW w:w="3061" w:type="pct"/>
            <w:vAlign w:val="bottom"/>
          </w:tcPr>
          <w:p w14:paraId="06F51DA7"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Goodwill arising on acquisition of associate</w:t>
            </w:r>
          </w:p>
        </w:tc>
        <w:tc>
          <w:tcPr>
            <w:tcW w:w="303" w:type="pct"/>
            <w:vAlign w:val="bottom"/>
          </w:tcPr>
          <w:p w14:paraId="047F355C" w14:textId="77777777" w:rsidR="00D83E33" w:rsidRPr="00E837F2" w:rsidRDefault="00D83E33" w:rsidP="001B330E">
            <w:pPr>
              <w:widowControl w:val="0"/>
              <w:pBdr>
                <w:top w:val="nil"/>
                <w:left w:val="nil"/>
                <w:bottom w:val="nil"/>
                <w:right w:val="nil"/>
                <w:between w:val="nil"/>
              </w:pBdr>
              <w:jc w:val="center"/>
              <w:rPr>
                <w:b/>
                <w:color w:val="000000"/>
              </w:rPr>
            </w:pPr>
          </w:p>
        </w:tc>
        <w:tc>
          <w:tcPr>
            <w:tcW w:w="818" w:type="pct"/>
            <w:vAlign w:val="bottom"/>
          </w:tcPr>
          <w:p w14:paraId="1F2ECBE9"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61517A0A"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2D5EBC3" w14:textId="77777777" w:rsidTr="001B330E">
        <w:trPr>
          <w:trHeight w:val="23"/>
        </w:trPr>
        <w:tc>
          <w:tcPr>
            <w:tcW w:w="3061" w:type="pct"/>
            <w:vAlign w:val="bottom"/>
          </w:tcPr>
          <w:p w14:paraId="2BC33703"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 xml:space="preserve">Share of profit of associates </w:t>
            </w:r>
          </w:p>
        </w:tc>
        <w:tc>
          <w:tcPr>
            <w:tcW w:w="303" w:type="pct"/>
            <w:vAlign w:val="bottom"/>
          </w:tcPr>
          <w:p w14:paraId="7B223378" w14:textId="77777777" w:rsidR="00D83E33" w:rsidRPr="00E837F2" w:rsidRDefault="00D83E33" w:rsidP="001B330E">
            <w:pPr>
              <w:widowControl w:val="0"/>
              <w:pBdr>
                <w:top w:val="nil"/>
                <w:left w:val="nil"/>
                <w:bottom w:val="nil"/>
                <w:right w:val="nil"/>
                <w:between w:val="nil"/>
              </w:pBdr>
              <w:jc w:val="center"/>
              <w:rPr>
                <w:b/>
                <w:color w:val="000000"/>
              </w:rPr>
            </w:pPr>
          </w:p>
        </w:tc>
        <w:tc>
          <w:tcPr>
            <w:tcW w:w="818" w:type="pct"/>
            <w:vAlign w:val="bottom"/>
          </w:tcPr>
          <w:p w14:paraId="6A1D8A70"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0A54D0AB"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258D2A8" w14:textId="77777777" w:rsidTr="001B330E">
        <w:trPr>
          <w:trHeight w:val="23"/>
        </w:trPr>
        <w:tc>
          <w:tcPr>
            <w:tcW w:w="3061" w:type="pct"/>
            <w:vAlign w:val="bottom"/>
          </w:tcPr>
          <w:p w14:paraId="13C28829"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Share of other equity movements of associates</w:t>
            </w:r>
          </w:p>
        </w:tc>
        <w:tc>
          <w:tcPr>
            <w:tcW w:w="303" w:type="pct"/>
            <w:vAlign w:val="bottom"/>
          </w:tcPr>
          <w:p w14:paraId="28EE4B29" w14:textId="77777777" w:rsidR="00D83E33" w:rsidRPr="00E837F2" w:rsidRDefault="00D83E33" w:rsidP="001B330E">
            <w:pPr>
              <w:widowControl w:val="0"/>
              <w:pBdr>
                <w:top w:val="nil"/>
                <w:left w:val="nil"/>
                <w:bottom w:val="nil"/>
                <w:right w:val="nil"/>
                <w:between w:val="nil"/>
              </w:pBdr>
              <w:jc w:val="center"/>
              <w:rPr>
                <w:b/>
                <w:color w:val="000000"/>
              </w:rPr>
            </w:pPr>
          </w:p>
        </w:tc>
        <w:tc>
          <w:tcPr>
            <w:tcW w:w="818" w:type="pct"/>
            <w:vAlign w:val="bottom"/>
          </w:tcPr>
          <w:p w14:paraId="58C63B8F"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47E7CAB8"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879AB0F" w14:textId="77777777" w:rsidTr="001B330E">
        <w:trPr>
          <w:trHeight w:val="23"/>
        </w:trPr>
        <w:tc>
          <w:tcPr>
            <w:tcW w:w="3061" w:type="pct"/>
            <w:vAlign w:val="bottom"/>
          </w:tcPr>
          <w:p w14:paraId="44963A64"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Dividends from associates</w:t>
            </w:r>
          </w:p>
        </w:tc>
        <w:tc>
          <w:tcPr>
            <w:tcW w:w="303" w:type="pct"/>
            <w:vAlign w:val="bottom"/>
          </w:tcPr>
          <w:p w14:paraId="524AF37B" w14:textId="77777777" w:rsidR="00D83E33" w:rsidRPr="00E837F2" w:rsidRDefault="00D83E33" w:rsidP="001B330E">
            <w:pPr>
              <w:widowControl w:val="0"/>
              <w:jc w:val="center"/>
              <w:rPr>
                <w:b/>
              </w:rPr>
            </w:pPr>
          </w:p>
        </w:tc>
        <w:tc>
          <w:tcPr>
            <w:tcW w:w="818" w:type="pct"/>
            <w:vAlign w:val="bottom"/>
          </w:tcPr>
          <w:p w14:paraId="206B97C4"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5AAA0B2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C12E4B4" w14:textId="77777777" w:rsidTr="001B330E">
        <w:trPr>
          <w:trHeight w:val="23"/>
        </w:trPr>
        <w:tc>
          <w:tcPr>
            <w:tcW w:w="3061" w:type="pct"/>
            <w:vAlign w:val="bottom"/>
          </w:tcPr>
          <w:p w14:paraId="7EA42F85"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Impairment of investments in associates</w:t>
            </w:r>
          </w:p>
        </w:tc>
        <w:tc>
          <w:tcPr>
            <w:tcW w:w="303" w:type="pct"/>
            <w:vAlign w:val="bottom"/>
          </w:tcPr>
          <w:p w14:paraId="7BBFEFAF" w14:textId="77777777" w:rsidR="00D83E33" w:rsidRPr="00E837F2" w:rsidRDefault="00D83E33" w:rsidP="001B330E">
            <w:pPr>
              <w:widowControl w:val="0"/>
              <w:jc w:val="center"/>
              <w:rPr>
                <w:b/>
              </w:rPr>
            </w:pPr>
          </w:p>
        </w:tc>
        <w:tc>
          <w:tcPr>
            <w:tcW w:w="818" w:type="pct"/>
            <w:vAlign w:val="bottom"/>
          </w:tcPr>
          <w:p w14:paraId="0D5AFBD9"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767C5D44"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51A9A23" w14:textId="77777777" w:rsidTr="001B330E">
        <w:trPr>
          <w:trHeight w:val="23"/>
        </w:trPr>
        <w:tc>
          <w:tcPr>
            <w:tcW w:w="3061" w:type="pct"/>
            <w:vAlign w:val="bottom"/>
          </w:tcPr>
          <w:p w14:paraId="1BDC8F8E" w14:textId="77777777" w:rsidR="00D83E33" w:rsidRPr="00E837F2" w:rsidRDefault="00BC4072" w:rsidP="001B330E">
            <w:pPr>
              <w:widowControl w:val="0"/>
              <w:pBdr>
                <w:top w:val="nil"/>
                <w:left w:val="nil"/>
                <w:bottom w:val="nil"/>
                <w:right w:val="nil"/>
                <w:between w:val="nil"/>
              </w:pBdr>
              <w:rPr>
                <w:color w:val="0000FF"/>
              </w:rPr>
            </w:pPr>
            <w:r w:rsidRPr="00E837F2">
              <w:rPr>
                <w:color w:val="0000FF"/>
              </w:rPr>
              <w:t>[Translation to presentation currency]</w:t>
            </w:r>
          </w:p>
        </w:tc>
        <w:tc>
          <w:tcPr>
            <w:tcW w:w="303" w:type="pct"/>
            <w:vAlign w:val="bottom"/>
          </w:tcPr>
          <w:p w14:paraId="777BFCF8" w14:textId="77777777" w:rsidR="00D83E33" w:rsidRPr="00E837F2" w:rsidRDefault="00D83E33" w:rsidP="001B330E">
            <w:pPr>
              <w:widowControl w:val="0"/>
              <w:jc w:val="center"/>
              <w:rPr>
                <w:b/>
              </w:rPr>
            </w:pPr>
          </w:p>
        </w:tc>
        <w:tc>
          <w:tcPr>
            <w:tcW w:w="818" w:type="pct"/>
            <w:vAlign w:val="bottom"/>
          </w:tcPr>
          <w:p w14:paraId="6AA4B3BF" w14:textId="77777777" w:rsidR="00D83E33" w:rsidRPr="00E837F2" w:rsidRDefault="00D83E33" w:rsidP="001B330E">
            <w:pPr>
              <w:widowControl w:val="0"/>
              <w:pBdr>
                <w:top w:val="nil"/>
                <w:left w:val="nil"/>
                <w:bottom w:val="nil"/>
                <w:right w:val="nil"/>
                <w:between w:val="nil"/>
              </w:pBdr>
              <w:jc w:val="right"/>
              <w:rPr>
                <w:color w:val="000000"/>
              </w:rPr>
            </w:pPr>
          </w:p>
        </w:tc>
        <w:tc>
          <w:tcPr>
            <w:tcW w:w="818" w:type="pct"/>
            <w:vAlign w:val="bottom"/>
          </w:tcPr>
          <w:p w14:paraId="4B9097C1"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2B45E69" w14:textId="77777777" w:rsidTr="001B330E">
        <w:trPr>
          <w:trHeight w:val="23"/>
        </w:trPr>
        <w:tc>
          <w:tcPr>
            <w:tcW w:w="3061" w:type="pct"/>
            <w:tcBorders>
              <w:bottom w:val="single" w:sz="4" w:space="0" w:color="000000"/>
            </w:tcBorders>
            <w:vAlign w:val="bottom"/>
          </w:tcPr>
          <w:p w14:paraId="6897EE14" w14:textId="77777777" w:rsidR="00D83E33" w:rsidRPr="001B330E" w:rsidRDefault="00BC4072" w:rsidP="001B330E">
            <w:pPr>
              <w:widowControl w:val="0"/>
              <w:pBdr>
                <w:top w:val="nil"/>
                <w:left w:val="nil"/>
                <w:bottom w:val="nil"/>
                <w:right w:val="nil"/>
                <w:between w:val="nil"/>
              </w:pBdr>
              <w:rPr>
                <w:color w:val="000000"/>
                <w:szCs w:val="14"/>
              </w:rPr>
            </w:pPr>
            <w:r w:rsidRPr="001B330E">
              <w:rPr>
                <w:color w:val="000000"/>
                <w:szCs w:val="14"/>
              </w:rPr>
              <w:t> </w:t>
            </w:r>
          </w:p>
        </w:tc>
        <w:tc>
          <w:tcPr>
            <w:tcW w:w="303" w:type="pct"/>
            <w:tcBorders>
              <w:bottom w:val="single" w:sz="4" w:space="0" w:color="000000"/>
            </w:tcBorders>
            <w:vAlign w:val="bottom"/>
          </w:tcPr>
          <w:p w14:paraId="27956C67" w14:textId="77777777" w:rsidR="00D83E33" w:rsidRPr="001B330E" w:rsidRDefault="00D83E33" w:rsidP="001B330E">
            <w:pPr>
              <w:widowControl w:val="0"/>
              <w:jc w:val="center"/>
              <w:rPr>
                <w:b/>
                <w:szCs w:val="14"/>
              </w:rPr>
            </w:pPr>
          </w:p>
        </w:tc>
        <w:tc>
          <w:tcPr>
            <w:tcW w:w="818" w:type="pct"/>
            <w:tcBorders>
              <w:bottom w:val="single" w:sz="4" w:space="0" w:color="000000"/>
            </w:tcBorders>
            <w:vAlign w:val="bottom"/>
          </w:tcPr>
          <w:p w14:paraId="2A6C7DEA"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818" w:type="pct"/>
            <w:tcBorders>
              <w:bottom w:val="single" w:sz="4" w:space="0" w:color="000000"/>
            </w:tcBorders>
            <w:vAlign w:val="bottom"/>
          </w:tcPr>
          <w:p w14:paraId="1F275353" w14:textId="77777777" w:rsidR="00D83E33" w:rsidRPr="001B330E" w:rsidRDefault="00D83E33" w:rsidP="001B330E">
            <w:pPr>
              <w:widowControl w:val="0"/>
              <w:pBdr>
                <w:top w:val="nil"/>
                <w:left w:val="nil"/>
                <w:bottom w:val="nil"/>
                <w:right w:val="nil"/>
                <w:between w:val="nil"/>
              </w:pBdr>
              <w:jc w:val="right"/>
              <w:rPr>
                <w:color w:val="000000"/>
                <w:szCs w:val="14"/>
              </w:rPr>
            </w:pPr>
          </w:p>
        </w:tc>
      </w:tr>
      <w:tr w:rsidR="00D83E33" w:rsidRPr="00E837F2" w14:paraId="48F6476E" w14:textId="77777777" w:rsidTr="001B330E">
        <w:trPr>
          <w:trHeight w:val="23"/>
        </w:trPr>
        <w:tc>
          <w:tcPr>
            <w:tcW w:w="3061" w:type="pct"/>
            <w:tcBorders>
              <w:top w:val="single" w:sz="4" w:space="0" w:color="000000"/>
            </w:tcBorders>
            <w:vAlign w:val="bottom"/>
          </w:tcPr>
          <w:p w14:paraId="1C96B205" w14:textId="77777777" w:rsidR="00D83E33" w:rsidRPr="001B330E" w:rsidRDefault="00BC4072" w:rsidP="001B330E">
            <w:pPr>
              <w:widowControl w:val="0"/>
              <w:rPr>
                <w:szCs w:val="14"/>
              </w:rPr>
            </w:pPr>
            <w:r w:rsidRPr="001B330E">
              <w:rPr>
                <w:szCs w:val="14"/>
              </w:rPr>
              <w:t> </w:t>
            </w:r>
          </w:p>
        </w:tc>
        <w:tc>
          <w:tcPr>
            <w:tcW w:w="303" w:type="pct"/>
            <w:tcBorders>
              <w:top w:val="single" w:sz="4" w:space="0" w:color="000000"/>
            </w:tcBorders>
            <w:vAlign w:val="bottom"/>
          </w:tcPr>
          <w:p w14:paraId="5C38356B" w14:textId="77777777" w:rsidR="00D83E33" w:rsidRPr="001B330E" w:rsidRDefault="00D83E33" w:rsidP="001B330E">
            <w:pPr>
              <w:widowControl w:val="0"/>
              <w:jc w:val="center"/>
              <w:rPr>
                <w:szCs w:val="14"/>
              </w:rPr>
            </w:pPr>
          </w:p>
        </w:tc>
        <w:tc>
          <w:tcPr>
            <w:tcW w:w="818" w:type="pct"/>
            <w:tcBorders>
              <w:top w:val="single" w:sz="4" w:space="0" w:color="000000"/>
            </w:tcBorders>
            <w:vAlign w:val="bottom"/>
          </w:tcPr>
          <w:p w14:paraId="73662E46" w14:textId="77777777" w:rsidR="00D83E33" w:rsidRPr="001B330E" w:rsidRDefault="00D83E33" w:rsidP="001B330E">
            <w:pPr>
              <w:widowControl w:val="0"/>
              <w:pBdr>
                <w:top w:val="nil"/>
                <w:left w:val="nil"/>
                <w:bottom w:val="nil"/>
                <w:right w:val="nil"/>
                <w:between w:val="nil"/>
              </w:pBdr>
              <w:jc w:val="right"/>
              <w:rPr>
                <w:b/>
                <w:color w:val="000000"/>
                <w:szCs w:val="14"/>
              </w:rPr>
            </w:pPr>
          </w:p>
        </w:tc>
        <w:tc>
          <w:tcPr>
            <w:tcW w:w="818" w:type="pct"/>
            <w:tcBorders>
              <w:top w:val="single" w:sz="4" w:space="0" w:color="000000"/>
            </w:tcBorders>
            <w:vAlign w:val="bottom"/>
          </w:tcPr>
          <w:p w14:paraId="320A1C8E" w14:textId="77777777" w:rsidR="00D83E33" w:rsidRPr="001B330E" w:rsidRDefault="00D83E33" w:rsidP="001B330E">
            <w:pPr>
              <w:widowControl w:val="0"/>
              <w:pBdr>
                <w:top w:val="nil"/>
                <w:left w:val="nil"/>
                <w:bottom w:val="nil"/>
                <w:right w:val="nil"/>
                <w:between w:val="nil"/>
              </w:pBdr>
              <w:jc w:val="right"/>
              <w:rPr>
                <w:b/>
                <w:color w:val="000000"/>
                <w:szCs w:val="14"/>
              </w:rPr>
            </w:pPr>
          </w:p>
        </w:tc>
      </w:tr>
      <w:tr w:rsidR="00D83E33" w:rsidRPr="00E837F2" w14:paraId="775EC665" w14:textId="77777777" w:rsidTr="001B330E">
        <w:trPr>
          <w:trHeight w:val="23"/>
        </w:trPr>
        <w:tc>
          <w:tcPr>
            <w:tcW w:w="3061" w:type="pct"/>
            <w:vAlign w:val="bottom"/>
          </w:tcPr>
          <w:p w14:paraId="2B1F2A9E" w14:textId="77777777" w:rsidR="00D83E33" w:rsidRPr="00E837F2" w:rsidRDefault="00BC4072" w:rsidP="001B330E">
            <w:pPr>
              <w:widowControl w:val="0"/>
              <w:pBdr>
                <w:top w:val="nil"/>
                <w:left w:val="nil"/>
                <w:bottom w:val="nil"/>
                <w:right w:val="nil"/>
                <w:between w:val="nil"/>
              </w:pBdr>
              <w:rPr>
                <w:b/>
                <w:color w:val="000000"/>
              </w:rPr>
            </w:pPr>
            <w:r w:rsidRPr="00E837F2">
              <w:rPr>
                <w:b/>
                <w:color w:val="000000"/>
              </w:rPr>
              <w:t>Carrying amount at 31 December</w:t>
            </w:r>
          </w:p>
        </w:tc>
        <w:tc>
          <w:tcPr>
            <w:tcW w:w="303" w:type="pct"/>
            <w:vAlign w:val="bottom"/>
          </w:tcPr>
          <w:p w14:paraId="65B2B933" w14:textId="77777777" w:rsidR="00D83E33" w:rsidRPr="00E837F2" w:rsidRDefault="00D83E33" w:rsidP="001B330E">
            <w:pPr>
              <w:widowControl w:val="0"/>
              <w:jc w:val="center"/>
              <w:rPr>
                <w:b/>
              </w:rPr>
            </w:pPr>
          </w:p>
        </w:tc>
        <w:tc>
          <w:tcPr>
            <w:tcW w:w="818" w:type="pct"/>
            <w:vAlign w:val="bottom"/>
          </w:tcPr>
          <w:p w14:paraId="1477D683" w14:textId="77777777" w:rsidR="00D83E33" w:rsidRPr="00E837F2" w:rsidRDefault="00D83E33" w:rsidP="001B330E">
            <w:pPr>
              <w:widowControl w:val="0"/>
              <w:pBdr>
                <w:top w:val="nil"/>
                <w:left w:val="nil"/>
                <w:bottom w:val="nil"/>
                <w:right w:val="nil"/>
                <w:between w:val="nil"/>
              </w:pBdr>
              <w:jc w:val="right"/>
              <w:rPr>
                <w:b/>
                <w:color w:val="000000"/>
              </w:rPr>
            </w:pPr>
          </w:p>
        </w:tc>
        <w:tc>
          <w:tcPr>
            <w:tcW w:w="818" w:type="pct"/>
            <w:vAlign w:val="bottom"/>
          </w:tcPr>
          <w:p w14:paraId="546D122A" w14:textId="77777777" w:rsidR="00D83E33" w:rsidRPr="00E837F2" w:rsidRDefault="00D83E33" w:rsidP="001B330E">
            <w:pPr>
              <w:widowControl w:val="0"/>
              <w:pBdr>
                <w:top w:val="nil"/>
                <w:left w:val="nil"/>
                <w:bottom w:val="nil"/>
                <w:right w:val="nil"/>
                <w:between w:val="nil"/>
              </w:pBdr>
              <w:jc w:val="right"/>
              <w:rPr>
                <w:b/>
                <w:color w:val="000000"/>
              </w:rPr>
            </w:pPr>
          </w:p>
        </w:tc>
      </w:tr>
      <w:tr w:rsidR="00D83E33" w:rsidRPr="00E837F2" w14:paraId="3C200341" w14:textId="77777777" w:rsidTr="001B330E">
        <w:trPr>
          <w:trHeight w:val="23"/>
        </w:trPr>
        <w:tc>
          <w:tcPr>
            <w:tcW w:w="3061" w:type="pct"/>
            <w:tcBorders>
              <w:bottom w:val="single" w:sz="12" w:space="0" w:color="000000"/>
            </w:tcBorders>
            <w:vAlign w:val="bottom"/>
          </w:tcPr>
          <w:p w14:paraId="09EE1B8A" w14:textId="77777777" w:rsidR="00D83E33" w:rsidRPr="001B330E" w:rsidRDefault="00BC4072" w:rsidP="001B330E">
            <w:pPr>
              <w:widowControl w:val="0"/>
              <w:rPr>
                <w:szCs w:val="14"/>
              </w:rPr>
            </w:pPr>
            <w:r w:rsidRPr="001B330E">
              <w:rPr>
                <w:szCs w:val="14"/>
              </w:rPr>
              <w:t> </w:t>
            </w:r>
          </w:p>
        </w:tc>
        <w:tc>
          <w:tcPr>
            <w:tcW w:w="303" w:type="pct"/>
            <w:tcBorders>
              <w:bottom w:val="single" w:sz="12" w:space="0" w:color="000000"/>
            </w:tcBorders>
            <w:vAlign w:val="bottom"/>
          </w:tcPr>
          <w:p w14:paraId="0EA32094" w14:textId="77777777" w:rsidR="00D83E33" w:rsidRPr="001B330E" w:rsidRDefault="00D83E33" w:rsidP="001B330E">
            <w:pPr>
              <w:widowControl w:val="0"/>
              <w:jc w:val="center"/>
              <w:rPr>
                <w:szCs w:val="14"/>
              </w:rPr>
            </w:pPr>
          </w:p>
        </w:tc>
        <w:tc>
          <w:tcPr>
            <w:tcW w:w="818" w:type="pct"/>
            <w:tcBorders>
              <w:bottom w:val="single" w:sz="12" w:space="0" w:color="000000"/>
            </w:tcBorders>
            <w:vAlign w:val="bottom"/>
          </w:tcPr>
          <w:p w14:paraId="23257E06" w14:textId="77777777" w:rsidR="00D83E33" w:rsidRPr="001B330E" w:rsidRDefault="00D83E33" w:rsidP="001B330E">
            <w:pPr>
              <w:widowControl w:val="0"/>
              <w:pBdr>
                <w:top w:val="nil"/>
                <w:left w:val="nil"/>
                <w:bottom w:val="nil"/>
                <w:right w:val="nil"/>
                <w:between w:val="nil"/>
              </w:pBdr>
              <w:jc w:val="right"/>
              <w:rPr>
                <w:b/>
                <w:color w:val="000000"/>
                <w:szCs w:val="14"/>
              </w:rPr>
            </w:pPr>
          </w:p>
        </w:tc>
        <w:tc>
          <w:tcPr>
            <w:tcW w:w="818" w:type="pct"/>
            <w:tcBorders>
              <w:bottom w:val="single" w:sz="12" w:space="0" w:color="000000"/>
            </w:tcBorders>
            <w:vAlign w:val="bottom"/>
          </w:tcPr>
          <w:p w14:paraId="70605EC1" w14:textId="77777777" w:rsidR="00D83E33" w:rsidRPr="001B330E" w:rsidRDefault="00D83E33" w:rsidP="001B330E">
            <w:pPr>
              <w:widowControl w:val="0"/>
              <w:pBdr>
                <w:top w:val="nil"/>
                <w:left w:val="nil"/>
                <w:bottom w:val="nil"/>
                <w:right w:val="nil"/>
                <w:between w:val="nil"/>
              </w:pBdr>
              <w:jc w:val="right"/>
              <w:rPr>
                <w:b/>
                <w:color w:val="000000"/>
                <w:szCs w:val="14"/>
              </w:rPr>
            </w:pPr>
          </w:p>
        </w:tc>
      </w:tr>
    </w:tbl>
    <w:p w14:paraId="151FD535" w14:textId="77777777" w:rsidR="003B2D97" w:rsidRDefault="003B2D97" w:rsidP="003B2D97">
      <w:pPr>
        <w:pStyle w:val="Continued"/>
      </w:pPr>
      <w:r>
        <w:lastRenderedPageBreak/>
        <w:t>14</w:t>
      </w:r>
      <w:r>
        <w:tab/>
        <w:t>Investment in Associates (Continued)</w:t>
      </w:r>
    </w:p>
    <w:p w14:paraId="3329B93E"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The Group’s interests in its principal associates were as follows:</w:t>
      </w:r>
    </w:p>
    <w:tbl>
      <w:tblPr>
        <w:tblStyle w:val="affffffffc"/>
        <w:tblW w:w="5000" w:type="pct"/>
        <w:tblLayout w:type="fixed"/>
        <w:tblLook w:val="0000" w:firstRow="0" w:lastRow="0" w:firstColumn="0" w:lastColumn="0" w:noHBand="0" w:noVBand="0"/>
      </w:tblPr>
      <w:tblGrid>
        <w:gridCol w:w="3913"/>
        <w:gridCol w:w="1360"/>
        <w:gridCol w:w="1362"/>
        <w:gridCol w:w="1360"/>
        <w:gridCol w:w="1360"/>
      </w:tblGrid>
      <w:tr w:rsidR="00D83E33" w:rsidRPr="00E837F2" w14:paraId="4D858C89" w14:textId="77777777" w:rsidTr="001B330E">
        <w:trPr>
          <w:trHeight w:val="23"/>
        </w:trPr>
        <w:tc>
          <w:tcPr>
            <w:tcW w:w="2091" w:type="pct"/>
            <w:vAlign w:val="bottom"/>
          </w:tcPr>
          <w:p w14:paraId="62B45730" w14:textId="77777777" w:rsidR="00D83E33" w:rsidRPr="00E837F2" w:rsidRDefault="00D83E33" w:rsidP="001B330E">
            <w:pPr>
              <w:widowControl w:val="0"/>
              <w:pBdr>
                <w:top w:val="nil"/>
                <w:left w:val="nil"/>
                <w:bottom w:val="nil"/>
                <w:right w:val="nil"/>
                <w:between w:val="nil"/>
              </w:pBdr>
              <w:rPr>
                <w:b/>
                <w:color w:val="000000"/>
              </w:rPr>
            </w:pPr>
          </w:p>
        </w:tc>
        <w:tc>
          <w:tcPr>
            <w:tcW w:w="1455" w:type="pct"/>
            <w:gridSpan w:val="2"/>
            <w:tcBorders>
              <w:bottom w:val="single" w:sz="4" w:space="0" w:color="000000"/>
            </w:tcBorders>
            <w:vAlign w:val="bottom"/>
          </w:tcPr>
          <w:p w14:paraId="3B81BA35" w14:textId="04CFCF6B" w:rsidR="00D83E33" w:rsidRPr="00E837F2" w:rsidRDefault="00541EBC" w:rsidP="001B330E">
            <w:pPr>
              <w:widowControl w:val="0"/>
              <w:pBdr>
                <w:top w:val="nil"/>
                <w:left w:val="nil"/>
                <w:bottom w:val="nil"/>
                <w:right w:val="nil"/>
                <w:between w:val="nil"/>
              </w:pBdr>
              <w:jc w:val="center"/>
              <w:rPr>
                <w:color w:val="000000"/>
              </w:rPr>
            </w:pPr>
            <w:r>
              <w:rPr>
                <w:b/>
                <w:color w:val="000000"/>
              </w:rPr>
              <w:t>2024</w:t>
            </w:r>
          </w:p>
        </w:tc>
        <w:tc>
          <w:tcPr>
            <w:tcW w:w="1454" w:type="pct"/>
            <w:gridSpan w:val="2"/>
            <w:tcBorders>
              <w:bottom w:val="single" w:sz="4" w:space="0" w:color="000000"/>
            </w:tcBorders>
            <w:vAlign w:val="bottom"/>
          </w:tcPr>
          <w:p w14:paraId="7AD16110" w14:textId="3354DBF1" w:rsidR="00D83E33" w:rsidRPr="00E837F2" w:rsidRDefault="00541EBC" w:rsidP="001B330E">
            <w:pPr>
              <w:widowControl w:val="0"/>
              <w:pBdr>
                <w:top w:val="nil"/>
                <w:left w:val="nil"/>
                <w:bottom w:val="nil"/>
                <w:right w:val="nil"/>
                <w:between w:val="nil"/>
              </w:pBdr>
              <w:jc w:val="center"/>
              <w:rPr>
                <w:color w:val="000000"/>
              </w:rPr>
            </w:pPr>
            <w:r>
              <w:rPr>
                <w:b/>
                <w:color w:val="000000"/>
              </w:rPr>
              <w:t>2023</w:t>
            </w:r>
          </w:p>
        </w:tc>
      </w:tr>
      <w:tr w:rsidR="00D83E33" w:rsidRPr="00E837F2" w14:paraId="5C3F721C" w14:textId="77777777" w:rsidTr="001B330E">
        <w:trPr>
          <w:trHeight w:val="23"/>
        </w:trPr>
        <w:tc>
          <w:tcPr>
            <w:tcW w:w="2091" w:type="pct"/>
            <w:tcBorders>
              <w:bottom w:val="single" w:sz="4" w:space="0" w:color="000000"/>
            </w:tcBorders>
            <w:vAlign w:val="bottom"/>
          </w:tcPr>
          <w:p w14:paraId="176D4900" w14:textId="77777777" w:rsidR="00D83E33" w:rsidRPr="00E837F2" w:rsidRDefault="00BC4072" w:rsidP="001B330E">
            <w:pPr>
              <w:widowControl w:val="0"/>
              <w:pBdr>
                <w:top w:val="nil"/>
                <w:left w:val="nil"/>
                <w:bottom w:val="nil"/>
                <w:right w:val="nil"/>
                <w:between w:val="nil"/>
              </w:pBdr>
              <w:rPr>
                <w:b/>
                <w:color w:val="000000"/>
              </w:rPr>
            </w:pPr>
            <w:r w:rsidRPr="00E837F2">
              <w:rPr>
                <w:b/>
                <w:color w:val="000000"/>
              </w:rPr>
              <w:t>Name</w:t>
            </w:r>
          </w:p>
        </w:tc>
        <w:tc>
          <w:tcPr>
            <w:tcW w:w="727" w:type="pct"/>
            <w:tcBorders>
              <w:top w:val="single" w:sz="4" w:space="0" w:color="000000"/>
              <w:bottom w:val="single" w:sz="4" w:space="0" w:color="000000"/>
            </w:tcBorders>
          </w:tcPr>
          <w:p w14:paraId="569647AF"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 ownership interest </w:t>
            </w:r>
          </w:p>
          <w:p w14:paraId="5E48F7B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held (% of voting rights if different)</w:t>
            </w:r>
          </w:p>
        </w:tc>
        <w:tc>
          <w:tcPr>
            <w:tcW w:w="728" w:type="pct"/>
            <w:tcBorders>
              <w:top w:val="single" w:sz="4" w:space="0" w:color="000000"/>
              <w:bottom w:val="single" w:sz="4" w:space="0" w:color="000000"/>
            </w:tcBorders>
          </w:tcPr>
          <w:p w14:paraId="3054EE7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Place of business (country of</w:t>
            </w:r>
          </w:p>
          <w:p w14:paraId="454D3F2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incorporation if different)</w:t>
            </w:r>
          </w:p>
        </w:tc>
        <w:tc>
          <w:tcPr>
            <w:tcW w:w="727" w:type="pct"/>
            <w:tcBorders>
              <w:top w:val="single" w:sz="4" w:space="0" w:color="000000"/>
              <w:bottom w:val="single" w:sz="4" w:space="0" w:color="000000"/>
            </w:tcBorders>
          </w:tcPr>
          <w:p w14:paraId="3F7C483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 ownership interest </w:t>
            </w:r>
          </w:p>
          <w:p w14:paraId="1DEAE3F6"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held (% of voting rights if different)</w:t>
            </w:r>
          </w:p>
        </w:tc>
        <w:tc>
          <w:tcPr>
            <w:tcW w:w="727" w:type="pct"/>
            <w:tcBorders>
              <w:top w:val="single" w:sz="4" w:space="0" w:color="000000"/>
              <w:bottom w:val="single" w:sz="4" w:space="0" w:color="000000"/>
            </w:tcBorders>
          </w:tcPr>
          <w:p w14:paraId="57380B8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Place of business (country of</w:t>
            </w:r>
          </w:p>
          <w:p w14:paraId="1C1E94C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incorporation if different)</w:t>
            </w:r>
          </w:p>
        </w:tc>
      </w:tr>
      <w:tr w:rsidR="00D83E33" w:rsidRPr="00E837F2" w14:paraId="1AC5EF70" w14:textId="77777777" w:rsidTr="001B330E">
        <w:trPr>
          <w:trHeight w:val="23"/>
        </w:trPr>
        <w:tc>
          <w:tcPr>
            <w:tcW w:w="2091" w:type="pct"/>
            <w:vAlign w:val="bottom"/>
          </w:tcPr>
          <w:p w14:paraId="09097CC2" w14:textId="77777777" w:rsidR="00D83E33" w:rsidRPr="001B330E" w:rsidRDefault="00BC4072" w:rsidP="001B330E">
            <w:pPr>
              <w:widowControl w:val="0"/>
              <w:pBdr>
                <w:top w:val="nil"/>
                <w:left w:val="nil"/>
                <w:bottom w:val="nil"/>
                <w:right w:val="nil"/>
                <w:between w:val="nil"/>
              </w:pBdr>
              <w:rPr>
                <w:color w:val="000000"/>
                <w:szCs w:val="14"/>
              </w:rPr>
            </w:pPr>
            <w:r w:rsidRPr="001B330E">
              <w:rPr>
                <w:color w:val="000000"/>
                <w:szCs w:val="14"/>
              </w:rPr>
              <w:t> </w:t>
            </w:r>
          </w:p>
        </w:tc>
        <w:tc>
          <w:tcPr>
            <w:tcW w:w="727" w:type="pct"/>
            <w:vAlign w:val="bottom"/>
          </w:tcPr>
          <w:p w14:paraId="4C03D71F"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8" w:type="pct"/>
            <w:vAlign w:val="bottom"/>
          </w:tcPr>
          <w:p w14:paraId="4A60A663"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vAlign w:val="bottom"/>
          </w:tcPr>
          <w:p w14:paraId="78DC13E8"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vAlign w:val="bottom"/>
          </w:tcPr>
          <w:p w14:paraId="2DF4935C" w14:textId="77777777" w:rsidR="00D83E33" w:rsidRPr="001B330E" w:rsidRDefault="00D83E33" w:rsidP="001B330E">
            <w:pPr>
              <w:widowControl w:val="0"/>
              <w:pBdr>
                <w:top w:val="nil"/>
                <w:left w:val="nil"/>
                <w:bottom w:val="nil"/>
                <w:right w:val="nil"/>
                <w:between w:val="nil"/>
              </w:pBdr>
              <w:jc w:val="right"/>
              <w:rPr>
                <w:color w:val="000000"/>
                <w:szCs w:val="14"/>
              </w:rPr>
            </w:pPr>
          </w:p>
        </w:tc>
      </w:tr>
      <w:tr w:rsidR="00D83E33" w:rsidRPr="00E837F2" w14:paraId="4B4AC17E" w14:textId="77777777" w:rsidTr="001B330E">
        <w:trPr>
          <w:trHeight w:val="23"/>
        </w:trPr>
        <w:tc>
          <w:tcPr>
            <w:tcW w:w="2091" w:type="pct"/>
            <w:vAlign w:val="bottom"/>
          </w:tcPr>
          <w:p w14:paraId="367F6C50"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[Associate X]</w:t>
            </w:r>
          </w:p>
        </w:tc>
        <w:tc>
          <w:tcPr>
            <w:tcW w:w="727" w:type="pct"/>
            <w:vAlign w:val="bottom"/>
          </w:tcPr>
          <w:p w14:paraId="516AFD9F" w14:textId="77777777" w:rsidR="00D83E33" w:rsidRPr="00E837F2" w:rsidRDefault="00D83E33" w:rsidP="001B330E">
            <w:pPr>
              <w:widowControl w:val="0"/>
              <w:pBdr>
                <w:top w:val="nil"/>
                <w:left w:val="nil"/>
                <w:bottom w:val="nil"/>
                <w:right w:val="nil"/>
                <w:between w:val="nil"/>
              </w:pBdr>
              <w:jc w:val="right"/>
              <w:rPr>
                <w:color w:val="000000"/>
              </w:rPr>
            </w:pPr>
          </w:p>
        </w:tc>
        <w:tc>
          <w:tcPr>
            <w:tcW w:w="728" w:type="pct"/>
            <w:vAlign w:val="bottom"/>
          </w:tcPr>
          <w:p w14:paraId="10909E52"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1716764D"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53C51886"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1B092FD" w14:textId="77777777" w:rsidTr="001B330E">
        <w:trPr>
          <w:trHeight w:val="23"/>
        </w:trPr>
        <w:tc>
          <w:tcPr>
            <w:tcW w:w="2091" w:type="pct"/>
            <w:vAlign w:val="bottom"/>
          </w:tcPr>
          <w:p w14:paraId="0DEDDF6F"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[Associate Y]</w:t>
            </w:r>
          </w:p>
        </w:tc>
        <w:tc>
          <w:tcPr>
            <w:tcW w:w="727" w:type="pct"/>
            <w:vAlign w:val="bottom"/>
          </w:tcPr>
          <w:p w14:paraId="79A164EF" w14:textId="77777777" w:rsidR="00D83E33" w:rsidRPr="00E837F2" w:rsidRDefault="00D83E33" w:rsidP="001B330E">
            <w:pPr>
              <w:widowControl w:val="0"/>
              <w:pBdr>
                <w:top w:val="nil"/>
                <w:left w:val="nil"/>
                <w:bottom w:val="nil"/>
                <w:right w:val="nil"/>
                <w:between w:val="nil"/>
              </w:pBdr>
              <w:jc w:val="right"/>
              <w:rPr>
                <w:b/>
                <w:color w:val="000000"/>
              </w:rPr>
            </w:pPr>
          </w:p>
        </w:tc>
        <w:tc>
          <w:tcPr>
            <w:tcW w:w="728" w:type="pct"/>
            <w:vAlign w:val="bottom"/>
          </w:tcPr>
          <w:p w14:paraId="3FAA2D32" w14:textId="77777777" w:rsidR="00D83E33" w:rsidRPr="00E837F2" w:rsidRDefault="00D83E33" w:rsidP="001B330E">
            <w:pPr>
              <w:widowControl w:val="0"/>
              <w:pBdr>
                <w:top w:val="nil"/>
                <w:left w:val="nil"/>
                <w:bottom w:val="nil"/>
                <w:right w:val="nil"/>
                <w:between w:val="nil"/>
              </w:pBdr>
              <w:jc w:val="right"/>
              <w:rPr>
                <w:b/>
                <w:color w:val="000000"/>
              </w:rPr>
            </w:pPr>
          </w:p>
        </w:tc>
        <w:tc>
          <w:tcPr>
            <w:tcW w:w="727" w:type="pct"/>
            <w:vAlign w:val="bottom"/>
          </w:tcPr>
          <w:p w14:paraId="7E94A11D" w14:textId="77777777" w:rsidR="00D83E33" w:rsidRPr="00E837F2" w:rsidRDefault="00D83E33" w:rsidP="001B330E">
            <w:pPr>
              <w:widowControl w:val="0"/>
              <w:pBdr>
                <w:top w:val="nil"/>
                <w:left w:val="nil"/>
                <w:bottom w:val="nil"/>
                <w:right w:val="nil"/>
                <w:between w:val="nil"/>
              </w:pBdr>
              <w:jc w:val="right"/>
              <w:rPr>
                <w:b/>
                <w:color w:val="000000"/>
              </w:rPr>
            </w:pPr>
          </w:p>
        </w:tc>
        <w:tc>
          <w:tcPr>
            <w:tcW w:w="727" w:type="pct"/>
            <w:vAlign w:val="bottom"/>
          </w:tcPr>
          <w:p w14:paraId="26F5E074" w14:textId="77777777" w:rsidR="00D83E33" w:rsidRPr="00E837F2" w:rsidRDefault="00D83E33" w:rsidP="001B330E">
            <w:pPr>
              <w:widowControl w:val="0"/>
              <w:pBdr>
                <w:top w:val="nil"/>
                <w:left w:val="nil"/>
                <w:bottom w:val="nil"/>
                <w:right w:val="nil"/>
                <w:between w:val="nil"/>
              </w:pBdr>
              <w:jc w:val="right"/>
              <w:rPr>
                <w:b/>
                <w:color w:val="000000"/>
              </w:rPr>
            </w:pPr>
          </w:p>
        </w:tc>
      </w:tr>
      <w:tr w:rsidR="00D83E33" w:rsidRPr="00E837F2" w14:paraId="707B2138" w14:textId="77777777" w:rsidTr="001B330E">
        <w:trPr>
          <w:trHeight w:val="23"/>
        </w:trPr>
        <w:tc>
          <w:tcPr>
            <w:tcW w:w="2091" w:type="pct"/>
            <w:tcBorders>
              <w:bottom w:val="single" w:sz="4" w:space="0" w:color="000000"/>
            </w:tcBorders>
            <w:vAlign w:val="bottom"/>
          </w:tcPr>
          <w:p w14:paraId="2E03CD60" w14:textId="77777777" w:rsidR="00D83E33" w:rsidRPr="001B330E" w:rsidRDefault="00BC4072" w:rsidP="001B330E">
            <w:pPr>
              <w:widowControl w:val="0"/>
              <w:pBdr>
                <w:top w:val="nil"/>
                <w:left w:val="nil"/>
                <w:bottom w:val="nil"/>
                <w:right w:val="nil"/>
                <w:between w:val="nil"/>
              </w:pBdr>
              <w:rPr>
                <w:color w:val="000000"/>
                <w:szCs w:val="14"/>
              </w:rPr>
            </w:pPr>
            <w:r w:rsidRPr="001B330E">
              <w:rPr>
                <w:color w:val="000000"/>
                <w:szCs w:val="14"/>
              </w:rPr>
              <w:t> </w:t>
            </w:r>
          </w:p>
        </w:tc>
        <w:tc>
          <w:tcPr>
            <w:tcW w:w="727" w:type="pct"/>
            <w:tcBorders>
              <w:bottom w:val="single" w:sz="4" w:space="0" w:color="000000"/>
            </w:tcBorders>
            <w:vAlign w:val="bottom"/>
          </w:tcPr>
          <w:p w14:paraId="62EAB111"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8" w:type="pct"/>
            <w:tcBorders>
              <w:bottom w:val="single" w:sz="4" w:space="0" w:color="000000"/>
            </w:tcBorders>
            <w:vAlign w:val="bottom"/>
          </w:tcPr>
          <w:p w14:paraId="6097C72B"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bottom w:val="single" w:sz="4" w:space="0" w:color="000000"/>
            </w:tcBorders>
            <w:vAlign w:val="bottom"/>
          </w:tcPr>
          <w:p w14:paraId="39C0AF56"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bottom w:val="single" w:sz="4" w:space="0" w:color="000000"/>
            </w:tcBorders>
            <w:vAlign w:val="bottom"/>
          </w:tcPr>
          <w:p w14:paraId="3013539B" w14:textId="77777777" w:rsidR="00D83E33" w:rsidRPr="001B330E" w:rsidRDefault="00D83E33" w:rsidP="001B330E">
            <w:pPr>
              <w:widowControl w:val="0"/>
              <w:pBdr>
                <w:top w:val="nil"/>
                <w:left w:val="nil"/>
                <w:bottom w:val="nil"/>
                <w:right w:val="nil"/>
                <w:between w:val="nil"/>
              </w:pBdr>
              <w:jc w:val="right"/>
              <w:rPr>
                <w:color w:val="000000"/>
                <w:szCs w:val="14"/>
              </w:rPr>
            </w:pPr>
          </w:p>
        </w:tc>
      </w:tr>
      <w:tr w:rsidR="00D83E33" w:rsidRPr="00E837F2" w14:paraId="4D29CD4C" w14:textId="77777777" w:rsidTr="001B330E">
        <w:trPr>
          <w:trHeight w:val="23"/>
        </w:trPr>
        <w:tc>
          <w:tcPr>
            <w:tcW w:w="2091" w:type="pct"/>
            <w:vAlign w:val="bottom"/>
          </w:tcPr>
          <w:p w14:paraId="3EB65F39" w14:textId="77777777" w:rsidR="00D83E33" w:rsidRPr="001B330E" w:rsidRDefault="00BC4072" w:rsidP="001B330E">
            <w:pPr>
              <w:widowControl w:val="0"/>
              <w:pBdr>
                <w:top w:val="nil"/>
                <w:left w:val="nil"/>
                <w:bottom w:val="nil"/>
                <w:right w:val="nil"/>
                <w:between w:val="nil"/>
              </w:pBdr>
              <w:rPr>
                <w:color w:val="000000"/>
                <w:szCs w:val="14"/>
              </w:rPr>
            </w:pPr>
            <w:r w:rsidRPr="001B330E">
              <w:rPr>
                <w:color w:val="000000"/>
                <w:szCs w:val="14"/>
              </w:rPr>
              <w:t> </w:t>
            </w:r>
          </w:p>
        </w:tc>
        <w:tc>
          <w:tcPr>
            <w:tcW w:w="727" w:type="pct"/>
            <w:vAlign w:val="bottom"/>
          </w:tcPr>
          <w:p w14:paraId="756FED8A"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8" w:type="pct"/>
            <w:vAlign w:val="bottom"/>
          </w:tcPr>
          <w:p w14:paraId="61F8AD2F"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vAlign w:val="bottom"/>
          </w:tcPr>
          <w:p w14:paraId="1C18CD33"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vAlign w:val="bottom"/>
          </w:tcPr>
          <w:p w14:paraId="7E84F14B" w14:textId="77777777" w:rsidR="00D83E33" w:rsidRPr="001B330E" w:rsidRDefault="00D83E33" w:rsidP="001B330E">
            <w:pPr>
              <w:widowControl w:val="0"/>
              <w:pBdr>
                <w:top w:val="nil"/>
                <w:left w:val="nil"/>
                <w:bottom w:val="nil"/>
                <w:right w:val="nil"/>
                <w:between w:val="nil"/>
              </w:pBdr>
              <w:jc w:val="right"/>
              <w:rPr>
                <w:color w:val="000000"/>
                <w:szCs w:val="14"/>
              </w:rPr>
            </w:pPr>
          </w:p>
        </w:tc>
      </w:tr>
      <w:tr w:rsidR="00D83E33" w:rsidRPr="00E837F2" w14:paraId="76E57024" w14:textId="77777777" w:rsidTr="001B330E">
        <w:trPr>
          <w:trHeight w:val="23"/>
        </w:trPr>
        <w:tc>
          <w:tcPr>
            <w:tcW w:w="2091" w:type="pct"/>
            <w:vAlign w:val="bottom"/>
          </w:tcPr>
          <w:p w14:paraId="57B5AA9C" w14:textId="77777777" w:rsidR="00D83E33" w:rsidRPr="00E837F2" w:rsidRDefault="00BC4072" w:rsidP="001B330E">
            <w:pPr>
              <w:widowControl w:val="0"/>
              <w:pBdr>
                <w:top w:val="nil"/>
                <w:left w:val="nil"/>
                <w:bottom w:val="nil"/>
                <w:right w:val="nil"/>
                <w:between w:val="nil"/>
              </w:pBdr>
              <w:rPr>
                <w:b/>
                <w:color w:val="000000"/>
              </w:rPr>
            </w:pPr>
            <w:r w:rsidRPr="00E837F2">
              <w:rPr>
                <w:b/>
                <w:color w:val="000000"/>
              </w:rPr>
              <w:t>Total</w:t>
            </w:r>
          </w:p>
        </w:tc>
        <w:tc>
          <w:tcPr>
            <w:tcW w:w="727" w:type="pct"/>
            <w:vAlign w:val="bottom"/>
          </w:tcPr>
          <w:p w14:paraId="6F5EFFE1" w14:textId="77777777" w:rsidR="00D83E33" w:rsidRPr="00E837F2" w:rsidRDefault="00D83E33" w:rsidP="001B330E">
            <w:pPr>
              <w:widowControl w:val="0"/>
              <w:pBdr>
                <w:top w:val="nil"/>
                <w:left w:val="nil"/>
                <w:bottom w:val="nil"/>
                <w:right w:val="nil"/>
                <w:between w:val="nil"/>
              </w:pBdr>
              <w:jc w:val="right"/>
              <w:rPr>
                <w:color w:val="000000"/>
              </w:rPr>
            </w:pPr>
          </w:p>
        </w:tc>
        <w:tc>
          <w:tcPr>
            <w:tcW w:w="728" w:type="pct"/>
            <w:vAlign w:val="bottom"/>
          </w:tcPr>
          <w:p w14:paraId="2A8B5972"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3EF323E2"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10B47B28"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001AB6B" w14:textId="77777777" w:rsidTr="001B330E">
        <w:trPr>
          <w:trHeight w:val="23"/>
        </w:trPr>
        <w:tc>
          <w:tcPr>
            <w:tcW w:w="2091" w:type="pct"/>
            <w:tcBorders>
              <w:bottom w:val="single" w:sz="12" w:space="0" w:color="000000"/>
            </w:tcBorders>
            <w:vAlign w:val="bottom"/>
          </w:tcPr>
          <w:p w14:paraId="5B0C0146" w14:textId="77777777" w:rsidR="00D83E33" w:rsidRPr="001B330E" w:rsidRDefault="00BC4072" w:rsidP="001B330E">
            <w:pPr>
              <w:widowControl w:val="0"/>
              <w:pBdr>
                <w:top w:val="nil"/>
                <w:left w:val="nil"/>
                <w:bottom w:val="nil"/>
                <w:right w:val="nil"/>
                <w:between w:val="nil"/>
              </w:pBdr>
              <w:rPr>
                <w:b/>
                <w:color w:val="000000"/>
                <w:szCs w:val="14"/>
              </w:rPr>
            </w:pPr>
            <w:r w:rsidRPr="001B330E">
              <w:rPr>
                <w:color w:val="000000"/>
                <w:szCs w:val="14"/>
              </w:rPr>
              <w:t> </w:t>
            </w:r>
          </w:p>
        </w:tc>
        <w:tc>
          <w:tcPr>
            <w:tcW w:w="727" w:type="pct"/>
            <w:tcBorders>
              <w:bottom w:val="single" w:sz="12" w:space="0" w:color="000000"/>
            </w:tcBorders>
            <w:vAlign w:val="bottom"/>
          </w:tcPr>
          <w:p w14:paraId="7699BF5B"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8" w:type="pct"/>
            <w:tcBorders>
              <w:bottom w:val="single" w:sz="12" w:space="0" w:color="000000"/>
            </w:tcBorders>
            <w:vAlign w:val="bottom"/>
          </w:tcPr>
          <w:p w14:paraId="034EF99A"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bottom w:val="single" w:sz="12" w:space="0" w:color="000000"/>
            </w:tcBorders>
            <w:vAlign w:val="bottom"/>
          </w:tcPr>
          <w:p w14:paraId="07CA4005"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bottom w:val="single" w:sz="12" w:space="0" w:color="000000"/>
            </w:tcBorders>
            <w:vAlign w:val="bottom"/>
          </w:tcPr>
          <w:p w14:paraId="7506C6B3" w14:textId="77777777" w:rsidR="00D83E33" w:rsidRPr="001B330E" w:rsidRDefault="00D83E33" w:rsidP="001B330E">
            <w:pPr>
              <w:widowControl w:val="0"/>
              <w:pBdr>
                <w:top w:val="nil"/>
                <w:left w:val="nil"/>
                <w:bottom w:val="nil"/>
                <w:right w:val="nil"/>
                <w:between w:val="nil"/>
              </w:pBdr>
              <w:jc w:val="right"/>
              <w:rPr>
                <w:color w:val="000000"/>
                <w:szCs w:val="14"/>
              </w:rPr>
            </w:pPr>
          </w:p>
        </w:tc>
      </w:tr>
    </w:tbl>
    <w:p w14:paraId="6937A682" w14:textId="730BCAA9" w:rsidR="00DB0A34" w:rsidRPr="00DB0A34" w:rsidRDefault="00DB0A34" w:rsidP="00DB0A34">
      <w:pPr>
        <w:widowControl w:val="0"/>
        <w:pBdr>
          <w:top w:val="nil"/>
          <w:left w:val="nil"/>
          <w:bottom w:val="nil"/>
          <w:right w:val="nil"/>
          <w:between w:val="nil"/>
        </w:pBdr>
        <w:spacing w:before="200" w:after="200"/>
        <w:jc w:val="both"/>
        <w:rPr>
          <w:color w:val="0000FF"/>
          <w:sz w:val="20"/>
          <w:szCs w:val="20"/>
        </w:rPr>
      </w:pPr>
      <w:r w:rsidRPr="00DB0A34">
        <w:rPr>
          <w:b/>
          <w:i/>
          <w:color w:val="0000FF"/>
          <w:sz w:val="20"/>
          <w:szCs w:val="20"/>
        </w:rPr>
        <w:t>[Associates</w:t>
      </w:r>
      <w:r w:rsidRPr="00DB0A34">
        <w:rPr>
          <w:color w:val="0000FF"/>
          <w:sz w:val="20"/>
          <w:szCs w:val="20"/>
        </w:rPr>
        <w:t>. Associates are entities over which the Group has significant influence (directly or indirectly), but not control, generally accompanying a shareholding of between 20 and 50 percent of the voting rights. Investments in associates are accounted for using the equity method of accounting and are initially recognised at cost. The carrying amount of associates includes goodwill identified on acquisition less accumulated credit losses, if any. Dividends received from associates reduce the carrying value of the investment in associates. Other post-acquisition changes in Group’s share of net assets of an associate are recognised as follows: (i) the Group’s share of profits or losses of associates is recorded in the consolidated profit or loss for the year as share of result of associates, (ii) the Group’s share of other comprehensive income is recognised in other comprehensive income and presented separately, (iii); all other changes in the Group’s share of the carrying value of net assets of associates are recognised in profit or loss within the share of result of associates. However, when the Group’s share of losses in an associate equals or exceeds its interest in the associate, including any other unsecured receivables, the Group does not recognise further losses, unless it has incurred obligations or made payments on behalf of the associate.</w:t>
      </w:r>
    </w:p>
    <w:p w14:paraId="16FBAC22" w14:textId="77777777" w:rsidR="00DB0A34" w:rsidRPr="00DB0A34" w:rsidRDefault="00DB0A34" w:rsidP="00DB0A34">
      <w:pPr>
        <w:widowControl w:val="0"/>
        <w:pBdr>
          <w:top w:val="nil"/>
          <w:left w:val="nil"/>
          <w:bottom w:val="nil"/>
          <w:right w:val="nil"/>
          <w:between w:val="nil"/>
        </w:pBdr>
        <w:spacing w:before="200" w:after="200"/>
        <w:jc w:val="both"/>
        <w:rPr>
          <w:color w:val="0000FF"/>
          <w:sz w:val="20"/>
          <w:szCs w:val="20"/>
        </w:rPr>
      </w:pPr>
      <w:r w:rsidRPr="00DB0A34">
        <w:rPr>
          <w:color w:val="0000FF"/>
          <w:sz w:val="20"/>
          <w:szCs w:val="20"/>
        </w:rPr>
        <w:t xml:space="preserve">Unrealised gains on transactions between the Group and its associates are eliminated to the extent of the Group’s interest in the associates; unrealised losses are also eliminated unless the transaction provides evidence of an impairment of the asset transferred. </w:t>
      </w:r>
    </w:p>
    <w:p w14:paraId="50076533" w14:textId="66722401" w:rsidR="00DB0A34" w:rsidRDefault="00DB0A34" w:rsidP="00DB0A34">
      <w:pPr>
        <w:widowControl w:val="0"/>
        <w:pBdr>
          <w:top w:val="nil"/>
          <w:left w:val="nil"/>
          <w:bottom w:val="nil"/>
          <w:right w:val="nil"/>
          <w:between w:val="nil"/>
        </w:pBdr>
        <w:spacing w:before="200" w:after="200"/>
        <w:jc w:val="both"/>
        <w:rPr>
          <w:color w:val="0000FF"/>
          <w:sz w:val="20"/>
          <w:szCs w:val="20"/>
        </w:rPr>
      </w:pPr>
      <w:r w:rsidRPr="00DB0A34">
        <w:rPr>
          <w:color w:val="0000FF"/>
          <w:sz w:val="20"/>
          <w:szCs w:val="20"/>
        </w:rPr>
        <w:t>The Group applies the impairment requirements in IFRS 9 to long-term loans, preference shares and similar long-term interest that in substance form part of the investment in associate before reducing the carrying value of the investment by a share of a loss of the investee that exceeds the amount of the Group’s interest in the ordinary shares.]</w:t>
      </w:r>
    </w:p>
    <w:p w14:paraId="67A26848" w14:textId="77777777" w:rsidR="00E03694" w:rsidRDefault="00E03694" w:rsidP="00E03694">
      <w:pPr>
        <w:pStyle w:val="Continued"/>
      </w:pPr>
      <w:r>
        <w:lastRenderedPageBreak/>
        <w:t>14</w:t>
      </w:r>
      <w:r>
        <w:tab/>
        <w:t>Investment in Associates (Continued)</w:t>
      </w:r>
    </w:p>
    <w:p w14:paraId="5AE07442" w14:textId="4CADD37F" w:rsidR="00DB0A34" w:rsidRPr="00DB0A34" w:rsidRDefault="00DB0A34" w:rsidP="00DB0A34">
      <w:pPr>
        <w:widowControl w:val="0"/>
        <w:pBdr>
          <w:top w:val="nil"/>
          <w:left w:val="nil"/>
          <w:bottom w:val="nil"/>
          <w:right w:val="nil"/>
          <w:between w:val="nil"/>
        </w:pBdr>
        <w:spacing w:before="200" w:after="200"/>
        <w:jc w:val="both"/>
        <w:rPr>
          <w:color w:val="0000FF"/>
          <w:sz w:val="20"/>
          <w:szCs w:val="20"/>
        </w:rPr>
      </w:pPr>
      <w:r w:rsidRPr="00DB0A34">
        <w:rPr>
          <w:b/>
          <w:i/>
          <w:color w:val="0000FF"/>
          <w:sz w:val="20"/>
          <w:szCs w:val="20"/>
        </w:rPr>
        <w:t xml:space="preserve">[Disposals of associates. </w:t>
      </w:r>
      <w:r w:rsidRPr="00DB0A34">
        <w:rPr>
          <w:color w:val="0000FF"/>
          <w:sz w:val="20"/>
          <w:szCs w:val="20"/>
        </w:rPr>
        <w:t xml:space="preserve">When the Group ceases to have significant influence, any retained interest in the entity is remeasured to its fair value, with the change in carrying amount recognised in profit or loss. The fair value is the initial carrying amount for the purposes of subsequently accounting for the retained interest as a financial asset. In addition, any amounts previously recognised in other comprehensive income in respect of that entity, are accounted for as if the Group had directly disposed of the related assets or liabilities. This may mean that amounts previously recognised in other comprehensive income are recycled to profit or loss. </w:t>
      </w:r>
    </w:p>
    <w:p w14:paraId="43E59DB8" w14:textId="43979830" w:rsidR="00DB0A34" w:rsidRPr="00DB0A34" w:rsidRDefault="00DB0A34" w:rsidP="00DB0A34">
      <w:pPr>
        <w:widowControl w:val="0"/>
        <w:pBdr>
          <w:top w:val="nil"/>
          <w:left w:val="nil"/>
          <w:bottom w:val="nil"/>
          <w:right w:val="nil"/>
          <w:between w:val="nil"/>
        </w:pBdr>
        <w:spacing w:before="200" w:after="200"/>
        <w:jc w:val="both"/>
        <w:rPr>
          <w:color w:val="0000FF"/>
          <w:sz w:val="20"/>
          <w:szCs w:val="20"/>
        </w:rPr>
      </w:pPr>
      <w:r w:rsidRPr="00DB0A34">
        <w:rPr>
          <w:color w:val="0000FF"/>
          <w:sz w:val="20"/>
          <w:szCs w:val="20"/>
        </w:rPr>
        <w:t>If the ownership interest in an associate is reduced but significant influence is retained, only a proportionate share of the amounts previously recognised in other comprehensive income are reclassified to profit or loss, where appropriate.]</w:t>
      </w:r>
    </w:p>
    <w:p w14:paraId="7B19EFE0" w14:textId="2A567854" w:rsidR="00D83E33" w:rsidRDefault="00BC4072" w:rsidP="001B330E">
      <w:pPr>
        <w:widowControl w:val="0"/>
        <w:pBdr>
          <w:top w:val="nil"/>
          <w:left w:val="nil"/>
          <w:bottom w:val="nil"/>
          <w:right w:val="nil"/>
          <w:between w:val="nil"/>
        </w:pBdr>
        <w:spacing w:before="200" w:after="200"/>
        <w:jc w:val="both"/>
        <w:rPr>
          <w:i/>
          <w:color w:val="FF0000"/>
          <w:sz w:val="20"/>
          <w:szCs w:val="20"/>
        </w:rPr>
      </w:pPr>
      <w:r>
        <w:rPr>
          <w:i/>
          <w:color w:val="FF0000"/>
          <w:sz w:val="20"/>
          <w:szCs w:val="20"/>
        </w:rPr>
        <w:t>[</w:t>
      </w:r>
      <w:r w:rsidR="000A1B81">
        <w:rPr>
          <w:i/>
          <w:color w:val="FF0000"/>
          <w:sz w:val="20"/>
          <w:szCs w:val="20"/>
        </w:rPr>
        <w:t>Tail</w:t>
      </w:r>
      <w:r w:rsidR="00DB34A6">
        <w:rPr>
          <w:i/>
          <w:color w:val="FF0000"/>
          <w:sz w:val="20"/>
          <w:szCs w:val="20"/>
        </w:rPr>
        <w:t>o</w:t>
      </w:r>
      <w:r w:rsidR="000A1B81">
        <w:rPr>
          <w:i/>
          <w:color w:val="FF0000"/>
          <w:sz w:val="20"/>
          <w:szCs w:val="20"/>
        </w:rPr>
        <w:t>r to d</w:t>
      </w:r>
      <w:r>
        <w:rPr>
          <w:i/>
          <w:color w:val="FF0000"/>
          <w:sz w:val="20"/>
          <w:szCs w:val="20"/>
        </w:rPr>
        <w:t>isclose here the nature of the entity’s relationship with each associate (by, for example, describing the nature of the activities of the associate and whether it is strategic to the entity’s activities) ‒ IFRS 12.21]</w:t>
      </w:r>
    </w:p>
    <w:p w14:paraId="7FD6D0CA" w14:textId="59867C7F"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Summarised financial information of each material associate is as follows at 31</w:t>
      </w:r>
      <w:r w:rsidR="00181687">
        <w:rPr>
          <w:color w:val="000000"/>
          <w:sz w:val="20"/>
          <w:szCs w:val="20"/>
        </w:rPr>
        <w:t> December </w:t>
      </w:r>
      <w:r w:rsidR="00541EBC">
        <w:rPr>
          <w:color w:val="000000"/>
          <w:sz w:val="20"/>
          <w:szCs w:val="20"/>
        </w:rPr>
        <w:t>2024</w:t>
      </w:r>
      <w:r>
        <w:rPr>
          <w:color w:val="000000"/>
          <w:sz w:val="20"/>
          <w:szCs w:val="20"/>
        </w:rPr>
        <w:t>:</w:t>
      </w:r>
    </w:p>
    <w:tbl>
      <w:tblPr>
        <w:tblStyle w:val="affffffffd"/>
        <w:tblW w:w="5000" w:type="pct"/>
        <w:tblLayout w:type="fixed"/>
        <w:tblLook w:val="0000" w:firstRow="0" w:lastRow="0" w:firstColumn="0" w:lastColumn="0" w:noHBand="0" w:noVBand="0"/>
      </w:tblPr>
      <w:tblGrid>
        <w:gridCol w:w="3915"/>
        <w:gridCol w:w="1360"/>
        <w:gridCol w:w="1360"/>
        <w:gridCol w:w="1360"/>
        <w:gridCol w:w="1360"/>
      </w:tblGrid>
      <w:tr w:rsidR="00D83E33" w:rsidRPr="00E837F2" w14:paraId="575382AF" w14:textId="77777777" w:rsidTr="001B330E">
        <w:trPr>
          <w:trHeight w:val="23"/>
        </w:trPr>
        <w:tc>
          <w:tcPr>
            <w:tcW w:w="2092" w:type="pct"/>
            <w:tcBorders>
              <w:bottom w:val="single" w:sz="4" w:space="0" w:color="000000"/>
            </w:tcBorders>
            <w:vAlign w:val="bottom"/>
          </w:tcPr>
          <w:p w14:paraId="6F14E3E5" w14:textId="557FEDD3" w:rsidR="00D83E33" w:rsidRPr="00E837F2" w:rsidRDefault="00313B4D" w:rsidP="001B330E">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727" w:type="pct"/>
            <w:tcBorders>
              <w:bottom w:val="single" w:sz="4" w:space="0" w:color="000000"/>
            </w:tcBorders>
          </w:tcPr>
          <w:p w14:paraId="0F77B49E" w14:textId="77777777" w:rsidR="00D83E33" w:rsidRPr="00E837F2" w:rsidRDefault="00BC4072" w:rsidP="001B330E">
            <w:pPr>
              <w:widowControl w:val="0"/>
              <w:pBdr>
                <w:top w:val="nil"/>
                <w:left w:val="nil"/>
                <w:bottom w:val="nil"/>
                <w:right w:val="nil"/>
                <w:between w:val="nil"/>
              </w:pBdr>
              <w:jc w:val="right"/>
              <w:rPr>
                <w:color w:val="000000"/>
              </w:rPr>
            </w:pPr>
            <w:r w:rsidRPr="00E837F2">
              <w:rPr>
                <w:b/>
                <w:color w:val="000000"/>
              </w:rPr>
              <w:t>Associate X</w:t>
            </w:r>
          </w:p>
        </w:tc>
        <w:tc>
          <w:tcPr>
            <w:tcW w:w="727" w:type="pct"/>
            <w:tcBorders>
              <w:bottom w:val="single" w:sz="4" w:space="0" w:color="000000"/>
            </w:tcBorders>
          </w:tcPr>
          <w:p w14:paraId="7E58BE94" w14:textId="77777777" w:rsidR="00D83E33" w:rsidRPr="00E837F2" w:rsidRDefault="00BC4072" w:rsidP="001B330E">
            <w:pPr>
              <w:widowControl w:val="0"/>
              <w:pBdr>
                <w:top w:val="nil"/>
                <w:left w:val="nil"/>
                <w:bottom w:val="nil"/>
                <w:right w:val="nil"/>
                <w:between w:val="nil"/>
              </w:pBdr>
              <w:jc w:val="right"/>
              <w:rPr>
                <w:color w:val="000000"/>
              </w:rPr>
            </w:pPr>
            <w:r w:rsidRPr="00E837F2">
              <w:rPr>
                <w:b/>
                <w:color w:val="000000"/>
              </w:rPr>
              <w:t>Associate Y</w:t>
            </w:r>
          </w:p>
        </w:tc>
        <w:tc>
          <w:tcPr>
            <w:tcW w:w="727" w:type="pct"/>
            <w:tcBorders>
              <w:bottom w:val="single" w:sz="4" w:space="0" w:color="000000"/>
            </w:tcBorders>
          </w:tcPr>
          <w:p w14:paraId="2D9421E9" w14:textId="77777777" w:rsidR="00D83E33" w:rsidRPr="00E837F2" w:rsidRDefault="00BC4072" w:rsidP="001B330E">
            <w:pPr>
              <w:widowControl w:val="0"/>
              <w:pBdr>
                <w:top w:val="nil"/>
                <w:left w:val="nil"/>
                <w:bottom w:val="nil"/>
                <w:right w:val="nil"/>
                <w:between w:val="nil"/>
              </w:pBdr>
              <w:jc w:val="right"/>
              <w:rPr>
                <w:color w:val="000000"/>
              </w:rPr>
            </w:pPr>
            <w:r w:rsidRPr="00E837F2">
              <w:rPr>
                <w:b/>
                <w:color w:val="000000"/>
              </w:rPr>
              <w:t>Other individually immaterial associates</w:t>
            </w:r>
          </w:p>
        </w:tc>
        <w:tc>
          <w:tcPr>
            <w:tcW w:w="727" w:type="pct"/>
            <w:tcBorders>
              <w:bottom w:val="single" w:sz="4" w:space="0" w:color="000000"/>
            </w:tcBorders>
          </w:tcPr>
          <w:p w14:paraId="26E5C216" w14:textId="77777777" w:rsidR="00D83E33" w:rsidRPr="00E837F2" w:rsidRDefault="00BC4072" w:rsidP="001B330E">
            <w:pPr>
              <w:widowControl w:val="0"/>
              <w:pBdr>
                <w:top w:val="nil"/>
                <w:left w:val="nil"/>
                <w:bottom w:val="nil"/>
                <w:right w:val="nil"/>
                <w:between w:val="nil"/>
              </w:pBdr>
              <w:jc w:val="right"/>
              <w:rPr>
                <w:color w:val="000000"/>
              </w:rPr>
            </w:pPr>
            <w:r w:rsidRPr="00E837F2">
              <w:rPr>
                <w:b/>
                <w:color w:val="000000"/>
              </w:rPr>
              <w:t>Total associates</w:t>
            </w:r>
          </w:p>
        </w:tc>
      </w:tr>
      <w:tr w:rsidR="00D83E33" w:rsidRPr="00E837F2" w14:paraId="524221DA" w14:textId="77777777" w:rsidTr="001B330E">
        <w:trPr>
          <w:trHeight w:val="23"/>
        </w:trPr>
        <w:tc>
          <w:tcPr>
            <w:tcW w:w="2092" w:type="pct"/>
            <w:tcBorders>
              <w:top w:val="single" w:sz="4" w:space="0" w:color="000000"/>
            </w:tcBorders>
            <w:vAlign w:val="bottom"/>
          </w:tcPr>
          <w:p w14:paraId="39C9525C" w14:textId="77777777" w:rsidR="00D83E33" w:rsidRPr="001B330E" w:rsidRDefault="00BC4072" w:rsidP="001B330E">
            <w:pPr>
              <w:widowControl w:val="0"/>
              <w:jc w:val="both"/>
              <w:rPr>
                <w:szCs w:val="14"/>
              </w:rPr>
            </w:pPr>
            <w:r w:rsidRPr="001B330E">
              <w:rPr>
                <w:szCs w:val="14"/>
              </w:rPr>
              <w:t> </w:t>
            </w:r>
          </w:p>
        </w:tc>
        <w:tc>
          <w:tcPr>
            <w:tcW w:w="727" w:type="pct"/>
            <w:tcBorders>
              <w:top w:val="single" w:sz="4" w:space="0" w:color="000000"/>
            </w:tcBorders>
            <w:vAlign w:val="bottom"/>
          </w:tcPr>
          <w:p w14:paraId="7B6964A4"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top w:val="single" w:sz="4" w:space="0" w:color="000000"/>
            </w:tcBorders>
            <w:vAlign w:val="bottom"/>
          </w:tcPr>
          <w:p w14:paraId="1546E3E3"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top w:val="single" w:sz="4" w:space="0" w:color="000000"/>
            </w:tcBorders>
            <w:vAlign w:val="bottom"/>
          </w:tcPr>
          <w:p w14:paraId="5BA13C20"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top w:val="single" w:sz="4" w:space="0" w:color="000000"/>
            </w:tcBorders>
            <w:vAlign w:val="bottom"/>
          </w:tcPr>
          <w:p w14:paraId="538C8E76" w14:textId="77777777" w:rsidR="00D83E33" w:rsidRPr="001B330E" w:rsidRDefault="00D83E33" w:rsidP="001B330E">
            <w:pPr>
              <w:widowControl w:val="0"/>
              <w:pBdr>
                <w:top w:val="nil"/>
                <w:left w:val="nil"/>
                <w:bottom w:val="nil"/>
                <w:right w:val="nil"/>
                <w:between w:val="nil"/>
              </w:pBdr>
              <w:jc w:val="right"/>
              <w:rPr>
                <w:color w:val="000000"/>
                <w:szCs w:val="14"/>
              </w:rPr>
            </w:pPr>
          </w:p>
        </w:tc>
      </w:tr>
      <w:tr w:rsidR="00D83E33" w:rsidRPr="00E837F2" w14:paraId="4EAE7E47" w14:textId="77777777" w:rsidTr="001B330E">
        <w:trPr>
          <w:trHeight w:val="23"/>
        </w:trPr>
        <w:tc>
          <w:tcPr>
            <w:tcW w:w="2092" w:type="pct"/>
            <w:vAlign w:val="bottom"/>
          </w:tcPr>
          <w:p w14:paraId="4E1991FE"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Current assets</w:t>
            </w:r>
          </w:p>
        </w:tc>
        <w:tc>
          <w:tcPr>
            <w:tcW w:w="727" w:type="pct"/>
            <w:vAlign w:val="bottom"/>
          </w:tcPr>
          <w:p w14:paraId="4602A965" w14:textId="77777777" w:rsidR="00D83E33" w:rsidRPr="00E837F2" w:rsidRDefault="00D83E33" w:rsidP="001B330E">
            <w:pPr>
              <w:widowControl w:val="0"/>
              <w:pBdr>
                <w:top w:val="nil"/>
                <w:left w:val="nil"/>
                <w:bottom w:val="nil"/>
                <w:right w:val="nil"/>
                <w:between w:val="nil"/>
              </w:pBdr>
              <w:jc w:val="right"/>
              <w:rPr>
                <w:b/>
                <w:color w:val="000000"/>
              </w:rPr>
            </w:pPr>
          </w:p>
        </w:tc>
        <w:tc>
          <w:tcPr>
            <w:tcW w:w="727" w:type="pct"/>
            <w:vAlign w:val="bottom"/>
          </w:tcPr>
          <w:p w14:paraId="6F2965A6" w14:textId="77777777" w:rsidR="00D83E33" w:rsidRPr="00E837F2" w:rsidRDefault="00D83E33" w:rsidP="001B330E">
            <w:pPr>
              <w:widowControl w:val="0"/>
              <w:pBdr>
                <w:top w:val="nil"/>
                <w:left w:val="nil"/>
                <w:bottom w:val="nil"/>
                <w:right w:val="nil"/>
                <w:between w:val="nil"/>
              </w:pBdr>
              <w:jc w:val="right"/>
              <w:rPr>
                <w:b/>
                <w:color w:val="000000"/>
              </w:rPr>
            </w:pPr>
          </w:p>
        </w:tc>
        <w:tc>
          <w:tcPr>
            <w:tcW w:w="727" w:type="pct"/>
            <w:vAlign w:val="bottom"/>
          </w:tcPr>
          <w:p w14:paraId="222D88F8" w14:textId="77777777" w:rsidR="00D83E33" w:rsidRPr="00E837F2" w:rsidRDefault="00D83E33" w:rsidP="001B330E">
            <w:pPr>
              <w:widowControl w:val="0"/>
              <w:pBdr>
                <w:top w:val="nil"/>
                <w:left w:val="nil"/>
                <w:bottom w:val="nil"/>
                <w:right w:val="nil"/>
                <w:between w:val="nil"/>
              </w:pBdr>
              <w:jc w:val="right"/>
              <w:rPr>
                <w:b/>
                <w:color w:val="000000"/>
              </w:rPr>
            </w:pPr>
          </w:p>
        </w:tc>
        <w:tc>
          <w:tcPr>
            <w:tcW w:w="727" w:type="pct"/>
            <w:vAlign w:val="bottom"/>
          </w:tcPr>
          <w:p w14:paraId="47EC48B7" w14:textId="77777777" w:rsidR="00D83E33" w:rsidRPr="00E837F2" w:rsidRDefault="00D83E33" w:rsidP="001B330E">
            <w:pPr>
              <w:widowControl w:val="0"/>
              <w:pBdr>
                <w:top w:val="nil"/>
                <w:left w:val="nil"/>
                <w:bottom w:val="nil"/>
                <w:right w:val="nil"/>
                <w:between w:val="nil"/>
              </w:pBdr>
              <w:jc w:val="right"/>
              <w:rPr>
                <w:b/>
                <w:color w:val="000000"/>
              </w:rPr>
            </w:pPr>
          </w:p>
        </w:tc>
      </w:tr>
      <w:tr w:rsidR="00D83E33" w:rsidRPr="00E837F2" w14:paraId="255C4F28" w14:textId="77777777" w:rsidTr="001B330E">
        <w:trPr>
          <w:trHeight w:val="23"/>
        </w:trPr>
        <w:tc>
          <w:tcPr>
            <w:tcW w:w="2092" w:type="pct"/>
            <w:vAlign w:val="bottom"/>
          </w:tcPr>
          <w:p w14:paraId="172F55EB"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Non-current assets</w:t>
            </w:r>
          </w:p>
        </w:tc>
        <w:tc>
          <w:tcPr>
            <w:tcW w:w="727" w:type="pct"/>
            <w:vAlign w:val="bottom"/>
          </w:tcPr>
          <w:p w14:paraId="0DFFCFF9"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29DA2E65"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32328F3E"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58ADF9FD"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CED0140" w14:textId="77777777" w:rsidTr="001B330E">
        <w:trPr>
          <w:trHeight w:val="23"/>
        </w:trPr>
        <w:tc>
          <w:tcPr>
            <w:tcW w:w="2092" w:type="pct"/>
            <w:vAlign w:val="bottom"/>
          </w:tcPr>
          <w:p w14:paraId="615568C0"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Current liabilities</w:t>
            </w:r>
          </w:p>
        </w:tc>
        <w:tc>
          <w:tcPr>
            <w:tcW w:w="727" w:type="pct"/>
            <w:vAlign w:val="bottom"/>
          </w:tcPr>
          <w:p w14:paraId="24A088EF"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3DB203FA"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714F6EC6"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0F59A3C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6C094A9" w14:textId="77777777" w:rsidTr="001B330E">
        <w:trPr>
          <w:trHeight w:val="23"/>
        </w:trPr>
        <w:tc>
          <w:tcPr>
            <w:tcW w:w="2092" w:type="pct"/>
            <w:vAlign w:val="bottom"/>
          </w:tcPr>
          <w:p w14:paraId="2B55ED09"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Non-current liabilities</w:t>
            </w:r>
          </w:p>
        </w:tc>
        <w:tc>
          <w:tcPr>
            <w:tcW w:w="727" w:type="pct"/>
            <w:vAlign w:val="bottom"/>
          </w:tcPr>
          <w:p w14:paraId="1A73449E"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531C2CC7"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7AEE9DCA"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2F2843DF"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BBD51B6" w14:textId="77777777" w:rsidTr="001B330E">
        <w:trPr>
          <w:trHeight w:val="23"/>
        </w:trPr>
        <w:tc>
          <w:tcPr>
            <w:tcW w:w="2092" w:type="pct"/>
            <w:vAlign w:val="bottom"/>
          </w:tcPr>
          <w:p w14:paraId="1513D849"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Revenue</w:t>
            </w:r>
          </w:p>
        </w:tc>
        <w:tc>
          <w:tcPr>
            <w:tcW w:w="727" w:type="pct"/>
            <w:vAlign w:val="bottom"/>
          </w:tcPr>
          <w:p w14:paraId="355D2789"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51C28364"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2E377E41"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21F33ECF"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2046E52" w14:textId="77777777" w:rsidTr="001B330E">
        <w:trPr>
          <w:trHeight w:val="23"/>
        </w:trPr>
        <w:tc>
          <w:tcPr>
            <w:tcW w:w="2092" w:type="pct"/>
            <w:vAlign w:val="bottom"/>
          </w:tcPr>
          <w:p w14:paraId="78F463AB"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Profit or loss from continuing operations</w:t>
            </w:r>
          </w:p>
        </w:tc>
        <w:tc>
          <w:tcPr>
            <w:tcW w:w="727" w:type="pct"/>
            <w:vAlign w:val="bottom"/>
          </w:tcPr>
          <w:p w14:paraId="52A08BEF"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7425308E"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51C4A488"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7FE8D37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2B7F827" w14:textId="77777777" w:rsidTr="001B330E">
        <w:trPr>
          <w:trHeight w:val="23"/>
        </w:trPr>
        <w:tc>
          <w:tcPr>
            <w:tcW w:w="2092" w:type="pct"/>
            <w:vAlign w:val="bottom"/>
          </w:tcPr>
          <w:p w14:paraId="1F08F25E"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Profit or loss from discontinued operations</w:t>
            </w:r>
          </w:p>
        </w:tc>
        <w:tc>
          <w:tcPr>
            <w:tcW w:w="727" w:type="pct"/>
            <w:vAlign w:val="bottom"/>
          </w:tcPr>
          <w:p w14:paraId="3546CAEE"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77E3CA93"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78DF597E"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2B792CC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499B886" w14:textId="77777777" w:rsidTr="001B330E">
        <w:trPr>
          <w:trHeight w:val="23"/>
        </w:trPr>
        <w:tc>
          <w:tcPr>
            <w:tcW w:w="2092" w:type="pct"/>
            <w:vAlign w:val="bottom"/>
          </w:tcPr>
          <w:p w14:paraId="46B7E7E7"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Other comprehensive income</w:t>
            </w:r>
          </w:p>
        </w:tc>
        <w:tc>
          <w:tcPr>
            <w:tcW w:w="727" w:type="pct"/>
            <w:vAlign w:val="bottom"/>
          </w:tcPr>
          <w:p w14:paraId="18486CCD"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2D82ACD2"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092CBE8C"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1496B49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E256919" w14:textId="77777777" w:rsidTr="001B330E">
        <w:trPr>
          <w:trHeight w:val="23"/>
        </w:trPr>
        <w:tc>
          <w:tcPr>
            <w:tcW w:w="2092" w:type="pct"/>
            <w:vAlign w:val="bottom"/>
          </w:tcPr>
          <w:p w14:paraId="4848E012" w14:textId="77777777" w:rsidR="00D83E33" w:rsidRPr="00E837F2" w:rsidRDefault="00BC4072" w:rsidP="001B330E">
            <w:pPr>
              <w:widowControl w:val="0"/>
              <w:pBdr>
                <w:top w:val="nil"/>
                <w:left w:val="nil"/>
                <w:bottom w:val="nil"/>
                <w:right w:val="nil"/>
                <w:between w:val="nil"/>
              </w:pBdr>
              <w:rPr>
                <w:color w:val="000000"/>
              </w:rPr>
            </w:pPr>
            <w:r w:rsidRPr="00E837F2">
              <w:rPr>
                <w:color w:val="000000"/>
              </w:rPr>
              <w:t>Total comprehensive income</w:t>
            </w:r>
          </w:p>
        </w:tc>
        <w:tc>
          <w:tcPr>
            <w:tcW w:w="727" w:type="pct"/>
            <w:vAlign w:val="bottom"/>
          </w:tcPr>
          <w:p w14:paraId="2EC8E1E4"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6B8EA903"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5AF6D957" w14:textId="77777777" w:rsidR="00D83E33" w:rsidRPr="00E837F2" w:rsidRDefault="00D83E33" w:rsidP="001B330E">
            <w:pPr>
              <w:widowControl w:val="0"/>
              <w:pBdr>
                <w:top w:val="nil"/>
                <w:left w:val="nil"/>
                <w:bottom w:val="nil"/>
                <w:right w:val="nil"/>
                <w:between w:val="nil"/>
              </w:pBdr>
              <w:jc w:val="right"/>
              <w:rPr>
                <w:color w:val="000000"/>
              </w:rPr>
            </w:pPr>
          </w:p>
        </w:tc>
        <w:tc>
          <w:tcPr>
            <w:tcW w:w="727" w:type="pct"/>
            <w:vAlign w:val="bottom"/>
          </w:tcPr>
          <w:p w14:paraId="4AFCC52F"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0FF51AF" w14:textId="77777777" w:rsidTr="001B330E">
        <w:trPr>
          <w:trHeight w:val="23"/>
        </w:trPr>
        <w:tc>
          <w:tcPr>
            <w:tcW w:w="2092" w:type="pct"/>
            <w:tcBorders>
              <w:bottom w:val="single" w:sz="4" w:space="0" w:color="000000"/>
            </w:tcBorders>
            <w:vAlign w:val="bottom"/>
          </w:tcPr>
          <w:p w14:paraId="5C3DD9CB" w14:textId="77777777" w:rsidR="00D83E33" w:rsidRPr="001B330E" w:rsidRDefault="00BC4072" w:rsidP="001B330E">
            <w:pPr>
              <w:widowControl w:val="0"/>
              <w:pBdr>
                <w:top w:val="nil"/>
                <w:left w:val="nil"/>
                <w:bottom w:val="nil"/>
                <w:right w:val="nil"/>
                <w:between w:val="nil"/>
              </w:pBdr>
              <w:rPr>
                <w:color w:val="000000"/>
                <w:szCs w:val="14"/>
              </w:rPr>
            </w:pPr>
            <w:r w:rsidRPr="001B330E">
              <w:rPr>
                <w:color w:val="000000"/>
                <w:szCs w:val="14"/>
              </w:rPr>
              <w:t> </w:t>
            </w:r>
          </w:p>
        </w:tc>
        <w:tc>
          <w:tcPr>
            <w:tcW w:w="727" w:type="pct"/>
            <w:tcBorders>
              <w:bottom w:val="single" w:sz="4" w:space="0" w:color="000000"/>
            </w:tcBorders>
            <w:vAlign w:val="bottom"/>
          </w:tcPr>
          <w:p w14:paraId="4BD9284C"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bottom w:val="single" w:sz="4" w:space="0" w:color="000000"/>
            </w:tcBorders>
            <w:vAlign w:val="bottom"/>
          </w:tcPr>
          <w:p w14:paraId="64EBC67F"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bottom w:val="single" w:sz="4" w:space="0" w:color="000000"/>
            </w:tcBorders>
            <w:vAlign w:val="bottom"/>
          </w:tcPr>
          <w:p w14:paraId="442ADCA4" w14:textId="77777777" w:rsidR="00D83E33" w:rsidRPr="001B330E" w:rsidRDefault="00D83E33" w:rsidP="001B330E">
            <w:pPr>
              <w:widowControl w:val="0"/>
              <w:pBdr>
                <w:top w:val="nil"/>
                <w:left w:val="nil"/>
                <w:bottom w:val="nil"/>
                <w:right w:val="nil"/>
                <w:between w:val="nil"/>
              </w:pBdr>
              <w:jc w:val="right"/>
              <w:rPr>
                <w:color w:val="000000"/>
                <w:szCs w:val="14"/>
              </w:rPr>
            </w:pPr>
          </w:p>
        </w:tc>
        <w:tc>
          <w:tcPr>
            <w:tcW w:w="727" w:type="pct"/>
            <w:tcBorders>
              <w:bottom w:val="single" w:sz="4" w:space="0" w:color="000000"/>
            </w:tcBorders>
            <w:vAlign w:val="bottom"/>
          </w:tcPr>
          <w:p w14:paraId="3B5F45A3" w14:textId="77777777" w:rsidR="00D83E33" w:rsidRPr="001B330E" w:rsidRDefault="00D83E33" w:rsidP="001B330E">
            <w:pPr>
              <w:widowControl w:val="0"/>
              <w:pBdr>
                <w:top w:val="nil"/>
                <w:left w:val="nil"/>
                <w:bottom w:val="nil"/>
                <w:right w:val="nil"/>
                <w:between w:val="nil"/>
              </w:pBdr>
              <w:jc w:val="right"/>
              <w:rPr>
                <w:color w:val="000000"/>
                <w:szCs w:val="14"/>
              </w:rPr>
            </w:pPr>
          </w:p>
        </w:tc>
      </w:tr>
    </w:tbl>
    <w:p w14:paraId="6DED8DBF" w14:textId="17630D13"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Summarised financial information of each material associate is as follows at 31</w:t>
      </w:r>
      <w:r w:rsidR="00181687">
        <w:rPr>
          <w:color w:val="000000"/>
          <w:sz w:val="20"/>
          <w:szCs w:val="20"/>
        </w:rPr>
        <w:t> December </w:t>
      </w:r>
      <w:r w:rsidR="00541EBC">
        <w:rPr>
          <w:color w:val="000000"/>
          <w:sz w:val="20"/>
          <w:szCs w:val="20"/>
        </w:rPr>
        <w:t>2023</w:t>
      </w:r>
      <w:r>
        <w:rPr>
          <w:color w:val="000000"/>
          <w:sz w:val="20"/>
          <w:szCs w:val="20"/>
        </w:rPr>
        <w:t>:</w:t>
      </w:r>
    </w:p>
    <w:tbl>
      <w:tblPr>
        <w:tblStyle w:val="affffffffe"/>
        <w:tblW w:w="5000" w:type="pct"/>
        <w:tblLayout w:type="fixed"/>
        <w:tblLook w:val="0000" w:firstRow="0" w:lastRow="0" w:firstColumn="0" w:lastColumn="0" w:noHBand="0" w:noVBand="0"/>
      </w:tblPr>
      <w:tblGrid>
        <w:gridCol w:w="3915"/>
        <w:gridCol w:w="1360"/>
        <w:gridCol w:w="1360"/>
        <w:gridCol w:w="1360"/>
        <w:gridCol w:w="1360"/>
      </w:tblGrid>
      <w:tr w:rsidR="00D83E33" w:rsidRPr="00E837F2" w14:paraId="23DA4E18" w14:textId="77777777" w:rsidTr="001B330E">
        <w:trPr>
          <w:trHeight w:val="23"/>
        </w:trPr>
        <w:tc>
          <w:tcPr>
            <w:tcW w:w="2092" w:type="pct"/>
            <w:tcBorders>
              <w:bottom w:val="single" w:sz="4" w:space="0" w:color="000000"/>
            </w:tcBorders>
            <w:vAlign w:val="bottom"/>
          </w:tcPr>
          <w:p w14:paraId="4D63DD29" w14:textId="7BB4F29B" w:rsidR="00D83E33" w:rsidRPr="00E837F2"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727" w:type="pct"/>
            <w:tcBorders>
              <w:bottom w:val="single" w:sz="4" w:space="0" w:color="000000"/>
            </w:tcBorders>
          </w:tcPr>
          <w:p w14:paraId="0B2842A4" w14:textId="77777777" w:rsidR="00D83E33" w:rsidRPr="00E837F2" w:rsidRDefault="00BC4072" w:rsidP="001B330E">
            <w:pPr>
              <w:widowControl w:val="0"/>
              <w:pBdr>
                <w:top w:val="nil"/>
                <w:left w:val="nil"/>
                <w:bottom w:val="nil"/>
                <w:right w:val="nil"/>
                <w:between w:val="nil"/>
              </w:pBdr>
              <w:jc w:val="right"/>
              <w:rPr>
                <w:color w:val="000000"/>
              </w:rPr>
            </w:pPr>
            <w:r w:rsidRPr="00E837F2">
              <w:rPr>
                <w:b/>
                <w:color w:val="000000"/>
              </w:rPr>
              <w:t>Associate X</w:t>
            </w:r>
          </w:p>
        </w:tc>
        <w:tc>
          <w:tcPr>
            <w:tcW w:w="727" w:type="pct"/>
            <w:tcBorders>
              <w:bottom w:val="single" w:sz="4" w:space="0" w:color="000000"/>
            </w:tcBorders>
          </w:tcPr>
          <w:p w14:paraId="229151C4" w14:textId="77777777" w:rsidR="00D83E33" w:rsidRPr="00E837F2" w:rsidRDefault="00BC4072" w:rsidP="001B330E">
            <w:pPr>
              <w:widowControl w:val="0"/>
              <w:pBdr>
                <w:top w:val="nil"/>
                <w:left w:val="nil"/>
                <w:bottom w:val="nil"/>
                <w:right w:val="nil"/>
                <w:between w:val="nil"/>
              </w:pBdr>
              <w:jc w:val="right"/>
              <w:rPr>
                <w:color w:val="000000"/>
              </w:rPr>
            </w:pPr>
            <w:r w:rsidRPr="00E837F2">
              <w:rPr>
                <w:b/>
                <w:color w:val="000000"/>
              </w:rPr>
              <w:t>Associate Y</w:t>
            </w:r>
          </w:p>
        </w:tc>
        <w:tc>
          <w:tcPr>
            <w:tcW w:w="727" w:type="pct"/>
            <w:tcBorders>
              <w:bottom w:val="single" w:sz="4" w:space="0" w:color="000000"/>
            </w:tcBorders>
          </w:tcPr>
          <w:p w14:paraId="3BFA8AEB" w14:textId="77777777" w:rsidR="00D83E33" w:rsidRPr="00E837F2" w:rsidRDefault="00BC4072" w:rsidP="001B330E">
            <w:pPr>
              <w:widowControl w:val="0"/>
              <w:pBdr>
                <w:top w:val="nil"/>
                <w:left w:val="nil"/>
                <w:bottom w:val="nil"/>
                <w:right w:val="nil"/>
                <w:between w:val="nil"/>
              </w:pBdr>
              <w:jc w:val="right"/>
              <w:rPr>
                <w:color w:val="000000"/>
              </w:rPr>
            </w:pPr>
            <w:r w:rsidRPr="00E837F2">
              <w:rPr>
                <w:b/>
                <w:color w:val="000000"/>
              </w:rPr>
              <w:t>Other individually immaterial associates</w:t>
            </w:r>
          </w:p>
        </w:tc>
        <w:tc>
          <w:tcPr>
            <w:tcW w:w="727" w:type="pct"/>
            <w:tcBorders>
              <w:bottom w:val="single" w:sz="4" w:space="0" w:color="000000"/>
            </w:tcBorders>
          </w:tcPr>
          <w:p w14:paraId="15B0347D" w14:textId="77777777" w:rsidR="00D83E33" w:rsidRPr="00E837F2" w:rsidRDefault="00BC4072" w:rsidP="001B330E">
            <w:pPr>
              <w:widowControl w:val="0"/>
              <w:pBdr>
                <w:top w:val="nil"/>
                <w:left w:val="nil"/>
                <w:bottom w:val="nil"/>
                <w:right w:val="nil"/>
                <w:between w:val="nil"/>
              </w:pBdr>
              <w:jc w:val="right"/>
              <w:rPr>
                <w:color w:val="000000"/>
              </w:rPr>
            </w:pPr>
            <w:r w:rsidRPr="00E837F2">
              <w:rPr>
                <w:b/>
                <w:color w:val="000000"/>
              </w:rPr>
              <w:t>Total associates</w:t>
            </w:r>
          </w:p>
        </w:tc>
      </w:tr>
      <w:tr w:rsidR="00D83E33" w:rsidRPr="00E837F2" w14:paraId="3E3C8687" w14:textId="77777777" w:rsidTr="001B330E">
        <w:trPr>
          <w:trHeight w:val="23"/>
        </w:trPr>
        <w:tc>
          <w:tcPr>
            <w:tcW w:w="2092" w:type="pct"/>
            <w:tcBorders>
              <w:top w:val="single" w:sz="4" w:space="0" w:color="000000"/>
            </w:tcBorders>
            <w:vAlign w:val="bottom"/>
          </w:tcPr>
          <w:p w14:paraId="08F2A86B" w14:textId="77777777" w:rsidR="00D83E33" w:rsidRPr="00E837F2" w:rsidRDefault="00BC4072">
            <w:pPr>
              <w:widowControl w:val="0"/>
              <w:jc w:val="both"/>
            </w:pPr>
            <w:r w:rsidRPr="00E837F2">
              <w:t> </w:t>
            </w:r>
          </w:p>
        </w:tc>
        <w:tc>
          <w:tcPr>
            <w:tcW w:w="727" w:type="pct"/>
            <w:tcBorders>
              <w:top w:val="single" w:sz="4" w:space="0" w:color="000000"/>
            </w:tcBorders>
            <w:vAlign w:val="bottom"/>
          </w:tcPr>
          <w:p w14:paraId="6033BF1A" w14:textId="77777777" w:rsidR="00D83E33" w:rsidRPr="00E837F2" w:rsidRDefault="00D83E33">
            <w:pPr>
              <w:widowControl w:val="0"/>
              <w:pBdr>
                <w:top w:val="nil"/>
                <w:left w:val="nil"/>
                <w:bottom w:val="nil"/>
                <w:right w:val="nil"/>
                <w:between w:val="nil"/>
              </w:pBdr>
              <w:jc w:val="right"/>
              <w:rPr>
                <w:color w:val="000000"/>
              </w:rPr>
            </w:pPr>
          </w:p>
        </w:tc>
        <w:tc>
          <w:tcPr>
            <w:tcW w:w="727" w:type="pct"/>
            <w:tcBorders>
              <w:top w:val="single" w:sz="4" w:space="0" w:color="000000"/>
            </w:tcBorders>
            <w:vAlign w:val="bottom"/>
          </w:tcPr>
          <w:p w14:paraId="3C37250F" w14:textId="77777777" w:rsidR="00D83E33" w:rsidRPr="00E837F2" w:rsidRDefault="00D83E33">
            <w:pPr>
              <w:widowControl w:val="0"/>
              <w:pBdr>
                <w:top w:val="nil"/>
                <w:left w:val="nil"/>
                <w:bottom w:val="nil"/>
                <w:right w:val="nil"/>
                <w:between w:val="nil"/>
              </w:pBdr>
              <w:jc w:val="right"/>
              <w:rPr>
                <w:color w:val="000000"/>
              </w:rPr>
            </w:pPr>
          </w:p>
        </w:tc>
        <w:tc>
          <w:tcPr>
            <w:tcW w:w="727" w:type="pct"/>
            <w:tcBorders>
              <w:top w:val="single" w:sz="4" w:space="0" w:color="000000"/>
            </w:tcBorders>
            <w:vAlign w:val="bottom"/>
          </w:tcPr>
          <w:p w14:paraId="2A957768" w14:textId="77777777" w:rsidR="00D83E33" w:rsidRPr="00E837F2" w:rsidRDefault="00D83E33">
            <w:pPr>
              <w:widowControl w:val="0"/>
              <w:pBdr>
                <w:top w:val="nil"/>
                <w:left w:val="nil"/>
                <w:bottom w:val="nil"/>
                <w:right w:val="nil"/>
                <w:between w:val="nil"/>
              </w:pBdr>
              <w:jc w:val="right"/>
              <w:rPr>
                <w:color w:val="000000"/>
              </w:rPr>
            </w:pPr>
          </w:p>
        </w:tc>
        <w:tc>
          <w:tcPr>
            <w:tcW w:w="727" w:type="pct"/>
            <w:tcBorders>
              <w:top w:val="single" w:sz="4" w:space="0" w:color="000000"/>
            </w:tcBorders>
            <w:vAlign w:val="bottom"/>
          </w:tcPr>
          <w:p w14:paraId="4312AB2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10CF7E8" w14:textId="77777777" w:rsidTr="001B330E">
        <w:trPr>
          <w:trHeight w:val="23"/>
        </w:trPr>
        <w:tc>
          <w:tcPr>
            <w:tcW w:w="2092" w:type="pct"/>
            <w:vAlign w:val="bottom"/>
          </w:tcPr>
          <w:p w14:paraId="3301CBF3" w14:textId="77777777" w:rsidR="00D83E33" w:rsidRPr="00E837F2" w:rsidRDefault="00BC4072">
            <w:pPr>
              <w:widowControl w:val="0"/>
              <w:pBdr>
                <w:top w:val="nil"/>
                <w:left w:val="nil"/>
                <w:bottom w:val="nil"/>
                <w:right w:val="nil"/>
                <w:between w:val="nil"/>
              </w:pBdr>
              <w:rPr>
                <w:color w:val="000000"/>
              </w:rPr>
            </w:pPr>
            <w:r w:rsidRPr="00E837F2">
              <w:rPr>
                <w:color w:val="000000"/>
              </w:rPr>
              <w:t>Current assets</w:t>
            </w:r>
          </w:p>
        </w:tc>
        <w:tc>
          <w:tcPr>
            <w:tcW w:w="727" w:type="pct"/>
            <w:vAlign w:val="bottom"/>
          </w:tcPr>
          <w:p w14:paraId="66F9FA1F" w14:textId="77777777" w:rsidR="00D83E33" w:rsidRPr="00E837F2" w:rsidRDefault="00D83E33">
            <w:pPr>
              <w:widowControl w:val="0"/>
              <w:pBdr>
                <w:top w:val="nil"/>
                <w:left w:val="nil"/>
                <w:bottom w:val="nil"/>
                <w:right w:val="nil"/>
                <w:between w:val="nil"/>
              </w:pBdr>
              <w:jc w:val="right"/>
              <w:rPr>
                <w:b/>
                <w:color w:val="000000"/>
              </w:rPr>
            </w:pPr>
          </w:p>
        </w:tc>
        <w:tc>
          <w:tcPr>
            <w:tcW w:w="727" w:type="pct"/>
            <w:vAlign w:val="bottom"/>
          </w:tcPr>
          <w:p w14:paraId="1EFD7717" w14:textId="77777777" w:rsidR="00D83E33" w:rsidRPr="00E837F2" w:rsidRDefault="00D83E33">
            <w:pPr>
              <w:widowControl w:val="0"/>
              <w:pBdr>
                <w:top w:val="nil"/>
                <w:left w:val="nil"/>
                <w:bottom w:val="nil"/>
                <w:right w:val="nil"/>
                <w:between w:val="nil"/>
              </w:pBdr>
              <w:jc w:val="right"/>
              <w:rPr>
                <w:b/>
                <w:color w:val="000000"/>
              </w:rPr>
            </w:pPr>
          </w:p>
        </w:tc>
        <w:tc>
          <w:tcPr>
            <w:tcW w:w="727" w:type="pct"/>
            <w:vAlign w:val="bottom"/>
          </w:tcPr>
          <w:p w14:paraId="7CCE828C" w14:textId="77777777" w:rsidR="00D83E33" w:rsidRPr="00E837F2" w:rsidRDefault="00D83E33">
            <w:pPr>
              <w:widowControl w:val="0"/>
              <w:pBdr>
                <w:top w:val="nil"/>
                <w:left w:val="nil"/>
                <w:bottom w:val="nil"/>
                <w:right w:val="nil"/>
                <w:between w:val="nil"/>
              </w:pBdr>
              <w:jc w:val="right"/>
              <w:rPr>
                <w:b/>
                <w:color w:val="000000"/>
              </w:rPr>
            </w:pPr>
          </w:p>
        </w:tc>
        <w:tc>
          <w:tcPr>
            <w:tcW w:w="727" w:type="pct"/>
            <w:vAlign w:val="bottom"/>
          </w:tcPr>
          <w:p w14:paraId="197322DB"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63240224" w14:textId="77777777" w:rsidTr="001B330E">
        <w:trPr>
          <w:trHeight w:val="23"/>
        </w:trPr>
        <w:tc>
          <w:tcPr>
            <w:tcW w:w="2092" w:type="pct"/>
            <w:vAlign w:val="bottom"/>
          </w:tcPr>
          <w:p w14:paraId="198F8302" w14:textId="77777777" w:rsidR="00D83E33" w:rsidRPr="00E837F2" w:rsidRDefault="00BC4072">
            <w:pPr>
              <w:widowControl w:val="0"/>
              <w:pBdr>
                <w:top w:val="nil"/>
                <w:left w:val="nil"/>
                <w:bottom w:val="nil"/>
                <w:right w:val="nil"/>
                <w:between w:val="nil"/>
              </w:pBdr>
              <w:rPr>
                <w:color w:val="000000"/>
              </w:rPr>
            </w:pPr>
            <w:r w:rsidRPr="00E837F2">
              <w:rPr>
                <w:color w:val="000000"/>
              </w:rPr>
              <w:t>Non-current assets</w:t>
            </w:r>
          </w:p>
        </w:tc>
        <w:tc>
          <w:tcPr>
            <w:tcW w:w="727" w:type="pct"/>
            <w:vAlign w:val="bottom"/>
          </w:tcPr>
          <w:p w14:paraId="31A1A3CB"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211561D7"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4C572655"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466671A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A4F6466" w14:textId="77777777" w:rsidTr="001B330E">
        <w:trPr>
          <w:trHeight w:val="23"/>
        </w:trPr>
        <w:tc>
          <w:tcPr>
            <w:tcW w:w="2092" w:type="pct"/>
            <w:vAlign w:val="bottom"/>
          </w:tcPr>
          <w:p w14:paraId="7773086D" w14:textId="77777777" w:rsidR="00D83E33" w:rsidRPr="00E837F2" w:rsidRDefault="00BC4072">
            <w:pPr>
              <w:widowControl w:val="0"/>
              <w:pBdr>
                <w:top w:val="nil"/>
                <w:left w:val="nil"/>
                <w:bottom w:val="nil"/>
                <w:right w:val="nil"/>
                <w:between w:val="nil"/>
              </w:pBdr>
              <w:rPr>
                <w:color w:val="000000"/>
              </w:rPr>
            </w:pPr>
            <w:r w:rsidRPr="00E837F2">
              <w:rPr>
                <w:color w:val="000000"/>
              </w:rPr>
              <w:t>Current liabilities</w:t>
            </w:r>
          </w:p>
        </w:tc>
        <w:tc>
          <w:tcPr>
            <w:tcW w:w="727" w:type="pct"/>
            <w:vAlign w:val="bottom"/>
          </w:tcPr>
          <w:p w14:paraId="13172647"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7A241BD3"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564C6A08"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4C8CA2D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C6DDB78" w14:textId="77777777" w:rsidTr="001B330E">
        <w:trPr>
          <w:trHeight w:val="23"/>
        </w:trPr>
        <w:tc>
          <w:tcPr>
            <w:tcW w:w="2092" w:type="pct"/>
            <w:vAlign w:val="bottom"/>
          </w:tcPr>
          <w:p w14:paraId="62CB7E89" w14:textId="77777777" w:rsidR="00D83E33" w:rsidRPr="00E837F2" w:rsidRDefault="00BC4072">
            <w:pPr>
              <w:widowControl w:val="0"/>
              <w:pBdr>
                <w:top w:val="nil"/>
                <w:left w:val="nil"/>
                <w:bottom w:val="nil"/>
                <w:right w:val="nil"/>
                <w:between w:val="nil"/>
              </w:pBdr>
              <w:rPr>
                <w:color w:val="000000"/>
              </w:rPr>
            </w:pPr>
            <w:r w:rsidRPr="00E837F2">
              <w:rPr>
                <w:color w:val="000000"/>
              </w:rPr>
              <w:t>Non-current liabilities</w:t>
            </w:r>
          </w:p>
        </w:tc>
        <w:tc>
          <w:tcPr>
            <w:tcW w:w="727" w:type="pct"/>
            <w:vAlign w:val="bottom"/>
          </w:tcPr>
          <w:p w14:paraId="33C233AC"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3C452886"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44306AC1"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107C524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9624F39" w14:textId="77777777" w:rsidTr="001B330E">
        <w:trPr>
          <w:trHeight w:val="23"/>
        </w:trPr>
        <w:tc>
          <w:tcPr>
            <w:tcW w:w="2092" w:type="pct"/>
            <w:vAlign w:val="bottom"/>
          </w:tcPr>
          <w:p w14:paraId="6D89445C" w14:textId="77777777" w:rsidR="00D83E33" w:rsidRPr="00E837F2" w:rsidRDefault="00BC4072">
            <w:pPr>
              <w:widowControl w:val="0"/>
              <w:pBdr>
                <w:top w:val="nil"/>
                <w:left w:val="nil"/>
                <w:bottom w:val="nil"/>
                <w:right w:val="nil"/>
                <w:between w:val="nil"/>
              </w:pBdr>
              <w:rPr>
                <w:color w:val="000000"/>
              </w:rPr>
            </w:pPr>
            <w:r w:rsidRPr="00E837F2">
              <w:rPr>
                <w:color w:val="000000"/>
              </w:rPr>
              <w:t>Revenue</w:t>
            </w:r>
          </w:p>
        </w:tc>
        <w:tc>
          <w:tcPr>
            <w:tcW w:w="727" w:type="pct"/>
            <w:vAlign w:val="bottom"/>
          </w:tcPr>
          <w:p w14:paraId="46107F59"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01F251FA"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483F92BA"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49ECB82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229092D" w14:textId="77777777" w:rsidTr="001B330E">
        <w:trPr>
          <w:trHeight w:val="23"/>
        </w:trPr>
        <w:tc>
          <w:tcPr>
            <w:tcW w:w="2092" w:type="pct"/>
            <w:vAlign w:val="bottom"/>
          </w:tcPr>
          <w:p w14:paraId="6B85EC03" w14:textId="77777777" w:rsidR="00D83E33" w:rsidRPr="00E837F2" w:rsidRDefault="00BC4072">
            <w:pPr>
              <w:widowControl w:val="0"/>
              <w:pBdr>
                <w:top w:val="nil"/>
                <w:left w:val="nil"/>
                <w:bottom w:val="nil"/>
                <w:right w:val="nil"/>
                <w:between w:val="nil"/>
              </w:pBdr>
              <w:rPr>
                <w:color w:val="000000"/>
              </w:rPr>
            </w:pPr>
            <w:r w:rsidRPr="00E837F2">
              <w:rPr>
                <w:color w:val="000000"/>
              </w:rPr>
              <w:t>Profit or loss from continuing operations</w:t>
            </w:r>
          </w:p>
        </w:tc>
        <w:tc>
          <w:tcPr>
            <w:tcW w:w="727" w:type="pct"/>
            <w:vAlign w:val="bottom"/>
          </w:tcPr>
          <w:p w14:paraId="0BBC12AC"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49251365"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2E65EB66"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17047C8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47BDDBB" w14:textId="77777777" w:rsidTr="001B330E">
        <w:trPr>
          <w:trHeight w:val="23"/>
        </w:trPr>
        <w:tc>
          <w:tcPr>
            <w:tcW w:w="2092" w:type="pct"/>
            <w:vAlign w:val="bottom"/>
          </w:tcPr>
          <w:p w14:paraId="1B51D28D" w14:textId="77777777" w:rsidR="00D83E33" w:rsidRPr="00E837F2" w:rsidRDefault="00BC4072">
            <w:pPr>
              <w:widowControl w:val="0"/>
              <w:pBdr>
                <w:top w:val="nil"/>
                <w:left w:val="nil"/>
                <w:bottom w:val="nil"/>
                <w:right w:val="nil"/>
                <w:between w:val="nil"/>
              </w:pBdr>
              <w:rPr>
                <w:color w:val="000000"/>
              </w:rPr>
            </w:pPr>
            <w:r w:rsidRPr="00E837F2">
              <w:rPr>
                <w:color w:val="000000"/>
              </w:rPr>
              <w:t>Profit or loss from discontinued operations</w:t>
            </w:r>
          </w:p>
        </w:tc>
        <w:tc>
          <w:tcPr>
            <w:tcW w:w="727" w:type="pct"/>
            <w:vAlign w:val="bottom"/>
          </w:tcPr>
          <w:p w14:paraId="2D071E7A"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0528EB17"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0DCF90C0"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6EF0BC7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288A768" w14:textId="77777777" w:rsidTr="001B330E">
        <w:trPr>
          <w:trHeight w:val="23"/>
        </w:trPr>
        <w:tc>
          <w:tcPr>
            <w:tcW w:w="2092" w:type="pct"/>
            <w:vAlign w:val="bottom"/>
          </w:tcPr>
          <w:p w14:paraId="3EF60C00" w14:textId="77777777" w:rsidR="00D83E33" w:rsidRPr="00E837F2" w:rsidRDefault="00BC4072">
            <w:pPr>
              <w:widowControl w:val="0"/>
              <w:pBdr>
                <w:top w:val="nil"/>
                <w:left w:val="nil"/>
                <w:bottom w:val="nil"/>
                <w:right w:val="nil"/>
                <w:between w:val="nil"/>
              </w:pBdr>
              <w:rPr>
                <w:color w:val="000000"/>
              </w:rPr>
            </w:pPr>
            <w:r w:rsidRPr="00E837F2">
              <w:rPr>
                <w:color w:val="000000"/>
              </w:rPr>
              <w:t>Other comprehensive income</w:t>
            </w:r>
          </w:p>
        </w:tc>
        <w:tc>
          <w:tcPr>
            <w:tcW w:w="727" w:type="pct"/>
            <w:vAlign w:val="bottom"/>
          </w:tcPr>
          <w:p w14:paraId="00373744"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614FE852"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5190699B"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2C30430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6E32B44" w14:textId="77777777" w:rsidTr="001B330E">
        <w:trPr>
          <w:trHeight w:val="23"/>
        </w:trPr>
        <w:tc>
          <w:tcPr>
            <w:tcW w:w="2092" w:type="pct"/>
            <w:vAlign w:val="bottom"/>
          </w:tcPr>
          <w:p w14:paraId="5F8B1347" w14:textId="77777777" w:rsidR="00D83E33" w:rsidRPr="00E837F2" w:rsidRDefault="00BC4072">
            <w:pPr>
              <w:widowControl w:val="0"/>
              <w:pBdr>
                <w:top w:val="nil"/>
                <w:left w:val="nil"/>
                <w:bottom w:val="nil"/>
                <w:right w:val="nil"/>
                <w:between w:val="nil"/>
              </w:pBdr>
              <w:rPr>
                <w:color w:val="000000"/>
              </w:rPr>
            </w:pPr>
            <w:r w:rsidRPr="00E837F2">
              <w:rPr>
                <w:color w:val="000000"/>
              </w:rPr>
              <w:t>Total comprehensive income</w:t>
            </w:r>
          </w:p>
        </w:tc>
        <w:tc>
          <w:tcPr>
            <w:tcW w:w="727" w:type="pct"/>
            <w:vAlign w:val="bottom"/>
          </w:tcPr>
          <w:p w14:paraId="756F641B"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4D604D6E"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028744EA" w14:textId="77777777" w:rsidR="00D83E33" w:rsidRPr="00E837F2" w:rsidRDefault="00D83E33">
            <w:pPr>
              <w:widowControl w:val="0"/>
              <w:pBdr>
                <w:top w:val="nil"/>
                <w:left w:val="nil"/>
                <w:bottom w:val="nil"/>
                <w:right w:val="nil"/>
                <w:between w:val="nil"/>
              </w:pBdr>
              <w:jc w:val="right"/>
              <w:rPr>
                <w:color w:val="000000"/>
              </w:rPr>
            </w:pPr>
          </w:p>
        </w:tc>
        <w:tc>
          <w:tcPr>
            <w:tcW w:w="727" w:type="pct"/>
            <w:vAlign w:val="bottom"/>
          </w:tcPr>
          <w:p w14:paraId="1A6B713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139AAB9" w14:textId="77777777" w:rsidTr="001B330E">
        <w:trPr>
          <w:trHeight w:val="23"/>
        </w:trPr>
        <w:tc>
          <w:tcPr>
            <w:tcW w:w="2092" w:type="pct"/>
            <w:tcBorders>
              <w:bottom w:val="single" w:sz="4" w:space="0" w:color="000000"/>
            </w:tcBorders>
            <w:vAlign w:val="bottom"/>
          </w:tcPr>
          <w:p w14:paraId="73FFA9D7" w14:textId="77777777" w:rsidR="00D83E33" w:rsidRPr="00E837F2" w:rsidRDefault="00BC4072">
            <w:pPr>
              <w:widowControl w:val="0"/>
              <w:pBdr>
                <w:top w:val="nil"/>
                <w:left w:val="nil"/>
                <w:bottom w:val="nil"/>
                <w:right w:val="nil"/>
                <w:between w:val="nil"/>
              </w:pBdr>
              <w:rPr>
                <w:color w:val="000000"/>
              </w:rPr>
            </w:pPr>
            <w:r w:rsidRPr="00E837F2">
              <w:rPr>
                <w:color w:val="000000"/>
              </w:rPr>
              <w:t> </w:t>
            </w:r>
          </w:p>
        </w:tc>
        <w:tc>
          <w:tcPr>
            <w:tcW w:w="727" w:type="pct"/>
            <w:tcBorders>
              <w:bottom w:val="single" w:sz="4" w:space="0" w:color="000000"/>
            </w:tcBorders>
            <w:vAlign w:val="bottom"/>
          </w:tcPr>
          <w:p w14:paraId="32238AA7" w14:textId="77777777" w:rsidR="00D83E33" w:rsidRPr="00E837F2" w:rsidRDefault="00D83E33">
            <w:pPr>
              <w:widowControl w:val="0"/>
              <w:pBdr>
                <w:top w:val="nil"/>
                <w:left w:val="nil"/>
                <w:bottom w:val="nil"/>
                <w:right w:val="nil"/>
                <w:between w:val="nil"/>
              </w:pBdr>
              <w:jc w:val="right"/>
              <w:rPr>
                <w:color w:val="000000"/>
              </w:rPr>
            </w:pPr>
          </w:p>
        </w:tc>
        <w:tc>
          <w:tcPr>
            <w:tcW w:w="727" w:type="pct"/>
            <w:tcBorders>
              <w:bottom w:val="single" w:sz="4" w:space="0" w:color="000000"/>
            </w:tcBorders>
            <w:vAlign w:val="bottom"/>
          </w:tcPr>
          <w:p w14:paraId="188AF1BA" w14:textId="77777777" w:rsidR="00D83E33" w:rsidRPr="00E837F2" w:rsidRDefault="00D83E33">
            <w:pPr>
              <w:widowControl w:val="0"/>
              <w:pBdr>
                <w:top w:val="nil"/>
                <w:left w:val="nil"/>
                <w:bottom w:val="nil"/>
                <w:right w:val="nil"/>
                <w:between w:val="nil"/>
              </w:pBdr>
              <w:jc w:val="right"/>
              <w:rPr>
                <w:color w:val="000000"/>
              </w:rPr>
            </w:pPr>
          </w:p>
        </w:tc>
        <w:tc>
          <w:tcPr>
            <w:tcW w:w="727" w:type="pct"/>
            <w:tcBorders>
              <w:bottom w:val="single" w:sz="4" w:space="0" w:color="000000"/>
            </w:tcBorders>
            <w:vAlign w:val="bottom"/>
          </w:tcPr>
          <w:p w14:paraId="256823DF" w14:textId="77777777" w:rsidR="00D83E33" w:rsidRPr="00E837F2" w:rsidRDefault="00D83E33">
            <w:pPr>
              <w:widowControl w:val="0"/>
              <w:pBdr>
                <w:top w:val="nil"/>
                <w:left w:val="nil"/>
                <w:bottom w:val="nil"/>
                <w:right w:val="nil"/>
                <w:between w:val="nil"/>
              </w:pBdr>
              <w:jc w:val="right"/>
              <w:rPr>
                <w:color w:val="000000"/>
              </w:rPr>
            </w:pPr>
          </w:p>
        </w:tc>
        <w:tc>
          <w:tcPr>
            <w:tcW w:w="727" w:type="pct"/>
            <w:tcBorders>
              <w:bottom w:val="single" w:sz="4" w:space="0" w:color="000000"/>
            </w:tcBorders>
            <w:vAlign w:val="bottom"/>
          </w:tcPr>
          <w:p w14:paraId="2734D770" w14:textId="77777777" w:rsidR="00D83E33" w:rsidRPr="00E837F2" w:rsidRDefault="00D83E33">
            <w:pPr>
              <w:widowControl w:val="0"/>
              <w:pBdr>
                <w:top w:val="nil"/>
                <w:left w:val="nil"/>
                <w:bottom w:val="nil"/>
                <w:right w:val="nil"/>
                <w:between w:val="nil"/>
              </w:pBdr>
              <w:jc w:val="right"/>
              <w:rPr>
                <w:color w:val="000000"/>
              </w:rPr>
            </w:pPr>
          </w:p>
        </w:tc>
      </w:tr>
    </w:tbl>
    <w:p w14:paraId="0C57362E"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only reconciling difference between the above amounts and the carrying amount of the investments in associates is elimination of the ownership interest held by the other investors in the associates. </w:t>
      </w:r>
    </w:p>
    <w:p w14:paraId="08C63451" w14:textId="4DF94BD2"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fair value of the Group’s investment in its associate _____, which is listed, is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w:t>
      </w:r>
    </w:p>
    <w:p w14:paraId="4A90E36F" w14:textId="77777777" w:rsidR="006C5889" w:rsidRDefault="006C5889" w:rsidP="001B330E">
      <w:pPr>
        <w:pStyle w:val="Continued"/>
      </w:pPr>
      <w:r>
        <w:lastRenderedPageBreak/>
        <w:t>14</w:t>
      </w:r>
      <w:r>
        <w:tab/>
        <w:t>Investment in Associates (Continued)</w:t>
      </w:r>
    </w:p>
    <w:p w14:paraId="36D1C458" w14:textId="5253074E" w:rsidR="00D83E33" w:rsidRDefault="00BC4072">
      <w:pPr>
        <w:widowControl w:val="0"/>
        <w:pBdr>
          <w:top w:val="nil"/>
          <w:left w:val="nil"/>
          <w:bottom w:val="nil"/>
          <w:right w:val="nil"/>
          <w:between w:val="nil"/>
        </w:pBdr>
        <w:spacing w:before="200" w:after="200"/>
        <w:jc w:val="both"/>
        <w:rPr>
          <w:i/>
          <w:color w:val="FF0000"/>
          <w:sz w:val="20"/>
          <w:szCs w:val="20"/>
        </w:rPr>
      </w:pPr>
      <w:r>
        <w:rPr>
          <w:color w:val="0000FF"/>
          <w:sz w:val="20"/>
          <w:szCs w:val="20"/>
        </w:rPr>
        <w:t>[Associate X]</w:t>
      </w:r>
      <w:r>
        <w:rPr>
          <w:color w:val="000000"/>
          <w:sz w:val="20"/>
          <w:szCs w:val="20"/>
        </w:rPr>
        <w:t xml:space="preserve"> has outstanding borrowing from a third party bank that includes a clause restricting payment of dividends to the investors without the lender’s approval. </w:t>
      </w:r>
      <w:r>
        <w:rPr>
          <w:i/>
          <w:color w:val="FF0000"/>
          <w:sz w:val="20"/>
          <w:szCs w:val="20"/>
        </w:rPr>
        <w:t>[</w:t>
      </w:r>
      <w:r w:rsidR="000A1B81">
        <w:rPr>
          <w:i/>
          <w:color w:val="FF0000"/>
          <w:sz w:val="20"/>
          <w:szCs w:val="20"/>
        </w:rPr>
        <w:t>Tailor to d</w:t>
      </w:r>
      <w:r>
        <w:rPr>
          <w:i/>
          <w:color w:val="FF0000"/>
          <w:sz w:val="20"/>
          <w:szCs w:val="20"/>
        </w:rPr>
        <w:t>isclose the nature and extent of any significant restrictions on the ability of associates to transfer funds to the entity in the form of cash dividends, or to repay loans or advances made by the entity – IFRS 12.22]</w:t>
      </w:r>
    </w:p>
    <w:p w14:paraId="2866314C" w14:textId="426B337E" w:rsidR="00D83E33" w:rsidRDefault="00BC4072" w:rsidP="00F1145B">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Group’s share of contingent liabilities of the associates was </w:t>
      </w:r>
      <w:r w:rsidR="00D73799">
        <w:rPr>
          <w:color w:val="000000"/>
          <w:sz w:val="20"/>
          <w:szCs w:val="20"/>
        </w:rPr>
        <w:t>EUR</w:t>
      </w:r>
      <w:r>
        <w:rPr>
          <w:color w:val="000000"/>
          <w:sz w:val="20"/>
          <w:szCs w:val="20"/>
        </w:rPr>
        <w:t xml:space="preserve"> _____ thousand at 31</w:t>
      </w:r>
      <w:r w:rsidR="00181687">
        <w:rPr>
          <w:color w:val="000000"/>
          <w:sz w:val="20"/>
          <w:szCs w:val="20"/>
        </w:rPr>
        <w:t> December </w:t>
      </w:r>
      <w:r w:rsidR="00541EBC">
        <w:rPr>
          <w:color w:val="000000"/>
          <w:sz w:val="20"/>
          <w:szCs w:val="20"/>
        </w:rPr>
        <w:t>2024</w:t>
      </w:r>
      <w:r>
        <w:rPr>
          <w:color w:val="000000"/>
          <w:sz w:val="20"/>
          <w:szCs w:val="20"/>
        </w:rPr>
        <w:t xml:space="preserve">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In addition, the Group’s contingent liabilities related to the associates incurred jointly with the other investors in the associate amount to </w:t>
      </w:r>
      <w:r w:rsidR="00D73799">
        <w:rPr>
          <w:color w:val="000000"/>
          <w:sz w:val="20"/>
          <w:szCs w:val="20"/>
        </w:rPr>
        <w:t>EUR</w:t>
      </w:r>
      <w:r>
        <w:rPr>
          <w:color w:val="000000"/>
          <w:sz w:val="20"/>
          <w:szCs w:val="20"/>
        </w:rPr>
        <w:t xml:space="preserve"> _____ thousand at 31</w:t>
      </w:r>
      <w:r w:rsidR="00181687">
        <w:rPr>
          <w:color w:val="000000"/>
          <w:sz w:val="20"/>
          <w:szCs w:val="20"/>
        </w:rPr>
        <w:t> December </w:t>
      </w:r>
      <w:r w:rsidR="00541EBC">
        <w:rPr>
          <w:color w:val="000000"/>
          <w:sz w:val="20"/>
          <w:szCs w:val="20"/>
        </w:rPr>
        <w:t>2024</w:t>
      </w:r>
      <w:r>
        <w:rPr>
          <w:color w:val="000000"/>
          <w:sz w:val="20"/>
          <w:szCs w:val="20"/>
        </w:rPr>
        <w:t xml:space="preserve">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w:t>
      </w:r>
    </w:p>
    <w:p w14:paraId="4780A54D" w14:textId="2330BC1F" w:rsidR="006C5889" w:rsidRDefault="006C5889" w:rsidP="006C5889">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carrying value of the Group’s investment in associate _____ is nil. The unrecognised share of loss of this associate is </w:t>
      </w:r>
      <w:r w:rsidR="00D73799">
        <w:rPr>
          <w:color w:val="000000"/>
          <w:sz w:val="20"/>
          <w:szCs w:val="20"/>
        </w:rPr>
        <w:t>EUR</w:t>
      </w:r>
      <w:r>
        <w:rPr>
          <w:color w:val="000000"/>
          <w:sz w:val="20"/>
          <w:szCs w:val="20"/>
        </w:rPr>
        <w:t xml:space="preserve"> _____ thousand for </w:t>
      </w:r>
      <w:r w:rsidR="00541EBC">
        <w:rPr>
          <w:color w:val="000000"/>
          <w:sz w:val="20"/>
          <w:szCs w:val="20"/>
        </w:rPr>
        <w:t>2024</w:t>
      </w:r>
      <w:r>
        <w:rPr>
          <w:color w:val="000000"/>
          <w:sz w:val="20"/>
          <w:szCs w:val="20"/>
        </w:rPr>
        <w:t xml:space="preserve">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Cumulatively, the unrecognised share of losses of this associate is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w:t>
      </w:r>
    </w:p>
    <w:p w14:paraId="423ED3A9" w14:textId="768FDF3B" w:rsidR="00D83E33" w:rsidRDefault="00BC4072" w:rsidP="001B330E">
      <w:pPr>
        <w:pStyle w:val="Heading1"/>
      </w:pPr>
      <w:bookmarkStart w:id="38" w:name="_Toc83818307"/>
      <w:bookmarkStart w:id="39" w:name="_Toc83913946"/>
      <w:bookmarkStart w:id="40" w:name="_Toc83917412"/>
      <w:bookmarkStart w:id="41" w:name="_Toc83818308"/>
      <w:bookmarkStart w:id="42" w:name="_Toc83913947"/>
      <w:bookmarkStart w:id="43" w:name="_Toc83917413"/>
      <w:bookmarkStart w:id="44" w:name="_Toc179196017"/>
      <w:bookmarkEnd w:id="38"/>
      <w:bookmarkEnd w:id="39"/>
      <w:bookmarkEnd w:id="40"/>
      <w:bookmarkEnd w:id="41"/>
      <w:bookmarkEnd w:id="42"/>
      <w:bookmarkEnd w:id="43"/>
      <w:r>
        <w:t xml:space="preserve">Other </w:t>
      </w:r>
      <w:r w:rsidRPr="00E837F2">
        <w:t>Financial</w:t>
      </w:r>
      <w:r>
        <w:t xml:space="preserve"> Assets</w:t>
      </w:r>
      <w:bookmarkEnd w:id="44"/>
    </w:p>
    <w:tbl>
      <w:tblPr>
        <w:tblStyle w:val="afffffffff"/>
        <w:tblW w:w="5000" w:type="pct"/>
        <w:tblLayout w:type="fixed"/>
        <w:tblLook w:val="0000" w:firstRow="0" w:lastRow="0" w:firstColumn="0" w:lastColumn="0" w:noHBand="0" w:noVBand="0"/>
      </w:tblPr>
      <w:tblGrid>
        <w:gridCol w:w="5670"/>
        <w:gridCol w:w="709"/>
        <w:gridCol w:w="1446"/>
        <w:gridCol w:w="1530"/>
      </w:tblGrid>
      <w:tr w:rsidR="00D83E33" w:rsidRPr="00E837F2" w14:paraId="387DB49E" w14:textId="77777777" w:rsidTr="001B330E">
        <w:trPr>
          <w:trHeight w:val="23"/>
        </w:trPr>
        <w:tc>
          <w:tcPr>
            <w:tcW w:w="3030" w:type="pct"/>
            <w:tcBorders>
              <w:bottom w:val="single" w:sz="4" w:space="0" w:color="000000"/>
            </w:tcBorders>
            <w:vAlign w:val="bottom"/>
          </w:tcPr>
          <w:p w14:paraId="7F4AD6ED" w14:textId="248BC0D6"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79" w:type="pct"/>
            <w:tcBorders>
              <w:bottom w:val="single" w:sz="4" w:space="0" w:color="000000"/>
            </w:tcBorders>
            <w:vAlign w:val="bottom"/>
          </w:tcPr>
          <w:p w14:paraId="75244ECF" w14:textId="77777777" w:rsidR="00D83E33" w:rsidRPr="00E837F2" w:rsidRDefault="00BC4072">
            <w:pPr>
              <w:widowControl w:val="0"/>
              <w:pBdr>
                <w:top w:val="nil"/>
                <w:left w:val="nil"/>
                <w:bottom w:val="nil"/>
                <w:right w:val="nil"/>
                <w:between w:val="nil"/>
              </w:pBdr>
              <w:jc w:val="center"/>
              <w:rPr>
                <w:b/>
                <w:color w:val="000000"/>
              </w:rPr>
            </w:pPr>
            <w:r w:rsidRPr="00E837F2">
              <w:rPr>
                <w:b/>
                <w:color w:val="000000"/>
              </w:rPr>
              <w:t>Note</w:t>
            </w:r>
          </w:p>
        </w:tc>
        <w:tc>
          <w:tcPr>
            <w:tcW w:w="773" w:type="pct"/>
            <w:tcBorders>
              <w:bottom w:val="single" w:sz="4" w:space="0" w:color="000000"/>
            </w:tcBorders>
            <w:vAlign w:val="bottom"/>
          </w:tcPr>
          <w:p w14:paraId="0CF06033" w14:textId="1FADB3F3" w:rsidR="00D83E33" w:rsidRPr="00E837F2"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7CA747E2" w14:textId="65DD3E14" w:rsidR="00D83E33" w:rsidRPr="00E837F2" w:rsidRDefault="00541EBC">
            <w:pPr>
              <w:widowControl w:val="0"/>
              <w:pBdr>
                <w:top w:val="nil"/>
                <w:left w:val="nil"/>
                <w:bottom w:val="nil"/>
                <w:right w:val="nil"/>
                <w:between w:val="nil"/>
              </w:pBdr>
              <w:jc w:val="right"/>
              <w:rPr>
                <w:b/>
                <w:color w:val="000000"/>
              </w:rPr>
            </w:pPr>
            <w:r>
              <w:rPr>
                <w:b/>
                <w:color w:val="000000"/>
              </w:rPr>
              <w:t>2023</w:t>
            </w:r>
          </w:p>
        </w:tc>
      </w:tr>
      <w:tr w:rsidR="00D83E33" w:rsidRPr="00E837F2" w14:paraId="149E1FD4" w14:textId="77777777" w:rsidTr="001B330E">
        <w:trPr>
          <w:trHeight w:val="23"/>
        </w:trPr>
        <w:tc>
          <w:tcPr>
            <w:tcW w:w="3030" w:type="pct"/>
            <w:tcBorders>
              <w:top w:val="single" w:sz="4" w:space="0" w:color="000000"/>
            </w:tcBorders>
            <w:vAlign w:val="bottom"/>
          </w:tcPr>
          <w:p w14:paraId="4986F3A1" w14:textId="77777777" w:rsidR="00D83E33" w:rsidRPr="001B330E" w:rsidRDefault="00BC4072" w:rsidP="001B330E">
            <w:pPr>
              <w:widowControl w:val="0"/>
              <w:pBdr>
                <w:top w:val="nil"/>
                <w:left w:val="nil"/>
                <w:bottom w:val="nil"/>
                <w:right w:val="nil"/>
                <w:between w:val="nil"/>
              </w:pBdr>
              <w:ind w:left="113" w:hanging="113"/>
              <w:rPr>
                <w:color w:val="000000"/>
                <w:szCs w:val="14"/>
              </w:rPr>
            </w:pPr>
            <w:r w:rsidRPr="001B330E">
              <w:rPr>
                <w:color w:val="000000"/>
                <w:szCs w:val="14"/>
              </w:rPr>
              <w:t> </w:t>
            </w:r>
          </w:p>
        </w:tc>
        <w:tc>
          <w:tcPr>
            <w:tcW w:w="379" w:type="pct"/>
            <w:tcBorders>
              <w:top w:val="single" w:sz="4" w:space="0" w:color="000000"/>
            </w:tcBorders>
            <w:vAlign w:val="bottom"/>
          </w:tcPr>
          <w:p w14:paraId="593D4659" w14:textId="77777777" w:rsidR="00D83E33" w:rsidRPr="001B330E" w:rsidRDefault="00D83E33">
            <w:pPr>
              <w:widowControl w:val="0"/>
              <w:pBdr>
                <w:top w:val="nil"/>
                <w:left w:val="nil"/>
                <w:bottom w:val="nil"/>
                <w:right w:val="nil"/>
                <w:between w:val="nil"/>
              </w:pBdr>
              <w:jc w:val="center"/>
              <w:rPr>
                <w:color w:val="000000"/>
                <w:szCs w:val="14"/>
              </w:rPr>
            </w:pPr>
          </w:p>
        </w:tc>
        <w:tc>
          <w:tcPr>
            <w:tcW w:w="773" w:type="pct"/>
            <w:vAlign w:val="bottom"/>
          </w:tcPr>
          <w:p w14:paraId="1EC09C86"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vAlign w:val="bottom"/>
          </w:tcPr>
          <w:p w14:paraId="5E419280"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7F33DEB4" w14:textId="77777777" w:rsidTr="001B330E">
        <w:trPr>
          <w:trHeight w:val="23"/>
        </w:trPr>
        <w:tc>
          <w:tcPr>
            <w:tcW w:w="3030" w:type="pct"/>
            <w:vAlign w:val="bottom"/>
          </w:tcPr>
          <w:p w14:paraId="1137CE00" w14:textId="77777777" w:rsidR="00D83E33" w:rsidRPr="00E837F2" w:rsidRDefault="00BC4072" w:rsidP="001B330E">
            <w:pPr>
              <w:widowControl w:val="0"/>
              <w:pBdr>
                <w:top w:val="nil"/>
                <w:left w:val="nil"/>
                <w:bottom w:val="nil"/>
                <w:right w:val="nil"/>
                <w:between w:val="nil"/>
              </w:pBdr>
              <w:ind w:left="113" w:hanging="113"/>
              <w:rPr>
                <w:i/>
                <w:color w:val="000000"/>
              </w:rPr>
            </w:pPr>
            <w:r w:rsidRPr="00E837F2">
              <w:rPr>
                <w:i/>
                <w:color w:val="000000"/>
              </w:rPr>
              <w:t>Other financial assets at AC</w:t>
            </w:r>
          </w:p>
        </w:tc>
        <w:tc>
          <w:tcPr>
            <w:tcW w:w="379" w:type="pct"/>
            <w:vAlign w:val="bottom"/>
          </w:tcPr>
          <w:p w14:paraId="24E6A281"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3EF4F3CC"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5639B72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4F04AD5" w14:textId="77777777" w:rsidTr="001B330E">
        <w:trPr>
          <w:trHeight w:val="23"/>
        </w:trPr>
        <w:tc>
          <w:tcPr>
            <w:tcW w:w="3030" w:type="pct"/>
            <w:vAlign w:val="bottom"/>
          </w:tcPr>
          <w:p w14:paraId="03F39E8C"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379" w:type="pct"/>
            <w:vAlign w:val="bottom"/>
          </w:tcPr>
          <w:p w14:paraId="34161DC7" w14:textId="77777777" w:rsidR="00D83E33" w:rsidRPr="001B330E" w:rsidRDefault="00D83E33">
            <w:pPr>
              <w:widowControl w:val="0"/>
              <w:pBdr>
                <w:top w:val="nil"/>
                <w:left w:val="nil"/>
                <w:bottom w:val="nil"/>
                <w:right w:val="nil"/>
                <w:between w:val="nil"/>
              </w:pBdr>
              <w:jc w:val="center"/>
              <w:rPr>
                <w:color w:val="000000"/>
                <w:szCs w:val="14"/>
              </w:rPr>
            </w:pPr>
          </w:p>
        </w:tc>
        <w:tc>
          <w:tcPr>
            <w:tcW w:w="773" w:type="pct"/>
            <w:vAlign w:val="bottom"/>
          </w:tcPr>
          <w:p w14:paraId="4F81289E"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vAlign w:val="bottom"/>
          </w:tcPr>
          <w:p w14:paraId="2900209F"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4AB53909" w14:textId="77777777" w:rsidTr="001B330E">
        <w:trPr>
          <w:trHeight w:val="23"/>
        </w:trPr>
        <w:tc>
          <w:tcPr>
            <w:tcW w:w="3030" w:type="pct"/>
            <w:vAlign w:val="bottom"/>
          </w:tcPr>
          <w:p w14:paraId="1173836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Trade receivables from contracts with customers</w:t>
            </w:r>
          </w:p>
        </w:tc>
        <w:tc>
          <w:tcPr>
            <w:tcW w:w="379" w:type="pct"/>
            <w:vAlign w:val="bottom"/>
          </w:tcPr>
          <w:p w14:paraId="1784DED6"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5F65781B"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52BD7EC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BE06FC5" w14:textId="77777777" w:rsidTr="001B330E">
        <w:trPr>
          <w:trHeight w:val="23"/>
        </w:trPr>
        <w:tc>
          <w:tcPr>
            <w:tcW w:w="3030" w:type="pct"/>
            <w:vAlign w:val="bottom"/>
          </w:tcPr>
          <w:p w14:paraId="2559F692" w14:textId="413C80DB"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Finance lease receivables </w:t>
            </w:r>
          </w:p>
        </w:tc>
        <w:tc>
          <w:tcPr>
            <w:tcW w:w="379" w:type="pct"/>
            <w:vAlign w:val="bottom"/>
          </w:tcPr>
          <w:p w14:paraId="075512E3"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65C24BC1"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69E11B4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1512C33" w14:textId="77777777" w:rsidTr="001B330E">
        <w:trPr>
          <w:trHeight w:val="23"/>
        </w:trPr>
        <w:tc>
          <w:tcPr>
            <w:tcW w:w="3030" w:type="pct"/>
            <w:vAlign w:val="bottom"/>
          </w:tcPr>
          <w:p w14:paraId="6C2CD7DE"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and debit cards receivables</w:t>
            </w:r>
          </w:p>
        </w:tc>
        <w:tc>
          <w:tcPr>
            <w:tcW w:w="379" w:type="pct"/>
            <w:vAlign w:val="bottom"/>
          </w:tcPr>
          <w:p w14:paraId="0F6250DE"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49C519CF"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297BE6C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5558BC7" w14:textId="77777777" w:rsidTr="001B330E">
        <w:trPr>
          <w:trHeight w:val="23"/>
        </w:trPr>
        <w:tc>
          <w:tcPr>
            <w:tcW w:w="3030" w:type="pct"/>
            <w:vAlign w:val="bottom"/>
          </w:tcPr>
          <w:p w14:paraId="7219541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Settlements on conversion operations</w:t>
            </w:r>
          </w:p>
        </w:tc>
        <w:tc>
          <w:tcPr>
            <w:tcW w:w="379" w:type="pct"/>
            <w:vAlign w:val="bottom"/>
          </w:tcPr>
          <w:p w14:paraId="50BB5BE8"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3EC1A8A0"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266ED7B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3136A90" w14:textId="77777777" w:rsidTr="001B330E">
        <w:trPr>
          <w:trHeight w:val="23"/>
        </w:trPr>
        <w:tc>
          <w:tcPr>
            <w:tcW w:w="3030" w:type="pct"/>
            <w:vAlign w:val="bottom"/>
          </w:tcPr>
          <w:p w14:paraId="3DE0090A" w14:textId="49281A8A"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Restricted cash </w:t>
            </w:r>
          </w:p>
        </w:tc>
        <w:tc>
          <w:tcPr>
            <w:tcW w:w="379" w:type="pct"/>
            <w:vAlign w:val="bottom"/>
          </w:tcPr>
          <w:p w14:paraId="56C7A3DE"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43E65051"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75A41701"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87D27F8" w14:textId="77777777" w:rsidTr="001B330E">
        <w:trPr>
          <w:trHeight w:val="23"/>
        </w:trPr>
        <w:tc>
          <w:tcPr>
            <w:tcW w:w="3030" w:type="pct"/>
            <w:vAlign w:val="bottom"/>
          </w:tcPr>
          <w:p w14:paraId="0AEBF10E"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Other</w:t>
            </w:r>
          </w:p>
        </w:tc>
        <w:tc>
          <w:tcPr>
            <w:tcW w:w="379" w:type="pct"/>
            <w:vAlign w:val="bottom"/>
          </w:tcPr>
          <w:p w14:paraId="188B584A"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34C6DD2F"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4C2026C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624556C" w14:textId="77777777" w:rsidTr="001B330E">
        <w:trPr>
          <w:trHeight w:val="23"/>
        </w:trPr>
        <w:tc>
          <w:tcPr>
            <w:tcW w:w="3030" w:type="pct"/>
            <w:vAlign w:val="bottom"/>
          </w:tcPr>
          <w:p w14:paraId="44730FFD" w14:textId="619FDC8F" w:rsidR="00D83E33" w:rsidRPr="00E837F2" w:rsidRDefault="00D83E33" w:rsidP="001B330E">
            <w:pPr>
              <w:widowControl w:val="0"/>
              <w:pBdr>
                <w:top w:val="nil"/>
                <w:left w:val="nil"/>
                <w:bottom w:val="nil"/>
                <w:right w:val="nil"/>
                <w:between w:val="nil"/>
              </w:pBdr>
              <w:ind w:left="113" w:hanging="113"/>
              <w:rPr>
                <w:color w:val="FF0000"/>
              </w:rPr>
            </w:pPr>
          </w:p>
        </w:tc>
        <w:tc>
          <w:tcPr>
            <w:tcW w:w="379" w:type="pct"/>
            <w:vAlign w:val="bottom"/>
          </w:tcPr>
          <w:p w14:paraId="0D392DE9"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65A304AE"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39F77A8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3264709" w14:textId="77777777" w:rsidTr="001B330E">
        <w:trPr>
          <w:trHeight w:val="23"/>
        </w:trPr>
        <w:tc>
          <w:tcPr>
            <w:tcW w:w="3030" w:type="pct"/>
            <w:tcBorders>
              <w:bottom w:val="single" w:sz="4" w:space="0" w:color="000000"/>
            </w:tcBorders>
            <w:vAlign w:val="bottom"/>
          </w:tcPr>
          <w:p w14:paraId="1AEDFBE9" w14:textId="77777777" w:rsidR="00D83E33" w:rsidRPr="001B330E" w:rsidRDefault="00BC4072" w:rsidP="001B330E">
            <w:pPr>
              <w:widowControl w:val="0"/>
              <w:pBdr>
                <w:top w:val="nil"/>
                <w:left w:val="nil"/>
                <w:bottom w:val="nil"/>
                <w:right w:val="nil"/>
                <w:between w:val="nil"/>
              </w:pBdr>
              <w:ind w:left="113" w:hanging="113"/>
              <w:rPr>
                <w:color w:val="000000"/>
                <w:szCs w:val="14"/>
              </w:rPr>
            </w:pPr>
            <w:r w:rsidRPr="001B330E">
              <w:rPr>
                <w:color w:val="000000"/>
                <w:szCs w:val="14"/>
              </w:rPr>
              <w:t> </w:t>
            </w:r>
          </w:p>
        </w:tc>
        <w:tc>
          <w:tcPr>
            <w:tcW w:w="379" w:type="pct"/>
            <w:tcBorders>
              <w:bottom w:val="single" w:sz="4" w:space="0" w:color="000000"/>
            </w:tcBorders>
            <w:vAlign w:val="bottom"/>
          </w:tcPr>
          <w:p w14:paraId="36E5CDCC" w14:textId="77777777" w:rsidR="00D83E33" w:rsidRPr="001B330E" w:rsidRDefault="00D83E33">
            <w:pPr>
              <w:widowControl w:val="0"/>
              <w:pBdr>
                <w:top w:val="nil"/>
                <w:left w:val="nil"/>
                <w:bottom w:val="nil"/>
                <w:right w:val="nil"/>
                <w:between w:val="nil"/>
              </w:pBdr>
              <w:jc w:val="center"/>
              <w:rPr>
                <w:color w:val="000000"/>
                <w:szCs w:val="14"/>
              </w:rPr>
            </w:pPr>
          </w:p>
        </w:tc>
        <w:tc>
          <w:tcPr>
            <w:tcW w:w="773" w:type="pct"/>
            <w:tcBorders>
              <w:bottom w:val="single" w:sz="4" w:space="0" w:color="000000"/>
            </w:tcBorders>
            <w:vAlign w:val="bottom"/>
          </w:tcPr>
          <w:p w14:paraId="2914CEC5"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bottom w:val="single" w:sz="4" w:space="0" w:color="000000"/>
            </w:tcBorders>
            <w:vAlign w:val="bottom"/>
          </w:tcPr>
          <w:p w14:paraId="1E4D363B"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45AE011A" w14:textId="77777777" w:rsidTr="001B330E">
        <w:trPr>
          <w:trHeight w:val="23"/>
        </w:trPr>
        <w:tc>
          <w:tcPr>
            <w:tcW w:w="3030" w:type="pct"/>
            <w:tcBorders>
              <w:top w:val="single" w:sz="4" w:space="0" w:color="000000"/>
            </w:tcBorders>
            <w:vAlign w:val="bottom"/>
          </w:tcPr>
          <w:p w14:paraId="3E7FD054"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379" w:type="pct"/>
            <w:tcBorders>
              <w:top w:val="single" w:sz="4" w:space="0" w:color="000000"/>
            </w:tcBorders>
            <w:vAlign w:val="bottom"/>
          </w:tcPr>
          <w:p w14:paraId="4867F8DD" w14:textId="77777777" w:rsidR="00D83E33" w:rsidRPr="001B330E" w:rsidRDefault="00D83E33">
            <w:pPr>
              <w:widowControl w:val="0"/>
              <w:pBdr>
                <w:top w:val="nil"/>
                <w:left w:val="nil"/>
                <w:bottom w:val="nil"/>
                <w:right w:val="nil"/>
                <w:between w:val="nil"/>
              </w:pBdr>
              <w:jc w:val="center"/>
              <w:rPr>
                <w:color w:val="000000"/>
                <w:szCs w:val="14"/>
              </w:rPr>
            </w:pPr>
          </w:p>
        </w:tc>
        <w:tc>
          <w:tcPr>
            <w:tcW w:w="773" w:type="pct"/>
            <w:tcBorders>
              <w:top w:val="single" w:sz="4" w:space="0" w:color="000000"/>
            </w:tcBorders>
            <w:vAlign w:val="bottom"/>
          </w:tcPr>
          <w:p w14:paraId="57C301A9"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top w:val="single" w:sz="4" w:space="0" w:color="000000"/>
            </w:tcBorders>
            <w:vAlign w:val="bottom"/>
          </w:tcPr>
          <w:p w14:paraId="6F23A641"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581901DF" w14:textId="77777777" w:rsidTr="001B330E">
        <w:trPr>
          <w:trHeight w:val="23"/>
        </w:trPr>
        <w:tc>
          <w:tcPr>
            <w:tcW w:w="3030" w:type="pct"/>
            <w:vAlign w:val="bottom"/>
          </w:tcPr>
          <w:p w14:paraId="3F6D151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Less credit loss allowance</w:t>
            </w:r>
          </w:p>
        </w:tc>
        <w:tc>
          <w:tcPr>
            <w:tcW w:w="379" w:type="pct"/>
            <w:vAlign w:val="bottom"/>
          </w:tcPr>
          <w:p w14:paraId="56CEFA9B"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5D70F1AF"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50F4BD8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BA6CEAF" w14:textId="77777777" w:rsidTr="001B330E">
        <w:trPr>
          <w:trHeight w:val="23"/>
        </w:trPr>
        <w:tc>
          <w:tcPr>
            <w:tcW w:w="3030" w:type="pct"/>
            <w:tcBorders>
              <w:bottom w:val="single" w:sz="4" w:space="0" w:color="000000"/>
            </w:tcBorders>
            <w:vAlign w:val="bottom"/>
          </w:tcPr>
          <w:p w14:paraId="5269A991"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379" w:type="pct"/>
            <w:tcBorders>
              <w:bottom w:val="single" w:sz="4" w:space="0" w:color="000000"/>
            </w:tcBorders>
            <w:vAlign w:val="bottom"/>
          </w:tcPr>
          <w:p w14:paraId="3A9B0C8C" w14:textId="77777777" w:rsidR="00D83E33" w:rsidRPr="001B330E" w:rsidRDefault="00D83E33">
            <w:pPr>
              <w:widowControl w:val="0"/>
              <w:pBdr>
                <w:top w:val="nil"/>
                <w:left w:val="nil"/>
                <w:bottom w:val="nil"/>
                <w:right w:val="nil"/>
                <w:between w:val="nil"/>
              </w:pBdr>
              <w:jc w:val="center"/>
              <w:rPr>
                <w:color w:val="000000"/>
                <w:szCs w:val="14"/>
              </w:rPr>
            </w:pPr>
          </w:p>
        </w:tc>
        <w:tc>
          <w:tcPr>
            <w:tcW w:w="773" w:type="pct"/>
            <w:tcBorders>
              <w:bottom w:val="single" w:sz="4" w:space="0" w:color="000000"/>
            </w:tcBorders>
            <w:vAlign w:val="bottom"/>
          </w:tcPr>
          <w:p w14:paraId="693D2DC6"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bottom w:val="single" w:sz="4" w:space="0" w:color="000000"/>
            </w:tcBorders>
            <w:vAlign w:val="bottom"/>
          </w:tcPr>
          <w:p w14:paraId="6B11F9BE"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005ABFD5" w14:textId="77777777" w:rsidTr="001B330E">
        <w:trPr>
          <w:trHeight w:val="23"/>
        </w:trPr>
        <w:tc>
          <w:tcPr>
            <w:tcW w:w="3030" w:type="pct"/>
            <w:tcBorders>
              <w:top w:val="single" w:sz="4" w:space="0" w:color="000000"/>
            </w:tcBorders>
            <w:vAlign w:val="bottom"/>
          </w:tcPr>
          <w:p w14:paraId="3953CF57"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379" w:type="pct"/>
            <w:tcBorders>
              <w:top w:val="single" w:sz="4" w:space="0" w:color="000000"/>
            </w:tcBorders>
            <w:vAlign w:val="bottom"/>
          </w:tcPr>
          <w:p w14:paraId="5F46062F" w14:textId="77777777" w:rsidR="00D83E33" w:rsidRPr="001B330E" w:rsidRDefault="00D83E33">
            <w:pPr>
              <w:widowControl w:val="0"/>
              <w:pBdr>
                <w:top w:val="nil"/>
                <w:left w:val="nil"/>
                <w:bottom w:val="nil"/>
                <w:right w:val="nil"/>
                <w:between w:val="nil"/>
              </w:pBdr>
              <w:jc w:val="center"/>
              <w:rPr>
                <w:color w:val="000000"/>
                <w:szCs w:val="14"/>
              </w:rPr>
            </w:pPr>
          </w:p>
        </w:tc>
        <w:tc>
          <w:tcPr>
            <w:tcW w:w="773" w:type="pct"/>
            <w:tcBorders>
              <w:top w:val="single" w:sz="4" w:space="0" w:color="000000"/>
            </w:tcBorders>
            <w:vAlign w:val="bottom"/>
          </w:tcPr>
          <w:p w14:paraId="1C682127"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top w:val="single" w:sz="4" w:space="0" w:color="000000"/>
            </w:tcBorders>
            <w:vAlign w:val="bottom"/>
          </w:tcPr>
          <w:p w14:paraId="61CC941B"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25C1B300" w14:textId="77777777" w:rsidTr="001B330E">
        <w:trPr>
          <w:trHeight w:val="23"/>
        </w:trPr>
        <w:tc>
          <w:tcPr>
            <w:tcW w:w="3030" w:type="pct"/>
            <w:vAlign w:val="bottom"/>
          </w:tcPr>
          <w:p w14:paraId="347DF0B2"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other financial assets at AC</w:t>
            </w:r>
          </w:p>
        </w:tc>
        <w:tc>
          <w:tcPr>
            <w:tcW w:w="379" w:type="pct"/>
            <w:vAlign w:val="bottom"/>
          </w:tcPr>
          <w:p w14:paraId="5E87BDD9"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188B0640"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287B859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48C0CFB" w14:textId="77777777" w:rsidTr="001B330E">
        <w:trPr>
          <w:trHeight w:val="23"/>
        </w:trPr>
        <w:tc>
          <w:tcPr>
            <w:tcW w:w="3030" w:type="pct"/>
            <w:tcBorders>
              <w:bottom w:val="single" w:sz="4" w:space="0" w:color="000000"/>
            </w:tcBorders>
            <w:vAlign w:val="bottom"/>
          </w:tcPr>
          <w:p w14:paraId="12FCCE1C"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379" w:type="pct"/>
            <w:tcBorders>
              <w:bottom w:val="single" w:sz="4" w:space="0" w:color="000000"/>
            </w:tcBorders>
            <w:vAlign w:val="bottom"/>
          </w:tcPr>
          <w:p w14:paraId="077BCA1D" w14:textId="77777777" w:rsidR="00D83E33" w:rsidRPr="001B330E" w:rsidRDefault="00D83E33">
            <w:pPr>
              <w:widowControl w:val="0"/>
              <w:pBdr>
                <w:top w:val="nil"/>
                <w:left w:val="nil"/>
                <w:bottom w:val="nil"/>
                <w:right w:val="nil"/>
                <w:between w:val="nil"/>
              </w:pBdr>
              <w:jc w:val="center"/>
              <w:rPr>
                <w:color w:val="000000"/>
                <w:szCs w:val="14"/>
              </w:rPr>
            </w:pPr>
          </w:p>
        </w:tc>
        <w:tc>
          <w:tcPr>
            <w:tcW w:w="773" w:type="pct"/>
            <w:tcBorders>
              <w:bottom w:val="single" w:sz="4" w:space="0" w:color="000000"/>
            </w:tcBorders>
            <w:vAlign w:val="bottom"/>
          </w:tcPr>
          <w:p w14:paraId="33056805"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bottom w:val="single" w:sz="4" w:space="0" w:color="000000"/>
            </w:tcBorders>
            <w:vAlign w:val="bottom"/>
          </w:tcPr>
          <w:p w14:paraId="7174451B"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4492CE1E" w14:textId="77777777" w:rsidTr="001B330E">
        <w:trPr>
          <w:trHeight w:val="23"/>
        </w:trPr>
        <w:tc>
          <w:tcPr>
            <w:tcW w:w="3030" w:type="pct"/>
            <w:tcBorders>
              <w:top w:val="single" w:sz="4" w:space="0" w:color="000000"/>
            </w:tcBorders>
            <w:vAlign w:val="bottom"/>
          </w:tcPr>
          <w:p w14:paraId="5BDAA983"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379" w:type="pct"/>
            <w:tcBorders>
              <w:top w:val="single" w:sz="4" w:space="0" w:color="000000"/>
            </w:tcBorders>
            <w:vAlign w:val="bottom"/>
          </w:tcPr>
          <w:p w14:paraId="6EA5E67F" w14:textId="77777777" w:rsidR="00D83E33" w:rsidRPr="001B330E" w:rsidRDefault="00D83E33">
            <w:pPr>
              <w:widowControl w:val="0"/>
              <w:pBdr>
                <w:top w:val="nil"/>
                <w:left w:val="nil"/>
                <w:bottom w:val="nil"/>
                <w:right w:val="nil"/>
                <w:between w:val="nil"/>
              </w:pBdr>
              <w:jc w:val="center"/>
              <w:rPr>
                <w:b/>
                <w:color w:val="000000"/>
                <w:szCs w:val="14"/>
              </w:rPr>
            </w:pPr>
          </w:p>
        </w:tc>
        <w:tc>
          <w:tcPr>
            <w:tcW w:w="773" w:type="pct"/>
            <w:tcBorders>
              <w:top w:val="single" w:sz="4" w:space="0" w:color="000000"/>
            </w:tcBorders>
            <w:vAlign w:val="bottom"/>
          </w:tcPr>
          <w:p w14:paraId="6D888328"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top w:val="single" w:sz="4" w:space="0" w:color="000000"/>
            </w:tcBorders>
            <w:vAlign w:val="bottom"/>
          </w:tcPr>
          <w:p w14:paraId="291C7A76"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4AD7725D" w14:textId="77777777" w:rsidTr="001B330E">
        <w:trPr>
          <w:trHeight w:val="23"/>
        </w:trPr>
        <w:tc>
          <w:tcPr>
            <w:tcW w:w="3030" w:type="pct"/>
            <w:vAlign w:val="bottom"/>
          </w:tcPr>
          <w:p w14:paraId="4EFA392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i/>
                <w:color w:val="000000"/>
              </w:rPr>
              <w:t>Other financial assets at FVTPL</w:t>
            </w:r>
          </w:p>
        </w:tc>
        <w:tc>
          <w:tcPr>
            <w:tcW w:w="379" w:type="pct"/>
            <w:vAlign w:val="bottom"/>
          </w:tcPr>
          <w:p w14:paraId="706F685A" w14:textId="77777777" w:rsidR="00D83E33" w:rsidRPr="00E837F2" w:rsidRDefault="00D83E33">
            <w:pPr>
              <w:widowControl w:val="0"/>
              <w:pBdr>
                <w:top w:val="nil"/>
                <w:left w:val="nil"/>
                <w:bottom w:val="nil"/>
                <w:right w:val="nil"/>
                <w:between w:val="nil"/>
              </w:pBdr>
              <w:jc w:val="center"/>
              <w:rPr>
                <w:color w:val="000000"/>
              </w:rPr>
            </w:pPr>
          </w:p>
        </w:tc>
        <w:tc>
          <w:tcPr>
            <w:tcW w:w="773" w:type="pct"/>
            <w:vAlign w:val="bottom"/>
          </w:tcPr>
          <w:p w14:paraId="7D034711"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01CA597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428D65A" w14:textId="77777777" w:rsidTr="001B330E">
        <w:trPr>
          <w:trHeight w:val="23"/>
        </w:trPr>
        <w:tc>
          <w:tcPr>
            <w:tcW w:w="3030" w:type="pct"/>
            <w:vAlign w:val="bottom"/>
          </w:tcPr>
          <w:p w14:paraId="464B39D8"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379" w:type="pct"/>
            <w:vAlign w:val="bottom"/>
          </w:tcPr>
          <w:p w14:paraId="4EF6FF11" w14:textId="77777777" w:rsidR="00D83E33" w:rsidRPr="001B330E" w:rsidRDefault="00D83E33">
            <w:pPr>
              <w:widowControl w:val="0"/>
              <w:pBdr>
                <w:top w:val="nil"/>
                <w:left w:val="nil"/>
                <w:bottom w:val="nil"/>
                <w:right w:val="nil"/>
                <w:between w:val="nil"/>
              </w:pBdr>
              <w:jc w:val="center"/>
              <w:rPr>
                <w:color w:val="000000"/>
                <w:szCs w:val="14"/>
              </w:rPr>
            </w:pPr>
          </w:p>
        </w:tc>
        <w:tc>
          <w:tcPr>
            <w:tcW w:w="773" w:type="pct"/>
            <w:vAlign w:val="bottom"/>
          </w:tcPr>
          <w:p w14:paraId="74A402B8"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vAlign w:val="bottom"/>
          </w:tcPr>
          <w:p w14:paraId="53093AFD"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1FD4EF02" w14:textId="77777777" w:rsidTr="001B330E">
        <w:trPr>
          <w:trHeight w:val="23"/>
        </w:trPr>
        <w:tc>
          <w:tcPr>
            <w:tcW w:w="3030" w:type="pct"/>
            <w:vAlign w:val="bottom"/>
          </w:tcPr>
          <w:p w14:paraId="4DB3F76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Foreign exchange forward contracts</w:t>
            </w:r>
          </w:p>
        </w:tc>
        <w:tc>
          <w:tcPr>
            <w:tcW w:w="379" w:type="pct"/>
            <w:vAlign w:val="bottom"/>
          </w:tcPr>
          <w:p w14:paraId="0C266FC1" w14:textId="77777777" w:rsidR="00D83E33" w:rsidRPr="00E837F2" w:rsidRDefault="00000000">
            <w:pPr>
              <w:widowControl w:val="0"/>
              <w:pBdr>
                <w:top w:val="nil"/>
                <w:left w:val="nil"/>
                <w:bottom w:val="nil"/>
                <w:right w:val="nil"/>
                <w:between w:val="nil"/>
              </w:pBdr>
              <w:jc w:val="center"/>
              <w:rPr>
                <w:color w:val="000000"/>
              </w:rPr>
            </w:pPr>
            <w:hyperlink w:anchor="_heading=h.2r0uhxc">
              <w:r w:rsidR="00BC4072" w:rsidRPr="00E837F2">
                <w:rPr>
                  <w:color w:val="000000"/>
                </w:rPr>
                <w:t>50</w:t>
              </w:r>
            </w:hyperlink>
          </w:p>
        </w:tc>
        <w:tc>
          <w:tcPr>
            <w:tcW w:w="773" w:type="pct"/>
            <w:vAlign w:val="bottom"/>
          </w:tcPr>
          <w:p w14:paraId="3999E9F9"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60B1CB6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E2FEC9" w14:textId="77777777" w:rsidTr="001B330E">
        <w:trPr>
          <w:trHeight w:val="23"/>
        </w:trPr>
        <w:tc>
          <w:tcPr>
            <w:tcW w:w="3030" w:type="pct"/>
            <w:vAlign w:val="bottom"/>
          </w:tcPr>
          <w:p w14:paraId="46E1E93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Precious metals forward contracts</w:t>
            </w:r>
          </w:p>
        </w:tc>
        <w:tc>
          <w:tcPr>
            <w:tcW w:w="379" w:type="pct"/>
            <w:vAlign w:val="bottom"/>
          </w:tcPr>
          <w:p w14:paraId="63BD5D8A" w14:textId="77777777" w:rsidR="00D83E33" w:rsidRPr="00E837F2" w:rsidRDefault="00000000">
            <w:pPr>
              <w:widowControl w:val="0"/>
              <w:pBdr>
                <w:top w:val="nil"/>
                <w:left w:val="nil"/>
                <w:bottom w:val="nil"/>
                <w:right w:val="nil"/>
                <w:between w:val="nil"/>
              </w:pBdr>
              <w:jc w:val="center"/>
              <w:rPr>
                <w:color w:val="000000"/>
              </w:rPr>
            </w:pPr>
            <w:hyperlink w:anchor="_heading=h.2r0uhxc">
              <w:r w:rsidR="00BC4072" w:rsidRPr="00E837F2">
                <w:rPr>
                  <w:color w:val="000000"/>
                </w:rPr>
                <w:t>50</w:t>
              </w:r>
            </w:hyperlink>
          </w:p>
        </w:tc>
        <w:tc>
          <w:tcPr>
            <w:tcW w:w="773" w:type="pct"/>
            <w:vAlign w:val="bottom"/>
          </w:tcPr>
          <w:p w14:paraId="72BA608E"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7317173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3E265F7" w14:textId="77777777" w:rsidTr="001B330E">
        <w:trPr>
          <w:trHeight w:val="23"/>
        </w:trPr>
        <w:tc>
          <w:tcPr>
            <w:tcW w:w="3030" w:type="pct"/>
            <w:vAlign w:val="bottom"/>
          </w:tcPr>
          <w:p w14:paraId="3A55427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Other financial derivatives</w:t>
            </w:r>
          </w:p>
        </w:tc>
        <w:tc>
          <w:tcPr>
            <w:tcW w:w="379" w:type="pct"/>
            <w:vAlign w:val="bottom"/>
          </w:tcPr>
          <w:p w14:paraId="73E34962" w14:textId="77777777" w:rsidR="00D83E33" w:rsidRPr="00E837F2" w:rsidRDefault="00000000">
            <w:pPr>
              <w:widowControl w:val="0"/>
              <w:pBdr>
                <w:top w:val="nil"/>
                <w:left w:val="nil"/>
                <w:bottom w:val="nil"/>
                <w:right w:val="nil"/>
                <w:between w:val="nil"/>
              </w:pBdr>
              <w:jc w:val="center"/>
              <w:rPr>
                <w:color w:val="000000"/>
              </w:rPr>
            </w:pPr>
            <w:hyperlink w:anchor="_heading=h.2r0uhxc">
              <w:r w:rsidR="00BC4072" w:rsidRPr="00E837F2">
                <w:rPr>
                  <w:color w:val="000000"/>
                </w:rPr>
                <w:t>50</w:t>
              </w:r>
            </w:hyperlink>
          </w:p>
        </w:tc>
        <w:tc>
          <w:tcPr>
            <w:tcW w:w="773" w:type="pct"/>
            <w:vAlign w:val="bottom"/>
          </w:tcPr>
          <w:p w14:paraId="71832E5B"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50965FB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835FFFB" w14:textId="77777777" w:rsidTr="001B330E">
        <w:trPr>
          <w:trHeight w:val="23"/>
        </w:trPr>
        <w:tc>
          <w:tcPr>
            <w:tcW w:w="3030" w:type="pct"/>
            <w:vAlign w:val="bottom"/>
          </w:tcPr>
          <w:p w14:paraId="0F6E8BF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Other</w:t>
            </w:r>
          </w:p>
        </w:tc>
        <w:tc>
          <w:tcPr>
            <w:tcW w:w="379" w:type="pct"/>
            <w:vAlign w:val="bottom"/>
          </w:tcPr>
          <w:p w14:paraId="1EFBAD3D" w14:textId="77777777" w:rsidR="00D83E33" w:rsidRPr="00E837F2" w:rsidRDefault="00D83E33">
            <w:pPr>
              <w:widowControl w:val="0"/>
              <w:pBdr>
                <w:top w:val="nil"/>
                <w:left w:val="nil"/>
                <w:bottom w:val="nil"/>
                <w:right w:val="nil"/>
                <w:between w:val="nil"/>
              </w:pBdr>
              <w:jc w:val="center"/>
              <w:rPr>
                <w:color w:val="0000FF"/>
              </w:rPr>
            </w:pPr>
          </w:p>
        </w:tc>
        <w:tc>
          <w:tcPr>
            <w:tcW w:w="773" w:type="pct"/>
            <w:vAlign w:val="bottom"/>
          </w:tcPr>
          <w:p w14:paraId="3831CD56"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699F1D5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479AD54" w14:textId="77777777" w:rsidTr="001B330E">
        <w:trPr>
          <w:trHeight w:val="23"/>
        </w:trPr>
        <w:tc>
          <w:tcPr>
            <w:tcW w:w="3030" w:type="pct"/>
            <w:vAlign w:val="bottom"/>
          </w:tcPr>
          <w:p w14:paraId="6AAA0471" w14:textId="4CDD46F8" w:rsidR="00D83E33" w:rsidRPr="00E837F2" w:rsidRDefault="00D83E33" w:rsidP="001B330E">
            <w:pPr>
              <w:widowControl w:val="0"/>
              <w:pBdr>
                <w:top w:val="nil"/>
                <w:left w:val="nil"/>
                <w:bottom w:val="nil"/>
                <w:right w:val="nil"/>
                <w:between w:val="nil"/>
              </w:pBdr>
              <w:ind w:left="113" w:hanging="113"/>
              <w:rPr>
                <w:color w:val="0000FF"/>
              </w:rPr>
            </w:pPr>
          </w:p>
        </w:tc>
        <w:tc>
          <w:tcPr>
            <w:tcW w:w="379" w:type="pct"/>
            <w:vAlign w:val="bottom"/>
          </w:tcPr>
          <w:p w14:paraId="17794F1A" w14:textId="77777777" w:rsidR="00D83E33" w:rsidRPr="00E837F2" w:rsidRDefault="00D83E33">
            <w:pPr>
              <w:widowControl w:val="0"/>
              <w:pBdr>
                <w:top w:val="nil"/>
                <w:left w:val="nil"/>
                <w:bottom w:val="nil"/>
                <w:right w:val="nil"/>
                <w:between w:val="nil"/>
              </w:pBdr>
              <w:jc w:val="center"/>
              <w:rPr>
                <w:color w:val="0000FF"/>
              </w:rPr>
            </w:pPr>
          </w:p>
        </w:tc>
        <w:tc>
          <w:tcPr>
            <w:tcW w:w="773" w:type="pct"/>
            <w:vAlign w:val="bottom"/>
          </w:tcPr>
          <w:p w14:paraId="23DC4913"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54EC3352"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41C90AF" w14:textId="77777777" w:rsidTr="001B330E">
        <w:trPr>
          <w:trHeight w:val="23"/>
        </w:trPr>
        <w:tc>
          <w:tcPr>
            <w:tcW w:w="3030" w:type="pct"/>
            <w:tcBorders>
              <w:bottom w:val="single" w:sz="4" w:space="0" w:color="000000"/>
            </w:tcBorders>
            <w:vAlign w:val="bottom"/>
          </w:tcPr>
          <w:p w14:paraId="4AFB2F81"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379" w:type="pct"/>
            <w:tcBorders>
              <w:bottom w:val="single" w:sz="4" w:space="0" w:color="000000"/>
            </w:tcBorders>
            <w:vAlign w:val="bottom"/>
          </w:tcPr>
          <w:p w14:paraId="215A465A" w14:textId="77777777" w:rsidR="00D83E33" w:rsidRPr="001B330E" w:rsidRDefault="00D83E33">
            <w:pPr>
              <w:widowControl w:val="0"/>
              <w:pBdr>
                <w:top w:val="nil"/>
                <w:left w:val="nil"/>
                <w:bottom w:val="nil"/>
                <w:right w:val="nil"/>
                <w:between w:val="nil"/>
              </w:pBdr>
              <w:jc w:val="center"/>
              <w:rPr>
                <w:color w:val="000000"/>
                <w:szCs w:val="14"/>
              </w:rPr>
            </w:pPr>
          </w:p>
        </w:tc>
        <w:tc>
          <w:tcPr>
            <w:tcW w:w="773" w:type="pct"/>
            <w:tcBorders>
              <w:bottom w:val="single" w:sz="4" w:space="0" w:color="000000"/>
            </w:tcBorders>
            <w:vAlign w:val="bottom"/>
          </w:tcPr>
          <w:p w14:paraId="1F49A00C"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bottom w:val="single" w:sz="4" w:space="0" w:color="000000"/>
            </w:tcBorders>
            <w:vAlign w:val="bottom"/>
          </w:tcPr>
          <w:p w14:paraId="668DAC6C"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19547DF7" w14:textId="77777777" w:rsidTr="001B330E">
        <w:trPr>
          <w:trHeight w:val="23"/>
        </w:trPr>
        <w:tc>
          <w:tcPr>
            <w:tcW w:w="3030" w:type="pct"/>
            <w:tcBorders>
              <w:top w:val="single" w:sz="4" w:space="0" w:color="000000"/>
            </w:tcBorders>
            <w:vAlign w:val="bottom"/>
          </w:tcPr>
          <w:p w14:paraId="36E78788" w14:textId="77777777" w:rsidR="00D83E33" w:rsidRPr="001B330E" w:rsidRDefault="00D83E33" w:rsidP="001B330E">
            <w:pPr>
              <w:widowControl w:val="0"/>
              <w:ind w:left="113" w:hanging="113"/>
              <w:rPr>
                <w:szCs w:val="14"/>
              </w:rPr>
            </w:pPr>
          </w:p>
        </w:tc>
        <w:tc>
          <w:tcPr>
            <w:tcW w:w="379" w:type="pct"/>
            <w:tcBorders>
              <w:top w:val="single" w:sz="4" w:space="0" w:color="000000"/>
            </w:tcBorders>
            <w:vAlign w:val="bottom"/>
          </w:tcPr>
          <w:p w14:paraId="6B472CD8" w14:textId="77777777" w:rsidR="00D83E33" w:rsidRPr="001B330E" w:rsidRDefault="00D83E33">
            <w:pPr>
              <w:widowControl w:val="0"/>
              <w:pBdr>
                <w:top w:val="nil"/>
                <w:left w:val="nil"/>
                <w:bottom w:val="nil"/>
                <w:right w:val="nil"/>
                <w:between w:val="nil"/>
              </w:pBdr>
              <w:jc w:val="center"/>
              <w:rPr>
                <w:b/>
                <w:color w:val="000000"/>
                <w:szCs w:val="14"/>
              </w:rPr>
            </w:pPr>
          </w:p>
        </w:tc>
        <w:tc>
          <w:tcPr>
            <w:tcW w:w="773" w:type="pct"/>
            <w:vAlign w:val="bottom"/>
          </w:tcPr>
          <w:p w14:paraId="24903C67"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vAlign w:val="bottom"/>
          </w:tcPr>
          <w:p w14:paraId="4C69FE7A"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4E1A8CBC" w14:textId="77777777" w:rsidTr="001B330E">
        <w:trPr>
          <w:trHeight w:val="23"/>
        </w:trPr>
        <w:tc>
          <w:tcPr>
            <w:tcW w:w="3030" w:type="pct"/>
            <w:vAlign w:val="bottom"/>
          </w:tcPr>
          <w:p w14:paraId="597138EE" w14:textId="77777777" w:rsidR="00D83E33" w:rsidRPr="00E837F2" w:rsidRDefault="00BC4072" w:rsidP="001B330E">
            <w:pPr>
              <w:widowControl w:val="0"/>
              <w:ind w:left="113" w:hanging="113"/>
            </w:pPr>
            <w:r w:rsidRPr="00E837F2">
              <w:rPr>
                <w:b/>
              </w:rPr>
              <w:t>Total other financial assets at FVTPL</w:t>
            </w:r>
          </w:p>
        </w:tc>
        <w:tc>
          <w:tcPr>
            <w:tcW w:w="379" w:type="pct"/>
            <w:vAlign w:val="bottom"/>
          </w:tcPr>
          <w:p w14:paraId="67A1F83F" w14:textId="77777777" w:rsidR="00D83E33" w:rsidRPr="00E837F2" w:rsidRDefault="00D83E33">
            <w:pPr>
              <w:widowControl w:val="0"/>
              <w:pBdr>
                <w:top w:val="nil"/>
                <w:left w:val="nil"/>
                <w:bottom w:val="nil"/>
                <w:right w:val="nil"/>
                <w:between w:val="nil"/>
              </w:pBdr>
              <w:jc w:val="center"/>
              <w:rPr>
                <w:b/>
                <w:color w:val="000000"/>
              </w:rPr>
            </w:pPr>
          </w:p>
        </w:tc>
        <w:tc>
          <w:tcPr>
            <w:tcW w:w="773" w:type="pct"/>
            <w:vAlign w:val="bottom"/>
          </w:tcPr>
          <w:p w14:paraId="4BBD7768" w14:textId="77777777" w:rsidR="00D83E33" w:rsidRPr="00E837F2" w:rsidRDefault="00D83E33">
            <w:pPr>
              <w:widowControl w:val="0"/>
              <w:pBdr>
                <w:top w:val="nil"/>
                <w:left w:val="nil"/>
                <w:bottom w:val="nil"/>
                <w:right w:val="nil"/>
                <w:between w:val="nil"/>
              </w:pBdr>
              <w:jc w:val="right"/>
              <w:rPr>
                <w:color w:val="000000"/>
              </w:rPr>
            </w:pPr>
          </w:p>
        </w:tc>
        <w:tc>
          <w:tcPr>
            <w:tcW w:w="818" w:type="pct"/>
            <w:vAlign w:val="bottom"/>
          </w:tcPr>
          <w:p w14:paraId="3E9AA78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4206548" w14:textId="77777777" w:rsidTr="001B330E">
        <w:trPr>
          <w:trHeight w:val="23"/>
        </w:trPr>
        <w:tc>
          <w:tcPr>
            <w:tcW w:w="3030" w:type="pct"/>
            <w:tcBorders>
              <w:bottom w:val="single" w:sz="4" w:space="0" w:color="000000"/>
            </w:tcBorders>
            <w:vAlign w:val="bottom"/>
          </w:tcPr>
          <w:p w14:paraId="6B95F132" w14:textId="77777777" w:rsidR="00D83E33" w:rsidRPr="001B330E" w:rsidRDefault="00D83E33" w:rsidP="001B330E">
            <w:pPr>
              <w:widowControl w:val="0"/>
              <w:ind w:left="113" w:hanging="113"/>
              <w:rPr>
                <w:szCs w:val="14"/>
              </w:rPr>
            </w:pPr>
          </w:p>
        </w:tc>
        <w:tc>
          <w:tcPr>
            <w:tcW w:w="379" w:type="pct"/>
            <w:tcBorders>
              <w:bottom w:val="single" w:sz="4" w:space="0" w:color="000000"/>
            </w:tcBorders>
            <w:vAlign w:val="bottom"/>
          </w:tcPr>
          <w:p w14:paraId="7252F064" w14:textId="77777777" w:rsidR="00D83E33" w:rsidRPr="001B330E" w:rsidRDefault="00D83E33">
            <w:pPr>
              <w:widowControl w:val="0"/>
              <w:pBdr>
                <w:top w:val="nil"/>
                <w:left w:val="nil"/>
                <w:bottom w:val="nil"/>
                <w:right w:val="nil"/>
                <w:between w:val="nil"/>
              </w:pBdr>
              <w:jc w:val="center"/>
              <w:rPr>
                <w:b/>
                <w:color w:val="000000"/>
                <w:szCs w:val="14"/>
              </w:rPr>
            </w:pPr>
          </w:p>
        </w:tc>
        <w:tc>
          <w:tcPr>
            <w:tcW w:w="773" w:type="pct"/>
            <w:tcBorders>
              <w:bottom w:val="single" w:sz="4" w:space="0" w:color="000000"/>
            </w:tcBorders>
            <w:vAlign w:val="bottom"/>
          </w:tcPr>
          <w:p w14:paraId="72DD1573"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bottom w:val="single" w:sz="4" w:space="0" w:color="000000"/>
            </w:tcBorders>
            <w:vAlign w:val="bottom"/>
          </w:tcPr>
          <w:p w14:paraId="268CD6FD"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0771C350" w14:textId="77777777" w:rsidTr="001B330E">
        <w:trPr>
          <w:trHeight w:val="23"/>
        </w:trPr>
        <w:tc>
          <w:tcPr>
            <w:tcW w:w="3030" w:type="pct"/>
            <w:tcBorders>
              <w:top w:val="single" w:sz="4" w:space="0" w:color="000000"/>
            </w:tcBorders>
            <w:vAlign w:val="bottom"/>
          </w:tcPr>
          <w:p w14:paraId="69DA2590" w14:textId="77777777" w:rsidR="00D83E33" w:rsidRPr="001B330E" w:rsidRDefault="00BC4072" w:rsidP="001B330E">
            <w:pPr>
              <w:widowControl w:val="0"/>
              <w:ind w:left="113" w:hanging="113"/>
              <w:rPr>
                <w:b/>
                <w:szCs w:val="14"/>
              </w:rPr>
            </w:pPr>
            <w:r w:rsidRPr="001B330E">
              <w:rPr>
                <w:szCs w:val="14"/>
              </w:rPr>
              <w:t> </w:t>
            </w:r>
          </w:p>
        </w:tc>
        <w:tc>
          <w:tcPr>
            <w:tcW w:w="379" w:type="pct"/>
            <w:tcBorders>
              <w:top w:val="single" w:sz="4" w:space="0" w:color="000000"/>
            </w:tcBorders>
            <w:vAlign w:val="bottom"/>
          </w:tcPr>
          <w:p w14:paraId="70DFFE2B" w14:textId="77777777" w:rsidR="00D83E33" w:rsidRPr="001B330E" w:rsidRDefault="00D83E33">
            <w:pPr>
              <w:widowControl w:val="0"/>
              <w:pBdr>
                <w:top w:val="nil"/>
                <w:left w:val="nil"/>
                <w:bottom w:val="nil"/>
                <w:right w:val="nil"/>
                <w:between w:val="nil"/>
              </w:pBdr>
              <w:jc w:val="center"/>
              <w:rPr>
                <w:b/>
                <w:color w:val="000000"/>
                <w:szCs w:val="14"/>
              </w:rPr>
            </w:pPr>
          </w:p>
        </w:tc>
        <w:tc>
          <w:tcPr>
            <w:tcW w:w="773" w:type="pct"/>
            <w:tcBorders>
              <w:top w:val="single" w:sz="4" w:space="0" w:color="000000"/>
            </w:tcBorders>
            <w:vAlign w:val="bottom"/>
          </w:tcPr>
          <w:p w14:paraId="5C26B74C"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top w:val="single" w:sz="4" w:space="0" w:color="000000"/>
            </w:tcBorders>
            <w:vAlign w:val="bottom"/>
          </w:tcPr>
          <w:p w14:paraId="5452CC3B"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02EC8421" w14:textId="77777777" w:rsidTr="001B330E">
        <w:trPr>
          <w:trHeight w:val="23"/>
        </w:trPr>
        <w:tc>
          <w:tcPr>
            <w:tcW w:w="3030" w:type="pct"/>
            <w:vAlign w:val="bottom"/>
          </w:tcPr>
          <w:p w14:paraId="325E794E"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 xml:space="preserve">Total other financial assets </w:t>
            </w:r>
          </w:p>
        </w:tc>
        <w:tc>
          <w:tcPr>
            <w:tcW w:w="379" w:type="pct"/>
            <w:vAlign w:val="bottom"/>
          </w:tcPr>
          <w:p w14:paraId="6D606360" w14:textId="77777777" w:rsidR="00D83E33" w:rsidRPr="00E837F2" w:rsidRDefault="00D83E33">
            <w:pPr>
              <w:widowControl w:val="0"/>
              <w:pBdr>
                <w:top w:val="nil"/>
                <w:left w:val="nil"/>
                <w:bottom w:val="nil"/>
                <w:right w:val="nil"/>
                <w:between w:val="nil"/>
              </w:pBdr>
              <w:jc w:val="center"/>
              <w:rPr>
                <w:b/>
                <w:color w:val="000000"/>
              </w:rPr>
            </w:pPr>
          </w:p>
        </w:tc>
        <w:tc>
          <w:tcPr>
            <w:tcW w:w="773" w:type="pct"/>
            <w:vAlign w:val="bottom"/>
          </w:tcPr>
          <w:p w14:paraId="25D14300" w14:textId="77777777" w:rsidR="00D83E33" w:rsidRPr="00E837F2" w:rsidRDefault="00D83E33">
            <w:pPr>
              <w:widowControl w:val="0"/>
              <w:pBdr>
                <w:top w:val="nil"/>
                <w:left w:val="nil"/>
                <w:bottom w:val="nil"/>
                <w:right w:val="nil"/>
                <w:between w:val="nil"/>
              </w:pBdr>
              <w:jc w:val="right"/>
              <w:rPr>
                <w:b/>
                <w:color w:val="000000"/>
              </w:rPr>
            </w:pPr>
          </w:p>
        </w:tc>
        <w:tc>
          <w:tcPr>
            <w:tcW w:w="818" w:type="pct"/>
            <w:vAlign w:val="bottom"/>
          </w:tcPr>
          <w:p w14:paraId="68042AD8" w14:textId="77777777" w:rsidR="00D83E33" w:rsidRPr="00E837F2" w:rsidRDefault="00D83E33">
            <w:pPr>
              <w:widowControl w:val="0"/>
              <w:pBdr>
                <w:top w:val="nil"/>
                <w:left w:val="nil"/>
                <w:bottom w:val="nil"/>
                <w:right w:val="nil"/>
                <w:between w:val="nil"/>
              </w:pBdr>
              <w:jc w:val="right"/>
              <w:rPr>
                <w:b/>
                <w:color w:val="000000"/>
              </w:rPr>
            </w:pPr>
          </w:p>
        </w:tc>
      </w:tr>
      <w:tr w:rsidR="00D83E33" w:rsidRPr="00E837F2" w14:paraId="37982D10" w14:textId="77777777" w:rsidTr="001B330E">
        <w:trPr>
          <w:trHeight w:val="23"/>
        </w:trPr>
        <w:tc>
          <w:tcPr>
            <w:tcW w:w="3030" w:type="pct"/>
            <w:tcBorders>
              <w:bottom w:val="single" w:sz="12" w:space="0" w:color="000000"/>
            </w:tcBorders>
            <w:vAlign w:val="bottom"/>
          </w:tcPr>
          <w:p w14:paraId="4695896E" w14:textId="77777777" w:rsidR="00D83E33" w:rsidRPr="001B330E" w:rsidRDefault="00BC4072" w:rsidP="001B330E">
            <w:pPr>
              <w:widowControl w:val="0"/>
              <w:ind w:left="113" w:hanging="113"/>
              <w:rPr>
                <w:b/>
                <w:szCs w:val="14"/>
              </w:rPr>
            </w:pPr>
            <w:r w:rsidRPr="001B330E">
              <w:rPr>
                <w:szCs w:val="14"/>
              </w:rPr>
              <w:t> </w:t>
            </w:r>
          </w:p>
        </w:tc>
        <w:tc>
          <w:tcPr>
            <w:tcW w:w="379" w:type="pct"/>
            <w:tcBorders>
              <w:bottom w:val="single" w:sz="12" w:space="0" w:color="000000"/>
            </w:tcBorders>
            <w:vAlign w:val="bottom"/>
          </w:tcPr>
          <w:p w14:paraId="71C61794" w14:textId="77777777" w:rsidR="00D83E33" w:rsidRPr="001B330E" w:rsidRDefault="00D83E33">
            <w:pPr>
              <w:widowControl w:val="0"/>
              <w:pBdr>
                <w:top w:val="nil"/>
                <w:left w:val="nil"/>
                <w:bottom w:val="nil"/>
                <w:right w:val="nil"/>
                <w:between w:val="nil"/>
              </w:pBdr>
              <w:jc w:val="center"/>
              <w:rPr>
                <w:b/>
                <w:color w:val="000000"/>
                <w:szCs w:val="14"/>
              </w:rPr>
            </w:pPr>
          </w:p>
        </w:tc>
        <w:tc>
          <w:tcPr>
            <w:tcW w:w="773" w:type="pct"/>
            <w:tcBorders>
              <w:bottom w:val="single" w:sz="12" w:space="0" w:color="000000"/>
            </w:tcBorders>
            <w:vAlign w:val="bottom"/>
          </w:tcPr>
          <w:p w14:paraId="578378B5" w14:textId="77777777" w:rsidR="00D83E33" w:rsidRPr="001B330E" w:rsidRDefault="00D83E33">
            <w:pPr>
              <w:widowControl w:val="0"/>
              <w:pBdr>
                <w:top w:val="nil"/>
                <w:left w:val="nil"/>
                <w:bottom w:val="nil"/>
                <w:right w:val="nil"/>
                <w:between w:val="nil"/>
              </w:pBdr>
              <w:jc w:val="right"/>
              <w:rPr>
                <w:color w:val="000000"/>
                <w:szCs w:val="14"/>
              </w:rPr>
            </w:pPr>
          </w:p>
        </w:tc>
        <w:tc>
          <w:tcPr>
            <w:tcW w:w="818" w:type="pct"/>
            <w:tcBorders>
              <w:bottom w:val="single" w:sz="12" w:space="0" w:color="000000"/>
            </w:tcBorders>
            <w:vAlign w:val="bottom"/>
          </w:tcPr>
          <w:p w14:paraId="69BA9FFA" w14:textId="77777777" w:rsidR="00D83E33" w:rsidRPr="001B330E" w:rsidRDefault="00D83E33">
            <w:pPr>
              <w:widowControl w:val="0"/>
              <w:pBdr>
                <w:top w:val="nil"/>
                <w:left w:val="nil"/>
                <w:bottom w:val="nil"/>
                <w:right w:val="nil"/>
                <w:between w:val="nil"/>
              </w:pBdr>
              <w:jc w:val="right"/>
              <w:rPr>
                <w:color w:val="000000"/>
                <w:szCs w:val="14"/>
              </w:rPr>
            </w:pPr>
          </w:p>
        </w:tc>
      </w:tr>
    </w:tbl>
    <w:p w14:paraId="39BA81C8" w14:textId="4311B3B1" w:rsidR="00A90BB8" w:rsidRDefault="00BC4072">
      <w:pPr>
        <w:widowControl w:val="0"/>
        <w:pBdr>
          <w:top w:val="nil"/>
          <w:left w:val="nil"/>
          <w:bottom w:val="nil"/>
          <w:right w:val="nil"/>
          <w:between w:val="nil"/>
        </w:pBdr>
        <w:spacing w:before="200" w:after="200"/>
        <w:jc w:val="both"/>
        <w:rPr>
          <w:i/>
          <w:color w:val="000000"/>
          <w:sz w:val="20"/>
          <w:szCs w:val="20"/>
        </w:rPr>
      </w:pPr>
      <w:r w:rsidRPr="00A90BB8">
        <w:rPr>
          <w:b/>
          <w:bCs/>
          <w:i/>
          <w:iCs/>
          <w:color w:val="000000"/>
          <w:sz w:val="20"/>
          <w:szCs w:val="20"/>
        </w:rPr>
        <w:t>Restricted cash</w:t>
      </w:r>
      <w:r>
        <w:rPr>
          <w:color w:val="000000"/>
          <w:sz w:val="20"/>
          <w:szCs w:val="20"/>
        </w:rPr>
        <w:t xml:space="preserve"> represents balances on correspondent accounts with foreign banks placed by the Group on behalf of its customers. The Group does not have the right to use these funds for the purposes of funding its own activities. The Group has received restricted deposits from these customers in the same amounts which are recorded in customer accounts</w:t>
      </w:r>
      <w:r>
        <w:rPr>
          <w:i/>
          <w:color w:val="000000"/>
          <w:sz w:val="20"/>
          <w:szCs w:val="20"/>
        </w:rPr>
        <w:t xml:space="preserve">. </w:t>
      </w:r>
    </w:p>
    <w:p w14:paraId="2C3CB6B9" w14:textId="77777777" w:rsidR="00E45645" w:rsidRDefault="00E45645" w:rsidP="00E45645">
      <w:pPr>
        <w:pStyle w:val="Continued"/>
      </w:pPr>
      <w:r>
        <w:lastRenderedPageBreak/>
        <w:t>15</w:t>
      </w:r>
      <w:r>
        <w:tab/>
        <w:t>Other Financial Assets (Continued)</w:t>
      </w:r>
    </w:p>
    <w:p w14:paraId="48FF6C6F" w14:textId="73284640" w:rsidR="00A90BB8" w:rsidRPr="00A90BB8" w:rsidRDefault="00A90BB8" w:rsidP="00A90BB8">
      <w:pPr>
        <w:widowControl w:val="0"/>
        <w:pBdr>
          <w:top w:val="nil"/>
          <w:left w:val="nil"/>
          <w:bottom w:val="nil"/>
          <w:right w:val="nil"/>
          <w:between w:val="nil"/>
        </w:pBdr>
        <w:spacing w:before="200" w:after="200"/>
        <w:jc w:val="both"/>
        <w:rPr>
          <w:color w:val="0000FF"/>
          <w:sz w:val="20"/>
          <w:szCs w:val="20"/>
        </w:rPr>
      </w:pPr>
      <w:r w:rsidRPr="00A90BB8">
        <w:rPr>
          <w:b/>
          <w:i/>
          <w:color w:val="0000FF"/>
          <w:sz w:val="20"/>
          <w:szCs w:val="20"/>
        </w:rPr>
        <w:t>[Finance lease receivables.</w:t>
      </w:r>
      <w:r w:rsidRPr="00A90BB8">
        <w:rPr>
          <w:color w:val="0000FF"/>
          <w:sz w:val="20"/>
          <w:szCs w:val="20"/>
        </w:rPr>
        <w:t xml:space="preserve"> Where the Group is a lessor in a lease which transfers substantially all the risks and rewards incidental to ownership to the lessee, the assets leased out are presented as a finance lease receivable and carried at the present value of the future lease payments. Finance lease receivables are initially recognised at commencement (when the lease term begins) using a discount rate determined at inception (the earlier of the date of the lease agreement and the date of commitment by the parties to the principal provisions of the lease).</w:t>
      </w:r>
    </w:p>
    <w:p w14:paraId="09EFCB0C" w14:textId="77777777" w:rsidR="00A90BB8" w:rsidRPr="00A90BB8" w:rsidRDefault="00A90BB8" w:rsidP="00A90BB8">
      <w:pPr>
        <w:widowControl w:val="0"/>
        <w:pBdr>
          <w:top w:val="nil"/>
          <w:left w:val="nil"/>
          <w:bottom w:val="nil"/>
          <w:right w:val="nil"/>
          <w:between w:val="nil"/>
        </w:pBdr>
        <w:spacing w:before="200" w:after="200"/>
        <w:jc w:val="both"/>
        <w:rPr>
          <w:color w:val="0000FF"/>
          <w:sz w:val="20"/>
          <w:szCs w:val="20"/>
        </w:rPr>
      </w:pPr>
      <w:r w:rsidRPr="00A90BB8">
        <w:rPr>
          <w:color w:val="0000FF"/>
          <w:sz w:val="20"/>
          <w:szCs w:val="20"/>
        </w:rPr>
        <w:t xml:space="preserve">The difference between the gross receivable and the present value represents unearned finance income. This income is recognised over the term of the lease [using the net investment method (before tax), which reflects a constant periodic rate of return] / [by applying the rate implicit in the lease to (i) the gross book value of lease receivables in stage 1 and 2 and (ii) net carrying amount of lease receivables in stage 3 of the ECL model]. Incremental costs directly attributable to negotiating and arranging the lease are included in the initial measurement of the finance lease receivable and reduce the amount of income recognised over the lease term [except for certain subsidiaries of the Group which act as manufacturer or dealer lessors, in which case such costs are expensed as part of the selling profit similarly to outright sales.] Finance income from leases is recorded within [Other similar income] [other operating income] in profit or loss. </w:t>
      </w:r>
    </w:p>
    <w:p w14:paraId="4F4D5457" w14:textId="299D4C42" w:rsidR="00A90BB8" w:rsidRPr="00A90BB8" w:rsidRDefault="00A90BB8" w:rsidP="00A90BB8">
      <w:pPr>
        <w:widowControl w:val="0"/>
        <w:pBdr>
          <w:top w:val="nil"/>
          <w:left w:val="nil"/>
          <w:bottom w:val="nil"/>
          <w:right w:val="nil"/>
          <w:between w:val="nil"/>
        </w:pBdr>
        <w:spacing w:before="200" w:after="200"/>
        <w:jc w:val="both"/>
        <w:rPr>
          <w:color w:val="0000FF"/>
          <w:sz w:val="20"/>
          <w:szCs w:val="20"/>
        </w:rPr>
      </w:pPr>
      <w:r w:rsidRPr="00A90BB8">
        <w:rPr>
          <w:color w:val="0000FF"/>
          <w:sz w:val="20"/>
          <w:szCs w:val="20"/>
        </w:rPr>
        <w:t>Credit loss allowance is recognised [in accordance with the general ECL model] / [using a simplified approach at lifetime ECL]. The ECL is determined in the same way as for loans and advances measured at AC and recognised through an allowance account to write down the receivables’ net carrying amount to the present value of expected cash flows discounted at the interest rates implicit in the finance leases. The estimated future cash flows reflect the cash flows that may result from obtaining and selling the assets subject to the lease.]</w:t>
      </w:r>
    </w:p>
    <w:p w14:paraId="4214FA80" w14:textId="73A36612" w:rsidR="00D83E33" w:rsidRDefault="00BC4072">
      <w:pPr>
        <w:widowControl w:val="0"/>
        <w:spacing w:before="200" w:after="200"/>
        <w:jc w:val="both"/>
        <w:rPr>
          <w:sz w:val="20"/>
          <w:szCs w:val="20"/>
        </w:rPr>
      </w:pPr>
      <w:r>
        <w:rPr>
          <w:sz w:val="20"/>
          <w:szCs w:val="20"/>
        </w:rPr>
        <w:t>The table below contains an analysis of the credit risk exposure of other financial assets at AC except for trade receivables. The carrying amount of other financial assets at AC at 31</w:t>
      </w:r>
      <w:r w:rsidR="00181687">
        <w:rPr>
          <w:sz w:val="20"/>
          <w:szCs w:val="20"/>
        </w:rPr>
        <w:t> December </w:t>
      </w:r>
      <w:r w:rsidR="00541EBC">
        <w:rPr>
          <w:sz w:val="20"/>
          <w:szCs w:val="20"/>
        </w:rPr>
        <w:t>2024</w:t>
      </w:r>
      <w:r>
        <w:rPr>
          <w:sz w:val="20"/>
          <w:szCs w:val="20"/>
        </w:rPr>
        <w:t xml:space="preserve"> below also represents the Group's maximum exposure to credit risk on these assets:</w:t>
      </w:r>
    </w:p>
    <w:tbl>
      <w:tblPr>
        <w:tblStyle w:val="afffffffff0"/>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710ACB0E" w14:textId="77777777" w:rsidTr="001B330E">
        <w:trPr>
          <w:trHeight w:val="23"/>
        </w:trPr>
        <w:tc>
          <w:tcPr>
            <w:tcW w:w="1971" w:type="pct"/>
            <w:tcBorders>
              <w:bottom w:val="single" w:sz="4" w:space="0" w:color="000000"/>
            </w:tcBorders>
            <w:vAlign w:val="bottom"/>
          </w:tcPr>
          <w:p w14:paraId="39DADAA4" w14:textId="6D162A06"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1C028CC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28DEDDBF"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08EDB81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22BCEE3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tcPr>
          <w:p w14:paraId="450B072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531F0B5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6903A33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6" w:type="pct"/>
            <w:tcBorders>
              <w:bottom w:val="single" w:sz="4" w:space="0" w:color="000000"/>
            </w:tcBorders>
          </w:tcPr>
          <w:p w14:paraId="4B9A1454"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4DECFC7A" w14:textId="77777777" w:rsidTr="001B330E">
        <w:trPr>
          <w:trHeight w:val="23"/>
        </w:trPr>
        <w:tc>
          <w:tcPr>
            <w:tcW w:w="1971" w:type="pct"/>
            <w:vAlign w:val="bottom"/>
          </w:tcPr>
          <w:p w14:paraId="461CD18B" w14:textId="77777777" w:rsidR="00D83E33" w:rsidRPr="001B330E" w:rsidRDefault="00BC4072" w:rsidP="001B330E">
            <w:pPr>
              <w:widowControl w:val="0"/>
              <w:ind w:left="113" w:hanging="113"/>
              <w:rPr>
                <w:szCs w:val="14"/>
              </w:rPr>
            </w:pPr>
            <w:r w:rsidRPr="001B330E">
              <w:rPr>
                <w:szCs w:val="14"/>
              </w:rPr>
              <w:t> </w:t>
            </w:r>
          </w:p>
        </w:tc>
        <w:tc>
          <w:tcPr>
            <w:tcW w:w="606" w:type="pct"/>
            <w:vAlign w:val="bottom"/>
          </w:tcPr>
          <w:p w14:paraId="5A9FAC45"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vAlign w:val="bottom"/>
          </w:tcPr>
          <w:p w14:paraId="3AA0A6B0"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vAlign w:val="bottom"/>
          </w:tcPr>
          <w:p w14:paraId="40277CB0"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vAlign w:val="bottom"/>
          </w:tcPr>
          <w:p w14:paraId="45E7421B"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vAlign w:val="bottom"/>
          </w:tcPr>
          <w:p w14:paraId="53DFDB4D"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68346B8C" w14:textId="77777777" w:rsidTr="001B330E">
        <w:trPr>
          <w:trHeight w:val="23"/>
        </w:trPr>
        <w:tc>
          <w:tcPr>
            <w:tcW w:w="1971" w:type="pct"/>
            <w:shd w:val="clear" w:color="auto" w:fill="auto"/>
            <w:vAlign w:val="bottom"/>
          </w:tcPr>
          <w:p w14:paraId="179EB68E"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Finance lease receivables</w:t>
            </w:r>
          </w:p>
        </w:tc>
        <w:tc>
          <w:tcPr>
            <w:tcW w:w="606" w:type="pct"/>
            <w:vAlign w:val="bottom"/>
          </w:tcPr>
          <w:p w14:paraId="3ECE1E1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464E3D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84C11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8F1367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C4927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325E8B7" w14:textId="77777777" w:rsidTr="001B330E">
        <w:trPr>
          <w:trHeight w:val="23"/>
        </w:trPr>
        <w:tc>
          <w:tcPr>
            <w:tcW w:w="1971" w:type="pct"/>
            <w:shd w:val="clear" w:color="auto" w:fill="auto"/>
            <w:vAlign w:val="bottom"/>
          </w:tcPr>
          <w:p w14:paraId="3E0EC528"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606" w:type="pct"/>
            <w:vAlign w:val="bottom"/>
          </w:tcPr>
          <w:p w14:paraId="57AE6D91"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vAlign w:val="bottom"/>
          </w:tcPr>
          <w:p w14:paraId="59AE2BF1"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shd w:val="clear" w:color="auto" w:fill="auto"/>
            <w:vAlign w:val="bottom"/>
          </w:tcPr>
          <w:p w14:paraId="09D89558"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shd w:val="clear" w:color="auto" w:fill="auto"/>
            <w:vAlign w:val="bottom"/>
          </w:tcPr>
          <w:p w14:paraId="54E60DCF"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shd w:val="clear" w:color="auto" w:fill="auto"/>
            <w:vAlign w:val="bottom"/>
          </w:tcPr>
          <w:p w14:paraId="18ACAAEC"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1FCB07C5" w14:textId="77777777" w:rsidTr="001B330E">
        <w:trPr>
          <w:trHeight w:val="23"/>
        </w:trPr>
        <w:tc>
          <w:tcPr>
            <w:tcW w:w="1971" w:type="pct"/>
            <w:shd w:val="clear" w:color="auto" w:fill="auto"/>
            <w:vAlign w:val="bottom"/>
          </w:tcPr>
          <w:p w14:paraId="505D8B2C"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2FB0F6E5"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2FC75D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41EAB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DD52825"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571F4D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D946849" w14:textId="77777777" w:rsidTr="001B330E">
        <w:trPr>
          <w:trHeight w:val="23"/>
        </w:trPr>
        <w:tc>
          <w:tcPr>
            <w:tcW w:w="1971" w:type="pct"/>
            <w:shd w:val="clear" w:color="auto" w:fill="auto"/>
            <w:vAlign w:val="bottom"/>
          </w:tcPr>
          <w:p w14:paraId="4AF5C95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523AC27C"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343F6C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5DE636"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5583E1"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B1158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F0422FF" w14:textId="77777777" w:rsidTr="001B330E">
        <w:trPr>
          <w:trHeight w:val="23"/>
        </w:trPr>
        <w:tc>
          <w:tcPr>
            <w:tcW w:w="1971" w:type="pct"/>
            <w:shd w:val="clear" w:color="auto" w:fill="auto"/>
            <w:vAlign w:val="bottom"/>
          </w:tcPr>
          <w:p w14:paraId="71719CD9"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2E9B131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0E372BC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5961D8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F8519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35DC2B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8A320C5" w14:textId="77777777" w:rsidTr="001B330E">
        <w:trPr>
          <w:trHeight w:val="23"/>
        </w:trPr>
        <w:tc>
          <w:tcPr>
            <w:tcW w:w="1971" w:type="pct"/>
            <w:shd w:val="clear" w:color="auto" w:fill="auto"/>
            <w:vAlign w:val="bottom"/>
          </w:tcPr>
          <w:p w14:paraId="5CBF912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3C2FD95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2B1881E"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FBFB28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82FBCE8"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A6ED30C"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CA50063" w14:textId="77777777" w:rsidTr="001B330E">
        <w:trPr>
          <w:trHeight w:val="23"/>
        </w:trPr>
        <w:tc>
          <w:tcPr>
            <w:tcW w:w="1971" w:type="pct"/>
            <w:shd w:val="clear" w:color="auto" w:fill="auto"/>
            <w:vAlign w:val="bottom"/>
          </w:tcPr>
          <w:p w14:paraId="152CDBE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74FC87C0"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16F0CD5C"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F02F89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07C593"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33508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DE4B799" w14:textId="77777777" w:rsidTr="001B330E">
        <w:trPr>
          <w:trHeight w:val="23"/>
        </w:trPr>
        <w:tc>
          <w:tcPr>
            <w:tcW w:w="1971" w:type="pct"/>
            <w:tcBorders>
              <w:bottom w:val="single" w:sz="4" w:space="0" w:color="000000"/>
            </w:tcBorders>
            <w:shd w:val="clear" w:color="auto" w:fill="auto"/>
            <w:vAlign w:val="bottom"/>
          </w:tcPr>
          <w:p w14:paraId="610CE2C1"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606" w:type="pct"/>
            <w:tcBorders>
              <w:bottom w:val="single" w:sz="4" w:space="0" w:color="000000"/>
            </w:tcBorders>
            <w:vAlign w:val="bottom"/>
          </w:tcPr>
          <w:p w14:paraId="4663EBA4"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4" w:space="0" w:color="000000"/>
            </w:tcBorders>
            <w:vAlign w:val="bottom"/>
          </w:tcPr>
          <w:p w14:paraId="0253D124"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4" w:space="0" w:color="000000"/>
            </w:tcBorders>
            <w:shd w:val="clear" w:color="auto" w:fill="auto"/>
            <w:vAlign w:val="bottom"/>
          </w:tcPr>
          <w:p w14:paraId="648B0E65"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4" w:space="0" w:color="000000"/>
            </w:tcBorders>
            <w:shd w:val="clear" w:color="auto" w:fill="auto"/>
            <w:vAlign w:val="bottom"/>
          </w:tcPr>
          <w:p w14:paraId="45B41B00"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4" w:space="0" w:color="000000"/>
            </w:tcBorders>
            <w:shd w:val="clear" w:color="auto" w:fill="auto"/>
            <w:vAlign w:val="bottom"/>
          </w:tcPr>
          <w:p w14:paraId="297CA578"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2750F6D0" w14:textId="77777777" w:rsidTr="001B330E">
        <w:trPr>
          <w:trHeight w:val="23"/>
        </w:trPr>
        <w:tc>
          <w:tcPr>
            <w:tcW w:w="1971" w:type="pct"/>
            <w:tcBorders>
              <w:top w:val="single" w:sz="4" w:space="0" w:color="000000"/>
            </w:tcBorders>
            <w:shd w:val="clear" w:color="auto" w:fill="auto"/>
            <w:vAlign w:val="bottom"/>
          </w:tcPr>
          <w:p w14:paraId="3A643B9A"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606" w:type="pct"/>
            <w:tcBorders>
              <w:top w:val="single" w:sz="4" w:space="0" w:color="000000"/>
            </w:tcBorders>
            <w:vAlign w:val="bottom"/>
          </w:tcPr>
          <w:p w14:paraId="324F66AD"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vAlign w:val="bottom"/>
          </w:tcPr>
          <w:p w14:paraId="2B22CB9F"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shd w:val="clear" w:color="auto" w:fill="auto"/>
            <w:vAlign w:val="bottom"/>
          </w:tcPr>
          <w:p w14:paraId="70EA6541"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shd w:val="clear" w:color="auto" w:fill="auto"/>
            <w:vAlign w:val="bottom"/>
          </w:tcPr>
          <w:p w14:paraId="6B3B6E4A"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shd w:val="clear" w:color="auto" w:fill="auto"/>
            <w:vAlign w:val="bottom"/>
          </w:tcPr>
          <w:p w14:paraId="6202FA80"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0CB79E53" w14:textId="77777777" w:rsidTr="001B330E">
        <w:trPr>
          <w:trHeight w:val="23"/>
        </w:trPr>
        <w:tc>
          <w:tcPr>
            <w:tcW w:w="1971" w:type="pct"/>
            <w:shd w:val="clear" w:color="auto" w:fill="auto"/>
            <w:vAlign w:val="bottom"/>
          </w:tcPr>
          <w:p w14:paraId="68195C22"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2FF064A3"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451845A"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64F40F2"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97B4BFF"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A1F4570"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AD8F5DB" w14:textId="77777777" w:rsidTr="001B330E">
        <w:trPr>
          <w:trHeight w:val="23"/>
        </w:trPr>
        <w:tc>
          <w:tcPr>
            <w:tcW w:w="1971" w:type="pct"/>
            <w:tcBorders>
              <w:bottom w:val="single" w:sz="4" w:space="0" w:color="000000"/>
            </w:tcBorders>
            <w:shd w:val="clear" w:color="auto" w:fill="auto"/>
            <w:vAlign w:val="bottom"/>
          </w:tcPr>
          <w:p w14:paraId="7B419850"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606" w:type="pct"/>
            <w:tcBorders>
              <w:bottom w:val="single" w:sz="4" w:space="0" w:color="000000"/>
            </w:tcBorders>
            <w:vAlign w:val="bottom"/>
          </w:tcPr>
          <w:p w14:paraId="1E7D1DD1"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4" w:space="0" w:color="000000"/>
            </w:tcBorders>
            <w:vAlign w:val="bottom"/>
          </w:tcPr>
          <w:p w14:paraId="40ED8C01"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4" w:space="0" w:color="000000"/>
            </w:tcBorders>
            <w:shd w:val="clear" w:color="auto" w:fill="auto"/>
            <w:vAlign w:val="bottom"/>
          </w:tcPr>
          <w:p w14:paraId="7420DB3A"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4" w:space="0" w:color="000000"/>
            </w:tcBorders>
            <w:shd w:val="clear" w:color="auto" w:fill="auto"/>
            <w:vAlign w:val="bottom"/>
          </w:tcPr>
          <w:p w14:paraId="2B872A3F"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4" w:space="0" w:color="000000"/>
            </w:tcBorders>
            <w:shd w:val="clear" w:color="auto" w:fill="auto"/>
            <w:vAlign w:val="bottom"/>
          </w:tcPr>
          <w:p w14:paraId="7B6C7532"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34C738C1" w14:textId="77777777" w:rsidTr="001B330E">
        <w:trPr>
          <w:trHeight w:val="23"/>
        </w:trPr>
        <w:tc>
          <w:tcPr>
            <w:tcW w:w="1971" w:type="pct"/>
            <w:tcBorders>
              <w:top w:val="single" w:sz="4" w:space="0" w:color="000000"/>
            </w:tcBorders>
            <w:shd w:val="clear" w:color="auto" w:fill="auto"/>
            <w:vAlign w:val="bottom"/>
          </w:tcPr>
          <w:p w14:paraId="405C7B3F"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606" w:type="pct"/>
            <w:tcBorders>
              <w:top w:val="single" w:sz="4" w:space="0" w:color="000000"/>
            </w:tcBorders>
            <w:vAlign w:val="bottom"/>
          </w:tcPr>
          <w:p w14:paraId="36F0EB91"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vAlign w:val="bottom"/>
          </w:tcPr>
          <w:p w14:paraId="5389DEAF"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shd w:val="clear" w:color="auto" w:fill="auto"/>
            <w:vAlign w:val="bottom"/>
          </w:tcPr>
          <w:p w14:paraId="6B30C493"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shd w:val="clear" w:color="auto" w:fill="auto"/>
            <w:vAlign w:val="bottom"/>
          </w:tcPr>
          <w:p w14:paraId="48F235E9"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shd w:val="clear" w:color="auto" w:fill="auto"/>
            <w:vAlign w:val="bottom"/>
          </w:tcPr>
          <w:p w14:paraId="0F0B04E3"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5D1AF93A" w14:textId="77777777" w:rsidTr="001B330E">
        <w:trPr>
          <w:trHeight w:val="23"/>
        </w:trPr>
        <w:tc>
          <w:tcPr>
            <w:tcW w:w="1971" w:type="pct"/>
            <w:shd w:val="clear" w:color="auto" w:fill="auto"/>
            <w:vAlign w:val="bottom"/>
          </w:tcPr>
          <w:p w14:paraId="59D9181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787EB566"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3001F1FB"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5AD01A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9242FFD"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C51E71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31E820B" w14:textId="77777777" w:rsidTr="001B330E">
        <w:trPr>
          <w:trHeight w:val="23"/>
        </w:trPr>
        <w:tc>
          <w:tcPr>
            <w:tcW w:w="1971" w:type="pct"/>
            <w:shd w:val="clear" w:color="auto" w:fill="auto"/>
            <w:vAlign w:val="bottom"/>
          </w:tcPr>
          <w:p w14:paraId="6ED815C9"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606" w:type="pct"/>
            <w:vAlign w:val="bottom"/>
          </w:tcPr>
          <w:p w14:paraId="72C8B98D"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vAlign w:val="bottom"/>
          </w:tcPr>
          <w:p w14:paraId="1983480B"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shd w:val="clear" w:color="auto" w:fill="auto"/>
            <w:vAlign w:val="bottom"/>
          </w:tcPr>
          <w:p w14:paraId="5C6F7E2C"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shd w:val="clear" w:color="auto" w:fill="auto"/>
            <w:vAlign w:val="bottom"/>
          </w:tcPr>
          <w:p w14:paraId="3C485652"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shd w:val="clear" w:color="auto" w:fill="auto"/>
            <w:vAlign w:val="bottom"/>
          </w:tcPr>
          <w:p w14:paraId="3E2456B0"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4049F432" w14:textId="77777777" w:rsidTr="001B330E">
        <w:trPr>
          <w:trHeight w:val="23"/>
        </w:trPr>
        <w:tc>
          <w:tcPr>
            <w:tcW w:w="1971" w:type="pct"/>
            <w:tcBorders>
              <w:top w:val="single" w:sz="4" w:space="0" w:color="000000"/>
            </w:tcBorders>
            <w:shd w:val="clear" w:color="auto" w:fill="auto"/>
            <w:vAlign w:val="bottom"/>
          </w:tcPr>
          <w:p w14:paraId="146FAD40"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606" w:type="pct"/>
            <w:tcBorders>
              <w:top w:val="single" w:sz="4" w:space="0" w:color="000000"/>
            </w:tcBorders>
            <w:vAlign w:val="bottom"/>
          </w:tcPr>
          <w:p w14:paraId="1B562E25"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vAlign w:val="bottom"/>
          </w:tcPr>
          <w:p w14:paraId="5434F644"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shd w:val="clear" w:color="auto" w:fill="auto"/>
            <w:vAlign w:val="bottom"/>
          </w:tcPr>
          <w:p w14:paraId="0ED86AB8"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shd w:val="clear" w:color="auto" w:fill="auto"/>
            <w:vAlign w:val="bottom"/>
          </w:tcPr>
          <w:p w14:paraId="1F82CA6B"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top w:val="single" w:sz="4" w:space="0" w:color="000000"/>
            </w:tcBorders>
            <w:shd w:val="clear" w:color="auto" w:fill="auto"/>
            <w:vAlign w:val="bottom"/>
          </w:tcPr>
          <w:p w14:paraId="779C3FD6" w14:textId="77777777" w:rsidR="00D83E33" w:rsidRPr="001B330E" w:rsidRDefault="00D83E33">
            <w:pPr>
              <w:widowControl w:val="0"/>
              <w:pBdr>
                <w:top w:val="nil"/>
                <w:left w:val="nil"/>
                <w:bottom w:val="nil"/>
                <w:right w:val="nil"/>
                <w:between w:val="nil"/>
              </w:pBdr>
              <w:jc w:val="right"/>
              <w:rPr>
                <w:color w:val="000000"/>
                <w:szCs w:val="14"/>
              </w:rPr>
            </w:pPr>
          </w:p>
        </w:tc>
      </w:tr>
      <w:tr w:rsidR="00D83E33" w:rsidRPr="00E837F2" w14:paraId="3A0FF22E" w14:textId="77777777" w:rsidTr="001B330E">
        <w:trPr>
          <w:trHeight w:val="23"/>
        </w:trPr>
        <w:tc>
          <w:tcPr>
            <w:tcW w:w="1971" w:type="pct"/>
            <w:shd w:val="clear" w:color="auto" w:fill="auto"/>
            <w:vAlign w:val="bottom"/>
          </w:tcPr>
          <w:p w14:paraId="7029FAF4"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158D45D9" w14:textId="77777777" w:rsidR="00D83E33" w:rsidRPr="00E837F2" w:rsidRDefault="00D83E33">
            <w:pPr>
              <w:widowControl w:val="0"/>
              <w:pBdr>
                <w:top w:val="nil"/>
                <w:left w:val="nil"/>
                <w:bottom w:val="nil"/>
                <w:right w:val="nil"/>
                <w:between w:val="nil"/>
              </w:pBdr>
              <w:jc w:val="right"/>
              <w:rPr>
                <w:color w:val="000000"/>
              </w:rPr>
            </w:pPr>
          </w:p>
        </w:tc>
        <w:tc>
          <w:tcPr>
            <w:tcW w:w="606" w:type="pct"/>
            <w:vAlign w:val="bottom"/>
          </w:tcPr>
          <w:p w14:paraId="67BD5C30"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6868CC7"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2D3AB59" w14:textId="77777777" w:rsidR="00D83E33" w:rsidRPr="00E837F2"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D61553E"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104AE7C" w14:textId="77777777" w:rsidTr="001B330E">
        <w:trPr>
          <w:trHeight w:val="23"/>
        </w:trPr>
        <w:tc>
          <w:tcPr>
            <w:tcW w:w="1971" w:type="pct"/>
            <w:tcBorders>
              <w:bottom w:val="single" w:sz="12" w:space="0" w:color="000000"/>
            </w:tcBorders>
            <w:shd w:val="clear" w:color="auto" w:fill="auto"/>
            <w:vAlign w:val="bottom"/>
          </w:tcPr>
          <w:p w14:paraId="10CAB391" w14:textId="77777777" w:rsidR="00D83E33" w:rsidRPr="001B330E" w:rsidRDefault="00D83E33" w:rsidP="001B330E">
            <w:pPr>
              <w:widowControl w:val="0"/>
              <w:pBdr>
                <w:top w:val="nil"/>
                <w:left w:val="nil"/>
                <w:bottom w:val="nil"/>
                <w:right w:val="nil"/>
                <w:between w:val="nil"/>
              </w:pBdr>
              <w:ind w:left="113" w:hanging="113"/>
              <w:rPr>
                <w:color w:val="000000"/>
                <w:szCs w:val="14"/>
              </w:rPr>
            </w:pPr>
          </w:p>
        </w:tc>
        <w:tc>
          <w:tcPr>
            <w:tcW w:w="606" w:type="pct"/>
            <w:tcBorders>
              <w:bottom w:val="single" w:sz="12" w:space="0" w:color="000000"/>
            </w:tcBorders>
            <w:vAlign w:val="bottom"/>
          </w:tcPr>
          <w:p w14:paraId="4B5787E2"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12" w:space="0" w:color="000000"/>
            </w:tcBorders>
            <w:vAlign w:val="bottom"/>
          </w:tcPr>
          <w:p w14:paraId="7804CA81"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12" w:space="0" w:color="000000"/>
            </w:tcBorders>
            <w:shd w:val="clear" w:color="auto" w:fill="auto"/>
            <w:vAlign w:val="bottom"/>
          </w:tcPr>
          <w:p w14:paraId="6AD9BC29"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12" w:space="0" w:color="000000"/>
            </w:tcBorders>
            <w:shd w:val="clear" w:color="auto" w:fill="auto"/>
            <w:vAlign w:val="bottom"/>
          </w:tcPr>
          <w:p w14:paraId="3E145021" w14:textId="77777777" w:rsidR="00D83E33" w:rsidRPr="001B330E" w:rsidRDefault="00D83E33">
            <w:pPr>
              <w:widowControl w:val="0"/>
              <w:pBdr>
                <w:top w:val="nil"/>
                <w:left w:val="nil"/>
                <w:bottom w:val="nil"/>
                <w:right w:val="nil"/>
                <w:between w:val="nil"/>
              </w:pBdr>
              <w:jc w:val="right"/>
              <w:rPr>
                <w:color w:val="000000"/>
                <w:szCs w:val="14"/>
              </w:rPr>
            </w:pPr>
          </w:p>
        </w:tc>
        <w:tc>
          <w:tcPr>
            <w:tcW w:w="606" w:type="pct"/>
            <w:tcBorders>
              <w:bottom w:val="single" w:sz="12" w:space="0" w:color="000000"/>
            </w:tcBorders>
            <w:shd w:val="clear" w:color="auto" w:fill="auto"/>
            <w:vAlign w:val="bottom"/>
          </w:tcPr>
          <w:p w14:paraId="2C52D6BC" w14:textId="77777777" w:rsidR="00D83E33" w:rsidRPr="001B330E" w:rsidRDefault="00D83E33">
            <w:pPr>
              <w:widowControl w:val="0"/>
              <w:pBdr>
                <w:top w:val="nil"/>
                <w:left w:val="nil"/>
                <w:bottom w:val="nil"/>
                <w:right w:val="nil"/>
                <w:between w:val="nil"/>
              </w:pBdr>
              <w:jc w:val="right"/>
              <w:rPr>
                <w:color w:val="000000"/>
                <w:szCs w:val="14"/>
              </w:rPr>
            </w:pPr>
          </w:p>
        </w:tc>
      </w:tr>
    </w:tbl>
    <w:p w14:paraId="2BA689C3" w14:textId="42F5E4EB" w:rsidR="00D83E33" w:rsidRDefault="00BC4072" w:rsidP="001B330E">
      <w:pPr>
        <w:pStyle w:val="Continued"/>
      </w:pPr>
      <w:r>
        <w:lastRenderedPageBreak/>
        <w:t>15</w:t>
      </w:r>
      <w:r>
        <w:tab/>
        <w:t>Other Financial Assets (Continued)</w:t>
      </w:r>
    </w:p>
    <w:tbl>
      <w:tblPr>
        <w:tblStyle w:val="afffffffff1"/>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6F937423" w14:textId="77777777" w:rsidTr="00E03694">
        <w:trPr>
          <w:trHeight w:val="23"/>
          <w:tblHeader/>
        </w:trPr>
        <w:tc>
          <w:tcPr>
            <w:tcW w:w="1971" w:type="pct"/>
            <w:tcBorders>
              <w:bottom w:val="single" w:sz="4" w:space="0" w:color="000000"/>
            </w:tcBorders>
            <w:vAlign w:val="bottom"/>
          </w:tcPr>
          <w:p w14:paraId="2EFFD8F5" w14:textId="06571CC6"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2832E93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Stage 1 </w:t>
            </w:r>
          </w:p>
          <w:p w14:paraId="44289EC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(12-months ECL)</w:t>
            </w:r>
          </w:p>
        </w:tc>
        <w:tc>
          <w:tcPr>
            <w:tcW w:w="606" w:type="pct"/>
            <w:tcBorders>
              <w:bottom w:val="single" w:sz="4" w:space="0" w:color="000000"/>
            </w:tcBorders>
          </w:tcPr>
          <w:p w14:paraId="656033A9"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2</w:t>
            </w:r>
          </w:p>
          <w:p w14:paraId="36AACA3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ECL for SICR) </w:t>
            </w:r>
          </w:p>
        </w:tc>
        <w:tc>
          <w:tcPr>
            <w:tcW w:w="606" w:type="pct"/>
            <w:tcBorders>
              <w:bottom w:val="single" w:sz="4" w:space="0" w:color="000000"/>
            </w:tcBorders>
          </w:tcPr>
          <w:p w14:paraId="511B6D9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Stage 3</w:t>
            </w:r>
          </w:p>
          <w:p w14:paraId="24478DF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(lifetime ECL for credit im-paired)</w:t>
            </w:r>
          </w:p>
        </w:tc>
        <w:tc>
          <w:tcPr>
            <w:tcW w:w="606" w:type="pct"/>
            <w:tcBorders>
              <w:bottom w:val="single" w:sz="4" w:space="0" w:color="000000"/>
            </w:tcBorders>
          </w:tcPr>
          <w:p w14:paraId="681D6C2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POCI</w:t>
            </w:r>
          </w:p>
        </w:tc>
        <w:tc>
          <w:tcPr>
            <w:tcW w:w="605" w:type="pct"/>
            <w:tcBorders>
              <w:bottom w:val="single" w:sz="4" w:space="0" w:color="000000"/>
            </w:tcBorders>
          </w:tcPr>
          <w:p w14:paraId="4BCC16C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545A3EB2" w14:textId="77777777" w:rsidTr="00E03694">
        <w:trPr>
          <w:trHeight w:val="23"/>
        </w:trPr>
        <w:tc>
          <w:tcPr>
            <w:tcW w:w="1971" w:type="pct"/>
            <w:vAlign w:val="bottom"/>
          </w:tcPr>
          <w:p w14:paraId="06DB4F5D" w14:textId="77777777" w:rsidR="00D83E33" w:rsidRPr="001B330E" w:rsidRDefault="00BC4072" w:rsidP="001B330E">
            <w:pPr>
              <w:widowControl w:val="0"/>
              <w:ind w:left="113" w:hanging="113"/>
              <w:rPr>
                <w:szCs w:val="12"/>
              </w:rPr>
            </w:pPr>
            <w:r w:rsidRPr="001B330E">
              <w:rPr>
                <w:szCs w:val="12"/>
              </w:rPr>
              <w:t> </w:t>
            </w:r>
          </w:p>
        </w:tc>
        <w:tc>
          <w:tcPr>
            <w:tcW w:w="606" w:type="pct"/>
            <w:vAlign w:val="bottom"/>
          </w:tcPr>
          <w:p w14:paraId="268064F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vAlign w:val="bottom"/>
          </w:tcPr>
          <w:p w14:paraId="26AD80A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vAlign w:val="bottom"/>
          </w:tcPr>
          <w:p w14:paraId="692DD10C"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vAlign w:val="bottom"/>
          </w:tcPr>
          <w:p w14:paraId="1DB9AAA7"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vAlign w:val="bottom"/>
          </w:tcPr>
          <w:p w14:paraId="76D494B8"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46C54DE5" w14:textId="77777777" w:rsidTr="00E03694">
        <w:trPr>
          <w:trHeight w:val="23"/>
        </w:trPr>
        <w:tc>
          <w:tcPr>
            <w:tcW w:w="1971" w:type="pct"/>
            <w:shd w:val="clear" w:color="auto" w:fill="auto"/>
            <w:vAlign w:val="bottom"/>
          </w:tcPr>
          <w:p w14:paraId="25240337"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 xml:space="preserve">Credit and debit cards receivables </w:t>
            </w:r>
          </w:p>
        </w:tc>
        <w:tc>
          <w:tcPr>
            <w:tcW w:w="606" w:type="pct"/>
            <w:vAlign w:val="bottom"/>
          </w:tcPr>
          <w:p w14:paraId="719C129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B8150B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B02690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684F922"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565645E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BEA47F0" w14:textId="77777777" w:rsidTr="00E03694">
        <w:trPr>
          <w:trHeight w:val="23"/>
        </w:trPr>
        <w:tc>
          <w:tcPr>
            <w:tcW w:w="1971" w:type="pct"/>
            <w:shd w:val="clear" w:color="auto" w:fill="auto"/>
            <w:vAlign w:val="bottom"/>
          </w:tcPr>
          <w:p w14:paraId="1A4A17E5"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vAlign w:val="bottom"/>
          </w:tcPr>
          <w:p w14:paraId="27836D8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vAlign w:val="bottom"/>
          </w:tcPr>
          <w:p w14:paraId="780DBCDD"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42136EE9"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7E92A799"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shd w:val="clear" w:color="auto" w:fill="auto"/>
            <w:vAlign w:val="bottom"/>
          </w:tcPr>
          <w:p w14:paraId="5B34994F"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7A27D7FD" w14:textId="77777777" w:rsidTr="00E03694">
        <w:trPr>
          <w:trHeight w:val="23"/>
        </w:trPr>
        <w:tc>
          <w:tcPr>
            <w:tcW w:w="1971" w:type="pct"/>
            <w:shd w:val="clear" w:color="auto" w:fill="auto"/>
            <w:vAlign w:val="bottom"/>
          </w:tcPr>
          <w:p w14:paraId="35D68CA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p w14:paraId="02DF44B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4A5C6DC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6EC862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AE421C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CF06FF7"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1F0411B4"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FC166BF" w14:textId="77777777" w:rsidTr="00E03694">
        <w:trPr>
          <w:trHeight w:val="23"/>
        </w:trPr>
        <w:tc>
          <w:tcPr>
            <w:tcW w:w="1971" w:type="pct"/>
            <w:shd w:val="clear" w:color="auto" w:fill="auto"/>
            <w:vAlign w:val="bottom"/>
          </w:tcPr>
          <w:p w14:paraId="65960E8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48B92AF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2B2F7B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6D6E09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C737713"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14ABD97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D801572" w14:textId="77777777" w:rsidTr="00E03694">
        <w:trPr>
          <w:trHeight w:val="23"/>
        </w:trPr>
        <w:tc>
          <w:tcPr>
            <w:tcW w:w="1971" w:type="pct"/>
            <w:shd w:val="clear" w:color="auto" w:fill="auto"/>
            <w:vAlign w:val="bottom"/>
          </w:tcPr>
          <w:p w14:paraId="598F64A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6D16695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FD4DBD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401C24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28635F2"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71D041FA"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84D84F2" w14:textId="77777777" w:rsidTr="00E03694">
        <w:trPr>
          <w:trHeight w:val="23"/>
        </w:trPr>
        <w:tc>
          <w:tcPr>
            <w:tcW w:w="1971" w:type="pct"/>
            <w:shd w:val="clear" w:color="auto" w:fill="auto"/>
            <w:vAlign w:val="bottom"/>
          </w:tcPr>
          <w:p w14:paraId="15C3B07A"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0F55E7A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DA5A9E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7738C10"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6D0FB94"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4A505EB1"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9B67B98" w14:textId="77777777" w:rsidTr="00E03694">
        <w:trPr>
          <w:trHeight w:val="23"/>
        </w:trPr>
        <w:tc>
          <w:tcPr>
            <w:tcW w:w="1971" w:type="pct"/>
            <w:tcBorders>
              <w:bottom w:val="single" w:sz="4" w:space="0" w:color="000000"/>
            </w:tcBorders>
            <w:shd w:val="clear" w:color="auto" w:fill="auto"/>
            <w:vAlign w:val="bottom"/>
          </w:tcPr>
          <w:p w14:paraId="20F1E6D2"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7B30D4E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1B63F710"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6509D82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45B765D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27CA5F4B"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0A8BAFA9" w14:textId="77777777" w:rsidTr="00E03694">
        <w:trPr>
          <w:trHeight w:val="23"/>
        </w:trPr>
        <w:tc>
          <w:tcPr>
            <w:tcW w:w="1971" w:type="pct"/>
            <w:tcBorders>
              <w:top w:val="single" w:sz="4" w:space="0" w:color="000000"/>
            </w:tcBorders>
            <w:shd w:val="clear" w:color="auto" w:fill="auto"/>
            <w:vAlign w:val="bottom"/>
          </w:tcPr>
          <w:p w14:paraId="08B0244E"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686D6CA5"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48EDEB81"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6A708D7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7AF0647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734A7587"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45C954A6" w14:textId="77777777" w:rsidTr="00E03694">
        <w:trPr>
          <w:trHeight w:val="23"/>
        </w:trPr>
        <w:tc>
          <w:tcPr>
            <w:tcW w:w="1971" w:type="pct"/>
            <w:shd w:val="clear" w:color="auto" w:fill="auto"/>
            <w:vAlign w:val="bottom"/>
          </w:tcPr>
          <w:p w14:paraId="2BDEA45D"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17543F9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617E8A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E45515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44E6E6B"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3FEEC35B"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BF4CA80" w14:textId="77777777" w:rsidTr="00E03694">
        <w:trPr>
          <w:trHeight w:val="23"/>
        </w:trPr>
        <w:tc>
          <w:tcPr>
            <w:tcW w:w="1971" w:type="pct"/>
            <w:tcBorders>
              <w:bottom w:val="single" w:sz="4" w:space="0" w:color="000000"/>
            </w:tcBorders>
            <w:shd w:val="clear" w:color="auto" w:fill="auto"/>
            <w:vAlign w:val="bottom"/>
          </w:tcPr>
          <w:p w14:paraId="57C12EEF"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29325D5E"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0C34B120"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5C7BC129"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12AE2600"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3DF49B40"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00B9EF42" w14:textId="77777777" w:rsidTr="00E03694">
        <w:trPr>
          <w:trHeight w:val="23"/>
        </w:trPr>
        <w:tc>
          <w:tcPr>
            <w:tcW w:w="1971" w:type="pct"/>
            <w:tcBorders>
              <w:top w:val="single" w:sz="4" w:space="0" w:color="000000"/>
            </w:tcBorders>
            <w:shd w:val="clear" w:color="auto" w:fill="auto"/>
            <w:vAlign w:val="bottom"/>
          </w:tcPr>
          <w:p w14:paraId="2909920E"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6F34D8C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596E601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7A69BCA7"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4577527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0DA4A77C"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4DE7DFCF" w14:textId="77777777" w:rsidTr="00E03694">
        <w:trPr>
          <w:trHeight w:val="23"/>
        </w:trPr>
        <w:tc>
          <w:tcPr>
            <w:tcW w:w="1971" w:type="pct"/>
            <w:shd w:val="clear" w:color="auto" w:fill="auto"/>
            <w:vAlign w:val="bottom"/>
          </w:tcPr>
          <w:p w14:paraId="781C54B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71EB1B5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383DD3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4C9C13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B067D6C"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230690A5"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B8E9BAC" w14:textId="77777777" w:rsidTr="00E03694">
        <w:trPr>
          <w:trHeight w:val="23"/>
        </w:trPr>
        <w:tc>
          <w:tcPr>
            <w:tcW w:w="1971" w:type="pct"/>
            <w:tcBorders>
              <w:bottom w:val="single" w:sz="4" w:space="0" w:color="000000"/>
            </w:tcBorders>
            <w:shd w:val="clear" w:color="auto" w:fill="auto"/>
            <w:vAlign w:val="bottom"/>
          </w:tcPr>
          <w:p w14:paraId="5381E82E"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39B520B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74B453C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44FE266C"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6514DB4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6C2CBE54"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03391BBC" w14:textId="77777777" w:rsidTr="00E03694">
        <w:trPr>
          <w:trHeight w:val="23"/>
        </w:trPr>
        <w:tc>
          <w:tcPr>
            <w:tcW w:w="1971" w:type="pct"/>
            <w:tcBorders>
              <w:top w:val="single" w:sz="4" w:space="0" w:color="000000"/>
            </w:tcBorders>
            <w:vAlign w:val="bottom"/>
          </w:tcPr>
          <w:p w14:paraId="78F6D266"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2FF286B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06281240"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4A50D1F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19935A0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vAlign w:val="bottom"/>
          </w:tcPr>
          <w:p w14:paraId="44F196F5"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1E9D822F" w14:textId="77777777" w:rsidTr="00E03694">
        <w:trPr>
          <w:trHeight w:val="23"/>
        </w:trPr>
        <w:tc>
          <w:tcPr>
            <w:tcW w:w="1971" w:type="pct"/>
            <w:vAlign w:val="bottom"/>
          </w:tcPr>
          <w:p w14:paraId="40E9AFE6"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600DD1A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D313FB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56580C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20B4351"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vAlign w:val="bottom"/>
          </w:tcPr>
          <w:p w14:paraId="55224427"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15A24BC" w14:textId="77777777" w:rsidTr="00E03694">
        <w:trPr>
          <w:trHeight w:val="23"/>
        </w:trPr>
        <w:tc>
          <w:tcPr>
            <w:tcW w:w="1971" w:type="pct"/>
            <w:tcBorders>
              <w:bottom w:val="single" w:sz="4" w:space="0" w:color="000000"/>
            </w:tcBorders>
            <w:shd w:val="clear" w:color="auto" w:fill="auto"/>
            <w:vAlign w:val="bottom"/>
          </w:tcPr>
          <w:p w14:paraId="1B97FBC6" w14:textId="77777777" w:rsidR="00D83E33" w:rsidRPr="001B330E" w:rsidRDefault="00D83E33" w:rsidP="001B330E">
            <w:pPr>
              <w:widowControl w:val="0"/>
              <w:pBdr>
                <w:top w:val="nil"/>
                <w:left w:val="nil"/>
                <w:bottom w:val="nil"/>
                <w:right w:val="nil"/>
                <w:between w:val="nil"/>
              </w:pBdr>
              <w:ind w:left="113" w:hanging="113"/>
              <w:rPr>
                <w:b/>
                <w:i/>
                <w:color w:val="000000"/>
                <w:szCs w:val="12"/>
              </w:rPr>
            </w:pPr>
          </w:p>
        </w:tc>
        <w:tc>
          <w:tcPr>
            <w:tcW w:w="606" w:type="pct"/>
            <w:tcBorders>
              <w:bottom w:val="single" w:sz="4" w:space="0" w:color="000000"/>
            </w:tcBorders>
            <w:vAlign w:val="bottom"/>
          </w:tcPr>
          <w:p w14:paraId="30A2A556"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6AAD95E1"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205BB71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798B21AD"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6997D884"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7F1FD4E5" w14:textId="77777777" w:rsidTr="00E03694">
        <w:trPr>
          <w:trHeight w:val="23"/>
        </w:trPr>
        <w:tc>
          <w:tcPr>
            <w:tcW w:w="1971" w:type="pct"/>
            <w:tcBorders>
              <w:top w:val="single" w:sz="4" w:space="0" w:color="000000"/>
            </w:tcBorders>
            <w:shd w:val="clear" w:color="auto" w:fill="auto"/>
            <w:vAlign w:val="bottom"/>
          </w:tcPr>
          <w:p w14:paraId="7A3FFF88" w14:textId="77777777" w:rsidR="00D83E33" w:rsidRPr="001B330E" w:rsidRDefault="00D83E33" w:rsidP="001B330E">
            <w:pPr>
              <w:widowControl w:val="0"/>
              <w:pBdr>
                <w:top w:val="nil"/>
                <w:left w:val="nil"/>
                <w:bottom w:val="nil"/>
                <w:right w:val="nil"/>
                <w:between w:val="nil"/>
              </w:pBdr>
              <w:ind w:left="113" w:hanging="113"/>
              <w:rPr>
                <w:b/>
                <w:i/>
                <w:color w:val="000000"/>
                <w:szCs w:val="12"/>
              </w:rPr>
            </w:pPr>
          </w:p>
        </w:tc>
        <w:tc>
          <w:tcPr>
            <w:tcW w:w="606" w:type="pct"/>
            <w:tcBorders>
              <w:top w:val="single" w:sz="4" w:space="0" w:color="000000"/>
            </w:tcBorders>
            <w:vAlign w:val="bottom"/>
          </w:tcPr>
          <w:p w14:paraId="043B104D"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68ED1DC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6B9C6A41"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6AA52F5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5E15A31F"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0A23441D" w14:textId="77777777" w:rsidTr="00E03694">
        <w:trPr>
          <w:trHeight w:val="23"/>
        </w:trPr>
        <w:tc>
          <w:tcPr>
            <w:tcW w:w="1971" w:type="pct"/>
            <w:shd w:val="clear" w:color="auto" w:fill="auto"/>
            <w:vAlign w:val="bottom"/>
          </w:tcPr>
          <w:p w14:paraId="03373FF8"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Settlements on conversion operations</w:t>
            </w:r>
          </w:p>
        </w:tc>
        <w:tc>
          <w:tcPr>
            <w:tcW w:w="606" w:type="pct"/>
            <w:vAlign w:val="bottom"/>
          </w:tcPr>
          <w:p w14:paraId="799DBA6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305BD5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E3CB58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A0DB5FD"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7B0BAE1B"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D7F2EA7" w14:textId="77777777" w:rsidTr="00E03694">
        <w:trPr>
          <w:trHeight w:val="23"/>
        </w:trPr>
        <w:tc>
          <w:tcPr>
            <w:tcW w:w="1971" w:type="pct"/>
            <w:shd w:val="clear" w:color="auto" w:fill="auto"/>
            <w:vAlign w:val="bottom"/>
          </w:tcPr>
          <w:p w14:paraId="05F8BB38"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vAlign w:val="bottom"/>
          </w:tcPr>
          <w:p w14:paraId="32330D0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vAlign w:val="bottom"/>
          </w:tcPr>
          <w:p w14:paraId="6B880D39"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5D7046AE"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37546E8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shd w:val="clear" w:color="auto" w:fill="auto"/>
            <w:vAlign w:val="bottom"/>
          </w:tcPr>
          <w:p w14:paraId="3D2131C5"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4BE92DA1" w14:textId="77777777" w:rsidTr="00E03694">
        <w:trPr>
          <w:trHeight w:val="23"/>
        </w:trPr>
        <w:tc>
          <w:tcPr>
            <w:tcW w:w="1971" w:type="pct"/>
            <w:shd w:val="clear" w:color="auto" w:fill="auto"/>
            <w:vAlign w:val="bottom"/>
          </w:tcPr>
          <w:p w14:paraId="532D9F9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184F9B4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103BFB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7DEA4A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360487B"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5FC9630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9F00516" w14:textId="77777777" w:rsidTr="00E03694">
        <w:trPr>
          <w:trHeight w:val="23"/>
        </w:trPr>
        <w:tc>
          <w:tcPr>
            <w:tcW w:w="1971" w:type="pct"/>
            <w:shd w:val="clear" w:color="auto" w:fill="auto"/>
            <w:vAlign w:val="bottom"/>
          </w:tcPr>
          <w:p w14:paraId="4B885FC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49CEB9B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AB7A7A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2A87DE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4F2C987"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512A2C3D"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DD5A807" w14:textId="77777777" w:rsidTr="00E03694">
        <w:trPr>
          <w:trHeight w:val="23"/>
        </w:trPr>
        <w:tc>
          <w:tcPr>
            <w:tcW w:w="1971" w:type="pct"/>
            <w:shd w:val="clear" w:color="auto" w:fill="auto"/>
            <w:vAlign w:val="bottom"/>
          </w:tcPr>
          <w:p w14:paraId="68001088"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65870EB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94B7B9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FD1EB4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33D1529"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7961891A"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F3D7174" w14:textId="77777777" w:rsidTr="00E03694">
        <w:trPr>
          <w:trHeight w:val="23"/>
        </w:trPr>
        <w:tc>
          <w:tcPr>
            <w:tcW w:w="1971" w:type="pct"/>
            <w:shd w:val="clear" w:color="auto" w:fill="auto"/>
            <w:vAlign w:val="bottom"/>
          </w:tcPr>
          <w:p w14:paraId="789BD88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0DCD9D0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240E49E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335B80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EE286BD"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6357ED74"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2F649C7" w14:textId="77777777" w:rsidTr="00E03694">
        <w:trPr>
          <w:trHeight w:val="23"/>
        </w:trPr>
        <w:tc>
          <w:tcPr>
            <w:tcW w:w="1971" w:type="pct"/>
            <w:shd w:val="clear" w:color="auto" w:fill="auto"/>
            <w:vAlign w:val="bottom"/>
          </w:tcPr>
          <w:p w14:paraId="333641B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4383C36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0EC098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A375CD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8F145D2"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0B107F74"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8ED93F6" w14:textId="77777777" w:rsidTr="00E03694">
        <w:trPr>
          <w:trHeight w:val="23"/>
        </w:trPr>
        <w:tc>
          <w:tcPr>
            <w:tcW w:w="1971" w:type="pct"/>
            <w:tcBorders>
              <w:bottom w:val="single" w:sz="4" w:space="0" w:color="000000"/>
            </w:tcBorders>
            <w:shd w:val="clear" w:color="auto" w:fill="auto"/>
            <w:vAlign w:val="bottom"/>
          </w:tcPr>
          <w:p w14:paraId="0D791975"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79D25FE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16B5851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4CC0C14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19C320B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6DCB3CEF"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2723FC98" w14:textId="77777777" w:rsidTr="00E03694">
        <w:trPr>
          <w:trHeight w:val="23"/>
        </w:trPr>
        <w:tc>
          <w:tcPr>
            <w:tcW w:w="1971" w:type="pct"/>
            <w:tcBorders>
              <w:top w:val="single" w:sz="4" w:space="0" w:color="000000"/>
            </w:tcBorders>
            <w:shd w:val="clear" w:color="auto" w:fill="auto"/>
            <w:vAlign w:val="bottom"/>
          </w:tcPr>
          <w:p w14:paraId="3D521703"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1149B55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53BEAFFC"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5572272B"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1755878C"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473DC10D"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768358AF" w14:textId="77777777" w:rsidTr="00E03694">
        <w:trPr>
          <w:trHeight w:val="23"/>
        </w:trPr>
        <w:tc>
          <w:tcPr>
            <w:tcW w:w="1971" w:type="pct"/>
            <w:shd w:val="clear" w:color="auto" w:fill="auto"/>
            <w:vAlign w:val="bottom"/>
          </w:tcPr>
          <w:p w14:paraId="2A9E2A23"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10C34F2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2FC0DEE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5349CF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E77518E"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62807E8A"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B73047C" w14:textId="77777777" w:rsidTr="00E03694">
        <w:trPr>
          <w:trHeight w:val="23"/>
        </w:trPr>
        <w:tc>
          <w:tcPr>
            <w:tcW w:w="1971" w:type="pct"/>
            <w:tcBorders>
              <w:bottom w:val="single" w:sz="4" w:space="0" w:color="000000"/>
            </w:tcBorders>
            <w:shd w:val="clear" w:color="auto" w:fill="auto"/>
            <w:vAlign w:val="bottom"/>
          </w:tcPr>
          <w:p w14:paraId="27EE28A3"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7699C0D1"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0386F655"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6BA4DDA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2ED7B059"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2395232C"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5055DBCA" w14:textId="77777777" w:rsidTr="00E03694">
        <w:trPr>
          <w:trHeight w:val="23"/>
        </w:trPr>
        <w:tc>
          <w:tcPr>
            <w:tcW w:w="1971" w:type="pct"/>
            <w:tcBorders>
              <w:top w:val="single" w:sz="4" w:space="0" w:color="000000"/>
            </w:tcBorders>
            <w:shd w:val="clear" w:color="auto" w:fill="auto"/>
            <w:vAlign w:val="bottom"/>
          </w:tcPr>
          <w:p w14:paraId="767FD70B"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2169C49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71A6ED60"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2BED8200"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51A0F2D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269229AF"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26423B7A" w14:textId="77777777" w:rsidTr="00E03694">
        <w:trPr>
          <w:trHeight w:val="23"/>
        </w:trPr>
        <w:tc>
          <w:tcPr>
            <w:tcW w:w="1971" w:type="pct"/>
            <w:shd w:val="clear" w:color="auto" w:fill="auto"/>
            <w:vAlign w:val="bottom"/>
          </w:tcPr>
          <w:p w14:paraId="08DDBD96"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3DBED7D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D6C383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BB5644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18D4F0E1"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3C29AF98"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0FEFE86" w14:textId="77777777" w:rsidTr="00E03694">
        <w:trPr>
          <w:trHeight w:val="23"/>
        </w:trPr>
        <w:tc>
          <w:tcPr>
            <w:tcW w:w="1971" w:type="pct"/>
            <w:shd w:val="clear" w:color="auto" w:fill="auto"/>
            <w:vAlign w:val="bottom"/>
          </w:tcPr>
          <w:p w14:paraId="55F08851"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vAlign w:val="bottom"/>
          </w:tcPr>
          <w:p w14:paraId="07AA72D5"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vAlign w:val="bottom"/>
          </w:tcPr>
          <w:p w14:paraId="3103FBF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00E6217B"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179F0AA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shd w:val="clear" w:color="auto" w:fill="auto"/>
            <w:vAlign w:val="bottom"/>
          </w:tcPr>
          <w:p w14:paraId="4B679D01"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26039935" w14:textId="77777777" w:rsidTr="00E03694">
        <w:trPr>
          <w:trHeight w:val="23"/>
        </w:trPr>
        <w:tc>
          <w:tcPr>
            <w:tcW w:w="1971" w:type="pct"/>
            <w:tcBorders>
              <w:top w:val="single" w:sz="4" w:space="0" w:color="000000"/>
            </w:tcBorders>
            <w:shd w:val="clear" w:color="auto" w:fill="auto"/>
            <w:vAlign w:val="bottom"/>
          </w:tcPr>
          <w:p w14:paraId="31774408"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4779A93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215D99AB"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1EDD042C"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1FF5D7A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355F59C5"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16F18D98" w14:textId="77777777" w:rsidTr="00E03694">
        <w:trPr>
          <w:trHeight w:val="23"/>
        </w:trPr>
        <w:tc>
          <w:tcPr>
            <w:tcW w:w="1971" w:type="pct"/>
            <w:shd w:val="clear" w:color="auto" w:fill="auto"/>
            <w:vAlign w:val="bottom"/>
          </w:tcPr>
          <w:p w14:paraId="73195A65"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2EADD43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DB3482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1E4CC6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1824E09"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7EF84EB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DA89256" w14:textId="77777777" w:rsidTr="00E03694">
        <w:trPr>
          <w:trHeight w:val="23"/>
        </w:trPr>
        <w:tc>
          <w:tcPr>
            <w:tcW w:w="1971" w:type="pct"/>
            <w:tcBorders>
              <w:bottom w:val="single" w:sz="12" w:space="0" w:color="000000"/>
            </w:tcBorders>
            <w:shd w:val="clear" w:color="auto" w:fill="auto"/>
            <w:vAlign w:val="bottom"/>
          </w:tcPr>
          <w:p w14:paraId="4BD1B2A5"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12" w:space="0" w:color="000000"/>
            </w:tcBorders>
            <w:vAlign w:val="bottom"/>
          </w:tcPr>
          <w:p w14:paraId="46BF4725"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vAlign w:val="bottom"/>
          </w:tcPr>
          <w:p w14:paraId="3319432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6B326B3C"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0848D9DB"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12" w:space="0" w:color="000000"/>
            </w:tcBorders>
            <w:shd w:val="clear" w:color="auto" w:fill="auto"/>
            <w:vAlign w:val="bottom"/>
          </w:tcPr>
          <w:p w14:paraId="6DDA602D"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413EB1C8" w14:textId="77777777" w:rsidTr="00E03694">
        <w:trPr>
          <w:trHeight w:val="23"/>
        </w:trPr>
        <w:tc>
          <w:tcPr>
            <w:tcW w:w="1971" w:type="pct"/>
            <w:tcBorders>
              <w:top w:val="single" w:sz="12" w:space="0" w:color="000000"/>
            </w:tcBorders>
            <w:shd w:val="clear" w:color="auto" w:fill="auto"/>
            <w:vAlign w:val="bottom"/>
          </w:tcPr>
          <w:p w14:paraId="7702CDF9"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12" w:space="0" w:color="000000"/>
            </w:tcBorders>
            <w:vAlign w:val="bottom"/>
          </w:tcPr>
          <w:p w14:paraId="41A4B67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12" w:space="0" w:color="000000"/>
            </w:tcBorders>
            <w:vAlign w:val="bottom"/>
          </w:tcPr>
          <w:p w14:paraId="66F94B3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12" w:space="0" w:color="000000"/>
            </w:tcBorders>
            <w:shd w:val="clear" w:color="auto" w:fill="auto"/>
            <w:vAlign w:val="bottom"/>
          </w:tcPr>
          <w:p w14:paraId="04C8A36E"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12" w:space="0" w:color="000000"/>
            </w:tcBorders>
            <w:shd w:val="clear" w:color="auto" w:fill="auto"/>
            <w:vAlign w:val="bottom"/>
          </w:tcPr>
          <w:p w14:paraId="203269E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12" w:space="0" w:color="000000"/>
            </w:tcBorders>
            <w:shd w:val="clear" w:color="auto" w:fill="auto"/>
            <w:vAlign w:val="bottom"/>
          </w:tcPr>
          <w:p w14:paraId="4914E269"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6FDB973B" w14:textId="77777777" w:rsidTr="00E03694">
        <w:trPr>
          <w:trHeight w:val="23"/>
        </w:trPr>
        <w:tc>
          <w:tcPr>
            <w:tcW w:w="1971" w:type="pct"/>
            <w:shd w:val="clear" w:color="auto" w:fill="auto"/>
            <w:vAlign w:val="bottom"/>
          </w:tcPr>
          <w:p w14:paraId="1D37251E"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Restricted cash</w:t>
            </w:r>
          </w:p>
        </w:tc>
        <w:tc>
          <w:tcPr>
            <w:tcW w:w="606" w:type="pct"/>
            <w:vAlign w:val="bottom"/>
          </w:tcPr>
          <w:p w14:paraId="6797B31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1BF1063"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9E4904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080370F"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41CCFB9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2BC96A7B" w14:textId="77777777" w:rsidTr="00E03694">
        <w:trPr>
          <w:trHeight w:val="23"/>
        </w:trPr>
        <w:tc>
          <w:tcPr>
            <w:tcW w:w="1971" w:type="pct"/>
            <w:shd w:val="clear" w:color="auto" w:fill="auto"/>
            <w:vAlign w:val="bottom"/>
          </w:tcPr>
          <w:p w14:paraId="56459D0E"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vAlign w:val="bottom"/>
          </w:tcPr>
          <w:p w14:paraId="47A70E35"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vAlign w:val="bottom"/>
          </w:tcPr>
          <w:p w14:paraId="6ED8E536"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11DE404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1654C0C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shd w:val="clear" w:color="auto" w:fill="auto"/>
            <w:vAlign w:val="bottom"/>
          </w:tcPr>
          <w:p w14:paraId="4C747C17"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4D74EAD6" w14:textId="77777777" w:rsidTr="00E03694">
        <w:trPr>
          <w:trHeight w:val="23"/>
        </w:trPr>
        <w:tc>
          <w:tcPr>
            <w:tcW w:w="1971" w:type="pct"/>
            <w:shd w:val="clear" w:color="auto" w:fill="auto"/>
            <w:vAlign w:val="bottom"/>
          </w:tcPr>
          <w:p w14:paraId="6906A84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p w14:paraId="3F72A37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2BF5760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2BEB38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8FB187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3E66AD2"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399CBFC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86CF33F" w14:textId="77777777" w:rsidTr="00E03694">
        <w:trPr>
          <w:trHeight w:val="23"/>
        </w:trPr>
        <w:tc>
          <w:tcPr>
            <w:tcW w:w="1971" w:type="pct"/>
            <w:shd w:val="clear" w:color="auto" w:fill="auto"/>
            <w:vAlign w:val="bottom"/>
          </w:tcPr>
          <w:p w14:paraId="1961F587"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5E14F11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471F04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21B7D0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3976574"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121C080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3ADC69D" w14:textId="77777777" w:rsidTr="00E03694">
        <w:trPr>
          <w:trHeight w:val="23"/>
        </w:trPr>
        <w:tc>
          <w:tcPr>
            <w:tcW w:w="1971" w:type="pct"/>
            <w:shd w:val="clear" w:color="auto" w:fill="auto"/>
            <w:vAlign w:val="bottom"/>
          </w:tcPr>
          <w:p w14:paraId="66BC97A5"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6C12740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1AF9F74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290244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ECB93B3"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12EE1BD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AFA1915" w14:textId="77777777" w:rsidTr="00E03694">
        <w:trPr>
          <w:trHeight w:val="23"/>
        </w:trPr>
        <w:tc>
          <w:tcPr>
            <w:tcW w:w="1971" w:type="pct"/>
            <w:shd w:val="clear" w:color="auto" w:fill="auto"/>
            <w:vAlign w:val="bottom"/>
          </w:tcPr>
          <w:p w14:paraId="4CA95CE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185D40D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C8E344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6795BE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8C72592"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0AF959E3"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4BDD09B8" w14:textId="77777777" w:rsidTr="00E03694">
        <w:trPr>
          <w:trHeight w:val="23"/>
        </w:trPr>
        <w:tc>
          <w:tcPr>
            <w:tcW w:w="1971" w:type="pct"/>
            <w:tcBorders>
              <w:bottom w:val="single" w:sz="4" w:space="0" w:color="000000"/>
            </w:tcBorders>
            <w:shd w:val="clear" w:color="auto" w:fill="auto"/>
            <w:vAlign w:val="bottom"/>
          </w:tcPr>
          <w:p w14:paraId="07A0F647"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4514A56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4419852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2216203B"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45DF42F6"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2118B4CE"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2F3B5542" w14:textId="77777777" w:rsidTr="00E03694">
        <w:trPr>
          <w:trHeight w:val="23"/>
        </w:trPr>
        <w:tc>
          <w:tcPr>
            <w:tcW w:w="1971" w:type="pct"/>
            <w:tcBorders>
              <w:top w:val="single" w:sz="4" w:space="0" w:color="000000"/>
            </w:tcBorders>
            <w:shd w:val="clear" w:color="auto" w:fill="auto"/>
            <w:vAlign w:val="bottom"/>
          </w:tcPr>
          <w:p w14:paraId="79CAAB3C"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6F18235E"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0C11AFA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1D8D7AA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57A74DB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485CE7F4"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1882FE9A" w14:textId="77777777" w:rsidTr="00E03694">
        <w:trPr>
          <w:trHeight w:val="23"/>
        </w:trPr>
        <w:tc>
          <w:tcPr>
            <w:tcW w:w="1971" w:type="pct"/>
            <w:shd w:val="clear" w:color="auto" w:fill="auto"/>
            <w:vAlign w:val="bottom"/>
          </w:tcPr>
          <w:p w14:paraId="124281BF"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1C783BC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B9A0E6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0270F0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577A329"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79BB10DE"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155BBA2D" w14:textId="77777777" w:rsidTr="00E03694">
        <w:trPr>
          <w:trHeight w:val="23"/>
        </w:trPr>
        <w:tc>
          <w:tcPr>
            <w:tcW w:w="1971" w:type="pct"/>
            <w:tcBorders>
              <w:bottom w:val="single" w:sz="4" w:space="0" w:color="000000"/>
            </w:tcBorders>
            <w:shd w:val="clear" w:color="auto" w:fill="auto"/>
            <w:vAlign w:val="bottom"/>
          </w:tcPr>
          <w:p w14:paraId="746E076D"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3C1FC441"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29B8BB9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2F008E3B"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435D3E2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6B2569E1"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0114AEC1" w14:textId="77777777" w:rsidTr="00E03694">
        <w:trPr>
          <w:trHeight w:val="23"/>
        </w:trPr>
        <w:tc>
          <w:tcPr>
            <w:tcW w:w="1971" w:type="pct"/>
            <w:tcBorders>
              <w:top w:val="single" w:sz="4" w:space="0" w:color="000000"/>
            </w:tcBorders>
            <w:shd w:val="clear" w:color="auto" w:fill="auto"/>
            <w:vAlign w:val="bottom"/>
          </w:tcPr>
          <w:p w14:paraId="7B02174D"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1A44E5B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602CE04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34A45B2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204AE2A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73E7076C"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7E0156F0" w14:textId="77777777" w:rsidTr="00E03694">
        <w:trPr>
          <w:trHeight w:val="23"/>
        </w:trPr>
        <w:tc>
          <w:tcPr>
            <w:tcW w:w="1971" w:type="pct"/>
            <w:shd w:val="clear" w:color="auto" w:fill="auto"/>
            <w:vAlign w:val="bottom"/>
          </w:tcPr>
          <w:p w14:paraId="1180C09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1369F7B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351F58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A45E2EC"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61F5ED6"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3C860F2F"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1C81484" w14:textId="77777777" w:rsidTr="00E03694">
        <w:trPr>
          <w:trHeight w:val="23"/>
        </w:trPr>
        <w:tc>
          <w:tcPr>
            <w:tcW w:w="1971" w:type="pct"/>
            <w:tcBorders>
              <w:bottom w:val="single" w:sz="4" w:space="0" w:color="000000"/>
            </w:tcBorders>
            <w:shd w:val="clear" w:color="auto" w:fill="auto"/>
            <w:vAlign w:val="bottom"/>
          </w:tcPr>
          <w:p w14:paraId="14711F5D"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52CCF519"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1BE3906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0427B4D6"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02511B10"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7C87D374"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3CD7EC43" w14:textId="77777777" w:rsidTr="00E03694">
        <w:trPr>
          <w:trHeight w:val="23"/>
        </w:trPr>
        <w:tc>
          <w:tcPr>
            <w:tcW w:w="1971" w:type="pct"/>
            <w:tcBorders>
              <w:top w:val="single" w:sz="4" w:space="0" w:color="000000"/>
            </w:tcBorders>
            <w:vAlign w:val="bottom"/>
          </w:tcPr>
          <w:p w14:paraId="73C7AA72"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4DE2D4D9"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120C55F0"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7E49882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65F8B08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vAlign w:val="bottom"/>
          </w:tcPr>
          <w:p w14:paraId="10984691"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51425FF1" w14:textId="77777777" w:rsidTr="00E03694">
        <w:trPr>
          <w:trHeight w:val="23"/>
        </w:trPr>
        <w:tc>
          <w:tcPr>
            <w:tcW w:w="1971" w:type="pct"/>
            <w:vAlign w:val="bottom"/>
          </w:tcPr>
          <w:p w14:paraId="428F9A09"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1A1520FD"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79F5BF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77979BD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E439A00"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vAlign w:val="bottom"/>
          </w:tcPr>
          <w:p w14:paraId="52779956"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21759D8" w14:textId="77777777" w:rsidTr="00E03694">
        <w:trPr>
          <w:trHeight w:val="23"/>
        </w:trPr>
        <w:tc>
          <w:tcPr>
            <w:tcW w:w="1971" w:type="pct"/>
            <w:tcBorders>
              <w:bottom w:val="single" w:sz="12" w:space="0" w:color="000000"/>
            </w:tcBorders>
            <w:vAlign w:val="bottom"/>
          </w:tcPr>
          <w:p w14:paraId="7A67895F" w14:textId="77777777" w:rsidR="00D83E33" w:rsidRPr="001B330E" w:rsidRDefault="00D83E33" w:rsidP="001B330E">
            <w:pPr>
              <w:widowControl w:val="0"/>
              <w:pBdr>
                <w:top w:val="nil"/>
                <w:left w:val="nil"/>
                <w:bottom w:val="nil"/>
                <w:right w:val="nil"/>
                <w:between w:val="nil"/>
              </w:pBdr>
              <w:ind w:left="113" w:hanging="113"/>
              <w:rPr>
                <w:b/>
                <w:color w:val="000000"/>
                <w:szCs w:val="12"/>
              </w:rPr>
            </w:pPr>
          </w:p>
        </w:tc>
        <w:tc>
          <w:tcPr>
            <w:tcW w:w="606" w:type="pct"/>
            <w:tcBorders>
              <w:bottom w:val="single" w:sz="12" w:space="0" w:color="000000"/>
            </w:tcBorders>
            <w:vAlign w:val="bottom"/>
          </w:tcPr>
          <w:p w14:paraId="710E0622"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vAlign w:val="bottom"/>
          </w:tcPr>
          <w:p w14:paraId="420E33AC"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vAlign w:val="bottom"/>
          </w:tcPr>
          <w:p w14:paraId="35E127EC"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vAlign w:val="bottom"/>
          </w:tcPr>
          <w:p w14:paraId="19C56BCB"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12" w:space="0" w:color="000000"/>
            </w:tcBorders>
            <w:vAlign w:val="bottom"/>
          </w:tcPr>
          <w:p w14:paraId="45C5032B" w14:textId="77777777" w:rsidR="00D83E33" w:rsidRPr="001B330E" w:rsidRDefault="00D83E33" w:rsidP="001B330E">
            <w:pPr>
              <w:widowControl w:val="0"/>
              <w:pBdr>
                <w:top w:val="nil"/>
                <w:left w:val="nil"/>
                <w:bottom w:val="nil"/>
                <w:right w:val="nil"/>
                <w:between w:val="nil"/>
              </w:pBdr>
              <w:jc w:val="right"/>
              <w:rPr>
                <w:color w:val="000000"/>
                <w:szCs w:val="12"/>
              </w:rPr>
            </w:pPr>
          </w:p>
        </w:tc>
      </w:tr>
    </w:tbl>
    <w:p w14:paraId="2174FBC1" w14:textId="77777777" w:rsidR="00E03694" w:rsidRDefault="00E03694"/>
    <w:p w14:paraId="09F06D3B" w14:textId="77777777" w:rsidR="00E03694" w:rsidRDefault="00E03694" w:rsidP="00E03694">
      <w:pPr>
        <w:pStyle w:val="Continued"/>
      </w:pPr>
      <w:r>
        <w:lastRenderedPageBreak/>
        <w:t>15</w:t>
      </w:r>
      <w:r>
        <w:tab/>
        <w:t>Other Financial Assets (Continued)</w:t>
      </w:r>
    </w:p>
    <w:p w14:paraId="11A1DEE3" w14:textId="77777777" w:rsidR="00E03694" w:rsidRDefault="00E03694"/>
    <w:tbl>
      <w:tblPr>
        <w:tblStyle w:val="afffffffff1"/>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837F2" w14:paraId="0BD29A74" w14:textId="77777777" w:rsidTr="00E03694">
        <w:trPr>
          <w:trHeight w:val="23"/>
        </w:trPr>
        <w:tc>
          <w:tcPr>
            <w:tcW w:w="1971" w:type="pct"/>
            <w:shd w:val="clear" w:color="auto" w:fill="auto"/>
            <w:vAlign w:val="bottom"/>
          </w:tcPr>
          <w:p w14:paraId="3D1E05F6"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Other</w:t>
            </w:r>
          </w:p>
        </w:tc>
        <w:tc>
          <w:tcPr>
            <w:tcW w:w="606" w:type="pct"/>
            <w:vAlign w:val="bottom"/>
          </w:tcPr>
          <w:p w14:paraId="43D77D7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CF61D6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8D3791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3DA7FA3"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205F8734"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18F7695" w14:textId="77777777" w:rsidTr="00E03694">
        <w:trPr>
          <w:trHeight w:val="23"/>
        </w:trPr>
        <w:tc>
          <w:tcPr>
            <w:tcW w:w="1971" w:type="pct"/>
            <w:shd w:val="clear" w:color="auto" w:fill="auto"/>
            <w:vAlign w:val="bottom"/>
          </w:tcPr>
          <w:p w14:paraId="297C0F56"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vAlign w:val="bottom"/>
          </w:tcPr>
          <w:p w14:paraId="17651CC1"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vAlign w:val="bottom"/>
          </w:tcPr>
          <w:p w14:paraId="1D0CC8AB"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0E7B169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231DBFB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shd w:val="clear" w:color="auto" w:fill="auto"/>
            <w:vAlign w:val="bottom"/>
          </w:tcPr>
          <w:p w14:paraId="474FF5A4"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6BF3E1CD" w14:textId="77777777" w:rsidTr="00E03694">
        <w:trPr>
          <w:trHeight w:val="23"/>
        </w:trPr>
        <w:tc>
          <w:tcPr>
            <w:tcW w:w="1971" w:type="pct"/>
            <w:shd w:val="clear" w:color="auto" w:fill="auto"/>
            <w:vAlign w:val="bottom"/>
          </w:tcPr>
          <w:p w14:paraId="57C5227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Excellent</w:t>
            </w:r>
          </w:p>
        </w:tc>
        <w:tc>
          <w:tcPr>
            <w:tcW w:w="606" w:type="pct"/>
            <w:vAlign w:val="bottom"/>
          </w:tcPr>
          <w:p w14:paraId="40C753F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9ED21C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5936344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F803EDE"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45F89188"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8D99442" w14:textId="77777777" w:rsidTr="00E03694">
        <w:trPr>
          <w:trHeight w:val="23"/>
        </w:trPr>
        <w:tc>
          <w:tcPr>
            <w:tcW w:w="1971" w:type="pct"/>
            <w:shd w:val="clear" w:color="auto" w:fill="auto"/>
            <w:vAlign w:val="bottom"/>
          </w:tcPr>
          <w:p w14:paraId="062A55A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Good</w:t>
            </w:r>
          </w:p>
        </w:tc>
        <w:tc>
          <w:tcPr>
            <w:tcW w:w="606" w:type="pct"/>
            <w:vAlign w:val="bottom"/>
          </w:tcPr>
          <w:p w14:paraId="2125D6B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43AC0B65"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A3DE96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742FC15F"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671A591D"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622A06C2" w14:textId="77777777" w:rsidTr="00E03694">
        <w:trPr>
          <w:trHeight w:val="23"/>
        </w:trPr>
        <w:tc>
          <w:tcPr>
            <w:tcW w:w="1971" w:type="pct"/>
            <w:shd w:val="clear" w:color="auto" w:fill="auto"/>
            <w:vAlign w:val="bottom"/>
          </w:tcPr>
          <w:p w14:paraId="4E19A94D"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Satisfactory</w:t>
            </w:r>
          </w:p>
        </w:tc>
        <w:tc>
          <w:tcPr>
            <w:tcW w:w="606" w:type="pct"/>
            <w:vAlign w:val="bottom"/>
          </w:tcPr>
          <w:p w14:paraId="4980DC98"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6F9B8317"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C00FB52"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CB65D45"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4B24E9C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5F669FD2" w14:textId="77777777" w:rsidTr="00E03694">
        <w:trPr>
          <w:trHeight w:val="23"/>
        </w:trPr>
        <w:tc>
          <w:tcPr>
            <w:tcW w:w="1971" w:type="pct"/>
            <w:shd w:val="clear" w:color="auto" w:fill="auto"/>
            <w:vAlign w:val="bottom"/>
          </w:tcPr>
          <w:p w14:paraId="01521D8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Special monitoring</w:t>
            </w:r>
          </w:p>
        </w:tc>
        <w:tc>
          <w:tcPr>
            <w:tcW w:w="606" w:type="pct"/>
            <w:vAlign w:val="bottom"/>
          </w:tcPr>
          <w:p w14:paraId="46440189"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39FBCCC6"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BEB8B5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64E5AE8"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6702543D"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876862C" w14:textId="77777777" w:rsidTr="00E03694">
        <w:trPr>
          <w:trHeight w:val="23"/>
        </w:trPr>
        <w:tc>
          <w:tcPr>
            <w:tcW w:w="1971" w:type="pct"/>
            <w:shd w:val="clear" w:color="auto" w:fill="auto"/>
            <w:vAlign w:val="bottom"/>
          </w:tcPr>
          <w:p w14:paraId="7F0E183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Default</w:t>
            </w:r>
          </w:p>
        </w:tc>
        <w:tc>
          <w:tcPr>
            <w:tcW w:w="606" w:type="pct"/>
            <w:vAlign w:val="bottom"/>
          </w:tcPr>
          <w:p w14:paraId="5AC33F5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F62766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F64256E"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FFCBDA8"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2E04C7EC"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0564ACC7" w14:textId="77777777" w:rsidTr="00E03694">
        <w:trPr>
          <w:trHeight w:val="23"/>
        </w:trPr>
        <w:tc>
          <w:tcPr>
            <w:tcW w:w="1971" w:type="pct"/>
            <w:tcBorders>
              <w:bottom w:val="single" w:sz="4" w:space="0" w:color="000000"/>
            </w:tcBorders>
            <w:shd w:val="clear" w:color="auto" w:fill="auto"/>
            <w:vAlign w:val="bottom"/>
          </w:tcPr>
          <w:p w14:paraId="46060CDE"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7128740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37F8AA3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59A66F6C"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610D569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57C04004"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7937717F" w14:textId="77777777" w:rsidTr="00E03694">
        <w:trPr>
          <w:trHeight w:val="23"/>
        </w:trPr>
        <w:tc>
          <w:tcPr>
            <w:tcW w:w="1971" w:type="pct"/>
            <w:tcBorders>
              <w:top w:val="single" w:sz="4" w:space="0" w:color="000000"/>
            </w:tcBorders>
            <w:shd w:val="clear" w:color="auto" w:fill="auto"/>
            <w:vAlign w:val="bottom"/>
          </w:tcPr>
          <w:p w14:paraId="0245012C"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2C4AB546"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4919126D"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61E4C1D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1FECC0E1"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58B02990"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3C4855AA" w14:textId="77777777" w:rsidTr="00E03694">
        <w:trPr>
          <w:trHeight w:val="23"/>
        </w:trPr>
        <w:tc>
          <w:tcPr>
            <w:tcW w:w="1971" w:type="pct"/>
            <w:shd w:val="clear" w:color="auto" w:fill="auto"/>
            <w:vAlign w:val="bottom"/>
          </w:tcPr>
          <w:p w14:paraId="5F09FC76"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Gross carrying amount</w:t>
            </w:r>
          </w:p>
        </w:tc>
        <w:tc>
          <w:tcPr>
            <w:tcW w:w="606" w:type="pct"/>
            <w:vAlign w:val="bottom"/>
          </w:tcPr>
          <w:p w14:paraId="1D27274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021B155B"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40F04DF"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2F3ABD6D"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7B81C3FA"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8461435" w14:textId="77777777" w:rsidTr="00E03694">
        <w:trPr>
          <w:trHeight w:val="23"/>
        </w:trPr>
        <w:tc>
          <w:tcPr>
            <w:tcW w:w="1971" w:type="pct"/>
            <w:tcBorders>
              <w:bottom w:val="single" w:sz="4" w:space="0" w:color="000000"/>
            </w:tcBorders>
            <w:shd w:val="clear" w:color="auto" w:fill="auto"/>
            <w:vAlign w:val="bottom"/>
          </w:tcPr>
          <w:p w14:paraId="3E0B40BC"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4" w:space="0" w:color="000000"/>
            </w:tcBorders>
            <w:vAlign w:val="bottom"/>
          </w:tcPr>
          <w:p w14:paraId="50BF4E4D"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vAlign w:val="bottom"/>
          </w:tcPr>
          <w:p w14:paraId="562BD04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69E28B6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4" w:space="0" w:color="000000"/>
            </w:tcBorders>
            <w:shd w:val="clear" w:color="auto" w:fill="auto"/>
            <w:vAlign w:val="bottom"/>
          </w:tcPr>
          <w:p w14:paraId="330C1863"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4" w:space="0" w:color="000000"/>
            </w:tcBorders>
            <w:shd w:val="clear" w:color="auto" w:fill="auto"/>
            <w:vAlign w:val="bottom"/>
          </w:tcPr>
          <w:p w14:paraId="7210597D"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20BB6CBB" w14:textId="77777777" w:rsidTr="00E03694">
        <w:trPr>
          <w:trHeight w:val="23"/>
        </w:trPr>
        <w:tc>
          <w:tcPr>
            <w:tcW w:w="1971" w:type="pct"/>
            <w:tcBorders>
              <w:top w:val="single" w:sz="4" w:space="0" w:color="000000"/>
            </w:tcBorders>
            <w:shd w:val="clear" w:color="auto" w:fill="auto"/>
            <w:vAlign w:val="bottom"/>
          </w:tcPr>
          <w:p w14:paraId="33822293"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22753BD8"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06858A2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4C1225AE"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6F3C556E"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78A65944"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7A268B6D" w14:textId="77777777" w:rsidTr="00E03694">
        <w:trPr>
          <w:trHeight w:val="23"/>
        </w:trPr>
        <w:tc>
          <w:tcPr>
            <w:tcW w:w="1971" w:type="pct"/>
            <w:shd w:val="clear" w:color="auto" w:fill="auto"/>
            <w:vAlign w:val="bottom"/>
          </w:tcPr>
          <w:p w14:paraId="5147127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606" w:type="pct"/>
            <w:vAlign w:val="bottom"/>
          </w:tcPr>
          <w:p w14:paraId="2E9CDCA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52C93EE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0D7E9D5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4D665397"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69A1AAE9"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36A40E81" w14:textId="77777777" w:rsidTr="00E03694">
        <w:trPr>
          <w:trHeight w:val="23"/>
        </w:trPr>
        <w:tc>
          <w:tcPr>
            <w:tcW w:w="1971" w:type="pct"/>
            <w:shd w:val="clear" w:color="auto" w:fill="auto"/>
            <w:vAlign w:val="bottom"/>
          </w:tcPr>
          <w:p w14:paraId="33BFCC2F"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vAlign w:val="bottom"/>
          </w:tcPr>
          <w:p w14:paraId="6008FD04"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vAlign w:val="bottom"/>
          </w:tcPr>
          <w:p w14:paraId="53DF6967"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3CDB8449"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shd w:val="clear" w:color="auto" w:fill="auto"/>
            <w:vAlign w:val="bottom"/>
          </w:tcPr>
          <w:p w14:paraId="4C6EC5A0"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shd w:val="clear" w:color="auto" w:fill="auto"/>
            <w:vAlign w:val="bottom"/>
          </w:tcPr>
          <w:p w14:paraId="50A0748C"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46774195" w14:textId="77777777" w:rsidTr="00E03694">
        <w:trPr>
          <w:trHeight w:val="23"/>
        </w:trPr>
        <w:tc>
          <w:tcPr>
            <w:tcW w:w="1971" w:type="pct"/>
            <w:tcBorders>
              <w:top w:val="single" w:sz="4" w:space="0" w:color="000000"/>
            </w:tcBorders>
            <w:shd w:val="clear" w:color="auto" w:fill="auto"/>
            <w:vAlign w:val="bottom"/>
          </w:tcPr>
          <w:p w14:paraId="4ECD3711"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top w:val="single" w:sz="4" w:space="0" w:color="000000"/>
            </w:tcBorders>
            <w:vAlign w:val="bottom"/>
          </w:tcPr>
          <w:p w14:paraId="31C6569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vAlign w:val="bottom"/>
          </w:tcPr>
          <w:p w14:paraId="20F51A1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75F72E36"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top w:val="single" w:sz="4" w:space="0" w:color="000000"/>
            </w:tcBorders>
            <w:shd w:val="clear" w:color="auto" w:fill="auto"/>
            <w:vAlign w:val="bottom"/>
          </w:tcPr>
          <w:p w14:paraId="26B4B47F"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top w:val="single" w:sz="4" w:space="0" w:color="000000"/>
            </w:tcBorders>
            <w:shd w:val="clear" w:color="auto" w:fill="auto"/>
            <w:vAlign w:val="bottom"/>
          </w:tcPr>
          <w:p w14:paraId="7D7D2EBF" w14:textId="77777777" w:rsidR="00D83E33" w:rsidRPr="001B330E" w:rsidRDefault="00D83E33" w:rsidP="001B330E">
            <w:pPr>
              <w:widowControl w:val="0"/>
              <w:pBdr>
                <w:top w:val="nil"/>
                <w:left w:val="nil"/>
                <w:bottom w:val="nil"/>
                <w:right w:val="nil"/>
                <w:between w:val="nil"/>
              </w:pBdr>
              <w:jc w:val="right"/>
              <w:rPr>
                <w:color w:val="000000"/>
                <w:szCs w:val="12"/>
              </w:rPr>
            </w:pPr>
          </w:p>
        </w:tc>
      </w:tr>
      <w:tr w:rsidR="00D83E33" w:rsidRPr="00E837F2" w14:paraId="264A7153" w14:textId="77777777" w:rsidTr="00E03694">
        <w:trPr>
          <w:trHeight w:val="23"/>
        </w:trPr>
        <w:tc>
          <w:tcPr>
            <w:tcW w:w="1971" w:type="pct"/>
            <w:shd w:val="clear" w:color="auto" w:fill="auto"/>
            <w:vAlign w:val="bottom"/>
          </w:tcPr>
          <w:p w14:paraId="681BD60E"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Carrying amount</w:t>
            </w:r>
          </w:p>
        </w:tc>
        <w:tc>
          <w:tcPr>
            <w:tcW w:w="606" w:type="pct"/>
            <w:vAlign w:val="bottom"/>
          </w:tcPr>
          <w:p w14:paraId="0EEFCAA1"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vAlign w:val="bottom"/>
          </w:tcPr>
          <w:p w14:paraId="203D396A"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67D05074" w14:textId="77777777" w:rsidR="00D83E33" w:rsidRPr="00E837F2" w:rsidRDefault="00D83E33" w:rsidP="001B330E">
            <w:pPr>
              <w:widowControl w:val="0"/>
              <w:pBdr>
                <w:top w:val="nil"/>
                <w:left w:val="nil"/>
                <w:bottom w:val="nil"/>
                <w:right w:val="nil"/>
                <w:between w:val="nil"/>
              </w:pBdr>
              <w:jc w:val="right"/>
              <w:rPr>
                <w:color w:val="000000"/>
              </w:rPr>
            </w:pPr>
          </w:p>
        </w:tc>
        <w:tc>
          <w:tcPr>
            <w:tcW w:w="606" w:type="pct"/>
            <w:shd w:val="clear" w:color="auto" w:fill="auto"/>
            <w:vAlign w:val="bottom"/>
          </w:tcPr>
          <w:p w14:paraId="3DAB4DC7" w14:textId="77777777" w:rsidR="00D83E33" w:rsidRPr="00E837F2" w:rsidRDefault="00D83E33" w:rsidP="001B330E">
            <w:pPr>
              <w:widowControl w:val="0"/>
              <w:pBdr>
                <w:top w:val="nil"/>
                <w:left w:val="nil"/>
                <w:bottom w:val="nil"/>
                <w:right w:val="nil"/>
                <w:between w:val="nil"/>
              </w:pBdr>
              <w:jc w:val="right"/>
              <w:rPr>
                <w:color w:val="000000"/>
              </w:rPr>
            </w:pPr>
          </w:p>
        </w:tc>
        <w:tc>
          <w:tcPr>
            <w:tcW w:w="605" w:type="pct"/>
            <w:shd w:val="clear" w:color="auto" w:fill="auto"/>
            <w:vAlign w:val="bottom"/>
          </w:tcPr>
          <w:p w14:paraId="6FD3AAC0" w14:textId="77777777" w:rsidR="00D83E33" w:rsidRPr="00E837F2" w:rsidRDefault="00D83E33" w:rsidP="001B330E">
            <w:pPr>
              <w:widowControl w:val="0"/>
              <w:pBdr>
                <w:top w:val="nil"/>
                <w:left w:val="nil"/>
                <w:bottom w:val="nil"/>
                <w:right w:val="nil"/>
                <w:between w:val="nil"/>
              </w:pBdr>
              <w:jc w:val="right"/>
              <w:rPr>
                <w:color w:val="000000"/>
              </w:rPr>
            </w:pPr>
          </w:p>
        </w:tc>
      </w:tr>
      <w:tr w:rsidR="00D83E33" w:rsidRPr="00E837F2" w14:paraId="7A9861CC" w14:textId="77777777" w:rsidTr="00E03694">
        <w:trPr>
          <w:trHeight w:val="23"/>
        </w:trPr>
        <w:tc>
          <w:tcPr>
            <w:tcW w:w="1971" w:type="pct"/>
            <w:tcBorders>
              <w:bottom w:val="single" w:sz="12" w:space="0" w:color="000000"/>
            </w:tcBorders>
            <w:shd w:val="clear" w:color="auto" w:fill="auto"/>
            <w:vAlign w:val="bottom"/>
          </w:tcPr>
          <w:p w14:paraId="10EA5472" w14:textId="77777777" w:rsidR="00D83E33" w:rsidRPr="001B330E" w:rsidRDefault="00D83E33" w:rsidP="001B330E">
            <w:pPr>
              <w:widowControl w:val="0"/>
              <w:pBdr>
                <w:top w:val="nil"/>
                <w:left w:val="nil"/>
                <w:bottom w:val="nil"/>
                <w:right w:val="nil"/>
                <w:between w:val="nil"/>
              </w:pBdr>
              <w:ind w:left="113" w:hanging="113"/>
              <w:rPr>
                <w:color w:val="000000"/>
                <w:szCs w:val="12"/>
              </w:rPr>
            </w:pPr>
          </w:p>
        </w:tc>
        <w:tc>
          <w:tcPr>
            <w:tcW w:w="606" w:type="pct"/>
            <w:tcBorders>
              <w:bottom w:val="single" w:sz="12" w:space="0" w:color="000000"/>
            </w:tcBorders>
            <w:vAlign w:val="bottom"/>
          </w:tcPr>
          <w:p w14:paraId="08B66459"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vAlign w:val="bottom"/>
          </w:tcPr>
          <w:p w14:paraId="58345005"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69EEB7AA"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6" w:type="pct"/>
            <w:tcBorders>
              <w:bottom w:val="single" w:sz="12" w:space="0" w:color="000000"/>
            </w:tcBorders>
            <w:shd w:val="clear" w:color="auto" w:fill="auto"/>
            <w:vAlign w:val="bottom"/>
          </w:tcPr>
          <w:p w14:paraId="0608EB86" w14:textId="77777777" w:rsidR="00D83E33" w:rsidRPr="001B330E" w:rsidRDefault="00D83E33" w:rsidP="001B330E">
            <w:pPr>
              <w:widowControl w:val="0"/>
              <w:pBdr>
                <w:top w:val="nil"/>
                <w:left w:val="nil"/>
                <w:bottom w:val="nil"/>
                <w:right w:val="nil"/>
                <w:between w:val="nil"/>
              </w:pBdr>
              <w:jc w:val="right"/>
              <w:rPr>
                <w:color w:val="000000"/>
                <w:szCs w:val="12"/>
              </w:rPr>
            </w:pPr>
          </w:p>
        </w:tc>
        <w:tc>
          <w:tcPr>
            <w:tcW w:w="605" w:type="pct"/>
            <w:tcBorders>
              <w:bottom w:val="single" w:sz="12" w:space="0" w:color="000000"/>
            </w:tcBorders>
            <w:shd w:val="clear" w:color="auto" w:fill="auto"/>
            <w:vAlign w:val="bottom"/>
          </w:tcPr>
          <w:p w14:paraId="1F402356" w14:textId="77777777" w:rsidR="00D83E33" w:rsidRPr="001B330E" w:rsidRDefault="00D83E33" w:rsidP="001B330E">
            <w:pPr>
              <w:widowControl w:val="0"/>
              <w:pBdr>
                <w:top w:val="nil"/>
                <w:left w:val="nil"/>
                <w:bottom w:val="nil"/>
                <w:right w:val="nil"/>
                <w:between w:val="nil"/>
              </w:pBdr>
              <w:jc w:val="right"/>
              <w:rPr>
                <w:color w:val="000000"/>
                <w:szCs w:val="12"/>
              </w:rPr>
            </w:pPr>
          </w:p>
        </w:tc>
      </w:tr>
    </w:tbl>
    <w:p w14:paraId="6D77A730" w14:textId="77777777" w:rsidR="006C5889" w:rsidRDefault="006C5889" w:rsidP="001B330E">
      <w:pPr>
        <w:widowControl w:val="0"/>
        <w:pBdr>
          <w:top w:val="nil"/>
          <w:left w:val="nil"/>
          <w:bottom w:val="nil"/>
          <w:right w:val="nil"/>
          <w:between w:val="nil"/>
        </w:pBdr>
        <w:ind w:left="567" w:hanging="567"/>
        <w:jc w:val="both"/>
        <w:rPr>
          <w:b/>
          <w:color w:val="000000"/>
          <w:sz w:val="20"/>
          <w:szCs w:val="20"/>
        </w:rPr>
      </w:pPr>
    </w:p>
    <w:p w14:paraId="0EC94532" w14:textId="48EC7274" w:rsidR="00D83E33" w:rsidRDefault="00D83E33" w:rsidP="001B330E">
      <w:pPr>
        <w:widowControl w:val="0"/>
        <w:pBdr>
          <w:top w:val="nil"/>
          <w:left w:val="nil"/>
          <w:bottom w:val="nil"/>
          <w:right w:val="nil"/>
          <w:between w:val="nil"/>
        </w:pBdr>
        <w:spacing w:after="200"/>
        <w:jc w:val="both"/>
        <w:rPr>
          <w:i/>
          <w:color w:val="FF0000"/>
          <w:sz w:val="20"/>
          <w:szCs w:val="20"/>
        </w:rPr>
      </w:pPr>
    </w:p>
    <w:p w14:paraId="5A703646" w14:textId="4D36AAF6" w:rsidR="00D83E33" w:rsidRDefault="00BC4072">
      <w:pPr>
        <w:widowControl w:val="0"/>
        <w:spacing w:before="200" w:after="200"/>
        <w:jc w:val="both"/>
        <w:rPr>
          <w:i/>
          <w:color w:val="0000FF"/>
          <w:sz w:val="20"/>
          <w:szCs w:val="20"/>
        </w:rPr>
      </w:pPr>
      <w:r>
        <w:rPr>
          <w:sz w:val="20"/>
          <w:szCs w:val="20"/>
        </w:rPr>
        <w:t xml:space="preserve">The credit loss allowance for trade receivables is determined according to provision matrix presented in the table below. The provision matrix is based the number of days that an asset is past due, adjusted for </w:t>
      </w:r>
      <w:r>
        <w:rPr>
          <w:i/>
          <w:color w:val="0000FF"/>
          <w:sz w:val="20"/>
          <w:szCs w:val="20"/>
        </w:rPr>
        <w:t xml:space="preserve">[describe forward looking information – the impact of the forward-looking information is likely to be more significant due to </w:t>
      </w:r>
      <w:r w:rsidR="0044795B">
        <w:rPr>
          <w:i/>
          <w:color w:val="0000FF"/>
          <w:sz w:val="20"/>
          <w:szCs w:val="20"/>
        </w:rPr>
        <w:t>current macro-economic slowdown situation</w:t>
      </w:r>
      <w:r w:rsidR="00846D41">
        <w:rPr>
          <w:i/>
          <w:color w:val="0000FF"/>
          <w:sz w:val="20"/>
          <w:szCs w:val="20"/>
        </w:rPr>
        <w:t xml:space="preserve"> </w:t>
      </w:r>
      <w:r w:rsidR="0044795B">
        <w:rPr>
          <w:i/>
          <w:color w:val="0000FF"/>
          <w:sz w:val="20"/>
          <w:szCs w:val="20"/>
        </w:rPr>
        <w:t xml:space="preserve">and/or </w:t>
      </w:r>
      <w:r w:rsidR="00846D41">
        <w:rPr>
          <w:i/>
          <w:color w:val="0000FF"/>
          <w:sz w:val="20"/>
          <w:szCs w:val="20"/>
        </w:rPr>
        <w:t>the war in Ukraine</w:t>
      </w:r>
      <w:r>
        <w:rPr>
          <w:i/>
          <w:color w:val="0000FF"/>
          <w:sz w:val="20"/>
          <w:szCs w:val="20"/>
        </w:rPr>
        <w:t>].</w:t>
      </w:r>
    </w:p>
    <w:tbl>
      <w:tblPr>
        <w:tblStyle w:val="afffffffff2"/>
        <w:tblW w:w="5000" w:type="pct"/>
        <w:tblLayout w:type="fixed"/>
        <w:tblLook w:val="0000" w:firstRow="0" w:lastRow="0" w:firstColumn="0" w:lastColumn="0" w:noHBand="0" w:noVBand="0"/>
      </w:tblPr>
      <w:tblGrid>
        <w:gridCol w:w="3119"/>
        <w:gridCol w:w="1038"/>
        <w:gridCol w:w="1188"/>
        <w:gridCol w:w="1040"/>
        <w:gridCol w:w="891"/>
        <w:gridCol w:w="1188"/>
        <w:gridCol w:w="891"/>
      </w:tblGrid>
      <w:tr w:rsidR="00D83E33" w:rsidRPr="00E837F2" w14:paraId="619FE2B4" w14:textId="77777777" w:rsidTr="001B330E">
        <w:trPr>
          <w:trHeight w:val="23"/>
        </w:trPr>
        <w:tc>
          <w:tcPr>
            <w:tcW w:w="1667" w:type="pct"/>
            <w:tcBorders>
              <w:bottom w:val="single" w:sz="4" w:space="0" w:color="000000"/>
            </w:tcBorders>
            <w:vAlign w:val="bottom"/>
          </w:tcPr>
          <w:p w14:paraId="1DDF1497" w14:textId="77777777" w:rsidR="00D83E33" w:rsidRPr="00E837F2" w:rsidRDefault="00D83E33" w:rsidP="001B330E">
            <w:pPr>
              <w:widowControl w:val="0"/>
              <w:pBdr>
                <w:top w:val="nil"/>
                <w:left w:val="nil"/>
                <w:bottom w:val="nil"/>
                <w:right w:val="nil"/>
                <w:between w:val="nil"/>
              </w:pBdr>
              <w:ind w:left="113" w:hanging="113"/>
              <w:rPr>
                <w:i/>
                <w:color w:val="000000"/>
              </w:rPr>
            </w:pPr>
          </w:p>
        </w:tc>
        <w:tc>
          <w:tcPr>
            <w:tcW w:w="1746" w:type="pct"/>
            <w:gridSpan w:val="3"/>
            <w:tcBorders>
              <w:bottom w:val="single" w:sz="4" w:space="0" w:color="000000"/>
            </w:tcBorders>
          </w:tcPr>
          <w:p w14:paraId="1225B3AF" w14:textId="5E8FB474"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31</w:t>
            </w:r>
            <w:r w:rsidR="00181687">
              <w:rPr>
                <w:b/>
                <w:color w:val="000000"/>
              </w:rPr>
              <w:t> December </w:t>
            </w:r>
            <w:r w:rsidR="00541EBC">
              <w:rPr>
                <w:b/>
                <w:color w:val="000000"/>
              </w:rPr>
              <w:t>2024</w:t>
            </w:r>
          </w:p>
        </w:tc>
        <w:tc>
          <w:tcPr>
            <w:tcW w:w="1587" w:type="pct"/>
            <w:gridSpan w:val="3"/>
            <w:tcBorders>
              <w:bottom w:val="single" w:sz="4" w:space="0" w:color="000000"/>
            </w:tcBorders>
          </w:tcPr>
          <w:p w14:paraId="4B6AF759" w14:textId="4A0A9FFB" w:rsidR="00D83E33" w:rsidRPr="00E837F2" w:rsidRDefault="00BC4072" w:rsidP="001B330E">
            <w:pPr>
              <w:widowControl w:val="0"/>
              <w:pBdr>
                <w:top w:val="nil"/>
                <w:left w:val="nil"/>
                <w:bottom w:val="nil"/>
                <w:right w:val="nil"/>
                <w:between w:val="nil"/>
              </w:pBdr>
              <w:jc w:val="center"/>
              <w:rPr>
                <w:b/>
                <w:color w:val="000000"/>
              </w:rPr>
            </w:pPr>
            <w:r w:rsidRPr="00E837F2">
              <w:rPr>
                <w:b/>
                <w:color w:val="000000"/>
              </w:rPr>
              <w:t>31</w:t>
            </w:r>
            <w:r w:rsidR="00181687">
              <w:rPr>
                <w:b/>
                <w:color w:val="000000"/>
              </w:rPr>
              <w:t> December </w:t>
            </w:r>
            <w:r w:rsidR="00541EBC">
              <w:rPr>
                <w:b/>
                <w:color w:val="000000"/>
              </w:rPr>
              <w:t>2023</w:t>
            </w:r>
          </w:p>
        </w:tc>
      </w:tr>
      <w:tr w:rsidR="00D83E33" w:rsidRPr="00E837F2" w14:paraId="5D3EDBE6" w14:textId="77777777" w:rsidTr="001B330E">
        <w:trPr>
          <w:trHeight w:val="23"/>
        </w:trPr>
        <w:tc>
          <w:tcPr>
            <w:tcW w:w="1667" w:type="pct"/>
            <w:tcBorders>
              <w:bottom w:val="single" w:sz="4" w:space="0" w:color="000000"/>
            </w:tcBorders>
            <w:vAlign w:val="bottom"/>
          </w:tcPr>
          <w:p w14:paraId="4DC8F745"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i/>
                <w:color w:val="000000"/>
              </w:rPr>
              <w:t>In % of gross value</w:t>
            </w:r>
          </w:p>
        </w:tc>
        <w:tc>
          <w:tcPr>
            <w:tcW w:w="555" w:type="pct"/>
            <w:tcBorders>
              <w:bottom w:val="single" w:sz="4" w:space="0" w:color="000000"/>
            </w:tcBorders>
          </w:tcPr>
          <w:p w14:paraId="31C2F0C7"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Loss </w:t>
            </w:r>
          </w:p>
          <w:p w14:paraId="1E9BCC8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rate</w:t>
            </w:r>
          </w:p>
        </w:tc>
        <w:tc>
          <w:tcPr>
            <w:tcW w:w="635" w:type="pct"/>
            <w:tcBorders>
              <w:bottom w:val="single" w:sz="4" w:space="0" w:color="000000"/>
            </w:tcBorders>
          </w:tcPr>
          <w:p w14:paraId="5A02F0EC"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Gross</w:t>
            </w:r>
          </w:p>
          <w:p w14:paraId="3DE1745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carrying </w:t>
            </w:r>
          </w:p>
          <w:p w14:paraId="0D37EE1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amount</w:t>
            </w:r>
          </w:p>
        </w:tc>
        <w:tc>
          <w:tcPr>
            <w:tcW w:w="556" w:type="pct"/>
            <w:tcBorders>
              <w:bottom w:val="single" w:sz="4" w:space="0" w:color="000000"/>
            </w:tcBorders>
          </w:tcPr>
          <w:p w14:paraId="35B5B7B5"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w:t>
            </w:r>
          </w:p>
          <w:p w14:paraId="17555BF2"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ECL </w:t>
            </w:r>
          </w:p>
        </w:tc>
        <w:tc>
          <w:tcPr>
            <w:tcW w:w="476" w:type="pct"/>
            <w:tcBorders>
              <w:bottom w:val="single" w:sz="4" w:space="0" w:color="000000"/>
            </w:tcBorders>
          </w:tcPr>
          <w:p w14:paraId="40B5077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Loss </w:t>
            </w:r>
          </w:p>
          <w:p w14:paraId="7BEB3A3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rate</w:t>
            </w:r>
          </w:p>
        </w:tc>
        <w:tc>
          <w:tcPr>
            <w:tcW w:w="635" w:type="pct"/>
            <w:tcBorders>
              <w:bottom w:val="single" w:sz="4" w:space="0" w:color="000000"/>
            </w:tcBorders>
          </w:tcPr>
          <w:p w14:paraId="0A242FDD"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Gross</w:t>
            </w:r>
          </w:p>
          <w:p w14:paraId="294CDE7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carrying </w:t>
            </w:r>
          </w:p>
          <w:p w14:paraId="04FF696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amount</w:t>
            </w:r>
          </w:p>
        </w:tc>
        <w:tc>
          <w:tcPr>
            <w:tcW w:w="476" w:type="pct"/>
            <w:tcBorders>
              <w:bottom w:val="single" w:sz="4" w:space="0" w:color="000000"/>
            </w:tcBorders>
          </w:tcPr>
          <w:p w14:paraId="557A622A"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Lifetime </w:t>
            </w:r>
          </w:p>
          <w:p w14:paraId="5314BA6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 xml:space="preserve">ECL </w:t>
            </w:r>
          </w:p>
        </w:tc>
      </w:tr>
      <w:tr w:rsidR="00D83E33" w:rsidRPr="00E837F2" w14:paraId="4904E406" w14:textId="77777777" w:rsidTr="001B330E">
        <w:trPr>
          <w:trHeight w:val="23"/>
        </w:trPr>
        <w:tc>
          <w:tcPr>
            <w:tcW w:w="1667" w:type="pct"/>
            <w:tcBorders>
              <w:top w:val="single" w:sz="4" w:space="0" w:color="000000"/>
            </w:tcBorders>
            <w:vAlign w:val="bottom"/>
          </w:tcPr>
          <w:p w14:paraId="4F86FD6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w:t>
            </w:r>
          </w:p>
        </w:tc>
        <w:tc>
          <w:tcPr>
            <w:tcW w:w="555" w:type="pct"/>
            <w:tcBorders>
              <w:top w:val="single" w:sz="4" w:space="0" w:color="000000"/>
            </w:tcBorders>
            <w:vAlign w:val="bottom"/>
          </w:tcPr>
          <w:p w14:paraId="08B3C251" w14:textId="77777777" w:rsidR="00D83E33" w:rsidRPr="00E837F2" w:rsidRDefault="00D83E33">
            <w:pPr>
              <w:widowControl w:val="0"/>
              <w:pBdr>
                <w:top w:val="nil"/>
                <w:left w:val="nil"/>
                <w:bottom w:val="nil"/>
                <w:right w:val="nil"/>
                <w:between w:val="nil"/>
              </w:pBdr>
              <w:jc w:val="center"/>
              <w:rPr>
                <w:color w:val="000000"/>
              </w:rPr>
            </w:pPr>
          </w:p>
        </w:tc>
        <w:tc>
          <w:tcPr>
            <w:tcW w:w="635" w:type="pct"/>
            <w:tcBorders>
              <w:top w:val="single" w:sz="4" w:space="0" w:color="000000"/>
            </w:tcBorders>
            <w:vAlign w:val="bottom"/>
          </w:tcPr>
          <w:p w14:paraId="733260DC" w14:textId="77777777" w:rsidR="00D83E33" w:rsidRPr="00E837F2" w:rsidRDefault="00D83E33">
            <w:pPr>
              <w:widowControl w:val="0"/>
              <w:pBdr>
                <w:top w:val="nil"/>
                <w:left w:val="nil"/>
                <w:bottom w:val="nil"/>
                <w:right w:val="nil"/>
                <w:between w:val="nil"/>
              </w:pBdr>
              <w:jc w:val="center"/>
              <w:rPr>
                <w:color w:val="000000"/>
              </w:rPr>
            </w:pPr>
          </w:p>
        </w:tc>
        <w:tc>
          <w:tcPr>
            <w:tcW w:w="556" w:type="pct"/>
            <w:vAlign w:val="bottom"/>
          </w:tcPr>
          <w:p w14:paraId="6EBAC40A" w14:textId="77777777" w:rsidR="00D83E33" w:rsidRPr="00E837F2" w:rsidRDefault="00D83E33">
            <w:pPr>
              <w:widowControl w:val="0"/>
              <w:pBdr>
                <w:top w:val="nil"/>
                <w:left w:val="nil"/>
                <w:bottom w:val="nil"/>
                <w:right w:val="nil"/>
                <w:between w:val="nil"/>
              </w:pBdr>
              <w:jc w:val="right"/>
              <w:rPr>
                <w:color w:val="000000"/>
              </w:rPr>
            </w:pPr>
          </w:p>
        </w:tc>
        <w:tc>
          <w:tcPr>
            <w:tcW w:w="476" w:type="pct"/>
          </w:tcPr>
          <w:p w14:paraId="0DFFB809" w14:textId="77777777" w:rsidR="00D83E33" w:rsidRPr="00E837F2" w:rsidRDefault="00D83E33">
            <w:pPr>
              <w:widowControl w:val="0"/>
              <w:pBdr>
                <w:top w:val="nil"/>
                <w:left w:val="nil"/>
                <w:bottom w:val="nil"/>
                <w:right w:val="nil"/>
                <w:between w:val="nil"/>
              </w:pBdr>
              <w:jc w:val="right"/>
              <w:rPr>
                <w:color w:val="000000"/>
              </w:rPr>
            </w:pPr>
          </w:p>
        </w:tc>
        <w:tc>
          <w:tcPr>
            <w:tcW w:w="635" w:type="pct"/>
          </w:tcPr>
          <w:p w14:paraId="2643E340" w14:textId="77777777" w:rsidR="00D83E33" w:rsidRPr="00E837F2" w:rsidRDefault="00D83E33">
            <w:pPr>
              <w:widowControl w:val="0"/>
              <w:pBdr>
                <w:top w:val="nil"/>
                <w:left w:val="nil"/>
                <w:bottom w:val="nil"/>
                <w:right w:val="nil"/>
                <w:between w:val="nil"/>
              </w:pBdr>
              <w:jc w:val="right"/>
              <w:rPr>
                <w:color w:val="000000"/>
              </w:rPr>
            </w:pPr>
          </w:p>
        </w:tc>
        <w:tc>
          <w:tcPr>
            <w:tcW w:w="476" w:type="pct"/>
          </w:tcPr>
          <w:p w14:paraId="1571C7A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264ED2F" w14:textId="77777777" w:rsidTr="001B330E">
        <w:trPr>
          <w:trHeight w:val="23"/>
        </w:trPr>
        <w:tc>
          <w:tcPr>
            <w:tcW w:w="1667" w:type="pct"/>
            <w:vAlign w:val="bottom"/>
          </w:tcPr>
          <w:p w14:paraId="5BACA746"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Trade receivables</w:t>
            </w:r>
          </w:p>
          <w:p w14:paraId="099A1441"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color w:val="0000FF"/>
              </w:rPr>
              <w:t>- current</w:t>
            </w:r>
          </w:p>
        </w:tc>
        <w:tc>
          <w:tcPr>
            <w:tcW w:w="555" w:type="pct"/>
            <w:vAlign w:val="bottom"/>
          </w:tcPr>
          <w:p w14:paraId="7707C3B2"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vAlign w:val="bottom"/>
          </w:tcPr>
          <w:p w14:paraId="7FEB8BCE" w14:textId="77777777" w:rsidR="00D83E33" w:rsidRPr="00E837F2" w:rsidRDefault="00D83E33">
            <w:pPr>
              <w:widowControl w:val="0"/>
              <w:pBdr>
                <w:top w:val="nil"/>
                <w:left w:val="nil"/>
                <w:bottom w:val="nil"/>
                <w:right w:val="nil"/>
                <w:between w:val="nil"/>
              </w:pBdr>
              <w:jc w:val="right"/>
              <w:rPr>
                <w:i/>
                <w:color w:val="0000FF"/>
              </w:rPr>
            </w:pPr>
          </w:p>
        </w:tc>
        <w:tc>
          <w:tcPr>
            <w:tcW w:w="556" w:type="pct"/>
            <w:vAlign w:val="bottom"/>
          </w:tcPr>
          <w:p w14:paraId="0A5F5FB1" w14:textId="77777777" w:rsidR="00D83E33" w:rsidRPr="00E837F2" w:rsidRDefault="00D83E33">
            <w:pPr>
              <w:widowControl w:val="0"/>
              <w:pBdr>
                <w:top w:val="nil"/>
                <w:left w:val="nil"/>
                <w:bottom w:val="nil"/>
                <w:right w:val="nil"/>
                <w:between w:val="nil"/>
              </w:pBdr>
              <w:jc w:val="right"/>
              <w:rPr>
                <w:i/>
                <w:color w:val="0000FF"/>
              </w:rPr>
            </w:pPr>
          </w:p>
        </w:tc>
        <w:tc>
          <w:tcPr>
            <w:tcW w:w="476" w:type="pct"/>
            <w:vAlign w:val="bottom"/>
          </w:tcPr>
          <w:p w14:paraId="07E6B48A"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tcPr>
          <w:p w14:paraId="38A8BE31"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3C953026"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7D340036" w14:textId="77777777" w:rsidTr="001B330E">
        <w:trPr>
          <w:trHeight w:val="23"/>
        </w:trPr>
        <w:tc>
          <w:tcPr>
            <w:tcW w:w="1667" w:type="pct"/>
            <w:vAlign w:val="bottom"/>
          </w:tcPr>
          <w:p w14:paraId="34EBF393"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FF"/>
              </w:rPr>
              <w:t>- less than 30 days overdue</w:t>
            </w:r>
          </w:p>
        </w:tc>
        <w:tc>
          <w:tcPr>
            <w:tcW w:w="555" w:type="pct"/>
            <w:vAlign w:val="bottom"/>
          </w:tcPr>
          <w:p w14:paraId="5AEC1D86"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vAlign w:val="bottom"/>
          </w:tcPr>
          <w:p w14:paraId="2F3596B1" w14:textId="77777777" w:rsidR="00D83E33" w:rsidRPr="00E837F2" w:rsidRDefault="00D83E33">
            <w:pPr>
              <w:widowControl w:val="0"/>
              <w:pBdr>
                <w:top w:val="nil"/>
                <w:left w:val="nil"/>
                <w:bottom w:val="nil"/>
                <w:right w:val="nil"/>
                <w:between w:val="nil"/>
              </w:pBdr>
              <w:jc w:val="right"/>
              <w:rPr>
                <w:i/>
                <w:color w:val="0000FF"/>
              </w:rPr>
            </w:pPr>
          </w:p>
        </w:tc>
        <w:tc>
          <w:tcPr>
            <w:tcW w:w="556" w:type="pct"/>
            <w:vAlign w:val="bottom"/>
          </w:tcPr>
          <w:p w14:paraId="35E2C531" w14:textId="77777777" w:rsidR="00D83E33" w:rsidRPr="00E837F2" w:rsidRDefault="00D83E33">
            <w:pPr>
              <w:widowControl w:val="0"/>
              <w:pBdr>
                <w:top w:val="nil"/>
                <w:left w:val="nil"/>
                <w:bottom w:val="nil"/>
                <w:right w:val="nil"/>
                <w:between w:val="nil"/>
              </w:pBdr>
              <w:jc w:val="right"/>
              <w:rPr>
                <w:i/>
                <w:color w:val="0000FF"/>
              </w:rPr>
            </w:pPr>
          </w:p>
        </w:tc>
        <w:tc>
          <w:tcPr>
            <w:tcW w:w="476" w:type="pct"/>
            <w:vAlign w:val="bottom"/>
          </w:tcPr>
          <w:p w14:paraId="57B3A7D0"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tcPr>
          <w:p w14:paraId="2239CD8D"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1E8F5EC9"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164DB9E8" w14:textId="77777777" w:rsidTr="001B330E">
        <w:trPr>
          <w:trHeight w:val="23"/>
        </w:trPr>
        <w:tc>
          <w:tcPr>
            <w:tcW w:w="1667" w:type="pct"/>
            <w:vAlign w:val="bottom"/>
          </w:tcPr>
          <w:p w14:paraId="4EF9047D"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FF"/>
              </w:rPr>
              <w:t>- 30 to 90 days overdue</w:t>
            </w:r>
          </w:p>
        </w:tc>
        <w:tc>
          <w:tcPr>
            <w:tcW w:w="555" w:type="pct"/>
            <w:vAlign w:val="bottom"/>
          </w:tcPr>
          <w:p w14:paraId="422E0667"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vAlign w:val="bottom"/>
          </w:tcPr>
          <w:p w14:paraId="7AB872D5" w14:textId="77777777" w:rsidR="00D83E33" w:rsidRPr="00E837F2" w:rsidRDefault="00D83E33">
            <w:pPr>
              <w:widowControl w:val="0"/>
              <w:pBdr>
                <w:top w:val="nil"/>
                <w:left w:val="nil"/>
                <w:bottom w:val="nil"/>
                <w:right w:val="nil"/>
                <w:between w:val="nil"/>
              </w:pBdr>
              <w:jc w:val="right"/>
              <w:rPr>
                <w:i/>
                <w:color w:val="0000FF"/>
              </w:rPr>
            </w:pPr>
          </w:p>
        </w:tc>
        <w:tc>
          <w:tcPr>
            <w:tcW w:w="556" w:type="pct"/>
            <w:vAlign w:val="bottom"/>
          </w:tcPr>
          <w:p w14:paraId="111A5848" w14:textId="77777777" w:rsidR="00D83E33" w:rsidRPr="00E837F2" w:rsidRDefault="00D83E33">
            <w:pPr>
              <w:widowControl w:val="0"/>
              <w:pBdr>
                <w:top w:val="nil"/>
                <w:left w:val="nil"/>
                <w:bottom w:val="nil"/>
                <w:right w:val="nil"/>
                <w:between w:val="nil"/>
              </w:pBdr>
              <w:jc w:val="right"/>
              <w:rPr>
                <w:i/>
                <w:color w:val="0000FF"/>
              </w:rPr>
            </w:pPr>
          </w:p>
        </w:tc>
        <w:tc>
          <w:tcPr>
            <w:tcW w:w="476" w:type="pct"/>
            <w:vAlign w:val="bottom"/>
          </w:tcPr>
          <w:p w14:paraId="3AB98238"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tcPr>
          <w:p w14:paraId="79C583CB"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295E00B4"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72E07F61" w14:textId="77777777" w:rsidTr="001B330E">
        <w:trPr>
          <w:trHeight w:val="23"/>
        </w:trPr>
        <w:tc>
          <w:tcPr>
            <w:tcW w:w="1667" w:type="pct"/>
            <w:vAlign w:val="bottom"/>
          </w:tcPr>
          <w:p w14:paraId="3EE1BBD1"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FF"/>
              </w:rPr>
              <w:t>- 91 to 180 days overdue</w:t>
            </w:r>
          </w:p>
        </w:tc>
        <w:tc>
          <w:tcPr>
            <w:tcW w:w="555" w:type="pct"/>
            <w:vAlign w:val="bottom"/>
          </w:tcPr>
          <w:p w14:paraId="74EF2627"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vAlign w:val="bottom"/>
          </w:tcPr>
          <w:p w14:paraId="15978F38" w14:textId="77777777" w:rsidR="00D83E33" w:rsidRPr="00E837F2" w:rsidRDefault="00D83E33">
            <w:pPr>
              <w:widowControl w:val="0"/>
              <w:pBdr>
                <w:top w:val="nil"/>
                <w:left w:val="nil"/>
                <w:bottom w:val="nil"/>
                <w:right w:val="nil"/>
                <w:between w:val="nil"/>
              </w:pBdr>
              <w:jc w:val="right"/>
              <w:rPr>
                <w:i/>
                <w:color w:val="0000FF"/>
              </w:rPr>
            </w:pPr>
          </w:p>
        </w:tc>
        <w:tc>
          <w:tcPr>
            <w:tcW w:w="556" w:type="pct"/>
            <w:vAlign w:val="bottom"/>
          </w:tcPr>
          <w:p w14:paraId="725E244B" w14:textId="77777777" w:rsidR="00D83E33" w:rsidRPr="00E837F2" w:rsidRDefault="00D83E33">
            <w:pPr>
              <w:widowControl w:val="0"/>
              <w:pBdr>
                <w:top w:val="nil"/>
                <w:left w:val="nil"/>
                <w:bottom w:val="nil"/>
                <w:right w:val="nil"/>
                <w:between w:val="nil"/>
              </w:pBdr>
              <w:jc w:val="right"/>
              <w:rPr>
                <w:i/>
                <w:color w:val="0000FF"/>
              </w:rPr>
            </w:pPr>
          </w:p>
        </w:tc>
        <w:tc>
          <w:tcPr>
            <w:tcW w:w="476" w:type="pct"/>
            <w:vAlign w:val="bottom"/>
          </w:tcPr>
          <w:p w14:paraId="20A33FFE"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tcPr>
          <w:p w14:paraId="31DAB8BC"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2EEDC663"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5DBD610F" w14:textId="77777777" w:rsidTr="001B330E">
        <w:trPr>
          <w:trHeight w:val="23"/>
        </w:trPr>
        <w:tc>
          <w:tcPr>
            <w:tcW w:w="1667" w:type="pct"/>
            <w:vAlign w:val="bottom"/>
          </w:tcPr>
          <w:p w14:paraId="2983AE04"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FF"/>
              </w:rPr>
              <w:t>- 181 to 360 days overdue</w:t>
            </w:r>
          </w:p>
        </w:tc>
        <w:tc>
          <w:tcPr>
            <w:tcW w:w="555" w:type="pct"/>
            <w:vAlign w:val="bottom"/>
          </w:tcPr>
          <w:p w14:paraId="3BB79A02"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vAlign w:val="bottom"/>
          </w:tcPr>
          <w:p w14:paraId="0D9C0E4E" w14:textId="77777777" w:rsidR="00D83E33" w:rsidRPr="00E837F2" w:rsidRDefault="00D83E33">
            <w:pPr>
              <w:widowControl w:val="0"/>
              <w:pBdr>
                <w:top w:val="nil"/>
                <w:left w:val="nil"/>
                <w:bottom w:val="nil"/>
                <w:right w:val="nil"/>
                <w:between w:val="nil"/>
              </w:pBdr>
              <w:jc w:val="right"/>
              <w:rPr>
                <w:i/>
                <w:color w:val="0000FF"/>
              </w:rPr>
            </w:pPr>
          </w:p>
        </w:tc>
        <w:tc>
          <w:tcPr>
            <w:tcW w:w="556" w:type="pct"/>
            <w:vAlign w:val="bottom"/>
          </w:tcPr>
          <w:p w14:paraId="36DD7611" w14:textId="77777777" w:rsidR="00D83E33" w:rsidRPr="00E837F2" w:rsidRDefault="00D83E33">
            <w:pPr>
              <w:widowControl w:val="0"/>
              <w:pBdr>
                <w:top w:val="nil"/>
                <w:left w:val="nil"/>
                <w:bottom w:val="nil"/>
                <w:right w:val="nil"/>
                <w:between w:val="nil"/>
              </w:pBdr>
              <w:jc w:val="right"/>
              <w:rPr>
                <w:i/>
                <w:color w:val="0000FF"/>
              </w:rPr>
            </w:pPr>
          </w:p>
        </w:tc>
        <w:tc>
          <w:tcPr>
            <w:tcW w:w="476" w:type="pct"/>
            <w:vAlign w:val="bottom"/>
          </w:tcPr>
          <w:p w14:paraId="690738B3"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tcPr>
          <w:p w14:paraId="551712A7"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71337286"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311B8151" w14:textId="77777777" w:rsidTr="001B330E">
        <w:trPr>
          <w:trHeight w:val="23"/>
        </w:trPr>
        <w:tc>
          <w:tcPr>
            <w:tcW w:w="1667" w:type="pct"/>
            <w:vAlign w:val="bottom"/>
          </w:tcPr>
          <w:p w14:paraId="45416952" w14:textId="77777777" w:rsidR="00D83E33" w:rsidRPr="00E837F2" w:rsidRDefault="00BC4072" w:rsidP="001B330E">
            <w:pPr>
              <w:widowControl w:val="0"/>
              <w:pBdr>
                <w:top w:val="nil"/>
                <w:left w:val="nil"/>
                <w:bottom w:val="nil"/>
                <w:right w:val="nil"/>
                <w:between w:val="nil"/>
              </w:pBdr>
              <w:ind w:left="113" w:hanging="113"/>
              <w:rPr>
                <w:color w:val="0000FF"/>
              </w:rPr>
            </w:pPr>
            <w:r w:rsidRPr="00E837F2">
              <w:rPr>
                <w:color w:val="0000FF"/>
              </w:rPr>
              <w:t>- over 360 days overdue</w:t>
            </w:r>
          </w:p>
        </w:tc>
        <w:tc>
          <w:tcPr>
            <w:tcW w:w="555" w:type="pct"/>
            <w:vAlign w:val="bottom"/>
          </w:tcPr>
          <w:p w14:paraId="797245B4"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vAlign w:val="bottom"/>
          </w:tcPr>
          <w:p w14:paraId="2FE8FF35" w14:textId="77777777" w:rsidR="00D83E33" w:rsidRPr="00E837F2" w:rsidRDefault="00D83E33">
            <w:pPr>
              <w:widowControl w:val="0"/>
              <w:pBdr>
                <w:top w:val="nil"/>
                <w:left w:val="nil"/>
                <w:bottom w:val="nil"/>
                <w:right w:val="nil"/>
                <w:between w:val="nil"/>
              </w:pBdr>
              <w:jc w:val="right"/>
              <w:rPr>
                <w:i/>
                <w:color w:val="0000FF"/>
              </w:rPr>
            </w:pPr>
          </w:p>
        </w:tc>
        <w:tc>
          <w:tcPr>
            <w:tcW w:w="556" w:type="pct"/>
            <w:vAlign w:val="bottom"/>
          </w:tcPr>
          <w:p w14:paraId="18934EA0" w14:textId="77777777" w:rsidR="00D83E33" w:rsidRPr="00E837F2" w:rsidRDefault="00D83E33">
            <w:pPr>
              <w:widowControl w:val="0"/>
              <w:pBdr>
                <w:top w:val="nil"/>
                <w:left w:val="nil"/>
                <w:bottom w:val="nil"/>
                <w:right w:val="nil"/>
                <w:between w:val="nil"/>
              </w:pBdr>
              <w:jc w:val="right"/>
              <w:rPr>
                <w:i/>
                <w:color w:val="0000FF"/>
              </w:rPr>
            </w:pPr>
          </w:p>
        </w:tc>
        <w:tc>
          <w:tcPr>
            <w:tcW w:w="476" w:type="pct"/>
            <w:vAlign w:val="bottom"/>
          </w:tcPr>
          <w:p w14:paraId="663C16B5" w14:textId="77777777" w:rsidR="00D83E33" w:rsidRPr="00E837F2" w:rsidRDefault="00BC4072">
            <w:pPr>
              <w:widowControl w:val="0"/>
              <w:pBdr>
                <w:top w:val="nil"/>
                <w:left w:val="nil"/>
                <w:bottom w:val="nil"/>
                <w:right w:val="nil"/>
                <w:between w:val="nil"/>
              </w:pBdr>
              <w:jc w:val="right"/>
              <w:rPr>
                <w:i/>
                <w:color w:val="0000FF"/>
              </w:rPr>
            </w:pPr>
            <w:r w:rsidRPr="00E837F2">
              <w:rPr>
                <w:i/>
                <w:color w:val="0000FF"/>
              </w:rPr>
              <w:t>[%]</w:t>
            </w:r>
          </w:p>
        </w:tc>
        <w:tc>
          <w:tcPr>
            <w:tcW w:w="635" w:type="pct"/>
          </w:tcPr>
          <w:p w14:paraId="2A3FFBA4"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73A58CE7"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24C2CF9F" w14:textId="77777777" w:rsidTr="001B330E">
        <w:trPr>
          <w:trHeight w:val="23"/>
        </w:trPr>
        <w:tc>
          <w:tcPr>
            <w:tcW w:w="1667" w:type="pct"/>
            <w:tcBorders>
              <w:bottom w:val="single" w:sz="4" w:space="0" w:color="000000"/>
            </w:tcBorders>
            <w:vAlign w:val="bottom"/>
          </w:tcPr>
          <w:p w14:paraId="073CBC99" w14:textId="77777777" w:rsidR="00D83E33" w:rsidRPr="00E837F2" w:rsidRDefault="00D83E33" w:rsidP="001B330E">
            <w:pPr>
              <w:widowControl w:val="0"/>
              <w:pBdr>
                <w:top w:val="nil"/>
                <w:left w:val="nil"/>
                <w:bottom w:val="nil"/>
                <w:right w:val="nil"/>
                <w:between w:val="nil"/>
              </w:pBdr>
              <w:ind w:left="113" w:hanging="113"/>
              <w:rPr>
                <w:color w:val="0000FF"/>
              </w:rPr>
            </w:pPr>
          </w:p>
        </w:tc>
        <w:tc>
          <w:tcPr>
            <w:tcW w:w="555" w:type="pct"/>
            <w:tcBorders>
              <w:bottom w:val="single" w:sz="4" w:space="0" w:color="000000"/>
            </w:tcBorders>
            <w:vAlign w:val="bottom"/>
          </w:tcPr>
          <w:p w14:paraId="401BE797"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bottom w:val="single" w:sz="4" w:space="0" w:color="000000"/>
            </w:tcBorders>
            <w:vAlign w:val="bottom"/>
          </w:tcPr>
          <w:p w14:paraId="09905391" w14:textId="77777777" w:rsidR="00D83E33" w:rsidRPr="00E837F2" w:rsidRDefault="00D83E33">
            <w:pPr>
              <w:widowControl w:val="0"/>
              <w:pBdr>
                <w:top w:val="nil"/>
                <w:left w:val="nil"/>
                <w:bottom w:val="nil"/>
                <w:right w:val="nil"/>
                <w:between w:val="nil"/>
              </w:pBdr>
              <w:jc w:val="right"/>
              <w:rPr>
                <w:i/>
                <w:color w:val="0000FF"/>
              </w:rPr>
            </w:pPr>
          </w:p>
        </w:tc>
        <w:tc>
          <w:tcPr>
            <w:tcW w:w="556" w:type="pct"/>
            <w:tcBorders>
              <w:bottom w:val="single" w:sz="4" w:space="0" w:color="000000"/>
            </w:tcBorders>
            <w:vAlign w:val="bottom"/>
          </w:tcPr>
          <w:p w14:paraId="00E28EA3"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bottom w:val="single" w:sz="4" w:space="0" w:color="000000"/>
            </w:tcBorders>
          </w:tcPr>
          <w:p w14:paraId="0E86B618"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bottom w:val="single" w:sz="4" w:space="0" w:color="000000"/>
            </w:tcBorders>
          </w:tcPr>
          <w:p w14:paraId="61047702"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bottom w:val="single" w:sz="4" w:space="0" w:color="000000"/>
            </w:tcBorders>
          </w:tcPr>
          <w:p w14:paraId="0356673A"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1FB65145" w14:textId="77777777" w:rsidTr="001B330E">
        <w:trPr>
          <w:trHeight w:val="23"/>
        </w:trPr>
        <w:tc>
          <w:tcPr>
            <w:tcW w:w="1667" w:type="pct"/>
            <w:tcBorders>
              <w:top w:val="single" w:sz="4" w:space="0" w:color="000000"/>
            </w:tcBorders>
            <w:vAlign w:val="bottom"/>
          </w:tcPr>
          <w:p w14:paraId="60A3DF6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55" w:type="pct"/>
            <w:tcBorders>
              <w:top w:val="single" w:sz="4" w:space="0" w:color="000000"/>
            </w:tcBorders>
            <w:vAlign w:val="bottom"/>
          </w:tcPr>
          <w:p w14:paraId="09BE47B1"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top w:val="single" w:sz="4" w:space="0" w:color="000000"/>
            </w:tcBorders>
            <w:vAlign w:val="bottom"/>
          </w:tcPr>
          <w:p w14:paraId="63D0F989" w14:textId="77777777" w:rsidR="00D83E33" w:rsidRPr="00E837F2" w:rsidRDefault="00D83E33">
            <w:pPr>
              <w:widowControl w:val="0"/>
              <w:pBdr>
                <w:top w:val="nil"/>
                <w:left w:val="nil"/>
                <w:bottom w:val="nil"/>
                <w:right w:val="nil"/>
                <w:between w:val="nil"/>
              </w:pBdr>
              <w:jc w:val="right"/>
              <w:rPr>
                <w:i/>
                <w:color w:val="0000FF"/>
              </w:rPr>
            </w:pPr>
          </w:p>
        </w:tc>
        <w:tc>
          <w:tcPr>
            <w:tcW w:w="556" w:type="pct"/>
            <w:tcBorders>
              <w:top w:val="single" w:sz="4" w:space="0" w:color="000000"/>
            </w:tcBorders>
            <w:vAlign w:val="bottom"/>
          </w:tcPr>
          <w:p w14:paraId="6301EB5D"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top w:val="single" w:sz="4" w:space="0" w:color="000000"/>
            </w:tcBorders>
          </w:tcPr>
          <w:p w14:paraId="5BAF2C85"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top w:val="single" w:sz="4" w:space="0" w:color="000000"/>
            </w:tcBorders>
          </w:tcPr>
          <w:p w14:paraId="6A4BCD12"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top w:val="single" w:sz="4" w:space="0" w:color="000000"/>
            </w:tcBorders>
          </w:tcPr>
          <w:p w14:paraId="790714CF"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298716FA" w14:textId="77777777" w:rsidTr="001B330E">
        <w:trPr>
          <w:trHeight w:val="23"/>
        </w:trPr>
        <w:tc>
          <w:tcPr>
            <w:tcW w:w="1667" w:type="pct"/>
            <w:vAlign w:val="bottom"/>
          </w:tcPr>
          <w:p w14:paraId="30589883"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trade receivables (gross carrying amount)</w:t>
            </w:r>
          </w:p>
        </w:tc>
        <w:tc>
          <w:tcPr>
            <w:tcW w:w="555" w:type="pct"/>
            <w:vAlign w:val="bottom"/>
          </w:tcPr>
          <w:p w14:paraId="51DFA844" w14:textId="77777777" w:rsidR="00D83E33" w:rsidRPr="00E837F2" w:rsidRDefault="00D83E33">
            <w:pPr>
              <w:widowControl w:val="0"/>
              <w:pBdr>
                <w:top w:val="nil"/>
                <w:left w:val="nil"/>
                <w:bottom w:val="nil"/>
                <w:right w:val="nil"/>
                <w:between w:val="nil"/>
              </w:pBdr>
              <w:jc w:val="right"/>
              <w:rPr>
                <w:i/>
                <w:color w:val="0000FF"/>
              </w:rPr>
            </w:pPr>
          </w:p>
        </w:tc>
        <w:tc>
          <w:tcPr>
            <w:tcW w:w="635" w:type="pct"/>
            <w:vAlign w:val="bottom"/>
          </w:tcPr>
          <w:p w14:paraId="0C4707E8" w14:textId="77777777" w:rsidR="00D83E33" w:rsidRPr="00E837F2" w:rsidRDefault="00D83E33">
            <w:pPr>
              <w:widowControl w:val="0"/>
              <w:pBdr>
                <w:top w:val="nil"/>
                <w:left w:val="nil"/>
                <w:bottom w:val="nil"/>
                <w:right w:val="nil"/>
                <w:between w:val="nil"/>
              </w:pBdr>
              <w:jc w:val="right"/>
              <w:rPr>
                <w:i/>
                <w:color w:val="0000FF"/>
              </w:rPr>
            </w:pPr>
          </w:p>
        </w:tc>
        <w:tc>
          <w:tcPr>
            <w:tcW w:w="556" w:type="pct"/>
            <w:vAlign w:val="bottom"/>
          </w:tcPr>
          <w:p w14:paraId="1C070289"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53F8FE89" w14:textId="77777777" w:rsidR="00D83E33" w:rsidRPr="00E837F2" w:rsidRDefault="00D83E33">
            <w:pPr>
              <w:widowControl w:val="0"/>
              <w:pBdr>
                <w:top w:val="nil"/>
                <w:left w:val="nil"/>
                <w:bottom w:val="nil"/>
                <w:right w:val="nil"/>
                <w:between w:val="nil"/>
              </w:pBdr>
              <w:jc w:val="right"/>
              <w:rPr>
                <w:i/>
                <w:color w:val="0000FF"/>
              </w:rPr>
            </w:pPr>
          </w:p>
        </w:tc>
        <w:tc>
          <w:tcPr>
            <w:tcW w:w="635" w:type="pct"/>
          </w:tcPr>
          <w:p w14:paraId="1249B386"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3078E8C8"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287C258A" w14:textId="77777777" w:rsidTr="001B330E">
        <w:trPr>
          <w:trHeight w:val="23"/>
        </w:trPr>
        <w:tc>
          <w:tcPr>
            <w:tcW w:w="1667" w:type="pct"/>
            <w:tcBorders>
              <w:bottom w:val="single" w:sz="4" w:space="0" w:color="000000"/>
            </w:tcBorders>
            <w:vAlign w:val="bottom"/>
          </w:tcPr>
          <w:p w14:paraId="3E8931E3"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55" w:type="pct"/>
            <w:tcBorders>
              <w:bottom w:val="single" w:sz="4" w:space="0" w:color="000000"/>
            </w:tcBorders>
            <w:vAlign w:val="bottom"/>
          </w:tcPr>
          <w:p w14:paraId="304BACBB"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bottom w:val="single" w:sz="4" w:space="0" w:color="000000"/>
            </w:tcBorders>
            <w:vAlign w:val="bottom"/>
          </w:tcPr>
          <w:p w14:paraId="622E3E8C" w14:textId="77777777" w:rsidR="00D83E33" w:rsidRPr="00E837F2" w:rsidRDefault="00D83E33">
            <w:pPr>
              <w:widowControl w:val="0"/>
              <w:pBdr>
                <w:top w:val="nil"/>
                <w:left w:val="nil"/>
                <w:bottom w:val="nil"/>
                <w:right w:val="nil"/>
                <w:between w:val="nil"/>
              </w:pBdr>
              <w:jc w:val="right"/>
              <w:rPr>
                <w:i/>
                <w:color w:val="0000FF"/>
              </w:rPr>
            </w:pPr>
          </w:p>
        </w:tc>
        <w:tc>
          <w:tcPr>
            <w:tcW w:w="556" w:type="pct"/>
            <w:tcBorders>
              <w:bottom w:val="single" w:sz="4" w:space="0" w:color="000000"/>
            </w:tcBorders>
            <w:vAlign w:val="bottom"/>
          </w:tcPr>
          <w:p w14:paraId="23227F0A" w14:textId="77777777" w:rsidR="00D83E33" w:rsidRPr="00E837F2" w:rsidRDefault="00D83E33">
            <w:pPr>
              <w:widowControl w:val="0"/>
              <w:pBdr>
                <w:top w:val="nil"/>
                <w:left w:val="nil"/>
                <w:bottom w:val="nil"/>
                <w:right w:val="nil"/>
                <w:between w:val="nil"/>
              </w:pBdr>
              <w:rPr>
                <w:i/>
                <w:color w:val="0000FF"/>
              </w:rPr>
            </w:pPr>
          </w:p>
        </w:tc>
        <w:tc>
          <w:tcPr>
            <w:tcW w:w="476" w:type="pct"/>
            <w:tcBorders>
              <w:bottom w:val="single" w:sz="4" w:space="0" w:color="000000"/>
            </w:tcBorders>
          </w:tcPr>
          <w:p w14:paraId="7D7077F9" w14:textId="77777777" w:rsidR="00D83E33" w:rsidRPr="00E837F2" w:rsidRDefault="00D83E33">
            <w:pPr>
              <w:widowControl w:val="0"/>
              <w:pBdr>
                <w:top w:val="nil"/>
                <w:left w:val="nil"/>
                <w:bottom w:val="nil"/>
                <w:right w:val="nil"/>
                <w:between w:val="nil"/>
              </w:pBdr>
              <w:rPr>
                <w:i/>
                <w:color w:val="0000FF"/>
              </w:rPr>
            </w:pPr>
          </w:p>
        </w:tc>
        <w:tc>
          <w:tcPr>
            <w:tcW w:w="635" w:type="pct"/>
            <w:tcBorders>
              <w:bottom w:val="single" w:sz="4" w:space="0" w:color="000000"/>
            </w:tcBorders>
          </w:tcPr>
          <w:p w14:paraId="5EB78763" w14:textId="77777777" w:rsidR="00D83E33" w:rsidRPr="00E837F2" w:rsidRDefault="00D83E33">
            <w:pPr>
              <w:widowControl w:val="0"/>
              <w:pBdr>
                <w:top w:val="nil"/>
                <w:left w:val="nil"/>
                <w:bottom w:val="nil"/>
                <w:right w:val="nil"/>
                <w:between w:val="nil"/>
              </w:pBdr>
              <w:rPr>
                <w:i/>
                <w:color w:val="0000FF"/>
              </w:rPr>
            </w:pPr>
          </w:p>
        </w:tc>
        <w:tc>
          <w:tcPr>
            <w:tcW w:w="476" w:type="pct"/>
            <w:tcBorders>
              <w:bottom w:val="single" w:sz="4" w:space="0" w:color="000000"/>
            </w:tcBorders>
          </w:tcPr>
          <w:p w14:paraId="41D1CB97" w14:textId="77777777" w:rsidR="00D83E33" w:rsidRPr="00E837F2" w:rsidRDefault="00D83E33">
            <w:pPr>
              <w:widowControl w:val="0"/>
              <w:pBdr>
                <w:top w:val="nil"/>
                <w:left w:val="nil"/>
                <w:bottom w:val="nil"/>
                <w:right w:val="nil"/>
                <w:between w:val="nil"/>
              </w:pBdr>
              <w:rPr>
                <w:i/>
                <w:color w:val="0000FF"/>
              </w:rPr>
            </w:pPr>
          </w:p>
        </w:tc>
      </w:tr>
      <w:tr w:rsidR="00D83E33" w:rsidRPr="00E837F2" w14:paraId="1B4B710E" w14:textId="77777777" w:rsidTr="001B330E">
        <w:trPr>
          <w:trHeight w:val="23"/>
        </w:trPr>
        <w:tc>
          <w:tcPr>
            <w:tcW w:w="1667" w:type="pct"/>
            <w:tcBorders>
              <w:top w:val="single" w:sz="4" w:space="0" w:color="000000"/>
            </w:tcBorders>
            <w:vAlign w:val="bottom"/>
          </w:tcPr>
          <w:p w14:paraId="3DB8F620"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55" w:type="pct"/>
            <w:tcBorders>
              <w:top w:val="single" w:sz="4" w:space="0" w:color="000000"/>
            </w:tcBorders>
            <w:vAlign w:val="bottom"/>
          </w:tcPr>
          <w:p w14:paraId="7BC6FF0A"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top w:val="single" w:sz="4" w:space="0" w:color="000000"/>
            </w:tcBorders>
            <w:vAlign w:val="bottom"/>
          </w:tcPr>
          <w:p w14:paraId="1C332589" w14:textId="77777777" w:rsidR="00D83E33" w:rsidRPr="00E837F2" w:rsidRDefault="00D83E33">
            <w:pPr>
              <w:widowControl w:val="0"/>
              <w:pBdr>
                <w:top w:val="nil"/>
                <w:left w:val="nil"/>
                <w:bottom w:val="nil"/>
                <w:right w:val="nil"/>
                <w:between w:val="nil"/>
              </w:pBdr>
              <w:jc w:val="right"/>
              <w:rPr>
                <w:i/>
                <w:color w:val="0000FF"/>
              </w:rPr>
            </w:pPr>
          </w:p>
        </w:tc>
        <w:tc>
          <w:tcPr>
            <w:tcW w:w="556" w:type="pct"/>
            <w:tcBorders>
              <w:top w:val="single" w:sz="4" w:space="0" w:color="000000"/>
            </w:tcBorders>
            <w:vAlign w:val="bottom"/>
          </w:tcPr>
          <w:p w14:paraId="7133B8D5"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top w:val="single" w:sz="4" w:space="0" w:color="000000"/>
            </w:tcBorders>
          </w:tcPr>
          <w:p w14:paraId="6846A8D4"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top w:val="single" w:sz="4" w:space="0" w:color="000000"/>
            </w:tcBorders>
          </w:tcPr>
          <w:p w14:paraId="79C7CB1E"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top w:val="single" w:sz="4" w:space="0" w:color="000000"/>
            </w:tcBorders>
          </w:tcPr>
          <w:p w14:paraId="00C832A4"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30E30765" w14:textId="77777777" w:rsidTr="001B330E">
        <w:trPr>
          <w:trHeight w:val="23"/>
        </w:trPr>
        <w:tc>
          <w:tcPr>
            <w:tcW w:w="1667" w:type="pct"/>
            <w:vAlign w:val="bottom"/>
          </w:tcPr>
          <w:p w14:paraId="383CF7C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Credit loss allowance</w:t>
            </w:r>
          </w:p>
        </w:tc>
        <w:tc>
          <w:tcPr>
            <w:tcW w:w="555" w:type="pct"/>
            <w:vAlign w:val="bottom"/>
          </w:tcPr>
          <w:p w14:paraId="15F9B25F" w14:textId="77777777" w:rsidR="00D83E33" w:rsidRPr="00E837F2" w:rsidRDefault="00D83E33">
            <w:pPr>
              <w:widowControl w:val="0"/>
              <w:pBdr>
                <w:top w:val="nil"/>
                <w:left w:val="nil"/>
                <w:bottom w:val="nil"/>
                <w:right w:val="nil"/>
                <w:between w:val="nil"/>
              </w:pBdr>
              <w:jc w:val="right"/>
              <w:rPr>
                <w:i/>
                <w:color w:val="0000FF"/>
              </w:rPr>
            </w:pPr>
          </w:p>
        </w:tc>
        <w:tc>
          <w:tcPr>
            <w:tcW w:w="635" w:type="pct"/>
            <w:vAlign w:val="bottom"/>
          </w:tcPr>
          <w:p w14:paraId="273C9D10" w14:textId="77777777" w:rsidR="00D83E33" w:rsidRPr="00E837F2" w:rsidRDefault="00D83E33">
            <w:pPr>
              <w:widowControl w:val="0"/>
              <w:pBdr>
                <w:top w:val="nil"/>
                <w:left w:val="nil"/>
                <w:bottom w:val="nil"/>
                <w:right w:val="nil"/>
                <w:between w:val="nil"/>
              </w:pBdr>
              <w:jc w:val="right"/>
              <w:rPr>
                <w:i/>
                <w:color w:val="0000FF"/>
              </w:rPr>
            </w:pPr>
          </w:p>
        </w:tc>
        <w:tc>
          <w:tcPr>
            <w:tcW w:w="556" w:type="pct"/>
            <w:vAlign w:val="bottom"/>
          </w:tcPr>
          <w:p w14:paraId="5B622B47"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60233309" w14:textId="77777777" w:rsidR="00D83E33" w:rsidRPr="00E837F2" w:rsidRDefault="00D83E33">
            <w:pPr>
              <w:widowControl w:val="0"/>
              <w:pBdr>
                <w:top w:val="nil"/>
                <w:left w:val="nil"/>
                <w:bottom w:val="nil"/>
                <w:right w:val="nil"/>
                <w:between w:val="nil"/>
              </w:pBdr>
              <w:jc w:val="right"/>
              <w:rPr>
                <w:i/>
                <w:color w:val="0000FF"/>
              </w:rPr>
            </w:pPr>
          </w:p>
        </w:tc>
        <w:tc>
          <w:tcPr>
            <w:tcW w:w="635" w:type="pct"/>
          </w:tcPr>
          <w:p w14:paraId="4169BDDB" w14:textId="77777777" w:rsidR="00D83E33" w:rsidRPr="00E837F2" w:rsidRDefault="00D83E33">
            <w:pPr>
              <w:widowControl w:val="0"/>
              <w:pBdr>
                <w:top w:val="nil"/>
                <w:left w:val="nil"/>
                <w:bottom w:val="nil"/>
                <w:right w:val="nil"/>
                <w:between w:val="nil"/>
              </w:pBdr>
              <w:jc w:val="right"/>
              <w:rPr>
                <w:i/>
                <w:color w:val="0000FF"/>
              </w:rPr>
            </w:pPr>
          </w:p>
        </w:tc>
        <w:tc>
          <w:tcPr>
            <w:tcW w:w="476" w:type="pct"/>
          </w:tcPr>
          <w:p w14:paraId="10A54F61"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3B09D2C7" w14:textId="77777777" w:rsidTr="001B330E">
        <w:trPr>
          <w:trHeight w:val="23"/>
        </w:trPr>
        <w:tc>
          <w:tcPr>
            <w:tcW w:w="1667" w:type="pct"/>
            <w:tcBorders>
              <w:bottom w:val="single" w:sz="4" w:space="0" w:color="000000"/>
            </w:tcBorders>
            <w:vAlign w:val="bottom"/>
          </w:tcPr>
          <w:p w14:paraId="109F684A"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55" w:type="pct"/>
            <w:tcBorders>
              <w:bottom w:val="single" w:sz="4" w:space="0" w:color="000000"/>
            </w:tcBorders>
            <w:vAlign w:val="bottom"/>
          </w:tcPr>
          <w:p w14:paraId="4E709402"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bottom w:val="single" w:sz="4" w:space="0" w:color="000000"/>
            </w:tcBorders>
            <w:vAlign w:val="bottom"/>
          </w:tcPr>
          <w:p w14:paraId="4FEAE23F" w14:textId="77777777" w:rsidR="00D83E33" w:rsidRPr="00E837F2" w:rsidRDefault="00D83E33">
            <w:pPr>
              <w:widowControl w:val="0"/>
              <w:pBdr>
                <w:top w:val="nil"/>
                <w:left w:val="nil"/>
                <w:bottom w:val="nil"/>
                <w:right w:val="nil"/>
                <w:between w:val="nil"/>
              </w:pBdr>
              <w:jc w:val="right"/>
              <w:rPr>
                <w:i/>
                <w:color w:val="0000FF"/>
              </w:rPr>
            </w:pPr>
          </w:p>
        </w:tc>
        <w:tc>
          <w:tcPr>
            <w:tcW w:w="556" w:type="pct"/>
            <w:tcBorders>
              <w:bottom w:val="single" w:sz="4" w:space="0" w:color="000000"/>
            </w:tcBorders>
            <w:vAlign w:val="bottom"/>
          </w:tcPr>
          <w:p w14:paraId="00F67CB5"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bottom w:val="single" w:sz="4" w:space="0" w:color="000000"/>
            </w:tcBorders>
          </w:tcPr>
          <w:p w14:paraId="0B1ADBDD"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bottom w:val="single" w:sz="4" w:space="0" w:color="000000"/>
            </w:tcBorders>
          </w:tcPr>
          <w:p w14:paraId="207151EE"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bottom w:val="single" w:sz="4" w:space="0" w:color="000000"/>
            </w:tcBorders>
          </w:tcPr>
          <w:p w14:paraId="3660CF9F" w14:textId="77777777" w:rsidR="00D83E33" w:rsidRPr="00E837F2" w:rsidRDefault="00D83E33">
            <w:pPr>
              <w:widowControl w:val="0"/>
              <w:pBdr>
                <w:top w:val="nil"/>
                <w:left w:val="nil"/>
                <w:bottom w:val="nil"/>
                <w:right w:val="nil"/>
                <w:between w:val="nil"/>
              </w:pBdr>
              <w:jc w:val="right"/>
              <w:rPr>
                <w:i/>
                <w:color w:val="0000FF"/>
              </w:rPr>
            </w:pPr>
          </w:p>
        </w:tc>
      </w:tr>
      <w:tr w:rsidR="00D83E33" w:rsidRPr="00E837F2" w14:paraId="10A14807" w14:textId="77777777" w:rsidTr="001B330E">
        <w:trPr>
          <w:trHeight w:val="23"/>
        </w:trPr>
        <w:tc>
          <w:tcPr>
            <w:tcW w:w="1667" w:type="pct"/>
            <w:tcBorders>
              <w:top w:val="single" w:sz="4" w:space="0" w:color="000000"/>
              <w:bottom w:val="single" w:sz="12" w:space="0" w:color="000000"/>
            </w:tcBorders>
            <w:vAlign w:val="bottom"/>
          </w:tcPr>
          <w:p w14:paraId="02E7ED85" w14:textId="77777777" w:rsidR="00D83E33" w:rsidRPr="00E837F2" w:rsidRDefault="00D83E33" w:rsidP="001B330E">
            <w:pPr>
              <w:widowControl w:val="0"/>
              <w:pBdr>
                <w:top w:val="nil"/>
                <w:left w:val="nil"/>
                <w:bottom w:val="nil"/>
                <w:right w:val="nil"/>
                <w:between w:val="nil"/>
              </w:pBdr>
              <w:ind w:left="113" w:hanging="113"/>
              <w:rPr>
                <w:color w:val="000000"/>
              </w:rPr>
            </w:pPr>
          </w:p>
          <w:p w14:paraId="168FB6E6" w14:textId="77777777"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Total trade receivables from contracts with customers (carrying amount)</w:t>
            </w:r>
          </w:p>
          <w:p w14:paraId="22685626"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55" w:type="pct"/>
            <w:tcBorders>
              <w:top w:val="single" w:sz="4" w:space="0" w:color="000000"/>
              <w:bottom w:val="single" w:sz="12" w:space="0" w:color="000000"/>
            </w:tcBorders>
            <w:vAlign w:val="bottom"/>
          </w:tcPr>
          <w:p w14:paraId="17BDA9F4"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top w:val="single" w:sz="4" w:space="0" w:color="000000"/>
              <w:bottom w:val="single" w:sz="12" w:space="0" w:color="000000"/>
            </w:tcBorders>
            <w:vAlign w:val="bottom"/>
          </w:tcPr>
          <w:p w14:paraId="622DA751" w14:textId="77777777" w:rsidR="00D83E33" w:rsidRPr="00E837F2" w:rsidRDefault="00D83E33">
            <w:pPr>
              <w:widowControl w:val="0"/>
              <w:pBdr>
                <w:top w:val="nil"/>
                <w:left w:val="nil"/>
                <w:bottom w:val="nil"/>
                <w:right w:val="nil"/>
                <w:between w:val="nil"/>
              </w:pBdr>
              <w:jc w:val="right"/>
              <w:rPr>
                <w:i/>
                <w:color w:val="0000FF"/>
              </w:rPr>
            </w:pPr>
          </w:p>
        </w:tc>
        <w:tc>
          <w:tcPr>
            <w:tcW w:w="556" w:type="pct"/>
            <w:tcBorders>
              <w:top w:val="single" w:sz="4" w:space="0" w:color="000000"/>
              <w:bottom w:val="single" w:sz="12" w:space="0" w:color="000000"/>
            </w:tcBorders>
            <w:vAlign w:val="bottom"/>
          </w:tcPr>
          <w:p w14:paraId="0C78B8AD"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top w:val="single" w:sz="4" w:space="0" w:color="000000"/>
              <w:bottom w:val="single" w:sz="12" w:space="0" w:color="000000"/>
            </w:tcBorders>
          </w:tcPr>
          <w:p w14:paraId="0E518E0E" w14:textId="77777777" w:rsidR="00D83E33" w:rsidRPr="00E837F2" w:rsidRDefault="00D83E33">
            <w:pPr>
              <w:widowControl w:val="0"/>
              <w:pBdr>
                <w:top w:val="nil"/>
                <w:left w:val="nil"/>
                <w:bottom w:val="nil"/>
                <w:right w:val="nil"/>
                <w:between w:val="nil"/>
              </w:pBdr>
              <w:jc w:val="right"/>
              <w:rPr>
                <w:i/>
                <w:color w:val="0000FF"/>
              </w:rPr>
            </w:pPr>
          </w:p>
        </w:tc>
        <w:tc>
          <w:tcPr>
            <w:tcW w:w="635" w:type="pct"/>
            <w:tcBorders>
              <w:top w:val="single" w:sz="4" w:space="0" w:color="000000"/>
              <w:bottom w:val="single" w:sz="12" w:space="0" w:color="000000"/>
            </w:tcBorders>
          </w:tcPr>
          <w:p w14:paraId="69C37451" w14:textId="77777777" w:rsidR="00D83E33" w:rsidRPr="00E837F2" w:rsidRDefault="00D83E33">
            <w:pPr>
              <w:widowControl w:val="0"/>
              <w:pBdr>
                <w:top w:val="nil"/>
                <w:left w:val="nil"/>
                <w:bottom w:val="nil"/>
                <w:right w:val="nil"/>
                <w:between w:val="nil"/>
              </w:pBdr>
              <w:jc w:val="right"/>
              <w:rPr>
                <w:i/>
                <w:color w:val="0000FF"/>
              </w:rPr>
            </w:pPr>
          </w:p>
        </w:tc>
        <w:tc>
          <w:tcPr>
            <w:tcW w:w="476" w:type="pct"/>
            <w:tcBorders>
              <w:top w:val="single" w:sz="4" w:space="0" w:color="000000"/>
              <w:bottom w:val="single" w:sz="12" w:space="0" w:color="000000"/>
            </w:tcBorders>
          </w:tcPr>
          <w:p w14:paraId="0A524156" w14:textId="77777777" w:rsidR="00D83E33" w:rsidRPr="00E837F2" w:rsidRDefault="00D83E33">
            <w:pPr>
              <w:widowControl w:val="0"/>
              <w:pBdr>
                <w:top w:val="nil"/>
                <w:left w:val="nil"/>
                <w:bottom w:val="nil"/>
                <w:right w:val="nil"/>
                <w:between w:val="nil"/>
              </w:pBdr>
              <w:jc w:val="right"/>
              <w:rPr>
                <w:i/>
                <w:color w:val="0000FF"/>
              </w:rPr>
            </w:pPr>
          </w:p>
        </w:tc>
      </w:tr>
    </w:tbl>
    <w:p w14:paraId="1654E879" w14:textId="2D95BDC0" w:rsidR="00D83E33" w:rsidRDefault="00BC4072">
      <w:pPr>
        <w:widowControl w:val="0"/>
        <w:spacing w:before="200" w:after="200"/>
        <w:jc w:val="both"/>
        <w:rPr>
          <w:sz w:val="20"/>
          <w:szCs w:val="20"/>
        </w:rPr>
      </w:pPr>
      <w:r>
        <w:rPr>
          <w:sz w:val="20"/>
          <w:szCs w:val="20"/>
        </w:rPr>
        <w:t xml:space="preserve">The total amount of undiscounted ECLs at initial recognition for POCI financial assets recognised during the period was </w:t>
      </w:r>
      <w:r w:rsidR="00D73799">
        <w:rPr>
          <w:sz w:val="20"/>
          <w:szCs w:val="20"/>
        </w:rPr>
        <w:t>EUR</w:t>
      </w:r>
      <w:r>
        <w:rPr>
          <w:sz w:val="20"/>
          <w:szCs w:val="20"/>
        </w:rPr>
        <w:t xml:space="preserve"> ____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w:t>
      </w:r>
      <w:r>
        <w:rPr>
          <w:i/>
          <w:color w:val="FF0000"/>
          <w:sz w:val="20"/>
          <w:szCs w:val="20"/>
        </w:rPr>
        <w:t>[If there are POCI assets, add POCI columns to the above table to show POCI items separately.]</w:t>
      </w:r>
    </w:p>
    <w:p w14:paraId="2255CA49" w14:textId="77777777" w:rsidR="006C5889" w:rsidRDefault="006C5889" w:rsidP="001B330E">
      <w:pPr>
        <w:pStyle w:val="Continued"/>
      </w:pPr>
      <w:r>
        <w:lastRenderedPageBreak/>
        <w:t>15</w:t>
      </w:r>
      <w:r>
        <w:tab/>
        <w:t>Other Financial Assets (Continued)</w:t>
      </w:r>
    </w:p>
    <w:p w14:paraId="526718B6" w14:textId="5625FD3E" w:rsidR="00D83E33" w:rsidRDefault="00D83E33">
      <w:pPr>
        <w:widowControl w:val="0"/>
        <w:pBdr>
          <w:top w:val="nil"/>
          <w:left w:val="nil"/>
          <w:bottom w:val="nil"/>
          <w:right w:val="nil"/>
          <w:between w:val="nil"/>
        </w:pBdr>
        <w:spacing w:before="200" w:after="200"/>
        <w:jc w:val="both"/>
        <w:rPr>
          <w:color w:val="000000"/>
        </w:rPr>
      </w:pPr>
    </w:p>
    <w:p w14:paraId="0F25FF13" w14:textId="69C96A83" w:rsidR="00D83E33" w:rsidRDefault="00BC4072">
      <w:pPr>
        <w:widowControl w:val="0"/>
        <w:spacing w:before="200" w:after="200"/>
        <w:jc w:val="both"/>
        <w:rPr>
          <w:i/>
          <w:color w:val="FF0000"/>
          <w:sz w:val="20"/>
          <w:szCs w:val="20"/>
        </w:rPr>
      </w:pPr>
      <w:r>
        <w:rPr>
          <w:sz w:val="20"/>
          <w:szCs w:val="20"/>
        </w:rPr>
        <w:t xml:space="preserve">The following tables explain the changes in the gross carrying amount and in the credit loss allowance for other financial assets under simplified ECL model between the beginning and the end of the current and comparative annual periods </w:t>
      </w:r>
    </w:p>
    <w:tbl>
      <w:tblPr>
        <w:tblStyle w:val="afffffffff3"/>
        <w:tblW w:w="5000" w:type="pct"/>
        <w:tblLayout w:type="fixed"/>
        <w:tblLook w:val="0000" w:firstRow="0" w:lastRow="0" w:firstColumn="0" w:lastColumn="0" w:noHBand="0" w:noVBand="0"/>
      </w:tblPr>
      <w:tblGrid>
        <w:gridCol w:w="3251"/>
        <w:gridCol w:w="1018"/>
        <w:gridCol w:w="1261"/>
        <w:gridCol w:w="776"/>
        <w:gridCol w:w="1018"/>
        <w:gridCol w:w="1182"/>
        <w:gridCol w:w="849"/>
      </w:tblGrid>
      <w:tr w:rsidR="00D83E33" w:rsidRPr="00E837F2" w14:paraId="6F74620B" w14:textId="77777777" w:rsidTr="00372E26">
        <w:trPr>
          <w:trHeight w:val="23"/>
        </w:trPr>
        <w:tc>
          <w:tcPr>
            <w:tcW w:w="1737" w:type="pct"/>
            <w:shd w:val="clear" w:color="auto" w:fill="auto"/>
            <w:vAlign w:val="bottom"/>
          </w:tcPr>
          <w:p w14:paraId="3FB741A9" w14:textId="77777777" w:rsidR="00D83E33" w:rsidRPr="00E837F2" w:rsidRDefault="00D83E33" w:rsidP="001B330E">
            <w:pPr>
              <w:widowControl w:val="0"/>
              <w:pBdr>
                <w:top w:val="nil"/>
                <w:left w:val="nil"/>
                <w:bottom w:val="nil"/>
                <w:right w:val="nil"/>
                <w:between w:val="nil"/>
              </w:pBdr>
              <w:ind w:left="113" w:hanging="113"/>
              <w:rPr>
                <w:i/>
                <w:color w:val="000000"/>
              </w:rPr>
            </w:pPr>
          </w:p>
        </w:tc>
        <w:tc>
          <w:tcPr>
            <w:tcW w:w="1633" w:type="pct"/>
            <w:gridSpan w:val="3"/>
            <w:tcBorders>
              <w:bottom w:val="single" w:sz="4" w:space="0" w:color="000000"/>
            </w:tcBorders>
          </w:tcPr>
          <w:p w14:paraId="745ECE5A" w14:textId="138D77F3" w:rsidR="00D83E33" w:rsidRPr="00E837F2" w:rsidRDefault="00541EBC" w:rsidP="001B330E">
            <w:pPr>
              <w:widowControl w:val="0"/>
              <w:pBdr>
                <w:top w:val="nil"/>
                <w:left w:val="nil"/>
                <w:bottom w:val="nil"/>
                <w:right w:val="nil"/>
                <w:between w:val="nil"/>
              </w:pBdr>
              <w:jc w:val="center"/>
              <w:rPr>
                <w:b/>
                <w:color w:val="000000"/>
              </w:rPr>
            </w:pPr>
            <w:r>
              <w:rPr>
                <w:b/>
                <w:color w:val="000000"/>
              </w:rPr>
              <w:t>2024</w:t>
            </w:r>
          </w:p>
        </w:tc>
        <w:tc>
          <w:tcPr>
            <w:tcW w:w="1630" w:type="pct"/>
            <w:gridSpan w:val="3"/>
            <w:tcBorders>
              <w:bottom w:val="single" w:sz="4" w:space="0" w:color="000000"/>
            </w:tcBorders>
          </w:tcPr>
          <w:p w14:paraId="741F4A5A" w14:textId="353F7381" w:rsidR="00D83E33" w:rsidRPr="00E837F2" w:rsidRDefault="00541EBC" w:rsidP="001B330E">
            <w:pPr>
              <w:widowControl w:val="0"/>
              <w:pBdr>
                <w:top w:val="nil"/>
                <w:left w:val="nil"/>
                <w:bottom w:val="nil"/>
                <w:right w:val="nil"/>
                <w:between w:val="nil"/>
              </w:pBdr>
              <w:jc w:val="center"/>
              <w:rPr>
                <w:b/>
                <w:color w:val="000000"/>
              </w:rPr>
            </w:pPr>
            <w:r>
              <w:rPr>
                <w:b/>
                <w:color w:val="000000"/>
              </w:rPr>
              <w:t>2023</w:t>
            </w:r>
          </w:p>
        </w:tc>
      </w:tr>
      <w:tr w:rsidR="00D83E33" w:rsidRPr="00E837F2" w14:paraId="53A4A3A9" w14:textId="77777777" w:rsidTr="00372E26">
        <w:trPr>
          <w:trHeight w:val="23"/>
        </w:trPr>
        <w:tc>
          <w:tcPr>
            <w:tcW w:w="1737" w:type="pct"/>
            <w:tcBorders>
              <w:bottom w:val="single" w:sz="4" w:space="0" w:color="000000"/>
            </w:tcBorders>
            <w:shd w:val="clear" w:color="auto" w:fill="auto"/>
            <w:vAlign w:val="bottom"/>
          </w:tcPr>
          <w:p w14:paraId="5EE229DE" w14:textId="774F891C" w:rsidR="00D83E33"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44" w:type="pct"/>
            <w:tcBorders>
              <w:top w:val="single" w:sz="4" w:space="0" w:color="000000"/>
              <w:bottom w:val="single" w:sz="4" w:space="0" w:color="000000"/>
            </w:tcBorders>
          </w:tcPr>
          <w:p w14:paraId="256D1CD1"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Gross carrying amount</w:t>
            </w:r>
          </w:p>
        </w:tc>
        <w:tc>
          <w:tcPr>
            <w:tcW w:w="674" w:type="pct"/>
            <w:tcBorders>
              <w:top w:val="single" w:sz="4" w:space="0" w:color="000000"/>
              <w:bottom w:val="single" w:sz="4" w:space="0" w:color="000000"/>
            </w:tcBorders>
          </w:tcPr>
          <w:p w14:paraId="65F7385E"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Credit loss allowance</w:t>
            </w:r>
          </w:p>
        </w:tc>
        <w:tc>
          <w:tcPr>
            <w:tcW w:w="415" w:type="pct"/>
            <w:tcBorders>
              <w:top w:val="single" w:sz="4" w:space="0" w:color="000000"/>
              <w:bottom w:val="single" w:sz="4" w:space="0" w:color="000000"/>
            </w:tcBorders>
            <w:shd w:val="clear" w:color="auto" w:fill="auto"/>
          </w:tcPr>
          <w:p w14:paraId="583A6210"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c>
          <w:tcPr>
            <w:tcW w:w="544" w:type="pct"/>
            <w:tcBorders>
              <w:top w:val="single" w:sz="4" w:space="0" w:color="000000"/>
              <w:bottom w:val="single" w:sz="4" w:space="0" w:color="000000"/>
            </w:tcBorders>
          </w:tcPr>
          <w:p w14:paraId="52D0D993"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Gross carrying amount</w:t>
            </w:r>
          </w:p>
        </w:tc>
        <w:tc>
          <w:tcPr>
            <w:tcW w:w="632" w:type="pct"/>
            <w:tcBorders>
              <w:top w:val="single" w:sz="4" w:space="0" w:color="000000"/>
              <w:bottom w:val="single" w:sz="4" w:space="0" w:color="000000"/>
            </w:tcBorders>
          </w:tcPr>
          <w:p w14:paraId="3137CD78"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Credit loss allowance</w:t>
            </w:r>
          </w:p>
        </w:tc>
        <w:tc>
          <w:tcPr>
            <w:tcW w:w="454" w:type="pct"/>
            <w:tcBorders>
              <w:top w:val="single" w:sz="4" w:space="0" w:color="000000"/>
              <w:bottom w:val="single" w:sz="4" w:space="0" w:color="000000"/>
            </w:tcBorders>
          </w:tcPr>
          <w:p w14:paraId="44D2521B" w14:textId="77777777" w:rsidR="00D83E33" w:rsidRPr="00E837F2" w:rsidRDefault="00BC4072" w:rsidP="001B330E">
            <w:pPr>
              <w:widowControl w:val="0"/>
              <w:pBdr>
                <w:top w:val="nil"/>
                <w:left w:val="nil"/>
                <w:bottom w:val="nil"/>
                <w:right w:val="nil"/>
                <w:between w:val="nil"/>
              </w:pBdr>
              <w:jc w:val="right"/>
              <w:rPr>
                <w:b/>
                <w:color w:val="000000"/>
              </w:rPr>
            </w:pPr>
            <w:r w:rsidRPr="00E837F2">
              <w:rPr>
                <w:b/>
                <w:color w:val="000000"/>
              </w:rPr>
              <w:t>Total</w:t>
            </w:r>
          </w:p>
        </w:tc>
      </w:tr>
      <w:tr w:rsidR="00D83E33" w:rsidRPr="00E837F2" w14:paraId="3C81A651" w14:textId="77777777" w:rsidTr="00372E26">
        <w:trPr>
          <w:trHeight w:val="23"/>
        </w:trPr>
        <w:tc>
          <w:tcPr>
            <w:tcW w:w="1737" w:type="pct"/>
            <w:shd w:val="clear" w:color="auto" w:fill="auto"/>
            <w:vAlign w:val="bottom"/>
          </w:tcPr>
          <w:p w14:paraId="6E2759AB" w14:textId="77777777" w:rsidR="00D83E33" w:rsidRPr="00E837F2" w:rsidRDefault="00D83E33" w:rsidP="001B330E">
            <w:pPr>
              <w:widowControl w:val="0"/>
              <w:ind w:left="113" w:hanging="113"/>
            </w:pPr>
          </w:p>
        </w:tc>
        <w:tc>
          <w:tcPr>
            <w:tcW w:w="544" w:type="pct"/>
            <w:vAlign w:val="bottom"/>
          </w:tcPr>
          <w:p w14:paraId="76A7D5B3"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1FBE397A"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5FAFC420"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503F26A"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3377B0D7"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11C7E3F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36579C1" w14:textId="77777777" w:rsidTr="00372E26">
        <w:trPr>
          <w:trHeight w:val="23"/>
        </w:trPr>
        <w:tc>
          <w:tcPr>
            <w:tcW w:w="1737" w:type="pct"/>
            <w:shd w:val="clear" w:color="auto" w:fill="auto"/>
            <w:vAlign w:val="bottom"/>
          </w:tcPr>
          <w:p w14:paraId="54D6499E" w14:textId="77777777" w:rsidR="00D83E33" w:rsidRPr="00E837F2" w:rsidRDefault="00BC4072" w:rsidP="001B330E">
            <w:pPr>
              <w:widowControl w:val="0"/>
              <w:pBdr>
                <w:top w:val="nil"/>
                <w:left w:val="nil"/>
                <w:bottom w:val="nil"/>
                <w:right w:val="nil"/>
                <w:between w:val="nil"/>
              </w:pBdr>
              <w:ind w:left="113" w:hanging="113"/>
              <w:rPr>
                <w:b/>
                <w:i/>
                <w:color w:val="000000"/>
              </w:rPr>
            </w:pPr>
            <w:r w:rsidRPr="00E837F2">
              <w:rPr>
                <w:b/>
                <w:i/>
                <w:color w:val="000000"/>
              </w:rPr>
              <w:t>Trade receivables</w:t>
            </w:r>
          </w:p>
        </w:tc>
        <w:tc>
          <w:tcPr>
            <w:tcW w:w="544" w:type="pct"/>
            <w:vAlign w:val="bottom"/>
          </w:tcPr>
          <w:p w14:paraId="3BD30439" w14:textId="77777777" w:rsidR="00D83E33" w:rsidRPr="00E837F2" w:rsidRDefault="00D83E33">
            <w:pPr>
              <w:widowControl w:val="0"/>
              <w:pBdr>
                <w:top w:val="nil"/>
                <w:left w:val="nil"/>
                <w:bottom w:val="nil"/>
                <w:right w:val="nil"/>
                <w:between w:val="nil"/>
              </w:pBdr>
              <w:jc w:val="right"/>
              <w:rPr>
                <w:i/>
                <w:color w:val="000000"/>
              </w:rPr>
            </w:pPr>
          </w:p>
        </w:tc>
        <w:tc>
          <w:tcPr>
            <w:tcW w:w="674" w:type="pct"/>
            <w:vAlign w:val="bottom"/>
          </w:tcPr>
          <w:p w14:paraId="2955BFAC" w14:textId="77777777" w:rsidR="00D83E33" w:rsidRPr="00E837F2" w:rsidRDefault="00D83E33">
            <w:pPr>
              <w:widowControl w:val="0"/>
              <w:pBdr>
                <w:top w:val="nil"/>
                <w:left w:val="nil"/>
                <w:bottom w:val="nil"/>
                <w:right w:val="nil"/>
                <w:between w:val="nil"/>
              </w:pBdr>
              <w:jc w:val="right"/>
              <w:rPr>
                <w:i/>
                <w:color w:val="000000"/>
              </w:rPr>
            </w:pPr>
          </w:p>
        </w:tc>
        <w:tc>
          <w:tcPr>
            <w:tcW w:w="415" w:type="pct"/>
            <w:shd w:val="clear" w:color="auto" w:fill="auto"/>
            <w:vAlign w:val="bottom"/>
          </w:tcPr>
          <w:p w14:paraId="59A6EF77" w14:textId="77777777" w:rsidR="00D83E33" w:rsidRPr="00E837F2" w:rsidRDefault="00D83E33">
            <w:pPr>
              <w:widowControl w:val="0"/>
              <w:pBdr>
                <w:top w:val="nil"/>
                <w:left w:val="nil"/>
                <w:bottom w:val="nil"/>
                <w:right w:val="nil"/>
                <w:between w:val="nil"/>
              </w:pBdr>
              <w:jc w:val="right"/>
              <w:rPr>
                <w:i/>
                <w:color w:val="000000"/>
              </w:rPr>
            </w:pPr>
          </w:p>
        </w:tc>
        <w:tc>
          <w:tcPr>
            <w:tcW w:w="544" w:type="pct"/>
          </w:tcPr>
          <w:p w14:paraId="743D9B18" w14:textId="77777777" w:rsidR="00D83E33" w:rsidRPr="00E837F2" w:rsidRDefault="00D83E33">
            <w:pPr>
              <w:widowControl w:val="0"/>
              <w:pBdr>
                <w:top w:val="nil"/>
                <w:left w:val="nil"/>
                <w:bottom w:val="nil"/>
                <w:right w:val="nil"/>
                <w:between w:val="nil"/>
              </w:pBdr>
              <w:jc w:val="right"/>
              <w:rPr>
                <w:i/>
                <w:color w:val="000000"/>
              </w:rPr>
            </w:pPr>
          </w:p>
        </w:tc>
        <w:tc>
          <w:tcPr>
            <w:tcW w:w="632" w:type="pct"/>
          </w:tcPr>
          <w:p w14:paraId="7A73D303" w14:textId="77777777" w:rsidR="00D83E33" w:rsidRPr="00E837F2" w:rsidRDefault="00D83E33">
            <w:pPr>
              <w:widowControl w:val="0"/>
              <w:pBdr>
                <w:top w:val="nil"/>
                <w:left w:val="nil"/>
                <w:bottom w:val="nil"/>
                <w:right w:val="nil"/>
                <w:between w:val="nil"/>
              </w:pBdr>
              <w:jc w:val="right"/>
              <w:rPr>
                <w:i/>
                <w:color w:val="000000"/>
              </w:rPr>
            </w:pPr>
          </w:p>
        </w:tc>
        <w:tc>
          <w:tcPr>
            <w:tcW w:w="454" w:type="pct"/>
          </w:tcPr>
          <w:p w14:paraId="48731E7D" w14:textId="77777777" w:rsidR="00D83E33" w:rsidRPr="00E837F2" w:rsidRDefault="00D83E33">
            <w:pPr>
              <w:widowControl w:val="0"/>
              <w:pBdr>
                <w:top w:val="nil"/>
                <w:left w:val="nil"/>
                <w:bottom w:val="nil"/>
                <w:right w:val="nil"/>
                <w:between w:val="nil"/>
              </w:pBdr>
              <w:jc w:val="right"/>
              <w:rPr>
                <w:i/>
                <w:color w:val="000000"/>
              </w:rPr>
            </w:pPr>
          </w:p>
        </w:tc>
      </w:tr>
      <w:tr w:rsidR="00D83E33" w:rsidRPr="00E837F2" w14:paraId="214A5027" w14:textId="77777777" w:rsidTr="00372E26">
        <w:trPr>
          <w:trHeight w:val="23"/>
        </w:trPr>
        <w:tc>
          <w:tcPr>
            <w:tcW w:w="1737" w:type="pct"/>
            <w:shd w:val="clear" w:color="auto" w:fill="auto"/>
            <w:vAlign w:val="bottom"/>
          </w:tcPr>
          <w:p w14:paraId="66FC9A82" w14:textId="77777777" w:rsidR="00D83E33" w:rsidRPr="00E837F2" w:rsidRDefault="00D83E33" w:rsidP="001B330E">
            <w:pPr>
              <w:widowControl w:val="0"/>
              <w:pBdr>
                <w:top w:val="nil"/>
                <w:left w:val="nil"/>
                <w:bottom w:val="nil"/>
                <w:right w:val="nil"/>
                <w:between w:val="nil"/>
              </w:pBdr>
              <w:ind w:left="113" w:hanging="113"/>
              <w:rPr>
                <w:b/>
                <w:color w:val="000000"/>
              </w:rPr>
            </w:pPr>
          </w:p>
        </w:tc>
        <w:tc>
          <w:tcPr>
            <w:tcW w:w="544" w:type="pct"/>
            <w:vAlign w:val="bottom"/>
          </w:tcPr>
          <w:p w14:paraId="03C04C51"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033C5FCD"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3E33DA91"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6654D520"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5F812568"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7884FF7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D5597C5" w14:textId="77777777" w:rsidTr="00372E26">
        <w:trPr>
          <w:trHeight w:val="23"/>
        </w:trPr>
        <w:tc>
          <w:tcPr>
            <w:tcW w:w="1737" w:type="pct"/>
            <w:shd w:val="clear" w:color="auto" w:fill="auto"/>
            <w:vAlign w:val="bottom"/>
          </w:tcPr>
          <w:p w14:paraId="3AF1B7D1" w14:textId="77777777" w:rsidR="00D83E33" w:rsidRPr="00E837F2" w:rsidRDefault="00BC4072" w:rsidP="001B330E">
            <w:pPr>
              <w:widowControl w:val="0"/>
              <w:pBdr>
                <w:top w:val="nil"/>
                <w:left w:val="nil"/>
                <w:bottom w:val="nil"/>
                <w:right w:val="nil"/>
                <w:between w:val="nil"/>
              </w:pBdr>
              <w:ind w:left="113" w:hanging="113"/>
              <w:rPr>
                <w:b/>
                <w:color w:val="0000FF"/>
              </w:rPr>
            </w:pPr>
            <w:r w:rsidRPr="00E837F2">
              <w:rPr>
                <w:b/>
                <w:color w:val="000000"/>
              </w:rPr>
              <w:t>Balance at 1 January</w:t>
            </w:r>
          </w:p>
        </w:tc>
        <w:tc>
          <w:tcPr>
            <w:tcW w:w="544" w:type="pct"/>
            <w:vAlign w:val="bottom"/>
          </w:tcPr>
          <w:p w14:paraId="6625A9FC"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4DF71950"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1B92FA11"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0901625"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62AE7D94"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5B148595"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045FD79" w14:textId="77777777" w:rsidTr="00372E26">
        <w:trPr>
          <w:trHeight w:val="23"/>
        </w:trPr>
        <w:tc>
          <w:tcPr>
            <w:tcW w:w="1737" w:type="pct"/>
            <w:shd w:val="clear" w:color="auto" w:fill="auto"/>
            <w:vAlign w:val="bottom"/>
          </w:tcPr>
          <w:p w14:paraId="17AC36F6" w14:textId="77777777" w:rsidR="00D83E33" w:rsidRPr="00E837F2" w:rsidRDefault="00D83E33" w:rsidP="001B330E">
            <w:pPr>
              <w:widowControl w:val="0"/>
              <w:pBdr>
                <w:top w:val="nil"/>
                <w:left w:val="nil"/>
                <w:bottom w:val="nil"/>
                <w:right w:val="nil"/>
                <w:between w:val="nil"/>
              </w:pBdr>
              <w:ind w:left="113" w:hanging="113"/>
              <w:rPr>
                <w:b/>
                <w:color w:val="000000"/>
              </w:rPr>
            </w:pPr>
          </w:p>
        </w:tc>
        <w:tc>
          <w:tcPr>
            <w:tcW w:w="544" w:type="pct"/>
            <w:vAlign w:val="bottom"/>
          </w:tcPr>
          <w:p w14:paraId="44C53F67"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5E1E298F"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462D364E"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4F8922A1"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5B026197"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0566B54D"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F042774" w14:textId="77777777" w:rsidTr="00372E26">
        <w:trPr>
          <w:trHeight w:val="23"/>
        </w:trPr>
        <w:tc>
          <w:tcPr>
            <w:tcW w:w="1737" w:type="pct"/>
            <w:shd w:val="clear" w:color="auto" w:fill="auto"/>
            <w:vAlign w:val="bottom"/>
          </w:tcPr>
          <w:p w14:paraId="2819F522"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New originated or purchased</w:t>
            </w:r>
          </w:p>
        </w:tc>
        <w:tc>
          <w:tcPr>
            <w:tcW w:w="544" w:type="pct"/>
            <w:vAlign w:val="bottom"/>
          </w:tcPr>
          <w:p w14:paraId="06DDDB98"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083DF937"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4C8E5FCA"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CFD93B0"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77178F77"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5DE7C1D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5742150" w14:textId="77777777" w:rsidTr="00372E26">
        <w:trPr>
          <w:trHeight w:val="23"/>
        </w:trPr>
        <w:tc>
          <w:tcPr>
            <w:tcW w:w="1737" w:type="pct"/>
            <w:shd w:val="clear" w:color="auto" w:fill="auto"/>
            <w:vAlign w:val="bottom"/>
          </w:tcPr>
          <w:p w14:paraId="7D6A5884"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Financial assets derecognised during the period</w:t>
            </w:r>
          </w:p>
        </w:tc>
        <w:tc>
          <w:tcPr>
            <w:tcW w:w="544" w:type="pct"/>
            <w:vAlign w:val="bottom"/>
          </w:tcPr>
          <w:p w14:paraId="73D2B5D0"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7595E21F"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1210BF51"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27884A3D"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3294C866"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10D8BA6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E6B0FCC" w14:textId="77777777" w:rsidTr="00372E26">
        <w:trPr>
          <w:trHeight w:val="23"/>
        </w:trPr>
        <w:tc>
          <w:tcPr>
            <w:tcW w:w="1737" w:type="pct"/>
            <w:shd w:val="clear" w:color="auto" w:fill="auto"/>
            <w:vAlign w:val="bottom"/>
          </w:tcPr>
          <w:p w14:paraId="332EEBBB"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Changes in estimates and assumptions</w:t>
            </w:r>
          </w:p>
        </w:tc>
        <w:tc>
          <w:tcPr>
            <w:tcW w:w="544" w:type="pct"/>
            <w:vAlign w:val="bottom"/>
          </w:tcPr>
          <w:p w14:paraId="2A162D77"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2FDB017A"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7FD47797"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14FCC6A2"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405CE22F"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465DFACB"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737FD1C" w14:textId="77777777" w:rsidTr="00372E26">
        <w:trPr>
          <w:trHeight w:val="23"/>
        </w:trPr>
        <w:tc>
          <w:tcPr>
            <w:tcW w:w="1737" w:type="pct"/>
            <w:shd w:val="clear" w:color="auto" w:fill="auto"/>
            <w:vAlign w:val="bottom"/>
          </w:tcPr>
          <w:p w14:paraId="0C49B49E" w14:textId="77777777" w:rsidR="00D83E33" w:rsidRPr="00E837F2" w:rsidRDefault="00BC4072" w:rsidP="001B330E">
            <w:pPr>
              <w:widowControl w:val="0"/>
              <w:pBdr>
                <w:top w:val="nil"/>
                <w:left w:val="nil"/>
                <w:bottom w:val="nil"/>
                <w:right w:val="nil"/>
                <w:between w:val="nil"/>
              </w:pBdr>
              <w:ind w:left="113" w:hanging="113"/>
              <w:rPr>
                <w:color w:val="000000"/>
                <w:vertAlign w:val="superscript"/>
              </w:rPr>
            </w:pPr>
            <w:r w:rsidRPr="00E837F2">
              <w:rPr>
                <w:color w:val="000000"/>
              </w:rPr>
              <w:t>Other movements</w:t>
            </w:r>
          </w:p>
        </w:tc>
        <w:tc>
          <w:tcPr>
            <w:tcW w:w="544" w:type="pct"/>
            <w:vAlign w:val="bottom"/>
          </w:tcPr>
          <w:p w14:paraId="02A2CB06"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3A534C71"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28A86BCA"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603BDB9A"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73649E20"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7613232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1538EBB" w14:textId="77777777" w:rsidTr="00372E26">
        <w:trPr>
          <w:trHeight w:val="23"/>
        </w:trPr>
        <w:tc>
          <w:tcPr>
            <w:tcW w:w="1737" w:type="pct"/>
            <w:tcBorders>
              <w:bottom w:val="single" w:sz="4" w:space="0" w:color="000000"/>
            </w:tcBorders>
            <w:shd w:val="clear" w:color="auto" w:fill="auto"/>
            <w:vAlign w:val="bottom"/>
          </w:tcPr>
          <w:p w14:paraId="19F5FDB5"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bottom w:val="single" w:sz="4" w:space="0" w:color="000000"/>
            </w:tcBorders>
            <w:vAlign w:val="bottom"/>
          </w:tcPr>
          <w:p w14:paraId="0D12B6C3" w14:textId="77777777" w:rsidR="00D83E33" w:rsidRPr="00E837F2" w:rsidRDefault="00D83E33">
            <w:pPr>
              <w:widowControl w:val="0"/>
              <w:pBdr>
                <w:top w:val="nil"/>
                <w:left w:val="nil"/>
                <w:bottom w:val="nil"/>
                <w:right w:val="nil"/>
                <w:between w:val="nil"/>
              </w:pBdr>
              <w:jc w:val="right"/>
              <w:rPr>
                <w:color w:val="000000"/>
              </w:rPr>
            </w:pPr>
          </w:p>
        </w:tc>
        <w:tc>
          <w:tcPr>
            <w:tcW w:w="674" w:type="pct"/>
            <w:tcBorders>
              <w:bottom w:val="single" w:sz="4" w:space="0" w:color="000000"/>
            </w:tcBorders>
            <w:vAlign w:val="bottom"/>
          </w:tcPr>
          <w:p w14:paraId="21FA1E8C" w14:textId="77777777" w:rsidR="00D83E33" w:rsidRPr="00E837F2" w:rsidRDefault="00D83E33">
            <w:pPr>
              <w:widowControl w:val="0"/>
              <w:pBdr>
                <w:top w:val="nil"/>
                <w:left w:val="nil"/>
                <w:bottom w:val="nil"/>
                <w:right w:val="nil"/>
                <w:between w:val="nil"/>
              </w:pBdr>
              <w:jc w:val="right"/>
              <w:rPr>
                <w:color w:val="000000"/>
              </w:rPr>
            </w:pPr>
          </w:p>
        </w:tc>
        <w:tc>
          <w:tcPr>
            <w:tcW w:w="415" w:type="pct"/>
            <w:tcBorders>
              <w:bottom w:val="single" w:sz="4" w:space="0" w:color="000000"/>
            </w:tcBorders>
            <w:shd w:val="clear" w:color="auto" w:fill="auto"/>
            <w:vAlign w:val="bottom"/>
          </w:tcPr>
          <w:p w14:paraId="1372B42F"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327721F4" w14:textId="77777777" w:rsidR="00D83E33" w:rsidRPr="00E837F2" w:rsidRDefault="00D83E33">
            <w:pPr>
              <w:widowControl w:val="0"/>
              <w:pBdr>
                <w:top w:val="nil"/>
                <w:left w:val="nil"/>
                <w:bottom w:val="nil"/>
                <w:right w:val="nil"/>
                <w:between w:val="nil"/>
              </w:pBdr>
              <w:jc w:val="right"/>
              <w:rPr>
                <w:color w:val="000000"/>
              </w:rPr>
            </w:pPr>
          </w:p>
        </w:tc>
        <w:tc>
          <w:tcPr>
            <w:tcW w:w="632" w:type="pct"/>
            <w:tcBorders>
              <w:bottom w:val="single" w:sz="4" w:space="0" w:color="000000"/>
            </w:tcBorders>
          </w:tcPr>
          <w:p w14:paraId="1F5E4DEE" w14:textId="77777777" w:rsidR="00D83E33" w:rsidRPr="00E837F2" w:rsidRDefault="00D83E33">
            <w:pPr>
              <w:widowControl w:val="0"/>
              <w:pBdr>
                <w:top w:val="nil"/>
                <w:left w:val="nil"/>
                <w:bottom w:val="nil"/>
                <w:right w:val="nil"/>
                <w:between w:val="nil"/>
              </w:pBdr>
              <w:jc w:val="right"/>
              <w:rPr>
                <w:color w:val="000000"/>
              </w:rPr>
            </w:pPr>
          </w:p>
        </w:tc>
        <w:tc>
          <w:tcPr>
            <w:tcW w:w="454" w:type="pct"/>
            <w:tcBorders>
              <w:bottom w:val="single" w:sz="4" w:space="0" w:color="000000"/>
            </w:tcBorders>
          </w:tcPr>
          <w:p w14:paraId="7FE0777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D380531" w14:textId="77777777" w:rsidTr="00372E26">
        <w:trPr>
          <w:trHeight w:val="23"/>
        </w:trPr>
        <w:tc>
          <w:tcPr>
            <w:tcW w:w="1737" w:type="pct"/>
            <w:tcBorders>
              <w:top w:val="single" w:sz="4" w:space="0" w:color="000000"/>
            </w:tcBorders>
            <w:shd w:val="clear" w:color="auto" w:fill="auto"/>
            <w:vAlign w:val="bottom"/>
          </w:tcPr>
          <w:p w14:paraId="5D9783DC"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top w:val="single" w:sz="4" w:space="0" w:color="000000"/>
            </w:tcBorders>
            <w:vAlign w:val="bottom"/>
          </w:tcPr>
          <w:p w14:paraId="18AA664A" w14:textId="77777777" w:rsidR="00D83E33" w:rsidRPr="00E837F2" w:rsidRDefault="00D83E33">
            <w:pPr>
              <w:widowControl w:val="0"/>
              <w:pBdr>
                <w:top w:val="nil"/>
                <w:left w:val="nil"/>
                <w:bottom w:val="nil"/>
                <w:right w:val="nil"/>
                <w:between w:val="nil"/>
              </w:pBdr>
              <w:jc w:val="right"/>
              <w:rPr>
                <w:color w:val="000000"/>
              </w:rPr>
            </w:pPr>
          </w:p>
        </w:tc>
        <w:tc>
          <w:tcPr>
            <w:tcW w:w="674" w:type="pct"/>
            <w:tcBorders>
              <w:top w:val="single" w:sz="4" w:space="0" w:color="000000"/>
            </w:tcBorders>
            <w:vAlign w:val="bottom"/>
          </w:tcPr>
          <w:p w14:paraId="5C22F6C7" w14:textId="77777777" w:rsidR="00D83E33" w:rsidRPr="00E837F2" w:rsidRDefault="00D83E33">
            <w:pPr>
              <w:widowControl w:val="0"/>
              <w:pBdr>
                <w:top w:val="nil"/>
                <w:left w:val="nil"/>
                <w:bottom w:val="nil"/>
                <w:right w:val="nil"/>
                <w:between w:val="nil"/>
              </w:pBdr>
              <w:jc w:val="right"/>
              <w:rPr>
                <w:color w:val="000000"/>
              </w:rPr>
            </w:pPr>
          </w:p>
        </w:tc>
        <w:tc>
          <w:tcPr>
            <w:tcW w:w="415" w:type="pct"/>
            <w:tcBorders>
              <w:top w:val="single" w:sz="4" w:space="0" w:color="000000"/>
            </w:tcBorders>
            <w:shd w:val="clear" w:color="auto" w:fill="auto"/>
            <w:vAlign w:val="bottom"/>
          </w:tcPr>
          <w:p w14:paraId="44621E96"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033C48B9" w14:textId="77777777" w:rsidR="00D83E33" w:rsidRPr="00E837F2" w:rsidRDefault="00D83E33">
            <w:pPr>
              <w:widowControl w:val="0"/>
              <w:pBdr>
                <w:top w:val="nil"/>
                <w:left w:val="nil"/>
                <w:bottom w:val="nil"/>
                <w:right w:val="nil"/>
                <w:between w:val="nil"/>
              </w:pBdr>
              <w:jc w:val="right"/>
              <w:rPr>
                <w:color w:val="000000"/>
              </w:rPr>
            </w:pPr>
          </w:p>
        </w:tc>
        <w:tc>
          <w:tcPr>
            <w:tcW w:w="632" w:type="pct"/>
            <w:tcBorders>
              <w:top w:val="single" w:sz="4" w:space="0" w:color="000000"/>
            </w:tcBorders>
          </w:tcPr>
          <w:p w14:paraId="3ABE87B9" w14:textId="77777777" w:rsidR="00D83E33" w:rsidRPr="00E837F2" w:rsidRDefault="00D83E33">
            <w:pPr>
              <w:widowControl w:val="0"/>
              <w:pBdr>
                <w:top w:val="nil"/>
                <w:left w:val="nil"/>
                <w:bottom w:val="nil"/>
                <w:right w:val="nil"/>
                <w:between w:val="nil"/>
              </w:pBdr>
              <w:jc w:val="right"/>
              <w:rPr>
                <w:color w:val="000000"/>
              </w:rPr>
            </w:pPr>
          </w:p>
        </w:tc>
        <w:tc>
          <w:tcPr>
            <w:tcW w:w="454" w:type="pct"/>
            <w:tcBorders>
              <w:top w:val="single" w:sz="4" w:space="0" w:color="000000"/>
            </w:tcBorders>
          </w:tcPr>
          <w:p w14:paraId="3A69859F"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CB931A9" w14:textId="77777777" w:rsidTr="00372E26">
        <w:trPr>
          <w:trHeight w:val="23"/>
        </w:trPr>
        <w:tc>
          <w:tcPr>
            <w:tcW w:w="1737" w:type="pct"/>
            <w:shd w:val="clear" w:color="auto" w:fill="auto"/>
            <w:vAlign w:val="bottom"/>
          </w:tcPr>
          <w:p w14:paraId="692C203C" w14:textId="6F08109C"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 xml:space="preserve">Total credit loss allowance charge in profit or loss for the period </w:t>
            </w:r>
          </w:p>
        </w:tc>
        <w:tc>
          <w:tcPr>
            <w:tcW w:w="544" w:type="pct"/>
            <w:vAlign w:val="bottom"/>
          </w:tcPr>
          <w:p w14:paraId="5CDD8C51" w14:textId="77777777" w:rsidR="00D83E33" w:rsidRPr="00E837F2" w:rsidRDefault="00BC4072">
            <w:pPr>
              <w:widowControl w:val="0"/>
              <w:pBdr>
                <w:top w:val="nil"/>
                <w:left w:val="nil"/>
                <w:bottom w:val="nil"/>
                <w:right w:val="nil"/>
                <w:between w:val="nil"/>
              </w:pBdr>
              <w:jc w:val="right"/>
              <w:rPr>
                <w:color w:val="000000"/>
              </w:rPr>
            </w:pPr>
            <w:r w:rsidRPr="00E837F2">
              <w:rPr>
                <w:color w:val="000000"/>
              </w:rPr>
              <w:t>-</w:t>
            </w:r>
          </w:p>
        </w:tc>
        <w:tc>
          <w:tcPr>
            <w:tcW w:w="674" w:type="pct"/>
            <w:vAlign w:val="bottom"/>
          </w:tcPr>
          <w:p w14:paraId="3A5CD632"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1691FCAE"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799761BE"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3F8DC19D"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3C498D29"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F997C2F" w14:textId="77777777" w:rsidTr="00372E26">
        <w:trPr>
          <w:trHeight w:val="23"/>
        </w:trPr>
        <w:tc>
          <w:tcPr>
            <w:tcW w:w="1737" w:type="pct"/>
            <w:tcBorders>
              <w:bottom w:val="single" w:sz="4" w:space="0" w:color="000000"/>
            </w:tcBorders>
            <w:shd w:val="clear" w:color="auto" w:fill="auto"/>
            <w:vAlign w:val="bottom"/>
          </w:tcPr>
          <w:p w14:paraId="17B32372"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bottom w:val="single" w:sz="4" w:space="0" w:color="000000"/>
            </w:tcBorders>
            <w:vAlign w:val="bottom"/>
          </w:tcPr>
          <w:p w14:paraId="4E639A6A" w14:textId="77777777" w:rsidR="00D83E33" w:rsidRPr="00E837F2" w:rsidRDefault="00D83E33">
            <w:pPr>
              <w:widowControl w:val="0"/>
              <w:pBdr>
                <w:top w:val="nil"/>
                <w:left w:val="nil"/>
                <w:bottom w:val="nil"/>
                <w:right w:val="nil"/>
                <w:between w:val="nil"/>
              </w:pBdr>
              <w:jc w:val="right"/>
              <w:rPr>
                <w:color w:val="000000"/>
              </w:rPr>
            </w:pPr>
          </w:p>
        </w:tc>
        <w:tc>
          <w:tcPr>
            <w:tcW w:w="674" w:type="pct"/>
            <w:tcBorders>
              <w:bottom w:val="single" w:sz="4" w:space="0" w:color="000000"/>
            </w:tcBorders>
            <w:vAlign w:val="bottom"/>
          </w:tcPr>
          <w:p w14:paraId="5E27B1B8" w14:textId="77777777" w:rsidR="00D83E33" w:rsidRPr="00E837F2" w:rsidRDefault="00D83E33">
            <w:pPr>
              <w:widowControl w:val="0"/>
              <w:pBdr>
                <w:top w:val="nil"/>
                <w:left w:val="nil"/>
                <w:bottom w:val="nil"/>
                <w:right w:val="nil"/>
                <w:between w:val="nil"/>
              </w:pBdr>
              <w:jc w:val="right"/>
              <w:rPr>
                <w:color w:val="000000"/>
              </w:rPr>
            </w:pPr>
          </w:p>
        </w:tc>
        <w:tc>
          <w:tcPr>
            <w:tcW w:w="415" w:type="pct"/>
            <w:tcBorders>
              <w:bottom w:val="single" w:sz="4" w:space="0" w:color="000000"/>
            </w:tcBorders>
            <w:shd w:val="clear" w:color="auto" w:fill="auto"/>
            <w:vAlign w:val="bottom"/>
          </w:tcPr>
          <w:p w14:paraId="33D9B82F"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427BC2D5" w14:textId="77777777" w:rsidR="00D83E33" w:rsidRPr="00E837F2" w:rsidRDefault="00D83E33">
            <w:pPr>
              <w:widowControl w:val="0"/>
              <w:pBdr>
                <w:top w:val="nil"/>
                <w:left w:val="nil"/>
                <w:bottom w:val="nil"/>
                <w:right w:val="nil"/>
                <w:between w:val="nil"/>
              </w:pBdr>
              <w:jc w:val="right"/>
              <w:rPr>
                <w:color w:val="000000"/>
              </w:rPr>
            </w:pPr>
          </w:p>
        </w:tc>
        <w:tc>
          <w:tcPr>
            <w:tcW w:w="632" w:type="pct"/>
            <w:tcBorders>
              <w:bottom w:val="single" w:sz="4" w:space="0" w:color="000000"/>
            </w:tcBorders>
          </w:tcPr>
          <w:p w14:paraId="20EE4477" w14:textId="77777777" w:rsidR="00D83E33" w:rsidRPr="00E837F2" w:rsidRDefault="00D83E33">
            <w:pPr>
              <w:widowControl w:val="0"/>
              <w:pBdr>
                <w:top w:val="nil"/>
                <w:left w:val="nil"/>
                <w:bottom w:val="nil"/>
                <w:right w:val="nil"/>
                <w:between w:val="nil"/>
              </w:pBdr>
              <w:jc w:val="right"/>
              <w:rPr>
                <w:color w:val="000000"/>
              </w:rPr>
            </w:pPr>
          </w:p>
        </w:tc>
        <w:tc>
          <w:tcPr>
            <w:tcW w:w="454" w:type="pct"/>
            <w:tcBorders>
              <w:bottom w:val="single" w:sz="4" w:space="0" w:color="000000"/>
            </w:tcBorders>
          </w:tcPr>
          <w:p w14:paraId="6FC54FF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210DD30E" w14:textId="77777777" w:rsidTr="00372E26">
        <w:trPr>
          <w:trHeight w:val="23"/>
        </w:trPr>
        <w:tc>
          <w:tcPr>
            <w:tcW w:w="1737" w:type="pct"/>
            <w:tcBorders>
              <w:top w:val="single" w:sz="4" w:space="0" w:color="000000"/>
            </w:tcBorders>
            <w:shd w:val="clear" w:color="auto" w:fill="auto"/>
            <w:vAlign w:val="bottom"/>
          </w:tcPr>
          <w:p w14:paraId="3E3E25F7" w14:textId="77777777" w:rsidR="00D83E33" w:rsidRPr="00E837F2" w:rsidRDefault="00D83E33" w:rsidP="001B330E">
            <w:pPr>
              <w:widowControl w:val="0"/>
              <w:pBdr>
                <w:top w:val="nil"/>
                <w:left w:val="nil"/>
                <w:bottom w:val="nil"/>
                <w:right w:val="nil"/>
                <w:between w:val="nil"/>
              </w:pBdr>
              <w:ind w:left="113" w:hanging="113"/>
              <w:rPr>
                <w:color w:val="000000"/>
              </w:rPr>
            </w:pPr>
          </w:p>
        </w:tc>
        <w:tc>
          <w:tcPr>
            <w:tcW w:w="544" w:type="pct"/>
            <w:tcBorders>
              <w:top w:val="single" w:sz="4" w:space="0" w:color="000000"/>
            </w:tcBorders>
            <w:vAlign w:val="bottom"/>
          </w:tcPr>
          <w:p w14:paraId="71433730" w14:textId="77777777" w:rsidR="00D83E33" w:rsidRPr="00E837F2" w:rsidRDefault="00D83E33">
            <w:pPr>
              <w:widowControl w:val="0"/>
              <w:pBdr>
                <w:top w:val="nil"/>
                <w:left w:val="nil"/>
                <w:bottom w:val="nil"/>
                <w:right w:val="nil"/>
                <w:between w:val="nil"/>
              </w:pBdr>
              <w:jc w:val="right"/>
              <w:rPr>
                <w:color w:val="000000"/>
              </w:rPr>
            </w:pPr>
          </w:p>
        </w:tc>
        <w:tc>
          <w:tcPr>
            <w:tcW w:w="674" w:type="pct"/>
            <w:tcBorders>
              <w:top w:val="single" w:sz="4" w:space="0" w:color="000000"/>
            </w:tcBorders>
            <w:vAlign w:val="bottom"/>
          </w:tcPr>
          <w:p w14:paraId="3AA93110" w14:textId="77777777" w:rsidR="00D83E33" w:rsidRPr="00E837F2" w:rsidRDefault="00D83E33">
            <w:pPr>
              <w:widowControl w:val="0"/>
              <w:pBdr>
                <w:top w:val="nil"/>
                <w:left w:val="nil"/>
                <w:bottom w:val="nil"/>
                <w:right w:val="nil"/>
                <w:between w:val="nil"/>
              </w:pBdr>
              <w:jc w:val="right"/>
              <w:rPr>
                <w:color w:val="000000"/>
              </w:rPr>
            </w:pPr>
          </w:p>
        </w:tc>
        <w:tc>
          <w:tcPr>
            <w:tcW w:w="415" w:type="pct"/>
            <w:tcBorders>
              <w:top w:val="single" w:sz="4" w:space="0" w:color="000000"/>
            </w:tcBorders>
            <w:shd w:val="clear" w:color="auto" w:fill="auto"/>
            <w:vAlign w:val="bottom"/>
          </w:tcPr>
          <w:p w14:paraId="07CBF9C6"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3739D4EE" w14:textId="77777777" w:rsidR="00D83E33" w:rsidRPr="00E837F2" w:rsidRDefault="00D83E33">
            <w:pPr>
              <w:widowControl w:val="0"/>
              <w:pBdr>
                <w:top w:val="nil"/>
                <w:left w:val="nil"/>
                <w:bottom w:val="nil"/>
                <w:right w:val="nil"/>
                <w:between w:val="nil"/>
              </w:pBdr>
              <w:jc w:val="right"/>
              <w:rPr>
                <w:color w:val="000000"/>
              </w:rPr>
            </w:pPr>
          </w:p>
        </w:tc>
        <w:tc>
          <w:tcPr>
            <w:tcW w:w="632" w:type="pct"/>
            <w:tcBorders>
              <w:top w:val="single" w:sz="4" w:space="0" w:color="000000"/>
            </w:tcBorders>
          </w:tcPr>
          <w:p w14:paraId="40AA8A8C" w14:textId="77777777" w:rsidR="00D83E33" w:rsidRPr="00E837F2" w:rsidRDefault="00D83E33">
            <w:pPr>
              <w:widowControl w:val="0"/>
              <w:pBdr>
                <w:top w:val="nil"/>
                <w:left w:val="nil"/>
                <w:bottom w:val="nil"/>
                <w:right w:val="nil"/>
                <w:between w:val="nil"/>
              </w:pBdr>
              <w:jc w:val="right"/>
              <w:rPr>
                <w:color w:val="000000"/>
              </w:rPr>
            </w:pPr>
          </w:p>
        </w:tc>
        <w:tc>
          <w:tcPr>
            <w:tcW w:w="454" w:type="pct"/>
            <w:tcBorders>
              <w:top w:val="single" w:sz="4" w:space="0" w:color="000000"/>
            </w:tcBorders>
          </w:tcPr>
          <w:p w14:paraId="6991FFC3"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52B2B79A" w14:textId="77777777" w:rsidTr="00372E26">
        <w:trPr>
          <w:trHeight w:val="23"/>
        </w:trPr>
        <w:tc>
          <w:tcPr>
            <w:tcW w:w="1737" w:type="pct"/>
            <w:shd w:val="clear" w:color="auto" w:fill="auto"/>
            <w:vAlign w:val="bottom"/>
          </w:tcPr>
          <w:p w14:paraId="2A667330"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Write-offs</w:t>
            </w:r>
          </w:p>
        </w:tc>
        <w:tc>
          <w:tcPr>
            <w:tcW w:w="544" w:type="pct"/>
            <w:vAlign w:val="bottom"/>
          </w:tcPr>
          <w:p w14:paraId="375DCDA2"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24A6877C"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23A86C67"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0F53626B"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0CF362CA"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70219088"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419B9449" w14:textId="77777777" w:rsidTr="00372E26">
        <w:trPr>
          <w:trHeight w:val="23"/>
        </w:trPr>
        <w:tc>
          <w:tcPr>
            <w:tcW w:w="1737" w:type="pct"/>
            <w:shd w:val="clear" w:color="auto" w:fill="auto"/>
            <w:vAlign w:val="bottom"/>
          </w:tcPr>
          <w:p w14:paraId="2D3A7513"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Foreign exchange gains and losses</w:t>
            </w:r>
          </w:p>
        </w:tc>
        <w:tc>
          <w:tcPr>
            <w:tcW w:w="544" w:type="pct"/>
            <w:vAlign w:val="bottom"/>
          </w:tcPr>
          <w:p w14:paraId="36AA237C"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38200DC3"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40BCB0C8"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21D6B250"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44836FBE"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0162AD36"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728EA7F5" w14:textId="77777777" w:rsidTr="00372E26">
        <w:trPr>
          <w:trHeight w:val="23"/>
        </w:trPr>
        <w:tc>
          <w:tcPr>
            <w:tcW w:w="1737" w:type="pct"/>
            <w:shd w:val="clear" w:color="auto" w:fill="auto"/>
            <w:vAlign w:val="bottom"/>
          </w:tcPr>
          <w:p w14:paraId="089479AF" w14:textId="77777777" w:rsidR="00D83E33" w:rsidRPr="00E837F2" w:rsidRDefault="00BC4072" w:rsidP="001B330E">
            <w:pPr>
              <w:widowControl w:val="0"/>
              <w:pBdr>
                <w:top w:val="nil"/>
                <w:left w:val="nil"/>
                <w:bottom w:val="nil"/>
                <w:right w:val="nil"/>
                <w:between w:val="nil"/>
              </w:pBdr>
              <w:ind w:left="113" w:hanging="113"/>
              <w:rPr>
                <w:color w:val="000000"/>
              </w:rPr>
            </w:pPr>
            <w:r w:rsidRPr="00E837F2">
              <w:rPr>
                <w:color w:val="000000"/>
              </w:rPr>
              <w:t>Modification of contractual cash flows</w:t>
            </w:r>
          </w:p>
        </w:tc>
        <w:tc>
          <w:tcPr>
            <w:tcW w:w="544" w:type="pct"/>
            <w:vAlign w:val="bottom"/>
          </w:tcPr>
          <w:p w14:paraId="430CE040"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6003E17F"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0FEEB4B5"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39748FD"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6DD7E574"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0E8A814A"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63045420" w14:textId="77777777" w:rsidTr="00372E26">
        <w:trPr>
          <w:trHeight w:val="23"/>
        </w:trPr>
        <w:tc>
          <w:tcPr>
            <w:tcW w:w="1737" w:type="pct"/>
            <w:tcBorders>
              <w:bottom w:val="single" w:sz="4" w:space="0" w:color="000000"/>
            </w:tcBorders>
            <w:shd w:val="clear" w:color="auto" w:fill="auto"/>
            <w:vAlign w:val="bottom"/>
          </w:tcPr>
          <w:p w14:paraId="65CE450F" w14:textId="77777777" w:rsidR="00D83E33" w:rsidRPr="00E837F2" w:rsidRDefault="00D83E33" w:rsidP="001B330E">
            <w:pPr>
              <w:widowControl w:val="0"/>
              <w:pBdr>
                <w:top w:val="nil"/>
                <w:left w:val="nil"/>
                <w:bottom w:val="nil"/>
                <w:right w:val="nil"/>
                <w:between w:val="nil"/>
              </w:pBdr>
              <w:ind w:left="113" w:hanging="113"/>
              <w:rPr>
                <w:b/>
                <w:color w:val="000000"/>
              </w:rPr>
            </w:pPr>
          </w:p>
        </w:tc>
        <w:tc>
          <w:tcPr>
            <w:tcW w:w="544" w:type="pct"/>
            <w:tcBorders>
              <w:bottom w:val="single" w:sz="4" w:space="0" w:color="000000"/>
            </w:tcBorders>
            <w:vAlign w:val="bottom"/>
          </w:tcPr>
          <w:p w14:paraId="353C2F62" w14:textId="77777777" w:rsidR="00D83E33" w:rsidRPr="00E837F2" w:rsidRDefault="00D83E33">
            <w:pPr>
              <w:widowControl w:val="0"/>
              <w:pBdr>
                <w:top w:val="nil"/>
                <w:left w:val="nil"/>
                <w:bottom w:val="nil"/>
                <w:right w:val="nil"/>
                <w:between w:val="nil"/>
              </w:pBdr>
              <w:jc w:val="right"/>
              <w:rPr>
                <w:color w:val="000000"/>
              </w:rPr>
            </w:pPr>
          </w:p>
        </w:tc>
        <w:tc>
          <w:tcPr>
            <w:tcW w:w="674" w:type="pct"/>
            <w:tcBorders>
              <w:bottom w:val="single" w:sz="4" w:space="0" w:color="000000"/>
            </w:tcBorders>
            <w:vAlign w:val="bottom"/>
          </w:tcPr>
          <w:p w14:paraId="60F2A1C2" w14:textId="77777777" w:rsidR="00D83E33" w:rsidRPr="00E837F2" w:rsidRDefault="00D83E33">
            <w:pPr>
              <w:widowControl w:val="0"/>
              <w:pBdr>
                <w:top w:val="nil"/>
                <w:left w:val="nil"/>
                <w:bottom w:val="nil"/>
                <w:right w:val="nil"/>
                <w:between w:val="nil"/>
              </w:pBdr>
              <w:jc w:val="right"/>
              <w:rPr>
                <w:color w:val="000000"/>
              </w:rPr>
            </w:pPr>
          </w:p>
        </w:tc>
        <w:tc>
          <w:tcPr>
            <w:tcW w:w="415" w:type="pct"/>
            <w:tcBorders>
              <w:bottom w:val="single" w:sz="4" w:space="0" w:color="000000"/>
            </w:tcBorders>
            <w:shd w:val="clear" w:color="auto" w:fill="auto"/>
            <w:vAlign w:val="bottom"/>
          </w:tcPr>
          <w:p w14:paraId="5734838A"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4" w:space="0" w:color="000000"/>
            </w:tcBorders>
          </w:tcPr>
          <w:p w14:paraId="14A72CD6" w14:textId="77777777" w:rsidR="00D83E33" w:rsidRPr="00E837F2" w:rsidRDefault="00D83E33">
            <w:pPr>
              <w:widowControl w:val="0"/>
              <w:pBdr>
                <w:top w:val="nil"/>
                <w:left w:val="nil"/>
                <w:bottom w:val="nil"/>
                <w:right w:val="nil"/>
                <w:between w:val="nil"/>
              </w:pBdr>
              <w:jc w:val="right"/>
              <w:rPr>
                <w:color w:val="000000"/>
              </w:rPr>
            </w:pPr>
          </w:p>
        </w:tc>
        <w:tc>
          <w:tcPr>
            <w:tcW w:w="632" w:type="pct"/>
            <w:tcBorders>
              <w:bottom w:val="single" w:sz="4" w:space="0" w:color="000000"/>
            </w:tcBorders>
          </w:tcPr>
          <w:p w14:paraId="6C6FD034" w14:textId="77777777" w:rsidR="00D83E33" w:rsidRPr="00E837F2" w:rsidRDefault="00D83E33">
            <w:pPr>
              <w:widowControl w:val="0"/>
              <w:pBdr>
                <w:top w:val="nil"/>
                <w:left w:val="nil"/>
                <w:bottom w:val="nil"/>
                <w:right w:val="nil"/>
                <w:between w:val="nil"/>
              </w:pBdr>
              <w:jc w:val="right"/>
              <w:rPr>
                <w:color w:val="000000"/>
              </w:rPr>
            </w:pPr>
          </w:p>
        </w:tc>
        <w:tc>
          <w:tcPr>
            <w:tcW w:w="454" w:type="pct"/>
            <w:tcBorders>
              <w:bottom w:val="single" w:sz="4" w:space="0" w:color="000000"/>
            </w:tcBorders>
          </w:tcPr>
          <w:p w14:paraId="1893392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004557D6" w14:textId="77777777" w:rsidTr="00372E26">
        <w:trPr>
          <w:trHeight w:val="23"/>
        </w:trPr>
        <w:tc>
          <w:tcPr>
            <w:tcW w:w="1737" w:type="pct"/>
            <w:tcBorders>
              <w:top w:val="single" w:sz="4" w:space="0" w:color="000000"/>
            </w:tcBorders>
            <w:shd w:val="clear" w:color="auto" w:fill="auto"/>
            <w:vAlign w:val="bottom"/>
          </w:tcPr>
          <w:p w14:paraId="381C29FD" w14:textId="77777777" w:rsidR="00D83E33" w:rsidRPr="00E837F2" w:rsidRDefault="00D83E33" w:rsidP="001B330E">
            <w:pPr>
              <w:widowControl w:val="0"/>
              <w:pBdr>
                <w:top w:val="nil"/>
                <w:left w:val="nil"/>
                <w:bottom w:val="nil"/>
                <w:right w:val="nil"/>
                <w:between w:val="nil"/>
              </w:pBdr>
              <w:ind w:left="113" w:hanging="113"/>
              <w:rPr>
                <w:color w:val="000000"/>
                <w:u w:val="single"/>
              </w:rPr>
            </w:pPr>
          </w:p>
        </w:tc>
        <w:tc>
          <w:tcPr>
            <w:tcW w:w="544" w:type="pct"/>
            <w:tcBorders>
              <w:top w:val="single" w:sz="4" w:space="0" w:color="000000"/>
            </w:tcBorders>
            <w:vAlign w:val="bottom"/>
          </w:tcPr>
          <w:p w14:paraId="2B83AB00" w14:textId="77777777" w:rsidR="00D83E33" w:rsidRPr="00E837F2" w:rsidRDefault="00D83E33">
            <w:pPr>
              <w:widowControl w:val="0"/>
              <w:pBdr>
                <w:top w:val="nil"/>
                <w:left w:val="nil"/>
                <w:bottom w:val="nil"/>
                <w:right w:val="nil"/>
                <w:between w:val="nil"/>
              </w:pBdr>
              <w:jc w:val="right"/>
              <w:rPr>
                <w:color w:val="000000"/>
              </w:rPr>
            </w:pPr>
          </w:p>
        </w:tc>
        <w:tc>
          <w:tcPr>
            <w:tcW w:w="674" w:type="pct"/>
            <w:tcBorders>
              <w:top w:val="single" w:sz="4" w:space="0" w:color="000000"/>
            </w:tcBorders>
            <w:vAlign w:val="bottom"/>
          </w:tcPr>
          <w:p w14:paraId="7543DB8A" w14:textId="77777777" w:rsidR="00D83E33" w:rsidRPr="00E837F2" w:rsidRDefault="00D83E33">
            <w:pPr>
              <w:widowControl w:val="0"/>
              <w:pBdr>
                <w:top w:val="nil"/>
                <w:left w:val="nil"/>
                <w:bottom w:val="nil"/>
                <w:right w:val="nil"/>
                <w:between w:val="nil"/>
              </w:pBdr>
              <w:jc w:val="right"/>
              <w:rPr>
                <w:color w:val="000000"/>
              </w:rPr>
            </w:pPr>
          </w:p>
        </w:tc>
        <w:tc>
          <w:tcPr>
            <w:tcW w:w="415" w:type="pct"/>
            <w:tcBorders>
              <w:top w:val="single" w:sz="4" w:space="0" w:color="000000"/>
            </w:tcBorders>
            <w:shd w:val="clear" w:color="auto" w:fill="auto"/>
            <w:vAlign w:val="bottom"/>
          </w:tcPr>
          <w:p w14:paraId="474A3458"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top w:val="single" w:sz="4" w:space="0" w:color="000000"/>
            </w:tcBorders>
          </w:tcPr>
          <w:p w14:paraId="04C6ED83" w14:textId="77777777" w:rsidR="00D83E33" w:rsidRPr="00E837F2" w:rsidRDefault="00D83E33">
            <w:pPr>
              <w:widowControl w:val="0"/>
              <w:pBdr>
                <w:top w:val="nil"/>
                <w:left w:val="nil"/>
                <w:bottom w:val="nil"/>
                <w:right w:val="nil"/>
                <w:between w:val="nil"/>
              </w:pBdr>
              <w:jc w:val="right"/>
              <w:rPr>
                <w:color w:val="000000"/>
              </w:rPr>
            </w:pPr>
          </w:p>
        </w:tc>
        <w:tc>
          <w:tcPr>
            <w:tcW w:w="632" w:type="pct"/>
            <w:tcBorders>
              <w:top w:val="single" w:sz="4" w:space="0" w:color="000000"/>
            </w:tcBorders>
          </w:tcPr>
          <w:p w14:paraId="5E927063" w14:textId="77777777" w:rsidR="00D83E33" w:rsidRPr="00E837F2" w:rsidRDefault="00D83E33">
            <w:pPr>
              <w:widowControl w:val="0"/>
              <w:pBdr>
                <w:top w:val="nil"/>
                <w:left w:val="nil"/>
                <w:bottom w:val="nil"/>
                <w:right w:val="nil"/>
                <w:between w:val="nil"/>
              </w:pBdr>
              <w:jc w:val="right"/>
              <w:rPr>
                <w:color w:val="000000"/>
              </w:rPr>
            </w:pPr>
          </w:p>
        </w:tc>
        <w:tc>
          <w:tcPr>
            <w:tcW w:w="454" w:type="pct"/>
            <w:tcBorders>
              <w:top w:val="single" w:sz="4" w:space="0" w:color="000000"/>
            </w:tcBorders>
          </w:tcPr>
          <w:p w14:paraId="32EE6FD7"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38CF5F68" w14:textId="77777777" w:rsidTr="00372E26">
        <w:trPr>
          <w:trHeight w:val="23"/>
        </w:trPr>
        <w:tc>
          <w:tcPr>
            <w:tcW w:w="1737" w:type="pct"/>
            <w:shd w:val="clear" w:color="auto" w:fill="auto"/>
            <w:vAlign w:val="bottom"/>
          </w:tcPr>
          <w:p w14:paraId="7F476037" w14:textId="4E83E603" w:rsidR="00D83E33" w:rsidRPr="00E837F2" w:rsidRDefault="00BC4072" w:rsidP="001B330E">
            <w:pPr>
              <w:widowControl w:val="0"/>
              <w:pBdr>
                <w:top w:val="nil"/>
                <w:left w:val="nil"/>
                <w:bottom w:val="nil"/>
                <w:right w:val="nil"/>
                <w:between w:val="nil"/>
              </w:pBdr>
              <w:ind w:left="113" w:hanging="113"/>
              <w:rPr>
                <w:b/>
                <w:color w:val="000000"/>
              </w:rPr>
            </w:pPr>
            <w:r w:rsidRPr="00E837F2">
              <w:rPr>
                <w:b/>
                <w:color w:val="000000"/>
              </w:rPr>
              <w:t>Balance at 31</w:t>
            </w:r>
            <w:r w:rsidR="00181687">
              <w:rPr>
                <w:b/>
                <w:color w:val="000000"/>
              </w:rPr>
              <w:t> December </w:t>
            </w:r>
          </w:p>
        </w:tc>
        <w:tc>
          <w:tcPr>
            <w:tcW w:w="544" w:type="pct"/>
            <w:vAlign w:val="bottom"/>
          </w:tcPr>
          <w:p w14:paraId="70431604" w14:textId="77777777" w:rsidR="00D83E33" w:rsidRPr="00E837F2" w:rsidRDefault="00D83E33">
            <w:pPr>
              <w:widowControl w:val="0"/>
              <w:pBdr>
                <w:top w:val="nil"/>
                <w:left w:val="nil"/>
                <w:bottom w:val="nil"/>
                <w:right w:val="nil"/>
                <w:between w:val="nil"/>
              </w:pBdr>
              <w:jc w:val="right"/>
              <w:rPr>
                <w:color w:val="000000"/>
              </w:rPr>
            </w:pPr>
          </w:p>
        </w:tc>
        <w:tc>
          <w:tcPr>
            <w:tcW w:w="674" w:type="pct"/>
            <w:vAlign w:val="bottom"/>
          </w:tcPr>
          <w:p w14:paraId="58B07F3A" w14:textId="77777777" w:rsidR="00D83E33" w:rsidRPr="00E837F2" w:rsidRDefault="00D83E33">
            <w:pPr>
              <w:widowControl w:val="0"/>
              <w:pBdr>
                <w:top w:val="nil"/>
                <w:left w:val="nil"/>
                <w:bottom w:val="nil"/>
                <w:right w:val="nil"/>
                <w:between w:val="nil"/>
              </w:pBdr>
              <w:jc w:val="right"/>
              <w:rPr>
                <w:color w:val="000000"/>
              </w:rPr>
            </w:pPr>
          </w:p>
        </w:tc>
        <w:tc>
          <w:tcPr>
            <w:tcW w:w="415" w:type="pct"/>
            <w:shd w:val="clear" w:color="auto" w:fill="auto"/>
            <w:vAlign w:val="bottom"/>
          </w:tcPr>
          <w:p w14:paraId="060DC3F1" w14:textId="77777777" w:rsidR="00D83E33" w:rsidRPr="00E837F2" w:rsidRDefault="00D83E33">
            <w:pPr>
              <w:widowControl w:val="0"/>
              <w:pBdr>
                <w:top w:val="nil"/>
                <w:left w:val="nil"/>
                <w:bottom w:val="nil"/>
                <w:right w:val="nil"/>
                <w:between w:val="nil"/>
              </w:pBdr>
              <w:jc w:val="right"/>
              <w:rPr>
                <w:color w:val="000000"/>
              </w:rPr>
            </w:pPr>
          </w:p>
        </w:tc>
        <w:tc>
          <w:tcPr>
            <w:tcW w:w="544" w:type="pct"/>
          </w:tcPr>
          <w:p w14:paraId="5922AF4B" w14:textId="77777777" w:rsidR="00D83E33" w:rsidRPr="00E837F2" w:rsidRDefault="00D83E33">
            <w:pPr>
              <w:widowControl w:val="0"/>
              <w:pBdr>
                <w:top w:val="nil"/>
                <w:left w:val="nil"/>
                <w:bottom w:val="nil"/>
                <w:right w:val="nil"/>
                <w:between w:val="nil"/>
              </w:pBdr>
              <w:jc w:val="right"/>
              <w:rPr>
                <w:color w:val="000000"/>
              </w:rPr>
            </w:pPr>
          </w:p>
        </w:tc>
        <w:tc>
          <w:tcPr>
            <w:tcW w:w="632" w:type="pct"/>
          </w:tcPr>
          <w:p w14:paraId="22ABB9AC" w14:textId="77777777" w:rsidR="00D83E33" w:rsidRPr="00E837F2" w:rsidRDefault="00D83E33">
            <w:pPr>
              <w:widowControl w:val="0"/>
              <w:pBdr>
                <w:top w:val="nil"/>
                <w:left w:val="nil"/>
                <w:bottom w:val="nil"/>
                <w:right w:val="nil"/>
                <w:between w:val="nil"/>
              </w:pBdr>
              <w:jc w:val="right"/>
              <w:rPr>
                <w:color w:val="000000"/>
              </w:rPr>
            </w:pPr>
          </w:p>
        </w:tc>
        <w:tc>
          <w:tcPr>
            <w:tcW w:w="454" w:type="pct"/>
          </w:tcPr>
          <w:p w14:paraId="30FEC4C4" w14:textId="77777777" w:rsidR="00D83E33" w:rsidRPr="00E837F2" w:rsidRDefault="00D83E33">
            <w:pPr>
              <w:widowControl w:val="0"/>
              <w:pBdr>
                <w:top w:val="nil"/>
                <w:left w:val="nil"/>
                <w:bottom w:val="nil"/>
                <w:right w:val="nil"/>
                <w:between w:val="nil"/>
              </w:pBdr>
              <w:jc w:val="right"/>
              <w:rPr>
                <w:color w:val="000000"/>
              </w:rPr>
            </w:pPr>
          </w:p>
        </w:tc>
      </w:tr>
      <w:tr w:rsidR="00D83E33" w:rsidRPr="00E837F2" w14:paraId="18474124" w14:textId="77777777" w:rsidTr="00372E26">
        <w:trPr>
          <w:trHeight w:val="23"/>
        </w:trPr>
        <w:tc>
          <w:tcPr>
            <w:tcW w:w="1737" w:type="pct"/>
            <w:tcBorders>
              <w:bottom w:val="single" w:sz="12" w:space="0" w:color="000000"/>
            </w:tcBorders>
            <w:shd w:val="clear" w:color="auto" w:fill="auto"/>
            <w:vAlign w:val="bottom"/>
          </w:tcPr>
          <w:p w14:paraId="068BE836" w14:textId="77777777" w:rsidR="00D83E33" w:rsidRPr="00E837F2" w:rsidRDefault="00D83E33" w:rsidP="001B330E">
            <w:pPr>
              <w:widowControl w:val="0"/>
              <w:pBdr>
                <w:top w:val="nil"/>
                <w:left w:val="nil"/>
                <w:bottom w:val="nil"/>
                <w:right w:val="nil"/>
                <w:between w:val="nil"/>
              </w:pBdr>
              <w:ind w:left="113" w:hanging="113"/>
              <w:rPr>
                <w:b/>
                <w:color w:val="000000"/>
                <w:u w:val="single"/>
              </w:rPr>
            </w:pPr>
          </w:p>
        </w:tc>
        <w:tc>
          <w:tcPr>
            <w:tcW w:w="544" w:type="pct"/>
            <w:tcBorders>
              <w:bottom w:val="single" w:sz="12" w:space="0" w:color="000000"/>
            </w:tcBorders>
            <w:vAlign w:val="bottom"/>
          </w:tcPr>
          <w:p w14:paraId="40580169" w14:textId="77777777" w:rsidR="00D83E33" w:rsidRPr="00E837F2" w:rsidRDefault="00D83E33">
            <w:pPr>
              <w:widowControl w:val="0"/>
              <w:pBdr>
                <w:top w:val="nil"/>
                <w:left w:val="nil"/>
                <w:bottom w:val="nil"/>
                <w:right w:val="nil"/>
                <w:between w:val="nil"/>
              </w:pBdr>
              <w:jc w:val="right"/>
              <w:rPr>
                <w:color w:val="000000"/>
              </w:rPr>
            </w:pPr>
          </w:p>
        </w:tc>
        <w:tc>
          <w:tcPr>
            <w:tcW w:w="674" w:type="pct"/>
            <w:tcBorders>
              <w:bottom w:val="single" w:sz="12" w:space="0" w:color="000000"/>
            </w:tcBorders>
            <w:vAlign w:val="bottom"/>
          </w:tcPr>
          <w:p w14:paraId="0B3AEFEA" w14:textId="77777777" w:rsidR="00D83E33" w:rsidRPr="00E837F2" w:rsidRDefault="00D83E33">
            <w:pPr>
              <w:widowControl w:val="0"/>
              <w:pBdr>
                <w:top w:val="nil"/>
                <w:left w:val="nil"/>
                <w:bottom w:val="nil"/>
                <w:right w:val="nil"/>
                <w:between w:val="nil"/>
              </w:pBdr>
              <w:jc w:val="right"/>
              <w:rPr>
                <w:color w:val="000000"/>
              </w:rPr>
            </w:pPr>
          </w:p>
        </w:tc>
        <w:tc>
          <w:tcPr>
            <w:tcW w:w="415" w:type="pct"/>
            <w:tcBorders>
              <w:bottom w:val="single" w:sz="12" w:space="0" w:color="000000"/>
            </w:tcBorders>
            <w:shd w:val="clear" w:color="auto" w:fill="auto"/>
            <w:vAlign w:val="bottom"/>
          </w:tcPr>
          <w:p w14:paraId="6F12A485" w14:textId="77777777" w:rsidR="00D83E33" w:rsidRPr="00E837F2" w:rsidRDefault="00D83E33">
            <w:pPr>
              <w:widowControl w:val="0"/>
              <w:pBdr>
                <w:top w:val="nil"/>
                <w:left w:val="nil"/>
                <w:bottom w:val="nil"/>
                <w:right w:val="nil"/>
                <w:between w:val="nil"/>
              </w:pBdr>
              <w:jc w:val="right"/>
              <w:rPr>
                <w:color w:val="000000"/>
              </w:rPr>
            </w:pPr>
          </w:p>
        </w:tc>
        <w:tc>
          <w:tcPr>
            <w:tcW w:w="544" w:type="pct"/>
            <w:tcBorders>
              <w:bottom w:val="single" w:sz="12" w:space="0" w:color="000000"/>
            </w:tcBorders>
          </w:tcPr>
          <w:p w14:paraId="393E6B37" w14:textId="77777777" w:rsidR="00D83E33" w:rsidRPr="00E837F2" w:rsidRDefault="00D83E33">
            <w:pPr>
              <w:widowControl w:val="0"/>
              <w:pBdr>
                <w:top w:val="nil"/>
                <w:left w:val="nil"/>
                <w:bottom w:val="nil"/>
                <w:right w:val="nil"/>
                <w:between w:val="nil"/>
              </w:pBdr>
              <w:jc w:val="right"/>
              <w:rPr>
                <w:color w:val="000000"/>
              </w:rPr>
            </w:pPr>
          </w:p>
        </w:tc>
        <w:tc>
          <w:tcPr>
            <w:tcW w:w="632" w:type="pct"/>
            <w:tcBorders>
              <w:bottom w:val="single" w:sz="12" w:space="0" w:color="000000"/>
            </w:tcBorders>
          </w:tcPr>
          <w:p w14:paraId="2AA40236" w14:textId="77777777" w:rsidR="00D83E33" w:rsidRPr="00E837F2" w:rsidRDefault="00D83E33">
            <w:pPr>
              <w:widowControl w:val="0"/>
              <w:pBdr>
                <w:top w:val="nil"/>
                <w:left w:val="nil"/>
                <w:bottom w:val="nil"/>
                <w:right w:val="nil"/>
                <w:between w:val="nil"/>
              </w:pBdr>
              <w:jc w:val="right"/>
              <w:rPr>
                <w:color w:val="000000"/>
              </w:rPr>
            </w:pPr>
          </w:p>
        </w:tc>
        <w:tc>
          <w:tcPr>
            <w:tcW w:w="454" w:type="pct"/>
            <w:tcBorders>
              <w:bottom w:val="single" w:sz="12" w:space="0" w:color="000000"/>
            </w:tcBorders>
          </w:tcPr>
          <w:p w14:paraId="70F5944D" w14:textId="77777777" w:rsidR="00D83E33" w:rsidRPr="00E837F2" w:rsidRDefault="00D83E33">
            <w:pPr>
              <w:widowControl w:val="0"/>
              <w:pBdr>
                <w:top w:val="nil"/>
                <w:left w:val="nil"/>
                <w:bottom w:val="nil"/>
                <w:right w:val="nil"/>
                <w:between w:val="nil"/>
              </w:pBdr>
              <w:jc w:val="right"/>
              <w:rPr>
                <w:color w:val="000000"/>
              </w:rPr>
            </w:pPr>
          </w:p>
        </w:tc>
      </w:tr>
    </w:tbl>
    <w:p w14:paraId="4B420E1A" w14:textId="351BE126" w:rsidR="00D83E33" w:rsidRDefault="00BC4072" w:rsidP="001B330E">
      <w:pPr>
        <w:pStyle w:val="Continued"/>
        <w:rPr>
          <w:color w:val="000000"/>
        </w:rPr>
      </w:pPr>
      <w:r>
        <w:rPr>
          <w:color w:val="000000"/>
        </w:rPr>
        <w:lastRenderedPageBreak/>
        <w:t>15</w:t>
      </w:r>
      <w:r>
        <w:rPr>
          <w:color w:val="000000"/>
        </w:rPr>
        <w:tab/>
        <w:t>Other Financial Assets (Continued)</w:t>
      </w:r>
    </w:p>
    <w:p w14:paraId="4023D117" w14:textId="7F41A8CF"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Movements in the credit loss allowance and in the gross amortised cost amount of </w:t>
      </w:r>
      <w:r w:rsidR="00510A4B" w:rsidRPr="00372E26">
        <w:rPr>
          <w:color w:val="0000FF"/>
          <w:sz w:val="20"/>
          <w:szCs w:val="20"/>
        </w:rPr>
        <w:t>[</w:t>
      </w:r>
      <w:r w:rsidRPr="00372E26">
        <w:rPr>
          <w:color w:val="0000FF"/>
          <w:sz w:val="20"/>
          <w:szCs w:val="20"/>
        </w:rPr>
        <w:t>finance lease receivables</w:t>
      </w:r>
      <w:r w:rsidR="00510A4B" w:rsidRPr="00372E26">
        <w:rPr>
          <w:color w:val="0000FF"/>
          <w:sz w:val="20"/>
          <w:szCs w:val="20"/>
        </w:rPr>
        <w:t>]</w:t>
      </w:r>
      <w:r w:rsidRPr="00372E26">
        <w:rPr>
          <w:color w:val="0000FF"/>
          <w:sz w:val="20"/>
          <w:szCs w:val="20"/>
        </w:rPr>
        <w:t xml:space="preserve"> </w:t>
      </w:r>
      <w:r>
        <w:rPr>
          <w:color w:val="000000"/>
          <w:sz w:val="20"/>
          <w:szCs w:val="20"/>
        </w:rPr>
        <w:t xml:space="preserve">were as follows. </w:t>
      </w:r>
    </w:p>
    <w:tbl>
      <w:tblPr>
        <w:tblStyle w:val="afffffffff4"/>
        <w:tblW w:w="5000" w:type="pct"/>
        <w:tblLayout w:type="fixed"/>
        <w:tblLook w:val="0000" w:firstRow="0" w:lastRow="0" w:firstColumn="0" w:lastColumn="0" w:noHBand="0" w:noVBand="0"/>
      </w:tblPr>
      <w:tblGrid>
        <w:gridCol w:w="2798"/>
        <w:gridCol w:w="883"/>
        <w:gridCol w:w="911"/>
        <w:gridCol w:w="891"/>
        <w:gridCol w:w="593"/>
        <w:gridCol w:w="906"/>
        <w:gridCol w:w="891"/>
        <w:gridCol w:w="891"/>
        <w:gridCol w:w="591"/>
      </w:tblGrid>
      <w:tr w:rsidR="00E837F2" w:rsidRPr="00E837F2" w14:paraId="2F8A1A49" w14:textId="77777777" w:rsidTr="001B330E">
        <w:trPr>
          <w:trHeight w:val="23"/>
        </w:trPr>
        <w:tc>
          <w:tcPr>
            <w:tcW w:w="1496" w:type="pct"/>
            <w:shd w:val="clear" w:color="auto" w:fill="auto"/>
            <w:vAlign w:val="bottom"/>
          </w:tcPr>
          <w:p w14:paraId="391935E6" w14:textId="77777777" w:rsidR="00E837F2" w:rsidRPr="00E837F2" w:rsidRDefault="00E837F2" w:rsidP="001B330E">
            <w:pPr>
              <w:widowControl w:val="0"/>
              <w:pBdr>
                <w:top w:val="nil"/>
                <w:left w:val="nil"/>
                <w:bottom w:val="nil"/>
                <w:right w:val="nil"/>
                <w:between w:val="nil"/>
              </w:pBdr>
              <w:ind w:left="113" w:hanging="113"/>
              <w:rPr>
                <w:i/>
                <w:color w:val="000000"/>
              </w:rPr>
            </w:pPr>
          </w:p>
        </w:tc>
        <w:tc>
          <w:tcPr>
            <w:tcW w:w="1752" w:type="pct"/>
            <w:gridSpan w:val="4"/>
            <w:tcBorders>
              <w:bottom w:val="single" w:sz="4" w:space="0" w:color="000000"/>
            </w:tcBorders>
            <w:shd w:val="clear" w:color="auto" w:fill="auto"/>
          </w:tcPr>
          <w:p w14:paraId="17358A87" w14:textId="77777777" w:rsidR="00E837F2" w:rsidRPr="00E837F2" w:rsidRDefault="00E837F2" w:rsidP="001B330E">
            <w:pPr>
              <w:widowControl w:val="0"/>
              <w:pBdr>
                <w:top w:val="nil"/>
                <w:left w:val="nil"/>
                <w:bottom w:val="nil"/>
                <w:right w:val="nil"/>
                <w:between w:val="nil"/>
              </w:pBdr>
              <w:tabs>
                <w:tab w:val="left" w:pos="3182"/>
              </w:tabs>
              <w:jc w:val="center"/>
              <w:rPr>
                <w:b/>
                <w:color w:val="000000"/>
              </w:rPr>
            </w:pPr>
            <w:r w:rsidRPr="00E837F2">
              <w:rPr>
                <w:b/>
                <w:color w:val="000000"/>
              </w:rPr>
              <w:t>Credit loss allowance</w:t>
            </w:r>
          </w:p>
        </w:tc>
        <w:tc>
          <w:tcPr>
            <w:tcW w:w="1752" w:type="pct"/>
            <w:gridSpan w:val="4"/>
            <w:tcBorders>
              <w:bottom w:val="single" w:sz="4" w:space="0" w:color="000000"/>
            </w:tcBorders>
          </w:tcPr>
          <w:p w14:paraId="1372A0A8" w14:textId="77777777" w:rsidR="00E837F2" w:rsidRPr="00E837F2" w:rsidRDefault="00E837F2" w:rsidP="001B330E">
            <w:pPr>
              <w:widowControl w:val="0"/>
              <w:pBdr>
                <w:top w:val="nil"/>
                <w:left w:val="nil"/>
                <w:bottom w:val="nil"/>
                <w:right w:val="nil"/>
                <w:between w:val="nil"/>
              </w:pBdr>
              <w:jc w:val="center"/>
              <w:rPr>
                <w:b/>
                <w:color w:val="000000"/>
              </w:rPr>
            </w:pPr>
            <w:r w:rsidRPr="00E837F2">
              <w:rPr>
                <w:b/>
                <w:color w:val="000000"/>
              </w:rPr>
              <w:t>Gross carrying amount</w:t>
            </w:r>
          </w:p>
        </w:tc>
      </w:tr>
      <w:tr w:rsidR="00E837F2" w:rsidRPr="00E837F2" w14:paraId="0E368EED" w14:textId="77777777" w:rsidTr="00E837F2">
        <w:trPr>
          <w:trHeight w:val="23"/>
        </w:trPr>
        <w:tc>
          <w:tcPr>
            <w:tcW w:w="1496" w:type="pct"/>
            <w:tcBorders>
              <w:bottom w:val="single" w:sz="4" w:space="0" w:color="000000"/>
            </w:tcBorders>
            <w:shd w:val="clear" w:color="auto" w:fill="auto"/>
            <w:vAlign w:val="bottom"/>
          </w:tcPr>
          <w:p w14:paraId="601F2069" w14:textId="77777777" w:rsidR="00E837F2" w:rsidRPr="00E837F2" w:rsidRDefault="00E837F2" w:rsidP="001B330E">
            <w:pPr>
              <w:widowControl w:val="0"/>
              <w:pBdr>
                <w:top w:val="nil"/>
                <w:left w:val="nil"/>
                <w:bottom w:val="nil"/>
                <w:right w:val="nil"/>
                <w:between w:val="nil"/>
              </w:pBdr>
              <w:ind w:left="113" w:hanging="113"/>
              <w:rPr>
                <w:i/>
                <w:color w:val="000000"/>
              </w:rPr>
            </w:pPr>
          </w:p>
          <w:p w14:paraId="252B3756" w14:textId="414C0024" w:rsidR="00E837F2" w:rsidRPr="00E837F2"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472" w:type="pct"/>
            <w:tcBorders>
              <w:top w:val="single" w:sz="4" w:space="0" w:color="000000"/>
              <w:bottom w:val="single" w:sz="4" w:space="0" w:color="000000"/>
            </w:tcBorders>
            <w:shd w:val="clear" w:color="auto" w:fill="auto"/>
          </w:tcPr>
          <w:p w14:paraId="05F693E5"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Stage 1</w:t>
            </w:r>
          </w:p>
          <w:p w14:paraId="5F946DC3" w14:textId="77777777" w:rsidR="00E837F2" w:rsidRPr="00E837F2" w:rsidRDefault="00E837F2" w:rsidP="001B330E">
            <w:pPr>
              <w:widowControl w:val="0"/>
              <w:pBdr>
                <w:top w:val="nil"/>
                <w:left w:val="nil"/>
                <w:bottom w:val="nil"/>
                <w:right w:val="nil"/>
                <w:between w:val="nil"/>
              </w:pBdr>
              <w:ind w:left="-113" w:firstLine="142"/>
              <w:jc w:val="right"/>
              <w:rPr>
                <w:b/>
                <w:color w:val="000000"/>
              </w:rPr>
            </w:pPr>
            <w:r w:rsidRPr="00E837F2">
              <w:rPr>
                <w:b/>
                <w:color w:val="000000"/>
              </w:rPr>
              <w:t>(12-months ECL)</w:t>
            </w:r>
          </w:p>
        </w:tc>
        <w:tc>
          <w:tcPr>
            <w:tcW w:w="487" w:type="pct"/>
            <w:tcBorders>
              <w:top w:val="single" w:sz="4" w:space="0" w:color="000000"/>
              <w:bottom w:val="single" w:sz="4" w:space="0" w:color="000000"/>
            </w:tcBorders>
            <w:shd w:val="clear" w:color="auto" w:fill="auto"/>
          </w:tcPr>
          <w:p w14:paraId="5C43CD2C"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Stage 2</w:t>
            </w:r>
          </w:p>
          <w:p w14:paraId="3022EA13"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 xml:space="preserve">(lifetime ECL for SICR) </w:t>
            </w:r>
          </w:p>
        </w:tc>
        <w:tc>
          <w:tcPr>
            <w:tcW w:w="476" w:type="pct"/>
            <w:tcBorders>
              <w:top w:val="single" w:sz="4" w:space="0" w:color="000000"/>
              <w:bottom w:val="single" w:sz="4" w:space="0" w:color="000000"/>
            </w:tcBorders>
            <w:shd w:val="clear" w:color="auto" w:fill="auto"/>
          </w:tcPr>
          <w:p w14:paraId="467AB39E"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Stage 3</w:t>
            </w:r>
          </w:p>
          <w:p w14:paraId="6C4990A2"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(lifetime ECL for credit im-paired)</w:t>
            </w:r>
          </w:p>
        </w:tc>
        <w:tc>
          <w:tcPr>
            <w:tcW w:w="317" w:type="pct"/>
            <w:tcBorders>
              <w:top w:val="single" w:sz="4" w:space="0" w:color="000000"/>
              <w:bottom w:val="single" w:sz="4" w:space="0" w:color="000000"/>
            </w:tcBorders>
            <w:shd w:val="clear" w:color="auto" w:fill="auto"/>
          </w:tcPr>
          <w:p w14:paraId="5D3E87B1"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Total</w:t>
            </w:r>
          </w:p>
        </w:tc>
        <w:tc>
          <w:tcPr>
            <w:tcW w:w="484" w:type="pct"/>
            <w:tcBorders>
              <w:top w:val="single" w:sz="4" w:space="0" w:color="000000"/>
              <w:bottom w:val="single" w:sz="4" w:space="0" w:color="000000"/>
            </w:tcBorders>
          </w:tcPr>
          <w:p w14:paraId="6C937105"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Stage 1</w:t>
            </w:r>
          </w:p>
          <w:p w14:paraId="6F63B916"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(12-months ECL)</w:t>
            </w:r>
          </w:p>
        </w:tc>
        <w:tc>
          <w:tcPr>
            <w:tcW w:w="476" w:type="pct"/>
            <w:tcBorders>
              <w:top w:val="single" w:sz="4" w:space="0" w:color="000000"/>
              <w:bottom w:val="single" w:sz="4" w:space="0" w:color="000000"/>
            </w:tcBorders>
          </w:tcPr>
          <w:p w14:paraId="5FC06CF6"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Stage 2</w:t>
            </w:r>
          </w:p>
          <w:p w14:paraId="74210FD3"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 xml:space="preserve">(lifetime ECL for SICR) </w:t>
            </w:r>
          </w:p>
        </w:tc>
        <w:tc>
          <w:tcPr>
            <w:tcW w:w="476" w:type="pct"/>
            <w:tcBorders>
              <w:top w:val="single" w:sz="4" w:space="0" w:color="000000"/>
              <w:bottom w:val="single" w:sz="4" w:space="0" w:color="000000"/>
            </w:tcBorders>
          </w:tcPr>
          <w:p w14:paraId="33691886"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Stage 3</w:t>
            </w:r>
          </w:p>
          <w:p w14:paraId="61DEA4B8"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(lifetime ECL for credit im-paired)</w:t>
            </w:r>
          </w:p>
        </w:tc>
        <w:tc>
          <w:tcPr>
            <w:tcW w:w="316" w:type="pct"/>
            <w:tcBorders>
              <w:top w:val="single" w:sz="4" w:space="0" w:color="000000"/>
              <w:bottom w:val="single" w:sz="4" w:space="0" w:color="000000"/>
            </w:tcBorders>
            <w:shd w:val="clear" w:color="auto" w:fill="auto"/>
          </w:tcPr>
          <w:p w14:paraId="35621118" w14:textId="77777777" w:rsidR="00E837F2" w:rsidRPr="00E837F2" w:rsidRDefault="00E837F2">
            <w:pPr>
              <w:widowControl w:val="0"/>
              <w:pBdr>
                <w:top w:val="nil"/>
                <w:left w:val="nil"/>
                <w:bottom w:val="nil"/>
                <w:right w:val="nil"/>
                <w:between w:val="nil"/>
              </w:pBdr>
              <w:ind w:left="-113"/>
              <w:jc w:val="right"/>
              <w:rPr>
                <w:b/>
                <w:color w:val="000000"/>
              </w:rPr>
            </w:pPr>
            <w:r w:rsidRPr="00E837F2">
              <w:rPr>
                <w:b/>
                <w:color w:val="000000"/>
              </w:rPr>
              <w:t>Total</w:t>
            </w:r>
          </w:p>
        </w:tc>
      </w:tr>
      <w:tr w:rsidR="00E837F2" w:rsidRPr="00E837F2" w14:paraId="02CEF57B" w14:textId="77777777" w:rsidTr="00E837F2">
        <w:trPr>
          <w:trHeight w:val="23"/>
        </w:trPr>
        <w:tc>
          <w:tcPr>
            <w:tcW w:w="1496" w:type="pct"/>
            <w:shd w:val="clear" w:color="auto" w:fill="auto"/>
            <w:vAlign w:val="bottom"/>
          </w:tcPr>
          <w:p w14:paraId="5E15DF54" w14:textId="77777777" w:rsidR="00E837F2" w:rsidRPr="00E837F2" w:rsidRDefault="00E837F2" w:rsidP="001B330E">
            <w:pPr>
              <w:widowControl w:val="0"/>
              <w:ind w:left="113" w:hanging="113"/>
            </w:pPr>
          </w:p>
        </w:tc>
        <w:tc>
          <w:tcPr>
            <w:tcW w:w="472" w:type="pct"/>
            <w:shd w:val="clear" w:color="auto" w:fill="auto"/>
            <w:vAlign w:val="bottom"/>
          </w:tcPr>
          <w:p w14:paraId="0825936D" w14:textId="77777777" w:rsidR="00E837F2" w:rsidRPr="00E837F2"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24958462"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17045788" w14:textId="77777777" w:rsidR="00E837F2" w:rsidRPr="00E837F2"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1C9EAB2A" w14:textId="77777777" w:rsidR="00E837F2" w:rsidRPr="00E837F2" w:rsidRDefault="00E837F2">
            <w:pPr>
              <w:widowControl w:val="0"/>
              <w:pBdr>
                <w:top w:val="nil"/>
                <w:left w:val="nil"/>
                <w:bottom w:val="nil"/>
                <w:right w:val="nil"/>
                <w:between w:val="nil"/>
              </w:pBdr>
              <w:jc w:val="right"/>
              <w:rPr>
                <w:color w:val="000000"/>
              </w:rPr>
            </w:pPr>
          </w:p>
        </w:tc>
        <w:tc>
          <w:tcPr>
            <w:tcW w:w="484" w:type="pct"/>
          </w:tcPr>
          <w:p w14:paraId="76907034"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1E2D7E3E"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5250D408"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01E32A00"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30DFCA12" w14:textId="77777777" w:rsidTr="00E837F2">
        <w:trPr>
          <w:trHeight w:val="23"/>
        </w:trPr>
        <w:tc>
          <w:tcPr>
            <w:tcW w:w="1496" w:type="pct"/>
            <w:shd w:val="clear" w:color="auto" w:fill="auto"/>
            <w:vAlign w:val="bottom"/>
          </w:tcPr>
          <w:p w14:paraId="58AC1AFE" w14:textId="477427D7" w:rsidR="00E837F2" w:rsidRPr="00372E26" w:rsidRDefault="00510A4B" w:rsidP="001B330E">
            <w:pPr>
              <w:widowControl w:val="0"/>
              <w:pBdr>
                <w:top w:val="nil"/>
                <w:left w:val="nil"/>
                <w:bottom w:val="nil"/>
                <w:right w:val="nil"/>
                <w:between w:val="nil"/>
              </w:pBdr>
              <w:ind w:left="113" w:hanging="113"/>
              <w:rPr>
                <w:b/>
                <w:i/>
                <w:color w:val="0000FF"/>
              </w:rPr>
            </w:pPr>
            <w:r w:rsidRPr="00372E26">
              <w:rPr>
                <w:b/>
                <w:i/>
                <w:color w:val="0000FF"/>
              </w:rPr>
              <w:t>[</w:t>
            </w:r>
            <w:r w:rsidR="00E837F2" w:rsidRPr="00372E26">
              <w:rPr>
                <w:b/>
                <w:i/>
                <w:color w:val="0000FF"/>
              </w:rPr>
              <w:t>Finance lease receivables</w:t>
            </w:r>
            <w:r w:rsidRPr="00372E26">
              <w:rPr>
                <w:b/>
                <w:i/>
                <w:color w:val="0000FF"/>
              </w:rPr>
              <w:t>]</w:t>
            </w:r>
          </w:p>
        </w:tc>
        <w:tc>
          <w:tcPr>
            <w:tcW w:w="472" w:type="pct"/>
            <w:shd w:val="clear" w:color="auto" w:fill="auto"/>
            <w:vAlign w:val="bottom"/>
          </w:tcPr>
          <w:p w14:paraId="5D9472A9"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22FFA147"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43DAD924"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3DC90455" w14:textId="77777777" w:rsidR="00E837F2" w:rsidRPr="00E837F2" w:rsidRDefault="00E837F2">
            <w:pPr>
              <w:widowControl w:val="0"/>
              <w:pBdr>
                <w:top w:val="nil"/>
                <w:left w:val="nil"/>
                <w:bottom w:val="nil"/>
                <w:right w:val="nil"/>
                <w:between w:val="nil"/>
              </w:pBdr>
              <w:jc w:val="right"/>
              <w:rPr>
                <w:color w:val="000000"/>
              </w:rPr>
            </w:pPr>
          </w:p>
        </w:tc>
        <w:tc>
          <w:tcPr>
            <w:tcW w:w="484" w:type="pct"/>
          </w:tcPr>
          <w:p w14:paraId="2688A621"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635A0D03"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10B221CE"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CC79D07"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0D5E82ED" w14:textId="77777777" w:rsidTr="00E837F2">
        <w:trPr>
          <w:trHeight w:val="23"/>
        </w:trPr>
        <w:tc>
          <w:tcPr>
            <w:tcW w:w="1496" w:type="pct"/>
            <w:shd w:val="clear" w:color="auto" w:fill="auto"/>
            <w:vAlign w:val="bottom"/>
          </w:tcPr>
          <w:p w14:paraId="1457D4AE" w14:textId="77777777" w:rsidR="00E837F2" w:rsidRPr="00E837F2" w:rsidRDefault="00E837F2" w:rsidP="001B330E">
            <w:pPr>
              <w:widowControl w:val="0"/>
              <w:pBdr>
                <w:top w:val="nil"/>
                <w:left w:val="nil"/>
                <w:bottom w:val="nil"/>
                <w:right w:val="nil"/>
                <w:between w:val="nil"/>
              </w:pBdr>
              <w:ind w:left="113" w:hanging="113"/>
              <w:rPr>
                <w:b/>
                <w:i/>
                <w:color w:val="000000"/>
              </w:rPr>
            </w:pPr>
          </w:p>
        </w:tc>
        <w:tc>
          <w:tcPr>
            <w:tcW w:w="472" w:type="pct"/>
            <w:shd w:val="clear" w:color="auto" w:fill="auto"/>
            <w:vAlign w:val="bottom"/>
          </w:tcPr>
          <w:p w14:paraId="0886DD46"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38E3738A"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08D435F3"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0266353" w14:textId="77777777" w:rsidR="00E837F2" w:rsidRPr="00E837F2" w:rsidRDefault="00E837F2">
            <w:pPr>
              <w:widowControl w:val="0"/>
              <w:pBdr>
                <w:top w:val="nil"/>
                <w:left w:val="nil"/>
                <w:bottom w:val="nil"/>
                <w:right w:val="nil"/>
                <w:between w:val="nil"/>
              </w:pBdr>
              <w:jc w:val="right"/>
              <w:rPr>
                <w:color w:val="000000"/>
              </w:rPr>
            </w:pPr>
          </w:p>
        </w:tc>
        <w:tc>
          <w:tcPr>
            <w:tcW w:w="484" w:type="pct"/>
          </w:tcPr>
          <w:p w14:paraId="55AFAABD"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4F35F9E3"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64C06283"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43902EC1"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3B030380" w14:textId="77777777" w:rsidTr="00E837F2">
        <w:trPr>
          <w:trHeight w:val="23"/>
        </w:trPr>
        <w:tc>
          <w:tcPr>
            <w:tcW w:w="1496" w:type="pct"/>
            <w:shd w:val="clear" w:color="auto" w:fill="auto"/>
            <w:vAlign w:val="bottom"/>
          </w:tcPr>
          <w:p w14:paraId="7DD16548" w14:textId="5E3EE79D" w:rsidR="00E837F2" w:rsidRPr="00E837F2" w:rsidRDefault="00E837F2" w:rsidP="001B330E">
            <w:pPr>
              <w:widowControl w:val="0"/>
              <w:pBdr>
                <w:top w:val="nil"/>
                <w:left w:val="nil"/>
                <w:bottom w:val="nil"/>
                <w:right w:val="nil"/>
                <w:between w:val="nil"/>
              </w:pBdr>
              <w:ind w:left="113" w:hanging="113"/>
              <w:rPr>
                <w:b/>
                <w:color w:val="0000FF"/>
              </w:rPr>
            </w:pPr>
            <w:r w:rsidRPr="00E837F2">
              <w:rPr>
                <w:b/>
                <w:color w:val="000000"/>
              </w:rPr>
              <w:t>At 31</w:t>
            </w:r>
            <w:r w:rsidR="00181687">
              <w:rPr>
                <w:b/>
                <w:color w:val="000000"/>
              </w:rPr>
              <w:t> December </w:t>
            </w:r>
            <w:r w:rsidR="00541EBC">
              <w:rPr>
                <w:b/>
                <w:color w:val="000000"/>
              </w:rPr>
              <w:t>2023</w:t>
            </w:r>
          </w:p>
        </w:tc>
        <w:tc>
          <w:tcPr>
            <w:tcW w:w="472" w:type="pct"/>
            <w:shd w:val="clear" w:color="auto" w:fill="auto"/>
            <w:vAlign w:val="bottom"/>
          </w:tcPr>
          <w:p w14:paraId="65277B48"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36B16A60"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4F4AA9F5"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E6707F9" w14:textId="77777777" w:rsidR="00E837F2" w:rsidRPr="00E837F2" w:rsidRDefault="00E837F2">
            <w:pPr>
              <w:widowControl w:val="0"/>
              <w:pBdr>
                <w:top w:val="nil"/>
                <w:left w:val="nil"/>
                <w:bottom w:val="nil"/>
                <w:right w:val="nil"/>
                <w:between w:val="nil"/>
              </w:pBdr>
              <w:jc w:val="right"/>
              <w:rPr>
                <w:color w:val="000000"/>
              </w:rPr>
            </w:pPr>
          </w:p>
        </w:tc>
        <w:tc>
          <w:tcPr>
            <w:tcW w:w="484" w:type="pct"/>
          </w:tcPr>
          <w:p w14:paraId="7AE42501"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1D6C99E4"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6A58837C"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60B92D12"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43D0F3A8" w14:textId="77777777" w:rsidTr="00E837F2">
        <w:trPr>
          <w:trHeight w:val="23"/>
        </w:trPr>
        <w:tc>
          <w:tcPr>
            <w:tcW w:w="1496" w:type="pct"/>
            <w:shd w:val="clear" w:color="auto" w:fill="auto"/>
            <w:vAlign w:val="bottom"/>
          </w:tcPr>
          <w:p w14:paraId="7DAA17EB" w14:textId="77777777" w:rsidR="00E837F2" w:rsidRPr="00E837F2" w:rsidRDefault="00E837F2" w:rsidP="001B330E">
            <w:pPr>
              <w:widowControl w:val="0"/>
              <w:pBdr>
                <w:top w:val="nil"/>
                <w:left w:val="nil"/>
                <w:bottom w:val="nil"/>
                <w:right w:val="nil"/>
                <w:between w:val="nil"/>
              </w:pBdr>
              <w:ind w:left="113" w:hanging="113"/>
              <w:rPr>
                <w:b/>
                <w:color w:val="000000"/>
              </w:rPr>
            </w:pPr>
          </w:p>
          <w:p w14:paraId="01648B16" w14:textId="77777777" w:rsidR="00E837F2" w:rsidRPr="00E837F2" w:rsidRDefault="00E837F2" w:rsidP="001B330E">
            <w:pPr>
              <w:widowControl w:val="0"/>
              <w:pBdr>
                <w:top w:val="nil"/>
                <w:left w:val="nil"/>
                <w:bottom w:val="nil"/>
                <w:right w:val="nil"/>
                <w:between w:val="nil"/>
              </w:pBdr>
              <w:ind w:left="113" w:hanging="113"/>
              <w:rPr>
                <w:b/>
                <w:color w:val="000000"/>
              </w:rPr>
            </w:pPr>
            <w:r w:rsidRPr="00E837F2">
              <w:rPr>
                <w:i/>
                <w:color w:val="000000"/>
              </w:rPr>
              <w:t>Movements with impact on credit loss allowance charge for the period:</w:t>
            </w:r>
          </w:p>
        </w:tc>
        <w:tc>
          <w:tcPr>
            <w:tcW w:w="472" w:type="pct"/>
            <w:shd w:val="clear" w:color="auto" w:fill="auto"/>
            <w:vAlign w:val="bottom"/>
          </w:tcPr>
          <w:p w14:paraId="09387016"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5530AC19"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47471196"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0C7A8934" w14:textId="77777777" w:rsidR="00E837F2" w:rsidRPr="00E837F2" w:rsidRDefault="00E837F2">
            <w:pPr>
              <w:widowControl w:val="0"/>
              <w:pBdr>
                <w:top w:val="nil"/>
                <w:left w:val="nil"/>
                <w:bottom w:val="nil"/>
                <w:right w:val="nil"/>
                <w:between w:val="nil"/>
              </w:pBdr>
              <w:jc w:val="right"/>
              <w:rPr>
                <w:color w:val="000000"/>
              </w:rPr>
            </w:pPr>
          </w:p>
        </w:tc>
        <w:tc>
          <w:tcPr>
            <w:tcW w:w="484" w:type="pct"/>
          </w:tcPr>
          <w:p w14:paraId="75CC4821" w14:textId="77777777" w:rsidR="00E837F2" w:rsidRPr="00E837F2" w:rsidRDefault="00E837F2" w:rsidP="001B330E">
            <w:pPr>
              <w:widowControl w:val="0"/>
              <w:pBdr>
                <w:top w:val="nil"/>
                <w:left w:val="nil"/>
                <w:bottom w:val="nil"/>
                <w:right w:val="nil"/>
                <w:between w:val="nil"/>
              </w:pBdr>
              <w:jc w:val="right"/>
              <w:rPr>
                <w:color w:val="000000"/>
              </w:rPr>
            </w:pPr>
          </w:p>
        </w:tc>
        <w:tc>
          <w:tcPr>
            <w:tcW w:w="476" w:type="pct"/>
          </w:tcPr>
          <w:p w14:paraId="38F80F8D"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1F796DEA"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07A6DBF"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02324A72" w14:textId="77777777" w:rsidTr="00E837F2">
        <w:trPr>
          <w:trHeight w:val="23"/>
        </w:trPr>
        <w:tc>
          <w:tcPr>
            <w:tcW w:w="1496" w:type="pct"/>
            <w:shd w:val="clear" w:color="auto" w:fill="auto"/>
            <w:vAlign w:val="bottom"/>
          </w:tcPr>
          <w:p w14:paraId="42204182"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6A7DEB05" w14:textId="77777777" w:rsidR="00E837F2" w:rsidRPr="00E837F2"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7BAE1400"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6042477F" w14:textId="77777777" w:rsidR="00E837F2" w:rsidRPr="00E837F2"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69BDCAF2" w14:textId="77777777" w:rsidR="00E837F2" w:rsidRPr="00E837F2" w:rsidRDefault="00E837F2">
            <w:pPr>
              <w:widowControl w:val="0"/>
              <w:pBdr>
                <w:top w:val="nil"/>
                <w:left w:val="nil"/>
                <w:bottom w:val="nil"/>
                <w:right w:val="nil"/>
                <w:between w:val="nil"/>
              </w:pBdr>
              <w:jc w:val="right"/>
              <w:rPr>
                <w:color w:val="000000"/>
                <w:highlight w:val="green"/>
              </w:rPr>
            </w:pPr>
          </w:p>
        </w:tc>
        <w:tc>
          <w:tcPr>
            <w:tcW w:w="484" w:type="pct"/>
          </w:tcPr>
          <w:p w14:paraId="2301636E"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07503D98"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2C57A066" w14:textId="77777777" w:rsidR="00E837F2" w:rsidRPr="00E837F2"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38B13B07" w14:textId="77777777" w:rsidR="00E837F2" w:rsidRPr="00E837F2" w:rsidRDefault="00E837F2">
            <w:pPr>
              <w:widowControl w:val="0"/>
              <w:pBdr>
                <w:top w:val="nil"/>
                <w:left w:val="nil"/>
                <w:bottom w:val="nil"/>
                <w:right w:val="nil"/>
                <w:between w:val="nil"/>
              </w:pBdr>
              <w:jc w:val="right"/>
              <w:rPr>
                <w:color w:val="000000"/>
                <w:highlight w:val="green"/>
              </w:rPr>
            </w:pPr>
          </w:p>
        </w:tc>
      </w:tr>
      <w:tr w:rsidR="00E837F2" w:rsidRPr="00E837F2" w14:paraId="64985174" w14:textId="77777777" w:rsidTr="00E837F2">
        <w:trPr>
          <w:trHeight w:val="23"/>
        </w:trPr>
        <w:tc>
          <w:tcPr>
            <w:tcW w:w="1496" w:type="pct"/>
            <w:shd w:val="clear" w:color="auto" w:fill="auto"/>
            <w:vAlign w:val="bottom"/>
          </w:tcPr>
          <w:p w14:paraId="5E5EB527" w14:textId="77777777" w:rsidR="00E837F2" w:rsidRPr="00E837F2" w:rsidRDefault="00E837F2" w:rsidP="001B330E">
            <w:pPr>
              <w:widowControl w:val="0"/>
              <w:pBdr>
                <w:top w:val="nil"/>
                <w:left w:val="nil"/>
                <w:bottom w:val="nil"/>
                <w:right w:val="nil"/>
                <w:between w:val="nil"/>
              </w:pBdr>
              <w:ind w:left="113" w:hanging="113"/>
              <w:rPr>
                <w:color w:val="0000FF"/>
              </w:rPr>
            </w:pPr>
            <w:r w:rsidRPr="00E837F2">
              <w:rPr>
                <w:color w:val="000000"/>
              </w:rPr>
              <w:t>Transfers:</w:t>
            </w:r>
          </w:p>
        </w:tc>
        <w:tc>
          <w:tcPr>
            <w:tcW w:w="472" w:type="pct"/>
            <w:shd w:val="clear" w:color="auto" w:fill="auto"/>
            <w:vAlign w:val="bottom"/>
          </w:tcPr>
          <w:p w14:paraId="72588CC8" w14:textId="77777777" w:rsidR="00E837F2" w:rsidRPr="00E837F2"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4A1DCFEA"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4BE1634" w14:textId="77777777" w:rsidR="00E837F2" w:rsidRPr="00E837F2"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3B66ACB2" w14:textId="77777777" w:rsidR="00E837F2" w:rsidRPr="00E837F2" w:rsidRDefault="00E837F2">
            <w:pPr>
              <w:widowControl w:val="0"/>
              <w:pBdr>
                <w:top w:val="nil"/>
                <w:left w:val="nil"/>
                <w:bottom w:val="nil"/>
                <w:right w:val="nil"/>
                <w:between w:val="nil"/>
              </w:pBdr>
              <w:jc w:val="right"/>
              <w:rPr>
                <w:color w:val="000000"/>
                <w:highlight w:val="green"/>
              </w:rPr>
            </w:pPr>
          </w:p>
        </w:tc>
        <w:tc>
          <w:tcPr>
            <w:tcW w:w="484" w:type="pct"/>
          </w:tcPr>
          <w:p w14:paraId="1AA86429"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49172C5F"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190E0A30" w14:textId="77777777" w:rsidR="00E837F2" w:rsidRPr="00E837F2"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AA98677" w14:textId="77777777" w:rsidR="00E837F2" w:rsidRPr="00E837F2" w:rsidRDefault="00E837F2">
            <w:pPr>
              <w:widowControl w:val="0"/>
              <w:pBdr>
                <w:top w:val="nil"/>
                <w:left w:val="nil"/>
                <w:bottom w:val="nil"/>
                <w:right w:val="nil"/>
                <w:between w:val="nil"/>
              </w:pBdr>
              <w:jc w:val="right"/>
              <w:rPr>
                <w:color w:val="000000"/>
                <w:highlight w:val="green"/>
              </w:rPr>
            </w:pPr>
          </w:p>
        </w:tc>
      </w:tr>
      <w:tr w:rsidR="00E837F2" w:rsidRPr="00E837F2" w14:paraId="7E40D0FA" w14:textId="77777777" w:rsidTr="00E837F2">
        <w:trPr>
          <w:trHeight w:val="23"/>
        </w:trPr>
        <w:tc>
          <w:tcPr>
            <w:tcW w:w="1496" w:type="pct"/>
            <w:shd w:val="clear" w:color="auto" w:fill="auto"/>
            <w:vAlign w:val="bottom"/>
          </w:tcPr>
          <w:p w14:paraId="4279C142"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 to lifetime (from Stage 1 to Stage 2)</w:t>
            </w:r>
          </w:p>
        </w:tc>
        <w:tc>
          <w:tcPr>
            <w:tcW w:w="472" w:type="pct"/>
            <w:shd w:val="clear" w:color="auto" w:fill="auto"/>
            <w:vAlign w:val="bottom"/>
          </w:tcPr>
          <w:p w14:paraId="53F7CCF4" w14:textId="77777777" w:rsidR="00E837F2" w:rsidRPr="00E837F2"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647E8D85"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66082232" w14:textId="77777777" w:rsidR="00E837F2" w:rsidRPr="00E837F2"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6114D42B" w14:textId="77777777" w:rsidR="00E837F2" w:rsidRPr="00E837F2" w:rsidRDefault="00E837F2">
            <w:pPr>
              <w:widowControl w:val="0"/>
              <w:pBdr>
                <w:top w:val="nil"/>
                <w:left w:val="nil"/>
                <w:bottom w:val="nil"/>
                <w:right w:val="nil"/>
                <w:between w:val="nil"/>
              </w:pBdr>
              <w:jc w:val="right"/>
              <w:rPr>
                <w:color w:val="000000"/>
                <w:highlight w:val="green"/>
              </w:rPr>
            </w:pPr>
          </w:p>
        </w:tc>
        <w:tc>
          <w:tcPr>
            <w:tcW w:w="484" w:type="pct"/>
          </w:tcPr>
          <w:p w14:paraId="17AAAACE"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09675A29"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5CFA88A5" w14:textId="77777777" w:rsidR="00E837F2" w:rsidRPr="00E837F2"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12591329" w14:textId="77777777" w:rsidR="00E837F2" w:rsidRPr="00E837F2" w:rsidRDefault="00E837F2">
            <w:pPr>
              <w:widowControl w:val="0"/>
              <w:pBdr>
                <w:top w:val="nil"/>
                <w:left w:val="nil"/>
                <w:bottom w:val="nil"/>
                <w:right w:val="nil"/>
                <w:between w:val="nil"/>
              </w:pBdr>
              <w:jc w:val="right"/>
              <w:rPr>
                <w:color w:val="000000"/>
                <w:highlight w:val="green"/>
              </w:rPr>
            </w:pPr>
          </w:p>
        </w:tc>
      </w:tr>
      <w:tr w:rsidR="00E837F2" w:rsidRPr="00E837F2" w14:paraId="5503A27C" w14:textId="77777777" w:rsidTr="00E837F2">
        <w:trPr>
          <w:trHeight w:val="23"/>
        </w:trPr>
        <w:tc>
          <w:tcPr>
            <w:tcW w:w="1496" w:type="pct"/>
            <w:shd w:val="clear" w:color="auto" w:fill="auto"/>
            <w:vAlign w:val="bottom"/>
          </w:tcPr>
          <w:p w14:paraId="179DF2CB"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 to credit-impaired (from Stage 1 and Stage 2 to Stage 3)</w:t>
            </w:r>
          </w:p>
        </w:tc>
        <w:tc>
          <w:tcPr>
            <w:tcW w:w="472" w:type="pct"/>
            <w:shd w:val="clear" w:color="auto" w:fill="auto"/>
            <w:vAlign w:val="bottom"/>
          </w:tcPr>
          <w:p w14:paraId="217825D9" w14:textId="77777777" w:rsidR="00E837F2" w:rsidRPr="00E837F2"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950AFFB"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77BE1DC" w14:textId="77777777" w:rsidR="00E837F2" w:rsidRPr="00E837F2"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76949F2B" w14:textId="77777777" w:rsidR="00E837F2" w:rsidRPr="00E837F2" w:rsidRDefault="00E837F2">
            <w:pPr>
              <w:widowControl w:val="0"/>
              <w:pBdr>
                <w:top w:val="nil"/>
                <w:left w:val="nil"/>
                <w:bottom w:val="nil"/>
                <w:right w:val="nil"/>
                <w:between w:val="nil"/>
              </w:pBdr>
              <w:jc w:val="right"/>
              <w:rPr>
                <w:color w:val="000000"/>
                <w:highlight w:val="green"/>
              </w:rPr>
            </w:pPr>
          </w:p>
        </w:tc>
        <w:tc>
          <w:tcPr>
            <w:tcW w:w="484" w:type="pct"/>
          </w:tcPr>
          <w:p w14:paraId="4698311C"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57A0D9AF"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50CBF899" w14:textId="77777777" w:rsidR="00E837F2" w:rsidRPr="00E837F2"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3C0CE03F" w14:textId="77777777" w:rsidR="00E837F2" w:rsidRPr="00E837F2" w:rsidRDefault="00E837F2">
            <w:pPr>
              <w:widowControl w:val="0"/>
              <w:pBdr>
                <w:top w:val="nil"/>
                <w:left w:val="nil"/>
                <w:bottom w:val="nil"/>
                <w:right w:val="nil"/>
                <w:between w:val="nil"/>
              </w:pBdr>
              <w:jc w:val="right"/>
              <w:rPr>
                <w:color w:val="000000"/>
                <w:highlight w:val="green"/>
              </w:rPr>
            </w:pPr>
          </w:p>
        </w:tc>
      </w:tr>
      <w:tr w:rsidR="00E837F2" w:rsidRPr="00E837F2" w14:paraId="5AE54E6B" w14:textId="77777777" w:rsidTr="00E837F2">
        <w:trPr>
          <w:trHeight w:val="23"/>
        </w:trPr>
        <w:tc>
          <w:tcPr>
            <w:tcW w:w="1496" w:type="pct"/>
            <w:shd w:val="clear" w:color="auto" w:fill="auto"/>
            <w:vAlign w:val="bottom"/>
          </w:tcPr>
          <w:p w14:paraId="077D4179"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 to 12-months ECL (from Stage 2 and Stage 3 to Stage 1)</w:t>
            </w:r>
          </w:p>
        </w:tc>
        <w:tc>
          <w:tcPr>
            <w:tcW w:w="472" w:type="pct"/>
            <w:shd w:val="clear" w:color="auto" w:fill="auto"/>
            <w:vAlign w:val="bottom"/>
          </w:tcPr>
          <w:p w14:paraId="6B456AF0" w14:textId="77777777" w:rsidR="00E837F2" w:rsidRPr="00E837F2"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61246AED"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D26FC1C" w14:textId="77777777" w:rsidR="00E837F2" w:rsidRPr="00E837F2"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6BA29B3B" w14:textId="77777777" w:rsidR="00E837F2" w:rsidRPr="00E837F2" w:rsidRDefault="00E837F2">
            <w:pPr>
              <w:widowControl w:val="0"/>
              <w:pBdr>
                <w:top w:val="nil"/>
                <w:left w:val="nil"/>
                <w:bottom w:val="nil"/>
                <w:right w:val="nil"/>
                <w:between w:val="nil"/>
              </w:pBdr>
              <w:jc w:val="right"/>
              <w:rPr>
                <w:color w:val="000000"/>
                <w:highlight w:val="green"/>
              </w:rPr>
            </w:pPr>
          </w:p>
        </w:tc>
        <w:tc>
          <w:tcPr>
            <w:tcW w:w="484" w:type="pct"/>
          </w:tcPr>
          <w:p w14:paraId="61C8E79A"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7369E43F"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tcPr>
          <w:p w14:paraId="406634E8" w14:textId="77777777" w:rsidR="00E837F2" w:rsidRPr="00E837F2"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2C08710A" w14:textId="77777777" w:rsidR="00E837F2" w:rsidRPr="00E837F2" w:rsidRDefault="00E837F2">
            <w:pPr>
              <w:widowControl w:val="0"/>
              <w:pBdr>
                <w:top w:val="nil"/>
                <w:left w:val="nil"/>
                <w:bottom w:val="nil"/>
                <w:right w:val="nil"/>
                <w:between w:val="nil"/>
              </w:pBdr>
              <w:jc w:val="right"/>
              <w:rPr>
                <w:color w:val="000000"/>
                <w:highlight w:val="green"/>
              </w:rPr>
            </w:pPr>
          </w:p>
        </w:tc>
      </w:tr>
      <w:tr w:rsidR="00E837F2" w:rsidRPr="00E837F2" w14:paraId="5724D6FF" w14:textId="77777777" w:rsidTr="00E837F2">
        <w:trPr>
          <w:trHeight w:val="23"/>
        </w:trPr>
        <w:tc>
          <w:tcPr>
            <w:tcW w:w="1496" w:type="pct"/>
            <w:shd w:val="clear" w:color="auto" w:fill="auto"/>
            <w:vAlign w:val="bottom"/>
          </w:tcPr>
          <w:p w14:paraId="29FE4B25"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New originated or purchased</w:t>
            </w:r>
          </w:p>
        </w:tc>
        <w:tc>
          <w:tcPr>
            <w:tcW w:w="472" w:type="pct"/>
            <w:shd w:val="clear" w:color="auto" w:fill="auto"/>
            <w:vAlign w:val="bottom"/>
          </w:tcPr>
          <w:p w14:paraId="1B958FFA"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53C132E0"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35C99909"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1200CA0F" w14:textId="77777777" w:rsidR="00E837F2" w:rsidRPr="00E837F2" w:rsidRDefault="00E837F2">
            <w:pPr>
              <w:widowControl w:val="0"/>
              <w:pBdr>
                <w:top w:val="nil"/>
                <w:left w:val="nil"/>
                <w:bottom w:val="nil"/>
                <w:right w:val="nil"/>
                <w:between w:val="nil"/>
              </w:pBdr>
              <w:jc w:val="right"/>
              <w:rPr>
                <w:color w:val="000000"/>
              </w:rPr>
            </w:pPr>
          </w:p>
        </w:tc>
        <w:tc>
          <w:tcPr>
            <w:tcW w:w="484" w:type="pct"/>
          </w:tcPr>
          <w:p w14:paraId="18391805"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615B296B"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0150D128"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474927F"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2FFAB7C9" w14:textId="77777777" w:rsidTr="00E837F2">
        <w:trPr>
          <w:trHeight w:val="23"/>
        </w:trPr>
        <w:tc>
          <w:tcPr>
            <w:tcW w:w="1496" w:type="pct"/>
            <w:shd w:val="clear" w:color="auto" w:fill="auto"/>
            <w:vAlign w:val="bottom"/>
          </w:tcPr>
          <w:p w14:paraId="3B58D735"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Derecognised during the period</w:t>
            </w:r>
          </w:p>
        </w:tc>
        <w:tc>
          <w:tcPr>
            <w:tcW w:w="472" w:type="pct"/>
            <w:shd w:val="clear" w:color="auto" w:fill="auto"/>
            <w:vAlign w:val="bottom"/>
          </w:tcPr>
          <w:p w14:paraId="5A44D0E3"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1D0E7CFE"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4FDDDEA9"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0DB3D0B0" w14:textId="77777777" w:rsidR="00E837F2" w:rsidRPr="00E837F2" w:rsidRDefault="00E837F2">
            <w:pPr>
              <w:widowControl w:val="0"/>
              <w:pBdr>
                <w:top w:val="nil"/>
                <w:left w:val="nil"/>
                <w:bottom w:val="nil"/>
                <w:right w:val="nil"/>
                <w:between w:val="nil"/>
              </w:pBdr>
              <w:jc w:val="right"/>
              <w:rPr>
                <w:color w:val="000000"/>
              </w:rPr>
            </w:pPr>
          </w:p>
        </w:tc>
        <w:tc>
          <w:tcPr>
            <w:tcW w:w="484" w:type="pct"/>
          </w:tcPr>
          <w:p w14:paraId="7B62A2B3"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120894E2" w14:textId="77777777" w:rsidR="00E837F2" w:rsidRPr="00E837F2" w:rsidRDefault="00E837F2">
            <w:pPr>
              <w:widowControl w:val="0"/>
              <w:pBdr>
                <w:top w:val="nil"/>
                <w:left w:val="nil"/>
                <w:bottom w:val="nil"/>
                <w:right w:val="nil"/>
                <w:between w:val="nil"/>
              </w:pBdr>
              <w:jc w:val="right"/>
              <w:rPr>
                <w:color w:val="000000"/>
              </w:rPr>
            </w:pPr>
          </w:p>
        </w:tc>
        <w:tc>
          <w:tcPr>
            <w:tcW w:w="476" w:type="pct"/>
          </w:tcPr>
          <w:p w14:paraId="6E444C49"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4D2F7079"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250BDE9A" w14:textId="77777777" w:rsidTr="00E837F2">
        <w:trPr>
          <w:trHeight w:val="23"/>
        </w:trPr>
        <w:tc>
          <w:tcPr>
            <w:tcW w:w="1496" w:type="pct"/>
            <w:shd w:val="clear" w:color="auto" w:fill="auto"/>
            <w:vAlign w:val="bottom"/>
          </w:tcPr>
          <w:p w14:paraId="40696E17"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Changes to ECL measurement model assumptions</w:t>
            </w:r>
          </w:p>
        </w:tc>
        <w:tc>
          <w:tcPr>
            <w:tcW w:w="472" w:type="pct"/>
            <w:shd w:val="clear" w:color="auto" w:fill="auto"/>
            <w:vAlign w:val="bottom"/>
          </w:tcPr>
          <w:p w14:paraId="27B13A8E"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55201707"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4B203F49"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2F28A1E5" w14:textId="77777777" w:rsidR="00E837F2" w:rsidRPr="00E837F2" w:rsidRDefault="00E837F2">
            <w:pPr>
              <w:widowControl w:val="0"/>
              <w:pBdr>
                <w:top w:val="nil"/>
                <w:left w:val="nil"/>
                <w:bottom w:val="nil"/>
                <w:right w:val="nil"/>
                <w:between w:val="nil"/>
              </w:pBdr>
              <w:jc w:val="right"/>
              <w:rPr>
                <w:color w:val="000000"/>
              </w:rPr>
            </w:pPr>
          </w:p>
        </w:tc>
        <w:tc>
          <w:tcPr>
            <w:tcW w:w="484" w:type="pct"/>
            <w:vAlign w:val="bottom"/>
          </w:tcPr>
          <w:p w14:paraId="20504CD7"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43A08F60"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01A9235B"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50BE067E"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78BDD9A4" w14:textId="77777777" w:rsidTr="00E837F2">
        <w:trPr>
          <w:trHeight w:val="23"/>
        </w:trPr>
        <w:tc>
          <w:tcPr>
            <w:tcW w:w="1496" w:type="pct"/>
            <w:shd w:val="clear" w:color="auto" w:fill="auto"/>
            <w:vAlign w:val="bottom"/>
          </w:tcPr>
          <w:p w14:paraId="53677C2E"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 xml:space="preserve">Unwinding of discount </w:t>
            </w:r>
          </w:p>
        </w:tc>
        <w:tc>
          <w:tcPr>
            <w:tcW w:w="472" w:type="pct"/>
            <w:shd w:val="clear" w:color="auto" w:fill="auto"/>
            <w:vAlign w:val="bottom"/>
          </w:tcPr>
          <w:p w14:paraId="4413E06E"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995AF22"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0E6C76A8"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210D38F" w14:textId="77777777" w:rsidR="00E837F2" w:rsidRPr="00E837F2" w:rsidRDefault="00E837F2">
            <w:pPr>
              <w:widowControl w:val="0"/>
              <w:pBdr>
                <w:top w:val="nil"/>
                <w:left w:val="nil"/>
                <w:bottom w:val="nil"/>
                <w:right w:val="nil"/>
                <w:between w:val="nil"/>
              </w:pBdr>
              <w:jc w:val="right"/>
              <w:rPr>
                <w:color w:val="000000"/>
              </w:rPr>
            </w:pPr>
          </w:p>
        </w:tc>
        <w:tc>
          <w:tcPr>
            <w:tcW w:w="484" w:type="pct"/>
            <w:vAlign w:val="bottom"/>
          </w:tcPr>
          <w:p w14:paraId="79E8564B"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61436CFC"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72B8F58E"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3CB14C03"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3D4C13FA" w14:textId="77777777" w:rsidTr="00E837F2">
        <w:trPr>
          <w:trHeight w:val="23"/>
        </w:trPr>
        <w:tc>
          <w:tcPr>
            <w:tcW w:w="1496" w:type="pct"/>
            <w:shd w:val="clear" w:color="auto" w:fill="auto"/>
            <w:vAlign w:val="bottom"/>
          </w:tcPr>
          <w:p w14:paraId="26535E84"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Changes in accrued interest</w:t>
            </w:r>
          </w:p>
        </w:tc>
        <w:tc>
          <w:tcPr>
            <w:tcW w:w="472" w:type="pct"/>
            <w:shd w:val="clear" w:color="auto" w:fill="auto"/>
            <w:vAlign w:val="bottom"/>
          </w:tcPr>
          <w:p w14:paraId="675DC432"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133C8EA1"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15386F83"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311AB0D5" w14:textId="77777777" w:rsidR="00E837F2" w:rsidRPr="00E837F2" w:rsidRDefault="00E837F2">
            <w:pPr>
              <w:widowControl w:val="0"/>
              <w:pBdr>
                <w:top w:val="nil"/>
                <w:left w:val="nil"/>
                <w:bottom w:val="nil"/>
                <w:right w:val="nil"/>
                <w:between w:val="nil"/>
              </w:pBdr>
              <w:jc w:val="right"/>
              <w:rPr>
                <w:color w:val="000000"/>
              </w:rPr>
            </w:pPr>
          </w:p>
        </w:tc>
        <w:tc>
          <w:tcPr>
            <w:tcW w:w="484" w:type="pct"/>
            <w:vAlign w:val="bottom"/>
          </w:tcPr>
          <w:p w14:paraId="31B4746E"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72E373A7"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1AD8C9C0"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09C09CCD"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52420858" w14:textId="77777777" w:rsidTr="00E837F2">
        <w:trPr>
          <w:trHeight w:val="23"/>
        </w:trPr>
        <w:tc>
          <w:tcPr>
            <w:tcW w:w="1496" w:type="pct"/>
            <w:shd w:val="clear" w:color="auto" w:fill="auto"/>
            <w:vAlign w:val="bottom"/>
          </w:tcPr>
          <w:p w14:paraId="2AA73DCE"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Other movements</w:t>
            </w:r>
          </w:p>
        </w:tc>
        <w:tc>
          <w:tcPr>
            <w:tcW w:w="472" w:type="pct"/>
            <w:shd w:val="clear" w:color="auto" w:fill="auto"/>
            <w:vAlign w:val="bottom"/>
          </w:tcPr>
          <w:p w14:paraId="6CFAD576"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6DDBF099"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29AA0A9B"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B659ADF" w14:textId="77777777" w:rsidR="00E837F2" w:rsidRPr="00E837F2" w:rsidRDefault="00E837F2">
            <w:pPr>
              <w:widowControl w:val="0"/>
              <w:pBdr>
                <w:top w:val="nil"/>
                <w:left w:val="nil"/>
                <w:bottom w:val="nil"/>
                <w:right w:val="nil"/>
                <w:between w:val="nil"/>
              </w:pBdr>
              <w:jc w:val="right"/>
              <w:rPr>
                <w:color w:val="000000"/>
              </w:rPr>
            </w:pPr>
          </w:p>
        </w:tc>
        <w:tc>
          <w:tcPr>
            <w:tcW w:w="484" w:type="pct"/>
            <w:vAlign w:val="bottom"/>
          </w:tcPr>
          <w:p w14:paraId="28660EA9"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6E4D3046"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2241E731"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554EFCB8"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20CBC53C" w14:textId="77777777" w:rsidTr="00E837F2">
        <w:trPr>
          <w:trHeight w:val="23"/>
        </w:trPr>
        <w:tc>
          <w:tcPr>
            <w:tcW w:w="1496" w:type="pct"/>
            <w:tcBorders>
              <w:bottom w:val="single" w:sz="4" w:space="0" w:color="000000"/>
            </w:tcBorders>
            <w:shd w:val="clear" w:color="auto" w:fill="auto"/>
            <w:vAlign w:val="bottom"/>
          </w:tcPr>
          <w:p w14:paraId="4A46E837" w14:textId="77777777" w:rsidR="00E837F2" w:rsidRPr="00E837F2" w:rsidRDefault="00E837F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1D47746D" w14:textId="77777777" w:rsidR="00E837F2" w:rsidRPr="00E837F2"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594A4965"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11EE92B1" w14:textId="77777777" w:rsidR="00E837F2" w:rsidRPr="00E837F2"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087E5277" w14:textId="77777777" w:rsidR="00E837F2" w:rsidRPr="00E837F2"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1B63C1B1"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5D0A6E4D"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7436795B" w14:textId="77777777" w:rsidR="00E837F2" w:rsidRPr="00E837F2"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68DA7BC9"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20669869" w14:textId="77777777" w:rsidTr="00E837F2">
        <w:trPr>
          <w:trHeight w:val="23"/>
        </w:trPr>
        <w:tc>
          <w:tcPr>
            <w:tcW w:w="1496" w:type="pct"/>
            <w:tcBorders>
              <w:top w:val="single" w:sz="4" w:space="0" w:color="000000"/>
            </w:tcBorders>
            <w:shd w:val="clear" w:color="auto" w:fill="auto"/>
            <w:vAlign w:val="bottom"/>
          </w:tcPr>
          <w:p w14:paraId="445A41E6" w14:textId="77777777" w:rsidR="00E837F2" w:rsidRPr="00E837F2" w:rsidRDefault="00E837F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559EE9BF" w14:textId="77777777" w:rsidR="00E837F2" w:rsidRPr="00E837F2"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4C7A3262"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06EBA5F5" w14:textId="77777777" w:rsidR="00E837F2" w:rsidRPr="00E837F2"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194A5F01" w14:textId="77777777" w:rsidR="00E837F2" w:rsidRPr="00E837F2"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7D72A04E"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317CD689"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1D3F0589" w14:textId="77777777" w:rsidR="00E837F2" w:rsidRPr="00E837F2"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15C4225A"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4096BDED" w14:textId="77777777" w:rsidTr="00E837F2">
        <w:trPr>
          <w:trHeight w:val="23"/>
        </w:trPr>
        <w:tc>
          <w:tcPr>
            <w:tcW w:w="1496" w:type="pct"/>
            <w:shd w:val="clear" w:color="auto" w:fill="auto"/>
            <w:vAlign w:val="bottom"/>
          </w:tcPr>
          <w:p w14:paraId="1AF1B316" w14:textId="77777777" w:rsidR="00E837F2" w:rsidRPr="00E837F2" w:rsidRDefault="00E837F2" w:rsidP="001B330E">
            <w:pPr>
              <w:widowControl w:val="0"/>
              <w:pBdr>
                <w:top w:val="nil"/>
                <w:left w:val="nil"/>
                <w:bottom w:val="nil"/>
                <w:right w:val="nil"/>
                <w:between w:val="nil"/>
              </w:pBdr>
              <w:ind w:left="113" w:hanging="113"/>
              <w:rPr>
                <w:b/>
                <w:color w:val="000000"/>
              </w:rPr>
            </w:pPr>
            <w:r w:rsidRPr="00E837F2">
              <w:rPr>
                <w:b/>
                <w:color w:val="000000"/>
              </w:rPr>
              <w:t>Total movements with impact on credit loss allowance charge for the period</w:t>
            </w:r>
          </w:p>
        </w:tc>
        <w:tc>
          <w:tcPr>
            <w:tcW w:w="472" w:type="pct"/>
            <w:shd w:val="clear" w:color="auto" w:fill="auto"/>
            <w:vAlign w:val="bottom"/>
          </w:tcPr>
          <w:p w14:paraId="45701CA6"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907D4FB"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3C82A8BB"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B8FD809" w14:textId="77777777" w:rsidR="00E837F2" w:rsidRPr="00E837F2" w:rsidRDefault="00E837F2">
            <w:pPr>
              <w:widowControl w:val="0"/>
              <w:pBdr>
                <w:top w:val="nil"/>
                <w:left w:val="nil"/>
                <w:bottom w:val="nil"/>
                <w:right w:val="nil"/>
                <w:between w:val="nil"/>
              </w:pBdr>
              <w:jc w:val="right"/>
              <w:rPr>
                <w:color w:val="000000"/>
              </w:rPr>
            </w:pPr>
          </w:p>
        </w:tc>
        <w:tc>
          <w:tcPr>
            <w:tcW w:w="484" w:type="pct"/>
            <w:vAlign w:val="bottom"/>
          </w:tcPr>
          <w:p w14:paraId="6CE5D84B"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48A7A7E3"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62E08601"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5A81CCB2"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5D67A9F5" w14:textId="77777777" w:rsidTr="00E837F2">
        <w:trPr>
          <w:trHeight w:val="23"/>
        </w:trPr>
        <w:tc>
          <w:tcPr>
            <w:tcW w:w="1496" w:type="pct"/>
            <w:tcBorders>
              <w:bottom w:val="single" w:sz="4" w:space="0" w:color="000000"/>
            </w:tcBorders>
            <w:shd w:val="clear" w:color="auto" w:fill="auto"/>
            <w:vAlign w:val="bottom"/>
          </w:tcPr>
          <w:p w14:paraId="72011133" w14:textId="77777777" w:rsidR="00E837F2" w:rsidRPr="00E837F2" w:rsidRDefault="00E837F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2DFDC525" w14:textId="77777777" w:rsidR="00E837F2" w:rsidRPr="00E837F2"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7B80DA67"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1947A9F1" w14:textId="77777777" w:rsidR="00E837F2" w:rsidRPr="00E837F2"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6D4F343A" w14:textId="77777777" w:rsidR="00E837F2" w:rsidRPr="00E837F2"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3F883625"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6791FC9C"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6694DE56" w14:textId="77777777" w:rsidR="00E837F2" w:rsidRPr="00E837F2"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78227822"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416E7577" w14:textId="77777777" w:rsidTr="00E837F2">
        <w:trPr>
          <w:trHeight w:val="23"/>
        </w:trPr>
        <w:tc>
          <w:tcPr>
            <w:tcW w:w="1496" w:type="pct"/>
            <w:tcBorders>
              <w:top w:val="single" w:sz="4" w:space="0" w:color="000000"/>
            </w:tcBorders>
            <w:shd w:val="clear" w:color="auto" w:fill="auto"/>
            <w:vAlign w:val="bottom"/>
          </w:tcPr>
          <w:p w14:paraId="6CF014B6" w14:textId="77777777" w:rsidR="00E837F2" w:rsidRPr="00E837F2" w:rsidRDefault="00E837F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51577BDC" w14:textId="77777777" w:rsidR="00E837F2" w:rsidRPr="00E837F2"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24377693"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7ECC9C19" w14:textId="77777777" w:rsidR="00E837F2" w:rsidRPr="00E837F2"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0A8D5BDA" w14:textId="77777777" w:rsidR="00E837F2" w:rsidRPr="00E837F2"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42E35896"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26CA3C26"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3772467C" w14:textId="77777777" w:rsidR="00E837F2" w:rsidRPr="00E837F2"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3606E43B"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670A07A0" w14:textId="77777777" w:rsidTr="00E837F2">
        <w:trPr>
          <w:trHeight w:val="23"/>
        </w:trPr>
        <w:tc>
          <w:tcPr>
            <w:tcW w:w="1496" w:type="pct"/>
            <w:shd w:val="clear" w:color="auto" w:fill="auto"/>
            <w:vAlign w:val="bottom"/>
          </w:tcPr>
          <w:p w14:paraId="459D1B64" w14:textId="77777777" w:rsidR="00E837F2" w:rsidRPr="00E837F2" w:rsidRDefault="00E837F2" w:rsidP="001B330E">
            <w:pPr>
              <w:widowControl w:val="0"/>
              <w:pBdr>
                <w:top w:val="nil"/>
                <w:left w:val="nil"/>
                <w:bottom w:val="nil"/>
                <w:right w:val="nil"/>
                <w:between w:val="nil"/>
              </w:pBdr>
              <w:ind w:left="113" w:hanging="113"/>
              <w:rPr>
                <w:b/>
                <w:color w:val="000000"/>
              </w:rPr>
            </w:pPr>
            <w:r w:rsidRPr="00E837F2">
              <w:rPr>
                <w:i/>
                <w:color w:val="000000"/>
              </w:rPr>
              <w:t>Movements without impact on credit loss allowance charge for the period:</w:t>
            </w:r>
          </w:p>
          <w:p w14:paraId="373097E8"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5E406B2F" w14:textId="77777777" w:rsidR="00E837F2" w:rsidRPr="00E837F2"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685CC3FC"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9D7998D" w14:textId="77777777" w:rsidR="00E837F2" w:rsidRPr="00E837F2"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6F2A8B7D" w14:textId="77777777" w:rsidR="00E837F2" w:rsidRPr="00E837F2" w:rsidRDefault="00E837F2">
            <w:pPr>
              <w:widowControl w:val="0"/>
              <w:pBdr>
                <w:top w:val="nil"/>
                <w:left w:val="nil"/>
                <w:bottom w:val="nil"/>
                <w:right w:val="nil"/>
                <w:between w:val="nil"/>
              </w:pBdr>
              <w:jc w:val="right"/>
              <w:rPr>
                <w:color w:val="000000"/>
                <w:highlight w:val="green"/>
              </w:rPr>
            </w:pPr>
          </w:p>
        </w:tc>
        <w:tc>
          <w:tcPr>
            <w:tcW w:w="484" w:type="pct"/>
            <w:vAlign w:val="bottom"/>
          </w:tcPr>
          <w:p w14:paraId="0FC43E2F"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vAlign w:val="bottom"/>
          </w:tcPr>
          <w:p w14:paraId="76924F69"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vAlign w:val="bottom"/>
          </w:tcPr>
          <w:p w14:paraId="65FD7424" w14:textId="77777777" w:rsidR="00E837F2" w:rsidRPr="00E837F2"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75D72CD" w14:textId="77777777" w:rsidR="00E837F2" w:rsidRPr="00E837F2" w:rsidRDefault="00E837F2">
            <w:pPr>
              <w:widowControl w:val="0"/>
              <w:pBdr>
                <w:top w:val="nil"/>
                <w:left w:val="nil"/>
                <w:bottom w:val="nil"/>
                <w:right w:val="nil"/>
                <w:between w:val="nil"/>
              </w:pBdr>
              <w:jc w:val="right"/>
              <w:rPr>
                <w:color w:val="000000"/>
                <w:highlight w:val="green"/>
              </w:rPr>
            </w:pPr>
          </w:p>
        </w:tc>
      </w:tr>
      <w:tr w:rsidR="00E837F2" w:rsidRPr="00E837F2" w14:paraId="63475E7C" w14:textId="77777777" w:rsidTr="00E837F2">
        <w:trPr>
          <w:trHeight w:val="23"/>
        </w:trPr>
        <w:tc>
          <w:tcPr>
            <w:tcW w:w="1496" w:type="pct"/>
            <w:shd w:val="clear" w:color="auto" w:fill="auto"/>
            <w:vAlign w:val="bottom"/>
          </w:tcPr>
          <w:p w14:paraId="06D36736"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Write-offs</w:t>
            </w:r>
          </w:p>
        </w:tc>
        <w:tc>
          <w:tcPr>
            <w:tcW w:w="472" w:type="pct"/>
            <w:shd w:val="clear" w:color="auto" w:fill="auto"/>
            <w:vAlign w:val="bottom"/>
          </w:tcPr>
          <w:p w14:paraId="772B2D2C" w14:textId="77777777" w:rsidR="00E837F2" w:rsidRPr="00E837F2"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4E70F7C8"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5EDE84CD" w14:textId="77777777" w:rsidR="00E837F2" w:rsidRPr="00E837F2"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1999A1D0" w14:textId="77777777" w:rsidR="00E837F2" w:rsidRPr="00E837F2" w:rsidRDefault="00E837F2">
            <w:pPr>
              <w:widowControl w:val="0"/>
              <w:pBdr>
                <w:top w:val="nil"/>
                <w:left w:val="nil"/>
                <w:bottom w:val="nil"/>
                <w:right w:val="nil"/>
                <w:between w:val="nil"/>
              </w:pBdr>
              <w:jc w:val="right"/>
              <w:rPr>
                <w:color w:val="000000"/>
                <w:highlight w:val="green"/>
              </w:rPr>
            </w:pPr>
          </w:p>
        </w:tc>
        <w:tc>
          <w:tcPr>
            <w:tcW w:w="484" w:type="pct"/>
            <w:vAlign w:val="bottom"/>
          </w:tcPr>
          <w:p w14:paraId="2429DF90"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vAlign w:val="bottom"/>
          </w:tcPr>
          <w:p w14:paraId="75725593"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vAlign w:val="bottom"/>
          </w:tcPr>
          <w:p w14:paraId="3E49E66F" w14:textId="77777777" w:rsidR="00E837F2" w:rsidRPr="00E837F2"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3419F7E2" w14:textId="77777777" w:rsidR="00E837F2" w:rsidRPr="00E837F2" w:rsidRDefault="00E837F2">
            <w:pPr>
              <w:widowControl w:val="0"/>
              <w:pBdr>
                <w:top w:val="nil"/>
                <w:left w:val="nil"/>
                <w:bottom w:val="nil"/>
                <w:right w:val="nil"/>
                <w:between w:val="nil"/>
              </w:pBdr>
              <w:jc w:val="right"/>
              <w:rPr>
                <w:color w:val="000000"/>
                <w:highlight w:val="green"/>
              </w:rPr>
            </w:pPr>
          </w:p>
        </w:tc>
      </w:tr>
      <w:tr w:rsidR="00E837F2" w:rsidRPr="00E837F2" w14:paraId="1BBD9BC6" w14:textId="77777777" w:rsidTr="00E837F2">
        <w:trPr>
          <w:trHeight w:val="23"/>
        </w:trPr>
        <w:tc>
          <w:tcPr>
            <w:tcW w:w="1496" w:type="pct"/>
            <w:shd w:val="clear" w:color="auto" w:fill="auto"/>
            <w:vAlign w:val="bottom"/>
          </w:tcPr>
          <w:p w14:paraId="44009C87"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Foreign exchange gains and losses and other movements</w:t>
            </w:r>
          </w:p>
        </w:tc>
        <w:tc>
          <w:tcPr>
            <w:tcW w:w="472" w:type="pct"/>
            <w:shd w:val="clear" w:color="auto" w:fill="auto"/>
            <w:vAlign w:val="bottom"/>
          </w:tcPr>
          <w:p w14:paraId="6681CCF2" w14:textId="77777777" w:rsidR="00E837F2" w:rsidRPr="00E837F2"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CA03AF4"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4A0270B7" w14:textId="77777777" w:rsidR="00E837F2" w:rsidRPr="00E837F2"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5AAB00A9" w14:textId="77777777" w:rsidR="00E837F2" w:rsidRPr="00E837F2" w:rsidRDefault="00E837F2">
            <w:pPr>
              <w:widowControl w:val="0"/>
              <w:pBdr>
                <w:top w:val="nil"/>
                <w:left w:val="nil"/>
                <w:bottom w:val="nil"/>
                <w:right w:val="nil"/>
                <w:between w:val="nil"/>
              </w:pBdr>
              <w:jc w:val="right"/>
              <w:rPr>
                <w:color w:val="000000"/>
                <w:highlight w:val="green"/>
              </w:rPr>
            </w:pPr>
          </w:p>
        </w:tc>
        <w:tc>
          <w:tcPr>
            <w:tcW w:w="484" w:type="pct"/>
            <w:vAlign w:val="bottom"/>
          </w:tcPr>
          <w:p w14:paraId="110D922C"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vAlign w:val="bottom"/>
          </w:tcPr>
          <w:p w14:paraId="50AD5742" w14:textId="77777777" w:rsidR="00E837F2" w:rsidRPr="00E837F2" w:rsidRDefault="00E837F2">
            <w:pPr>
              <w:widowControl w:val="0"/>
              <w:pBdr>
                <w:top w:val="nil"/>
                <w:left w:val="nil"/>
                <w:bottom w:val="nil"/>
                <w:right w:val="nil"/>
                <w:between w:val="nil"/>
              </w:pBdr>
              <w:jc w:val="right"/>
              <w:rPr>
                <w:color w:val="000000"/>
                <w:highlight w:val="green"/>
              </w:rPr>
            </w:pPr>
          </w:p>
        </w:tc>
        <w:tc>
          <w:tcPr>
            <w:tcW w:w="476" w:type="pct"/>
            <w:vAlign w:val="bottom"/>
          </w:tcPr>
          <w:p w14:paraId="24F95E70" w14:textId="77777777" w:rsidR="00E837F2" w:rsidRPr="00E837F2"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0DA8B1E7" w14:textId="77777777" w:rsidR="00E837F2" w:rsidRPr="00E837F2" w:rsidRDefault="00E837F2">
            <w:pPr>
              <w:widowControl w:val="0"/>
              <w:pBdr>
                <w:top w:val="nil"/>
                <w:left w:val="nil"/>
                <w:bottom w:val="nil"/>
                <w:right w:val="nil"/>
                <w:between w:val="nil"/>
              </w:pBdr>
              <w:jc w:val="right"/>
              <w:rPr>
                <w:color w:val="000000"/>
                <w:highlight w:val="green"/>
              </w:rPr>
            </w:pPr>
          </w:p>
        </w:tc>
      </w:tr>
      <w:tr w:rsidR="00E837F2" w:rsidRPr="00E837F2" w14:paraId="68AD08FE" w14:textId="77777777" w:rsidTr="00E837F2">
        <w:trPr>
          <w:trHeight w:val="23"/>
        </w:trPr>
        <w:tc>
          <w:tcPr>
            <w:tcW w:w="1496" w:type="pct"/>
            <w:shd w:val="clear" w:color="auto" w:fill="auto"/>
            <w:vAlign w:val="bottom"/>
          </w:tcPr>
          <w:p w14:paraId="540DBEE4"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Modification of contractual cash flows</w:t>
            </w:r>
          </w:p>
        </w:tc>
        <w:tc>
          <w:tcPr>
            <w:tcW w:w="472" w:type="pct"/>
            <w:shd w:val="clear" w:color="auto" w:fill="auto"/>
            <w:vAlign w:val="bottom"/>
          </w:tcPr>
          <w:p w14:paraId="2E610101"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5A70447A"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1FFFD03E"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33E49EC9" w14:textId="77777777" w:rsidR="00E837F2" w:rsidRPr="00E837F2" w:rsidRDefault="00E837F2">
            <w:pPr>
              <w:widowControl w:val="0"/>
              <w:pBdr>
                <w:top w:val="nil"/>
                <w:left w:val="nil"/>
                <w:bottom w:val="nil"/>
                <w:right w:val="nil"/>
                <w:between w:val="nil"/>
              </w:pBdr>
              <w:jc w:val="right"/>
              <w:rPr>
                <w:color w:val="000000"/>
              </w:rPr>
            </w:pPr>
          </w:p>
        </w:tc>
        <w:tc>
          <w:tcPr>
            <w:tcW w:w="484" w:type="pct"/>
            <w:vAlign w:val="bottom"/>
          </w:tcPr>
          <w:p w14:paraId="40BAB262"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555A2F05"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7FCAAF59"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1DB5F60D"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1C691BC5" w14:textId="77777777" w:rsidTr="00E837F2">
        <w:trPr>
          <w:trHeight w:val="23"/>
        </w:trPr>
        <w:tc>
          <w:tcPr>
            <w:tcW w:w="1496" w:type="pct"/>
            <w:shd w:val="clear" w:color="auto" w:fill="auto"/>
            <w:vAlign w:val="bottom"/>
          </w:tcPr>
          <w:p w14:paraId="513EE1EC" w14:textId="77777777" w:rsidR="00E837F2" w:rsidRPr="00E837F2" w:rsidRDefault="00E837F2" w:rsidP="001B330E">
            <w:pPr>
              <w:widowControl w:val="0"/>
              <w:pBdr>
                <w:top w:val="nil"/>
                <w:left w:val="nil"/>
                <w:bottom w:val="nil"/>
                <w:right w:val="nil"/>
                <w:between w:val="nil"/>
              </w:pBdr>
              <w:ind w:left="113" w:hanging="113"/>
              <w:rPr>
                <w:color w:val="000000"/>
              </w:rPr>
            </w:pPr>
            <w:r w:rsidRPr="00E837F2">
              <w:rPr>
                <w:color w:val="000000"/>
              </w:rPr>
              <w:t xml:space="preserve">Unwinding of discount (for </w:t>
            </w:r>
            <w:r w:rsidRPr="00E837F2">
              <w:rPr>
                <w:color w:val="000000"/>
              </w:rPr>
              <w:br/>
              <w:t xml:space="preserve">Stage 3) </w:t>
            </w:r>
          </w:p>
        </w:tc>
        <w:tc>
          <w:tcPr>
            <w:tcW w:w="472" w:type="pct"/>
            <w:shd w:val="clear" w:color="auto" w:fill="auto"/>
            <w:vAlign w:val="bottom"/>
          </w:tcPr>
          <w:p w14:paraId="746DF8EB"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39F33593"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425B18F3"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3BD9063B" w14:textId="77777777" w:rsidR="00E837F2" w:rsidRPr="00E837F2" w:rsidRDefault="00E837F2">
            <w:pPr>
              <w:widowControl w:val="0"/>
              <w:pBdr>
                <w:top w:val="nil"/>
                <w:left w:val="nil"/>
                <w:bottom w:val="nil"/>
                <w:right w:val="nil"/>
                <w:between w:val="nil"/>
              </w:pBdr>
              <w:jc w:val="right"/>
              <w:rPr>
                <w:color w:val="000000"/>
              </w:rPr>
            </w:pPr>
          </w:p>
        </w:tc>
        <w:tc>
          <w:tcPr>
            <w:tcW w:w="484" w:type="pct"/>
            <w:vAlign w:val="bottom"/>
          </w:tcPr>
          <w:p w14:paraId="5CD87DAB"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7859E38E"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2B7BC802"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46B4AD4C"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055A985F" w14:textId="77777777" w:rsidTr="00E837F2">
        <w:trPr>
          <w:trHeight w:val="23"/>
        </w:trPr>
        <w:tc>
          <w:tcPr>
            <w:tcW w:w="1496" w:type="pct"/>
            <w:tcBorders>
              <w:bottom w:val="single" w:sz="4" w:space="0" w:color="000000"/>
            </w:tcBorders>
            <w:shd w:val="clear" w:color="auto" w:fill="auto"/>
            <w:vAlign w:val="bottom"/>
          </w:tcPr>
          <w:p w14:paraId="075B2245" w14:textId="77777777" w:rsidR="00E837F2" w:rsidRPr="00E837F2" w:rsidRDefault="00E837F2" w:rsidP="001B330E">
            <w:pPr>
              <w:widowControl w:val="0"/>
              <w:pBdr>
                <w:top w:val="nil"/>
                <w:left w:val="nil"/>
                <w:bottom w:val="nil"/>
                <w:right w:val="nil"/>
                <w:between w:val="nil"/>
              </w:pBdr>
              <w:ind w:left="113" w:hanging="113"/>
              <w:rPr>
                <w:b/>
                <w:color w:val="000000"/>
              </w:rPr>
            </w:pPr>
          </w:p>
        </w:tc>
        <w:tc>
          <w:tcPr>
            <w:tcW w:w="472" w:type="pct"/>
            <w:tcBorders>
              <w:bottom w:val="single" w:sz="4" w:space="0" w:color="000000"/>
            </w:tcBorders>
            <w:shd w:val="clear" w:color="auto" w:fill="auto"/>
            <w:vAlign w:val="bottom"/>
          </w:tcPr>
          <w:p w14:paraId="4E3E7267" w14:textId="77777777" w:rsidR="00E837F2" w:rsidRPr="00E837F2"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4CB7C23E"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40A3A2C9" w14:textId="77777777" w:rsidR="00E837F2" w:rsidRPr="00E837F2"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60A8BFD3" w14:textId="77777777" w:rsidR="00E837F2" w:rsidRPr="00E837F2"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12557762"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73D1A664"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4CE94895" w14:textId="77777777" w:rsidR="00E837F2" w:rsidRPr="00E837F2"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2C925884"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447EF58D" w14:textId="77777777" w:rsidTr="00E837F2">
        <w:trPr>
          <w:trHeight w:val="23"/>
        </w:trPr>
        <w:tc>
          <w:tcPr>
            <w:tcW w:w="1496" w:type="pct"/>
            <w:tcBorders>
              <w:top w:val="single" w:sz="4" w:space="0" w:color="000000"/>
            </w:tcBorders>
            <w:shd w:val="clear" w:color="auto" w:fill="auto"/>
            <w:vAlign w:val="bottom"/>
          </w:tcPr>
          <w:p w14:paraId="7F9434DF" w14:textId="77777777" w:rsidR="00E837F2" w:rsidRPr="00E837F2" w:rsidRDefault="00E837F2" w:rsidP="001B330E">
            <w:pPr>
              <w:widowControl w:val="0"/>
              <w:pBdr>
                <w:top w:val="nil"/>
                <w:left w:val="nil"/>
                <w:bottom w:val="nil"/>
                <w:right w:val="nil"/>
                <w:between w:val="nil"/>
              </w:pBdr>
              <w:ind w:left="113" w:hanging="113"/>
              <w:rPr>
                <w:color w:val="000000"/>
                <w:u w:val="single"/>
              </w:rPr>
            </w:pPr>
          </w:p>
        </w:tc>
        <w:tc>
          <w:tcPr>
            <w:tcW w:w="472" w:type="pct"/>
            <w:tcBorders>
              <w:top w:val="single" w:sz="4" w:space="0" w:color="000000"/>
            </w:tcBorders>
            <w:shd w:val="clear" w:color="auto" w:fill="auto"/>
            <w:vAlign w:val="bottom"/>
          </w:tcPr>
          <w:p w14:paraId="73BD5056" w14:textId="77777777" w:rsidR="00E837F2" w:rsidRPr="00E837F2"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40BFE0DD"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1C224E3C" w14:textId="77777777" w:rsidR="00E837F2" w:rsidRPr="00E837F2"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6B20265E" w14:textId="77777777" w:rsidR="00E837F2" w:rsidRPr="00E837F2"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26B89989"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12E6F3FD"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412AF4DF" w14:textId="77777777" w:rsidR="00E837F2" w:rsidRPr="00E837F2"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2800DF30"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5CF6F760" w14:textId="77777777" w:rsidTr="00E837F2">
        <w:trPr>
          <w:trHeight w:val="23"/>
        </w:trPr>
        <w:tc>
          <w:tcPr>
            <w:tcW w:w="1496" w:type="pct"/>
            <w:shd w:val="clear" w:color="auto" w:fill="auto"/>
            <w:vAlign w:val="bottom"/>
          </w:tcPr>
          <w:p w14:paraId="559EF624" w14:textId="2E486461" w:rsidR="00E837F2" w:rsidRPr="00E837F2" w:rsidRDefault="00E837F2" w:rsidP="001B330E">
            <w:pPr>
              <w:widowControl w:val="0"/>
              <w:pBdr>
                <w:top w:val="nil"/>
                <w:left w:val="nil"/>
                <w:bottom w:val="nil"/>
                <w:right w:val="nil"/>
                <w:between w:val="nil"/>
              </w:pBdr>
              <w:ind w:left="113" w:hanging="113"/>
              <w:rPr>
                <w:b/>
                <w:color w:val="000000"/>
              </w:rPr>
            </w:pPr>
            <w:r w:rsidRPr="00E837F2">
              <w:rPr>
                <w:b/>
                <w:color w:val="000000"/>
              </w:rPr>
              <w:t>At 31</w:t>
            </w:r>
            <w:r w:rsidR="00181687">
              <w:rPr>
                <w:b/>
                <w:color w:val="000000"/>
              </w:rPr>
              <w:t> December </w:t>
            </w:r>
            <w:r w:rsidR="00541EBC">
              <w:rPr>
                <w:b/>
                <w:color w:val="000000"/>
              </w:rPr>
              <w:t>2024</w:t>
            </w:r>
          </w:p>
        </w:tc>
        <w:tc>
          <w:tcPr>
            <w:tcW w:w="472" w:type="pct"/>
            <w:shd w:val="clear" w:color="auto" w:fill="auto"/>
            <w:vAlign w:val="bottom"/>
          </w:tcPr>
          <w:p w14:paraId="4E55ADB3" w14:textId="77777777" w:rsidR="00E837F2" w:rsidRPr="00E837F2"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7F59813" w14:textId="77777777" w:rsidR="00E837F2" w:rsidRPr="00E837F2"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33D7E7E5" w14:textId="77777777" w:rsidR="00E837F2" w:rsidRPr="00E837F2"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CE8119B" w14:textId="77777777" w:rsidR="00E837F2" w:rsidRPr="00E837F2" w:rsidRDefault="00E837F2">
            <w:pPr>
              <w:widowControl w:val="0"/>
              <w:pBdr>
                <w:top w:val="nil"/>
                <w:left w:val="nil"/>
                <w:bottom w:val="nil"/>
                <w:right w:val="nil"/>
                <w:between w:val="nil"/>
              </w:pBdr>
              <w:jc w:val="right"/>
              <w:rPr>
                <w:color w:val="000000"/>
              </w:rPr>
            </w:pPr>
          </w:p>
        </w:tc>
        <w:tc>
          <w:tcPr>
            <w:tcW w:w="484" w:type="pct"/>
            <w:vAlign w:val="bottom"/>
          </w:tcPr>
          <w:p w14:paraId="6E0F59AE"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5DF04DBD" w14:textId="77777777" w:rsidR="00E837F2" w:rsidRPr="00E837F2" w:rsidRDefault="00E837F2">
            <w:pPr>
              <w:widowControl w:val="0"/>
              <w:pBdr>
                <w:top w:val="nil"/>
                <w:left w:val="nil"/>
                <w:bottom w:val="nil"/>
                <w:right w:val="nil"/>
                <w:between w:val="nil"/>
              </w:pBdr>
              <w:jc w:val="right"/>
              <w:rPr>
                <w:color w:val="000000"/>
              </w:rPr>
            </w:pPr>
          </w:p>
        </w:tc>
        <w:tc>
          <w:tcPr>
            <w:tcW w:w="476" w:type="pct"/>
            <w:vAlign w:val="bottom"/>
          </w:tcPr>
          <w:p w14:paraId="66E32A4B" w14:textId="77777777" w:rsidR="00E837F2" w:rsidRPr="00E837F2"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33DA68E5" w14:textId="77777777" w:rsidR="00E837F2" w:rsidRPr="00E837F2" w:rsidRDefault="00E837F2">
            <w:pPr>
              <w:widowControl w:val="0"/>
              <w:pBdr>
                <w:top w:val="nil"/>
                <w:left w:val="nil"/>
                <w:bottom w:val="nil"/>
                <w:right w:val="nil"/>
                <w:between w:val="nil"/>
              </w:pBdr>
              <w:jc w:val="right"/>
              <w:rPr>
                <w:color w:val="000000"/>
              </w:rPr>
            </w:pPr>
          </w:p>
        </w:tc>
      </w:tr>
      <w:tr w:rsidR="00E837F2" w:rsidRPr="00E837F2" w14:paraId="7EA70234" w14:textId="77777777" w:rsidTr="00E837F2">
        <w:trPr>
          <w:trHeight w:val="23"/>
        </w:trPr>
        <w:tc>
          <w:tcPr>
            <w:tcW w:w="1496" w:type="pct"/>
            <w:tcBorders>
              <w:bottom w:val="single" w:sz="12" w:space="0" w:color="000000"/>
            </w:tcBorders>
            <w:shd w:val="clear" w:color="auto" w:fill="auto"/>
            <w:vAlign w:val="bottom"/>
          </w:tcPr>
          <w:p w14:paraId="097D0415" w14:textId="77777777" w:rsidR="00E837F2" w:rsidRPr="00E837F2" w:rsidRDefault="00E837F2" w:rsidP="001B330E">
            <w:pPr>
              <w:widowControl w:val="0"/>
              <w:pBdr>
                <w:top w:val="nil"/>
                <w:left w:val="nil"/>
                <w:bottom w:val="nil"/>
                <w:right w:val="nil"/>
                <w:between w:val="nil"/>
              </w:pBdr>
              <w:ind w:left="113" w:hanging="113"/>
              <w:rPr>
                <w:b/>
                <w:color w:val="000000"/>
              </w:rPr>
            </w:pPr>
          </w:p>
        </w:tc>
        <w:tc>
          <w:tcPr>
            <w:tcW w:w="472" w:type="pct"/>
            <w:tcBorders>
              <w:bottom w:val="single" w:sz="12" w:space="0" w:color="000000"/>
            </w:tcBorders>
            <w:shd w:val="clear" w:color="auto" w:fill="auto"/>
            <w:vAlign w:val="bottom"/>
          </w:tcPr>
          <w:p w14:paraId="1C1243D1" w14:textId="77777777" w:rsidR="00E837F2" w:rsidRPr="00E837F2" w:rsidRDefault="00E837F2">
            <w:pPr>
              <w:widowControl w:val="0"/>
              <w:pBdr>
                <w:top w:val="nil"/>
                <w:left w:val="nil"/>
                <w:bottom w:val="nil"/>
                <w:right w:val="nil"/>
                <w:between w:val="nil"/>
              </w:pBdr>
              <w:jc w:val="right"/>
              <w:rPr>
                <w:color w:val="000000"/>
              </w:rPr>
            </w:pPr>
          </w:p>
        </w:tc>
        <w:tc>
          <w:tcPr>
            <w:tcW w:w="487" w:type="pct"/>
            <w:tcBorders>
              <w:bottom w:val="single" w:sz="12" w:space="0" w:color="000000"/>
            </w:tcBorders>
            <w:shd w:val="clear" w:color="auto" w:fill="auto"/>
            <w:vAlign w:val="bottom"/>
          </w:tcPr>
          <w:p w14:paraId="03C06685"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shd w:val="clear" w:color="auto" w:fill="auto"/>
            <w:vAlign w:val="bottom"/>
          </w:tcPr>
          <w:p w14:paraId="0729BBA2" w14:textId="77777777" w:rsidR="00E837F2" w:rsidRPr="00E837F2" w:rsidRDefault="00E837F2">
            <w:pPr>
              <w:widowControl w:val="0"/>
              <w:pBdr>
                <w:top w:val="nil"/>
                <w:left w:val="nil"/>
                <w:bottom w:val="nil"/>
                <w:right w:val="nil"/>
                <w:between w:val="nil"/>
              </w:pBdr>
              <w:jc w:val="right"/>
              <w:rPr>
                <w:color w:val="000000"/>
              </w:rPr>
            </w:pPr>
          </w:p>
        </w:tc>
        <w:tc>
          <w:tcPr>
            <w:tcW w:w="317" w:type="pct"/>
            <w:tcBorders>
              <w:bottom w:val="single" w:sz="12" w:space="0" w:color="000000"/>
            </w:tcBorders>
            <w:shd w:val="clear" w:color="auto" w:fill="auto"/>
            <w:vAlign w:val="bottom"/>
          </w:tcPr>
          <w:p w14:paraId="670FFBFB" w14:textId="77777777" w:rsidR="00E837F2" w:rsidRPr="00E837F2" w:rsidRDefault="00E837F2">
            <w:pPr>
              <w:widowControl w:val="0"/>
              <w:pBdr>
                <w:top w:val="nil"/>
                <w:left w:val="nil"/>
                <w:bottom w:val="nil"/>
                <w:right w:val="nil"/>
                <w:between w:val="nil"/>
              </w:pBdr>
              <w:jc w:val="right"/>
              <w:rPr>
                <w:color w:val="000000"/>
              </w:rPr>
            </w:pPr>
          </w:p>
        </w:tc>
        <w:tc>
          <w:tcPr>
            <w:tcW w:w="484" w:type="pct"/>
            <w:tcBorders>
              <w:bottom w:val="single" w:sz="12" w:space="0" w:color="000000"/>
            </w:tcBorders>
          </w:tcPr>
          <w:p w14:paraId="7CBEC299"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3D3C6CE1" w14:textId="77777777" w:rsidR="00E837F2" w:rsidRPr="00E837F2"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5229D2F9" w14:textId="77777777" w:rsidR="00E837F2" w:rsidRPr="00E837F2" w:rsidRDefault="00E837F2">
            <w:pPr>
              <w:widowControl w:val="0"/>
              <w:pBdr>
                <w:top w:val="nil"/>
                <w:left w:val="nil"/>
                <w:bottom w:val="nil"/>
                <w:right w:val="nil"/>
                <w:between w:val="nil"/>
              </w:pBdr>
              <w:jc w:val="right"/>
              <w:rPr>
                <w:color w:val="000000"/>
              </w:rPr>
            </w:pPr>
          </w:p>
        </w:tc>
        <w:tc>
          <w:tcPr>
            <w:tcW w:w="316" w:type="pct"/>
            <w:tcBorders>
              <w:bottom w:val="single" w:sz="12" w:space="0" w:color="000000"/>
            </w:tcBorders>
            <w:shd w:val="clear" w:color="auto" w:fill="auto"/>
            <w:vAlign w:val="bottom"/>
          </w:tcPr>
          <w:p w14:paraId="298F6F21" w14:textId="77777777" w:rsidR="00E837F2" w:rsidRPr="00E837F2" w:rsidRDefault="00E837F2">
            <w:pPr>
              <w:widowControl w:val="0"/>
              <w:pBdr>
                <w:top w:val="nil"/>
                <w:left w:val="nil"/>
                <w:bottom w:val="nil"/>
                <w:right w:val="nil"/>
                <w:between w:val="nil"/>
              </w:pBdr>
              <w:jc w:val="right"/>
              <w:rPr>
                <w:color w:val="000000"/>
              </w:rPr>
            </w:pPr>
          </w:p>
        </w:tc>
      </w:tr>
    </w:tbl>
    <w:p w14:paraId="680C6E16" w14:textId="4EAA7314" w:rsidR="00D83E33" w:rsidRDefault="00BC4072" w:rsidP="001B330E">
      <w:pPr>
        <w:pStyle w:val="Continued"/>
      </w:pPr>
      <w:r>
        <w:lastRenderedPageBreak/>
        <w:t>15</w:t>
      </w:r>
      <w:r>
        <w:tab/>
        <w:t>Other Financial Assets (Continued)</w:t>
      </w:r>
    </w:p>
    <w:tbl>
      <w:tblPr>
        <w:tblStyle w:val="afffffffff5"/>
        <w:tblW w:w="5000" w:type="pct"/>
        <w:tblLayout w:type="fixed"/>
        <w:tblLook w:val="0000" w:firstRow="0" w:lastRow="0" w:firstColumn="0" w:lastColumn="0" w:noHBand="0" w:noVBand="0"/>
      </w:tblPr>
      <w:tblGrid>
        <w:gridCol w:w="2798"/>
        <w:gridCol w:w="883"/>
        <w:gridCol w:w="911"/>
        <w:gridCol w:w="891"/>
        <w:gridCol w:w="593"/>
        <w:gridCol w:w="906"/>
        <w:gridCol w:w="891"/>
        <w:gridCol w:w="891"/>
        <w:gridCol w:w="591"/>
      </w:tblGrid>
      <w:tr w:rsidR="00E837F2" w:rsidRPr="00EA10CF" w14:paraId="1E5E8FF3" w14:textId="77777777" w:rsidTr="001B330E">
        <w:trPr>
          <w:trHeight w:val="23"/>
        </w:trPr>
        <w:tc>
          <w:tcPr>
            <w:tcW w:w="1496" w:type="pct"/>
            <w:shd w:val="clear" w:color="auto" w:fill="auto"/>
            <w:vAlign w:val="bottom"/>
          </w:tcPr>
          <w:p w14:paraId="3FE84318" w14:textId="77777777" w:rsidR="00E837F2" w:rsidRPr="00EA10CF" w:rsidRDefault="00E837F2" w:rsidP="001B330E">
            <w:pPr>
              <w:widowControl w:val="0"/>
              <w:pBdr>
                <w:top w:val="nil"/>
                <w:left w:val="nil"/>
                <w:bottom w:val="nil"/>
                <w:right w:val="nil"/>
                <w:between w:val="nil"/>
              </w:pBdr>
              <w:ind w:left="113" w:hanging="113"/>
              <w:rPr>
                <w:i/>
                <w:color w:val="000000"/>
              </w:rPr>
            </w:pPr>
          </w:p>
        </w:tc>
        <w:tc>
          <w:tcPr>
            <w:tcW w:w="1752" w:type="pct"/>
            <w:gridSpan w:val="4"/>
            <w:tcBorders>
              <w:bottom w:val="single" w:sz="4" w:space="0" w:color="000000"/>
            </w:tcBorders>
            <w:shd w:val="clear" w:color="auto" w:fill="auto"/>
          </w:tcPr>
          <w:p w14:paraId="4C62C849" w14:textId="77777777" w:rsidR="00E837F2" w:rsidRPr="00EA10CF" w:rsidRDefault="00E837F2" w:rsidP="001B330E">
            <w:pPr>
              <w:widowControl w:val="0"/>
              <w:pBdr>
                <w:top w:val="nil"/>
                <w:left w:val="nil"/>
                <w:bottom w:val="nil"/>
                <w:right w:val="nil"/>
                <w:between w:val="nil"/>
              </w:pBdr>
              <w:tabs>
                <w:tab w:val="left" w:pos="3182"/>
              </w:tabs>
              <w:jc w:val="center"/>
              <w:rPr>
                <w:b/>
                <w:color w:val="000000"/>
              </w:rPr>
            </w:pPr>
            <w:r w:rsidRPr="00EA10CF">
              <w:rPr>
                <w:b/>
                <w:color w:val="000000"/>
              </w:rPr>
              <w:t>Credit loss allowance</w:t>
            </w:r>
          </w:p>
        </w:tc>
        <w:tc>
          <w:tcPr>
            <w:tcW w:w="1752" w:type="pct"/>
            <w:gridSpan w:val="4"/>
            <w:tcBorders>
              <w:bottom w:val="single" w:sz="4" w:space="0" w:color="000000"/>
            </w:tcBorders>
          </w:tcPr>
          <w:p w14:paraId="18375903" w14:textId="77777777" w:rsidR="00E837F2" w:rsidRPr="00EA10CF" w:rsidRDefault="00E837F2" w:rsidP="001B330E">
            <w:pPr>
              <w:widowControl w:val="0"/>
              <w:pBdr>
                <w:top w:val="nil"/>
                <w:left w:val="nil"/>
                <w:bottom w:val="nil"/>
                <w:right w:val="nil"/>
                <w:between w:val="nil"/>
              </w:pBdr>
              <w:jc w:val="center"/>
              <w:rPr>
                <w:b/>
                <w:color w:val="000000"/>
              </w:rPr>
            </w:pPr>
            <w:r w:rsidRPr="00EA10CF">
              <w:rPr>
                <w:b/>
                <w:color w:val="000000"/>
              </w:rPr>
              <w:t>Gross carrying amount</w:t>
            </w:r>
          </w:p>
        </w:tc>
      </w:tr>
      <w:tr w:rsidR="00E837F2" w:rsidRPr="00EA10CF" w14:paraId="4B0FB1A6" w14:textId="77777777" w:rsidTr="001B330E">
        <w:trPr>
          <w:trHeight w:val="23"/>
        </w:trPr>
        <w:tc>
          <w:tcPr>
            <w:tcW w:w="1496" w:type="pct"/>
            <w:tcBorders>
              <w:bottom w:val="single" w:sz="4" w:space="0" w:color="000000"/>
            </w:tcBorders>
            <w:shd w:val="clear" w:color="auto" w:fill="auto"/>
            <w:vAlign w:val="bottom"/>
          </w:tcPr>
          <w:p w14:paraId="2CC5182C" w14:textId="77777777" w:rsidR="00E837F2" w:rsidRPr="00EA10CF" w:rsidRDefault="00E837F2" w:rsidP="001B330E">
            <w:pPr>
              <w:widowControl w:val="0"/>
              <w:pBdr>
                <w:top w:val="nil"/>
                <w:left w:val="nil"/>
                <w:bottom w:val="nil"/>
                <w:right w:val="nil"/>
                <w:between w:val="nil"/>
              </w:pBdr>
              <w:ind w:left="113" w:hanging="113"/>
              <w:rPr>
                <w:i/>
                <w:color w:val="000000"/>
              </w:rPr>
            </w:pPr>
          </w:p>
          <w:p w14:paraId="203D20FC" w14:textId="5BECB833" w:rsidR="00E837F2"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472" w:type="pct"/>
            <w:tcBorders>
              <w:top w:val="single" w:sz="4" w:space="0" w:color="000000"/>
              <w:bottom w:val="single" w:sz="4" w:space="0" w:color="000000"/>
            </w:tcBorders>
            <w:shd w:val="clear" w:color="auto" w:fill="auto"/>
          </w:tcPr>
          <w:p w14:paraId="64272495"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Stage 1</w:t>
            </w:r>
          </w:p>
          <w:p w14:paraId="4CB35B71" w14:textId="77777777" w:rsidR="00E837F2" w:rsidRPr="00EA10CF" w:rsidRDefault="00E837F2" w:rsidP="001B330E">
            <w:pPr>
              <w:widowControl w:val="0"/>
              <w:pBdr>
                <w:top w:val="nil"/>
                <w:left w:val="nil"/>
                <w:bottom w:val="nil"/>
                <w:right w:val="nil"/>
                <w:between w:val="nil"/>
              </w:pBdr>
              <w:ind w:left="-113" w:firstLine="142"/>
              <w:jc w:val="right"/>
              <w:rPr>
                <w:b/>
                <w:color w:val="000000"/>
              </w:rPr>
            </w:pPr>
            <w:r w:rsidRPr="00EA10CF">
              <w:rPr>
                <w:b/>
                <w:color w:val="000000"/>
              </w:rPr>
              <w:t>(12-months ECL)</w:t>
            </w:r>
          </w:p>
        </w:tc>
        <w:tc>
          <w:tcPr>
            <w:tcW w:w="487" w:type="pct"/>
            <w:tcBorders>
              <w:top w:val="single" w:sz="4" w:space="0" w:color="000000"/>
              <w:bottom w:val="single" w:sz="4" w:space="0" w:color="000000"/>
            </w:tcBorders>
            <w:shd w:val="clear" w:color="auto" w:fill="auto"/>
          </w:tcPr>
          <w:p w14:paraId="17C7ECCC"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Stage 2</w:t>
            </w:r>
          </w:p>
          <w:p w14:paraId="6BD4136A"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 xml:space="preserve">(lifetime ECL for SICR) </w:t>
            </w:r>
          </w:p>
        </w:tc>
        <w:tc>
          <w:tcPr>
            <w:tcW w:w="476" w:type="pct"/>
            <w:tcBorders>
              <w:top w:val="single" w:sz="4" w:space="0" w:color="000000"/>
              <w:bottom w:val="single" w:sz="4" w:space="0" w:color="000000"/>
            </w:tcBorders>
            <w:shd w:val="clear" w:color="auto" w:fill="auto"/>
          </w:tcPr>
          <w:p w14:paraId="41F9CA62"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Stage 3</w:t>
            </w:r>
          </w:p>
          <w:p w14:paraId="26D5FBA1"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(lifetime ECL for credit im-paired)</w:t>
            </w:r>
          </w:p>
        </w:tc>
        <w:tc>
          <w:tcPr>
            <w:tcW w:w="317" w:type="pct"/>
            <w:tcBorders>
              <w:top w:val="single" w:sz="4" w:space="0" w:color="000000"/>
              <w:bottom w:val="single" w:sz="4" w:space="0" w:color="000000"/>
            </w:tcBorders>
            <w:shd w:val="clear" w:color="auto" w:fill="auto"/>
          </w:tcPr>
          <w:p w14:paraId="7A2303C9"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Total</w:t>
            </w:r>
          </w:p>
        </w:tc>
        <w:tc>
          <w:tcPr>
            <w:tcW w:w="484" w:type="pct"/>
            <w:tcBorders>
              <w:top w:val="single" w:sz="4" w:space="0" w:color="000000"/>
              <w:bottom w:val="single" w:sz="4" w:space="0" w:color="000000"/>
            </w:tcBorders>
          </w:tcPr>
          <w:p w14:paraId="5AD1C8AE"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Stage 1</w:t>
            </w:r>
          </w:p>
          <w:p w14:paraId="3D0C9487"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(12-months ECL)</w:t>
            </w:r>
          </w:p>
        </w:tc>
        <w:tc>
          <w:tcPr>
            <w:tcW w:w="476" w:type="pct"/>
            <w:tcBorders>
              <w:top w:val="single" w:sz="4" w:space="0" w:color="000000"/>
              <w:bottom w:val="single" w:sz="4" w:space="0" w:color="000000"/>
            </w:tcBorders>
          </w:tcPr>
          <w:p w14:paraId="26AAC64D"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Stage 2</w:t>
            </w:r>
          </w:p>
          <w:p w14:paraId="008647DA"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 xml:space="preserve">(lifetime ECL for SICR) </w:t>
            </w:r>
          </w:p>
        </w:tc>
        <w:tc>
          <w:tcPr>
            <w:tcW w:w="476" w:type="pct"/>
            <w:tcBorders>
              <w:top w:val="single" w:sz="4" w:space="0" w:color="000000"/>
              <w:bottom w:val="single" w:sz="4" w:space="0" w:color="000000"/>
            </w:tcBorders>
          </w:tcPr>
          <w:p w14:paraId="3A7F1B6F"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Stage 3</w:t>
            </w:r>
          </w:p>
          <w:p w14:paraId="394C55BB"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(lifetime ECL for credit im-paired)</w:t>
            </w:r>
          </w:p>
        </w:tc>
        <w:tc>
          <w:tcPr>
            <w:tcW w:w="316" w:type="pct"/>
            <w:tcBorders>
              <w:top w:val="single" w:sz="4" w:space="0" w:color="000000"/>
              <w:bottom w:val="single" w:sz="4" w:space="0" w:color="000000"/>
            </w:tcBorders>
            <w:shd w:val="clear" w:color="auto" w:fill="auto"/>
          </w:tcPr>
          <w:p w14:paraId="4081B529" w14:textId="77777777" w:rsidR="00E837F2" w:rsidRPr="00EA10CF" w:rsidRDefault="00E837F2">
            <w:pPr>
              <w:widowControl w:val="0"/>
              <w:pBdr>
                <w:top w:val="nil"/>
                <w:left w:val="nil"/>
                <w:bottom w:val="nil"/>
                <w:right w:val="nil"/>
                <w:between w:val="nil"/>
              </w:pBdr>
              <w:ind w:left="-113"/>
              <w:jc w:val="right"/>
              <w:rPr>
                <w:b/>
                <w:color w:val="000000"/>
              </w:rPr>
            </w:pPr>
            <w:r w:rsidRPr="00EA10CF">
              <w:rPr>
                <w:b/>
                <w:color w:val="000000"/>
              </w:rPr>
              <w:t>Total</w:t>
            </w:r>
          </w:p>
        </w:tc>
      </w:tr>
      <w:tr w:rsidR="00E837F2" w:rsidRPr="00EA10CF" w14:paraId="0E07C59F" w14:textId="77777777" w:rsidTr="001B330E">
        <w:trPr>
          <w:trHeight w:val="23"/>
        </w:trPr>
        <w:tc>
          <w:tcPr>
            <w:tcW w:w="1496" w:type="pct"/>
            <w:shd w:val="clear" w:color="auto" w:fill="auto"/>
            <w:vAlign w:val="bottom"/>
          </w:tcPr>
          <w:p w14:paraId="341EF948" w14:textId="77777777" w:rsidR="00E837F2" w:rsidRPr="00EA10CF" w:rsidRDefault="00E837F2" w:rsidP="001B330E">
            <w:pPr>
              <w:widowControl w:val="0"/>
              <w:ind w:left="113" w:hanging="113"/>
            </w:pPr>
          </w:p>
        </w:tc>
        <w:tc>
          <w:tcPr>
            <w:tcW w:w="472" w:type="pct"/>
            <w:shd w:val="clear" w:color="auto" w:fill="auto"/>
            <w:vAlign w:val="bottom"/>
          </w:tcPr>
          <w:p w14:paraId="234E200A" w14:textId="77777777" w:rsidR="00E837F2" w:rsidRPr="00EA10CF"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072FF428"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55B651CF" w14:textId="77777777" w:rsidR="00E837F2" w:rsidRPr="00EA10CF"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4E6D63A4" w14:textId="77777777" w:rsidR="00E837F2" w:rsidRPr="00EA10CF" w:rsidRDefault="00E837F2">
            <w:pPr>
              <w:widowControl w:val="0"/>
              <w:pBdr>
                <w:top w:val="nil"/>
                <w:left w:val="nil"/>
                <w:bottom w:val="nil"/>
                <w:right w:val="nil"/>
                <w:between w:val="nil"/>
              </w:pBdr>
              <w:jc w:val="right"/>
              <w:rPr>
                <w:color w:val="000000"/>
              </w:rPr>
            </w:pPr>
          </w:p>
        </w:tc>
        <w:tc>
          <w:tcPr>
            <w:tcW w:w="484" w:type="pct"/>
          </w:tcPr>
          <w:p w14:paraId="38E2EE49"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74DC37AA"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3F506A19"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0B0305F2"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5F75F510" w14:textId="77777777" w:rsidTr="001B330E">
        <w:trPr>
          <w:trHeight w:val="23"/>
        </w:trPr>
        <w:tc>
          <w:tcPr>
            <w:tcW w:w="1496" w:type="pct"/>
            <w:shd w:val="clear" w:color="auto" w:fill="auto"/>
            <w:vAlign w:val="bottom"/>
          </w:tcPr>
          <w:p w14:paraId="5B351AC9" w14:textId="1E1F8C95" w:rsidR="00E837F2" w:rsidRPr="00EA10CF" w:rsidRDefault="00510A4B" w:rsidP="001B330E">
            <w:pPr>
              <w:widowControl w:val="0"/>
              <w:pBdr>
                <w:top w:val="nil"/>
                <w:left w:val="nil"/>
                <w:bottom w:val="nil"/>
                <w:right w:val="nil"/>
                <w:between w:val="nil"/>
              </w:pBdr>
              <w:ind w:left="113" w:hanging="113"/>
              <w:rPr>
                <w:b/>
                <w:i/>
                <w:color w:val="000000"/>
              </w:rPr>
            </w:pPr>
            <w:r w:rsidRPr="00372E26">
              <w:rPr>
                <w:b/>
                <w:i/>
                <w:color w:val="0000FF"/>
              </w:rPr>
              <w:t>[</w:t>
            </w:r>
            <w:r w:rsidR="00E837F2" w:rsidRPr="00372E26">
              <w:rPr>
                <w:b/>
                <w:i/>
                <w:color w:val="0000FF"/>
              </w:rPr>
              <w:t>Finance lease receivables</w:t>
            </w:r>
            <w:r w:rsidRPr="00372E26">
              <w:rPr>
                <w:b/>
                <w:i/>
                <w:color w:val="0000FF"/>
              </w:rPr>
              <w:t>]</w:t>
            </w:r>
          </w:p>
        </w:tc>
        <w:tc>
          <w:tcPr>
            <w:tcW w:w="472" w:type="pct"/>
            <w:shd w:val="clear" w:color="auto" w:fill="auto"/>
            <w:vAlign w:val="bottom"/>
          </w:tcPr>
          <w:p w14:paraId="1F516970"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1146AE0E"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5F9003AF"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32EA3E0C" w14:textId="77777777" w:rsidR="00E837F2" w:rsidRPr="00EA10CF" w:rsidRDefault="00E837F2">
            <w:pPr>
              <w:widowControl w:val="0"/>
              <w:pBdr>
                <w:top w:val="nil"/>
                <w:left w:val="nil"/>
                <w:bottom w:val="nil"/>
                <w:right w:val="nil"/>
                <w:between w:val="nil"/>
              </w:pBdr>
              <w:jc w:val="right"/>
              <w:rPr>
                <w:color w:val="000000"/>
              </w:rPr>
            </w:pPr>
          </w:p>
        </w:tc>
        <w:tc>
          <w:tcPr>
            <w:tcW w:w="484" w:type="pct"/>
          </w:tcPr>
          <w:p w14:paraId="44267B74"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135AF4CC"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236DFFEA"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4DFF8AA0"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1566B186" w14:textId="77777777" w:rsidTr="001B330E">
        <w:trPr>
          <w:trHeight w:val="23"/>
        </w:trPr>
        <w:tc>
          <w:tcPr>
            <w:tcW w:w="1496" w:type="pct"/>
            <w:shd w:val="clear" w:color="auto" w:fill="auto"/>
            <w:vAlign w:val="bottom"/>
          </w:tcPr>
          <w:p w14:paraId="4B4757F4" w14:textId="77777777" w:rsidR="00E837F2" w:rsidRPr="00EA10CF" w:rsidRDefault="00E837F2" w:rsidP="001B330E">
            <w:pPr>
              <w:widowControl w:val="0"/>
              <w:pBdr>
                <w:top w:val="nil"/>
                <w:left w:val="nil"/>
                <w:bottom w:val="nil"/>
                <w:right w:val="nil"/>
                <w:between w:val="nil"/>
              </w:pBdr>
              <w:ind w:left="113" w:hanging="113"/>
              <w:rPr>
                <w:b/>
                <w:i/>
                <w:color w:val="000000"/>
              </w:rPr>
            </w:pPr>
          </w:p>
        </w:tc>
        <w:tc>
          <w:tcPr>
            <w:tcW w:w="472" w:type="pct"/>
            <w:shd w:val="clear" w:color="auto" w:fill="auto"/>
            <w:vAlign w:val="bottom"/>
          </w:tcPr>
          <w:p w14:paraId="0B06101F"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02A53EFF"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186E65ED"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E48EBCC" w14:textId="77777777" w:rsidR="00E837F2" w:rsidRPr="00EA10CF" w:rsidRDefault="00E837F2">
            <w:pPr>
              <w:widowControl w:val="0"/>
              <w:pBdr>
                <w:top w:val="nil"/>
                <w:left w:val="nil"/>
                <w:bottom w:val="nil"/>
                <w:right w:val="nil"/>
                <w:between w:val="nil"/>
              </w:pBdr>
              <w:jc w:val="right"/>
              <w:rPr>
                <w:color w:val="000000"/>
              </w:rPr>
            </w:pPr>
          </w:p>
        </w:tc>
        <w:tc>
          <w:tcPr>
            <w:tcW w:w="484" w:type="pct"/>
          </w:tcPr>
          <w:p w14:paraId="1EBAF0E4"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04B813A1"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24D5AED4"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34A0BC5B"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4FF92EA0" w14:textId="77777777" w:rsidTr="001B330E">
        <w:trPr>
          <w:trHeight w:val="23"/>
        </w:trPr>
        <w:tc>
          <w:tcPr>
            <w:tcW w:w="1496" w:type="pct"/>
            <w:shd w:val="clear" w:color="auto" w:fill="auto"/>
            <w:vAlign w:val="bottom"/>
          </w:tcPr>
          <w:p w14:paraId="1FB51994" w14:textId="2A3F97C2" w:rsidR="00E837F2" w:rsidRPr="00EA10CF" w:rsidRDefault="00E837F2" w:rsidP="001B330E">
            <w:pPr>
              <w:widowControl w:val="0"/>
              <w:pBdr>
                <w:top w:val="nil"/>
                <w:left w:val="nil"/>
                <w:bottom w:val="nil"/>
                <w:right w:val="nil"/>
                <w:between w:val="nil"/>
              </w:pBdr>
              <w:ind w:left="113" w:hanging="113"/>
              <w:rPr>
                <w:b/>
                <w:color w:val="0000FF"/>
              </w:rPr>
            </w:pPr>
            <w:r w:rsidRPr="00EA10CF">
              <w:rPr>
                <w:b/>
                <w:color w:val="000000"/>
              </w:rPr>
              <w:t xml:space="preserve">At 1 January </w:t>
            </w:r>
            <w:r w:rsidR="00541EBC">
              <w:rPr>
                <w:b/>
                <w:color w:val="000000"/>
              </w:rPr>
              <w:t>2023</w:t>
            </w:r>
          </w:p>
        </w:tc>
        <w:tc>
          <w:tcPr>
            <w:tcW w:w="472" w:type="pct"/>
            <w:shd w:val="clear" w:color="auto" w:fill="auto"/>
            <w:vAlign w:val="bottom"/>
          </w:tcPr>
          <w:p w14:paraId="01A30994"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66B318D4"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7FCC6158"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EBF5A96" w14:textId="77777777" w:rsidR="00E837F2" w:rsidRPr="00EA10CF" w:rsidRDefault="00E837F2">
            <w:pPr>
              <w:widowControl w:val="0"/>
              <w:pBdr>
                <w:top w:val="nil"/>
                <w:left w:val="nil"/>
                <w:bottom w:val="nil"/>
                <w:right w:val="nil"/>
                <w:between w:val="nil"/>
              </w:pBdr>
              <w:jc w:val="right"/>
              <w:rPr>
                <w:color w:val="000000"/>
              </w:rPr>
            </w:pPr>
          </w:p>
        </w:tc>
        <w:tc>
          <w:tcPr>
            <w:tcW w:w="484" w:type="pct"/>
          </w:tcPr>
          <w:p w14:paraId="095B0B69"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04D17538"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728A900D"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48C53118"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1CBC209C" w14:textId="77777777" w:rsidTr="001B330E">
        <w:trPr>
          <w:trHeight w:val="23"/>
        </w:trPr>
        <w:tc>
          <w:tcPr>
            <w:tcW w:w="1496" w:type="pct"/>
            <w:shd w:val="clear" w:color="auto" w:fill="auto"/>
            <w:vAlign w:val="bottom"/>
          </w:tcPr>
          <w:p w14:paraId="257E7FDA" w14:textId="77777777" w:rsidR="00E837F2" w:rsidRPr="00EA10CF" w:rsidRDefault="00E837F2" w:rsidP="001B330E">
            <w:pPr>
              <w:widowControl w:val="0"/>
              <w:pBdr>
                <w:top w:val="nil"/>
                <w:left w:val="nil"/>
                <w:bottom w:val="nil"/>
                <w:right w:val="nil"/>
                <w:between w:val="nil"/>
              </w:pBdr>
              <w:ind w:left="113" w:hanging="113"/>
              <w:rPr>
                <w:b/>
                <w:color w:val="000000"/>
              </w:rPr>
            </w:pPr>
          </w:p>
          <w:p w14:paraId="00FB8BDE" w14:textId="77777777" w:rsidR="00E837F2" w:rsidRPr="00EA10CF" w:rsidRDefault="00E837F2" w:rsidP="001B330E">
            <w:pPr>
              <w:widowControl w:val="0"/>
              <w:pBdr>
                <w:top w:val="nil"/>
                <w:left w:val="nil"/>
                <w:bottom w:val="nil"/>
                <w:right w:val="nil"/>
                <w:between w:val="nil"/>
              </w:pBdr>
              <w:ind w:left="113" w:hanging="113"/>
              <w:rPr>
                <w:b/>
                <w:color w:val="000000"/>
              </w:rPr>
            </w:pPr>
            <w:r w:rsidRPr="00EA10CF">
              <w:rPr>
                <w:i/>
                <w:color w:val="000000"/>
              </w:rPr>
              <w:t>Movements with impact on credit loss allowance charge for the period:</w:t>
            </w:r>
          </w:p>
        </w:tc>
        <w:tc>
          <w:tcPr>
            <w:tcW w:w="472" w:type="pct"/>
            <w:shd w:val="clear" w:color="auto" w:fill="auto"/>
            <w:vAlign w:val="bottom"/>
          </w:tcPr>
          <w:p w14:paraId="4D316391"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AC59A0C"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09B3CB01"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17F9697" w14:textId="77777777" w:rsidR="00E837F2" w:rsidRPr="00EA10CF" w:rsidRDefault="00E837F2">
            <w:pPr>
              <w:widowControl w:val="0"/>
              <w:pBdr>
                <w:top w:val="nil"/>
                <w:left w:val="nil"/>
                <w:bottom w:val="nil"/>
                <w:right w:val="nil"/>
                <w:between w:val="nil"/>
              </w:pBdr>
              <w:jc w:val="right"/>
              <w:rPr>
                <w:color w:val="000000"/>
              </w:rPr>
            </w:pPr>
          </w:p>
        </w:tc>
        <w:tc>
          <w:tcPr>
            <w:tcW w:w="484" w:type="pct"/>
          </w:tcPr>
          <w:p w14:paraId="5602DFF6" w14:textId="77777777" w:rsidR="00E837F2" w:rsidRPr="00EA10CF" w:rsidRDefault="00E837F2" w:rsidP="001B330E">
            <w:pPr>
              <w:widowControl w:val="0"/>
              <w:pBdr>
                <w:top w:val="nil"/>
                <w:left w:val="nil"/>
                <w:bottom w:val="nil"/>
                <w:right w:val="nil"/>
                <w:between w:val="nil"/>
              </w:pBdr>
              <w:jc w:val="right"/>
              <w:rPr>
                <w:color w:val="000000"/>
              </w:rPr>
            </w:pPr>
          </w:p>
        </w:tc>
        <w:tc>
          <w:tcPr>
            <w:tcW w:w="476" w:type="pct"/>
          </w:tcPr>
          <w:p w14:paraId="4756C9B7"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67855A27"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01E080DC"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38760657" w14:textId="77777777" w:rsidTr="001B330E">
        <w:trPr>
          <w:trHeight w:val="23"/>
        </w:trPr>
        <w:tc>
          <w:tcPr>
            <w:tcW w:w="1496" w:type="pct"/>
            <w:shd w:val="clear" w:color="auto" w:fill="auto"/>
            <w:vAlign w:val="bottom"/>
          </w:tcPr>
          <w:p w14:paraId="783BCC59"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291B74B5" w14:textId="77777777" w:rsidR="00E837F2" w:rsidRPr="00EA10CF"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D591FB2"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F219E44" w14:textId="77777777" w:rsidR="00E837F2" w:rsidRPr="00EA10CF"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47C19628" w14:textId="77777777" w:rsidR="00E837F2" w:rsidRPr="00EA10CF" w:rsidRDefault="00E837F2">
            <w:pPr>
              <w:widowControl w:val="0"/>
              <w:pBdr>
                <w:top w:val="nil"/>
                <w:left w:val="nil"/>
                <w:bottom w:val="nil"/>
                <w:right w:val="nil"/>
                <w:between w:val="nil"/>
              </w:pBdr>
              <w:jc w:val="right"/>
              <w:rPr>
                <w:color w:val="000000"/>
                <w:highlight w:val="green"/>
              </w:rPr>
            </w:pPr>
          </w:p>
        </w:tc>
        <w:tc>
          <w:tcPr>
            <w:tcW w:w="484" w:type="pct"/>
          </w:tcPr>
          <w:p w14:paraId="69980DFE"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095DB600"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6B1BC09D" w14:textId="77777777" w:rsidR="00E837F2" w:rsidRPr="00EA10CF"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22B94418" w14:textId="77777777" w:rsidR="00E837F2" w:rsidRPr="00EA10CF" w:rsidRDefault="00E837F2">
            <w:pPr>
              <w:widowControl w:val="0"/>
              <w:pBdr>
                <w:top w:val="nil"/>
                <w:left w:val="nil"/>
                <w:bottom w:val="nil"/>
                <w:right w:val="nil"/>
                <w:between w:val="nil"/>
              </w:pBdr>
              <w:jc w:val="right"/>
              <w:rPr>
                <w:color w:val="000000"/>
                <w:highlight w:val="green"/>
              </w:rPr>
            </w:pPr>
          </w:p>
        </w:tc>
      </w:tr>
      <w:tr w:rsidR="00E837F2" w:rsidRPr="00EA10CF" w14:paraId="5EE45CBD" w14:textId="77777777" w:rsidTr="001B330E">
        <w:trPr>
          <w:trHeight w:val="23"/>
        </w:trPr>
        <w:tc>
          <w:tcPr>
            <w:tcW w:w="1496" w:type="pct"/>
            <w:shd w:val="clear" w:color="auto" w:fill="auto"/>
            <w:vAlign w:val="bottom"/>
          </w:tcPr>
          <w:p w14:paraId="22DE053C" w14:textId="77777777" w:rsidR="00E837F2" w:rsidRPr="00EA10CF" w:rsidRDefault="00E837F2" w:rsidP="001B330E">
            <w:pPr>
              <w:widowControl w:val="0"/>
              <w:pBdr>
                <w:top w:val="nil"/>
                <w:left w:val="nil"/>
                <w:bottom w:val="nil"/>
                <w:right w:val="nil"/>
                <w:between w:val="nil"/>
              </w:pBdr>
              <w:ind w:left="113" w:hanging="113"/>
              <w:rPr>
                <w:color w:val="0000FF"/>
              </w:rPr>
            </w:pPr>
            <w:r w:rsidRPr="00EA10CF">
              <w:rPr>
                <w:color w:val="000000"/>
              </w:rPr>
              <w:t>Transfers:</w:t>
            </w:r>
          </w:p>
        </w:tc>
        <w:tc>
          <w:tcPr>
            <w:tcW w:w="472" w:type="pct"/>
            <w:shd w:val="clear" w:color="auto" w:fill="auto"/>
            <w:vAlign w:val="bottom"/>
          </w:tcPr>
          <w:p w14:paraId="3A7B892B" w14:textId="77777777" w:rsidR="00E837F2" w:rsidRPr="00EA10CF"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3049FD34"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218391C7" w14:textId="77777777" w:rsidR="00E837F2" w:rsidRPr="00EA10CF"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4F7C499F" w14:textId="77777777" w:rsidR="00E837F2" w:rsidRPr="00EA10CF" w:rsidRDefault="00E837F2">
            <w:pPr>
              <w:widowControl w:val="0"/>
              <w:pBdr>
                <w:top w:val="nil"/>
                <w:left w:val="nil"/>
                <w:bottom w:val="nil"/>
                <w:right w:val="nil"/>
                <w:between w:val="nil"/>
              </w:pBdr>
              <w:jc w:val="right"/>
              <w:rPr>
                <w:color w:val="000000"/>
                <w:highlight w:val="green"/>
              </w:rPr>
            </w:pPr>
          </w:p>
        </w:tc>
        <w:tc>
          <w:tcPr>
            <w:tcW w:w="484" w:type="pct"/>
          </w:tcPr>
          <w:p w14:paraId="0BB30335"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6D8EAF70"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15ED5BD1" w14:textId="77777777" w:rsidR="00E837F2" w:rsidRPr="00EA10CF"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DE82BC7" w14:textId="77777777" w:rsidR="00E837F2" w:rsidRPr="00EA10CF" w:rsidRDefault="00E837F2">
            <w:pPr>
              <w:widowControl w:val="0"/>
              <w:pBdr>
                <w:top w:val="nil"/>
                <w:left w:val="nil"/>
                <w:bottom w:val="nil"/>
                <w:right w:val="nil"/>
                <w:between w:val="nil"/>
              </w:pBdr>
              <w:jc w:val="right"/>
              <w:rPr>
                <w:color w:val="000000"/>
                <w:highlight w:val="green"/>
              </w:rPr>
            </w:pPr>
          </w:p>
        </w:tc>
      </w:tr>
      <w:tr w:rsidR="00E837F2" w:rsidRPr="00EA10CF" w14:paraId="6E8B61FD" w14:textId="77777777" w:rsidTr="001B330E">
        <w:trPr>
          <w:trHeight w:val="23"/>
        </w:trPr>
        <w:tc>
          <w:tcPr>
            <w:tcW w:w="1496" w:type="pct"/>
            <w:shd w:val="clear" w:color="auto" w:fill="auto"/>
            <w:vAlign w:val="bottom"/>
          </w:tcPr>
          <w:p w14:paraId="79C6AAA1"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 to lifetime (from Stage 1 to Stage 2)</w:t>
            </w:r>
          </w:p>
        </w:tc>
        <w:tc>
          <w:tcPr>
            <w:tcW w:w="472" w:type="pct"/>
            <w:shd w:val="clear" w:color="auto" w:fill="auto"/>
            <w:vAlign w:val="bottom"/>
          </w:tcPr>
          <w:p w14:paraId="558CD8E0" w14:textId="77777777" w:rsidR="00E837F2" w:rsidRPr="00EA10CF"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1768E2EB"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2DD6072C" w14:textId="77777777" w:rsidR="00E837F2" w:rsidRPr="00EA10CF"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06DDE680" w14:textId="77777777" w:rsidR="00E837F2" w:rsidRPr="00EA10CF" w:rsidRDefault="00E837F2">
            <w:pPr>
              <w:widowControl w:val="0"/>
              <w:pBdr>
                <w:top w:val="nil"/>
                <w:left w:val="nil"/>
                <w:bottom w:val="nil"/>
                <w:right w:val="nil"/>
                <w:between w:val="nil"/>
              </w:pBdr>
              <w:jc w:val="right"/>
              <w:rPr>
                <w:color w:val="000000"/>
                <w:highlight w:val="green"/>
              </w:rPr>
            </w:pPr>
          </w:p>
        </w:tc>
        <w:tc>
          <w:tcPr>
            <w:tcW w:w="484" w:type="pct"/>
          </w:tcPr>
          <w:p w14:paraId="003D9221"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551BA74C"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20EDE801" w14:textId="77777777" w:rsidR="00E837F2" w:rsidRPr="00EA10CF"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61EA249C" w14:textId="77777777" w:rsidR="00E837F2" w:rsidRPr="00EA10CF" w:rsidRDefault="00E837F2">
            <w:pPr>
              <w:widowControl w:val="0"/>
              <w:pBdr>
                <w:top w:val="nil"/>
                <w:left w:val="nil"/>
                <w:bottom w:val="nil"/>
                <w:right w:val="nil"/>
                <w:between w:val="nil"/>
              </w:pBdr>
              <w:jc w:val="right"/>
              <w:rPr>
                <w:color w:val="000000"/>
                <w:highlight w:val="green"/>
              </w:rPr>
            </w:pPr>
          </w:p>
        </w:tc>
      </w:tr>
      <w:tr w:rsidR="00E837F2" w:rsidRPr="00EA10CF" w14:paraId="72479E4D" w14:textId="77777777" w:rsidTr="001B330E">
        <w:trPr>
          <w:trHeight w:val="23"/>
        </w:trPr>
        <w:tc>
          <w:tcPr>
            <w:tcW w:w="1496" w:type="pct"/>
            <w:shd w:val="clear" w:color="auto" w:fill="auto"/>
            <w:vAlign w:val="bottom"/>
          </w:tcPr>
          <w:p w14:paraId="743B27A2"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 to credit-impaired (from Stage 1 and Stage 2 to Stage 3)</w:t>
            </w:r>
          </w:p>
        </w:tc>
        <w:tc>
          <w:tcPr>
            <w:tcW w:w="472" w:type="pct"/>
            <w:shd w:val="clear" w:color="auto" w:fill="auto"/>
            <w:vAlign w:val="bottom"/>
          </w:tcPr>
          <w:p w14:paraId="1C6C7474" w14:textId="77777777" w:rsidR="00E837F2" w:rsidRPr="00EA10CF"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07BC50B3"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5E708C3D" w14:textId="77777777" w:rsidR="00E837F2" w:rsidRPr="00EA10CF"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1EC0D641" w14:textId="77777777" w:rsidR="00E837F2" w:rsidRPr="00EA10CF" w:rsidRDefault="00E837F2">
            <w:pPr>
              <w:widowControl w:val="0"/>
              <w:pBdr>
                <w:top w:val="nil"/>
                <w:left w:val="nil"/>
                <w:bottom w:val="nil"/>
                <w:right w:val="nil"/>
                <w:between w:val="nil"/>
              </w:pBdr>
              <w:jc w:val="right"/>
              <w:rPr>
                <w:color w:val="000000"/>
                <w:highlight w:val="green"/>
              </w:rPr>
            </w:pPr>
          </w:p>
        </w:tc>
        <w:tc>
          <w:tcPr>
            <w:tcW w:w="484" w:type="pct"/>
          </w:tcPr>
          <w:p w14:paraId="78710856"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2359D377"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48123866" w14:textId="77777777" w:rsidR="00E837F2" w:rsidRPr="00EA10CF"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7E0A756C" w14:textId="77777777" w:rsidR="00E837F2" w:rsidRPr="00EA10CF" w:rsidRDefault="00E837F2">
            <w:pPr>
              <w:widowControl w:val="0"/>
              <w:pBdr>
                <w:top w:val="nil"/>
                <w:left w:val="nil"/>
                <w:bottom w:val="nil"/>
                <w:right w:val="nil"/>
                <w:between w:val="nil"/>
              </w:pBdr>
              <w:jc w:val="right"/>
              <w:rPr>
                <w:color w:val="000000"/>
                <w:highlight w:val="green"/>
              </w:rPr>
            </w:pPr>
          </w:p>
        </w:tc>
      </w:tr>
      <w:tr w:rsidR="00E837F2" w:rsidRPr="00EA10CF" w14:paraId="2A6A29FC" w14:textId="77777777" w:rsidTr="001B330E">
        <w:trPr>
          <w:trHeight w:val="23"/>
        </w:trPr>
        <w:tc>
          <w:tcPr>
            <w:tcW w:w="1496" w:type="pct"/>
            <w:shd w:val="clear" w:color="auto" w:fill="auto"/>
            <w:vAlign w:val="bottom"/>
          </w:tcPr>
          <w:p w14:paraId="4090E9BB"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 to 12-months ECL (from Stage 2 and Stage 3 to Stage 1)</w:t>
            </w:r>
          </w:p>
        </w:tc>
        <w:tc>
          <w:tcPr>
            <w:tcW w:w="472" w:type="pct"/>
            <w:shd w:val="clear" w:color="auto" w:fill="auto"/>
            <w:vAlign w:val="bottom"/>
          </w:tcPr>
          <w:p w14:paraId="12638B38" w14:textId="77777777" w:rsidR="00E837F2" w:rsidRPr="00EA10CF"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0FE0A67C"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385F8CEF" w14:textId="77777777" w:rsidR="00E837F2" w:rsidRPr="00EA10CF"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44AE74E8" w14:textId="77777777" w:rsidR="00E837F2" w:rsidRPr="00EA10CF" w:rsidRDefault="00E837F2">
            <w:pPr>
              <w:widowControl w:val="0"/>
              <w:pBdr>
                <w:top w:val="nil"/>
                <w:left w:val="nil"/>
                <w:bottom w:val="nil"/>
                <w:right w:val="nil"/>
                <w:between w:val="nil"/>
              </w:pBdr>
              <w:jc w:val="right"/>
              <w:rPr>
                <w:color w:val="000000"/>
                <w:highlight w:val="green"/>
              </w:rPr>
            </w:pPr>
          </w:p>
        </w:tc>
        <w:tc>
          <w:tcPr>
            <w:tcW w:w="484" w:type="pct"/>
          </w:tcPr>
          <w:p w14:paraId="4FEDC243"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6F426CDD"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tcPr>
          <w:p w14:paraId="62574308" w14:textId="77777777" w:rsidR="00E837F2" w:rsidRPr="00EA10CF"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8B387B6" w14:textId="77777777" w:rsidR="00E837F2" w:rsidRPr="00EA10CF" w:rsidRDefault="00E837F2">
            <w:pPr>
              <w:widowControl w:val="0"/>
              <w:pBdr>
                <w:top w:val="nil"/>
                <w:left w:val="nil"/>
                <w:bottom w:val="nil"/>
                <w:right w:val="nil"/>
                <w:between w:val="nil"/>
              </w:pBdr>
              <w:jc w:val="right"/>
              <w:rPr>
                <w:color w:val="000000"/>
                <w:highlight w:val="green"/>
              </w:rPr>
            </w:pPr>
          </w:p>
        </w:tc>
      </w:tr>
      <w:tr w:rsidR="00E837F2" w:rsidRPr="00EA10CF" w14:paraId="5B1D134E" w14:textId="77777777" w:rsidTr="001B330E">
        <w:trPr>
          <w:trHeight w:val="23"/>
        </w:trPr>
        <w:tc>
          <w:tcPr>
            <w:tcW w:w="1496" w:type="pct"/>
            <w:shd w:val="clear" w:color="auto" w:fill="auto"/>
            <w:vAlign w:val="bottom"/>
          </w:tcPr>
          <w:p w14:paraId="45D96C5B"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New originated or purchased</w:t>
            </w:r>
          </w:p>
        </w:tc>
        <w:tc>
          <w:tcPr>
            <w:tcW w:w="472" w:type="pct"/>
            <w:shd w:val="clear" w:color="auto" w:fill="auto"/>
            <w:vAlign w:val="bottom"/>
          </w:tcPr>
          <w:p w14:paraId="411EC7A9"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54DE67C0"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733F03EB"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53864009" w14:textId="77777777" w:rsidR="00E837F2" w:rsidRPr="00EA10CF" w:rsidRDefault="00E837F2">
            <w:pPr>
              <w:widowControl w:val="0"/>
              <w:pBdr>
                <w:top w:val="nil"/>
                <w:left w:val="nil"/>
                <w:bottom w:val="nil"/>
                <w:right w:val="nil"/>
                <w:between w:val="nil"/>
              </w:pBdr>
              <w:jc w:val="right"/>
              <w:rPr>
                <w:color w:val="000000"/>
              </w:rPr>
            </w:pPr>
          </w:p>
        </w:tc>
        <w:tc>
          <w:tcPr>
            <w:tcW w:w="484" w:type="pct"/>
          </w:tcPr>
          <w:p w14:paraId="7F9E665F"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7ACA3F06"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3BE0B467"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3675AA8F"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5453334C" w14:textId="77777777" w:rsidTr="001B330E">
        <w:trPr>
          <w:trHeight w:val="23"/>
        </w:trPr>
        <w:tc>
          <w:tcPr>
            <w:tcW w:w="1496" w:type="pct"/>
            <w:shd w:val="clear" w:color="auto" w:fill="auto"/>
            <w:vAlign w:val="bottom"/>
          </w:tcPr>
          <w:p w14:paraId="057A6BA2"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Derecognised during the period</w:t>
            </w:r>
          </w:p>
        </w:tc>
        <w:tc>
          <w:tcPr>
            <w:tcW w:w="472" w:type="pct"/>
            <w:shd w:val="clear" w:color="auto" w:fill="auto"/>
            <w:vAlign w:val="bottom"/>
          </w:tcPr>
          <w:p w14:paraId="447FE697"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9BE064B"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0A046A7A"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66758E47" w14:textId="77777777" w:rsidR="00E837F2" w:rsidRPr="00EA10CF" w:rsidRDefault="00E837F2">
            <w:pPr>
              <w:widowControl w:val="0"/>
              <w:pBdr>
                <w:top w:val="nil"/>
                <w:left w:val="nil"/>
                <w:bottom w:val="nil"/>
                <w:right w:val="nil"/>
                <w:between w:val="nil"/>
              </w:pBdr>
              <w:jc w:val="right"/>
              <w:rPr>
                <w:color w:val="000000"/>
              </w:rPr>
            </w:pPr>
          </w:p>
        </w:tc>
        <w:tc>
          <w:tcPr>
            <w:tcW w:w="484" w:type="pct"/>
          </w:tcPr>
          <w:p w14:paraId="21AAEDFE"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3578FD32" w14:textId="77777777" w:rsidR="00E837F2" w:rsidRPr="00EA10CF" w:rsidRDefault="00E837F2">
            <w:pPr>
              <w:widowControl w:val="0"/>
              <w:pBdr>
                <w:top w:val="nil"/>
                <w:left w:val="nil"/>
                <w:bottom w:val="nil"/>
                <w:right w:val="nil"/>
                <w:between w:val="nil"/>
              </w:pBdr>
              <w:jc w:val="right"/>
              <w:rPr>
                <w:color w:val="000000"/>
              </w:rPr>
            </w:pPr>
          </w:p>
        </w:tc>
        <w:tc>
          <w:tcPr>
            <w:tcW w:w="476" w:type="pct"/>
          </w:tcPr>
          <w:p w14:paraId="7D962B6C"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050CBA49"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3DAA3F24" w14:textId="77777777" w:rsidTr="001B330E">
        <w:trPr>
          <w:trHeight w:val="23"/>
        </w:trPr>
        <w:tc>
          <w:tcPr>
            <w:tcW w:w="1496" w:type="pct"/>
            <w:shd w:val="clear" w:color="auto" w:fill="auto"/>
            <w:vAlign w:val="bottom"/>
          </w:tcPr>
          <w:p w14:paraId="16E3CDF8"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Changes to ECL measurement model assumptions</w:t>
            </w:r>
          </w:p>
        </w:tc>
        <w:tc>
          <w:tcPr>
            <w:tcW w:w="472" w:type="pct"/>
            <w:shd w:val="clear" w:color="auto" w:fill="auto"/>
            <w:vAlign w:val="bottom"/>
          </w:tcPr>
          <w:p w14:paraId="3C615106"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C6E3A47"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2BBEB399"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4DFCCD85" w14:textId="77777777" w:rsidR="00E837F2" w:rsidRPr="00EA10CF" w:rsidRDefault="00E837F2">
            <w:pPr>
              <w:widowControl w:val="0"/>
              <w:pBdr>
                <w:top w:val="nil"/>
                <w:left w:val="nil"/>
                <w:bottom w:val="nil"/>
                <w:right w:val="nil"/>
                <w:between w:val="nil"/>
              </w:pBdr>
              <w:jc w:val="right"/>
              <w:rPr>
                <w:color w:val="000000"/>
              </w:rPr>
            </w:pPr>
          </w:p>
        </w:tc>
        <w:tc>
          <w:tcPr>
            <w:tcW w:w="484" w:type="pct"/>
            <w:vAlign w:val="bottom"/>
          </w:tcPr>
          <w:p w14:paraId="28FF64FC"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68D1E159"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56BF1050"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7AE1A600"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649A561B" w14:textId="77777777" w:rsidTr="001B330E">
        <w:trPr>
          <w:trHeight w:val="23"/>
        </w:trPr>
        <w:tc>
          <w:tcPr>
            <w:tcW w:w="1496" w:type="pct"/>
            <w:shd w:val="clear" w:color="auto" w:fill="auto"/>
            <w:vAlign w:val="bottom"/>
          </w:tcPr>
          <w:p w14:paraId="47452CB5"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 xml:space="preserve">Unwinding of discount </w:t>
            </w:r>
          </w:p>
        </w:tc>
        <w:tc>
          <w:tcPr>
            <w:tcW w:w="472" w:type="pct"/>
            <w:shd w:val="clear" w:color="auto" w:fill="auto"/>
            <w:vAlign w:val="bottom"/>
          </w:tcPr>
          <w:p w14:paraId="43D0F36C"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2173DA4"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10A49A64"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15C3B1B1" w14:textId="77777777" w:rsidR="00E837F2" w:rsidRPr="00EA10CF" w:rsidRDefault="00E837F2">
            <w:pPr>
              <w:widowControl w:val="0"/>
              <w:pBdr>
                <w:top w:val="nil"/>
                <w:left w:val="nil"/>
                <w:bottom w:val="nil"/>
                <w:right w:val="nil"/>
                <w:between w:val="nil"/>
              </w:pBdr>
              <w:jc w:val="right"/>
              <w:rPr>
                <w:color w:val="000000"/>
              </w:rPr>
            </w:pPr>
          </w:p>
        </w:tc>
        <w:tc>
          <w:tcPr>
            <w:tcW w:w="484" w:type="pct"/>
            <w:vAlign w:val="bottom"/>
          </w:tcPr>
          <w:p w14:paraId="6BE55E6F"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5964BF9C"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0917A41C"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6AFF70E1"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75CECB8C" w14:textId="77777777" w:rsidTr="001B330E">
        <w:trPr>
          <w:trHeight w:val="23"/>
        </w:trPr>
        <w:tc>
          <w:tcPr>
            <w:tcW w:w="1496" w:type="pct"/>
            <w:shd w:val="clear" w:color="auto" w:fill="auto"/>
            <w:vAlign w:val="bottom"/>
          </w:tcPr>
          <w:p w14:paraId="0FE63915"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Changes in accrued interest</w:t>
            </w:r>
          </w:p>
        </w:tc>
        <w:tc>
          <w:tcPr>
            <w:tcW w:w="472" w:type="pct"/>
            <w:shd w:val="clear" w:color="auto" w:fill="auto"/>
            <w:vAlign w:val="bottom"/>
          </w:tcPr>
          <w:p w14:paraId="0E2883FE"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35C64F1"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4A9937D5"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2FFCEC0" w14:textId="77777777" w:rsidR="00E837F2" w:rsidRPr="00EA10CF" w:rsidRDefault="00E837F2">
            <w:pPr>
              <w:widowControl w:val="0"/>
              <w:pBdr>
                <w:top w:val="nil"/>
                <w:left w:val="nil"/>
                <w:bottom w:val="nil"/>
                <w:right w:val="nil"/>
                <w:between w:val="nil"/>
              </w:pBdr>
              <w:jc w:val="right"/>
              <w:rPr>
                <w:color w:val="000000"/>
              </w:rPr>
            </w:pPr>
          </w:p>
        </w:tc>
        <w:tc>
          <w:tcPr>
            <w:tcW w:w="484" w:type="pct"/>
            <w:vAlign w:val="bottom"/>
          </w:tcPr>
          <w:p w14:paraId="04B00FA3"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71548407"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5259FA00"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60D8BCC5"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5A74FA55" w14:textId="77777777" w:rsidTr="001B330E">
        <w:trPr>
          <w:trHeight w:val="23"/>
        </w:trPr>
        <w:tc>
          <w:tcPr>
            <w:tcW w:w="1496" w:type="pct"/>
            <w:shd w:val="clear" w:color="auto" w:fill="auto"/>
            <w:vAlign w:val="bottom"/>
          </w:tcPr>
          <w:p w14:paraId="1963AEFA"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Other movements</w:t>
            </w:r>
          </w:p>
        </w:tc>
        <w:tc>
          <w:tcPr>
            <w:tcW w:w="472" w:type="pct"/>
            <w:shd w:val="clear" w:color="auto" w:fill="auto"/>
            <w:vAlign w:val="bottom"/>
          </w:tcPr>
          <w:p w14:paraId="203C5CB4"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46BD1B7D"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5FD469CB"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72EB7359" w14:textId="77777777" w:rsidR="00E837F2" w:rsidRPr="00EA10CF" w:rsidRDefault="00E837F2">
            <w:pPr>
              <w:widowControl w:val="0"/>
              <w:pBdr>
                <w:top w:val="nil"/>
                <w:left w:val="nil"/>
                <w:bottom w:val="nil"/>
                <w:right w:val="nil"/>
                <w:between w:val="nil"/>
              </w:pBdr>
              <w:jc w:val="right"/>
              <w:rPr>
                <w:color w:val="000000"/>
              </w:rPr>
            </w:pPr>
          </w:p>
        </w:tc>
        <w:tc>
          <w:tcPr>
            <w:tcW w:w="484" w:type="pct"/>
            <w:vAlign w:val="bottom"/>
          </w:tcPr>
          <w:p w14:paraId="38745FEE"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6391081F"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4DF18539"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4590AE21"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6757BEF7" w14:textId="77777777" w:rsidTr="001B330E">
        <w:trPr>
          <w:trHeight w:val="23"/>
        </w:trPr>
        <w:tc>
          <w:tcPr>
            <w:tcW w:w="1496" w:type="pct"/>
            <w:tcBorders>
              <w:bottom w:val="single" w:sz="4" w:space="0" w:color="000000"/>
            </w:tcBorders>
            <w:shd w:val="clear" w:color="auto" w:fill="auto"/>
            <w:vAlign w:val="bottom"/>
          </w:tcPr>
          <w:p w14:paraId="54B4809E" w14:textId="77777777" w:rsidR="00E837F2" w:rsidRPr="00EA10CF" w:rsidRDefault="00E837F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2BB72343" w14:textId="77777777" w:rsidR="00E837F2" w:rsidRPr="00EA10CF"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2BD09077"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7B42F7E0" w14:textId="77777777" w:rsidR="00E837F2" w:rsidRPr="00EA10CF"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532C33A0" w14:textId="77777777" w:rsidR="00E837F2" w:rsidRPr="00EA10CF"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6CFFF33A"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3222DAC1"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7E2EDA21" w14:textId="77777777" w:rsidR="00E837F2" w:rsidRPr="00EA10CF"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667310C8"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653E8144" w14:textId="77777777" w:rsidTr="001B330E">
        <w:trPr>
          <w:trHeight w:val="23"/>
        </w:trPr>
        <w:tc>
          <w:tcPr>
            <w:tcW w:w="1496" w:type="pct"/>
            <w:tcBorders>
              <w:top w:val="single" w:sz="4" w:space="0" w:color="000000"/>
            </w:tcBorders>
            <w:shd w:val="clear" w:color="auto" w:fill="auto"/>
            <w:vAlign w:val="bottom"/>
          </w:tcPr>
          <w:p w14:paraId="2C4602AB" w14:textId="77777777" w:rsidR="00E837F2" w:rsidRPr="00EA10CF" w:rsidRDefault="00E837F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14E1140B" w14:textId="77777777" w:rsidR="00E837F2" w:rsidRPr="00EA10CF"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19CAAD22"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0F60C19A" w14:textId="77777777" w:rsidR="00E837F2" w:rsidRPr="00EA10CF"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0DEFF908" w14:textId="77777777" w:rsidR="00E837F2" w:rsidRPr="00EA10CF"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610A619A"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664F3978"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085C9959" w14:textId="77777777" w:rsidR="00E837F2" w:rsidRPr="00EA10CF"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63739C42"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4E37EC9A" w14:textId="77777777" w:rsidTr="001B330E">
        <w:trPr>
          <w:trHeight w:val="23"/>
        </w:trPr>
        <w:tc>
          <w:tcPr>
            <w:tcW w:w="1496" w:type="pct"/>
            <w:shd w:val="clear" w:color="auto" w:fill="auto"/>
            <w:vAlign w:val="bottom"/>
          </w:tcPr>
          <w:p w14:paraId="29F2001F" w14:textId="77777777" w:rsidR="00E837F2" w:rsidRPr="00EA10CF" w:rsidRDefault="00E837F2" w:rsidP="001B330E">
            <w:pPr>
              <w:widowControl w:val="0"/>
              <w:pBdr>
                <w:top w:val="nil"/>
                <w:left w:val="nil"/>
                <w:bottom w:val="nil"/>
                <w:right w:val="nil"/>
                <w:between w:val="nil"/>
              </w:pBdr>
              <w:ind w:left="113" w:hanging="113"/>
              <w:rPr>
                <w:b/>
                <w:color w:val="000000"/>
              </w:rPr>
            </w:pPr>
            <w:r w:rsidRPr="00EA10CF">
              <w:rPr>
                <w:b/>
                <w:color w:val="000000"/>
              </w:rPr>
              <w:t>Total movements with impact on credit loss allowance charge for the period</w:t>
            </w:r>
          </w:p>
        </w:tc>
        <w:tc>
          <w:tcPr>
            <w:tcW w:w="472" w:type="pct"/>
            <w:shd w:val="clear" w:color="auto" w:fill="auto"/>
            <w:vAlign w:val="bottom"/>
          </w:tcPr>
          <w:p w14:paraId="43FB66C0"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1EA1A427"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3A231BD3"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6FEF3535" w14:textId="77777777" w:rsidR="00E837F2" w:rsidRPr="00EA10CF" w:rsidRDefault="00E837F2">
            <w:pPr>
              <w:widowControl w:val="0"/>
              <w:pBdr>
                <w:top w:val="nil"/>
                <w:left w:val="nil"/>
                <w:bottom w:val="nil"/>
                <w:right w:val="nil"/>
                <w:between w:val="nil"/>
              </w:pBdr>
              <w:jc w:val="right"/>
              <w:rPr>
                <w:color w:val="000000"/>
              </w:rPr>
            </w:pPr>
          </w:p>
        </w:tc>
        <w:tc>
          <w:tcPr>
            <w:tcW w:w="484" w:type="pct"/>
            <w:vAlign w:val="bottom"/>
          </w:tcPr>
          <w:p w14:paraId="1260C7A2"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25D75F54"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5270EC50"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512687E3"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379C6F96" w14:textId="77777777" w:rsidTr="001B330E">
        <w:trPr>
          <w:trHeight w:val="23"/>
        </w:trPr>
        <w:tc>
          <w:tcPr>
            <w:tcW w:w="1496" w:type="pct"/>
            <w:tcBorders>
              <w:bottom w:val="single" w:sz="4" w:space="0" w:color="000000"/>
            </w:tcBorders>
            <w:shd w:val="clear" w:color="auto" w:fill="auto"/>
            <w:vAlign w:val="bottom"/>
          </w:tcPr>
          <w:p w14:paraId="527CA151" w14:textId="77777777" w:rsidR="00E837F2" w:rsidRPr="00EA10CF" w:rsidRDefault="00E837F2" w:rsidP="001B330E">
            <w:pPr>
              <w:widowControl w:val="0"/>
              <w:pBdr>
                <w:top w:val="nil"/>
                <w:left w:val="nil"/>
                <w:bottom w:val="nil"/>
                <w:right w:val="nil"/>
                <w:between w:val="nil"/>
              </w:pBdr>
              <w:ind w:left="113" w:hanging="113"/>
              <w:rPr>
                <w:color w:val="000000"/>
              </w:rPr>
            </w:pPr>
          </w:p>
        </w:tc>
        <w:tc>
          <w:tcPr>
            <w:tcW w:w="472" w:type="pct"/>
            <w:tcBorders>
              <w:bottom w:val="single" w:sz="4" w:space="0" w:color="000000"/>
            </w:tcBorders>
            <w:shd w:val="clear" w:color="auto" w:fill="auto"/>
            <w:vAlign w:val="bottom"/>
          </w:tcPr>
          <w:p w14:paraId="1245844F" w14:textId="77777777" w:rsidR="00E837F2" w:rsidRPr="00EA10CF"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0FF1830C"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3F3D2D9D" w14:textId="77777777" w:rsidR="00E837F2" w:rsidRPr="00EA10CF"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290BBA1A" w14:textId="77777777" w:rsidR="00E837F2" w:rsidRPr="00EA10CF"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11371B6D"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0A23CD96"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1A92B4AF" w14:textId="77777777" w:rsidR="00E837F2" w:rsidRPr="00EA10CF"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092A521A"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7C9AD213" w14:textId="77777777" w:rsidTr="001B330E">
        <w:trPr>
          <w:trHeight w:val="23"/>
        </w:trPr>
        <w:tc>
          <w:tcPr>
            <w:tcW w:w="1496" w:type="pct"/>
            <w:tcBorders>
              <w:top w:val="single" w:sz="4" w:space="0" w:color="000000"/>
            </w:tcBorders>
            <w:shd w:val="clear" w:color="auto" w:fill="auto"/>
            <w:vAlign w:val="bottom"/>
          </w:tcPr>
          <w:p w14:paraId="0771938E" w14:textId="77777777" w:rsidR="00E837F2" w:rsidRPr="00EA10CF" w:rsidRDefault="00E837F2" w:rsidP="001B330E">
            <w:pPr>
              <w:widowControl w:val="0"/>
              <w:pBdr>
                <w:top w:val="nil"/>
                <w:left w:val="nil"/>
                <w:bottom w:val="nil"/>
                <w:right w:val="nil"/>
                <w:between w:val="nil"/>
              </w:pBdr>
              <w:ind w:left="113" w:hanging="113"/>
              <w:rPr>
                <w:color w:val="000000"/>
              </w:rPr>
            </w:pPr>
          </w:p>
        </w:tc>
        <w:tc>
          <w:tcPr>
            <w:tcW w:w="472" w:type="pct"/>
            <w:tcBorders>
              <w:top w:val="single" w:sz="4" w:space="0" w:color="000000"/>
            </w:tcBorders>
            <w:shd w:val="clear" w:color="auto" w:fill="auto"/>
            <w:vAlign w:val="bottom"/>
          </w:tcPr>
          <w:p w14:paraId="2B365BB2" w14:textId="77777777" w:rsidR="00E837F2" w:rsidRPr="00EA10CF"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5F687C7A"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467C32BB" w14:textId="77777777" w:rsidR="00E837F2" w:rsidRPr="00EA10CF"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25B304AE" w14:textId="77777777" w:rsidR="00E837F2" w:rsidRPr="00EA10CF"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7BA446C4"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683BCEAD"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5974BE41" w14:textId="77777777" w:rsidR="00E837F2" w:rsidRPr="00EA10CF"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6EB3A3AB"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78F4F618" w14:textId="77777777" w:rsidTr="001B330E">
        <w:trPr>
          <w:trHeight w:val="23"/>
        </w:trPr>
        <w:tc>
          <w:tcPr>
            <w:tcW w:w="1496" w:type="pct"/>
            <w:shd w:val="clear" w:color="auto" w:fill="auto"/>
            <w:vAlign w:val="bottom"/>
          </w:tcPr>
          <w:p w14:paraId="5A7A25F3" w14:textId="77777777" w:rsidR="00E837F2" w:rsidRPr="00EA10CF" w:rsidRDefault="00E837F2" w:rsidP="001B330E">
            <w:pPr>
              <w:widowControl w:val="0"/>
              <w:pBdr>
                <w:top w:val="nil"/>
                <w:left w:val="nil"/>
                <w:bottom w:val="nil"/>
                <w:right w:val="nil"/>
                <w:between w:val="nil"/>
              </w:pBdr>
              <w:ind w:left="113" w:hanging="113"/>
              <w:rPr>
                <w:b/>
                <w:color w:val="000000"/>
              </w:rPr>
            </w:pPr>
            <w:r w:rsidRPr="00EA10CF">
              <w:rPr>
                <w:i/>
                <w:color w:val="000000"/>
              </w:rPr>
              <w:t>Movements without impact on credit loss allowance charge for the period:</w:t>
            </w:r>
          </w:p>
          <w:p w14:paraId="1B0ECFA5" w14:textId="77777777" w:rsidR="00E837F2" w:rsidRPr="001B330E" w:rsidRDefault="00E837F2" w:rsidP="001B330E">
            <w:pPr>
              <w:widowControl w:val="0"/>
              <w:pBdr>
                <w:top w:val="nil"/>
                <w:left w:val="nil"/>
                <w:bottom w:val="nil"/>
                <w:right w:val="nil"/>
                <w:between w:val="nil"/>
              </w:pBdr>
              <w:ind w:left="113" w:hanging="113"/>
              <w:rPr>
                <w:color w:val="000000"/>
                <w:szCs w:val="8"/>
              </w:rPr>
            </w:pPr>
          </w:p>
        </w:tc>
        <w:tc>
          <w:tcPr>
            <w:tcW w:w="472" w:type="pct"/>
            <w:shd w:val="clear" w:color="auto" w:fill="auto"/>
            <w:vAlign w:val="bottom"/>
          </w:tcPr>
          <w:p w14:paraId="2240A3CB" w14:textId="77777777" w:rsidR="00E837F2" w:rsidRPr="00EA10CF"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24D854BA"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1A371CF8" w14:textId="77777777" w:rsidR="00E837F2" w:rsidRPr="00EA10CF"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4F5F0ED0" w14:textId="77777777" w:rsidR="00E837F2" w:rsidRPr="00EA10CF" w:rsidRDefault="00E837F2">
            <w:pPr>
              <w:widowControl w:val="0"/>
              <w:pBdr>
                <w:top w:val="nil"/>
                <w:left w:val="nil"/>
                <w:bottom w:val="nil"/>
                <w:right w:val="nil"/>
                <w:between w:val="nil"/>
              </w:pBdr>
              <w:jc w:val="right"/>
              <w:rPr>
                <w:color w:val="000000"/>
                <w:highlight w:val="green"/>
              </w:rPr>
            </w:pPr>
          </w:p>
        </w:tc>
        <w:tc>
          <w:tcPr>
            <w:tcW w:w="484" w:type="pct"/>
            <w:vAlign w:val="bottom"/>
          </w:tcPr>
          <w:p w14:paraId="76B2CEDA"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vAlign w:val="bottom"/>
          </w:tcPr>
          <w:p w14:paraId="44B669A5"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vAlign w:val="bottom"/>
          </w:tcPr>
          <w:p w14:paraId="24FFC0E0" w14:textId="77777777" w:rsidR="00E837F2" w:rsidRPr="00EA10CF"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0297145D" w14:textId="77777777" w:rsidR="00E837F2" w:rsidRPr="00EA10CF" w:rsidRDefault="00E837F2">
            <w:pPr>
              <w:widowControl w:val="0"/>
              <w:pBdr>
                <w:top w:val="nil"/>
                <w:left w:val="nil"/>
                <w:bottom w:val="nil"/>
                <w:right w:val="nil"/>
                <w:between w:val="nil"/>
              </w:pBdr>
              <w:jc w:val="right"/>
              <w:rPr>
                <w:color w:val="000000"/>
                <w:highlight w:val="green"/>
              </w:rPr>
            </w:pPr>
          </w:p>
        </w:tc>
      </w:tr>
      <w:tr w:rsidR="00E837F2" w:rsidRPr="00EA10CF" w14:paraId="4FFC705B" w14:textId="77777777" w:rsidTr="001B330E">
        <w:trPr>
          <w:trHeight w:val="23"/>
        </w:trPr>
        <w:tc>
          <w:tcPr>
            <w:tcW w:w="1496" w:type="pct"/>
            <w:shd w:val="clear" w:color="auto" w:fill="auto"/>
            <w:vAlign w:val="bottom"/>
          </w:tcPr>
          <w:p w14:paraId="6891ED68"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Write-offs</w:t>
            </w:r>
          </w:p>
        </w:tc>
        <w:tc>
          <w:tcPr>
            <w:tcW w:w="472" w:type="pct"/>
            <w:shd w:val="clear" w:color="auto" w:fill="auto"/>
            <w:vAlign w:val="bottom"/>
          </w:tcPr>
          <w:p w14:paraId="414D94E9" w14:textId="77777777" w:rsidR="00E837F2" w:rsidRPr="00EA10CF"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58567839"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084F0AC9" w14:textId="77777777" w:rsidR="00E837F2" w:rsidRPr="00EA10CF"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5B5D7FF5" w14:textId="77777777" w:rsidR="00E837F2" w:rsidRPr="00EA10CF" w:rsidRDefault="00E837F2">
            <w:pPr>
              <w:widowControl w:val="0"/>
              <w:pBdr>
                <w:top w:val="nil"/>
                <w:left w:val="nil"/>
                <w:bottom w:val="nil"/>
                <w:right w:val="nil"/>
                <w:between w:val="nil"/>
              </w:pBdr>
              <w:jc w:val="right"/>
              <w:rPr>
                <w:color w:val="000000"/>
                <w:highlight w:val="green"/>
              </w:rPr>
            </w:pPr>
          </w:p>
        </w:tc>
        <w:tc>
          <w:tcPr>
            <w:tcW w:w="484" w:type="pct"/>
            <w:vAlign w:val="bottom"/>
          </w:tcPr>
          <w:p w14:paraId="5F0D10DC"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vAlign w:val="bottom"/>
          </w:tcPr>
          <w:p w14:paraId="134CA91B"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vAlign w:val="bottom"/>
          </w:tcPr>
          <w:p w14:paraId="7F003AD6" w14:textId="77777777" w:rsidR="00E837F2" w:rsidRPr="00EA10CF"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46DE0F44" w14:textId="77777777" w:rsidR="00E837F2" w:rsidRPr="00EA10CF" w:rsidRDefault="00E837F2">
            <w:pPr>
              <w:widowControl w:val="0"/>
              <w:pBdr>
                <w:top w:val="nil"/>
                <w:left w:val="nil"/>
                <w:bottom w:val="nil"/>
                <w:right w:val="nil"/>
                <w:between w:val="nil"/>
              </w:pBdr>
              <w:jc w:val="right"/>
              <w:rPr>
                <w:color w:val="000000"/>
                <w:highlight w:val="green"/>
              </w:rPr>
            </w:pPr>
          </w:p>
        </w:tc>
      </w:tr>
      <w:tr w:rsidR="00E837F2" w:rsidRPr="00EA10CF" w14:paraId="51A580AF" w14:textId="77777777" w:rsidTr="001B330E">
        <w:trPr>
          <w:trHeight w:val="23"/>
        </w:trPr>
        <w:tc>
          <w:tcPr>
            <w:tcW w:w="1496" w:type="pct"/>
            <w:shd w:val="clear" w:color="auto" w:fill="auto"/>
            <w:vAlign w:val="bottom"/>
          </w:tcPr>
          <w:p w14:paraId="226F25EE"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Foreign exchange gains and losses and other movements</w:t>
            </w:r>
          </w:p>
        </w:tc>
        <w:tc>
          <w:tcPr>
            <w:tcW w:w="472" w:type="pct"/>
            <w:shd w:val="clear" w:color="auto" w:fill="auto"/>
            <w:vAlign w:val="bottom"/>
          </w:tcPr>
          <w:p w14:paraId="1D0EF142" w14:textId="77777777" w:rsidR="00E837F2" w:rsidRPr="00EA10CF" w:rsidRDefault="00E837F2">
            <w:pPr>
              <w:widowControl w:val="0"/>
              <w:pBdr>
                <w:top w:val="nil"/>
                <w:left w:val="nil"/>
                <w:bottom w:val="nil"/>
                <w:right w:val="nil"/>
                <w:between w:val="nil"/>
              </w:pBdr>
              <w:jc w:val="right"/>
              <w:rPr>
                <w:color w:val="000000"/>
                <w:highlight w:val="green"/>
              </w:rPr>
            </w:pPr>
          </w:p>
        </w:tc>
        <w:tc>
          <w:tcPr>
            <w:tcW w:w="487" w:type="pct"/>
            <w:shd w:val="clear" w:color="auto" w:fill="auto"/>
            <w:vAlign w:val="bottom"/>
          </w:tcPr>
          <w:p w14:paraId="614A23A0"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shd w:val="clear" w:color="auto" w:fill="auto"/>
            <w:vAlign w:val="bottom"/>
          </w:tcPr>
          <w:p w14:paraId="7445A93B" w14:textId="77777777" w:rsidR="00E837F2" w:rsidRPr="00EA10CF" w:rsidRDefault="00E837F2">
            <w:pPr>
              <w:widowControl w:val="0"/>
              <w:pBdr>
                <w:top w:val="nil"/>
                <w:left w:val="nil"/>
                <w:bottom w:val="nil"/>
                <w:right w:val="nil"/>
                <w:between w:val="nil"/>
              </w:pBdr>
              <w:jc w:val="right"/>
              <w:rPr>
                <w:color w:val="000000"/>
                <w:highlight w:val="green"/>
              </w:rPr>
            </w:pPr>
          </w:p>
        </w:tc>
        <w:tc>
          <w:tcPr>
            <w:tcW w:w="317" w:type="pct"/>
            <w:shd w:val="clear" w:color="auto" w:fill="auto"/>
            <w:vAlign w:val="bottom"/>
          </w:tcPr>
          <w:p w14:paraId="2F7A4328" w14:textId="77777777" w:rsidR="00E837F2" w:rsidRPr="00EA10CF" w:rsidRDefault="00E837F2">
            <w:pPr>
              <w:widowControl w:val="0"/>
              <w:pBdr>
                <w:top w:val="nil"/>
                <w:left w:val="nil"/>
                <w:bottom w:val="nil"/>
                <w:right w:val="nil"/>
                <w:between w:val="nil"/>
              </w:pBdr>
              <w:jc w:val="right"/>
              <w:rPr>
                <w:color w:val="000000"/>
                <w:highlight w:val="green"/>
              </w:rPr>
            </w:pPr>
          </w:p>
        </w:tc>
        <w:tc>
          <w:tcPr>
            <w:tcW w:w="484" w:type="pct"/>
            <w:vAlign w:val="bottom"/>
          </w:tcPr>
          <w:p w14:paraId="42233C15"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vAlign w:val="bottom"/>
          </w:tcPr>
          <w:p w14:paraId="5CC4D835" w14:textId="77777777" w:rsidR="00E837F2" w:rsidRPr="00EA10CF" w:rsidRDefault="00E837F2">
            <w:pPr>
              <w:widowControl w:val="0"/>
              <w:pBdr>
                <w:top w:val="nil"/>
                <w:left w:val="nil"/>
                <w:bottom w:val="nil"/>
                <w:right w:val="nil"/>
                <w:between w:val="nil"/>
              </w:pBdr>
              <w:jc w:val="right"/>
              <w:rPr>
                <w:color w:val="000000"/>
                <w:highlight w:val="green"/>
              </w:rPr>
            </w:pPr>
          </w:p>
        </w:tc>
        <w:tc>
          <w:tcPr>
            <w:tcW w:w="476" w:type="pct"/>
            <w:vAlign w:val="bottom"/>
          </w:tcPr>
          <w:p w14:paraId="06A741BF" w14:textId="77777777" w:rsidR="00E837F2" w:rsidRPr="00EA10CF" w:rsidRDefault="00E837F2">
            <w:pPr>
              <w:widowControl w:val="0"/>
              <w:pBdr>
                <w:top w:val="nil"/>
                <w:left w:val="nil"/>
                <w:bottom w:val="nil"/>
                <w:right w:val="nil"/>
                <w:between w:val="nil"/>
              </w:pBdr>
              <w:jc w:val="right"/>
              <w:rPr>
                <w:color w:val="000000"/>
                <w:highlight w:val="green"/>
              </w:rPr>
            </w:pPr>
          </w:p>
        </w:tc>
        <w:tc>
          <w:tcPr>
            <w:tcW w:w="316" w:type="pct"/>
            <w:shd w:val="clear" w:color="auto" w:fill="auto"/>
            <w:vAlign w:val="bottom"/>
          </w:tcPr>
          <w:p w14:paraId="599203B8" w14:textId="77777777" w:rsidR="00E837F2" w:rsidRPr="00EA10CF" w:rsidRDefault="00E837F2">
            <w:pPr>
              <w:widowControl w:val="0"/>
              <w:pBdr>
                <w:top w:val="nil"/>
                <w:left w:val="nil"/>
                <w:bottom w:val="nil"/>
                <w:right w:val="nil"/>
                <w:between w:val="nil"/>
              </w:pBdr>
              <w:jc w:val="right"/>
              <w:rPr>
                <w:color w:val="000000"/>
                <w:highlight w:val="green"/>
              </w:rPr>
            </w:pPr>
          </w:p>
        </w:tc>
      </w:tr>
      <w:tr w:rsidR="00E837F2" w:rsidRPr="00EA10CF" w14:paraId="7F15F41B" w14:textId="77777777" w:rsidTr="001B330E">
        <w:trPr>
          <w:trHeight w:val="23"/>
        </w:trPr>
        <w:tc>
          <w:tcPr>
            <w:tcW w:w="1496" w:type="pct"/>
            <w:shd w:val="clear" w:color="auto" w:fill="auto"/>
            <w:vAlign w:val="bottom"/>
          </w:tcPr>
          <w:p w14:paraId="5546A76B"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Modification of contractual cash flows</w:t>
            </w:r>
          </w:p>
        </w:tc>
        <w:tc>
          <w:tcPr>
            <w:tcW w:w="472" w:type="pct"/>
            <w:shd w:val="clear" w:color="auto" w:fill="auto"/>
            <w:vAlign w:val="bottom"/>
          </w:tcPr>
          <w:p w14:paraId="129198A7"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7699FDE8"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0CAE92D0"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2042EDD6" w14:textId="77777777" w:rsidR="00E837F2" w:rsidRPr="00EA10CF" w:rsidRDefault="00E837F2">
            <w:pPr>
              <w:widowControl w:val="0"/>
              <w:pBdr>
                <w:top w:val="nil"/>
                <w:left w:val="nil"/>
                <w:bottom w:val="nil"/>
                <w:right w:val="nil"/>
                <w:between w:val="nil"/>
              </w:pBdr>
              <w:jc w:val="right"/>
              <w:rPr>
                <w:color w:val="000000"/>
              </w:rPr>
            </w:pPr>
          </w:p>
        </w:tc>
        <w:tc>
          <w:tcPr>
            <w:tcW w:w="484" w:type="pct"/>
            <w:vAlign w:val="bottom"/>
          </w:tcPr>
          <w:p w14:paraId="327A60BB"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1BDDA5C6"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212D6D7B"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66CDC546"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1503C41E" w14:textId="77777777" w:rsidTr="001B330E">
        <w:trPr>
          <w:trHeight w:val="23"/>
        </w:trPr>
        <w:tc>
          <w:tcPr>
            <w:tcW w:w="1496" w:type="pct"/>
            <w:shd w:val="clear" w:color="auto" w:fill="auto"/>
            <w:vAlign w:val="bottom"/>
          </w:tcPr>
          <w:p w14:paraId="08429C4F" w14:textId="77777777" w:rsidR="00E837F2" w:rsidRPr="00EA10CF" w:rsidRDefault="00E837F2" w:rsidP="001B330E">
            <w:pPr>
              <w:widowControl w:val="0"/>
              <w:pBdr>
                <w:top w:val="nil"/>
                <w:left w:val="nil"/>
                <w:bottom w:val="nil"/>
                <w:right w:val="nil"/>
                <w:between w:val="nil"/>
              </w:pBdr>
              <w:ind w:left="113" w:hanging="113"/>
              <w:rPr>
                <w:color w:val="000000"/>
              </w:rPr>
            </w:pPr>
            <w:r w:rsidRPr="00EA10CF">
              <w:rPr>
                <w:color w:val="000000"/>
              </w:rPr>
              <w:t xml:space="preserve">Unwinding of discount (for </w:t>
            </w:r>
            <w:r w:rsidRPr="00EA10CF">
              <w:rPr>
                <w:color w:val="000000"/>
              </w:rPr>
              <w:br/>
              <w:t xml:space="preserve">Stage 3) </w:t>
            </w:r>
          </w:p>
        </w:tc>
        <w:tc>
          <w:tcPr>
            <w:tcW w:w="472" w:type="pct"/>
            <w:shd w:val="clear" w:color="auto" w:fill="auto"/>
            <w:vAlign w:val="bottom"/>
          </w:tcPr>
          <w:p w14:paraId="7E7336C5"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25092CFD"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6C0F9E7B"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2E3FB3D8" w14:textId="77777777" w:rsidR="00E837F2" w:rsidRPr="00EA10CF" w:rsidRDefault="00E837F2">
            <w:pPr>
              <w:widowControl w:val="0"/>
              <w:pBdr>
                <w:top w:val="nil"/>
                <w:left w:val="nil"/>
                <w:bottom w:val="nil"/>
                <w:right w:val="nil"/>
                <w:between w:val="nil"/>
              </w:pBdr>
              <w:jc w:val="right"/>
              <w:rPr>
                <w:color w:val="000000"/>
              </w:rPr>
            </w:pPr>
          </w:p>
        </w:tc>
        <w:tc>
          <w:tcPr>
            <w:tcW w:w="484" w:type="pct"/>
            <w:vAlign w:val="bottom"/>
          </w:tcPr>
          <w:p w14:paraId="1334A011"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64ED6665"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027E0FB4"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392D2C28"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0C154761" w14:textId="77777777" w:rsidTr="001B330E">
        <w:trPr>
          <w:trHeight w:val="23"/>
        </w:trPr>
        <w:tc>
          <w:tcPr>
            <w:tcW w:w="1496" w:type="pct"/>
            <w:tcBorders>
              <w:bottom w:val="single" w:sz="4" w:space="0" w:color="000000"/>
            </w:tcBorders>
            <w:shd w:val="clear" w:color="auto" w:fill="auto"/>
            <w:vAlign w:val="bottom"/>
          </w:tcPr>
          <w:p w14:paraId="4C876540" w14:textId="77777777" w:rsidR="00E837F2" w:rsidRPr="00EA10CF" w:rsidRDefault="00E837F2" w:rsidP="001B330E">
            <w:pPr>
              <w:widowControl w:val="0"/>
              <w:pBdr>
                <w:top w:val="nil"/>
                <w:left w:val="nil"/>
                <w:bottom w:val="nil"/>
                <w:right w:val="nil"/>
                <w:between w:val="nil"/>
              </w:pBdr>
              <w:ind w:left="113" w:hanging="113"/>
              <w:rPr>
                <w:b/>
                <w:color w:val="000000"/>
              </w:rPr>
            </w:pPr>
          </w:p>
        </w:tc>
        <w:tc>
          <w:tcPr>
            <w:tcW w:w="472" w:type="pct"/>
            <w:tcBorders>
              <w:bottom w:val="single" w:sz="4" w:space="0" w:color="000000"/>
            </w:tcBorders>
            <w:shd w:val="clear" w:color="auto" w:fill="auto"/>
            <w:vAlign w:val="bottom"/>
          </w:tcPr>
          <w:p w14:paraId="0144247E" w14:textId="77777777" w:rsidR="00E837F2" w:rsidRPr="00EA10CF" w:rsidRDefault="00E837F2">
            <w:pPr>
              <w:widowControl w:val="0"/>
              <w:pBdr>
                <w:top w:val="nil"/>
                <w:left w:val="nil"/>
                <w:bottom w:val="nil"/>
                <w:right w:val="nil"/>
                <w:between w:val="nil"/>
              </w:pBdr>
              <w:jc w:val="right"/>
              <w:rPr>
                <w:color w:val="000000"/>
              </w:rPr>
            </w:pPr>
          </w:p>
        </w:tc>
        <w:tc>
          <w:tcPr>
            <w:tcW w:w="487" w:type="pct"/>
            <w:tcBorders>
              <w:bottom w:val="single" w:sz="4" w:space="0" w:color="000000"/>
            </w:tcBorders>
            <w:shd w:val="clear" w:color="auto" w:fill="auto"/>
            <w:vAlign w:val="bottom"/>
          </w:tcPr>
          <w:p w14:paraId="2E3899E4"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shd w:val="clear" w:color="auto" w:fill="auto"/>
            <w:vAlign w:val="bottom"/>
          </w:tcPr>
          <w:p w14:paraId="4C74886F" w14:textId="77777777" w:rsidR="00E837F2" w:rsidRPr="00EA10CF" w:rsidRDefault="00E837F2">
            <w:pPr>
              <w:widowControl w:val="0"/>
              <w:pBdr>
                <w:top w:val="nil"/>
                <w:left w:val="nil"/>
                <w:bottom w:val="nil"/>
                <w:right w:val="nil"/>
                <w:between w:val="nil"/>
              </w:pBdr>
              <w:jc w:val="right"/>
              <w:rPr>
                <w:color w:val="000000"/>
              </w:rPr>
            </w:pPr>
          </w:p>
        </w:tc>
        <w:tc>
          <w:tcPr>
            <w:tcW w:w="317" w:type="pct"/>
            <w:tcBorders>
              <w:bottom w:val="single" w:sz="4" w:space="0" w:color="000000"/>
            </w:tcBorders>
            <w:shd w:val="clear" w:color="auto" w:fill="auto"/>
            <w:vAlign w:val="bottom"/>
          </w:tcPr>
          <w:p w14:paraId="2DA2F00A" w14:textId="77777777" w:rsidR="00E837F2" w:rsidRPr="00EA10CF" w:rsidRDefault="00E837F2">
            <w:pPr>
              <w:widowControl w:val="0"/>
              <w:pBdr>
                <w:top w:val="nil"/>
                <w:left w:val="nil"/>
                <w:bottom w:val="nil"/>
                <w:right w:val="nil"/>
                <w:between w:val="nil"/>
              </w:pBdr>
              <w:jc w:val="right"/>
              <w:rPr>
                <w:color w:val="000000"/>
              </w:rPr>
            </w:pPr>
          </w:p>
        </w:tc>
        <w:tc>
          <w:tcPr>
            <w:tcW w:w="484" w:type="pct"/>
            <w:tcBorders>
              <w:bottom w:val="single" w:sz="4" w:space="0" w:color="000000"/>
            </w:tcBorders>
            <w:vAlign w:val="bottom"/>
          </w:tcPr>
          <w:p w14:paraId="4119D396"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16D6F39E"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4" w:space="0" w:color="000000"/>
            </w:tcBorders>
            <w:vAlign w:val="bottom"/>
          </w:tcPr>
          <w:p w14:paraId="4F4CAADF" w14:textId="77777777" w:rsidR="00E837F2" w:rsidRPr="00EA10CF" w:rsidRDefault="00E837F2">
            <w:pPr>
              <w:widowControl w:val="0"/>
              <w:pBdr>
                <w:top w:val="nil"/>
                <w:left w:val="nil"/>
                <w:bottom w:val="nil"/>
                <w:right w:val="nil"/>
                <w:between w:val="nil"/>
              </w:pBdr>
              <w:jc w:val="right"/>
              <w:rPr>
                <w:color w:val="000000"/>
              </w:rPr>
            </w:pPr>
          </w:p>
        </w:tc>
        <w:tc>
          <w:tcPr>
            <w:tcW w:w="316" w:type="pct"/>
            <w:tcBorders>
              <w:bottom w:val="single" w:sz="4" w:space="0" w:color="000000"/>
            </w:tcBorders>
            <w:shd w:val="clear" w:color="auto" w:fill="auto"/>
            <w:vAlign w:val="bottom"/>
          </w:tcPr>
          <w:p w14:paraId="4B4408E0"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777A4777" w14:textId="77777777" w:rsidTr="001B330E">
        <w:trPr>
          <w:trHeight w:val="23"/>
        </w:trPr>
        <w:tc>
          <w:tcPr>
            <w:tcW w:w="1496" w:type="pct"/>
            <w:tcBorders>
              <w:top w:val="single" w:sz="4" w:space="0" w:color="000000"/>
            </w:tcBorders>
            <w:shd w:val="clear" w:color="auto" w:fill="auto"/>
            <w:vAlign w:val="bottom"/>
          </w:tcPr>
          <w:p w14:paraId="27600B16" w14:textId="77777777" w:rsidR="00E837F2" w:rsidRPr="00EA10CF" w:rsidRDefault="00E837F2" w:rsidP="001B330E">
            <w:pPr>
              <w:widowControl w:val="0"/>
              <w:pBdr>
                <w:top w:val="nil"/>
                <w:left w:val="nil"/>
                <w:bottom w:val="nil"/>
                <w:right w:val="nil"/>
                <w:between w:val="nil"/>
              </w:pBdr>
              <w:ind w:left="113" w:hanging="113"/>
              <w:rPr>
                <w:color w:val="000000"/>
                <w:u w:val="single"/>
              </w:rPr>
            </w:pPr>
          </w:p>
        </w:tc>
        <w:tc>
          <w:tcPr>
            <w:tcW w:w="472" w:type="pct"/>
            <w:tcBorders>
              <w:top w:val="single" w:sz="4" w:space="0" w:color="000000"/>
            </w:tcBorders>
            <w:shd w:val="clear" w:color="auto" w:fill="auto"/>
            <w:vAlign w:val="bottom"/>
          </w:tcPr>
          <w:p w14:paraId="2A962356" w14:textId="77777777" w:rsidR="00E837F2" w:rsidRPr="00EA10CF" w:rsidRDefault="00E837F2">
            <w:pPr>
              <w:widowControl w:val="0"/>
              <w:pBdr>
                <w:top w:val="nil"/>
                <w:left w:val="nil"/>
                <w:bottom w:val="nil"/>
                <w:right w:val="nil"/>
                <w:between w:val="nil"/>
              </w:pBdr>
              <w:jc w:val="right"/>
              <w:rPr>
                <w:color w:val="000000"/>
              </w:rPr>
            </w:pPr>
          </w:p>
        </w:tc>
        <w:tc>
          <w:tcPr>
            <w:tcW w:w="487" w:type="pct"/>
            <w:tcBorders>
              <w:top w:val="single" w:sz="4" w:space="0" w:color="000000"/>
            </w:tcBorders>
            <w:shd w:val="clear" w:color="auto" w:fill="auto"/>
            <w:vAlign w:val="bottom"/>
          </w:tcPr>
          <w:p w14:paraId="5CD653A3"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shd w:val="clear" w:color="auto" w:fill="auto"/>
            <w:vAlign w:val="bottom"/>
          </w:tcPr>
          <w:p w14:paraId="2553734D" w14:textId="77777777" w:rsidR="00E837F2" w:rsidRPr="00EA10CF" w:rsidRDefault="00E837F2">
            <w:pPr>
              <w:widowControl w:val="0"/>
              <w:pBdr>
                <w:top w:val="nil"/>
                <w:left w:val="nil"/>
                <w:bottom w:val="nil"/>
                <w:right w:val="nil"/>
                <w:between w:val="nil"/>
              </w:pBdr>
              <w:jc w:val="right"/>
              <w:rPr>
                <w:color w:val="000000"/>
              </w:rPr>
            </w:pPr>
          </w:p>
        </w:tc>
        <w:tc>
          <w:tcPr>
            <w:tcW w:w="317" w:type="pct"/>
            <w:tcBorders>
              <w:top w:val="single" w:sz="4" w:space="0" w:color="000000"/>
            </w:tcBorders>
            <w:shd w:val="clear" w:color="auto" w:fill="auto"/>
            <w:vAlign w:val="bottom"/>
          </w:tcPr>
          <w:p w14:paraId="0D7B17B5" w14:textId="77777777" w:rsidR="00E837F2" w:rsidRPr="00EA10CF" w:rsidRDefault="00E837F2">
            <w:pPr>
              <w:widowControl w:val="0"/>
              <w:pBdr>
                <w:top w:val="nil"/>
                <w:left w:val="nil"/>
                <w:bottom w:val="nil"/>
                <w:right w:val="nil"/>
                <w:between w:val="nil"/>
              </w:pBdr>
              <w:jc w:val="right"/>
              <w:rPr>
                <w:color w:val="000000"/>
              </w:rPr>
            </w:pPr>
          </w:p>
        </w:tc>
        <w:tc>
          <w:tcPr>
            <w:tcW w:w="484" w:type="pct"/>
            <w:tcBorders>
              <w:top w:val="single" w:sz="4" w:space="0" w:color="000000"/>
            </w:tcBorders>
            <w:vAlign w:val="bottom"/>
          </w:tcPr>
          <w:p w14:paraId="03314012"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1373ADF6"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top w:val="single" w:sz="4" w:space="0" w:color="000000"/>
            </w:tcBorders>
            <w:vAlign w:val="bottom"/>
          </w:tcPr>
          <w:p w14:paraId="57E56B6B" w14:textId="77777777" w:rsidR="00E837F2" w:rsidRPr="00EA10CF" w:rsidRDefault="00E837F2">
            <w:pPr>
              <w:widowControl w:val="0"/>
              <w:pBdr>
                <w:top w:val="nil"/>
                <w:left w:val="nil"/>
                <w:bottom w:val="nil"/>
                <w:right w:val="nil"/>
                <w:between w:val="nil"/>
              </w:pBdr>
              <w:jc w:val="right"/>
              <w:rPr>
                <w:color w:val="000000"/>
              </w:rPr>
            </w:pPr>
          </w:p>
        </w:tc>
        <w:tc>
          <w:tcPr>
            <w:tcW w:w="316" w:type="pct"/>
            <w:tcBorders>
              <w:top w:val="single" w:sz="4" w:space="0" w:color="000000"/>
            </w:tcBorders>
            <w:shd w:val="clear" w:color="auto" w:fill="auto"/>
            <w:vAlign w:val="bottom"/>
          </w:tcPr>
          <w:p w14:paraId="1756C96E"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5ABE5004" w14:textId="77777777" w:rsidTr="001B330E">
        <w:trPr>
          <w:trHeight w:val="23"/>
        </w:trPr>
        <w:tc>
          <w:tcPr>
            <w:tcW w:w="1496" w:type="pct"/>
            <w:shd w:val="clear" w:color="auto" w:fill="auto"/>
            <w:vAlign w:val="bottom"/>
          </w:tcPr>
          <w:p w14:paraId="29149D83" w14:textId="64ADC1FE" w:rsidR="00E837F2" w:rsidRPr="00EA10CF" w:rsidRDefault="00E837F2" w:rsidP="001B330E">
            <w:pPr>
              <w:widowControl w:val="0"/>
              <w:pBdr>
                <w:top w:val="nil"/>
                <w:left w:val="nil"/>
                <w:bottom w:val="nil"/>
                <w:right w:val="nil"/>
                <w:between w:val="nil"/>
              </w:pBdr>
              <w:ind w:left="113" w:hanging="113"/>
              <w:rPr>
                <w:b/>
                <w:color w:val="000000"/>
              </w:rPr>
            </w:pPr>
            <w:r w:rsidRPr="00EA10CF">
              <w:rPr>
                <w:b/>
                <w:color w:val="000000"/>
              </w:rPr>
              <w:t>At 31</w:t>
            </w:r>
            <w:r w:rsidR="00181687">
              <w:rPr>
                <w:b/>
                <w:color w:val="000000"/>
              </w:rPr>
              <w:t> December </w:t>
            </w:r>
            <w:r w:rsidR="00541EBC">
              <w:rPr>
                <w:b/>
                <w:color w:val="000000"/>
              </w:rPr>
              <w:t>2023</w:t>
            </w:r>
          </w:p>
        </w:tc>
        <w:tc>
          <w:tcPr>
            <w:tcW w:w="472" w:type="pct"/>
            <w:shd w:val="clear" w:color="auto" w:fill="auto"/>
            <w:vAlign w:val="bottom"/>
          </w:tcPr>
          <w:p w14:paraId="16EB790B" w14:textId="77777777" w:rsidR="00E837F2" w:rsidRPr="00EA10CF" w:rsidRDefault="00E837F2">
            <w:pPr>
              <w:widowControl w:val="0"/>
              <w:pBdr>
                <w:top w:val="nil"/>
                <w:left w:val="nil"/>
                <w:bottom w:val="nil"/>
                <w:right w:val="nil"/>
                <w:between w:val="nil"/>
              </w:pBdr>
              <w:jc w:val="right"/>
              <w:rPr>
                <w:color w:val="000000"/>
              </w:rPr>
            </w:pPr>
          </w:p>
        </w:tc>
        <w:tc>
          <w:tcPr>
            <w:tcW w:w="487" w:type="pct"/>
            <w:shd w:val="clear" w:color="auto" w:fill="auto"/>
            <w:vAlign w:val="bottom"/>
          </w:tcPr>
          <w:p w14:paraId="628F554A" w14:textId="77777777" w:rsidR="00E837F2" w:rsidRPr="00EA10CF" w:rsidRDefault="00E837F2">
            <w:pPr>
              <w:widowControl w:val="0"/>
              <w:pBdr>
                <w:top w:val="nil"/>
                <w:left w:val="nil"/>
                <w:bottom w:val="nil"/>
                <w:right w:val="nil"/>
                <w:between w:val="nil"/>
              </w:pBdr>
              <w:jc w:val="right"/>
              <w:rPr>
                <w:color w:val="000000"/>
              </w:rPr>
            </w:pPr>
          </w:p>
        </w:tc>
        <w:tc>
          <w:tcPr>
            <w:tcW w:w="476" w:type="pct"/>
            <w:shd w:val="clear" w:color="auto" w:fill="auto"/>
            <w:vAlign w:val="bottom"/>
          </w:tcPr>
          <w:p w14:paraId="2FC7DDDD" w14:textId="77777777" w:rsidR="00E837F2" w:rsidRPr="00EA10CF" w:rsidRDefault="00E837F2">
            <w:pPr>
              <w:widowControl w:val="0"/>
              <w:pBdr>
                <w:top w:val="nil"/>
                <w:left w:val="nil"/>
                <w:bottom w:val="nil"/>
                <w:right w:val="nil"/>
                <w:between w:val="nil"/>
              </w:pBdr>
              <w:jc w:val="right"/>
              <w:rPr>
                <w:color w:val="000000"/>
              </w:rPr>
            </w:pPr>
          </w:p>
        </w:tc>
        <w:tc>
          <w:tcPr>
            <w:tcW w:w="317" w:type="pct"/>
            <w:shd w:val="clear" w:color="auto" w:fill="auto"/>
            <w:vAlign w:val="bottom"/>
          </w:tcPr>
          <w:p w14:paraId="219722EE" w14:textId="77777777" w:rsidR="00E837F2" w:rsidRPr="00EA10CF" w:rsidRDefault="00E837F2">
            <w:pPr>
              <w:widowControl w:val="0"/>
              <w:pBdr>
                <w:top w:val="nil"/>
                <w:left w:val="nil"/>
                <w:bottom w:val="nil"/>
                <w:right w:val="nil"/>
                <w:between w:val="nil"/>
              </w:pBdr>
              <w:jc w:val="right"/>
              <w:rPr>
                <w:color w:val="000000"/>
              </w:rPr>
            </w:pPr>
          </w:p>
        </w:tc>
        <w:tc>
          <w:tcPr>
            <w:tcW w:w="484" w:type="pct"/>
            <w:vAlign w:val="bottom"/>
          </w:tcPr>
          <w:p w14:paraId="7EB29D0F"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25403F83" w14:textId="77777777" w:rsidR="00E837F2" w:rsidRPr="00EA10CF" w:rsidRDefault="00E837F2">
            <w:pPr>
              <w:widowControl w:val="0"/>
              <w:pBdr>
                <w:top w:val="nil"/>
                <w:left w:val="nil"/>
                <w:bottom w:val="nil"/>
                <w:right w:val="nil"/>
                <w:between w:val="nil"/>
              </w:pBdr>
              <w:jc w:val="right"/>
              <w:rPr>
                <w:color w:val="000000"/>
              </w:rPr>
            </w:pPr>
          </w:p>
        </w:tc>
        <w:tc>
          <w:tcPr>
            <w:tcW w:w="476" w:type="pct"/>
            <w:vAlign w:val="bottom"/>
          </w:tcPr>
          <w:p w14:paraId="2CD15032" w14:textId="77777777" w:rsidR="00E837F2" w:rsidRPr="00EA10CF" w:rsidRDefault="00E837F2">
            <w:pPr>
              <w:widowControl w:val="0"/>
              <w:pBdr>
                <w:top w:val="nil"/>
                <w:left w:val="nil"/>
                <w:bottom w:val="nil"/>
                <w:right w:val="nil"/>
                <w:between w:val="nil"/>
              </w:pBdr>
              <w:jc w:val="right"/>
              <w:rPr>
                <w:color w:val="000000"/>
              </w:rPr>
            </w:pPr>
          </w:p>
        </w:tc>
        <w:tc>
          <w:tcPr>
            <w:tcW w:w="316" w:type="pct"/>
            <w:shd w:val="clear" w:color="auto" w:fill="auto"/>
            <w:vAlign w:val="bottom"/>
          </w:tcPr>
          <w:p w14:paraId="74FE4C34" w14:textId="77777777" w:rsidR="00E837F2" w:rsidRPr="00EA10CF" w:rsidRDefault="00E837F2">
            <w:pPr>
              <w:widowControl w:val="0"/>
              <w:pBdr>
                <w:top w:val="nil"/>
                <w:left w:val="nil"/>
                <w:bottom w:val="nil"/>
                <w:right w:val="nil"/>
                <w:between w:val="nil"/>
              </w:pBdr>
              <w:jc w:val="right"/>
              <w:rPr>
                <w:color w:val="000000"/>
              </w:rPr>
            </w:pPr>
          </w:p>
        </w:tc>
      </w:tr>
      <w:tr w:rsidR="00E837F2" w:rsidRPr="00EA10CF" w14:paraId="0385851C" w14:textId="77777777" w:rsidTr="001B330E">
        <w:trPr>
          <w:trHeight w:val="23"/>
        </w:trPr>
        <w:tc>
          <w:tcPr>
            <w:tcW w:w="1496" w:type="pct"/>
            <w:tcBorders>
              <w:bottom w:val="single" w:sz="12" w:space="0" w:color="000000"/>
            </w:tcBorders>
            <w:shd w:val="clear" w:color="auto" w:fill="auto"/>
            <w:vAlign w:val="bottom"/>
          </w:tcPr>
          <w:p w14:paraId="52107D4C" w14:textId="77777777" w:rsidR="00E837F2" w:rsidRPr="00EA10CF" w:rsidRDefault="00E837F2" w:rsidP="001B330E">
            <w:pPr>
              <w:widowControl w:val="0"/>
              <w:pBdr>
                <w:top w:val="nil"/>
                <w:left w:val="nil"/>
                <w:bottom w:val="nil"/>
                <w:right w:val="nil"/>
                <w:between w:val="nil"/>
              </w:pBdr>
              <w:ind w:left="113" w:hanging="113"/>
              <w:rPr>
                <w:b/>
                <w:color w:val="000000"/>
              </w:rPr>
            </w:pPr>
          </w:p>
        </w:tc>
        <w:tc>
          <w:tcPr>
            <w:tcW w:w="472" w:type="pct"/>
            <w:tcBorders>
              <w:bottom w:val="single" w:sz="12" w:space="0" w:color="000000"/>
            </w:tcBorders>
            <w:shd w:val="clear" w:color="auto" w:fill="auto"/>
            <w:vAlign w:val="bottom"/>
          </w:tcPr>
          <w:p w14:paraId="5DA3B043" w14:textId="77777777" w:rsidR="00E837F2" w:rsidRPr="00EA10CF" w:rsidRDefault="00E837F2">
            <w:pPr>
              <w:widowControl w:val="0"/>
              <w:pBdr>
                <w:top w:val="nil"/>
                <w:left w:val="nil"/>
                <w:bottom w:val="nil"/>
                <w:right w:val="nil"/>
                <w:between w:val="nil"/>
              </w:pBdr>
              <w:jc w:val="right"/>
              <w:rPr>
                <w:color w:val="000000"/>
              </w:rPr>
            </w:pPr>
          </w:p>
        </w:tc>
        <w:tc>
          <w:tcPr>
            <w:tcW w:w="487" w:type="pct"/>
            <w:tcBorders>
              <w:bottom w:val="single" w:sz="12" w:space="0" w:color="000000"/>
            </w:tcBorders>
            <w:shd w:val="clear" w:color="auto" w:fill="auto"/>
            <w:vAlign w:val="bottom"/>
          </w:tcPr>
          <w:p w14:paraId="6BADEA81"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shd w:val="clear" w:color="auto" w:fill="auto"/>
            <w:vAlign w:val="bottom"/>
          </w:tcPr>
          <w:p w14:paraId="0A0A53D9" w14:textId="77777777" w:rsidR="00E837F2" w:rsidRPr="00EA10CF" w:rsidRDefault="00E837F2">
            <w:pPr>
              <w:widowControl w:val="0"/>
              <w:pBdr>
                <w:top w:val="nil"/>
                <w:left w:val="nil"/>
                <w:bottom w:val="nil"/>
                <w:right w:val="nil"/>
                <w:between w:val="nil"/>
              </w:pBdr>
              <w:jc w:val="right"/>
              <w:rPr>
                <w:color w:val="000000"/>
              </w:rPr>
            </w:pPr>
          </w:p>
        </w:tc>
        <w:tc>
          <w:tcPr>
            <w:tcW w:w="317" w:type="pct"/>
            <w:tcBorders>
              <w:bottom w:val="single" w:sz="12" w:space="0" w:color="000000"/>
            </w:tcBorders>
            <w:shd w:val="clear" w:color="auto" w:fill="auto"/>
            <w:vAlign w:val="bottom"/>
          </w:tcPr>
          <w:p w14:paraId="493F5E69" w14:textId="77777777" w:rsidR="00E837F2" w:rsidRPr="00EA10CF" w:rsidRDefault="00E837F2">
            <w:pPr>
              <w:widowControl w:val="0"/>
              <w:pBdr>
                <w:top w:val="nil"/>
                <w:left w:val="nil"/>
                <w:bottom w:val="nil"/>
                <w:right w:val="nil"/>
                <w:between w:val="nil"/>
              </w:pBdr>
              <w:jc w:val="right"/>
              <w:rPr>
                <w:color w:val="000000"/>
              </w:rPr>
            </w:pPr>
          </w:p>
        </w:tc>
        <w:tc>
          <w:tcPr>
            <w:tcW w:w="484" w:type="pct"/>
            <w:tcBorders>
              <w:bottom w:val="single" w:sz="12" w:space="0" w:color="000000"/>
            </w:tcBorders>
          </w:tcPr>
          <w:p w14:paraId="1D97BE37"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61690DB5" w14:textId="77777777" w:rsidR="00E837F2" w:rsidRPr="00EA10CF" w:rsidRDefault="00E837F2">
            <w:pPr>
              <w:widowControl w:val="0"/>
              <w:pBdr>
                <w:top w:val="nil"/>
                <w:left w:val="nil"/>
                <w:bottom w:val="nil"/>
                <w:right w:val="nil"/>
                <w:between w:val="nil"/>
              </w:pBdr>
              <w:jc w:val="right"/>
              <w:rPr>
                <w:color w:val="000000"/>
              </w:rPr>
            </w:pPr>
          </w:p>
        </w:tc>
        <w:tc>
          <w:tcPr>
            <w:tcW w:w="476" w:type="pct"/>
            <w:tcBorders>
              <w:bottom w:val="single" w:sz="12" w:space="0" w:color="000000"/>
            </w:tcBorders>
          </w:tcPr>
          <w:p w14:paraId="163FCEC5" w14:textId="77777777" w:rsidR="00E837F2" w:rsidRPr="00EA10CF" w:rsidRDefault="00E837F2">
            <w:pPr>
              <w:widowControl w:val="0"/>
              <w:pBdr>
                <w:top w:val="nil"/>
                <w:left w:val="nil"/>
                <w:bottom w:val="nil"/>
                <w:right w:val="nil"/>
                <w:between w:val="nil"/>
              </w:pBdr>
              <w:jc w:val="right"/>
              <w:rPr>
                <w:color w:val="000000"/>
              </w:rPr>
            </w:pPr>
          </w:p>
        </w:tc>
        <w:tc>
          <w:tcPr>
            <w:tcW w:w="316" w:type="pct"/>
            <w:tcBorders>
              <w:bottom w:val="single" w:sz="12" w:space="0" w:color="000000"/>
            </w:tcBorders>
            <w:shd w:val="clear" w:color="auto" w:fill="auto"/>
            <w:vAlign w:val="bottom"/>
          </w:tcPr>
          <w:p w14:paraId="28EC1244" w14:textId="77777777" w:rsidR="00E837F2" w:rsidRPr="00EA10CF" w:rsidRDefault="00E837F2">
            <w:pPr>
              <w:widowControl w:val="0"/>
              <w:pBdr>
                <w:top w:val="nil"/>
                <w:left w:val="nil"/>
                <w:bottom w:val="nil"/>
                <w:right w:val="nil"/>
                <w:between w:val="nil"/>
              </w:pBdr>
              <w:jc w:val="right"/>
              <w:rPr>
                <w:color w:val="000000"/>
              </w:rPr>
            </w:pPr>
          </w:p>
        </w:tc>
      </w:tr>
    </w:tbl>
    <w:p w14:paraId="6A984F1E" w14:textId="429CB357"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[If the Group has POCI financial instruments, the Group should disclose the changes in the credit loss allowance between the beginning and the end of the reporting period for such instruments and explain the changes in the gross carrying amount that contributed to the change in credit loss allowance. For example, it can be achieved by adding column “POCI” in the table above.]</w:t>
      </w:r>
    </w:p>
    <w:p w14:paraId="7020237D" w14:textId="75697932" w:rsidR="00D83E33" w:rsidRDefault="00BC4072" w:rsidP="001B330E">
      <w:pPr>
        <w:pStyle w:val="Continued"/>
      </w:pPr>
      <w:r>
        <w:lastRenderedPageBreak/>
        <w:t>15</w:t>
      </w:r>
      <w:r>
        <w:tab/>
        <w:t>Other Financial Assets (Continued)</w:t>
      </w:r>
    </w:p>
    <w:p w14:paraId="1BFE5A57" w14:textId="63547A3C"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Finance lease receivables of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and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relate to leases of equipment and real estate, respectively. </w:t>
      </w:r>
    </w:p>
    <w:p w14:paraId="07DC6CB0" w14:textId="3AE229C9" w:rsidR="00D83E33" w:rsidRDefault="00BC4072">
      <w:pPr>
        <w:widowControl w:val="0"/>
        <w:spacing w:before="200" w:after="200"/>
        <w:jc w:val="both"/>
        <w:rPr>
          <w:i/>
          <w:color w:val="FF0000"/>
          <w:sz w:val="20"/>
          <w:szCs w:val="20"/>
        </w:rPr>
      </w:pPr>
      <w:r>
        <w:rPr>
          <w:sz w:val="20"/>
          <w:szCs w:val="20"/>
        </w:rPr>
        <w:t>Description of collateral held is as follows at 31</w:t>
      </w:r>
      <w:r w:rsidR="00181687">
        <w:rPr>
          <w:sz w:val="20"/>
          <w:szCs w:val="20"/>
        </w:rPr>
        <w:t> December </w:t>
      </w:r>
      <w:r w:rsidR="00541EBC">
        <w:rPr>
          <w:sz w:val="20"/>
          <w:szCs w:val="20"/>
        </w:rPr>
        <w:t>2024</w:t>
      </w:r>
      <w:r>
        <w:rPr>
          <w:sz w:val="20"/>
          <w:szCs w:val="20"/>
        </w:rPr>
        <w:t>:</w:t>
      </w:r>
    </w:p>
    <w:tbl>
      <w:tblPr>
        <w:tblStyle w:val="afffffffffe"/>
        <w:tblW w:w="9581" w:type="dxa"/>
        <w:tblLayout w:type="fixed"/>
        <w:tblLook w:val="0000" w:firstRow="0" w:lastRow="0" w:firstColumn="0" w:lastColumn="0" w:noHBand="0" w:noVBand="0"/>
      </w:tblPr>
      <w:tblGrid>
        <w:gridCol w:w="5226"/>
        <w:gridCol w:w="1452"/>
        <w:gridCol w:w="1452"/>
        <w:gridCol w:w="1451"/>
      </w:tblGrid>
      <w:tr w:rsidR="00D83E33" w14:paraId="4E7FDA70" w14:textId="77777777">
        <w:tc>
          <w:tcPr>
            <w:tcW w:w="5226" w:type="dxa"/>
            <w:tcBorders>
              <w:bottom w:val="single" w:sz="6" w:space="0" w:color="000000"/>
            </w:tcBorders>
            <w:vAlign w:val="bottom"/>
          </w:tcPr>
          <w:p w14:paraId="2E424E71" w14:textId="761B2A33" w:rsidR="00D83E33" w:rsidRDefault="00313B4D">
            <w:pPr>
              <w:widowControl w:val="0"/>
              <w:ind w:left="113" w:right="-57" w:hanging="113"/>
              <w:rPr>
                <w:i/>
                <w:color w:val="000000"/>
              </w:rPr>
            </w:pPr>
            <w:r>
              <w:rPr>
                <w:i/>
                <w:color w:val="000000"/>
              </w:rPr>
              <w:t xml:space="preserve">In thousands of </w:t>
            </w:r>
            <w:r w:rsidR="002649EE">
              <w:rPr>
                <w:i/>
                <w:color w:val="000000"/>
              </w:rPr>
              <w:t>EUR</w:t>
            </w:r>
          </w:p>
        </w:tc>
        <w:tc>
          <w:tcPr>
            <w:tcW w:w="1452" w:type="dxa"/>
            <w:tcBorders>
              <w:bottom w:val="single" w:sz="6" w:space="0" w:color="000000"/>
            </w:tcBorders>
          </w:tcPr>
          <w:p w14:paraId="40C808DC" w14:textId="77777777" w:rsidR="00D83E33" w:rsidRDefault="00BC4072">
            <w:pPr>
              <w:widowControl w:val="0"/>
              <w:ind w:left="-113"/>
              <w:jc w:val="right"/>
              <w:rPr>
                <w:b/>
                <w:color w:val="000000"/>
              </w:rPr>
            </w:pPr>
            <w:r>
              <w:rPr>
                <w:b/>
                <w:color w:val="000000"/>
              </w:rPr>
              <w:t>Finance lease receivables</w:t>
            </w:r>
          </w:p>
        </w:tc>
        <w:tc>
          <w:tcPr>
            <w:tcW w:w="1452" w:type="dxa"/>
            <w:tcBorders>
              <w:bottom w:val="single" w:sz="6" w:space="0" w:color="000000"/>
            </w:tcBorders>
          </w:tcPr>
          <w:p w14:paraId="5508C885" w14:textId="77777777" w:rsidR="00D83E33" w:rsidRDefault="00BC4072">
            <w:pPr>
              <w:widowControl w:val="0"/>
              <w:ind w:left="-113"/>
              <w:jc w:val="right"/>
              <w:rPr>
                <w:b/>
                <w:color w:val="000000"/>
              </w:rPr>
            </w:pPr>
            <w:r>
              <w:rPr>
                <w:b/>
                <w:color w:val="000000"/>
              </w:rPr>
              <w:t>Other recei-vables</w:t>
            </w:r>
          </w:p>
        </w:tc>
        <w:tc>
          <w:tcPr>
            <w:tcW w:w="1451" w:type="dxa"/>
            <w:tcBorders>
              <w:bottom w:val="single" w:sz="6" w:space="0" w:color="000000"/>
            </w:tcBorders>
          </w:tcPr>
          <w:p w14:paraId="4D018609" w14:textId="77777777" w:rsidR="00D83E33" w:rsidRDefault="00BC4072">
            <w:pPr>
              <w:widowControl w:val="0"/>
              <w:ind w:left="-113"/>
              <w:jc w:val="right"/>
              <w:rPr>
                <w:b/>
                <w:color w:val="000000"/>
              </w:rPr>
            </w:pPr>
            <w:r>
              <w:rPr>
                <w:b/>
                <w:color w:val="000000"/>
              </w:rPr>
              <w:t>Total</w:t>
            </w:r>
          </w:p>
        </w:tc>
      </w:tr>
      <w:tr w:rsidR="00D83E33" w14:paraId="648AA967" w14:textId="77777777">
        <w:tc>
          <w:tcPr>
            <w:tcW w:w="5226" w:type="dxa"/>
            <w:tcBorders>
              <w:top w:val="single" w:sz="6" w:space="0" w:color="000000"/>
            </w:tcBorders>
            <w:vAlign w:val="bottom"/>
          </w:tcPr>
          <w:p w14:paraId="19EBEC5B" w14:textId="77777777" w:rsidR="00D83E33" w:rsidRDefault="00D83E33">
            <w:pPr>
              <w:widowControl w:val="0"/>
              <w:ind w:left="113" w:right="-57" w:hanging="113"/>
              <w:rPr>
                <w:b/>
                <w:color w:val="000000"/>
              </w:rPr>
            </w:pPr>
          </w:p>
        </w:tc>
        <w:tc>
          <w:tcPr>
            <w:tcW w:w="1452" w:type="dxa"/>
            <w:tcBorders>
              <w:top w:val="single" w:sz="6" w:space="0" w:color="000000"/>
            </w:tcBorders>
            <w:vAlign w:val="bottom"/>
          </w:tcPr>
          <w:p w14:paraId="0AD72798" w14:textId="77777777" w:rsidR="00D83E33" w:rsidRDefault="00D83E33">
            <w:pPr>
              <w:widowControl w:val="0"/>
              <w:jc w:val="right"/>
              <w:rPr>
                <w:b/>
                <w:color w:val="000000"/>
              </w:rPr>
            </w:pPr>
          </w:p>
        </w:tc>
        <w:tc>
          <w:tcPr>
            <w:tcW w:w="1452" w:type="dxa"/>
            <w:tcBorders>
              <w:top w:val="single" w:sz="6" w:space="0" w:color="000000"/>
            </w:tcBorders>
            <w:vAlign w:val="bottom"/>
          </w:tcPr>
          <w:p w14:paraId="7B169F19" w14:textId="77777777" w:rsidR="00D83E33" w:rsidRDefault="00D83E33">
            <w:pPr>
              <w:widowControl w:val="0"/>
              <w:jc w:val="right"/>
              <w:rPr>
                <w:b/>
                <w:color w:val="000000"/>
              </w:rPr>
            </w:pPr>
          </w:p>
        </w:tc>
        <w:tc>
          <w:tcPr>
            <w:tcW w:w="1451" w:type="dxa"/>
            <w:tcBorders>
              <w:top w:val="single" w:sz="6" w:space="0" w:color="000000"/>
            </w:tcBorders>
            <w:vAlign w:val="bottom"/>
          </w:tcPr>
          <w:p w14:paraId="2DE27AB8" w14:textId="77777777" w:rsidR="00D83E33" w:rsidRDefault="00D83E33">
            <w:pPr>
              <w:widowControl w:val="0"/>
              <w:jc w:val="right"/>
              <w:rPr>
                <w:b/>
                <w:color w:val="000000"/>
              </w:rPr>
            </w:pPr>
          </w:p>
        </w:tc>
      </w:tr>
      <w:tr w:rsidR="00D83E33" w14:paraId="0E56C797" w14:textId="77777777">
        <w:tc>
          <w:tcPr>
            <w:tcW w:w="5226" w:type="dxa"/>
            <w:vAlign w:val="bottom"/>
          </w:tcPr>
          <w:p w14:paraId="3691B5FA" w14:textId="77777777" w:rsidR="00D83E33" w:rsidRDefault="00BC4072">
            <w:pPr>
              <w:widowControl w:val="0"/>
              <w:ind w:left="113" w:right="-57" w:hanging="113"/>
              <w:rPr>
                <w:color w:val="000000"/>
              </w:rPr>
            </w:pPr>
            <w:r>
              <w:rPr>
                <w:color w:val="000000"/>
              </w:rPr>
              <w:t>Guaranteed by other banks</w:t>
            </w:r>
          </w:p>
        </w:tc>
        <w:tc>
          <w:tcPr>
            <w:tcW w:w="1452" w:type="dxa"/>
            <w:vAlign w:val="bottom"/>
          </w:tcPr>
          <w:p w14:paraId="0EFEFE55" w14:textId="77777777" w:rsidR="00D83E33" w:rsidRDefault="00D83E33">
            <w:pPr>
              <w:widowControl w:val="0"/>
              <w:jc w:val="right"/>
              <w:rPr>
                <w:color w:val="000000"/>
              </w:rPr>
            </w:pPr>
          </w:p>
        </w:tc>
        <w:tc>
          <w:tcPr>
            <w:tcW w:w="1452" w:type="dxa"/>
            <w:vAlign w:val="bottom"/>
          </w:tcPr>
          <w:p w14:paraId="676FB36E" w14:textId="77777777" w:rsidR="00D83E33" w:rsidRDefault="00D83E33">
            <w:pPr>
              <w:widowControl w:val="0"/>
              <w:jc w:val="right"/>
              <w:rPr>
                <w:color w:val="000000"/>
              </w:rPr>
            </w:pPr>
          </w:p>
        </w:tc>
        <w:tc>
          <w:tcPr>
            <w:tcW w:w="1451" w:type="dxa"/>
            <w:vAlign w:val="bottom"/>
          </w:tcPr>
          <w:p w14:paraId="434377C6" w14:textId="77777777" w:rsidR="00D83E33" w:rsidRDefault="00D83E33">
            <w:pPr>
              <w:widowControl w:val="0"/>
              <w:jc w:val="right"/>
              <w:rPr>
                <w:color w:val="000000"/>
              </w:rPr>
            </w:pPr>
          </w:p>
        </w:tc>
      </w:tr>
      <w:tr w:rsidR="00D83E33" w14:paraId="207CF6E0" w14:textId="77777777">
        <w:tc>
          <w:tcPr>
            <w:tcW w:w="5226" w:type="dxa"/>
            <w:vAlign w:val="bottom"/>
          </w:tcPr>
          <w:p w14:paraId="3233AB79" w14:textId="77777777" w:rsidR="00D83E33" w:rsidRDefault="00BC4072">
            <w:pPr>
              <w:widowControl w:val="0"/>
              <w:ind w:left="113" w:right="-57" w:hanging="113"/>
              <w:rPr>
                <w:color w:val="000000"/>
              </w:rPr>
            </w:pPr>
            <w:r>
              <w:rPr>
                <w:color w:val="000000"/>
              </w:rPr>
              <w:t>Guaranteed by other parties, including credit insurance</w:t>
            </w:r>
          </w:p>
        </w:tc>
        <w:tc>
          <w:tcPr>
            <w:tcW w:w="1452" w:type="dxa"/>
            <w:vAlign w:val="bottom"/>
          </w:tcPr>
          <w:p w14:paraId="0345FC9B" w14:textId="77777777" w:rsidR="00D83E33" w:rsidRDefault="00D83E33">
            <w:pPr>
              <w:widowControl w:val="0"/>
              <w:jc w:val="right"/>
              <w:rPr>
                <w:color w:val="000000"/>
              </w:rPr>
            </w:pPr>
          </w:p>
        </w:tc>
        <w:tc>
          <w:tcPr>
            <w:tcW w:w="1452" w:type="dxa"/>
            <w:vAlign w:val="bottom"/>
          </w:tcPr>
          <w:p w14:paraId="2EF869E7" w14:textId="77777777" w:rsidR="00D83E33" w:rsidRDefault="00D83E33">
            <w:pPr>
              <w:widowControl w:val="0"/>
              <w:jc w:val="right"/>
              <w:rPr>
                <w:color w:val="000000"/>
              </w:rPr>
            </w:pPr>
          </w:p>
        </w:tc>
        <w:tc>
          <w:tcPr>
            <w:tcW w:w="1451" w:type="dxa"/>
            <w:vAlign w:val="bottom"/>
          </w:tcPr>
          <w:p w14:paraId="0B03811D" w14:textId="77777777" w:rsidR="00D83E33" w:rsidRDefault="00D83E33">
            <w:pPr>
              <w:widowControl w:val="0"/>
              <w:jc w:val="right"/>
              <w:rPr>
                <w:color w:val="000000"/>
              </w:rPr>
            </w:pPr>
          </w:p>
        </w:tc>
      </w:tr>
      <w:tr w:rsidR="00D83E33" w14:paraId="7D9B0E40" w14:textId="77777777">
        <w:tc>
          <w:tcPr>
            <w:tcW w:w="5226" w:type="dxa"/>
            <w:vAlign w:val="bottom"/>
          </w:tcPr>
          <w:p w14:paraId="7517B1D5" w14:textId="77777777" w:rsidR="00D83E33" w:rsidRDefault="00BC4072">
            <w:pPr>
              <w:widowControl w:val="0"/>
              <w:ind w:left="113" w:right="-57" w:hanging="113"/>
              <w:rPr>
                <w:color w:val="000000"/>
              </w:rPr>
            </w:pPr>
            <w:r>
              <w:rPr>
                <w:color w:val="000000"/>
              </w:rPr>
              <w:t>Residential real estate</w:t>
            </w:r>
          </w:p>
        </w:tc>
        <w:tc>
          <w:tcPr>
            <w:tcW w:w="1452" w:type="dxa"/>
            <w:vAlign w:val="bottom"/>
          </w:tcPr>
          <w:p w14:paraId="290E3D01" w14:textId="77777777" w:rsidR="00D83E33" w:rsidRDefault="00D83E33">
            <w:pPr>
              <w:widowControl w:val="0"/>
              <w:jc w:val="right"/>
              <w:rPr>
                <w:color w:val="000000"/>
              </w:rPr>
            </w:pPr>
          </w:p>
        </w:tc>
        <w:tc>
          <w:tcPr>
            <w:tcW w:w="1452" w:type="dxa"/>
            <w:vAlign w:val="bottom"/>
          </w:tcPr>
          <w:p w14:paraId="22471653" w14:textId="77777777" w:rsidR="00D83E33" w:rsidRDefault="00D83E33">
            <w:pPr>
              <w:widowControl w:val="0"/>
              <w:jc w:val="right"/>
              <w:rPr>
                <w:color w:val="000000"/>
              </w:rPr>
            </w:pPr>
          </w:p>
        </w:tc>
        <w:tc>
          <w:tcPr>
            <w:tcW w:w="1451" w:type="dxa"/>
            <w:vAlign w:val="bottom"/>
          </w:tcPr>
          <w:p w14:paraId="1C302228" w14:textId="77777777" w:rsidR="00D83E33" w:rsidRDefault="00D83E33">
            <w:pPr>
              <w:widowControl w:val="0"/>
              <w:jc w:val="right"/>
              <w:rPr>
                <w:color w:val="000000"/>
              </w:rPr>
            </w:pPr>
          </w:p>
        </w:tc>
      </w:tr>
      <w:tr w:rsidR="00D83E33" w14:paraId="2A0F620D" w14:textId="77777777">
        <w:tc>
          <w:tcPr>
            <w:tcW w:w="5226" w:type="dxa"/>
            <w:vAlign w:val="bottom"/>
          </w:tcPr>
          <w:p w14:paraId="407EB685" w14:textId="77777777" w:rsidR="00D83E33" w:rsidRDefault="00BC4072">
            <w:pPr>
              <w:widowControl w:val="0"/>
              <w:ind w:left="113" w:right="-57" w:hanging="113"/>
              <w:rPr>
                <w:color w:val="000000"/>
              </w:rPr>
            </w:pPr>
            <w:r>
              <w:rPr>
                <w:color w:val="000000"/>
              </w:rPr>
              <w:t>Other real estate</w:t>
            </w:r>
          </w:p>
        </w:tc>
        <w:tc>
          <w:tcPr>
            <w:tcW w:w="1452" w:type="dxa"/>
            <w:vAlign w:val="bottom"/>
          </w:tcPr>
          <w:p w14:paraId="582CDD2A" w14:textId="77777777" w:rsidR="00D83E33" w:rsidRDefault="00D83E33">
            <w:pPr>
              <w:widowControl w:val="0"/>
              <w:jc w:val="right"/>
              <w:rPr>
                <w:color w:val="000000"/>
              </w:rPr>
            </w:pPr>
          </w:p>
        </w:tc>
        <w:tc>
          <w:tcPr>
            <w:tcW w:w="1452" w:type="dxa"/>
            <w:vAlign w:val="bottom"/>
          </w:tcPr>
          <w:p w14:paraId="4C2D6DB9" w14:textId="77777777" w:rsidR="00D83E33" w:rsidRDefault="00D83E33">
            <w:pPr>
              <w:widowControl w:val="0"/>
              <w:jc w:val="right"/>
              <w:rPr>
                <w:color w:val="000000"/>
              </w:rPr>
            </w:pPr>
          </w:p>
        </w:tc>
        <w:tc>
          <w:tcPr>
            <w:tcW w:w="1451" w:type="dxa"/>
            <w:vAlign w:val="bottom"/>
          </w:tcPr>
          <w:p w14:paraId="05D72768" w14:textId="77777777" w:rsidR="00D83E33" w:rsidRDefault="00D83E33">
            <w:pPr>
              <w:widowControl w:val="0"/>
              <w:jc w:val="right"/>
              <w:rPr>
                <w:color w:val="000000"/>
              </w:rPr>
            </w:pPr>
          </w:p>
        </w:tc>
      </w:tr>
      <w:tr w:rsidR="00D83E33" w14:paraId="34D58BD8" w14:textId="77777777">
        <w:tc>
          <w:tcPr>
            <w:tcW w:w="5226" w:type="dxa"/>
            <w:vAlign w:val="bottom"/>
          </w:tcPr>
          <w:p w14:paraId="2B315914" w14:textId="77777777" w:rsidR="00D83E33" w:rsidRDefault="00BC4072">
            <w:pPr>
              <w:widowControl w:val="0"/>
              <w:ind w:left="113" w:right="-57" w:hanging="113"/>
              <w:rPr>
                <w:color w:val="000000"/>
              </w:rPr>
            </w:pPr>
            <w:r>
              <w:rPr>
                <w:color w:val="000000"/>
              </w:rPr>
              <w:t>Tradable securities</w:t>
            </w:r>
          </w:p>
        </w:tc>
        <w:tc>
          <w:tcPr>
            <w:tcW w:w="1452" w:type="dxa"/>
            <w:vAlign w:val="bottom"/>
          </w:tcPr>
          <w:p w14:paraId="1F330B44" w14:textId="77777777" w:rsidR="00D83E33" w:rsidRDefault="00D83E33">
            <w:pPr>
              <w:widowControl w:val="0"/>
              <w:jc w:val="right"/>
              <w:rPr>
                <w:color w:val="000000"/>
              </w:rPr>
            </w:pPr>
          </w:p>
        </w:tc>
        <w:tc>
          <w:tcPr>
            <w:tcW w:w="1452" w:type="dxa"/>
            <w:vAlign w:val="bottom"/>
          </w:tcPr>
          <w:p w14:paraId="0443EF9F" w14:textId="77777777" w:rsidR="00D83E33" w:rsidRDefault="00D83E33">
            <w:pPr>
              <w:widowControl w:val="0"/>
              <w:jc w:val="right"/>
              <w:rPr>
                <w:color w:val="000000"/>
              </w:rPr>
            </w:pPr>
          </w:p>
        </w:tc>
        <w:tc>
          <w:tcPr>
            <w:tcW w:w="1451" w:type="dxa"/>
            <w:vAlign w:val="bottom"/>
          </w:tcPr>
          <w:p w14:paraId="3D4C57EA" w14:textId="77777777" w:rsidR="00D83E33" w:rsidRDefault="00D83E33">
            <w:pPr>
              <w:widowControl w:val="0"/>
              <w:jc w:val="right"/>
              <w:rPr>
                <w:color w:val="000000"/>
              </w:rPr>
            </w:pPr>
          </w:p>
        </w:tc>
      </w:tr>
      <w:tr w:rsidR="00D83E33" w14:paraId="360D8D4E" w14:textId="77777777">
        <w:tc>
          <w:tcPr>
            <w:tcW w:w="5226" w:type="dxa"/>
            <w:vAlign w:val="bottom"/>
          </w:tcPr>
          <w:p w14:paraId="7F629D27" w14:textId="77777777" w:rsidR="00D83E33" w:rsidRDefault="00BC4072">
            <w:pPr>
              <w:widowControl w:val="0"/>
              <w:ind w:left="113" w:right="-57" w:hanging="113"/>
              <w:rPr>
                <w:color w:val="000000"/>
              </w:rPr>
            </w:pPr>
            <w:r>
              <w:rPr>
                <w:color w:val="000000"/>
              </w:rPr>
              <w:t>Cash deposits</w:t>
            </w:r>
          </w:p>
        </w:tc>
        <w:tc>
          <w:tcPr>
            <w:tcW w:w="1452" w:type="dxa"/>
            <w:vAlign w:val="bottom"/>
          </w:tcPr>
          <w:p w14:paraId="0533F082" w14:textId="77777777" w:rsidR="00D83E33" w:rsidRDefault="00D83E33">
            <w:pPr>
              <w:widowControl w:val="0"/>
              <w:jc w:val="right"/>
              <w:rPr>
                <w:color w:val="000000"/>
              </w:rPr>
            </w:pPr>
          </w:p>
        </w:tc>
        <w:tc>
          <w:tcPr>
            <w:tcW w:w="1452" w:type="dxa"/>
            <w:vAlign w:val="bottom"/>
          </w:tcPr>
          <w:p w14:paraId="349E7123" w14:textId="77777777" w:rsidR="00D83E33" w:rsidRDefault="00D83E33">
            <w:pPr>
              <w:widowControl w:val="0"/>
              <w:jc w:val="right"/>
              <w:rPr>
                <w:color w:val="000000"/>
              </w:rPr>
            </w:pPr>
          </w:p>
        </w:tc>
        <w:tc>
          <w:tcPr>
            <w:tcW w:w="1451" w:type="dxa"/>
            <w:vAlign w:val="bottom"/>
          </w:tcPr>
          <w:p w14:paraId="3D671140" w14:textId="77777777" w:rsidR="00D83E33" w:rsidRDefault="00D83E33">
            <w:pPr>
              <w:widowControl w:val="0"/>
              <w:jc w:val="right"/>
              <w:rPr>
                <w:color w:val="000000"/>
              </w:rPr>
            </w:pPr>
          </w:p>
        </w:tc>
      </w:tr>
      <w:tr w:rsidR="00D83E33" w14:paraId="5937A941" w14:textId="77777777">
        <w:tc>
          <w:tcPr>
            <w:tcW w:w="5226" w:type="dxa"/>
            <w:vAlign w:val="bottom"/>
          </w:tcPr>
          <w:p w14:paraId="40F2C6FF" w14:textId="77777777" w:rsidR="00D83E33" w:rsidRDefault="00BC4072">
            <w:pPr>
              <w:widowControl w:val="0"/>
              <w:ind w:left="113" w:right="-57" w:hanging="113"/>
              <w:rPr>
                <w:color w:val="000000"/>
              </w:rPr>
            </w:pPr>
            <w:r>
              <w:rPr>
                <w:color w:val="000000"/>
              </w:rPr>
              <w:t>Cars or other equipment</w:t>
            </w:r>
          </w:p>
        </w:tc>
        <w:tc>
          <w:tcPr>
            <w:tcW w:w="1452" w:type="dxa"/>
            <w:vAlign w:val="bottom"/>
          </w:tcPr>
          <w:p w14:paraId="3CC9006D" w14:textId="77777777" w:rsidR="00D83E33" w:rsidRDefault="00D83E33">
            <w:pPr>
              <w:widowControl w:val="0"/>
              <w:jc w:val="right"/>
              <w:rPr>
                <w:color w:val="000000"/>
              </w:rPr>
            </w:pPr>
          </w:p>
        </w:tc>
        <w:tc>
          <w:tcPr>
            <w:tcW w:w="1452" w:type="dxa"/>
            <w:vAlign w:val="bottom"/>
          </w:tcPr>
          <w:p w14:paraId="06221CA2" w14:textId="77777777" w:rsidR="00D83E33" w:rsidRDefault="00D83E33">
            <w:pPr>
              <w:widowControl w:val="0"/>
              <w:jc w:val="right"/>
              <w:rPr>
                <w:color w:val="000000"/>
              </w:rPr>
            </w:pPr>
          </w:p>
        </w:tc>
        <w:tc>
          <w:tcPr>
            <w:tcW w:w="1451" w:type="dxa"/>
            <w:vAlign w:val="bottom"/>
          </w:tcPr>
          <w:p w14:paraId="65B12DD1" w14:textId="77777777" w:rsidR="00D83E33" w:rsidRDefault="00D83E33">
            <w:pPr>
              <w:widowControl w:val="0"/>
              <w:jc w:val="right"/>
              <w:rPr>
                <w:color w:val="000000"/>
              </w:rPr>
            </w:pPr>
          </w:p>
        </w:tc>
      </w:tr>
      <w:tr w:rsidR="00D83E33" w14:paraId="770315E4" w14:textId="77777777">
        <w:tc>
          <w:tcPr>
            <w:tcW w:w="5226" w:type="dxa"/>
            <w:tcBorders>
              <w:bottom w:val="single" w:sz="6" w:space="0" w:color="000000"/>
            </w:tcBorders>
            <w:vAlign w:val="bottom"/>
          </w:tcPr>
          <w:p w14:paraId="476505E5" w14:textId="77777777" w:rsidR="00D83E33" w:rsidRDefault="00D83E33">
            <w:pPr>
              <w:widowControl w:val="0"/>
              <w:ind w:left="113" w:right="-57" w:hanging="113"/>
              <w:rPr>
                <w:color w:val="000000"/>
              </w:rPr>
            </w:pPr>
          </w:p>
        </w:tc>
        <w:tc>
          <w:tcPr>
            <w:tcW w:w="1452" w:type="dxa"/>
            <w:tcBorders>
              <w:bottom w:val="single" w:sz="6" w:space="0" w:color="000000"/>
            </w:tcBorders>
            <w:vAlign w:val="bottom"/>
          </w:tcPr>
          <w:p w14:paraId="099FEF85" w14:textId="77777777" w:rsidR="00D83E33" w:rsidRDefault="00D83E33">
            <w:pPr>
              <w:widowControl w:val="0"/>
              <w:jc w:val="right"/>
              <w:rPr>
                <w:color w:val="000000"/>
              </w:rPr>
            </w:pPr>
          </w:p>
        </w:tc>
        <w:tc>
          <w:tcPr>
            <w:tcW w:w="1452" w:type="dxa"/>
            <w:tcBorders>
              <w:bottom w:val="single" w:sz="6" w:space="0" w:color="000000"/>
            </w:tcBorders>
            <w:vAlign w:val="bottom"/>
          </w:tcPr>
          <w:p w14:paraId="57B4862D" w14:textId="77777777" w:rsidR="00D83E33" w:rsidRDefault="00D83E33">
            <w:pPr>
              <w:widowControl w:val="0"/>
              <w:jc w:val="right"/>
              <w:rPr>
                <w:color w:val="000000"/>
              </w:rPr>
            </w:pPr>
          </w:p>
        </w:tc>
        <w:tc>
          <w:tcPr>
            <w:tcW w:w="1451" w:type="dxa"/>
            <w:tcBorders>
              <w:bottom w:val="single" w:sz="6" w:space="0" w:color="000000"/>
            </w:tcBorders>
            <w:vAlign w:val="bottom"/>
          </w:tcPr>
          <w:p w14:paraId="438C436A" w14:textId="77777777" w:rsidR="00D83E33" w:rsidRDefault="00D83E33">
            <w:pPr>
              <w:widowControl w:val="0"/>
              <w:jc w:val="right"/>
              <w:rPr>
                <w:color w:val="000000"/>
              </w:rPr>
            </w:pPr>
          </w:p>
        </w:tc>
      </w:tr>
      <w:tr w:rsidR="00D83E33" w14:paraId="2A7D1D38" w14:textId="77777777">
        <w:tc>
          <w:tcPr>
            <w:tcW w:w="5226" w:type="dxa"/>
            <w:tcBorders>
              <w:top w:val="single" w:sz="6" w:space="0" w:color="000000"/>
            </w:tcBorders>
            <w:vAlign w:val="bottom"/>
          </w:tcPr>
          <w:p w14:paraId="4C6BCA9B" w14:textId="77777777" w:rsidR="00D83E33" w:rsidRDefault="00D83E33">
            <w:pPr>
              <w:widowControl w:val="0"/>
              <w:ind w:left="113" w:right="-57" w:hanging="113"/>
              <w:rPr>
                <w:color w:val="000000"/>
              </w:rPr>
            </w:pPr>
          </w:p>
        </w:tc>
        <w:tc>
          <w:tcPr>
            <w:tcW w:w="1452" w:type="dxa"/>
            <w:tcBorders>
              <w:top w:val="single" w:sz="6" w:space="0" w:color="000000"/>
            </w:tcBorders>
            <w:vAlign w:val="bottom"/>
          </w:tcPr>
          <w:p w14:paraId="5E488309" w14:textId="77777777" w:rsidR="00D83E33" w:rsidRDefault="00D83E33">
            <w:pPr>
              <w:widowControl w:val="0"/>
              <w:jc w:val="right"/>
              <w:rPr>
                <w:color w:val="000000"/>
              </w:rPr>
            </w:pPr>
          </w:p>
        </w:tc>
        <w:tc>
          <w:tcPr>
            <w:tcW w:w="1452" w:type="dxa"/>
            <w:tcBorders>
              <w:top w:val="single" w:sz="6" w:space="0" w:color="000000"/>
            </w:tcBorders>
            <w:vAlign w:val="bottom"/>
          </w:tcPr>
          <w:p w14:paraId="1ED7CB3C" w14:textId="77777777" w:rsidR="00D83E33" w:rsidRDefault="00D83E33">
            <w:pPr>
              <w:widowControl w:val="0"/>
              <w:jc w:val="right"/>
              <w:rPr>
                <w:color w:val="000000"/>
              </w:rPr>
            </w:pPr>
          </w:p>
        </w:tc>
        <w:tc>
          <w:tcPr>
            <w:tcW w:w="1451" w:type="dxa"/>
            <w:tcBorders>
              <w:top w:val="single" w:sz="6" w:space="0" w:color="000000"/>
            </w:tcBorders>
            <w:vAlign w:val="bottom"/>
          </w:tcPr>
          <w:p w14:paraId="579C83E7" w14:textId="77777777" w:rsidR="00D83E33" w:rsidRDefault="00D83E33">
            <w:pPr>
              <w:widowControl w:val="0"/>
              <w:jc w:val="right"/>
              <w:rPr>
                <w:color w:val="000000"/>
              </w:rPr>
            </w:pPr>
          </w:p>
        </w:tc>
      </w:tr>
      <w:tr w:rsidR="00D83E33" w14:paraId="68F0676B" w14:textId="77777777">
        <w:tc>
          <w:tcPr>
            <w:tcW w:w="5226" w:type="dxa"/>
            <w:vAlign w:val="bottom"/>
          </w:tcPr>
          <w:p w14:paraId="1CD6C131" w14:textId="77777777" w:rsidR="00D83E33" w:rsidRDefault="00BC4072">
            <w:pPr>
              <w:widowControl w:val="0"/>
              <w:ind w:left="113" w:right="-57" w:hanging="113"/>
              <w:rPr>
                <w:color w:val="000000"/>
              </w:rPr>
            </w:pPr>
            <w:r>
              <w:rPr>
                <w:color w:val="000000"/>
              </w:rPr>
              <w:t xml:space="preserve">Total </w:t>
            </w:r>
          </w:p>
        </w:tc>
        <w:tc>
          <w:tcPr>
            <w:tcW w:w="1452" w:type="dxa"/>
            <w:vAlign w:val="bottom"/>
          </w:tcPr>
          <w:p w14:paraId="75BE3217" w14:textId="77777777" w:rsidR="00D83E33" w:rsidRDefault="00D83E33">
            <w:pPr>
              <w:widowControl w:val="0"/>
              <w:jc w:val="right"/>
              <w:rPr>
                <w:color w:val="000000"/>
              </w:rPr>
            </w:pPr>
          </w:p>
        </w:tc>
        <w:tc>
          <w:tcPr>
            <w:tcW w:w="1452" w:type="dxa"/>
            <w:vAlign w:val="bottom"/>
          </w:tcPr>
          <w:p w14:paraId="1C948C87" w14:textId="77777777" w:rsidR="00D83E33" w:rsidRDefault="00D83E33">
            <w:pPr>
              <w:widowControl w:val="0"/>
              <w:jc w:val="right"/>
              <w:rPr>
                <w:color w:val="000000"/>
              </w:rPr>
            </w:pPr>
          </w:p>
        </w:tc>
        <w:tc>
          <w:tcPr>
            <w:tcW w:w="1451" w:type="dxa"/>
            <w:vAlign w:val="bottom"/>
          </w:tcPr>
          <w:p w14:paraId="09DFC760" w14:textId="77777777" w:rsidR="00D83E33" w:rsidRDefault="00D83E33">
            <w:pPr>
              <w:widowControl w:val="0"/>
              <w:jc w:val="right"/>
              <w:rPr>
                <w:color w:val="000000"/>
              </w:rPr>
            </w:pPr>
          </w:p>
        </w:tc>
      </w:tr>
      <w:tr w:rsidR="00D83E33" w14:paraId="78EE389D" w14:textId="77777777">
        <w:tc>
          <w:tcPr>
            <w:tcW w:w="5226" w:type="dxa"/>
            <w:tcBorders>
              <w:bottom w:val="single" w:sz="6" w:space="0" w:color="000000"/>
            </w:tcBorders>
            <w:vAlign w:val="bottom"/>
          </w:tcPr>
          <w:p w14:paraId="69BC60E4" w14:textId="77777777" w:rsidR="00D83E33" w:rsidRDefault="00D83E33">
            <w:pPr>
              <w:widowControl w:val="0"/>
              <w:ind w:left="113" w:right="-57" w:hanging="113"/>
              <w:rPr>
                <w:color w:val="000000"/>
              </w:rPr>
            </w:pPr>
          </w:p>
        </w:tc>
        <w:tc>
          <w:tcPr>
            <w:tcW w:w="1452" w:type="dxa"/>
            <w:tcBorders>
              <w:bottom w:val="single" w:sz="6" w:space="0" w:color="000000"/>
            </w:tcBorders>
            <w:vAlign w:val="bottom"/>
          </w:tcPr>
          <w:p w14:paraId="7ADDEFAE" w14:textId="77777777" w:rsidR="00D83E33" w:rsidRDefault="00D83E33">
            <w:pPr>
              <w:widowControl w:val="0"/>
              <w:jc w:val="right"/>
              <w:rPr>
                <w:color w:val="000000"/>
              </w:rPr>
            </w:pPr>
          </w:p>
        </w:tc>
        <w:tc>
          <w:tcPr>
            <w:tcW w:w="1452" w:type="dxa"/>
            <w:tcBorders>
              <w:bottom w:val="single" w:sz="6" w:space="0" w:color="000000"/>
            </w:tcBorders>
            <w:vAlign w:val="bottom"/>
          </w:tcPr>
          <w:p w14:paraId="2F40D2C9" w14:textId="77777777" w:rsidR="00D83E33" w:rsidRDefault="00D83E33">
            <w:pPr>
              <w:widowControl w:val="0"/>
              <w:jc w:val="right"/>
              <w:rPr>
                <w:color w:val="000000"/>
              </w:rPr>
            </w:pPr>
          </w:p>
        </w:tc>
        <w:tc>
          <w:tcPr>
            <w:tcW w:w="1451" w:type="dxa"/>
            <w:tcBorders>
              <w:bottom w:val="single" w:sz="6" w:space="0" w:color="000000"/>
            </w:tcBorders>
            <w:vAlign w:val="bottom"/>
          </w:tcPr>
          <w:p w14:paraId="64E32423" w14:textId="77777777" w:rsidR="00D83E33" w:rsidRDefault="00D83E33">
            <w:pPr>
              <w:widowControl w:val="0"/>
              <w:jc w:val="right"/>
              <w:rPr>
                <w:color w:val="000000"/>
              </w:rPr>
            </w:pPr>
          </w:p>
        </w:tc>
      </w:tr>
      <w:tr w:rsidR="00D83E33" w14:paraId="1CB9A059" w14:textId="77777777">
        <w:tc>
          <w:tcPr>
            <w:tcW w:w="5226" w:type="dxa"/>
            <w:tcBorders>
              <w:top w:val="single" w:sz="6" w:space="0" w:color="000000"/>
            </w:tcBorders>
            <w:vAlign w:val="bottom"/>
          </w:tcPr>
          <w:p w14:paraId="65FEE06F" w14:textId="77777777" w:rsidR="00D83E33" w:rsidRDefault="00D83E33">
            <w:pPr>
              <w:widowControl w:val="0"/>
              <w:ind w:left="113" w:right="-57" w:hanging="113"/>
              <w:rPr>
                <w:color w:val="000000"/>
              </w:rPr>
            </w:pPr>
          </w:p>
        </w:tc>
        <w:tc>
          <w:tcPr>
            <w:tcW w:w="1452" w:type="dxa"/>
            <w:tcBorders>
              <w:top w:val="single" w:sz="6" w:space="0" w:color="000000"/>
            </w:tcBorders>
            <w:vAlign w:val="bottom"/>
          </w:tcPr>
          <w:p w14:paraId="7DF4F6D6" w14:textId="77777777" w:rsidR="00D83E33" w:rsidRDefault="00D83E33">
            <w:pPr>
              <w:widowControl w:val="0"/>
              <w:jc w:val="right"/>
              <w:rPr>
                <w:color w:val="000000"/>
              </w:rPr>
            </w:pPr>
          </w:p>
        </w:tc>
        <w:tc>
          <w:tcPr>
            <w:tcW w:w="1452" w:type="dxa"/>
            <w:tcBorders>
              <w:top w:val="single" w:sz="6" w:space="0" w:color="000000"/>
            </w:tcBorders>
            <w:vAlign w:val="bottom"/>
          </w:tcPr>
          <w:p w14:paraId="39AE5AE4" w14:textId="77777777" w:rsidR="00D83E33" w:rsidRDefault="00D83E33">
            <w:pPr>
              <w:widowControl w:val="0"/>
              <w:jc w:val="right"/>
              <w:rPr>
                <w:color w:val="000000"/>
              </w:rPr>
            </w:pPr>
          </w:p>
        </w:tc>
        <w:tc>
          <w:tcPr>
            <w:tcW w:w="1451" w:type="dxa"/>
            <w:tcBorders>
              <w:top w:val="single" w:sz="6" w:space="0" w:color="000000"/>
            </w:tcBorders>
            <w:vAlign w:val="bottom"/>
          </w:tcPr>
          <w:p w14:paraId="70E1AD13" w14:textId="77777777" w:rsidR="00D83E33" w:rsidRDefault="00D83E33">
            <w:pPr>
              <w:widowControl w:val="0"/>
              <w:jc w:val="right"/>
              <w:rPr>
                <w:color w:val="000000"/>
              </w:rPr>
            </w:pPr>
          </w:p>
        </w:tc>
      </w:tr>
      <w:tr w:rsidR="00D83E33" w14:paraId="440169EA" w14:textId="77777777">
        <w:tc>
          <w:tcPr>
            <w:tcW w:w="5226" w:type="dxa"/>
            <w:vAlign w:val="bottom"/>
          </w:tcPr>
          <w:p w14:paraId="18494649" w14:textId="77777777" w:rsidR="00D83E33" w:rsidRDefault="00BC4072">
            <w:pPr>
              <w:widowControl w:val="0"/>
              <w:ind w:left="113" w:right="-57" w:hanging="113"/>
              <w:rPr>
                <w:color w:val="000000"/>
              </w:rPr>
            </w:pPr>
            <w:r>
              <w:rPr>
                <w:color w:val="000000"/>
              </w:rPr>
              <w:t>Unsecured exposures</w:t>
            </w:r>
          </w:p>
        </w:tc>
        <w:tc>
          <w:tcPr>
            <w:tcW w:w="1452" w:type="dxa"/>
            <w:vAlign w:val="bottom"/>
          </w:tcPr>
          <w:p w14:paraId="4E1A0ABA" w14:textId="77777777" w:rsidR="00D83E33" w:rsidRDefault="00D83E33">
            <w:pPr>
              <w:widowControl w:val="0"/>
              <w:jc w:val="right"/>
              <w:rPr>
                <w:color w:val="000000"/>
              </w:rPr>
            </w:pPr>
          </w:p>
        </w:tc>
        <w:tc>
          <w:tcPr>
            <w:tcW w:w="1452" w:type="dxa"/>
            <w:vAlign w:val="bottom"/>
          </w:tcPr>
          <w:p w14:paraId="581A61DA" w14:textId="77777777" w:rsidR="00D83E33" w:rsidRDefault="00D83E33">
            <w:pPr>
              <w:widowControl w:val="0"/>
              <w:jc w:val="right"/>
              <w:rPr>
                <w:color w:val="000000"/>
              </w:rPr>
            </w:pPr>
          </w:p>
        </w:tc>
        <w:tc>
          <w:tcPr>
            <w:tcW w:w="1451" w:type="dxa"/>
            <w:vAlign w:val="bottom"/>
          </w:tcPr>
          <w:p w14:paraId="0728D1B3" w14:textId="77777777" w:rsidR="00D83E33" w:rsidRDefault="00D83E33">
            <w:pPr>
              <w:widowControl w:val="0"/>
              <w:jc w:val="right"/>
              <w:rPr>
                <w:color w:val="000000"/>
              </w:rPr>
            </w:pPr>
          </w:p>
        </w:tc>
      </w:tr>
      <w:tr w:rsidR="00D83E33" w14:paraId="73132B67" w14:textId="77777777">
        <w:tc>
          <w:tcPr>
            <w:tcW w:w="5226" w:type="dxa"/>
            <w:tcBorders>
              <w:bottom w:val="single" w:sz="6" w:space="0" w:color="000000"/>
            </w:tcBorders>
            <w:vAlign w:val="bottom"/>
          </w:tcPr>
          <w:p w14:paraId="0548FE18" w14:textId="77777777" w:rsidR="00D83E33" w:rsidRDefault="00D83E33">
            <w:pPr>
              <w:widowControl w:val="0"/>
              <w:ind w:left="113" w:right="-57" w:hanging="113"/>
              <w:rPr>
                <w:color w:val="000000"/>
              </w:rPr>
            </w:pPr>
          </w:p>
        </w:tc>
        <w:tc>
          <w:tcPr>
            <w:tcW w:w="1452" w:type="dxa"/>
            <w:tcBorders>
              <w:bottom w:val="single" w:sz="6" w:space="0" w:color="000000"/>
            </w:tcBorders>
            <w:vAlign w:val="bottom"/>
          </w:tcPr>
          <w:p w14:paraId="5C488827" w14:textId="77777777" w:rsidR="00D83E33" w:rsidRDefault="00D83E33">
            <w:pPr>
              <w:widowControl w:val="0"/>
              <w:jc w:val="right"/>
              <w:rPr>
                <w:color w:val="000000"/>
              </w:rPr>
            </w:pPr>
          </w:p>
        </w:tc>
        <w:tc>
          <w:tcPr>
            <w:tcW w:w="1452" w:type="dxa"/>
            <w:tcBorders>
              <w:bottom w:val="single" w:sz="6" w:space="0" w:color="000000"/>
            </w:tcBorders>
            <w:vAlign w:val="bottom"/>
          </w:tcPr>
          <w:p w14:paraId="659C2B2A" w14:textId="77777777" w:rsidR="00D83E33" w:rsidRDefault="00D83E33">
            <w:pPr>
              <w:widowControl w:val="0"/>
              <w:jc w:val="right"/>
              <w:rPr>
                <w:color w:val="000000"/>
              </w:rPr>
            </w:pPr>
          </w:p>
        </w:tc>
        <w:tc>
          <w:tcPr>
            <w:tcW w:w="1451" w:type="dxa"/>
            <w:tcBorders>
              <w:bottom w:val="single" w:sz="6" w:space="0" w:color="000000"/>
            </w:tcBorders>
            <w:vAlign w:val="bottom"/>
          </w:tcPr>
          <w:p w14:paraId="3330D2C9" w14:textId="77777777" w:rsidR="00D83E33" w:rsidRDefault="00D83E33">
            <w:pPr>
              <w:widowControl w:val="0"/>
              <w:jc w:val="right"/>
              <w:rPr>
                <w:color w:val="000000"/>
              </w:rPr>
            </w:pPr>
          </w:p>
        </w:tc>
      </w:tr>
      <w:tr w:rsidR="00D83E33" w14:paraId="5716ED2A" w14:textId="77777777">
        <w:tc>
          <w:tcPr>
            <w:tcW w:w="5226" w:type="dxa"/>
            <w:tcBorders>
              <w:top w:val="single" w:sz="6" w:space="0" w:color="000000"/>
            </w:tcBorders>
            <w:vAlign w:val="bottom"/>
          </w:tcPr>
          <w:p w14:paraId="41750C13" w14:textId="77777777" w:rsidR="00D83E33" w:rsidRDefault="00D83E33">
            <w:pPr>
              <w:widowControl w:val="0"/>
              <w:ind w:left="113" w:right="-57" w:hanging="113"/>
              <w:rPr>
                <w:color w:val="000000"/>
              </w:rPr>
            </w:pPr>
          </w:p>
        </w:tc>
        <w:tc>
          <w:tcPr>
            <w:tcW w:w="1452" w:type="dxa"/>
            <w:tcBorders>
              <w:top w:val="single" w:sz="6" w:space="0" w:color="000000"/>
            </w:tcBorders>
            <w:vAlign w:val="bottom"/>
          </w:tcPr>
          <w:p w14:paraId="425CFFE8" w14:textId="77777777" w:rsidR="00D83E33" w:rsidRDefault="00D83E33">
            <w:pPr>
              <w:widowControl w:val="0"/>
              <w:jc w:val="right"/>
              <w:rPr>
                <w:color w:val="000000"/>
              </w:rPr>
            </w:pPr>
          </w:p>
        </w:tc>
        <w:tc>
          <w:tcPr>
            <w:tcW w:w="1452" w:type="dxa"/>
            <w:tcBorders>
              <w:top w:val="single" w:sz="6" w:space="0" w:color="000000"/>
            </w:tcBorders>
            <w:vAlign w:val="bottom"/>
          </w:tcPr>
          <w:p w14:paraId="04D23A4E" w14:textId="77777777" w:rsidR="00D83E33" w:rsidRDefault="00D83E33">
            <w:pPr>
              <w:widowControl w:val="0"/>
              <w:jc w:val="right"/>
              <w:rPr>
                <w:color w:val="000000"/>
              </w:rPr>
            </w:pPr>
          </w:p>
        </w:tc>
        <w:tc>
          <w:tcPr>
            <w:tcW w:w="1451" w:type="dxa"/>
            <w:tcBorders>
              <w:top w:val="single" w:sz="6" w:space="0" w:color="000000"/>
            </w:tcBorders>
            <w:vAlign w:val="bottom"/>
          </w:tcPr>
          <w:p w14:paraId="10137FB5" w14:textId="77777777" w:rsidR="00D83E33" w:rsidRDefault="00D83E33">
            <w:pPr>
              <w:widowControl w:val="0"/>
              <w:jc w:val="right"/>
              <w:rPr>
                <w:color w:val="000000"/>
              </w:rPr>
            </w:pPr>
          </w:p>
        </w:tc>
      </w:tr>
      <w:tr w:rsidR="00D83E33" w14:paraId="79359DF1" w14:textId="77777777">
        <w:tc>
          <w:tcPr>
            <w:tcW w:w="5226" w:type="dxa"/>
            <w:vAlign w:val="bottom"/>
          </w:tcPr>
          <w:p w14:paraId="259536C1" w14:textId="77777777" w:rsidR="00D83E33" w:rsidRDefault="00BC4072">
            <w:pPr>
              <w:widowControl w:val="0"/>
              <w:ind w:left="113" w:right="-57" w:hanging="113"/>
              <w:rPr>
                <w:b/>
                <w:color w:val="000000"/>
              </w:rPr>
            </w:pPr>
            <w:r>
              <w:rPr>
                <w:b/>
                <w:color w:val="000000"/>
              </w:rPr>
              <w:t>Total carrying value at AC (amount representing exposure to credit risk for the respective class at AC)</w:t>
            </w:r>
          </w:p>
        </w:tc>
        <w:tc>
          <w:tcPr>
            <w:tcW w:w="1452" w:type="dxa"/>
            <w:vAlign w:val="bottom"/>
          </w:tcPr>
          <w:p w14:paraId="6862636D" w14:textId="77777777" w:rsidR="00D83E33" w:rsidRDefault="00D83E33">
            <w:pPr>
              <w:widowControl w:val="0"/>
              <w:jc w:val="right"/>
              <w:rPr>
                <w:b/>
                <w:color w:val="000000"/>
              </w:rPr>
            </w:pPr>
          </w:p>
        </w:tc>
        <w:tc>
          <w:tcPr>
            <w:tcW w:w="1452" w:type="dxa"/>
            <w:vAlign w:val="bottom"/>
          </w:tcPr>
          <w:p w14:paraId="218D3A38" w14:textId="77777777" w:rsidR="00D83E33" w:rsidRDefault="00D83E33">
            <w:pPr>
              <w:widowControl w:val="0"/>
              <w:jc w:val="right"/>
              <w:rPr>
                <w:b/>
                <w:color w:val="000000"/>
              </w:rPr>
            </w:pPr>
          </w:p>
        </w:tc>
        <w:tc>
          <w:tcPr>
            <w:tcW w:w="1451" w:type="dxa"/>
            <w:vAlign w:val="bottom"/>
          </w:tcPr>
          <w:p w14:paraId="41FF4638" w14:textId="77777777" w:rsidR="00D83E33" w:rsidRDefault="00D83E33">
            <w:pPr>
              <w:widowControl w:val="0"/>
              <w:jc w:val="right"/>
              <w:rPr>
                <w:b/>
                <w:color w:val="000000"/>
              </w:rPr>
            </w:pPr>
          </w:p>
        </w:tc>
      </w:tr>
      <w:tr w:rsidR="00D83E33" w14:paraId="398B384B" w14:textId="77777777">
        <w:tc>
          <w:tcPr>
            <w:tcW w:w="5226" w:type="dxa"/>
            <w:tcBorders>
              <w:bottom w:val="single" w:sz="12" w:space="0" w:color="000000"/>
            </w:tcBorders>
            <w:vAlign w:val="bottom"/>
          </w:tcPr>
          <w:p w14:paraId="18F93152" w14:textId="77777777" w:rsidR="00D83E33" w:rsidRDefault="00D83E33">
            <w:pPr>
              <w:widowControl w:val="0"/>
              <w:ind w:left="113" w:right="-57" w:hanging="113"/>
              <w:rPr>
                <w:b/>
                <w:color w:val="000000"/>
                <w:sz w:val="16"/>
                <w:szCs w:val="16"/>
              </w:rPr>
            </w:pPr>
          </w:p>
        </w:tc>
        <w:tc>
          <w:tcPr>
            <w:tcW w:w="1452" w:type="dxa"/>
            <w:tcBorders>
              <w:bottom w:val="single" w:sz="12" w:space="0" w:color="000000"/>
            </w:tcBorders>
            <w:vAlign w:val="bottom"/>
          </w:tcPr>
          <w:p w14:paraId="2AE5D98D" w14:textId="77777777" w:rsidR="00D83E33" w:rsidRDefault="00D83E33">
            <w:pPr>
              <w:widowControl w:val="0"/>
              <w:jc w:val="right"/>
              <w:rPr>
                <w:b/>
                <w:color w:val="000000"/>
                <w:sz w:val="16"/>
                <w:szCs w:val="16"/>
              </w:rPr>
            </w:pPr>
          </w:p>
        </w:tc>
        <w:tc>
          <w:tcPr>
            <w:tcW w:w="1452" w:type="dxa"/>
            <w:tcBorders>
              <w:bottom w:val="single" w:sz="12" w:space="0" w:color="000000"/>
            </w:tcBorders>
            <w:vAlign w:val="bottom"/>
          </w:tcPr>
          <w:p w14:paraId="4ED7C9FE" w14:textId="77777777" w:rsidR="00D83E33" w:rsidRDefault="00D83E33">
            <w:pPr>
              <w:widowControl w:val="0"/>
              <w:jc w:val="right"/>
              <w:rPr>
                <w:b/>
                <w:color w:val="000000"/>
                <w:sz w:val="16"/>
                <w:szCs w:val="16"/>
              </w:rPr>
            </w:pPr>
          </w:p>
        </w:tc>
        <w:tc>
          <w:tcPr>
            <w:tcW w:w="1451" w:type="dxa"/>
            <w:tcBorders>
              <w:bottom w:val="single" w:sz="12" w:space="0" w:color="000000"/>
            </w:tcBorders>
            <w:vAlign w:val="bottom"/>
          </w:tcPr>
          <w:p w14:paraId="476CF1F6" w14:textId="77777777" w:rsidR="00D83E33" w:rsidRDefault="00D83E33">
            <w:pPr>
              <w:widowControl w:val="0"/>
              <w:jc w:val="right"/>
              <w:rPr>
                <w:b/>
                <w:color w:val="000000"/>
                <w:sz w:val="16"/>
                <w:szCs w:val="16"/>
              </w:rPr>
            </w:pPr>
          </w:p>
        </w:tc>
      </w:tr>
    </w:tbl>
    <w:p w14:paraId="2CFB6B7D" w14:textId="1169E3A2"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Description of collateral held is as follows at 31</w:t>
      </w:r>
      <w:r w:rsidR="00181687">
        <w:rPr>
          <w:color w:val="000000"/>
          <w:sz w:val="20"/>
          <w:szCs w:val="20"/>
        </w:rPr>
        <w:t> December </w:t>
      </w:r>
      <w:r w:rsidR="00541EBC">
        <w:rPr>
          <w:color w:val="000000"/>
          <w:sz w:val="20"/>
          <w:szCs w:val="20"/>
        </w:rPr>
        <w:t>2023</w:t>
      </w:r>
      <w:r>
        <w:rPr>
          <w:color w:val="000000"/>
          <w:sz w:val="20"/>
          <w:szCs w:val="20"/>
        </w:rPr>
        <w:t>:</w:t>
      </w:r>
    </w:p>
    <w:tbl>
      <w:tblPr>
        <w:tblStyle w:val="affffffffff"/>
        <w:tblW w:w="9581" w:type="dxa"/>
        <w:tblLayout w:type="fixed"/>
        <w:tblLook w:val="0000" w:firstRow="0" w:lastRow="0" w:firstColumn="0" w:lastColumn="0" w:noHBand="0" w:noVBand="0"/>
      </w:tblPr>
      <w:tblGrid>
        <w:gridCol w:w="5226"/>
        <w:gridCol w:w="1452"/>
        <w:gridCol w:w="1452"/>
        <w:gridCol w:w="1451"/>
      </w:tblGrid>
      <w:tr w:rsidR="00D83E33" w14:paraId="2B7D68DD" w14:textId="77777777">
        <w:tc>
          <w:tcPr>
            <w:tcW w:w="5226" w:type="dxa"/>
            <w:tcBorders>
              <w:bottom w:val="single" w:sz="6" w:space="0" w:color="000000"/>
            </w:tcBorders>
            <w:vAlign w:val="bottom"/>
          </w:tcPr>
          <w:p w14:paraId="445776DF" w14:textId="22AF562A" w:rsidR="00D83E33" w:rsidRDefault="00313B4D">
            <w:pPr>
              <w:widowControl w:val="0"/>
              <w:ind w:left="113" w:right="-57" w:hanging="113"/>
              <w:rPr>
                <w:i/>
                <w:color w:val="000000"/>
              </w:rPr>
            </w:pPr>
            <w:r>
              <w:rPr>
                <w:i/>
                <w:color w:val="000000"/>
              </w:rPr>
              <w:t xml:space="preserve">In thousands of </w:t>
            </w:r>
            <w:r w:rsidR="002649EE">
              <w:rPr>
                <w:i/>
                <w:color w:val="000000"/>
              </w:rPr>
              <w:t>EUR</w:t>
            </w:r>
          </w:p>
        </w:tc>
        <w:tc>
          <w:tcPr>
            <w:tcW w:w="1452" w:type="dxa"/>
            <w:tcBorders>
              <w:bottom w:val="single" w:sz="6" w:space="0" w:color="000000"/>
            </w:tcBorders>
          </w:tcPr>
          <w:p w14:paraId="6A782865" w14:textId="77777777" w:rsidR="00D83E33" w:rsidRDefault="00BC4072">
            <w:pPr>
              <w:widowControl w:val="0"/>
              <w:ind w:left="-113"/>
              <w:jc w:val="right"/>
              <w:rPr>
                <w:b/>
                <w:color w:val="000000"/>
              </w:rPr>
            </w:pPr>
            <w:r>
              <w:rPr>
                <w:b/>
                <w:color w:val="000000"/>
              </w:rPr>
              <w:t>Finance lease receivables</w:t>
            </w:r>
          </w:p>
        </w:tc>
        <w:tc>
          <w:tcPr>
            <w:tcW w:w="1452" w:type="dxa"/>
            <w:tcBorders>
              <w:bottom w:val="single" w:sz="6" w:space="0" w:color="000000"/>
            </w:tcBorders>
          </w:tcPr>
          <w:p w14:paraId="1EB28D4D" w14:textId="77777777" w:rsidR="00D83E33" w:rsidRDefault="00BC4072">
            <w:pPr>
              <w:widowControl w:val="0"/>
              <w:ind w:left="-113"/>
              <w:jc w:val="right"/>
              <w:rPr>
                <w:b/>
                <w:color w:val="000000"/>
              </w:rPr>
            </w:pPr>
            <w:r>
              <w:rPr>
                <w:b/>
                <w:color w:val="000000"/>
              </w:rPr>
              <w:t>Other recei-vables</w:t>
            </w:r>
          </w:p>
        </w:tc>
        <w:tc>
          <w:tcPr>
            <w:tcW w:w="1451" w:type="dxa"/>
            <w:tcBorders>
              <w:bottom w:val="single" w:sz="6" w:space="0" w:color="000000"/>
            </w:tcBorders>
          </w:tcPr>
          <w:p w14:paraId="42E377F2" w14:textId="77777777" w:rsidR="00D83E33" w:rsidRDefault="00BC4072">
            <w:pPr>
              <w:widowControl w:val="0"/>
              <w:ind w:left="-113"/>
              <w:jc w:val="right"/>
              <w:rPr>
                <w:b/>
                <w:color w:val="000000"/>
              </w:rPr>
            </w:pPr>
            <w:r>
              <w:rPr>
                <w:b/>
                <w:color w:val="000000"/>
              </w:rPr>
              <w:t>Total</w:t>
            </w:r>
          </w:p>
        </w:tc>
      </w:tr>
      <w:tr w:rsidR="00D83E33" w14:paraId="4FA50C91" w14:textId="77777777">
        <w:tc>
          <w:tcPr>
            <w:tcW w:w="5226" w:type="dxa"/>
            <w:tcBorders>
              <w:top w:val="single" w:sz="6" w:space="0" w:color="000000"/>
            </w:tcBorders>
            <w:vAlign w:val="bottom"/>
          </w:tcPr>
          <w:p w14:paraId="052CB9FC" w14:textId="77777777" w:rsidR="00D83E33" w:rsidRDefault="00D83E33">
            <w:pPr>
              <w:widowControl w:val="0"/>
              <w:ind w:left="113" w:right="-57" w:hanging="113"/>
              <w:rPr>
                <w:b/>
                <w:color w:val="000000"/>
              </w:rPr>
            </w:pPr>
          </w:p>
        </w:tc>
        <w:tc>
          <w:tcPr>
            <w:tcW w:w="1452" w:type="dxa"/>
            <w:tcBorders>
              <w:top w:val="single" w:sz="6" w:space="0" w:color="000000"/>
            </w:tcBorders>
            <w:vAlign w:val="bottom"/>
          </w:tcPr>
          <w:p w14:paraId="1FE7A7E7" w14:textId="77777777" w:rsidR="00D83E33" w:rsidRDefault="00D83E33">
            <w:pPr>
              <w:widowControl w:val="0"/>
              <w:jc w:val="right"/>
              <w:rPr>
                <w:b/>
                <w:color w:val="000000"/>
              </w:rPr>
            </w:pPr>
          </w:p>
        </w:tc>
        <w:tc>
          <w:tcPr>
            <w:tcW w:w="1452" w:type="dxa"/>
            <w:tcBorders>
              <w:top w:val="single" w:sz="6" w:space="0" w:color="000000"/>
            </w:tcBorders>
            <w:vAlign w:val="bottom"/>
          </w:tcPr>
          <w:p w14:paraId="15211AF8" w14:textId="77777777" w:rsidR="00D83E33" w:rsidRDefault="00D83E33">
            <w:pPr>
              <w:widowControl w:val="0"/>
              <w:jc w:val="right"/>
              <w:rPr>
                <w:b/>
                <w:color w:val="000000"/>
              </w:rPr>
            </w:pPr>
          </w:p>
        </w:tc>
        <w:tc>
          <w:tcPr>
            <w:tcW w:w="1451" w:type="dxa"/>
            <w:tcBorders>
              <w:top w:val="single" w:sz="6" w:space="0" w:color="000000"/>
            </w:tcBorders>
            <w:vAlign w:val="bottom"/>
          </w:tcPr>
          <w:p w14:paraId="32144B99" w14:textId="77777777" w:rsidR="00D83E33" w:rsidRDefault="00D83E33">
            <w:pPr>
              <w:widowControl w:val="0"/>
              <w:jc w:val="right"/>
              <w:rPr>
                <w:b/>
                <w:color w:val="000000"/>
              </w:rPr>
            </w:pPr>
          </w:p>
        </w:tc>
      </w:tr>
      <w:tr w:rsidR="00D83E33" w14:paraId="4409650F" w14:textId="77777777">
        <w:tc>
          <w:tcPr>
            <w:tcW w:w="5226" w:type="dxa"/>
            <w:vAlign w:val="bottom"/>
          </w:tcPr>
          <w:p w14:paraId="09DFE44E" w14:textId="77777777" w:rsidR="00D83E33" w:rsidRDefault="00BC4072">
            <w:pPr>
              <w:widowControl w:val="0"/>
              <w:ind w:left="113" w:right="-57" w:hanging="113"/>
              <w:rPr>
                <w:color w:val="000000"/>
              </w:rPr>
            </w:pPr>
            <w:r>
              <w:rPr>
                <w:color w:val="000000"/>
              </w:rPr>
              <w:t>Guaranteed by other banks</w:t>
            </w:r>
          </w:p>
        </w:tc>
        <w:tc>
          <w:tcPr>
            <w:tcW w:w="1452" w:type="dxa"/>
            <w:vAlign w:val="bottom"/>
          </w:tcPr>
          <w:p w14:paraId="6D463EB4" w14:textId="77777777" w:rsidR="00D83E33" w:rsidRDefault="00D83E33">
            <w:pPr>
              <w:widowControl w:val="0"/>
              <w:jc w:val="right"/>
              <w:rPr>
                <w:color w:val="000000"/>
              </w:rPr>
            </w:pPr>
          </w:p>
        </w:tc>
        <w:tc>
          <w:tcPr>
            <w:tcW w:w="1452" w:type="dxa"/>
            <w:vAlign w:val="bottom"/>
          </w:tcPr>
          <w:p w14:paraId="3AE06C56" w14:textId="77777777" w:rsidR="00D83E33" w:rsidRDefault="00D83E33">
            <w:pPr>
              <w:widowControl w:val="0"/>
              <w:jc w:val="right"/>
              <w:rPr>
                <w:color w:val="000000"/>
              </w:rPr>
            </w:pPr>
          </w:p>
        </w:tc>
        <w:tc>
          <w:tcPr>
            <w:tcW w:w="1451" w:type="dxa"/>
            <w:vAlign w:val="bottom"/>
          </w:tcPr>
          <w:p w14:paraId="4EA8FD47" w14:textId="77777777" w:rsidR="00D83E33" w:rsidRDefault="00D83E33">
            <w:pPr>
              <w:widowControl w:val="0"/>
              <w:jc w:val="right"/>
              <w:rPr>
                <w:color w:val="000000"/>
              </w:rPr>
            </w:pPr>
          </w:p>
        </w:tc>
      </w:tr>
      <w:tr w:rsidR="00D83E33" w14:paraId="35277419" w14:textId="77777777">
        <w:tc>
          <w:tcPr>
            <w:tcW w:w="5226" w:type="dxa"/>
            <w:vAlign w:val="bottom"/>
          </w:tcPr>
          <w:p w14:paraId="3776C93D" w14:textId="77777777" w:rsidR="00D83E33" w:rsidRDefault="00BC4072">
            <w:pPr>
              <w:widowControl w:val="0"/>
              <w:ind w:left="113" w:right="-57" w:hanging="113"/>
              <w:rPr>
                <w:color w:val="000000"/>
              </w:rPr>
            </w:pPr>
            <w:r>
              <w:rPr>
                <w:color w:val="000000"/>
              </w:rPr>
              <w:t>Guaranteed by other parties, including credit insurance</w:t>
            </w:r>
          </w:p>
        </w:tc>
        <w:tc>
          <w:tcPr>
            <w:tcW w:w="1452" w:type="dxa"/>
            <w:vAlign w:val="bottom"/>
          </w:tcPr>
          <w:p w14:paraId="63130C5D" w14:textId="77777777" w:rsidR="00D83E33" w:rsidRDefault="00D83E33">
            <w:pPr>
              <w:widowControl w:val="0"/>
              <w:jc w:val="right"/>
              <w:rPr>
                <w:color w:val="000000"/>
              </w:rPr>
            </w:pPr>
          </w:p>
        </w:tc>
        <w:tc>
          <w:tcPr>
            <w:tcW w:w="1452" w:type="dxa"/>
            <w:vAlign w:val="bottom"/>
          </w:tcPr>
          <w:p w14:paraId="6CCE3881" w14:textId="77777777" w:rsidR="00D83E33" w:rsidRDefault="00D83E33">
            <w:pPr>
              <w:widowControl w:val="0"/>
              <w:jc w:val="right"/>
              <w:rPr>
                <w:color w:val="000000"/>
              </w:rPr>
            </w:pPr>
          </w:p>
        </w:tc>
        <w:tc>
          <w:tcPr>
            <w:tcW w:w="1451" w:type="dxa"/>
            <w:vAlign w:val="bottom"/>
          </w:tcPr>
          <w:p w14:paraId="3E5A9C35" w14:textId="77777777" w:rsidR="00D83E33" w:rsidRDefault="00D83E33">
            <w:pPr>
              <w:widowControl w:val="0"/>
              <w:jc w:val="right"/>
              <w:rPr>
                <w:color w:val="000000"/>
              </w:rPr>
            </w:pPr>
          </w:p>
        </w:tc>
      </w:tr>
      <w:tr w:rsidR="00D83E33" w14:paraId="48B0620A" w14:textId="77777777">
        <w:tc>
          <w:tcPr>
            <w:tcW w:w="5226" w:type="dxa"/>
            <w:vAlign w:val="bottom"/>
          </w:tcPr>
          <w:p w14:paraId="459DAA90" w14:textId="77777777" w:rsidR="00D83E33" w:rsidRDefault="00BC4072">
            <w:pPr>
              <w:widowControl w:val="0"/>
              <w:ind w:left="113" w:right="-57" w:hanging="113"/>
              <w:rPr>
                <w:color w:val="000000"/>
              </w:rPr>
            </w:pPr>
            <w:r>
              <w:rPr>
                <w:color w:val="000000"/>
              </w:rPr>
              <w:t>Residential real estate</w:t>
            </w:r>
          </w:p>
        </w:tc>
        <w:tc>
          <w:tcPr>
            <w:tcW w:w="1452" w:type="dxa"/>
            <w:vAlign w:val="bottom"/>
          </w:tcPr>
          <w:p w14:paraId="4CA53B17" w14:textId="77777777" w:rsidR="00D83E33" w:rsidRDefault="00D83E33">
            <w:pPr>
              <w:widowControl w:val="0"/>
              <w:jc w:val="right"/>
              <w:rPr>
                <w:color w:val="000000"/>
              </w:rPr>
            </w:pPr>
          </w:p>
        </w:tc>
        <w:tc>
          <w:tcPr>
            <w:tcW w:w="1452" w:type="dxa"/>
            <w:vAlign w:val="bottom"/>
          </w:tcPr>
          <w:p w14:paraId="79D8C6F4" w14:textId="77777777" w:rsidR="00D83E33" w:rsidRDefault="00D83E33">
            <w:pPr>
              <w:widowControl w:val="0"/>
              <w:jc w:val="right"/>
              <w:rPr>
                <w:color w:val="000000"/>
              </w:rPr>
            </w:pPr>
          </w:p>
        </w:tc>
        <w:tc>
          <w:tcPr>
            <w:tcW w:w="1451" w:type="dxa"/>
            <w:vAlign w:val="bottom"/>
          </w:tcPr>
          <w:p w14:paraId="0C558A89" w14:textId="77777777" w:rsidR="00D83E33" w:rsidRDefault="00D83E33">
            <w:pPr>
              <w:widowControl w:val="0"/>
              <w:jc w:val="right"/>
              <w:rPr>
                <w:color w:val="000000"/>
              </w:rPr>
            </w:pPr>
          </w:p>
        </w:tc>
      </w:tr>
      <w:tr w:rsidR="00D83E33" w14:paraId="267F4658" w14:textId="77777777">
        <w:tc>
          <w:tcPr>
            <w:tcW w:w="5226" w:type="dxa"/>
            <w:vAlign w:val="bottom"/>
          </w:tcPr>
          <w:p w14:paraId="31AE0348" w14:textId="77777777" w:rsidR="00D83E33" w:rsidRDefault="00BC4072">
            <w:pPr>
              <w:widowControl w:val="0"/>
              <w:ind w:left="113" w:right="-57" w:hanging="113"/>
              <w:rPr>
                <w:color w:val="000000"/>
              </w:rPr>
            </w:pPr>
            <w:r>
              <w:rPr>
                <w:color w:val="000000"/>
              </w:rPr>
              <w:t>Other real estate</w:t>
            </w:r>
          </w:p>
        </w:tc>
        <w:tc>
          <w:tcPr>
            <w:tcW w:w="1452" w:type="dxa"/>
            <w:vAlign w:val="bottom"/>
          </w:tcPr>
          <w:p w14:paraId="7BC0BF56" w14:textId="77777777" w:rsidR="00D83E33" w:rsidRDefault="00D83E33">
            <w:pPr>
              <w:widowControl w:val="0"/>
              <w:jc w:val="right"/>
              <w:rPr>
                <w:color w:val="000000"/>
              </w:rPr>
            </w:pPr>
          </w:p>
        </w:tc>
        <w:tc>
          <w:tcPr>
            <w:tcW w:w="1452" w:type="dxa"/>
            <w:vAlign w:val="bottom"/>
          </w:tcPr>
          <w:p w14:paraId="2C7952CF" w14:textId="77777777" w:rsidR="00D83E33" w:rsidRDefault="00D83E33">
            <w:pPr>
              <w:widowControl w:val="0"/>
              <w:jc w:val="right"/>
              <w:rPr>
                <w:color w:val="000000"/>
              </w:rPr>
            </w:pPr>
          </w:p>
        </w:tc>
        <w:tc>
          <w:tcPr>
            <w:tcW w:w="1451" w:type="dxa"/>
            <w:vAlign w:val="bottom"/>
          </w:tcPr>
          <w:p w14:paraId="456A9FBF" w14:textId="77777777" w:rsidR="00D83E33" w:rsidRDefault="00D83E33">
            <w:pPr>
              <w:widowControl w:val="0"/>
              <w:jc w:val="right"/>
              <w:rPr>
                <w:color w:val="000000"/>
              </w:rPr>
            </w:pPr>
          </w:p>
        </w:tc>
      </w:tr>
      <w:tr w:rsidR="00D83E33" w14:paraId="48BA9712" w14:textId="77777777">
        <w:tc>
          <w:tcPr>
            <w:tcW w:w="5226" w:type="dxa"/>
            <w:vAlign w:val="bottom"/>
          </w:tcPr>
          <w:p w14:paraId="7BBA5D48" w14:textId="77777777" w:rsidR="00D83E33" w:rsidRDefault="00BC4072">
            <w:pPr>
              <w:widowControl w:val="0"/>
              <w:ind w:left="113" w:right="-57" w:hanging="113"/>
              <w:rPr>
                <w:color w:val="000000"/>
              </w:rPr>
            </w:pPr>
            <w:r>
              <w:rPr>
                <w:color w:val="000000"/>
              </w:rPr>
              <w:t>Tradable securities</w:t>
            </w:r>
          </w:p>
        </w:tc>
        <w:tc>
          <w:tcPr>
            <w:tcW w:w="1452" w:type="dxa"/>
            <w:vAlign w:val="bottom"/>
          </w:tcPr>
          <w:p w14:paraId="37997FA7" w14:textId="77777777" w:rsidR="00D83E33" w:rsidRDefault="00D83E33">
            <w:pPr>
              <w:widowControl w:val="0"/>
              <w:jc w:val="right"/>
              <w:rPr>
                <w:color w:val="000000"/>
              </w:rPr>
            </w:pPr>
          </w:p>
        </w:tc>
        <w:tc>
          <w:tcPr>
            <w:tcW w:w="1452" w:type="dxa"/>
            <w:vAlign w:val="bottom"/>
          </w:tcPr>
          <w:p w14:paraId="16C3041C" w14:textId="77777777" w:rsidR="00D83E33" w:rsidRDefault="00D83E33">
            <w:pPr>
              <w:widowControl w:val="0"/>
              <w:jc w:val="right"/>
              <w:rPr>
                <w:color w:val="000000"/>
              </w:rPr>
            </w:pPr>
          </w:p>
        </w:tc>
        <w:tc>
          <w:tcPr>
            <w:tcW w:w="1451" w:type="dxa"/>
            <w:vAlign w:val="bottom"/>
          </w:tcPr>
          <w:p w14:paraId="528162DD" w14:textId="77777777" w:rsidR="00D83E33" w:rsidRDefault="00D83E33">
            <w:pPr>
              <w:widowControl w:val="0"/>
              <w:jc w:val="right"/>
              <w:rPr>
                <w:color w:val="000000"/>
              </w:rPr>
            </w:pPr>
          </w:p>
        </w:tc>
      </w:tr>
      <w:tr w:rsidR="00D83E33" w14:paraId="5181FC74" w14:textId="77777777">
        <w:tc>
          <w:tcPr>
            <w:tcW w:w="5226" w:type="dxa"/>
            <w:vAlign w:val="bottom"/>
          </w:tcPr>
          <w:p w14:paraId="39425EC3" w14:textId="77777777" w:rsidR="00D83E33" w:rsidRDefault="00BC4072">
            <w:pPr>
              <w:widowControl w:val="0"/>
              <w:ind w:left="113" w:right="-57" w:hanging="113"/>
              <w:rPr>
                <w:color w:val="000000"/>
              </w:rPr>
            </w:pPr>
            <w:r>
              <w:rPr>
                <w:color w:val="000000"/>
              </w:rPr>
              <w:t>Cash deposits</w:t>
            </w:r>
          </w:p>
        </w:tc>
        <w:tc>
          <w:tcPr>
            <w:tcW w:w="1452" w:type="dxa"/>
            <w:vAlign w:val="bottom"/>
          </w:tcPr>
          <w:p w14:paraId="423A34C8" w14:textId="77777777" w:rsidR="00D83E33" w:rsidRDefault="00D83E33">
            <w:pPr>
              <w:widowControl w:val="0"/>
              <w:jc w:val="right"/>
              <w:rPr>
                <w:color w:val="000000"/>
              </w:rPr>
            </w:pPr>
          </w:p>
        </w:tc>
        <w:tc>
          <w:tcPr>
            <w:tcW w:w="1452" w:type="dxa"/>
            <w:vAlign w:val="bottom"/>
          </w:tcPr>
          <w:p w14:paraId="4E07C39B" w14:textId="77777777" w:rsidR="00D83E33" w:rsidRDefault="00D83E33">
            <w:pPr>
              <w:widowControl w:val="0"/>
              <w:jc w:val="right"/>
              <w:rPr>
                <w:color w:val="000000"/>
              </w:rPr>
            </w:pPr>
          </w:p>
        </w:tc>
        <w:tc>
          <w:tcPr>
            <w:tcW w:w="1451" w:type="dxa"/>
            <w:vAlign w:val="bottom"/>
          </w:tcPr>
          <w:p w14:paraId="1AE8012E" w14:textId="77777777" w:rsidR="00D83E33" w:rsidRDefault="00D83E33">
            <w:pPr>
              <w:widowControl w:val="0"/>
              <w:jc w:val="right"/>
              <w:rPr>
                <w:color w:val="000000"/>
              </w:rPr>
            </w:pPr>
          </w:p>
        </w:tc>
      </w:tr>
      <w:tr w:rsidR="00D83E33" w14:paraId="0B8D04AB" w14:textId="77777777">
        <w:tc>
          <w:tcPr>
            <w:tcW w:w="5226" w:type="dxa"/>
            <w:vAlign w:val="bottom"/>
          </w:tcPr>
          <w:p w14:paraId="02BED792" w14:textId="77777777" w:rsidR="00D83E33" w:rsidRDefault="00BC4072">
            <w:pPr>
              <w:widowControl w:val="0"/>
              <w:ind w:left="113" w:right="-57" w:hanging="113"/>
              <w:rPr>
                <w:color w:val="000000"/>
              </w:rPr>
            </w:pPr>
            <w:r>
              <w:rPr>
                <w:color w:val="000000"/>
              </w:rPr>
              <w:t>Cars or other equipment</w:t>
            </w:r>
          </w:p>
        </w:tc>
        <w:tc>
          <w:tcPr>
            <w:tcW w:w="1452" w:type="dxa"/>
            <w:vAlign w:val="bottom"/>
          </w:tcPr>
          <w:p w14:paraId="6E609EF4" w14:textId="77777777" w:rsidR="00D83E33" w:rsidRDefault="00D83E33">
            <w:pPr>
              <w:widowControl w:val="0"/>
              <w:jc w:val="right"/>
              <w:rPr>
                <w:color w:val="000000"/>
              </w:rPr>
            </w:pPr>
          </w:p>
        </w:tc>
        <w:tc>
          <w:tcPr>
            <w:tcW w:w="1452" w:type="dxa"/>
            <w:vAlign w:val="bottom"/>
          </w:tcPr>
          <w:p w14:paraId="0BBEE936" w14:textId="77777777" w:rsidR="00D83E33" w:rsidRDefault="00D83E33">
            <w:pPr>
              <w:widowControl w:val="0"/>
              <w:jc w:val="right"/>
              <w:rPr>
                <w:color w:val="000000"/>
              </w:rPr>
            </w:pPr>
          </w:p>
        </w:tc>
        <w:tc>
          <w:tcPr>
            <w:tcW w:w="1451" w:type="dxa"/>
            <w:vAlign w:val="bottom"/>
          </w:tcPr>
          <w:p w14:paraId="36057CAF" w14:textId="77777777" w:rsidR="00D83E33" w:rsidRDefault="00D83E33">
            <w:pPr>
              <w:widowControl w:val="0"/>
              <w:jc w:val="right"/>
              <w:rPr>
                <w:color w:val="000000"/>
              </w:rPr>
            </w:pPr>
          </w:p>
        </w:tc>
      </w:tr>
      <w:tr w:rsidR="00D83E33" w14:paraId="7F849489" w14:textId="77777777">
        <w:tc>
          <w:tcPr>
            <w:tcW w:w="5226" w:type="dxa"/>
            <w:tcBorders>
              <w:bottom w:val="single" w:sz="6" w:space="0" w:color="000000"/>
            </w:tcBorders>
            <w:vAlign w:val="bottom"/>
          </w:tcPr>
          <w:p w14:paraId="3BF8C559" w14:textId="77777777" w:rsidR="00D83E33" w:rsidRDefault="00D83E33">
            <w:pPr>
              <w:widowControl w:val="0"/>
              <w:ind w:left="113" w:right="-57" w:hanging="113"/>
              <w:rPr>
                <w:color w:val="000000"/>
              </w:rPr>
            </w:pPr>
          </w:p>
        </w:tc>
        <w:tc>
          <w:tcPr>
            <w:tcW w:w="1452" w:type="dxa"/>
            <w:tcBorders>
              <w:bottom w:val="single" w:sz="6" w:space="0" w:color="000000"/>
            </w:tcBorders>
            <w:vAlign w:val="bottom"/>
          </w:tcPr>
          <w:p w14:paraId="51B7CE22" w14:textId="77777777" w:rsidR="00D83E33" w:rsidRDefault="00D83E33">
            <w:pPr>
              <w:widowControl w:val="0"/>
              <w:jc w:val="right"/>
              <w:rPr>
                <w:color w:val="000000"/>
              </w:rPr>
            </w:pPr>
          </w:p>
        </w:tc>
        <w:tc>
          <w:tcPr>
            <w:tcW w:w="1452" w:type="dxa"/>
            <w:tcBorders>
              <w:bottom w:val="single" w:sz="6" w:space="0" w:color="000000"/>
            </w:tcBorders>
            <w:vAlign w:val="bottom"/>
          </w:tcPr>
          <w:p w14:paraId="136BD049" w14:textId="77777777" w:rsidR="00D83E33" w:rsidRDefault="00D83E33">
            <w:pPr>
              <w:widowControl w:val="0"/>
              <w:jc w:val="right"/>
              <w:rPr>
                <w:color w:val="000000"/>
              </w:rPr>
            </w:pPr>
          </w:p>
        </w:tc>
        <w:tc>
          <w:tcPr>
            <w:tcW w:w="1451" w:type="dxa"/>
            <w:tcBorders>
              <w:bottom w:val="single" w:sz="6" w:space="0" w:color="000000"/>
            </w:tcBorders>
            <w:vAlign w:val="bottom"/>
          </w:tcPr>
          <w:p w14:paraId="2A224382" w14:textId="77777777" w:rsidR="00D83E33" w:rsidRDefault="00D83E33">
            <w:pPr>
              <w:widowControl w:val="0"/>
              <w:jc w:val="right"/>
              <w:rPr>
                <w:color w:val="000000"/>
              </w:rPr>
            </w:pPr>
          </w:p>
        </w:tc>
      </w:tr>
      <w:tr w:rsidR="00D83E33" w14:paraId="50ABAC1F" w14:textId="77777777">
        <w:tc>
          <w:tcPr>
            <w:tcW w:w="5226" w:type="dxa"/>
            <w:tcBorders>
              <w:top w:val="single" w:sz="6" w:space="0" w:color="000000"/>
            </w:tcBorders>
            <w:vAlign w:val="bottom"/>
          </w:tcPr>
          <w:p w14:paraId="1C434275" w14:textId="77777777" w:rsidR="00D83E33" w:rsidRDefault="00D83E33">
            <w:pPr>
              <w:widowControl w:val="0"/>
              <w:ind w:left="113" w:right="-57" w:hanging="113"/>
              <w:rPr>
                <w:color w:val="000000"/>
              </w:rPr>
            </w:pPr>
          </w:p>
        </w:tc>
        <w:tc>
          <w:tcPr>
            <w:tcW w:w="1452" w:type="dxa"/>
            <w:tcBorders>
              <w:top w:val="single" w:sz="6" w:space="0" w:color="000000"/>
            </w:tcBorders>
            <w:vAlign w:val="bottom"/>
          </w:tcPr>
          <w:p w14:paraId="5B59518D" w14:textId="77777777" w:rsidR="00D83E33" w:rsidRDefault="00D83E33">
            <w:pPr>
              <w:widowControl w:val="0"/>
              <w:jc w:val="right"/>
              <w:rPr>
                <w:color w:val="000000"/>
              </w:rPr>
            </w:pPr>
          </w:p>
        </w:tc>
        <w:tc>
          <w:tcPr>
            <w:tcW w:w="1452" w:type="dxa"/>
            <w:tcBorders>
              <w:top w:val="single" w:sz="6" w:space="0" w:color="000000"/>
            </w:tcBorders>
            <w:vAlign w:val="bottom"/>
          </w:tcPr>
          <w:p w14:paraId="0C9A8044" w14:textId="77777777" w:rsidR="00D83E33" w:rsidRDefault="00D83E33">
            <w:pPr>
              <w:widowControl w:val="0"/>
              <w:jc w:val="right"/>
              <w:rPr>
                <w:color w:val="000000"/>
              </w:rPr>
            </w:pPr>
          </w:p>
        </w:tc>
        <w:tc>
          <w:tcPr>
            <w:tcW w:w="1451" w:type="dxa"/>
            <w:tcBorders>
              <w:top w:val="single" w:sz="6" w:space="0" w:color="000000"/>
            </w:tcBorders>
            <w:vAlign w:val="bottom"/>
          </w:tcPr>
          <w:p w14:paraId="1E3775B7" w14:textId="77777777" w:rsidR="00D83E33" w:rsidRDefault="00D83E33">
            <w:pPr>
              <w:widowControl w:val="0"/>
              <w:jc w:val="right"/>
              <w:rPr>
                <w:color w:val="000000"/>
              </w:rPr>
            </w:pPr>
          </w:p>
        </w:tc>
      </w:tr>
      <w:tr w:rsidR="00D83E33" w14:paraId="5581B4C0" w14:textId="77777777">
        <w:tc>
          <w:tcPr>
            <w:tcW w:w="5226" w:type="dxa"/>
            <w:vAlign w:val="bottom"/>
          </w:tcPr>
          <w:p w14:paraId="64F6F567" w14:textId="77777777" w:rsidR="00D83E33" w:rsidRDefault="00BC4072">
            <w:pPr>
              <w:widowControl w:val="0"/>
              <w:ind w:left="113" w:right="-57" w:hanging="113"/>
              <w:rPr>
                <w:color w:val="000000"/>
              </w:rPr>
            </w:pPr>
            <w:r>
              <w:rPr>
                <w:color w:val="000000"/>
              </w:rPr>
              <w:t xml:space="preserve">Total </w:t>
            </w:r>
          </w:p>
        </w:tc>
        <w:tc>
          <w:tcPr>
            <w:tcW w:w="1452" w:type="dxa"/>
            <w:vAlign w:val="bottom"/>
          </w:tcPr>
          <w:p w14:paraId="71316FF1" w14:textId="77777777" w:rsidR="00D83E33" w:rsidRDefault="00D83E33">
            <w:pPr>
              <w:widowControl w:val="0"/>
              <w:jc w:val="right"/>
              <w:rPr>
                <w:color w:val="000000"/>
              </w:rPr>
            </w:pPr>
          </w:p>
        </w:tc>
        <w:tc>
          <w:tcPr>
            <w:tcW w:w="1452" w:type="dxa"/>
            <w:vAlign w:val="bottom"/>
          </w:tcPr>
          <w:p w14:paraId="10A0769A" w14:textId="77777777" w:rsidR="00D83E33" w:rsidRDefault="00D83E33">
            <w:pPr>
              <w:widowControl w:val="0"/>
              <w:jc w:val="right"/>
              <w:rPr>
                <w:color w:val="000000"/>
              </w:rPr>
            </w:pPr>
          </w:p>
        </w:tc>
        <w:tc>
          <w:tcPr>
            <w:tcW w:w="1451" w:type="dxa"/>
            <w:vAlign w:val="bottom"/>
          </w:tcPr>
          <w:p w14:paraId="76F2A3C5" w14:textId="77777777" w:rsidR="00D83E33" w:rsidRDefault="00D83E33">
            <w:pPr>
              <w:widowControl w:val="0"/>
              <w:jc w:val="right"/>
              <w:rPr>
                <w:color w:val="000000"/>
              </w:rPr>
            </w:pPr>
          </w:p>
        </w:tc>
      </w:tr>
      <w:tr w:rsidR="00D83E33" w14:paraId="39CD402D" w14:textId="77777777">
        <w:tc>
          <w:tcPr>
            <w:tcW w:w="5226" w:type="dxa"/>
            <w:tcBorders>
              <w:bottom w:val="single" w:sz="6" w:space="0" w:color="000000"/>
            </w:tcBorders>
            <w:vAlign w:val="bottom"/>
          </w:tcPr>
          <w:p w14:paraId="6C001113" w14:textId="77777777" w:rsidR="00D83E33" w:rsidRDefault="00D83E33">
            <w:pPr>
              <w:widowControl w:val="0"/>
              <w:ind w:left="113" w:right="-57" w:hanging="113"/>
              <w:rPr>
                <w:color w:val="000000"/>
              </w:rPr>
            </w:pPr>
          </w:p>
        </w:tc>
        <w:tc>
          <w:tcPr>
            <w:tcW w:w="1452" w:type="dxa"/>
            <w:tcBorders>
              <w:bottom w:val="single" w:sz="6" w:space="0" w:color="000000"/>
            </w:tcBorders>
            <w:vAlign w:val="bottom"/>
          </w:tcPr>
          <w:p w14:paraId="599BF23F" w14:textId="77777777" w:rsidR="00D83E33" w:rsidRDefault="00D83E33">
            <w:pPr>
              <w:widowControl w:val="0"/>
              <w:jc w:val="right"/>
              <w:rPr>
                <w:color w:val="000000"/>
              </w:rPr>
            </w:pPr>
          </w:p>
        </w:tc>
        <w:tc>
          <w:tcPr>
            <w:tcW w:w="1452" w:type="dxa"/>
            <w:tcBorders>
              <w:bottom w:val="single" w:sz="6" w:space="0" w:color="000000"/>
            </w:tcBorders>
            <w:vAlign w:val="bottom"/>
          </w:tcPr>
          <w:p w14:paraId="4EA94DE7" w14:textId="77777777" w:rsidR="00D83E33" w:rsidRDefault="00D83E33">
            <w:pPr>
              <w:widowControl w:val="0"/>
              <w:jc w:val="right"/>
              <w:rPr>
                <w:color w:val="000000"/>
              </w:rPr>
            </w:pPr>
          </w:p>
        </w:tc>
        <w:tc>
          <w:tcPr>
            <w:tcW w:w="1451" w:type="dxa"/>
            <w:tcBorders>
              <w:bottom w:val="single" w:sz="6" w:space="0" w:color="000000"/>
            </w:tcBorders>
            <w:vAlign w:val="bottom"/>
          </w:tcPr>
          <w:p w14:paraId="501E69CA" w14:textId="77777777" w:rsidR="00D83E33" w:rsidRDefault="00D83E33">
            <w:pPr>
              <w:widowControl w:val="0"/>
              <w:jc w:val="right"/>
              <w:rPr>
                <w:color w:val="000000"/>
              </w:rPr>
            </w:pPr>
          </w:p>
        </w:tc>
      </w:tr>
      <w:tr w:rsidR="00D83E33" w14:paraId="30A9DCD4" w14:textId="77777777">
        <w:tc>
          <w:tcPr>
            <w:tcW w:w="5226" w:type="dxa"/>
            <w:tcBorders>
              <w:top w:val="single" w:sz="6" w:space="0" w:color="000000"/>
            </w:tcBorders>
            <w:vAlign w:val="bottom"/>
          </w:tcPr>
          <w:p w14:paraId="1223D75E" w14:textId="77777777" w:rsidR="00D83E33" w:rsidRDefault="00D83E33">
            <w:pPr>
              <w:widowControl w:val="0"/>
              <w:ind w:left="113" w:right="-57" w:hanging="113"/>
              <w:rPr>
                <w:color w:val="000000"/>
              </w:rPr>
            </w:pPr>
          </w:p>
        </w:tc>
        <w:tc>
          <w:tcPr>
            <w:tcW w:w="1452" w:type="dxa"/>
            <w:tcBorders>
              <w:top w:val="single" w:sz="6" w:space="0" w:color="000000"/>
            </w:tcBorders>
            <w:vAlign w:val="bottom"/>
          </w:tcPr>
          <w:p w14:paraId="0409DC89" w14:textId="77777777" w:rsidR="00D83E33" w:rsidRDefault="00D83E33">
            <w:pPr>
              <w:widowControl w:val="0"/>
              <w:jc w:val="right"/>
              <w:rPr>
                <w:color w:val="000000"/>
              </w:rPr>
            </w:pPr>
          </w:p>
        </w:tc>
        <w:tc>
          <w:tcPr>
            <w:tcW w:w="1452" w:type="dxa"/>
            <w:tcBorders>
              <w:top w:val="single" w:sz="6" w:space="0" w:color="000000"/>
            </w:tcBorders>
            <w:vAlign w:val="bottom"/>
          </w:tcPr>
          <w:p w14:paraId="095E2DC5" w14:textId="77777777" w:rsidR="00D83E33" w:rsidRDefault="00D83E33">
            <w:pPr>
              <w:widowControl w:val="0"/>
              <w:jc w:val="right"/>
              <w:rPr>
                <w:color w:val="000000"/>
              </w:rPr>
            </w:pPr>
          </w:p>
        </w:tc>
        <w:tc>
          <w:tcPr>
            <w:tcW w:w="1451" w:type="dxa"/>
            <w:tcBorders>
              <w:top w:val="single" w:sz="6" w:space="0" w:color="000000"/>
            </w:tcBorders>
            <w:vAlign w:val="bottom"/>
          </w:tcPr>
          <w:p w14:paraId="7D0E824E" w14:textId="77777777" w:rsidR="00D83E33" w:rsidRDefault="00D83E33">
            <w:pPr>
              <w:widowControl w:val="0"/>
              <w:jc w:val="right"/>
              <w:rPr>
                <w:color w:val="000000"/>
              </w:rPr>
            </w:pPr>
          </w:p>
        </w:tc>
      </w:tr>
      <w:tr w:rsidR="00D83E33" w14:paraId="42266ED1" w14:textId="77777777">
        <w:tc>
          <w:tcPr>
            <w:tcW w:w="5226" w:type="dxa"/>
            <w:vAlign w:val="bottom"/>
          </w:tcPr>
          <w:p w14:paraId="7F897978" w14:textId="77777777" w:rsidR="00D83E33" w:rsidRDefault="00BC4072">
            <w:pPr>
              <w:widowControl w:val="0"/>
              <w:ind w:left="113" w:right="-57" w:hanging="113"/>
              <w:rPr>
                <w:color w:val="000000"/>
              </w:rPr>
            </w:pPr>
            <w:r>
              <w:rPr>
                <w:color w:val="000000"/>
              </w:rPr>
              <w:t>Unsecured exposures</w:t>
            </w:r>
          </w:p>
        </w:tc>
        <w:tc>
          <w:tcPr>
            <w:tcW w:w="1452" w:type="dxa"/>
            <w:vAlign w:val="bottom"/>
          </w:tcPr>
          <w:p w14:paraId="5805E33C" w14:textId="77777777" w:rsidR="00D83E33" w:rsidRDefault="00D83E33">
            <w:pPr>
              <w:widowControl w:val="0"/>
              <w:jc w:val="right"/>
              <w:rPr>
                <w:color w:val="000000"/>
              </w:rPr>
            </w:pPr>
          </w:p>
        </w:tc>
        <w:tc>
          <w:tcPr>
            <w:tcW w:w="1452" w:type="dxa"/>
            <w:vAlign w:val="bottom"/>
          </w:tcPr>
          <w:p w14:paraId="74EB4B56" w14:textId="77777777" w:rsidR="00D83E33" w:rsidRDefault="00D83E33">
            <w:pPr>
              <w:widowControl w:val="0"/>
              <w:jc w:val="right"/>
              <w:rPr>
                <w:color w:val="000000"/>
              </w:rPr>
            </w:pPr>
          </w:p>
        </w:tc>
        <w:tc>
          <w:tcPr>
            <w:tcW w:w="1451" w:type="dxa"/>
            <w:vAlign w:val="bottom"/>
          </w:tcPr>
          <w:p w14:paraId="01B61A95" w14:textId="77777777" w:rsidR="00D83E33" w:rsidRDefault="00D83E33">
            <w:pPr>
              <w:widowControl w:val="0"/>
              <w:jc w:val="right"/>
              <w:rPr>
                <w:color w:val="000000"/>
              </w:rPr>
            </w:pPr>
          </w:p>
        </w:tc>
      </w:tr>
      <w:tr w:rsidR="00D83E33" w14:paraId="19A0E93A" w14:textId="77777777">
        <w:tc>
          <w:tcPr>
            <w:tcW w:w="5226" w:type="dxa"/>
            <w:tcBorders>
              <w:bottom w:val="single" w:sz="6" w:space="0" w:color="000000"/>
            </w:tcBorders>
            <w:vAlign w:val="bottom"/>
          </w:tcPr>
          <w:p w14:paraId="5776139B" w14:textId="77777777" w:rsidR="00D83E33" w:rsidRDefault="00D83E33">
            <w:pPr>
              <w:widowControl w:val="0"/>
              <w:ind w:left="113" w:right="-57" w:hanging="113"/>
              <w:rPr>
                <w:color w:val="000000"/>
              </w:rPr>
            </w:pPr>
          </w:p>
        </w:tc>
        <w:tc>
          <w:tcPr>
            <w:tcW w:w="1452" w:type="dxa"/>
            <w:tcBorders>
              <w:bottom w:val="single" w:sz="6" w:space="0" w:color="000000"/>
            </w:tcBorders>
            <w:vAlign w:val="bottom"/>
          </w:tcPr>
          <w:p w14:paraId="67DAFD52" w14:textId="77777777" w:rsidR="00D83E33" w:rsidRDefault="00D83E33">
            <w:pPr>
              <w:widowControl w:val="0"/>
              <w:jc w:val="right"/>
              <w:rPr>
                <w:color w:val="000000"/>
              </w:rPr>
            </w:pPr>
          </w:p>
        </w:tc>
        <w:tc>
          <w:tcPr>
            <w:tcW w:w="1452" w:type="dxa"/>
            <w:tcBorders>
              <w:bottom w:val="single" w:sz="6" w:space="0" w:color="000000"/>
            </w:tcBorders>
            <w:vAlign w:val="bottom"/>
          </w:tcPr>
          <w:p w14:paraId="57350EBA" w14:textId="77777777" w:rsidR="00D83E33" w:rsidRDefault="00D83E33">
            <w:pPr>
              <w:widowControl w:val="0"/>
              <w:jc w:val="right"/>
              <w:rPr>
                <w:color w:val="000000"/>
              </w:rPr>
            </w:pPr>
          </w:p>
        </w:tc>
        <w:tc>
          <w:tcPr>
            <w:tcW w:w="1451" w:type="dxa"/>
            <w:tcBorders>
              <w:bottom w:val="single" w:sz="6" w:space="0" w:color="000000"/>
            </w:tcBorders>
            <w:vAlign w:val="bottom"/>
          </w:tcPr>
          <w:p w14:paraId="2982CA8A" w14:textId="77777777" w:rsidR="00D83E33" w:rsidRDefault="00D83E33">
            <w:pPr>
              <w:widowControl w:val="0"/>
              <w:jc w:val="right"/>
              <w:rPr>
                <w:color w:val="000000"/>
              </w:rPr>
            </w:pPr>
          </w:p>
        </w:tc>
      </w:tr>
      <w:tr w:rsidR="00D83E33" w14:paraId="2F66CF89" w14:textId="77777777">
        <w:tc>
          <w:tcPr>
            <w:tcW w:w="5226" w:type="dxa"/>
            <w:tcBorders>
              <w:top w:val="single" w:sz="6" w:space="0" w:color="000000"/>
            </w:tcBorders>
            <w:vAlign w:val="bottom"/>
          </w:tcPr>
          <w:p w14:paraId="4D20086C" w14:textId="77777777" w:rsidR="00D83E33" w:rsidRDefault="00D83E33">
            <w:pPr>
              <w:widowControl w:val="0"/>
              <w:ind w:left="113" w:right="-57" w:hanging="113"/>
              <w:rPr>
                <w:color w:val="000000"/>
              </w:rPr>
            </w:pPr>
          </w:p>
        </w:tc>
        <w:tc>
          <w:tcPr>
            <w:tcW w:w="1452" w:type="dxa"/>
            <w:tcBorders>
              <w:top w:val="single" w:sz="6" w:space="0" w:color="000000"/>
            </w:tcBorders>
            <w:vAlign w:val="bottom"/>
          </w:tcPr>
          <w:p w14:paraId="60EFF378" w14:textId="77777777" w:rsidR="00D83E33" w:rsidRDefault="00D83E33">
            <w:pPr>
              <w:widowControl w:val="0"/>
              <w:jc w:val="right"/>
              <w:rPr>
                <w:color w:val="000000"/>
              </w:rPr>
            </w:pPr>
          </w:p>
        </w:tc>
        <w:tc>
          <w:tcPr>
            <w:tcW w:w="1452" w:type="dxa"/>
            <w:tcBorders>
              <w:top w:val="single" w:sz="6" w:space="0" w:color="000000"/>
            </w:tcBorders>
            <w:vAlign w:val="bottom"/>
          </w:tcPr>
          <w:p w14:paraId="705C336F" w14:textId="77777777" w:rsidR="00D83E33" w:rsidRDefault="00D83E33">
            <w:pPr>
              <w:widowControl w:val="0"/>
              <w:jc w:val="right"/>
              <w:rPr>
                <w:color w:val="000000"/>
              </w:rPr>
            </w:pPr>
          </w:p>
        </w:tc>
        <w:tc>
          <w:tcPr>
            <w:tcW w:w="1451" w:type="dxa"/>
            <w:tcBorders>
              <w:top w:val="single" w:sz="6" w:space="0" w:color="000000"/>
            </w:tcBorders>
            <w:vAlign w:val="bottom"/>
          </w:tcPr>
          <w:p w14:paraId="1C2E184C" w14:textId="77777777" w:rsidR="00D83E33" w:rsidRDefault="00D83E33">
            <w:pPr>
              <w:widowControl w:val="0"/>
              <w:jc w:val="right"/>
              <w:rPr>
                <w:color w:val="000000"/>
              </w:rPr>
            </w:pPr>
          </w:p>
        </w:tc>
      </w:tr>
      <w:tr w:rsidR="00D83E33" w14:paraId="48FD258D" w14:textId="77777777">
        <w:tc>
          <w:tcPr>
            <w:tcW w:w="5226" w:type="dxa"/>
            <w:vAlign w:val="bottom"/>
          </w:tcPr>
          <w:p w14:paraId="16348FE4" w14:textId="77777777" w:rsidR="00D83E33" w:rsidRDefault="00BC4072">
            <w:pPr>
              <w:widowControl w:val="0"/>
              <w:ind w:left="113" w:right="-57" w:hanging="113"/>
              <w:rPr>
                <w:b/>
                <w:color w:val="000000"/>
              </w:rPr>
            </w:pPr>
            <w:r>
              <w:rPr>
                <w:b/>
                <w:color w:val="000000"/>
              </w:rPr>
              <w:t>Total carrying value at AC (amount representing exposure to credit risk for the respective class at AC)</w:t>
            </w:r>
          </w:p>
        </w:tc>
        <w:tc>
          <w:tcPr>
            <w:tcW w:w="1452" w:type="dxa"/>
            <w:vAlign w:val="bottom"/>
          </w:tcPr>
          <w:p w14:paraId="7980DE7D" w14:textId="77777777" w:rsidR="00D83E33" w:rsidRDefault="00D83E33">
            <w:pPr>
              <w:widowControl w:val="0"/>
              <w:jc w:val="right"/>
              <w:rPr>
                <w:b/>
                <w:color w:val="000000"/>
              </w:rPr>
            </w:pPr>
          </w:p>
        </w:tc>
        <w:tc>
          <w:tcPr>
            <w:tcW w:w="1452" w:type="dxa"/>
            <w:vAlign w:val="bottom"/>
          </w:tcPr>
          <w:p w14:paraId="5FE4583F" w14:textId="77777777" w:rsidR="00D83E33" w:rsidRDefault="00D83E33">
            <w:pPr>
              <w:widowControl w:val="0"/>
              <w:jc w:val="right"/>
              <w:rPr>
                <w:b/>
                <w:color w:val="000000"/>
              </w:rPr>
            </w:pPr>
          </w:p>
        </w:tc>
        <w:tc>
          <w:tcPr>
            <w:tcW w:w="1451" w:type="dxa"/>
            <w:vAlign w:val="bottom"/>
          </w:tcPr>
          <w:p w14:paraId="561A4606" w14:textId="77777777" w:rsidR="00D83E33" w:rsidRDefault="00D83E33">
            <w:pPr>
              <w:widowControl w:val="0"/>
              <w:jc w:val="right"/>
              <w:rPr>
                <w:b/>
                <w:color w:val="000000"/>
              </w:rPr>
            </w:pPr>
          </w:p>
        </w:tc>
      </w:tr>
      <w:tr w:rsidR="00D83E33" w14:paraId="74CDB334" w14:textId="77777777">
        <w:tc>
          <w:tcPr>
            <w:tcW w:w="5226" w:type="dxa"/>
            <w:tcBorders>
              <w:bottom w:val="single" w:sz="12" w:space="0" w:color="000000"/>
            </w:tcBorders>
            <w:vAlign w:val="bottom"/>
          </w:tcPr>
          <w:p w14:paraId="3296761A" w14:textId="77777777" w:rsidR="00D83E33" w:rsidRDefault="00D83E33">
            <w:pPr>
              <w:widowControl w:val="0"/>
              <w:ind w:left="113" w:right="-57" w:hanging="113"/>
              <w:rPr>
                <w:b/>
                <w:color w:val="000000"/>
                <w:sz w:val="16"/>
                <w:szCs w:val="16"/>
              </w:rPr>
            </w:pPr>
          </w:p>
        </w:tc>
        <w:tc>
          <w:tcPr>
            <w:tcW w:w="1452" w:type="dxa"/>
            <w:tcBorders>
              <w:bottom w:val="single" w:sz="12" w:space="0" w:color="000000"/>
            </w:tcBorders>
            <w:vAlign w:val="bottom"/>
          </w:tcPr>
          <w:p w14:paraId="513DA227" w14:textId="77777777" w:rsidR="00D83E33" w:rsidRDefault="00D83E33">
            <w:pPr>
              <w:widowControl w:val="0"/>
              <w:jc w:val="right"/>
              <w:rPr>
                <w:b/>
                <w:color w:val="000000"/>
                <w:sz w:val="16"/>
                <w:szCs w:val="16"/>
              </w:rPr>
            </w:pPr>
          </w:p>
        </w:tc>
        <w:tc>
          <w:tcPr>
            <w:tcW w:w="1452" w:type="dxa"/>
            <w:tcBorders>
              <w:bottom w:val="single" w:sz="12" w:space="0" w:color="000000"/>
            </w:tcBorders>
            <w:vAlign w:val="bottom"/>
          </w:tcPr>
          <w:p w14:paraId="4482A2C9" w14:textId="77777777" w:rsidR="00D83E33" w:rsidRDefault="00D83E33">
            <w:pPr>
              <w:widowControl w:val="0"/>
              <w:jc w:val="right"/>
              <w:rPr>
                <w:b/>
                <w:color w:val="000000"/>
                <w:sz w:val="16"/>
                <w:szCs w:val="16"/>
              </w:rPr>
            </w:pPr>
          </w:p>
        </w:tc>
        <w:tc>
          <w:tcPr>
            <w:tcW w:w="1451" w:type="dxa"/>
            <w:tcBorders>
              <w:bottom w:val="single" w:sz="12" w:space="0" w:color="000000"/>
            </w:tcBorders>
            <w:vAlign w:val="bottom"/>
          </w:tcPr>
          <w:p w14:paraId="62ABD315" w14:textId="77777777" w:rsidR="00D83E33" w:rsidRDefault="00D83E33">
            <w:pPr>
              <w:widowControl w:val="0"/>
              <w:jc w:val="right"/>
              <w:rPr>
                <w:b/>
                <w:color w:val="000000"/>
                <w:sz w:val="16"/>
                <w:szCs w:val="16"/>
              </w:rPr>
            </w:pPr>
          </w:p>
        </w:tc>
      </w:tr>
    </w:tbl>
    <w:p w14:paraId="257D2A82" w14:textId="0FE5C255" w:rsidR="00D83E33" w:rsidRDefault="00BC4072" w:rsidP="001B330E">
      <w:pPr>
        <w:pStyle w:val="Continued"/>
      </w:pPr>
      <w:r>
        <w:lastRenderedPageBreak/>
        <w:t>15</w:t>
      </w:r>
      <w:r>
        <w:tab/>
        <w:t>Other Financial Assets (Continued)</w:t>
      </w:r>
    </w:p>
    <w:p w14:paraId="4DD47E6A" w14:textId="264E68A3"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extent to which collateral and other credit enhancements mitigate credit risk for assets that are credit impaired, is presented by disclosing collateral values separately for (i) those assets where collateral and other credit enhancements are equal to or exceed carrying value of the asset (“over-collateralised assets”) and (ii) those assets where collateral and other credit enhancements are less than the carrying value of the asset (“under-collateralised assets”). The effect of collateral on credit impaired assets at 31</w:t>
      </w:r>
      <w:r w:rsidR="00181687">
        <w:rPr>
          <w:color w:val="000000"/>
          <w:sz w:val="20"/>
          <w:szCs w:val="20"/>
        </w:rPr>
        <w:t> December </w:t>
      </w:r>
      <w:r w:rsidR="00541EBC">
        <w:rPr>
          <w:color w:val="000000"/>
          <w:sz w:val="20"/>
          <w:szCs w:val="20"/>
        </w:rPr>
        <w:t>2024</w:t>
      </w:r>
      <w:r>
        <w:rPr>
          <w:color w:val="000000"/>
          <w:sz w:val="20"/>
          <w:szCs w:val="20"/>
        </w:rPr>
        <w:t xml:space="preserve"> is as follows. </w:t>
      </w:r>
    </w:p>
    <w:tbl>
      <w:tblPr>
        <w:tblStyle w:val="affffffffff0"/>
        <w:tblW w:w="9467" w:type="dxa"/>
        <w:tblLayout w:type="fixed"/>
        <w:tblLook w:val="0000" w:firstRow="0" w:lastRow="0" w:firstColumn="0" w:lastColumn="0" w:noHBand="0" w:noVBand="0"/>
      </w:tblPr>
      <w:tblGrid>
        <w:gridCol w:w="4878"/>
        <w:gridCol w:w="1148"/>
        <w:gridCol w:w="1147"/>
        <w:gridCol w:w="1147"/>
        <w:gridCol w:w="1147"/>
      </w:tblGrid>
      <w:tr w:rsidR="00D83E33" w14:paraId="5A7DBD17" w14:textId="77777777">
        <w:tc>
          <w:tcPr>
            <w:tcW w:w="4878" w:type="dxa"/>
            <w:vAlign w:val="bottom"/>
          </w:tcPr>
          <w:p w14:paraId="6C028365" w14:textId="77777777" w:rsidR="00D83E33" w:rsidRDefault="00D83E33">
            <w:pPr>
              <w:widowControl w:val="0"/>
              <w:pBdr>
                <w:top w:val="nil"/>
                <w:left w:val="nil"/>
                <w:bottom w:val="nil"/>
                <w:right w:val="nil"/>
                <w:between w:val="nil"/>
              </w:pBdr>
              <w:ind w:left="86" w:hanging="86"/>
              <w:rPr>
                <w:b/>
                <w:i/>
                <w:color w:val="000000"/>
              </w:rPr>
            </w:pPr>
          </w:p>
        </w:tc>
        <w:tc>
          <w:tcPr>
            <w:tcW w:w="2295" w:type="dxa"/>
            <w:gridSpan w:val="2"/>
            <w:tcBorders>
              <w:bottom w:val="single" w:sz="4" w:space="0" w:color="000000"/>
            </w:tcBorders>
            <w:vAlign w:val="bottom"/>
          </w:tcPr>
          <w:p w14:paraId="3777A032" w14:textId="77777777" w:rsidR="00D83E33" w:rsidRDefault="00BC4072">
            <w:pPr>
              <w:widowControl w:val="0"/>
              <w:pBdr>
                <w:top w:val="nil"/>
                <w:left w:val="nil"/>
                <w:bottom w:val="nil"/>
                <w:right w:val="nil"/>
                <w:between w:val="nil"/>
              </w:pBdr>
              <w:ind w:left="57" w:right="57"/>
              <w:jc w:val="center"/>
              <w:rPr>
                <w:b/>
                <w:color w:val="000000"/>
              </w:rPr>
            </w:pPr>
            <w:r>
              <w:rPr>
                <w:b/>
                <w:color w:val="000000"/>
              </w:rPr>
              <w:t>Over-collateralised</w:t>
            </w:r>
          </w:p>
          <w:p w14:paraId="0349643A" w14:textId="77777777" w:rsidR="00D83E33" w:rsidRDefault="00BC4072">
            <w:pPr>
              <w:widowControl w:val="0"/>
              <w:pBdr>
                <w:top w:val="nil"/>
                <w:left w:val="nil"/>
                <w:bottom w:val="nil"/>
                <w:right w:val="nil"/>
                <w:between w:val="nil"/>
              </w:pBdr>
              <w:ind w:right="57"/>
              <w:jc w:val="center"/>
              <w:rPr>
                <w:b/>
                <w:color w:val="000000"/>
              </w:rPr>
            </w:pPr>
            <w:r>
              <w:rPr>
                <w:b/>
                <w:color w:val="000000"/>
              </w:rPr>
              <w:t>assets</w:t>
            </w:r>
          </w:p>
        </w:tc>
        <w:tc>
          <w:tcPr>
            <w:tcW w:w="2294" w:type="dxa"/>
            <w:gridSpan w:val="2"/>
            <w:tcBorders>
              <w:bottom w:val="single" w:sz="4" w:space="0" w:color="000000"/>
            </w:tcBorders>
          </w:tcPr>
          <w:p w14:paraId="3196B22E" w14:textId="77777777" w:rsidR="00D83E33" w:rsidRDefault="00BC4072">
            <w:pPr>
              <w:widowControl w:val="0"/>
              <w:pBdr>
                <w:top w:val="nil"/>
                <w:left w:val="nil"/>
                <w:bottom w:val="nil"/>
                <w:right w:val="nil"/>
                <w:between w:val="nil"/>
              </w:pBdr>
              <w:ind w:right="57"/>
              <w:jc w:val="center"/>
              <w:rPr>
                <w:b/>
                <w:color w:val="000000"/>
              </w:rPr>
            </w:pPr>
            <w:r>
              <w:rPr>
                <w:b/>
                <w:color w:val="000000"/>
              </w:rPr>
              <w:t>Under-collateralised</w:t>
            </w:r>
          </w:p>
          <w:p w14:paraId="7D3E4F86" w14:textId="77777777" w:rsidR="00D83E33" w:rsidRDefault="00BC4072">
            <w:pPr>
              <w:widowControl w:val="0"/>
              <w:pBdr>
                <w:top w:val="nil"/>
                <w:left w:val="nil"/>
                <w:bottom w:val="nil"/>
                <w:right w:val="nil"/>
                <w:between w:val="nil"/>
              </w:pBdr>
              <w:ind w:left="57" w:right="57"/>
              <w:jc w:val="center"/>
              <w:rPr>
                <w:b/>
                <w:color w:val="000000"/>
              </w:rPr>
            </w:pPr>
            <w:r>
              <w:rPr>
                <w:b/>
                <w:color w:val="000000"/>
              </w:rPr>
              <w:t>assets</w:t>
            </w:r>
          </w:p>
        </w:tc>
      </w:tr>
      <w:tr w:rsidR="00D83E33" w14:paraId="7C33E32A" w14:textId="77777777" w:rsidTr="001B330E">
        <w:tc>
          <w:tcPr>
            <w:tcW w:w="4878" w:type="dxa"/>
            <w:tcBorders>
              <w:bottom w:val="single" w:sz="4" w:space="0" w:color="000000"/>
            </w:tcBorders>
            <w:vAlign w:val="bottom"/>
          </w:tcPr>
          <w:p w14:paraId="24CC0D79" w14:textId="77777777" w:rsidR="00D83E33" w:rsidRDefault="00D83E33">
            <w:pPr>
              <w:widowControl w:val="0"/>
              <w:ind w:left="228" w:hanging="228"/>
              <w:rPr>
                <w:i/>
              </w:rPr>
            </w:pPr>
          </w:p>
          <w:p w14:paraId="432DA6EF" w14:textId="1C86D77A" w:rsidR="00D83E33" w:rsidRDefault="00313B4D">
            <w:pPr>
              <w:widowControl w:val="0"/>
              <w:ind w:left="228" w:hanging="228"/>
              <w:rPr>
                <w:i/>
              </w:rPr>
            </w:pPr>
            <w:r>
              <w:rPr>
                <w:i/>
              </w:rPr>
              <w:t xml:space="preserve">In thousands of </w:t>
            </w:r>
            <w:r w:rsidR="002649EE">
              <w:rPr>
                <w:i/>
              </w:rPr>
              <w:t>EUR</w:t>
            </w:r>
          </w:p>
        </w:tc>
        <w:tc>
          <w:tcPr>
            <w:tcW w:w="1148" w:type="dxa"/>
            <w:tcBorders>
              <w:top w:val="single" w:sz="4" w:space="0" w:color="000000"/>
              <w:bottom w:val="single" w:sz="4" w:space="0" w:color="000000"/>
            </w:tcBorders>
          </w:tcPr>
          <w:p w14:paraId="4969FFB5" w14:textId="169EBB68" w:rsidR="00D83E33" w:rsidRPr="001B330E" w:rsidRDefault="00BC4072" w:rsidP="001B330E">
            <w:pPr>
              <w:widowControl w:val="0"/>
              <w:pBdr>
                <w:top w:val="nil"/>
                <w:left w:val="nil"/>
                <w:bottom w:val="nil"/>
                <w:right w:val="nil"/>
                <w:between w:val="nil"/>
              </w:pBdr>
              <w:ind w:right="57"/>
              <w:jc w:val="right"/>
              <w:rPr>
                <w:b/>
                <w:bCs/>
                <w:color w:val="000000"/>
              </w:rPr>
            </w:pPr>
            <w:r w:rsidRPr="001B330E">
              <w:rPr>
                <w:b/>
                <w:bCs/>
                <w:color w:val="000000"/>
              </w:rPr>
              <w:t>Carrying value of the assets</w:t>
            </w:r>
          </w:p>
        </w:tc>
        <w:tc>
          <w:tcPr>
            <w:tcW w:w="1147" w:type="dxa"/>
            <w:tcBorders>
              <w:top w:val="single" w:sz="4" w:space="0" w:color="000000"/>
              <w:bottom w:val="single" w:sz="4" w:space="0" w:color="000000"/>
            </w:tcBorders>
          </w:tcPr>
          <w:p w14:paraId="02839747" w14:textId="77777777" w:rsidR="00D83E33" w:rsidRPr="001B330E" w:rsidRDefault="00BC4072" w:rsidP="001B330E">
            <w:pPr>
              <w:widowControl w:val="0"/>
              <w:pBdr>
                <w:top w:val="nil"/>
                <w:left w:val="nil"/>
                <w:bottom w:val="nil"/>
                <w:right w:val="nil"/>
                <w:between w:val="nil"/>
              </w:pBdr>
              <w:ind w:right="57"/>
              <w:jc w:val="right"/>
              <w:rPr>
                <w:b/>
                <w:bCs/>
                <w:color w:val="000000"/>
              </w:rPr>
            </w:pPr>
            <w:r w:rsidRPr="001B330E">
              <w:rPr>
                <w:b/>
                <w:bCs/>
                <w:color w:val="000000"/>
              </w:rPr>
              <w:t>Value of collateral</w:t>
            </w:r>
          </w:p>
        </w:tc>
        <w:tc>
          <w:tcPr>
            <w:tcW w:w="1147" w:type="dxa"/>
            <w:tcBorders>
              <w:top w:val="single" w:sz="4" w:space="0" w:color="000000"/>
              <w:bottom w:val="single" w:sz="4" w:space="0" w:color="000000"/>
            </w:tcBorders>
          </w:tcPr>
          <w:p w14:paraId="0D4F2E13" w14:textId="77777777" w:rsidR="00D83E33" w:rsidRPr="001B330E" w:rsidRDefault="00BC4072" w:rsidP="001B330E">
            <w:pPr>
              <w:widowControl w:val="0"/>
              <w:pBdr>
                <w:top w:val="nil"/>
                <w:left w:val="nil"/>
                <w:bottom w:val="nil"/>
                <w:right w:val="nil"/>
                <w:between w:val="nil"/>
              </w:pBdr>
              <w:ind w:right="57"/>
              <w:jc w:val="right"/>
              <w:rPr>
                <w:b/>
                <w:bCs/>
                <w:color w:val="000000"/>
              </w:rPr>
            </w:pPr>
            <w:r w:rsidRPr="001B330E">
              <w:rPr>
                <w:b/>
                <w:bCs/>
                <w:color w:val="000000"/>
              </w:rPr>
              <w:t>Carrying value of the assets</w:t>
            </w:r>
          </w:p>
        </w:tc>
        <w:tc>
          <w:tcPr>
            <w:tcW w:w="1147" w:type="dxa"/>
            <w:tcBorders>
              <w:top w:val="single" w:sz="4" w:space="0" w:color="000000"/>
              <w:bottom w:val="single" w:sz="4" w:space="0" w:color="000000"/>
            </w:tcBorders>
          </w:tcPr>
          <w:p w14:paraId="31A759FC" w14:textId="77777777" w:rsidR="00D83E33" w:rsidRPr="001B330E" w:rsidRDefault="00BC4072" w:rsidP="001B330E">
            <w:pPr>
              <w:widowControl w:val="0"/>
              <w:pBdr>
                <w:top w:val="nil"/>
                <w:left w:val="nil"/>
                <w:bottom w:val="nil"/>
                <w:right w:val="nil"/>
                <w:between w:val="nil"/>
              </w:pBdr>
              <w:ind w:right="57"/>
              <w:jc w:val="right"/>
              <w:rPr>
                <w:b/>
                <w:bCs/>
                <w:color w:val="000000"/>
              </w:rPr>
            </w:pPr>
            <w:r w:rsidRPr="001B330E">
              <w:rPr>
                <w:b/>
                <w:bCs/>
                <w:color w:val="000000"/>
              </w:rPr>
              <w:t>Value of collateral</w:t>
            </w:r>
          </w:p>
        </w:tc>
      </w:tr>
      <w:tr w:rsidR="00D83E33" w14:paraId="085E1AAF" w14:textId="77777777">
        <w:tc>
          <w:tcPr>
            <w:tcW w:w="4878" w:type="dxa"/>
            <w:tcBorders>
              <w:top w:val="single" w:sz="4" w:space="0" w:color="000000"/>
            </w:tcBorders>
          </w:tcPr>
          <w:p w14:paraId="6D9EAFEA" w14:textId="77777777" w:rsidR="00D83E33" w:rsidRDefault="00D83E33">
            <w:pPr>
              <w:widowControl w:val="0"/>
              <w:pBdr>
                <w:top w:val="nil"/>
                <w:left w:val="nil"/>
                <w:bottom w:val="nil"/>
                <w:right w:val="nil"/>
                <w:between w:val="nil"/>
              </w:pBdr>
              <w:ind w:left="85" w:hanging="85"/>
              <w:rPr>
                <w:color w:val="000000"/>
                <w:sz w:val="16"/>
                <w:szCs w:val="16"/>
              </w:rPr>
            </w:pPr>
          </w:p>
        </w:tc>
        <w:tc>
          <w:tcPr>
            <w:tcW w:w="1148" w:type="dxa"/>
            <w:tcBorders>
              <w:top w:val="single" w:sz="4" w:space="0" w:color="000000"/>
            </w:tcBorders>
            <w:vAlign w:val="bottom"/>
          </w:tcPr>
          <w:p w14:paraId="7BCF8A95"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Borders>
              <w:top w:val="single" w:sz="4" w:space="0" w:color="000000"/>
            </w:tcBorders>
            <w:vAlign w:val="bottom"/>
          </w:tcPr>
          <w:p w14:paraId="64046997"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Borders>
              <w:top w:val="single" w:sz="4" w:space="0" w:color="000000"/>
            </w:tcBorders>
          </w:tcPr>
          <w:p w14:paraId="1853C29D"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Borders>
              <w:top w:val="single" w:sz="4" w:space="0" w:color="000000"/>
            </w:tcBorders>
          </w:tcPr>
          <w:p w14:paraId="605DC512" w14:textId="77777777" w:rsidR="00D83E33" w:rsidRDefault="00D83E33">
            <w:pPr>
              <w:widowControl w:val="0"/>
              <w:pBdr>
                <w:top w:val="nil"/>
                <w:left w:val="nil"/>
                <w:bottom w:val="nil"/>
                <w:right w:val="nil"/>
                <w:between w:val="nil"/>
              </w:pBdr>
              <w:ind w:right="57"/>
              <w:rPr>
                <w:color w:val="000000"/>
                <w:sz w:val="16"/>
                <w:szCs w:val="16"/>
              </w:rPr>
            </w:pPr>
          </w:p>
        </w:tc>
      </w:tr>
      <w:tr w:rsidR="00D83E33" w14:paraId="355CB129" w14:textId="77777777">
        <w:tc>
          <w:tcPr>
            <w:tcW w:w="4878" w:type="dxa"/>
          </w:tcPr>
          <w:p w14:paraId="1D326891" w14:textId="77777777" w:rsidR="00D83E33" w:rsidRDefault="00BC4072">
            <w:pPr>
              <w:widowControl w:val="0"/>
              <w:pBdr>
                <w:top w:val="nil"/>
                <w:left w:val="nil"/>
                <w:bottom w:val="nil"/>
                <w:right w:val="nil"/>
                <w:between w:val="nil"/>
              </w:pBdr>
              <w:ind w:left="85" w:hanging="85"/>
              <w:rPr>
                <w:b/>
                <w:i/>
                <w:color w:val="000000"/>
              </w:rPr>
            </w:pPr>
            <w:r>
              <w:rPr>
                <w:b/>
                <w:i/>
                <w:color w:val="000000"/>
              </w:rPr>
              <w:t>Credit impaired assets:</w:t>
            </w:r>
          </w:p>
        </w:tc>
        <w:tc>
          <w:tcPr>
            <w:tcW w:w="1148" w:type="dxa"/>
            <w:vAlign w:val="bottom"/>
          </w:tcPr>
          <w:p w14:paraId="31E256F9" w14:textId="77777777" w:rsidR="00D83E33" w:rsidRDefault="00D83E33">
            <w:pPr>
              <w:widowControl w:val="0"/>
              <w:pBdr>
                <w:top w:val="nil"/>
                <w:left w:val="nil"/>
                <w:bottom w:val="nil"/>
                <w:right w:val="nil"/>
                <w:between w:val="nil"/>
              </w:pBdr>
              <w:ind w:right="57"/>
              <w:rPr>
                <w:color w:val="000000"/>
              </w:rPr>
            </w:pPr>
          </w:p>
        </w:tc>
        <w:tc>
          <w:tcPr>
            <w:tcW w:w="1147" w:type="dxa"/>
            <w:vAlign w:val="bottom"/>
          </w:tcPr>
          <w:p w14:paraId="532F4F32" w14:textId="77777777" w:rsidR="00D83E33" w:rsidRDefault="00D83E33">
            <w:pPr>
              <w:widowControl w:val="0"/>
              <w:pBdr>
                <w:top w:val="nil"/>
                <w:left w:val="nil"/>
                <w:bottom w:val="nil"/>
                <w:right w:val="nil"/>
                <w:between w:val="nil"/>
              </w:pBdr>
              <w:ind w:right="57"/>
              <w:rPr>
                <w:color w:val="000000"/>
              </w:rPr>
            </w:pPr>
          </w:p>
        </w:tc>
        <w:tc>
          <w:tcPr>
            <w:tcW w:w="1147" w:type="dxa"/>
          </w:tcPr>
          <w:p w14:paraId="58FE089B" w14:textId="77777777" w:rsidR="00D83E33" w:rsidRDefault="00D83E33">
            <w:pPr>
              <w:widowControl w:val="0"/>
              <w:pBdr>
                <w:top w:val="nil"/>
                <w:left w:val="nil"/>
                <w:bottom w:val="nil"/>
                <w:right w:val="nil"/>
                <w:between w:val="nil"/>
              </w:pBdr>
              <w:ind w:right="57"/>
              <w:rPr>
                <w:color w:val="000000"/>
              </w:rPr>
            </w:pPr>
          </w:p>
        </w:tc>
        <w:tc>
          <w:tcPr>
            <w:tcW w:w="1147" w:type="dxa"/>
          </w:tcPr>
          <w:p w14:paraId="249CFB2D" w14:textId="77777777" w:rsidR="00D83E33" w:rsidRDefault="00D83E33">
            <w:pPr>
              <w:widowControl w:val="0"/>
              <w:pBdr>
                <w:top w:val="nil"/>
                <w:left w:val="nil"/>
                <w:bottom w:val="nil"/>
                <w:right w:val="nil"/>
                <w:between w:val="nil"/>
              </w:pBdr>
              <w:ind w:right="57"/>
              <w:rPr>
                <w:color w:val="000000"/>
              </w:rPr>
            </w:pPr>
          </w:p>
        </w:tc>
      </w:tr>
      <w:tr w:rsidR="00D83E33" w14:paraId="25D7AE65" w14:textId="77777777">
        <w:tc>
          <w:tcPr>
            <w:tcW w:w="4878" w:type="dxa"/>
          </w:tcPr>
          <w:p w14:paraId="40053422" w14:textId="77777777" w:rsidR="00D83E33" w:rsidRDefault="00D83E33">
            <w:pPr>
              <w:widowControl w:val="0"/>
              <w:pBdr>
                <w:top w:val="nil"/>
                <w:left w:val="nil"/>
                <w:bottom w:val="nil"/>
                <w:right w:val="nil"/>
                <w:between w:val="nil"/>
              </w:pBdr>
              <w:ind w:left="85" w:hanging="85"/>
              <w:rPr>
                <w:color w:val="000000"/>
                <w:sz w:val="16"/>
                <w:szCs w:val="16"/>
              </w:rPr>
            </w:pPr>
          </w:p>
        </w:tc>
        <w:tc>
          <w:tcPr>
            <w:tcW w:w="1148" w:type="dxa"/>
            <w:vAlign w:val="bottom"/>
          </w:tcPr>
          <w:p w14:paraId="22ADC5B5" w14:textId="77777777" w:rsidR="00D83E33" w:rsidRDefault="00D83E33">
            <w:pPr>
              <w:widowControl w:val="0"/>
              <w:pBdr>
                <w:top w:val="nil"/>
                <w:left w:val="nil"/>
                <w:bottom w:val="nil"/>
                <w:right w:val="nil"/>
                <w:between w:val="nil"/>
              </w:pBdr>
              <w:ind w:right="57"/>
              <w:rPr>
                <w:color w:val="000000"/>
                <w:sz w:val="16"/>
                <w:szCs w:val="16"/>
              </w:rPr>
            </w:pPr>
          </w:p>
        </w:tc>
        <w:tc>
          <w:tcPr>
            <w:tcW w:w="1147" w:type="dxa"/>
            <w:vAlign w:val="bottom"/>
          </w:tcPr>
          <w:p w14:paraId="7F8683EC"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Pr>
          <w:p w14:paraId="667FE666"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Pr>
          <w:p w14:paraId="53B6C606" w14:textId="77777777" w:rsidR="00D83E33" w:rsidRDefault="00D83E33">
            <w:pPr>
              <w:widowControl w:val="0"/>
              <w:pBdr>
                <w:top w:val="nil"/>
                <w:left w:val="nil"/>
                <w:bottom w:val="nil"/>
                <w:right w:val="nil"/>
                <w:between w:val="nil"/>
              </w:pBdr>
              <w:ind w:right="57"/>
              <w:rPr>
                <w:color w:val="000000"/>
                <w:sz w:val="16"/>
                <w:szCs w:val="16"/>
              </w:rPr>
            </w:pPr>
          </w:p>
        </w:tc>
      </w:tr>
      <w:tr w:rsidR="00D83E33" w14:paraId="6747D781" w14:textId="77777777">
        <w:tc>
          <w:tcPr>
            <w:tcW w:w="4878" w:type="dxa"/>
            <w:vAlign w:val="bottom"/>
          </w:tcPr>
          <w:p w14:paraId="5E4A26D7" w14:textId="77777777" w:rsidR="00D83E33" w:rsidRDefault="00BC4072">
            <w:pPr>
              <w:widowControl w:val="0"/>
              <w:ind w:left="113" w:right="-57" w:hanging="113"/>
            </w:pPr>
            <w:r>
              <w:t>Finance lease receivables</w:t>
            </w:r>
          </w:p>
        </w:tc>
        <w:tc>
          <w:tcPr>
            <w:tcW w:w="1148" w:type="dxa"/>
            <w:vAlign w:val="bottom"/>
          </w:tcPr>
          <w:p w14:paraId="5DC0F140" w14:textId="77777777" w:rsidR="00D83E33" w:rsidRDefault="00D83E33">
            <w:pPr>
              <w:widowControl w:val="0"/>
              <w:pBdr>
                <w:top w:val="nil"/>
                <w:left w:val="nil"/>
                <w:bottom w:val="nil"/>
                <w:right w:val="nil"/>
                <w:between w:val="nil"/>
              </w:pBdr>
              <w:ind w:right="57"/>
              <w:rPr>
                <w:color w:val="000000"/>
              </w:rPr>
            </w:pPr>
          </w:p>
        </w:tc>
        <w:tc>
          <w:tcPr>
            <w:tcW w:w="1147" w:type="dxa"/>
            <w:vAlign w:val="bottom"/>
          </w:tcPr>
          <w:p w14:paraId="4DF41AB6" w14:textId="77777777" w:rsidR="00D83E33" w:rsidRDefault="00D83E33">
            <w:pPr>
              <w:widowControl w:val="0"/>
              <w:pBdr>
                <w:top w:val="nil"/>
                <w:left w:val="nil"/>
                <w:bottom w:val="nil"/>
                <w:right w:val="nil"/>
                <w:between w:val="nil"/>
              </w:pBdr>
              <w:ind w:right="57"/>
              <w:rPr>
                <w:color w:val="000000"/>
              </w:rPr>
            </w:pPr>
          </w:p>
        </w:tc>
        <w:tc>
          <w:tcPr>
            <w:tcW w:w="1147" w:type="dxa"/>
          </w:tcPr>
          <w:p w14:paraId="28B198A0" w14:textId="77777777" w:rsidR="00D83E33" w:rsidRDefault="00D83E33">
            <w:pPr>
              <w:widowControl w:val="0"/>
              <w:pBdr>
                <w:top w:val="nil"/>
                <w:left w:val="nil"/>
                <w:bottom w:val="nil"/>
                <w:right w:val="nil"/>
                <w:between w:val="nil"/>
              </w:pBdr>
              <w:ind w:right="57"/>
              <w:rPr>
                <w:color w:val="000000"/>
              </w:rPr>
            </w:pPr>
          </w:p>
        </w:tc>
        <w:tc>
          <w:tcPr>
            <w:tcW w:w="1147" w:type="dxa"/>
          </w:tcPr>
          <w:p w14:paraId="40390A2B" w14:textId="77777777" w:rsidR="00D83E33" w:rsidRDefault="00D83E33">
            <w:pPr>
              <w:widowControl w:val="0"/>
              <w:pBdr>
                <w:top w:val="nil"/>
                <w:left w:val="nil"/>
                <w:bottom w:val="nil"/>
                <w:right w:val="nil"/>
                <w:between w:val="nil"/>
              </w:pBdr>
              <w:ind w:right="57"/>
              <w:rPr>
                <w:color w:val="000000"/>
              </w:rPr>
            </w:pPr>
          </w:p>
        </w:tc>
      </w:tr>
      <w:tr w:rsidR="00D83E33" w14:paraId="3A572B84" w14:textId="77777777">
        <w:tc>
          <w:tcPr>
            <w:tcW w:w="4878" w:type="dxa"/>
            <w:vAlign w:val="bottom"/>
          </w:tcPr>
          <w:p w14:paraId="4A235F6E" w14:textId="77777777" w:rsidR="00D83E33" w:rsidRDefault="00BC4072">
            <w:pPr>
              <w:widowControl w:val="0"/>
              <w:ind w:left="113" w:right="-57" w:hanging="113"/>
            </w:pPr>
            <w:r>
              <w:t>Other receivables/assets</w:t>
            </w:r>
          </w:p>
        </w:tc>
        <w:tc>
          <w:tcPr>
            <w:tcW w:w="1148" w:type="dxa"/>
            <w:vAlign w:val="bottom"/>
          </w:tcPr>
          <w:p w14:paraId="4A10EA8F" w14:textId="77777777" w:rsidR="00D83E33" w:rsidRDefault="00D83E33">
            <w:pPr>
              <w:widowControl w:val="0"/>
              <w:pBdr>
                <w:top w:val="nil"/>
                <w:left w:val="nil"/>
                <w:bottom w:val="nil"/>
                <w:right w:val="nil"/>
                <w:between w:val="nil"/>
              </w:pBdr>
              <w:ind w:right="57"/>
              <w:rPr>
                <w:color w:val="000000"/>
              </w:rPr>
            </w:pPr>
          </w:p>
        </w:tc>
        <w:tc>
          <w:tcPr>
            <w:tcW w:w="1147" w:type="dxa"/>
            <w:vAlign w:val="bottom"/>
          </w:tcPr>
          <w:p w14:paraId="06034380" w14:textId="77777777" w:rsidR="00D83E33" w:rsidRDefault="00D83E33">
            <w:pPr>
              <w:widowControl w:val="0"/>
              <w:pBdr>
                <w:top w:val="nil"/>
                <w:left w:val="nil"/>
                <w:bottom w:val="nil"/>
                <w:right w:val="nil"/>
                <w:between w:val="nil"/>
              </w:pBdr>
              <w:ind w:right="57"/>
              <w:rPr>
                <w:color w:val="000000"/>
              </w:rPr>
            </w:pPr>
          </w:p>
        </w:tc>
        <w:tc>
          <w:tcPr>
            <w:tcW w:w="1147" w:type="dxa"/>
          </w:tcPr>
          <w:p w14:paraId="464126EB" w14:textId="77777777" w:rsidR="00D83E33" w:rsidRDefault="00D83E33">
            <w:pPr>
              <w:widowControl w:val="0"/>
              <w:pBdr>
                <w:top w:val="nil"/>
                <w:left w:val="nil"/>
                <w:bottom w:val="nil"/>
                <w:right w:val="nil"/>
                <w:between w:val="nil"/>
              </w:pBdr>
              <w:ind w:right="57"/>
              <w:rPr>
                <w:color w:val="000000"/>
              </w:rPr>
            </w:pPr>
          </w:p>
        </w:tc>
        <w:tc>
          <w:tcPr>
            <w:tcW w:w="1147" w:type="dxa"/>
          </w:tcPr>
          <w:p w14:paraId="4C7EDFA9" w14:textId="77777777" w:rsidR="00D83E33" w:rsidRDefault="00D83E33">
            <w:pPr>
              <w:widowControl w:val="0"/>
              <w:pBdr>
                <w:top w:val="nil"/>
                <w:left w:val="nil"/>
                <w:bottom w:val="nil"/>
                <w:right w:val="nil"/>
                <w:between w:val="nil"/>
              </w:pBdr>
              <w:ind w:right="57"/>
              <w:rPr>
                <w:color w:val="000000"/>
              </w:rPr>
            </w:pPr>
          </w:p>
        </w:tc>
      </w:tr>
      <w:tr w:rsidR="00D83E33" w14:paraId="4A983473" w14:textId="77777777">
        <w:tc>
          <w:tcPr>
            <w:tcW w:w="4878" w:type="dxa"/>
            <w:tcBorders>
              <w:bottom w:val="single" w:sz="12" w:space="0" w:color="000000"/>
            </w:tcBorders>
          </w:tcPr>
          <w:p w14:paraId="3D2D279E" w14:textId="77777777" w:rsidR="00D83E33" w:rsidRDefault="00D83E33">
            <w:pPr>
              <w:widowControl w:val="0"/>
              <w:pBdr>
                <w:top w:val="nil"/>
                <w:left w:val="nil"/>
                <w:bottom w:val="nil"/>
                <w:right w:val="nil"/>
                <w:between w:val="nil"/>
              </w:pBdr>
              <w:ind w:left="85" w:hanging="85"/>
              <w:rPr>
                <w:color w:val="000000"/>
                <w:sz w:val="16"/>
                <w:szCs w:val="16"/>
              </w:rPr>
            </w:pPr>
          </w:p>
        </w:tc>
        <w:tc>
          <w:tcPr>
            <w:tcW w:w="1148" w:type="dxa"/>
            <w:tcBorders>
              <w:bottom w:val="single" w:sz="12" w:space="0" w:color="000000"/>
            </w:tcBorders>
            <w:vAlign w:val="bottom"/>
          </w:tcPr>
          <w:p w14:paraId="0855A8E0" w14:textId="77777777" w:rsidR="00D83E33" w:rsidRDefault="00D83E33">
            <w:pPr>
              <w:widowControl w:val="0"/>
              <w:ind w:right="57"/>
              <w:rPr>
                <w:b/>
                <w:sz w:val="16"/>
                <w:szCs w:val="16"/>
              </w:rPr>
            </w:pPr>
          </w:p>
        </w:tc>
        <w:tc>
          <w:tcPr>
            <w:tcW w:w="1147" w:type="dxa"/>
            <w:tcBorders>
              <w:bottom w:val="single" w:sz="12" w:space="0" w:color="000000"/>
            </w:tcBorders>
            <w:vAlign w:val="bottom"/>
          </w:tcPr>
          <w:p w14:paraId="593C4FFF" w14:textId="77777777" w:rsidR="00D83E33" w:rsidRDefault="00D83E33">
            <w:pPr>
              <w:widowControl w:val="0"/>
              <w:ind w:right="57"/>
              <w:rPr>
                <w:b/>
                <w:sz w:val="16"/>
                <w:szCs w:val="16"/>
              </w:rPr>
            </w:pPr>
          </w:p>
        </w:tc>
        <w:tc>
          <w:tcPr>
            <w:tcW w:w="1147" w:type="dxa"/>
            <w:tcBorders>
              <w:bottom w:val="single" w:sz="12" w:space="0" w:color="000000"/>
            </w:tcBorders>
          </w:tcPr>
          <w:p w14:paraId="79D5D36F" w14:textId="77777777" w:rsidR="00D83E33" w:rsidRDefault="00D83E33">
            <w:pPr>
              <w:widowControl w:val="0"/>
              <w:ind w:right="57"/>
              <w:rPr>
                <w:b/>
                <w:sz w:val="16"/>
                <w:szCs w:val="16"/>
              </w:rPr>
            </w:pPr>
          </w:p>
        </w:tc>
        <w:tc>
          <w:tcPr>
            <w:tcW w:w="1147" w:type="dxa"/>
            <w:tcBorders>
              <w:bottom w:val="single" w:sz="12" w:space="0" w:color="000000"/>
            </w:tcBorders>
          </w:tcPr>
          <w:p w14:paraId="1B1D3573" w14:textId="77777777" w:rsidR="00D83E33" w:rsidRDefault="00D83E33">
            <w:pPr>
              <w:widowControl w:val="0"/>
              <w:ind w:right="57"/>
              <w:rPr>
                <w:b/>
                <w:sz w:val="16"/>
                <w:szCs w:val="16"/>
              </w:rPr>
            </w:pPr>
          </w:p>
        </w:tc>
      </w:tr>
    </w:tbl>
    <w:p w14:paraId="4C20F80B" w14:textId="29110431"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effect of collateral on credit impaired assets at 31</w:t>
      </w:r>
      <w:r w:rsidR="00181687">
        <w:rPr>
          <w:color w:val="000000"/>
          <w:sz w:val="20"/>
          <w:szCs w:val="20"/>
        </w:rPr>
        <w:t> December </w:t>
      </w:r>
      <w:r w:rsidR="00541EBC">
        <w:rPr>
          <w:color w:val="000000"/>
          <w:sz w:val="20"/>
          <w:szCs w:val="20"/>
        </w:rPr>
        <w:t>2023</w:t>
      </w:r>
      <w:r>
        <w:rPr>
          <w:color w:val="000000"/>
          <w:sz w:val="20"/>
          <w:szCs w:val="20"/>
        </w:rPr>
        <w:t xml:space="preserve"> is as follows.</w:t>
      </w:r>
    </w:p>
    <w:tbl>
      <w:tblPr>
        <w:tblStyle w:val="affffffffff1"/>
        <w:tblW w:w="9467" w:type="dxa"/>
        <w:tblLayout w:type="fixed"/>
        <w:tblLook w:val="0000" w:firstRow="0" w:lastRow="0" w:firstColumn="0" w:lastColumn="0" w:noHBand="0" w:noVBand="0"/>
      </w:tblPr>
      <w:tblGrid>
        <w:gridCol w:w="4878"/>
        <w:gridCol w:w="1148"/>
        <w:gridCol w:w="1147"/>
        <w:gridCol w:w="1147"/>
        <w:gridCol w:w="1147"/>
      </w:tblGrid>
      <w:tr w:rsidR="00D83E33" w14:paraId="6443C52C" w14:textId="77777777">
        <w:tc>
          <w:tcPr>
            <w:tcW w:w="4878" w:type="dxa"/>
            <w:vAlign w:val="bottom"/>
          </w:tcPr>
          <w:p w14:paraId="27D896CA" w14:textId="77777777" w:rsidR="00D83E33" w:rsidRDefault="00D83E33">
            <w:pPr>
              <w:widowControl w:val="0"/>
              <w:pBdr>
                <w:top w:val="nil"/>
                <w:left w:val="nil"/>
                <w:bottom w:val="nil"/>
                <w:right w:val="nil"/>
                <w:between w:val="nil"/>
              </w:pBdr>
              <w:ind w:left="86" w:hanging="86"/>
              <w:rPr>
                <w:b/>
                <w:i/>
                <w:color w:val="000000"/>
              </w:rPr>
            </w:pPr>
          </w:p>
        </w:tc>
        <w:tc>
          <w:tcPr>
            <w:tcW w:w="2295" w:type="dxa"/>
            <w:gridSpan w:val="2"/>
            <w:tcBorders>
              <w:bottom w:val="single" w:sz="4" w:space="0" w:color="000000"/>
            </w:tcBorders>
            <w:vAlign w:val="bottom"/>
          </w:tcPr>
          <w:p w14:paraId="3B1D803A" w14:textId="77777777" w:rsidR="00D83E33" w:rsidRDefault="00BC4072">
            <w:pPr>
              <w:widowControl w:val="0"/>
              <w:pBdr>
                <w:top w:val="nil"/>
                <w:left w:val="nil"/>
                <w:bottom w:val="nil"/>
                <w:right w:val="nil"/>
                <w:between w:val="nil"/>
              </w:pBdr>
              <w:ind w:left="57" w:right="57"/>
              <w:jc w:val="center"/>
              <w:rPr>
                <w:b/>
                <w:color w:val="000000"/>
              </w:rPr>
            </w:pPr>
            <w:r>
              <w:rPr>
                <w:b/>
                <w:color w:val="000000"/>
              </w:rPr>
              <w:t>Over-collateralised</w:t>
            </w:r>
          </w:p>
          <w:p w14:paraId="75CCF76D" w14:textId="77777777" w:rsidR="00D83E33" w:rsidRDefault="00BC4072">
            <w:pPr>
              <w:widowControl w:val="0"/>
              <w:pBdr>
                <w:top w:val="nil"/>
                <w:left w:val="nil"/>
                <w:bottom w:val="nil"/>
                <w:right w:val="nil"/>
                <w:between w:val="nil"/>
              </w:pBdr>
              <w:ind w:right="57"/>
              <w:jc w:val="center"/>
              <w:rPr>
                <w:b/>
                <w:color w:val="000000"/>
              </w:rPr>
            </w:pPr>
            <w:r>
              <w:rPr>
                <w:b/>
                <w:color w:val="000000"/>
              </w:rPr>
              <w:t>assets</w:t>
            </w:r>
          </w:p>
        </w:tc>
        <w:tc>
          <w:tcPr>
            <w:tcW w:w="2294" w:type="dxa"/>
            <w:gridSpan w:val="2"/>
            <w:tcBorders>
              <w:bottom w:val="single" w:sz="4" w:space="0" w:color="000000"/>
            </w:tcBorders>
          </w:tcPr>
          <w:p w14:paraId="533CFFF1" w14:textId="77777777" w:rsidR="00D83E33" w:rsidRDefault="00BC4072">
            <w:pPr>
              <w:widowControl w:val="0"/>
              <w:pBdr>
                <w:top w:val="nil"/>
                <w:left w:val="nil"/>
                <w:bottom w:val="nil"/>
                <w:right w:val="nil"/>
                <w:between w:val="nil"/>
              </w:pBdr>
              <w:ind w:right="57"/>
              <w:jc w:val="center"/>
              <w:rPr>
                <w:b/>
                <w:color w:val="000000"/>
              </w:rPr>
            </w:pPr>
            <w:r>
              <w:rPr>
                <w:b/>
                <w:color w:val="000000"/>
              </w:rPr>
              <w:t>Under-collateralised</w:t>
            </w:r>
          </w:p>
          <w:p w14:paraId="66339764" w14:textId="77777777" w:rsidR="00D83E33" w:rsidRDefault="00BC4072">
            <w:pPr>
              <w:widowControl w:val="0"/>
              <w:pBdr>
                <w:top w:val="nil"/>
                <w:left w:val="nil"/>
                <w:bottom w:val="nil"/>
                <w:right w:val="nil"/>
                <w:between w:val="nil"/>
              </w:pBdr>
              <w:ind w:left="57" w:right="57"/>
              <w:jc w:val="center"/>
              <w:rPr>
                <w:b/>
                <w:color w:val="000000"/>
              </w:rPr>
            </w:pPr>
            <w:r>
              <w:rPr>
                <w:b/>
                <w:color w:val="000000"/>
              </w:rPr>
              <w:t>assets</w:t>
            </w:r>
          </w:p>
        </w:tc>
      </w:tr>
      <w:tr w:rsidR="00D83E33" w14:paraId="39035567" w14:textId="77777777" w:rsidTr="001B330E">
        <w:tc>
          <w:tcPr>
            <w:tcW w:w="4878" w:type="dxa"/>
            <w:tcBorders>
              <w:bottom w:val="single" w:sz="4" w:space="0" w:color="000000"/>
            </w:tcBorders>
            <w:vAlign w:val="bottom"/>
          </w:tcPr>
          <w:p w14:paraId="16F00DC4" w14:textId="77777777" w:rsidR="00D83E33" w:rsidRDefault="00D83E33">
            <w:pPr>
              <w:widowControl w:val="0"/>
              <w:ind w:left="228" w:hanging="228"/>
              <w:rPr>
                <w:i/>
              </w:rPr>
            </w:pPr>
          </w:p>
          <w:p w14:paraId="124CD772" w14:textId="6DE31844" w:rsidR="00D83E33" w:rsidRDefault="00313B4D">
            <w:pPr>
              <w:widowControl w:val="0"/>
              <w:ind w:left="228" w:hanging="228"/>
              <w:rPr>
                <w:i/>
              </w:rPr>
            </w:pPr>
            <w:r>
              <w:rPr>
                <w:i/>
              </w:rPr>
              <w:t xml:space="preserve">In thousands of </w:t>
            </w:r>
            <w:r w:rsidR="002649EE">
              <w:rPr>
                <w:i/>
              </w:rPr>
              <w:t>EUR</w:t>
            </w:r>
          </w:p>
        </w:tc>
        <w:tc>
          <w:tcPr>
            <w:tcW w:w="1148" w:type="dxa"/>
            <w:tcBorders>
              <w:top w:val="single" w:sz="4" w:space="0" w:color="000000"/>
              <w:bottom w:val="single" w:sz="4" w:space="0" w:color="000000"/>
            </w:tcBorders>
          </w:tcPr>
          <w:p w14:paraId="28F1EF95" w14:textId="0B9BA76C" w:rsidR="00D83E33" w:rsidRPr="001B330E" w:rsidRDefault="00BC4072" w:rsidP="001B330E">
            <w:pPr>
              <w:widowControl w:val="0"/>
              <w:pBdr>
                <w:top w:val="nil"/>
                <w:left w:val="nil"/>
                <w:bottom w:val="nil"/>
                <w:right w:val="nil"/>
                <w:between w:val="nil"/>
              </w:pBdr>
              <w:ind w:right="57"/>
              <w:jc w:val="right"/>
              <w:rPr>
                <w:b/>
                <w:bCs/>
                <w:color w:val="000000"/>
              </w:rPr>
            </w:pPr>
            <w:r w:rsidRPr="001B330E">
              <w:rPr>
                <w:b/>
                <w:bCs/>
                <w:color w:val="000000"/>
              </w:rPr>
              <w:t>Carrying value of the assets</w:t>
            </w:r>
          </w:p>
        </w:tc>
        <w:tc>
          <w:tcPr>
            <w:tcW w:w="1147" w:type="dxa"/>
            <w:tcBorders>
              <w:top w:val="single" w:sz="4" w:space="0" w:color="000000"/>
              <w:bottom w:val="single" w:sz="4" w:space="0" w:color="000000"/>
            </w:tcBorders>
          </w:tcPr>
          <w:p w14:paraId="6480DF53" w14:textId="77777777" w:rsidR="00D83E33" w:rsidRPr="001B330E" w:rsidRDefault="00BC4072" w:rsidP="001B330E">
            <w:pPr>
              <w:widowControl w:val="0"/>
              <w:pBdr>
                <w:top w:val="nil"/>
                <w:left w:val="nil"/>
                <w:bottom w:val="nil"/>
                <w:right w:val="nil"/>
                <w:between w:val="nil"/>
              </w:pBdr>
              <w:ind w:right="57"/>
              <w:jc w:val="right"/>
              <w:rPr>
                <w:b/>
                <w:bCs/>
                <w:color w:val="000000"/>
              </w:rPr>
            </w:pPr>
            <w:r w:rsidRPr="001B330E">
              <w:rPr>
                <w:b/>
                <w:bCs/>
                <w:color w:val="000000"/>
              </w:rPr>
              <w:t>Value of collateral</w:t>
            </w:r>
          </w:p>
        </w:tc>
        <w:tc>
          <w:tcPr>
            <w:tcW w:w="1147" w:type="dxa"/>
            <w:tcBorders>
              <w:top w:val="single" w:sz="4" w:space="0" w:color="000000"/>
              <w:bottom w:val="single" w:sz="4" w:space="0" w:color="000000"/>
            </w:tcBorders>
          </w:tcPr>
          <w:p w14:paraId="3F0455D5" w14:textId="77777777" w:rsidR="00D83E33" w:rsidRPr="001B330E" w:rsidRDefault="00BC4072" w:rsidP="001B330E">
            <w:pPr>
              <w:widowControl w:val="0"/>
              <w:pBdr>
                <w:top w:val="nil"/>
                <w:left w:val="nil"/>
                <w:bottom w:val="nil"/>
                <w:right w:val="nil"/>
                <w:between w:val="nil"/>
              </w:pBdr>
              <w:ind w:right="57"/>
              <w:jc w:val="right"/>
              <w:rPr>
                <w:b/>
                <w:bCs/>
                <w:color w:val="000000"/>
              </w:rPr>
            </w:pPr>
            <w:r w:rsidRPr="001B330E">
              <w:rPr>
                <w:b/>
                <w:bCs/>
                <w:color w:val="000000"/>
              </w:rPr>
              <w:t>Carrying value of the assets</w:t>
            </w:r>
          </w:p>
        </w:tc>
        <w:tc>
          <w:tcPr>
            <w:tcW w:w="1147" w:type="dxa"/>
            <w:tcBorders>
              <w:top w:val="single" w:sz="4" w:space="0" w:color="000000"/>
              <w:bottom w:val="single" w:sz="4" w:space="0" w:color="000000"/>
            </w:tcBorders>
          </w:tcPr>
          <w:p w14:paraId="245DAEB0" w14:textId="77777777" w:rsidR="00D83E33" w:rsidRPr="001B330E" w:rsidRDefault="00BC4072" w:rsidP="001B330E">
            <w:pPr>
              <w:widowControl w:val="0"/>
              <w:pBdr>
                <w:top w:val="nil"/>
                <w:left w:val="nil"/>
                <w:bottom w:val="nil"/>
                <w:right w:val="nil"/>
                <w:between w:val="nil"/>
              </w:pBdr>
              <w:ind w:right="57"/>
              <w:jc w:val="right"/>
              <w:rPr>
                <w:b/>
                <w:bCs/>
                <w:color w:val="000000"/>
              </w:rPr>
            </w:pPr>
            <w:r w:rsidRPr="001B330E">
              <w:rPr>
                <w:b/>
                <w:bCs/>
                <w:color w:val="000000"/>
              </w:rPr>
              <w:t>Value of collateral</w:t>
            </w:r>
          </w:p>
        </w:tc>
      </w:tr>
      <w:tr w:rsidR="00D83E33" w14:paraId="71D56C75" w14:textId="77777777">
        <w:tc>
          <w:tcPr>
            <w:tcW w:w="4878" w:type="dxa"/>
            <w:tcBorders>
              <w:top w:val="single" w:sz="4" w:space="0" w:color="000000"/>
            </w:tcBorders>
          </w:tcPr>
          <w:p w14:paraId="4FF0247D" w14:textId="77777777" w:rsidR="00D83E33" w:rsidRDefault="00D83E33">
            <w:pPr>
              <w:widowControl w:val="0"/>
              <w:pBdr>
                <w:top w:val="nil"/>
                <w:left w:val="nil"/>
                <w:bottom w:val="nil"/>
                <w:right w:val="nil"/>
                <w:between w:val="nil"/>
              </w:pBdr>
              <w:ind w:left="85" w:hanging="85"/>
              <w:rPr>
                <w:color w:val="000000"/>
                <w:sz w:val="16"/>
                <w:szCs w:val="16"/>
              </w:rPr>
            </w:pPr>
          </w:p>
        </w:tc>
        <w:tc>
          <w:tcPr>
            <w:tcW w:w="1148" w:type="dxa"/>
            <w:tcBorders>
              <w:top w:val="single" w:sz="4" w:space="0" w:color="000000"/>
            </w:tcBorders>
            <w:vAlign w:val="bottom"/>
          </w:tcPr>
          <w:p w14:paraId="4AB4A19B"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Borders>
              <w:top w:val="single" w:sz="4" w:space="0" w:color="000000"/>
            </w:tcBorders>
            <w:vAlign w:val="bottom"/>
          </w:tcPr>
          <w:p w14:paraId="0EA89B1E"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Borders>
              <w:top w:val="single" w:sz="4" w:space="0" w:color="000000"/>
            </w:tcBorders>
          </w:tcPr>
          <w:p w14:paraId="75537F46"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Borders>
              <w:top w:val="single" w:sz="4" w:space="0" w:color="000000"/>
            </w:tcBorders>
          </w:tcPr>
          <w:p w14:paraId="1F46952C" w14:textId="77777777" w:rsidR="00D83E33" w:rsidRDefault="00D83E33">
            <w:pPr>
              <w:widowControl w:val="0"/>
              <w:pBdr>
                <w:top w:val="nil"/>
                <w:left w:val="nil"/>
                <w:bottom w:val="nil"/>
                <w:right w:val="nil"/>
                <w:between w:val="nil"/>
              </w:pBdr>
              <w:ind w:right="57"/>
              <w:rPr>
                <w:color w:val="000000"/>
                <w:sz w:val="16"/>
                <w:szCs w:val="16"/>
              </w:rPr>
            </w:pPr>
          </w:p>
        </w:tc>
      </w:tr>
      <w:tr w:rsidR="00D83E33" w14:paraId="2211FAB9" w14:textId="77777777">
        <w:tc>
          <w:tcPr>
            <w:tcW w:w="4878" w:type="dxa"/>
          </w:tcPr>
          <w:p w14:paraId="23AEBC8B" w14:textId="77777777" w:rsidR="00D83E33" w:rsidRDefault="00BC4072">
            <w:pPr>
              <w:widowControl w:val="0"/>
              <w:pBdr>
                <w:top w:val="nil"/>
                <w:left w:val="nil"/>
                <w:bottom w:val="nil"/>
                <w:right w:val="nil"/>
                <w:between w:val="nil"/>
              </w:pBdr>
              <w:ind w:left="85" w:hanging="85"/>
              <w:rPr>
                <w:b/>
                <w:i/>
                <w:color w:val="000000"/>
              </w:rPr>
            </w:pPr>
            <w:r>
              <w:rPr>
                <w:b/>
                <w:i/>
                <w:color w:val="000000"/>
              </w:rPr>
              <w:t>Credit impaired assets:</w:t>
            </w:r>
          </w:p>
        </w:tc>
        <w:tc>
          <w:tcPr>
            <w:tcW w:w="1148" w:type="dxa"/>
            <w:vAlign w:val="bottom"/>
          </w:tcPr>
          <w:p w14:paraId="0183D3AD" w14:textId="77777777" w:rsidR="00D83E33" w:rsidRDefault="00D83E33">
            <w:pPr>
              <w:widowControl w:val="0"/>
              <w:pBdr>
                <w:top w:val="nil"/>
                <w:left w:val="nil"/>
                <w:bottom w:val="nil"/>
                <w:right w:val="nil"/>
                <w:between w:val="nil"/>
              </w:pBdr>
              <w:ind w:right="57"/>
              <w:rPr>
                <w:color w:val="000000"/>
              </w:rPr>
            </w:pPr>
          </w:p>
        </w:tc>
        <w:tc>
          <w:tcPr>
            <w:tcW w:w="1147" w:type="dxa"/>
            <w:vAlign w:val="bottom"/>
          </w:tcPr>
          <w:p w14:paraId="395C49A6" w14:textId="77777777" w:rsidR="00D83E33" w:rsidRDefault="00D83E33">
            <w:pPr>
              <w:widowControl w:val="0"/>
              <w:pBdr>
                <w:top w:val="nil"/>
                <w:left w:val="nil"/>
                <w:bottom w:val="nil"/>
                <w:right w:val="nil"/>
                <w:between w:val="nil"/>
              </w:pBdr>
              <w:ind w:right="57"/>
              <w:rPr>
                <w:color w:val="000000"/>
              </w:rPr>
            </w:pPr>
          </w:p>
        </w:tc>
        <w:tc>
          <w:tcPr>
            <w:tcW w:w="1147" w:type="dxa"/>
          </w:tcPr>
          <w:p w14:paraId="248228D1" w14:textId="77777777" w:rsidR="00D83E33" w:rsidRDefault="00D83E33">
            <w:pPr>
              <w:widowControl w:val="0"/>
              <w:pBdr>
                <w:top w:val="nil"/>
                <w:left w:val="nil"/>
                <w:bottom w:val="nil"/>
                <w:right w:val="nil"/>
                <w:between w:val="nil"/>
              </w:pBdr>
              <w:ind w:right="57"/>
              <w:rPr>
                <w:color w:val="000000"/>
              </w:rPr>
            </w:pPr>
          </w:p>
        </w:tc>
        <w:tc>
          <w:tcPr>
            <w:tcW w:w="1147" w:type="dxa"/>
          </w:tcPr>
          <w:p w14:paraId="3064B21E" w14:textId="77777777" w:rsidR="00D83E33" w:rsidRDefault="00D83E33">
            <w:pPr>
              <w:widowControl w:val="0"/>
              <w:pBdr>
                <w:top w:val="nil"/>
                <w:left w:val="nil"/>
                <w:bottom w:val="nil"/>
                <w:right w:val="nil"/>
                <w:between w:val="nil"/>
              </w:pBdr>
              <w:ind w:right="57"/>
              <w:rPr>
                <w:color w:val="000000"/>
              </w:rPr>
            </w:pPr>
          </w:p>
        </w:tc>
      </w:tr>
      <w:tr w:rsidR="00D83E33" w14:paraId="38538C2D" w14:textId="77777777">
        <w:tc>
          <w:tcPr>
            <w:tcW w:w="4878" w:type="dxa"/>
          </w:tcPr>
          <w:p w14:paraId="26CC4C2C" w14:textId="77777777" w:rsidR="00D83E33" w:rsidRDefault="00D83E33">
            <w:pPr>
              <w:widowControl w:val="0"/>
              <w:pBdr>
                <w:top w:val="nil"/>
                <w:left w:val="nil"/>
                <w:bottom w:val="nil"/>
                <w:right w:val="nil"/>
                <w:between w:val="nil"/>
              </w:pBdr>
              <w:ind w:left="85" w:hanging="85"/>
              <w:rPr>
                <w:color w:val="000000"/>
                <w:sz w:val="16"/>
                <w:szCs w:val="16"/>
              </w:rPr>
            </w:pPr>
          </w:p>
        </w:tc>
        <w:tc>
          <w:tcPr>
            <w:tcW w:w="1148" w:type="dxa"/>
            <w:vAlign w:val="bottom"/>
          </w:tcPr>
          <w:p w14:paraId="0692F9F9" w14:textId="77777777" w:rsidR="00D83E33" w:rsidRDefault="00D83E33">
            <w:pPr>
              <w:widowControl w:val="0"/>
              <w:pBdr>
                <w:top w:val="nil"/>
                <w:left w:val="nil"/>
                <w:bottom w:val="nil"/>
                <w:right w:val="nil"/>
                <w:between w:val="nil"/>
              </w:pBdr>
              <w:ind w:right="57"/>
              <w:rPr>
                <w:color w:val="000000"/>
                <w:sz w:val="16"/>
                <w:szCs w:val="16"/>
              </w:rPr>
            </w:pPr>
          </w:p>
        </w:tc>
        <w:tc>
          <w:tcPr>
            <w:tcW w:w="1147" w:type="dxa"/>
            <w:vAlign w:val="bottom"/>
          </w:tcPr>
          <w:p w14:paraId="4F8C6B98"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Pr>
          <w:p w14:paraId="59089184" w14:textId="77777777" w:rsidR="00D83E33" w:rsidRDefault="00D83E33">
            <w:pPr>
              <w:widowControl w:val="0"/>
              <w:pBdr>
                <w:top w:val="nil"/>
                <w:left w:val="nil"/>
                <w:bottom w:val="nil"/>
                <w:right w:val="nil"/>
                <w:between w:val="nil"/>
              </w:pBdr>
              <w:ind w:right="57"/>
              <w:rPr>
                <w:color w:val="000000"/>
                <w:sz w:val="16"/>
                <w:szCs w:val="16"/>
              </w:rPr>
            </w:pPr>
          </w:p>
        </w:tc>
        <w:tc>
          <w:tcPr>
            <w:tcW w:w="1147" w:type="dxa"/>
          </w:tcPr>
          <w:p w14:paraId="38C352FD" w14:textId="77777777" w:rsidR="00D83E33" w:rsidRDefault="00D83E33">
            <w:pPr>
              <w:widowControl w:val="0"/>
              <w:pBdr>
                <w:top w:val="nil"/>
                <w:left w:val="nil"/>
                <w:bottom w:val="nil"/>
                <w:right w:val="nil"/>
                <w:between w:val="nil"/>
              </w:pBdr>
              <w:ind w:right="57"/>
              <w:rPr>
                <w:color w:val="000000"/>
                <w:sz w:val="16"/>
                <w:szCs w:val="16"/>
              </w:rPr>
            </w:pPr>
          </w:p>
        </w:tc>
      </w:tr>
      <w:tr w:rsidR="00D83E33" w14:paraId="1B341CC1" w14:textId="77777777">
        <w:tc>
          <w:tcPr>
            <w:tcW w:w="4878" w:type="dxa"/>
            <w:vAlign w:val="bottom"/>
          </w:tcPr>
          <w:p w14:paraId="78357322" w14:textId="77777777" w:rsidR="00D83E33" w:rsidRDefault="00BC4072">
            <w:pPr>
              <w:widowControl w:val="0"/>
              <w:ind w:left="113" w:right="-57" w:hanging="113"/>
            </w:pPr>
            <w:r>
              <w:t>Finance lease receivables</w:t>
            </w:r>
          </w:p>
        </w:tc>
        <w:tc>
          <w:tcPr>
            <w:tcW w:w="1148" w:type="dxa"/>
            <w:vAlign w:val="bottom"/>
          </w:tcPr>
          <w:p w14:paraId="358EE8EC" w14:textId="77777777" w:rsidR="00D83E33" w:rsidRDefault="00D83E33">
            <w:pPr>
              <w:widowControl w:val="0"/>
              <w:pBdr>
                <w:top w:val="nil"/>
                <w:left w:val="nil"/>
                <w:bottom w:val="nil"/>
                <w:right w:val="nil"/>
                <w:between w:val="nil"/>
              </w:pBdr>
              <w:ind w:right="57"/>
              <w:rPr>
                <w:color w:val="000000"/>
              </w:rPr>
            </w:pPr>
          </w:p>
        </w:tc>
        <w:tc>
          <w:tcPr>
            <w:tcW w:w="1147" w:type="dxa"/>
            <w:vAlign w:val="bottom"/>
          </w:tcPr>
          <w:p w14:paraId="468A6C18" w14:textId="77777777" w:rsidR="00D83E33" w:rsidRDefault="00D83E33">
            <w:pPr>
              <w:widowControl w:val="0"/>
              <w:pBdr>
                <w:top w:val="nil"/>
                <w:left w:val="nil"/>
                <w:bottom w:val="nil"/>
                <w:right w:val="nil"/>
                <w:between w:val="nil"/>
              </w:pBdr>
              <w:ind w:right="57"/>
              <w:rPr>
                <w:color w:val="000000"/>
              </w:rPr>
            </w:pPr>
          </w:p>
        </w:tc>
        <w:tc>
          <w:tcPr>
            <w:tcW w:w="1147" w:type="dxa"/>
          </w:tcPr>
          <w:p w14:paraId="47619DB3" w14:textId="77777777" w:rsidR="00D83E33" w:rsidRDefault="00D83E33">
            <w:pPr>
              <w:widowControl w:val="0"/>
              <w:pBdr>
                <w:top w:val="nil"/>
                <w:left w:val="nil"/>
                <w:bottom w:val="nil"/>
                <w:right w:val="nil"/>
                <w:between w:val="nil"/>
              </w:pBdr>
              <w:ind w:right="57"/>
              <w:rPr>
                <w:color w:val="000000"/>
              </w:rPr>
            </w:pPr>
          </w:p>
        </w:tc>
        <w:tc>
          <w:tcPr>
            <w:tcW w:w="1147" w:type="dxa"/>
          </w:tcPr>
          <w:p w14:paraId="06EBB2B9" w14:textId="77777777" w:rsidR="00D83E33" w:rsidRDefault="00D83E33">
            <w:pPr>
              <w:widowControl w:val="0"/>
              <w:pBdr>
                <w:top w:val="nil"/>
                <w:left w:val="nil"/>
                <w:bottom w:val="nil"/>
                <w:right w:val="nil"/>
                <w:between w:val="nil"/>
              </w:pBdr>
              <w:ind w:right="57"/>
              <w:rPr>
                <w:color w:val="000000"/>
              </w:rPr>
            </w:pPr>
          </w:p>
        </w:tc>
      </w:tr>
      <w:tr w:rsidR="00D83E33" w14:paraId="54D34776" w14:textId="77777777">
        <w:tc>
          <w:tcPr>
            <w:tcW w:w="4878" w:type="dxa"/>
            <w:vAlign w:val="bottom"/>
          </w:tcPr>
          <w:p w14:paraId="393FDEC5" w14:textId="77777777" w:rsidR="00D83E33" w:rsidRDefault="00BC4072">
            <w:pPr>
              <w:widowControl w:val="0"/>
              <w:ind w:left="113" w:right="-57" w:hanging="113"/>
            </w:pPr>
            <w:r>
              <w:t>Other receivables/assets</w:t>
            </w:r>
          </w:p>
        </w:tc>
        <w:tc>
          <w:tcPr>
            <w:tcW w:w="1148" w:type="dxa"/>
            <w:vAlign w:val="bottom"/>
          </w:tcPr>
          <w:p w14:paraId="6252106B" w14:textId="77777777" w:rsidR="00D83E33" w:rsidRDefault="00D83E33">
            <w:pPr>
              <w:widowControl w:val="0"/>
              <w:pBdr>
                <w:top w:val="nil"/>
                <w:left w:val="nil"/>
                <w:bottom w:val="nil"/>
                <w:right w:val="nil"/>
                <w:between w:val="nil"/>
              </w:pBdr>
              <w:ind w:right="57"/>
              <w:rPr>
                <w:color w:val="000000"/>
              </w:rPr>
            </w:pPr>
          </w:p>
        </w:tc>
        <w:tc>
          <w:tcPr>
            <w:tcW w:w="1147" w:type="dxa"/>
            <w:vAlign w:val="bottom"/>
          </w:tcPr>
          <w:p w14:paraId="014CC572" w14:textId="77777777" w:rsidR="00D83E33" w:rsidRDefault="00D83E33">
            <w:pPr>
              <w:widowControl w:val="0"/>
              <w:pBdr>
                <w:top w:val="nil"/>
                <w:left w:val="nil"/>
                <w:bottom w:val="nil"/>
                <w:right w:val="nil"/>
                <w:between w:val="nil"/>
              </w:pBdr>
              <w:ind w:right="57"/>
              <w:rPr>
                <w:color w:val="000000"/>
              </w:rPr>
            </w:pPr>
          </w:p>
        </w:tc>
        <w:tc>
          <w:tcPr>
            <w:tcW w:w="1147" w:type="dxa"/>
          </w:tcPr>
          <w:p w14:paraId="793F6174" w14:textId="77777777" w:rsidR="00D83E33" w:rsidRDefault="00D83E33">
            <w:pPr>
              <w:widowControl w:val="0"/>
              <w:pBdr>
                <w:top w:val="nil"/>
                <w:left w:val="nil"/>
                <w:bottom w:val="nil"/>
                <w:right w:val="nil"/>
                <w:between w:val="nil"/>
              </w:pBdr>
              <w:ind w:right="57"/>
              <w:rPr>
                <w:color w:val="000000"/>
              </w:rPr>
            </w:pPr>
          </w:p>
        </w:tc>
        <w:tc>
          <w:tcPr>
            <w:tcW w:w="1147" w:type="dxa"/>
          </w:tcPr>
          <w:p w14:paraId="0F8AA471" w14:textId="77777777" w:rsidR="00D83E33" w:rsidRDefault="00D83E33">
            <w:pPr>
              <w:widowControl w:val="0"/>
              <w:pBdr>
                <w:top w:val="nil"/>
                <w:left w:val="nil"/>
                <w:bottom w:val="nil"/>
                <w:right w:val="nil"/>
                <w:between w:val="nil"/>
              </w:pBdr>
              <w:ind w:right="57"/>
              <w:rPr>
                <w:color w:val="000000"/>
              </w:rPr>
            </w:pPr>
          </w:p>
        </w:tc>
      </w:tr>
      <w:tr w:rsidR="00D83E33" w14:paraId="2135AE57" w14:textId="77777777">
        <w:tc>
          <w:tcPr>
            <w:tcW w:w="4878" w:type="dxa"/>
            <w:tcBorders>
              <w:bottom w:val="single" w:sz="12" w:space="0" w:color="000000"/>
            </w:tcBorders>
          </w:tcPr>
          <w:p w14:paraId="48694D7D" w14:textId="77777777" w:rsidR="00D83E33" w:rsidRDefault="00D83E33">
            <w:pPr>
              <w:widowControl w:val="0"/>
              <w:pBdr>
                <w:top w:val="nil"/>
                <w:left w:val="nil"/>
                <w:bottom w:val="nil"/>
                <w:right w:val="nil"/>
                <w:between w:val="nil"/>
              </w:pBdr>
              <w:ind w:left="85" w:hanging="85"/>
              <w:rPr>
                <w:color w:val="000000"/>
                <w:sz w:val="16"/>
                <w:szCs w:val="16"/>
              </w:rPr>
            </w:pPr>
          </w:p>
        </w:tc>
        <w:tc>
          <w:tcPr>
            <w:tcW w:w="1148" w:type="dxa"/>
            <w:tcBorders>
              <w:bottom w:val="single" w:sz="12" w:space="0" w:color="000000"/>
            </w:tcBorders>
            <w:vAlign w:val="bottom"/>
          </w:tcPr>
          <w:p w14:paraId="0ACE832A" w14:textId="77777777" w:rsidR="00D83E33" w:rsidRDefault="00D83E33">
            <w:pPr>
              <w:widowControl w:val="0"/>
              <w:ind w:right="57"/>
              <w:rPr>
                <w:b/>
                <w:sz w:val="16"/>
                <w:szCs w:val="16"/>
              </w:rPr>
            </w:pPr>
          </w:p>
        </w:tc>
        <w:tc>
          <w:tcPr>
            <w:tcW w:w="1147" w:type="dxa"/>
            <w:tcBorders>
              <w:bottom w:val="single" w:sz="12" w:space="0" w:color="000000"/>
            </w:tcBorders>
            <w:vAlign w:val="bottom"/>
          </w:tcPr>
          <w:p w14:paraId="2F8A9210" w14:textId="77777777" w:rsidR="00D83E33" w:rsidRDefault="00D83E33">
            <w:pPr>
              <w:widowControl w:val="0"/>
              <w:ind w:right="57"/>
              <w:rPr>
                <w:b/>
                <w:sz w:val="16"/>
                <w:szCs w:val="16"/>
              </w:rPr>
            </w:pPr>
          </w:p>
        </w:tc>
        <w:tc>
          <w:tcPr>
            <w:tcW w:w="1147" w:type="dxa"/>
            <w:tcBorders>
              <w:bottom w:val="single" w:sz="12" w:space="0" w:color="000000"/>
            </w:tcBorders>
          </w:tcPr>
          <w:p w14:paraId="7212454E" w14:textId="77777777" w:rsidR="00D83E33" w:rsidRDefault="00D83E33">
            <w:pPr>
              <w:widowControl w:val="0"/>
              <w:ind w:right="57"/>
              <w:rPr>
                <w:b/>
                <w:sz w:val="16"/>
                <w:szCs w:val="16"/>
              </w:rPr>
            </w:pPr>
          </w:p>
        </w:tc>
        <w:tc>
          <w:tcPr>
            <w:tcW w:w="1147" w:type="dxa"/>
            <w:tcBorders>
              <w:bottom w:val="single" w:sz="12" w:space="0" w:color="000000"/>
            </w:tcBorders>
          </w:tcPr>
          <w:p w14:paraId="41F9A4D7" w14:textId="77777777" w:rsidR="00D83E33" w:rsidRDefault="00D83E33">
            <w:pPr>
              <w:widowControl w:val="0"/>
              <w:ind w:right="57"/>
              <w:rPr>
                <w:b/>
                <w:sz w:val="16"/>
                <w:szCs w:val="16"/>
              </w:rPr>
            </w:pPr>
          </w:p>
        </w:tc>
      </w:tr>
    </w:tbl>
    <w:p w14:paraId="236DF81A" w14:textId="6D39C071" w:rsidR="00D83E33" w:rsidRDefault="00BC4072">
      <w:pPr>
        <w:widowControl w:val="0"/>
        <w:spacing w:before="200" w:after="200"/>
        <w:jc w:val="both"/>
        <w:rPr>
          <w:sz w:val="20"/>
          <w:szCs w:val="20"/>
        </w:rPr>
      </w:pPr>
      <w:r>
        <w:rPr>
          <w:sz w:val="20"/>
          <w:szCs w:val="20"/>
        </w:rPr>
        <w:t xml:space="preserve">The Group obtains collateral valuation at the time of granting loans and generally updates it every </w:t>
      </w:r>
      <w:r>
        <w:rPr>
          <w:color w:val="0000FF"/>
          <w:sz w:val="20"/>
          <w:szCs w:val="20"/>
        </w:rPr>
        <w:t>[two to three]</w:t>
      </w:r>
      <w:r>
        <w:rPr>
          <w:sz w:val="20"/>
          <w:szCs w:val="20"/>
        </w:rPr>
        <w:t xml:space="preserve"> years, depending on the significance of the loan exposure. The values of collateral considered in this disclosure are after a valuation haircut of </w:t>
      </w:r>
      <w:r>
        <w:rPr>
          <w:color w:val="0000FF"/>
          <w:sz w:val="20"/>
          <w:szCs w:val="20"/>
        </w:rPr>
        <w:t>[20-50%]</w:t>
      </w:r>
      <w:r>
        <w:rPr>
          <w:sz w:val="20"/>
          <w:szCs w:val="20"/>
        </w:rPr>
        <w:t xml:space="preserve"> applied to consider liquidity and quality of the pledged assets. </w:t>
      </w:r>
      <w:r>
        <w:rPr>
          <w:i/>
          <w:color w:val="FF0000"/>
          <w:sz w:val="20"/>
          <w:szCs w:val="20"/>
        </w:rPr>
        <w:t>[Expand to describe approach to collateral valuations / collateral policy.]</w:t>
      </w:r>
    </w:p>
    <w:p w14:paraId="4CD3D5A3" w14:textId="607222E8"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Trade receivables, finance lease receivables, credit and debit cards receivables, settlements on conversion operations and restricted cash balances are not collateralised. </w:t>
      </w:r>
      <w:r>
        <w:rPr>
          <w:i/>
          <w:color w:val="FF0000"/>
          <w:sz w:val="20"/>
          <w:szCs w:val="20"/>
        </w:rPr>
        <w:t>[Otherwise disclose information about collateral as in Note 11 on loans and advances also for these other assets.]</w:t>
      </w:r>
    </w:p>
    <w:p w14:paraId="75B7A009" w14:textId="427F6E59" w:rsidR="00D83E33" w:rsidRDefault="00BC4072" w:rsidP="001B330E">
      <w:pPr>
        <w:pStyle w:val="Continued"/>
      </w:pPr>
      <w:r>
        <w:lastRenderedPageBreak/>
        <w:t>15</w:t>
      </w:r>
      <w:r>
        <w:tab/>
        <w:t>Other Financial Assets (Continued)</w:t>
      </w:r>
    </w:p>
    <w:p w14:paraId="20836099"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Finance lease payments receivable (gross investment in the leases) and their present values are as follows:</w:t>
      </w:r>
    </w:p>
    <w:tbl>
      <w:tblPr>
        <w:tblStyle w:val="affffffffff2"/>
        <w:tblW w:w="5000" w:type="pct"/>
        <w:tblLayout w:type="fixed"/>
        <w:tblLook w:val="0000" w:firstRow="0" w:lastRow="0" w:firstColumn="0" w:lastColumn="0" w:noHBand="0" w:noVBand="0"/>
      </w:tblPr>
      <w:tblGrid>
        <w:gridCol w:w="2675"/>
        <w:gridCol w:w="955"/>
        <w:gridCol w:w="955"/>
        <w:gridCol w:w="954"/>
        <w:gridCol w:w="954"/>
        <w:gridCol w:w="954"/>
        <w:gridCol w:w="954"/>
        <w:gridCol w:w="954"/>
      </w:tblGrid>
      <w:tr w:rsidR="00D83E33" w:rsidRPr="00EA10CF" w14:paraId="70AEF195" w14:textId="77777777" w:rsidTr="001B330E">
        <w:trPr>
          <w:trHeight w:val="23"/>
        </w:trPr>
        <w:tc>
          <w:tcPr>
            <w:tcW w:w="1428" w:type="pct"/>
            <w:tcBorders>
              <w:bottom w:val="single" w:sz="4" w:space="0" w:color="000000"/>
            </w:tcBorders>
            <w:vAlign w:val="bottom"/>
          </w:tcPr>
          <w:p w14:paraId="6B1D93A3" w14:textId="3C26D606"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10" w:type="pct"/>
            <w:tcBorders>
              <w:bottom w:val="single" w:sz="4" w:space="0" w:color="000000"/>
            </w:tcBorders>
          </w:tcPr>
          <w:p w14:paraId="68B5CE0C" w14:textId="6D72986C"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Due within</w:t>
            </w:r>
          </w:p>
          <w:p w14:paraId="21AE89B0"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1 year</w:t>
            </w:r>
          </w:p>
        </w:tc>
        <w:tc>
          <w:tcPr>
            <w:tcW w:w="510" w:type="pct"/>
            <w:tcBorders>
              <w:bottom w:val="single" w:sz="4" w:space="0" w:color="000000"/>
            </w:tcBorders>
          </w:tcPr>
          <w:p w14:paraId="3FE4EAEC" w14:textId="604E5E4B"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Due between</w:t>
            </w:r>
          </w:p>
          <w:p w14:paraId="4C152C3C"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1 and 2 years</w:t>
            </w:r>
          </w:p>
        </w:tc>
        <w:tc>
          <w:tcPr>
            <w:tcW w:w="510" w:type="pct"/>
            <w:tcBorders>
              <w:bottom w:val="single" w:sz="4" w:space="0" w:color="000000"/>
            </w:tcBorders>
          </w:tcPr>
          <w:p w14:paraId="634EE518" w14:textId="39845536"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Due between</w:t>
            </w:r>
          </w:p>
          <w:p w14:paraId="64B7A7C0"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2 and 3 years</w:t>
            </w:r>
          </w:p>
        </w:tc>
        <w:tc>
          <w:tcPr>
            <w:tcW w:w="510" w:type="pct"/>
            <w:tcBorders>
              <w:bottom w:val="single" w:sz="4" w:space="0" w:color="000000"/>
            </w:tcBorders>
          </w:tcPr>
          <w:p w14:paraId="74AB6F60" w14:textId="24C5DD06"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Due between</w:t>
            </w:r>
          </w:p>
          <w:p w14:paraId="6FDCB507" w14:textId="55BCF1F1"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3 and 4 years</w:t>
            </w:r>
          </w:p>
        </w:tc>
        <w:tc>
          <w:tcPr>
            <w:tcW w:w="510" w:type="pct"/>
            <w:tcBorders>
              <w:bottom w:val="single" w:sz="4" w:space="0" w:color="000000"/>
            </w:tcBorders>
          </w:tcPr>
          <w:p w14:paraId="0119B0D4" w14:textId="4C9A7E52"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Due between</w:t>
            </w:r>
          </w:p>
          <w:p w14:paraId="51A15C0D" w14:textId="5DECEC79"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4 and 5 years</w:t>
            </w:r>
          </w:p>
        </w:tc>
        <w:tc>
          <w:tcPr>
            <w:tcW w:w="510" w:type="pct"/>
            <w:tcBorders>
              <w:bottom w:val="single" w:sz="4" w:space="0" w:color="000000"/>
            </w:tcBorders>
          </w:tcPr>
          <w:p w14:paraId="365550EA" w14:textId="6538D23E"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Due after</w:t>
            </w:r>
          </w:p>
          <w:p w14:paraId="020DFF6C"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5 years</w:t>
            </w:r>
          </w:p>
        </w:tc>
        <w:tc>
          <w:tcPr>
            <w:tcW w:w="510" w:type="pct"/>
            <w:tcBorders>
              <w:bottom w:val="single" w:sz="4" w:space="0" w:color="000000"/>
            </w:tcBorders>
          </w:tcPr>
          <w:p w14:paraId="6E0C809D"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Total</w:t>
            </w:r>
          </w:p>
        </w:tc>
      </w:tr>
      <w:tr w:rsidR="00D83E33" w:rsidRPr="00EA10CF" w14:paraId="6494A2FF" w14:textId="77777777" w:rsidTr="001B330E">
        <w:trPr>
          <w:trHeight w:val="23"/>
        </w:trPr>
        <w:tc>
          <w:tcPr>
            <w:tcW w:w="1428" w:type="pct"/>
            <w:vAlign w:val="bottom"/>
          </w:tcPr>
          <w:p w14:paraId="0276DD4A" w14:textId="77777777" w:rsidR="00D83E33" w:rsidRPr="00EA10CF" w:rsidRDefault="00BC4072" w:rsidP="001B330E">
            <w:pPr>
              <w:widowControl w:val="0"/>
              <w:ind w:left="113" w:hanging="113"/>
              <w:rPr>
                <w:b/>
              </w:rPr>
            </w:pPr>
            <w:r w:rsidRPr="00EA10CF">
              <w:t> </w:t>
            </w:r>
          </w:p>
        </w:tc>
        <w:tc>
          <w:tcPr>
            <w:tcW w:w="510" w:type="pct"/>
            <w:vAlign w:val="bottom"/>
          </w:tcPr>
          <w:p w14:paraId="2514129C" w14:textId="77777777" w:rsidR="00D83E33" w:rsidRPr="00EA10CF" w:rsidRDefault="00D83E33">
            <w:pPr>
              <w:widowControl w:val="0"/>
              <w:pBdr>
                <w:top w:val="nil"/>
                <w:left w:val="nil"/>
                <w:bottom w:val="nil"/>
                <w:right w:val="nil"/>
                <w:between w:val="nil"/>
              </w:pBdr>
              <w:jc w:val="right"/>
              <w:rPr>
                <w:b/>
                <w:color w:val="000000"/>
              </w:rPr>
            </w:pPr>
          </w:p>
        </w:tc>
        <w:tc>
          <w:tcPr>
            <w:tcW w:w="510" w:type="pct"/>
            <w:vAlign w:val="bottom"/>
          </w:tcPr>
          <w:p w14:paraId="0E1AC365" w14:textId="77777777" w:rsidR="00D83E33" w:rsidRPr="00EA10CF" w:rsidRDefault="00D83E33">
            <w:pPr>
              <w:widowControl w:val="0"/>
              <w:pBdr>
                <w:top w:val="nil"/>
                <w:left w:val="nil"/>
                <w:bottom w:val="nil"/>
                <w:right w:val="nil"/>
                <w:between w:val="nil"/>
              </w:pBdr>
              <w:jc w:val="right"/>
              <w:rPr>
                <w:b/>
                <w:color w:val="000000"/>
              </w:rPr>
            </w:pPr>
          </w:p>
        </w:tc>
        <w:tc>
          <w:tcPr>
            <w:tcW w:w="510" w:type="pct"/>
          </w:tcPr>
          <w:p w14:paraId="33C6A035" w14:textId="77777777" w:rsidR="00D83E33" w:rsidRPr="00EA10CF" w:rsidRDefault="00D83E33">
            <w:pPr>
              <w:widowControl w:val="0"/>
              <w:pBdr>
                <w:top w:val="nil"/>
                <w:left w:val="nil"/>
                <w:bottom w:val="nil"/>
                <w:right w:val="nil"/>
                <w:between w:val="nil"/>
              </w:pBdr>
              <w:jc w:val="right"/>
              <w:rPr>
                <w:b/>
                <w:color w:val="000000"/>
              </w:rPr>
            </w:pPr>
          </w:p>
        </w:tc>
        <w:tc>
          <w:tcPr>
            <w:tcW w:w="510" w:type="pct"/>
            <w:vAlign w:val="bottom"/>
          </w:tcPr>
          <w:p w14:paraId="65FCD2AA" w14:textId="77777777" w:rsidR="00D83E33" w:rsidRPr="00EA10CF" w:rsidRDefault="00D83E33">
            <w:pPr>
              <w:widowControl w:val="0"/>
              <w:pBdr>
                <w:top w:val="nil"/>
                <w:left w:val="nil"/>
                <w:bottom w:val="nil"/>
                <w:right w:val="nil"/>
                <w:between w:val="nil"/>
              </w:pBdr>
              <w:jc w:val="right"/>
              <w:rPr>
                <w:b/>
                <w:color w:val="000000"/>
              </w:rPr>
            </w:pPr>
          </w:p>
        </w:tc>
        <w:tc>
          <w:tcPr>
            <w:tcW w:w="510" w:type="pct"/>
          </w:tcPr>
          <w:p w14:paraId="2F2AB38D" w14:textId="77777777" w:rsidR="00D83E33" w:rsidRPr="00EA10CF" w:rsidRDefault="00D83E33">
            <w:pPr>
              <w:widowControl w:val="0"/>
              <w:pBdr>
                <w:top w:val="nil"/>
                <w:left w:val="nil"/>
                <w:bottom w:val="nil"/>
                <w:right w:val="nil"/>
                <w:between w:val="nil"/>
              </w:pBdr>
              <w:jc w:val="right"/>
              <w:rPr>
                <w:b/>
                <w:color w:val="000000"/>
              </w:rPr>
            </w:pPr>
          </w:p>
        </w:tc>
        <w:tc>
          <w:tcPr>
            <w:tcW w:w="510" w:type="pct"/>
          </w:tcPr>
          <w:p w14:paraId="1437025D" w14:textId="77777777" w:rsidR="00D83E33" w:rsidRPr="00EA10CF" w:rsidRDefault="00D83E33">
            <w:pPr>
              <w:widowControl w:val="0"/>
              <w:pBdr>
                <w:top w:val="nil"/>
                <w:left w:val="nil"/>
                <w:bottom w:val="nil"/>
                <w:right w:val="nil"/>
                <w:between w:val="nil"/>
              </w:pBdr>
              <w:jc w:val="right"/>
              <w:rPr>
                <w:b/>
                <w:color w:val="000000"/>
              </w:rPr>
            </w:pPr>
          </w:p>
        </w:tc>
        <w:tc>
          <w:tcPr>
            <w:tcW w:w="510" w:type="pct"/>
            <w:vAlign w:val="bottom"/>
          </w:tcPr>
          <w:p w14:paraId="1D6270F8"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30A9502" w14:textId="77777777" w:rsidTr="001B330E">
        <w:trPr>
          <w:trHeight w:val="23"/>
        </w:trPr>
        <w:tc>
          <w:tcPr>
            <w:tcW w:w="1428" w:type="pct"/>
            <w:vAlign w:val="bottom"/>
          </w:tcPr>
          <w:p w14:paraId="353E06BA" w14:textId="0CDA9083"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Finance lease payments receivable at 31</w:t>
            </w:r>
            <w:r w:rsidR="00181687">
              <w:rPr>
                <w:b/>
                <w:color w:val="000000"/>
              </w:rPr>
              <w:t> December </w:t>
            </w:r>
            <w:r w:rsidR="00541EBC">
              <w:rPr>
                <w:b/>
                <w:color w:val="000000"/>
              </w:rPr>
              <w:t>2024</w:t>
            </w:r>
          </w:p>
        </w:tc>
        <w:tc>
          <w:tcPr>
            <w:tcW w:w="510" w:type="pct"/>
            <w:vAlign w:val="bottom"/>
          </w:tcPr>
          <w:p w14:paraId="2794CB3D" w14:textId="77777777" w:rsidR="00D83E33" w:rsidRPr="00EA10CF" w:rsidRDefault="00D83E33">
            <w:pPr>
              <w:widowControl w:val="0"/>
              <w:pBdr>
                <w:top w:val="nil"/>
                <w:left w:val="nil"/>
                <w:bottom w:val="nil"/>
                <w:right w:val="nil"/>
                <w:between w:val="nil"/>
              </w:pBdr>
              <w:jc w:val="right"/>
              <w:rPr>
                <w:b/>
                <w:color w:val="000000"/>
              </w:rPr>
            </w:pPr>
          </w:p>
        </w:tc>
        <w:tc>
          <w:tcPr>
            <w:tcW w:w="510" w:type="pct"/>
            <w:vAlign w:val="bottom"/>
          </w:tcPr>
          <w:p w14:paraId="1245A972" w14:textId="77777777" w:rsidR="00D83E33" w:rsidRPr="00EA10CF" w:rsidRDefault="00D83E33">
            <w:pPr>
              <w:widowControl w:val="0"/>
              <w:pBdr>
                <w:top w:val="nil"/>
                <w:left w:val="nil"/>
                <w:bottom w:val="nil"/>
                <w:right w:val="nil"/>
                <w:between w:val="nil"/>
              </w:pBdr>
              <w:jc w:val="right"/>
              <w:rPr>
                <w:b/>
                <w:color w:val="000000"/>
              </w:rPr>
            </w:pPr>
          </w:p>
        </w:tc>
        <w:tc>
          <w:tcPr>
            <w:tcW w:w="510" w:type="pct"/>
          </w:tcPr>
          <w:p w14:paraId="15823C6E" w14:textId="77777777" w:rsidR="00D83E33" w:rsidRPr="00EA10CF" w:rsidRDefault="00D83E33">
            <w:pPr>
              <w:widowControl w:val="0"/>
              <w:pBdr>
                <w:top w:val="nil"/>
                <w:left w:val="nil"/>
                <w:bottom w:val="nil"/>
                <w:right w:val="nil"/>
                <w:between w:val="nil"/>
              </w:pBdr>
              <w:jc w:val="right"/>
              <w:rPr>
                <w:b/>
                <w:color w:val="000000"/>
              </w:rPr>
            </w:pPr>
          </w:p>
        </w:tc>
        <w:tc>
          <w:tcPr>
            <w:tcW w:w="510" w:type="pct"/>
            <w:vAlign w:val="bottom"/>
          </w:tcPr>
          <w:p w14:paraId="4054FC69" w14:textId="77777777" w:rsidR="00D83E33" w:rsidRPr="00EA10CF" w:rsidRDefault="00D83E33">
            <w:pPr>
              <w:widowControl w:val="0"/>
              <w:pBdr>
                <w:top w:val="nil"/>
                <w:left w:val="nil"/>
                <w:bottom w:val="nil"/>
                <w:right w:val="nil"/>
                <w:between w:val="nil"/>
              </w:pBdr>
              <w:jc w:val="right"/>
              <w:rPr>
                <w:b/>
                <w:color w:val="000000"/>
              </w:rPr>
            </w:pPr>
          </w:p>
        </w:tc>
        <w:tc>
          <w:tcPr>
            <w:tcW w:w="510" w:type="pct"/>
          </w:tcPr>
          <w:p w14:paraId="176427AE" w14:textId="77777777" w:rsidR="00D83E33" w:rsidRPr="00EA10CF" w:rsidRDefault="00D83E33">
            <w:pPr>
              <w:widowControl w:val="0"/>
              <w:pBdr>
                <w:top w:val="nil"/>
                <w:left w:val="nil"/>
                <w:bottom w:val="nil"/>
                <w:right w:val="nil"/>
                <w:between w:val="nil"/>
              </w:pBdr>
              <w:jc w:val="right"/>
              <w:rPr>
                <w:b/>
                <w:color w:val="000000"/>
              </w:rPr>
            </w:pPr>
          </w:p>
        </w:tc>
        <w:tc>
          <w:tcPr>
            <w:tcW w:w="510" w:type="pct"/>
          </w:tcPr>
          <w:p w14:paraId="78530863" w14:textId="77777777" w:rsidR="00D83E33" w:rsidRPr="00EA10CF" w:rsidRDefault="00D83E33">
            <w:pPr>
              <w:widowControl w:val="0"/>
              <w:pBdr>
                <w:top w:val="nil"/>
                <w:left w:val="nil"/>
                <w:bottom w:val="nil"/>
                <w:right w:val="nil"/>
                <w:between w:val="nil"/>
              </w:pBdr>
              <w:jc w:val="right"/>
              <w:rPr>
                <w:b/>
                <w:color w:val="000000"/>
              </w:rPr>
            </w:pPr>
          </w:p>
        </w:tc>
        <w:tc>
          <w:tcPr>
            <w:tcW w:w="510" w:type="pct"/>
            <w:vAlign w:val="bottom"/>
          </w:tcPr>
          <w:p w14:paraId="2475B76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50E074A" w14:textId="77777777" w:rsidTr="001B330E">
        <w:trPr>
          <w:trHeight w:val="23"/>
        </w:trPr>
        <w:tc>
          <w:tcPr>
            <w:tcW w:w="1428" w:type="pct"/>
            <w:vAlign w:val="bottom"/>
          </w:tcPr>
          <w:p w14:paraId="5803415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10" w:type="pct"/>
            <w:vAlign w:val="bottom"/>
          </w:tcPr>
          <w:p w14:paraId="0FEEC216"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559875CC"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54EBE89A"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9473F72"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3D5A0102"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40E588A9"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40B89A8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37EFB41" w14:textId="77777777" w:rsidTr="001B330E">
        <w:trPr>
          <w:trHeight w:val="23"/>
        </w:trPr>
        <w:tc>
          <w:tcPr>
            <w:tcW w:w="1428" w:type="pct"/>
            <w:vAlign w:val="bottom"/>
          </w:tcPr>
          <w:p w14:paraId="063A633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Unearned finance income</w:t>
            </w:r>
          </w:p>
        </w:tc>
        <w:tc>
          <w:tcPr>
            <w:tcW w:w="510" w:type="pct"/>
            <w:vAlign w:val="bottom"/>
          </w:tcPr>
          <w:p w14:paraId="08FD442C"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72D03E1"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14FABBE9"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207A625"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2A7DC4BE"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35F164B2"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08B0D8E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F97E6FD" w14:textId="77777777" w:rsidTr="001B330E">
        <w:trPr>
          <w:trHeight w:val="23"/>
        </w:trPr>
        <w:tc>
          <w:tcPr>
            <w:tcW w:w="1428" w:type="pct"/>
            <w:vAlign w:val="bottom"/>
          </w:tcPr>
          <w:p w14:paraId="3979A97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Unguaranteed residual value</w:t>
            </w:r>
          </w:p>
        </w:tc>
        <w:tc>
          <w:tcPr>
            <w:tcW w:w="510" w:type="pct"/>
            <w:vAlign w:val="bottom"/>
          </w:tcPr>
          <w:p w14:paraId="0B66B3DD"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E0EEE43"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1DD77D66"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6EF26BAC"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65199979"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222197B1"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DC527E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97DCAAB" w14:textId="77777777" w:rsidTr="001B330E">
        <w:trPr>
          <w:trHeight w:val="23"/>
        </w:trPr>
        <w:tc>
          <w:tcPr>
            <w:tcW w:w="1428" w:type="pct"/>
            <w:vAlign w:val="bottom"/>
          </w:tcPr>
          <w:p w14:paraId="5185425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Credit loss allowance</w:t>
            </w:r>
          </w:p>
        </w:tc>
        <w:tc>
          <w:tcPr>
            <w:tcW w:w="510" w:type="pct"/>
            <w:vAlign w:val="bottom"/>
          </w:tcPr>
          <w:p w14:paraId="004DDF11"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46734726"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4F7D4A95"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14A30CD3"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4E2FB432"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1720CF30"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60B922E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5B31375" w14:textId="77777777" w:rsidTr="001B330E">
        <w:trPr>
          <w:trHeight w:val="23"/>
        </w:trPr>
        <w:tc>
          <w:tcPr>
            <w:tcW w:w="1428" w:type="pct"/>
            <w:tcBorders>
              <w:bottom w:val="single" w:sz="4" w:space="0" w:color="000000"/>
            </w:tcBorders>
            <w:vAlign w:val="bottom"/>
          </w:tcPr>
          <w:p w14:paraId="29D4E38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10" w:type="pct"/>
            <w:tcBorders>
              <w:bottom w:val="single" w:sz="4" w:space="0" w:color="000000"/>
            </w:tcBorders>
            <w:vAlign w:val="bottom"/>
          </w:tcPr>
          <w:p w14:paraId="672990FA"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vAlign w:val="bottom"/>
          </w:tcPr>
          <w:p w14:paraId="40ABA5FB"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tcPr>
          <w:p w14:paraId="140B5BE3"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vAlign w:val="bottom"/>
          </w:tcPr>
          <w:p w14:paraId="12D0D4CE"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tcPr>
          <w:p w14:paraId="7080A54B"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tcPr>
          <w:p w14:paraId="125232DF"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vAlign w:val="bottom"/>
          </w:tcPr>
          <w:p w14:paraId="76765BF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35A2E81" w14:textId="77777777" w:rsidTr="001B330E">
        <w:trPr>
          <w:trHeight w:val="23"/>
        </w:trPr>
        <w:tc>
          <w:tcPr>
            <w:tcW w:w="1428" w:type="pct"/>
            <w:tcBorders>
              <w:top w:val="single" w:sz="4" w:space="0" w:color="000000"/>
            </w:tcBorders>
            <w:vAlign w:val="bottom"/>
          </w:tcPr>
          <w:p w14:paraId="31FE4BB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10" w:type="pct"/>
            <w:tcBorders>
              <w:top w:val="single" w:sz="4" w:space="0" w:color="000000"/>
            </w:tcBorders>
            <w:vAlign w:val="bottom"/>
          </w:tcPr>
          <w:p w14:paraId="03AC8282"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vAlign w:val="bottom"/>
          </w:tcPr>
          <w:p w14:paraId="0C175779"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tcPr>
          <w:p w14:paraId="768370CE"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vAlign w:val="bottom"/>
          </w:tcPr>
          <w:p w14:paraId="2B8B835A"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tcPr>
          <w:p w14:paraId="223AD88E"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tcPr>
          <w:p w14:paraId="469296A7"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vAlign w:val="bottom"/>
          </w:tcPr>
          <w:p w14:paraId="00AA610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9715FD" w14:textId="77777777" w:rsidTr="001B330E">
        <w:trPr>
          <w:trHeight w:val="23"/>
        </w:trPr>
        <w:tc>
          <w:tcPr>
            <w:tcW w:w="1428" w:type="pct"/>
            <w:vAlign w:val="bottom"/>
          </w:tcPr>
          <w:p w14:paraId="55B6CB3A" w14:textId="37E6BAB8"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Present value of lease payments receivable at 31</w:t>
            </w:r>
            <w:r w:rsidR="00181687">
              <w:rPr>
                <w:b/>
                <w:color w:val="000000"/>
              </w:rPr>
              <w:t> December </w:t>
            </w:r>
            <w:r w:rsidR="00541EBC">
              <w:rPr>
                <w:b/>
                <w:color w:val="000000"/>
              </w:rPr>
              <w:t>2024</w:t>
            </w:r>
          </w:p>
        </w:tc>
        <w:tc>
          <w:tcPr>
            <w:tcW w:w="510" w:type="pct"/>
            <w:vAlign w:val="bottom"/>
          </w:tcPr>
          <w:p w14:paraId="609F5688"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5BC79B7C"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13A4DC76"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36AA4A5F"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3DF3FE7F"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54771BC3"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870E89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1A5CD5E" w14:textId="77777777" w:rsidTr="001B330E">
        <w:trPr>
          <w:trHeight w:val="23"/>
        </w:trPr>
        <w:tc>
          <w:tcPr>
            <w:tcW w:w="1428" w:type="pct"/>
            <w:tcBorders>
              <w:bottom w:val="single" w:sz="12" w:space="0" w:color="000000"/>
            </w:tcBorders>
            <w:vAlign w:val="bottom"/>
          </w:tcPr>
          <w:p w14:paraId="2533429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10" w:type="pct"/>
            <w:tcBorders>
              <w:bottom w:val="single" w:sz="12" w:space="0" w:color="000000"/>
            </w:tcBorders>
            <w:vAlign w:val="bottom"/>
          </w:tcPr>
          <w:p w14:paraId="3A8E2665"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vAlign w:val="bottom"/>
          </w:tcPr>
          <w:p w14:paraId="7A63C97A"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tcPr>
          <w:p w14:paraId="613556E3"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vAlign w:val="bottom"/>
          </w:tcPr>
          <w:p w14:paraId="56532F2F"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tcPr>
          <w:p w14:paraId="50460D6B"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tcPr>
          <w:p w14:paraId="2A7D9891"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vAlign w:val="bottom"/>
          </w:tcPr>
          <w:p w14:paraId="2F52AC3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8A79F55" w14:textId="77777777" w:rsidTr="001B330E">
        <w:trPr>
          <w:trHeight w:val="23"/>
        </w:trPr>
        <w:tc>
          <w:tcPr>
            <w:tcW w:w="1428" w:type="pct"/>
            <w:tcBorders>
              <w:top w:val="single" w:sz="12" w:space="0" w:color="000000"/>
            </w:tcBorders>
            <w:vAlign w:val="bottom"/>
          </w:tcPr>
          <w:p w14:paraId="20C44DA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10" w:type="pct"/>
            <w:tcBorders>
              <w:top w:val="single" w:sz="12" w:space="0" w:color="000000"/>
            </w:tcBorders>
            <w:vAlign w:val="bottom"/>
          </w:tcPr>
          <w:p w14:paraId="25E352CA"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12" w:space="0" w:color="000000"/>
            </w:tcBorders>
            <w:vAlign w:val="bottom"/>
          </w:tcPr>
          <w:p w14:paraId="1CEBCA6E"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12" w:space="0" w:color="000000"/>
            </w:tcBorders>
          </w:tcPr>
          <w:p w14:paraId="1CC19689"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12" w:space="0" w:color="000000"/>
            </w:tcBorders>
            <w:vAlign w:val="bottom"/>
          </w:tcPr>
          <w:p w14:paraId="49B8BE91"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12" w:space="0" w:color="000000"/>
            </w:tcBorders>
          </w:tcPr>
          <w:p w14:paraId="4F738E60"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12" w:space="0" w:color="000000"/>
            </w:tcBorders>
          </w:tcPr>
          <w:p w14:paraId="1F29E094"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12" w:space="0" w:color="000000"/>
            </w:tcBorders>
            <w:vAlign w:val="bottom"/>
          </w:tcPr>
          <w:p w14:paraId="2499503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E86F70" w14:textId="77777777" w:rsidTr="001B330E">
        <w:trPr>
          <w:trHeight w:val="23"/>
        </w:trPr>
        <w:tc>
          <w:tcPr>
            <w:tcW w:w="1428" w:type="pct"/>
            <w:vAlign w:val="bottom"/>
          </w:tcPr>
          <w:p w14:paraId="419846B0" w14:textId="29960979"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Finance lease payments receivable at 31</w:t>
            </w:r>
            <w:r w:rsidR="00181687">
              <w:rPr>
                <w:b/>
                <w:color w:val="000000"/>
              </w:rPr>
              <w:t> December </w:t>
            </w:r>
            <w:r w:rsidR="00541EBC">
              <w:rPr>
                <w:b/>
                <w:color w:val="000000"/>
              </w:rPr>
              <w:t>2023</w:t>
            </w:r>
          </w:p>
        </w:tc>
        <w:tc>
          <w:tcPr>
            <w:tcW w:w="510" w:type="pct"/>
            <w:vAlign w:val="bottom"/>
          </w:tcPr>
          <w:p w14:paraId="09DC9A5E" w14:textId="77777777" w:rsidR="00D83E33" w:rsidRPr="00EA10CF" w:rsidRDefault="00D83E33">
            <w:pPr>
              <w:widowControl w:val="0"/>
              <w:pBdr>
                <w:top w:val="nil"/>
                <w:left w:val="nil"/>
                <w:bottom w:val="nil"/>
                <w:right w:val="nil"/>
                <w:between w:val="nil"/>
              </w:pBdr>
              <w:jc w:val="right"/>
              <w:rPr>
                <w:b/>
                <w:color w:val="000000"/>
              </w:rPr>
            </w:pPr>
          </w:p>
        </w:tc>
        <w:tc>
          <w:tcPr>
            <w:tcW w:w="510" w:type="pct"/>
            <w:vAlign w:val="bottom"/>
          </w:tcPr>
          <w:p w14:paraId="6F1AC61D" w14:textId="77777777" w:rsidR="00D83E33" w:rsidRPr="00EA10CF" w:rsidRDefault="00D83E33">
            <w:pPr>
              <w:widowControl w:val="0"/>
              <w:pBdr>
                <w:top w:val="nil"/>
                <w:left w:val="nil"/>
                <w:bottom w:val="nil"/>
                <w:right w:val="nil"/>
                <w:between w:val="nil"/>
              </w:pBdr>
              <w:jc w:val="right"/>
              <w:rPr>
                <w:b/>
                <w:color w:val="000000"/>
              </w:rPr>
            </w:pPr>
          </w:p>
        </w:tc>
        <w:tc>
          <w:tcPr>
            <w:tcW w:w="510" w:type="pct"/>
          </w:tcPr>
          <w:p w14:paraId="712F28B0" w14:textId="77777777" w:rsidR="00D83E33" w:rsidRPr="00EA10CF" w:rsidRDefault="00D83E33">
            <w:pPr>
              <w:widowControl w:val="0"/>
              <w:pBdr>
                <w:top w:val="nil"/>
                <w:left w:val="nil"/>
                <w:bottom w:val="nil"/>
                <w:right w:val="nil"/>
                <w:between w:val="nil"/>
              </w:pBdr>
              <w:jc w:val="right"/>
              <w:rPr>
                <w:b/>
                <w:color w:val="000000"/>
              </w:rPr>
            </w:pPr>
          </w:p>
        </w:tc>
        <w:tc>
          <w:tcPr>
            <w:tcW w:w="510" w:type="pct"/>
            <w:vAlign w:val="bottom"/>
          </w:tcPr>
          <w:p w14:paraId="3938E658" w14:textId="77777777" w:rsidR="00D83E33" w:rsidRPr="00EA10CF" w:rsidRDefault="00D83E33">
            <w:pPr>
              <w:widowControl w:val="0"/>
              <w:pBdr>
                <w:top w:val="nil"/>
                <w:left w:val="nil"/>
                <w:bottom w:val="nil"/>
                <w:right w:val="nil"/>
                <w:between w:val="nil"/>
              </w:pBdr>
              <w:jc w:val="right"/>
              <w:rPr>
                <w:b/>
                <w:color w:val="000000"/>
              </w:rPr>
            </w:pPr>
          </w:p>
        </w:tc>
        <w:tc>
          <w:tcPr>
            <w:tcW w:w="510" w:type="pct"/>
          </w:tcPr>
          <w:p w14:paraId="56E981ED" w14:textId="77777777" w:rsidR="00D83E33" w:rsidRPr="00EA10CF" w:rsidRDefault="00D83E33">
            <w:pPr>
              <w:widowControl w:val="0"/>
              <w:pBdr>
                <w:top w:val="nil"/>
                <w:left w:val="nil"/>
                <w:bottom w:val="nil"/>
                <w:right w:val="nil"/>
                <w:between w:val="nil"/>
              </w:pBdr>
              <w:jc w:val="right"/>
              <w:rPr>
                <w:b/>
                <w:color w:val="000000"/>
              </w:rPr>
            </w:pPr>
          </w:p>
        </w:tc>
        <w:tc>
          <w:tcPr>
            <w:tcW w:w="510" w:type="pct"/>
          </w:tcPr>
          <w:p w14:paraId="572A57A2" w14:textId="77777777" w:rsidR="00D83E33" w:rsidRPr="00EA10CF" w:rsidRDefault="00D83E33">
            <w:pPr>
              <w:widowControl w:val="0"/>
              <w:pBdr>
                <w:top w:val="nil"/>
                <w:left w:val="nil"/>
                <w:bottom w:val="nil"/>
                <w:right w:val="nil"/>
                <w:between w:val="nil"/>
              </w:pBdr>
              <w:jc w:val="right"/>
              <w:rPr>
                <w:b/>
                <w:color w:val="000000"/>
              </w:rPr>
            </w:pPr>
          </w:p>
        </w:tc>
        <w:tc>
          <w:tcPr>
            <w:tcW w:w="510" w:type="pct"/>
            <w:vAlign w:val="bottom"/>
          </w:tcPr>
          <w:p w14:paraId="0E70C95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9B7D9D4" w14:textId="77777777" w:rsidTr="001B330E">
        <w:trPr>
          <w:trHeight w:val="23"/>
        </w:trPr>
        <w:tc>
          <w:tcPr>
            <w:tcW w:w="1428" w:type="pct"/>
            <w:vAlign w:val="bottom"/>
          </w:tcPr>
          <w:p w14:paraId="4B07DFF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10" w:type="pct"/>
            <w:vAlign w:val="bottom"/>
          </w:tcPr>
          <w:p w14:paraId="082732F7"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62DADE5B"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019144D8"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3D0AC8A4"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61C021EE"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22E29169"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68F13CD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B83F600" w14:textId="77777777" w:rsidTr="001B330E">
        <w:trPr>
          <w:trHeight w:val="23"/>
        </w:trPr>
        <w:tc>
          <w:tcPr>
            <w:tcW w:w="1428" w:type="pct"/>
            <w:vAlign w:val="bottom"/>
          </w:tcPr>
          <w:p w14:paraId="6D2C45B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Unearned finance income</w:t>
            </w:r>
          </w:p>
        </w:tc>
        <w:tc>
          <w:tcPr>
            <w:tcW w:w="510" w:type="pct"/>
            <w:vAlign w:val="bottom"/>
          </w:tcPr>
          <w:p w14:paraId="567AB9E5"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3D3A6653"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047459B8"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EA299F8"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3EF9ACCA"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0B66983A"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9EAB08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413D8CB" w14:textId="77777777" w:rsidTr="001B330E">
        <w:trPr>
          <w:trHeight w:val="23"/>
        </w:trPr>
        <w:tc>
          <w:tcPr>
            <w:tcW w:w="1428" w:type="pct"/>
            <w:vAlign w:val="bottom"/>
          </w:tcPr>
          <w:p w14:paraId="508143A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Unguaranteed residual value</w:t>
            </w:r>
          </w:p>
        </w:tc>
        <w:tc>
          <w:tcPr>
            <w:tcW w:w="510" w:type="pct"/>
            <w:vAlign w:val="bottom"/>
          </w:tcPr>
          <w:p w14:paraId="0A0E3059"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5D617A68"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7FA1CAD5"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CEF5286"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043DD658"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5354A497"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713B1EA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DE74BE6" w14:textId="77777777" w:rsidTr="001B330E">
        <w:trPr>
          <w:trHeight w:val="23"/>
        </w:trPr>
        <w:tc>
          <w:tcPr>
            <w:tcW w:w="1428" w:type="pct"/>
            <w:vAlign w:val="bottom"/>
          </w:tcPr>
          <w:p w14:paraId="08709B6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Impairment loss provision</w:t>
            </w:r>
          </w:p>
        </w:tc>
        <w:tc>
          <w:tcPr>
            <w:tcW w:w="510" w:type="pct"/>
            <w:vAlign w:val="bottom"/>
          </w:tcPr>
          <w:p w14:paraId="63073023"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25CE8782"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7F314311"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1FE6CFE6"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74C2739B"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62DA0555"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610B69D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4A2397A" w14:textId="77777777" w:rsidTr="001B330E">
        <w:trPr>
          <w:trHeight w:val="23"/>
        </w:trPr>
        <w:tc>
          <w:tcPr>
            <w:tcW w:w="1428" w:type="pct"/>
            <w:tcBorders>
              <w:bottom w:val="single" w:sz="4" w:space="0" w:color="000000"/>
            </w:tcBorders>
            <w:vAlign w:val="bottom"/>
          </w:tcPr>
          <w:p w14:paraId="7D57694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10" w:type="pct"/>
            <w:tcBorders>
              <w:bottom w:val="single" w:sz="4" w:space="0" w:color="000000"/>
            </w:tcBorders>
            <w:vAlign w:val="bottom"/>
          </w:tcPr>
          <w:p w14:paraId="1D6EC7E0"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vAlign w:val="bottom"/>
          </w:tcPr>
          <w:p w14:paraId="3DF69240"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tcPr>
          <w:p w14:paraId="37556BBB"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vAlign w:val="bottom"/>
          </w:tcPr>
          <w:p w14:paraId="6312AD8A"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tcPr>
          <w:p w14:paraId="5E986158"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tcPr>
          <w:p w14:paraId="16DB617C"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4" w:space="0" w:color="000000"/>
            </w:tcBorders>
            <w:vAlign w:val="bottom"/>
          </w:tcPr>
          <w:p w14:paraId="793796D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4B5C737" w14:textId="77777777" w:rsidTr="001B330E">
        <w:trPr>
          <w:trHeight w:val="23"/>
        </w:trPr>
        <w:tc>
          <w:tcPr>
            <w:tcW w:w="1428" w:type="pct"/>
            <w:tcBorders>
              <w:top w:val="single" w:sz="4" w:space="0" w:color="000000"/>
            </w:tcBorders>
            <w:vAlign w:val="bottom"/>
          </w:tcPr>
          <w:p w14:paraId="3E83DDE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10" w:type="pct"/>
            <w:tcBorders>
              <w:top w:val="single" w:sz="4" w:space="0" w:color="000000"/>
            </w:tcBorders>
            <w:vAlign w:val="bottom"/>
          </w:tcPr>
          <w:p w14:paraId="63E4C5ED"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vAlign w:val="bottom"/>
          </w:tcPr>
          <w:p w14:paraId="5A89FB39"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tcPr>
          <w:p w14:paraId="7A77A9A6"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vAlign w:val="bottom"/>
          </w:tcPr>
          <w:p w14:paraId="5BB42D61"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tcPr>
          <w:p w14:paraId="2A3DC79E"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tcPr>
          <w:p w14:paraId="1F1FC906"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top w:val="single" w:sz="4" w:space="0" w:color="000000"/>
            </w:tcBorders>
            <w:vAlign w:val="bottom"/>
          </w:tcPr>
          <w:p w14:paraId="216FAFB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C801B25" w14:textId="77777777" w:rsidTr="001B330E">
        <w:trPr>
          <w:trHeight w:val="23"/>
        </w:trPr>
        <w:tc>
          <w:tcPr>
            <w:tcW w:w="1428" w:type="pct"/>
            <w:vAlign w:val="bottom"/>
          </w:tcPr>
          <w:p w14:paraId="5CA875DA" w14:textId="7BF63E9F"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Present value of lease payments receivable at 31</w:t>
            </w:r>
            <w:r w:rsidR="00181687">
              <w:rPr>
                <w:b/>
                <w:color w:val="000000"/>
              </w:rPr>
              <w:t> December </w:t>
            </w:r>
            <w:r w:rsidR="00541EBC">
              <w:rPr>
                <w:b/>
                <w:color w:val="000000"/>
              </w:rPr>
              <w:t>2023</w:t>
            </w:r>
          </w:p>
        </w:tc>
        <w:tc>
          <w:tcPr>
            <w:tcW w:w="510" w:type="pct"/>
            <w:vAlign w:val="bottom"/>
          </w:tcPr>
          <w:p w14:paraId="45BE031D"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258A3DFD"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4378CD34"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0C6529DF"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20040BA8" w14:textId="77777777" w:rsidR="00D83E33" w:rsidRPr="00EA10CF" w:rsidRDefault="00D83E33">
            <w:pPr>
              <w:widowControl w:val="0"/>
              <w:pBdr>
                <w:top w:val="nil"/>
                <w:left w:val="nil"/>
                <w:bottom w:val="nil"/>
                <w:right w:val="nil"/>
                <w:between w:val="nil"/>
              </w:pBdr>
              <w:jc w:val="right"/>
              <w:rPr>
                <w:color w:val="000000"/>
              </w:rPr>
            </w:pPr>
          </w:p>
        </w:tc>
        <w:tc>
          <w:tcPr>
            <w:tcW w:w="510" w:type="pct"/>
          </w:tcPr>
          <w:p w14:paraId="563FF5FC" w14:textId="77777777" w:rsidR="00D83E33" w:rsidRPr="00EA10CF" w:rsidRDefault="00D83E33">
            <w:pPr>
              <w:widowControl w:val="0"/>
              <w:pBdr>
                <w:top w:val="nil"/>
                <w:left w:val="nil"/>
                <w:bottom w:val="nil"/>
                <w:right w:val="nil"/>
                <w:between w:val="nil"/>
              </w:pBdr>
              <w:jc w:val="right"/>
              <w:rPr>
                <w:color w:val="000000"/>
              </w:rPr>
            </w:pPr>
          </w:p>
        </w:tc>
        <w:tc>
          <w:tcPr>
            <w:tcW w:w="510" w:type="pct"/>
            <w:vAlign w:val="bottom"/>
          </w:tcPr>
          <w:p w14:paraId="6ECCA91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A082852" w14:textId="77777777" w:rsidTr="001B330E">
        <w:trPr>
          <w:trHeight w:val="23"/>
        </w:trPr>
        <w:tc>
          <w:tcPr>
            <w:tcW w:w="1428" w:type="pct"/>
            <w:tcBorders>
              <w:bottom w:val="single" w:sz="12" w:space="0" w:color="000000"/>
            </w:tcBorders>
            <w:vAlign w:val="bottom"/>
          </w:tcPr>
          <w:p w14:paraId="199E260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10" w:type="pct"/>
            <w:tcBorders>
              <w:bottom w:val="single" w:sz="12" w:space="0" w:color="000000"/>
            </w:tcBorders>
            <w:vAlign w:val="bottom"/>
          </w:tcPr>
          <w:p w14:paraId="63265866"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vAlign w:val="bottom"/>
          </w:tcPr>
          <w:p w14:paraId="511A2A2E"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tcPr>
          <w:p w14:paraId="73D0FA7A"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vAlign w:val="bottom"/>
          </w:tcPr>
          <w:p w14:paraId="33261D5F"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tcPr>
          <w:p w14:paraId="58419383"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tcPr>
          <w:p w14:paraId="66C4E5CC" w14:textId="77777777" w:rsidR="00D83E33" w:rsidRPr="00EA10CF" w:rsidRDefault="00D83E33">
            <w:pPr>
              <w:widowControl w:val="0"/>
              <w:pBdr>
                <w:top w:val="nil"/>
                <w:left w:val="nil"/>
                <w:bottom w:val="nil"/>
                <w:right w:val="nil"/>
                <w:between w:val="nil"/>
              </w:pBdr>
              <w:jc w:val="right"/>
              <w:rPr>
                <w:color w:val="000000"/>
              </w:rPr>
            </w:pPr>
          </w:p>
        </w:tc>
        <w:tc>
          <w:tcPr>
            <w:tcW w:w="510" w:type="pct"/>
            <w:tcBorders>
              <w:bottom w:val="single" w:sz="12" w:space="0" w:color="000000"/>
            </w:tcBorders>
            <w:vAlign w:val="bottom"/>
          </w:tcPr>
          <w:p w14:paraId="2AB0C1D1" w14:textId="77777777" w:rsidR="00D83E33" w:rsidRPr="00EA10CF" w:rsidRDefault="00D83E33">
            <w:pPr>
              <w:widowControl w:val="0"/>
              <w:pBdr>
                <w:top w:val="nil"/>
                <w:left w:val="nil"/>
                <w:bottom w:val="nil"/>
                <w:right w:val="nil"/>
                <w:between w:val="nil"/>
              </w:pBdr>
              <w:jc w:val="right"/>
              <w:rPr>
                <w:color w:val="000000"/>
              </w:rPr>
            </w:pPr>
          </w:p>
        </w:tc>
      </w:tr>
    </w:tbl>
    <w:p w14:paraId="3D31481C" w14:textId="4033434F"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Group owns </w:t>
      </w:r>
      <w:r>
        <w:rPr>
          <w:color w:val="0000FF"/>
          <w:sz w:val="20"/>
          <w:szCs w:val="20"/>
        </w:rPr>
        <w:t>[equipment]</w:t>
      </w:r>
      <w:r>
        <w:rPr>
          <w:color w:val="000000"/>
          <w:sz w:val="20"/>
          <w:szCs w:val="20"/>
        </w:rPr>
        <w:t xml:space="preserve"> of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obtained by terminating finance leases of counterparties which were in breach of their contractual obligations, primarily as a result of overdue lease payments. Refer to Note 16. </w:t>
      </w:r>
    </w:p>
    <w:p w14:paraId="26A81FA2"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49 for the disclosure of the fair value of each class of other financial assets. Information on related party balances is disclosed in Note 51.</w:t>
      </w:r>
    </w:p>
    <w:p w14:paraId="1AD24BF1" w14:textId="77777777" w:rsidR="00D83E33" w:rsidRDefault="00BC4072" w:rsidP="001B330E">
      <w:pPr>
        <w:pStyle w:val="Heading1"/>
        <w:spacing w:before="400" w:after="200"/>
      </w:pPr>
      <w:bookmarkStart w:id="45" w:name="_Toc179196018"/>
      <w:r>
        <w:t>Other Assets</w:t>
      </w:r>
      <w:bookmarkEnd w:id="45"/>
    </w:p>
    <w:tbl>
      <w:tblPr>
        <w:tblStyle w:val="affffffffff3"/>
        <w:tblW w:w="5000" w:type="pct"/>
        <w:tblLayout w:type="fixed"/>
        <w:tblLook w:val="0000" w:firstRow="0" w:lastRow="0" w:firstColumn="0" w:lastColumn="0" w:noHBand="0" w:noVBand="0"/>
      </w:tblPr>
      <w:tblGrid>
        <w:gridCol w:w="5671"/>
        <w:gridCol w:w="709"/>
        <w:gridCol w:w="1418"/>
        <w:gridCol w:w="1557"/>
      </w:tblGrid>
      <w:tr w:rsidR="00D83E33" w:rsidRPr="00EA10CF" w14:paraId="40056E07" w14:textId="77777777" w:rsidTr="001B330E">
        <w:trPr>
          <w:trHeight w:val="23"/>
        </w:trPr>
        <w:tc>
          <w:tcPr>
            <w:tcW w:w="3030" w:type="pct"/>
            <w:tcBorders>
              <w:bottom w:val="single" w:sz="4" w:space="0" w:color="000000"/>
            </w:tcBorders>
            <w:vAlign w:val="bottom"/>
          </w:tcPr>
          <w:p w14:paraId="10B817F9" w14:textId="774C7633"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379" w:type="pct"/>
            <w:tcBorders>
              <w:bottom w:val="single" w:sz="4" w:space="0" w:color="000000"/>
            </w:tcBorders>
            <w:vAlign w:val="bottom"/>
          </w:tcPr>
          <w:p w14:paraId="017C6083"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w:t>
            </w:r>
          </w:p>
        </w:tc>
        <w:tc>
          <w:tcPr>
            <w:tcW w:w="758" w:type="pct"/>
            <w:tcBorders>
              <w:bottom w:val="single" w:sz="4" w:space="0" w:color="000000"/>
            </w:tcBorders>
            <w:vAlign w:val="bottom"/>
          </w:tcPr>
          <w:p w14:paraId="1B8F25C8" w14:textId="4E3E0A4A"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32" w:type="pct"/>
            <w:tcBorders>
              <w:bottom w:val="single" w:sz="4" w:space="0" w:color="000000"/>
            </w:tcBorders>
            <w:vAlign w:val="bottom"/>
          </w:tcPr>
          <w:p w14:paraId="5DA9393B" w14:textId="3D1DA993"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2BB38450" w14:textId="77777777" w:rsidTr="001B330E">
        <w:trPr>
          <w:trHeight w:val="23"/>
        </w:trPr>
        <w:tc>
          <w:tcPr>
            <w:tcW w:w="3030" w:type="pct"/>
            <w:tcBorders>
              <w:top w:val="single" w:sz="4" w:space="0" w:color="000000"/>
            </w:tcBorders>
            <w:vAlign w:val="bottom"/>
          </w:tcPr>
          <w:p w14:paraId="2B5ADFC1"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379" w:type="pct"/>
            <w:tcBorders>
              <w:top w:val="single" w:sz="4" w:space="0" w:color="000000"/>
            </w:tcBorders>
            <w:vAlign w:val="bottom"/>
          </w:tcPr>
          <w:p w14:paraId="5846C774" w14:textId="77777777" w:rsidR="00D83E33" w:rsidRPr="00EA10CF" w:rsidRDefault="00D83E33">
            <w:pPr>
              <w:widowControl w:val="0"/>
              <w:pBdr>
                <w:top w:val="nil"/>
                <w:left w:val="nil"/>
                <w:bottom w:val="nil"/>
                <w:right w:val="nil"/>
                <w:between w:val="nil"/>
              </w:pBdr>
              <w:jc w:val="center"/>
              <w:rPr>
                <w:color w:val="000000"/>
              </w:rPr>
            </w:pPr>
          </w:p>
        </w:tc>
        <w:tc>
          <w:tcPr>
            <w:tcW w:w="758" w:type="pct"/>
            <w:vAlign w:val="bottom"/>
          </w:tcPr>
          <w:p w14:paraId="2E5E8CE6" w14:textId="77777777" w:rsidR="00D83E33" w:rsidRPr="00EA10CF" w:rsidRDefault="00D83E33">
            <w:pPr>
              <w:widowControl w:val="0"/>
              <w:pBdr>
                <w:top w:val="nil"/>
                <w:left w:val="nil"/>
                <w:bottom w:val="nil"/>
                <w:right w:val="nil"/>
                <w:between w:val="nil"/>
              </w:pBdr>
              <w:jc w:val="right"/>
              <w:rPr>
                <w:color w:val="000000"/>
              </w:rPr>
            </w:pPr>
          </w:p>
        </w:tc>
        <w:tc>
          <w:tcPr>
            <w:tcW w:w="832" w:type="pct"/>
            <w:vAlign w:val="bottom"/>
          </w:tcPr>
          <w:p w14:paraId="7C5032A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DB1F1CB" w14:textId="77777777" w:rsidTr="001B330E">
        <w:trPr>
          <w:trHeight w:val="23"/>
        </w:trPr>
        <w:tc>
          <w:tcPr>
            <w:tcW w:w="3030" w:type="pct"/>
            <w:vAlign w:val="bottom"/>
          </w:tcPr>
          <w:p w14:paraId="20E7B686" w14:textId="77777777" w:rsidR="00D83E33" w:rsidRPr="00EA10CF" w:rsidRDefault="00BC4072">
            <w:pPr>
              <w:widowControl w:val="0"/>
              <w:pBdr>
                <w:top w:val="nil"/>
                <w:left w:val="nil"/>
                <w:bottom w:val="nil"/>
                <w:right w:val="nil"/>
                <w:between w:val="nil"/>
              </w:pBdr>
              <w:rPr>
                <w:color w:val="000000"/>
              </w:rPr>
            </w:pPr>
            <w:r w:rsidRPr="00EA10CF">
              <w:rPr>
                <w:color w:val="000000"/>
              </w:rPr>
              <w:t>Prepayments for construction in progress</w:t>
            </w:r>
          </w:p>
        </w:tc>
        <w:tc>
          <w:tcPr>
            <w:tcW w:w="379" w:type="pct"/>
            <w:vAlign w:val="bottom"/>
          </w:tcPr>
          <w:p w14:paraId="7451F4C3" w14:textId="77777777" w:rsidR="00D83E33" w:rsidRPr="00EA10CF" w:rsidRDefault="00D83E33">
            <w:pPr>
              <w:widowControl w:val="0"/>
              <w:pBdr>
                <w:top w:val="nil"/>
                <w:left w:val="nil"/>
                <w:bottom w:val="nil"/>
                <w:right w:val="nil"/>
                <w:between w:val="nil"/>
              </w:pBdr>
              <w:jc w:val="center"/>
              <w:rPr>
                <w:color w:val="000000"/>
              </w:rPr>
            </w:pPr>
          </w:p>
        </w:tc>
        <w:tc>
          <w:tcPr>
            <w:tcW w:w="758" w:type="pct"/>
            <w:vAlign w:val="bottom"/>
          </w:tcPr>
          <w:p w14:paraId="0727E4FD" w14:textId="77777777" w:rsidR="00D83E33" w:rsidRPr="00EA10CF" w:rsidRDefault="00D83E33">
            <w:pPr>
              <w:widowControl w:val="0"/>
              <w:pBdr>
                <w:top w:val="nil"/>
                <w:left w:val="nil"/>
                <w:bottom w:val="nil"/>
                <w:right w:val="nil"/>
                <w:between w:val="nil"/>
              </w:pBdr>
              <w:jc w:val="right"/>
              <w:rPr>
                <w:color w:val="000000"/>
              </w:rPr>
            </w:pPr>
          </w:p>
        </w:tc>
        <w:tc>
          <w:tcPr>
            <w:tcW w:w="832" w:type="pct"/>
            <w:vAlign w:val="bottom"/>
          </w:tcPr>
          <w:p w14:paraId="2088730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580EE2F" w14:textId="77777777" w:rsidTr="001B330E">
        <w:trPr>
          <w:trHeight w:val="23"/>
        </w:trPr>
        <w:tc>
          <w:tcPr>
            <w:tcW w:w="3030" w:type="pct"/>
            <w:vAlign w:val="bottom"/>
          </w:tcPr>
          <w:p w14:paraId="1E95C434" w14:textId="77777777" w:rsidR="00D83E33" w:rsidRPr="00EA10CF" w:rsidRDefault="00BC4072">
            <w:pPr>
              <w:widowControl w:val="0"/>
              <w:pBdr>
                <w:top w:val="nil"/>
                <w:left w:val="nil"/>
                <w:bottom w:val="nil"/>
                <w:right w:val="nil"/>
                <w:between w:val="nil"/>
              </w:pBdr>
              <w:rPr>
                <w:color w:val="000000"/>
              </w:rPr>
            </w:pPr>
            <w:r w:rsidRPr="00EA10CF">
              <w:rPr>
                <w:color w:val="000000"/>
              </w:rPr>
              <w:t>Prepayments for services</w:t>
            </w:r>
          </w:p>
        </w:tc>
        <w:tc>
          <w:tcPr>
            <w:tcW w:w="379" w:type="pct"/>
            <w:vAlign w:val="bottom"/>
          </w:tcPr>
          <w:p w14:paraId="7294AEFE" w14:textId="77777777" w:rsidR="00D83E33" w:rsidRPr="00EA10CF" w:rsidRDefault="00D83E33">
            <w:pPr>
              <w:widowControl w:val="0"/>
              <w:pBdr>
                <w:top w:val="nil"/>
                <w:left w:val="nil"/>
                <w:bottom w:val="nil"/>
                <w:right w:val="nil"/>
                <w:between w:val="nil"/>
              </w:pBdr>
              <w:jc w:val="center"/>
              <w:rPr>
                <w:color w:val="000000"/>
              </w:rPr>
            </w:pPr>
          </w:p>
        </w:tc>
        <w:tc>
          <w:tcPr>
            <w:tcW w:w="758" w:type="pct"/>
            <w:vAlign w:val="bottom"/>
          </w:tcPr>
          <w:p w14:paraId="4D0A37A4" w14:textId="77777777" w:rsidR="00D83E33" w:rsidRPr="00EA10CF" w:rsidRDefault="00D83E33">
            <w:pPr>
              <w:widowControl w:val="0"/>
              <w:pBdr>
                <w:top w:val="nil"/>
                <w:left w:val="nil"/>
                <w:bottom w:val="nil"/>
                <w:right w:val="nil"/>
                <w:between w:val="nil"/>
              </w:pBdr>
              <w:jc w:val="right"/>
              <w:rPr>
                <w:color w:val="000000"/>
              </w:rPr>
            </w:pPr>
          </w:p>
        </w:tc>
        <w:tc>
          <w:tcPr>
            <w:tcW w:w="832" w:type="pct"/>
            <w:vAlign w:val="bottom"/>
          </w:tcPr>
          <w:p w14:paraId="1C0561A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B7C9CCC" w14:textId="77777777" w:rsidTr="001B330E">
        <w:trPr>
          <w:trHeight w:val="23"/>
        </w:trPr>
        <w:tc>
          <w:tcPr>
            <w:tcW w:w="3030" w:type="pct"/>
            <w:vAlign w:val="bottom"/>
          </w:tcPr>
          <w:p w14:paraId="0E3E4DBB" w14:textId="77777777" w:rsidR="00D83E33" w:rsidRPr="00EA10CF" w:rsidRDefault="00BC4072">
            <w:pPr>
              <w:widowControl w:val="0"/>
              <w:pBdr>
                <w:top w:val="nil"/>
                <w:left w:val="nil"/>
                <w:bottom w:val="nil"/>
                <w:right w:val="nil"/>
                <w:between w:val="nil"/>
              </w:pBdr>
              <w:rPr>
                <w:color w:val="000000"/>
              </w:rPr>
            </w:pPr>
            <w:r w:rsidRPr="00EA10CF">
              <w:rPr>
                <w:color w:val="000000"/>
              </w:rPr>
              <w:t>Repossessed collateral</w:t>
            </w:r>
          </w:p>
        </w:tc>
        <w:tc>
          <w:tcPr>
            <w:tcW w:w="379" w:type="pct"/>
            <w:vAlign w:val="bottom"/>
          </w:tcPr>
          <w:p w14:paraId="0738AB72" w14:textId="77777777" w:rsidR="00D83E33" w:rsidRPr="00EA10CF" w:rsidRDefault="00D83E33">
            <w:pPr>
              <w:widowControl w:val="0"/>
              <w:pBdr>
                <w:top w:val="nil"/>
                <w:left w:val="nil"/>
                <w:bottom w:val="nil"/>
                <w:right w:val="nil"/>
                <w:between w:val="nil"/>
              </w:pBdr>
              <w:jc w:val="center"/>
              <w:rPr>
                <w:color w:val="000000"/>
              </w:rPr>
            </w:pPr>
          </w:p>
        </w:tc>
        <w:tc>
          <w:tcPr>
            <w:tcW w:w="758" w:type="pct"/>
            <w:vAlign w:val="bottom"/>
          </w:tcPr>
          <w:p w14:paraId="2415E3D9" w14:textId="77777777" w:rsidR="00D83E33" w:rsidRPr="00EA10CF" w:rsidRDefault="00D83E33">
            <w:pPr>
              <w:widowControl w:val="0"/>
              <w:pBdr>
                <w:top w:val="nil"/>
                <w:left w:val="nil"/>
                <w:bottom w:val="nil"/>
                <w:right w:val="nil"/>
                <w:between w:val="nil"/>
              </w:pBdr>
              <w:jc w:val="right"/>
              <w:rPr>
                <w:color w:val="000000"/>
              </w:rPr>
            </w:pPr>
          </w:p>
        </w:tc>
        <w:tc>
          <w:tcPr>
            <w:tcW w:w="832" w:type="pct"/>
            <w:vAlign w:val="bottom"/>
          </w:tcPr>
          <w:p w14:paraId="76D2AE7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99DECA2" w14:textId="77777777" w:rsidTr="001B330E">
        <w:trPr>
          <w:trHeight w:val="23"/>
        </w:trPr>
        <w:tc>
          <w:tcPr>
            <w:tcW w:w="3030" w:type="pct"/>
            <w:vAlign w:val="bottom"/>
          </w:tcPr>
          <w:p w14:paraId="4697F82E"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Precious metals </w:t>
            </w:r>
          </w:p>
        </w:tc>
        <w:tc>
          <w:tcPr>
            <w:tcW w:w="379" w:type="pct"/>
            <w:vAlign w:val="bottom"/>
          </w:tcPr>
          <w:p w14:paraId="4F18CDC8" w14:textId="77777777" w:rsidR="00D83E33" w:rsidRPr="00EA10CF" w:rsidRDefault="00D83E33">
            <w:pPr>
              <w:widowControl w:val="0"/>
              <w:pBdr>
                <w:top w:val="nil"/>
                <w:left w:val="nil"/>
                <w:bottom w:val="nil"/>
                <w:right w:val="nil"/>
                <w:between w:val="nil"/>
              </w:pBdr>
              <w:jc w:val="center"/>
              <w:rPr>
                <w:color w:val="000000"/>
              </w:rPr>
            </w:pPr>
          </w:p>
        </w:tc>
        <w:tc>
          <w:tcPr>
            <w:tcW w:w="758" w:type="pct"/>
            <w:vAlign w:val="bottom"/>
          </w:tcPr>
          <w:p w14:paraId="059B6008" w14:textId="77777777" w:rsidR="00D83E33" w:rsidRPr="00EA10CF" w:rsidRDefault="00D83E33">
            <w:pPr>
              <w:widowControl w:val="0"/>
              <w:pBdr>
                <w:top w:val="nil"/>
                <w:left w:val="nil"/>
                <w:bottom w:val="nil"/>
                <w:right w:val="nil"/>
                <w:between w:val="nil"/>
              </w:pBdr>
              <w:jc w:val="right"/>
              <w:rPr>
                <w:color w:val="000000"/>
              </w:rPr>
            </w:pPr>
          </w:p>
        </w:tc>
        <w:tc>
          <w:tcPr>
            <w:tcW w:w="832" w:type="pct"/>
            <w:vAlign w:val="bottom"/>
          </w:tcPr>
          <w:p w14:paraId="34BFB56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870EA6" w14:textId="77777777" w:rsidTr="001B330E">
        <w:trPr>
          <w:trHeight w:val="23"/>
        </w:trPr>
        <w:tc>
          <w:tcPr>
            <w:tcW w:w="3030" w:type="pct"/>
            <w:vAlign w:val="bottom"/>
          </w:tcPr>
          <w:p w14:paraId="7A8BC4A3" w14:textId="77777777" w:rsidR="00D83E33" w:rsidRPr="00EA10CF" w:rsidRDefault="00BC4072">
            <w:pPr>
              <w:widowControl w:val="0"/>
              <w:pBdr>
                <w:top w:val="nil"/>
                <w:left w:val="nil"/>
                <w:bottom w:val="nil"/>
                <w:right w:val="nil"/>
                <w:between w:val="nil"/>
              </w:pBdr>
              <w:rPr>
                <w:color w:val="000000"/>
              </w:rPr>
            </w:pPr>
            <w:r w:rsidRPr="00EA10CF">
              <w:rPr>
                <w:color w:val="000000"/>
              </w:rPr>
              <w:t>Other</w:t>
            </w:r>
          </w:p>
        </w:tc>
        <w:tc>
          <w:tcPr>
            <w:tcW w:w="379" w:type="pct"/>
            <w:vAlign w:val="bottom"/>
          </w:tcPr>
          <w:p w14:paraId="5F038D7C" w14:textId="77777777" w:rsidR="00D83E33" w:rsidRPr="00EA10CF" w:rsidRDefault="00D83E33">
            <w:pPr>
              <w:widowControl w:val="0"/>
              <w:pBdr>
                <w:top w:val="nil"/>
                <w:left w:val="nil"/>
                <w:bottom w:val="nil"/>
                <w:right w:val="nil"/>
                <w:between w:val="nil"/>
              </w:pBdr>
              <w:jc w:val="center"/>
              <w:rPr>
                <w:color w:val="000000"/>
              </w:rPr>
            </w:pPr>
          </w:p>
        </w:tc>
        <w:tc>
          <w:tcPr>
            <w:tcW w:w="758" w:type="pct"/>
            <w:vAlign w:val="bottom"/>
          </w:tcPr>
          <w:p w14:paraId="2657BA05" w14:textId="77777777" w:rsidR="00D83E33" w:rsidRPr="00EA10CF" w:rsidRDefault="00D83E33">
            <w:pPr>
              <w:widowControl w:val="0"/>
              <w:pBdr>
                <w:top w:val="nil"/>
                <w:left w:val="nil"/>
                <w:bottom w:val="nil"/>
                <w:right w:val="nil"/>
                <w:between w:val="nil"/>
              </w:pBdr>
              <w:jc w:val="right"/>
              <w:rPr>
                <w:color w:val="000000"/>
              </w:rPr>
            </w:pPr>
          </w:p>
        </w:tc>
        <w:tc>
          <w:tcPr>
            <w:tcW w:w="832" w:type="pct"/>
            <w:vAlign w:val="bottom"/>
          </w:tcPr>
          <w:p w14:paraId="0E8821D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D41777E" w14:textId="77777777" w:rsidTr="001B330E">
        <w:trPr>
          <w:trHeight w:val="23"/>
        </w:trPr>
        <w:tc>
          <w:tcPr>
            <w:tcW w:w="3030" w:type="pct"/>
            <w:tcBorders>
              <w:bottom w:val="single" w:sz="4" w:space="0" w:color="000000"/>
            </w:tcBorders>
            <w:vAlign w:val="bottom"/>
          </w:tcPr>
          <w:p w14:paraId="3349AC1B" w14:textId="77777777" w:rsidR="00D83E33" w:rsidRPr="00EA10CF" w:rsidRDefault="00BC4072">
            <w:pPr>
              <w:widowControl w:val="0"/>
              <w:pBdr>
                <w:top w:val="nil"/>
                <w:left w:val="nil"/>
                <w:bottom w:val="nil"/>
                <w:right w:val="nil"/>
                <w:between w:val="nil"/>
              </w:pBdr>
              <w:rPr>
                <w:b/>
                <w:color w:val="000000"/>
              </w:rPr>
            </w:pPr>
            <w:r w:rsidRPr="00EA10CF">
              <w:rPr>
                <w:color w:val="000000"/>
              </w:rPr>
              <w:t> </w:t>
            </w:r>
          </w:p>
        </w:tc>
        <w:tc>
          <w:tcPr>
            <w:tcW w:w="379" w:type="pct"/>
            <w:tcBorders>
              <w:bottom w:val="single" w:sz="4" w:space="0" w:color="000000"/>
            </w:tcBorders>
            <w:vAlign w:val="bottom"/>
          </w:tcPr>
          <w:p w14:paraId="2C5C4B52" w14:textId="77777777" w:rsidR="00D83E33" w:rsidRPr="00EA10CF" w:rsidRDefault="00D83E33">
            <w:pPr>
              <w:widowControl w:val="0"/>
              <w:pBdr>
                <w:top w:val="nil"/>
                <w:left w:val="nil"/>
                <w:bottom w:val="nil"/>
                <w:right w:val="nil"/>
                <w:between w:val="nil"/>
              </w:pBdr>
              <w:jc w:val="center"/>
              <w:rPr>
                <w:b/>
                <w:color w:val="000000"/>
              </w:rPr>
            </w:pPr>
          </w:p>
        </w:tc>
        <w:tc>
          <w:tcPr>
            <w:tcW w:w="758" w:type="pct"/>
            <w:tcBorders>
              <w:bottom w:val="single" w:sz="4" w:space="0" w:color="000000"/>
            </w:tcBorders>
            <w:vAlign w:val="bottom"/>
          </w:tcPr>
          <w:p w14:paraId="6BC25583" w14:textId="77777777" w:rsidR="00D83E33" w:rsidRPr="00EA10CF" w:rsidRDefault="00D83E33">
            <w:pPr>
              <w:widowControl w:val="0"/>
              <w:pBdr>
                <w:top w:val="nil"/>
                <w:left w:val="nil"/>
                <w:bottom w:val="nil"/>
                <w:right w:val="nil"/>
                <w:between w:val="nil"/>
              </w:pBdr>
              <w:jc w:val="right"/>
              <w:rPr>
                <w:color w:val="000000"/>
              </w:rPr>
            </w:pPr>
          </w:p>
        </w:tc>
        <w:tc>
          <w:tcPr>
            <w:tcW w:w="832" w:type="pct"/>
            <w:tcBorders>
              <w:bottom w:val="single" w:sz="4" w:space="0" w:color="000000"/>
            </w:tcBorders>
            <w:vAlign w:val="bottom"/>
          </w:tcPr>
          <w:p w14:paraId="195782C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F8100FA" w14:textId="77777777" w:rsidTr="001B330E">
        <w:trPr>
          <w:trHeight w:val="23"/>
        </w:trPr>
        <w:tc>
          <w:tcPr>
            <w:tcW w:w="3030" w:type="pct"/>
            <w:tcBorders>
              <w:top w:val="single" w:sz="4" w:space="0" w:color="000000"/>
            </w:tcBorders>
            <w:vAlign w:val="bottom"/>
          </w:tcPr>
          <w:p w14:paraId="6391FD21" w14:textId="77777777" w:rsidR="00D83E33" w:rsidRPr="00EA10CF" w:rsidRDefault="00BC4072">
            <w:pPr>
              <w:widowControl w:val="0"/>
              <w:rPr>
                <w:b/>
              </w:rPr>
            </w:pPr>
            <w:r w:rsidRPr="00EA10CF">
              <w:t> </w:t>
            </w:r>
          </w:p>
        </w:tc>
        <w:tc>
          <w:tcPr>
            <w:tcW w:w="379" w:type="pct"/>
            <w:tcBorders>
              <w:top w:val="single" w:sz="4" w:space="0" w:color="000000"/>
            </w:tcBorders>
            <w:vAlign w:val="bottom"/>
          </w:tcPr>
          <w:p w14:paraId="72A8CB74" w14:textId="77777777" w:rsidR="00D83E33" w:rsidRPr="00EA10CF" w:rsidRDefault="00D83E33">
            <w:pPr>
              <w:widowControl w:val="0"/>
              <w:pBdr>
                <w:top w:val="nil"/>
                <w:left w:val="nil"/>
                <w:bottom w:val="nil"/>
                <w:right w:val="nil"/>
                <w:between w:val="nil"/>
              </w:pBdr>
              <w:jc w:val="center"/>
              <w:rPr>
                <w:b/>
                <w:color w:val="000000"/>
              </w:rPr>
            </w:pPr>
          </w:p>
        </w:tc>
        <w:tc>
          <w:tcPr>
            <w:tcW w:w="758" w:type="pct"/>
            <w:vAlign w:val="bottom"/>
          </w:tcPr>
          <w:p w14:paraId="509213A1" w14:textId="77777777" w:rsidR="00D83E33" w:rsidRPr="00EA10CF" w:rsidRDefault="00D83E33">
            <w:pPr>
              <w:widowControl w:val="0"/>
              <w:pBdr>
                <w:top w:val="nil"/>
                <w:left w:val="nil"/>
                <w:bottom w:val="nil"/>
                <w:right w:val="nil"/>
                <w:between w:val="nil"/>
              </w:pBdr>
              <w:jc w:val="right"/>
              <w:rPr>
                <w:color w:val="000000"/>
              </w:rPr>
            </w:pPr>
          </w:p>
        </w:tc>
        <w:tc>
          <w:tcPr>
            <w:tcW w:w="832" w:type="pct"/>
            <w:vAlign w:val="bottom"/>
          </w:tcPr>
          <w:p w14:paraId="0F07F64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A0274B3" w14:textId="77777777" w:rsidTr="001B330E">
        <w:trPr>
          <w:trHeight w:val="23"/>
        </w:trPr>
        <w:tc>
          <w:tcPr>
            <w:tcW w:w="3030" w:type="pct"/>
            <w:vAlign w:val="bottom"/>
          </w:tcPr>
          <w:p w14:paraId="530F4D36"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other assets</w:t>
            </w:r>
          </w:p>
        </w:tc>
        <w:tc>
          <w:tcPr>
            <w:tcW w:w="379" w:type="pct"/>
            <w:vAlign w:val="bottom"/>
          </w:tcPr>
          <w:p w14:paraId="0D11FB05" w14:textId="77777777" w:rsidR="00D83E33" w:rsidRPr="00EA10CF" w:rsidRDefault="00D83E33">
            <w:pPr>
              <w:widowControl w:val="0"/>
              <w:pBdr>
                <w:top w:val="nil"/>
                <w:left w:val="nil"/>
                <w:bottom w:val="nil"/>
                <w:right w:val="nil"/>
                <w:between w:val="nil"/>
              </w:pBdr>
              <w:jc w:val="center"/>
              <w:rPr>
                <w:b/>
                <w:color w:val="000000"/>
              </w:rPr>
            </w:pPr>
          </w:p>
        </w:tc>
        <w:tc>
          <w:tcPr>
            <w:tcW w:w="758" w:type="pct"/>
            <w:vAlign w:val="bottom"/>
          </w:tcPr>
          <w:p w14:paraId="05D79F99" w14:textId="77777777" w:rsidR="00D83E33" w:rsidRPr="00EA10CF" w:rsidRDefault="00D83E33">
            <w:pPr>
              <w:widowControl w:val="0"/>
              <w:pBdr>
                <w:top w:val="nil"/>
                <w:left w:val="nil"/>
                <w:bottom w:val="nil"/>
                <w:right w:val="nil"/>
                <w:between w:val="nil"/>
              </w:pBdr>
              <w:jc w:val="right"/>
              <w:rPr>
                <w:b/>
                <w:color w:val="000000"/>
              </w:rPr>
            </w:pPr>
          </w:p>
        </w:tc>
        <w:tc>
          <w:tcPr>
            <w:tcW w:w="832" w:type="pct"/>
            <w:vAlign w:val="bottom"/>
          </w:tcPr>
          <w:p w14:paraId="3C126D9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A015153" w14:textId="77777777" w:rsidTr="001B330E">
        <w:trPr>
          <w:trHeight w:val="23"/>
        </w:trPr>
        <w:tc>
          <w:tcPr>
            <w:tcW w:w="3030" w:type="pct"/>
            <w:tcBorders>
              <w:bottom w:val="single" w:sz="12" w:space="0" w:color="000000"/>
            </w:tcBorders>
            <w:vAlign w:val="bottom"/>
          </w:tcPr>
          <w:p w14:paraId="3B43B7C4" w14:textId="77777777" w:rsidR="00D83E33" w:rsidRPr="00EA10CF" w:rsidRDefault="00BC4072">
            <w:pPr>
              <w:widowControl w:val="0"/>
              <w:rPr>
                <w:b/>
              </w:rPr>
            </w:pPr>
            <w:r w:rsidRPr="00EA10CF">
              <w:t> </w:t>
            </w:r>
          </w:p>
        </w:tc>
        <w:tc>
          <w:tcPr>
            <w:tcW w:w="379" w:type="pct"/>
            <w:tcBorders>
              <w:bottom w:val="single" w:sz="12" w:space="0" w:color="000000"/>
            </w:tcBorders>
            <w:vAlign w:val="bottom"/>
          </w:tcPr>
          <w:p w14:paraId="2FEDB1A5" w14:textId="77777777" w:rsidR="00D83E33" w:rsidRPr="00EA10CF" w:rsidRDefault="00D83E33">
            <w:pPr>
              <w:widowControl w:val="0"/>
              <w:pBdr>
                <w:top w:val="nil"/>
                <w:left w:val="nil"/>
                <w:bottom w:val="nil"/>
                <w:right w:val="nil"/>
                <w:between w:val="nil"/>
              </w:pBdr>
              <w:jc w:val="center"/>
              <w:rPr>
                <w:b/>
                <w:color w:val="000000"/>
              </w:rPr>
            </w:pPr>
          </w:p>
        </w:tc>
        <w:tc>
          <w:tcPr>
            <w:tcW w:w="758" w:type="pct"/>
            <w:tcBorders>
              <w:bottom w:val="single" w:sz="12" w:space="0" w:color="000000"/>
            </w:tcBorders>
            <w:vAlign w:val="bottom"/>
          </w:tcPr>
          <w:p w14:paraId="4CC4DFCE" w14:textId="77777777" w:rsidR="00D83E33" w:rsidRPr="00EA10CF" w:rsidRDefault="00D83E33">
            <w:pPr>
              <w:widowControl w:val="0"/>
              <w:pBdr>
                <w:top w:val="nil"/>
                <w:left w:val="nil"/>
                <w:bottom w:val="nil"/>
                <w:right w:val="nil"/>
                <w:between w:val="nil"/>
              </w:pBdr>
              <w:jc w:val="right"/>
              <w:rPr>
                <w:color w:val="000000"/>
              </w:rPr>
            </w:pPr>
          </w:p>
        </w:tc>
        <w:tc>
          <w:tcPr>
            <w:tcW w:w="832" w:type="pct"/>
            <w:tcBorders>
              <w:bottom w:val="single" w:sz="12" w:space="0" w:color="000000"/>
            </w:tcBorders>
            <w:vAlign w:val="bottom"/>
          </w:tcPr>
          <w:p w14:paraId="37CACC03" w14:textId="77777777" w:rsidR="00D83E33" w:rsidRPr="00EA10CF" w:rsidRDefault="00D83E33">
            <w:pPr>
              <w:widowControl w:val="0"/>
              <w:pBdr>
                <w:top w:val="nil"/>
                <w:left w:val="nil"/>
                <w:bottom w:val="nil"/>
                <w:right w:val="nil"/>
                <w:between w:val="nil"/>
              </w:pBdr>
              <w:jc w:val="right"/>
              <w:rPr>
                <w:color w:val="000000"/>
              </w:rPr>
            </w:pPr>
          </w:p>
        </w:tc>
      </w:tr>
    </w:tbl>
    <w:p w14:paraId="1F99CCDF" w14:textId="32B09A4D" w:rsidR="00D83E33" w:rsidRDefault="00BC4072" w:rsidP="001B330E">
      <w:pPr>
        <w:pStyle w:val="Continued"/>
      </w:pPr>
      <w:r>
        <w:lastRenderedPageBreak/>
        <w:t>16</w:t>
      </w:r>
      <w:r>
        <w:tab/>
        <w:t>Other Assets (Continued)</w:t>
      </w:r>
    </w:p>
    <w:p w14:paraId="6A555A41" w14:textId="586947E7"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[Repossessed collateral represents </w:t>
      </w:r>
      <w:r w:rsidR="0049022E">
        <w:rPr>
          <w:color w:val="0000FF"/>
          <w:sz w:val="20"/>
          <w:szCs w:val="20"/>
        </w:rPr>
        <w:t>[</w:t>
      </w:r>
      <w:r>
        <w:rPr>
          <w:color w:val="0000FF"/>
          <w:sz w:val="20"/>
          <w:szCs w:val="20"/>
        </w:rPr>
        <w:t>real estate assets</w:t>
      </w:r>
      <w:r w:rsidR="0049022E">
        <w:rPr>
          <w:color w:val="0000FF"/>
          <w:sz w:val="20"/>
          <w:szCs w:val="20"/>
        </w:rPr>
        <w:t>]</w:t>
      </w:r>
      <w:r>
        <w:rPr>
          <w:color w:val="0000FF"/>
          <w:sz w:val="20"/>
          <w:szCs w:val="20"/>
        </w:rPr>
        <w:t xml:space="preserve"> acquired by the Group in settlement of overdue loans. The Group expects to dispose of the assets in the foreseeable future. The </w:t>
      </w:r>
      <w:r w:rsidR="00F56971">
        <w:rPr>
          <w:color w:val="0000FF"/>
          <w:sz w:val="20"/>
          <w:szCs w:val="20"/>
        </w:rPr>
        <w:t xml:space="preserve">repossessed real estate </w:t>
      </w:r>
      <w:r>
        <w:rPr>
          <w:color w:val="0000FF"/>
          <w:sz w:val="20"/>
          <w:szCs w:val="20"/>
        </w:rPr>
        <w:t>assets do not meet the definition of non-current assets held for sale, and are classified as inventories in accordance with IAS 2 “Inventories”. The assets were initially recognised at fair value when acquired.</w:t>
      </w:r>
      <w:r w:rsidR="0049022E">
        <w:rPr>
          <w:color w:val="0000FF"/>
          <w:sz w:val="20"/>
          <w:szCs w:val="20"/>
        </w:rPr>
        <w:t xml:space="preserve"> </w:t>
      </w:r>
    </w:p>
    <w:p w14:paraId="043E637E" w14:textId="250EB3AD" w:rsidR="00F56971" w:rsidRDefault="00F56971" w:rsidP="00F56971">
      <w:pPr>
        <w:widowControl w:val="0"/>
        <w:pBdr>
          <w:top w:val="nil"/>
          <w:left w:val="nil"/>
          <w:bottom w:val="nil"/>
          <w:right w:val="nil"/>
          <w:between w:val="nil"/>
        </w:pBdr>
        <w:spacing w:before="200" w:after="200"/>
        <w:jc w:val="both"/>
        <w:rPr>
          <w:i/>
          <w:iCs/>
          <w:color w:val="FF0000"/>
          <w:sz w:val="20"/>
          <w:szCs w:val="20"/>
        </w:rPr>
      </w:pPr>
      <w:r>
        <w:rPr>
          <w:color w:val="0000FF"/>
          <w:sz w:val="20"/>
          <w:szCs w:val="20"/>
        </w:rPr>
        <w:t>[</w:t>
      </w:r>
      <w:r>
        <w:rPr>
          <w:b/>
          <w:i/>
          <w:color w:val="0000FF"/>
          <w:sz w:val="20"/>
          <w:szCs w:val="20"/>
        </w:rPr>
        <w:t>Precious metals.</w:t>
      </w:r>
      <w:r>
        <w:rPr>
          <w:color w:val="0000FF"/>
          <w:sz w:val="20"/>
          <w:szCs w:val="20"/>
        </w:rPr>
        <w:t xml:space="preserve"> The Group has a practice of taking delivery of precious metals and selling them within a short period after delivery, for the purpose of generating a profit from short-term fluctuations in price or dealer’s margin. Precious metals are carried at the lower of cost or net realisable value.] [Precious metals are held by the Group’s commodity broker-trader subsidiary and are measured at fair value less costs to sell with gains or losses recognised in profit or loss.] </w:t>
      </w:r>
    </w:p>
    <w:p w14:paraId="0EA04750" w14:textId="6AB5D1B6" w:rsidR="00093671" w:rsidRPr="00093671" w:rsidRDefault="00093671" w:rsidP="00F56971">
      <w:pPr>
        <w:widowControl w:val="0"/>
        <w:pBdr>
          <w:top w:val="nil"/>
          <w:left w:val="nil"/>
          <w:bottom w:val="nil"/>
          <w:right w:val="nil"/>
          <w:between w:val="nil"/>
        </w:pBdr>
        <w:spacing w:before="200" w:after="200"/>
        <w:jc w:val="both"/>
        <w:rPr>
          <w:color w:val="000000"/>
          <w:sz w:val="24"/>
          <w:szCs w:val="24"/>
        </w:rPr>
      </w:pPr>
      <w:r>
        <w:rPr>
          <w:b/>
          <w:i/>
          <w:color w:val="0000FF"/>
          <w:sz w:val="20"/>
          <w:szCs w:val="20"/>
        </w:rPr>
        <w:t>[Land development and resale.</w:t>
      </w:r>
      <w:r>
        <w:rPr>
          <w:color w:val="0000FF"/>
          <w:sz w:val="20"/>
          <w:szCs w:val="20"/>
        </w:rPr>
        <w:t xml:space="preserve"> The Group’s subsidiary develops and sells residential properties. Revenue is recognised when control over the property has been transferred to the customer. The properties have generally no alternative use for the Group due to contractual restrictions. However, an enforceable right to payment does not arise until legal title has passed to the customer. Therefore, revenue is recognised at a point in time when the legal title passes to the customer. Revenue is measured at the transaction price agreed in the contract. In most cases, the consideration is due when the legal title has been transferred. While deferred payment terms may be agreed in some circumstances, the deferral never exceeds twelve months. The transaction price is therefore not adjusted for the effects of a significant financing component. The revenue on the land development and resale is recognised within [other operating income in profit or loss].</w:t>
      </w:r>
    </w:p>
    <w:p w14:paraId="6774683F" w14:textId="400FB257" w:rsidR="00D83E33" w:rsidRDefault="00D83E33">
      <w:pPr>
        <w:widowControl w:val="0"/>
        <w:pBdr>
          <w:top w:val="nil"/>
          <w:left w:val="nil"/>
          <w:bottom w:val="nil"/>
          <w:right w:val="nil"/>
          <w:between w:val="nil"/>
        </w:pBdr>
        <w:spacing w:before="200" w:after="200"/>
        <w:jc w:val="both"/>
        <w:rPr>
          <w:color w:val="0000FF"/>
          <w:sz w:val="20"/>
          <w:szCs w:val="20"/>
        </w:rPr>
      </w:pPr>
    </w:p>
    <w:p w14:paraId="77D023A8" w14:textId="1E4A7DC8"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All of the above assets are expected to be recovered more than twelve months after the year-end, except for prepayments for services of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and precious metals of </w:t>
      </w:r>
      <w:r w:rsidR="00D73799">
        <w:rPr>
          <w:color w:val="000000"/>
          <w:sz w:val="20"/>
          <w:szCs w:val="20"/>
        </w:rPr>
        <w:t>EUR</w:t>
      </w:r>
      <w:r>
        <w:rPr>
          <w:color w:val="000000"/>
          <w:sz w:val="20"/>
          <w:szCs w:val="20"/>
        </w:rPr>
        <w:t xml:space="preserve"> ______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Information on related party balances is disclosed in Note 51.</w:t>
      </w:r>
    </w:p>
    <w:p w14:paraId="06F4DE05" w14:textId="77777777" w:rsidR="00D83E33" w:rsidRDefault="00BC4072" w:rsidP="001B330E">
      <w:pPr>
        <w:pStyle w:val="Heading1"/>
      </w:pPr>
      <w:bookmarkStart w:id="46" w:name="_Toc179196019"/>
      <w:r w:rsidRPr="006C5889">
        <w:t>Goodwill</w:t>
      </w:r>
      <w:bookmarkEnd w:id="46"/>
      <w:r>
        <w:t xml:space="preserve"> </w:t>
      </w:r>
    </w:p>
    <w:p w14:paraId="7AF60E33"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Movements in goodwill arising on the acquisition of subsidiaries are:</w:t>
      </w:r>
    </w:p>
    <w:tbl>
      <w:tblPr>
        <w:tblStyle w:val="affffffffff4"/>
        <w:tblW w:w="5000" w:type="pct"/>
        <w:tblLayout w:type="fixed"/>
        <w:tblLook w:val="0000" w:firstRow="0" w:lastRow="0" w:firstColumn="0" w:lastColumn="0" w:noHBand="0" w:noVBand="0"/>
      </w:tblPr>
      <w:tblGrid>
        <w:gridCol w:w="5670"/>
        <w:gridCol w:w="709"/>
        <w:gridCol w:w="1446"/>
        <w:gridCol w:w="1530"/>
      </w:tblGrid>
      <w:tr w:rsidR="00D83E33" w:rsidRPr="00EA10CF" w14:paraId="553865C4" w14:textId="77777777" w:rsidTr="001B330E">
        <w:trPr>
          <w:trHeight w:val="23"/>
        </w:trPr>
        <w:tc>
          <w:tcPr>
            <w:tcW w:w="3030" w:type="pct"/>
            <w:tcBorders>
              <w:bottom w:val="single" w:sz="4" w:space="0" w:color="000000"/>
            </w:tcBorders>
            <w:vAlign w:val="bottom"/>
          </w:tcPr>
          <w:p w14:paraId="4C8BB70F" w14:textId="4E71F84E"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79" w:type="pct"/>
            <w:tcBorders>
              <w:bottom w:val="single" w:sz="4" w:space="0" w:color="000000"/>
            </w:tcBorders>
            <w:vAlign w:val="bottom"/>
          </w:tcPr>
          <w:p w14:paraId="26FA9018"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w:t>
            </w:r>
          </w:p>
        </w:tc>
        <w:tc>
          <w:tcPr>
            <w:tcW w:w="773" w:type="pct"/>
            <w:tcBorders>
              <w:bottom w:val="single" w:sz="4" w:space="0" w:color="000000"/>
            </w:tcBorders>
            <w:vAlign w:val="bottom"/>
          </w:tcPr>
          <w:p w14:paraId="7576B3CB" w14:textId="2AC82F0F"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65DC7319" w14:textId="5CC21E46"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2A5F5D" w14:paraId="44D4DF15" w14:textId="77777777" w:rsidTr="001B330E">
        <w:trPr>
          <w:trHeight w:val="23"/>
        </w:trPr>
        <w:tc>
          <w:tcPr>
            <w:tcW w:w="3030" w:type="pct"/>
            <w:vAlign w:val="bottom"/>
          </w:tcPr>
          <w:p w14:paraId="6FA4E851" w14:textId="77777777" w:rsidR="00D83E33" w:rsidRPr="002A5F5D" w:rsidRDefault="00BC4072" w:rsidP="001B330E">
            <w:pPr>
              <w:widowControl w:val="0"/>
              <w:pBdr>
                <w:top w:val="nil"/>
                <w:left w:val="nil"/>
                <w:bottom w:val="nil"/>
                <w:right w:val="nil"/>
                <w:between w:val="nil"/>
              </w:pBdr>
              <w:ind w:left="113" w:hanging="113"/>
              <w:rPr>
                <w:b/>
                <w:color w:val="000000"/>
                <w:sz w:val="11"/>
                <w:szCs w:val="11"/>
              </w:rPr>
            </w:pPr>
            <w:r w:rsidRPr="002A5F5D">
              <w:rPr>
                <w:b/>
                <w:color w:val="000000"/>
                <w:sz w:val="11"/>
                <w:szCs w:val="11"/>
              </w:rPr>
              <w:t> </w:t>
            </w:r>
          </w:p>
        </w:tc>
        <w:tc>
          <w:tcPr>
            <w:tcW w:w="379" w:type="pct"/>
            <w:vAlign w:val="bottom"/>
          </w:tcPr>
          <w:p w14:paraId="24715CA5"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vAlign w:val="bottom"/>
          </w:tcPr>
          <w:p w14:paraId="2BFBEB1A" w14:textId="77777777" w:rsidR="00D83E33" w:rsidRPr="002A5F5D" w:rsidRDefault="00D83E33">
            <w:pPr>
              <w:widowControl w:val="0"/>
              <w:pBdr>
                <w:top w:val="nil"/>
                <w:left w:val="nil"/>
                <w:bottom w:val="nil"/>
                <w:right w:val="nil"/>
                <w:between w:val="nil"/>
              </w:pBdr>
              <w:jc w:val="right"/>
              <w:rPr>
                <w:b/>
                <w:color w:val="000000"/>
                <w:sz w:val="11"/>
                <w:szCs w:val="11"/>
              </w:rPr>
            </w:pPr>
          </w:p>
        </w:tc>
        <w:tc>
          <w:tcPr>
            <w:tcW w:w="818" w:type="pct"/>
            <w:vAlign w:val="bottom"/>
          </w:tcPr>
          <w:p w14:paraId="7A771105" w14:textId="77777777" w:rsidR="00D83E33" w:rsidRPr="002A5F5D" w:rsidRDefault="00D83E33">
            <w:pPr>
              <w:widowControl w:val="0"/>
              <w:pBdr>
                <w:top w:val="nil"/>
                <w:left w:val="nil"/>
                <w:bottom w:val="nil"/>
                <w:right w:val="nil"/>
                <w:between w:val="nil"/>
              </w:pBdr>
              <w:jc w:val="right"/>
              <w:rPr>
                <w:b/>
                <w:color w:val="000000"/>
                <w:sz w:val="11"/>
                <w:szCs w:val="11"/>
              </w:rPr>
            </w:pPr>
          </w:p>
        </w:tc>
      </w:tr>
      <w:tr w:rsidR="00D83E33" w:rsidRPr="00EA10CF" w14:paraId="3F454968" w14:textId="77777777" w:rsidTr="001B330E">
        <w:trPr>
          <w:trHeight w:val="23"/>
        </w:trPr>
        <w:tc>
          <w:tcPr>
            <w:tcW w:w="3030" w:type="pct"/>
            <w:vAlign w:val="bottom"/>
          </w:tcPr>
          <w:p w14:paraId="357F029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Gross book value at 1 January </w:t>
            </w:r>
          </w:p>
        </w:tc>
        <w:tc>
          <w:tcPr>
            <w:tcW w:w="379" w:type="pct"/>
            <w:vAlign w:val="bottom"/>
          </w:tcPr>
          <w:p w14:paraId="64944701" w14:textId="77777777" w:rsidR="00D83E33" w:rsidRPr="00EA10CF" w:rsidRDefault="00D83E33">
            <w:pPr>
              <w:widowControl w:val="0"/>
              <w:pBdr>
                <w:top w:val="nil"/>
                <w:left w:val="nil"/>
                <w:bottom w:val="nil"/>
                <w:right w:val="nil"/>
                <w:between w:val="nil"/>
              </w:pBdr>
              <w:jc w:val="center"/>
              <w:rPr>
                <w:color w:val="000000"/>
              </w:rPr>
            </w:pPr>
          </w:p>
        </w:tc>
        <w:tc>
          <w:tcPr>
            <w:tcW w:w="773" w:type="pct"/>
            <w:vAlign w:val="bottom"/>
          </w:tcPr>
          <w:p w14:paraId="2774E8E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B16A85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B7F220A" w14:textId="77777777" w:rsidTr="001B330E">
        <w:trPr>
          <w:trHeight w:val="23"/>
        </w:trPr>
        <w:tc>
          <w:tcPr>
            <w:tcW w:w="3030" w:type="pct"/>
            <w:vAlign w:val="bottom"/>
          </w:tcPr>
          <w:p w14:paraId="601DE3E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Accumulated impairment losses at 1 January</w:t>
            </w:r>
          </w:p>
        </w:tc>
        <w:tc>
          <w:tcPr>
            <w:tcW w:w="379" w:type="pct"/>
            <w:vAlign w:val="bottom"/>
          </w:tcPr>
          <w:p w14:paraId="75BD4645" w14:textId="77777777" w:rsidR="00D83E33" w:rsidRPr="00EA10CF" w:rsidRDefault="00D83E33">
            <w:pPr>
              <w:widowControl w:val="0"/>
              <w:pBdr>
                <w:top w:val="nil"/>
                <w:left w:val="nil"/>
                <w:bottom w:val="nil"/>
                <w:right w:val="nil"/>
                <w:between w:val="nil"/>
              </w:pBdr>
              <w:jc w:val="center"/>
              <w:rPr>
                <w:color w:val="000000"/>
              </w:rPr>
            </w:pPr>
          </w:p>
        </w:tc>
        <w:tc>
          <w:tcPr>
            <w:tcW w:w="773" w:type="pct"/>
            <w:vAlign w:val="bottom"/>
          </w:tcPr>
          <w:p w14:paraId="793DC318"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1725DA3" w14:textId="77777777" w:rsidR="00D83E33" w:rsidRPr="00EA10CF" w:rsidRDefault="00D83E33">
            <w:pPr>
              <w:widowControl w:val="0"/>
              <w:pBdr>
                <w:top w:val="nil"/>
                <w:left w:val="nil"/>
                <w:bottom w:val="nil"/>
                <w:right w:val="nil"/>
                <w:between w:val="nil"/>
              </w:pBdr>
              <w:jc w:val="right"/>
              <w:rPr>
                <w:color w:val="000000"/>
              </w:rPr>
            </w:pPr>
          </w:p>
        </w:tc>
      </w:tr>
      <w:tr w:rsidR="00D83E33" w:rsidRPr="002A5F5D" w14:paraId="492AD396" w14:textId="77777777" w:rsidTr="001B330E">
        <w:trPr>
          <w:trHeight w:val="23"/>
        </w:trPr>
        <w:tc>
          <w:tcPr>
            <w:tcW w:w="3030" w:type="pct"/>
            <w:tcBorders>
              <w:bottom w:val="single" w:sz="4" w:space="0" w:color="000000"/>
            </w:tcBorders>
            <w:vAlign w:val="bottom"/>
          </w:tcPr>
          <w:p w14:paraId="47499BB8" w14:textId="77777777" w:rsidR="00D83E33" w:rsidRPr="002A5F5D" w:rsidRDefault="00BC4072" w:rsidP="001B330E">
            <w:pPr>
              <w:widowControl w:val="0"/>
              <w:ind w:left="113" w:hanging="113"/>
              <w:rPr>
                <w:sz w:val="11"/>
                <w:szCs w:val="11"/>
              </w:rPr>
            </w:pPr>
            <w:r w:rsidRPr="002A5F5D">
              <w:rPr>
                <w:sz w:val="11"/>
                <w:szCs w:val="11"/>
              </w:rPr>
              <w:t> </w:t>
            </w:r>
          </w:p>
        </w:tc>
        <w:tc>
          <w:tcPr>
            <w:tcW w:w="379" w:type="pct"/>
            <w:tcBorders>
              <w:bottom w:val="single" w:sz="4" w:space="0" w:color="000000"/>
            </w:tcBorders>
            <w:vAlign w:val="bottom"/>
          </w:tcPr>
          <w:p w14:paraId="6DE7C39F"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bottom w:val="single" w:sz="4" w:space="0" w:color="000000"/>
            </w:tcBorders>
            <w:vAlign w:val="bottom"/>
          </w:tcPr>
          <w:p w14:paraId="6F48AC89"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bottom w:val="single" w:sz="4" w:space="0" w:color="000000"/>
            </w:tcBorders>
            <w:vAlign w:val="bottom"/>
          </w:tcPr>
          <w:p w14:paraId="520FF4B0" w14:textId="77777777" w:rsidR="00D83E33" w:rsidRPr="002A5F5D" w:rsidRDefault="00D83E33">
            <w:pPr>
              <w:widowControl w:val="0"/>
              <w:pBdr>
                <w:top w:val="nil"/>
                <w:left w:val="nil"/>
                <w:bottom w:val="nil"/>
                <w:right w:val="nil"/>
                <w:between w:val="nil"/>
              </w:pBdr>
              <w:jc w:val="right"/>
              <w:rPr>
                <w:color w:val="000000"/>
                <w:sz w:val="11"/>
                <w:szCs w:val="11"/>
              </w:rPr>
            </w:pPr>
          </w:p>
        </w:tc>
      </w:tr>
      <w:tr w:rsidR="00D83E33" w:rsidRPr="002A5F5D" w14:paraId="62D7DEF5" w14:textId="77777777" w:rsidTr="001B330E">
        <w:trPr>
          <w:trHeight w:val="23"/>
        </w:trPr>
        <w:tc>
          <w:tcPr>
            <w:tcW w:w="3030" w:type="pct"/>
            <w:vAlign w:val="bottom"/>
          </w:tcPr>
          <w:p w14:paraId="0B03FE8F" w14:textId="77777777" w:rsidR="00D83E33" w:rsidRPr="002A5F5D" w:rsidRDefault="00BC4072" w:rsidP="001B330E">
            <w:pPr>
              <w:widowControl w:val="0"/>
              <w:pBdr>
                <w:top w:val="nil"/>
                <w:left w:val="nil"/>
                <w:bottom w:val="nil"/>
                <w:right w:val="nil"/>
                <w:between w:val="nil"/>
              </w:pBdr>
              <w:ind w:left="113" w:hanging="113"/>
              <w:rPr>
                <w:b/>
                <w:color w:val="000000"/>
                <w:sz w:val="11"/>
                <w:szCs w:val="11"/>
              </w:rPr>
            </w:pPr>
            <w:r w:rsidRPr="002A5F5D">
              <w:rPr>
                <w:b/>
                <w:color w:val="000000"/>
                <w:sz w:val="11"/>
                <w:szCs w:val="11"/>
              </w:rPr>
              <w:t> </w:t>
            </w:r>
          </w:p>
        </w:tc>
        <w:tc>
          <w:tcPr>
            <w:tcW w:w="379" w:type="pct"/>
            <w:vAlign w:val="bottom"/>
          </w:tcPr>
          <w:p w14:paraId="334957FE" w14:textId="77777777" w:rsidR="00D83E33" w:rsidRPr="002A5F5D" w:rsidRDefault="00D83E33">
            <w:pPr>
              <w:widowControl w:val="0"/>
              <w:pBdr>
                <w:top w:val="nil"/>
                <w:left w:val="nil"/>
                <w:bottom w:val="nil"/>
                <w:right w:val="nil"/>
                <w:between w:val="nil"/>
              </w:pBdr>
              <w:jc w:val="center"/>
              <w:rPr>
                <w:b/>
                <w:color w:val="000000"/>
                <w:sz w:val="11"/>
                <w:szCs w:val="11"/>
              </w:rPr>
            </w:pPr>
          </w:p>
        </w:tc>
        <w:tc>
          <w:tcPr>
            <w:tcW w:w="773" w:type="pct"/>
            <w:vAlign w:val="bottom"/>
          </w:tcPr>
          <w:p w14:paraId="1FC16CEA" w14:textId="77777777" w:rsidR="00D83E33" w:rsidRPr="002A5F5D" w:rsidRDefault="00D83E33">
            <w:pPr>
              <w:widowControl w:val="0"/>
              <w:pBdr>
                <w:top w:val="nil"/>
                <w:left w:val="nil"/>
                <w:bottom w:val="nil"/>
                <w:right w:val="nil"/>
                <w:between w:val="nil"/>
              </w:pBdr>
              <w:jc w:val="right"/>
              <w:rPr>
                <w:b/>
                <w:color w:val="000000"/>
                <w:sz w:val="11"/>
                <w:szCs w:val="11"/>
              </w:rPr>
            </w:pPr>
          </w:p>
        </w:tc>
        <w:tc>
          <w:tcPr>
            <w:tcW w:w="818" w:type="pct"/>
            <w:vAlign w:val="bottom"/>
          </w:tcPr>
          <w:p w14:paraId="5A7C04FA" w14:textId="77777777" w:rsidR="00D83E33" w:rsidRPr="002A5F5D" w:rsidRDefault="00D83E33">
            <w:pPr>
              <w:widowControl w:val="0"/>
              <w:pBdr>
                <w:top w:val="nil"/>
                <w:left w:val="nil"/>
                <w:bottom w:val="nil"/>
                <w:right w:val="nil"/>
                <w:between w:val="nil"/>
              </w:pBdr>
              <w:jc w:val="right"/>
              <w:rPr>
                <w:b/>
                <w:color w:val="000000"/>
                <w:sz w:val="11"/>
                <w:szCs w:val="11"/>
              </w:rPr>
            </w:pPr>
          </w:p>
        </w:tc>
      </w:tr>
      <w:tr w:rsidR="00D83E33" w:rsidRPr="00EA10CF" w14:paraId="2B9FBD7F" w14:textId="77777777" w:rsidTr="001B330E">
        <w:trPr>
          <w:trHeight w:val="23"/>
        </w:trPr>
        <w:tc>
          <w:tcPr>
            <w:tcW w:w="3030" w:type="pct"/>
            <w:vAlign w:val="bottom"/>
          </w:tcPr>
          <w:p w14:paraId="0E914BA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Carrying amount at 1 January</w:t>
            </w:r>
          </w:p>
        </w:tc>
        <w:tc>
          <w:tcPr>
            <w:tcW w:w="379" w:type="pct"/>
            <w:vAlign w:val="bottom"/>
          </w:tcPr>
          <w:p w14:paraId="7710EA2F" w14:textId="77777777" w:rsidR="00D83E33" w:rsidRPr="00EA10CF" w:rsidRDefault="00D83E33">
            <w:pPr>
              <w:widowControl w:val="0"/>
              <w:pBdr>
                <w:top w:val="nil"/>
                <w:left w:val="nil"/>
                <w:bottom w:val="nil"/>
                <w:right w:val="nil"/>
                <w:between w:val="nil"/>
              </w:pBdr>
              <w:jc w:val="center"/>
              <w:rPr>
                <w:b/>
                <w:color w:val="000000"/>
              </w:rPr>
            </w:pPr>
          </w:p>
        </w:tc>
        <w:tc>
          <w:tcPr>
            <w:tcW w:w="773" w:type="pct"/>
            <w:vAlign w:val="bottom"/>
          </w:tcPr>
          <w:p w14:paraId="5EF51212"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7AC32642" w14:textId="77777777" w:rsidR="00D83E33" w:rsidRPr="00EA10CF" w:rsidRDefault="00D83E33">
            <w:pPr>
              <w:widowControl w:val="0"/>
              <w:pBdr>
                <w:top w:val="nil"/>
                <w:left w:val="nil"/>
                <w:bottom w:val="nil"/>
                <w:right w:val="nil"/>
                <w:between w:val="nil"/>
              </w:pBdr>
              <w:jc w:val="right"/>
              <w:rPr>
                <w:b/>
                <w:color w:val="000000"/>
              </w:rPr>
            </w:pPr>
          </w:p>
        </w:tc>
      </w:tr>
      <w:tr w:rsidR="00D83E33" w:rsidRPr="002A5F5D" w14:paraId="11E4D734" w14:textId="77777777" w:rsidTr="001B330E">
        <w:trPr>
          <w:trHeight w:val="23"/>
        </w:trPr>
        <w:tc>
          <w:tcPr>
            <w:tcW w:w="3030" w:type="pct"/>
            <w:tcBorders>
              <w:bottom w:val="single" w:sz="4" w:space="0" w:color="000000"/>
            </w:tcBorders>
            <w:vAlign w:val="bottom"/>
          </w:tcPr>
          <w:p w14:paraId="2A356D02" w14:textId="77777777" w:rsidR="00D83E33" w:rsidRPr="002A5F5D" w:rsidRDefault="00BC4072" w:rsidP="001B330E">
            <w:pPr>
              <w:widowControl w:val="0"/>
              <w:pBdr>
                <w:top w:val="nil"/>
                <w:left w:val="nil"/>
                <w:bottom w:val="nil"/>
                <w:right w:val="nil"/>
                <w:between w:val="nil"/>
              </w:pBdr>
              <w:ind w:left="113" w:hanging="113"/>
              <w:rPr>
                <w:color w:val="000000"/>
                <w:sz w:val="11"/>
                <w:szCs w:val="11"/>
              </w:rPr>
            </w:pPr>
            <w:r w:rsidRPr="002A5F5D">
              <w:rPr>
                <w:color w:val="000000"/>
                <w:sz w:val="11"/>
                <w:szCs w:val="11"/>
              </w:rPr>
              <w:t> </w:t>
            </w:r>
          </w:p>
        </w:tc>
        <w:tc>
          <w:tcPr>
            <w:tcW w:w="379" w:type="pct"/>
            <w:tcBorders>
              <w:bottom w:val="single" w:sz="4" w:space="0" w:color="000000"/>
            </w:tcBorders>
            <w:vAlign w:val="bottom"/>
          </w:tcPr>
          <w:p w14:paraId="5EA39E39"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bottom w:val="single" w:sz="4" w:space="0" w:color="000000"/>
            </w:tcBorders>
            <w:vAlign w:val="bottom"/>
          </w:tcPr>
          <w:p w14:paraId="45F9C8E6"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bottom w:val="single" w:sz="4" w:space="0" w:color="000000"/>
            </w:tcBorders>
            <w:vAlign w:val="bottom"/>
          </w:tcPr>
          <w:p w14:paraId="1A9CF161" w14:textId="77777777" w:rsidR="00D83E33" w:rsidRPr="002A5F5D" w:rsidRDefault="00D83E33">
            <w:pPr>
              <w:widowControl w:val="0"/>
              <w:pBdr>
                <w:top w:val="nil"/>
                <w:left w:val="nil"/>
                <w:bottom w:val="nil"/>
                <w:right w:val="nil"/>
                <w:between w:val="nil"/>
              </w:pBdr>
              <w:jc w:val="right"/>
              <w:rPr>
                <w:color w:val="000000"/>
                <w:sz w:val="11"/>
                <w:szCs w:val="11"/>
              </w:rPr>
            </w:pPr>
          </w:p>
        </w:tc>
      </w:tr>
      <w:tr w:rsidR="00D83E33" w:rsidRPr="002A5F5D" w14:paraId="6B962294" w14:textId="77777777" w:rsidTr="001B330E">
        <w:trPr>
          <w:trHeight w:val="23"/>
        </w:trPr>
        <w:tc>
          <w:tcPr>
            <w:tcW w:w="3030" w:type="pct"/>
            <w:tcBorders>
              <w:top w:val="single" w:sz="4" w:space="0" w:color="000000"/>
            </w:tcBorders>
            <w:vAlign w:val="bottom"/>
          </w:tcPr>
          <w:p w14:paraId="1320ABE0" w14:textId="77777777" w:rsidR="00D83E33" w:rsidRPr="002A5F5D" w:rsidRDefault="00BC4072" w:rsidP="001B330E">
            <w:pPr>
              <w:widowControl w:val="0"/>
              <w:pBdr>
                <w:top w:val="nil"/>
                <w:left w:val="nil"/>
                <w:bottom w:val="nil"/>
                <w:right w:val="nil"/>
                <w:between w:val="nil"/>
              </w:pBdr>
              <w:ind w:left="113" w:hanging="113"/>
              <w:rPr>
                <w:color w:val="000000"/>
                <w:sz w:val="11"/>
                <w:szCs w:val="11"/>
              </w:rPr>
            </w:pPr>
            <w:r w:rsidRPr="002A5F5D">
              <w:rPr>
                <w:color w:val="000000"/>
                <w:sz w:val="11"/>
                <w:szCs w:val="11"/>
              </w:rPr>
              <w:t> </w:t>
            </w:r>
          </w:p>
        </w:tc>
        <w:tc>
          <w:tcPr>
            <w:tcW w:w="379" w:type="pct"/>
            <w:tcBorders>
              <w:top w:val="single" w:sz="4" w:space="0" w:color="000000"/>
            </w:tcBorders>
            <w:vAlign w:val="bottom"/>
          </w:tcPr>
          <w:p w14:paraId="676E7CE0"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top w:val="single" w:sz="4" w:space="0" w:color="000000"/>
            </w:tcBorders>
            <w:vAlign w:val="bottom"/>
          </w:tcPr>
          <w:p w14:paraId="14B988AD"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top w:val="single" w:sz="4" w:space="0" w:color="000000"/>
            </w:tcBorders>
            <w:vAlign w:val="bottom"/>
          </w:tcPr>
          <w:p w14:paraId="2CBD0C85" w14:textId="77777777" w:rsidR="00D83E33" w:rsidRPr="002A5F5D" w:rsidRDefault="00D83E33">
            <w:pPr>
              <w:widowControl w:val="0"/>
              <w:pBdr>
                <w:top w:val="nil"/>
                <w:left w:val="nil"/>
                <w:bottom w:val="nil"/>
                <w:right w:val="nil"/>
                <w:between w:val="nil"/>
              </w:pBdr>
              <w:jc w:val="right"/>
              <w:rPr>
                <w:color w:val="000000"/>
                <w:sz w:val="11"/>
                <w:szCs w:val="11"/>
              </w:rPr>
            </w:pPr>
          </w:p>
        </w:tc>
      </w:tr>
      <w:tr w:rsidR="00D83E33" w:rsidRPr="00EA10CF" w14:paraId="76480B17" w14:textId="77777777" w:rsidTr="001B330E">
        <w:trPr>
          <w:trHeight w:val="23"/>
        </w:trPr>
        <w:tc>
          <w:tcPr>
            <w:tcW w:w="3030" w:type="pct"/>
            <w:vAlign w:val="bottom"/>
          </w:tcPr>
          <w:p w14:paraId="79B986E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Acquisition of subsidiary</w:t>
            </w:r>
          </w:p>
        </w:tc>
        <w:tc>
          <w:tcPr>
            <w:tcW w:w="379" w:type="pct"/>
            <w:vAlign w:val="bottom"/>
          </w:tcPr>
          <w:p w14:paraId="5D79C8A6" w14:textId="77777777" w:rsidR="00D83E33" w:rsidRPr="00EA10CF" w:rsidRDefault="00BC4072">
            <w:pPr>
              <w:widowControl w:val="0"/>
              <w:pBdr>
                <w:top w:val="nil"/>
                <w:left w:val="nil"/>
                <w:bottom w:val="nil"/>
                <w:right w:val="nil"/>
                <w:between w:val="nil"/>
              </w:pBdr>
              <w:jc w:val="center"/>
              <w:rPr>
                <w:color w:val="000000"/>
              </w:rPr>
            </w:pPr>
            <w:r w:rsidRPr="00EA10CF">
              <w:rPr>
                <w:color w:val="000000"/>
              </w:rPr>
              <w:t>52</w:t>
            </w:r>
          </w:p>
        </w:tc>
        <w:tc>
          <w:tcPr>
            <w:tcW w:w="773" w:type="pct"/>
            <w:vAlign w:val="bottom"/>
          </w:tcPr>
          <w:p w14:paraId="24137C12"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A8B8A5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418FD51" w14:textId="77777777" w:rsidTr="001B330E">
        <w:trPr>
          <w:trHeight w:val="23"/>
        </w:trPr>
        <w:tc>
          <w:tcPr>
            <w:tcW w:w="3030" w:type="pct"/>
            <w:vAlign w:val="bottom"/>
          </w:tcPr>
          <w:p w14:paraId="44DE747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Transfer to non-current assets held for sale (or disposal groups)</w:t>
            </w:r>
          </w:p>
        </w:tc>
        <w:tc>
          <w:tcPr>
            <w:tcW w:w="379" w:type="pct"/>
            <w:vAlign w:val="bottom"/>
          </w:tcPr>
          <w:p w14:paraId="252767BB" w14:textId="77777777" w:rsidR="00D83E33" w:rsidRPr="00EA10CF" w:rsidRDefault="00BC4072">
            <w:pPr>
              <w:widowControl w:val="0"/>
              <w:pBdr>
                <w:top w:val="nil"/>
                <w:left w:val="nil"/>
                <w:bottom w:val="nil"/>
                <w:right w:val="nil"/>
                <w:between w:val="nil"/>
              </w:pBdr>
              <w:jc w:val="center"/>
              <w:rPr>
                <w:color w:val="000000"/>
              </w:rPr>
            </w:pPr>
            <w:r w:rsidRPr="00EA10CF">
              <w:rPr>
                <w:color w:val="000000"/>
              </w:rPr>
              <w:t>20</w:t>
            </w:r>
          </w:p>
        </w:tc>
        <w:tc>
          <w:tcPr>
            <w:tcW w:w="773" w:type="pct"/>
            <w:vAlign w:val="bottom"/>
          </w:tcPr>
          <w:p w14:paraId="73C32AA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147371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529E48B" w14:textId="77777777" w:rsidTr="001B330E">
        <w:trPr>
          <w:trHeight w:val="23"/>
        </w:trPr>
        <w:tc>
          <w:tcPr>
            <w:tcW w:w="3030" w:type="pct"/>
            <w:vAlign w:val="bottom"/>
          </w:tcPr>
          <w:p w14:paraId="0DBADA5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Disposal of subsidiary</w:t>
            </w:r>
          </w:p>
        </w:tc>
        <w:tc>
          <w:tcPr>
            <w:tcW w:w="379" w:type="pct"/>
            <w:vAlign w:val="bottom"/>
          </w:tcPr>
          <w:p w14:paraId="545784F0" w14:textId="77777777" w:rsidR="00D83E33" w:rsidRPr="00EA10CF" w:rsidRDefault="00D83E33">
            <w:pPr>
              <w:widowControl w:val="0"/>
              <w:pBdr>
                <w:top w:val="nil"/>
                <w:left w:val="nil"/>
                <w:bottom w:val="nil"/>
                <w:right w:val="nil"/>
                <w:between w:val="nil"/>
              </w:pBdr>
              <w:jc w:val="center"/>
              <w:rPr>
                <w:color w:val="000000"/>
              </w:rPr>
            </w:pPr>
          </w:p>
        </w:tc>
        <w:tc>
          <w:tcPr>
            <w:tcW w:w="773" w:type="pct"/>
            <w:vAlign w:val="bottom"/>
          </w:tcPr>
          <w:p w14:paraId="3C93C7A6"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C5F0AB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181244A" w14:textId="77777777" w:rsidTr="001B330E">
        <w:trPr>
          <w:trHeight w:val="23"/>
        </w:trPr>
        <w:tc>
          <w:tcPr>
            <w:tcW w:w="3030" w:type="pct"/>
            <w:vAlign w:val="bottom"/>
          </w:tcPr>
          <w:p w14:paraId="233183D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Impairment loss</w:t>
            </w:r>
          </w:p>
        </w:tc>
        <w:tc>
          <w:tcPr>
            <w:tcW w:w="379" w:type="pct"/>
            <w:vAlign w:val="bottom"/>
          </w:tcPr>
          <w:p w14:paraId="3D9B6C54" w14:textId="77777777" w:rsidR="00D83E33" w:rsidRPr="00EA10CF" w:rsidRDefault="00BC4072">
            <w:pPr>
              <w:widowControl w:val="0"/>
              <w:pBdr>
                <w:top w:val="nil"/>
                <w:left w:val="nil"/>
                <w:bottom w:val="nil"/>
                <w:right w:val="nil"/>
                <w:between w:val="nil"/>
              </w:pBdr>
              <w:jc w:val="center"/>
              <w:rPr>
                <w:color w:val="000000"/>
              </w:rPr>
            </w:pPr>
            <w:r w:rsidRPr="00EA10CF">
              <w:rPr>
                <w:color w:val="000000"/>
              </w:rPr>
              <w:t>35</w:t>
            </w:r>
          </w:p>
        </w:tc>
        <w:tc>
          <w:tcPr>
            <w:tcW w:w="773" w:type="pct"/>
            <w:vAlign w:val="bottom"/>
          </w:tcPr>
          <w:p w14:paraId="0E97A637"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AD03B5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6ACD98C" w14:textId="77777777" w:rsidTr="001B330E">
        <w:trPr>
          <w:trHeight w:val="23"/>
        </w:trPr>
        <w:tc>
          <w:tcPr>
            <w:tcW w:w="3030" w:type="pct"/>
            <w:vAlign w:val="bottom"/>
          </w:tcPr>
          <w:p w14:paraId="625A00D3"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[Effect of translation to presentation currency]</w:t>
            </w:r>
          </w:p>
        </w:tc>
        <w:tc>
          <w:tcPr>
            <w:tcW w:w="379" w:type="pct"/>
            <w:vAlign w:val="bottom"/>
          </w:tcPr>
          <w:p w14:paraId="31DE859B" w14:textId="77777777" w:rsidR="00D83E33" w:rsidRPr="00EA10CF" w:rsidRDefault="00D83E33">
            <w:pPr>
              <w:widowControl w:val="0"/>
              <w:pBdr>
                <w:top w:val="nil"/>
                <w:left w:val="nil"/>
                <w:bottom w:val="nil"/>
                <w:right w:val="nil"/>
                <w:between w:val="nil"/>
              </w:pBdr>
              <w:jc w:val="center"/>
              <w:rPr>
                <w:color w:val="000000"/>
              </w:rPr>
            </w:pPr>
          </w:p>
        </w:tc>
        <w:tc>
          <w:tcPr>
            <w:tcW w:w="773" w:type="pct"/>
            <w:vAlign w:val="bottom"/>
          </w:tcPr>
          <w:p w14:paraId="40B854D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7A9A90A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6B6B0D3" w14:textId="77777777" w:rsidTr="001B330E">
        <w:trPr>
          <w:trHeight w:val="23"/>
        </w:trPr>
        <w:tc>
          <w:tcPr>
            <w:tcW w:w="3030" w:type="pct"/>
            <w:vAlign w:val="bottom"/>
          </w:tcPr>
          <w:p w14:paraId="0022993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w:t>
            </w:r>
          </w:p>
        </w:tc>
        <w:tc>
          <w:tcPr>
            <w:tcW w:w="379" w:type="pct"/>
            <w:vAlign w:val="bottom"/>
          </w:tcPr>
          <w:p w14:paraId="4A5CA627" w14:textId="77777777" w:rsidR="00D83E33" w:rsidRPr="00EA10CF" w:rsidRDefault="00D83E33">
            <w:pPr>
              <w:widowControl w:val="0"/>
              <w:pBdr>
                <w:top w:val="nil"/>
                <w:left w:val="nil"/>
                <w:bottom w:val="nil"/>
                <w:right w:val="nil"/>
                <w:between w:val="nil"/>
              </w:pBdr>
              <w:jc w:val="center"/>
              <w:rPr>
                <w:color w:val="000000"/>
              </w:rPr>
            </w:pPr>
          </w:p>
        </w:tc>
        <w:tc>
          <w:tcPr>
            <w:tcW w:w="773" w:type="pct"/>
            <w:vAlign w:val="bottom"/>
          </w:tcPr>
          <w:p w14:paraId="5F5EF179"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86285DF" w14:textId="77777777" w:rsidR="00D83E33" w:rsidRPr="00EA10CF" w:rsidRDefault="00D83E33">
            <w:pPr>
              <w:widowControl w:val="0"/>
              <w:pBdr>
                <w:top w:val="nil"/>
                <w:left w:val="nil"/>
                <w:bottom w:val="nil"/>
                <w:right w:val="nil"/>
                <w:between w:val="nil"/>
              </w:pBdr>
              <w:jc w:val="right"/>
              <w:rPr>
                <w:color w:val="000000"/>
              </w:rPr>
            </w:pPr>
          </w:p>
        </w:tc>
      </w:tr>
      <w:tr w:rsidR="00D83E33" w:rsidRPr="002A5F5D" w14:paraId="3E6ADE25" w14:textId="77777777" w:rsidTr="001B330E">
        <w:trPr>
          <w:trHeight w:val="23"/>
        </w:trPr>
        <w:tc>
          <w:tcPr>
            <w:tcW w:w="3030" w:type="pct"/>
            <w:tcBorders>
              <w:bottom w:val="single" w:sz="4" w:space="0" w:color="000000"/>
            </w:tcBorders>
            <w:vAlign w:val="bottom"/>
          </w:tcPr>
          <w:p w14:paraId="39AA6F50" w14:textId="77777777" w:rsidR="00D83E33" w:rsidRPr="002A5F5D" w:rsidRDefault="00BC4072" w:rsidP="001B330E">
            <w:pPr>
              <w:widowControl w:val="0"/>
              <w:ind w:left="113" w:hanging="113"/>
              <w:rPr>
                <w:sz w:val="11"/>
                <w:szCs w:val="11"/>
              </w:rPr>
            </w:pPr>
            <w:r w:rsidRPr="002A5F5D">
              <w:rPr>
                <w:sz w:val="11"/>
                <w:szCs w:val="11"/>
              </w:rPr>
              <w:t> </w:t>
            </w:r>
          </w:p>
        </w:tc>
        <w:tc>
          <w:tcPr>
            <w:tcW w:w="379" w:type="pct"/>
            <w:tcBorders>
              <w:bottom w:val="single" w:sz="4" w:space="0" w:color="000000"/>
            </w:tcBorders>
            <w:vAlign w:val="bottom"/>
          </w:tcPr>
          <w:p w14:paraId="5A7D0FAD"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bottom w:val="single" w:sz="4" w:space="0" w:color="000000"/>
            </w:tcBorders>
            <w:vAlign w:val="bottom"/>
          </w:tcPr>
          <w:p w14:paraId="0ACF41DC"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bottom w:val="single" w:sz="4" w:space="0" w:color="000000"/>
            </w:tcBorders>
            <w:vAlign w:val="bottom"/>
          </w:tcPr>
          <w:p w14:paraId="4C1E3883" w14:textId="77777777" w:rsidR="00D83E33" w:rsidRPr="002A5F5D" w:rsidRDefault="00D83E33">
            <w:pPr>
              <w:widowControl w:val="0"/>
              <w:pBdr>
                <w:top w:val="nil"/>
                <w:left w:val="nil"/>
                <w:bottom w:val="nil"/>
                <w:right w:val="nil"/>
                <w:between w:val="nil"/>
              </w:pBdr>
              <w:jc w:val="right"/>
              <w:rPr>
                <w:color w:val="000000"/>
                <w:sz w:val="11"/>
                <w:szCs w:val="11"/>
              </w:rPr>
            </w:pPr>
          </w:p>
        </w:tc>
      </w:tr>
      <w:tr w:rsidR="00D83E33" w:rsidRPr="002A5F5D" w14:paraId="2D69D977" w14:textId="77777777" w:rsidTr="001B330E">
        <w:trPr>
          <w:trHeight w:val="23"/>
        </w:trPr>
        <w:tc>
          <w:tcPr>
            <w:tcW w:w="3030" w:type="pct"/>
            <w:tcBorders>
              <w:top w:val="single" w:sz="4" w:space="0" w:color="000000"/>
            </w:tcBorders>
            <w:vAlign w:val="bottom"/>
          </w:tcPr>
          <w:p w14:paraId="24D90224" w14:textId="77777777" w:rsidR="00D83E33" w:rsidRPr="002A5F5D" w:rsidRDefault="00BC4072" w:rsidP="001B330E">
            <w:pPr>
              <w:widowControl w:val="0"/>
              <w:ind w:left="113" w:hanging="113"/>
              <w:rPr>
                <w:sz w:val="11"/>
                <w:szCs w:val="11"/>
              </w:rPr>
            </w:pPr>
            <w:r w:rsidRPr="002A5F5D">
              <w:rPr>
                <w:sz w:val="11"/>
                <w:szCs w:val="11"/>
              </w:rPr>
              <w:t> </w:t>
            </w:r>
          </w:p>
        </w:tc>
        <w:tc>
          <w:tcPr>
            <w:tcW w:w="379" w:type="pct"/>
            <w:tcBorders>
              <w:top w:val="single" w:sz="4" w:space="0" w:color="000000"/>
            </w:tcBorders>
            <w:vAlign w:val="bottom"/>
          </w:tcPr>
          <w:p w14:paraId="3433EA9B"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top w:val="single" w:sz="4" w:space="0" w:color="000000"/>
            </w:tcBorders>
            <w:vAlign w:val="bottom"/>
          </w:tcPr>
          <w:p w14:paraId="46BC19BE"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top w:val="single" w:sz="4" w:space="0" w:color="000000"/>
            </w:tcBorders>
            <w:vAlign w:val="bottom"/>
          </w:tcPr>
          <w:p w14:paraId="39347B45" w14:textId="77777777" w:rsidR="00D83E33" w:rsidRPr="002A5F5D" w:rsidRDefault="00D83E33">
            <w:pPr>
              <w:widowControl w:val="0"/>
              <w:pBdr>
                <w:top w:val="nil"/>
                <w:left w:val="nil"/>
                <w:bottom w:val="nil"/>
                <w:right w:val="nil"/>
                <w:between w:val="nil"/>
              </w:pBdr>
              <w:jc w:val="right"/>
              <w:rPr>
                <w:color w:val="000000"/>
                <w:sz w:val="11"/>
                <w:szCs w:val="11"/>
              </w:rPr>
            </w:pPr>
          </w:p>
        </w:tc>
      </w:tr>
      <w:tr w:rsidR="00D83E33" w:rsidRPr="00EA10CF" w14:paraId="6E2424D4" w14:textId="77777777" w:rsidTr="001B330E">
        <w:trPr>
          <w:trHeight w:val="23"/>
        </w:trPr>
        <w:tc>
          <w:tcPr>
            <w:tcW w:w="3030" w:type="pct"/>
            <w:vAlign w:val="bottom"/>
          </w:tcPr>
          <w:p w14:paraId="50C86413" w14:textId="77777777" w:rsidR="00D83E33" w:rsidRPr="00EA10CF" w:rsidRDefault="00BC4072" w:rsidP="001B330E">
            <w:pPr>
              <w:widowControl w:val="0"/>
              <w:ind w:left="113" w:hanging="113"/>
              <w:rPr>
                <w:b/>
              </w:rPr>
            </w:pPr>
            <w:r w:rsidRPr="00EA10CF">
              <w:rPr>
                <w:b/>
              </w:rPr>
              <w:t>Carrying amount at 31 December</w:t>
            </w:r>
          </w:p>
        </w:tc>
        <w:tc>
          <w:tcPr>
            <w:tcW w:w="379" w:type="pct"/>
            <w:vAlign w:val="bottom"/>
          </w:tcPr>
          <w:p w14:paraId="32B40F6F" w14:textId="77777777" w:rsidR="00D83E33" w:rsidRPr="00EA10CF" w:rsidRDefault="00D83E33">
            <w:pPr>
              <w:widowControl w:val="0"/>
              <w:pBdr>
                <w:top w:val="nil"/>
                <w:left w:val="nil"/>
                <w:bottom w:val="nil"/>
                <w:right w:val="nil"/>
                <w:between w:val="nil"/>
              </w:pBdr>
              <w:jc w:val="center"/>
              <w:rPr>
                <w:b/>
                <w:color w:val="000000"/>
              </w:rPr>
            </w:pPr>
          </w:p>
        </w:tc>
        <w:tc>
          <w:tcPr>
            <w:tcW w:w="773" w:type="pct"/>
            <w:vAlign w:val="bottom"/>
          </w:tcPr>
          <w:p w14:paraId="40C0E9B2"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43D2195F" w14:textId="77777777" w:rsidR="00D83E33" w:rsidRPr="00EA10CF" w:rsidRDefault="00D83E33">
            <w:pPr>
              <w:widowControl w:val="0"/>
              <w:pBdr>
                <w:top w:val="nil"/>
                <w:left w:val="nil"/>
                <w:bottom w:val="nil"/>
                <w:right w:val="nil"/>
                <w:between w:val="nil"/>
              </w:pBdr>
              <w:jc w:val="right"/>
              <w:rPr>
                <w:b/>
                <w:color w:val="000000"/>
              </w:rPr>
            </w:pPr>
          </w:p>
        </w:tc>
      </w:tr>
      <w:tr w:rsidR="00D83E33" w:rsidRPr="002A5F5D" w14:paraId="0CAC2C90" w14:textId="77777777" w:rsidTr="001B330E">
        <w:trPr>
          <w:trHeight w:val="23"/>
        </w:trPr>
        <w:tc>
          <w:tcPr>
            <w:tcW w:w="3030" w:type="pct"/>
            <w:tcBorders>
              <w:bottom w:val="single" w:sz="12" w:space="0" w:color="000000"/>
            </w:tcBorders>
            <w:vAlign w:val="bottom"/>
          </w:tcPr>
          <w:p w14:paraId="7BA5D89D" w14:textId="77777777" w:rsidR="00D83E33" w:rsidRPr="002A5F5D" w:rsidRDefault="00BC4072" w:rsidP="001B330E">
            <w:pPr>
              <w:widowControl w:val="0"/>
              <w:ind w:left="113" w:hanging="113"/>
              <w:rPr>
                <w:sz w:val="11"/>
                <w:szCs w:val="11"/>
              </w:rPr>
            </w:pPr>
            <w:r w:rsidRPr="002A5F5D">
              <w:rPr>
                <w:sz w:val="11"/>
                <w:szCs w:val="11"/>
              </w:rPr>
              <w:t> </w:t>
            </w:r>
          </w:p>
        </w:tc>
        <w:tc>
          <w:tcPr>
            <w:tcW w:w="379" w:type="pct"/>
            <w:tcBorders>
              <w:bottom w:val="single" w:sz="12" w:space="0" w:color="000000"/>
            </w:tcBorders>
            <w:vAlign w:val="bottom"/>
          </w:tcPr>
          <w:p w14:paraId="24740C21"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bottom w:val="single" w:sz="12" w:space="0" w:color="000000"/>
            </w:tcBorders>
            <w:vAlign w:val="bottom"/>
          </w:tcPr>
          <w:p w14:paraId="130202AA"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bottom w:val="single" w:sz="12" w:space="0" w:color="000000"/>
            </w:tcBorders>
            <w:vAlign w:val="bottom"/>
          </w:tcPr>
          <w:p w14:paraId="4F2D01D5" w14:textId="77777777" w:rsidR="00D83E33" w:rsidRPr="002A5F5D" w:rsidRDefault="00D83E33">
            <w:pPr>
              <w:widowControl w:val="0"/>
              <w:pBdr>
                <w:top w:val="nil"/>
                <w:left w:val="nil"/>
                <w:bottom w:val="nil"/>
                <w:right w:val="nil"/>
                <w:between w:val="nil"/>
              </w:pBdr>
              <w:jc w:val="right"/>
              <w:rPr>
                <w:color w:val="000000"/>
                <w:sz w:val="11"/>
                <w:szCs w:val="11"/>
              </w:rPr>
            </w:pPr>
          </w:p>
        </w:tc>
      </w:tr>
      <w:tr w:rsidR="00D83E33" w:rsidRPr="002A5F5D" w14:paraId="030E93AF" w14:textId="77777777" w:rsidTr="001B330E">
        <w:trPr>
          <w:trHeight w:val="23"/>
        </w:trPr>
        <w:tc>
          <w:tcPr>
            <w:tcW w:w="3030" w:type="pct"/>
            <w:tcBorders>
              <w:top w:val="single" w:sz="12" w:space="0" w:color="000000"/>
            </w:tcBorders>
            <w:vAlign w:val="bottom"/>
          </w:tcPr>
          <w:p w14:paraId="44363E2B" w14:textId="77777777" w:rsidR="00D83E33" w:rsidRPr="002A5F5D" w:rsidRDefault="00BC4072" w:rsidP="001B330E">
            <w:pPr>
              <w:widowControl w:val="0"/>
              <w:ind w:left="113" w:hanging="113"/>
              <w:rPr>
                <w:sz w:val="11"/>
                <w:szCs w:val="11"/>
              </w:rPr>
            </w:pPr>
            <w:r w:rsidRPr="002A5F5D">
              <w:rPr>
                <w:sz w:val="11"/>
                <w:szCs w:val="11"/>
              </w:rPr>
              <w:t> </w:t>
            </w:r>
          </w:p>
        </w:tc>
        <w:tc>
          <w:tcPr>
            <w:tcW w:w="379" w:type="pct"/>
            <w:tcBorders>
              <w:top w:val="single" w:sz="12" w:space="0" w:color="000000"/>
            </w:tcBorders>
            <w:vAlign w:val="bottom"/>
          </w:tcPr>
          <w:p w14:paraId="6FFBD7C0"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top w:val="single" w:sz="12" w:space="0" w:color="000000"/>
            </w:tcBorders>
            <w:vAlign w:val="bottom"/>
          </w:tcPr>
          <w:p w14:paraId="2B90E2AD"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top w:val="single" w:sz="12" w:space="0" w:color="000000"/>
            </w:tcBorders>
            <w:vAlign w:val="bottom"/>
          </w:tcPr>
          <w:p w14:paraId="7054DF7C" w14:textId="77777777" w:rsidR="00D83E33" w:rsidRPr="002A5F5D" w:rsidRDefault="00D83E33">
            <w:pPr>
              <w:widowControl w:val="0"/>
              <w:pBdr>
                <w:top w:val="nil"/>
                <w:left w:val="nil"/>
                <w:bottom w:val="nil"/>
                <w:right w:val="nil"/>
                <w:between w:val="nil"/>
              </w:pBdr>
              <w:jc w:val="right"/>
              <w:rPr>
                <w:color w:val="000000"/>
                <w:sz w:val="11"/>
                <w:szCs w:val="11"/>
              </w:rPr>
            </w:pPr>
          </w:p>
        </w:tc>
      </w:tr>
      <w:tr w:rsidR="00D83E33" w:rsidRPr="00EA10CF" w14:paraId="3082A222" w14:textId="77777777" w:rsidTr="001B330E">
        <w:trPr>
          <w:trHeight w:val="23"/>
        </w:trPr>
        <w:tc>
          <w:tcPr>
            <w:tcW w:w="3030" w:type="pct"/>
            <w:vAlign w:val="bottom"/>
          </w:tcPr>
          <w:p w14:paraId="614448F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Gross book value at 31 December</w:t>
            </w:r>
          </w:p>
        </w:tc>
        <w:tc>
          <w:tcPr>
            <w:tcW w:w="379" w:type="pct"/>
            <w:vAlign w:val="bottom"/>
          </w:tcPr>
          <w:p w14:paraId="13AFDB8A" w14:textId="77777777" w:rsidR="00D83E33" w:rsidRPr="00EA10CF" w:rsidRDefault="00D83E33">
            <w:pPr>
              <w:widowControl w:val="0"/>
              <w:pBdr>
                <w:top w:val="nil"/>
                <w:left w:val="nil"/>
                <w:bottom w:val="nil"/>
                <w:right w:val="nil"/>
                <w:between w:val="nil"/>
              </w:pBdr>
              <w:jc w:val="center"/>
              <w:rPr>
                <w:color w:val="000000"/>
              </w:rPr>
            </w:pPr>
          </w:p>
        </w:tc>
        <w:tc>
          <w:tcPr>
            <w:tcW w:w="773" w:type="pct"/>
            <w:vAlign w:val="bottom"/>
          </w:tcPr>
          <w:p w14:paraId="5C860344"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C382225" w14:textId="77777777" w:rsidR="00D83E33" w:rsidRPr="00EA10CF" w:rsidRDefault="00D83E33">
            <w:pPr>
              <w:widowControl w:val="0"/>
              <w:pBdr>
                <w:top w:val="nil"/>
                <w:left w:val="nil"/>
                <w:bottom w:val="nil"/>
                <w:right w:val="nil"/>
                <w:between w:val="nil"/>
              </w:pBdr>
              <w:jc w:val="right"/>
              <w:rPr>
                <w:color w:val="000000"/>
              </w:rPr>
            </w:pPr>
          </w:p>
        </w:tc>
      </w:tr>
      <w:tr w:rsidR="00D83E33" w:rsidRPr="002A5F5D" w14:paraId="126C4B99" w14:textId="77777777" w:rsidTr="001B330E">
        <w:trPr>
          <w:trHeight w:val="23"/>
        </w:trPr>
        <w:tc>
          <w:tcPr>
            <w:tcW w:w="3030" w:type="pct"/>
            <w:vAlign w:val="bottom"/>
          </w:tcPr>
          <w:p w14:paraId="1E92D123" w14:textId="77777777" w:rsidR="00D83E33" w:rsidRPr="002A5F5D" w:rsidRDefault="00BC4072" w:rsidP="001B330E">
            <w:pPr>
              <w:widowControl w:val="0"/>
              <w:pBdr>
                <w:top w:val="nil"/>
                <w:left w:val="nil"/>
                <w:bottom w:val="nil"/>
                <w:right w:val="nil"/>
                <w:between w:val="nil"/>
              </w:pBdr>
              <w:ind w:left="113" w:hanging="113"/>
              <w:rPr>
                <w:color w:val="000000"/>
              </w:rPr>
            </w:pPr>
            <w:r w:rsidRPr="002A5F5D">
              <w:rPr>
                <w:color w:val="000000"/>
              </w:rPr>
              <w:t>Accumulated impairment losses at 31 December</w:t>
            </w:r>
          </w:p>
        </w:tc>
        <w:tc>
          <w:tcPr>
            <w:tcW w:w="379" w:type="pct"/>
            <w:vAlign w:val="bottom"/>
          </w:tcPr>
          <w:p w14:paraId="016DFCF1" w14:textId="77777777" w:rsidR="00D83E33" w:rsidRPr="002A5F5D" w:rsidRDefault="00D83E33">
            <w:pPr>
              <w:widowControl w:val="0"/>
              <w:pBdr>
                <w:top w:val="nil"/>
                <w:left w:val="nil"/>
                <w:bottom w:val="nil"/>
                <w:right w:val="nil"/>
                <w:between w:val="nil"/>
              </w:pBdr>
              <w:jc w:val="center"/>
              <w:rPr>
                <w:color w:val="000000"/>
              </w:rPr>
            </w:pPr>
          </w:p>
        </w:tc>
        <w:tc>
          <w:tcPr>
            <w:tcW w:w="773" w:type="pct"/>
            <w:vAlign w:val="bottom"/>
          </w:tcPr>
          <w:p w14:paraId="738D5921" w14:textId="77777777" w:rsidR="00D83E33" w:rsidRPr="002A5F5D" w:rsidRDefault="00D83E33">
            <w:pPr>
              <w:widowControl w:val="0"/>
              <w:pBdr>
                <w:top w:val="nil"/>
                <w:left w:val="nil"/>
                <w:bottom w:val="nil"/>
                <w:right w:val="nil"/>
                <w:between w:val="nil"/>
              </w:pBdr>
              <w:jc w:val="right"/>
              <w:rPr>
                <w:color w:val="000000"/>
              </w:rPr>
            </w:pPr>
          </w:p>
        </w:tc>
        <w:tc>
          <w:tcPr>
            <w:tcW w:w="818" w:type="pct"/>
            <w:vAlign w:val="bottom"/>
          </w:tcPr>
          <w:p w14:paraId="10A12DF2" w14:textId="77777777" w:rsidR="00D83E33" w:rsidRPr="002A5F5D" w:rsidRDefault="00D83E33">
            <w:pPr>
              <w:widowControl w:val="0"/>
              <w:pBdr>
                <w:top w:val="nil"/>
                <w:left w:val="nil"/>
                <w:bottom w:val="nil"/>
                <w:right w:val="nil"/>
                <w:between w:val="nil"/>
              </w:pBdr>
              <w:jc w:val="right"/>
              <w:rPr>
                <w:color w:val="000000"/>
              </w:rPr>
            </w:pPr>
          </w:p>
        </w:tc>
      </w:tr>
      <w:tr w:rsidR="00D83E33" w:rsidRPr="002A5F5D" w14:paraId="651317A5" w14:textId="77777777" w:rsidTr="001B330E">
        <w:trPr>
          <w:trHeight w:val="23"/>
        </w:trPr>
        <w:tc>
          <w:tcPr>
            <w:tcW w:w="3030" w:type="pct"/>
            <w:tcBorders>
              <w:bottom w:val="single" w:sz="4" w:space="0" w:color="000000"/>
            </w:tcBorders>
            <w:vAlign w:val="bottom"/>
          </w:tcPr>
          <w:p w14:paraId="5F9CE646" w14:textId="77777777" w:rsidR="00D83E33" w:rsidRPr="002A5F5D" w:rsidRDefault="00BC4072" w:rsidP="001B330E">
            <w:pPr>
              <w:widowControl w:val="0"/>
              <w:ind w:left="113" w:hanging="113"/>
              <w:rPr>
                <w:sz w:val="11"/>
                <w:szCs w:val="11"/>
              </w:rPr>
            </w:pPr>
            <w:r w:rsidRPr="002A5F5D">
              <w:rPr>
                <w:sz w:val="11"/>
                <w:szCs w:val="11"/>
              </w:rPr>
              <w:t> </w:t>
            </w:r>
          </w:p>
        </w:tc>
        <w:tc>
          <w:tcPr>
            <w:tcW w:w="379" w:type="pct"/>
            <w:tcBorders>
              <w:bottom w:val="single" w:sz="4" w:space="0" w:color="000000"/>
            </w:tcBorders>
            <w:vAlign w:val="bottom"/>
          </w:tcPr>
          <w:p w14:paraId="213B0664"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bottom w:val="single" w:sz="4" w:space="0" w:color="000000"/>
            </w:tcBorders>
            <w:vAlign w:val="bottom"/>
          </w:tcPr>
          <w:p w14:paraId="7070E093"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bottom w:val="single" w:sz="4" w:space="0" w:color="000000"/>
            </w:tcBorders>
            <w:vAlign w:val="bottom"/>
          </w:tcPr>
          <w:p w14:paraId="356454B9" w14:textId="77777777" w:rsidR="00D83E33" w:rsidRPr="002A5F5D" w:rsidRDefault="00D83E33">
            <w:pPr>
              <w:widowControl w:val="0"/>
              <w:pBdr>
                <w:top w:val="nil"/>
                <w:left w:val="nil"/>
                <w:bottom w:val="nil"/>
                <w:right w:val="nil"/>
                <w:between w:val="nil"/>
              </w:pBdr>
              <w:jc w:val="right"/>
              <w:rPr>
                <w:color w:val="000000"/>
                <w:sz w:val="11"/>
                <w:szCs w:val="11"/>
              </w:rPr>
            </w:pPr>
          </w:p>
        </w:tc>
      </w:tr>
      <w:tr w:rsidR="00D83E33" w:rsidRPr="002A5F5D" w14:paraId="6E4F325D" w14:textId="77777777" w:rsidTr="001B330E">
        <w:trPr>
          <w:trHeight w:val="23"/>
        </w:trPr>
        <w:tc>
          <w:tcPr>
            <w:tcW w:w="3030" w:type="pct"/>
            <w:tcBorders>
              <w:top w:val="single" w:sz="4" w:space="0" w:color="000000"/>
            </w:tcBorders>
            <w:vAlign w:val="bottom"/>
          </w:tcPr>
          <w:p w14:paraId="287EF800" w14:textId="77777777" w:rsidR="00D83E33" w:rsidRPr="002A5F5D" w:rsidRDefault="00BC4072" w:rsidP="001B330E">
            <w:pPr>
              <w:widowControl w:val="0"/>
              <w:ind w:left="113" w:hanging="113"/>
              <w:rPr>
                <w:sz w:val="11"/>
                <w:szCs w:val="11"/>
              </w:rPr>
            </w:pPr>
            <w:r w:rsidRPr="002A5F5D">
              <w:rPr>
                <w:sz w:val="11"/>
                <w:szCs w:val="11"/>
              </w:rPr>
              <w:t> </w:t>
            </w:r>
          </w:p>
        </w:tc>
        <w:tc>
          <w:tcPr>
            <w:tcW w:w="379" w:type="pct"/>
            <w:tcBorders>
              <w:top w:val="single" w:sz="4" w:space="0" w:color="000000"/>
            </w:tcBorders>
            <w:vAlign w:val="bottom"/>
          </w:tcPr>
          <w:p w14:paraId="29FCD06C"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top w:val="single" w:sz="4" w:space="0" w:color="000000"/>
            </w:tcBorders>
            <w:vAlign w:val="bottom"/>
          </w:tcPr>
          <w:p w14:paraId="62D49074"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top w:val="single" w:sz="4" w:space="0" w:color="000000"/>
            </w:tcBorders>
            <w:vAlign w:val="bottom"/>
          </w:tcPr>
          <w:p w14:paraId="0FB6AE73" w14:textId="77777777" w:rsidR="00D83E33" w:rsidRPr="002A5F5D" w:rsidRDefault="00D83E33">
            <w:pPr>
              <w:widowControl w:val="0"/>
              <w:pBdr>
                <w:top w:val="nil"/>
                <w:left w:val="nil"/>
                <w:bottom w:val="nil"/>
                <w:right w:val="nil"/>
                <w:between w:val="nil"/>
              </w:pBdr>
              <w:jc w:val="right"/>
              <w:rPr>
                <w:color w:val="000000"/>
                <w:sz w:val="11"/>
                <w:szCs w:val="11"/>
              </w:rPr>
            </w:pPr>
          </w:p>
        </w:tc>
      </w:tr>
      <w:tr w:rsidR="00D83E33" w:rsidRPr="00EA10CF" w14:paraId="5EA5A4E6" w14:textId="77777777" w:rsidTr="001B330E">
        <w:trPr>
          <w:trHeight w:val="23"/>
        </w:trPr>
        <w:tc>
          <w:tcPr>
            <w:tcW w:w="3030" w:type="pct"/>
            <w:vAlign w:val="bottom"/>
          </w:tcPr>
          <w:p w14:paraId="6F4C09A7" w14:textId="77777777" w:rsidR="00D83E33" w:rsidRPr="00EA10CF" w:rsidRDefault="00BC4072" w:rsidP="001B330E">
            <w:pPr>
              <w:widowControl w:val="0"/>
              <w:ind w:left="113" w:hanging="113"/>
              <w:rPr>
                <w:b/>
              </w:rPr>
            </w:pPr>
            <w:r w:rsidRPr="00EA10CF">
              <w:rPr>
                <w:b/>
              </w:rPr>
              <w:t>Carrying amount at 31 December</w:t>
            </w:r>
          </w:p>
        </w:tc>
        <w:tc>
          <w:tcPr>
            <w:tcW w:w="379" w:type="pct"/>
            <w:vAlign w:val="bottom"/>
          </w:tcPr>
          <w:p w14:paraId="531B2CD9" w14:textId="77777777" w:rsidR="00D83E33" w:rsidRPr="00EA10CF" w:rsidRDefault="00D83E33">
            <w:pPr>
              <w:widowControl w:val="0"/>
              <w:pBdr>
                <w:top w:val="nil"/>
                <w:left w:val="nil"/>
                <w:bottom w:val="nil"/>
                <w:right w:val="nil"/>
                <w:between w:val="nil"/>
              </w:pBdr>
              <w:jc w:val="center"/>
              <w:rPr>
                <w:b/>
                <w:color w:val="000000"/>
              </w:rPr>
            </w:pPr>
          </w:p>
        </w:tc>
        <w:tc>
          <w:tcPr>
            <w:tcW w:w="773" w:type="pct"/>
            <w:vAlign w:val="bottom"/>
          </w:tcPr>
          <w:p w14:paraId="5494714C"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5DCB6319" w14:textId="77777777" w:rsidR="00D83E33" w:rsidRPr="00EA10CF" w:rsidRDefault="00D83E33">
            <w:pPr>
              <w:widowControl w:val="0"/>
              <w:pBdr>
                <w:top w:val="nil"/>
                <w:left w:val="nil"/>
                <w:bottom w:val="nil"/>
                <w:right w:val="nil"/>
                <w:between w:val="nil"/>
              </w:pBdr>
              <w:jc w:val="right"/>
              <w:rPr>
                <w:b/>
                <w:color w:val="000000"/>
              </w:rPr>
            </w:pPr>
          </w:p>
        </w:tc>
      </w:tr>
      <w:tr w:rsidR="00D83E33" w:rsidRPr="002A5F5D" w14:paraId="0094B04C" w14:textId="77777777" w:rsidTr="001B330E">
        <w:trPr>
          <w:trHeight w:val="23"/>
        </w:trPr>
        <w:tc>
          <w:tcPr>
            <w:tcW w:w="3030" w:type="pct"/>
            <w:tcBorders>
              <w:bottom w:val="single" w:sz="12" w:space="0" w:color="000000"/>
            </w:tcBorders>
            <w:vAlign w:val="bottom"/>
          </w:tcPr>
          <w:p w14:paraId="13B3FE33" w14:textId="77777777" w:rsidR="00D83E33" w:rsidRPr="002A5F5D" w:rsidRDefault="00BC4072" w:rsidP="001B330E">
            <w:pPr>
              <w:widowControl w:val="0"/>
              <w:ind w:left="113" w:hanging="113"/>
              <w:rPr>
                <w:sz w:val="11"/>
                <w:szCs w:val="11"/>
              </w:rPr>
            </w:pPr>
            <w:r w:rsidRPr="002A5F5D">
              <w:rPr>
                <w:sz w:val="11"/>
                <w:szCs w:val="11"/>
              </w:rPr>
              <w:t> </w:t>
            </w:r>
          </w:p>
        </w:tc>
        <w:tc>
          <w:tcPr>
            <w:tcW w:w="379" w:type="pct"/>
            <w:tcBorders>
              <w:bottom w:val="single" w:sz="12" w:space="0" w:color="000000"/>
            </w:tcBorders>
            <w:vAlign w:val="bottom"/>
          </w:tcPr>
          <w:p w14:paraId="7B2B9A8E" w14:textId="77777777" w:rsidR="00D83E33" w:rsidRPr="002A5F5D" w:rsidRDefault="00D83E33">
            <w:pPr>
              <w:widowControl w:val="0"/>
              <w:pBdr>
                <w:top w:val="nil"/>
                <w:left w:val="nil"/>
                <w:bottom w:val="nil"/>
                <w:right w:val="nil"/>
                <w:between w:val="nil"/>
              </w:pBdr>
              <w:jc w:val="center"/>
              <w:rPr>
                <w:color w:val="000000"/>
                <w:sz w:val="11"/>
                <w:szCs w:val="11"/>
              </w:rPr>
            </w:pPr>
          </w:p>
        </w:tc>
        <w:tc>
          <w:tcPr>
            <w:tcW w:w="773" w:type="pct"/>
            <w:tcBorders>
              <w:bottom w:val="single" w:sz="12" w:space="0" w:color="000000"/>
            </w:tcBorders>
            <w:vAlign w:val="bottom"/>
          </w:tcPr>
          <w:p w14:paraId="52D523FC" w14:textId="77777777" w:rsidR="00D83E33" w:rsidRPr="002A5F5D" w:rsidRDefault="00D83E33">
            <w:pPr>
              <w:widowControl w:val="0"/>
              <w:pBdr>
                <w:top w:val="nil"/>
                <w:left w:val="nil"/>
                <w:bottom w:val="nil"/>
                <w:right w:val="nil"/>
                <w:between w:val="nil"/>
              </w:pBdr>
              <w:jc w:val="right"/>
              <w:rPr>
                <w:color w:val="000000"/>
                <w:sz w:val="11"/>
                <w:szCs w:val="11"/>
              </w:rPr>
            </w:pPr>
          </w:p>
        </w:tc>
        <w:tc>
          <w:tcPr>
            <w:tcW w:w="818" w:type="pct"/>
            <w:tcBorders>
              <w:bottom w:val="single" w:sz="12" w:space="0" w:color="000000"/>
            </w:tcBorders>
            <w:vAlign w:val="bottom"/>
          </w:tcPr>
          <w:p w14:paraId="55D251B0" w14:textId="77777777" w:rsidR="00D83E33" w:rsidRPr="002A5F5D" w:rsidRDefault="00D83E33">
            <w:pPr>
              <w:widowControl w:val="0"/>
              <w:pBdr>
                <w:top w:val="nil"/>
                <w:left w:val="nil"/>
                <w:bottom w:val="nil"/>
                <w:right w:val="nil"/>
                <w:between w:val="nil"/>
              </w:pBdr>
              <w:jc w:val="right"/>
              <w:rPr>
                <w:color w:val="000000"/>
                <w:sz w:val="11"/>
                <w:szCs w:val="11"/>
              </w:rPr>
            </w:pPr>
          </w:p>
        </w:tc>
      </w:tr>
    </w:tbl>
    <w:p w14:paraId="3F494FC0" w14:textId="77777777" w:rsidR="002A5F5D" w:rsidRDefault="002A5F5D" w:rsidP="002A5F5D">
      <w:pPr>
        <w:pStyle w:val="Continued"/>
      </w:pPr>
      <w:r>
        <w:lastRenderedPageBreak/>
        <w:t>17</w:t>
      </w:r>
      <w:r>
        <w:tab/>
        <w:t>Goodwill (Continued)</w:t>
      </w:r>
    </w:p>
    <w:p w14:paraId="0643221B" w14:textId="381CF779" w:rsidR="00F56971" w:rsidRDefault="00F56971">
      <w:pPr>
        <w:widowControl w:val="0"/>
        <w:pBdr>
          <w:top w:val="nil"/>
          <w:left w:val="nil"/>
          <w:bottom w:val="nil"/>
          <w:right w:val="nil"/>
          <w:between w:val="nil"/>
        </w:pBdr>
        <w:spacing w:before="200" w:after="200"/>
        <w:jc w:val="both"/>
        <w:rPr>
          <w:i/>
          <w:color w:val="000000"/>
          <w:sz w:val="20"/>
          <w:szCs w:val="20"/>
        </w:rPr>
      </w:pPr>
      <w:r w:rsidRPr="00F56971">
        <w:rPr>
          <w:b/>
          <w:i/>
          <w:color w:val="0000FF"/>
          <w:sz w:val="20"/>
          <w:szCs w:val="20"/>
        </w:rPr>
        <w:t>[</w:t>
      </w:r>
      <w:r w:rsidRPr="00F56971">
        <w:rPr>
          <w:color w:val="0000FF"/>
          <w:sz w:val="20"/>
          <w:szCs w:val="20"/>
        </w:rPr>
        <w:t>Goodwill is carried at cost less accumulated impairment losses, if any. The Group tests goodwill for impairment at least annually and whenever there are indications that goodwill may be impaired. Goodwill is allocated to the cash-generating units, or groups of cash-generating units, that are expected to benefit from the synergies of the business combination. Such units or group of units represent the lowest level at which the Group monitors goodwill and are not larger than an operating segment. Gains or losses on disposal of an operation within a cash generating unit to which goodwill has been allocated include the carrying amount of goodwill associated with the disposed operation, generally measured on the basis of the relative values of the disposed operation and the portion of the cash-generating unit which is retained.]</w:t>
      </w:r>
    </w:p>
    <w:p w14:paraId="633C018A" w14:textId="4ACF1AC7" w:rsidR="00D83E33" w:rsidRDefault="00BC4072">
      <w:pPr>
        <w:widowControl w:val="0"/>
        <w:pBdr>
          <w:top w:val="nil"/>
          <w:left w:val="nil"/>
          <w:bottom w:val="nil"/>
          <w:right w:val="nil"/>
          <w:between w:val="nil"/>
        </w:pBdr>
        <w:spacing w:before="200" w:after="200"/>
        <w:jc w:val="both"/>
        <w:rPr>
          <w:i/>
          <w:color w:val="000000"/>
          <w:sz w:val="20"/>
          <w:szCs w:val="20"/>
        </w:rPr>
      </w:pPr>
      <w:r>
        <w:rPr>
          <w:i/>
          <w:color w:val="000000"/>
          <w:sz w:val="20"/>
          <w:szCs w:val="20"/>
        </w:rPr>
        <w:t xml:space="preserve">Goodwill Impairment Test </w:t>
      </w:r>
    </w:p>
    <w:p w14:paraId="1013F23D"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Goodwill is allocated to cash-generating units (CGUs, which represent the lowest level within the Group at which goodwill is monitored by management and which are not larger than a segment), as follows:</w:t>
      </w:r>
    </w:p>
    <w:tbl>
      <w:tblPr>
        <w:tblStyle w:val="affffffffff5"/>
        <w:tblW w:w="5000" w:type="pct"/>
        <w:tblLayout w:type="fixed"/>
        <w:tblLook w:val="0000" w:firstRow="0" w:lastRow="0" w:firstColumn="0" w:lastColumn="0" w:noHBand="0" w:noVBand="0"/>
      </w:tblPr>
      <w:tblGrid>
        <w:gridCol w:w="5670"/>
        <w:gridCol w:w="625"/>
        <w:gridCol w:w="1530"/>
        <w:gridCol w:w="1530"/>
      </w:tblGrid>
      <w:tr w:rsidR="00D83E33" w:rsidRPr="00EA10CF" w14:paraId="3B00C56C" w14:textId="77777777" w:rsidTr="001B330E">
        <w:trPr>
          <w:trHeight w:val="23"/>
        </w:trPr>
        <w:tc>
          <w:tcPr>
            <w:tcW w:w="3030" w:type="pct"/>
            <w:tcBorders>
              <w:bottom w:val="single" w:sz="4" w:space="0" w:color="000000"/>
            </w:tcBorders>
            <w:vAlign w:val="bottom"/>
          </w:tcPr>
          <w:p w14:paraId="6840CAB3" w14:textId="59725C83"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334" w:type="pct"/>
            <w:tcBorders>
              <w:bottom w:val="single" w:sz="4" w:space="0" w:color="000000"/>
            </w:tcBorders>
            <w:vAlign w:val="bottom"/>
          </w:tcPr>
          <w:p w14:paraId="18AD2C3E" w14:textId="77777777" w:rsidR="00D83E33" w:rsidRPr="00EA10CF" w:rsidRDefault="00D83E33">
            <w:pPr>
              <w:widowControl w:val="0"/>
              <w:pBdr>
                <w:top w:val="nil"/>
                <w:left w:val="nil"/>
                <w:bottom w:val="nil"/>
                <w:right w:val="nil"/>
                <w:between w:val="nil"/>
              </w:pBdr>
              <w:jc w:val="center"/>
              <w:rPr>
                <w:b/>
                <w:color w:val="000000"/>
              </w:rPr>
            </w:pPr>
          </w:p>
        </w:tc>
        <w:tc>
          <w:tcPr>
            <w:tcW w:w="818" w:type="pct"/>
            <w:tcBorders>
              <w:bottom w:val="single" w:sz="4" w:space="0" w:color="000000"/>
            </w:tcBorders>
            <w:vAlign w:val="bottom"/>
          </w:tcPr>
          <w:p w14:paraId="4686F9A0" w14:textId="1E105CBE"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43234452" w14:textId="74C29B6B"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52DA4ECA" w14:textId="77777777" w:rsidTr="001B330E">
        <w:trPr>
          <w:trHeight w:val="23"/>
        </w:trPr>
        <w:tc>
          <w:tcPr>
            <w:tcW w:w="3030" w:type="pct"/>
            <w:vAlign w:val="bottom"/>
          </w:tcPr>
          <w:p w14:paraId="27A28C97" w14:textId="77777777" w:rsidR="00D83E33" w:rsidRPr="001B330E" w:rsidRDefault="00BC4072">
            <w:pPr>
              <w:widowControl w:val="0"/>
              <w:pBdr>
                <w:top w:val="nil"/>
                <w:left w:val="nil"/>
                <w:bottom w:val="nil"/>
                <w:right w:val="nil"/>
                <w:between w:val="nil"/>
              </w:pBdr>
              <w:rPr>
                <w:b/>
                <w:color w:val="000000"/>
                <w:szCs w:val="16"/>
              </w:rPr>
            </w:pPr>
            <w:r w:rsidRPr="001B330E">
              <w:rPr>
                <w:b/>
                <w:color w:val="000000"/>
                <w:szCs w:val="16"/>
              </w:rPr>
              <w:t> </w:t>
            </w:r>
          </w:p>
        </w:tc>
        <w:tc>
          <w:tcPr>
            <w:tcW w:w="334" w:type="pct"/>
            <w:vAlign w:val="bottom"/>
          </w:tcPr>
          <w:p w14:paraId="21F833DB" w14:textId="77777777" w:rsidR="00D83E33" w:rsidRPr="001B330E" w:rsidRDefault="00D83E33">
            <w:pPr>
              <w:widowControl w:val="0"/>
              <w:pBdr>
                <w:top w:val="nil"/>
                <w:left w:val="nil"/>
                <w:bottom w:val="nil"/>
                <w:right w:val="nil"/>
                <w:between w:val="nil"/>
              </w:pBdr>
              <w:jc w:val="center"/>
              <w:rPr>
                <w:color w:val="000000"/>
                <w:szCs w:val="16"/>
              </w:rPr>
            </w:pPr>
          </w:p>
        </w:tc>
        <w:tc>
          <w:tcPr>
            <w:tcW w:w="818" w:type="pct"/>
            <w:vAlign w:val="bottom"/>
          </w:tcPr>
          <w:p w14:paraId="49EA1879" w14:textId="77777777" w:rsidR="00D83E33" w:rsidRPr="001B330E" w:rsidRDefault="00D83E33">
            <w:pPr>
              <w:widowControl w:val="0"/>
              <w:pBdr>
                <w:top w:val="nil"/>
                <w:left w:val="nil"/>
                <w:bottom w:val="nil"/>
                <w:right w:val="nil"/>
                <w:between w:val="nil"/>
              </w:pBdr>
              <w:jc w:val="right"/>
              <w:rPr>
                <w:b/>
                <w:color w:val="000000"/>
                <w:szCs w:val="16"/>
              </w:rPr>
            </w:pPr>
          </w:p>
        </w:tc>
        <w:tc>
          <w:tcPr>
            <w:tcW w:w="818" w:type="pct"/>
            <w:vAlign w:val="bottom"/>
          </w:tcPr>
          <w:p w14:paraId="34B9B179" w14:textId="77777777" w:rsidR="00D83E33" w:rsidRPr="001B330E" w:rsidRDefault="00D83E33">
            <w:pPr>
              <w:widowControl w:val="0"/>
              <w:pBdr>
                <w:top w:val="nil"/>
                <w:left w:val="nil"/>
                <w:bottom w:val="nil"/>
                <w:right w:val="nil"/>
                <w:between w:val="nil"/>
              </w:pBdr>
              <w:jc w:val="right"/>
              <w:rPr>
                <w:b/>
                <w:color w:val="000000"/>
                <w:szCs w:val="16"/>
              </w:rPr>
            </w:pPr>
          </w:p>
        </w:tc>
      </w:tr>
      <w:tr w:rsidR="00D83E33" w:rsidRPr="00EA10CF" w14:paraId="45841261" w14:textId="77777777" w:rsidTr="001B330E">
        <w:trPr>
          <w:trHeight w:val="23"/>
        </w:trPr>
        <w:tc>
          <w:tcPr>
            <w:tcW w:w="3030" w:type="pct"/>
            <w:vAlign w:val="bottom"/>
          </w:tcPr>
          <w:p w14:paraId="1C0D8170" w14:textId="77777777" w:rsidR="00D83E33" w:rsidRPr="00EA10CF" w:rsidRDefault="00BC4072">
            <w:pPr>
              <w:widowControl w:val="0"/>
              <w:pBdr>
                <w:top w:val="nil"/>
                <w:left w:val="nil"/>
                <w:bottom w:val="nil"/>
                <w:right w:val="nil"/>
                <w:between w:val="nil"/>
              </w:pBdr>
              <w:rPr>
                <w:color w:val="000000"/>
              </w:rPr>
            </w:pPr>
            <w:r w:rsidRPr="00EA10CF">
              <w:rPr>
                <w:color w:val="000000"/>
              </w:rPr>
              <w:t>[CGU 1]</w:t>
            </w:r>
          </w:p>
        </w:tc>
        <w:tc>
          <w:tcPr>
            <w:tcW w:w="334" w:type="pct"/>
            <w:vAlign w:val="bottom"/>
          </w:tcPr>
          <w:p w14:paraId="4D2B684C" w14:textId="77777777" w:rsidR="00D83E33" w:rsidRPr="00EA10CF" w:rsidRDefault="00D83E33">
            <w:pPr>
              <w:widowControl w:val="0"/>
              <w:pBdr>
                <w:top w:val="nil"/>
                <w:left w:val="nil"/>
                <w:bottom w:val="nil"/>
                <w:right w:val="nil"/>
                <w:between w:val="nil"/>
              </w:pBdr>
              <w:jc w:val="center"/>
              <w:rPr>
                <w:color w:val="000000"/>
              </w:rPr>
            </w:pPr>
          </w:p>
        </w:tc>
        <w:tc>
          <w:tcPr>
            <w:tcW w:w="818" w:type="pct"/>
            <w:vAlign w:val="bottom"/>
          </w:tcPr>
          <w:p w14:paraId="154D17CF"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9971EC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8709B00" w14:textId="77777777" w:rsidTr="001B330E">
        <w:trPr>
          <w:trHeight w:val="23"/>
        </w:trPr>
        <w:tc>
          <w:tcPr>
            <w:tcW w:w="3030" w:type="pct"/>
            <w:vAlign w:val="bottom"/>
          </w:tcPr>
          <w:p w14:paraId="76C1F085" w14:textId="77777777" w:rsidR="00D83E33" w:rsidRPr="00EA10CF" w:rsidRDefault="00BC4072">
            <w:pPr>
              <w:widowControl w:val="0"/>
              <w:pBdr>
                <w:top w:val="nil"/>
                <w:left w:val="nil"/>
                <w:bottom w:val="nil"/>
                <w:right w:val="nil"/>
                <w:between w:val="nil"/>
              </w:pBdr>
              <w:rPr>
                <w:color w:val="000000"/>
              </w:rPr>
            </w:pPr>
            <w:r w:rsidRPr="00EA10CF">
              <w:rPr>
                <w:color w:val="000000"/>
              </w:rPr>
              <w:t>[CGU 2]</w:t>
            </w:r>
          </w:p>
        </w:tc>
        <w:tc>
          <w:tcPr>
            <w:tcW w:w="334" w:type="pct"/>
            <w:vAlign w:val="bottom"/>
          </w:tcPr>
          <w:p w14:paraId="093523FE" w14:textId="77777777" w:rsidR="00D83E33" w:rsidRPr="00EA10CF" w:rsidRDefault="00D83E33">
            <w:pPr>
              <w:widowControl w:val="0"/>
              <w:pBdr>
                <w:top w:val="nil"/>
                <w:left w:val="nil"/>
                <w:bottom w:val="nil"/>
                <w:right w:val="nil"/>
                <w:between w:val="nil"/>
              </w:pBdr>
              <w:jc w:val="center"/>
              <w:rPr>
                <w:color w:val="000000"/>
              </w:rPr>
            </w:pPr>
          </w:p>
        </w:tc>
        <w:tc>
          <w:tcPr>
            <w:tcW w:w="818" w:type="pct"/>
            <w:vAlign w:val="bottom"/>
          </w:tcPr>
          <w:p w14:paraId="56B27C8C"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860E65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2341F34" w14:textId="77777777" w:rsidTr="001B330E">
        <w:trPr>
          <w:trHeight w:val="23"/>
        </w:trPr>
        <w:tc>
          <w:tcPr>
            <w:tcW w:w="3030" w:type="pct"/>
            <w:vAlign w:val="bottom"/>
          </w:tcPr>
          <w:p w14:paraId="72F72637" w14:textId="77777777" w:rsidR="00D83E33" w:rsidRPr="00EA10CF" w:rsidRDefault="00BC4072">
            <w:pPr>
              <w:widowControl w:val="0"/>
              <w:pBdr>
                <w:top w:val="nil"/>
                <w:left w:val="nil"/>
                <w:bottom w:val="nil"/>
                <w:right w:val="nil"/>
                <w:between w:val="nil"/>
              </w:pBdr>
              <w:rPr>
                <w:color w:val="000000"/>
              </w:rPr>
            </w:pPr>
            <w:r w:rsidRPr="00EA10CF">
              <w:rPr>
                <w:color w:val="000000"/>
              </w:rPr>
              <w:t>[CGU 3]</w:t>
            </w:r>
          </w:p>
        </w:tc>
        <w:tc>
          <w:tcPr>
            <w:tcW w:w="334" w:type="pct"/>
            <w:vAlign w:val="bottom"/>
          </w:tcPr>
          <w:p w14:paraId="0E81F64F" w14:textId="77777777" w:rsidR="00D83E33" w:rsidRPr="00EA10CF" w:rsidRDefault="00D83E33">
            <w:pPr>
              <w:widowControl w:val="0"/>
              <w:pBdr>
                <w:top w:val="nil"/>
                <w:left w:val="nil"/>
                <w:bottom w:val="nil"/>
                <w:right w:val="nil"/>
                <w:between w:val="nil"/>
              </w:pBdr>
              <w:jc w:val="center"/>
              <w:rPr>
                <w:color w:val="000000"/>
              </w:rPr>
            </w:pPr>
          </w:p>
        </w:tc>
        <w:tc>
          <w:tcPr>
            <w:tcW w:w="818" w:type="pct"/>
            <w:vAlign w:val="bottom"/>
          </w:tcPr>
          <w:p w14:paraId="2AD2DE96"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76B1E89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D305D2E" w14:textId="77777777" w:rsidTr="001B330E">
        <w:trPr>
          <w:trHeight w:val="23"/>
        </w:trPr>
        <w:tc>
          <w:tcPr>
            <w:tcW w:w="3030" w:type="pct"/>
            <w:vAlign w:val="bottom"/>
          </w:tcPr>
          <w:p w14:paraId="449DD29A" w14:textId="77777777" w:rsidR="00D83E33" w:rsidRPr="00EA10CF" w:rsidRDefault="00BC4072">
            <w:pPr>
              <w:widowControl w:val="0"/>
              <w:pBdr>
                <w:top w:val="nil"/>
                <w:left w:val="nil"/>
                <w:bottom w:val="nil"/>
                <w:right w:val="nil"/>
                <w:between w:val="nil"/>
              </w:pBdr>
              <w:rPr>
                <w:color w:val="000000"/>
              </w:rPr>
            </w:pPr>
            <w:r w:rsidRPr="00EA10CF">
              <w:rPr>
                <w:color w:val="000000"/>
              </w:rPr>
              <w:t>[…]</w:t>
            </w:r>
          </w:p>
        </w:tc>
        <w:tc>
          <w:tcPr>
            <w:tcW w:w="334" w:type="pct"/>
            <w:vAlign w:val="bottom"/>
          </w:tcPr>
          <w:p w14:paraId="75A52713" w14:textId="77777777" w:rsidR="00D83E33" w:rsidRPr="00EA10CF" w:rsidRDefault="00D83E33">
            <w:pPr>
              <w:widowControl w:val="0"/>
              <w:pBdr>
                <w:top w:val="nil"/>
                <w:left w:val="nil"/>
                <w:bottom w:val="nil"/>
                <w:right w:val="nil"/>
                <w:between w:val="nil"/>
              </w:pBdr>
              <w:jc w:val="center"/>
              <w:rPr>
                <w:color w:val="000000"/>
              </w:rPr>
            </w:pPr>
          </w:p>
        </w:tc>
        <w:tc>
          <w:tcPr>
            <w:tcW w:w="818" w:type="pct"/>
            <w:vAlign w:val="bottom"/>
          </w:tcPr>
          <w:p w14:paraId="5BD8E888"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B5D812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00E1C13" w14:textId="77777777" w:rsidTr="001B330E">
        <w:trPr>
          <w:trHeight w:val="23"/>
        </w:trPr>
        <w:tc>
          <w:tcPr>
            <w:tcW w:w="3030" w:type="pct"/>
            <w:tcBorders>
              <w:bottom w:val="single" w:sz="4" w:space="0" w:color="000000"/>
            </w:tcBorders>
            <w:vAlign w:val="bottom"/>
          </w:tcPr>
          <w:p w14:paraId="03738767" w14:textId="77777777" w:rsidR="00D83E33" w:rsidRPr="001B330E" w:rsidRDefault="00BC4072">
            <w:pPr>
              <w:widowControl w:val="0"/>
              <w:pBdr>
                <w:top w:val="nil"/>
                <w:left w:val="nil"/>
                <w:bottom w:val="nil"/>
                <w:right w:val="nil"/>
                <w:between w:val="nil"/>
              </w:pBdr>
              <w:rPr>
                <w:color w:val="000000"/>
                <w:szCs w:val="16"/>
              </w:rPr>
            </w:pPr>
            <w:r w:rsidRPr="001B330E">
              <w:rPr>
                <w:color w:val="000000"/>
                <w:szCs w:val="16"/>
              </w:rPr>
              <w:t> </w:t>
            </w:r>
          </w:p>
        </w:tc>
        <w:tc>
          <w:tcPr>
            <w:tcW w:w="334" w:type="pct"/>
            <w:tcBorders>
              <w:bottom w:val="single" w:sz="4" w:space="0" w:color="000000"/>
            </w:tcBorders>
            <w:vAlign w:val="bottom"/>
          </w:tcPr>
          <w:p w14:paraId="021E3E28" w14:textId="77777777" w:rsidR="00D83E33" w:rsidRPr="001B330E" w:rsidRDefault="00D83E33">
            <w:pPr>
              <w:widowControl w:val="0"/>
              <w:pBdr>
                <w:top w:val="nil"/>
                <w:left w:val="nil"/>
                <w:bottom w:val="nil"/>
                <w:right w:val="nil"/>
                <w:between w:val="nil"/>
              </w:pBdr>
              <w:jc w:val="center"/>
              <w:rPr>
                <w:color w:val="000000"/>
                <w:szCs w:val="16"/>
              </w:rPr>
            </w:pPr>
          </w:p>
        </w:tc>
        <w:tc>
          <w:tcPr>
            <w:tcW w:w="818" w:type="pct"/>
            <w:tcBorders>
              <w:bottom w:val="single" w:sz="4" w:space="0" w:color="000000"/>
            </w:tcBorders>
            <w:vAlign w:val="bottom"/>
          </w:tcPr>
          <w:p w14:paraId="5D433FCC" w14:textId="77777777" w:rsidR="00D83E33" w:rsidRPr="001B330E" w:rsidRDefault="00D83E33">
            <w:pPr>
              <w:widowControl w:val="0"/>
              <w:pBdr>
                <w:top w:val="nil"/>
                <w:left w:val="nil"/>
                <w:bottom w:val="nil"/>
                <w:right w:val="nil"/>
                <w:between w:val="nil"/>
              </w:pBdr>
              <w:jc w:val="right"/>
              <w:rPr>
                <w:color w:val="000000"/>
                <w:szCs w:val="16"/>
              </w:rPr>
            </w:pPr>
          </w:p>
        </w:tc>
        <w:tc>
          <w:tcPr>
            <w:tcW w:w="818" w:type="pct"/>
            <w:tcBorders>
              <w:bottom w:val="single" w:sz="4" w:space="0" w:color="000000"/>
            </w:tcBorders>
            <w:vAlign w:val="bottom"/>
          </w:tcPr>
          <w:p w14:paraId="77F368F3"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62BFBFB9" w14:textId="77777777" w:rsidTr="001B330E">
        <w:trPr>
          <w:trHeight w:val="23"/>
        </w:trPr>
        <w:tc>
          <w:tcPr>
            <w:tcW w:w="3030" w:type="pct"/>
            <w:tcBorders>
              <w:top w:val="single" w:sz="4" w:space="0" w:color="000000"/>
            </w:tcBorders>
            <w:vAlign w:val="bottom"/>
          </w:tcPr>
          <w:p w14:paraId="4857F106" w14:textId="77777777" w:rsidR="00D83E33" w:rsidRPr="001B330E" w:rsidRDefault="00BC4072">
            <w:pPr>
              <w:widowControl w:val="0"/>
              <w:pBdr>
                <w:top w:val="nil"/>
                <w:left w:val="nil"/>
                <w:bottom w:val="nil"/>
                <w:right w:val="nil"/>
                <w:between w:val="nil"/>
              </w:pBdr>
              <w:rPr>
                <w:color w:val="000000"/>
                <w:szCs w:val="16"/>
              </w:rPr>
            </w:pPr>
            <w:r w:rsidRPr="001B330E">
              <w:rPr>
                <w:color w:val="000000"/>
                <w:szCs w:val="16"/>
              </w:rPr>
              <w:t> </w:t>
            </w:r>
          </w:p>
        </w:tc>
        <w:tc>
          <w:tcPr>
            <w:tcW w:w="334" w:type="pct"/>
            <w:tcBorders>
              <w:top w:val="single" w:sz="4" w:space="0" w:color="000000"/>
            </w:tcBorders>
            <w:vAlign w:val="bottom"/>
          </w:tcPr>
          <w:p w14:paraId="70C65123" w14:textId="77777777" w:rsidR="00D83E33" w:rsidRPr="001B330E" w:rsidRDefault="00D83E33">
            <w:pPr>
              <w:widowControl w:val="0"/>
              <w:pBdr>
                <w:top w:val="nil"/>
                <w:left w:val="nil"/>
                <w:bottom w:val="nil"/>
                <w:right w:val="nil"/>
                <w:between w:val="nil"/>
              </w:pBdr>
              <w:jc w:val="center"/>
              <w:rPr>
                <w:color w:val="000000"/>
                <w:szCs w:val="16"/>
              </w:rPr>
            </w:pPr>
          </w:p>
        </w:tc>
        <w:tc>
          <w:tcPr>
            <w:tcW w:w="818" w:type="pct"/>
            <w:tcBorders>
              <w:top w:val="single" w:sz="4" w:space="0" w:color="000000"/>
            </w:tcBorders>
            <w:vAlign w:val="bottom"/>
          </w:tcPr>
          <w:p w14:paraId="0323A361" w14:textId="77777777" w:rsidR="00D83E33" w:rsidRPr="001B330E" w:rsidRDefault="00D83E33">
            <w:pPr>
              <w:widowControl w:val="0"/>
              <w:pBdr>
                <w:top w:val="nil"/>
                <w:left w:val="nil"/>
                <w:bottom w:val="nil"/>
                <w:right w:val="nil"/>
                <w:between w:val="nil"/>
              </w:pBdr>
              <w:jc w:val="right"/>
              <w:rPr>
                <w:color w:val="000000"/>
                <w:szCs w:val="16"/>
              </w:rPr>
            </w:pPr>
          </w:p>
        </w:tc>
        <w:tc>
          <w:tcPr>
            <w:tcW w:w="818" w:type="pct"/>
            <w:tcBorders>
              <w:top w:val="single" w:sz="4" w:space="0" w:color="000000"/>
            </w:tcBorders>
            <w:vAlign w:val="bottom"/>
          </w:tcPr>
          <w:p w14:paraId="093F76DD"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539C82C7" w14:textId="77777777" w:rsidTr="001B330E">
        <w:trPr>
          <w:trHeight w:val="23"/>
        </w:trPr>
        <w:tc>
          <w:tcPr>
            <w:tcW w:w="3030" w:type="pct"/>
            <w:vAlign w:val="bottom"/>
          </w:tcPr>
          <w:p w14:paraId="712AF8F5"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carrying amount of goodwill</w:t>
            </w:r>
          </w:p>
        </w:tc>
        <w:tc>
          <w:tcPr>
            <w:tcW w:w="334" w:type="pct"/>
            <w:vAlign w:val="bottom"/>
          </w:tcPr>
          <w:p w14:paraId="189DBAFA" w14:textId="77777777" w:rsidR="00D83E33" w:rsidRPr="00EA10CF" w:rsidRDefault="00D83E33">
            <w:pPr>
              <w:widowControl w:val="0"/>
              <w:pBdr>
                <w:top w:val="nil"/>
                <w:left w:val="nil"/>
                <w:bottom w:val="nil"/>
                <w:right w:val="nil"/>
                <w:between w:val="nil"/>
              </w:pBdr>
              <w:jc w:val="center"/>
              <w:rPr>
                <w:b/>
                <w:color w:val="000000"/>
              </w:rPr>
            </w:pPr>
          </w:p>
        </w:tc>
        <w:tc>
          <w:tcPr>
            <w:tcW w:w="818" w:type="pct"/>
            <w:vAlign w:val="bottom"/>
          </w:tcPr>
          <w:p w14:paraId="761AD8EA"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7F008FE0"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441FF23" w14:textId="77777777" w:rsidTr="001B330E">
        <w:trPr>
          <w:trHeight w:val="23"/>
        </w:trPr>
        <w:tc>
          <w:tcPr>
            <w:tcW w:w="3030" w:type="pct"/>
            <w:tcBorders>
              <w:bottom w:val="single" w:sz="12" w:space="0" w:color="000000"/>
            </w:tcBorders>
            <w:vAlign w:val="bottom"/>
          </w:tcPr>
          <w:p w14:paraId="3651F69E" w14:textId="77777777" w:rsidR="00D83E33" w:rsidRPr="001B330E" w:rsidRDefault="00BC4072">
            <w:pPr>
              <w:widowControl w:val="0"/>
              <w:pBdr>
                <w:top w:val="nil"/>
                <w:left w:val="nil"/>
                <w:bottom w:val="nil"/>
                <w:right w:val="nil"/>
                <w:between w:val="nil"/>
              </w:pBdr>
              <w:rPr>
                <w:color w:val="000000"/>
                <w:szCs w:val="16"/>
              </w:rPr>
            </w:pPr>
            <w:r w:rsidRPr="001B330E">
              <w:rPr>
                <w:color w:val="000000"/>
                <w:szCs w:val="16"/>
              </w:rPr>
              <w:t> </w:t>
            </w:r>
          </w:p>
        </w:tc>
        <w:tc>
          <w:tcPr>
            <w:tcW w:w="334" w:type="pct"/>
            <w:tcBorders>
              <w:bottom w:val="single" w:sz="12" w:space="0" w:color="000000"/>
            </w:tcBorders>
            <w:vAlign w:val="bottom"/>
          </w:tcPr>
          <w:p w14:paraId="016EDB93" w14:textId="77777777" w:rsidR="00D83E33" w:rsidRPr="001B330E" w:rsidRDefault="00D83E33">
            <w:pPr>
              <w:widowControl w:val="0"/>
              <w:pBdr>
                <w:top w:val="nil"/>
                <w:left w:val="nil"/>
                <w:bottom w:val="nil"/>
                <w:right w:val="nil"/>
                <w:between w:val="nil"/>
              </w:pBdr>
              <w:jc w:val="center"/>
              <w:rPr>
                <w:color w:val="000000"/>
                <w:szCs w:val="16"/>
              </w:rPr>
            </w:pPr>
          </w:p>
        </w:tc>
        <w:tc>
          <w:tcPr>
            <w:tcW w:w="818" w:type="pct"/>
            <w:tcBorders>
              <w:bottom w:val="single" w:sz="12" w:space="0" w:color="000000"/>
            </w:tcBorders>
            <w:vAlign w:val="bottom"/>
          </w:tcPr>
          <w:p w14:paraId="14EA5785" w14:textId="77777777" w:rsidR="00D83E33" w:rsidRPr="001B330E" w:rsidRDefault="00D83E33">
            <w:pPr>
              <w:widowControl w:val="0"/>
              <w:pBdr>
                <w:top w:val="nil"/>
                <w:left w:val="nil"/>
                <w:bottom w:val="nil"/>
                <w:right w:val="nil"/>
                <w:between w:val="nil"/>
              </w:pBdr>
              <w:jc w:val="right"/>
              <w:rPr>
                <w:color w:val="000000"/>
                <w:szCs w:val="16"/>
              </w:rPr>
            </w:pPr>
          </w:p>
        </w:tc>
        <w:tc>
          <w:tcPr>
            <w:tcW w:w="818" w:type="pct"/>
            <w:tcBorders>
              <w:bottom w:val="single" w:sz="12" w:space="0" w:color="000000"/>
            </w:tcBorders>
            <w:vAlign w:val="bottom"/>
          </w:tcPr>
          <w:p w14:paraId="7D2C36DF" w14:textId="77777777" w:rsidR="00D83E33" w:rsidRPr="001B330E" w:rsidRDefault="00D83E33">
            <w:pPr>
              <w:widowControl w:val="0"/>
              <w:pBdr>
                <w:top w:val="nil"/>
                <w:left w:val="nil"/>
                <w:bottom w:val="nil"/>
                <w:right w:val="nil"/>
                <w:between w:val="nil"/>
              </w:pBdr>
              <w:jc w:val="right"/>
              <w:rPr>
                <w:color w:val="000000"/>
                <w:szCs w:val="16"/>
              </w:rPr>
            </w:pPr>
          </w:p>
        </w:tc>
      </w:tr>
    </w:tbl>
    <w:p w14:paraId="78D0DD3C" w14:textId="6FB627C1"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[If some or all of the carrying amount of goodwill is allocated across multiple CGUs (or groups of CGUs) and the amount allocated to each CGU (or group of CGUs) is not individually significant, that fact should be disclosed, together with the aggregate carrying amount of goodwill allocated to those CGUs (or group of CGUs). Refer to IAS 36.135 for additional required disclosures if goodwill is allocated across multiple CGUs (or groups of CGUs)]</w:t>
      </w:r>
    </w:p>
    <w:p w14:paraId="7FC446C5" w14:textId="7A6AE458"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[If any portion of the goodwill acquired in a business combination during the reporting period has not been allocated to a CGU at the end of the reporting period (IAS 36.84), disclose the amount of the unallocated goodwill, together with the reasons why that amount remains unallocated.]</w:t>
      </w:r>
    </w:p>
    <w:p w14:paraId="27DBFD10" w14:textId="71C70165"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[The disclosures below only cover situations when the recoverable amount is value in use. If fair value less costs to sell is higher than value in use, refer to IAS 36.134(e) for required disclosures.]</w:t>
      </w:r>
    </w:p>
    <w:p w14:paraId="3D880E47" w14:textId="790301F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recoverable amount of each CGU was determined based on value-in-use calculations. These calculations use cash flow projections based on financial budgets approved by management covering a five-year period. </w:t>
      </w:r>
      <w:r>
        <w:rPr>
          <w:i/>
          <w:color w:val="FF0000"/>
          <w:sz w:val="20"/>
          <w:szCs w:val="20"/>
        </w:rPr>
        <w:t>[</w:t>
      </w:r>
      <w:r w:rsidR="000A1B81">
        <w:rPr>
          <w:i/>
          <w:color w:val="FF0000"/>
          <w:sz w:val="20"/>
          <w:szCs w:val="20"/>
        </w:rPr>
        <w:t>Tailor to d</w:t>
      </w:r>
      <w:r>
        <w:rPr>
          <w:i/>
          <w:color w:val="FF0000"/>
          <w:sz w:val="20"/>
          <w:szCs w:val="20"/>
        </w:rPr>
        <w:t>isclose why period of more than 5 years would be justified – IAS 36.134(d)(iii).]</w:t>
      </w:r>
      <w:r>
        <w:rPr>
          <w:color w:val="000000"/>
          <w:sz w:val="20"/>
          <w:szCs w:val="20"/>
        </w:rPr>
        <w:t xml:space="preserve"> Cash flows beyond the five-year period are extrapolated using the estimated growth rates stated below. </w:t>
      </w:r>
    </w:p>
    <w:p w14:paraId="27988DDD"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growth rates do not exceed the long-term average growth rate for the business sector of the economy in which the CGU operates. </w:t>
      </w:r>
    </w:p>
    <w:p w14:paraId="2287297C"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Assumptions used for value-in-use calculations to which the recoverable amount is most sensitive were:</w:t>
      </w:r>
    </w:p>
    <w:tbl>
      <w:tblPr>
        <w:tblStyle w:val="affffffffff6"/>
        <w:tblW w:w="5000" w:type="pct"/>
        <w:tblLayout w:type="fixed"/>
        <w:tblLook w:val="0000" w:firstRow="0" w:lastRow="0" w:firstColumn="0" w:lastColumn="0" w:noHBand="0" w:noVBand="0"/>
      </w:tblPr>
      <w:tblGrid>
        <w:gridCol w:w="5670"/>
        <w:gridCol w:w="625"/>
        <w:gridCol w:w="1530"/>
        <w:gridCol w:w="1530"/>
      </w:tblGrid>
      <w:tr w:rsidR="00D83E33" w:rsidRPr="00EA10CF" w14:paraId="4799472C" w14:textId="77777777" w:rsidTr="001B330E">
        <w:trPr>
          <w:trHeight w:val="23"/>
        </w:trPr>
        <w:tc>
          <w:tcPr>
            <w:tcW w:w="3030" w:type="pct"/>
            <w:tcBorders>
              <w:bottom w:val="single" w:sz="4" w:space="0" w:color="000000"/>
            </w:tcBorders>
            <w:vAlign w:val="bottom"/>
          </w:tcPr>
          <w:p w14:paraId="364F377D"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334" w:type="pct"/>
            <w:tcBorders>
              <w:bottom w:val="single" w:sz="4" w:space="0" w:color="000000"/>
            </w:tcBorders>
            <w:vAlign w:val="bottom"/>
          </w:tcPr>
          <w:p w14:paraId="18108E27" w14:textId="77777777" w:rsidR="00D83E33" w:rsidRPr="00EA10CF" w:rsidRDefault="00D83E33">
            <w:pPr>
              <w:widowControl w:val="0"/>
              <w:pBdr>
                <w:top w:val="nil"/>
                <w:left w:val="nil"/>
                <w:bottom w:val="nil"/>
                <w:right w:val="nil"/>
                <w:between w:val="nil"/>
              </w:pBdr>
              <w:jc w:val="center"/>
              <w:rPr>
                <w:b/>
                <w:color w:val="000000"/>
              </w:rPr>
            </w:pPr>
          </w:p>
        </w:tc>
        <w:tc>
          <w:tcPr>
            <w:tcW w:w="818" w:type="pct"/>
            <w:tcBorders>
              <w:bottom w:val="single" w:sz="4" w:space="0" w:color="000000"/>
            </w:tcBorders>
            <w:vAlign w:val="bottom"/>
          </w:tcPr>
          <w:p w14:paraId="4E2A3C8B" w14:textId="68D15320"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45617A2F" w14:textId="416EEB2F"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46425A56" w14:textId="77777777" w:rsidTr="001B330E">
        <w:trPr>
          <w:trHeight w:val="23"/>
        </w:trPr>
        <w:tc>
          <w:tcPr>
            <w:tcW w:w="3030" w:type="pct"/>
            <w:vAlign w:val="bottom"/>
          </w:tcPr>
          <w:p w14:paraId="5E4C449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334" w:type="pct"/>
            <w:vAlign w:val="bottom"/>
          </w:tcPr>
          <w:p w14:paraId="2EF12EE0" w14:textId="77777777" w:rsidR="00D83E33" w:rsidRPr="00EA10CF" w:rsidRDefault="00D83E33">
            <w:pPr>
              <w:widowControl w:val="0"/>
              <w:pBdr>
                <w:top w:val="nil"/>
                <w:left w:val="nil"/>
                <w:bottom w:val="nil"/>
                <w:right w:val="nil"/>
                <w:between w:val="nil"/>
              </w:pBdr>
              <w:jc w:val="center"/>
              <w:rPr>
                <w:color w:val="000000"/>
              </w:rPr>
            </w:pPr>
          </w:p>
        </w:tc>
        <w:tc>
          <w:tcPr>
            <w:tcW w:w="818" w:type="pct"/>
            <w:vAlign w:val="bottom"/>
          </w:tcPr>
          <w:p w14:paraId="75A01A2B"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1A18D8D0"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357CB0A" w14:textId="77777777" w:rsidTr="001B330E">
        <w:trPr>
          <w:trHeight w:val="23"/>
        </w:trPr>
        <w:tc>
          <w:tcPr>
            <w:tcW w:w="3030" w:type="pct"/>
            <w:vAlign w:val="bottom"/>
          </w:tcPr>
          <w:p w14:paraId="7A90669C" w14:textId="036F6608" w:rsidR="00D83E33" w:rsidRPr="00EA10CF" w:rsidRDefault="00D83E33" w:rsidP="001B330E">
            <w:pPr>
              <w:widowControl w:val="0"/>
              <w:pBdr>
                <w:top w:val="nil"/>
                <w:left w:val="nil"/>
                <w:bottom w:val="nil"/>
                <w:right w:val="nil"/>
                <w:between w:val="nil"/>
              </w:pBdr>
              <w:ind w:left="113" w:hanging="113"/>
              <w:rPr>
                <w:color w:val="FF0000"/>
              </w:rPr>
            </w:pPr>
          </w:p>
        </w:tc>
        <w:tc>
          <w:tcPr>
            <w:tcW w:w="334" w:type="pct"/>
            <w:vAlign w:val="bottom"/>
          </w:tcPr>
          <w:p w14:paraId="10BD78EB" w14:textId="77777777" w:rsidR="00D83E33" w:rsidRPr="00EA10CF" w:rsidRDefault="00D83E33">
            <w:pPr>
              <w:widowControl w:val="0"/>
              <w:pBdr>
                <w:top w:val="nil"/>
                <w:left w:val="nil"/>
                <w:bottom w:val="nil"/>
                <w:right w:val="nil"/>
                <w:between w:val="nil"/>
              </w:pBdr>
              <w:jc w:val="center"/>
              <w:rPr>
                <w:color w:val="000000"/>
              </w:rPr>
            </w:pPr>
          </w:p>
        </w:tc>
        <w:tc>
          <w:tcPr>
            <w:tcW w:w="818" w:type="pct"/>
            <w:vAlign w:val="bottom"/>
          </w:tcPr>
          <w:p w14:paraId="4FD487C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76A47F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24A7523" w14:textId="77777777" w:rsidTr="001B330E">
        <w:trPr>
          <w:trHeight w:val="23"/>
        </w:trPr>
        <w:tc>
          <w:tcPr>
            <w:tcW w:w="3030" w:type="pct"/>
            <w:vAlign w:val="bottom"/>
          </w:tcPr>
          <w:p w14:paraId="4A14FF3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Growth rate beyond five years</w:t>
            </w:r>
          </w:p>
        </w:tc>
        <w:tc>
          <w:tcPr>
            <w:tcW w:w="334" w:type="pct"/>
            <w:vAlign w:val="bottom"/>
          </w:tcPr>
          <w:p w14:paraId="228FF737" w14:textId="77777777" w:rsidR="00D83E33" w:rsidRPr="00EA10CF" w:rsidRDefault="00D83E33">
            <w:pPr>
              <w:widowControl w:val="0"/>
              <w:pBdr>
                <w:top w:val="nil"/>
                <w:left w:val="nil"/>
                <w:bottom w:val="nil"/>
                <w:right w:val="nil"/>
                <w:between w:val="nil"/>
              </w:pBdr>
              <w:jc w:val="center"/>
              <w:rPr>
                <w:color w:val="000000"/>
              </w:rPr>
            </w:pPr>
          </w:p>
        </w:tc>
        <w:tc>
          <w:tcPr>
            <w:tcW w:w="818" w:type="pct"/>
            <w:vAlign w:val="bottom"/>
          </w:tcPr>
          <w:p w14:paraId="080BB3BA" w14:textId="77777777" w:rsidR="00D83E33" w:rsidRPr="00EA10CF" w:rsidRDefault="00BC4072">
            <w:pPr>
              <w:widowControl w:val="0"/>
              <w:pBdr>
                <w:top w:val="nil"/>
                <w:left w:val="nil"/>
                <w:bottom w:val="nil"/>
                <w:right w:val="nil"/>
                <w:between w:val="nil"/>
              </w:pBdr>
              <w:jc w:val="right"/>
              <w:rPr>
                <w:color w:val="000000"/>
              </w:rPr>
            </w:pPr>
            <w:r w:rsidRPr="00EA10CF">
              <w:rPr>
                <w:color w:val="000000"/>
              </w:rPr>
              <w:t>X% p.a.</w:t>
            </w:r>
          </w:p>
        </w:tc>
        <w:tc>
          <w:tcPr>
            <w:tcW w:w="818" w:type="pct"/>
            <w:vAlign w:val="bottom"/>
          </w:tcPr>
          <w:p w14:paraId="43FAA9A2" w14:textId="77777777" w:rsidR="00D83E33" w:rsidRPr="00EA10CF" w:rsidRDefault="00BC4072">
            <w:pPr>
              <w:widowControl w:val="0"/>
              <w:pBdr>
                <w:top w:val="nil"/>
                <w:left w:val="nil"/>
                <w:bottom w:val="nil"/>
                <w:right w:val="nil"/>
                <w:between w:val="nil"/>
              </w:pBdr>
              <w:jc w:val="right"/>
              <w:rPr>
                <w:color w:val="000000"/>
              </w:rPr>
            </w:pPr>
            <w:r w:rsidRPr="00EA10CF">
              <w:rPr>
                <w:color w:val="000000"/>
              </w:rPr>
              <w:t>Y% p.a.</w:t>
            </w:r>
          </w:p>
        </w:tc>
      </w:tr>
      <w:tr w:rsidR="00D83E33" w:rsidRPr="00EA10CF" w14:paraId="324559DF" w14:textId="77777777" w:rsidTr="001B330E">
        <w:trPr>
          <w:trHeight w:val="23"/>
        </w:trPr>
        <w:tc>
          <w:tcPr>
            <w:tcW w:w="3030" w:type="pct"/>
            <w:vAlign w:val="bottom"/>
          </w:tcPr>
          <w:p w14:paraId="7D7C658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Pre-tax discount rate</w:t>
            </w:r>
          </w:p>
        </w:tc>
        <w:tc>
          <w:tcPr>
            <w:tcW w:w="334" w:type="pct"/>
            <w:vAlign w:val="bottom"/>
          </w:tcPr>
          <w:p w14:paraId="2850C804" w14:textId="77777777" w:rsidR="00D83E33" w:rsidRPr="00EA10CF" w:rsidRDefault="00D83E33">
            <w:pPr>
              <w:widowControl w:val="0"/>
              <w:pBdr>
                <w:top w:val="nil"/>
                <w:left w:val="nil"/>
                <w:bottom w:val="nil"/>
                <w:right w:val="nil"/>
                <w:between w:val="nil"/>
              </w:pBdr>
              <w:jc w:val="center"/>
              <w:rPr>
                <w:color w:val="000000"/>
              </w:rPr>
            </w:pPr>
          </w:p>
        </w:tc>
        <w:tc>
          <w:tcPr>
            <w:tcW w:w="818" w:type="pct"/>
            <w:vAlign w:val="bottom"/>
          </w:tcPr>
          <w:p w14:paraId="3E15FA53" w14:textId="77777777" w:rsidR="00D83E33" w:rsidRPr="00EA10CF" w:rsidRDefault="00BC4072">
            <w:pPr>
              <w:widowControl w:val="0"/>
              <w:pBdr>
                <w:top w:val="nil"/>
                <w:left w:val="nil"/>
                <w:bottom w:val="nil"/>
                <w:right w:val="nil"/>
                <w:between w:val="nil"/>
              </w:pBdr>
              <w:jc w:val="right"/>
              <w:rPr>
                <w:color w:val="000000"/>
              </w:rPr>
            </w:pPr>
            <w:r w:rsidRPr="00EA10CF">
              <w:rPr>
                <w:color w:val="000000"/>
              </w:rPr>
              <w:t>X% p.a.</w:t>
            </w:r>
          </w:p>
        </w:tc>
        <w:tc>
          <w:tcPr>
            <w:tcW w:w="818" w:type="pct"/>
            <w:vAlign w:val="bottom"/>
          </w:tcPr>
          <w:p w14:paraId="6C3116D2" w14:textId="77777777" w:rsidR="00D83E33" w:rsidRPr="00EA10CF" w:rsidRDefault="00BC4072">
            <w:pPr>
              <w:widowControl w:val="0"/>
              <w:pBdr>
                <w:top w:val="nil"/>
                <w:left w:val="nil"/>
                <w:bottom w:val="nil"/>
                <w:right w:val="nil"/>
                <w:between w:val="nil"/>
              </w:pBdr>
              <w:jc w:val="right"/>
              <w:rPr>
                <w:color w:val="000000"/>
              </w:rPr>
            </w:pPr>
            <w:r w:rsidRPr="00EA10CF">
              <w:rPr>
                <w:color w:val="000000"/>
              </w:rPr>
              <w:t>Y% p.a.</w:t>
            </w:r>
          </w:p>
        </w:tc>
      </w:tr>
      <w:tr w:rsidR="00D83E33" w:rsidRPr="00EA10CF" w14:paraId="705C30C2" w14:textId="77777777" w:rsidTr="001B330E">
        <w:trPr>
          <w:trHeight w:val="23"/>
        </w:trPr>
        <w:tc>
          <w:tcPr>
            <w:tcW w:w="3030" w:type="pct"/>
            <w:vAlign w:val="bottom"/>
          </w:tcPr>
          <w:p w14:paraId="299582E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w:t>
            </w:r>
          </w:p>
        </w:tc>
        <w:tc>
          <w:tcPr>
            <w:tcW w:w="334" w:type="pct"/>
            <w:vAlign w:val="bottom"/>
          </w:tcPr>
          <w:p w14:paraId="67CC7970" w14:textId="77777777" w:rsidR="00D83E33" w:rsidRPr="00EA10CF" w:rsidRDefault="00D83E33">
            <w:pPr>
              <w:widowControl w:val="0"/>
              <w:pBdr>
                <w:top w:val="nil"/>
                <w:left w:val="nil"/>
                <w:bottom w:val="nil"/>
                <w:right w:val="nil"/>
                <w:between w:val="nil"/>
              </w:pBdr>
              <w:jc w:val="center"/>
              <w:rPr>
                <w:color w:val="000000"/>
              </w:rPr>
            </w:pPr>
          </w:p>
        </w:tc>
        <w:tc>
          <w:tcPr>
            <w:tcW w:w="818" w:type="pct"/>
            <w:vAlign w:val="bottom"/>
          </w:tcPr>
          <w:p w14:paraId="2A5BB87F"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BC1AED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CA77AA4" w14:textId="77777777" w:rsidTr="001B330E">
        <w:trPr>
          <w:trHeight w:val="23"/>
        </w:trPr>
        <w:tc>
          <w:tcPr>
            <w:tcW w:w="3030" w:type="pct"/>
            <w:tcBorders>
              <w:bottom w:val="single" w:sz="12" w:space="0" w:color="000000"/>
            </w:tcBorders>
            <w:vAlign w:val="bottom"/>
          </w:tcPr>
          <w:p w14:paraId="1BC7827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334" w:type="pct"/>
            <w:tcBorders>
              <w:bottom w:val="single" w:sz="12" w:space="0" w:color="000000"/>
            </w:tcBorders>
            <w:vAlign w:val="bottom"/>
          </w:tcPr>
          <w:p w14:paraId="4FE47F45" w14:textId="77777777" w:rsidR="00D83E33" w:rsidRPr="00EA10CF" w:rsidRDefault="00D83E33">
            <w:pPr>
              <w:widowControl w:val="0"/>
              <w:pBdr>
                <w:top w:val="nil"/>
                <w:left w:val="nil"/>
                <w:bottom w:val="nil"/>
                <w:right w:val="nil"/>
                <w:between w:val="nil"/>
              </w:pBdr>
              <w:jc w:val="center"/>
              <w:rPr>
                <w:color w:val="000000"/>
              </w:rPr>
            </w:pPr>
          </w:p>
        </w:tc>
        <w:tc>
          <w:tcPr>
            <w:tcW w:w="818" w:type="pct"/>
            <w:tcBorders>
              <w:bottom w:val="single" w:sz="12" w:space="0" w:color="000000"/>
            </w:tcBorders>
            <w:vAlign w:val="bottom"/>
          </w:tcPr>
          <w:p w14:paraId="0BF35FD3"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12" w:space="0" w:color="000000"/>
            </w:tcBorders>
            <w:vAlign w:val="bottom"/>
          </w:tcPr>
          <w:p w14:paraId="12AFC865" w14:textId="77777777" w:rsidR="00D83E33" w:rsidRPr="00EA10CF" w:rsidRDefault="00D83E33">
            <w:pPr>
              <w:widowControl w:val="0"/>
              <w:pBdr>
                <w:top w:val="nil"/>
                <w:left w:val="nil"/>
                <w:bottom w:val="nil"/>
                <w:right w:val="nil"/>
                <w:between w:val="nil"/>
              </w:pBdr>
              <w:jc w:val="right"/>
              <w:rPr>
                <w:color w:val="000000"/>
              </w:rPr>
            </w:pPr>
          </w:p>
        </w:tc>
      </w:tr>
    </w:tbl>
    <w:p w14:paraId="7F442436" w14:textId="77777777" w:rsidR="002A5F5D" w:rsidRDefault="002A5F5D" w:rsidP="002A5F5D">
      <w:pPr>
        <w:pStyle w:val="Continued"/>
      </w:pPr>
      <w:r>
        <w:lastRenderedPageBreak/>
        <w:t>17</w:t>
      </w:r>
      <w:r>
        <w:tab/>
        <w:t>Goodwill (Continued)</w:t>
      </w:r>
    </w:p>
    <w:p w14:paraId="4018EF5F" w14:textId="529D8FF2"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Management determined budgeted gross margin based on past performance and its market expectations. The weighted average growth rates used are consistent with the forecasts included in industry reports. </w:t>
      </w:r>
      <w:r>
        <w:rPr>
          <w:i/>
          <w:color w:val="FF0000"/>
          <w:sz w:val="20"/>
          <w:szCs w:val="20"/>
        </w:rPr>
        <w:t>[:</w:t>
      </w:r>
      <w:r w:rsidR="000A1B81">
        <w:rPr>
          <w:i/>
          <w:color w:val="FF0000"/>
          <w:sz w:val="20"/>
          <w:szCs w:val="20"/>
        </w:rPr>
        <w:t xml:space="preserve"> Tailor to disclose separately</w:t>
      </w:r>
      <w:r>
        <w:rPr>
          <w:i/>
          <w:color w:val="FF0000"/>
          <w:sz w:val="20"/>
          <w:szCs w:val="20"/>
        </w:rPr>
        <w:t xml:space="preserve"> </w:t>
      </w:r>
      <w:r w:rsidR="000A1B81">
        <w:rPr>
          <w:i/>
          <w:color w:val="FF0000"/>
          <w:sz w:val="20"/>
          <w:szCs w:val="20"/>
        </w:rPr>
        <w:t>t</w:t>
      </w:r>
      <w:r>
        <w:rPr>
          <w:i/>
          <w:color w:val="FF0000"/>
          <w:sz w:val="20"/>
          <w:szCs w:val="20"/>
        </w:rPr>
        <w:t>he assumptions for each CGU for which the allocated carrying amount of goodwill is significant in comparison to the entity’s total goodwill. Describe Management’s approach to developing each assumption, whether assumptions reflect past experience or whether they are consistent with external sources of information. Describe if and why assumptions differ from past experience or external sources of information. Refer to IAS 36.134(d)(i) and (ii)]</w:t>
      </w:r>
      <w:r>
        <w:rPr>
          <w:color w:val="000000"/>
          <w:sz w:val="20"/>
          <w:szCs w:val="20"/>
        </w:rPr>
        <w:t xml:space="preserve"> </w:t>
      </w:r>
    </w:p>
    <w:p w14:paraId="17A3EADA" w14:textId="01A8201E"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discount rates used are pre-tax, and reflect specific risks relating to the relevant CGUs. If the revised estimated pre-tax discount rate applied to the discounted cash flows of _____ CGU had been _____ % higher than management’s estimates, the Group would need to reduce the carrying value of goodwill by </w:t>
      </w:r>
      <w:r w:rsidR="00D73799">
        <w:rPr>
          <w:color w:val="000000"/>
          <w:sz w:val="20"/>
          <w:szCs w:val="20"/>
        </w:rPr>
        <w:t>EUR</w:t>
      </w:r>
      <w:r>
        <w:rPr>
          <w:color w:val="000000"/>
          <w:sz w:val="20"/>
          <w:szCs w:val="20"/>
        </w:rPr>
        <w:t xml:space="preserve"> _____ thousand, and premises and equipment by </w:t>
      </w:r>
      <w:r w:rsidR="00D73799">
        <w:rPr>
          <w:color w:val="000000"/>
          <w:sz w:val="20"/>
          <w:szCs w:val="20"/>
        </w:rPr>
        <w:t>EUR</w:t>
      </w:r>
      <w:r>
        <w:rPr>
          <w:color w:val="000000"/>
          <w:sz w:val="20"/>
          <w:szCs w:val="20"/>
        </w:rPr>
        <w:t xml:space="preserve"> _____ thousand. Had this impairment been recognised, the Group would not be able to reverse any Credit loss allowance that arose on goodwill in subsequent periods, even if circumstances improve. The recoverable amount of _____ CGU exceeds its carrying amount by </w:t>
      </w:r>
      <w:r w:rsidR="00D73799">
        <w:rPr>
          <w:color w:val="000000"/>
          <w:sz w:val="20"/>
          <w:szCs w:val="20"/>
        </w:rPr>
        <w:t>EUR</w:t>
      </w:r>
      <w:r>
        <w:rPr>
          <w:color w:val="000000"/>
          <w:sz w:val="20"/>
          <w:szCs w:val="20"/>
        </w:rPr>
        <w:t xml:space="preserve"> _____ thousand. The CGUs’ carrying amount would be equal to value in use at a discount rate of _____ % p.a. </w:t>
      </w:r>
      <w:r>
        <w:rPr>
          <w:i/>
          <w:color w:val="FF0000"/>
          <w:sz w:val="20"/>
          <w:szCs w:val="20"/>
        </w:rPr>
        <w:t>[</w:t>
      </w:r>
      <w:r w:rsidR="000A1B81">
        <w:rPr>
          <w:i/>
          <w:color w:val="FF0000"/>
          <w:sz w:val="20"/>
          <w:szCs w:val="20"/>
        </w:rPr>
        <w:t xml:space="preserve">Tailor to </w:t>
      </w:r>
      <w:r>
        <w:rPr>
          <w:i/>
          <w:color w:val="FF0000"/>
          <w:sz w:val="20"/>
          <w:szCs w:val="20"/>
        </w:rPr>
        <w:t xml:space="preserve">describe sensitivity to all other key assumptions for each major CGU or groups of CGUs; include the same disclosure for </w:t>
      </w:r>
      <w:r w:rsidR="00541EBC">
        <w:rPr>
          <w:i/>
          <w:color w:val="FF0000"/>
          <w:sz w:val="20"/>
          <w:szCs w:val="20"/>
        </w:rPr>
        <w:t>2023</w:t>
      </w:r>
      <w:r>
        <w:rPr>
          <w:i/>
          <w:color w:val="FF0000"/>
          <w:sz w:val="20"/>
          <w:szCs w:val="20"/>
        </w:rPr>
        <w:t>, if relevant.]</w:t>
      </w:r>
      <w:r>
        <w:rPr>
          <w:color w:val="000000"/>
          <w:sz w:val="20"/>
          <w:szCs w:val="20"/>
        </w:rPr>
        <w:t xml:space="preserve"> </w:t>
      </w:r>
    </w:p>
    <w:p w14:paraId="067570C9" w14:textId="4F8CB5A7"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impairment charge arose in _____ CGU. </w:t>
      </w:r>
      <w:r>
        <w:rPr>
          <w:i/>
          <w:color w:val="FF0000"/>
          <w:sz w:val="20"/>
          <w:szCs w:val="20"/>
        </w:rPr>
        <w:t>[</w:t>
      </w:r>
      <w:r w:rsidR="000A1B81">
        <w:rPr>
          <w:i/>
          <w:color w:val="FF0000"/>
          <w:sz w:val="20"/>
          <w:szCs w:val="20"/>
        </w:rPr>
        <w:t>Tailor to e</w:t>
      </w:r>
      <w:r>
        <w:rPr>
          <w:i/>
          <w:color w:val="FF0000"/>
          <w:sz w:val="20"/>
          <w:szCs w:val="20"/>
        </w:rPr>
        <w:t>xplain circumstances of the impairment ]</w:t>
      </w:r>
    </w:p>
    <w:p w14:paraId="2E23C3E8" w14:textId="77777777" w:rsidR="00D83E33" w:rsidRPr="006C5889" w:rsidRDefault="00BC4072" w:rsidP="002A5F5D">
      <w:pPr>
        <w:pStyle w:val="Heading1"/>
        <w:pageBreakBefore/>
        <w:ind w:left="431" w:hanging="431"/>
      </w:pPr>
      <w:bookmarkStart w:id="47" w:name="_Toc83818312"/>
      <w:bookmarkStart w:id="48" w:name="_Toc83913951"/>
      <w:bookmarkStart w:id="49" w:name="_Toc83917417"/>
      <w:bookmarkStart w:id="50" w:name="_Toc83818313"/>
      <w:bookmarkStart w:id="51" w:name="_Toc83913952"/>
      <w:bookmarkStart w:id="52" w:name="_Toc83917418"/>
      <w:bookmarkStart w:id="53" w:name="_Toc179196020"/>
      <w:bookmarkEnd w:id="47"/>
      <w:bookmarkEnd w:id="48"/>
      <w:bookmarkEnd w:id="49"/>
      <w:bookmarkEnd w:id="50"/>
      <w:bookmarkEnd w:id="51"/>
      <w:bookmarkEnd w:id="52"/>
      <w:r w:rsidRPr="006C5889">
        <w:lastRenderedPageBreak/>
        <w:t>Premises, Equipment and Intangible Assets</w:t>
      </w:r>
      <w:bookmarkEnd w:id="53"/>
    </w:p>
    <w:tbl>
      <w:tblPr>
        <w:tblStyle w:val="affffffffff7"/>
        <w:tblW w:w="5000" w:type="pct"/>
        <w:tblLayout w:type="fixed"/>
        <w:tblLook w:val="0000" w:firstRow="0" w:lastRow="0" w:firstColumn="0" w:lastColumn="0" w:noHBand="0" w:noVBand="0"/>
      </w:tblPr>
      <w:tblGrid>
        <w:gridCol w:w="2528"/>
        <w:gridCol w:w="539"/>
        <w:gridCol w:w="786"/>
        <w:gridCol w:w="786"/>
        <w:gridCol w:w="786"/>
        <w:gridCol w:w="786"/>
        <w:gridCol w:w="786"/>
        <w:gridCol w:w="786"/>
        <w:gridCol w:w="786"/>
        <w:gridCol w:w="786"/>
      </w:tblGrid>
      <w:tr w:rsidR="00D83E33" w:rsidRPr="006C5889" w14:paraId="43B3F776" w14:textId="77777777" w:rsidTr="001B330E">
        <w:trPr>
          <w:trHeight w:val="23"/>
          <w:tblHeader/>
        </w:trPr>
        <w:tc>
          <w:tcPr>
            <w:tcW w:w="1351" w:type="pct"/>
            <w:tcBorders>
              <w:bottom w:val="single" w:sz="4" w:space="0" w:color="000000"/>
            </w:tcBorders>
            <w:vAlign w:val="bottom"/>
          </w:tcPr>
          <w:p w14:paraId="2D1F6397" w14:textId="11AB4D3B" w:rsidR="00D83E33" w:rsidRPr="002A5F5D" w:rsidRDefault="00313B4D" w:rsidP="001B330E">
            <w:pPr>
              <w:widowControl w:val="0"/>
              <w:pBdr>
                <w:top w:val="nil"/>
                <w:left w:val="nil"/>
                <w:bottom w:val="nil"/>
                <w:right w:val="nil"/>
                <w:between w:val="nil"/>
              </w:pBdr>
              <w:ind w:left="113" w:hanging="113"/>
              <w:rPr>
                <w:b/>
                <w:i/>
                <w:color w:val="000000"/>
                <w:sz w:val="16"/>
                <w:szCs w:val="16"/>
              </w:rPr>
            </w:pPr>
            <w:r w:rsidRPr="002A5F5D">
              <w:rPr>
                <w:i/>
                <w:color w:val="000000"/>
                <w:sz w:val="16"/>
                <w:szCs w:val="16"/>
              </w:rPr>
              <w:t xml:space="preserve">In thousands of </w:t>
            </w:r>
            <w:r w:rsidR="002649EE" w:rsidRPr="002A5F5D">
              <w:rPr>
                <w:i/>
                <w:color w:val="000000"/>
                <w:sz w:val="16"/>
                <w:szCs w:val="16"/>
              </w:rPr>
              <w:t>EUR</w:t>
            </w:r>
          </w:p>
        </w:tc>
        <w:tc>
          <w:tcPr>
            <w:tcW w:w="288" w:type="pct"/>
            <w:tcBorders>
              <w:bottom w:val="single" w:sz="4" w:space="0" w:color="000000"/>
            </w:tcBorders>
            <w:vAlign w:val="bottom"/>
          </w:tcPr>
          <w:p w14:paraId="283C5633" w14:textId="77777777" w:rsidR="00D83E33" w:rsidRPr="002A5F5D" w:rsidRDefault="00BC4072" w:rsidP="001B330E">
            <w:pPr>
              <w:widowControl w:val="0"/>
              <w:pBdr>
                <w:top w:val="nil"/>
                <w:left w:val="nil"/>
                <w:bottom w:val="nil"/>
                <w:right w:val="nil"/>
                <w:between w:val="nil"/>
              </w:pBdr>
              <w:ind w:left="-57" w:right="-57"/>
              <w:jc w:val="center"/>
              <w:rPr>
                <w:b/>
                <w:color w:val="000000"/>
                <w:sz w:val="16"/>
                <w:szCs w:val="16"/>
              </w:rPr>
            </w:pPr>
            <w:r w:rsidRPr="002A5F5D">
              <w:rPr>
                <w:b/>
                <w:color w:val="000000"/>
                <w:sz w:val="16"/>
                <w:szCs w:val="16"/>
              </w:rPr>
              <w:t>Note</w:t>
            </w:r>
          </w:p>
        </w:tc>
        <w:tc>
          <w:tcPr>
            <w:tcW w:w="420" w:type="pct"/>
            <w:tcBorders>
              <w:bottom w:val="single" w:sz="4" w:space="0" w:color="000000"/>
            </w:tcBorders>
          </w:tcPr>
          <w:p w14:paraId="2DC39ACD"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Premi-ses</w:t>
            </w:r>
          </w:p>
        </w:tc>
        <w:tc>
          <w:tcPr>
            <w:tcW w:w="420" w:type="pct"/>
            <w:tcBorders>
              <w:bottom w:val="single" w:sz="4" w:space="0" w:color="000000"/>
            </w:tcBorders>
          </w:tcPr>
          <w:p w14:paraId="44166DC2"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Office and compu-ter</w:t>
            </w:r>
          </w:p>
          <w:p w14:paraId="2B7D89AA"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equip-ment</w:t>
            </w:r>
          </w:p>
        </w:tc>
        <w:tc>
          <w:tcPr>
            <w:tcW w:w="420" w:type="pct"/>
            <w:tcBorders>
              <w:bottom w:val="single" w:sz="4" w:space="0" w:color="000000"/>
            </w:tcBorders>
          </w:tcPr>
          <w:p w14:paraId="0A16FE9A"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Con-struc-</w:t>
            </w:r>
          </w:p>
          <w:p w14:paraId="2F320422"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tion in</w:t>
            </w:r>
          </w:p>
          <w:p w14:paraId="2CD549F2"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pro-gress</w:t>
            </w:r>
          </w:p>
        </w:tc>
        <w:tc>
          <w:tcPr>
            <w:tcW w:w="420" w:type="pct"/>
            <w:tcBorders>
              <w:bottom w:val="single" w:sz="4" w:space="0" w:color="000000"/>
            </w:tcBorders>
          </w:tcPr>
          <w:p w14:paraId="0D82883B"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Equip-ment leased to custo-mers</w:t>
            </w:r>
          </w:p>
        </w:tc>
        <w:tc>
          <w:tcPr>
            <w:tcW w:w="420" w:type="pct"/>
            <w:tcBorders>
              <w:bottom w:val="single" w:sz="4" w:space="0" w:color="000000"/>
            </w:tcBorders>
          </w:tcPr>
          <w:p w14:paraId="63B10591"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Total premi-ses and equip-ment</w:t>
            </w:r>
          </w:p>
        </w:tc>
        <w:tc>
          <w:tcPr>
            <w:tcW w:w="420" w:type="pct"/>
            <w:tcBorders>
              <w:bottom w:val="single" w:sz="4" w:space="0" w:color="000000"/>
            </w:tcBorders>
          </w:tcPr>
          <w:p w14:paraId="192F661E"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Com-puter</w:t>
            </w:r>
          </w:p>
          <w:p w14:paraId="4A6D4997"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soft-ware</w:t>
            </w:r>
          </w:p>
          <w:p w14:paraId="5DAD04A3"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licences</w:t>
            </w:r>
          </w:p>
        </w:tc>
        <w:tc>
          <w:tcPr>
            <w:tcW w:w="420" w:type="pct"/>
            <w:tcBorders>
              <w:bottom w:val="single" w:sz="4" w:space="0" w:color="000000"/>
            </w:tcBorders>
          </w:tcPr>
          <w:p w14:paraId="5197D8CD"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Inter-nally deve-lopped soft-ware</w:t>
            </w:r>
          </w:p>
        </w:tc>
        <w:tc>
          <w:tcPr>
            <w:tcW w:w="420" w:type="pct"/>
            <w:tcBorders>
              <w:bottom w:val="single" w:sz="4" w:space="0" w:color="000000"/>
            </w:tcBorders>
          </w:tcPr>
          <w:p w14:paraId="4965066A" w14:textId="77777777" w:rsidR="00D83E33" w:rsidRPr="002A5F5D" w:rsidRDefault="00BC4072" w:rsidP="001B330E">
            <w:pPr>
              <w:widowControl w:val="0"/>
              <w:pBdr>
                <w:top w:val="nil"/>
                <w:left w:val="nil"/>
                <w:bottom w:val="nil"/>
                <w:right w:val="nil"/>
                <w:between w:val="nil"/>
              </w:pBdr>
              <w:ind w:left="-113"/>
              <w:jc w:val="right"/>
              <w:rPr>
                <w:b/>
                <w:color w:val="000000"/>
                <w:sz w:val="16"/>
                <w:szCs w:val="16"/>
              </w:rPr>
            </w:pPr>
            <w:r w:rsidRPr="002A5F5D">
              <w:rPr>
                <w:b/>
                <w:color w:val="000000"/>
                <w:sz w:val="16"/>
                <w:szCs w:val="16"/>
              </w:rPr>
              <w:t>Total</w:t>
            </w:r>
          </w:p>
        </w:tc>
      </w:tr>
      <w:tr w:rsidR="00D83E33" w:rsidRPr="002A5F5D" w14:paraId="479313BC" w14:textId="77777777" w:rsidTr="001B330E">
        <w:trPr>
          <w:trHeight w:val="23"/>
        </w:trPr>
        <w:tc>
          <w:tcPr>
            <w:tcW w:w="1351" w:type="pct"/>
            <w:vAlign w:val="bottom"/>
          </w:tcPr>
          <w:p w14:paraId="6A29335F" w14:textId="77777777" w:rsidR="00D83E33" w:rsidRPr="002A5F5D" w:rsidRDefault="00BC4072" w:rsidP="001B330E">
            <w:pPr>
              <w:widowControl w:val="0"/>
              <w:ind w:left="113" w:hanging="113"/>
              <w:rPr>
                <w:b/>
                <w:sz w:val="6"/>
                <w:szCs w:val="6"/>
              </w:rPr>
            </w:pPr>
            <w:r w:rsidRPr="002A5F5D">
              <w:rPr>
                <w:b/>
                <w:sz w:val="6"/>
                <w:szCs w:val="6"/>
              </w:rPr>
              <w:t> </w:t>
            </w:r>
          </w:p>
        </w:tc>
        <w:tc>
          <w:tcPr>
            <w:tcW w:w="288" w:type="pct"/>
            <w:vAlign w:val="bottom"/>
          </w:tcPr>
          <w:p w14:paraId="49A4A49E"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vAlign w:val="bottom"/>
          </w:tcPr>
          <w:p w14:paraId="4C4C2AD2"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2113A9EF"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0A6B0208"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Pr>
          <w:p w14:paraId="463995F8"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2A3B1340"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375E5505"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38F06155"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78D2BC69"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50318B81" w14:textId="77777777" w:rsidTr="001B330E">
        <w:trPr>
          <w:trHeight w:val="23"/>
        </w:trPr>
        <w:tc>
          <w:tcPr>
            <w:tcW w:w="1351" w:type="pct"/>
            <w:vAlign w:val="bottom"/>
          </w:tcPr>
          <w:p w14:paraId="7068FC6B" w14:textId="0F61A510"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 xml:space="preserve">Cost </w:t>
            </w:r>
            <w:r w:rsidRPr="002A5F5D">
              <w:rPr>
                <w:color w:val="0000FF"/>
                <w:sz w:val="16"/>
                <w:szCs w:val="16"/>
              </w:rPr>
              <w:t>[or valuation</w:t>
            </w:r>
            <w:r w:rsidRPr="002A5F5D">
              <w:rPr>
                <w:color w:val="000000"/>
                <w:sz w:val="16"/>
                <w:szCs w:val="16"/>
              </w:rPr>
              <w:t xml:space="preserve">] at 1 January </w:t>
            </w:r>
            <w:r w:rsidR="00541EBC">
              <w:rPr>
                <w:color w:val="000000"/>
                <w:sz w:val="16"/>
                <w:szCs w:val="16"/>
              </w:rPr>
              <w:t>2023</w:t>
            </w:r>
          </w:p>
        </w:tc>
        <w:tc>
          <w:tcPr>
            <w:tcW w:w="288" w:type="pct"/>
            <w:vAlign w:val="bottom"/>
          </w:tcPr>
          <w:p w14:paraId="06A88F02"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0B82F634"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A2BDE64"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FFF7054"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58523BA"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FB86EEA"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183C068"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6790E8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D2E319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01A06B49" w14:textId="77777777" w:rsidTr="001B330E">
        <w:trPr>
          <w:trHeight w:val="23"/>
        </w:trPr>
        <w:tc>
          <w:tcPr>
            <w:tcW w:w="1351" w:type="pct"/>
            <w:vAlign w:val="bottom"/>
          </w:tcPr>
          <w:p w14:paraId="17C1B44C" w14:textId="77777777" w:rsidR="00D83E33" w:rsidRPr="002A5F5D" w:rsidRDefault="00BC4072" w:rsidP="001B330E">
            <w:pPr>
              <w:widowControl w:val="0"/>
              <w:pBdr>
                <w:top w:val="nil"/>
                <w:left w:val="nil"/>
                <w:bottom w:val="nil"/>
                <w:right w:val="nil"/>
                <w:between w:val="nil"/>
              </w:pBdr>
              <w:ind w:left="113" w:hanging="113"/>
              <w:rPr>
                <w:b/>
                <w:color w:val="000000"/>
                <w:sz w:val="16"/>
                <w:szCs w:val="16"/>
              </w:rPr>
            </w:pPr>
            <w:r w:rsidRPr="002A5F5D">
              <w:rPr>
                <w:color w:val="000000"/>
                <w:sz w:val="16"/>
                <w:szCs w:val="16"/>
              </w:rPr>
              <w:t xml:space="preserve">Accumulated depreciation </w:t>
            </w:r>
          </w:p>
        </w:tc>
        <w:tc>
          <w:tcPr>
            <w:tcW w:w="288" w:type="pct"/>
            <w:vAlign w:val="bottom"/>
          </w:tcPr>
          <w:p w14:paraId="7D2E98AE"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7FA43994"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A41D208"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A237312"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D023E2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A180682"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6BE91FB"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7F2FB1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F98527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75569EE5" w14:textId="77777777" w:rsidTr="001B330E">
        <w:trPr>
          <w:trHeight w:val="23"/>
        </w:trPr>
        <w:tc>
          <w:tcPr>
            <w:tcW w:w="1351" w:type="pct"/>
            <w:tcBorders>
              <w:bottom w:val="single" w:sz="4" w:space="0" w:color="000000"/>
            </w:tcBorders>
            <w:vAlign w:val="bottom"/>
          </w:tcPr>
          <w:p w14:paraId="02409103" w14:textId="77777777" w:rsidR="00D83E33" w:rsidRPr="002A5F5D" w:rsidRDefault="00BC4072" w:rsidP="001B330E">
            <w:pPr>
              <w:widowControl w:val="0"/>
              <w:pBdr>
                <w:top w:val="nil"/>
                <w:left w:val="nil"/>
                <w:bottom w:val="nil"/>
                <w:right w:val="nil"/>
                <w:between w:val="nil"/>
              </w:pBdr>
              <w:ind w:left="113" w:hanging="113"/>
              <w:rPr>
                <w:color w:val="000000"/>
                <w:sz w:val="6"/>
                <w:szCs w:val="6"/>
              </w:rPr>
            </w:pPr>
            <w:r w:rsidRPr="002A5F5D">
              <w:rPr>
                <w:color w:val="000000"/>
                <w:sz w:val="6"/>
                <w:szCs w:val="6"/>
              </w:rPr>
              <w:t> </w:t>
            </w:r>
          </w:p>
        </w:tc>
        <w:tc>
          <w:tcPr>
            <w:tcW w:w="288" w:type="pct"/>
            <w:tcBorders>
              <w:bottom w:val="single" w:sz="4" w:space="0" w:color="000000"/>
            </w:tcBorders>
            <w:vAlign w:val="bottom"/>
          </w:tcPr>
          <w:p w14:paraId="0207CA21"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bottom w:val="single" w:sz="4" w:space="0" w:color="000000"/>
            </w:tcBorders>
            <w:vAlign w:val="bottom"/>
          </w:tcPr>
          <w:p w14:paraId="7FE20F23"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1E6BBDA8"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26578DDB"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07E9CA67"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2F067B9B"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26C0A6E7"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47CFAB3B"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04E8E2EF"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2A5F5D" w14:paraId="40A31BE0" w14:textId="77777777" w:rsidTr="001B330E">
        <w:trPr>
          <w:trHeight w:val="23"/>
        </w:trPr>
        <w:tc>
          <w:tcPr>
            <w:tcW w:w="1351" w:type="pct"/>
            <w:tcBorders>
              <w:top w:val="single" w:sz="4" w:space="0" w:color="000000"/>
            </w:tcBorders>
            <w:vAlign w:val="bottom"/>
          </w:tcPr>
          <w:p w14:paraId="171AC09D" w14:textId="77777777" w:rsidR="00D83E33" w:rsidRPr="002A5F5D" w:rsidRDefault="00BC4072" w:rsidP="001B330E">
            <w:pPr>
              <w:widowControl w:val="0"/>
              <w:pBdr>
                <w:top w:val="nil"/>
                <w:left w:val="nil"/>
                <w:bottom w:val="nil"/>
                <w:right w:val="nil"/>
                <w:between w:val="nil"/>
              </w:pBdr>
              <w:ind w:left="113" w:hanging="113"/>
              <w:rPr>
                <w:b/>
                <w:color w:val="000000"/>
                <w:sz w:val="6"/>
                <w:szCs w:val="6"/>
              </w:rPr>
            </w:pPr>
            <w:r w:rsidRPr="002A5F5D">
              <w:rPr>
                <w:color w:val="000000"/>
                <w:sz w:val="6"/>
                <w:szCs w:val="6"/>
              </w:rPr>
              <w:t> </w:t>
            </w:r>
          </w:p>
        </w:tc>
        <w:tc>
          <w:tcPr>
            <w:tcW w:w="288" w:type="pct"/>
            <w:tcBorders>
              <w:top w:val="single" w:sz="4" w:space="0" w:color="000000"/>
            </w:tcBorders>
            <w:vAlign w:val="bottom"/>
          </w:tcPr>
          <w:p w14:paraId="785BFF9A"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top w:val="single" w:sz="4" w:space="0" w:color="000000"/>
            </w:tcBorders>
            <w:vAlign w:val="bottom"/>
          </w:tcPr>
          <w:p w14:paraId="7C69BC77"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4" w:space="0" w:color="000000"/>
            </w:tcBorders>
            <w:vAlign w:val="bottom"/>
          </w:tcPr>
          <w:p w14:paraId="7F701571"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4" w:space="0" w:color="000000"/>
            </w:tcBorders>
            <w:vAlign w:val="bottom"/>
          </w:tcPr>
          <w:p w14:paraId="09F385C4"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4" w:space="0" w:color="000000"/>
            </w:tcBorders>
            <w:vAlign w:val="bottom"/>
          </w:tcPr>
          <w:p w14:paraId="5E5F7177"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top w:val="single" w:sz="4" w:space="0" w:color="000000"/>
            </w:tcBorders>
            <w:vAlign w:val="bottom"/>
          </w:tcPr>
          <w:p w14:paraId="0E90C417"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top w:val="single" w:sz="4" w:space="0" w:color="000000"/>
            </w:tcBorders>
            <w:vAlign w:val="bottom"/>
          </w:tcPr>
          <w:p w14:paraId="62BF625F"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4" w:space="0" w:color="000000"/>
            </w:tcBorders>
            <w:vAlign w:val="bottom"/>
          </w:tcPr>
          <w:p w14:paraId="632DC34E"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top w:val="single" w:sz="4" w:space="0" w:color="000000"/>
            </w:tcBorders>
            <w:vAlign w:val="bottom"/>
          </w:tcPr>
          <w:p w14:paraId="6DAA7DA5"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550B3BD7" w14:textId="77777777" w:rsidTr="001B330E">
        <w:trPr>
          <w:trHeight w:val="23"/>
        </w:trPr>
        <w:tc>
          <w:tcPr>
            <w:tcW w:w="1351" w:type="pct"/>
            <w:vAlign w:val="bottom"/>
          </w:tcPr>
          <w:p w14:paraId="4C7140CF" w14:textId="30060A24" w:rsidR="00D83E33" w:rsidRPr="002A5F5D" w:rsidRDefault="00BC4072" w:rsidP="001B330E">
            <w:pPr>
              <w:widowControl w:val="0"/>
              <w:pBdr>
                <w:top w:val="nil"/>
                <w:left w:val="nil"/>
                <w:bottom w:val="nil"/>
                <w:right w:val="nil"/>
                <w:between w:val="nil"/>
              </w:pBdr>
              <w:ind w:left="113" w:hanging="113"/>
              <w:rPr>
                <w:b/>
                <w:color w:val="000000"/>
                <w:sz w:val="16"/>
                <w:szCs w:val="16"/>
              </w:rPr>
            </w:pPr>
            <w:r w:rsidRPr="002A5F5D">
              <w:rPr>
                <w:b/>
                <w:color w:val="000000"/>
                <w:sz w:val="16"/>
                <w:szCs w:val="16"/>
              </w:rPr>
              <w:t xml:space="preserve">Carrying amount at 1 January </w:t>
            </w:r>
            <w:r w:rsidR="00541EBC">
              <w:rPr>
                <w:b/>
                <w:color w:val="000000"/>
                <w:sz w:val="16"/>
                <w:szCs w:val="16"/>
              </w:rPr>
              <w:t>2023</w:t>
            </w:r>
          </w:p>
        </w:tc>
        <w:tc>
          <w:tcPr>
            <w:tcW w:w="288" w:type="pct"/>
            <w:vAlign w:val="bottom"/>
          </w:tcPr>
          <w:p w14:paraId="2FD01646" w14:textId="77777777" w:rsidR="00D83E33" w:rsidRPr="002A5F5D" w:rsidRDefault="00D83E33" w:rsidP="001B330E">
            <w:pPr>
              <w:widowControl w:val="0"/>
              <w:pBdr>
                <w:top w:val="nil"/>
                <w:left w:val="nil"/>
                <w:bottom w:val="nil"/>
                <w:right w:val="nil"/>
                <w:between w:val="nil"/>
              </w:pBdr>
              <w:jc w:val="center"/>
              <w:rPr>
                <w:b/>
                <w:color w:val="000000"/>
                <w:sz w:val="16"/>
                <w:szCs w:val="16"/>
              </w:rPr>
            </w:pPr>
          </w:p>
        </w:tc>
        <w:tc>
          <w:tcPr>
            <w:tcW w:w="420" w:type="pct"/>
            <w:vAlign w:val="bottom"/>
          </w:tcPr>
          <w:p w14:paraId="5CF3436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B6EE88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8DAFF12"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4783DC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3E6551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65AC80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3B9176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EC48ABC"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7BED0602" w14:textId="77777777" w:rsidTr="001B330E">
        <w:trPr>
          <w:trHeight w:val="23"/>
        </w:trPr>
        <w:tc>
          <w:tcPr>
            <w:tcW w:w="1351" w:type="pct"/>
            <w:vAlign w:val="bottom"/>
          </w:tcPr>
          <w:p w14:paraId="2B039687" w14:textId="77777777" w:rsidR="00D83E33" w:rsidRPr="002A5F5D" w:rsidRDefault="00BC4072" w:rsidP="001B330E">
            <w:pPr>
              <w:widowControl w:val="0"/>
              <w:ind w:left="113" w:hanging="113"/>
              <w:rPr>
                <w:b/>
                <w:sz w:val="6"/>
                <w:szCs w:val="6"/>
              </w:rPr>
            </w:pPr>
            <w:r w:rsidRPr="002A5F5D">
              <w:rPr>
                <w:b/>
                <w:sz w:val="6"/>
                <w:szCs w:val="6"/>
              </w:rPr>
              <w:t> </w:t>
            </w:r>
          </w:p>
        </w:tc>
        <w:tc>
          <w:tcPr>
            <w:tcW w:w="288" w:type="pct"/>
            <w:vAlign w:val="bottom"/>
          </w:tcPr>
          <w:p w14:paraId="43B27057"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vAlign w:val="bottom"/>
          </w:tcPr>
          <w:p w14:paraId="2F8C9565"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3F4C0AB9"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63443C89"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4BD35219"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05016C5E"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22A6F91D"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7AAF9264"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3C9003C2"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195959CA" w14:textId="77777777" w:rsidTr="001B330E">
        <w:trPr>
          <w:trHeight w:val="23"/>
        </w:trPr>
        <w:tc>
          <w:tcPr>
            <w:tcW w:w="1351" w:type="pct"/>
            <w:vAlign w:val="bottom"/>
          </w:tcPr>
          <w:p w14:paraId="4F0C8771"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Acquisitions through business combinations</w:t>
            </w:r>
          </w:p>
        </w:tc>
        <w:tc>
          <w:tcPr>
            <w:tcW w:w="288" w:type="pct"/>
            <w:vAlign w:val="bottom"/>
          </w:tcPr>
          <w:p w14:paraId="2EB4D8B0"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52</w:t>
            </w:r>
          </w:p>
        </w:tc>
        <w:tc>
          <w:tcPr>
            <w:tcW w:w="420" w:type="pct"/>
            <w:vAlign w:val="bottom"/>
          </w:tcPr>
          <w:p w14:paraId="6AE99B39"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EF4B7E5"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D3F8C1B"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9EEBF52"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72EB2FC"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59553AD"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CB7DD6E"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4B686AC"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0C79F20A" w14:textId="77777777" w:rsidTr="001B330E">
        <w:trPr>
          <w:trHeight w:val="23"/>
        </w:trPr>
        <w:tc>
          <w:tcPr>
            <w:tcW w:w="1351" w:type="pct"/>
            <w:vAlign w:val="bottom"/>
          </w:tcPr>
          <w:p w14:paraId="13D6640A"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Additions</w:t>
            </w:r>
          </w:p>
        </w:tc>
        <w:tc>
          <w:tcPr>
            <w:tcW w:w="288" w:type="pct"/>
            <w:vAlign w:val="bottom"/>
          </w:tcPr>
          <w:p w14:paraId="22C89C51"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05218A40"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2C15CE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F166887"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9B4F61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E50706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EF4AF73"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BFBCA0A"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5828D7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3BC829F7" w14:textId="77777777" w:rsidTr="001B330E">
        <w:trPr>
          <w:trHeight w:val="23"/>
        </w:trPr>
        <w:tc>
          <w:tcPr>
            <w:tcW w:w="1351" w:type="pct"/>
            <w:vAlign w:val="bottom"/>
          </w:tcPr>
          <w:p w14:paraId="3D471B03"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 xml:space="preserve">Capitalised internal </w:t>
            </w:r>
            <w:r w:rsidRPr="002A5F5D">
              <w:rPr>
                <w:color w:val="0000FF"/>
                <w:sz w:val="16"/>
                <w:szCs w:val="16"/>
              </w:rPr>
              <w:t>[software]</w:t>
            </w:r>
            <w:r w:rsidRPr="002A5F5D">
              <w:rPr>
                <w:color w:val="000000"/>
                <w:sz w:val="16"/>
                <w:szCs w:val="16"/>
              </w:rPr>
              <w:t xml:space="preserve"> development costs</w:t>
            </w:r>
          </w:p>
        </w:tc>
        <w:tc>
          <w:tcPr>
            <w:tcW w:w="288" w:type="pct"/>
            <w:vAlign w:val="bottom"/>
          </w:tcPr>
          <w:p w14:paraId="6BE41076"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27587EE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909E78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C04A818"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9B1907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BFEEBD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DAB223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94CD3AE"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3616E1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457E4AC2" w14:textId="77777777" w:rsidTr="001B330E">
        <w:trPr>
          <w:trHeight w:val="23"/>
        </w:trPr>
        <w:tc>
          <w:tcPr>
            <w:tcW w:w="1351" w:type="pct"/>
            <w:vAlign w:val="bottom"/>
          </w:tcPr>
          <w:p w14:paraId="08FEAD85"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Transfers</w:t>
            </w:r>
          </w:p>
        </w:tc>
        <w:tc>
          <w:tcPr>
            <w:tcW w:w="288" w:type="pct"/>
            <w:vAlign w:val="bottom"/>
          </w:tcPr>
          <w:p w14:paraId="2D53710E"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7524E03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2BB0F7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D4D7F47"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118BD5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D24272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EFE71EE"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265C036"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48B77C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4A4036D3" w14:textId="77777777" w:rsidTr="001B330E">
        <w:trPr>
          <w:trHeight w:val="23"/>
        </w:trPr>
        <w:tc>
          <w:tcPr>
            <w:tcW w:w="1351" w:type="pct"/>
            <w:vAlign w:val="bottom"/>
          </w:tcPr>
          <w:p w14:paraId="1906D9EF"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Reclassification to non-current assets held for sale (or disposal groups)</w:t>
            </w:r>
          </w:p>
        </w:tc>
        <w:tc>
          <w:tcPr>
            <w:tcW w:w="288" w:type="pct"/>
            <w:vAlign w:val="bottom"/>
          </w:tcPr>
          <w:p w14:paraId="36E3570E"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20</w:t>
            </w:r>
          </w:p>
        </w:tc>
        <w:tc>
          <w:tcPr>
            <w:tcW w:w="420" w:type="pct"/>
            <w:vAlign w:val="bottom"/>
          </w:tcPr>
          <w:p w14:paraId="4A8F7486"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C761A9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9E7BC05"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A24F4A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6CA15D6"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1B49FE9"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967A06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782A6A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61C3145B" w14:textId="77777777" w:rsidTr="001B330E">
        <w:trPr>
          <w:trHeight w:val="23"/>
        </w:trPr>
        <w:tc>
          <w:tcPr>
            <w:tcW w:w="1351" w:type="pct"/>
            <w:vAlign w:val="bottom"/>
          </w:tcPr>
          <w:p w14:paraId="1C84148C"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Disposals</w:t>
            </w:r>
          </w:p>
        </w:tc>
        <w:tc>
          <w:tcPr>
            <w:tcW w:w="288" w:type="pct"/>
            <w:vAlign w:val="bottom"/>
          </w:tcPr>
          <w:p w14:paraId="1214F4D0"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49007AA5"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26DF6C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FA17DF9"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16A8416"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E5A168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11F57BE"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A75E2EC"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78F5BD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56DB3699" w14:textId="77777777" w:rsidTr="001B330E">
        <w:trPr>
          <w:trHeight w:val="23"/>
        </w:trPr>
        <w:tc>
          <w:tcPr>
            <w:tcW w:w="1351" w:type="pct"/>
            <w:vAlign w:val="bottom"/>
          </w:tcPr>
          <w:p w14:paraId="13F0CB51"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 xml:space="preserve">Depreciation charge </w:t>
            </w:r>
          </w:p>
        </w:tc>
        <w:tc>
          <w:tcPr>
            <w:tcW w:w="288" w:type="pct"/>
            <w:vAlign w:val="bottom"/>
          </w:tcPr>
          <w:p w14:paraId="17B49741"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35</w:t>
            </w:r>
          </w:p>
        </w:tc>
        <w:tc>
          <w:tcPr>
            <w:tcW w:w="420" w:type="pct"/>
            <w:vAlign w:val="bottom"/>
          </w:tcPr>
          <w:p w14:paraId="061B4E44"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0963C46"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E9344C2"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2C1C5E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ED3144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2BCBE87"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DE634BC"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381D52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4C869B18" w14:textId="77777777" w:rsidTr="001B330E">
        <w:trPr>
          <w:trHeight w:val="23"/>
        </w:trPr>
        <w:tc>
          <w:tcPr>
            <w:tcW w:w="1351" w:type="pct"/>
            <w:vAlign w:val="bottom"/>
          </w:tcPr>
          <w:p w14:paraId="32CA681F"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Impairment charge to profit or loss</w:t>
            </w:r>
          </w:p>
        </w:tc>
        <w:tc>
          <w:tcPr>
            <w:tcW w:w="288" w:type="pct"/>
            <w:vAlign w:val="bottom"/>
          </w:tcPr>
          <w:p w14:paraId="1A092D41"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35</w:t>
            </w:r>
          </w:p>
        </w:tc>
        <w:tc>
          <w:tcPr>
            <w:tcW w:w="420" w:type="pct"/>
            <w:vAlign w:val="bottom"/>
          </w:tcPr>
          <w:p w14:paraId="6D19CEBB"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21CDE03"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87DD927"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F0092A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405B58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A10E43E"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510D1D9"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14F5BE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76350D8C" w14:textId="77777777" w:rsidTr="001B330E">
        <w:trPr>
          <w:trHeight w:val="23"/>
        </w:trPr>
        <w:tc>
          <w:tcPr>
            <w:tcW w:w="1351" w:type="pct"/>
            <w:vAlign w:val="bottom"/>
          </w:tcPr>
          <w:p w14:paraId="62F8B531"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Reversals of impairment through profit or loss</w:t>
            </w:r>
          </w:p>
        </w:tc>
        <w:tc>
          <w:tcPr>
            <w:tcW w:w="288" w:type="pct"/>
            <w:vAlign w:val="bottom"/>
          </w:tcPr>
          <w:p w14:paraId="7A4C11F5"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5359D931"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8EE09F0"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F000D90"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0150AD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24D45BA"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978BAD4"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7A40AB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B3BF50E"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02D645AC" w14:textId="77777777" w:rsidTr="001B330E">
        <w:trPr>
          <w:trHeight w:val="23"/>
        </w:trPr>
        <w:tc>
          <w:tcPr>
            <w:tcW w:w="1351" w:type="pct"/>
            <w:vAlign w:val="bottom"/>
          </w:tcPr>
          <w:p w14:paraId="6C55B09D"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Revaluation</w:t>
            </w:r>
          </w:p>
        </w:tc>
        <w:tc>
          <w:tcPr>
            <w:tcW w:w="288" w:type="pct"/>
            <w:vAlign w:val="bottom"/>
          </w:tcPr>
          <w:p w14:paraId="2E656182"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31</w:t>
            </w:r>
          </w:p>
        </w:tc>
        <w:tc>
          <w:tcPr>
            <w:tcW w:w="420" w:type="pct"/>
            <w:vAlign w:val="bottom"/>
          </w:tcPr>
          <w:p w14:paraId="025A966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8492058"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86AC6E2"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35CA0B3"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38DA946"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CA3CFC0"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365D31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460DBA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133DBAFB" w14:textId="77777777" w:rsidTr="001B330E">
        <w:trPr>
          <w:trHeight w:val="23"/>
        </w:trPr>
        <w:tc>
          <w:tcPr>
            <w:tcW w:w="1351" w:type="pct"/>
            <w:vAlign w:val="bottom"/>
          </w:tcPr>
          <w:p w14:paraId="713B81F7" w14:textId="77777777" w:rsidR="00D83E33" w:rsidRPr="002A5F5D" w:rsidRDefault="00BC4072" w:rsidP="001B330E">
            <w:pPr>
              <w:widowControl w:val="0"/>
              <w:pBdr>
                <w:top w:val="nil"/>
                <w:left w:val="nil"/>
                <w:bottom w:val="nil"/>
                <w:right w:val="nil"/>
                <w:between w:val="nil"/>
              </w:pBdr>
              <w:ind w:left="113" w:hanging="113"/>
              <w:rPr>
                <w:color w:val="0000FF"/>
                <w:sz w:val="16"/>
                <w:szCs w:val="16"/>
              </w:rPr>
            </w:pPr>
            <w:r w:rsidRPr="002A5F5D">
              <w:rPr>
                <w:color w:val="0000FF"/>
                <w:sz w:val="16"/>
                <w:szCs w:val="16"/>
              </w:rPr>
              <w:t>[Translation to presentation currency]</w:t>
            </w:r>
          </w:p>
        </w:tc>
        <w:tc>
          <w:tcPr>
            <w:tcW w:w="288" w:type="pct"/>
            <w:vAlign w:val="bottom"/>
          </w:tcPr>
          <w:p w14:paraId="12F5E090"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7DB4BA38"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958E23E"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1EC2D95"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C9D646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D22856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0640500"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820A94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80A6E7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3784CEFE" w14:textId="77777777" w:rsidTr="001B330E">
        <w:trPr>
          <w:trHeight w:val="23"/>
        </w:trPr>
        <w:tc>
          <w:tcPr>
            <w:tcW w:w="1351" w:type="pct"/>
            <w:vAlign w:val="bottom"/>
          </w:tcPr>
          <w:p w14:paraId="423AF58B"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Other</w:t>
            </w:r>
          </w:p>
        </w:tc>
        <w:tc>
          <w:tcPr>
            <w:tcW w:w="288" w:type="pct"/>
            <w:vAlign w:val="bottom"/>
          </w:tcPr>
          <w:p w14:paraId="6AEA9E79"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45CE8503"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ED1A413"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B903A87"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7222DC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542F1F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448DC22"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A31CA8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334B15C"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5D2D331D" w14:textId="77777777" w:rsidTr="001B330E">
        <w:trPr>
          <w:trHeight w:val="23"/>
        </w:trPr>
        <w:tc>
          <w:tcPr>
            <w:tcW w:w="1351" w:type="pct"/>
            <w:tcBorders>
              <w:bottom w:val="single" w:sz="4" w:space="0" w:color="000000"/>
            </w:tcBorders>
            <w:vAlign w:val="bottom"/>
          </w:tcPr>
          <w:p w14:paraId="7D05C56E" w14:textId="77777777" w:rsidR="00D83E33" w:rsidRPr="002A5F5D" w:rsidRDefault="00BC4072" w:rsidP="001B330E">
            <w:pPr>
              <w:widowControl w:val="0"/>
              <w:ind w:left="113" w:hanging="113"/>
              <w:rPr>
                <w:b/>
                <w:sz w:val="6"/>
                <w:szCs w:val="6"/>
              </w:rPr>
            </w:pPr>
            <w:r w:rsidRPr="002A5F5D">
              <w:rPr>
                <w:b/>
                <w:sz w:val="6"/>
                <w:szCs w:val="6"/>
              </w:rPr>
              <w:t> </w:t>
            </w:r>
          </w:p>
        </w:tc>
        <w:tc>
          <w:tcPr>
            <w:tcW w:w="288" w:type="pct"/>
            <w:tcBorders>
              <w:bottom w:val="single" w:sz="4" w:space="0" w:color="000000"/>
            </w:tcBorders>
            <w:vAlign w:val="bottom"/>
          </w:tcPr>
          <w:p w14:paraId="61740106"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bottom w:val="single" w:sz="4" w:space="0" w:color="000000"/>
            </w:tcBorders>
            <w:vAlign w:val="bottom"/>
          </w:tcPr>
          <w:p w14:paraId="3A582AF5"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6374C26F"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1153F677"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5D22FA69"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21ED7D6A"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2EF11B3C"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72AE8A76"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2D02BD84"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2A5F5D" w14:paraId="408DA36F" w14:textId="77777777" w:rsidTr="001B330E">
        <w:trPr>
          <w:trHeight w:val="23"/>
        </w:trPr>
        <w:tc>
          <w:tcPr>
            <w:tcW w:w="1351" w:type="pct"/>
            <w:vAlign w:val="bottom"/>
          </w:tcPr>
          <w:p w14:paraId="2A0EC849" w14:textId="77777777" w:rsidR="00D83E33" w:rsidRPr="002A5F5D" w:rsidRDefault="00BC4072" w:rsidP="001B330E">
            <w:pPr>
              <w:widowControl w:val="0"/>
              <w:ind w:left="113" w:hanging="113"/>
              <w:rPr>
                <w:b/>
                <w:sz w:val="6"/>
                <w:szCs w:val="6"/>
              </w:rPr>
            </w:pPr>
            <w:r w:rsidRPr="002A5F5D">
              <w:rPr>
                <w:b/>
                <w:sz w:val="6"/>
                <w:szCs w:val="6"/>
              </w:rPr>
              <w:t> </w:t>
            </w:r>
          </w:p>
        </w:tc>
        <w:tc>
          <w:tcPr>
            <w:tcW w:w="288" w:type="pct"/>
            <w:vAlign w:val="bottom"/>
          </w:tcPr>
          <w:p w14:paraId="14266FD0"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vAlign w:val="bottom"/>
          </w:tcPr>
          <w:p w14:paraId="219C497E"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03BC32D4"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65F6B080"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43DE1543"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39E2815C"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41896DFB"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504CFB91"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345BCB29"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424F218D" w14:textId="77777777" w:rsidTr="001B330E">
        <w:trPr>
          <w:trHeight w:val="23"/>
        </w:trPr>
        <w:tc>
          <w:tcPr>
            <w:tcW w:w="1351" w:type="pct"/>
            <w:vAlign w:val="bottom"/>
          </w:tcPr>
          <w:p w14:paraId="14C3B45D" w14:textId="72BFCACF" w:rsidR="00D83E33" w:rsidRPr="002A5F5D" w:rsidRDefault="00BC4072" w:rsidP="001B330E">
            <w:pPr>
              <w:widowControl w:val="0"/>
              <w:pBdr>
                <w:top w:val="nil"/>
                <w:left w:val="nil"/>
                <w:bottom w:val="nil"/>
                <w:right w:val="nil"/>
                <w:between w:val="nil"/>
              </w:pBdr>
              <w:ind w:left="113" w:hanging="113"/>
              <w:rPr>
                <w:b/>
                <w:color w:val="000000"/>
                <w:sz w:val="16"/>
                <w:szCs w:val="16"/>
              </w:rPr>
            </w:pPr>
            <w:r w:rsidRPr="002A5F5D">
              <w:rPr>
                <w:b/>
                <w:color w:val="000000"/>
                <w:sz w:val="16"/>
                <w:szCs w:val="16"/>
              </w:rPr>
              <w:t>Carrying amount at 31</w:t>
            </w:r>
            <w:r w:rsidR="00181687" w:rsidRPr="002A5F5D">
              <w:rPr>
                <w:b/>
                <w:color w:val="000000"/>
                <w:sz w:val="16"/>
                <w:szCs w:val="16"/>
              </w:rPr>
              <w:t> December </w:t>
            </w:r>
            <w:r w:rsidR="00541EBC">
              <w:rPr>
                <w:b/>
                <w:color w:val="000000"/>
                <w:sz w:val="16"/>
                <w:szCs w:val="16"/>
              </w:rPr>
              <w:t>2023</w:t>
            </w:r>
          </w:p>
        </w:tc>
        <w:tc>
          <w:tcPr>
            <w:tcW w:w="288" w:type="pct"/>
            <w:vAlign w:val="bottom"/>
          </w:tcPr>
          <w:p w14:paraId="32EB21DD" w14:textId="77777777" w:rsidR="00D83E33" w:rsidRPr="002A5F5D" w:rsidRDefault="00D83E33" w:rsidP="001B330E">
            <w:pPr>
              <w:widowControl w:val="0"/>
              <w:pBdr>
                <w:top w:val="nil"/>
                <w:left w:val="nil"/>
                <w:bottom w:val="nil"/>
                <w:right w:val="nil"/>
                <w:between w:val="nil"/>
              </w:pBdr>
              <w:jc w:val="center"/>
              <w:rPr>
                <w:b/>
                <w:color w:val="000000"/>
                <w:sz w:val="16"/>
                <w:szCs w:val="16"/>
              </w:rPr>
            </w:pPr>
          </w:p>
        </w:tc>
        <w:tc>
          <w:tcPr>
            <w:tcW w:w="420" w:type="pct"/>
            <w:vAlign w:val="bottom"/>
          </w:tcPr>
          <w:p w14:paraId="017ED91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A5B8EA9"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57CEFE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50BE50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45D35C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6E4C1A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0E6CE1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17DCDD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54DCBCD1" w14:textId="77777777" w:rsidTr="001B330E">
        <w:trPr>
          <w:trHeight w:val="23"/>
        </w:trPr>
        <w:tc>
          <w:tcPr>
            <w:tcW w:w="1351" w:type="pct"/>
            <w:tcBorders>
              <w:bottom w:val="single" w:sz="12" w:space="0" w:color="000000"/>
            </w:tcBorders>
            <w:vAlign w:val="bottom"/>
          </w:tcPr>
          <w:p w14:paraId="70C6FF24" w14:textId="77777777" w:rsidR="00D83E33" w:rsidRPr="002A5F5D" w:rsidRDefault="00BC4072" w:rsidP="001B330E">
            <w:pPr>
              <w:widowControl w:val="0"/>
              <w:ind w:left="113" w:hanging="113"/>
              <w:rPr>
                <w:b/>
                <w:sz w:val="6"/>
                <w:szCs w:val="6"/>
              </w:rPr>
            </w:pPr>
            <w:r w:rsidRPr="002A5F5D">
              <w:rPr>
                <w:b/>
                <w:sz w:val="6"/>
                <w:szCs w:val="6"/>
              </w:rPr>
              <w:t> </w:t>
            </w:r>
          </w:p>
        </w:tc>
        <w:tc>
          <w:tcPr>
            <w:tcW w:w="288" w:type="pct"/>
            <w:tcBorders>
              <w:bottom w:val="single" w:sz="12" w:space="0" w:color="000000"/>
            </w:tcBorders>
            <w:vAlign w:val="bottom"/>
          </w:tcPr>
          <w:p w14:paraId="1D36F33A"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bottom w:val="single" w:sz="12" w:space="0" w:color="000000"/>
            </w:tcBorders>
            <w:vAlign w:val="bottom"/>
          </w:tcPr>
          <w:p w14:paraId="601DC851"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719AB9DE"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57D96FCF"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4BA34345"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12" w:space="0" w:color="000000"/>
            </w:tcBorders>
            <w:vAlign w:val="bottom"/>
          </w:tcPr>
          <w:p w14:paraId="51589D8F"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12" w:space="0" w:color="000000"/>
            </w:tcBorders>
            <w:vAlign w:val="bottom"/>
          </w:tcPr>
          <w:p w14:paraId="4FA15B94"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7C43146E"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12" w:space="0" w:color="000000"/>
            </w:tcBorders>
            <w:vAlign w:val="bottom"/>
          </w:tcPr>
          <w:p w14:paraId="3473ADBB"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2A5F5D" w14:paraId="4DF4811A" w14:textId="77777777" w:rsidTr="001B330E">
        <w:trPr>
          <w:trHeight w:val="23"/>
        </w:trPr>
        <w:tc>
          <w:tcPr>
            <w:tcW w:w="1351" w:type="pct"/>
            <w:vAlign w:val="bottom"/>
          </w:tcPr>
          <w:p w14:paraId="33448E9E" w14:textId="77777777" w:rsidR="00D83E33" w:rsidRPr="002A5F5D" w:rsidRDefault="00BC4072" w:rsidP="001B330E">
            <w:pPr>
              <w:widowControl w:val="0"/>
              <w:ind w:left="113" w:hanging="113"/>
              <w:rPr>
                <w:b/>
                <w:sz w:val="6"/>
                <w:szCs w:val="6"/>
              </w:rPr>
            </w:pPr>
            <w:r w:rsidRPr="002A5F5D">
              <w:rPr>
                <w:b/>
                <w:sz w:val="6"/>
                <w:szCs w:val="6"/>
              </w:rPr>
              <w:t> </w:t>
            </w:r>
          </w:p>
        </w:tc>
        <w:tc>
          <w:tcPr>
            <w:tcW w:w="288" w:type="pct"/>
            <w:vAlign w:val="bottom"/>
          </w:tcPr>
          <w:p w14:paraId="6820246E"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vAlign w:val="bottom"/>
          </w:tcPr>
          <w:p w14:paraId="3422726B"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288C4046"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278A8942"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08C07BED"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5B5EE97F"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63308207"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56F93F07"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32F3CC61"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4097A0C1" w14:textId="77777777" w:rsidTr="001B330E">
        <w:trPr>
          <w:trHeight w:val="23"/>
        </w:trPr>
        <w:tc>
          <w:tcPr>
            <w:tcW w:w="1351" w:type="pct"/>
            <w:vAlign w:val="bottom"/>
          </w:tcPr>
          <w:p w14:paraId="38099072" w14:textId="42D46F32"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 xml:space="preserve">Cost </w:t>
            </w:r>
            <w:r w:rsidRPr="002A5F5D">
              <w:rPr>
                <w:color w:val="0000FF"/>
                <w:sz w:val="16"/>
                <w:szCs w:val="16"/>
              </w:rPr>
              <w:t>[or valuation]</w:t>
            </w:r>
            <w:r w:rsidRPr="002A5F5D">
              <w:rPr>
                <w:color w:val="000000"/>
                <w:sz w:val="16"/>
                <w:szCs w:val="16"/>
              </w:rPr>
              <w:t xml:space="preserve"> at 31</w:t>
            </w:r>
            <w:r w:rsidR="00181687" w:rsidRPr="002A5F5D">
              <w:rPr>
                <w:color w:val="000000"/>
                <w:sz w:val="16"/>
                <w:szCs w:val="16"/>
              </w:rPr>
              <w:t> December </w:t>
            </w:r>
            <w:r w:rsidR="00541EBC">
              <w:rPr>
                <w:color w:val="000000"/>
                <w:sz w:val="16"/>
                <w:szCs w:val="16"/>
              </w:rPr>
              <w:t>2023</w:t>
            </w:r>
          </w:p>
        </w:tc>
        <w:tc>
          <w:tcPr>
            <w:tcW w:w="288" w:type="pct"/>
            <w:vAlign w:val="bottom"/>
          </w:tcPr>
          <w:p w14:paraId="61F742A0"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65C3CC77"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387D0FE"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C6958FF"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087F55E"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ADD02F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BC7CC8B"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AFED246"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CD5C94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507ACC4E" w14:textId="77777777" w:rsidTr="001B330E">
        <w:trPr>
          <w:trHeight w:val="23"/>
        </w:trPr>
        <w:tc>
          <w:tcPr>
            <w:tcW w:w="1351" w:type="pct"/>
            <w:vAlign w:val="bottom"/>
          </w:tcPr>
          <w:p w14:paraId="13FEDE8A" w14:textId="77777777" w:rsidR="00D83E33" w:rsidRPr="002A5F5D" w:rsidRDefault="00BC4072" w:rsidP="001B330E">
            <w:pPr>
              <w:widowControl w:val="0"/>
              <w:pBdr>
                <w:top w:val="nil"/>
                <w:left w:val="nil"/>
                <w:bottom w:val="nil"/>
                <w:right w:val="nil"/>
                <w:between w:val="nil"/>
              </w:pBdr>
              <w:ind w:left="113" w:hanging="113"/>
              <w:rPr>
                <w:b/>
                <w:color w:val="000000"/>
                <w:sz w:val="16"/>
                <w:szCs w:val="16"/>
              </w:rPr>
            </w:pPr>
            <w:r w:rsidRPr="002A5F5D">
              <w:rPr>
                <w:color w:val="000000"/>
                <w:sz w:val="16"/>
                <w:szCs w:val="16"/>
              </w:rPr>
              <w:t xml:space="preserve">Accumulated depreciation </w:t>
            </w:r>
          </w:p>
        </w:tc>
        <w:tc>
          <w:tcPr>
            <w:tcW w:w="288" w:type="pct"/>
            <w:vAlign w:val="bottom"/>
          </w:tcPr>
          <w:p w14:paraId="33AC001E"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688D4A46"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F67554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A3FED60"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182282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94B6DC9"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DBF7709"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54664E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89969C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49AA79DA" w14:textId="77777777" w:rsidTr="001B330E">
        <w:trPr>
          <w:trHeight w:val="23"/>
        </w:trPr>
        <w:tc>
          <w:tcPr>
            <w:tcW w:w="1351" w:type="pct"/>
            <w:tcBorders>
              <w:bottom w:val="single" w:sz="4" w:space="0" w:color="000000"/>
            </w:tcBorders>
            <w:vAlign w:val="bottom"/>
          </w:tcPr>
          <w:p w14:paraId="11FCB936" w14:textId="77777777" w:rsidR="00D83E33" w:rsidRPr="002A5F5D" w:rsidRDefault="00BC4072" w:rsidP="001B330E">
            <w:pPr>
              <w:widowControl w:val="0"/>
              <w:pBdr>
                <w:top w:val="nil"/>
                <w:left w:val="nil"/>
                <w:bottom w:val="nil"/>
                <w:right w:val="nil"/>
                <w:between w:val="nil"/>
              </w:pBdr>
              <w:ind w:left="113" w:hanging="113"/>
              <w:rPr>
                <w:b/>
                <w:color w:val="000000"/>
                <w:sz w:val="6"/>
                <w:szCs w:val="6"/>
              </w:rPr>
            </w:pPr>
            <w:r w:rsidRPr="002A5F5D">
              <w:rPr>
                <w:color w:val="000000"/>
                <w:sz w:val="6"/>
                <w:szCs w:val="6"/>
              </w:rPr>
              <w:t> </w:t>
            </w:r>
          </w:p>
        </w:tc>
        <w:tc>
          <w:tcPr>
            <w:tcW w:w="288" w:type="pct"/>
            <w:tcBorders>
              <w:bottom w:val="single" w:sz="4" w:space="0" w:color="000000"/>
            </w:tcBorders>
            <w:vAlign w:val="bottom"/>
          </w:tcPr>
          <w:p w14:paraId="2759FD2C"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bottom w:val="single" w:sz="4" w:space="0" w:color="000000"/>
            </w:tcBorders>
            <w:vAlign w:val="bottom"/>
          </w:tcPr>
          <w:p w14:paraId="42524F6F"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6ABE35FB"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1E29C42A"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43573AE7"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047B79E0"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0FFF4492"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4EF63F5F"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57EA1167"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2A5F5D" w14:paraId="1DDD17C5" w14:textId="77777777" w:rsidTr="001B330E">
        <w:trPr>
          <w:trHeight w:val="23"/>
        </w:trPr>
        <w:tc>
          <w:tcPr>
            <w:tcW w:w="1351" w:type="pct"/>
            <w:tcBorders>
              <w:top w:val="single" w:sz="4" w:space="0" w:color="000000"/>
            </w:tcBorders>
            <w:vAlign w:val="bottom"/>
          </w:tcPr>
          <w:p w14:paraId="2C118D71" w14:textId="77777777" w:rsidR="00D83E33" w:rsidRPr="002A5F5D" w:rsidRDefault="00BC4072" w:rsidP="001B330E">
            <w:pPr>
              <w:widowControl w:val="0"/>
              <w:pBdr>
                <w:top w:val="nil"/>
                <w:left w:val="nil"/>
                <w:bottom w:val="nil"/>
                <w:right w:val="nil"/>
                <w:between w:val="nil"/>
              </w:pBdr>
              <w:ind w:left="113" w:hanging="113"/>
              <w:rPr>
                <w:b/>
                <w:color w:val="000000"/>
                <w:sz w:val="6"/>
                <w:szCs w:val="6"/>
              </w:rPr>
            </w:pPr>
            <w:r w:rsidRPr="002A5F5D">
              <w:rPr>
                <w:color w:val="000000"/>
                <w:sz w:val="6"/>
                <w:szCs w:val="6"/>
              </w:rPr>
              <w:t> </w:t>
            </w:r>
          </w:p>
        </w:tc>
        <w:tc>
          <w:tcPr>
            <w:tcW w:w="288" w:type="pct"/>
            <w:tcBorders>
              <w:top w:val="single" w:sz="4" w:space="0" w:color="000000"/>
            </w:tcBorders>
            <w:vAlign w:val="bottom"/>
          </w:tcPr>
          <w:p w14:paraId="386BFB72"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top w:val="single" w:sz="4" w:space="0" w:color="000000"/>
            </w:tcBorders>
            <w:vAlign w:val="bottom"/>
          </w:tcPr>
          <w:p w14:paraId="219A24A0"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4" w:space="0" w:color="000000"/>
            </w:tcBorders>
            <w:vAlign w:val="bottom"/>
          </w:tcPr>
          <w:p w14:paraId="317BCA4B"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4" w:space="0" w:color="000000"/>
            </w:tcBorders>
            <w:vAlign w:val="bottom"/>
          </w:tcPr>
          <w:p w14:paraId="750C739D"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4" w:space="0" w:color="000000"/>
            </w:tcBorders>
            <w:vAlign w:val="bottom"/>
          </w:tcPr>
          <w:p w14:paraId="79BC3C1A"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top w:val="single" w:sz="4" w:space="0" w:color="000000"/>
            </w:tcBorders>
            <w:vAlign w:val="bottom"/>
          </w:tcPr>
          <w:p w14:paraId="455AAB34"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top w:val="single" w:sz="4" w:space="0" w:color="000000"/>
            </w:tcBorders>
            <w:vAlign w:val="bottom"/>
          </w:tcPr>
          <w:p w14:paraId="4266CA2C"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4" w:space="0" w:color="000000"/>
            </w:tcBorders>
            <w:vAlign w:val="bottom"/>
          </w:tcPr>
          <w:p w14:paraId="7C66E37B"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top w:val="single" w:sz="4" w:space="0" w:color="000000"/>
            </w:tcBorders>
            <w:vAlign w:val="bottom"/>
          </w:tcPr>
          <w:p w14:paraId="1231DC4C"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5DE89D23" w14:textId="77777777" w:rsidTr="001B330E">
        <w:trPr>
          <w:trHeight w:val="23"/>
        </w:trPr>
        <w:tc>
          <w:tcPr>
            <w:tcW w:w="1351" w:type="pct"/>
            <w:vAlign w:val="bottom"/>
          </w:tcPr>
          <w:p w14:paraId="45E590F8" w14:textId="6ABA9EB6" w:rsidR="00D83E33" w:rsidRPr="002A5F5D" w:rsidRDefault="00BC4072" w:rsidP="001B330E">
            <w:pPr>
              <w:widowControl w:val="0"/>
              <w:pBdr>
                <w:top w:val="nil"/>
                <w:left w:val="nil"/>
                <w:bottom w:val="nil"/>
                <w:right w:val="nil"/>
                <w:between w:val="nil"/>
              </w:pBdr>
              <w:ind w:left="113" w:hanging="113"/>
              <w:rPr>
                <w:b/>
                <w:color w:val="000000"/>
                <w:sz w:val="16"/>
                <w:szCs w:val="16"/>
              </w:rPr>
            </w:pPr>
            <w:r w:rsidRPr="002A5F5D">
              <w:rPr>
                <w:b/>
                <w:color w:val="000000"/>
                <w:sz w:val="16"/>
                <w:szCs w:val="16"/>
              </w:rPr>
              <w:t>Carrying amount at 31</w:t>
            </w:r>
            <w:r w:rsidR="00181687" w:rsidRPr="002A5F5D">
              <w:rPr>
                <w:b/>
                <w:color w:val="000000"/>
                <w:sz w:val="16"/>
                <w:szCs w:val="16"/>
              </w:rPr>
              <w:t> December </w:t>
            </w:r>
            <w:r w:rsidR="00541EBC">
              <w:rPr>
                <w:b/>
                <w:color w:val="000000"/>
                <w:sz w:val="16"/>
                <w:szCs w:val="16"/>
              </w:rPr>
              <w:t>2023</w:t>
            </w:r>
          </w:p>
        </w:tc>
        <w:tc>
          <w:tcPr>
            <w:tcW w:w="288" w:type="pct"/>
            <w:vAlign w:val="bottom"/>
          </w:tcPr>
          <w:p w14:paraId="12F760F9" w14:textId="77777777" w:rsidR="00D83E33" w:rsidRPr="002A5F5D" w:rsidRDefault="00D83E33" w:rsidP="001B330E">
            <w:pPr>
              <w:widowControl w:val="0"/>
              <w:pBdr>
                <w:top w:val="nil"/>
                <w:left w:val="nil"/>
                <w:bottom w:val="nil"/>
                <w:right w:val="nil"/>
                <w:between w:val="nil"/>
              </w:pBdr>
              <w:jc w:val="center"/>
              <w:rPr>
                <w:b/>
                <w:color w:val="000000"/>
                <w:sz w:val="16"/>
                <w:szCs w:val="16"/>
              </w:rPr>
            </w:pPr>
          </w:p>
        </w:tc>
        <w:tc>
          <w:tcPr>
            <w:tcW w:w="420" w:type="pct"/>
            <w:vAlign w:val="bottom"/>
          </w:tcPr>
          <w:p w14:paraId="374FF2F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129DF8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E701A8E"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DB7600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EEBA6FC"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1720576"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E4859B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8A6466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7A48C6D6" w14:textId="77777777" w:rsidTr="001B330E">
        <w:trPr>
          <w:trHeight w:val="23"/>
        </w:trPr>
        <w:tc>
          <w:tcPr>
            <w:tcW w:w="1351" w:type="pct"/>
            <w:vAlign w:val="bottom"/>
          </w:tcPr>
          <w:p w14:paraId="3FE123E1" w14:textId="77777777" w:rsidR="00D83E33" w:rsidRPr="002A5F5D" w:rsidRDefault="00BC4072" w:rsidP="001B330E">
            <w:pPr>
              <w:widowControl w:val="0"/>
              <w:pBdr>
                <w:top w:val="nil"/>
                <w:left w:val="nil"/>
                <w:bottom w:val="nil"/>
                <w:right w:val="nil"/>
                <w:between w:val="nil"/>
              </w:pBdr>
              <w:ind w:left="113" w:hanging="113"/>
              <w:rPr>
                <w:b/>
                <w:color w:val="000000"/>
                <w:sz w:val="6"/>
                <w:szCs w:val="6"/>
              </w:rPr>
            </w:pPr>
            <w:r w:rsidRPr="002A5F5D">
              <w:rPr>
                <w:color w:val="000000"/>
                <w:sz w:val="6"/>
                <w:szCs w:val="6"/>
              </w:rPr>
              <w:t> </w:t>
            </w:r>
          </w:p>
        </w:tc>
        <w:tc>
          <w:tcPr>
            <w:tcW w:w="288" w:type="pct"/>
            <w:vAlign w:val="bottom"/>
          </w:tcPr>
          <w:p w14:paraId="3B2A3240"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vAlign w:val="bottom"/>
          </w:tcPr>
          <w:p w14:paraId="5CD68DFA"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2E1189A9"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71DAEA10"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76526790"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525BF3FA"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2CAB909E"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4CD7CC39"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0DC283D9"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4B6B5E64" w14:textId="77777777" w:rsidTr="001B330E">
        <w:trPr>
          <w:trHeight w:val="23"/>
        </w:trPr>
        <w:tc>
          <w:tcPr>
            <w:tcW w:w="1351" w:type="pct"/>
            <w:vAlign w:val="bottom"/>
          </w:tcPr>
          <w:p w14:paraId="550109FC"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Acquisitions through business combinations</w:t>
            </w:r>
          </w:p>
        </w:tc>
        <w:tc>
          <w:tcPr>
            <w:tcW w:w="288" w:type="pct"/>
            <w:vAlign w:val="bottom"/>
          </w:tcPr>
          <w:p w14:paraId="23E8E755"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52</w:t>
            </w:r>
          </w:p>
        </w:tc>
        <w:tc>
          <w:tcPr>
            <w:tcW w:w="420" w:type="pct"/>
            <w:vAlign w:val="bottom"/>
          </w:tcPr>
          <w:p w14:paraId="38FF791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BD5B063"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FDCACEB"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FE27CE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EDD7E7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24A1E1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071E17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BE2EB5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46954AC4" w14:textId="77777777" w:rsidTr="001B330E">
        <w:trPr>
          <w:trHeight w:val="23"/>
        </w:trPr>
        <w:tc>
          <w:tcPr>
            <w:tcW w:w="1351" w:type="pct"/>
            <w:vAlign w:val="bottom"/>
          </w:tcPr>
          <w:p w14:paraId="711110D8"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Additions</w:t>
            </w:r>
          </w:p>
        </w:tc>
        <w:tc>
          <w:tcPr>
            <w:tcW w:w="288" w:type="pct"/>
            <w:vAlign w:val="bottom"/>
          </w:tcPr>
          <w:p w14:paraId="36C02B9A"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0555739D"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A40F825"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97C806D"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857BF6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95671D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4591686"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8C1E3F9"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153CAB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08A12EEF" w14:textId="77777777" w:rsidTr="001B330E">
        <w:trPr>
          <w:trHeight w:val="23"/>
        </w:trPr>
        <w:tc>
          <w:tcPr>
            <w:tcW w:w="1351" w:type="pct"/>
            <w:vAlign w:val="bottom"/>
          </w:tcPr>
          <w:p w14:paraId="68620B15"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Capitalised borrowing costs</w:t>
            </w:r>
          </w:p>
        </w:tc>
        <w:tc>
          <w:tcPr>
            <w:tcW w:w="288" w:type="pct"/>
            <w:vAlign w:val="bottom"/>
          </w:tcPr>
          <w:p w14:paraId="14500238"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5C71CCC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4CA9FA1"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C5A9E15"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B6F671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BD3BB6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4C9E9B1"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116DB7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4EECFA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6A5A4644" w14:textId="77777777" w:rsidTr="001B330E">
        <w:trPr>
          <w:trHeight w:val="23"/>
        </w:trPr>
        <w:tc>
          <w:tcPr>
            <w:tcW w:w="1351" w:type="pct"/>
            <w:vAlign w:val="bottom"/>
          </w:tcPr>
          <w:p w14:paraId="2A9244A4"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 xml:space="preserve">Capitalised internal </w:t>
            </w:r>
            <w:r w:rsidRPr="002A5F5D">
              <w:rPr>
                <w:color w:val="0000FF"/>
                <w:sz w:val="16"/>
                <w:szCs w:val="16"/>
              </w:rPr>
              <w:t>[software]</w:t>
            </w:r>
            <w:r w:rsidRPr="002A5F5D">
              <w:rPr>
                <w:color w:val="000000"/>
                <w:sz w:val="16"/>
                <w:szCs w:val="16"/>
              </w:rPr>
              <w:t xml:space="preserve"> development costs</w:t>
            </w:r>
          </w:p>
        </w:tc>
        <w:tc>
          <w:tcPr>
            <w:tcW w:w="288" w:type="pct"/>
            <w:vAlign w:val="bottom"/>
          </w:tcPr>
          <w:p w14:paraId="48601BCC"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2A17413E"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92EC316"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1FEFB7B"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E028B6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2A9DF1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9DFF01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F0B46F3"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EADBDE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5E54ED3D" w14:textId="77777777" w:rsidTr="001B330E">
        <w:trPr>
          <w:trHeight w:val="23"/>
        </w:trPr>
        <w:tc>
          <w:tcPr>
            <w:tcW w:w="1351" w:type="pct"/>
            <w:vAlign w:val="bottom"/>
          </w:tcPr>
          <w:p w14:paraId="24467D57"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Transfers</w:t>
            </w:r>
          </w:p>
        </w:tc>
        <w:tc>
          <w:tcPr>
            <w:tcW w:w="288" w:type="pct"/>
            <w:vAlign w:val="bottom"/>
          </w:tcPr>
          <w:p w14:paraId="3F4335E4"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10774A04"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B5F3B4B"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F727CC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62A5BB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20CC7B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F5630E3"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89E4EE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C45D6F9"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535D5ABA" w14:textId="77777777" w:rsidTr="001B330E">
        <w:trPr>
          <w:trHeight w:val="23"/>
        </w:trPr>
        <w:tc>
          <w:tcPr>
            <w:tcW w:w="1351" w:type="pct"/>
            <w:vAlign w:val="bottom"/>
          </w:tcPr>
          <w:p w14:paraId="7B1E34BE"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Transfer to non-current assets held for sale (or disposal groups)</w:t>
            </w:r>
          </w:p>
        </w:tc>
        <w:tc>
          <w:tcPr>
            <w:tcW w:w="288" w:type="pct"/>
            <w:vAlign w:val="bottom"/>
          </w:tcPr>
          <w:p w14:paraId="50DA5954"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20</w:t>
            </w:r>
          </w:p>
        </w:tc>
        <w:tc>
          <w:tcPr>
            <w:tcW w:w="420" w:type="pct"/>
            <w:vAlign w:val="bottom"/>
          </w:tcPr>
          <w:p w14:paraId="63A1D28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216EEF8"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4DA7D14"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CFD521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D421BEE"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C367DC8"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1845979"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D69152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02F70813" w14:textId="77777777" w:rsidTr="001B330E">
        <w:trPr>
          <w:trHeight w:val="23"/>
        </w:trPr>
        <w:tc>
          <w:tcPr>
            <w:tcW w:w="1351" w:type="pct"/>
            <w:vAlign w:val="bottom"/>
          </w:tcPr>
          <w:p w14:paraId="3F6E638B"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Disposals</w:t>
            </w:r>
          </w:p>
        </w:tc>
        <w:tc>
          <w:tcPr>
            <w:tcW w:w="288" w:type="pct"/>
            <w:vAlign w:val="bottom"/>
          </w:tcPr>
          <w:p w14:paraId="08ED9A66"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1E48F8C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07D775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858E8AE"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5E3103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2F0C50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9C34AE0"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41C4919"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C2CEFC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27A189E8" w14:textId="77777777" w:rsidTr="001B330E">
        <w:trPr>
          <w:trHeight w:val="23"/>
        </w:trPr>
        <w:tc>
          <w:tcPr>
            <w:tcW w:w="1351" w:type="pct"/>
            <w:vAlign w:val="bottom"/>
          </w:tcPr>
          <w:p w14:paraId="59FD7A85"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 xml:space="preserve">Depreciation charge </w:t>
            </w:r>
          </w:p>
        </w:tc>
        <w:tc>
          <w:tcPr>
            <w:tcW w:w="288" w:type="pct"/>
            <w:vAlign w:val="bottom"/>
          </w:tcPr>
          <w:p w14:paraId="6C52344E"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35</w:t>
            </w:r>
          </w:p>
        </w:tc>
        <w:tc>
          <w:tcPr>
            <w:tcW w:w="420" w:type="pct"/>
            <w:vAlign w:val="bottom"/>
          </w:tcPr>
          <w:p w14:paraId="28AD8C13"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4E37292"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4AF1152"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B385F2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CA7A913"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70DF713"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DCC5E16"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4421EB9"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6376291C" w14:textId="77777777" w:rsidTr="001B330E">
        <w:trPr>
          <w:trHeight w:val="23"/>
        </w:trPr>
        <w:tc>
          <w:tcPr>
            <w:tcW w:w="1351" w:type="pct"/>
            <w:vAlign w:val="bottom"/>
          </w:tcPr>
          <w:p w14:paraId="7B3455EE"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Impairment charge to profit or loss</w:t>
            </w:r>
          </w:p>
        </w:tc>
        <w:tc>
          <w:tcPr>
            <w:tcW w:w="288" w:type="pct"/>
            <w:vAlign w:val="bottom"/>
          </w:tcPr>
          <w:p w14:paraId="21D184B2"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35</w:t>
            </w:r>
          </w:p>
        </w:tc>
        <w:tc>
          <w:tcPr>
            <w:tcW w:w="420" w:type="pct"/>
            <w:vAlign w:val="bottom"/>
          </w:tcPr>
          <w:p w14:paraId="7DDC769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DBEFF43"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35376FE"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408DD5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31F4DC2"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2F6E372"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480495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88A0F3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7BEDC642" w14:textId="77777777" w:rsidTr="001B330E">
        <w:trPr>
          <w:trHeight w:val="23"/>
        </w:trPr>
        <w:tc>
          <w:tcPr>
            <w:tcW w:w="1351" w:type="pct"/>
            <w:vAlign w:val="bottom"/>
          </w:tcPr>
          <w:p w14:paraId="471414AD"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Reversals of impairment through profit or loss</w:t>
            </w:r>
          </w:p>
        </w:tc>
        <w:tc>
          <w:tcPr>
            <w:tcW w:w="288" w:type="pct"/>
            <w:vAlign w:val="bottom"/>
          </w:tcPr>
          <w:p w14:paraId="686A1433"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4895E32F"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939692D"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A84BAC9"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0FEB04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5BC4B0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398670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8B6328A"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0BDC9A7"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2CF1C2F9" w14:textId="77777777" w:rsidTr="001B330E">
        <w:trPr>
          <w:trHeight w:val="23"/>
        </w:trPr>
        <w:tc>
          <w:tcPr>
            <w:tcW w:w="1351" w:type="pct"/>
            <w:vAlign w:val="bottom"/>
          </w:tcPr>
          <w:p w14:paraId="6BDBD3D3"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 xml:space="preserve">Revaluation </w:t>
            </w:r>
          </w:p>
        </w:tc>
        <w:tc>
          <w:tcPr>
            <w:tcW w:w="288" w:type="pct"/>
            <w:vAlign w:val="bottom"/>
          </w:tcPr>
          <w:p w14:paraId="6B5A3D9C" w14:textId="77777777" w:rsidR="00D83E33" w:rsidRPr="002A5F5D" w:rsidRDefault="00BC4072" w:rsidP="001B330E">
            <w:pPr>
              <w:widowControl w:val="0"/>
              <w:pBdr>
                <w:top w:val="nil"/>
                <w:left w:val="nil"/>
                <w:bottom w:val="nil"/>
                <w:right w:val="nil"/>
                <w:between w:val="nil"/>
              </w:pBdr>
              <w:jc w:val="center"/>
              <w:rPr>
                <w:color w:val="000000"/>
                <w:sz w:val="16"/>
                <w:szCs w:val="16"/>
              </w:rPr>
            </w:pPr>
            <w:r w:rsidRPr="002A5F5D">
              <w:rPr>
                <w:color w:val="000000"/>
                <w:sz w:val="16"/>
                <w:szCs w:val="16"/>
              </w:rPr>
              <w:t>31</w:t>
            </w:r>
          </w:p>
        </w:tc>
        <w:tc>
          <w:tcPr>
            <w:tcW w:w="420" w:type="pct"/>
            <w:vAlign w:val="bottom"/>
          </w:tcPr>
          <w:p w14:paraId="7FFA8287"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86E74C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50838469"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07B82D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D58468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E95A41F"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DC60A6A"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18A2D2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195EB740" w14:textId="77777777" w:rsidTr="001B330E">
        <w:trPr>
          <w:trHeight w:val="23"/>
        </w:trPr>
        <w:tc>
          <w:tcPr>
            <w:tcW w:w="1351" w:type="pct"/>
            <w:vAlign w:val="bottom"/>
          </w:tcPr>
          <w:p w14:paraId="51D19396" w14:textId="77777777" w:rsidR="00D83E33" w:rsidRPr="002A5F5D" w:rsidRDefault="00BC4072" w:rsidP="001B330E">
            <w:pPr>
              <w:widowControl w:val="0"/>
              <w:pBdr>
                <w:top w:val="nil"/>
                <w:left w:val="nil"/>
                <w:bottom w:val="nil"/>
                <w:right w:val="nil"/>
                <w:between w:val="nil"/>
              </w:pBdr>
              <w:ind w:left="113" w:hanging="113"/>
              <w:rPr>
                <w:color w:val="0000FF"/>
                <w:sz w:val="16"/>
                <w:szCs w:val="16"/>
              </w:rPr>
            </w:pPr>
            <w:r w:rsidRPr="002A5F5D">
              <w:rPr>
                <w:color w:val="0000FF"/>
                <w:sz w:val="16"/>
                <w:szCs w:val="16"/>
              </w:rPr>
              <w:t>[Translation to presentation currency]</w:t>
            </w:r>
          </w:p>
        </w:tc>
        <w:tc>
          <w:tcPr>
            <w:tcW w:w="288" w:type="pct"/>
            <w:vAlign w:val="bottom"/>
          </w:tcPr>
          <w:p w14:paraId="7017D19F"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5CD1A71D"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204E22B"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0657545"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F50B66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6725B32"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C215579"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5D8C14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77C5F3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1A45720E" w14:textId="77777777" w:rsidTr="001B330E">
        <w:trPr>
          <w:trHeight w:val="23"/>
        </w:trPr>
        <w:tc>
          <w:tcPr>
            <w:tcW w:w="1351" w:type="pct"/>
            <w:vAlign w:val="bottom"/>
          </w:tcPr>
          <w:p w14:paraId="61A8D10A" w14:textId="7777777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Other</w:t>
            </w:r>
          </w:p>
        </w:tc>
        <w:tc>
          <w:tcPr>
            <w:tcW w:w="288" w:type="pct"/>
            <w:vAlign w:val="bottom"/>
          </w:tcPr>
          <w:p w14:paraId="24684EB7"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50A09367"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B43B6DA"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2FCA9A45"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0A8D1113"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0D4CEB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F0BCB0D"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27999D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E10EC4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6ECC1D0B" w14:textId="77777777" w:rsidTr="001B330E">
        <w:trPr>
          <w:trHeight w:val="23"/>
        </w:trPr>
        <w:tc>
          <w:tcPr>
            <w:tcW w:w="1351" w:type="pct"/>
            <w:tcBorders>
              <w:bottom w:val="single" w:sz="4" w:space="0" w:color="000000"/>
            </w:tcBorders>
            <w:vAlign w:val="bottom"/>
          </w:tcPr>
          <w:p w14:paraId="75354C23" w14:textId="77777777" w:rsidR="00D83E33" w:rsidRPr="002A5F5D" w:rsidRDefault="00BC4072" w:rsidP="001B330E">
            <w:pPr>
              <w:widowControl w:val="0"/>
              <w:ind w:left="113" w:hanging="113"/>
              <w:rPr>
                <w:b/>
                <w:sz w:val="6"/>
                <w:szCs w:val="6"/>
              </w:rPr>
            </w:pPr>
            <w:r w:rsidRPr="002A5F5D">
              <w:rPr>
                <w:b/>
                <w:sz w:val="6"/>
                <w:szCs w:val="6"/>
              </w:rPr>
              <w:t xml:space="preserve"> </w:t>
            </w:r>
          </w:p>
        </w:tc>
        <w:tc>
          <w:tcPr>
            <w:tcW w:w="288" w:type="pct"/>
            <w:tcBorders>
              <w:bottom w:val="single" w:sz="4" w:space="0" w:color="000000"/>
            </w:tcBorders>
            <w:vAlign w:val="bottom"/>
          </w:tcPr>
          <w:p w14:paraId="18B6DEBE"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bottom w:val="single" w:sz="4" w:space="0" w:color="000000"/>
            </w:tcBorders>
            <w:vAlign w:val="bottom"/>
          </w:tcPr>
          <w:p w14:paraId="3A8BD499"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2167C68E"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2538E850"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13351DC8"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77C43787"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3D9326E3"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51479B38"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431A9B7F"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2A5F5D" w14:paraId="335E809A" w14:textId="77777777" w:rsidTr="001B330E">
        <w:trPr>
          <w:trHeight w:val="23"/>
        </w:trPr>
        <w:tc>
          <w:tcPr>
            <w:tcW w:w="1351" w:type="pct"/>
            <w:vAlign w:val="bottom"/>
          </w:tcPr>
          <w:p w14:paraId="27831AE5" w14:textId="77777777" w:rsidR="00D83E33" w:rsidRPr="002A5F5D" w:rsidRDefault="00BC4072" w:rsidP="001B330E">
            <w:pPr>
              <w:widowControl w:val="0"/>
              <w:ind w:left="113" w:hanging="113"/>
              <w:rPr>
                <w:b/>
                <w:sz w:val="6"/>
                <w:szCs w:val="6"/>
              </w:rPr>
            </w:pPr>
            <w:r w:rsidRPr="002A5F5D">
              <w:rPr>
                <w:b/>
                <w:sz w:val="6"/>
                <w:szCs w:val="6"/>
              </w:rPr>
              <w:t> </w:t>
            </w:r>
          </w:p>
        </w:tc>
        <w:tc>
          <w:tcPr>
            <w:tcW w:w="288" w:type="pct"/>
            <w:vAlign w:val="bottom"/>
          </w:tcPr>
          <w:p w14:paraId="6BAB8C3F"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vAlign w:val="bottom"/>
          </w:tcPr>
          <w:p w14:paraId="2F302A8C"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65DD18CB"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6E0D1F13"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086E1B5C"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031C4ADA"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6F704A09"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41D527FE"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296C1B42"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5E705CBF" w14:textId="77777777" w:rsidTr="001B330E">
        <w:trPr>
          <w:trHeight w:val="23"/>
        </w:trPr>
        <w:tc>
          <w:tcPr>
            <w:tcW w:w="1351" w:type="pct"/>
            <w:vAlign w:val="bottom"/>
          </w:tcPr>
          <w:p w14:paraId="4B7874AD" w14:textId="1467AC3F" w:rsidR="00D83E33" w:rsidRPr="002A5F5D" w:rsidRDefault="00BC4072" w:rsidP="001B330E">
            <w:pPr>
              <w:widowControl w:val="0"/>
              <w:pBdr>
                <w:top w:val="nil"/>
                <w:left w:val="nil"/>
                <w:bottom w:val="nil"/>
                <w:right w:val="nil"/>
                <w:between w:val="nil"/>
              </w:pBdr>
              <w:ind w:left="113" w:hanging="113"/>
              <w:rPr>
                <w:b/>
                <w:color w:val="000000"/>
                <w:sz w:val="16"/>
                <w:szCs w:val="16"/>
              </w:rPr>
            </w:pPr>
            <w:r w:rsidRPr="002A5F5D">
              <w:rPr>
                <w:b/>
                <w:color w:val="000000"/>
                <w:sz w:val="16"/>
                <w:szCs w:val="16"/>
              </w:rPr>
              <w:t>Carrying amount at 31</w:t>
            </w:r>
            <w:r w:rsidR="00181687" w:rsidRPr="002A5F5D">
              <w:rPr>
                <w:b/>
                <w:color w:val="000000"/>
                <w:sz w:val="16"/>
                <w:szCs w:val="16"/>
              </w:rPr>
              <w:t> December </w:t>
            </w:r>
            <w:r w:rsidR="00541EBC">
              <w:rPr>
                <w:b/>
                <w:color w:val="000000"/>
                <w:sz w:val="16"/>
                <w:szCs w:val="16"/>
              </w:rPr>
              <w:t>2024</w:t>
            </w:r>
          </w:p>
        </w:tc>
        <w:tc>
          <w:tcPr>
            <w:tcW w:w="288" w:type="pct"/>
            <w:vAlign w:val="bottom"/>
          </w:tcPr>
          <w:p w14:paraId="6720FDCB" w14:textId="77777777" w:rsidR="00D83E33" w:rsidRPr="002A5F5D" w:rsidRDefault="00D83E33" w:rsidP="001B330E">
            <w:pPr>
              <w:widowControl w:val="0"/>
              <w:pBdr>
                <w:top w:val="nil"/>
                <w:left w:val="nil"/>
                <w:bottom w:val="nil"/>
                <w:right w:val="nil"/>
                <w:between w:val="nil"/>
              </w:pBdr>
              <w:jc w:val="center"/>
              <w:rPr>
                <w:b/>
                <w:color w:val="000000"/>
                <w:sz w:val="16"/>
                <w:szCs w:val="16"/>
              </w:rPr>
            </w:pPr>
          </w:p>
        </w:tc>
        <w:tc>
          <w:tcPr>
            <w:tcW w:w="420" w:type="pct"/>
            <w:vAlign w:val="bottom"/>
          </w:tcPr>
          <w:p w14:paraId="77B532A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D643B2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93F34BF"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8D73F8E"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54ADFEF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21AC4B6"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7F94D70"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421C9AED"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3386424B" w14:textId="77777777" w:rsidTr="001B330E">
        <w:trPr>
          <w:trHeight w:val="23"/>
        </w:trPr>
        <w:tc>
          <w:tcPr>
            <w:tcW w:w="1351" w:type="pct"/>
            <w:tcBorders>
              <w:bottom w:val="single" w:sz="12" w:space="0" w:color="000000"/>
            </w:tcBorders>
            <w:vAlign w:val="bottom"/>
          </w:tcPr>
          <w:p w14:paraId="17A305BF" w14:textId="77777777" w:rsidR="00D83E33" w:rsidRPr="002A5F5D" w:rsidRDefault="00BC4072" w:rsidP="001B330E">
            <w:pPr>
              <w:widowControl w:val="0"/>
              <w:pBdr>
                <w:top w:val="nil"/>
                <w:left w:val="nil"/>
                <w:bottom w:val="nil"/>
                <w:right w:val="nil"/>
                <w:between w:val="nil"/>
              </w:pBdr>
              <w:ind w:left="113" w:hanging="113"/>
              <w:rPr>
                <w:color w:val="000000"/>
                <w:sz w:val="6"/>
                <w:szCs w:val="6"/>
              </w:rPr>
            </w:pPr>
            <w:r w:rsidRPr="002A5F5D">
              <w:rPr>
                <w:color w:val="000000"/>
                <w:sz w:val="6"/>
                <w:szCs w:val="6"/>
              </w:rPr>
              <w:t> </w:t>
            </w:r>
          </w:p>
        </w:tc>
        <w:tc>
          <w:tcPr>
            <w:tcW w:w="288" w:type="pct"/>
            <w:tcBorders>
              <w:bottom w:val="single" w:sz="12" w:space="0" w:color="000000"/>
            </w:tcBorders>
            <w:vAlign w:val="bottom"/>
          </w:tcPr>
          <w:p w14:paraId="64203B9D"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bottom w:val="single" w:sz="12" w:space="0" w:color="000000"/>
            </w:tcBorders>
            <w:vAlign w:val="bottom"/>
          </w:tcPr>
          <w:p w14:paraId="439BDDF6"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4D9EFDBC"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6778E731"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244A3119"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12" w:space="0" w:color="000000"/>
            </w:tcBorders>
            <w:vAlign w:val="bottom"/>
          </w:tcPr>
          <w:p w14:paraId="4D4A4DF2"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12" w:space="0" w:color="000000"/>
            </w:tcBorders>
            <w:vAlign w:val="bottom"/>
          </w:tcPr>
          <w:p w14:paraId="369D09CB"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418D7229"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12" w:space="0" w:color="000000"/>
            </w:tcBorders>
            <w:vAlign w:val="bottom"/>
          </w:tcPr>
          <w:p w14:paraId="6A615852"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2A5F5D" w14:paraId="0EBA9C69" w14:textId="77777777" w:rsidTr="001B330E">
        <w:trPr>
          <w:trHeight w:val="23"/>
        </w:trPr>
        <w:tc>
          <w:tcPr>
            <w:tcW w:w="1351" w:type="pct"/>
            <w:tcBorders>
              <w:top w:val="single" w:sz="12" w:space="0" w:color="000000"/>
            </w:tcBorders>
            <w:vAlign w:val="bottom"/>
          </w:tcPr>
          <w:p w14:paraId="40A9FE6E" w14:textId="77777777" w:rsidR="00D83E33" w:rsidRPr="002A5F5D" w:rsidRDefault="00BC4072" w:rsidP="001B330E">
            <w:pPr>
              <w:widowControl w:val="0"/>
              <w:pBdr>
                <w:top w:val="nil"/>
                <w:left w:val="nil"/>
                <w:bottom w:val="nil"/>
                <w:right w:val="nil"/>
                <w:between w:val="nil"/>
              </w:pBdr>
              <w:ind w:left="113" w:hanging="113"/>
              <w:rPr>
                <w:color w:val="000000"/>
                <w:sz w:val="6"/>
                <w:szCs w:val="6"/>
              </w:rPr>
            </w:pPr>
            <w:r w:rsidRPr="002A5F5D">
              <w:rPr>
                <w:color w:val="000000"/>
                <w:sz w:val="6"/>
                <w:szCs w:val="6"/>
              </w:rPr>
              <w:t> </w:t>
            </w:r>
          </w:p>
        </w:tc>
        <w:tc>
          <w:tcPr>
            <w:tcW w:w="288" w:type="pct"/>
            <w:tcBorders>
              <w:top w:val="single" w:sz="12" w:space="0" w:color="000000"/>
            </w:tcBorders>
            <w:vAlign w:val="bottom"/>
          </w:tcPr>
          <w:p w14:paraId="54928ADE"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top w:val="single" w:sz="12" w:space="0" w:color="000000"/>
            </w:tcBorders>
            <w:vAlign w:val="bottom"/>
          </w:tcPr>
          <w:p w14:paraId="14E63660"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12" w:space="0" w:color="000000"/>
            </w:tcBorders>
            <w:vAlign w:val="bottom"/>
          </w:tcPr>
          <w:p w14:paraId="5EC0BE8A"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12" w:space="0" w:color="000000"/>
            </w:tcBorders>
            <w:vAlign w:val="bottom"/>
          </w:tcPr>
          <w:p w14:paraId="235AA0C8"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12" w:space="0" w:color="000000"/>
            </w:tcBorders>
            <w:vAlign w:val="bottom"/>
          </w:tcPr>
          <w:p w14:paraId="66D6DAAB"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top w:val="single" w:sz="12" w:space="0" w:color="000000"/>
            </w:tcBorders>
            <w:vAlign w:val="bottom"/>
          </w:tcPr>
          <w:p w14:paraId="5B8FACEF"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top w:val="single" w:sz="12" w:space="0" w:color="000000"/>
            </w:tcBorders>
            <w:vAlign w:val="bottom"/>
          </w:tcPr>
          <w:p w14:paraId="31EA2C5C"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top w:val="single" w:sz="12" w:space="0" w:color="000000"/>
            </w:tcBorders>
            <w:vAlign w:val="bottom"/>
          </w:tcPr>
          <w:p w14:paraId="7FB48F99"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top w:val="single" w:sz="12" w:space="0" w:color="000000"/>
            </w:tcBorders>
            <w:vAlign w:val="bottom"/>
          </w:tcPr>
          <w:p w14:paraId="4CF5DA0A"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04285421" w14:textId="77777777" w:rsidTr="001B330E">
        <w:trPr>
          <w:trHeight w:val="23"/>
        </w:trPr>
        <w:tc>
          <w:tcPr>
            <w:tcW w:w="1351" w:type="pct"/>
            <w:vAlign w:val="bottom"/>
          </w:tcPr>
          <w:p w14:paraId="280F1567" w14:textId="6847B797" w:rsidR="00D83E33" w:rsidRPr="002A5F5D" w:rsidRDefault="00BC4072" w:rsidP="001B330E">
            <w:pPr>
              <w:widowControl w:val="0"/>
              <w:pBdr>
                <w:top w:val="nil"/>
                <w:left w:val="nil"/>
                <w:bottom w:val="nil"/>
                <w:right w:val="nil"/>
                <w:between w:val="nil"/>
              </w:pBdr>
              <w:ind w:left="113" w:hanging="113"/>
              <w:rPr>
                <w:color w:val="000000"/>
                <w:sz w:val="16"/>
                <w:szCs w:val="16"/>
              </w:rPr>
            </w:pPr>
            <w:r w:rsidRPr="002A5F5D">
              <w:rPr>
                <w:color w:val="000000"/>
                <w:sz w:val="16"/>
                <w:szCs w:val="16"/>
              </w:rPr>
              <w:t>Cost [</w:t>
            </w:r>
            <w:r w:rsidRPr="002A5F5D">
              <w:rPr>
                <w:color w:val="0000FF"/>
                <w:sz w:val="16"/>
                <w:szCs w:val="16"/>
              </w:rPr>
              <w:t>or valuation]</w:t>
            </w:r>
            <w:r w:rsidRPr="002A5F5D">
              <w:rPr>
                <w:color w:val="000000"/>
                <w:sz w:val="16"/>
                <w:szCs w:val="16"/>
              </w:rPr>
              <w:t xml:space="preserve"> at 31</w:t>
            </w:r>
            <w:r w:rsidR="00181687" w:rsidRPr="002A5F5D">
              <w:rPr>
                <w:color w:val="000000"/>
                <w:sz w:val="16"/>
                <w:szCs w:val="16"/>
              </w:rPr>
              <w:t> December </w:t>
            </w:r>
            <w:r w:rsidR="00541EBC">
              <w:rPr>
                <w:color w:val="000000"/>
                <w:sz w:val="16"/>
                <w:szCs w:val="16"/>
              </w:rPr>
              <w:t>2024</w:t>
            </w:r>
          </w:p>
        </w:tc>
        <w:tc>
          <w:tcPr>
            <w:tcW w:w="288" w:type="pct"/>
            <w:vAlign w:val="bottom"/>
          </w:tcPr>
          <w:p w14:paraId="65B4DF2A"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66E24AC9"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25BFCE1"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6E0100E1"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78B99F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019E9E0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D2151B4"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2483418"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7034985"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6C5889" w14:paraId="67CF8CD7" w14:textId="77777777" w:rsidTr="001B330E">
        <w:trPr>
          <w:trHeight w:val="23"/>
        </w:trPr>
        <w:tc>
          <w:tcPr>
            <w:tcW w:w="1351" w:type="pct"/>
            <w:vAlign w:val="bottom"/>
          </w:tcPr>
          <w:p w14:paraId="1A301D2E" w14:textId="77777777" w:rsidR="00D83E33" w:rsidRPr="002A5F5D" w:rsidRDefault="00BC4072" w:rsidP="001B330E">
            <w:pPr>
              <w:widowControl w:val="0"/>
              <w:pBdr>
                <w:top w:val="nil"/>
                <w:left w:val="nil"/>
                <w:bottom w:val="nil"/>
                <w:right w:val="nil"/>
                <w:between w:val="nil"/>
              </w:pBdr>
              <w:ind w:left="113" w:hanging="113"/>
              <w:rPr>
                <w:b/>
                <w:color w:val="000000"/>
                <w:sz w:val="16"/>
                <w:szCs w:val="16"/>
              </w:rPr>
            </w:pPr>
            <w:r w:rsidRPr="002A5F5D">
              <w:rPr>
                <w:color w:val="000000"/>
                <w:sz w:val="16"/>
                <w:szCs w:val="16"/>
              </w:rPr>
              <w:t xml:space="preserve">Accumulated depreciation </w:t>
            </w:r>
          </w:p>
        </w:tc>
        <w:tc>
          <w:tcPr>
            <w:tcW w:w="288" w:type="pct"/>
            <w:vAlign w:val="bottom"/>
          </w:tcPr>
          <w:p w14:paraId="42DC211D" w14:textId="77777777" w:rsidR="00D83E33" w:rsidRPr="002A5F5D" w:rsidRDefault="00D83E33" w:rsidP="001B330E">
            <w:pPr>
              <w:widowControl w:val="0"/>
              <w:pBdr>
                <w:top w:val="nil"/>
                <w:left w:val="nil"/>
                <w:bottom w:val="nil"/>
                <w:right w:val="nil"/>
                <w:between w:val="nil"/>
              </w:pBdr>
              <w:jc w:val="center"/>
              <w:rPr>
                <w:color w:val="000000"/>
                <w:sz w:val="16"/>
                <w:szCs w:val="16"/>
              </w:rPr>
            </w:pPr>
          </w:p>
        </w:tc>
        <w:tc>
          <w:tcPr>
            <w:tcW w:w="420" w:type="pct"/>
            <w:vAlign w:val="bottom"/>
          </w:tcPr>
          <w:p w14:paraId="11EF203E"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1DB4A1AC"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35AB1156"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7EC4DF83"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1BFAB89"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12485DB" w14:textId="77777777" w:rsidR="00D83E33" w:rsidRPr="002A5F5D" w:rsidRDefault="00D83E33" w:rsidP="001B330E">
            <w:pPr>
              <w:widowControl w:val="0"/>
              <w:pBdr>
                <w:top w:val="nil"/>
                <w:left w:val="nil"/>
                <w:bottom w:val="nil"/>
                <w:right w:val="nil"/>
                <w:between w:val="nil"/>
              </w:pBdr>
              <w:jc w:val="right"/>
              <w:rPr>
                <w:color w:val="000000"/>
                <w:sz w:val="16"/>
                <w:szCs w:val="16"/>
              </w:rPr>
            </w:pPr>
          </w:p>
        </w:tc>
        <w:tc>
          <w:tcPr>
            <w:tcW w:w="420" w:type="pct"/>
            <w:vAlign w:val="bottom"/>
          </w:tcPr>
          <w:p w14:paraId="412FE94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615A7B4"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72BE73BE" w14:textId="77777777" w:rsidTr="001B330E">
        <w:trPr>
          <w:trHeight w:val="23"/>
        </w:trPr>
        <w:tc>
          <w:tcPr>
            <w:tcW w:w="1351" w:type="pct"/>
            <w:tcBorders>
              <w:bottom w:val="single" w:sz="4" w:space="0" w:color="000000"/>
            </w:tcBorders>
            <w:vAlign w:val="bottom"/>
          </w:tcPr>
          <w:p w14:paraId="205AF5E4" w14:textId="77777777" w:rsidR="00D83E33" w:rsidRPr="002A5F5D" w:rsidRDefault="00BC4072" w:rsidP="001B330E">
            <w:pPr>
              <w:widowControl w:val="0"/>
              <w:pBdr>
                <w:top w:val="nil"/>
                <w:left w:val="nil"/>
                <w:bottom w:val="nil"/>
                <w:right w:val="nil"/>
                <w:between w:val="nil"/>
              </w:pBdr>
              <w:ind w:left="113" w:hanging="113"/>
              <w:rPr>
                <w:color w:val="000000"/>
                <w:sz w:val="6"/>
                <w:szCs w:val="6"/>
              </w:rPr>
            </w:pPr>
            <w:r w:rsidRPr="002A5F5D">
              <w:rPr>
                <w:color w:val="000000"/>
                <w:sz w:val="6"/>
                <w:szCs w:val="6"/>
              </w:rPr>
              <w:t> </w:t>
            </w:r>
          </w:p>
        </w:tc>
        <w:tc>
          <w:tcPr>
            <w:tcW w:w="288" w:type="pct"/>
            <w:tcBorders>
              <w:bottom w:val="single" w:sz="4" w:space="0" w:color="000000"/>
            </w:tcBorders>
            <w:vAlign w:val="bottom"/>
          </w:tcPr>
          <w:p w14:paraId="5C97E0E0"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bottom w:val="single" w:sz="4" w:space="0" w:color="000000"/>
            </w:tcBorders>
            <w:vAlign w:val="bottom"/>
          </w:tcPr>
          <w:p w14:paraId="499AE24B"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55E826D2"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46261C62"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3F1BAA20"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235A7541"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6050FA1B"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4" w:space="0" w:color="000000"/>
            </w:tcBorders>
            <w:vAlign w:val="bottom"/>
          </w:tcPr>
          <w:p w14:paraId="1D97C031"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4" w:space="0" w:color="000000"/>
            </w:tcBorders>
            <w:vAlign w:val="bottom"/>
          </w:tcPr>
          <w:p w14:paraId="61B4DE3B"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2A5F5D" w14:paraId="09EB675A" w14:textId="77777777" w:rsidTr="001B330E">
        <w:trPr>
          <w:trHeight w:val="23"/>
        </w:trPr>
        <w:tc>
          <w:tcPr>
            <w:tcW w:w="1351" w:type="pct"/>
            <w:vAlign w:val="bottom"/>
          </w:tcPr>
          <w:p w14:paraId="0F6B38F6" w14:textId="77777777" w:rsidR="00D83E33" w:rsidRPr="002A5F5D" w:rsidRDefault="00BC4072" w:rsidP="001B330E">
            <w:pPr>
              <w:widowControl w:val="0"/>
              <w:pBdr>
                <w:top w:val="nil"/>
                <w:left w:val="nil"/>
                <w:bottom w:val="nil"/>
                <w:right w:val="nil"/>
                <w:between w:val="nil"/>
              </w:pBdr>
              <w:ind w:left="113" w:hanging="113"/>
              <w:rPr>
                <w:b/>
                <w:color w:val="000000"/>
                <w:sz w:val="6"/>
                <w:szCs w:val="6"/>
              </w:rPr>
            </w:pPr>
            <w:r w:rsidRPr="002A5F5D">
              <w:rPr>
                <w:color w:val="000000"/>
                <w:sz w:val="6"/>
                <w:szCs w:val="6"/>
              </w:rPr>
              <w:t> </w:t>
            </w:r>
          </w:p>
        </w:tc>
        <w:tc>
          <w:tcPr>
            <w:tcW w:w="288" w:type="pct"/>
            <w:vAlign w:val="bottom"/>
          </w:tcPr>
          <w:p w14:paraId="1F74EF70"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vAlign w:val="bottom"/>
          </w:tcPr>
          <w:p w14:paraId="64126CC2"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31E33CD9"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75A219A9"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66BF5783"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558D24D0"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22CA32CE"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vAlign w:val="bottom"/>
          </w:tcPr>
          <w:p w14:paraId="420BCA40"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vAlign w:val="bottom"/>
          </w:tcPr>
          <w:p w14:paraId="595AC2AE"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r w:rsidR="00D83E33" w:rsidRPr="006C5889" w14:paraId="79362492" w14:textId="77777777" w:rsidTr="002A5F5D">
        <w:trPr>
          <w:trHeight w:val="23"/>
        </w:trPr>
        <w:tc>
          <w:tcPr>
            <w:tcW w:w="1351" w:type="pct"/>
            <w:vAlign w:val="bottom"/>
          </w:tcPr>
          <w:p w14:paraId="26E8AEE1" w14:textId="225AF95E" w:rsidR="00D83E33" w:rsidRPr="002A5F5D" w:rsidRDefault="00BC4072" w:rsidP="001B330E">
            <w:pPr>
              <w:widowControl w:val="0"/>
              <w:pBdr>
                <w:top w:val="nil"/>
                <w:left w:val="nil"/>
                <w:bottom w:val="nil"/>
                <w:right w:val="nil"/>
                <w:between w:val="nil"/>
              </w:pBdr>
              <w:ind w:left="113" w:hanging="113"/>
              <w:rPr>
                <w:b/>
                <w:color w:val="000000"/>
                <w:sz w:val="16"/>
                <w:szCs w:val="16"/>
              </w:rPr>
            </w:pPr>
            <w:r w:rsidRPr="002A5F5D">
              <w:rPr>
                <w:b/>
                <w:color w:val="000000"/>
                <w:sz w:val="16"/>
                <w:szCs w:val="16"/>
              </w:rPr>
              <w:t>Carrying amount at 31</w:t>
            </w:r>
            <w:r w:rsidR="00181687" w:rsidRPr="002A5F5D">
              <w:rPr>
                <w:b/>
                <w:color w:val="000000"/>
                <w:sz w:val="16"/>
                <w:szCs w:val="16"/>
              </w:rPr>
              <w:t> December </w:t>
            </w:r>
            <w:r w:rsidR="00541EBC">
              <w:rPr>
                <w:b/>
                <w:color w:val="000000"/>
                <w:sz w:val="16"/>
                <w:szCs w:val="16"/>
              </w:rPr>
              <w:t>2024</w:t>
            </w:r>
          </w:p>
        </w:tc>
        <w:tc>
          <w:tcPr>
            <w:tcW w:w="288" w:type="pct"/>
            <w:vAlign w:val="bottom"/>
          </w:tcPr>
          <w:p w14:paraId="4789B6A5" w14:textId="77777777" w:rsidR="00D83E33" w:rsidRPr="002A5F5D" w:rsidRDefault="00D83E33" w:rsidP="001B330E">
            <w:pPr>
              <w:widowControl w:val="0"/>
              <w:pBdr>
                <w:top w:val="nil"/>
                <w:left w:val="nil"/>
                <w:bottom w:val="nil"/>
                <w:right w:val="nil"/>
                <w:between w:val="nil"/>
              </w:pBdr>
              <w:jc w:val="center"/>
              <w:rPr>
                <w:b/>
                <w:color w:val="000000"/>
                <w:sz w:val="16"/>
                <w:szCs w:val="16"/>
              </w:rPr>
            </w:pPr>
          </w:p>
        </w:tc>
        <w:tc>
          <w:tcPr>
            <w:tcW w:w="420" w:type="pct"/>
            <w:vAlign w:val="bottom"/>
          </w:tcPr>
          <w:p w14:paraId="0930A7A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2A9D08CA"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6566F3AA"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399EA922"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6CB582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120222CB"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6FD8FEC"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c>
          <w:tcPr>
            <w:tcW w:w="420" w:type="pct"/>
            <w:vAlign w:val="bottom"/>
          </w:tcPr>
          <w:p w14:paraId="78874A31" w14:textId="77777777" w:rsidR="00D83E33" w:rsidRPr="002A5F5D" w:rsidRDefault="00D83E33" w:rsidP="001B330E">
            <w:pPr>
              <w:widowControl w:val="0"/>
              <w:pBdr>
                <w:top w:val="nil"/>
                <w:left w:val="nil"/>
                <w:bottom w:val="nil"/>
                <w:right w:val="nil"/>
                <w:between w:val="nil"/>
              </w:pBdr>
              <w:jc w:val="right"/>
              <w:rPr>
                <w:b/>
                <w:color w:val="000000"/>
                <w:sz w:val="16"/>
                <w:szCs w:val="16"/>
              </w:rPr>
            </w:pPr>
          </w:p>
        </w:tc>
      </w:tr>
      <w:tr w:rsidR="00D83E33" w:rsidRPr="002A5F5D" w14:paraId="6D38053C" w14:textId="77777777" w:rsidTr="001B330E">
        <w:trPr>
          <w:trHeight w:val="23"/>
        </w:trPr>
        <w:tc>
          <w:tcPr>
            <w:tcW w:w="1351" w:type="pct"/>
            <w:tcBorders>
              <w:bottom w:val="single" w:sz="12" w:space="0" w:color="000000"/>
            </w:tcBorders>
            <w:vAlign w:val="bottom"/>
          </w:tcPr>
          <w:p w14:paraId="2D25EF19" w14:textId="77777777" w:rsidR="00D83E33" w:rsidRPr="002A5F5D" w:rsidRDefault="00BC4072" w:rsidP="001B330E">
            <w:pPr>
              <w:widowControl w:val="0"/>
              <w:ind w:left="113" w:hanging="113"/>
              <w:rPr>
                <w:b/>
                <w:sz w:val="6"/>
                <w:szCs w:val="6"/>
              </w:rPr>
            </w:pPr>
            <w:r w:rsidRPr="002A5F5D">
              <w:rPr>
                <w:b/>
                <w:sz w:val="6"/>
                <w:szCs w:val="6"/>
              </w:rPr>
              <w:t> </w:t>
            </w:r>
          </w:p>
        </w:tc>
        <w:tc>
          <w:tcPr>
            <w:tcW w:w="288" w:type="pct"/>
            <w:tcBorders>
              <w:bottom w:val="single" w:sz="12" w:space="0" w:color="000000"/>
            </w:tcBorders>
            <w:vAlign w:val="bottom"/>
          </w:tcPr>
          <w:p w14:paraId="235267E1" w14:textId="77777777" w:rsidR="00D83E33" w:rsidRPr="002A5F5D" w:rsidRDefault="00D83E33" w:rsidP="001B330E">
            <w:pPr>
              <w:widowControl w:val="0"/>
              <w:pBdr>
                <w:top w:val="nil"/>
                <w:left w:val="nil"/>
                <w:bottom w:val="nil"/>
                <w:right w:val="nil"/>
                <w:between w:val="nil"/>
              </w:pBdr>
              <w:jc w:val="center"/>
              <w:rPr>
                <w:color w:val="000000"/>
                <w:sz w:val="6"/>
                <w:szCs w:val="6"/>
              </w:rPr>
            </w:pPr>
          </w:p>
        </w:tc>
        <w:tc>
          <w:tcPr>
            <w:tcW w:w="420" w:type="pct"/>
            <w:tcBorders>
              <w:bottom w:val="single" w:sz="12" w:space="0" w:color="000000"/>
            </w:tcBorders>
            <w:vAlign w:val="bottom"/>
          </w:tcPr>
          <w:p w14:paraId="2B67D564"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49722F13"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3C84CC43"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4D9CF072"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12" w:space="0" w:color="000000"/>
            </w:tcBorders>
            <w:vAlign w:val="bottom"/>
          </w:tcPr>
          <w:p w14:paraId="18C1118B"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12" w:space="0" w:color="000000"/>
            </w:tcBorders>
            <w:vAlign w:val="bottom"/>
          </w:tcPr>
          <w:p w14:paraId="41CAC9F4" w14:textId="77777777" w:rsidR="00D83E33" w:rsidRPr="002A5F5D" w:rsidRDefault="00D83E33" w:rsidP="001B330E">
            <w:pPr>
              <w:widowControl w:val="0"/>
              <w:pBdr>
                <w:top w:val="nil"/>
                <w:left w:val="nil"/>
                <w:bottom w:val="nil"/>
                <w:right w:val="nil"/>
                <w:between w:val="nil"/>
              </w:pBdr>
              <w:jc w:val="right"/>
              <w:rPr>
                <w:color w:val="000000"/>
                <w:sz w:val="6"/>
                <w:szCs w:val="6"/>
              </w:rPr>
            </w:pPr>
          </w:p>
        </w:tc>
        <w:tc>
          <w:tcPr>
            <w:tcW w:w="420" w:type="pct"/>
            <w:tcBorders>
              <w:bottom w:val="single" w:sz="12" w:space="0" w:color="000000"/>
            </w:tcBorders>
            <w:vAlign w:val="bottom"/>
          </w:tcPr>
          <w:p w14:paraId="1BB261EC"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c>
          <w:tcPr>
            <w:tcW w:w="420" w:type="pct"/>
            <w:tcBorders>
              <w:bottom w:val="single" w:sz="12" w:space="0" w:color="000000"/>
            </w:tcBorders>
            <w:vAlign w:val="bottom"/>
          </w:tcPr>
          <w:p w14:paraId="25634AC4" w14:textId="77777777" w:rsidR="00D83E33" w:rsidRPr="002A5F5D" w:rsidRDefault="00D83E33" w:rsidP="001B330E">
            <w:pPr>
              <w:widowControl w:val="0"/>
              <w:pBdr>
                <w:top w:val="nil"/>
                <w:left w:val="nil"/>
                <w:bottom w:val="nil"/>
                <w:right w:val="nil"/>
                <w:between w:val="nil"/>
              </w:pBdr>
              <w:jc w:val="right"/>
              <w:rPr>
                <w:b/>
                <w:color w:val="000000"/>
                <w:sz w:val="6"/>
                <w:szCs w:val="6"/>
              </w:rPr>
            </w:pPr>
          </w:p>
        </w:tc>
      </w:tr>
    </w:tbl>
    <w:p w14:paraId="655DF175" w14:textId="77777777" w:rsidR="006C5889" w:rsidRDefault="006C5889" w:rsidP="001B330E">
      <w:pPr>
        <w:widowControl w:val="0"/>
        <w:pBdr>
          <w:top w:val="nil"/>
          <w:left w:val="nil"/>
          <w:bottom w:val="nil"/>
          <w:right w:val="nil"/>
          <w:between w:val="nil"/>
        </w:pBdr>
        <w:ind w:left="567" w:hanging="567"/>
        <w:jc w:val="both"/>
        <w:rPr>
          <w:b/>
          <w:color w:val="000000"/>
          <w:sz w:val="20"/>
          <w:szCs w:val="20"/>
        </w:rPr>
      </w:pPr>
    </w:p>
    <w:p w14:paraId="7B36F99F" w14:textId="77777777" w:rsidR="002A5F5D" w:rsidRDefault="002A5F5D" w:rsidP="002A5F5D">
      <w:pPr>
        <w:pStyle w:val="Continued"/>
      </w:pPr>
      <w:r>
        <w:lastRenderedPageBreak/>
        <w:t>18</w:t>
      </w:r>
      <w:r>
        <w:tab/>
        <w:t>Premises, Equipment and Intangible Assets (Continued)</w:t>
      </w:r>
    </w:p>
    <w:p w14:paraId="0B1EA32D" w14:textId="02144139" w:rsidR="0049579D" w:rsidRPr="0049579D" w:rsidRDefault="0049579D" w:rsidP="0049579D">
      <w:pPr>
        <w:widowControl w:val="0"/>
        <w:pBdr>
          <w:top w:val="nil"/>
          <w:left w:val="nil"/>
          <w:bottom w:val="nil"/>
          <w:right w:val="nil"/>
          <w:between w:val="nil"/>
        </w:pBdr>
        <w:spacing w:before="200" w:after="200"/>
        <w:jc w:val="both"/>
        <w:rPr>
          <w:color w:val="0000FF"/>
          <w:sz w:val="20"/>
          <w:szCs w:val="20"/>
        </w:rPr>
      </w:pPr>
      <w:r w:rsidRPr="0049579D">
        <w:rPr>
          <w:color w:val="0000FF"/>
          <w:sz w:val="20"/>
          <w:szCs w:val="20"/>
        </w:rPr>
        <w:t>[Premises and equipment are stated at cost [or revalued amounts, as described below,] less accumulated depreciation and provision for impairment, where required.</w:t>
      </w:r>
    </w:p>
    <w:p w14:paraId="3166999D" w14:textId="279304E7" w:rsidR="0049579D" w:rsidRDefault="0049579D" w:rsidP="0049579D">
      <w:pPr>
        <w:widowControl w:val="0"/>
        <w:pBdr>
          <w:top w:val="nil"/>
          <w:left w:val="nil"/>
          <w:bottom w:val="nil"/>
          <w:right w:val="nil"/>
          <w:between w:val="nil"/>
        </w:pBdr>
        <w:spacing w:before="200" w:after="200"/>
        <w:jc w:val="both"/>
        <w:rPr>
          <w:i/>
          <w:color w:val="000000"/>
          <w:sz w:val="20"/>
          <w:szCs w:val="20"/>
        </w:rPr>
      </w:pPr>
      <w:r>
        <w:rPr>
          <w:color w:val="0000FF"/>
          <w:sz w:val="20"/>
          <w:szCs w:val="20"/>
        </w:rPr>
        <w:t>[Premises [and equipment] are subject to revaluation with sufficient regularity to ensure that the carrying amount does not differ materially from that which would be determined using fair value at the end of the reporting period. Increases in the carrying amount arising on revaluation are credited to other comprehensive income and increase the revaluation surplus in equity. Decreases that offset previous increases of the same asset are recognised in other comprehensive income and decrease the previously recognised revaluation surplus in equity; all other decreases are charged to profit or loss for the year. The revaluation reserve for premises and equipment included in equity is transferred directly to retained earnings [accumulated deficit] when the revaluation surplus is realised on the retirement or disposal of the asset, or as the asset is used by the Group; in the latter case, the amount of the surplus realised is the difference between depreciation based on the revalued carrying amount of the asset and depreciation based on the asset’s original cost.]</w:t>
      </w:r>
      <w:r>
        <w:rPr>
          <w:color w:val="000000"/>
          <w:sz w:val="20"/>
          <w:szCs w:val="20"/>
        </w:rPr>
        <w:t xml:space="preserve"> </w:t>
      </w:r>
      <w:r>
        <w:rPr>
          <w:i/>
          <w:color w:val="FF0000"/>
          <w:sz w:val="20"/>
          <w:szCs w:val="20"/>
        </w:rPr>
        <w:t>[</w:t>
      </w:r>
      <w:r w:rsidR="000A1B81">
        <w:rPr>
          <w:i/>
          <w:color w:val="FF0000"/>
          <w:sz w:val="20"/>
          <w:szCs w:val="20"/>
        </w:rPr>
        <w:t>Tailor to d</w:t>
      </w:r>
      <w:r>
        <w:rPr>
          <w:i/>
          <w:color w:val="FF0000"/>
          <w:sz w:val="20"/>
          <w:szCs w:val="20"/>
        </w:rPr>
        <w:t>isclose specific details of the valuation method applied]</w:t>
      </w:r>
      <w:r>
        <w:rPr>
          <w:i/>
          <w:color w:val="000000"/>
          <w:sz w:val="20"/>
          <w:szCs w:val="20"/>
        </w:rPr>
        <w:t xml:space="preserve"> </w:t>
      </w:r>
    </w:p>
    <w:p w14:paraId="481FF294" w14:textId="77777777" w:rsidR="0049579D" w:rsidRDefault="0049579D" w:rsidP="0049579D">
      <w:pPr>
        <w:widowControl w:val="0"/>
        <w:pBdr>
          <w:top w:val="nil"/>
          <w:left w:val="nil"/>
          <w:bottom w:val="nil"/>
          <w:right w:val="nil"/>
          <w:between w:val="nil"/>
        </w:pBdr>
        <w:spacing w:before="200" w:after="200"/>
        <w:jc w:val="both"/>
        <w:rPr>
          <w:i/>
          <w:color w:val="FF0000"/>
          <w:sz w:val="20"/>
          <w:szCs w:val="20"/>
        </w:rPr>
      </w:pPr>
      <w:r w:rsidRPr="0049579D">
        <w:rPr>
          <w:color w:val="0000FF"/>
          <w:sz w:val="20"/>
          <w:szCs w:val="20"/>
        </w:rPr>
        <w:t xml:space="preserve">If there is no market-based evidence of fair value, fair value is estimated using an income approach. </w:t>
      </w:r>
      <w:r>
        <w:rPr>
          <w:color w:val="0000FF"/>
          <w:sz w:val="20"/>
          <w:szCs w:val="20"/>
        </w:rPr>
        <w:t>[Management has updated the carrying value of land and buildings measured in accordance with the revaluation model at the end of the reporting period using market based evidence and is satisfied that sufficient market based evidence of fair value is available to support the updated fair values.]</w:t>
      </w:r>
      <w:r>
        <w:rPr>
          <w:color w:val="000000"/>
          <w:sz w:val="20"/>
          <w:szCs w:val="20"/>
        </w:rPr>
        <w:t xml:space="preserve"> </w:t>
      </w:r>
      <w:r>
        <w:rPr>
          <w:i/>
          <w:color w:val="FF0000"/>
          <w:sz w:val="20"/>
          <w:szCs w:val="20"/>
        </w:rPr>
        <w:t>[Or:</w:t>
      </w:r>
      <w:r>
        <w:rPr>
          <w:color w:val="FF0000"/>
          <w:sz w:val="20"/>
          <w:szCs w:val="20"/>
        </w:rPr>
        <w:t xml:space="preserve"> </w:t>
      </w:r>
      <w:r>
        <w:rPr>
          <w:color w:val="0000FF"/>
          <w:sz w:val="20"/>
          <w:szCs w:val="20"/>
        </w:rPr>
        <w:t>Management has updated the carrying value of land and buildings measured in accordance with the revaluation model at the end of the reporting period using [specify method].]</w:t>
      </w:r>
      <w:r>
        <w:rPr>
          <w:i/>
          <w:color w:val="FF0000"/>
          <w:sz w:val="20"/>
          <w:szCs w:val="20"/>
        </w:rPr>
        <w:t xml:space="preserve"> </w:t>
      </w:r>
    </w:p>
    <w:p w14:paraId="6D78C68F" w14:textId="7F6DA485" w:rsidR="0049579D" w:rsidRDefault="0049579D" w:rsidP="0049579D">
      <w:pPr>
        <w:widowControl w:val="0"/>
        <w:pBdr>
          <w:top w:val="nil"/>
          <w:left w:val="nil"/>
          <w:bottom w:val="nil"/>
          <w:right w:val="nil"/>
          <w:between w:val="nil"/>
        </w:pBdr>
        <w:spacing w:before="200" w:after="200"/>
        <w:jc w:val="both"/>
        <w:rPr>
          <w:i/>
          <w:color w:val="FF0000"/>
          <w:sz w:val="20"/>
          <w:szCs w:val="20"/>
        </w:rPr>
      </w:pPr>
    </w:p>
    <w:p w14:paraId="4D66400E" w14:textId="77777777" w:rsidR="0049579D" w:rsidRPr="0049579D" w:rsidRDefault="0049579D" w:rsidP="0049579D">
      <w:pPr>
        <w:widowControl w:val="0"/>
        <w:pBdr>
          <w:top w:val="nil"/>
          <w:left w:val="nil"/>
          <w:bottom w:val="nil"/>
          <w:right w:val="nil"/>
          <w:between w:val="nil"/>
        </w:pBdr>
        <w:spacing w:before="200" w:after="200"/>
        <w:jc w:val="both"/>
        <w:rPr>
          <w:color w:val="0000FF"/>
          <w:sz w:val="20"/>
          <w:szCs w:val="20"/>
        </w:rPr>
      </w:pPr>
      <w:r w:rsidRPr="0049579D">
        <w:rPr>
          <w:color w:val="0000FF"/>
          <w:sz w:val="20"/>
          <w:szCs w:val="20"/>
        </w:rPr>
        <w:t>Costs of minor repairs and day-to-day maintenance are expensed when incurred. Costs of replacing major parts or components of premises and equipment items are capitalised, and the replaced part is retired.</w:t>
      </w:r>
    </w:p>
    <w:p w14:paraId="66B42656" w14:textId="77777777" w:rsidR="0049579D" w:rsidRPr="0049579D" w:rsidRDefault="0049579D" w:rsidP="0049579D">
      <w:pPr>
        <w:jc w:val="both"/>
        <w:rPr>
          <w:color w:val="0000FF"/>
        </w:rPr>
      </w:pPr>
      <w:r w:rsidRPr="0049579D">
        <w:rPr>
          <w:color w:val="0000FF"/>
          <w:sz w:val="20"/>
          <w:szCs w:val="20"/>
        </w:rPr>
        <w:t>Leasehold improvements are alterations made to rented properties by the Group to customise it to its particular business needs and preferences. The improvements that are specialised to the Group’s intended use of the property are treated as own assets for accounting purposes.</w:t>
      </w:r>
    </w:p>
    <w:p w14:paraId="282F957F" w14:textId="77777777" w:rsidR="0049579D" w:rsidRPr="0049579D" w:rsidRDefault="0049579D" w:rsidP="0049579D">
      <w:pPr>
        <w:widowControl w:val="0"/>
        <w:pBdr>
          <w:top w:val="nil"/>
          <w:left w:val="nil"/>
          <w:bottom w:val="nil"/>
          <w:right w:val="nil"/>
          <w:between w:val="nil"/>
        </w:pBdr>
        <w:spacing w:before="200" w:after="200"/>
        <w:jc w:val="both"/>
        <w:rPr>
          <w:color w:val="0000FF"/>
          <w:sz w:val="20"/>
          <w:szCs w:val="20"/>
        </w:rPr>
      </w:pPr>
      <w:r w:rsidRPr="0049579D">
        <w:rPr>
          <w:color w:val="0000FF"/>
          <w:sz w:val="20"/>
          <w:szCs w:val="20"/>
        </w:rPr>
        <w:t>At the end of each reporting period management assesses whether there is any indication of impairment of premises and equipment. If any such indication exists, management estimates the recoverable amount, which is determined as the higher of an asset’s fair value less costs to sell and its value in use. The carrying amount is reduced to the recoverable amount and the impairment loss is recognised in profit or loss for the year [to the extent it exceeds the previous revaluation surplus in equity]. An impairment loss recognised for an asset in prior years is reversed if there has been a change in the estimates used to determine the asset’s value in use or fair value less costs to sell.</w:t>
      </w:r>
    </w:p>
    <w:p w14:paraId="071347D8" w14:textId="77777777" w:rsidR="002A5F5D" w:rsidRDefault="002A5F5D" w:rsidP="002A5F5D">
      <w:pPr>
        <w:pStyle w:val="Continued"/>
      </w:pPr>
      <w:r>
        <w:lastRenderedPageBreak/>
        <w:t>18</w:t>
      </w:r>
      <w:r>
        <w:tab/>
        <w:t>Premises, Equipment and Intangible Assets (Continued)</w:t>
      </w:r>
    </w:p>
    <w:p w14:paraId="44870453" w14:textId="77777777" w:rsidR="0049579D" w:rsidRPr="0049579D" w:rsidRDefault="0049579D" w:rsidP="0049579D">
      <w:pPr>
        <w:widowControl w:val="0"/>
        <w:pBdr>
          <w:top w:val="nil"/>
          <w:left w:val="nil"/>
          <w:bottom w:val="nil"/>
          <w:right w:val="nil"/>
          <w:between w:val="nil"/>
        </w:pBdr>
        <w:spacing w:before="200" w:after="200"/>
        <w:jc w:val="both"/>
        <w:rPr>
          <w:color w:val="0000FF"/>
          <w:sz w:val="20"/>
          <w:szCs w:val="20"/>
        </w:rPr>
      </w:pPr>
      <w:r w:rsidRPr="0049579D">
        <w:rPr>
          <w:color w:val="0000FF"/>
          <w:sz w:val="20"/>
          <w:szCs w:val="20"/>
        </w:rPr>
        <w:t xml:space="preserve">Gains and losses on disposals determined by comparing proceeds with carrying amount are recognised in profit or loss for the year (within other operating income or expenses). </w:t>
      </w:r>
    </w:p>
    <w:p w14:paraId="2C81E732" w14:textId="2C4D75C8" w:rsidR="0049579D" w:rsidRDefault="0049579D" w:rsidP="0049579D">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Depreciation. </w:t>
      </w:r>
      <w:r>
        <w:rPr>
          <w:color w:val="000000"/>
          <w:sz w:val="20"/>
          <w:szCs w:val="20"/>
        </w:rPr>
        <w:t xml:space="preserve">Land and construction in progress are not depreciated. Depreciation of other items of premises and equipment and right-of-use assets is calculated using the straight-line method to allocate their cost </w:t>
      </w:r>
      <w:r>
        <w:rPr>
          <w:color w:val="0000FF"/>
          <w:sz w:val="20"/>
          <w:szCs w:val="20"/>
        </w:rPr>
        <w:t xml:space="preserve">[or revalued amounts] </w:t>
      </w:r>
      <w:r>
        <w:rPr>
          <w:color w:val="000000"/>
          <w:sz w:val="20"/>
          <w:szCs w:val="20"/>
        </w:rPr>
        <w:t xml:space="preserve">to their residual values over their estimated useful lives: </w:t>
      </w:r>
    </w:p>
    <w:tbl>
      <w:tblPr>
        <w:tblStyle w:val="a4"/>
        <w:tblW w:w="5000" w:type="pct"/>
        <w:tblLayout w:type="fixed"/>
        <w:tblLook w:val="0000" w:firstRow="0" w:lastRow="0" w:firstColumn="0" w:lastColumn="0" w:noHBand="0" w:noVBand="0"/>
      </w:tblPr>
      <w:tblGrid>
        <w:gridCol w:w="4363"/>
        <w:gridCol w:w="4992"/>
      </w:tblGrid>
      <w:tr w:rsidR="0049579D" w14:paraId="0BA602C5" w14:textId="77777777" w:rsidTr="007042E2">
        <w:trPr>
          <w:trHeight w:val="20"/>
        </w:trPr>
        <w:tc>
          <w:tcPr>
            <w:tcW w:w="2332" w:type="pct"/>
            <w:tcBorders>
              <w:bottom w:val="single" w:sz="4" w:space="0" w:color="000000"/>
            </w:tcBorders>
            <w:vAlign w:val="bottom"/>
          </w:tcPr>
          <w:p w14:paraId="0E8F3E23" w14:textId="77777777" w:rsidR="0049579D" w:rsidRDefault="0049579D" w:rsidP="007042E2">
            <w:pPr>
              <w:widowControl w:val="0"/>
              <w:ind w:left="113" w:hanging="113"/>
            </w:pPr>
          </w:p>
        </w:tc>
        <w:tc>
          <w:tcPr>
            <w:tcW w:w="2668" w:type="pct"/>
            <w:tcBorders>
              <w:bottom w:val="single" w:sz="4" w:space="0" w:color="000000"/>
            </w:tcBorders>
            <w:vAlign w:val="bottom"/>
          </w:tcPr>
          <w:p w14:paraId="284F7771" w14:textId="77777777" w:rsidR="0049579D" w:rsidRDefault="0049579D" w:rsidP="007042E2">
            <w:pPr>
              <w:widowControl w:val="0"/>
              <w:jc w:val="right"/>
              <w:rPr>
                <w:b/>
              </w:rPr>
            </w:pPr>
            <w:r>
              <w:rPr>
                <w:b/>
              </w:rPr>
              <w:t>Useful lives in years</w:t>
            </w:r>
          </w:p>
        </w:tc>
      </w:tr>
      <w:tr w:rsidR="0049579D" w14:paraId="76E8BC02" w14:textId="77777777" w:rsidTr="007042E2">
        <w:trPr>
          <w:trHeight w:val="20"/>
        </w:trPr>
        <w:tc>
          <w:tcPr>
            <w:tcW w:w="2332" w:type="pct"/>
            <w:tcBorders>
              <w:top w:val="single" w:sz="4" w:space="0" w:color="000000"/>
            </w:tcBorders>
            <w:vAlign w:val="bottom"/>
          </w:tcPr>
          <w:p w14:paraId="7AC4F570" w14:textId="77777777" w:rsidR="0049579D" w:rsidRDefault="0049579D" w:rsidP="007042E2">
            <w:pPr>
              <w:widowControl w:val="0"/>
              <w:ind w:left="113" w:hanging="113"/>
            </w:pPr>
          </w:p>
        </w:tc>
        <w:tc>
          <w:tcPr>
            <w:tcW w:w="2668" w:type="pct"/>
            <w:tcBorders>
              <w:top w:val="single" w:sz="4" w:space="0" w:color="000000"/>
            </w:tcBorders>
            <w:vAlign w:val="bottom"/>
          </w:tcPr>
          <w:p w14:paraId="7108BA87" w14:textId="77777777" w:rsidR="0049579D" w:rsidRDefault="0049579D" w:rsidP="007042E2">
            <w:pPr>
              <w:widowControl w:val="0"/>
              <w:jc w:val="right"/>
              <w:rPr>
                <w:color w:val="3366FF"/>
              </w:rPr>
            </w:pPr>
          </w:p>
        </w:tc>
      </w:tr>
      <w:tr w:rsidR="0049579D" w14:paraId="1FB8B0F5" w14:textId="77777777" w:rsidTr="007042E2">
        <w:trPr>
          <w:trHeight w:val="20"/>
        </w:trPr>
        <w:tc>
          <w:tcPr>
            <w:tcW w:w="2332" w:type="pct"/>
            <w:vAlign w:val="bottom"/>
          </w:tcPr>
          <w:p w14:paraId="59819961" w14:textId="77777777" w:rsidR="0049579D" w:rsidRDefault="0049579D" w:rsidP="007042E2">
            <w:pPr>
              <w:widowControl w:val="0"/>
              <w:ind w:left="113" w:hanging="113"/>
            </w:pPr>
            <w:r>
              <w:t xml:space="preserve">Premises </w:t>
            </w:r>
          </w:p>
        </w:tc>
        <w:tc>
          <w:tcPr>
            <w:tcW w:w="2668" w:type="pct"/>
            <w:vAlign w:val="bottom"/>
          </w:tcPr>
          <w:p w14:paraId="5BE5F36E" w14:textId="77777777" w:rsidR="0049579D" w:rsidRDefault="0049579D" w:rsidP="007042E2">
            <w:pPr>
              <w:widowControl w:val="0"/>
              <w:jc w:val="right"/>
              <w:rPr>
                <w:color w:val="3366FF"/>
              </w:rPr>
            </w:pPr>
            <w:r>
              <w:rPr>
                <w:color w:val="3366FF"/>
              </w:rPr>
              <w:t>[40 to 50]</w:t>
            </w:r>
          </w:p>
        </w:tc>
      </w:tr>
      <w:tr w:rsidR="0049579D" w14:paraId="7F6FBA25" w14:textId="77777777" w:rsidTr="007042E2">
        <w:trPr>
          <w:trHeight w:val="20"/>
        </w:trPr>
        <w:tc>
          <w:tcPr>
            <w:tcW w:w="2332" w:type="pct"/>
            <w:vAlign w:val="bottom"/>
          </w:tcPr>
          <w:p w14:paraId="0B69735C" w14:textId="32AC500D" w:rsidR="0049579D" w:rsidRDefault="0049579D" w:rsidP="007042E2">
            <w:pPr>
              <w:widowControl w:val="0"/>
              <w:ind w:left="113" w:hanging="113"/>
            </w:pPr>
            <w:r>
              <w:t xml:space="preserve">Office and computer equipment </w:t>
            </w:r>
          </w:p>
        </w:tc>
        <w:tc>
          <w:tcPr>
            <w:tcW w:w="2668" w:type="pct"/>
            <w:vAlign w:val="bottom"/>
          </w:tcPr>
          <w:p w14:paraId="677B476B" w14:textId="77777777" w:rsidR="0049579D" w:rsidRDefault="0049579D" w:rsidP="007042E2">
            <w:pPr>
              <w:widowControl w:val="0"/>
              <w:jc w:val="right"/>
              <w:rPr>
                <w:color w:val="3366FF"/>
              </w:rPr>
            </w:pPr>
            <w:r>
              <w:rPr>
                <w:color w:val="3366FF"/>
              </w:rPr>
              <w:t>[5 to 10]</w:t>
            </w:r>
          </w:p>
        </w:tc>
      </w:tr>
      <w:tr w:rsidR="0049579D" w14:paraId="6B8FD1E3" w14:textId="77777777" w:rsidTr="007042E2">
        <w:trPr>
          <w:trHeight w:val="20"/>
        </w:trPr>
        <w:tc>
          <w:tcPr>
            <w:tcW w:w="2332" w:type="pct"/>
            <w:vAlign w:val="bottom"/>
          </w:tcPr>
          <w:p w14:paraId="7C451B51" w14:textId="1787C6C3" w:rsidR="0049579D" w:rsidRDefault="0049579D" w:rsidP="007042E2">
            <w:pPr>
              <w:widowControl w:val="0"/>
              <w:ind w:left="113" w:hanging="113"/>
            </w:pPr>
            <w:r>
              <w:t xml:space="preserve">Right-of-use assets </w:t>
            </w:r>
          </w:p>
        </w:tc>
        <w:tc>
          <w:tcPr>
            <w:tcW w:w="2668" w:type="pct"/>
            <w:vAlign w:val="bottom"/>
          </w:tcPr>
          <w:p w14:paraId="0235F8A0" w14:textId="77777777" w:rsidR="0049579D" w:rsidRPr="008657E1" w:rsidRDefault="0049579D" w:rsidP="007042E2">
            <w:pPr>
              <w:widowControl w:val="0"/>
              <w:jc w:val="right"/>
              <w:rPr>
                <w:color w:val="3366FF"/>
              </w:rPr>
            </w:pPr>
            <w:r w:rsidRPr="008657E1">
              <w:rPr>
                <w:color w:val="3366FF"/>
              </w:rPr>
              <w:t>[Please disclose the range for the remaining lease terms]</w:t>
            </w:r>
          </w:p>
        </w:tc>
      </w:tr>
      <w:tr w:rsidR="0049579D" w:rsidRPr="00442814" w14:paraId="789D6149" w14:textId="77777777" w:rsidTr="007042E2">
        <w:trPr>
          <w:trHeight w:val="20"/>
        </w:trPr>
        <w:tc>
          <w:tcPr>
            <w:tcW w:w="2332" w:type="pct"/>
            <w:vAlign w:val="bottom"/>
          </w:tcPr>
          <w:p w14:paraId="0773E16A" w14:textId="77777777" w:rsidR="0049579D" w:rsidRDefault="0049579D" w:rsidP="007042E2">
            <w:pPr>
              <w:widowControl w:val="0"/>
              <w:ind w:left="113" w:hanging="113"/>
            </w:pPr>
            <w:r>
              <w:t>Leasehold improvements</w:t>
            </w:r>
          </w:p>
        </w:tc>
        <w:tc>
          <w:tcPr>
            <w:tcW w:w="2668" w:type="pct"/>
            <w:vAlign w:val="bottom"/>
          </w:tcPr>
          <w:p w14:paraId="039B51CA" w14:textId="77777777" w:rsidR="0049579D" w:rsidRPr="00442814" w:rsidRDefault="0049579D" w:rsidP="007042E2">
            <w:pPr>
              <w:widowControl w:val="0"/>
              <w:jc w:val="right"/>
              <w:rPr>
                <w:color w:val="3366FF"/>
              </w:rPr>
            </w:pPr>
            <w:r w:rsidRPr="009004E7">
              <w:rPr>
                <w:color w:val="3366FF"/>
              </w:rPr>
              <w:t>[Please disclose the range, shorter of useful life and the term of the underlying lease]</w:t>
            </w:r>
          </w:p>
        </w:tc>
      </w:tr>
      <w:tr w:rsidR="0049579D" w14:paraId="23FBDC67" w14:textId="77777777" w:rsidTr="007042E2">
        <w:trPr>
          <w:trHeight w:val="20"/>
        </w:trPr>
        <w:tc>
          <w:tcPr>
            <w:tcW w:w="2332" w:type="pct"/>
            <w:tcBorders>
              <w:bottom w:val="single" w:sz="12" w:space="0" w:color="000000"/>
            </w:tcBorders>
            <w:vAlign w:val="bottom"/>
          </w:tcPr>
          <w:p w14:paraId="48AA227B" w14:textId="77777777" w:rsidR="0049579D" w:rsidRDefault="0049579D" w:rsidP="007042E2">
            <w:pPr>
              <w:widowControl w:val="0"/>
              <w:ind w:left="113" w:hanging="113"/>
            </w:pPr>
          </w:p>
        </w:tc>
        <w:tc>
          <w:tcPr>
            <w:tcW w:w="2668" w:type="pct"/>
            <w:tcBorders>
              <w:bottom w:val="single" w:sz="12" w:space="0" w:color="000000"/>
            </w:tcBorders>
            <w:vAlign w:val="bottom"/>
          </w:tcPr>
          <w:p w14:paraId="41F9B75A" w14:textId="77777777" w:rsidR="0049579D" w:rsidRDefault="0049579D" w:rsidP="007042E2">
            <w:pPr>
              <w:widowControl w:val="0"/>
              <w:jc w:val="right"/>
            </w:pPr>
          </w:p>
        </w:tc>
      </w:tr>
    </w:tbl>
    <w:p w14:paraId="78573095" w14:textId="77777777" w:rsidR="0049579D" w:rsidRPr="008B587E" w:rsidRDefault="0049579D" w:rsidP="0049579D">
      <w:pPr>
        <w:widowControl w:val="0"/>
        <w:pBdr>
          <w:top w:val="nil"/>
          <w:left w:val="nil"/>
          <w:bottom w:val="nil"/>
          <w:right w:val="nil"/>
          <w:between w:val="nil"/>
        </w:pBdr>
        <w:spacing w:before="200" w:after="200"/>
        <w:jc w:val="both"/>
        <w:rPr>
          <w:color w:val="0000FF"/>
          <w:sz w:val="20"/>
          <w:szCs w:val="20"/>
        </w:rPr>
      </w:pPr>
      <w:r w:rsidRPr="008B587E">
        <w:rPr>
          <w:color w:val="0000FF"/>
          <w:sz w:val="20"/>
          <w:szCs w:val="20"/>
        </w:rPr>
        <w:t>The residual value of an asset is the estimated amount that the Group would currently obtain from disposal of the asset less the estimated costs of disposal, if the asset were already of the age and in the condition expected at the end of its useful life. The assets’ residual values and useful lives are reviewed, and adjusted if appropriate, at the end of each reporting period.</w:t>
      </w:r>
    </w:p>
    <w:p w14:paraId="2A33EA28" w14:textId="51287FE2" w:rsidR="008B587E" w:rsidRPr="008B587E" w:rsidRDefault="0049579D" w:rsidP="0049579D">
      <w:pPr>
        <w:widowControl w:val="0"/>
        <w:pBdr>
          <w:top w:val="nil"/>
          <w:left w:val="nil"/>
          <w:bottom w:val="nil"/>
          <w:right w:val="nil"/>
          <w:between w:val="nil"/>
        </w:pBdr>
        <w:spacing w:before="200" w:after="200"/>
        <w:jc w:val="both"/>
        <w:rPr>
          <w:color w:val="0000FF"/>
          <w:sz w:val="20"/>
          <w:szCs w:val="20"/>
        </w:rPr>
      </w:pPr>
      <w:r w:rsidRPr="008B587E">
        <w:rPr>
          <w:b/>
          <w:i/>
          <w:color w:val="0000FF"/>
          <w:sz w:val="20"/>
          <w:szCs w:val="20"/>
        </w:rPr>
        <w:t xml:space="preserve">Intangible assets. </w:t>
      </w:r>
      <w:r w:rsidRPr="008B587E">
        <w:rPr>
          <w:color w:val="0000FF"/>
          <w:sz w:val="20"/>
          <w:szCs w:val="20"/>
        </w:rPr>
        <w:t xml:space="preserve">The Group’s intangible assets other than goodwill have definite useful life and primarily include capitalised computer software and </w:t>
      </w:r>
      <w:r>
        <w:rPr>
          <w:i/>
          <w:color w:val="FF0000"/>
          <w:sz w:val="20"/>
          <w:szCs w:val="20"/>
        </w:rPr>
        <w:t>[specify the nature of the other intangibles]</w:t>
      </w:r>
      <w:r>
        <w:rPr>
          <w:color w:val="000000"/>
          <w:sz w:val="20"/>
          <w:szCs w:val="20"/>
        </w:rPr>
        <w:t xml:space="preserve">. </w:t>
      </w:r>
      <w:r w:rsidRPr="008B587E">
        <w:rPr>
          <w:color w:val="0000FF"/>
          <w:sz w:val="20"/>
          <w:szCs w:val="20"/>
        </w:rPr>
        <w:t xml:space="preserve">Acquired computer software licences are capitalised on the basis of the costs incurred to acquire and bring to use the specific software. Development costs that are directly associated with identifiable and unique software controlled by the Group are recorded as intangible assets if the inflow of incremental economic benefits exceeding costs is probable. Capitalised costs include staff costs of the software development team and an appropriate portion of relevant overheads. All other costs associated with computer software, e.g. its maintenance, are expensed when incurred. </w:t>
      </w:r>
    </w:p>
    <w:p w14:paraId="7B3429B5" w14:textId="400CD362" w:rsidR="00093671" w:rsidRDefault="0049579D" w:rsidP="0049579D">
      <w:pPr>
        <w:widowControl w:val="0"/>
        <w:pBdr>
          <w:top w:val="nil"/>
          <w:left w:val="nil"/>
          <w:bottom w:val="nil"/>
          <w:right w:val="nil"/>
          <w:between w:val="nil"/>
        </w:pBdr>
        <w:spacing w:before="200" w:after="200"/>
        <w:jc w:val="both"/>
        <w:rPr>
          <w:color w:val="000000"/>
          <w:sz w:val="20"/>
          <w:szCs w:val="20"/>
        </w:rPr>
      </w:pPr>
      <w:r>
        <w:rPr>
          <w:color w:val="000000"/>
          <w:sz w:val="20"/>
          <w:szCs w:val="20"/>
        </w:rPr>
        <w:t>Capitalised computer software is amortised on a straight line basis over expected useful lives of ___ to ___ years.</w:t>
      </w:r>
    </w:p>
    <w:p w14:paraId="516A5224" w14:textId="4986255C" w:rsidR="0049579D" w:rsidRDefault="0049579D" w:rsidP="0049579D">
      <w:pPr>
        <w:widowControl w:val="0"/>
        <w:pBdr>
          <w:top w:val="nil"/>
          <w:left w:val="nil"/>
          <w:bottom w:val="nil"/>
          <w:right w:val="nil"/>
          <w:between w:val="nil"/>
        </w:pBdr>
        <w:spacing w:before="200" w:after="200"/>
        <w:jc w:val="both"/>
        <w:rPr>
          <w:i/>
          <w:color w:val="FF0000"/>
          <w:sz w:val="20"/>
          <w:szCs w:val="20"/>
        </w:rPr>
      </w:pPr>
    </w:p>
    <w:p w14:paraId="0542A33F" w14:textId="0A6C9BB1"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b/>
          <w:i/>
          <w:color w:val="0000FF"/>
          <w:sz w:val="20"/>
          <w:szCs w:val="20"/>
        </w:rPr>
        <w:t xml:space="preserve">[Capitalisation of borrowing costs. </w:t>
      </w:r>
      <w:r w:rsidRPr="00093671">
        <w:rPr>
          <w:color w:val="0000FF"/>
          <w:sz w:val="20"/>
          <w:szCs w:val="20"/>
        </w:rPr>
        <w:t>Borrowing costs that are directly attributable to the acquisition, construction or production of an asset that [is not carried at fair value and that] necessarily takes a substantial period of time to get ready for its intended use or sale (a qualifying asset), form part of the cost of that asset. Other borrowing costs are recognised as an expense using the effective interest method. The Group capitalises borrowing costs that would have been avoided if it had not made capital expenditure on qualifying assets. The commencement date for capitalisation is when (a) the Group incurs expenditures for the qualifying asset; (b) it incurs borrowing costs; and (c) it undertakes activities that are necessary to prepare the asset for its intended use or sale. Capitalisation ceases when all activities necessary to prepare the qualifying asset for its intended use or sale are complete.</w:t>
      </w:r>
    </w:p>
    <w:p w14:paraId="0861A2E5" w14:textId="77777777" w:rsidR="002A5F5D" w:rsidRDefault="002A5F5D" w:rsidP="002A5F5D">
      <w:pPr>
        <w:pStyle w:val="Continued"/>
      </w:pPr>
      <w:r>
        <w:lastRenderedPageBreak/>
        <w:t>18</w:t>
      </w:r>
      <w:r>
        <w:tab/>
        <w:t>Premises, Equipment and Intangible Assets (Continued)</w:t>
      </w:r>
    </w:p>
    <w:p w14:paraId="687D60AE" w14:textId="039D9106"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Interest or other investment income is not deducted in arriving at the amount of borrowing costs available for capitalisation, except where the Group obtains specific borrowings for the purpose of acquiring a qualifying asset and has investment income on the temporary investment of funds obtained through such specific borrowings.]</w:t>
      </w:r>
    </w:p>
    <w:p w14:paraId="11B1549F" w14:textId="3A542499" w:rsidR="00D83E33" w:rsidRDefault="00BC4072" w:rsidP="00513139">
      <w:pPr>
        <w:widowControl w:val="0"/>
        <w:pBdr>
          <w:top w:val="nil"/>
          <w:left w:val="nil"/>
          <w:bottom w:val="nil"/>
          <w:right w:val="nil"/>
          <w:between w:val="nil"/>
        </w:pBdr>
        <w:spacing w:before="200" w:after="200"/>
        <w:jc w:val="both"/>
        <w:rPr>
          <w:i/>
          <w:color w:val="FF0000"/>
          <w:sz w:val="20"/>
          <w:szCs w:val="20"/>
        </w:rPr>
      </w:pPr>
      <w:r>
        <w:rPr>
          <w:color w:val="000000"/>
          <w:sz w:val="20"/>
          <w:szCs w:val="20"/>
        </w:rPr>
        <w:t>The Group</w:t>
      </w:r>
      <w:r>
        <w:rPr>
          <w:color w:val="0000FF"/>
          <w:sz w:val="20"/>
          <w:szCs w:val="20"/>
        </w:rPr>
        <w:t xml:space="preserve"> </w:t>
      </w:r>
      <w:r>
        <w:rPr>
          <w:color w:val="000000"/>
          <w:sz w:val="20"/>
          <w:szCs w:val="20"/>
        </w:rPr>
        <w:t xml:space="preserve">leased a </w:t>
      </w:r>
      <w:r>
        <w:rPr>
          <w:color w:val="0000FF"/>
          <w:sz w:val="20"/>
          <w:szCs w:val="20"/>
        </w:rPr>
        <w:t>[equipment]</w:t>
      </w:r>
      <w:r>
        <w:rPr>
          <w:color w:val="000000"/>
          <w:sz w:val="20"/>
          <w:szCs w:val="20"/>
        </w:rPr>
        <w:t xml:space="preserve"> to its customers under short-term operating lease arrangements </w:t>
      </w:r>
      <w:r>
        <w:rPr>
          <w:i/>
          <w:color w:val="FF0000"/>
          <w:sz w:val="20"/>
          <w:szCs w:val="20"/>
        </w:rPr>
        <w:t>[</w:t>
      </w:r>
      <w:r w:rsidR="00456FF5">
        <w:rPr>
          <w:i/>
          <w:color w:val="FF0000"/>
          <w:sz w:val="20"/>
          <w:szCs w:val="20"/>
        </w:rPr>
        <w:t>Tailor to d</w:t>
      </w:r>
      <w:r>
        <w:rPr>
          <w:i/>
          <w:color w:val="FF0000"/>
          <w:sz w:val="20"/>
          <w:szCs w:val="20"/>
        </w:rPr>
        <w:t>isclose narrative description of lessor’s leasing activities. Refer to IFRS 16.92]</w:t>
      </w:r>
    </w:p>
    <w:p w14:paraId="5B0806BE" w14:textId="617C6787" w:rsidR="00D83E33" w:rsidRDefault="00BC4072" w:rsidP="00513139">
      <w:pPr>
        <w:widowControl w:val="0"/>
        <w:pBdr>
          <w:top w:val="nil"/>
          <w:left w:val="nil"/>
          <w:bottom w:val="nil"/>
          <w:right w:val="nil"/>
          <w:between w:val="nil"/>
        </w:pBdr>
        <w:spacing w:before="200" w:after="200"/>
        <w:jc w:val="both"/>
        <w:rPr>
          <w:color w:val="000000"/>
          <w:sz w:val="20"/>
          <w:szCs w:val="20"/>
        </w:rPr>
      </w:pPr>
      <w:r>
        <w:rPr>
          <w:i/>
          <w:color w:val="FF0000"/>
          <w:sz w:val="20"/>
          <w:szCs w:val="20"/>
        </w:rPr>
        <w:t>[Disclose how residual value risk in the assets leased to other parties is managed, including strategy and risk mitigating arrangements, such as variable lease payments, residual value guarantees etc.]</w:t>
      </w:r>
    </w:p>
    <w:p w14:paraId="5DF77C97" w14:textId="77777777" w:rsidR="00D83E33" w:rsidRDefault="00BC4072" w:rsidP="001B330E">
      <w:pPr>
        <w:widowControl w:val="0"/>
        <w:pBdr>
          <w:top w:val="nil"/>
          <w:left w:val="nil"/>
          <w:bottom w:val="nil"/>
          <w:right w:val="nil"/>
          <w:between w:val="nil"/>
        </w:pBdr>
        <w:spacing w:before="200" w:after="200"/>
        <w:jc w:val="both"/>
        <w:rPr>
          <w:b/>
          <w:color w:val="000000"/>
          <w:sz w:val="20"/>
          <w:szCs w:val="20"/>
        </w:rPr>
      </w:pPr>
      <w:r>
        <w:rPr>
          <w:color w:val="000000"/>
          <w:sz w:val="20"/>
          <w:szCs w:val="20"/>
        </w:rPr>
        <w:t xml:space="preserve">Where the Group is the lessor, the future minimum lease payments receivable under operating leases of equipment are as follows: </w:t>
      </w:r>
    </w:p>
    <w:tbl>
      <w:tblPr>
        <w:tblStyle w:val="affffffffff8"/>
        <w:tblW w:w="5000" w:type="pct"/>
        <w:tblLayout w:type="fixed"/>
        <w:tblLook w:val="0000" w:firstRow="0" w:lastRow="0" w:firstColumn="0" w:lastColumn="0" w:noHBand="0" w:noVBand="0"/>
      </w:tblPr>
      <w:tblGrid>
        <w:gridCol w:w="6567"/>
        <w:gridCol w:w="1394"/>
        <w:gridCol w:w="1394"/>
      </w:tblGrid>
      <w:tr w:rsidR="00D83E33" w:rsidRPr="00EA10CF" w14:paraId="3291A7F0" w14:textId="77777777" w:rsidTr="001B330E">
        <w:trPr>
          <w:trHeight w:val="23"/>
        </w:trPr>
        <w:tc>
          <w:tcPr>
            <w:tcW w:w="3509" w:type="pct"/>
            <w:tcBorders>
              <w:bottom w:val="single" w:sz="4" w:space="0" w:color="000000"/>
            </w:tcBorders>
            <w:vAlign w:val="bottom"/>
          </w:tcPr>
          <w:p w14:paraId="3F814FA0" w14:textId="12EF4BF6" w:rsidR="00D83E33" w:rsidRPr="001B330E" w:rsidRDefault="00313B4D" w:rsidP="001B330E">
            <w:pPr>
              <w:widowControl w:val="0"/>
              <w:pBdr>
                <w:top w:val="nil"/>
                <w:left w:val="nil"/>
                <w:bottom w:val="nil"/>
                <w:right w:val="nil"/>
                <w:between w:val="nil"/>
              </w:pBdr>
              <w:ind w:left="113" w:hanging="113"/>
              <w:rPr>
                <w:b/>
                <w:i/>
                <w:color w:val="000000"/>
                <w:szCs w:val="16"/>
              </w:rPr>
            </w:pPr>
            <w:r>
              <w:rPr>
                <w:i/>
                <w:color w:val="000000"/>
              </w:rPr>
              <w:t xml:space="preserve">In thousands of </w:t>
            </w:r>
            <w:r w:rsidR="002649EE">
              <w:rPr>
                <w:i/>
                <w:color w:val="000000"/>
              </w:rPr>
              <w:t>EUR</w:t>
            </w:r>
          </w:p>
        </w:tc>
        <w:tc>
          <w:tcPr>
            <w:tcW w:w="745" w:type="pct"/>
            <w:tcBorders>
              <w:bottom w:val="single" w:sz="4" w:space="0" w:color="000000"/>
            </w:tcBorders>
          </w:tcPr>
          <w:p w14:paraId="5ED88C5B" w14:textId="5BEC2446"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31</w:t>
            </w:r>
            <w:r w:rsidR="00181687">
              <w:rPr>
                <w:b/>
                <w:color w:val="000000"/>
              </w:rPr>
              <w:t> December </w:t>
            </w:r>
            <w:r w:rsidR="00541EBC">
              <w:rPr>
                <w:b/>
                <w:color w:val="000000"/>
              </w:rPr>
              <w:t>2024</w:t>
            </w:r>
          </w:p>
        </w:tc>
        <w:tc>
          <w:tcPr>
            <w:tcW w:w="745" w:type="pct"/>
            <w:tcBorders>
              <w:bottom w:val="single" w:sz="4" w:space="0" w:color="000000"/>
            </w:tcBorders>
            <w:vAlign w:val="bottom"/>
          </w:tcPr>
          <w:p w14:paraId="348D7A18" w14:textId="0D387204"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31</w:t>
            </w:r>
            <w:r w:rsidR="00181687">
              <w:rPr>
                <w:b/>
                <w:color w:val="000000"/>
              </w:rPr>
              <w:t> December </w:t>
            </w:r>
            <w:r w:rsidR="00541EBC">
              <w:rPr>
                <w:b/>
                <w:color w:val="000000"/>
              </w:rPr>
              <w:t>2023</w:t>
            </w:r>
          </w:p>
        </w:tc>
      </w:tr>
      <w:tr w:rsidR="00D83E33" w:rsidRPr="00EA10CF" w14:paraId="6CC9F17C" w14:textId="77777777" w:rsidTr="001B330E">
        <w:trPr>
          <w:trHeight w:val="23"/>
        </w:trPr>
        <w:tc>
          <w:tcPr>
            <w:tcW w:w="3509" w:type="pct"/>
            <w:tcBorders>
              <w:top w:val="single" w:sz="4" w:space="0" w:color="000000"/>
            </w:tcBorders>
            <w:vAlign w:val="bottom"/>
          </w:tcPr>
          <w:p w14:paraId="18E4650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745" w:type="pct"/>
            <w:tcBorders>
              <w:top w:val="single" w:sz="4" w:space="0" w:color="000000"/>
            </w:tcBorders>
          </w:tcPr>
          <w:p w14:paraId="0D0471EC" w14:textId="77777777" w:rsidR="00D83E33" w:rsidRPr="00EA10CF" w:rsidRDefault="00D83E33" w:rsidP="001B330E">
            <w:pPr>
              <w:widowControl w:val="0"/>
              <w:pBdr>
                <w:top w:val="nil"/>
                <w:left w:val="nil"/>
                <w:bottom w:val="nil"/>
                <w:right w:val="nil"/>
                <w:between w:val="nil"/>
              </w:pBdr>
              <w:jc w:val="right"/>
              <w:rPr>
                <w:color w:val="000000"/>
              </w:rPr>
            </w:pPr>
          </w:p>
        </w:tc>
        <w:tc>
          <w:tcPr>
            <w:tcW w:w="745" w:type="pct"/>
            <w:tcBorders>
              <w:top w:val="single" w:sz="4" w:space="0" w:color="000000"/>
            </w:tcBorders>
            <w:vAlign w:val="bottom"/>
          </w:tcPr>
          <w:p w14:paraId="7E931CEF"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73ADDAD" w14:textId="77777777" w:rsidTr="001B330E">
        <w:trPr>
          <w:trHeight w:val="23"/>
        </w:trPr>
        <w:tc>
          <w:tcPr>
            <w:tcW w:w="3509" w:type="pct"/>
            <w:vAlign w:val="bottom"/>
          </w:tcPr>
          <w:p w14:paraId="1A421B3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1 year</w:t>
            </w:r>
          </w:p>
        </w:tc>
        <w:tc>
          <w:tcPr>
            <w:tcW w:w="745" w:type="pct"/>
          </w:tcPr>
          <w:p w14:paraId="751A8F27" w14:textId="77777777" w:rsidR="00D83E33" w:rsidRPr="00EA10CF" w:rsidRDefault="00D83E33" w:rsidP="001B330E">
            <w:pPr>
              <w:widowControl w:val="0"/>
              <w:pBdr>
                <w:top w:val="nil"/>
                <w:left w:val="nil"/>
                <w:bottom w:val="nil"/>
                <w:right w:val="nil"/>
                <w:between w:val="nil"/>
              </w:pBdr>
              <w:jc w:val="right"/>
              <w:rPr>
                <w:color w:val="000000"/>
              </w:rPr>
            </w:pPr>
          </w:p>
        </w:tc>
        <w:tc>
          <w:tcPr>
            <w:tcW w:w="745" w:type="pct"/>
            <w:vAlign w:val="bottom"/>
          </w:tcPr>
          <w:p w14:paraId="16F2AF4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1CED1D3" w14:textId="77777777" w:rsidTr="001B330E">
        <w:trPr>
          <w:trHeight w:val="23"/>
        </w:trPr>
        <w:tc>
          <w:tcPr>
            <w:tcW w:w="3509" w:type="pct"/>
            <w:vAlign w:val="bottom"/>
          </w:tcPr>
          <w:p w14:paraId="2857407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2 year</w:t>
            </w:r>
          </w:p>
        </w:tc>
        <w:tc>
          <w:tcPr>
            <w:tcW w:w="745" w:type="pct"/>
          </w:tcPr>
          <w:p w14:paraId="3650F092" w14:textId="77777777" w:rsidR="00D83E33" w:rsidRPr="00EA10CF" w:rsidRDefault="00D83E33" w:rsidP="001B330E">
            <w:pPr>
              <w:widowControl w:val="0"/>
              <w:pBdr>
                <w:top w:val="nil"/>
                <w:left w:val="nil"/>
                <w:bottom w:val="nil"/>
                <w:right w:val="nil"/>
                <w:between w:val="nil"/>
              </w:pBdr>
              <w:jc w:val="right"/>
              <w:rPr>
                <w:color w:val="000000"/>
              </w:rPr>
            </w:pPr>
          </w:p>
        </w:tc>
        <w:tc>
          <w:tcPr>
            <w:tcW w:w="745" w:type="pct"/>
            <w:vAlign w:val="bottom"/>
          </w:tcPr>
          <w:p w14:paraId="5A29D4A0"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5F20417" w14:textId="77777777" w:rsidTr="001B330E">
        <w:trPr>
          <w:trHeight w:val="23"/>
        </w:trPr>
        <w:tc>
          <w:tcPr>
            <w:tcW w:w="3509" w:type="pct"/>
            <w:vAlign w:val="bottom"/>
          </w:tcPr>
          <w:p w14:paraId="46543B0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3 year</w:t>
            </w:r>
          </w:p>
        </w:tc>
        <w:tc>
          <w:tcPr>
            <w:tcW w:w="745" w:type="pct"/>
          </w:tcPr>
          <w:p w14:paraId="28688DC6" w14:textId="77777777" w:rsidR="00D83E33" w:rsidRPr="00EA10CF" w:rsidRDefault="00D83E33" w:rsidP="001B330E">
            <w:pPr>
              <w:widowControl w:val="0"/>
              <w:pBdr>
                <w:top w:val="nil"/>
                <w:left w:val="nil"/>
                <w:bottom w:val="nil"/>
                <w:right w:val="nil"/>
                <w:between w:val="nil"/>
              </w:pBdr>
              <w:jc w:val="right"/>
              <w:rPr>
                <w:color w:val="000000"/>
              </w:rPr>
            </w:pPr>
          </w:p>
        </w:tc>
        <w:tc>
          <w:tcPr>
            <w:tcW w:w="745" w:type="pct"/>
            <w:vAlign w:val="bottom"/>
          </w:tcPr>
          <w:p w14:paraId="4E13BAC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7766357" w14:textId="77777777" w:rsidTr="001B330E">
        <w:trPr>
          <w:trHeight w:val="23"/>
        </w:trPr>
        <w:tc>
          <w:tcPr>
            <w:tcW w:w="3509" w:type="pct"/>
            <w:vAlign w:val="bottom"/>
          </w:tcPr>
          <w:p w14:paraId="1093DA5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4 year</w:t>
            </w:r>
          </w:p>
        </w:tc>
        <w:tc>
          <w:tcPr>
            <w:tcW w:w="745" w:type="pct"/>
          </w:tcPr>
          <w:p w14:paraId="132C42B4" w14:textId="77777777" w:rsidR="00D83E33" w:rsidRPr="00EA10CF" w:rsidRDefault="00D83E33" w:rsidP="001B330E">
            <w:pPr>
              <w:widowControl w:val="0"/>
              <w:pBdr>
                <w:top w:val="nil"/>
                <w:left w:val="nil"/>
                <w:bottom w:val="nil"/>
                <w:right w:val="nil"/>
                <w:between w:val="nil"/>
              </w:pBdr>
              <w:jc w:val="right"/>
              <w:rPr>
                <w:color w:val="000000"/>
              </w:rPr>
            </w:pPr>
          </w:p>
        </w:tc>
        <w:tc>
          <w:tcPr>
            <w:tcW w:w="745" w:type="pct"/>
            <w:vAlign w:val="bottom"/>
          </w:tcPr>
          <w:p w14:paraId="2407B9F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DBFFD8B" w14:textId="77777777" w:rsidTr="001B330E">
        <w:trPr>
          <w:trHeight w:val="23"/>
        </w:trPr>
        <w:tc>
          <w:tcPr>
            <w:tcW w:w="3509" w:type="pct"/>
            <w:vAlign w:val="bottom"/>
          </w:tcPr>
          <w:p w14:paraId="73CDF14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5 year</w:t>
            </w:r>
          </w:p>
        </w:tc>
        <w:tc>
          <w:tcPr>
            <w:tcW w:w="745" w:type="pct"/>
          </w:tcPr>
          <w:p w14:paraId="3EAED1A4" w14:textId="77777777" w:rsidR="00D83E33" w:rsidRPr="00EA10CF" w:rsidRDefault="00D83E33" w:rsidP="001B330E">
            <w:pPr>
              <w:widowControl w:val="0"/>
              <w:pBdr>
                <w:top w:val="nil"/>
                <w:left w:val="nil"/>
                <w:bottom w:val="nil"/>
                <w:right w:val="nil"/>
                <w:between w:val="nil"/>
              </w:pBdr>
              <w:jc w:val="right"/>
              <w:rPr>
                <w:color w:val="000000"/>
              </w:rPr>
            </w:pPr>
          </w:p>
        </w:tc>
        <w:tc>
          <w:tcPr>
            <w:tcW w:w="745" w:type="pct"/>
            <w:vAlign w:val="bottom"/>
          </w:tcPr>
          <w:p w14:paraId="53AD631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14F8F4A" w14:textId="77777777" w:rsidTr="001B330E">
        <w:trPr>
          <w:trHeight w:val="23"/>
        </w:trPr>
        <w:tc>
          <w:tcPr>
            <w:tcW w:w="3509" w:type="pct"/>
            <w:vAlign w:val="bottom"/>
          </w:tcPr>
          <w:p w14:paraId="096E853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Later than 5 years</w:t>
            </w:r>
          </w:p>
        </w:tc>
        <w:tc>
          <w:tcPr>
            <w:tcW w:w="745" w:type="pct"/>
          </w:tcPr>
          <w:p w14:paraId="6FF8EF35" w14:textId="77777777" w:rsidR="00D83E33" w:rsidRPr="00EA10CF" w:rsidRDefault="00D83E33" w:rsidP="001B330E">
            <w:pPr>
              <w:widowControl w:val="0"/>
              <w:pBdr>
                <w:top w:val="nil"/>
                <w:left w:val="nil"/>
                <w:bottom w:val="nil"/>
                <w:right w:val="nil"/>
                <w:between w:val="nil"/>
              </w:pBdr>
              <w:jc w:val="right"/>
              <w:rPr>
                <w:color w:val="000000"/>
              </w:rPr>
            </w:pPr>
          </w:p>
        </w:tc>
        <w:tc>
          <w:tcPr>
            <w:tcW w:w="745" w:type="pct"/>
            <w:vAlign w:val="bottom"/>
          </w:tcPr>
          <w:p w14:paraId="3BFDC3D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3858170" w14:textId="77777777" w:rsidTr="001B330E">
        <w:trPr>
          <w:trHeight w:val="23"/>
        </w:trPr>
        <w:tc>
          <w:tcPr>
            <w:tcW w:w="3509" w:type="pct"/>
            <w:tcBorders>
              <w:bottom w:val="single" w:sz="4" w:space="0" w:color="000000"/>
            </w:tcBorders>
            <w:vAlign w:val="bottom"/>
          </w:tcPr>
          <w:p w14:paraId="3438BE7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745" w:type="pct"/>
            <w:tcBorders>
              <w:bottom w:val="single" w:sz="4" w:space="0" w:color="000000"/>
            </w:tcBorders>
          </w:tcPr>
          <w:p w14:paraId="7FF06226" w14:textId="77777777" w:rsidR="00D83E33" w:rsidRPr="00EA10CF" w:rsidRDefault="00D83E33" w:rsidP="001B330E">
            <w:pPr>
              <w:widowControl w:val="0"/>
              <w:pBdr>
                <w:top w:val="nil"/>
                <w:left w:val="nil"/>
                <w:bottom w:val="nil"/>
                <w:right w:val="nil"/>
                <w:between w:val="nil"/>
              </w:pBdr>
              <w:jc w:val="right"/>
              <w:rPr>
                <w:color w:val="000000"/>
              </w:rPr>
            </w:pPr>
          </w:p>
        </w:tc>
        <w:tc>
          <w:tcPr>
            <w:tcW w:w="745" w:type="pct"/>
            <w:tcBorders>
              <w:bottom w:val="single" w:sz="4" w:space="0" w:color="000000"/>
            </w:tcBorders>
            <w:vAlign w:val="bottom"/>
          </w:tcPr>
          <w:p w14:paraId="43F25A7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4F51BAB" w14:textId="77777777" w:rsidTr="001B330E">
        <w:trPr>
          <w:trHeight w:val="23"/>
        </w:trPr>
        <w:tc>
          <w:tcPr>
            <w:tcW w:w="3509" w:type="pct"/>
            <w:vAlign w:val="bottom"/>
          </w:tcPr>
          <w:p w14:paraId="73C38957" w14:textId="77777777" w:rsidR="00D83E33" w:rsidRPr="00EA10CF" w:rsidRDefault="00BC4072" w:rsidP="001B330E">
            <w:pPr>
              <w:widowControl w:val="0"/>
              <w:ind w:left="113" w:hanging="113"/>
            </w:pPr>
            <w:r w:rsidRPr="00EA10CF">
              <w:rPr>
                <w:b/>
              </w:rPr>
              <w:t> </w:t>
            </w:r>
          </w:p>
        </w:tc>
        <w:tc>
          <w:tcPr>
            <w:tcW w:w="745" w:type="pct"/>
          </w:tcPr>
          <w:p w14:paraId="2F78BEC6" w14:textId="77777777" w:rsidR="00D83E33" w:rsidRPr="00EA10CF" w:rsidRDefault="00D83E33" w:rsidP="001B330E">
            <w:pPr>
              <w:widowControl w:val="0"/>
              <w:pBdr>
                <w:top w:val="nil"/>
                <w:left w:val="nil"/>
                <w:bottom w:val="nil"/>
                <w:right w:val="nil"/>
                <w:between w:val="nil"/>
              </w:pBdr>
              <w:jc w:val="right"/>
              <w:rPr>
                <w:b/>
                <w:color w:val="000000"/>
              </w:rPr>
            </w:pPr>
          </w:p>
        </w:tc>
        <w:tc>
          <w:tcPr>
            <w:tcW w:w="745" w:type="pct"/>
            <w:vAlign w:val="bottom"/>
          </w:tcPr>
          <w:p w14:paraId="463B889F"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F895613" w14:textId="77777777" w:rsidTr="001B330E">
        <w:trPr>
          <w:trHeight w:val="23"/>
        </w:trPr>
        <w:tc>
          <w:tcPr>
            <w:tcW w:w="3509" w:type="pct"/>
            <w:vAlign w:val="bottom"/>
          </w:tcPr>
          <w:p w14:paraId="7A335C23" w14:textId="38A0371F"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undiscontinued future operating lease payments receivable at 31</w:t>
            </w:r>
            <w:r w:rsidR="00181687">
              <w:rPr>
                <w:b/>
                <w:color w:val="000000"/>
              </w:rPr>
              <w:t> December </w:t>
            </w:r>
          </w:p>
        </w:tc>
        <w:tc>
          <w:tcPr>
            <w:tcW w:w="745" w:type="pct"/>
          </w:tcPr>
          <w:p w14:paraId="1F62B602" w14:textId="77777777" w:rsidR="00D83E33" w:rsidRPr="00EA10CF" w:rsidRDefault="00D83E33" w:rsidP="001B330E">
            <w:pPr>
              <w:widowControl w:val="0"/>
              <w:pBdr>
                <w:top w:val="nil"/>
                <w:left w:val="nil"/>
                <w:bottom w:val="nil"/>
                <w:right w:val="nil"/>
                <w:between w:val="nil"/>
              </w:pBdr>
              <w:jc w:val="right"/>
              <w:rPr>
                <w:b/>
                <w:color w:val="000000"/>
              </w:rPr>
            </w:pPr>
          </w:p>
        </w:tc>
        <w:tc>
          <w:tcPr>
            <w:tcW w:w="745" w:type="pct"/>
            <w:vAlign w:val="bottom"/>
          </w:tcPr>
          <w:p w14:paraId="28ED37FB"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7D102F5" w14:textId="77777777" w:rsidTr="001B330E">
        <w:trPr>
          <w:trHeight w:val="23"/>
        </w:trPr>
        <w:tc>
          <w:tcPr>
            <w:tcW w:w="3509" w:type="pct"/>
            <w:tcBorders>
              <w:bottom w:val="single" w:sz="12" w:space="0" w:color="000000"/>
            </w:tcBorders>
            <w:vAlign w:val="bottom"/>
          </w:tcPr>
          <w:p w14:paraId="42B7F217" w14:textId="77777777" w:rsidR="00D83E33" w:rsidRPr="00EA10CF" w:rsidRDefault="00D83E33" w:rsidP="001B330E">
            <w:pPr>
              <w:widowControl w:val="0"/>
              <w:ind w:left="113" w:hanging="113"/>
              <w:rPr>
                <w:b/>
              </w:rPr>
            </w:pPr>
          </w:p>
        </w:tc>
        <w:tc>
          <w:tcPr>
            <w:tcW w:w="745" w:type="pct"/>
            <w:tcBorders>
              <w:bottom w:val="single" w:sz="12" w:space="0" w:color="000000"/>
            </w:tcBorders>
          </w:tcPr>
          <w:p w14:paraId="25CF385F" w14:textId="77777777" w:rsidR="00D83E33" w:rsidRPr="00EA10CF" w:rsidRDefault="00D83E33" w:rsidP="001B330E">
            <w:pPr>
              <w:widowControl w:val="0"/>
              <w:pBdr>
                <w:top w:val="nil"/>
                <w:left w:val="nil"/>
                <w:bottom w:val="nil"/>
                <w:right w:val="nil"/>
                <w:between w:val="nil"/>
              </w:pBdr>
              <w:jc w:val="right"/>
              <w:rPr>
                <w:b/>
                <w:color w:val="000000"/>
              </w:rPr>
            </w:pPr>
          </w:p>
        </w:tc>
        <w:tc>
          <w:tcPr>
            <w:tcW w:w="745" w:type="pct"/>
            <w:tcBorders>
              <w:bottom w:val="single" w:sz="12" w:space="0" w:color="000000"/>
            </w:tcBorders>
            <w:vAlign w:val="bottom"/>
          </w:tcPr>
          <w:p w14:paraId="19B24A17" w14:textId="77777777" w:rsidR="00D83E33" w:rsidRPr="00EA10CF" w:rsidRDefault="00D83E33" w:rsidP="001B330E">
            <w:pPr>
              <w:widowControl w:val="0"/>
              <w:pBdr>
                <w:top w:val="nil"/>
                <w:left w:val="nil"/>
                <w:bottom w:val="nil"/>
                <w:right w:val="nil"/>
                <w:between w:val="nil"/>
              </w:pBdr>
              <w:jc w:val="right"/>
              <w:rPr>
                <w:b/>
                <w:color w:val="000000"/>
              </w:rPr>
            </w:pPr>
          </w:p>
        </w:tc>
      </w:tr>
    </w:tbl>
    <w:p w14:paraId="586B7075" w14:textId="497ABC19"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Rental income from equipment was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including </w:t>
      </w:r>
      <w:r w:rsidR="00D73799">
        <w:rPr>
          <w:color w:val="000000"/>
          <w:sz w:val="20"/>
          <w:szCs w:val="20"/>
        </w:rPr>
        <w:t>EUR</w:t>
      </w:r>
      <w:r>
        <w:rPr>
          <w:color w:val="000000"/>
          <w:sz w:val="20"/>
          <w:szCs w:val="20"/>
        </w:rPr>
        <w:t>___ thousand of income relating to variable lease payments that do not depend on an index or a rate.</w:t>
      </w:r>
    </w:p>
    <w:p w14:paraId="2CC61138"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FF"/>
          <w:sz w:val="20"/>
          <w:szCs w:val="20"/>
        </w:rPr>
        <w:t>[The lease agreements do not impose any covenants other than the security interests in the leased assets that are held by the Group. Leased assets may not be used by a lessee as collateral for borrowings.]</w:t>
      </w:r>
      <w:r>
        <w:rPr>
          <w:color w:val="000000"/>
          <w:sz w:val="20"/>
          <w:szCs w:val="20"/>
        </w:rPr>
        <w:t xml:space="preserve"> </w:t>
      </w:r>
    </w:p>
    <w:p w14:paraId="458F6D95" w14:textId="048EF13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Total contingent payments receivable recognised as income in </w:t>
      </w:r>
      <w:r w:rsidR="00541EBC">
        <w:rPr>
          <w:color w:val="000000"/>
          <w:sz w:val="20"/>
          <w:szCs w:val="20"/>
        </w:rPr>
        <w:t>2023</w:t>
      </w:r>
      <w:r>
        <w:rPr>
          <w:color w:val="000000"/>
          <w:sz w:val="20"/>
          <w:szCs w:val="20"/>
        </w:rPr>
        <w:t xml:space="preserve"> under the Group’s non-cancellable operating leases of equipment were </w:t>
      </w:r>
      <w:r w:rsidR="00D73799">
        <w:rPr>
          <w:color w:val="000000"/>
          <w:sz w:val="20"/>
          <w:szCs w:val="20"/>
        </w:rPr>
        <w:t>EUR</w:t>
      </w:r>
      <w:r>
        <w:rPr>
          <w:color w:val="000000"/>
          <w:sz w:val="20"/>
          <w:szCs w:val="20"/>
        </w:rPr>
        <w:t xml:space="preserve"> _____ thousand. </w:t>
      </w:r>
    </w:p>
    <w:p w14:paraId="75531D06" w14:textId="7AC86E32"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capitalised borrowing costs of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relating to the construction of own premises. The capitalisation rate was __ % p.a.</w:t>
      </w:r>
    </w:p>
    <w:p w14:paraId="108D7082" w14:textId="6B377589"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Construction in progress consists </w:t>
      </w:r>
      <w:r>
        <w:rPr>
          <w:color w:val="0000FF"/>
          <w:sz w:val="20"/>
          <w:szCs w:val="20"/>
        </w:rPr>
        <w:t>[mainly]</w:t>
      </w:r>
      <w:r>
        <w:rPr>
          <w:color w:val="000000"/>
          <w:sz w:val="20"/>
          <w:szCs w:val="20"/>
        </w:rPr>
        <w:t xml:space="preserve"> of construction and refurbishment of branch premises </w:t>
      </w:r>
      <w:r>
        <w:rPr>
          <w:color w:val="0000FF"/>
          <w:sz w:val="20"/>
          <w:szCs w:val="20"/>
        </w:rPr>
        <w:t>[and equipment]</w:t>
      </w:r>
      <w:r>
        <w:rPr>
          <w:color w:val="000000"/>
          <w:sz w:val="20"/>
          <w:szCs w:val="20"/>
        </w:rPr>
        <w:t xml:space="preserve">. Upon completion, assets are transferred to premises and equipment. [Additions to construction in progress include capitalised borrowing costs of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 thousand). The capitalisation rate was _____ % (</w:t>
      </w:r>
      <w:r w:rsidR="00541EBC">
        <w:rPr>
          <w:color w:val="000000"/>
          <w:sz w:val="20"/>
          <w:szCs w:val="20"/>
        </w:rPr>
        <w:t>2023</w:t>
      </w:r>
      <w:r>
        <w:rPr>
          <w:color w:val="000000"/>
          <w:sz w:val="20"/>
          <w:szCs w:val="20"/>
        </w:rPr>
        <w:t xml:space="preserve">: _____ %).] </w:t>
      </w:r>
    </w:p>
    <w:p w14:paraId="24B2D9F3" w14:textId="77777777" w:rsidR="002A5F5D" w:rsidRDefault="002A5F5D" w:rsidP="002A5F5D">
      <w:pPr>
        <w:pStyle w:val="Continued"/>
      </w:pPr>
      <w:r>
        <w:lastRenderedPageBreak/>
        <w:t>18</w:t>
      </w:r>
      <w:r>
        <w:tab/>
        <w:t>Premises, Equipment and Intangible Assets (Continued)</w:t>
      </w:r>
    </w:p>
    <w:p w14:paraId="1D21F27C" w14:textId="0BB2E4A4"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Premises have been revalued at fair value at __________ </w:t>
      </w:r>
      <w:r w:rsidR="00541EBC">
        <w:rPr>
          <w:color w:val="000000"/>
          <w:sz w:val="20"/>
          <w:szCs w:val="20"/>
        </w:rPr>
        <w:t>2024</w:t>
      </w:r>
      <w:r>
        <w:rPr>
          <w:color w:val="000000"/>
          <w:sz w:val="20"/>
          <w:szCs w:val="20"/>
        </w:rPr>
        <w:t xml:space="preserve">. The valuation was carried out by an independent firm of valuers, __________, who hold a recognised and relevant professional qualification and who have recent experience in the valuation of assets in similar locations and in a similar category. The basis used for the appraisal was </w:t>
      </w:r>
      <w:r>
        <w:rPr>
          <w:color w:val="0000FF"/>
          <w:sz w:val="20"/>
          <w:szCs w:val="20"/>
        </w:rPr>
        <w:t>[replacement cost, market value, discounted cash flow, etc.]</w:t>
      </w:r>
      <w:r>
        <w:rPr>
          <w:color w:val="000000"/>
          <w:sz w:val="20"/>
          <w:szCs w:val="20"/>
        </w:rPr>
        <w:t xml:space="preserve"> Fair values were estimated using appropriate valuation techniques and using the following assumptions: </w:t>
      </w:r>
      <w:r>
        <w:rPr>
          <w:i/>
          <w:color w:val="FF0000"/>
          <w:sz w:val="20"/>
          <w:szCs w:val="20"/>
        </w:rPr>
        <w:t>[</w:t>
      </w:r>
      <w:r w:rsidR="00456FF5">
        <w:rPr>
          <w:i/>
          <w:color w:val="FF0000"/>
          <w:sz w:val="20"/>
          <w:szCs w:val="20"/>
        </w:rPr>
        <w:t>Tailor to s</w:t>
      </w:r>
      <w:r>
        <w:rPr>
          <w:i/>
          <w:color w:val="FF0000"/>
          <w:sz w:val="20"/>
          <w:szCs w:val="20"/>
        </w:rPr>
        <w:t>tate here assumptions]</w:t>
      </w:r>
      <w:r>
        <w:rPr>
          <w:color w:val="000000"/>
          <w:sz w:val="20"/>
          <w:szCs w:val="20"/>
        </w:rPr>
        <w:t xml:space="preserve">. </w:t>
      </w:r>
    </w:p>
    <w:p w14:paraId="3A604EEC" w14:textId="0143D697"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the carrying amount of premises would have been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 thousand) had the assets been carried at cost less depreciation. The amount reconciles to the carrying value of the premises as follows:</w:t>
      </w:r>
    </w:p>
    <w:tbl>
      <w:tblPr>
        <w:tblStyle w:val="affffffffff9"/>
        <w:tblW w:w="5000" w:type="pct"/>
        <w:tblLayout w:type="fixed"/>
        <w:tblLook w:val="0000" w:firstRow="0" w:lastRow="0" w:firstColumn="0" w:lastColumn="0" w:noHBand="0" w:noVBand="0"/>
      </w:tblPr>
      <w:tblGrid>
        <w:gridCol w:w="6295"/>
        <w:gridCol w:w="1530"/>
        <w:gridCol w:w="1530"/>
      </w:tblGrid>
      <w:tr w:rsidR="00D83E33" w:rsidRPr="00EA10CF" w14:paraId="711050F1" w14:textId="77777777" w:rsidTr="001B330E">
        <w:trPr>
          <w:trHeight w:val="23"/>
        </w:trPr>
        <w:tc>
          <w:tcPr>
            <w:tcW w:w="3364" w:type="pct"/>
            <w:tcBorders>
              <w:bottom w:val="single" w:sz="4" w:space="0" w:color="000000"/>
            </w:tcBorders>
            <w:vAlign w:val="bottom"/>
          </w:tcPr>
          <w:p w14:paraId="1BC07F57" w14:textId="14718583"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18" w:type="pct"/>
            <w:tcBorders>
              <w:bottom w:val="single" w:sz="4" w:space="0" w:color="000000"/>
            </w:tcBorders>
            <w:vAlign w:val="bottom"/>
          </w:tcPr>
          <w:p w14:paraId="6C3228D4" w14:textId="0C599DA2" w:rsidR="00B36E8E" w:rsidRDefault="00BC4072">
            <w:pPr>
              <w:widowControl w:val="0"/>
              <w:pBdr>
                <w:top w:val="nil"/>
                <w:left w:val="nil"/>
                <w:bottom w:val="nil"/>
                <w:right w:val="nil"/>
                <w:between w:val="nil"/>
              </w:pBdr>
              <w:jc w:val="right"/>
              <w:rPr>
                <w:b/>
                <w:color w:val="000000"/>
              </w:rPr>
            </w:pPr>
            <w:r w:rsidRPr="00EA10CF">
              <w:rPr>
                <w:b/>
                <w:color w:val="000000"/>
              </w:rPr>
              <w:t>31</w:t>
            </w:r>
            <w:r w:rsidR="00181687">
              <w:rPr>
                <w:b/>
                <w:color w:val="000000"/>
              </w:rPr>
              <w:t> December</w:t>
            </w:r>
          </w:p>
          <w:p w14:paraId="42E1EAA5" w14:textId="228C219E"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03C319AB" w14:textId="6500FA55" w:rsidR="00B36E8E" w:rsidRDefault="00BC4072">
            <w:pPr>
              <w:widowControl w:val="0"/>
              <w:pBdr>
                <w:top w:val="nil"/>
                <w:left w:val="nil"/>
                <w:bottom w:val="nil"/>
                <w:right w:val="nil"/>
                <w:between w:val="nil"/>
              </w:pBdr>
              <w:jc w:val="right"/>
              <w:rPr>
                <w:b/>
                <w:color w:val="000000"/>
              </w:rPr>
            </w:pPr>
            <w:r w:rsidRPr="00EA10CF">
              <w:rPr>
                <w:b/>
                <w:color w:val="000000"/>
              </w:rPr>
              <w:t>31</w:t>
            </w:r>
            <w:r w:rsidR="00181687">
              <w:rPr>
                <w:b/>
                <w:color w:val="000000"/>
              </w:rPr>
              <w:t> December</w:t>
            </w:r>
          </w:p>
          <w:p w14:paraId="6FF3A510" w14:textId="74F27E2B"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2028DA60" w14:textId="77777777" w:rsidTr="001B330E">
        <w:trPr>
          <w:trHeight w:val="23"/>
        </w:trPr>
        <w:tc>
          <w:tcPr>
            <w:tcW w:w="3364" w:type="pct"/>
            <w:vAlign w:val="bottom"/>
          </w:tcPr>
          <w:p w14:paraId="19FE30C1"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818" w:type="pct"/>
            <w:vAlign w:val="bottom"/>
          </w:tcPr>
          <w:p w14:paraId="47A111B0"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093061E9"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AF04250" w14:textId="77777777" w:rsidTr="001B330E">
        <w:trPr>
          <w:trHeight w:val="23"/>
        </w:trPr>
        <w:tc>
          <w:tcPr>
            <w:tcW w:w="3364" w:type="pct"/>
            <w:vAlign w:val="bottom"/>
          </w:tcPr>
          <w:p w14:paraId="5A4E473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Premises at revalued amount in the statement of financial position</w:t>
            </w:r>
          </w:p>
        </w:tc>
        <w:tc>
          <w:tcPr>
            <w:tcW w:w="818" w:type="pct"/>
            <w:vAlign w:val="bottom"/>
          </w:tcPr>
          <w:p w14:paraId="080F585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FBB992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BC4C0F2" w14:textId="77777777" w:rsidTr="001B330E">
        <w:trPr>
          <w:trHeight w:val="23"/>
        </w:trPr>
        <w:tc>
          <w:tcPr>
            <w:tcW w:w="3364" w:type="pct"/>
            <w:vAlign w:val="bottom"/>
          </w:tcPr>
          <w:p w14:paraId="1E2CF7A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Revaluation reserve presented in equity, net of tax</w:t>
            </w:r>
          </w:p>
        </w:tc>
        <w:tc>
          <w:tcPr>
            <w:tcW w:w="818" w:type="pct"/>
            <w:vAlign w:val="bottom"/>
          </w:tcPr>
          <w:p w14:paraId="3E251CB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0CBF6B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13CD29A" w14:textId="77777777" w:rsidTr="001B330E">
        <w:trPr>
          <w:trHeight w:val="23"/>
        </w:trPr>
        <w:tc>
          <w:tcPr>
            <w:tcW w:w="3364" w:type="pct"/>
            <w:vAlign w:val="bottom"/>
          </w:tcPr>
          <w:p w14:paraId="662ABE0E"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[Difference between accumulated depreciation based on cost and based on revalued amount not yet transferred to retained earnings]</w:t>
            </w:r>
          </w:p>
        </w:tc>
        <w:tc>
          <w:tcPr>
            <w:tcW w:w="818" w:type="pct"/>
            <w:vAlign w:val="bottom"/>
          </w:tcPr>
          <w:p w14:paraId="10CA1D7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4DA2EA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87C32C4" w14:textId="77777777" w:rsidTr="001B330E">
        <w:trPr>
          <w:trHeight w:val="23"/>
        </w:trPr>
        <w:tc>
          <w:tcPr>
            <w:tcW w:w="3364" w:type="pct"/>
            <w:vAlign w:val="bottom"/>
          </w:tcPr>
          <w:p w14:paraId="0568232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Deferred tax on revaluation (Note 36)</w:t>
            </w:r>
          </w:p>
        </w:tc>
        <w:tc>
          <w:tcPr>
            <w:tcW w:w="818" w:type="pct"/>
            <w:vAlign w:val="bottom"/>
          </w:tcPr>
          <w:p w14:paraId="071A6F4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C2AFEC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85D060A" w14:textId="77777777" w:rsidTr="001B330E">
        <w:trPr>
          <w:trHeight w:val="23"/>
        </w:trPr>
        <w:tc>
          <w:tcPr>
            <w:tcW w:w="3364" w:type="pct"/>
            <w:tcBorders>
              <w:bottom w:val="single" w:sz="4" w:space="0" w:color="000000"/>
            </w:tcBorders>
            <w:vAlign w:val="bottom"/>
          </w:tcPr>
          <w:p w14:paraId="0FB45E5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818" w:type="pct"/>
            <w:tcBorders>
              <w:bottom w:val="single" w:sz="4" w:space="0" w:color="000000"/>
            </w:tcBorders>
            <w:vAlign w:val="bottom"/>
          </w:tcPr>
          <w:p w14:paraId="159356D2"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5076606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DF12428" w14:textId="77777777" w:rsidTr="001B330E">
        <w:trPr>
          <w:trHeight w:val="23"/>
        </w:trPr>
        <w:tc>
          <w:tcPr>
            <w:tcW w:w="3364" w:type="pct"/>
            <w:tcBorders>
              <w:top w:val="single" w:sz="4" w:space="0" w:color="000000"/>
            </w:tcBorders>
            <w:vAlign w:val="bottom"/>
          </w:tcPr>
          <w:p w14:paraId="53BD976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818" w:type="pct"/>
            <w:tcBorders>
              <w:top w:val="single" w:sz="4" w:space="0" w:color="000000"/>
            </w:tcBorders>
            <w:vAlign w:val="bottom"/>
          </w:tcPr>
          <w:p w14:paraId="2B674316"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33855A9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6D581F4" w14:textId="77777777" w:rsidTr="001B330E">
        <w:trPr>
          <w:trHeight w:val="23"/>
        </w:trPr>
        <w:tc>
          <w:tcPr>
            <w:tcW w:w="3364" w:type="pct"/>
            <w:vAlign w:val="bottom"/>
          </w:tcPr>
          <w:p w14:paraId="4704C91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Premises at cost less accumulated depreciation</w:t>
            </w:r>
          </w:p>
        </w:tc>
        <w:tc>
          <w:tcPr>
            <w:tcW w:w="818" w:type="pct"/>
            <w:vAlign w:val="bottom"/>
          </w:tcPr>
          <w:p w14:paraId="1DA2E719"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0D8873F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EF1BB6A" w14:textId="77777777" w:rsidTr="001B330E">
        <w:trPr>
          <w:trHeight w:val="23"/>
        </w:trPr>
        <w:tc>
          <w:tcPr>
            <w:tcW w:w="3364" w:type="pct"/>
            <w:tcBorders>
              <w:bottom w:val="single" w:sz="12" w:space="0" w:color="000000"/>
            </w:tcBorders>
            <w:vAlign w:val="bottom"/>
          </w:tcPr>
          <w:p w14:paraId="07E7427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818" w:type="pct"/>
            <w:tcBorders>
              <w:bottom w:val="single" w:sz="12" w:space="0" w:color="000000"/>
            </w:tcBorders>
            <w:vAlign w:val="bottom"/>
          </w:tcPr>
          <w:p w14:paraId="4DED7405"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12" w:space="0" w:color="000000"/>
            </w:tcBorders>
            <w:vAlign w:val="bottom"/>
          </w:tcPr>
          <w:p w14:paraId="2988C4C6" w14:textId="77777777" w:rsidR="00D83E33" w:rsidRPr="00EA10CF" w:rsidRDefault="00D83E33">
            <w:pPr>
              <w:widowControl w:val="0"/>
              <w:pBdr>
                <w:top w:val="nil"/>
                <w:left w:val="nil"/>
                <w:bottom w:val="nil"/>
                <w:right w:val="nil"/>
                <w:between w:val="nil"/>
              </w:pBdr>
              <w:jc w:val="right"/>
              <w:rPr>
                <w:color w:val="000000"/>
              </w:rPr>
            </w:pPr>
          </w:p>
        </w:tc>
      </w:tr>
    </w:tbl>
    <w:p w14:paraId="1AAFC965" w14:textId="68FA1475" w:rsidR="00D83E33" w:rsidRDefault="00BC4072" w:rsidP="00513139">
      <w:pPr>
        <w:widowControl w:val="0"/>
        <w:pBdr>
          <w:top w:val="nil"/>
          <w:left w:val="nil"/>
          <w:bottom w:val="nil"/>
          <w:right w:val="nil"/>
          <w:between w:val="nil"/>
        </w:pBdr>
        <w:spacing w:before="200" w:after="200"/>
        <w:jc w:val="both"/>
        <w:rPr>
          <w:i/>
          <w:color w:val="FF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premises </w:t>
      </w:r>
      <w:r>
        <w:rPr>
          <w:color w:val="0000FF"/>
          <w:sz w:val="20"/>
          <w:szCs w:val="20"/>
        </w:rPr>
        <w:t>[and equipment]</w:t>
      </w:r>
      <w:r>
        <w:rPr>
          <w:color w:val="000000"/>
          <w:sz w:val="20"/>
          <w:szCs w:val="20"/>
        </w:rPr>
        <w:t xml:space="preserve"> carried at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have been pledged to third parties as collateral with respect to </w:t>
      </w:r>
      <w:r>
        <w:rPr>
          <w:color w:val="0000FF"/>
          <w:sz w:val="20"/>
          <w:szCs w:val="20"/>
        </w:rPr>
        <w:t>[other borrowed funds].</w:t>
      </w:r>
      <w:r>
        <w:rPr>
          <w:color w:val="000000"/>
          <w:sz w:val="20"/>
          <w:szCs w:val="20"/>
        </w:rPr>
        <w:t xml:space="preserve"> Refer to Note </w:t>
      </w:r>
      <w:r>
        <w:rPr>
          <w:color w:val="0000FF"/>
          <w:sz w:val="20"/>
          <w:szCs w:val="20"/>
        </w:rPr>
        <w:t>[24].</w:t>
      </w:r>
      <w:r>
        <w:rPr>
          <w:color w:val="000000"/>
          <w:sz w:val="20"/>
          <w:szCs w:val="20"/>
        </w:rPr>
        <w:t xml:space="preserve"> </w:t>
      </w:r>
      <w:r>
        <w:rPr>
          <w:i/>
          <w:color w:val="FF0000"/>
          <w:sz w:val="20"/>
          <w:szCs w:val="20"/>
        </w:rPr>
        <w:t>[</w:t>
      </w:r>
      <w:r w:rsidR="00456FF5">
        <w:rPr>
          <w:i/>
          <w:color w:val="FF0000"/>
          <w:sz w:val="20"/>
          <w:szCs w:val="20"/>
        </w:rPr>
        <w:t>Tailor to d</w:t>
      </w:r>
      <w:r>
        <w:rPr>
          <w:i/>
          <w:color w:val="FF0000"/>
          <w:sz w:val="20"/>
          <w:szCs w:val="20"/>
        </w:rPr>
        <w:t>isclose amount of intangible assets whose title is restricted, if any.]</w:t>
      </w:r>
    </w:p>
    <w:p w14:paraId="1B976B9B" w14:textId="5CEFC523" w:rsidR="006C5889" w:rsidRPr="00372E26" w:rsidRDefault="006C5889" w:rsidP="00513139">
      <w:pPr>
        <w:widowControl w:val="0"/>
        <w:pBdr>
          <w:top w:val="nil"/>
          <w:left w:val="nil"/>
          <w:bottom w:val="nil"/>
          <w:right w:val="nil"/>
          <w:between w:val="nil"/>
        </w:pBdr>
        <w:spacing w:before="200" w:after="200"/>
        <w:jc w:val="both"/>
        <w:rPr>
          <w:i/>
          <w:color w:val="FF0000"/>
          <w:sz w:val="20"/>
          <w:szCs w:val="20"/>
        </w:rPr>
      </w:pPr>
      <w:r>
        <w:rPr>
          <w:i/>
          <w:color w:val="FF0000"/>
          <w:sz w:val="20"/>
          <w:szCs w:val="20"/>
        </w:rPr>
        <w:t>[</w:t>
      </w:r>
      <w:r w:rsidRPr="00726511">
        <w:rPr>
          <w:i/>
          <w:color w:val="FF0000"/>
          <w:sz w:val="20"/>
          <w:szCs w:val="20"/>
        </w:rPr>
        <w:t xml:space="preserve">Provide the description, carrying amount and remaining amortisation period of any individual intangible asset that is material to the financial statements as a whole.] </w:t>
      </w:r>
      <w:r w:rsidRPr="00726511">
        <w:rPr>
          <w:i/>
          <w:color w:val="0000FF"/>
          <w:sz w:val="20"/>
          <w:szCs w:val="20"/>
        </w:rPr>
        <w:t xml:space="preserve">[Impairment losses were recognised as a result of the credit loss test described in Note </w:t>
      </w:r>
      <w:hyperlink w:anchor="_heading=h.3as4poj">
        <w:r w:rsidRPr="00726511">
          <w:rPr>
            <w:i/>
            <w:color w:val="0000FF"/>
            <w:sz w:val="20"/>
            <w:szCs w:val="20"/>
            <w:u w:val="single"/>
          </w:rPr>
          <w:t>17</w:t>
        </w:r>
      </w:hyperlink>
      <w:r w:rsidRPr="00726511">
        <w:rPr>
          <w:i/>
          <w:color w:val="0000FF"/>
          <w:sz w:val="20"/>
          <w:szCs w:val="20"/>
        </w:rPr>
        <w:t>.]</w:t>
      </w:r>
      <w:r w:rsidRPr="00372E26">
        <w:rPr>
          <w:i/>
          <w:color w:val="FF0000"/>
          <w:sz w:val="20"/>
          <w:szCs w:val="20"/>
        </w:rPr>
        <w:t xml:space="preserve"> </w:t>
      </w:r>
    </w:p>
    <w:p w14:paraId="7444A153" w14:textId="4E82A646" w:rsidR="00726511" w:rsidRDefault="00726511" w:rsidP="006C5889">
      <w:pPr>
        <w:widowControl w:val="0"/>
        <w:pBdr>
          <w:top w:val="nil"/>
          <w:left w:val="nil"/>
          <w:bottom w:val="nil"/>
          <w:right w:val="nil"/>
          <w:between w:val="nil"/>
        </w:pBdr>
        <w:spacing w:before="200" w:after="200"/>
        <w:jc w:val="both"/>
        <w:rPr>
          <w:i/>
          <w:color w:val="FF0000"/>
          <w:sz w:val="20"/>
          <w:szCs w:val="20"/>
        </w:rPr>
      </w:pPr>
    </w:p>
    <w:p w14:paraId="708DB6A5" w14:textId="673DBF83" w:rsidR="00E03E99" w:rsidRDefault="00E03E99" w:rsidP="002A5F5D">
      <w:pPr>
        <w:pStyle w:val="Heading1"/>
        <w:pageBreakBefore/>
        <w:ind w:left="431" w:hanging="431"/>
      </w:pPr>
      <w:bookmarkStart w:id="54" w:name="_Toc83818315"/>
      <w:bookmarkStart w:id="55" w:name="_Toc83913954"/>
      <w:bookmarkStart w:id="56" w:name="_Toc83917420"/>
      <w:bookmarkStart w:id="57" w:name="_Toc83818316"/>
      <w:bookmarkStart w:id="58" w:name="_Toc83913955"/>
      <w:bookmarkStart w:id="59" w:name="_Toc83917421"/>
      <w:bookmarkStart w:id="60" w:name="_Toc179196021"/>
      <w:bookmarkEnd w:id="54"/>
      <w:bookmarkEnd w:id="55"/>
      <w:bookmarkEnd w:id="56"/>
      <w:bookmarkEnd w:id="57"/>
      <w:bookmarkEnd w:id="58"/>
      <w:bookmarkEnd w:id="59"/>
      <w:r>
        <w:lastRenderedPageBreak/>
        <w:t>Right-of-use Assets and Lease Liabilities</w:t>
      </w:r>
      <w:bookmarkEnd w:id="60"/>
      <w:r>
        <w:t xml:space="preserve"> </w:t>
      </w:r>
    </w:p>
    <w:p w14:paraId="3EA030F0" w14:textId="77777777" w:rsidR="00510A4B" w:rsidRDefault="00510A4B" w:rsidP="00510A4B">
      <w:pPr>
        <w:spacing w:before="200" w:after="200"/>
        <w:jc w:val="both"/>
        <w:rPr>
          <w:sz w:val="20"/>
          <w:szCs w:val="20"/>
        </w:rPr>
      </w:pPr>
      <w:r>
        <w:rPr>
          <w:sz w:val="20"/>
          <w:szCs w:val="20"/>
        </w:rPr>
        <w:t xml:space="preserve">The Group leases various </w:t>
      </w:r>
      <w:r>
        <w:rPr>
          <w:color w:val="0000FF"/>
          <w:sz w:val="20"/>
          <w:szCs w:val="20"/>
        </w:rPr>
        <w:t>[offices, equipment, vehicles and land]</w:t>
      </w:r>
      <w:r>
        <w:rPr>
          <w:sz w:val="20"/>
          <w:szCs w:val="20"/>
        </w:rPr>
        <w:t xml:space="preserve">. Rental contracts are typically made for fixed periods of </w:t>
      </w:r>
      <w:r>
        <w:rPr>
          <w:color w:val="0000FF"/>
          <w:sz w:val="20"/>
          <w:szCs w:val="20"/>
        </w:rPr>
        <w:t>[6 months to 8 years, but may have extension options as described below]</w:t>
      </w:r>
      <w:r>
        <w:rPr>
          <w:sz w:val="20"/>
          <w:szCs w:val="20"/>
        </w:rPr>
        <w:t xml:space="preserve">. </w:t>
      </w:r>
    </w:p>
    <w:p w14:paraId="22823291" w14:textId="77777777" w:rsidR="00510A4B" w:rsidRDefault="00510A4B" w:rsidP="00510A4B">
      <w:pPr>
        <w:spacing w:before="200" w:after="200"/>
        <w:jc w:val="both"/>
        <w:rPr>
          <w:sz w:val="20"/>
          <w:szCs w:val="20"/>
        </w:rPr>
      </w:pPr>
      <w:r>
        <w:rPr>
          <w:sz w:val="20"/>
          <w:szCs w:val="20"/>
        </w:rPr>
        <w:t xml:space="preserve">All leases are recognised as a right-of-use asset and a corresponding liability from the date when the leased asset becomes available for use by the Group. </w:t>
      </w:r>
    </w:p>
    <w:p w14:paraId="0B7FBFE3" w14:textId="3E584C03" w:rsidR="00D83E33" w:rsidRDefault="00BC4072">
      <w:pPr>
        <w:spacing w:before="200" w:after="200"/>
        <w:jc w:val="both"/>
        <w:rPr>
          <w:sz w:val="20"/>
          <w:szCs w:val="20"/>
        </w:rPr>
      </w:pPr>
      <w:r>
        <w:rPr>
          <w:sz w:val="20"/>
          <w:szCs w:val="20"/>
        </w:rPr>
        <w:t>The right of use assets by class of underlying items is analysed as follows:</w:t>
      </w:r>
    </w:p>
    <w:tbl>
      <w:tblPr>
        <w:tblStyle w:val="affffffffffa"/>
        <w:tblW w:w="5000" w:type="pct"/>
        <w:tblLayout w:type="fixed"/>
        <w:tblLook w:val="0000" w:firstRow="0" w:lastRow="0" w:firstColumn="0" w:lastColumn="0" w:noHBand="0" w:noVBand="0"/>
      </w:tblPr>
      <w:tblGrid>
        <w:gridCol w:w="2175"/>
        <w:gridCol w:w="579"/>
        <w:gridCol w:w="1100"/>
        <w:gridCol w:w="1100"/>
        <w:gridCol w:w="1282"/>
        <w:gridCol w:w="994"/>
        <w:gridCol w:w="1025"/>
        <w:gridCol w:w="1100"/>
      </w:tblGrid>
      <w:tr w:rsidR="00D83E33" w:rsidRPr="00EA10CF" w14:paraId="01EC27B2" w14:textId="77777777" w:rsidTr="00372E26">
        <w:trPr>
          <w:trHeight w:val="23"/>
        </w:trPr>
        <w:tc>
          <w:tcPr>
            <w:tcW w:w="1162" w:type="pct"/>
            <w:tcBorders>
              <w:bottom w:val="single" w:sz="4" w:space="0" w:color="000000"/>
            </w:tcBorders>
            <w:vAlign w:val="bottom"/>
          </w:tcPr>
          <w:p w14:paraId="3EF111E0" w14:textId="1E46FAD8"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09" w:type="pct"/>
            <w:tcBorders>
              <w:bottom w:val="single" w:sz="4" w:space="0" w:color="000000"/>
            </w:tcBorders>
            <w:vAlign w:val="bottom"/>
          </w:tcPr>
          <w:p w14:paraId="414790DF" w14:textId="77777777" w:rsidR="00D83E33" w:rsidRPr="00EA10CF" w:rsidRDefault="00BC4072">
            <w:pPr>
              <w:widowControl w:val="0"/>
              <w:pBdr>
                <w:top w:val="nil"/>
                <w:left w:val="nil"/>
                <w:bottom w:val="nil"/>
                <w:right w:val="nil"/>
                <w:between w:val="nil"/>
              </w:pBdr>
              <w:ind w:left="-57" w:right="-57"/>
              <w:jc w:val="center"/>
              <w:rPr>
                <w:b/>
                <w:color w:val="000000"/>
              </w:rPr>
            </w:pPr>
            <w:r w:rsidRPr="00EA10CF">
              <w:rPr>
                <w:b/>
                <w:color w:val="000000"/>
              </w:rPr>
              <w:t>Note</w:t>
            </w:r>
          </w:p>
        </w:tc>
        <w:tc>
          <w:tcPr>
            <w:tcW w:w="588" w:type="pct"/>
            <w:tcBorders>
              <w:bottom w:val="single" w:sz="4" w:space="0" w:color="000000"/>
            </w:tcBorders>
          </w:tcPr>
          <w:p w14:paraId="718D9453"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Land</w:t>
            </w:r>
          </w:p>
        </w:tc>
        <w:tc>
          <w:tcPr>
            <w:tcW w:w="588" w:type="pct"/>
            <w:tcBorders>
              <w:bottom w:val="single" w:sz="4" w:space="0" w:color="000000"/>
            </w:tcBorders>
          </w:tcPr>
          <w:p w14:paraId="5F8021C5"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Buildings</w:t>
            </w:r>
          </w:p>
        </w:tc>
        <w:tc>
          <w:tcPr>
            <w:tcW w:w="685" w:type="pct"/>
            <w:tcBorders>
              <w:bottom w:val="single" w:sz="4" w:space="0" w:color="000000"/>
            </w:tcBorders>
          </w:tcPr>
          <w:p w14:paraId="519C78E1"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Equipment</w:t>
            </w:r>
          </w:p>
        </w:tc>
        <w:tc>
          <w:tcPr>
            <w:tcW w:w="531" w:type="pct"/>
            <w:tcBorders>
              <w:bottom w:val="single" w:sz="4" w:space="0" w:color="000000"/>
            </w:tcBorders>
          </w:tcPr>
          <w:p w14:paraId="7AD6224E"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Vehicles</w:t>
            </w:r>
          </w:p>
        </w:tc>
        <w:tc>
          <w:tcPr>
            <w:tcW w:w="548" w:type="pct"/>
            <w:tcBorders>
              <w:bottom w:val="single" w:sz="4" w:space="0" w:color="000000"/>
            </w:tcBorders>
          </w:tcPr>
          <w:p w14:paraId="03EF10FC"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Other</w:t>
            </w:r>
          </w:p>
        </w:tc>
        <w:tc>
          <w:tcPr>
            <w:tcW w:w="588" w:type="pct"/>
            <w:tcBorders>
              <w:bottom w:val="single" w:sz="4" w:space="0" w:color="000000"/>
            </w:tcBorders>
          </w:tcPr>
          <w:p w14:paraId="056B56C3"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Total</w:t>
            </w:r>
          </w:p>
        </w:tc>
      </w:tr>
      <w:tr w:rsidR="00D83E33" w:rsidRPr="00EA10CF" w14:paraId="219F9102" w14:textId="77777777" w:rsidTr="00372E26">
        <w:trPr>
          <w:trHeight w:val="23"/>
        </w:trPr>
        <w:tc>
          <w:tcPr>
            <w:tcW w:w="1162" w:type="pct"/>
            <w:vAlign w:val="bottom"/>
          </w:tcPr>
          <w:p w14:paraId="5BBB9B9F"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w:t>
            </w:r>
          </w:p>
        </w:tc>
        <w:tc>
          <w:tcPr>
            <w:tcW w:w="309" w:type="pct"/>
            <w:vAlign w:val="bottom"/>
          </w:tcPr>
          <w:p w14:paraId="474E194D"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1A2D7717" w14:textId="77777777" w:rsidR="00D83E33" w:rsidRPr="00EA10CF" w:rsidRDefault="00D83E33">
            <w:pPr>
              <w:widowControl w:val="0"/>
              <w:pBdr>
                <w:top w:val="nil"/>
                <w:left w:val="nil"/>
                <w:bottom w:val="nil"/>
                <w:right w:val="nil"/>
                <w:between w:val="nil"/>
              </w:pBdr>
              <w:jc w:val="right"/>
              <w:rPr>
                <w:b/>
                <w:color w:val="000000"/>
              </w:rPr>
            </w:pPr>
          </w:p>
        </w:tc>
        <w:tc>
          <w:tcPr>
            <w:tcW w:w="588" w:type="pct"/>
            <w:vAlign w:val="bottom"/>
          </w:tcPr>
          <w:p w14:paraId="5D3E7835" w14:textId="77777777" w:rsidR="00D83E33" w:rsidRPr="00EA10CF" w:rsidRDefault="00D83E33">
            <w:pPr>
              <w:widowControl w:val="0"/>
              <w:pBdr>
                <w:top w:val="nil"/>
                <w:left w:val="nil"/>
                <w:bottom w:val="nil"/>
                <w:right w:val="nil"/>
                <w:between w:val="nil"/>
              </w:pBdr>
              <w:jc w:val="right"/>
              <w:rPr>
                <w:b/>
                <w:color w:val="000000"/>
              </w:rPr>
            </w:pPr>
          </w:p>
        </w:tc>
        <w:tc>
          <w:tcPr>
            <w:tcW w:w="685" w:type="pct"/>
            <w:vAlign w:val="bottom"/>
          </w:tcPr>
          <w:p w14:paraId="409674B4" w14:textId="77777777" w:rsidR="00D83E33" w:rsidRPr="00EA10CF" w:rsidRDefault="00D83E33">
            <w:pPr>
              <w:widowControl w:val="0"/>
              <w:pBdr>
                <w:top w:val="nil"/>
                <w:left w:val="nil"/>
                <w:bottom w:val="nil"/>
                <w:right w:val="nil"/>
                <w:between w:val="nil"/>
              </w:pBdr>
              <w:jc w:val="right"/>
              <w:rPr>
                <w:b/>
                <w:color w:val="000000"/>
              </w:rPr>
            </w:pPr>
          </w:p>
        </w:tc>
        <w:tc>
          <w:tcPr>
            <w:tcW w:w="531" w:type="pct"/>
            <w:vAlign w:val="bottom"/>
          </w:tcPr>
          <w:p w14:paraId="6707E2FF" w14:textId="77777777" w:rsidR="00D83E33" w:rsidRPr="00EA10CF" w:rsidRDefault="00D83E33">
            <w:pPr>
              <w:widowControl w:val="0"/>
              <w:pBdr>
                <w:top w:val="nil"/>
                <w:left w:val="nil"/>
                <w:bottom w:val="nil"/>
                <w:right w:val="nil"/>
                <w:between w:val="nil"/>
              </w:pBdr>
              <w:jc w:val="right"/>
              <w:rPr>
                <w:b/>
                <w:color w:val="000000"/>
              </w:rPr>
            </w:pPr>
          </w:p>
        </w:tc>
        <w:tc>
          <w:tcPr>
            <w:tcW w:w="548" w:type="pct"/>
            <w:vAlign w:val="bottom"/>
          </w:tcPr>
          <w:p w14:paraId="349C4706" w14:textId="77777777" w:rsidR="00D83E33" w:rsidRPr="00EA10CF" w:rsidRDefault="00D83E33">
            <w:pPr>
              <w:widowControl w:val="0"/>
              <w:pBdr>
                <w:top w:val="nil"/>
                <w:left w:val="nil"/>
                <w:bottom w:val="nil"/>
                <w:right w:val="nil"/>
                <w:between w:val="nil"/>
              </w:pBdr>
              <w:jc w:val="right"/>
              <w:rPr>
                <w:b/>
                <w:color w:val="000000"/>
              </w:rPr>
            </w:pPr>
          </w:p>
        </w:tc>
        <w:tc>
          <w:tcPr>
            <w:tcW w:w="588" w:type="pct"/>
            <w:vAlign w:val="bottom"/>
          </w:tcPr>
          <w:p w14:paraId="6A5D8AB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E3FA78D" w14:textId="77777777" w:rsidTr="00372E26">
        <w:trPr>
          <w:trHeight w:val="23"/>
        </w:trPr>
        <w:tc>
          <w:tcPr>
            <w:tcW w:w="1162" w:type="pct"/>
            <w:vAlign w:val="bottom"/>
          </w:tcPr>
          <w:p w14:paraId="018ABD3E" w14:textId="75E18CC9"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Carrying amount at 1 January </w:t>
            </w:r>
            <w:r w:rsidR="00541EBC">
              <w:rPr>
                <w:b/>
                <w:color w:val="000000"/>
              </w:rPr>
              <w:t>2023</w:t>
            </w:r>
          </w:p>
        </w:tc>
        <w:tc>
          <w:tcPr>
            <w:tcW w:w="309" w:type="pct"/>
            <w:vAlign w:val="bottom"/>
          </w:tcPr>
          <w:p w14:paraId="428A99E3" w14:textId="77777777" w:rsidR="00D83E33" w:rsidRPr="00EA10CF" w:rsidRDefault="00D83E33" w:rsidP="001B330E">
            <w:pPr>
              <w:widowControl w:val="0"/>
              <w:pBdr>
                <w:top w:val="nil"/>
                <w:left w:val="nil"/>
                <w:bottom w:val="nil"/>
                <w:right w:val="nil"/>
                <w:between w:val="nil"/>
              </w:pBdr>
              <w:jc w:val="center"/>
              <w:rPr>
                <w:b/>
                <w:color w:val="000000"/>
              </w:rPr>
            </w:pPr>
          </w:p>
        </w:tc>
        <w:tc>
          <w:tcPr>
            <w:tcW w:w="588" w:type="pct"/>
          </w:tcPr>
          <w:p w14:paraId="5A3E734E" w14:textId="77777777" w:rsidR="00D83E33" w:rsidRPr="00EA10CF" w:rsidRDefault="00D83E33">
            <w:pPr>
              <w:widowControl w:val="0"/>
              <w:pBdr>
                <w:top w:val="nil"/>
                <w:left w:val="nil"/>
                <w:bottom w:val="nil"/>
                <w:right w:val="nil"/>
                <w:between w:val="nil"/>
              </w:pBdr>
              <w:jc w:val="right"/>
              <w:rPr>
                <w:b/>
                <w:color w:val="000000"/>
              </w:rPr>
            </w:pPr>
          </w:p>
        </w:tc>
        <w:tc>
          <w:tcPr>
            <w:tcW w:w="588" w:type="pct"/>
            <w:vAlign w:val="bottom"/>
          </w:tcPr>
          <w:p w14:paraId="28DA5479" w14:textId="77777777" w:rsidR="00D83E33" w:rsidRPr="00EA10CF" w:rsidRDefault="00D83E33">
            <w:pPr>
              <w:widowControl w:val="0"/>
              <w:pBdr>
                <w:top w:val="nil"/>
                <w:left w:val="nil"/>
                <w:bottom w:val="nil"/>
                <w:right w:val="nil"/>
                <w:between w:val="nil"/>
              </w:pBdr>
              <w:jc w:val="right"/>
              <w:rPr>
                <w:b/>
                <w:color w:val="000000"/>
              </w:rPr>
            </w:pPr>
          </w:p>
        </w:tc>
        <w:tc>
          <w:tcPr>
            <w:tcW w:w="685" w:type="pct"/>
            <w:vAlign w:val="bottom"/>
          </w:tcPr>
          <w:p w14:paraId="5AE77754" w14:textId="77777777" w:rsidR="00D83E33" w:rsidRPr="00EA10CF" w:rsidRDefault="00D83E33">
            <w:pPr>
              <w:widowControl w:val="0"/>
              <w:pBdr>
                <w:top w:val="nil"/>
                <w:left w:val="nil"/>
                <w:bottom w:val="nil"/>
                <w:right w:val="nil"/>
                <w:between w:val="nil"/>
              </w:pBdr>
              <w:jc w:val="right"/>
              <w:rPr>
                <w:b/>
                <w:color w:val="000000"/>
              </w:rPr>
            </w:pPr>
          </w:p>
        </w:tc>
        <w:tc>
          <w:tcPr>
            <w:tcW w:w="531" w:type="pct"/>
            <w:vAlign w:val="bottom"/>
          </w:tcPr>
          <w:p w14:paraId="7CD9B564" w14:textId="77777777" w:rsidR="00D83E33" w:rsidRPr="00EA10CF" w:rsidRDefault="00D83E33">
            <w:pPr>
              <w:widowControl w:val="0"/>
              <w:pBdr>
                <w:top w:val="nil"/>
                <w:left w:val="nil"/>
                <w:bottom w:val="nil"/>
                <w:right w:val="nil"/>
                <w:between w:val="nil"/>
              </w:pBdr>
              <w:jc w:val="right"/>
              <w:rPr>
                <w:b/>
                <w:color w:val="000000"/>
              </w:rPr>
            </w:pPr>
          </w:p>
        </w:tc>
        <w:tc>
          <w:tcPr>
            <w:tcW w:w="548" w:type="pct"/>
            <w:vAlign w:val="bottom"/>
          </w:tcPr>
          <w:p w14:paraId="4710C267" w14:textId="77777777" w:rsidR="00D83E33" w:rsidRPr="00EA10CF" w:rsidRDefault="00D83E33">
            <w:pPr>
              <w:widowControl w:val="0"/>
              <w:pBdr>
                <w:top w:val="nil"/>
                <w:left w:val="nil"/>
                <w:bottom w:val="nil"/>
                <w:right w:val="nil"/>
                <w:between w:val="nil"/>
              </w:pBdr>
              <w:jc w:val="right"/>
              <w:rPr>
                <w:b/>
                <w:color w:val="000000"/>
              </w:rPr>
            </w:pPr>
          </w:p>
        </w:tc>
        <w:tc>
          <w:tcPr>
            <w:tcW w:w="588" w:type="pct"/>
            <w:vAlign w:val="bottom"/>
          </w:tcPr>
          <w:p w14:paraId="68FEB3AB"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3F0B5C9" w14:textId="77777777" w:rsidTr="00372E26">
        <w:trPr>
          <w:trHeight w:val="23"/>
        </w:trPr>
        <w:tc>
          <w:tcPr>
            <w:tcW w:w="1162" w:type="pct"/>
            <w:tcBorders>
              <w:bottom w:val="single" w:sz="4" w:space="0" w:color="000000"/>
            </w:tcBorders>
            <w:shd w:val="clear" w:color="auto" w:fill="auto"/>
            <w:vAlign w:val="bottom"/>
          </w:tcPr>
          <w:p w14:paraId="3B0B8C70"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w:t>
            </w:r>
          </w:p>
        </w:tc>
        <w:tc>
          <w:tcPr>
            <w:tcW w:w="309" w:type="pct"/>
            <w:tcBorders>
              <w:bottom w:val="single" w:sz="4" w:space="0" w:color="000000"/>
            </w:tcBorders>
            <w:shd w:val="clear" w:color="auto" w:fill="auto"/>
            <w:vAlign w:val="bottom"/>
          </w:tcPr>
          <w:p w14:paraId="451771B7"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Borders>
              <w:bottom w:val="single" w:sz="4" w:space="0" w:color="000000"/>
            </w:tcBorders>
          </w:tcPr>
          <w:p w14:paraId="2F7248D5" w14:textId="77777777" w:rsidR="00D83E33" w:rsidRPr="00EA10CF" w:rsidRDefault="00D83E33">
            <w:pPr>
              <w:widowControl w:val="0"/>
              <w:pBdr>
                <w:top w:val="nil"/>
                <w:left w:val="nil"/>
                <w:bottom w:val="nil"/>
                <w:right w:val="nil"/>
                <w:between w:val="nil"/>
              </w:pBdr>
              <w:jc w:val="right"/>
              <w:rPr>
                <w:b/>
                <w:color w:val="000000"/>
              </w:rPr>
            </w:pPr>
          </w:p>
        </w:tc>
        <w:tc>
          <w:tcPr>
            <w:tcW w:w="588" w:type="pct"/>
            <w:tcBorders>
              <w:bottom w:val="single" w:sz="4" w:space="0" w:color="000000"/>
            </w:tcBorders>
            <w:shd w:val="clear" w:color="auto" w:fill="auto"/>
            <w:vAlign w:val="bottom"/>
          </w:tcPr>
          <w:p w14:paraId="4E60D491" w14:textId="77777777" w:rsidR="00D83E33" w:rsidRPr="00EA10CF" w:rsidRDefault="00D83E33">
            <w:pPr>
              <w:widowControl w:val="0"/>
              <w:pBdr>
                <w:top w:val="nil"/>
                <w:left w:val="nil"/>
                <w:bottom w:val="nil"/>
                <w:right w:val="nil"/>
                <w:between w:val="nil"/>
              </w:pBdr>
              <w:jc w:val="right"/>
              <w:rPr>
                <w:b/>
                <w:color w:val="000000"/>
              </w:rPr>
            </w:pPr>
          </w:p>
        </w:tc>
        <w:tc>
          <w:tcPr>
            <w:tcW w:w="685" w:type="pct"/>
            <w:tcBorders>
              <w:bottom w:val="single" w:sz="4" w:space="0" w:color="000000"/>
            </w:tcBorders>
            <w:shd w:val="clear" w:color="auto" w:fill="auto"/>
            <w:vAlign w:val="bottom"/>
          </w:tcPr>
          <w:p w14:paraId="73C79990" w14:textId="77777777" w:rsidR="00D83E33" w:rsidRPr="00EA10CF" w:rsidRDefault="00D83E33">
            <w:pPr>
              <w:widowControl w:val="0"/>
              <w:pBdr>
                <w:top w:val="nil"/>
                <w:left w:val="nil"/>
                <w:bottom w:val="nil"/>
                <w:right w:val="nil"/>
                <w:between w:val="nil"/>
              </w:pBdr>
              <w:jc w:val="right"/>
              <w:rPr>
                <w:b/>
                <w:color w:val="000000"/>
              </w:rPr>
            </w:pPr>
          </w:p>
        </w:tc>
        <w:tc>
          <w:tcPr>
            <w:tcW w:w="531" w:type="pct"/>
            <w:tcBorders>
              <w:bottom w:val="single" w:sz="4" w:space="0" w:color="000000"/>
            </w:tcBorders>
            <w:shd w:val="clear" w:color="auto" w:fill="auto"/>
            <w:vAlign w:val="bottom"/>
          </w:tcPr>
          <w:p w14:paraId="4B5B0FD0" w14:textId="77777777" w:rsidR="00D83E33" w:rsidRPr="00EA10CF" w:rsidRDefault="00D83E33">
            <w:pPr>
              <w:widowControl w:val="0"/>
              <w:pBdr>
                <w:top w:val="nil"/>
                <w:left w:val="nil"/>
                <w:bottom w:val="nil"/>
                <w:right w:val="nil"/>
                <w:between w:val="nil"/>
              </w:pBdr>
              <w:jc w:val="right"/>
              <w:rPr>
                <w:b/>
                <w:color w:val="000000"/>
              </w:rPr>
            </w:pPr>
          </w:p>
        </w:tc>
        <w:tc>
          <w:tcPr>
            <w:tcW w:w="548" w:type="pct"/>
            <w:tcBorders>
              <w:bottom w:val="single" w:sz="4" w:space="0" w:color="000000"/>
            </w:tcBorders>
            <w:vAlign w:val="bottom"/>
          </w:tcPr>
          <w:p w14:paraId="7F7A8AFB" w14:textId="77777777" w:rsidR="00D83E33" w:rsidRPr="00EA10CF" w:rsidRDefault="00D83E33">
            <w:pPr>
              <w:widowControl w:val="0"/>
              <w:pBdr>
                <w:top w:val="nil"/>
                <w:left w:val="nil"/>
                <w:bottom w:val="nil"/>
                <w:right w:val="nil"/>
                <w:between w:val="nil"/>
              </w:pBdr>
              <w:jc w:val="right"/>
              <w:rPr>
                <w:b/>
                <w:color w:val="000000"/>
              </w:rPr>
            </w:pPr>
          </w:p>
        </w:tc>
        <w:tc>
          <w:tcPr>
            <w:tcW w:w="588" w:type="pct"/>
            <w:tcBorders>
              <w:bottom w:val="single" w:sz="4" w:space="0" w:color="000000"/>
            </w:tcBorders>
            <w:shd w:val="clear" w:color="auto" w:fill="auto"/>
            <w:vAlign w:val="bottom"/>
          </w:tcPr>
          <w:p w14:paraId="1B32B90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232A63D" w14:textId="77777777" w:rsidTr="00372E26">
        <w:trPr>
          <w:trHeight w:val="23"/>
        </w:trPr>
        <w:tc>
          <w:tcPr>
            <w:tcW w:w="1162" w:type="pct"/>
            <w:tcBorders>
              <w:top w:val="single" w:sz="4" w:space="0" w:color="000000"/>
            </w:tcBorders>
            <w:vAlign w:val="bottom"/>
          </w:tcPr>
          <w:p w14:paraId="447A7FA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w:t>
            </w:r>
          </w:p>
        </w:tc>
        <w:tc>
          <w:tcPr>
            <w:tcW w:w="309" w:type="pct"/>
            <w:tcBorders>
              <w:top w:val="single" w:sz="4" w:space="0" w:color="000000"/>
            </w:tcBorders>
            <w:vAlign w:val="bottom"/>
          </w:tcPr>
          <w:p w14:paraId="2A7F8315"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Borders>
              <w:top w:val="single" w:sz="4" w:space="0" w:color="000000"/>
            </w:tcBorders>
          </w:tcPr>
          <w:p w14:paraId="78D4818F"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top w:val="single" w:sz="4" w:space="0" w:color="000000"/>
            </w:tcBorders>
            <w:vAlign w:val="bottom"/>
          </w:tcPr>
          <w:p w14:paraId="0B7B4F5A" w14:textId="77777777" w:rsidR="00D83E33" w:rsidRPr="00EA10CF" w:rsidRDefault="00D83E33">
            <w:pPr>
              <w:widowControl w:val="0"/>
              <w:pBdr>
                <w:top w:val="nil"/>
                <w:left w:val="nil"/>
                <w:bottom w:val="nil"/>
                <w:right w:val="nil"/>
                <w:between w:val="nil"/>
              </w:pBdr>
              <w:jc w:val="right"/>
              <w:rPr>
                <w:color w:val="000000"/>
              </w:rPr>
            </w:pPr>
          </w:p>
        </w:tc>
        <w:tc>
          <w:tcPr>
            <w:tcW w:w="685" w:type="pct"/>
            <w:tcBorders>
              <w:top w:val="single" w:sz="4" w:space="0" w:color="000000"/>
            </w:tcBorders>
            <w:vAlign w:val="bottom"/>
          </w:tcPr>
          <w:p w14:paraId="149FE1AD" w14:textId="77777777" w:rsidR="00D83E33" w:rsidRPr="00EA10CF" w:rsidRDefault="00D83E33">
            <w:pPr>
              <w:widowControl w:val="0"/>
              <w:pBdr>
                <w:top w:val="nil"/>
                <w:left w:val="nil"/>
                <w:bottom w:val="nil"/>
                <w:right w:val="nil"/>
                <w:between w:val="nil"/>
              </w:pBdr>
              <w:jc w:val="right"/>
              <w:rPr>
                <w:color w:val="000000"/>
              </w:rPr>
            </w:pPr>
          </w:p>
        </w:tc>
        <w:tc>
          <w:tcPr>
            <w:tcW w:w="531" w:type="pct"/>
            <w:tcBorders>
              <w:top w:val="single" w:sz="4" w:space="0" w:color="000000"/>
            </w:tcBorders>
            <w:vAlign w:val="bottom"/>
          </w:tcPr>
          <w:p w14:paraId="54A1633E" w14:textId="77777777" w:rsidR="00D83E33" w:rsidRPr="00EA10CF" w:rsidRDefault="00D83E33">
            <w:pPr>
              <w:widowControl w:val="0"/>
              <w:pBdr>
                <w:top w:val="nil"/>
                <w:left w:val="nil"/>
                <w:bottom w:val="nil"/>
                <w:right w:val="nil"/>
                <w:between w:val="nil"/>
              </w:pBdr>
              <w:jc w:val="right"/>
              <w:rPr>
                <w:color w:val="000000"/>
              </w:rPr>
            </w:pPr>
          </w:p>
        </w:tc>
        <w:tc>
          <w:tcPr>
            <w:tcW w:w="548" w:type="pct"/>
            <w:tcBorders>
              <w:top w:val="single" w:sz="4" w:space="0" w:color="000000"/>
            </w:tcBorders>
            <w:vAlign w:val="bottom"/>
          </w:tcPr>
          <w:p w14:paraId="4E69209B"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top w:val="single" w:sz="4" w:space="0" w:color="000000"/>
            </w:tcBorders>
            <w:vAlign w:val="bottom"/>
          </w:tcPr>
          <w:p w14:paraId="3214C76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93D9B01" w14:textId="77777777" w:rsidTr="00372E26">
        <w:trPr>
          <w:trHeight w:val="23"/>
        </w:trPr>
        <w:tc>
          <w:tcPr>
            <w:tcW w:w="1162" w:type="pct"/>
            <w:vAlign w:val="bottom"/>
          </w:tcPr>
          <w:p w14:paraId="4C205A9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Additions</w:t>
            </w:r>
          </w:p>
        </w:tc>
        <w:tc>
          <w:tcPr>
            <w:tcW w:w="309" w:type="pct"/>
            <w:vAlign w:val="bottom"/>
          </w:tcPr>
          <w:p w14:paraId="1040F475"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26EEE18E"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354FCF24" w14:textId="77777777" w:rsidR="00D83E33" w:rsidRPr="00EA10CF" w:rsidRDefault="00D83E33">
            <w:pPr>
              <w:widowControl w:val="0"/>
              <w:pBdr>
                <w:top w:val="nil"/>
                <w:left w:val="nil"/>
                <w:bottom w:val="nil"/>
                <w:right w:val="nil"/>
                <w:between w:val="nil"/>
              </w:pBdr>
              <w:jc w:val="right"/>
              <w:rPr>
                <w:color w:val="000000"/>
              </w:rPr>
            </w:pPr>
          </w:p>
        </w:tc>
        <w:tc>
          <w:tcPr>
            <w:tcW w:w="685" w:type="pct"/>
            <w:vAlign w:val="bottom"/>
          </w:tcPr>
          <w:p w14:paraId="51CA67A7" w14:textId="77777777" w:rsidR="00D83E33" w:rsidRPr="00EA10CF" w:rsidRDefault="00D83E33">
            <w:pPr>
              <w:widowControl w:val="0"/>
              <w:pBdr>
                <w:top w:val="nil"/>
                <w:left w:val="nil"/>
                <w:bottom w:val="nil"/>
                <w:right w:val="nil"/>
                <w:between w:val="nil"/>
              </w:pBdr>
              <w:jc w:val="right"/>
              <w:rPr>
                <w:color w:val="000000"/>
              </w:rPr>
            </w:pPr>
          </w:p>
        </w:tc>
        <w:tc>
          <w:tcPr>
            <w:tcW w:w="531" w:type="pct"/>
            <w:vAlign w:val="bottom"/>
          </w:tcPr>
          <w:p w14:paraId="5CF747C2"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1588D25E"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3CFB216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468DF54" w14:textId="77777777" w:rsidTr="00372E26">
        <w:trPr>
          <w:trHeight w:val="23"/>
        </w:trPr>
        <w:tc>
          <w:tcPr>
            <w:tcW w:w="1162" w:type="pct"/>
            <w:vAlign w:val="bottom"/>
          </w:tcPr>
          <w:p w14:paraId="1B70316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Disposals</w:t>
            </w:r>
          </w:p>
        </w:tc>
        <w:tc>
          <w:tcPr>
            <w:tcW w:w="309" w:type="pct"/>
            <w:vAlign w:val="bottom"/>
          </w:tcPr>
          <w:p w14:paraId="3A234309"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75CF8037"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3476B6EA" w14:textId="77777777" w:rsidR="00D83E33" w:rsidRPr="00EA10CF" w:rsidRDefault="00D83E33">
            <w:pPr>
              <w:widowControl w:val="0"/>
              <w:pBdr>
                <w:top w:val="nil"/>
                <w:left w:val="nil"/>
                <w:bottom w:val="nil"/>
                <w:right w:val="nil"/>
                <w:between w:val="nil"/>
              </w:pBdr>
              <w:jc w:val="right"/>
              <w:rPr>
                <w:color w:val="000000"/>
              </w:rPr>
            </w:pPr>
          </w:p>
        </w:tc>
        <w:tc>
          <w:tcPr>
            <w:tcW w:w="685" w:type="pct"/>
            <w:vAlign w:val="bottom"/>
          </w:tcPr>
          <w:p w14:paraId="49540F71" w14:textId="77777777" w:rsidR="00D83E33" w:rsidRPr="00EA10CF" w:rsidRDefault="00D83E33">
            <w:pPr>
              <w:widowControl w:val="0"/>
              <w:pBdr>
                <w:top w:val="nil"/>
                <w:left w:val="nil"/>
                <w:bottom w:val="nil"/>
                <w:right w:val="nil"/>
                <w:between w:val="nil"/>
              </w:pBdr>
              <w:jc w:val="right"/>
              <w:rPr>
                <w:color w:val="000000"/>
              </w:rPr>
            </w:pPr>
          </w:p>
        </w:tc>
        <w:tc>
          <w:tcPr>
            <w:tcW w:w="531" w:type="pct"/>
            <w:vAlign w:val="bottom"/>
          </w:tcPr>
          <w:p w14:paraId="38E13320"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32731AA2"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04D181B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4752D6" w14:textId="77777777" w:rsidTr="00372E26">
        <w:trPr>
          <w:trHeight w:val="23"/>
        </w:trPr>
        <w:tc>
          <w:tcPr>
            <w:tcW w:w="1162" w:type="pct"/>
            <w:vAlign w:val="bottom"/>
          </w:tcPr>
          <w:p w14:paraId="764C81A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Depreciation charge </w:t>
            </w:r>
          </w:p>
        </w:tc>
        <w:tc>
          <w:tcPr>
            <w:tcW w:w="309" w:type="pct"/>
            <w:vAlign w:val="bottom"/>
          </w:tcPr>
          <w:p w14:paraId="7017432D"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47790F42"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0A4B1ED6" w14:textId="77777777" w:rsidR="00D83E33" w:rsidRPr="00EA10CF" w:rsidRDefault="00D83E33">
            <w:pPr>
              <w:widowControl w:val="0"/>
              <w:pBdr>
                <w:top w:val="nil"/>
                <w:left w:val="nil"/>
                <w:bottom w:val="nil"/>
                <w:right w:val="nil"/>
                <w:between w:val="nil"/>
              </w:pBdr>
              <w:jc w:val="right"/>
              <w:rPr>
                <w:color w:val="000000"/>
              </w:rPr>
            </w:pPr>
          </w:p>
        </w:tc>
        <w:tc>
          <w:tcPr>
            <w:tcW w:w="685" w:type="pct"/>
            <w:vAlign w:val="bottom"/>
          </w:tcPr>
          <w:p w14:paraId="7EEAB2A2" w14:textId="77777777" w:rsidR="00D83E33" w:rsidRPr="00EA10CF" w:rsidRDefault="00D83E33">
            <w:pPr>
              <w:widowControl w:val="0"/>
              <w:pBdr>
                <w:top w:val="nil"/>
                <w:left w:val="nil"/>
                <w:bottom w:val="nil"/>
                <w:right w:val="nil"/>
                <w:between w:val="nil"/>
              </w:pBdr>
              <w:jc w:val="right"/>
              <w:rPr>
                <w:color w:val="000000"/>
              </w:rPr>
            </w:pPr>
          </w:p>
        </w:tc>
        <w:tc>
          <w:tcPr>
            <w:tcW w:w="531" w:type="pct"/>
            <w:vAlign w:val="bottom"/>
          </w:tcPr>
          <w:p w14:paraId="0CD3E837"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38804718"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2C3437A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8277069" w14:textId="77777777" w:rsidTr="00372E26">
        <w:trPr>
          <w:trHeight w:val="23"/>
        </w:trPr>
        <w:tc>
          <w:tcPr>
            <w:tcW w:w="1162" w:type="pct"/>
            <w:vAlign w:val="bottom"/>
          </w:tcPr>
          <w:p w14:paraId="4D41C7C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Impairment charge </w:t>
            </w:r>
          </w:p>
        </w:tc>
        <w:tc>
          <w:tcPr>
            <w:tcW w:w="309" w:type="pct"/>
            <w:vAlign w:val="bottom"/>
          </w:tcPr>
          <w:p w14:paraId="6F9A675F"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117CA34C"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759150C8" w14:textId="77777777" w:rsidR="00D83E33" w:rsidRPr="00EA10CF" w:rsidRDefault="00D83E33">
            <w:pPr>
              <w:widowControl w:val="0"/>
              <w:pBdr>
                <w:top w:val="nil"/>
                <w:left w:val="nil"/>
                <w:bottom w:val="nil"/>
                <w:right w:val="nil"/>
                <w:between w:val="nil"/>
              </w:pBdr>
              <w:jc w:val="right"/>
              <w:rPr>
                <w:color w:val="000000"/>
              </w:rPr>
            </w:pPr>
          </w:p>
        </w:tc>
        <w:tc>
          <w:tcPr>
            <w:tcW w:w="685" w:type="pct"/>
            <w:vAlign w:val="bottom"/>
          </w:tcPr>
          <w:p w14:paraId="62D4EF02" w14:textId="77777777" w:rsidR="00D83E33" w:rsidRPr="00EA10CF" w:rsidRDefault="00D83E33">
            <w:pPr>
              <w:widowControl w:val="0"/>
              <w:pBdr>
                <w:top w:val="nil"/>
                <w:left w:val="nil"/>
                <w:bottom w:val="nil"/>
                <w:right w:val="nil"/>
                <w:between w:val="nil"/>
              </w:pBdr>
              <w:jc w:val="right"/>
              <w:rPr>
                <w:color w:val="000000"/>
              </w:rPr>
            </w:pPr>
          </w:p>
        </w:tc>
        <w:tc>
          <w:tcPr>
            <w:tcW w:w="531" w:type="pct"/>
            <w:vAlign w:val="bottom"/>
          </w:tcPr>
          <w:p w14:paraId="1DE1FE5D"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01E7F913"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3B4B05B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257ACEA" w14:textId="77777777" w:rsidTr="00372E26">
        <w:trPr>
          <w:trHeight w:val="23"/>
        </w:trPr>
        <w:tc>
          <w:tcPr>
            <w:tcW w:w="1162" w:type="pct"/>
            <w:vAlign w:val="bottom"/>
          </w:tcPr>
          <w:p w14:paraId="2C1053B2"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[Effect of translation to presentation currency]</w:t>
            </w:r>
          </w:p>
        </w:tc>
        <w:tc>
          <w:tcPr>
            <w:tcW w:w="309" w:type="pct"/>
            <w:vAlign w:val="bottom"/>
          </w:tcPr>
          <w:p w14:paraId="0967AE8E"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69A03DB9"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436CCEA1" w14:textId="77777777" w:rsidR="00D83E33" w:rsidRPr="00EA10CF" w:rsidRDefault="00D83E33">
            <w:pPr>
              <w:widowControl w:val="0"/>
              <w:pBdr>
                <w:top w:val="nil"/>
                <w:left w:val="nil"/>
                <w:bottom w:val="nil"/>
                <w:right w:val="nil"/>
                <w:between w:val="nil"/>
              </w:pBdr>
              <w:jc w:val="right"/>
              <w:rPr>
                <w:color w:val="000000"/>
              </w:rPr>
            </w:pPr>
          </w:p>
        </w:tc>
        <w:tc>
          <w:tcPr>
            <w:tcW w:w="685" w:type="pct"/>
            <w:vAlign w:val="bottom"/>
          </w:tcPr>
          <w:p w14:paraId="403FC9F5" w14:textId="77777777" w:rsidR="00D83E33" w:rsidRPr="00EA10CF" w:rsidRDefault="00D83E33">
            <w:pPr>
              <w:widowControl w:val="0"/>
              <w:pBdr>
                <w:top w:val="nil"/>
                <w:left w:val="nil"/>
                <w:bottom w:val="nil"/>
                <w:right w:val="nil"/>
                <w:between w:val="nil"/>
              </w:pBdr>
              <w:jc w:val="right"/>
              <w:rPr>
                <w:color w:val="000000"/>
              </w:rPr>
            </w:pPr>
          </w:p>
        </w:tc>
        <w:tc>
          <w:tcPr>
            <w:tcW w:w="531" w:type="pct"/>
            <w:vAlign w:val="bottom"/>
          </w:tcPr>
          <w:p w14:paraId="6A33A32E"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5A07FA1F"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7F134C0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9E379C" w14:textId="77777777" w:rsidTr="00372E26">
        <w:trPr>
          <w:trHeight w:val="23"/>
        </w:trPr>
        <w:tc>
          <w:tcPr>
            <w:tcW w:w="1162" w:type="pct"/>
            <w:vAlign w:val="bottom"/>
          </w:tcPr>
          <w:p w14:paraId="18914BE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w:t>
            </w:r>
          </w:p>
        </w:tc>
        <w:tc>
          <w:tcPr>
            <w:tcW w:w="309" w:type="pct"/>
            <w:vAlign w:val="bottom"/>
          </w:tcPr>
          <w:p w14:paraId="19189310"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5ECE999D"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36E7FCD8" w14:textId="77777777" w:rsidR="00D83E33" w:rsidRPr="00EA10CF" w:rsidRDefault="00D83E33">
            <w:pPr>
              <w:widowControl w:val="0"/>
              <w:pBdr>
                <w:top w:val="nil"/>
                <w:left w:val="nil"/>
                <w:bottom w:val="nil"/>
                <w:right w:val="nil"/>
                <w:between w:val="nil"/>
              </w:pBdr>
              <w:jc w:val="right"/>
              <w:rPr>
                <w:color w:val="000000"/>
              </w:rPr>
            </w:pPr>
          </w:p>
        </w:tc>
        <w:tc>
          <w:tcPr>
            <w:tcW w:w="685" w:type="pct"/>
            <w:vAlign w:val="bottom"/>
          </w:tcPr>
          <w:p w14:paraId="7CDBB804" w14:textId="77777777" w:rsidR="00D83E33" w:rsidRPr="00EA10CF" w:rsidRDefault="00D83E33">
            <w:pPr>
              <w:widowControl w:val="0"/>
              <w:pBdr>
                <w:top w:val="nil"/>
                <w:left w:val="nil"/>
                <w:bottom w:val="nil"/>
                <w:right w:val="nil"/>
                <w:between w:val="nil"/>
              </w:pBdr>
              <w:jc w:val="right"/>
              <w:rPr>
                <w:color w:val="000000"/>
              </w:rPr>
            </w:pPr>
          </w:p>
        </w:tc>
        <w:tc>
          <w:tcPr>
            <w:tcW w:w="531" w:type="pct"/>
            <w:vAlign w:val="bottom"/>
          </w:tcPr>
          <w:p w14:paraId="142F7195"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7B252BFB"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5C1527A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C217E38" w14:textId="77777777" w:rsidTr="00372E26">
        <w:trPr>
          <w:trHeight w:val="23"/>
        </w:trPr>
        <w:tc>
          <w:tcPr>
            <w:tcW w:w="1162" w:type="pct"/>
            <w:tcBorders>
              <w:bottom w:val="single" w:sz="4" w:space="0" w:color="000000"/>
            </w:tcBorders>
            <w:vAlign w:val="bottom"/>
          </w:tcPr>
          <w:p w14:paraId="7AC839A1" w14:textId="60EDBE27" w:rsidR="00D83E33" w:rsidRPr="00EA10CF" w:rsidRDefault="00181687" w:rsidP="001B330E">
            <w:pPr>
              <w:widowControl w:val="0"/>
              <w:pBdr>
                <w:top w:val="nil"/>
                <w:left w:val="nil"/>
                <w:bottom w:val="nil"/>
                <w:right w:val="nil"/>
                <w:between w:val="nil"/>
              </w:pBdr>
              <w:ind w:left="113" w:hanging="113"/>
              <w:rPr>
                <w:b/>
                <w:color w:val="000000"/>
              </w:rPr>
            </w:pPr>
            <w:r>
              <w:rPr>
                <w:color w:val="000000"/>
              </w:rPr>
              <w:t xml:space="preserve"> </w:t>
            </w:r>
          </w:p>
        </w:tc>
        <w:tc>
          <w:tcPr>
            <w:tcW w:w="309" w:type="pct"/>
            <w:tcBorders>
              <w:bottom w:val="single" w:sz="4" w:space="0" w:color="000000"/>
            </w:tcBorders>
            <w:vAlign w:val="bottom"/>
          </w:tcPr>
          <w:p w14:paraId="6E57CD25"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Borders>
              <w:bottom w:val="single" w:sz="4" w:space="0" w:color="000000"/>
            </w:tcBorders>
          </w:tcPr>
          <w:p w14:paraId="396607CB"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bottom w:val="single" w:sz="4" w:space="0" w:color="000000"/>
            </w:tcBorders>
            <w:vAlign w:val="bottom"/>
          </w:tcPr>
          <w:p w14:paraId="1A45BA42" w14:textId="77777777" w:rsidR="00D83E33" w:rsidRPr="00EA10CF" w:rsidRDefault="00D83E33">
            <w:pPr>
              <w:widowControl w:val="0"/>
              <w:pBdr>
                <w:top w:val="nil"/>
                <w:left w:val="nil"/>
                <w:bottom w:val="nil"/>
                <w:right w:val="nil"/>
                <w:between w:val="nil"/>
              </w:pBdr>
              <w:jc w:val="right"/>
              <w:rPr>
                <w:color w:val="000000"/>
              </w:rPr>
            </w:pPr>
          </w:p>
        </w:tc>
        <w:tc>
          <w:tcPr>
            <w:tcW w:w="685" w:type="pct"/>
            <w:tcBorders>
              <w:bottom w:val="single" w:sz="4" w:space="0" w:color="000000"/>
            </w:tcBorders>
            <w:vAlign w:val="bottom"/>
          </w:tcPr>
          <w:p w14:paraId="000742B5" w14:textId="77777777" w:rsidR="00D83E33" w:rsidRPr="00EA10CF" w:rsidRDefault="00D83E33">
            <w:pPr>
              <w:widowControl w:val="0"/>
              <w:pBdr>
                <w:top w:val="nil"/>
                <w:left w:val="nil"/>
                <w:bottom w:val="nil"/>
                <w:right w:val="nil"/>
                <w:between w:val="nil"/>
              </w:pBdr>
              <w:jc w:val="right"/>
              <w:rPr>
                <w:color w:val="000000"/>
              </w:rPr>
            </w:pPr>
          </w:p>
        </w:tc>
        <w:tc>
          <w:tcPr>
            <w:tcW w:w="531" w:type="pct"/>
            <w:tcBorders>
              <w:bottom w:val="single" w:sz="4" w:space="0" w:color="000000"/>
            </w:tcBorders>
            <w:vAlign w:val="bottom"/>
          </w:tcPr>
          <w:p w14:paraId="3196CD3B" w14:textId="77777777" w:rsidR="00D83E33" w:rsidRPr="00EA10CF" w:rsidRDefault="00D83E33">
            <w:pPr>
              <w:widowControl w:val="0"/>
              <w:pBdr>
                <w:top w:val="nil"/>
                <w:left w:val="nil"/>
                <w:bottom w:val="nil"/>
                <w:right w:val="nil"/>
                <w:between w:val="nil"/>
              </w:pBdr>
              <w:jc w:val="right"/>
              <w:rPr>
                <w:color w:val="000000"/>
              </w:rPr>
            </w:pPr>
          </w:p>
        </w:tc>
        <w:tc>
          <w:tcPr>
            <w:tcW w:w="548" w:type="pct"/>
            <w:tcBorders>
              <w:bottom w:val="single" w:sz="4" w:space="0" w:color="000000"/>
            </w:tcBorders>
            <w:vAlign w:val="bottom"/>
          </w:tcPr>
          <w:p w14:paraId="014C221C"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bottom w:val="single" w:sz="4" w:space="0" w:color="000000"/>
            </w:tcBorders>
            <w:vAlign w:val="bottom"/>
          </w:tcPr>
          <w:p w14:paraId="60C54CD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EBE502C" w14:textId="77777777" w:rsidTr="00372E26">
        <w:trPr>
          <w:trHeight w:val="23"/>
        </w:trPr>
        <w:tc>
          <w:tcPr>
            <w:tcW w:w="1162" w:type="pct"/>
            <w:vAlign w:val="bottom"/>
          </w:tcPr>
          <w:p w14:paraId="7BF3EC6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w:t>
            </w:r>
          </w:p>
        </w:tc>
        <w:tc>
          <w:tcPr>
            <w:tcW w:w="309" w:type="pct"/>
            <w:vAlign w:val="bottom"/>
          </w:tcPr>
          <w:p w14:paraId="57C219BE"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4C626983"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7676981C" w14:textId="77777777" w:rsidR="00D83E33" w:rsidRPr="00EA10CF" w:rsidRDefault="00D83E33">
            <w:pPr>
              <w:widowControl w:val="0"/>
              <w:pBdr>
                <w:top w:val="nil"/>
                <w:left w:val="nil"/>
                <w:bottom w:val="nil"/>
                <w:right w:val="nil"/>
                <w:between w:val="nil"/>
              </w:pBdr>
              <w:jc w:val="right"/>
              <w:rPr>
                <w:color w:val="000000"/>
              </w:rPr>
            </w:pPr>
          </w:p>
        </w:tc>
        <w:tc>
          <w:tcPr>
            <w:tcW w:w="685" w:type="pct"/>
            <w:vAlign w:val="bottom"/>
          </w:tcPr>
          <w:p w14:paraId="3EB65BFD" w14:textId="77777777" w:rsidR="00D83E33" w:rsidRPr="00EA10CF" w:rsidRDefault="00D83E33">
            <w:pPr>
              <w:widowControl w:val="0"/>
              <w:pBdr>
                <w:top w:val="nil"/>
                <w:left w:val="nil"/>
                <w:bottom w:val="nil"/>
                <w:right w:val="nil"/>
                <w:between w:val="nil"/>
              </w:pBdr>
              <w:jc w:val="right"/>
              <w:rPr>
                <w:color w:val="000000"/>
              </w:rPr>
            </w:pPr>
          </w:p>
        </w:tc>
        <w:tc>
          <w:tcPr>
            <w:tcW w:w="531" w:type="pct"/>
            <w:vAlign w:val="bottom"/>
          </w:tcPr>
          <w:p w14:paraId="74F3CF73"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486A671D" w14:textId="77777777" w:rsidR="00D83E33" w:rsidRPr="00EA10CF" w:rsidRDefault="00D83E33">
            <w:pPr>
              <w:widowControl w:val="0"/>
              <w:pBdr>
                <w:top w:val="nil"/>
                <w:left w:val="nil"/>
                <w:bottom w:val="nil"/>
                <w:right w:val="nil"/>
                <w:between w:val="nil"/>
              </w:pBdr>
              <w:jc w:val="right"/>
              <w:rPr>
                <w:color w:val="000000"/>
              </w:rPr>
            </w:pPr>
          </w:p>
        </w:tc>
        <w:tc>
          <w:tcPr>
            <w:tcW w:w="588" w:type="pct"/>
            <w:vAlign w:val="bottom"/>
          </w:tcPr>
          <w:p w14:paraId="3502929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C4236EA" w14:textId="77777777" w:rsidTr="00372E26">
        <w:trPr>
          <w:trHeight w:val="23"/>
        </w:trPr>
        <w:tc>
          <w:tcPr>
            <w:tcW w:w="1162" w:type="pct"/>
            <w:vAlign w:val="bottom"/>
          </w:tcPr>
          <w:p w14:paraId="45603147" w14:textId="68E2FD18"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Carrying amount at 31</w:t>
            </w:r>
            <w:r w:rsidR="00181687">
              <w:rPr>
                <w:b/>
                <w:color w:val="000000"/>
              </w:rPr>
              <w:t> December </w:t>
            </w:r>
            <w:r w:rsidR="00541EBC">
              <w:rPr>
                <w:b/>
                <w:color w:val="000000"/>
              </w:rPr>
              <w:t>2023</w:t>
            </w:r>
          </w:p>
        </w:tc>
        <w:tc>
          <w:tcPr>
            <w:tcW w:w="309" w:type="pct"/>
            <w:vAlign w:val="bottom"/>
          </w:tcPr>
          <w:p w14:paraId="164F44F1" w14:textId="77777777" w:rsidR="00D83E33" w:rsidRPr="00EA10CF" w:rsidRDefault="00D83E33" w:rsidP="001B330E">
            <w:pPr>
              <w:widowControl w:val="0"/>
              <w:pBdr>
                <w:top w:val="nil"/>
                <w:left w:val="nil"/>
                <w:bottom w:val="nil"/>
                <w:right w:val="nil"/>
                <w:between w:val="nil"/>
              </w:pBdr>
              <w:ind w:hanging="113"/>
              <w:rPr>
                <w:b/>
                <w:color w:val="000000"/>
              </w:rPr>
            </w:pPr>
          </w:p>
        </w:tc>
        <w:tc>
          <w:tcPr>
            <w:tcW w:w="588" w:type="pct"/>
          </w:tcPr>
          <w:p w14:paraId="7A148459" w14:textId="77777777" w:rsidR="00D83E33" w:rsidRPr="00EA10CF" w:rsidRDefault="00D83E33">
            <w:pPr>
              <w:widowControl w:val="0"/>
              <w:pBdr>
                <w:top w:val="nil"/>
                <w:left w:val="nil"/>
                <w:bottom w:val="nil"/>
                <w:right w:val="nil"/>
                <w:between w:val="nil"/>
              </w:pBdr>
              <w:jc w:val="right"/>
              <w:rPr>
                <w:b/>
                <w:color w:val="000000"/>
              </w:rPr>
            </w:pPr>
          </w:p>
        </w:tc>
        <w:tc>
          <w:tcPr>
            <w:tcW w:w="588" w:type="pct"/>
            <w:vAlign w:val="bottom"/>
          </w:tcPr>
          <w:p w14:paraId="00265062" w14:textId="77777777" w:rsidR="00D83E33" w:rsidRPr="00EA10CF" w:rsidRDefault="00D83E33">
            <w:pPr>
              <w:widowControl w:val="0"/>
              <w:pBdr>
                <w:top w:val="nil"/>
                <w:left w:val="nil"/>
                <w:bottom w:val="nil"/>
                <w:right w:val="nil"/>
                <w:between w:val="nil"/>
              </w:pBdr>
              <w:jc w:val="right"/>
              <w:rPr>
                <w:b/>
                <w:color w:val="000000"/>
              </w:rPr>
            </w:pPr>
          </w:p>
        </w:tc>
        <w:tc>
          <w:tcPr>
            <w:tcW w:w="685" w:type="pct"/>
            <w:vAlign w:val="bottom"/>
          </w:tcPr>
          <w:p w14:paraId="58E6716D" w14:textId="77777777" w:rsidR="00D83E33" w:rsidRPr="00EA10CF" w:rsidRDefault="00D83E33">
            <w:pPr>
              <w:widowControl w:val="0"/>
              <w:pBdr>
                <w:top w:val="nil"/>
                <w:left w:val="nil"/>
                <w:bottom w:val="nil"/>
                <w:right w:val="nil"/>
                <w:between w:val="nil"/>
              </w:pBdr>
              <w:jc w:val="right"/>
              <w:rPr>
                <w:b/>
                <w:color w:val="000000"/>
              </w:rPr>
            </w:pPr>
          </w:p>
        </w:tc>
        <w:tc>
          <w:tcPr>
            <w:tcW w:w="531" w:type="pct"/>
            <w:vAlign w:val="bottom"/>
          </w:tcPr>
          <w:p w14:paraId="1B9A5AC9" w14:textId="77777777" w:rsidR="00D83E33" w:rsidRPr="00EA10CF" w:rsidRDefault="00D83E33">
            <w:pPr>
              <w:widowControl w:val="0"/>
              <w:pBdr>
                <w:top w:val="nil"/>
                <w:left w:val="nil"/>
                <w:bottom w:val="nil"/>
                <w:right w:val="nil"/>
                <w:between w:val="nil"/>
              </w:pBdr>
              <w:jc w:val="right"/>
              <w:rPr>
                <w:b/>
                <w:color w:val="000000"/>
              </w:rPr>
            </w:pPr>
          </w:p>
        </w:tc>
        <w:tc>
          <w:tcPr>
            <w:tcW w:w="548" w:type="pct"/>
            <w:vAlign w:val="bottom"/>
          </w:tcPr>
          <w:p w14:paraId="0B99A05F" w14:textId="77777777" w:rsidR="00D83E33" w:rsidRPr="00EA10CF" w:rsidRDefault="00D83E33">
            <w:pPr>
              <w:widowControl w:val="0"/>
              <w:pBdr>
                <w:top w:val="nil"/>
                <w:left w:val="nil"/>
                <w:bottom w:val="nil"/>
                <w:right w:val="nil"/>
                <w:between w:val="nil"/>
              </w:pBdr>
              <w:jc w:val="right"/>
              <w:rPr>
                <w:b/>
                <w:color w:val="000000"/>
              </w:rPr>
            </w:pPr>
          </w:p>
        </w:tc>
        <w:tc>
          <w:tcPr>
            <w:tcW w:w="588" w:type="pct"/>
            <w:vAlign w:val="bottom"/>
          </w:tcPr>
          <w:p w14:paraId="1FAA1DB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3DEB12A" w14:textId="77777777" w:rsidTr="00372E26">
        <w:trPr>
          <w:trHeight w:val="23"/>
        </w:trPr>
        <w:tc>
          <w:tcPr>
            <w:tcW w:w="1162" w:type="pct"/>
            <w:tcBorders>
              <w:bottom w:val="single" w:sz="12" w:space="0" w:color="000000"/>
            </w:tcBorders>
            <w:shd w:val="clear" w:color="auto" w:fill="auto"/>
            <w:vAlign w:val="bottom"/>
          </w:tcPr>
          <w:p w14:paraId="73419582"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w:t>
            </w:r>
          </w:p>
        </w:tc>
        <w:tc>
          <w:tcPr>
            <w:tcW w:w="309" w:type="pct"/>
            <w:tcBorders>
              <w:bottom w:val="single" w:sz="12" w:space="0" w:color="000000"/>
            </w:tcBorders>
            <w:shd w:val="clear" w:color="auto" w:fill="auto"/>
            <w:vAlign w:val="bottom"/>
          </w:tcPr>
          <w:p w14:paraId="361188A6"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Borders>
              <w:bottom w:val="single" w:sz="12" w:space="0" w:color="000000"/>
            </w:tcBorders>
          </w:tcPr>
          <w:p w14:paraId="59B41BD9"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bottom w:val="single" w:sz="12" w:space="0" w:color="000000"/>
            </w:tcBorders>
            <w:shd w:val="clear" w:color="auto" w:fill="auto"/>
            <w:vAlign w:val="bottom"/>
          </w:tcPr>
          <w:p w14:paraId="6D9D41F9" w14:textId="77777777" w:rsidR="00D83E33" w:rsidRPr="00EA10CF" w:rsidRDefault="00D83E33">
            <w:pPr>
              <w:widowControl w:val="0"/>
              <w:pBdr>
                <w:top w:val="nil"/>
                <w:left w:val="nil"/>
                <w:bottom w:val="nil"/>
                <w:right w:val="nil"/>
                <w:between w:val="nil"/>
              </w:pBdr>
              <w:jc w:val="right"/>
              <w:rPr>
                <w:color w:val="000000"/>
              </w:rPr>
            </w:pPr>
          </w:p>
        </w:tc>
        <w:tc>
          <w:tcPr>
            <w:tcW w:w="685" w:type="pct"/>
            <w:tcBorders>
              <w:bottom w:val="single" w:sz="12" w:space="0" w:color="000000"/>
            </w:tcBorders>
            <w:shd w:val="clear" w:color="auto" w:fill="auto"/>
            <w:vAlign w:val="bottom"/>
          </w:tcPr>
          <w:p w14:paraId="44F8EE1C" w14:textId="77777777" w:rsidR="00D83E33" w:rsidRPr="00EA10CF" w:rsidRDefault="00D83E33">
            <w:pPr>
              <w:widowControl w:val="0"/>
              <w:pBdr>
                <w:top w:val="nil"/>
                <w:left w:val="nil"/>
                <w:bottom w:val="nil"/>
                <w:right w:val="nil"/>
                <w:between w:val="nil"/>
              </w:pBdr>
              <w:jc w:val="right"/>
              <w:rPr>
                <w:color w:val="000000"/>
              </w:rPr>
            </w:pPr>
          </w:p>
        </w:tc>
        <w:tc>
          <w:tcPr>
            <w:tcW w:w="531" w:type="pct"/>
            <w:tcBorders>
              <w:bottom w:val="single" w:sz="12" w:space="0" w:color="000000"/>
            </w:tcBorders>
            <w:shd w:val="clear" w:color="auto" w:fill="auto"/>
            <w:vAlign w:val="bottom"/>
          </w:tcPr>
          <w:p w14:paraId="1CD37D5E" w14:textId="77777777" w:rsidR="00D83E33" w:rsidRPr="00EA10CF" w:rsidRDefault="00D83E33">
            <w:pPr>
              <w:widowControl w:val="0"/>
              <w:pBdr>
                <w:top w:val="nil"/>
                <w:left w:val="nil"/>
                <w:bottom w:val="nil"/>
                <w:right w:val="nil"/>
                <w:between w:val="nil"/>
              </w:pBdr>
              <w:jc w:val="right"/>
              <w:rPr>
                <w:color w:val="000000"/>
              </w:rPr>
            </w:pPr>
          </w:p>
        </w:tc>
        <w:tc>
          <w:tcPr>
            <w:tcW w:w="548" w:type="pct"/>
            <w:tcBorders>
              <w:bottom w:val="single" w:sz="12" w:space="0" w:color="000000"/>
            </w:tcBorders>
            <w:vAlign w:val="bottom"/>
          </w:tcPr>
          <w:p w14:paraId="787D46C7"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bottom w:val="single" w:sz="12" w:space="0" w:color="000000"/>
            </w:tcBorders>
            <w:shd w:val="clear" w:color="auto" w:fill="auto"/>
            <w:vAlign w:val="bottom"/>
          </w:tcPr>
          <w:p w14:paraId="7911330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2023CE1" w14:textId="77777777" w:rsidTr="00372E26">
        <w:trPr>
          <w:trHeight w:val="23"/>
        </w:trPr>
        <w:tc>
          <w:tcPr>
            <w:tcW w:w="1162" w:type="pct"/>
            <w:tcBorders>
              <w:top w:val="single" w:sz="12" w:space="0" w:color="000000"/>
            </w:tcBorders>
            <w:vAlign w:val="bottom"/>
          </w:tcPr>
          <w:p w14:paraId="313F5F37"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09" w:type="pct"/>
            <w:tcBorders>
              <w:top w:val="single" w:sz="12" w:space="0" w:color="000000"/>
            </w:tcBorders>
            <w:shd w:val="clear" w:color="auto" w:fill="auto"/>
            <w:vAlign w:val="bottom"/>
          </w:tcPr>
          <w:p w14:paraId="67349B58"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Borders>
              <w:top w:val="single" w:sz="12" w:space="0" w:color="000000"/>
            </w:tcBorders>
          </w:tcPr>
          <w:p w14:paraId="68385B0E"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top w:val="single" w:sz="12" w:space="0" w:color="000000"/>
            </w:tcBorders>
            <w:shd w:val="clear" w:color="auto" w:fill="auto"/>
            <w:vAlign w:val="bottom"/>
          </w:tcPr>
          <w:p w14:paraId="550A0AFE" w14:textId="77777777" w:rsidR="00D83E33" w:rsidRPr="00EA10CF" w:rsidRDefault="00D83E33">
            <w:pPr>
              <w:widowControl w:val="0"/>
              <w:pBdr>
                <w:top w:val="nil"/>
                <w:left w:val="nil"/>
                <w:bottom w:val="nil"/>
                <w:right w:val="nil"/>
                <w:between w:val="nil"/>
              </w:pBdr>
              <w:jc w:val="right"/>
              <w:rPr>
                <w:color w:val="000000"/>
              </w:rPr>
            </w:pPr>
          </w:p>
        </w:tc>
        <w:tc>
          <w:tcPr>
            <w:tcW w:w="685" w:type="pct"/>
            <w:tcBorders>
              <w:top w:val="single" w:sz="12" w:space="0" w:color="000000"/>
            </w:tcBorders>
            <w:shd w:val="clear" w:color="auto" w:fill="auto"/>
            <w:vAlign w:val="bottom"/>
          </w:tcPr>
          <w:p w14:paraId="7D54831E" w14:textId="77777777" w:rsidR="00D83E33" w:rsidRPr="00EA10CF" w:rsidRDefault="00D83E33">
            <w:pPr>
              <w:widowControl w:val="0"/>
              <w:pBdr>
                <w:top w:val="nil"/>
                <w:left w:val="nil"/>
                <w:bottom w:val="nil"/>
                <w:right w:val="nil"/>
                <w:between w:val="nil"/>
              </w:pBdr>
              <w:jc w:val="right"/>
              <w:rPr>
                <w:color w:val="000000"/>
              </w:rPr>
            </w:pPr>
          </w:p>
        </w:tc>
        <w:tc>
          <w:tcPr>
            <w:tcW w:w="531" w:type="pct"/>
            <w:tcBorders>
              <w:top w:val="single" w:sz="12" w:space="0" w:color="000000"/>
            </w:tcBorders>
            <w:shd w:val="clear" w:color="auto" w:fill="auto"/>
            <w:vAlign w:val="bottom"/>
          </w:tcPr>
          <w:p w14:paraId="2E3715BA" w14:textId="77777777" w:rsidR="00D83E33" w:rsidRPr="00EA10CF" w:rsidRDefault="00D83E33">
            <w:pPr>
              <w:widowControl w:val="0"/>
              <w:pBdr>
                <w:top w:val="nil"/>
                <w:left w:val="nil"/>
                <w:bottom w:val="nil"/>
                <w:right w:val="nil"/>
                <w:between w:val="nil"/>
              </w:pBdr>
              <w:jc w:val="right"/>
              <w:rPr>
                <w:color w:val="000000"/>
              </w:rPr>
            </w:pPr>
          </w:p>
        </w:tc>
        <w:tc>
          <w:tcPr>
            <w:tcW w:w="548" w:type="pct"/>
            <w:tcBorders>
              <w:top w:val="single" w:sz="12" w:space="0" w:color="000000"/>
            </w:tcBorders>
            <w:vAlign w:val="bottom"/>
          </w:tcPr>
          <w:p w14:paraId="124955EB"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top w:val="single" w:sz="12" w:space="0" w:color="000000"/>
            </w:tcBorders>
            <w:shd w:val="clear" w:color="auto" w:fill="auto"/>
            <w:vAlign w:val="bottom"/>
          </w:tcPr>
          <w:p w14:paraId="2271C79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91A7FEA" w14:textId="77777777" w:rsidTr="00372E26">
        <w:trPr>
          <w:trHeight w:val="23"/>
        </w:trPr>
        <w:tc>
          <w:tcPr>
            <w:tcW w:w="1162" w:type="pct"/>
            <w:shd w:val="clear" w:color="auto" w:fill="auto"/>
            <w:vAlign w:val="bottom"/>
          </w:tcPr>
          <w:p w14:paraId="2AE63B7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Additions</w:t>
            </w:r>
          </w:p>
        </w:tc>
        <w:tc>
          <w:tcPr>
            <w:tcW w:w="309" w:type="pct"/>
            <w:shd w:val="clear" w:color="auto" w:fill="auto"/>
            <w:vAlign w:val="bottom"/>
          </w:tcPr>
          <w:p w14:paraId="5D84E348"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4E102CD4"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5D949B87" w14:textId="77777777" w:rsidR="00D83E33" w:rsidRPr="00EA10CF" w:rsidRDefault="00D83E33">
            <w:pPr>
              <w:widowControl w:val="0"/>
              <w:pBdr>
                <w:top w:val="nil"/>
                <w:left w:val="nil"/>
                <w:bottom w:val="nil"/>
                <w:right w:val="nil"/>
                <w:between w:val="nil"/>
              </w:pBdr>
              <w:jc w:val="right"/>
              <w:rPr>
                <w:color w:val="000000"/>
              </w:rPr>
            </w:pPr>
          </w:p>
        </w:tc>
        <w:tc>
          <w:tcPr>
            <w:tcW w:w="685" w:type="pct"/>
            <w:shd w:val="clear" w:color="auto" w:fill="auto"/>
            <w:vAlign w:val="bottom"/>
          </w:tcPr>
          <w:p w14:paraId="291F7411" w14:textId="77777777" w:rsidR="00D83E33" w:rsidRPr="00EA10CF" w:rsidRDefault="00D83E33">
            <w:pPr>
              <w:widowControl w:val="0"/>
              <w:pBdr>
                <w:top w:val="nil"/>
                <w:left w:val="nil"/>
                <w:bottom w:val="nil"/>
                <w:right w:val="nil"/>
                <w:between w:val="nil"/>
              </w:pBdr>
              <w:jc w:val="right"/>
              <w:rPr>
                <w:color w:val="000000"/>
              </w:rPr>
            </w:pPr>
          </w:p>
        </w:tc>
        <w:tc>
          <w:tcPr>
            <w:tcW w:w="531" w:type="pct"/>
            <w:shd w:val="clear" w:color="auto" w:fill="auto"/>
            <w:vAlign w:val="bottom"/>
          </w:tcPr>
          <w:p w14:paraId="36B48AD7"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473F2BB4"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5D7C6AC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E71A93" w14:textId="77777777" w:rsidTr="00372E26">
        <w:trPr>
          <w:trHeight w:val="23"/>
        </w:trPr>
        <w:tc>
          <w:tcPr>
            <w:tcW w:w="1162" w:type="pct"/>
            <w:shd w:val="clear" w:color="auto" w:fill="auto"/>
            <w:vAlign w:val="bottom"/>
          </w:tcPr>
          <w:p w14:paraId="58A9D90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Disposals</w:t>
            </w:r>
          </w:p>
        </w:tc>
        <w:tc>
          <w:tcPr>
            <w:tcW w:w="309" w:type="pct"/>
            <w:shd w:val="clear" w:color="auto" w:fill="auto"/>
            <w:vAlign w:val="bottom"/>
          </w:tcPr>
          <w:p w14:paraId="06F78AAF"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61900455"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6D0329E3" w14:textId="77777777" w:rsidR="00D83E33" w:rsidRPr="00EA10CF" w:rsidRDefault="00D83E33">
            <w:pPr>
              <w:widowControl w:val="0"/>
              <w:pBdr>
                <w:top w:val="nil"/>
                <w:left w:val="nil"/>
                <w:bottom w:val="nil"/>
                <w:right w:val="nil"/>
                <w:between w:val="nil"/>
              </w:pBdr>
              <w:jc w:val="right"/>
              <w:rPr>
                <w:color w:val="000000"/>
              </w:rPr>
            </w:pPr>
          </w:p>
        </w:tc>
        <w:tc>
          <w:tcPr>
            <w:tcW w:w="685" w:type="pct"/>
            <w:shd w:val="clear" w:color="auto" w:fill="auto"/>
            <w:vAlign w:val="bottom"/>
          </w:tcPr>
          <w:p w14:paraId="2D6AD0B8" w14:textId="77777777" w:rsidR="00D83E33" w:rsidRPr="00EA10CF" w:rsidRDefault="00D83E33">
            <w:pPr>
              <w:widowControl w:val="0"/>
              <w:pBdr>
                <w:top w:val="nil"/>
                <w:left w:val="nil"/>
                <w:bottom w:val="nil"/>
                <w:right w:val="nil"/>
                <w:between w:val="nil"/>
              </w:pBdr>
              <w:jc w:val="right"/>
              <w:rPr>
                <w:color w:val="000000"/>
              </w:rPr>
            </w:pPr>
          </w:p>
        </w:tc>
        <w:tc>
          <w:tcPr>
            <w:tcW w:w="531" w:type="pct"/>
            <w:shd w:val="clear" w:color="auto" w:fill="auto"/>
            <w:vAlign w:val="bottom"/>
          </w:tcPr>
          <w:p w14:paraId="75D5E201"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294C454A"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6E0AE45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0BB1BE7" w14:textId="77777777" w:rsidTr="00372E26">
        <w:trPr>
          <w:trHeight w:val="23"/>
        </w:trPr>
        <w:tc>
          <w:tcPr>
            <w:tcW w:w="1162" w:type="pct"/>
            <w:shd w:val="clear" w:color="auto" w:fill="auto"/>
            <w:vAlign w:val="bottom"/>
          </w:tcPr>
          <w:p w14:paraId="66F3572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Depreciation charge </w:t>
            </w:r>
          </w:p>
        </w:tc>
        <w:tc>
          <w:tcPr>
            <w:tcW w:w="309" w:type="pct"/>
            <w:shd w:val="clear" w:color="auto" w:fill="auto"/>
            <w:vAlign w:val="bottom"/>
          </w:tcPr>
          <w:p w14:paraId="2062BC79"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06E530DF"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2190965B" w14:textId="77777777" w:rsidR="00D83E33" w:rsidRPr="00EA10CF" w:rsidRDefault="00D83E33">
            <w:pPr>
              <w:widowControl w:val="0"/>
              <w:pBdr>
                <w:top w:val="nil"/>
                <w:left w:val="nil"/>
                <w:bottom w:val="nil"/>
                <w:right w:val="nil"/>
                <w:between w:val="nil"/>
              </w:pBdr>
              <w:jc w:val="right"/>
              <w:rPr>
                <w:color w:val="000000"/>
              </w:rPr>
            </w:pPr>
          </w:p>
        </w:tc>
        <w:tc>
          <w:tcPr>
            <w:tcW w:w="685" w:type="pct"/>
            <w:shd w:val="clear" w:color="auto" w:fill="auto"/>
            <w:vAlign w:val="bottom"/>
          </w:tcPr>
          <w:p w14:paraId="42E4F581" w14:textId="77777777" w:rsidR="00D83E33" w:rsidRPr="00EA10CF" w:rsidRDefault="00D83E33">
            <w:pPr>
              <w:widowControl w:val="0"/>
              <w:pBdr>
                <w:top w:val="nil"/>
                <w:left w:val="nil"/>
                <w:bottom w:val="nil"/>
                <w:right w:val="nil"/>
                <w:between w:val="nil"/>
              </w:pBdr>
              <w:jc w:val="right"/>
              <w:rPr>
                <w:color w:val="000000"/>
              </w:rPr>
            </w:pPr>
          </w:p>
        </w:tc>
        <w:tc>
          <w:tcPr>
            <w:tcW w:w="531" w:type="pct"/>
            <w:shd w:val="clear" w:color="auto" w:fill="auto"/>
            <w:vAlign w:val="bottom"/>
          </w:tcPr>
          <w:p w14:paraId="64AB2489"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14A59156"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2EC5437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91265B3" w14:textId="77777777" w:rsidTr="00372E26">
        <w:trPr>
          <w:trHeight w:val="23"/>
        </w:trPr>
        <w:tc>
          <w:tcPr>
            <w:tcW w:w="1162" w:type="pct"/>
            <w:shd w:val="clear" w:color="auto" w:fill="auto"/>
            <w:vAlign w:val="bottom"/>
          </w:tcPr>
          <w:p w14:paraId="052A52A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Impairment charge </w:t>
            </w:r>
          </w:p>
        </w:tc>
        <w:tc>
          <w:tcPr>
            <w:tcW w:w="309" w:type="pct"/>
            <w:shd w:val="clear" w:color="auto" w:fill="auto"/>
            <w:vAlign w:val="bottom"/>
          </w:tcPr>
          <w:p w14:paraId="43B25D96"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2CBD19D0"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6D93FDA0" w14:textId="77777777" w:rsidR="00D83E33" w:rsidRPr="00EA10CF" w:rsidRDefault="00D83E33">
            <w:pPr>
              <w:widowControl w:val="0"/>
              <w:pBdr>
                <w:top w:val="nil"/>
                <w:left w:val="nil"/>
                <w:bottom w:val="nil"/>
                <w:right w:val="nil"/>
                <w:between w:val="nil"/>
              </w:pBdr>
              <w:jc w:val="right"/>
              <w:rPr>
                <w:color w:val="000000"/>
              </w:rPr>
            </w:pPr>
          </w:p>
        </w:tc>
        <w:tc>
          <w:tcPr>
            <w:tcW w:w="685" w:type="pct"/>
            <w:shd w:val="clear" w:color="auto" w:fill="auto"/>
            <w:vAlign w:val="bottom"/>
          </w:tcPr>
          <w:p w14:paraId="6175E4C0" w14:textId="77777777" w:rsidR="00D83E33" w:rsidRPr="00EA10CF" w:rsidRDefault="00D83E33">
            <w:pPr>
              <w:widowControl w:val="0"/>
              <w:pBdr>
                <w:top w:val="nil"/>
                <w:left w:val="nil"/>
                <w:bottom w:val="nil"/>
                <w:right w:val="nil"/>
                <w:between w:val="nil"/>
              </w:pBdr>
              <w:jc w:val="right"/>
              <w:rPr>
                <w:color w:val="000000"/>
              </w:rPr>
            </w:pPr>
          </w:p>
        </w:tc>
        <w:tc>
          <w:tcPr>
            <w:tcW w:w="531" w:type="pct"/>
            <w:shd w:val="clear" w:color="auto" w:fill="auto"/>
            <w:vAlign w:val="bottom"/>
          </w:tcPr>
          <w:p w14:paraId="02D57CE2"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5324A97D"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408713E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C3A8FF0" w14:textId="77777777" w:rsidTr="00372E26">
        <w:trPr>
          <w:trHeight w:val="23"/>
        </w:trPr>
        <w:tc>
          <w:tcPr>
            <w:tcW w:w="1162" w:type="pct"/>
            <w:shd w:val="clear" w:color="auto" w:fill="auto"/>
            <w:vAlign w:val="bottom"/>
          </w:tcPr>
          <w:p w14:paraId="71D4380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FF"/>
              </w:rPr>
              <w:t>[Effect of translation to presentation currency]</w:t>
            </w:r>
          </w:p>
        </w:tc>
        <w:tc>
          <w:tcPr>
            <w:tcW w:w="309" w:type="pct"/>
            <w:shd w:val="clear" w:color="auto" w:fill="auto"/>
            <w:vAlign w:val="bottom"/>
          </w:tcPr>
          <w:p w14:paraId="757640A0"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549A4378"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3D1B2A7C" w14:textId="77777777" w:rsidR="00D83E33" w:rsidRPr="00EA10CF" w:rsidRDefault="00D83E33">
            <w:pPr>
              <w:widowControl w:val="0"/>
              <w:pBdr>
                <w:top w:val="nil"/>
                <w:left w:val="nil"/>
                <w:bottom w:val="nil"/>
                <w:right w:val="nil"/>
                <w:between w:val="nil"/>
              </w:pBdr>
              <w:jc w:val="right"/>
              <w:rPr>
                <w:color w:val="000000"/>
              </w:rPr>
            </w:pPr>
          </w:p>
        </w:tc>
        <w:tc>
          <w:tcPr>
            <w:tcW w:w="685" w:type="pct"/>
            <w:shd w:val="clear" w:color="auto" w:fill="auto"/>
            <w:vAlign w:val="bottom"/>
          </w:tcPr>
          <w:p w14:paraId="5639B35C" w14:textId="77777777" w:rsidR="00D83E33" w:rsidRPr="00EA10CF" w:rsidRDefault="00D83E33">
            <w:pPr>
              <w:widowControl w:val="0"/>
              <w:pBdr>
                <w:top w:val="nil"/>
                <w:left w:val="nil"/>
                <w:bottom w:val="nil"/>
                <w:right w:val="nil"/>
                <w:between w:val="nil"/>
              </w:pBdr>
              <w:jc w:val="right"/>
              <w:rPr>
                <w:color w:val="000000"/>
              </w:rPr>
            </w:pPr>
          </w:p>
        </w:tc>
        <w:tc>
          <w:tcPr>
            <w:tcW w:w="531" w:type="pct"/>
            <w:shd w:val="clear" w:color="auto" w:fill="auto"/>
            <w:vAlign w:val="bottom"/>
          </w:tcPr>
          <w:p w14:paraId="7EA2A1DE"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4028AC7F"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736E5ED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B043302" w14:textId="77777777" w:rsidTr="00372E26">
        <w:trPr>
          <w:trHeight w:val="23"/>
        </w:trPr>
        <w:tc>
          <w:tcPr>
            <w:tcW w:w="1162" w:type="pct"/>
            <w:shd w:val="clear" w:color="auto" w:fill="auto"/>
            <w:vAlign w:val="bottom"/>
          </w:tcPr>
          <w:p w14:paraId="1DB0DF0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w:t>
            </w:r>
          </w:p>
        </w:tc>
        <w:tc>
          <w:tcPr>
            <w:tcW w:w="309" w:type="pct"/>
            <w:shd w:val="clear" w:color="auto" w:fill="auto"/>
            <w:vAlign w:val="bottom"/>
          </w:tcPr>
          <w:p w14:paraId="2567E3BC"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1D9869E2"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7B22BA9F" w14:textId="77777777" w:rsidR="00D83E33" w:rsidRPr="00EA10CF" w:rsidRDefault="00D83E33">
            <w:pPr>
              <w:widowControl w:val="0"/>
              <w:pBdr>
                <w:top w:val="nil"/>
                <w:left w:val="nil"/>
                <w:bottom w:val="nil"/>
                <w:right w:val="nil"/>
                <w:between w:val="nil"/>
              </w:pBdr>
              <w:jc w:val="right"/>
              <w:rPr>
                <w:color w:val="000000"/>
              </w:rPr>
            </w:pPr>
          </w:p>
        </w:tc>
        <w:tc>
          <w:tcPr>
            <w:tcW w:w="685" w:type="pct"/>
            <w:shd w:val="clear" w:color="auto" w:fill="auto"/>
            <w:vAlign w:val="bottom"/>
          </w:tcPr>
          <w:p w14:paraId="7E5E5673" w14:textId="77777777" w:rsidR="00D83E33" w:rsidRPr="00EA10CF" w:rsidRDefault="00D83E33">
            <w:pPr>
              <w:widowControl w:val="0"/>
              <w:pBdr>
                <w:top w:val="nil"/>
                <w:left w:val="nil"/>
                <w:bottom w:val="nil"/>
                <w:right w:val="nil"/>
                <w:between w:val="nil"/>
              </w:pBdr>
              <w:jc w:val="right"/>
              <w:rPr>
                <w:color w:val="000000"/>
              </w:rPr>
            </w:pPr>
          </w:p>
        </w:tc>
        <w:tc>
          <w:tcPr>
            <w:tcW w:w="531" w:type="pct"/>
            <w:shd w:val="clear" w:color="auto" w:fill="auto"/>
            <w:vAlign w:val="bottom"/>
          </w:tcPr>
          <w:p w14:paraId="0427812D"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7A935783"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0191375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E67AA15" w14:textId="77777777" w:rsidTr="00372E26">
        <w:trPr>
          <w:trHeight w:val="23"/>
        </w:trPr>
        <w:tc>
          <w:tcPr>
            <w:tcW w:w="1162" w:type="pct"/>
            <w:shd w:val="clear" w:color="auto" w:fill="auto"/>
            <w:vAlign w:val="bottom"/>
          </w:tcPr>
          <w:p w14:paraId="2B25B4FC"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09" w:type="pct"/>
            <w:shd w:val="clear" w:color="auto" w:fill="auto"/>
            <w:vAlign w:val="bottom"/>
          </w:tcPr>
          <w:p w14:paraId="609D0402"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02AFA01D"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269E34C8" w14:textId="77777777" w:rsidR="00D83E33" w:rsidRPr="00EA10CF" w:rsidRDefault="00D83E33">
            <w:pPr>
              <w:widowControl w:val="0"/>
              <w:pBdr>
                <w:top w:val="nil"/>
                <w:left w:val="nil"/>
                <w:bottom w:val="nil"/>
                <w:right w:val="nil"/>
                <w:between w:val="nil"/>
              </w:pBdr>
              <w:jc w:val="right"/>
              <w:rPr>
                <w:color w:val="000000"/>
              </w:rPr>
            </w:pPr>
          </w:p>
        </w:tc>
        <w:tc>
          <w:tcPr>
            <w:tcW w:w="685" w:type="pct"/>
            <w:shd w:val="clear" w:color="auto" w:fill="auto"/>
            <w:vAlign w:val="bottom"/>
          </w:tcPr>
          <w:p w14:paraId="1E5B91A3" w14:textId="77777777" w:rsidR="00D83E33" w:rsidRPr="00EA10CF" w:rsidRDefault="00D83E33">
            <w:pPr>
              <w:widowControl w:val="0"/>
              <w:pBdr>
                <w:top w:val="nil"/>
                <w:left w:val="nil"/>
                <w:bottom w:val="nil"/>
                <w:right w:val="nil"/>
                <w:between w:val="nil"/>
              </w:pBdr>
              <w:jc w:val="right"/>
              <w:rPr>
                <w:color w:val="000000"/>
              </w:rPr>
            </w:pPr>
          </w:p>
        </w:tc>
        <w:tc>
          <w:tcPr>
            <w:tcW w:w="531" w:type="pct"/>
            <w:shd w:val="clear" w:color="auto" w:fill="auto"/>
            <w:vAlign w:val="bottom"/>
          </w:tcPr>
          <w:p w14:paraId="39EECE71"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19728FAF"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5AFEDCC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ECDE7D1" w14:textId="77777777" w:rsidTr="00372E26">
        <w:trPr>
          <w:trHeight w:val="23"/>
        </w:trPr>
        <w:tc>
          <w:tcPr>
            <w:tcW w:w="1162" w:type="pct"/>
            <w:tcBorders>
              <w:top w:val="single" w:sz="4" w:space="0" w:color="000000"/>
            </w:tcBorders>
            <w:shd w:val="clear" w:color="auto" w:fill="auto"/>
            <w:vAlign w:val="bottom"/>
          </w:tcPr>
          <w:p w14:paraId="69F4DCE4"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09" w:type="pct"/>
            <w:tcBorders>
              <w:top w:val="single" w:sz="4" w:space="0" w:color="000000"/>
            </w:tcBorders>
            <w:shd w:val="clear" w:color="auto" w:fill="auto"/>
            <w:vAlign w:val="bottom"/>
          </w:tcPr>
          <w:p w14:paraId="71CAFB01"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Borders>
              <w:top w:val="single" w:sz="4" w:space="0" w:color="000000"/>
            </w:tcBorders>
          </w:tcPr>
          <w:p w14:paraId="130C4FF3"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top w:val="single" w:sz="4" w:space="0" w:color="000000"/>
            </w:tcBorders>
            <w:shd w:val="clear" w:color="auto" w:fill="auto"/>
            <w:vAlign w:val="bottom"/>
          </w:tcPr>
          <w:p w14:paraId="5A63D70C" w14:textId="77777777" w:rsidR="00D83E33" w:rsidRPr="00EA10CF" w:rsidRDefault="00D83E33">
            <w:pPr>
              <w:widowControl w:val="0"/>
              <w:pBdr>
                <w:top w:val="nil"/>
                <w:left w:val="nil"/>
                <w:bottom w:val="nil"/>
                <w:right w:val="nil"/>
                <w:between w:val="nil"/>
              </w:pBdr>
              <w:jc w:val="right"/>
              <w:rPr>
                <w:color w:val="000000"/>
              </w:rPr>
            </w:pPr>
          </w:p>
        </w:tc>
        <w:tc>
          <w:tcPr>
            <w:tcW w:w="685" w:type="pct"/>
            <w:tcBorders>
              <w:top w:val="single" w:sz="4" w:space="0" w:color="000000"/>
            </w:tcBorders>
            <w:shd w:val="clear" w:color="auto" w:fill="auto"/>
            <w:vAlign w:val="bottom"/>
          </w:tcPr>
          <w:p w14:paraId="433DC2EC" w14:textId="77777777" w:rsidR="00D83E33" w:rsidRPr="00EA10CF" w:rsidRDefault="00D83E33">
            <w:pPr>
              <w:widowControl w:val="0"/>
              <w:pBdr>
                <w:top w:val="nil"/>
                <w:left w:val="nil"/>
                <w:bottom w:val="nil"/>
                <w:right w:val="nil"/>
                <w:between w:val="nil"/>
              </w:pBdr>
              <w:jc w:val="right"/>
              <w:rPr>
                <w:color w:val="000000"/>
              </w:rPr>
            </w:pPr>
          </w:p>
        </w:tc>
        <w:tc>
          <w:tcPr>
            <w:tcW w:w="531" w:type="pct"/>
            <w:tcBorders>
              <w:top w:val="single" w:sz="4" w:space="0" w:color="000000"/>
            </w:tcBorders>
            <w:shd w:val="clear" w:color="auto" w:fill="auto"/>
            <w:vAlign w:val="bottom"/>
          </w:tcPr>
          <w:p w14:paraId="336BB03A" w14:textId="77777777" w:rsidR="00D83E33" w:rsidRPr="00EA10CF" w:rsidRDefault="00D83E33">
            <w:pPr>
              <w:widowControl w:val="0"/>
              <w:pBdr>
                <w:top w:val="nil"/>
                <w:left w:val="nil"/>
                <w:bottom w:val="nil"/>
                <w:right w:val="nil"/>
                <w:between w:val="nil"/>
              </w:pBdr>
              <w:jc w:val="right"/>
              <w:rPr>
                <w:color w:val="000000"/>
              </w:rPr>
            </w:pPr>
          </w:p>
        </w:tc>
        <w:tc>
          <w:tcPr>
            <w:tcW w:w="548" w:type="pct"/>
            <w:tcBorders>
              <w:top w:val="single" w:sz="4" w:space="0" w:color="000000"/>
            </w:tcBorders>
            <w:vAlign w:val="bottom"/>
          </w:tcPr>
          <w:p w14:paraId="45546867"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top w:val="single" w:sz="4" w:space="0" w:color="000000"/>
            </w:tcBorders>
            <w:shd w:val="clear" w:color="auto" w:fill="auto"/>
            <w:vAlign w:val="bottom"/>
          </w:tcPr>
          <w:p w14:paraId="52360E4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29974BC" w14:textId="77777777" w:rsidTr="00372E26">
        <w:trPr>
          <w:trHeight w:val="23"/>
        </w:trPr>
        <w:tc>
          <w:tcPr>
            <w:tcW w:w="1162" w:type="pct"/>
            <w:shd w:val="clear" w:color="auto" w:fill="auto"/>
            <w:vAlign w:val="bottom"/>
          </w:tcPr>
          <w:p w14:paraId="3C434811" w14:textId="67146825"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Carrying amount at</w:t>
            </w:r>
            <w:r w:rsidR="00181687">
              <w:rPr>
                <w:b/>
                <w:color w:val="000000"/>
              </w:rPr>
              <w:t xml:space="preserve"> </w:t>
            </w:r>
            <w:r w:rsidRPr="00EA10CF">
              <w:rPr>
                <w:b/>
                <w:color w:val="000000"/>
              </w:rPr>
              <w:t>31</w:t>
            </w:r>
            <w:r w:rsidR="00181687">
              <w:rPr>
                <w:b/>
                <w:color w:val="000000"/>
              </w:rPr>
              <w:t> December </w:t>
            </w:r>
            <w:r w:rsidR="00541EBC">
              <w:rPr>
                <w:b/>
                <w:color w:val="000000"/>
              </w:rPr>
              <w:t>2024</w:t>
            </w:r>
          </w:p>
        </w:tc>
        <w:tc>
          <w:tcPr>
            <w:tcW w:w="309" w:type="pct"/>
            <w:shd w:val="clear" w:color="auto" w:fill="auto"/>
            <w:vAlign w:val="bottom"/>
          </w:tcPr>
          <w:p w14:paraId="7C3099DA"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Pr>
          <w:p w14:paraId="6F8B2CB0"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493E5CBD" w14:textId="77777777" w:rsidR="00D83E33" w:rsidRPr="00EA10CF" w:rsidRDefault="00D83E33">
            <w:pPr>
              <w:widowControl w:val="0"/>
              <w:pBdr>
                <w:top w:val="nil"/>
                <w:left w:val="nil"/>
                <w:bottom w:val="nil"/>
                <w:right w:val="nil"/>
                <w:between w:val="nil"/>
              </w:pBdr>
              <w:jc w:val="right"/>
              <w:rPr>
                <w:color w:val="000000"/>
              </w:rPr>
            </w:pPr>
          </w:p>
        </w:tc>
        <w:tc>
          <w:tcPr>
            <w:tcW w:w="685" w:type="pct"/>
            <w:shd w:val="clear" w:color="auto" w:fill="auto"/>
            <w:vAlign w:val="bottom"/>
          </w:tcPr>
          <w:p w14:paraId="7878A1CA" w14:textId="77777777" w:rsidR="00D83E33" w:rsidRPr="00EA10CF" w:rsidRDefault="00D83E33">
            <w:pPr>
              <w:widowControl w:val="0"/>
              <w:pBdr>
                <w:top w:val="nil"/>
                <w:left w:val="nil"/>
                <w:bottom w:val="nil"/>
                <w:right w:val="nil"/>
                <w:between w:val="nil"/>
              </w:pBdr>
              <w:jc w:val="right"/>
              <w:rPr>
                <w:color w:val="000000"/>
              </w:rPr>
            </w:pPr>
          </w:p>
        </w:tc>
        <w:tc>
          <w:tcPr>
            <w:tcW w:w="531" w:type="pct"/>
            <w:shd w:val="clear" w:color="auto" w:fill="auto"/>
            <w:vAlign w:val="bottom"/>
          </w:tcPr>
          <w:p w14:paraId="46E3A823" w14:textId="77777777" w:rsidR="00D83E33" w:rsidRPr="00EA10CF" w:rsidRDefault="00D83E33">
            <w:pPr>
              <w:widowControl w:val="0"/>
              <w:pBdr>
                <w:top w:val="nil"/>
                <w:left w:val="nil"/>
                <w:bottom w:val="nil"/>
                <w:right w:val="nil"/>
                <w:between w:val="nil"/>
              </w:pBdr>
              <w:jc w:val="right"/>
              <w:rPr>
                <w:color w:val="000000"/>
              </w:rPr>
            </w:pPr>
          </w:p>
        </w:tc>
        <w:tc>
          <w:tcPr>
            <w:tcW w:w="548" w:type="pct"/>
            <w:vAlign w:val="bottom"/>
          </w:tcPr>
          <w:p w14:paraId="26B613F8" w14:textId="77777777" w:rsidR="00D83E33" w:rsidRPr="00EA10CF" w:rsidRDefault="00D83E33">
            <w:pPr>
              <w:widowControl w:val="0"/>
              <w:pBdr>
                <w:top w:val="nil"/>
                <w:left w:val="nil"/>
                <w:bottom w:val="nil"/>
                <w:right w:val="nil"/>
                <w:between w:val="nil"/>
              </w:pBdr>
              <w:jc w:val="right"/>
              <w:rPr>
                <w:color w:val="000000"/>
              </w:rPr>
            </w:pPr>
          </w:p>
        </w:tc>
        <w:tc>
          <w:tcPr>
            <w:tcW w:w="588" w:type="pct"/>
            <w:shd w:val="clear" w:color="auto" w:fill="auto"/>
            <w:vAlign w:val="bottom"/>
          </w:tcPr>
          <w:p w14:paraId="3228CEF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DCD1E55" w14:textId="77777777" w:rsidTr="00372E26">
        <w:trPr>
          <w:trHeight w:val="23"/>
        </w:trPr>
        <w:tc>
          <w:tcPr>
            <w:tcW w:w="1162" w:type="pct"/>
            <w:tcBorders>
              <w:bottom w:val="single" w:sz="12" w:space="0" w:color="000000"/>
            </w:tcBorders>
            <w:shd w:val="clear" w:color="auto" w:fill="auto"/>
            <w:vAlign w:val="bottom"/>
          </w:tcPr>
          <w:p w14:paraId="34202C4F"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09" w:type="pct"/>
            <w:tcBorders>
              <w:bottom w:val="single" w:sz="12" w:space="0" w:color="000000"/>
            </w:tcBorders>
            <w:shd w:val="clear" w:color="auto" w:fill="auto"/>
            <w:vAlign w:val="bottom"/>
          </w:tcPr>
          <w:p w14:paraId="5150AEA3" w14:textId="77777777" w:rsidR="00D83E33" w:rsidRPr="00EA10CF" w:rsidRDefault="00D83E33" w:rsidP="001B330E">
            <w:pPr>
              <w:widowControl w:val="0"/>
              <w:pBdr>
                <w:top w:val="nil"/>
                <w:left w:val="nil"/>
                <w:bottom w:val="nil"/>
                <w:right w:val="nil"/>
                <w:between w:val="nil"/>
              </w:pBdr>
              <w:jc w:val="center"/>
              <w:rPr>
                <w:color w:val="000000"/>
              </w:rPr>
            </w:pPr>
          </w:p>
        </w:tc>
        <w:tc>
          <w:tcPr>
            <w:tcW w:w="588" w:type="pct"/>
            <w:tcBorders>
              <w:bottom w:val="single" w:sz="12" w:space="0" w:color="000000"/>
            </w:tcBorders>
          </w:tcPr>
          <w:p w14:paraId="1F487830"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bottom w:val="single" w:sz="12" w:space="0" w:color="000000"/>
            </w:tcBorders>
            <w:shd w:val="clear" w:color="auto" w:fill="auto"/>
            <w:vAlign w:val="bottom"/>
          </w:tcPr>
          <w:p w14:paraId="3A377C2A" w14:textId="77777777" w:rsidR="00D83E33" w:rsidRPr="00EA10CF" w:rsidRDefault="00D83E33">
            <w:pPr>
              <w:widowControl w:val="0"/>
              <w:pBdr>
                <w:top w:val="nil"/>
                <w:left w:val="nil"/>
                <w:bottom w:val="nil"/>
                <w:right w:val="nil"/>
                <w:between w:val="nil"/>
              </w:pBdr>
              <w:jc w:val="right"/>
              <w:rPr>
                <w:color w:val="000000"/>
              </w:rPr>
            </w:pPr>
          </w:p>
        </w:tc>
        <w:tc>
          <w:tcPr>
            <w:tcW w:w="685" w:type="pct"/>
            <w:tcBorders>
              <w:bottom w:val="single" w:sz="12" w:space="0" w:color="000000"/>
            </w:tcBorders>
            <w:shd w:val="clear" w:color="auto" w:fill="auto"/>
            <w:vAlign w:val="bottom"/>
          </w:tcPr>
          <w:p w14:paraId="7DA32FF8" w14:textId="77777777" w:rsidR="00D83E33" w:rsidRPr="00EA10CF" w:rsidRDefault="00D83E33">
            <w:pPr>
              <w:widowControl w:val="0"/>
              <w:pBdr>
                <w:top w:val="nil"/>
                <w:left w:val="nil"/>
                <w:bottom w:val="nil"/>
                <w:right w:val="nil"/>
                <w:between w:val="nil"/>
              </w:pBdr>
              <w:jc w:val="right"/>
              <w:rPr>
                <w:color w:val="000000"/>
              </w:rPr>
            </w:pPr>
          </w:p>
        </w:tc>
        <w:tc>
          <w:tcPr>
            <w:tcW w:w="531" w:type="pct"/>
            <w:tcBorders>
              <w:bottom w:val="single" w:sz="12" w:space="0" w:color="000000"/>
            </w:tcBorders>
            <w:shd w:val="clear" w:color="auto" w:fill="auto"/>
            <w:vAlign w:val="bottom"/>
          </w:tcPr>
          <w:p w14:paraId="78743FB1" w14:textId="77777777" w:rsidR="00D83E33" w:rsidRPr="00EA10CF" w:rsidRDefault="00D83E33">
            <w:pPr>
              <w:widowControl w:val="0"/>
              <w:pBdr>
                <w:top w:val="nil"/>
                <w:left w:val="nil"/>
                <w:bottom w:val="nil"/>
                <w:right w:val="nil"/>
                <w:between w:val="nil"/>
              </w:pBdr>
              <w:jc w:val="right"/>
              <w:rPr>
                <w:color w:val="000000"/>
              </w:rPr>
            </w:pPr>
          </w:p>
        </w:tc>
        <w:tc>
          <w:tcPr>
            <w:tcW w:w="548" w:type="pct"/>
            <w:tcBorders>
              <w:bottom w:val="single" w:sz="12" w:space="0" w:color="000000"/>
            </w:tcBorders>
            <w:vAlign w:val="bottom"/>
          </w:tcPr>
          <w:p w14:paraId="1EBC5A38" w14:textId="77777777" w:rsidR="00D83E33" w:rsidRPr="00EA10CF" w:rsidRDefault="00D83E33">
            <w:pPr>
              <w:widowControl w:val="0"/>
              <w:pBdr>
                <w:top w:val="nil"/>
                <w:left w:val="nil"/>
                <w:bottom w:val="nil"/>
                <w:right w:val="nil"/>
                <w:between w:val="nil"/>
              </w:pBdr>
              <w:jc w:val="right"/>
              <w:rPr>
                <w:color w:val="000000"/>
              </w:rPr>
            </w:pPr>
          </w:p>
        </w:tc>
        <w:tc>
          <w:tcPr>
            <w:tcW w:w="588" w:type="pct"/>
            <w:tcBorders>
              <w:bottom w:val="single" w:sz="12" w:space="0" w:color="000000"/>
            </w:tcBorders>
            <w:shd w:val="clear" w:color="auto" w:fill="auto"/>
            <w:vAlign w:val="bottom"/>
          </w:tcPr>
          <w:p w14:paraId="3ADDE5FE" w14:textId="77777777" w:rsidR="00D83E33" w:rsidRPr="00EA10CF" w:rsidRDefault="00D83E33">
            <w:pPr>
              <w:widowControl w:val="0"/>
              <w:pBdr>
                <w:top w:val="nil"/>
                <w:left w:val="nil"/>
                <w:bottom w:val="nil"/>
                <w:right w:val="nil"/>
                <w:between w:val="nil"/>
              </w:pBdr>
              <w:jc w:val="right"/>
              <w:rPr>
                <w:color w:val="000000"/>
              </w:rPr>
            </w:pPr>
          </w:p>
        </w:tc>
      </w:tr>
    </w:tbl>
    <w:p w14:paraId="27452C8C" w14:textId="77777777" w:rsidR="00A90BB8" w:rsidRPr="00A90BB8" w:rsidRDefault="00A90BB8" w:rsidP="00A90BB8">
      <w:pPr>
        <w:pBdr>
          <w:top w:val="nil"/>
          <w:left w:val="nil"/>
          <w:bottom w:val="nil"/>
          <w:right w:val="nil"/>
          <w:between w:val="nil"/>
        </w:pBdr>
        <w:spacing w:before="200" w:after="200"/>
        <w:jc w:val="both"/>
        <w:rPr>
          <w:color w:val="0000FF"/>
          <w:sz w:val="20"/>
          <w:szCs w:val="20"/>
        </w:rPr>
      </w:pPr>
      <w:r w:rsidRPr="00A90BB8">
        <w:rPr>
          <w:color w:val="0000FF"/>
          <w:sz w:val="20"/>
          <w:szCs w:val="20"/>
        </w:rPr>
        <w:t>Leases are recognised as a right-of-use asset and a corresponding liability at the date at which the leased asset is available for use by the Group. Each lease payment is allocated between the liability and finance cost. The finance cost is charged to profit or loss over the lease period so as to produce a constant periodic rate of interest on the remaining balance of the liability for each period. The right-of-use asset is recognised at cost and depreciated over the shorter of the asset's useful life and the lease term on a straight-line basis.</w:t>
      </w:r>
    </w:p>
    <w:p w14:paraId="35118795" w14:textId="77777777" w:rsidR="00A90BB8" w:rsidRPr="00A90BB8" w:rsidRDefault="00A90BB8" w:rsidP="00A90BB8">
      <w:pPr>
        <w:pBdr>
          <w:top w:val="nil"/>
          <w:left w:val="nil"/>
          <w:bottom w:val="nil"/>
          <w:right w:val="nil"/>
          <w:between w:val="nil"/>
        </w:pBdr>
        <w:spacing w:before="200" w:after="200"/>
        <w:jc w:val="both"/>
        <w:rPr>
          <w:color w:val="0000FF"/>
          <w:sz w:val="20"/>
          <w:szCs w:val="20"/>
        </w:rPr>
      </w:pPr>
      <w:r w:rsidRPr="00A90BB8">
        <w:rPr>
          <w:color w:val="0000FF"/>
          <w:sz w:val="20"/>
          <w:szCs w:val="20"/>
        </w:rPr>
        <w:t>Liabilities arising from a lease are initially measured on a present value basis. Lease liabilities include the net present value of the following lease payments:</w:t>
      </w:r>
    </w:p>
    <w:p w14:paraId="7C8B2C60" w14:textId="77777777" w:rsidR="00A90BB8" w:rsidRPr="00A90BB8" w:rsidRDefault="00A90BB8" w:rsidP="00A90BB8">
      <w:pPr>
        <w:widowControl w:val="0"/>
        <w:numPr>
          <w:ilvl w:val="0"/>
          <w:numId w:val="20"/>
        </w:numPr>
        <w:pBdr>
          <w:top w:val="nil"/>
          <w:left w:val="nil"/>
          <w:bottom w:val="nil"/>
          <w:right w:val="nil"/>
          <w:between w:val="nil"/>
        </w:pBdr>
        <w:spacing w:before="100" w:after="100"/>
        <w:ind w:left="567" w:hanging="567"/>
        <w:jc w:val="both"/>
        <w:rPr>
          <w:color w:val="0000FF"/>
          <w:sz w:val="20"/>
          <w:szCs w:val="20"/>
        </w:rPr>
      </w:pPr>
      <w:r w:rsidRPr="00A90BB8">
        <w:rPr>
          <w:color w:val="0000FF"/>
          <w:sz w:val="20"/>
          <w:szCs w:val="20"/>
        </w:rPr>
        <w:t>fixed payments (including in-substance fixed payments), less any lease incentives receivable;</w:t>
      </w:r>
    </w:p>
    <w:p w14:paraId="0232697F" w14:textId="77777777" w:rsidR="00A90BB8" w:rsidRPr="00A90BB8" w:rsidRDefault="00A90BB8" w:rsidP="00A90BB8">
      <w:pPr>
        <w:widowControl w:val="0"/>
        <w:numPr>
          <w:ilvl w:val="0"/>
          <w:numId w:val="20"/>
        </w:numPr>
        <w:pBdr>
          <w:top w:val="nil"/>
          <w:left w:val="nil"/>
          <w:bottom w:val="nil"/>
          <w:right w:val="nil"/>
          <w:between w:val="nil"/>
        </w:pBdr>
        <w:spacing w:before="100" w:after="100"/>
        <w:ind w:left="567" w:hanging="567"/>
        <w:jc w:val="both"/>
        <w:rPr>
          <w:color w:val="0000FF"/>
          <w:sz w:val="20"/>
          <w:szCs w:val="20"/>
        </w:rPr>
      </w:pPr>
      <w:r w:rsidRPr="00A90BB8">
        <w:rPr>
          <w:color w:val="0000FF"/>
          <w:sz w:val="20"/>
          <w:szCs w:val="20"/>
        </w:rPr>
        <w:t>variable lease payment that are based on an index or a rate;</w:t>
      </w:r>
    </w:p>
    <w:p w14:paraId="6305E1F6" w14:textId="77777777" w:rsidR="00A90BB8" w:rsidRPr="00A90BB8" w:rsidRDefault="00A90BB8" w:rsidP="00A90BB8">
      <w:pPr>
        <w:widowControl w:val="0"/>
        <w:numPr>
          <w:ilvl w:val="0"/>
          <w:numId w:val="20"/>
        </w:numPr>
        <w:pBdr>
          <w:top w:val="nil"/>
          <w:left w:val="nil"/>
          <w:bottom w:val="nil"/>
          <w:right w:val="nil"/>
          <w:between w:val="nil"/>
        </w:pBdr>
        <w:spacing w:before="100" w:after="100"/>
        <w:ind w:left="567" w:hanging="567"/>
        <w:jc w:val="both"/>
        <w:rPr>
          <w:color w:val="0000FF"/>
          <w:sz w:val="20"/>
          <w:szCs w:val="20"/>
        </w:rPr>
      </w:pPr>
      <w:r w:rsidRPr="00A90BB8">
        <w:rPr>
          <w:color w:val="0000FF"/>
          <w:sz w:val="20"/>
          <w:szCs w:val="20"/>
        </w:rPr>
        <w:t>amounts expected to be payable by the lessee under residual value guarantees;</w:t>
      </w:r>
    </w:p>
    <w:p w14:paraId="73BA7661" w14:textId="77777777" w:rsidR="00A90BB8" w:rsidRPr="00A90BB8" w:rsidRDefault="00A90BB8" w:rsidP="00A90BB8">
      <w:pPr>
        <w:widowControl w:val="0"/>
        <w:numPr>
          <w:ilvl w:val="0"/>
          <w:numId w:val="20"/>
        </w:numPr>
        <w:pBdr>
          <w:top w:val="nil"/>
          <w:left w:val="nil"/>
          <w:bottom w:val="nil"/>
          <w:right w:val="nil"/>
          <w:between w:val="nil"/>
        </w:pBdr>
        <w:spacing w:before="100" w:after="100"/>
        <w:ind w:left="567" w:hanging="567"/>
        <w:jc w:val="both"/>
        <w:rPr>
          <w:color w:val="0000FF"/>
          <w:sz w:val="20"/>
          <w:szCs w:val="20"/>
        </w:rPr>
      </w:pPr>
      <w:r w:rsidRPr="00A90BB8">
        <w:rPr>
          <w:color w:val="0000FF"/>
          <w:sz w:val="20"/>
          <w:szCs w:val="20"/>
        </w:rPr>
        <w:t>the exercise price of a purchase option if the lessee is reasonably certain to exercise that option, and</w:t>
      </w:r>
    </w:p>
    <w:p w14:paraId="535C5A2D" w14:textId="77777777" w:rsidR="00A90BB8" w:rsidRPr="00A90BB8" w:rsidRDefault="00A90BB8" w:rsidP="00A90BB8">
      <w:pPr>
        <w:widowControl w:val="0"/>
        <w:numPr>
          <w:ilvl w:val="0"/>
          <w:numId w:val="20"/>
        </w:numPr>
        <w:pBdr>
          <w:top w:val="nil"/>
          <w:left w:val="nil"/>
          <w:bottom w:val="nil"/>
          <w:right w:val="nil"/>
          <w:between w:val="nil"/>
        </w:pBdr>
        <w:spacing w:before="100" w:after="100"/>
        <w:ind w:left="567" w:hanging="567"/>
        <w:jc w:val="both"/>
        <w:rPr>
          <w:color w:val="0000FF"/>
          <w:sz w:val="20"/>
          <w:szCs w:val="20"/>
        </w:rPr>
      </w:pPr>
      <w:r w:rsidRPr="00A90BB8">
        <w:rPr>
          <w:color w:val="0000FF"/>
          <w:sz w:val="20"/>
          <w:szCs w:val="20"/>
        </w:rPr>
        <w:t>payments of penalties for terminating the lease, if the lease term reflects the lessee exercising that option.</w:t>
      </w:r>
    </w:p>
    <w:p w14:paraId="18FC629E" w14:textId="77777777" w:rsidR="00A90BB8" w:rsidRPr="00A90BB8" w:rsidRDefault="00A90BB8" w:rsidP="00A90BB8">
      <w:pPr>
        <w:pBdr>
          <w:top w:val="nil"/>
          <w:left w:val="nil"/>
          <w:bottom w:val="nil"/>
          <w:right w:val="nil"/>
          <w:between w:val="nil"/>
        </w:pBdr>
        <w:spacing w:before="200" w:after="200"/>
        <w:jc w:val="both"/>
        <w:rPr>
          <w:color w:val="0000FF"/>
          <w:sz w:val="20"/>
          <w:szCs w:val="20"/>
        </w:rPr>
      </w:pPr>
      <w:r w:rsidRPr="00A90BB8">
        <w:rPr>
          <w:color w:val="0000FF"/>
          <w:sz w:val="20"/>
          <w:szCs w:val="20"/>
        </w:rPr>
        <w:t>The lease payments are discounted using the interest rate implicit in the lease. If that rate cannot be determined, the lessee’s incremental borrowing rate is used, being the rate that the lessee would have to pay to borrow the funds necessary to obtain an asset of similar value in a similar economic environment with similar terms and conditions.</w:t>
      </w:r>
    </w:p>
    <w:p w14:paraId="0C26743D" w14:textId="77777777" w:rsidR="002A5F5D" w:rsidRPr="001B330E" w:rsidRDefault="002A5F5D" w:rsidP="002A5F5D">
      <w:pPr>
        <w:pStyle w:val="Continued"/>
        <w:spacing w:line="230" w:lineRule="auto"/>
        <w:rPr>
          <w:b w:val="0"/>
          <w:spacing w:val="-4"/>
        </w:rPr>
      </w:pPr>
      <w:r>
        <w:lastRenderedPageBreak/>
        <w:t>19</w:t>
      </w:r>
      <w:r>
        <w:tab/>
      </w:r>
      <w:r w:rsidRPr="001B330E">
        <w:rPr>
          <w:spacing w:val="-4"/>
        </w:rPr>
        <w:t>Right-of-use Assets and Lease Liabilities (Continued)</w:t>
      </w:r>
    </w:p>
    <w:p w14:paraId="255FFAF3" w14:textId="77777777" w:rsidR="00A90BB8" w:rsidRDefault="00A90BB8" w:rsidP="00A90BB8">
      <w:pPr>
        <w:pBdr>
          <w:top w:val="nil"/>
          <w:left w:val="nil"/>
          <w:bottom w:val="nil"/>
          <w:right w:val="nil"/>
          <w:between w:val="nil"/>
        </w:pBdr>
        <w:spacing w:before="200" w:after="200"/>
        <w:jc w:val="both"/>
        <w:rPr>
          <w:color w:val="3333FF"/>
          <w:sz w:val="20"/>
          <w:szCs w:val="20"/>
        </w:rPr>
      </w:pPr>
      <w:r>
        <w:rPr>
          <w:color w:val="3333FF"/>
          <w:sz w:val="20"/>
          <w:szCs w:val="20"/>
        </w:rPr>
        <w:t>[Payments under long-term leases of land based on cadastral value of land are treated as variable lease payments that are not based on an index or a rate.]</w:t>
      </w:r>
    </w:p>
    <w:p w14:paraId="6E2B14EA" w14:textId="77777777" w:rsidR="00A90BB8" w:rsidRPr="00A90BB8" w:rsidRDefault="00A90BB8" w:rsidP="00A90BB8">
      <w:pPr>
        <w:pBdr>
          <w:top w:val="nil"/>
          <w:left w:val="nil"/>
          <w:bottom w:val="nil"/>
          <w:right w:val="nil"/>
          <w:between w:val="nil"/>
        </w:pBdr>
        <w:spacing w:before="200" w:after="200"/>
        <w:jc w:val="both"/>
        <w:rPr>
          <w:color w:val="0000FF"/>
          <w:sz w:val="20"/>
          <w:szCs w:val="20"/>
        </w:rPr>
      </w:pPr>
      <w:r w:rsidRPr="00A90BB8">
        <w:rPr>
          <w:color w:val="0000FF"/>
          <w:sz w:val="20"/>
          <w:szCs w:val="20"/>
        </w:rPr>
        <w:t xml:space="preserve">Right-of-use assets are measured at cost comprising the following: </w:t>
      </w:r>
    </w:p>
    <w:p w14:paraId="05CE50A5" w14:textId="77777777" w:rsidR="00A90BB8" w:rsidRPr="00A90BB8" w:rsidRDefault="00A90BB8" w:rsidP="00A90BB8">
      <w:pPr>
        <w:pStyle w:val="bullets"/>
        <w:rPr>
          <w:color w:val="0000FF"/>
        </w:rPr>
      </w:pPr>
      <w:r w:rsidRPr="00A90BB8">
        <w:rPr>
          <w:color w:val="0000FF"/>
        </w:rPr>
        <w:t>the amount of the initial measurement of lease liability;</w:t>
      </w:r>
    </w:p>
    <w:p w14:paraId="56F8722D" w14:textId="77777777" w:rsidR="00A90BB8" w:rsidRPr="00A90BB8" w:rsidRDefault="00A90BB8" w:rsidP="00A90BB8">
      <w:pPr>
        <w:pStyle w:val="bullets"/>
        <w:rPr>
          <w:color w:val="0000FF"/>
        </w:rPr>
      </w:pPr>
      <w:r w:rsidRPr="00A90BB8">
        <w:rPr>
          <w:color w:val="0000FF"/>
        </w:rPr>
        <w:t>any lease payments made at or before the commencement date less any lease incentives received;</w:t>
      </w:r>
    </w:p>
    <w:p w14:paraId="144116F2" w14:textId="77777777" w:rsidR="00A90BB8" w:rsidRPr="00A90BB8" w:rsidRDefault="00A90BB8" w:rsidP="00A90BB8">
      <w:pPr>
        <w:pStyle w:val="bullets"/>
        <w:rPr>
          <w:color w:val="0000FF"/>
        </w:rPr>
      </w:pPr>
      <w:r w:rsidRPr="00A90BB8">
        <w:rPr>
          <w:color w:val="0000FF"/>
        </w:rPr>
        <w:t>any initial direct costs, and</w:t>
      </w:r>
    </w:p>
    <w:p w14:paraId="2019F94A" w14:textId="77777777" w:rsidR="00A90BB8" w:rsidRPr="00A90BB8" w:rsidRDefault="00A90BB8" w:rsidP="00A90BB8">
      <w:pPr>
        <w:pStyle w:val="bullets"/>
        <w:rPr>
          <w:color w:val="0000FF"/>
          <w:szCs w:val="20"/>
        </w:rPr>
      </w:pPr>
      <w:r w:rsidRPr="00A90BB8">
        <w:rPr>
          <w:color w:val="0000FF"/>
        </w:rPr>
        <w:t>restoration costs.</w:t>
      </w:r>
    </w:p>
    <w:p w14:paraId="1F7D4847" w14:textId="77777777" w:rsidR="00A90BB8" w:rsidRDefault="00A90BB8" w:rsidP="00A90BB8">
      <w:pPr>
        <w:pBdr>
          <w:top w:val="nil"/>
          <w:left w:val="nil"/>
          <w:bottom w:val="nil"/>
          <w:right w:val="nil"/>
          <w:between w:val="nil"/>
        </w:pBdr>
        <w:spacing w:before="200" w:after="200"/>
        <w:jc w:val="both"/>
        <w:rPr>
          <w:color w:val="0000FF"/>
          <w:sz w:val="20"/>
          <w:szCs w:val="20"/>
        </w:rPr>
      </w:pPr>
      <w:r>
        <w:rPr>
          <w:color w:val="0000FF"/>
          <w:sz w:val="20"/>
          <w:szCs w:val="20"/>
        </w:rPr>
        <w:t>[As an exception to the above, the Group accounts for short-term leases and leases of low value assets by recognising the lease payments as an operating expense on a straight line basis.]</w:t>
      </w:r>
    </w:p>
    <w:p w14:paraId="244A8EB5" w14:textId="77777777" w:rsidR="00A90BB8" w:rsidRPr="00A90BB8" w:rsidRDefault="00A90BB8" w:rsidP="00A90BB8">
      <w:pPr>
        <w:pBdr>
          <w:top w:val="nil"/>
          <w:left w:val="nil"/>
          <w:bottom w:val="nil"/>
          <w:right w:val="nil"/>
          <w:between w:val="nil"/>
        </w:pBdr>
        <w:spacing w:before="200" w:after="200"/>
        <w:jc w:val="both"/>
        <w:rPr>
          <w:color w:val="0000FF"/>
          <w:sz w:val="20"/>
          <w:szCs w:val="20"/>
        </w:rPr>
      </w:pPr>
      <w:r w:rsidRPr="00A90BB8">
        <w:rPr>
          <w:color w:val="0000FF"/>
          <w:sz w:val="20"/>
          <w:szCs w:val="20"/>
        </w:rPr>
        <w:t xml:space="preserve">In determining the lease term, management of the Group considers all facts and circumstances that create an economic incentive to exercise an extension option, or not exercise a termination option. Extension options (or periods after termination options) are only included in the lease term if the lease is reasonably certain to be extended (or not terminated). </w:t>
      </w:r>
    </w:p>
    <w:p w14:paraId="5B517119" w14:textId="77777777" w:rsidR="00A90BB8" w:rsidRDefault="00A90BB8" w:rsidP="00A90BB8">
      <w:pPr>
        <w:pBdr>
          <w:top w:val="nil"/>
          <w:left w:val="nil"/>
          <w:bottom w:val="nil"/>
          <w:right w:val="nil"/>
          <w:between w:val="nil"/>
        </w:pBdr>
        <w:spacing w:before="200" w:after="200"/>
        <w:jc w:val="both"/>
        <w:rPr>
          <w:color w:val="0000FF"/>
          <w:sz w:val="20"/>
          <w:szCs w:val="20"/>
        </w:rPr>
      </w:pPr>
      <w:r>
        <w:rPr>
          <w:color w:val="0000FF"/>
          <w:sz w:val="20"/>
          <w:szCs w:val="20"/>
        </w:rPr>
        <w:t>[Potential future cash outflows of EUR ____ thousand have not been included in the lease liability because it is not reasonably certain that the leases will be extended (or not terminated).]</w:t>
      </w:r>
    </w:p>
    <w:p w14:paraId="5E6CA086" w14:textId="77777777" w:rsidR="00A90BB8" w:rsidRDefault="00A90BB8" w:rsidP="00A90BB8">
      <w:pPr>
        <w:pBdr>
          <w:top w:val="nil"/>
          <w:left w:val="nil"/>
          <w:bottom w:val="nil"/>
          <w:right w:val="nil"/>
          <w:between w:val="nil"/>
        </w:pBdr>
        <w:spacing w:before="200" w:after="200"/>
        <w:jc w:val="both"/>
        <w:rPr>
          <w:color w:val="0000FF"/>
          <w:sz w:val="20"/>
          <w:szCs w:val="20"/>
        </w:rPr>
      </w:pPr>
      <w:r>
        <w:rPr>
          <w:color w:val="000000"/>
          <w:sz w:val="20"/>
          <w:szCs w:val="20"/>
        </w:rPr>
        <w:t xml:space="preserve">The assessment is reviewed if a significant event or a significant change in circumstances occurs which affects this assessment and that is within the control of the lessee. </w:t>
      </w:r>
      <w:r>
        <w:rPr>
          <w:color w:val="0000FF"/>
          <w:sz w:val="20"/>
          <w:szCs w:val="20"/>
        </w:rPr>
        <w:t>[During the current financial year, the financial effect of revising lease terms to reflect the effect of exercising extension and termination options was an increase in recognised lease liabilities and right-of-use assets of EUR ______ thousand].</w:t>
      </w:r>
    </w:p>
    <w:p w14:paraId="711193A5" w14:textId="14EC38E6" w:rsidR="00D83E33" w:rsidRDefault="00BC4072">
      <w:pPr>
        <w:spacing w:before="200" w:after="200"/>
        <w:jc w:val="both"/>
        <w:rPr>
          <w:sz w:val="20"/>
          <w:szCs w:val="20"/>
        </w:rPr>
      </w:pPr>
      <w:r>
        <w:rPr>
          <w:sz w:val="20"/>
          <w:szCs w:val="20"/>
        </w:rPr>
        <w:t xml:space="preserve">Interest expense on lease liabilities was </w:t>
      </w:r>
      <w:r w:rsidR="00D73799">
        <w:rPr>
          <w:sz w:val="20"/>
          <w:szCs w:val="20"/>
        </w:rPr>
        <w:t>EUR</w:t>
      </w:r>
      <w:r>
        <w:rPr>
          <w:sz w:val="20"/>
          <w:szCs w:val="20"/>
        </w:rPr>
        <w:t xml:space="preserve"> _____ thousand (</w:t>
      </w:r>
      <w:r w:rsidR="00541EBC">
        <w:rPr>
          <w:sz w:val="20"/>
          <w:szCs w:val="20"/>
        </w:rPr>
        <w:t>2023</w:t>
      </w:r>
      <w:r w:rsidR="00846D41">
        <w:rPr>
          <w:sz w:val="20"/>
          <w:szCs w:val="20"/>
        </w:rPr>
        <w:t>:</w:t>
      </w:r>
      <w:r>
        <w:rPr>
          <w:sz w:val="20"/>
          <w:szCs w:val="20"/>
        </w:rPr>
        <w:t xml:space="preserve"> </w:t>
      </w:r>
      <w:r w:rsidR="00D73799">
        <w:rPr>
          <w:sz w:val="20"/>
          <w:szCs w:val="20"/>
        </w:rPr>
        <w:t>EUR</w:t>
      </w:r>
      <w:r>
        <w:rPr>
          <w:sz w:val="20"/>
          <w:szCs w:val="20"/>
        </w:rPr>
        <w:t xml:space="preserve"> ___ thousand).</w:t>
      </w:r>
    </w:p>
    <w:p w14:paraId="4A5A0904" w14:textId="454F80C8"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Some land leases contain variable payment terms that are linked to </w:t>
      </w:r>
      <w:r>
        <w:rPr>
          <w:color w:val="0000FF"/>
          <w:sz w:val="20"/>
          <w:szCs w:val="20"/>
        </w:rPr>
        <w:t>[cadastral values of the land]</w:t>
      </w:r>
      <w:r>
        <w:rPr>
          <w:color w:val="000000"/>
          <w:sz w:val="20"/>
          <w:szCs w:val="20"/>
        </w:rPr>
        <w:t xml:space="preserve">. Variable payment terms are used for a variety of reasons, including minimising the fixed costs base. Variable lease payments that depend on </w:t>
      </w:r>
      <w:r>
        <w:rPr>
          <w:color w:val="0000FF"/>
          <w:sz w:val="20"/>
          <w:szCs w:val="20"/>
        </w:rPr>
        <w:t>[cadastral values]</w:t>
      </w:r>
      <w:r>
        <w:rPr>
          <w:color w:val="000000"/>
          <w:sz w:val="20"/>
          <w:szCs w:val="20"/>
        </w:rPr>
        <w:t xml:space="preserve"> are recognised in profit or loss in the period in which the condition that triggers those payments occurs. A 10% increase in </w:t>
      </w:r>
      <w:r>
        <w:rPr>
          <w:color w:val="0000FF"/>
          <w:sz w:val="20"/>
          <w:szCs w:val="20"/>
        </w:rPr>
        <w:t>[cadastral values]</w:t>
      </w:r>
      <w:r>
        <w:rPr>
          <w:color w:val="000000"/>
          <w:sz w:val="20"/>
          <w:szCs w:val="20"/>
        </w:rPr>
        <w:t xml:space="preserve"> across all properties in the group with such variable lease contracts would increase total lease payments by approximately </w:t>
      </w:r>
      <w:r w:rsidR="00D73799">
        <w:rPr>
          <w:color w:val="000000"/>
          <w:sz w:val="20"/>
          <w:szCs w:val="20"/>
        </w:rPr>
        <w:t>EUR</w:t>
      </w:r>
      <w:r>
        <w:rPr>
          <w:color w:val="000000"/>
          <w:sz w:val="20"/>
          <w:szCs w:val="20"/>
        </w:rPr>
        <w:t xml:space="preserve"> 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___thousand).</w:t>
      </w:r>
    </w:p>
    <w:p w14:paraId="7B18C3D4" w14:textId="121D432A" w:rsidR="00D83E33" w:rsidRDefault="00BC4072">
      <w:pPr>
        <w:spacing w:before="200" w:after="200"/>
        <w:jc w:val="both"/>
        <w:rPr>
          <w:color w:val="0000FF"/>
          <w:sz w:val="20"/>
          <w:szCs w:val="20"/>
        </w:rPr>
      </w:pPr>
      <w:r>
        <w:rPr>
          <w:sz w:val="20"/>
          <w:szCs w:val="20"/>
        </w:rPr>
        <w:t xml:space="preserve">Expense relating to variable lease payments not included in lease liabilities included </w:t>
      </w:r>
      <w:r>
        <w:rPr>
          <w:color w:val="0000FF"/>
          <w:sz w:val="20"/>
          <w:szCs w:val="20"/>
        </w:rPr>
        <w:t>[in general and administrative expenses]</w:t>
      </w:r>
      <w:r>
        <w:rPr>
          <w:sz w:val="20"/>
          <w:szCs w:val="20"/>
        </w:rPr>
        <w:t xml:space="preserve"> of </w:t>
      </w:r>
      <w:r w:rsidR="00541EBC">
        <w:rPr>
          <w:sz w:val="20"/>
          <w:szCs w:val="20"/>
        </w:rPr>
        <w:t>2024</w:t>
      </w:r>
      <w:r>
        <w:rPr>
          <w:sz w:val="20"/>
          <w:szCs w:val="20"/>
        </w:rPr>
        <w:t xml:space="preserve"> was </w:t>
      </w:r>
      <w:r w:rsidR="00D73799">
        <w:rPr>
          <w:sz w:val="20"/>
          <w:szCs w:val="20"/>
        </w:rPr>
        <w:t>EUR</w:t>
      </w:r>
      <w:r>
        <w:rPr>
          <w:sz w:val="20"/>
          <w:szCs w:val="20"/>
        </w:rPr>
        <w:t xml:space="preserve"> _____ thousand (</w:t>
      </w:r>
      <w:r w:rsidR="00541EBC">
        <w:rPr>
          <w:sz w:val="20"/>
          <w:szCs w:val="20"/>
        </w:rPr>
        <w:t>2023</w:t>
      </w:r>
      <w:r>
        <w:rPr>
          <w:sz w:val="20"/>
          <w:szCs w:val="20"/>
        </w:rPr>
        <w:t xml:space="preserve">: </w:t>
      </w:r>
      <w:r w:rsidR="00D73799">
        <w:rPr>
          <w:sz w:val="20"/>
          <w:szCs w:val="20"/>
        </w:rPr>
        <w:t>EUR</w:t>
      </w:r>
      <w:r>
        <w:rPr>
          <w:sz w:val="20"/>
          <w:szCs w:val="20"/>
        </w:rPr>
        <w:t>____thousand). As at 31</w:t>
      </w:r>
      <w:r w:rsidR="00181687">
        <w:rPr>
          <w:sz w:val="20"/>
          <w:szCs w:val="20"/>
        </w:rPr>
        <w:t> December </w:t>
      </w:r>
      <w:r w:rsidR="00541EBC">
        <w:rPr>
          <w:sz w:val="20"/>
          <w:szCs w:val="20"/>
        </w:rPr>
        <w:t>2024</w:t>
      </w:r>
      <w:r>
        <w:rPr>
          <w:sz w:val="20"/>
          <w:szCs w:val="20"/>
        </w:rPr>
        <w:t xml:space="preserve">, future cash outflows of </w:t>
      </w:r>
      <w:r w:rsidR="00D73799">
        <w:rPr>
          <w:sz w:val="20"/>
          <w:szCs w:val="20"/>
        </w:rPr>
        <w:t>EUR</w:t>
      </w:r>
      <w:r>
        <w:rPr>
          <w:sz w:val="20"/>
          <w:szCs w:val="20"/>
        </w:rPr>
        <w:t xml:space="preserve"> ___ thousand (</w:t>
      </w:r>
      <w:r w:rsidR="00541EBC">
        <w:rPr>
          <w:sz w:val="20"/>
          <w:szCs w:val="20"/>
        </w:rPr>
        <w:t>2023</w:t>
      </w:r>
      <w:r>
        <w:rPr>
          <w:sz w:val="20"/>
          <w:szCs w:val="20"/>
        </w:rPr>
        <w:t xml:space="preserve">: </w:t>
      </w:r>
      <w:r w:rsidR="00D73799">
        <w:rPr>
          <w:sz w:val="20"/>
          <w:szCs w:val="20"/>
        </w:rPr>
        <w:t>EUR</w:t>
      </w:r>
      <w:r>
        <w:rPr>
          <w:sz w:val="20"/>
          <w:szCs w:val="20"/>
        </w:rPr>
        <w:t xml:space="preserve"> ____thousand) (undiscounted) to which the Group is potentially exposed to during the lease term have not been included in the lease liability because they include variable lease payments that are linked to </w:t>
      </w:r>
      <w:r>
        <w:rPr>
          <w:color w:val="0000FF"/>
          <w:sz w:val="20"/>
          <w:szCs w:val="20"/>
        </w:rPr>
        <w:t>[sales, or other variable]</w:t>
      </w:r>
      <w:r>
        <w:rPr>
          <w:sz w:val="20"/>
          <w:szCs w:val="20"/>
        </w:rPr>
        <w:t>.</w:t>
      </w:r>
    </w:p>
    <w:p w14:paraId="4AA13339" w14:textId="77777777" w:rsidR="00510A4B" w:rsidRDefault="00510A4B" w:rsidP="00510A4B">
      <w:pPr>
        <w:spacing w:before="200" w:after="200"/>
        <w:jc w:val="both"/>
        <w:rPr>
          <w:sz w:val="20"/>
          <w:szCs w:val="20"/>
        </w:rPr>
      </w:pPr>
      <w:r>
        <w:rPr>
          <w:sz w:val="20"/>
          <w:szCs w:val="20"/>
        </w:rPr>
        <w:t xml:space="preserve">Expenses relating to short-term leases (included in </w:t>
      </w:r>
      <w:r>
        <w:rPr>
          <w:color w:val="0000FF"/>
          <w:sz w:val="20"/>
          <w:szCs w:val="20"/>
        </w:rPr>
        <w:t>[general and administrative expenses]</w:t>
      </w:r>
      <w:r>
        <w:rPr>
          <w:sz w:val="20"/>
          <w:szCs w:val="20"/>
        </w:rPr>
        <w:t xml:space="preserve">) and to leases of low-value assets that are not shown as short-term leases are included in </w:t>
      </w:r>
      <w:r>
        <w:rPr>
          <w:color w:val="0000FF"/>
          <w:sz w:val="20"/>
          <w:szCs w:val="20"/>
        </w:rPr>
        <w:t>[general and administrative expenses]</w:t>
      </w:r>
      <w:r>
        <w:rPr>
          <w:sz w:val="20"/>
          <w:szCs w:val="20"/>
        </w:rPr>
        <w:t>:</w:t>
      </w:r>
    </w:p>
    <w:tbl>
      <w:tblPr>
        <w:tblStyle w:val="affffffffffb"/>
        <w:tblW w:w="5000" w:type="pct"/>
        <w:tblLayout w:type="fixed"/>
        <w:tblLook w:val="0000" w:firstRow="0" w:lastRow="0" w:firstColumn="0" w:lastColumn="0" w:noHBand="0" w:noVBand="0"/>
      </w:tblPr>
      <w:tblGrid>
        <w:gridCol w:w="6277"/>
        <w:gridCol w:w="1540"/>
        <w:gridCol w:w="1538"/>
      </w:tblGrid>
      <w:tr w:rsidR="00510A4B" w:rsidRPr="00EA10CF" w14:paraId="29D1E461" w14:textId="77777777" w:rsidTr="00210678">
        <w:trPr>
          <w:trHeight w:val="23"/>
        </w:trPr>
        <w:tc>
          <w:tcPr>
            <w:tcW w:w="3355" w:type="pct"/>
            <w:tcBorders>
              <w:bottom w:val="single" w:sz="4" w:space="0" w:color="000000"/>
            </w:tcBorders>
            <w:vAlign w:val="bottom"/>
          </w:tcPr>
          <w:p w14:paraId="2536FCEE" w14:textId="77777777" w:rsidR="00510A4B" w:rsidRPr="00EA10CF" w:rsidRDefault="00510A4B" w:rsidP="00210678">
            <w:pPr>
              <w:widowControl w:val="0"/>
              <w:pBdr>
                <w:top w:val="nil"/>
                <w:left w:val="nil"/>
                <w:bottom w:val="nil"/>
                <w:right w:val="nil"/>
                <w:between w:val="nil"/>
              </w:pBdr>
              <w:ind w:left="113" w:hanging="113"/>
              <w:rPr>
                <w:i/>
                <w:color w:val="000000"/>
              </w:rPr>
            </w:pPr>
            <w:r>
              <w:rPr>
                <w:i/>
                <w:color w:val="000000"/>
              </w:rPr>
              <w:t>In thousands of EUR</w:t>
            </w:r>
          </w:p>
        </w:tc>
        <w:tc>
          <w:tcPr>
            <w:tcW w:w="823" w:type="pct"/>
            <w:tcBorders>
              <w:bottom w:val="single" w:sz="4" w:space="0" w:color="000000"/>
            </w:tcBorders>
          </w:tcPr>
          <w:p w14:paraId="49920D87" w14:textId="07A64C39" w:rsidR="00510A4B" w:rsidRPr="00EA10CF" w:rsidRDefault="00541EBC" w:rsidP="00210678">
            <w:pPr>
              <w:widowControl w:val="0"/>
              <w:pBdr>
                <w:top w:val="nil"/>
                <w:left w:val="nil"/>
                <w:bottom w:val="nil"/>
                <w:right w:val="nil"/>
                <w:between w:val="nil"/>
              </w:pBdr>
              <w:jc w:val="right"/>
              <w:rPr>
                <w:b/>
                <w:color w:val="000000"/>
              </w:rPr>
            </w:pPr>
            <w:r>
              <w:rPr>
                <w:b/>
                <w:color w:val="000000"/>
              </w:rPr>
              <w:t>2024</w:t>
            </w:r>
          </w:p>
        </w:tc>
        <w:tc>
          <w:tcPr>
            <w:tcW w:w="822" w:type="pct"/>
            <w:tcBorders>
              <w:bottom w:val="single" w:sz="4" w:space="0" w:color="000000"/>
            </w:tcBorders>
            <w:vAlign w:val="bottom"/>
          </w:tcPr>
          <w:p w14:paraId="031DD06F" w14:textId="11C6CF65" w:rsidR="00510A4B" w:rsidRPr="00EA10CF" w:rsidRDefault="00541EBC" w:rsidP="00210678">
            <w:pPr>
              <w:widowControl w:val="0"/>
              <w:pBdr>
                <w:top w:val="nil"/>
                <w:left w:val="nil"/>
                <w:bottom w:val="nil"/>
                <w:right w:val="nil"/>
                <w:between w:val="nil"/>
              </w:pBdr>
              <w:jc w:val="right"/>
              <w:rPr>
                <w:b/>
                <w:color w:val="000000"/>
              </w:rPr>
            </w:pPr>
            <w:r>
              <w:rPr>
                <w:b/>
                <w:color w:val="000000"/>
              </w:rPr>
              <w:t>2023</w:t>
            </w:r>
          </w:p>
        </w:tc>
      </w:tr>
      <w:tr w:rsidR="00510A4B" w:rsidRPr="00EA10CF" w14:paraId="50CA465B" w14:textId="77777777" w:rsidTr="00210678">
        <w:trPr>
          <w:trHeight w:val="23"/>
        </w:trPr>
        <w:tc>
          <w:tcPr>
            <w:tcW w:w="3355" w:type="pct"/>
            <w:vAlign w:val="bottom"/>
          </w:tcPr>
          <w:p w14:paraId="74331D9A" w14:textId="77777777" w:rsidR="00510A4B" w:rsidRPr="00EA10CF" w:rsidRDefault="00510A4B" w:rsidP="00210678">
            <w:pPr>
              <w:widowControl w:val="0"/>
              <w:pBdr>
                <w:top w:val="nil"/>
                <w:left w:val="nil"/>
                <w:bottom w:val="nil"/>
                <w:right w:val="nil"/>
                <w:between w:val="nil"/>
              </w:pBdr>
              <w:ind w:left="113" w:hanging="113"/>
              <w:rPr>
                <w:color w:val="000000"/>
              </w:rPr>
            </w:pPr>
            <w:r w:rsidRPr="00EA10CF">
              <w:rPr>
                <w:color w:val="000000"/>
              </w:rPr>
              <w:t> </w:t>
            </w:r>
          </w:p>
        </w:tc>
        <w:tc>
          <w:tcPr>
            <w:tcW w:w="823" w:type="pct"/>
          </w:tcPr>
          <w:p w14:paraId="68038EE9" w14:textId="77777777" w:rsidR="00510A4B" w:rsidRPr="00EA10CF" w:rsidRDefault="00510A4B" w:rsidP="00210678">
            <w:pPr>
              <w:widowControl w:val="0"/>
              <w:pBdr>
                <w:top w:val="nil"/>
                <w:left w:val="nil"/>
                <w:bottom w:val="nil"/>
                <w:right w:val="nil"/>
                <w:between w:val="nil"/>
              </w:pBdr>
              <w:jc w:val="right"/>
              <w:rPr>
                <w:color w:val="000000"/>
              </w:rPr>
            </w:pPr>
          </w:p>
        </w:tc>
        <w:tc>
          <w:tcPr>
            <w:tcW w:w="822" w:type="pct"/>
            <w:vAlign w:val="bottom"/>
          </w:tcPr>
          <w:p w14:paraId="6B8E651F" w14:textId="77777777" w:rsidR="00510A4B" w:rsidRPr="00EA10CF" w:rsidRDefault="00510A4B" w:rsidP="00210678">
            <w:pPr>
              <w:widowControl w:val="0"/>
              <w:pBdr>
                <w:top w:val="nil"/>
                <w:left w:val="nil"/>
                <w:bottom w:val="nil"/>
                <w:right w:val="nil"/>
                <w:between w:val="nil"/>
              </w:pBdr>
              <w:jc w:val="right"/>
              <w:rPr>
                <w:color w:val="000000"/>
              </w:rPr>
            </w:pPr>
          </w:p>
        </w:tc>
      </w:tr>
      <w:tr w:rsidR="00510A4B" w:rsidRPr="00EA10CF" w14:paraId="1F9FA642" w14:textId="77777777" w:rsidTr="00210678">
        <w:trPr>
          <w:trHeight w:val="23"/>
        </w:trPr>
        <w:tc>
          <w:tcPr>
            <w:tcW w:w="3355" w:type="pct"/>
            <w:vAlign w:val="bottom"/>
          </w:tcPr>
          <w:p w14:paraId="7AF9E0B4" w14:textId="77777777" w:rsidR="00510A4B" w:rsidRPr="00EA10CF" w:rsidRDefault="00510A4B" w:rsidP="00210678">
            <w:pPr>
              <w:widowControl w:val="0"/>
              <w:pBdr>
                <w:top w:val="nil"/>
                <w:left w:val="nil"/>
                <w:bottom w:val="nil"/>
                <w:right w:val="nil"/>
                <w:between w:val="nil"/>
              </w:pBdr>
              <w:ind w:left="113" w:hanging="113"/>
              <w:rPr>
                <w:color w:val="000000"/>
              </w:rPr>
            </w:pPr>
            <w:r w:rsidRPr="00EA10CF">
              <w:rPr>
                <w:color w:val="000000"/>
              </w:rPr>
              <w:t>Expense relating to short-term leases</w:t>
            </w:r>
          </w:p>
        </w:tc>
        <w:tc>
          <w:tcPr>
            <w:tcW w:w="823" w:type="pct"/>
          </w:tcPr>
          <w:p w14:paraId="5F2E5CD0" w14:textId="77777777" w:rsidR="00510A4B" w:rsidRPr="00EA10CF" w:rsidRDefault="00510A4B" w:rsidP="00210678">
            <w:pPr>
              <w:widowControl w:val="0"/>
              <w:pBdr>
                <w:top w:val="nil"/>
                <w:left w:val="nil"/>
                <w:bottom w:val="nil"/>
                <w:right w:val="nil"/>
                <w:between w:val="nil"/>
              </w:pBdr>
              <w:jc w:val="right"/>
              <w:rPr>
                <w:color w:val="000000"/>
              </w:rPr>
            </w:pPr>
          </w:p>
        </w:tc>
        <w:tc>
          <w:tcPr>
            <w:tcW w:w="822" w:type="pct"/>
            <w:vAlign w:val="bottom"/>
          </w:tcPr>
          <w:p w14:paraId="10AB887C" w14:textId="77777777" w:rsidR="00510A4B" w:rsidRPr="00EA10CF" w:rsidRDefault="00510A4B" w:rsidP="00210678">
            <w:pPr>
              <w:widowControl w:val="0"/>
              <w:pBdr>
                <w:top w:val="nil"/>
                <w:left w:val="nil"/>
                <w:bottom w:val="nil"/>
                <w:right w:val="nil"/>
                <w:between w:val="nil"/>
              </w:pBdr>
              <w:jc w:val="right"/>
              <w:rPr>
                <w:color w:val="000000"/>
              </w:rPr>
            </w:pPr>
          </w:p>
        </w:tc>
      </w:tr>
      <w:tr w:rsidR="00510A4B" w:rsidRPr="00EA10CF" w14:paraId="0966148C" w14:textId="77777777" w:rsidTr="00210678">
        <w:trPr>
          <w:trHeight w:val="23"/>
        </w:trPr>
        <w:tc>
          <w:tcPr>
            <w:tcW w:w="3355" w:type="pct"/>
            <w:vAlign w:val="bottom"/>
          </w:tcPr>
          <w:p w14:paraId="4ABA0812" w14:textId="77777777" w:rsidR="00510A4B" w:rsidRPr="00EA10CF" w:rsidRDefault="00510A4B" w:rsidP="00210678">
            <w:pPr>
              <w:widowControl w:val="0"/>
              <w:pBdr>
                <w:top w:val="nil"/>
                <w:left w:val="nil"/>
                <w:bottom w:val="nil"/>
                <w:right w:val="nil"/>
                <w:between w:val="nil"/>
              </w:pBdr>
              <w:ind w:left="113" w:hanging="113"/>
              <w:rPr>
                <w:color w:val="000000"/>
              </w:rPr>
            </w:pPr>
            <w:r w:rsidRPr="00EA10CF">
              <w:rPr>
                <w:color w:val="000000"/>
              </w:rPr>
              <w:t>Expense relating to leases of low-value assets that are not shown above as short-term leases</w:t>
            </w:r>
          </w:p>
        </w:tc>
        <w:tc>
          <w:tcPr>
            <w:tcW w:w="823" w:type="pct"/>
          </w:tcPr>
          <w:p w14:paraId="5DD46910" w14:textId="77777777" w:rsidR="00510A4B" w:rsidRPr="00EA10CF" w:rsidRDefault="00510A4B" w:rsidP="00210678">
            <w:pPr>
              <w:widowControl w:val="0"/>
              <w:pBdr>
                <w:top w:val="nil"/>
                <w:left w:val="nil"/>
                <w:bottom w:val="nil"/>
                <w:right w:val="nil"/>
                <w:between w:val="nil"/>
              </w:pBdr>
              <w:jc w:val="right"/>
              <w:rPr>
                <w:color w:val="000000"/>
              </w:rPr>
            </w:pPr>
          </w:p>
        </w:tc>
        <w:tc>
          <w:tcPr>
            <w:tcW w:w="822" w:type="pct"/>
            <w:vAlign w:val="bottom"/>
          </w:tcPr>
          <w:p w14:paraId="38CF7270" w14:textId="77777777" w:rsidR="00510A4B" w:rsidRPr="00EA10CF" w:rsidRDefault="00510A4B" w:rsidP="00210678">
            <w:pPr>
              <w:widowControl w:val="0"/>
              <w:pBdr>
                <w:top w:val="nil"/>
                <w:left w:val="nil"/>
                <w:bottom w:val="nil"/>
                <w:right w:val="nil"/>
                <w:between w:val="nil"/>
              </w:pBdr>
              <w:jc w:val="right"/>
              <w:rPr>
                <w:color w:val="000000"/>
              </w:rPr>
            </w:pPr>
          </w:p>
        </w:tc>
      </w:tr>
      <w:tr w:rsidR="00510A4B" w:rsidRPr="00EA10CF" w14:paraId="1D48DE66" w14:textId="77777777" w:rsidTr="00210678">
        <w:trPr>
          <w:trHeight w:val="23"/>
        </w:trPr>
        <w:tc>
          <w:tcPr>
            <w:tcW w:w="3355" w:type="pct"/>
            <w:tcBorders>
              <w:bottom w:val="single" w:sz="12" w:space="0" w:color="000000"/>
            </w:tcBorders>
            <w:shd w:val="clear" w:color="auto" w:fill="auto"/>
            <w:vAlign w:val="bottom"/>
          </w:tcPr>
          <w:p w14:paraId="2C2EFAE1" w14:textId="77777777" w:rsidR="00510A4B" w:rsidRPr="00EA10CF" w:rsidRDefault="00510A4B" w:rsidP="00210678">
            <w:pPr>
              <w:widowControl w:val="0"/>
              <w:pBdr>
                <w:top w:val="nil"/>
                <w:left w:val="nil"/>
                <w:bottom w:val="nil"/>
                <w:right w:val="nil"/>
                <w:between w:val="nil"/>
              </w:pBdr>
              <w:ind w:left="113" w:hanging="113"/>
              <w:rPr>
                <w:b/>
                <w:color w:val="000000"/>
              </w:rPr>
            </w:pPr>
            <w:r w:rsidRPr="00EA10CF">
              <w:rPr>
                <w:b/>
                <w:color w:val="000000"/>
              </w:rPr>
              <w:t> </w:t>
            </w:r>
          </w:p>
        </w:tc>
        <w:tc>
          <w:tcPr>
            <w:tcW w:w="823" w:type="pct"/>
            <w:tcBorders>
              <w:bottom w:val="single" w:sz="12" w:space="0" w:color="000000"/>
            </w:tcBorders>
          </w:tcPr>
          <w:p w14:paraId="215B502C" w14:textId="77777777" w:rsidR="00510A4B" w:rsidRPr="00EA10CF" w:rsidRDefault="00510A4B" w:rsidP="00210678">
            <w:pPr>
              <w:widowControl w:val="0"/>
              <w:pBdr>
                <w:top w:val="nil"/>
                <w:left w:val="nil"/>
                <w:bottom w:val="nil"/>
                <w:right w:val="nil"/>
                <w:between w:val="nil"/>
              </w:pBdr>
              <w:jc w:val="right"/>
              <w:rPr>
                <w:b/>
                <w:smallCaps/>
                <w:color w:val="000000"/>
              </w:rPr>
            </w:pPr>
          </w:p>
        </w:tc>
        <w:tc>
          <w:tcPr>
            <w:tcW w:w="822" w:type="pct"/>
            <w:tcBorders>
              <w:bottom w:val="single" w:sz="12" w:space="0" w:color="000000"/>
            </w:tcBorders>
            <w:shd w:val="clear" w:color="auto" w:fill="auto"/>
            <w:vAlign w:val="bottom"/>
          </w:tcPr>
          <w:p w14:paraId="471F77EF" w14:textId="77777777" w:rsidR="00510A4B" w:rsidRPr="00EA10CF" w:rsidRDefault="00510A4B" w:rsidP="00210678">
            <w:pPr>
              <w:widowControl w:val="0"/>
              <w:pBdr>
                <w:top w:val="nil"/>
                <w:left w:val="nil"/>
                <w:bottom w:val="nil"/>
                <w:right w:val="nil"/>
                <w:between w:val="nil"/>
              </w:pBdr>
              <w:jc w:val="right"/>
              <w:rPr>
                <w:b/>
                <w:smallCaps/>
                <w:color w:val="000000"/>
              </w:rPr>
            </w:pPr>
          </w:p>
        </w:tc>
      </w:tr>
    </w:tbl>
    <w:p w14:paraId="59DE91CC" w14:textId="467FFE85" w:rsidR="00D83E33" w:rsidRPr="001B330E" w:rsidRDefault="00BC4072" w:rsidP="001B330E">
      <w:pPr>
        <w:spacing w:before="200" w:after="200" w:line="230" w:lineRule="auto"/>
        <w:jc w:val="both"/>
        <w:rPr>
          <w:spacing w:val="-4"/>
          <w:sz w:val="20"/>
          <w:szCs w:val="20"/>
        </w:rPr>
      </w:pPr>
      <w:r w:rsidRPr="001B330E">
        <w:rPr>
          <w:spacing w:val="-4"/>
          <w:sz w:val="20"/>
          <w:szCs w:val="20"/>
        </w:rPr>
        <w:t xml:space="preserve">Total cash outflow for leases in </w:t>
      </w:r>
      <w:r w:rsidR="00541EBC">
        <w:rPr>
          <w:spacing w:val="-4"/>
          <w:sz w:val="20"/>
          <w:szCs w:val="20"/>
        </w:rPr>
        <w:t>2024</w:t>
      </w:r>
      <w:r w:rsidRPr="001B330E">
        <w:rPr>
          <w:spacing w:val="-4"/>
          <w:sz w:val="20"/>
          <w:szCs w:val="20"/>
        </w:rPr>
        <w:t xml:space="preserve"> was </w:t>
      </w:r>
      <w:r w:rsidR="00D73799">
        <w:rPr>
          <w:spacing w:val="-4"/>
          <w:sz w:val="20"/>
          <w:szCs w:val="20"/>
        </w:rPr>
        <w:t>EUR</w:t>
      </w:r>
      <w:r w:rsidRPr="001B330E">
        <w:rPr>
          <w:spacing w:val="-4"/>
          <w:sz w:val="20"/>
          <w:szCs w:val="20"/>
        </w:rPr>
        <w:t xml:space="preserve"> ____ thousand (</w:t>
      </w:r>
      <w:r w:rsidR="00541EBC">
        <w:rPr>
          <w:spacing w:val="-4"/>
          <w:sz w:val="20"/>
          <w:szCs w:val="20"/>
        </w:rPr>
        <w:t>2023</w:t>
      </w:r>
      <w:r w:rsidRPr="001B330E">
        <w:rPr>
          <w:spacing w:val="-4"/>
          <w:sz w:val="20"/>
          <w:szCs w:val="20"/>
        </w:rPr>
        <w:t xml:space="preserve">: </w:t>
      </w:r>
      <w:r w:rsidR="00D73799">
        <w:rPr>
          <w:spacing w:val="-4"/>
          <w:sz w:val="20"/>
          <w:szCs w:val="20"/>
        </w:rPr>
        <w:t>EUR</w:t>
      </w:r>
      <w:r w:rsidRPr="001B330E">
        <w:rPr>
          <w:spacing w:val="-4"/>
          <w:sz w:val="20"/>
          <w:szCs w:val="20"/>
        </w:rPr>
        <w:t xml:space="preserve"> ____thousand).</w:t>
      </w:r>
    </w:p>
    <w:p w14:paraId="4A8C173A" w14:textId="0531A98B" w:rsidR="00D83E33" w:rsidRPr="001B330E" w:rsidRDefault="00BC4072" w:rsidP="001B330E">
      <w:pPr>
        <w:spacing w:before="200" w:after="200" w:line="230" w:lineRule="auto"/>
        <w:jc w:val="both"/>
        <w:rPr>
          <w:spacing w:val="-4"/>
          <w:sz w:val="20"/>
          <w:szCs w:val="20"/>
        </w:rPr>
      </w:pPr>
      <w:r w:rsidRPr="001B330E">
        <w:rPr>
          <w:color w:val="0000FF"/>
          <w:spacing w:val="-4"/>
          <w:sz w:val="20"/>
          <w:szCs w:val="20"/>
        </w:rPr>
        <w:t>[The lease agreements do not impose any covenants other than the security interests in the leased assets that are held by the lessor. Leased assets may not be used as collateral for borrowings.]</w:t>
      </w:r>
      <w:r w:rsidRPr="001B330E">
        <w:rPr>
          <w:spacing w:val="-4"/>
          <w:sz w:val="20"/>
          <w:szCs w:val="20"/>
        </w:rPr>
        <w:t xml:space="preserve"> </w:t>
      </w:r>
      <w:r w:rsidRPr="001B330E">
        <w:rPr>
          <w:i/>
          <w:color w:val="FF0000"/>
          <w:spacing w:val="-4"/>
          <w:sz w:val="20"/>
          <w:szCs w:val="20"/>
        </w:rPr>
        <w:t>[</w:t>
      </w:r>
      <w:r w:rsidR="00456FF5">
        <w:rPr>
          <w:i/>
          <w:color w:val="FF0000"/>
          <w:spacing w:val="-4"/>
          <w:sz w:val="20"/>
          <w:szCs w:val="20"/>
        </w:rPr>
        <w:t>Tailor to d</w:t>
      </w:r>
      <w:r w:rsidRPr="001B330E">
        <w:rPr>
          <w:i/>
          <w:color w:val="FF0000"/>
          <w:spacing w:val="-4"/>
          <w:sz w:val="20"/>
          <w:szCs w:val="20"/>
        </w:rPr>
        <w:t>isclose restrictions or covenants imposed by lease as required by IFRS 16.59(c).]</w:t>
      </w:r>
    </w:p>
    <w:p w14:paraId="2A9F9BB3" w14:textId="77777777" w:rsidR="002A5F5D" w:rsidRPr="001B330E" w:rsidRDefault="002A5F5D" w:rsidP="002A5F5D">
      <w:pPr>
        <w:pStyle w:val="Continued"/>
        <w:spacing w:line="230" w:lineRule="auto"/>
        <w:rPr>
          <w:b w:val="0"/>
          <w:spacing w:val="-4"/>
        </w:rPr>
      </w:pPr>
      <w:r>
        <w:lastRenderedPageBreak/>
        <w:t>19</w:t>
      </w:r>
      <w:r>
        <w:tab/>
      </w:r>
      <w:r w:rsidRPr="001B330E">
        <w:rPr>
          <w:spacing w:val="-4"/>
        </w:rPr>
        <w:t>Right-of-use Assets and Lease Liabilities (Continued)</w:t>
      </w:r>
    </w:p>
    <w:p w14:paraId="7B63D6EC" w14:textId="77777777" w:rsidR="00D83E33" w:rsidRPr="001B330E" w:rsidRDefault="00BC4072" w:rsidP="001B330E">
      <w:pPr>
        <w:spacing w:before="200" w:after="200" w:line="230" w:lineRule="auto"/>
        <w:jc w:val="both"/>
        <w:rPr>
          <w:color w:val="0000FF"/>
          <w:spacing w:val="-4"/>
          <w:sz w:val="20"/>
          <w:szCs w:val="20"/>
        </w:rPr>
      </w:pPr>
      <w:r w:rsidRPr="001B330E">
        <w:rPr>
          <w:color w:val="0000FF"/>
          <w:spacing w:val="-4"/>
          <w:sz w:val="20"/>
          <w:szCs w:val="20"/>
        </w:rPr>
        <w:t>[Extension and termination options are included in a number of property and equipment leases across the Group. These are used to maximise operational flexibility in terms of managing the assets used in the Group’s operations. The majority of extension and termination options held are exercisable only by the Group and not by the respective lessor.]</w:t>
      </w:r>
    </w:p>
    <w:p w14:paraId="2ACF175C" w14:textId="305C32EF" w:rsidR="000611E5" w:rsidRDefault="00BC4072" w:rsidP="001B330E">
      <w:pPr>
        <w:spacing w:before="200" w:after="200" w:line="230" w:lineRule="auto"/>
        <w:jc w:val="both"/>
        <w:rPr>
          <w:color w:val="0000FF"/>
          <w:spacing w:val="-4"/>
          <w:sz w:val="20"/>
          <w:szCs w:val="20"/>
        </w:rPr>
      </w:pPr>
      <w:r w:rsidRPr="001B330E">
        <w:rPr>
          <w:color w:val="0000FF"/>
          <w:spacing w:val="-4"/>
          <w:sz w:val="20"/>
          <w:szCs w:val="20"/>
        </w:rPr>
        <w:t>[As at 31</w:t>
      </w:r>
      <w:r w:rsidR="00181687">
        <w:rPr>
          <w:color w:val="0000FF"/>
          <w:spacing w:val="-4"/>
          <w:sz w:val="20"/>
          <w:szCs w:val="20"/>
        </w:rPr>
        <w:t> December </w:t>
      </w:r>
      <w:r w:rsidR="00541EBC">
        <w:rPr>
          <w:color w:val="0000FF"/>
          <w:spacing w:val="-4"/>
          <w:sz w:val="20"/>
          <w:szCs w:val="20"/>
        </w:rPr>
        <w:t>2024</w:t>
      </w:r>
      <w:r w:rsidRPr="001B330E">
        <w:rPr>
          <w:color w:val="0000FF"/>
          <w:spacing w:val="-4"/>
          <w:sz w:val="20"/>
          <w:szCs w:val="20"/>
        </w:rPr>
        <w:t xml:space="preserve">, potential future cash outflows of </w:t>
      </w:r>
      <w:r w:rsidR="00D73799">
        <w:rPr>
          <w:color w:val="0000FF"/>
          <w:spacing w:val="-4"/>
          <w:sz w:val="20"/>
          <w:szCs w:val="20"/>
        </w:rPr>
        <w:t>EUR</w:t>
      </w:r>
      <w:r w:rsidRPr="001B330E">
        <w:rPr>
          <w:color w:val="0000FF"/>
          <w:spacing w:val="-4"/>
          <w:sz w:val="20"/>
          <w:szCs w:val="20"/>
        </w:rPr>
        <w:t xml:space="preserve"> ___ thousand (</w:t>
      </w:r>
      <w:r w:rsidR="00541EBC">
        <w:rPr>
          <w:color w:val="0000FF"/>
          <w:spacing w:val="-4"/>
          <w:sz w:val="20"/>
          <w:szCs w:val="20"/>
        </w:rPr>
        <w:t>2023</w:t>
      </w:r>
      <w:r w:rsidRPr="001B330E">
        <w:rPr>
          <w:color w:val="0000FF"/>
          <w:spacing w:val="-4"/>
          <w:sz w:val="20"/>
          <w:szCs w:val="20"/>
        </w:rPr>
        <w:t xml:space="preserve">: </w:t>
      </w:r>
      <w:r w:rsidR="00D73799">
        <w:rPr>
          <w:color w:val="0000FF"/>
          <w:spacing w:val="-4"/>
          <w:sz w:val="20"/>
          <w:szCs w:val="20"/>
        </w:rPr>
        <w:t>EUR</w:t>
      </w:r>
      <w:r w:rsidRPr="001B330E">
        <w:rPr>
          <w:color w:val="0000FF"/>
          <w:spacing w:val="-4"/>
          <w:sz w:val="20"/>
          <w:szCs w:val="20"/>
        </w:rPr>
        <w:t xml:space="preserve">____thousand) (undiscounted) have not been included in the lease liability because it is not reasonably certain that the leases will be extended (or not terminated). The lease term is reassessed if an option is actually exercised (or not exercised) or the Group becomes obliged to exercise (or not exercise) it. The assessment of reasonable certainty is only revised if a significant event or a significant change in circumstances occurs, which affects this assessment, and that is within the control of the lessee.] </w:t>
      </w:r>
    </w:p>
    <w:p w14:paraId="517F0917" w14:textId="5C1AD3FD" w:rsidR="000611E5" w:rsidRDefault="00BC4072" w:rsidP="001B330E">
      <w:pPr>
        <w:spacing w:before="200" w:after="200" w:line="230" w:lineRule="auto"/>
        <w:jc w:val="both"/>
        <w:rPr>
          <w:color w:val="0000FF"/>
          <w:spacing w:val="-4"/>
          <w:sz w:val="20"/>
          <w:szCs w:val="20"/>
        </w:rPr>
      </w:pPr>
      <w:r w:rsidRPr="000611E5">
        <w:rPr>
          <w:color w:val="0000FF"/>
          <w:spacing w:val="-4"/>
          <w:sz w:val="20"/>
          <w:szCs w:val="20"/>
        </w:rPr>
        <w:t xml:space="preserve">[In </w:t>
      </w:r>
      <w:r w:rsidR="00541EBC" w:rsidRPr="000611E5">
        <w:rPr>
          <w:color w:val="0000FF"/>
          <w:spacing w:val="-4"/>
          <w:sz w:val="20"/>
          <w:szCs w:val="20"/>
        </w:rPr>
        <w:t>2024</w:t>
      </w:r>
      <w:r w:rsidR="000611E5" w:rsidRPr="000611E5">
        <w:rPr>
          <w:color w:val="0000FF"/>
          <w:spacing w:val="-4"/>
          <w:sz w:val="20"/>
          <w:szCs w:val="20"/>
        </w:rPr>
        <w:t>,</w:t>
      </w:r>
      <w:r w:rsidRPr="000611E5">
        <w:rPr>
          <w:color w:val="0000FF"/>
          <w:spacing w:val="-4"/>
          <w:sz w:val="20"/>
          <w:szCs w:val="20"/>
        </w:rPr>
        <w:t xml:space="preserve"> the Group performed a revision of its operational model and business plan. The Group reviewed the list of rented premises and concluded that some of the lease </w:t>
      </w:r>
      <w:r w:rsidR="00934DA6" w:rsidRPr="000611E5">
        <w:rPr>
          <w:color w:val="0000FF"/>
          <w:spacing w:val="-4"/>
          <w:sz w:val="20"/>
          <w:szCs w:val="20"/>
        </w:rPr>
        <w:t>extension</w:t>
      </w:r>
      <w:r w:rsidRPr="000611E5">
        <w:rPr>
          <w:color w:val="0000FF"/>
          <w:spacing w:val="-4"/>
          <w:sz w:val="20"/>
          <w:szCs w:val="20"/>
        </w:rPr>
        <w:t xml:space="preserve"> options are no longer reasonably certain to be</w:t>
      </w:r>
      <w:r w:rsidR="00934DA6" w:rsidRPr="000611E5">
        <w:rPr>
          <w:color w:val="0000FF"/>
          <w:spacing w:val="-4"/>
          <w:sz w:val="20"/>
          <w:szCs w:val="20"/>
        </w:rPr>
        <w:t>exercised</w:t>
      </w:r>
      <w:r w:rsidRPr="000611E5">
        <w:rPr>
          <w:color w:val="0000FF"/>
          <w:spacing w:val="-4"/>
          <w:sz w:val="20"/>
          <w:szCs w:val="20"/>
        </w:rPr>
        <w:t xml:space="preserve"> because the Group plans to reduce the number of its offices and implement remote working opportunities for employees. The reassessment resulted in reducing the lease liabilities by </w:t>
      </w:r>
      <w:r w:rsidR="00D73799" w:rsidRPr="000611E5">
        <w:rPr>
          <w:color w:val="0000FF"/>
          <w:spacing w:val="-4"/>
          <w:sz w:val="20"/>
          <w:szCs w:val="20"/>
        </w:rPr>
        <w:t>EUR</w:t>
      </w:r>
      <w:r w:rsidRPr="000611E5">
        <w:rPr>
          <w:color w:val="0000FF"/>
          <w:spacing w:val="-4"/>
          <w:sz w:val="20"/>
          <w:szCs w:val="20"/>
        </w:rPr>
        <w:t xml:space="preserve"> _____thousand with a corresponding adjustment to the right-of-use asset.] </w:t>
      </w:r>
    </w:p>
    <w:p w14:paraId="4039072F" w14:textId="7ABD76AF" w:rsidR="00D83E33" w:rsidRPr="001B330E" w:rsidRDefault="00BC4072" w:rsidP="001B330E">
      <w:pPr>
        <w:spacing w:before="200" w:after="200" w:line="230" w:lineRule="auto"/>
        <w:jc w:val="both"/>
        <w:rPr>
          <w:color w:val="0000FF"/>
          <w:spacing w:val="-4"/>
          <w:sz w:val="20"/>
          <w:szCs w:val="20"/>
        </w:rPr>
      </w:pPr>
      <w:r w:rsidRPr="000611E5">
        <w:rPr>
          <w:color w:val="0000FF"/>
          <w:spacing w:val="-4"/>
          <w:sz w:val="20"/>
          <w:szCs w:val="20"/>
        </w:rPr>
        <w:t xml:space="preserve">[During </w:t>
      </w:r>
      <w:r w:rsidRPr="001B330E">
        <w:rPr>
          <w:color w:val="0000FF"/>
          <w:spacing w:val="-4"/>
          <w:sz w:val="20"/>
          <w:szCs w:val="20"/>
        </w:rPr>
        <w:t xml:space="preserve">the current reporting year, the financial effect of revising lease term to reflect the effect of exercising extension and termination options was an increase in recognised lease liabilities and right-of-use assets of </w:t>
      </w:r>
      <w:r w:rsidR="00D73799">
        <w:rPr>
          <w:color w:val="0000FF"/>
          <w:spacing w:val="-4"/>
          <w:sz w:val="20"/>
          <w:szCs w:val="20"/>
        </w:rPr>
        <w:t>EUR</w:t>
      </w:r>
      <w:r w:rsidRPr="001B330E">
        <w:rPr>
          <w:color w:val="0000FF"/>
          <w:spacing w:val="-4"/>
          <w:sz w:val="20"/>
          <w:szCs w:val="20"/>
        </w:rPr>
        <w:t>___ thousand.]</w:t>
      </w:r>
    </w:p>
    <w:p w14:paraId="66D55BD5" w14:textId="77777777" w:rsidR="00D83E33" w:rsidRPr="001B330E" w:rsidRDefault="00BC4072" w:rsidP="001B330E">
      <w:pPr>
        <w:spacing w:before="200" w:after="200" w:line="230" w:lineRule="auto"/>
        <w:jc w:val="both"/>
        <w:rPr>
          <w:color w:val="0000FF"/>
          <w:spacing w:val="-4"/>
          <w:sz w:val="20"/>
          <w:szCs w:val="20"/>
        </w:rPr>
      </w:pPr>
      <w:r w:rsidRPr="001B330E">
        <w:rPr>
          <w:color w:val="0000FF"/>
          <w:spacing w:val="-4"/>
          <w:sz w:val="20"/>
          <w:szCs w:val="20"/>
        </w:rPr>
        <w:t>[To optimise lease costs during the contract period, the Group sometimes provides residual value guarantees in relation to equipment leases. The Group initially estimates and recognises amounts expected to be payable under residual value guarantees as part of the lease liability. Typically the expected residual value at lease commencement is equal to or higher than the guaranteed amount, and so the Group does not expect to pay anything under the guarantees.</w:t>
      </w:r>
    </w:p>
    <w:p w14:paraId="2230D857" w14:textId="3B476119" w:rsidR="00D83E33" w:rsidRDefault="00BC4072" w:rsidP="001B330E">
      <w:pPr>
        <w:widowControl w:val="0"/>
        <w:spacing w:before="200" w:after="200" w:line="230" w:lineRule="auto"/>
        <w:jc w:val="both"/>
        <w:rPr>
          <w:color w:val="0000FF"/>
          <w:spacing w:val="-4"/>
          <w:sz w:val="20"/>
          <w:szCs w:val="20"/>
        </w:rPr>
      </w:pPr>
      <w:r w:rsidRPr="001B330E">
        <w:rPr>
          <w:color w:val="0000FF"/>
          <w:spacing w:val="-4"/>
          <w:sz w:val="20"/>
          <w:szCs w:val="20"/>
        </w:rPr>
        <w:t>At the end of each reporting period, the expected residual values are reviewed to reflect actual residual values achieved on comparable assets and expectations about future prices. As at 31</w:t>
      </w:r>
      <w:r w:rsidR="00181687">
        <w:rPr>
          <w:color w:val="0000FF"/>
          <w:spacing w:val="-4"/>
          <w:sz w:val="20"/>
          <w:szCs w:val="20"/>
        </w:rPr>
        <w:t> December </w:t>
      </w:r>
      <w:r w:rsidR="00541EBC">
        <w:rPr>
          <w:color w:val="0000FF"/>
          <w:spacing w:val="-4"/>
          <w:sz w:val="20"/>
          <w:szCs w:val="20"/>
        </w:rPr>
        <w:t>2024</w:t>
      </w:r>
      <w:r w:rsidRPr="001B330E">
        <w:rPr>
          <w:color w:val="0000FF"/>
          <w:spacing w:val="-4"/>
          <w:sz w:val="20"/>
          <w:szCs w:val="20"/>
        </w:rPr>
        <w:t xml:space="preserve">, </w:t>
      </w:r>
      <w:r w:rsidR="00D73799">
        <w:rPr>
          <w:color w:val="0000FF"/>
          <w:spacing w:val="-4"/>
          <w:sz w:val="20"/>
          <w:szCs w:val="20"/>
        </w:rPr>
        <w:t>EUR</w:t>
      </w:r>
      <w:r w:rsidRPr="001B330E">
        <w:rPr>
          <w:color w:val="0000FF"/>
          <w:spacing w:val="-4"/>
          <w:sz w:val="20"/>
          <w:szCs w:val="20"/>
        </w:rPr>
        <w:t xml:space="preserve"> ____ thousand (</w:t>
      </w:r>
      <w:r w:rsidR="00541EBC">
        <w:rPr>
          <w:color w:val="0000FF"/>
          <w:spacing w:val="-4"/>
          <w:sz w:val="20"/>
          <w:szCs w:val="20"/>
        </w:rPr>
        <w:t>2023</w:t>
      </w:r>
      <w:r w:rsidRPr="001B330E">
        <w:rPr>
          <w:color w:val="0000FF"/>
          <w:spacing w:val="-4"/>
          <w:sz w:val="20"/>
          <w:szCs w:val="20"/>
        </w:rPr>
        <w:t xml:space="preserve">: </w:t>
      </w:r>
      <w:r w:rsidR="00D73799">
        <w:rPr>
          <w:color w:val="0000FF"/>
          <w:spacing w:val="-4"/>
          <w:sz w:val="20"/>
          <w:szCs w:val="20"/>
        </w:rPr>
        <w:t>EUR</w:t>
      </w:r>
      <w:r w:rsidRPr="001B330E">
        <w:rPr>
          <w:color w:val="0000FF"/>
          <w:spacing w:val="-4"/>
          <w:sz w:val="20"/>
          <w:szCs w:val="20"/>
        </w:rPr>
        <w:t xml:space="preserve">____thousand) is expected to be payable and is included in calculating the lease liabilities while </w:t>
      </w:r>
      <w:r w:rsidR="00D73799">
        <w:rPr>
          <w:color w:val="0000FF"/>
          <w:spacing w:val="-4"/>
          <w:sz w:val="20"/>
          <w:szCs w:val="20"/>
        </w:rPr>
        <w:t>EUR</w:t>
      </w:r>
      <w:r w:rsidRPr="001B330E">
        <w:rPr>
          <w:color w:val="0000FF"/>
          <w:spacing w:val="-4"/>
          <w:sz w:val="20"/>
          <w:szCs w:val="20"/>
        </w:rPr>
        <w:t> ____ thousand (</w:t>
      </w:r>
      <w:r w:rsidR="00541EBC">
        <w:rPr>
          <w:color w:val="0000FF"/>
          <w:spacing w:val="-4"/>
          <w:sz w:val="20"/>
          <w:szCs w:val="20"/>
        </w:rPr>
        <w:t>2023</w:t>
      </w:r>
      <w:r w:rsidRPr="001B330E">
        <w:rPr>
          <w:color w:val="0000FF"/>
          <w:spacing w:val="-4"/>
          <w:sz w:val="20"/>
          <w:szCs w:val="20"/>
        </w:rPr>
        <w:t xml:space="preserve">: </w:t>
      </w:r>
      <w:r w:rsidR="00D73799">
        <w:rPr>
          <w:color w:val="0000FF"/>
          <w:spacing w:val="-4"/>
          <w:sz w:val="20"/>
          <w:szCs w:val="20"/>
        </w:rPr>
        <w:t>EUR</w:t>
      </w:r>
      <w:r w:rsidRPr="001B330E">
        <w:rPr>
          <w:color w:val="0000FF"/>
          <w:spacing w:val="-4"/>
          <w:sz w:val="20"/>
          <w:szCs w:val="20"/>
        </w:rPr>
        <w:t>____thousand) (undiscounted) is not expected to be payable and has hence been excluded from the lease liabilities.]</w:t>
      </w:r>
    </w:p>
    <w:p w14:paraId="065E368F" w14:textId="5EDFC561" w:rsidR="00E03E99" w:rsidRPr="001B330E" w:rsidRDefault="00E03E99" w:rsidP="00B0605B">
      <w:pPr>
        <w:pStyle w:val="Heading1"/>
        <w:rPr>
          <w:b w:val="0"/>
        </w:rPr>
      </w:pPr>
      <w:bookmarkStart w:id="61" w:name="_Toc83818318"/>
      <w:bookmarkStart w:id="62" w:name="_Toc83913957"/>
      <w:bookmarkStart w:id="63" w:name="_Toc83917423"/>
      <w:bookmarkStart w:id="64" w:name="_Toc83818319"/>
      <w:bookmarkStart w:id="65" w:name="_Toc83913958"/>
      <w:bookmarkStart w:id="66" w:name="_Toc83917424"/>
      <w:bookmarkStart w:id="67" w:name="_Toc83818320"/>
      <w:bookmarkStart w:id="68" w:name="_Toc83913959"/>
      <w:bookmarkStart w:id="69" w:name="_Toc83917425"/>
      <w:bookmarkStart w:id="70" w:name="_Toc83818321"/>
      <w:bookmarkStart w:id="71" w:name="_Toc83913960"/>
      <w:bookmarkStart w:id="72" w:name="_Toc83917426"/>
      <w:bookmarkStart w:id="73" w:name="_Toc83818322"/>
      <w:bookmarkStart w:id="74" w:name="_Toc83913961"/>
      <w:bookmarkStart w:id="75" w:name="_Toc83917427"/>
      <w:bookmarkStart w:id="76" w:name="_Toc17919602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1B330E">
        <w:t>Non-Current Assets Classified as Held for Sale (or Disposal Groups</w:t>
      </w:r>
      <w:r w:rsidR="00510A4B">
        <w:t>)</w:t>
      </w:r>
      <w:bookmarkEnd w:id="76"/>
    </w:p>
    <w:p w14:paraId="6ED06067" w14:textId="77777777" w:rsidR="00510A4B" w:rsidRPr="001B330E" w:rsidRDefault="00510A4B" w:rsidP="00510A4B">
      <w:pPr>
        <w:widowControl w:val="0"/>
        <w:pBdr>
          <w:top w:val="nil"/>
          <w:left w:val="nil"/>
          <w:bottom w:val="nil"/>
          <w:right w:val="nil"/>
          <w:between w:val="nil"/>
        </w:pBdr>
        <w:spacing w:before="200" w:after="200" w:line="230" w:lineRule="auto"/>
        <w:jc w:val="both"/>
        <w:rPr>
          <w:color w:val="000000"/>
          <w:spacing w:val="-4"/>
          <w:sz w:val="20"/>
          <w:szCs w:val="20"/>
        </w:rPr>
      </w:pPr>
      <w:r w:rsidRPr="001B330E">
        <w:rPr>
          <w:color w:val="000000"/>
          <w:spacing w:val="-4"/>
          <w:sz w:val="20"/>
          <w:szCs w:val="20"/>
        </w:rPr>
        <w:t>Major classes of non-current assets classified as held for sale (or disposal groups) are as follows:</w:t>
      </w:r>
    </w:p>
    <w:tbl>
      <w:tblPr>
        <w:tblStyle w:val="affffffffffc"/>
        <w:tblW w:w="5000" w:type="pct"/>
        <w:tblLayout w:type="fixed"/>
        <w:tblLook w:val="0000" w:firstRow="0" w:lastRow="0" w:firstColumn="0" w:lastColumn="0" w:noHBand="0" w:noVBand="0"/>
      </w:tblPr>
      <w:tblGrid>
        <w:gridCol w:w="6296"/>
        <w:gridCol w:w="1530"/>
        <w:gridCol w:w="1529"/>
      </w:tblGrid>
      <w:tr w:rsidR="00510A4B" w:rsidRPr="00E03E99" w14:paraId="59FAF032" w14:textId="77777777" w:rsidTr="002A5F5D">
        <w:trPr>
          <w:trHeight w:val="23"/>
        </w:trPr>
        <w:tc>
          <w:tcPr>
            <w:tcW w:w="3365" w:type="pct"/>
            <w:tcBorders>
              <w:bottom w:val="single" w:sz="4" w:space="0" w:color="000000"/>
            </w:tcBorders>
            <w:vAlign w:val="bottom"/>
          </w:tcPr>
          <w:p w14:paraId="4B0F47C1" w14:textId="77777777" w:rsidR="00510A4B" w:rsidRPr="001B330E" w:rsidRDefault="00510A4B" w:rsidP="00210678">
            <w:pPr>
              <w:widowControl w:val="0"/>
              <w:pBdr>
                <w:top w:val="nil"/>
                <w:left w:val="nil"/>
                <w:bottom w:val="nil"/>
                <w:right w:val="nil"/>
                <w:between w:val="nil"/>
              </w:pBdr>
              <w:spacing w:line="230" w:lineRule="auto"/>
              <w:ind w:left="113" w:hanging="113"/>
              <w:rPr>
                <w:b/>
                <w:i/>
                <w:color w:val="000000"/>
                <w:spacing w:val="-4"/>
              </w:rPr>
            </w:pPr>
            <w:r>
              <w:rPr>
                <w:i/>
                <w:color w:val="000000"/>
                <w:spacing w:val="-4"/>
              </w:rPr>
              <w:t>In thousands of EUR</w:t>
            </w:r>
          </w:p>
        </w:tc>
        <w:tc>
          <w:tcPr>
            <w:tcW w:w="818" w:type="pct"/>
            <w:tcBorders>
              <w:bottom w:val="single" w:sz="4" w:space="0" w:color="000000"/>
            </w:tcBorders>
            <w:vAlign w:val="bottom"/>
          </w:tcPr>
          <w:p w14:paraId="2440862A" w14:textId="3C64C12B" w:rsidR="00510A4B" w:rsidRPr="001B330E" w:rsidRDefault="00541EBC" w:rsidP="00210678">
            <w:pPr>
              <w:widowControl w:val="0"/>
              <w:pBdr>
                <w:top w:val="nil"/>
                <w:left w:val="nil"/>
                <w:bottom w:val="nil"/>
                <w:right w:val="nil"/>
                <w:between w:val="nil"/>
              </w:pBdr>
              <w:spacing w:line="230" w:lineRule="auto"/>
              <w:jc w:val="right"/>
              <w:rPr>
                <w:b/>
                <w:color w:val="000000"/>
                <w:spacing w:val="-4"/>
              </w:rPr>
            </w:pPr>
            <w:r>
              <w:rPr>
                <w:b/>
                <w:color w:val="000000"/>
                <w:spacing w:val="-4"/>
              </w:rPr>
              <w:t>2024</w:t>
            </w:r>
          </w:p>
        </w:tc>
        <w:tc>
          <w:tcPr>
            <w:tcW w:w="817" w:type="pct"/>
            <w:tcBorders>
              <w:bottom w:val="single" w:sz="4" w:space="0" w:color="000000"/>
            </w:tcBorders>
            <w:vAlign w:val="bottom"/>
          </w:tcPr>
          <w:p w14:paraId="5A67C4EF" w14:textId="0053543C" w:rsidR="00510A4B" w:rsidRPr="001B330E" w:rsidRDefault="00541EBC" w:rsidP="00210678">
            <w:pPr>
              <w:widowControl w:val="0"/>
              <w:pBdr>
                <w:top w:val="nil"/>
                <w:left w:val="nil"/>
                <w:bottom w:val="nil"/>
                <w:right w:val="nil"/>
                <w:between w:val="nil"/>
              </w:pBdr>
              <w:spacing w:line="230" w:lineRule="auto"/>
              <w:jc w:val="right"/>
              <w:rPr>
                <w:b/>
                <w:color w:val="000000"/>
                <w:spacing w:val="-4"/>
              </w:rPr>
            </w:pPr>
            <w:r>
              <w:rPr>
                <w:b/>
                <w:color w:val="000000"/>
                <w:spacing w:val="-4"/>
              </w:rPr>
              <w:t>2023</w:t>
            </w:r>
          </w:p>
        </w:tc>
      </w:tr>
      <w:tr w:rsidR="00510A4B" w:rsidRPr="00E03E99" w14:paraId="2EFF59FC" w14:textId="77777777" w:rsidTr="002A5F5D">
        <w:trPr>
          <w:trHeight w:val="23"/>
        </w:trPr>
        <w:tc>
          <w:tcPr>
            <w:tcW w:w="3365" w:type="pct"/>
            <w:vAlign w:val="bottom"/>
          </w:tcPr>
          <w:p w14:paraId="0ADD932C"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 </w:t>
            </w:r>
          </w:p>
        </w:tc>
        <w:tc>
          <w:tcPr>
            <w:tcW w:w="818" w:type="pct"/>
            <w:vAlign w:val="bottom"/>
          </w:tcPr>
          <w:p w14:paraId="7163ACC3"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17E7B45F"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01F5F8C6" w14:textId="77777777" w:rsidTr="002A5F5D">
        <w:trPr>
          <w:trHeight w:val="23"/>
        </w:trPr>
        <w:tc>
          <w:tcPr>
            <w:tcW w:w="3365" w:type="pct"/>
            <w:vAlign w:val="bottom"/>
          </w:tcPr>
          <w:p w14:paraId="152BD83D" w14:textId="77777777" w:rsidR="00510A4B" w:rsidRPr="001B330E" w:rsidRDefault="00510A4B" w:rsidP="00210678">
            <w:pPr>
              <w:widowControl w:val="0"/>
              <w:pBdr>
                <w:top w:val="nil"/>
                <w:left w:val="nil"/>
                <w:bottom w:val="nil"/>
                <w:right w:val="nil"/>
                <w:between w:val="nil"/>
              </w:pBdr>
              <w:spacing w:line="230" w:lineRule="auto"/>
              <w:ind w:left="113" w:hanging="113"/>
              <w:rPr>
                <w:i/>
                <w:color w:val="000000"/>
                <w:spacing w:val="-4"/>
              </w:rPr>
            </w:pPr>
            <w:r w:rsidRPr="001B330E">
              <w:rPr>
                <w:i/>
                <w:color w:val="000000"/>
                <w:spacing w:val="-4"/>
              </w:rPr>
              <w:t>Assets of a disposal group held for sale:</w:t>
            </w:r>
          </w:p>
        </w:tc>
        <w:tc>
          <w:tcPr>
            <w:tcW w:w="818" w:type="pct"/>
            <w:vAlign w:val="bottom"/>
          </w:tcPr>
          <w:p w14:paraId="4E135EC5"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582797C3"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61EB56BC" w14:textId="77777777" w:rsidTr="002A5F5D">
        <w:trPr>
          <w:trHeight w:val="23"/>
        </w:trPr>
        <w:tc>
          <w:tcPr>
            <w:tcW w:w="3365" w:type="pct"/>
            <w:vAlign w:val="bottom"/>
          </w:tcPr>
          <w:p w14:paraId="54556ABE"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Cash and cash equivalents</w:t>
            </w:r>
          </w:p>
        </w:tc>
        <w:tc>
          <w:tcPr>
            <w:tcW w:w="818" w:type="pct"/>
            <w:vAlign w:val="bottom"/>
          </w:tcPr>
          <w:p w14:paraId="6BECD84F"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78334502"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50024CC8" w14:textId="77777777" w:rsidTr="002A5F5D">
        <w:trPr>
          <w:trHeight w:val="23"/>
        </w:trPr>
        <w:tc>
          <w:tcPr>
            <w:tcW w:w="3365" w:type="pct"/>
            <w:vAlign w:val="bottom"/>
          </w:tcPr>
          <w:p w14:paraId="1C6B51A0"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Investments in debt and equity securities</w:t>
            </w:r>
          </w:p>
        </w:tc>
        <w:tc>
          <w:tcPr>
            <w:tcW w:w="818" w:type="pct"/>
            <w:vAlign w:val="bottom"/>
          </w:tcPr>
          <w:p w14:paraId="5C272D1B"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65FA57AC"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3C493E70" w14:textId="77777777" w:rsidTr="002A5F5D">
        <w:trPr>
          <w:trHeight w:val="23"/>
        </w:trPr>
        <w:tc>
          <w:tcPr>
            <w:tcW w:w="3365" w:type="pct"/>
            <w:vAlign w:val="bottom"/>
          </w:tcPr>
          <w:p w14:paraId="034872B2"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Due from other banks</w:t>
            </w:r>
          </w:p>
        </w:tc>
        <w:tc>
          <w:tcPr>
            <w:tcW w:w="818" w:type="pct"/>
            <w:vAlign w:val="bottom"/>
          </w:tcPr>
          <w:p w14:paraId="0D64C892"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6E6F3B77"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7116D900" w14:textId="77777777" w:rsidTr="002A5F5D">
        <w:trPr>
          <w:trHeight w:val="23"/>
        </w:trPr>
        <w:tc>
          <w:tcPr>
            <w:tcW w:w="3365" w:type="pct"/>
            <w:vAlign w:val="bottom"/>
          </w:tcPr>
          <w:p w14:paraId="60ED326A"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Loans and advances to customers</w:t>
            </w:r>
          </w:p>
        </w:tc>
        <w:tc>
          <w:tcPr>
            <w:tcW w:w="818" w:type="pct"/>
            <w:vAlign w:val="bottom"/>
          </w:tcPr>
          <w:p w14:paraId="06B403A6"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42FCA370"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01C1BD39" w14:textId="77777777" w:rsidTr="002A5F5D">
        <w:trPr>
          <w:trHeight w:val="23"/>
        </w:trPr>
        <w:tc>
          <w:tcPr>
            <w:tcW w:w="3365" w:type="pct"/>
            <w:vAlign w:val="bottom"/>
          </w:tcPr>
          <w:p w14:paraId="148FC2A0"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Investment properties</w:t>
            </w:r>
          </w:p>
        </w:tc>
        <w:tc>
          <w:tcPr>
            <w:tcW w:w="818" w:type="pct"/>
            <w:vAlign w:val="bottom"/>
          </w:tcPr>
          <w:p w14:paraId="6A2A1DB5"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6CC2A1B0"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252B80E9" w14:textId="77777777" w:rsidTr="002A5F5D">
        <w:trPr>
          <w:trHeight w:val="23"/>
        </w:trPr>
        <w:tc>
          <w:tcPr>
            <w:tcW w:w="3365" w:type="pct"/>
            <w:vAlign w:val="bottom"/>
          </w:tcPr>
          <w:p w14:paraId="0084F6EC"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Investment in associates</w:t>
            </w:r>
          </w:p>
        </w:tc>
        <w:tc>
          <w:tcPr>
            <w:tcW w:w="818" w:type="pct"/>
            <w:vAlign w:val="bottom"/>
          </w:tcPr>
          <w:p w14:paraId="08016C98"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39AFB7D0"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6F725594" w14:textId="77777777" w:rsidTr="002A5F5D">
        <w:trPr>
          <w:trHeight w:val="23"/>
        </w:trPr>
        <w:tc>
          <w:tcPr>
            <w:tcW w:w="3365" w:type="pct"/>
            <w:vAlign w:val="bottom"/>
          </w:tcPr>
          <w:p w14:paraId="10FD283D"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Current income tax prepayment</w:t>
            </w:r>
          </w:p>
        </w:tc>
        <w:tc>
          <w:tcPr>
            <w:tcW w:w="818" w:type="pct"/>
            <w:vAlign w:val="bottom"/>
          </w:tcPr>
          <w:p w14:paraId="5AFD6B79"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4710ED74"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53503B80" w14:textId="77777777" w:rsidTr="002A5F5D">
        <w:trPr>
          <w:trHeight w:val="23"/>
        </w:trPr>
        <w:tc>
          <w:tcPr>
            <w:tcW w:w="3365" w:type="pct"/>
            <w:vAlign w:val="bottom"/>
          </w:tcPr>
          <w:p w14:paraId="1049F1D3"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Deferred income tax asset</w:t>
            </w:r>
          </w:p>
        </w:tc>
        <w:tc>
          <w:tcPr>
            <w:tcW w:w="818" w:type="pct"/>
            <w:vAlign w:val="bottom"/>
          </w:tcPr>
          <w:p w14:paraId="7FCEE438"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3F163DDE"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333B5BB6" w14:textId="77777777" w:rsidTr="002A5F5D">
        <w:trPr>
          <w:trHeight w:val="23"/>
        </w:trPr>
        <w:tc>
          <w:tcPr>
            <w:tcW w:w="3365" w:type="pct"/>
            <w:vAlign w:val="bottom"/>
          </w:tcPr>
          <w:p w14:paraId="48076CC6"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 xml:space="preserve">Goodwill </w:t>
            </w:r>
          </w:p>
        </w:tc>
        <w:tc>
          <w:tcPr>
            <w:tcW w:w="818" w:type="pct"/>
            <w:vAlign w:val="bottom"/>
          </w:tcPr>
          <w:p w14:paraId="5FE4C883"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66ED2899"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533E9262" w14:textId="77777777" w:rsidTr="002A5F5D">
        <w:trPr>
          <w:trHeight w:val="23"/>
        </w:trPr>
        <w:tc>
          <w:tcPr>
            <w:tcW w:w="3365" w:type="pct"/>
            <w:vAlign w:val="bottom"/>
          </w:tcPr>
          <w:p w14:paraId="073A1EB3"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Intangible assets</w:t>
            </w:r>
          </w:p>
        </w:tc>
        <w:tc>
          <w:tcPr>
            <w:tcW w:w="818" w:type="pct"/>
            <w:vAlign w:val="bottom"/>
          </w:tcPr>
          <w:p w14:paraId="5BB87ABD"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4F4989F6"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7D6A0E30" w14:textId="77777777" w:rsidTr="002A5F5D">
        <w:trPr>
          <w:trHeight w:val="23"/>
        </w:trPr>
        <w:tc>
          <w:tcPr>
            <w:tcW w:w="3365" w:type="pct"/>
            <w:vAlign w:val="bottom"/>
          </w:tcPr>
          <w:p w14:paraId="2282A8A6" w14:textId="5D41F25D"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 xml:space="preserve">Premises and equipment </w:t>
            </w:r>
          </w:p>
        </w:tc>
        <w:tc>
          <w:tcPr>
            <w:tcW w:w="818" w:type="pct"/>
            <w:vAlign w:val="bottom"/>
          </w:tcPr>
          <w:p w14:paraId="098CA321"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735ACCA7"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378D0802" w14:textId="77777777" w:rsidTr="002A5F5D">
        <w:trPr>
          <w:trHeight w:val="23"/>
        </w:trPr>
        <w:tc>
          <w:tcPr>
            <w:tcW w:w="3365" w:type="pct"/>
            <w:vAlign w:val="bottom"/>
          </w:tcPr>
          <w:p w14:paraId="68AF3A73"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 </w:t>
            </w:r>
          </w:p>
        </w:tc>
        <w:tc>
          <w:tcPr>
            <w:tcW w:w="818" w:type="pct"/>
            <w:vAlign w:val="bottom"/>
          </w:tcPr>
          <w:p w14:paraId="25624717"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464DF3C1"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7DBA878B" w14:textId="77777777" w:rsidTr="002A5F5D">
        <w:trPr>
          <w:trHeight w:val="23"/>
        </w:trPr>
        <w:tc>
          <w:tcPr>
            <w:tcW w:w="3365" w:type="pct"/>
            <w:vAlign w:val="bottom"/>
          </w:tcPr>
          <w:p w14:paraId="387906D9"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i/>
                <w:color w:val="000000"/>
                <w:spacing w:val="-4"/>
              </w:rPr>
              <w:t>Non-current assets held for sale:</w:t>
            </w:r>
          </w:p>
        </w:tc>
        <w:tc>
          <w:tcPr>
            <w:tcW w:w="818" w:type="pct"/>
            <w:vAlign w:val="bottom"/>
          </w:tcPr>
          <w:p w14:paraId="16088FAC"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617C6EFB"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25916B18" w14:textId="77777777" w:rsidTr="002A5F5D">
        <w:trPr>
          <w:trHeight w:val="23"/>
        </w:trPr>
        <w:tc>
          <w:tcPr>
            <w:tcW w:w="3365" w:type="pct"/>
            <w:vAlign w:val="bottom"/>
          </w:tcPr>
          <w:p w14:paraId="77EEE311" w14:textId="45FBD4D1"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 xml:space="preserve">Premises and equipment </w:t>
            </w:r>
          </w:p>
        </w:tc>
        <w:tc>
          <w:tcPr>
            <w:tcW w:w="818" w:type="pct"/>
            <w:vAlign w:val="bottom"/>
          </w:tcPr>
          <w:p w14:paraId="228A01E2"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c>
          <w:tcPr>
            <w:tcW w:w="817" w:type="pct"/>
            <w:vAlign w:val="bottom"/>
          </w:tcPr>
          <w:p w14:paraId="2376F493" w14:textId="77777777" w:rsidR="00510A4B" w:rsidRPr="001B330E" w:rsidRDefault="00510A4B" w:rsidP="00210678">
            <w:pPr>
              <w:widowControl w:val="0"/>
              <w:pBdr>
                <w:top w:val="nil"/>
                <w:left w:val="nil"/>
                <w:bottom w:val="nil"/>
                <w:right w:val="nil"/>
                <w:between w:val="nil"/>
              </w:pBdr>
              <w:spacing w:line="230" w:lineRule="auto"/>
              <w:jc w:val="right"/>
              <w:rPr>
                <w:color w:val="000000"/>
                <w:spacing w:val="-4"/>
              </w:rPr>
            </w:pPr>
          </w:p>
        </w:tc>
      </w:tr>
      <w:tr w:rsidR="00510A4B" w:rsidRPr="00E03E99" w14:paraId="66386C89" w14:textId="77777777" w:rsidTr="002A5F5D">
        <w:trPr>
          <w:trHeight w:val="23"/>
        </w:trPr>
        <w:tc>
          <w:tcPr>
            <w:tcW w:w="3365" w:type="pct"/>
            <w:vAlign w:val="bottom"/>
          </w:tcPr>
          <w:p w14:paraId="56C63A54"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color w:val="000000"/>
                <w:spacing w:val="-4"/>
              </w:rPr>
              <w:t> </w:t>
            </w:r>
          </w:p>
        </w:tc>
        <w:tc>
          <w:tcPr>
            <w:tcW w:w="818" w:type="pct"/>
            <w:vAlign w:val="bottom"/>
          </w:tcPr>
          <w:p w14:paraId="0DB894B7" w14:textId="77777777" w:rsidR="00510A4B" w:rsidRPr="001B330E" w:rsidRDefault="00510A4B" w:rsidP="00210678">
            <w:pPr>
              <w:widowControl w:val="0"/>
              <w:pBdr>
                <w:top w:val="nil"/>
                <w:left w:val="nil"/>
                <w:bottom w:val="nil"/>
                <w:right w:val="nil"/>
                <w:between w:val="nil"/>
              </w:pBdr>
              <w:spacing w:line="230" w:lineRule="auto"/>
              <w:jc w:val="right"/>
              <w:rPr>
                <w:b/>
                <w:color w:val="000000"/>
                <w:spacing w:val="-4"/>
              </w:rPr>
            </w:pPr>
          </w:p>
        </w:tc>
        <w:tc>
          <w:tcPr>
            <w:tcW w:w="817" w:type="pct"/>
            <w:vAlign w:val="bottom"/>
          </w:tcPr>
          <w:p w14:paraId="7D2DEF0B" w14:textId="77777777" w:rsidR="00510A4B" w:rsidRPr="001B330E" w:rsidRDefault="00510A4B" w:rsidP="00210678">
            <w:pPr>
              <w:widowControl w:val="0"/>
              <w:pBdr>
                <w:top w:val="nil"/>
                <w:left w:val="nil"/>
                <w:bottom w:val="nil"/>
                <w:right w:val="nil"/>
                <w:between w:val="nil"/>
              </w:pBdr>
              <w:spacing w:line="230" w:lineRule="auto"/>
              <w:jc w:val="right"/>
              <w:rPr>
                <w:b/>
                <w:color w:val="000000"/>
                <w:spacing w:val="-4"/>
              </w:rPr>
            </w:pPr>
          </w:p>
        </w:tc>
      </w:tr>
      <w:tr w:rsidR="00510A4B" w:rsidRPr="00E03E99" w14:paraId="7B7D3960" w14:textId="77777777" w:rsidTr="002A5F5D">
        <w:trPr>
          <w:trHeight w:val="23"/>
        </w:trPr>
        <w:tc>
          <w:tcPr>
            <w:tcW w:w="3365" w:type="pct"/>
            <w:tcBorders>
              <w:top w:val="single" w:sz="4" w:space="0" w:color="000000"/>
            </w:tcBorders>
            <w:vAlign w:val="bottom"/>
          </w:tcPr>
          <w:p w14:paraId="1DA8A135"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b/>
                <w:color w:val="000000"/>
                <w:spacing w:val="-4"/>
              </w:rPr>
              <w:t> </w:t>
            </w:r>
          </w:p>
        </w:tc>
        <w:tc>
          <w:tcPr>
            <w:tcW w:w="818" w:type="pct"/>
            <w:tcBorders>
              <w:top w:val="single" w:sz="4" w:space="0" w:color="000000"/>
            </w:tcBorders>
            <w:vAlign w:val="bottom"/>
          </w:tcPr>
          <w:p w14:paraId="693D3522" w14:textId="77777777" w:rsidR="00510A4B" w:rsidRPr="001B330E" w:rsidRDefault="00510A4B" w:rsidP="00210678">
            <w:pPr>
              <w:widowControl w:val="0"/>
              <w:pBdr>
                <w:top w:val="nil"/>
                <w:left w:val="nil"/>
                <w:bottom w:val="nil"/>
                <w:right w:val="nil"/>
                <w:between w:val="nil"/>
              </w:pBdr>
              <w:spacing w:line="230" w:lineRule="auto"/>
              <w:jc w:val="right"/>
              <w:rPr>
                <w:b/>
                <w:color w:val="000000"/>
                <w:spacing w:val="-4"/>
              </w:rPr>
            </w:pPr>
          </w:p>
        </w:tc>
        <w:tc>
          <w:tcPr>
            <w:tcW w:w="817" w:type="pct"/>
            <w:tcBorders>
              <w:top w:val="single" w:sz="4" w:space="0" w:color="000000"/>
            </w:tcBorders>
            <w:vAlign w:val="bottom"/>
          </w:tcPr>
          <w:p w14:paraId="6C2C531C" w14:textId="77777777" w:rsidR="00510A4B" w:rsidRPr="001B330E" w:rsidRDefault="00510A4B" w:rsidP="00210678">
            <w:pPr>
              <w:widowControl w:val="0"/>
              <w:pBdr>
                <w:top w:val="nil"/>
                <w:left w:val="nil"/>
                <w:bottom w:val="nil"/>
                <w:right w:val="nil"/>
                <w:between w:val="nil"/>
              </w:pBdr>
              <w:spacing w:line="230" w:lineRule="auto"/>
              <w:jc w:val="right"/>
              <w:rPr>
                <w:b/>
                <w:color w:val="000000"/>
                <w:spacing w:val="-4"/>
              </w:rPr>
            </w:pPr>
          </w:p>
        </w:tc>
      </w:tr>
      <w:tr w:rsidR="00510A4B" w:rsidRPr="00E03E99" w14:paraId="1C9F158E" w14:textId="77777777" w:rsidTr="002A5F5D">
        <w:trPr>
          <w:trHeight w:val="23"/>
        </w:trPr>
        <w:tc>
          <w:tcPr>
            <w:tcW w:w="3365" w:type="pct"/>
            <w:vAlign w:val="bottom"/>
          </w:tcPr>
          <w:p w14:paraId="0E0F20C6" w14:textId="77777777" w:rsidR="00510A4B" w:rsidRPr="001B330E" w:rsidRDefault="00510A4B" w:rsidP="00210678">
            <w:pPr>
              <w:widowControl w:val="0"/>
              <w:pBdr>
                <w:top w:val="nil"/>
                <w:left w:val="nil"/>
                <w:bottom w:val="nil"/>
                <w:right w:val="nil"/>
                <w:between w:val="nil"/>
              </w:pBdr>
              <w:spacing w:line="230" w:lineRule="auto"/>
              <w:ind w:left="113" w:hanging="113"/>
              <w:rPr>
                <w:b/>
                <w:color w:val="000000"/>
                <w:spacing w:val="-4"/>
              </w:rPr>
            </w:pPr>
            <w:r w:rsidRPr="001B330E">
              <w:rPr>
                <w:b/>
                <w:color w:val="000000"/>
                <w:spacing w:val="-4"/>
              </w:rPr>
              <w:t>Total Non-current assets held for sale (or disposal groups)</w:t>
            </w:r>
          </w:p>
        </w:tc>
        <w:tc>
          <w:tcPr>
            <w:tcW w:w="818" w:type="pct"/>
            <w:vAlign w:val="bottom"/>
          </w:tcPr>
          <w:p w14:paraId="7568FA02" w14:textId="77777777" w:rsidR="00510A4B" w:rsidRPr="001B330E" w:rsidRDefault="00510A4B" w:rsidP="00210678">
            <w:pPr>
              <w:widowControl w:val="0"/>
              <w:pBdr>
                <w:top w:val="nil"/>
                <w:left w:val="nil"/>
                <w:bottom w:val="nil"/>
                <w:right w:val="nil"/>
                <w:between w:val="nil"/>
              </w:pBdr>
              <w:spacing w:line="230" w:lineRule="auto"/>
              <w:jc w:val="right"/>
              <w:rPr>
                <w:b/>
                <w:color w:val="000000"/>
                <w:spacing w:val="-4"/>
              </w:rPr>
            </w:pPr>
          </w:p>
        </w:tc>
        <w:tc>
          <w:tcPr>
            <w:tcW w:w="817" w:type="pct"/>
            <w:vAlign w:val="bottom"/>
          </w:tcPr>
          <w:p w14:paraId="574C13C3" w14:textId="77777777" w:rsidR="00510A4B" w:rsidRPr="001B330E" w:rsidRDefault="00510A4B" w:rsidP="00210678">
            <w:pPr>
              <w:widowControl w:val="0"/>
              <w:pBdr>
                <w:top w:val="nil"/>
                <w:left w:val="nil"/>
                <w:bottom w:val="nil"/>
                <w:right w:val="nil"/>
                <w:between w:val="nil"/>
              </w:pBdr>
              <w:spacing w:line="230" w:lineRule="auto"/>
              <w:jc w:val="right"/>
              <w:rPr>
                <w:b/>
                <w:color w:val="000000"/>
                <w:spacing w:val="-4"/>
              </w:rPr>
            </w:pPr>
          </w:p>
        </w:tc>
      </w:tr>
      <w:tr w:rsidR="00510A4B" w:rsidRPr="00E03E99" w14:paraId="730C1D04" w14:textId="77777777" w:rsidTr="002A5F5D">
        <w:trPr>
          <w:trHeight w:val="23"/>
        </w:trPr>
        <w:tc>
          <w:tcPr>
            <w:tcW w:w="3365" w:type="pct"/>
            <w:tcBorders>
              <w:bottom w:val="single" w:sz="12" w:space="0" w:color="000000"/>
            </w:tcBorders>
            <w:vAlign w:val="bottom"/>
          </w:tcPr>
          <w:p w14:paraId="1E0AA9C7" w14:textId="77777777" w:rsidR="00510A4B" w:rsidRPr="001B330E" w:rsidRDefault="00510A4B" w:rsidP="00210678">
            <w:pPr>
              <w:widowControl w:val="0"/>
              <w:pBdr>
                <w:top w:val="nil"/>
                <w:left w:val="nil"/>
                <w:bottom w:val="nil"/>
                <w:right w:val="nil"/>
                <w:between w:val="nil"/>
              </w:pBdr>
              <w:spacing w:line="230" w:lineRule="auto"/>
              <w:ind w:left="113" w:hanging="113"/>
              <w:rPr>
                <w:color w:val="000000"/>
                <w:spacing w:val="-4"/>
              </w:rPr>
            </w:pPr>
            <w:r w:rsidRPr="001B330E">
              <w:rPr>
                <w:b/>
                <w:color w:val="000000"/>
                <w:spacing w:val="-4"/>
              </w:rPr>
              <w:t> </w:t>
            </w:r>
          </w:p>
        </w:tc>
        <w:tc>
          <w:tcPr>
            <w:tcW w:w="818" w:type="pct"/>
            <w:tcBorders>
              <w:bottom w:val="single" w:sz="12" w:space="0" w:color="000000"/>
            </w:tcBorders>
            <w:vAlign w:val="bottom"/>
          </w:tcPr>
          <w:p w14:paraId="1A1FEBD2" w14:textId="77777777" w:rsidR="00510A4B" w:rsidRPr="001B330E" w:rsidRDefault="00510A4B" w:rsidP="00210678">
            <w:pPr>
              <w:widowControl w:val="0"/>
              <w:pBdr>
                <w:top w:val="nil"/>
                <w:left w:val="nil"/>
                <w:bottom w:val="nil"/>
                <w:right w:val="nil"/>
                <w:between w:val="nil"/>
              </w:pBdr>
              <w:spacing w:line="230" w:lineRule="auto"/>
              <w:jc w:val="right"/>
              <w:rPr>
                <w:b/>
                <w:color w:val="000000"/>
                <w:spacing w:val="-4"/>
              </w:rPr>
            </w:pPr>
          </w:p>
        </w:tc>
        <w:tc>
          <w:tcPr>
            <w:tcW w:w="817" w:type="pct"/>
            <w:tcBorders>
              <w:bottom w:val="single" w:sz="12" w:space="0" w:color="000000"/>
            </w:tcBorders>
            <w:vAlign w:val="bottom"/>
          </w:tcPr>
          <w:p w14:paraId="55A6976D" w14:textId="77777777" w:rsidR="00510A4B" w:rsidRPr="001B330E" w:rsidRDefault="00510A4B" w:rsidP="00210678">
            <w:pPr>
              <w:widowControl w:val="0"/>
              <w:pBdr>
                <w:top w:val="nil"/>
                <w:left w:val="nil"/>
                <w:bottom w:val="nil"/>
                <w:right w:val="nil"/>
                <w:between w:val="nil"/>
              </w:pBdr>
              <w:spacing w:line="230" w:lineRule="auto"/>
              <w:jc w:val="right"/>
              <w:rPr>
                <w:b/>
                <w:color w:val="000000"/>
                <w:spacing w:val="-4"/>
              </w:rPr>
            </w:pPr>
          </w:p>
        </w:tc>
      </w:tr>
    </w:tbl>
    <w:p w14:paraId="4C4CD76D" w14:textId="77777777" w:rsidR="002A5F5D" w:rsidRPr="002547FE" w:rsidRDefault="002A5F5D" w:rsidP="002A5F5D">
      <w:pPr>
        <w:pStyle w:val="Continued"/>
      </w:pPr>
      <w:r w:rsidRPr="002547FE">
        <w:lastRenderedPageBreak/>
        <w:t>20</w:t>
      </w:r>
      <w:r w:rsidRPr="002547FE">
        <w:tab/>
        <w:t>Non-Current Assets Classified as Held for Sale (or Disposal Groups) (Continued)</w:t>
      </w:r>
    </w:p>
    <w:p w14:paraId="309CDEFD"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Major classes of liabilities directly associated with disposal groups held for sale are as follows:</w:t>
      </w:r>
    </w:p>
    <w:tbl>
      <w:tblPr>
        <w:tblStyle w:val="affffffffffd"/>
        <w:tblW w:w="5000" w:type="pct"/>
        <w:tblLayout w:type="fixed"/>
        <w:tblLook w:val="0000" w:firstRow="0" w:lastRow="0" w:firstColumn="0" w:lastColumn="0" w:noHBand="0" w:noVBand="0"/>
      </w:tblPr>
      <w:tblGrid>
        <w:gridCol w:w="6296"/>
        <w:gridCol w:w="1530"/>
        <w:gridCol w:w="1529"/>
      </w:tblGrid>
      <w:tr w:rsidR="00D83E33" w:rsidRPr="00EA10CF" w14:paraId="7F862D90" w14:textId="77777777" w:rsidTr="00A90BB8">
        <w:trPr>
          <w:trHeight w:val="23"/>
        </w:trPr>
        <w:tc>
          <w:tcPr>
            <w:tcW w:w="3365" w:type="pct"/>
            <w:tcBorders>
              <w:bottom w:val="single" w:sz="4" w:space="0" w:color="000000"/>
            </w:tcBorders>
            <w:vAlign w:val="bottom"/>
          </w:tcPr>
          <w:p w14:paraId="0D236A34" w14:textId="434A2C2F" w:rsidR="00D83E33" w:rsidRPr="00E03E99"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18" w:type="pct"/>
            <w:tcBorders>
              <w:bottom w:val="single" w:sz="4" w:space="0" w:color="000000"/>
            </w:tcBorders>
            <w:vAlign w:val="bottom"/>
          </w:tcPr>
          <w:p w14:paraId="22ADFBA6" w14:textId="17D32B76"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7" w:type="pct"/>
            <w:tcBorders>
              <w:bottom w:val="single" w:sz="4" w:space="0" w:color="000000"/>
            </w:tcBorders>
            <w:vAlign w:val="bottom"/>
          </w:tcPr>
          <w:p w14:paraId="079BCFF9" w14:textId="1B37010C"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2C1E9196" w14:textId="77777777" w:rsidTr="00A90BB8">
        <w:trPr>
          <w:trHeight w:val="23"/>
        </w:trPr>
        <w:tc>
          <w:tcPr>
            <w:tcW w:w="3365" w:type="pct"/>
            <w:vAlign w:val="bottom"/>
          </w:tcPr>
          <w:p w14:paraId="598EF0A9"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w:t>
            </w:r>
          </w:p>
        </w:tc>
        <w:tc>
          <w:tcPr>
            <w:tcW w:w="818" w:type="pct"/>
            <w:vAlign w:val="bottom"/>
          </w:tcPr>
          <w:p w14:paraId="5BB36D44" w14:textId="77777777" w:rsidR="00D83E33" w:rsidRPr="00EA10CF" w:rsidRDefault="00D83E33">
            <w:pPr>
              <w:widowControl w:val="0"/>
              <w:pBdr>
                <w:top w:val="nil"/>
                <w:left w:val="nil"/>
                <w:bottom w:val="nil"/>
                <w:right w:val="nil"/>
                <w:between w:val="nil"/>
              </w:pBdr>
              <w:jc w:val="right"/>
              <w:rPr>
                <w:color w:val="000000"/>
              </w:rPr>
            </w:pPr>
          </w:p>
        </w:tc>
        <w:tc>
          <w:tcPr>
            <w:tcW w:w="817" w:type="pct"/>
            <w:vAlign w:val="bottom"/>
          </w:tcPr>
          <w:p w14:paraId="0D73BCC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F9C8428" w14:textId="77777777" w:rsidTr="00A90BB8">
        <w:trPr>
          <w:trHeight w:val="23"/>
        </w:trPr>
        <w:tc>
          <w:tcPr>
            <w:tcW w:w="3365" w:type="pct"/>
            <w:vAlign w:val="bottom"/>
          </w:tcPr>
          <w:p w14:paraId="2BC3F92A"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Due to other banks</w:t>
            </w:r>
          </w:p>
        </w:tc>
        <w:tc>
          <w:tcPr>
            <w:tcW w:w="818" w:type="pct"/>
            <w:vAlign w:val="bottom"/>
          </w:tcPr>
          <w:p w14:paraId="183A99A6"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1B254388"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BCDB7B2" w14:textId="77777777" w:rsidTr="00A90BB8">
        <w:trPr>
          <w:trHeight w:val="23"/>
        </w:trPr>
        <w:tc>
          <w:tcPr>
            <w:tcW w:w="3365" w:type="pct"/>
            <w:vAlign w:val="bottom"/>
          </w:tcPr>
          <w:p w14:paraId="3286E4DF"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Customer accounts</w:t>
            </w:r>
          </w:p>
        </w:tc>
        <w:tc>
          <w:tcPr>
            <w:tcW w:w="818" w:type="pct"/>
            <w:vAlign w:val="bottom"/>
          </w:tcPr>
          <w:p w14:paraId="7C07200A"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3865287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3015319" w14:textId="77777777" w:rsidTr="00A90BB8">
        <w:trPr>
          <w:trHeight w:val="23"/>
        </w:trPr>
        <w:tc>
          <w:tcPr>
            <w:tcW w:w="3365" w:type="pct"/>
            <w:vAlign w:val="bottom"/>
          </w:tcPr>
          <w:p w14:paraId="3E0CDB11"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xml:space="preserve">Debt securities in issue </w:t>
            </w:r>
            <w:r w:rsidRPr="00E03E99">
              <w:rPr>
                <w:color w:val="0000FF"/>
              </w:rPr>
              <w:t>[Promissory notes issued]</w:t>
            </w:r>
          </w:p>
        </w:tc>
        <w:tc>
          <w:tcPr>
            <w:tcW w:w="818" w:type="pct"/>
            <w:vAlign w:val="bottom"/>
          </w:tcPr>
          <w:p w14:paraId="0E3CE5E2"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514BC640"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38E966F" w14:textId="77777777" w:rsidTr="00A90BB8">
        <w:trPr>
          <w:trHeight w:val="23"/>
        </w:trPr>
        <w:tc>
          <w:tcPr>
            <w:tcW w:w="3365" w:type="pct"/>
            <w:vAlign w:val="bottom"/>
          </w:tcPr>
          <w:p w14:paraId="44DDDBB8"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xml:space="preserve">Other borrowed funds </w:t>
            </w:r>
          </w:p>
        </w:tc>
        <w:tc>
          <w:tcPr>
            <w:tcW w:w="818" w:type="pct"/>
            <w:vAlign w:val="bottom"/>
          </w:tcPr>
          <w:p w14:paraId="0E43026E"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3BC0EE9B"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49F2E04" w14:textId="77777777" w:rsidTr="00A90BB8">
        <w:trPr>
          <w:trHeight w:val="23"/>
        </w:trPr>
        <w:tc>
          <w:tcPr>
            <w:tcW w:w="3365" w:type="pct"/>
            <w:vAlign w:val="bottom"/>
          </w:tcPr>
          <w:p w14:paraId="402E1044"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Current income tax liability</w:t>
            </w:r>
          </w:p>
        </w:tc>
        <w:tc>
          <w:tcPr>
            <w:tcW w:w="818" w:type="pct"/>
            <w:vAlign w:val="bottom"/>
          </w:tcPr>
          <w:p w14:paraId="4232E8EE"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361EBF5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2254D59" w14:textId="77777777" w:rsidTr="00A90BB8">
        <w:trPr>
          <w:trHeight w:val="23"/>
        </w:trPr>
        <w:tc>
          <w:tcPr>
            <w:tcW w:w="3365" w:type="pct"/>
            <w:vAlign w:val="bottom"/>
          </w:tcPr>
          <w:p w14:paraId="79B53F3E"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Deferred income tax liability</w:t>
            </w:r>
          </w:p>
        </w:tc>
        <w:tc>
          <w:tcPr>
            <w:tcW w:w="818" w:type="pct"/>
            <w:vAlign w:val="bottom"/>
          </w:tcPr>
          <w:p w14:paraId="39482E07"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211A89C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761E2F0" w14:textId="77777777" w:rsidTr="00A90BB8">
        <w:trPr>
          <w:trHeight w:val="23"/>
        </w:trPr>
        <w:tc>
          <w:tcPr>
            <w:tcW w:w="3365" w:type="pct"/>
            <w:vAlign w:val="bottom"/>
          </w:tcPr>
          <w:p w14:paraId="3C151AEF"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Provisions for liabilities and charges</w:t>
            </w:r>
          </w:p>
        </w:tc>
        <w:tc>
          <w:tcPr>
            <w:tcW w:w="818" w:type="pct"/>
            <w:vAlign w:val="bottom"/>
          </w:tcPr>
          <w:p w14:paraId="10B7273B"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5D68C53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BBECAB3" w14:textId="77777777" w:rsidTr="00A90BB8">
        <w:trPr>
          <w:trHeight w:val="23"/>
        </w:trPr>
        <w:tc>
          <w:tcPr>
            <w:tcW w:w="3365" w:type="pct"/>
            <w:vAlign w:val="bottom"/>
          </w:tcPr>
          <w:p w14:paraId="214BC783" w14:textId="69203981" w:rsidR="00D83E33" w:rsidRPr="00E03E99" w:rsidRDefault="00BC4072" w:rsidP="001B330E">
            <w:pPr>
              <w:widowControl w:val="0"/>
              <w:pBdr>
                <w:top w:val="nil"/>
                <w:left w:val="nil"/>
                <w:bottom w:val="nil"/>
                <w:right w:val="nil"/>
                <w:between w:val="nil"/>
              </w:pBdr>
              <w:tabs>
                <w:tab w:val="right" w:pos="8782"/>
              </w:tabs>
              <w:ind w:left="113" w:hanging="113"/>
              <w:rPr>
                <w:color w:val="000000"/>
              </w:rPr>
            </w:pPr>
            <w:r w:rsidRPr="00E03E99">
              <w:rPr>
                <w:color w:val="000000"/>
              </w:rPr>
              <w:t xml:space="preserve">Other liabilities </w:t>
            </w:r>
          </w:p>
        </w:tc>
        <w:tc>
          <w:tcPr>
            <w:tcW w:w="818" w:type="pct"/>
            <w:vAlign w:val="bottom"/>
          </w:tcPr>
          <w:p w14:paraId="7331BA83" w14:textId="77777777" w:rsidR="00D83E33" w:rsidRPr="00EA10CF" w:rsidRDefault="00D83E33">
            <w:pPr>
              <w:widowControl w:val="0"/>
              <w:pBdr>
                <w:top w:val="nil"/>
                <w:left w:val="nil"/>
                <w:bottom w:val="nil"/>
                <w:right w:val="nil"/>
                <w:between w:val="nil"/>
              </w:pBdr>
              <w:jc w:val="right"/>
              <w:rPr>
                <w:color w:val="000000"/>
              </w:rPr>
            </w:pPr>
          </w:p>
        </w:tc>
        <w:tc>
          <w:tcPr>
            <w:tcW w:w="817" w:type="pct"/>
            <w:vAlign w:val="bottom"/>
          </w:tcPr>
          <w:p w14:paraId="55CD303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0CC47CD" w14:textId="77777777" w:rsidTr="00A90BB8">
        <w:trPr>
          <w:trHeight w:val="23"/>
        </w:trPr>
        <w:tc>
          <w:tcPr>
            <w:tcW w:w="3365" w:type="pct"/>
            <w:tcBorders>
              <w:bottom w:val="single" w:sz="4" w:space="0" w:color="000000"/>
            </w:tcBorders>
            <w:vAlign w:val="bottom"/>
          </w:tcPr>
          <w:p w14:paraId="21731B62"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b/>
                <w:color w:val="000000"/>
              </w:rPr>
              <w:t> </w:t>
            </w:r>
          </w:p>
        </w:tc>
        <w:tc>
          <w:tcPr>
            <w:tcW w:w="818" w:type="pct"/>
            <w:tcBorders>
              <w:bottom w:val="single" w:sz="4" w:space="0" w:color="000000"/>
            </w:tcBorders>
            <w:vAlign w:val="bottom"/>
          </w:tcPr>
          <w:p w14:paraId="57EE36B9" w14:textId="77777777" w:rsidR="00D83E33" w:rsidRPr="00EA10CF" w:rsidRDefault="00D83E33">
            <w:pPr>
              <w:widowControl w:val="0"/>
              <w:pBdr>
                <w:top w:val="nil"/>
                <w:left w:val="nil"/>
                <w:bottom w:val="nil"/>
                <w:right w:val="nil"/>
                <w:between w:val="nil"/>
              </w:pBdr>
              <w:jc w:val="right"/>
              <w:rPr>
                <w:b/>
                <w:color w:val="000000"/>
              </w:rPr>
            </w:pPr>
          </w:p>
        </w:tc>
        <w:tc>
          <w:tcPr>
            <w:tcW w:w="817" w:type="pct"/>
            <w:tcBorders>
              <w:bottom w:val="single" w:sz="4" w:space="0" w:color="000000"/>
            </w:tcBorders>
            <w:vAlign w:val="bottom"/>
          </w:tcPr>
          <w:p w14:paraId="68B632EB"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E30B5C7" w14:textId="77777777" w:rsidTr="00A90BB8">
        <w:trPr>
          <w:trHeight w:val="23"/>
        </w:trPr>
        <w:tc>
          <w:tcPr>
            <w:tcW w:w="3365" w:type="pct"/>
            <w:tcBorders>
              <w:top w:val="single" w:sz="4" w:space="0" w:color="000000"/>
            </w:tcBorders>
            <w:vAlign w:val="bottom"/>
          </w:tcPr>
          <w:p w14:paraId="27EB4290"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b/>
                <w:color w:val="000000"/>
              </w:rPr>
              <w:t xml:space="preserve"> </w:t>
            </w:r>
          </w:p>
        </w:tc>
        <w:tc>
          <w:tcPr>
            <w:tcW w:w="818" w:type="pct"/>
            <w:tcBorders>
              <w:top w:val="single" w:sz="4" w:space="0" w:color="000000"/>
            </w:tcBorders>
            <w:vAlign w:val="bottom"/>
          </w:tcPr>
          <w:p w14:paraId="076565E8" w14:textId="77777777" w:rsidR="00D83E33" w:rsidRPr="00EA10CF" w:rsidRDefault="00D83E33">
            <w:pPr>
              <w:widowControl w:val="0"/>
              <w:pBdr>
                <w:top w:val="nil"/>
                <w:left w:val="nil"/>
                <w:bottom w:val="nil"/>
                <w:right w:val="nil"/>
                <w:between w:val="nil"/>
              </w:pBdr>
              <w:jc w:val="right"/>
              <w:rPr>
                <w:b/>
                <w:color w:val="000000"/>
              </w:rPr>
            </w:pPr>
          </w:p>
        </w:tc>
        <w:tc>
          <w:tcPr>
            <w:tcW w:w="817" w:type="pct"/>
            <w:tcBorders>
              <w:top w:val="single" w:sz="4" w:space="0" w:color="000000"/>
            </w:tcBorders>
            <w:vAlign w:val="bottom"/>
          </w:tcPr>
          <w:p w14:paraId="580335B8"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D313F5F" w14:textId="77777777" w:rsidTr="00A90BB8">
        <w:trPr>
          <w:trHeight w:val="23"/>
        </w:trPr>
        <w:tc>
          <w:tcPr>
            <w:tcW w:w="3365" w:type="pct"/>
            <w:vAlign w:val="bottom"/>
          </w:tcPr>
          <w:p w14:paraId="7DBA5647" w14:textId="77777777" w:rsidR="00D83E33" w:rsidRPr="00E03E99" w:rsidRDefault="00BC4072" w:rsidP="001B330E">
            <w:pPr>
              <w:widowControl w:val="0"/>
              <w:pBdr>
                <w:top w:val="nil"/>
                <w:left w:val="nil"/>
                <w:bottom w:val="nil"/>
                <w:right w:val="nil"/>
                <w:between w:val="nil"/>
              </w:pBdr>
              <w:ind w:left="113" w:hanging="113"/>
              <w:rPr>
                <w:b/>
                <w:color w:val="000000"/>
              </w:rPr>
            </w:pPr>
            <w:r w:rsidRPr="00E03E99">
              <w:rPr>
                <w:b/>
                <w:color w:val="000000"/>
              </w:rPr>
              <w:t>Total liabilities directly associated with disposal groups held for sale</w:t>
            </w:r>
          </w:p>
        </w:tc>
        <w:tc>
          <w:tcPr>
            <w:tcW w:w="818" w:type="pct"/>
            <w:vAlign w:val="bottom"/>
          </w:tcPr>
          <w:p w14:paraId="708CCA77"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64402DF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642B3ED" w14:textId="77777777" w:rsidTr="00A90BB8">
        <w:trPr>
          <w:trHeight w:val="23"/>
        </w:trPr>
        <w:tc>
          <w:tcPr>
            <w:tcW w:w="3365" w:type="pct"/>
            <w:tcBorders>
              <w:bottom w:val="single" w:sz="12" w:space="0" w:color="000000"/>
            </w:tcBorders>
            <w:vAlign w:val="bottom"/>
          </w:tcPr>
          <w:p w14:paraId="3558C7AD"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b/>
                <w:color w:val="000000"/>
              </w:rPr>
              <w:t> </w:t>
            </w:r>
          </w:p>
        </w:tc>
        <w:tc>
          <w:tcPr>
            <w:tcW w:w="818" w:type="pct"/>
            <w:tcBorders>
              <w:bottom w:val="single" w:sz="12" w:space="0" w:color="000000"/>
            </w:tcBorders>
            <w:vAlign w:val="bottom"/>
          </w:tcPr>
          <w:p w14:paraId="29F0F91D" w14:textId="77777777" w:rsidR="00D83E33" w:rsidRPr="00EA10CF" w:rsidRDefault="00D83E33">
            <w:pPr>
              <w:widowControl w:val="0"/>
              <w:pBdr>
                <w:top w:val="nil"/>
                <w:left w:val="nil"/>
                <w:bottom w:val="nil"/>
                <w:right w:val="nil"/>
                <w:between w:val="nil"/>
              </w:pBdr>
              <w:jc w:val="right"/>
              <w:rPr>
                <w:b/>
                <w:color w:val="000000"/>
              </w:rPr>
            </w:pPr>
          </w:p>
        </w:tc>
        <w:tc>
          <w:tcPr>
            <w:tcW w:w="817" w:type="pct"/>
            <w:tcBorders>
              <w:bottom w:val="single" w:sz="12" w:space="0" w:color="000000"/>
            </w:tcBorders>
            <w:vAlign w:val="bottom"/>
          </w:tcPr>
          <w:p w14:paraId="1C918908" w14:textId="77777777" w:rsidR="00D83E33" w:rsidRPr="00EA10CF" w:rsidRDefault="00D83E33">
            <w:pPr>
              <w:widowControl w:val="0"/>
              <w:pBdr>
                <w:top w:val="nil"/>
                <w:left w:val="nil"/>
                <w:bottom w:val="nil"/>
                <w:right w:val="nil"/>
                <w:between w:val="nil"/>
              </w:pBdr>
              <w:jc w:val="right"/>
              <w:rPr>
                <w:b/>
                <w:color w:val="000000"/>
              </w:rPr>
            </w:pPr>
          </w:p>
        </w:tc>
      </w:tr>
    </w:tbl>
    <w:p w14:paraId="06FF53C1" w14:textId="5523E53E" w:rsidR="00A90BB8" w:rsidRPr="00A90BB8" w:rsidRDefault="00A90BB8" w:rsidP="00A90BB8">
      <w:pPr>
        <w:widowControl w:val="0"/>
        <w:pBdr>
          <w:top w:val="nil"/>
          <w:left w:val="nil"/>
          <w:bottom w:val="nil"/>
          <w:right w:val="nil"/>
          <w:between w:val="nil"/>
        </w:pBdr>
        <w:spacing w:before="200" w:after="200"/>
        <w:jc w:val="both"/>
        <w:rPr>
          <w:color w:val="0000FF"/>
          <w:sz w:val="20"/>
          <w:szCs w:val="20"/>
        </w:rPr>
      </w:pPr>
      <w:r w:rsidRPr="00A90BB8">
        <w:rPr>
          <w:color w:val="0000FF"/>
          <w:sz w:val="20"/>
          <w:szCs w:val="20"/>
        </w:rPr>
        <w:t>[Non-current assets and disposal groups, which may include both non-current and current assets, are classified in the statement of financial position as ‘non-current assets held for sale’ if their carrying amount will be recovered principally through a sale transaction, including loss of control of a subsidiary holding the assets, within twelve months after the end of the reporting period. Assets are reclassified when all of the following conditions are met: (a) the assets are available for immediate sale in their present condition; (b) the Group’s management approved and initiated an active programme to locate a buyer; (c) the assets are actively marketed for sale at a reasonable price; (d) the sale is expected within one year and (e) it is unlikely that significant changes to the plan to sell will be made or that the plan will be withdrawn. Non-current assets or disposal groups classified as held for sale in the current period’s statement of financial position are not reclassified or re-presented in the comparative statement of financial position to reflect the classification at the end of the current period.</w:t>
      </w:r>
    </w:p>
    <w:p w14:paraId="156A0033" w14:textId="77777777" w:rsidR="00A90BB8" w:rsidRPr="00A90BB8" w:rsidRDefault="00A90BB8" w:rsidP="00A90BB8">
      <w:pPr>
        <w:widowControl w:val="0"/>
        <w:pBdr>
          <w:top w:val="nil"/>
          <w:left w:val="nil"/>
          <w:bottom w:val="nil"/>
          <w:right w:val="nil"/>
          <w:between w:val="nil"/>
        </w:pBdr>
        <w:spacing w:before="200" w:after="200"/>
        <w:jc w:val="both"/>
        <w:rPr>
          <w:color w:val="0000FF"/>
          <w:sz w:val="20"/>
          <w:szCs w:val="20"/>
        </w:rPr>
      </w:pPr>
      <w:r w:rsidRPr="00A90BB8">
        <w:rPr>
          <w:color w:val="0000FF"/>
          <w:sz w:val="20"/>
          <w:szCs w:val="20"/>
        </w:rPr>
        <w:t>A disposal group is a group of assets (current or non-current) to be disposed of, by sale or otherwise, together as a group in a single transaction, and liabilities directly associated with those assets that will be transferred in the transaction. Goodwill is included if the disposal group includes an operation within a cash-generating unit to which goodwill has been allocated on acquisition. Non-current assets are assets that include amounts expected to be recovered or collected more than twelve months after the end of the reporting period. If reclassification is required, both the current and non-current portions of an asset are reclassified.</w:t>
      </w:r>
    </w:p>
    <w:p w14:paraId="1E965D1A" w14:textId="70617B15" w:rsidR="00A90BB8" w:rsidRDefault="00A90BB8" w:rsidP="00A90BB8">
      <w:pPr>
        <w:widowControl w:val="0"/>
        <w:pBdr>
          <w:top w:val="nil"/>
          <w:left w:val="nil"/>
          <w:bottom w:val="nil"/>
          <w:right w:val="nil"/>
          <w:between w:val="nil"/>
        </w:pBdr>
        <w:spacing w:before="200" w:after="200"/>
        <w:jc w:val="both"/>
        <w:rPr>
          <w:color w:val="0000FF"/>
          <w:sz w:val="20"/>
          <w:szCs w:val="20"/>
        </w:rPr>
      </w:pPr>
      <w:r w:rsidRPr="00A90BB8">
        <w:rPr>
          <w:color w:val="0000FF"/>
          <w:sz w:val="20"/>
          <w:szCs w:val="20"/>
        </w:rPr>
        <w:t>Held for sale disposal groups as a whole are measured at the lower of their carrying amount and fair value less costs to sell. Held for sale premises and equipment [, investment properties and intangible assets] are not depreciated or amortised. Reclassified non-current financial instruments[,] [and] deferred taxes[,] [and investment properties held at fair value] are not subject to write down to the lower of their carrying amount and fair value less costs to sell.]</w:t>
      </w:r>
    </w:p>
    <w:p w14:paraId="103EB706" w14:textId="77777777" w:rsidR="00A90BB8" w:rsidRPr="00A90BB8" w:rsidRDefault="00A90BB8" w:rsidP="00A90BB8">
      <w:pPr>
        <w:widowControl w:val="0"/>
        <w:pBdr>
          <w:top w:val="nil"/>
          <w:left w:val="nil"/>
          <w:bottom w:val="nil"/>
          <w:right w:val="nil"/>
          <w:between w:val="nil"/>
        </w:pBdr>
        <w:spacing w:before="200" w:after="200"/>
        <w:jc w:val="both"/>
        <w:rPr>
          <w:color w:val="0000FF"/>
          <w:sz w:val="20"/>
          <w:szCs w:val="20"/>
        </w:rPr>
      </w:pPr>
      <w:r w:rsidRPr="00A90BB8">
        <w:rPr>
          <w:b/>
          <w:i/>
          <w:color w:val="0000FF"/>
          <w:sz w:val="20"/>
          <w:szCs w:val="20"/>
        </w:rPr>
        <w:t xml:space="preserve">Discontinued operations. </w:t>
      </w:r>
      <w:r w:rsidRPr="00A90BB8">
        <w:rPr>
          <w:color w:val="0000FF"/>
          <w:sz w:val="20"/>
          <w:szCs w:val="20"/>
        </w:rPr>
        <w:t xml:space="preserve">A discontinued operation is a component of the Group that either has been disposed of, or that is classified as held for sale, and: (a) represents a separate major line of business or geographical area of operations; (b) is part of a single co-ordinated plan to dispose of a separate major line of business or geographical area of operations; or (c) is a subsidiary acquired exclusively with a view to resale. Earnings and cash flows of discontinued operations, if any, are disclosed separately from continuing operations with comparatives being re-presented. </w:t>
      </w:r>
    </w:p>
    <w:p w14:paraId="097E673F" w14:textId="1A5B878E" w:rsidR="00A90BB8" w:rsidRDefault="00A90BB8" w:rsidP="00A90BB8">
      <w:pPr>
        <w:widowControl w:val="0"/>
        <w:pBdr>
          <w:top w:val="nil"/>
          <w:left w:val="nil"/>
          <w:bottom w:val="nil"/>
          <w:right w:val="nil"/>
          <w:between w:val="nil"/>
        </w:pBdr>
        <w:spacing w:before="200" w:after="200"/>
        <w:jc w:val="both"/>
        <w:rPr>
          <w:i/>
          <w:color w:val="FF0000"/>
          <w:sz w:val="20"/>
          <w:szCs w:val="20"/>
        </w:rPr>
      </w:pPr>
      <w:r>
        <w:rPr>
          <w:i/>
          <w:color w:val="FF0000"/>
          <w:sz w:val="20"/>
          <w:szCs w:val="20"/>
        </w:rPr>
        <w:t>[</w:t>
      </w:r>
      <w:r w:rsidR="00456FF5">
        <w:rPr>
          <w:i/>
          <w:color w:val="FF0000"/>
          <w:sz w:val="20"/>
          <w:szCs w:val="20"/>
        </w:rPr>
        <w:t>Tailor to s</w:t>
      </w:r>
      <w:r>
        <w:rPr>
          <w:i/>
          <w:color w:val="FF0000"/>
          <w:sz w:val="20"/>
          <w:szCs w:val="20"/>
        </w:rPr>
        <w:t xml:space="preserve">pecify accounting policy if the Group holds an asset (or disposal group) previously classified as held for sale, but the held for sale criteria are no longer met – see IFRS 5.26.] </w:t>
      </w:r>
    </w:p>
    <w:p w14:paraId="514B8339" w14:textId="77777777" w:rsidR="00A90BB8" w:rsidRDefault="00A90BB8" w:rsidP="00A90BB8">
      <w:pPr>
        <w:widowControl w:val="0"/>
        <w:pBdr>
          <w:top w:val="nil"/>
          <w:left w:val="nil"/>
          <w:bottom w:val="nil"/>
          <w:right w:val="nil"/>
          <w:between w:val="nil"/>
        </w:pBdr>
        <w:spacing w:before="200" w:after="200"/>
        <w:jc w:val="both"/>
        <w:rPr>
          <w:color w:val="000000"/>
          <w:sz w:val="20"/>
          <w:szCs w:val="20"/>
        </w:rPr>
      </w:pPr>
      <w:r>
        <w:rPr>
          <w:color w:val="000000"/>
          <w:sz w:val="20"/>
          <w:szCs w:val="20"/>
        </w:rPr>
        <w:t>Liabilities directly associated with disposal groups that will be transferred in the disposal transaction are reclassified and presented separately in the statement of financial position.</w:t>
      </w:r>
    </w:p>
    <w:p w14:paraId="3AF14B7C" w14:textId="77777777" w:rsidR="002A5F5D" w:rsidRPr="002547FE" w:rsidRDefault="002A5F5D" w:rsidP="002A5F5D">
      <w:pPr>
        <w:pStyle w:val="Continued"/>
      </w:pPr>
      <w:r w:rsidRPr="002547FE">
        <w:lastRenderedPageBreak/>
        <w:t>20</w:t>
      </w:r>
      <w:r w:rsidRPr="002547FE">
        <w:tab/>
        <w:t>Non-Current Assets Classified as Held for Sale (or Disposal Groups) (Continued)</w:t>
      </w:r>
    </w:p>
    <w:p w14:paraId="6C2D9E5A" w14:textId="593BDD2E"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Management approved a plan to sell _____ assets on _____ due to _____. The Group is actively marketing these assets and expects the sale to complete by _____</w:t>
      </w:r>
      <w:r w:rsidR="00541EBC">
        <w:rPr>
          <w:color w:val="000000"/>
          <w:sz w:val="20"/>
          <w:szCs w:val="20"/>
        </w:rPr>
        <w:t>2024</w:t>
      </w:r>
      <w:r>
        <w:rPr>
          <w:color w:val="000000"/>
          <w:sz w:val="20"/>
          <w:szCs w:val="20"/>
        </w:rPr>
        <w:t xml:space="preserve">. </w:t>
      </w:r>
      <w:r>
        <w:rPr>
          <w:i/>
          <w:color w:val="FF0000"/>
          <w:sz w:val="20"/>
          <w:szCs w:val="20"/>
        </w:rPr>
        <w:t>[</w:t>
      </w:r>
      <w:r w:rsidR="00456FF5">
        <w:rPr>
          <w:i/>
          <w:color w:val="FF0000"/>
          <w:sz w:val="20"/>
          <w:szCs w:val="20"/>
        </w:rPr>
        <w:t>Tailor to d</w:t>
      </w:r>
      <w:r>
        <w:rPr>
          <w:i/>
          <w:color w:val="FF0000"/>
          <w:sz w:val="20"/>
          <w:szCs w:val="20"/>
        </w:rPr>
        <w:t>escribe facts and circumstances, expected manner and timing of that disposal.]</w:t>
      </w:r>
      <w:r>
        <w:rPr>
          <w:color w:val="000000"/>
          <w:sz w:val="20"/>
          <w:szCs w:val="20"/>
        </w:rPr>
        <w:t xml:space="preserve"> </w:t>
      </w:r>
      <w:r>
        <w:rPr>
          <w:color w:val="0000FF"/>
          <w:sz w:val="20"/>
          <w:szCs w:val="20"/>
        </w:rPr>
        <w:t>[Refer to Note 35 for loss on write-down to fair value less costs to sell of Non-current assets held for sale (or disposal groups).]</w:t>
      </w:r>
    </w:p>
    <w:p w14:paraId="2D20DBA2" w14:textId="3722319C"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[If applicable, disclose, in the period of the decision to change the plan to sell the non-current asset (or disposal group), a description of the facts and circumstances leading to the decision and the effect of the decision on the results of operations for the period and any prior periods presented.]</w:t>
      </w:r>
    </w:p>
    <w:p w14:paraId="60968FEB" w14:textId="57751FD5"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 xml:space="preserve">[If material, provide also IFRS 7 and IFRS 13 disclosures </w:t>
      </w:r>
      <w:r>
        <w:rPr>
          <w:i/>
          <w:color w:val="FF0000"/>
          <w:sz w:val="20"/>
          <w:szCs w:val="20"/>
          <w:u w:val="single"/>
        </w:rPr>
        <w:t>about measurement</w:t>
      </w:r>
      <w:r>
        <w:rPr>
          <w:i/>
          <w:color w:val="FF0000"/>
          <w:sz w:val="20"/>
          <w:szCs w:val="20"/>
        </w:rPr>
        <w:t xml:space="preserve"> of financial assets and liabilities that are not otherwise included in Note 41, Financial Risk Management or Note 49, Fair Value of Financial Instruments. This includes for example analysis of credit quality and ECL of financial assets and information about fair value measurement. Refer to IFRS 5.5B.]</w:t>
      </w:r>
    </w:p>
    <w:p w14:paraId="5149CA34" w14:textId="6C482CE7" w:rsidR="00D83E33" w:rsidRDefault="00BC4072">
      <w:pPr>
        <w:widowControl w:val="0"/>
        <w:pBdr>
          <w:top w:val="nil"/>
          <w:left w:val="nil"/>
          <w:bottom w:val="nil"/>
          <w:right w:val="nil"/>
          <w:between w:val="nil"/>
        </w:pBdr>
        <w:spacing w:before="200" w:after="200"/>
        <w:jc w:val="both"/>
        <w:rPr>
          <w:i/>
          <w:color w:val="000000"/>
          <w:sz w:val="20"/>
          <w:szCs w:val="20"/>
        </w:rPr>
      </w:pPr>
      <w:r>
        <w:rPr>
          <w:color w:val="000000"/>
          <w:sz w:val="20"/>
          <w:szCs w:val="20"/>
        </w:rPr>
        <w:t xml:space="preserve">On _____ </w:t>
      </w:r>
      <w:r w:rsidR="00541EBC">
        <w:rPr>
          <w:color w:val="000000"/>
          <w:sz w:val="20"/>
          <w:szCs w:val="20"/>
        </w:rPr>
        <w:t>2024</w:t>
      </w:r>
      <w:r>
        <w:rPr>
          <w:color w:val="000000"/>
          <w:sz w:val="20"/>
          <w:szCs w:val="20"/>
        </w:rPr>
        <w:t>, the Group disposed of _____% of the share capital of _____. The subsidiary was previously classified as a disposal group and its assets and liabilities were accordingly reclassified in the statement of financial position. The details of the disposed assets and liabilities and disposal consideration are as follows:</w:t>
      </w:r>
    </w:p>
    <w:tbl>
      <w:tblPr>
        <w:tblStyle w:val="affffffffffe"/>
        <w:tblW w:w="5000" w:type="pct"/>
        <w:tblLayout w:type="fixed"/>
        <w:tblLook w:val="0000" w:firstRow="0" w:lastRow="0" w:firstColumn="0" w:lastColumn="0" w:noHBand="0" w:noVBand="0"/>
      </w:tblPr>
      <w:tblGrid>
        <w:gridCol w:w="6872"/>
        <w:gridCol w:w="782"/>
        <w:gridCol w:w="1701"/>
      </w:tblGrid>
      <w:tr w:rsidR="00D83E33" w:rsidRPr="00EA10CF" w14:paraId="01E0BF0C" w14:textId="77777777" w:rsidTr="001B330E">
        <w:trPr>
          <w:trHeight w:val="23"/>
        </w:trPr>
        <w:tc>
          <w:tcPr>
            <w:tcW w:w="3673" w:type="pct"/>
            <w:tcBorders>
              <w:bottom w:val="single" w:sz="4" w:space="0" w:color="000000"/>
            </w:tcBorders>
            <w:vAlign w:val="bottom"/>
          </w:tcPr>
          <w:p w14:paraId="16DF1C16" w14:textId="74F0D1A8"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418" w:type="pct"/>
            <w:tcBorders>
              <w:bottom w:val="single" w:sz="4" w:space="0" w:color="000000"/>
            </w:tcBorders>
            <w:vAlign w:val="bottom"/>
          </w:tcPr>
          <w:p w14:paraId="084540C0"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w:t>
            </w:r>
          </w:p>
        </w:tc>
        <w:tc>
          <w:tcPr>
            <w:tcW w:w="909" w:type="pct"/>
            <w:tcBorders>
              <w:bottom w:val="single" w:sz="4" w:space="0" w:color="000000"/>
            </w:tcBorders>
            <w:vAlign w:val="bottom"/>
          </w:tcPr>
          <w:p w14:paraId="63D1C789" w14:textId="77777777" w:rsidR="00D83E33" w:rsidRPr="00EA10CF" w:rsidRDefault="00BC4072">
            <w:pPr>
              <w:widowControl w:val="0"/>
              <w:pBdr>
                <w:top w:val="nil"/>
                <w:left w:val="nil"/>
                <w:bottom w:val="nil"/>
                <w:right w:val="nil"/>
                <w:between w:val="nil"/>
              </w:pBdr>
              <w:jc w:val="right"/>
              <w:rPr>
                <w:b/>
                <w:color w:val="0000FF"/>
              </w:rPr>
            </w:pPr>
            <w:r w:rsidRPr="00EA10CF">
              <w:rPr>
                <w:b/>
                <w:color w:val="0000FF"/>
              </w:rPr>
              <w:t>[Date of disposal]</w:t>
            </w:r>
          </w:p>
        </w:tc>
      </w:tr>
      <w:tr w:rsidR="00D83E33" w:rsidRPr="00EA10CF" w14:paraId="71B56B33" w14:textId="77777777" w:rsidTr="001B330E">
        <w:trPr>
          <w:trHeight w:val="23"/>
        </w:trPr>
        <w:tc>
          <w:tcPr>
            <w:tcW w:w="3673" w:type="pct"/>
            <w:vAlign w:val="bottom"/>
          </w:tcPr>
          <w:p w14:paraId="260DCE8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vAlign w:val="bottom"/>
          </w:tcPr>
          <w:p w14:paraId="7AB90076"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2653A38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6BED872" w14:textId="77777777" w:rsidTr="001B330E">
        <w:trPr>
          <w:trHeight w:val="23"/>
        </w:trPr>
        <w:tc>
          <w:tcPr>
            <w:tcW w:w="3673" w:type="pct"/>
            <w:vAlign w:val="bottom"/>
          </w:tcPr>
          <w:p w14:paraId="57DE78B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Goodwill</w:t>
            </w:r>
          </w:p>
        </w:tc>
        <w:tc>
          <w:tcPr>
            <w:tcW w:w="418" w:type="pct"/>
            <w:vAlign w:val="bottom"/>
          </w:tcPr>
          <w:p w14:paraId="0CC9E19F" w14:textId="77777777" w:rsidR="00D83E33" w:rsidRPr="00EA10CF" w:rsidRDefault="00BC4072">
            <w:pPr>
              <w:widowControl w:val="0"/>
              <w:pBdr>
                <w:top w:val="nil"/>
                <w:left w:val="nil"/>
                <w:bottom w:val="nil"/>
                <w:right w:val="nil"/>
                <w:between w:val="nil"/>
              </w:pBdr>
              <w:jc w:val="center"/>
              <w:rPr>
                <w:color w:val="000000"/>
              </w:rPr>
            </w:pPr>
            <w:r w:rsidRPr="00EA10CF">
              <w:rPr>
                <w:color w:val="000000"/>
              </w:rPr>
              <w:t>17</w:t>
            </w:r>
          </w:p>
        </w:tc>
        <w:tc>
          <w:tcPr>
            <w:tcW w:w="909" w:type="pct"/>
            <w:vAlign w:val="bottom"/>
          </w:tcPr>
          <w:p w14:paraId="37E13BC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05A44EB" w14:textId="77777777" w:rsidTr="001B330E">
        <w:trPr>
          <w:trHeight w:val="23"/>
        </w:trPr>
        <w:tc>
          <w:tcPr>
            <w:tcW w:w="3673" w:type="pct"/>
            <w:vAlign w:val="bottom"/>
          </w:tcPr>
          <w:p w14:paraId="72826C1F"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 xml:space="preserve">Cash and cash equivalents </w:t>
            </w:r>
          </w:p>
        </w:tc>
        <w:tc>
          <w:tcPr>
            <w:tcW w:w="418" w:type="pct"/>
            <w:vAlign w:val="bottom"/>
          </w:tcPr>
          <w:p w14:paraId="107AD1E2"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52D27EE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BA74989" w14:textId="77777777" w:rsidTr="001B330E">
        <w:trPr>
          <w:trHeight w:val="23"/>
        </w:trPr>
        <w:tc>
          <w:tcPr>
            <w:tcW w:w="3673" w:type="pct"/>
            <w:vAlign w:val="bottom"/>
          </w:tcPr>
          <w:p w14:paraId="5212DAA4"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Loans and advances to customers</w:t>
            </w:r>
          </w:p>
        </w:tc>
        <w:tc>
          <w:tcPr>
            <w:tcW w:w="418" w:type="pct"/>
            <w:vAlign w:val="bottom"/>
          </w:tcPr>
          <w:p w14:paraId="385A9561"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06216EE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7F0D4DD" w14:textId="77777777" w:rsidTr="001B330E">
        <w:trPr>
          <w:trHeight w:val="23"/>
        </w:trPr>
        <w:tc>
          <w:tcPr>
            <w:tcW w:w="3673" w:type="pct"/>
            <w:vAlign w:val="bottom"/>
          </w:tcPr>
          <w:p w14:paraId="6BBCF58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Debt securities at </w:t>
            </w:r>
            <w:r w:rsidRPr="00EA10CF">
              <w:rPr>
                <w:color w:val="0000FF"/>
              </w:rPr>
              <w:t>[FVOCI]</w:t>
            </w:r>
          </w:p>
        </w:tc>
        <w:tc>
          <w:tcPr>
            <w:tcW w:w="418" w:type="pct"/>
            <w:vAlign w:val="bottom"/>
          </w:tcPr>
          <w:p w14:paraId="4B23C69C"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368719A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57834A4" w14:textId="77777777" w:rsidTr="001B330E">
        <w:trPr>
          <w:trHeight w:val="23"/>
        </w:trPr>
        <w:tc>
          <w:tcPr>
            <w:tcW w:w="3673" w:type="pct"/>
            <w:vAlign w:val="bottom"/>
          </w:tcPr>
          <w:p w14:paraId="6D232C60"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Other assets</w:t>
            </w:r>
          </w:p>
        </w:tc>
        <w:tc>
          <w:tcPr>
            <w:tcW w:w="418" w:type="pct"/>
            <w:vAlign w:val="bottom"/>
          </w:tcPr>
          <w:p w14:paraId="796A5615"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7F75638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79A8E2" w14:textId="77777777" w:rsidTr="001B330E">
        <w:trPr>
          <w:trHeight w:val="23"/>
        </w:trPr>
        <w:tc>
          <w:tcPr>
            <w:tcW w:w="3673" w:type="pct"/>
            <w:vAlign w:val="bottom"/>
          </w:tcPr>
          <w:p w14:paraId="7F88687E"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 xml:space="preserve">Customer accounts </w:t>
            </w:r>
          </w:p>
        </w:tc>
        <w:tc>
          <w:tcPr>
            <w:tcW w:w="418" w:type="pct"/>
            <w:vAlign w:val="bottom"/>
          </w:tcPr>
          <w:p w14:paraId="2F1D9FB6"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1E84DF5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9677251" w14:textId="77777777" w:rsidTr="001B330E">
        <w:trPr>
          <w:trHeight w:val="23"/>
        </w:trPr>
        <w:tc>
          <w:tcPr>
            <w:tcW w:w="3673" w:type="pct"/>
            <w:vAlign w:val="bottom"/>
          </w:tcPr>
          <w:p w14:paraId="5850C57C"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Other liabilities</w:t>
            </w:r>
          </w:p>
        </w:tc>
        <w:tc>
          <w:tcPr>
            <w:tcW w:w="418" w:type="pct"/>
            <w:vAlign w:val="bottom"/>
          </w:tcPr>
          <w:p w14:paraId="2DB508A7"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1519CA0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7D3477C" w14:textId="77777777" w:rsidTr="001B330E">
        <w:trPr>
          <w:trHeight w:val="23"/>
        </w:trPr>
        <w:tc>
          <w:tcPr>
            <w:tcW w:w="3673" w:type="pct"/>
            <w:vAlign w:val="bottom"/>
          </w:tcPr>
          <w:p w14:paraId="30993AC2" w14:textId="68A12106" w:rsidR="00D83E33" w:rsidRPr="00EA10CF" w:rsidRDefault="00D83E33" w:rsidP="001B330E">
            <w:pPr>
              <w:widowControl w:val="0"/>
              <w:pBdr>
                <w:top w:val="nil"/>
                <w:left w:val="nil"/>
                <w:bottom w:val="nil"/>
                <w:right w:val="nil"/>
                <w:between w:val="nil"/>
              </w:pBdr>
              <w:ind w:left="113" w:hanging="113"/>
              <w:rPr>
                <w:i/>
                <w:color w:val="FF0000"/>
              </w:rPr>
            </w:pPr>
          </w:p>
        </w:tc>
        <w:tc>
          <w:tcPr>
            <w:tcW w:w="418" w:type="pct"/>
            <w:vAlign w:val="bottom"/>
          </w:tcPr>
          <w:p w14:paraId="016FFA33"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3FDE223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1A054B0" w14:textId="77777777" w:rsidTr="001B330E">
        <w:trPr>
          <w:trHeight w:val="23"/>
        </w:trPr>
        <w:tc>
          <w:tcPr>
            <w:tcW w:w="3673" w:type="pct"/>
            <w:tcBorders>
              <w:bottom w:val="single" w:sz="4" w:space="0" w:color="000000"/>
            </w:tcBorders>
            <w:vAlign w:val="bottom"/>
          </w:tcPr>
          <w:p w14:paraId="0F6A4B7F"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 </w:t>
            </w:r>
          </w:p>
        </w:tc>
        <w:tc>
          <w:tcPr>
            <w:tcW w:w="418" w:type="pct"/>
            <w:tcBorders>
              <w:bottom w:val="single" w:sz="4" w:space="0" w:color="000000"/>
            </w:tcBorders>
            <w:vAlign w:val="bottom"/>
          </w:tcPr>
          <w:p w14:paraId="7BDF0CBE"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36F8CB6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B2542EA" w14:textId="77777777" w:rsidTr="001B330E">
        <w:trPr>
          <w:trHeight w:val="23"/>
        </w:trPr>
        <w:tc>
          <w:tcPr>
            <w:tcW w:w="3673" w:type="pct"/>
            <w:tcBorders>
              <w:top w:val="single" w:sz="4" w:space="0" w:color="000000"/>
            </w:tcBorders>
            <w:vAlign w:val="bottom"/>
          </w:tcPr>
          <w:p w14:paraId="7EDD99BC"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 </w:t>
            </w:r>
          </w:p>
        </w:tc>
        <w:tc>
          <w:tcPr>
            <w:tcW w:w="418" w:type="pct"/>
            <w:tcBorders>
              <w:top w:val="single" w:sz="4" w:space="0" w:color="000000"/>
            </w:tcBorders>
            <w:vAlign w:val="bottom"/>
          </w:tcPr>
          <w:p w14:paraId="165FAB2D"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6F368F5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646225D" w14:textId="77777777" w:rsidTr="001B330E">
        <w:trPr>
          <w:trHeight w:val="23"/>
        </w:trPr>
        <w:tc>
          <w:tcPr>
            <w:tcW w:w="3673" w:type="pct"/>
            <w:vAlign w:val="bottom"/>
          </w:tcPr>
          <w:p w14:paraId="7F84C3E0"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b/>
                <w:color w:val="000000"/>
              </w:rPr>
              <w:t>Net assets of subsidiary, including attributed goodwill</w:t>
            </w:r>
          </w:p>
        </w:tc>
        <w:tc>
          <w:tcPr>
            <w:tcW w:w="418" w:type="pct"/>
            <w:vAlign w:val="bottom"/>
          </w:tcPr>
          <w:p w14:paraId="235B6369"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0401708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DD139DC" w14:textId="77777777" w:rsidTr="001B330E">
        <w:trPr>
          <w:trHeight w:val="23"/>
        </w:trPr>
        <w:tc>
          <w:tcPr>
            <w:tcW w:w="3673" w:type="pct"/>
            <w:vAlign w:val="bottom"/>
          </w:tcPr>
          <w:p w14:paraId="0BA11C4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Less: non-controlling interest </w:t>
            </w:r>
          </w:p>
        </w:tc>
        <w:tc>
          <w:tcPr>
            <w:tcW w:w="418" w:type="pct"/>
            <w:vAlign w:val="bottom"/>
          </w:tcPr>
          <w:p w14:paraId="3EC6CF79"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6C121C3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2BEE779" w14:textId="77777777" w:rsidTr="001B330E">
        <w:trPr>
          <w:trHeight w:val="23"/>
        </w:trPr>
        <w:tc>
          <w:tcPr>
            <w:tcW w:w="3673" w:type="pct"/>
            <w:tcBorders>
              <w:bottom w:val="single" w:sz="4" w:space="0" w:color="000000"/>
            </w:tcBorders>
            <w:vAlign w:val="bottom"/>
          </w:tcPr>
          <w:p w14:paraId="2EA55250"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 </w:t>
            </w:r>
          </w:p>
        </w:tc>
        <w:tc>
          <w:tcPr>
            <w:tcW w:w="418" w:type="pct"/>
            <w:tcBorders>
              <w:bottom w:val="single" w:sz="4" w:space="0" w:color="000000"/>
            </w:tcBorders>
            <w:vAlign w:val="bottom"/>
          </w:tcPr>
          <w:p w14:paraId="1753930B"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7C3CC78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FBD923B" w14:textId="77777777" w:rsidTr="001B330E">
        <w:trPr>
          <w:trHeight w:val="23"/>
        </w:trPr>
        <w:tc>
          <w:tcPr>
            <w:tcW w:w="3673" w:type="pct"/>
            <w:tcBorders>
              <w:top w:val="single" w:sz="4" w:space="0" w:color="000000"/>
            </w:tcBorders>
            <w:vAlign w:val="bottom"/>
          </w:tcPr>
          <w:p w14:paraId="30C2E29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tcBorders>
              <w:top w:val="single" w:sz="4" w:space="0" w:color="000000"/>
            </w:tcBorders>
            <w:vAlign w:val="bottom"/>
          </w:tcPr>
          <w:p w14:paraId="3F7BF906"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120D352C"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5B83C86" w14:textId="77777777" w:rsidTr="001B330E">
        <w:trPr>
          <w:trHeight w:val="23"/>
        </w:trPr>
        <w:tc>
          <w:tcPr>
            <w:tcW w:w="3673" w:type="pct"/>
            <w:vAlign w:val="bottom"/>
          </w:tcPr>
          <w:p w14:paraId="469FB29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Carrying amount of disposed net assets </w:t>
            </w:r>
          </w:p>
        </w:tc>
        <w:tc>
          <w:tcPr>
            <w:tcW w:w="418" w:type="pct"/>
            <w:vAlign w:val="bottom"/>
          </w:tcPr>
          <w:p w14:paraId="7792CD1A" w14:textId="77777777" w:rsidR="00D83E33" w:rsidRPr="00EA10CF" w:rsidRDefault="00D83E33">
            <w:pPr>
              <w:widowControl w:val="0"/>
              <w:pBdr>
                <w:top w:val="nil"/>
                <w:left w:val="nil"/>
                <w:bottom w:val="nil"/>
                <w:right w:val="nil"/>
                <w:between w:val="nil"/>
              </w:pBdr>
              <w:jc w:val="center"/>
              <w:rPr>
                <w:b/>
                <w:color w:val="000000"/>
              </w:rPr>
            </w:pPr>
          </w:p>
        </w:tc>
        <w:tc>
          <w:tcPr>
            <w:tcW w:w="909" w:type="pct"/>
            <w:vAlign w:val="bottom"/>
          </w:tcPr>
          <w:p w14:paraId="55D3498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C5BA070" w14:textId="77777777" w:rsidTr="001B330E">
        <w:trPr>
          <w:trHeight w:val="23"/>
        </w:trPr>
        <w:tc>
          <w:tcPr>
            <w:tcW w:w="3673" w:type="pct"/>
            <w:tcBorders>
              <w:bottom w:val="single" w:sz="12" w:space="0" w:color="000000"/>
            </w:tcBorders>
            <w:vAlign w:val="bottom"/>
          </w:tcPr>
          <w:p w14:paraId="27F6A5E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tcBorders>
              <w:bottom w:val="single" w:sz="12" w:space="0" w:color="000000"/>
            </w:tcBorders>
            <w:vAlign w:val="bottom"/>
          </w:tcPr>
          <w:p w14:paraId="3C47D58E"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bottom w:val="single" w:sz="12" w:space="0" w:color="000000"/>
            </w:tcBorders>
            <w:vAlign w:val="bottom"/>
          </w:tcPr>
          <w:p w14:paraId="2AD8705E"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268A356" w14:textId="77777777" w:rsidTr="001B330E">
        <w:trPr>
          <w:trHeight w:val="23"/>
        </w:trPr>
        <w:tc>
          <w:tcPr>
            <w:tcW w:w="3673" w:type="pct"/>
            <w:tcBorders>
              <w:top w:val="single" w:sz="12" w:space="0" w:color="000000"/>
            </w:tcBorders>
            <w:vAlign w:val="bottom"/>
          </w:tcPr>
          <w:p w14:paraId="7226BDC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tcBorders>
              <w:top w:val="single" w:sz="12" w:space="0" w:color="000000"/>
            </w:tcBorders>
            <w:vAlign w:val="bottom"/>
          </w:tcPr>
          <w:p w14:paraId="534C6EDD"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top w:val="single" w:sz="12" w:space="0" w:color="000000"/>
            </w:tcBorders>
            <w:vAlign w:val="bottom"/>
          </w:tcPr>
          <w:p w14:paraId="3645E4D6"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F30803B" w14:textId="77777777" w:rsidTr="001B330E">
        <w:trPr>
          <w:trHeight w:val="23"/>
        </w:trPr>
        <w:tc>
          <w:tcPr>
            <w:tcW w:w="3673" w:type="pct"/>
            <w:vAlign w:val="bottom"/>
          </w:tcPr>
          <w:p w14:paraId="734ED98E"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disposal consideration</w:t>
            </w:r>
          </w:p>
        </w:tc>
        <w:tc>
          <w:tcPr>
            <w:tcW w:w="418" w:type="pct"/>
            <w:vAlign w:val="bottom"/>
          </w:tcPr>
          <w:p w14:paraId="32FD0915" w14:textId="77777777" w:rsidR="00D83E33" w:rsidRPr="00EA10CF" w:rsidRDefault="00D83E33">
            <w:pPr>
              <w:widowControl w:val="0"/>
              <w:pBdr>
                <w:top w:val="nil"/>
                <w:left w:val="nil"/>
                <w:bottom w:val="nil"/>
                <w:right w:val="nil"/>
                <w:between w:val="nil"/>
              </w:pBdr>
              <w:jc w:val="center"/>
              <w:rPr>
                <w:b/>
                <w:color w:val="000000"/>
              </w:rPr>
            </w:pPr>
          </w:p>
        </w:tc>
        <w:tc>
          <w:tcPr>
            <w:tcW w:w="909" w:type="pct"/>
            <w:vAlign w:val="bottom"/>
          </w:tcPr>
          <w:p w14:paraId="30524512"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88F8F5A" w14:textId="77777777" w:rsidTr="001B330E">
        <w:trPr>
          <w:trHeight w:val="23"/>
        </w:trPr>
        <w:tc>
          <w:tcPr>
            <w:tcW w:w="3673" w:type="pct"/>
            <w:vAlign w:val="bottom"/>
          </w:tcPr>
          <w:p w14:paraId="62B4363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Less: fair value of receivable arising on disposal</w:t>
            </w:r>
          </w:p>
        </w:tc>
        <w:tc>
          <w:tcPr>
            <w:tcW w:w="418" w:type="pct"/>
            <w:vAlign w:val="bottom"/>
          </w:tcPr>
          <w:p w14:paraId="3690D391" w14:textId="77777777" w:rsidR="00D83E33" w:rsidRPr="00EA10CF" w:rsidRDefault="00BC4072">
            <w:pPr>
              <w:widowControl w:val="0"/>
              <w:pBdr>
                <w:top w:val="nil"/>
                <w:left w:val="nil"/>
                <w:bottom w:val="nil"/>
                <w:right w:val="nil"/>
                <w:between w:val="nil"/>
              </w:pBdr>
              <w:jc w:val="center"/>
              <w:rPr>
                <w:color w:val="000000"/>
              </w:rPr>
            </w:pPr>
            <w:r w:rsidRPr="00EA10CF">
              <w:rPr>
                <w:color w:val="000000"/>
              </w:rPr>
              <w:t>15</w:t>
            </w:r>
          </w:p>
        </w:tc>
        <w:tc>
          <w:tcPr>
            <w:tcW w:w="909" w:type="pct"/>
            <w:vAlign w:val="bottom"/>
          </w:tcPr>
          <w:p w14:paraId="6D11379E"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790077B" w14:textId="77777777" w:rsidTr="001B330E">
        <w:trPr>
          <w:trHeight w:val="23"/>
        </w:trPr>
        <w:tc>
          <w:tcPr>
            <w:tcW w:w="3673" w:type="pct"/>
            <w:vAlign w:val="bottom"/>
          </w:tcPr>
          <w:p w14:paraId="467B395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Less: cash and cash equivalents in disposed subsidiary </w:t>
            </w:r>
          </w:p>
        </w:tc>
        <w:tc>
          <w:tcPr>
            <w:tcW w:w="418" w:type="pct"/>
            <w:vAlign w:val="bottom"/>
          </w:tcPr>
          <w:p w14:paraId="0053FA61"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30B9160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7467BEE" w14:textId="77777777" w:rsidTr="001B330E">
        <w:trPr>
          <w:trHeight w:val="23"/>
        </w:trPr>
        <w:tc>
          <w:tcPr>
            <w:tcW w:w="3673" w:type="pct"/>
            <w:tcBorders>
              <w:bottom w:val="single" w:sz="4" w:space="0" w:color="000000"/>
            </w:tcBorders>
            <w:vAlign w:val="bottom"/>
          </w:tcPr>
          <w:p w14:paraId="7B7BCD3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tcBorders>
              <w:bottom w:val="single" w:sz="4" w:space="0" w:color="000000"/>
            </w:tcBorders>
            <w:vAlign w:val="bottom"/>
          </w:tcPr>
          <w:p w14:paraId="577D1837"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7516D06A"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09F4A13" w14:textId="77777777" w:rsidTr="001B330E">
        <w:trPr>
          <w:trHeight w:val="23"/>
        </w:trPr>
        <w:tc>
          <w:tcPr>
            <w:tcW w:w="3673" w:type="pct"/>
            <w:tcBorders>
              <w:top w:val="single" w:sz="4" w:space="0" w:color="000000"/>
            </w:tcBorders>
            <w:vAlign w:val="bottom"/>
          </w:tcPr>
          <w:p w14:paraId="360D120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tcBorders>
              <w:top w:val="single" w:sz="4" w:space="0" w:color="000000"/>
            </w:tcBorders>
            <w:vAlign w:val="bottom"/>
          </w:tcPr>
          <w:p w14:paraId="2E799C11"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0A6505E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82A3BF1" w14:textId="77777777" w:rsidTr="001B330E">
        <w:trPr>
          <w:trHeight w:val="23"/>
        </w:trPr>
        <w:tc>
          <w:tcPr>
            <w:tcW w:w="3673" w:type="pct"/>
            <w:vAlign w:val="bottom"/>
          </w:tcPr>
          <w:p w14:paraId="59E9A3BA"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Cash inflow on disposal</w:t>
            </w:r>
          </w:p>
        </w:tc>
        <w:tc>
          <w:tcPr>
            <w:tcW w:w="418" w:type="pct"/>
            <w:vAlign w:val="bottom"/>
          </w:tcPr>
          <w:p w14:paraId="733AF4D4" w14:textId="77777777" w:rsidR="00D83E33" w:rsidRPr="00EA10CF" w:rsidRDefault="00D83E33">
            <w:pPr>
              <w:widowControl w:val="0"/>
              <w:pBdr>
                <w:top w:val="nil"/>
                <w:left w:val="nil"/>
                <w:bottom w:val="nil"/>
                <w:right w:val="nil"/>
                <w:between w:val="nil"/>
              </w:pBdr>
              <w:jc w:val="center"/>
              <w:rPr>
                <w:b/>
                <w:color w:val="000000"/>
              </w:rPr>
            </w:pPr>
          </w:p>
        </w:tc>
        <w:tc>
          <w:tcPr>
            <w:tcW w:w="909" w:type="pct"/>
            <w:vAlign w:val="bottom"/>
          </w:tcPr>
          <w:p w14:paraId="37CF5630"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6E2D2ED" w14:textId="77777777" w:rsidTr="001B330E">
        <w:trPr>
          <w:trHeight w:val="23"/>
        </w:trPr>
        <w:tc>
          <w:tcPr>
            <w:tcW w:w="3673" w:type="pct"/>
            <w:tcBorders>
              <w:bottom w:val="single" w:sz="12" w:space="0" w:color="000000"/>
            </w:tcBorders>
            <w:vAlign w:val="bottom"/>
          </w:tcPr>
          <w:p w14:paraId="774A517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tcBorders>
              <w:bottom w:val="single" w:sz="12" w:space="0" w:color="000000"/>
            </w:tcBorders>
            <w:vAlign w:val="bottom"/>
          </w:tcPr>
          <w:p w14:paraId="7924E014"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bottom w:val="single" w:sz="12" w:space="0" w:color="000000"/>
            </w:tcBorders>
            <w:vAlign w:val="bottom"/>
          </w:tcPr>
          <w:p w14:paraId="16B55DF9" w14:textId="77777777" w:rsidR="00D83E33" w:rsidRPr="00EA10CF" w:rsidRDefault="00D83E33">
            <w:pPr>
              <w:widowControl w:val="0"/>
              <w:pBdr>
                <w:top w:val="nil"/>
                <w:left w:val="nil"/>
                <w:bottom w:val="nil"/>
                <w:right w:val="nil"/>
                <w:between w:val="nil"/>
              </w:pBdr>
              <w:jc w:val="right"/>
              <w:rPr>
                <w:b/>
                <w:color w:val="000000"/>
              </w:rPr>
            </w:pPr>
          </w:p>
        </w:tc>
      </w:tr>
    </w:tbl>
    <w:p w14:paraId="02A67949" w14:textId="77777777" w:rsidR="002A5F5D" w:rsidRPr="002547FE" w:rsidRDefault="002A5F5D" w:rsidP="002A5F5D">
      <w:pPr>
        <w:pStyle w:val="Continued"/>
      </w:pPr>
      <w:r w:rsidRPr="002547FE">
        <w:lastRenderedPageBreak/>
        <w:t>20</w:t>
      </w:r>
      <w:r w:rsidRPr="002547FE">
        <w:tab/>
        <w:t>Non-Current Assets Classified as Held for Sale (or Disposal Groups) (Continued)</w:t>
      </w:r>
    </w:p>
    <w:p w14:paraId="06C2B427"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gain </w:t>
      </w:r>
      <w:r>
        <w:rPr>
          <w:color w:val="0000FF"/>
          <w:sz w:val="20"/>
          <w:szCs w:val="20"/>
        </w:rPr>
        <w:t>[loss]</w:t>
      </w:r>
      <w:r>
        <w:rPr>
          <w:color w:val="1F497D"/>
          <w:sz w:val="20"/>
          <w:szCs w:val="20"/>
        </w:rPr>
        <w:t xml:space="preserve"> </w:t>
      </w:r>
      <w:r>
        <w:rPr>
          <w:color w:val="000000"/>
          <w:sz w:val="20"/>
          <w:szCs w:val="20"/>
        </w:rPr>
        <w:t>on disposal of the subsidiary comprises:</w:t>
      </w:r>
    </w:p>
    <w:tbl>
      <w:tblPr>
        <w:tblStyle w:val="afffffffffff"/>
        <w:tblW w:w="5000" w:type="pct"/>
        <w:tblLayout w:type="fixed"/>
        <w:tblLook w:val="0000" w:firstRow="0" w:lastRow="0" w:firstColumn="0" w:lastColumn="0" w:noHBand="0" w:noVBand="0"/>
      </w:tblPr>
      <w:tblGrid>
        <w:gridCol w:w="6872"/>
        <w:gridCol w:w="782"/>
        <w:gridCol w:w="1701"/>
      </w:tblGrid>
      <w:tr w:rsidR="00D83E33" w:rsidRPr="00EA10CF" w14:paraId="253A1AC9" w14:textId="77777777" w:rsidTr="001B330E">
        <w:trPr>
          <w:trHeight w:val="23"/>
        </w:trPr>
        <w:tc>
          <w:tcPr>
            <w:tcW w:w="3673" w:type="pct"/>
            <w:tcBorders>
              <w:bottom w:val="single" w:sz="4" w:space="0" w:color="000000"/>
            </w:tcBorders>
            <w:vAlign w:val="bottom"/>
          </w:tcPr>
          <w:p w14:paraId="7685FEC7" w14:textId="55A8124A"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418" w:type="pct"/>
            <w:tcBorders>
              <w:bottom w:val="single" w:sz="4" w:space="0" w:color="000000"/>
            </w:tcBorders>
            <w:vAlign w:val="bottom"/>
          </w:tcPr>
          <w:p w14:paraId="0D8C047E"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w:t>
            </w:r>
          </w:p>
        </w:tc>
        <w:tc>
          <w:tcPr>
            <w:tcW w:w="909" w:type="pct"/>
            <w:tcBorders>
              <w:bottom w:val="single" w:sz="4" w:space="0" w:color="000000"/>
            </w:tcBorders>
            <w:vAlign w:val="bottom"/>
          </w:tcPr>
          <w:p w14:paraId="4F951457" w14:textId="77777777" w:rsidR="00D83E33" w:rsidRPr="00EA10CF" w:rsidRDefault="00BC4072">
            <w:pPr>
              <w:widowControl w:val="0"/>
              <w:pBdr>
                <w:top w:val="nil"/>
                <w:left w:val="nil"/>
                <w:bottom w:val="nil"/>
                <w:right w:val="nil"/>
                <w:between w:val="nil"/>
              </w:pBdr>
              <w:jc w:val="right"/>
              <w:rPr>
                <w:b/>
                <w:color w:val="0000FF"/>
              </w:rPr>
            </w:pPr>
            <w:r w:rsidRPr="00EA10CF">
              <w:rPr>
                <w:b/>
                <w:color w:val="0000FF"/>
              </w:rPr>
              <w:t>Gain on disposal of subsidiary</w:t>
            </w:r>
          </w:p>
        </w:tc>
      </w:tr>
      <w:tr w:rsidR="00D83E33" w:rsidRPr="00EA10CF" w14:paraId="61BF3368" w14:textId="77777777" w:rsidTr="001B330E">
        <w:trPr>
          <w:trHeight w:val="23"/>
        </w:trPr>
        <w:tc>
          <w:tcPr>
            <w:tcW w:w="3673" w:type="pct"/>
            <w:vAlign w:val="bottom"/>
          </w:tcPr>
          <w:p w14:paraId="412247F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vAlign w:val="bottom"/>
          </w:tcPr>
          <w:p w14:paraId="5B2EC7DC"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2CB61E9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8340F49" w14:textId="77777777" w:rsidTr="001B330E">
        <w:trPr>
          <w:trHeight w:val="23"/>
        </w:trPr>
        <w:tc>
          <w:tcPr>
            <w:tcW w:w="3673" w:type="pct"/>
            <w:vAlign w:val="bottom"/>
          </w:tcPr>
          <w:p w14:paraId="7F24065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Consideration for disposal of the subsidiary</w:t>
            </w:r>
          </w:p>
        </w:tc>
        <w:tc>
          <w:tcPr>
            <w:tcW w:w="418" w:type="pct"/>
            <w:vAlign w:val="bottom"/>
          </w:tcPr>
          <w:p w14:paraId="2414A847"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47886FC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A5A534D" w14:textId="77777777" w:rsidTr="001B330E">
        <w:trPr>
          <w:trHeight w:val="23"/>
        </w:trPr>
        <w:tc>
          <w:tcPr>
            <w:tcW w:w="3673" w:type="pct"/>
            <w:vAlign w:val="bottom"/>
          </w:tcPr>
          <w:p w14:paraId="603B4AFE"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Carrying amount of disposed net assets, net of non-controlling interest</w:t>
            </w:r>
          </w:p>
        </w:tc>
        <w:tc>
          <w:tcPr>
            <w:tcW w:w="418" w:type="pct"/>
            <w:vAlign w:val="bottom"/>
          </w:tcPr>
          <w:p w14:paraId="5DB8EC8E"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1A57EE3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DE08A08" w14:textId="77777777" w:rsidTr="001B330E">
        <w:trPr>
          <w:trHeight w:val="23"/>
        </w:trPr>
        <w:tc>
          <w:tcPr>
            <w:tcW w:w="3673" w:type="pct"/>
            <w:vAlign w:val="bottom"/>
          </w:tcPr>
          <w:p w14:paraId="363A87F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Cumulative currency translation reserve on foreign operation recycled from other comprehensive income to profit or loss</w:t>
            </w:r>
          </w:p>
        </w:tc>
        <w:tc>
          <w:tcPr>
            <w:tcW w:w="418" w:type="pct"/>
            <w:vAlign w:val="bottom"/>
          </w:tcPr>
          <w:p w14:paraId="7E7EE425"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6503625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7E0ECC2" w14:textId="77777777" w:rsidTr="001B330E">
        <w:trPr>
          <w:trHeight w:val="23"/>
        </w:trPr>
        <w:tc>
          <w:tcPr>
            <w:tcW w:w="3673" w:type="pct"/>
            <w:vAlign w:val="bottom"/>
          </w:tcPr>
          <w:p w14:paraId="3A1C3A5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Revaluation reserve for FVOCI debt financial assets recycled from other comprehensive income to profit or loss upon disposal</w:t>
            </w:r>
          </w:p>
        </w:tc>
        <w:tc>
          <w:tcPr>
            <w:tcW w:w="418" w:type="pct"/>
            <w:vAlign w:val="bottom"/>
          </w:tcPr>
          <w:p w14:paraId="67F7B303" w14:textId="77777777" w:rsidR="00D83E33" w:rsidRPr="00EA10CF" w:rsidRDefault="00D83E33">
            <w:pPr>
              <w:widowControl w:val="0"/>
              <w:pBdr>
                <w:top w:val="nil"/>
                <w:left w:val="nil"/>
                <w:bottom w:val="nil"/>
                <w:right w:val="nil"/>
                <w:between w:val="nil"/>
              </w:pBdr>
              <w:jc w:val="center"/>
              <w:rPr>
                <w:color w:val="000000"/>
              </w:rPr>
            </w:pPr>
          </w:p>
        </w:tc>
        <w:tc>
          <w:tcPr>
            <w:tcW w:w="909" w:type="pct"/>
            <w:vAlign w:val="bottom"/>
          </w:tcPr>
          <w:p w14:paraId="249B60E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6377B17" w14:textId="77777777" w:rsidTr="001B330E">
        <w:trPr>
          <w:trHeight w:val="23"/>
        </w:trPr>
        <w:tc>
          <w:tcPr>
            <w:tcW w:w="3673" w:type="pct"/>
            <w:tcBorders>
              <w:bottom w:val="single" w:sz="4" w:space="0" w:color="000000"/>
            </w:tcBorders>
            <w:vAlign w:val="bottom"/>
          </w:tcPr>
          <w:p w14:paraId="0AE7B7D4"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 </w:t>
            </w:r>
          </w:p>
        </w:tc>
        <w:tc>
          <w:tcPr>
            <w:tcW w:w="418" w:type="pct"/>
            <w:tcBorders>
              <w:bottom w:val="single" w:sz="4" w:space="0" w:color="000000"/>
            </w:tcBorders>
            <w:vAlign w:val="bottom"/>
          </w:tcPr>
          <w:p w14:paraId="76840279"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415FE09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279FD2F" w14:textId="77777777" w:rsidTr="001B330E">
        <w:trPr>
          <w:trHeight w:val="23"/>
        </w:trPr>
        <w:tc>
          <w:tcPr>
            <w:tcW w:w="3673" w:type="pct"/>
            <w:tcBorders>
              <w:top w:val="single" w:sz="4" w:space="0" w:color="000000"/>
            </w:tcBorders>
            <w:vAlign w:val="bottom"/>
          </w:tcPr>
          <w:p w14:paraId="6979D55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tcBorders>
              <w:top w:val="single" w:sz="4" w:space="0" w:color="000000"/>
            </w:tcBorders>
            <w:vAlign w:val="bottom"/>
          </w:tcPr>
          <w:p w14:paraId="01FAE026"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1075CE5A"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30E4697" w14:textId="77777777" w:rsidTr="001B330E">
        <w:trPr>
          <w:trHeight w:val="23"/>
        </w:trPr>
        <w:tc>
          <w:tcPr>
            <w:tcW w:w="3673" w:type="pct"/>
            <w:vAlign w:val="bottom"/>
          </w:tcPr>
          <w:p w14:paraId="6CF2BE2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Gain </w:t>
            </w:r>
            <w:r w:rsidRPr="00EA10CF">
              <w:rPr>
                <w:b/>
                <w:color w:val="0000FF"/>
              </w:rPr>
              <w:t>[loss]</w:t>
            </w:r>
            <w:r w:rsidRPr="00EA10CF">
              <w:rPr>
                <w:color w:val="1F497D"/>
              </w:rPr>
              <w:t xml:space="preserve"> </w:t>
            </w:r>
            <w:r w:rsidRPr="00EA10CF">
              <w:rPr>
                <w:b/>
                <w:color w:val="000000"/>
              </w:rPr>
              <w:t>on disposal of subsidiary</w:t>
            </w:r>
          </w:p>
        </w:tc>
        <w:tc>
          <w:tcPr>
            <w:tcW w:w="418" w:type="pct"/>
            <w:vAlign w:val="bottom"/>
          </w:tcPr>
          <w:p w14:paraId="3776B6D7" w14:textId="77777777" w:rsidR="00D83E33" w:rsidRPr="00EA10CF" w:rsidRDefault="00D83E33">
            <w:pPr>
              <w:widowControl w:val="0"/>
              <w:pBdr>
                <w:top w:val="nil"/>
                <w:left w:val="nil"/>
                <w:bottom w:val="nil"/>
                <w:right w:val="nil"/>
                <w:between w:val="nil"/>
              </w:pBdr>
              <w:jc w:val="center"/>
              <w:rPr>
                <w:b/>
                <w:color w:val="000000"/>
              </w:rPr>
            </w:pPr>
          </w:p>
        </w:tc>
        <w:tc>
          <w:tcPr>
            <w:tcW w:w="909" w:type="pct"/>
            <w:vAlign w:val="bottom"/>
          </w:tcPr>
          <w:p w14:paraId="60511E8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38A6DC1" w14:textId="77777777" w:rsidTr="001B330E">
        <w:trPr>
          <w:trHeight w:val="23"/>
        </w:trPr>
        <w:tc>
          <w:tcPr>
            <w:tcW w:w="3673" w:type="pct"/>
            <w:tcBorders>
              <w:bottom w:val="single" w:sz="12" w:space="0" w:color="000000"/>
            </w:tcBorders>
            <w:vAlign w:val="bottom"/>
          </w:tcPr>
          <w:p w14:paraId="75B6E53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418" w:type="pct"/>
            <w:tcBorders>
              <w:bottom w:val="single" w:sz="12" w:space="0" w:color="000000"/>
            </w:tcBorders>
            <w:vAlign w:val="bottom"/>
          </w:tcPr>
          <w:p w14:paraId="04858C4A" w14:textId="77777777" w:rsidR="00D83E33" w:rsidRPr="00EA10CF" w:rsidRDefault="00D83E33">
            <w:pPr>
              <w:widowControl w:val="0"/>
              <w:pBdr>
                <w:top w:val="nil"/>
                <w:left w:val="nil"/>
                <w:bottom w:val="nil"/>
                <w:right w:val="nil"/>
                <w:between w:val="nil"/>
              </w:pBdr>
              <w:jc w:val="center"/>
              <w:rPr>
                <w:color w:val="000000"/>
              </w:rPr>
            </w:pPr>
          </w:p>
        </w:tc>
        <w:tc>
          <w:tcPr>
            <w:tcW w:w="909" w:type="pct"/>
            <w:tcBorders>
              <w:bottom w:val="single" w:sz="12" w:space="0" w:color="000000"/>
            </w:tcBorders>
            <w:vAlign w:val="bottom"/>
          </w:tcPr>
          <w:p w14:paraId="1263A3AA" w14:textId="77777777" w:rsidR="00D83E33" w:rsidRPr="00EA10CF" w:rsidRDefault="00D83E33">
            <w:pPr>
              <w:widowControl w:val="0"/>
              <w:pBdr>
                <w:top w:val="nil"/>
                <w:left w:val="nil"/>
                <w:bottom w:val="nil"/>
                <w:right w:val="nil"/>
                <w:between w:val="nil"/>
              </w:pBdr>
              <w:jc w:val="right"/>
              <w:rPr>
                <w:b/>
                <w:color w:val="000000"/>
              </w:rPr>
            </w:pPr>
          </w:p>
        </w:tc>
      </w:tr>
    </w:tbl>
    <w:p w14:paraId="40A1330B" w14:textId="2BD28F41"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portion of the gain or loss on disposal of the subsidiary attributable to measuring the investment retained in the former subsidiary at fair value at the date when control was lost amounts to </w:t>
      </w:r>
      <w:r w:rsidR="00D73799">
        <w:rPr>
          <w:color w:val="000000"/>
          <w:sz w:val="20"/>
          <w:szCs w:val="20"/>
        </w:rPr>
        <w:t>EUR</w:t>
      </w:r>
      <w:r>
        <w:rPr>
          <w:color w:val="000000"/>
          <w:sz w:val="20"/>
          <w:szCs w:val="20"/>
        </w:rPr>
        <w:t xml:space="preserve"> ____ thousand.</w:t>
      </w:r>
    </w:p>
    <w:p w14:paraId="51EF1F8C" w14:textId="77777777" w:rsidR="00D83E33" w:rsidRDefault="00BC4072" w:rsidP="00B0605B">
      <w:pPr>
        <w:pStyle w:val="Heading1"/>
      </w:pPr>
      <w:bookmarkStart w:id="77" w:name="_Toc179196023"/>
      <w:r w:rsidRPr="00E03E99">
        <w:t>Due</w:t>
      </w:r>
      <w:r>
        <w:t xml:space="preserve"> to Other Banks</w:t>
      </w:r>
      <w:bookmarkEnd w:id="77"/>
    </w:p>
    <w:p w14:paraId="5D9A18AC" w14:textId="75AADD20" w:rsidR="00D83E33" w:rsidRDefault="00D83E33">
      <w:pPr>
        <w:keepNext/>
        <w:keepLines/>
        <w:widowControl w:val="0"/>
        <w:spacing w:before="200" w:after="200"/>
        <w:rPr>
          <w:i/>
          <w:color w:val="FF0000"/>
          <w:sz w:val="20"/>
          <w:szCs w:val="20"/>
        </w:rPr>
      </w:pPr>
    </w:p>
    <w:tbl>
      <w:tblPr>
        <w:tblStyle w:val="afffffffffff0"/>
        <w:tblW w:w="5000" w:type="pct"/>
        <w:tblLayout w:type="fixed"/>
        <w:tblLook w:val="0000" w:firstRow="0" w:lastRow="0" w:firstColumn="0" w:lastColumn="0" w:noHBand="0" w:noVBand="0"/>
      </w:tblPr>
      <w:tblGrid>
        <w:gridCol w:w="6296"/>
        <w:gridCol w:w="1530"/>
        <w:gridCol w:w="1529"/>
      </w:tblGrid>
      <w:tr w:rsidR="00D83E33" w:rsidRPr="00EA10CF" w14:paraId="78BB5C5F" w14:textId="77777777" w:rsidTr="00A90BB8">
        <w:trPr>
          <w:trHeight w:val="23"/>
        </w:trPr>
        <w:tc>
          <w:tcPr>
            <w:tcW w:w="3365" w:type="pct"/>
            <w:tcBorders>
              <w:bottom w:val="single" w:sz="4" w:space="0" w:color="000000"/>
            </w:tcBorders>
            <w:vAlign w:val="bottom"/>
          </w:tcPr>
          <w:p w14:paraId="7BB15E04" w14:textId="5715D32B" w:rsidR="00D83E33" w:rsidRPr="00EA10CF" w:rsidRDefault="00313B4D" w:rsidP="001B330E">
            <w:pPr>
              <w:widowControl w:val="0"/>
              <w:pBdr>
                <w:top w:val="nil"/>
                <w:left w:val="nil"/>
                <w:bottom w:val="nil"/>
                <w:right w:val="nil"/>
                <w:between w:val="nil"/>
              </w:pBdr>
              <w:ind w:hanging="113"/>
              <w:rPr>
                <w:b/>
                <w:i/>
                <w:color w:val="000000"/>
              </w:rPr>
            </w:pPr>
            <w:r>
              <w:rPr>
                <w:i/>
                <w:color w:val="000000"/>
              </w:rPr>
              <w:t xml:space="preserve">In thousands of </w:t>
            </w:r>
            <w:r w:rsidR="002649EE">
              <w:rPr>
                <w:i/>
                <w:color w:val="000000"/>
              </w:rPr>
              <w:t>EUR</w:t>
            </w:r>
          </w:p>
        </w:tc>
        <w:tc>
          <w:tcPr>
            <w:tcW w:w="818" w:type="pct"/>
            <w:tcBorders>
              <w:bottom w:val="single" w:sz="4" w:space="0" w:color="000000"/>
            </w:tcBorders>
            <w:vAlign w:val="bottom"/>
          </w:tcPr>
          <w:p w14:paraId="5E70AFFE" w14:textId="29833C47"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241C9CE2" w14:textId="2AAC3B9F"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75F84F12" w14:textId="77777777" w:rsidTr="00A90BB8">
        <w:trPr>
          <w:trHeight w:val="23"/>
        </w:trPr>
        <w:tc>
          <w:tcPr>
            <w:tcW w:w="3365" w:type="pct"/>
            <w:vAlign w:val="bottom"/>
          </w:tcPr>
          <w:p w14:paraId="46D39349" w14:textId="77777777" w:rsidR="00D83E33" w:rsidRPr="00EA10CF" w:rsidRDefault="00BC4072" w:rsidP="001B330E">
            <w:pPr>
              <w:widowControl w:val="0"/>
              <w:ind w:hanging="113"/>
              <w:rPr>
                <w:b/>
              </w:rPr>
            </w:pPr>
            <w:r w:rsidRPr="00EA10CF">
              <w:t> </w:t>
            </w:r>
          </w:p>
        </w:tc>
        <w:tc>
          <w:tcPr>
            <w:tcW w:w="818" w:type="pct"/>
            <w:vAlign w:val="bottom"/>
          </w:tcPr>
          <w:p w14:paraId="3DC62B37"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7674B2B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601C7A9" w14:textId="77777777" w:rsidTr="00A90BB8">
        <w:trPr>
          <w:trHeight w:val="23"/>
        </w:trPr>
        <w:tc>
          <w:tcPr>
            <w:tcW w:w="3365" w:type="pct"/>
            <w:vAlign w:val="bottom"/>
          </w:tcPr>
          <w:p w14:paraId="51FE61D8" w14:textId="77777777" w:rsidR="00D83E33" w:rsidRPr="00EA10CF" w:rsidRDefault="00BC4072" w:rsidP="001B330E">
            <w:pPr>
              <w:widowControl w:val="0"/>
              <w:pBdr>
                <w:top w:val="nil"/>
                <w:left w:val="nil"/>
                <w:bottom w:val="nil"/>
                <w:right w:val="nil"/>
                <w:between w:val="nil"/>
              </w:pBdr>
              <w:ind w:hanging="113"/>
              <w:rPr>
                <w:b/>
                <w:color w:val="000000"/>
              </w:rPr>
            </w:pPr>
            <w:r w:rsidRPr="00EA10CF">
              <w:rPr>
                <w:color w:val="000000"/>
              </w:rPr>
              <w:t>Correspondent accounts and overnight placements of other banks</w:t>
            </w:r>
          </w:p>
        </w:tc>
        <w:tc>
          <w:tcPr>
            <w:tcW w:w="818" w:type="pct"/>
            <w:vAlign w:val="bottom"/>
          </w:tcPr>
          <w:p w14:paraId="26FC827F"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027129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1CA805" w14:textId="77777777" w:rsidTr="00A90BB8">
        <w:trPr>
          <w:trHeight w:val="23"/>
        </w:trPr>
        <w:tc>
          <w:tcPr>
            <w:tcW w:w="3365" w:type="pct"/>
            <w:vAlign w:val="bottom"/>
          </w:tcPr>
          <w:p w14:paraId="7D5561D4" w14:textId="77777777" w:rsidR="00D83E33" w:rsidRPr="00EA10CF" w:rsidRDefault="00BC4072" w:rsidP="001B330E">
            <w:pPr>
              <w:widowControl w:val="0"/>
              <w:pBdr>
                <w:top w:val="nil"/>
                <w:left w:val="nil"/>
                <w:bottom w:val="nil"/>
                <w:right w:val="nil"/>
                <w:between w:val="nil"/>
              </w:pBdr>
              <w:ind w:hanging="113"/>
              <w:rPr>
                <w:color w:val="000000"/>
              </w:rPr>
            </w:pPr>
            <w:r w:rsidRPr="00EA10CF">
              <w:rPr>
                <w:color w:val="000000"/>
              </w:rPr>
              <w:t>Short-term placements of other banks</w:t>
            </w:r>
          </w:p>
        </w:tc>
        <w:tc>
          <w:tcPr>
            <w:tcW w:w="818" w:type="pct"/>
            <w:vAlign w:val="bottom"/>
          </w:tcPr>
          <w:p w14:paraId="4F96EE2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C3A92B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FBD79A1" w14:textId="77777777" w:rsidTr="00A90BB8">
        <w:trPr>
          <w:trHeight w:val="23"/>
        </w:trPr>
        <w:tc>
          <w:tcPr>
            <w:tcW w:w="3365" w:type="pct"/>
            <w:vAlign w:val="bottom"/>
          </w:tcPr>
          <w:p w14:paraId="4C667A64" w14:textId="77777777" w:rsidR="00D83E33" w:rsidRPr="00EA10CF" w:rsidRDefault="00BC4072" w:rsidP="001B330E">
            <w:pPr>
              <w:widowControl w:val="0"/>
              <w:pBdr>
                <w:top w:val="nil"/>
                <w:left w:val="nil"/>
                <w:bottom w:val="nil"/>
                <w:right w:val="nil"/>
                <w:between w:val="nil"/>
              </w:pBdr>
              <w:ind w:hanging="113"/>
              <w:rPr>
                <w:color w:val="000000"/>
              </w:rPr>
            </w:pPr>
            <w:r w:rsidRPr="00EA10CF">
              <w:rPr>
                <w:color w:val="000000"/>
              </w:rPr>
              <w:t xml:space="preserve">Sale and repurchase agreements with other banks </w:t>
            </w:r>
          </w:p>
        </w:tc>
        <w:tc>
          <w:tcPr>
            <w:tcW w:w="818" w:type="pct"/>
            <w:vAlign w:val="bottom"/>
          </w:tcPr>
          <w:p w14:paraId="12723F79"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3F9C31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2286B7B" w14:textId="77777777" w:rsidTr="00A90BB8">
        <w:trPr>
          <w:trHeight w:val="23"/>
        </w:trPr>
        <w:tc>
          <w:tcPr>
            <w:tcW w:w="3365" w:type="pct"/>
            <w:vAlign w:val="bottom"/>
          </w:tcPr>
          <w:p w14:paraId="02F00B81" w14:textId="77777777" w:rsidR="00D83E33" w:rsidRPr="00EA10CF" w:rsidRDefault="00BC4072" w:rsidP="001B330E">
            <w:pPr>
              <w:widowControl w:val="0"/>
              <w:pBdr>
                <w:top w:val="nil"/>
                <w:left w:val="nil"/>
                <w:bottom w:val="nil"/>
                <w:right w:val="nil"/>
                <w:between w:val="nil"/>
              </w:pBdr>
              <w:ind w:hanging="113"/>
              <w:rPr>
                <w:color w:val="000000"/>
              </w:rPr>
            </w:pPr>
            <w:r w:rsidRPr="00EA10CF">
              <w:rPr>
                <w:color w:val="000000"/>
              </w:rPr>
              <w:t>Liability to return collateral sold or repledged</w:t>
            </w:r>
          </w:p>
        </w:tc>
        <w:tc>
          <w:tcPr>
            <w:tcW w:w="818" w:type="pct"/>
            <w:vAlign w:val="bottom"/>
          </w:tcPr>
          <w:p w14:paraId="4DF60A8F"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730000B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AE4CDD" w14:textId="77777777" w:rsidTr="00A90BB8">
        <w:trPr>
          <w:trHeight w:val="23"/>
        </w:trPr>
        <w:tc>
          <w:tcPr>
            <w:tcW w:w="3365" w:type="pct"/>
            <w:vAlign w:val="bottom"/>
          </w:tcPr>
          <w:p w14:paraId="43B04964" w14:textId="36F219B3" w:rsidR="00D83E33" w:rsidRPr="00EA10CF" w:rsidRDefault="00BC4072" w:rsidP="001B330E">
            <w:pPr>
              <w:widowControl w:val="0"/>
              <w:pBdr>
                <w:top w:val="nil"/>
                <w:left w:val="nil"/>
                <w:bottom w:val="nil"/>
                <w:right w:val="nil"/>
                <w:between w:val="nil"/>
              </w:pBdr>
              <w:ind w:hanging="113"/>
              <w:rPr>
                <w:color w:val="000000"/>
              </w:rPr>
            </w:pPr>
            <w:r w:rsidRPr="00EA10CF">
              <w:rPr>
                <w:color w:val="000000"/>
              </w:rPr>
              <w:t xml:space="preserve">Overdue term placements of other banks </w:t>
            </w:r>
          </w:p>
        </w:tc>
        <w:tc>
          <w:tcPr>
            <w:tcW w:w="818" w:type="pct"/>
            <w:vAlign w:val="bottom"/>
          </w:tcPr>
          <w:p w14:paraId="5CFC56E5"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79E79A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2898087" w14:textId="77777777" w:rsidTr="00A90BB8">
        <w:trPr>
          <w:trHeight w:val="23"/>
        </w:trPr>
        <w:tc>
          <w:tcPr>
            <w:tcW w:w="3365" w:type="pct"/>
            <w:vAlign w:val="bottom"/>
          </w:tcPr>
          <w:p w14:paraId="3AC7BFE2" w14:textId="77777777" w:rsidR="00D83E33" w:rsidRPr="00EA10CF" w:rsidRDefault="00D83E33" w:rsidP="001B330E">
            <w:pPr>
              <w:widowControl w:val="0"/>
              <w:pBdr>
                <w:top w:val="nil"/>
                <w:left w:val="nil"/>
                <w:bottom w:val="nil"/>
                <w:right w:val="nil"/>
                <w:between w:val="nil"/>
              </w:pBdr>
              <w:ind w:hanging="113"/>
              <w:rPr>
                <w:color w:val="000000"/>
              </w:rPr>
            </w:pPr>
          </w:p>
        </w:tc>
        <w:tc>
          <w:tcPr>
            <w:tcW w:w="818" w:type="pct"/>
            <w:vAlign w:val="bottom"/>
          </w:tcPr>
          <w:p w14:paraId="1C1915D9"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967EA0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DC6F48" w14:textId="77777777" w:rsidTr="00A90BB8">
        <w:trPr>
          <w:trHeight w:val="23"/>
        </w:trPr>
        <w:tc>
          <w:tcPr>
            <w:tcW w:w="3365" w:type="pct"/>
            <w:tcBorders>
              <w:top w:val="single" w:sz="4" w:space="0" w:color="000000"/>
            </w:tcBorders>
            <w:vAlign w:val="bottom"/>
          </w:tcPr>
          <w:p w14:paraId="2014BC85" w14:textId="77777777" w:rsidR="00D83E33" w:rsidRPr="00EA10CF" w:rsidRDefault="00BC4072" w:rsidP="001B330E">
            <w:pPr>
              <w:widowControl w:val="0"/>
              <w:ind w:hanging="113"/>
              <w:rPr>
                <w:b/>
              </w:rPr>
            </w:pPr>
            <w:r w:rsidRPr="00EA10CF">
              <w:t> </w:t>
            </w:r>
          </w:p>
        </w:tc>
        <w:tc>
          <w:tcPr>
            <w:tcW w:w="818" w:type="pct"/>
            <w:tcBorders>
              <w:top w:val="single" w:sz="4" w:space="0" w:color="000000"/>
            </w:tcBorders>
            <w:vAlign w:val="bottom"/>
          </w:tcPr>
          <w:p w14:paraId="56910F5C" w14:textId="77777777" w:rsidR="00D83E33" w:rsidRPr="00EA10CF" w:rsidRDefault="00D83E33">
            <w:pPr>
              <w:widowControl w:val="0"/>
              <w:pBdr>
                <w:top w:val="nil"/>
                <w:left w:val="nil"/>
                <w:bottom w:val="nil"/>
                <w:right w:val="nil"/>
                <w:between w:val="nil"/>
              </w:pBdr>
              <w:jc w:val="right"/>
              <w:rPr>
                <w:b/>
                <w:color w:val="000000"/>
              </w:rPr>
            </w:pPr>
          </w:p>
        </w:tc>
        <w:tc>
          <w:tcPr>
            <w:tcW w:w="818" w:type="pct"/>
            <w:tcBorders>
              <w:top w:val="single" w:sz="4" w:space="0" w:color="000000"/>
            </w:tcBorders>
            <w:vAlign w:val="bottom"/>
          </w:tcPr>
          <w:p w14:paraId="16071C7C"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3F67645" w14:textId="77777777" w:rsidTr="00A90BB8">
        <w:trPr>
          <w:trHeight w:val="23"/>
        </w:trPr>
        <w:tc>
          <w:tcPr>
            <w:tcW w:w="3365" w:type="pct"/>
            <w:vAlign w:val="bottom"/>
          </w:tcPr>
          <w:p w14:paraId="08A5D368" w14:textId="77777777" w:rsidR="00D83E33" w:rsidRPr="00EA10CF" w:rsidRDefault="00BC4072" w:rsidP="001B330E">
            <w:pPr>
              <w:widowControl w:val="0"/>
              <w:pBdr>
                <w:top w:val="nil"/>
                <w:left w:val="nil"/>
                <w:bottom w:val="nil"/>
                <w:right w:val="nil"/>
                <w:between w:val="nil"/>
              </w:pBdr>
              <w:ind w:hanging="113"/>
              <w:rPr>
                <w:b/>
                <w:color w:val="000000"/>
              </w:rPr>
            </w:pPr>
            <w:r w:rsidRPr="00EA10CF">
              <w:rPr>
                <w:b/>
                <w:color w:val="000000"/>
              </w:rPr>
              <w:t>Total due to other banks</w:t>
            </w:r>
          </w:p>
        </w:tc>
        <w:tc>
          <w:tcPr>
            <w:tcW w:w="818" w:type="pct"/>
            <w:vAlign w:val="bottom"/>
          </w:tcPr>
          <w:p w14:paraId="5CAC03BD"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4E184406"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73326B8" w14:textId="77777777" w:rsidTr="00A90BB8">
        <w:trPr>
          <w:trHeight w:val="23"/>
        </w:trPr>
        <w:tc>
          <w:tcPr>
            <w:tcW w:w="3365" w:type="pct"/>
            <w:tcBorders>
              <w:bottom w:val="single" w:sz="12" w:space="0" w:color="000000"/>
            </w:tcBorders>
            <w:vAlign w:val="bottom"/>
          </w:tcPr>
          <w:p w14:paraId="7123F19B" w14:textId="77777777" w:rsidR="00D83E33" w:rsidRPr="00EA10CF" w:rsidRDefault="00BC4072" w:rsidP="001B330E">
            <w:pPr>
              <w:widowControl w:val="0"/>
              <w:ind w:hanging="113"/>
              <w:rPr>
                <w:b/>
              </w:rPr>
            </w:pPr>
            <w:r w:rsidRPr="00EA10CF">
              <w:t> </w:t>
            </w:r>
          </w:p>
        </w:tc>
        <w:tc>
          <w:tcPr>
            <w:tcW w:w="818" w:type="pct"/>
            <w:tcBorders>
              <w:bottom w:val="single" w:sz="12" w:space="0" w:color="000000"/>
            </w:tcBorders>
            <w:vAlign w:val="bottom"/>
          </w:tcPr>
          <w:p w14:paraId="0AF8BE86" w14:textId="77777777" w:rsidR="00D83E33" w:rsidRPr="00EA10CF" w:rsidRDefault="00D83E33">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03B1CDDC" w14:textId="77777777" w:rsidR="00D83E33" w:rsidRPr="00EA10CF" w:rsidRDefault="00D83E33">
            <w:pPr>
              <w:widowControl w:val="0"/>
              <w:pBdr>
                <w:top w:val="nil"/>
                <w:left w:val="nil"/>
                <w:bottom w:val="nil"/>
                <w:right w:val="nil"/>
                <w:between w:val="nil"/>
              </w:pBdr>
              <w:jc w:val="right"/>
              <w:rPr>
                <w:b/>
                <w:color w:val="000000"/>
              </w:rPr>
            </w:pPr>
          </w:p>
        </w:tc>
      </w:tr>
    </w:tbl>
    <w:p w14:paraId="4940438C" w14:textId="7AE795FA" w:rsidR="00A90BB8" w:rsidRPr="00A90BB8" w:rsidRDefault="00A90BB8" w:rsidP="00A90BB8">
      <w:pPr>
        <w:widowControl w:val="0"/>
        <w:pBdr>
          <w:top w:val="nil"/>
          <w:left w:val="nil"/>
          <w:bottom w:val="nil"/>
          <w:right w:val="nil"/>
          <w:between w:val="nil"/>
        </w:pBdr>
        <w:spacing w:before="200" w:after="200"/>
        <w:jc w:val="both"/>
        <w:rPr>
          <w:color w:val="0000FF"/>
          <w:sz w:val="20"/>
          <w:szCs w:val="20"/>
        </w:rPr>
      </w:pPr>
      <w:r w:rsidRPr="00A90BB8">
        <w:rPr>
          <w:color w:val="0000FF"/>
          <w:sz w:val="20"/>
          <w:szCs w:val="20"/>
        </w:rPr>
        <w:t>[Amounts due to other banks are recorded when money or other assets are advanced to the Group by counterparty banks. The non-derivative liability is carried at AC. If the Group purchases its own debt, the liability is removed from the consolidated statement of financial position and the difference between the carrying amount of the liability and the consideration paid is included in gains or losses arising from [early] retirement of debt.]</w:t>
      </w:r>
    </w:p>
    <w:p w14:paraId="60614AB7" w14:textId="00D0B249"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During </w:t>
      </w:r>
      <w:r w:rsidR="00541EBC">
        <w:rPr>
          <w:color w:val="000000"/>
          <w:sz w:val="20"/>
          <w:szCs w:val="20"/>
        </w:rPr>
        <w:t>2024</w:t>
      </w:r>
      <w:r>
        <w:rPr>
          <w:color w:val="000000"/>
          <w:sz w:val="20"/>
          <w:szCs w:val="20"/>
        </w:rPr>
        <w:t xml:space="preserve">, a gain </w:t>
      </w:r>
      <w:r>
        <w:rPr>
          <w:color w:val="0000FF"/>
          <w:sz w:val="20"/>
          <w:szCs w:val="20"/>
        </w:rPr>
        <w:t xml:space="preserve">[loss] </w:t>
      </w:r>
      <w:r>
        <w:rPr>
          <w:color w:val="000000"/>
          <w:sz w:val="20"/>
          <w:szCs w:val="20"/>
        </w:rPr>
        <w:t xml:space="preserve">on initial recognition of balances due to other banks at rates below </w:t>
      </w:r>
      <w:r>
        <w:rPr>
          <w:color w:val="0000FF"/>
          <w:sz w:val="20"/>
          <w:szCs w:val="20"/>
        </w:rPr>
        <w:t xml:space="preserve">[above] </w:t>
      </w:r>
      <w:r>
        <w:rPr>
          <w:color w:val="000000"/>
          <w:sz w:val="20"/>
          <w:szCs w:val="20"/>
        </w:rPr>
        <w:t xml:space="preserve">market in the amount of </w:t>
      </w:r>
      <w:r w:rsidR="00D73799">
        <w:rPr>
          <w:color w:val="000000"/>
          <w:sz w:val="20"/>
          <w:szCs w:val="20"/>
        </w:rPr>
        <w:t>EUR</w:t>
      </w:r>
      <w:r>
        <w:rPr>
          <w:color w:val="000000"/>
          <w:sz w:val="20"/>
          <w:szCs w:val="20"/>
        </w:rPr>
        <w:t>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thousand) has been recorded in profit or loss for the year. </w:t>
      </w:r>
      <w:r>
        <w:rPr>
          <w:i/>
          <w:color w:val="FF0000"/>
          <w:sz w:val="20"/>
          <w:szCs w:val="20"/>
        </w:rPr>
        <w:t>[</w:t>
      </w:r>
      <w:r w:rsidR="00456FF5">
        <w:rPr>
          <w:i/>
          <w:color w:val="FF0000"/>
          <w:sz w:val="20"/>
          <w:szCs w:val="20"/>
        </w:rPr>
        <w:t>Tailor to e</w:t>
      </w:r>
      <w:r>
        <w:rPr>
          <w:i/>
          <w:color w:val="FF0000"/>
          <w:sz w:val="20"/>
          <w:szCs w:val="20"/>
        </w:rPr>
        <w:t>xplain commercial reason for the gain/loss and consider whether the gain/loss should be recognised as a capital transaction in equity if it arises from transactions with parties under common control.]</w:t>
      </w:r>
    </w:p>
    <w:p w14:paraId="0F7C4193" w14:textId="265F47F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included in amounts due to other banks are liabilities of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from sale and repurchase agreements. Refer to Note 12. </w:t>
      </w:r>
    </w:p>
    <w:p w14:paraId="2CEC57E1" w14:textId="3058387A" w:rsidR="00D83E33" w:rsidRDefault="00BC4072">
      <w:pPr>
        <w:widowControl w:val="0"/>
        <w:pBdr>
          <w:top w:val="nil"/>
          <w:left w:val="nil"/>
          <w:bottom w:val="nil"/>
          <w:right w:val="nil"/>
          <w:between w:val="nil"/>
        </w:pBdr>
        <w:spacing w:before="200" w:after="200"/>
        <w:jc w:val="both"/>
        <w:rPr>
          <w:color w:val="000000"/>
          <w:sz w:val="20"/>
          <w:szCs w:val="20"/>
          <w:lang w:val="sr-Cyrl-RS"/>
        </w:rPr>
      </w:pPr>
      <w:r>
        <w:rPr>
          <w:color w:val="000000"/>
          <w:sz w:val="20"/>
          <w:szCs w:val="20"/>
        </w:rPr>
        <w:t xml:space="preserve">The Group accepted </w:t>
      </w:r>
      <w:r>
        <w:rPr>
          <w:color w:val="0000FF"/>
          <w:sz w:val="20"/>
          <w:szCs w:val="20"/>
        </w:rPr>
        <w:t>[securities]</w:t>
      </w:r>
      <w:r>
        <w:rPr>
          <w:color w:val="000000"/>
          <w:sz w:val="20"/>
          <w:szCs w:val="20"/>
        </w:rPr>
        <w:t xml:space="preserve"> as collateral that it was allowed to sell or repledge (Note 11). The Group sold </w:t>
      </w:r>
      <w:r>
        <w:rPr>
          <w:color w:val="0000FF"/>
          <w:sz w:val="20"/>
          <w:szCs w:val="20"/>
        </w:rPr>
        <w:t xml:space="preserve">[or repledged] </w:t>
      </w:r>
      <w:r>
        <w:rPr>
          <w:color w:val="000000"/>
          <w:sz w:val="20"/>
          <w:szCs w:val="20"/>
        </w:rPr>
        <w:t xml:space="preserve">such collateral and recognised the cash proceeds as a liability carried at fair value of </w:t>
      </w:r>
      <w:r w:rsidR="00D73799">
        <w:rPr>
          <w:color w:val="000000"/>
          <w:sz w:val="20"/>
          <w:szCs w:val="20"/>
        </w:rPr>
        <w:t>EUR</w:t>
      </w:r>
      <w:r>
        <w:rPr>
          <w:color w:val="000000"/>
          <w:sz w:val="20"/>
          <w:szCs w:val="20"/>
        </w:rPr>
        <w:t xml:space="preserve"> _____ thousand at the end of the reporting period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w:t>
      </w:r>
    </w:p>
    <w:p w14:paraId="74DF2C49" w14:textId="77777777" w:rsidR="00071B94" w:rsidRDefault="00071B94">
      <w:pPr>
        <w:widowControl w:val="0"/>
        <w:pBdr>
          <w:top w:val="nil"/>
          <w:left w:val="nil"/>
          <w:bottom w:val="nil"/>
          <w:right w:val="nil"/>
          <w:between w:val="nil"/>
        </w:pBdr>
        <w:spacing w:before="200" w:after="200"/>
        <w:jc w:val="both"/>
        <w:rPr>
          <w:color w:val="000000"/>
          <w:sz w:val="20"/>
          <w:szCs w:val="20"/>
          <w:lang w:val="sr-Cyrl-RS"/>
        </w:rPr>
      </w:pPr>
    </w:p>
    <w:p w14:paraId="5102F0AA" w14:textId="77777777" w:rsidR="00071B94" w:rsidRDefault="00071B94">
      <w:pPr>
        <w:widowControl w:val="0"/>
        <w:pBdr>
          <w:top w:val="nil"/>
          <w:left w:val="nil"/>
          <w:bottom w:val="nil"/>
          <w:right w:val="nil"/>
          <w:between w:val="nil"/>
        </w:pBdr>
        <w:spacing w:before="200" w:after="200"/>
        <w:jc w:val="both"/>
        <w:rPr>
          <w:color w:val="000000"/>
          <w:sz w:val="20"/>
          <w:szCs w:val="20"/>
          <w:lang w:val="sr-Cyrl-RS"/>
        </w:rPr>
      </w:pPr>
    </w:p>
    <w:p w14:paraId="5D76A7CD" w14:textId="77777777" w:rsidR="00071B94" w:rsidRPr="00071B94" w:rsidRDefault="00071B94">
      <w:pPr>
        <w:widowControl w:val="0"/>
        <w:pBdr>
          <w:top w:val="nil"/>
          <w:left w:val="nil"/>
          <w:bottom w:val="nil"/>
          <w:right w:val="nil"/>
          <w:between w:val="nil"/>
        </w:pBdr>
        <w:spacing w:before="200" w:after="200"/>
        <w:jc w:val="both"/>
        <w:rPr>
          <w:color w:val="000000"/>
          <w:sz w:val="20"/>
          <w:szCs w:val="20"/>
        </w:rPr>
      </w:pPr>
    </w:p>
    <w:p w14:paraId="1F1FDE63" w14:textId="31AD199A" w:rsidR="002A5F5D" w:rsidRPr="002A5F5D" w:rsidRDefault="002A5F5D">
      <w:pPr>
        <w:widowControl w:val="0"/>
        <w:pBdr>
          <w:top w:val="nil"/>
          <w:left w:val="nil"/>
          <w:bottom w:val="nil"/>
          <w:right w:val="nil"/>
          <w:between w:val="nil"/>
        </w:pBdr>
        <w:spacing w:before="200" w:after="200"/>
        <w:jc w:val="both"/>
        <w:rPr>
          <w:b/>
          <w:bCs/>
          <w:iCs/>
          <w:color w:val="000000" w:themeColor="text1"/>
          <w:sz w:val="20"/>
          <w:szCs w:val="20"/>
        </w:rPr>
      </w:pPr>
      <w:r w:rsidRPr="002A5F5D">
        <w:rPr>
          <w:b/>
          <w:bCs/>
          <w:iCs/>
          <w:color w:val="000000" w:themeColor="text1"/>
          <w:sz w:val="20"/>
          <w:szCs w:val="20"/>
        </w:rPr>
        <w:lastRenderedPageBreak/>
        <w:t>21</w:t>
      </w:r>
      <w:r w:rsidRPr="002A5F5D">
        <w:rPr>
          <w:b/>
          <w:bCs/>
          <w:iCs/>
          <w:color w:val="000000" w:themeColor="text1"/>
          <w:sz w:val="20"/>
          <w:szCs w:val="20"/>
        </w:rPr>
        <w:tab/>
        <w:t>Due to Other Banks</w:t>
      </w:r>
      <w:r>
        <w:rPr>
          <w:b/>
          <w:bCs/>
          <w:iCs/>
          <w:color w:val="000000" w:themeColor="text1"/>
          <w:sz w:val="20"/>
          <w:szCs w:val="20"/>
        </w:rPr>
        <w:t xml:space="preserve"> (Continued)</w:t>
      </w:r>
    </w:p>
    <w:p w14:paraId="01F4246A" w14:textId="61544E38" w:rsidR="00D83E33" w:rsidRDefault="00BC4072">
      <w:pPr>
        <w:widowControl w:val="0"/>
        <w:pBdr>
          <w:top w:val="nil"/>
          <w:left w:val="nil"/>
          <w:bottom w:val="nil"/>
          <w:right w:val="nil"/>
          <w:between w:val="nil"/>
        </w:pBdr>
        <w:spacing w:before="200" w:after="200"/>
        <w:jc w:val="both"/>
        <w:rPr>
          <w:color w:val="FF0000"/>
          <w:sz w:val="20"/>
          <w:szCs w:val="20"/>
        </w:rPr>
      </w:pPr>
      <w:r>
        <w:rPr>
          <w:i/>
          <w:color w:val="FF0000"/>
          <w:sz w:val="20"/>
          <w:szCs w:val="20"/>
        </w:rPr>
        <w:t>[</w:t>
      </w:r>
      <w:r w:rsidR="00456FF5">
        <w:rPr>
          <w:i/>
          <w:color w:val="FF0000"/>
          <w:sz w:val="20"/>
          <w:szCs w:val="20"/>
        </w:rPr>
        <w:t>Tailor to</w:t>
      </w:r>
      <w:r>
        <w:rPr>
          <w:i/>
          <w:color w:val="FF0000"/>
          <w:sz w:val="20"/>
          <w:szCs w:val="20"/>
        </w:rPr>
        <w:t xml:space="preserve"> disclose the aggregate amount of secured liabilities and the nature and carrying amount of the assets pledged as security. If this is very detailed, consider a separate note.]</w:t>
      </w:r>
    </w:p>
    <w:p w14:paraId="0E25A98A"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49 for the disclosure of the fair value of each class of amounts due to other banks. Interest rate analysis of due to other banks is disclosed in Note 41. Information on related party balances is disclosed in Note 51.</w:t>
      </w:r>
    </w:p>
    <w:p w14:paraId="6943AB64" w14:textId="77777777" w:rsidR="00D83E33" w:rsidRDefault="00BC4072" w:rsidP="001B330E">
      <w:pPr>
        <w:pStyle w:val="Heading1"/>
      </w:pPr>
      <w:bookmarkStart w:id="78" w:name="_Toc179196024"/>
      <w:r w:rsidRPr="00E03E99">
        <w:t>Customer</w:t>
      </w:r>
      <w:r>
        <w:t xml:space="preserve"> Accounts</w:t>
      </w:r>
      <w:bookmarkEnd w:id="78"/>
    </w:p>
    <w:p w14:paraId="6413049A" w14:textId="72914C5F" w:rsidR="00D83E33" w:rsidRDefault="00D83E33">
      <w:pPr>
        <w:widowControl w:val="0"/>
        <w:spacing w:before="200" w:after="200"/>
        <w:jc w:val="both"/>
        <w:rPr>
          <w:i/>
          <w:color w:val="FF0000"/>
          <w:sz w:val="20"/>
          <w:szCs w:val="20"/>
        </w:rPr>
      </w:pPr>
    </w:p>
    <w:tbl>
      <w:tblPr>
        <w:tblStyle w:val="afffffffffff1"/>
        <w:tblW w:w="5000" w:type="pct"/>
        <w:tblLayout w:type="fixed"/>
        <w:tblLook w:val="0000" w:firstRow="0" w:lastRow="0" w:firstColumn="0" w:lastColumn="0" w:noHBand="0" w:noVBand="0"/>
      </w:tblPr>
      <w:tblGrid>
        <w:gridCol w:w="6296"/>
        <w:gridCol w:w="1530"/>
        <w:gridCol w:w="1529"/>
      </w:tblGrid>
      <w:tr w:rsidR="00D83E33" w:rsidRPr="00EA10CF" w14:paraId="0CC011D2" w14:textId="77777777" w:rsidTr="001B330E">
        <w:trPr>
          <w:trHeight w:val="23"/>
        </w:trPr>
        <w:tc>
          <w:tcPr>
            <w:tcW w:w="3365" w:type="pct"/>
            <w:tcBorders>
              <w:bottom w:val="single" w:sz="4" w:space="0" w:color="000000"/>
            </w:tcBorders>
            <w:vAlign w:val="bottom"/>
          </w:tcPr>
          <w:p w14:paraId="48A469A7" w14:textId="38DEB609" w:rsidR="00D83E33" w:rsidRPr="00E03E99"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18" w:type="pct"/>
            <w:tcBorders>
              <w:bottom w:val="single" w:sz="4" w:space="0" w:color="000000"/>
            </w:tcBorders>
            <w:vAlign w:val="bottom"/>
          </w:tcPr>
          <w:p w14:paraId="6676001C" w14:textId="437B7C2F"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57EF2735" w14:textId="7357E512"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688726D1" w14:textId="77777777" w:rsidTr="001B330E">
        <w:trPr>
          <w:trHeight w:val="23"/>
        </w:trPr>
        <w:tc>
          <w:tcPr>
            <w:tcW w:w="3365" w:type="pct"/>
            <w:vAlign w:val="bottom"/>
          </w:tcPr>
          <w:p w14:paraId="3F78588A" w14:textId="77777777" w:rsidR="00D83E33" w:rsidRPr="00E03E99" w:rsidRDefault="00BC4072" w:rsidP="001B330E">
            <w:pPr>
              <w:widowControl w:val="0"/>
              <w:ind w:left="113" w:hanging="113"/>
              <w:rPr>
                <w:b/>
              </w:rPr>
            </w:pPr>
            <w:r w:rsidRPr="00E03E99">
              <w:t> </w:t>
            </w:r>
          </w:p>
        </w:tc>
        <w:tc>
          <w:tcPr>
            <w:tcW w:w="818" w:type="pct"/>
            <w:vAlign w:val="bottom"/>
          </w:tcPr>
          <w:p w14:paraId="06E98944"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843B51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04EAB8" w14:textId="77777777" w:rsidTr="001B330E">
        <w:trPr>
          <w:trHeight w:val="23"/>
        </w:trPr>
        <w:tc>
          <w:tcPr>
            <w:tcW w:w="3365" w:type="pct"/>
            <w:vAlign w:val="bottom"/>
          </w:tcPr>
          <w:p w14:paraId="23E91C9C" w14:textId="77777777" w:rsidR="00D83E33" w:rsidRPr="00E03E99" w:rsidRDefault="00BC4072" w:rsidP="001B330E">
            <w:pPr>
              <w:widowControl w:val="0"/>
              <w:pBdr>
                <w:top w:val="nil"/>
                <w:left w:val="nil"/>
                <w:bottom w:val="nil"/>
                <w:right w:val="nil"/>
                <w:between w:val="nil"/>
              </w:pBdr>
              <w:ind w:left="113" w:hanging="113"/>
              <w:rPr>
                <w:b/>
                <w:color w:val="000000"/>
              </w:rPr>
            </w:pPr>
            <w:r w:rsidRPr="00E03E99">
              <w:rPr>
                <w:b/>
                <w:color w:val="000000"/>
              </w:rPr>
              <w:t>State and public organisations</w:t>
            </w:r>
          </w:p>
        </w:tc>
        <w:tc>
          <w:tcPr>
            <w:tcW w:w="818" w:type="pct"/>
            <w:vAlign w:val="bottom"/>
          </w:tcPr>
          <w:p w14:paraId="40FB49BD"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348B2E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D0A3C2A" w14:textId="77777777" w:rsidTr="001B330E">
        <w:trPr>
          <w:trHeight w:val="23"/>
        </w:trPr>
        <w:tc>
          <w:tcPr>
            <w:tcW w:w="3365" w:type="pct"/>
            <w:vAlign w:val="bottom"/>
          </w:tcPr>
          <w:p w14:paraId="32AD464D"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Current/settlement accounts</w:t>
            </w:r>
          </w:p>
        </w:tc>
        <w:tc>
          <w:tcPr>
            <w:tcW w:w="818" w:type="pct"/>
            <w:vAlign w:val="bottom"/>
          </w:tcPr>
          <w:p w14:paraId="3C6EBDF5"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7F7A2C8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B39CA0" w14:textId="77777777" w:rsidTr="001B330E">
        <w:trPr>
          <w:trHeight w:val="23"/>
        </w:trPr>
        <w:tc>
          <w:tcPr>
            <w:tcW w:w="3365" w:type="pct"/>
            <w:vAlign w:val="bottom"/>
          </w:tcPr>
          <w:p w14:paraId="5CB2CEEE"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Term deposits</w:t>
            </w:r>
          </w:p>
        </w:tc>
        <w:tc>
          <w:tcPr>
            <w:tcW w:w="818" w:type="pct"/>
            <w:vAlign w:val="bottom"/>
          </w:tcPr>
          <w:p w14:paraId="52B958BA"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B8DB05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4DF1069" w14:textId="77777777" w:rsidTr="001B330E">
        <w:trPr>
          <w:trHeight w:val="23"/>
        </w:trPr>
        <w:tc>
          <w:tcPr>
            <w:tcW w:w="3365" w:type="pct"/>
            <w:vAlign w:val="bottom"/>
          </w:tcPr>
          <w:p w14:paraId="068C92DA" w14:textId="77777777" w:rsidR="00D83E33" w:rsidRPr="00E03E99" w:rsidRDefault="00BC4072" w:rsidP="001B330E">
            <w:pPr>
              <w:widowControl w:val="0"/>
              <w:pBdr>
                <w:top w:val="nil"/>
                <w:left w:val="nil"/>
                <w:bottom w:val="nil"/>
                <w:right w:val="nil"/>
                <w:between w:val="nil"/>
              </w:pBdr>
              <w:ind w:left="113" w:hanging="113"/>
              <w:rPr>
                <w:b/>
                <w:color w:val="000000"/>
              </w:rPr>
            </w:pPr>
            <w:r w:rsidRPr="00E03E99">
              <w:rPr>
                <w:color w:val="000000"/>
              </w:rPr>
              <w:t> </w:t>
            </w:r>
          </w:p>
        </w:tc>
        <w:tc>
          <w:tcPr>
            <w:tcW w:w="818" w:type="pct"/>
            <w:vAlign w:val="bottom"/>
          </w:tcPr>
          <w:p w14:paraId="59EA57E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E3A7D2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7F6DE72" w14:textId="77777777" w:rsidTr="001B330E">
        <w:trPr>
          <w:trHeight w:val="23"/>
        </w:trPr>
        <w:tc>
          <w:tcPr>
            <w:tcW w:w="3365" w:type="pct"/>
            <w:vAlign w:val="bottom"/>
          </w:tcPr>
          <w:p w14:paraId="2C85798B" w14:textId="77777777" w:rsidR="00D83E33" w:rsidRPr="00E03E99" w:rsidRDefault="00BC4072" w:rsidP="001B330E">
            <w:pPr>
              <w:widowControl w:val="0"/>
              <w:pBdr>
                <w:top w:val="nil"/>
                <w:left w:val="nil"/>
                <w:bottom w:val="nil"/>
                <w:right w:val="nil"/>
                <w:between w:val="nil"/>
              </w:pBdr>
              <w:ind w:left="113" w:hanging="113"/>
              <w:rPr>
                <w:b/>
                <w:color w:val="000000"/>
              </w:rPr>
            </w:pPr>
            <w:r w:rsidRPr="00E03E99">
              <w:rPr>
                <w:b/>
                <w:color w:val="000000"/>
              </w:rPr>
              <w:t>Other legal entities</w:t>
            </w:r>
          </w:p>
        </w:tc>
        <w:tc>
          <w:tcPr>
            <w:tcW w:w="818" w:type="pct"/>
            <w:vAlign w:val="bottom"/>
          </w:tcPr>
          <w:p w14:paraId="17948478"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7AAA13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C559C03" w14:textId="77777777" w:rsidTr="001B330E">
        <w:trPr>
          <w:trHeight w:val="23"/>
        </w:trPr>
        <w:tc>
          <w:tcPr>
            <w:tcW w:w="3365" w:type="pct"/>
            <w:vAlign w:val="bottom"/>
          </w:tcPr>
          <w:p w14:paraId="44C088BD"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Current/settlement accounts</w:t>
            </w:r>
          </w:p>
        </w:tc>
        <w:tc>
          <w:tcPr>
            <w:tcW w:w="818" w:type="pct"/>
            <w:vAlign w:val="bottom"/>
          </w:tcPr>
          <w:p w14:paraId="294AA5E2"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FCAA62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E11AC93" w14:textId="77777777" w:rsidTr="001B330E">
        <w:trPr>
          <w:trHeight w:val="23"/>
        </w:trPr>
        <w:tc>
          <w:tcPr>
            <w:tcW w:w="3365" w:type="pct"/>
            <w:vAlign w:val="bottom"/>
          </w:tcPr>
          <w:p w14:paraId="4B4ED124"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Term deposits</w:t>
            </w:r>
          </w:p>
        </w:tc>
        <w:tc>
          <w:tcPr>
            <w:tcW w:w="818" w:type="pct"/>
            <w:vAlign w:val="bottom"/>
          </w:tcPr>
          <w:p w14:paraId="29BA38C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82211C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9B85CC3" w14:textId="77777777" w:rsidTr="001B330E">
        <w:trPr>
          <w:trHeight w:val="23"/>
        </w:trPr>
        <w:tc>
          <w:tcPr>
            <w:tcW w:w="3365" w:type="pct"/>
            <w:vAlign w:val="bottom"/>
          </w:tcPr>
          <w:p w14:paraId="07169212" w14:textId="77777777" w:rsidR="00D83E33" w:rsidRPr="00E03E99" w:rsidRDefault="00BC4072" w:rsidP="001B330E">
            <w:pPr>
              <w:widowControl w:val="0"/>
              <w:ind w:left="113" w:hanging="113"/>
              <w:rPr>
                <w:b/>
              </w:rPr>
            </w:pPr>
            <w:r w:rsidRPr="00E03E99">
              <w:t> </w:t>
            </w:r>
          </w:p>
        </w:tc>
        <w:tc>
          <w:tcPr>
            <w:tcW w:w="818" w:type="pct"/>
            <w:vAlign w:val="bottom"/>
          </w:tcPr>
          <w:p w14:paraId="07EE6A06"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066257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8B72C48" w14:textId="77777777" w:rsidTr="001B330E">
        <w:trPr>
          <w:trHeight w:val="23"/>
        </w:trPr>
        <w:tc>
          <w:tcPr>
            <w:tcW w:w="3365" w:type="pct"/>
            <w:vAlign w:val="bottom"/>
          </w:tcPr>
          <w:p w14:paraId="40CB7B75" w14:textId="77777777" w:rsidR="00D83E33" w:rsidRPr="00E03E99" w:rsidRDefault="00BC4072" w:rsidP="001B330E">
            <w:pPr>
              <w:widowControl w:val="0"/>
              <w:pBdr>
                <w:top w:val="nil"/>
                <w:left w:val="nil"/>
                <w:bottom w:val="nil"/>
                <w:right w:val="nil"/>
                <w:between w:val="nil"/>
              </w:pBdr>
              <w:ind w:left="113" w:hanging="113"/>
              <w:rPr>
                <w:b/>
                <w:color w:val="000000"/>
              </w:rPr>
            </w:pPr>
            <w:r w:rsidRPr="00E03E99">
              <w:rPr>
                <w:b/>
                <w:color w:val="000000"/>
              </w:rPr>
              <w:t>Individuals</w:t>
            </w:r>
          </w:p>
        </w:tc>
        <w:tc>
          <w:tcPr>
            <w:tcW w:w="818" w:type="pct"/>
            <w:vAlign w:val="bottom"/>
          </w:tcPr>
          <w:p w14:paraId="594C1071"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61FB03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01737FD" w14:textId="77777777" w:rsidTr="001B330E">
        <w:trPr>
          <w:trHeight w:val="23"/>
        </w:trPr>
        <w:tc>
          <w:tcPr>
            <w:tcW w:w="3365" w:type="pct"/>
            <w:vAlign w:val="bottom"/>
          </w:tcPr>
          <w:p w14:paraId="462A8FE3"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Current/demand accounts</w:t>
            </w:r>
          </w:p>
        </w:tc>
        <w:tc>
          <w:tcPr>
            <w:tcW w:w="818" w:type="pct"/>
            <w:vAlign w:val="bottom"/>
          </w:tcPr>
          <w:p w14:paraId="69DEC71D"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289809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F24C3DC" w14:textId="77777777" w:rsidTr="001B330E">
        <w:trPr>
          <w:trHeight w:val="23"/>
        </w:trPr>
        <w:tc>
          <w:tcPr>
            <w:tcW w:w="3365" w:type="pct"/>
            <w:vAlign w:val="bottom"/>
          </w:tcPr>
          <w:p w14:paraId="65CBA68C"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Term deposits</w:t>
            </w:r>
          </w:p>
        </w:tc>
        <w:tc>
          <w:tcPr>
            <w:tcW w:w="818" w:type="pct"/>
            <w:vAlign w:val="bottom"/>
          </w:tcPr>
          <w:p w14:paraId="50C12732"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D0976F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EBCE4FD" w14:textId="77777777" w:rsidTr="001B330E">
        <w:trPr>
          <w:trHeight w:val="23"/>
        </w:trPr>
        <w:tc>
          <w:tcPr>
            <w:tcW w:w="3365" w:type="pct"/>
            <w:tcBorders>
              <w:bottom w:val="single" w:sz="4" w:space="0" w:color="000000"/>
            </w:tcBorders>
            <w:vAlign w:val="bottom"/>
          </w:tcPr>
          <w:p w14:paraId="107A8D44" w14:textId="77777777" w:rsidR="00D83E33" w:rsidRPr="00E03E99" w:rsidRDefault="00BC4072" w:rsidP="001B330E">
            <w:pPr>
              <w:widowControl w:val="0"/>
              <w:pBdr>
                <w:top w:val="nil"/>
                <w:left w:val="nil"/>
                <w:bottom w:val="nil"/>
                <w:right w:val="nil"/>
                <w:between w:val="nil"/>
              </w:pBdr>
              <w:ind w:left="113" w:hanging="113"/>
              <w:rPr>
                <w:b/>
                <w:color w:val="000000"/>
              </w:rPr>
            </w:pPr>
            <w:r w:rsidRPr="00E03E99">
              <w:rPr>
                <w:color w:val="000000"/>
              </w:rPr>
              <w:t> </w:t>
            </w:r>
          </w:p>
        </w:tc>
        <w:tc>
          <w:tcPr>
            <w:tcW w:w="818" w:type="pct"/>
            <w:tcBorders>
              <w:bottom w:val="single" w:sz="4" w:space="0" w:color="000000"/>
            </w:tcBorders>
            <w:vAlign w:val="bottom"/>
          </w:tcPr>
          <w:p w14:paraId="488A21F9"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7646371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0AE05B8" w14:textId="77777777" w:rsidTr="001B330E">
        <w:trPr>
          <w:trHeight w:val="23"/>
        </w:trPr>
        <w:tc>
          <w:tcPr>
            <w:tcW w:w="3365" w:type="pct"/>
            <w:vAlign w:val="bottom"/>
          </w:tcPr>
          <w:p w14:paraId="2FA9CA8D" w14:textId="77777777" w:rsidR="00D83E33" w:rsidRPr="00E03E99" w:rsidRDefault="00BC4072" w:rsidP="001B330E">
            <w:pPr>
              <w:widowControl w:val="0"/>
              <w:pBdr>
                <w:top w:val="nil"/>
                <w:left w:val="nil"/>
                <w:bottom w:val="nil"/>
                <w:right w:val="nil"/>
                <w:between w:val="nil"/>
              </w:pBdr>
              <w:ind w:left="113" w:hanging="113"/>
              <w:rPr>
                <w:b/>
                <w:color w:val="000000"/>
              </w:rPr>
            </w:pPr>
            <w:r w:rsidRPr="00E03E99">
              <w:rPr>
                <w:color w:val="000000"/>
              </w:rPr>
              <w:t> </w:t>
            </w:r>
          </w:p>
        </w:tc>
        <w:tc>
          <w:tcPr>
            <w:tcW w:w="818" w:type="pct"/>
            <w:vAlign w:val="bottom"/>
          </w:tcPr>
          <w:p w14:paraId="1FCC5AD1"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7DC4C45C"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44C2688" w14:textId="77777777" w:rsidTr="001B330E">
        <w:trPr>
          <w:trHeight w:val="23"/>
        </w:trPr>
        <w:tc>
          <w:tcPr>
            <w:tcW w:w="3365" w:type="pct"/>
            <w:vAlign w:val="bottom"/>
          </w:tcPr>
          <w:p w14:paraId="2F1E26E8" w14:textId="77777777" w:rsidR="00D83E33" w:rsidRPr="00E03E99" w:rsidRDefault="00BC4072" w:rsidP="001B330E">
            <w:pPr>
              <w:widowControl w:val="0"/>
              <w:pBdr>
                <w:top w:val="nil"/>
                <w:left w:val="nil"/>
                <w:bottom w:val="nil"/>
                <w:right w:val="nil"/>
                <w:between w:val="nil"/>
              </w:pBdr>
              <w:ind w:left="113" w:hanging="113"/>
              <w:rPr>
                <w:b/>
                <w:color w:val="000000"/>
              </w:rPr>
            </w:pPr>
            <w:r w:rsidRPr="00E03E99">
              <w:rPr>
                <w:b/>
                <w:color w:val="000000"/>
              </w:rPr>
              <w:t>Total customer accounts</w:t>
            </w:r>
          </w:p>
        </w:tc>
        <w:tc>
          <w:tcPr>
            <w:tcW w:w="818" w:type="pct"/>
            <w:vAlign w:val="bottom"/>
          </w:tcPr>
          <w:p w14:paraId="32C75B90"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25107B0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1A97337" w14:textId="77777777" w:rsidTr="001B330E">
        <w:trPr>
          <w:trHeight w:val="23"/>
        </w:trPr>
        <w:tc>
          <w:tcPr>
            <w:tcW w:w="3365" w:type="pct"/>
            <w:tcBorders>
              <w:bottom w:val="single" w:sz="12" w:space="0" w:color="000000"/>
            </w:tcBorders>
            <w:vAlign w:val="bottom"/>
          </w:tcPr>
          <w:p w14:paraId="786ED19C" w14:textId="77777777" w:rsidR="00D83E33" w:rsidRPr="00E03E99" w:rsidRDefault="00BC4072" w:rsidP="001B330E">
            <w:pPr>
              <w:widowControl w:val="0"/>
              <w:ind w:left="113" w:hanging="113"/>
              <w:rPr>
                <w:b/>
              </w:rPr>
            </w:pPr>
            <w:r w:rsidRPr="00E03E99">
              <w:t> </w:t>
            </w:r>
          </w:p>
        </w:tc>
        <w:tc>
          <w:tcPr>
            <w:tcW w:w="818" w:type="pct"/>
            <w:tcBorders>
              <w:bottom w:val="single" w:sz="12" w:space="0" w:color="000000"/>
            </w:tcBorders>
            <w:vAlign w:val="bottom"/>
          </w:tcPr>
          <w:p w14:paraId="4E6C3795" w14:textId="77777777" w:rsidR="00D83E33" w:rsidRPr="00EA10CF" w:rsidRDefault="00D83E33">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289D328F" w14:textId="77777777" w:rsidR="00D83E33" w:rsidRPr="00EA10CF" w:rsidRDefault="00D83E33">
            <w:pPr>
              <w:widowControl w:val="0"/>
              <w:pBdr>
                <w:top w:val="nil"/>
                <w:left w:val="nil"/>
                <w:bottom w:val="nil"/>
                <w:right w:val="nil"/>
                <w:between w:val="nil"/>
              </w:pBdr>
              <w:jc w:val="right"/>
              <w:rPr>
                <w:b/>
                <w:color w:val="000000"/>
              </w:rPr>
            </w:pPr>
          </w:p>
        </w:tc>
      </w:tr>
    </w:tbl>
    <w:p w14:paraId="2A2E923C" w14:textId="77777777" w:rsidR="00A90BB8" w:rsidRDefault="00A90BB8" w:rsidP="00A90BB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Customer accounts are non-derivative liabilities to individuals, state or corporate customers and are carried at AC. </w:t>
      </w:r>
    </w:p>
    <w:p w14:paraId="73D0E265" w14:textId="13DE1BE1"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State and public organisations exclude government owned profit</w:t>
      </w:r>
      <w:r w:rsidR="00696106">
        <w:rPr>
          <w:color w:val="000000"/>
          <w:sz w:val="20"/>
          <w:szCs w:val="20"/>
        </w:rPr>
        <w:t>-</w:t>
      </w:r>
      <w:r>
        <w:rPr>
          <w:color w:val="000000"/>
          <w:sz w:val="20"/>
          <w:szCs w:val="20"/>
        </w:rPr>
        <w:t xml:space="preserve">orientated businesses. During </w:t>
      </w:r>
      <w:r w:rsidR="00541EBC">
        <w:rPr>
          <w:color w:val="000000"/>
          <w:sz w:val="20"/>
          <w:szCs w:val="20"/>
        </w:rPr>
        <w:t>2024</w:t>
      </w:r>
      <w:r>
        <w:rPr>
          <w:color w:val="000000"/>
          <w:sz w:val="20"/>
          <w:szCs w:val="20"/>
        </w:rPr>
        <w:t xml:space="preserve">, a gain </w:t>
      </w:r>
      <w:r>
        <w:rPr>
          <w:color w:val="0000FF"/>
          <w:sz w:val="20"/>
          <w:szCs w:val="20"/>
        </w:rPr>
        <w:t>[loss]</w:t>
      </w:r>
      <w:r>
        <w:rPr>
          <w:color w:val="000000"/>
          <w:sz w:val="20"/>
          <w:szCs w:val="20"/>
        </w:rPr>
        <w:t xml:space="preserve"> on initial recognition of term deposits at rates below </w:t>
      </w:r>
      <w:r>
        <w:rPr>
          <w:color w:val="0000FF"/>
          <w:sz w:val="20"/>
          <w:szCs w:val="20"/>
        </w:rPr>
        <w:t xml:space="preserve">[above] </w:t>
      </w:r>
      <w:r>
        <w:rPr>
          <w:color w:val="000000"/>
          <w:sz w:val="20"/>
          <w:szCs w:val="20"/>
        </w:rPr>
        <w:t xml:space="preserve">market in the amount of </w:t>
      </w:r>
      <w:r w:rsidR="00D73799">
        <w:rPr>
          <w:color w:val="000000"/>
          <w:sz w:val="20"/>
          <w:szCs w:val="20"/>
        </w:rPr>
        <w:t>EUR</w:t>
      </w:r>
      <w:r>
        <w:rPr>
          <w:color w:val="000000"/>
          <w:sz w:val="20"/>
          <w:szCs w:val="20"/>
        </w:rPr>
        <w:t xml:space="preserve"> 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thousand) has been recorded in profit or loss for the year </w:t>
      </w:r>
      <w:r>
        <w:rPr>
          <w:color w:val="0000FF"/>
          <w:sz w:val="20"/>
          <w:szCs w:val="20"/>
        </w:rPr>
        <w:t>[statement of changes in equity because it effectively represents a capital contribution from [distribution to] the Group’s owners]</w:t>
      </w:r>
      <w:r>
        <w:rPr>
          <w:color w:val="000000"/>
          <w:sz w:val="20"/>
          <w:szCs w:val="20"/>
        </w:rPr>
        <w:t xml:space="preserve">. </w:t>
      </w:r>
    </w:p>
    <w:p w14:paraId="2F8A3866"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Economic sector concentrations within customer accounts are as follows:</w:t>
      </w:r>
    </w:p>
    <w:tbl>
      <w:tblPr>
        <w:tblStyle w:val="afffffffffff2"/>
        <w:tblW w:w="5000" w:type="pct"/>
        <w:tblLayout w:type="fixed"/>
        <w:tblLook w:val="0000" w:firstRow="0" w:lastRow="0" w:firstColumn="0" w:lastColumn="0" w:noHBand="0" w:noVBand="0"/>
      </w:tblPr>
      <w:tblGrid>
        <w:gridCol w:w="3460"/>
        <w:gridCol w:w="1475"/>
        <w:gridCol w:w="1474"/>
        <w:gridCol w:w="1474"/>
        <w:gridCol w:w="1472"/>
      </w:tblGrid>
      <w:tr w:rsidR="00D83E33" w:rsidRPr="00EA10CF" w14:paraId="0B69FEB9" w14:textId="77777777" w:rsidTr="002A5F5D">
        <w:trPr>
          <w:trHeight w:val="23"/>
        </w:trPr>
        <w:tc>
          <w:tcPr>
            <w:tcW w:w="1849" w:type="pct"/>
            <w:vMerge w:val="restart"/>
            <w:vAlign w:val="bottom"/>
          </w:tcPr>
          <w:p w14:paraId="64A276B2" w14:textId="160BD807"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1576" w:type="pct"/>
            <w:gridSpan w:val="2"/>
            <w:tcBorders>
              <w:bottom w:val="single" w:sz="4" w:space="0" w:color="000000"/>
            </w:tcBorders>
            <w:vAlign w:val="bottom"/>
          </w:tcPr>
          <w:p w14:paraId="47B07C1B" w14:textId="4AE04022" w:rsidR="00D83E33" w:rsidRPr="00EA10CF" w:rsidRDefault="00541EBC">
            <w:pPr>
              <w:widowControl w:val="0"/>
              <w:pBdr>
                <w:top w:val="nil"/>
                <w:left w:val="nil"/>
                <w:bottom w:val="nil"/>
                <w:right w:val="nil"/>
                <w:between w:val="nil"/>
              </w:pBdr>
              <w:jc w:val="center"/>
              <w:rPr>
                <w:b/>
                <w:color w:val="000000"/>
              </w:rPr>
            </w:pPr>
            <w:r>
              <w:rPr>
                <w:b/>
                <w:color w:val="000000"/>
              </w:rPr>
              <w:t>2024</w:t>
            </w:r>
          </w:p>
        </w:tc>
        <w:tc>
          <w:tcPr>
            <w:tcW w:w="1576" w:type="pct"/>
            <w:gridSpan w:val="2"/>
            <w:tcBorders>
              <w:bottom w:val="single" w:sz="4" w:space="0" w:color="000000"/>
            </w:tcBorders>
            <w:vAlign w:val="bottom"/>
          </w:tcPr>
          <w:p w14:paraId="5895F1CC" w14:textId="18093770" w:rsidR="00D83E33" w:rsidRPr="00EA10CF" w:rsidRDefault="00541EBC">
            <w:pPr>
              <w:widowControl w:val="0"/>
              <w:pBdr>
                <w:top w:val="nil"/>
                <w:left w:val="nil"/>
                <w:bottom w:val="nil"/>
                <w:right w:val="nil"/>
                <w:between w:val="nil"/>
              </w:pBdr>
              <w:jc w:val="center"/>
              <w:rPr>
                <w:b/>
                <w:color w:val="000000"/>
              </w:rPr>
            </w:pPr>
            <w:r>
              <w:rPr>
                <w:b/>
                <w:color w:val="000000"/>
              </w:rPr>
              <w:t>2023</w:t>
            </w:r>
          </w:p>
        </w:tc>
      </w:tr>
      <w:tr w:rsidR="00D83E33" w:rsidRPr="00EA10CF" w14:paraId="698CF417" w14:textId="77777777" w:rsidTr="002A5F5D">
        <w:trPr>
          <w:trHeight w:val="23"/>
        </w:trPr>
        <w:tc>
          <w:tcPr>
            <w:tcW w:w="1849" w:type="pct"/>
            <w:vMerge/>
            <w:vAlign w:val="bottom"/>
          </w:tcPr>
          <w:p w14:paraId="7C5DA9FD"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788" w:type="pct"/>
            <w:tcBorders>
              <w:bottom w:val="single" w:sz="4" w:space="0" w:color="000000"/>
            </w:tcBorders>
            <w:vAlign w:val="bottom"/>
          </w:tcPr>
          <w:p w14:paraId="304F4440"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Amount</w:t>
            </w:r>
          </w:p>
        </w:tc>
        <w:tc>
          <w:tcPr>
            <w:tcW w:w="788" w:type="pct"/>
            <w:tcBorders>
              <w:bottom w:val="single" w:sz="4" w:space="0" w:color="000000"/>
            </w:tcBorders>
            <w:vAlign w:val="bottom"/>
          </w:tcPr>
          <w:p w14:paraId="6BFA101B"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w:t>
            </w:r>
          </w:p>
        </w:tc>
        <w:tc>
          <w:tcPr>
            <w:tcW w:w="788" w:type="pct"/>
            <w:tcBorders>
              <w:bottom w:val="single" w:sz="4" w:space="0" w:color="000000"/>
            </w:tcBorders>
            <w:vAlign w:val="bottom"/>
          </w:tcPr>
          <w:p w14:paraId="7348D93C"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Amount</w:t>
            </w:r>
          </w:p>
        </w:tc>
        <w:tc>
          <w:tcPr>
            <w:tcW w:w="788" w:type="pct"/>
            <w:tcBorders>
              <w:bottom w:val="single" w:sz="4" w:space="0" w:color="000000"/>
            </w:tcBorders>
            <w:vAlign w:val="bottom"/>
          </w:tcPr>
          <w:p w14:paraId="4CC2D5B2"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w:t>
            </w:r>
          </w:p>
        </w:tc>
      </w:tr>
      <w:tr w:rsidR="00D83E33" w:rsidRPr="00EA10CF" w14:paraId="4E519C2D" w14:textId="77777777" w:rsidTr="002A5F5D">
        <w:trPr>
          <w:trHeight w:val="23"/>
        </w:trPr>
        <w:tc>
          <w:tcPr>
            <w:tcW w:w="1849" w:type="pct"/>
            <w:vAlign w:val="bottom"/>
          </w:tcPr>
          <w:p w14:paraId="5F7CFBC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788" w:type="pct"/>
            <w:vAlign w:val="bottom"/>
          </w:tcPr>
          <w:p w14:paraId="58D50BCA"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00322B30"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1FAF8C02"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2C9AEBB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8620E32" w14:textId="77777777" w:rsidTr="002A5F5D">
        <w:trPr>
          <w:trHeight w:val="23"/>
        </w:trPr>
        <w:tc>
          <w:tcPr>
            <w:tcW w:w="1849" w:type="pct"/>
            <w:vAlign w:val="bottom"/>
          </w:tcPr>
          <w:p w14:paraId="2BE15C3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State and public organisations</w:t>
            </w:r>
          </w:p>
        </w:tc>
        <w:tc>
          <w:tcPr>
            <w:tcW w:w="788" w:type="pct"/>
            <w:vAlign w:val="bottom"/>
          </w:tcPr>
          <w:p w14:paraId="7F9C6D98"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2F254D77"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4519A1C7"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0360171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3501483" w14:textId="77777777" w:rsidTr="002A5F5D">
        <w:trPr>
          <w:trHeight w:val="23"/>
        </w:trPr>
        <w:tc>
          <w:tcPr>
            <w:tcW w:w="1849" w:type="pct"/>
            <w:vAlign w:val="bottom"/>
          </w:tcPr>
          <w:p w14:paraId="04C742E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Cities and municipalities</w:t>
            </w:r>
          </w:p>
        </w:tc>
        <w:tc>
          <w:tcPr>
            <w:tcW w:w="788" w:type="pct"/>
            <w:vAlign w:val="bottom"/>
          </w:tcPr>
          <w:p w14:paraId="6B5F1865"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3A37D187"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0A6E052F"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39C9871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8DE50E8" w14:textId="77777777" w:rsidTr="002A5F5D">
        <w:trPr>
          <w:trHeight w:val="23"/>
        </w:trPr>
        <w:tc>
          <w:tcPr>
            <w:tcW w:w="1849" w:type="pct"/>
            <w:vAlign w:val="bottom"/>
          </w:tcPr>
          <w:p w14:paraId="322F9DF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Manufacturing</w:t>
            </w:r>
          </w:p>
        </w:tc>
        <w:tc>
          <w:tcPr>
            <w:tcW w:w="788" w:type="pct"/>
            <w:vAlign w:val="bottom"/>
          </w:tcPr>
          <w:p w14:paraId="67CACA71"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69C5421E"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4F865669"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6FADC7F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F3E9E90" w14:textId="77777777" w:rsidTr="002A5F5D">
        <w:trPr>
          <w:trHeight w:val="23"/>
        </w:trPr>
        <w:tc>
          <w:tcPr>
            <w:tcW w:w="1849" w:type="pct"/>
            <w:vAlign w:val="bottom"/>
          </w:tcPr>
          <w:p w14:paraId="03D2DB6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Real estate</w:t>
            </w:r>
          </w:p>
        </w:tc>
        <w:tc>
          <w:tcPr>
            <w:tcW w:w="788" w:type="pct"/>
            <w:vAlign w:val="bottom"/>
          </w:tcPr>
          <w:p w14:paraId="4B36DEE5"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1311DC0C"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2F337E92"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658B621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7C8F78" w14:textId="77777777" w:rsidTr="002A5F5D">
        <w:trPr>
          <w:trHeight w:val="23"/>
        </w:trPr>
        <w:tc>
          <w:tcPr>
            <w:tcW w:w="1849" w:type="pct"/>
            <w:vAlign w:val="bottom"/>
          </w:tcPr>
          <w:p w14:paraId="1055D97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Trade</w:t>
            </w:r>
          </w:p>
        </w:tc>
        <w:tc>
          <w:tcPr>
            <w:tcW w:w="788" w:type="pct"/>
            <w:vAlign w:val="bottom"/>
          </w:tcPr>
          <w:p w14:paraId="4884C4A8"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287948BC"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4FE816C2"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15BDEEB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F3C8FCB" w14:textId="77777777" w:rsidTr="002A5F5D">
        <w:trPr>
          <w:trHeight w:val="23"/>
        </w:trPr>
        <w:tc>
          <w:tcPr>
            <w:tcW w:w="1849" w:type="pct"/>
            <w:vAlign w:val="bottom"/>
          </w:tcPr>
          <w:p w14:paraId="6F98BB05" w14:textId="77777777" w:rsidR="00D83E33" w:rsidRPr="00EA10CF" w:rsidRDefault="00BC4072" w:rsidP="001B330E">
            <w:pPr>
              <w:widowControl w:val="0"/>
              <w:pBdr>
                <w:top w:val="nil"/>
                <w:left w:val="nil"/>
                <w:bottom w:val="nil"/>
                <w:right w:val="nil"/>
                <w:between w:val="nil"/>
              </w:pBdr>
              <w:ind w:left="113" w:hanging="113"/>
              <w:rPr>
                <w:color w:val="000000"/>
                <w:u w:val="single"/>
              </w:rPr>
            </w:pPr>
            <w:r w:rsidRPr="00EA10CF">
              <w:rPr>
                <w:color w:val="000000"/>
              </w:rPr>
              <w:t>Agriculture</w:t>
            </w:r>
          </w:p>
        </w:tc>
        <w:tc>
          <w:tcPr>
            <w:tcW w:w="788" w:type="pct"/>
            <w:vAlign w:val="bottom"/>
          </w:tcPr>
          <w:p w14:paraId="514B9325"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5B58D4AC"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79E3A957"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2DE46D2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1B093C" w14:textId="77777777" w:rsidTr="002A5F5D">
        <w:trPr>
          <w:trHeight w:val="23"/>
        </w:trPr>
        <w:tc>
          <w:tcPr>
            <w:tcW w:w="1849" w:type="pct"/>
            <w:vAlign w:val="bottom"/>
          </w:tcPr>
          <w:p w14:paraId="416526A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Individuals</w:t>
            </w:r>
          </w:p>
        </w:tc>
        <w:tc>
          <w:tcPr>
            <w:tcW w:w="788" w:type="pct"/>
            <w:vAlign w:val="bottom"/>
          </w:tcPr>
          <w:p w14:paraId="6089A312"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1B41DCC8"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48BFA612"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7B52C9F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49D5B1C" w14:textId="77777777" w:rsidTr="002A5F5D">
        <w:trPr>
          <w:trHeight w:val="23"/>
        </w:trPr>
        <w:tc>
          <w:tcPr>
            <w:tcW w:w="1849" w:type="pct"/>
            <w:vAlign w:val="bottom"/>
          </w:tcPr>
          <w:p w14:paraId="523E0A0E" w14:textId="77777777" w:rsidR="00D83E33" w:rsidRPr="00EA10CF" w:rsidRDefault="00BC4072" w:rsidP="001B330E">
            <w:pPr>
              <w:widowControl w:val="0"/>
              <w:pBdr>
                <w:top w:val="nil"/>
                <w:left w:val="nil"/>
                <w:bottom w:val="nil"/>
                <w:right w:val="nil"/>
                <w:between w:val="nil"/>
              </w:pBdr>
              <w:ind w:left="113" w:hanging="113"/>
              <w:rPr>
                <w:color w:val="000000"/>
                <w:u w:val="single"/>
              </w:rPr>
            </w:pPr>
            <w:r w:rsidRPr="00EA10CF">
              <w:rPr>
                <w:color w:val="000000"/>
              </w:rPr>
              <w:t>Other</w:t>
            </w:r>
          </w:p>
        </w:tc>
        <w:tc>
          <w:tcPr>
            <w:tcW w:w="788" w:type="pct"/>
            <w:vAlign w:val="bottom"/>
          </w:tcPr>
          <w:p w14:paraId="31148AF6"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7C23CAF7"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042E7080"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049EA14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FC28344" w14:textId="77777777" w:rsidTr="002A5F5D">
        <w:trPr>
          <w:trHeight w:val="23"/>
        </w:trPr>
        <w:tc>
          <w:tcPr>
            <w:tcW w:w="1849" w:type="pct"/>
            <w:vAlign w:val="bottom"/>
          </w:tcPr>
          <w:p w14:paraId="33BD1DDC" w14:textId="4B2BBB0B" w:rsidR="00D83E33" w:rsidRPr="00EA10CF" w:rsidRDefault="00D83E33" w:rsidP="001B330E">
            <w:pPr>
              <w:widowControl w:val="0"/>
              <w:pBdr>
                <w:top w:val="nil"/>
                <w:left w:val="nil"/>
                <w:bottom w:val="nil"/>
                <w:right w:val="nil"/>
                <w:between w:val="nil"/>
              </w:pBdr>
              <w:ind w:left="113" w:hanging="113"/>
              <w:rPr>
                <w:i/>
                <w:color w:val="FF0000"/>
              </w:rPr>
            </w:pPr>
          </w:p>
        </w:tc>
        <w:tc>
          <w:tcPr>
            <w:tcW w:w="788" w:type="pct"/>
            <w:vAlign w:val="bottom"/>
          </w:tcPr>
          <w:p w14:paraId="792F4ED8"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26F0B114"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7AC6026F" w14:textId="77777777" w:rsidR="00D83E33" w:rsidRPr="00EA10CF" w:rsidRDefault="00D83E33">
            <w:pPr>
              <w:widowControl w:val="0"/>
              <w:pBdr>
                <w:top w:val="nil"/>
                <w:left w:val="nil"/>
                <w:bottom w:val="nil"/>
                <w:right w:val="nil"/>
                <w:between w:val="nil"/>
              </w:pBdr>
              <w:jc w:val="right"/>
              <w:rPr>
                <w:color w:val="000000"/>
              </w:rPr>
            </w:pPr>
          </w:p>
        </w:tc>
        <w:tc>
          <w:tcPr>
            <w:tcW w:w="788" w:type="pct"/>
            <w:vAlign w:val="bottom"/>
          </w:tcPr>
          <w:p w14:paraId="1958690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C6F3E77" w14:textId="77777777" w:rsidTr="002A5F5D">
        <w:trPr>
          <w:trHeight w:val="23"/>
        </w:trPr>
        <w:tc>
          <w:tcPr>
            <w:tcW w:w="1849" w:type="pct"/>
            <w:tcBorders>
              <w:bottom w:val="single" w:sz="4" w:space="0" w:color="000000"/>
            </w:tcBorders>
            <w:vAlign w:val="bottom"/>
          </w:tcPr>
          <w:p w14:paraId="1432B15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788" w:type="pct"/>
            <w:tcBorders>
              <w:bottom w:val="single" w:sz="4" w:space="0" w:color="000000"/>
            </w:tcBorders>
            <w:vAlign w:val="bottom"/>
          </w:tcPr>
          <w:p w14:paraId="77CAA807" w14:textId="77777777" w:rsidR="00D83E33" w:rsidRPr="00EA10CF" w:rsidRDefault="00D83E33">
            <w:pPr>
              <w:widowControl w:val="0"/>
              <w:pBdr>
                <w:top w:val="nil"/>
                <w:left w:val="nil"/>
                <w:bottom w:val="nil"/>
                <w:right w:val="nil"/>
                <w:between w:val="nil"/>
              </w:pBdr>
              <w:jc w:val="right"/>
              <w:rPr>
                <w:color w:val="000000"/>
              </w:rPr>
            </w:pPr>
          </w:p>
        </w:tc>
        <w:tc>
          <w:tcPr>
            <w:tcW w:w="788" w:type="pct"/>
            <w:tcBorders>
              <w:bottom w:val="single" w:sz="4" w:space="0" w:color="000000"/>
            </w:tcBorders>
            <w:vAlign w:val="bottom"/>
          </w:tcPr>
          <w:p w14:paraId="349D08AF" w14:textId="77777777" w:rsidR="00D83E33" w:rsidRPr="00EA10CF" w:rsidRDefault="00D83E33">
            <w:pPr>
              <w:widowControl w:val="0"/>
              <w:pBdr>
                <w:top w:val="nil"/>
                <w:left w:val="nil"/>
                <w:bottom w:val="nil"/>
                <w:right w:val="nil"/>
                <w:between w:val="nil"/>
              </w:pBdr>
              <w:jc w:val="right"/>
              <w:rPr>
                <w:color w:val="000000"/>
              </w:rPr>
            </w:pPr>
          </w:p>
        </w:tc>
        <w:tc>
          <w:tcPr>
            <w:tcW w:w="788" w:type="pct"/>
            <w:tcBorders>
              <w:bottom w:val="single" w:sz="4" w:space="0" w:color="000000"/>
            </w:tcBorders>
            <w:vAlign w:val="bottom"/>
          </w:tcPr>
          <w:p w14:paraId="0762EA09" w14:textId="77777777" w:rsidR="00D83E33" w:rsidRPr="00EA10CF" w:rsidRDefault="00D83E33">
            <w:pPr>
              <w:widowControl w:val="0"/>
              <w:pBdr>
                <w:top w:val="nil"/>
                <w:left w:val="nil"/>
                <w:bottom w:val="nil"/>
                <w:right w:val="nil"/>
                <w:between w:val="nil"/>
              </w:pBdr>
              <w:jc w:val="right"/>
              <w:rPr>
                <w:color w:val="000000"/>
              </w:rPr>
            </w:pPr>
          </w:p>
        </w:tc>
        <w:tc>
          <w:tcPr>
            <w:tcW w:w="788" w:type="pct"/>
            <w:tcBorders>
              <w:bottom w:val="single" w:sz="4" w:space="0" w:color="000000"/>
            </w:tcBorders>
            <w:vAlign w:val="bottom"/>
          </w:tcPr>
          <w:p w14:paraId="78B9012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0C5717A" w14:textId="77777777" w:rsidTr="002A5F5D">
        <w:trPr>
          <w:trHeight w:val="23"/>
        </w:trPr>
        <w:tc>
          <w:tcPr>
            <w:tcW w:w="1849" w:type="pct"/>
            <w:vAlign w:val="bottom"/>
          </w:tcPr>
          <w:p w14:paraId="02BC45B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w:t>
            </w:r>
          </w:p>
        </w:tc>
        <w:tc>
          <w:tcPr>
            <w:tcW w:w="788" w:type="pct"/>
            <w:vAlign w:val="bottom"/>
          </w:tcPr>
          <w:p w14:paraId="0BCAE894" w14:textId="77777777" w:rsidR="00D83E33" w:rsidRPr="00EA10CF" w:rsidRDefault="00D83E33">
            <w:pPr>
              <w:widowControl w:val="0"/>
              <w:pBdr>
                <w:top w:val="nil"/>
                <w:left w:val="nil"/>
                <w:bottom w:val="nil"/>
                <w:right w:val="nil"/>
                <w:between w:val="nil"/>
              </w:pBdr>
              <w:jc w:val="right"/>
              <w:rPr>
                <w:b/>
                <w:color w:val="000000"/>
              </w:rPr>
            </w:pPr>
          </w:p>
        </w:tc>
        <w:tc>
          <w:tcPr>
            <w:tcW w:w="788" w:type="pct"/>
            <w:vAlign w:val="bottom"/>
          </w:tcPr>
          <w:p w14:paraId="0249359C" w14:textId="77777777" w:rsidR="00D83E33" w:rsidRPr="00EA10CF" w:rsidRDefault="00D83E33">
            <w:pPr>
              <w:widowControl w:val="0"/>
              <w:pBdr>
                <w:top w:val="nil"/>
                <w:left w:val="nil"/>
                <w:bottom w:val="nil"/>
                <w:right w:val="nil"/>
                <w:between w:val="nil"/>
              </w:pBdr>
              <w:jc w:val="right"/>
              <w:rPr>
                <w:b/>
                <w:color w:val="000000"/>
              </w:rPr>
            </w:pPr>
          </w:p>
        </w:tc>
        <w:tc>
          <w:tcPr>
            <w:tcW w:w="788" w:type="pct"/>
            <w:vAlign w:val="bottom"/>
          </w:tcPr>
          <w:p w14:paraId="4D9A62DA" w14:textId="77777777" w:rsidR="00D83E33" w:rsidRPr="00EA10CF" w:rsidRDefault="00D83E33">
            <w:pPr>
              <w:widowControl w:val="0"/>
              <w:pBdr>
                <w:top w:val="nil"/>
                <w:left w:val="nil"/>
                <w:bottom w:val="nil"/>
                <w:right w:val="nil"/>
                <w:between w:val="nil"/>
              </w:pBdr>
              <w:jc w:val="right"/>
              <w:rPr>
                <w:b/>
                <w:color w:val="000000"/>
              </w:rPr>
            </w:pPr>
          </w:p>
        </w:tc>
        <w:tc>
          <w:tcPr>
            <w:tcW w:w="788" w:type="pct"/>
            <w:vAlign w:val="bottom"/>
          </w:tcPr>
          <w:p w14:paraId="36CF10D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8CFD0C7" w14:textId="77777777" w:rsidTr="002A5F5D">
        <w:trPr>
          <w:trHeight w:val="23"/>
        </w:trPr>
        <w:tc>
          <w:tcPr>
            <w:tcW w:w="1849" w:type="pct"/>
            <w:vAlign w:val="bottom"/>
          </w:tcPr>
          <w:p w14:paraId="719F34B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customer accounts</w:t>
            </w:r>
          </w:p>
        </w:tc>
        <w:tc>
          <w:tcPr>
            <w:tcW w:w="788" w:type="pct"/>
            <w:vAlign w:val="bottom"/>
          </w:tcPr>
          <w:p w14:paraId="03B5C000" w14:textId="77777777" w:rsidR="00D83E33" w:rsidRPr="00EA10CF" w:rsidRDefault="00D83E33">
            <w:pPr>
              <w:widowControl w:val="0"/>
              <w:pBdr>
                <w:top w:val="nil"/>
                <w:left w:val="nil"/>
                <w:bottom w:val="nil"/>
                <w:right w:val="nil"/>
                <w:between w:val="nil"/>
              </w:pBdr>
              <w:jc w:val="right"/>
              <w:rPr>
                <w:b/>
                <w:color w:val="000000"/>
              </w:rPr>
            </w:pPr>
          </w:p>
        </w:tc>
        <w:tc>
          <w:tcPr>
            <w:tcW w:w="788" w:type="pct"/>
            <w:vAlign w:val="bottom"/>
          </w:tcPr>
          <w:p w14:paraId="6E9374F9" w14:textId="77777777" w:rsidR="00D83E33" w:rsidRPr="00EA10CF" w:rsidRDefault="00D83E33">
            <w:pPr>
              <w:widowControl w:val="0"/>
              <w:pBdr>
                <w:top w:val="nil"/>
                <w:left w:val="nil"/>
                <w:bottom w:val="nil"/>
                <w:right w:val="nil"/>
                <w:between w:val="nil"/>
              </w:pBdr>
              <w:jc w:val="right"/>
              <w:rPr>
                <w:b/>
                <w:color w:val="000000"/>
              </w:rPr>
            </w:pPr>
          </w:p>
        </w:tc>
        <w:tc>
          <w:tcPr>
            <w:tcW w:w="788" w:type="pct"/>
            <w:vAlign w:val="bottom"/>
          </w:tcPr>
          <w:p w14:paraId="29FB5E68" w14:textId="77777777" w:rsidR="00D83E33" w:rsidRPr="00EA10CF" w:rsidRDefault="00D83E33">
            <w:pPr>
              <w:widowControl w:val="0"/>
              <w:pBdr>
                <w:top w:val="nil"/>
                <w:left w:val="nil"/>
                <w:bottom w:val="nil"/>
                <w:right w:val="nil"/>
                <w:between w:val="nil"/>
              </w:pBdr>
              <w:jc w:val="right"/>
              <w:rPr>
                <w:b/>
                <w:color w:val="000000"/>
              </w:rPr>
            </w:pPr>
          </w:p>
        </w:tc>
        <w:tc>
          <w:tcPr>
            <w:tcW w:w="788" w:type="pct"/>
            <w:vAlign w:val="bottom"/>
          </w:tcPr>
          <w:p w14:paraId="2B618FA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7B77A99" w14:textId="77777777" w:rsidTr="002A5F5D">
        <w:trPr>
          <w:trHeight w:val="23"/>
        </w:trPr>
        <w:tc>
          <w:tcPr>
            <w:tcW w:w="1849" w:type="pct"/>
            <w:tcBorders>
              <w:bottom w:val="single" w:sz="12" w:space="0" w:color="000000"/>
            </w:tcBorders>
            <w:vAlign w:val="bottom"/>
          </w:tcPr>
          <w:p w14:paraId="37895276"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788" w:type="pct"/>
            <w:tcBorders>
              <w:bottom w:val="single" w:sz="12" w:space="0" w:color="000000"/>
            </w:tcBorders>
            <w:vAlign w:val="bottom"/>
          </w:tcPr>
          <w:p w14:paraId="2A2D4F7C" w14:textId="77777777" w:rsidR="00D83E33" w:rsidRPr="00EA10CF" w:rsidRDefault="00D83E33">
            <w:pPr>
              <w:widowControl w:val="0"/>
              <w:pBdr>
                <w:top w:val="nil"/>
                <w:left w:val="nil"/>
                <w:bottom w:val="nil"/>
                <w:right w:val="nil"/>
                <w:between w:val="nil"/>
              </w:pBdr>
              <w:jc w:val="right"/>
              <w:rPr>
                <w:b/>
                <w:color w:val="000000"/>
              </w:rPr>
            </w:pPr>
          </w:p>
        </w:tc>
        <w:tc>
          <w:tcPr>
            <w:tcW w:w="788" w:type="pct"/>
            <w:tcBorders>
              <w:bottom w:val="single" w:sz="12" w:space="0" w:color="000000"/>
            </w:tcBorders>
            <w:vAlign w:val="bottom"/>
          </w:tcPr>
          <w:p w14:paraId="274F20FD" w14:textId="77777777" w:rsidR="00D83E33" w:rsidRPr="00EA10CF" w:rsidRDefault="00D83E33">
            <w:pPr>
              <w:widowControl w:val="0"/>
              <w:pBdr>
                <w:top w:val="nil"/>
                <w:left w:val="nil"/>
                <w:bottom w:val="nil"/>
                <w:right w:val="nil"/>
                <w:between w:val="nil"/>
              </w:pBdr>
              <w:jc w:val="right"/>
              <w:rPr>
                <w:b/>
                <w:color w:val="000000"/>
              </w:rPr>
            </w:pPr>
          </w:p>
        </w:tc>
        <w:tc>
          <w:tcPr>
            <w:tcW w:w="788" w:type="pct"/>
            <w:tcBorders>
              <w:bottom w:val="single" w:sz="12" w:space="0" w:color="000000"/>
            </w:tcBorders>
            <w:vAlign w:val="bottom"/>
          </w:tcPr>
          <w:p w14:paraId="21B154B1" w14:textId="77777777" w:rsidR="00D83E33" w:rsidRPr="00EA10CF" w:rsidRDefault="00D83E33">
            <w:pPr>
              <w:widowControl w:val="0"/>
              <w:pBdr>
                <w:top w:val="nil"/>
                <w:left w:val="nil"/>
                <w:bottom w:val="nil"/>
                <w:right w:val="nil"/>
                <w:between w:val="nil"/>
              </w:pBdr>
              <w:jc w:val="right"/>
              <w:rPr>
                <w:b/>
                <w:color w:val="000000"/>
              </w:rPr>
            </w:pPr>
          </w:p>
        </w:tc>
        <w:tc>
          <w:tcPr>
            <w:tcW w:w="788" w:type="pct"/>
            <w:tcBorders>
              <w:bottom w:val="single" w:sz="12" w:space="0" w:color="000000"/>
            </w:tcBorders>
            <w:vAlign w:val="bottom"/>
          </w:tcPr>
          <w:p w14:paraId="2B0AC86B" w14:textId="77777777" w:rsidR="00D83E33" w:rsidRPr="00EA10CF" w:rsidRDefault="00D83E33">
            <w:pPr>
              <w:widowControl w:val="0"/>
              <w:pBdr>
                <w:top w:val="nil"/>
                <w:left w:val="nil"/>
                <w:bottom w:val="nil"/>
                <w:right w:val="nil"/>
                <w:between w:val="nil"/>
              </w:pBdr>
              <w:jc w:val="right"/>
              <w:rPr>
                <w:b/>
                <w:color w:val="000000"/>
              </w:rPr>
            </w:pPr>
          </w:p>
        </w:tc>
      </w:tr>
    </w:tbl>
    <w:p w14:paraId="40BADF92" w14:textId="77777777" w:rsidR="002A5F5D" w:rsidRDefault="002A5F5D" w:rsidP="002A5F5D">
      <w:pPr>
        <w:pStyle w:val="Continued"/>
      </w:pPr>
      <w:r>
        <w:lastRenderedPageBreak/>
        <w:t>22</w:t>
      </w:r>
      <w:r>
        <w:tab/>
        <w:t>Customer Accounts (Continued)</w:t>
      </w:r>
    </w:p>
    <w:p w14:paraId="34E73598" w14:textId="39A2E388"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the Group had _____ customers (</w:t>
      </w:r>
      <w:r w:rsidR="00541EBC">
        <w:rPr>
          <w:color w:val="000000"/>
          <w:sz w:val="20"/>
          <w:szCs w:val="20"/>
        </w:rPr>
        <w:t>2023</w:t>
      </w:r>
      <w:r>
        <w:rPr>
          <w:color w:val="000000"/>
          <w:sz w:val="20"/>
          <w:szCs w:val="20"/>
        </w:rPr>
        <w:t xml:space="preserve">: _____ customers) with balances above </w:t>
      </w:r>
      <w:r w:rsidR="00D73799">
        <w:rPr>
          <w:color w:val="000000"/>
          <w:sz w:val="20"/>
          <w:szCs w:val="20"/>
        </w:rPr>
        <w:t>EUR</w:t>
      </w:r>
      <w:r>
        <w:rPr>
          <w:color w:val="000000"/>
          <w:sz w:val="20"/>
          <w:szCs w:val="20"/>
        </w:rPr>
        <w:t xml:space="preserve"> ______ thousand. The aggregate balance of these customers was </w:t>
      </w:r>
      <w:r w:rsidR="00D73799">
        <w:rPr>
          <w:color w:val="000000"/>
          <w:sz w:val="20"/>
          <w:szCs w:val="20"/>
        </w:rPr>
        <w:t>EUR</w:t>
      </w:r>
      <w:r>
        <w:rPr>
          <w:color w:val="000000"/>
          <w:sz w:val="20"/>
          <w:szCs w:val="20"/>
        </w:rPr>
        <w:t> ______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______ thousand) or _____% (</w:t>
      </w:r>
      <w:r w:rsidR="00541EBC">
        <w:rPr>
          <w:color w:val="000000"/>
          <w:sz w:val="20"/>
          <w:szCs w:val="20"/>
        </w:rPr>
        <w:t>2023</w:t>
      </w:r>
      <w:r>
        <w:rPr>
          <w:color w:val="000000"/>
          <w:sz w:val="20"/>
          <w:szCs w:val="20"/>
        </w:rPr>
        <w:t xml:space="preserve">: _____%) of total customer accounts. </w:t>
      </w:r>
    </w:p>
    <w:p w14:paraId="24FFE548" w14:textId="44A249D8"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included in customer accounts are deposits of </w:t>
      </w:r>
      <w:r w:rsidR="00D73799">
        <w:rPr>
          <w:color w:val="000000"/>
          <w:sz w:val="20"/>
          <w:szCs w:val="20"/>
        </w:rPr>
        <w:t>EUR</w:t>
      </w:r>
      <w:r>
        <w:rPr>
          <w:color w:val="000000"/>
          <w:sz w:val="20"/>
          <w:szCs w:val="20"/>
        </w:rPr>
        <w:t>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 thousand) held as collateral for irrevocable commitments under import letters of credit. Refer to Note 43.</w:t>
      </w:r>
    </w:p>
    <w:p w14:paraId="46A6E6F3" w14:textId="68E0E2B9"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[T</w:t>
      </w:r>
      <w:r w:rsidR="00456FF5">
        <w:rPr>
          <w:i/>
          <w:color w:val="FF0000"/>
          <w:sz w:val="20"/>
          <w:szCs w:val="20"/>
        </w:rPr>
        <w:t>ailor to</w:t>
      </w:r>
      <w:r>
        <w:rPr>
          <w:i/>
          <w:color w:val="FF0000"/>
          <w:sz w:val="20"/>
          <w:szCs w:val="20"/>
        </w:rPr>
        <w:t xml:space="preserve"> disclose the aggregate amount of secured liabilities and the nature and carrying amount of the assets pledged as security. If this is very detailed, consider a separate note.]</w:t>
      </w:r>
    </w:p>
    <w:p w14:paraId="0BF6D69E"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49 for the disclosure of the fair value of each class of customer accounts. Interest rate analysis of customer accounts is disclosed in Note 41. Information on related party balances is disclosed in Note 51.</w:t>
      </w:r>
    </w:p>
    <w:p w14:paraId="179412D0" w14:textId="77777777" w:rsidR="00D83E33" w:rsidRDefault="00BC4072" w:rsidP="001B330E">
      <w:pPr>
        <w:pStyle w:val="Heading1"/>
        <w:rPr>
          <w:sz w:val="18"/>
        </w:rPr>
      </w:pPr>
      <w:bookmarkStart w:id="79" w:name="_Toc179196025"/>
      <w:r>
        <w:t xml:space="preserve">Debt Securities </w:t>
      </w:r>
      <w:r w:rsidRPr="00E03E99">
        <w:t>in</w:t>
      </w:r>
      <w:r>
        <w:t xml:space="preserve"> Issue </w:t>
      </w:r>
      <w:r w:rsidRPr="001B330E">
        <w:rPr>
          <w:color w:val="0000FF"/>
        </w:rPr>
        <w:t>[Promissory Notes Issued]</w:t>
      </w:r>
      <w:bookmarkEnd w:id="79"/>
    </w:p>
    <w:tbl>
      <w:tblPr>
        <w:tblStyle w:val="afffffffffff3"/>
        <w:tblW w:w="5000" w:type="pct"/>
        <w:tblLayout w:type="fixed"/>
        <w:tblLook w:val="0000" w:firstRow="0" w:lastRow="0" w:firstColumn="0" w:lastColumn="0" w:noHBand="0" w:noVBand="0"/>
      </w:tblPr>
      <w:tblGrid>
        <w:gridCol w:w="6295"/>
        <w:gridCol w:w="1530"/>
        <w:gridCol w:w="1530"/>
      </w:tblGrid>
      <w:tr w:rsidR="00D83E33" w:rsidRPr="00EA10CF" w14:paraId="4C18F671" w14:textId="77777777" w:rsidTr="001B330E">
        <w:trPr>
          <w:trHeight w:val="23"/>
        </w:trPr>
        <w:tc>
          <w:tcPr>
            <w:tcW w:w="3364" w:type="pct"/>
            <w:tcBorders>
              <w:bottom w:val="single" w:sz="4" w:space="0" w:color="000000"/>
            </w:tcBorders>
          </w:tcPr>
          <w:p w14:paraId="42C3925A" w14:textId="0BEA4563" w:rsidR="00D83E33" w:rsidRPr="00EA10CF" w:rsidRDefault="00313B4D" w:rsidP="001B330E">
            <w:pPr>
              <w:widowControl w:val="0"/>
              <w:pBdr>
                <w:top w:val="nil"/>
                <w:left w:val="nil"/>
                <w:bottom w:val="nil"/>
                <w:right w:val="nil"/>
                <w:between w:val="nil"/>
              </w:pBdr>
              <w:ind w:left="113" w:hanging="113"/>
              <w:rPr>
                <w:b/>
                <w:i/>
                <w:color w:val="000000"/>
              </w:rPr>
            </w:pPr>
            <w:bookmarkStart w:id="80" w:name="_heading=h.ihv636" w:colFirst="0" w:colLast="0"/>
            <w:bookmarkEnd w:id="80"/>
            <w:r>
              <w:rPr>
                <w:i/>
                <w:color w:val="000000"/>
              </w:rPr>
              <w:t xml:space="preserve">In thousands of </w:t>
            </w:r>
            <w:r w:rsidR="002649EE">
              <w:rPr>
                <w:i/>
                <w:color w:val="000000"/>
              </w:rPr>
              <w:t>EUR</w:t>
            </w:r>
          </w:p>
        </w:tc>
        <w:tc>
          <w:tcPr>
            <w:tcW w:w="818" w:type="pct"/>
            <w:tcBorders>
              <w:bottom w:val="single" w:sz="4" w:space="0" w:color="000000"/>
            </w:tcBorders>
            <w:vAlign w:val="bottom"/>
          </w:tcPr>
          <w:p w14:paraId="63D26554" w14:textId="20F7B30B"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1986312B" w14:textId="599C8316"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722DAF61" w14:textId="77777777" w:rsidTr="001B330E">
        <w:trPr>
          <w:trHeight w:val="23"/>
        </w:trPr>
        <w:tc>
          <w:tcPr>
            <w:tcW w:w="3364" w:type="pct"/>
          </w:tcPr>
          <w:p w14:paraId="74B3334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818" w:type="pct"/>
            <w:vAlign w:val="bottom"/>
          </w:tcPr>
          <w:p w14:paraId="19C2152A"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5B2A9E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369DB38" w14:textId="77777777" w:rsidTr="001B330E">
        <w:trPr>
          <w:trHeight w:val="23"/>
        </w:trPr>
        <w:tc>
          <w:tcPr>
            <w:tcW w:w="3364" w:type="pct"/>
          </w:tcPr>
          <w:p w14:paraId="5DAE049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Promissory notes </w:t>
            </w:r>
          </w:p>
        </w:tc>
        <w:tc>
          <w:tcPr>
            <w:tcW w:w="818" w:type="pct"/>
            <w:vAlign w:val="bottom"/>
          </w:tcPr>
          <w:p w14:paraId="77F3D5EC"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062A53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31B5448" w14:textId="77777777" w:rsidTr="001B330E">
        <w:trPr>
          <w:trHeight w:val="23"/>
        </w:trPr>
        <w:tc>
          <w:tcPr>
            <w:tcW w:w="3364" w:type="pct"/>
          </w:tcPr>
          <w:p w14:paraId="4F0BC6D0" w14:textId="728FE7DB"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Eurobonds </w:t>
            </w:r>
          </w:p>
        </w:tc>
        <w:tc>
          <w:tcPr>
            <w:tcW w:w="818" w:type="pct"/>
            <w:vAlign w:val="bottom"/>
          </w:tcPr>
          <w:p w14:paraId="11D700B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044311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15483CE" w14:textId="77777777" w:rsidTr="001B330E">
        <w:trPr>
          <w:trHeight w:val="23"/>
        </w:trPr>
        <w:tc>
          <w:tcPr>
            <w:tcW w:w="3364" w:type="pct"/>
          </w:tcPr>
          <w:p w14:paraId="5A7D38B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Bonds issued on domestic market</w:t>
            </w:r>
          </w:p>
        </w:tc>
        <w:tc>
          <w:tcPr>
            <w:tcW w:w="818" w:type="pct"/>
            <w:vAlign w:val="bottom"/>
          </w:tcPr>
          <w:p w14:paraId="10F544DC"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C5F5BE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E43FCD3" w14:textId="77777777" w:rsidTr="001B330E">
        <w:trPr>
          <w:trHeight w:val="23"/>
        </w:trPr>
        <w:tc>
          <w:tcPr>
            <w:tcW w:w="3364" w:type="pct"/>
          </w:tcPr>
          <w:p w14:paraId="0251511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Deposit certificates</w:t>
            </w:r>
          </w:p>
        </w:tc>
        <w:tc>
          <w:tcPr>
            <w:tcW w:w="818" w:type="pct"/>
            <w:vAlign w:val="bottom"/>
          </w:tcPr>
          <w:p w14:paraId="04A10F11"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1CBB0A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976D977" w14:textId="77777777" w:rsidTr="001B330E">
        <w:trPr>
          <w:trHeight w:val="23"/>
        </w:trPr>
        <w:tc>
          <w:tcPr>
            <w:tcW w:w="3364" w:type="pct"/>
          </w:tcPr>
          <w:p w14:paraId="41470E4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Debentures </w:t>
            </w:r>
          </w:p>
        </w:tc>
        <w:tc>
          <w:tcPr>
            <w:tcW w:w="818" w:type="pct"/>
            <w:vAlign w:val="bottom"/>
          </w:tcPr>
          <w:p w14:paraId="5DFB469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BD0847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D2E7449" w14:textId="77777777" w:rsidTr="001B330E">
        <w:trPr>
          <w:trHeight w:val="23"/>
        </w:trPr>
        <w:tc>
          <w:tcPr>
            <w:tcW w:w="3364" w:type="pct"/>
            <w:tcBorders>
              <w:bottom w:val="single" w:sz="4" w:space="0" w:color="000000"/>
            </w:tcBorders>
          </w:tcPr>
          <w:p w14:paraId="3F819D5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818" w:type="pct"/>
            <w:tcBorders>
              <w:bottom w:val="single" w:sz="4" w:space="0" w:color="000000"/>
            </w:tcBorders>
            <w:vAlign w:val="bottom"/>
          </w:tcPr>
          <w:p w14:paraId="6A7D2CA0"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5F25EE2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1F433F8" w14:textId="77777777" w:rsidTr="001B330E">
        <w:trPr>
          <w:trHeight w:val="23"/>
        </w:trPr>
        <w:tc>
          <w:tcPr>
            <w:tcW w:w="3364" w:type="pct"/>
          </w:tcPr>
          <w:p w14:paraId="0A2FE2C0"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818" w:type="pct"/>
            <w:vAlign w:val="bottom"/>
          </w:tcPr>
          <w:p w14:paraId="6A1A8523" w14:textId="77777777" w:rsidR="00D83E33" w:rsidRPr="00EA10CF" w:rsidRDefault="00D83E33">
            <w:pPr>
              <w:widowControl w:val="0"/>
              <w:pBdr>
                <w:top w:val="nil"/>
                <w:left w:val="nil"/>
                <w:bottom w:val="nil"/>
                <w:right w:val="nil"/>
                <w:between w:val="nil"/>
              </w:pBdr>
              <w:jc w:val="right"/>
              <w:rPr>
                <w:b/>
                <w:color w:val="000000"/>
                <w:u w:val="single"/>
              </w:rPr>
            </w:pPr>
          </w:p>
        </w:tc>
        <w:tc>
          <w:tcPr>
            <w:tcW w:w="818" w:type="pct"/>
            <w:vAlign w:val="bottom"/>
          </w:tcPr>
          <w:p w14:paraId="1672820F" w14:textId="77777777" w:rsidR="00D83E33" w:rsidRPr="00EA10CF" w:rsidRDefault="00D83E33">
            <w:pPr>
              <w:widowControl w:val="0"/>
              <w:pBdr>
                <w:top w:val="nil"/>
                <w:left w:val="nil"/>
                <w:bottom w:val="nil"/>
                <w:right w:val="nil"/>
                <w:between w:val="nil"/>
              </w:pBdr>
              <w:jc w:val="right"/>
              <w:rPr>
                <w:b/>
                <w:color w:val="000000"/>
                <w:u w:val="single"/>
              </w:rPr>
            </w:pPr>
          </w:p>
        </w:tc>
      </w:tr>
      <w:tr w:rsidR="00D83E33" w:rsidRPr="00EA10CF" w14:paraId="71EF6BDE" w14:textId="77777777" w:rsidTr="001B330E">
        <w:trPr>
          <w:trHeight w:val="23"/>
        </w:trPr>
        <w:tc>
          <w:tcPr>
            <w:tcW w:w="3364" w:type="pct"/>
          </w:tcPr>
          <w:p w14:paraId="507A859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Total debt securities in issue </w:t>
            </w:r>
            <w:r w:rsidRPr="00EA10CF">
              <w:rPr>
                <w:b/>
                <w:color w:val="0000FF"/>
              </w:rPr>
              <w:t>[Promissory notes issued]</w:t>
            </w:r>
          </w:p>
        </w:tc>
        <w:tc>
          <w:tcPr>
            <w:tcW w:w="818" w:type="pct"/>
            <w:vAlign w:val="bottom"/>
          </w:tcPr>
          <w:p w14:paraId="0764ADAF"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3C67B74A"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2045E79" w14:textId="77777777" w:rsidTr="001B330E">
        <w:trPr>
          <w:trHeight w:val="23"/>
        </w:trPr>
        <w:tc>
          <w:tcPr>
            <w:tcW w:w="3364" w:type="pct"/>
            <w:tcBorders>
              <w:bottom w:val="single" w:sz="12" w:space="0" w:color="000000"/>
            </w:tcBorders>
          </w:tcPr>
          <w:p w14:paraId="090A29A0"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818" w:type="pct"/>
            <w:tcBorders>
              <w:bottom w:val="single" w:sz="12" w:space="0" w:color="000000"/>
            </w:tcBorders>
            <w:vAlign w:val="bottom"/>
          </w:tcPr>
          <w:p w14:paraId="65EB89E8" w14:textId="77777777" w:rsidR="00D83E33" w:rsidRPr="00EA10CF" w:rsidRDefault="00D83E33">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18167E9F" w14:textId="77777777" w:rsidR="00D83E33" w:rsidRPr="00EA10CF" w:rsidRDefault="00D83E33">
            <w:pPr>
              <w:widowControl w:val="0"/>
              <w:pBdr>
                <w:top w:val="nil"/>
                <w:left w:val="nil"/>
                <w:bottom w:val="nil"/>
                <w:right w:val="nil"/>
                <w:between w:val="nil"/>
              </w:pBdr>
              <w:jc w:val="right"/>
              <w:rPr>
                <w:b/>
                <w:color w:val="000000"/>
              </w:rPr>
            </w:pPr>
          </w:p>
        </w:tc>
      </w:tr>
    </w:tbl>
    <w:p w14:paraId="698FAD74" w14:textId="254E26AB" w:rsidR="00A90BB8" w:rsidRPr="00A90BB8" w:rsidRDefault="00A90BB8" w:rsidP="00A90BB8">
      <w:pPr>
        <w:widowControl w:val="0"/>
        <w:pBdr>
          <w:top w:val="nil"/>
          <w:left w:val="nil"/>
          <w:bottom w:val="nil"/>
          <w:right w:val="nil"/>
          <w:between w:val="nil"/>
        </w:pBdr>
        <w:spacing w:before="200" w:after="200"/>
        <w:jc w:val="both"/>
        <w:rPr>
          <w:color w:val="0000FF"/>
          <w:sz w:val="20"/>
          <w:szCs w:val="20"/>
        </w:rPr>
      </w:pPr>
      <w:r>
        <w:rPr>
          <w:color w:val="000000"/>
          <w:sz w:val="20"/>
          <w:szCs w:val="20"/>
        </w:rPr>
        <w:t xml:space="preserve">Debt securities in issue include promissory notes, bonds, certificates of deposit and debentures issued by the Group. Debt securities are stated at AC. </w:t>
      </w:r>
      <w:r w:rsidRPr="00A90BB8">
        <w:rPr>
          <w:color w:val="0000FF"/>
          <w:sz w:val="20"/>
          <w:szCs w:val="20"/>
        </w:rPr>
        <w:t>[If the Group purchases its own debt securities in issue, they are removed from the consolidated statement of financial position and the difference between the carrying amount of the liability and the consideration paid is included in gains arising from [early] retirement of debt.]</w:t>
      </w:r>
    </w:p>
    <w:p w14:paraId="7F0972B5" w14:textId="77777777" w:rsidR="00A90BB8" w:rsidRDefault="00A90BB8" w:rsidP="00A90BB8">
      <w:pPr>
        <w:widowControl w:val="0"/>
        <w:pBdr>
          <w:top w:val="nil"/>
          <w:left w:val="nil"/>
          <w:bottom w:val="nil"/>
          <w:right w:val="nil"/>
          <w:between w:val="nil"/>
        </w:pBdr>
        <w:spacing w:before="200" w:after="200"/>
        <w:jc w:val="both"/>
        <w:rPr>
          <w:color w:val="0000FF"/>
          <w:sz w:val="20"/>
          <w:szCs w:val="20"/>
        </w:rPr>
      </w:pPr>
      <w:r>
        <w:rPr>
          <w:color w:val="0000FF"/>
          <w:sz w:val="20"/>
          <w:szCs w:val="20"/>
        </w:rPr>
        <w:t>[Upon the issue of convertible bonds, the liability component is determined by measuring the fair value of an equivalent non-convertible bond. The equity component is assigned the residual amount after deducting from the fair value of the convertible bonds as a whole the amount separately determined for the liability component. The obligation to make future payments of principal and interest to bondholders is carried at AC until extinguished on conversion or maturity of the bonds. The conversion feature is accounted for as a financial derivative where the conversion right held by the lender is not to convert a fixed amount of the bond expressed in the entity’s functional currency to fixed number of equity instruments.]</w:t>
      </w:r>
    </w:p>
    <w:p w14:paraId="2D015D9F" w14:textId="15BEBE6A" w:rsidR="00D83E33" w:rsidRDefault="00BC4072">
      <w:pPr>
        <w:widowControl w:val="0"/>
        <w:pBdr>
          <w:top w:val="nil"/>
          <w:left w:val="nil"/>
          <w:bottom w:val="nil"/>
          <w:right w:val="nil"/>
          <w:between w:val="nil"/>
        </w:pBdr>
        <w:spacing w:before="200" w:after="200"/>
        <w:jc w:val="both"/>
        <w:rPr>
          <w:color w:val="0000FF"/>
          <w:sz w:val="20"/>
          <w:szCs w:val="20"/>
        </w:rPr>
      </w:pPr>
      <w:r>
        <w:rPr>
          <w:i/>
          <w:color w:val="FF0000"/>
          <w:sz w:val="20"/>
          <w:szCs w:val="20"/>
        </w:rPr>
        <w:t>[T</w:t>
      </w:r>
      <w:r w:rsidR="00456FF5">
        <w:rPr>
          <w:i/>
          <w:color w:val="FF0000"/>
          <w:sz w:val="20"/>
          <w:szCs w:val="20"/>
        </w:rPr>
        <w:t>ailor to</w:t>
      </w:r>
      <w:r>
        <w:rPr>
          <w:i/>
          <w:color w:val="FF0000"/>
          <w:sz w:val="20"/>
          <w:szCs w:val="20"/>
        </w:rPr>
        <w:t xml:space="preserve"> disclose the aggregate amount of secured liabilities and the nature and carrying amount of the assets pledged as security. If this is very detailed, consider a separate note.]</w:t>
      </w:r>
      <w:r>
        <w:rPr>
          <w:color w:val="FF0000"/>
          <w:sz w:val="20"/>
          <w:szCs w:val="20"/>
        </w:rPr>
        <w:t xml:space="preserve"> </w:t>
      </w: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the Group has debt securities in issue of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in US Dollars denominated </w:t>
      </w:r>
      <w:r>
        <w:rPr>
          <w:color w:val="0000FF"/>
          <w:sz w:val="20"/>
          <w:szCs w:val="20"/>
        </w:rPr>
        <w:t>[Eurobonds].</w:t>
      </w:r>
      <w:r>
        <w:rPr>
          <w:color w:val="000000"/>
          <w:sz w:val="20"/>
          <w:szCs w:val="20"/>
        </w:rPr>
        <w:t xml:space="preserve"> These bonds mature on _____, have a coupon rate of _____% (</w:t>
      </w:r>
      <w:r w:rsidR="00541EBC">
        <w:rPr>
          <w:color w:val="000000"/>
          <w:sz w:val="20"/>
          <w:szCs w:val="20"/>
        </w:rPr>
        <w:t>2023</w:t>
      </w:r>
      <w:r>
        <w:rPr>
          <w:color w:val="000000"/>
          <w:sz w:val="20"/>
          <w:szCs w:val="20"/>
        </w:rPr>
        <w:t>: _____%) and a yield to maturity of _____% (</w:t>
      </w:r>
      <w:r w:rsidR="00541EBC">
        <w:rPr>
          <w:color w:val="000000"/>
          <w:sz w:val="20"/>
          <w:szCs w:val="20"/>
        </w:rPr>
        <w:t>2023</w:t>
      </w:r>
      <w:r>
        <w:rPr>
          <w:color w:val="000000"/>
          <w:sz w:val="20"/>
          <w:szCs w:val="20"/>
        </w:rPr>
        <w:t xml:space="preserve">: _____%) based on market quotes at the reporting date </w:t>
      </w:r>
      <w:r>
        <w:rPr>
          <w:color w:val="0000FF"/>
          <w:sz w:val="20"/>
          <w:szCs w:val="20"/>
        </w:rPr>
        <w:t>[and an effective interest rate of _____% (</w:t>
      </w:r>
      <w:r w:rsidR="00541EBC">
        <w:rPr>
          <w:color w:val="0000FF"/>
          <w:sz w:val="20"/>
          <w:szCs w:val="20"/>
        </w:rPr>
        <w:t>2023</w:t>
      </w:r>
      <w:r>
        <w:rPr>
          <w:color w:val="0000FF"/>
          <w:sz w:val="20"/>
          <w:szCs w:val="20"/>
        </w:rPr>
        <w:t>: _____%) based on their issue price, net of transaction costs, at the date of origination.]</w:t>
      </w:r>
    </w:p>
    <w:p w14:paraId="475442F7" w14:textId="77777777" w:rsidR="002A5F5D" w:rsidRDefault="002A5F5D" w:rsidP="002A5F5D">
      <w:pPr>
        <w:pStyle w:val="Continued"/>
      </w:pPr>
      <w:r>
        <w:lastRenderedPageBreak/>
        <w:t>23</w:t>
      </w:r>
      <w:r>
        <w:tab/>
        <w:t xml:space="preserve">Debt Securities in Issue </w:t>
      </w:r>
      <w:r>
        <w:rPr>
          <w:color w:val="0000FF"/>
        </w:rPr>
        <w:t>[Promissory Notes Issued]</w:t>
      </w:r>
      <w:r>
        <w:t xml:space="preserve"> (Continued)</w:t>
      </w:r>
    </w:p>
    <w:p w14:paraId="28717481"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Refer to Note 49 for the disclosure of the fair value of each class of debt securities in issue. Interest rate analyses of debt securities in issue </w:t>
      </w:r>
      <w:r>
        <w:rPr>
          <w:color w:val="0000FF"/>
          <w:sz w:val="20"/>
          <w:szCs w:val="20"/>
        </w:rPr>
        <w:t xml:space="preserve">[promissory notes issued] </w:t>
      </w:r>
      <w:r>
        <w:rPr>
          <w:color w:val="000000"/>
          <w:sz w:val="20"/>
          <w:szCs w:val="20"/>
        </w:rPr>
        <w:t xml:space="preserve">are disclosed in Note 41. Information on debt securities in issue </w:t>
      </w:r>
      <w:r>
        <w:rPr>
          <w:color w:val="0000FF"/>
          <w:sz w:val="20"/>
          <w:szCs w:val="20"/>
        </w:rPr>
        <w:t>[promissory notes issued]</w:t>
      </w:r>
      <w:r>
        <w:rPr>
          <w:color w:val="000000"/>
          <w:sz w:val="20"/>
          <w:szCs w:val="20"/>
        </w:rPr>
        <w:t xml:space="preserve"> held by related parties is disclosed in Note 51.</w:t>
      </w:r>
    </w:p>
    <w:p w14:paraId="238F473E" w14:textId="519B93BE"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the Group had debt securities in issue held by _____ counterparties (</w:t>
      </w:r>
      <w:r w:rsidR="00541EBC">
        <w:rPr>
          <w:color w:val="000000"/>
          <w:sz w:val="20"/>
          <w:szCs w:val="20"/>
        </w:rPr>
        <w:t>2023</w:t>
      </w:r>
      <w:r>
        <w:rPr>
          <w:color w:val="000000"/>
          <w:sz w:val="20"/>
          <w:szCs w:val="20"/>
        </w:rPr>
        <w:t xml:space="preserve">: _____ counterparties) with balances above </w:t>
      </w:r>
      <w:r w:rsidR="00D73799">
        <w:rPr>
          <w:color w:val="000000"/>
          <w:sz w:val="20"/>
          <w:szCs w:val="20"/>
        </w:rPr>
        <w:t>EUR</w:t>
      </w:r>
      <w:r>
        <w:rPr>
          <w:color w:val="000000"/>
          <w:sz w:val="20"/>
          <w:szCs w:val="20"/>
        </w:rPr>
        <w:t xml:space="preserve"> ______ thousand. The aggregate amount of these balances was </w:t>
      </w:r>
      <w:r w:rsidR="00D73799">
        <w:rPr>
          <w:color w:val="000000"/>
          <w:sz w:val="20"/>
          <w:szCs w:val="20"/>
        </w:rPr>
        <w:t>EUR</w:t>
      </w:r>
      <w:r>
        <w:rPr>
          <w:color w:val="000000"/>
          <w:sz w:val="20"/>
          <w:szCs w:val="20"/>
        </w:rPr>
        <w:t> ______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______ thousand) or _____% (</w:t>
      </w:r>
      <w:r w:rsidR="00541EBC">
        <w:rPr>
          <w:color w:val="000000"/>
          <w:sz w:val="20"/>
          <w:szCs w:val="20"/>
        </w:rPr>
        <w:t>2023</w:t>
      </w:r>
      <w:r>
        <w:rPr>
          <w:color w:val="000000"/>
          <w:sz w:val="20"/>
          <w:szCs w:val="20"/>
        </w:rPr>
        <w:t xml:space="preserve">: _____%) of total debt securities in issue. </w:t>
      </w:r>
      <w:r>
        <w:rPr>
          <w:i/>
          <w:color w:val="FF0000"/>
          <w:sz w:val="20"/>
          <w:szCs w:val="20"/>
        </w:rPr>
        <w:t xml:space="preserve">[If in default, </w:t>
      </w:r>
      <w:r w:rsidR="00456FF5">
        <w:rPr>
          <w:i/>
          <w:color w:val="FF0000"/>
          <w:sz w:val="20"/>
          <w:szCs w:val="20"/>
        </w:rPr>
        <w:t xml:space="preserve">tailor to </w:t>
      </w:r>
      <w:r>
        <w:rPr>
          <w:i/>
          <w:color w:val="FF0000"/>
          <w:sz w:val="20"/>
          <w:szCs w:val="20"/>
        </w:rPr>
        <w:t xml:space="preserve">describe the situation, penalties, carrying amount of the securities, whether the breach was remedied or the terms of the loans payable renegotiated before the date the financial statements were authorised for issue, etc. </w:t>
      </w:r>
    </w:p>
    <w:p w14:paraId="4AACC8D9" w14:textId="77777777" w:rsidR="00D83E33" w:rsidRDefault="00BC4072" w:rsidP="001B330E">
      <w:pPr>
        <w:pStyle w:val="Heading1"/>
      </w:pPr>
      <w:bookmarkStart w:id="81" w:name="_Toc179196026"/>
      <w:r w:rsidRPr="00E03E99">
        <w:t>Other</w:t>
      </w:r>
      <w:r>
        <w:t xml:space="preserve"> Borrowed Funds</w:t>
      </w:r>
      <w:bookmarkEnd w:id="81"/>
    </w:p>
    <w:tbl>
      <w:tblPr>
        <w:tblStyle w:val="afffffffffff4"/>
        <w:tblW w:w="5000" w:type="pct"/>
        <w:tblLayout w:type="fixed"/>
        <w:tblLook w:val="0000" w:firstRow="0" w:lastRow="0" w:firstColumn="0" w:lastColumn="0" w:noHBand="0" w:noVBand="0"/>
      </w:tblPr>
      <w:tblGrid>
        <w:gridCol w:w="6296"/>
        <w:gridCol w:w="1530"/>
        <w:gridCol w:w="1529"/>
      </w:tblGrid>
      <w:tr w:rsidR="00D83E33" w:rsidRPr="00EA10CF" w14:paraId="2F01B8F6" w14:textId="77777777" w:rsidTr="001B330E">
        <w:trPr>
          <w:trHeight w:val="23"/>
        </w:trPr>
        <w:tc>
          <w:tcPr>
            <w:tcW w:w="3365" w:type="pct"/>
            <w:tcBorders>
              <w:bottom w:val="single" w:sz="4" w:space="0" w:color="000000"/>
            </w:tcBorders>
            <w:vAlign w:val="bottom"/>
          </w:tcPr>
          <w:p w14:paraId="61A216EE" w14:textId="443D55F9" w:rsidR="00D83E33" w:rsidRPr="00E03E99"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18" w:type="pct"/>
            <w:tcBorders>
              <w:bottom w:val="single" w:sz="4" w:space="0" w:color="000000"/>
            </w:tcBorders>
            <w:vAlign w:val="bottom"/>
          </w:tcPr>
          <w:p w14:paraId="22568A18" w14:textId="12DC584E"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6CFC8831" w14:textId="2A34707E"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61DFB208" w14:textId="77777777" w:rsidTr="001B330E">
        <w:trPr>
          <w:trHeight w:val="23"/>
        </w:trPr>
        <w:tc>
          <w:tcPr>
            <w:tcW w:w="3365" w:type="pct"/>
            <w:vAlign w:val="bottom"/>
          </w:tcPr>
          <w:p w14:paraId="70218444"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w:t>
            </w:r>
          </w:p>
        </w:tc>
        <w:tc>
          <w:tcPr>
            <w:tcW w:w="818" w:type="pct"/>
            <w:vAlign w:val="bottom"/>
          </w:tcPr>
          <w:p w14:paraId="50DC08C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44ABA7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071A8FB" w14:textId="77777777" w:rsidTr="001B330E">
        <w:trPr>
          <w:trHeight w:val="23"/>
        </w:trPr>
        <w:tc>
          <w:tcPr>
            <w:tcW w:w="3365" w:type="pct"/>
            <w:vAlign w:val="bottom"/>
          </w:tcPr>
          <w:p w14:paraId="5DBDB818" w14:textId="77777777" w:rsidR="00D83E33" w:rsidRPr="00E03E99" w:rsidRDefault="00BC4072" w:rsidP="001B330E">
            <w:pPr>
              <w:widowControl w:val="0"/>
              <w:pBdr>
                <w:top w:val="nil"/>
                <w:left w:val="nil"/>
                <w:bottom w:val="nil"/>
                <w:right w:val="nil"/>
                <w:between w:val="nil"/>
              </w:pBdr>
              <w:ind w:left="113" w:hanging="113"/>
              <w:rPr>
                <w:i/>
                <w:color w:val="000000"/>
              </w:rPr>
            </w:pPr>
            <w:r w:rsidRPr="00E03E99">
              <w:rPr>
                <w:i/>
                <w:color w:val="000000"/>
              </w:rPr>
              <w:t>Other borrowed funds at AC</w:t>
            </w:r>
          </w:p>
        </w:tc>
        <w:tc>
          <w:tcPr>
            <w:tcW w:w="818" w:type="pct"/>
            <w:vAlign w:val="bottom"/>
          </w:tcPr>
          <w:p w14:paraId="524C4CB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4287DD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37F44B0" w14:textId="77777777" w:rsidTr="001B330E">
        <w:trPr>
          <w:trHeight w:val="23"/>
        </w:trPr>
        <w:tc>
          <w:tcPr>
            <w:tcW w:w="3365" w:type="pct"/>
            <w:vAlign w:val="bottom"/>
          </w:tcPr>
          <w:p w14:paraId="136C7E47" w14:textId="77777777" w:rsidR="00D83E33" w:rsidRPr="00E03E99" w:rsidRDefault="00D83E33" w:rsidP="001B330E">
            <w:pPr>
              <w:widowControl w:val="0"/>
              <w:pBdr>
                <w:top w:val="nil"/>
                <w:left w:val="nil"/>
                <w:bottom w:val="nil"/>
                <w:right w:val="nil"/>
                <w:between w:val="nil"/>
              </w:pBdr>
              <w:ind w:left="113" w:hanging="113"/>
              <w:rPr>
                <w:i/>
                <w:color w:val="000000"/>
              </w:rPr>
            </w:pPr>
          </w:p>
        </w:tc>
        <w:tc>
          <w:tcPr>
            <w:tcW w:w="818" w:type="pct"/>
            <w:vAlign w:val="bottom"/>
          </w:tcPr>
          <w:p w14:paraId="44351C25"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48593A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76CB1AA" w14:textId="77777777" w:rsidTr="001B330E">
        <w:trPr>
          <w:trHeight w:val="23"/>
        </w:trPr>
        <w:tc>
          <w:tcPr>
            <w:tcW w:w="3365" w:type="pct"/>
            <w:vAlign w:val="bottom"/>
          </w:tcPr>
          <w:p w14:paraId="547B02E8" w14:textId="587FB272"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xml:space="preserve">Syndicated loan maturing on ____ </w:t>
            </w:r>
          </w:p>
        </w:tc>
        <w:tc>
          <w:tcPr>
            <w:tcW w:w="818" w:type="pct"/>
            <w:vAlign w:val="bottom"/>
          </w:tcPr>
          <w:p w14:paraId="0E2B588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FEECE4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70FDF0" w14:textId="77777777" w:rsidTr="001B330E">
        <w:trPr>
          <w:trHeight w:val="23"/>
        </w:trPr>
        <w:tc>
          <w:tcPr>
            <w:tcW w:w="3365" w:type="pct"/>
            <w:vAlign w:val="bottom"/>
          </w:tcPr>
          <w:p w14:paraId="1FE8BD39"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Term borrowings from companies/government agencies</w:t>
            </w:r>
          </w:p>
        </w:tc>
        <w:tc>
          <w:tcPr>
            <w:tcW w:w="818" w:type="pct"/>
            <w:vAlign w:val="bottom"/>
          </w:tcPr>
          <w:p w14:paraId="3EAFEDED"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7E477C1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ED9A9F1" w14:textId="77777777" w:rsidTr="001B330E">
        <w:trPr>
          <w:trHeight w:val="23"/>
        </w:trPr>
        <w:tc>
          <w:tcPr>
            <w:tcW w:w="3365" w:type="pct"/>
            <w:vAlign w:val="bottom"/>
          </w:tcPr>
          <w:p w14:paraId="64CAA9D7"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Borrowings through securitisation transaction (Note 47)</w:t>
            </w:r>
          </w:p>
        </w:tc>
        <w:tc>
          <w:tcPr>
            <w:tcW w:w="818" w:type="pct"/>
            <w:vAlign w:val="bottom"/>
          </w:tcPr>
          <w:p w14:paraId="4DE28C26"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7276EF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B3FB196" w14:textId="77777777" w:rsidTr="001B330E">
        <w:trPr>
          <w:trHeight w:val="23"/>
        </w:trPr>
        <w:tc>
          <w:tcPr>
            <w:tcW w:w="3365" w:type="pct"/>
            <w:tcBorders>
              <w:bottom w:val="single" w:sz="4" w:space="0" w:color="000000"/>
            </w:tcBorders>
            <w:vAlign w:val="bottom"/>
          </w:tcPr>
          <w:p w14:paraId="4F5947B6" w14:textId="77777777" w:rsidR="00D83E33" w:rsidRPr="00E03E99" w:rsidRDefault="00D83E33" w:rsidP="001B330E">
            <w:pPr>
              <w:widowControl w:val="0"/>
              <w:pBdr>
                <w:top w:val="nil"/>
                <w:left w:val="nil"/>
                <w:bottom w:val="nil"/>
                <w:right w:val="nil"/>
                <w:between w:val="nil"/>
              </w:pBdr>
              <w:ind w:left="113" w:hanging="113"/>
              <w:rPr>
                <w:color w:val="000000"/>
              </w:rPr>
            </w:pPr>
          </w:p>
        </w:tc>
        <w:tc>
          <w:tcPr>
            <w:tcW w:w="818" w:type="pct"/>
            <w:tcBorders>
              <w:bottom w:val="single" w:sz="4" w:space="0" w:color="000000"/>
            </w:tcBorders>
            <w:vAlign w:val="bottom"/>
          </w:tcPr>
          <w:p w14:paraId="2F20DDB2"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1AE5C19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72798BA" w14:textId="77777777" w:rsidTr="001B330E">
        <w:trPr>
          <w:trHeight w:val="23"/>
        </w:trPr>
        <w:tc>
          <w:tcPr>
            <w:tcW w:w="3365" w:type="pct"/>
            <w:tcBorders>
              <w:top w:val="single" w:sz="4" w:space="0" w:color="000000"/>
            </w:tcBorders>
            <w:vAlign w:val="bottom"/>
          </w:tcPr>
          <w:p w14:paraId="558CC67F" w14:textId="77777777" w:rsidR="00D83E33" w:rsidRPr="00E03E99" w:rsidRDefault="00D83E33" w:rsidP="001B330E">
            <w:pPr>
              <w:widowControl w:val="0"/>
              <w:pBdr>
                <w:top w:val="nil"/>
                <w:left w:val="nil"/>
                <w:bottom w:val="nil"/>
                <w:right w:val="nil"/>
                <w:between w:val="nil"/>
              </w:pBdr>
              <w:ind w:left="113" w:hanging="113"/>
              <w:rPr>
                <w:color w:val="000000"/>
              </w:rPr>
            </w:pPr>
          </w:p>
        </w:tc>
        <w:tc>
          <w:tcPr>
            <w:tcW w:w="818" w:type="pct"/>
            <w:tcBorders>
              <w:top w:val="single" w:sz="4" w:space="0" w:color="000000"/>
            </w:tcBorders>
            <w:vAlign w:val="bottom"/>
          </w:tcPr>
          <w:p w14:paraId="14A7CB7C"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0436034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366E64" w14:textId="77777777" w:rsidTr="001B330E">
        <w:trPr>
          <w:trHeight w:val="23"/>
        </w:trPr>
        <w:tc>
          <w:tcPr>
            <w:tcW w:w="3365" w:type="pct"/>
            <w:vAlign w:val="bottom"/>
          </w:tcPr>
          <w:p w14:paraId="351ACF51"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b/>
                <w:color w:val="000000"/>
              </w:rPr>
              <w:t>Total other borrowed funds at AC</w:t>
            </w:r>
          </w:p>
        </w:tc>
        <w:tc>
          <w:tcPr>
            <w:tcW w:w="818" w:type="pct"/>
            <w:vAlign w:val="bottom"/>
          </w:tcPr>
          <w:p w14:paraId="609035A8"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767691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2490A02" w14:textId="77777777" w:rsidTr="001B330E">
        <w:trPr>
          <w:trHeight w:val="23"/>
        </w:trPr>
        <w:tc>
          <w:tcPr>
            <w:tcW w:w="3365" w:type="pct"/>
            <w:tcBorders>
              <w:bottom w:val="single" w:sz="4" w:space="0" w:color="000000"/>
            </w:tcBorders>
            <w:vAlign w:val="bottom"/>
          </w:tcPr>
          <w:p w14:paraId="4435DB87" w14:textId="77777777" w:rsidR="00D83E33" w:rsidRPr="00E03E99" w:rsidRDefault="00D83E33" w:rsidP="001B330E">
            <w:pPr>
              <w:widowControl w:val="0"/>
              <w:pBdr>
                <w:top w:val="nil"/>
                <w:left w:val="nil"/>
                <w:bottom w:val="nil"/>
                <w:right w:val="nil"/>
                <w:between w:val="nil"/>
              </w:pBdr>
              <w:ind w:left="113" w:hanging="113"/>
              <w:rPr>
                <w:b/>
                <w:color w:val="000000"/>
              </w:rPr>
            </w:pPr>
          </w:p>
        </w:tc>
        <w:tc>
          <w:tcPr>
            <w:tcW w:w="818" w:type="pct"/>
            <w:tcBorders>
              <w:bottom w:val="single" w:sz="4" w:space="0" w:color="000000"/>
            </w:tcBorders>
            <w:vAlign w:val="bottom"/>
          </w:tcPr>
          <w:p w14:paraId="6133A4C8"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1545653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068AB2C" w14:textId="77777777" w:rsidTr="001B330E">
        <w:trPr>
          <w:trHeight w:val="23"/>
        </w:trPr>
        <w:tc>
          <w:tcPr>
            <w:tcW w:w="3365" w:type="pct"/>
            <w:tcBorders>
              <w:top w:val="single" w:sz="4" w:space="0" w:color="000000"/>
            </w:tcBorders>
            <w:vAlign w:val="bottom"/>
          </w:tcPr>
          <w:p w14:paraId="6711C172" w14:textId="77777777" w:rsidR="00D83E33" w:rsidRPr="00E03E99" w:rsidRDefault="00D83E33" w:rsidP="001B330E">
            <w:pPr>
              <w:widowControl w:val="0"/>
              <w:pBdr>
                <w:top w:val="nil"/>
                <w:left w:val="nil"/>
                <w:bottom w:val="nil"/>
                <w:right w:val="nil"/>
                <w:between w:val="nil"/>
              </w:pBdr>
              <w:ind w:left="113" w:hanging="113"/>
              <w:rPr>
                <w:color w:val="000000"/>
              </w:rPr>
            </w:pPr>
          </w:p>
        </w:tc>
        <w:tc>
          <w:tcPr>
            <w:tcW w:w="818" w:type="pct"/>
            <w:tcBorders>
              <w:top w:val="single" w:sz="4" w:space="0" w:color="000000"/>
            </w:tcBorders>
            <w:vAlign w:val="bottom"/>
          </w:tcPr>
          <w:p w14:paraId="2F3720A3"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70EBC81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4584CE" w14:textId="77777777" w:rsidTr="001B330E">
        <w:trPr>
          <w:trHeight w:val="23"/>
        </w:trPr>
        <w:tc>
          <w:tcPr>
            <w:tcW w:w="3365" w:type="pct"/>
            <w:vAlign w:val="bottom"/>
          </w:tcPr>
          <w:p w14:paraId="6A7B7818"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i/>
                <w:color w:val="000000"/>
              </w:rPr>
              <w:t xml:space="preserve">Other borrowed funds at FVTPL </w:t>
            </w:r>
          </w:p>
        </w:tc>
        <w:tc>
          <w:tcPr>
            <w:tcW w:w="818" w:type="pct"/>
            <w:vAlign w:val="bottom"/>
          </w:tcPr>
          <w:p w14:paraId="1DBB2B01"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06D89A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855ACFC" w14:textId="77777777" w:rsidTr="001B330E">
        <w:trPr>
          <w:trHeight w:val="23"/>
        </w:trPr>
        <w:tc>
          <w:tcPr>
            <w:tcW w:w="3365" w:type="pct"/>
            <w:vAlign w:val="bottom"/>
          </w:tcPr>
          <w:p w14:paraId="0704D032" w14:textId="77777777" w:rsidR="00D83E33" w:rsidRPr="00E03E99" w:rsidRDefault="00D83E33" w:rsidP="001B330E">
            <w:pPr>
              <w:widowControl w:val="0"/>
              <w:pBdr>
                <w:top w:val="nil"/>
                <w:left w:val="nil"/>
                <w:bottom w:val="nil"/>
                <w:right w:val="nil"/>
                <w:between w:val="nil"/>
              </w:pBdr>
              <w:ind w:left="113" w:hanging="113"/>
              <w:rPr>
                <w:color w:val="000000"/>
              </w:rPr>
            </w:pPr>
          </w:p>
        </w:tc>
        <w:tc>
          <w:tcPr>
            <w:tcW w:w="818" w:type="pct"/>
            <w:vAlign w:val="bottom"/>
          </w:tcPr>
          <w:p w14:paraId="5EB3BD4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071C9C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036A84D" w14:textId="77777777" w:rsidTr="001B330E">
        <w:trPr>
          <w:trHeight w:val="23"/>
        </w:trPr>
        <w:tc>
          <w:tcPr>
            <w:tcW w:w="3365" w:type="pct"/>
            <w:vAlign w:val="bottom"/>
          </w:tcPr>
          <w:p w14:paraId="29D9F80B"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Liability to return collateral sold or repledged</w:t>
            </w:r>
          </w:p>
        </w:tc>
        <w:tc>
          <w:tcPr>
            <w:tcW w:w="818" w:type="pct"/>
            <w:vAlign w:val="bottom"/>
          </w:tcPr>
          <w:p w14:paraId="2A0D963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647814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8EA38BF" w14:textId="77777777" w:rsidTr="001B330E">
        <w:trPr>
          <w:trHeight w:val="23"/>
        </w:trPr>
        <w:tc>
          <w:tcPr>
            <w:tcW w:w="3365" w:type="pct"/>
            <w:vAlign w:val="bottom"/>
          </w:tcPr>
          <w:p w14:paraId="2BE37E52" w14:textId="35ED91C3" w:rsidR="00D83E33" w:rsidRPr="00E03E99" w:rsidRDefault="00EB510C" w:rsidP="001B330E">
            <w:pPr>
              <w:widowControl w:val="0"/>
              <w:pBdr>
                <w:top w:val="nil"/>
                <w:left w:val="nil"/>
                <w:bottom w:val="nil"/>
                <w:right w:val="nil"/>
                <w:between w:val="nil"/>
              </w:pBdr>
              <w:ind w:left="113" w:hanging="113"/>
              <w:rPr>
                <w:i/>
                <w:color w:val="000000"/>
              </w:rPr>
            </w:pPr>
            <w:r>
              <w:rPr>
                <w:color w:val="000000"/>
              </w:rPr>
              <w:t>Other structured</w:t>
            </w:r>
            <w:r w:rsidR="00BC4072" w:rsidRPr="00E03E99">
              <w:rPr>
                <w:color w:val="000000"/>
              </w:rPr>
              <w:t xml:space="preserve"> funding designated at FVTPL at initial recognition </w:t>
            </w:r>
          </w:p>
        </w:tc>
        <w:tc>
          <w:tcPr>
            <w:tcW w:w="818" w:type="pct"/>
            <w:vAlign w:val="bottom"/>
          </w:tcPr>
          <w:p w14:paraId="5171DC4A"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81CEE2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FD0D7A" w14:textId="77777777" w:rsidTr="001B330E">
        <w:trPr>
          <w:trHeight w:val="23"/>
        </w:trPr>
        <w:tc>
          <w:tcPr>
            <w:tcW w:w="3365" w:type="pct"/>
            <w:tcBorders>
              <w:bottom w:val="single" w:sz="4" w:space="0" w:color="000000"/>
            </w:tcBorders>
            <w:vAlign w:val="bottom"/>
          </w:tcPr>
          <w:p w14:paraId="3C8FCFA7" w14:textId="77777777" w:rsidR="00D83E33" w:rsidRPr="00E03E99" w:rsidRDefault="00D83E33" w:rsidP="001B330E">
            <w:pPr>
              <w:widowControl w:val="0"/>
              <w:pBdr>
                <w:top w:val="nil"/>
                <w:left w:val="nil"/>
                <w:bottom w:val="nil"/>
                <w:right w:val="nil"/>
                <w:between w:val="nil"/>
              </w:pBdr>
              <w:ind w:left="113" w:hanging="113"/>
              <w:rPr>
                <w:color w:val="000000"/>
              </w:rPr>
            </w:pPr>
          </w:p>
        </w:tc>
        <w:tc>
          <w:tcPr>
            <w:tcW w:w="818" w:type="pct"/>
            <w:tcBorders>
              <w:bottom w:val="single" w:sz="4" w:space="0" w:color="000000"/>
            </w:tcBorders>
            <w:vAlign w:val="bottom"/>
          </w:tcPr>
          <w:p w14:paraId="741E1275"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40B6F5B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2040DC7" w14:textId="77777777" w:rsidTr="001B330E">
        <w:trPr>
          <w:trHeight w:val="23"/>
        </w:trPr>
        <w:tc>
          <w:tcPr>
            <w:tcW w:w="3365" w:type="pct"/>
            <w:vAlign w:val="bottom"/>
          </w:tcPr>
          <w:p w14:paraId="17FACA4E" w14:textId="77777777" w:rsidR="00D83E33" w:rsidRPr="00E03E99" w:rsidRDefault="00D83E33" w:rsidP="001B330E">
            <w:pPr>
              <w:widowControl w:val="0"/>
              <w:pBdr>
                <w:top w:val="nil"/>
                <w:left w:val="nil"/>
                <w:bottom w:val="nil"/>
                <w:right w:val="nil"/>
                <w:between w:val="nil"/>
              </w:pBdr>
              <w:ind w:left="113" w:hanging="113"/>
              <w:rPr>
                <w:color w:val="000000"/>
              </w:rPr>
            </w:pPr>
          </w:p>
        </w:tc>
        <w:tc>
          <w:tcPr>
            <w:tcW w:w="818" w:type="pct"/>
            <w:vAlign w:val="bottom"/>
          </w:tcPr>
          <w:p w14:paraId="0B2FC2A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24BD3A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46BA6DA" w14:textId="77777777" w:rsidTr="001B330E">
        <w:trPr>
          <w:trHeight w:val="23"/>
        </w:trPr>
        <w:tc>
          <w:tcPr>
            <w:tcW w:w="3365" w:type="pct"/>
            <w:vAlign w:val="bottom"/>
          </w:tcPr>
          <w:p w14:paraId="20917026"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b/>
                <w:color w:val="000000"/>
              </w:rPr>
              <w:t xml:space="preserve">Total other borrowed funds at FVTPL </w:t>
            </w:r>
          </w:p>
        </w:tc>
        <w:tc>
          <w:tcPr>
            <w:tcW w:w="818" w:type="pct"/>
            <w:vAlign w:val="bottom"/>
          </w:tcPr>
          <w:p w14:paraId="0688282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0799C3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73FA311" w14:textId="77777777" w:rsidTr="001B330E">
        <w:trPr>
          <w:trHeight w:val="23"/>
        </w:trPr>
        <w:tc>
          <w:tcPr>
            <w:tcW w:w="3365" w:type="pct"/>
            <w:tcBorders>
              <w:bottom w:val="single" w:sz="4" w:space="0" w:color="000000"/>
            </w:tcBorders>
            <w:vAlign w:val="bottom"/>
          </w:tcPr>
          <w:p w14:paraId="70ECD91A"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w:t>
            </w:r>
          </w:p>
        </w:tc>
        <w:tc>
          <w:tcPr>
            <w:tcW w:w="818" w:type="pct"/>
            <w:tcBorders>
              <w:bottom w:val="single" w:sz="4" w:space="0" w:color="000000"/>
            </w:tcBorders>
            <w:vAlign w:val="bottom"/>
          </w:tcPr>
          <w:p w14:paraId="4951A777"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5C92652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9FA7B7" w14:textId="77777777" w:rsidTr="001B330E">
        <w:trPr>
          <w:trHeight w:val="23"/>
        </w:trPr>
        <w:tc>
          <w:tcPr>
            <w:tcW w:w="3365" w:type="pct"/>
            <w:vAlign w:val="bottom"/>
          </w:tcPr>
          <w:p w14:paraId="5F5FC6D3"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w:t>
            </w:r>
          </w:p>
        </w:tc>
        <w:tc>
          <w:tcPr>
            <w:tcW w:w="818" w:type="pct"/>
            <w:vAlign w:val="bottom"/>
          </w:tcPr>
          <w:p w14:paraId="785B6C08"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64C77E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B7ED5EC" w14:textId="77777777" w:rsidTr="001B330E">
        <w:trPr>
          <w:trHeight w:val="23"/>
        </w:trPr>
        <w:tc>
          <w:tcPr>
            <w:tcW w:w="3365" w:type="pct"/>
            <w:vAlign w:val="bottom"/>
          </w:tcPr>
          <w:p w14:paraId="6DF1DB10" w14:textId="77777777" w:rsidR="00D83E33" w:rsidRPr="00E03E99" w:rsidRDefault="00BC4072" w:rsidP="001B330E">
            <w:pPr>
              <w:widowControl w:val="0"/>
              <w:pBdr>
                <w:top w:val="nil"/>
                <w:left w:val="nil"/>
                <w:bottom w:val="nil"/>
                <w:right w:val="nil"/>
                <w:between w:val="nil"/>
              </w:pBdr>
              <w:ind w:left="113" w:hanging="113"/>
              <w:rPr>
                <w:b/>
                <w:color w:val="000000"/>
              </w:rPr>
            </w:pPr>
            <w:r w:rsidRPr="00E03E99">
              <w:rPr>
                <w:b/>
                <w:color w:val="000000"/>
              </w:rPr>
              <w:t>Total other borrowed funds</w:t>
            </w:r>
          </w:p>
        </w:tc>
        <w:tc>
          <w:tcPr>
            <w:tcW w:w="818" w:type="pct"/>
            <w:vAlign w:val="bottom"/>
          </w:tcPr>
          <w:p w14:paraId="726DEEDE" w14:textId="77777777" w:rsidR="00D83E33" w:rsidRPr="00EA10CF" w:rsidRDefault="00D83E33">
            <w:pPr>
              <w:widowControl w:val="0"/>
              <w:pBdr>
                <w:top w:val="nil"/>
                <w:left w:val="nil"/>
                <w:bottom w:val="nil"/>
                <w:right w:val="nil"/>
                <w:between w:val="nil"/>
              </w:pBdr>
              <w:jc w:val="right"/>
              <w:rPr>
                <w:b/>
                <w:color w:val="000000"/>
                <w:u w:val="single"/>
              </w:rPr>
            </w:pPr>
          </w:p>
        </w:tc>
        <w:tc>
          <w:tcPr>
            <w:tcW w:w="818" w:type="pct"/>
            <w:vAlign w:val="bottom"/>
          </w:tcPr>
          <w:p w14:paraId="7E71B6CD" w14:textId="77777777" w:rsidR="00D83E33" w:rsidRPr="00EA10CF" w:rsidRDefault="00D83E33">
            <w:pPr>
              <w:widowControl w:val="0"/>
              <w:pBdr>
                <w:top w:val="nil"/>
                <w:left w:val="nil"/>
                <w:bottom w:val="nil"/>
                <w:right w:val="nil"/>
                <w:between w:val="nil"/>
              </w:pBdr>
              <w:jc w:val="right"/>
              <w:rPr>
                <w:b/>
                <w:color w:val="000000"/>
                <w:u w:val="single"/>
              </w:rPr>
            </w:pPr>
          </w:p>
        </w:tc>
      </w:tr>
      <w:tr w:rsidR="00D83E33" w:rsidRPr="00EA10CF" w14:paraId="7EAE5D35" w14:textId="77777777" w:rsidTr="001B330E">
        <w:trPr>
          <w:trHeight w:val="23"/>
        </w:trPr>
        <w:tc>
          <w:tcPr>
            <w:tcW w:w="3365" w:type="pct"/>
            <w:tcBorders>
              <w:bottom w:val="single" w:sz="12" w:space="0" w:color="000000"/>
            </w:tcBorders>
            <w:vAlign w:val="bottom"/>
          </w:tcPr>
          <w:p w14:paraId="7BE1BDE2" w14:textId="77777777" w:rsidR="00D83E33" w:rsidRPr="00E03E99" w:rsidRDefault="00D83E33" w:rsidP="001B330E">
            <w:pPr>
              <w:widowControl w:val="0"/>
              <w:pBdr>
                <w:top w:val="nil"/>
                <w:left w:val="nil"/>
                <w:bottom w:val="nil"/>
                <w:right w:val="nil"/>
                <w:between w:val="nil"/>
              </w:pBdr>
              <w:ind w:left="113" w:hanging="113"/>
              <w:rPr>
                <w:b/>
                <w:color w:val="000000"/>
              </w:rPr>
            </w:pPr>
          </w:p>
        </w:tc>
        <w:tc>
          <w:tcPr>
            <w:tcW w:w="818" w:type="pct"/>
            <w:tcBorders>
              <w:bottom w:val="single" w:sz="12" w:space="0" w:color="000000"/>
            </w:tcBorders>
            <w:vAlign w:val="bottom"/>
          </w:tcPr>
          <w:p w14:paraId="1E3E90BF" w14:textId="77777777" w:rsidR="00D83E33" w:rsidRPr="00EA10CF" w:rsidRDefault="00D83E33">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6143BCC9" w14:textId="77777777" w:rsidR="00D83E33" w:rsidRPr="00EA10CF" w:rsidRDefault="00D83E33">
            <w:pPr>
              <w:widowControl w:val="0"/>
              <w:pBdr>
                <w:top w:val="nil"/>
                <w:left w:val="nil"/>
                <w:bottom w:val="nil"/>
                <w:right w:val="nil"/>
                <w:between w:val="nil"/>
              </w:pBdr>
              <w:jc w:val="right"/>
              <w:rPr>
                <w:b/>
                <w:color w:val="000000"/>
              </w:rPr>
            </w:pPr>
          </w:p>
        </w:tc>
      </w:tr>
    </w:tbl>
    <w:p w14:paraId="2CC852C3" w14:textId="75FDB137" w:rsidR="00A90BB8" w:rsidRDefault="00EB510C" w:rsidP="00A90BB8">
      <w:pPr>
        <w:widowControl w:val="0"/>
        <w:pBdr>
          <w:top w:val="nil"/>
          <w:left w:val="nil"/>
          <w:bottom w:val="nil"/>
          <w:right w:val="nil"/>
          <w:between w:val="nil"/>
        </w:pBdr>
        <w:spacing w:before="200" w:after="200"/>
        <w:jc w:val="both"/>
        <w:rPr>
          <w:color w:val="000000"/>
          <w:sz w:val="20"/>
          <w:szCs w:val="20"/>
        </w:rPr>
      </w:pPr>
      <w:r>
        <w:rPr>
          <w:sz w:val="20"/>
          <w:szCs w:val="20"/>
        </w:rPr>
        <w:t xml:space="preserve">Other structured </w:t>
      </w:r>
      <w:r w:rsidR="00BC4072">
        <w:rPr>
          <w:sz w:val="20"/>
          <w:szCs w:val="20"/>
        </w:rPr>
        <w:t>funding ha</w:t>
      </w:r>
      <w:r w:rsidR="00934DA6">
        <w:rPr>
          <w:sz w:val="20"/>
          <w:szCs w:val="20"/>
        </w:rPr>
        <w:t>s</w:t>
      </w:r>
      <w:r w:rsidR="00BC4072">
        <w:rPr>
          <w:sz w:val="20"/>
          <w:szCs w:val="20"/>
        </w:rPr>
        <w:t xml:space="preserve"> been designated at FVTPL as the instrument contains embedded derivative</w:t>
      </w:r>
      <w:r w:rsidR="00934DA6">
        <w:rPr>
          <w:sz w:val="20"/>
          <w:szCs w:val="20"/>
        </w:rPr>
        <w:t>s</w:t>
      </w:r>
      <w:r w:rsidR="00BC4072">
        <w:rPr>
          <w:sz w:val="20"/>
          <w:szCs w:val="20"/>
        </w:rPr>
        <w:t xml:space="preserve"> arising from the early repayment option stipulated in the contract. </w:t>
      </w:r>
      <w:r w:rsidR="00BC4072">
        <w:rPr>
          <w:i/>
          <w:color w:val="FF0000"/>
          <w:sz w:val="20"/>
          <w:szCs w:val="20"/>
        </w:rPr>
        <w:t>[</w:t>
      </w:r>
      <w:r w:rsidR="00456FF5">
        <w:rPr>
          <w:i/>
          <w:color w:val="FF0000"/>
          <w:sz w:val="20"/>
          <w:szCs w:val="20"/>
        </w:rPr>
        <w:t xml:space="preserve">Tailor to describe </w:t>
      </w:r>
      <w:r w:rsidR="00BC4072">
        <w:rPr>
          <w:i/>
          <w:color w:val="FF0000"/>
          <w:sz w:val="20"/>
          <w:szCs w:val="20"/>
        </w:rPr>
        <w:t>the embedded derivative substance]</w:t>
      </w:r>
      <w:r w:rsidR="00BC4072">
        <w:rPr>
          <w:sz w:val="20"/>
          <w:szCs w:val="20"/>
        </w:rPr>
        <w:t>.</w:t>
      </w:r>
      <w:r w:rsidR="00A90BB8">
        <w:rPr>
          <w:sz w:val="20"/>
          <w:szCs w:val="20"/>
        </w:rPr>
        <w:t xml:space="preserve"> </w:t>
      </w:r>
      <w:r w:rsidR="00A90BB8">
        <w:rPr>
          <w:color w:val="000000"/>
          <w:sz w:val="20"/>
          <w:szCs w:val="20"/>
        </w:rPr>
        <w:t xml:space="preserve">Gains and losses on such liabilities are presented in profit or loss except for the amount of change in the fair value that is attributable to changes in the credit risk of that liability (determined as the amount that is not attributable to changes in market conditions that give rise to market risk), which is recorded in OCI and is not subsequently reclassified to profit or loss. This is unless such a presentation would create, or enlarge, an accounting mismatch, in which case the gains and losses attributable to changes in credit risk of the liability are also presented in profit or loss. </w:t>
      </w:r>
    </w:p>
    <w:p w14:paraId="023AB391" w14:textId="1C1BCD65" w:rsidR="00D83E33" w:rsidRDefault="00D83E33">
      <w:pPr>
        <w:widowControl w:val="0"/>
        <w:spacing w:before="200" w:after="200"/>
        <w:jc w:val="both"/>
        <w:rPr>
          <w:sz w:val="20"/>
          <w:szCs w:val="20"/>
        </w:rPr>
      </w:pPr>
    </w:p>
    <w:p w14:paraId="21077827" w14:textId="46606C5D" w:rsidR="00D83E33" w:rsidRDefault="00BC4072" w:rsidP="001B330E">
      <w:pPr>
        <w:pStyle w:val="Continued"/>
      </w:pPr>
      <w:r>
        <w:lastRenderedPageBreak/>
        <w:t>24</w:t>
      </w:r>
      <w:r>
        <w:tab/>
        <w:t>Other Borrowed Funds (Continued)</w:t>
      </w:r>
    </w:p>
    <w:p w14:paraId="369925AC" w14:textId="77777777" w:rsidR="00D83E33" w:rsidRDefault="00BC4072">
      <w:pPr>
        <w:widowControl w:val="0"/>
        <w:spacing w:before="200" w:after="200"/>
        <w:jc w:val="both"/>
        <w:rPr>
          <w:sz w:val="20"/>
          <w:szCs w:val="20"/>
        </w:rPr>
      </w:pPr>
      <w:r>
        <w:rPr>
          <w:sz w:val="20"/>
          <w:szCs w:val="20"/>
        </w:rPr>
        <w:t>The amount of change in the fair value of financial liabilities designated at FVTPL that is attributable to changes in own credit risk is as follows:</w:t>
      </w:r>
    </w:p>
    <w:tbl>
      <w:tblPr>
        <w:tblStyle w:val="afffffffffff5"/>
        <w:tblW w:w="5000" w:type="pct"/>
        <w:tblLayout w:type="fixed"/>
        <w:tblLook w:val="0000" w:firstRow="0" w:lastRow="0" w:firstColumn="0" w:lastColumn="0" w:noHBand="0" w:noVBand="0"/>
      </w:tblPr>
      <w:tblGrid>
        <w:gridCol w:w="6803"/>
        <w:gridCol w:w="1276"/>
        <w:gridCol w:w="1276"/>
      </w:tblGrid>
      <w:tr w:rsidR="00D83E33" w:rsidRPr="00EA10CF" w14:paraId="3F8047BB" w14:textId="77777777" w:rsidTr="001B330E">
        <w:trPr>
          <w:trHeight w:val="23"/>
        </w:trPr>
        <w:tc>
          <w:tcPr>
            <w:tcW w:w="3636" w:type="pct"/>
            <w:shd w:val="clear" w:color="auto" w:fill="auto"/>
            <w:vAlign w:val="bottom"/>
          </w:tcPr>
          <w:p w14:paraId="2C46F620" w14:textId="77777777" w:rsidR="00D83E33" w:rsidRPr="00EA10CF" w:rsidRDefault="00D83E33" w:rsidP="001B330E">
            <w:pPr>
              <w:widowControl w:val="0"/>
              <w:ind w:left="113" w:hanging="113"/>
              <w:rPr>
                <w:i/>
              </w:rPr>
            </w:pPr>
          </w:p>
        </w:tc>
        <w:tc>
          <w:tcPr>
            <w:tcW w:w="1364" w:type="pct"/>
            <w:gridSpan w:val="2"/>
            <w:tcBorders>
              <w:bottom w:val="single" w:sz="4" w:space="0" w:color="000000"/>
            </w:tcBorders>
            <w:vAlign w:val="bottom"/>
          </w:tcPr>
          <w:p w14:paraId="395CFDC5" w14:textId="0019D701" w:rsidR="00D83E33" w:rsidRPr="00EA10CF" w:rsidRDefault="00EB510C">
            <w:pPr>
              <w:widowControl w:val="0"/>
              <w:jc w:val="center"/>
              <w:rPr>
                <w:b/>
              </w:rPr>
            </w:pPr>
            <w:r>
              <w:rPr>
                <w:b/>
              </w:rPr>
              <w:t>Other structured f</w:t>
            </w:r>
            <w:r w:rsidR="00BC4072" w:rsidRPr="00EA10CF">
              <w:rPr>
                <w:b/>
              </w:rPr>
              <w:t>unding</w:t>
            </w:r>
          </w:p>
        </w:tc>
      </w:tr>
      <w:tr w:rsidR="00D83E33" w:rsidRPr="00EA10CF" w14:paraId="5A89B148" w14:textId="77777777" w:rsidTr="001B330E">
        <w:trPr>
          <w:trHeight w:val="23"/>
        </w:trPr>
        <w:tc>
          <w:tcPr>
            <w:tcW w:w="3636" w:type="pct"/>
            <w:tcBorders>
              <w:bottom w:val="single" w:sz="4" w:space="0" w:color="000000"/>
            </w:tcBorders>
            <w:shd w:val="clear" w:color="auto" w:fill="auto"/>
            <w:vAlign w:val="bottom"/>
          </w:tcPr>
          <w:p w14:paraId="374CB09E" w14:textId="7A59DFDB" w:rsidR="00D83E33" w:rsidRPr="00EA10CF" w:rsidRDefault="00313B4D" w:rsidP="001B330E">
            <w:pPr>
              <w:widowControl w:val="0"/>
              <w:ind w:left="113" w:hanging="113"/>
              <w:rPr>
                <w:i/>
              </w:rPr>
            </w:pPr>
            <w:r>
              <w:rPr>
                <w:i/>
              </w:rPr>
              <w:t xml:space="preserve">In thousands of </w:t>
            </w:r>
            <w:r w:rsidR="002649EE">
              <w:rPr>
                <w:i/>
              </w:rPr>
              <w:t>EUR</w:t>
            </w:r>
          </w:p>
        </w:tc>
        <w:tc>
          <w:tcPr>
            <w:tcW w:w="682" w:type="pct"/>
            <w:tcBorders>
              <w:top w:val="single" w:sz="4" w:space="0" w:color="000000"/>
              <w:bottom w:val="single" w:sz="4" w:space="0" w:color="000000"/>
            </w:tcBorders>
            <w:vAlign w:val="bottom"/>
          </w:tcPr>
          <w:p w14:paraId="14207584" w14:textId="38CC688B" w:rsidR="00D83E33" w:rsidRPr="00EA10CF" w:rsidRDefault="00541EBC">
            <w:pPr>
              <w:widowControl w:val="0"/>
              <w:jc w:val="right"/>
              <w:rPr>
                <w:b/>
              </w:rPr>
            </w:pPr>
            <w:r>
              <w:rPr>
                <w:b/>
              </w:rPr>
              <w:t>2024</w:t>
            </w:r>
          </w:p>
        </w:tc>
        <w:tc>
          <w:tcPr>
            <w:tcW w:w="682" w:type="pct"/>
            <w:tcBorders>
              <w:top w:val="single" w:sz="4" w:space="0" w:color="000000"/>
              <w:bottom w:val="single" w:sz="4" w:space="0" w:color="000000"/>
            </w:tcBorders>
            <w:vAlign w:val="bottom"/>
          </w:tcPr>
          <w:p w14:paraId="3C4913CF" w14:textId="14D35D03" w:rsidR="00D83E33" w:rsidRPr="00EA10CF" w:rsidRDefault="00541EBC">
            <w:pPr>
              <w:widowControl w:val="0"/>
              <w:jc w:val="right"/>
              <w:rPr>
                <w:b/>
              </w:rPr>
            </w:pPr>
            <w:r>
              <w:rPr>
                <w:b/>
              </w:rPr>
              <w:t>2023</w:t>
            </w:r>
          </w:p>
        </w:tc>
      </w:tr>
      <w:tr w:rsidR="00D83E33" w:rsidRPr="00EA10CF" w14:paraId="03B3F9A7" w14:textId="77777777" w:rsidTr="001B330E">
        <w:trPr>
          <w:trHeight w:val="23"/>
        </w:trPr>
        <w:tc>
          <w:tcPr>
            <w:tcW w:w="3636" w:type="pct"/>
            <w:shd w:val="clear" w:color="auto" w:fill="auto"/>
            <w:vAlign w:val="bottom"/>
          </w:tcPr>
          <w:p w14:paraId="6F630320" w14:textId="77777777" w:rsidR="00D83E33" w:rsidRPr="00EA10CF" w:rsidRDefault="00BC4072" w:rsidP="001B330E">
            <w:pPr>
              <w:widowControl w:val="0"/>
              <w:ind w:left="113" w:hanging="113"/>
            </w:pPr>
            <w:r w:rsidRPr="00EA10CF">
              <w:t> </w:t>
            </w:r>
          </w:p>
        </w:tc>
        <w:tc>
          <w:tcPr>
            <w:tcW w:w="682" w:type="pct"/>
            <w:vAlign w:val="bottom"/>
          </w:tcPr>
          <w:p w14:paraId="447BD903" w14:textId="77777777" w:rsidR="00D83E33" w:rsidRPr="00EA10CF" w:rsidRDefault="00D83E33" w:rsidP="001B330E">
            <w:pPr>
              <w:widowControl w:val="0"/>
              <w:jc w:val="right"/>
            </w:pPr>
          </w:p>
        </w:tc>
        <w:tc>
          <w:tcPr>
            <w:tcW w:w="682" w:type="pct"/>
            <w:vAlign w:val="bottom"/>
          </w:tcPr>
          <w:p w14:paraId="5E4121A1" w14:textId="77777777" w:rsidR="00D83E33" w:rsidRPr="00EA10CF" w:rsidRDefault="00D83E33" w:rsidP="001B330E">
            <w:pPr>
              <w:widowControl w:val="0"/>
              <w:jc w:val="right"/>
            </w:pPr>
          </w:p>
        </w:tc>
      </w:tr>
      <w:tr w:rsidR="00D83E33" w:rsidRPr="00EA10CF" w14:paraId="50BE1AB7" w14:textId="77777777" w:rsidTr="001B330E">
        <w:trPr>
          <w:trHeight w:val="23"/>
        </w:trPr>
        <w:tc>
          <w:tcPr>
            <w:tcW w:w="3636" w:type="pct"/>
            <w:shd w:val="clear" w:color="auto" w:fill="auto"/>
            <w:vAlign w:val="bottom"/>
          </w:tcPr>
          <w:p w14:paraId="2A7D3F2E" w14:textId="77777777" w:rsidR="00D83E33" w:rsidRPr="00EA10CF" w:rsidRDefault="00BC4072" w:rsidP="001B330E">
            <w:pPr>
              <w:widowControl w:val="0"/>
              <w:ind w:left="113" w:hanging="113"/>
            </w:pPr>
            <w:r w:rsidRPr="00EA10CF">
              <w:t xml:space="preserve">Carrying amount at 1 January </w:t>
            </w:r>
          </w:p>
        </w:tc>
        <w:tc>
          <w:tcPr>
            <w:tcW w:w="682" w:type="pct"/>
            <w:vAlign w:val="bottom"/>
          </w:tcPr>
          <w:p w14:paraId="21ED9471" w14:textId="77777777" w:rsidR="00D83E33" w:rsidRPr="00EA10CF" w:rsidRDefault="00D83E33" w:rsidP="001B330E">
            <w:pPr>
              <w:widowControl w:val="0"/>
              <w:jc w:val="right"/>
            </w:pPr>
          </w:p>
        </w:tc>
        <w:tc>
          <w:tcPr>
            <w:tcW w:w="682" w:type="pct"/>
            <w:vAlign w:val="bottom"/>
          </w:tcPr>
          <w:p w14:paraId="32646687" w14:textId="77777777" w:rsidR="00D83E33" w:rsidRPr="00EA10CF" w:rsidRDefault="00D83E33" w:rsidP="001B330E">
            <w:pPr>
              <w:widowControl w:val="0"/>
              <w:jc w:val="right"/>
            </w:pPr>
          </w:p>
        </w:tc>
      </w:tr>
      <w:tr w:rsidR="00D83E33" w:rsidRPr="00EA10CF" w14:paraId="365C03FC" w14:textId="77777777" w:rsidTr="001B330E">
        <w:trPr>
          <w:trHeight w:val="23"/>
        </w:trPr>
        <w:tc>
          <w:tcPr>
            <w:tcW w:w="3636" w:type="pct"/>
            <w:shd w:val="clear" w:color="auto" w:fill="auto"/>
            <w:vAlign w:val="bottom"/>
          </w:tcPr>
          <w:p w14:paraId="2813B7DF" w14:textId="77777777" w:rsidR="00D83E33" w:rsidRPr="00EA10CF" w:rsidRDefault="00BC4072" w:rsidP="001B330E">
            <w:pPr>
              <w:widowControl w:val="0"/>
              <w:ind w:left="113" w:hanging="113"/>
            </w:pPr>
            <w:r w:rsidRPr="00EA10CF">
              <w:t>Change in the fair value attributable to changes in own credit risk recognised in OCI during the period</w:t>
            </w:r>
          </w:p>
        </w:tc>
        <w:tc>
          <w:tcPr>
            <w:tcW w:w="682" w:type="pct"/>
            <w:vAlign w:val="bottom"/>
          </w:tcPr>
          <w:p w14:paraId="1781B43D" w14:textId="77777777" w:rsidR="00D83E33" w:rsidRPr="00EA10CF" w:rsidRDefault="00D83E33" w:rsidP="001B330E">
            <w:pPr>
              <w:widowControl w:val="0"/>
              <w:jc w:val="right"/>
            </w:pPr>
          </w:p>
        </w:tc>
        <w:tc>
          <w:tcPr>
            <w:tcW w:w="682" w:type="pct"/>
            <w:vAlign w:val="bottom"/>
          </w:tcPr>
          <w:p w14:paraId="65EC53E9" w14:textId="77777777" w:rsidR="00D83E33" w:rsidRPr="00EA10CF" w:rsidRDefault="00D83E33" w:rsidP="001B330E">
            <w:pPr>
              <w:widowControl w:val="0"/>
              <w:jc w:val="right"/>
            </w:pPr>
          </w:p>
        </w:tc>
      </w:tr>
      <w:tr w:rsidR="00D83E33" w:rsidRPr="00EA10CF" w14:paraId="4211A399" w14:textId="77777777" w:rsidTr="001B330E">
        <w:trPr>
          <w:trHeight w:val="23"/>
        </w:trPr>
        <w:tc>
          <w:tcPr>
            <w:tcW w:w="3636" w:type="pct"/>
            <w:shd w:val="clear" w:color="auto" w:fill="auto"/>
            <w:vAlign w:val="bottom"/>
          </w:tcPr>
          <w:p w14:paraId="0311BB6F" w14:textId="77777777" w:rsidR="00D83E33" w:rsidRPr="00EA10CF" w:rsidRDefault="00BC4072" w:rsidP="001B330E">
            <w:pPr>
              <w:widowControl w:val="0"/>
              <w:ind w:left="113" w:hanging="113"/>
            </w:pPr>
            <w:r w:rsidRPr="00EA10CF">
              <w:t>Other changes in fair value</w:t>
            </w:r>
          </w:p>
        </w:tc>
        <w:tc>
          <w:tcPr>
            <w:tcW w:w="682" w:type="pct"/>
            <w:vAlign w:val="bottom"/>
          </w:tcPr>
          <w:p w14:paraId="5A503F7B" w14:textId="77777777" w:rsidR="00D83E33" w:rsidRPr="00EA10CF" w:rsidRDefault="00D83E33" w:rsidP="001B330E">
            <w:pPr>
              <w:widowControl w:val="0"/>
              <w:jc w:val="right"/>
            </w:pPr>
          </w:p>
        </w:tc>
        <w:tc>
          <w:tcPr>
            <w:tcW w:w="682" w:type="pct"/>
            <w:vAlign w:val="bottom"/>
          </w:tcPr>
          <w:p w14:paraId="53A02754" w14:textId="77777777" w:rsidR="00D83E33" w:rsidRPr="00EA10CF" w:rsidRDefault="00D83E33" w:rsidP="001B330E">
            <w:pPr>
              <w:widowControl w:val="0"/>
              <w:jc w:val="right"/>
            </w:pPr>
          </w:p>
        </w:tc>
      </w:tr>
      <w:tr w:rsidR="00D83E33" w:rsidRPr="00EA10CF" w14:paraId="20324B95" w14:textId="77777777" w:rsidTr="001B330E">
        <w:trPr>
          <w:trHeight w:val="23"/>
        </w:trPr>
        <w:tc>
          <w:tcPr>
            <w:tcW w:w="3636" w:type="pct"/>
            <w:tcBorders>
              <w:bottom w:val="single" w:sz="4" w:space="0" w:color="000000"/>
            </w:tcBorders>
            <w:shd w:val="clear" w:color="auto" w:fill="auto"/>
            <w:vAlign w:val="bottom"/>
          </w:tcPr>
          <w:p w14:paraId="39BDF581" w14:textId="77777777" w:rsidR="00D83E33" w:rsidRPr="00EA10CF" w:rsidRDefault="00BC4072" w:rsidP="001B330E">
            <w:pPr>
              <w:widowControl w:val="0"/>
              <w:ind w:left="113" w:hanging="113"/>
            </w:pPr>
            <w:r w:rsidRPr="00EA10CF">
              <w:t> </w:t>
            </w:r>
          </w:p>
        </w:tc>
        <w:tc>
          <w:tcPr>
            <w:tcW w:w="682" w:type="pct"/>
            <w:tcBorders>
              <w:bottom w:val="single" w:sz="4" w:space="0" w:color="000000"/>
            </w:tcBorders>
            <w:vAlign w:val="bottom"/>
          </w:tcPr>
          <w:p w14:paraId="4780364C" w14:textId="77777777" w:rsidR="00D83E33" w:rsidRPr="00EA10CF" w:rsidRDefault="00D83E33" w:rsidP="001B330E">
            <w:pPr>
              <w:widowControl w:val="0"/>
              <w:jc w:val="right"/>
            </w:pPr>
          </w:p>
        </w:tc>
        <w:tc>
          <w:tcPr>
            <w:tcW w:w="682" w:type="pct"/>
            <w:tcBorders>
              <w:bottom w:val="single" w:sz="4" w:space="0" w:color="000000"/>
            </w:tcBorders>
            <w:vAlign w:val="bottom"/>
          </w:tcPr>
          <w:p w14:paraId="1CAFD2AF" w14:textId="77777777" w:rsidR="00D83E33" w:rsidRPr="00EA10CF" w:rsidRDefault="00D83E33" w:rsidP="001B330E">
            <w:pPr>
              <w:widowControl w:val="0"/>
              <w:jc w:val="right"/>
            </w:pPr>
          </w:p>
        </w:tc>
      </w:tr>
      <w:tr w:rsidR="00D83E33" w:rsidRPr="00EA10CF" w14:paraId="55BFFE6A" w14:textId="77777777" w:rsidTr="001B330E">
        <w:trPr>
          <w:trHeight w:val="23"/>
        </w:trPr>
        <w:tc>
          <w:tcPr>
            <w:tcW w:w="3636" w:type="pct"/>
            <w:tcBorders>
              <w:top w:val="single" w:sz="4" w:space="0" w:color="000000"/>
            </w:tcBorders>
            <w:shd w:val="clear" w:color="auto" w:fill="auto"/>
            <w:vAlign w:val="bottom"/>
          </w:tcPr>
          <w:p w14:paraId="448A5BF6" w14:textId="77777777" w:rsidR="00D83E33" w:rsidRPr="00EA10CF" w:rsidRDefault="00D83E33" w:rsidP="001B330E">
            <w:pPr>
              <w:widowControl w:val="0"/>
              <w:ind w:left="113" w:hanging="113"/>
            </w:pPr>
          </w:p>
        </w:tc>
        <w:tc>
          <w:tcPr>
            <w:tcW w:w="682" w:type="pct"/>
            <w:tcBorders>
              <w:top w:val="single" w:sz="4" w:space="0" w:color="000000"/>
            </w:tcBorders>
            <w:vAlign w:val="bottom"/>
          </w:tcPr>
          <w:p w14:paraId="0AF6B520" w14:textId="77777777" w:rsidR="00D83E33" w:rsidRPr="00EA10CF" w:rsidRDefault="00D83E33" w:rsidP="001B330E">
            <w:pPr>
              <w:widowControl w:val="0"/>
              <w:jc w:val="right"/>
            </w:pPr>
          </w:p>
        </w:tc>
        <w:tc>
          <w:tcPr>
            <w:tcW w:w="682" w:type="pct"/>
            <w:tcBorders>
              <w:top w:val="single" w:sz="4" w:space="0" w:color="000000"/>
            </w:tcBorders>
            <w:vAlign w:val="bottom"/>
          </w:tcPr>
          <w:p w14:paraId="358F4E6A" w14:textId="77777777" w:rsidR="00D83E33" w:rsidRPr="00EA10CF" w:rsidRDefault="00D83E33" w:rsidP="001B330E">
            <w:pPr>
              <w:widowControl w:val="0"/>
              <w:jc w:val="right"/>
            </w:pPr>
          </w:p>
        </w:tc>
      </w:tr>
      <w:tr w:rsidR="00D83E33" w:rsidRPr="00EA10CF" w14:paraId="56055034" w14:textId="77777777" w:rsidTr="001B330E">
        <w:trPr>
          <w:trHeight w:val="23"/>
        </w:trPr>
        <w:tc>
          <w:tcPr>
            <w:tcW w:w="3636" w:type="pct"/>
            <w:shd w:val="clear" w:color="auto" w:fill="auto"/>
            <w:vAlign w:val="bottom"/>
          </w:tcPr>
          <w:p w14:paraId="41901468" w14:textId="7C2A0BD7" w:rsidR="00D83E33" w:rsidRPr="00EA10CF" w:rsidRDefault="00BC4072" w:rsidP="001B330E">
            <w:pPr>
              <w:widowControl w:val="0"/>
              <w:ind w:left="113" w:hanging="113"/>
            </w:pPr>
            <w:r w:rsidRPr="00EA10CF">
              <w:t>Carrying amount at 31</w:t>
            </w:r>
            <w:r w:rsidR="00181687">
              <w:t> December </w:t>
            </w:r>
          </w:p>
        </w:tc>
        <w:tc>
          <w:tcPr>
            <w:tcW w:w="682" w:type="pct"/>
            <w:vAlign w:val="bottom"/>
          </w:tcPr>
          <w:p w14:paraId="4F6BA2D6" w14:textId="77777777" w:rsidR="00D83E33" w:rsidRPr="00EA10CF" w:rsidRDefault="00D83E33" w:rsidP="001B330E">
            <w:pPr>
              <w:widowControl w:val="0"/>
              <w:jc w:val="right"/>
            </w:pPr>
          </w:p>
        </w:tc>
        <w:tc>
          <w:tcPr>
            <w:tcW w:w="682" w:type="pct"/>
            <w:vAlign w:val="bottom"/>
          </w:tcPr>
          <w:p w14:paraId="6F52C966" w14:textId="77777777" w:rsidR="00D83E33" w:rsidRPr="00EA10CF" w:rsidRDefault="00D83E33" w:rsidP="001B330E">
            <w:pPr>
              <w:widowControl w:val="0"/>
              <w:jc w:val="right"/>
            </w:pPr>
          </w:p>
        </w:tc>
      </w:tr>
      <w:tr w:rsidR="00D83E33" w:rsidRPr="00EA10CF" w14:paraId="4607F061" w14:textId="77777777" w:rsidTr="001B330E">
        <w:trPr>
          <w:trHeight w:val="23"/>
        </w:trPr>
        <w:tc>
          <w:tcPr>
            <w:tcW w:w="3636" w:type="pct"/>
            <w:tcBorders>
              <w:bottom w:val="single" w:sz="12" w:space="0" w:color="000000"/>
            </w:tcBorders>
            <w:shd w:val="clear" w:color="auto" w:fill="auto"/>
            <w:vAlign w:val="bottom"/>
          </w:tcPr>
          <w:p w14:paraId="24E2C85D" w14:textId="77777777" w:rsidR="00D83E33" w:rsidRPr="00EA10CF" w:rsidRDefault="00D83E33" w:rsidP="001B330E">
            <w:pPr>
              <w:widowControl w:val="0"/>
              <w:ind w:left="113" w:hanging="113"/>
            </w:pPr>
          </w:p>
        </w:tc>
        <w:tc>
          <w:tcPr>
            <w:tcW w:w="682" w:type="pct"/>
            <w:tcBorders>
              <w:bottom w:val="single" w:sz="12" w:space="0" w:color="000000"/>
            </w:tcBorders>
            <w:vAlign w:val="bottom"/>
          </w:tcPr>
          <w:p w14:paraId="2B2D59B9" w14:textId="77777777" w:rsidR="00D83E33" w:rsidRPr="00EA10CF" w:rsidRDefault="00D83E33" w:rsidP="001B330E">
            <w:pPr>
              <w:widowControl w:val="0"/>
              <w:jc w:val="right"/>
            </w:pPr>
          </w:p>
        </w:tc>
        <w:tc>
          <w:tcPr>
            <w:tcW w:w="682" w:type="pct"/>
            <w:tcBorders>
              <w:bottom w:val="single" w:sz="12" w:space="0" w:color="000000"/>
            </w:tcBorders>
            <w:vAlign w:val="bottom"/>
          </w:tcPr>
          <w:p w14:paraId="05D7E20E" w14:textId="77777777" w:rsidR="00D83E33" w:rsidRPr="00EA10CF" w:rsidRDefault="00D83E33" w:rsidP="001B330E">
            <w:pPr>
              <w:widowControl w:val="0"/>
              <w:jc w:val="right"/>
            </w:pPr>
          </w:p>
        </w:tc>
      </w:tr>
      <w:tr w:rsidR="00D83E33" w:rsidRPr="00EA10CF" w14:paraId="78D9AF98" w14:textId="77777777" w:rsidTr="001B330E">
        <w:trPr>
          <w:trHeight w:val="23"/>
        </w:trPr>
        <w:tc>
          <w:tcPr>
            <w:tcW w:w="3636" w:type="pct"/>
            <w:tcBorders>
              <w:top w:val="single" w:sz="12" w:space="0" w:color="000000"/>
            </w:tcBorders>
            <w:shd w:val="clear" w:color="auto" w:fill="auto"/>
            <w:vAlign w:val="bottom"/>
          </w:tcPr>
          <w:p w14:paraId="399D830B" w14:textId="77777777" w:rsidR="00D83E33" w:rsidRPr="00EA10CF" w:rsidRDefault="00D83E33" w:rsidP="001B330E">
            <w:pPr>
              <w:widowControl w:val="0"/>
              <w:ind w:left="113" w:hanging="113"/>
            </w:pPr>
          </w:p>
        </w:tc>
        <w:tc>
          <w:tcPr>
            <w:tcW w:w="682" w:type="pct"/>
            <w:tcBorders>
              <w:top w:val="single" w:sz="12" w:space="0" w:color="000000"/>
            </w:tcBorders>
            <w:vAlign w:val="bottom"/>
          </w:tcPr>
          <w:p w14:paraId="6AB9139C" w14:textId="77777777" w:rsidR="00D83E33" w:rsidRPr="00EA10CF" w:rsidRDefault="00D83E33" w:rsidP="001B330E">
            <w:pPr>
              <w:widowControl w:val="0"/>
              <w:jc w:val="right"/>
            </w:pPr>
          </w:p>
        </w:tc>
        <w:tc>
          <w:tcPr>
            <w:tcW w:w="682" w:type="pct"/>
            <w:tcBorders>
              <w:top w:val="single" w:sz="12" w:space="0" w:color="000000"/>
            </w:tcBorders>
            <w:vAlign w:val="bottom"/>
          </w:tcPr>
          <w:p w14:paraId="593246F9" w14:textId="77777777" w:rsidR="00D83E33" w:rsidRPr="00EA10CF" w:rsidRDefault="00D83E33" w:rsidP="001B330E">
            <w:pPr>
              <w:widowControl w:val="0"/>
              <w:jc w:val="right"/>
            </w:pPr>
          </w:p>
        </w:tc>
      </w:tr>
      <w:tr w:rsidR="00D83E33" w:rsidRPr="00EA10CF" w14:paraId="216C4665" w14:textId="77777777" w:rsidTr="001B330E">
        <w:trPr>
          <w:trHeight w:val="23"/>
        </w:trPr>
        <w:tc>
          <w:tcPr>
            <w:tcW w:w="3636" w:type="pct"/>
            <w:shd w:val="clear" w:color="auto" w:fill="auto"/>
            <w:vAlign w:val="bottom"/>
          </w:tcPr>
          <w:p w14:paraId="5232650F" w14:textId="77777777" w:rsidR="00D83E33" w:rsidRPr="00EA10CF" w:rsidRDefault="00BC4072" w:rsidP="001B330E">
            <w:pPr>
              <w:widowControl w:val="0"/>
              <w:ind w:left="113" w:hanging="113"/>
            </w:pPr>
            <w:r w:rsidRPr="00EA10CF">
              <w:t>Accumulated amount of the change in fair value attributable to changes in own credit risk at 31 December</w:t>
            </w:r>
          </w:p>
        </w:tc>
        <w:tc>
          <w:tcPr>
            <w:tcW w:w="682" w:type="pct"/>
            <w:vAlign w:val="bottom"/>
          </w:tcPr>
          <w:p w14:paraId="725BE09D" w14:textId="77777777" w:rsidR="00D83E33" w:rsidRPr="00EA10CF" w:rsidRDefault="00D83E33" w:rsidP="001B330E">
            <w:pPr>
              <w:widowControl w:val="0"/>
              <w:jc w:val="right"/>
            </w:pPr>
          </w:p>
        </w:tc>
        <w:tc>
          <w:tcPr>
            <w:tcW w:w="682" w:type="pct"/>
            <w:vAlign w:val="bottom"/>
          </w:tcPr>
          <w:p w14:paraId="49C4E404" w14:textId="77777777" w:rsidR="00D83E33" w:rsidRPr="00EA10CF" w:rsidRDefault="00D83E33" w:rsidP="001B330E">
            <w:pPr>
              <w:widowControl w:val="0"/>
              <w:jc w:val="right"/>
            </w:pPr>
          </w:p>
        </w:tc>
      </w:tr>
      <w:tr w:rsidR="00D83E33" w:rsidRPr="00EA10CF" w14:paraId="41BF9780" w14:textId="77777777" w:rsidTr="001B330E">
        <w:trPr>
          <w:trHeight w:val="23"/>
        </w:trPr>
        <w:tc>
          <w:tcPr>
            <w:tcW w:w="3636" w:type="pct"/>
            <w:tcBorders>
              <w:bottom w:val="single" w:sz="4" w:space="0" w:color="000000"/>
            </w:tcBorders>
            <w:shd w:val="clear" w:color="auto" w:fill="auto"/>
            <w:vAlign w:val="bottom"/>
          </w:tcPr>
          <w:p w14:paraId="51D55B78" w14:textId="77777777" w:rsidR="00D83E33" w:rsidRPr="00EA10CF" w:rsidRDefault="00D83E33" w:rsidP="001B330E">
            <w:pPr>
              <w:widowControl w:val="0"/>
              <w:ind w:left="113" w:hanging="113"/>
            </w:pPr>
          </w:p>
        </w:tc>
        <w:tc>
          <w:tcPr>
            <w:tcW w:w="682" w:type="pct"/>
            <w:tcBorders>
              <w:bottom w:val="single" w:sz="4" w:space="0" w:color="000000"/>
            </w:tcBorders>
            <w:vAlign w:val="bottom"/>
          </w:tcPr>
          <w:p w14:paraId="0122EF14" w14:textId="77777777" w:rsidR="00D83E33" w:rsidRPr="00EA10CF" w:rsidRDefault="00D83E33" w:rsidP="001B330E">
            <w:pPr>
              <w:widowControl w:val="0"/>
              <w:jc w:val="right"/>
            </w:pPr>
          </w:p>
        </w:tc>
        <w:tc>
          <w:tcPr>
            <w:tcW w:w="682" w:type="pct"/>
            <w:tcBorders>
              <w:bottom w:val="single" w:sz="4" w:space="0" w:color="000000"/>
            </w:tcBorders>
            <w:vAlign w:val="bottom"/>
          </w:tcPr>
          <w:p w14:paraId="343A75A2" w14:textId="77777777" w:rsidR="00D83E33" w:rsidRPr="00EA10CF" w:rsidRDefault="00D83E33" w:rsidP="001B330E">
            <w:pPr>
              <w:widowControl w:val="0"/>
              <w:jc w:val="right"/>
            </w:pPr>
          </w:p>
        </w:tc>
      </w:tr>
      <w:tr w:rsidR="00D83E33" w:rsidRPr="00EA10CF" w14:paraId="0C21FF47" w14:textId="77777777" w:rsidTr="001B330E">
        <w:trPr>
          <w:trHeight w:val="23"/>
        </w:trPr>
        <w:tc>
          <w:tcPr>
            <w:tcW w:w="3636" w:type="pct"/>
            <w:tcBorders>
              <w:top w:val="single" w:sz="4" w:space="0" w:color="000000"/>
            </w:tcBorders>
            <w:shd w:val="clear" w:color="auto" w:fill="auto"/>
            <w:vAlign w:val="bottom"/>
          </w:tcPr>
          <w:p w14:paraId="6E23F20F" w14:textId="77777777" w:rsidR="00D83E33" w:rsidRPr="00EA10CF" w:rsidRDefault="00D83E33" w:rsidP="001B330E">
            <w:pPr>
              <w:widowControl w:val="0"/>
              <w:ind w:left="113" w:hanging="113"/>
            </w:pPr>
          </w:p>
        </w:tc>
        <w:tc>
          <w:tcPr>
            <w:tcW w:w="682" w:type="pct"/>
            <w:tcBorders>
              <w:top w:val="single" w:sz="4" w:space="0" w:color="000000"/>
            </w:tcBorders>
            <w:vAlign w:val="bottom"/>
          </w:tcPr>
          <w:p w14:paraId="740A28D3" w14:textId="77777777" w:rsidR="00D83E33" w:rsidRPr="00EA10CF" w:rsidRDefault="00D83E33" w:rsidP="001B330E">
            <w:pPr>
              <w:widowControl w:val="0"/>
              <w:jc w:val="right"/>
            </w:pPr>
          </w:p>
        </w:tc>
        <w:tc>
          <w:tcPr>
            <w:tcW w:w="682" w:type="pct"/>
            <w:tcBorders>
              <w:top w:val="single" w:sz="4" w:space="0" w:color="000000"/>
            </w:tcBorders>
            <w:vAlign w:val="bottom"/>
          </w:tcPr>
          <w:p w14:paraId="44CD1EC3" w14:textId="77777777" w:rsidR="00D83E33" w:rsidRPr="00EA10CF" w:rsidRDefault="00D83E33" w:rsidP="001B330E">
            <w:pPr>
              <w:widowControl w:val="0"/>
              <w:jc w:val="right"/>
            </w:pPr>
          </w:p>
        </w:tc>
      </w:tr>
      <w:tr w:rsidR="00D83E33" w:rsidRPr="00EA10CF" w14:paraId="37285F3A" w14:textId="77777777" w:rsidTr="001B330E">
        <w:trPr>
          <w:trHeight w:val="23"/>
        </w:trPr>
        <w:tc>
          <w:tcPr>
            <w:tcW w:w="3636" w:type="pct"/>
            <w:shd w:val="clear" w:color="auto" w:fill="auto"/>
            <w:vAlign w:val="bottom"/>
          </w:tcPr>
          <w:p w14:paraId="0F4AF181" w14:textId="7415320F" w:rsidR="00D83E33" w:rsidRPr="00EA10CF" w:rsidRDefault="00BC4072" w:rsidP="001B330E">
            <w:pPr>
              <w:widowControl w:val="0"/>
              <w:ind w:left="113" w:hanging="113"/>
            </w:pPr>
            <w:r w:rsidRPr="00EA10CF">
              <w:t>Difference between the contractual amount due at maturity and carrying amount at 31</w:t>
            </w:r>
            <w:r w:rsidR="00181687">
              <w:t> December </w:t>
            </w:r>
          </w:p>
        </w:tc>
        <w:tc>
          <w:tcPr>
            <w:tcW w:w="682" w:type="pct"/>
            <w:vAlign w:val="bottom"/>
          </w:tcPr>
          <w:p w14:paraId="491FA9DF" w14:textId="77777777" w:rsidR="00D83E33" w:rsidRPr="00EA10CF" w:rsidRDefault="00D83E33" w:rsidP="001B330E">
            <w:pPr>
              <w:widowControl w:val="0"/>
              <w:jc w:val="right"/>
            </w:pPr>
          </w:p>
        </w:tc>
        <w:tc>
          <w:tcPr>
            <w:tcW w:w="682" w:type="pct"/>
            <w:vAlign w:val="bottom"/>
          </w:tcPr>
          <w:p w14:paraId="5EC498D7" w14:textId="77777777" w:rsidR="00D83E33" w:rsidRPr="00EA10CF" w:rsidRDefault="00D83E33" w:rsidP="001B330E">
            <w:pPr>
              <w:widowControl w:val="0"/>
              <w:jc w:val="right"/>
            </w:pPr>
          </w:p>
        </w:tc>
      </w:tr>
      <w:tr w:rsidR="00D83E33" w:rsidRPr="00EA10CF" w14:paraId="1FA7F811" w14:textId="77777777" w:rsidTr="001B330E">
        <w:trPr>
          <w:trHeight w:val="23"/>
        </w:trPr>
        <w:tc>
          <w:tcPr>
            <w:tcW w:w="3636" w:type="pct"/>
            <w:tcBorders>
              <w:bottom w:val="single" w:sz="12" w:space="0" w:color="000000"/>
            </w:tcBorders>
            <w:shd w:val="clear" w:color="auto" w:fill="auto"/>
            <w:vAlign w:val="bottom"/>
          </w:tcPr>
          <w:p w14:paraId="22D9F5DC" w14:textId="77777777" w:rsidR="00D83E33" w:rsidRPr="00EA10CF" w:rsidRDefault="00D83E33" w:rsidP="001B330E">
            <w:pPr>
              <w:widowControl w:val="0"/>
              <w:ind w:left="113" w:hanging="113"/>
            </w:pPr>
          </w:p>
        </w:tc>
        <w:tc>
          <w:tcPr>
            <w:tcW w:w="682" w:type="pct"/>
            <w:tcBorders>
              <w:bottom w:val="single" w:sz="12" w:space="0" w:color="000000"/>
            </w:tcBorders>
            <w:vAlign w:val="bottom"/>
          </w:tcPr>
          <w:p w14:paraId="1EB9BED5" w14:textId="77777777" w:rsidR="00D83E33" w:rsidRPr="00EA10CF" w:rsidRDefault="00D83E33" w:rsidP="001B330E">
            <w:pPr>
              <w:widowControl w:val="0"/>
              <w:jc w:val="right"/>
            </w:pPr>
          </w:p>
        </w:tc>
        <w:tc>
          <w:tcPr>
            <w:tcW w:w="682" w:type="pct"/>
            <w:tcBorders>
              <w:bottom w:val="single" w:sz="12" w:space="0" w:color="000000"/>
            </w:tcBorders>
            <w:vAlign w:val="bottom"/>
          </w:tcPr>
          <w:p w14:paraId="56DAB6E9" w14:textId="77777777" w:rsidR="00D83E33" w:rsidRPr="00EA10CF" w:rsidRDefault="00D83E33" w:rsidP="001B330E">
            <w:pPr>
              <w:widowControl w:val="0"/>
              <w:jc w:val="right"/>
            </w:pPr>
          </w:p>
        </w:tc>
      </w:tr>
    </w:tbl>
    <w:p w14:paraId="06469D9F" w14:textId="0040718D"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[An exchange between the Group and its original lenders of debt instruments with substantially different terms, as well as substantial modifications of the terms and conditions of existing financial liabilities, are accounted for as an extinguishment of the original financial liability and the recognition of a new financial liability. The terms are substantially different if the discounted present value of the cash flows under the new terms, including any fees paid net of any fees received and discounted using the original effective interest rate, is at least 10% different from the discounted present value of the remaining cash flows of the original financial liability. [In addition, other qualitative factors, such as the currency that the instrument is denominated in, changes in the type of interest rate, new conversion features attached to the instrument and change in loan covenants are also considered.] If an exchange of debt instruments or modification of terms is accounted for as an extinguishment, any costs or fees incurred are recognised as part of the gain or loss on the extinguishment. If the exchange or modification is not accounted for as an extinguishment, any costs or fees incurred adjust the carrying amount of the liability and are amortised over the remaining term of the modified liability.</w:t>
      </w:r>
    </w:p>
    <w:p w14:paraId="5E198166" w14:textId="0E883D61"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Modifications of liabilities that do not result in extinguishment are accounted for as a change in estimate using a cumulative catch up method, with any gain or loss recognised in profit or loss, unless the economic substance of the difference in carrying values is attributed to a capital transaction with owners.]</w:t>
      </w:r>
    </w:p>
    <w:p w14:paraId="09E45B7A" w14:textId="59EC4EF1" w:rsidR="00D83E33" w:rsidRDefault="00BC4072">
      <w:pPr>
        <w:widowControl w:val="0"/>
        <w:spacing w:before="200" w:after="200"/>
        <w:jc w:val="both"/>
        <w:rPr>
          <w:sz w:val="20"/>
          <w:szCs w:val="20"/>
        </w:rPr>
      </w:pPr>
      <w:r>
        <w:rPr>
          <w:sz w:val="20"/>
          <w:szCs w:val="20"/>
        </w:rPr>
        <w:t>The change in fair value attributable to changes in credit risk on financial liabilities is calculated</w:t>
      </w:r>
      <w:r>
        <w:rPr>
          <w:color w:val="0000FF"/>
          <w:sz w:val="20"/>
          <w:szCs w:val="20"/>
        </w:rPr>
        <w:t xml:space="preserve"> [using the credit spread observed for recent issuances of similar debt, adjusted for subsequent changes in the credit spread observed on credit default swaps on the issuing Bank's senior debt]</w:t>
      </w:r>
      <w:r>
        <w:rPr>
          <w:sz w:val="20"/>
          <w:szCs w:val="20"/>
        </w:rPr>
        <w:t>.</w:t>
      </w:r>
    </w:p>
    <w:p w14:paraId="4F73C26B" w14:textId="208480D8" w:rsidR="00D83E33" w:rsidRDefault="00BC4072" w:rsidP="00CC0505">
      <w:pPr>
        <w:widowControl w:val="0"/>
        <w:pBdr>
          <w:top w:val="nil"/>
          <w:left w:val="nil"/>
          <w:bottom w:val="nil"/>
          <w:right w:val="nil"/>
          <w:between w:val="nil"/>
        </w:pBdr>
        <w:spacing w:before="200" w:after="200"/>
        <w:jc w:val="both"/>
        <w:rPr>
          <w:i/>
          <w:color w:val="FF0000"/>
          <w:sz w:val="20"/>
          <w:szCs w:val="20"/>
        </w:rPr>
      </w:pPr>
      <w:bookmarkStart w:id="82" w:name="_heading=h.1hmsyys" w:colFirst="0" w:colLast="0"/>
      <w:bookmarkEnd w:id="82"/>
      <w:r>
        <w:rPr>
          <w:color w:val="000000"/>
          <w:sz w:val="20"/>
          <w:szCs w:val="20"/>
        </w:rPr>
        <w:t xml:space="preserve">The Group accepted </w:t>
      </w:r>
      <w:r>
        <w:rPr>
          <w:color w:val="0000FF"/>
          <w:sz w:val="20"/>
          <w:szCs w:val="20"/>
        </w:rPr>
        <w:t>[securities]</w:t>
      </w:r>
      <w:r>
        <w:rPr>
          <w:color w:val="000000"/>
          <w:sz w:val="20"/>
          <w:szCs w:val="20"/>
        </w:rPr>
        <w:t xml:space="preserve"> as collateral that it was allowed to sell or repledge (Notes 8 and 11). The Group sold </w:t>
      </w:r>
      <w:r>
        <w:rPr>
          <w:color w:val="0000FF"/>
          <w:sz w:val="20"/>
          <w:szCs w:val="20"/>
        </w:rPr>
        <w:t xml:space="preserve">[or repledged] </w:t>
      </w:r>
      <w:r>
        <w:rPr>
          <w:color w:val="000000"/>
          <w:sz w:val="20"/>
          <w:szCs w:val="20"/>
        </w:rPr>
        <w:t xml:space="preserve">such collateral and recognised the cash proceeds as a liability carried at a fair value of </w:t>
      </w:r>
      <w:r w:rsidR="00D73799">
        <w:rPr>
          <w:color w:val="000000"/>
          <w:sz w:val="20"/>
          <w:szCs w:val="20"/>
        </w:rPr>
        <w:t>EUR</w:t>
      </w:r>
      <w:r>
        <w:rPr>
          <w:color w:val="000000"/>
          <w:sz w:val="20"/>
          <w:szCs w:val="20"/>
        </w:rPr>
        <w:t xml:space="preserve"> _____ thousand at the end of the reporting period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w:t>
      </w:r>
      <w:r>
        <w:rPr>
          <w:i/>
          <w:color w:val="FF0000"/>
          <w:sz w:val="20"/>
          <w:szCs w:val="20"/>
        </w:rPr>
        <w:t>[</w:t>
      </w:r>
      <w:r w:rsidR="00D8395F">
        <w:rPr>
          <w:i/>
          <w:color w:val="FF0000"/>
          <w:sz w:val="20"/>
          <w:szCs w:val="20"/>
        </w:rPr>
        <w:t xml:space="preserve">Tailor to </w:t>
      </w:r>
      <w:r>
        <w:rPr>
          <w:i/>
          <w:color w:val="FF0000"/>
          <w:sz w:val="20"/>
          <w:szCs w:val="20"/>
        </w:rPr>
        <w:t>disclose the aggregate amount of secured liabilities and the nature and carrying amount of the assets pledged as security. If this is very detailed, consider a separate note.]</w:t>
      </w:r>
    </w:p>
    <w:p w14:paraId="26F66434" w14:textId="164FADAC" w:rsidR="00D83E33" w:rsidRDefault="00BC4072" w:rsidP="00CC0505">
      <w:pPr>
        <w:widowControl w:val="0"/>
        <w:pBdr>
          <w:top w:val="nil"/>
          <w:left w:val="nil"/>
          <w:bottom w:val="nil"/>
          <w:right w:val="nil"/>
          <w:between w:val="nil"/>
        </w:pBdr>
        <w:spacing w:before="200" w:after="200"/>
        <w:jc w:val="both"/>
        <w:rPr>
          <w:i/>
          <w:color w:val="FF0000"/>
          <w:sz w:val="20"/>
          <w:szCs w:val="20"/>
        </w:rPr>
      </w:pPr>
      <w:r>
        <w:rPr>
          <w:i/>
          <w:color w:val="FF0000"/>
          <w:sz w:val="20"/>
          <w:szCs w:val="20"/>
        </w:rPr>
        <w:t>[If in default, describe the situation, penalties, carrying amount of the loan, whether the breach was remedied or the terms of the loans payable renegotiated before the date the financial statements were authorised for issue, etc.]</w:t>
      </w:r>
    </w:p>
    <w:p w14:paraId="1D0112D7"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49 for disclosure of the fair value of each class of other borrowed funds. Interest rate analysis of other borrowed funds is disclosed in Note 41. Information on related party balances is disclosed in Note 51.</w:t>
      </w:r>
    </w:p>
    <w:p w14:paraId="4D3C8F6E" w14:textId="77777777" w:rsidR="00D83E33" w:rsidRDefault="00BC4072" w:rsidP="001B330E">
      <w:pPr>
        <w:pStyle w:val="Heading1"/>
        <w:pageBreakBefore/>
      </w:pPr>
      <w:bookmarkStart w:id="83" w:name="_Toc179196027"/>
      <w:r>
        <w:lastRenderedPageBreak/>
        <w:t>Provisions for Liabilities and Charges</w:t>
      </w:r>
      <w:bookmarkEnd w:id="83"/>
      <w:r>
        <w:t xml:space="preserve"> </w:t>
      </w:r>
    </w:p>
    <w:p w14:paraId="27575A2F" w14:textId="77777777" w:rsidR="00D83E33" w:rsidRDefault="00BC4072">
      <w:pPr>
        <w:widowControl w:val="0"/>
        <w:pBdr>
          <w:top w:val="nil"/>
          <w:left w:val="nil"/>
          <w:bottom w:val="nil"/>
          <w:right w:val="nil"/>
          <w:between w:val="nil"/>
        </w:pBdr>
        <w:spacing w:before="200" w:after="200"/>
        <w:jc w:val="both"/>
        <w:rPr>
          <w:color w:val="000000"/>
          <w:sz w:val="20"/>
          <w:szCs w:val="20"/>
        </w:rPr>
      </w:pPr>
      <w:bookmarkStart w:id="84" w:name="_heading=h.2grqrue" w:colFirst="0" w:colLast="0"/>
      <w:bookmarkEnd w:id="84"/>
      <w:r>
        <w:rPr>
          <w:color w:val="000000"/>
          <w:sz w:val="20"/>
          <w:szCs w:val="20"/>
        </w:rPr>
        <w:t>Movements in provisions for liabilities and charges are as follows:</w:t>
      </w:r>
    </w:p>
    <w:tbl>
      <w:tblPr>
        <w:tblStyle w:val="afffffffffff6"/>
        <w:tblW w:w="5000" w:type="pct"/>
        <w:tblLayout w:type="fixed"/>
        <w:tblLook w:val="0000" w:firstRow="0" w:lastRow="0" w:firstColumn="0" w:lastColumn="0" w:noHBand="0" w:noVBand="0"/>
      </w:tblPr>
      <w:tblGrid>
        <w:gridCol w:w="4936"/>
        <w:gridCol w:w="681"/>
        <w:gridCol w:w="1248"/>
        <w:gridCol w:w="1248"/>
        <w:gridCol w:w="1242"/>
      </w:tblGrid>
      <w:tr w:rsidR="00D83E33" w:rsidRPr="00EA10CF" w14:paraId="27CED81A" w14:textId="77777777" w:rsidTr="001B330E">
        <w:trPr>
          <w:trHeight w:val="23"/>
        </w:trPr>
        <w:tc>
          <w:tcPr>
            <w:tcW w:w="2638" w:type="pct"/>
            <w:tcBorders>
              <w:bottom w:val="single" w:sz="4" w:space="0" w:color="000000"/>
            </w:tcBorders>
            <w:vAlign w:val="bottom"/>
          </w:tcPr>
          <w:p w14:paraId="5D2B9424" w14:textId="622641E3" w:rsidR="00D83E33" w:rsidRPr="00E03E99"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64" w:type="pct"/>
            <w:tcBorders>
              <w:bottom w:val="single" w:sz="4" w:space="0" w:color="000000"/>
            </w:tcBorders>
            <w:vAlign w:val="bottom"/>
          </w:tcPr>
          <w:p w14:paraId="6BDF0576"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w:t>
            </w:r>
          </w:p>
        </w:tc>
        <w:tc>
          <w:tcPr>
            <w:tcW w:w="667" w:type="pct"/>
            <w:tcBorders>
              <w:bottom w:val="single" w:sz="4" w:space="0" w:color="000000"/>
            </w:tcBorders>
            <w:vAlign w:val="bottom"/>
          </w:tcPr>
          <w:p w14:paraId="65E17EA5"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Tax risks</w:t>
            </w:r>
          </w:p>
        </w:tc>
        <w:tc>
          <w:tcPr>
            <w:tcW w:w="667" w:type="pct"/>
            <w:tcBorders>
              <w:bottom w:val="single" w:sz="4" w:space="0" w:color="000000"/>
            </w:tcBorders>
            <w:vAlign w:val="bottom"/>
          </w:tcPr>
          <w:p w14:paraId="16C466AC"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Other</w:t>
            </w:r>
          </w:p>
        </w:tc>
        <w:tc>
          <w:tcPr>
            <w:tcW w:w="664" w:type="pct"/>
            <w:tcBorders>
              <w:bottom w:val="single" w:sz="4" w:space="0" w:color="000000"/>
            </w:tcBorders>
            <w:vAlign w:val="bottom"/>
          </w:tcPr>
          <w:p w14:paraId="07A38916"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Total</w:t>
            </w:r>
          </w:p>
        </w:tc>
      </w:tr>
      <w:tr w:rsidR="00D83E33" w:rsidRPr="00EA10CF" w14:paraId="383A606F" w14:textId="77777777" w:rsidTr="001B330E">
        <w:trPr>
          <w:trHeight w:val="23"/>
        </w:trPr>
        <w:tc>
          <w:tcPr>
            <w:tcW w:w="2638" w:type="pct"/>
            <w:vAlign w:val="bottom"/>
          </w:tcPr>
          <w:p w14:paraId="45451F62" w14:textId="77777777" w:rsidR="00D83E33" w:rsidRPr="00E03E99" w:rsidRDefault="00BC4072" w:rsidP="001B330E">
            <w:pPr>
              <w:widowControl w:val="0"/>
              <w:ind w:left="113" w:hanging="113"/>
              <w:rPr>
                <w:b/>
              </w:rPr>
            </w:pPr>
            <w:r w:rsidRPr="00E03E99">
              <w:rPr>
                <w:b/>
              </w:rPr>
              <w:t> </w:t>
            </w:r>
          </w:p>
        </w:tc>
        <w:tc>
          <w:tcPr>
            <w:tcW w:w="364" w:type="pct"/>
            <w:vAlign w:val="bottom"/>
          </w:tcPr>
          <w:p w14:paraId="07D1C673" w14:textId="77777777" w:rsidR="00D83E33" w:rsidRPr="00EA10CF" w:rsidRDefault="00D83E33">
            <w:pPr>
              <w:widowControl w:val="0"/>
              <w:pBdr>
                <w:top w:val="nil"/>
                <w:left w:val="nil"/>
                <w:bottom w:val="nil"/>
                <w:right w:val="nil"/>
                <w:between w:val="nil"/>
              </w:pBdr>
              <w:jc w:val="center"/>
              <w:rPr>
                <w:color w:val="000000"/>
              </w:rPr>
            </w:pPr>
          </w:p>
        </w:tc>
        <w:tc>
          <w:tcPr>
            <w:tcW w:w="667" w:type="pct"/>
            <w:vAlign w:val="bottom"/>
          </w:tcPr>
          <w:p w14:paraId="15B6E712" w14:textId="77777777" w:rsidR="00D83E33" w:rsidRPr="00EA10CF" w:rsidRDefault="00D83E33">
            <w:pPr>
              <w:widowControl w:val="0"/>
              <w:pBdr>
                <w:top w:val="nil"/>
                <w:left w:val="nil"/>
                <w:bottom w:val="nil"/>
                <w:right w:val="nil"/>
                <w:between w:val="nil"/>
              </w:pBdr>
              <w:jc w:val="right"/>
              <w:rPr>
                <w:b/>
                <w:color w:val="000000"/>
              </w:rPr>
            </w:pPr>
          </w:p>
        </w:tc>
        <w:tc>
          <w:tcPr>
            <w:tcW w:w="667" w:type="pct"/>
            <w:vAlign w:val="bottom"/>
          </w:tcPr>
          <w:p w14:paraId="24CB6758" w14:textId="77777777" w:rsidR="00D83E33" w:rsidRPr="00EA10CF" w:rsidRDefault="00D83E33">
            <w:pPr>
              <w:widowControl w:val="0"/>
              <w:pBdr>
                <w:top w:val="nil"/>
                <w:left w:val="nil"/>
                <w:bottom w:val="nil"/>
                <w:right w:val="nil"/>
                <w:between w:val="nil"/>
              </w:pBdr>
              <w:jc w:val="right"/>
              <w:rPr>
                <w:b/>
                <w:color w:val="000000"/>
              </w:rPr>
            </w:pPr>
          </w:p>
        </w:tc>
        <w:tc>
          <w:tcPr>
            <w:tcW w:w="664" w:type="pct"/>
            <w:vAlign w:val="bottom"/>
          </w:tcPr>
          <w:p w14:paraId="2A487196"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0CB97B3" w14:textId="77777777" w:rsidTr="001B330E">
        <w:trPr>
          <w:trHeight w:val="23"/>
        </w:trPr>
        <w:tc>
          <w:tcPr>
            <w:tcW w:w="2638" w:type="pct"/>
            <w:vAlign w:val="bottom"/>
          </w:tcPr>
          <w:p w14:paraId="32924D1B" w14:textId="2D6C255B" w:rsidR="00D83E33" w:rsidRPr="00E03E99" w:rsidRDefault="00BC4072" w:rsidP="001B330E">
            <w:pPr>
              <w:widowControl w:val="0"/>
              <w:pBdr>
                <w:top w:val="nil"/>
                <w:left w:val="nil"/>
                <w:bottom w:val="nil"/>
                <w:right w:val="nil"/>
                <w:between w:val="nil"/>
              </w:pBdr>
              <w:ind w:left="113" w:hanging="113"/>
              <w:rPr>
                <w:b/>
                <w:color w:val="000000"/>
              </w:rPr>
            </w:pPr>
            <w:r w:rsidRPr="00E03E99">
              <w:rPr>
                <w:b/>
                <w:color w:val="000000"/>
              </w:rPr>
              <w:t xml:space="preserve">Carrying amount at 1 January </w:t>
            </w:r>
            <w:r w:rsidR="00541EBC">
              <w:rPr>
                <w:b/>
                <w:color w:val="000000"/>
              </w:rPr>
              <w:t>2023</w:t>
            </w:r>
          </w:p>
        </w:tc>
        <w:tc>
          <w:tcPr>
            <w:tcW w:w="364" w:type="pct"/>
            <w:vAlign w:val="bottom"/>
          </w:tcPr>
          <w:p w14:paraId="31A4C2ED" w14:textId="77777777" w:rsidR="00D83E33" w:rsidRPr="00EA10CF" w:rsidRDefault="00D83E33">
            <w:pPr>
              <w:widowControl w:val="0"/>
              <w:pBdr>
                <w:top w:val="nil"/>
                <w:left w:val="nil"/>
                <w:bottom w:val="nil"/>
                <w:right w:val="nil"/>
                <w:between w:val="nil"/>
              </w:pBdr>
              <w:jc w:val="center"/>
              <w:rPr>
                <w:color w:val="000000"/>
              </w:rPr>
            </w:pPr>
          </w:p>
        </w:tc>
        <w:tc>
          <w:tcPr>
            <w:tcW w:w="667" w:type="pct"/>
            <w:vAlign w:val="bottom"/>
          </w:tcPr>
          <w:p w14:paraId="18D6C7D4" w14:textId="77777777" w:rsidR="00D83E33" w:rsidRPr="00EA10CF" w:rsidRDefault="00D83E33">
            <w:pPr>
              <w:widowControl w:val="0"/>
              <w:pBdr>
                <w:top w:val="nil"/>
                <w:left w:val="nil"/>
                <w:bottom w:val="nil"/>
                <w:right w:val="nil"/>
                <w:between w:val="nil"/>
              </w:pBdr>
              <w:jc w:val="right"/>
              <w:rPr>
                <w:b/>
                <w:color w:val="000000"/>
              </w:rPr>
            </w:pPr>
          </w:p>
        </w:tc>
        <w:tc>
          <w:tcPr>
            <w:tcW w:w="667" w:type="pct"/>
            <w:vAlign w:val="bottom"/>
          </w:tcPr>
          <w:p w14:paraId="02BCDFAB" w14:textId="77777777" w:rsidR="00D83E33" w:rsidRPr="00EA10CF" w:rsidRDefault="00D83E33">
            <w:pPr>
              <w:widowControl w:val="0"/>
              <w:pBdr>
                <w:top w:val="nil"/>
                <w:left w:val="nil"/>
                <w:bottom w:val="nil"/>
                <w:right w:val="nil"/>
                <w:between w:val="nil"/>
              </w:pBdr>
              <w:jc w:val="right"/>
              <w:rPr>
                <w:b/>
                <w:color w:val="000000"/>
              </w:rPr>
            </w:pPr>
          </w:p>
        </w:tc>
        <w:tc>
          <w:tcPr>
            <w:tcW w:w="664" w:type="pct"/>
            <w:vAlign w:val="bottom"/>
          </w:tcPr>
          <w:p w14:paraId="22DD59D2"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F95C6EE" w14:textId="77777777" w:rsidTr="001B330E">
        <w:trPr>
          <w:trHeight w:val="23"/>
        </w:trPr>
        <w:tc>
          <w:tcPr>
            <w:tcW w:w="2638" w:type="pct"/>
            <w:vAlign w:val="bottom"/>
          </w:tcPr>
          <w:p w14:paraId="3D87604E" w14:textId="77777777" w:rsidR="00D83E33" w:rsidRPr="00E03E99" w:rsidRDefault="00BC4072" w:rsidP="001B330E">
            <w:pPr>
              <w:widowControl w:val="0"/>
              <w:ind w:left="113" w:hanging="113"/>
              <w:rPr>
                <w:b/>
              </w:rPr>
            </w:pPr>
            <w:r w:rsidRPr="00E03E99">
              <w:rPr>
                <w:b/>
              </w:rPr>
              <w:t> </w:t>
            </w:r>
          </w:p>
        </w:tc>
        <w:tc>
          <w:tcPr>
            <w:tcW w:w="364" w:type="pct"/>
            <w:vAlign w:val="bottom"/>
          </w:tcPr>
          <w:p w14:paraId="0D86659C" w14:textId="77777777" w:rsidR="00D83E33" w:rsidRPr="00EA10CF" w:rsidRDefault="00D83E33">
            <w:pPr>
              <w:widowControl w:val="0"/>
              <w:pBdr>
                <w:top w:val="nil"/>
                <w:left w:val="nil"/>
                <w:bottom w:val="nil"/>
                <w:right w:val="nil"/>
                <w:between w:val="nil"/>
              </w:pBdr>
              <w:jc w:val="center"/>
              <w:rPr>
                <w:color w:val="000000"/>
              </w:rPr>
            </w:pPr>
          </w:p>
        </w:tc>
        <w:tc>
          <w:tcPr>
            <w:tcW w:w="667" w:type="pct"/>
            <w:vAlign w:val="bottom"/>
          </w:tcPr>
          <w:p w14:paraId="77F4B9E8"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028CE7E1" w14:textId="77777777" w:rsidR="00D83E33" w:rsidRPr="00EA10CF" w:rsidRDefault="00D83E33">
            <w:pPr>
              <w:widowControl w:val="0"/>
              <w:pBdr>
                <w:top w:val="nil"/>
                <w:left w:val="nil"/>
                <w:bottom w:val="nil"/>
                <w:right w:val="nil"/>
                <w:between w:val="nil"/>
              </w:pBdr>
              <w:jc w:val="right"/>
              <w:rPr>
                <w:color w:val="000000"/>
              </w:rPr>
            </w:pPr>
          </w:p>
        </w:tc>
        <w:tc>
          <w:tcPr>
            <w:tcW w:w="664" w:type="pct"/>
            <w:vAlign w:val="bottom"/>
          </w:tcPr>
          <w:p w14:paraId="72A85A1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911D819" w14:textId="77777777" w:rsidTr="001B330E">
        <w:trPr>
          <w:trHeight w:val="23"/>
        </w:trPr>
        <w:tc>
          <w:tcPr>
            <w:tcW w:w="2638" w:type="pct"/>
            <w:vAlign w:val="bottom"/>
          </w:tcPr>
          <w:p w14:paraId="6FFD7272"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 xml:space="preserve">Additions charged to profit or loss </w:t>
            </w:r>
          </w:p>
        </w:tc>
        <w:tc>
          <w:tcPr>
            <w:tcW w:w="364" w:type="pct"/>
            <w:vAlign w:val="bottom"/>
          </w:tcPr>
          <w:p w14:paraId="691C8562" w14:textId="77777777" w:rsidR="00D83E33" w:rsidRPr="00EA10CF" w:rsidRDefault="00BC4072">
            <w:pPr>
              <w:widowControl w:val="0"/>
              <w:pBdr>
                <w:top w:val="nil"/>
                <w:left w:val="nil"/>
                <w:bottom w:val="nil"/>
                <w:right w:val="nil"/>
                <w:between w:val="nil"/>
              </w:pBdr>
              <w:jc w:val="center"/>
              <w:rPr>
                <w:color w:val="000000"/>
              </w:rPr>
            </w:pPr>
            <w:r w:rsidRPr="00EA10CF">
              <w:rPr>
                <w:color w:val="000000"/>
              </w:rPr>
              <w:t>35</w:t>
            </w:r>
          </w:p>
        </w:tc>
        <w:tc>
          <w:tcPr>
            <w:tcW w:w="667" w:type="pct"/>
            <w:vAlign w:val="bottom"/>
          </w:tcPr>
          <w:p w14:paraId="0635F81E"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5F7C3F82" w14:textId="77777777" w:rsidR="00D83E33" w:rsidRPr="00EA10CF" w:rsidRDefault="00D83E33">
            <w:pPr>
              <w:widowControl w:val="0"/>
              <w:pBdr>
                <w:top w:val="nil"/>
                <w:left w:val="nil"/>
                <w:bottom w:val="nil"/>
                <w:right w:val="nil"/>
                <w:between w:val="nil"/>
              </w:pBdr>
              <w:jc w:val="right"/>
              <w:rPr>
                <w:color w:val="000000"/>
              </w:rPr>
            </w:pPr>
          </w:p>
        </w:tc>
        <w:tc>
          <w:tcPr>
            <w:tcW w:w="664" w:type="pct"/>
            <w:vAlign w:val="bottom"/>
          </w:tcPr>
          <w:p w14:paraId="3C9D494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F5C195B" w14:textId="77777777" w:rsidTr="001B330E">
        <w:trPr>
          <w:trHeight w:val="23"/>
        </w:trPr>
        <w:tc>
          <w:tcPr>
            <w:tcW w:w="2638" w:type="pct"/>
            <w:vAlign w:val="bottom"/>
          </w:tcPr>
          <w:p w14:paraId="3C9C4213"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Additions through business combinations</w:t>
            </w:r>
          </w:p>
        </w:tc>
        <w:tc>
          <w:tcPr>
            <w:tcW w:w="364" w:type="pct"/>
            <w:vAlign w:val="bottom"/>
          </w:tcPr>
          <w:p w14:paraId="519FAAA5" w14:textId="77777777" w:rsidR="00D83E33" w:rsidRPr="00EA10CF" w:rsidRDefault="00BC4072">
            <w:pPr>
              <w:widowControl w:val="0"/>
              <w:pBdr>
                <w:top w:val="nil"/>
                <w:left w:val="nil"/>
                <w:bottom w:val="nil"/>
                <w:right w:val="nil"/>
                <w:between w:val="nil"/>
              </w:pBdr>
              <w:jc w:val="center"/>
              <w:rPr>
                <w:color w:val="000000"/>
              </w:rPr>
            </w:pPr>
            <w:r w:rsidRPr="00EA10CF">
              <w:rPr>
                <w:color w:val="000000"/>
              </w:rPr>
              <w:t>52</w:t>
            </w:r>
          </w:p>
        </w:tc>
        <w:tc>
          <w:tcPr>
            <w:tcW w:w="667" w:type="pct"/>
            <w:vAlign w:val="bottom"/>
          </w:tcPr>
          <w:p w14:paraId="75624A50"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56C9DF1D" w14:textId="77777777" w:rsidR="00D83E33" w:rsidRPr="00EA10CF" w:rsidRDefault="00D83E33">
            <w:pPr>
              <w:widowControl w:val="0"/>
              <w:pBdr>
                <w:top w:val="nil"/>
                <w:left w:val="nil"/>
                <w:bottom w:val="nil"/>
                <w:right w:val="nil"/>
                <w:between w:val="nil"/>
              </w:pBdr>
              <w:jc w:val="right"/>
              <w:rPr>
                <w:color w:val="000000"/>
              </w:rPr>
            </w:pPr>
          </w:p>
        </w:tc>
        <w:tc>
          <w:tcPr>
            <w:tcW w:w="664" w:type="pct"/>
            <w:vAlign w:val="bottom"/>
          </w:tcPr>
          <w:p w14:paraId="198145B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C5B6F84" w14:textId="77777777" w:rsidTr="001B330E">
        <w:trPr>
          <w:trHeight w:val="23"/>
        </w:trPr>
        <w:tc>
          <w:tcPr>
            <w:tcW w:w="2638" w:type="pct"/>
            <w:vAlign w:val="bottom"/>
          </w:tcPr>
          <w:p w14:paraId="5B458169"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Utilisation of provision</w:t>
            </w:r>
          </w:p>
        </w:tc>
        <w:tc>
          <w:tcPr>
            <w:tcW w:w="364" w:type="pct"/>
            <w:vAlign w:val="bottom"/>
          </w:tcPr>
          <w:p w14:paraId="148292AE" w14:textId="77777777" w:rsidR="00D83E33" w:rsidRPr="00EA10CF" w:rsidRDefault="00D83E33">
            <w:pPr>
              <w:widowControl w:val="0"/>
              <w:pBdr>
                <w:top w:val="nil"/>
                <w:left w:val="nil"/>
                <w:bottom w:val="nil"/>
                <w:right w:val="nil"/>
                <w:between w:val="nil"/>
              </w:pBdr>
              <w:jc w:val="center"/>
              <w:rPr>
                <w:color w:val="000000"/>
              </w:rPr>
            </w:pPr>
          </w:p>
        </w:tc>
        <w:tc>
          <w:tcPr>
            <w:tcW w:w="667" w:type="pct"/>
            <w:vAlign w:val="bottom"/>
          </w:tcPr>
          <w:p w14:paraId="7041E883"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2B81D87C" w14:textId="77777777" w:rsidR="00D83E33" w:rsidRPr="00EA10CF" w:rsidRDefault="00D83E33">
            <w:pPr>
              <w:widowControl w:val="0"/>
              <w:pBdr>
                <w:top w:val="nil"/>
                <w:left w:val="nil"/>
                <w:bottom w:val="nil"/>
                <w:right w:val="nil"/>
                <w:between w:val="nil"/>
              </w:pBdr>
              <w:jc w:val="right"/>
              <w:rPr>
                <w:color w:val="000000"/>
              </w:rPr>
            </w:pPr>
          </w:p>
        </w:tc>
        <w:tc>
          <w:tcPr>
            <w:tcW w:w="664" w:type="pct"/>
            <w:vAlign w:val="bottom"/>
          </w:tcPr>
          <w:p w14:paraId="2F5AE04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8C1B9CB" w14:textId="77777777" w:rsidTr="001B330E">
        <w:trPr>
          <w:trHeight w:val="23"/>
        </w:trPr>
        <w:tc>
          <w:tcPr>
            <w:tcW w:w="2638" w:type="pct"/>
            <w:vAlign w:val="bottom"/>
          </w:tcPr>
          <w:p w14:paraId="6AD205B9"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Unwinding of the present value discount and effect of changes in discount rates</w:t>
            </w:r>
          </w:p>
        </w:tc>
        <w:tc>
          <w:tcPr>
            <w:tcW w:w="364" w:type="pct"/>
            <w:vAlign w:val="bottom"/>
          </w:tcPr>
          <w:p w14:paraId="16328431" w14:textId="77777777" w:rsidR="00D83E33" w:rsidRPr="00EA10CF" w:rsidRDefault="00D83E33">
            <w:pPr>
              <w:widowControl w:val="0"/>
              <w:pBdr>
                <w:top w:val="nil"/>
                <w:left w:val="nil"/>
                <w:bottom w:val="nil"/>
                <w:right w:val="nil"/>
                <w:between w:val="nil"/>
              </w:pBdr>
              <w:jc w:val="center"/>
              <w:rPr>
                <w:color w:val="000000"/>
              </w:rPr>
            </w:pPr>
          </w:p>
        </w:tc>
        <w:tc>
          <w:tcPr>
            <w:tcW w:w="667" w:type="pct"/>
            <w:vAlign w:val="bottom"/>
          </w:tcPr>
          <w:p w14:paraId="2B061A8D"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24356964" w14:textId="77777777" w:rsidR="00D83E33" w:rsidRPr="00EA10CF" w:rsidRDefault="00D83E33">
            <w:pPr>
              <w:widowControl w:val="0"/>
              <w:pBdr>
                <w:top w:val="nil"/>
                <w:left w:val="nil"/>
                <w:bottom w:val="nil"/>
                <w:right w:val="nil"/>
                <w:between w:val="nil"/>
              </w:pBdr>
              <w:jc w:val="right"/>
              <w:rPr>
                <w:color w:val="000000"/>
              </w:rPr>
            </w:pPr>
          </w:p>
        </w:tc>
        <w:tc>
          <w:tcPr>
            <w:tcW w:w="664" w:type="pct"/>
            <w:vAlign w:val="bottom"/>
          </w:tcPr>
          <w:p w14:paraId="3018F6D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871DF77" w14:textId="77777777" w:rsidTr="001B330E">
        <w:trPr>
          <w:trHeight w:val="23"/>
        </w:trPr>
        <w:tc>
          <w:tcPr>
            <w:tcW w:w="2638" w:type="pct"/>
            <w:vAlign w:val="bottom"/>
          </w:tcPr>
          <w:p w14:paraId="4B0182FA" w14:textId="77777777" w:rsidR="00D83E33" w:rsidRPr="00E03E99" w:rsidRDefault="00BC4072" w:rsidP="001B330E">
            <w:pPr>
              <w:widowControl w:val="0"/>
              <w:pBdr>
                <w:top w:val="nil"/>
                <w:left w:val="nil"/>
                <w:bottom w:val="nil"/>
                <w:right w:val="nil"/>
                <w:between w:val="nil"/>
              </w:pBdr>
              <w:ind w:left="113" w:hanging="113"/>
              <w:rPr>
                <w:color w:val="000000"/>
              </w:rPr>
            </w:pPr>
            <w:r w:rsidRPr="00E03E99">
              <w:rPr>
                <w:color w:val="000000"/>
              </w:rPr>
              <w:t>Unused amounts reversed</w:t>
            </w:r>
          </w:p>
        </w:tc>
        <w:tc>
          <w:tcPr>
            <w:tcW w:w="364" w:type="pct"/>
            <w:vAlign w:val="bottom"/>
          </w:tcPr>
          <w:p w14:paraId="140A8FAF" w14:textId="77777777" w:rsidR="00D83E33" w:rsidRPr="00EA10CF" w:rsidRDefault="00BC4072">
            <w:pPr>
              <w:widowControl w:val="0"/>
              <w:pBdr>
                <w:top w:val="nil"/>
                <w:left w:val="nil"/>
                <w:bottom w:val="nil"/>
                <w:right w:val="nil"/>
                <w:between w:val="nil"/>
              </w:pBdr>
              <w:jc w:val="center"/>
              <w:rPr>
                <w:color w:val="000000"/>
              </w:rPr>
            </w:pPr>
            <w:r w:rsidRPr="00EA10CF">
              <w:rPr>
                <w:color w:val="000000"/>
              </w:rPr>
              <w:t>35</w:t>
            </w:r>
          </w:p>
        </w:tc>
        <w:tc>
          <w:tcPr>
            <w:tcW w:w="667" w:type="pct"/>
            <w:vAlign w:val="bottom"/>
          </w:tcPr>
          <w:p w14:paraId="7436DE66"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77FEE73D" w14:textId="77777777" w:rsidR="00D83E33" w:rsidRPr="00EA10CF" w:rsidRDefault="00D83E33">
            <w:pPr>
              <w:widowControl w:val="0"/>
              <w:pBdr>
                <w:top w:val="nil"/>
                <w:left w:val="nil"/>
                <w:bottom w:val="nil"/>
                <w:right w:val="nil"/>
                <w:between w:val="nil"/>
              </w:pBdr>
              <w:jc w:val="right"/>
              <w:rPr>
                <w:color w:val="000000"/>
              </w:rPr>
            </w:pPr>
          </w:p>
        </w:tc>
        <w:tc>
          <w:tcPr>
            <w:tcW w:w="664" w:type="pct"/>
            <w:vAlign w:val="bottom"/>
          </w:tcPr>
          <w:p w14:paraId="08F9F67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4B34F76" w14:textId="77777777" w:rsidTr="001B330E">
        <w:trPr>
          <w:trHeight w:val="23"/>
        </w:trPr>
        <w:tc>
          <w:tcPr>
            <w:tcW w:w="2638" w:type="pct"/>
            <w:vAlign w:val="bottom"/>
          </w:tcPr>
          <w:p w14:paraId="4396D210" w14:textId="77777777" w:rsidR="00D83E33" w:rsidRPr="00E03E99" w:rsidRDefault="00BC4072" w:rsidP="001B330E">
            <w:pPr>
              <w:widowControl w:val="0"/>
              <w:pBdr>
                <w:top w:val="nil"/>
                <w:left w:val="nil"/>
                <w:bottom w:val="nil"/>
                <w:right w:val="nil"/>
                <w:between w:val="nil"/>
              </w:pBdr>
              <w:ind w:left="113" w:hanging="113"/>
              <w:rPr>
                <w:color w:val="0000FF"/>
              </w:rPr>
            </w:pPr>
            <w:r w:rsidRPr="00E03E99">
              <w:rPr>
                <w:color w:val="0000FF"/>
              </w:rPr>
              <w:t>[Effect of translation to presentation currency]</w:t>
            </w:r>
          </w:p>
        </w:tc>
        <w:tc>
          <w:tcPr>
            <w:tcW w:w="364" w:type="pct"/>
            <w:vAlign w:val="bottom"/>
          </w:tcPr>
          <w:p w14:paraId="0C059724" w14:textId="77777777" w:rsidR="00D83E33" w:rsidRPr="00EA10CF" w:rsidRDefault="00D83E33">
            <w:pPr>
              <w:widowControl w:val="0"/>
              <w:pBdr>
                <w:top w:val="nil"/>
                <w:left w:val="nil"/>
                <w:bottom w:val="nil"/>
                <w:right w:val="nil"/>
                <w:between w:val="nil"/>
              </w:pBdr>
              <w:jc w:val="center"/>
              <w:rPr>
                <w:color w:val="000000"/>
              </w:rPr>
            </w:pPr>
          </w:p>
        </w:tc>
        <w:tc>
          <w:tcPr>
            <w:tcW w:w="667" w:type="pct"/>
            <w:vAlign w:val="bottom"/>
          </w:tcPr>
          <w:p w14:paraId="4D840610"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5CE96050" w14:textId="77777777" w:rsidR="00D83E33" w:rsidRPr="00EA10CF" w:rsidRDefault="00D83E33">
            <w:pPr>
              <w:widowControl w:val="0"/>
              <w:pBdr>
                <w:top w:val="nil"/>
                <w:left w:val="nil"/>
                <w:bottom w:val="nil"/>
                <w:right w:val="nil"/>
                <w:between w:val="nil"/>
              </w:pBdr>
              <w:jc w:val="right"/>
              <w:rPr>
                <w:color w:val="000000"/>
              </w:rPr>
            </w:pPr>
          </w:p>
        </w:tc>
        <w:tc>
          <w:tcPr>
            <w:tcW w:w="664" w:type="pct"/>
            <w:vAlign w:val="bottom"/>
          </w:tcPr>
          <w:p w14:paraId="0020C85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7F00608" w14:textId="77777777" w:rsidTr="001B330E">
        <w:trPr>
          <w:trHeight w:val="23"/>
        </w:trPr>
        <w:tc>
          <w:tcPr>
            <w:tcW w:w="2638" w:type="pct"/>
            <w:tcBorders>
              <w:bottom w:val="single" w:sz="4" w:space="0" w:color="000000"/>
            </w:tcBorders>
            <w:vAlign w:val="bottom"/>
          </w:tcPr>
          <w:p w14:paraId="6DFC13C5" w14:textId="77777777" w:rsidR="00D83E33" w:rsidRPr="00E03E99" w:rsidRDefault="00D83E33" w:rsidP="001B330E">
            <w:pPr>
              <w:widowControl w:val="0"/>
              <w:pBdr>
                <w:top w:val="nil"/>
                <w:left w:val="nil"/>
                <w:bottom w:val="nil"/>
                <w:right w:val="nil"/>
                <w:between w:val="nil"/>
              </w:pBdr>
              <w:ind w:left="113" w:hanging="113"/>
              <w:rPr>
                <w:color w:val="0000FF"/>
              </w:rPr>
            </w:pPr>
          </w:p>
        </w:tc>
        <w:tc>
          <w:tcPr>
            <w:tcW w:w="364" w:type="pct"/>
            <w:tcBorders>
              <w:bottom w:val="single" w:sz="4" w:space="0" w:color="000000"/>
            </w:tcBorders>
            <w:vAlign w:val="bottom"/>
          </w:tcPr>
          <w:p w14:paraId="7A8F53BA" w14:textId="77777777" w:rsidR="00D83E33" w:rsidRPr="00EA10CF" w:rsidRDefault="00D83E33">
            <w:pPr>
              <w:widowControl w:val="0"/>
              <w:pBdr>
                <w:top w:val="nil"/>
                <w:left w:val="nil"/>
                <w:bottom w:val="nil"/>
                <w:right w:val="nil"/>
                <w:between w:val="nil"/>
              </w:pBdr>
              <w:jc w:val="center"/>
              <w:rPr>
                <w:color w:val="000000"/>
              </w:rPr>
            </w:pPr>
          </w:p>
        </w:tc>
        <w:tc>
          <w:tcPr>
            <w:tcW w:w="667" w:type="pct"/>
            <w:tcBorders>
              <w:bottom w:val="single" w:sz="4" w:space="0" w:color="000000"/>
            </w:tcBorders>
            <w:vAlign w:val="bottom"/>
          </w:tcPr>
          <w:p w14:paraId="678BF47D" w14:textId="77777777" w:rsidR="00D83E33" w:rsidRPr="00EA10CF" w:rsidRDefault="00D83E33">
            <w:pPr>
              <w:widowControl w:val="0"/>
              <w:pBdr>
                <w:top w:val="nil"/>
                <w:left w:val="nil"/>
                <w:bottom w:val="nil"/>
                <w:right w:val="nil"/>
                <w:between w:val="nil"/>
              </w:pBdr>
              <w:jc w:val="right"/>
              <w:rPr>
                <w:color w:val="000000"/>
              </w:rPr>
            </w:pPr>
          </w:p>
        </w:tc>
        <w:tc>
          <w:tcPr>
            <w:tcW w:w="667" w:type="pct"/>
            <w:tcBorders>
              <w:bottom w:val="single" w:sz="4" w:space="0" w:color="000000"/>
            </w:tcBorders>
            <w:vAlign w:val="bottom"/>
          </w:tcPr>
          <w:p w14:paraId="7F2F4B3A" w14:textId="77777777" w:rsidR="00D83E33" w:rsidRPr="00EA10CF" w:rsidRDefault="00D83E33">
            <w:pPr>
              <w:widowControl w:val="0"/>
              <w:pBdr>
                <w:top w:val="nil"/>
                <w:left w:val="nil"/>
                <w:bottom w:val="nil"/>
                <w:right w:val="nil"/>
                <w:between w:val="nil"/>
              </w:pBdr>
              <w:jc w:val="right"/>
              <w:rPr>
                <w:color w:val="000000"/>
              </w:rPr>
            </w:pPr>
          </w:p>
        </w:tc>
        <w:tc>
          <w:tcPr>
            <w:tcW w:w="664" w:type="pct"/>
            <w:tcBorders>
              <w:bottom w:val="single" w:sz="4" w:space="0" w:color="000000"/>
            </w:tcBorders>
            <w:vAlign w:val="bottom"/>
          </w:tcPr>
          <w:p w14:paraId="5465FEE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AD905AA" w14:textId="77777777" w:rsidTr="001B330E">
        <w:trPr>
          <w:trHeight w:val="23"/>
        </w:trPr>
        <w:tc>
          <w:tcPr>
            <w:tcW w:w="2638" w:type="pct"/>
            <w:tcBorders>
              <w:top w:val="single" w:sz="4" w:space="0" w:color="000000"/>
            </w:tcBorders>
            <w:vAlign w:val="bottom"/>
          </w:tcPr>
          <w:p w14:paraId="7E244A41" w14:textId="77777777" w:rsidR="00D83E33" w:rsidRPr="00E03E99" w:rsidRDefault="00BC4072" w:rsidP="001B330E">
            <w:pPr>
              <w:widowControl w:val="0"/>
              <w:ind w:left="113" w:hanging="113"/>
              <w:rPr>
                <w:b/>
              </w:rPr>
            </w:pPr>
            <w:r w:rsidRPr="00E03E99">
              <w:rPr>
                <w:b/>
              </w:rPr>
              <w:t> </w:t>
            </w:r>
          </w:p>
        </w:tc>
        <w:tc>
          <w:tcPr>
            <w:tcW w:w="364" w:type="pct"/>
            <w:tcBorders>
              <w:top w:val="single" w:sz="4" w:space="0" w:color="000000"/>
            </w:tcBorders>
            <w:vAlign w:val="bottom"/>
          </w:tcPr>
          <w:p w14:paraId="5141884A" w14:textId="77777777" w:rsidR="00D83E33" w:rsidRPr="00EA10CF" w:rsidRDefault="00D83E33">
            <w:pPr>
              <w:widowControl w:val="0"/>
              <w:pBdr>
                <w:top w:val="nil"/>
                <w:left w:val="nil"/>
                <w:bottom w:val="nil"/>
                <w:right w:val="nil"/>
                <w:between w:val="nil"/>
              </w:pBdr>
              <w:jc w:val="center"/>
              <w:rPr>
                <w:color w:val="000000"/>
              </w:rPr>
            </w:pPr>
          </w:p>
        </w:tc>
        <w:tc>
          <w:tcPr>
            <w:tcW w:w="667" w:type="pct"/>
            <w:tcBorders>
              <w:top w:val="single" w:sz="4" w:space="0" w:color="000000"/>
            </w:tcBorders>
            <w:vAlign w:val="bottom"/>
          </w:tcPr>
          <w:p w14:paraId="5A164F48" w14:textId="77777777" w:rsidR="00D83E33" w:rsidRPr="00EA10CF" w:rsidRDefault="00D83E33">
            <w:pPr>
              <w:widowControl w:val="0"/>
              <w:pBdr>
                <w:top w:val="nil"/>
                <w:left w:val="nil"/>
                <w:bottom w:val="nil"/>
                <w:right w:val="nil"/>
                <w:between w:val="nil"/>
              </w:pBdr>
              <w:jc w:val="right"/>
              <w:rPr>
                <w:b/>
                <w:color w:val="000000"/>
              </w:rPr>
            </w:pPr>
          </w:p>
        </w:tc>
        <w:tc>
          <w:tcPr>
            <w:tcW w:w="667" w:type="pct"/>
            <w:tcBorders>
              <w:top w:val="single" w:sz="4" w:space="0" w:color="000000"/>
            </w:tcBorders>
            <w:vAlign w:val="bottom"/>
          </w:tcPr>
          <w:p w14:paraId="24EC532D" w14:textId="77777777" w:rsidR="00D83E33" w:rsidRPr="00EA10CF" w:rsidRDefault="00D83E33">
            <w:pPr>
              <w:widowControl w:val="0"/>
              <w:pBdr>
                <w:top w:val="nil"/>
                <w:left w:val="nil"/>
                <w:bottom w:val="nil"/>
                <w:right w:val="nil"/>
                <w:between w:val="nil"/>
              </w:pBdr>
              <w:jc w:val="right"/>
              <w:rPr>
                <w:b/>
                <w:color w:val="000000"/>
              </w:rPr>
            </w:pPr>
          </w:p>
        </w:tc>
        <w:tc>
          <w:tcPr>
            <w:tcW w:w="664" w:type="pct"/>
            <w:tcBorders>
              <w:top w:val="single" w:sz="4" w:space="0" w:color="000000"/>
            </w:tcBorders>
            <w:vAlign w:val="bottom"/>
          </w:tcPr>
          <w:p w14:paraId="193FACE8"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539DB1B" w14:textId="77777777" w:rsidTr="001B330E">
        <w:trPr>
          <w:trHeight w:val="23"/>
        </w:trPr>
        <w:tc>
          <w:tcPr>
            <w:tcW w:w="2638" w:type="pct"/>
            <w:vAlign w:val="bottom"/>
          </w:tcPr>
          <w:p w14:paraId="32BB2C3E" w14:textId="28E1D6BF" w:rsidR="00D83E33" w:rsidRPr="00E03E99" w:rsidRDefault="00BC4072" w:rsidP="001B330E">
            <w:pPr>
              <w:widowControl w:val="0"/>
              <w:pBdr>
                <w:top w:val="nil"/>
                <w:left w:val="nil"/>
                <w:bottom w:val="nil"/>
                <w:right w:val="nil"/>
                <w:between w:val="nil"/>
              </w:pBdr>
              <w:ind w:left="113" w:hanging="113"/>
              <w:rPr>
                <w:b/>
                <w:color w:val="000000"/>
              </w:rPr>
            </w:pPr>
            <w:r w:rsidRPr="00E03E99">
              <w:rPr>
                <w:b/>
                <w:color w:val="000000"/>
              </w:rPr>
              <w:t>Carrying amount at 31</w:t>
            </w:r>
            <w:r w:rsidR="00181687">
              <w:rPr>
                <w:b/>
                <w:color w:val="000000"/>
              </w:rPr>
              <w:t> December </w:t>
            </w:r>
            <w:r w:rsidR="00541EBC">
              <w:rPr>
                <w:b/>
                <w:color w:val="000000"/>
              </w:rPr>
              <w:t>2024</w:t>
            </w:r>
          </w:p>
        </w:tc>
        <w:tc>
          <w:tcPr>
            <w:tcW w:w="364" w:type="pct"/>
            <w:vAlign w:val="bottom"/>
          </w:tcPr>
          <w:p w14:paraId="519D0610" w14:textId="77777777" w:rsidR="00D83E33" w:rsidRPr="00EA10CF" w:rsidRDefault="00D83E33">
            <w:pPr>
              <w:widowControl w:val="0"/>
              <w:pBdr>
                <w:top w:val="nil"/>
                <w:left w:val="nil"/>
                <w:bottom w:val="nil"/>
                <w:right w:val="nil"/>
                <w:between w:val="nil"/>
              </w:pBdr>
              <w:jc w:val="center"/>
              <w:rPr>
                <w:color w:val="000000"/>
              </w:rPr>
            </w:pPr>
          </w:p>
        </w:tc>
        <w:tc>
          <w:tcPr>
            <w:tcW w:w="667" w:type="pct"/>
            <w:vAlign w:val="bottom"/>
          </w:tcPr>
          <w:p w14:paraId="0FFE6EDB" w14:textId="77777777" w:rsidR="00D83E33" w:rsidRPr="00EA10CF" w:rsidRDefault="00D83E33">
            <w:pPr>
              <w:widowControl w:val="0"/>
              <w:pBdr>
                <w:top w:val="nil"/>
                <w:left w:val="nil"/>
                <w:bottom w:val="nil"/>
                <w:right w:val="nil"/>
                <w:between w:val="nil"/>
              </w:pBdr>
              <w:jc w:val="right"/>
              <w:rPr>
                <w:b/>
                <w:color w:val="000000"/>
              </w:rPr>
            </w:pPr>
          </w:p>
        </w:tc>
        <w:tc>
          <w:tcPr>
            <w:tcW w:w="667" w:type="pct"/>
            <w:vAlign w:val="bottom"/>
          </w:tcPr>
          <w:p w14:paraId="2EEF6F46" w14:textId="77777777" w:rsidR="00D83E33" w:rsidRPr="00EA10CF" w:rsidRDefault="00D83E33">
            <w:pPr>
              <w:widowControl w:val="0"/>
              <w:pBdr>
                <w:top w:val="nil"/>
                <w:left w:val="nil"/>
                <w:bottom w:val="nil"/>
                <w:right w:val="nil"/>
                <w:between w:val="nil"/>
              </w:pBdr>
              <w:jc w:val="right"/>
              <w:rPr>
                <w:b/>
                <w:color w:val="000000"/>
              </w:rPr>
            </w:pPr>
          </w:p>
        </w:tc>
        <w:tc>
          <w:tcPr>
            <w:tcW w:w="664" w:type="pct"/>
            <w:vAlign w:val="bottom"/>
          </w:tcPr>
          <w:p w14:paraId="328C8E3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CE538B7" w14:textId="77777777" w:rsidTr="001B330E">
        <w:trPr>
          <w:trHeight w:val="23"/>
        </w:trPr>
        <w:tc>
          <w:tcPr>
            <w:tcW w:w="2638" w:type="pct"/>
            <w:tcBorders>
              <w:bottom w:val="single" w:sz="12" w:space="0" w:color="000000"/>
            </w:tcBorders>
            <w:vAlign w:val="bottom"/>
          </w:tcPr>
          <w:p w14:paraId="27977AF2" w14:textId="77777777" w:rsidR="00D83E33" w:rsidRPr="00E03E99" w:rsidRDefault="00BC4072" w:rsidP="001B330E">
            <w:pPr>
              <w:widowControl w:val="0"/>
              <w:ind w:left="113" w:hanging="113"/>
              <w:rPr>
                <w:b/>
              </w:rPr>
            </w:pPr>
            <w:r w:rsidRPr="00E03E99">
              <w:rPr>
                <w:b/>
              </w:rPr>
              <w:t> </w:t>
            </w:r>
          </w:p>
        </w:tc>
        <w:tc>
          <w:tcPr>
            <w:tcW w:w="364" w:type="pct"/>
            <w:tcBorders>
              <w:bottom w:val="single" w:sz="12" w:space="0" w:color="000000"/>
            </w:tcBorders>
            <w:vAlign w:val="bottom"/>
          </w:tcPr>
          <w:p w14:paraId="79544B1C" w14:textId="77777777" w:rsidR="00D83E33" w:rsidRPr="00EA10CF" w:rsidRDefault="00D83E33">
            <w:pPr>
              <w:widowControl w:val="0"/>
              <w:pBdr>
                <w:top w:val="nil"/>
                <w:left w:val="nil"/>
                <w:bottom w:val="nil"/>
                <w:right w:val="nil"/>
                <w:between w:val="nil"/>
              </w:pBdr>
              <w:jc w:val="center"/>
              <w:rPr>
                <w:color w:val="000000"/>
              </w:rPr>
            </w:pPr>
          </w:p>
        </w:tc>
        <w:tc>
          <w:tcPr>
            <w:tcW w:w="667" w:type="pct"/>
            <w:tcBorders>
              <w:bottom w:val="single" w:sz="12" w:space="0" w:color="000000"/>
            </w:tcBorders>
            <w:vAlign w:val="bottom"/>
          </w:tcPr>
          <w:p w14:paraId="31D27007" w14:textId="77777777" w:rsidR="00D83E33" w:rsidRPr="00EA10CF" w:rsidRDefault="00D83E33">
            <w:pPr>
              <w:widowControl w:val="0"/>
              <w:pBdr>
                <w:top w:val="nil"/>
                <w:left w:val="nil"/>
                <w:bottom w:val="nil"/>
                <w:right w:val="nil"/>
                <w:between w:val="nil"/>
              </w:pBdr>
              <w:jc w:val="right"/>
              <w:rPr>
                <w:b/>
                <w:color w:val="000000"/>
              </w:rPr>
            </w:pPr>
          </w:p>
        </w:tc>
        <w:tc>
          <w:tcPr>
            <w:tcW w:w="667" w:type="pct"/>
            <w:tcBorders>
              <w:bottom w:val="single" w:sz="12" w:space="0" w:color="000000"/>
            </w:tcBorders>
            <w:vAlign w:val="bottom"/>
          </w:tcPr>
          <w:p w14:paraId="712083F2" w14:textId="77777777" w:rsidR="00D83E33" w:rsidRPr="00EA10CF" w:rsidRDefault="00D83E33">
            <w:pPr>
              <w:widowControl w:val="0"/>
              <w:pBdr>
                <w:top w:val="nil"/>
                <w:left w:val="nil"/>
                <w:bottom w:val="nil"/>
                <w:right w:val="nil"/>
                <w:between w:val="nil"/>
              </w:pBdr>
              <w:jc w:val="right"/>
              <w:rPr>
                <w:b/>
                <w:color w:val="000000"/>
              </w:rPr>
            </w:pPr>
          </w:p>
        </w:tc>
        <w:tc>
          <w:tcPr>
            <w:tcW w:w="664" w:type="pct"/>
            <w:tcBorders>
              <w:bottom w:val="single" w:sz="12" w:space="0" w:color="000000"/>
            </w:tcBorders>
            <w:vAlign w:val="bottom"/>
          </w:tcPr>
          <w:p w14:paraId="0772DF17" w14:textId="77777777" w:rsidR="00D83E33" w:rsidRPr="00EA10CF" w:rsidRDefault="00D83E33">
            <w:pPr>
              <w:widowControl w:val="0"/>
              <w:pBdr>
                <w:top w:val="nil"/>
                <w:left w:val="nil"/>
                <w:bottom w:val="nil"/>
                <w:right w:val="nil"/>
                <w:between w:val="nil"/>
              </w:pBdr>
              <w:jc w:val="right"/>
              <w:rPr>
                <w:b/>
                <w:color w:val="000000"/>
              </w:rPr>
            </w:pPr>
          </w:p>
        </w:tc>
      </w:tr>
    </w:tbl>
    <w:p w14:paraId="6A23994E" w14:textId="06D92D42" w:rsidR="00093671" w:rsidRDefault="00093671" w:rsidP="00093671">
      <w:pPr>
        <w:widowControl w:val="0"/>
        <w:pBdr>
          <w:top w:val="nil"/>
          <w:left w:val="nil"/>
          <w:bottom w:val="nil"/>
          <w:right w:val="nil"/>
          <w:between w:val="nil"/>
        </w:pBdr>
        <w:spacing w:before="200" w:after="200"/>
        <w:jc w:val="both"/>
        <w:rPr>
          <w:i/>
          <w:color w:val="FF0000"/>
          <w:sz w:val="20"/>
          <w:szCs w:val="20"/>
        </w:rPr>
      </w:pPr>
      <w:r w:rsidRPr="00093671">
        <w:rPr>
          <w:b/>
          <w:i/>
          <w:color w:val="0000FF"/>
          <w:sz w:val="20"/>
          <w:szCs w:val="20"/>
        </w:rPr>
        <w:t>[</w:t>
      </w:r>
      <w:r w:rsidRPr="00093671">
        <w:rPr>
          <w:color w:val="0000FF"/>
          <w:sz w:val="20"/>
          <w:szCs w:val="20"/>
        </w:rPr>
        <w:t xml:space="preserve">Provisions for liabilities and charges are non-financial liabilities of uncertain timing or amount. They are accrued when the Group has a present legal or constructive obligation as a result of past events, it is probable that an outflow of resources embodying economic benefits will be required to settle the obligation, and a reliable estimate of the amount of the obligation can be made.] </w:t>
      </w:r>
      <w:r>
        <w:rPr>
          <w:i/>
          <w:color w:val="FF0000"/>
          <w:sz w:val="20"/>
          <w:szCs w:val="20"/>
        </w:rPr>
        <w:t>[Include details of specific accounting policies for significant types of provisions, if relevant.]</w:t>
      </w:r>
    </w:p>
    <w:p w14:paraId="72BD30EE" w14:textId="56BA19CC" w:rsidR="00093671" w:rsidRDefault="00093671" w:rsidP="00093671">
      <w:pPr>
        <w:widowControl w:val="0"/>
        <w:pBdr>
          <w:top w:val="nil"/>
          <w:left w:val="nil"/>
          <w:bottom w:val="nil"/>
          <w:right w:val="nil"/>
          <w:between w:val="nil"/>
        </w:pBdr>
        <w:spacing w:before="200" w:after="200"/>
        <w:jc w:val="both"/>
        <w:rPr>
          <w:i/>
          <w:color w:val="FF0000"/>
          <w:sz w:val="20"/>
          <w:szCs w:val="20"/>
        </w:rPr>
      </w:pPr>
      <w:r w:rsidRPr="00093671">
        <w:rPr>
          <w:color w:val="0000FF"/>
          <w:sz w:val="20"/>
          <w:szCs w:val="20"/>
        </w:rPr>
        <w:t xml:space="preserve">[Levies and charges, such as taxes other than income tax or regulatory fees based on information related to a period before the obligation to pay arises, are recognised as liabilities when the obligating event that gives rise to pay a levy occurs, as identified by the legislation that triggers the obligation to pay the levy. If a levy is paid before the obligating event, it is recognised as a prepayment.] </w:t>
      </w:r>
    </w:p>
    <w:p w14:paraId="67218DEE" w14:textId="1347969D" w:rsidR="00D83E33" w:rsidRDefault="00BC4072">
      <w:pPr>
        <w:widowControl w:val="0"/>
        <w:spacing w:before="200" w:after="200"/>
        <w:jc w:val="both"/>
        <w:rPr>
          <w:color w:val="0000FF"/>
          <w:sz w:val="20"/>
          <w:szCs w:val="20"/>
        </w:rPr>
      </w:pPr>
      <w:r>
        <w:rPr>
          <w:b/>
          <w:i/>
          <w:color w:val="000000"/>
          <w:sz w:val="20"/>
          <w:szCs w:val="20"/>
        </w:rPr>
        <w:t xml:space="preserve">Provision for uncertain </w:t>
      </w:r>
      <w:r>
        <w:rPr>
          <w:i/>
          <w:color w:val="0000FF"/>
          <w:sz w:val="20"/>
          <w:szCs w:val="20"/>
        </w:rPr>
        <w:t>[value added]</w:t>
      </w:r>
      <w:r>
        <w:rPr>
          <w:b/>
          <w:i/>
          <w:color w:val="000000"/>
          <w:sz w:val="20"/>
          <w:szCs w:val="20"/>
        </w:rPr>
        <w:t xml:space="preserve"> tax positions and related penalties and interest. </w:t>
      </w:r>
      <w:r>
        <w:rPr>
          <w:color w:val="000000"/>
          <w:sz w:val="20"/>
          <w:szCs w:val="20"/>
        </w:rPr>
        <w:t xml:space="preserve">The Group has recorded provisions of </w:t>
      </w:r>
      <w:r w:rsidR="00D73799">
        <w:rPr>
          <w:color w:val="000000"/>
          <w:sz w:val="20"/>
          <w:szCs w:val="20"/>
        </w:rPr>
        <w:t>EUR</w:t>
      </w:r>
      <w:r>
        <w:rPr>
          <w:color w:val="000000"/>
          <w:sz w:val="20"/>
          <w:szCs w:val="20"/>
        </w:rPr>
        <w:t xml:space="preserve"> ____ thousand in respect of uncertain </w:t>
      </w:r>
      <w:r>
        <w:rPr>
          <w:color w:val="0000FF"/>
          <w:sz w:val="20"/>
          <w:szCs w:val="20"/>
        </w:rPr>
        <w:t xml:space="preserve">[value added] </w:t>
      </w:r>
      <w:r>
        <w:rPr>
          <w:color w:val="000000"/>
          <w:sz w:val="20"/>
          <w:szCs w:val="20"/>
        </w:rPr>
        <w:t xml:space="preserve">taxes and the related penalties and interest. </w:t>
      </w:r>
      <w:r>
        <w:rPr>
          <w:color w:val="0000FF"/>
          <w:sz w:val="20"/>
          <w:szCs w:val="20"/>
        </w:rPr>
        <w:t xml:space="preserve">[Insert explanation of the </w:t>
      </w:r>
      <w:r>
        <w:rPr>
          <w:color w:val="0000FF"/>
          <w:sz w:val="20"/>
          <w:szCs w:val="20"/>
          <w:u w:val="single"/>
        </w:rPr>
        <w:t xml:space="preserve">specific </w:t>
      </w:r>
      <w:r>
        <w:rPr>
          <w:color w:val="0000FF"/>
          <w:sz w:val="20"/>
          <w:szCs w:val="20"/>
        </w:rPr>
        <w:t>tax matters; separate disclosures for taxes or situations that are different in nature].</w:t>
      </w:r>
      <w:r>
        <w:rPr>
          <w:color w:val="000000"/>
          <w:sz w:val="20"/>
          <w:szCs w:val="20"/>
        </w:rPr>
        <w:t xml:space="preserve"> The balance at 31</w:t>
      </w:r>
      <w:r w:rsidR="00181687">
        <w:rPr>
          <w:color w:val="000000"/>
          <w:sz w:val="20"/>
          <w:szCs w:val="20"/>
        </w:rPr>
        <w:t> December </w:t>
      </w:r>
      <w:r w:rsidR="00541EBC">
        <w:rPr>
          <w:color w:val="000000"/>
          <w:sz w:val="20"/>
          <w:szCs w:val="20"/>
        </w:rPr>
        <w:t>2024</w:t>
      </w:r>
      <w:r>
        <w:rPr>
          <w:color w:val="000000"/>
          <w:sz w:val="20"/>
          <w:szCs w:val="20"/>
        </w:rPr>
        <w:t xml:space="preserve"> is expected to be either fully utilised or released when the inspection rights of the tax authorities with respect to the relevant tax returns expire, as follows: </w:t>
      </w:r>
      <w:r w:rsidR="00D73799">
        <w:rPr>
          <w:color w:val="000000"/>
          <w:sz w:val="20"/>
          <w:szCs w:val="20"/>
        </w:rPr>
        <w:t>EUR</w:t>
      </w:r>
      <w:r>
        <w:rPr>
          <w:color w:val="000000"/>
          <w:sz w:val="20"/>
          <w:szCs w:val="20"/>
        </w:rPr>
        <w:t xml:space="preserve"> ____ thousand by the end of 202</w:t>
      </w:r>
      <w:r w:rsidR="00846D41">
        <w:rPr>
          <w:color w:val="000000"/>
          <w:sz w:val="20"/>
          <w:szCs w:val="20"/>
        </w:rPr>
        <w:t>5</w:t>
      </w:r>
      <w:r>
        <w:rPr>
          <w:color w:val="000000"/>
          <w:sz w:val="20"/>
          <w:szCs w:val="20"/>
        </w:rPr>
        <w:t xml:space="preserve">, </w:t>
      </w:r>
      <w:r w:rsidR="00D73799">
        <w:rPr>
          <w:color w:val="000000"/>
          <w:sz w:val="20"/>
          <w:szCs w:val="20"/>
        </w:rPr>
        <w:t>EUR</w:t>
      </w:r>
      <w:r>
        <w:rPr>
          <w:color w:val="000000"/>
          <w:sz w:val="20"/>
          <w:szCs w:val="20"/>
        </w:rPr>
        <w:t xml:space="preserve"> ____ thousand by the end of 202</w:t>
      </w:r>
      <w:r w:rsidR="00846D41">
        <w:rPr>
          <w:color w:val="000000"/>
          <w:sz w:val="20"/>
          <w:szCs w:val="20"/>
        </w:rPr>
        <w:t>4</w:t>
      </w:r>
      <w:r>
        <w:rPr>
          <w:color w:val="000000"/>
          <w:sz w:val="20"/>
          <w:szCs w:val="20"/>
        </w:rPr>
        <w:t xml:space="preserve"> and </w:t>
      </w:r>
      <w:r w:rsidR="00D73799">
        <w:rPr>
          <w:color w:val="000000"/>
          <w:sz w:val="20"/>
          <w:szCs w:val="20"/>
        </w:rPr>
        <w:t>EUR</w:t>
      </w:r>
      <w:r>
        <w:rPr>
          <w:color w:val="000000"/>
          <w:sz w:val="20"/>
          <w:szCs w:val="20"/>
        </w:rPr>
        <w:t xml:space="preserve"> ____ thousand by the end of </w:t>
      </w:r>
      <w:r w:rsidR="00541EBC">
        <w:rPr>
          <w:color w:val="000000"/>
          <w:sz w:val="20"/>
          <w:szCs w:val="20"/>
        </w:rPr>
        <w:t>2024</w:t>
      </w:r>
      <w:r>
        <w:rPr>
          <w:color w:val="000000"/>
          <w:sz w:val="20"/>
          <w:szCs w:val="20"/>
        </w:rPr>
        <w:t xml:space="preserve">. </w:t>
      </w:r>
      <w:r>
        <w:rPr>
          <w:i/>
          <w:color w:val="FF0000"/>
          <w:sz w:val="20"/>
          <w:szCs w:val="20"/>
        </w:rPr>
        <w:t>[Disclose movements in provisions by class.]</w:t>
      </w:r>
      <w:r>
        <w:rPr>
          <w:color w:val="0000FF"/>
          <w:sz w:val="20"/>
          <w:szCs w:val="20"/>
        </w:rPr>
        <w:t xml:space="preserve"> </w:t>
      </w:r>
      <w:r>
        <w:rPr>
          <w:i/>
          <w:color w:val="FF0000"/>
          <w:sz w:val="20"/>
          <w:szCs w:val="20"/>
        </w:rPr>
        <w:t>[Provide additional disclosure as to the nature of the exposure as appropriate]</w:t>
      </w:r>
    </w:p>
    <w:p w14:paraId="0D4EDAC0" w14:textId="271B1C74"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Other provisions: </w:t>
      </w:r>
      <w:r>
        <w:rPr>
          <w:color w:val="000000"/>
          <w:sz w:val="20"/>
          <w:szCs w:val="20"/>
        </w:rPr>
        <w:t>Other provisions include a provision for certain legal claims brought against the Group by _____ relating to _____. The balance at 31</w:t>
      </w:r>
      <w:r w:rsidR="00181687">
        <w:rPr>
          <w:color w:val="000000"/>
          <w:sz w:val="20"/>
          <w:szCs w:val="20"/>
        </w:rPr>
        <w:t> December </w:t>
      </w:r>
      <w:r w:rsidR="00541EBC">
        <w:rPr>
          <w:color w:val="000000"/>
          <w:sz w:val="20"/>
          <w:szCs w:val="20"/>
        </w:rPr>
        <w:t>2024</w:t>
      </w:r>
      <w:r>
        <w:rPr>
          <w:color w:val="000000"/>
          <w:sz w:val="20"/>
          <w:szCs w:val="20"/>
        </w:rPr>
        <w:t xml:space="preserve"> is expected to be utilised by the end of 20__. In management’s opinion, after taking appropriate legal advice, the outcome of these legal claims will not give rise to any significant loss beyond the accrued amounts. Refer to Note 43.</w:t>
      </w:r>
    </w:p>
    <w:p w14:paraId="65937A4C" w14:textId="77777777" w:rsidR="00E03E99" w:rsidRDefault="00E03E99" w:rsidP="00E03E99">
      <w:pPr>
        <w:widowControl w:val="0"/>
        <w:pBdr>
          <w:top w:val="nil"/>
          <w:left w:val="nil"/>
          <w:bottom w:val="nil"/>
          <w:right w:val="nil"/>
          <w:between w:val="nil"/>
        </w:pBdr>
        <w:spacing w:before="200" w:after="200"/>
        <w:jc w:val="both"/>
        <w:rPr>
          <w:color w:val="000000"/>
          <w:sz w:val="20"/>
          <w:szCs w:val="20"/>
        </w:rPr>
      </w:pPr>
      <w:r>
        <w:rPr>
          <w:color w:val="000000"/>
          <w:sz w:val="20"/>
          <w:szCs w:val="20"/>
        </w:rPr>
        <w:t>Information on related party balances is disclosed in Note 51.</w:t>
      </w:r>
    </w:p>
    <w:p w14:paraId="58BDCFC1" w14:textId="77777777" w:rsidR="00E03E99" w:rsidRPr="002547FE" w:rsidRDefault="00E03E99" w:rsidP="00E03E99">
      <w:pPr>
        <w:pStyle w:val="Heading1"/>
        <w:keepNext w:val="0"/>
        <w:pageBreakBefore/>
      </w:pPr>
      <w:bookmarkStart w:id="85" w:name="_Toc83818329"/>
      <w:bookmarkStart w:id="86" w:name="_Toc83913968"/>
      <w:bookmarkStart w:id="87" w:name="_Toc83917434"/>
      <w:bookmarkStart w:id="88" w:name="_Toc83818330"/>
      <w:bookmarkStart w:id="89" w:name="_Toc83913969"/>
      <w:bookmarkStart w:id="90" w:name="_Toc83917435"/>
      <w:bookmarkStart w:id="91" w:name="_Toc179196028"/>
      <w:bookmarkEnd w:id="85"/>
      <w:bookmarkEnd w:id="86"/>
      <w:bookmarkEnd w:id="87"/>
      <w:bookmarkEnd w:id="88"/>
      <w:bookmarkEnd w:id="89"/>
      <w:bookmarkEnd w:id="90"/>
      <w:r w:rsidRPr="002547FE">
        <w:lastRenderedPageBreak/>
        <w:t>Other Financial Liabilities</w:t>
      </w:r>
      <w:bookmarkEnd w:id="91"/>
    </w:p>
    <w:p w14:paraId="60D175A6" w14:textId="3EB22360" w:rsidR="00D83E33" w:rsidRDefault="00BC4072">
      <w:pPr>
        <w:widowControl w:val="0"/>
        <w:spacing w:before="200" w:after="200"/>
        <w:rPr>
          <w:sz w:val="20"/>
          <w:szCs w:val="20"/>
        </w:rPr>
      </w:pPr>
      <w:r>
        <w:rPr>
          <w:sz w:val="20"/>
          <w:szCs w:val="20"/>
        </w:rPr>
        <w:t>Other financial liabilities comprise the following:</w:t>
      </w:r>
    </w:p>
    <w:tbl>
      <w:tblPr>
        <w:tblStyle w:val="afffffffffff7"/>
        <w:tblW w:w="5000" w:type="pct"/>
        <w:tblLayout w:type="fixed"/>
        <w:tblLook w:val="0000" w:firstRow="0" w:lastRow="0" w:firstColumn="0" w:lastColumn="0" w:noHBand="0" w:noVBand="0"/>
      </w:tblPr>
      <w:tblGrid>
        <w:gridCol w:w="5824"/>
        <w:gridCol w:w="655"/>
        <w:gridCol w:w="1439"/>
        <w:gridCol w:w="1437"/>
      </w:tblGrid>
      <w:tr w:rsidR="00D83E33" w:rsidRPr="00EA10CF" w14:paraId="03D8A518" w14:textId="77777777" w:rsidTr="00093671">
        <w:trPr>
          <w:trHeight w:val="23"/>
        </w:trPr>
        <w:tc>
          <w:tcPr>
            <w:tcW w:w="3113" w:type="pct"/>
            <w:tcBorders>
              <w:bottom w:val="single" w:sz="4" w:space="0" w:color="000000"/>
            </w:tcBorders>
            <w:vAlign w:val="bottom"/>
          </w:tcPr>
          <w:p w14:paraId="5E9B5764" w14:textId="4B734824"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50" w:type="pct"/>
            <w:tcBorders>
              <w:bottom w:val="single" w:sz="4" w:space="0" w:color="000000"/>
            </w:tcBorders>
            <w:vAlign w:val="bottom"/>
          </w:tcPr>
          <w:p w14:paraId="08747B5C"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w:t>
            </w:r>
          </w:p>
        </w:tc>
        <w:tc>
          <w:tcPr>
            <w:tcW w:w="769" w:type="pct"/>
            <w:tcBorders>
              <w:bottom w:val="single" w:sz="4" w:space="0" w:color="000000"/>
            </w:tcBorders>
            <w:vAlign w:val="bottom"/>
          </w:tcPr>
          <w:p w14:paraId="77AD3EB4" w14:textId="561F58D8"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768" w:type="pct"/>
            <w:tcBorders>
              <w:bottom w:val="single" w:sz="4" w:space="0" w:color="000000"/>
            </w:tcBorders>
            <w:vAlign w:val="bottom"/>
          </w:tcPr>
          <w:p w14:paraId="4C4B67C4" w14:textId="0BA033FC"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457B4F9F" w14:textId="77777777" w:rsidTr="00093671">
        <w:trPr>
          <w:trHeight w:val="23"/>
        </w:trPr>
        <w:tc>
          <w:tcPr>
            <w:tcW w:w="3113" w:type="pct"/>
            <w:vAlign w:val="bottom"/>
          </w:tcPr>
          <w:p w14:paraId="294249D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350" w:type="pct"/>
            <w:vAlign w:val="bottom"/>
          </w:tcPr>
          <w:p w14:paraId="6F1842FA" w14:textId="77777777" w:rsidR="00D83E33" w:rsidRPr="00EA10CF" w:rsidRDefault="00D83E33">
            <w:pPr>
              <w:widowControl w:val="0"/>
              <w:jc w:val="center"/>
            </w:pPr>
          </w:p>
        </w:tc>
        <w:tc>
          <w:tcPr>
            <w:tcW w:w="769" w:type="pct"/>
            <w:vAlign w:val="bottom"/>
          </w:tcPr>
          <w:p w14:paraId="10CE6AA8"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59DE6FF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2B8429C" w14:textId="77777777" w:rsidTr="00093671">
        <w:trPr>
          <w:trHeight w:val="23"/>
        </w:trPr>
        <w:tc>
          <w:tcPr>
            <w:tcW w:w="3113" w:type="pct"/>
            <w:vAlign w:val="bottom"/>
          </w:tcPr>
          <w:p w14:paraId="26AA5344"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Other financial liabilities at AC</w:t>
            </w:r>
          </w:p>
        </w:tc>
        <w:tc>
          <w:tcPr>
            <w:tcW w:w="350" w:type="pct"/>
            <w:vAlign w:val="bottom"/>
          </w:tcPr>
          <w:p w14:paraId="6F491CA2" w14:textId="77777777" w:rsidR="00D83E33" w:rsidRPr="00EA10CF" w:rsidRDefault="00D83E33">
            <w:pPr>
              <w:widowControl w:val="0"/>
              <w:jc w:val="center"/>
            </w:pPr>
          </w:p>
        </w:tc>
        <w:tc>
          <w:tcPr>
            <w:tcW w:w="769" w:type="pct"/>
            <w:vAlign w:val="bottom"/>
          </w:tcPr>
          <w:p w14:paraId="62DC7740"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3ED7AA9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C55D39B" w14:textId="77777777" w:rsidTr="00093671">
        <w:trPr>
          <w:trHeight w:val="23"/>
        </w:trPr>
        <w:tc>
          <w:tcPr>
            <w:tcW w:w="3113" w:type="pct"/>
            <w:vAlign w:val="bottom"/>
          </w:tcPr>
          <w:p w14:paraId="21E0601F" w14:textId="77777777" w:rsidR="00D83E33" w:rsidRPr="00EA10CF" w:rsidRDefault="00D83E33" w:rsidP="001B330E">
            <w:pPr>
              <w:widowControl w:val="0"/>
              <w:pBdr>
                <w:top w:val="nil"/>
                <w:left w:val="nil"/>
                <w:bottom w:val="nil"/>
                <w:right w:val="nil"/>
                <w:between w:val="nil"/>
              </w:pBdr>
              <w:ind w:left="113" w:hanging="113"/>
              <w:rPr>
                <w:i/>
                <w:color w:val="000000"/>
              </w:rPr>
            </w:pPr>
          </w:p>
        </w:tc>
        <w:tc>
          <w:tcPr>
            <w:tcW w:w="350" w:type="pct"/>
            <w:vAlign w:val="bottom"/>
          </w:tcPr>
          <w:p w14:paraId="37D44C12" w14:textId="77777777" w:rsidR="00D83E33" w:rsidRPr="00EA10CF" w:rsidRDefault="00D83E33">
            <w:pPr>
              <w:widowControl w:val="0"/>
              <w:jc w:val="center"/>
            </w:pPr>
          </w:p>
        </w:tc>
        <w:tc>
          <w:tcPr>
            <w:tcW w:w="769" w:type="pct"/>
            <w:vAlign w:val="bottom"/>
          </w:tcPr>
          <w:p w14:paraId="66771AF7"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02525A1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783FB24" w14:textId="77777777" w:rsidTr="00093671">
        <w:trPr>
          <w:trHeight w:val="23"/>
        </w:trPr>
        <w:tc>
          <w:tcPr>
            <w:tcW w:w="3113" w:type="pct"/>
            <w:vAlign w:val="bottom"/>
          </w:tcPr>
          <w:p w14:paraId="73A3B93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Trade payables</w:t>
            </w:r>
          </w:p>
        </w:tc>
        <w:tc>
          <w:tcPr>
            <w:tcW w:w="350" w:type="pct"/>
            <w:vAlign w:val="bottom"/>
          </w:tcPr>
          <w:p w14:paraId="6B04CCD7" w14:textId="77777777" w:rsidR="00D83E33" w:rsidRPr="00EA10CF" w:rsidRDefault="00D83E33">
            <w:pPr>
              <w:widowControl w:val="0"/>
              <w:jc w:val="center"/>
            </w:pPr>
          </w:p>
        </w:tc>
        <w:tc>
          <w:tcPr>
            <w:tcW w:w="769" w:type="pct"/>
            <w:vAlign w:val="bottom"/>
          </w:tcPr>
          <w:p w14:paraId="323342ED"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739B4A7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FCC319F" w14:textId="77777777" w:rsidTr="00093671">
        <w:trPr>
          <w:trHeight w:val="23"/>
        </w:trPr>
        <w:tc>
          <w:tcPr>
            <w:tcW w:w="3113" w:type="pct"/>
            <w:vAlign w:val="bottom"/>
          </w:tcPr>
          <w:p w14:paraId="0D465425"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Dividends payable</w:t>
            </w:r>
          </w:p>
        </w:tc>
        <w:tc>
          <w:tcPr>
            <w:tcW w:w="350" w:type="pct"/>
            <w:vAlign w:val="bottom"/>
          </w:tcPr>
          <w:p w14:paraId="5E16CE88" w14:textId="77777777" w:rsidR="00D83E33" w:rsidRPr="00EA10CF" w:rsidRDefault="00BC4072">
            <w:pPr>
              <w:widowControl w:val="0"/>
              <w:jc w:val="center"/>
            </w:pPr>
            <w:r w:rsidRPr="00EA10CF">
              <w:t>37</w:t>
            </w:r>
          </w:p>
        </w:tc>
        <w:tc>
          <w:tcPr>
            <w:tcW w:w="769" w:type="pct"/>
            <w:vAlign w:val="bottom"/>
          </w:tcPr>
          <w:p w14:paraId="2BFE0F00"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4C92337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60A2EC6" w14:textId="77777777" w:rsidTr="00093671">
        <w:trPr>
          <w:trHeight w:val="23"/>
        </w:trPr>
        <w:tc>
          <w:tcPr>
            <w:tcW w:w="3113" w:type="pct"/>
            <w:vAlign w:val="bottom"/>
          </w:tcPr>
          <w:p w14:paraId="779863B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Debit or credit card payables</w:t>
            </w:r>
          </w:p>
        </w:tc>
        <w:tc>
          <w:tcPr>
            <w:tcW w:w="350" w:type="pct"/>
            <w:vAlign w:val="bottom"/>
          </w:tcPr>
          <w:p w14:paraId="2C377F10" w14:textId="77777777" w:rsidR="00D83E33" w:rsidRPr="00EA10CF" w:rsidRDefault="00D83E33">
            <w:pPr>
              <w:widowControl w:val="0"/>
              <w:jc w:val="center"/>
            </w:pPr>
          </w:p>
        </w:tc>
        <w:tc>
          <w:tcPr>
            <w:tcW w:w="769" w:type="pct"/>
            <w:vAlign w:val="bottom"/>
          </w:tcPr>
          <w:p w14:paraId="68125935"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22F542A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0ACB1CC" w14:textId="77777777" w:rsidTr="00093671">
        <w:trPr>
          <w:trHeight w:val="23"/>
        </w:trPr>
        <w:tc>
          <w:tcPr>
            <w:tcW w:w="3113" w:type="pct"/>
            <w:vAlign w:val="bottom"/>
          </w:tcPr>
          <w:p w14:paraId="3FB1275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Settlements on conversion operations</w:t>
            </w:r>
          </w:p>
        </w:tc>
        <w:tc>
          <w:tcPr>
            <w:tcW w:w="350" w:type="pct"/>
            <w:vAlign w:val="bottom"/>
          </w:tcPr>
          <w:p w14:paraId="0A3E098C" w14:textId="77777777" w:rsidR="00D83E33" w:rsidRPr="00EA10CF" w:rsidRDefault="00D83E33">
            <w:pPr>
              <w:widowControl w:val="0"/>
              <w:jc w:val="center"/>
            </w:pPr>
          </w:p>
        </w:tc>
        <w:tc>
          <w:tcPr>
            <w:tcW w:w="769" w:type="pct"/>
            <w:vAlign w:val="bottom"/>
          </w:tcPr>
          <w:p w14:paraId="0900FF67"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0652C71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7F76E15" w14:textId="77777777" w:rsidTr="00093671">
        <w:trPr>
          <w:trHeight w:val="23"/>
        </w:trPr>
        <w:tc>
          <w:tcPr>
            <w:tcW w:w="3113" w:type="pct"/>
            <w:vAlign w:val="bottom"/>
          </w:tcPr>
          <w:p w14:paraId="6C2D9CE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Financial guarantees</w:t>
            </w:r>
          </w:p>
        </w:tc>
        <w:tc>
          <w:tcPr>
            <w:tcW w:w="350" w:type="pct"/>
            <w:vAlign w:val="bottom"/>
          </w:tcPr>
          <w:p w14:paraId="2CEA0452" w14:textId="77777777" w:rsidR="00D83E33" w:rsidRPr="00EA10CF" w:rsidRDefault="00D83E33">
            <w:pPr>
              <w:widowControl w:val="0"/>
              <w:jc w:val="center"/>
            </w:pPr>
          </w:p>
        </w:tc>
        <w:tc>
          <w:tcPr>
            <w:tcW w:w="769" w:type="pct"/>
            <w:vAlign w:val="bottom"/>
          </w:tcPr>
          <w:p w14:paraId="28B4778F"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2E5B848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6D63187" w14:textId="77777777" w:rsidTr="00093671">
        <w:trPr>
          <w:trHeight w:val="23"/>
        </w:trPr>
        <w:tc>
          <w:tcPr>
            <w:tcW w:w="3113" w:type="pct"/>
            <w:vAlign w:val="bottom"/>
          </w:tcPr>
          <w:p w14:paraId="3A46E2F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Loan commitments</w:t>
            </w:r>
          </w:p>
        </w:tc>
        <w:tc>
          <w:tcPr>
            <w:tcW w:w="350" w:type="pct"/>
            <w:vAlign w:val="bottom"/>
          </w:tcPr>
          <w:p w14:paraId="4C7DCE35" w14:textId="77777777" w:rsidR="00D83E33" w:rsidRPr="00EA10CF" w:rsidRDefault="00D83E33">
            <w:pPr>
              <w:widowControl w:val="0"/>
              <w:jc w:val="center"/>
            </w:pPr>
          </w:p>
        </w:tc>
        <w:tc>
          <w:tcPr>
            <w:tcW w:w="769" w:type="pct"/>
            <w:vAlign w:val="bottom"/>
          </w:tcPr>
          <w:p w14:paraId="115CB51A"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2C9C64D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99926D9" w14:textId="77777777" w:rsidTr="00093671">
        <w:trPr>
          <w:trHeight w:val="23"/>
        </w:trPr>
        <w:tc>
          <w:tcPr>
            <w:tcW w:w="3113" w:type="pct"/>
            <w:vAlign w:val="bottom"/>
          </w:tcPr>
          <w:p w14:paraId="6236C735" w14:textId="77777777" w:rsidR="00D83E33" w:rsidRPr="00EA10CF" w:rsidRDefault="00BC4072" w:rsidP="001B330E">
            <w:pPr>
              <w:widowControl w:val="0"/>
              <w:pBdr>
                <w:top w:val="nil"/>
                <w:left w:val="nil"/>
                <w:bottom w:val="nil"/>
                <w:right w:val="nil"/>
                <w:between w:val="nil"/>
              </w:pBdr>
              <w:ind w:left="113" w:hanging="113"/>
              <w:rPr>
                <w:color w:val="000000"/>
              </w:rPr>
            </w:pPr>
            <w:r w:rsidRPr="008808A3">
              <w:rPr>
                <w:color w:val="000000"/>
              </w:rPr>
              <w:t>Performance guarantees</w:t>
            </w:r>
          </w:p>
        </w:tc>
        <w:tc>
          <w:tcPr>
            <w:tcW w:w="350" w:type="pct"/>
            <w:vAlign w:val="bottom"/>
          </w:tcPr>
          <w:p w14:paraId="6A851AD0" w14:textId="77777777" w:rsidR="00D83E33" w:rsidRPr="00EA10CF" w:rsidRDefault="00D83E33">
            <w:pPr>
              <w:widowControl w:val="0"/>
              <w:jc w:val="center"/>
            </w:pPr>
          </w:p>
        </w:tc>
        <w:tc>
          <w:tcPr>
            <w:tcW w:w="769" w:type="pct"/>
            <w:vAlign w:val="bottom"/>
          </w:tcPr>
          <w:p w14:paraId="0F62803F"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50DEACD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B9676C8" w14:textId="77777777" w:rsidTr="00093671">
        <w:trPr>
          <w:trHeight w:val="23"/>
        </w:trPr>
        <w:tc>
          <w:tcPr>
            <w:tcW w:w="3113" w:type="pct"/>
            <w:vAlign w:val="bottom"/>
          </w:tcPr>
          <w:p w14:paraId="5374008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accrued liabilities</w:t>
            </w:r>
          </w:p>
        </w:tc>
        <w:tc>
          <w:tcPr>
            <w:tcW w:w="350" w:type="pct"/>
            <w:vAlign w:val="bottom"/>
          </w:tcPr>
          <w:p w14:paraId="24458055" w14:textId="77777777" w:rsidR="00D83E33" w:rsidRPr="00EA10CF" w:rsidRDefault="00D83E33">
            <w:pPr>
              <w:widowControl w:val="0"/>
              <w:jc w:val="center"/>
            </w:pPr>
          </w:p>
        </w:tc>
        <w:tc>
          <w:tcPr>
            <w:tcW w:w="769" w:type="pct"/>
            <w:vAlign w:val="bottom"/>
          </w:tcPr>
          <w:p w14:paraId="1958FA53"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0587F38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00CD0A5" w14:textId="77777777" w:rsidTr="00093671">
        <w:trPr>
          <w:trHeight w:val="23"/>
        </w:trPr>
        <w:tc>
          <w:tcPr>
            <w:tcW w:w="3113" w:type="pct"/>
            <w:vAlign w:val="bottom"/>
          </w:tcPr>
          <w:p w14:paraId="6657B058" w14:textId="7428C1CE" w:rsidR="00D83E33" w:rsidRPr="00EA10CF" w:rsidRDefault="00D83E33" w:rsidP="001B330E">
            <w:pPr>
              <w:widowControl w:val="0"/>
              <w:pBdr>
                <w:top w:val="nil"/>
                <w:left w:val="nil"/>
                <w:bottom w:val="nil"/>
                <w:right w:val="nil"/>
                <w:between w:val="nil"/>
              </w:pBdr>
              <w:ind w:left="113" w:hanging="113"/>
              <w:rPr>
                <w:i/>
                <w:color w:val="FF0000"/>
              </w:rPr>
            </w:pPr>
          </w:p>
        </w:tc>
        <w:tc>
          <w:tcPr>
            <w:tcW w:w="350" w:type="pct"/>
            <w:vAlign w:val="bottom"/>
          </w:tcPr>
          <w:p w14:paraId="4D150A11" w14:textId="77777777" w:rsidR="00D83E33" w:rsidRPr="00EA10CF" w:rsidRDefault="00D83E33">
            <w:pPr>
              <w:widowControl w:val="0"/>
              <w:jc w:val="center"/>
              <w:rPr>
                <w:i/>
              </w:rPr>
            </w:pPr>
          </w:p>
        </w:tc>
        <w:tc>
          <w:tcPr>
            <w:tcW w:w="769" w:type="pct"/>
            <w:vAlign w:val="bottom"/>
          </w:tcPr>
          <w:p w14:paraId="3B300FCF"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3DDB45A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BB851BD" w14:textId="77777777" w:rsidTr="00093671">
        <w:trPr>
          <w:trHeight w:val="23"/>
        </w:trPr>
        <w:tc>
          <w:tcPr>
            <w:tcW w:w="3113" w:type="pct"/>
            <w:tcBorders>
              <w:bottom w:val="single" w:sz="4" w:space="0" w:color="000000"/>
            </w:tcBorders>
            <w:vAlign w:val="bottom"/>
          </w:tcPr>
          <w:p w14:paraId="26AD18C5" w14:textId="77777777" w:rsidR="00D83E33" w:rsidRPr="00EA10CF" w:rsidRDefault="00D83E33" w:rsidP="001B330E">
            <w:pPr>
              <w:widowControl w:val="0"/>
              <w:pBdr>
                <w:top w:val="nil"/>
                <w:left w:val="nil"/>
                <w:bottom w:val="nil"/>
                <w:right w:val="nil"/>
                <w:between w:val="nil"/>
              </w:pBdr>
              <w:ind w:left="113" w:hanging="113"/>
              <w:rPr>
                <w:i/>
                <w:color w:val="FF0000"/>
              </w:rPr>
            </w:pPr>
          </w:p>
        </w:tc>
        <w:tc>
          <w:tcPr>
            <w:tcW w:w="350" w:type="pct"/>
            <w:tcBorders>
              <w:bottom w:val="single" w:sz="4" w:space="0" w:color="000000"/>
            </w:tcBorders>
            <w:vAlign w:val="bottom"/>
          </w:tcPr>
          <w:p w14:paraId="599BF456" w14:textId="77777777" w:rsidR="00D83E33" w:rsidRPr="00EA10CF" w:rsidRDefault="00D83E33">
            <w:pPr>
              <w:widowControl w:val="0"/>
              <w:jc w:val="center"/>
              <w:rPr>
                <w:i/>
              </w:rPr>
            </w:pPr>
          </w:p>
        </w:tc>
        <w:tc>
          <w:tcPr>
            <w:tcW w:w="769" w:type="pct"/>
            <w:tcBorders>
              <w:bottom w:val="single" w:sz="4" w:space="0" w:color="000000"/>
            </w:tcBorders>
            <w:vAlign w:val="bottom"/>
          </w:tcPr>
          <w:p w14:paraId="4EF97EFA" w14:textId="77777777" w:rsidR="00D83E33" w:rsidRPr="00EA10CF" w:rsidRDefault="00D83E33">
            <w:pPr>
              <w:widowControl w:val="0"/>
              <w:pBdr>
                <w:top w:val="nil"/>
                <w:left w:val="nil"/>
                <w:bottom w:val="nil"/>
                <w:right w:val="nil"/>
                <w:between w:val="nil"/>
              </w:pBdr>
              <w:jc w:val="right"/>
              <w:rPr>
                <w:color w:val="000000"/>
              </w:rPr>
            </w:pPr>
          </w:p>
        </w:tc>
        <w:tc>
          <w:tcPr>
            <w:tcW w:w="768" w:type="pct"/>
            <w:tcBorders>
              <w:bottom w:val="single" w:sz="4" w:space="0" w:color="000000"/>
            </w:tcBorders>
            <w:vAlign w:val="bottom"/>
          </w:tcPr>
          <w:p w14:paraId="548920B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E492373" w14:textId="77777777" w:rsidTr="00093671">
        <w:trPr>
          <w:trHeight w:val="23"/>
        </w:trPr>
        <w:tc>
          <w:tcPr>
            <w:tcW w:w="3113" w:type="pct"/>
            <w:tcBorders>
              <w:top w:val="single" w:sz="4" w:space="0" w:color="000000"/>
            </w:tcBorders>
            <w:vAlign w:val="bottom"/>
          </w:tcPr>
          <w:p w14:paraId="592489EA" w14:textId="77777777" w:rsidR="00D83E33" w:rsidRPr="00EA10CF" w:rsidRDefault="00D83E33" w:rsidP="001B330E">
            <w:pPr>
              <w:widowControl w:val="0"/>
              <w:pBdr>
                <w:top w:val="nil"/>
                <w:left w:val="nil"/>
                <w:bottom w:val="nil"/>
                <w:right w:val="nil"/>
                <w:between w:val="nil"/>
              </w:pBdr>
              <w:ind w:left="113" w:hanging="113"/>
              <w:rPr>
                <w:i/>
                <w:color w:val="000000"/>
              </w:rPr>
            </w:pPr>
          </w:p>
        </w:tc>
        <w:tc>
          <w:tcPr>
            <w:tcW w:w="350" w:type="pct"/>
            <w:tcBorders>
              <w:top w:val="single" w:sz="4" w:space="0" w:color="000000"/>
            </w:tcBorders>
            <w:vAlign w:val="bottom"/>
          </w:tcPr>
          <w:p w14:paraId="69CBB012" w14:textId="77777777" w:rsidR="00D83E33" w:rsidRPr="00EA10CF" w:rsidRDefault="00D83E33">
            <w:pPr>
              <w:widowControl w:val="0"/>
              <w:jc w:val="center"/>
              <w:rPr>
                <w:i/>
              </w:rPr>
            </w:pPr>
          </w:p>
        </w:tc>
        <w:tc>
          <w:tcPr>
            <w:tcW w:w="769" w:type="pct"/>
            <w:tcBorders>
              <w:top w:val="single" w:sz="4" w:space="0" w:color="000000"/>
            </w:tcBorders>
            <w:vAlign w:val="bottom"/>
          </w:tcPr>
          <w:p w14:paraId="462E891E" w14:textId="77777777" w:rsidR="00D83E33" w:rsidRPr="00EA10CF" w:rsidRDefault="00D83E33">
            <w:pPr>
              <w:widowControl w:val="0"/>
              <w:pBdr>
                <w:top w:val="nil"/>
                <w:left w:val="nil"/>
                <w:bottom w:val="nil"/>
                <w:right w:val="nil"/>
                <w:between w:val="nil"/>
              </w:pBdr>
              <w:jc w:val="right"/>
              <w:rPr>
                <w:color w:val="000000"/>
              </w:rPr>
            </w:pPr>
          </w:p>
        </w:tc>
        <w:tc>
          <w:tcPr>
            <w:tcW w:w="768" w:type="pct"/>
            <w:tcBorders>
              <w:top w:val="single" w:sz="4" w:space="0" w:color="000000"/>
            </w:tcBorders>
            <w:vAlign w:val="bottom"/>
          </w:tcPr>
          <w:p w14:paraId="024F10E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A8F5389" w14:textId="77777777" w:rsidTr="00093671">
        <w:trPr>
          <w:trHeight w:val="23"/>
        </w:trPr>
        <w:tc>
          <w:tcPr>
            <w:tcW w:w="3113" w:type="pct"/>
            <w:vAlign w:val="bottom"/>
          </w:tcPr>
          <w:p w14:paraId="46E1B3F8"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color w:val="000000"/>
              </w:rPr>
              <w:t>Total other financial liabilities at AC</w:t>
            </w:r>
          </w:p>
        </w:tc>
        <w:tc>
          <w:tcPr>
            <w:tcW w:w="350" w:type="pct"/>
            <w:vAlign w:val="bottom"/>
          </w:tcPr>
          <w:p w14:paraId="5BC1FC9F" w14:textId="77777777" w:rsidR="00D83E33" w:rsidRPr="00EA10CF" w:rsidRDefault="00D83E33">
            <w:pPr>
              <w:widowControl w:val="0"/>
              <w:jc w:val="center"/>
              <w:rPr>
                <w:i/>
              </w:rPr>
            </w:pPr>
          </w:p>
        </w:tc>
        <w:tc>
          <w:tcPr>
            <w:tcW w:w="769" w:type="pct"/>
            <w:vAlign w:val="bottom"/>
          </w:tcPr>
          <w:p w14:paraId="3C053D33"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3009946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D14D958" w14:textId="77777777" w:rsidTr="00093671">
        <w:trPr>
          <w:trHeight w:val="23"/>
        </w:trPr>
        <w:tc>
          <w:tcPr>
            <w:tcW w:w="3113" w:type="pct"/>
            <w:tcBorders>
              <w:bottom w:val="single" w:sz="4" w:space="0" w:color="000000"/>
            </w:tcBorders>
            <w:vAlign w:val="bottom"/>
          </w:tcPr>
          <w:p w14:paraId="6784B557" w14:textId="77777777" w:rsidR="00D83E33" w:rsidRPr="00EA10CF" w:rsidRDefault="00D83E33" w:rsidP="001B330E">
            <w:pPr>
              <w:widowControl w:val="0"/>
              <w:pBdr>
                <w:top w:val="nil"/>
                <w:left w:val="nil"/>
                <w:bottom w:val="nil"/>
                <w:right w:val="nil"/>
                <w:between w:val="nil"/>
              </w:pBdr>
              <w:ind w:left="113" w:hanging="113"/>
              <w:rPr>
                <w:i/>
                <w:color w:val="000000"/>
              </w:rPr>
            </w:pPr>
          </w:p>
        </w:tc>
        <w:tc>
          <w:tcPr>
            <w:tcW w:w="350" w:type="pct"/>
            <w:tcBorders>
              <w:bottom w:val="single" w:sz="4" w:space="0" w:color="000000"/>
            </w:tcBorders>
            <w:vAlign w:val="bottom"/>
          </w:tcPr>
          <w:p w14:paraId="692DAD22" w14:textId="77777777" w:rsidR="00D83E33" w:rsidRPr="00EA10CF" w:rsidRDefault="00D83E33">
            <w:pPr>
              <w:widowControl w:val="0"/>
              <w:jc w:val="center"/>
              <w:rPr>
                <w:i/>
              </w:rPr>
            </w:pPr>
          </w:p>
        </w:tc>
        <w:tc>
          <w:tcPr>
            <w:tcW w:w="769" w:type="pct"/>
            <w:tcBorders>
              <w:bottom w:val="single" w:sz="4" w:space="0" w:color="000000"/>
            </w:tcBorders>
            <w:vAlign w:val="bottom"/>
          </w:tcPr>
          <w:p w14:paraId="1857EC16" w14:textId="77777777" w:rsidR="00D83E33" w:rsidRPr="00EA10CF" w:rsidRDefault="00D83E33">
            <w:pPr>
              <w:widowControl w:val="0"/>
              <w:pBdr>
                <w:top w:val="nil"/>
                <w:left w:val="nil"/>
                <w:bottom w:val="nil"/>
                <w:right w:val="nil"/>
                <w:between w:val="nil"/>
              </w:pBdr>
              <w:jc w:val="right"/>
              <w:rPr>
                <w:color w:val="000000"/>
              </w:rPr>
            </w:pPr>
          </w:p>
        </w:tc>
        <w:tc>
          <w:tcPr>
            <w:tcW w:w="768" w:type="pct"/>
            <w:tcBorders>
              <w:bottom w:val="single" w:sz="4" w:space="0" w:color="000000"/>
            </w:tcBorders>
            <w:vAlign w:val="bottom"/>
          </w:tcPr>
          <w:p w14:paraId="0008CFB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C6D5C5" w14:textId="77777777" w:rsidTr="00093671">
        <w:trPr>
          <w:trHeight w:val="23"/>
        </w:trPr>
        <w:tc>
          <w:tcPr>
            <w:tcW w:w="3113" w:type="pct"/>
            <w:tcBorders>
              <w:top w:val="single" w:sz="4" w:space="0" w:color="000000"/>
            </w:tcBorders>
            <w:vAlign w:val="bottom"/>
          </w:tcPr>
          <w:p w14:paraId="53E30492" w14:textId="77777777" w:rsidR="00D83E33" w:rsidRPr="00EA10CF" w:rsidRDefault="00D83E33" w:rsidP="001B330E">
            <w:pPr>
              <w:widowControl w:val="0"/>
              <w:pBdr>
                <w:top w:val="nil"/>
                <w:left w:val="nil"/>
                <w:bottom w:val="nil"/>
                <w:right w:val="nil"/>
                <w:between w:val="nil"/>
              </w:pBdr>
              <w:ind w:left="113" w:hanging="113"/>
              <w:rPr>
                <w:i/>
                <w:color w:val="000000"/>
              </w:rPr>
            </w:pPr>
          </w:p>
        </w:tc>
        <w:tc>
          <w:tcPr>
            <w:tcW w:w="350" w:type="pct"/>
            <w:tcBorders>
              <w:top w:val="single" w:sz="4" w:space="0" w:color="000000"/>
            </w:tcBorders>
            <w:vAlign w:val="bottom"/>
          </w:tcPr>
          <w:p w14:paraId="47334967" w14:textId="77777777" w:rsidR="00D83E33" w:rsidRPr="00EA10CF" w:rsidRDefault="00D83E33">
            <w:pPr>
              <w:widowControl w:val="0"/>
              <w:jc w:val="center"/>
              <w:rPr>
                <w:i/>
              </w:rPr>
            </w:pPr>
          </w:p>
        </w:tc>
        <w:tc>
          <w:tcPr>
            <w:tcW w:w="769" w:type="pct"/>
            <w:tcBorders>
              <w:top w:val="single" w:sz="4" w:space="0" w:color="000000"/>
            </w:tcBorders>
            <w:vAlign w:val="bottom"/>
          </w:tcPr>
          <w:p w14:paraId="1593D1A2" w14:textId="77777777" w:rsidR="00D83E33" w:rsidRPr="00EA10CF" w:rsidRDefault="00D83E33">
            <w:pPr>
              <w:widowControl w:val="0"/>
              <w:pBdr>
                <w:top w:val="nil"/>
                <w:left w:val="nil"/>
                <w:bottom w:val="nil"/>
                <w:right w:val="nil"/>
                <w:between w:val="nil"/>
              </w:pBdr>
              <w:jc w:val="right"/>
              <w:rPr>
                <w:color w:val="000000"/>
              </w:rPr>
            </w:pPr>
          </w:p>
        </w:tc>
        <w:tc>
          <w:tcPr>
            <w:tcW w:w="768" w:type="pct"/>
            <w:tcBorders>
              <w:top w:val="single" w:sz="4" w:space="0" w:color="000000"/>
            </w:tcBorders>
            <w:vAlign w:val="bottom"/>
          </w:tcPr>
          <w:p w14:paraId="62DDE5D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3C42C90" w14:textId="77777777" w:rsidTr="00093671">
        <w:trPr>
          <w:trHeight w:val="23"/>
        </w:trPr>
        <w:tc>
          <w:tcPr>
            <w:tcW w:w="3113" w:type="pct"/>
            <w:vAlign w:val="bottom"/>
          </w:tcPr>
          <w:p w14:paraId="6803EC03"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 xml:space="preserve">Other financial liabilities mandatorily measured at FVTPL </w:t>
            </w:r>
          </w:p>
        </w:tc>
        <w:tc>
          <w:tcPr>
            <w:tcW w:w="350" w:type="pct"/>
            <w:vAlign w:val="bottom"/>
          </w:tcPr>
          <w:p w14:paraId="79821C42" w14:textId="77777777" w:rsidR="00D83E33" w:rsidRPr="00EA10CF" w:rsidRDefault="00D83E33">
            <w:pPr>
              <w:widowControl w:val="0"/>
              <w:jc w:val="center"/>
              <w:rPr>
                <w:i/>
              </w:rPr>
            </w:pPr>
          </w:p>
        </w:tc>
        <w:tc>
          <w:tcPr>
            <w:tcW w:w="769" w:type="pct"/>
            <w:vAlign w:val="bottom"/>
          </w:tcPr>
          <w:p w14:paraId="0F8302C5"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300DFD8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AB8C9F3" w14:textId="77777777" w:rsidTr="00093671">
        <w:trPr>
          <w:trHeight w:val="23"/>
        </w:trPr>
        <w:tc>
          <w:tcPr>
            <w:tcW w:w="3113" w:type="pct"/>
            <w:vAlign w:val="bottom"/>
          </w:tcPr>
          <w:p w14:paraId="37EE6834" w14:textId="77777777" w:rsidR="00D83E33" w:rsidRPr="00EA10CF" w:rsidRDefault="00D83E33" w:rsidP="001B330E">
            <w:pPr>
              <w:widowControl w:val="0"/>
              <w:pBdr>
                <w:top w:val="nil"/>
                <w:left w:val="nil"/>
                <w:bottom w:val="nil"/>
                <w:right w:val="nil"/>
                <w:between w:val="nil"/>
              </w:pBdr>
              <w:ind w:left="113" w:hanging="113"/>
              <w:rPr>
                <w:i/>
                <w:color w:val="000000"/>
              </w:rPr>
            </w:pPr>
          </w:p>
        </w:tc>
        <w:tc>
          <w:tcPr>
            <w:tcW w:w="350" w:type="pct"/>
            <w:vAlign w:val="bottom"/>
          </w:tcPr>
          <w:p w14:paraId="50206F34" w14:textId="77777777" w:rsidR="00D83E33" w:rsidRPr="00EA10CF" w:rsidRDefault="00D83E33">
            <w:pPr>
              <w:widowControl w:val="0"/>
              <w:jc w:val="center"/>
              <w:rPr>
                <w:i/>
              </w:rPr>
            </w:pPr>
          </w:p>
        </w:tc>
        <w:tc>
          <w:tcPr>
            <w:tcW w:w="769" w:type="pct"/>
            <w:vAlign w:val="bottom"/>
          </w:tcPr>
          <w:p w14:paraId="0756EF57"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2D28A11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6FF740" w14:textId="77777777" w:rsidTr="00093671">
        <w:trPr>
          <w:trHeight w:val="23"/>
        </w:trPr>
        <w:tc>
          <w:tcPr>
            <w:tcW w:w="3113" w:type="pct"/>
            <w:vAlign w:val="bottom"/>
          </w:tcPr>
          <w:p w14:paraId="6E28138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Foreign exchange forward contracts</w:t>
            </w:r>
          </w:p>
        </w:tc>
        <w:tc>
          <w:tcPr>
            <w:tcW w:w="350" w:type="pct"/>
            <w:vAlign w:val="bottom"/>
          </w:tcPr>
          <w:p w14:paraId="1282920B" w14:textId="77777777" w:rsidR="00D83E33" w:rsidRPr="00EA10CF" w:rsidRDefault="00BC4072">
            <w:pPr>
              <w:widowControl w:val="0"/>
              <w:jc w:val="center"/>
            </w:pPr>
            <w:r w:rsidRPr="00EA10CF">
              <w:t>48</w:t>
            </w:r>
          </w:p>
        </w:tc>
        <w:tc>
          <w:tcPr>
            <w:tcW w:w="769" w:type="pct"/>
            <w:vAlign w:val="bottom"/>
          </w:tcPr>
          <w:p w14:paraId="36295BAE"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6BAEF81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6CA44B3" w14:textId="77777777" w:rsidTr="00093671">
        <w:trPr>
          <w:trHeight w:val="23"/>
        </w:trPr>
        <w:tc>
          <w:tcPr>
            <w:tcW w:w="3113" w:type="pct"/>
            <w:vAlign w:val="bottom"/>
          </w:tcPr>
          <w:p w14:paraId="0C6D1FF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Precious metal forwards</w:t>
            </w:r>
          </w:p>
        </w:tc>
        <w:tc>
          <w:tcPr>
            <w:tcW w:w="350" w:type="pct"/>
            <w:vAlign w:val="bottom"/>
          </w:tcPr>
          <w:p w14:paraId="516F94FA" w14:textId="77777777" w:rsidR="00D83E33" w:rsidRPr="00EA10CF" w:rsidRDefault="00BC4072">
            <w:pPr>
              <w:widowControl w:val="0"/>
              <w:jc w:val="center"/>
            </w:pPr>
            <w:r w:rsidRPr="00EA10CF">
              <w:t>48</w:t>
            </w:r>
          </w:p>
        </w:tc>
        <w:tc>
          <w:tcPr>
            <w:tcW w:w="769" w:type="pct"/>
            <w:vAlign w:val="bottom"/>
          </w:tcPr>
          <w:p w14:paraId="40B323A5"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336B4F3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C5DEA1" w14:textId="77777777" w:rsidTr="00093671">
        <w:trPr>
          <w:trHeight w:val="23"/>
        </w:trPr>
        <w:tc>
          <w:tcPr>
            <w:tcW w:w="3113" w:type="pct"/>
            <w:vAlign w:val="bottom"/>
          </w:tcPr>
          <w:p w14:paraId="08BA537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derivative financial instruments</w:t>
            </w:r>
          </w:p>
        </w:tc>
        <w:tc>
          <w:tcPr>
            <w:tcW w:w="350" w:type="pct"/>
            <w:vAlign w:val="bottom"/>
          </w:tcPr>
          <w:p w14:paraId="6F206D78" w14:textId="77777777" w:rsidR="00D83E33" w:rsidRPr="00EA10CF" w:rsidRDefault="00BC4072">
            <w:pPr>
              <w:widowControl w:val="0"/>
              <w:jc w:val="center"/>
            </w:pPr>
            <w:r w:rsidRPr="00EA10CF">
              <w:t>48</w:t>
            </w:r>
          </w:p>
        </w:tc>
        <w:tc>
          <w:tcPr>
            <w:tcW w:w="769" w:type="pct"/>
            <w:vAlign w:val="bottom"/>
          </w:tcPr>
          <w:p w14:paraId="4A1476C0"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0E1C7BC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F73487D" w14:textId="77777777" w:rsidTr="00093671">
        <w:trPr>
          <w:trHeight w:val="23"/>
        </w:trPr>
        <w:tc>
          <w:tcPr>
            <w:tcW w:w="3113" w:type="pct"/>
            <w:vAlign w:val="bottom"/>
          </w:tcPr>
          <w:p w14:paraId="42FAB60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w:t>
            </w:r>
          </w:p>
        </w:tc>
        <w:tc>
          <w:tcPr>
            <w:tcW w:w="350" w:type="pct"/>
            <w:vAlign w:val="bottom"/>
          </w:tcPr>
          <w:p w14:paraId="272722C2" w14:textId="77777777" w:rsidR="00D83E33" w:rsidRPr="00EA10CF" w:rsidRDefault="00D83E33">
            <w:pPr>
              <w:widowControl w:val="0"/>
              <w:jc w:val="center"/>
            </w:pPr>
          </w:p>
        </w:tc>
        <w:tc>
          <w:tcPr>
            <w:tcW w:w="769" w:type="pct"/>
            <w:vAlign w:val="bottom"/>
          </w:tcPr>
          <w:p w14:paraId="236D46FE"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324941E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FA7055C" w14:textId="77777777" w:rsidTr="00093671">
        <w:trPr>
          <w:trHeight w:val="23"/>
        </w:trPr>
        <w:tc>
          <w:tcPr>
            <w:tcW w:w="3113" w:type="pct"/>
            <w:vAlign w:val="bottom"/>
          </w:tcPr>
          <w:p w14:paraId="44B0B502" w14:textId="5A9FDED1" w:rsidR="00D83E33" w:rsidRPr="00EA10CF" w:rsidRDefault="00D83E33" w:rsidP="001B330E">
            <w:pPr>
              <w:widowControl w:val="0"/>
              <w:pBdr>
                <w:top w:val="nil"/>
                <w:left w:val="nil"/>
                <w:bottom w:val="nil"/>
                <w:right w:val="nil"/>
                <w:between w:val="nil"/>
              </w:pBdr>
              <w:ind w:left="113" w:hanging="113"/>
              <w:rPr>
                <w:color w:val="000000"/>
              </w:rPr>
            </w:pPr>
          </w:p>
        </w:tc>
        <w:tc>
          <w:tcPr>
            <w:tcW w:w="350" w:type="pct"/>
            <w:vAlign w:val="bottom"/>
          </w:tcPr>
          <w:p w14:paraId="4A1CE026" w14:textId="77777777" w:rsidR="00D83E33" w:rsidRPr="00EA10CF" w:rsidRDefault="00D83E33">
            <w:pPr>
              <w:widowControl w:val="0"/>
              <w:jc w:val="center"/>
            </w:pPr>
          </w:p>
        </w:tc>
        <w:tc>
          <w:tcPr>
            <w:tcW w:w="769" w:type="pct"/>
            <w:vAlign w:val="bottom"/>
          </w:tcPr>
          <w:p w14:paraId="50CFE426"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5270778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216E0A2" w14:textId="77777777" w:rsidTr="00093671">
        <w:trPr>
          <w:trHeight w:val="23"/>
        </w:trPr>
        <w:tc>
          <w:tcPr>
            <w:tcW w:w="3113" w:type="pct"/>
            <w:tcBorders>
              <w:bottom w:val="single" w:sz="4" w:space="0" w:color="000000"/>
            </w:tcBorders>
            <w:vAlign w:val="bottom"/>
          </w:tcPr>
          <w:p w14:paraId="0585698D"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350" w:type="pct"/>
            <w:tcBorders>
              <w:bottom w:val="single" w:sz="4" w:space="0" w:color="000000"/>
            </w:tcBorders>
            <w:vAlign w:val="bottom"/>
          </w:tcPr>
          <w:p w14:paraId="6A2EF281" w14:textId="77777777" w:rsidR="00D83E33" w:rsidRPr="00EA10CF" w:rsidRDefault="00D83E33">
            <w:pPr>
              <w:widowControl w:val="0"/>
              <w:jc w:val="center"/>
            </w:pPr>
          </w:p>
        </w:tc>
        <w:tc>
          <w:tcPr>
            <w:tcW w:w="769" w:type="pct"/>
            <w:tcBorders>
              <w:bottom w:val="single" w:sz="4" w:space="0" w:color="000000"/>
            </w:tcBorders>
            <w:vAlign w:val="bottom"/>
          </w:tcPr>
          <w:p w14:paraId="261A261E" w14:textId="77777777" w:rsidR="00D83E33" w:rsidRPr="00EA10CF" w:rsidRDefault="00D83E33">
            <w:pPr>
              <w:widowControl w:val="0"/>
              <w:pBdr>
                <w:top w:val="nil"/>
                <w:left w:val="nil"/>
                <w:bottom w:val="nil"/>
                <w:right w:val="nil"/>
                <w:between w:val="nil"/>
              </w:pBdr>
              <w:jc w:val="right"/>
              <w:rPr>
                <w:color w:val="000000"/>
              </w:rPr>
            </w:pPr>
          </w:p>
        </w:tc>
        <w:tc>
          <w:tcPr>
            <w:tcW w:w="768" w:type="pct"/>
            <w:tcBorders>
              <w:bottom w:val="single" w:sz="4" w:space="0" w:color="000000"/>
            </w:tcBorders>
            <w:vAlign w:val="bottom"/>
          </w:tcPr>
          <w:p w14:paraId="54350BE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1A9A968" w14:textId="77777777" w:rsidTr="00093671">
        <w:trPr>
          <w:trHeight w:val="23"/>
        </w:trPr>
        <w:tc>
          <w:tcPr>
            <w:tcW w:w="3113" w:type="pct"/>
            <w:vAlign w:val="bottom"/>
          </w:tcPr>
          <w:p w14:paraId="12B46B6A"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350" w:type="pct"/>
            <w:vAlign w:val="bottom"/>
          </w:tcPr>
          <w:p w14:paraId="2E897CB4" w14:textId="77777777" w:rsidR="00D83E33" w:rsidRPr="00EA10CF" w:rsidRDefault="00D83E33">
            <w:pPr>
              <w:widowControl w:val="0"/>
              <w:jc w:val="center"/>
            </w:pPr>
          </w:p>
        </w:tc>
        <w:tc>
          <w:tcPr>
            <w:tcW w:w="769" w:type="pct"/>
            <w:vAlign w:val="bottom"/>
          </w:tcPr>
          <w:p w14:paraId="6B81CBE5" w14:textId="77777777" w:rsidR="00D83E33" w:rsidRPr="00EA10CF" w:rsidRDefault="00D83E33">
            <w:pPr>
              <w:widowControl w:val="0"/>
              <w:pBdr>
                <w:top w:val="nil"/>
                <w:left w:val="nil"/>
                <w:bottom w:val="nil"/>
                <w:right w:val="nil"/>
                <w:between w:val="nil"/>
              </w:pBdr>
              <w:jc w:val="right"/>
              <w:rPr>
                <w:color w:val="000000"/>
              </w:rPr>
            </w:pPr>
          </w:p>
        </w:tc>
        <w:tc>
          <w:tcPr>
            <w:tcW w:w="768" w:type="pct"/>
            <w:vAlign w:val="bottom"/>
          </w:tcPr>
          <w:p w14:paraId="6D780D7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0CF4375" w14:textId="77777777" w:rsidTr="00093671">
        <w:trPr>
          <w:trHeight w:val="23"/>
        </w:trPr>
        <w:tc>
          <w:tcPr>
            <w:tcW w:w="3113" w:type="pct"/>
            <w:vAlign w:val="bottom"/>
          </w:tcPr>
          <w:p w14:paraId="54D4DB83"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other financial liabilities at FVTPL</w:t>
            </w:r>
          </w:p>
        </w:tc>
        <w:tc>
          <w:tcPr>
            <w:tcW w:w="350" w:type="pct"/>
            <w:vAlign w:val="bottom"/>
          </w:tcPr>
          <w:p w14:paraId="04F61D8A" w14:textId="77777777" w:rsidR="00D83E33" w:rsidRPr="00EA10CF" w:rsidRDefault="00D83E33">
            <w:pPr>
              <w:widowControl w:val="0"/>
              <w:jc w:val="center"/>
              <w:rPr>
                <w:b/>
              </w:rPr>
            </w:pPr>
          </w:p>
        </w:tc>
        <w:tc>
          <w:tcPr>
            <w:tcW w:w="769" w:type="pct"/>
            <w:vAlign w:val="bottom"/>
          </w:tcPr>
          <w:p w14:paraId="70D7EEA7" w14:textId="77777777" w:rsidR="00D83E33" w:rsidRPr="00EA10CF" w:rsidRDefault="00D83E33">
            <w:pPr>
              <w:widowControl w:val="0"/>
              <w:pBdr>
                <w:top w:val="nil"/>
                <w:left w:val="nil"/>
                <w:bottom w:val="nil"/>
                <w:right w:val="nil"/>
                <w:between w:val="nil"/>
              </w:pBdr>
              <w:jc w:val="right"/>
              <w:rPr>
                <w:b/>
                <w:color w:val="000000"/>
              </w:rPr>
            </w:pPr>
          </w:p>
        </w:tc>
        <w:tc>
          <w:tcPr>
            <w:tcW w:w="768" w:type="pct"/>
            <w:vAlign w:val="bottom"/>
          </w:tcPr>
          <w:p w14:paraId="26EB6D5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C5B0A0D" w14:textId="77777777" w:rsidTr="00093671">
        <w:trPr>
          <w:trHeight w:val="23"/>
        </w:trPr>
        <w:tc>
          <w:tcPr>
            <w:tcW w:w="3113" w:type="pct"/>
            <w:tcBorders>
              <w:bottom w:val="single" w:sz="4" w:space="0" w:color="000000"/>
            </w:tcBorders>
            <w:vAlign w:val="bottom"/>
          </w:tcPr>
          <w:p w14:paraId="1A5B9B9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350" w:type="pct"/>
            <w:tcBorders>
              <w:bottom w:val="single" w:sz="4" w:space="0" w:color="000000"/>
            </w:tcBorders>
            <w:vAlign w:val="bottom"/>
          </w:tcPr>
          <w:p w14:paraId="476D09FC" w14:textId="77777777" w:rsidR="00D83E33" w:rsidRPr="00EA10CF" w:rsidRDefault="00D83E33">
            <w:pPr>
              <w:widowControl w:val="0"/>
              <w:jc w:val="center"/>
            </w:pPr>
          </w:p>
        </w:tc>
        <w:tc>
          <w:tcPr>
            <w:tcW w:w="769" w:type="pct"/>
            <w:tcBorders>
              <w:bottom w:val="single" w:sz="4" w:space="0" w:color="000000"/>
            </w:tcBorders>
            <w:vAlign w:val="bottom"/>
          </w:tcPr>
          <w:p w14:paraId="3D24D460" w14:textId="77777777" w:rsidR="00D83E33" w:rsidRPr="00EA10CF" w:rsidRDefault="00D83E33">
            <w:pPr>
              <w:widowControl w:val="0"/>
              <w:pBdr>
                <w:top w:val="nil"/>
                <w:left w:val="nil"/>
                <w:bottom w:val="nil"/>
                <w:right w:val="nil"/>
                <w:between w:val="nil"/>
              </w:pBdr>
              <w:jc w:val="right"/>
              <w:rPr>
                <w:color w:val="000000"/>
              </w:rPr>
            </w:pPr>
          </w:p>
        </w:tc>
        <w:tc>
          <w:tcPr>
            <w:tcW w:w="768" w:type="pct"/>
            <w:tcBorders>
              <w:bottom w:val="single" w:sz="4" w:space="0" w:color="000000"/>
            </w:tcBorders>
            <w:vAlign w:val="bottom"/>
          </w:tcPr>
          <w:p w14:paraId="48F439D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7DFFBE7" w14:textId="77777777" w:rsidTr="00093671">
        <w:trPr>
          <w:trHeight w:val="23"/>
        </w:trPr>
        <w:tc>
          <w:tcPr>
            <w:tcW w:w="3113" w:type="pct"/>
            <w:vAlign w:val="bottom"/>
          </w:tcPr>
          <w:p w14:paraId="2B9D699E" w14:textId="77777777" w:rsidR="00D83E33" w:rsidRPr="00EA10CF" w:rsidRDefault="00BC4072" w:rsidP="001B330E">
            <w:pPr>
              <w:widowControl w:val="0"/>
              <w:ind w:left="113" w:hanging="113"/>
            </w:pPr>
            <w:r w:rsidRPr="00EA10CF">
              <w:rPr>
                <w:b/>
              </w:rPr>
              <w:t> </w:t>
            </w:r>
          </w:p>
        </w:tc>
        <w:tc>
          <w:tcPr>
            <w:tcW w:w="350" w:type="pct"/>
            <w:vAlign w:val="bottom"/>
          </w:tcPr>
          <w:p w14:paraId="50E9A485" w14:textId="77777777" w:rsidR="00D83E33" w:rsidRPr="00EA10CF" w:rsidRDefault="00D83E33">
            <w:pPr>
              <w:widowControl w:val="0"/>
              <w:jc w:val="center"/>
              <w:rPr>
                <w:b/>
              </w:rPr>
            </w:pPr>
          </w:p>
        </w:tc>
        <w:tc>
          <w:tcPr>
            <w:tcW w:w="769" w:type="pct"/>
            <w:vAlign w:val="bottom"/>
          </w:tcPr>
          <w:p w14:paraId="2E595F27" w14:textId="77777777" w:rsidR="00D83E33" w:rsidRPr="00EA10CF" w:rsidRDefault="00D83E33">
            <w:pPr>
              <w:widowControl w:val="0"/>
              <w:pBdr>
                <w:top w:val="nil"/>
                <w:left w:val="nil"/>
                <w:bottom w:val="nil"/>
                <w:right w:val="nil"/>
                <w:between w:val="nil"/>
              </w:pBdr>
              <w:jc w:val="right"/>
              <w:rPr>
                <w:b/>
                <w:color w:val="000000"/>
              </w:rPr>
            </w:pPr>
          </w:p>
        </w:tc>
        <w:tc>
          <w:tcPr>
            <w:tcW w:w="768" w:type="pct"/>
            <w:vAlign w:val="bottom"/>
          </w:tcPr>
          <w:p w14:paraId="35A43708"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128199C" w14:textId="77777777" w:rsidTr="00093671">
        <w:trPr>
          <w:trHeight w:val="23"/>
        </w:trPr>
        <w:tc>
          <w:tcPr>
            <w:tcW w:w="3113" w:type="pct"/>
            <w:vAlign w:val="bottom"/>
          </w:tcPr>
          <w:p w14:paraId="66CFD07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other financial liabilities</w:t>
            </w:r>
          </w:p>
        </w:tc>
        <w:tc>
          <w:tcPr>
            <w:tcW w:w="350" w:type="pct"/>
            <w:vAlign w:val="bottom"/>
          </w:tcPr>
          <w:p w14:paraId="4D7E4A1D" w14:textId="77777777" w:rsidR="00D83E33" w:rsidRPr="00EA10CF" w:rsidRDefault="00D83E33">
            <w:pPr>
              <w:widowControl w:val="0"/>
              <w:jc w:val="center"/>
              <w:rPr>
                <w:b/>
              </w:rPr>
            </w:pPr>
          </w:p>
        </w:tc>
        <w:tc>
          <w:tcPr>
            <w:tcW w:w="769" w:type="pct"/>
            <w:vAlign w:val="bottom"/>
          </w:tcPr>
          <w:p w14:paraId="00EE1A4C" w14:textId="77777777" w:rsidR="00D83E33" w:rsidRPr="00EA10CF" w:rsidRDefault="00D83E33">
            <w:pPr>
              <w:widowControl w:val="0"/>
              <w:pBdr>
                <w:top w:val="nil"/>
                <w:left w:val="nil"/>
                <w:bottom w:val="nil"/>
                <w:right w:val="nil"/>
                <w:between w:val="nil"/>
              </w:pBdr>
              <w:jc w:val="right"/>
              <w:rPr>
                <w:b/>
                <w:color w:val="000000"/>
              </w:rPr>
            </w:pPr>
          </w:p>
        </w:tc>
        <w:tc>
          <w:tcPr>
            <w:tcW w:w="768" w:type="pct"/>
            <w:vAlign w:val="bottom"/>
          </w:tcPr>
          <w:p w14:paraId="49738E5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5BE4D68" w14:textId="77777777" w:rsidTr="00093671">
        <w:trPr>
          <w:trHeight w:val="23"/>
        </w:trPr>
        <w:tc>
          <w:tcPr>
            <w:tcW w:w="3113" w:type="pct"/>
            <w:tcBorders>
              <w:bottom w:val="single" w:sz="12" w:space="0" w:color="000000"/>
            </w:tcBorders>
            <w:vAlign w:val="bottom"/>
          </w:tcPr>
          <w:p w14:paraId="2A6B6CF6" w14:textId="77777777" w:rsidR="00D83E33" w:rsidRPr="00EA10CF" w:rsidRDefault="00BC4072" w:rsidP="001B330E">
            <w:pPr>
              <w:widowControl w:val="0"/>
              <w:ind w:left="113" w:hanging="113"/>
            </w:pPr>
            <w:r w:rsidRPr="00EA10CF">
              <w:rPr>
                <w:b/>
              </w:rPr>
              <w:t> </w:t>
            </w:r>
          </w:p>
        </w:tc>
        <w:tc>
          <w:tcPr>
            <w:tcW w:w="350" w:type="pct"/>
            <w:tcBorders>
              <w:bottom w:val="single" w:sz="12" w:space="0" w:color="000000"/>
            </w:tcBorders>
            <w:vAlign w:val="bottom"/>
          </w:tcPr>
          <w:p w14:paraId="763FD36F" w14:textId="77777777" w:rsidR="00D83E33" w:rsidRPr="00EA10CF" w:rsidRDefault="00D83E33">
            <w:pPr>
              <w:widowControl w:val="0"/>
              <w:jc w:val="center"/>
              <w:rPr>
                <w:b/>
              </w:rPr>
            </w:pPr>
          </w:p>
        </w:tc>
        <w:tc>
          <w:tcPr>
            <w:tcW w:w="769" w:type="pct"/>
            <w:tcBorders>
              <w:bottom w:val="single" w:sz="12" w:space="0" w:color="000000"/>
            </w:tcBorders>
            <w:vAlign w:val="bottom"/>
          </w:tcPr>
          <w:p w14:paraId="099F40C3" w14:textId="77777777" w:rsidR="00D83E33" w:rsidRPr="00EA10CF" w:rsidRDefault="00D83E33">
            <w:pPr>
              <w:widowControl w:val="0"/>
              <w:pBdr>
                <w:top w:val="nil"/>
                <w:left w:val="nil"/>
                <w:bottom w:val="nil"/>
                <w:right w:val="nil"/>
                <w:between w:val="nil"/>
              </w:pBdr>
              <w:jc w:val="right"/>
              <w:rPr>
                <w:b/>
                <w:color w:val="000000"/>
              </w:rPr>
            </w:pPr>
          </w:p>
        </w:tc>
        <w:tc>
          <w:tcPr>
            <w:tcW w:w="768" w:type="pct"/>
            <w:tcBorders>
              <w:bottom w:val="single" w:sz="12" w:space="0" w:color="000000"/>
            </w:tcBorders>
            <w:vAlign w:val="bottom"/>
          </w:tcPr>
          <w:p w14:paraId="3D8440FF" w14:textId="77777777" w:rsidR="00D83E33" w:rsidRPr="00EA10CF" w:rsidRDefault="00D83E33">
            <w:pPr>
              <w:widowControl w:val="0"/>
              <w:pBdr>
                <w:top w:val="nil"/>
                <w:left w:val="nil"/>
                <w:bottom w:val="nil"/>
                <w:right w:val="nil"/>
                <w:between w:val="nil"/>
              </w:pBdr>
              <w:jc w:val="right"/>
              <w:rPr>
                <w:b/>
                <w:color w:val="000000"/>
              </w:rPr>
            </w:pPr>
          </w:p>
        </w:tc>
      </w:tr>
    </w:tbl>
    <w:p w14:paraId="31E670E4" w14:textId="1A8BFA34" w:rsidR="00093671" w:rsidRPr="00093671" w:rsidRDefault="00093671" w:rsidP="00093671">
      <w:pPr>
        <w:widowControl w:val="0"/>
        <w:pBdr>
          <w:top w:val="nil"/>
          <w:left w:val="nil"/>
          <w:bottom w:val="nil"/>
          <w:right w:val="nil"/>
          <w:between w:val="nil"/>
        </w:pBdr>
        <w:spacing w:before="200" w:after="200"/>
        <w:jc w:val="both"/>
        <w:rPr>
          <w:i/>
          <w:color w:val="FF0000"/>
          <w:sz w:val="20"/>
          <w:szCs w:val="20"/>
        </w:rPr>
      </w:pPr>
      <w:r w:rsidRPr="00093671">
        <w:rPr>
          <w:b/>
          <w:i/>
          <w:color w:val="0000FF"/>
          <w:sz w:val="20"/>
          <w:szCs w:val="20"/>
        </w:rPr>
        <w:t>[Trade payables.</w:t>
      </w:r>
      <w:r w:rsidRPr="00093671">
        <w:rPr>
          <w:color w:val="0000FF"/>
          <w:sz w:val="20"/>
          <w:szCs w:val="20"/>
        </w:rPr>
        <w:t xml:space="preserve"> Trade payables are accrued when the counterparty has performed its obligations under the contract and are carried at AC.] </w:t>
      </w:r>
      <w:r>
        <w:rPr>
          <w:i/>
          <w:color w:val="FF0000"/>
          <w:sz w:val="20"/>
          <w:szCs w:val="20"/>
        </w:rPr>
        <w:t>[Include details of specific accounting policies for significant other payables, if relevant.]</w:t>
      </w:r>
    </w:p>
    <w:p w14:paraId="40AC4F4B" w14:textId="710D9A54" w:rsidR="00D83E33" w:rsidRDefault="00BC4072">
      <w:pPr>
        <w:widowControl w:val="0"/>
        <w:spacing w:before="200" w:after="200"/>
        <w:jc w:val="both"/>
        <w:rPr>
          <w:sz w:val="20"/>
          <w:szCs w:val="20"/>
        </w:rPr>
      </w:pPr>
      <w:r>
        <w:rPr>
          <w:sz w:val="20"/>
          <w:szCs w:val="20"/>
        </w:rPr>
        <w:t xml:space="preserve">Refer to Note 43 for analysis of exposure from financial guarantees and loan commitments by credit risk grades. </w:t>
      </w:r>
    </w:p>
    <w:p w14:paraId="17FB937C" w14:textId="612D3603" w:rsidR="00E45645" w:rsidRPr="00E45645" w:rsidRDefault="00E45645">
      <w:pPr>
        <w:widowControl w:val="0"/>
        <w:spacing w:before="200" w:after="200"/>
        <w:jc w:val="both"/>
        <w:rPr>
          <w:i/>
          <w:sz w:val="20"/>
          <w:szCs w:val="20"/>
        </w:rPr>
      </w:pPr>
    </w:p>
    <w:p w14:paraId="2D6AD926" w14:textId="7BD30E12" w:rsidR="00D83E33" w:rsidRDefault="00BC4072" w:rsidP="001B330E">
      <w:pPr>
        <w:pStyle w:val="Continued"/>
      </w:pPr>
      <w:r>
        <w:lastRenderedPageBreak/>
        <w:t>26</w:t>
      </w:r>
      <w:r>
        <w:tab/>
        <w:t>Other Financial Liabilities (Continued)</w:t>
      </w:r>
    </w:p>
    <w:p w14:paraId="771945AB" w14:textId="77777777" w:rsidR="00D83E33" w:rsidRDefault="00BC4072">
      <w:pPr>
        <w:widowControl w:val="0"/>
        <w:spacing w:before="200" w:after="200"/>
        <w:jc w:val="both"/>
        <w:rPr>
          <w:i/>
          <w:color w:val="FF0000"/>
          <w:sz w:val="20"/>
          <w:szCs w:val="20"/>
        </w:rPr>
      </w:pPr>
      <w:r>
        <w:rPr>
          <w:sz w:val="20"/>
          <w:szCs w:val="20"/>
        </w:rPr>
        <w:t xml:space="preserve">Movements in the provision for financial guarantees were as follows. </w:t>
      </w:r>
    </w:p>
    <w:tbl>
      <w:tblPr>
        <w:tblStyle w:val="afffffffffff8"/>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A10CF" w14:paraId="32452EE6" w14:textId="77777777" w:rsidTr="001B330E">
        <w:trPr>
          <w:trHeight w:val="23"/>
        </w:trPr>
        <w:tc>
          <w:tcPr>
            <w:tcW w:w="1971" w:type="pct"/>
            <w:tcBorders>
              <w:bottom w:val="single" w:sz="4" w:space="0" w:color="000000"/>
            </w:tcBorders>
            <w:shd w:val="clear" w:color="auto" w:fill="auto"/>
            <w:vAlign w:val="bottom"/>
          </w:tcPr>
          <w:p w14:paraId="1F929A2C" w14:textId="0AADFC12"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563156EF" w14:textId="0789CC09"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Stage 1</w:t>
            </w:r>
          </w:p>
          <w:p w14:paraId="3DE0FD92"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(12-months ECL)</w:t>
            </w:r>
          </w:p>
        </w:tc>
        <w:tc>
          <w:tcPr>
            <w:tcW w:w="606" w:type="pct"/>
            <w:tcBorders>
              <w:bottom w:val="single" w:sz="4" w:space="0" w:color="000000"/>
            </w:tcBorders>
          </w:tcPr>
          <w:p w14:paraId="7B6C8F58"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Stage 2</w:t>
            </w:r>
          </w:p>
          <w:p w14:paraId="0EC423D9" w14:textId="4C6519AF"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(lifetime ECL for SICR)</w:t>
            </w:r>
          </w:p>
        </w:tc>
        <w:tc>
          <w:tcPr>
            <w:tcW w:w="606" w:type="pct"/>
            <w:tcBorders>
              <w:bottom w:val="single" w:sz="4" w:space="0" w:color="000000"/>
            </w:tcBorders>
            <w:shd w:val="clear" w:color="auto" w:fill="auto"/>
          </w:tcPr>
          <w:p w14:paraId="159FFF7F"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Stage 3</w:t>
            </w:r>
          </w:p>
          <w:p w14:paraId="36195F70"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(lifetime ECL for credit im-paired)</w:t>
            </w:r>
          </w:p>
        </w:tc>
        <w:tc>
          <w:tcPr>
            <w:tcW w:w="606" w:type="pct"/>
            <w:tcBorders>
              <w:bottom w:val="single" w:sz="4" w:space="0" w:color="000000"/>
            </w:tcBorders>
          </w:tcPr>
          <w:p w14:paraId="066F1D4A"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Total provision</w:t>
            </w:r>
          </w:p>
        </w:tc>
        <w:tc>
          <w:tcPr>
            <w:tcW w:w="606" w:type="pct"/>
            <w:tcBorders>
              <w:bottom w:val="single" w:sz="4" w:space="0" w:color="000000"/>
            </w:tcBorders>
          </w:tcPr>
          <w:p w14:paraId="6FC34BF0"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Gross guaranteed amount</w:t>
            </w:r>
          </w:p>
        </w:tc>
      </w:tr>
      <w:tr w:rsidR="00D83E33" w:rsidRPr="00EA10CF" w14:paraId="345BB374" w14:textId="77777777" w:rsidTr="001B330E">
        <w:trPr>
          <w:trHeight w:val="23"/>
        </w:trPr>
        <w:tc>
          <w:tcPr>
            <w:tcW w:w="1971" w:type="pct"/>
            <w:tcBorders>
              <w:top w:val="single" w:sz="4" w:space="0" w:color="000000"/>
            </w:tcBorders>
            <w:shd w:val="clear" w:color="auto" w:fill="auto"/>
            <w:vAlign w:val="bottom"/>
          </w:tcPr>
          <w:p w14:paraId="2324F902" w14:textId="77777777" w:rsidR="00D83E33" w:rsidRPr="00EA10CF" w:rsidRDefault="00D83E33" w:rsidP="001B330E">
            <w:pPr>
              <w:widowControl w:val="0"/>
              <w:pBdr>
                <w:top w:val="nil"/>
                <w:left w:val="nil"/>
                <w:bottom w:val="nil"/>
                <w:right w:val="nil"/>
                <w:between w:val="nil"/>
              </w:pBdr>
              <w:ind w:left="113" w:hanging="113"/>
              <w:rPr>
                <w:b/>
                <w:color w:val="000000"/>
                <w:u w:val="single"/>
              </w:rPr>
            </w:pPr>
          </w:p>
        </w:tc>
        <w:tc>
          <w:tcPr>
            <w:tcW w:w="606" w:type="pct"/>
            <w:tcBorders>
              <w:top w:val="single" w:sz="4" w:space="0" w:color="000000"/>
            </w:tcBorders>
            <w:vAlign w:val="bottom"/>
          </w:tcPr>
          <w:p w14:paraId="5C719831"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CE8812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EB021A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607744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7705CB7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3001D5" w14:textId="77777777" w:rsidTr="001B330E">
        <w:trPr>
          <w:trHeight w:val="23"/>
        </w:trPr>
        <w:tc>
          <w:tcPr>
            <w:tcW w:w="1971" w:type="pct"/>
            <w:shd w:val="clear" w:color="auto" w:fill="auto"/>
            <w:vAlign w:val="bottom"/>
          </w:tcPr>
          <w:p w14:paraId="3D004288"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vAlign w:val="bottom"/>
          </w:tcPr>
          <w:p w14:paraId="4E0529A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71AF79B"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099C14A"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598EE67"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16FEB9F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FCF014A" w14:textId="77777777" w:rsidTr="001B330E">
        <w:trPr>
          <w:trHeight w:val="23"/>
        </w:trPr>
        <w:tc>
          <w:tcPr>
            <w:tcW w:w="1971" w:type="pct"/>
            <w:shd w:val="clear" w:color="auto" w:fill="auto"/>
            <w:vAlign w:val="bottom"/>
          </w:tcPr>
          <w:p w14:paraId="5DC31375" w14:textId="1BF6F209" w:rsidR="00D83E33" w:rsidRPr="00EA10CF" w:rsidRDefault="00BC4072" w:rsidP="001B330E">
            <w:pPr>
              <w:widowControl w:val="0"/>
              <w:pBdr>
                <w:top w:val="nil"/>
                <w:left w:val="nil"/>
                <w:bottom w:val="nil"/>
                <w:right w:val="nil"/>
                <w:between w:val="nil"/>
              </w:pBdr>
              <w:ind w:left="113" w:hanging="113"/>
              <w:rPr>
                <w:b/>
                <w:color w:val="0000FF"/>
              </w:rPr>
            </w:pPr>
            <w:r w:rsidRPr="00EA10CF">
              <w:rPr>
                <w:b/>
                <w:color w:val="000000"/>
              </w:rPr>
              <w:t>Provision for financial guarantees at 31</w:t>
            </w:r>
            <w:r w:rsidR="00181687">
              <w:rPr>
                <w:b/>
                <w:color w:val="000000"/>
              </w:rPr>
              <w:t> December </w:t>
            </w:r>
            <w:r w:rsidR="00541EBC">
              <w:rPr>
                <w:b/>
                <w:color w:val="000000"/>
              </w:rPr>
              <w:t>2023</w:t>
            </w:r>
          </w:p>
        </w:tc>
        <w:tc>
          <w:tcPr>
            <w:tcW w:w="606" w:type="pct"/>
            <w:vAlign w:val="bottom"/>
          </w:tcPr>
          <w:p w14:paraId="1FCE497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7E64662"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26EEB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8A20AB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B82464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39F06C1" w14:textId="77777777" w:rsidTr="001B330E">
        <w:trPr>
          <w:trHeight w:val="23"/>
        </w:trPr>
        <w:tc>
          <w:tcPr>
            <w:tcW w:w="1971" w:type="pct"/>
            <w:shd w:val="clear" w:color="auto" w:fill="auto"/>
            <w:vAlign w:val="bottom"/>
          </w:tcPr>
          <w:p w14:paraId="13713227"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789DB37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4FAF05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9E3FDA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A8779CF"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A59019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7FC00B8" w14:textId="77777777" w:rsidTr="001B330E">
        <w:trPr>
          <w:trHeight w:val="23"/>
        </w:trPr>
        <w:tc>
          <w:tcPr>
            <w:tcW w:w="1971" w:type="pct"/>
            <w:shd w:val="clear" w:color="auto" w:fill="auto"/>
            <w:vAlign w:val="bottom"/>
          </w:tcPr>
          <w:p w14:paraId="06D2C820"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Movements with impact on provision for credit related commitments charge for the period:</w:t>
            </w:r>
          </w:p>
        </w:tc>
        <w:tc>
          <w:tcPr>
            <w:tcW w:w="606" w:type="pct"/>
            <w:vAlign w:val="bottom"/>
          </w:tcPr>
          <w:p w14:paraId="5F5414F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7B5416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F9B58B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5A87E0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6BF819A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B67A34A" w14:textId="77777777" w:rsidTr="001B330E">
        <w:trPr>
          <w:trHeight w:val="23"/>
        </w:trPr>
        <w:tc>
          <w:tcPr>
            <w:tcW w:w="1971" w:type="pct"/>
            <w:shd w:val="clear" w:color="auto" w:fill="auto"/>
            <w:vAlign w:val="bottom"/>
          </w:tcPr>
          <w:p w14:paraId="09B45469"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00"/>
              </w:rPr>
              <w:t>Transfers:</w:t>
            </w:r>
          </w:p>
        </w:tc>
        <w:tc>
          <w:tcPr>
            <w:tcW w:w="606" w:type="pct"/>
            <w:vAlign w:val="bottom"/>
          </w:tcPr>
          <w:p w14:paraId="6616F12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92E10B4"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743915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62ADF04"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5BA695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A6A2692" w14:textId="77777777" w:rsidTr="001B330E">
        <w:trPr>
          <w:trHeight w:val="23"/>
        </w:trPr>
        <w:tc>
          <w:tcPr>
            <w:tcW w:w="1971" w:type="pct"/>
            <w:shd w:val="clear" w:color="auto" w:fill="auto"/>
            <w:vAlign w:val="bottom"/>
          </w:tcPr>
          <w:p w14:paraId="31F03DA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lifetime (from Stage 1 to Stage 2)</w:t>
            </w:r>
          </w:p>
        </w:tc>
        <w:tc>
          <w:tcPr>
            <w:tcW w:w="606" w:type="pct"/>
            <w:vAlign w:val="bottom"/>
          </w:tcPr>
          <w:p w14:paraId="687AEFF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F558417"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B955A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716AAD9"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4BA52AD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9B9099" w14:textId="77777777" w:rsidTr="001B330E">
        <w:trPr>
          <w:trHeight w:val="23"/>
        </w:trPr>
        <w:tc>
          <w:tcPr>
            <w:tcW w:w="1971" w:type="pct"/>
            <w:shd w:val="clear" w:color="auto" w:fill="auto"/>
            <w:vAlign w:val="bottom"/>
          </w:tcPr>
          <w:p w14:paraId="7556710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credit-impaired (from Stage 1 and Stage 2 to Stage 3)</w:t>
            </w:r>
          </w:p>
        </w:tc>
        <w:tc>
          <w:tcPr>
            <w:tcW w:w="606" w:type="pct"/>
            <w:vAlign w:val="bottom"/>
          </w:tcPr>
          <w:p w14:paraId="103BDA8A"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33B994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0750F8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5E10E0D"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45E4CD0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03B5E2C" w14:textId="77777777" w:rsidTr="001B330E">
        <w:trPr>
          <w:trHeight w:val="23"/>
        </w:trPr>
        <w:tc>
          <w:tcPr>
            <w:tcW w:w="1971" w:type="pct"/>
            <w:shd w:val="clear" w:color="auto" w:fill="auto"/>
            <w:vAlign w:val="bottom"/>
          </w:tcPr>
          <w:p w14:paraId="6C07458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12-months ECL (from Stage 2 and Stage 3 to Stage 1)</w:t>
            </w:r>
          </w:p>
        </w:tc>
        <w:tc>
          <w:tcPr>
            <w:tcW w:w="606" w:type="pct"/>
            <w:vAlign w:val="bottom"/>
          </w:tcPr>
          <w:p w14:paraId="6E022C8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472CF3E"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385712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1522FF8"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907184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43601E0" w14:textId="77777777" w:rsidTr="001B330E">
        <w:trPr>
          <w:trHeight w:val="23"/>
        </w:trPr>
        <w:tc>
          <w:tcPr>
            <w:tcW w:w="1971" w:type="pct"/>
            <w:shd w:val="clear" w:color="auto" w:fill="auto"/>
            <w:vAlign w:val="bottom"/>
          </w:tcPr>
          <w:p w14:paraId="0098739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Issued guarantees (fees charged)</w:t>
            </w:r>
          </w:p>
        </w:tc>
        <w:tc>
          <w:tcPr>
            <w:tcW w:w="606" w:type="pct"/>
            <w:vAlign w:val="bottom"/>
          </w:tcPr>
          <w:p w14:paraId="739609E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E0763D5"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C8DD15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7A51D8C"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46B520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4419168" w14:textId="77777777" w:rsidTr="001B330E">
        <w:trPr>
          <w:trHeight w:val="23"/>
        </w:trPr>
        <w:tc>
          <w:tcPr>
            <w:tcW w:w="1971" w:type="pct"/>
            <w:shd w:val="clear" w:color="auto" w:fill="auto"/>
            <w:vAlign w:val="bottom"/>
          </w:tcPr>
          <w:p w14:paraId="66F2BE7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Amortisation of deferred fee to income</w:t>
            </w:r>
          </w:p>
        </w:tc>
        <w:tc>
          <w:tcPr>
            <w:tcW w:w="606" w:type="pct"/>
            <w:vAlign w:val="bottom"/>
          </w:tcPr>
          <w:p w14:paraId="0982087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C8B9545"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1EA625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7CA86A1"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F9BBA2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B5C8DF8" w14:textId="77777777" w:rsidTr="001B330E">
        <w:trPr>
          <w:trHeight w:val="23"/>
        </w:trPr>
        <w:tc>
          <w:tcPr>
            <w:tcW w:w="1971" w:type="pct"/>
            <w:shd w:val="clear" w:color="auto" w:fill="auto"/>
            <w:vAlign w:val="bottom"/>
          </w:tcPr>
          <w:p w14:paraId="72742CC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Derecognised during the period</w:t>
            </w:r>
          </w:p>
        </w:tc>
        <w:tc>
          <w:tcPr>
            <w:tcW w:w="606" w:type="pct"/>
            <w:vAlign w:val="bottom"/>
          </w:tcPr>
          <w:p w14:paraId="6DE7B57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D2AC13F"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C446E5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84910F1"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61B962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82E894D" w14:textId="77777777" w:rsidTr="001B330E">
        <w:trPr>
          <w:trHeight w:val="23"/>
        </w:trPr>
        <w:tc>
          <w:tcPr>
            <w:tcW w:w="1971" w:type="pct"/>
            <w:shd w:val="clear" w:color="auto" w:fill="auto"/>
            <w:vAlign w:val="bottom"/>
          </w:tcPr>
          <w:p w14:paraId="48BF2C4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Changes to model assumptions</w:t>
            </w:r>
          </w:p>
        </w:tc>
        <w:tc>
          <w:tcPr>
            <w:tcW w:w="606" w:type="pct"/>
            <w:vAlign w:val="bottom"/>
          </w:tcPr>
          <w:p w14:paraId="69134B3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43903C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A53974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3DE72E7"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7EADD0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B2A5111" w14:textId="77777777" w:rsidTr="001B330E">
        <w:trPr>
          <w:trHeight w:val="23"/>
        </w:trPr>
        <w:tc>
          <w:tcPr>
            <w:tcW w:w="1971" w:type="pct"/>
            <w:shd w:val="clear" w:color="auto" w:fill="auto"/>
            <w:vAlign w:val="bottom"/>
          </w:tcPr>
          <w:p w14:paraId="7C55F92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Unwinding of discounting</w:t>
            </w:r>
          </w:p>
        </w:tc>
        <w:tc>
          <w:tcPr>
            <w:tcW w:w="606" w:type="pct"/>
            <w:vAlign w:val="bottom"/>
          </w:tcPr>
          <w:p w14:paraId="0944577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DDD15E0"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59D067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40D159D"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502E57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C322BD0" w14:textId="77777777" w:rsidTr="001B330E">
        <w:trPr>
          <w:trHeight w:val="23"/>
        </w:trPr>
        <w:tc>
          <w:tcPr>
            <w:tcW w:w="1971" w:type="pct"/>
            <w:shd w:val="clear" w:color="auto" w:fill="auto"/>
            <w:vAlign w:val="bottom"/>
          </w:tcPr>
          <w:p w14:paraId="7174A14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movements</w:t>
            </w:r>
          </w:p>
        </w:tc>
        <w:tc>
          <w:tcPr>
            <w:tcW w:w="606" w:type="pct"/>
            <w:vAlign w:val="bottom"/>
          </w:tcPr>
          <w:p w14:paraId="225B680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7B187C4"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0B233C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F7967BC"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F8D563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5EF1D5" w14:textId="77777777" w:rsidTr="001B330E">
        <w:trPr>
          <w:trHeight w:val="23"/>
        </w:trPr>
        <w:tc>
          <w:tcPr>
            <w:tcW w:w="1971" w:type="pct"/>
            <w:tcBorders>
              <w:bottom w:val="single" w:sz="4" w:space="0" w:color="000000"/>
            </w:tcBorders>
            <w:shd w:val="clear" w:color="auto" w:fill="auto"/>
            <w:vAlign w:val="bottom"/>
          </w:tcPr>
          <w:p w14:paraId="3BC7B99B"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7828507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DA4BBC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3C592F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DA50D36"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tcPr>
          <w:p w14:paraId="3FF8C30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903CA9D" w14:textId="77777777" w:rsidTr="001B330E">
        <w:trPr>
          <w:trHeight w:val="23"/>
        </w:trPr>
        <w:tc>
          <w:tcPr>
            <w:tcW w:w="1971" w:type="pct"/>
            <w:tcBorders>
              <w:top w:val="single" w:sz="4" w:space="0" w:color="000000"/>
            </w:tcBorders>
            <w:shd w:val="clear" w:color="auto" w:fill="auto"/>
            <w:vAlign w:val="bottom"/>
          </w:tcPr>
          <w:p w14:paraId="66704FBE"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7DB02448"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96CCC7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DEC4002"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B60333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749A92E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3EF5FD3" w14:textId="77777777" w:rsidTr="001B330E">
        <w:trPr>
          <w:trHeight w:val="23"/>
        </w:trPr>
        <w:tc>
          <w:tcPr>
            <w:tcW w:w="1971" w:type="pct"/>
            <w:shd w:val="clear" w:color="auto" w:fill="auto"/>
            <w:vAlign w:val="bottom"/>
          </w:tcPr>
          <w:p w14:paraId="5180E98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charge to profit or loss for the year</w:t>
            </w:r>
          </w:p>
        </w:tc>
        <w:tc>
          <w:tcPr>
            <w:tcW w:w="606" w:type="pct"/>
            <w:vAlign w:val="bottom"/>
          </w:tcPr>
          <w:p w14:paraId="598C1A5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EDA5E54"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61B29A"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10DA1F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30BBA1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E086A7B" w14:textId="77777777" w:rsidTr="001B330E">
        <w:trPr>
          <w:trHeight w:val="23"/>
        </w:trPr>
        <w:tc>
          <w:tcPr>
            <w:tcW w:w="1971" w:type="pct"/>
            <w:shd w:val="clear" w:color="auto" w:fill="auto"/>
            <w:vAlign w:val="bottom"/>
          </w:tcPr>
          <w:p w14:paraId="613BD61A"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4F9182FA"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C5AA15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BED3FE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7B88570"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CE3E65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1F1D7E8" w14:textId="77777777" w:rsidTr="001B330E">
        <w:trPr>
          <w:trHeight w:val="23"/>
        </w:trPr>
        <w:tc>
          <w:tcPr>
            <w:tcW w:w="1971" w:type="pct"/>
            <w:tcBorders>
              <w:top w:val="single" w:sz="4" w:space="0" w:color="000000"/>
            </w:tcBorders>
            <w:shd w:val="clear" w:color="auto" w:fill="auto"/>
            <w:vAlign w:val="bottom"/>
          </w:tcPr>
          <w:p w14:paraId="73E9A01C"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606" w:type="pct"/>
            <w:tcBorders>
              <w:top w:val="single" w:sz="4" w:space="0" w:color="000000"/>
            </w:tcBorders>
            <w:vAlign w:val="bottom"/>
          </w:tcPr>
          <w:p w14:paraId="64B0518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B355FF8"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9AF8D7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ED2653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7882EE0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7267F8D" w14:textId="77777777" w:rsidTr="001B330E">
        <w:trPr>
          <w:trHeight w:val="23"/>
        </w:trPr>
        <w:tc>
          <w:tcPr>
            <w:tcW w:w="1971" w:type="pct"/>
            <w:shd w:val="clear" w:color="auto" w:fill="auto"/>
            <w:vAlign w:val="bottom"/>
          </w:tcPr>
          <w:p w14:paraId="45F4D1F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i/>
                <w:color w:val="000000"/>
              </w:rPr>
              <w:t>Movements without impact on provision for credit related commitments charge for the period:</w:t>
            </w:r>
          </w:p>
        </w:tc>
        <w:tc>
          <w:tcPr>
            <w:tcW w:w="606" w:type="pct"/>
            <w:vAlign w:val="bottom"/>
          </w:tcPr>
          <w:p w14:paraId="5C2900F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C181CE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41A148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7923883"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6F8EDFA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BB9DCE" w14:textId="77777777" w:rsidTr="001B330E">
        <w:trPr>
          <w:trHeight w:val="23"/>
        </w:trPr>
        <w:tc>
          <w:tcPr>
            <w:tcW w:w="1971" w:type="pct"/>
            <w:shd w:val="clear" w:color="auto" w:fill="auto"/>
            <w:vAlign w:val="bottom"/>
          </w:tcPr>
          <w:p w14:paraId="7AF8307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Write-offs</w:t>
            </w:r>
          </w:p>
        </w:tc>
        <w:tc>
          <w:tcPr>
            <w:tcW w:w="606" w:type="pct"/>
            <w:vAlign w:val="bottom"/>
          </w:tcPr>
          <w:p w14:paraId="1E693DA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66FB88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70763C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18C3E8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C47D4C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1B2666C" w14:textId="77777777" w:rsidTr="001B330E">
        <w:trPr>
          <w:trHeight w:val="23"/>
        </w:trPr>
        <w:tc>
          <w:tcPr>
            <w:tcW w:w="1971" w:type="pct"/>
            <w:shd w:val="clear" w:color="auto" w:fill="auto"/>
            <w:vAlign w:val="bottom"/>
          </w:tcPr>
          <w:p w14:paraId="3AA1CB6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FX movements</w:t>
            </w:r>
          </w:p>
        </w:tc>
        <w:tc>
          <w:tcPr>
            <w:tcW w:w="606" w:type="pct"/>
            <w:vAlign w:val="bottom"/>
          </w:tcPr>
          <w:p w14:paraId="6C058AB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BA71C7E"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FCE66A"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52045C7"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221B1E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53AC123" w14:textId="77777777" w:rsidTr="001B330E">
        <w:trPr>
          <w:trHeight w:val="23"/>
        </w:trPr>
        <w:tc>
          <w:tcPr>
            <w:tcW w:w="1971" w:type="pct"/>
            <w:shd w:val="clear" w:color="auto" w:fill="auto"/>
            <w:vAlign w:val="bottom"/>
          </w:tcPr>
          <w:p w14:paraId="44101AF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Modification of contractual cash flows</w:t>
            </w:r>
          </w:p>
        </w:tc>
        <w:tc>
          <w:tcPr>
            <w:tcW w:w="606" w:type="pct"/>
            <w:vAlign w:val="bottom"/>
          </w:tcPr>
          <w:p w14:paraId="38E77EDA"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3FA341C"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0ADD18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74B8966"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67E2DCB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2F31391" w14:textId="77777777" w:rsidTr="001B330E">
        <w:trPr>
          <w:trHeight w:val="23"/>
        </w:trPr>
        <w:tc>
          <w:tcPr>
            <w:tcW w:w="1971" w:type="pct"/>
            <w:shd w:val="clear" w:color="auto" w:fill="auto"/>
            <w:vAlign w:val="bottom"/>
          </w:tcPr>
          <w:p w14:paraId="3A100EF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Unwinding of discount (for Stage 3) </w:t>
            </w:r>
          </w:p>
        </w:tc>
        <w:tc>
          <w:tcPr>
            <w:tcW w:w="606" w:type="pct"/>
            <w:vAlign w:val="bottom"/>
          </w:tcPr>
          <w:p w14:paraId="151AFCD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76369A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BD9DEF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04AE699"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47D38A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F061894" w14:textId="77777777" w:rsidTr="001B330E">
        <w:trPr>
          <w:trHeight w:val="23"/>
        </w:trPr>
        <w:tc>
          <w:tcPr>
            <w:tcW w:w="1971" w:type="pct"/>
            <w:tcBorders>
              <w:bottom w:val="single" w:sz="4" w:space="0" w:color="000000"/>
            </w:tcBorders>
            <w:shd w:val="clear" w:color="auto" w:fill="auto"/>
            <w:vAlign w:val="bottom"/>
          </w:tcPr>
          <w:p w14:paraId="2242930B"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tcBorders>
              <w:bottom w:val="single" w:sz="4" w:space="0" w:color="000000"/>
            </w:tcBorders>
            <w:vAlign w:val="bottom"/>
          </w:tcPr>
          <w:p w14:paraId="6F0FE00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F11DD2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B5F24EB"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C184B3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tcPr>
          <w:p w14:paraId="1B09B8E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8DA50AC" w14:textId="77777777" w:rsidTr="001B330E">
        <w:trPr>
          <w:trHeight w:val="23"/>
        </w:trPr>
        <w:tc>
          <w:tcPr>
            <w:tcW w:w="1971" w:type="pct"/>
            <w:tcBorders>
              <w:top w:val="single" w:sz="4" w:space="0" w:color="000000"/>
            </w:tcBorders>
            <w:shd w:val="clear" w:color="auto" w:fill="auto"/>
            <w:vAlign w:val="bottom"/>
          </w:tcPr>
          <w:p w14:paraId="07E9D03E"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tcBorders>
              <w:top w:val="single" w:sz="4" w:space="0" w:color="000000"/>
            </w:tcBorders>
            <w:vAlign w:val="bottom"/>
          </w:tcPr>
          <w:p w14:paraId="2FE6924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B86404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85D9EA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A9BDD29"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388030B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032EDBA" w14:textId="77777777" w:rsidTr="001B330E">
        <w:trPr>
          <w:trHeight w:val="23"/>
        </w:trPr>
        <w:tc>
          <w:tcPr>
            <w:tcW w:w="1971" w:type="pct"/>
            <w:shd w:val="clear" w:color="auto" w:fill="auto"/>
            <w:vAlign w:val="bottom"/>
          </w:tcPr>
          <w:p w14:paraId="5A55AF0C" w14:textId="6BB0128B"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Provision for financial guarantees at </w:t>
            </w:r>
            <w:r w:rsidRPr="00EA10CF">
              <w:rPr>
                <w:b/>
                <w:color w:val="000000"/>
              </w:rPr>
              <w:br/>
              <w:t>31</w:t>
            </w:r>
            <w:r w:rsidR="00181687">
              <w:rPr>
                <w:b/>
                <w:color w:val="000000"/>
              </w:rPr>
              <w:t> December </w:t>
            </w:r>
            <w:r w:rsidR="00541EBC">
              <w:rPr>
                <w:b/>
                <w:color w:val="000000"/>
              </w:rPr>
              <w:t>2024</w:t>
            </w:r>
          </w:p>
        </w:tc>
        <w:tc>
          <w:tcPr>
            <w:tcW w:w="606" w:type="pct"/>
            <w:vAlign w:val="bottom"/>
          </w:tcPr>
          <w:p w14:paraId="2429540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0893CE6"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BF231C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56C5A2F"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8CCB47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25EC9EE" w14:textId="77777777" w:rsidTr="001B330E">
        <w:trPr>
          <w:trHeight w:val="23"/>
        </w:trPr>
        <w:tc>
          <w:tcPr>
            <w:tcW w:w="1971" w:type="pct"/>
            <w:tcBorders>
              <w:bottom w:val="single" w:sz="12" w:space="0" w:color="000000"/>
            </w:tcBorders>
            <w:shd w:val="clear" w:color="auto" w:fill="auto"/>
            <w:vAlign w:val="bottom"/>
          </w:tcPr>
          <w:p w14:paraId="2CD6C586" w14:textId="77777777" w:rsidR="00D83E33" w:rsidRPr="00EA10CF" w:rsidRDefault="00D83E33" w:rsidP="001B330E">
            <w:pPr>
              <w:widowControl w:val="0"/>
              <w:pBdr>
                <w:top w:val="nil"/>
                <w:left w:val="nil"/>
                <w:bottom w:val="nil"/>
                <w:right w:val="nil"/>
                <w:between w:val="nil"/>
              </w:pBdr>
              <w:ind w:left="113" w:hanging="113"/>
              <w:rPr>
                <w:color w:val="000000"/>
                <w:u w:val="single"/>
              </w:rPr>
            </w:pPr>
          </w:p>
        </w:tc>
        <w:tc>
          <w:tcPr>
            <w:tcW w:w="606" w:type="pct"/>
            <w:tcBorders>
              <w:bottom w:val="single" w:sz="12" w:space="0" w:color="000000"/>
            </w:tcBorders>
            <w:vAlign w:val="bottom"/>
          </w:tcPr>
          <w:p w14:paraId="46646E0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15DF2120"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C067CC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FEDA1F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tcPr>
          <w:p w14:paraId="2A6AE84E" w14:textId="77777777" w:rsidR="00D83E33" w:rsidRPr="00EA10CF" w:rsidRDefault="00D83E33">
            <w:pPr>
              <w:widowControl w:val="0"/>
              <w:pBdr>
                <w:top w:val="nil"/>
                <w:left w:val="nil"/>
                <w:bottom w:val="nil"/>
                <w:right w:val="nil"/>
                <w:between w:val="nil"/>
              </w:pBdr>
              <w:jc w:val="right"/>
              <w:rPr>
                <w:color w:val="000000"/>
              </w:rPr>
            </w:pPr>
          </w:p>
        </w:tc>
      </w:tr>
    </w:tbl>
    <w:p w14:paraId="6975A83E" w14:textId="5D16E2A6" w:rsidR="00D83E33" w:rsidRDefault="00BC4072" w:rsidP="001B330E">
      <w:pPr>
        <w:pStyle w:val="Continued"/>
      </w:pPr>
      <w:r>
        <w:lastRenderedPageBreak/>
        <w:t>26</w:t>
      </w:r>
      <w:r>
        <w:tab/>
        <w:t>Other Financial Liabilities (Continued)</w:t>
      </w:r>
    </w:p>
    <w:tbl>
      <w:tblPr>
        <w:tblStyle w:val="afffffffffff9"/>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A10CF" w14:paraId="0453EA5D" w14:textId="77777777" w:rsidTr="001B330E">
        <w:trPr>
          <w:trHeight w:val="23"/>
        </w:trPr>
        <w:tc>
          <w:tcPr>
            <w:tcW w:w="1971" w:type="pct"/>
            <w:tcBorders>
              <w:bottom w:val="single" w:sz="4" w:space="0" w:color="000000"/>
            </w:tcBorders>
            <w:shd w:val="clear" w:color="auto" w:fill="auto"/>
            <w:vAlign w:val="bottom"/>
          </w:tcPr>
          <w:p w14:paraId="61C44B3B" w14:textId="72668154"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4287082D"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Stage 1 </w:t>
            </w:r>
          </w:p>
          <w:p w14:paraId="515175D9"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(12-months ECL)</w:t>
            </w:r>
          </w:p>
        </w:tc>
        <w:tc>
          <w:tcPr>
            <w:tcW w:w="606" w:type="pct"/>
            <w:tcBorders>
              <w:bottom w:val="single" w:sz="4" w:space="0" w:color="000000"/>
            </w:tcBorders>
          </w:tcPr>
          <w:p w14:paraId="3D22D4F5"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Stage 2</w:t>
            </w:r>
          </w:p>
          <w:p w14:paraId="7C508DA5"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(lifetime ECL for SICR) </w:t>
            </w:r>
          </w:p>
        </w:tc>
        <w:tc>
          <w:tcPr>
            <w:tcW w:w="606" w:type="pct"/>
            <w:tcBorders>
              <w:bottom w:val="single" w:sz="4" w:space="0" w:color="000000"/>
            </w:tcBorders>
            <w:shd w:val="clear" w:color="auto" w:fill="auto"/>
          </w:tcPr>
          <w:p w14:paraId="3957008E"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Stage 3</w:t>
            </w:r>
          </w:p>
          <w:p w14:paraId="59BD2D1D"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(lifetime ECL for credit im-paired)</w:t>
            </w:r>
          </w:p>
        </w:tc>
        <w:tc>
          <w:tcPr>
            <w:tcW w:w="606" w:type="pct"/>
            <w:tcBorders>
              <w:bottom w:val="single" w:sz="4" w:space="0" w:color="000000"/>
            </w:tcBorders>
          </w:tcPr>
          <w:p w14:paraId="49789018"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Total provision</w:t>
            </w:r>
          </w:p>
        </w:tc>
        <w:tc>
          <w:tcPr>
            <w:tcW w:w="606" w:type="pct"/>
            <w:tcBorders>
              <w:bottom w:val="single" w:sz="4" w:space="0" w:color="000000"/>
            </w:tcBorders>
          </w:tcPr>
          <w:p w14:paraId="313CCB67"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Gross guaranteed amount</w:t>
            </w:r>
          </w:p>
        </w:tc>
      </w:tr>
      <w:tr w:rsidR="00D83E33" w:rsidRPr="00EA10CF" w14:paraId="58F5945F" w14:textId="77777777" w:rsidTr="001B330E">
        <w:trPr>
          <w:trHeight w:val="23"/>
        </w:trPr>
        <w:tc>
          <w:tcPr>
            <w:tcW w:w="1971" w:type="pct"/>
            <w:tcBorders>
              <w:top w:val="single" w:sz="4" w:space="0" w:color="000000"/>
            </w:tcBorders>
            <w:shd w:val="clear" w:color="auto" w:fill="auto"/>
            <w:vAlign w:val="bottom"/>
          </w:tcPr>
          <w:p w14:paraId="2252B140" w14:textId="77777777" w:rsidR="00D83E33" w:rsidRPr="00EA10CF" w:rsidRDefault="00D83E33" w:rsidP="001B330E">
            <w:pPr>
              <w:widowControl w:val="0"/>
              <w:pBdr>
                <w:top w:val="nil"/>
                <w:left w:val="nil"/>
                <w:bottom w:val="nil"/>
                <w:right w:val="nil"/>
                <w:between w:val="nil"/>
              </w:pBdr>
              <w:ind w:left="113" w:hanging="113"/>
              <w:rPr>
                <w:b/>
                <w:color w:val="000000"/>
                <w:u w:val="single"/>
              </w:rPr>
            </w:pPr>
          </w:p>
        </w:tc>
        <w:tc>
          <w:tcPr>
            <w:tcW w:w="606" w:type="pct"/>
            <w:tcBorders>
              <w:top w:val="single" w:sz="4" w:space="0" w:color="000000"/>
            </w:tcBorders>
            <w:vAlign w:val="bottom"/>
          </w:tcPr>
          <w:p w14:paraId="5966B851"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4B9F3F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7CD1EE59"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CB1CA70"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6BAFF92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67F945E" w14:textId="77777777" w:rsidTr="001B330E">
        <w:trPr>
          <w:trHeight w:val="23"/>
        </w:trPr>
        <w:tc>
          <w:tcPr>
            <w:tcW w:w="1971" w:type="pct"/>
            <w:shd w:val="clear" w:color="auto" w:fill="auto"/>
            <w:vAlign w:val="bottom"/>
          </w:tcPr>
          <w:p w14:paraId="6049E6A3"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vAlign w:val="bottom"/>
          </w:tcPr>
          <w:p w14:paraId="0E21EB2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647459B"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746309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AC3C0B1"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62C40EF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3EBCB70" w14:textId="77777777" w:rsidTr="001B330E">
        <w:trPr>
          <w:trHeight w:val="23"/>
        </w:trPr>
        <w:tc>
          <w:tcPr>
            <w:tcW w:w="1971" w:type="pct"/>
            <w:shd w:val="clear" w:color="auto" w:fill="auto"/>
            <w:vAlign w:val="bottom"/>
          </w:tcPr>
          <w:p w14:paraId="376BA42E" w14:textId="5CC43F14" w:rsidR="00D83E33" w:rsidRPr="00EA10CF" w:rsidRDefault="00BC4072" w:rsidP="001B330E">
            <w:pPr>
              <w:widowControl w:val="0"/>
              <w:pBdr>
                <w:top w:val="nil"/>
                <w:left w:val="nil"/>
                <w:bottom w:val="nil"/>
                <w:right w:val="nil"/>
                <w:between w:val="nil"/>
              </w:pBdr>
              <w:ind w:left="113" w:hanging="113"/>
              <w:rPr>
                <w:b/>
                <w:color w:val="0000FF"/>
              </w:rPr>
            </w:pPr>
            <w:r w:rsidRPr="00EA10CF">
              <w:rPr>
                <w:b/>
                <w:color w:val="000000"/>
              </w:rPr>
              <w:t xml:space="preserve">Provision for financial guarantees at </w:t>
            </w:r>
            <w:r w:rsidRPr="00EA10CF">
              <w:rPr>
                <w:b/>
                <w:color w:val="000000"/>
              </w:rPr>
              <w:br/>
              <w:t xml:space="preserve">1 January </w:t>
            </w:r>
            <w:r w:rsidR="00541EBC">
              <w:rPr>
                <w:b/>
                <w:color w:val="000000"/>
              </w:rPr>
              <w:t>2023</w:t>
            </w:r>
          </w:p>
        </w:tc>
        <w:tc>
          <w:tcPr>
            <w:tcW w:w="606" w:type="pct"/>
            <w:vAlign w:val="bottom"/>
          </w:tcPr>
          <w:p w14:paraId="37863DD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4006097"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864CC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43B8863"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AEC3CF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84675B3" w14:textId="77777777" w:rsidTr="001B330E">
        <w:trPr>
          <w:trHeight w:val="23"/>
        </w:trPr>
        <w:tc>
          <w:tcPr>
            <w:tcW w:w="1971" w:type="pct"/>
            <w:shd w:val="clear" w:color="auto" w:fill="auto"/>
            <w:vAlign w:val="bottom"/>
          </w:tcPr>
          <w:p w14:paraId="47E85D41"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384E711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455371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42FBFA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6D94AE0"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91A7D5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47B538D" w14:textId="77777777" w:rsidTr="001B330E">
        <w:trPr>
          <w:trHeight w:val="23"/>
        </w:trPr>
        <w:tc>
          <w:tcPr>
            <w:tcW w:w="1971" w:type="pct"/>
            <w:shd w:val="clear" w:color="auto" w:fill="auto"/>
            <w:vAlign w:val="bottom"/>
          </w:tcPr>
          <w:p w14:paraId="221E35BC"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Movements with impact on provision for credit related commitments charge for the period:</w:t>
            </w:r>
          </w:p>
        </w:tc>
        <w:tc>
          <w:tcPr>
            <w:tcW w:w="606" w:type="pct"/>
            <w:vAlign w:val="bottom"/>
          </w:tcPr>
          <w:p w14:paraId="7C0041B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0E6E4B3"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4E0766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22A286D"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65DB87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CC63308" w14:textId="77777777" w:rsidTr="001B330E">
        <w:trPr>
          <w:trHeight w:val="23"/>
        </w:trPr>
        <w:tc>
          <w:tcPr>
            <w:tcW w:w="1971" w:type="pct"/>
            <w:shd w:val="clear" w:color="auto" w:fill="auto"/>
            <w:vAlign w:val="bottom"/>
          </w:tcPr>
          <w:p w14:paraId="4A410E48"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00"/>
              </w:rPr>
              <w:t>Transfers:</w:t>
            </w:r>
          </w:p>
        </w:tc>
        <w:tc>
          <w:tcPr>
            <w:tcW w:w="606" w:type="pct"/>
            <w:vAlign w:val="bottom"/>
          </w:tcPr>
          <w:p w14:paraId="3CCDB3A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A70E84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8CB06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8577458"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E173E8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B3D28AD" w14:textId="77777777" w:rsidTr="001B330E">
        <w:trPr>
          <w:trHeight w:val="23"/>
        </w:trPr>
        <w:tc>
          <w:tcPr>
            <w:tcW w:w="1971" w:type="pct"/>
            <w:shd w:val="clear" w:color="auto" w:fill="auto"/>
            <w:vAlign w:val="bottom"/>
          </w:tcPr>
          <w:p w14:paraId="3AA0951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lifetime (from Stage 1 to Stage 2)</w:t>
            </w:r>
          </w:p>
        </w:tc>
        <w:tc>
          <w:tcPr>
            <w:tcW w:w="606" w:type="pct"/>
            <w:vAlign w:val="bottom"/>
          </w:tcPr>
          <w:p w14:paraId="3D8495B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27102DF"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487F9FA"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F8DEB46"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1287B52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D73D43C" w14:textId="77777777" w:rsidTr="001B330E">
        <w:trPr>
          <w:trHeight w:val="23"/>
        </w:trPr>
        <w:tc>
          <w:tcPr>
            <w:tcW w:w="1971" w:type="pct"/>
            <w:shd w:val="clear" w:color="auto" w:fill="auto"/>
            <w:vAlign w:val="bottom"/>
          </w:tcPr>
          <w:p w14:paraId="744E65B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credit-impaired (from Stage 1 and Stage 2 to Stage 3)</w:t>
            </w:r>
          </w:p>
        </w:tc>
        <w:tc>
          <w:tcPr>
            <w:tcW w:w="606" w:type="pct"/>
            <w:vAlign w:val="bottom"/>
          </w:tcPr>
          <w:p w14:paraId="7EA0000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B2F014F"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552270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BAF8CD6"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8BAB30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6AD4F82" w14:textId="77777777" w:rsidTr="001B330E">
        <w:trPr>
          <w:trHeight w:val="23"/>
        </w:trPr>
        <w:tc>
          <w:tcPr>
            <w:tcW w:w="1971" w:type="pct"/>
            <w:shd w:val="clear" w:color="auto" w:fill="auto"/>
            <w:vAlign w:val="bottom"/>
          </w:tcPr>
          <w:p w14:paraId="5FA1EBD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12-months ECL (from Stage 2 and Stage 3 to Stage 1)</w:t>
            </w:r>
          </w:p>
        </w:tc>
        <w:tc>
          <w:tcPr>
            <w:tcW w:w="606" w:type="pct"/>
            <w:vAlign w:val="bottom"/>
          </w:tcPr>
          <w:p w14:paraId="61E0B20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41A8F1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9F0F37A"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BB93BAD"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C334A1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77FDE0B" w14:textId="77777777" w:rsidTr="001B330E">
        <w:trPr>
          <w:trHeight w:val="23"/>
        </w:trPr>
        <w:tc>
          <w:tcPr>
            <w:tcW w:w="1971" w:type="pct"/>
            <w:shd w:val="clear" w:color="auto" w:fill="auto"/>
            <w:vAlign w:val="bottom"/>
          </w:tcPr>
          <w:p w14:paraId="61D0063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Issued guarantees (fees charged)</w:t>
            </w:r>
          </w:p>
        </w:tc>
        <w:tc>
          <w:tcPr>
            <w:tcW w:w="606" w:type="pct"/>
            <w:vAlign w:val="bottom"/>
          </w:tcPr>
          <w:p w14:paraId="048A691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CEE17F4"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519D6D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B54B35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6B71601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192DEEE" w14:textId="77777777" w:rsidTr="001B330E">
        <w:trPr>
          <w:trHeight w:val="23"/>
        </w:trPr>
        <w:tc>
          <w:tcPr>
            <w:tcW w:w="1971" w:type="pct"/>
            <w:shd w:val="clear" w:color="auto" w:fill="auto"/>
            <w:vAlign w:val="bottom"/>
          </w:tcPr>
          <w:p w14:paraId="7F7632B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Amortisation of deferred fee to income</w:t>
            </w:r>
          </w:p>
        </w:tc>
        <w:tc>
          <w:tcPr>
            <w:tcW w:w="606" w:type="pct"/>
            <w:vAlign w:val="bottom"/>
          </w:tcPr>
          <w:p w14:paraId="7484BE3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383450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DFC557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46899D7"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4BE2A9A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A44358" w14:textId="77777777" w:rsidTr="001B330E">
        <w:trPr>
          <w:trHeight w:val="23"/>
        </w:trPr>
        <w:tc>
          <w:tcPr>
            <w:tcW w:w="1971" w:type="pct"/>
            <w:shd w:val="clear" w:color="auto" w:fill="auto"/>
            <w:vAlign w:val="bottom"/>
          </w:tcPr>
          <w:p w14:paraId="0A7F2EF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Derecognised during the period</w:t>
            </w:r>
          </w:p>
        </w:tc>
        <w:tc>
          <w:tcPr>
            <w:tcW w:w="606" w:type="pct"/>
            <w:vAlign w:val="bottom"/>
          </w:tcPr>
          <w:p w14:paraId="4C38D5A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B68418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9A7A3A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F3EFB71"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4E40DE7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D4EBD59" w14:textId="77777777" w:rsidTr="001B330E">
        <w:trPr>
          <w:trHeight w:val="23"/>
        </w:trPr>
        <w:tc>
          <w:tcPr>
            <w:tcW w:w="1971" w:type="pct"/>
            <w:shd w:val="clear" w:color="auto" w:fill="auto"/>
            <w:vAlign w:val="bottom"/>
          </w:tcPr>
          <w:p w14:paraId="1DB849F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Changes to model assumptions</w:t>
            </w:r>
          </w:p>
        </w:tc>
        <w:tc>
          <w:tcPr>
            <w:tcW w:w="606" w:type="pct"/>
            <w:vAlign w:val="bottom"/>
          </w:tcPr>
          <w:p w14:paraId="41F9FE5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E9E39C0"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71A49C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68E0927"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6201E22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AE783CB" w14:textId="77777777" w:rsidTr="001B330E">
        <w:trPr>
          <w:trHeight w:val="23"/>
        </w:trPr>
        <w:tc>
          <w:tcPr>
            <w:tcW w:w="1971" w:type="pct"/>
            <w:shd w:val="clear" w:color="auto" w:fill="auto"/>
            <w:vAlign w:val="bottom"/>
          </w:tcPr>
          <w:p w14:paraId="50C2F9D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Unwinding of discounting</w:t>
            </w:r>
          </w:p>
        </w:tc>
        <w:tc>
          <w:tcPr>
            <w:tcW w:w="606" w:type="pct"/>
            <w:vAlign w:val="bottom"/>
          </w:tcPr>
          <w:p w14:paraId="62F7865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CE9C49F"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F28DBC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D836CB5"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5EE1D5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6E4B64F" w14:textId="77777777" w:rsidTr="001B330E">
        <w:trPr>
          <w:trHeight w:val="23"/>
        </w:trPr>
        <w:tc>
          <w:tcPr>
            <w:tcW w:w="1971" w:type="pct"/>
            <w:shd w:val="clear" w:color="auto" w:fill="auto"/>
            <w:vAlign w:val="bottom"/>
          </w:tcPr>
          <w:p w14:paraId="0EB7D4A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movements</w:t>
            </w:r>
          </w:p>
        </w:tc>
        <w:tc>
          <w:tcPr>
            <w:tcW w:w="606" w:type="pct"/>
            <w:vAlign w:val="bottom"/>
          </w:tcPr>
          <w:p w14:paraId="3D6585E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ACDA43C"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22850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D569232"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D335F8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36B9FBA" w14:textId="77777777" w:rsidTr="001B330E">
        <w:trPr>
          <w:trHeight w:val="23"/>
        </w:trPr>
        <w:tc>
          <w:tcPr>
            <w:tcW w:w="1971" w:type="pct"/>
            <w:tcBorders>
              <w:bottom w:val="single" w:sz="4" w:space="0" w:color="000000"/>
            </w:tcBorders>
            <w:shd w:val="clear" w:color="auto" w:fill="auto"/>
            <w:vAlign w:val="bottom"/>
          </w:tcPr>
          <w:p w14:paraId="0F329645"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22BB96E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199F55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5A65CC0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E50A540"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tcPr>
          <w:p w14:paraId="46E03C0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E92DB97" w14:textId="77777777" w:rsidTr="001B330E">
        <w:trPr>
          <w:trHeight w:val="23"/>
        </w:trPr>
        <w:tc>
          <w:tcPr>
            <w:tcW w:w="1971" w:type="pct"/>
            <w:tcBorders>
              <w:top w:val="single" w:sz="4" w:space="0" w:color="000000"/>
            </w:tcBorders>
            <w:shd w:val="clear" w:color="auto" w:fill="auto"/>
            <w:vAlign w:val="bottom"/>
          </w:tcPr>
          <w:p w14:paraId="72DB6B79"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6B6F70B"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430450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AD4E3D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434FE06"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30022D5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BEB7351" w14:textId="77777777" w:rsidTr="001B330E">
        <w:trPr>
          <w:trHeight w:val="23"/>
        </w:trPr>
        <w:tc>
          <w:tcPr>
            <w:tcW w:w="1971" w:type="pct"/>
            <w:shd w:val="clear" w:color="auto" w:fill="auto"/>
            <w:vAlign w:val="bottom"/>
          </w:tcPr>
          <w:p w14:paraId="42FF2066"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charge to profit or loss for the year</w:t>
            </w:r>
          </w:p>
        </w:tc>
        <w:tc>
          <w:tcPr>
            <w:tcW w:w="606" w:type="pct"/>
            <w:vAlign w:val="bottom"/>
          </w:tcPr>
          <w:p w14:paraId="508ABC2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560E880"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C4698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710BFE7"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89EB75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A537210" w14:textId="77777777" w:rsidTr="001B330E">
        <w:trPr>
          <w:trHeight w:val="23"/>
        </w:trPr>
        <w:tc>
          <w:tcPr>
            <w:tcW w:w="1971" w:type="pct"/>
            <w:shd w:val="clear" w:color="auto" w:fill="auto"/>
            <w:vAlign w:val="bottom"/>
          </w:tcPr>
          <w:p w14:paraId="42B3E2E9"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0A14E17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E1B078B"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DFD53D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A86FC23"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7837CB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7355CB" w14:textId="77777777" w:rsidTr="001B330E">
        <w:trPr>
          <w:trHeight w:val="23"/>
        </w:trPr>
        <w:tc>
          <w:tcPr>
            <w:tcW w:w="1971" w:type="pct"/>
            <w:tcBorders>
              <w:top w:val="single" w:sz="4" w:space="0" w:color="000000"/>
            </w:tcBorders>
            <w:shd w:val="clear" w:color="auto" w:fill="auto"/>
            <w:vAlign w:val="bottom"/>
          </w:tcPr>
          <w:p w14:paraId="3E4B88AF"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606" w:type="pct"/>
            <w:tcBorders>
              <w:top w:val="single" w:sz="4" w:space="0" w:color="000000"/>
            </w:tcBorders>
            <w:vAlign w:val="bottom"/>
          </w:tcPr>
          <w:p w14:paraId="72C7763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9100C1A"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27AD2AB9"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94CB68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4F0413A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133660B" w14:textId="77777777" w:rsidTr="001B330E">
        <w:trPr>
          <w:trHeight w:val="23"/>
        </w:trPr>
        <w:tc>
          <w:tcPr>
            <w:tcW w:w="1971" w:type="pct"/>
            <w:shd w:val="clear" w:color="auto" w:fill="auto"/>
            <w:vAlign w:val="bottom"/>
          </w:tcPr>
          <w:p w14:paraId="65AF424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i/>
                <w:color w:val="000000"/>
              </w:rPr>
              <w:t>Movements without impact on provision for credit related commitments charge for the period:</w:t>
            </w:r>
          </w:p>
        </w:tc>
        <w:tc>
          <w:tcPr>
            <w:tcW w:w="606" w:type="pct"/>
            <w:vAlign w:val="bottom"/>
          </w:tcPr>
          <w:p w14:paraId="0F8FAA5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585A232"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2AC178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F106FB0"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1499894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2850515" w14:textId="77777777" w:rsidTr="001B330E">
        <w:trPr>
          <w:trHeight w:val="23"/>
        </w:trPr>
        <w:tc>
          <w:tcPr>
            <w:tcW w:w="1971" w:type="pct"/>
            <w:shd w:val="clear" w:color="auto" w:fill="auto"/>
            <w:vAlign w:val="bottom"/>
          </w:tcPr>
          <w:p w14:paraId="0BDE8F4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Write-offs</w:t>
            </w:r>
          </w:p>
        </w:tc>
        <w:tc>
          <w:tcPr>
            <w:tcW w:w="606" w:type="pct"/>
            <w:vAlign w:val="bottom"/>
          </w:tcPr>
          <w:p w14:paraId="742AB9F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62CC3D2"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6124A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FC7306C"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6799635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1F8E649" w14:textId="77777777" w:rsidTr="001B330E">
        <w:trPr>
          <w:trHeight w:val="23"/>
        </w:trPr>
        <w:tc>
          <w:tcPr>
            <w:tcW w:w="1971" w:type="pct"/>
            <w:shd w:val="clear" w:color="auto" w:fill="auto"/>
            <w:vAlign w:val="bottom"/>
          </w:tcPr>
          <w:p w14:paraId="4420AF8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FX movements</w:t>
            </w:r>
          </w:p>
        </w:tc>
        <w:tc>
          <w:tcPr>
            <w:tcW w:w="606" w:type="pct"/>
            <w:vAlign w:val="bottom"/>
          </w:tcPr>
          <w:p w14:paraId="34F9962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602EA34"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8DFAD0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7FD9ABE"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726438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483630D" w14:textId="77777777" w:rsidTr="001B330E">
        <w:trPr>
          <w:trHeight w:val="23"/>
        </w:trPr>
        <w:tc>
          <w:tcPr>
            <w:tcW w:w="1971" w:type="pct"/>
            <w:shd w:val="clear" w:color="auto" w:fill="auto"/>
            <w:vAlign w:val="bottom"/>
          </w:tcPr>
          <w:p w14:paraId="54A7555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Modification of contractual cash flows</w:t>
            </w:r>
          </w:p>
        </w:tc>
        <w:tc>
          <w:tcPr>
            <w:tcW w:w="606" w:type="pct"/>
            <w:vAlign w:val="bottom"/>
          </w:tcPr>
          <w:p w14:paraId="3282984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7184D7B"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614D4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1DECF0C"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BB9DDE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25F932C" w14:textId="77777777" w:rsidTr="001B330E">
        <w:trPr>
          <w:trHeight w:val="23"/>
        </w:trPr>
        <w:tc>
          <w:tcPr>
            <w:tcW w:w="1971" w:type="pct"/>
            <w:shd w:val="clear" w:color="auto" w:fill="auto"/>
            <w:vAlign w:val="bottom"/>
          </w:tcPr>
          <w:p w14:paraId="1F7BCC0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Unwinding of discount (for Stage 3) </w:t>
            </w:r>
          </w:p>
        </w:tc>
        <w:tc>
          <w:tcPr>
            <w:tcW w:w="606" w:type="pct"/>
            <w:vAlign w:val="bottom"/>
          </w:tcPr>
          <w:p w14:paraId="6B4F0E5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2E72695"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8BFF47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712B7B3"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41E1D8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3E7F71E" w14:textId="77777777" w:rsidTr="001B330E">
        <w:trPr>
          <w:trHeight w:val="23"/>
        </w:trPr>
        <w:tc>
          <w:tcPr>
            <w:tcW w:w="1971" w:type="pct"/>
            <w:tcBorders>
              <w:bottom w:val="single" w:sz="4" w:space="0" w:color="000000"/>
            </w:tcBorders>
            <w:shd w:val="clear" w:color="auto" w:fill="auto"/>
            <w:vAlign w:val="bottom"/>
          </w:tcPr>
          <w:p w14:paraId="279DAB45"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tcBorders>
              <w:bottom w:val="single" w:sz="4" w:space="0" w:color="000000"/>
            </w:tcBorders>
            <w:vAlign w:val="bottom"/>
          </w:tcPr>
          <w:p w14:paraId="66C036F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77092B0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35C44CB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6C0B41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tcPr>
          <w:p w14:paraId="69CACB5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542F9DE" w14:textId="77777777" w:rsidTr="001B330E">
        <w:trPr>
          <w:trHeight w:val="23"/>
        </w:trPr>
        <w:tc>
          <w:tcPr>
            <w:tcW w:w="1971" w:type="pct"/>
            <w:tcBorders>
              <w:top w:val="single" w:sz="4" w:space="0" w:color="000000"/>
            </w:tcBorders>
            <w:shd w:val="clear" w:color="auto" w:fill="auto"/>
            <w:vAlign w:val="bottom"/>
          </w:tcPr>
          <w:p w14:paraId="14FFEEF3"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tcBorders>
              <w:top w:val="single" w:sz="4" w:space="0" w:color="000000"/>
            </w:tcBorders>
            <w:vAlign w:val="bottom"/>
          </w:tcPr>
          <w:p w14:paraId="397EAAD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B6C7CF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C0272B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4F864D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6840B3E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AAA15E9" w14:textId="77777777" w:rsidTr="001B330E">
        <w:trPr>
          <w:trHeight w:val="23"/>
        </w:trPr>
        <w:tc>
          <w:tcPr>
            <w:tcW w:w="1971" w:type="pct"/>
            <w:shd w:val="clear" w:color="auto" w:fill="auto"/>
            <w:vAlign w:val="bottom"/>
          </w:tcPr>
          <w:p w14:paraId="457875AA" w14:textId="6FB4C159"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Provision for financial guarantees at </w:t>
            </w:r>
            <w:r w:rsidRPr="00EA10CF">
              <w:rPr>
                <w:b/>
                <w:color w:val="000000"/>
              </w:rPr>
              <w:br/>
              <w:t>31</w:t>
            </w:r>
            <w:r w:rsidR="00181687">
              <w:rPr>
                <w:b/>
                <w:color w:val="000000"/>
              </w:rPr>
              <w:t> December </w:t>
            </w:r>
            <w:r w:rsidR="00541EBC">
              <w:rPr>
                <w:b/>
                <w:color w:val="000000"/>
              </w:rPr>
              <w:t>2023</w:t>
            </w:r>
          </w:p>
        </w:tc>
        <w:tc>
          <w:tcPr>
            <w:tcW w:w="606" w:type="pct"/>
            <w:vAlign w:val="bottom"/>
          </w:tcPr>
          <w:p w14:paraId="3946E78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02E0288"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024145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32D2E09"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74C06B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DA9EB06" w14:textId="77777777" w:rsidTr="001B330E">
        <w:trPr>
          <w:trHeight w:val="23"/>
        </w:trPr>
        <w:tc>
          <w:tcPr>
            <w:tcW w:w="1971" w:type="pct"/>
            <w:tcBorders>
              <w:bottom w:val="single" w:sz="12" w:space="0" w:color="000000"/>
            </w:tcBorders>
            <w:shd w:val="clear" w:color="auto" w:fill="auto"/>
            <w:vAlign w:val="bottom"/>
          </w:tcPr>
          <w:p w14:paraId="5A176269" w14:textId="77777777" w:rsidR="00D83E33" w:rsidRPr="00EA10CF" w:rsidRDefault="00D83E33" w:rsidP="001B330E">
            <w:pPr>
              <w:widowControl w:val="0"/>
              <w:pBdr>
                <w:top w:val="nil"/>
                <w:left w:val="nil"/>
                <w:bottom w:val="nil"/>
                <w:right w:val="nil"/>
                <w:between w:val="nil"/>
              </w:pBdr>
              <w:ind w:left="113" w:hanging="113"/>
              <w:rPr>
                <w:color w:val="000000"/>
                <w:u w:val="single"/>
              </w:rPr>
            </w:pPr>
          </w:p>
        </w:tc>
        <w:tc>
          <w:tcPr>
            <w:tcW w:w="606" w:type="pct"/>
            <w:tcBorders>
              <w:bottom w:val="single" w:sz="12" w:space="0" w:color="000000"/>
            </w:tcBorders>
            <w:vAlign w:val="bottom"/>
          </w:tcPr>
          <w:p w14:paraId="4E273D0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525CD1B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4DE63EB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15008EC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tcPr>
          <w:p w14:paraId="517341A3" w14:textId="77777777" w:rsidR="00D83E33" w:rsidRPr="00EA10CF" w:rsidRDefault="00D83E33">
            <w:pPr>
              <w:widowControl w:val="0"/>
              <w:pBdr>
                <w:top w:val="nil"/>
                <w:left w:val="nil"/>
                <w:bottom w:val="nil"/>
                <w:right w:val="nil"/>
                <w:between w:val="nil"/>
              </w:pBdr>
              <w:jc w:val="right"/>
              <w:rPr>
                <w:color w:val="000000"/>
              </w:rPr>
            </w:pPr>
          </w:p>
        </w:tc>
      </w:tr>
    </w:tbl>
    <w:p w14:paraId="08408FCE" w14:textId="2DDDA277" w:rsidR="00D83E33" w:rsidRDefault="00BC4072" w:rsidP="001B330E">
      <w:pPr>
        <w:pStyle w:val="Continued"/>
      </w:pPr>
      <w:r>
        <w:lastRenderedPageBreak/>
        <w:t>26</w:t>
      </w:r>
      <w:r>
        <w:tab/>
        <w:t>Other Financial Liabilities (Continued)</w:t>
      </w:r>
    </w:p>
    <w:p w14:paraId="2FD997BF" w14:textId="77777777" w:rsidR="00D83E33" w:rsidRDefault="00BC4072">
      <w:pPr>
        <w:widowControl w:val="0"/>
        <w:spacing w:before="200" w:after="200"/>
        <w:jc w:val="both"/>
        <w:rPr>
          <w:i/>
          <w:color w:val="FF0000"/>
          <w:sz w:val="20"/>
          <w:szCs w:val="20"/>
        </w:rPr>
      </w:pPr>
      <w:r>
        <w:rPr>
          <w:sz w:val="20"/>
          <w:szCs w:val="20"/>
        </w:rPr>
        <w:t xml:space="preserve">Movements in the provision for loan commitments were as follows. </w:t>
      </w:r>
    </w:p>
    <w:tbl>
      <w:tblPr>
        <w:tblStyle w:val="afffffffffffa"/>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A10CF" w14:paraId="624936C0" w14:textId="77777777" w:rsidTr="001B330E">
        <w:trPr>
          <w:trHeight w:val="23"/>
        </w:trPr>
        <w:tc>
          <w:tcPr>
            <w:tcW w:w="1971" w:type="pct"/>
            <w:tcBorders>
              <w:bottom w:val="single" w:sz="4" w:space="0" w:color="000000"/>
            </w:tcBorders>
            <w:shd w:val="clear" w:color="auto" w:fill="auto"/>
            <w:vAlign w:val="bottom"/>
          </w:tcPr>
          <w:p w14:paraId="499F3FEB" w14:textId="365443DB"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7D6409C9"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Stage 1 </w:t>
            </w:r>
          </w:p>
          <w:p w14:paraId="01D8680C"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(12-months ECL)</w:t>
            </w:r>
          </w:p>
        </w:tc>
        <w:tc>
          <w:tcPr>
            <w:tcW w:w="606" w:type="pct"/>
            <w:tcBorders>
              <w:bottom w:val="single" w:sz="4" w:space="0" w:color="000000"/>
            </w:tcBorders>
          </w:tcPr>
          <w:p w14:paraId="661C49EE"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Stage 2</w:t>
            </w:r>
          </w:p>
          <w:p w14:paraId="664D2AC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(lifetime ECL for SICR) </w:t>
            </w:r>
          </w:p>
        </w:tc>
        <w:tc>
          <w:tcPr>
            <w:tcW w:w="606" w:type="pct"/>
            <w:tcBorders>
              <w:bottom w:val="single" w:sz="4" w:space="0" w:color="000000"/>
            </w:tcBorders>
            <w:shd w:val="clear" w:color="auto" w:fill="auto"/>
          </w:tcPr>
          <w:p w14:paraId="396F9DD7"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Stage 3</w:t>
            </w:r>
          </w:p>
          <w:p w14:paraId="0A0710C2"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(lifetime ECL for credit im-paired)</w:t>
            </w:r>
          </w:p>
        </w:tc>
        <w:tc>
          <w:tcPr>
            <w:tcW w:w="606" w:type="pct"/>
            <w:tcBorders>
              <w:bottom w:val="single" w:sz="4" w:space="0" w:color="000000"/>
            </w:tcBorders>
          </w:tcPr>
          <w:p w14:paraId="4C1A992C"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Total provision</w:t>
            </w:r>
          </w:p>
        </w:tc>
        <w:tc>
          <w:tcPr>
            <w:tcW w:w="606" w:type="pct"/>
            <w:tcBorders>
              <w:bottom w:val="single" w:sz="4" w:space="0" w:color="000000"/>
            </w:tcBorders>
          </w:tcPr>
          <w:p w14:paraId="33731DC1"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Gross committed amount</w:t>
            </w:r>
          </w:p>
        </w:tc>
      </w:tr>
      <w:tr w:rsidR="00D83E33" w:rsidRPr="00EA10CF" w14:paraId="6289C568" w14:textId="77777777" w:rsidTr="001B330E">
        <w:trPr>
          <w:trHeight w:val="23"/>
        </w:trPr>
        <w:tc>
          <w:tcPr>
            <w:tcW w:w="1971" w:type="pct"/>
            <w:tcBorders>
              <w:top w:val="single" w:sz="4" w:space="0" w:color="000000"/>
            </w:tcBorders>
            <w:shd w:val="clear" w:color="auto" w:fill="auto"/>
            <w:vAlign w:val="bottom"/>
          </w:tcPr>
          <w:p w14:paraId="2DC64216" w14:textId="77777777" w:rsidR="00D83E33" w:rsidRPr="00EA10CF" w:rsidRDefault="00D83E33" w:rsidP="001B330E">
            <w:pPr>
              <w:widowControl w:val="0"/>
              <w:pBdr>
                <w:top w:val="nil"/>
                <w:left w:val="nil"/>
                <w:bottom w:val="nil"/>
                <w:right w:val="nil"/>
                <w:between w:val="nil"/>
              </w:pBdr>
              <w:ind w:left="113" w:hanging="113"/>
              <w:rPr>
                <w:b/>
                <w:color w:val="000000"/>
                <w:u w:val="single"/>
              </w:rPr>
            </w:pPr>
          </w:p>
        </w:tc>
        <w:tc>
          <w:tcPr>
            <w:tcW w:w="606" w:type="pct"/>
            <w:tcBorders>
              <w:top w:val="single" w:sz="4" w:space="0" w:color="000000"/>
            </w:tcBorders>
            <w:vAlign w:val="bottom"/>
          </w:tcPr>
          <w:p w14:paraId="29E213C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11D34D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388233B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606D21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7EB78C2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3867E24" w14:textId="77777777" w:rsidTr="001B330E">
        <w:trPr>
          <w:trHeight w:val="23"/>
        </w:trPr>
        <w:tc>
          <w:tcPr>
            <w:tcW w:w="1971" w:type="pct"/>
            <w:shd w:val="clear" w:color="auto" w:fill="auto"/>
            <w:vAlign w:val="bottom"/>
          </w:tcPr>
          <w:p w14:paraId="5A671AFE" w14:textId="046A606E" w:rsidR="00D83E33" w:rsidRPr="00EA10CF" w:rsidRDefault="00BC4072" w:rsidP="001B330E">
            <w:pPr>
              <w:widowControl w:val="0"/>
              <w:pBdr>
                <w:top w:val="nil"/>
                <w:left w:val="nil"/>
                <w:bottom w:val="nil"/>
                <w:right w:val="nil"/>
                <w:between w:val="nil"/>
              </w:pBdr>
              <w:ind w:left="113" w:hanging="113"/>
              <w:rPr>
                <w:b/>
                <w:color w:val="0000FF"/>
              </w:rPr>
            </w:pPr>
            <w:r w:rsidRPr="00EA10CF">
              <w:rPr>
                <w:b/>
                <w:color w:val="000000"/>
              </w:rPr>
              <w:t xml:space="preserve">Provision for loan commitments at </w:t>
            </w:r>
            <w:r w:rsidRPr="00EA10CF">
              <w:rPr>
                <w:b/>
                <w:color w:val="000000"/>
              </w:rPr>
              <w:br/>
              <w:t>31</w:t>
            </w:r>
            <w:r w:rsidR="00181687">
              <w:rPr>
                <w:b/>
                <w:color w:val="000000"/>
              </w:rPr>
              <w:t> December </w:t>
            </w:r>
            <w:r w:rsidR="00541EBC">
              <w:rPr>
                <w:b/>
                <w:color w:val="000000"/>
              </w:rPr>
              <w:t>2023</w:t>
            </w:r>
          </w:p>
        </w:tc>
        <w:tc>
          <w:tcPr>
            <w:tcW w:w="606" w:type="pct"/>
            <w:vAlign w:val="bottom"/>
          </w:tcPr>
          <w:p w14:paraId="408377E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E9C063B"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2A7BE1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833EB65"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ADA4B4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2224AD4" w14:textId="77777777" w:rsidTr="001B330E">
        <w:trPr>
          <w:trHeight w:val="23"/>
        </w:trPr>
        <w:tc>
          <w:tcPr>
            <w:tcW w:w="1971" w:type="pct"/>
            <w:shd w:val="clear" w:color="auto" w:fill="auto"/>
            <w:vAlign w:val="bottom"/>
          </w:tcPr>
          <w:p w14:paraId="09A21063"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295B494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E1631A9"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47BDB3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E959703"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BCF134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EC00DA" w14:textId="77777777" w:rsidTr="001B330E">
        <w:trPr>
          <w:trHeight w:val="23"/>
        </w:trPr>
        <w:tc>
          <w:tcPr>
            <w:tcW w:w="1971" w:type="pct"/>
            <w:shd w:val="clear" w:color="auto" w:fill="auto"/>
            <w:vAlign w:val="bottom"/>
          </w:tcPr>
          <w:p w14:paraId="189D72EC"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Movements with impact on provision for credit related commitments charge for the period:</w:t>
            </w:r>
          </w:p>
        </w:tc>
        <w:tc>
          <w:tcPr>
            <w:tcW w:w="606" w:type="pct"/>
            <w:vAlign w:val="bottom"/>
          </w:tcPr>
          <w:p w14:paraId="6B4E7B4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CDC7829"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0FA923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7C903B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5A0E13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4D0812C" w14:textId="77777777" w:rsidTr="001B330E">
        <w:trPr>
          <w:trHeight w:val="23"/>
        </w:trPr>
        <w:tc>
          <w:tcPr>
            <w:tcW w:w="1971" w:type="pct"/>
            <w:shd w:val="clear" w:color="auto" w:fill="auto"/>
            <w:vAlign w:val="bottom"/>
          </w:tcPr>
          <w:p w14:paraId="53E95BD3"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00"/>
              </w:rPr>
              <w:t>Transfers:</w:t>
            </w:r>
          </w:p>
        </w:tc>
        <w:tc>
          <w:tcPr>
            <w:tcW w:w="606" w:type="pct"/>
            <w:vAlign w:val="bottom"/>
          </w:tcPr>
          <w:p w14:paraId="3A74831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2D52614"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6228D4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691D519"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3A8FBC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DBAEB6F" w14:textId="77777777" w:rsidTr="001B330E">
        <w:trPr>
          <w:trHeight w:val="23"/>
        </w:trPr>
        <w:tc>
          <w:tcPr>
            <w:tcW w:w="1971" w:type="pct"/>
            <w:shd w:val="clear" w:color="auto" w:fill="auto"/>
            <w:vAlign w:val="bottom"/>
          </w:tcPr>
          <w:p w14:paraId="7DF85A6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lifetime (from Stage 1 to Stage 2)</w:t>
            </w:r>
          </w:p>
        </w:tc>
        <w:tc>
          <w:tcPr>
            <w:tcW w:w="606" w:type="pct"/>
            <w:vAlign w:val="bottom"/>
          </w:tcPr>
          <w:p w14:paraId="3BB2526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3111469"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148E0C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3E4FE73"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630263C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01426F9" w14:textId="77777777" w:rsidTr="001B330E">
        <w:trPr>
          <w:trHeight w:val="23"/>
        </w:trPr>
        <w:tc>
          <w:tcPr>
            <w:tcW w:w="1971" w:type="pct"/>
            <w:shd w:val="clear" w:color="auto" w:fill="auto"/>
            <w:vAlign w:val="bottom"/>
          </w:tcPr>
          <w:p w14:paraId="36E7043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credit-impaired (from Stage 1 and Stage 2 to Stage 3)</w:t>
            </w:r>
          </w:p>
        </w:tc>
        <w:tc>
          <w:tcPr>
            <w:tcW w:w="606" w:type="pct"/>
            <w:vAlign w:val="bottom"/>
          </w:tcPr>
          <w:p w14:paraId="5799E52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5F82ECE"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D286C6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2D47866"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C1BC2F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80A259C" w14:textId="77777777" w:rsidTr="001B330E">
        <w:trPr>
          <w:trHeight w:val="23"/>
        </w:trPr>
        <w:tc>
          <w:tcPr>
            <w:tcW w:w="1971" w:type="pct"/>
            <w:shd w:val="clear" w:color="auto" w:fill="auto"/>
            <w:vAlign w:val="bottom"/>
          </w:tcPr>
          <w:p w14:paraId="1027E7B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12-months ECL (from Stage 2 and Stage 3 to Stage 1)</w:t>
            </w:r>
          </w:p>
        </w:tc>
        <w:tc>
          <w:tcPr>
            <w:tcW w:w="606" w:type="pct"/>
            <w:vAlign w:val="bottom"/>
          </w:tcPr>
          <w:p w14:paraId="65F209D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17132B6"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EB3384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C82AC31"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C14E10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791CECC" w14:textId="77777777" w:rsidTr="001B330E">
        <w:trPr>
          <w:trHeight w:val="23"/>
        </w:trPr>
        <w:tc>
          <w:tcPr>
            <w:tcW w:w="1971" w:type="pct"/>
            <w:shd w:val="clear" w:color="auto" w:fill="auto"/>
            <w:vAlign w:val="bottom"/>
          </w:tcPr>
          <w:p w14:paraId="08519782" w14:textId="02188862"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Issued loan commitments</w:t>
            </w:r>
            <w:r w:rsidR="00181687">
              <w:rPr>
                <w:color w:val="000000"/>
              </w:rPr>
              <w:t xml:space="preserve"> </w:t>
            </w:r>
            <w:r w:rsidRPr="00EA10CF">
              <w:rPr>
                <w:color w:val="000000"/>
              </w:rPr>
              <w:t>– fees charged</w:t>
            </w:r>
          </w:p>
        </w:tc>
        <w:tc>
          <w:tcPr>
            <w:tcW w:w="606" w:type="pct"/>
            <w:vAlign w:val="bottom"/>
          </w:tcPr>
          <w:p w14:paraId="3D2E14C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BE07CEC"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E25470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7226A20"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E4E294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2B09888" w14:textId="77777777" w:rsidTr="001B330E">
        <w:trPr>
          <w:trHeight w:val="23"/>
        </w:trPr>
        <w:tc>
          <w:tcPr>
            <w:tcW w:w="1971" w:type="pct"/>
            <w:shd w:val="clear" w:color="auto" w:fill="auto"/>
            <w:vAlign w:val="bottom"/>
          </w:tcPr>
          <w:p w14:paraId="2FB751AF" w14:textId="0234C65C"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Issued loan commitments</w:t>
            </w:r>
            <w:r w:rsidR="00181687">
              <w:rPr>
                <w:color w:val="000000"/>
              </w:rPr>
              <w:t xml:space="preserve"> </w:t>
            </w:r>
            <w:r w:rsidRPr="00EA10CF">
              <w:rPr>
                <w:color w:val="000000"/>
              </w:rPr>
              <w:t>– 12-months ECL</w:t>
            </w:r>
          </w:p>
        </w:tc>
        <w:tc>
          <w:tcPr>
            <w:tcW w:w="606" w:type="pct"/>
            <w:vAlign w:val="bottom"/>
          </w:tcPr>
          <w:p w14:paraId="26C57DD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17A7895"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27091D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396E6C7"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F203C2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7FA405A" w14:textId="77777777" w:rsidTr="001B330E">
        <w:trPr>
          <w:trHeight w:val="23"/>
        </w:trPr>
        <w:tc>
          <w:tcPr>
            <w:tcW w:w="1971" w:type="pct"/>
            <w:shd w:val="clear" w:color="auto" w:fill="auto"/>
            <w:vAlign w:val="bottom"/>
          </w:tcPr>
          <w:p w14:paraId="2BD8769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Amortisation of deferred fee to income</w:t>
            </w:r>
          </w:p>
        </w:tc>
        <w:tc>
          <w:tcPr>
            <w:tcW w:w="606" w:type="pct"/>
            <w:vAlign w:val="bottom"/>
          </w:tcPr>
          <w:p w14:paraId="2A4B63B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93E296C"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0C7CCF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C0E99BD"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72CAD1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D69CD5F" w14:textId="77777777" w:rsidTr="001B330E">
        <w:trPr>
          <w:trHeight w:val="23"/>
        </w:trPr>
        <w:tc>
          <w:tcPr>
            <w:tcW w:w="1971" w:type="pct"/>
            <w:shd w:val="clear" w:color="auto" w:fill="auto"/>
            <w:vAlign w:val="bottom"/>
          </w:tcPr>
          <w:p w14:paraId="2683784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Transfer to ECL on loans upon loans drawdown</w:t>
            </w:r>
          </w:p>
        </w:tc>
        <w:tc>
          <w:tcPr>
            <w:tcW w:w="606" w:type="pct"/>
            <w:vAlign w:val="bottom"/>
          </w:tcPr>
          <w:p w14:paraId="1CA98BB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F60C79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ED6A25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B1F7278"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07757A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4464543" w14:textId="77777777" w:rsidTr="001B330E">
        <w:trPr>
          <w:trHeight w:val="23"/>
        </w:trPr>
        <w:tc>
          <w:tcPr>
            <w:tcW w:w="1971" w:type="pct"/>
            <w:shd w:val="clear" w:color="auto" w:fill="auto"/>
            <w:vAlign w:val="bottom"/>
          </w:tcPr>
          <w:p w14:paraId="5EF8A87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Derecognised during the period</w:t>
            </w:r>
          </w:p>
        </w:tc>
        <w:tc>
          <w:tcPr>
            <w:tcW w:w="606" w:type="pct"/>
            <w:vAlign w:val="bottom"/>
          </w:tcPr>
          <w:p w14:paraId="0463419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ED7C9FE"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76CFF7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B90A116"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680BFA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9177C8B" w14:textId="77777777" w:rsidTr="001B330E">
        <w:trPr>
          <w:trHeight w:val="23"/>
        </w:trPr>
        <w:tc>
          <w:tcPr>
            <w:tcW w:w="1971" w:type="pct"/>
            <w:shd w:val="clear" w:color="auto" w:fill="auto"/>
            <w:vAlign w:val="bottom"/>
          </w:tcPr>
          <w:p w14:paraId="36DBE70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Changes to model assumptions</w:t>
            </w:r>
          </w:p>
        </w:tc>
        <w:tc>
          <w:tcPr>
            <w:tcW w:w="606" w:type="pct"/>
            <w:vAlign w:val="bottom"/>
          </w:tcPr>
          <w:p w14:paraId="2D3A6FD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5E0D6A8"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D97BF2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18DFA84"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ED0534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EC4AD6" w14:textId="77777777" w:rsidTr="001B330E">
        <w:trPr>
          <w:trHeight w:val="23"/>
        </w:trPr>
        <w:tc>
          <w:tcPr>
            <w:tcW w:w="1971" w:type="pct"/>
            <w:shd w:val="clear" w:color="auto" w:fill="auto"/>
            <w:vAlign w:val="bottom"/>
          </w:tcPr>
          <w:p w14:paraId="4511D1B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Unwinding of discounting</w:t>
            </w:r>
          </w:p>
        </w:tc>
        <w:tc>
          <w:tcPr>
            <w:tcW w:w="606" w:type="pct"/>
            <w:vAlign w:val="bottom"/>
          </w:tcPr>
          <w:p w14:paraId="57A71E9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14C6649"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AFCCE8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F8C8409"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CB2296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B10D0C5" w14:textId="77777777" w:rsidTr="001B330E">
        <w:trPr>
          <w:trHeight w:val="23"/>
        </w:trPr>
        <w:tc>
          <w:tcPr>
            <w:tcW w:w="1971" w:type="pct"/>
            <w:shd w:val="clear" w:color="auto" w:fill="auto"/>
            <w:vAlign w:val="bottom"/>
          </w:tcPr>
          <w:p w14:paraId="68FFC07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movements</w:t>
            </w:r>
          </w:p>
        </w:tc>
        <w:tc>
          <w:tcPr>
            <w:tcW w:w="606" w:type="pct"/>
            <w:vAlign w:val="bottom"/>
          </w:tcPr>
          <w:p w14:paraId="3687956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A7C9500"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86CD40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20EDEC5"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F84F75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85BA925" w14:textId="77777777" w:rsidTr="001B330E">
        <w:trPr>
          <w:trHeight w:val="23"/>
        </w:trPr>
        <w:tc>
          <w:tcPr>
            <w:tcW w:w="1971" w:type="pct"/>
            <w:tcBorders>
              <w:bottom w:val="single" w:sz="4" w:space="0" w:color="000000"/>
            </w:tcBorders>
            <w:shd w:val="clear" w:color="auto" w:fill="auto"/>
            <w:vAlign w:val="bottom"/>
          </w:tcPr>
          <w:p w14:paraId="3F25D03C"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28B27041"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60893B0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0BA9D449"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D41A11B"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tcPr>
          <w:p w14:paraId="29CE3F3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E244873" w14:textId="77777777" w:rsidTr="001B330E">
        <w:trPr>
          <w:trHeight w:val="23"/>
        </w:trPr>
        <w:tc>
          <w:tcPr>
            <w:tcW w:w="1971" w:type="pct"/>
            <w:tcBorders>
              <w:top w:val="single" w:sz="4" w:space="0" w:color="000000"/>
            </w:tcBorders>
            <w:shd w:val="clear" w:color="auto" w:fill="auto"/>
            <w:vAlign w:val="bottom"/>
          </w:tcPr>
          <w:p w14:paraId="1F74E8EE"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6318A8E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415B4B0"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FC191F1"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008816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3158FE6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947F77C" w14:textId="77777777" w:rsidTr="001B330E">
        <w:trPr>
          <w:trHeight w:val="23"/>
        </w:trPr>
        <w:tc>
          <w:tcPr>
            <w:tcW w:w="1971" w:type="pct"/>
            <w:shd w:val="clear" w:color="auto" w:fill="auto"/>
            <w:vAlign w:val="bottom"/>
          </w:tcPr>
          <w:p w14:paraId="10FC42D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charge to profit or loss for the year</w:t>
            </w:r>
          </w:p>
        </w:tc>
        <w:tc>
          <w:tcPr>
            <w:tcW w:w="606" w:type="pct"/>
            <w:vAlign w:val="bottom"/>
          </w:tcPr>
          <w:p w14:paraId="389DDF0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B818847"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355CDE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DC81286"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1F7B53B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F722057" w14:textId="77777777" w:rsidTr="001B330E">
        <w:trPr>
          <w:trHeight w:val="23"/>
        </w:trPr>
        <w:tc>
          <w:tcPr>
            <w:tcW w:w="1971" w:type="pct"/>
            <w:shd w:val="clear" w:color="auto" w:fill="auto"/>
            <w:vAlign w:val="bottom"/>
          </w:tcPr>
          <w:p w14:paraId="38EE45FC"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27FFAAA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642241B"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26FE11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91A5166"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1B1721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51B9760" w14:textId="77777777" w:rsidTr="001B330E">
        <w:trPr>
          <w:trHeight w:val="23"/>
        </w:trPr>
        <w:tc>
          <w:tcPr>
            <w:tcW w:w="1971" w:type="pct"/>
            <w:tcBorders>
              <w:top w:val="single" w:sz="4" w:space="0" w:color="000000"/>
            </w:tcBorders>
            <w:shd w:val="clear" w:color="auto" w:fill="auto"/>
            <w:vAlign w:val="bottom"/>
          </w:tcPr>
          <w:p w14:paraId="484F707D"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606" w:type="pct"/>
            <w:tcBorders>
              <w:top w:val="single" w:sz="4" w:space="0" w:color="000000"/>
            </w:tcBorders>
            <w:vAlign w:val="bottom"/>
          </w:tcPr>
          <w:p w14:paraId="2A9B3EC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0C5450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AF6998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16CA469"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6FEC3E3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B89667" w14:textId="77777777" w:rsidTr="001B330E">
        <w:trPr>
          <w:trHeight w:val="23"/>
        </w:trPr>
        <w:tc>
          <w:tcPr>
            <w:tcW w:w="1971" w:type="pct"/>
            <w:shd w:val="clear" w:color="auto" w:fill="auto"/>
            <w:vAlign w:val="bottom"/>
          </w:tcPr>
          <w:p w14:paraId="1E8B1E2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i/>
                <w:color w:val="000000"/>
              </w:rPr>
              <w:t>Movements without impact on provision for credit related commitments charge for the period:</w:t>
            </w:r>
          </w:p>
        </w:tc>
        <w:tc>
          <w:tcPr>
            <w:tcW w:w="606" w:type="pct"/>
            <w:vAlign w:val="bottom"/>
          </w:tcPr>
          <w:p w14:paraId="5A10CE0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1BCD927"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4E39B9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AD5A5D6"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147C76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A7AED16" w14:textId="77777777" w:rsidTr="001B330E">
        <w:trPr>
          <w:trHeight w:val="23"/>
        </w:trPr>
        <w:tc>
          <w:tcPr>
            <w:tcW w:w="1971" w:type="pct"/>
            <w:shd w:val="clear" w:color="auto" w:fill="auto"/>
            <w:vAlign w:val="bottom"/>
          </w:tcPr>
          <w:p w14:paraId="296EAFC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Write-offs</w:t>
            </w:r>
          </w:p>
        </w:tc>
        <w:tc>
          <w:tcPr>
            <w:tcW w:w="606" w:type="pct"/>
            <w:vAlign w:val="bottom"/>
          </w:tcPr>
          <w:p w14:paraId="165B492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71141EB"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C1AA06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4893716"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F13178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82023A8" w14:textId="77777777" w:rsidTr="001B330E">
        <w:trPr>
          <w:trHeight w:val="23"/>
        </w:trPr>
        <w:tc>
          <w:tcPr>
            <w:tcW w:w="1971" w:type="pct"/>
            <w:shd w:val="clear" w:color="auto" w:fill="auto"/>
            <w:vAlign w:val="bottom"/>
          </w:tcPr>
          <w:p w14:paraId="38E64AA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FX movements</w:t>
            </w:r>
          </w:p>
        </w:tc>
        <w:tc>
          <w:tcPr>
            <w:tcW w:w="606" w:type="pct"/>
            <w:vAlign w:val="bottom"/>
          </w:tcPr>
          <w:p w14:paraId="75CB6E9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85F7DD7"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6B5DE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BFD19C5"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7D2414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4D786A7" w14:textId="77777777" w:rsidTr="001B330E">
        <w:trPr>
          <w:trHeight w:val="23"/>
        </w:trPr>
        <w:tc>
          <w:tcPr>
            <w:tcW w:w="1971" w:type="pct"/>
            <w:shd w:val="clear" w:color="auto" w:fill="auto"/>
            <w:vAlign w:val="bottom"/>
          </w:tcPr>
          <w:p w14:paraId="7404A11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Modification of contractual cash flows</w:t>
            </w:r>
          </w:p>
        </w:tc>
        <w:tc>
          <w:tcPr>
            <w:tcW w:w="606" w:type="pct"/>
            <w:vAlign w:val="bottom"/>
          </w:tcPr>
          <w:p w14:paraId="70A5175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87D6E1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EF59AE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F44B0B7"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493C2EA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37E3D5A" w14:textId="77777777" w:rsidTr="001B330E">
        <w:trPr>
          <w:trHeight w:val="23"/>
        </w:trPr>
        <w:tc>
          <w:tcPr>
            <w:tcW w:w="1971" w:type="pct"/>
            <w:shd w:val="clear" w:color="auto" w:fill="auto"/>
            <w:vAlign w:val="bottom"/>
          </w:tcPr>
          <w:p w14:paraId="7B558C6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Unwinding of discounting (for Stage 3) </w:t>
            </w:r>
          </w:p>
        </w:tc>
        <w:tc>
          <w:tcPr>
            <w:tcW w:w="606" w:type="pct"/>
            <w:vAlign w:val="bottom"/>
          </w:tcPr>
          <w:p w14:paraId="1BF8668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381D628"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7018E3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1B93A48"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9FDAA6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F5DC4F3" w14:textId="77777777" w:rsidTr="001B330E">
        <w:trPr>
          <w:trHeight w:val="23"/>
        </w:trPr>
        <w:tc>
          <w:tcPr>
            <w:tcW w:w="1971" w:type="pct"/>
            <w:tcBorders>
              <w:bottom w:val="single" w:sz="4" w:space="0" w:color="000000"/>
            </w:tcBorders>
            <w:shd w:val="clear" w:color="auto" w:fill="auto"/>
            <w:vAlign w:val="bottom"/>
          </w:tcPr>
          <w:p w14:paraId="4D049809"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tcBorders>
              <w:bottom w:val="single" w:sz="4" w:space="0" w:color="000000"/>
            </w:tcBorders>
            <w:vAlign w:val="bottom"/>
          </w:tcPr>
          <w:p w14:paraId="4449724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0B2D66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77D9075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5BFC469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tcPr>
          <w:p w14:paraId="782DC7F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0DCA5B" w14:textId="77777777" w:rsidTr="001B330E">
        <w:trPr>
          <w:trHeight w:val="23"/>
        </w:trPr>
        <w:tc>
          <w:tcPr>
            <w:tcW w:w="1971" w:type="pct"/>
            <w:tcBorders>
              <w:top w:val="single" w:sz="4" w:space="0" w:color="000000"/>
            </w:tcBorders>
            <w:shd w:val="clear" w:color="auto" w:fill="auto"/>
            <w:vAlign w:val="bottom"/>
          </w:tcPr>
          <w:p w14:paraId="1B594CF6"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tcBorders>
              <w:top w:val="single" w:sz="4" w:space="0" w:color="000000"/>
            </w:tcBorders>
            <w:vAlign w:val="bottom"/>
          </w:tcPr>
          <w:p w14:paraId="4BEA3310"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2B5C16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1C98F6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C8EDCA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3FB3A6A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F028603" w14:textId="77777777" w:rsidTr="001B330E">
        <w:trPr>
          <w:trHeight w:val="23"/>
        </w:trPr>
        <w:tc>
          <w:tcPr>
            <w:tcW w:w="1971" w:type="pct"/>
            <w:shd w:val="clear" w:color="auto" w:fill="auto"/>
            <w:vAlign w:val="bottom"/>
          </w:tcPr>
          <w:p w14:paraId="2E18F5E7" w14:textId="0002216C"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Provision for loan commitments at </w:t>
            </w:r>
            <w:r w:rsidRPr="00EA10CF">
              <w:rPr>
                <w:b/>
                <w:color w:val="000000"/>
              </w:rPr>
              <w:br/>
              <w:t>31</w:t>
            </w:r>
            <w:r w:rsidR="00181687">
              <w:rPr>
                <w:b/>
                <w:color w:val="000000"/>
              </w:rPr>
              <w:t> December </w:t>
            </w:r>
            <w:r w:rsidR="00541EBC">
              <w:rPr>
                <w:b/>
                <w:color w:val="000000"/>
              </w:rPr>
              <w:t>2024</w:t>
            </w:r>
          </w:p>
        </w:tc>
        <w:tc>
          <w:tcPr>
            <w:tcW w:w="606" w:type="pct"/>
            <w:vAlign w:val="bottom"/>
          </w:tcPr>
          <w:p w14:paraId="0E9E678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DF659E4"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1EE3745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6F318D5"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70C541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E64960A" w14:textId="77777777" w:rsidTr="001B330E">
        <w:trPr>
          <w:trHeight w:val="23"/>
        </w:trPr>
        <w:tc>
          <w:tcPr>
            <w:tcW w:w="1971" w:type="pct"/>
            <w:tcBorders>
              <w:bottom w:val="single" w:sz="12" w:space="0" w:color="000000"/>
            </w:tcBorders>
            <w:shd w:val="clear" w:color="auto" w:fill="auto"/>
            <w:vAlign w:val="bottom"/>
          </w:tcPr>
          <w:p w14:paraId="1EDC1FDF" w14:textId="77777777" w:rsidR="00D83E33" w:rsidRPr="00EA10CF" w:rsidRDefault="00D83E33" w:rsidP="001B330E">
            <w:pPr>
              <w:widowControl w:val="0"/>
              <w:pBdr>
                <w:top w:val="nil"/>
                <w:left w:val="nil"/>
                <w:bottom w:val="nil"/>
                <w:right w:val="nil"/>
                <w:between w:val="nil"/>
              </w:pBdr>
              <w:ind w:left="113" w:hanging="113"/>
              <w:rPr>
                <w:color w:val="000000"/>
                <w:u w:val="single"/>
              </w:rPr>
            </w:pPr>
          </w:p>
        </w:tc>
        <w:tc>
          <w:tcPr>
            <w:tcW w:w="606" w:type="pct"/>
            <w:tcBorders>
              <w:bottom w:val="single" w:sz="12" w:space="0" w:color="000000"/>
            </w:tcBorders>
            <w:vAlign w:val="bottom"/>
          </w:tcPr>
          <w:p w14:paraId="7DBF6E5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3FA33D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20A3865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C666DA9"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tcPr>
          <w:p w14:paraId="4089B7FF" w14:textId="77777777" w:rsidR="00D83E33" w:rsidRPr="00EA10CF" w:rsidRDefault="00D83E33">
            <w:pPr>
              <w:widowControl w:val="0"/>
              <w:pBdr>
                <w:top w:val="nil"/>
                <w:left w:val="nil"/>
                <w:bottom w:val="nil"/>
                <w:right w:val="nil"/>
                <w:between w:val="nil"/>
              </w:pBdr>
              <w:jc w:val="right"/>
              <w:rPr>
                <w:color w:val="000000"/>
              </w:rPr>
            </w:pPr>
          </w:p>
        </w:tc>
      </w:tr>
    </w:tbl>
    <w:p w14:paraId="73DCE6C1" w14:textId="77777777" w:rsidR="00D83E33" w:rsidRDefault="00D83E33">
      <w:pPr>
        <w:widowControl w:val="0"/>
        <w:pBdr>
          <w:top w:val="nil"/>
          <w:left w:val="nil"/>
          <w:bottom w:val="nil"/>
          <w:right w:val="nil"/>
          <w:between w:val="nil"/>
        </w:pBdr>
        <w:spacing w:before="200" w:after="200"/>
        <w:jc w:val="both"/>
        <w:rPr>
          <w:color w:val="000000"/>
          <w:sz w:val="20"/>
          <w:szCs w:val="20"/>
        </w:rPr>
      </w:pPr>
    </w:p>
    <w:p w14:paraId="7C8D7451" w14:textId="4FCDCB76" w:rsidR="00D83E33" w:rsidRDefault="00BC4072" w:rsidP="001B330E">
      <w:pPr>
        <w:pStyle w:val="Continued"/>
      </w:pPr>
      <w:r>
        <w:lastRenderedPageBreak/>
        <w:t>26</w:t>
      </w:r>
      <w:r>
        <w:tab/>
        <w:t>Other Financial Liabilities (Continued)</w:t>
      </w:r>
    </w:p>
    <w:tbl>
      <w:tblPr>
        <w:tblStyle w:val="afffffffffffb"/>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A10CF" w14:paraId="3733BB27" w14:textId="77777777" w:rsidTr="001B330E">
        <w:trPr>
          <w:trHeight w:val="23"/>
        </w:trPr>
        <w:tc>
          <w:tcPr>
            <w:tcW w:w="1971" w:type="pct"/>
            <w:tcBorders>
              <w:bottom w:val="single" w:sz="4" w:space="0" w:color="000000"/>
            </w:tcBorders>
            <w:shd w:val="clear" w:color="auto" w:fill="auto"/>
            <w:vAlign w:val="bottom"/>
          </w:tcPr>
          <w:p w14:paraId="59B45184" w14:textId="236A4D45"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75A82C29"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Stage 1 </w:t>
            </w:r>
          </w:p>
          <w:p w14:paraId="4FB320B9"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(12-months ECL)</w:t>
            </w:r>
          </w:p>
        </w:tc>
        <w:tc>
          <w:tcPr>
            <w:tcW w:w="606" w:type="pct"/>
            <w:tcBorders>
              <w:bottom w:val="single" w:sz="4" w:space="0" w:color="000000"/>
            </w:tcBorders>
          </w:tcPr>
          <w:p w14:paraId="25FB2E8D"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Stage 2</w:t>
            </w:r>
          </w:p>
          <w:p w14:paraId="3035ACC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(lifetime ECL for SICR) </w:t>
            </w:r>
          </w:p>
        </w:tc>
        <w:tc>
          <w:tcPr>
            <w:tcW w:w="606" w:type="pct"/>
            <w:tcBorders>
              <w:bottom w:val="single" w:sz="4" w:space="0" w:color="000000"/>
            </w:tcBorders>
            <w:shd w:val="clear" w:color="auto" w:fill="auto"/>
          </w:tcPr>
          <w:p w14:paraId="1632ABDC"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Stage 3</w:t>
            </w:r>
          </w:p>
          <w:p w14:paraId="30F7CEA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(lifetime ECL for credit im-paired)</w:t>
            </w:r>
          </w:p>
        </w:tc>
        <w:tc>
          <w:tcPr>
            <w:tcW w:w="606" w:type="pct"/>
            <w:tcBorders>
              <w:bottom w:val="single" w:sz="4" w:space="0" w:color="000000"/>
            </w:tcBorders>
          </w:tcPr>
          <w:p w14:paraId="2DC0555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Total provision</w:t>
            </w:r>
          </w:p>
        </w:tc>
        <w:tc>
          <w:tcPr>
            <w:tcW w:w="606" w:type="pct"/>
            <w:tcBorders>
              <w:bottom w:val="single" w:sz="4" w:space="0" w:color="000000"/>
            </w:tcBorders>
          </w:tcPr>
          <w:p w14:paraId="469758BA"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Gross committed amount</w:t>
            </w:r>
          </w:p>
        </w:tc>
      </w:tr>
      <w:tr w:rsidR="00D83E33" w:rsidRPr="00EA10CF" w14:paraId="7862F218" w14:textId="77777777" w:rsidTr="001B330E">
        <w:trPr>
          <w:trHeight w:val="23"/>
        </w:trPr>
        <w:tc>
          <w:tcPr>
            <w:tcW w:w="1971" w:type="pct"/>
            <w:tcBorders>
              <w:top w:val="single" w:sz="4" w:space="0" w:color="000000"/>
            </w:tcBorders>
            <w:shd w:val="clear" w:color="auto" w:fill="auto"/>
            <w:vAlign w:val="bottom"/>
          </w:tcPr>
          <w:p w14:paraId="569F8A01" w14:textId="77777777" w:rsidR="00D83E33" w:rsidRPr="00EA10CF" w:rsidRDefault="00D83E33" w:rsidP="001B330E">
            <w:pPr>
              <w:widowControl w:val="0"/>
              <w:pBdr>
                <w:top w:val="nil"/>
                <w:left w:val="nil"/>
                <w:bottom w:val="nil"/>
                <w:right w:val="nil"/>
                <w:between w:val="nil"/>
              </w:pBdr>
              <w:ind w:left="113" w:hanging="113"/>
              <w:rPr>
                <w:b/>
                <w:color w:val="000000"/>
                <w:u w:val="single"/>
              </w:rPr>
            </w:pPr>
          </w:p>
        </w:tc>
        <w:tc>
          <w:tcPr>
            <w:tcW w:w="606" w:type="pct"/>
            <w:tcBorders>
              <w:top w:val="single" w:sz="4" w:space="0" w:color="000000"/>
            </w:tcBorders>
            <w:vAlign w:val="bottom"/>
          </w:tcPr>
          <w:p w14:paraId="417E231A"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F15750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1536C26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0CC490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681B3F9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3DF533E" w14:textId="77777777" w:rsidTr="001B330E">
        <w:trPr>
          <w:trHeight w:val="23"/>
        </w:trPr>
        <w:tc>
          <w:tcPr>
            <w:tcW w:w="1971" w:type="pct"/>
            <w:shd w:val="clear" w:color="auto" w:fill="auto"/>
            <w:vAlign w:val="bottom"/>
          </w:tcPr>
          <w:p w14:paraId="06EE810D" w14:textId="6CC8EE52" w:rsidR="00D83E33" w:rsidRPr="00EA10CF" w:rsidRDefault="00BC4072" w:rsidP="001B330E">
            <w:pPr>
              <w:widowControl w:val="0"/>
              <w:pBdr>
                <w:top w:val="nil"/>
                <w:left w:val="nil"/>
                <w:bottom w:val="nil"/>
                <w:right w:val="nil"/>
                <w:between w:val="nil"/>
              </w:pBdr>
              <w:ind w:left="113" w:hanging="113"/>
              <w:rPr>
                <w:b/>
                <w:color w:val="0000FF"/>
              </w:rPr>
            </w:pPr>
            <w:r w:rsidRPr="00EA10CF">
              <w:rPr>
                <w:b/>
                <w:color w:val="000000"/>
              </w:rPr>
              <w:t xml:space="preserve">Provision for loan commitments at </w:t>
            </w:r>
            <w:r w:rsidRPr="00EA10CF">
              <w:rPr>
                <w:b/>
                <w:color w:val="000000"/>
              </w:rPr>
              <w:br/>
              <w:t xml:space="preserve">1 January </w:t>
            </w:r>
            <w:r w:rsidR="00541EBC">
              <w:rPr>
                <w:b/>
                <w:color w:val="000000"/>
              </w:rPr>
              <w:t>2023</w:t>
            </w:r>
          </w:p>
        </w:tc>
        <w:tc>
          <w:tcPr>
            <w:tcW w:w="606" w:type="pct"/>
            <w:vAlign w:val="bottom"/>
          </w:tcPr>
          <w:p w14:paraId="06D98CC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2FAFCA5"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1BB28E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41DBD8E"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3FD9F9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6C9767E" w14:textId="77777777" w:rsidTr="001B330E">
        <w:trPr>
          <w:trHeight w:val="23"/>
        </w:trPr>
        <w:tc>
          <w:tcPr>
            <w:tcW w:w="1971" w:type="pct"/>
            <w:shd w:val="clear" w:color="auto" w:fill="auto"/>
            <w:vAlign w:val="bottom"/>
          </w:tcPr>
          <w:p w14:paraId="69895BFF"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559B23B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BB7359F"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E90E96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858048B"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3B30B6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ECBCCFC" w14:textId="77777777" w:rsidTr="001B330E">
        <w:trPr>
          <w:trHeight w:val="23"/>
        </w:trPr>
        <w:tc>
          <w:tcPr>
            <w:tcW w:w="1971" w:type="pct"/>
            <w:shd w:val="clear" w:color="auto" w:fill="auto"/>
            <w:vAlign w:val="bottom"/>
          </w:tcPr>
          <w:p w14:paraId="79D36DDA"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Movements with impact on provision for credit related commitments charge for the period:</w:t>
            </w:r>
          </w:p>
        </w:tc>
        <w:tc>
          <w:tcPr>
            <w:tcW w:w="606" w:type="pct"/>
            <w:vAlign w:val="bottom"/>
          </w:tcPr>
          <w:p w14:paraId="3F2A393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1E28225"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A7ACF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0A4672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E16767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7667D4B" w14:textId="77777777" w:rsidTr="001B330E">
        <w:trPr>
          <w:trHeight w:val="23"/>
        </w:trPr>
        <w:tc>
          <w:tcPr>
            <w:tcW w:w="1971" w:type="pct"/>
            <w:shd w:val="clear" w:color="auto" w:fill="auto"/>
            <w:vAlign w:val="bottom"/>
          </w:tcPr>
          <w:p w14:paraId="5B83AEE5"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00"/>
              </w:rPr>
              <w:t>Transfers:</w:t>
            </w:r>
          </w:p>
        </w:tc>
        <w:tc>
          <w:tcPr>
            <w:tcW w:w="606" w:type="pct"/>
            <w:vAlign w:val="bottom"/>
          </w:tcPr>
          <w:p w14:paraId="65D96EB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17A49E9"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B72562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C5FB5DC"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ED0B2C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4E12FC" w14:textId="77777777" w:rsidTr="001B330E">
        <w:trPr>
          <w:trHeight w:val="23"/>
        </w:trPr>
        <w:tc>
          <w:tcPr>
            <w:tcW w:w="1971" w:type="pct"/>
            <w:shd w:val="clear" w:color="auto" w:fill="auto"/>
            <w:vAlign w:val="bottom"/>
          </w:tcPr>
          <w:p w14:paraId="01E15E4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lifetime (from Stage 1 to Stage 2)</w:t>
            </w:r>
          </w:p>
        </w:tc>
        <w:tc>
          <w:tcPr>
            <w:tcW w:w="606" w:type="pct"/>
            <w:vAlign w:val="bottom"/>
          </w:tcPr>
          <w:p w14:paraId="3DEB37F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3CFCF77"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656B79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7CDC78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C6CCF0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B6B9825" w14:textId="77777777" w:rsidTr="001B330E">
        <w:trPr>
          <w:trHeight w:val="23"/>
        </w:trPr>
        <w:tc>
          <w:tcPr>
            <w:tcW w:w="1971" w:type="pct"/>
            <w:shd w:val="clear" w:color="auto" w:fill="auto"/>
            <w:vAlign w:val="bottom"/>
          </w:tcPr>
          <w:p w14:paraId="5F3B1B2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credit-impaired (from Stage 1 and Stage 2 to Stage 3)</w:t>
            </w:r>
          </w:p>
        </w:tc>
        <w:tc>
          <w:tcPr>
            <w:tcW w:w="606" w:type="pct"/>
            <w:vAlign w:val="bottom"/>
          </w:tcPr>
          <w:p w14:paraId="798E47B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262246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A1C47A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9F4EA1E"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3C659B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7460C52" w14:textId="77777777" w:rsidTr="001B330E">
        <w:trPr>
          <w:trHeight w:val="23"/>
        </w:trPr>
        <w:tc>
          <w:tcPr>
            <w:tcW w:w="1971" w:type="pct"/>
            <w:shd w:val="clear" w:color="auto" w:fill="auto"/>
            <w:vAlign w:val="bottom"/>
          </w:tcPr>
          <w:p w14:paraId="39B889C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to 12-months ECL (from Stage 2 and Stage 3 to Stage 1)</w:t>
            </w:r>
          </w:p>
        </w:tc>
        <w:tc>
          <w:tcPr>
            <w:tcW w:w="606" w:type="pct"/>
            <w:vAlign w:val="bottom"/>
          </w:tcPr>
          <w:p w14:paraId="778B467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51AA6D5"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5A7F195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8FCD269"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620E6E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328A7D3" w14:textId="77777777" w:rsidTr="001B330E">
        <w:trPr>
          <w:trHeight w:val="23"/>
        </w:trPr>
        <w:tc>
          <w:tcPr>
            <w:tcW w:w="1971" w:type="pct"/>
            <w:shd w:val="clear" w:color="auto" w:fill="auto"/>
            <w:vAlign w:val="bottom"/>
          </w:tcPr>
          <w:p w14:paraId="055383D4" w14:textId="25036082"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Issued loan commitments</w:t>
            </w:r>
            <w:r w:rsidR="00181687">
              <w:rPr>
                <w:color w:val="000000"/>
              </w:rPr>
              <w:t xml:space="preserve"> </w:t>
            </w:r>
            <w:r w:rsidRPr="00EA10CF">
              <w:rPr>
                <w:color w:val="000000"/>
              </w:rPr>
              <w:t>– fees charged</w:t>
            </w:r>
          </w:p>
        </w:tc>
        <w:tc>
          <w:tcPr>
            <w:tcW w:w="606" w:type="pct"/>
            <w:vAlign w:val="bottom"/>
          </w:tcPr>
          <w:p w14:paraId="6FF50DEA"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723C92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2E90D2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1AB44AC"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027665B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6495200" w14:textId="77777777" w:rsidTr="001B330E">
        <w:trPr>
          <w:trHeight w:val="23"/>
        </w:trPr>
        <w:tc>
          <w:tcPr>
            <w:tcW w:w="1971" w:type="pct"/>
            <w:shd w:val="clear" w:color="auto" w:fill="auto"/>
            <w:vAlign w:val="bottom"/>
          </w:tcPr>
          <w:p w14:paraId="19BAFFAE" w14:textId="0D9A319F"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Issued loan commitments</w:t>
            </w:r>
            <w:r w:rsidR="00181687">
              <w:rPr>
                <w:color w:val="000000"/>
              </w:rPr>
              <w:t xml:space="preserve"> </w:t>
            </w:r>
            <w:r w:rsidRPr="00EA10CF">
              <w:rPr>
                <w:color w:val="000000"/>
              </w:rPr>
              <w:t>– 12-months ECL</w:t>
            </w:r>
          </w:p>
        </w:tc>
        <w:tc>
          <w:tcPr>
            <w:tcW w:w="606" w:type="pct"/>
            <w:vAlign w:val="bottom"/>
          </w:tcPr>
          <w:p w14:paraId="35EF7F4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FF2315D"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95C989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0560670"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F41B1A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060FA25" w14:textId="77777777" w:rsidTr="001B330E">
        <w:trPr>
          <w:trHeight w:val="23"/>
        </w:trPr>
        <w:tc>
          <w:tcPr>
            <w:tcW w:w="1971" w:type="pct"/>
            <w:shd w:val="clear" w:color="auto" w:fill="auto"/>
            <w:vAlign w:val="bottom"/>
          </w:tcPr>
          <w:p w14:paraId="15DB954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Amortisation of deferred fee to income</w:t>
            </w:r>
          </w:p>
        </w:tc>
        <w:tc>
          <w:tcPr>
            <w:tcW w:w="606" w:type="pct"/>
            <w:vAlign w:val="bottom"/>
          </w:tcPr>
          <w:p w14:paraId="23FB99D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64AACE6"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9D79F7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00D5CA3"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BA7D34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7E47047" w14:textId="77777777" w:rsidTr="001B330E">
        <w:trPr>
          <w:trHeight w:val="23"/>
        </w:trPr>
        <w:tc>
          <w:tcPr>
            <w:tcW w:w="1971" w:type="pct"/>
            <w:shd w:val="clear" w:color="auto" w:fill="auto"/>
            <w:vAlign w:val="bottom"/>
          </w:tcPr>
          <w:p w14:paraId="536955D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Transfer to ECL on loans upon loans drawdown</w:t>
            </w:r>
          </w:p>
        </w:tc>
        <w:tc>
          <w:tcPr>
            <w:tcW w:w="606" w:type="pct"/>
            <w:vAlign w:val="bottom"/>
          </w:tcPr>
          <w:p w14:paraId="0B0F622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834BFA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AA9CCA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F1BF73B"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1EE87BD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6CAF2E7" w14:textId="77777777" w:rsidTr="001B330E">
        <w:trPr>
          <w:trHeight w:val="23"/>
        </w:trPr>
        <w:tc>
          <w:tcPr>
            <w:tcW w:w="1971" w:type="pct"/>
            <w:shd w:val="clear" w:color="auto" w:fill="auto"/>
            <w:vAlign w:val="bottom"/>
          </w:tcPr>
          <w:p w14:paraId="71B426F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Derecognised during the period</w:t>
            </w:r>
          </w:p>
        </w:tc>
        <w:tc>
          <w:tcPr>
            <w:tcW w:w="606" w:type="pct"/>
            <w:vAlign w:val="bottom"/>
          </w:tcPr>
          <w:p w14:paraId="27479D0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1602AE1"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59AD9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8654802"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708844F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07A7001" w14:textId="77777777" w:rsidTr="001B330E">
        <w:trPr>
          <w:trHeight w:val="23"/>
        </w:trPr>
        <w:tc>
          <w:tcPr>
            <w:tcW w:w="1971" w:type="pct"/>
            <w:shd w:val="clear" w:color="auto" w:fill="auto"/>
            <w:vAlign w:val="bottom"/>
          </w:tcPr>
          <w:p w14:paraId="22D557D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Changes to model assumptions</w:t>
            </w:r>
          </w:p>
        </w:tc>
        <w:tc>
          <w:tcPr>
            <w:tcW w:w="606" w:type="pct"/>
            <w:vAlign w:val="bottom"/>
          </w:tcPr>
          <w:p w14:paraId="6D98B23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5F9EEA1"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304459B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931FF3E"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1E19D7D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A4F94F" w14:textId="77777777" w:rsidTr="001B330E">
        <w:trPr>
          <w:trHeight w:val="23"/>
        </w:trPr>
        <w:tc>
          <w:tcPr>
            <w:tcW w:w="1971" w:type="pct"/>
            <w:shd w:val="clear" w:color="auto" w:fill="auto"/>
            <w:vAlign w:val="bottom"/>
          </w:tcPr>
          <w:p w14:paraId="5427BDD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Unwinding of discounting</w:t>
            </w:r>
          </w:p>
        </w:tc>
        <w:tc>
          <w:tcPr>
            <w:tcW w:w="606" w:type="pct"/>
            <w:vAlign w:val="bottom"/>
          </w:tcPr>
          <w:p w14:paraId="13AAB50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6EF91CE"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FB95184"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3793250"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B8BD63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C5474D0" w14:textId="77777777" w:rsidTr="001B330E">
        <w:trPr>
          <w:trHeight w:val="23"/>
        </w:trPr>
        <w:tc>
          <w:tcPr>
            <w:tcW w:w="1971" w:type="pct"/>
            <w:shd w:val="clear" w:color="auto" w:fill="auto"/>
            <w:vAlign w:val="bottom"/>
          </w:tcPr>
          <w:p w14:paraId="39FD079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movements</w:t>
            </w:r>
          </w:p>
        </w:tc>
        <w:tc>
          <w:tcPr>
            <w:tcW w:w="606" w:type="pct"/>
            <w:vAlign w:val="bottom"/>
          </w:tcPr>
          <w:p w14:paraId="3B18248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83E73F6"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EF3762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D09F6C3"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624C834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AD0FB8" w14:textId="77777777" w:rsidTr="001B330E">
        <w:trPr>
          <w:trHeight w:val="23"/>
        </w:trPr>
        <w:tc>
          <w:tcPr>
            <w:tcW w:w="1971" w:type="pct"/>
            <w:tcBorders>
              <w:bottom w:val="single" w:sz="4" w:space="0" w:color="000000"/>
            </w:tcBorders>
            <w:shd w:val="clear" w:color="auto" w:fill="auto"/>
            <w:vAlign w:val="bottom"/>
          </w:tcPr>
          <w:p w14:paraId="3F121060"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tcBorders>
              <w:bottom w:val="single" w:sz="4" w:space="0" w:color="000000"/>
            </w:tcBorders>
            <w:vAlign w:val="bottom"/>
          </w:tcPr>
          <w:p w14:paraId="330B1149"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AA2F24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834DEE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F578F8B"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tcPr>
          <w:p w14:paraId="6D2AA29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1E01F0F" w14:textId="77777777" w:rsidTr="001B330E">
        <w:trPr>
          <w:trHeight w:val="23"/>
        </w:trPr>
        <w:tc>
          <w:tcPr>
            <w:tcW w:w="1971" w:type="pct"/>
            <w:tcBorders>
              <w:top w:val="single" w:sz="4" w:space="0" w:color="000000"/>
            </w:tcBorders>
            <w:shd w:val="clear" w:color="auto" w:fill="auto"/>
            <w:vAlign w:val="bottom"/>
          </w:tcPr>
          <w:p w14:paraId="6540BF9D"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tcBorders>
              <w:top w:val="single" w:sz="4" w:space="0" w:color="000000"/>
            </w:tcBorders>
            <w:vAlign w:val="bottom"/>
          </w:tcPr>
          <w:p w14:paraId="0003C59A"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BC0571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0CD93B3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4C25178"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2DBC0A3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863AD10" w14:textId="77777777" w:rsidTr="001B330E">
        <w:trPr>
          <w:trHeight w:val="23"/>
        </w:trPr>
        <w:tc>
          <w:tcPr>
            <w:tcW w:w="1971" w:type="pct"/>
            <w:shd w:val="clear" w:color="auto" w:fill="auto"/>
            <w:vAlign w:val="bottom"/>
          </w:tcPr>
          <w:p w14:paraId="2E143A16"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charge to profit or loss for the year</w:t>
            </w:r>
          </w:p>
        </w:tc>
        <w:tc>
          <w:tcPr>
            <w:tcW w:w="606" w:type="pct"/>
            <w:vAlign w:val="bottom"/>
          </w:tcPr>
          <w:p w14:paraId="59051F9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499D1E4"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0C15D48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C86D11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1B10A3A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DD0E57A" w14:textId="77777777" w:rsidTr="001B330E">
        <w:trPr>
          <w:trHeight w:val="23"/>
        </w:trPr>
        <w:tc>
          <w:tcPr>
            <w:tcW w:w="1971" w:type="pct"/>
            <w:shd w:val="clear" w:color="auto" w:fill="auto"/>
            <w:vAlign w:val="bottom"/>
          </w:tcPr>
          <w:p w14:paraId="52F325C3"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06" w:type="pct"/>
            <w:vAlign w:val="bottom"/>
          </w:tcPr>
          <w:p w14:paraId="54FC99B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9A195DC"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6FF025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009D9B0"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54F1081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2001393" w14:textId="77777777" w:rsidTr="001B330E">
        <w:trPr>
          <w:trHeight w:val="23"/>
        </w:trPr>
        <w:tc>
          <w:tcPr>
            <w:tcW w:w="1971" w:type="pct"/>
            <w:tcBorders>
              <w:top w:val="single" w:sz="4" w:space="0" w:color="000000"/>
            </w:tcBorders>
            <w:shd w:val="clear" w:color="auto" w:fill="auto"/>
            <w:vAlign w:val="bottom"/>
          </w:tcPr>
          <w:p w14:paraId="120041DB"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606" w:type="pct"/>
            <w:tcBorders>
              <w:top w:val="single" w:sz="4" w:space="0" w:color="000000"/>
            </w:tcBorders>
            <w:vAlign w:val="bottom"/>
          </w:tcPr>
          <w:p w14:paraId="2EEB1B71"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C88905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6E15848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A8B5BE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5F52AE9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39904F3" w14:textId="77777777" w:rsidTr="001B330E">
        <w:trPr>
          <w:trHeight w:val="23"/>
        </w:trPr>
        <w:tc>
          <w:tcPr>
            <w:tcW w:w="1971" w:type="pct"/>
            <w:shd w:val="clear" w:color="auto" w:fill="auto"/>
            <w:vAlign w:val="bottom"/>
          </w:tcPr>
          <w:p w14:paraId="57FB9D8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i/>
                <w:color w:val="000000"/>
              </w:rPr>
              <w:t>Movements without impact on provision for credit related commitments charge for the period:</w:t>
            </w:r>
          </w:p>
        </w:tc>
        <w:tc>
          <w:tcPr>
            <w:tcW w:w="606" w:type="pct"/>
            <w:vAlign w:val="bottom"/>
          </w:tcPr>
          <w:p w14:paraId="6AD74DE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0D4DCE0"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612A79A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58AEF2A"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E05E7C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1B63438" w14:textId="77777777" w:rsidTr="001B330E">
        <w:trPr>
          <w:trHeight w:val="23"/>
        </w:trPr>
        <w:tc>
          <w:tcPr>
            <w:tcW w:w="1971" w:type="pct"/>
            <w:shd w:val="clear" w:color="auto" w:fill="auto"/>
            <w:vAlign w:val="bottom"/>
          </w:tcPr>
          <w:p w14:paraId="105FA15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Write-offs</w:t>
            </w:r>
          </w:p>
        </w:tc>
        <w:tc>
          <w:tcPr>
            <w:tcW w:w="606" w:type="pct"/>
            <w:vAlign w:val="bottom"/>
          </w:tcPr>
          <w:p w14:paraId="3FBD4FE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CAE83A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DFE068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54DF105"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1A23FD3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DC14541" w14:textId="77777777" w:rsidTr="001B330E">
        <w:trPr>
          <w:trHeight w:val="23"/>
        </w:trPr>
        <w:tc>
          <w:tcPr>
            <w:tcW w:w="1971" w:type="pct"/>
            <w:shd w:val="clear" w:color="auto" w:fill="auto"/>
            <w:vAlign w:val="bottom"/>
          </w:tcPr>
          <w:p w14:paraId="75FE313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FX movements</w:t>
            </w:r>
          </w:p>
        </w:tc>
        <w:tc>
          <w:tcPr>
            <w:tcW w:w="606" w:type="pct"/>
            <w:vAlign w:val="bottom"/>
          </w:tcPr>
          <w:p w14:paraId="33B3FCC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AF43AE1"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683772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C7EA321"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4144F6E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AD5B1E6" w14:textId="77777777" w:rsidTr="001B330E">
        <w:trPr>
          <w:trHeight w:val="23"/>
        </w:trPr>
        <w:tc>
          <w:tcPr>
            <w:tcW w:w="1971" w:type="pct"/>
            <w:shd w:val="clear" w:color="auto" w:fill="auto"/>
            <w:vAlign w:val="bottom"/>
          </w:tcPr>
          <w:p w14:paraId="4A8A84B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Modification of contractual cash flows</w:t>
            </w:r>
          </w:p>
        </w:tc>
        <w:tc>
          <w:tcPr>
            <w:tcW w:w="606" w:type="pct"/>
            <w:vAlign w:val="bottom"/>
          </w:tcPr>
          <w:p w14:paraId="3F12198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469261B"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40E7B52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41D3665"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3FBC6E0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FC85FEA" w14:textId="77777777" w:rsidTr="001B330E">
        <w:trPr>
          <w:trHeight w:val="23"/>
        </w:trPr>
        <w:tc>
          <w:tcPr>
            <w:tcW w:w="1971" w:type="pct"/>
            <w:shd w:val="clear" w:color="auto" w:fill="auto"/>
            <w:vAlign w:val="bottom"/>
          </w:tcPr>
          <w:p w14:paraId="3316969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Unwinding of discounting (for Stage 3) </w:t>
            </w:r>
          </w:p>
        </w:tc>
        <w:tc>
          <w:tcPr>
            <w:tcW w:w="606" w:type="pct"/>
            <w:vAlign w:val="bottom"/>
          </w:tcPr>
          <w:p w14:paraId="049C67D1"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F47768B"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739BA67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54EC3C8"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29B9965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412B90D" w14:textId="77777777" w:rsidTr="001B330E">
        <w:trPr>
          <w:trHeight w:val="23"/>
        </w:trPr>
        <w:tc>
          <w:tcPr>
            <w:tcW w:w="1971" w:type="pct"/>
            <w:tcBorders>
              <w:bottom w:val="single" w:sz="4" w:space="0" w:color="000000"/>
            </w:tcBorders>
            <w:shd w:val="clear" w:color="auto" w:fill="auto"/>
            <w:vAlign w:val="bottom"/>
          </w:tcPr>
          <w:p w14:paraId="55148094"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tcBorders>
              <w:bottom w:val="single" w:sz="4" w:space="0" w:color="000000"/>
            </w:tcBorders>
            <w:vAlign w:val="bottom"/>
          </w:tcPr>
          <w:p w14:paraId="0E958F2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AA269E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shd w:val="clear" w:color="auto" w:fill="auto"/>
            <w:vAlign w:val="bottom"/>
          </w:tcPr>
          <w:p w14:paraId="63C63B8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6E69E1B"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tcPr>
          <w:p w14:paraId="184C598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B2786C" w14:textId="77777777" w:rsidTr="001B330E">
        <w:trPr>
          <w:trHeight w:val="23"/>
        </w:trPr>
        <w:tc>
          <w:tcPr>
            <w:tcW w:w="1971" w:type="pct"/>
            <w:tcBorders>
              <w:top w:val="single" w:sz="4" w:space="0" w:color="000000"/>
            </w:tcBorders>
            <w:shd w:val="clear" w:color="auto" w:fill="auto"/>
            <w:vAlign w:val="bottom"/>
          </w:tcPr>
          <w:p w14:paraId="1D5205FC"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06" w:type="pct"/>
            <w:tcBorders>
              <w:top w:val="single" w:sz="4" w:space="0" w:color="000000"/>
            </w:tcBorders>
            <w:vAlign w:val="bottom"/>
          </w:tcPr>
          <w:p w14:paraId="6EBC5B5A"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B097E7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shd w:val="clear" w:color="auto" w:fill="auto"/>
            <w:vAlign w:val="bottom"/>
          </w:tcPr>
          <w:p w14:paraId="46463F60"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FFA2809"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tcPr>
          <w:p w14:paraId="0ADE92C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F7F21CD" w14:textId="77777777" w:rsidTr="001B330E">
        <w:trPr>
          <w:trHeight w:val="23"/>
        </w:trPr>
        <w:tc>
          <w:tcPr>
            <w:tcW w:w="1971" w:type="pct"/>
            <w:shd w:val="clear" w:color="auto" w:fill="auto"/>
            <w:vAlign w:val="bottom"/>
          </w:tcPr>
          <w:p w14:paraId="34C298AF" w14:textId="736BA192"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Provision for loan commitments at </w:t>
            </w:r>
            <w:r w:rsidRPr="00EA10CF">
              <w:rPr>
                <w:b/>
                <w:color w:val="000000"/>
              </w:rPr>
              <w:br/>
              <w:t>31</w:t>
            </w:r>
            <w:r w:rsidR="00181687">
              <w:rPr>
                <w:b/>
                <w:color w:val="000000"/>
              </w:rPr>
              <w:t> December </w:t>
            </w:r>
            <w:r w:rsidR="00541EBC">
              <w:rPr>
                <w:b/>
                <w:color w:val="000000"/>
              </w:rPr>
              <w:t>2023</w:t>
            </w:r>
          </w:p>
        </w:tc>
        <w:tc>
          <w:tcPr>
            <w:tcW w:w="606" w:type="pct"/>
            <w:vAlign w:val="bottom"/>
          </w:tcPr>
          <w:p w14:paraId="2868360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0EEB80A" w14:textId="77777777" w:rsidR="00D83E33" w:rsidRPr="00EA10CF" w:rsidRDefault="00D83E33">
            <w:pPr>
              <w:widowControl w:val="0"/>
              <w:pBdr>
                <w:top w:val="nil"/>
                <w:left w:val="nil"/>
                <w:bottom w:val="nil"/>
                <w:right w:val="nil"/>
                <w:between w:val="nil"/>
              </w:pBdr>
              <w:jc w:val="right"/>
              <w:rPr>
                <w:color w:val="000000"/>
              </w:rPr>
            </w:pPr>
          </w:p>
        </w:tc>
        <w:tc>
          <w:tcPr>
            <w:tcW w:w="606" w:type="pct"/>
            <w:shd w:val="clear" w:color="auto" w:fill="auto"/>
            <w:vAlign w:val="bottom"/>
          </w:tcPr>
          <w:p w14:paraId="2117224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F8A3AE3" w14:textId="77777777" w:rsidR="00D83E33" w:rsidRPr="00EA10CF" w:rsidRDefault="00D83E33">
            <w:pPr>
              <w:widowControl w:val="0"/>
              <w:pBdr>
                <w:top w:val="nil"/>
                <w:left w:val="nil"/>
                <w:bottom w:val="nil"/>
                <w:right w:val="nil"/>
                <w:between w:val="nil"/>
              </w:pBdr>
              <w:jc w:val="right"/>
              <w:rPr>
                <w:color w:val="000000"/>
              </w:rPr>
            </w:pPr>
          </w:p>
        </w:tc>
        <w:tc>
          <w:tcPr>
            <w:tcW w:w="606" w:type="pct"/>
          </w:tcPr>
          <w:p w14:paraId="4501C21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62A03CA" w14:textId="77777777" w:rsidTr="001B330E">
        <w:trPr>
          <w:trHeight w:val="23"/>
        </w:trPr>
        <w:tc>
          <w:tcPr>
            <w:tcW w:w="1971" w:type="pct"/>
            <w:tcBorders>
              <w:bottom w:val="single" w:sz="12" w:space="0" w:color="000000"/>
            </w:tcBorders>
            <w:shd w:val="clear" w:color="auto" w:fill="auto"/>
            <w:vAlign w:val="bottom"/>
          </w:tcPr>
          <w:p w14:paraId="7B409993" w14:textId="77777777" w:rsidR="00D83E33" w:rsidRPr="00EA10CF" w:rsidRDefault="00D83E33" w:rsidP="001B330E">
            <w:pPr>
              <w:widowControl w:val="0"/>
              <w:pBdr>
                <w:top w:val="nil"/>
                <w:left w:val="nil"/>
                <w:bottom w:val="nil"/>
                <w:right w:val="nil"/>
                <w:between w:val="nil"/>
              </w:pBdr>
              <w:ind w:left="113" w:hanging="113"/>
              <w:rPr>
                <w:color w:val="000000"/>
                <w:u w:val="single"/>
              </w:rPr>
            </w:pPr>
          </w:p>
        </w:tc>
        <w:tc>
          <w:tcPr>
            <w:tcW w:w="606" w:type="pct"/>
            <w:tcBorders>
              <w:bottom w:val="single" w:sz="12" w:space="0" w:color="000000"/>
            </w:tcBorders>
            <w:vAlign w:val="bottom"/>
          </w:tcPr>
          <w:p w14:paraId="7850900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45B1CDC8"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shd w:val="clear" w:color="auto" w:fill="auto"/>
            <w:vAlign w:val="bottom"/>
          </w:tcPr>
          <w:p w14:paraId="513053E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460F0A5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tcPr>
          <w:p w14:paraId="4A0BEA58" w14:textId="77777777" w:rsidR="00D83E33" w:rsidRPr="00EA10CF" w:rsidRDefault="00D83E33">
            <w:pPr>
              <w:widowControl w:val="0"/>
              <w:pBdr>
                <w:top w:val="nil"/>
                <w:left w:val="nil"/>
                <w:bottom w:val="nil"/>
                <w:right w:val="nil"/>
                <w:between w:val="nil"/>
              </w:pBdr>
              <w:jc w:val="right"/>
              <w:rPr>
                <w:color w:val="000000"/>
              </w:rPr>
            </w:pPr>
          </w:p>
        </w:tc>
      </w:tr>
    </w:tbl>
    <w:p w14:paraId="54E043B5" w14:textId="5F334CD9"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Refer to Note 49 for disclosure of the fair value of each class of other financial liabilities. </w:t>
      </w:r>
      <w:r>
        <w:rPr>
          <w:i/>
          <w:color w:val="FF0000"/>
          <w:sz w:val="20"/>
          <w:szCs w:val="20"/>
        </w:rPr>
        <w:t>[Adjust table above to show POCI items, eg in case such commitments and guarantees were acquired in a business combination.]</w:t>
      </w:r>
    </w:p>
    <w:p w14:paraId="17B43C4A" w14:textId="77777777" w:rsidR="004607BE" w:rsidRDefault="004607BE" w:rsidP="001B330E">
      <w:pPr>
        <w:pStyle w:val="Heading1"/>
        <w:pageBreakBefore/>
      </w:pPr>
      <w:bookmarkStart w:id="92" w:name="_Toc179196029"/>
      <w:r>
        <w:lastRenderedPageBreak/>
        <w:t xml:space="preserve">Other </w:t>
      </w:r>
      <w:r w:rsidRPr="004607BE">
        <w:t>Liabilities</w:t>
      </w:r>
      <w:bookmarkEnd w:id="92"/>
    </w:p>
    <w:p w14:paraId="1CF0A8F3" w14:textId="5125D1E7" w:rsidR="00D83E33" w:rsidRDefault="00BC4072" w:rsidP="001B330E">
      <w:pPr>
        <w:widowControl w:val="0"/>
        <w:spacing w:before="200" w:after="200"/>
        <w:rPr>
          <w:sz w:val="20"/>
          <w:szCs w:val="20"/>
        </w:rPr>
      </w:pPr>
      <w:r>
        <w:rPr>
          <w:sz w:val="20"/>
          <w:szCs w:val="20"/>
        </w:rPr>
        <w:t>Other liabilities comprise the following:</w:t>
      </w:r>
    </w:p>
    <w:tbl>
      <w:tblPr>
        <w:tblStyle w:val="afffffffffffc"/>
        <w:tblW w:w="5000" w:type="pct"/>
        <w:tblLayout w:type="fixed"/>
        <w:tblLook w:val="0000" w:firstRow="0" w:lastRow="0" w:firstColumn="0" w:lastColumn="0" w:noHBand="0" w:noVBand="0"/>
      </w:tblPr>
      <w:tblGrid>
        <w:gridCol w:w="5670"/>
        <w:gridCol w:w="709"/>
        <w:gridCol w:w="1446"/>
        <w:gridCol w:w="1530"/>
      </w:tblGrid>
      <w:tr w:rsidR="00D83E33" w:rsidRPr="00EA10CF" w14:paraId="0595CD3E" w14:textId="77777777" w:rsidTr="001B330E">
        <w:trPr>
          <w:trHeight w:val="23"/>
        </w:trPr>
        <w:tc>
          <w:tcPr>
            <w:tcW w:w="3030" w:type="pct"/>
            <w:tcBorders>
              <w:bottom w:val="single" w:sz="4" w:space="0" w:color="000000"/>
            </w:tcBorders>
            <w:vAlign w:val="bottom"/>
          </w:tcPr>
          <w:p w14:paraId="578E3736" w14:textId="0B25388C" w:rsidR="00D83E33" w:rsidRPr="00EA10CF" w:rsidRDefault="00313B4D" w:rsidP="001B330E">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379" w:type="pct"/>
            <w:tcBorders>
              <w:bottom w:val="single" w:sz="4" w:space="0" w:color="000000"/>
            </w:tcBorders>
            <w:vAlign w:val="bottom"/>
          </w:tcPr>
          <w:p w14:paraId="05E8F0A8" w14:textId="77777777" w:rsidR="00D83E33" w:rsidRPr="00EA10CF" w:rsidRDefault="00BC4072" w:rsidP="001B330E">
            <w:pPr>
              <w:widowControl w:val="0"/>
              <w:pBdr>
                <w:top w:val="nil"/>
                <w:left w:val="nil"/>
                <w:bottom w:val="nil"/>
                <w:right w:val="nil"/>
                <w:between w:val="nil"/>
              </w:pBdr>
              <w:jc w:val="center"/>
              <w:rPr>
                <w:b/>
                <w:color w:val="000000"/>
              </w:rPr>
            </w:pPr>
            <w:r w:rsidRPr="00EA10CF">
              <w:rPr>
                <w:b/>
                <w:color w:val="000000"/>
              </w:rPr>
              <w:t>Note</w:t>
            </w:r>
          </w:p>
        </w:tc>
        <w:tc>
          <w:tcPr>
            <w:tcW w:w="773" w:type="pct"/>
            <w:tcBorders>
              <w:bottom w:val="single" w:sz="4" w:space="0" w:color="000000"/>
            </w:tcBorders>
            <w:vAlign w:val="bottom"/>
          </w:tcPr>
          <w:p w14:paraId="54650EEF" w14:textId="03224751" w:rsidR="00D83E33" w:rsidRPr="00EA10CF" w:rsidRDefault="00541EBC" w:rsidP="001B330E">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43FABF9D" w14:textId="5516A9D8" w:rsidR="00D83E33" w:rsidRPr="00EA10CF" w:rsidRDefault="00541EBC" w:rsidP="001B330E">
            <w:pPr>
              <w:widowControl w:val="0"/>
              <w:pBdr>
                <w:top w:val="nil"/>
                <w:left w:val="nil"/>
                <w:bottom w:val="nil"/>
                <w:right w:val="nil"/>
                <w:between w:val="nil"/>
              </w:pBdr>
              <w:jc w:val="right"/>
              <w:rPr>
                <w:b/>
                <w:color w:val="000000"/>
              </w:rPr>
            </w:pPr>
            <w:r>
              <w:rPr>
                <w:b/>
                <w:color w:val="000000"/>
              </w:rPr>
              <w:t>2023</w:t>
            </w:r>
          </w:p>
        </w:tc>
      </w:tr>
      <w:tr w:rsidR="00D83E33" w:rsidRPr="00EA10CF" w14:paraId="610976AF" w14:textId="77777777" w:rsidTr="001B330E">
        <w:trPr>
          <w:trHeight w:val="23"/>
        </w:trPr>
        <w:tc>
          <w:tcPr>
            <w:tcW w:w="3030" w:type="pct"/>
            <w:vAlign w:val="bottom"/>
          </w:tcPr>
          <w:p w14:paraId="5EEF89E1" w14:textId="77777777" w:rsidR="00D83E33" w:rsidRPr="00EA10CF" w:rsidRDefault="00BC4072" w:rsidP="001B330E">
            <w:pPr>
              <w:widowControl w:val="0"/>
              <w:pBdr>
                <w:top w:val="nil"/>
                <w:left w:val="nil"/>
                <w:bottom w:val="nil"/>
                <w:right w:val="nil"/>
                <w:between w:val="nil"/>
              </w:pBdr>
              <w:rPr>
                <w:color w:val="000000"/>
              </w:rPr>
            </w:pPr>
            <w:r w:rsidRPr="00EA10CF">
              <w:rPr>
                <w:b/>
                <w:color w:val="000000"/>
              </w:rPr>
              <w:t> </w:t>
            </w:r>
          </w:p>
        </w:tc>
        <w:tc>
          <w:tcPr>
            <w:tcW w:w="379" w:type="pct"/>
            <w:vAlign w:val="bottom"/>
          </w:tcPr>
          <w:p w14:paraId="26896C15" w14:textId="77777777" w:rsidR="00D83E33" w:rsidRPr="00EA10CF" w:rsidRDefault="00D83E33" w:rsidP="001B330E">
            <w:pPr>
              <w:widowControl w:val="0"/>
              <w:jc w:val="center"/>
            </w:pPr>
          </w:p>
        </w:tc>
        <w:tc>
          <w:tcPr>
            <w:tcW w:w="773" w:type="pct"/>
            <w:vAlign w:val="bottom"/>
          </w:tcPr>
          <w:p w14:paraId="01043853"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19F181B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8DE9264" w14:textId="77777777" w:rsidTr="001B330E">
        <w:trPr>
          <w:trHeight w:val="23"/>
        </w:trPr>
        <w:tc>
          <w:tcPr>
            <w:tcW w:w="3030" w:type="pct"/>
            <w:vAlign w:val="bottom"/>
          </w:tcPr>
          <w:p w14:paraId="431B07EE"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 xml:space="preserve">Taxes payable other than on income </w:t>
            </w:r>
          </w:p>
        </w:tc>
        <w:tc>
          <w:tcPr>
            <w:tcW w:w="379" w:type="pct"/>
            <w:vAlign w:val="bottom"/>
          </w:tcPr>
          <w:p w14:paraId="7F0C0A47" w14:textId="77777777" w:rsidR="00D83E33" w:rsidRPr="00EA10CF" w:rsidRDefault="00D83E33" w:rsidP="001B330E">
            <w:pPr>
              <w:widowControl w:val="0"/>
              <w:jc w:val="center"/>
            </w:pPr>
          </w:p>
        </w:tc>
        <w:tc>
          <w:tcPr>
            <w:tcW w:w="773" w:type="pct"/>
            <w:vAlign w:val="bottom"/>
          </w:tcPr>
          <w:p w14:paraId="0BF33750"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0C9DB2B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112F7B3" w14:textId="77777777" w:rsidTr="001B330E">
        <w:trPr>
          <w:trHeight w:val="23"/>
        </w:trPr>
        <w:tc>
          <w:tcPr>
            <w:tcW w:w="3030" w:type="pct"/>
            <w:vAlign w:val="bottom"/>
          </w:tcPr>
          <w:p w14:paraId="2DA2D3BB"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Accrued employee benefit costs</w:t>
            </w:r>
          </w:p>
        </w:tc>
        <w:tc>
          <w:tcPr>
            <w:tcW w:w="379" w:type="pct"/>
            <w:vAlign w:val="bottom"/>
          </w:tcPr>
          <w:p w14:paraId="5AA178C2" w14:textId="77777777" w:rsidR="00D83E33" w:rsidRPr="00EA10CF" w:rsidRDefault="00D83E33" w:rsidP="001B330E">
            <w:pPr>
              <w:widowControl w:val="0"/>
              <w:jc w:val="center"/>
            </w:pPr>
          </w:p>
        </w:tc>
        <w:tc>
          <w:tcPr>
            <w:tcW w:w="773" w:type="pct"/>
            <w:vAlign w:val="bottom"/>
          </w:tcPr>
          <w:p w14:paraId="7FA2A3C8"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1D7232C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11E4091" w14:textId="77777777" w:rsidTr="001B330E">
        <w:trPr>
          <w:trHeight w:val="23"/>
        </w:trPr>
        <w:tc>
          <w:tcPr>
            <w:tcW w:w="3030" w:type="pct"/>
            <w:vAlign w:val="bottom"/>
          </w:tcPr>
          <w:p w14:paraId="0FB56E17"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Deferred consideration for acquisitions</w:t>
            </w:r>
          </w:p>
        </w:tc>
        <w:tc>
          <w:tcPr>
            <w:tcW w:w="379" w:type="pct"/>
            <w:vAlign w:val="bottom"/>
          </w:tcPr>
          <w:p w14:paraId="3E4D1696" w14:textId="77777777" w:rsidR="00D83E33" w:rsidRPr="00EA10CF" w:rsidRDefault="00BC4072" w:rsidP="001B330E">
            <w:pPr>
              <w:widowControl w:val="0"/>
              <w:jc w:val="center"/>
            </w:pPr>
            <w:r w:rsidRPr="00EA10CF">
              <w:t>52</w:t>
            </w:r>
          </w:p>
        </w:tc>
        <w:tc>
          <w:tcPr>
            <w:tcW w:w="773" w:type="pct"/>
            <w:vAlign w:val="bottom"/>
          </w:tcPr>
          <w:p w14:paraId="2E68551B"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7395B3C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7ECD646" w14:textId="77777777" w:rsidTr="001B330E">
        <w:trPr>
          <w:trHeight w:val="23"/>
        </w:trPr>
        <w:tc>
          <w:tcPr>
            <w:tcW w:w="3030" w:type="pct"/>
            <w:vAlign w:val="bottom"/>
          </w:tcPr>
          <w:p w14:paraId="109FD6EA" w14:textId="1E7DF832" w:rsidR="00D83E33" w:rsidRPr="00EA10CF" w:rsidRDefault="00BC4072" w:rsidP="001B330E">
            <w:pPr>
              <w:widowControl w:val="0"/>
              <w:pBdr>
                <w:top w:val="nil"/>
                <w:left w:val="nil"/>
                <w:bottom w:val="nil"/>
                <w:right w:val="nil"/>
                <w:between w:val="nil"/>
              </w:pBdr>
              <w:rPr>
                <w:color w:val="000000"/>
              </w:rPr>
            </w:pPr>
            <w:r w:rsidRPr="00EA10CF">
              <w:rPr>
                <w:color w:val="000000"/>
              </w:rPr>
              <w:t xml:space="preserve">Contract liability – deferred income </w:t>
            </w:r>
          </w:p>
        </w:tc>
        <w:tc>
          <w:tcPr>
            <w:tcW w:w="379" w:type="pct"/>
            <w:vAlign w:val="bottom"/>
          </w:tcPr>
          <w:p w14:paraId="5F04997C" w14:textId="77777777" w:rsidR="00D83E33" w:rsidRPr="00EA10CF" w:rsidRDefault="00BC4072" w:rsidP="001B330E">
            <w:pPr>
              <w:widowControl w:val="0"/>
              <w:jc w:val="center"/>
            </w:pPr>
            <w:r w:rsidRPr="00EA10CF">
              <w:t>33</w:t>
            </w:r>
          </w:p>
        </w:tc>
        <w:tc>
          <w:tcPr>
            <w:tcW w:w="773" w:type="pct"/>
            <w:vAlign w:val="bottom"/>
          </w:tcPr>
          <w:p w14:paraId="4E811904"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49A988A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67D0858" w14:textId="77777777" w:rsidTr="001B330E">
        <w:trPr>
          <w:trHeight w:val="23"/>
        </w:trPr>
        <w:tc>
          <w:tcPr>
            <w:tcW w:w="3030" w:type="pct"/>
            <w:vAlign w:val="bottom"/>
          </w:tcPr>
          <w:p w14:paraId="23E50037" w14:textId="61A7473E" w:rsidR="00D83E33" w:rsidRPr="00EA10CF" w:rsidRDefault="00BC4072" w:rsidP="001B330E">
            <w:pPr>
              <w:widowControl w:val="0"/>
              <w:pBdr>
                <w:top w:val="nil"/>
                <w:left w:val="nil"/>
                <w:bottom w:val="nil"/>
                <w:right w:val="nil"/>
                <w:between w:val="nil"/>
              </w:pBdr>
              <w:rPr>
                <w:color w:val="000000"/>
              </w:rPr>
            </w:pPr>
            <w:r w:rsidRPr="00EA10CF">
              <w:rPr>
                <w:color w:val="000000"/>
              </w:rPr>
              <w:t xml:space="preserve">Other </w:t>
            </w:r>
          </w:p>
        </w:tc>
        <w:tc>
          <w:tcPr>
            <w:tcW w:w="379" w:type="pct"/>
            <w:vAlign w:val="bottom"/>
          </w:tcPr>
          <w:p w14:paraId="23460E15" w14:textId="77777777" w:rsidR="00D83E33" w:rsidRPr="00EA10CF" w:rsidRDefault="00D83E33" w:rsidP="001B330E">
            <w:pPr>
              <w:widowControl w:val="0"/>
              <w:jc w:val="center"/>
            </w:pPr>
          </w:p>
        </w:tc>
        <w:tc>
          <w:tcPr>
            <w:tcW w:w="773" w:type="pct"/>
            <w:vAlign w:val="bottom"/>
          </w:tcPr>
          <w:p w14:paraId="5196F5C6"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275F84F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80E3DC8" w14:textId="77777777" w:rsidTr="001B330E">
        <w:trPr>
          <w:trHeight w:val="23"/>
        </w:trPr>
        <w:tc>
          <w:tcPr>
            <w:tcW w:w="3030" w:type="pct"/>
            <w:tcBorders>
              <w:bottom w:val="single" w:sz="4" w:space="0" w:color="000000"/>
            </w:tcBorders>
            <w:vAlign w:val="bottom"/>
          </w:tcPr>
          <w:p w14:paraId="55B5E12C" w14:textId="77777777" w:rsidR="00D83E33" w:rsidRPr="00EA10CF" w:rsidRDefault="00BC4072" w:rsidP="001B330E">
            <w:pPr>
              <w:widowControl w:val="0"/>
              <w:pBdr>
                <w:top w:val="nil"/>
                <w:left w:val="nil"/>
                <w:bottom w:val="nil"/>
                <w:right w:val="nil"/>
                <w:between w:val="nil"/>
              </w:pBdr>
              <w:rPr>
                <w:color w:val="000000"/>
              </w:rPr>
            </w:pPr>
            <w:r w:rsidRPr="00EA10CF">
              <w:rPr>
                <w:b/>
                <w:color w:val="000000"/>
              </w:rPr>
              <w:t> </w:t>
            </w:r>
          </w:p>
        </w:tc>
        <w:tc>
          <w:tcPr>
            <w:tcW w:w="379" w:type="pct"/>
            <w:tcBorders>
              <w:bottom w:val="single" w:sz="4" w:space="0" w:color="000000"/>
            </w:tcBorders>
            <w:vAlign w:val="bottom"/>
          </w:tcPr>
          <w:p w14:paraId="3D8C4095" w14:textId="77777777" w:rsidR="00D83E33" w:rsidRPr="00EA10CF" w:rsidRDefault="00D83E33" w:rsidP="001B330E">
            <w:pPr>
              <w:widowControl w:val="0"/>
              <w:jc w:val="center"/>
            </w:pPr>
          </w:p>
        </w:tc>
        <w:tc>
          <w:tcPr>
            <w:tcW w:w="773" w:type="pct"/>
            <w:tcBorders>
              <w:bottom w:val="single" w:sz="4" w:space="0" w:color="000000"/>
            </w:tcBorders>
            <w:vAlign w:val="bottom"/>
          </w:tcPr>
          <w:p w14:paraId="489667AC"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4D141FA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B586740" w14:textId="77777777" w:rsidTr="001B330E">
        <w:trPr>
          <w:trHeight w:val="23"/>
        </w:trPr>
        <w:tc>
          <w:tcPr>
            <w:tcW w:w="3030" w:type="pct"/>
            <w:vAlign w:val="bottom"/>
          </w:tcPr>
          <w:p w14:paraId="7564D069" w14:textId="77777777" w:rsidR="00D83E33" w:rsidRPr="00EA10CF" w:rsidRDefault="00BC4072" w:rsidP="001B330E">
            <w:pPr>
              <w:widowControl w:val="0"/>
            </w:pPr>
            <w:r w:rsidRPr="00EA10CF">
              <w:rPr>
                <w:b/>
              </w:rPr>
              <w:t> </w:t>
            </w:r>
          </w:p>
        </w:tc>
        <w:tc>
          <w:tcPr>
            <w:tcW w:w="379" w:type="pct"/>
            <w:vAlign w:val="bottom"/>
          </w:tcPr>
          <w:p w14:paraId="379C332C" w14:textId="77777777" w:rsidR="00D83E33" w:rsidRPr="00EA10CF" w:rsidRDefault="00D83E33" w:rsidP="001B330E">
            <w:pPr>
              <w:widowControl w:val="0"/>
              <w:jc w:val="center"/>
              <w:rPr>
                <w:b/>
              </w:rPr>
            </w:pPr>
          </w:p>
        </w:tc>
        <w:tc>
          <w:tcPr>
            <w:tcW w:w="773" w:type="pct"/>
            <w:vAlign w:val="bottom"/>
          </w:tcPr>
          <w:p w14:paraId="7E63EF87"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5AE9185C"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BA17722" w14:textId="77777777" w:rsidTr="001B330E">
        <w:trPr>
          <w:trHeight w:val="23"/>
        </w:trPr>
        <w:tc>
          <w:tcPr>
            <w:tcW w:w="3030" w:type="pct"/>
            <w:vAlign w:val="bottom"/>
          </w:tcPr>
          <w:p w14:paraId="497DD652" w14:textId="77777777" w:rsidR="00D83E33" w:rsidRPr="00EA10CF" w:rsidRDefault="00BC4072" w:rsidP="001B330E">
            <w:pPr>
              <w:widowControl w:val="0"/>
              <w:pBdr>
                <w:top w:val="nil"/>
                <w:left w:val="nil"/>
                <w:bottom w:val="nil"/>
                <w:right w:val="nil"/>
                <w:between w:val="nil"/>
              </w:pBdr>
              <w:rPr>
                <w:b/>
                <w:color w:val="000000"/>
              </w:rPr>
            </w:pPr>
            <w:r w:rsidRPr="00EA10CF">
              <w:rPr>
                <w:b/>
                <w:color w:val="000000"/>
              </w:rPr>
              <w:t>Total other liabilities</w:t>
            </w:r>
          </w:p>
        </w:tc>
        <w:tc>
          <w:tcPr>
            <w:tcW w:w="379" w:type="pct"/>
            <w:vAlign w:val="bottom"/>
          </w:tcPr>
          <w:p w14:paraId="7B93D9FB" w14:textId="77777777" w:rsidR="00D83E33" w:rsidRPr="00EA10CF" w:rsidRDefault="00D83E33" w:rsidP="001B330E">
            <w:pPr>
              <w:widowControl w:val="0"/>
              <w:jc w:val="center"/>
              <w:rPr>
                <w:b/>
              </w:rPr>
            </w:pPr>
          </w:p>
        </w:tc>
        <w:tc>
          <w:tcPr>
            <w:tcW w:w="773" w:type="pct"/>
            <w:vAlign w:val="bottom"/>
          </w:tcPr>
          <w:p w14:paraId="721E7C59"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16956070"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4A64080" w14:textId="77777777" w:rsidTr="001B330E">
        <w:trPr>
          <w:trHeight w:val="23"/>
        </w:trPr>
        <w:tc>
          <w:tcPr>
            <w:tcW w:w="3030" w:type="pct"/>
            <w:tcBorders>
              <w:bottom w:val="single" w:sz="12" w:space="0" w:color="000000"/>
            </w:tcBorders>
            <w:vAlign w:val="bottom"/>
          </w:tcPr>
          <w:p w14:paraId="7C645A5E" w14:textId="77777777" w:rsidR="00D83E33" w:rsidRPr="00EA10CF" w:rsidRDefault="00BC4072" w:rsidP="001B330E">
            <w:pPr>
              <w:widowControl w:val="0"/>
            </w:pPr>
            <w:r w:rsidRPr="00EA10CF">
              <w:rPr>
                <w:b/>
              </w:rPr>
              <w:t> </w:t>
            </w:r>
          </w:p>
        </w:tc>
        <w:tc>
          <w:tcPr>
            <w:tcW w:w="379" w:type="pct"/>
            <w:tcBorders>
              <w:bottom w:val="single" w:sz="12" w:space="0" w:color="000000"/>
            </w:tcBorders>
            <w:vAlign w:val="bottom"/>
          </w:tcPr>
          <w:p w14:paraId="30EBD4A4" w14:textId="77777777" w:rsidR="00D83E33" w:rsidRPr="00EA10CF" w:rsidRDefault="00D83E33" w:rsidP="001B330E">
            <w:pPr>
              <w:widowControl w:val="0"/>
              <w:jc w:val="center"/>
              <w:rPr>
                <w:b/>
              </w:rPr>
            </w:pPr>
          </w:p>
        </w:tc>
        <w:tc>
          <w:tcPr>
            <w:tcW w:w="773" w:type="pct"/>
            <w:tcBorders>
              <w:bottom w:val="single" w:sz="12" w:space="0" w:color="000000"/>
            </w:tcBorders>
            <w:vAlign w:val="bottom"/>
          </w:tcPr>
          <w:p w14:paraId="6249613B"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3424037A" w14:textId="77777777" w:rsidR="00D83E33" w:rsidRPr="00EA10CF" w:rsidRDefault="00D83E33" w:rsidP="001B330E">
            <w:pPr>
              <w:widowControl w:val="0"/>
              <w:pBdr>
                <w:top w:val="nil"/>
                <w:left w:val="nil"/>
                <w:bottom w:val="nil"/>
                <w:right w:val="nil"/>
                <w:between w:val="nil"/>
              </w:pBdr>
              <w:jc w:val="right"/>
              <w:rPr>
                <w:b/>
                <w:color w:val="000000"/>
              </w:rPr>
            </w:pPr>
          </w:p>
        </w:tc>
      </w:tr>
    </w:tbl>
    <w:p w14:paraId="59055EE4" w14:textId="77777777" w:rsidR="00D83E33" w:rsidRDefault="00BC4072" w:rsidP="001B330E">
      <w:pPr>
        <w:pStyle w:val="Heading1"/>
      </w:pPr>
      <w:bookmarkStart w:id="93" w:name="_Toc179196030"/>
      <w:r w:rsidRPr="004607BE">
        <w:t>Subordinated</w:t>
      </w:r>
      <w:r>
        <w:t xml:space="preserve"> Debt</w:t>
      </w:r>
      <w:bookmarkEnd w:id="93"/>
      <w:r>
        <w:t xml:space="preserve"> </w:t>
      </w:r>
    </w:p>
    <w:p w14:paraId="73F83E1D" w14:textId="617E9EE2" w:rsidR="00A90BB8" w:rsidRDefault="00BC4072" w:rsidP="00A90BB8">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Subordinated debt of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carries a </w:t>
      </w:r>
      <w:r>
        <w:rPr>
          <w:color w:val="0000FF"/>
          <w:sz w:val="20"/>
          <w:szCs w:val="20"/>
        </w:rPr>
        <w:t xml:space="preserve">[fixed] [variable] </w:t>
      </w:r>
      <w:r>
        <w:rPr>
          <w:color w:val="000000"/>
          <w:sz w:val="20"/>
          <w:szCs w:val="20"/>
        </w:rPr>
        <w:t>interest rate of ___ % p.a. and matures on _______. The debt ranks after all other creditors in the case of liquidation.</w:t>
      </w:r>
      <w:r w:rsidR="00A90BB8">
        <w:rPr>
          <w:color w:val="000000"/>
          <w:sz w:val="20"/>
          <w:szCs w:val="20"/>
        </w:rPr>
        <w:t xml:space="preserve"> Subordinated debt is carried at AC. </w:t>
      </w:r>
    </w:p>
    <w:p w14:paraId="76161545"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49 for the disclosure of the fair value of subordinated debt. Interest rate analysis of subordinated debt is disclosed in Note 41. Information on related party balances is disclosed in Note 51.</w:t>
      </w:r>
    </w:p>
    <w:p w14:paraId="483AEA55" w14:textId="77777777" w:rsidR="00D83E33" w:rsidRDefault="00BC4072" w:rsidP="001B330E">
      <w:pPr>
        <w:pStyle w:val="Heading1"/>
      </w:pPr>
      <w:bookmarkStart w:id="94" w:name="_Toc179196031"/>
      <w:r>
        <w:t>Share Capital</w:t>
      </w:r>
      <w:bookmarkEnd w:id="94"/>
      <w:r>
        <w:t xml:space="preserve"> </w:t>
      </w:r>
    </w:p>
    <w:p w14:paraId="173C98DF" w14:textId="6964EE63" w:rsidR="00D83E33" w:rsidRDefault="00D83E33" w:rsidP="001B330E">
      <w:pPr>
        <w:widowControl w:val="0"/>
        <w:pBdr>
          <w:top w:val="nil"/>
          <w:left w:val="nil"/>
          <w:bottom w:val="nil"/>
          <w:right w:val="nil"/>
          <w:between w:val="nil"/>
        </w:pBdr>
        <w:spacing w:before="200" w:after="200"/>
        <w:jc w:val="both"/>
        <w:rPr>
          <w:i/>
          <w:color w:val="FF0000"/>
          <w:sz w:val="20"/>
          <w:szCs w:val="20"/>
        </w:rPr>
      </w:pPr>
    </w:p>
    <w:tbl>
      <w:tblPr>
        <w:tblStyle w:val="afffffffffffd"/>
        <w:tblW w:w="4980" w:type="pct"/>
        <w:tblLayout w:type="fixed"/>
        <w:tblLook w:val="0000" w:firstRow="0" w:lastRow="0" w:firstColumn="0" w:lastColumn="0" w:noHBand="0" w:noVBand="0"/>
      </w:tblPr>
      <w:tblGrid>
        <w:gridCol w:w="3119"/>
        <w:gridCol w:w="1124"/>
        <w:gridCol w:w="1016"/>
        <w:gridCol w:w="1012"/>
        <w:gridCol w:w="1031"/>
        <w:gridCol w:w="1012"/>
        <w:gridCol w:w="1004"/>
      </w:tblGrid>
      <w:tr w:rsidR="002A5F5D" w:rsidRPr="00EA10CF" w14:paraId="515307F2" w14:textId="77777777" w:rsidTr="002A5F5D">
        <w:trPr>
          <w:trHeight w:val="23"/>
        </w:trPr>
        <w:tc>
          <w:tcPr>
            <w:tcW w:w="1674" w:type="pct"/>
            <w:tcBorders>
              <w:bottom w:val="single" w:sz="4" w:space="0" w:color="000000"/>
            </w:tcBorders>
            <w:vAlign w:val="bottom"/>
          </w:tcPr>
          <w:p w14:paraId="0AC15C43" w14:textId="7BF6E61D" w:rsidR="002A5F5D" w:rsidRPr="004607BE" w:rsidRDefault="002A5F5D" w:rsidP="001B330E">
            <w:pPr>
              <w:widowControl w:val="0"/>
              <w:pBdr>
                <w:top w:val="nil"/>
                <w:left w:val="nil"/>
                <w:bottom w:val="nil"/>
                <w:right w:val="nil"/>
                <w:between w:val="nil"/>
              </w:pBdr>
              <w:ind w:left="113" w:hanging="113"/>
              <w:rPr>
                <w:b/>
                <w:i/>
                <w:color w:val="000000"/>
              </w:rPr>
            </w:pPr>
            <w:r>
              <w:rPr>
                <w:i/>
                <w:color w:val="000000"/>
              </w:rPr>
              <w:t>In thousands of EUR</w:t>
            </w:r>
            <w:r w:rsidRPr="004607BE">
              <w:rPr>
                <w:i/>
                <w:color w:val="000000"/>
              </w:rPr>
              <w:t xml:space="preserve"> except for number of shares</w:t>
            </w:r>
          </w:p>
        </w:tc>
        <w:tc>
          <w:tcPr>
            <w:tcW w:w="603" w:type="pct"/>
            <w:tcBorders>
              <w:bottom w:val="single" w:sz="4" w:space="0" w:color="000000"/>
            </w:tcBorders>
          </w:tcPr>
          <w:p w14:paraId="36FD2120" w14:textId="77777777" w:rsidR="002A5F5D" w:rsidRPr="00EA10CF" w:rsidRDefault="002A5F5D" w:rsidP="001B330E">
            <w:pPr>
              <w:widowControl w:val="0"/>
              <w:pBdr>
                <w:top w:val="nil"/>
                <w:left w:val="nil"/>
                <w:bottom w:val="nil"/>
                <w:right w:val="nil"/>
                <w:between w:val="nil"/>
              </w:pBdr>
              <w:ind w:left="-113"/>
              <w:jc w:val="right"/>
              <w:rPr>
                <w:b/>
                <w:color w:val="000000"/>
              </w:rPr>
            </w:pPr>
            <w:r w:rsidRPr="00EA10CF">
              <w:rPr>
                <w:b/>
                <w:color w:val="000000"/>
              </w:rPr>
              <w:t>Number of</w:t>
            </w:r>
          </w:p>
          <w:p w14:paraId="27EC979A" w14:textId="77777777" w:rsidR="002A5F5D" w:rsidRPr="00EA10CF" w:rsidRDefault="002A5F5D" w:rsidP="001B330E">
            <w:pPr>
              <w:widowControl w:val="0"/>
              <w:pBdr>
                <w:top w:val="nil"/>
                <w:left w:val="nil"/>
                <w:bottom w:val="nil"/>
                <w:right w:val="nil"/>
                <w:between w:val="nil"/>
              </w:pBdr>
              <w:ind w:left="-113"/>
              <w:jc w:val="right"/>
              <w:rPr>
                <w:b/>
                <w:color w:val="000000"/>
              </w:rPr>
            </w:pPr>
            <w:r w:rsidRPr="00EA10CF">
              <w:rPr>
                <w:b/>
                <w:color w:val="000000"/>
              </w:rPr>
              <w:t>outstanding</w:t>
            </w:r>
          </w:p>
          <w:p w14:paraId="3A80B3A8" w14:textId="77777777" w:rsidR="002A5F5D" w:rsidRPr="00EA10CF" w:rsidRDefault="002A5F5D" w:rsidP="001B330E">
            <w:pPr>
              <w:widowControl w:val="0"/>
              <w:pBdr>
                <w:top w:val="nil"/>
                <w:left w:val="nil"/>
                <w:bottom w:val="nil"/>
                <w:right w:val="nil"/>
                <w:between w:val="nil"/>
              </w:pBdr>
              <w:ind w:left="-113"/>
              <w:jc w:val="right"/>
              <w:rPr>
                <w:b/>
                <w:color w:val="0000FF"/>
              </w:rPr>
            </w:pPr>
            <w:r w:rsidRPr="00EA10CF">
              <w:rPr>
                <w:b/>
                <w:color w:val="000000"/>
              </w:rPr>
              <w:t xml:space="preserve">shares </w:t>
            </w:r>
            <w:r w:rsidRPr="00EA10CF">
              <w:rPr>
                <w:b/>
                <w:color w:val="0000FF"/>
              </w:rPr>
              <w:t>[in</w:t>
            </w:r>
          </w:p>
          <w:p w14:paraId="7678FD29" w14:textId="77777777" w:rsidR="002A5F5D" w:rsidRPr="00EA10CF" w:rsidRDefault="002A5F5D" w:rsidP="001B330E">
            <w:pPr>
              <w:widowControl w:val="0"/>
              <w:pBdr>
                <w:top w:val="nil"/>
                <w:left w:val="nil"/>
                <w:bottom w:val="nil"/>
                <w:right w:val="nil"/>
                <w:between w:val="nil"/>
              </w:pBdr>
              <w:ind w:left="-113"/>
              <w:jc w:val="right"/>
              <w:rPr>
                <w:b/>
                <w:color w:val="000000"/>
              </w:rPr>
            </w:pPr>
            <w:r w:rsidRPr="00EA10CF">
              <w:rPr>
                <w:b/>
                <w:color w:val="0000FF"/>
              </w:rPr>
              <w:t>thousands]</w:t>
            </w:r>
          </w:p>
        </w:tc>
        <w:tc>
          <w:tcPr>
            <w:tcW w:w="545" w:type="pct"/>
            <w:tcBorders>
              <w:bottom w:val="single" w:sz="4" w:space="0" w:color="000000"/>
            </w:tcBorders>
          </w:tcPr>
          <w:p w14:paraId="1A94F287" w14:textId="0EBF53DB" w:rsidR="002A5F5D" w:rsidRPr="00EA10CF" w:rsidRDefault="002A5F5D" w:rsidP="001B330E">
            <w:pPr>
              <w:widowControl w:val="0"/>
              <w:pBdr>
                <w:top w:val="nil"/>
                <w:left w:val="nil"/>
                <w:bottom w:val="nil"/>
                <w:right w:val="nil"/>
                <w:between w:val="nil"/>
              </w:pBdr>
              <w:ind w:left="-113"/>
              <w:jc w:val="right"/>
              <w:rPr>
                <w:b/>
                <w:color w:val="000000"/>
              </w:rPr>
            </w:pPr>
            <w:r w:rsidRPr="00EA10CF">
              <w:rPr>
                <w:b/>
                <w:color w:val="000000"/>
              </w:rPr>
              <w:t>Ordinary shares</w:t>
            </w:r>
          </w:p>
        </w:tc>
        <w:tc>
          <w:tcPr>
            <w:tcW w:w="543" w:type="pct"/>
            <w:tcBorders>
              <w:bottom w:val="single" w:sz="4" w:space="0" w:color="000000"/>
            </w:tcBorders>
          </w:tcPr>
          <w:p w14:paraId="5F28D66B" w14:textId="77777777" w:rsidR="002A5F5D" w:rsidRPr="00EA10CF" w:rsidRDefault="002A5F5D" w:rsidP="001B330E">
            <w:pPr>
              <w:widowControl w:val="0"/>
              <w:pBdr>
                <w:top w:val="nil"/>
                <w:left w:val="nil"/>
                <w:bottom w:val="nil"/>
                <w:right w:val="nil"/>
                <w:between w:val="nil"/>
              </w:pBdr>
              <w:ind w:left="-113"/>
              <w:jc w:val="right"/>
              <w:rPr>
                <w:b/>
                <w:color w:val="000000"/>
              </w:rPr>
            </w:pPr>
            <w:r w:rsidRPr="00EA10CF">
              <w:rPr>
                <w:b/>
                <w:color w:val="000000"/>
              </w:rPr>
              <w:t>Share premium</w:t>
            </w:r>
          </w:p>
        </w:tc>
        <w:tc>
          <w:tcPr>
            <w:tcW w:w="553" w:type="pct"/>
            <w:tcBorders>
              <w:bottom w:val="single" w:sz="4" w:space="0" w:color="000000"/>
            </w:tcBorders>
          </w:tcPr>
          <w:p w14:paraId="3CB6BB9C" w14:textId="556E9F0A" w:rsidR="002A5F5D" w:rsidRPr="00EA10CF" w:rsidRDefault="002A5F5D" w:rsidP="001B330E">
            <w:pPr>
              <w:widowControl w:val="0"/>
              <w:pBdr>
                <w:top w:val="nil"/>
                <w:left w:val="nil"/>
                <w:bottom w:val="nil"/>
                <w:right w:val="nil"/>
                <w:between w:val="nil"/>
              </w:pBdr>
              <w:ind w:left="-113"/>
              <w:jc w:val="right"/>
              <w:rPr>
                <w:b/>
                <w:color w:val="000000"/>
              </w:rPr>
            </w:pPr>
            <w:r w:rsidRPr="00EA10CF">
              <w:rPr>
                <w:b/>
                <w:color w:val="000000"/>
              </w:rPr>
              <w:t>Prefe</w:t>
            </w:r>
            <w:r>
              <w:rPr>
                <w:b/>
                <w:color w:val="000000"/>
              </w:rPr>
              <w:t>-</w:t>
            </w:r>
            <w:r w:rsidRPr="00EA10CF">
              <w:rPr>
                <w:b/>
                <w:color w:val="000000"/>
              </w:rPr>
              <w:t>rence shares</w:t>
            </w:r>
          </w:p>
        </w:tc>
        <w:tc>
          <w:tcPr>
            <w:tcW w:w="543" w:type="pct"/>
            <w:tcBorders>
              <w:bottom w:val="single" w:sz="4" w:space="0" w:color="000000"/>
            </w:tcBorders>
          </w:tcPr>
          <w:p w14:paraId="4948295C" w14:textId="77777777" w:rsidR="002A5F5D" w:rsidRPr="00EA10CF" w:rsidRDefault="002A5F5D" w:rsidP="001B330E">
            <w:pPr>
              <w:widowControl w:val="0"/>
              <w:pBdr>
                <w:top w:val="nil"/>
                <w:left w:val="nil"/>
                <w:bottom w:val="nil"/>
                <w:right w:val="nil"/>
                <w:between w:val="nil"/>
              </w:pBdr>
              <w:ind w:left="-113"/>
              <w:jc w:val="right"/>
              <w:rPr>
                <w:b/>
                <w:color w:val="000000"/>
              </w:rPr>
            </w:pPr>
            <w:r w:rsidRPr="00EA10CF">
              <w:rPr>
                <w:b/>
                <w:color w:val="000000"/>
              </w:rPr>
              <w:t>Treasury shares</w:t>
            </w:r>
          </w:p>
        </w:tc>
        <w:tc>
          <w:tcPr>
            <w:tcW w:w="539" w:type="pct"/>
            <w:tcBorders>
              <w:bottom w:val="single" w:sz="4" w:space="0" w:color="000000"/>
            </w:tcBorders>
          </w:tcPr>
          <w:p w14:paraId="70679885" w14:textId="151E2D64" w:rsidR="002A5F5D" w:rsidRPr="00EA10CF" w:rsidRDefault="002A5F5D" w:rsidP="001B330E">
            <w:pPr>
              <w:widowControl w:val="0"/>
              <w:pBdr>
                <w:top w:val="nil"/>
                <w:left w:val="nil"/>
                <w:bottom w:val="nil"/>
                <w:right w:val="nil"/>
                <w:between w:val="nil"/>
              </w:pBdr>
              <w:ind w:left="-113"/>
              <w:jc w:val="right"/>
              <w:rPr>
                <w:b/>
                <w:color w:val="000000"/>
              </w:rPr>
            </w:pPr>
            <w:r w:rsidRPr="00EA10CF">
              <w:rPr>
                <w:b/>
                <w:color w:val="000000"/>
              </w:rPr>
              <w:t>Total</w:t>
            </w:r>
          </w:p>
        </w:tc>
      </w:tr>
      <w:tr w:rsidR="002A5F5D" w:rsidRPr="00EA10CF" w14:paraId="3127952F" w14:textId="77777777" w:rsidTr="002A5F5D">
        <w:trPr>
          <w:trHeight w:val="23"/>
        </w:trPr>
        <w:tc>
          <w:tcPr>
            <w:tcW w:w="1674" w:type="pct"/>
            <w:vAlign w:val="bottom"/>
          </w:tcPr>
          <w:p w14:paraId="7964C2D3" w14:textId="77777777" w:rsidR="002A5F5D" w:rsidRPr="004607BE" w:rsidRDefault="002A5F5D" w:rsidP="001B330E">
            <w:pPr>
              <w:widowControl w:val="0"/>
              <w:ind w:left="113" w:hanging="113"/>
              <w:rPr>
                <w:b/>
              </w:rPr>
            </w:pPr>
            <w:r w:rsidRPr="004607BE">
              <w:rPr>
                <w:b/>
              </w:rPr>
              <w:t> </w:t>
            </w:r>
          </w:p>
        </w:tc>
        <w:tc>
          <w:tcPr>
            <w:tcW w:w="603" w:type="pct"/>
            <w:vAlign w:val="bottom"/>
          </w:tcPr>
          <w:p w14:paraId="299318C8" w14:textId="77777777" w:rsidR="002A5F5D" w:rsidRPr="00EA10CF" w:rsidRDefault="002A5F5D" w:rsidP="001B330E">
            <w:pPr>
              <w:widowControl w:val="0"/>
              <w:pBdr>
                <w:top w:val="nil"/>
                <w:left w:val="nil"/>
                <w:bottom w:val="nil"/>
                <w:right w:val="nil"/>
                <w:between w:val="nil"/>
              </w:pBdr>
              <w:jc w:val="right"/>
              <w:rPr>
                <w:b/>
                <w:color w:val="000000"/>
              </w:rPr>
            </w:pPr>
          </w:p>
        </w:tc>
        <w:tc>
          <w:tcPr>
            <w:tcW w:w="545" w:type="pct"/>
            <w:vAlign w:val="bottom"/>
          </w:tcPr>
          <w:p w14:paraId="0B2A7B83"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77D115AC" w14:textId="77777777" w:rsidR="002A5F5D" w:rsidRPr="00EA10CF" w:rsidRDefault="002A5F5D" w:rsidP="001B330E">
            <w:pPr>
              <w:widowControl w:val="0"/>
              <w:pBdr>
                <w:top w:val="nil"/>
                <w:left w:val="nil"/>
                <w:bottom w:val="nil"/>
                <w:right w:val="nil"/>
                <w:between w:val="nil"/>
              </w:pBdr>
              <w:jc w:val="right"/>
              <w:rPr>
                <w:b/>
                <w:color w:val="000000"/>
              </w:rPr>
            </w:pPr>
          </w:p>
        </w:tc>
        <w:tc>
          <w:tcPr>
            <w:tcW w:w="553" w:type="pct"/>
            <w:vAlign w:val="bottom"/>
          </w:tcPr>
          <w:p w14:paraId="2B395375"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51437F9A" w14:textId="77777777" w:rsidR="002A5F5D" w:rsidRPr="00EA10CF" w:rsidRDefault="002A5F5D" w:rsidP="001B330E">
            <w:pPr>
              <w:widowControl w:val="0"/>
              <w:pBdr>
                <w:top w:val="nil"/>
                <w:left w:val="nil"/>
                <w:bottom w:val="nil"/>
                <w:right w:val="nil"/>
                <w:between w:val="nil"/>
              </w:pBdr>
              <w:jc w:val="right"/>
              <w:rPr>
                <w:b/>
                <w:color w:val="000000"/>
              </w:rPr>
            </w:pPr>
          </w:p>
        </w:tc>
        <w:tc>
          <w:tcPr>
            <w:tcW w:w="539" w:type="pct"/>
            <w:vAlign w:val="bottom"/>
          </w:tcPr>
          <w:p w14:paraId="25831774" w14:textId="017FFD18" w:rsidR="002A5F5D" w:rsidRPr="00EA10CF" w:rsidRDefault="002A5F5D" w:rsidP="001B330E">
            <w:pPr>
              <w:widowControl w:val="0"/>
              <w:pBdr>
                <w:top w:val="nil"/>
                <w:left w:val="nil"/>
                <w:bottom w:val="nil"/>
                <w:right w:val="nil"/>
                <w:between w:val="nil"/>
              </w:pBdr>
              <w:jc w:val="right"/>
              <w:rPr>
                <w:b/>
                <w:color w:val="000000"/>
              </w:rPr>
            </w:pPr>
          </w:p>
        </w:tc>
      </w:tr>
      <w:tr w:rsidR="002A5F5D" w:rsidRPr="00EA10CF" w14:paraId="356EDFEB" w14:textId="77777777" w:rsidTr="002A5F5D">
        <w:trPr>
          <w:trHeight w:val="23"/>
        </w:trPr>
        <w:tc>
          <w:tcPr>
            <w:tcW w:w="1674" w:type="pct"/>
            <w:vAlign w:val="bottom"/>
          </w:tcPr>
          <w:p w14:paraId="5692EFF5" w14:textId="51A225A8" w:rsidR="002A5F5D" w:rsidRPr="004607BE" w:rsidRDefault="002A5F5D" w:rsidP="001B330E">
            <w:pPr>
              <w:widowControl w:val="0"/>
              <w:pBdr>
                <w:top w:val="nil"/>
                <w:left w:val="nil"/>
                <w:bottom w:val="nil"/>
                <w:right w:val="nil"/>
                <w:between w:val="nil"/>
              </w:pBdr>
              <w:ind w:left="113" w:hanging="113"/>
              <w:rPr>
                <w:b/>
                <w:color w:val="000000"/>
              </w:rPr>
            </w:pPr>
            <w:r w:rsidRPr="004607BE">
              <w:rPr>
                <w:b/>
                <w:color w:val="000000"/>
              </w:rPr>
              <w:t xml:space="preserve">At 1 January </w:t>
            </w:r>
            <w:r w:rsidR="00541EBC">
              <w:rPr>
                <w:b/>
                <w:color w:val="000000"/>
              </w:rPr>
              <w:t>2023</w:t>
            </w:r>
          </w:p>
        </w:tc>
        <w:tc>
          <w:tcPr>
            <w:tcW w:w="603" w:type="pct"/>
            <w:vAlign w:val="bottom"/>
          </w:tcPr>
          <w:p w14:paraId="5E0C7992"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vAlign w:val="bottom"/>
          </w:tcPr>
          <w:p w14:paraId="1FA0C1A3"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75315DC2"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vAlign w:val="bottom"/>
          </w:tcPr>
          <w:p w14:paraId="01E6C9A0"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0DD1B334"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vAlign w:val="bottom"/>
          </w:tcPr>
          <w:p w14:paraId="40D48E96" w14:textId="4ACAC29C" w:rsidR="002A5F5D" w:rsidRPr="00EA10CF" w:rsidRDefault="002A5F5D" w:rsidP="001B330E">
            <w:pPr>
              <w:widowControl w:val="0"/>
              <w:pBdr>
                <w:top w:val="nil"/>
                <w:left w:val="nil"/>
                <w:bottom w:val="nil"/>
                <w:right w:val="nil"/>
                <w:between w:val="nil"/>
              </w:pBdr>
              <w:jc w:val="right"/>
              <w:rPr>
                <w:color w:val="000000"/>
              </w:rPr>
            </w:pPr>
          </w:p>
        </w:tc>
      </w:tr>
      <w:tr w:rsidR="002A5F5D" w:rsidRPr="00EA10CF" w14:paraId="376C9BCC" w14:textId="77777777" w:rsidTr="002A5F5D">
        <w:trPr>
          <w:trHeight w:val="23"/>
        </w:trPr>
        <w:tc>
          <w:tcPr>
            <w:tcW w:w="1674" w:type="pct"/>
            <w:vAlign w:val="bottom"/>
          </w:tcPr>
          <w:p w14:paraId="79910286" w14:textId="76F2FBFC" w:rsidR="002A5F5D" w:rsidRPr="004607BE" w:rsidRDefault="002A5F5D" w:rsidP="001B330E">
            <w:pPr>
              <w:widowControl w:val="0"/>
              <w:pBdr>
                <w:top w:val="nil"/>
                <w:left w:val="nil"/>
                <w:bottom w:val="nil"/>
                <w:right w:val="nil"/>
                <w:between w:val="nil"/>
              </w:pBdr>
              <w:ind w:left="113" w:hanging="113"/>
              <w:rPr>
                <w:color w:val="000000"/>
              </w:rPr>
            </w:pPr>
            <w:r w:rsidRPr="004607BE">
              <w:rPr>
                <w:color w:val="000000"/>
              </w:rPr>
              <w:t xml:space="preserve">New shares </w:t>
            </w:r>
            <w:r>
              <w:rPr>
                <w:color w:val="000000"/>
              </w:rPr>
              <w:t xml:space="preserve">or bonds </w:t>
            </w:r>
            <w:r w:rsidRPr="004607BE">
              <w:rPr>
                <w:color w:val="000000"/>
              </w:rPr>
              <w:t>issued</w:t>
            </w:r>
          </w:p>
        </w:tc>
        <w:tc>
          <w:tcPr>
            <w:tcW w:w="603" w:type="pct"/>
            <w:vAlign w:val="bottom"/>
          </w:tcPr>
          <w:p w14:paraId="4B1ACBCF" w14:textId="77777777" w:rsidR="002A5F5D" w:rsidRPr="00EA10CF" w:rsidRDefault="002A5F5D" w:rsidP="001B330E">
            <w:pPr>
              <w:widowControl w:val="0"/>
              <w:pBdr>
                <w:top w:val="nil"/>
                <w:left w:val="nil"/>
                <w:bottom w:val="nil"/>
                <w:right w:val="nil"/>
                <w:between w:val="nil"/>
              </w:pBdr>
              <w:jc w:val="right"/>
              <w:rPr>
                <w:b/>
                <w:color w:val="000000"/>
              </w:rPr>
            </w:pPr>
          </w:p>
        </w:tc>
        <w:tc>
          <w:tcPr>
            <w:tcW w:w="545" w:type="pct"/>
            <w:vAlign w:val="bottom"/>
          </w:tcPr>
          <w:p w14:paraId="5E09AB39"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33FAA08B" w14:textId="77777777" w:rsidR="002A5F5D" w:rsidRPr="00EA10CF" w:rsidRDefault="002A5F5D" w:rsidP="001B330E">
            <w:pPr>
              <w:widowControl w:val="0"/>
              <w:pBdr>
                <w:top w:val="nil"/>
                <w:left w:val="nil"/>
                <w:bottom w:val="nil"/>
                <w:right w:val="nil"/>
                <w:between w:val="nil"/>
              </w:pBdr>
              <w:jc w:val="right"/>
              <w:rPr>
                <w:b/>
                <w:color w:val="000000"/>
              </w:rPr>
            </w:pPr>
          </w:p>
        </w:tc>
        <w:tc>
          <w:tcPr>
            <w:tcW w:w="553" w:type="pct"/>
            <w:vAlign w:val="bottom"/>
          </w:tcPr>
          <w:p w14:paraId="30EDD17C"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2E8A457C" w14:textId="77777777" w:rsidR="002A5F5D" w:rsidRPr="00EA10CF" w:rsidRDefault="002A5F5D" w:rsidP="001B330E">
            <w:pPr>
              <w:widowControl w:val="0"/>
              <w:pBdr>
                <w:top w:val="nil"/>
                <w:left w:val="nil"/>
                <w:bottom w:val="nil"/>
                <w:right w:val="nil"/>
                <w:between w:val="nil"/>
              </w:pBdr>
              <w:jc w:val="right"/>
              <w:rPr>
                <w:b/>
                <w:color w:val="000000"/>
              </w:rPr>
            </w:pPr>
          </w:p>
        </w:tc>
        <w:tc>
          <w:tcPr>
            <w:tcW w:w="539" w:type="pct"/>
            <w:vAlign w:val="bottom"/>
          </w:tcPr>
          <w:p w14:paraId="09986BCF" w14:textId="03080812" w:rsidR="002A5F5D" w:rsidRPr="00EA10CF" w:rsidRDefault="002A5F5D" w:rsidP="001B330E">
            <w:pPr>
              <w:widowControl w:val="0"/>
              <w:pBdr>
                <w:top w:val="nil"/>
                <w:left w:val="nil"/>
                <w:bottom w:val="nil"/>
                <w:right w:val="nil"/>
                <w:between w:val="nil"/>
              </w:pBdr>
              <w:jc w:val="right"/>
              <w:rPr>
                <w:b/>
                <w:color w:val="000000"/>
              </w:rPr>
            </w:pPr>
          </w:p>
        </w:tc>
      </w:tr>
      <w:tr w:rsidR="002A5F5D" w:rsidRPr="00EA10CF" w14:paraId="56DFD759" w14:textId="77777777" w:rsidTr="002A5F5D">
        <w:trPr>
          <w:trHeight w:val="23"/>
        </w:trPr>
        <w:tc>
          <w:tcPr>
            <w:tcW w:w="1674" w:type="pct"/>
            <w:vAlign w:val="bottom"/>
          </w:tcPr>
          <w:p w14:paraId="5CA1B268" w14:textId="77777777" w:rsidR="002A5F5D" w:rsidRPr="004607BE" w:rsidRDefault="002A5F5D" w:rsidP="001B330E">
            <w:pPr>
              <w:widowControl w:val="0"/>
              <w:pBdr>
                <w:top w:val="nil"/>
                <w:left w:val="nil"/>
                <w:bottom w:val="nil"/>
                <w:right w:val="nil"/>
                <w:between w:val="nil"/>
              </w:pBdr>
              <w:ind w:left="113" w:hanging="113"/>
              <w:rPr>
                <w:color w:val="000000"/>
              </w:rPr>
            </w:pPr>
            <w:r w:rsidRPr="004607BE">
              <w:rPr>
                <w:color w:val="000000"/>
              </w:rPr>
              <w:t>Treasury shares purchased</w:t>
            </w:r>
          </w:p>
        </w:tc>
        <w:tc>
          <w:tcPr>
            <w:tcW w:w="603" w:type="pct"/>
            <w:vAlign w:val="bottom"/>
          </w:tcPr>
          <w:p w14:paraId="42461CB1" w14:textId="77777777" w:rsidR="002A5F5D" w:rsidRPr="00EA10CF" w:rsidRDefault="002A5F5D" w:rsidP="001B330E">
            <w:pPr>
              <w:widowControl w:val="0"/>
              <w:pBdr>
                <w:top w:val="nil"/>
                <w:left w:val="nil"/>
                <w:bottom w:val="nil"/>
                <w:right w:val="nil"/>
                <w:between w:val="nil"/>
              </w:pBdr>
              <w:jc w:val="right"/>
              <w:rPr>
                <w:b/>
                <w:color w:val="000000"/>
              </w:rPr>
            </w:pPr>
          </w:p>
        </w:tc>
        <w:tc>
          <w:tcPr>
            <w:tcW w:w="545" w:type="pct"/>
            <w:vAlign w:val="bottom"/>
          </w:tcPr>
          <w:p w14:paraId="16C79522"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01B1033C" w14:textId="77777777" w:rsidR="002A5F5D" w:rsidRPr="00EA10CF" w:rsidRDefault="002A5F5D" w:rsidP="001B330E">
            <w:pPr>
              <w:widowControl w:val="0"/>
              <w:pBdr>
                <w:top w:val="nil"/>
                <w:left w:val="nil"/>
                <w:bottom w:val="nil"/>
                <w:right w:val="nil"/>
                <w:between w:val="nil"/>
              </w:pBdr>
              <w:jc w:val="right"/>
              <w:rPr>
                <w:b/>
                <w:color w:val="000000"/>
              </w:rPr>
            </w:pPr>
          </w:p>
        </w:tc>
        <w:tc>
          <w:tcPr>
            <w:tcW w:w="553" w:type="pct"/>
            <w:vAlign w:val="bottom"/>
          </w:tcPr>
          <w:p w14:paraId="7ED5CC04"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6B00B0A3" w14:textId="77777777" w:rsidR="002A5F5D" w:rsidRPr="00EA10CF" w:rsidRDefault="002A5F5D" w:rsidP="001B330E">
            <w:pPr>
              <w:widowControl w:val="0"/>
              <w:pBdr>
                <w:top w:val="nil"/>
                <w:left w:val="nil"/>
                <w:bottom w:val="nil"/>
                <w:right w:val="nil"/>
                <w:between w:val="nil"/>
              </w:pBdr>
              <w:jc w:val="right"/>
              <w:rPr>
                <w:b/>
                <w:color w:val="000000"/>
              </w:rPr>
            </w:pPr>
          </w:p>
        </w:tc>
        <w:tc>
          <w:tcPr>
            <w:tcW w:w="539" w:type="pct"/>
            <w:vAlign w:val="bottom"/>
          </w:tcPr>
          <w:p w14:paraId="14853F73" w14:textId="00C8F814" w:rsidR="002A5F5D" w:rsidRPr="00EA10CF" w:rsidRDefault="002A5F5D" w:rsidP="001B330E">
            <w:pPr>
              <w:widowControl w:val="0"/>
              <w:pBdr>
                <w:top w:val="nil"/>
                <w:left w:val="nil"/>
                <w:bottom w:val="nil"/>
                <w:right w:val="nil"/>
                <w:between w:val="nil"/>
              </w:pBdr>
              <w:jc w:val="right"/>
              <w:rPr>
                <w:b/>
                <w:color w:val="000000"/>
              </w:rPr>
            </w:pPr>
          </w:p>
        </w:tc>
      </w:tr>
      <w:tr w:rsidR="002A5F5D" w:rsidRPr="00EA10CF" w14:paraId="5A7AE18E" w14:textId="77777777" w:rsidTr="002A5F5D">
        <w:trPr>
          <w:trHeight w:val="23"/>
        </w:trPr>
        <w:tc>
          <w:tcPr>
            <w:tcW w:w="1674" w:type="pct"/>
            <w:vAlign w:val="bottom"/>
          </w:tcPr>
          <w:p w14:paraId="6455507D" w14:textId="77777777" w:rsidR="002A5F5D" w:rsidRPr="004607BE" w:rsidRDefault="002A5F5D" w:rsidP="001B330E">
            <w:pPr>
              <w:widowControl w:val="0"/>
              <w:pBdr>
                <w:top w:val="nil"/>
                <w:left w:val="nil"/>
                <w:bottom w:val="nil"/>
                <w:right w:val="nil"/>
                <w:between w:val="nil"/>
              </w:pBdr>
              <w:ind w:left="113" w:hanging="113"/>
              <w:rPr>
                <w:color w:val="000000"/>
              </w:rPr>
            </w:pPr>
            <w:r w:rsidRPr="004607BE">
              <w:rPr>
                <w:color w:val="000000"/>
              </w:rPr>
              <w:t>Treasury shares sold</w:t>
            </w:r>
          </w:p>
        </w:tc>
        <w:tc>
          <w:tcPr>
            <w:tcW w:w="603" w:type="pct"/>
            <w:vAlign w:val="bottom"/>
          </w:tcPr>
          <w:p w14:paraId="37FDBF7A" w14:textId="77777777" w:rsidR="002A5F5D" w:rsidRPr="00EA10CF" w:rsidRDefault="002A5F5D" w:rsidP="001B330E">
            <w:pPr>
              <w:widowControl w:val="0"/>
              <w:pBdr>
                <w:top w:val="nil"/>
                <w:left w:val="nil"/>
                <w:bottom w:val="nil"/>
                <w:right w:val="nil"/>
                <w:between w:val="nil"/>
              </w:pBdr>
              <w:jc w:val="right"/>
              <w:rPr>
                <w:b/>
                <w:color w:val="000000"/>
              </w:rPr>
            </w:pPr>
          </w:p>
        </w:tc>
        <w:tc>
          <w:tcPr>
            <w:tcW w:w="545" w:type="pct"/>
            <w:vAlign w:val="bottom"/>
          </w:tcPr>
          <w:p w14:paraId="1CA76CA9"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5E0051DB" w14:textId="77777777" w:rsidR="002A5F5D" w:rsidRPr="00EA10CF" w:rsidRDefault="002A5F5D" w:rsidP="001B330E">
            <w:pPr>
              <w:widowControl w:val="0"/>
              <w:pBdr>
                <w:top w:val="nil"/>
                <w:left w:val="nil"/>
                <w:bottom w:val="nil"/>
                <w:right w:val="nil"/>
                <w:between w:val="nil"/>
              </w:pBdr>
              <w:jc w:val="right"/>
              <w:rPr>
                <w:b/>
                <w:color w:val="000000"/>
              </w:rPr>
            </w:pPr>
          </w:p>
        </w:tc>
        <w:tc>
          <w:tcPr>
            <w:tcW w:w="553" w:type="pct"/>
            <w:vAlign w:val="bottom"/>
          </w:tcPr>
          <w:p w14:paraId="4D511CD1"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3BCB6B19" w14:textId="77777777" w:rsidR="002A5F5D" w:rsidRPr="00EA10CF" w:rsidRDefault="002A5F5D" w:rsidP="001B330E">
            <w:pPr>
              <w:widowControl w:val="0"/>
              <w:pBdr>
                <w:top w:val="nil"/>
                <w:left w:val="nil"/>
                <w:bottom w:val="nil"/>
                <w:right w:val="nil"/>
                <w:between w:val="nil"/>
              </w:pBdr>
              <w:jc w:val="right"/>
              <w:rPr>
                <w:b/>
                <w:color w:val="000000"/>
              </w:rPr>
            </w:pPr>
          </w:p>
        </w:tc>
        <w:tc>
          <w:tcPr>
            <w:tcW w:w="539" w:type="pct"/>
            <w:vAlign w:val="bottom"/>
          </w:tcPr>
          <w:p w14:paraId="05D86A83" w14:textId="4990482B" w:rsidR="002A5F5D" w:rsidRPr="00EA10CF" w:rsidRDefault="002A5F5D" w:rsidP="001B330E">
            <w:pPr>
              <w:widowControl w:val="0"/>
              <w:pBdr>
                <w:top w:val="nil"/>
                <w:left w:val="nil"/>
                <w:bottom w:val="nil"/>
                <w:right w:val="nil"/>
                <w:between w:val="nil"/>
              </w:pBdr>
              <w:jc w:val="right"/>
              <w:rPr>
                <w:b/>
                <w:color w:val="000000"/>
              </w:rPr>
            </w:pPr>
          </w:p>
        </w:tc>
      </w:tr>
      <w:tr w:rsidR="002A5F5D" w:rsidRPr="00EA10CF" w14:paraId="24CB19C2" w14:textId="77777777" w:rsidTr="002A5F5D">
        <w:trPr>
          <w:trHeight w:val="23"/>
        </w:trPr>
        <w:tc>
          <w:tcPr>
            <w:tcW w:w="1674" w:type="pct"/>
            <w:vAlign w:val="bottom"/>
          </w:tcPr>
          <w:p w14:paraId="372BE6BE" w14:textId="77777777" w:rsidR="002A5F5D" w:rsidRPr="004607BE" w:rsidRDefault="002A5F5D" w:rsidP="001B330E">
            <w:pPr>
              <w:widowControl w:val="0"/>
              <w:pBdr>
                <w:top w:val="nil"/>
                <w:left w:val="nil"/>
                <w:bottom w:val="nil"/>
                <w:right w:val="nil"/>
                <w:between w:val="nil"/>
              </w:pBdr>
              <w:ind w:left="113" w:hanging="113"/>
              <w:rPr>
                <w:color w:val="000000"/>
              </w:rPr>
            </w:pPr>
            <w:r w:rsidRPr="004607BE">
              <w:rPr>
                <w:color w:val="0000FF"/>
              </w:rPr>
              <w:t>[Translation to presentation currency]</w:t>
            </w:r>
          </w:p>
        </w:tc>
        <w:tc>
          <w:tcPr>
            <w:tcW w:w="603" w:type="pct"/>
            <w:vAlign w:val="bottom"/>
          </w:tcPr>
          <w:p w14:paraId="2A3FDEEA" w14:textId="77777777" w:rsidR="002A5F5D" w:rsidRPr="00EA10CF" w:rsidRDefault="002A5F5D" w:rsidP="001B330E">
            <w:pPr>
              <w:widowControl w:val="0"/>
              <w:pBdr>
                <w:top w:val="nil"/>
                <w:left w:val="nil"/>
                <w:bottom w:val="nil"/>
                <w:right w:val="nil"/>
                <w:between w:val="nil"/>
              </w:pBdr>
              <w:jc w:val="right"/>
              <w:rPr>
                <w:b/>
                <w:color w:val="000000"/>
              </w:rPr>
            </w:pPr>
          </w:p>
        </w:tc>
        <w:tc>
          <w:tcPr>
            <w:tcW w:w="545" w:type="pct"/>
            <w:vAlign w:val="bottom"/>
          </w:tcPr>
          <w:p w14:paraId="6F579351"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0DBB823D" w14:textId="77777777" w:rsidR="002A5F5D" w:rsidRPr="00EA10CF" w:rsidRDefault="002A5F5D" w:rsidP="001B330E">
            <w:pPr>
              <w:widowControl w:val="0"/>
              <w:pBdr>
                <w:top w:val="nil"/>
                <w:left w:val="nil"/>
                <w:bottom w:val="nil"/>
                <w:right w:val="nil"/>
                <w:between w:val="nil"/>
              </w:pBdr>
              <w:jc w:val="right"/>
              <w:rPr>
                <w:b/>
                <w:color w:val="000000"/>
              </w:rPr>
            </w:pPr>
          </w:p>
        </w:tc>
        <w:tc>
          <w:tcPr>
            <w:tcW w:w="553" w:type="pct"/>
            <w:vAlign w:val="bottom"/>
          </w:tcPr>
          <w:p w14:paraId="6D8022B8"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vAlign w:val="bottom"/>
          </w:tcPr>
          <w:p w14:paraId="67C0CE66" w14:textId="77777777" w:rsidR="002A5F5D" w:rsidRPr="00EA10CF" w:rsidRDefault="002A5F5D" w:rsidP="001B330E">
            <w:pPr>
              <w:widowControl w:val="0"/>
              <w:pBdr>
                <w:top w:val="nil"/>
                <w:left w:val="nil"/>
                <w:bottom w:val="nil"/>
                <w:right w:val="nil"/>
                <w:between w:val="nil"/>
              </w:pBdr>
              <w:jc w:val="right"/>
              <w:rPr>
                <w:b/>
                <w:color w:val="000000"/>
              </w:rPr>
            </w:pPr>
          </w:p>
        </w:tc>
        <w:tc>
          <w:tcPr>
            <w:tcW w:w="539" w:type="pct"/>
            <w:vAlign w:val="bottom"/>
          </w:tcPr>
          <w:p w14:paraId="6ABB0C13" w14:textId="50BB649F" w:rsidR="002A5F5D" w:rsidRPr="00EA10CF" w:rsidRDefault="002A5F5D" w:rsidP="001B330E">
            <w:pPr>
              <w:widowControl w:val="0"/>
              <w:pBdr>
                <w:top w:val="nil"/>
                <w:left w:val="nil"/>
                <w:bottom w:val="nil"/>
                <w:right w:val="nil"/>
                <w:between w:val="nil"/>
              </w:pBdr>
              <w:jc w:val="right"/>
              <w:rPr>
                <w:b/>
                <w:color w:val="000000"/>
              </w:rPr>
            </w:pPr>
          </w:p>
        </w:tc>
      </w:tr>
      <w:tr w:rsidR="002A5F5D" w:rsidRPr="00EA10CF" w14:paraId="05954E47" w14:textId="77777777" w:rsidTr="002A5F5D">
        <w:trPr>
          <w:trHeight w:val="23"/>
        </w:trPr>
        <w:tc>
          <w:tcPr>
            <w:tcW w:w="1674" w:type="pct"/>
            <w:tcBorders>
              <w:bottom w:val="single" w:sz="4" w:space="0" w:color="000000"/>
            </w:tcBorders>
            <w:vAlign w:val="bottom"/>
          </w:tcPr>
          <w:p w14:paraId="1EA7EDB0" w14:textId="77777777" w:rsidR="002A5F5D" w:rsidRPr="004607BE" w:rsidRDefault="002A5F5D" w:rsidP="001B330E">
            <w:pPr>
              <w:widowControl w:val="0"/>
              <w:pBdr>
                <w:top w:val="nil"/>
                <w:left w:val="nil"/>
                <w:bottom w:val="nil"/>
                <w:right w:val="nil"/>
                <w:between w:val="nil"/>
              </w:pBdr>
              <w:ind w:left="113" w:hanging="113"/>
              <w:rPr>
                <w:color w:val="000000"/>
              </w:rPr>
            </w:pPr>
            <w:r w:rsidRPr="004607BE">
              <w:rPr>
                <w:color w:val="000000"/>
              </w:rPr>
              <w:t> </w:t>
            </w:r>
          </w:p>
        </w:tc>
        <w:tc>
          <w:tcPr>
            <w:tcW w:w="603" w:type="pct"/>
            <w:tcBorders>
              <w:bottom w:val="single" w:sz="4" w:space="0" w:color="000000"/>
            </w:tcBorders>
            <w:vAlign w:val="bottom"/>
          </w:tcPr>
          <w:p w14:paraId="2B5633FC" w14:textId="77777777" w:rsidR="002A5F5D" w:rsidRPr="00EA10CF" w:rsidRDefault="002A5F5D" w:rsidP="001B330E">
            <w:pPr>
              <w:widowControl w:val="0"/>
              <w:pBdr>
                <w:top w:val="nil"/>
                <w:left w:val="nil"/>
                <w:bottom w:val="nil"/>
                <w:right w:val="nil"/>
                <w:between w:val="nil"/>
              </w:pBdr>
              <w:jc w:val="right"/>
              <w:rPr>
                <w:b/>
                <w:color w:val="000000"/>
              </w:rPr>
            </w:pPr>
          </w:p>
        </w:tc>
        <w:tc>
          <w:tcPr>
            <w:tcW w:w="545" w:type="pct"/>
            <w:tcBorders>
              <w:bottom w:val="single" w:sz="4" w:space="0" w:color="000000"/>
            </w:tcBorders>
            <w:vAlign w:val="bottom"/>
          </w:tcPr>
          <w:p w14:paraId="2515031F"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tcBorders>
              <w:bottom w:val="single" w:sz="4" w:space="0" w:color="000000"/>
            </w:tcBorders>
            <w:vAlign w:val="bottom"/>
          </w:tcPr>
          <w:p w14:paraId="3225750F" w14:textId="77777777" w:rsidR="002A5F5D" w:rsidRPr="00EA10CF" w:rsidRDefault="002A5F5D" w:rsidP="001B330E">
            <w:pPr>
              <w:widowControl w:val="0"/>
              <w:pBdr>
                <w:top w:val="nil"/>
                <w:left w:val="nil"/>
                <w:bottom w:val="nil"/>
                <w:right w:val="nil"/>
                <w:between w:val="nil"/>
              </w:pBdr>
              <w:jc w:val="right"/>
              <w:rPr>
                <w:b/>
                <w:color w:val="000000"/>
              </w:rPr>
            </w:pPr>
          </w:p>
        </w:tc>
        <w:tc>
          <w:tcPr>
            <w:tcW w:w="553" w:type="pct"/>
            <w:tcBorders>
              <w:bottom w:val="single" w:sz="4" w:space="0" w:color="000000"/>
            </w:tcBorders>
            <w:vAlign w:val="bottom"/>
          </w:tcPr>
          <w:p w14:paraId="62088E26"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tcBorders>
              <w:bottom w:val="single" w:sz="4" w:space="0" w:color="000000"/>
            </w:tcBorders>
            <w:vAlign w:val="bottom"/>
          </w:tcPr>
          <w:p w14:paraId="7D422F81" w14:textId="77777777" w:rsidR="002A5F5D" w:rsidRPr="00EA10CF" w:rsidRDefault="002A5F5D" w:rsidP="001B330E">
            <w:pPr>
              <w:widowControl w:val="0"/>
              <w:pBdr>
                <w:top w:val="nil"/>
                <w:left w:val="nil"/>
                <w:bottom w:val="nil"/>
                <w:right w:val="nil"/>
                <w:between w:val="nil"/>
              </w:pBdr>
              <w:jc w:val="right"/>
              <w:rPr>
                <w:b/>
                <w:color w:val="000000"/>
              </w:rPr>
            </w:pPr>
          </w:p>
        </w:tc>
        <w:tc>
          <w:tcPr>
            <w:tcW w:w="539" w:type="pct"/>
            <w:tcBorders>
              <w:bottom w:val="single" w:sz="4" w:space="0" w:color="000000"/>
            </w:tcBorders>
            <w:vAlign w:val="bottom"/>
          </w:tcPr>
          <w:p w14:paraId="6F2550AF" w14:textId="410343A7" w:rsidR="002A5F5D" w:rsidRPr="00EA10CF" w:rsidRDefault="002A5F5D" w:rsidP="001B330E">
            <w:pPr>
              <w:widowControl w:val="0"/>
              <w:pBdr>
                <w:top w:val="nil"/>
                <w:left w:val="nil"/>
                <w:bottom w:val="nil"/>
                <w:right w:val="nil"/>
                <w:between w:val="nil"/>
              </w:pBdr>
              <w:jc w:val="right"/>
              <w:rPr>
                <w:b/>
                <w:color w:val="000000"/>
              </w:rPr>
            </w:pPr>
          </w:p>
        </w:tc>
      </w:tr>
      <w:tr w:rsidR="002A5F5D" w:rsidRPr="00EA10CF" w14:paraId="27329B5F" w14:textId="77777777" w:rsidTr="002A5F5D">
        <w:trPr>
          <w:trHeight w:val="23"/>
        </w:trPr>
        <w:tc>
          <w:tcPr>
            <w:tcW w:w="1674" w:type="pct"/>
            <w:tcBorders>
              <w:top w:val="single" w:sz="4" w:space="0" w:color="000000"/>
            </w:tcBorders>
            <w:vAlign w:val="bottom"/>
          </w:tcPr>
          <w:p w14:paraId="4BE8A148" w14:textId="77777777" w:rsidR="002A5F5D" w:rsidRPr="004607BE" w:rsidRDefault="002A5F5D" w:rsidP="001B330E">
            <w:pPr>
              <w:widowControl w:val="0"/>
              <w:ind w:left="113" w:hanging="113"/>
              <w:rPr>
                <w:b/>
              </w:rPr>
            </w:pPr>
            <w:r w:rsidRPr="004607BE">
              <w:rPr>
                <w:b/>
              </w:rPr>
              <w:t> </w:t>
            </w:r>
          </w:p>
        </w:tc>
        <w:tc>
          <w:tcPr>
            <w:tcW w:w="603" w:type="pct"/>
            <w:tcBorders>
              <w:top w:val="single" w:sz="4" w:space="0" w:color="000000"/>
            </w:tcBorders>
            <w:vAlign w:val="bottom"/>
          </w:tcPr>
          <w:p w14:paraId="3680166E" w14:textId="77777777" w:rsidR="002A5F5D" w:rsidRPr="00EA10CF" w:rsidRDefault="002A5F5D" w:rsidP="001B330E">
            <w:pPr>
              <w:widowControl w:val="0"/>
              <w:pBdr>
                <w:top w:val="nil"/>
                <w:left w:val="nil"/>
                <w:bottom w:val="nil"/>
                <w:right w:val="nil"/>
                <w:between w:val="nil"/>
              </w:pBdr>
              <w:jc w:val="right"/>
              <w:rPr>
                <w:b/>
                <w:color w:val="000000"/>
              </w:rPr>
            </w:pPr>
          </w:p>
        </w:tc>
        <w:tc>
          <w:tcPr>
            <w:tcW w:w="545" w:type="pct"/>
            <w:tcBorders>
              <w:top w:val="single" w:sz="4" w:space="0" w:color="000000"/>
            </w:tcBorders>
            <w:vAlign w:val="bottom"/>
          </w:tcPr>
          <w:p w14:paraId="6AE95A8B"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tcBorders>
              <w:top w:val="single" w:sz="4" w:space="0" w:color="000000"/>
            </w:tcBorders>
            <w:vAlign w:val="bottom"/>
          </w:tcPr>
          <w:p w14:paraId="15436582" w14:textId="77777777" w:rsidR="002A5F5D" w:rsidRPr="00EA10CF" w:rsidRDefault="002A5F5D" w:rsidP="001B330E">
            <w:pPr>
              <w:widowControl w:val="0"/>
              <w:pBdr>
                <w:top w:val="nil"/>
                <w:left w:val="nil"/>
                <w:bottom w:val="nil"/>
                <w:right w:val="nil"/>
                <w:between w:val="nil"/>
              </w:pBdr>
              <w:jc w:val="right"/>
              <w:rPr>
                <w:b/>
                <w:color w:val="000000"/>
              </w:rPr>
            </w:pPr>
          </w:p>
        </w:tc>
        <w:tc>
          <w:tcPr>
            <w:tcW w:w="553" w:type="pct"/>
            <w:tcBorders>
              <w:top w:val="single" w:sz="4" w:space="0" w:color="000000"/>
            </w:tcBorders>
            <w:vAlign w:val="bottom"/>
          </w:tcPr>
          <w:p w14:paraId="5599EBFD" w14:textId="77777777" w:rsidR="002A5F5D" w:rsidRPr="00EA10CF" w:rsidRDefault="002A5F5D" w:rsidP="001B330E">
            <w:pPr>
              <w:widowControl w:val="0"/>
              <w:pBdr>
                <w:top w:val="nil"/>
                <w:left w:val="nil"/>
                <w:bottom w:val="nil"/>
                <w:right w:val="nil"/>
                <w:between w:val="nil"/>
              </w:pBdr>
              <w:jc w:val="right"/>
              <w:rPr>
                <w:b/>
                <w:color w:val="000000"/>
              </w:rPr>
            </w:pPr>
          </w:p>
        </w:tc>
        <w:tc>
          <w:tcPr>
            <w:tcW w:w="543" w:type="pct"/>
            <w:tcBorders>
              <w:top w:val="single" w:sz="4" w:space="0" w:color="000000"/>
            </w:tcBorders>
            <w:vAlign w:val="bottom"/>
          </w:tcPr>
          <w:p w14:paraId="0CFF38DB" w14:textId="77777777" w:rsidR="002A5F5D" w:rsidRPr="00EA10CF" w:rsidRDefault="002A5F5D" w:rsidP="001B330E">
            <w:pPr>
              <w:widowControl w:val="0"/>
              <w:pBdr>
                <w:top w:val="nil"/>
                <w:left w:val="nil"/>
                <w:bottom w:val="nil"/>
                <w:right w:val="nil"/>
                <w:between w:val="nil"/>
              </w:pBdr>
              <w:jc w:val="right"/>
              <w:rPr>
                <w:b/>
                <w:color w:val="000000"/>
              </w:rPr>
            </w:pPr>
          </w:p>
        </w:tc>
        <w:tc>
          <w:tcPr>
            <w:tcW w:w="539" w:type="pct"/>
            <w:tcBorders>
              <w:top w:val="single" w:sz="4" w:space="0" w:color="000000"/>
            </w:tcBorders>
            <w:vAlign w:val="bottom"/>
          </w:tcPr>
          <w:p w14:paraId="3634EB46" w14:textId="074911FD" w:rsidR="002A5F5D" w:rsidRPr="00EA10CF" w:rsidRDefault="002A5F5D" w:rsidP="001B330E">
            <w:pPr>
              <w:widowControl w:val="0"/>
              <w:pBdr>
                <w:top w:val="nil"/>
                <w:left w:val="nil"/>
                <w:bottom w:val="nil"/>
                <w:right w:val="nil"/>
                <w:between w:val="nil"/>
              </w:pBdr>
              <w:jc w:val="right"/>
              <w:rPr>
                <w:b/>
                <w:color w:val="000000"/>
              </w:rPr>
            </w:pPr>
          </w:p>
        </w:tc>
      </w:tr>
      <w:tr w:rsidR="002A5F5D" w:rsidRPr="00EA10CF" w14:paraId="6D705C65" w14:textId="77777777" w:rsidTr="002A5F5D">
        <w:trPr>
          <w:trHeight w:val="23"/>
        </w:trPr>
        <w:tc>
          <w:tcPr>
            <w:tcW w:w="1674" w:type="pct"/>
            <w:vAlign w:val="bottom"/>
          </w:tcPr>
          <w:p w14:paraId="5B7F552A" w14:textId="548B8AE7" w:rsidR="002A5F5D" w:rsidRPr="004607BE" w:rsidRDefault="002A5F5D" w:rsidP="001B330E">
            <w:pPr>
              <w:widowControl w:val="0"/>
              <w:ind w:left="113" w:hanging="113"/>
              <w:rPr>
                <w:b/>
              </w:rPr>
            </w:pPr>
            <w:r w:rsidRPr="004607BE">
              <w:rPr>
                <w:b/>
              </w:rPr>
              <w:t>At 31</w:t>
            </w:r>
            <w:r>
              <w:rPr>
                <w:b/>
              </w:rPr>
              <w:t> December </w:t>
            </w:r>
            <w:r w:rsidR="00541EBC">
              <w:rPr>
                <w:b/>
              </w:rPr>
              <w:t>2023</w:t>
            </w:r>
          </w:p>
        </w:tc>
        <w:tc>
          <w:tcPr>
            <w:tcW w:w="603" w:type="pct"/>
            <w:vAlign w:val="bottom"/>
          </w:tcPr>
          <w:p w14:paraId="3EF31B4D"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vAlign w:val="bottom"/>
          </w:tcPr>
          <w:p w14:paraId="0F6B3A28"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1FA2DA90"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vAlign w:val="bottom"/>
          </w:tcPr>
          <w:p w14:paraId="45A78B79"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479E6D89"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vAlign w:val="bottom"/>
          </w:tcPr>
          <w:p w14:paraId="23DCECAD" w14:textId="5AD47152" w:rsidR="002A5F5D" w:rsidRPr="00EA10CF" w:rsidRDefault="002A5F5D" w:rsidP="001B330E">
            <w:pPr>
              <w:widowControl w:val="0"/>
              <w:pBdr>
                <w:top w:val="nil"/>
                <w:left w:val="nil"/>
                <w:bottom w:val="nil"/>
                <w:right w:val="nil"/>
                <w:between w:val="nil"/>
              </w:pBdr>
              <w:jc w:val="right"/>
              <w:rPr>
                <w:color w:val="000000"/>
              </w:rPr>
            </w:pPr>
          </w:p>
        </w:tc>
      </w:tr>
      <w:tr w:rsidR="002A5F5D" w:rsidRPr="00EA10CF" w14:paraId="48E78293" w14:textId="77777777" w:rsidTr="002A5F5D">
        <w:trPr>
          <w:trHeight w:val="23"/>
        </w:trPr>
        <w:tc>
          <w:tcPr>
            <w:tcW w:w="1674" w:type="pct"/>
            <w:vAlign w:val="bottom"/>
          </w:tcPr>
          <w:p w14:paraId="0A958DB3" w14:textId="61B2C877" w:rsidR="002A5F5D" w:rsidRPr="004607BE" w:rsidRDefault="002A5F5D" w:rsidP="001B330E">
            <w:pPr>
              <w:widowControl w:val="0"/>
              <w:pBdr>
                <w:top w:val="nil"/>
                <w:left w:val="nil"/>
                <w:bottom w:val="nil"/>
                <w:right w:val="nil"/>
                <w:between w:val="nil"/>
              </w:pBdr>
              <w:ind w:left="113" w:hanging="113"/>
              <w:rPr>
                <w:color w:val="000000"/>
              </w:rPr>
            </w:pPr>
            <w:r w:rsidRPr="004607BE">
              <w:rPr>
                <w:color w:val="000000"/>
              </w:rPr>
              <w:t xml:space="preserve">New shares </w:t>
            </w:r>
            <w:r>
              <w:rPr>
                <w:color w:val="000000"/>
              </w:rPr>
              <w:t xml:space="preserve">or bonds </w:t>
            </w:r>
            <w:r w:rsidRPr="004607BE">
              <w:rPr>
                <w:color w:val="000000"/>
              </w:rPr>
              <w:t>issued</w:t>
            </w:r>
          </w:p>
        </w:tc>
        <w:tc>
          <w:tcPr>
            <w:tcW w:w="603" w:type="pct"/>
            <w:vAlign w:val="bottom"/>
          </w:tcPr>
          <w:p w14:paraId="2669BB02"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vAlign w:val="bottom"/>
          </w:tcPr>
          <w:p w14:paraId="4138114C"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1EFC54B9"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vAlign w:val="bottom"/>
          </w:tcPr>
          <w:p w14:paraId="514AF4F4"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43A413E0"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vAlign w:val="bottom"/>
          </w:tcPr>
          <w:p w14:paraId="089B4D0C" w14:textId="2A416DA8" w:rsidR="002A5F5D" w:rsidRPr="00EA10CF" w:rsidRDefault="002A5F5D" w:rsidP="001B330E">
            <w:pPr>
              <w:widowControl w:val="0"/>
              <w:pBdr>
                <w:top w:val="nil"/>
                <w:left w:val="nil"/>
                <w:bottom w:val="nil"/>
                <w:right w:val="nil"/>
                <w:between w:val="nil"/>
              </w:pBdr>
              <w:jc w:val="right"/>
              <w:rPr>
                <w:color w:val="000000"/>
              </w:rPr>
            </w:pPr>
          </w:p>
        </w:tc>
      </w:tr>
      <w:tr w:rsidR="002A5F5D" w:rsidRPr="00EA10CF" w14:paraId="298B5EA4" w14:textId="77777777" w:rsidTr="002A5F5D">
        <w:trPr>
          <w:trHeight w:val="23"/>
        </w:trPr>
        <w:tc>
          <w:tcPr>
            <w:tcW w:w="1674" w:type="pct"/>
            <w:vAlign w:val="bottom"/>
          </w:tcPr>
          <w:p w14:paraId="74892A99" w14:textId="77777777" w:rsidR="002A5F5D" w:rsidRPr="004607BE" w:rsidRDefault="002A5F5D" w:rsidP="001B330E">
            <w:pPr>
              <w:widowControl w:val="0"/>
              <w:pBdr>
                <w:top w:val="nil"/>
                <w:left w:val="nil"/>
                <w:bottom w:val="nil"/>
                <w:right w:val="nil"/>
                <w:between w:val="nil"/>
              </w:pBdr>
              <w:tabs>
                <w:tab w:val="right" w:pos="8782"/>
              </w:tabs>
              <w:ind w:left="113" w:hanging="113"/>
              <w:rPr>
                <w:color w:val="000000"/>
              </w:rPr>
            </w:pPr>
            <w:r w:rsidRPr="004607BE">
              <w:rPr>
                <w:color w:val="000000"/>
              </w:rPr>
              <w:t>Treasury shares purchased</w:t>
            </w:r>
          </w:p>
        </w:tc>
        <w:tc>
          <w:tcPr>
            <w:tcW w:w="603" w:type="pct"/>
            <w:vAlign w:val="bottom"/>
          </w:tcPr>
          <w:p w14:paraId="4D3430AF"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vAlign w:val="bottom"/>
          </w:tcPr>
          <w:p w14:paraId="663C8236"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3A5C4D40"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vAlign w:val="bottom"/>
          </w:tcPr>
          <w:p w14:paraId="020C5EDB"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2F9F996D"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vAlign w:val="bottom"/>
          </w:tcPr>
          <w:p w14:paraId="18CDC857" w14:textId="67222911" w:rsidR="002A5F5D" w:rsidRPr="00EA10CF" w:rsidRDefault="002A5F5D" w:rsidP="001B330E">
            <w:pPr>
              <w:widowControl w:val="0"/>
              <w:pBdr>
                <w:top w:val="nil"/>
                <w:left w:val="nil"/>
                <w:bottom w:val="nil"/>
                <w:right w:val="nil"/>
                <w:between w:val="nil"/>
              </w:pBdr>
              <w:jc w:val="right"/>
              <w:rPr>
                <w:color w:val="000000"/>
              </w:rPr>
            </w:pPr>
          </w:p>
        </w:tc>
      </w:tr>
      <w:tr w:rsidR="002A5F5D" w:rsidRPr="00EA10CF" w14:paraId="2C16DC05" w14:textId="77777777" w:rsidTr="002A5F5D">
        <w:trPr>
          <w:trHeight w:val="23"/>
        </w:trPr>
        <w:tc>
          <w:tcPr>
            <w:tcW w:w="1674" w:type="pct"/>
            <w:vAlign w:val="bottom"/>
          </w:tcPr>
          <w:p w14:paraId="62BA736C" w14:textId="77777777" w:rsidR="002A5F5D" w:rsidRPr="004607BE" w:rsidRDefault="002A5F5D" w:rsidP="001B330E">
            <w:pPr>
              <w:widowControl w:val="0"/>
              <w:pBdr>
                <w:top w:val="nil"/>
                <w:left w:val="nil"/>
                <w:bottom w:val="nil"/>
                <w:right w:val="nil"/>
                <w:between w:val="nil"/>
              </w:pBdr>
              <w:ind w:left="113" w:hanging="113"/>
              <w:rPr>
                <w:color w:val="000000"/>
              </w:rPr>
            </w:pPr>
            <w:r w:rsidRPr="004607BE">
              <w:rPr>
                <w:color w:val="000000"/>
              </w:rPr>
              <w:t>Treasury shares sold</w:t>
            </w:r>
          </w:p>
        </w:tc>
        <w:tc>
          <w:tcPr>
            <w:tcW w:w="603" w:type="pct"/>
            <w:vAlign w:val="bottom"/>
          </w:tcPr>
          <w:p w14:paraId="25EAD8C4"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vAlign w:val="bottom"/>
          </w:tcPr>
          <w:p w14:paraId="3D8AAB93"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0BE4EE1D"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vAlign w:val="bottom"/>
          </w:tcPr>
          <w:p w14:paraId="688F7B7D"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63816A03"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vAlign w:val="bottom"/>
          </w:tcPr>
          <w:p w14:paraId="76CCDBBD" w14:textId="03F75213" w:rsidR="002A5F5D" w:rsidRPr="00EA10CF" w:rsidRDefault="002A5F5D" w:rsidP="001B330E">
            <w:pPr>
              <w:widowControl w:val="0"/>
              <w:pBdr>
                <w:top w:val="nil"/>
                <w:left w:val="nil"/>
                <w:bottom w:val="nil"/>
                <w:right w:val="nil"/>
                <w:between w:val="nil"/>
              </w:pBdr>
              <w:jc w:val="right"/>
              <w:rPr>
                <w:color w:val="000000"/>
              </w:rPr>
            </w:pPr>
          </w:p>
        </w:tc>
      </w:tr>
      <w:tr w:rsidR="002A5F5D" w:rsidRPr="00EA10CF" w14:paraId="1E97F11B" w14:textId="77777777" w:rsidTr="002A5F5D">
        <w:trPr>
          <w:trHeight w:val="23"/>
        </w:trPr>
        <w:tc>
          <w:tcPr>
            <w:tcW w:w="1674" w:type="pct"/>
            <w:vAlign w:val="bottom"/>
          </w:tcPr>
          <w:p w14:paraId="04037720" w14:textId="77777777" w:rsidR="002A5F5D" w:rsidRPr="004607BE" w:rsidRDefault="002A5F5D" w:rsidP="001B330E">
            <w:pPr>
              <w:widowControl w:val="0"/>
              <w:pBdr>
                <w:top w:val="nil"/>
                <w:left w:val="nil"/>
                <w:bottom w:val="nil"/>
                <w:right w:val="nil"/>
                <w:between w:val="nil"/>
              </w:pBdr>
              <w:ind w:left="113" w:hanging="113"/>
              <w:rPr>
                <w:color w:val="000000"/>
              </w:rPr>
            </w:pPr>
            <w:r w:rsidRPr="004607BE">
              <w:rPr>
                <w:color w:val="0000FF"/>
              </w:rPr>
              <w:t>[Translation to presentation currency]</w:t>
            </w:r>
          </w:p>
        </w:tc>
        <w:tc>
          <w:tcPr>
            <w:tcW w:w="603" w:type="pct"/>
            <w:vAlign w:val="bottom"/>
          </w:tcPr>
          <w:p w14:paraId="13FDA8CC"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vAlign w:val="bottom"/>
          </w:tcPr>
          <w:p w14:paraId="054146FF"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344D508C"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vAlign w:val="bottom"/>
          </w:tcPr>
          <w:p w14:paraId="1517CF46"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4D775DB0"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vAlign w:val="bottom"/>
          </w:tcPr>
          <w:p w14:paraId="7751F7AF" w14:textId="214E1865" w:rsidR="002A5F5D" w:rsidRPr="00EA10CF" w:rsidRDefault="002A5F5D" w:rsidP="001B330E">
            <w:pPr>
              <w:widowControl w:val="0"/>
              <w:pBdr>
                <w:top w:val="nil"/>
                <w:left w:val="nil"/>
                <w:bottom w:val="nil"/>
                <w:right w:val="nil"/>
                <w:between w:val="nil"/>
              </w:pBdr>
              <w:jc w:val="right"/>
              <w:rPr>
                <w:color w:val="000000"/>
              </w:rPr>
            </w:pPr>
          </w:p>
        </w:tc>
      </w:tr>
      <w:tr w:rsidR="002A5F5D" w:rsidRPr="00EA10CF" w14:paraId="0A9722E8" w14:textId="77777777" w:rsidTr="002A5F5D">
        <w:trPr>
          <w:trHeight w:val="23"/>
        </w:trPr>
        <w:tc>
          <w:tcPr>
            <w:tcW w:w="1674" w:type="pct"/>
            <w:tcBorders>
              <w:bottom w:val="single" w:sz="4" w:space="0" w:color="000000"/>
            </w:tcBorders>
            <w:vAlign w:val="bottom"/>
          </w:tcPr>
          <w:p w14:paraId="46096E74" w14:textId="77777777" w:rsidR="002A5F5D" w:rsidRPr="004607BE" w:rsidRDefault="002A5F5D" w:rsidP="001B330E">
            <w:pPr>
              <w:widowControl w:val="0"/>
              <w:pBdr>
                <w:top w:val="nil"/>
                <w:left w:val="nil"/>
                <w:bottom w:val="nil"/>
                <w:right w:val="nil"/>
                <w:between w:val="nil"/>
              </w:pBdr>
              <w:ind w:left="113" w:hanging="113"/>
              <w:rPr>
                <w:color w:val="000000"/>
              </w:rPr>
            </w:pPr>
            <w:r w:rsidRPr="004607BE">
              <w:rPr>
                <w:b/>
                <w:color w:val="000000"/>
              </w:rPr>
              <w:t> </w:t>
            </w:r>
          </w:p>
        </w:tc>
        <w:tc>
          <w:tcPr>
            <w:tcW w:w="603" w:type="pct"/>
            <w:tcBorders>
              <w:bottom w:val="single" w:sz="4" w:space="0" w:color="000000"/>
            </w:tcBorders>
            <w:vAlign w:val="bottom"/>
          </w:tcPr>
          <w:p w14:paraId="72DF2337"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tcBorders>
              <w:bottom w:val="single" w:sz="4" w:space="0" w:color="000000"/>
            </w:tcBorders>
            <w:vAlign w:val="bottom"/>
          </w:tcPr>
          <w:p w14:paraId="7556F554"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240E9D90"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tcBorders>
              <w:bottom w:val="single" w:sz="4" w:space="0" w:color="000000"/>
            </w:tcBorders>
            <w:vAlign w:val="bottom"/>
          </w:tcPr>
          <w:p w14:paraId="5FBF7580"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4F0BA7AF"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tcBorders>
              <w:bottom w:val="single" w:sz="4" w:space="0" w:color="000000"/>
            </w:tcBorders>
            <w:vAlign w:val="bottom"/>
          </w:tcPr>
          <w:p w14:paraId="0D2CCBE7" w14:textId="4F32F44E" w:rsidR="002A5F5D" w:rsidRPr="00EA10CF" w:rsidRDefault="002A5F5D" w:rsidP="001B330E">
            <w:pPr>
              <w:widowControl w:val="0"/>
              <w:pBdr>
                <w:top w:val="nil"/>
                <w:left w:val="nil"/>
                <w:bottom w:val="nil"/>
                <w:right w:val="nil"/>
                <w:between w:val="nil"/>
              </w:pBdr>
              <w:jc w:val="right"/>
              <w:rPr>
                <w:color w:val="000000"/>
              </w:rPr>
            </w:pPr>
          </w:p>
        </w:tc>
      </w:tr>
      <w:tr w:rsidR="002A5F5D" w:rsidRPr="00EA10CF" w14:paraId="0338A46B" w14:textId="77777777" w:rsidTr="002A5F5D">
        <w:trPr>
          <w:trHeight w:val="23"/>
        </w:trPr>
        <w:tc>
          <w:tcPr>
            <w:tcW w:w="1674" w:type="pct"/>
            <w:tcBorders>
              <w:top w:val="single" w:sz="4" w:space="0" w:color="000000"/>
            </w:tcBorders>
            <w:vAlign w:val="bottom"/>
          </w:tcPr>
          <w:p w14:paraId="6322C46B" w14:textId="77777777" w:rsidR="002A5F5D" w:rsidRPr="004607BE" w:rsidRDefault="002A5F5D" w:rsidP="001B330E">
            <w:pPr>
              <w:widowControl w:val="0"/>
              <w:pBdr>
                <w:top w:val="nil"/>
                <w:left w:val="nil"/>
                <w:bottom w:val="nil"/>
                <w:right w:val="nil"/>
                <w:between w:val="nil"/>
              </w:pBdr>
              <w:ind w:left="113" w:hanging="113"/>
              <w:rPr>
                <w:color w:val="000000"/>
              </w:rPr>
            </w:pPr>
            <w:r w:rsidRPr="004607BE">
              <w:rPr>
                <w:b/>
                <w:color w:val="000000"/>
              </w:rPr>
              <w:t> </w:t>
            </w:r>
          </w:p>
        </w:tc>
        <w:tc>
          <w:tcPr>
            <w:tcW w:w="603" w:type="pct"/>
            <w:tcBorders>
              <w:top w:val="single" w:sz="4" w:space="0" w:color="000000"/>
            </w:tcBorders>
            <w:vAlign w:val="bottom"/>
          </w:tcPr>
          <w:p w14:paraId="47D6282B"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tcBorders>
              <w:top w:val="single" w:sz="4" w:space="0" w:color="000000"/>
            </w:tcBorders>
            <w:vAlign w:val="bottom"/>
          </w:tcPr>
          <w:p w14:paraId="7DCFD7A7"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2991204C"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tcBorders>
              <w:top w:val="single" w:sz="4" w:space="0" w:color="000000"/>
            </w:tcBorders>
            <w:vAlign w:val="bottom"/>
          </w:tcPr>
          <w:p w14:paraId="3F90DC8D"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3369D801"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tcBorders>
              <w:top w:val="single" w:sz="4" w:space="0" w:color="000000"/>
            </w:tcBorders>
            <w:vAlign w:val="bottom"/>
          </w:tcPr>
          <w:p w14:paraId="7E905C7A" w14:textId="7226346E" w:rsidR="002A5F5D" w:rsidRPr="00EA10CF" w:rsidRDefault="002A5F5D" w:rsidP="001B330E">
            <w:pPr>
              <w:widowControl w:val="0"/>
              <w:pBdr>
                <w:top w:val="nil"/>
                <w:left w:val="nil"/>
                <w:bottom w:val="nil"/>
                <w:right w:val="nil"/>
                <w:between w:val="nil"/>
              </w:pBdr>
              <w:jc w:val="right"/>
              <w:rPr>
                <w:color w:val="000000"/>
              </w:rPr>
            </w:pPr>
          </w:p>
        </w:tc>
      </w:tr>
      <w:tr w:rsidR="002A5F5D" w:rsidRPr="00EA10CF" w14:paraId="0E4DE3B7" w14:textId="77777777" w:rsidTr="002A5F5D">
        <w:trPr>
          <w:trHeight w:val="23"/>
        </w:trPr>
        <w:tc>
          <w:tcPr>
            <w:tcW w:w="1674" w:type="pct"/>
            <w:vAlign w:val="bottom"/>
          </w:tcPr>
          <w:p w14:paraId="2F084628" w14:textId="085C96D7" w:rsidR="002A5F5D" w:rsidRPr="004607BE" w:rsidRDefault="002A5F5D" w:rsidP="001B330E">
            <w:pPr>
              <w:widowControl w:val="0"/>
              <w:pBdr>
                <w:top w:val="nil"/>
                <w:left w:val="nil"/>
                <w:bottom w:val="nil"/>
                <w:right w:val="nil"/>
                <w:between w:val="nil"/>
              </w:pBdr>
              <w:ind w:left="113" w:hanging="113"/>
              <w:rPr>
                <w:color w:val="000000"/>
              </w:rPr>
            </w:pPr>
            <w:r w:rsidRPr="004607BE">
              <w:rPr>
                <w:b/>
                <w:color w:val="000000"/>
              </w:rPr>
              <w:t>At 31</w:t>
            </w:r>
            <w:r>
              <w:rPr>
                <w:b/>
                <w:color w:val="000000"/>
              </w:rPr>
              <w:t> December </w:t>
            </w:r>
            <w:r w:rsidR="00541EBC">
              <w:rPr>
                <w:b/>
                <w:color w:val="000000"/>
              </w:rPr>
              <w:t>2024</w:t>
            </w:r>
          </w:p>
        </w:tc>
        <w:tc>
          <w:tcPr>
            <w:tcW w:w="603" w:type="pct"/>
            <w:vAlign w:val="bottom"/>
          </w:tcPr>
          <w:p w14:paraId="6B784998"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vAlign w:val="bottom"/>
          </w:tcPr>
          <w:p w14:paraId="00AC2DA1"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685F320F"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vAlign w:val="bottom"/>
          </w:tcPr>
          <w:p w14:paraId="2710489C"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vAlign w:val="bottom"/>
          </w:tcPr>
          <w:p w14:paraId="36BE61D6"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vAlign w:val="bottom"/>
          </w:tcPr>
          <w:p w14:paraId="40BC2E6D" w14:textId="7201E621" w:rsidR="002A5F5D" w:rsidRPr="00EA10CF" w:rsidRDefault="002A5F5D" w:rsidP="001B330E">
            <w:pPr>
              <w:widowControl w:val="0"/>
              <w:pBdr>
                <w:top w:val="nil"/>
                <w:left w:val="nil"/>
                <w:bottom w:val="nil"/>
                <w:right w:val="nil"/>
                <w:between w:val="nil"/>
              </w:pBdr>
              <w:jc w:val="right"/>
              <w:rPr>
                <w:color w:val="000000"/>
              </w:rPr>
            </w:pPr>
          </w:p>
        </w:tc>
      </w:tr>
      <w:tr w:rsidR="002A5F5D" w:rsidRPr="00EA10CF" w14:paraId="387C5467" w14:textId="77777777" w:rsidTr="002A5F5D">
        <w:trPr>
          <w:trHeight w:val="23"/>
        </w:trPr>
        <w:tc>
          <w:tcPr>
            <w:tcW w:w="1674" w:type="pct"/>
            <w:tcBorders>
              <w:bottom w:val="single" w:sz="12" w:space="0" w:color="000000"/>
            </w:tcBorders>
            <w:vAlign w:val="bottom"/>
          </w:tcPr>
          <w:p w14:paraId="5D25AE55" w14:textId="77777777" w:rsidR="002A5F5D" w:rsidRPr="004607BE" w:rsidRDefault="002A5F5D" w:rsidP="001B330E">
            <w:pPr>
              <w:widowControl w:val="0"/>
              <w:ind w:left="113" w:hanging="113"/>
              <w:rPr>
                <w:b/>
              </w:rPr>
            </w:pPr>
            <w:r w:rsidRPr="004607BE">
              <w:rPr>
                <w:b/>
              </w:rPr>
              <w:t> </w:t>
            </w:r>
          </w:p>
        </w:tc>
        <w:tc>
          <w:tcPr>
            <w:tcW w:w="603" w:type="pct"/>
            <w:tcBorders>
              <w:bottom w:val="single" w:sz="12" w:space="0" w:color="000000"/>
            </w:tcBorders>
            <w:vAlign w:val="bottom"/>
          </w:tcPr>
          <w:p w14:paraId="099DDE54" w14:textId="77777777" w:rsidR="002A5F5D" w:rsidRPr="00EA10CF" w:rsidRDefault="002A5F5D" w:rsidP="001B330E">
            <w:pPr>
              <w:widowControl w:val="0"/>
              <w:pBdr>
                <w:top w:val="nil"/>
                <w:left w:val="nil"/>
                <w:bottom w:val="nil"/>
                <w:right w:val="nil"/>
                <w:between w:val="nil"/>
              </w:pBdr>
              <w:jc w:val="right"/>
              <w:rPr>
                <w:color w:val="000000"/>
              </w:rPr>
            </w:pPr>
          </w:p>
        </w:tc>
        <w:tc>
          <w:tcPr>
            <w:tcW w:w="545" w:type="pct"/>
            <w:tcBorders>
              <w:bottom w:val="single" w:sz="12" w:space="0" w:color="000000"/>
            </w:tcBorders>
            <w:vAlign w:val="bottom"/>
          </w:tcPr>
          <w:p w14:paraId="08670221"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tcBorders>
              <w:bottom w:val="single" w:sz="12" w:space="0" w:color="000000"/>
            </w:tcBorders>
            <w:vAlign w:val="bottom"/>
          </w:tcPr>
          <w:p w14:paraId="72C955A5" w14:textId="77777777" w:rsidR="002A5F5D" w:rsidRPr="00EA10CF" w:rsidRDefault="002A5F5D" w:rsidP="001B330E">
            <w:pPr>
              <w:widowControl w:val="0"/>
              <w:pBdr>
                <w:top w:val="nil"/>
                <w:left w:val="nil"/>
                <w:bottom w:val="nil"/>
                <w:right w:val="nil"/>
                <w:between w:val="nil"/>
              </w:pBdr>
              <w:jc w:val="right"/>
              <w:rPr>
                <w:color w:val="000000"/>
              </w:rPr>
            </w:pPr>
          </w:p>
        </w:tc>
        <w:tc>
          <w:tcPr>
            <w:tcW w:w="553" w:type="pct"/>
            <w:tcBorders>
              <w:bottom w:val="single" w:sz="12" w:space="0" w:color="000000"/>
            </w:tcBorders>
            <w:vAlign w:val="bottom"/>
          </w:tcPr>
          <w:p w14:paraId="30E79AD8" w14:textId="77777777" w:rsidR="002A5F5D" w:rsidRPr="00EA10CF" w:rsidRDefault="002A5F5D" w:rsidP="001B330E">
            <w:pPr>
              <w:widowControl w:val="0"/>
              <w:pBdr>
                <w:top w:val="nil"/>
                <w:left w:val="nil"/>
                <w:bottom w:val="nil"/>
                <w:right w:val="nil"/>
                <w:between w:val="nil"/>
              </w:pBdr>
              <w:jc w:val="right"/>
              <w:rPr>
                <w:color w:val="000000"/>
              </w:rPr>
            </w:pPr>
          </w:p>
        </w:tc>
        <w:tc>
          <w:tcPr>
            <w:tcW w:w="543" w:type="pct"/>
            <w:tcBorders>
              <w:bottom w:val="single" w:sz="12" w:space="0" w:color="000000"/>
            </w:tcBorders>
            <w:vAlign w:val="bottom"/>
          </w:tcPr>
          <w:p w14:paraId="402C2CB5" w14:textId="77777777" w:rsidR="002A5F5D" w:rsidRPr="00EA10CF" w:rsidRDefault="002A5F5D" w:rsidP="001B330E">
            <w:pPr>
              <w:widowControl w:val="0"/>
              <w:pBdr>
                <w:top w:val="nil"/>
                <w:left w:val="nil"/>
                <w:bottom w:val="nil"/>
                <w:right w:val="nil"/>
                <w:between w:val="nil"/>
              </w:pBdr>
              <w:jc w:val="right"/>
              <w:rPr>
                <w:color w:val="000000"/>
              </w:rPr>
            </w:pPr>
          </w:p>
        </w:tc>
        <w:tc>
          <w:tcPr>
            <w:tcW w:w="539" w:type="pct"/>
            <w:tcBorders>
              <w:bottom w:val="single" w:sz="12" w:space="0" w:color="000000"/>
            </w:tcBorders>
            <w:vAlign w:val="bottom"/>
          </w:tcPr>
          <w:p w14:paraId="79BBE63B" w14:textId="1AF6B5D5" w:rsidR="002A5F5D" w:rsidRPr="00EA10CF" w:rsidRDefault="002A5F5D" w:rsidP="001B330E">
            <w:pPr>
              <w:widowControl w:val="0"/>
              <w:pBdr>
                <w:top w:val="nil"/>
                <w:left w:val="nil"/>
                <w:bottom w:val="nil"/>
                <w:right w:val="nil"/>
                <w:between w:val="nil"/>
              </w:pBdr>
              <w:jc w:val="right"/>
              <w:rPr>
                <w:color w:val="000000"/>
              </w:rPr>
            </w:pPr>
          </w:p>
        </w:tc>
      </w:tr>
    </w:tbl>
    <w:p w14:paraId="3ADDE731" w14:textId="77777777" w:rsidR="004607BE" w:rsidRDefault="004607BE" w:rsidP="001B330E">
      <w:pPr>
        <w:pStyle w:val="Continued"/>
      </w:pPr>
      <w:r>
        <w:lastRenderedPageBreak/>
        <w:t>29</w:t>
      </w:r>
      <w:r>
        <w:tab/>
        <w:t>Share Capital (Continued)</w:t>
      </w:r>
    </w:p>
    <w:p w14:paraId="1F0DCB85" w14:textId="760E0936"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[Ordinary shares and non-redeemable preference shares with discretionary dividends are both classified as equity. Incremental costs directly attributable to the issue of new shares [or options] are shown in equity as a deduction, net of tax, from the proceeds. Any excess of the fair value of consideration received over the par value of shares issued is recorded as share premium in equity.</w:t>
      </w:r>
    </w:p>
    <w:p w14:paraId="582B490A" w14:textId="13844ED0" w:rsid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Preference shares which carry a mandatory coupon or are redeemable on a specific date or at the option of the shareholder are classified as financial liabilities and are presented in other borrowed funds. The dividends on these preference shares are recognised as interest expense on an AC basis, using the effective interest method.]</w:t>
      </w:r>
    </w:p>
    <w:p w14:paraId="69E26B40" w14:textId="7777777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b/>
          <w:i/>
          <w:color w:val="0000FF"/>
          <w:sz w:val="20"/>
          <w:szCs w:val="20"/>
        </w:rPr>
        <w:t xml:space="preserve">Treasury shares. </w:t>
      </w:r>
      <w:r w:rsidRPr="00093671">
        <w:rPr>
          <w:color w:val="0000FF"/>
          <w:sz w:val="20"/>
          <w:szCs w:val="20"/>
        </w:rPr>
        <w:t>Where the Bank or its subsidiaries purchase the Bank’s equity instruments, the consideration paid, including any directly attributable incremental external costs, net of income taxes, is deducted from equity attributable to the owners of the Bank until the equity instruments are reissued, disposed of or cancelled. Where such shares are subsequently disposed of or reissued, any consideration received is included in equity.</w:t>
      </w:r>
    </w:p>
    <w:p w14:paraId="2CE9FC2F" w14:textId="6DCC15EF" w:rsidR="00093671" w:rsidRPr="00093671" w:rsidRDefault="00093671" w:rsidP="00093671">
      <w:pPr>
        <w:widowControl w:val="0"/>
        <w:pBdr>
          <w:top w:val="nil"/>
          <w:left w:val="nil"/>
          <w:bottom w:val="nil"/>
          <w:right w:val="nil"/>
          <w:between w:val="nil"/>
        </w:pBdr>
        <w:spacing w:before="200" w:after="200"/>
        <w:jc w:val="both"/>
        <w:rPr>
          <w:b/>
          <w:i/>
          <w:color w:val="0000FF"/>
          <w:sz w:val="20"/>
          <w:szCs w:val="20"/>
        </w:rPr>
      </w:pPr>
      <w:r w:rsidRPr="00093671">
        <w:rPr>
          <w:b/>
          <w:i/>
          <w:color w:val="0000FF"/>
          <w:sz w:val="20"/>
          <w:szCs w:val="20"/>
        </w:rPr>
        <w:t>Dividends.</w:t>
      </w:r>
      <w:r w:rsidRPr="00093671">
        <w:rPr>
          <w:color w:val="0000FF"/>
          <w:sz w:val="20"/>
          <w:szCs w:val="20"/>
        </w:rPr>
        <w:t xml:space="preserve"> Dividends are recorded in equity in the period in which they are declared. Any dividends declared after the end of the reporting period and before the [consolidated] financial statements are authorised for issue, are disclosed in the subsequent events note. The statutory accounting reports of the Bank are the basis for profit distribution and other appropriations. [Country] legislation identifies the basis of distribution as the current year net profit.</w:t>
      </w:r>
    </w:p>
    <w:p w14:paraId="0F9DF10F" w14:textId="77777777" w:rsidR="00093671" w:rsidRDefault="00093671" w:rsidP="00093671">
      <w:pPr>
        <w:widowControl w:val="0"/>
        <w:pBdr>
          <w:top w:val="nil"/>
          <w:left w:val="nil"/>
          <w:bottom w:val="nil"/>
          <w:right w:val="nil"/>
          <w:between w:val="nil"/>
        </w:pBdr>
        <w:spacing w:before="200" w:after="200"/>
        <w:jc w:val="both"/>
        <w:rPr>
          <w:color w:val="0000FF"/>
          <w:sz w:val="20"/>
          <w:szCs w:val="20"/>
        </w:rPr>
      </w:pPr>
      <w:r>
        <w:rPr>
          <w:color w:val="0000FF"/>
          <w:sz w:val="20"/>
          <w:szCs w:val="20"/>
        </w:rPr>
        <w:t>[Ordinary shares issued to a lender (who is not an owner of the entity) in order to settle a financial liability are recorded at the fair value of the shares issued when the settlement in shares was not part of the original terms and conditions of the borrowing. A gain or loss on the negotiated early extinguishment of the debt is recognised in profit or loss.]</w:t>
      </w:r>
    </w:p>
    <w:p w14:paraId="14BECDB6" w14:textId="63135E31" w:rsidR="00D83E33" w:rsidRDefault="00BC4072" w:rsidP="001B330E">
      <w:pPr>
        <w:widowControl w:val="0"/>
        <w:pBdr>
          <w:top w:val="nil"/>
          <w:left w:val="nil"/>
          <w:bottom w:val="nil"/>
          <w:right w:val="nil"/>
          <w:between w:val="nil"/>
        </w:pBdr>
        <w:spacing w:before="200" w:after="200"/>
        <w:jc w:val="both"/>
        <w:rPr>
          <w:color w:val="0000FF"/>
          <w:sz w:val="20"/>
          <w:szCs w:val="20"/>
        </w:rPr>
      </w:pPr>
      <w:r>
        <w:rPr>
          <w:color w:val="000000"/>
          <w:sz w:val="20"/>
          <w:szCs w:val="20"/>
        </w:rPr>
        <w:t xml:space="preserve">The nominal registered amount of the Bank’s issued share capital is </w:t>
      </w:r>
      <w:r w:rsidR="00D73799">
        <w:rPr>
          <w:color w:val="000000"/>
          <w:sz w:val="20"/>
          <w:szCs w:val="20"/>
        </w:rPr>
        <w:t>EUR</w:t>
      </w:r>
      <w:r>
        <w:rPr>
          <w:color w:val="000000"/>
          <w:sz w:val="20"/>
          <w:szCs w:val="20"/>
        </w:rPr>
        <w:t> _____thousand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_____thousand</w:t>
      </w:r>
      <w:r w:rsidR="00441753">
        <w:rPr>
          <w:color w:val="000000"/>
          <w:sz w:val="20"/>
          <w:szCs w:val="20"/>
        </w:rPr>
        <w:t>.</w:t>
      </w:r>
    </w:p>
    <w:p w14:paraId="2772AF2F" w14:textId="584B7420"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total authorised number of ordinary shares is ____ thousand shares (</w:t>
      </w:r>
      <w:r w:rsidR="00541EBC">
        <w:rPr>
          <w:color w:val="000000"/>
          <w:sz w:val="20"/>
          <w:szCs w:val="20"/>
        </w:rPr>
        <w:t>2023</w:t>
      </w:r>
      <w:r>
        <w:rPr>
          <w:color w:val="000000"/>
          <w:sz w:val="20"/>
          <w:szCs w:val="20"/>
        </w:rPr>
        <w:t xml:space="preserve">: ____ thousand shares), with a par value of </w:t>
      </w:r>
      <w:r w:rsidR="00D73799">
        <w:rPr>
          <w:color w:val="000000"/>
          <w:sz w:val="20"/>
          <w:szCs w:val="20"/>
        </w:rPr>
        <w:t>EUR</w:t>
      </w:r>
      <w:r>
        <w:rPr>
          <w:color w:val="000000"/>
          <w:sz w:val="20"/>
          <w:szCs w:val="20"/>
        </w:rPr>
        <w:t xml:space="preserve"> ____ per share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per share). All issued ordinary shares are fully paid. </w:t>
      </w:r>
      <w:r>
        <w:rPr>
          <w:color w:val="0000FF"/>
          <w:sz w:val="20"/>
          <w:szCs w:val="20"/>
        </w:rPr>
        <w:t xml:space="preserve">[The number of ordinary shares issued but not fully paid in </w:t>
      </w:r>
      <w:r w:rsidR="00541EBC">
        <w:rPr>
          <w:color w:val="0000FF"/>
          <w:sz w:val="20"/>
          <w:szCs w:val="20"/>
        </w:rPr>
        <w:t>2024</w:t>
      </w:r>
      <w:r>
        <w:rPr>
          <w:color w:val="0000FF"/>
          <w:sz w:val="20"/>
          <w:szCs w:val="20"/>
        </w:rPr>
        <w:t xml:space="preserve"> was _____ (</w:t>
      </w:r>
      <w:r w:rsidR="00541EBC">
        <w:rPr>
          <w:color w:val="0000FF"/>
          <w:sz w:val="20"/>
          <w:szCs w:val="20"/>
        </w:rPr>
        <w:t>2023</w:t>
      </w:r>
      <w:r>
        <w:rPr>
          <w:color w:val="0000FF"/>
          <w:sz w:val="20"/>
          <w:szCs w:val="20"/>
        </w:rPr>
        <w:t xml:space="preserve">: _____).] </w:t>
      </w:r>
      <w:r>
        <w:rPr>
          <w:color w:val="000000"/>
          <w:sz w:val="20"/>
          <w:szCs w:val="20"/>
        </w:rPr>
        <w:t>Each ordinary share carries one vote.</w:t>
      </w:r>
      <w:r w:rsidR="0097580E">
        <w:rPr>
          <w:color w:val="000000"/>
          <w:sz w:val="20"/>
          <w:szCs w:val="20"/>
        </w:rPr>
        <w:t xml:space="preserve"> Each ordinary share carries equal right to participate in profits and obtain dividends, as declared from time to time by the general shareholders meeting, and to participate in net assets upon the entity’s liquidation. </w:t>
      </w:r>
    </w:p>
    <w:p w14:paraId="75B75BAA" w14:textId="2F60B4C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total authorised number of preference shares is ____ thousand shares (</w:t>
      </w:r>
      <w:r w:rsidR="00541EBC">
        <w:rPr>
          <w:color w:val="000000"/>
          <w:sz w:val="20"/>
          <w:szCs w:val="20"/>
        </w:rPr>
        <w:t>2023</w:t>
      </w:r>
      <w:r>
        <w:rPr>
          <w:color w:val="000000"/>
          <w:sz w:val="20"/>
          <w:szCs w:val="20"/>
        </w:rPr>
        <w:t xml:space="preserve">: ____ thousand shares), with a par value of </w:t>
      </w:r>
      <w:r w:rsidR="00D73799">
        <w:rPr>
          <w:color w:val="000000"/>
          <w:sz w:val="20"/>
          <w:szCs w:val="20"/>
        </w:rPr>
        <w:t>EUR</w:t>
      </w:r>
      <w:r>
        <w:rPr>
          <w:color w:val="000000"/>
          <w:sz w:val="20"/>
          <w:szCs w:val="20"/>
        </w:rPr>
        <w:t xml:space="preserve"> ____ per share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 per share). All issued preference shares are fully paid. </w:t>
      </w:r>
      <w:r>
        <w:rPr>
          <w:color w:val="0000FF"/>
          <w:sz w:val="20"/>
          <w:szCs w:val="20"/>
        </w:rPr>
        <w:t xml:space="preserve">[The number of preference shares issued but not fully paid in </w:t>
      </w:r>
      <w:r w:rsidR="00541EBC">
        <w:rPr>
          <w:color w:val="0000FF"/>
          <w:sz w:val="20"/>
          <w:szCs w:val="20"/>
        </w:rPr>
        <w:t>2024</w:t>
      </w:r>
      <w:r>
        <w:rPr>
          <w:color w:val="0000FF"/>
          <w:sz w:val="20"/>
          <w:szCs w:val="20"/>
        </w:rPr>
        <w:t xml:space="preserve"> was _____ (</w:t>
      </w:r>
      <w:r w:rsidR="00541EBC">
        <w:rPr>
          <w:color w:val="0000FF"/>
          <w:sz w:val="20"/>
          <w:szCs w:val="20"/>
        </w:rPr>
        <w:t>2023</w:t>
      </w:r>
      <w:r>
        <w:rPr>
          <w:color w:val="0000FF"/>
          <w:sz w:val="20"/>
          <w:szCs w:val="20"/>
        </w:rPr>
        <w:t xml:space="preserve">: _____).] </w:t>
      </w:r>
    </w:p>
    <w:p w14:paraId="164479F1" w14:textId="2C03B253" w:rsidR="00D83E33" w:rsidRDefault="00BC4072">
      <w:pPr>
        <w:widowControl w:val="0"/>
        <w:pBdr>
          <w:top w:val="nil"/>
          <w:left w:val="nil"/>
          <w:bottom w:val="nil"/>
          <w:right w:val="nil"/>
          <w:between w:val="nil"/>
        </w:pBdr>
        <w:spacing w:before="200" w:after="200"/>
        <w:jc w:val="both"/>
        <w:rPr>
          <w:color w:val="FF0000"/>
          <w:sz w:val="20"/>
          <w:szCs w:val="20"/>
        </w:rPr>
      </w:pPr>
      <w:r w:rsidRPr="00E81DE4">
        <w:rPr>
          <w:color w:val="000000" w:themeColor="text1"/>
          <w:sz w:val="20"/>
          <w:szCs w:val="20"/>
        </w:rPr>
        <w:t>The preference shares are not redeemable and rank ahead of the ordinary shares in the event of the Bank’s liquidation</w:t>
      </w:r>
      <w:r>
        <w:rPr>
          <w:color w:val="FF0000"/>
          <w:sz w:val="20"/>
          <w:szCs w:val="20"/>
        </w:rPr>
        <w:t xml:space="preserve">. </w:t>
      </w:r>
      <w:r>
        <w:rPr>
          <w:color w:val="0000FF"/>
          <w:sz w:val="20"/>
          <w:szCs w:val="20"/>
        </w:rPr>
        <w:t>[The preference shares give the holders the right to participate in general shareholders’ meetings without voting rights, except in instances where decisions are made in relation to reorganisation and liquidation of the Bank, and where changes and amendments to the Bank’s charter which restrict the rights of preference shareholders are proposed.]</w:t>
      </w:r>
      <w:r>
        <w:rPr>
          <w:color w:val="FF0000"/>
          <w:sz w:val="20"/>
          <w:szCs w:val="20"/>
        </w:rPr>
        <w:t xml:space="preserve"> </w:t>
      </w:r>
      <w:r w:rsidRPr="00E81DE4">
        <w:rPr>
          <w:color w:val="000000" w:themeColor="text1"/>
          <w:sz w:val="20"/>
          <w:szCs w:val="20"/>
        </w:rPr>
        <w:t>Preference share dividends are set at ____ % p.a. (</w:t>
      </w:r>
      <w:r w:rsidR="00541EBC">
        <w:rPr>
          <w:color w:val="000000" w:themeColor="text1"/>
          <w:sz w:val="20"/>
          <w:szCs w:val="20"/>
        </w:rPr>
        <w:t>2023</w:t>
      </w:r>
      <w:r w:rsidRPr="00E81DE4">
        <w:rPr>
          <w:color w:val="000000" w:themeColor="text1"/>
          <w:sz w:val="20"/>
          <w:szCs w:val="20"/>
        </w:rPr>
        <w:t xml:space="preserve">: ____ % p.a.) and rank above ordinary dividends. If preference dividends are not declared by ordinary shareholders, the preference shareholders obtain the right to vote as ordinary shareholders until such time that the dividend is paid. </w:t>
      </w:r>
    </w:p>
    <w:p w14:paraId="5C06C114" w14:textId="443F84A5"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[Describe share issue(s) shares pledged and written share options. Provide a description of all non-cash movements, e.g. capitalisation of reserves.]</w:t>
      </w:r>
    </w:p>
    <w:p w14:paraId="0A2A14C1" w14:textId="47EE727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treasury shares include _____ </w:t>
      </w:r>
      <w:r>
        <w:rPr>
          <w:color w:val="0000FF"/>
          <w:sz w:val="20"/>
          <w:szCs w:val="20"/>
        </w:rPr>
        <w:t>[ordinary]</w:t>
      </w:r>
      <w:r>
        <w:rPr>
          <w:color w:val="000000"/>
          <w:sz w:val="20"/>
          <w:szCs w:val="20"/>
        </w:rPr>
        <w:t xml:space="preserve"> shares of the Bank (</w:t>
      </w:r>
      <w:r w:rsidR="00541EBC">
        <w:rPr>
          <w:color w:val="000000"/>
          <w:sz w:val="20"/>
          <w:szCs w:val="20"/>
        </w:rPr>
        <w:t>2023</w:t>
      </w:r>
      <w:r>
        <w:rPr>
          <w:color w:val="000000"/>
          <w:sz w:val="20"/>
          <w:szCs w:val="20"/>
        </w:rPr>
        <w:t xml:space="preserve">: _____ </w:t>
      </w:r>
      <w:r>
        <w:rPr>
          <w:color w:val="0000FF"/>
          <w:sz w:val="20"/>
          <w:szCs w:val="20"/>
        </w:rPr>
        <w:t>[ordinary]</w:t>
      </w:r>
      <w:r>
        <w:rPr>
          <w:color w:val="000000"/>
          <w:sz w:val="20"/>
          <w:szCs w:val="20"/>
        </w:rPr>
        <w:t xml:space="preserve"> shares) owned by wholly owned subsidiaries of the Group. These ordinary shares carry voting rights in the same proportion as other ordinary shares. Voting rights of ordinary shares of the Bank held by the entities within the Group are effectively controlled by the management of the Group. </w:t>
      </w:r>
    </w:p>
    <w:p w14:paraId="0B6AE697"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Share premium represents the excess of contributions received over the nominal value of shares issued. </w:t>
      </w:r>
    </w:p>
    <w:p w14:paraId="7AEB475D" w14:textId="77777777" w:rsidR="002A5F5D" w:rsidRDefault="002A5F5D" w:rsidP="002A5F5D">
      <w:pPr>
        <w:pStyle w:val="Continued"/>
      </w:pPr>
      <w:r>
        <w:lastRenderedPageBreak/>
        <w:t>29</w:t>
      </w:r>
      <w:r>
        <w:tab/>
        <w:t>Share Capital (Continued)</w:t>
      </w:r>
    </w:p>
    <w:p w14:paraId="1F1CE45B" w14:textId="0CC5DE7A"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In accordance with </w:t>
      </w:r>
      <w:r w:rsidR="00441753">
        <w:rPr>
          <w:color w:val="000000"/>
          <w:sz w:val="20"/>
          <w:szCs w:val="20"/>
        </w:rPr>
        <w:t xml:space="preserve">the </w:t>
      </w:r>
      <w:r w:rsidR="00372E26">
        <w:rPr>
          <w:color w:val="000000"/>
          <w:sz w:val="20"/>
          <w:szCs w:val="20"/>
        </w:rPr>
        <w:t>[Country]</w:t>
      </w:r>
      <w:r w:rsidR="00441753">
        <w:rPr>
          <w:color w:val="000000"/>
          <w:sz w:val="20"/>
          <w:szCs w:val="20"/>
        </w:rPr>
        <w:t xml:space="preserve"> </w:t>
      </w:r>
      <w:r>
        <w:rPr>
          <w:color w:val="000000"/>
          <w:sz w:val="20"/>
          <w:szCs w:val="20"/>
        </w:rPr>
        <w:t xml:space="preserve">legislation, the Bank distributes profits as dividends or transfers them to reserves on the basis of financial statements prepared in accordance with </w:t>
      </w:r>
      <w:r w:rsidR="00372E26">
        <w:rPr>
          <w:color w:val="000000"/>
          <w:sz w:val="20"/>
          <w:szCs w:val="20"/>
        </w:rPr>
        <w:t>[Country]</w:t>
      </w:r>
      <w:r w:rsidR="00441753">
        <w:rPr>
          <w:color w:val="000000"/>
          <w:sz w:val="20"/>
          <w:szCs w:val="20"/>
        </w:rPr>
        <w:t xml:space="preserve"> </w:t>
      </w:r>
      <w:r>
        <w:rPr>
          <w:color w:val="000000"/>
          <w:sz w:val="20"/>
          <w:szCs w:val="20"/>
        </w:rPr>
        <w:t xml:space="preserve">Accounting Rules. The Bank’s reserves under </w:t>
      </w:r>
      <w:r w:rsidR="00372E26">
        <w:rPr>
          <w:color w:val="000000"/>
          <w:sz w:val="20"/>
          <w:szCs w:val="20"/>
        </w:rPr>
        <w:t>[Country]</w:t>
      </w:r>
      <w:r w:rsidR="00441753">
        <w:rPr>
          <w:color w:val="000000"/>
          <w:sz w:val="20"/>
          <w:szCs w:val="20"/>
        </w:rPr>
        <w:t xml:space="preserve"> </w:t>
      </w:r>
      <w:r>
        <w:rPr>
          <w:color w:val="000000"/>
          <w:sz w:val="20"/>
          <w:szCs w:val="20"/>
        </w:rPr>
        <w:t>Accounting Rules at 31</w:t>
      </w:r>
      <w:r w:rsidR="00181687">
        <w:rPr>
          <w:color w:val="000000"/>
          <w:sz w:val="20"/>
          <w:szCs w:val="20"/>
        </w:rPr>
        <w:t> December </w:t>
      </w:r>
      <w:r w:rsidR="00541EBC">
        <w:rPr>
          <w:color w:val="000000"/>
          <w:sz w:val="20"/>
          <w:szCs w:val="20"/>
        </w:rPr>
        <w:t>2024</w:t>
      </w:r>
      <w:r>
        <w:rPr>
          <w:color w:val="000000"/>
          <w:sz w:val="20"/>
          <w:szCs w:val="20"/>
        </w:rPr>
        <w:t xml:space="preserve"> amount to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 thousand).</w:t>
      </w:r>
    </w:p>
    <w:p w14:paraId="3E732DA9" w14:textId="77777777" w:rsidR="00D83E33" w:rsidRDefault="00BC4072" w:rsidP="001B330E">
      <w:pPr>
        <w:pStyle w:val="Heading1"/>
      </w:pPr>
      <w:bookmarkStart w:id="95" w:name="_Toc179196032"/>
      <w:r w:rsidRPr="004607BE">
        <w:t>Perpetual</w:t>
      </w:r>
      <w:r>
        <w:t xml:space="preserve"> Bonds</w:t>
      </w:r>
      <w:bookmarkEnd w:id="95"/>
      <w:r>
        <w:t xml:space="preserve"> </w:t>
      </w:r>
    </w:p>
    <w:p w14:paraId="3991F7CE" w14:textId="061FB230" w:rsidR="002A5F5D" w:rsidRDefault="002A5F5D" w:rsidP="002A5F5D">
      <w:pPr>
        <w:widowControl w:val="0"/>
        <w:pBdr>
          <w:top w:val="nil"/>
          <w:left w:val="nil"/>
          <w:bottom w:val="nil"/>
          <w:right w:val="nil"/>
          <w:between w:val="nil"/>
        </w:pBdr>
        <w:spacing w:before="200" w:after="200"/>
        <w:jc w:val="both"/>
        <w:rPr>
          <w:i/>
          <w:color w:val="FF0000"/>
          <w:sz w:val="20"/>
          <w:szCs w:val="20"/>
        </w:rPr>
      </w:pPr>
      <w:r w:rsidRPr="00093671">
        <w:rPr>
          <w:b/>
          <w:i/>
          <w:color w:val="0000FF"/>
          <w:sz w:val="20"/>
          <w:szCs w:val="20"/>
        </w:rPr>
        <w:t xml:space="preserve">[Perpetual bonds. </w:t>
      </w:r>
      <w:r w:rsidRPr="00093671">
        <w:rPr>
          <w:color w:val="0000FF"/>
          <w:sz w:val="20"/>
          <w:szCs w:val="20"/>
        </w:rPr>
        <w:t>The Group classifies perpetual bonds as equity or financial liability based on their contractual substance. Issued bonds, which do not have a specific maturity date and where any repayments (including interest) are at the Group’s discretion, are classified as equity instruments. Interest payments on such bonds are treated as dividend payments and are recognised as distributions from equity when paid. The tax benefits of distributions are recognised in profit or loss because they are linked more directly to past transactions or events that generated distributable profits than to the distributions to owners.]</w:t>
      </w:r>
      <w:r>
        <w:rPr>
          <w:color w:val="000000"/>
          <w:sz w:val="20"/>
          <w:szCs w:val="20"/>
        </w:rPr>
        <w:t xml:space="preserve"> </w:t>
      </w:r>
    </w:p>
    <w:p w14:paraId="63AB84BC" w14:textId="1DB3BEEE"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Group issued ___ (</w:t>
      </w:r>
      <w:r w:rsidR="00541EBC">
        <w:rPr>
          <w:color w:val="000000"/>
          <w:sz w:val="20"/>
          <w:szCs w:val="20"/>
        </w:rPr>
        <w:t>2023</w:t>
      </w:r>
      <w:r>
        <w:rPr>
          <w:color w:val="000000"/>
          <w:sz w:val="20"/>
          <w:szCs w:val="20"/>
        </w:rPr>
        <w:t xml:space="preserve">: ____) perpetual bonds with a total nominal value of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carrying discretionary interest of ___ % p.a. (</w:t>
      </w:r>
      <w:r w:rsidR="00541EBC">
        <w:rPr>
          <w:color w:val="000000"/>
          <w:sz w:val="20"/>
          <w:szCs w:val="20"/>
        </w:rPr>
        <w:t>2023</w:t>
      </w:r>
      <w:r>
        <w:rPr>
          <w:color w:val="000000"/>
          <w:sz w:val="20"/>
          <w:szCs w:val="20"/>
        </w:rPr>
        <w:t xml:space="preserve">: _____ % p.a.). The bonds are cancellable upon a significant reduction in the entity’s capital ratio. The bonds were classified as equity instruments. </w:t>
      </w:r>
    </w:p>
    <w:p w14:paraId="25CCB9C8" w14:textId="77777777" w:rsidR="002A5F5D" w:rsidRDefault="002A5F5D">
      <w:pPr>
        <w:widowControl w:val="0"/>
        <w:pBdr>
          <w:top w:val="nil"/>
          <w:left w:val="nil"/>
          <w:bottom w:val="nil"/>
          <w:right w:val="nil"/>
          <w:between w:val="nil"/>
        </w:pBdr>
        <w:spacing w:before="200" w:after="200"/>
        <w:jc w:val="both"/>
        <w:rPr>
          <w:color w:val="000000"/>
          <w:sz w:val="20"/>
          <w:szCs w:val="20"/>
        </w:rPr>
      </w:pPr>
    </w:p>
    <w:p w14:paraId="6D62EA7F" w14:textId="77777777" w:rsidR="004607BE" w:rsidRDefault="004607BE" w:rsidP="001B330E">
      <w:pPr>
        <w:pStyle w:val="Heading1"/>
        <w:pageBreakBefore/>
      </w:pPr>
      <w:bookmarkStart w:id="96" w:name="_Toc179196033"/>
      <w:r>
        <w:lastRenderedPageBreak/>
        <w:t xml:space="preserve">Other </w:t>
      </w:r>
      <w:r w:rsidRPr="002547FE">
        <w:t>Comprehensive</w:t>
      </w:r>
      <w:r>
        <w:t xml:space="preserve"> Income Recognised in Each Component of Equity</w:t>
      </w:r>
      <w:bookmarkEnd w:id="96"/>
    </w:p>
    <w:p w14:paraId="6EDEF82B" w14:textId="13B06211"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Analysis of other comprehensive income by item for each component of equity is as follows for the year ended 31</w:t>
      </w:r>
      <w:r w:rsidR="00181687">
        <w:rPr>
          <w:color w:val="000000"/>
          <w:sz w:val="20"/>
          <w:szCs w:val="20"/>
        </w:rPr>
        <w:t> December </w:t>
      </w:r>
      <w:r w:rsidR="00541EBC">
        <w:rPr>
          <w:color w:val="000000"/>
          <w:sz w:val="20"/>
          <w:szCs w:val="20"/>
        </w:rPr>
        <w:t>2024</w:t>
      </w:r>
      <w:r>
        <w:rPr>
          <w:color w:val="000000"/>
          <w:sz w:val="20"/>
          <w:szCs w:val="20"/>
        </w:rPr>
        <w:t>:</w:t>
      </w:r>
    </w:p>
    <w:tbl>
      <w:tblPr>
        <w:tblStyle w:val="afffffffffffe"/>
        <w:tblW w:w="5000" w:type="pct"/>
        <w:tblLayout w:type="fixed"/>
        <w:tblCellMar>
          <w:left w:w="85" w:type="dxa"/>
          <w:right w:w="85" w:type="dxa"/>
        </w:tblCellMar>
        <w:tblLook w:val="0000" w:firstRow="0" w:lastRow="0" w:firstColumn="0" w:lastColumn="0" w:noHBand="0" w:noVBand="0"/>
      </w:tblPr>
      <w:tblGrid>
        <w:gridCol w:w="1703"/>
        <w:gridCol w:w="425"/>
        <w:gridCol w:w="445"/>
        <w:gridCol w:w="122"/>
        <w:gridCol w:w="548"/>
        <w:gridCol w:w="672"/>
        <w:gridCol w:w="670"/>
        <w:gridCol w:w="722"/>
        <w:gridCol w:w="672"/>
        <w:gridCol w:w="670"/>
        <w:gridCol w:w="675"/>
        <w:gridCol w:w="675"/>
        <w:gridCol w:w="690"/>
        <w:gridCol w:w="666"/>
      </w:tblGrid>
      <w:tr w:rsidR="00D83E33" w:rsidRPr="008808A3" w14:paraId="52EFCA7A" w14:textId="77777777" w:rsidTr="00372E26">
        <w:trPr>
          <w:trHeight w:val="23"/>
          <w:tblHeader/>
        </w:trPr>
        <w:tc>
          <w:tcPr>
            <w:tcW w:w="910" w:type="pct"/>
            <w:vAlign w:val="bottom"/>
          </w:tcPr>
          <w:p w14:paraId="7AE376B7" w14:textId="77777777" w:rsidR="00D83E33" w:rsidRPr="008808A3" w:rsidRDefault="00D83E33" w:rsidP="001B330E">
            <w:pPr>
              <w:widowControl w:val="0"/>
              <w:pBdr>
                <w:top w:val="nil"/>
                <w:left w:val="nil"/>
                <w:bottom w:val="nil"/>
                <w:right w:val="nil"/>
                <w:between w:val="nil"/>
              </w:pBdr>
              <w:ind w:left="113" w:hanging="113"/>
              <w:rPr>
                <w:b/>
                <w:color w:val="000000"/>
                <w:spacing w:val="-4"/>
                <w:sz w:val="16"/>
                <w:szCs w:val="16"/>
              </w:rPr>
            </w:pPr>
          </w:p>
        </w:tc>
        <w:tc>
          <w:tcPr>
            <w:tcW w:w="227" w:type="pct"/>
            <w:vAlign w:val="bottom"/>
          </w:tcPr>
          <w:p w14:paraId="034E364E"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3138" w:type="pct"/>
            <w:gridSpan w:val="10"/>
            <w:vAlign w:val="bottom"/>
          </w:tcPr>
          <w:p w14:paraId="6A86107F" w14:textId="77777777" w:rsidR="00D83E33" w:rsidRPr="008808A3" w:rsidRDefault="00BC4072">
            <w:pPr>
              <w:widowControl w:val="0"/>
              <w:pBdr>
                <w:top w:val="nil"/>
                <w:left w:val="nil"/>
                <w:bottom w:val="nil"/>
                <w:right w:val="nil"/>
                <w:between w:val="nil"/>
              </w:pBdr>
              <w:jc w:val="center"/>
              <w:rPr>
                <w:color w:val="000000"/>
                <w:spacing w:val="-4"/>
                <w:sz w:val="16"/>
                <w:szCs w:val="16"/>
              </w:rPr>
            </w:pPr>
            <w:r w:rsidRPr="008808A3">
              <w:rPr>
                <w:b/>
                <w:color w:val="000000"/>
                <w:spacing w:val="-4"/>
                <w:sz w:val="16"/>
                <w:szCs w:val="16"/>
              </w:rPr>
              <w:t>Attributable to owners of the Bank</w:t>
            </w:r>
          </w:p>
        </w:tc>
        <w:tc>
          <w:tcPr>
            <w:tcW w:w="369" w:type="pct"/>
            <w:vMerge w:val="restart"/>
          </w:tcPr>
          <w:p w14:paraId="3433C0E4"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 xml:space="preserve">Non-controll-ing </w:t>
            </w:r>
          </w:p>
          <w:p w14:paraId="407BB2C2" w14:textId="77777777" w:rsidR="00D83E33" w:rsidRPr="008808A3" w:rsidRDefault="00BC4072">
            <w:pPr>
              <w:widowControl w:val="0"/>
              <w:pBdr>
                <w:top w:val="nil"/>
                <w:left w:val="nil"/>
                <w:bottom w:val="nil"/>
                <w:right w:val="nil"/>
                <w:between w:val="nil"/>
              </w:pBdr>
              <w:ind w:left="-113"/>
              <w:jc w:val="right"/>
              <w:rPr>
                <w:color w:val="000000"/>
                <w:spacing w:val="-4"/>
                <w:sz w:val="16"/>
                <w:szCs w:val="16"/>
              </w:rPr>
            </w:pPr>
            <w:r w:rsidRPr="008808A3">
              <w:rPr>
                <w:b/>
                <w:color w:val="000000"/>
                <w:spacing w:val="-4"/>
                <w:sz w:val="16"/>
                <w:szCs w:val="16"/>
              </w:rPr>
              <w:t>Interest</w:t>
            </w:r>
          </w:p>
        </w:tc>
        <w:tc>
          <w:tcPr>
            <w:tcW w:w="356" w:type="pct"/>
            <w:vMerge w:val="restart"/>
            <w:tcMar>
              <w:top w:w="11" w:type="dxa"/>
              <w:left w:w="11" w:type="dxa"/>
              <w:bottom w:w="11" w:type="dxa"/>
              <w:right w:w="11" w:type="dxa"/>
            </w:tcMar>
          </w:tcPr>
          <w:p w14:paraId="6485A4B3" w14:textId="77777777" w:rsidR="00D83E33" w:rsidRPr="008808A3" w:rsidRDefault="00BC4072" w:rsidP="001B330E">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Total</w:t>
            </w:r>
          </w:p>
          <w:p w14:paraId="760C5A44" w14:textId="77777777" w:rsidR="00D83E33" w:rsidRPr="008808A3" w:rsidRDefault="00BC4072" w:rsidP="001B330E">
            <w:pPr>
              <w:widowControl w:val="0"/>
              <w:pBdr>
                <w:top w:val="nil"/>
                <w:left w:val="nil"/>
                <w:bottom w:val="nil"/>
                <w:right w:val="nil"/>
                <w:between w:val="nil"/>
              </w:pBdr>
              <w:ind w:left="-113"/>
              <w:jc w:val="right"/>
              <w:rPr>
                <w:color w:val="000000"/>
                <w:spacing w:val="-4"/>
                <w:sz w:val="16"/>
                <w:szCs w:val="16"/>
              </w:rPr>
            </w:pPr>
            <w:r w:rsidRPr="008808A3">
              <w:rPr>
                <w:b/>
                <w:color w:val="000000"/>
                <w:spacing w:val="-4"/>
                <w:sz w:val="16"/>
                <w:szCs w:val="16"/>
              </w:rPr>
              <w:t>equity</w:t>
            </w:r>
          </w:p>
        </w:tc>
      </w:tr>
      <w:tr w:rsidR="00EA10CF" w:rsidRPr="008808A3" w14:paraId="26BB68FA" w14:textId="77777777" w:rsidTr="00372E26">
        <w:trPr>
          <w:trHeight w:val="23"/>
          <w:tblHeader/>
        </w:trPr>
        <w:tc>
          <w:tcPr>
            <w:tcW w:w="910" w:type="pct"/>
            <w:tcBorders>
              <w:bottom w:val="single" w:sz="4" w:space="0" w:color="000000"/>
            </w:tcBorders>
            <w:vAlign w:val="bottom"/>
          </w:tcPr>
          <w:p w14:paraId="54379A30" w14:textId="319E1659" w:rsidR="00D83E33" w:rsidRPr="008808A3" w:rsidRDefault="00313B4D" w:rsidP="001B330E">
            <w:pPr>
              <w:widowControl w:val="0"/>
              <w:pBdr>
                <w:top w:val="nil"/>
                <w:left w:val="nil"/>
                <w:bottom w:val="nil"/>
                <w:right w:val="nil"/>
                <w:between w:val="nil"/>
              </w:pBdr>
              <w:ind w:left="113" w:hanging="113"/>
              <w:rPr>
                <w:b/>
                <w:color w:val="000000"/>
                <w:spacing w:val="-4"/>
                <w:sz w:val="16"/>
                <w:szCs w:val="16"/>
              </w:rPr>
            </w:pPr>
            <w:r w:rsidRPr="008808A3">
              <w:rPr>
                <w:i/>
                <w:color w:val="000000"/>
                <w:spacing w:val="-4"/>
                <w:sz w:val="16"/>
                <w:szCs w:val="16"/>
              </w:rPr>
              <w:t xml:space="preserve">In thousands of </w:t>
            </w:r>
            <w:r w:rsidR="002649EE" w:rsidRPr="008808A3">
              <w:rPr>
                <w:i/>
                <w:color w:val="000000"/>
                <w:spacing w:val="-4"/>
                <w:sz w:val="16"/>
                <w:szCs w:val="16"/>
              </w:rPr>
              <w:t>EUR</w:t>
            </w:r>
          </w:p>
        </w:tc>
        <w:tc>
          <w:tcPr>
            <w:tcW w:w="227" w:type="pct"/>
            <w:tcBorders>
              <w:bottom w:val="single" w:sz="4" w:space="0" w:color="000000"/>
            </w:tcBorders>
            <w:vAlign w:val="bottom"/>
          </w:tcPr>
          <w:p w14:paraId="7423048B" w14:textId="77777777" w:rsidR="00D83E33" w:rsidRPr="008808A3" w:rsidRDefault="00BC4072" w:rsidP="001B330E">
            <w:pPr>
              <w:widowControl w:val="0"/>
              <w:pBdr>
                <w:top w:val="nil"/>
                <w:left w:val="nil"/>
                <w:bottom w:val="nil"/>
                <w:right w:val="nil"/>
                <w:between w:val="nil"/>
              </w:pBdr>
              <w:ind w:left="-57" w:right="-57"/>
              <w:jc w:val="center"/>
              <w:rPr>
                <w:color w:val="000000"/>
                <w:spacing w:val="-4"/>
                <w:sz w:val="16"/>
                <w:szCs w:val="16"/>
              </w:rPr>
            </w:pPr>
            <w:r w:rsidRPr="008808A3">
              <w:rPr>
                <w:b/>
                <w:color w:val="000000"/>
                <w:spacing w:val="-4"/>
                <w:sz w:val="16"/>
                <w:szCs w:val="16"/>
              </w:rPr>
              <w:t>Note</w:t>
            </w:r>
          </w:p>
        </w:tc>
        <w:tc>
          <w:tcPr>
            <w:tcW w:w="303" w:type="pct"/>
            <w:gridSpan w:val="2"/>
            <w:tcBorders>
              <w:top w:val="single" w:sz="4" w:space="0" w:color="000000"/>
              <w:bottom w:val="single" w:sz="4" w:space="0" w:color="000000"/>
            </w:tcBorders>
          </w:tcPr>
          <w:p w14:paraId="7E7231EB"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Share</w:t>
            </w:r>
          </w:p>
          <w:p w14:paraId="7DF1F416" w14:textId="3F377B6D" w:rsidR="00D83E33" w:rsidRPr="008808A3" w:rsidRDefault="00B36E8E">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lang w:val="ru-RU"/>
              </w:rPr>
              <w:t>с</w:t>
            </w:r>
            <w:r w:rsidR="00BC4072" w:rsidRPr="008808A3">
              <w:rPr>
                <w:b/>
                <w:color w:val="000000"/>
                <w:spacing w:val="-4"/>
                <w:sz w:val="16"/>
                <w:szCs w:val="16"/>
              </w:rPr>
              <w:t>api</w:t>
            </w:r>
            <w:r w:rsidRPr="008808A3">
              <w:rPr>
                <w:b/>
                <w:color w:val="000000"/>
                <w:spacing w:val="-4"/>
                <w:sz w:val="16"/>
                <w:szCs w:val="16"/>
                <w:lang w:val="ru-RU"/>
              </w:rPr>
              <w:t>-</w:t>
            </w:r>
            <w:r w:rsidR="00BC4072" w:rsidRPr="008808A3">
              <w:rPr>
                <w:b/>
                <w:color w:val="000000"/>
                <w:spacing w:val="-4"/>
                <w:sz w:val="16"/>
                <w:szCs w:val="16"/>
              </w:rPr>
              <w:t>tal</w:t>
            </w:r>
          </w:p>
        </w:tc>
        <w:tc>
          <w:tcPr>
            <w:tcW w:w="293" w:type="pct"/>
            <w:tcBorders>
              <w:top w:val="single" w:sz="4" w:space="0" w:color="000000"/>
              <w:bottom w:val="single" w:sz="4" w:space="0" w:color="000000"/>
            </w:tcBorders>
          </w:tcPr>
          <w:p w14:paraId="462DE99A"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Share pre-mium</w:t>
            </w:r>
          </w:p>
        </w:tc>
        <w:tc>
          <w:tcPr>
            <w:tcW w:w="359" w:type="pct"/>
            <w:tcBorders>
              <w:top w:val="single" w:sz="4" w:space="0" w:color="000000"/>
              <w:bottom w:val="single" w:sz="4" w:space="0" w:color="000000"/>
            </w:tcBorders>
            <w:shd w:val="clear" w:color="auto" w:fill="auto"/>
          </w:tcPr>
          <w:p w14:paraId="6A678B4A"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Perpe-tual bonds</w:t>
            </w:r>
          </w:p>
        </w:tc>
        <w:tc>
          <w:tcPr>
            <w:tcW w:w="358" w:type="pct"/>
            <w:tcBorders>
              <w:top w:val="single" w:sz="4" w:space="0" w:color="000000"/>
              <w:bottom w:val="single" w:sz="4" w:space="0" w:color="000000"/>
            </w:tcBorders>
            <w:shd w:val="clear" w:color="auto" w:fill="auto"/>
          </w:tcPr>
          <w:p w14:paraId="215787A0"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Revalu-ation reserve for invest-ment secure-ties at FVOCI</w:t>
            </w:r>
          </w:p>
        </w:tc>
        <w:tc>
          <w:tcPr>
            <w:tcW w:w="386" w:type="pct"/>
            <w:tcBorders>
              <w:top w:val="single" w:sz="4" w:space="0" w:color="000000"/>
              <w:bottom w:val="single" w:sz="4" w:space="0" w:color="000000"/>
            </w:tcBorders>
          </w:tcPr>
          <w:p w14:paraId="35FAD4A0" w14:textId="33F938DA"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Revalu-ation of financial liabilities attribu-table to own credit risk</w:t>
            </w:r>
          </w:p>
        </w:tc>
        <w:tc>
          <w:tcPr>
            <w:tcW w:w="359" w:type="pct"/>
            <w:tcBorders>
              <w:top w:val="single" w:sz="4" w:space="0" w:color="000000"/>
              <w:bottom w:val="single" w:sz="4" w:space="0" w:color="000000"/>
            </w:tcBorders>
          </w:tcPr>
          <w:p w14:paraId="72BBCD3F"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Reva-luation reserve for pre-mises</w:t>
            </w:r>
          </w:p>
        </w:tc>
        <w:tc>
          <w:tcPr>
            <w:tcW w:w="358" w:type="pct"/>
            <w:tcBorders>
              <w:top w:val="single" w:sz="4" w:space="0" w:color="000000"/>
              <w:bottom w:val="single" w:sz="4" w:space="0" w:color="000000"/>
            </w:tcBorders>
          </w:tcPr>
          <w:p w14:paraId="29BDE2E6"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Cur-rency trans-lation reserve</w:t>
            </w:r>
          </w:p>
        </w:tc>
        <w:tc>
          <w:tcPr>
            <w:tcW w:w="361" w:type="pct"/>
            <w:tcBorders>
              <w:top w:val="single" w:sz="4" w:space="0" w:color="000000"/>
              <w:bottom w:val="single" w:sz="4" w:space="0" w:color="000000"/>
            </w:tcBorders>
          </w:tcPr>
          <w:p w14:paraId="74B65284"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Re-tained</w:t>
            </w:r>
          </w:p>
          <w:p w14:paraId="11887E4D"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ear-nings</w:t>
            </w:r>
            <w:r w:rsidRPr="008808A3">
              <w:rPr>
                <w:b/>
                <w:color w:val="000000"/>
                <w:spacing w:val="-4"/>
                <w:sz w:val="16"/>
                <w:szCs w:val="16"/>
              </w:rPr>
              <w:br/>
            </w:r>
            <w:r w:rsidRPr="008808A3">
              <w:rPr>
                <w:b/>
                <w:color w:val="0000FF"/>
                <w:spacing w:val="-4"/>
                <w:sz w:val="16"/>
                <w:szCs w:val="16"/>
              </w:rPr>
              <w:t>[Accu-mulated deficit]</w:t>
            </w:r>
          </w:p>
        </w:tc>
        <w:tc>
          <w:tcPr>
            <w:tcW w:w="361" w:type="pct"/>
            <w:tcBorders>
              <w:top w:val="single" w:sz="4" w:space="0" w:color="000000"/>
              <w:bottom w:val="single" w:sz="4" w:space="0" w:color="000000"/>
            </w:tcBorders>
          </w:tcPr>
          <w:p w14:paraId="3C621CA0"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Total</w:t>
            </w:r>
          </w:p>
        </w:tc>
        <w:tc>
          <w:tcPr>
            <w:tcW w:w="369" w:type="pct"/>
            <w:vMerge/>
          </w:tcPr>
          <w:p w14:paraId="1AF0F900" w14:textId="77777777" w:rsidR="00D83E33" w:rsidRPr="008808A3" w:rsidRDefault="00D83E33" w:rsidP="001B330E">
            <w:pPr>
              <w:widowControl w:val="0"/>
              <w:pBdr>
                <w:top w:val="nil"/>
                <w:left w:val="nil"/>
                <w:bottom w:val="nil"/>
                <w:right w:val="nil"/>
                <w:between w:val="nil"/>
              </w:pBdr>
              <w:rPr>
                <w:b/>
                <w:color w:val="000000"/>
                <w:spacing w:val="-4"/>
                <w:sz w:val="16"/>
                <w:szCs w:val="16"/>
              </w:rPr>
            </w:pPr>
          </w:p>
        </w:tc>
        <w:tc>
          <w:tcPr>
            <w:tcW w:w="356" w:type="pct"/>
            <w:vMerge/>
            <w:tcMar>
              <w:top w:w="11" w:type="dxa"/>
              <w:left w:w="11" w:type="dxa"/>
              <w:bottom w:w="11" w:type="dxa"/>
              <w:right w:w="11" w:type="dxa"/>
            </w:tcMar>
          </w:tcPr>
          <w:p w14:paraId="298D246E" w14:textId="77777777" w:rsidR="00D83E33" w:rsidRPr="008808A3" w:rsidRDefault="00D83E33" w:rsidP="001B330E">
            <w:pPr>
              <w:widowControl w:val="0"/>
              <w:pBdr>
                <w:top w:val="nil"/>
                <w:left w:val="nil"/>
                <w:bottom w:val="nil"/>
                <w:right w:val="nil"/>
                <w:between w:val="nil"/>
              </w:pBdr>
              <w:rPr>
                <w:b/>
                <w:color w:val="000000"/>
                <w:spacing w:val="-4"/>
                <w:sz w:val="16"/>
                <w:szCs w:val="16"/>
              </w:rPr>
            </w:pPr>
          </w:p>
        </w:tc>
      </w:tr>
      <w:tr w:rsidR="00EA10CF" w:rsidRPr="008808A3" w14:paraId="12983939" w14:textId="77777777" w:rsidTr="00372E26">
        <w:trPr>
          <w:trHeight w:val="23"/>
        </w:trPr>
        <w:tc>
          <w:tcPr>
            <w:tcW w:w="910" w:type="pct"/>
            <w:tcBorders>
              <w:top w:val="single" w:sz="4" w:space="0" w:color="000000"/>
            </w:tcBorders>
            <w:vAlign w:val="bottom"/>
          </w:tcPr>
          <w:p w14:paraId="7EB71090"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 </w:t>
            </w:r>
          </w:p>
        </w:tc>
        <w:tc>
          <w:tcPr>
            <w:tcW w:w="227" w:type="pct"/>
            <w:tcBorders>
              <w:top w:val="single" w:sz="4" w:space="0" w:color="000000"/>
            </w:tcBorders>
            <w:vAlign w:val="bottom"/>
          </w:tcPr>
          <w:p w14:paraId="50036B08"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tcBorders>
              <w:top w:val="single" w:sz="4" w:space="0" w:color="000000"/>
            </w:tcBorders>
            <w:shd w:val="clear" w:color="auto" w:fill="auto"/>
            <w:vAlign w:val="bottom"/>
          </w:tcPr>
          <w:p w14:paraId="2E2E028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tcBorders>
              <w:top w:val="single" w:sz="4" w:space="0" w:color="000000"/>
            </w:tcBorders>
            <w:shd w:val="clear" w:color="auto" w:fill="auto"/>
            <w:vAlign w:val="bottom"/>
          </w:tcPr>
          <w:p w14:paraId="3623A8B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tcBorders>
              <w:top w:val="single" w:sz="4" w:space="0" w:color="000000"/>
            </w:tcBorders>
            <w:shd w:val="clear" w:color="auto" w:fill="auto"/>
            <w:vAlign w:val="bottom"/>
          </w:tcPr>
          <w:p w14:paraId="110D679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tcBorders>
              <w:top w:val="single" w:sz="4" w:space="0" w:color="000000"/>
            </w:tcBorders>
            <w:vAlign w:val="bottom"/>
          </w:tcPr>
          <w:p w14:paraId="4A4C4BF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tcBorders>
              <w:top w:val="single" w:sz="4" w:space="0" w:color="000000"/>
            </w:tcBorders>
            <w:vAlign w:val="bottom"/>
          </w:tcPr>
          <w:p w14:paraId="6C0B5EC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tcBorders>
              <w:top w:val="single" w:sz="4" w:space="0" w:color="000000"/>
            </w:tcBorders>
            <w:vAlign w:val="bottom"/>
          </w:tcPr>
          <w:p w14:paraId="0B40EC6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tcBorders>
              <w:top w:val="single" w:sz="4" w:space="0" w:color="000000"/>
            </w:tcBorders>
            <w:vAlign w:val="bottom"/>
          </w:tcPr>
          <w:p w14:paraId="54B96D0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Borders>
              <w:top w:val="single" w:sz="4" w:space="0" w:color="000000"/>
            </w:tcBorders>
            <w:vAlign w:val="bottom"/>
          </w:tcPr>
          <w:p w14:paraId="68978D7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Borders>
              <w:top w:val="single" w:sz="4" w:space="0" w:color="000000"/>
            </w:tcBorders>
            <w:tcMar>
              <w:top w:w="11" w:type="dxa"/>
              <w:left w:w="11" w:type="dxa"/>
              <w:bottom w:w="11" w:type="dxa"/>
              <w:right w:w="11" w:type="dxa"/>
            </w:tcMar>
            <w:vAlign w:val="bottom"/>
          </w:tcPr>
          <w:p w14:paraId="1919E5D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Borders>
              <w:top w:val="single" w:sz="4" w:space="0" w:color="000000"/>
            </w:tcBorders>
          </w:tcPr>
          <w:p w14:paraId="119449D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Borders>
              <w:top w:val="single" w:sz="4" w:space="0" w:color="000000"/>
            </w:tcBorders>
          </w:tcPr>
          <w:p w14:paraId="00E2A9C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02A749F7" w14:textId="77777777" w:rsidTr="00372E26">
        <w:trPr>
          <w:trHeight w:val="23"/>
        </w:trPr>
        <w:tc>
          <w:tcPr>
            <w:tcW w:w="910" w:type="pct"/>
            <w:vAlign w:val="bottom"/>
          </w:tcPr>
          <w:p w14:paraId="74D7F1D5" w14:textId="70AEE317" w:rsidR="00D83E33" w:rsidRPr="008808A3" w:rsidRDefault="00BC4072" w:rsidP="001B330E">
            <w:pPr>
              <w:widowControl w:val="0"/>
              <w:pBdr>
                <w:top w:val="nil"/>
                <w:left w:val="nil"/>
                <w:bottom w:val="nil"/>
                <w:right w:val="nil"/>
                <w:between w:val="nil"/>
              </w:pBdr>
              <w:tabs>
                <w:tab w:val="right" w:pos="8782"/>
              </w:tabs>
              <w:ind w:left="113" w:hanging="113"/>
              <w:rPr>
                <w:color w:val="000000"/>
                <w:spacing w:val="-4"/>
                <w:sz w:val="16"/>
                <w:szCs w:val="16"/>
              </w:rPr>
            </w:pPr>
            <w:r w:rsidRPr="008808A3">
              <w:rPr>
                <w:b/>
                <w:color w:val="000000"/>
                <w:spacing w:val="-4"/>
                <w:sz w:val="16"/>
                <w:szCs w:val="16"/>
              </w:rPr>
              <w:t xml:space="preserve">Year ended </w:t>
            </w:r>
            <w:r w:rsidRPr="008808A3">
              <w:rPr>
                <w:b/>
                <w:color w:val="000000"/>
                <w:spacing w:val="-4"/>
                <w:sz w:val="16"/>
                <w:szCs w:val="16"/>
              </w:rPr>
              <w:br/>
              <w:t>31</w:t>
            </w:r>
            <w:r w:rsidR="00181687" w:rsidRPr="008808A3">
              <w:rPr>
                <w:b/>
                <w:color w:val="000000"/>
                <w:spacing w:val="-4"/>
                <w:sz w:val="16"/>
                <w:szCs w:val="16"/>
              </w:rPr>
              <w:t> December </w:t>
            </w:r>
            <w:r w:rsidR="00541EBC">
              <w:rPr>
                <w:b/>
                <w:color w:val="000000"/>
                <w:spacing w:val="-4"/>
                <w:sz w:val="16"/>
                <w:szCs w:val="16"/>
              </w:rPr>
              <w:t>2024</w:t>
            </w:r>
          </w:p>
        </w:tc>
        <w:tc>
          <w:tcPr>
            <w:tcW w:w="227" w:type="pct"/>
            <w:vAlign w:val="bottom"/>
          </w:tcPr>
          <w:p w14:paraId="1B657194"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1DC2F9E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5BFAFE0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shd w:val="clear" w:color="auto" w:fill="auto"/>
            <w:vAlign w:val="bottom"/>
          </w:tcPr>
          <w:p w14:paraId="46EFE87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7CB7327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1B16FEE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5C3CD1E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244CA44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2B46A46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501D421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0D7CEA7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0C3C5C2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47FB888B" w14:textId="77777777" w:rsidTr="00372E26">
        <w:trPr>
          <w:trHeight w:val="23"/>
        </w:trPr>
        <w:tc>
          <w:tcPr>
            <w:tcW w:w="910" w:type="pct"/>
            <w:vAlign w:val="bottom"/>
          </w:tcPr>
          <w:p w14:paraId="66CD3263" w14:textId="77777777" w:rsidR="00D83E33" w:rsidRPr="008808A3" w:rsidRDefault="00BC4072" w:rsidP="001B330E">
            <w:pPr>
              <w:widowControl w:val="0"/>
              <w:pBdr>
                <w:top w:val="nil"/>
                <w:left w:val="nil"/>
                <w:bottom w:val="nil"/>
                <w:right w:val="nil"/>
                <w:between w:val="nil"/>
              </w:pBdr>
              <w:tabs>
                <w:tab w:val="right" w:pos="8782"/>
              </w:tabs>
              <w:ind w:left="113" w:hanging="113"/>
              <w:rPr>
                <w:color w:val="000000"/>
                <w:spacing w:val="-4"/>
                <w:sz w:val="16"/>
                <w:szCs w:val="16"/>
              </w:rPr>
            </w:pPr>
            <w:r w:rsidRPr="008808A3">
              <w:rPr>
                <w:color w:val="000000"/>
                <w:spacing w:val="-4"/>
                <w:sz w:val="16"/>
                <w:szCs w:val="16"/>
              </w:rPr>
              <w:t> </w:t>
            </w:r>
          </w:p>
        </w:tc>
        <w:tc>
          <w:tcPr>
            <w:tcW w:w="227" w:type="pct"/>
            <w:vAlign w:val="bottom"/>
          </w:tcPr>
          <w:p w14:paraId="6912FFDE"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18EEDAD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1E4D3E5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145E901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0AC98F9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7195EB7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1F77381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3BB031A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716DEFA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219053B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38E7FF7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3740B20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670EDBA8" w14:textId="77777777" w:rsidTr="00372E26">
        <w:trPr>
          <w:trHeight w:val="23"/>
        </w:trPr>
        <w:tc>
          <w:tcPr>
            <w:tcW w:w="910" w:type="pct"/>
            <w:vAlign w:val="bottom"/>
          </w:tcPr>
          <w:p w14:paraId="17B224F3"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Securities at FVOCI:</w:t>
            </w:r>
          </w:p>
        </w:tc>
        <w:tc>
          <w:tcPr>
            <w:tcW w:w="227" w:type="pct"/>
            <w:vAlign w:val="bottom"/>
          </w:tcPr>
          <w:p w14:paraId="284039B2"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42F23D1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621DF2D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31F931D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3FFAC16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11D974C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5E61447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548C6B1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29F50D6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390EE24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0B0CC0A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034772E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055A5A9D" w14:textId="77777777" w:rsidTr="00372E26">
        <w:trPr>
          <w:trHeight w:val="23"/>
        </w:trPr>
        <w:tc>
          <w:tcPr>
            <w:tcW w:w="910" w:type="pct"/>
            <w:vAlign w:val="bottom"/>
          </w:tcPr>
          <w:p w14:paraId="400DA588"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 xml:space="preserve">- </w:t>
            </w:r>
            <w:r w:rsidRPr="008808A3">
              <w:rPr>
                <w:color w:val="000000"/>
                <w:spacing w:val="-4"/>
                <w:sz w:val="16"/>
                <w:szCs w:val="16"/>
              </w:rPr>
              <w:tab/>
              <w:t>Gains less losses arising during the year</w:t>
            </w:r>
          </w:p>
        </w:tc>
        <w:tc>
          <w:tcPr>
            <w:tcW w:w="227" w:type="pct"/>
            <w:vAlign w:val="bottom"/>
          </w:tcPr>
          <w:p w14:paraId="669439A8"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5F74C76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1E12D7C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53EC652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2EF05E2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5659F79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547BE60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303528D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026B6DD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6E62508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4CB879C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5C24A85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5E8AA0BA" w14:textId="77777777" w:rsidTr="00372E26">
        <w:trPr>
          <w:trHeight w:val="23"/>
        </w:trPr>
        <w:tc>
          <w:tcPr>
            <w:tcW w:w="910" w:type="pct"/>
            <w:vAlign w:val="bottom"/>
          </w:tcPr>
          <w:p w14:paraId="7652E012"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 xml:space="preserve">- </w:t>
            </w:r>
            <w:r w:rsidRPr="008808A3">
              <w:rPr>
                <w:color w:val="000000"/>
                <w:spacing w:val="-4"/>
                <w:sz w:val="16"/>
                <w:szCs w:val="16"/>
              </w:rPr>
              <w:tab/>
              <w:t xml:space="preserve">Gains less losses reclassified to profit or loss on disposal </w:t>
            </w:r>
          </w:p>
        </w:tc>
        <w:tc>
          <w:tcPr>
            <w:tcW w:w="227" w:type="pct"/>
            <w:vAlign w:val="bottom"/>
          </w:tcPr>
          <w:p w14:paraId="646B04BA"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78A14CE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5F0F307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64C4738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5F917B8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6B3DCB2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3CA8805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274FB71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3830878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38CC6ED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15C5AA7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5B29681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38A2190F" w14:textId="77777777" w:rsidTr="00372E26">
        <w:trPr>
          <w:trHeight w:val="23"/>
        </w:trPr>
        <w:tc>
          <w:tcPr>
            <w:tcW w:w="910" w:type="pct"/>
            <w:vAlign w:val="bottom"/>
          </w:tcPr>
          <w:p w14:paraId="0744FB21" w14:textId="77777777" w:rsidR="00D83E33" w:rsidRPr="008808A3" w:rsidRDefault="00BC4072" w:rsidP="001B330E">
            <w:pPr>
              <w:widowControl w:val="0"/>
              <w:pBdr>
                <w:top w:val="nil"/>
                <w:left w:val="nil"/>
                <w:bottom w:val="nil"/>
                <w:right w:val="nil"/>
                <w:between w:val="nil"/>
              </w:pBdr>
              <w:ind w:left="113" w:hanging="113"/>
              <w:rPr>
                <w:b/>
                <w:color w:val="000000"/>
                <w:spacing w:val="-4"/>
                <w:sz w:val="16"/>
                <w:szCs w:val="16"/>
              </w:rPr>
            </w:pPr>
            <w:r w:rsidRPr="008808A3">
              <w:rPr>
                <w:color w:val="000000"/>
                <w:spacing w:val="-4"/>
                <w:sz w:val="16"/>
                <w:szCs w:val="16"/>
              </w:rPr>
              <w:t>Translation of financial information of foreign operations to presentation currency</w:t>
            </w:r>
          </w:p>
        </w:tc>
        <w:tc>
          <w:tcPr>
            <w:tcW w:w="227" w:type="pct"/>
            <w:vAlign w:val="bottom"/>
          </w:tcPr>
          <w:p w14:paraId="7C62E89E"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7982E81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2E0F7DF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2360806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482B3CD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3DCB131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32A888F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069C22C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2EEE45F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05FE03C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7CE27E0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1809522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09A01B38" w14:textId="77777777" w:rsidTr="00372E26">
        <w:trPr>
          <w:trHeight w:val="23"/>
        </w:trPr>
        <w:tc>
          <w:tcPr>
            <w:tcW w:w="910" w:type="pct"/>
            <w:vAlign w:val="bottom"/>
          </w:tcPr>
          <w:p w14:paraId="3DA81B55"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Share of other comprehensive income of associates</w:t>
            </w:r>
          </w:p>
        </w:tc>
        <w:tc>
          <w:tcPr>
            <w:tcW w:w="227" w:type="pct"/>
            <w:vAlign w:val="bottom"/>
          </w:tcPr>
          <w:p w14:paraId="752D5F45"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68ACE0A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4B32AFB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728D06C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2749082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37CBC67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1F89C9C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040FA00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667A1AB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7560660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0E3607B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49D19DD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3842B6A6" w14:textId="77777777" w:rsidTr="00372E26">
        <w:trPr>
          <w:trHeight w:val="23"/>
        </w:trPr>
        <w:tc>
          <w:tcPr>
            <w:tcW w:w="910" w:type="pct"/>
            <w:vAlign w:val="bottom"/>
          </w:tcPr>
          <w:p w14:paraId="5E40E0F9"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Income tax recorded directly in other comprehensive income</w:t>
            </w:r>
          </w:p>
        </w:tc>
        <w:tc>
          <w:tcPr>
            <w:tcW w:w="227" w:type="pct"/>
            <w:vAlign w:val="bottom"/>
          </w:tcPr>
          <w:p w14:paraId="7A03A20C"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786C8E4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779B5DF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1E707F4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5CD0C48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501140A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40EACC1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0AA484B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6485469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67F0DE7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1E93B1D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231A051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288F57C6" w14:textId="77777777" w:rsidTr="00372E26">
        <w:trPr>
          <w:trHeight w:val="23"/>
        </w:trPr>
        <w:tc>
          <w:tcPr>
            <w:tcW w:w="910" w:type="pct"/>
            <w:vAlign w:val="bottom"/>
          </w:tcPr>
          <w:p w14:paraId="7265CFF9"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Gains less losses on investments in equity instruments at FVOCI</w:t>
            </w:r>
          </w:p>
        </w:tc>
        <w:tc>
          <w:tcPr>
            <w:tcW w:w="227" w:type="pct"/>
            <w:vAlign w:val="bottom"/>
          </w:tcPr>
          <w:p w14:paraId="46E88336"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60FE7CE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1E0B161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2A5B5E9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0E480EA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7D673A6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7C37F5B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09DAD3E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2AFF73E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250EF10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4940D67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5771171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1B7D1ED8" w14:textId="77777777" w:rsidTr="00372E26">
        <w:trPr>
          <w:trHeight w:val="23"/>
        </w:trPr>
        <w:tc>
          <w:tcPr>
            <w:tcW w:w="910" w:type="pct"/>
            <w:vAlign w:val="bottom"/>
          </w:tcPr>
          <w:p w14:paraId="1E2703EC"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Change in fair value attributable to change in the credit risk of financial liabilities at FVTPL</w:t>
            </w:r>
          </w:p>
        </w:tc>
        <w:tc>
          <w:tcPr>
            <w:tcW w:w="227" w:type="pct"/>
            <w:vAlign w:val="bottom"/>
          </w:tcPr>
          <w:p w14:paraId="59CE4907"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59D478A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4725296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77B16D7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6CC1586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5069501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7332791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725D49E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7FE983E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3C7706E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3D514DE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732632F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1E717F20" w14:textId="77777777" w:rsidTr="00372E26">
        <w:trPr>
          <w:trHeight w:val="23"/>
        </w:trPr>
        <w:tc>
          <w:tcPr>
            <w:tcW w:w="910" w:type="pct"/>
            <w:vAlign w:val="bottom"/>
          </w:tcPr>
          <w:p w14:paraId="2A150F79"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Revaluation of premises and equipment</w:t>
            </w:r>
          </w:p>
        </w:tc>
        <w:tc>
          <w:tcPr>
            <w:tcW w:w="227" w:type="pct"/>
            <w:vAlign w:val="bottom"/>
          </w:tcPr>
          <w:p w14:paraId="04FF67FB"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5544C58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4A5B82F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33BD432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7EC548A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71818F6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12664C3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7985A01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165B2CE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42D5994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1765A44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315B810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74A18BB4" w14:textId="77777777" w:rsidTr="00372E26">
        <w:trPr>
          <w:trHeight w:val="23"/>
        </w:trPr>
        <w:tc>
          <w:tcPr>
            <w:tcW w:w="910" w:type="pct"/>
            <w:vAlign w:val="bottom"/>
          </w:tcPr>
          <w:p w14:paraId="0326AE18"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Remeasurements of post-employment benefit obligations</w:t>
            </w:r>
          </w:p>
        </w:tc>
        <w:tc>
          <w:tcPr>
            <w:tcW w:w="227" w:type="pct"/>
            <w:vAlign w:val="bottom"/>
          </w:tcPr>
          <w:p w14:paraId="7DF17C6C"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343F33C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77B2ED8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26502F4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6D31ECB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2F52037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785CAD7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1676E2D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vAlign w:val="bottom"/>
          </w:tcPr>
          <w:p w14:paraId="69E9A98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44195BD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1BE4F8A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3A233B2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72302EE0" w14:textId="77777777" w:rsidTr="00372E26">
        <w:trPr>
          <w:trHeight w:val="23"/>
        </w:trPr>
        <w:tc>
          <w:tcPr>
            <w:tcW w:w="910" w:type="pct"/>
            <w:vAlign w:val="bottom"/>
          </w:tcPr>
          <w:p w14:paraId="7479633C"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Income tax recorded directly in other comprehensive income</w:t>
            </w:r>
          </w:p>
        </w:tc>
        <w:tc>
          <w:tcPr>
            <w:tcW w:w="227" w:type="pct"/>
            <w:vAlign w:val="bottom"/>
          </w:tcPr>
          <w:p w14:paraId="6FE0F5E5"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2446513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38A5C08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49D710C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5AAC263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1943107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3CDB116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3B36648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30BC0C1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39281E1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5317A62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4D4F31A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1B77FF24" w14:textId="77777777" w:rsidTr="00372E26">
        <w:trPr>
          <w:trHeight w:val="23"/>
        </w:trPr>
        <w:tc>
          <w:tcPr>
            <w:tcW w:w="910" w:type="pct"/>
            <w:tcBorders>
              <w:bottom w:val="single" w:sz="4" w:space="0" w:color="000000"/>
            </w:tcBorders>
            <w:vAlign w:val="bottom"/>
          </w:tcPr>
          <w:p w14:paraId="3D834076"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b/>
                <w:color w:val="000000"/>
                <w:spacing w:val="-4"/>
                <w:sz w:val="16"/>
                <w:szCs w:val="16"/>
              </w:rPr>
              <w:t> </w:t>
            </w:r>
          </w:p>
        </w:tc>
        <w:tc>
          <w:tcPr>
            <w:tcW w:w="227" w:type="pct"/>
            <w:tcBorders>
              <w:bottom w:val="single" w:sz="4" w:space="0" w:color="000000"/>
            </w:tcBorders>
            <w:vAlign w:val="bottom"/>
          </w:tcPr>
          <w:p w14:paraId="6F4CB6B9"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tcBorders>
              <w:bottom w:val="single" w:sz="4" w:space="0" w:color="000000"/>
            </w:tcBorders>
            <w:shd w:val="clear" w:color="auto" w:fill="auto"/>
            <w:vAlign w:val="bottom"/>
          </w:tcPr>
          <w:p w14:paraId="6D0AB87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tcBorders>
              <w:bottom w:val="single" w:sz="4" w:space="0" w:color="000000"/>
            </w:tcBorders>
            <w:shd w:val="clear" w:color="auto" w:fill="auto"/>
            <w:vAlign w:val="bottom"/>
          </w:tcPr>
          <w:p w14:paraId="4F537E6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tcBorders>
              <w:bottom w:val="single" w:sz="4" w:space="0" w:color="000000"/>
            </w:tcBorders>
            <w:vAlign w:val="bottom"/>
          </w:tcPr>
          <w:p w14:paraId="51241E4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tcBorders>
              <w:bottom w:val="single" w:sz="4" w:space="0" w:color="000000"/>
            </w:tcBorders>
            <w:shd w:val="clear" w:color="auto" w:fill="auto"/>
            <w:vAlign w:val="bottom"/>
          </w:tcPr>
          <w:p w14:paraId="71AAC88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tcBorders>
              <w:bottom w:val="single" w:sz="4" w:space="0" w:color="000000"/>
            </w:tcBorders>
            <w:vAlign w:val="bottom"/>
          </w:tcPr>
          <w:p w14:paraId="3FDD015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tcBorders>
              <w:bottom w:val="single" w:sz="4" w:space="0" w:color="000000"/>
            </w:tcBorders>
            <w:vAlign w:val="bottom"/>
          </w:tcPr>
          <w:p w14:paraId="1C888BD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tcBorders>
              <w:bottom w:val="single" w:sz="4" w:space="0" w:color="000000"/>
            </w:tcBorders>
            <w:vAlign w:val="bottom"/>
          </w:tcPr>
          <w:p w14:paraId="3D6A9EC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Borders>
              <w:bottom w:val="single" w:sz="4" w:space="0" w:color="000000"/>
            </w:tcBorders>
            <w:tcMar>
              <w:top w:w="11" w:type="dxa"/>
              <w:left w:w="11" w:type="dxa"/>
              <w:bottom w:w="11" w:type="dxa"/>
              <w:right w:w="11" w:type="dxa"/>
            </w:tcMar>
            <w:vAlign w:val="bottom"/>
          </w:tcPr>
          <w:p w14:paraId="3E5973E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Borders>
              <w:bottom w:val="single" w:sz="4" w:space="0" w:color="000000"/>
            </w:tcBorders>
            <w:tcMar>
              <w:top w:w="11" w:type="dxa"/>
              <w:left w:w="11" w:type="dxa"/>
              <w:bottom w:w="11" w:type="dxa"/>
              <w:right w:w="11" w:type="dxa"/>
            </w:tcMar>
            <w:vAlign w:val="bottom"/>
          </w:tcPr>
          <w:p w14:paraId="08BF852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Borders>
              <w:bottom w:val="single" w:sz="4" w:space="0" w:color="000000"/>
            </w:tcBorders>
          </w:tcPr>
          <w:p w14:paraId="36644A7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Borders>
              <w:bottom w:val="single" w:sz="4" w:space="0" w:color="000000"/>
            </w:tcBorders>
          </w:tcPr>
          <w:p w14:paraId="408A7A0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057726BF" w14:textId="77777777" w:rsidTr="00372E26">
        <w:trPr>
          <w:trHeight w:val="23"/>
        </w:trPr>
        <w:tc>
          <w:tcPr>
            <w:tcW w:w="910" w:type="pct"/>
            <w:tcBorders>
              <w:top w:val="single" w:sz="4" w:space="0" w:color="000000"/>
            </w:tcBorders>
            <w:vAlign w:val="bottom"/>
          </w:tcPr>
          <w:p w14:paraId="6583BC14" w14:textId="77777777" w:rsidR="00D83E33" w:rsidRPr="008808A3" w:rsidRDefault="00D83E33" w:rsidP="001B330E">
            <w:pPr>
              <w:widowControl w:val="0"/>
              <w:pBdr>
                <w:top w:val="nil"/>
                <w:left w:val="nil"/>
                <w:bottom w:val="nil"/>
                <w:right w:val="nil"/>
                <w:between w:val="nil"/>
              </w:pBdr>
              <w:ind w:left="113" w:hanging="113"/>
              <w:rPr>
                <w:b/>
                <w:color w:val="000000"/>
                <w:spacing w:val="-4"/>
                <w:sz w:val="16"/>
                <w:szCs w:val="16"/>
              </w:rPr>
            </w:pPr>
          </w:p>
        </w:tc>
        <w:tc>
          <w:tcPr>
            <w:tcW w:w="227" w:type="pct"/>
            <w:tcBorders>
              <w:top w:val="single" w:sz="4" w:space="0" w:color="000000"/>
            </w:tcBorders>
            <w:vAlign w:val="bottom"/>
          </w:tcPr>
          <w:p w14:paraId="09D3275B"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tcBorders>
              <w:top w:val="single" w:sz="4" w:space="0" w:color="000000"/>
            </w:tcBorders>
            <w:shd w:val="clear" w:color="auto" w:fill="auto"/>
            <w:vAlign w:val="bottom"/>
          </w:tcPr>
          <w:p w14:paraId="04998A9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tcBorders>
              <w:top w:val="single" w:sz="4" w:space="0" w:color="000000"/>
            </w:tcBorders>
            <w:shd w:val="clear" w:color="auto" w:fill="auto"/>
            <w:vAlign w:val="bottom"/>
          </w:tcPr>
          <w:p w14:paraId="116706C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tcBorders>
              <w:top w:val="single" w:sz="4" w:space="0" w:color="000000"/>
            </w:tcBorders>
            <w:vAlign w:val="bottom"/>
          </w:tcPr>
          <w:p w14:paraId="387C733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tcBorders>
              <w:top w:val="single" w:sz="4" w:space="0" w:color="000000"/>
            </w:tcBorders>
            <w:shd w:val="clear" w:color="auto" w:fill="auto"/>
            <w:vAlign w:val="bottom"/>
          </w:tcPr>
          <w:p w14:paraId="195CB3D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tcBorders>
              <w:top w:val="single" w:sz="4" w:space="0" w:color="000000"/>
            </w:tcBorders>
            <w:vAlign w:val="bottom"/>
          </w:tcPr>
          <w:p w14:paraId="146AFA3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tcBorders>
              <w:top w:val="single" w:sz="4" w:space="0" w:color="000000"/>
            </w:tcBorders>
            <w:vAlign w:val="bottom"/>
          </w:tcPr>
          <w:p w14:paraId="670D1C8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tcBorders>
              <w:top w:val="single" w:sz="4" w:space="0" w:color="000000"/>
            </w:tcBorders>
            <w:vAlign w:val="bottom"/>
          </w:tcPr>
          <w:p w14:paraId="7D0BD14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Borders>
              <w:top w:val="single" w:sz="4" w:space="0" w:color="000000"/>
            </w:tcBorders>
            <w:tcMar>
              <w:top w:w="11" w:type="dxa"/>
              <w:left w:w="11" w:type="dxa"/>
              <w:bottom w:w="11" w:type="dxa"/>
              <w:right w:w="11" w:type="dxa"/>
            </w:tcMar>
            <w:vAlign w:val="bottom"/>
          </w:tcPr>
          <w:p w14:paraId="4969D05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Borders>
              <w:top w:val="single" w:sz="4" w:space="0" w:color="000000"/>
            </w:tcBorders>
            <w:tcMar>
              <w:top w:w="11" w:type="dxa"/>
              <w:left w:w="11" w:type="dxa"/>
              <w:bottom w:w="11" w:type="dxa"/>
              <w:right w:w="11" w:type="dxa"/>
            </w:tcMar>
            <w:vAlign w:val="bottom"/>
          </w:tcPr>
          <w:p w14:paraId="7B6A713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Borders>
              <w:top w:val="single" w:sz="4" w:space="0" w:color="000000"/>
            </w:tcBorders>
          </w:tcPr>
          <w:p w14:paraId="3D8571F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Borders>
              <w:top w:val="single" w:sz="4" w:space="0" w:color="000000"/>
            </w:tcBorders>
          </w:tcPr>
          <w:p w14:paraId="4371F2A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19B31708" w14:textId="77777777" w:rsidTr="00372E26">
        <w:trPr>
          <w:trHeight w:val="23"/>
        </w:trPr>
        <w:tc>
          <w:tcPr>
            <w:tcW w:w="910" w:type="pct"/>
            <w:vAlign w:val="bottom"/>
          </w:tcPr>
          <w:p w14:paraId="47162FB3"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b/>
                <w:color w:val="000000"/>
                <w:spacing w:val="-4"/>
                <w:sz w:val="16"/>
                <w:szCs w:val="16"/>
              </w:rPr>
              <w:t>Total other comprehensive income</w:t>
            </w:r>
          </w:p>
        </w:tc>
        <w:tc>
          <w:tcPr>
            <w:tcW w:w="227" w:type="pct"/>
            <w:vAlign w:val="bottom"/>
          </w:tcPr>
          <w:p w14:paraId="3930B65A"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shd w:val="clear" w:color="auto" w:fill="auto"/>
            <w:vAlign w:val="bottom"/>
          </w:tcPr>
          <w:p w14:paraId="1CD069B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shd w:val="clear" w:color="auto" w:fill="auto"/>
            <w:vAlign w:val="bottom"/>
          </w:tcPr>
          <w:p w14:paraId="0275901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7324A12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shd w:val="clear" w:color="auto" w:fill="auto"/>
            <w:vAlign w:val="bottom"/>
          </w:tcPr>
          <w:p w14:paraId="5F486D1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vAlign w:val="bottom"/>
          </w:tcPr>
          <w:p w14:paraId="788D837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vAlign w:val="bottom"/>
          </w:tcPr>
          <w:p w14:paraId="67FA297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vAlign w:val="bottom"/>
          </w:tcPr>
          <w:p w14:paraId="031609D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7F84FCE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Mar>
              <w:top w:w="11" w:type="dxa"/>
              <w:left w:w="11" w:type="dxa"/>
              <w:bottom w:w="11" w:type="dxa"/>
              <w:right w:w="11" w:type="dxa"/>
            </w:tcMar>
            <w:vAlign w:val="bottom"/>
          </w:tcPr>
          <w:p w14:paraId="2BE7552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Pr>
          <w:p w14:paraId="64B9C5B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Pr>
          <w:p w14:paraId="45E267C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EA10CF" w:rsidRPr="008808A3" w14:paraId="2ADECD56" w14:textId="77777777" w:rsidTr="00372E26">
        <w:trPr>
          <w:trHeight w:val="23"/>
        </w:trPr>
        <w:tc>
          <w:tcPr>
            <w:tcW w:w="910" w:type="pct"/>
            <w:tcBorders>
              <w:bottom w:val="single" w:sz="12" w:space="0" w:color="000000"/>
            </w:tcBorders>
            <w:vAlign w:val="bottom"/>
          </w:tcPr>
          <w:p w14:paraId="06873F10"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b/>
                <w:color w:val="000000"/>
                <w:spacing w:val="-4"/>
                <w:sz w:val="16"/>
                <w:szCs w:val="16"/>
              </w:rPr>
              <w:t> </w:t>
            </w:r>
          </w:p>
        </w:tc>
        <w:tc>
          <w:tcPr>
            <w:tcW w:w="227" w:type="pct"/>
            <w:tcBorders>
              <w:bottom w:val="single" w:sz="12" w:space="0" w:color="000000"/>
            </w:tcBorders>
            <w:vAlign w:val="bottom"/>
          </w:tcPr>
          <w:p w14:paraId="0D8B0249"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38" w:type="pct"/>
            <w:tcBorders>
              <w:bottom w:val="single" w:sz="12" w:space="0" w:color="000000"/>
            </w:tcBorders>
            <w:shd w:val="clear" w:color="auto" w:fill="auto"/>
            <w:vAlign w:val="bottom"/>
          </w:tcPr>
          <w:p w14:paraId="28E36A3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gridSpan w:val="2"/>
            <w:tcBorders>
              <w:bottom w:val="single" w:sz="12" w:space="0" w:color="000000"/>
            </w:tcBorders>
            <w:shd w:val="clear" w:color="auto" w:fill="auto"/>
            <w:vAlign w:val="bottom"/>
          </w:tcPr>
          <w:p w14:paraId="376E5C3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tcBorders>
              <w:bottom w:val="single" w:sz="12" w:space="0" w:color="000000"/>
            </w:tcBorders>
            <w:vAlign w:val="bottom"/>
          </w:tcPr>
          <w:p w14:paraId="1FD5094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tcBorders>
              <w:bottom w:val="single" w:sz="12" w:space="0" w:color="000000"/>
            </w:tcBorders>
            <w:shd w:val="clear" w:color="auto" w:fill="auto"/>
            <w:vAlign w:val="bottom"/>
          </w:tcPr>
          <w:p w14:paraId="4AD15AA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6" w:type="pct"/>
            <w:tcBorders>
              <w:bottom w:val="single" w:sz="12" w:space="0" w:color="000000"/>
            </w:tcBorders>
            <w:vAlign w:val="bottom"/>
          </w:tcPr>
          <w:p w14:paraId="5C8EC60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9" w:type="pct"/>
            <w:tcBorders>
              <w:bottom w:val="single" w:sz="12" w:space="0" w:color="000000"/>
            </w:tcBorders>
            <w:vAlign w:val="bottom"/>
          </w:tcPr>
          <w:p w14:paraId="6C4FD7D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8" w:type="pct"/>
            <w:tcBorders>
              <w:bottom w:val="single" w:sz="12" w:space="0" w:color="000000"/>
            </w:tcBorders>
            <w:vAlign w:val="bottom"/>
          </w:tcPr>
          <w:p w14:paraId="4E17BF5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Borders>
              <w:bottom w:val="single" w:sz="12" w:space="0" w:color="000000"/>
            </w:tcBorders>
            <w:tcMar>
              <w:top w:w="11" w:type="dxa"/>
              <w:left w:w="11" w:type="dxa"/>
              <w:bottom w:w="11" w:type="dxa"/>
              <w:right w:w="11" w:type="dxa"/>
            </w:tcMar>
            <w:vAlign w:val="bottom"/>
          </w:tcPr>
          <w:p w14:paraId="0013AEC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1" w:type="pct"/>
            <w:tcBorders>
              <w:bottom w:val="single" w:sz="12" w:space="0" w:color="000000"/>
            </w:tcBorders>
            <w:tcMar>
              <w:top w:w="11" w:type="dxa"/>
              <w:left w:w="11" w:type="dxa"/>
              <w:bottom w:w="11" w:type="dxa"/>
              <w:right w:w="11" w:type="dxa"/>
            </w:tcMar>
            <w:vAlign w:val="bottom"/>
          </w:tcPr>
          <w:p w14:paraId="0E255AD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69" w:type="pct"/>
            <w:tcBorders>
              <w:bottom w:val="single" w:sz="12" w:space="0" w:color="000000"/>
            </w:tcBorders>
          </w:tcPr>
          <w:p w14:paraId="4A1AD3A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6" w:type="pct"/>
            <w:tcBorders>
              <w:bottom w:val="single" w:sz="12" w:space="0" w:color="000000"/>
            </w:tcBorders>
          </w:tcPr>
          <w:p w14:paraId="02379F1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bl>
    <w:p w14:paraId="7F08ADA3" w14:textId="61D45075" w:rsidR="00D83E33" w:rsidRDefault="00BC4072" w:rsidP="001B330E">
      <w:pPr>
        <w:pStyle w:val="Continued"/>
      </w:pPr>
      <w:r>
        <w:lastRenderedPageBreak/>
        <w:t>31</w:t>
      </w:r>
      <w:r>
        <w:tab/>
        <w:t>Other Comprehensive Income Recognised in Each Component of Equity (Continued)</w:t>
      </w:r>
    </w:p>
    <w:p w14:paraId="0AFA539C" w14:textId="004ADD0D"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Analysis of other comprehensive income by item for each component of equity is as follows for the year ended 31</w:t>
      </w:r>
      <w:r w:rsidR="00181687">
        <w:rPr>
          <w:color w:val="000000"/>
          <w:sz w:val="20"/>
          <w:szCs w:val="20"/>
        </w:rPr>
        <w:t> December </w:t>
      </w:r>
      <w:r w:rsidR="00541EBC">
        <w:rPr>
          <w:color w:val="000000"/>
          <w:sz w:val="20"/>
          <w:szCs w:val="20"/>
        </w:rPr>
        <w:t>2023</w:t>
      </w:r>
      <w:r>
        <w:rPr>
          <w:color w:val="000000"/>
          <w:sz w:val="20"/>
          <w:szCs w:val="20"/>
        </w:rPr>
        <w:t>:</w:t>
      </w:r>
    </w:p>
    <w:tbl>
      <w:tblPr>
        <w:tblStyle w:val="affffffffffff"/>
        <w:tblW w:w="5002" w:type="pct"/>
        <w:tblLayout w:type="fixed"/>
        <w:tblLook w:val="0000" w:firstRow="0" w:lastRow="0" w:firstColumn="0" w:lastColumn="0" w:noHBand="0" w:noVBand="0"/>
      </w:tblPr>
      <w:tblGrid>
        <w:gridCol w:w="1843"/>
        <w:gridCol w:w="285"/>
        <w:gridCol w:w="425"/>
        <w:gridCol w:w="640"/>
        <w:gridCol w:w="657"/>
        <w:gridCol w:w="726"/>
        <w:gridCol w:w="809"/>
        <w:gridCol w:w="719"/>
        <w:gridCol w:w="719"/>
        <w:gridCol w:w="760"/>
        <w:gridCol w:w="558"/>
        <w:gridCol w:w="728"/>
        <w:gridCol w:w="490"/>
      </w:tblGrid>
      <w:tr w:rsidR="00D83E33" w:rsidRPr="008808A3" w14:paraId="7BFBFF0E" w14:textId="77777777" w:rsidTr="00372E26">
        <w:trPr>
          <w:trHeight w:val="23"/>
          <w:tblHeader/>
        </w:trPr>
        <w:tc>
          <w:tcPr>
            <w:tcW w:w="985" w:type="pct"/>
            <w:vAlign w:val="bottom"/>
          </w:tcPr>
          <w:p w14:paraId="406631DB" w14:textId="77777777" w:rsidR="00D83E33" w:rsidRPr="008808A3" w:rsidRDefault="00D83E33" w:rsidP="001B330E">
            <w:pPr>
              <w:widowControl w:val="0"/>
              <w:pBdr>
                <w:top w:val="nil"/>
                <w:left w:val="nil"/>
                <w:bottom w:val="nil"/>
                <w:right w:val="nil"/>
                <w:between w:val="nil"/>
              </w:pBdr>
              <w:ind w:left="113" w:hanging="113"/>
              <w:rPr>
                <w:b/>
                <w:color w:val="000000"/>
                <w:spacing w:val="-4"/>
                <w:sz w:val="16"/>
                <w:szCs w:val="16"/>
              </w:rPr>
            </w:pPr>
          </w:p>
        </w:tc>
        <w:tc>
          <w:tcPr>
            <w:tcW w:w="152" w:type="pct"/>
            <w:vAlign w:val="bottom"/>
          </w:tcPr>
          <w:p w14:paraId="2B938284"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3212" w:type="pct"/>
            <w:gridSpan w:val="9"/>
            <w:vAlign w:val="bottom"/>
          </w:tcPr>
          <w:p w14:paraId="5502C144" w14:textId="77777777" w:rsidR="00D83E33" w:rsidRPr="008808A3" w:rsidRDefault="00BC4072">
            <w:pPr>
              <w:widowControl w:val="0"/>
              <w:pBdr>
                <w:top w:val="nil"/>
                <w:left w:val="nil"/>
                <w:bottom w:val="nil"/>
                <w:right w:val="nil"/>
                <w:between w:val="nil"/>
              </w:pBdr>
              <w:jc w:val="center"/>
              <w:rPr>
                <w:color w:val="000000"/>
                <w:spacing w:val="-4"/>
                <w:sz w:val="16"/>
                <w:szCs w:val="16"/>
              </w:rPr>
            </w:pPr>
            <w:r w:rsidRPr="008808A3">
              <w:rPr>
                <w:b/>
                <w:color w:val="000000"/>
                <w:spacing w:val="-4"/>
                <w:sz w:val="16"/>
                <w:szCs w:val="16"/>
              </w:rPr>
              <w:t>Attributable to owners of the Bank</w:t>
            </w:r>
          </w:p>
        </w:tc>
        <w:tc>
          <w:tcPr>
            <w:tcW w:w="389" w:type="pct"/>
            <w:vMerge w:val="restart"/>
          </w:tcPr>
          <w:p w14:paraId="65BD3A33"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 xml:space="preserve">Non-controll-ing </w:t>
            </w:r>
          </w:p>
          <w:p w14:paraId="276E90F8" w14:textId="77777777" w:rsidR="00D83E33" w:rsidRPr="008808A3" w:rsidRDefault="00BC4072">
            <w:pPr>
              <w:widowControl w:val="0"/>
              <w:pBdr>
                <w:top w:val="nil"/>
                <w:left w:val="nil"/>
                <w:bottom w:val="nil"/>
                <w:right w:val="nil"/>
                <w:between w:val="nil"/>
              </w:pBdr>
              <w:ind w:left="-113"/>
              <w:jc w:val="right"/>
              <w:rPr>
                <w:color w:val="000000"/>
                <w:spacing w:val="-4"/>
                <w:sz w:val="16"/>
                <w:szCs w:val="16"/>
              </w:rPr>
            </w:pPr>
            <w:r w:rsidRPr="008808A3">
              <w:rPr>
                <w:b/>
                <w:color w:val="000000"/>
                <w:spacing w:val="-4"/>
                <w:sz w:val="16"/>
                <w:szCs w:val="16"/>
              </w:rPr>
              <w:t>Interest</w:t>
            </w:r>
          </w:p>
        </w:tc>
        <w:tc>
          <w:tcPr>
            <w:tcW w:w="262" w:type="pct"/>
            <w:vMerge w:val="restart"/>
            <w:tcMar>
              <w:top w:w="11" w:type="dxa"/>
              <w:left w:w="11" w:type="dxa"/>
              <w:bottom w:w="11" w:type="dxa"/>
              <w:right w:w="11" w:type="dxa"/>
            </w:tcMar>
          </w:tcPr>
          <w:p w14:paraId="57BC36C9" w14:textId="77777777" w:rsidR="00D83E33" w:rsidRPr="008808A3" w:rsidRDefault="00BC4072" w:rsidP="001B330E">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Total</w:t>
            </w:r>
          </w:p>
          <w:p w14:paraId="6A8E9BCD" w14:textId="77777777" w:rsidR="00D83E33" w:rsidRPr="008808A3" w:rsidRDefault="00BC4072" w:rsidP="001B330E">
            <w:pPr>
              <w:widowControl w:val="0"/>
              <w:pBdr>
                <w:top w:val="nil"/>
                <w:left w:val="nil"/>
                <w:bottom w:val="nil"/>
                <w:right w:val="nil"/>
                <w:between w:val="nil"/>
              </w:pBdr>
              <w:ind w:left="-113"/>
              <w:jc w:val="right"/>
              <w:rPr>
                <w:color w:val="000000"/>
                <w:spacing w:val="-4"/>
                <w:sz w:val="16"/>
                <w:szCs w:val="16"/>
              </w:rPr>
            </w:pPr>
            <w:r w:rsidRPr="008808A3">
              <w:rPr>
                <w:b/>
                <w:color w:val="000000"/>
                <w:spacing w:val="-4"/>
                <w:sz w:val="16"/>
                <w:szCs w:val="16"/>
              </w:rPr>
              <w:t>equity</w:t>
            </w:r>
          </w:p>
        </w:tc>
      </w:tr>
      <w:tr w:rsidR="004607BE" w:rsidRPr="008808A3" w14:paraId="093C555C" w14:textId="77777777" w:rsidTr="00372E26">
        <w:trPr>
          <w:trHeight w:val="23"/>
          <w:tblHeader/>
        </w:trPr>
        <w:tc>
          <w:tcPr>
            <w:tcW w:w="985" w:type="pct"/>
            <w:tcBorders>
              <w:bottom w:val="single" w:sz="4" w:space="0" w:color="000000"/>
            </w:tcBorders>
            <w:vAlign w:val="bottom"/>
          </w:tcPr>
          <w:p w14:paraId="0D74B865" w14:textId="6870C98E" w:rsidR="00D83E33" w:rsidRPr="008808A3" w:rsidRDefault="00313B4D" w:rsidP="001B330E">
            <w:pPr>
              <w:widowControl w:val="0"/>
              <w:pBdr>
                <w:top w:val="nil"/>
                <w:left w:val="nil"/>
                <w:bottom w:val="nil"/>
                <w:right w:val="nil"/>
                <w:between w:val="nil"/>
              </w:pBdr>
              <w:ind w:left="113" w:hanging="113"/>
              <w:rPr>
                <w:b/>
                <w:color w:val="000000"/>
                <w:spacing w:val="-4"/>
                <w:sz w:val="16"/>
                <w:szCs w:val="16"/>
              </w:rPr>
            </w:pPr>
            <w:r w:rsidRPr="008808A3">
              <w:rPr>
                <w:i/>
                <w:color w:val="000000"/>
                <w:spacing w:val="-4"/>
                <w:sz w:val="16"/>
                <w:szCs w:val="16"/>
              </w:rPr>
              <w:t xml:space="preserve">In thousands of </w:t>
            </w:r>
            <w:r w:rsidR="002649EE" w:rsidRPr="008808A3">
              <w:rPr>
                <w:i/>
                <w:color w:val="000000"/>
                <w:spacing w:val="-4"/>
                <w:sz w:val="16"/>
                <w:szCs w:val="16"/>
              </w:rPr>
              <w:t>EUR</w:t>
            </w:r>
          </w:p>
        </w:tc>
        <w:tc>
          <w:tcPr>
            <w:tcW w:w="152" w:type="pct"/>
            <w:tcBorders>
              <w:bottom w:val="single" w:sz="4" w:space="0" w:color="000000"/>
            </w:tcBorders>
            <w:vAlign w:val="bottom"/>
          </w:tcPr>
          <w:p w14:paraId="51D2BB5B" w14:textId="77777777" w:rsidR="00D83E33" w:rsidRPr="008808A3" w:rsidRDefault="00BC4072" w:rsidP="001B330E">
            <w:pPr>
              <w:widowControl w:val="0"/>
              <w:pBdr>
                <w:top w:val="nil"/>
                <w:left w:val="nil"/>
                <w:bottom w:val="nil"/>
                <w:right w:val="nil"/>
                <w:between w:val="nil"/>
              </w:pBdr>
              <w:ind w:left="-57" w:right="-57"/>
              <w:jc w:val="center"/>
              <w:rPr>
                <w:color w:val="000000"/>
                <w:spacing w:val="-4"/>
                <w:sz w:val="16"/>
                <w:szCs w:val="16"/>
              </w:rPr>
            </w:pPr>
            <w:r w:rsidRPr="008808A3">
              <w:rPr>
                <w:b/>
                <w:color w:val="000000"/>
                <w:spacing w:val="-4"/>
                <w:sz w:val="16"/>
                <w:szCs w:val="16"/>
              </w:rPr>
              <w:t>Note</w:t>
            </w:r>
          </w:p>
        </w:tc>
        <w:tc>
          <w:tcPr>
            <w:tcW w:w="227" w:type="pct"/>
            <w:tcBorders>
              <w:top w:val="single" w:sz="4" w:space="0" w:color="000000"/>
              <w:bottom w:val="single" w:sz="4" w:space="0" w:color="000000"/>
            </w:tcBorders>
          </w:tcPr>
          <w:p w14:paraId="1C6A6289"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Share</w:t>
            </w:r>
          </w:p>
          <w:p w14:paraId="3852D865" w14:textId="72886F9B" w:rsidR="00D83E33" w:rsidRPr="008808A3" w:rsidRDefault="00B36E8E">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lang w:val="ru-RU"/>
              </w:rPr>
              <w:t>с</w:t>
            </w:r>
            <w:r w:rsidR="00BC4072" w:rsidRPr="008808A3">
              <w:rPr>
                <w:b/>
                <w:color w:val="000000"/>
                <w:spacing w:val="-4"/>
                <w:sz w:val="16"/>
                <w:szCs w:val="16"/>
              </w:rPr>
              <w:t>api</w:t>
            </w:r>
            <w:r w:rsidRPr="008808A3">
              <w:rPr>
                <w:b/>
                <w:color w:val="000000"/>
                <w:spacing w:val="-4"/>
                <w:sz w:val="16"/>
                <w:szCs w:val="16"/>
                <w:lang w:val="ru-RU"/>
              </w:rPr>
              <w:t>-</w:t>
            </w:r>
            <w:r w:rsidR="00BC4072" w:rsidRPr="008808A3">
              <w:rPr>
                <w:b/>
                <w:color w:val="000000"/>
                <w:spacing w:val="-4"/>
                <w:sz w:val="16"/>
                <w:szCs w:val="16"/>
              </w:rPr>
              <w:t>tal</w:t>
            </w:r>
          </w:p>
        </w:tc>
        <w:tc>
          <w:tcPr>
            <w:tcW w:w="342" w:type="pct"/>
            <w:tcBorders>
              <w:top w:val="single" w:sz="4" w:space="0" w:color="000000"/>
              <w:bottom w:val="single" w:sz="4" w:space="0" w:color="000000"/>
            </w:tcBorders>
          </w:tcPr>
          <w:p w14:paraId="5D445E20"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Share pre-mium</w:t>
            </w:r>
          </w:p>
        </w:tc>
        <w:tc>
          <w:tcPr>
            <w:tcW w:w="351" w:type="pct"/>
            <w:tcBorders>
              <w:top w:val="single" w:sz="4" w:space="0" w:color="000000"/>
              <w:bottom w:val="single" w:sz="4" w:space="0" w:color="000000"/>
            </w:tcBorders>
            <w:shd w:val="clear" w:color="auto" w:fill="auto"/>
          </w:tcPr>
          <w:p w14:paraId="22DBDDC0"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Perpe-tual bonds</w:t>
            </w:r>
          </w:p>
        </w:tc>
        <w:tc>
          <w:tcPr>
            <w:tcW w:w="388" w:type="pct"/>
            <w:tcBorders>
              <w:top w:val="single" w:sz="4" w:space="0" w:color="000000"/>
              <w:bottom w:val="single" w:sz="4" w:space="0" w:color="000000"/>
            </w:tcBorders>
            <w:shd w:val="clear" w:color="auto" w:fill="auto"/>
          </w:tcPr>
          <w:p w14:paraId="67D6C658"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Revalu-ation reserve for invest-ment secure-ties at FVOCI</w:t>
            </w:r>
          </w:p>
        </w:tc>
        <w:tc>
          <w:tcPr>
            <w:tcW w:w="432" w:type="pct"/>
            <w:tcBorders>
              <w:top w:val="single" w:sz="4" w:space="0" w:color="000000"/>
              <w:bottom w:val="single" w:sz="4" w:space="0" w:color="000000"/>
            </w:tcBorders>
          </w:tcPr>
          <w:p w14:paraId="358415A1"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 xml:space="preserve">Revalu-ation of financial liabilities attribu-table to own credit risk </w:t>
            </w:r>
          </w:p>
        </w:tc>
        <w:tc>
          <w:tcPr>
            <w:tcW w:w="384" w:type="pct"/>
            <w:tcBorders>
              <w:top w:val="single" w:sz="4" w:space="0" w:color="000000"/>
              <w:bottom w:val="single" w:sz="4" w:space="0" w:color="000000"/>
            </w:tcBorders>
          </w:tcPr>
          <w:p w14:paraId="273E9E67"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Reva-luation reserve for pre-mises</w:t>
            </w:r>
          </w:p>
        </w:tc>
        <w:tc>
          <w:tcPr>
            <w:tcW w:w="384" w:type="pct"/>
            <w:tcBorders>
              <w:top w:val="single" w:sz="4" w:space="0" w:color="000000"/>
              <w:bottom w:val="single" w:sz="4" w:space="0" w:color="000000"/>
            </w:tcBorders>
          </w:tcPr>
          <w:p w14:paraId="284F91E3"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Cur-rency trans-lation reserve</w:t>
            </w:r>
          </w:p>
        </w:tc>
        <w:tc>
          <w:tcPr>
            <w:tcW w:w="406" w:type="pct"/>
            <w:tcBorders>
              <w:top w:val="single" w:sz="4" w:space="0" w:color="000000"/>
              <w:bottom w:val="single" w:sz="4" w:space="0" w:color="000000"/>
            </w:tcBorders>
          </w:tcPr>
          <w:p w14:paraId="0F9C7B59"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Re-tained</w:t>
            </w:r>
          </w:p>
          <w:p w14:paraId="0134BC8F"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ear-nings</w:t>
            </w:r>
            <w:r w:rsidRPr="008808A3">
              <w:rPr>
                <w:b/>
                <w:color w:val="000000"/>
                <w:spacing w:val="-4"/>
                <w:sz w:val="16"/>
                <w:szCs w:val="16"/>
              </w:rPr>
              <w:br/>
            </w:r>
            <w:r w:rsidRPr="008808A3">
              <w:rPr>
                <w:b/>
                <w:color w:val="0000FF"/>
                <w:spacing w:val="-4"/>
                <w:sz w:val="16"/>
                <w:szCs w:val="16"/>
              </w:rPr>
              <w:t>[Accu-mulated deficit]</w:t>
            </w:r>
          </w:p>
        </w:tc>
        <w:tc>
          <w:tcPr>
            <w:tcW w:w="298" w:type="pct"/>
            <w:tcBorders>
              <w:top w:val="single" w:sz="4" w:space="0" w:color="000000"/>
              <w:bottom w:val="single" w:sz="4" w:space="0" w:color="000000"/>
            </w:tcBorders>
          </w:tcPr>
          <w:p w14:paraId="5F326867" w14:textId="77777777" w:rsidR="00D83E33" w:rsidRPr="008808A3" w:rsidRDefault="00BC4072">
            <w:pPr>
              <w:widowControl w:val="0"/>
              <w:pBdr>
                <w:top w:val="nil"/>
                <w:left w:val="nil"/>
                <w:bottom w:val="nil"/>
                <w:right w:val="nil"/>
                <w:between w:val="nil"/>
              </w:pBdr>
              <w:ind w:left="-113"/>
              <w:jc w:val="right"/>
              <w:rPr>
                <w:b/>
                <w:color w:val="000000"/>
                <w:spacing w:val="-4"/>
                <w:sz w:val="16"/>
                <w:szCs w:val="16"/>
              </w:rPr>
            </w:pPr>
            <w:r w:rsidRPr="008808A3">
              <w:rPr>
                <w:b/>
                <w:color w:val="000000"/>
                <w:spacing w:val="-4"/>
                <w:sz w:val="16"/>
                <w:szCs w:val="16"/>
              </w:rPr>
              <w:t>Total</w:t>
            </w:r>
          </w:p>
        </w:tc>
        <w:tc>
          <w:tcPr>
            <w:tcW w:w="389" w:type="pct"/>
            <w:vMerge/>
            <w:tcBorders>
              <w:bottom w:val="single" w:sz="4" w:space="0" w:color="auto"/>
            </w:tcBorders>
          </w:tcPr>
          <w:p w14:paraId="2BDC28F0" w14:textId="77777777" w:rsidR="00D83E33" w:rsidRPr="008808A3" w:rsidRDefault="00D83E33" w:rsidP="001B330E">
            <w:pPr>
              <w:widowControl w:val="0"/>
              <w:pBdr>
                <w:top w:val="nil"/>
                <w:left w:val="nil"/>
                <w:bottom w:val="nil"/>
                <w:right w:val="nil"/>
                <w:between w:val="nil"/>
              </w:pBdr>
              <w:rPr>
                <w:b/>
                <w:color w:val="000000"/>
                <w:spacing w:val="-4"/>
                <w:sz w:val="16"/>
                <w:szCs w:val="16"/>
              </w:rPr>
            </w:pPr>
          </w:p>
        </w:tc>
        <w:tc>
          <w:tcPr>
            <w:tcW w:w="262" w:type="pct"/>
            <w:vMerge/>
            <w:tcBorders>
              <w:bottom w:val="single" w:sz="4" w:space="0" w:color="auto"/>
            </w:tcBorders>
            <w:tcMar>
              <w:top w:w="11" w:type="dxa"/>
              <w:left w:w="11" w:type="dxa"/>
              <w:bottom w:w="11" w:type="dxa"/>
              <w:right w:w="11" w:type="dxa"/>
            </w:tcMar>
          </w:tcPr>
          <w:p w14:paraId="381B453F" w14:textId="77777777" w:rsidR="00D83E33" w:rsidRPr="008808A3" w:rsidRDefault="00D83E33" w:rsidP="001B330E">
            <w:pPr>
              <w:widowControl w:val="0"/>
              <w:pBdr>
                <w:top w:val="nil"/>
                <w:left w:val="nil"/>
                <w:bottom w:val="nil"/>
                <w:right w:val="nil"/>
                <w:between w:val="nil"/>
              </w:pBdr>
              <w:rPr>
                <w:b/>
                <w:color w:val="000000"/>
                <w:spacing w:val="-4"/>
                <w:sz w:val="16"/>
                <w:szCs w:val="16"/>
              </w:rPr>
            </w:pPr>
          </w:p>
        </w:tc>
      </w:tr>
      <w:tr w:rsidR="004607BE" w:rsidRPr="008808A3" w14:paraId="1150A44D" w14:textId="77777777" w:rsidTr="00372E26">
        <w:trPr>
          <w:trHeight w:val="23"/>
        </w:trPr>
        <w:tc>
          <w:tcPr>
            <w:tcW w:w="985" w:type="pct"/>
            <w:vAlign w:val="bottom"/>
          </w:tcPr>
          <w:p w14:paraId="6AA36B3C" w14:textId="77777777" w:rsidR="00D83E33" w:rsidRPr="008808A3" w:rsidRDefault="00D83E33" w:rsidP="001B330E">
            <w:pPr>
              <w:widowControl w:val="0"/>
              <w:pBdr>
                <w:top w:val="nil"/>
                <w:left w:val="nil"/>
                <w:bottom w:val="nil"/>
                <w:right w:val="nil"/>
                <w:between w:val="nil"/>
              </w:pBdr>
              <w:ind w:left="113" w:hanging="113"/>
              <w:rPr>
                <w:b/>
                <w:color w:val="000000"/>
                <w:spacing w:val="-4"/>
                <w:sz w:val="16"/>
                <w:szCs w:val="16"/>
              </w:rPr>
            </w:pPr>
          </w:p>
        </w:tc>
        <w:tc>
          <w:tcPr>
            <w:tcW w:w="152" w:type="pct"/>
            <w:vAlign w:val="bottom"/>
          </w:tcPr>
          <w:p w14:paraId="1A55BB36" w14:textId="77777777" w:rsidR="00D83E33" w:rsidRPr="008808A3" w:rsidRDefault="00D83E33" w:rsidP="001B330E">
            <w:pPr>
              <w:widowControl w:val="0"/>
              <w:pBdr>
                <w:top w:val="nil"/>
                <w:left w:val="nil"/>
                <w:bottom w:val="nil"/>
                <w:right w:val="nil"/>
                <w:between w:val="nil"/>
              </w:pBdr>
              <w:ind w:left="-57" w:right="-57"/>
              <w:jc w:val="center"/>
              <w:rPr>
                <w:b/>
                <w:color w:val="000000"/>
                <w:spacing w:val="-4"/>
                <w:sz w:val="16"/>
                <w:szCs w:val="16"/>
              </w:rPr>
            </w:pPr>
          </w:p>
        </w:tc>
        <w:tc>
          <w:tcPr>
            <w:tcW w:w="227" w:type="pct"/>
            <w:shd w:val="clear" w:color="auto" w:fill="auto"/>
            <w:vAlign w:val="bottom"/>
          </w:tcPr>
          <w:p w14:paraId="65FBB4FF"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42" w:type="pct"/>
            <w:shd w:val="clear" w:color="auto" w:fill="auto"/>
            <w:vAlign w:val="bottom"/>
          </w:tcPr>
          <w:p w14:paraId="045B8530"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51" w:type="pct"/>
            <w:vAlign w:val="bottom"/>
          </w:tcPr>
          <w:p w14:paraId="46114127"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88" w:type="pct"/>
            <w:shd w:val="clear" w:color="auto" w:fill="auto"/>
            <w:vAlign w:val="bottom"/>
          </w:tcPr>
          <w:p w14:paraId="1EFD5048"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432" w:type="pct"/>
            <w:vAlign w:val="bottom"/>
          </w:tcPr>
          <w:p w14:paraId="76FDAF32"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84" w:type="pct"/>
            <w:vAlign w:val="bottom"/>
          </w:tcPr>
          <w:p w14:paraId="7D371795"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84" w:type="pct"/>
            <w:vAlign w:val="bottom"/>
          </w:tcPr>
          <w:p w14:paraId="4590AA3C"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406" w:type="pct"/>
            <w:tcMar>
              <w:top w:w="11" w:type="dxa"/>
              <w:left w:w="11" w:type="dxa"/>
              <w:bottom w:w="11" w:type="dxa"/>
              <w:right w:w="11" w:type="dxa"/>
            </w:tcMar>
            <w:vAlign w:val="bottom"/>
          </w:tcPr>
          <w:p w14:paraId="59DFAA6B" w14:textId="77777777" w:rsidR="00D83E33" w:rsidRPr="008808A3" w:rsidRDefault="00D83E33" w:rsidP="001B330E">
            <w:pPr>
              <w:widowControl w:val="0"/>
              <w:pBdr>
                <w:top w:val="nil"/>
                <w:left w:val="nil"/>
                <w:bottom w:val="nil"/>
                <w:right w:val="nil"/>
                <w:between w:val="nil"/>
              </w:pBdr>
              <w:ind w:right="113"/>
              <w:jc w:val="right"/>
              <w:rPr>
                <w:b/>
                <w:color w:val="000000"/>
                <w:spacing w:val="-4"/>
                <w:sz w:val="16"/>
                <w:szCs w:val="16"/>
              </w:rPr>
            </w:pPr>
          </w:p>
        </w:tc>
        <w:tc>
          <w:tcPr>
            <w:tcW w:w="298" w:type="pct"/>
            <w:tcMar>
              <w:top w:w="11" w:type="dxa"/>
              <w:left w:w="11" w:type="dxa"/>
              <w:bottom w:w="11" w:type="dxa"/>
              <w:right w:w="11" w:type="dxa"/>
            </w:tcMar>
            <w:vAlign w:val="bottom"/>
          </w:tcPr>
          <w:p w14:paraId="7499B6EA" w14:textId="77777777" w:rsidR="00D83E33" w:rsidRPr="008808A3" w:rsidRDefault="00D83E33" w:rsidP="001B330E">
            <w:pPr>
              <w:widowControl w:val="0"/>
              <w:pBdr>
                <w:top w:val="nil"/>
                <w:left w:val="nil"/>
                <w:bottom w:val="nil"/>
                <w:right w:val="nil"/>
                <w:between w:val="nil"/>
              </w:pBdr>
              <w:ind w:right="113"/>
              <w:jc w:val="right"/>
              <w:rPr>
                <w:b/>
                <w:color w:val="000000"/>
                <w:spacing w:val="-4"/>
                <w:sz w:val="16"/>
                <w:szCs w:val="16"/>
              </w:rPr>
            </w:pPr>
          </w:p>
        </w:tc>
        <w:tc>
          <w:tcPr>
            <w:tcW w:w="389" w:type="pct"/>
            <w:tcBorders>
              <w:top w:val="single" w:sz="4" w:space="0" w:color="auto"/>
            </w:tcBorders>
          </w:tcPr>
          <w:p w14:paraId="480B2C5D"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262" w:type="pct"/>
            <w:tcBorders>
              <w:top w:val="single" w:sz="4" w:space="0" w:color="auto"/>
            </w:tcBorders>
          </w:tcPr>
          <w:p w14:paraId="6FB1C147"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r>
      <w:tr w:rsidR="004607BE" w:rsidRPr="008808A3" w14:paraId="0620A4D8" w14:textId="77777777" w:rsidTr="00372E26">
        <w:trPr>
          <w:trHeight w:val="23"/>
        </w:trPr>
        <w:tc>
          <w:tcPr>
            <w:tcW w:w="985" w:type="pct"/>
            <w:vAlign w:val="bottom"/>
          </w:tcPr>
          <w:p w14:paraId="5DBBD9D7" w14:textId="530EDA38" w:rsidR="00D83E33" w:rsidRPr="008808A3" w:rsidRDefault="00BC4072" w:rsidP="001B330E">
            <w:pPr>
              <w:widowControl w:val="0"/>
              <w:pBdr>
                <w:top w:val="nil"/>
                <w:left w:val="nil"/>
                <w:bottom w:val="nil"/>
                <w:right w:val="nil"/>
                <w:between w:val="nil"/>
              </w:pBdr>
              <w:ind w:left="113" w:hanging="113"/>
              <w:rPr>
                <w:b/>
                <w:color w:val="000000"/>
                <w:spacing w:val="-4"/>
                <w:sz w:val="16"/>
                <w:szCs w:val="16"/>
              </w:rPr>
            </w:pPr>
            <w:r w:rsidRPr="008808A3">
              <w:rPr>
                <w:b/>
                <w:color w:val="000000"/>
                <w:spacing w:val="-4"/>
                <w:sz w:val="16"/>
                <w:szCs w:val="16"/>
              </w:rPr>
              <w:t xml:space="preserve">Year ended </w:t>
            </w:r>
            <w:r w:rsidRPr="008808A3">
              <w:rPr>
                <w:b/>
                <w:color w:val="000000"/>
                <w:spacing w:val="-4"/>
                <w:sz w:val="16"/>
                <w:szCs w:val="16"/>
              </w:rPr>
              <w:br/>
              <w:t>31</w:t>
            </w:r>
            <w:r w:rsidR="00181687" w:rsidRPr="008808A3">
              <w:rPr>
                <w:b/>
                <w:color w:val="000000"/>
                <w:spacing w:val="-4"/>
                <w:sz w:val="16"/>
                <w:szCs w:val="16"/>
              </w:rPr>
              <w:t> December </w:t>
            </w:r>
            <w:r w:rsidR="00541EBC">
              <w:rPr>
                <w:b/>
                <w:color w:val="000000"/>
                <w:spacing w:val="-4"/>
                <w:sz w:val="16"/>
                <w:szCs w:val="16"/>
              </w:rPr>
              <w:t>2023</w:t>
            </w:r>
          </w:p>
        </w:tc>
        <w:tc>
          <w:tcPr>
            <w:tcW w:w="152" w:type="pct"/>
            <w:vAlign w:val="bottom"/>
          </w:tcPr>
          <w:p w14:paraId="0AA0EBF8" w14:textId="77777777" w:rsidR="00D83E33" w:rsidRPr="008808A3" w:rsidRDefault="00D83E33" w:rsidP="001B330E">
            <w:pPr>
              <w:widowControl w:val="0"/>
              <w:pBdr>
                <w:top w:val="nil"/>
                <w:left w:val="nil"/>
                <w:bottom w:val="nil"/>
                <w:right w:val="nil"/>
                <w:between w:val="nil"/>
              </w:pBdr>
              <w:ind w:left="-57" w:right="-57"/>
              <w:jc w:val="center"/>
              <w:rPr>
                <w:b/>
                <w:color w:val="000000"/>
                <w:spacing w:val="-4"/>
                <w:sz w:val="16"/>
                <w:szCs w:val="16"/>
              </w:rPr>
            </w:pPr>
          </w:p>
        </w:tc>
        <w:tc>
          <w:tcPr>
            <w:tcW w:w="227" w:type="pct"/>
            <w:shd w:val="clear" w:color="auto" w:fill="auto"/>
            <w:vAlign w:val="bottom"/>
          </w:tcPr>
          <w:p w14:paraId="5A893AEB"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42" w:type="pct"/>
            <w:shd w:val="clear" w:color="auto" w:fill="auto"/>
            <w:vAlign w:val="bottom"/>
          </w:tcPr>
          <w:p w14:paraId="5DA6418E"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51" w:type="pct"/>
            <w:vAlign w:val="bottom"/>
          </w:tcPr>
          <w:p w14:paraId="4E2DCBE9"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88" w:type="pct"/>
            <w:shd w:val="clear" w:color="auto" w:fill="auto"/>
            <w:vAlign w:val="bottom"/>
          </w:tcPr>
          <w:p w14:paraId="4DF495FE"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432" w:type="pct"/>
            <w:vAlign w:val="bottom"/>
          </w:tcPr>
          <w:p w14:paraId="3B2AFDC7"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84" w:type="pct"/>
            <w:vAlign w:val="bottom"/>
          </w:tcPr>
          <w:p w14:paraId="7B568039"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384" w:type="pct"/>
            <w:vAlign w:val="bottom"/>
          </w:tcPr>
          <w:p w14:paraId="40820F1B"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406" w:type="pct"/>
            <w:tcMar>
              <w:top w:w="11" w:type="dxa"/>
              <w:left w:w="11" w:type="dxa"/>
              <w:bottom w:w="11" w:type="dxa"/>
              <w:right w:w="11" w:type="dxa"/>
            </w:tcMar>
            <w:vAlign w:val="bottom"/>
          </w:tcPr>
          <w:p w14:paraId="588A5726" w14:textId="77777777" w:rsidR="00D83E33" w:rsidRPr="008808A3" w:rsidRDefault="00D83E33" w:rsidP="001B330E">
            <w:pPr>
              <w:widowControl w:val="0"/>
              <w:pBdr>
                <w:top w:val="nil"/>
                <w:left w:val="nil"/>
                <w:bottom w:val="nil"/>
                <w:right w:val="nil"/>
                <w:between w:val="nil"/>
              </w:pBdr>
              <w:ind w:right="113"/>
              <w:jc w:val="right"/>
              <w:rPr>
                <w:b/>
                <w:color w:val="000000"/>
                <w:spacing w:val="-4"/>
                <w:sz w:val="16"/>
                <w:szCs w:val="16"/>
              </w:rPr>
            </w:pPr>
          </w:p>
        </w:tc>
        <w:tc>
          <w:tcPr>
            <w:tcW w:w="298" w:type="pct"/>
            <w:tcMar>
              <w:top w:w="11" w:type="dxa"/>
              <w:left w:w="11" w:type="dxa"/>
              <w:bottom w:w="11" w:type="dxa"/>
              <w:right w:w="11" w:type="dxa"/>
            </w:tcMar>
            <w:vAlign w:val="bottom"/>
          </w:tcPr>
          <w:p w14:paraId="4E3E2C90" w14:textId="77777777" w:rsidR="00D83E33" w:rsidRPr="008808A3" w:rsidRDefault="00D83E33" w:rsidP="001B330E">
            <w:pPr>
              <w:widowControl w:val="0"/>
              <w:pBdr>
                <w:top w:val="nil"/>
                <w:left w:val="nil"/>
                <w:bottom w:val="nil"/>
                <w:right w:val="nil"/>
                <w:between w:val="nil"/>
              </w:pBdr>
              <w:ind w:right="113"/>
              <w:jc w:val="right"/>
              <w:rPr>
                <w:b/>
                <w:color w:val="000000"/>
                <w:spacing w:val="-4"/>
                <w:sz w:val="16"/>
                <w:szCs w:val="16"/>
              </w:rPr>
            </w:pPr>
          </w:p>
        </w:tc>
        <w:tc>
          <w:tcPr>
            <w:tcW w:w="389" w:type="pct"/>
          </w:tcPr>
          <w:p w14:paraId="42406F66"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c>
          <w:tcPr>
            <w:tcW w:w="262" w:type="pct"/>
          </w:tcPr>
          <w:p w14:paraId="3CFE62CA" w14:textId="77777777" w:rsidR="00D83E33" w:rsidRPr="008808A3" w:rsidRDefault="00D83E33">
            <w:pPr>
              <w:widowControl w:val="0"/>
              <w:pBdr>
                <w:top w:val="nil"/>
                <w:left w:val="nil"/>
                <w:bottom w:val="nil"/>
                <w:right w:val="nil"/>
                <w:between w:val="nil"/>
              </w:pBdr>
              <w:jc w:val="right"/>
              <w:rPr>
                <w:b/>
                <w:color w:val="000000"/>
                <w:spacing w:val="-4"/>
                <w:sz w:val="16"/>
                <w:szCs w:val="16"/>
              </w:rPr>
            </w:pPr>
          </w:p>
        </w:tc>
      </w:tr>
      <w:tr w:rsidR="004607BE" w:rsidRPr="008808A3" w14:paraId="693897CF" w14:textId="77777777" w:rsidTr="00372E26">
        <w:trPr>
          <w:trHeight w:val="23"/>
        </w:trPr>
        <w:tc>
          <w:tcPr>
            <w:tcW w:w="985" w:type="pct"/>
            <w:vAlign w:val="bottom"/>
          </w:tcPr>
          <w:p w14:paraId="2D60B48F" w14:textId="77777777" w:rsidR="00D83E33" w:rsidRPr="008808A3" w:rsidRDefault="00D83E33" w:rsidP="001B330E">
            <w:pPr>
              <w:widowControl w:val="0"/>
              <w:pBdr>
                <w:top w:val="nil"/>
                <w:left w:val="nil"/>
                <w:bottom w:val="nil"/>
                <w:right w:val="nil"/>
                <w:between w:val="nil"/>
              </w:pBdr>
              <w:ind w:left="113" w:hanging="113"/>
              <w:rPr>
                <w:color w:val="000000"/>
                <w:spacing w:val="-4"/>
                <w:sz w:val="16"/>
                <w:szCs w:val="16"/>
              </w:rPr>
            </w:pPr>
          </w:p>
        </w:tc>
        <w:tc>
          <w:tcPr>
            <w:tcW w:w="152" w:type="pct"/>
            <w:vAlign w:val="bottom"/>
          </w:tcPr>
          <w:p w14:paraId="71FB8D5D"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5A6B2A8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5C4CA0D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02C4343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3C1444C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70A03AF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4E04474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152ED4A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40A088B8"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69A9DF52"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34E93CE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72D179B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0D3A2D6C" w14:textId="77777777" w:rsidTr="00372E26">
        <w:trPr>
          <w:trHeight w:val="23"/>
        </w:trPr>
        <w:tc>
          <w:tcPr>
            <w:tcW w:w="985" w:type="pct"/>
            <w:vAlign w:val="bottom"/>
          </w:tcPr>
          <w:p w14:paraId="3B24D11E"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Securities at FVOCI:</w:t>
            </w:r>
          </w:p>
        </w:tc>
        <w:tc>
          <w:tcPr>
            <w:tcW w:w="152" w:type="pct"/>
            <w:vAlign w:val="bottom"/>
          </w:tcPr>
          <w:p w14:paraId="0E773B7A"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0F31670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754B2C3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5FED548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2ED0078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7DBD62A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657EFC6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53A6FEB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4886D539"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77AED9A0"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09DFBAE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6710DEA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23BB0DF5" w14:textId="77777777" w:rsidTr="00372E26">
        <w:trPr>
          <w:trHeight w:val="23"/>
        </w:trPr>
        <w:tc>
          <w:tcPr>
            <w:tcW w:w="985" w:type="pct"/>
            <w:vAlign w:val="bottom"/>
          </w:tcPr>
          <w:p w14:paraId="0BED34AC"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 xml:space="preserve">- </w:t>
            </w:r>
            <w:r w:rsidRPr="008808A3">
              <w:rPr>
                <w:color w:val="000000"/>
                <w:spacing w:val="-4"/>
                <w:sz w:val="16"/>
                <w:szCs w:val="16"/>
              </w:rPr>
              <w:tab/>
              <w:t>Gains less losses arising during the year</w:t>
            </w:r>
          </w:p>
        </w:tc>
        <w:tc>
          <w:tcPr>
            <w:tcW w:w="152" w:type="pct"/>
            <w:vAlign w:val="bottom"/>
          </w:tcPr>
          <w:p w14:paraId="260A52F3"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751CEB0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7172231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42B933C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5603131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4F00E22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6FF0C8D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03567FD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2872D50A"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58639F1F"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00DC54D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1FAF50C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77E7F237" w14:textId="77777777" w:rsidTr="00372E26">
        <w:trPr>
          <w:trHeight w:val="23"/>
        </w:trPr>
        <w:tc>
          <w:tcPr>
            <w:tcW w:w="985" w:type="pct"/>
            <w:vAlign w:val="bottom"/>
          </w:tcPr>
          <w:p w14:paraId="5A13344D"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 xml:space="preserve">- </w:t>
            </w:r>
            <w:r w:rsidRPr="008808A3">
              <w:rPr>
                <w:color w:val="000000"/>
                <w:spacing w:val="-4"/>
                <w:sz w:val="16"/>
                <w:szCs w:val="16"/>
              </w:rPr>
              <w:tab/>
              <w:t xml:space="preserve">Gains less losses reclassified to profit or loss on disposal </w:t>
            </w:r>
          </w:p>
        </w:tc>
        <w:tc>
          <w:tcPr>
            <w:tcW w:w="152" w:type="pct"/>
            <w:vAlign w:val="bottom"/>
          </w:tcPr>
          <w:p w14:paraId="2DCA4A53"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449213F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3313CA7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194AD66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670FF67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6A6F5D9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4D67522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0FC8C27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23D956ED"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63E89A10"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6D6B3B1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45C6D50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52D7AF23" w14:textId="77777777" w:rsidTr="00372E26">
        <w:trPr>
          <w:trHeight w:val="23"/>
        </w:trPr>
        <w:tc>
          <w:tcPr>
            <w:tcW w:w="985" w:type="pct"/>
            <w:vAlign w:val="bottom"/>
          </w:tcPr>
          <w:p w14:paraId="1844256A"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Translation of financial information of foreign operations to presentation currency</w:t>
            </w:r>
          </w:p>
        </w:tc>
        <w:tc>
          <w:tcPr>
            <w:tcW w:w="152" w:type="pct"/>
            <w:vAlign w:val="bottom"/>
          </w:tcPr>
          <w:p w14:paraId="095C09AF"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2AEC3E9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4428F8C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72DD85D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3763AFB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0658E50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1B565C4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5B1F3F3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58C869D5"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1B90F636"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2342235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3B51F95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2B5B51CD" w14:textId="77777777" w:rsidTr="00372E26">
        <w:trPr>
          <w:trHeight w:val="23"/>
        </w:trPr>
        <w:tc>
          <w:tcPr>
            <w:tcW w:w="985" w:type="pct"/>
            <w:vAlign w:val="bottom"/>
          </w:tcPr>
          <w:p w14:paraId="3766A975"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Share of other comprehensive income of associates</w:t>
            </w:r>
          </w:p>
        </w:tc>
        <w:tc>
          <w:tcPr>
            <w:tcW w:w="152" w:type="pct"/>
            <w:vAlign w:val="bottom"/>
          </w:tcPr>
          <w:p w14:paraId="787FBBE0"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5757806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52E6BFC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7957D12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390027F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560A751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6A39DF7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493E033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6B0D1C0E"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70FA3A32"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4A978CC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33003E1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0083F1DC" w14:textId="77777777" w:rsidTr="00372E26">
        <w:trPr>
          <w:trHeight w:val="23"/>
        </w:trPr>
        <w:tc>
          <w:tcPr>
            <w:tcW w:w="985" w:type="pct"/>
            <w:vAlign w:val="bottom"/>
          </w:tcPr>
          <w:p w14:paraId="695DDD97"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Income tax recorded directly in other comprehensive income</w:t>
            </w:r>
          </w:p>
        </w:tc>
        <w:tc>
          <w:tcPr>
            <w:tcW w:w="152" w:type="pct"/>
            <w:vAlign w:val="bottom"/>
          </w:tcPr>
          <w:p w14:paraId="510AEBEE"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2B09EFE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3744BCE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63105AF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057E762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5F88318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06E1D79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2117E4B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2CAE10CE"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2CC77DE3"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7C35392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20DE057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095BE6D7" w14:textId="77777777" w:rsidTr="00372E26">
        <w:trPr>
          <w:trHeight w:val="23"/>
        </w:trPr>
        <w:tc>
          <w:tcPr>
            <w:tcW w:w="985" w:type="pct"/>
            <w:vAlign w:val="bottom"/>
          </w:tcPr>
          <w:p w14:paraId="60E239AB"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Gains less losses on investments in equity instruments at FVOCI</w:t>
            </w:r>
          </w:p>
        </w:tc>
        <w:tc>
          <w:tcPr>
            <w:tcW w:w="152" w:type="pct"/>
            <w:vAlign w:val="bottom"/>
          </w:tcPr>
          <w:p w14:paraId="61CB5087"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4FDD369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7483254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6638FA8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32EF73F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273FC42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54552A0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623AB6F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018A332C"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2DD9C1C1"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15EAC76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6AEFB76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4E206427" w14:textId="77777777" w:rsidTr="00372E26">
        <w:trPr>
          <w:trHeight w:val="23"/>
        </w:trPr>
        <w:tc>
          <w:tcPr>
            <w:tcW w:w="985" w:type="pct"/>
            <w:vAlign w:val="bottom"/>
          </w:tcPr>
          <w:p w14:paraId="25B37E14"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Change in fair value attributable to change in the credit risk of financial liabilities at FVTPL</w:t>
            </w:r>
          </w:p>
        </w:tc>
        <w:tc>
          <w:tcPr>
            <w:tcW w:w="152" w:type="pct"/>
            <w:vAlign w:val="bottom"/>
          </w:tcPr>
          <w:p w14:paraId="71F8930A"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682DD54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415CCFC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209ADE5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7051083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6FB5514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19FB808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607ED1B9"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7C408AC2"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53182B89"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614B18B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1900C8B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3A3FCBDB" w14:textId="77777777" w:rsidTr="00372E26">
        <w:trPr>
          <w:trHeight w:val="23"/>
        </w:trPr>
        <w:tc>
          <w:tcPr>
            <w:tcW w:w="985" w:type="pct"/>
            <w:vAlign w:val="bottom"/>
          </w:tcPr>
          <w:p w14:paraId="4BAEFFF0"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Revaluation of premises and equipment</w:t>
            </w:r>
          </w:p>
        </w:tc>
        <w:tc>
          <w:tcPr>
            <w:tcW w:w="152" w:type="pct"/>
            <w:vAlign w:val="bottom"/>
          </w:tcPr>
          <w:p w14:paraId="139D76E0"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1AE63D4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0DCA893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2DFEDF7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25CED17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0A4571E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253092C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537C860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6B2FC124"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22117E29"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1421BCF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6D5A3F6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2FCDED22" w14:textId="77777777" w:rsidTr="00372E26">
        <w:trPr>
          <w:trHeight w:val="23"/>
        </w:trPr>
        <w:tc>
          <w:tcPr>
            <w:tcW w:w="985" w:type="pct"/>
            <w:vAlign w:val="bottom"/>
          </w:tcPr>
          <w:p w14:paraId="3C7C5E43"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Remeasurements of post-employment benefit obligations</w:t>
            </w:r>
          </w:p>
        </w:tc>
        <w:tc>
          <w:tcPr>
            <w:tcW w:w="152" w:type="pct"/>
            <w:vAlign w:val="bottom"/>
          </w:tcPr>
          <w:p w14:paraId="0A38F1AE"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459C62A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1B823EB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6EADEC3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214B069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5648B32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3E0EF43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5EBC535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79D57376"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0CBB6DAE"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0D6B70C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6DD2171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435EBB89" w14:textId="77777777" w:rsidTr="00372E26">
        <w:trPr>
          <w:trHeight w:val="23"/>
        </w:trPr>
        <w:tc>
          <w:tcPr>
            <w:tcW w:w="985" w:type="pct"/>
            <w:vAlign w:val="bottom"/>
          </w:tcPr>
          <w:p w14:paraId="0A0F0859"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color w:val="000000"/>
                <w:spacing w:val="-4"/>
                <w:sz w:val="16"/>
                <w:szCs w:val="16"/>
              </w:rPr>
              <w:t>Income tax recorded directly in other comprehensive income</w:t>
            </w:r>
          </w:p>
        </w:tc>
        <w:tc>
          <w:tcPr>
            <w:tcW w:w="152" w:type="pct"/>
            <w:vAlign w:val="bottom"/>
          </w:tcPr>
          <w:p w14:paraId="7DBFED62"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4702CB8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5145D3E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vAlign w:val="bottom"/>
          </w:tcPr>
          <w:p w14:paraId="7EE0108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shd w:val="clear" w:color="auto" w:fill="auto"/>
            <w:vAlign w:val="bottom"/>
          </w:tcPr>
          <w:p w14:paraId="74E7C8D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7B0FBA7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257043A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5EE096A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6900E3A7"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622A6D16"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10A7C2A8"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0EE35C7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132832C7" w14:textId="77777777" w:rsidTr="00372E26">
        <w:trPr>
          <w:trHeight w:val="23"/>
        </w:trPr>
        <w:tc>
          <w:tcPr>
            <w:tcW w:w="985" w:type="pct"/>
            <w:tcBorders>
              <w:bottom w:val="single" w:sz="4" w:space="0" w:color="000000"/>
            </w:tcBorders>
            <w:vAlign w:val="bottom"/>
          </w:tcPr>
          <w:p w14:paraId="244D581A" w14:textId="77777777" w:rsidR="00D83E33" w:rsidRPr="008808A3" w:rsidRDefault="00D83E33" w:rsidP="001B330E">
            <w:pPr>
              <w:widowControl w:val="0"/>
              <w:pBdr>
                <w:top w:val="nil"/>
                <w:left w:val="nil"/>
                <w:bottom w:val="nil"/>
                <w:right w:val="nil"/>
                <w:between w:val="nil"/>
              </w:pBdr>
              <w:ind w:left="113" w:hanging="113"/>
              <w:rPr>
                <w:color w:val="000000"/>
                <w:spacing w:val="-4"/>
                <w:sz w:val="16"/>
                <w:szCs w:val="16"/>
              </w:rPr>
            </w:pPr>
          </w:p>
        </w:tc>
        <w:tc>
          <w:tcPr>
            <w:tcW w:w="152" w:type="pct"/>
            <w:tcBorders>
              <w:bottom w:val="single" w:sz="4" w:space="0" w:color="000000"/>
            </w:tcBorders>
            <w:vAlign w:val="bottom"/>
          </w:tcPr>
          <w:p w14:paraId="4639B569"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tcBorders>
              <w:bottom w:val="single" w:sz="4" w:space="0" w:color="000000"/>
            </w:tcBorders>
            <w:shd w:val="clear" w:color="auto" w:fill="auto"/>
            <w:vAlign w:val="bottom"/>
          </w:tcPr>
          <w:p w14:paraId="2EF1606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tcBorders>
              <w:bottom w:val="single" w:sz="4" w:space="0" w:color="000000"/>
            </w:tcBorders>
            <w:shd w:val="clear" w:color="auto" w:fill="auto"/>
            <w:vAlign w:val="bottom"/>
          </w:tcPr>
          <w:p w14:paraId="7D0D02E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tcBorders>
              <w:bottom w:val="single" w:sz="4" w:space="0" w:color="000000"/>
            </w:tcBorders>
            <w:vAlign w:val="bottom"/>
          </w:tcPr>
          <w:p w14:paraId="773602F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tcBorders>
              <w:bottom w:val="single" w:sz="4" w:space="0" w:color="000000"/>
            </w:tcBorders>
            <w:shd w:val="clear" w:color="auto" w:fill="auto"/>
            <w:vAlign w:val="bottom"/>
          </w:tcPr>
          <w:p w14:paraId="6E1C482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tcBorders>
              <w:bottom w:val="single" w:sz="4" w:space="0" w:color="000000"/>
            </w:tcBorders>
            <w:vAlign w:val="bottom"/>
          </w:tcPr>
          <w:p w14:paraId="4E0896D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tcBorders>
              <w:bottom w:val="single" w:sz="4" w:space="0" w:color="000000"/>
            </w:tcBorders>
            <w:vAlign w:val="bottom"/>
          </w:tcPr>
          <w:p w14:paraId="3A90C45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tcBorders>
              <w:bottom w:val="single" w:sz="4" w:space="0" w:color="000000"/>
            </w:tcBorders>
            <w:vAlign w:val="bottom"/>
          </w:tcPr>
          <w:p w14:paraId="5EC9744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Borders>
              <w:bottom w:val="single" w:sz="4" w:space="0" w:color="000000"/>
            </w:tcBorders>
            <w:tcMar>
              <w:top w:w="11" w:type="dxa"/>
              <w:left w:w="11" w:type="dxa"/>
              <w:bottom w:w="11" w:type="dxa"/>
              <w:right w:w="11" w:type="dxa"/>
            </w:tcMar>
            <w:vAlign w:val="bottom"/>
          </w:tcPr>
          <w:p w14:paraId="717EC1D9"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Borders>
              <w:bottom w:val="single" w:sz="4" w:space="0" w:color="000000"/>
            </w:tcBorders>
            <w:tcMar>
              <w:top w:w="11" w:type="dxa"/>
              <w:left w:w="11" w:type="dxa"/>
              <w:bottom w:w="11" w:type="dxa"/>
              <w:right w:w="11" w:type="dxa"/>
            </w:tcMar>
            <w:vAlign w:val="bottom"/>
          </w:tcPr>
          <w:p w14:paraId="26DF9DEA"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Borders>
              <w:bottom w:val="single" w:sz="4" w:space="0" w:color="000000"/>
            </w:tcBorders>
          </w:tcPr>
          <w:p w14:paraId="6BB9EC0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Borders>
              <w:bottom w:val="single" w:sz="4" w:space="0" w:color="000000"/>
            </w:tcBorders>
          </w:tcPr>
          <w:p w14:paraId="56A1AAF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43AEA7AC" w14:textId="77777777" w:rsidTr="00372E26">
        <w:trPr>
          <w:trHeight w:val="23"/>
        </w:trPr>
        <w:tc>
          <w:tcPr>
            <w:tcW w:w="985" w:type="pct"/>
            <w:tcBorders>
              <w:top w:val="single" w:sz="4" w:space="0" w:color="000000"/>
            </w:tcBorders>
            <w:vAlign w:val="bottom"/>
          </w:tcPr>
          <w:p w14:paraId="0830B17F"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b/>
                <w:color w:val="000000"/>
                <w:spacing w:val="-4"/>
                <w:sz w:val="16"/>
                <w:szCs w:val="16"/>
              </w:rPr>
              <w:t> </w:t>
            </w:r>
          </w:p>
        </w:tc>
        <w:tc>
          <w:tcPr>
            <w:tcW w:w="152" w:type="pct"/>
            <w:tcBorders>
              <w:top w:val="single" w:sz="4" w:space="0" w:color="000000"/>
            </w:tcBorders>
            <w:vAlign w:val="bottom"/>
          </w:tcPr>
          <w:p w14:paraId="4F160743"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tcBorders>
              <w:top w:val="single" w:sz="4" w:space="0" w:color="000000"/>
            </w:tcBorders>
            <w:shd w:val="clear" w:color="auto" w:fill="auto"/>
            <w:vAlign w:val="bottom"/>
          </w:tcPr>
          <w:p w14:paraId="1B21830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tcBorders>
              <w:top w:val="single" w:sz="4" w:space="0" w:color="000000"/>
            </w:tcBorders>
            <w:shd w:val="clear" w:color="auto" w:fill="auto"/>
            <w:vAlign w:val="bottom"/>
          </w:tcPr>
          <w:p w14:paraId="6FACC71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tcBorders>
              <w:top w:val="single" w:sz="4" w:space="0" w:color="000000"/>
            </w:tcBorders>
            <w:shd w:val="clear" w:color="auto" w:fill="auto"/>
            <w:vAlign w:val="bottom"/>
          </w:tcPr>
          <w:p w14:paraId="525F6B0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tcBorders>
              <w:top w:val="single" w:sz="4" w:space="0" w:color="000000"/>
            </w:tcBorders>
            <w:vAlign w:val="bottom"/>
          </w:tcPr>
          <w:p w14:paraId="31995D62"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tcBorders>
              <w:top w:val="single" w:sz="4" w:space="0" w:color="000000"/>
            </w:tcBorders>
            <w:vAlign w:val="bottom"/>
          </w:tcPr>
          <w:p w14:paraId="63A045C7"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tcBorders>
              <w:top w:val="single" w:sz="4" w:space="0" w:color="000000"/>
            </w:tcBorders>
            <w:vAlign w:val="bottom"/>
          </w:tcPr>
          <w:p w14:paraId="16A1C095"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tcBorders>
              <w:top w:val="single" w:sz="4" w:space="0" w:color="000000"/>
            </w:tcBorders>
            <w:vAlign w:val="bottom"/>
          </w:tcPr>
          <w:p w14:paraId="5665CD1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Borders>
              <w:top w:val="single" w:sz="4" w:space="0" w:color="000000"/>
            </w:tcBorders>
            <w:tcMar>
              <w:top w:w="11" w:type="dxa"/>
              <w:left w:w="11" w:type="dxa"/>
              <w:bottom w:w="11" w:type="dxa"/>
              <w:right w:w="11" w:type="dxa"/>
            </w:tcMar>
            <w:vAlign w:val="bottom"/>
          </w:tcPr>
          <w:p w14:paraId="1A792D8B"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Borders>
              <w:top w:val="single" w:sz="4" w:space="0" w:color="000000"/>
            </w:tcBorders>
            <w:tcMar>
              <w:top w:w="11" w:type="dxa"/>
              <w:left w:w="11" w:type="dxa"/>
              <w:bottom w:w="11" w:type="dxa"/>
              <w:right w:w="11" w:type="dxa"/>
            </w:tcMar>
            <w:vAlign w:val="bottom"/>
          </w:tcPr>
          <w:p w14:paraId="35D4E698"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Borders>
              <w:top w:val="single" w:sz="4" w:space="0" w:color="000000"/>
            </w:tcBorders>
          </w:tcPr>
          <w:p w14:paraId="439F186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Borders>
              <w:top w:val="single" w:sz="4" w:space="0" w:color="000000"/>
            </w:tcBorders>
          </w:tcPr>
          <w:p w14:paraId="49790B2D"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36229ABF" w14:textId="77777777" w:rsidTr="00372E26">
        <w:trPr>
          <w:trHeight w:val="23"/>
        </w:trPr>
        <w:tc>
          <w:tcPr>
            <w:tcW w:w="985" w:type="pct"/>
            <w:vAlign w:val="bottom"/>
          </w:tcPr>
          <w:p w14:paraId="1E6341A9"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b/>
                <w:color w:val="000000"/>
                <w:spacing w:val="-4"/>
                <w:sz w:val="16"/>
                <w:szCs w:val="16"/>
              </w:rPr>
              <w:t>Total other comprehensive income</w:t>
            </w:r>
          </w:p>
        </w:tc>
        <w:tc>
          <w:tcPr>
            <w:tcW w:w="152" w:type="pct"/>
            <w:vAlign w:val="bottom"/>
          </w:tcPr>
          <w:p w14:paraId="60DAB181"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shd w:val="clear" w:color="auto" w:fill="auto"/>
            <w:vAlign w:val="bottom"/>
          </w:tcPr>
          <w:p w14:paraId="40D89C2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shd w:val="clear" w:color="auto" w:fill="auto"/>
            <w:vAlign w:val="bottom"/>
          </w:tcPr>
          <w:p w14:paraId="50EB221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shd w:val="clear" w:color="auto" w:fill="auto"/>
            <w:vAlign w:val="bottom"/>
          </w:tcPr>
          <w:p w14:paraId="6786ABD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vAlign w:val="bottom"/>
          </w:tcPr>
          <w:p w14:paraId="347BEDE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vAlign w:val="bottom"/>
          </w:tcPr>
          <w:p w14:paraId="1162FF6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1DEDD52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vAlign w:val="bottom"/>
          </w:tcPr>
          <w:p w14:paraId="48165FB4"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Mar>
              <w:top w:w="11" w:type="dxa"/>
              <w:left w:w="11" w:type="dxa"/>
              <w:bottom w:w="11" w:type="dxa"/>
              <w:right w:w="11" w:type="dxa"/>
            </w:tcMar>
            <w:vAlign w:val="bottom"/>
          </w:tcPr>
          <w:p w14:paraId="1D625AE1"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Mar>
              <w:top w:w="11" w:type="dxa"/>
              <w:left w:w="11" w:type="dxa"/>
              <w:bottom w:w="11" w:type="dxa"/>
              <w:right w:w="11" w:type="dxa"/>
            </w:tcMar>
            <w:vAlign w:val="bottom"/>
          </w:tcPr>
          <w:p w14:paraId="61451F16"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Pr>
          <w:p w14:paraId="33C6756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Pr>
          <w:p w14:paraId="5F936F53"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r w:rsidR="004607BE" w:rsidRPr="008808A3" w14:paraId="38107A4E" w14:textId="77777777" w:rsidTr="00372E26">
        <w:trPr>
          <w:trHeight w:val="23"/>
        </w:trPr>
        <w:tc>
          <w:tcPr>
            <w:tcW w:w="985" w:type="pct"/>
            <w:tcBorders>
              <w:bottom w:val="single" w:sz="12" w:space="0" w:color="000000"/>
            </w:tcBorders>
            <w:vAlign w:val="bottom"/>
          </w:tcPr>
          <w:p w14:paraId="689751D3" w14:textId="77777777" w:rsidR="00D83E33" w:rsidRPr="008808A3" w:rsidRDefault="00BC4072" w:rsidP="001B330E">
            <w:pPr>
              <w:widowControl w:val="0"/>
              <w:pBdr>
                <w:top w:val="nil"/>
                <w:left w:val="nil"/>
                <w:bottom w:val="nil"/>
                <w:right w:val="nil"/>
                <w:between w:val="nil"/>
              </w:pBdr>
              <w:ind w:left="113" w:hanging="113"/>
              <w:rPr>
                <w:color w:val="000000"/>
                <w:spacing w:val="-4"/>
                <w:sz w:val="16"/>
                <w:szCs w:val="16"/>
              </w:rPr>
            </w:pPr>
            <w:r w:rsidRPr="008808A3">
              <w:rPr>
                <w:b/>
                <w:color w:val="000000"/>
                <w:spacing w:val="-4"/>
                <w:sz w:val="16"/>
                <w:szCs w:val="16"/>
              </w:rPr>
              <w:t> </w:t>
            </w:r>
          </w:p>
        </w:tc>
        <w:tc>
          <w:tcPr>
            <w:tcW w:w="152" w:type="pct"/>
            <w:tcBorders>
              <w:bottom w:val="single" w:sz="12" w:space="0" w:color="000000"/>
            </w:tcBorders>
            <w:vAlign w:val="bottom"/>
          </w:tcPr>
          <w:p w14:paraId="102AED96" w14:textId="77777777" w:rsidR="00D83E33" w:rsidRPr="008808A3" w:rsidRDefault="00D83E33" w:rsidP="001B330E">
            <w:pPr>
              <w:widowControl w:val="0"/>
              <w:pBdr>
                <w:top w:val="nil"/>
                <w:left w:val="nil"/>
                <w:bottom w:val="nil"/>
                <w:right w:val="nil"/>
                <w:between w:val="nil"/>
              </w:pBdr>
              <w:ind w:left="-57" w:right="-57"/>
              <w:jc w:val="center"/>
              <w:rPr>
                <w:color w:val="000000"/>
                <w:spacing w:val="-4"/>
                <w:sz w:val="16"/>
                <w:szCs w:val="16"/>
              </w:rPr>
            </w:pPr>
          </w:p>
        </w:tc>
        <w:tc>
          <w:tcPr>
            <w:tcW w:w="227" w:type="pct"/>
            <w:tcBorders>
              <w:bottom w:val="single" w:sz="12" w:space="0" w:color="000000"/>
            </w:tcBorders>
            <w:shd w:val="clear" w:color="auto" w:fill="auto"/>
            <w:vAlign w:val="bottom"/>
          </w:tcPr>
          <w:p w14:paraId="59E9567A"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42" w:type="pct"/>
            <w:tcBorders>
              <w:bottom w:val="single" w:sz="12" w:space="0" w:color="000000"/>
            </w:tcBorders>
            <w:shd w:val="clear" w:color="auto" w:fill="auto"/>
            <w:vAlign w:val="bottom"/>
          </w:tcPr>
          <w:p w14:paraId="67A76EFE"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51" w:type="pct"/>
            <w:tcBorders>
              <w:bottom w:val="single" w:sz="12" w:space="0" w:color="000000"/>
            </w:tcBorders>
            <w:shd w:val="clear" w:color="auto" w:fill="auto"/>
            <w:vAlign w:val="bottom"/>
          </w:tcPr>
          <w:p w14:paraId="1D59FCF6"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8" w:type="pct"/>
            <w:tcBorders>
              <w:bottom w:val="single" w:sz="12" w:space="0" w:color="000000"/>
            </w:tcBorders>
            <w:vAlign w:val="bottom"/>
          </w:tcPr>
          <w:p w14:paraId="204A386B"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32" w:type="pct"/>
            <w:tcBorders>
              <w:bottom w:val="single" w:sz="12" w:space="0" w:color="000000"/>
            </w:tcBorders>
            <w:vAlign w:val="bottom"/>
          </w:tcPr>
          <w:p w14:paraId="5A632C8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tcBorders>
              <w:bottom w:val="single" w:sz="12" w:space="0" w:color="000000"/>
            </w:tcBorders>
            <w:vAlign w:val="bottom"/>
          </w:tcPr>
          <w:p w14:paraId="29B0E23C"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384" w:type="pct"/>
            <w:tcBorders>
              <w:bottom w:val="single" w:sz="12" w:space="0" w:color="000000"/>
            </w:tcBorders>
            <w:vAlign w:val="bottom"/>
          </w:tcPr>
          <w:p w14:paraId="01E3D671"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406" w:type="pct"/>
            <w:tcBorders>
              <w:bottom w:val="single" w:sz="12" w:space="0" w:color="000000"/>
            </w:tcBorders>
            <w:tcMar>
              <w:top w:w="11" w:type="dxa"/>
              <w:left w:w="11" w:type="dxa"/>
              <w:bottom w:w="11" w:type="dxa"/>
              <w:right w:w="11" w:type="dxa"/>
            </w:tcMar>
            <w:vAlign w:val="bottom"/>
          </w:tcPr>
          <w:p w14:paraId="1CA65AD6"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298" w:type="pct"/>
            <w:tcBorders>
              <w:bottom w:val="single" w:sz="12" w:space="0" w:color="000000"/>
            </w:tcBorders>
            <w:tcMar>
              <w:top w:w="11" w:type="dxa"/>
              <w:left w:w="11" w:type="dxa"/>
              <w:bottom w:w="11" w:type="dxa"/>
              <w:right w:w="11" w:type="dxa"/>
            </w:tcMar>
            <w:vAlign w:val="bottom"/>
          </w:tcPr>
          <w:p w14:paraId="34F7768C" w14:textId="77777777" w:rsidR="00D83E33" w:rsidRPr="008808A3" w:rsidRDefault="00D83E33" w:rsidP="001B330E">
            <w:pPr>
              <w:widowControl w:val="0"/>
              <w:pBdr>
                <w:top w:val="nil"/>
                <w:left w:val="nil"/>
                <w:bottom w:val="nil"/>
                <w:right w:val="nil"/>
                <w:between w:val="nil"/>
              </w:pBdr>
              <w:ind w:right="113"/>
              <w:jc w:val="right"/>
              <w:rPr>
                <w:color w:val="000000"/>
                <w:spacing w:val="-4"/>
                <w:sz w:val="16"/>
                <w:szCs w:val="16"/>
              </w:rPr>
            </w:pPr>
          </w:p>
        </w:tc>
        <w:tc>
          <w:tcPr>
            <w:tcW w:w="389" w:type="pct"/>
            <w:tcBorders>
              <w:bottom w:val="single" w:sz="12" w:space="0" w:color="000000"/>
            </w:tcBorders>
          </w:tcPr>
          <w:p w14:paraId="148BA92F"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c>
          <w:tcPr>
            <w:tcW w:w="262" w:type="pct"/>
            <w:tcBorders>
              <w:bottom w:val="single" w:sz="12" w:space="0" w:color="000000"/>
            </w:tcBorders>
          </w:tcPr>
          <w:p w14:paraId="4CE63F20" w14:textId="77777777" w:rsidR="00D83E33" w:rsidRPr="008808A3" w:rsidRDefault="00D83E33">
            <w:pPr>
              <w:widowControl w:val="0"/>
              <w:pBdr>
                <w:top w:val="nil"/>
                <w:left w:val="nil"/>
                <w:bottom w:val="nil"/>
                <w:right w:val="nil"/>
                <w:between w:val="nil"/>
              </w:pBdr>
              <w:jc w:val="right"/>
              <w:rPr>
                <w:color w:val="000000"/>
                <w:spacing w:val="-4"/>
                <w:sz w:val="16"/>
                <w:szCs w:val="16"/>
              </w:rPr>
            </w:pPr>
          </w:p>
        </w:tc>
      </w:tr>
    </w:tbl>
    <w:p w14:paraId="5668A614" w14:textId="77777777" w:rsidR="008808A3" w:rsidRDefault="008808A3" w:rsidP="001B330E">
      <w:pPr>
        <w:widowControl w:val="0"/>
        <w:pBdr>
          <w:top w:val="nil"/>
          <w:left w:val="nil"/>
          <w:bottom w:val="nil"/>
          <w:right w:val="nil"/>
          <w:between w:val="nil"/>
        </w:pBdr>
        <w:spacing w:after="200"/>
        <w:jc w:val="both"/>
        <w:rPr>
          <w:color w:val="000000"/>
          <w:sz w:val="20"/>
          <w:szCs w:val="20"/>
        </w:rPr>
      </w:pPr>
    </w:p>
    <w:p w14:paraId="55852C74" w14:textId="77777777" w:rsidR="00093671" w:rsidRDefault="00093671" w:rsidP="001B330E">
      <w:pPr>
        <w:widowControl w:val="0"/>
        <w:pBdr>
          <w:top w:val="nil"/>
          <w:left w:val="nil"/>
          <w:bottom w:val="nil"/>
          <w:right w:val="nil"/>
          <w:between w:val="nil"/>
        </w:pBdr>
        <w:spacing w:after="200"/>
        <w:jc w:val="both"/>
        <w:rPr>
          <w:color w:val="000000"/>
          <w:sz w:val="20"/>
          <w:szCs w:val="20"/>
        </w:rPr>
      </w:pPr>
    </w:p>
    <w:p w14:paraId="725367D0" w14:textId="77777777" w:rsidR="00093671" w:rsidRDefault="00093671" w:rsidP="001B330E">
      <w:pPr>
        <w:widowControl w:val="0"/>
        <w:pBdr>
          <w:top w:val="nil"/>
          <w:left w:val="nil"/>
          <w:bottom w:val="nil"/>
          <w:right w:val="nil"/>
          <w:between w:val="nil"/>
        </w:pBdr>
        <w:spacing w:after="200"/>
        <w:jc w:val="both"/>
        <w:rPr>
          <w:color w:val="000000"/>
          <w:sz w:val="20"/>
          <w:szCs w:val="20"/>
        </w:rPr>
      </w:pPr>
    </w:p>
    <w:p w14:paraId="37A5F462" w14:textId="77777777" w:rsidR="00093671" w:rsidRDefault="00093671" w:rsidP="001B330E">
      <w:pPr>
        <w:widowControl w:val="0"/>
        <w:pBdr>
          <w:top w:val="nil"/>
          <w:left w:val="nil"/>
          <w:bottom w:val="nil"/>
          <w:right w:val="nil"/>
          <w:between w:val="nil"/>
        </w:pBdr>
        <w:spacing w:after="200"/>
        <w:jc w:val="both"/>
        <w:rPr>
          <w:color w:val="000000"/>
          <w:sz w:val="20"/>
          <w:szCs w:val="20"/>
        </w:rPr>
      </w:pPr>
    </w:p>
    <w:p w14:paraId="4B108ECD" w14:textId="77777777" w:rsidR="00093671" w:rsidRDefault="00093671" w:rsidP="001B330E">
      <w:pPr>
        <w:widowControl w:val="0"/>
        <w:pBdr>
          <w:top w:val="nil"/>
          <w:left w:val="nil"/>
          <w:bottom w:val="nil"/>
          <w:right w:val="nil"/>
          <w:between w:val="nil"/>
        </w:pBdr>
        <w:spacing w:after="200"/>
        <w:jc w:val="both"/>
        <w:rPr>
          <w:color w:val="000000"/>
          <w:sz w:val="20"/>
          <w:szCs w:val="20"/>
        </w:rPr>
      </w:pPr>
    </w:p>
    <w:p w14:paraId="230888BF" w14:textId="77777777" w:rsidR="002A5F5D" w:rsidRDefault="002A5F5D" w:rsidP="002A5F5D">
      <w:pPr>
        <w:pStyle w:val="Continued"/>
      </w:pPr>
      <w:r>
        <w:lastRenderedPageBreak/>
        <w:t>31</w:t>
      </w:r>
      <w:r>
        <w:tab/>
        <w:t>Other Comprehensive Income Recognised in Each Component of Equity (Continued)</w:t>
      </w:r>
    </w:p>
    <w:p w14:paraId="495C5FF9" w14:textId="6D1B967A" w:rsidR="00D83E33" w:rsidRDefault="00BC4072" w:rsidP="001B330E">
      <w:pPr>
        <w:widowControl w:val="0"/>
        <w:pBdr>
          <w:top w:val="nil"/>
          <w:left w:val="nil"/>
          <w:bottom w:val="nil"/>
          <w:right w:val="nil"/>
          <w:between w:val="nil"/>
        </w:pBdr>
        <w:spacing w:after="200"/>
        <w:jc w:val="both"/>
        <w:rPr>
          <w:color w:val="000000"/>
          <w:sz w:val="20"/>
          <w:szCs w:val="20"/>
        </w:rPr>
      </w:pPr>
      <w:r>
        <w:rPr>
          <w:color w:val="000000"/>
          <w:sz w:val="20"/>
          <w:szCs w:val="20"/>
        </w:rPr>
        <w:t>The cumulative amounts recognised in other comprehensive income relating to non-current assets held for sale (or disposal group) are as follows:</w:t>
      </w:r>
    </w:p>
    <w:tbl>
      <w:tblPr>
        <w:tblStyle w:val="affffffffffff0"/>
        <w:tblW w:w="5000" w:type="pct"/>
        <w:tblLayout w:type="fixed"/>
        <w:tblLook w:val="0000" w:firstRow="0" w:lastRow="0" w:firstColumn="0" w:lastColumn="0" w:noHBand="0" w:noVBand="0"/>
      </w:tblPr>
      <w:tblGrid>
        <w:gridCol w:w="6296"/>
        <w:gridCol w:w="1530"/>
        <w:gridCol w:w="1529"/>
      </w:tblGrid>
      <w:tr w:rsidR="00D83E33" w:rsidRPr="00EA10CF" w14:paraId="6FD7EE6A" w14:textId="77777777" w:rsidTr="00093671">
        <w:trPr>
          <w:trHeight w:val="23"/>
        </w:trPr>
        <w:tc>
          <w:tcPr>
            <w:tcW w:w="3365" w:type="pct"/>
            <w:tcBorders>
              <w:bottom w:val="single" w:sz="4" w:space="0" w:color="000000"/>
            </w:tcBorders>
            <w:vAlign w:val="bottom"/>
          </w:tcPr>
          <w:p w14:paraId="77DAA799" w14:textId="49F144D8" w:rsidR="00D83E33" w:rsidRPr="00EA10CF" w:rsidRDefault="00313B4D" w:rsidP="001B330E">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818" w:type="pct"/>
            <w:tcBorders>
              <w:bottom w:val="single" w:sz="4" w:space="0" w:color="000000"/>
            </w:tcBorders>
            <w:vAlign w:val="bottom"/>
          </w:tcPr>
          <w:p w14:paraId="1A5C981D" w14:textId="7BD66D69" w:rsidR="00D83E33" w:rsidRPr="00EA10CF" w:rsidRDefault="00541EBC" w:rsidP="001B330E">
            <w:pPr>
              <w:widowControl w:val="0"/>
              <w:pBdr>
                <w:top w:val="nil"/>
                <w:left w:val="nil"/>
                <w:bottom w:val="nil"/>
                <w:right w:val="nil"/>
                <w:between w:val="nil"/>
              </w:pBdr>
              <w:jc w:val="right"/>
              <w:rPr>
                <w:b/>
                <w:color w:val="000000"/>
              </w:rPr>
            </w:pPr>
            <w:r>
              <w:rPr>
                <w:b/>
                <w:color w:val="000000"/>
              </w:rPr>
              <w:t>2024</w:t>
            </w:r>
          </w:p>
        </w:tc>
        <w:tc>
          <w:tcPr>
            <w:tcW w:w="817" w:type="pct"/>
            <w:tcBorders>
              <w:bottom w:val="single" w:sz="4" w:space="0" w:color="000000"/>
            </w:tcBorders>
            <w:vAlign w:val="bottom"/>
          </w:tcPr>
          <w:p w14:paraId="6D444A01" w14:textId="6C303FEA" w:rsidR="00D83E33" w:rsidRPr="00EA10CF" w:rsidRDefault="00541EBC" w:rsidP="001B330E">
            <w:pPr>
              <w:widowControl w:val="0"/>
              <w:pBdr>
                <w:top w:val="nil"/>
                <w:left w:val="nil"/>
                <w:bottom w:val="nil"/>
                <w:right w:val="nil"/>
                <w:between w:val="nil"/>
              </w:pBdr>
              <w:jc w:val="right"/>
              <w:rPr>
                <w:b/>
                <w:color w:val="000000"/>
              </w:rPr>
            </w:pPr>
            <w:r>
              <w:rPr>
                <w:b/>
                <w:color w:val="000000"/>
              </w:rPr>
              <w:t>2023</w:t>
            </w:r>
          </w:p>
        </w:tc>
      </w:tr>
      <w:tr w:rsidR="00D83E33" w:rsidRPr="00EA10CF" w14:paraId="395F1298" w14:textId="77777777" w:rsidTr="00093671">
        <w:trPr>
          <w:trHeight w:val="23"/>
        </w:trPr>
        <w:tc>
          <w:tcPr>
            <w:tcW w:w="3365" w:type="pct"/>
            <w:tcBorders>
              <w:top w:val="single" w:sz="4" w:space="0" w:color="000000"/>
            </w:tcBorders>
            <w:vAlign w:val="bottom"/>
          </w:tcPr>
          <w:p w14:paraId="49E241A2" w14:textId="77777777" w:rsidR="00D83E33" w:rsidRPr="001B330E" w:rsidRDefault="00BC4072" w:rsidP="001B330E">
            <w:pPr>
              <w:widowControl w:val="0"/>
              <w:rPr>
                <w:szCs w:val="10"/>
              </w:rPr>
            </w:pPr>
            <w:r w:rsidRPr="001B330E">
              <w:rPr>
                <w:szCs w:val="10"/>
              </w:rPr>
              <w:t> </w:t>
            </w:r>
          </w:p>
        </w:tc>
        <w:tc>
          <w:tcPr>
            <w:tcW w:w="818" w:type="pct"/>
            <w:tcBorders>
              <w:top w:val="single" w:sz="4" w:space="0" w:color="000000"/>
            </w:tcBorders>
            <w:vAlign w:val="bottom"/>
          </w:tcPr>
          <w:p w14:paraId="07FCB7B3"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7" w:type="pct"/>
            <w:tcBorders>
              <w:top w:val="single" w:sz="4" w:space="0" w:color="000000"/>
            </w:tcBorders>
            <w:vAlign w:val="bottom"/>
          </w:tcPr>
          <w:p w14:paraId="05200B53"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701A522C" w14:textId="77777777" w:rsidTr="00093671">
        <w:trPr>
          <w:trHeight w:val="23"/>
        </w:trPr>
        <w:tc>
          <w:tcPr>
            <w:tcW w:w="3365" w:type="pct"/>
            <w:vAlign w:val="bottom"/>
          </w:tcPr>
          <w:p w14:paraId="0F5927D7"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Revaluation reserve for securities at FVOCI</w:t>
            </w:r>
          </w:p>
        </w:tc>
        <w:tc>
          <w:tcPr>
            <w:tcW w:w="818" w:type="pct"/>
            <w:vAlign w:val="bottom"/>
          </w:tcPr>
          <w:p w14:paraId="6A5A15AE" w14:textId="77777777" w:rsidR="00D83E33" w:rsidRPr="00EA10CF" w:rsidRDefault="00D83E33" w:rsidP="001B330E">
            <w:pPr>
              <w:widowControl w:val="0"/>
              <w:pBdr>
                <w:top w:val="nil"/>
                <w:left w:val="nil"/>
                <w:bottom w:val="nil"/>
                <w:right w:val="nil"/>
                <w:between w:val="nil"/>
              </w:pBdr>
              <w:jc w:val="right"/>
              <w:rPr>
                <w:color w:val="000000"/>
              </w:rPr>
            </w:pPr>
          </w:p>
        </w:tc>
        <w:tc>
          <w:tcPr>
            <w:tcW w:w="817" w:type="pct"/>
            <w:vAlign w:val="bottom"/>
          </w:tcPr>
          <w:p w14:paraId="1CFEA55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3684B17" w14:textId="77777777" w:rsidTr="00093671">
        <w:trPr>
          <w:trHeight w:val="23"/>
        </w:trPr>
        <w:tc>
          <w:tcPr>
            <w:tcW w:w="3365" w:type="pct"/>
            <w:vAlign w:val="bottom"/>
          </w:tcPr>
          <w:p w14:paraId="3CCF5214"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Revaluation reserve for premises</w:t>
            </w:r>
          </w:p>
        </w:tc>
        <w:tc>
          <w:tcPr>
            <w:tcW w:w="818" w:type="pct"/>
            <w:vAlign w:val="bottom"/>
          </w:tcPr>
          <w:p w14:paraId="788C98E9" w14:textId="77777777" w:rsidR="00D83E33" w:rsidRPr="00EA10CF" w:rsidRDefault="00D83E33" w:rsidP="001B330E">
            <w:pPr>
              <w:widowControl w:val="0"/>
              <w:pBdr>
                <w:top w:val="nil"/>
                <w:left w:val="nil"/>
                <w:bottom w:val="nil"/>
                <w:right w:val="nil"/>
                <w:between w:val="nil"/>
              </w:pBdr>
              <w:jc w:val="right"/>
              <w:rPr>
                <w:color w:val="000000"/>
              </w:rPr>
            </w:pPr>
          </w:p>
        </w:tc>
        <w:tc>
          <w:tcPr>
            <w:tcW w:w="817" w:type="pct"/>
            <w:vAlign w:val="bottom"/>
          </w:tcPr>
          <w:p w14:paraId="44D32612"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DE46A78" w14:textId="77777777" w:rsidTr="00093671">
        <w:trPr>
          <w:trHeight w:val="23"/>
        </w:trPr>
        <w:tc>
          <w:tcPr>
            <w:tcW w:w="3365" w:type="pct"/>
            <w:vAlign w:val="bottom"/>
          </w:tcPr>
          <w:p w14:paraId="0315A74C"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Currency translation reserve</w:t>
            </w:r>
          </w:p>
        </w:tc>
        <w:tc>
          <w:tcPr>
            <w:tcW w:w="818" w:type="pct"/>
            <w:vAlign w:val="bottom"/>
          </w:tcPr>
          <w:p w14:paraId="70BFBE7C" w14:textId="77777777" w:rsidR="00D83E33" w:rsidRPr="00EA10CF" w:rsidRDefault="00D83E33" w:rsidP="001B330E">
            <w:pPr>
              <w:widowControl w:val="0"/>
              <w:pBdr>
                <w:top w:val="nil"/>
                <w:left w:val="nil"/>
                <w:bottom w:val="nil"/>
                <w:right w:val="nil"/>
                <w:between w:val="nil"/>
              </w:pBdr>
              <w:jc w:val="right"/>
              <w:rPr>
                <w:color w:val="000000"/>
              </w:rPr>
            </w:pPr>
          </w:p>
        </w:tc>
        <w:tc>
          <w:tcPr>
            <w:tcW w:w="817" w:type="pct"/>
            <w:vAlign w:val="bottom"/>
          </w:tcPr>
          <w:p w14:paraId="06FB9DE1" w14:textId="77777777" w:rsidR="00D83E33" w:rsidRPr="00EA10CF" w:rsidRDefault="00D83E33" w:rsidP="001B330E">
            <w:pPr>
              <w:widowControl w:val="0"/>
              <w:pBdr>
                <w:top w:val="nil"/>
                <w:left w:val="nil"/>
                <w:bottom w:val="nil"/>
                <w:right w:val="nil"/>
                <w:between w:val="nil"/>
              </w:pBdr>
              <w:jc w:val="right"/>
              <w:rPr>
                <w:color w:val="000000"/>
              </w:rPr>
            </w:pPr>
          </w:p>
        </w:tc>
      </w:tr>
      <w:tr w:rsidR="00093671" w:rsidRPr="00EA10CF" w14:paraId="453C5B54" w14:textId="77777777" w:rsidTr="00093671">
        <w:trPr>
          <w:trHeight w:val="23"/>
        </w:trPr>
        <w:tc>
          <w:tcPr>
            <w:tcW w:w="3365" w:type="pct"/>
            <w:tcBorders>
              <w:bottom w:val="single" w:sz="12" w:space="0" w:color="auto"/>
            </w:tcBorders>
            <w:vAlign w:val="bottom"/>
          </w:tcPr>
          <w:p w14:paraId="380D8D46" w14:textId="77777777" w:rsidR="00093671" w:rsidRPr="00EA10CF" w:rsidRDefault="00093671" w:rsidP="001B330E">
            <w:pPr>
              <w:widowControl w:val="0"/>
              <w:pBdr>
                <w:top w:val="nil"/>
                <w:left w:val="nil"/>
                <w:bottom w:val="nil"/>
                <w:right w:val="nil"/>
                <w:between w:val="nil"/>
              </w:pBdr>
              <w:rPr>
                <w:color w:val="000000"/>
              </w:rPr>
            </w:pPr>
          </w:p>
        </w:tc>
        <w:tc>
          <w:tcPr>
            <w:tcW w:w="818" w:type="pct"/>
            <w:tcBorders>
              <w:bottom w:val="single" w:sz="12" w:space="0" w:color="auto"/>
            </w:tcBorders>
            <w:vAlign w:val="bottom"/>
          </w:tcPr>
          <w:p w14:paraId="7AF18E05" w14:textId="77777777" w:rsidR="00093671" w:rsidRPr="00EA10CF" w:rsidRDefault="00093671" w:rsidP="001B330E">
            <w:pPr>
              <w:widowControl w:val="0"/>
              <w:pBdr>
                <w:top w:val="nil"/>
                <w:left w:val="nil"/>
                <w:bottom w:val="nil"/>
                <w:right w:val="nil"/>
                <w:between w:val="nil"/>
              </w:pBdr>
              <w:jc w:val="right"/>
              <w:rPr>
                <w:color w:val="000000"/>
              </w:rPr>
            </w:pPr>
          </w:p>
        </w:tc>
        <w:tc>
          <w:tcPr>
            <w:tcW w:w="817" w:type="pct"/>
            <w:tcBorders>
              <w:bottom w:val="single" w:sz="12" w:space="0" w:color="auto"/>
            </w:tcBorders>
            <w:vAlign w:val="bottom"/>
          </w:tcPr>
          <w:p w14:paraId="1FE23C9F" w14:textId="77777777" w:rsidR="00093671" w:rsidRPr="00EA10CF" w:rsidRDefault="00093671" w:rsidP="001B330E">
            <w:pPr>
              <w:widowControl w:val="0"/>
              <w:pBdr>
                <w:top w:val="nil"/>
                <w:left w:val="nil"/>
                <w:bottom w:val="nil"/>
                <w:right w:val="nil"/>
                <w:between w:val="nil"/>
              </w:pBdr>
              <w:jc w:val="right"/>
              <w:rPr>
                <w:color w:val="000000"/>
              </w:rPr>
            </w:pPr>
          </w:p>
        </w:tc>
      </w:tr>
      <w:tr w:rsidR="00093671" w:rsidRPr="00EA10CF" w14:paraId="33AFC81B" w14:textId="77777777" w:rsidTr="00093671">
        <w:trPr>
          <w:trHeight w:val="23"/>
        </w:trPr>
        <w:tc>
          <w:tcPr>
            <w:tcW w:w="3365" w:type="pct"/>
            <w:tcBorders>
              <w:top w:val="single" w:sz="12" w:space="0" w:color="auto"/>
            </w:tcBorders>
            <w:vAlign w:val="bottom"/>
          </w:tcPr>
          <w:p w14:paraId="760CAA59" w14:textId="77777777" w:rsidR="00093671" w:rsidRPr="00EA10CF" w:rsidRDefault="00093671" w:rsidP="001B330E">
            <w:pPr>
              <w:widowControl w:val="0"/>
              <w:pBdr>
                <w:top w:val="nil"/>
                <w:left w:val="nil"/>
                <w:bottom w:val="nil"/>
                <w:right w:val="nil"/>
                <w:between w:val="nil"/>
              </w:pBdr>
              <w:rPr>
                <w:color w:val="000000"/>
              </w:rPr>
            </w:pPr>
          </w:p>
        </w:tc>
        <w:tc>
          <w:tcPr>
            <w:tcW w:w="818" w:type="pct"/>
            <w:tcBorders>
              <w:top w:val="single" w:sz="12" w:space="0" w:color="auto"/>
            </w:tcBorders>
            <w:vAlign w:val="bottom"/>
          </w:tcPr>
          <w:p w14:paraId="5EF00A5F" w14:textId="77777777" w:rsidR="00093671" w:rsidRPr="00EA10CF" w:rsidRDefault="00093671" w:rsidP="001B330E">
            <w:pPr>
              <w:widowControl w:val="0"/>
              <w:pBdr>
                <w:top w:val="nil"/>
                <w:left w:val="nil"/>
                <w:bottom w:val="nil"/>
                <w:right w:val="nil"/>
                <w:between w:val="nil"/>
              </w:pBdr>
              <w:jc w:val="right"/>
              <w:rPr>
                <w:color w:val="000000"/>
              </w:rPr>
            </w:pPr>
          </w:p>
        </w:tc>
        <w:tc>
          <w:tcPr>
            <w:tcW w:w="817" w:type="pct"/>
            <w:tcBorders>
              <w:top w:val="single" w:sz="12" w:space="0" w:color="auto"/>
            </w:tcBorders>
            <w:vAlign w:val="bottom"/>
          </w:tcPr>
          <w:p w14:paraId="39CAC9E2" w14:textId="77777777" w:rsidR="00093671" w:rsidRPr="00EA10CF" w:rsidRDefault="00093671" w:rsidP="001B330E">
            <w:pPr>
              <w:widowControl w:val="0"/>
              <w:pBdr>
                <w:top w:val="nil"/>
                <w:left w:val="nil"/>
                <w:bottom w:val="nil"/>
                <w:right w:val="nil"/>
                <w:between w:val="nil"/>
              </w:pBdr>
              <w:jc w:val="right"/>
              <w:rPr>
                <w:color w:val="000000"/>
              </w:rPr>
            </w:pPr>
          </w:p>
        </w:tc>
      </w:tr>
    </w:tbl>
    <w:p w14:paraId="05B494E6" w14:textId="56B342D1"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rPr>
        <w:t>[</w:t>
      </w:r>
      <w:r w:rsidRPr="00093671">
        <w:rPr>
          <w:b/>
          <w:i/>
          <w:color w:val="0000FF"/>
          <w:sz w:val="20"/>
          <w:szCs w:val="20"/>
        </w:rPr>
        <w:t xml:space="preserve">Foreign currency translation. </w:t>
      </w:r>
      <w:r w:rsidRPr="00093671">
        <w:rPr>
          <w:color w:val="0000FF"/>
          <w:sz w:val="20"/>
          <w:szCs w:val="20"/>
        </w:rPr>
        <w:t xml:space="preserve">The functional currency of each of the Group’s consolidated entities is the currency of the primary economic environment in which the entity operates. The functional currency of the Bank and its subsidiaries, and the Group’s presentation currency, is the national currency of the [Country], Euro (“EUR”). </w:t>
      </w:r>
      <w:r w:rsidRPr="00093671">
        <w:rPr>
          <w:i/>
          <w:color w:val="0000FF"/>
          <w:sz w:val="20"/>
          <w:szCs w:val="20"/>
        </w:rPr>
        <w:t>[Consider including additional details if the determination involved significant judgement. Include further details of the functional currency of Group entities, and the basis for the determination, if this is not EUR.]</w:t>
      </w:r>
    </w:p>
    <w:p w14:paraId="0D9FC243" w14:textId="7777777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Loans between group entities and related foreign exchange gains or losses are eliminated upon consolidation. However, where the loan is between group entities that have different functional currencies, the foreign exchange gain or loss cannot be eliminated in full and is recognised in the consolidated profit or loss, unless the loan is not expected to be settled in the foreseeable future and thus forms part of the net investment in foreign operation. In such a case, the foreign exchange gain or loss is recognised in other comprehensive income.</w:t>
      </w:r>
    </w:p>
    <w:p w14:paraId="360C1441" w14:textId="7777777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 xml:space="preserve">The results and financial position of each group entity are translated into the presentation currency as follows: </w:t>
      </w:r>
    </w:p>
    <w:p w14:paraId="0871C43A" w14:textId="77777777" w:rsidR="00093671" w:rsidRPr="00093671" w:rsidRDefault="00093671" w:rsidP="00093671">
      <w:pPr>
        <w:widowControl w:val="0"/>
        <w:numPr>
          <w:ilvl w:val="0"/>
          <w:numId w:val="5"/>
        </w:numPr>
        <w:pBdr>
          <w:top w:val="nil"/>
          <w:left w:val="nil"/>
          <w:bottom w:val="nil"/>
          <w:right w:val="nil"/>
          <w:between w:val="nil"/>
        </w:pBdr>
        <w:spacing w:before="100" w:after="100"/>
        <w:ind w:left="567" w:hanging="567"/>
        <w:jc w:val="both"/>
        <w:rPr>
          <w:color w:val="0000FF"/>
          <w:sz w:val="20"/>
          <w:szCs w:val="20"/>
        </w:rPr>
      </w:pPr>
      <w:r w:rsidRPr="00093671">
        <w:rPr>
          <w:color w:val="0000FF"/>
          <w:sz w:val="20"/>
          <w:szCs w:val="20"/>
        </w:rPr>
        <w:t xml:space="preserve">assets and liabilities for each statement of financial position presented are translated at the closing rate at the end of the respective reporting period; </w:t>
      </w:r>
    </w:p>
    <w:p w14:paraId="0F81AAE8" w14:textId="77777777" w:rsidR="00093671" w:rsidRPr="00093671" w:rsidRDefault="00093671" w:rsidP="00093671">
      <w:pPr>
        <w:widowControl w:val="0"/>
        <w:numPr>
          <w:ilvl w:val="0"/>
          <w:numId w:val="5"/>
        </w:numPr>
        <w:pBdr>
          <w:top w:val="nil"/>
          <w:left w:val="nil"/>
          <w:bottom w:val="nil"/>
          <w:right w:val="nil"/>
          <w:between w:val="nil"/>
        </w:pBdr>
        <w:spacing w:before="100" w:after="100"/>
        <w:ind w:left="567" w:hanging="567"/>
        <w:jc w:val="both"/>
        <w:rPr>
          <w:color w:val="0000FF"/>
          <w:sz w:val="20"/>
          <w:szCs w:val="20"/>
        </w:rPr>
      </w:pPr>
      <w:r w:rsidRPr="00093671">
        <w:rPr>
          <w:color w:val="0000FF"/>
          <w:sz w:val="20"/>
          <w:szCs w:val="20"/>
        </w:rPr>
        <w:t xml:space="preserve">income and expenses are translated at average exchange rates (unless this average is not a reasonable approximation of the cumulative effect of the rates prevailing on the transaction dates, in which case income and expenses are translated at the dates of the transactions); </w:t>
      </w:r>
    </w:p>
    <w:p w14:paraId="7C8644D8" w14:textId="77777777" w:rsidR="00093671" w:rsidRPr="00093671" w:rsidRDefault="00093671" w:rsidP="00093671">
      <w:pPr>
        <w:widowControl w:val="0"/>
        <w:numPr>
          <w:ilvl w:val="0"/>
          <w:numId w:val="5"/>
        </w:numPr>
        <w:pBdr>
          <w:top w:val="nil"/>
          <w:left w:val="nil"/>
          <w:bottom w:val="nil"/>
          <w:right w:val="nil"/>
          <w:between w:val="nil"/>
        </w:pBdr>
        <w:spacing w:before="100" w:after="100"/>
        <w:ind w:left="567" w:hanging="567"/>
        <w:jc w:val="both"/>
        <w:rPr>
          <w:color w:val="0000FF"/>
          <w:sz w:val="20"/>
          <w:szCs w:val="20"/>
        </w:rPr>
      </w:pPr>
      <w:r w:rsidRPr="00093671">
        <w:rPr>
          <w:color w:val="0000FF"/>
          <w:sz w:val="20"/>
          <w:szCs w:val="20"/>
        </w:rPr>
        <w:t xml:space="preserve">components of equity are translated at the historic rate; and </w:t>
      </w:r>
    </w:p>
    <w:p w14:paraId="460C0602" w14:textId="77777777" w:rsidR="00093671" w:rsidRPr="00093671" w:rsidRDefault="00093671" w:rsidP="00093671">
      <w:pPr>
        <w:widowControl w:val="0"/>
        <w:numPr>
          <w:ilvl w:val="0"/>
          <w:numId w:val="5"/>
        </w:numPr>
        <w:pBdr>
          <w:top w:val="nil"/>
          <w:left w:val="nil"/>
          <w:bottom w:val="nil"/>
          <w:right w:val="nil"/>
          <w:between w:val="nil"/>
        </w:pBdr>
        <w:spacing w:before="100" w:after="100"/>
        <w:ind w:left="567" w:hanging="567"/>
        <w:jc w:val="both"/>
        <w:rPr>
          <w:color w:val="0000FF"/>
          <w:sz w:val="20"/>
          <w:szCs w:val="20"/>
        </w:rPr>
      </w:pPr>
      <w:r w:rsidRPr="00093671">
        <w:rPr>
          <w:color w:val="0000FF"/>
          <w:sz w:val="20"/>
          <w:szCs w:val="20"/>
        </w:rPr>
        <w:t>all resulting exchange differences are recognised in other comprehensive income.</w:t>
      </w:r>
    </w:p>
    <w:p w14:paraId="564F5803" w14:textId="7777777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When control over a foreign operation is lost, the exchange differences previously recognised in other comprehensive income are reclassified to profit or loss for the year as part of the gain or loss on disposal. On partial disposal of a subsidiary without loss of control, the related portion of accumulated currency translation differences is reclassified to non-controlling interest within equity.</w:t>
      </w:r>
    </w:p>
    <w:p w14:paraId="3CF04A66" w14:textId="7777777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Goodwill and fair value adjustments arising on the acquisition of a foreign entity are treated as assets and liabilities of the foreign entity and translated at the closing rate.</w:t>
      </w:r>
    </w:p>
    <w:p w14:paraId="696306B1" w14:textId="792F1E1B"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At 31 December </w:t>
      </w:r>
      <w:r w:rsidR="00541EBC">
        <w:rPr>
          <w:color w:val="0000FF"/>
          <w:sz w:val="20"/>
          <w:szCs w:val="20"/>
        </w:rPr>
        <w:t>2024</w:t>
      </w:r>
      <w:r w:rsidRPr="00093671">
        <w:rPr>
          <w:color w:val="0000FF"/>
          <w:sz w:val="20"/>
          <w:szCs w:val="20"/>
        </w:rPr>
        <w:t>, the principal rate of exchange used for translating foreign currency balances was USD 1 = EUR _____ (</w:t>
      </w:r>
      <w:r w:rsidR="00541EBC">
        <w:rPr>
          <w:color w:val="0000FF"/>
          <w:sz w:val="20"/>
          <w:szCs w:val="20"/>
        </w:rPr>
        <w:t>2023</w:t>
      </w:r>
      <w:r w:rsidRPr="00093671">
        <w:rPr>
          <w:color w:val="0000FF"/>
          <w:sz w:val="20"/>
          <w:szCs w:val="20"/>
        </w:rPr>
        <w:t>: USD 1 = EUR ______). The principal average rate of exchange used for translating income and expenses was USD 1 = EUR _____ (</w:t>
      </w:r>
      <w:r w:rsidR="00541EBC">
        <w:rPr>
          <w:color w:val="0000FF"/>
          <w:sz w:val="20"/>
          <w:szCs w:val="20"/>
        </w:rPr>
        <w:t>2023</w:t>
      </w:r>
      <w:r w:rsidRPr="00093671">
        <w:rPr>
          <w:color w:val="0000FF"/>
          <w:sz w:val="20"/>
          <w:szCs w:val="20"/>
        </w:rPr>
        <w:t>: USD 1 = EUR ______).]</w:t>
      </w:r>
    </w:p>
    <w:p w14:paraId="170493C3" w14:textId="0367C184" w:rsidR="00093671" w:rsidRDefault="00093671" w:rsidP="00093671">
      <w:pPr>
        <w:widowControl w:val="0"/>
        <w:pBdr>
          <w:top w:val="nil"/>
          <w:left w:val="nil"/>
          <w:bottom w:val="nil"/>
          <w:right w:val="nil"/>
          <w:between w:val="nil"/>
        </w:pBdr>
        <w:spacing w:before="200" w:after="200"/>
        <w:jc w:val="both"/>
        <w:rPr>
          <w:i/>
          <w:color w:val="FF0000"/>
          <w:sz w:val="20"/>
          <w:szCs w:val="20"/>
        </w:rPr>
      </w:pPr>
      <w:r>
        <w:rPr>
          <w:i/>
          <w:color w:val="FF0000"/>
          <w:sz w:val="20"/>
          <w:szCs w:val="20"/>
        </w:rPr>
        <w:t xml:space="preserve">[If the Group reports/presents in a currency other than the parent company’s functional currency, it must separately disclose the reasons – IAS 21.53.] [Note that the above policies do not cover hyperinflation.] </w:t>
      </w:r>
    </w:p>
    <w:p w14:paraId="32F6062D" w14:textId="77777777" w:rsidR="00093671" w:rsidRDefault="00093671"/>
    <w:p w14:paraId="5FA7F629" w14:textId="77777777" w:rsidR="00D83E33" w:rsidRDefault="00BC4072" w:rsidP="001B330E">
      <w:pPr>
        <w:pStyle w:val="Heading1"/>
        <w:pageBreakBefore/>
      </w:pPr>
      <w:bookmarkStart w:id="97" w:name="_Toc179196034"/>
      <w:r w:rsidRPr="004607BE">
        <w:lastRenderedPageBreak/>
        <w:t>Interest</w:t>
      </w:r>
      <w:r>
        <w:t xml:space="preserve"> Income and Expense</w:t>
      </w:r>
      <w:bookmarkEnd w:id="97"/>
    </w:p>
    <w:tbl>
      <w:tblPr>
        <w:tblStyle w:val="affffffffffff1"/>
        <w:tblW w:w="5000" w:type="pct"/>
        <w:tblLayout w:type="fixed"/>
        <w:tblLook w:val="0000" w:firstRow="0" w:lastRow="0" w:firstColumn="0" w:lastColumn="0" w:noHBand="0" w:noVBand="0"/>
      </w:tblPr>
      <w:tblGrid>
        <w:gridCol w:w="6295"/>
        <w:gridCol w:w="1530"/>
        <w:gridCol w:w="1530"/>
      </w:tblGrid>
      <w:tr w:rsidR="00D83E33" w:rsidRPr="00EA10CF" w14:paraId="034BBD1A" w14:textId="77777777" w:rsidTr="001B330E">
        <w:trPr>
          <w:trHeight w:val="23"/>
        </w:trPr>
        <w:tc>
          <w:tcPr>
            <w:tcW w:w="3364" w:type="pct"/>
            <w:tcBorders>
              <w:bottom w:val="single" w:sz="4" w:space="0" w:color="000000"/>
            </w:tcBorders>
            <w:vAlign w:val="bottom"/>
          </w:tcPr>
          <w:p w14:paraId="499B5D68" w14:textId="30C6560E"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18" w:type="pct"/>
            <w:tcBorders>
              <w:bottom w:val="single" w:sz="4" w:space="0" w:color="000000"/>
            </w:tcBorders>
            <w:vAlign w:val="bottom"/>
          </w:tcPr>
          <w:p w14:paraId="685B48CD" w14:textId="47F4BCCE" w:rsidR="00D83E33" w:rsidRPr="00EA10CF" w:rsidRDefault="00541EBC" w:rsidP="001B330E">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1104E181" w14:textId="12FBFBE9" w:rsidR="00D83E33" w:rsidRPr="00EA10CF" w:rsidRDefault="00541EBC" w:rsidP="001B330E">
            <w:pPr>
              <w:widowControl w:val="0"/>
              <w:pBdr>
                <w:top w:val="nil"/>
                <w:left w:val="nil"/>
                <w:bottom w:val="nil"/>
                <w:right w:val="nil"/>
                <w:between w:val="nil"/>
              </w:pBdr>
              <w:jc w:val="right"/>
              <w:rPr>
                <w:b/>
                <w:color w:val="000000"/>
              </w:rPr>
            </w:pPr>
            <w:r>
              <w:rPr>
                <w:b/>
                <w:color w:val="000000"/>
              </w:rPr>
              <w:t>2023</w:t>
            </w:r>
          </w:p>
        </w:tc>
      </w:tr>
      <w:tr w:rsidR="00D83E33" w:rsidRPr="00EA10CF" w14:paraId="5C45E615" w14:textId="77777777" w:rsidTr="001B330E">
        <w:trPr>
          <w:trHeight w:val="23"/>
        </w:trPr>
        <w:tc>
          <w:tcPr>
            <w:tcW w:w="3364" w:type="pct"/>
            <w:tcBorders>
              <w:top w:val="single" w:sz="4" w:space="0" w:color="000000"/>
            </w:tcBorders>
            <w:vAlign w:val="bottom"/>
          </w:tcPr>
          <w:p w14:paraId="69AB3936" w14:textId="77777777" w:rsidR="00D83E33" w:rsidRPr="001B330E" w:rsidRDefault="00BC4072" w:rsidP="001B330E">
            <w:pPr>
              <w:widowControl w:val="0"/>
              <w:ind w:left="113" w:hanging="113"/>
              <w:rPr>
                <w:szCs w:val="10"/>
              </w:rPr>
            </w:pPr>
            <w:r w:rsidRPr="001B330E">
              <w:rPr>
                <w:szCs w:val="10"/>
              </w:rPr>
              <w:t> </w:t>
            </w:r>
          </w:p>
        </w:tc>
        <w:tc>
          <w:tcPr>
            <w:tcW w:w="818" w:type="pct"/>
            <w:tcBorders>
              <w:top w:val="single" w:sz="4" w:space="0" w:color="000000"/>
            </w:tcBorders>
            <w:vAlign w:val="bottom"/>
          </w:tcPr>
          <w:p w14:paraId="68BEAEFD"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top w:val="single" w:sz="4" w:space="0" w:color="000000"/>
            </w:tcBorders>
            <w:vAlign w:val="bottom"/>
          </w:tcPr>
          <w:p w14:paraId="764BFD6B"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0C7A55FE" w14:textId="77777777" w:rsidTr="001B330E">
        <w:trPr>
          <w:trHeight w:val="23"/>
        </w:trPr>
        <w:tc>
          <w:tcPr>
            <w:tcW w:w="3364" w:type="pct"/>
            <w:vAlign w:val="bottom"/>
          </w:tcPr>
          <w:p w14:paraId="0098A958"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Interest income calculated using the effective interest method</w:t>
            </w:r>
          </w:p>
        </w:tc>
        <w:tc>
          <w:tcPr>
            <w:tcW w:w="818" w:type="pct"/>
            <w:vAlign w:val="bottom"/>
          </w:tcPr>
          <w:p w14:paraId="7BA55627"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10E7176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4457DD8" w14:textId="77777777" w:rsidTr="001B330E">
        <w:trPr>
          <w:trHeight w:val="23"/>
        </w:trPr>
        <w:tc>
          <w:tcPr>
            <w:tcW w:w="3364" w:type="pct"/>
            <w:vAlign w:val="bottom"/>
          </w:tcPr>
          <w:p w14:paraId="4C4196E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Loans and advances to customers at AC</w:t>
            </w:r>
          </w:p>
        </w:tc>
        <w:tc>
          <w:tcPr>
            <w:tcW w:w="818" w:type="pct"/>
            <w:vAlign w:val="bottom"/>
          </w:tcPr>
          <w:p w14:paraId="0B46635A"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265E21DA" w14:textId="77777777" w:rsidR="00D83E33" w:rsidRPr="00EA10CF" w:rsidRDefault="00BC4072" w:rsidP="001B330E">
            <w:pPr>
              <w:widowControl w:val="0"/>
              <w:pBdr>
                <w:top w:val="nil"/>
                <w:left w:val="nil"/>
                <w:bottom w:val="nil"/>
                <w:right w:val="nil"/>
                <w:between w:val="nil"/>
              </w:pBdr>
              <w:jc w:val="right"/>
              <w:rPr>
                <w:color w:val="000000"/>
              </w:rPr>
            </w:pPr>
            <w:r w:rsidRPr="00EA10CF">
              <w:rPr>
                <w:color w:val="000000"/>
              </w:rPr>
              <w:t>-</w:t>
            </w:r>
          </w:p>
        </w:tc>
      </w:tr>
      <w:tr w:rsidR="00D83E33" w:rsidRPr="00EA10CF" w14:paraId="3ED8DA41" w14:textId="77777777" w:rsidTr="001B330E">
        <w:trPr>
          <w:trHeight w:val="23"/>
        </w:trPr>
        <w:tc>
          <w:tcPr>
            <w:tcW w:w="3364" w:type="pct"/>
            <w:shd w:val="clear" w:color="auto" w:fill="auto"/>
            <w:vAlign w:val="bottom"/>
          </w:tcPr>
          <w:p w14:paraId="78F96C2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Debt securities at FVOCI </w:t>
            </w:r>
          </w:p>
        </w:tc>
        <w:tc>
          <w:tcPr>
            <w:tcW w:w="818" w:type="pct"/>
            <w:shd w:val="clear" w:color="auto" w:fill="auto"/>
            <w:vAlign w:val="bottom"/>
          </w:tcPr>
          <w:p w14:paraId="13B82111"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19D94280" w14:textId="77777777" w:rsidR="00D83E33" w:rsidRPr="00EA10CF" w:rsidRDefault="00BC4072" w:rsidP="001B330E">
            <w:pPr>
              <w:widowControl w:val="0"/>
              <w:pBdr>
                <w:top w:val="nil"/>
                <w:left w:val="nil"/>
                <w:bottom w:val="nil"/>
                <w:right w:val="nil"/>
                <w:between w:val="nil"/>
              </w:pBdr>
              <w:jc w:val="right"/>
              <w:rPr>
                <w:color w:val="000000"/>
              </w:rPr>
            </w:pPr>
            <w:r w:rsidRPr="00EA10CF">
              <w:rPr>
                <w:color w:val="000000"/>
              </w:rPr>
              <w:t>-</w:t>
            </w:r>
          </w:p>
        </w:tc>
      </w:tr>
      <w:tr w:rsidR="00D83E33" w:rsidRPr="00EA10CF" w14:paraId="03AE2251" w14:textId="77777777" w:rsidTr="001B330E">
        <w:trPr>
          <w:trHeight w:val="23"/>
        </w:trPr>
        <w:tc>
          <w:tcPr>
            <w:tcW w:w="3364" w:type="pct"/>
            <w:shd w:val="clear" w:color="auto" w:fill="auto"/>
            <w:vAlign w:val="bottom"/>
          </w:tcPr>
          <w:p w14:paraId="2039BA7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at AC</w:t>
            </w:r>
          </w:p>
        </w:tc>
        <w:tc>
          <w:tcPr>
            <w:tcW w:w="818" w:type="pct"/>
            <w:shd w:val="clear" w:color="auto" w:fill="auto"/>
            <w:vAlign w:val="bottom"/>
          </w:tcPr>
          <w:p w14:paraId="61B352AD"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3777A2D2"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D99675F" w14:textId="77777777" w:rsidTr="001B330E">
        <w:trPr>
          <w:trHeight w:val="23"/>
        </w:trPr>
        <w:tc>
          <w:tcPr>
            <w:tcW w:w="3364" w:type="pct"/>
            <w:shd w:val="clear" w:color="auto" w:fill="auto"/>
            <w:vAlign w:val="bottom"/>
          </w:tcPr>
          <w:p w14:paraId="4A67309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Due from other banks at AC</w:t>
            </w:r>
          </w:p>
        </w:tc>
        <w:tc>
          <w:tcPr>
            <w:tcW w:w="818" w:type="pct"/>
            <w:shd w:val="clear" w:color="auto" w:fill="auto"/>
            <w:vAlign w:val="bottom"/>
          </w:tcPr>
          <w:p w14:paraId="73C0601B"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3633D5AF" w14:textId="77777777" w:rsidR="00D83E33" w:rsidRPr="00EA10CF" w:rsidRDefault="00D83E33" w:rsidP="001B330E">
            <w:pPr>
              <w:widowControl w:val="0"/>
              <w:pBdr>
                <w:top w:val="nil"/>
                <w:left w:val="nil"/>
                <w:bottom w:val="nil"/>
                <w:right w:val="nil"/>
                <w:between w:val="nil"/>
              </w:pBdr>
              <w:jc w:val="right"/>
              <w:rPr>
                <w:color w:val="000000"/>
              </w:rPr>
            </w:pPr>
          </w:p>
        </w:tc>
      </w:tr>
      <w:tr w:rsidR="00176C5B" w:rsidRPr="00EA10CF" w14:paraId="48768D94" w14:textId="77777777" w:rsidTr="001B330E">
        <w:trPr>
          <w:trHeight w:val="23"/>
        </w:trPr>
        <w:tc>
          <w:tcPr>
            <w:tcW w:w="3364" w:type="pct"/>
            <w:shd w:val="clear" w:color="auto" w:fill="auto"/>
            <w:vAlign w:val="bottom"/>
          </w:tcPr>
          <w:p w14:paraId="0CBC0DFE" w14:textId="67718DF2" w:rsidR="00176C5B" w:rsidRPr="00EA10CF" w:rsidRDefault="00176C5B" w:rsidP="001B330E">
            <w:pPr>
              <w:widowControl w:val="0"/>
              <w:pBdr>
                <w:top w:val="nil"/>
                <w:left w:val="nil"/>
                <w:bottom w:val="nil"/>
                <w:right w:val="nil"/>
                <w:between w:val="nil"/>
              </w:pBdr>
              <w:ind w:left="113" w:hanging="113"/>
              <w:rPr>
                <w:color w:val="000000"/>
              </w:rPr>
            </w:pPr>
            <w:r>
              <w:rPr>
                <w:color w:val="000000"/>
              </w:rPr>
              <w:t>Cash and cash equivalents</w:t>
            </w:r>
          </w:p>
        </w:tc>
        <w:tc>
          <w:tcPr>
            <w:tcW w:w="818" w:type="pct"/>
            <w:shd w:val="clear" w:color="auto" w:fill="auto"/>
            <w:vAlign w:val="bottom"/>
          </w:tcPr>
          <w:p w14:paraId="25717F86" w14:textId="77777777" w:rsidR="00176C5B" w:rsidRPr="00EA10CF" w:rsidRDefault="00176C5B"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0E35FEA4" w14:textId="77777777" w:rsidR="00176C5B" w:rsidRPr="00EA10CF" w:rsidRDefault="00176C5B" w:rsidP="001B330E">
            <w:pPr>
              <w:widowControl w:val="0"/>
              <w:pBdr>
                <w:top w:val="nil"/>
                <w:left w:val="nil"/>
                <w:bottom w:val="nil"/>
                <w:right w:val="nil"/>
                <w:between w:val="nil"/>
              </w:pBdr>
              <w:jc w:val="right"/>
              <w:rPr>
                <w:color w:val="000000"/>
              </w:rPr>
            </w:pPr>
          </w:p>
        </w:tc>
      </w:tr>
      <w:tr w:rsidR="00D83E33" w:rsidRPr="00EA10CF" w14:paraId="1960A880" w14:textId="77777777" w:rsidTr="001B330E">
        <w:trPr>
          <w:trHeight w:val="23"/>
        </w:trPr>
        <w:tc>
          <w:tcPr>
            <w:tcW w:w="3364" w:type="pct"/>
            <w:shd w:val="clear" w:color="auto" w:fill="auto"/>
            <w:vAlign w:val="bottom"/>
          </w:tcPr>
          <w:p w14:paraId="011FAEB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Repurchase receivables – debt securities at FVOCI </w:t>
            </w:r>
          </w:p>
        </w:tc>
        <w:tc>
          <w:tcPr>
            <w:tcW w:w="818" w:type="pct"/>
            <w:shd w:val="clear" w:color="auto" w:fill="auto"/>
            <w:vAlign w:val="bottom"/>
          </w:tcPr>
          <w:p w14:paraId="377D3D20"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5A9ECE64" w14:textId="77777777" w:rsidR="00D83E33" w:rsidRPr="00EA10CF" w:rsidRDefault="00BC4072" w:rsidP="001B330E">
            <w:pPr>
              <w:widowControl w:val="0"/>
              <w:pBdr>
                <w:top w:val="nil"/>
                <w:left w:val="nil"/>
                <w:bottom w:val="nil"/>
                <w:right w:val="nil"/>
                <w:between w:val="nil"/>
              </w:pBdr>
              <w:jc w:val="right"/>
              <w:rPr>
                <w:color w:val="000000"/>
              </w:rPr>
            </w:pPr>
            <w:r w:rsidRPr="00EA10CF">
              <w:rPr>
                <w:color w:val="000000"/>
              </w:rPr>
              <w:t>-</w:t>
            </w:r>
          </w:p>
        </w:tc>
      </w:tr>
      <w:tr w:rsidR="00D83E33" w:rsidRPr="00EA10CF" w14:paraId="1B9CF1BA" w14:textId="77777777" w:rsidTr="001B330E">
        <w:trPr>
          <w:trHeight w:val="23"/>
        </w:trPr>
        <w:tc>
          <w:tcPr>
            <w:tcW w:w="3364" w:type="pct"/>
            <w:shd w:val="clear" w:color="auto" w:fill="auto"/>
            <w:vAlign w:val="bottom"/>
          </w:tcPr>
          <w:p w14:paraId="2C2CE5A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Repurchase receivables – debt securities at AC</w:t>
            </w:r>
          </w:p>
        </w:tc>
        <w:tc>
          <w:tcPr>
            <w:tcW w:w="818" w:type="pct"/>
            <w:shd w:val="clear" w:color="auto" w:fill="auto"/>
            <w:vAlign w:val="bottom"/>
          </w:tcPr>
          <w:p w14:paraId="517234FE"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2567D682" w14:textId="77777777" w:rsidR="00D83E33" w:rsidRPr="00EA10CF" w:rsidRDefault="00BC4072" w:rsidP="001B330E">
            <w:pPr>
              <w:widowControl w:val="0"/>
              <w:pBdr>
                <w:top w:val="nil"/>
                <w:left w:val="nil"/>
                <w:bottom w:val="nil"/>
                <w:right w:val="nil"/>
                <w:between w:val="nil"/>
              </w:pBdr>
              <w:jc w:val="right"/>
              <w:rPr>
                <w:color w:val="000000"/>
              </w:rPr>
            </w:pPr>
            <w:r w:rsidRPr="00EA10CF">
              <w:rPr>
                <w:color w:val="000000"/>
              </w:rPr>
              <w:t>-</w:t>
            </w:r>
          </w:p>
        </w:tc>
      </w:tr>
      <w:tr w:rsidR="00D83E33" w:rsidRPr="00EA10CF" w14:paraId="5B46575F" w14:textId="77777777" w:rsidTr="001B330E">
        <w:trPr>
          <w:trHeight w:val="23"/>
        </w:trPr>
        <w:tc>
          <w:tcPr>
            <w:tcW w:w="3364" w:type="pct"/>
            <w:tcBorders>
              <w:bottom w:val="single" w:sz="4" w:space="0" w:color="000000"/>
            </w:tcBorders>
            <w:shd w:val="clear" w:color="auto" w:fill="auto"/>
            <w:vAlign w:val="bottom"/>
          </w:tcPr>
          <w:p w14:paraId="6EF21E65"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818" w:type="pct"/>
            <w:tcBorders>
              <w:bottom w:val="single" w:sz="4" w:space="0" w:color="000000"/>
            </w:tcBorders>
            <w:shd w:val="clear" w:color="auto" w:fill="auto"/>
            <w:vAlign w:val="bottom"/>
          </w:tcPr>
          <w:p w14:paraId="598500E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bottom w:val="single" w:sz="4" w:space="0" w:color="000000"/>
            </w:tcBorders>
            <w:shd w:val="clear" w:color="auto" w:fill="auto"/>
            <w:vAlign w:val="bottom"/>
          </w:tcPr>
          <w:p w14:paraId="5E7F78B3"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2A57A629" w14:textId="77777777" w:rsidTr="001B330E">
        <w:trPr>
          <w:trHeight w:val="23"/>
        </w:trPr>
        <w:tc>
          <w:tcPr>
            <w:tcW w:w="3364" w:type="pct"/>
            <w:tcBorders>
              <w:top w:val="single" w:sz="4" w:space="0" w:color="000000"/>
            </w:tcBorders>
            <w:shd w:val="clear" w:color="auto" w:fill="auto"/>
            <w:vAlign w:val="bottom"/>
          </w:tcPr>
          <w:p w14:paraId="3492CA61"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818" w:type="pct"/>
            <w:tcBorders>
              <w:top w:val="single" w:sz="4" w:space="0" w:color="000000"/>
            </w:tcBorders>
            <w:shd w:val="clear" w:color="auto" w:fill="auto"/>
            <w:vAlign w:val="bottom"/>
          </w:tcPr>
          <w:p w14:paraId="7E6AB02B"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top w:val="single" w:sz="4" w:space="0" w:color="000000"/>
            </w:tcBorders>
            <w:shd w:val="clear" w:color="auto" w:fill="auto"/>
            <w:vAlign w:val="bottom"/>
          </w:tcPr>
          <w:p w14:paraId="5DF56605"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7ACAD357" w14:textId="77777777" w:rsidTr="001B330E">
        <w:trPr>
          <w:trHeight w:val="23"/>
        </w:trPr>
        <w:tc>
          <w:tcPr>
            <w:tcW w:w="3364" w:type="pct"/>
            <w:shd w:val="clear" w:color="auto" w:fill="auto"/>
            <w:vAlign w:val="bottom"/>
          </w:tcPr>
          <w:p w14:paraId="7F8E2C4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interest income calculated using the effective interest method</w:t>
            </w:r>
          </w:p>
        </w:tc>
        <w:tc>
          <w:tcPr>
            <w:tcW w:w="818" w:type="pct"/>
            <w:shd w:val="clear" w:color="auto" w:fill="auto"/>
            <w:vAlign w:val="bottom"/>
          </w:tcPr>
          <w:p w14:paraId="0C45F1F8"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72607DE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573ADEB" w14:textId="77777777" w:rsidTr="001B330E">
        <w:trPr>
          <w:trHeight w:val="23"/>
        </w:trPr>
        <w:tc>
          <w:tcPr>
            <w:tcW w:w="3364" w:type="pct"/>
            <w:tcBorders>
              <w:bottom w:val="single" w:sz="4" w:space="0" w:color="000000"/>
            </w:tcBorders>
            <w:shd w:val="clear" w:color="auto" w:fill="auto"/>
            <w:vAlign w:val="bottom"/>
          </w:tcPr>
          <w:p w14:paraId="521ABB4C"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818" w:type="pct"/>
            <w:tcBorders>
              <w:bottom w:val="single" w:sz="4" w:space="0" w:color="000000"/>
            </w:tcBorders>
            <w:shd w:val="clear" w:color="auto" w:fill="auto"/>
            <w:vAlign w:val="bottom"/>
          </w:tcPr>
          <w:p w14:paraId="669034D7"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bottom w:val="single" w:sz="4" w:space="0" w:color="000000"/>
            </w:tcBorders>
            <w:shd w:val="clear" w:color="auto" w:fill="auto"/>
            <w:vAlign w:val="bottom"/>
          </w:tcPr>
          <w:p w14:paraId="4547FAF7"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68DAC0A5" w14:textId="77777777" w:rsidTr="001B330E">
        <w:trPr>
          <w:trHeight w:val="23"/>
        </w:trPr>
        <w:tc>
          <w:tcPr>
            <w:tcW w:w="3364" w:type="pct"/>
            <w:tcBorders>
              <w:top w:val="single" w:sz="4" w:space="0" w:color="000000"/>
            </w:tcBorders>
            <w:shd w:val="clear" w:color="auto" w:fill="auto"/>
            <w:vAlign w:val="bottom"/>
          </w:tcPr>
          <w:p w14:paraId="71E4088E"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818" w:type="pct"/>
            <w:tcBorders>
              <w:top w:val="single" w:sz="4" w:space="0" w:color="000000"/>
            </w:tcBorders>
            <w:shd w:val="clear" w:color="auto" w:fill="auto"/>
            <w:vAlign w:val="bottom"/>
          </w:tcPr>
          <w:p w14:paraId="542916E9"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top w:val="single" w:sz="4" w:space="0" w:color="000000"/>
            </w:tcBorders>
            <w:shd w:val="clear" w:color="auto" w:fill="auto"/>
            <w:vAlign w:val="bottom"/>
          </w:tcPr>
          <w:p w14:paraId="4760D511"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501BE299" w14:textId="77777777" w:rsidTr="001B330E">
        <w:trPr>
          <w:trHeight w:val="23"/>
        </w:trPr>
        <w:tc>
          <w:tcPr>
            <w:tcW w:w="3364" w:type="pct"/>
            <w:shd w:val="clear" w:color="auto" w:fill="auto"/>
            <w:vAlign w:val="bottom"/>
          </w:tcPr>
          <w:p w14:paraId="2B1D611F"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Other similar income</w:t>
            </w:r>
          </w:p>
        </w:tc>
        <w:tc>
          <w:tcPr>
            <w:tcW w:w="818" w:type="pct"/>
            <w:shd w:val="clear" w:color="auto" w:fill="auto"/>
            <w:vAlign w:val="bottom"/>
          </w:tcPr>
          <w:p w14:paraId="21239A4F"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6DE39D7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3B1A188" w14:textId="77777777" w:rsidTr="001B330E">
        <w:trPr>
          <w:trHeight w:val="23"/>
        </w:trPr>
        <w:tc>
          <w:tcPr>
            <w:tcW w:w="3364" w:type="pct"/>
            <w:shd w:val="clear" w:color="auto" w:fill="auto"/>
            <w:vAlign w:val="bottom"/>
          </w:tcPr>
          <w:p w14:paraId="58D0ECC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at FVTPL</w:t>
            </w:r>
          </w:p>
        </w:tc>
        <w:tc>
          <w:tcPr>
            <w:tcW w:w="818" w:type="pct"/>
            <w:shd w:val="clear" w:color="auto" w:fill="auto"/>
            <w:vAlign w:val="bottom"/>
          </w:tcPr>
          <w:p w14:paraId="6219AA3F"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0DA5260E" w14:textId="77777777" w:rsidR="00D83E33" w:rsidRPr="00EA10CF" w:rsidRDefault="00BC4072" w:rsidP="001B330E">
            <w:pPr>
              <w:widowControl w:val="0"/>
              <w:pBdr>
                <w:top w:val="nil"/>
                <w:left w:val="nil"/>
                <w:bottom w:val="nil"/>
                <w:right w:val="nil"/>
                <w:between w:val="nil"/>
              </w:pBdr>
              <w:jc w:val="right"/>
              <w:rPr>
                <w:color w:val="000000"/>
              </w:rPr>
            </w:pPr>
            <w:r w:rsidRPr="00EA10CF">
              <w:rPr>
                <w:color w:val="000000"/>
              </w:rPr>
              <w:t>-</w:t>
            </w:r>
          </w:p>
        </w:tc>
      </w:tr>
      <w:tr w:rsidR="00D83E33" w:rsidRPr="00EA10CF" w14:paraId="2BF1AB94" w14:textId="77777777" w:rsidTr="001B330E">
        <w:trPr>
          <w:trHeight w:val="23"/>
        </w:trPr>
        <w:tc>
          <w:tcPr>
            <w:tcW w:w="3364" w:type="pct"/>
            <w:shd w:val="clear" w:color="auto" w:fill="auto"/>
            <w:vAlign w:val="bottom"/>
          </w:tcPr>
          <w:p w14:paraId="208EABF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Repurchase receivables – debt securities at FVTPL </w:t>
            </w:r>
          </w:p>
        </w:tc>
        <w:tc>
          <w:tcPr>
            <w:tcW w:w="818" w:type="pct"/>
            <w:shd w:val="clear" w:color="auto" w:fill="auto"/>
            <w:vAlign w:val="bottom"/>
          </w:tcPr>
          <w:p w14:paraId="1C67AFC5"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50CEE345" w14:textId="77777777" w:rsidR="00D83E33" w:rsidRPr="00EA10CF" w:rsidRDefault="00BC4072" w:rsidP="001B330E">
            <w:pPr>
              <w:widowControl w:val="0"/>
              <w:pBdr>
                <w:top w:val="nil"/>
                <w:left w:val="nil"/>
                <w:bottom w:val="nil"/>
                <w:right w:val="nil"/>
                <w:between w:val="nil"/>
              </w:pBdr>
              <w:jc w:val="right"/>
              <w:rPr>
                <w:color w:val="000000"/>
              </w:rPr>
            </w:pPr>
            <w:r w:rsidRPr="00EA10CF">
              <w:rPr>
                <w:color w:val="000000"/>
              </w:rPr>
              <w:t>-</w:t>
            </w:r>
          </w:p>
        </w:tc>
      </w:tr>
      <w:tr w:rsidR="00D83E33" w:rsidRPr="00EA10CF" w14:paraId="30FBB3ED" w14:textId="77777777" w:rsidTr="001B330E">
        <w:trPr>
          <w:trHeight w:val="23"/>
        </w:trPr>
        <w:tc>
          <w:tcPr>
            <w:tcW w:w="3364" w:type="pct"/>
            <w:shd w:val="clear" w:color="auto" w:fill="auto"/>
            <w:vAlign w:val="bottom"/>
          </w:tcPr>
          <w:p w14:paraId="71501A9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Cash and cash equivalents</w:t>
            </w:r>
          </w:p>
        </w:tc>
        <w:tc>
          <w:tcPr>
            <w:tcW w:w="818" w:type="pct"/>
            <w:shd w:val="clear" w:color="auto" w:fill="auto"/>
            <w:vAlign w:val="bottom"/>
          </w:tcPr>
          <w:p w14:paraId="2919EEAD"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62E61D3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8ED9F50" w14:textId="77777777" w:rsidTr="001B330E">
        <w:trPr>
          <w:trHeight w:val="23"/>
        </w:trPr>
        <w:tc>
          <w:tcPr>
            <w:tcW w:w="3364" w:type="pct"/>
            <w:shd w:val="clear" w:color="auto" w:fill="auto"/>
            <w:vAlign w:val="bottom"/>
          </w:tcPr>
          <w:p w14:paraId="433268FC"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[Finance lease receivables]</w:t>
            </w:r>
          </w:p>
        </w:tc>
        <w:tc>
          <w:tcPr>
            <w:tcW w:w="818" w:type="pct"/>
            <w:shd w:val="clear" w:color="auto" w:fill="auto"/>
            <w:vAlign w:val="bottom"/>
          </w:tcPr>
          <w:p w14:paraId="7FF255DF"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0ED5536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E27D650" w14:textId="77777777" w:rsidTr="001B330E">
        <w:trPr>
          <w:trHeight w:val="23"/>
        </w:trPr>
        <w:tc>
          <w:tcPr>
            <w:tcW w:w="3364" w:type="pct"/>
            <w:shd w:val="clear" w:color="auto" w:fill="auto"/>
            <w:vAlign w:val="bottom"/>
          </w:tcPr>
          <w:p w14:paraId="3F05946F" w14:textId="0369E652" w:rsidR="00D83E33" w:rsidRPr="00EA10CF" w:rsidRDefault="00BC4072" w:rsidP="001B330E">
            <w:pPr>
              <w:widowControl w:val="0"/>
              <w:ind w:left="113" w:hanging="113"/>
            </w:pPr>
            <w:r w:rsidRPr="00EA10CF">
              <w:t xml:space="preserve">Other </w:t>
            </w:r>
          </w:p>
        </w:tc>
        <w:tc>
          <w:tcPr>
            <w:tcW w:w="818" w:type="pct"/>
            <w:shd w:val="clear" w:color="auto" w:fill="auto"/>
            <w:vAlign w:val="bottom"/>
          </w:tcPr>
          <w:p w14:paraId="541C2E08"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581EBC3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AEBC6F8" w14:textId="77777777" w:rsidTr="001B330E">
        <w:trPr>
          <w:trHeight w:val="23"/>
        </w:trPr>
        <w:tc>
          <w:tcPr>
            <w:tcW w:w="3364" w:type="pct"/>
            <w:tcBorders>
              <w:bottom w:val="single" w:sz="4" w:space="0" w:color="000000"/>
            </w:tcBorders>
            <w:shd w:val="clear" w:color="auto" w:fill="auto"/>
            <w:vAlign w:val="bottom"/>
          </w:tcPr>
          <w:p w14:paraId="49557B5A" w14:textId="77777777" w:rsidR="00D83E33" w:rsidRPr="001B330E" w:rsidRDefault="00BC4072" w:rsidP="001B330E">
            <w:pPr>
              <w:widowControl w:val="0"/>
              <w:ind w:left="113" w:hanging="113"/>
              <w:rPr>
                <w:szCs w:val="10"/>
              </w:rPr>
            </w:pPr>
            <w:r w:rsidRPr="001B330E">
              <w:rPr>
                <w:szCs w:val="10"/>
              </w:rPr>
              <w:t> </w:t>
            </w:r>
          </w:p>
        </w:tc>
        <w:tc>
          <w:tcPr>
            <w:tcW w:w="818" w:type="pct"/>
            <w:tcBorders>
              <w:bottom w:val="single" w:sz="4" w:space="0" w:color="000000"/>
            </w:tcBorders>
            <w:shd w:val="clear" w:color="auto" w:fill="auto"/>
            <w:vAlign w:val="bottom"/>
          </w:tcPr>
          <w:p w14:paraId="6F69FFB0"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bottom w:val="single" w:sz="4" w:space="0" w:color="000000"/>
            </w:tcBorders>
            <w:shd w:val="clear" w:color="auto" w:fill="auto"/>
            <w:vAlign w:val="bottom"/>
          </w:tcPr>
          <w:p w14:paraId="5082F487"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3D875694" w14:textId="77777777" w:rsidTr="001B330E">
        <w:trPr>
          <w:trHeight w:val="23"/>
        </w:trPr>
        <w:tc>
          <w:tcPr>
            <w:tcW w:w="3364" w:type="pct"/>
            <w:tcBorders>
              <w:top w:val="single" w:sz="4" w:space="0" w:color="000000"/>
            </w:tcBorders>
            <w:shd w:val="clear" w:color="auto" w:fill="auto"/>
            <w:vAlign w:val="bottom"/>
          </w:tcPr>
          <w:p w14:paraId="523CEF76"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818" w:type="pct"/>
            <w:tcBorders>
              <w:top w:val="single" w:sz="4" w:space="0" w:color="000000"/>
            </w:tcBorders>
            <w:shd w:val="clear" w:color="auto" w:fill="auto"/>
            <w:vAlign w:val="bottom"/>
          </w:tcPr>
          <w:p w14:paraId="06BB53C5"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top w:val="single" w:sz="4" w:space="0" w:color="000000"/>
            </w:tcBorders>
            <w:shd w:val="clear" w:color="auto" w:fill="auto"/>
            <w:vAlign w:val="bottom"/>
          </w:tcPr>
          <w:p w14:paraId="5B894E22"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79137C8C" w14:textId="77777777" w:rsidTr="001B330E">
        <w:trPr>
          <w:trHeight w:val="23"/>
        </w:trPr>
        <w:tc>
          <w:tcPr>
            <w:tcW w:w="3364" w:type="pct"/>
            <w:shd w:val="clear" w:color="auto" w:fill="auto"/>
            <w:vAlign w:val="bottom"/>
          </w:tcPr>
          <w:p w14:paraId="0C1138A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Total other similar income </w:t>
            </w:r>
          </w:p>
        </w:tc>
        <w:tc>
          <w:tcPr>
            <w:tcW w:w="818" w:type="pct"/>
            <w:shd w:val="clear" w:color="auto" w:fill="auto"/>
            <w:vAlign w:val="bottom"/>
          </w:tcPr>
          <w:p w14:paraId="0BB6D35B"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shd w:val="clear" w:color="auto" w:fill="auto"/>
            <w:vAlign w:val="bottom"/>
          </w:tcPr>
          <w:p w14:paraId="7FD7137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4537678" w14:textId="77777777" w:rsidTr="001B330E">
        <w:trPr>
          <w:trHeight w:val="23"/>
        </w:trPr>
        <w:tc>
          <w:tcPr>
            <w:tcW w:w="3364" w:type="pct"/>
            <w:tcBorders>
              <w:bottom w:val="single" w:sz="4" w:space="0" w:color="000000"/>
            </w:tcBorders>
            <w:shd w:val="clear" w:color="auto" w:fill="auto"/>
            <w:vAlign w:val="bottom"/>
          </w:tcPr>
          <w:p w14:paraId="7B9DF47A" w14:textId="77777777" w:rsidR="00D83E33" w:rsidRPr="001B330E" w:rsidRDefault="00D83E33" w:rsidP="001B330E">
            <w:pPr>
              <w:widowControl w:val="0"/>
              <w:pBdr>
                <w:top w:val="nil"/>
                <w:left w:val="nil"/>
                <w:bottom w:val="nil"/>
                <w:right w:val="nil"/>
                <w:between w:val="nil"/>
              </w:pBdr>
              <w:ind w:left="113" w:hanging="113"/>
              <w:rPr>
                <w:color w:val="000000"/>
                <w:szCs w:val="10"/>
              </w:rPr>
            </w:pPr>
          </w:p>
        </w:tc>
        <w:tc>
          <w:tcPr>
            <w:tcW w:w="818" w:type="pct"/>
            <w:tcBorders>
              <w:bottom w:val="single" w:sz="4" w:space="0" w:color="000000"/>
            </w:tcBorders>
            <w:shd w:val="clear" w:color="auto" w:fill="auto"/>
            <w:vAlign w:val="bottom"/>
          </w:tcPr>
          <w:p w14:paraId="75B8E2A1"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bottom w:val="single" w:sz="4" w:space="0" w:color="000000"/>
            </w:tcBorders>
            <w:shd w:val="clear" w:color="auto" w:fill="auto"/>
            <w:vAlign w:val="bottom"/>
          </w:tcPr>
          <w:p w14:paraId="50DB337F"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6D010737" w14:textId="77777777" w:rsidTr="001B330E">
        <w:trPr>
          <w:trHeight w:val="23"/>
        </w:trPr>
        <w:tc>
          <w:tcPr>
            <w:tcW w:w="3364" w:type="pct"/>
            <w:tcBorders>
              <w:top w:val="single" w:sz="4" w:space="0" w:color="000000"/>
            </w:tcBorders>
            <w:vAlign w:val="bottom"/>
          </w:tcPr>
          <w:p w14:paraId="10F47937" w14:textId="77777777" w:rsidR="00D83E33" w:rsidRPr="001B330E" w:rsidRDefault="00BC4072" w:rsidP="001B330E">
            <w:pPr>
              <w:widowControl w:val="0"/>
              <w:ind w:left="113" w:hanging="113"/>
              <w:rPr>
                <w:szCs w:val="10"/>
              </w:rPr>
            </w:pPr>
            <w:r w:rsidRPr="001B330E">
              <w:rPr>
                <w:szCs w:val="10"/>
              </w:rPr>
              <w:t> </w:t>
            </w:r>
          </w:p>
        </w:tc>
        <w:tc>
          <w:tcPr>
            <w:tcW w:w="818" w:type="pct"/>
            <w:tcBorders>
              <w:top w:val="single" w:sz="4" w:space="0" w:color="000000"/>
            </w:tcBorders>
            <w:vAlign w:val="bottom"/>
          </w:tcPr>
          <w:p w14:paraId="0DDAFF7C"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top w:val="single" w:sz="4" w:space="0" w:color="000000"/>
            </w:tcBorders>
            <w:vAlign w:val="bottom"/>
          </w:tcPr>
          <w:p w14:paraId="2587FCFC"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49DB210B" w14:textId="77777777" w:rsidTr="001B330E">
        <w:trPr>
          <w:trHeight w:val="23"/>
        </w:trPr>
        <w:tc>
          <w:tcPr>
            <w:tcW w:w="3364" w:type="pct"/>
            <w:vAlign w:val="bottom"/>
          </w:tcPr>
          <w:p w14:paraId="5B7EC79C"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interest income</w:t>
            </w:r>
          </w:p>
        </w:tc>
        <w:tc>
          <w:tcPr>
            <w:tcW w:w="818" w:type="pct"/>
            <w:vAlign w:val="bottom"/>
          </w:tcPr>
          <w:p w14:paraId="29BC849D"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403845D0"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7CF6021" w14:textId="77777777" w:rsidTr="001B330E">
        <w:trPr>
          <w:trHeight w:val="23"/>
        </w:trPr>
        <w:tc>
          <w:tcPr>
            <w:tcW w:w="3364" w:type="pct"/>
            <w:tcBorders>
              <w:bottom w:val="single" w:sz="12" w:space="0" w:color="000000"/>
            </w:tcBorders>
            <w:vAlign w:val="bottom"/>
          </w:tcPr>
          <w:p w14:paraId="768F6CB9" w14:textId="77777777" w:rsidR="00D83E33" w:rsidRPr="001B330E" w:rsidRDefault="00BC4072" w:rsidP="001B330E">
            <w:pPr>
              <w:widowControl w:val="0"/>
              <w:ind w:left="113" w:hanging="113"/>
              <w:rPr>
                <w:szCs w:val="10"/>
              </w:rPr>
            </w:pPr>
            <w:r w:rsidRPr="001B330E">
              <w:rPr>
                <w:szCs w:val="10"/>
              </w:rPr>
              <w:t> </w:t>
            </w:r>
          </w:p>
        </w:tc>
        <w:tc>
          <w:tcPr>
            <w:tcW w:w="818" w:type="pct"/>
            <w:tcBorders>
              <w:bottom w:val="single" w:sz="12" w:space="0" w:color="000000"/>
            </w:tcBorders>
            <w:vAlign w:val="bottom"/>
          </w:tcPr>
          <w:p w14:paraId="774AEB37"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bottom w:val="single" w:sz="12" w:space="0" w:color="000000"/>
            </w:tcBorders>
            <w:vAlign w:val="bottom"/>
          </w:tcPr>
          <w:p w14:paraId="102EA07C"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511854C5" w14:textId="77777777" w:rsidTr="001B330E">
        <w:trPr>
          <w:trHeight w:val="23"/>
        </w:trPr>
        <w:tc>
          <w:tcPr>
            <w:tcW w:w="3364" w:type="pct"/>
            <w:tcBorders>
              <w:top w:val="single" w:sz="12" w:space="0" w:color="000000"/>
            </w:tcBorders>
            <w:vAlign w:val="bottom"/>
          </w:tcPr>
          <w:p w14:paraId="19A7BCD7" w14:textId="77777777" w:rsidR="00D83E33" w:rsidRPr="001B330E" w:rsidRDefault="00BC4072" w:rsidP="001B330E">
            <w:pPr>
              <w:widowControl w:val="0"/>
              <w:ind w:left="113" w:hanging="113"/>
              <w:rPr>
                <w:szCs w:val="10"/>
              </w:rPr>
            </w:pPr>
            <w:r w:rsidRPr="001B330E">
              <w:rPr>
                <w:szCs w:val="10"/>
              </w:rPr>
              <w:t> </w:t>
            </w:r>
          </w:p>
        </w:tc>
        <w:tc>
          <w:tcPr>
            <w:tcW w:w="818" w:type="pct"/>
            <w:tcBorders>
              <w:top w:val="single" w:sz="12" w:space="0" w:color="000000"/>
            </w:tcBorders>
            <w:vAlign w:val="bottom"/>
          </w:tcPr>
          <w:p w14:paraId="53043854"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top w:val="single" w:sz="12" w:space="0" w:color="000000"/>
            </w:tcBorders>
            <w:vAlign w:val="bottom"/>
          </w:tcPr>
          <w:p w14:paraId="63F1DF81"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1F9E0758" w14:textId="77777777" w:rsidTr="001B330E">
        <w:trPr>
          <w:trHeight w:val="23"/>
        </w:trPr>
        <w:tc>
          <w:tcPr>
            <w:tcW w:w="3364" w:type="pct"/>
            <w:vAlign w:val="bottom"/>
          </w:tcPr>
          <w:p w14:paraId="2D78DB8A"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Interest and other similar expense</w:t>
            </w:r>
          </w:p>
        </w:tc>
        <w:tc>
          <w:tcPr>
            <w:tcW w:w="818" w:type="pct"/>
            <w:vAlign w:val="bottom"/>
          </w:tcPr>
          <w:p w14:paraId="108B0C09"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4159730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59A0002" w14:textId="77777777" w:rsidTr="001B330E">
        <w:trPr>
          <w:trHeight w:val="23"/>
        </w:trPr>
        <w:tc>
          <w:tcPr>
            <w:tcW w:w="3364" w:type="pct"/>
            <w:vAlign w:val="bottom"/>
          </w:tcPr>
          <w:p w14:paraId="0C8C78D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Term deposits of legal entities</w:t>
            </w:r>
          </w:p>
        </w:tc>
        <w:tc>
          <w:tcPr>
            <w:tcW w:w="818" w:type="pct"/>
            <w:vAlign w:val="bottom"/>
          </w:tcPr>
          <w:p w14:paraId="04056B1D"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5EEAED2F"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09A2300" w14:textId="77777777" w:rsidTr="001B330E">
        <w:trPr>
          <w:trHeight w:val="23"/>
        </w:trPr>
        <w:tc>
          <w:tcPr>
            <w:tcW w:w="3364" w:type="pct"/>
            <w:vAlign w:val="bottom"/>
          </w:tcPr>
          <w:p w14:paraId="2FFF480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in issue [Promissory notes issued]</w:t>
            </w:r>
          </w:p>
        </w:tc>
        <w:tc>
          <w:tcPr>
            <w:tcW w:w="818" w:type="pct"/>
            <w:vAlign w:val="bottom"/>
          </w:tcPr>
          <w:p w14:paraId="6F7C40B0"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0CCA869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C0F35FA" w14:textId="77777777" w:rsidTr="001B330E">
        <w:trPr>
          <w:trHeight w:val="23"/>
        </w:trPr>
        <w:tc>
          <w:tcPr>
            <w:tcW w:w="3364" w:type="pct"/>
            <w:vAlign w:val="bottom"/>
          </w:tcPr>
          <w:p w14:paraId="443D902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Other borrowed funds </w:t>
            </w:r>
          </w:p>
        </w:tc>
        <w:tc>
          <w:tcPr>
            <w:tcW w:w="818" w:type="pct"/>
            <w:vAlign w:val="bottom"/>
          </w:tcPr>
          <w:p w14:paraId="08D07AF2"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410947A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9A253BC" w14:textId="77777777" w:rsidTr="001B330E">
        <w:trPr>
          <w:trHeight w:val="23"/>
        </w:trPr>
        <w:tc>
          <w:tcPr>
            <w:tcW w:w="3364" w:type="pct"/>
            <w:vAlign w:val="bottom"/>
          </w:tcPr>
          <w:p w14:paraId="0E967CE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Term deposits of individuals</w:t>
            </w:r>
          </w:p>
        </w:tc>
        <w:tc>
          <w:tcPr>
            <w:tcW w:w="818" w:type="pct"/>
            <w:vAlign w:val="bottom"/>
          </w:tcPr>
          <w:p w14:paraId="3E4295E4"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1B7D1BD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0C72B92" w14:textId="77777777" w:rsidTr="001B330E">
        <w:trPr>
          <w:trHeight w:val="23"/>
        </w:trPr>
        <w:tc>
          <w:tcPr>
            <w:tcW w:w="3364" w:type="pct"/>
            <w:vAlign w:val="bottom"/>
          </w:tcPr>
          <w:p w14:paraId="53732F7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Term placements of other banks </w:t>
            </w:r>
          </w:p>
        </w:tc>
        <w:tc>
          <w:tcPr>
            <w:tcW w:w="818" w:type="pct"/>
            <w:vAlign w:val="bottom"/>
          </w:tcPr>
          <w:p w14:paraId="04F08562"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1A39A6F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0B69EE6" w14:textId="77777777" w:rsidTr="001B330E">
        <w:trPr>
          <w:trHeight w:val="23"/>
        </w:trPr>
        <w:tc>
          <w:tcPr>
            <w:tcW w:w="3364" w:type="pct"/>
            <w:vAlign w:val="bottom"/>
          </w:tcPr>
          <w:p w14:paraId="63DF51B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Overnight placements of other banks</w:t>
            </w:r>
          </w:p>
        </w:tc>
        <w:tc>
          <w:tcPr>
            <w:tcW w:w="818" w:type="pct"/>
            <w:vAlign w:val="bottom"/>
          </w:tcPr>
          <w:p w14:paraId="094E8C83"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2571257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D8FE732" w14:textId="77777777" w:rsidTr="001B330E">
        <w:trPr>
          <w:trHeight w:val="23"/>
        </w:trPr>
        <w:tc>
          <w:tcPr>
            <w:tcW w:w="3364" w:type="pct"/>
            <w:vAlign w:val="bottom"/>
          </w:tcPr>
          <w:p w14:paraId="78FA832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Current/settlement accounts</w:t>
            </w:r>
          </w:p>
        </w:tc>
        <w:tc>
          <w:tcPr>
            <w:tcW w:w="818" w:type="pct"/>
            <w:vAlign w:val="bottom"/>
          </w:tcPr>
          <w:p w14:paraId="3D86E981"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7BB8D9F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1B52114" w14:textId="77777777" w:rsidTr="001B330E">
        <w:trPr>
          <w:trHeight w:val="23"/>
        </w:trPr>
        <w:tc>
          <w:tcPr>
            <w:tcW w:w="3364" w:type="pct"/>
            <w:vAlign w:val="bottom"/>
          </w:tcPr>
          <w:p w14:paraId="14A5682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Correspondent accounts of other banks </w:t>
            </w:r>
          </w:p>
        </w:tc>
        <w:tc>
          <w:tcPr>
            <w:tcW w:w="818" w:type="pct"/>
            <w:vAlign w:val="bottom"/>
          </w:tcPr>
          <w:p w14:paraId="289A0EF7"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393CEF4D"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E1FC5A7" w14:textId="77777777" w:rsidTr="001B330E">
        <w:trPr>
          <w:trHeight w:val="23"/>
        </w:trPr>
        <w:tc>
          <w:tcPr>
            <w:tcW w:w="3364" w:type="pct"/>
            <w:vAlign w:val="bottom"/>
          </w:tcPr>
          <w:p w14:paraId="4CC300BD" w14:textId="10B596A8"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Other </w:t>
            </w:r>
          </w:p>
        </w:tc>
        <w:tc>
          <w:tcPr>
            <w:tcW w:w="818" w:type="pct"/>
            <w:vAlign w:val="bottom"/>
          </w:tcPr>
          <w:p w14:paraId="700031E4"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5286F2D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9971A9C" w14:textId="77777777" w:rsidTr="001B330E">
        <w:trPr>
          <w:trHeight w:val="23"/>
        </w:trPr>
        <w:tc>
          <w:tcPr>
            <w:tcW w:w="3364" w:type="pct"/>
            <w:tcBorders>
              <w:bottom w:val="single" w:sz="4" w:space="0" w:color="000000"/>
            </w:tcBorders>
            <w:vAlign w:val="bottom"/>
          </w:tcPr>
          <w:p w14:paraId="43EE6871" w14:textId="77777777" w:rsidR="00D83E33" w:rsidRPr="001B330E" w:rsidRDefault="00BC4072" w:rsidP="001B330E">
            <w:pPr>
              <w:widowControl w:val="0"/>
              <w:ind w:left="113" w:hanging="113"/>
              <w:rPr>
                <w:szCs w:val="10"/>
              </w:rPr>
            </w:pPr>
            <w:r w:rsidRPr="001B330E">
              <w:rPr>
                <w:szCs w:val="10"/>
              </w:rPr>
              <w:t> </w:t>
            </w:r>
          </w:p>
        </w:tc>
        <w:tc>
          <w:tcPr>
            <w:tcW w:w="818" w:type="pct"/>
            <w:tcBorders>
              <w:bottom w:val="single" w:sz="4" w:space="0" w:color="000000"/>
            </w:tcBorders>
            <w:vAlign w:val="bottom"/>
          </w:tcPr>
          <w:p w14:paraId="2C29898C" w14:textId="77777777" w:rsidR="00D83E33" w:rsidRPr="001B330E" w:rsidRDefault="00D83E33" w:rsidP="001B330E">
            <w:pPr>
              <w:widowControl w:val="0"/>
              <w:pBdr>
                <w:top w:val="nil"/>
                <w:left w:val="nil"/>
                <w:bottom w:val="nil"/>
                <w:right w:val="nil"/>
                <w:between w:val="nil"/>
              </w:pBdr>
              <w:jc w:val="right"/>
              <w:rPr>
                <w:color w:val="000000"/>
                <w:szCs w:val="10"/>
              </w:rPr>
            </w:pPr>
          </w:p>
        </w:tc>
        <w:tc>
          <w:tcPr>
            <w:tcW w:w="818" w:type="pct"/>
            <w:tcBorders>
              <w:bottom w:val="single" w:sz="4" w:space="0" w:color="000000"/>
            </w:tcBorders>
            <w:vAlign w:val="bottom"/>
          </w:tcPr>
          <w:p w14:paraId="508E992C" w14:textId="77777777" w:rsidR="00D83E33" w:rsidRPr="001B330E" w:rsidRDefault="00D83E33" w:rsidP="001B330E">
            <w:pPr>
              <w:widowControl w:val="0"/>
              <w:pBdr>
                <w:top w:val="nil"/>
                <w:left w:val="nil"/>
                <w:bottom w:val="nil"/>
                <w:right w:val="nil"/>
                <w:between w:val="nil"/>
              </w:pBdr>
              <w:jc w:val="right"/>
              <w:rPr>
                <w:color w:val="000000"/>
                <w:szCs w:val="10"/>
              </w:rPr>
            </w:pPr>
          </w:p>
        </w:tc>
      </w:tr>
      <w:tr w:rsidR="00D83E33" w:rsidRPr="00EA10CF" w14:paraId="1A1DDF61" w14:textId="77777777" w:rsidTr="001B330E">
        <w:trPr>
          <w:trHeight w:val="23"/>
        </w:trPr>
        <w:tc>
          <w:tcPr>
            <w:tcW w:w="3364" w:type="pct"/>
            <w:tcBorders>
              <w:top w:val="single" w:sz="4" w:space="0" w:color="000000"/>
            </w:tcBorders>
            <w:vAlign w:val="bottom"/>
          </w:tcPr>
          <w:p w14:paraId="04E47C30" w14:textId="77777777" w:rsidR="00D83E33" w:rsidRPr="001B330E" w:rsidRDefault="00BC4072" w:rsidP="001B330E">
            <w:pPr>
              <w:widowControl w:val="0"/>
              <w:ind w:left="113" w:hanging="113"/>
              <w:rPr>
                <w:szCs w:val="10"/>
              </w:rPr>
            </w:pPr>
            <w:r w:rsidRPr="001B330E">
              <w:rPr>
                <w:szCs w:val="10"/>
              </w:rPr>
              <w:t> </w:t>
            </w:r>
          </w:p>
        </w:tc>
        <w:tc>
          <w:tcPr>
            <w:tcW w:w="818" w:type="pct"/>
            <w:tcBorders>
              <w:top w:val="single" w:sz="4" w:space="0" w:color="000000"/>
            </w:tcBorders>
            <w:vAlign w:val="bottom"/>
          </w:tcPr>
          <w:p w14:paraId="4C7CE2AD"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top w:val="single" w:sz="4" w:space="0" w:color="000000"/>
            </w:tcBorders>
            <w:vAlign w:val="bottom"/>
          </w:tcPr>
          <w:p w14:paraId="6E10EB40"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733C6206" w14:textId="77777777" w:rsidTr="001B330E">
        <w:trPr>
          <w:trHeight w:val="23"/>
        </w:trPr>
        <w:tc>
          <w:tcPr>
            <w:tcW w:w="3364" w:type="pct"/>
            <w:vAlign w:val="bottom"/>
          </w:tcPr>
          <w:p w14:paraId="070F39B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interest expense</w:t>
            </w:r>
          </w:p>
        </w:tc>
        <w:tc>
          <w:tcPr>
            <w:tcW w:w="818" w:type="pct"/>
            <w:vAlign w:val="bottom"/>
          </w:tcPr>
          <w:p w14:paraId="6E262B7F"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495F974E"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F178DCF" w14:textId="77777777" w:rsidTr="001B330E">
        <w:trPr>
          <w:trHeight w:val="23"/>
        </w:trPr>
        <w:tc>
          <w:tcPr>
            <w:tcW w:w="3364" w:type="pct"/>
            <w:tcBorders>
              <w:bottom w:val="single" w:sz="4" w:space="0" w:color="000000"/>
            </w:tcBorders>
            <w:vAlign w:val="bottom"/>
          </w:tcPr>
          <w:p w14:paraId="6E898673" w14:textId="77777777" w:rsidR="00D83E33" w:rsidRPr="001B330E" w:rsidRDefault="00BC4072" w:rsidP="001B330E">
            <w:pPr>
              <w:widowControl w:val="0"/>
              <w:ind w:left="113" w:hanging="113"/>
              <w:rPr>
                <w:szCs w:val="10"/>
              </w:rPr>
            </w:pPr>
            <w:r w:rsidRPr="001B330E">
              <w:rPr>
                <w:szCs w:val="10"/>
              </w:rPr>
              <w:t> </w:t>
            </w:r>
          </w:p>
        </w:tc>
        <w:tc>
          <w:tcPr>
            <w:tcW w:w="818" w:type="pct"/>
            <w:tcBorders>
              <w:bottom w:val="single" w:sz="4" w:space="0" w:color="000000"/>
            </w:tcBorders>
            <w:vAlign w:val="bottom"/>
          </w:tcPr>
          <w:p w14:paraId="2CF7D6CD"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bottom w:val="single" w:sz="4" w:space="0" w:color="000000"/>
            </w:tcBorders>
            <w:vAlign w:val="bottom"/>
          </w:tcPr>
          <w:p w14:paraId="3AF8350A"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4531ED1F" w14:textId="77777777" w:rsidTr="001B330E">
        <w:trPr>
          <w:trHeight w:val="23"/>
        </w:trPr>
        <w:tc>
          <w:tcPr>
            <w:tcW w:w="3364" w:type="pct"/>
            <w:tcBorders>
              <w:top w:val="single" w:sz="4" w:space="0" w:color="000000"/>
            </w:tcBorders>
            <w:vAlign w:val="bottom"/>
          </w:tcPr>
          <w:p w14:paraId="25A81B7D" w14:textId="77777777" w:rsidR="00D83E33" w:rsidRPr="001B330E" w:rsidRDefault="00D83E33" w:rsidP="001B330E">
            <w:pPr>
              <w:widowControl w:val="0"/>
              <w:ind w:left="113" w:hanging="113"/>
              <w:rPr>
                <w:szCs w:val="10"/>
              </w:rPr>
            </w:pPr>
          </w:p>
        </w:tc>
        <w:tc>
          <w:tcPr>
            <w:tcW w:w="818" w:type="pct"/>
            <w:tcBorders>
              <w:top w:val="single" w:sz="4" w:space="0" w:color="000000"/>
            </w:tcBorders>
            <w:vAlign w:val="bottom"/>
          </w:tcPr>
          <w:p w14:paraId="3D33435B"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top w:val="single" w:sz="4" w:space="0" w:color="000000"/>
            </w:tcBorders>
            <w:vAlign w:val="bottom"/>
          </w:tcPr>
          <w:p w14:paraId="72ABD5B1"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728EEF17" w14:textId="77777777" w:rsidTr="001B330E">
        <w:trPr>
          <w:trHeight w:val="23"/>
        </w:trPr>
        <w:tc>
          <w:tcPr>
            <w:tcW w:w="3364" w:type="pct"/>
            <w:vAlign w:val="bottom"/>
          </w:tcPr>
          <w:p w14:paraId="2762A7FD" w14:textId="77777777" w:rsidR="00D83E33" w:rsidRPr="00EA10CF" w:rsidRDefault="00BC4072" w:rsidP="001B330E">
            <w:pPr>
              <w:widowControl w:val="0"/>
              <w:ind w:left="113" w:hanging="113"/>
              <w:rPr>
                <w:b/>
              </w:rPr>
            </w:pPr>
            <w:r w:rsidRPr="00EA10CF">
              <w:rPr>
                <w:b/>
              </w:rPr>
              <w:t>Other similar expense</w:t>
            </w:r>
          </w:p>
        </w:tc>
        <w:tc>
          <w:tcPr>
            <w:tcW w:w="818" w:type="pct"/>
            <w:vAlign w:val="bottom"/>
          </w:tcPr>
          <w:p w14:paraId="0ED353B4"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5C3EDC1B"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03B2AFF" w14:textId="77777777" w:rsidTr="001B330E">
        <w:trPr>
          <w:trHeight w:val="23"/>
        </w:trPr>
        <w:tc>
          <w:tcPr>
            <w:tcW w:w="3364" w:type="pct"/>
            <w:vAlign w:val="bottom"/>
          </w:tcPr>
          <w:p w14:paraId="70774C26" w14:textId="77777777" w:rsidR="00D83E33" w:rsidRPr="00EA10CF" w:rsidRDefault="00BC4072" w:rsidP="001B330E">
            <w:pPr>
              <w:widowControl w:val="0"/>
              <w:ind w:left="113" w:hanging="113"/>
            </w:pPr>
            <w:r w:rsidRPr="00EA10CF">
              <w:t>Other borrowed funds at FVTPL</w:t>
            </w:r>
          </w:p>
        </w:tc>
        <w:tc>
          <w:tcPr>
            <w:tcW w:w="818" w:type="pct"/>
            <w:vAlign w:val="bottom"/>
          </w:tcPr>
          <w:p w14:paraId="2BB14551"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4ABD037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18E776F" w14:textId="77777777" w:rsidTr="001B330E">
        <w:trPr>
          <w:trHeight w:val="23"/>
        </w:trPr>
        <w:tc>
          <w:tcPr>
            <w:tcW w:w="3364" w:type="pct"/>
            <w:vAlign w:val="bottom"/>
          </w:tcPr>
          <w:p w14:paraId="08ED6403" w14:textId="77777777" w:rsidR="00D83E33" w:rsidRPr="00EA10CF" w:rsidRDefault="00BC4072" w:rsidP="001B330E">
            <w:pPr>
              <w:widowControl w:val="0"/>
              <w:ind w:left="113" w:hanging="113"/>
            </w:pPr>
            <w:r w:rsidRPr="00EA10CF">
              <w:t xml:space="preserve">Lease liabilities </w:t>
            </w:r>
          </w:p>
        </w:tc>
        <w:tc>
          <w:tcPr>
            <w:tcW w:w="818" w:type="pct"/>
            <w:vAlign w:val="bottom"/>
          </w:tcPr>
          <w:p w14:paraId="162285BC"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45712B14"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w:t>
            </w:r>
          </w:p>
        </w:tc>
      </w:tr>
      <w:tr w:rsidR="00D83E33" w:rsidRPr="00EA10CF" w14:paraId="352FA76C" w14:textId="77777777" w:rsidTr="001B330E">
        <w:trPr>
          <w:trHeight w:val="23"/>
        </w:trPr>
        <w:tc>
          <w:tcPr>
            <w:tcW w:w="3364" w:type="pct"/>
            <w:vAlign w:val="bottom"/>
          </w:tcPr>
          <w:p w14:paraId="718896A4" w14:textId="31BAF8A5" w:rsidR="00D83E33" w:rsidRPr="00EA10CF" w:rsidRDefault="00BC4072" w:rsidP="001B330E">
            <w:pPr>
              <w:widowControl w:val="0"/>
              <w:ind w:left="113" w:hanging="113"/>
            </w:pPr>
            <w:r w:rsidRPr="00EA10CF">
              <w:t xml:space="preserve">Other </w:t>
            </w:r>
          </w:p>
        </w:tc>
        <w:tc>
          <w:tcPr>
            <w:tcW w:w="818" w:type="pct"/>
            <w:vAlign w:val="bottom"/>
          </w:tcPr>
          <w:p w14:paraId="2008100F"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705CDA4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FB2B003" w14:textId="77777777" w:rsidTr="001B330E">
        <w:trPr>
          <w:trHeight w:val="23"/>
        </w:trPr>
        <w:tc>
          <w:tcPr>
            <w:tcW w:w="3364" w:type="pct"/>
            <w:tcBorders>
              <w:bottom w:val="single" w:sz="4" w:space="0" w:color="000000"/>
            </w:tcBorders>
            <w:vAlign w:val="bottom"/>
          </w:tcPr>
          <w:p w14:paraId="00369FFF" w14:textId="77777777" w:rsidR="00D83E33" w:rsidRPr="001B330E" w:rsidRDefault="00D83E33" w:rsidP="001B330E">
            <w:pPr>
              <w:widowControl w:val="0"/>
              <w:ind w:left="113" w:hanging="113"/>
              <w:rPr>
                <w:szCs w:val="10"/>
              </w:rPr>
            </w:pPr>
          </w:p>
        </w:tc>
        <w:tc>
          <w:tcPr>
            <w:tcW w:w="818" w:type="pct"/>
            <w:tcBorders>
              <w:bottom w:val="single" w:sz="4" w:space="0" w:color="000000"/>
            </w:tcBorders>
            <w:vAlign w:val="bottom"/>
          </w:tcPr>
          <w:p w14:paraId="4AA4B13C"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bottom w:val="single" w:sz="4" w:space="0" w:color="000000"/>
            </w:tcBorders>
            <w:vAlign w:val="bottom"/>
          </w:tcPr>
          <w:p w14:paraId="2B301C19"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26FDB950" w14:textId="77777777" w:rsidTr="001B330E">
        <w:trPr>
          <w:trHeight w:val="23"/>
        </w:trPr>
        <w:tc>
          <w:tcPr>
            <w:tcW w:w="3364" w:type="pct"/>
            <w:tcBorders>
              <w:top w:val="single" w:sz="4" w:space="0" w:color="000000"/>
            </w:tcBorders>
            <w:vAlign w:val="bottom"/>
          </w:tcPr>
          <w:p w14:paraId="3517677D" w14:textId="77777777" w:rsidR="00D83E33" w:rsidRPr="001B330E" w:rsidRDefault="00D83E33" w:rsidP="001B330E">
            <w:pPr>
              <w:widowControl w:val="0"/>
              <w:ind w:left="113" w:hanging="113"/>
              <w:rPr>
                <w:szCs w:val="10"/>
              </w:rPr>
            </w:pPr>
          </w:p>
        </w:tc>
        <w:tc>
          <w:tcPr>
            <w:tcW w:w="818" w:type="pct"/>
            <w:tcBorders>
              <w:top w:val="single" w:sz="4" w:space="0" w:color="000000"/>
            </w:tcBorders>
            <w:vAlign w:val="bottom"/>
          </w:tcPr>
          <w:p w14:paraId="5DE9FEC0"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top w:val="single" w:sz="4" w:space="0" w:color="000000"/>
            </w:tcBorders>
            <w:vAlign w:val="bottom"/>
          </w:tcPr>
          <w:p w14:paraId="74DEEB81"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7ECE5B9B" w14:textId="77777777" w:rsidTr="001B330E">
        <w:trPr>
          <w:trHeight w:val="23"/>
        </w:trPr>
        <w:tc>
          <w:tcPr>
            <w:tcW w:w="3364" w:type="pct"/>
            <w:vAlign w:val="bottom"/>
          </w:tcPr>
          <w:p w14:paraId="6EBAF8DE" w14:textId="77777777" w:rsidR="00D83E33" w:rsidRPr="00EA10CF" w:rsidRDefault="00BC4072" w:rsidP="001B330E">
            <w:pPr>
              <w:widowControl w:val="0"/>
              <w:ind w:left="113" w:hanging="113"/>
              <w:rPr>
                <w:b/>
              </w:rPr>
            </w:pPr>
            <w:r w:rsidRPr="00EA10CF">
              <w:rPr>
                <w:b/>
              </w:rPr>
              <w:t>Total other similar expense</w:t>
            </w:r>
          </w:p>
        </w:tc>
        <w:tc>
          <w:tcPr>
            <w:tcW w:w="818" w:type="pct"/>
            <w:vAlign w:val="bottom"/>
          </w:tcPr>
          <w:p w14:paraId="15EA4F71"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58F66004"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F2D47C8" w14:textId="77777777" w:rsidTr="001B330E">
        <w:trPr>
          <w:trHeight w:val="23"/>
        </w:trPr>
        <w:tc>
          <w:tcPr>
            <w:tcW w:w="3364" w:type="pct"/>
            <w:tcBorders>
              <w:bottom w:val="single" w:sz="4" w:space="0" w:color="000000"/>
            </w:tcBorders>
            <w:vAlign w:val="bottom"/>
          </w:tcPr>
          <w:p w14:paraId="4D9D4790" w14:textId="77777777" w:rsidR="00D83E33" w:rsidRPr="001B330E" w:rsidRDefault="00D83E33" w:rsidP="001B330E">
            <w:pPr>
              <w:widowControl w:val="0"/>
              <w:ind w:left="113" w:hanging="113"/>
              <w:rPr>
                <w:szCs w:val="10"/>
              </w:rPr>
            </w:pPr>
          </w:p>
        </w:tc>
        <w:tc>
          <w:tcPr>
            <w:tcW w:w="818" w:type="pct"/>
            <w:tcBorders>
              <w:bottom w:val="single" w:sz="4" w:space="0" w:color="000000"/>
            </w:tcBorders>
            <w:vAlign w:val="bottom"/>
          </w:tcPr>
          <w:p w14:paraId="25CF3BB3"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bottom w:val="single" w:sz="4" w:space="0" w:color="000000"/>
            </w:tcBorders>
            <w:vAlign w:val="bottom"/>
          </w:tcPr>
          <w:p w14:paraId="1A321A72"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5983D24E" w14:textId="77777777" w:rsidTr="001B330E">
        <w:trPr>
          <w:trHeight w:val="23"/>
        </w:trPr>
        <w:tc>
          <w:tcPr>
            <w:tcW w:w="3364" w:type="pct"/>
            <w:tcBorders>
              <w:top w:val="single" w:sz="4" w:space="0" w:color="000000"/>
            </w:tcBorders>
            <w:vAlign w:val="bottom"/>
          </w:tcPr>
          <w:p w14:paraId="57277841" w14:textId="77777777" w:rsidR="00D83E33" w:rsidRPr="001B330E" w:rsidRDefault="00D83E33" w:rsidP="001B330E">
            <w:pPr>
              <w:widowControl w:val="0"/>
              <w:ind w:left="113" w:hanging="113"/>
              <w:rPr>
                <w:szCs w:val="10"/>
              </w:rPr>
            </w:pPr>
          </w:p>
        </w:tc>
        <w:tc>
          <w:tcPr>
            <w:tcW w:w="818" w:type="pct"/>
            <w:tcBorders>
              <w:top w:val="single" w:sz="4" w:space="0" w:color="000000"/>
            </w:tcBorders>
            <w:vAlign w:val="bottom"/>
          </w:tcPr>
          <w:p w14:paraId="203D4316"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top w:val="single" w:sz="4" w:space="0" w:color="000000"/>
            </w:tcBorders>
            <w:vAlign w:val="bottom"/>
          </w:tcPr>
          <w:p w14:paraId="694364ED"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16DB930B" w14:textId="77777777" w:rsidTr="001B330E">
        <w:trPr>
          <w:trHeight w:val="23"/>
        </w:trPr>
        <w:tc>
          <w:tcPr>
            <w:tcW w:w="3364" w:type="pct"/>
            <w:vAlign w:val="bottom"/>
          </w:tcPr>
          <w:p w14:paraId="3127DDFE" w14:textId="77777777" w:rsidR="00D83E33" w:rsidRPr="00EA10CF" w:rsidRDefault="00BC4072" w:rsidP="001B330E">
            <w:pPr>
              <w:widowControl w:val="0"/>
              <w:ind w:left="113" w:hanging="113"/>
              <w:rPr>
                <w:b/>
              </w:rPr>
            </w:pPr>
            <w:r w:rsidRPr="00EA10CF">
              <w:rPr>
                <w:b/>
              </w:rPr>
              <w:t>Total interest expense</w:t>
            </w:r>
          </w:p>
        </w:tc>
        <w:tc>
          <w:tcPr>
            <w:tcW w:w="818" w:type="pct"/>
            <w:vAlign w:val="bottom"/>
          </w:tcPr>
          <w:p w14:paraId="617C2313"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725A8CE1"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48050B0" w14:textId="77777777" w:rsidTr="001B330E">
        <w:trPr>
          <w:trHeight w:val="23"/>
        </w:trPr>
        <w:tc>
          <w:tcPr>
            <w:tcW w:w="3364" w:type="pct"/>
            <w:tcBorders>
              <w:bottom w:val="single" w:sz="12" w:space="0" w:color="000000"/>
            </w:tcBorders>
            <w:vAlign w:val="bottom"/>
          </w:tcPr>
          <w:p w14:paraId="00A4D7DB" w14:textId="77777777" w:rsidR="00D83E33" w:rsidRPr="001B330E" w:rsidRDefault="00D83E33" w:rsidP="001B330E">
            <w:pPr>
              <w:widowControl w:val="0"/>
              <w:ind w:left="113" w:hanging="113"/>
              <w:rPr>
                <w:szCs w:val="10"/>
              </w:rPr>
            </w:pPr>
          </w:p>
        </w:tc>
        <w:tc>
          <w:tcPr>
            <w:tcW w:w="818" w:type="pct"/>
            <w:tcBorders>
              <w:bottom w:val="single" w:sz="12" w:space="0" w:color="000000"/>
            </w:tcBorders>
            <w:vAlign w:val="bottom"/>
          </w:tcPr>
          <w:p w14:paraId="4EF98B47"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bottom w:val="single" w:sz="12" w:space="0" w:color="000000"/>
            </w:tcBorders>
            <w:vAlign w:val="bottom"/>
          </w:tcPr>
          <w:p w14:paraId="56610EC4"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4D94C5CC" w14:textId="77777777" w:rsidTr="001B330E">
        <w:trPr>
          <w:trHeight w:val="23"/>
        </w:trPr>
        <w:tc>
          <w:tcPr>
            <w:tcW w:w="3364" w:type="pct"/>
            <w:tcBorders>
              <w:top w:val="single" w:sz="12" w:space="0" w:color="000000"/>
            </w:tcBorders>
            <w:vAlign w:val="bottom"/>
          </w:tcPr>
          <w:p w14:paraId="29A467D3" w14:textId="77777777" w:rsidR="00D83E33" w:rsidRPr="001B330E" w:rsidRDefault="00BC4072" w:rsidP="001B330E">
            <w:pPr>
              <w:widowControl w:val="0"/>
              <w:ind w:left="113" w:hanging="113"/>
              <w:rPr>
                <w:szCs w:val="10"/>
              </w:rPr>
            </w:pPr>
            <w:r w:rsidRPr="001B330E">
              <w:rPr>
                <w:szCs w:val="10"/>
              </w:rPr>
              <w:t> </w:t>
            </w:r>
          </w:p>
        </w:tc>
        <w:tc>
          <w:tcPr>
            <w:tcW w:w="818" w:type="pct"/>
            <w:tcBorders>
              <w:top w:val="single" w:sz="12" w:space="0" w:color="000000"/>
            </w:tcBorders>
            <w:vAlign w:val="bottom"/>
          </w:tcPr>
          <w:p w14:paraId="232FD51B"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top w:val="single" w:sz="12" w:space="0" w:color="000000"/>
            </w:tcBorders>
            <w:vAlign w:val="bottom"/>
          </w:tcPr>
          <w:p w14:paraId="7D0F4346" w14:textId="77777777" w:rsidR="00D83E33" w:rsidRPr="001B330E" w:rsidRDefault="00D83E33" w:rsidP="001B330E">
            <w:pPr>
              <w:widowControl w:val="0"/>
              <w:pBdr>
                <w:top w:val="nil"/>
                <w:left w:val="nil"/>
                <w:bottom w:val="nil"/>
                <w:right w:val="nil"/>
                <w:between w:val="nil"/>
              </w:pBdr>
              <w:jc w:val="right"/>
              <w:rPr>
                <w:b/>
                <w:color w:val="000000"/>
                <w:szCs w:val="10"/>
              </w:rPr>
            </w:pPr>
          </w:p>
        </w:tc>
      </w:tr>
      <w:tr w:rsidR="00D83E33" w:rsidRPr="00EA10CF" w14:paraId="5088D219" w14:textId="77777777" w:rsidTr="001B330E">
        <w:trPr>
          <w:trHeight w:val="23"/>
        </w:trPr>
        <w:tc>
          <w:tcPr>
            <w:tcW w:w="3364" w:type="pct"/>
            <w:vAlign w:val="bottom"/>
          </w:tcPr>
          <w:p w14:paraId="5F74F63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Net margin on interest and similar income</w:t>
            </w:r>
          </w:p>
        </w:tc>
        <w:tc>
          <w:tcPr>
            <w:tcW w:w="818" w:type="pct"/>
            <w:vAlign w:val="bottom"/>
          </w:tcPr>
          <w:p w14:paraId="25161397"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5AFA5481"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9951F43" w14:textId="77777777" w:rsidTr="001B330E">
        <w:trPr>
          <w:trHeight w:val="23"/>
        </w:trPr>
        <w:tc>
          <w:tcPr>
            <w:tcW w:w="3364" w:type="pct"/>
            <w:tcBorders>
              <w:bottom w:val="single" w:sz="12" w:space="0" w:color="000000"/>
            </w:tcBorders>
            <w:vAlign w:val="bottom"/>
          </w:tcPr>
          <w:p w14:paraId="2BF0DEE0" w14:textId="77777777" w:rsidR="00D83E33" w:rsidRPr="001B330E" w:rsidRDefault="00BC4072" w:rsidP="001B330E">
            <w:pPr>
              <w:widowControl w:val="0"/>
              <w:pBdr>
                <w:top w:val="nil"/>
                <w:left w:val="nil"/>
                <w:bottom w:val="nil"/>
                <w:right w:val="nil"/>
                <w:between w:val="nil"/>
              </w:pBdr>
              <w:ind w:left="113" w:hanging="113"/>
              <w:rPr>
                <w:color w:val="000000"/>
                <w:szCs w:val="10"/>
              </w:rPr>
            </w:pPr>
            <w:r w:rsidRPr="001B330E">
              <w:rPr>
                <w:color w:val="000000"/>
                <w:szCs w:val="10"/>
              </w:rPr>
              <w:t> </w:t>
            </w:r>
          </w:p>
        </w:tc>
        <w:tc>
          <w:tcPr>
            <w:tcW w:w="818" w:type="pct"/>
            <w:tcBorders>
              <w:bottom w:val="single" w:sz="12" w:space="0" w:color="000000"/>
            </w:tcBorders>
            <w:vAlign w:val="bottom"/>
          </w:tcPr>
          <w:p w14:paraId="52A31064" w14:textId="77777777" w:rsidR="00D83E33" w:rsidRPr="001B330E" w:rsidRDefault="00D83E33" w:rsidP="001B330E">
            <w:pPr>
              <w:widowControl w:val="0"/>
              <w:pBdr>
                <w:top w:val="nil"/>
                <w:left w:val="nil"/>
                <w:bottom w:val="nil"/>
                <w:right w:val="nil"/>
                <w:between w:val="nil"/>
              </w:pBdr>
              <w:jc w:val="right"/>
              <w:rPr>
                <w:b/>
                <w:color w:val="000000"/>
                <w:szCs w:val="10"/>
              </w:rPr>
            </w:pPr>
          </w:p>
        </w:tc>
        <w:tc>
          <w:tcPr>
            <w:tcW w:w="818" w:type="pct"/>
            <w:tcBorders>
              <w:bottom w:val="single" w:sz="12" w:space="0" w:color="000000"/>
            </w:tcBorders>
            <w:vAlign w:val="bottom"/>
          </w:tcPr>
          <w:p w14:paraId="54B89E13" w14:textId="77777777" w:rsidR="00D83E33" w:rsidRPr="001B330E" w:rsidRDefault="00D83E33" w:rsidP="001B330E">
            <w:pPr>
              <w:widowControl w:val="0"/>
              <w:pBdr>
                <w:top w:val="nil"/>
                <w:left w:val="nil"/>
                <w:bottom w:val="nil"/>
                <w:right w:val="nil"/>
                <w:between w:val="nil"/>
              </w:pBdr>
              <w:jc w:val="right"/>
              <w:rPr>
                <w:b/>
                <w:color w:val="000000"/>
                <w:szCs w:val="10"/>
              </w:rPr>
            </w:pPr>
          </w:p>
        </w:tc>
      </w:tr>
    </w:tbl>
    <w:p w14:paraId="23220A7A" w14:textId="77777777" w:rsidR="002A5F5D" w:rsidRDefault="002A5F5D" w:rsidP="00093671">
      <w:pPr>
        <w:widowControl w:val="0"/>
        <w:pBdr>
          <w:top w:val="nil"/>
          <w:left w:val="nil"/>
          <w:bottom w:val="nil"/>
          <w:right w:val="nil"/>
          <w:between w:val="nil"/>
        </w:pBdr>
        <w:spacing w:before="200" w:after="200"/>
        <w:jc w:val="both"/>
        <w:rPr>
          <w:color w:val="0000FF"/>
          <w:sz w:val="20"/>
          <w:szCs w:val="20"/>
          <w:lang w:val="sr-Cyrl-RS"/>
        </w:rPr>
      </w:pPr>
    </w:p>
    <w:p w14:paraId="52C9C315" w14:textId="77777777" w:rsidR="00071B94" w:rsidRPr="00071B94" w:rsidRDefault="00071B94" w:rsidP="00093671">
      <w:pPr>
        <w:widowControl w:val="0"/>
        <w:pBdr>
          <w:top w:val="nil"/>
          <w:left w:val="nil"/>
          <w:bottom w:val="nil"/>
          <w:right w:val="nil"/>
          <w:between w:val="nil"/>
        </w:pBdr>
        <w:spacing w:before="200" w:after="200"/>
        <w:jc w:val="both"/>
        <w:rPr>
          <w:color w:val="0000FF"/>
          <w:sz w:val="20"/>
          <w:szCs w:val="20"/>
        </w:rPr>
      </w:pPr>
    </w:p>
    <w:p w14:paraId="3C93A3BB" w14:textId="0C810295" w:rsidR="002A5F5D" w:rsidRPr="002A5F5D" w:rsidRDefault="002A5F5D" w:rsidP="00093671">
      <w:pPr>
        <w:widowControl w:val="0"/>
        <w:pBdr>
          <w:top w:val="nil"/>
          <w:left w:val="nil"/>
          <w:bottom w:val="nil"/>
          <w:right w:val="nil"/>
          <w:between w:val="nil"/>
        </w:pBdr>
        <w:spacing w:before="200" w:after="200"/>
        <w:jc w:val="both"/>
        <w:rPr>
          <w:b/>
          <w:bCs/>
          <w:color w:val="000000" w:themeColor="text1"/>
          <w:sz w:val="20"/>
          <w:szCs w:val="20"/>
        </w:rPr>
      </w:pPr>
      <w:r w:rsidRPr="002A5F5D">
        <w:rPr>
          <w:b/>
          <w:bCs/>
          <w:color w:val="000000" w:themeColor="text1"/>
          <w:sz w:val="20"/>
          <w:szCs w:val="20"/>
        </w:rPr>
        <w:lastRenderedPageBreak/>
        <w:t>32</w:t>
      </w:r>
      <w:r w:rsidRPr="002A5F5D">
        <w:rPr>
          <w:b/>
          <w:bCs/>
          <w:color w:val="000000" w:themeColor="text1"/>
          <w:sz w:val="20"/>
          <w:szCs w:val="20"/>
        </w:rPr>
        <w:tab/>
        <w:t>Interest Income and Expense (Continued)</w:t>
      </w:r>
    </w:p>
    <w:p w14:paraId="75464745" w14:textId="6BF8A30A"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 xml:space="preserve">[Interest income and expense are recorded for all debt instruments[, other than those at FVTPL,] on an accrual basis using the effective interest method. This method defers, as part of interest income or expense, all fees paid or received between the parties to the contract that are an integral part of the effective interest rate, transaction costs and all other premiums or discounts. [Interest income on debt instruments at FVTPL calculated at nominal interest rate is presented within ‘other similar income’ line in profit or loss.] </w:t>
      </w:r>
    </w:p>
    <w:p w14:paraId="24291203" w14:textId="4EEF8E6E"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Pr>
          <w:color w:val="0000FF"/>
          <w:sz w:val="20"/>
          <w:szCs w:val="20"/>
        </w:rPr>
        <w:t>[</w:t>
      </w:r>
      <w:r w:rsidRPr="00093671">
        <w:rPr>
          <w:color w:val="0000FF"/>
          <w:sz w:val="20"/>
          <w:szCs w:val="20"/>
        </w:rPr>
        <w:t>Fees integral to the effective interest rate include origination fees received or paid by the entity relating to the creation or acquisition of a financial asset or issuance of a financial liability, for example fees for evaluating creditworthiness, evaluating and recording guarantees or collateral, negotiating the terms of the instrument and for processing transaction documents. Commitment fees received by the Group to originate loans at market interest rates are integral to the effective interest rate if it is probable that the Group will enter into a specific lending arrangement and does not expect to sell the resulting loan shortly after origination. The Group does not designate loan commitments as financial liabilities at FVTPL.</w:t>
      </w:r>
      <w:r>
        <w:rPr>
          <w:color w:val="0000FF"/>
          <w:sz w:val="20"/>
          <w:szCs w:val="20"/>
        </w:rPr>
        <w:t>]</w:t>
      </w:r>
    </w:p>
    <w:p w14:paraId="56A4BECD" w14:textId="5737F33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Pr>
          <w:color w:val="0000FF"/>
          <w:sz w:val="20"/>
          <w:szCs w:val="20"/>
        </w:rPr>
        <w:t>[</w:t>
      </w:r>
      <w:r w:rsidRPr="00093671">
        <w:rPr>
          <w:color w:val="0000FF"/>
          <w:sz w:val="20"/>
          <w:szCs w:val="20"/>
        </w:rPr>
        <w:t>For financial assets that are originated or purchased credit-impaired, the effective interest rate is the rate that discounts the expected cash flows (including the initial expected credit losses) to the fair value on initial recognition (normally represented by the purchase price). As a result, the effective interest is credit-adjusted.]</w:t>
      </w:r>
    </w:p>
    <w:p w14:paraId="5CEFD2F2" w14:textId="2E00FD02"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Pr>
          <w:color w:val="0000FF"/>
          <w:sz w:val="20"/>
          <w:szCs w:val="20"/>
        </w:rPr>
        <w:t>[</w:t>
      </w:r>
      <w:r w:rsidRPr="00093671">
        <w:rPr>
          <w:color w:val="0000FF"/>
          <w:sz w:val="20"/>
          <w:szCs w:val="20"/>
        </w:rPr>
        <w:t>Interest income is calculated by applying the effective interest rate to the gross carrying amount of financial assets, except for (i) financial assets that have become credit impaired (Stage 3), for which interest revenue is calculated by applying the effective interest rate to their AC, net of the ECL provision, and (ii) financial assets that are purchased or originated credit impaired, for which the original credit-adjusted effective interest rate is applied to the AC.</w:t>
      </w:r>
      <w:r>
        <w:rPr>
          <w:color w:val="0000FF"/>
          <w:sz w:val="20"/>
          <w:szCs w:val="20"/>
        </w:rPr>
        <w:t>[</w:t>
      </w:r>
    </w:p>
    <w:p w14:paraId="777C7CF4" w14:textId="10A38CD1" w:rsidR="00093671" w:rsidRPr="005A386D" w:rsidRDefault="00093671" w:rsidP="00093671">
      <w:pPr>
        <w:pStyle w:val="ABC-paragrahinNotes"/>
        <w:rPr>
          <w:i/>
          <w:color w:val="FF0000"/>
          <w:sz w:val="20"/>
          <w:szCs w:val="20"/>
        </w:rPr>
      </w:pPr>
      <w:r>
        <w:rPr>
          <w:color w:val="0000FF"/>
          <w:sz w:val="20"/>
          <w:szCs w:val="20"/>
        </w:rPr>
        <w:t>[</w:t>
      </w:r>
      <w:r w:rsidRPr="00093671">
        <w:rPr>
          <w:color w:val="0000FF"/>
          <w:sz w:val="20"/>
          <w:szCs w:val="20"/>
        </w:rPr>
        <w:t>If the credit risk on the financial asset classified in Stage 3 subsequently improves so that the asset is no longer credit-impaired and the improvement can be related objectively to an event occurring after the asset had been determined as credit-impaired (ie the asset becomes cured), the asset is reclassified from stage 3 and the interest revenue is calculated by applying the EIR to the gross carrying amount. The additional interest income, which was previously not recognised in P&amp;L due to the asset being in stage 3 but it is now expected to be received following the asset’s curing, is recognised as a reversal of impairment.</w:t>
      </w:r>
      <w:r>
        <w:rPr>
          <w:color w:val="0000FF"/>
          <w:sz w:val="20"/>
          <w:szCs w:val="20"/>
        </w:rPr>
        <w:t>]</w:t>
      </w:r>
      <w:r w:rsidRPr="00093671">
        <w:rPr>
          <w:color w:val="0000FF"/>
          <w:sz w:val="20"/>
          <w:szCs w:val="20"/>
        </w:rPr>
        <w:t xml:space="preserve"> </w:t>
      </w:r>
    </w:p>
    <w:p w14:paraId="424BE969" w14:textId="77777777" w:rsidR="00093671" w:rsidRDefault="00093671" w:rsidP="00F1145B">
      <w:pPr>
        <w:widowControl w:val="0"/>
        <w:pBdr>
          <w:top w:val="nil"/>
          <w:left w:val="nil"/>
          <w:bottom w:val="nil"/>
          <w:right w:val="nil"/>
          <w:between w:val="nil"/>
        </w:pBdr>
        <w:spacing w:before="200" w:after="200"/>
        <w:jc w:val="both"/>
        <w:rPr>
          <w:i/>
          <w:color w:val="FF0000"/>
          <w:sz w:val="20"/>
          <w:szCs w:val="20"/>
        </w:rPr>
      </w:pPr>
    </w:p>
    <w:p w14:paraId="4B643174" w14:textId="77777777" w:rsidR="004607BE" w:rsidRDefault="004607BE">
      <w:pPr>
        <w:pStyle w:val="Heading1"/>
        <w:pageBreakBefore/>
      </w:pPr>
      <w:bookmarkStart w:id="98" w:name="_Toc179196035"/>
      <w:r w:rsidRPr="002547FE">
        <w:lastRenderedPageBreak/>
        <w:t>Fee</w:t>
      </w:r>
      <w:r>
        <w:t xml:space="preserve"> and Commission Income and Expense</w:t>
      </w:r>
      <w:bookmarkEnd w:id="98"/>
    </w:p>
    <w:tbl>
      <w:tblPr>
        <w:tblStyle w:val="affffffffffff2"/>
        <w:tblW w:w="5000" w:type="pct"/>
        <w:tblLayout w:type="fixed"/>
        <w:tblLook w:val="0000" w:firstRow="0" w:lastRow="0" w:firstColumn="0" w:lastColumn="0" w:noHBand="0" w:noVBand="0"/>
      </w:tblPr>
      <w:tblGrid>
        <w:gridCol w:w="3689"/>
        <w:gridCol w:w="707"/>
        <w:gridCol w:w="709"/>
        <w:gridCol w:w="709"/>
        <w:gridCol w:w="709"/>
        <w:gridCol w:w="709"/>
        <w:gridCol w:w="709"/>
        <w:gridCol w:w="707"/>
        <w:gridCol w:w="707"/>
      </w:tblGrid>
      <w:tr w:rsidR="00D83E33" w:rsidRPr="00EA10CF" w14:paraId="1640203E" w14:textId="77777777" w:rsidTr="001B330E">
        <w:trPr>
          <w:trHeight w:val="23"/>
        </w:trPr>
        <w:tc>
          <w:tcPr>
            <w:tcW w:w="1971" w:type="pct"/>
            <w:vAlign w:val="bottom"/>
          </w:tcPr>
          <w:p w14:paraId="2CF468F4" w14:textId="77777777" w:rsidR="00D83E33" w:rsidRPr="00EA10CF" w:rsidRDefault="00D83E33" w:rsidP="001B330E">
            <w:pPr>
              <w:widowControl w:val="0"/>
              <w:pBdr>
                <w:top w:val="nil"/>
                <w:left w:val="nil"/>
                <w:bottom w:val="nil"/>
                <w:right w:val="nil"/>
                <w:between w:val="nil"/>
              </w:pBdr>
              <w:ind w:left="113" w:hanging="113"/>
              <w:rPr>
                <w:i/>
                <w:color w:val="000000"/>
              </w:rPr>
            </w:pPr>
          </w:p>
        </w:tc>
        <w:tc>
          <w:tcPr>
            <w:tcW w:w="1515" w:type="pct"/>
            <w:gridSpan w:val="4"/>
            <w:tcBorders>
              <w:bottom w:val="single" w:sz="4" w:space="0" w:color="000000"/>
            </w:tcBorders>
            <w:vAlign w:val="bottom"/>
          </w:tcPr>
          <w:p w14:paraId="376B24EB" w14:textId="67FBE1A6" w:rsidR="00D83E33" w:rsidRPr="00EA10CF" w:rsidRDefault="00541EBC" w:rsidP="001B330E">
            <w:pPr>
              <w:widowControl w:val="0"/>
              <w:pBdr>
                <w:top w:val="nil"/>
                <w:left w:val="nil"/>
                <w:right w:val="nil"/>
                <w:between w:val="nil"/>
              </w:pBdr>
              <w:ind w:hanging="398"/>
              <w:jc w:val="center"/>
              <w:rPr>
                <w:b/>
                <w:color w:val="000000"/>
              </w:rPr>
            </w:pPr>
            <w:r>
              <w:rPr>
                <w:b/>
                <w:color w:val="000000"/>
              </w:rPr>
              <w:t>2024</w:t>
            </w:r>
          </w:p>
        </w:tc>
        <w:tc>
          <w:tcPr>
            <w:tcW w:w="1514" w:type="pct"/>
            <w:gridSpan w:val="4"/>
            <w:tcBorders>
              <w:bottom w:val="single" w:sz="4" w:space="0" w:color="000000"/>
            </w:tcBorders>
          </w:tcPr>
          <w:p w14:paraId="247421C4" w14:textId="450C8C80" w:rsidR="00D83E33" w:rsidRPr="00EA10CF" w:rsidRDefault="00541EBC" w:rsidP="001B330E">
            <w:pPr>
              <w:widowControl w:val="0"/>
              <w:pBdr>
                <w:top w:val="nil"/>
                <w:left w:val="nil"/>
                <w:right w:val="nil"/>
                <w:between w:val="nil"/>
              </w:pBdr>
              <w:jc w:val="center"/>
              <w:rPr>
                <w:b/>
                <w:color w:val="000000"/>
              </w:rPr>
            </w:pPr>
            <w:r>
              <w:rPr>
                <w:b/>
                <w:color w:val="000000"/>
              </w:rPr>
              <w:t>2023</w:t>
            </w:r>
          </w:p>
        </w:tc>
      </w:tr>
      <w:tr w:rsidR="00D83E33" w:rsidRPr="00EA10CF" w14:paraId="42B90353" w14:textId="77777777" w:rsidTr="00372E26">
        <w:trPr>
          <w:trHeight w:val="23"/>
        </w:trPr>
        <w:tc>
          <w:tcPr>
            <w:tcW w:w="1971" w:type="pct"/>
            <w:tcBorders>
              <w:bottom w:val="single" w:sz="4" w:space="0" w:color="000000"/>
            </w:tcBorders>
            <w:vAlign w:val="bottom"/>
          </w:tcPr>
          <w:p w14:paraId="35219B4E" w14:textId="195958E5"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78" w:type="pct"/>
            <w:tcBorders>
              <w:top w:val="single" w:sz="4" w:space="0" w:color="000000"/>
              <w:bottom w:val="single" w:sz="4" w:space="0" w:color="000000"/>
            </w:tcBorders>
            <w:vAlign w:val="bottom"/>
          </w:tcPr>
          <w:p w14:paraId="654FBC53" w14:textId="77777777" w:rsidR="00D83E33" w:rsidRPr="001B330E" w:rsidRDefault="00BC4072">
            <w:pPr>
              <w:widowControl w:val="0"/>
              <w:pBdr>
                <w:top w:val="nil"/>
                <w:left w:val="nil"/>
                <w:bottom w:val="nil"/>
                <w:right w:val="nil"/>
                <w:between w:val="nil"/>
              </w:pBdr>
              <w:jc w:val="right"/>
              <w:rPr>
                <w:b/>
                <w:color w:val="000000"/>
                <w:szCs w:val="16"/>
              </w:rPr>
            </w:pPr>
            <w:r w:rsidRPr="001B330E">
              <w:rPr>
                <w:b/>
                <w:color w:val="000000"/>
                <w:szCs w:val="16"/>
              </w:rPr>
              <w:t>Retail ban-king</w:t>
            </w:r>
          </w:p>
        </w:tc>
        <w:tc>
          <w:tcPr>
            <w:tcW w:w="379" w:type="pct"/>
            <w:tcBorders>
              <w:top w:val="single" w:sz="4" w:space="0" w:color="000000"/>
              <w:bottom w:val="single" w:sz="4" w:space="0" w:color="000000"/>
            </w:tcBorders>
            <w:vAlign w:val="bottom"/>
          </w:tcPr>
          <w:p w14:paraId="3EF8B6CF" w14:textId="77777777" w:rsidR="00D83E33" w:rsidRPr="001B330E" w:rsidRDefault="00BC4072">
            <w:pPr>
              <w:widowControl w:val="0"/>
              <w:pBdr>
                <w:top w:val="nil"/>
                <w:left w:val="nil"/>
                <w:bottom w:val="nil"/>
                <w:right w:val="nil"/>
                <w:between w:val="nil"/>
              </w:pBdr>
              <w:jc w:val="right"/>
              <w:rPr>
                <w:b/>
                <w:color w:val="000000"/>
                <w:szCs w:val="16"/>
              </w:rPr>
            </w:pPr>
            <w:r w:rsidRPr="001B330E">
              <w:rPr>
                <w:b/>
                <w:color w:val="000000"/>
                <w:szCs w:val="16"/>
              </w:rPr>
              <w:t>Cor-porate ban-king</w:t>
            </w:r>
          </w:p>
        </w:tc>
        <w:tc>
          <w:tcPr>
            <w:tcW w:w="379" w:type="pct"/>
            <w:tcBorders>
              <w:top w:val="single" w:sz="4" w:space="0" w:color="000000"/>
              <w:bottom w:val="single" w:sz="4" w:space="0" w:color="000000"/>
            </w:tcBorders>
          </w:tcPr>
          <w:p w14:paraId="668A0A4C" w14:textId="77777777" w:rsidR="00D83E33" w:rsidRPr="001B330E" w:rsidRDefault="00BC4072">
            <w:pPr>
              <w:widowControl w:val="0"/>
              <w:pBdr>
                <w:top w:val="nil"/>
                <w:left w:val="nil"/>
                <w:bottom w:val="nil"/>
                <w:right w:val="nil"/>
                <w:between w:val="nil"/>
              </w:pBdr>
              <w:jc w:val="right"/>
              <w:rPr>
                <w:b/>
                <w:color w:val="000000"/>
                <w:szCs w:val="16"/>
              </w:rPr>
            </w:pPr>
            <w:r w:rsidRPr="001B330E">
              <w:rPr>
                <w:b/>
                <w:color w:val="000000"/>
                <w:szCs w:val="16"/>
              </w:rPr>
              <w:t>In-vest-ment ban-king</w:t>
            </w:r>
          </w:p>
        </w:tc>
        <w:tc>
          <w:tcPr>
            <w:tcW w:w="379" w:type="pct"/>
            <w:tcBorders>
              <w:top w:val="single" w:sz="4" w:space="0" w:color="000000"/>
              <w:bottom w:val="single" w:sz="4" w:space="0" w:color="000000"/>
            </w:tcBorders>
          </w:tcPr>
          <w:p w14:paraId="58BA036A" w14:textId="77777777" w:rsidR="00D83E33" w:rsidRPr="001B330E" w:rsidRDefault="00BC4072">
            <w:pPr>
              <w:widowControl w:val="0"/>
              <w:pBdr>
                <w:top w:val="nil"/>
                <w:left w:val="nil"/>
                <w:bottom w:val="nil"/>
                <w:right w:val="nil"/>
                <w:between w:val="nil"/>
              </w:pBdr>
              <w:ind w:hanging="398"/>
              <w:jc w:val="right"/>
              <w:rPr>
                <w:b/>
                <w:color w:val="000000"/>
                <w:szCs w:val="16"/>
              </w:rPr>
            </w:pPr>
            <w:r w:rsidRPr="001B330E">
              <w:rPr>
                <w:b/>
                <w:color w:val="000000"/>
                <w:szCs w:val="16"/>
              </w:rPr>
              <w:t>Total</w:t>
            </w:r>
          </w:p>
        </w:tc>
        <w:tc>
          <w:tcPr>
            <w:tcW w:w="379" w:type="pct"/>
            <w:tcBorders>
              <w:top w:val="single" w:sz="4" w:space="0" w:color="000000"/>
              <w:bottom w:val="single" w:sz="4" w:space="0" w:color="000000"/>
            </w:tcBorders>
            <w:vAlign w:val="bottom"/>
          </w:tcPr>
          <w:p w14:paraId="7321D25F" w14:textId="77777777" w:rsidR="00D83E33" w:rsidRPr="00EA10CF" w:rsidRDefault="00BC4072">
            <w:pPr>
              <w:widowControl w:val="0"/>
              <w:pBdr>
                <w:top w:val="nil"/>
                <w:left w:val="nil"/>
                <w:bottom w:val="nil"/>
                <w:right w:val="nil"/>
                <w:between w:val="nil"/>
              </w:pBdr>
              <w:jc w:val="right"/>
              <w:rPr>
                <w:b/>
                <w:color w:val="000000"/>
              </w:rPr>
            </w:pPr>
            <w:r w:rsidRPr="001B330E">
              <w:rPr>
                <w:b/>
                <w:color w:val="000000"/>
                <w:szCs w:val="16"/>
              </w:rPr>
              <w:t>Retail ban-king</w:t>
            </w:r>
          </w:p>
        </w:tc>
        <w:tc>
          <w:tcPr>
            <w:tcW w:w="379" w:type="pct"/>
            <w:tcBorders>
              <w:top w:val="single" w:sz="4" w:space="0" w:color="000000"/>
              <w:bottom w:val="single" w:sz="4" w:space="0" w:color="000000"/>
            </w:tcBorders>
            <w:vAlign w:val="bottom"/>
          </w:tcPr>
          <w:p w14:paraId="739070AF" w14:textId="77777777" w:rsidR="00D83E33" w:rsidRPr="00EA10CF" w:rsidRDefault="00BC4072">
            <w:pPr>
              <w:widowControl w:val="0"/>
              <w:pBdr>
                <w:top w:val="nil"/>
                <w:left w:val="nil"/>
                <w:bottom w:val="nil"/>
                <w:right w:val="nil"/>
                <w:between w:val="nil"/>
              </w:pBdr>
              <w:jc w:val="right"/>
              <w:rPr>
                <w:b/>
                <w:color w:val="000000"/>
              </w:rPr>
            </w:pPr>
            <w:r w:rsidRPr="001B330E">
              <w:rPr>
                <w:b/>
                <w:color w:val="000000"/>
                <w:szCs w:val="16"/>
              </w:rPr>
              <w:t>Cor-porate ban-king</w:t>
            </w:r>
          </w:p>
        </w:tc>
        <w:tc>
          <w:tcPr>
            <w:tcW w:w="378" w:type="pct"/>
            <w:tcBorders>
              <w:top w:val="single" w:sz="4" w:space="0" w:color="000000"/>
              <w:bottom w:val="single" w:sz="4" w:space="0" w:color="000000"/>
            </w:tcBorders>
          </w:tcPr>
          <w:p w14:paraId="073FD241" w14:textId="77777777" w:rsidR="00D83E33" w:rsidRPr="00EA10CF" w:rsidRDefault="00BC4072">
            <w:pPr>
              <w:widowControl w:val="0"/>
              <w:pBdr>
                <w:top w:val="nil"/>
                <w:left w:val="nil"/>
                <w:bottom w:val="nil"/>
                <w:right w:val="nil"/>
                <w:between w:val="nil"/>
              </w:pBdr>
              <w:jc w:val="right"/>
              <w:rPr>
                <w:b/>
                <w:color w:val="000000"/>
              </w:rPr>
            </w:pPr>
            <w:r w:rsidRPr="001B330E">
              <w:rPr>
                <w:b/>
                <w:color w:val="000000"/>
                <w:szCs w:val="16"/>
              </w:rPr>
              <w:t>In-vest-ment ban-king</w:t>
            </w:r>
          </w:p>
        </w:tc>
        <w:tc>
          <w:tcPr>
            <w:tcW w:w="379" w:type="pct"/>
            <w:tcBorders>
              <w:top w:val="single" w:sz="4" w:space="0" w:color="000000"/>
              <w:bottom w:val="single" w:sz="4" w:space="0" w:color="000000"/>
            </w:tcBorders>
          </w:tcPr>
          <w:p w14:paraId="3671B1A6" w14:textId="13B418EB" w:rsidR="00D83E33" w:rsidRPr="00EA10CF" w:rsidRDefault="007347D3" w:rsidP="00372E26">
            <w:pPr>
              <w:widowControl w:val="0"/>
              <w:pBdr>
                <w:top w:val="nil"/>
                <w:left w:val="nil"/>
                <w:bottom w:val="nil"/>
                <w:right w:val="nil"/>
                <w:between w:val="nil"/>
              </w:pBdr>
              <w:jc w:val="center"/>
              <w:rPr>
                <w:b/>
                <w:color w:val="000000"/>
              </w:rPr>
            </w:pPr>
            <w:r>
              <w:rPr>
                <w:b/>
                <w:color w:val="000000"/>
                <w:szCs w:val="16"/>
              </w:rPr>
              <w:t>Total</w:t>
            </w:r>
          </w:p>
        </w:tc>
      </w:tr>
      <w:tr w:rsidR="00D83E33" w:rsidRPr="00EA10CF" w14:paraId="3E0C9CB3" w14:textId="77777777" w:rsidTr="001B330E">
        <w:trPr>
          <w:trHeight w:val="23"/>
        </w:trPr>
        <w:tc>
          <w:tcPr>
            <w:tcW w:w="1971" w:type="pct"/>
            <w:tcBorders>
              <w:top w:val="single" w:sz="4" w:space="0" w:color="000000"/>
            </w:tcBorders>
            <w:vAlign w:val="bottom"/>
          </w:tcPr>
          <w:p w14:paraId="4EC14EB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78" w:type="pct"/>
            <w:tcBorders>
              <w:top w:val="single" w:sz="4" w:space="0" w:color="000000"/>
            </w:tcBorders>
            <w:vAlign w:val="bottom"/>
          </w:tcPr>
          <w:p w14:paraId="68F56180"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vAlign w:val="bottom"/>
          </w:tcPr>
          <w:p w14:paraId="28AA4CFC"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tcPr>
          <w:p w14:paraId="28581F16"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tcPr>
          <w:p w14:paraId="57AD6A07"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Borders>
              <w:top w:val="single" w:sz="4" w:space="0" w:color="000000"/>
            </w:tcBorders>
          </w:tcPr>
          <w:p w14:paraId="32C982FC"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tcPr>
          <w:p w14:paraId="77B2BB5C" w14:textId="77777777" w:rsidR="00D83E33" w:rsidRPr="00EA10CF" w:rsidRDefault="00D83E33">
            <w:pPr>
              <w:widowControl w:val="0"/>
              <w:pBdr>
                <w:top w:val="nil"/>
                <w:left w:val="nil"/>
                <w:bottom w:val="nil"/>
                <w:right w:val="nil"/>
                <w:between w:val="nil"/>
              </w:pBdr>
              <w:jc w:val="right"/>
              <w:rPr>
                <w:color w:val="000000"/>
              </w:rPr>
            </w:pPr>
          </w:p>
        </w:tc>
        <w:tc>
          <w:tcPr>
            <w:tcW w:w="378" w:type="pct"/>
            <w:tcBorders>
              <w:top w:val="single" w:sz="4" w:space="0" w:color="000000"/>
            </w:tcBorders>
          </w:tcPr>
          <w:p w14:paraId="1ECAB302"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tcPr>
          <w:p w14:paraId="61420D7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6F72898" w14:textId="77777777" w:rsidTr="001B330E">
        <w:trPr>
          <w:trHeight w:val="23"/>
        </w:trPr>
        <w:tc>
          <w:tcPr>
            <w:tcW w:w="1971" w:type="pct"/>
            <w:vAlign w:val="bottom"/>
          </w:tcPr>
          <w:p w14:paraId="04E45786"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Fee and commission income</w:t>
            </w:r>
          </w:p>
        </w:tc>
        <w:tc>
          <w:tcPr>
            <w:tcW w:w="378" w:type="pct"/>
            <w:vAlign w:val="bottom"/>
          </w:tcPr>
          <w:p w14:paraId="46FE50A6"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2568C726"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FACC449"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1F3094C"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43B88E36"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A349326"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6DFDD10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D47CFA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F8E3DA6" w14:textId="77777777" w:rsidTr="001B330E">
        <w:trPr>
          <w:trHeight w:val="23"/>
        </w:trPr>
        <w:tc>
          <w:tcPr>
            <w:tcW w:w="1971" w:type="pct"/>
            <w:vAlign w:val="bottom"/>
          </w:tcPr>
          <w:p w14:paraId="52DD15A7"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 xml:space="preserve">Fee and commission income not relating to financial instruments at FVTPL: </w:t>
            </w:r>
          </w:p>
        </w:tc>
        <w:tc>
          <w:tcPr>
            <w:tcW w:w="378" w:type="pct"/>
            <w:vAlign w:val="bottom"/>
          </w:tcPr>
          <w:p w14:paraId="0694779F"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08BDBAF9"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71BA9C6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F0DF860"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75FE4B1F"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794D2B5"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636439B3"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70680F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217251A" w14:textId="77777777" w:rsidTr="001B330E">
        <w:trPr>
          <w:trHeight w:val="23"/>
        </w:trPr>
        <w:tc>
          <w:tcPr>
            <w:tcW w:w="1971" w:type="pct"/>
            <w:vAlign w:val="bottom"/>
          </w:tcPr>
          <w:p w14:paraId="3EDFF2C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Settlement transactions</w:t>
            </w:r>
          </w:p>
        </w:tc>
        <w:tc>
          <w:tcPr>
            <w:tcW w:w="378" w:type="pct"/>
            <w:vAlign w:val="bottom"/>
          </w:tcPr>
          <w:p w14:paraId="30729916"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3767A913"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ECE0DB4"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1F07706"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611309B4"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2682724"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60B2675E"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734727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71C3BF6" w14:textId="77777777" w:rsidTr="001B330E">
        <w:trPr>
          <w:trHeight w:val="23"/>
        </w:trPr>
        <w:tc>
          <w:tcPr>
            <w:tcW w:w="1971" w:type="pct"/>
            <w:vAlign w:val="bottom"/>
          </w:tcPr>
          <w:p w14:paraId="7CF73E4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Cash transactions</w:t>
            </w:r>
          </w:p>
        </w:tc>
        <w:tc>
          <w:tcPr>
            <w:tcW w:w="378" w:type="pct"/>
            <w:vAlign w:val="bottom"/>
          </w:tcPr>
          <w:p w14:paraId="341DBA29"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737B748F"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2337E9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C8C75BE"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638DE2C5"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5419D5F"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513F1E6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7D7D330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BE4BBF7" w14:textId="77777777" w:rsidTr="001B330E">
        <w:trPr>
          <w:trHeight w:val="23"/>
        </w:trPr>
        <w:tc>
          <w:tcPr>
            <w:tcW w:w="1971" w:type="pct"/>
            <w:vAlign w:val="bottom"/>
          </w:tcPr>
          <w:p w14:paraId="213515B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Cash collection</w:t>
            </w:r>
          </w:p>
        </w:tc>
        <w:tc>
          <w:tcPr>
            <w:tcW w:w="378" w:type="pct"/>
            <w:vAlign w:val="bottom"/>
          </w:tcPr>
          <w:p w14:paraId="0C8F2D62"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6BCCAD8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262A7607"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5FEBDCA"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58C3C0A7"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8C2B170"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101E0FAD"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C4C083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4092D58" w14:textId="77777777" w:rsidTr="001B330E">
        <w:trPr>
          <w:trHeight w:val="23"/>
        </w:trPr>
        <w:tc>
          <w:tcPr>
            <w:tcW w:w="1971" w:type="pct"/>
            <w:vAlign w:val="bottom"/>
          </w:tcPr>
          <w:p w14:paraId="510BC85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Transactions with securities</w:t>
            </w:r>
          </w:p>
        </w:tc>
        <w:tc>
          <w:tcPr>
            <w:tcW w:w="378" w:type="pct"/>
            <w:vAlign w:val="bottom"/>
          </w:tcPr>
          <w:p w14:paraId="4C12D5F4"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09A6CBA2"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EDEBF1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2255F33B"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5660ED6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F8099DA"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639B2FB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381579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925BEF3" w14:textId="77777777" w:rsidTr="001B330E">
        <w:trPr>
          <w:trHeight w:val="23"/>
        </w:trPr>
        <w:tc>
          <w:tcPr>
            <w:tcW w:w="1971" w:type="pct"/>
            <w:vAlign w:val="bottom"/>
          </w:tcPr>
          <w:p w14:paraId="0F1D5061" w14:textId="6D5DD93B"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Fiduciary activities </w:t>
            </w:r>
          </w:p>
        </w:tc>
        <w:tc>
          <w:tcPr>
            <w:tcW w:w="378" w:type="pct"/>
            <w:vAlign w:val="bottom"/>
          </w:tcPr>
          <w:p w14:paraId="72A150AF"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31A1334D"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039CFD7"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4E72DCB"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03D4918D"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0CE088AC"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1CE7D5AD"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04FD014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C781FAF" w14:textId="77777777" w:rsidTr="001B330E">
        <w:trPr>
          <w:trHeight w:val="23"/>
        </w:trPr>
        <w:tc>
          <w:tcPr>
            <w:tcW w:w="1971" w:type="pct"/>
            <w:vAlign w:val="bottom"/>
          </w:tcPr>
          <w:p w14:paraId="381B7427" w14:textId="77777777" w:rsidR="00D83E33" w:rsidRPr="00EA10CF" w:rsidRDefault="00BC4072" w:rsidP="001B330E">
            <w:pPr>
              <w:widowControl w:val="0"/>
              <w:ind w:left="113" w:hanging="113"/>
            </w:pPr>
            <w:r w:rsidRPr="00EA10CF">
              <w:t>- Factoring services</w:t>
            </w:r>
          </w:p>
        </w:tc>
        <w:tc>
          <w:tcPr>
            <w:tcW w:w="378" w:type="pct"/>
            <w:vAlign w:val="bottom"/>
          </w:tcPr>
          <w:p w14:paraId="1043CA06"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13A9F11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7992DFEF"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2A5D933"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7F8A394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74C4BBD3"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3A6675E1"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07C505B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99AC87" w14:textId="77777777" w:rsidTr="001B330E">
        <w:trPr>
          <w:trHeight w:val="23"/>
        </w:trPr>
        <w:tc>
          <w:tcPr>
            <w:tcW w:w="1971" w:type="pct"/>
            <w:vAlign w:val="bottom"/>
          </w:tcPr>
          <w:p w14:paraId="176441E3" w14:textId="77777777" w:rsidR="00D83E33" w:rsidRPr="00EA10CF" w:rsidRDefault="00BC4072" w:rsidP="001B330E">
            <w:pPr>
              <w:widowControl w:val="0"/>
              <w:ind w:left="113" w:hanging="113"/>
            </w:pPr>
            <w:r w:rsidRPr="00EA10CF">
              <w:t>- Asset management services</w:t>
            </w:r>
          </w:p>
        </w:tc>
        <w:tc>
          <w:tcPr>
            <w:tcW w:w="378" w:type="pct"/>
            <w:vAlign w:val="bottom"/>
          </w:tcPr>
          <w:p w14:paraId="7C40559D"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4B21520F"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855E43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721FDE00"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4B949AA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EFE3E8E"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1AB29C6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127454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F3A4ABB" w14:textId="77777777" w:rsidTr="001B330E">
        <w:trPr>
          <w:trHeight w:val="23"/>
        </w:trPr>
        <w:tc>
          <w:tcPr>
            <w:tcW w:w="1971" w:type="pct"/>
            <w:vAlign w:val="bottom"/>
          </w:tcPr>
          <w:p w14:paraId="247C9AE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Financial guarantees issued (Note 43)</w:t>
            </w:r>
          </w:p>
        </w:tc>
        <w:tc>
          <w:tcPr>
            <w:tcW w:w="378" w:type="pct"/>
            <w:vAlign w:val="bottom"/>
          </w:tcPr>
          <w:p w14:paraId="5B502E71"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2E1295AB"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A049B3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DC240A7"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603713B1"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BFB6304"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361251A4"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77D2DB7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6647E0D" w14:textId="77777777" w:rsidTr="001B330E">
        <w:trPr>
          <w:trHeight w:val="23"/>
        </w:trPr>
        <w:tc>
          <w:tcPr>
            <w:tcW w:w="1971" w:type="pct"/>
            <w:vAlign w:val="bottom"/>
          </w:tcPr>
          <w:p w14:paraId="2A51D45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Performance guarantees issued (Note 43)</w:t>
            </w:r>
          </w:p>
        </w:tc>
        <w:tc>
          <w:tcPr>
            <w:tcW w:w="378" w:type="pct"/>
            <w:vAlign w:val="bottom"/>
          </w:tcPr>
          <w:p w14:paraId="204C7A9B"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31085417"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278ED0A5"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2CE71F10"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399F697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39E3DCB"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58B571BB"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3D8FCB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FE7E5ED" w14:textId="77777777" w:rsidTr="001B330E">
        <w:trPr>
          <w:trHeight w:val="23"/>
        </w:trPr>
        <w:tc>
          <w:tcPr>
            <w:tcW w:w="1971" w:type="pct"/>
            <w:vAlign w:val="bottom"/>
          </w:tcPr>
          <w:p w14:paraId="0844BD0D" w14:textId="4463AC30"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Other </w:t>
            </w:r>
          </w:p>
        </w:tc>
        <w:tc>
          <w:tcPr>
            <w:tcW w:w="378" w:type="pct"/>
            <w:vAlign w:val="bottom"/>
          </w:tcPr>
          <w:p w14:paraId="501546CE"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5B4A37AF"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9470F2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61D88E3"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76194301"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22C75B3"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3EAC2314"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CCA81F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17F7BC4" w14:textId="77777777" w:rsidTr="001B330E">
        <w:trPr>
          <w:trHeight w:val="23"/>
        </w:trPr>
        <w:tc>
          <w:tcPr>
            <w:tcW w:w="1971" w:type="pct"/>
            <w:vAlign w:val="bottom"/>
          </w:tcPr>
          <w:p w14:paraId="6E6C73CF" w14:textId="77777777" w:rsidR="00D83E33" w:rsidRPr="00EA10CF" w:rsidRDefault="00BC4072" w:rsidP="001B330E">
            <w:pPr>
              <w:widowControl w:val="0"/>
              <w:ind w:left="113" w:hanging="113"/>
              <w:rPr>
                <w:i/>
                <w:color w:val="FF0000"/>
              </w:rPr>
            </w:pPr>
            <w:r w:rsidRPr="00EA10CF">
              <w:rPr>
                <w:i/>
              </w:rPr>
              <w:t>Fee and commission income in respect of financial instruments at FVTPL</w:t>
            </w:r>
          </w:p>
        </w:tc>
        <w:tc>
          <w:tcPr>
            <w:tcW w:w="378" w:type="pct"/>
            <w:vAlign w:val="bottom"/>
          </w:tcPr>
          <w:p w14:paraId="51A3CDAD"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14163AE5"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3DE1CE3"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B07050E"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0759ED1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FE845C6"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2CC970EE"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6FE368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56DF106" w14:textId="77777777" w:rsidTr="001B330E">
        <w:trPr>
          <w:trHeight w:val="23"/>
        </w:trPr>
        <w:tc>
          <w:tcPr>
            <w:tcW w:w="1971" w:type="pct"/>
            <w:vAlign w:val="bottom"/>
          </w:tcPr>
          <w:p w14:paraId="32BBDF0D" w14:textId="77777777" w:rsidR="00D83E33" w:rsidRPr="00EA10CF" w:rsidRDefault="00BC4072" w:rsidP="001B330E">
            <w:pPr>
              <w:widowControl w:val="0"/>
              <w:ind w:left="113" w:hanging="113"/>
              <w:rPr>
                <w:i/>
              </w:rPr>
            </w:pPr>
            <w:r w:rsidRPr="00EA10CF">
              <w:t>- Fees charged to counterparties for selling futures contracts</w:t>
            </w:r>
          </w:p>
        </w:tc>
        <w:tc>
          <w:tcPr>
            <w:tcW w:w="378" w:type="pct"/>
            <w:vAlign w:val="bottom"/>
          </w:tcPr>
          <w:p w14:paraId="6C68CF2F"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0BE139A2"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A6CC38F"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9971846"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548AE84E"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FFEDEFC"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1FBD63E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FAE869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91B9E47" w14:textId="77777777" w:rsidTr="001B330E">
        <w:trPr>
          <w:trHeight w:val="23"/>
        </w:trPr>
        <w:tc>
          <w:tcPr>
            <w:tcW w:w="1971" w:type="pct"/>
            <w:tcBorders>
              <w:bottom w:val="single" w:sz="4" w:space="0" w:color="000000"/>
            </w:tcBorders>
            <w:vAlign w:val="bottom"/>
          </w:tcPr>
          <w:p w14:paraId="05C4466E" w14:textId="77777777" w:rsidR="00D83E33" w:rsidRPr="00EA10CF" w:rsidRDefault="00BC4072" w:rsidP="001B330E">
            <w:pPr>
              <w:widowControl w:val="0"/>
              <w:ind w:left="113" w:hanging="113"/>
            </w:pPr>
            <w:r w:rsidRPr="00EA10CF">
              <w:t> </w:t>
            </w:r>
          </w:p>
        </w:tc>
        <w:tc>
          <w:tcPr>
            <w:tcW w:w="378" w:type="pct"/>
            <w:tcBorders>
              <w:bottom w:val="single" w:sz="4" w:space="0" w:color="000000"/>
            </w:tcBorders>
            <w:vAlign w:val="bottom"/>
          </w:tcPr>
          <w:p w14:paraId="55CE95DE"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vAlign w:val="bottom"/>
          </w:tcPr>
          <w:p w14:paraId="7158506B"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tcPr>
          <w:p w14:paraId="641212DA"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tcPr>
          <w:p w14:paraId="246A2A4F"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Borders>
              <w:bottom w:val="single" w:sz="4" w:space="0" w:color="000000"/>
            </w:tcBorders>
          </w:tcPr>
          <w:p w14:paraId="17E5EEDF"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tcPr>
          <w:p w14:paraId="6B099024" w14:textId="77777777" w:rsidR="00D83E33" w:rsidRPr="00EA10CF" w:rsidRDefault="00D83E33">
            <w:pPr>
              <w:widowControl w:val="0"/>
              <w:pBdr>
                <w:top w:val="nil"/>
                <w:left w:val="nil"/>
                <w:bottom w:val="nil"/>
                <w:right w:val="nil"/>
                <w:between w:val="nil"/>
              </w:pBdr>
              <w:jc w:val="right"/>
              <w:rPr>
                <w:color w:val="000000"/>
              </w:rPr>
            </w:pPr>
          </w:p>
        </w:tc>
        <w:tc>
          <w:tcPr>
            <w:tcW w:w="378" w:type="pct"/>
            <w:tcBorders>
              <w:bottom w:val="single" w:sz="4" w:space="0" w:color="000000"/>
            </w:tcBorders>
          </w:tcPr>
          <w:p w14:paraId="68EB9895"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tcPr>
          <w:p w14:paraId="31496E5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2ADCB78" w14:textId="77777777" w:rsidTr="001B330E">
        <w:trPr>
          <w:trHeight w:val="23"/>
        </w:trPr>
        <w:tc>
          <w:tcPr>
            <w:tcW w:w="1971" w:type="pct"/>
            <w:tcBorders>
              <w:top w:val="single" w:sz="4" w:space="0" w:color="000000"/>
            </w:tcBorders>
            <w:vAlign w:val="bottom"/>
          </w:tcPr>
          <w:p w14:paraId="63940858" w14:textId="77777777" w:rsidR="00D83E33" w:rsidRPr="00EA10CF" w:rsidRDefault="00BC4072" w:rsidP="001B330E">
            <w:pPr>
              <w:widowControl w:val="0"/>
              <w:ind w:left="113" w:hanging="113"/>
            </w:pPr>
            <w:r w:rsidRPr="00EA10CF">
              <w:t> </w:t>
            </w:r>
          </w:p>
        </w:tc>
        <w:tc>
          <w:tcPr>
            <w:tcW w:w="378" w:type="pct"/>
            <w:tcBorders>
              <w:top w:val="single" w:sz="4" w:space="0" w:color="000000"/>
            </w:tcBorders>
            <w:vAlign w:val="bottom"/>
          </w:tcPr>
          <w:p w14:paraId="41111027"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4" w:space="0" w:color="000000"/>
            </w:tcBorders>
            <w:vAlign w:val="bottom"/>
          </w:tcPr>
          <w:p w14:paraId="46A58F7E"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4" w:space="0" w:color="000000"/>
            </w:tcBorders>
          </w:tcPr>
          <w:p w14:paraId="587EC11E"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4" w:space="0" w:color="000000"/>
            </w:tcBorders>
          </w:tcPr>
          <w:p w14:paraId="11C38EC4" w14:textId="77777777" w:rsidR="00D83E33" w:rsidRPr="00EA10CF" w:rsidRDefault="00D83E33">
            <w:pPr>
              <w:widowControl w:val="0"/>
              <w:pBdr>
                <w:top w:val="nil"/>
                <w:left w:val="nil"/>
                <w:bottom w:val="nil"/>
                <w:right w:val="nil"/>
                <w:between w:val="nil"/>
              </w:pBdr>
              <w:ind w:hanging="398"/>
              <w:jc w:val="right"/>
              <w:rPr>
                <w:b/>
                <w:color w:val="000000"/>
              </w:rPr>
            </w:pPr>
          </w:p>
        </w:tc>
        <w:tc>
          <w:tcPr>
            <w:tcW w:w="379" w:type="pct"/>
            <w:tcBorders>
              <w:top w:val="single" w:sz="4" w:space="0" w:color="000000"/>
            </w:tcBorders>
          </w:tcPr>
          <w:p w14:paraId="1648BA24"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4" w:space="0" w:color="000000"/>
            </w:tcBorders>
          </w:tcPr>
          <w:p w14:paraId="7F19AEBF" w14:textId="77777777" w:rsidR="00D83E33" w:rsidRPr="00EA10CF" w:rsidRDefault="00D83E33">
            <w:pPr>
              <w:widowControl w:val="0"/>
              <w:pBdr>
                <w:top w:val="nil"/>
                <w:left w:val="nil"/>
                <w:bottom w:val="nil"/>
                <w:right w:val="nil"/>
                <w:between w:val="nil"/>
              </w:pBdr>
              <w:jc w:val="right"/>
              <w:rPr>
                <w:b/>
                <w:color w:val="000000"/>
              </w:rPr>
            </w:pPr>
          </w:p>
        </w:tc>
        <w:tc>
          <w:tcPr>
            <w:tcW w:w="378" w:type="pct"/>
            <w:tcBorders>
              <w:top w:val="single" w:sz="4" w:space="0" w:color="000000"/>
            </w:tcBorders>
          </w:tcPr>
          <w:p w14:paraId="1751D405"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4" w:space="0" w:color="000000"/>
            </w:tcBorders>
          </w:tcPr>
          <w:p w14:paraId="393F766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DD02274" w14:textId="77777777" w:rsidTr="001B330E">
        <w:trPr>
          <w:trHeight w:val="23"/>
        </w:trPr>
        <w:tc>
          <w:tcPr>
            <w:tcW w:w="1971" w:type="pct"/>
            <w:vAlign w:val="bottom"/>
          </w:tcPr>
          <w:p w14:paraId="70639F12"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fee and commission income</w:t>
            </w:r>
          </w:p>
        </w:tc>
        <w:tc>
          <w:tcPr>
            <w:tcW w:w="378" w:type="pct"/>
            <w:vAlign w:val="bottom"/>
          </w:tcPr>
          <w:p w14:paraId="38DA65A2" w14:textId="77777777" w:rsidR="00D83E33" w:rsidRPr="00EA10CF" w:rsidRDefault="00D83E33">
            <w:pPr>
              <w:widowControl w:val="0"/>
              <w:pBdr>
                <w:top w:val="nil"/>
                <w:left w:val="nil"/>
                <w:bottom w:val="nil"/>
                <w:right w:val="nil"/>
                <w:between w:val="nil"/>
              </w:pBdr>
              <w:jc w:val="right"/>
              <w:rPr>
                <w:b/>
                <w:color w:val="000000"/>
              </w:rPr>
            </w:pPr>
          </w:p>
        </w:tc>
        <w:tc>
          <w:tcPr>
            <w:tcW w:w="379" w:type="pct"/>
            <w:vAlign w:val="bottom"/>
          </w:tcPr>
          <w:p w14:paraId="2D79C780" w14:textId="77777777" w:rsidR="00D83E33" w:rsidRPr="00EA10CF" w:rsidRDefault="00D83E33">
            <w:pPr>
              <w:widowControl w:val="0"/>
              <w:pBdr>
                <w:top w:val="nil"/>
                <w:left w:val="nil"/>
                <w:bottom w:val="nil"/>
                <w:right w:val="nil"/>
                <w:between w:val="nil"/>
              </w:pBdr>
              <w:jc w:val="right"/>
              <w:rPr>
                <w:b/>
                <w:color w:val="000000"/>
              </w:rPr>
            </w:pPr>
          </w:p>
        </w:tc>
        <w:tc>
          <w:tcPr>
            <w:tcW w:w="379" w:type="pct"/>
          </w:tcPr>
          <w:p w14:paraId="33E75690" w14:textId="77777777" w:rsidR="00D83E33" w:rsidRPr="00EA10CF" w:rsidRDefault="00D83E33">
            <w:pPr>
              <w:widowControl w:val="0"/>
              <w:pBdr>
                <w:top w:val="nil"/>
                <w:left w:val="nil"/>
                <w:bottom w:val="nil"/>
                <w:right w:val="nil"/>
                <w:between w:val="nil"/>
              </w:pBdr>
              <w:jc w:val="right"/>
              <w:rPr>
                <w:b/>
                <w:color w:val="000000"/>
              </w:rPr>
            </w:pPr>
          </w:p>
        </w:tc>
        <w:tc>
          <w:tcPr>
            <w:tcW w:w="379" w:type="pct"/>
          </w:tcPr>
          <w:p w14:paraId="4CF09CB7" w14:textId="77777777" w:rsidR="00D83E33" w:rsidRPr="00EA10CF" w:rsidRDefault="00D83E33">
            <w:pPr>
              <w:widowControl w:val="0"/>
              <w:pBdr>
                <w:top w:val="nil"/>
                <w:left w:val="nil"/>
                <w:bottom w:val="nil"/>
                <w:right w:val="nil"/>
                <w:between w:val="nil"/>
              </w:pBdr>
              <w:ind w:hanging="398"/>
              <w:jc w:val="right"/>
              <w:rPr>
                <w:b/>
                <w:color w:val="000000"/>
              </w:rPr>
            </w:pPr>
          </w:p>
        </w:tc>
        <w:tc>
          <w:tcPr>
            <w:tcW w:w="379" w:type="pct"/>
          </w:tcPr>
          <w:p w14:paraId="45B9007B" w14:textId="77777777" w:rsidR="00D83E33" w:rsidRPr="00EA10CF" w:rsidRDefault="00D83E33">
            <w:pPr>
              <w:widowControl w:val="0"/>
              <w:pBdr>
                <w:top w:val="nil"/>
                <w:left w:val="nil"/>
                <w:bottom w:val="nil"/>
                <w:right w:val="nil"/>
                <w:between w:val="nil"/>
              </w:pBdr>
              <w:jc w:val="right"/>
              <w:rPr>
                <w:b/>
                <w:color w:val="000000"/>
              </w:rPr>
            </w:pPr>
          </w:p>
        </w:tc>
        <w:tc>
          <w:tcPr>
            <w:tcW w:w="379" w:type="pct"/>
          </w:tcPr>
          <w:p w14:paraId="65544D04" w14:textId="77777777" w:rsidR="00D83E33" w:rsidRPr="00EA10CF" w:rsidRDefault="00D83E33">
            <w:pPr>
              <w:widowControl w:val="0"/>
              <w:pBdr>
                <w:top w:val="nil"/>
                <w:left w:val="nil"/>
                <w:bottom w:val="nil"/>
                <w:right w:val="nil"/>
                <w:between w:val="nil"/>
              </w:pBdr>
              <w:jc w:val="right"/>
              <w:rPr>
                <w:b/>
                <w:color w:val="000000"/>
              </w:rPr>
            </w:pPr>
          </w:p>
        </w:tc>
        <w:tc>
          <w:tcPr>
            <w:tcW w:w="378" w:type="pct"/>
          </w:tcPr>
          <w:p w14:paraId="6E1B8697" w14:textId="77777777" w:rsidR="00D83E33" w:rsidRPr="00EA10CF" w:rsidRDefault="00D83E33">
            <w:pPr>
              <w:widowControl w:val="0"/>
              <w:pBdr>
                <w:top w:val="nil"/>
                <w:left w:val="nil"/>
                <w:bottom w:val="nil"/>
                <w:right w:val="nil"/>
                <w:between w:val="nil"/>
              </w:pBdr>
              <w:jc w:val="right"/>
              <w:rPr>
                <w:b/>
                <w:color w:val="000000"/>
              </w:rPr>
            </w:pPr>
          </w:p>
        </w:tc>
        <w:tc>
          <w:tcPr>
            <w:tcW w:w="379" w:type="pct"/>
          </w:tcPr>
          <w:p w14:paraId="31073D8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F1DC611" w14:textId="77777777" w:rsidTr="001B330E">
        <w:trPr>
          <w:trHeight w:val="23"/>
        </w:trPr>
        <w:tc>
          <w:tcPr>
            <w:tcW w:w="1971" w:type="pct"/>
            <w:tcBorders>
              <w:bottom w:val="single" w:sz="12" w:space="0" w:color="000000"/>
            </w:tcBorders>
            <w:vAlign w:val="bottom"/>
          </w:tcPr>
          <w:p w14:paraId="34C6C81C" w14:textId="77777777" w:rsidR="00D83E33" w:rsidRPr="00EA10CF" w:rsidRDefault="00BC4072" w:rsidP="001B330E">
            <w:pPr>
              <w:widowControl w:val="0"/>
              <w:ind w:left="113" w:hanging="113"/>
            </w:pPr>
            <w:r w:rsidRPr="00EA10CF">
              <w:t> </w:t>
            </w:r>
          </w:p>
        </w:tc>
        <w:tc>
          <w:tcPr>
            <w:tcW w:w="378" w:type="pct"/>
            <w:tcBorders>
              <w:bottom w:val="single" w:sz="12" w:space="0" w:color="000000"/>
            </w:tcBorders>
            <w:vAlign w:val="bottom"/>
          </w:tcPr>
          <w:p w14:paraId="48F79956"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vAlign w:val="bottom"/>
          </w:tcPr>
          <w:p w14:paraId="5DC256CD"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0388D928"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33FF8F7A" w14:textId="77777777" w:rsidR="00D83E33" w:rsidRPr="00EA10CF" w:rsidRDefault="00D83E33">
            <w:pPr>
              <w:widowControl w:val="0"/>
              <w:pBdr>
                <w:top w:val="nil"/>
                <w:left w:val="nil"/>
                <w:bottom w:val="nil"/>
                <w:right w:val="nil"/>
                <w:between w:val="nil"/>
              </w:pBdr>
              <w:ind w:hanging="398"/>
              <w:jc w:val="right"/>
              <w:rPr>
                <w:b/>
                <w:color w:val="000000"/>
              </w:rPr>
            </w:pPr>
          </w:p>
        </w:tc>
        <w:tc>
          <w:tcPr>
            <w:tcW w:w="379" w:type="pct"/>
            <w:tcBorders>
              <w:bottom w:val="single" w:sz="12" w:space="0" w:color="000000"/>
            </w:tcBorders>
          </w:tcPr>
          <w:p w14:paraId="6E2FFAC8"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41B4C517" w14:textId="77777777" w:rsidR="00D83E33" w:rsidRPr="00EA10CF" w:rsidRDefault="00D83E33">
            <w:pPr>
              <w:widowControl w:val="0"/>
              <w:pBdr>
                <w:top w:val="nil"/>
                <w:left w:val="nil"/>
                <w:bottom w:val="nil"/>
                <w:right w:val="nil"/>
                <w:between w:val="nil"/>
              </w:pBdr>
              <w:jc w:val="right"/>
              <w:rPr>
                <w:b/>
                <w:color w:val="000000"/>
              </w:rPr>
            </w:pPr>
          </w:p>
        </w:tc>
        <w:tc>
          <w:tcPr>
            <w:tcW w:w="378" w:type="pct"/>
            <w:tcBorders>
              <w:bottom w:val="single" w:sz="12" w:space="0" w:color="000000"/>
            </w:tcBorders>
          </w:tcPr>
          <w:p w14:paraId="4EF9D5B3"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618825C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6E6EFB9" w14:textId="77777777" w:rsidTr="001B330E">
        <w:trPr>
          <w:trHeight w:val="23"/>
        </w:trPr>
        <w:tc>
          <w:tcPr>
            <w:tcW w:w="1971" w:type="pct"/>
            <w:tcBorders>
              <w:top w:val="single" w:sz="4" w:space="0" w:color="000000"/>
            </w:tcBorders>
            <w:vAlign w:val="bottom"/>
          </w:tcPr>
          <w:p w14:paraId="7444494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78" w:type="pct"/>
            <w:tcBorders>
              <w:top w:val="single" w:sz="4" w:space="0" w:color="000000"/>
            </w:tcBorders>
            <w:vAlign w:val="bottom"/>
          </w:tcPr>
          <w:p w14:paraId="7ABCE19E"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vAlign w:val="bottom"/>
          </w:tcPr>
          <w:p w14:paraId="3B2851BA"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tcPr>
          <w:p w14:paraId="14D412A2"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tcPr>
          <w:p w14:paraId="26DB7DF6"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Borders>
              <w:top w:val="single" w:sz="4" w:space="0" w:color="000000"/>
            </w:tcBorders>
          </w:tcPr>
          <w:p w14:paraId="4D7C072E"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tcPr>
          <w:p w14:paraId="2A2C4E1F" w14:textId="77777777" w:rsidR="00D83E33" w:rsidRPr="00EA10CF" w:rsidRDefault="00D83E33">
            <w:pPr>
              <w:widowControl w:val="0"/>
              <w:pBdr>
                <w:top w:val="nil"/>
                <w:left w:val="nil"/>
                <w:bottom w:val="nil"/>
                <w:right w:val="nil"/>
                <w:between w:val="nil"/>
              </w:pBdr>
              <w:jc w:val="right"/>
              <w:rPr>
                <w:color w:val="000000"/>
              </w:rPr>
            </w:pPr>
          </w:p>
        </w:tc>
        <w:tc>
          <w:tcPr>
            <w:tcW w:w="378" w:type="pct"/>
            <w:tcBorders>
              <w:top w:val="single" w:sz="4" w:space="0" w:color="000000"/>
            </w:tcBorders>
          </w:tcPr>
          <w:p w14:paraId="00BDD003"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top w:val="single" w:sz="4" w:space="0" w:color="000000"/>
            </w:tcBorders>
          </w:tcPr>
          <w:p w14:paraId="0CE1A0E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46C950E" w14:textId="77777777" w:rsidTr="001B330E">
        <w:trPr>
          <w:trHeight w:val="23"/>
        </w:trPr>
        <w:tc>
          <w:tcPr>
            <w:tcW w:w="1971" w:type="pct"/>
            <w:vAlign w:val="bottom"/>
          </w:tcPr>
          <w:p w14:paraId="248772D3"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Fee and commission expense</w:t>
            </w:r>
          </w:p>
        </w:tc>
        <w:tc>
          <w:tcPr>
            <w:tcW w:w="378" w:type="pct"/>
            <w:vAlign w:val="bottom"/>
          </w:tcPr>
          <w:p w14:paraId="7B4CC5F1"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4B529EB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B9FCF89"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7CE99AAD"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28DFCBDF"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2C9CE894"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1A9342F2"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E7BF4D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7432D70" w14:textId="77777777" w:rsidTr="001B330E">
        <w:trPr>
          <w:trHeight w:val="23"/>
        </w:trPr>
        <w:tc>
          <w:tcPr>
            <w:tcW w:w="1971" w:type="pct"/>
            <w:vAlign w:val="bottom"/>
          </w:tcPr>
          <w:p w14:paraId="249EEF5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i/>
                <w:color w:val="000000"/>
              </w:rPr>
              <w:t>Fee and commission expense not relating to financial instruments at FVTPL</w:t>
            </w:r>
          </w:p>
        </w:tc>
        <w:tc>
          <w:tcPr>
            <w:tcW w:w="378" w:type="pct"/>
            <w:vAlign w:val="bottom"/>
          </w:tcPr>
          <w:p w14:paraId="00517BE2"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510A505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3B7E449"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0BD7081"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4E91D03E"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AEEAA06"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40FD774E"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6D6BDF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085B66" w14:textId="77777777" w:rsidTr="001B330E">
        <w:trPr>
          <w:trHeight w:val="23"/>
        </w:trPr>
        <w:tc>
          <w:tcPr>
            <w:tcW w:w="1971" w:type="pct"/>
            <w:vAlign w:val="bottom"/>
          </w:tcPr>
          <w:p w14:paraId="3732E0B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Settlement transactions</w:t>
            </w:r>
          </w:p>
        </w:tc>
        <w:tc>
          <w:tcPr>
            <w:tcW w:w="378" w:type="pct"/>
            <w:vAlign w:val="bottom"/>
          </w:tcPr>
          <w:p w14:paraId="35E32A04"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66CFA003"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63A74A5"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B99CAD0"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6606647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E499123"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0751A603"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625A80B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3DF345E" w14:textId="77777777" w:rsidTr="001B330E">
        <w:trPr>
          <w:trHeight w:val="23"/>
        </w:trPr>
        <w:tc>
          <w:tcPr>
            <w:tcW w:w="1971" w:type="pct"/>
            <w:vAlign w:val="bottom"/>
          </w:tcPr>
          <w:p w14:paraId="6CA7220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Cash transactions</w:t>
            </w:r>
          </w:p>
        </w:tc>
        <w:tc>
          <w:tcPr>
            <w:tcW w:w="378" w:type="pct"/>
            <w:vAlign w:val="bottom"/>
          </w:tcPr>
          <w:p w14:paraId="62D08B47"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757C1A0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4FE71D4"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2061A75C"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5D5E49FD"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05495963"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69F6E2B6"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F643F5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E4FF19A" w14:textId="77777777" w:rsidTr="001B330E">
        <w:trPr>
          <w:trHeight w:val="23"/>
        </w:trPr>
        <w:tc>
          <w:tcPr>
            <w:tcW w:w="1971" w:type="pct"/>
            <w:vAlign w:val="bottom"/>
          </w:tcPr>
          <w:p w14:paraId="24E8B75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Cash collection</w:t>
            </w:r>
          </w:p>
        </w:tc>
        <w:tc>
          <w:tcPr>
            <w:tcW w:w="378" w:type="pct"/>
            <w:vAlign w:val="bottom"/>
          </w:tcPr>
          <w:p w14:paraId="0ECF53FD"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42D5C549"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DFE5A16"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1D2CC4B"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4EF42BF7"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084790F4"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3C909B89"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2ABA7C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03860B6" w14:textId="77777777" w:rsidTr="001B330E">
        <w:trPr>
          <w:trHeight w:val="23"/>
        </w:trPr>
        <w:tc>
          <w:tcPr>
            <w:tcW w:w="1971" w:type="pct"/>
            <w:vAlign w:val="bottom"/>
          </w:tcPr>
          <w:p w14:paraId="3BF4944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Transactions with securities</w:t>
            </w:r>
          </w:p>
        </w:tc>
        <w:tc>
          <w:tcPr>
            <w:tcW w:w="378" w:type="pct"/>
            <w:vAlign w:val="bottom"/>
          </w:tcPr>
          <w:p w14:paraId="30E896B9"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65EAFC84"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02E62E7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3917541"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0E4C194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872A165"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00A6690D"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0B18C48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9435773" w14:textId="77777777" w:rsidTr="001B330E">
        <w:trPr>
          <w:trHeight w:val="23"/>
        </w:trPr>
        <w:tc>
          <w:tcPr>
            <w:tcW w:w="1971" w:type="pct"/>
            <w:vAlign w:val="bottom"/>
          </w:tcPr>
          <w:p w14:paraId="1DE2FA27" w14:textId="3ED17BBD"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Other </w:t>
            </w:r>
          </w:p>
        </w:tc>
        <w:tc>
          <w:tcPr>
            <w:tcW w:w="378" w:type="pct"/>
            <w:vAlign w:val="bottom"/>
          </w:tcPr>
          <w:p w14:paraId="27A365AA"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427FE6C7"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FC526B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096B7D86"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7BBB29E2"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642C9BF"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5B428DF6"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234CED9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0F94C0E" w14:textId="77777777" w:rsidTr="001B330E">
        <w:trPr>
          <w:trHeight w:val="23"/>
        </w:trPr>
        <w:tc>
          <w:tcPr>
            <w:tcW w:w="1971" w:type="pct"/>
            <w:vAlign w:val="bottom"/>
          </w:tcPr>
          <w:p w14:paraId="077ECD51" w14:textId="77777777" w:rsidR="00D83E33" w:rsidRPr="00EA10CF" w:rsidRDefault="00BC4072" w:rsidP="001B330E">
            <w:pPr>
              <w:widowControl w:val="0"/>
              <w:pBdr>
                <w:top w:val="nil"/>
                <w:left w:val="nil"/>
                <w:bottom w:val="nil"/>
                <w:right w:val="nil"/>
                <w:between w:val="nil"/>
              </w:pBdr>
              <w:ind w:left="113" w:hanging="113"/>
              <w:rPr>
                <w:i/>
                <w:color w:val="FF0000"/>
              </w:rPr>
            </w:pPr>
            <w:r w:rsidRPr="00EA10CF">
              <w:rPr>
                <w:i/>
                <w:color w:val="000000"/>
              </w:rPr>
              <w:t>Fee and commission expense in respect of financial instruments at FVTPL</w:t>
            </w:r>
          </w:p>
        </w:tc>
        <w:tc>
          <w:tcPr>
            <w:tcW w:w="378" w:type="pct"/>
            <w:vAlign w:val="bottom"/>
          </w:tcPr>
          <w:p w14:paraId="26975D8A"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17EC4B0E"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F081C5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5344804"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51BB9872"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24D422D6"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794921E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05A6F45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2E54495" w14:textId="77777777" w:rsidTr="001B330E">
        <w:trPr>
          <w:trHeight w:val="23"/>
        </w:trPr>
        <w:tc>
          <w:tcPr>
            <w:tcW w:w="1971" w:type="pct"/>
            <w:vAlign w:val="bottom"/>
          </w:tcPr>
          <w:p w14:paraId="26E79EBD"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 Fees paid to stock exchange to purchase or sell futures contracts</w:t>
            </w:r>
          </w:p>
        </w:tc>
        <w:tc>
          <w:tcPr>
            <w:tcW w:w="378" w:type="pct"/>
            <w:vAlign w:val="bottom"/>
          </w:tcPr>
          <w:p w14:paraId="1EC170A2"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7E0AC4A0"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7E261CCA"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72B7C87"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7A55065B"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2AE1BD8E"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3131CB07"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E46883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7D5301" w14:textId="77777777" w:rsidTr="001B330E">
        <w:trPr>
          <w:trHeight w:val="23"/>
        </w:trPr>
        <w:tc>
          <w:tcPr>
            <w:tcW w:w="1971" w:type="pct"/>
            <w:tcBorders>
              <w:bottom w:val="single" w:sz="4" w:space="0" w:color="000000"/>
            </w:tcBorders>
            <w:vAlign w:val="bottom"/>
          </w:tcPr>
          <w:p w14:paraId="4084D95A" w14:textId="77777777" w:rsidR="00D83E33" w:rsidRPr="00EA10CF" w:rsidRDefault="00BC4072" w:rsidP="001B330E">
            <w:pPr>
              <w:widowControl w:val="0"/>
              <w:ind w:left="113" w:hanging="113"/>
            </w:pPr>
            <w:r w:rsidRPr="00EA10CF">
              <w:t> </w:t>
            </w:r>
          </w:p>
        </w:tc>
        <w:tc>
          <w:tcPr>
            <w:tcW w:w="378" w:type="pct"/>
            <w:tcBorders>
              <w:bottom w:val="single" w:sz="4" w:space="0" w:color="000000"/>
            </w:tcBorders>
            <w:vAlign w:val="bottom"/>
          </w:tcPr>
          <w:p w14:paraId="439327A3"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vAlign w:val="bottom"/>
          </w:tcPr>
          <w:p w14:paraId="7F647F2A"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tcPr>
          <w:p w14:paraId="4D6F5E20"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tcPr>
          <w:p w14:paraId="447AD2CF"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Borders>
              <w:bottom w:val="single" w:sz="4" w:space="0" w:color="000000"/>
            </w:tcBorders>
          </w:tcPr>
          <w:p w14:paraId="36F6193B"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tcPr>
          <w:p w14:paraId="1A32B198" w14:textId="77777777" w:rsidR="00D83E33" w:rsidRPr="00EA10CF" w:rsidRDefault="00D83E33">
            <w:pPr>
              <w:widowControl w:val="0"/>
              <w:pBdr>
                <w:top w:val="nil"/>
                <w:left w:val="nil"/>
                <w:bottom w:val="nil"/>
                <w:right w:val="nil"/>
                <w:between w:val="nil"/>
              </w:pBdr>
              <w:jc w:val="right"/>
              <w:rPr>
                <w:color w:val="000000"/>
              </w:rPr>
            </w:pPr>
          </w:p>
        </w:tc>
        <w:tc>
          <w:tcPr>
            <w:tcW w:w="378" w:type="pct"/>
            <w:tcBorders>
              <w:bottom w:val="single" w:sz="4" w:space="0" w:color="000000"/>
            </w:tcBorders>
          </w:tcPr>
          <w:p w14:paraId="25D3E0CC" w14:textId="77777777" w:rsidR="00D83E33" w:rsidRPr="00EA10CF" w:rsidRDefault="00D83E33">
            <w:pPr>
              <w:widowControl w:val="0"/>
              <w:pBdr>
                <w:top w:val="nil"/>
                <w:left w:val="nil"/>
                <w:bottom w:val="nil"/>
                <w:right w:val="nil"/>
                <w:between w:val="nil"/>
              </w:pBdr>
              <w:jc w:val="right"/>
              <w:rPr>
                <w:color w:val="000000"/>
              </w:rPr>
            </w:pPr>
          </w:p>
        </w:tc>
        <w:tc>
          <w:tcPr>
            <w:tcW w:w="379" w:type="pct"/>
            <w:tcBorders>
              <w:bottom w:val="single" w:sz="4" w:space="0" w:color="000000"/>
            </w:tcBorders>
          </w:tcPr>
          <w:p w14:paraId="4C63BE0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D459176" w14:textId="77777777" w:rsidTr="001B330E">
        <w:trPr>
          <w:trHeight w:val="23"/>
        </w:trPr>
        <w:tc>
          <w:tcPr>
            <w:tcW w:w="1971" w:type="pct"/>
            <w:vAlign w:val="bottom"/>
          </w:tcPr>
          <w:p w14:paraId="47E62601" w14:textId="77777777" w:rsidR="00D83E33" w:rsidRPr="00EA10CF" w:rsidRDefault="00BC4072" w:rsidP="001B330E">
            <w:pPr>
              <w:widowControl w:val="0"/>
              <w:ind w:left="113" w:hanging="113"/>
            </w:pPr>
            <w:r w:rsidRPr="00EA10CF">
              <w:t> </w:t>
            </w:r>
          </w:p>
        </w:tc>
        <w:tc>
          <w:tcPr>
            <w:tcW w:w="378" w:type="pct"/>
            <w:vAlign w:val="bottom"/>
          </w:tcPr>
          <w:p w14:paraId="634CC9A1" w14:textId="77777777" w:rsidR="00D83E33" w:rsidRPr="00EA10CF" w:rsidRDefault="00D83E33">
            <w:pPr>
              <w:widowControl w:val="0"/>
              <w:pBdr>
                <w:top w:val="nil"/>
                <w:left w:val="nil"/>
                <w:bottom w:val="nil"/>
                <w:right w:val="nil"/>
                <w:between w:val="nil"/>
              </w:pBdr>
              <w:jc w:val="right"/>
              <w:rPr>
                <w:b/>
                <w:color w:val="000000"/>
              </w:rPr>
            </w:pPr>
          </w:p>
        </w:tc>
        <w:tc>
          <w:tcPr>
            <w:tcW w:w="379" w:type="pct"/>
            <w:vAlign w:val="bottom"/>
          </w:tcPr>
          <w:p w14:paraId="13E01A74" w14:textId="77777777" w:rsidR="00D83E33" w:rsidRPr="00EA10CF" w:rsidRDefault="00D83E33">
            <w:pPr>
              <w:widowControl w:val="0"/>
              <w:pBdr>
                <w:top w:val="nil"/>
                <w:left w:val="nil"/>
                <w:bottom w:val="nil"/>
                <w:right w:val="nil"/>
                <w:between w:val="nil"/>
              </w:pBdr>
              <w:jc w:val="right"/>
              <w:rPr>
                <w:b/>
                <w:color w:val="000000"/>
              </w:rPr>
            </w:pPr>
          </w:p>
        </w:tc>
        <w:tc>
          <w:tcPr>
            <w:tcW w:w="379" w:type="pct"/>
          </w:tcPr>
          <w:p w14:paraId="17639C60" w14:textId="77777777" w:rsidR="00D83E33" w:rsidRPr="00EA10CF" w:rsidRDefault="00D83E33">
            <w:pPr>
              <w:widowControl w:val="0"/>
              <w:pBdr>
                <w:top w:val="nil"/>
                <w:left w:val="nil"/>
                <w:bottom w:val="nil"/>
                <w:right w:val="nil"/>
                <w:between w:val="nil"/>
              </w:pBdr>
              <w:jc w:val="right"/>
              <w:rPr>
                <w:b/>
                <w:color w:val="000000"/>
              </w:rPr>
            </w:pPr>
          </w:p>
        </w:tc>
        <w:tc>
          <w:tcPr>
            <w:tcW w:w="379" w:type="pct"/>
          </w:tcPr>
          <w:p w14:paraId="6372C63F" w14:textId="77777777" w:rsidR="00D83E33" w:rsidRPr="00EA10CF" w:rsidRDefault="00D83E33">
            <w:pPr>
              <w:widowControl w:val="0"/>
              <w:pBdr>
                <w:top w:val="nil"/>
                <w:left w:val="nil"/>
                <w:bottom w:val="nil"/>
                <w:right w:val="nil"/>
                <w:between w:val="nil"/>
              </w:pBdr>
              <w:ind w:hanging="398"/>
              <w:jc w:val="right"/>
              <w:rPr>
                <w:b/>
                <w:color w:val="000000"/>
              </w:rPr>
            </w:pPr>
          </w:p>
        </w:tc>
        <w:tc>
          <w:tcPr>
            <w:tcW w:w="379" w:type="pct"/>
          </w:tcPr>
          <w:p w14:paraId="452C41A4" w14:textId="77777777" w:rsidR="00D83E33" w:rsidRPr="00EA10CF" w:rsidRDefault="00D83E33">
            <w:pPr>
              <w:widowControl w:val="0"/>
              <w:pBdr>
                <w:top w:val="nil"/>
                <w:left w:val="nil"/>
                <w:bottom w:val="nil"/>
                <w:right w:val="nil"/>
                <w:between w:val="nil"/>
              </w:pBdr>
              <w:jc w:val="right"/>
              <w:rPr>
                <w:b/>
                <w:color w:val="000000"/>
              </w:rPr>
            </w:pPr>
          </w:p>
        </w:tc>
        <w:tc>
          <w:tcPr>
            <w:tcW w:w="379" w:type="pct"/>
          </w:tcPr>
          <w:p w14:paraId="4DDF19DA" w14:textId="77777777" w:rsidR="00D83E33" w:rsidRPr="00EA10CF" w:rsidRDefault="00D83E33">
            <w:pPr>
              <w:widowControl w:val="0"/>
              <w:pBdr>
                <w:top w:val="nil"/>
                <w:left w:val="nil"/>
                <w:bottom w:val="nil"/>
                <w:right w:val="nil"/>
                <w:between w:val="nil"/>
              </w:pBdr>
              <w:jc w:val="right"/>
              <w:rPr>
                <w:b/>
                <w:color w:val="000000"/>
              </w:rPr>
            </w:pPr>
          </w:p>
        </w:tc>
        <w:tc>
          <w:tcPr>
            <w:tcW w:w="378" w:type="pct"/>
          </w:tcPr>
          <w:p w14:paraId="02EFA1E8" w14:textId="77777777" w:rsidR="00D83E33" w:rsidRPr="00EA10CF" w:rsidRDefault="00D83E33">
            <w:pPr>
              <w:widowControl w:val="0"/>
              <w:pBdr>
                <w:top w:val="nil"/>
                <w:left w:val="nil"/>
                <w:bottom w:val="nil"/>
                <w:right w:val="nil"/>
                <w:between w:val="nil"/>
              </w:pBdr>
              <w:jc w:val="right"/>
              <w:rPr>
                <w:b/>
                <w:color w:val="000000"/>
              </w:rPr>
            </w:pPr>
          </w:p>
        </w:tc>
        <w:tc>
          <w:tcPr>
            <w:tcW w:w="379" w:type="pct"/>
          </w:tcPr>
          <w:p w14:paraId="3E22EF5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8F6137C" w14:textId="77777777" w:rsidTr="001B330E">
        <w:trPr>
          <w:trHeight w:val="23"/>
        </w:trPr>
        <w:tc>
          <w:tcPr>
            <w:tcW w:w="1971" w:type="pct"/>
            <w:vAlign w:val="bottom"/>
          </w:tcPr>
          <w:p w14:paraId="50EA4212"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fee and commission expense</w:t>
            </w:r>
          </w:p>
        </w:tc>
        <w:tc>
          <w:tcPr>
            <w:tcW w:w="378" w:type="pct"/>
            <w:vAlign w:val="bottom"/>
          </w:tcPr>
          <w:p w14:paraId="45F57D16"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75CC98F2"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5146197"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9F0CA6D"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65929901"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4049A4C"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7FA034C4"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015374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D1AFD81" w14:textId="77777777" w:rsidTr="001B330E">
        <w:trPr>
          <w:trHeight w:val="23"/>
        </w:trPr>
        <w:tc>
          <w:tcPr>
            <w:tcW w:w="1971" w:type="pct"/>
            <w:tcBorders>
              <w:bottom w:val="single" w:sz="12" w:space="0" w:color="000000"/>
            </w:tcBorders>
            <w:vAlign w:val="bottom"/>
          </w:tcPr>
          <w:p w14:paraId="63561F1D" w14:textId="77777777" w:rsidR="00D83E33" w:rsidRPr="00EA10CF" w:rsidRDefault="00BC4072" w:rsidP="001B330E">
            <w:pPr>
              <w:widowControl w:val="0"/>
              <w:ind w:left="113" w:hanging="113"/>
            </w:pPr>
            <w:r w:rsidRPr="00EA10CF">
              <w:t> </w:t>
            </w:r>
          </w:p>
        </w:tc>
        <w:tc>
          <w:tcPr>
            <w:tcW w:w="378" w:type="pct"/>
            <w:tcBorders>
              <w:bottom w:val="single" w:sz="12" w:space="0" w:color="000000"/>
            </w:tcBorders>
            <w:vAlign w:val="bottom"/>
          </w:tcPr>
          <w:p w14:paraId="79F475AC"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vAlign w:val="bottom"/>
          </w:tcPr>
          <w:p w14:paraId="32533508"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3D263CF6"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7EFD8706" w14:textId="77777777" w:rsidR="00D83E33" w:rsidRPr="00EA10CF" w:rsidRDefault="00D83E33">
            <w:pPr>
              <w:widowControl w:val="0"/>
              <w:pBdr>
                <w:top w:val="nil"/>
                <w:left w:val="nil"/>
                <w:bottom w:val="nil"/>
                <w:right w:val="nil"/>
                <w:between w:val="nil"/>
              </w:pBdr>
              <w:ind w:hanging="398"/>
              <w:jc w:val="right"/>
              <w:rPr>
                <w:b/>
                <w:color w:val="000000"/>
              </w:rPr>
            </w:pPr>
          </w:p>
        </w:tc>
        <w:tc>
          <w:tcPr>
            <w:tcW w:w="379" w:type="pct"/>
            <w:tcBorders>
              <w:bottom w:val="single" w:sz="12" w:space="0" w:color="000000"/>
            </w:tcBorders>
          </w:tcPr>
          <w:p w14:paraId="5F31F354"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1A50CAFD" w14:textId="77777777" w:rsidR="00D83E33" w:rsidRPr="00EA10CF" w:rsidRDefault="00D83E33">
            <w:pPr>
              <w:widowControl w:val="0"/>
              <w:pBdr>
                <w:top w:val="nil"/>
                <w:left w:val="nil"/>
                <w:bottom w:val="nil"/>
                <w:right w:val="nil"/>
                <w:between w:val="nil"/>
              </w:pBdr>
              <w:jc w:val="right"/>
              <w:rPr>
                <w:b/>
                <w:color w:val="000000"/>
              </w:rPr>
            </w:pPr>
          </w:p>
        </w:tc>
        <w:tc>
          <w:tcPr>
            <w:tcW w:w="378" w:type="pct"/>
            <w:tcBorders>
              <w:bottom w:val="single" w:sz="12" w:space="0" w:color="000000"/>
            </w:tcBorders>
          </w:tcPr>
          <w:p w14:paraId="28880DD9"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068811AE"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868B15A" w14:textId="77777777" w:rsidTr="001B330E">
        <w:trPr>
          <w:trHeight w:val="23"/>
        </w:trPr>
        <w:tc>
          <w:tcPr>
            <w:tcW w:w="1971" w:type="pct"/>
            <w:tcBorders>
              <w:top w:val="single" w:sz="12" w:space="0" w:color="000000"/>
            </w:tcBorders>
            <w:vAlign w:val="bottom"/>
          </w:tcPr>
          <w:p w14:paraId="7F7C07AA" w14:textId="77777777" w:rsidR="00D83E33" w:rsidRPr="00EA10CF" w:rsidRDefault="00BC4072" w:rsidP="001B330E">
            <w:pPr>
              <w:widowControl w:val="0"/>
              <w:ind w:left="113" w:hanging="113"/>
            </w:pPr>
            <w:r w:rsidRPr="00EA10CF">
              <w:t xml:space="preserve"> </w:t>
            </w:r>
          </w:p>
        </w:tc>
        <w:tc>
          <w:tcPr>
            <w:tcW w:w="378" w:type="pct"/>
            <w:tcBorders>
              <w:top w:val="single" w:sz="12" w:space="0" w:color="000000"/>
            </w:tcBorders>
            <w:vAlign w:val="bottom"/>
          </w:tcPr>
          <w:p w14:paraId="543F01BD"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12" w:space="0" w:color="000000"/>
            </w:tcBorders>
            <w:vAlign w:val="bottom"/>
          </w:tcPr>
          <w:p w14:paraId="1032889A"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12" w:space="0" w:color="000000"/>
            </w:tcBorders>
          </w:tcPr>
          <w:p w14:paraId="7DAF46B8"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12" w:space="0" w:color="000000"/>
            </w:tcBorders>
          </w:tcPr>
          <w:p w14:paraId="48390BB0" w14:textId="77777777" w:rsidR="00D83E33" w:rsidRPr="00EA10CF" w:rsidRDefault="00D83E33">
            <w:pPr>
              <w:widowControl w:val="0"/>
              <w:pBdr>
                <w:top w:val="nil"/>
                <w:left w:val="nil"/>
                <w:bottom w:val="nil"/>
                <w:right w:val="nil"/>
                <w:between w:val="nil"/>
              </w:pBdr>
              <w:ind w:hanging="398"/>
              <w:jc w:val="right"/>
              <w:rPr>
                <w:b/>
                <w:color w:val="000000"/>
              </w:rPr>
            </w:pPr>
          </w:p>
        </w:tc>
        <w:tc>
          <w:tcPr>
            <w:tcW w:w="379" w:type="pct"/>
            <w:tcBorders>
              <w:top w:val="single" w:sz="12" w:space="0" w:color="000000"/>
            </w:tcBorders>
          </w:tcPr>
          <w:p w14:paraId="4F8228BE"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12" w:space="0" w:color="000000"/>
            </w:tcBorders>
          </w:tcPr>
          <w:p w14:paraId="4F61D7A4" w14:textId="77777777" w:rsidR="00D83E33" w:rsidRPr="00EA10CF" w:rsidRDefault="00D83E33">
            <w:pPr>
              <w:widowControl w:val="0"/>
              <w:pBdr>
                <w:top w:val="nil"/>
                <w:left w:val="nil"/>
                <w:bottom w:val="nil"/>
                <w:right w:val="nil"/>
                <w:between w:val="nil"/>
              </w:pBdr>
              <w:jc w:val="right"/>
              <w:rPr>
                <w:b/>
                <w:color w:val="000000"/>
              </w:rPr>
            </w:pPr>
          </w:p>
        </w:tc>
        <w:tc>
          <w:tcPr>
            <w:tcW w:w="378" w:type="pct"/>
            <w:tcBorders>
              <w:top w:val="single" w:sz="12" w:space="0" w:color="000000"/>
            </w:tcBorders>
          </w:tcPr>
          <w:p w14:paraId="779A8784"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top w:val="single" w:sz="12" w:space="0" w:color="000000"/>
            </w:tcBorders>
          </w:tcPr>
          <w:p w14:paraId="7E4DC41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44F35D9" w14:textId="77777777" w:rsidTr="001B330E">
        <w:trPr>
          <w:trHeight w:val="23"/>
        </w:trPr>
        <w:tc>
          <w:tcPr>
            <w:tcW w:w="1971" w:type="pct"/>
            <w:vAlign w:val="bottom"/>
          </w:tcPr>
          <w:p w14:paraId="33687B13"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Net fee and commission income</w:t>
            </w:r>
            <w:r w:rsidRPr="00EA10CF">
              <w:rPr>
                <w:b/>
                <w:color w:val="0000FF"/>
              </w:rPr>
              <w:t>/[(expense)]</w:t>
            </w:r>
          </w:p>
        </w:tc>
        <w:tc>
          <w:tcPr>
            <w:tcW w:w="378" w:type="pct"/>
            <w:vAlign w:val="bottom"/>
          </w:tcPr>
          <w:p w14:paraId="4A465647" w14:textId="77777777" w:rsidR="00D83E33" w:rsidRPr="00EA10CF" w:rsidRDefault="00D83E33">
            <w:pPr>
              <w:widowControl w:val="0"/>
              <w:pBdr>
                <w:top w:val="nil"/>
                <w:left w:val="nil"/>
                <w:bottom w:val="nil"/>
                <w:right w:val="nil"/>
                <w:between w:val="nil"/>
              </w:pBdr>
              <w:jc w:val="right"/>
              <w:rPr>
                <w:color w:val="000000"/>
              </w:rPr>
            </w:pPr>
          </w:p>
        </w:tc>
        <w:tc>
          <w:tcPr>
            <w:tcW w:w="379" w:type="pct"/>
            <w:vAlign w:val="bottom"/>
          </w:tcPr>
          <w:p w14:paraId="0768BB7C"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57ED47C8"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44E7A54A" w14:textId="77777777" w:rsidR="00D83E33" w:rsidRPr="00EA10CF" w:rsidRDefault="00D83E33">
            <w:pPr>
              <w:widowControl w:val="0"/>
              <w:pBdr>
                <w:top w:val="nil"/>
                <w:left w:val="nil"/>
                <w:bottom w:val="nil"/>
                <w:right w:val="nil"/>
                <w:between w:val="nil"/>
              </w:pBdr>
              <w:ind w:hanging="398"/>
              <w:jc w:val="right"/>
              <w:rPr>
                <w:color w:val="000000"/>
              </w:rPr>
            </w:pPr>
          </w:p>
        </w:tc>
        <w:tc>
          <w:tcPr>
            <w:tcW w:w="379" w:type="pct"/>
          </w:tcPr>
          <w:p w14:paraId="05BCD55D"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3851FD38" w14:textId="77777777" w:rsidR="00D83E33" w:rsidRPr="00EA10CF" w:rsidRDefault="00D83E33">
            <w:pPr>
              <w:widowControl w:val="0"/>
              <w:pBdr>
                <w:top w:val="nil"/>
                <w:left w:val="nil"/>
                <w:bottom w:val="nil"/>
                <w:right w:val="nil"/>
                <w:between w:val="nil"/>
              </w:pBdr>
              <w:jc w:val="right"/>
              <w:rPr>
                <w:color w:val="000000"/>
              </w:rPr>
            </w:pPr>
          </w:p>
        </w:tc>
        <w:tc>
          <w:tcPr>
            <w:tcW w:w="378" w:type="pct"/>
          </w:tcPr>
          <w:p w14:paraId="3C6C1C2B" w14:textId="77777777" w:rsidR="00D83E33" w:rsidRPr="00EA10CF" w:rsidRDefault="00D83E33">
            <w:pPr>
              <w:widowControl w:val="0"/>
              <w:pBdr>
                <w:top w:val="nil"/>
                <w:left w:val="nil"/>
                <w:bottom w:val="nil"/>
                <w:right w:val="nil"/>
                <w:between w:val="nil"/>
              </w:pBdr>
              <w:jc w:val="right"/>
              <w:rPr>
                <w:color w:val="000000"/>
              </w:rPr>
            </w:pPr>
          </w:p>
        </w:tc>
        <w:tc>
          <w:tcPr>
            <w:tcW w:w="379" w:type="pct"/>
          </w:tcPr>
          <w:p w14:paraId="1A817AC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F998769" w14:textId="77777777" w:rsidTr="001B330E">
        <w:trPr>
          <w:trHeight w:val="23"/>
        </w:trPr>
        <w:tc>
          <w:tcPr>
            <w:tcW w:w="1971" w:type="pct"/>
            <w:tcBorders>
              <w:bottom w:val="single" w:sz="12" w:space="0" w:color="000000"/>
            </w:tcBorders>
            <w:vAlign w:val="bottom"/>
          </w:tcPr>
          <w:p w14:paraId="1DD1A9B7" w14:textId="77777777" w:rsidR="00D83E33" w:rsidRPr="00EA10CF" w:rsidRDefault="00BC4072" w:rsidP="001B330E">
            <w:pPr>
              <w:widowControl w:val="0"/>
              <w:ind w:left="113" w:hanging="113"/>
              <w:rPr>
                <w:b/>
              </w:rPr>
            </w:pPr>
            <w:r w:rsidRPr="00EA10CF">
              <w:t> </w:t>
            </w:r>
          </w:p>
        </w:tc>
        <w:tc>
          <w:tcPr>
            <w:tcW w:w="378" w:type="pct"/>
            <w:tcBorders>
              <w:bottom w:val="single" w:sz="12" w:space="0" w:color="000000"/>
            </w:tcBorders>
            <w:vAlign w:val="bottom"/>
          </w:tcPr>
          <w:p w14:paraId="0F6889E8"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vAlign w:val="bottom"/>
          </w:tcPr>
          <w:p w14:paraId="387F3424"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03001F06"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36B2E9C5" w14:textId="77777777" w:rsidR="00D83E33" w:rsidRPr="00EA10CF" w:rsidRDefault="00D83E33">
            <w:pPr>
              <w:widowControl w:val="0"/>
              <w:pBdr>
                <w:top w:val="nil"/>
                <w:left w:val="nil"/>
                <w:bottom w:val="nil"/>
                <w:right w:val="nil"/>
                <w:between w:val="nil"/>
              </w:pBdr>
              <w:ind w:hanging="398"/>
              <w:jc w:val="right"/>
              <w:rPr>
                <w:b/>
                <w:color w:val="000000"/>
              </w:rPr>
            </w:pPr>
          </w:p>
        </w:tc>
        <w:tc>
          <w:tcPr>
            <w:tcW w:w="379" w:type="pct"/>
            <w:tcBorders>
              <w:bottom w:val="single" w:sz="12" w:space="0" w:color="000000"/>
            </w:tcBorders>
          </w:tcPr>
          <w:p w14:paraId="08BEF414"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20A64EA7" w14:textId="77777777" w:rsidR="00D83E33" w:rsidRPr="00EA10CF" w:rsidRDefault="00D83E33">
            <w:pPr>
              <w:widowControl w:val="0"/>
              <w:pBdr>
                <w:top w:val="nil"/>
                <w:left w:val="nil"/>
                <w:bottom w:val="nil"/>
                <w:right w:val="nil"/>
                <w:between w:val="nil"/>
              </w:pBdr>
              <w:jc w:val="right"/>
              <w:rPr>
                <w:b/>
                <w:color w:val="000000"/>
              </w:rPr>
            </w:pPr>
          </w:p>
        </w:tc>
        <w:tc>
          <w:tcPr>
            <w:tcW w:w="378" w:type="pct"/>
            <w:tcBorders>
              <w:bottom w:val="single" w:sz="12" w:space="0" w:color="000000"/>
            </w:tcBorders>
          </w:tcPr>
          <w:p w14:paraId="272416AA" w14:textId="77777777" w:rsidR="00D83E33" w:rsidRPr="00EA10CF" w:rsidRDefault="00D83E33">
            <w:pPr>
              <w:widowControl w:val="0"/>
              <w:pBdr>
                <w:top w:val="nil"/>
                <w:left w:val="nil"/>
                <w:bottom w:val="nil"/>
                <w:right w:val="nil"/>
                <w:between w:val="nil"/>
              </w:pBdr>
              <w:jc w:val="right"/>
              <w:rPr>
                <w:b/>
                <w:color w:val="000000"/>
              </w:rPr>
            </w:pPr>
          </w:p>
        </w:tc>
        <w:tc>
          <w:tcPr>
            <w:tcW w:w="379" w:type="pct"/>
            <w:tcBorders>
              <w:bottom w:val="single" w:sz="12" w:space="0" w:color="000000"/>
            </w:tcBorders>
          </w:tcPr>
          <w:p w14:paraId="2E8641DD" w14:textId="77777777" w:rsidR="00D83E33" w:rsidRPr="00EA10CF" w:rsidRDefault="00D83E33">
            <w:pPr>
              <w:widowControl w:val="0"/>
              <w:pBdr>
                <w:top w:val="nil"/>
                <w:left w:val="nil"/>
                <w:bottom w:val="nil"/>
                <w:right w:val="nil"/>
                <w:between w:val="nil"/>
              </w:pBdr>
              <w:jc w:val="right"/>
              <w:rPr>
                <w:b/>
                <w:color w:val="000000"/>
              </w:rPr>
            </w:pPr>
          </w:p>
        </w:tc>
      </w:tr>
    </w:tbl>
    <w:p w14:paraId="6FECB5F6" w14:textId="0584D463" w:rsidR="00D83E33" w:rsidRDefault="00D83E33">
      <w:pPr>
        <w:widowControl w:val="0"/>
        <w:pBdr>
          <w:top w:val="nil"/>
          <w:left w:val="nil"/>
          <w:bottom w:val="nil"/>
          <w:right w:val="nil"/>
          <w:between w:val="nil"/>
        </w:pBdr>
        <w:spacing w:before="200" w:after="200"/>
        <w:jc w:val="both"/>
        <w:rPr>
          <w:i/>
          <w:color w:val="FF0000"/>
          <w:sz w:val="20"/>
          <w:szCs w:val="20"/>
        </w:rPr>
      </w:pPr>
      <w:bookmarkStart w:id="99" w:name="_heading=h.37m2jsg" w:colFirst="0" w:colLast="0"/>
      <w:bookmarkEnd w:id="99"/>
    </w:p>
    <w:p w14:paraId="53CEB329" w14:textId="0868C596" w:rsidR="002A5F5D" w:rsidRPr="002A5F5D" w:rsidRDefault="002A5F5D" w:rsidP="002A5F5D">
      <w:pPr>
        <w:pageBreakBefore/>
        <w:widowControl w:val="0"/>
        <w:spacing w:before="200" w:after="200"/>
        <w:jc w:val="both"/>
        <w:rPr>
          <w:b/>
          <w:bCs/>
          <w:color w:val="0000FF"/>
          <w:sz w:val="20"/>
          <w:szCs w:val="20"/>
        </w:rPr>
      </w:pPr>
      <w:r w:rsidRPr="002A5F5D">
        <w:rPr>
          <w:b/>
          <w:bCs/>
          <w:sz w:val="20"/>
          <w:szCs w:val="20"/>
        </w:rPr>
        <w:lastRenderedPageBreak/>
        <w:t>33</w:t>
      </w:r>
      <w:r w:rsidRPr="002A5F5D">
        <w:rPr>
          <w:b/>
          <w:bCs/>
          <w:sz w:val="20"/>
          <w:szCs w:val="20"/>
        </w:rPr>
        <w:tab/>
      </w:r>
      <w:r w:rsidRPr="002A5F5D">
        <w:rPr>
          <w:b/>
          <w:bCs/>
          <w:spacing w:val="-4"/>
          <w:sz w:val="20"/>
          <w:szCs w:val="20"/>
        </w:rPr>
        <w:t>Fee and Commission Income and Expense (Continued)</w:t>
      </w:r>
    </w:p>
    <w:p w14:paraId="40746774" w14:textId="0346F26B" w:rsidR="00093671" w:rsidRPr="00093671" w:rsidRDefault="00093671" w:rsidP="00093671">
      <w:pPr>
        <w:widowControl w:val="0"/>
        <w:spacing w:before="200" w:after="200"/>
        <w:jc w:val="both"/>
        <w:rPr>
          <w:b/>
          <w:i/>
          <w:color w:val="0000FF"/>
          <w:sz w:val="20"/>
          <w:szCs w:val="20"/>
        </w:rPr>
      </w:pPr>
      <w:r w:rsidRPr="00093671">
        <w:rPr>
          <w:b/>
          <w:i/>
          <w:color w:val="0000FF"/>
          <w:sz w:val="20"/>
          <w:szCs w:val="20"/>
        </w:rPr>
        <w:t>[</w:t>
      </w:r>
      <w:r w:rsidRPr="00093671">
        <w:rPr>
          <w:color w:val="0000FF"/>
          <w:sz w:val="20"/>
          <w:szCs w:val="20"/>
        </w:rPr>
        <w:t>Fee and commission income is recognised over time on a straight line basis as the services are rendered, when the customer simultaneously receives and consumes the benefits provided by the Group’s performance. Such income includes [recurring fees for account maintenance, account servicing fees, account subscription fees, premium service package fees, portfolio and other asset management advisory and service fees, wealth management and financial planning services, or fees for servicing loans on behalf of third parties, etc]. Variable fees are recognised only to the extent that management determines that it is highly probable that a significant reversal will not occur.</w:t>
      </w:r>
    </w:p>
    <w:p w14:paraId="4CB19170" w14:textId="77777777" w:rsidR="00093671" w:rsidRPr="00093671" w:rsidRDefault="00093671" w:rsidP="00093671">
      <w:pPr>
        <w:widowControl w:val="0"/>
        <w:spacing w:before="200" w:after="200"/>
        <w:jc w:val="both"/>
        <w:rPr>
          <w:color w:val="0000FF"/>
          <w:sz w:val="20"/>
          <w:szCs w:val="20"/>
        </w:rPr>
      </w:pPr>
      <w:r w:rsidRPr="00093671">
        <w:rPr>
          <w:color w:val="0000FF"/>
          <w:sz w:val="20"/>
          <w:szCs w:val="20"/>
        </w:rPr>
        <w:t>Other fee and commission income is recognised at a point in time when the Group satisfies its performance obligation, usually upon execution of the underlying transaction. The amount of fee or commission received or receivable represents the transaction price for the services identified as distinct performance obligations. Such income includes [fees for arranging a sale or purchase of foreign currencies on behalf of a customer, fees for processing payment transactions, fees for cash settlements, collection or cash disbursements, as well as, commissions and fees arising from negotiating, or participating in the negotiation of a transaction for a third party, such as the acquisition of loans, shares or other securities or the purchase or sale of businesses.]. Loan syndication fees are recognised as income when the syndication has been completed and the Group retains no part of the loan package for itself or retains a part at the same effective interest rate as for the other participants.</w:t>
      </w:r>
    </w:p>
    <w:p w14:paraId="53255213" w14:textId="77777777" w:rsidR="00093671" w:rsidRPr="00093671" w:rsidRDefault="00093671" w:rsidP="00093671">
      <w:pPr>
        <w:widowControl w:val="0"/>
        <w:spacing w:before="200" w:after="200"/>
        <w:jc w:val="both"/>
        <w:rPr>
          <w:color w:val="0000FF"/>
          <w:sz w:val="20"/>
          <w:szCs w:val="20"/>
        </w:rPr>
      </w:pPr>
      <w:r w:rsidRPr="00093671">
        <w:rPr>
          <w:b/>
          <w:i/>
          <w:color w:val="0000FF"/>
          <w:sz w:val="20"/>
          <w:szCs w:val="20"/>
        </w:rPr>
        <w:t>Fiduciary assets and custody services.</w:t>
      </w:r>
      <w:r w:rsidRPr="00093671">
        <w:rPr>
          <w:color w:val="0000FF"/>
          <w:sz w:val="20"/>
          <w:szCs w:val="20"/>
        </w:rPr>
        <w:t xml:space="preserve"> Assets held by the Group in its own name, but on the account of third parties, are not reported in the consolidated statement of financial position. The amount of the fee received or receivable represents the consideration for the services. </w:t>
      </w:r>
    </w:p>
    <w:p w14:paraId="59CA7B51" w14:textId="77777777" w:rsidR="00093671" w:rsidRPr="00093671" w:rsidRDefault="00093671" w:rsidP="00093671">
      <w:pPr>
        <w:widowControl w:val="0"/>
        <w:spacing w:before="200" w:after="200"/>
        <w:jc w:val="both"/>
        <w:rPr>
          <w:color w:val="0000FF"/>
          <w:sz w:val="20"/>
          <w:szCs w:val="20"/>
        </w:rPr>
      </w:pPr>
      <w:r w:rsidRPr="00093671">
        <w:rPr>
          <w:color w:val="0000FF"/>
          <w:sz w:val="20"/>
          <w:szCs w:val="20"/>
        </w:rPr>
        <w:t>These fees are recognised over time, on a straight-line basis, when the services are rendered because the customer simultaneously receives and consumes the benefits as the Group performs. Fees from fiduciary activities are presented within fee and commission income.</w:t>
      </w:r>
    </w:p>
    <w:p w14:paraId="47E9B927" w14:textId="6B863558"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b/>
          <w:i/>
          <w:color w:val="0000FF"/>
          <w:sz w:val="20"/>
          <w:szCs w:val="20"/>
        </w:rPr>
        <w:t>Customer loyalty program.</w:t>
      </w:r>
      <w:r w:rsidRPr="00093671">
        <w:rPr>
          <w:color w:val="0000FF"/>
          <w:sz w:val="20"/>
          <w:szCs w:val="20"/>
        </w:rPr>
        <w:t xml:space="preserve"> The group operates a loyalty program where retail clients accumulate points, which entitle them to discounts on future services. Revenue from the award points is recognised when the points are redeemed or when they expire [twelve] months after the initial transaction. The amount of revenue is estimated based on the number of points redeemed relative to the total number expected to be redeemed. A contract liability is recognised for the amount of fair value of points expected to be redeemed until they are actually redeemed or expire.]</w:t>
      </w:r>
    </w:p>
    <w:p w14:paraId="6C70E821" w14:textId="6E6FC1D6" w:rsidR="00093671" w:rsidRPr="009004E7" w:rsidRDefault="00093671" w:rsidP="00093671">
      <w:pPr>
        <w:widowControl w:val="0"/>
        <w:pBdr>
          <w:top w:val="nil"/>
          <w:left w:val="nil"/>
          <w:bottom w:val="nil"/>
          <w:right w:val="nil"/>
          <w:between w:val="nil"/>
        </w:pBdr>
        <w:spacing w:before="200" w:after="200"/>
        <w:jc w:val="both"/>
        <w:rPr>
          <w:i/>
          <w:iCs/>
          <w:color w:val="FF0000"/>
          <w:sz w:val="20"/>
          <w:szCs w:val="20"/>
        </w:rPr>
      </w:pPr>
    </w:p>
    <w:p w14:paraId="0E83B011" w14:textId="58AD50C4" w:rsidR="00D83E33" w:rsidRPr="001B330E" w:rsidRDefault="00BC4072" w:rsidP="002A5F5D">
      <w:pPr>
        <w:widowControl w:val="0"/>
        <w:spacing w:before="200" w:after="200"/>
        <w:rPr>
          <w:b/>
          <w:spacing w:val="-4"/>
        </w:rPr>
      </w:pPr>
      <w:r>
        <w:rPr>
          <w:color w:val="000000"/>
          <w:sz w:val="20"/>
          <w:szCs w:val="20"/>
        </w:rPr>
        <w:t xml:space="preserve">The </w:t>
      </w:r>
      <w:r w:rsidR="002A5F5D">
        <w:rPr>
          <w:color w:val="000000"/>
          <w:sz w:val="20"/>
          <w:szCs w:val="20"/>
        </w:rPr>
        <w:t>G</w:t>
      </w:r>
      <w:r>
        <w:rPr>
          <w:color w:val="000000"/>
          <w:sz w:val="20"/>
          <w:szCs w:val="20"/>
        </w:rPr>
        <w:t>roup has recognised the following contract liabilities that represent performance obligations from contracts with customers. The obligations are short-term. Refer to Note 27.</w:t>
      </w:r>
    </w:p>
    <w:tbl>
      <w:tblPr>
        <w:tblStyle w:val="affffffffffff3"/>
        <w:tblW w:w="5000" w:type="pct"/>
        <w:tblLayout w:type="fixed"/>
        <w:tblLook w:val="0000" w:firstRow="0" w:lastRow="0" w:firstColumn="0" w:lastColumn="0" w:noHBand="0" w:noVBand="0"/>
      </w:tblPr>
      <w:tblGrid>
        <w:gridCol w:w="6295"/>
        <w:gridCol w:w="1530"/>
        <w:gridCol w:w="1530"/>
      </w:tblGrid>
      <w:tr w:rsidR="00D83E33" w:rsidRPr="004607BE" w14:paraId="3D63A640" w14:textId="77777777" w:rsidTr="001B330E">
        <w:trPr>
          <w:trHeight w:val="23"/>
        </w:trPr>
        <w:tc>
          <w:tcPr>
            <w:tcW w:w="3364" w:type="pct"/>
            <w:tcBorders>
              <w:bottom w:val="single" w:sz="4" w:space="0" w:color="000000"/>
            </w:tcBorders>
            <w:vAlign w:val="bottom"/>
          </w:tcPr>
          <w:p w14:paraId="6D06430E" w14:textId="7F2CAD09" w:rsidR="00D83E33" w:rsidRPr="001B330E" w:rsidRDefault="00313B4D" w:rsidP="001B330E">
            <w:pPr>
              <w:widowControl w:val="0"/>
              <w:pBdr>
                <w:top w:val="nil"/>
                <w:left w:val="nil"/>
                <w:bottom w:val="nil"/>
                <w:right w:val="nil"/>
                <w:between w:val="nil"/>
              </w:pBdr>
              <w:spacing w:line="235" w:lineRule="auto"/>
              <w:ind w:left="113" w:hanging="113"/>
              <w:rPr>
                <w:b/>
                <w:i/>
                <w:color w:val="000000"/>
                <w:spacing w:val="-4"/>
              </w:rPr>
            </w:pPr>
            <w:r>
              <w:rPr>
                <w:i/>
                <w:color w:val="000000"/>
                <w:spacing w:val="-4"/>
              </w:rPr>
              <w:t xml:space="preserve">In thousands of </w:t>
            </w:r>
            <w:r w:rsidR="002649EE">
              <w:rPr>
                <w:i/>
                <w:color w:val="000000"/>
                <w:spacing w:val="-4"/>
              </w:rPr>
              <w:t>EUR</w:t>
            </w:r>
          </w:p>
        </w:tc>
        <w:tc>
          <w:tcPr>
            <w:tcW w:w="818" w:type="pct"/>
            <w:tcBorders>
              <w:bottom w:val="single" w:sz="4" w:space="0" w:color="000000"/>
            </w:tcBorders>
          </w:tcPr>
          <w:p w14:paraId="31BEB72E" w14:textId="0651E0E4" w:rsidR="00B36E8E" w:rsidRDefault="00BC4072">
            <w:pPr>
              <w:widowControl w:val="0"/>
              <w:pBdr>
                <w:top w:val="nil"/>
                <w:left w:val="nil"/>
                <w:bottom w:val="nil"/>
                <w:right w:val="nil"/>
                <w:between w:val="nil"/>
              </w:pBdr>
              <w:spacing w:line="235" w:lineRule="auto"/>
              <w:jc w:val="right"/>
              <w:rPr>
                <w:b/>
                <w:color w:val="000000"/>
                <w:spacing w:val="-4"/>
              </w:rPr>
            </w:pPr>
            <w:r w:rsidRPr="001B330E">
              <w:rPr>
                <w:b/>
                <w:color w:val="000000"/>
                <w:spacing w:val="-4"/>
              </w:rPr>
              <w:t>31</w:t>
            </w:r>
            <w:r w:rsidR="00181687">
              <w:rPr>
                <w:b/>
                <w:color w:val="000000"/>
                <w:spacing w:val="-4"/>
              </w:rPr>
              <w:t> December</w:t>
            </w:r>
          </w:p>
          <w:p w14:paraId="244769D9" w14:textId="22934CC4" w:rsidR="00D83E33" w:rsidRPr="001B330E" w:rsidRDefault="00541EBC" w:rsidP="001B330E">
            <w:pPr>
              <w:widowControl w:val="0"/>
              <w:pBdr>
                <w:top w:val="nil"/>
                <w:left w:val="nil"/>
                <w:bottom w:val="nil"/>
                <w:right w:val="nil"/>
                <w:between w:val="nil"/>
              </w:pBdr>
              <w:spacing w:line="235" w:lineRule="auto"/>
              <w:jc w:val="right"/>
              <w:rPr>
                <w:b/>
                <w:color w:val="000000"/>
                <w:spacing w:val="-4"/>
              </w:rPr>
            </w:pPr>
            <w:r>
              <w:rPr>
                <w:b/>
                <w:color w:val="000000"/>
                <w:spacing w:val="-4"/>
              </w:rPr>
              <w:t>2024</w:t>
            </w:r>
          </w:p>
        </w:tc>
        <w:tc>
          <w:tcPr>
            <w:tcW w:w="818" w:type="pct"/>
            <w:tcBorders>
              <w:bottom w:val="single" w:sz="4" w:space="0" w:color="000000"/>
            </w:tcBorders>
          </w:tcPr>
          <w:p w14:paraId="6ABB9EF4" w14:textId="0E2D2BF3" w:rsidR="00B36E8E" w:rsidRDefault="00BC4072">
            <w:pPr>
              <w:widowControl w:val="0"/>
              <w:pBdr>
                <w:top w:val="nil"/>
                <w:left w:val="nil"/>
                <w:bottom w:val="nil"/>
                <w:right w:val="nil"/>
                <w:between w:val="nil"/>
              </w:pBdr>
              <w:spacing w:line="235" w:lineRule="auto"/>
              <w:jc w:val="right"/>
              <w:rPr>
                <w:b/>
                <w:color w:val="000000"/>
                <w:spacing w:val="-4"/>
              </w:rPr>
            </w:pPr>
            <w:r w:rsidRPr="001B330E">
              <w:rPr>
                <w:b/>
                <w:color w:val="000000"/>
                <w:spacing w:val="-4"/>
              </w:rPr>
              <w:t>31</w:t>
            </w:r>
            <w:r w:rsidR="00181687">
              <w:rPr>
                <w:b/>
                <w:color w:val="000000"/>
                <w:spacing w:val="-4"/>
              </w:rPr>
              <w:t> December</w:t>
            </w:r>
          </w:p>
          <w:p w14:paraId="62B463C0" w14:textId="07F4C11D" w:rsidR="00D83E33" w:rsidRPr="001B330E" w:rsidRDefault="00541EBC" w:rsidP="001B330E">
            <w:pPr>
              <w:widowControl w:val="0"/>
              <w:pBdr>
                <w:top w:val="nil"/>
                <w:left w:val="nil"/>
                <w:bottom w:val="nil"/>
                <w:right w:val="nil"/>
                <w:between w:val="nil"/>
              </w:pBdr>
              <w:spacing w:line="235" w:lineRule="auto"/>
              <w:jc w:val="right"/>
              <w:rPr>
                <w:b/>
                <w:color w:val="000000"/>
                <w:spacing w:val="-4"/>
              </w:rPr>
            </w:pPr>
            <w:r>
              <w:rPr>
                <w:b/>
                <w:color w:val="000000"/>
                <w:spacing w:val="-4"/>
              </w:rPr>
              <w:t>2023</w:t>
            </w:r>
          </w:p>
        </w:tc>
      </w:tr>
      <w:tr w:rsidR="00D83E33" w:rsidRPr="004607BE" w14:paraId="7FE8D517" w14:textId="77777777" w:rsidTr="001B330E">
        <w:trPr>
          <w:trHeight w:val="23"/>
        </w:trPr>
        <w:tc>
          <w:tcPr>
            <w:tcW w:w="3364" w:type="pct"/>
            <w:tcBorders>
              <w:top w:val="single" w:sz="4" w:space="0" w:color="000000"/>
            </w:tcBorders>
            <w:vAlign w:val="bottom"/>
          </w:tcPr>
          <w:p w14:paraId="32EDB580" w14:textId="77777777" w:rsidR="00D83E33" w:rsidRPr="001B330E" w:rsidRDefault="00D83E33" w:rsidP="001B330E">
            <w:pPr>
              <w:widowControl w:val="0"/>
              <w:pBdr>
                <w:top w:val="nil"/>
                <w:left w:val="nil"/>
                <w:bottom w:val="nil"/>
                <w:right w:val="nil"/>
                <w:between w:val="nil"/>
              </w:pBdr>
              <w:spacing w:line="235" w:lineRule="auto"/>
              <w:ind w:left="113" w:hanging="113"/>
              <w:rPr>
                <w:color w:val="000000"/>
                <w:spacing w:val="-4"/>
              </w:rPr>
            </w:pPr>
          </w:p>
        </w:tc>
        <w:tc>
          <w:tcPr>
            <w:tcW w:w="818" w:type="pct"/>
            <w:tcBorders>
              <w:top w:val="single" w:sz="4" w:space="0" w:color="000000"/>
            </w:tcBorders>
            <w:vAlign w:val="bottom"/>
          </w:tcPr>
          <w:p w14:paraId="6458B79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tcBorders>
              <w:top w:val="single" w:sz="4" w:space="0" w:color="000000"/>
            </w:tcBorders>
            <w:vAlign w:val="bottom"/>
          </w:tcPr>
          <w:p w14:paraId="3A879EE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0658E708" w14:textId="77777777" w:rsidTr="001B330E">
        <w:trPr>
          <w:trHeight w:val="23"/>
        </w:trPr>
        <w:tc>
          <w:tcPr>
            <w:tcW w:w="3364" w:type="pct"/>
            <w:vAlign w:val="bottom"/>
          </w:tcPr>
          <w:p w14:paraId="2243E23F"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xml:space="preserve">Fiduciary activities </w:t>
            </w:r>
          </w:p>
        </w:tc>
        <w:tc>
          <w:tcPr>
            <w:tcW w:w="818" w:type="pct"/>
            <w:vAlign w:val="bottom"/>
          </w:tcPr>
          <w:p w14:paraId="214B4D5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60E32D9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395ECE5F" w14:textId="77777777" w:rsidTr="001B330E">
        <w:trPr>
          <w:trHeight w:val="23"/>
        </w:trPr>
        <w:tc>
          <w:tcPr>
            <w:tcW w:w="3364" w:type="pct"/>
            <w:vAlign w:val="bottom"/>
          </w:tcPr>
          <w:p w14:paraId="1BA3C3F9"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Custody services</w:t>
            </w:r>
          </w:p>
        </w:tc>
        <w:tc>
          <w:tcPr>
            <w:tcW w:w="818" w:type="pct"/>
            <w:vAlign w:val="bottom"/>
          </w:tcPr>
          <w:p w14:paraId="74A1E56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01EB4265"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5EBA5A61" w14:textId="77777777" w:rsidTr="001B330E">
        <w:trPr>
          <w:trHeight w:val="23"/>
        </w:trPr>
        <w:tc>
          <w:tcPr>
            <w:tcW w:w="3364" w:type="pct"/>
            <w:vAlign w:val="bottom"/>
          </w:tcPr>
          <w:p w14:paraId="051FD667"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Asset management services</w:t>
            </w:r>
          </w:p>
        </w:tc>
        <w:tc>
          <w:tcPr>
            <w:tcW w:w="818" w:type="pct"/>
            <w:vAlign w:val="bottom"/>
          </w:tcPr>
          <w:p w14:paraId="3170E74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5364D7DF"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676FDBBC" w14:textId="77777777" w:rsidTr="001B330E">
        <w:trPr>
          <w:trHeight w:val="23"/>
        </w:trPr>
        <w:tc>
          <w:tcPr>
            <w:tcW w:w="3364" w:type="pct"/>
            <w:vAlign w:val="bottom"/>
          </w:tcPr>
          <w:p w14:paraId="2E2A294F"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Customer loyalty program</w:t>
            </w:r>
          </w:p>
        </w:tc>
        <w:tc>
          <w:tcPr>
            <w:tcW w:w="818" w:type="pct"/>
            <w:vAlign w:val="bottom"/>
          </w:tcPr>
          <w:p w14:paraId="227F8F0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129E8C0F"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086D754A" w14:textId="77777777" w:rsidTr="001B330E">
        <w:trPr>
          <w:trHeight w:val="23"/>
        </w:trPr>
        <w:tc>
          <w:tcPr>
            <w:tcW w:w="3364" w:type="pct"/>
            <w:vAlign w:val="bottom"/>
          </w:tcPr>
          <w:p w14:paraId="494DB5A8" w14:textId="506C1624" w:rsidR="00D83E33" w:rsidRPr="001B330E" w:rsidRDefault="00BC4072" w:rsidP="001B330E">
            <w:pPr>
              <w:widowControl w:val="0"/>
              <w:spacing w:line="235" w:lineRule="auto"/>
              <w:ind w:left="113" w:hanging="113"/>
              <w:rPr>
                <w:i/>
                <w:spacing w:val="-4"/>
              </w:rPr>
            </w:pPr>
            <w:r w:rsidRPr="001B330E">
              <w:rPr>
                <w:spacing w:val="-4"/>
              </w:rPr>
              <w:t xml:space="preserve">Other </w:t>
            </w:r>
          </w:p>
        </w:tc>
        <w:tc>
          <w:tcPr>
            <w:tcW w:w="818" w:type="pct"/>
            <w:vAlign w:val="bottom"/>
          </w:tcPr>
          <w:p w14:paraId="453EB94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125600E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3B665EE8" w14:textId="77777777" w:rsidTr="001B330E">
        <w:trPr>
          <w:trHeight w:val="23"/>
        </w:trPr>
        <w:tc>
          <w:tcPr>
            <w:tcW w:w="3364" w:type="pct"/>
            <w:tcBorders>
              <w:bottom w:val="single" w:sz="4" w:space="0" w:color="000000"/>
            </w:tcBorders>
            <w:vAlign w:val="bottom"/>
          </w:tcPr>
          <w:p w14:paraId="6A39436A" w14:textId="77777777" w:rsidR="00D83E33" w:rsidRPr="001B330E" w:rsidRDefault="00D83E33" w:rsidP="001B330E">
            <w:pPr>
              <w:widowControl w:val="0"/>
              <w:spacing w:line="235" w:lineRule="auto"/>
              <w:ind w:left="113" w:hanging="113"/>
              <w:rPr>
                <w:spacing w:val="-4"/>
              </w:rPr>
            </w:pPr>
          </w:p>
        </w:tc>
        <w:tc>
          <w:tcPr>
            <w:tcW w:w="818" w:type="pct"/>
            <w:tcBorders>
              <w:bottom w:val="single" w:sz="4" w:space="0" w:color="000000"/>
            </w:tcBorders>
            <w:vAlign w:val="bottom"/>
          </w:tcPr>
          <w:p w14:paraId="31DC27C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tcBorders>
              <w:bottom w:val="single" w:sz="4" w:space="0" w:color="000000"/>
            </w:tcBorders>
            <w:vAlign w:val="bottom"/>
          </w:tcPr>
          <w:p w14:paraId="65EFCBB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1467261B" w14:textId="77777777" w:rsidTr="001B330E">
        <w:trPr>
          <w:trHeight w:val="23"/>
        </w:trPr>
        <w:tc>
          <w:tcPr>
            <w:tcW w:w="3364" w:type="pct"/>
            <w:tcBorders>
              <w:top w:val="single" w:sz="4" w:space="0" w:color="000000"/>
            </w:tcBorders>
            <w:vAlign w:val="bottom"/>
          </w:tcPr>
          <w:p w14:paraId="6153ABB1" w14:textId="77777777" w:rsidR="00D83E33" w:rsidRPr="001B330E" w:rsidRDefault="00D83E33" w:rsidP="001B330E">
            <w:pPr>
              <w:widowControl w:val="0"/>
              <w:spacing w:line="235" w:lineRule="auto"/>
              <w:ind w:left="113" w:hanging="113"/>
              <w:rPr>
                <w:spacing w:val="-4"/>
              </w:rPr>
            </w:pPr>
          </w:p>
        </w:tc>
        <w:tc>
          <w:tcPr>
            <w:tcW w:w="818" w:type="pct"/>
            <w:tcBorders>
              <w:top w:val="single" w:sz="4" w:space="0" w:color="000000"/>
            </w:tcBorders>
            <w:vAlign w:val="bottom"/>
          </w:tcPr>
          <w:p w14:paraId="61EE951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tcBorders>
              <w:top w:val="single" w:sz="4" w:space="0" w:color="000000"/>
            </w:tcBorders>
            <w:vAlign w:val="bottom"/>
          </w:tcPr>
          <w:p w14:paraId="18DA93D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1FDEA018" w14:textId="77777777" w:rsidTr="001B330E">
        <w:trPr>
          <w:trHeight w:val="23"/>
        </w:trPr>
        <w:tc>
          <w:tcPr>
            <w:tcW w:w="3364" w:type="pct"/>
            <w:vAlign w:val="bottom"/>
          </w:tcPr>
          <w:p w14:paraId="542DA2B7" w14:textId="77777777" w:rsidR="00D83E33" w:rsidRPr="001B330E" w:rsidRDefault="00BC4072" w:rsidP="001B330E">
            <w:pPr>
              <w:widowControl w:val="0"/>
              <w:spacing w:line="235" w:lineRule="auto"/>
              <w:ind w:left="113" w:hanging="113"/>
              <w:rPr>
                <w:b/>
                <w:spacing w:val="-4"/>
              </w:rPr>
            </w:pPr>
            <w:r w:rsidRPr="001B330E">
              <w:rPr>
                <w:b/>
                <w:spacing w:val="-4"/>
              </w:rPr>
              <w:t>Total contract liabilities</w:t>
            </w:r>
          </w:p>
        </w:tc>
        <w:tc>
          <w:tcPr>
            <w:tcW w:w="818" w:type="pct"/>
            <w:vAlign w:val="bottom"/>
          </w:tcPr>
          <w:p w14:paraId="75C8163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1808ACE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07EA52C6" w14:textId="77777777" w:rsidTr="001B330E">
        <w:trPr>
          <w:trHeight w:val="23"/>
        </w:trPr>
        <w:tc>
          <w:tcPr>
            <w:tcW w:w="3364" w:type="pct"/>
            <w:tcBorders>
              <w:bottom w:val="single" w:sz="12" w:space="0" w:color="000000"/>
            </w:tcBorders>
            <w:vAlign w:val="bottom"/>
          </w:tcPr>
          <w:p w14:paraId="3AB081B3" w14:textId="77777777" w:rsidR="00D83E33" w:rsidRPr="001B330E" w:rsidRDefault="00D83E33" w:rsidP="001B330E">
            <w:pPr>
              <w:widowControl w:val="0"/>
              <w:spacing w:line="235" w:lineRule="auto"/>
              <w:ind w:left="113" w:hanging="113"/>
              <w:rPr>
                <w:spacing w:val="-4"/>
              </w:rPr>
            </w:pPr>
          </w:p>
        </w:tc>
        <w:tc>
          <w:tcPr>
            <w:tcW w:w="818" w:type="pct"/>
            <w:tcBorders>
              <w:bottom w:val="single" w:sz="12" w:space="0" w:color="000000"/>
            </w:tcBorders>
            <w:vAlign w:val="bottom"/>
          </w:tcPr>
          <w:p w14:paraId="206C86B9"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c>
          <w:tcPr>
            <w:tcW w:w="818" w:type="pct"/>
            <w:tcBorders>
              <w:bottom w:val="single" w:sz="12" w:space="0" w:color="000000"/>
            </w:tcBorders>
            <w:vAlign w:val="bottom"/>
          </w:tcPr>
          <w:p w14:paraId="7E7920C0"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r>
    </w:tbl>
    <w:p w14:paraId="4376347F" w14:textId="5FEFCB23" w:rsidR="00D83E33" w:rsidRPr="001B330E" w:rsidRDefault="00BC4072" w:rsidP="001B330E">
      <w:pPr>
        <w:widowControl w:val="0"/>
        <w:spacing w:before="200" w:after="200" w:line="235" w:lineRule="auto"/>
        <w:rPr>
          <w:color w:val="000000"/>
          <w:spacing w:val="-4"/>
          <w:sz w:val="20"/>
          <w:szCs w:val="20"/>
        </w:rPr>
      </w:pPr>
      <w:r w:rsidRPr="001B330E">
        <w:rPr>
          <w:i/>
          <w:color w:val="FF0000"/>
          <w:spacing w:val="-4"/>
          <w:sz w:val="20"/>
          <w:szCs w:val="20"/>
        </w:rPr>
        <w:t>[Explain significant changes in contract liabilities as required by IFRS 15.118.]</w:t>
      </w:r>
    </w:p>
    <w:p w14:paraId="34D630D4" w14:textId="77777777" w:rsidR="002A5F5D" w:rsidRPr="002A5F5D" w:rsidRDefault="002A5F5D" w:rsidP="002A5F5D">
      <w:pPr>
        <w:pageBreakBefore/>
        <w:widowControl w:val="0"/>
        <w:spacing w:before="200" w:after="200"/>
        <w:jc w:val="both"/>
        <w:rPr>
          <w:b/>
          <w:bCs/>
          <w:color w:val="0000FF"/>
          <w:sz w:val="20"/>
          <w:szCs w:val="20"/>
        </w:rPr>
      </w:pPr>
      <w:r w:rsidRPr="002A5F5D">
        <w:rPr>
          <w:b/>
          <w:bCs/>
          <w:sz w:val="20"/>
          <w:szCs w:val="20"/>
        </w:rPr>
        <w:lastRenderedPageBreak/>
        <w:t>33</w:t>
      </w:r>
      <w:r w:rsidRPr="002A5F5D">
        <w:rPr>
          <w:b/>
          <w:bCs/>
          <w:sz w:val="20"/>
          <w:szCs w:val="20"/>
        </w:rPr>
        <w:tab/>
      </w:r>
      <w:r w:rsidRPr="002A5F5D">
        <w:rPr>
          <w:b/>
          <w:bCs/>
          <w:spacing w:val="-4"/>
          <w:sz w:val="20"/>
          <w:szCs w:val="20"/>
        </w:rPr>
        <w:t>Fee and Commission Income and Expense (Continued)</w:t>
      </w:r>
    </w:p>
    <w:p w14:paraId="28C8B951" w14:textId="77777777" w:rsidR="00D83E33" w:rsidRPr="001B330E" w:rsidRDefault="00BC4072" w:rsidP="001B330E">
      <w:pPr>
        <w:widowControl w:val="0"/>
        <w:spacing w:before="200" w:after="200" w:line="235" w:lineRule="auto"/>
        <w:rPr>
          <w:color w:val="000000"/>
          <w:spacing w:val="-4"/>
          <w:sz w:val="20"/>
          <w:szCs w:val="20"/>
        </w:rPr>
      </w:pPr>
      <w:r w:rsidRPr="001B330E">
        <w:rPr>
          <w:color w:val="000000"/>
          <w:spacing w:val="-4"/>
          <w:sz w:val="20"/>
          <w:szCs w:val="20"/>
        </w:rPr>
        <w:t>The following table shows how much of the revenue recognised in the current reporting period relates to contract liabilities recognised in prior period. It also presents variable fee income related to performance obligations satisfied in prior reporting periods.</w:t>
      </w:r>
    </w:p>
    <w:tbl>
      <w:tblPr>
        <w:tblStyle w:val="affffffffffff4"/>
        <w:tblW w:w="5000" w:type="pct"/>
        <w:tblLayout w:type="fixed"/>
        <w:tblLook w:val="0000" w:firstRow="0" w:lastRow="0" w:firstColumn="0" w:lastColumn="0" w:noHBand="0" w:noVBand="0"/>
      </w:tblPr>
      <w:tblGrid>
        <w:gridCol w:w="6295"/>
        <w:gridCol w:w="1530"/>
        <w:gridCol w:w="1530"/>
      </w:tblGrid>
      <w:tr w:rsidR="00D83E33" w:rsidRPr="004607BE" w14:paraId="7FF7586F" w14:textId="77777777" w:rsidTr="001B330E">
        <w:trPr>
          <w:trHeight w:val="23"/>
        </w:trPr>
        <w:tc>
          <w:tcPr>
            <w:tcW w:w="3364" w:type="pct"/>
            <w:tcBorders>
              <w:bottom w:val="single" w:sz="4" w:space="0" w:color="000000"/>
            </w:tcBorders>
            <w:vAlign w:val="bottom"/>
          </w:tcPr>
          <w:p w14:paraId="377A0F59" w14:textId="56B14D3B" w:rsidR="00D83E33" w:rsidRPr="001B330E" w:rsidRDefault="00313B4D" w:rsidP="001B330E">
            <w:pPr>
              <w:widowControl w:val="0"/>
              <w:pBdr>
                <w:top w:val="nil"/>
                <w:left w:val="nil"/>
                <w:bottom w:val="nil"/>
                <w:right w:val="nil"/>
                <w:between w:val="nil"/>
              </w:pBdr>
              <w:spacing w:line="235" w:lineRule="auto"/>
              <w:ind w:left="113" w:hanging="113"/>
              <w:rPr>
                <w:b/>
                <w:i/>
                <w:color w:val="000000"/>
                <w:spacing w:val="-4"/>
              </w:rPr>
            </w:pPr>
            <w:r>
              <w:rPr>
                <w:i/>
                <w:color w:val="000000"/>
                <w:spacing w:val="-4"/>
              </w:rPr>
              <w:t xml:space="preserve">In thousands of </w:t>
            </w:r>
            <w:r w:rsidR="002649EE">
              <w:rPr>
                <w:i/>
                <w:color w:val="000000"/>
                <w:spacing w:val="-4"/>
              </w:rPr>
              <w:t>EUR</w:t>
            </w:r>
          </w:p>
        </w:tc>
        <w:tc>
          <w:tcPr>
            <w:tcW w:w="818" w:type="pct"/>
            <w:tcBorders>
              <w:bottom w:val="single" w:sz="4" w:space="0" w:color="000000"/>
            </w:tcBorders>
            <w:vAlign w:val="bottom"/>
          </w:tcPr>
          <w:p w14:paraId="60ABA8A4" w14:textId="53A13B11" w:rsidR="00D83E33" w:rsidRPr="001B330E" w:rsidRDefault="00541EBC" w:rsidP="001B330E">
            <w:pPr>
              <w:widowControl w:val="0"/>
              <w:pBdr>
                <w:top w:val="nil"/>
                <w:left w:val="nil"/>
                <w:bottom w:val="nil"/>
                <w:right w:val="nil"/>
                <w:between w:val="nil"/>
              </w:pBdr>
              <w:spacing w:line="235" w:lineRule="auto"/>
              <w:jc w:val="right"/>
              <w:rPr>
                <w:b/>
                <w:color w:val="000000"/>
                <w:spacing w:val="-4"/>
              </w:rPr>
            </w:pPr>
            <w:r>
              <w:rPr>
                <w:b/>
                <w:color w:val="000000"/>
                <w:spacing w:val="-4"/>
              </w:rPr>
              <w:t>2024</w:t>
            </w:r>
          </w:p>
        </w:tc>
        <w:tc>
          <w:tcPr>
            <w:tcW w:w="818" w:type="pct"/>
            <w:tcBorders>
              <w:bottom w:val="single" w:sz="4" w:space="0" w:color="000000"/>
            </w:tcBorders>
            <w:vAlign w:val="bottom"/>
          </w:tcPr>
          <w:p w14:paraId="34717737" w14:textId="6B63EA98" w:rsidR="00D83E33" w:rsidRPr="001B330E" w:rsidRDefault="00541EBC" w:rsidP="001B330E">
            <w:pPr>
              <w:widowControl w:val="0"/>
              <w:pBdr>
                <w:top w:val="nil"/>
                <w:left w:val="nil"/>
                <w:bottom w:val="nil"/>
                <w:right w:val="nil"/>
                <w:between w:val="nil"/>
              </w:pBdr>
              <w:spacing w:line="235" w:lineRule="auto"/>
              <w:jc w:val="right"/>
              <w:rPr>
                <w:b/>
                <w:color w:val="000000"/>
                <w:spacing w:val="-4"/>
              </w:rPr>
            </w:pPr>
            <w:r>
              <w:rPr>
                <w:b/>
                <w:color w:val="000000"/>
                <w:spacing w:val="-4"/>
              </w:rPr>
              <w:t>2023</w:t>
            </w:r>
          </w:p>
        </w:tc>
      </w:tr>
      <w:tr w:rsidR="00D83E33" w:rsidRPr="004607BE" w14:paraId="6E36ECB5" w14:textId="77777777" w:rsidTr="001B330E">
        <w:trPr>
          <w:trHeight w:val="23"/>
        </w:trPr>
        <w:tc>
          <w:tcPr>
            <w:tcW w:w="3364" w:type="pct"/>
            <w:tcBorders>
              <w:top w:val="single" w:sz="4" w:space="0" w:color="000000"/>
            </w:tcBorders>
            <w:vAlign w:val="bottom"/>
          </w:tcPr>
          <w:p w14:paraId="4F08AA43" w14:textId="77777777" w:rsidR="00D83E33" w:rsidRPr="001B330E" w:rsidRDefault="00D83E33" w:rsidP="001B330E">
            <w:pPr>
              <w:widowControl w:val="0"/>
              <w:pBdr>
                <w:top w:val="nil"/>
                <w:left w:val="nil"/>
                <w:bottom w:val="nil"/>
                <w:right w:val="nil"/>
                <w:between w:val="nil"/>
              </w:pBdr>
              <w:spacing w:line="235" w:lineRule="auto"/>
              <w:ind w:left="113" w:hanging="113"/>
              <w:rPr>
                <w:color w:val="000000"/>
                <w:spacing w:val="-4"/>
              </w:rPr>
            </w:pPr>
          </w:p>
        </w:tc>
        <w:tc>
          <w:tcPr>
            <w:tcW w:w="818" w:type="pct"/>
            <w:tcBorders>
              <w:top w:val="single" w:sz="4" w:space="0" w:color="000000"/>
            </w:tcBorders>
            <w:vAlign w:val="bottom"/>
          </w:tcPr>
          <w:p w14:paraId="1A78A3A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tcBorders>
              <w:top w:val="single" w:sz="4" w:space="0" w:color="000000"/>
            </w:tcBorders>
            <w:vAlign w:val="bottom"/>
          </w:tcPr>
          <w:p w14:paraId="212A48C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4A51F144" w14:textId="77777777" w:rsidTr="001B330E">
        <w:trPr>
          <w:trHeight w:val="23"/>
        </w:trPr>
        <w:tc>
          <w:tcPr>
            <w:tcW w:w="3364" w:type="pct"/>
            <w:vAlign w:val="bottom"/>
          </w:tcPr>
          <w:p w14:paraId="4C23C39B"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i/>
                <w:color w:val="000000"/>
                <w:spacing w:val="-4"/>
              </w:rPr>
              <w:t>Revenue recognised that was included in the contract liability balance at the beginning of the period</w:t>
            </w:r>
          </w:p>
        </w:tc>
        <w:tc>
          <w:tcPr>
            <w:tcW w:w="818" w:type="pct"/>
            <w:vAlign w:val="bottom"/>
          </w:tcPr>
          <w:p w14:paraId="1313E1D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7CCC728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0FD11C03" w14:textId="77777777" w:rsidTr="001B330E">
        <w:trPr>
          <w:trHeight w:val="23"/>
        </w:trPr>
        <w:tc>
          <w:tcPr>
            <w:tcW w:w="3364" w:type="pct"/>
            <w:vAlign w:val="bottom"/>
          </w:tcPr>
          <w:p w14:paraId="44A1AA46"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xml:space="preserve">- Fiduciary activities </w:t>
            </w:r>
          </w:p>
        </w:tc>
        <w:tc>
          <w:tcPr>
            <w:tcW w:w="818" w:type="pct"/>
            <w:vAlign w:val="bottom"/>
          </w:tcPr>
          <w:p w14:paraId="090E20D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7E0E90A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355CFFFE" w14:textId="77777777" w:rsidTr="001B330E">
        <w:trPr>
          <w:trHeight w:val="23"/>
        </w:trPr>
        <w:tc>
          <w:tcPr>
            <w:tcW w:w="3364" w:type="pct"/>
            <w:vAlign w:val="bottom"/>
          </w:tcPr>
          <w:p w14:paraId="642C4693"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Custody services</w:t>
            </w:r>
          </w:p>
        </w:tc>
        <w:tc>
          <w:tcPr>
            <w:tcW w:w="818" w:type="pct"/>
            <w:vAlign w:val="bottom"/>
          </w:tcPr>
          <w:p w14:paraId="119C6B0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38C33F3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56C19E9A" w14:textId="77777777" w:rsidTr="001B330E">
        <w:trPr>
          <w:trHeight w:val="23"/>
        </w:trPr>
        <w:tc>
          <w:tcPr>
            <w:tcW w:w="3364" w:type="pct"/>
            <w:vAlign w:val="bottom"/>
          </w:tcPr>
          <w:p w14:paraId="4BD57309"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Financial guarantees issued (Note 43)</w:t>
            </w:r>
          </w:p>
        </w:tc>
        <w:tc>
          <w:tcPr>
            <w:tcW w:w="818" w:type="pct"/>
            <w:vAlign w:val="bottom"/>
          </w:tcPr>
          <w:p w14:paraId="56AB103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7B99CFB0"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2331A28C" w14:textId="77777777" w:rsidTr="001B330E">
        <w:trPr>
          <w:trHeight w:val="23"/>
        </w:trPr>
        <w:tc>
          <w:tcPr>
            <w:tcW w:w="3364" w:type="pct"/>
            <w:vAlign w:val="bottom"/>
          </w:tcPr>
          <w:p w14:paraId="5CEE69F6"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Performance guarantees issued (Note 43)</w:t>
            </w:r>
          </w:p>
        </w:tc>
        <w:tc>
          <w:tcPr>
            <w:tcW w:w="818" w:type="pct"/>
            <w:vAlign w:val="bottom"/>
          </w:tcPr>
          <w:p w14:paraId="4163F169"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32312A5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64F80521" w14:textId="77777777" w:rsidTr="001B330E">
        <w:trPr>
          <w:trHeight w:val="23"/>
        </w:trPr>
        <w:tc>
          <w:tcPr>
            <w:tcW w:w="3364" w:type="pct"/>
            <w:vAlign w:val="bottom"/>
          </w:tcPr>
          <w:p w14:paraId="42359A05"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Factoring services</w:t>
            </w:r>
          </w:p>
        </w:tc>
        <w:tc>
          <w:tcPr>
            <w:tcW w:w="818" w:type="pct"/>
            <w:vAlign w:val="bottom"/>
          </w:tcPr>
          <w:p w14:paraId="1D627E65"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6697B49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70DA504F" w14:textId="77777777" w:rsidTr="001B330E">
        <w:trPr>
          <w:trHeight w:val="23"/>
        </w:trPr>
        <w:tc>
          <w:tcPr>
            <w:tcW w:w="3364" w:type="pct"/>
            <w:vAlign w:val="bottom"/>
          </w:tcPr>
          <w:p w14:paraId="19E9C1FF"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Asset management services</w:t>
            </w:r>
          </w:p>
        </w:tc>
        <w:tc>
          <w:tcPr>
            <w:tcW w:w="818" w:type="pct"/>
            <w:vAlign w:val="bottom"/>
          </w:tcPr>
          <w:p w14:paraId="37C4028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75A25D1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4C25018D" w14:textId="77777777" w:rsidTr="001B330E">
        <w:trPr>
          <w:trHeight w:val="23"/>
        </w:trPr>
        <w:tc>
          <w:tcPr>
            <w:tcW w:w="3364" w:type="pct"/>
            <w:vAlign w:val="bottom"/>
          </w:tcPr>
          <w:p w14:paraId="0247EACD"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Customer loyalty program</w:t>
            </w:r>
          </w:p>
        </w:tc>
        <w:tc>
          <w:tcPr>
            <w:tcW w:w="818" w:type="pct"/>
            <w:vAlign w:val="bottom"/>
          </w:tcPr>
          <w:p w14:paraId="1C0776F1"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656AC56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59BD8DCB" w14:textId="77777777" w:rsidTr="001B330E">
        <w:trPr>
          <w:trHeight w:val="23"/>
        </w:trPr>
        <w:tc>
          <w:tcPr>
            <w:tcW w:w="3364" w:type="pct"/>
            <w:vAlign w:val="bottom"/>
          </w:tcPr>
          <w:p w14:paraId="42B949FA" w14:textId="04F12913" w:rsidR="00D83E33" w:rsidRPr="001B330E" w:rsidRDefault="00BC4072" w:rsidP="001B330E">
            <w:pPr>
              <w:widowControl w:val="0"/>
              <w:spacing w:line="235" w:lineRule="auto"/>
              <w:ind w:left="113" w:hanging="113"/>
              <w:rPr>
                <w:i/>
                <w:spacing w:val="-4"/>
              </w:rPr>
            </w:pPr>
            <w:r w:rsidRPr="001B330E">
              <w:rPr>
                <w:spacing w:val="-4"/>
              </w:rPr>
              <w:t xml:space="preserve">- Other </w:t>
            </w:r>
          </w:p>
        </w:tc>
        <w:tc>
          <w:tcPr>
            <w:tcW w:w="818" w:type="pct"/>
            <w:vAlign w:val="bottom"/>
          </w:tcPr>
          <w:p w14:paraId="5957C7C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1798BDFF"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7DCE593F" w14:textId="77777777" w:rsidTr="001B330E">
        <w:trPr>
          <w:trHeight w:val="23"/>
        </w:trPr>
        <w:tc>
          <w:tcPr>
            <w:tcW w:w="3364" w:type="pct"/>
            <w:vAlign w:val="bottom"/>
          </w:tcPr>
          <w:p w14:paraId="57F57A63" w14:textId="77777777" w:rsidR="00D83E33" w:rsidRPr="001B330E" w:rsidRDefault="00D83E33" w:rsidP="001B330E">
            <w:pPr>
              <w:widowControl w:val="0"/>
              <w:spacing w:line="235" w:lineRule="auto"/>
              <w:ind w:left="113" w:hanging="113"/>
              <w:rPr>
                <w:spacing w:val="-4"/>
              </w:rPr>
            </w:pPr>
          </w:p>
        </w:tc>
        <w:tc>
          <w:tcPr>
            <w:tcW w:w="818" w:type="pct"/>
            <w:vAlign w:val="bottom"/>
          </w:tcPr>
          <w:p w14:paraId="7F65196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648C84C5"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70BE58E0" w14:textId="77777777" w:rsidTr="001B330E">
        <w:trPr>
          <w:trHeight w:val="23"/>
        </w:trPr>
        <w:tc>
          <w:tcPr>
            <w:tcW w:w="3364" w:type="pct"/>
            <w:vAlign w:val="bottom"/>
          </w:tcPr>
          <w:p w14:paraId="7042C45D"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i/>
                <w:color w:val="000000"/>
                <w:spacing w:val="-4"/>
              </w:rPr>
              <w:t xml:space="preserve">Revenue recognised from performance obligations satisfied in previous periods </w:t>
            </w:r>
          </w:p>
          <w:p w14:paraId="4C741500" w14:textId="77777777" w:rsidR="00D83E33" w:rsidRPr="001B330E" w:rsidRDefault="00BC4072" w:rsidP="001B330E">
            <w:pPr>
              <w:widowControl w:val="0"/>
              <w:spacing w:line="235" w:lineRule="auto"/>
              <w:ind w:left="113" w:hanging="113"/>
              <w:rPr>
                <w:spacing w:val="-4"/>
              </w:rPr>
            </w:pPr>
            <w:r w:rsidRPr="001B330E">
              <w:rPr>
                <w:spacing w:val="-4"/>
              </w:rPr>
              <w:t>- Asset management services (variable fee income)</w:t>
            </w:r>
          </w:p>
        </w:tc>
        <w:tc>
          <w:tcPr>
            <w:tcW w:w="818" w:type="pct"/>
            <w:vAlign w:val="bottom"/>
          </w:tcPr>
          <w:p w14:paraId="1C568C8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3F59BD4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50E7DBB1" w14:textId="77777777" w:rsidTr="001B330E">
        <w:trPr>
          <w:trHeight w:val="23"/>
        </w:trPr>
        <w:tc>
          <w:tcPr>
            <w:tcW w:w="3364" w:type="pct"/>
            <w:tcBorders>
              <w:bottom w:val="single" w:sz="4" w:space="0" w:color="000000"/>
            </w:tcBorders>
            <w:vAlign w:val="bottom"/>
          </w:tcPr>
          <w:p w14:paraId="516489A7" w14:textId="77777777" w:rsidR="00D83E33" w:rsidRPr="001B330E" w:rsidRDefault="00D83E33" w:rsidP="001B330E">
            <w:pPr>
              <w:widowControl w:val="0"/>
              <w:spacing w:line="235" w:lineRule="auto"/>
              <w:ind w:left="113" w:hanging="113"/>
              <w:rPr>
                <w:spacing w:val="-4"/>
              </w:rPr>
            </w:pPr>
          </w:p>
        </w:tc>
        <w:tc>
          <w:tcPr>
            <w:tcW w:w="818" w:type="pct"/>
            <w:tcBorders>
              <w:bottom w:val="single" w:sz="4" w:space="0" w:color="000000"/>
            </w:tcBorders>
            <w:vAlign w:val="bottom"/>
          </w:tcPr>
          <w:p w14:paraId="1901A450"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tcBorders>
              <w:bottom w:val="single" w:sz="4" w:space="0" w:color="000000"/>
            </w:tcBorders>
            <w:vAlign w:val="bottom"/>
          </w:tcPr>
          <w:p w14:paraId="6F093FF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bl>
    <w:p w14:paraId="69E403F8" w14:textId="44D38921" w:rsidR="00D83E33" w:rsidRPr="001B330E" w:rsidRDefault="00BC4072" w:rsidP="001B330E">
      <w:pPr>
        <w:widowControl w:val="0"/>
        <w:spacing w:before="200" w:after="200" w:line="235" w:lineRule="auto"/>
        <w:jc w:val="both"/>
        <w:rPr>
          <w:spacing w:val="-4"/>
          <w:sz w:val="20"/>
          <w:szCs w:val="20"/>
        </w:rPr>
      </w:pPr>
      <w:r w:rsidRPr="001B330E">
        <w:rPr>
          <w:spacing w:val="-4"/>
          <w:sz w:val="20"/>
          <w:szCs w:val="20"/>
        </w:rPr>
        <w:t xml:space="preserve">Refer to Note 3 that describes the types of revenues recognised on a point in time basis and on the over time basis. </w:t>
      </w:r>
    </w:p>
    <w:p w14:paraId="6B7925CC" w14:textId="77777777" w:rsidR="00D83E33" w:rsidRPr="001B330E" w:rsidRDefault="00BC4072" w:rsidP="001B330E">
      <w:pPr>
        <w:pStyle w:val="Heading1"/>
        <w:spacing w:line="235" w:lineRule="auto"/>
        <w:rPr>
          <w:spacing w:val="-4"/>
        </w:rPr>
      </w:pPr>
      <w:bookmarkStart w:id="100" w:name="_Toc179196036"/>
      <w:r w:rsidRPr="001B330E">
        <w:rPr>
          <w:spacing w:val="-4"/>
        </w:rPr>
        <w:t>Other Operating Income</w:t>
      </w:r>
      <w:bookmarkEnd w:id="100"/>
      <w:r w:rsidRPr="001B330E">
        <w:rPr>
          <w:spacing w:val="-4"/>
        </w:rPr>
        <w:t xml:space="preserve"> </w:t>
      </w:r>
    </w:p>
    <w:tbl>
      <w:tblPr>
        <w:tblStyle w:val="affffffffffff5"/>
        <w:tblW w:w="5000" w:type="pct"/>
        <w:tblLayout w:type="fixed"/>
        <w:tblLook w:val="0000" w:firstRow="0" w:lastRow="0" w:firstColumn="0" w:lastColumn="0" w:noHBand="0" w:noVBand="0"/>
      </w:tblPr>
      <w:tblGrid>
        <w:gridCol w:w="5670"/>
        <w:gridCol w:w="625"/>
        <w:gridCol w:w="1530"/>
        <w:gridCol w:w="1530"/>
      </w:tblGrid>
      <w:tr w:rsidR="00D83E33" w:rsidRPr="004607BE" w14:paraId="4EEB9DE7" w14:textId="77777777" w:rsidTr="001B330E">
        <w:trPr>
          <w:trHeight w:val="23"/>
        </w:trPr>
        <w:tc>
          <w:tcPr>
            <w:tcW w:w="3030" w:type="pct"/>
            <w:tcBorders>
              <w:bottom w:val="single" w:sz="4" w:space="0" w:color="000000"/>
            </w:tcBorders>
            <w:vAlign w:val="bottom"/>
          </w:tcPr>
          <w:p w14:paraId="21ABE1BF" w14:textId="4416BD6D" w:rsidR="00D83E33" w:rsidRPr="001B330E" w:rsidRDefault="00313B4D" w:rsidP="001B330E">
            <w:pPr>
              <w:widowControl w:val="0"/>
              <w:pBdr>
                <w:top w:val="nil"/>
                <w:left w:val="nil"/>
                <w:bottom w:val="nil"/>
                <w:right w:val="nil"/>
                <w:between w:val="nil"/>
              </w:pBdr>
              <w:spacing w:line="235" w:lineRule="auto"/>
              <w:ind w:left="113" w:hanging="113"/>
              <w:rPr>
                <w:b/>
                <w:i/>
                <w:color w:val="000000"/>
                <w:spacing w:val="-4"/>
              </w:rPr>
            </w:pPr>
            <w:r>
              <w:rPr>
                <w:i/>
                <w:color w:val="000000"/>
                <w:spacing w:val="-4"/>
              </w:rPr>
              <w:t xml:space="preserve">In thousands of </w:t>
            </w:r>
            <w:r w:rsidR="002649EE">
              <w:rPr>
                <w:i/>
                <w:color w:val="000000"/>
                <w:spacing w:val="-4"/>
              </w:rPr>
              <w:t>EUR</w:t>
            </w:r>
          </w:p>
        </w:tc>
        <w:tc>
          <w:tcPr>
            <w:tcW w:w="334" w:type="pct"/>
            <w:tcBorders>
              <w:bottom w:val="single" w:sz="4" w:space="0" w:color="000000"/>
            </w:tcBorders>
            <w:vAlign w:val="bottom"/>
          </w:tcPr>
          <w:p w14:paraId="5A001FBF" w14:textId="77777777" w:rsidR="00D83E33" w:rsidRPr="001B330E" w:rsidRDefault="00BC4072" w:rsidP="001B330E">
            <w:pPr>
              <w:widowControl w:val="0"/>
              <w:pBdr>
                <w:top w:val="nil"/>
                <w:left w:val="nil"/>
                <w:bottom w:val="nil"/>
                <w:right w:val="nil"/>
                <w:between w:val="nil"/>
              </w:pBdr>
              <w:spacing w:line="235" w:lineRule="auto"/>
              <w:jc w:val="center"/>
              <w:rPr>
                <w:b/>
                <w:color w:val="000000"/>
                <w:spacing w:val="-4"/>
              </w:rPr>
            </w:pPr>
            <w:r w:rsidRPr="001B330E">
              <w:rPr>
                <w:b/>
                <w:color w:val="000000"/>
                <w:spacing w:val="-4"/>
              </w:rPr>
              <w:t>Note</w:t>
            </w:r>
          </w:p>
        </w:tc>
        <w:tc>
          <w:tcPr>
            <w:tcW w:w="818" w:type="pct"/>
            <w:tcBorders>
              <w:bottom w:val="single" w:sz="4" w:space="0" w:color="000000"/>
            </w:tcBorders>
            <w:vAlign w:val="bottom"/>
          </w:tcPr>
          <w:p w14:paraId="51CEC78A" w14:textId="732BA6E0" w:rsidR="00D83E33" w:rsidRPr="001B330E" w:rsidRDefault="00541EBC" w:rsidP="001B330E">
            <w:pPr>
              <w:widowControl w:val="0"/>
              <w:pBdr>
                <w:top w:val="nil"/>
                <w:left w:val="nil"/>
                <w:bottom w:val="nil"/>
                <w:right w:val="nil"/>
                <w:between w:val="nil"/>
              </w:pBdr>
              <w:spacing w:line="235" w:lineRule="auto"/>
              <w:jc w:val="right"/>
              <w:rPr>
                <w:b/>
                <w:color w:val="000000"/>
                <w:spacing w:val="-4"/>
              </w:rPr>
            </w:pPr>
            <w:r>
              <w:rPr>
                <w:b/>
                <w:color w:val="000000"/>
                <w:spacing w:val="-4"/>
              </w:rPr>
              <w:t>2024</w:t>
            </w:r>
          </w:p>
        </w:tc>
        <w:tc>
          <w:tcPr>
            <w:tcW w:w="818" w:type="pct"/>
            <w:tcBorders>
              <w:bottom w:val="single" w:sz="4" w:space="0" w:color="000000"/>
            </w:tcBorders>
            <w:vAlign w:val="bottom"/>
          </w:tcPr>
          <w:p w14:paraId="04C9DB38" w14:textId="6CADE186" w:rsidR="00D83E33" w:rsidRPr="001B330E" w:rsidRDefault="00541EBC" w:rsidP="001B330E">
            <w:pPr>
              <w:widowControl w:val="0"/>
              <w:pBdr>
                <w:top w:val="nil"/>
                <w:left w:val="nil"/>
                <w:bottom w:val="nil"/>
                <w:right w:val="nil"/>
                <w:between w:val="nil"/>
              </w:pBdr>
              <w:spacing w:line="235" w:lineRule="auto"/>
              <w:jc w:val="right"/>
              <w:rPr>
                <w:b/>
                <w:color w:val="000000"/>
                <w:spacing w:val="-4"/>
              </w:rPr>
            </w:pPr>
            <w:r>
              <w:rPr>
                <w:b/>
                <w:color w:val="000000"/>
                <w:spacing w:val="-4"/>
              </w:rPr>
              <w:t>2023</w:t>
            </w:r>
          </w:p>
        </w:tc>
      </w:tr>
      <w:tr w:rsidR="00D83E33" w:rsidRPr="004607BE" w14:paraId="093A838E" w14:textId="77777777" w:rsidTr="001B330E">
        <w:trPr>
          <w:trHeight w:val="23"/>
        </w:trPr>
        <w:tc>
          <w:tcPr>
            <w:tcW w:w="3030" w:type="pct"/>
            <w:vAlign w:val="bottom"/>
          </w:tcPr>
          <w:p w14:paraId="4015875A" w14:textId="77777777" w:rsidR="00D83E33" w:rsidRPr="001B330E" w:rsidRDefault="00BC4072" w:rsidP="001B330E">
            <w:pPr>
              <w:widowControl w:val="0"/>
              <w:spacing w:line="235" w:lineRule="auto"/>
              <w:ind w:left="113" w:hanging="113"/>
              <w:rPr>
                <w:spacing w:val="-4"/>
              </w:rPr>
            </w:pPr>
            <w:r w:rsidRPr="001B330E">
              <w:rPr>
                <w:spacing w:val="-4"/>
              </w:rPr>
              <w:t> </w:t>
            </w:r>
          </w:p>
        </w:tc>
        <w:tc>
          <w:tcPr>
            <w:tcW w:w="334" w:type="pct"/>
            <w:vAlign w:val="bottom"/>
          </w:tcPr>
          <w:p w14:paraId="14F658C5"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49B8459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3D51E13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5C75AD50" w14:textId="77777777" w:rsidTr="001B330E">
        <w:trPr>
          <w:trHeight w:val="23"/>
        </w:trPr>
        <w:tc>
          <w:tcPr>
            <w:tcW w:w="3030" w:type="pct"/>
            <w:vAlign w:val="bottom"/>
          </w:tcPr>
          <w:p w14:paraId="24D5A060"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Dividend income from equity investments at FVOCI that were held at the end of the period</w:t>
            </w:r>
          </w:p>
        </w:tc>
        <w:tc>
          <w:tcPr>
            <w:tcW w:w="334" w:type="pct"/>
            <w:vAlign w:val="bottom"/>
          </w:tcPr>
          <w:p w14:paraId="327648C9"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7ED30C8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01956CA5" w14:textId="77777777" w:rsidR="00D83E33" w:rsidRPr="001B330E" w:rsidRDefault="00BC4072" w:rsidP="001B330E">
            <w:pPr>
              <w:widowControl w:val="0"/>
              <w:pBdr>
                <w:top w:val="nil"/>
                <w:left w:val="nil"/>
                <w:bottom w:val="nil"/>
                <w:right w:val="nil"/>
                <w:between w:val="nil"/>
              </w:pBdr>
              <w:spacing w:line="235" w:lineRule="auto"/>
              <w:jc w:val="right"/>
              <w:rPr>
                <w:color w:val="000000"/>
                <w:spacing w:val="-4"/>
              </w:rPr>
            </w:pPr>
            <w:r w:rsidRPr="001B330E">
              <w:rPr>
                <w:color w:val="000000"/>
                <w:spacing w:val="-4"/>
              </w:rPr>
              <w:t>-</w:t>
            </w:r>
          </w:p>
        </w:tc>
      </w:tr>
      <w:tr w:rsidR="00D83E33" w:rsidRPr="004607BE" w14:paraId="5DCFE738" w14:textId="77777777" w:rsidTr="001B330E">
        <w:trPr>
          <w:trHeight w:val="23"/>
        </w:trPr>
        <w:tc>
          <w:tcPr>
            <w:tcW w:w="3030" w:type="pct"/>
            <w:vAlign w:val="bottom"/>
          </w:tcPr>
          <w:p w14:paraId="2986B8D2" w14:textId="27A54E9A"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xml:space="preserve">Dividend income from equity investments at FVOCI that relate to investments </w:t>
            </w:r>
            <w:r w:rsidR="007347D3" w:rsidRPr="001B330E">
              <w:rPr>
                <w:color w:val="000000"/>
                <w:spacing w:val="-4"/>
              </w:rPr>
              <w:t>derecognised</w:t>
            </w:r>
            <w:r w:rsidRPr="001B330E">
              <w:rPr>
                <w:color w:val="000000"/>
                <w:spacing w:val="-4"/>
              </w:rPr>
              <w:t xml:space="preserve"> during the period</w:t>
            </w:r>
          </w:p>
        </w:tc>
        <w:tc>
          <w:tcPr>
            <w:tcW w:w="334" w:type="pct"/>
            <w:vAlign w:val="bottom"/>
          </w:tcPr>
          <w:p w14:paraId="306D1EAA"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653E397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1F2EB484" w14:textId="77777777" w:rsidR="00D83E33" w:rsidRPr="001B330E" w:rsidRDefault="00BC4072" w:rsidP="001B330E">
            <w:pPr>
              <w:widowControl w:val="0"/>
              <w:pBdr>
                <w:top w:val="nil"/>
                <w:left w:val="nil"/>
                <w:bottom w:val="nil"/>
                <w:right w:val="nil"/>
                <w:between w:val="nil"/>
              </w:pBdr>
              <w:spacing w:line="235" w:lineRule="auto"/>
              <w:jc w:val="right"/>
              <w:rPr>
                <w:color w:val="000000"/>
                <w:spacing w:val="-4"/>
              </w:rPr>
            </w:pPr>
            <w:r w:rsidRPr="001B330E">
              <w:rPr>
                <w:color w:val="000000"/>
                <w:spacing w:val="-4"/>
              </w:rPr>
              <w:t>-</w:t>
            </w:r>
          </w:p>
        </w:tc>
      </w:tr>
      <w:tr w:rsidR="00D83E33" w:rsidRPr="004607BE" w14:paraId="1331C41D" w14:textId="77777777" w:rsidTr="001B330E">
        <w:trPr>
          <w:trHeight w:val="23"/>
        </w:trPr>
        <w:tc>
          <w:tcPr>
            <w:tcW w:w="3030" w:type="pct"/>
            <w:vAlign w:val="bottom"/>
          </w:tcPr>
          <w:p w14:paraId="0BE64330"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Other dividend income</w:t>
            </w:r>
          </w:p>
        </w:tc>
        <w:tc>
          <w:tcPr>
            <w:tcW w:w="334" w:type="pct"/>
            <w:vAlign w:val="bottom"/>
          </w:tcPr>
          <w:p w14:paraId="1BAC34DF"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38751DD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000677E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2BF069F7" w14:textId="77777777" w:rsidTr="001B330E">
        <w:trPr>
          <w:trHeight w:val="23"/>
        </w:trPr>
        <w:tc>
          <w:tcPr>
            <w:tcW w:w="3030" w:type="pct"/>
            <w:vAlign w:val="bottom"/>
          </w:tcPr>
          <w:p w14:paraId="773D4A0D"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Rental income from investment properties</w:t>
            </w:r>
          </w:p>
        </w:tc>
        <w:tc>
          <w:tcPr>
            <w:tcW w:w="334" w:type="pct"/>
            <w:vAlign w:val="bottom"/>
          </w:tcPr>
          <w:p w14:paraId="054EC117"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39525411"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266FD94F"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67E4C031" w14:textId="77777777" w:rsidTr="001B330E">
        <w:trPr>
          <w:trHeight w:val="23"/>
        </w:trPr>
        <w:tc>
          <w:tcPr>
            <w:tcW w:w="3030" w:type="pct"/>
            <w:vAlign w:val="bottom"/>
          </w:tcPr>
          <w:p w14:paraId="411E0066"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Sublease operating lease income</w:t>
            </w:r>
          </w:p>
        </w:tc>
        <w:tc>
          <w:tcPr>
            <w:tcW w:w="334" w:type="pct"/>
            <w:vAlign w:val="bottom"/>
          </w:tcPr>
          <w:p w14:paraId="37021076"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653E5CA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2476429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472C1C2E" w14:textId="77777777" w:rsidTr="001B330E">
        <w:trPr>
          <w:trHeight w:val="23"/>
        </w:trPr>
        <w:tc>
          <w:tcPr>
            <w:tcW w:w="3030" w:type="pct"/>
            <w:vAlign w:val="bottom"/>
          </w:tcPr>
          <w:p w14:paraId="4DADF9E2"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xml:space="preserve">Income from variable lease payments not included in finance lease receivables </w:t>
            </w:r>
          </w:p>
        </w:tc>
        <w:tc>
          <w:tcPr>
            <w:tcW w:w="334" w:type="pct"/>
            <w:vAlign w:val="bottom"/>
          </w:tcPr>
          <w:p w14:paraId="26582407"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1E6ADA9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04518A1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70770658" w14:textId="77777777" w:rsidTr="001B330E">
        <w:trPr>
          <w:trHeight w:val="23"/>
        </w:trPr>
        <w:tc>
          <w:tcPr>
            <w:tcW w:w="3030" w:type="pct"/>
            <w:vAlign w:val="bottom"/>
          </w:tcPr>
          <w:p w14:paraId="0241D98C"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Negative goodwill recognised as income</w:t>
            </w:r>
          </w:p>
        </w:tc>
        <w:tc>
          <w:tcPr>
            <w:tcW w:w="334" w:type="pct"/>
            <w:vAlign w:val="bottom"/>
          </w:tcPr>
          <w:p w14:paraId="33437241" w14:textId="77777777" w:rsidR="00D83E33" w:rsidRPr="001B330E" w:rsidRDefault="00BC4072" w:rsidP="001B330E">
            <w:pPr>
              <w:widowControl w:val="0"/>
              <w:pBdr>
                <w:top w:val="nil"/>
                <w:left w:val="nil"/>
                <w:bottom w:val="nil"/>
                <w:right w:val="nil"/>
                <w:between w:val="nil"/>
              </w:pBdr>
              <w:spacing w:line="235" w:lineRule="auto"/>
              <w:jc w:val="center"/>
              <w:rPr>
                <w:color w:val="000000"/>
                <w:spacing w:val="-4"/>
              </w:rPr>
            </w:pPr>
            <w:r w:rsidRPr="001B330E">
              <w:rPr>
                <w:color w:val="000000"/>
                <w:spacing w:val="-4"/>
              </w:rPr>
              <w:t>52</w:t>
            </w:r>
          </w:p>
        </w:tc>
        <w:tc>
          <w:tcPr>
            <w:tcW w:w="818" w:type="pct"/>
            <w:vAlign w:val="bottom"/>
          </w:tcPr>
          <w:p w14:paraId="3D82E96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6240F15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22FB132C" w14:textId="77777777" w:rsidTr="001B330E">
        <w:trPr>
          <w:trHeight w:val="23"/>
        </w:trPr>
        <w:tc>
          <w:tcPr>
            <w:tcW w:w="3030" w:type="pct"/>
            <w:vAlign w:val="bottom"/>
          </w:tcPr>
          <w:p w14:paraId="213B4E37"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Gain on disposal of premises and equipment</w:t>
            </w:r>
          </w:p>
        </w:tc>
        <w:tc>
          <w:tcPr>
            <w:tcW w:w="334" w:type="pct"/>
            <w:vAlign w:val="bottom"/>
          </w:tcPr>
          <w:p w14:paraId="7B344B59"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203B9E7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2A3A8B3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71EB9ACD" w14:textId="77777777" w:rsidTr="001B330E">
        <w:trPr>
          <w:trHeight w:val="23"/>
        </w:trPr>
        <w:tc>
          <w:tcPr>
            <w:tcW w:w="3030" w:type="pct"/>
            <w:vAlign w:val="bottom"/>
          </w:tcPr>
          <w:p w14:paraId="151B4B30"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Gain on disposal of investment properties</w:t>
            </w:r>
          </w:p>
        </w:tc>
        <w:tc>
          <w:tcPr>
            <w:tcW w:w="334" w:type="pct"/>
            <w:vAlign w:val="bottom"/>
          </w:tcPr>
          <w:p w14:paraId="53203FDC"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173EC97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5EC2CAD1"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138A0712" w14:textId="77777777" w:rsidTr="001B330E">
        <w:trPr>
          <w:trHeight w:val="23"/>
        </w:trPr>
        <w:tc>
          <w:tcPr>
            <w:tcW w:w="3030" w:type="pct"/>
            <w:vAlign w:val="bottom"/>
          </w:tcPr>
          <w:p w14:paraId="769E935F" w14:textId="0240A104" w:rsidR="00D83E33" w:rsidRPr="001B330E" w:rsidRDefault="00D83E33" w:rsidP="001B330E">
            <w:pPr>
              <w:widowControl w:val="0"/>
              <w:pBdr>
                <w:top w:val="nil"/>
                <w:left w:val="nil"/>
                <w:bottom w:val="nil"/>
                <w:right w:val="nil"/>
                <w:between w:val="nil"/>
              </w:pBdr>
              <w:spacing w:line="235" w:lineRule="auto"/>
              <w:ind w:left="113" w:hanging="113"/>
              <w:rPr>
                <w:color w:val="000000"/>
                <w:spacing w:val="-4"/>
              </w:rPr>
            </w:pPr>
          </w:p>
        </w:tc>
        <w:tc>
          <w:tcPr>
            <w:tcW w:w="334" w:type="pct"/>
            <w:vAlign w:val="bottom"/>
          </w:tcPr>
          <w:p w14:paraId="3C8888BE"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5CF2A3C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638229C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6627A838" w14:textId="77777777" w:rsidTr="001B330E">
        <w:trPr>
          <w:trHeight w:val="23"/>
        </w:trPr>
        <w:tc>
          <w:tcPr>
            <w:tcW w:w="3030" w:type="pct"/>
            <w:vAlign w:val="bottom"/>
          </w:tcPr>
          <w:p w14:paraId="313E0B77" w14:textId="69B57288"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xml:space="preserve">Other </w:t>
            </w:r>
          </w:p>
        </w:tc>
        <w:tc>
          <w:tcPr>
            <w:tcW w:w="334" w:type="pct"/>
            <w:vAlign w:val="bottom"/>
          </w:tcPr>
          <w:p w14:paraId="344AAA79"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2F7AC06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vAlign w:val="bottom"/>
          </w:tcPr>
          <w:p w14:paraId="1334A84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74BB3751" w14:textId="77777777" w:rsidTr="001B330E">
        <w:trPr>
          <w:trHeight w:val="23"/>
        </w:trPr>
        <w:tc>
          <w:tcPr>
            <w:tcW w:w="3030" w:type="pct"/>
            <w:tcBorders>
              <w:bottom w:val="single" w:sz="4" w:space="0" w:color="000000"/>
            </w:tcBorders>
            <w:vAlign w:val="bottom"/>
          </w:tcPr>
          <w:p w14:paraId="1A6D47AF" w14:textId="77777777" w:rsidR="00D83E33" w:rsidRPr="001B330E" w:rsidRDefault="00BC4072" w:rsidP="001B330E">
            <w:pPr>
              <w:widowControl w:val="0"/>
              <w:spacing w:line="235" w:lineRule="auto"/>
              <w:ind w:left="113" w:hanging="113"/>
              <w:rPr>
                <w:spacing w:val="-4"/>
              </w:rPr>
            </w:pPr>
            <w:r w:rsidRPr="001B330E">
              <w:rPr>
                <w:spacing w:val="-4"/>
              </w:rPr>
              <w:t> </w:t>
            </w:r>
          </w:p>
        </w:tc>
        <w:tc>
          <w:tcPr>
            <w:tcW w:w="334" w:type="pct"/>
            <w:tcBorders>
              <w:bottom w:val="single" w:sz="4" w:space="0" w:color="000000"/>
            </w:tcBorders>
            <w:vAlign w:val="bottom"/>
          </w:tcPr>
          <w:p w14:paraId="6D63C828"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tcBorders>
              <w:bottom w:val="single" w:sz="4" w:space="0" w:color="000000"/>
            </w:tcBorders>
            <w:vAlign w:val="bottom"/>
          </w:tcPr>
          <w:p w14:paraId="2802A09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818" w:type="pct"/>
            <w:tcBorders>
              <w:bottom w:val="single" w:sz="4" w:space="0" w:color="000000"/>
            </w:tcBorders>
            <w:vAlign w:val="bottom"/>
          </w:tcPr>
          <w:p w14:paraId="07D796A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4607BE" w14:paraId="60F78B7D" w14:textId="77777777" w:rsidTr="001B330E">
        <w:trPr>
          <w:trHeight w:val="23"/>
        </w:trPr>
        <w:tc>
          <w:tcPr>
            <w:tcW w:w="3030" w:type="pct"/>
            <w:vAlign w:val="bottom"/>
          </w:tcPr>
          <w:p w14:paraId="4D461689" w14:textId="77777777" w:rsidR="00D83E33" w:rsidRPr="001B330E" w:rsidRDefault="00BC4072" w:rsidP="001B330E">
            <w:pPr>
              <w:widowControl w:val="0"/>
              <w:spacing w:line="235" w:lineRule="auto"/>
              <w:ind w:left="113" w:hanging="113"/>
              <w:rPr>
                <w:spacing w:val="-4"/>
              </w:rPr>
            </w:pPr>
            <w:r w:rsidRPr="001B330E">
              <w:rPr>
                <w:spacing w:val="-4"/>
              </w:rPr>
              <w:t> </w:t>
            </w:r>
          </w:p>
        </w:tc>
        <w:tc>
          <w:tcPr>
            <w:tcW w:w="334" w:type="pct"/>
            <w:vAlign w:val="bottom"/>
          </w:tcPr>
          <w:p w14:paraId="14DB6635"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vAlign w:val="bottom"/>
          </w:tcPr>
          <w:p w14:paraId="3FECA9F7"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c>
          <w:tcPr>
            <w:tcW w:w="818" w:type="pct"/>
            <w:vAlign w:val="bottom"/>
          </w:tcPr>
          <w:p w14:paraId="754130BC"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r>
      <w:tr w:rsidR="00D83E33" w:rsidRPr="004607BE" w14:paraId="25D883BF" w14:textId="77777777" w:rsidTr="001B330E">
        <w:trPr>
          <w:trHeight w:val="23"/>
        </w:trPr>
        <w:tc>
          <w:tcPr>
            <w:tcW w:w="3030" w:type="pct"/>
            <w:vAlign w:val="bottom"/>
          </w:tcPr>
          <w:p w14:paraId="13AF2988" w14:textId="77777777" w:rsidR="00D83E33" w:rsidRPr="001B330E" w:rsidRDefault="00BC4072" w:rsidP="001B330E">
            <w:pPr>
              <w:widowControl w:val="0"/>
              <w:pBdr>
                <w:top w:val="nil"/>
                <w:left w:val="nil"/>
                <w:bottom w:val="nil"/>
                <w:right w:val="nil"/>
                <w:between w:val="nil"/>
              </w:pBdr>
              <w:spacing w:line="235" w:lineRule="auto"/>
              <w:ind w:left="113" w:hanging="113"/>
              <w:rPr>
                <w:b/>
                <w:color w:val="000000"/>
                <w:spacing w:val="-4"/>
              </w:rPr>
            </w:pPr>
            <w:r w:rsidRPr="001B330E">
              <w:rPr>
                <w:b/>
                <w:color w:val="000000"/>
                <w:spacing w:val="-4"/>
              </w:rPr>
              <w:t>Total other operating income</w:t>
            </w:r>
          </w:p>
        </w:tc>
        <w:tc>
          <w:tcPr>
            <w:tcW w:w="334" w:type="pct"/>
            <w:vAlign w:val="bottom"/>
          </w:tcPr>
          <w:p w14:paraId="41D90832" w14:textId="77777777" w:rsidR="00D83E33" w:rsidRPr="001B330E" w:rsidRDefault="00D83E33" w:rsidP="001B330E">
            <w:pPr>
              <w:widowControl w:val="0"/>
              <w:pBdr>
                <w:top w:val="nil"/>
                <w:left w:val="nil"/>
                <w:bottom w:val="nil"/>
                <w:right w:val="nil"/>
                <w:between w:val="nil"/>
              </w:pBdr>
              <w:spacing w:line="235" w:lineRule="auto"/>
              <w:jc w:val="center"/>
              <w:rPr>
                <w:b/>
                <w:color w:val="000000"/>
                <w:spacing w:val="-4"/>
              </w:rPr>
            </w:pPr>
          </w:p>
        </w:tc>
        <w:tc>
          <w:tcPr>
            <w:tcW w:w="818" w:type="pct"/>
            <w:vAlign w:val="bottom"/>
          </w:tcPr>
          <w:p w14:paraId="3E1C2C13"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c>
          <w:tcPr>
            <w:tcW w:w="818" w:type="pct"/>
            <w:vAlign w:val="bottom"/>
          </w:tcPr>
          <w:p w14:paraId="59D39A6F"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r>
      <w:tr w:rsidR="00D83E33" w:rsidRPr="004607BE" w14:paraId="437E78D5" w14:textId="77777777" w:rsidTr="001B330E">
        <w:trPr>
          <w:trHeight w:val="23"/>
        </w:trPr>
        <w:tc>
          <w:tcPr>
            <w:tcW w:w="3030" w:type="pct"/>
            <w:tcBorders>
              <w:bottom w:val="single" w:sz="12" w:space="0" w:color="000000"/>
            </w:tcBorders>
            <w:vAlign w:val="bottom"/>
          </w:tcPr>
          <w:p w14:paraId="7E42EDAE" w14:textId="77777777" w:rsidR="00D83E33" w:rsidRPr="001B330E" w:rsidRDefault="00BC4072" w:rsidP="001B330E">
            <w:pPr>
              <w:widowControl w:val="0"/>
              <w:spacing w:line="235" w:lineRule="auto"/>
              <w:ind w:left="113" w:hanging="113"/>
              <w:rPr>
                <w:spacing w:val="-4"/>
              </w:rPr>
            </w:pPr>
            <w:r w:rsidRPr="001B330E">
              <w:rPr>
                <w:spacing w:val="-4"/>
              </w:rPr>
              <w:t> </w:t>
            </w:r>
          </w:p>
        </w:tc>
        <w:tc>
          <w:tcPr>
            <w:tcW w:w="334" w:type="pct"/>
            <w:tcBorders>
              <w:bottom w:val="single" w:sz="12" w:space="0" w:color="000000"/>
            </w:tcBorders>
            <w:vAlign w:val="bottom"/>
          </w:tcPr>
          <w:p w14:paraId="68A52E5C" w14:textId="77777777" w:rsidR="00D83E33" w:rsidRPr="001B330E" w:rsidRDefault="00D83E33" w:rsidP="001B330E">
            <w:pPr>
              <w:widowControl w:val="0"/>
              <w:pBdr>
                <w:top w:val="nil"/>
                <w:left w:val="nil"/>
                <w:bottom w:val="nil"/>
                <w:right w:val="nil"/>
                <w:between w:val="nil"/>
              </w:pBdr>
              <w:spacing w:line="235" w:lineRule="auto"/>
              <w:jc w:val="center"/>
              <w:rPr>
                <w:color w:val="000000"/>
                <w:spacing w:val="-4"/>
              </w:rPr>
            </w:pPr>
          </w:p>
        </w:tc>
        <w:tc>
          <w:tcPr>
            <w:tcW w:w="818" w:type="pct"/>
            <w:tcBorders>
              <w:bottom w:val="single" w:sz="12" w:space="0" w:color="000000"/>
            </w:tcBorders>
            <w:vAlign w:val="bottom"/>
          </w:tcPr>
          <w:p w14:paraId="23F06CE5"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c>
          <w:tcPr>
            <w:tcW w:w="818" w:type="pct"/>
            <w:tcBorders>
              <w:bottom w:val="single" w:sz="12" w:space="0" w:color="000000"/>
            </w:tcBorders>
            <w:vAlign w:val="bottom"/>
          </w:tcPr>
          <w:p w14:paraId="598E4F21"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r>
    </w:tbl>
    <w:p w14:paraId="58D7F02C" w14:textId="77777777" w:rsidR="004607BE" w:rsidRDefault="004607BE" w:rsidP="002A5F5D">
      <w:pPr>
        <w:pStyle w:val="Heading1"/>
        <w:pageBreakBefore/>
        <w:ind w:left="431" w:hanging="431"/>
      </w:pPr>
      <w:bookmarkStart w:id="101" w:name="_Toc179196037"/>
      <w:r>
        <w:lastRenderedPageBreak/>
        <w:t>Administrative and Other Operating Expenses</w:t>
      </w:r>
      <w:bookmarkEnd w:id="101"/>
    </w:p>
    <w:p w14:paraId="05F38E14" w14:textId="4E6EC17A" w:rsidR="00D83E33" w:rsidRPr="001B330E" w:rsidRDefault="00D83E33" w:rsidP="001B330E">
      <w:pPr>
        <w:rPr>
          <w:sz w:val="2"/>
          <w:szCs w:val="2"/>
        </w:rPr>
      </w:pPr>
    </w:p>
    <w:tbl>
      <w:tblPr>
        <w:tblStyle w:val="affffffffffff6"/>
        <w:tblW w:w="5000" w:type="pct"/>
        <w:tblLayout w:type="fixed"/>
        <w:tblLook w:val="0000" w:firstRow="0" w:lastRow="0" w:firstColumn="0" w:lastColumn="0" w:noHBand="0" w:noVBand="0"/>
      </w:tblPr>
      <w:tblGrid>
        <w:gridCol w:w="5674"/>
        <w:gridCol w:w="851"/>
        <w:gridCol w:w="1416"/>
        <w:gridCol w:w="1414"/>
      </w:tblGrid>
      <w:tr w:rsidR="00D83E33" w:rsidRPr="00EA10CF" w14:paraId="43D460D7" w14:textId="77777777" w:rsidTr="000308BA">
        <w:trPr>
          <w:trHeight w:val="23"/>
        </w:trPr>
        <w:tc>
          <w:tcPr>
            <w:tcW w:w="3032" w:type="pct"/>
            <w:tcBorders>
              <w:bottom w:val="single" w:sz="4" w:space="0" w:color="000000"/>
            </w:tcBorders>
            <w:vAlign w:val="bottom"/>
          </w:tcPr>
          <w:p w14:paraId="6B9E4584" w14:textId="0BC54117"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455" w:type="pct"/>
            <w:tcBorders>
              <w:bottom w:val="single" w:sz="4" w:space="0" w:color="000000"/>
            </w:tcBorders>
            <w:vAlign w:val="bottom"/>
          </w:tcPr>
          <w:p w14:paraId="31DDD842" w14:textId="77777777" w:rsidR="00D83E33" w:rsidRPr="00EA10CF" w:rsidRDefault="00BC4072" w:rsidP="001B330E">
            <w:pPr>
              <w:widowControl w:val="0"/>
              <w:pBdr>
                <w:top w:val="nil"/>
                <w:left w:val="nil"/>
                <w:bottom w:val="nil"/>
                <w:right w:val="nil"/>
                <w:between w:val="nil"/>
              </w:pBdr>
              <w:jc w:val="center"/>
              <w:rPr>
                <w:b/>
                <w:color w:val="000000"/>
              </w:rPr>
            </w:pPr>
            <w:r w:rsidRPr="00EA10CF">
              <w:rPr>
                <w:b/>
                <w:color w:val="000000"/>
              </w:rPr>
              <w:t>Note</w:t>
            </w:r>
          </w:p>
        </w:tc>
        <w:tc>
          <w:tcPr>
            <w:tcW w:w="757" w:type="pct"/>
            <w:tcBorders>
              <w:bottom w:val="single" w:sz="4" w:space="0" w:color="000000"/>
            </w:tcBorders>
            <w:vAlign w:val="bottom"/>
          </w:tcPr>
          <w:p w14:paraId="26BE26D5" w14:textId="65B1BF26" w:rsidR="00D83E33" w:rsidRPr="00EA10CF" w:rsidRDefault="00541EBC" w:rsidP="001B330E">
            <w:pPr>
              <w:widowControl w:val="0"/>
              <w:pBdr>
                <w:top w:val="nil"/>
                <w:left w:val="nil"/>
                <w:bottom w:val="nil"/>
                <w:right w:val="nil"/>
                <w:between w:val="nil"/>
              </w:pBdr>
              <w:jc w:val="right"/>
              <w:rPr>
                <w:b/>
                <w:color w:val="000000"/>
              </w:rPr>
            </w:pPr>
            <w:r>
              <w:rPr>
                <w:b/>
                <w:color w:val="000000"/>
              </w:rPr>
              <w:t>2024</w:t>
            </w:r>
          </w:p>
        </w:tc>
        <w:tc>
          <w:tcPr>
            <w:tcW w:w="757" w:type="pct"/>
            <w:tcBorders>
              <w:bottom w:val="single" w:sz="4" w:space="0" w:color="000000"/>
            </w:tcBorders>
            <w:vAlign w:val="bottom"/>
          </w:tcPr>
          <w:p w14:paraId="67E47E76" w14:textId="6EFEFD2D" w:rsidR="00D83E33" w:rsidRPr="00EA10CF" w:rsidRDefault="00541EBC" w:rsidP="001B330E">
            <w:pPr>
              <w:widowControl w:val="0"/>
              <w:pBdr>
                <w:top w:val="nil"/>
                <w:left w:val="nil"/>
                <w:bottom w:val="nil"/>
                <w:right w:val="nil"/>
                <w:between w:val="nil"/>
              </w:pBdr>
              <w:jc w:val="right"/>
              <w:rPr>
                <w:b/>
                <w:color w:val="000000"/>
              </w:rPr>
            </w:pPr>
            <w:r>
              <w:rPr>
                <w:b/>
                <w:color w:val="000000"/>
              </w:rPr>
              <w:t>2023</w:t>
            </w:r>
          </w:p>
        </w:tc>
      </w:tr>
      <w:tr w:rsidR="00D83E33" w:rsidRPr="00EA10CF" w14:paraId="7766FDEE" w14:textId="77777777" w:rsidTr="000308BA">
        <w:trPr>
          <w:trHeight w:val="23"/>
        </w:trPr>
        <w:tc>
          <w:tcPr>
            <w:tcW w:w="3032" w:type="pct"/>
            <w:vAlign w:val="bottom"/>
          </w:tcPr>
          <w:p w14:paraId="4593E821" w14:textId="77777777" w:rsidR="00D83E33" w:rsidRPr="00EA10CF" w:rsidRDefault="00BC4072" w:rsidP="001B330E">
            <w:pPr>
              <w:widowControl w:val="0"/>
              <w:ind w:left="113" w:hanging="113"/>
            </w:pPr>
            <w:r w:rsidRPr="00EA10CF">
              <w:t> </w:t>
            </w:r>
          </w:p>
        </w:tc>
        <w:tc>
          <w:tcPr>
            <w:tcW w:w="455" w:type="pct"/>
            <w:vAlign w:val="bottom"/>
          </w:tcPr>
          <w:p w14:paraId="563D1387"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0022FE36"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597EFAC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E5D5C9C" w14:textId="77777777" w:rsidTr="000308BA">
        <w:trPr>
          <w:trHeight w:val="23"/>
        </w:trPr>
        <w:tc>
          <w:tcPr>
            <w:tcW w:w="3032" w:type="pct"/>
            <w:vAlign w:val="bottom"/>
          </w:tcPr>
          <w:p w14:paraId="45287BB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Staff costs</w:t>
            </w:r>
          </w:p>
        </w:tc>
        <w:tc>
          <w:tcPr>
            <w:tcW w:w="455" w:type="pct"/>
            <w:vAlign w:val="bottom"/>
          </w:tcPr>
          <w:p w14:paraId="3D1DDBE4"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3D898236"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5F5516ED"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206C35A" w14:textId="77777777" w:rsidTr="000308BA">
        <w:trPr>
          <w:trHeight w:val="23"/>
        </w:trPr>
        <w:tc>
          <w:tcPr>
            <w:tcW w:w="3032" w:type="pct"/>
            <w:vAlign w:val="bottom"/>
          </w:tcPr>
          <w:p w14:paraId="3EB6B6B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Depreciation of premises and equipment</w:t>
            </w:r>
          </w:p>
        </w:tc>
        <w:tc>
          <w:tcPr>
            <w:tcW w:w="455" w:type="pct"/>
            <w:vAlign w:val="bottom"/>
          </w:tcPr>
          <w:p w14:paraId="028BA555" w14:textId="77777777" w:rsidR="00D83E33" w:rsidRPr="00EA10CF" w:rsidRDefault="00000000" w:rsidP="001B330E">
            <w:pPr>
              <w:widowControl w:val="0"/>
              <w:pBdr>
                <w:top w:val="nil"/>
                <w:left w:val="nil"/>
                <w:bottom w:val="nil"/>
                <w:right w:val="nil"/>
                <w:between w:val="nil"/>
              </w:pBdr>
              <w:jc w:val="center"/>
              <w:rPr>
                <w:color w:val="000000"/>
              </w:rPr>
            </w:pPr>
            <w:hyperlink w:anchor="_heading=h.1pxezwc">
              <w:r w:rsidR="00BC4072" w:rsidRPr="00EA10CF">
                <w:rPr>
                  <w:color w:val="000000"/>
                </w:rPr>
                <w:t>18</w:t>
              </w:r>
            </w:hyperlink>
          </w:p>
        </w:tc>
        <w:tc>
          <w:tcPr>
            <w:tcW w:w="757" w:type="pct"/>
            <w:vAlign w:val="bottom"/>
          </w:tcPr>
          <w:p w14:paraId="4252591D"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6C317FF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664DC59" w14:textId="77777777" w:rsidTr="000308BA">
        <w:trPr>
          <w:trHeight w:val="23"/>
        </w:trPr>
        <w:tc>
          <w:tcPr>
            <w:tcW w:w="3032" w:type="pct"/>
            <w:vAlign w:val="bottom"/>
          </w:tcPr>
          <w:p w14:paraId="18813C8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Depreciation of right of use assets</w:t>
            </w:r>
          </w:p>
        </w:tc>
        <w:tc>
          <w:tcPr>
            <w:tcW w:w="455" w:type="pct"/>
            <w:vAlign w:val="bottom"/>
          </w:tcPr>
          <w:p w14:paraId="30FB9894" w14:textId="77777777" w:rsidR="00D83E33" w:rsidRPr="00EA10CF" w:rsidRDefault="00BC4072" w:rsidP="001B330E">
            <w:pPr>
              <w:widowControl w:val="0"/>
              <w:pBdr>
                <w:top w:val="nil"/>
                <w:left w:val="nil"/>
                <w:bottom w:val="nil"/>
                <w:right w:val="nil"/>
                <w:between w:val="nil"/>
              </w:pBdr>
              <w:jc w:val="center"/>
              <w:rPr>
                <w:color w:val="000000"/>
              </w:rPr>
            </w:pPr>
            <w:r w:rsidRPr="00EA10CF">
              <w:rPr>
                <w:color w:val="000000"/>
              </w:rPr>
              <w:t>19</w:t>
            </w:r>
          </w:p>
        </w:tc>
        <w:tc>
          <w:tcPr>
            <w:tcW w:w="757" w:type="pct"/>
            <w:vAlign w:val="bottom"/>
          </w:tcPr>
          <w:p w14:paraId="3F192C93"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43CFCFD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895BEA7" w14:textId="77777777" w:rsidTr="000308BA">
        <w:trPr>
          <w:trHeight w:val="23"/>
        </w:trPr>
        <w:tc>
          <w:tcPr>
            <w:tcW w:w="3032" w:type="pct"/>
            <w:vAlign w:val="bottom"/>
          </w:tcPr>
          <w:p w14:paraId="3665FE2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Impairment of premises and equipment</w:t>
            </w:r>
          </w:p>
        </w:tc>
        <w:tc>
          <w:tcPr>
            <w:tcW w:w="455" w:type="pct"/>
            <w:vAlign w:val="bottom"/>
          </w:tcPr>
          <w:p w14:paraId="01D2E985" w14:textId="77777777" w:rsidR="00D83E33" w:rsidRPr="00EA10CF" w:rsidRDefault="00000000" w:rsidP="001B330E">
            <w:pPr>
              <w:widowControl w:val="0"/>
              <w:pBdr>
                <w:top w:val="nil"/>
                <w:left w:val="nil"/>
                <w:bottom w:val="nil"/>
                <w:right w:val="nil"/>
                <w:between w:val="nil"/>
              </w:pBdr>
              <w:jc w:val="center"/>
              <w:rPr>
                <w:color w:val="000000"/>
              </w:rPr>
            </w:pPr>
            <w:hyperlink w:anchor="_heading=h.1pxezwc">
              <w:r w:rsidR="00BC4072" w:rsidRPr="00EA10CF">
                <w:rPr>
                  <w:color w:val="000000"/>
                </w:rPr>
                <w:t>18</w:t>
              </w:r>
            </w:hyperlink>
          </w:p>
        </w:tc>
        <w:tc>
          <w:tcPr>
            <w:tcW w:w="757" w:type="pct"/>
            <w:vAlign w:val="bottom"/>
          </w:tcPr>
          <w:p w14:paraId="13554945"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49E8872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8EF27CD" w14:textId="77777777" w:rsidTr="000308BA">
        <w:trPr>
          <w:trHeight w:val="23"/>
        </w:trPr>
        <w:tc>
          <w:tcPr>
            <w:tcW w:w="3032" w:type="pct"/>
            <w:vAlign w:val="bottom"/>
          </w:tcPr>
          <w:p w14:paraId="23C0048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Reversals of impairment of premises and equipment</w:t>
            </w:r>
          </w:p>
        </w:tc>
        <w:tc>
          <w:tcPr>
            <w:tcW w:w="455" w:type="pct"/>
            <w:vAlign w:val="bottom"/>
          </w:tcPr>
          <w:p w14:paraId="187B870B" w14:textId="77777777" w:rsidR="00D83E33" w:rsidRPr="00EA10CF" w:rsidRDefault="00000000" w:rsidP="001B330E">
            <w:pPr>
              <w:widowControl w:val="0"/>
              <w:pBdr>
                <w:top w:val="nil"/>
                <w:left w:val="nil"/>
                <w:bottom w:val="nil"/>
                <w:right w:val="nil"/>
                <w:between w:val="nil"/>
              </w:pBdr>
              <w:jc w:val="center"/>
              <w:rPr>
                <w:color w:val="000000"/>
              </w:rPr>
            </w:pPr>
            <w:hyperlink w:anchor="_heading=h.1pxezwc">
              <w:r w:rsidR="00BC4072" w:rsidRPr="00EA10CF">
                <w:rPr>
                  <w:color w:val="000000"/>
                </w:rPr>
                <w:t>18</w:t>
              </w:r>
            </w:hyperlink>
          </w:p>
        </w:tc>
        <w:tc>
          <w:tcPr>
            <w:tcW w:w="757" w:type="pct"/>
            <w:vAlign w:val="bottom"/>
          </w:tcPr>
          <w:p w14:paraId="55F86119"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34B1ED7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69D3092" w14:textId="77777777" w:rsidTr="000308BA">
        <w:trPr>
          <w:trHeight w:val="23"/>
        </w:trPr>
        <w:tc>
          <w:tcPr>
            <w:tcW w:w="3032" w:type="pct"/>
            <w:vAlign w:val="bottom"/>
          </w:tcPr>
          <w:p w14:paraId="79D6A0D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Impairment of goodwill </w:t>
            </w:r>
          </w:p>
        </w:tc>
        <w:tc>
          <w:tcPr>
            <w:tcW w:w="455" w:type="pct"/>
            <w:vAlign w:val="bottom"/>
          </w:tcPr>
          <w:p w14:paraId="39E528E1" w14:textId="77777777" w:rsidR="00D83E33" w:rsidRPr="00EA10CF" w:rsidRDefault="00000000" w:rsidP="001B330E">
            <w:pPr>
              <w:widowControl w:val="0"/>
              <w:pBdr>
                <w:top w:val="nil"/>
                <w:left w:val="nil"/>
                <w:bottom w:val="nil"/>
                <w:right w:val="nil"/>
                <w:between w:val="nil"/>
              </w:pBdr>
              <w:jc w:val="center"/>
              <w:rPr>
                <w:color w:val="000000"/>
              </w:rPr>
            </w:pPr>
            <w:hyperlink w:anchor="_heading=h.1pxezwc">
              <w:r w:rsidR="00BC4072" w:rsidRPr="00EA10CF">
                <w:rPr>
                  <w:color w:val="000000"/>
                </w:rPr>
                <w:t>17</w:t>
              </w:r>
            </w:hyperlink>
          </w:p>
        </w:tc>
        <w:tc>
          <w:tcPr>
            <w:tcW w:w="757" w:type="pct"/>
            <w:vAlign w:val="bottom"/>
          </w:tcPr>
          <w:p w14:paraId="275E1263"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5EF420D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6AC2564" w14:textId="77777777" w:rsidTr="000308BA">
        <w:trPr>
          <w:trHeight w:val="23"/>
        </w:trPr>
        <w:tc>
          <w:tcPr>
            <w:tcW w:w="3032" w:type="pct"/>
            <w:vAlign w:val="bottom"/>
          </w:tcPr>
          <w:p w14:paraId="675D480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Amortisation of software and other intangible assets</w:t>
            </w:r>
          </w:p>
        </w:tc>
        <w:tc>
          <w:tcPr>
            <w:tcW w:w="455" w:type="pct"/>
            <w:vAlign w:val="bottom"/>
          </w:tcPr>
          <w:p w14:paraId="00A0F91B" w14:textId="77777777" w:rsidR="00D83E33" w:rsidRPr="00EA10CF" w:rsidRDefault="00000000" w:rsidP="001B330E">
            <w:pPr>
              <w:widowControl w:val="0"/>
              <w:pBdr>
                <w:top w:val="nil"/>
                <w:left w:val="nil"/>
                <w:bottom w:val="nil"/>
                <w:right w:val="nil"/>
                <w:between w:val="nil"/>
              </w:pBdr>
              <w:jc w:val="center"/>
              <w:rPr>
                <w:color w:val="000000"/>
              </w:rPr>
            </w:pPr>
            <w:hyperlink w:anchor="_heading=h.1pxezwc">
              <w:r w:rsidR="00BC4072" w:rsidRPr="00EA10CF">
                <w:rPr>
                  <w:color w:val="000000"/>
                </w:rPr>
                <w:t>18</w:t>
              </w:r>
            </w:hyperlink>
          </w:p>
        </w:tc>
        <w:tc>
          <w:tcPr>
            <w:tcW w:w="757" w:type="pct"/>
            <w:vAlign w:val="bottom"/>
          </w:tcPr>
          <w:p w14:paraId="3A813C01"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0AE7B8E0"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39E4DE6" w14:textId="77777777" w:rsidTr="000308BA">
        <w:trPr>
          <w:trHeight w:val="23"/>
        </w:trPr>
        <w:tc>
          <w:tcPr>
            <w:tcW w:w="3032" w:type="pct"/>
            <w:vAlign w:val="bottom"/>
          </w:tcPr>
          <w:p w14:paraId="45235A2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Utilities</w:t>
            </w:r>
          </w:p>
        </w:tc>
        <w:tc>
          <w:tcPr>
            <w:tcW w:w="455" w:type="pct"/>
            <w:vAlign w:val="bottom"/>
          </w:tcPr>
          <w:p w14:paraId="78454D92"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15BDD2FA"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2E537AE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B181121" w14:textId="77777777" w:rsidTr="000308BA">
        <w:trPr>
          <w:trHeight w:val="23"/>
        </w:trPr>
        <w:tc>
          <w:tcPr>
            <w:tcW w:w="3032" w:type="pct"/>
            <w:vAlign w:val="bottom"/>
          </w:tcPr>
          <w:p w14:paraId="7B1F5EE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Short-term lease expense</w:t>
            </w:r>
          </w:p>
        </w:tc>
        <w:tc>
          <w:tcPr>
            <w:tcW w:w="455" w:type="pct"/>
            <w:vAlign w:val="bottom"/>
          </w:tcPr>
          <w:p w14:paraId="7D8972ED"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1D0ADD38"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44D56F3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7FE48CC" w14:textId="77777777" w:rsidTr="000308BA">
        <w:trPr>
          <w:trHeight w:val="23"/>
        </w:trPr>
        <w:tc>
          <w:tcPr>
            <w:tcW w:w="3032" w:type="pct"/>
            <w:vAlign w:val="bottom"/>
          </w:tcPr>
          <w:p w14:paraId="755606C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Low-value assets lease expense</w:t>
            </w:r>
          </w:p>
        </w:tc>
        <w:tc>
          <w:tcPr>
            <w:tcW w:w="455" w:type="pct"/>
            <w:vAlign w:val="bottom"/>
          </w:tcPr>
          <w:p w14:paraId="004E56A3"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585E5EFD"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376EFD7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35772A7" w14:textId="77777777" w:rsidTr="000308BA">
        <w:trPr>
          <w:trHeight w:val="23"/>
        </w:trPr>
        <w:tc>
          <w:tcPr>
            <w:tcW w:w="3032" w:type="pct"/>
            <w:vAlign w:val="bottom"/>
          </w:tcPr>
          <w:p w14:paraId="313B850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costs of premises and equipment</w:t>
            </w:r>
          </w:p>
        </w:tc>
        <w:tc>
          <w:tcPr>
            <w:tcW w:w="455" w:type="pct"/>
            <w:vAlign w:val="bottom"/>
          </w:tcPr>
          <w:p w14:paraId="536B9CAF"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6266CD6C"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1CE39F00"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4E2E7B9" w14:textId="77777777" w:rsidTr="000308BA">
        <w:trPr>
          <w:trHeight w:val="23"/>
        </w:trPr>
        <w:tc>
          <w:tcPr>
            <w:tcW w:w="3032" w:type="pct"/>
            <w:vAlign w:val="bottom"/>
          </w:tcPr>
          <w:p w14:paraId="2CD65E9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Professional services</w:t>
            </w:r>
          </w:p>
        </w:tc>
        <w:tc>
          <w:tcPr>
            <w:tcW w:w="455" w:type="pct"/>
            <w:vAlign w:val="bottom"/>
          </w:tcPr>
          <w:p w14:paraId="36F78C3D"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51CBE1A4"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159C367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02DF590" w14:textId="77777777" w:rsidTr="000308BA">
        <w:trPr>
          <w:trHeight w:val="23"/>
        </w:trPr>
        <w:tc>
          <w:tcPr>
            <w:tcW w:w="3032" w:type="pct"/>
            <w:vAlign w:val="bottom"/>
          </w:tcPr>
          <w:p w14:paraId="2FE0724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Advertising and marketing services</w:t>
            </w:r>
          </w:p>
        </w:tc>
        <w:tc>
          <w:tcPr>
            <w:tcW w:w="455" w:type="pct"/>
            <w:vAlign w:val="bottom"/>
          </w:tcPr>
          <w:p w14:paraId="508D1856"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4FEB6F76"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161FE20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B4A9A0B" w14:textId="77777777" w:rsidTr="000308BA">
        <w:trPr>
          <w:trHeight w:val="23"/>
        </w:trPr>
        <w:tc>
          <w:tcPr>
            <w:tcW w:w="3032" w:type="pct"/>
            <w:vAlign w:val="bottom"/>
          </w:tcPr>
          <w:p w14:paraId="5E326DC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Security services</w:t>
            </w:r>
          </w:p>
        </w:tc>
        <w:tc>
          <w:tcPr>
            <w:tcW w:w="455" w:type="pct"/>
            <w:vAlign w:val="bottom"/>
          </w:tcPr>
          <w:p w14:paraId="4FAB3F2B"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77A32B76"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49C73BB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1E1F245" w14:textId="77777777" w:rsidTr="000308BA">
        <w:trPr>
          <w:trHeight w:val="23"/>
        </w:trPr>
        <w:tc>
          <w:tcPr>
            <w:tcW w:w="3032" w:type="pct"/>
            <w:vAlign w:val="bottom"/>
          </w:tcPr>
          <w:p w14:paraId="78048B8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Taxes other than on income</w:t>
            </w:r>
          </w:p>
        </w:tc>
        <w:tc>
          <w:tcPr>
            <w:tcW w:w="455" w:type="pct"/>
            <w:vAlign w:val="bottom"/>
          </w:tcPr>
          <w:p w14:paraId="6169E434"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36648C36"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4A63CDF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DDB69C0" w14:textId="77777777" w:rsidTr="000308BA">
        <w:trPr>
          <w:trHeight w:val="23"/>
        </w:trPr>
        <w:tc>
          <w:tcPr>
            <w:tcW w:w="3032" w:type="pct"/>
            <w:vAlign w:val="bottom"/>
          </w:tcPr>
          <w:p w14:paraId="041823F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Provisions for tax risks</w:t>
            </w:r>
          </w:p>
        </w:tc>
        <w:tc>
          <w:tcPr>
            <w:tcW w:w="455" w:type="pct"/>
            <w:vAlign w:val="bottom"/>
          </w:tcPr>
          <w:p w14:paraId="2D28D84E" w14:textId="77777777" w:rsidR="00D83E33" w:rsidRPr="00EA10CF" w:rsidRDefault="00000000" w:rsidP="001B330E">
            <w:pPr>
              <w:widowControl w:val="0"/>
              <w:pBdr>
                <w:top w:val="nil"/>
                <w:left w:val="nil"/>
                <w:bottom w:val="nil"/>
                <w:right w:val="nil"/>
                <w:between w:val="nil"/>
              </w:pBdr>
              <w:jc w:val="center"/>
              <w:rPr>
                <w:color w:val="000000"/>
              </w:rPr>
            </w:pPr>
            <w:hyperlink w:anchor="_heading=h.41mghml">
              <w:r w:rsidR="00BC4072" w:rsidRPr="00EA10CF">
                <w:rPr>
                  <w:color w:val="000000"/>
                </w:rPr>
                <w:t>25</w:t>
              </w:r>
            </w:hyperlink>
          </w:p>
        </w:tc>
        <w:tc>
          <w:tcPr>
            <w:tcW w:w="757" w:type="pct"/>
            <w:vAlign w:val="bottom"/>
          </w:tcPr>
          <w:p w14:paraId="12FF01CE"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5BF4EAA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EB8DD7B" w14:textId="77777777" w:rsidTr="000308BA">
        <w:trPr>
          <w:trHeight w:val="23"/>
        </w:trPr>
        <w:tc>
          <w:tcPr>
            <w:tcW w:w="3032" w:type="pct"/>
            <w:vAlign w:val="bottom"/>
          </w:tcPr>
          <w:p w14:paraId="4574DD7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Provisions for performance guarantees</w:t>
            </w:r>
          </w:p>
        </w:tc>
        <w:tc>
          <w:tcPr>
            <w:tcW w:w="455" w:type="pct"/>
            <w:vAlign w:val="bottom"/>
          </w:tcPr>
          <w:p w14:paraId="2F60FB98" w14:textId="77777777" w:rsidR="00D83E33" w:rsidRPr="00EA10CF" w:rsidRDefault="00000000" w:rsidP="001B330E">
            <w:pPr>
              <w:widowControl w:val="0"/>
              <w:pBdr>
                <w:top w:val="nil"/>
                <w:left w:val="nil"/>
                <w:bottom w:val="nil"/>
                <w:right w:val="nil"/>
                <w:between w:val="nil"/>
              </w:pBdr>
              <w:jc w:val="center"/>
              <w:rPr>
                <w:color w:val="000000"/>
              </w:rPr>
            </w:pPr>
            <w:hyperlink w:anchor="_heading=h.2dlolyb">
              <w:r w:rsidR="00BC4072" w:rsidRPr="00EA10CF">
                <w:rPr>
                  <w:color w:val="000000"/>
                </w:rPr>
                <w:t>43</w:t>
              </w:r>
            </w:hyperlink>
          </w:p>
        </w:tc>
        <w:tc>
          <w:tcPr>
            <w:tcW w:w="757" w:type="pct"/>
            <w:vAlign w:val="bottom"/>
          </w:tcPr>
          <w:p w14:paraId="36A0B622"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4E780DD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73EC8A5" w14:textId="77777777" w:rsidTr="000308BA">
        <w:trPr>
          <w:trHeight w:val="23"/>
        </w:trPr>
        <w:tc>
          <w:tcPr>
            <w:tcW w:w="3032" w:type="pct"/>
            <w:vAlign w:val="bottom"/>
          </w:tcPr>
          <w:p w14:paraId="45159DB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Write-down of non-current assets (or disposal groups) to fair value less costs to sell</w:t>
            </w:r>
          </w:p>
        </w:tc>
        <w:tc>
          <w:tcPr>
            <w:tcW w:w="455" w:type="pct"/>
            <w:vAlign w:val="bottom"/>
          </w:tcPr>
          <w:p w14:paraId="69511E6B" w14:textId="77777777" w:rsidR="00D83E33" w:rsidRPr="00EA10CF" w:rsidRDefault="00BC4072" w:rsidP="001B330E">
            <w:pPr>
              <w:widowControl w:val="0"/>
              <w:pBdr>
                <w:top w:val="nil"/>
                <w:left w:val="nil"/>
                <w:bottom w:val="nil"/>
                <w:right w:val="nil"/>
                <w:between w:val="nil"/>
              </w:pBdr>
              <w:jc w:val="center"/>
              <w:rPr>
                <w:color w:val="000000"/>
              </w:rPr>
            </w:pPr>
            <w:r w:rsidRPr="00EA10CF">
              <w:rPr>
                <w:color w:val="000000"/>
              </w:rPr>
              <w:t>20</w:t>
            </w:r>
          </w:p>
        </w:tc>
        <w:tc>
          <w:tcPr>
            <w:tcW w:w="757" w:type="pct"/>
            <w:vAlign w:val="bottom"/>
          </w:tcPr>
          <w:p w14:paraId="6808E901"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38DFA80D"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C494064" w14:textId="77777777" w:rsidTr="000308BA">
        <w:trPr>
          <w:trHeight w:val="23"/>
        </w:trPr>
        <w:tc>
          <w:tcPr>
            <w:tcW w:w="3032" w:type="pct"/>
            <w:vAlign w:val="bottom"/>
          </w:tcPr>
          <w:p w14:paraId="3EA45E8C" w14:textId="21872A89"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Other </w:t>
            </w:r>
          </w:p>
        </w:tc>
        <w:tc>
          <w:tcPr>
            <w:tcW w:w="455" w:type="pct"/>
            <w:vAlign w:val="bottom"/>
          </w:tcPr>
          <w:p w14:paraId="42CBFD65"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26C4F20C"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6C866E7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17217EC" w14:textId="77777777" w:rsidTr="000308BA">
        <w:trPr>
          <w:trHeight w:val="23"/>
        </w:trPr>
        <w:tc>
          <w:tcPr>
            <w:tcW w:w="3032" w:type="pct"/>
            <w:vAlign w:val="bottom"/>
          </w:tcPr>
          <w:p w14:paraId="2138491F" w14:textId="5977912D" w:rsidR="00D83E33" w:rsidRPr="00EA10CF" w:rsidRDefault="00D83E33" w:rsidP="001B330E">
            <w:pPr>
              <w:widowControl w:val="0"/>
              <w:pBdr>
                <w:top w:val="nil"/>
                <w:left w:val="nil"/>
                <w:bottom w:val="nil"/>
                <w:right w:val="nil"/>
                <w:between w:val="nil"/>
              </w:pBdr>
              <w:ind w:left="113" w:hanging="113"/>
              <w:rPr>
                <w:i/>
                <w:color w:val="FF0000"/>
              </w:rPr>
            </w:pPr>
          </w:p>
        </w:tc>
        <w:tc>
          <w:tcPr>
            <w:tcW w:w="455" w:type="pct"/>
            <w:vAlign w:val="bottom"/>
          </w:tcPr>
          <w:p w14:paraId="0759E96E" w14:textId="77777777" w:rsidR="00D83E33" w:rsidRPr="00EA10CF" w:rsidRDefault="00D83E33" w:rsidP="001B330E">
            <w:pPr>
              <w:widowControl w:val="0"/>
              <w:pBdr>
                <w:top w:val="nil"/>
                <w:left w:val="nil"/>
                <w:bottom w:val="nil"/>
                <w:right w:val="nil"/>
                <w:between w:val="nil"/>
              </w:pBdr>
              <w:jc w:val="center"/>
              <w:rPr>
                <w:i/>
                <w:color w:val="000000"/>
              </w:rPr>
            </w:pPr>
          </w:p>
        </w:tc>
        <w:tc>
          <w:tcPr>
            <w:tcW w:w="757" w:type="pct"/>
            <w:vAlign w:val="bottom"/>
          </w:tcPr>
          <w:p w14:paraId="1F5CD929"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4803B63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2FA989F" w14:textId="77777777" w:rsidTr="000308BA">
        <w:trPr>
          <w:trHeight w:val="23"/>
        </w:trPr>
        <w:tc>
          <w:tcPr>
            <w:tcW w:w="3032" w:type="pct"/>
            <w:vAlign w:val="bottom"/>
          </w:tcPr>
          <w:p w14:paraId="210C9E90" w14:textId="5B094928" w:rsidR="00D83E33" w:rsidRPr="00EA10CF" w:rsidRDefault="00D83E33" w:rsidP="001B330E">
            <w:pPr>
              <w:widowControl w:val="0"/>
              <w:pBdr>
                <w:top w:val="nil"/>
                <w:left w:val="nil"/>
                <w:bottom w:val="nil"/>
                <w:right w:val="nil"/>
                <w:between w:val="nil"/>
              </w:pBdr>
              <w:ind w:left="113" w:hanging="113"/>
              <w:rPr>
                <w:i/>
                <w:color w:val="FF0000"/>
              </w:rPr>
            </w:pPr>
          </w:p>
        </w:tc>
        <w:tc>
          <w:tcPr>
            <w:tcW w:w="455" w:type="pct"/>
            <w:vAlign w:val="bottom"/>
          </w:tcPr>
          <w:p w14:paraId="7C2BCE61" w14:textId="77777777" w:rsidR="00D83E33" w:rsidRPr="00EA10CF" w:rsidRDefault="00D83E33" w:rsidP="001B330E">
            <w:pPr>
              <w:widowControl w:val="0"/>
              <w:pBdr>
                <w:top w:val="nil"/>
                <w:left w:val="nil"/>
                <w:bottom w:val="nil"/>
                <w:right w:val="nil"/>
                <w:between w:val="nil"/>
              </w:pBdr>
              <w:jc w:val="center"/>
              <w:rPr>
                <w:i/>
                <w:color w:val="000000"/>
              </w:rPr>
            </w:pPr>
          </w:p>
        </w:tc>
        <w:tc>
          <w:tcPr>
            <w:tcW w:w="757" w:type="pct"/>
            <w:vAlign w:val="bottom"/>
          </w:tcPr>
          <w:p w14:paraId="379957CC"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vAlign w:val="bottom"/>
          </w:tcPr>
          <w:p w14:paraId="10CA10F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24EBAAD" w14:textId="77777777" w:rsidTr="000308BA">
        <w:trPr>
          <w:trHeight w:val="23"/>
        </w:trPr>
        <w:tc>
          <w:tcPr>
            <w:tcW w:w="3032" w:type="pct"/>
            <w:tcBorders>
              <w:bottom w:val="single" w:sz="4" w:space="0" w:color="000000"/>
            </w:tcBorders>
            <w:vAlign w:val="bottom"/>
          </w:tcPr>
          <w:p w14:paraId="52BDD604" w14:textId="77777777" w:rsidR="00D83E33" w:rsidRPr="00EA10CF" w:rsidRDefault="00BC4072" w:rsidP="001B330E">
            <w:pPr>
              <w:widowControl w:val="0"/>
              <w:ind w:left="113" w:hanging="113"/>
            </w:pPr>
            <w:r w:rsidRPr="00EA10CF">
              <w:t> </w:t>
            </w:r>
          </w:p>
        </w:tc>
        <w:tc>
          <w:tcPr>
            <w:tcW w:w="455" w:type="pct"/>
            <w:tcBorders>
              <w:bottom w:val="single" w:sz="4" w:space="0" w:color="000000"/>
            </w:tcBorders>
            <w:vAlign w:val="bottom"/>
          </w:tcPr>
          <w:p w14:paraId="57C83184"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tcBorders>
              <w:bottom w:val="single" w:sz="4" w:space="0" w:color="000000"/>
            </w:tcBorders>
            <w:vAlign w:val="bottom"/>
          </w:tcPr>
          <w:p w14:paraId="36207B88" w14:textId="77777777" w:rsidR="00D83E33" w:rsidRPr="00EA10CF" w:rsidRDefault="00D83E33" w:rsidP="001B330E">
            <w:pPr>
              <w:widowControl w:val="0"/>
              <w:pBdr>
                <w:top w:val="nil"/>
                <w:left w:val="nil"/>
                <w:bottom w:val="nil"/>
                <w:right w:val="nil"/>
                <w:between w:val="nil"/>
              </w:pBdr>
              <w:jc w:val="right"/>
              <w:rPr>
                <w:color w:val="000000"/>
              </w:rPr>
            </w:pPr>
          </w:p>
        </w:tc>
        <w:tc>
          <w:tcPr>
            <w:tcW w:w="757" w:type="pct"/>
            <w:tcBorders>
              <w:bottom w:val="single" w:sz="4" w:space="0" w:color="000000"/>
            </w:tcBorders>
            <w:vAlign w:val="bottom"/>
          </w:tcPr>
          <w:p w14:paraId="172FDD6F"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DB2BDFD" w14:textId="77777777" w:rsidTr="000308BA">
        <w:trPr>
          <w:trHeight w:val="23"/>
        </w:trPr>
        <w:tc>
          <w:tcPr>
            <w:tcW w:w="3032" w:type="pct"/>
            <w:vAlign w:val="bottom"/>
          </w:tcPr>
          <w:p w14:paraId="415C4009" w14:textId="77777777" w:rsidR="00D83E33" w:rsidRPr="00EA10CF" w:rsidRDefault="00BC4072" w:rsidP="001B330E">
            <w:pPr>
              <w:widowControl w:val="0"/>
              <w:ind w:left="113" w:hanging="113"/>
            </w:pPr>
            <w:r w:rsidRPr="00EA10CF">
              <w:t> </w:t>
            </w:r>
          </w:p>
        </w:tc>
        <w:tc>
          <w:tcPr>
            <w:tcW w:w="455" w:type="pct"/>
            <w:vAlign w:val="bottom"/>
          </w:tcPr>
          <w:p w14:paraId="0B117429"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vAlign w:val="bottom"/>
          </w:tcPr>
          <w:p w14:paraId="37A20909" w14:textId="77777777" w:rsidR="00D83E33" w:rsidRPr="00EA10CF" w:rsidRDefault="00D83E33" w:rsidP="001B330E">
            <w:pPr>
              <w:widowControl w:val="0"/>
              <w:pBdr>
                <w:top w:val="nil"/>
                <w:left w:val="nil"/>
                <w:bottom w:val="nil"/>
                <w:right w:val="nil"/>
                <w:between w:val="nil"/>
              </w:pBdr>
              <w:jc w:val="right"/>
              <w:rPr>
                <w:b/>
                <w:color w:val="000000"/>
              </w:rPr>
            </w:pPr>
          </w:p>
        </w:tc>
        <w:tc>
          <w:tcPr>
            <w:tcW w:w="757" w:type="pct"/>
            <w:vAlign w:val="bottom"/>
          </w:tcPr>
          <w:p w14:paraId="5E416453"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AF45A34" w14:textId="77777777" w:rsidTr="000308BA">
        <w:trPr>
          <w:trHeight w:val="23"/>
        </w:trPr>
        <w:tc>
          <w:tcPr>
            <w:tcW w:w="3032" w:type="pct"/>
            <w:vAlign w:val="bottom"/>
          </w:tcPr>
          <w:p w14:paraId="1D2F53BA"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administrative and other operating expenses</w:t>
            </w:r>
          </w:p>
        </w:tc>
        <w:tc>
          <w:tcPr>
            <w:tcW w:w="455" w:type="pct"/>
            <w:vAlign w:val="bottom"/>
          </w:tcPr>
          <w:p w14:paraId="3BABBE9E" w14:textId="77777777" w:rsidR="00D83E33" w:rsidRPr="00EA10CF" w:rsidRDefault="00D83E33" w:rsidP="001B330E">
            <w:pPr>
              <w:widowControl w:val="0"/>
              <w:pBdr>
                <w:top w:val="nil"/>
                <w:left w:val="nil"/>
                <w:bottom w:val="nil"/>
                <w:right w:val="nil"/>
                <w:between w:val="nil"/>
              </w:pBdr>
              <w:jc w:val="center"/>
              <w:rPr>
                <w:b/>
                <w:color w:val="000000"/>
              </w:rPr>
            </w:pPr>
          </w:p>
        </w:tc>
        <w:tc>
          <w:tcPr>
            <w:tcW w:w="757" w:type="pct"/>
            <w:vAlign w:val="bottom"/>
          </w:tcPr>
          <w:p w14:paraId="46BC8824" w14:textId="77777777" w:rsidR="00D83E33" w:rsidRPr="00EA10CF" w:rsidRDefault="00D83E33" w:rsidP="001B330E">
            <w:pPr>
              <w:widowControl w:val="0"/>
              <w:pBdr>
                <w:top w:val="nil"/>
                <w:left w:val="nil"/>
                <w:bottom w:val="nil"/>
                <w:right w:val="nil"/>
                <w:between w:val="nil"/>
              </w:pBdr>
              <w:jc w:val="right"/>
              <w:rPr>
                <w:b/>
                <w:color w:val="000000"/>
              </w:rPr>
            </w:pPr>
          </w:p>
        </w:tc>
        <w:tc>
          <w:tcPr>
            <w:tcW w:w="757" w:type="pct"/>
            <w:vAlign w:val="bottom"/>
          </w:tcPr>
          <w:p w14:paraId="49BFB7A0"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89CF167" w14:textId="77777777" w:rsidTr="000308BA">
        <w:trPr>
          <w:trHeight w:val="23"/>
        </w:trPr>
        <w:tc>
          <w:tcPr>
            <w:tcW w:w="3032" w:type="pct"/>
            <w:tcBorders>
              <w:bottom w:val="single" w:sz="12" w:space="0" w:color="000000"/>
            </w:tcBorders>
            <w:vAlign w:val="bottom"/>
          </w:tcPr>
          <w:p w14:paraId="6B355800" w14:textId="77777777" w:rsidR="00D83E33" w:rsidRPr="00EA10CF" w:rsidRDefault="00BC4072" w:rsidP="001B330E">
            <w:pPr>
              <w:widowControl w:val="0"/>
              <w:ind w:left="113" w:hanging="113"/>
            </w:pPr>
            <w:r w:rsidRPr="00EA10CF">
              <w:t> </w:t>
            </w:r>
          </w:p>
        </w:tc>
        <w:tc>
          <w:tcPr>
            <w:tcW w:w="455" w:type="pct"/>
            <w:tcBorders>
              <w:bottom w:val="single" w:sz="12" w:space="0" w:color="000000"/>
            </w:tcBorders>
            <w:vAlign w:val="bottom"/>
          </w:tcPr>
          <w:p w14:paraId="787DF367" w14:textId="77777777" w:rsidR="00D83E33" w:rsidRPr="00EA10CF" w:rsidRDefault="00D83E33" w:rsidP="001B330E">
            <w:pPr>
              <w:widowControl w:val="0"/>
              <w:pBdr>
                <w:top w:val="nil"/>
                <w:left w:val="nil"/>
                <w:bottom w:val="nil"/>
                <w:right w:val="nil"/>
                <w:between w:val="nil"/>
              </w:pBdr>
              <w:jc w:val="center"/>
              <w:rPr>
                <w:color w:val="000000"/>
              </w:rPr>
            </w:pPr>
          </w:p>
        </w:tc>
        <w:tc>
          <w:tcPr>
            <w:tcW w:w="757" w:type="pct"/>
            <w:tcBorders>
              <w:bottom w:val="single" w:sz="12" w:space="0" w:color="000000"/>
            </w:tcBorders>
            <w:vAlign w:val="bottom"/>
          </w:tcPr>
          <w:p w14:paraId="12EFBCEB" w14:textId="77777777" w:rsidR="00D83E33" w:rsidRPr="00EA10CF" w:rsidRDefault="00D83E33" w:rsidP="001B330E">
            <w:pPr>
              <w:widowControl w:val="0"/>
              <w:pBdr>
                <w:top w:val="nil"/>
                <w:left w:val="nil"/>
                <w:bottom w:val="nil"/>
                <w:right w:val="nil"/>
                <w:between w:val="nil"/>
              </w:pBdr>
              <w:jc w:val="right"/>
              <w:rPr>
                <w:b/>
                <w:color w:val="000000"/>
              </w:rPr>
            </w:pPr>
          </w:p>
        </w:tc>
        <w:tc>
          <w:tcPr>
            <w:tcW w:w="757" w:type="pct"/>
            <w:tcBorders>
              <w:bottom w:val="single" w:sz="12" w:space="0" w:color="000000"/>
            </w:tcBorders>
            <w:vAlign w:val="bottom"/>
          </w:tcPr>
          <w:p w14:paraId="122F38A6" w14:textId="77777777" w:rsidR="00D83E33" w:rsidRPr="00EA10CF" w:rsidRDefault="00D83E33" w:rsidP="001B330E">
            <w:pPr>
              <w:widowControl w:val="0"/>
              <w:pBdr>
                <w:top w:val="nil"/>
                <w:left w:val="nil"/>
                <w:bottom w:val="nil"/>
                <w:right w:val="nil"/>
                <w:between w:val="nil"/>
              </w:pBdr>
              <w:jc w:val="right"/>
              <w:rPr>
                <w:b/>
                <w:color w:val="000000"/>
              </w:rPr>
            </w:pPr>
          </w:p>
        </w:tc>
      </w:tr>
    </w:tbl>
    <w:p w14:paraId="3D531935" w14:textId="0E486D42" w:rsidR="000308BA" w:rsidRDefault="000308BA" w:rsidP="000308BA">
      <w:pPr>
        <w:widowControl w:val="0"/>
        <w:pBdr>
          <w:top w:val="nil"/>
          <w:left w:val="nil"/>
          <w:bottom w:val="nil"/>
          <w:right w:val="nil"/>
          <w:between w:val="nil"/>
        </w:pBdr>
        <w:spacing w:before="200" w:after="200"/>
        <w:jc w:val="both"/>
        <w:rPr>
          <w:i/>
          <w:color w:val="000000"/>
          <w:sz w:val="20"/>
          <w:szCs w:val="20"/>
        </w:rPr>
      </w:pPr>
      <w:r>
        <w:rPr>
          <w:b/>
          <w:i/>
          <w:color w:val="000000"/>
          <w:sz w:val="20"/>
          <w:szCs w:val="20"/>
        </w:rPr>
        <w:t xml:space="preserve">Staff costs. </w:t>
      </w:r>
      <w:r>
        <w:rPr>
          <w:color w:val="000000"/>
          <w:sz w:val="20"/>
          <w:szCs w:val="20"/>
        </w:rPr>
        <w:t xml:space="preserve">Wages, salaries, contributions to the state pension and social insurance funds, paid annual leave and sick leave, bonuses, and non-monetary benefits are accrued in the year in which the associated services are rendered by the employees of the Group. The Group has no legal or constructive obligation to make pension or similar benefit payments beyond the payments to the statutory defined contribution scheme. </w:t>
      </w:r>
    </w:p>
    <w:p w14:paraId="77E5BFA0" w14:textId="0B943BC5"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Included in staff costs are statutory pension contributions of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w:t>
      </w:r>
    </w:p>
    <w:p w14:paraId="43F55AB4" w14:textId="09A4FC38"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FF"/>
          <w:sz w:val="20"/>
          <w:szCs w:val="20"/>
        </w:rPr>
        <w:t xml:space="preserve">[Included in staff costs is the amount of </w:t>
      </w:r>
      <w:r w:rsidR="00D73799">
        <w:rPr>
          <w:color w:val="0000FF"/>
          <w:sz w:val="20"/>
          <w:szCs w:val="20"/>
        </w:rPr>
        <w:t>EUR</w:t>
      </w:r>
      <w:r>
        <w:rPr>
          <w:color w:val="0000FF"/>
          <w:sz w:val="20"/>
          <w:szCs w:val="20"/>
        </w:rPr>
        <w:t xml:space="preserve"> _____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 thousand), which represents share-based remuneration provided to the Group’s personnel directly by shareholders.]</w:t>
      </w:r>
      <w:r>
        <w:rPr>
          <w:color w:val="000000"/>
          <w:sz w:val="20"/>
          <w:szCs w:val="20"/>
        </w:rPr>
        <w:t xml:space="preserve"> </w:t>
      </w:r>
    </w:p>
    <w:p w14:paraId="36A595B7" w14:textId="50C5B049" w:rsidR="00D83E33" w:rsidRDefault="00D83E33" w:rsidP="001B330E">
      <w:pPr>
        <w:widowControl w:val="0"/>
        <w:pBdr>
          <w:top w:val="nil"/>
          <w:left w:val="nil"/>
          <w:bottom w:val="nil"/>
          <w:right w:val="nil"/>
          <w:between w:val="nil"/>
        </w:pBdr>
        <w:spacing w:before="200" w:after="200"/>
        <w:jc w:val="both"/>
        <w:rPr>
          <w:i/>
          <w:color w:val="FF0000"/>
          <w:sz w:val="20"/>
          <w:szCs w:val="20"/>
        </w:rPr>
      </w:pPr>
    </w:p>
    <w:p w14:paraId="096D5DA8" w14:textId="757CBBFD" w:rsidR="00D83E33" w:rsidRDefault="00BC4072" w:rsidP="001B330E">
      <w:pPr>
        <w:widowControl w:val="0"/>
        <w:pBdr>
          <w:top w:val="nil"/>
          <w:left w:val="nil"/>
          <w:bottom w:val="nil"/>
          <w:right w:val="nil"/>
          <w:between w:val="nil"/>
        </w:pBdr>
        <w:spacing w:before="200" w:after="200"/>
        <w:jc w:val="both"/>
        <w:rPr>
          <w:color w:val="000000"/>
          <w:sz w:val="20"/>
          <w:szCs w:val="20"/>
        </w:rPr>
      </w:pPr>
      <w:r w:rsidRPr="000308BA">
        <w:rPr>
          <w:b/>
          <w:bCs/>
          <w:i/>
          <w:iCs/>
          <w:color w:val="000000"/>
          <w:sz w:val="20"/>
          <w:szCs w:val="20"/>
        </w:rPr>
        <w:t>Direct operating expenses for investment properties</w:t>
      </w:r>
      <w:r>
        <w:rPr>
          <w:color w:val="000000"/>
          <w:sz w:val="20"/>
          <w:szCs w:val="20"/>
        </w:rPr>
        <w:t xml:space="preserve"> that generate rental income amounted to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and consisted of costs of utilities and staff costs. Direct operating expenses for investment properties that did not generate rental income amounted to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 thousand).</w:t>
      </w:r>
    </w:p>
    <w:p w14:paraId="6512EE7C" w14:textId="060561B2" w:rsidR="00093671" w:rsidRDefault="00093671" w:rsidP="001B330E">
      <w:pPr>
        <w:widowControl w:val="0"/>
        <w:pBdr>
          <w:top w:val="nil"/>
          <w:left w:val="nil"/>
          <w:bottom w:val="nil"/>
          <w:right w:val="nil"/>
          <w:between w:val="nil"/>
        </w:pBdr>
        <w:spacing w:before="200" w:after="200"/>
        <w:jc w:val="both"/>
        <w:rPr>
          <w:color w:val="0000FF"/>
          <w:sz w:val="20"/>
          <w:szCs w:val="20"/>
          <w:lang w:val="sr-Cyrl-RS"/>
        </w:rPr>
      </w:pPr>
      <w:r w:rsidRPr="00093671">
        <w:rPr>
          <w:b/>
          <w:i/>
          <w:color w:val="0000FF"/>
          <w:sz w:val="20"/>
          <w:szCs w:val="20"/>
        </w:rPr>
        <w:t>[Sales and purchases of foreign currencies and currency conversion.</w:t>
      </w:r>
      <w:r w:rsidRPr="00093671">
        <w:rPr>
          <w:color w:val="0000FF"/>
          <w:sz w:val="20"/>
          <w:szCs w:val="20"/>
        </w:rPr>
        <w:t xml:space="preserve"> The Group sells and purchases foreign currencies in the cash offices and through the bank accounts, as well as exchanges foreign currencies. The transactions are performed at the exchange rates established by the Group, which are different from the official spot exchange rates at the particular dates. The differences between the official rates and Group rates are recognised as [gains less losses from trading in foreign currencies] at a point in time when a particular performance obligation is satisfied.]</w:t>
      </w:r>
    </w:p>
    <w:p w14:paraId="0FD1FDDE" w14:textId="77777777" w:rsidR="00071B94" w:rsidRDefault="00071B94" w:rsidP="001B330E">
      <w:pPr>
        <w:widowControl w:val="0"/>
        <w:pBdr>
          <w:top w:val="nil"/>
          <w:left w:val="nil"/>
          <w:bottom w:val="nil"/>
          <w:right w:val="nil"/>
          <w:between w:val="nil"/>
        </w:pBdr>
        <w:spacing w:before="200" w:after="200"/>
        <w:jc w:val="both"/>
        <w:rPr>
          <w:color w:val="0000FF"/>
          <w:sz w:val="20"/>
          <w:szCs w:val="20"/>
          <w:lang w:val="sr-Cyrl-RS"/>
        </w:rPr>
      </w:pPr>
    </w:p>
    <w:p w14:paraId="3AF4A6D0" w14:textId="77777777" w:rsidR="00071B94" w:rsidRDefault="00071B94" w:rsidP="001B330E">
      <w:pPr>
        <w:widowControl w:val="0"/>
        <w:pBdr>
          <w:top w:val="nil"/>
          <w:left w:val="nil"/>
          <w:bottom w:val="nil"/>
          <w:right w:val="nil"/>
          <w:between w:val="nil"/>
        </w:pBdr>
        <w:spacing w:before="200" w:after="200"/>
        <w:jc w:val="both"/>
        <w:rPr>
          <w:color w:val="0000FF"/>
          <w:sz w:val="20"/>
          <w:szCs w:val="20"/>
          <w:lang w:val="sr-Cyrl-RS"/>
        </w:rPr>
      </w:pPr>
    </w:p>
    <w:p w14:paraId="48E94966" w14:textId="77777777" w:rsidR="00071B94" w:rsidRPr="00071B94" w:rsidRDefault="00071B94" w:rsidP="001B330E">
      <w:pPr>
        <w:widowControl w:val="0"/>
        <w:pBdr>
          <w:top w:val="nil"/>
          <w:left w:val="nil"/>
          <w:bottom w:val="nil"/>
          <w:right w:val="nil"/>
          <w:between w:val="nil"/>
        </w:pBdr>
        <w:spacing w:before="200" w:after="200"/>
        <w:jc w:val="both"/>
        <w:rPr>
          <w:color w:val="0000FF"/>
          <w:sz w:val="20"/>
          <w:szCs w:val="20"/>
        </w:rPr>
      </w:pPr>
    </w:p>
    <w:p w14:paraId="43AEB725" w14:textId="77777777" w:rsidR="00D83E33" w:rsidRDefault="00BC4072" w:rsidP="001B330E">
      <w:pPr>
        <w:pStyle w:val="Heading1"/>
      </w:pPr>
      <w:bookmarkStart w:id="102" w:name="_Toc179196038"/>
      <w:r w:rsidRPr="004607BE">
        <w:lastRenderedPageBreak/>
        <w:t>Income</w:t>
      </w:r>
      <w:r>
        <w:t xml:space="preserve"> Taxes</w:t>
      </w:r>
      <w:bookmarkEnd w:id="102"/>
    </w:p>
    <w:p w14:paraId="20B4DA5D"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(a) </w:t>
      </w:r>
      <w:r>
        <w:rPr>
          <w:b/>
          <w:i/>
          <w:color w:val="000000"/>
          <w:sz w:val="20"/>
          <w:szCs w:val="20"/>
        </w:rPr>
        <w:tab/>
        <w:t>Components of income tax expense / (benefit)</w:t>
      </w:r>
    </w:p>
    <w:p w14:paraId="5529E60B" w14:textId="4B08B171"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Income tax expense </w:t>
      </w:r>
      <w:r>
        <w:rPr>
          <w:color w:val="0000FF"/>
          <w:sz w:val="20"/>
          <w:szCs w:val="20"/>
        </w:rPr>
        <w:t>[credit] [recorded in profit or loss for the year]</w:t>
      </w:r>
      <w:r>
        <w:rPr>
          <w:color w:val="000000"/>
          <w:sz w:val="20"/>
          <w:szCs w:val="20"/>
        </w:rPr>
        <w:t xml:space="preserve"> comprises the following: </w:t>
      </w:r>
    </w:p>
    <w:tbl>
      <w:tblPr>
        <w:tblStyle w:val="affffffffffff7"/>
        <w:tblW w:w="5000" w:type="pct"/>
        <w:tblLayout w:type="fixed"/>
        <w:tblLook w:val="0000" w:firstRow="0" w:lastRow="0" w:firstColumn="0" w:lastColumn="0" w:noHBand="0" w:noVBand="0"/>
      </w:tblPr>
      <w:tblGrid>
        <w:gridCol w:w="6295"/>
        <w:gridCol w:w="1530"/>
        <w:gridCol w:w="1530"/>
      </w:tblGrid>
      <w:tr w:rsidR="00D83E33" w:rsidRPr="00EA10CF" w14:paraId="5AE5D20D" w14:textId="77777777" w:rsidTr="001B330E">
        <w:trPr>
          <w:trHeight w:val="23"/>
        </w:trPr>
        <w:tc>
          <w:tcPr>
            <w:tcW w:w="3364" w:type="pct"/>
            <w:tcBorders>
              <w:bottom w:val="single" w:sz="4" w:space="0" w:color="000000"/>
            </w:tcBorders>
            <w:vAlign w:val="bottom"/>
          </w:tcPr>
          <w:p w14:paraId="436B200B" w14:textId="68815E12" w:rsidR="00D83E33" w:rsidRPr="00EA10CF" w:rsidRDefault="00313B4D" w:rsidP="001B330E">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818" w:type="pct"/>
            <w:tcBorders>
              <w:bottom w:val="single" w:sz="4" w:space="0" w:color="000000"/>
            </w:tcBorders>
            <w:vAlign w:val="bottom"/>
          </w:tcPr>
          <w:p w14:paraId="7FB91CFC" w14:textId="4D44C39C" w:rsidR="00D83E33" w:rsidRPr="00EA10CF" w:rsidRDefault="00541EBC" w:rsidP="001B330E">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7B99EB53" w14:textId="62110452" w:rsidR="00D83E33" w:rsidRPr="00EA10CF" w:rsidRDefault="00541EBC" w:rsidP="001B330E">
            <w:pPr>
              <w:widowControl w:val="0"/>
              <w:pBdr>
                <w:top w:val="nil"/>
                <w:left w:val="nil"/>
                <w:bottom w:val="nil"/>
                <w:right w:val="nil"/>
                <w:between w:val="nil"/>
              </w:pBdr>
              <w:jc w:val="right"/>
              <w:rPr>
                <w:b/>
                <w:color w:val="000000"/>
              </w:rPr>
            </w:pPr>
            <w:r>
              <w:rPr>
                <w:b/>
                <w:color w:val="000000"/>
              </w:rPr>
              <w:t>2023</w:t>
            </w:r>
          </w:p>
        </w:tc>
      </w:tr>
      <w:tr w:rsidR="00D83E33" w:rsidRPr="00EA10CF" w14:paraId="5F2ACE7A" w14:textId="77777777" w:rsidTr="001B330E">
        <w:trPr>
          <w:trHeight w:val="23"/>
        </w:trPr>
        <w:tc>
          <w:tcPr>
            <w:tcW w:w="3364" w:type="pct"/>
            <w:vAlign w:val="bottom"/>
          </w:tcPr>
          <w:p w14:paraId="3DB82326"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 </w:t>
            </w:r>
          </w:p>
        </w:tc>
        <w:tc>
          <w:tcPr>
            <w:tcW w:w="818" w:type="pct"/>
            <w:vAlign w:val="bottom"/>
          </w:tcPr>
          <w:p w14:paraId="5C294E42"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37AC1192"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349F24D" w14:textId="77777777" w:rsidTr="001B330E">
        <w:trPr>
          <w:trHeight w:val="23"/>
        </w:trPr>
        <w:tc>
          <w:tcPr>
            <w:tcW w:w="3364" w:type="pct"/>
            <w:vAlign w:val="bottom"/>
          </w:tcPr>
          <w:p w14:paraId="08400041"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 xml:space="preserve">Current tax </w:t>
            </w:r>
          </w:p>
        </w:tc>
        <w:tc>
          <w:tcPr>
            <w:tcW w:w="818" w:type="pct"/>
            <w:vAlign w:val="bottom"/>
          </w:tcPr>
          <w:p w14:paraId="1A56809A"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0390564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4E12378" w14:textId="77777777" w:rsidTr="001B330E">
        <w:trPr>
          <w:trHeight w:val="23"/>
        </w:trPr>
        <w:tc>
          <w:tcPr>
            <w:tcW w:w="3364" w:type="pct"/>
            <w:vAlign w:val="bottom"/>
          </w:tcPr>
          <w:p w14:paraId="56E14305"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Deferred tax</w:t>
            </w:r>
          </w:p>
        </w:tc>
        <w:tc>
          <w:tcPr>
            <w:tcW w:w="818" w:type="pct"/>
            <w:vAlign w:val="bottom"/>
          </w:tcPr>
          <w:p w14:paraId="1AD508DC"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79C1A4ED"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09D7A8C" w14:textId="77777777" w:rsidTr="001B330E">
        <w:trPr>
          <w:trHeight w:val="23"/>
        </w:trPr>
        <w:tc>
          <w:tcPr>
            <w:tcW w:w="3364" w:type="pct"/>
            <w:tcBorders>
              <w:bottom w:val="single" w:sz="4" w:space="0" w:color="000000"/>
            </w:tcBorders>
            <w:vAlign w:val="bottom"/>
          </w:tcPr>
          <w:p w14:paraId="1C1A6061" w14:textId="77777777" w:rsidR="00D83E33" w:rsidRPr="00EA10CF" w:rsidRDefault="00BC4072" w:rsidP="001B330E">
            <w:pPr>
              <w:widowControl w:val="0"/>
              <w:pBdr>
                <w:top w:val="nil"/>
                <w:left w:val="nil"/>
                <w:bottom w:val="nil"/>
                <w:right w:val="nil"/>
                <w:between w:val="nil"/>
              </w:pBdr>
              <w:rPr>
                <w:color w:val="000000"/>
              </w:rPr>
            </w:pPr>
            <w:r w:rsidRPr="00EA10CF">
              <w:rPr>
                <w:color w:val="000000"/>
              </w:rPr>
              <w:t> </w:t>
            </w:r>
          </w:p>
        </w:tc>
        <w:tc>
          <w:tcPr>
            <w:tcW w:w="818" w:type="pct"/>
            <w:tcBorders>
              <w:bottom w:val="single" w:sz="4" w:space="0" w:color="000000"/>
            </w:tcBorders>
            <w:vAlign w:val="bottom"/>
          </w:tcPr>
          <w:p w14:paraId="3AF01C0A"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28708B5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1AC00E9" w14:textId="77777777" w:rsidTr="001B330E">
        <w:trPr>
          <w:trHeight w:val="23"/>
        </w:trPr>
        <w:tc>
          <w:tcPr>
            <w:tcW w:w="3364" w:type="pct"/>
            <w:vAlign w:val="bottom"/>
          </w:tcPr>
          <w:p w14:paraId="3472F15A" w14:textId="77777777" w:rsidR="00D83E33" w:rsidRPr="00EA10CF" w:rsidRDefault="00BC4072" w:rsidP="001B330E">
            <w:pPr>
              <w:widowControl w:val="0"/>
              <w:rPr>
                <w:b/>
              </w:rPr>
            </w:pPr>
            <w:r w:rsidRPr="00EA10CF">
              <w:t> </w:t>
            </w:r>
          </w:p>
        </w:tc>
        <w:tc>
          <w:tcPr>
            <w:tcW w:w="818" w:type="pct"/>
            <w:vAlign w:val="bottom"/>
          </w:tcPr>
          <w:p w14:paraId="38A1CEC8"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32869FC4"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C25796D" w14:textId="77777777" w:rsidTr="001B330E">
        <w:trPr>
          <w:trHeight w:val="23"/>
        </w:trPr>
        <w:tc>
          <w:tcPr>
            <w:tcW w:w="3364" w:type="pct"/>
            <w:vAlign w:val="bottom"/>
          </w:tcPr>
          <w:p w14:paraId="6EABDB42" w14:textId="77777777" w:rsidR="00D83E33" w:rsidRPr="00EA10CF" w:rsidRDefault="00BC4072" w:rsidP="001B330E">
            <w:pPr>
              <w:widowControl w:val="0"/>
              <w:pBdr>
                <w:top w:val="nil"/>
                <w:left w:val="nil"/>
                <w:bottom w:val="nil"/>
                <w:right w:val="nil"/>
                <w:between w:val="nil"/>
              </w:pBdr>
              <w:rPr>
                <w:b/>
                <w:color w:val="000000"/>
              </w:rPr>
            </w:pPr>
            <w:r w:rsidRPr="00EA10CF">
              <w:rPr>
                <w:b/>
                <w:color w:val="000000"/>
              </w:rPr>
              <w:t>Income tax expense/(credit) for the year</w:t>
            </w:r>
          </w:p>
        </w:tc>
        <w:tc>
          <w:tcPr>
            <w:tcW w:w="818" w:type="pct"/>
            <w:vAlign w:val="bottom"/>
          </w:tcPr>
          <w:p w14:paraId="5207737A"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02E5FCF2"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E32E7B3" w14:textId="77777777" w:rsidTr="001B330E">
        <w:trPr>
          <w:trHeight w:val="23"/>
        </w:trPr>
        <w:tc>
          <w:tcPr>
            <w:tcW w:w="3364" w:type="pct"/>
            <w:tcBorders>
              <w:bottom w:val="single" w:sz="12" w:space="0" w:color="000000"/>
            </w:tcBorders>
            <w:vAlign w:val="bottom"/>
          </w:tcPr>
          <w:p w14:paraId="54B01634" w14:textId="77777777" w:rsidR="00D83E33" w:rsidRPr="00EA10CF" w:rsidRDefault="00BC4072" w:rsidP="001B330E">
            <w:pPr>
              <w:widowControl w:val="0"/>
              <w:rPr>
                <w:b/>
              </w:rPr>
            </w:pPr>
            <w:r w:rsidRPr="00EA10CF">
              <w:t> </w:t>
            </w:r>
          </w:p>
        </w:tc>
        <w:tc>
          <w:tcPr>
            <w:tcW w:w="818" w:type="pct"/>
            <w:tcBorders>
              <w:bottom w:val="single" w:sz="12" w:space="0" w:color="000000"/>
            </w:tcBorders>
            <w:vAlign w:val="bottom"/>
          </w:tcPr>
          <w:p w14:paraId="02509DF0"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69C7B9E1" w14:textId="77777777" w:rsidR="00D83E33" w:rsidRPr="00EA10CF" w:rsidRDefault="00D83E33" w:rsidP="001B330E">
            <w:pPr>
              <w:widowControl w:val="0"/>
              <w:pBdr>
                <w:top w:val="nil"/>
                <w:left w:val="nil"/>
                <w:bottom w:val="nil"/>
                <w:right w:val="nil"/>
                <w:between w:val="nil"/>
              </w:pBdr>
              <w:jc w:val="right"/>
              <w:rPr>
                <w:b/>
                <w:color w:val="000000"/>
              </w:rPr>
            </w:pPr>
          </w:p>
        </w:tc>
      </w:tr>
    </w:tbl>
    <w:p w14:paraId="51443A88" w14:textId="64BD20A4"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 xml:space="preserve">[Income taxes have been provided for in the [consolidated] financial statements in accordance with legislation enacted or substantively enacted by the end of the reporting period. The income tax charge [credit] comprises current tax and deferred tax and is recognised in profit or loss for the year, except if it is recognised in other comprehensive income or directly in equity because it relates to transactions that are also recognised, in the same or a different period, in other comprehensive income or directly in equity. </w:t>
      </w:r>
    </w:p>
    <w:p w14:paraId="41865018" w14:textId="7777777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[The tax benefits of distributions on perpetual bonds classified as equity (treated as liabilities for tax purposes) are recognised in profit or loss because these tax benefits are linked more directly to past transactions or events that generated distributable profits than to the distributions to owners.]</w:t>
      </w:r>
    </w:p>
    <w:p w14:paraId="58BB76A5" w14:textId="469A313C" w:rsidR="00093671" w:rsidRPr="00093671" w:rsidRDefault="00093671" w:rsidP="00093671">
      <w:pPr>
        <w:widowControl w:val="0"/>
        <w:pBdr>
          <w:top w:val="nil"/>
          <w:left w:val="nil"/>
          <w:bottom w:val="nil"/>
          <w:right w:val="nil"/>
          <w:between w:val="nil"/>
        </w:pBdr>
        <w:spacing w:before="200" w:after="200"/>
        <w:jc w:val="both"/>
        <w:rPr>
          <w:b/>
          <w:i/>
          <w:color w:val="0000FF"/>
          <w:sz w:val="20"/>
          <w:szCs w:val="20"/>
        </w:rPr>
      </w:pPr>
      <w:r w:rsidRPr="00093671">
        <w:rPr>
          <w:color w:val="0000FF"/>
          <w:sz w:val="20"/>
          <w:szCs w:val="20"/>
        </w:rPr>
        <w:t>Current tax is the amount expected to be paid to, or recovered from, the taxation authorities in respect of taxable profits or losses for the current and prior periods. Taxable profits or losses are based on estimates if the [consolidated] financial statements are authorised prior to filing relevant tax returns. Taxes other than on income are recorded within administrative and other operating expenses.]</w:t>
      </w:r>
    </w:p>
    <w:p w14:paraId="2666DD8A" w14:textId="245F95BA"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 xml:space="preserve">[Deferred income tax is provided using the balance sheet liability method for tax loss carry forwards and temporary differences arising between the tax bases of assets and liabilities and their carrying amounts for financial reporting purposes. </w:t>
      </w:r>
    </w:p>
    <w:p w14:paraId="534DB027" w14:textId="7777777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 xml:space="preserve">In accordance with the initial recognition exemption, deferred taxes are not recorded for temporary differences on initial recognition of an asset or a liability in a transaction other than a business combination if the transaction, when initially recorded, affects neither accounting nor taxable profit. [Deferred tax liabilities are not recorded for temporary differences on initial recognition of goodwill, and subsequently for goodwill which is not deductible for tax purposes.] Deferred tax balances are measured at tax rates enacted or substantively enacted at the end of the reporting period, which are expected to apply to the period when the temporary differences will reverse or the tax loss carry forwards will be utilised. Deferred tax assets and liabilities are netted only within the individual companies of the Group. </w:t>
      </w:r>
    </w:p>
    <w:p w14:paraId="666BAAC6" w14:textId="7777777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[Tax deduction for lease payments is allocated to depreciation of right of use asset and interest cost on the lease liability. As a result, no temporary differences arise upon initial recognition of a new lease where the Group is a lessee.]</w:t>
      </w:r>
    </w:p>
    <w:p w14:paraId="4B834944" w14:textId="77777777"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 xml:space="preserve">Deferred tax assets for deductible temporary differences and tax loss carry forwards are recorded only to the extent that it is probable that future taxable profit will be available against which the deductions can be utilised. </w:t>
      </w:r>
    </w:p>
    <w:p w14:paraId="069E9FA8" w14:textId="01FFCCA0"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Deferred income tax is not recognised on post-acquisition retained earnings and other post acquisition movements in reserves of subsidiaries where the Group controls the subsidiary’s dividend policy, and it is probable that the difference will not reverse through dividends or otherwise in the foreseeable future.]</w:t>
      </w:r>
    </w:p>
    <w:p w14:paraId="6638F5DC" w14:textId="77777777" w:rsidR="002A5F5D" w:rsidRDefault="002A5F5D" w:rsidP="002A5F5D">
      <w:pPr>
        <w:pStyle w:val="Continued"/>
      </w:pPr>
      <w:r>
        <w:lastRenderedPageBreak/>
        <w:t>36</w:t>
      </w:r>
      <w:r>
        <w:tab/>
        <w:t>Income Taxes (Continued)</w:t>
      </w:r>
    </w:p>
    <w:p w14:paraId="36FE1E55" w14:textId="614B4338" w:rsidR="00093671" w:rsidRPr="00093671" w:rsidRDefault="00093671">
      <w:pPr>
        <w:widowControl w:val="0"/>
        <w:pBdr>
          <w:top w:val="nil"/>
          <w:left w:val="nil"/>
          <w:bottom w:val="nil"/>
          <w:right w:val="nil"/>
          <w:between w:val="nil"/>
        </w:pBdr>
        <w:spacing w:before="200" w:after="200"/>
        <w:jc w:val="both"/>
        <w:rPr>
          <w:color w:val="0000FF"/>
          <w:sz w:val="20"/>
          <w:szCs w:val="20"/>
        </w:rPr>
      </w:pPr>
      <w:r w:rsidRPr="00093671">
        <w:rPr>
          <w:b/>
          <w:i/>
          <w:color w:val="0000FF"/>
          <w:sz w:val="20"/>
          <w:szCs w:val="20"/>
        </w:rPr>
        <w:t>[Uncertain tax positions.</w:t>
      </w:r>
      <w:r w:rsidRPr="00093671">
        <w:rPr>
          <w:color w:val="0000FF"/>
          <w:sz w:val="20"/>
          <w:szCs w:val="20"/>
        </w:rPr>
        <w:t xml:space="preserve"> The Group's uncertain tax positions are reassessed by management at the end of each reporting period. Liabilities are recorded for income tax positions that are determined by management as more likely than not to result in additional taxes being levied if the positions were to be challenged by the tax authorities. The assessment is based on the interpretation of tax laws that have been enacted or substantively enacted by the end of the reporting period, and any known court or other rulings on such issues. Liabilities for penalties, interest and taxes other than on income are recognised based on management’s best estimate of the expenditure required to settle the obligations at the end of the reporting period.]</w:t>
      </w:r>
    </w:p>
    <w:p w14:paraId="0DBF070D" w14:textId="6E2906FE" w:rsidR="00D83E33" w:rsidRDefault="00BC4072">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(b) </w:t>
      </w:r>
      <w:r>
        <w:rPr>
          <w:b/>
          <w:i/>
          <w:color w:val="000000"/>
          <w:sz w:val="20"/>
          <w:szCs w:val="20"/>
        </w:rPr>
        <w:tab/>
        <w:t>Reconciliation between the tax expense and profit or loss multiplied by applicable tax rate</w:t>
      </w:r>
    </w:p>
    <w:p w14:paraId="747E32B2" w14:textId="64B2C778" w:rsidR="00D83E33" w:rsidRDefault="00BC4072">
      <w:pPr>
        <w:widowControl w:val="0"/>
        <w:pBdr>
          <w:top w:val="nil"/>
          <w:left w:val="nil"/>
          <w:bottom w:val="nil"/>
          <w:right w:val="nil"/>
          <w:between w:val="nil"/>
        </w:pBdr>
        <w:spacing w:before="200" w:after="200"/>
        <w:jc w:val="both"/>
        <w:rPr>
          <w:b/>
          <w:i/>
          <w:color w:val="000000"/>
          <w:sz w:val="20"/>
          <w:szCs w:val="20"/>
        </w:rPr>
      </w:pPr>
      <w:r>
        <w:rPr>
          <w:color w:val="000000"/>
          <w:sz w:val="20"/>
          <w:szCs w:val="20"/>
        </w:rPr>
        <w:t xml:space="preserve">The income tax rate applicable to the majority of the Group’s </w:t>
      </w:r>
      <w:r w:rsidR="00541EBC">
        <w:rPr>
          <w:color w:val="000000"/>
          <w:sz w:val="20"/>
          <w:szCs w:val="20"/>
        </w:rPr>
        <w:t>2024</w:t>
      </w:r>
      <w:r>
        <w:rPr>
          <w:color w:val="000000"/>
          <w:sz w:val="20"/>
          <w:szCs w:val="20"/>
        </w:rPr>
        <w:t xml:space="preserve"> income is 2</w:t>
      </w:r>
      <w:r w:rsidR="007347D3">
        <w:rPr>
          <w:color w:val="000000"/>
          <w:sz w:val="20"/>
          <w:szCs w:val="20"/>
        </w:rPr>
        <w:t>1</w:t>
      </w:r>
      <w:r>
        <w:rPr>
          <w:color w:val="000000"/>
          <w:sz w:val="20"/>
          <w:szCs w:val="20"/>
        </w:rPr>
        <w:t>% (</w:t>
      </w:r>
      <w:r w:rsidR="00541EBC">
        <w:rPr>
          <w:color w:val="000000"/>
          <w:sz w:val="20"/>
          <w:szCs w:val="20"/>
        </w:rPr>
        <w:t>2023</w:t>
      </w:r>
      <w:r>
        <w:rPr>
          <w:color w:val="000000"/>
          <w:sz w:val="20"/>
          <w:szCs w:val="20"/>
        </w:rPr>
        <w:t xml:space="preserve">: </w:t>
      </w:r>
      <w:r w:rsidR="007347D3">
        <w:rPr>
          <w:color w:val="000000"/>
          <w:sz w:val="20"/>
          <w:szCs w:val="20"/>
        </w:rPr>
        <w:t>21</w:t>
      </w:r>
      <w:r>
        <w:rPr>
          <w:color w:val="000000"/>
          <w:sz w:val="20"/>
          <w:szCs w:val="20"/>
        </w:rPr>
        <w:t>%). The income tax rate applicable to the majority of income of subsidiaries ranges from _____% to _____% (</w:t>
      </w:r>
      <w:r w:rsidR="00541EBC">
        <w:rPr>
          <w:color w:val="000000"/>
          <w:sz w:val="20"/>
          <w:szCs w:val="20"/>
        </w:rPr>
        <w:t>2023</w:t>
      </w:r>
      <w:r>
        <w:rPr>
          <w:color w:val="000000"/>
          <w:sz w:val="20"/>
          <w:szCs w:val="20"/>
        </w:rPr>
        <w:t>: from _____% to _____%). A reconciliation between the expected and the actual taxation charge is provided below.</w:t>
      </w:r>
    </w:p>
    <w:tbl>
      <w:tblPr>
        <w:tblStyle w:val="affffffffffff8"/>
        <w:tblW w:w="5000" w:type="pct"/>
        <w:tblLayout w:type="fixed"/>
        <w:tblLook w:val="0000" w:firstRow="0" w:lastRow="0" w:firstColumn="0" w:lastColumn="0" w:noHBand="0" w:noVBand="0"/>
      </w:tblPr>
      <w:tblGrid>
        <w:gridCol w:w="6295"/>
        <w:gridCol w:w="1530"/>
        <w:gridCol w:w="1530"/>
      </w:tblGrid>
      <w:tr w:rsidR="00D83E33" w:rsidRPr="00EA10CF" w14:paraId="6A23A57E" w14:textId="77777777" w:rsidTr="001B330E">
        <w:trPr>
          <w:trHeight w:val="23"/>
        </w:trPr>
        <w:tc>
          <w:tcPr>
            <w:tcW w:w="3364" w:type="pct"/>
            <w:tcBorders>
              <w:bottom w:val="single" w:sz="4" w:space="0" w:color="000000"/>
            </w:tcBorders>
            <w:vAlign w:val="bottom"/>
          </w:tcPr>
          <w:p w14:paraId="286BC09D" w14:textId="26F7BACF"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18" w:type="pct"/>
            <w:tcBorders>
              <w:bottom w:val="single" w:sz="4" w:space="0" w:color="000000"/>
            </w:tcBorders>
            <w:vAlign w:val="bottom"/>
          </w:tcPr>
          <w:p w14:paraId="48C91AE1" w14:textId="399B3EB4"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66190D64" w14:textId="13C15FC0"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501411B5" w14:textId="77777777" w:rsidTr="001B330E">
        <w:trPr>
          <w:trHeight w:val="23"/>
        </w:trPr>
        <w:tc>
          <w:tcPr>
            <w:tcW w:w="3364" w:type="pct"/>
            <w:vAlign w:val="bottom"/>
          </w:tcPr>
          <w:p w14:paraId="7490CFC0" w14:textId="77777777" w:rsidR="00D83E33" w:rsidRPr="00EA10CF" w:rsidRDefault="00BC4072" w:rsidP="001B330E">
            <w:pPr>
              <w:widowControl w:val="0"/>
              <w:ind w:left="113" w:hanging="113"/>
            </w:pPr>
            <w:r w:rsidRPr="00EA10CF">
              <w:t> </w:t>
            </w:r>
          </w:p>
        </w:tc>
        <w:tc>
          <w:tcPr>
            <w:tcW w:w="818" w:type="pct"/>
            <w:vAlign w:val="bottom"/>
          </w:tcPr>
          <w:p w14:paraId="727EF80D" w14:textId="77777777" w:rsidR="00D83E33" w:rsidRPr="00EA10CF" w:rsidRDefault="00D83E33">
            <w:pPr>
              <w:widowControl w:val="0"/>
              <w:jc w:val="right"/>
            </w:pPr>
          </w:p>
        </w:tc>
        <w:tc>
          <w:tcPr>
            <w:tcW w:w="818" w:type="pct"/>
            <w:vAlign w:val="bottom"/>
          </w:tcPr>
          <w:p w14:paraId="0BFEFBF1" w14:textId="77777777" w:rsidR="00D83E33" w:rsidRPr="00EA10CF" w:rsidRDefault="00D83E33">
            <w:pPr>
              <w:widowControl w:val="0"/>
              <w:jc w:val="right"/>
            </w:pPr>
          </w:p>
        </w:tc>
      </w:tr>
      <w:tr w:rsidR="00D83E33" w:rsidRPr="00EA10CF" w14:paraId="5551B07F" w14:textId="77777777" w:rsidTr="001B330E">
        <w:trPr>
          <w:trHeight w:val="23"/>
        </w:trPr>
        <w:tc>
          <w:tcPr>
            <w:tcW w:w="3364" w:type="pct"/>
            <w:vAlign w:val="bottom"/>
          </w:tcPr>
          <w:p w14:paraId="2CF83FB2" w14:textId="004B7746"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Profit/(loss) before tax </w:t>
            </w:r>
          </w:p>
        </w:tc>
        <w:tc>
          <w:tcPr>
            <w:tcW w:w="818" w:type="pct"/>
            <w:vAlign w:val="bottom"/>
          </w:tcPr>
          <w:p w14:paraId="4AB05B91"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6AB5A396"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BB7891C" w14:textId="77777777" w:rsidTr="001B330E">
        <w:trPr>
          <w:trHeight w:val="23"/>
        </w:trPr>
        <w:tc>
          <w:tcPr>
            <w:tcW w:w="3364" w:type="pct"/>
            <w:tcBorders>
              <w:bottom w:val="single" w:sz="4" w:space="0" w:color="000000"/>
            </w:tcBorders>
            <w:vAlign w:val="bottom"/>
          </w:tcPr>
          <w:p w14:paraId="39ECCD68" w14:textId="77777777" w:rsidR="00D83E33" w:rsidRPr="00EA10CF" w:rsidRDefault="00BC4072" w:rsidP="001B330E">
            <w:pPr>
              <w:widowControl w:val="0"/>
              <w:ind w:left="113" w:hanging="113"/>
              <w:rPr>
                <w:b/>
              </w:rPr>
            </w:pPr>
            <w:r w:rsidRPr="00EA10CF">
              <w:t> </w:t>
            </w:r>
          </w:p>
        </w:tc>
        <w:tc>
          <w:tcPr>
            <w:tcW w:w="818" w:type="pct"/>
            <w:tcBorders>
              <w:bottom w:val="single" w:sz="4" w:space="0" w:color="000000"/>
            </w:tcBorders>
            <w:vAlign w:val="bottom"/>
          </w:tcPr>
          <w:p w14:paraId="4C90DD61" w14:textId="77777777" w:rsidR="00D83E33" w:rsidRPr="00EA10CF" w:rsidRDefault="00D83E33">
            <w:pPr>
              <w:widowControl w:val="0"/>
              <w:jc w:val="right"/>
            </w:pPr>
          </w:p>
        </w:tc>
        <w:tc>
          <w:tcPr>
            <w:tcW w:w="818" w:type="pct"/>
            <w:tcBorders>
              <w:bottom w:val="single" w:sz="4" w:space="0" w:color="000000"/>
            </w:tcBorders>
            <w:vAlign w:val="bottom"/>
          </w:tcPr>
          <w:p w14:paraId="6C89C0D4" w14:textId="77777777" w:rsidR="00D83E33" w:rsidRPr="00EA10CF" w:rsidRDefault="00D83E33">
            <w:pPr>
              <w:widowControl w:val="0"/>
              <w:jc w:val="right"/>
            </w:pPr>
          </w:p>
        </w:tc>
      </w:tr>
      <w:tr w:rsidR="00D83E33" w:rsidRPr="00EA10CF" w14:paraId="450012B3" w14:textId="77777777" w:rsidTr="001B330E">
        <w:trPr>
          <w:trHeight w:val="23"/>
        </w:trPr>
        <w:tc>
          <w:tcPr>
            <w:tcW w:w="3364" w:type="pct"/>
            <w:vAlign w:val="bottom"/>
          </w:tcPr>
          <w:p w14:paraId="4B14005D" w14:textId="77777777" w:rsidR="00D83E33" w:rsidRPr="00EA10CF" w:rsidRDefault="00BC4072" w:rsidP="001B330E">
            <w:pPr>
              <w:widowControl w:val="0"/>
              <w:ind w:left="113" w:hanging="113"/>
              <w:rPr>
                <w:b/>
              </w:rPr>
            </w:pPr>
            <w:r w:rsidRPr="00EA10CF">
              <w:t> </w:t>
            </w:r>
          </w:p>
        </w:tc>
        <w:tc>
          <w:tcPr>
            <w:tcW w:w="818" w:type="pct"/>
            <w:vAlign w:val="bottom"/>
          </w:tcPr>
          <w:p w14:paraId="595EE01A" w14:textId="77777777" w:rsidR="00D83E33" w:rsidRPr="00EA10CF" w:rsidRDefault="00D83E33">
            <w:pPr>
              <w:widowControl w:val="0"/>
              <w:jc w:val="right"/>
            </w:pPr>
          </w:p>
        </w:tc>
        <w:tc>
          <w:tcPr>
            <w:tcW w:w="818" w:type="pct"/>
            <w:vAlign w:val="bottom"/>
          </w:tcPr>
          <w:p w14:paraId="27C82A00" w14:textId="77777777" w:rsidR="00D83E33" w:rsidRPr="00EA10CF" w:rsidRDefault="00D83E33">
            <w:pPr>
              <w:widowControl w:val="0"/>
              <w:jc w:val="right"/>
            </w:pPr>
          </w:p>
        </w:tc>
      </w:tr>
      <w:tr w:rsidR="00D83E33" w:rsidRPr="00EA10CF" w14:paraId="6657E735" w14:textId="77777777" w:rsidTr="001B330E">
        <w:trPr>
          <w:trHeight w:val="23"/>
        </w:trPr>
        <w:tc>
          <w:tcPr>
            <w:tcW w:w="3364" w:type="pct"/>
            <w:vAlign w:val="bottom"/>
          </w:tcPr>
          <w:p w14:paraId="2EDA288E" w14:textId="4B7727AF"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Theoretical tax charge [</w:t>
            </w:r>
            <w:r w:rsidRPr="00EA10CF">
              <w:rPr>
                <w:color w:val="0000FF"/>
              </w:rPr>
              <w:t xml:space="preserve">credit] </w:t>
            </w:r>
            <w:r w:rsidRPr="00EA10CF">
              <w:rPr>
                <w:color w:val="000000"/>
              </w:rPr>
              <w:t>at statutory rate (</w:t>
            </w:r>
            <w:r w:rsidR="00541EBC">
              <w:rPr>
                <w:color w:val="000000"/>
              </w:rPr>
              <w:t>2024</w:t>
            </w:r>
            <w:r w:rsidRPr="00EA10CF">
              <w:rPr>
                <w:color w:val="000000"/>
              </w:rPr>
              <w:t>: 2</w:t>
            </w:r>
            <w:r w:rsidR="007347D3">
              <w:rPr>
                <w:color w:val="000000"/>
              </w:rPr>
              <w:t>1</w:t>
            </w:r>
            <w:r w:rsidRPr="00EA10CF">
              <w:rPr>
                <w:color w:val="000000"/>
              </w:rPr>
              <w:t xml:space="preserve">%; </w:t>
            </w:r>
            <w:r w:rsidR="00541EBC">
              <w:rPr>
                <w:color w:val="000000"/>
              </w:rPr>
              <w:t>2023</w:t>
            </w:r>
            <w:r w:rsidRPr="00EA10CF">
              <w:rPr>
                <w:color w:val="000000"/>
              </w:rPr>
              <w:t>: 2</w:t>
            </w:r>
            <w:r w:rsidR="007347D3">
              <w:rPr>
                <w:color w:val="000000"/>
              </w:rPr>
              <w:t>1</w:t>
            </w:r>
            <w:r w:rsidRPr="00EA10CF">
              <w:rPr>
                <w:color w:val="000000"/>
              </w:rPr>
              <w:t>%)</w:t>
            </w:r>
          </w:p>
        </w:tc>
        <w:tc>
          <w:tcPr>
            <w:tcW w:w="818" w:type="pct"/>
            <w:vAlign w:val="bottom"/>
          </w:tcPr>
          <w:p w14:paraId="0252AD07"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8C4861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997598D" w14:textId="77777777" w:rsidTr="001B330E">
        <w:trPr>
          <w:trHeight w:val="23"/>
        </w:trPr>
        <w:tc>
          <w:tcPr>
            <w:tcW w:w="3364" w:type="pct"/>
            <w:vAlign w:val="bottom"/>
          </w:tcPr>
          <w:p w14:paraId="554DD37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818" w:type="pct"/>
            <w:vAlign w:val="bottom"/>
          </w:tcPr>
          <w:p w14:paraId="25B655B2"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F0262D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6C8B920" w14:textId="77777777" w:rsidTr="001B330E">
        <w:trPr>
          <w:trHeight w:val="23"/>
        </w:trPr>
        <w:tc>
          <w:tcPr>
            <w:tcW w:w="3364" w:type="pct"/>
            <w:vAlign w:val="bottom"/>
          </w:tcPr>
          <w:p w14:paraId="3E5368F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Tax effect of items which are not deductible or assessable for taxation purposes:</w:t>
            </w:r>
          </w:p>
        </w:tc>
        <w:tc>
          <w:tcPr>
            <w:tcW w:w="818" w:type="pct"/>
            <w:vAlign w:val="bottom"/>
          </w:tcPr>
          <w:p w14:paraId="20ED9CA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69E6D0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E3B159" w14:textId="77777777" w:rsidTr="001B330E">
        <w:trPr>
          <w:trHeight w:val="23"/>
        </w:trPr>
        <w:tc>
          <w:tcPr>
            <w:tcW w:w="3364" w:type="pct"/>
            <w:vAlign w:val="bottom"/>
          </w:tcPr>
          <w:p w14:paraId="2D72BA79" w14:textId="6A2B5AE5"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Income which is exempt from taxation </w:t>
            </w:r>
          </w:p>
        </w:tc>
        <w:tc>
          <w:tcPr>
            <w:tcW w:w="818" w:type="pct"/>
            <w:vAlign w:val="bottom"/>
          </w:tcPr>
          <w:p w14:paraId="2568702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2A24FF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D216401" w14:textId="77777777" w:rsidTr="001B330E">
        <w:trPr>
          <w:trHeight w:val="23"/>
        </w:trPr>
        <w:tc>
          <w:tcPr>
            <w:tcW w:w="3364" w:type="pct"/>
            <w:vAlign w:val="bottom"/>
          </w:tcPr>
          <w:p w14:paraId="1517504B" w14:textId="1C4AF250"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Non-deductible expenses </w:t>
            </w:r>
          </w:p>
        </w:tc>
        <w:tc>
          <w:tcPr>
            <w:tcW w:w="818" w:type="pct"/>
            <w:vAlign w:val="bottom"/>
          </w:tcPr>
          <w:p w14:paraId="3A70002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75C18BE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81CB95A" w14:textId="77777777" w:rsidTr="001B330E">
        <w:trPr>
          <w:trHeight w:val="23"/>
        </w:trPr>
        <w:tc>
          <w:tcPr>
            <w:tcW w:w="3364" w:type="pct"/>
            <w:vAlign w:val="bottom"/>
          </w:tcPr>
          <w:p w14:paraId="250645A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Income on government securities taxed at different rates</w:t>
            </w:r>
          </w:p>
        </w:tc>
        <w:tc>
          <w:tcPr>
            <w:tcW w:w="818" w:type="pct"/>
            <w:vAlign w:val="bottom"/>
          </w:tcPr>
          <w:p w14:paraId="7CAB79A6"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966CEE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30EDF5" w14:textId="77777777" w:rsidTr="001B330E">
        <w:trPr>
          <w:trHeight w:val="23"/>
        </w:trPr>
        <w:tc>
          <w:tcPr>
            <w:tcW w:w="3364" w:type="pct"/>
            <w:vAlign w:val="bottom"/>
          </w:tcPr>
          <w:p w14:paraId="60FFA36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Loss/(income) earned in tax free jurisdictions</w:t>
            </w:r>
          </w:p>
        </w:tc>
        <w:tc>
          <w:tcPr>
            <w:tcW w:w="818" w:type="pct"/>
            <w:vAlign w:val="bottom"/>
          </w:tcPr>
          <w:p w14:paraId="4A2DCF3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A72338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90140FC" w14:textId="77777777" w:rsidTr="001B330E">
        <w:trPr>
          <w:trHeight w:val="23"/>
        </w:trPr>
        <w:tc>
          <w:tcPr>
            <w:tcW w:w="3364" w:type="pct"/>
            <w:vAlign w:val="bottom"/>
          </w:tcPr>
          <w:p w14:paraId="7225B741"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00"/>
              </w:rPr>
              <w:t>Under/over provision of current tax in prior years</w:t>
            </w:r>
          </w:p>
        </w:tc>
        <w:tc>
          <w:tcPr>
            <w:tcW w:w="818" w:type="pct"/>
            <w:vAlign w:val="bottom"/>
          </w:tcPr>
          <w:p w14:paraId="2BF41DF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F2F69F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D2B003" w14:textId="77777777" w:rsidTr="001B330E">
        <w:trPr>
          <w:trHeight w:val="23"/>
        </w:trPr>
        <w:tc>
          <w:tcPr>
            <w:tcW w:w="3364" w:type="pct"/>
            <w:vAlign w:val="bottom"/>
          </w:tcPr>
          <w:p w14:paraId="7026E0FB"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[Effects of different tax rates in other countries]</w:t>
            </w:r>
          </w:p>
        </w:tc>
        <w:tc>
          <w:tcPr>
            <w:tcW w:w="818" w:type="pct"/>
            <w:vAlign w:val="bottom"/>
          </w:tcPr>
          <w:p w14:paraId="1E91EA6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EDB518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BAED5B9" w14:textId="77777777" w:rsidTr="001B330E">
        <w:trPr>
          <w:trHeight w:val="23"/>
        </w:trPr>
        <w:tc>
          <w:tcPr>
            <w:tcW w:w="3364" w:type="pct"/>
            <w:vAlign w:val="bottom"/>
          </w:tcPr>
          <w:p w14:paraId="13B7170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Changes in expected manner of recovery or settlement resulting from controlled foreign company legislation</w:t>
            </w:r>
          </w:p>
        </w:tc>
        <w:tc>
          <w:tcPr>
            <w:tcW w:w="818" w:type="pct"/>
            <w:vAlign w:val="bottom"/>
          </w:tcPr>
          <w:p w14:paraId="71FAC992"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D13CD1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26AAB35" w14:textId="77777777" w:rsidTr="001B330E">
        <w:trPr>
          <w:trHeight w:val="23"/>
        </w:trPr>
        <w:tc>
          <w:tcPr>
            <w:tcW w:w="3364" w:type="pct"/>
            <w:vAlign w:val="bottom"/>
          </w:tcPr>
          <w:p w14:paraId="3D49FE2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Unrecognised tax loss carry forwards </w:t>
            </w:r>
          </w:p>
        </w:tc>
        <w:tc>
          <w:tcPr>
            <w:tcW w:w="818" w:type="pct"/>
            <w:vAlign w:val="bottom"/>
          </w:tcPr>
          <w:p w14:paraId="5AA85092"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627DD8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A951703" w14:textId="77777777" w:rsidTr="001B330E">
        <w:trPr>
          <w:trHeight w:val="23"/>
        </w:trPr>
        <w:tc>
          <w:tcPr>
            <w:tcW w:w="3364" w:type="pct"/>
            <w:vAlign w:val="bottom"/>
          </w:tcPr>
          <w:p w14:paraId="1136F35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Unrecognised other potential deferred tax assets</w:t>
            </w:r>
          </w:p>
        </w:tc>
        <w:tc>
          <w:tcPr>
            <w:tcW w:w="818" w:type="pct"/>
            <w:vAlign w:val="bottom"/>
          </w:tcPr>
          <w:p w14:paraId="0420FC7D"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082F24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24C2831" w14:textId="77777777" w:rsidTr="001B330E">
        <w:trPr>
          <w:trHeight w:val="23"/>
        </w:trPr>
        <w:tc>
          <w:tcPr>
            <w:tcW w:w="3364" w:type="pct"/>
            <w:vAlign w:val="bottom"/>
          </w:tcPr>
          <w:p w14:paraId="04A08EA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Utilisation of previously unrecognised tax loss carry forwards</w:t>
            </w:r>
          </w:p>
        </w:tc>
        <w:tc>
          <w:tcPr>
            <w:tcW w:w="818" w:type="pct"/>
            <w:vAlign w:val="bottom"/>
          </w:tcPr>
          <w:p w14:paraId="1E8E7E2F"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B8B83C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3B49A7A" w14:textId="77777777" w:rsidTr="001B330E">
        <w:trPr>
          <w:trHeight w:val="23"/>
        </w:trPr>
        <w:tc>
          <w:tcPr>
            <w:tcW w:w="3364" w:type="pct"/>
            <w:vAlign w:val="bottom"/>
          </w:tcPr>
          <w:p w14:paraId="0EAE95AD" w14:textId="77777777" w:rsidR="00D83E33" w:rsidRPr="00EA10CF" w:rsidRDefault="00BC4072" w:rsidP="001B330E">
            <w:pPr>
              <w:widowControl w:val="0"/>
              <w:ind w:left="113" w:hanging="113"/>
            </w:pPr>
            <w:r w:rsidRPr="00EA10CF">
              <w:t>Recognition of previously unrecognised other deferred tax assets</w:t>
            </w:r>
          </w:p>
        </w:tc>
        <w:tc>
          <w:tcPr>
            <w:tcW w:w="818" w:type="pct"/>
            <w:vAlign w:val="bottom"/>
          </w:tcPr>
          <w:p w14:paraId="5AB0D85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D67D71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22AC8C5" w14:textId="77777777" w:rsidTr="001B330E">
        <w:trPr>
          <w:trHeight w:val="23"/>
        </w:trPr>
        <w:tc>
          <w:tcPr>
            <w:tcW w:w="3364" w:type="pct"/>
            <w:vAlign w:val="bottom"/>
          </w:tcPr>
          <w:p w14:paraId="62970878" w14:textId="023EB73D" w:rsidR="00D83E33" w:rsidRPr="00EA10CF" w:rsidRDefault="00D83E33" w:rsidP="001B330E">
            <w:pPr>
              <w:widowControl w:val="0"/>
              <w:ind w:left="113" w:hanging="113"/>
              <w:rPr>
                <w:i/>
                <w:color w:val="FF0000"/>
              </w:rPr>
            </w:pPr>
          </w:p>
        </w:tc>
        <w:tc>
          <w:tcPr>
            <w:tcW w:w="818" w:type="pct"/>
            <w:vAlign w:val="bottom"/>
          </w:tcPr>
          <w:p w14:paraId="572CCEBD"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D041F1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7801BC3" w14:textId="77777777" w:rsidTr="001B330E">
        <w:trPr>
          <w:trHeight w:val="23"/>
        </w:trPr>
        <w:tc>
          <w:tcPr>
            <w:tcW w:w="3364" w:type="pct"/>
            <w:tcBorders>
              <w:bottom w:val="single" w:sz="4" w:space="0" w:color="000000"/>
            </w:tcBorders>
            <w:vAlign w:val="bottom"/>
          </w:tcPr>
          <w:p w14:paraId="4E65059B" w14:textId="77777777" w:rsidR="00D83E33" w:rsidRPr="00EA10CF" w:rsidRDefault="00BC4072" w:rsidP="001B330E">
            <w:pPr>
              <w:widowControl w:val="0"/>
              <w:ind w:left="113" w:hanging="113"/>
            </w:pPr>
            <w:r w:rsidRPr="00EA10CF">
              <w:t> </w:t>
            </w:r>
          </w:p>
        </w:tc>
        <w:tc>
          <w:tcPr>
            <w:tcW w:w="818" w:type="pct"/>
            <w:tcBorders>
              <w:bottom w:val="single" w:sz="4" w:space="0" w:color="000000"/>
            </w:tcBorders>
            <w:vAlign w:val="bottom"/>
          </w:tcPr>
          <w:p w14:paraId="1494F58F"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319D382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65114AD" w14:textId="77777777" w:rsidTr="001B330E">
        <w:trPr>
          <w:trHeight w:val="23"/>
        </w:trPr>
        <w:tc>
          <w:tcPr>
            <w:tcW w:w="3364" w:type="pct"/>
            <w:vAlign w:val="bottom"/>
          </w:tcPr>
          <w:p w14:paraId="08B601C0" w14:textId="77777777" w:rsidR="00D83E33" w:rsidRPr="00EA10CF" w:rsidRDefault="00BC4072" w:rsidP="001B330E">
            <w:pPr>
              <w:widowControl w:val="0"/>
              <w:ind w:left="113" w:hanging="113"/>
            </w:pPr>
            <w:r w:rsidRPr="00EA10CF">
              <w:t> </w:t>
            </w:r>
          </w:p>
        </w:tc>
        <w:tc>
          <w:tcPr>
            <w:tcW w:w="818" w:type="pct"/>
            <w:vAlign w:val="bottom"/>
          </w:tcPr>
          <w:p w14:paraId="496DEA9B" w14:textId="77777777" w:rsidR="00D83E33" w:rsidRPr="00EA10CF" w:rsidRDefault="00D83E33">
            <w:pPr>
              <w:widowControl w:val="0"/>
              <w:jc w:val="right"/>
              <w:rPr>
                <w:b/>
              </w:rPr>
            </w:pPr>
          </w:p>
        </w:tc>
        <w:tc>
          <w:tcPr>
            <w:tcW w:w="818" w:type="pct"/>
            <w:vAlign w:val="bottom"/>
          </w:tcPr>
          <w:p w14:paraId="18CE1D91" w14:textId="77777777" w:rsidR="00D83E33" w:rsidRPr="00EA10CF" w:rsidRDefault="00D83E33">
            <w:pPr>
              <w:widowControl w:val="0"/>
              <w:jc w:val="right"/>
              <w:rPr>
                <w:b/>
              </w:rPr>
            </w:pPr>
          </w:p>
        </w:tc>
      </w:tr>
      <w:tr w:rsidR="00D83E33" w:rsidRPr="00EA10CF" w14:paraId="5FCA3DEC" w14:textId="77777777" w:rsidTr="001B330E">
        <w:trPr>
          <w:trHeight w:val="23"/>
        </w:trPr>
        <w:tc>
          <w:tcPr>
            <w:tcW w:w="3364" w:type="pct"/>
            <w:vAlign w:val="bottom"/>
          </w:tcPr>
          <w:p w14:paraId="5F92F1E2"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Income tax expense/(credit) for the year</w:t>
            </w:r>
          </w:p>
        </w:tc>
        <w:tc>
          <w:tcPr>
            <w:tcW w:w="818" w:type="pct"/>
            <w:vAlign w:val="bottom"/>
          </w:tcPr>
          <w:p w14:paraId="23565E6B"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4370F740"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C0AA82C" w14:textId="77777777" w:rsidTr="001B330E">
        <w:trPr>
          <w:trHeight w:val="23"/>
        </w:trPr>
        <w:tc>
          <w:tcPr>
            <w:tcW w:w="3364" w:type="pct"/>
            <w:tcBorders>
              <w:bottom w:val="single" w:sz="12" w:space="0" w:color="000000"/>
            </w:tcBorders>
            <w:vAlign w:val="bottom"/>
          </w:tcPr>
          <w:p w14:paraId="6CB6613F" w14:textId="77777777" w:rsidR="00D83E33" w:rsidRPr="00EA10CF" w:rsidRDefault="00BC4072" w:rsidP="001B330E">
            <w:pPr>
              <w:widowControl w:val="0"/>
              <w:ind w:left="113" w:hanging="113"/>
            </w:pPr>
            <w:r w:rsidRPr="00EA10CF">
              <w:t> </w:t>
            </w:r>
          </w:p>
        </w:tc>
        <w:tc>
          <w:tcPr>
            <w:tcW w:w="818" w:type="pct"/>
            <w:tcBorders>
              <w:bottom w:val="single" w:sz="12" w:space="0" w:color="000000"/>
            </w:tcBorders>
            <w:vAlign w:val="bottom"/>
          </w:tcPr>
          <w:p w14:paraId="2BBD97E9" w14:textId="77777777" w:rsidR="00D83E33" w:rsidRPr="00EA10CF" w:rsidRDefault="00D83E33">
            <w:pPr>
              <w:widowControl w:val="0"/>
              <w:jc w:val="right"/>
              <w:rPr>
                <w:b/>
              </w:rPr>
            </w:pPr>
          </w:p>
        </w:tc>
        <w:tc>
          <w:tcPr>
            <w:tcW w:w="818" w:type="pct"/>
            <w:tcBorders>
              <w:bottom w:val="single" w:sz="12" w:space="0" w:color="000000"/>
            </w:tcBorders>
            <w:vAlign w:val="bottom"/>
          </w:tcPr>
          <w:p w14:paraId="2379A062" w14:textId="77777777" w:rsidR="00D83E33" w:rsidRPr="00EA10CF" w:rsidRDefault="00D83E33">
            <w:pPr>
              <w:widowControl w:val="0"/>
              <w:jc w:val="right"/>
              <w:rPr>
                <w:b/>
              </w:rPr>
            </w:pPr>
          </w:p>
        </w:tc>
      </w:tr>
    </w:tbl>
    <w:p w14:paraId="0FE247ED"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(c) </w:t>
      </w:r>
      <w:r>
        <w:rPr>
          <w:b/>
          <w:i/>
          <w:color w:val="000000"/>
          <w:sz w:val="20"/>
          <w:szCs w:val="20"/>
        </w:rPr>
        <w:tab/>
        <w:t>Tax loss carry forwards</w:t>
      </w:r>
    </w:p>
    <w:p w14:paraId="76EDFB74" w14:textId="353A5365"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Group has unrecognised potential deferred tax assets in respect of unused tax loss carry forwards of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w:t>
      </w:r>
    </w:p>
    <w:p w14:paraId="22D47F5D" w14:textId="199E15F9"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also has unrecognised potential deferred tax assets in respect of deductible temporary differences of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_____ thousand).</w:t>
      </w:r>
    </w:p>
    <w:p w14:paraId="4D26CDC1"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(d) </w:t>
      </w:r>
      <w:r>
        <w:rPr>
          <w:b/>
          <w:i/>
          <w:color w:val="000000"/>
          <w:sz w:val="20"/>
          <w:szCs w:val="20"/>
        </w:rPr>
        <w:tab/>
        <w:t xml:space="preserve">Deferred taxes in respect of subsidiaries, joint ventures and associates </w:t>
      </w:r>
    </w:p>
    <w:p w14:paraId="64B03D14" w14:textId="60BDA17C"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has not recorded a deferred tax liability in respect of temporary differences of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associated with investments in subsidiaries </w:t>
      </w:r>
      <w:r>
        <w:rPr>
          <w:color w:val="0000FF"/>
          <w:sz w:val="20"/>
          <w:szCs w:val="20"/>
        </w:rPr>
        <w:t>[associates and joint ventures]</w:t>
      </w:r>
      <w:r>
        <w:rPr>
          <w:color w:val="000000"/>
          <w:sz w:val="20"/>
          <w:szCs w:val="20"/>
        </w:rPr>
        <w:t xml:space="preserve"> as the Group is able to control the timing of the reversal of those temporary differences, and does not intend to reverse them in the foreseeable future.</w:t>
      </w:r>
    </w:p>
    <w:p w14:paraId="323CE1F9" w14:textId="77777777" w:rsidR="002A5F5D" w:rsidRDefault="002A5F5D" w:rsidP="002A5F5D">
      <w:pPr>
        <w:pStyle w:val="Continued"/>
      </w:pPr>
      <w:r>
        <w:lastRenderedPageBreak/>
        <w:t>36</w:t>
      </w:r>
      <w:r>
        <w:tab/>
        <w:t>Income Taxes (Continued)</w:t>
      </w:r>
    </w:p>
    <w:p w14:paraId="58240B8B" w14:textId="36B79F50"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[Management has performed an analysis of the dividend policies at the Group’s associates and joint ventures with regards to the Group’s potential deferred tax liabilities where the Group does not control reversal of the temporary difference, or expects the reversal to occur in the foreseeable future. For [list of associates and JVs], management expects that the carrying value of the investments would be recovered primarily through a sale and partially through dividends. No deferred taxes relating to a future sale are recognised in respect of [list associates and JVs], because any sale would occur in a tax free jurisdiction. Deferred taxes relating to a future sale are recognised in respect of [list associates and JVs] because these are held through subsidiaries in taxable jurisdictions, [Ukraine]. </w:t>
      </w:r>
    </w:p>
    <w:p w14:paraId="5056D7C0" w14:textId="77777777" w:rsidR="00D83E33" w:rsidRPr="001B330E" w:rsidRDefault="00BC4072" w:rsidP="001B330E">
      <w:pPr>
        <w:widowControl w:val="0"/>
        <w:pBdr>
          <w:top w:val="nil"/>
          <w:left w:val="nil"/>
          <w:bottom w:val="nil"/>
          <w:right w:val="nil"/>
          <w:between w:val="nil"/>
        </w:pBdr>
        <w:tabs>
          <w:tab w:val="left" w:pos="567"/>
        </w:tabs>
        <w:spacing w:before="200" w:after="200"/>
        <w:ind w:left="567" w:hanging="567"/>
        <w:jc w:val="both"/>
        <w:rPr>
          <w:b/>
          <w:i/>
          <w:color w:val="000000"/>
          <w:spacing w:val="-4"/>
          <w:sz w:val="20"/>
          <w:szCs w:val="20"/>
        </w:rPr>
      </w:pPr>
      <w:r w:rsidRPr="001B330E">
        <w:rPr>
          <w:b/>
          <w:i/>
          <w:color w:val="000000"/>
          <w:spacing w:val="-4"/>
          <w:sz w:val="20"/>
          <w:szCs w:val="20"/>
        </w:rPr>
        <w:t xml:space="preserve">(e) </w:t>
      </w:r>
      <w:r w:rsidRPr="001B330E">
        <w:rPr>
          <w:b/>
          <w:i/>
          <w:color w:val="000000"/>
          <w:spacing w:val="-4"/>
          <w:sz w:val="20"/>
          <w:szCs w:val="20"/>
        </w:rPr>
        <w:tab/>
        <w:t>Uncertain income tax positions</w:t>
      </w:r>
    </w:p>
    <w:p w14:paraId="2E9FC42E" w14:textId="7002C2F0" w:rsidR="00D83E33" w:rsidRPr="001B330E" w:rsidRDefault="00BC4072" w:rsidP="001B330E">
      <w:pPr>
        <w:widowControl w:val="0"/>
        <w:pBdr>
          <w:top w:val="nil"/>
          <w:left w:val="nil"/>
          <w:bottom w:val="nil"/>
          <w:right w:val="nil"/>
          <w:between w:val="nil"/>
        </w:pBdr>
        <w:spacing w:before="200" w:after="200"/>
        <w:jc w:val="both"/>
        <w:rPr>
          <w:b/>
          <w:i/>
          <w:color w:val="000000"/>
          <w:spacing w:val="-4"/>
          <w:sz w:val="20"/>
          <w:szCs w:val="20"/>
        </w:rPr>
      </w:pPr>
      <w:r w:rsidRPr="001B330E">
        <w:rPr>
          <w:b/>
          <w:i/>
          <w:color w:val="000000"/>
          <w:spacing w:val="-4"/>
          <w:sz w:val="20"/>
          <w:szCs w:val="20"/>
        </w:rPr>
        <w:t xml:space="preserve">Uncertain income tax positions. </w:t>
      </w:r>
      <w:r w:rsidRPr="001B330E">
        <w:rPr>
          <w:color w:val="000000"/>
          <w:spacing w:val="-4"/>
          <w:sz w:val="20"/>
          <w:szCs w:val="20"/>
        </w:rPr>
        <w:t xml:space="preserve">Current income tax liabilities include </w:t>
      </w:r>
      <w:r w:rsidR="00D73799">
        <w:rPr>
          <w:color w:val="000000"/>
          <w:spacing w:val="-4"/>
          <w:sz w:val="20"/>
          <w:szCs w:val="20"/>
        </w:rPr>
        <w:t>EUR</w:t>
      </w:r>
      <w:r w:rsidRPr="001B330E">
        <w:rPr>
          <w:color w:val="000000"/>
          <w:spacing w:val="-4"/>
          <w:sz w:val="20"/>
          <w:szCs w:val="20"/>
        </w:rPr>
        <w:t xml:space="preserve"> ____ thousand in respect of uncertainties relating to tax deductions taken for </w:t>
      </w:r>
      <w:r w:rsidRPr="001B330E">
        <w:rPr>
          <w:color w:val="0000FF"/>
          <w:spacing w:val="-4"/>
          <w:sz w:val="20"/>
          <w:szCs w:val="20"/>
        </w:rPr>
        <w:t>[describe type of expenses]</w:t>
      </w:r>
      <w:r w:rsidRPr="001B330E">
        <w:rPr>
          <w:color w:val="000000"/>
          <w:spacing w:val="-4"/>
          <w:sz w:val="20"/>
          <w:szCs w:val="20"/>
        </w:rPr>
        <w:t>. Management estimates that these exposures are more likely than not to require settlement if challenged by the tax authorities. Related penalties and interest are accrued and disclosed in Note 35 as operating expenses. The balance at 31</w:t>
      </w:r>
      <w:r w:rsidR="00181687">
        <w:rPr>
          <w:color w:val="000000"/>
          <w:spacing w:val="-4"/>
          <w:sz w:val="20"/>
          <w:szCs w:val="20"/>
        </w:rPr>
        <w:t> December </w:t>
      </w:r>
      <w:r w:rsidR="00541EBC">
        <w:rPr>
          <w:color w:val="000000"/>
          <w:spacing w:val="-4"/>
          <w:sz w:val="20"/>
          <w:szCs w:val="20"/>
        </w:rPr>
        <w:t>2024</w:t>
      </w:r>
      <w:r w:rsidRPr="001B330E">
        <w:rPr>
          <w:color w:val="000000"/>
          <w:spacing w:val="-4"/>
          <w:sz w:val="20"/>
          <w:szCs w:val="20"/>
        </w:rPr>
        <w:t xml:space="preserve"> is expected to be either fully utilised or released when the inspection rights of the tax authorities with respect to the relevant tax returns expire, as follows: </w:t>
      </w:r>
      <w:r w:rsidR="00D73799">
        <w:rPr>
          <w:color w:val="000000"/>
          <w:spacing w:val="-4"/>
          <w:sz w:val="20"/>
          <w:szCs w:val="20"/>
        </w:rPr>
        <w:t>EUR</w:t>
      </w:r>
      <w:r w:rsidRPr="001B330E">
        <w:rPr>
          <w:color w:val="000000"/>
          <w:spacing w:val="-4"/>
          <w:sz w:val="20"/>
          <w:szCs w:val="20"/>
        </w:rPr>
        <w:t xml:space="preserve"> ____ thousand by the end of </w:t>
      </w:r>
      <w:r w:rsidR="00541EBC">
        <w:rPr>
          <w:color w:val="000000"/>
          <w:spacing w:val="-4"/>
          <w:sz w:val="20"/>
          <w:szCs w:val="20"/>
        </w:rPr>
        <w:t>2024</w:t>
      </w:r>
      <w:r w:rsidRPr="001B330E">
        <w:rPr>
          <w:color w:val="000000"/>
          <w:spacing w:val="-4"/>
          <w:sz w:val="20"/>
          <w:szCs w:val="20"/>
        </w:rPr>
        <w:t xml:space="preserve">, </w:t>
      </w:r>
      <w:r w:rsidR="00D73799">
        <w:rPr>
          <w:color w:val="000000"/>
          <w:spacing w:val="-4"/>
          <w:sz w:val="20"/>
          <w:szCs w:val="20"/>
        </w:rPr>
        <w:t>EUR</w:t>
      </w:r>
      <w:r w:rsidRPr="001B330E">
        <w:rPr>
          <w:color w:val="000000"/>
          <w:spacing w:val="-4"/>
          <w:sz w:val="20"/>
          <w:szCs w:val="20"/>
        </w:rPr>
        <w:t xml:space="preserve"> ____ thousand by the end of 202</w:t>
      </w:r>
      <w:r w:rsidR="00192497">
        <w:rPr>
          <w:color w:val="000000"/>
          <w:spacing w:val="-4"/>
          <w:sz w:val="20"/>
          <w:szCs w:val="20"/>
        </w:rPr>
        <w:t>4</w:t>
      </w:r>
      <w:r w:rsidRPr="001B330E">
        <w:rPr>
          <w:color w:val="000000"/>
          <w:spacing w:val="-4"/>
          <w:sz w:val="20"/>
          <w:szCs w:val="20"/>
        </w:rPr>
        <w:t xml:space="preserve"> and </w:t>
      </w:r>
      <w:r w:rsidR="00D73799">
        <w:rPr>
          <w:color w:val="000000"/>
          <w:spacing w:val="-4"/>
          <w:sz w:val="20"/>
          <w:szCs w:val="20"/>
        </w:rPr>
        <w:t>EUR</w:t>
      </w:r>
      <w:r w:rsidRPr="001B330E">
        <w:rPr>
          <w:color w:val="000000"/>
          <w:spacing w:val="-4"/>
          <w:sz w:val="20"/>
          <w:szCs w:val="20"/>
        </w:rPr>
        <w:t xml:space="preserve"> _____ thousand by the end of 202</w:t>
      </w:r>
      <w:r w:rsidR="00192497">
        <w:rPr>
          <w:color w:val="000000"/>
          <w:spacing w:val="-4"/>
          <w:sz w:val="20"/>
          <w:szCs w:val="20"/>
        </w:rPr>
        <w:t>5</w:t>
      </w:r>
      <w:r w:rsidRPr="001B330E">
        <w:rPr>
          <w:color w:val="000000"/>
          <w:spacing w:val="-4"/>
          <w:sz w:val="20"/>
          <w:szCs w:val="20"/>
        </w:rPr>
        <w:t>.</w:t>
      </w:r>
    </w:p>
    <w:p w14:paraId="4235F3F9" w14:textId="77777777" w:rsidR="00D83E33" w:rsidRPr="001B330E" w:rsidRDefault="00BC4072" w:rsidP="001B330E">
      <w:pPr>
        <w:widowControl w:val="0"/>
        <w:pBdr>
          <w:top w:val="nil"/>
          <w:left w:val="nil"/>
          <w:bottom w:val="nil"/>
          <w:right w:val="nil"/>
          <w:between w:val="nil"/>
        </w:pBdr>
        <w:tabs>
          <w:tab w:val="left" w:pos="567"/>
        </w:tabs>
        <w:spacing w:before="200" w:after="200"/>
        <w:ind w:left="567" w:hanging="567"/>
        <w:jc w:val="both"/>
        <w:rPr>
          <w:b/>
          <w:i/>
          <w:color w:val="000000"/>
          <w:spacing w:val="-4"/>
          <w:sz w:val="20"/>
          <w:szCs w:val="20"/>
        </w:rPr>
      </w:pPr>
      <w:r w:rsidRPr="001B330E">
        <w:rPr>
          <w:b/>
          <w:i/>
          <w:color w:val="000000"/>
          <w:spacing w:val="-4"/>
          <w:sz w:val="20"/>
          <w:szCs w:val="20"/>
        </w:rPr>
        <w:t>(f)</w:t>
      </w:r>
      <w:r w:rsidRPr="001B330E">
        <w:rPr>
          <w:b/>
          <w:i/>
          <w:color w:val="000000"/>
          <w:spacing w:val="-4"/>
          <w:sz w:val="20"/>
          <w:szCs w:val="20"/>
        </w:rPr>
        <w:tab/>
        <w:t>Deferred taxes analysed by type of temporary difference</w:t>
      </w:r>
    </w:p>
    <w:p w14:paraId="2ADD7A70" w14:textId="66E5D1FB" w:rsidR="00D83E33" w:rsidRPr="001B330E" w:rsidRDefault="00BC4072" w:rsidP="001B330E">
      <w:pPr>
        <w:widowControl w:val="0"/>
        <w:pBdr>
          <w:top w:val="nil"/>
          <w:left w:val="nil"/>
          <w:bottom w:val="nil"/>
          <w:right w:val="nil"/>
          <w:between w:val="nil"/>
        </w:pBdr>
        <w:spacing w:before="200" w:after="200"/>
        <w:jc w:val="both"/>
        <w:rPr>
          <w:color w:val="000000"/>
          <w:spacing w:val="-4"/>
          <w:sz w:val="20"/>
          <w:szCs w:val="20"/>
        </w:rPr>
      </w:pPr>
      <w:r w:rsidRPr="001B330E">
        <w:rPr>
          <w:color w:val="000000"/>
          <w:spacing w:val="-4"/>
          <w:sz w:val="20"/>
          <w:szCs w:val="20"/>
        </w:rPr>
        <w:t xml:space="preserve">Differences between IFRS and statutory taxation regulations in </w:t>
      </w:r>
      <w:r w:rsidR="00372E26">
        <w:rPr>
          <w:color w:val="000000"/>
          <w:spacing w:val="-4"/>
          <w:sz w:val="20"/>
          <w:szCs w:val="20"/>
        </w:rPr>
        <w:t>[Country]</w:t>
      </w:r>
      <w:r w:rsidRPr="001B330E">
        <w:rPr>
          <w:color w:val="000000"/>
          <w:spacing w:val="-4"/>
          <w:sz w:val="20"/>
          <w:szCs w:val="20"/>
        </w:rPr>
        <w:t xml:space="preserve"> </w:t>
      </w:r>
      <w:r w:rsidRPr="001B330E">
        <w:rPr>
          <w:color w:val="0000FF"/>
          <w:spacing w:val="-4"/>
          <w:sz w:val="20"/>
          <w:szCs w:val="20"/>
        </w:rPr>
        <w:t>[and other countries]</w:t>
      </w:r>
      <w:r w:rsidRPr="001B330E">
        <w:rPr>
          <w:color w:val="000000"/>
          <w:spacing w:val="-4"/>
          <w:sz w:val="20"/>
          <w:szCs w:val="20"/>
        </w:rPr>
        <w:t xml:space="preserve"> give rise to temporary differences between the carrying amount of assets and liabilities for financial reporting purposes and their tax bases. The tax effect of the movements in these temporary differences is detailed below.</w:t>
      </w:r>
    </w:p>
    <w:tbl>
      <w:tblPr>
        <w:tblStyle w:val="affffffffffff9"/>
        <w:tblW w:w="5000" w:type="pct"/>
        <w:tblLayout w:type="fixed"/>
        <w:tblLook w:val="0000" w:firstRow="0" w:lastRow="0" w:firstColumn="0" w:lastColumn="0" w:noHBand="0" w:noVBand="0"/>
      </w:tblPr>
      <w:tblGrid>
        <w:gridCol w:w="2649"/>
        <w:gridCol w:w="958"/>
        <w:gridCol w:w="958"/>
        <w:gridCol w:w="958"/>
        <w:gridCol w:w="958"/>
        <w:gridCol w:w="958"/>
        <w:gridCol w:w="958"/>
        <w:gridCol w:w="958"/>
      </w:tblGrid>
      <w:tr w:rsidR="00D83E33" w:rsidRPr="004607BE" w14:paraId="6EE6A208" w14:textId="77777777" w:rsidTr="001B330E">
        <w:trPr>
          <w:trHeight w:val="23"/>
          <w:tblHeader/>
        </w:trPr>
        <w:tc>
          <w:tcPr>
            <w:tcW w:w="1416" w:type="pct"/>
            <w:tcBorders>
              <w:bottom w:val="single" w:sz="4" w:space="0" w:color="000000"/>
            </w:tcBorders>
            <w:vAlign w:val="bottom"/>
          </w:tcPr>
          <w:p w14:paraId="0DAEF282" w14:textId="5FC0C428" w:rsidR="00D83E33" w:rsidRPr="001B330E" w:rsidRDefault="00313B4D" w:rsidP="001B330E">
            <w:pPr>
              <w:widowControl w:val="0"/>
              <w:pBdr>
                <w:top w:val="nil"/>
                <w:left w:val="nil"/>
                <w:bottom w:val="nil"/>
                <w:right w:val="nil"/>
                <w:between w:val="nil"/>
              </w:pBdr>
              <w:ind w:left="113" w:hanging="113"/>
              <w:rPr>
                <w:b/>
                <w:i/>
                <w:color w:val="000000"/>
                <w:spacing w:val="-4"/>
                <w:sz w:val="17"/>
                <w:szCs w:val="17"/>
              </w:rPr>
            </w:pPr>
            <w:r>
              <w:rPr>
                <w:i/>
                <w:color w:val="000000"/>
                <w:spacing w:val="-4"/>
                <w:sz w:val="17"/>
                <w:szCs w:val="17"/>
              </w:rPr>
              <w:t xml:space="preserve">In thousands of </w:t>
            </w:r>
            <w:r w:rsidR="002649EE">
              <w:rPr>
                <w:i/>
                <w:color w:val="000000"/>
                <w:spacing w:val="-4"/>
                <w:sz w:val="17"/>
                <w:szCs w:val="17"/>
              </w:rPr>
              <w:t>EUR</w:t>
            </w:r>
          </w:p>
        </w:tc>
        <w:tc>
          <w:tcPr>
            <w:tcW w:w="512" w:type="pct"/>
            <w:tcBorders>
              <w:bottom w:val="single" w:sz="4" w:space="0" w:color="000000"/>
            </w:tcBorders>
          </w:tcPr>
          <w:p w14:paraId="0B9A1436" w14:textId="34FD6BD9" w:rsidR="00D83E33" w:rsidRPr="001B330E" w:rsidRDefault="00BC4072" w:rsidP="001B330E">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 xml:space="preserve">1 January </w:t>
            </w:r>
            <w:r w:rsidR="00541EBC">
              <w:rPr>
                <w:b/>
                <w:color w:val="000000"/>
                <w:spacing w:val="-4"/>
                <w:sz w:val="17"/>
                <w:szCs w:val="17"/>
              </w:rPr>
              <w:t>2024</w:t>
            </w:r>
          </w:p>
        </w:tc>
        <w:tc>
          <w:tcPr>
            <w:tcW w:w="512" w:type="pct"/>
            <w:tcBorders>
              <w:bottom w:val="single" w:sz="4" w:space="0" w:color="000000"/>
            </w:tcBorders>
          </w:tcPr>
          <w:p w14:paraId="31060AD3" w14:textId="77777777" w:rsidR="00D83E33" w:rsidRPr="001B330E" w:rsidRDefault="00BC4072" w:rsidP="001B330E">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Business combi-nations</w:t>
            </w:r>
          </w:p>
        </w:tc>
        <w:tc>
          <w:tcPr>
            <w:tcW w:w="512" w:type="pct"/>
            <w:tcBorders>
              <w:bottom w:val="single" w:sz="4" w:space="0" w:color="000000"/>
            </w:tcBorders>
          </w:tcPr>
          <w:p w14:paraId="4FDA04C3" w14:textId="77777777" w:rsidR="00D83E33" w:rsidRPr="001B330E" w:rsidRDefault="00BC4072" w:rsidP="001B330E">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Transfer to non-current held for sale</w:t>
            </w:r>
          </w:p>
        </w:tc>
        <w:tc>
          <w:tcPr>
            <w:tcW w:w="512" w:type="pct"/>
            <w:tcBorders>
              <w:bottom w:val="single" w:sz="4" w:space="0" w:color="000000"/>
            </w:tcBorders>
          </w:tcPr>
          <w:p w14:paraId="79F58AF2" w14:textId="77777777" w:rsidR="00D83E33" w:rsidRPr="001B330E" w:rsidRDefault="00BC4072" w:rsidP="001B330E">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Credited/ (charged) to profit or loss</w:t>
            </w:r>
          </w:p>
        </w:tc>
        <w:tc>
          <w:tcPr>
            <w:tcW w:w="512" w:type="pct"/>
            <w:tcBorders>
              <w:bottom w:val="single" w:sz="4" w:space="0" w:color="000000"/>
            </w:tcBorders>
          </w:tcPr>
          <w:p w14:paraId="5BE06B83" w14:textId="77777777" w:rsidR="00D83E33" w:rsidRPr="001B330E" w:rsidRDefault="00BC4072" w:rsidP="001B330E">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Credited/ (charged) to other compre-hensive income</w:t>
            </w:r>
          </w:p>
        </w:tc>
        <w:tc>
          <w:tcPr>
            <w:tcW w:w="512" w:type="pct"/>
            <w:tcBorders>
              <w:bottom w:val="single" w:sz="4" w:space="0" w:color="000000"/>
            </w:tcBorders>
          </w:tcPr>
          <w:p w14:paraId="4B895555" w14:textId="77777777" w:rsidR="00D83E33" w:rsidRPr="001B330E" w:rsidRDefault="00BC4072" w:rsidP="001B330E">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Credited/ (charged) directly to equity</w:t>
            </w:r>
          </w:p>
        </w:tc>
        <w:tc>
          <w:tcPr>
            <w:tcW w:w="512" w:type="pct"/>
            <w:tcBorders>
              <w:bottom w:val="single" w:sz="4" w:space="0" w:color="000000"/>
            </w:tcBorders>
          </w:tcPr>
          <w:p w14:paraId="6E9B886D" w14:textId="77777777" w:rsidR="00D83E33" w:rsidRPr="001B330E" w:rsidRDefault="00BC4072" w:rsidP="001B330E">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 xml:space="preserve">31 Decem-ber </w:t>
            </w:r>
          </w:p>
          <w:p w14:paraId="5FCDA2AD" w14:textId="791F24A4" w:rsidR="00D83E33" w:rsidRPr="001B330E" w:rsidRDefault="00541EBC" w:rsidP="001B330E">
            <w:pPr>
              <w:widowControl w:val="0"/>
              <w:pBdr>
                <w:top w:val="nil"/>
                <w:left w:val="nil"/>
                <w:bottom w:val="nil"/>
                <w:right w:val="nil"/>
                <w:between w:val="nil"/>
              </w:pBdr>
              <w:ind w:left="-113"/>
              <w:jc w:val="right"/>
              <w:rPr>
                <w:b/>
                <w:color w:val="000000"/>
                <w:spacing w:val="-4"/>
                <w:sz w:val="17"/>
                <w:szCs w:val="17"/>
              </w:rPr>
            </w:pPr>
            <w:r>
              <w:rPr>
                <w:b/>
                <w:color w:val="000000"/>
                <w:spacing w:val="-4"/>
                <w:sz w:val="17"/>
                <w:szCs w:val="17"/>
              </w:rPr>
              <w:t>2024</w:t>
            </w:r>
          </w:p>
        </w:tc>
      </w:tr>
      <w:tr w:rsidR="00D83E33" w:rsidRPr="004607BE" w14:paraId="6527AB3E" w14:textId="77777777" w:rsidTr="001B330E">
        <w:trPr>
          <w:trHeight w:val="23"/>
        </w:trPr>
        <w:tc>
          <w:tcPr>
            <w:tcW w:w="1416" w:type="pct"/>
            <w:vAlign w:val="bottom"/>
          </w:tcPr>
          <w:p w14:paraId="20E30F49" w14:textId="77777777" w:rsidR="00D83E33" w:rsidRPr="001B330E" w:rsidRDefault="00BC4072" w:rsidP="001B330E">
            <w:pPr>
              <w:widowControl w:val="0"/>
              <w:ind w:left="113" w:hanging="113"/>
              <w:rPr>
                <w:spacing w:val="-4"/>
                <w:sz w:val="17"/>
                <w:szCs w:val="17"/>
              </w:rPr>
            </w:pPr>
            <w:r w:rsidRPr="001B330E">
              <w:rPr>
                <w:spacing w:val="-4"/>
                <w:sz w:val="17"/>
                <w:szCs w:val="17"/>
              </w:rPr>
              <w:t> </w:t>
            </w:r>
          </w:p>
        </w:tc>
        <w:tc>
          <w:tcPr>
            <w:tcW w:w="512" w:type="pct"/>
            <w:vAlign w:val="bottom"/>
          </w:tcPr>
          <w:p w14:paraId="41CE1918"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AA582B1"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A937307"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5B0AC42"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5CD3C37"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D8BD475"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28627B79"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52D664E1" w14:textId="77777777" w:rsidTr="001B330E">
        <w:trPr>
          <w:trHeight w:val="23"/>
        </w:trPr>
        <w:tc>
          <w:tcPr>
            <w:tcW w:w="1416" w:type="pct"/>
            <w:vAlign w:val="bottom"/>
          </w:tcPr>
          <w:p w14:paraId="3DE16501" w14:textId="77777777" w:rsidR="00D83E33" w:rsidRPr="001B330E" w:rsidRDefault="00BC4072" w:rsidP="001B330E">
            <w:pPr>
              <w:widowControl w:val="0"/>
              <w:pBdr>
                <w:top w:val="nil"/>
                <w:left w:val="nil"/>
                <w:bottom w:val="nil"/>
                <w:right w:val="nil"/>
                <w:between w:val="nil"/>
              </w:pBdr>
              <w:ind w:left="113" w:hanging="113"/>
              <w:rPr>
                <w:b/>
                <w:color w:val="000000"/>
                <w:spacing w:val="-4"/>
                <w:sz w:val="17"/>
                <w:szCs w:val="17"/>
              </w:rPr>
            </w:pPr>
            <w:r w:rsidRPr="001B330E">
              <w:rPr>
                <w:b/>
                <w:color w:val="000000"/>
                <w:spacing w:val="-4"/>
                <w:sz w:val="17"/>
                <w:szCs w:val="17"/>
              </w:rPr>
              <w:t xml:space="preserve">Tax effect of deductible/(taxable) temporary differences </w:t>
            </w:r>
            <w:r w:rsidRPr="001B330E">
              <w:rPr>
                <w:b/>
                <w:color w:val="0000FF"/>
                <w:spacing w:val="-4"/>
                <w:sz w:val="17"/>
                <w:szCs w:val="17"/>
              </w:rPr>
              <w:t>[and tax loss carry forwards]</w:t>
            </w:r>
          </w:p>
        </w:tc>
        <w:tc>
          <w:tcPr>
            <w:tcW w:w="512" w:type="pct"/>
            <w:vAlign w:val="bottom"/>
          </w:tcPr>
          <w:p w14:paraId="0AECBE65"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3750D2CD"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32B3DF76"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3990754E"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75F0F717"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384431AE"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2B32B1A9"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r w:rsidR="00D83E33" w:rsidRPr="004607BE" w14:paraId="574D00A1" w14:textId="77777777" w:rsidTr="001B330E">
        <w:trPr>
          <w:trHeight w:val="23"/>
        </w:trPr>
        <w:tc>
          <w:tcPr>
            <w:tcW w:w="1416" w:type="pct"/>
            <w:vAlign w:val="bottom"/>
          </w:tcPr>
          <w:p w14:paraId="05E8E655" w14:textId="4B62315A"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Premises and equipment</w:t>
            </w:r>
            <w:r w:rsidRPr="001B330E">
              <w:rPr>
                <w:color w:val="FF0000"/>
                <w:spacing w:val="-4"/>
                <w:sz w:val="17"/>
                <w:szCs w:val="17"/>
              </w:rPr>
              <w:t xml:space="preserve">: </w:t>
            </w:r>
          </w:p>
        </w:tc>
        <w:tc>
          <w:tcPr>
            <w:tcW w:w="512" w:type="pct"/>
            <w:vAlign w:val="bottom"/>
          </w:tcPr>
          <w:p w14:paraId="52D8EF25"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75B34FB"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310C7985"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69EB237"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127CC15"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ECD353D"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21806FC8"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239B7BAE" w14:textId="77777777" w:rsidTr="001B330E">
        <w:trPr>
          <w:trHeight w:val="23"/>
        </w:trPr>
        <w:tc>
          <w:tcPr>
            <w:tcW w:w="1416" w:type="pct"/>
            <w:vAlign w:val="bottom"/>
          </w:tcPr>
          <w:p w14:paraId="401E0A70"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Credit loss allowance of loans</w:t>
            </w:r>
          </w:p>
        </w:tc>
        <w:tc>
          <w:tcPr>
            <w:tcW w:w="512" w:type="pct"/>
            <w:vAlign w:val="bottom"/>
          </w:tcPr>
          <w:p w14:paraId="5B833E62"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4FD0B52"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AA81AD7"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E1A599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3EC95A9"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26361BB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4D2BCA3"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7D36DE96" w14:textId="77777777" w:rsidTr="001B330E">
        <w:trPr>
          <w:trHeight w:val="23"/>
        </w:trPr>
        <w:tc>
          <w:tcPr>
            <w:tcW w:w="1416" w:type="pct"/>
            <w:vAlign w:val="bottom"/>
          </w:tcPr>
          <w:p w14:paraId="1EE47A1C"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Fair valuation of securities at FVTPL</w:t>
            </w:r>
          </w:p>
        </w:tc>
        <w:tc>
          <w:tcPr>
            <w:tcW w:w="512" w:type="pct"/>
            <w:vAlign w:val="bottom"/>
          </w:tcPr>
          <w:p w14:paraId="3E2D4AFB"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AA24B9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F3B8400"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943D628"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A7B9493"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1FF8F4A"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428D317"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3CDEF1D9" w14:textId="77777777" w:rsidTr="001B330E">
        <w:trPr>
          <w:trHeight w:val="23"/>
        </w:trPr>
        <w:tc>
          <w:tcPr>
            <w:tcW w:w="1416" w:type="pct"/>
            <w:vAlign w:val="bottom"/>
          </w:tcPr>
          <w:p w14:paraId="3D061A67"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Fair valuation of securities at FVOCI</w:t>
            </w:r>
          </w:p>
        </w:tc>
        <w:tc>
          <w:tcPr>
            <w:tcW w:w="512" w:type="pct"/>
            <w:vAlign w:val="bottom"/>
          </w:tcPr>
          <w:p w14:paraId="2E2FA947"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57DC3AF"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4C907EF"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F42434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C1CB4F9"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4575952"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60A86B6"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09FE0C46" w14:textId="77777777" w:rsidTr="001B330E">
        <w:trPr>
          <w:trHeight w:val="23"/>
        </w:trPr>
        <w:tc>
          <w:tcPr>
            <w:tcW w:w="1416" w:type="pct"/>
            <w:vAlign w:val="bottom"/>
          </w:tcPr>
          <w:p w14:paraId="4FF0E3BA"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Credit loss allowance of securities at AC</w:t>
            </w:r>
          </w:p>
        </w:tc>
        <w:tc>
          <w:tcPr>
            <w:tcW w:w="512" w:type="pct"/>
            <w:vAlign w:val="bottom"/>
          </w:tcPr>
          <w:p w14:paraId="675D44DD"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027BA84"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F2B0078"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FBDBD01"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2D08CD86"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5C16AF7"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2831650B"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641F3E55" w14:textId="77777777" w:rsidTr="001B330E">
        <w:trPr>
          <w:trHeight w:val="23"/>
        </w:trPr>
        <w:tc>
          <w:tcPr>
            <w:tcW w:w="1416" w:type="pct"/>
            <w:vAlign w:val="bottom"/>
          </w:tcPr>
          <w:p w14:paraId="72299286"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Fair valuation of financial liabilities at FVTPL</w:t>
            </w:r>
          </w:p>
        </w:tc>
        <w:tc>
          <w:tcPr>
            <w:tcW w:w="512" w:type="pct"/>
            <w:vAlign w:val="bottom"/>
          </w:tcPr>
          <w:p w14:paraId="3FE70841"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D347CE8"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1A89B37"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3C5732A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83FB1F8"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3E9B7952"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D8A0CF0"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63AFC682" w14:textId="77777777" w:rsidTr="001B330E">
        <w:trPr>
          <w:trHeight w:val="23"/>
        </w:trPr>
        <w:tc>
          <w:tcPr>
            <w:tcW w:w="1416" w:type="pct"/>
            <w:vAlign w:val="bottom"/>
          </w:tcPr>
          <w:p w14:paraId="1DA7397E"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Associates</w:t>
            </w:r>
          </w:p>
        </w:tc>
        <w:tc>
          <w:tcPr>
            <w:tcW w:w="512" w:type="pct"/>
            <w:vAlign w:val="bottom"/>
          </w:tcPr>
          <w:p w14:paraId="33555EDB"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D24C75B"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3700D90F"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3693D69D"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09D076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3329188"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605B2F9"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76B99A1C" w14:textId="77777777" w:rsidTr="001B330E">
        <w:trPr>
          <w:trHeight w:val="23"/>
        </w:trPr>
        <w:tc>
          <w:tcPr>
            <w:tcW w:w="1416" w:type="pct"/>
            <w:vAlign w:val="bottom"/>
          </w:tcPr>
          <w:p w14:paraId="695F6814"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Accruals</w:t>
            </w:r>
          </w:p>
        </w:tc>
        <w:tc>
          <w:tcPr>
            <w:tcW w:w="512" w:type="pct"/>
            <w:vAlign w:val="bottom"/>
          </w:tcPr>
          <w:p w14:paraId="0C28B4F7"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0B31836"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1B49719"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8157ED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BB0A385"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27E3135"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E329CE3"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64A22D97" w14:textId="77777777" w:rsidTr="001B330E">
        <w:trPr>
          <w:trHeight w:val="23"/>
        </w:trPr>
        <w:tc>
          <w:tcPr>
            <w:tcW w:w="1416" w:type="pct"/>
            <w:vAlign w:val="bottom"/>
          </w:tcPr>
          <w:p w14:paraId="495A28DF"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Tax loss carry forwards</w:t>
            </w:r>
          </w:p>
        </w:tc>
        <w:tc>
          <w:tcPr>
            <w:tcW w:w="512" w:type="pct"/>
            <w:vAlign w:val="bottom"/>
          </w:tcPr>
          <w:p w14:paraId="22DEC0DD"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699AD8F"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0A42788"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48D6B6B"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05EA7A3"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A51E1C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25010D2"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49A19F4F" w14:textId="77777777" w:rsidTr="001B330E">
        <w:trPr>
          <w:trHeight w:val="23"/>
        </w:trPr>
        <w:tc>
          <w:tcPr>
            <w:tcW w:w="1416" w:type="pct"/>
            <w:vAlign w:val="bottom"/>
          </w:tcPr>
          <w:p w14:paraId="3CBBE9E0"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Other</w:t>
            </w:r>
          </w:p>
        </w:tc>
        <w:tc>
          <w:tcPr>
            <w:tcW w:w="512" w:type="pct"/>
            <w:vAlign w:val="bottom"/>
          </w:tcPr>
          <w:p w14:paraId="1007FF0F"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DD09D45"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72E2A18"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111C63D"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1EF0519"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9A3827F"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0D229F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472D7B9D" w14:textId="77777777" w:rsidTr="001B330E">
        <w:trPr>
          <w:trHeight w:val="23"/>
        </w:trPr>
        <w:tc>
          <w:tcPr>
            <w:tcW w:w="1416" w:type="pct"/>
            <w:vAlign w:val="bottom"/>
          </w:tcPr>
          <w:p w14:paraId="58696FCA" w14:textId="110C24F6" w:rsidR="00D83E33" w:rsidRPr="001B330E" w:rsidRDefault="00D83E33" w:rsidP="001B330E">
            <w:pPr>
              <w:widowControl w:val="0"/>
              <w:pBdr>
                <w:top w:val="nil"/>
                <w:left w:val="nil"/>
                <w:bottom w:val="nil"/>
                <w:right w:val="nil"/>
                <w:between w:val="nil"/>
              </w:pBdr>
              <w:ind w:left="113" w:hanging="113"/>
              <w:rPr>
                <w:color w:val="000000"/>
                <w:spacing w:val="-4"/>
                <w:sz w:val="17"/>
                <w:szCs w:val="17"/>
              </w:rPr>
            </w:pPr>
          </w:p>
        </w:tc>
        <w:tc>
          <w:tcPr>
            <w:tcW w:w="512" w:type="pct"/>
            <w:vAlign w:val="bottom"/>
          </w:tcPr>
          <w:p w14:paraId="5FF28D45"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72277B0"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056A329"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6BE1811"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15ADF230"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D30CB26"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63EE472D"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6322A618" w14:textId="77777777" w:rsidTr="001B330E">
        <w:trPr>
          <w:trHeight w:val="23"/>
        </w:trPr>
        <w:tc>
          <w:tcPr>
            <w:tcW w:w="1416" w:type="pct"/>
            <w:tcBorders>
              <w:bottom w:val="single" w:sz="4" w:space="0" w:color="000000"/>
            </w:tcBorders>
            <w:vAlign w:val="bottom"/>
          </w:tcPr>
          <w:p w14:paraId="36EC0FF3" w14:textId="77777777" w:rsidR="00D83E33" w:rsidRPr="001B330E" w:rsidRDefault="00BC4072" w:rsidP="001B330E">
            <w:pPr>
              <w:widowControl w:val="0"/>
              <w:pBdr>
                <w:top w:val="nil"/>
                <w:left w:val="nil"/>
                <w:bottom w:val="nil"/>
                <w:right w:val="nil"/>
                <w:between w:val="nil"/>
              </w:pBdr>
              <w:ind w:left="113" w:hanging="113"/>
              <w:rPr>
                <w:b/>
                <w:color w:val="000000"/>
                <w:spacing w:val="-4"/>
                <w:sz w:val="17"/>
                <w:szCs w:val="17"/>
              </w:rPr>
            </w:pPr>
            <w:r w:rsidRPr="001B330E">
              <w:rPr>
                <w:color w:val="000000"/>
                <w:spacing w:val="-4"/>
                <w:sz w:val="17"/>
                <w:szCs w:val="17"/>
              </w:rPr>
              <w:t> </w:t>
            </w:r>
          </w:p>
        </w:tc>
        <w:tc>
          <w:tcPr>
            <w:tcW w:w="512" w:type="pct"/>
            <w:tcBorders>
              <w:bottom w:val="single" w:sz="4" w:space="0" w:color="000000"/>
            </w:tcBorders>
            <w:vAlign w:val="bottom"/>
          </w:tcPr>
          <w:p w14:paraId="192CB5EC"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vAlign w:val="bottom"/>
          </w:tcPr>
          <w:p w14:paraId="634BCDA3"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vAlign w:val="bottom"/>
          </w:tcPr>
          <w:p w14:paraId="6E1CDB2D"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vAlign w:val="bottom"/>
          </w:tcPr>
          <w:p w14:paraId="64113BF1"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vAlign w:val="bottom"/>
          </w:tcPr>
          <w:p w14:paraId="04356A4A"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vAlign w:val="bottom"/>
          </w:tcPr>
          <w:p w14:paraId="103B5547"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vAlign w:val="bottom"/>
          </w:tcPr>
          <w:p w14:paraId="4F4347B4"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r w:rsidR="00D83E33" w:rsidRPr="004607BE" w14:paraId="74E87D66" w14:textId="77777777" w:rsidTr="001B330E">
        <w:trPr>
          <w:trHeight w:val="23"/>
        </w:trPr>
        <w:tc>
          <w:tcPr>
            <w:tcW w:w="1416" w:type="pct"/>
            <w:tcBorders>
              <w:top w:val="single" w:sz="4" w:space="0" w:color="000000"/>
            </w:tcBorders>
            <w:vAlign w:val="bottom"/>
          </w:tcPr>
          <w:p w14:paraId="434AE187" w14:textId="77777777" w:rsidR="00D83E33" w:rsidRPr="001B330E" w:rsidRDefault="00BC4072" w:rsidP="001B330E">
            <w:pPr>
              <w:widowControl w:val="0"/>
              <w:ind w:left="113" w:hanging="113"/>
              <w:rPr>
                <w:b/>
                <w:spacing w:val="-4"/>
                <w:sz w:val="17"/>
                <w:szCs w:val="17"/>
              </w:rPr>
            </w:pPr>
            <w:r w:rsidRPr="001B330E">
              <w:rPr>
                <w:spacing w:val="-4"/>
                <w:sz w:val="17"/>
                <w:szCs w:val="17"/>
              </w:rPr>
              <w:t> </w:t>
            </w:r>
          </w:p>
        </w:tc>
        <w:tc>
          <w:tcPr>
            <w:tcW w:w="512" w:type="pct"/>
            <w:tcBorders>
              <w:top w:val="single" w:sz="4" w:space="0" w:color="000000"/>
            </w:tcBorders>
            <w:vAlign w:val="bottom"/>
          </w:tcPr>
          <w:p w14:paraId="2ABAC6B8"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5A66500B"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22198F9D"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49A736CD"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2EEE3C3A"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04894A2D"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21EF504E"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r w:rsidR="00D83E33" w:rsidRPr="004607BE" w14:paraId="725DB7C0" w14:textId="77777777" w:rsidTr="001B330E">
        <w:trPr>
          <w:trHeight w:val="23"/>
        </w:trPr>
        <w:tc>
          <w:tcPr>
            <w:tcW w:w="1416" w:type="pct"/>
            <w:vAlign w:val="bottom"/>
          </w:tcPr>
          <w:p w14:paraId="161FB3AF" w14:textId="77777777" w:rsidR="00D83E33" w:rsidRPr="001B330E" w:rsidRDefault="00BC4072" w:rsidP="001B330E">
            <w:pPr>
              <w:widowControl w:val="0"/>
              <w:ind w:left="113" w:hanging="113"/>
              <w:rPr>
                <w:b/>
                <w:spacing w:val="-4"/>
                <w:sz w:val="17"/>
                <w:szCs w:val="17"/>
              </w:rPr>
            </w:pPr>
            <w:r w:rsidRPr="001B330E">
              <w:rPr>
                <w:b/>
                <w:spacing w:val="-4"/>
                <w:sz w:val="17"/>
                <w:szCs w:val="17"/>
              </w:rPr>
              <w:t>Net deferred tax asset/(liability)</w:t>
            </w:r>
          </w:p>
        </w:tc>
        <w:tc>
          <w:tcPr>
            <w:tcW w:w="512" w:type="pct"/>
            <w:vAlign w:val="bottom"/>
          </w:tcPr>
          <w:p w14:paraId="593CFD57"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13CFD85C"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27AC0E86"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0EB60100"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77511A10"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7D61D96F"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2DDF80D2"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r w:rsidR="00D83E33" w:rsidRPr="004607BE" w14:paraId="7BC2B94A" w14:textId="77777777" w:rsidTr="001B330E">
        <w:trPr>
          <w:trHeight w:val="23"/>
        </w:trPr>
        <w:tc>
          <w:tcPr>
            <w:tcW w:w="1416" w:type="pct"/>
            <w:tcBorders>
              <w:bottom w:val="single" w:sz="12" w:space="0" w:color="000000"/>
            </w:tcBorders>
            <w:shd w:val="clear" w:color="auto" w:fill="auto"/>
            <w:vAlign w:val="bottom"/>
          </w:tcPr>
          <w:p w14:paraId="105F3B30" w14:textId="77777777" w:rsidR="00D83E33" w:rsidRPr="001B330E" w:rsidRDefault="00BC4072" w:rsidP="001B330E">
            <w:pPr>
              <w:widowControl w:val="0"/>
              <w:ind w:left="113" w:hanging="113"/>
              <w:rPr>
                <w:b/>
                <w:spacing w:val="-4"/>
                <w:sz w:val="17"/>
                <w:szCs w:val="17"/>
              </w:rPr>
            </w:pPr>
            <w:r w:rsidRPr="001B330E">
              <w:rPr>
                <w:spacing w:val="-4"/>
                <w:sz w:val="17"/>
                <w:szCs w:val="17"/>
              </w:rPr>
              <w:t> </w:t>
            </w:r>
          </w:p>
        </w:tc>
        <w:tc>
          <w:tcPr>
            <w:tcW w:w="512" w:type="pct"/>
            <w:tcBorders>
              <w:bottom w:val="single" w:sz="12" w:space="0" w:color="000000"/>
            </w:tcBorders>
            <w:shd w:val="clear" w:color="auto" w:fill="auto"/>
            <w:vAlign w:val="bottom"/>
          </w:tcPr>
          <w:p w14:paraId="306E4C6C"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shd w:val="clear" w:color="auto" w:fill="auto"/>
            <w:vAlign w:val="bottom"/>
          </w:tcPr>
          <w:p w14:paraId="1276969E"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shd w:val="clear" w:color="auto" w:fill="auto"/>
            <w:vAlign w:val="bottom"/>
          </w:tcPr>
          <w:p w14:paraId="6A7CD488"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shd w:val="clear" w:color="auto" w:fill="auto"/>
            <w:vAlign w:val="bottom"/>
          </w:tcPr>
          <w:p w14:paraId="51F25AE5"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vAlign w:val="bottom"/>
          </w:tcPr>
          <w:p w14:paraId="5995D5D6"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shd w:val="clear" w:color="auto" w:fill="auto"/>
            <w:vAlign w:val="bottom"/>
          </w:tcPr>
          <w:p w14:paraId="643959FE"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shd w:val="clear" w:color="auto" w:fill="auto"/>
            <w:vAlign w:val="bottom"/>
          </w:tcPr>
          <w:p w14:paraId="073E4AA8"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r w:rsidR="00D83E33" w:rsidRPr="004607BE" w14:paraId="42B9EFBC" w14:textId="77777777" w:rsidTr="001B330E">
        <w:trPr>
          <w:trHeight w:val="23"/>
        </w:trPr>
        <w:tc>
          <w:tcPr>
            <w:tcW w:w="1416" w:type="pct"/>
            <w:tcBorders>
              <w:top w:val="single" w:sz="12" w:space="0" w:color="000000"/>
            </w:tcBorders>
            <w:vAlign w:val="bottom"/>
          </w:tcPr>
          <w:p w14:paraId="784B36CD" w14:textId="77777777" w:rsidR="00D83E33" w:rsidRPr="001B330E" w:rsidRDefault="00BC4072" w:rsidP="001B330E">
            <w:pPr>
              <w:widowControl w:val="0"/>
              <w:ind w:left="113" w:hanging="113"/>
              <w:rPr>
                <w:b/>
                <w:spacing w:val="-4"/>
                <w:sz w:val="17"/>
                <w:szCs w:val="17"/>
              </w:rPr>
            </w:pPr>
            <w:r w:rsidRPr="001B330E">
              <w:rPr>
                <w:spacing w:val="-4"/>
                <w:sz w:val="17"/>
                <w:szCs w:val="17"/>
              </w:rPr>
              <w:t> </w:t>
            </w:r>
          </w:p>
        </w:tc>
        <w:tc>
          <w:tcPr>
            <w:tcW w:w="512" w:type="pct"/>
            <w:tcBorders>
              <w:top w:val="single" w:sz="12" w:space="0" w:color="000000"/>
            </w:tcBorders>
            <w:vAlign w:val="bottom"/>
          </w:tcPr>
          <w:p w14:paraId="78825E77"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12" w:space="0" w:color="000000"/>
            </w:tcBorders>
            <w:vAlign w:val="bottom"/>
          </w:tcPr>
          <w:p w14:paraId="3C6EEF25"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12" w:space="0" w:color="000000"/>
            </w:tcBorders>
            <w:vAlign w:val="bottom"/>
          </w:tcPr>
          <w:p w14:paraId="06D93849"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12" w:space="0" w:color="000000"/>
            </w:tcBorders>
            <w:vAlign w:val="bottom"/>
          </w:tcPr>
          <w:p w14:paraId="5650F3D4"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12" w:space="0" w:color="000000"/>
            </w:tcBorders>
            <w:vAlign w:val="bottom"/>
          </w:tcPr>
          <w:p w14:paraId="7AA6E567"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12" w:space="0" w:color="000000"/>
            </w:tcBorders>
            <w:vAlign w:val="bottom"/>
          </w:tcPr>
          <w:p w14:paraId="6FBB9501"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12" w:space="0" w:color="000000"/>
            </w:tcBorders>
            <w:vAlign w:val="bottom"/>
          </w:tcPr>
          <w:p w14:paraId="0A50397C"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r w:rsidR="00D83E33" w:rsidRPr="004607BE" w14:paraId="225F4B91" w14:textId="77777777" w:rsidTr="001B330E">
        <w:trPr>
          <w:trHeight w:val="23"/>
        </w:trPr>
        <w:tc>
          <w:tcPr>
            <w:tcW w:w="1416" w:type="pct"/>
            <w:vAlign w:val="bottom"/>
          </w:tcPr>
          <w:p w14:paraId="722EE725" w14:textId="77777777" w:rsidR="00D83E33" w:rsidRPr="001B330E" w:rsidRDefault="00BC4072" w:rsidP="001B330E">
            <w:pPr>
              <w:widowControl w:val="0"/>
              <w:ind w:left="113" w:hanging="113"/>
              <w:rPr>
                <w:spacing w:val="-4"/>
                <w:sz w:val="17"/>
                <w:szCs w:val="17"/>
              </w:rPr>
            </w:pPr>
            <w:r w:rsidRPr="001B330E">
              <w:rPr>
                <w:spacing w:val="-4"/>
                <w:sz w:val="17"/>
                <w:szCs w:val="17"/>
              </w:rPr>
              <w:t>Recognised deferred tax asset</w:t>
            </w:r>
          </w:p>
        </w:tc>
        <w:tc>
          <w:tcPr>
            <w:tcW w:w="512" w:type="pct"/>
            <w:vAlign w:val="bottom"/>
          </w:tcPr>
          <w:p w14:paraId="0C666D35"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07839FC"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2F554713"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5946529"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58F9DE1D"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4CAE112"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6291D8B"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5AA67A59" w14:textId="77777777" w:rsidTr="001B330E">
        <w:trPr>
          <w:trHeight w:val="23"/>
        </w:trPr>
        <w:tc>
          <w:tcPr>
            <w:tcW w:w="1416" w:type="pct"/>
            <w:vAlign w:val="bottom"/>
          </w:tcPr>
          <w:p w14:paraId="3CE2CD12" w14:textId="77777777" w:rsidR="00D83E33" w:rsidRPr="001B330E" w:rsidRDefault="00BC4072" w:rsidP="001B330E">
            <w:pPr>
              <w:widowControl w:val="0"/>
              <w:ind w:left="113" w:hanging="113"/>
              <w:rPr>
                <w:spacing w:val="-4"/>
                <w:sz w:val="17"/>
                <w:szCs w:val="17"/>
              </w:rPr>
            </w:pPr>
            <w:r w:rsidRPr="001B330E">
              <w:rPr>
                <w:spacing w:val="-4"/>
                <w:sz w:val="17"/>
                <w:szCs w:val="17"/>
              </w:rPr>
              <w:t>Recognised deferred tax liability</w:t>
            </w:r>
          </w:p>
        </w:tc>
        <w:tc>
          <w:tcPr>
            <w:tcW w:w="512" w:type="pct"/>
            <w:vAlign w:val="bottom"/>
          </w:tcPr>
          <w:p w14:paraId="63E20BBF"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1E980EA"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26038BBE"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7114BFE1"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4411FBFF"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0FD36CA"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c>
          <w:tcPr>
            <w:tcW w:w="512" w:type="pct"/>
            <w:vAlign w:val="bottom"/>
          </w:tcPr>
          <w:p w14:paraId="0D2B8BFF"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4607BE" w14:paraId="44D3CBAB" w14:textId="77777777" w:rsidTr="001B330E">
        <w:trPr>
          <w:trHeight w:val="23"/>
        </w:trPr>
        <w:tc>
          <w:tcPr>
            <w:tcW w:w="1416" w:type="pct"/>
            <w:tcBorders>
              <w:bottom w:val="single" w:sz="4" w:space="0" w:color="000000"/>
            </w:tcBorders>
            <w:shd w:val="clear" w:color="auto" w:fill="auto"/>
            <w:vAlign w:val="bottom"/>
          </w:tcPr>
          <w:p w14:paraId="3FB07CF7" w14:textId="77777777" w:rsidR="00D83E33" w:rsidRPr="001B330E" w:rsidRDefault="00BC4072" w:rsidP="001B330E">
            <w:pPr>
              <w:widowControl w:val="0"/>
              <w:ind w:left="113" w:hanging="113"/>
              <w:rPr>
                <w:b/>
                <w:spacing w:val="-4"/>
                <w:sz w:val="17"/>
                <w:szCs w:val="17"/>
              </w:rPr>
            </w:pPr>
            <w:r w:rsidRPr="001B330E">
              <w:rPr>
                <w:spacing w:val="-4"/>
                <w:sz w:val="17"/>
                <w:szCs w:val="17"/>
              </w:rPr>
              <w:t> </w:t>
            </w:r>
          </w:p>
        </w:tc>
        <w:tc>
          <w:tcPr>
            <w:tcW w:w="512" w:type="pct"/>
            <w:tcBorders>
              <w:bottom w:val="single" w:sz="4" w:space="0" w:color="000000"/>
            </w:tcBorders>
            <w:shd w:val="clear" w:color="auto" w:fill="auto"/>
            <w:vAlign w:val="bottom"/>
          </w:tcPr>
          <w:p w14:paraId="70B6DC9B"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shd w:val="clear" w:color="auto" w:fill="auto"/>
            <w:vAlign w:val="bottom"/>
          </w:tcPr>
          <w:p w14:paraId="323A0E16"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shd w:val="clear" w:color="auto" w:fill="auto"/>
            <w:vAlign w:val="bottom"/>
          </w:tcPr>
          <w:p w14:paraId="783B2B7E"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shd w:val="clear" w:color="auto" w:fill="auto"/>
            <w:vAlign w:val="bottom"/>
          </w:tcPr>
          <w:p w14:paraId="1100883F"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vAlign w:val="bottom"/>
          </w:tcPr>
          <w:p w14:paraId="5C779BF2"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shd w:val="clear" w:color="auto" w:fill="auto"/>
            <w:vAlign w:val="bottom"/>
          </w:tcPr>
          <w:p w14:paraId="73A6828E"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4" w:space="0" w:color="000000"/>
            </w:tcBorders>
            <w:shd w:val="clear" w:color="auto" w:fill="auto"/>
            <w:vAlign w:val="bottom"/>
          </w:tcPr>
          <w:p w14:paraId="55EB7426"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r w:rsidR="00D83E33" w:rsidRPr="004607BE" w14:paraId="61BE89C9" w14:textId="77777777" w:rsidTr="001B330E">
        <w:trPr>
          <w:trHeight w:val="23"/>
        </w:trPr>
        <w:tc>
          <w:tcPr>
            <w:tcW w:w="1416" w:type="pct"/>
            <w:tcBorders>
              <w:top w:val="single" w:sz="4" w:space="0" w:color="000000"/>
            </w:tcBorders>
            <w:vAlign w:val="bottom"/>
          </w:tcPr>
          <w:p w14:paraId="0C392E40" w14:textId="77777777" w:rsidR="00D83E33" w:rsidRPr="001B330E" w:rsidRDefault="00BC4072" w:rsidP="001B330E">
            <w:pPr>
              <w:widowControl w:val="0"/>
              <w:ind w:left="113" w:hanging="113"/>
              <w:rPr>
                <w:b/>
                <w:spacing w:val="-4"/>
                <w:sz w:val="17"/>
                <w:szCs w:val="17"/>
              </w:rPr>
            </w:pPr>
            <w:r w:rsidRPr="001B330E">
              <w:rPr>
                <w:spacing w:val="-4"/>
                <w:sz w:val="17"/>
                <w:szCs w:val="17"/>
              </w:rPr>
              <w:t> </w:t>
            </w:r>
          </w:p>
        </w:tc>
        <w:tc>
          <w:tcPr>
            <w:tcW w:w="512" w:type="pct"/>
            <w:tcBorders>
              <w:top w:val="single" w:sz="4" w:space="0" w:color="000000"/>
            </w:tcBorders>
            <w:vAlign w:val="bottom"/>
          </w:tcPr>
          <w:p w14:paraId="08AFF989"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6204BDA8"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6AECBB68"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16DE7BC5"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703EF920"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3AE8222F"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top w:val="single" w:sz="4" w:space="0" w:color="000000"/>
            </w:tcBorders>
            <w:vAlign w:val="bottom"/>
          </w:tcPr>
          <w:p w14:paraId="76742BBB"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r w:rsidR="00D83E33" w:rsidRPr="004607BE" w14:paraId="30C043BF" w14:textId="77777777" w:rsidTr="001B330E">
        <w:trPr>
          <w:trHeight w:val="23"/>
        </w:trPr>
        <w:tc>
          <w:tcPr>
            <w:tcW w:w="1416" w:type="pct"/>
            <w:vAlign w:val="bottom"/>
          </w:tcPr>
          <w:p w14:paraId="65B8D0BD" w14:textId="77777777" w:rsidR="00D83E33" w:rsidRPr="001B330E" w:rsidRDefault="00BC4072" w:rsidP="001B330E">
            <w:pPr>
              <w:widowControl w:val="0"/>
              <w:ind w:left="113" w:hanging="113"/>
              <w:rPr>
                <w:b/>
                <w:spacing w:val="-4"/>
                <w:sz w:val="17"/>
                <w:szCs w:val="17"/>
              </w:rPr>
            </w:pPr>
            <w:r w:rsidRPr="001B330E">
              <w:rPr>
                <w:b/>
                <w:spacing w:val="-4"/>
                <w:sz w:val="17"/>
                <w:szCs w:val="17"/>
              </w:rPr>
              <w:t>Net deferred tax asset/(liability)</w:t>
            </w:r>
          </w:p>
        </w:tc>
        <w:tc>
          <w:tcPr>
            <w:tcW w:w="512" w:type="pct"/>
            <w:vAlign w:val="bottom"/>
          </w:tcPr>
          <w:p w14:paraId="7E2CD200"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1881470F"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328FC412"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5061B42A"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4F498FFD"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5425C9DB"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vAlign w:val="bottom"/>
          </w:tcPr>
          <w:p w14:paraId="48BDB472"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r w:rsidR="00D83E33" w:rsidRPr="004607BE" w14:paraId="2C463D01" w14:textId="77777777" w:rsidTr="001B330E">
        <w:trPr>
          <w:trHeight w:val="23"/>
        </w:trPr>
        <w:tc>
          <w:tcPr>
            <w:tcW w:w="1416" w:type="pct"/>
            <w:tcBorders>
              <w:bottom w:val="single" w:sz="12" w:space="0" w:color="000000"/>
            </w:tcBorders>
            <w:vAlign w:val="bottom"/>
          </w:tcPr>
          <w:p w14:paraId="5AF3B10E" w14:textId="77777777" w:rsidR="00D83E33" w:rsidRPr="001B330E" w:rsidRDefault="00BC4072" w:rsidP="001B330E">
            <w:pPr>
              <w:widowControl w:val="0"/>
              <w:ind w:left="113" w:hanging="113"/>
              <w:rPr>
                <w:b/>
                <w:spacing w:val="-4"/>
                <w:sz w:val="17"/>
                <w:szCs w:val="17"/>
              </w:rPr>
            </w:pPr>
            <w:r w:rsidRPr="001B330E">
              <w:rPr>
                <w:spacing w:val="-4"/>
                <w:sz w:val="17"/>
                <w:szCs w:val="17"/>
              </w:rPr>
              <w:t> </w:t>
            </w:r>
          </w:p>
        </w:tc>
        <w:tc>
          <w:tcPr>
            <w:tcW w:w="512" w:type="pct"/>
            <w:tcBorders>
              <w:bottom w:val="single" w:sz="12" w:space="0" w:color="000000"/>
            </w:tcBorders>
            <w:vAlign w:val="bottom"/>
          </w:tcPr>
          <w:p w14:paraId="51DC488A"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vAlign w:val="bottom"/>
          </w:tcPr>
          <w:p w14:paraId="0AD7C9E7"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vAlign w:val="bottom"/>
          </w:tcPr>
          <w:p w14:paraId="13694863"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vAlign w:val="bottom"/>
          </w:tcPr>
          <w:p w14:paraId="490AAA8C"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vAlign w:val="bottom"/>
          </w:tcPr>
          <w:p w14:paraId="393D999F"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vAlign w:val="bottom"/>
          </w:tcPr>
          <w:p w14:paraId="0B3B3DA9"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c>
          <w:tcPr>
            <w:tcW w:w="512" w:type="pct"/>
            <w:tcBorders>
              <w:bottom w:val="single" w:sz="12" w:space="0" w:color="000000"/>
            </w:tcBorders>
            <w:vAlign w:val="bottom"/>
          </w:tcPr>
          <w:p w14:paraId="7AB92826" w14:textId="77777777" w:rsidR="00D83E33" w:rsidRPr="001B330E" w:rsidRDefault="00D83E33" w:rsidP="001B330E">
            <w:pPr>
              <w:widowControl w:val="0"/>
              <w:pBdr>
                <w:top w:val="nil"/>
                <w:left w:val="nil"/>
                <w:bottom w:val="nil"/>
                <w:right w:val="nil"/>
                <w:between w:val="nil"/>
              </w:pBdr>
              <w:jc w:val="right"/>
              <w:rPr>
                <w:b/>
                <w:color w:val="000000"/>
                <w:spacing w:val="-4"/>
                <w:sz w:val="17"/>
                <w:szCs w:val="17"/>
              </w:rPr>
            </w:pPr>
          </w:p>
        </w:tc>
      </w:tr>
    </w:tbl>
    <w:p w14:paraId="1D9F2B4D" w14:textId="306B81CA" w:rsidR="00D83E33" w:rsidRDefault="00BC4072" w:rsidP="001B330E">
      <w:pPr>
        <w:pStyle w:val="Continued"/>
      </w:pPr>
      <w:r>
        <w:lastRenderedPageBreak/>
        <w:t>36</w:t>
      </w:r>
      <w:r>
        <w:tab/>
        <w:t>Income Taxes (Continued)</w:t>
      </w:r>
    </w:p>
    <w:p w14:paraId="7E4CFDF0" w14:textId="151E5B14"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In the context of the Group’s current structure and </w:t>
      </w:r>
      <w:r w:rsidR="00372E26">
        <w:rPr>
          <w:color w:val="000000"/>
          <w:sz w:val="20"/>
          <w:szCs w:val="20"/>
        </w:rPr>
        <w:t>[Country]</w:t>
      </w:r>
      <w:r w:rsidR="00192497">
        <w:rPr>
          <w:color w:val="000000"/>
          <w:sz w:val="20"/>
          <w:szCs w:val="20"/>
        </w:rPr>
        <w:t xml:space="preserve"> </w:t>
      </w:r>
      <w:r>
        <w:rPr>
          <w:color w:val="000000"/>
          <w:sz w:val="20"/>
          <w:szCs w:val="20"/>
        </w:rPr>
        <w:t xml:space="preserve">tax legislation, tax losses and current tax assets of different group companies may not be offset against current tax liabilities and taxable profits of other group companies and, accordingly, taxes may accrue even where there is a consolidated tax loss. Therefore, deferred tax assets and liabilities are offset only when they relate to the same taxable entity and the same taxation authority. </w:t>
      </w:r>
      <w:r>
        <w:rPr>
          <w:i/>
          <w:color w:val="FF0000"/>
          <w:sz w:val="20"/>
          <w:szCs w:val="20"/>
        </w:rPr>
        <w:t>[Tailor wording if non-</w:t>
      </w:r>
      <w:r w:rsidR="00372E26">
        <w:rPr>
          <w:i/>
          <w:color w:val="FF0000"/>
          <w:sz w:val="20"/>
          <w:szCs w:val="20"/>
        </w:rPr>
        <w:t>[Country]</w:t>
      </w:r>
      <w:r>
        <w:rPr>
          <w:i/>
          <w:color w:val="FF0000"/>
          <w:sz w:val="20"/>
          <w:szCs w:val="20"/>
        </w:rPr>
        <w:t xml:space="preserve"> tax legislation also applies to Group entities.]</w:t>
      </w:r>
    </w:p>
    <w:tbl>
      <w:tblPr>
        <w:tblStyle w:val="affffffffffffa"/>
        <w:tblW w:w="5000" w:type="pct"/>
        <w:tblLayout w:type="fixed"/>
        <w:tblLook w:val="0000" w:firstRow="0" w:lastRow="0" w:firstColumn="0" w:lastColumn="0" w:noHBand="0" w:noVBand="0"/>
      </w:tblPr>
      <w:tblGrid>
        <w:gridCol w:w="2645"/>
        <w:gridCol w:w="953"/>
        <w:gridCol w:w="953"/>
        <w:gridCol w:w="952"/>
        <w:gridCol w:w="954"/>
        <w:gridCol w:w="954"/>
        <w:gridCol w:w="954"/>
        <w:gridCol w:w="990"/>
      </w:tblGrid>
      <w:tr w:rsidR="00D83E33" w:rsidRPr="00B36E8E" w14:paraId="43BB0E6B" w14:textId="77777777" w:rsidTr="001B330E">
        <w:trPr>
          <w:trHeight w:val="23"/>
        </w:trPr>
        <w:tc>
          <w:tcPr>
            <w:tcW w:w="1413" w:type="pct"/>
            <w:tcBorders>
              <w:bottom w:val="single" w:sz="4" w:space="0" w:color="000000"/>
            </w:tcBorders>
            <w:vAlign w:val="bottom"/>
          </w:tcPr>
          <w:p w14:paraId="6AB6DFA3" w14:textId="7C4ED547" w:rsidR="00D83E33" w:rsidRPr="001B330E" w:rsidRDefault="00313B4D" w:rsidP="001B330E">
            <w:pPr>
              <w:widowControl w:val="0"/>
              <w:pBdr>
                <w:top w:val="nil"/>
                <w:left w:val="nil"/>
                <w:bottom w:val="nil"/>
                <w:right w:val="nil"/>
                <w:between w:val="nil"/>
              </w:pBdr>
              <w:ind w:left="113" w:hanging="113"/>
              <w:rPr>
                <w:b/>
                <w:i/>
                <w:color w:val="000000"/>
                <w:spacing w:val="-4"/>
              </w:rPr>
            </w:pPr>
            <w:r>
              <w:rPr>
                <w:i/>
                <w:color w:val="000000"/>
                <w:spacing w:val="-4"/>
              </w:rPr>
              <w:t xml:space="preserve">In thousands of </w:t>
            </w:r>
            <w:r w:rsidR="002649EE">
              <w:rPr>
                <w:i/>
                <w:color w:val="000000"/>
                <w:spacing w:val="-4"/>
              </w:rPr>
              <w:t>EUR</w:t>
            </w:r>
          </w:p>
        </w:tc>
        <w:tc>
          <w:tcPr>
            <w:tcW w:w="509" w:type="pct"/>
            <w:tcBorders>
              <w:bottom w:val="single" w:sz="4" w:space="0" w:color="000000"/>
            </w:tcBorders>
          </w:tcPr>
          <w:p w14:paraId="04AE6F5F" w14:textId="3ACDAC5A"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 xml:space="preserve">1 January </w:t>
            </w:r>
            <w:r w:rsidR="00541EBC">
              <w:rPr>
                <w:b/>
                <w:color w:val="000000"/>
                <w:spacing w:val="-4"/>
              </w:rPr>
              <w:t>2023</w:t>
            </w:r>
          </w:p>
        </w:tc>
        <w:tc>
          <w:tcPr>
            <w:tcW w:w="509" w:type="pct"/>
            <w:tcBorders>
              <w:bottom w:val="single" w:sz="4" w:space="0" w:color="000000"/>
            </w:tcBorders>
          </w:tcPr>
          <w:p w14:paraId="32F34C5B"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Business combi-nations</w:t>
            </w:r>
          </w:p>
        </w:tc>
        <w:tc>
          <w:tcPr>
            <w:tcW w:w="509" w:type="pct"/>
            <w:tcBorders>
              <w:bottom w:val="single" w:sz="4" w:space="0" w:color="000000"/>
            </w:tcBorders>
          </w:tcPr>
          <w:p w14:paraId="3AC5056B"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Transfer to non-current held for sale</w:t>
            </w:r>
          </w:p>
        </w:tc>
        <w:tc>
          <w:tcPr>
            <w:tcW w:w="510" w:type="pct"/>
            <w:tcBorders>
              <w:bottom w:val="single" w:sz="4" w:space="0" w:color="000000"/>
            </w:tcBorders>
          </w:tcPr>
          <w:p w14:paraId="336DA2DA"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Credited/ (charged) to profit or loss</w:t>
            </w:r>
          </w:p>
        </w:tc>
        <w:tc>
          <w:tcPr>
            <w:tcW w:w="510" w:type="pct"/>
            <w:tcBorders>
              <w:bottom w:val="single" w:sz="4" w:space="0" w:color="000000"/>
            </w:tcBorders>
          </w:tcPr>
          <w:p w14:paraId="100D5BE4"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Credited/ (charged) to other compre-hensive income</w:t>
            </w:r>
          </w:p>
        </w:tc>
        <w:tc>
          <w:tcPr>
            <w:tcW w:w="510" w:type="pct"/>
            <w:tcBorders>
              <w:bottom w:val="single" w:sz="4" w:space="0" w:color="000000"/>
            </w:tcBorders>
          </w:tcPr>
          <w:p w14:paraId="6B8AF35F"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Credited/ (charged) directly to equity</w:t>
            </w:r>
          </w:p>
        </w:tc>
        <w:tc>
          <w:tcPr>
            <w:tcW w:w="529" w:type="pct"/>
            <w:tcBorders>
              <w:bottom w:val="single" w:sz="4" w:space="0" w:color="000000"/>
            </w:tcBorders>
          </w:tcPr>
          <w:p w14:paraId="4CA77088"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 xml:space="preserve">31 Decem-ber </w:t>
            </w:r>
          </w:p>
          <w:p w14:paraId="4E94F656" w14:textId="7F59CD70" w:rsidR="00D83E33" w:rsidRPr="001B330E" w:rsidRDefault="00541EBC">
            <w:pPr>
              <w:widowControl w:val="0"/>
              <w:pBdr>
                <w:top w:val="nil"/>
                <w:left w:val="nil"/>
                <w:bottom w:val="nil"/>
                <w:right w:val="nil"/>
                <w:between w:val="nil"/>
              </w:pBdr>
              <w:ind w:left="-113"/>
              <w:jc w:val="right"/>
              <w:rPr>
                <w:b/>
                <w:color w:val="000000"/>
                <w:spacing w:val="-4"/>
              </w:rPr>
            </w:pPr>
            <w:r>
              <w:rPr>
                <w:b/>
                <w:color w:val="000000"/>
                <w:spacing w:val="-4"/>
              </w:rPr>
              <w:t>2024</w:t>
            </w:r>
          </w:p>
        </w:tc>
      </w:tr>
      <w:tr w:rsidR="00D83E33" w:rsidRPr="00B36E8E" w14:paraId="7EAFF7CA" w14:textId="77777777" w:rsidTr="001B330E">
        <w:trPr>
          <w:trHeight w:val="23"/>
        </w:trPr>
        <w:tc>
          <w:tcPr>
            <w:tcW w:w="1413" w:type="pct"/>
            <w:vAlign w:val="bottom"/>
          </w:tcPr>
          <w:p w14:paraId="7A24FC27" w14:textId="77777777" w:rsidR="00D83E33" w:rsidRPr="001B330E" w:rsidRDefault="00BC4072" w:rsidP="001B330E">
            <w:pPr>
              <w:widowControl w:val="0"/>
              <w:ind w:left="113" w:hanging="113"/>
              <w:rPr>
                <w:spacing w:val="-4"/>
              </w:rPr>
            </w:pPr>
            <w:r w:rsidRPr="001B330E">
              <w:rPr>
                <w:spacing w:val="-4"/>
              </w:rPr>
              <w:t> </w:t>
            </w:r>
          </w:p>
        </w:tc>
        <w:tc>
          <w:tcPr>
            <w:tcW w:w="509" w:type="pct"/>
            <w:vAlign w:val="bottom"/>
          </w:tcPr>
          <w:p w14:paraId="77EA69D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6EB38B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8ECB08F"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6B3E2833"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4A992CF4"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715E735D"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4F7CB81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038DA993" w14:textId="77777777" w:rsidTr="001B330E">
        <w:trPr>
          <w:trHeight w:val="23"/>
        </w:trPr>
        <w:tc>
          <w:tcPr>
            <w:tcW w:w="1413" w:type="pct"/>
            <w:vAlign w:val="bottom"/>
          </w:tcPr>
          <w:p w14:paraId="3FC1F69F" w14:textId="77777777" w:rsidR="00D83E33" w:rsidRPr="001B330E" w:rsidRDefault="00BC4072" w:rsidP="001B330E">
            <w:pPr>
              <w:widowControl w:val="0"/>
              <w:pBdr>
                <w:top w:val="nil"/>
                <w:left w:val="nil"/>
                <w:bottom w:val="nil"/>
                <w:right w:val="nil"/>
                <w:between w:val="nil"/>
              </w:pBdr>
              <w:ind w:left="113" w:hanging="113"/>
              <w:rPr>
                <w:b/>
                <w:color w:val="000000"/>
                <w:spacing w:val="-4"/>
              </w:rPr>
            </w:pPr>
            <w:r w:rsidRPr="001B330E">
              <w:rPr>
                <w:b/>
                <w:color w:val="000000"/>
                <w:spacing w:val="-4"/>
              </w:rPr>
              <w:t xml:space="preserve">Tax effect of deductible/(taxable) temporary differences </w:t>
            </w:r>
            <w:r w:rsidRPr="001B330E">
              <w:rPr>
                <w:b/>
                <w:color w:val="0000FF"/>
                <w:spacing w:val="-4"/>
              </w:rPr>
              <w:t>[and tax loss carry forwards]</w:t>
            </w:r>
          </w:p>
        </w:tc>
        <w:tc>
          <w:tcPr>
            <w:tcW w:w="509" w:type="pct"/>
            <w:vAlign w:val="bottom"/>
          </w:tcPr>
          <w:p w14:paraId="0F1EFD84"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vAlign w:val="bottom"/>
          </w:tcPr>
          <w:p w14:paraId="32F07CEE"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vAlign w:val="bottom"/>
          </w:tcPr>
          <w:p w14:paraId="4EF59758"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vAlign w:val="bottom"/>
          </w:tcPr>
          <w:p w14:paraId="3EBBDF7D"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vAlign w:val="bottom"/>
          </w:tcPr>
          <w:p w14:paraId="4879940E"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vAlign w:val="bottom"/>
          </w:tcPr>
          <w:p w14:paraId="7B31A829"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vAlign w:val="bottom"/>
          </w:tcPr>
          <w:p w14:paraId="3B0D2D3F" w14:textId="77777777" w:rsidR="00D83E33" w:rsidRPr="001B330E" w:rsidRDefault="00D83E33">
            <w:pPr>
              <w:widowControl w:val="0"/>
              <w:pBdr>
                <w:top w:val="nil"/>
                <w:left w:val="nil"/>
                <w:bottom w:val="nil"/>
                <w:right w:val="nil"/>
                <w:between w:val="nil"/>
              </w:pBdr>
              <w:jc w:val="right"/>
              <w:rPr>
                <w:b/>
                <w:color w:val="000000"/>
                <w:spacing w:val="-4"/>
              </w:rPr>
            </w:pPr>
          </w:p>
        </w:tc>
      </w:tr>
      <w:tr w:rsidR="00D83E33" w:rsidRPr="00B36E8E" w14:paraId="2A08C3BC" w14:textId="77777777" w:rsidTr="001B330E">
        <w:trPr>
          <w:trHeight w:val="23"/>
        </w:trPr>
        <w:tc>
          <w:tcPr>
            <w:tcW w:w="1413" w:type="pct"/>
            <w:vAlign w:val="bottom"/>
          </w:tcPr>
          <w:p w14:paraId="6CAF1E27" w14:textId="0E09745E"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Premises and equipment</w:t>
            </w:r>
          </w:p>
        </w:tc>
        <w:tc>
          <w:tcPr>
            <w:tcW w:w="509" w:type="pct"/>
            <w:vAlign w:val="bottom"/>
          </w:tcPr>
          <w:p w14:paraId="1524AF6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692E2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D1B4E34"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2B93ECCB"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64F001A8"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667C8908"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52A1F38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6FDAB33A" w14:textId="77777777" w:rsidTr="001B330E">
        <w:trPr>
          <w:trHeight w:val="23"/>
        </w:trPr>
        <w:tc>
          <w:tcPr>
            <w:tcW w:w="1413" w:type="pct"/>
            <w:vAlign w:val="bottom"/>
          </w:tcPr>
          <w:p w14:paraId="2D49CB87"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Credit loss allowance of loans</w:t>
            </w:r>
          </w:p>
        </w:tc>
        <w:tc>
          <w:tcPr>
            <w:tcW w:w="509" w:type="pct"/>
            <w:vAlign w:val="bottom"/>
          </w:tcPr>
          <w:p w14:paraId="0311D7C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E8FD00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2D45A3"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39D55090"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47806FB1"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2549A8CD"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15DD8F9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455D0DA7" w14:textId="77777777" w:rsidTr="001B330E">
        <w:trPr>
          <w:trHeight w:val="23"/>
        </w:trPr>
        <w:tc>
          <w:tcPr>
            <w:tcW w:w="1413" w:type="pct"/>
            <w:vAlign w:val="bottom"/>
          </w:tcPr>
          <w:p w14:paraId="341A9F53"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Fair valuation of securities at FVTPL</w:t>
            </w:r>
          </w:p>
        </w:tc>
        <w:tc>
          <w:tcPr>
            <w:tcW w:w="509" w:type="pct"/>
            <w:vAlign w:val="bottom"/>
          </w:tcPr>
          <w:p w14:paraId="7C5EF25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182EBF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6A40560"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0D6F241F"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7BC970A1"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79F2D99B"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7492F8B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171B43F5" w14:textId="77777777" w:rsidTr="001B330E">
        <w:trPr>
          <w:trHeight w:val="23"/>
        </w:trPr>
        <w:tc>
          <w:tcPr>
            <w:tcW w:w="1413" w:type="pct"/>
            <w:vAlign w:val="bottom"/>
          </w:tcPr>
          <w:p w14:paraId="1DE192EA"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Fair valuation of securities at FVOCI</w:t>
            </w:r>
          </w:p>
        </w:tc>
        <w:tc>
          <w:tcPr>
            <w:tcW w:w="509" w:type="pct"/>
            <w:vAlign w:val="bottom"/>
          </w:tcPr>
          <w:p w14:paraId="71CDED4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414A79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76D395F"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243EC73B"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176DF47C"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7048E88C"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380E4935"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57F90B1E" w14:textId="77777777" w:rsidTr="001B330E">
        <w:trPr>
          <w:trHeight w:val="23"/>
        </w:trPr>
        <w:tc>
          <w:tcPr>
            <w:tcW w:w="1413" w:type="pct"/>
            <w:vAlign w:val="bottom"/>
          </w:tcPr>
          <w:p w14:paraId="0C0ACF58"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Credit loss allowance of securities at AC</w:t>
            </w:r>
          </w:p>
        </w:tc>
        <w:tc>
          <w:tcPr>
            <w:tcW w:w="509" w:type="pct"/>
            <w:vAlign w:val="bottom"/>
          </w:tcPr>
          <w:p w14:paraId="15C1256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C5CB3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8121084"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08106462"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77E7C190"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10F9B9D6"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575AF86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78E6BBA8" w14:textId="77777777" w:rsidTr="001B330E">
        <w:trPr>
          <w:trHeight w:val="23"/>
        </w:trPr>
        <w:tc>
          <w:tcPr>
            <w:tcW w:w="1413" w:type="pct"/>
            <w:vAlign w:val="bottom"/>
          </w:tcPr>
          <w:p w14:paraId="082C6D78"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Associates</w:t>
            </w:r>
          </w:p>
        </w:tc>
        <w:tc>
          <w:tcPr>
            <w:tcW w:w="509" w:type="pct"/>
            <w:vAlign w:val="bottom"/>
          </w:tcPr>
          <w:p w14:paraId="2B7059D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032ED9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CD07519"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3428F402"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2225C5D9"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1E23D67F"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5FE8969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1144C09C" w14:textId="77777777" w:rsidTr="001B330E">
        <w:trPr>
          <w:trHeight w:val="23"/>
        </w:trPr>
        <w:tc>
          <w:tcPr>
            <w:tcW w:w="1413" w:type="pct"/>
            <w:vAlign w:val="bottom"/>
          </w:tcPr>
          <w:p w14:paraId="46BA05D4"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Accruals</w:t>
            </w:r>
          </w:p>
        </w:tc>
        <w:tc>
          <w:tcPr>
            <w:tcW w:w="509" w:type="pct"/>
            <w:vAlign w:val="bottom"/>
          </w:tcPr>
          <w:p w14:paraId="697E822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55356A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30FC25"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4745F45A"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61BC0386"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04E01BED"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249C0A52"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1F31C862" w14:textId="77777777" w:rsidTr="001B330E">
        <w:trPr>
          <w:trHeight w:val="23"/>
        </w:trPr>
        <w:tc>
          <w:tcPr>
            <w:tcW w:w="1413" w:type="pct"/>
            <w:vAlign w:val="bottom"/>
          </w:tcPr>
          <w:p w14:paraId="159DEBD4"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Tax loss carry forwards</w:t>
            </w:r>
          </w:p>
        </w:tc>
        <w:tc>
          <w:tcPr>
            <w:tcW w:w="509" w:type="pct"/>
            <w:vAlign w:val="bottom"/>
          </w:tcPr>
          <w:p w14:paraId="666CDE9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9A4E22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585106B"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1CD3A454"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7E53DA9E"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71F6D0C3"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24B3C24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222E3A1F" w14:textId="77777777" w:rsidTr="001B330E">
        <w:trPr>
          <w:trHeight w:val="23"/>
        </w:trPr>
        <w:tc>
          <w:tcPr>
            <w:tcW w:w="1413" w:type="pct"/>
            <w:vAlign w:val="bottom"/>
          </w:tcPr>
          <w:p w14:paraId="53E12B38"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Other</w:t>
            </w:r>
          </w:p>
        </w:tc>
        <w:tc>
          <w:tcPr>
            <w:tcW w:w="509" w:type="pct"/>
            <w:vAlign w:val="bottom"/>
          </w:tcPr>
          <w:p w14:paraId="0043F87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A9F76A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29879FA"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0E8C5DB7"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39F3EC8E"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5DC6CA77"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2E5230F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7EA27DD5" w14:textId="77777777" w:rsidTr="001B330E">
        <w:trPr>
          <w:trHeight w:val="23"/>
        </w:trPr>
        <w:tc>
          <w:tcPr>
            <w:tcW w:w="1413" w:type="pct"/>
            <w:vAlign w:val="bottom"/>
          </w:tcPr>
          <w:p w14:paraId="6278736D" w14:textId="1BC1E922" w:rsidR="00D83E33" w:rsidRPr="001B330E" w:rsidRDefault="00D83E33" w:rsidP="001B330E">
            <w:pPr>
              <w:widowControl w:val="0"/>
              <w:pBdr>
                <w:top w:val="nil"/>
                <w:left w:val="nil"/>
                <w:bottom w:val="nil"/>
                <w:right w:val="nil"/>
                <w:between w:val="nil"/>
              </w:pBdr>
              <w:ind w:left="113" w:hanging="113"/>
              <w:rPr>
                <w:color w:val="000000"/>
                <w:spacing w:val="-4"/>
              </w:rPr>
            </w:pPr>
          </w:p>
        </w:tc>
        <w:tc>
          <w:tcPr>
            <w:tcW w:w="509" w:type="pct"/>
            <w:vAlign w:val="bottom"/>
          </w:tcPr>
          <w:p w14:paraId="41F1175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18DF9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A4650D0"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669714CD"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4D05E320"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75E7169E"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3D5B9CF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3E9268A6" w14:textId="77777777" w:rsidTr="001B330E">
        <w:trPr>
          <w:trHeight w:val="23"/>
        </w:trPr>
        <w:tc>
          <w:tcPr>
            <w:tcW w:w="1413" w:type="pct"/>
            <w:tcBorders>
              <w:bottom w:val="single" w:sz="4" w:space="0" w:color="000000"/>
            </w:tcBorders>
            <w:vAlign w:val="bottom"/>
          </w:tcPr>
          <w:p w14:paraId="3AC2521C" w14:textId="77777777" w:rsidR="00D83E33" w:rsidRPr="001B330E" w:rsidRDefault="00BC4072" w:rsidP="001B330E">
            <w:pPr>
              <w:widowControl w:val="0"/>
              <w:pBdr>
                <w:top w:val="nil"/>
                <w:left w:val="nil"/>
                <w:bottom w:val="nil"/>
                <w:right w:val="nil"/>
                <w:between w:val="nil"/>
              </w:pBdr>
              <w:ind w:left="113" w:hanging="113"/>
              <w:rPr>
                <w:b/>
                <w:color w:val="000000"/>
                <w:spacing w:val="-4"/>
              </w:rPr>
            </w:pPr>
            <w:r w:rsidRPr="001B330E">
              <w:rPr>
                <w:color w:val="000000"/>
                <w:spacing w:val="-4"/>
              </w:rPr>
              <w:t> </w:t>
            </w:r>
          </w:p>
        </w:tc>
        <w:tc>
          <w:tcPr>
            <w:tcW w:w="509" w:type="pct"/>
            <w:tcBorders>
              <w:bottom w:val="single" w:sz="4" w:space="0" w:color="000000"/>
            </w:tcBorders>
            <w:vAlign w:val="bottom"/>
          </w:tcPr>
          <w:p w14:paraId="4BD4CE38"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4" w:space="0" w:color="000000"/>
            </w:tcBorders>
            <w:vAlign w:val="bottom"/>
          </w:tcPr>
          <w:p w14:paraId="3DF81036"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4" w:space="0" w:color="000000"/>
            </w:tcBorders>
            <w:vAlign w:val="bottom"/>
          </w:tcPr>
          <w:p w14:paraId="7092C799"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4" w:space="0" w:color="000000"/>
            </w:tcBorders>
            <w:vAlign w:val="bottom"/>
          </w:tcPr>
          <w:p w14:paraId="4A002C92"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4" w:space="0" w:color="000000"/>
            </w:tcBorders>
            <w:vAlign w:val="bottom"/>
          </w:tcPr>
          <w:p w14:paraId="03BABDC7"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4" w:space="0" w:color="000000"/>
            </w:tcBorders>
            <w:vAlign w:val="bottom"/>
          </w:tcPr>
          <w:p w14:paraId="2E0F1B83"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tcBorders>
              <w:bottom w:val="single" w:sz="4" w:space="0" w:color="000000"/>
            </w:tcBorders>
            <w:vAlign w:val="bottom"/>
          </w:tcPr>
          <w:p w14:paraId="149F4E7A" w14:textId="77777777" w:rsidR="00D83E33" w:rsidRPr="001B330E" w:rsidRDefault="00D83E33">
            <w:pPr>
              <w:widowControl w:val="0"/>
              <w:pBdr>
                <w:top w:val="nil"/>
                <w:left w:val="nil"/>
                <w:bottom w:val="nil"/>
                <w:right w:val="nil"/>
                <w:between w:val="nil"/>
              </w:pBdr>
              <w:jc w:val="right"/>
              <w:rPr>
                <w:b/>
                <w:color w:val="000000"/>
                <w:spacing w:val="-4"/>
              </w:rPr>
            </w:pPr>
          </w:p>
        </w:tc>
      </w:tr>
      <w:tr w:rsidR="00D83E33" w:rsidRPr="00B36E8E" w14:paraId="1DC4024A" w14:textId="77777777" w:rsidTr="001B330E">
        <w:trPr>
          <w:trHeight w:val="23"/>
        </w:trPr>
        <w:tc>
          <w:tcPr>
            <w:tcW w:w="1413" w:type="pct"/>
            <w:tcBorders>
              <w:top w:val="single" w:sz="4" w:space="0" w:color="000000"/>
            </w:tcBorders>
            <w:vAlign w:val="bottom"/>
          </w:tcPr>
          <w:p w14:paraId="11C58957" w14:textId="77777777" w:rsidR="00D83E33" w:rsidRPr="001B330E" w:rsidRDefault="00BC4072" w:rsidP="001B330E">
            <w:pPr>
              <w:widowControl w:val="0"/>
              <w:ind w:left="113" w:hanging="113"/>
              <w:rPr>
                <w:b/>
                <w:spacing w:val="-4"/>
              </w:rPr>
            </w:pPr>
            <w:r w:rsidRPr="001B330E">
              <w:rPr>
                <w:spacing w:val="-4"/>
              </w:rPr>
              <w:t> </w:t>
            </w:r>
          </w:p>
        </w:tc>
        <w:tc>
          <w:tcPr>
            <w:tcW w:w="509" w:type="pct"/>
            <w:tcBorders>
              <w:top w:val="single" w:sz="4" w:space="0" w:color="000000"/>
            </w:tcBorders>
            <w:vAlign w:val="bottom"/>
          </w:tcPr>
          <w:p w14:paraId="62328AB2"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top w:val="single" w:sz="4" w:space="0" w:color="000000"/>
            </w:tcBorders>
            <w:vAlign w:val="bottom"/>
          </w:tcPr>
          <w:p w14:paraId="47FFC26E"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top w:val="single" w:sz="4" w:space="0" w:color="000000"/>
            </w:tcBorders>
            <w:vAlign w:val="bottom"/>
          </w:tcPr>
          <w:p w14:paraId="39D2C1CA"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top w:val="single" w:sz="4" w:space="0" w:color="000000"/>
            </w:tcBorders>
            <w:vAlign w:val="bottom"/>
          </w:tcPr>
          <w:p w14:paraId="65613554"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top w:val="single" w:sz="4" w:space="0" w:color="000000"/>
            </w:tcBorders>
            <w:vAlign w:val="bottom"/>
          </w:tcPr>
          <w:p w14:paraId="5D47B446"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top w:val="single" w:sz="4" w:space="0" w:color="000000"/>
            </w:tcBorders>
            <w:vAlign w:val="bottom"/>
          </w:tcPr>
          <w:p w14:paraId="22DBDCB0"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tcBorders>
              <w:top w:val="single" w:sz="4" w:space="0" w:color="000000"/>
            </w:tcBorders>
            <w:vAlign w:val="bottom"/>
          </w:tcPr>
          <w:p w14:paraId="67AE1E0F" w14:textId="77777777" w:rsidR="00D83E33" w:rsidRPr="001B330E" w:rsidRDefault="00D83E33">
            <w:pPr>
              <w:widowControl w:val="0"/>
              <w:pBdr>
                <w:top w:val="nil"/>
                <w:left w:val="nil"/>
                <w:bottom w:val="nil"/>
                <w:right w:val="nil"/>
                <w:between w:val="nil"/>
              </w:pBdr>
              <w:jc w:val="right"/>
              <w:rPr>
                <w:b/>
                <w:color w:val="000000"/>
                <w:spacing w:val="-4"/>
              </w:rPr>
            </w:pPr>
          </w:p>
        </w:tc>
      </w:tr>
      <w:tr w:rsidR="00D83E33" w:rsidRPr="00B36E8E" w14:paraId="7D998A1F" w14:textId="77777777" w:rsidTr="001B330E">
        <w:trPr>
          <w:trHeight w:val="23"/>
        </w:trPr>
        <w:tc>
          <w:tcPr>
            <w:tcW w:w="1413" w:type="pct"/>
            <w:vAlign w:val="bottom"/>
          </w:tcPr>
          <w:p w14:paraId="03988663" w14:textId="77777777" w:rsidR="00D83E33" w:rsidRPr="001B330E" w:rsidRDefault="00BC4072" w:rsidP="001B330E">
            <w:pPr>
              <w:widowControl w:val="0"/>
              <w:ind w:left="113" w:hanging="113"/>
              <w:rPr>
                <w:b/>
                <w:spacing w:val="-4"/>
              </w:rPr>
            </w:pPr>
            <w:r w:rsidRPr="001B330E">
              <w:rPr>
                <w:b/>
                <w:spacing w:val="-4"/>
              </w:rPr>
              <w:t>Net deferred tax asset/(liability)</w:t>
            </w:r>
          </w:p>
        </w:tc>
        <w:tc>
          <w:tcPr>
            <w:tcW w:w="509" w:type="pct"/>
            <w:vAlign w:val="bottom"/>
          </w:tcPr>
          <w:p w14:paraId="0D682B9B"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vAlign w:val="bottom"/>
          </w:tcPr>
          <w:p w14:paraId="705D9027"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vAlign w:val="bottom"/>
          </w:tcPr>
          <w:p w14:paraId="507026DF"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vAlign w:val="bottom"/>
          </w:tcPr>
          <w:p w14:paraId="799018D8"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vAlign w:val="bottom"/>
          </w:tcPr>
          <w:p w14:paraId="2815FC86"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vAlign w:val="bottom"/>
          </w:tcPr>
          <w:p w14:paraId="6E856370"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vAlign w:val="bottom"/>
          </w:tcPr>
          <w:p w14:paraId="0E44B9D3" w14:textId="77777777" w:rsidR="00D83E33" w:rsidRPr="001B330E" w:rsidRDefault="00D83E33">
            <w:pPr>
              <w:widowControl w:val="0"/>
              <w:pBdr>
                <w:top w:val="nil"/>
                <w:left w:val="nil"/>
                <w:bottom w:val="nil"/>
                <w:right w:val="nil"/>
                <w:between w:val="nil"/>
              </w:pBdr>
              <w:jc w:val="right"/>
              <w:rPr>
                <w:b/>
                <w:color w:val="000000"/>
                <w:spacing w:val="-4"/>
              </w:rPr>
            </w:pPr>
          </w:p>
        </w:tc>
      </w:tr>
      <w:tr w:rsidR="00D83E33" w:rsidRPr="00B36E8E" w14:paraId="5A06245B" w14:textId="77777777" w:rsidTr="001B330E">
        <w:trPr>
          <w:trHeight w:val="23"/>
        </w:trPr>
        <w:tc>
          <w:tcPr>
            <w:tcW w:w="1413" w:type="pct"/>
            <w:tcBorders>
              <w:bottom w:val="single" w:sz="12" w:space="0" w:color="000000"/>
            </w:tcBorders>
            <w:shd w:val="clear" w:color="auto" w:fill="auto"/>
            <w:vAlign w:val="bottom"/>
          </w:tcPr>
          <w:p w14:paraId="0654C97E" w14:textId="77777777" w:rsidR="00D83E33" w:rsidRPr="001B330E" w:rsidRDefault="00BC4072" w:rsidP="001B330E">
            <w:pPr>
              <w:widowControl w:val="0"/>
              <w:ind w:left="113" w:hanging="113"/>
              <w:rPr>
                <w:b/>
                <w:spacing w:val="-4"/>
              </w:rPr>
            </w:pPr>
            <w:r w:rsidRPr="001B330E">
              <w:rPr>
                <w:spacing w:val="-4"/>
              </w:rPr>
              <w:t> </w:t>
            </w:r>
          </w:p>
        </w:tc>
        <w:tc>
          <w:tcPr>
            <w:tcW w:w="509" w:type="pct"/>
            <w:tcBorders>
              <w:bottom w:val="single" w:sz="12" w:space="0" w:color="000000"/>
            </w:tcBorders>
            <w:shd w:val="clear" w:color="auto" w:fill="auto"/>
            <w:vAlign w:val="bottom"/>
          </w:tcPr>
          <w:p w14:paraId="7DC28E8F"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shd w:val="clear" w:color="auto" w:fill="auto"/>
            <w:vAlign w:val="bottom"/>
          </w:tcPr>
          <w:p w14:paraId="2BE3EF19"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shd w:val="clear" w:color="auto" w:fill="auto"/>
            <w:vAlign w:val="bottom"/>
          </w:tcPr>
          <w:p w14:paraId="62586254"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12" w:space="0" w:color="000000"/>
            </w:tcBorders>
            <w:shd w:val="clear" w:color="auto" w:fill="auto"/>
            <w:vAlign w:val="bottom"/>
          </w:tcPr>
          <w:p w14:paraId="73C11EF5"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12" w:space="0" w:color="000000"/>
            </w:tcBorders>
            <w:vAlign w:val="bottom"/>
          </w:tcPr>
          <w:p w14:paraId="52CD932A"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12" w:space="0" w:color="000000"/>
            </w:tcBorders>
            <w:shd w:val="clear" w:color="auto" w:fill="auto"/>
            <w:vAlign w:val="bottom"/>
          </w:tcPr>
          <w:p w14:paraId="33939D55"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tcBorders>
              <w:bottom w:val="single" w:sz="12" w:space="0" w:color="000000"/>
            </w:tcBorders>
            <w:shd w:val="clear" w:color="auto" w:fill="auto"/>
            <w:vAlign w:val="bottom"/>
          </w:tcPr>
          <w:p w14:paraId="41078F02" w14:textId="77777777" w:rsidR="00D83E33" w:rsidRPr="001B330E" w:rsidRDefault="00D83E33">
            <w:pPr>
              <w:widowControl w:val="0"/>
              <w:pBdr>
                <w:top w:val="nil"/>
                <w:left w:val="nil"/>
                <w:bottom w:val="nil"/>
                <w:right w:val="nil"/>
                <w:between w:val="nil"/>
              </w:pBdr>
              <w:jc w:val="right"/>
              <w:rPr>
                <w:b/>
                <w:color w:val="000000"/>
                <w:spacing w:val="-4"/>
              </w:rPr>
            </w:pPr>
          </w:p>
        </w:tc>
      </w:tr>
      <w:tr w:rsidR="00D83E33" w:rsidRPr="00B36E8E" w14:paraId="7CE4ECEF" w14:textId="77777777" w:rsidTr="001B330E">
        <w:trPr>
          <w:trHeight w:val="23"/>
        </w:trPr>
        <w:tc>
          <w:tcPr>
            <w:tcW w:w="1413" w:type="pct"/>
            <w:tcBorders>
              <w:top w:val="single" w:sz="12" w:space="0" w:color="000000"/>
            </w:tcBorders>
            <w:vAlign w:val="bottom"/>
          </w:tcPr>
          <w:p w14:paraId="38AD8EBA" w14:textId="77777777" w:rsidR="00D83E33" w:rsidRPr="001B330E" w:rsidRDefault="00BC4072" w:rsidP="001B330E">
            <w:pPr>
              <w:widowControl w:val="0"/>
              <w:ind w:left="113" w:hanging="113"/>
              <w:rPr>
                <w:b/>
                <w:spacing w:val="-4"/>
              </w:rPr>
            </w:pPr>
            <w:r w:rsidRPr="001B330E">
              <w:rPr>
                <w:spacing w:val="-4"/>
              </w:rPr>
              <w:t> </w:t>
            </w:r>
          </w:p>
        </w:tc>
        <w:tc>
          <w:tcPr>
            <w:tcW w:w="509" w:type="pct"/>
            <w:tcBorders>
              <w:top w:val="single" w:sz="12" w:space="0" w:color="000000"/>
            </w:tcBorders>
            <w:vAlign w:val="bottom"/>
          </w:tcPr>
          <w:p w14:paraId="75493CF9"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top w:val="single" w:sz="12" w:space="0" w:color="000000"/>
            </w:tcBorders>
            <w:vAlign w:val="bottom"/>
          </w:tcPr>
          <w:p w14:paraId="15B520A2"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top w:val="single" w:sz="12" w:space="0" w:color="000000"/>
            </w:tcBorders>
            <w:vAlign w:val="bottom"/>
          </w:tcPr>
          <w:p w14:paraId="60B1AA36"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top w:val="single" w:sz="12" w:space="0" w:color="000000"/>
            </w:tcBorders>
            <w:vAlign w:val="bottom"/>
          </w:tcPr>
          <w:p w14:paraId="1ADBBEC6"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top w:val="single" w:sz="12" w:space="0" w:color="000000"/>
            </w:tcBorders>
            <w:vAlign w:val="bottom"/>
          </w:tcPr>
          <w:p w14:paraId="7B326DA5"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top w:val="single" w:sz="12" w:space="0" w:color="000000"/>
            </w:tcBorders>
            <w:vAlign w:val="bottom"/>
          </w:tcPr>
          <w:p w14:paraId="58A54A3A"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tcBorders>
              <w:top w:val="single" w:sz="12" w:space="0" w:color="000000"/>
            </w:tcBorders>
            <w:vAlign w:val="bottom"/>
          </w:tcPr>
          <w:p w14:paraId="581D7380" w14:textId="77777777" w:rsidR="00D83E33" w:rsidRPr="001B330E" w:rsidRDefault="00D83E33">
            <w:pPr>
              <w:widowControl w:val="0"/>
              <w:pBdr>
                <w:top w:val="nil"/>
                <w:left w:val="nil"/>
                <w:bottom w:val="nil"/>
                <w:right w:val="nil"/>
                <w:between w:val="nil"/>
              </w:pBdr>
              <w:jc w:val="right"/>
              <w:rPr>
                <w:b/>
                <w:color w:val="000000"/>
                <w:spacing w:val="-4"/>
              </w:rPr>
            </w:pPr>
          </w:p>
        </w:tc>
      </w:tr>
      <w:tr w:rsidR="00D83E33" w:rsidRPr="00B36E8E" w14:paraId="68392705" w14:textId="77777777" w:rsidTr="001B330E">
        <w:trPr>
          <w:trHeight w:val="23"/>
        </w:trPr>
        <w:tc>
          <w:tcPr>
            <w:tcW w:w="1413" w:type="pct"/>
            <w:vAlign w:val="bottom"/>
          </w:tcPr>
          <w:p w14:paraId="75627B31" w14:textId="77777777" w:rsidR="00D83E33" w:rsidRPr="001B330E" w:rsidRDefault="00BC4072" w:rsidP="001B330E">
            <w:pPr>
              <w:widowControl w:val="0"/>
              <w:ind w:left="113" w:hanging="113"/>
              <w:rPr>
                <w:spacing w:val="-4"/>
              </w:rPr>
            </w:pPr>
            <w:r w:rsidRPr="001B330E">
              <w:rPr>
                <w:spacing w:val="-4"/>
              </w:rPr>
              <w:t>Recognised deferred tax asset</w:t>
            </w:r>
          </w:p>
        </w:tc>
        <w:tc>
          <w:tcPr>
            <w:tcW w:w="509" w:type="pct"/>
            <w:vAlign w:val="bottom"/>
          </w:tcPr>
          <w:p w14:paraId="5E1CF61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818E05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632E3E"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30F1C2B0"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45C69C53"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6F67F371"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01F3275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4BA01C68" w14:textId="77777777" w:rsidTr="001B330E">
        <w:trPr>
          <w:trHeight w:val="23"/>
        </w:trPr>
        <w:tc>
          <w:tcPr>
            <w:tcW w:w="1413" w:type="pct"/>
            <w:vAlign w:val="bottom"/>
          </w:tcPr>
          <w:p w14:paraId="739AD2AB" w14:textId="77777777" w:rsidR="00D83E33" w:rsidRPr="001B330E" w:rsidRDefault="00BC4072" w:rsidP="001B330E">
            <w:pPr>
              <w:widowControl w:val="0"/>
              <w:ind w:left="113" w:hanging="113"/>
              <w:rPr>
                <w:spacing w:val="-4"/>
              </w:rPr>
            </w:pPr>
            <w:r w:rsidRPr="001B330E">
              <w:rPr>
                <w:spacing w:val="-4"/>
              </w:rPr>
              <w:t>Recognised deferred tax liability</w:t>
            </w:r>
          </w:p>
        </w:tc>
        <w:tc>
          <w:tcPr>
            <w:tcW w:w="509" w:type="pct"/>
            <w:vAlign w:val="bottom"/>
          </w:tcPr>
          <w:p w14:paraId="1590D18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C2CEA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7DE53C"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3BCFF442"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33DA4A10" w14:textId="77777777" w:rsidR="00D83E33" w:rsidRPr="001B330E" w:rsidRDefault="00D83E33">
            <w:pPr>
              <w:widowControl w:val="0"/>
              <w:pBdr>
                <w:top w:val="nil"/>
                <w:left w:val="nil"/>
                <w:bottom w:val="nil"/>
                <w:right w:val="nil"/>
                <w:between w:val="nil"/>
              </w:pBdr>
              <w:jc w:val="right"/>
              <w:rPr>
                <w:color w:val="000000"/>
                <w:spacing w:val="-4"/>
              </w:rPr>
            </w:pPr>
          </w:p>
        </w:tc>
        <w:tc>
          <w:tcPr>
            <w:tcW w:w="510" w:type="pct"/>
            <w:vAlign w:val="bottom"/>
          </w:tcPr>
          <w:p w14:paraId="58582998" w14:textId="77777777" w:rsidR="00D83E33" w:rsidRPr="001B330E" w:rsidRDefault="00D83E33">
            <w:pPr>
              <w:widowControl w:val="0"/>
              <w:pBdr>
                <w:top w:val="nil"/>
                <w:left w:val="nil"/>
                <w:bottom w:val="nil"/>
                <w:right w:val="nil"/>
                <w:between w:val="nil"/>
              </w:pBdr>
              <w:jc w:val="right"/>
              <w:rPr>
                <w:color w:val="000000"/>
                <w:spacing w:val="-4"/>
              </w:rPr>
            </w:pPr>
          </w:p>
        </w:tc>
        <w:tc>
          <w:tcPr>
            <w:tcW w:w="529" w:type="pct"/>
            <w:vAlign w:val="bottom"/>
          </w:tcPr>
          <w:p w14:paraId="494087A2"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B36E8E" w14:paraId="2557DB6A" w14:textId="77777777" w:rsidTr="001B330E">
        <w:trPr>
          <w:trHeight w:val="23"/>
        </w:trPr>
        <w:tc>
          <w:tcPr>
            <w:tcW w:w="1413" w:type="pct"/>
            <w:tcBorders>
              <w:bottom w:val="single" w:sz="4" w:space="0" w:color="000000"/>
            </w:tcBorders>
            <w:shd w:val="clear" w:color="auto" w:fill="auto"/>
            <w:vAlign w:val="bottom"/>
          </w:tcPr>
          <w:p w14:paraId="586E915B" w14:textId="77777777" w:rsidR="00D83E33" w:rsidRPr="001B330E" w:rsidRDefault="00BC4072" w:rsidP="001B330E">
            <w:pPr>
              <w:widowControl w:val="0"/>
              <w:ind w:left="113" w:hanging="113"/>
              <w:rPr>
                <w:b/>
                <w:spacing w:val="-4"/>
              </w:rPr>
            </w:pPr>
            <w:r w:rsidRPr="001B330E">
              <w:rPr>
                <w:spacing w:val="-4"/>
              </w:rPr>
              <w:t> </w:t>
            </w:r>
          </w:p>
        </w:tc>
        <w:tc>
          <w:tcPr>
            <w:tcW w:w="509" w:type="pct"/>
            <w:tcBorders>
              <w:bottom w:val="single" w:sz="4" w:space="0" w:color="000000"/>
            </w:tcBorders>
            <w:shd w:val="clear" w:color="auto" w:fill="auto"/>
            <w:vAlign w:val="bottom"/>
          </w:tcPr>
          <w:p w14:paraId="24CB2627"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4" w:space="0" w:color="000000"/>
            </w:tcBorders>
            <w:shd w:val="clear" w:color="auto" w:fill="auto"/>
            <w:vAlign w:val="bottom"/>
          </w:tcPr>
          <w:p w14:paraId="208374B2"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4" w:space="0" w:color="000000"/>
            </w:tcBorders>
            <w:shd w:val="clear" w:color="auto" w:fill="auto"/>
            <w:vAlign w:val="bottom"/>
          </w:tcPr>
          <w:p w14:paraId="6E2091ED"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4" w:space="0" w:color="000000"/>
            </w:tcBorders>
            <w:shd w:val="clear" w:color="auto" w:fill="auto"/>
            <w:vAlign w:val="bottom"/>
          </w:tcPr>
          <w:p w14:paraId="728B12F4"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4" w:space="0" w:color="000000"/>
            </w:tcBorders>
            <w:vAlign w:val="bottom"/>
          </w:tcPr>
          <w:p w14:paraId="5C62FD2C"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4" w:space="0" w:color="000000"/>
            </w:tcBorders>
            <w:shd w:val="clear" w:color="auto" w:fill="auto"/>
            <w:vAlign w:val="bottom"/>
          </w:tcPr>
          <w:p w14:paraId="5C97556D"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tcBorders>
              <w:bottom w:val="single" w:sz="4" w:space="0" w:color="000000"/>
            </w:tcBorders>
            <w:shd w:val="clear" w:color="auto" w:fill="auto"/>
            <w:vAlign w:val="bottom"/>
          </w:tcPr>
          <w:p w14:paraId="34B52BA3" w14:textId="77777777" w:rsidR="00D83E33" w:rsidRPr="001B330E" w:rsidRDefault="00D83E33">
            <w:pPr>
              <w:widowControl w:val="0"/>
              <w:pBdr>
                <w:top w:val="nil"/>
                <w:left w:val="nil"/>
                <w:bottom w:val="nil"/>
                <w:right w:val="nil"/>
                <w:between w:val="nil"/>
              </w:pBdr>
              <w:jc w:val="right"/>
              <w:rPr>
                <w:b/>
                <w:color w:val="000000"/>
                <w:spacing w:val="-4"/>
              </w:rPr>
            </w:pPr>
          </w:p>
        </w:tc>
      </w:tr>
      <w:tr w:rsidR="00D83E33" w:rsidRPr="00B36E8E" w14:paraId="41D08E01" w14:textId="77777777" w:rsidTr="001B330E">
        <w:trPr>
          <w:trHeight w:val="23"/>
        </w:trPr>
        <w:tc>
          <w:tcPr>
            <w:tcW w:w="1413" w:type="pct"/>
            <w:tcBorders>
              <w:top w:val="single" w:sz="4" w:space="0" w:color="000000"/>
            </w:tcBorders>
            <w:vAlign w:val="bottom"/>
          </w:tcPr>
          <w:p w14:paraId="36894B1F" w14:textId="77777777" w:rsidR="00D83E33" w:rsidRPr="001B330E" w:rsidRDefault="00BC4072" w:rsidP="001B330E">
            <w:pPr>
              <w:widowControl w:val="0"/>
              <w:ind w:left="113" w:hanging="113"/>
              <w:rPr>
                <w:b/>
                <w:spacing w:val="-4"/>
              </w:rPr>
            </w:pPr>
            <w:r w:rsidRPr="001B330E">
              <w:rPr>
                <w:spacing w:val="-4"/>
              </w:rPr>
              <w:t> </w:t>
            </w:r>
          </w:p>
        </w:tc>
        <w:tc>
          <w:tcPr>
            <w:tcW w:w="509" w:type="pct"/>
            <w:tcBorders>
              <w:top w:val="single" w:sz="4" w:space="0" w:color="000000"/>
            </w:tcBorders>
            <w:vAlign w:val="bottom"/>
          </w:tcPr>
          <w:p w14:paraId="4C13C764"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top w:val="single" w:sz="4" w:space="0" w:color="000000"/>
            </w:tcBorders>
            <w:vAlign w:val="bottom"/>
          </w:tcPr>
          <w:p w14:paraId="2DD52D15"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top w:val="single" w:sz="4" w:space="0" w:color="000000"/>
            </w:tcBorders>
            <w:vAlign w:val="bottom"/>
          </w:tcPr>
          <w:p w14:paraId="662F4BBA"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top w:val="single" w:sz="4" w:space="0" w:color="000000"/>
            </w:tcBorders>
            <w:vAlign w:val="bottom"/>
          </w:tcPr>
          <w:p w14:paraId="3F791B40"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top w:val="single" w:sz="4" w:space="0" w:color="000000"/>
            </w:tcBorders>
            <w:vAlign w:val="bottom"/>
          </w:tcPr>
          <w:p w14:paraId="241749AF"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top w:val="single" w:sz="4" w:space="0" w:color="000000"/>
            </w:tcBorders>
            <w:vAlign w:val="bottom"/>
          </w:tcPr>
          <w:p w14:paraId="2C72737A"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tcBorders>
              <w:top w:val="single" w:sz="4" w:space="0" w:color="000000"/>
            </w:tcBorders>
            <w:vAlign w:val="bottom"/>
          </w:tcPr>
          <w:p w14:paraId="3DC4CBF0" w14:textId="77777777" w:rsidR="00D83E33" w:rsidRPr="001B330E" w:rsidRDefault="00D83E33">
            <w:pPr>
              <w:widowControl w:val="0"/>
              <w:pBdr>
                <w:top w:val="nil"/>
                <w:left w:val="nil"/>
                <w:bottom w:val="nil"/>
                <w:right w:val="nil"/>
                <w:between w:val="nil"/>
              </w:pBdr>
              <w:jc w:val="right"/>
              <w:rPr>
                <w:b/>
                <w:color w:val="000000"/>
                <w:spacing w:val="-4"/>
              </w:rPr>
            </w:pPr>
          </w:p>
        </w:tc>
      </w:tr>
      <w:tr w:rsidR="00D83E33" w:rsidRPr="00B36E8E" w14:paraId="61670279" w14:textId="77777777" w:rsidTr="001B330E">
        <w:trPr>
          <w:trHeight w:val="23"/>
        </w:trPr>
        <w:tc>
          <w:tcPr>
            <w:tcW w:w="1413" w:type="pct"/>
            <w:vAlign w:val="bottom"/>
          </w:tcPr>
          <w:p w14:paraId="78E491B4" w14:textId="77777777" w:rsidR="00D83E33" w:rsidRPr="001B330E" w:rsidRDefault="00BC4072" w:rsidP="001B330E">
            <w:pPr>
              <w:widowControl w:val="0"/>
              <w:ind w:left="113" w:hanging="113"/>
              <w:rPr>
                <w:b/>
                <w:spacing w:val="-4"/>
              </w:rPr>
            </w:pPr>
            <w:r w:rsidRPr="001B330E">
              <w:rPr>
                <w:b/>
                <w:spacing w:val="-4"/>
              </w:rPr>
              <w:t>Net deferred tax asset/(liability)</w:t>
            </w:r>
          </w:p>
        </w:tc>
        <w:tc>
          <w:tcPr>
            <w:tcW w:w="509" w:type="pct"/>
            <w:vAlign w:val="bottom"/>
          </w:tcPr>
          <w:p w14:paraId="73B6A252"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vAlign w:val="bottom"/>
          </w:tcPr>
          <w:p w14:paraId="407E0E6A"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vAlign w:val="bottom"/>
          </w:tcPr>
          <w:p w14:paraId="3EFBBE44"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vAlign w:val="bottom"/>
          </w:tcPr>
          <w:p w14:paraId="5ABF14A9"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vAlign w:val="bottom"/>
          </w:tcPr>
          <w:p w14:paraId="6F888F0D"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vAlign w:val="bottom"/>
          </w:tcPr>
          <w:p w14:paraId="64E4E8FF"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vAlign w:val="bottom"/>
          </w:tcPr>
          <w:p w14:paraId="3CCB6178" w14:textId="77777777" w:rsidR="00D83E33" w:rsidRPr="001B330E" w:rsidRDefault="00D83E33">
            <w:pPr>
              <w:widowControl w:val="0"/>
              <w:pBdr>
                <w:top w:val="nil"/>
                <w:left w:val="nil"/>
                <w:bottom w:val="nil"/>
                <w:right w:val="nil"/>
                <w:between w:val="nil"/>
              </w:pBdr>
              <w:jc w:val="right"/>
              <w:rPr>
                <w:b/>
                <w:color w:val="000000"/>
                <w:spacing w:val="-4"/>
              </w:rPr>
            </w:pPr>
          </w:p>
        </w:tc>
      </w:tr>
      <w:tr w:rsidR="00D83E33" w:rsidRPr="00B36E8E" w14:paraId="6F881B9C" w14:textId="77777777" w:rsidTr="001B330E">
        <w:trPr>
          <w:trHeight w:val="23"/>
        </w:trPr>
        <w:tc>
          <w:tcPr>
            <w:tcW w:w="1413" w:type="pct"/>
            <w:tcBorders>
              <w:bottom w:val="single" w:sz="12" w:space="0" w:color="000000"/>
            </w:tcBorders>
            <w:vAlign w:val="bottom"/>
          </w:tcPr>
          <w:p w14:paraId="47D6B98B" w14:textId="77777777" w:rsidR="00D83E33" w:rsidRPr="001B330E" w:rsidRDefault="00BC4072" w:rsidP="001B330E">
            <w:pPr>
              <w:widowControl w:val="0"/>
              <w:ind w:left="113" w:hanging="113"/>
              <w:rPr>
                <w:b/>
                <w:spacing w:val="-4"/>
              </w:rPr>
            </w:pPr>
            <w:r w:rsidRPr="001B330E">
              <w:rPr>
                <w:spacing w:val="-4"/>
              </w:rPr>
              <w:t> </w:t>
            </w:r>
          </w:p>
        </w:tc>
        <w:tc>
          <w:tcPr>
            <w:tcW w:w="509" w:type="pct"/>
            <w:tcBorders>
              <w:bottom w:val="single" w:sz="12" w:space="0" w:color="000000"/>
            </w:tcBorders>
            <w:vAlign w:val="bottom"/>
          </w:tcPr>
          <w:p w14:paraId="1398DE51"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vAlign w:val="bottom"/>
          </w:tcPr>
          <w:p w14:paraId="6A959494"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vAlign w:val="bottom"/>
          </w:tcPr>
          <w:p w14:paraId="0771D2BA"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12" w:space="0" w:color="000000"/>
            </w:tcBorders>
            <w:vAlign w:val="bottom"/>
          </w:tcPr>
          <w:p w14:paraId="34ADDEB2"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12" w:space="0" w:color="000000"/>
            </w:tcBorders>
            <w:vAlign w:val="bottom"/>
          </w:tcPr>
          <w:p w14:paraId="0D452431" w14:textId="77777777" w:rsidR="00D83E33" w:rsidRPr="001B330E" w:rsidRDefault="00D83E33">
            <w:pPr>
              <w:widowControl w:val="0"/>
              <w:pBdr>
                <w:top w:val="nil"/>
                <w:left w:val="nil"/>
                <w:bottom w:val="nil"/>
                <w:right w:val="nil"/>
                <w:between w:val="nil"/>
              </w:pBdr>
              <w:jc w:val="right"/>
              <w:rPr>
                <w:b/>
                <w:color w:val="000000"/>
                <w:spacing w:val="-4"/>
              </w:rPr>
            </w:pPr>
          </w:p>
        </w:tc>
        <w:tc>
          <w:tcPr>
            <w:tcW w:w="510" w:type="pct"/>
            <w:tcBorders>
              <w:bottom w:val="single" w:sz="12" w:space="0" w:color="000000"/>
            </w:tcBorders>
            <w:vAlign w:val="bottom"/>
          </w:tcPr>
          <w:p w14:paraId="308A10E4" w14:textId="77777777" w:rsidR="00D83E33" w:rsidRPr="001B330E" w:rsidRDefault="00D83E33">
            <w:pPr>
              <w:widowControl w:val="0"/>
              <w:pBdr>
                <w:top w:val="nil"/>
                <w:left w:val="nil"/>
                <w:bottom w:val="nil"/>
                <w:right w:val="nil"/>
                <w:between w:val="nil"/>
              </w:pBdr>
              <w:jc w:val="right"/>
              <w:rPr>
                <w:b/>
                <w:color w:val="000000"/>
                <w:spacing w:val="-4"/>
              </w:rPr>
            </w:pPr>
          </w:p>
        </w:tc>
        <w:tc>
          <w:tcPr>
            <w:tcW w:w="529" w:type="pct"/>
            <w:tcBorders>
              <w:bottom w:val="single" w:sz="12" w:space="0" w:color="000000"/>
            </w:tcBorders>
            <w:vAlign w:val="bottom"/>
          </w:tcPr>
          <w:p w14:paraId="3BB6D14C" w14:textId="77777777" w:rsidR="00D83E33" w:rsidRPr="001B330E" w:rsidRDefault="00D83E33">
            <w:pPr>
              <w:widowControl w:val="0"/>
              <w:pBdr>
                <w:top w:val="nil"/>
                <w:left w:val="nil"/>
                <w:bottom w:val="nil"/>
                <w:right w:val="nil"/>
                <w:between w:val="nil"/>
              </w:pBdr>
              <w:jc w:val="right"/>
              <w:rPr>
                <w:b/>
                <w:color w:val="000000"/>
                <w:spacing w:val="-4"/>
              </w:rPr>
            </w:pPr>
          </w:p>
        </w:tc>
      </w:tr>
    </w:tbl>
    <w:p w14:paraId="38C2DFB3" w14:textId="4693140E" w:rsidR="00D83E33" w:rsidRDefault="00D83E33">
      <w:pPr>
        <w:widowControl w:val="0"/>
        <w:pBdr>
          <w:top w:val="nil"/>
          <w:left w:val="nil"/>
          <w:bottom w:val="nil"/>
          <w:right w:val="nil"/>
          <w:between w:val="nil"/>
        </w:pBdr>
        <w:spacing w:before="200" w:after="200"/>
        <w:jc w:val="both"/>
        <w:rPr>
          <w:i/>
          <w:color w:val="FF0000"/>
          <w:sz w:val="20"/>
          <w:szCs w:val="20"/>
        </w:rPr>
      </w:pPr>
    </w:p>
    <w:p w14:paraId="270CA886" w14:textId="77777777" w:rsidR="00D83E33" w:rsidRDefault="00D83E33">
      <w:pPr>
        <w:widowControl w:val="0"/>
        <w:pBdr>
          <w:top w:val="nil"/>
          <w:left w:val="nil"/>
          <w:bottom w:val="nil"/>
          <w:right w:val="nil"/>
          <w:between w:val="nil"/>
        </w:pBdr>
        <w:spacing w:before="200" w:after="200"/>
        <w:jc w:val="both"/>
        <w:rPr>
          <w:i/>
          <w:color w:val="FF0000"/>
          <w:sz w:val="20"/>
          <w:szCs w:val="20"/>
        </w:rPr>
      </w:pPr>
    </w:p>
    <w:p w14:paraId="2BA9F5FF" w14:textId="275F01C5" w:rsidR="00D83E33" w:rsidRDefault="00BC4072" w:rsidP="001B330E">
      <w:pPr>
        <w:pStyle w:val="Continued"/>
      </w:pPr>
      <w:r>
        <w:lastRenderedPageBreak/>
        <w:t>36</w:t>
      </w:r>
      <w:r>
        <w:tab/>
        <w:t>Income Taxes (Continued)</w:t>
      </w:r>
    </w:p>
    <w:p w14:paraId="324EFEE5"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(g) </w:t>
      </w:r>
      <w:r>
        <w:rPr>
          <w:b/>
          <w:i/>
          <w:color w:val="000000"/>
          <w:sz w:val="20"/>
          <w:szCs w:val="20"/>
        </w:rPr>
        <w:tab/>
        <w:t>Current and deferred tax effects relating to each component of other comprehensive income</w:t>
      </w:r>
    </w:p>
    <w:p w14:paraId="1B956711"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Current and deferred tax effects relating to each component of other comprehensive income are as follows: </w:t>
      </w:r>
    </w:p>
    <w:tbl>
      <w:tblPr>
        <w:tblStyle w:val="affffffffffffb"/>
        <w:tblW w:w="5000" w:type="pct"/>
        <w:tblLayout w:type="fixed"/>
        <w:tblLook w:val="0000" w:firstRow="0" w:lastRow="0" w:firstColumn="0" w:lastColumn="0" w:noHBand="0" w:noVBand="0"/>
      </w:tblPr>
      <w:tblGrid>
        <w:gridCol w:w="2931"/>
        <w:gridCol w:w="1070"/>
        <w:gridCol w:w="1070"/>
        <w:gridCol w:w="1072"/>
        <w:gridCol w:w="1070"/>
        <w:gridCol w:w="1070"/>
        <w:gridCol w:w="1072"/>
      </w:tblGrid>
      <w:tr w:rsidR="00D83E33" w:rsidRPr="00EA10CF" w14:paraId="393FEA27" w14:textId="77777777" w:rsidTr="001B330E">
        <w:trPr>
          <w:trHeight w:val="23"/>
        </w:trPr>
        <w:tc>
          <w:tcPr>
            <w:tcW w:w="1566" w:type="pct"/>
            <w:vMerge w:val="restart"/>
            <w:vAlign w:val="bottom"/>
          </w:tcPr>
          <w:p w14:paraId="4D9FC2C7" w14:textId="7E404B3F"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1717" w:type="pct"/>
            <w:gridSpan w:val="3"/>
            <w:tcBorders>
              <w:bottom w:val="single" w:sz="4" w:space="0" w:color="000000"/>
            </w:tcBorders>
            <w:vAlign w:val="bottom"/>
          </w:tcPr>
          <w:p w14:paraId="050030B3" w14:textId="332B2C3D" w:rsidR="00D83E33" w:rsidRPr="00EA10CF" w:rsidRDefault="00541EBC">
            <w:pPr>
              <w:widowControl w:val="0"/>
              <w:pBdr>
                <w:top w:val="nil"/>
                <w:left w:val="nil"/>
                <w:bottom w:val="nil"/>
                <w:right w:val="nil"/>
                <w:between w:val="nil"/>
              </w:pBdr>
              <w:jc w:val="center"/>
              <w:rPr>
                <w:b/>
                <w:color w:val="000000"/>
              </w:rPr>
            </w:pPr>
            <w:r>
              <w:rPr>
                <w:b/>
                <w:color w:val="000000"/>
              </w:rPr>
              <w:t>2024</w:t>
            </w:r>
          </w:p>
        </w:tc>
        <w:tc>
          <w:tcPr>
            <w:tcW w:w="1717" w:type="pct"/>
            <w:gridSpan w:val="3"/>
            <w:tcBorders>
              <w:bottom w:val="single" w:sz="4" w:space="0" w:color="000000"/>
            </w:tcBorders>
            <w:vAlign w:val="bottom"/>
          </w:tcPr>
          <w:p w14:paraId="735905C9" w14:textId="1A4CDEE1" w:rsidR="00D83E33" w:rsidRPr="00EA10CF" w:rsidRDefault="00541EBC">
            <w:pPr>
              <w:widowControl w:val="0"/>
              <w:pBdr>
                <w:top w:val="nil"/>
                <w:left w:val="nil"/>
                <w:bottom w:val="nil"/>
                <w:right w:val="nil"/>
                <w:between w:val="nil"/>
              </w:pBdr>
              <w:jc w:val="center"/>
              <w:rPr>
                <w:b/>
                <w:color w:val="000000"/>
              </w:rPr>
            </w:pPr>
            <w:r>
              <w:rPr>
                <w:b/>
                <w:color w:val="000000"/>
              </w:rPr>
              <w:t>2023</w:t>
            </w:r>
          </w:p>
        </w:tc>
      </w:tr>
      <w:tr w:rsidR="00D83E33" w:rsidRPr="00EA10CF" w14:paraId="35D53827" w14:textId="77777777" w:rsidTr="001B330E">
        <w:trPr>
          <w:trHeight w:val="23"/>
        </w:trPr>
        <w:tc>
          <w:tcPr>
            <w:tcW w:w="1566" w:type="pct"/>
            <w:vMerge/>
            <w:vAlign w:val="bottom"/>
          </w:tcPr>
          <w:p w14:paraId="6406B701"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72" w:type="pct"/>
            <w:tcBorders>
              <w:bottom w:val="single" w:sz="4" w:space="0" w:color="000000"/>
            </w:tcBorders>
          </w:tcPr>
          <w:p w14:paraId="70A77D39"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Before-tax amount</w:t>
            </w:r>
          </w:p>
        </w:tc>
        <w:tc>
          <w:tcPr>
            <w:tcW w:w="572" w:type="pct"/>
            <w:tcBorders>
              <w:bottom w:val="single" w:sz="4" w:space="0" w:color="000000"/>
            </w:tcBorders>
          </w:tcPr>
          <w:p w14:paraId="647BE812"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Income tax (expense) / benefit</w:t>
            </w:r>
          </w:p>
        </w:tc>
        <w:tc>
          <w:tcPr>
            <w:tcW w:w="573" w:type="pct"/>
            <w:tcBorders>
              <w:bottom w:val="single" w:sz="4" w:space="0" w:color="000000"/>
            </w:tcBorders>
          </w:tcPr>
          <w:p w14:paraId="0082D7D4"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Net-of-tax amount</w:t>
            </w:r>
          </w:p>
        </w:tc>
        <w:tc>
          <w:tcPr>
            <w:tcW w:w="572" w:type="pct"/>
            <w:tcBorders>
              <w:bottom w:val="single" w:sz="4" w:space="0" w:color="000000"/>
            </w:tcBorders>
          </w:tcPr>
          <w:p w14:paraId="369E98F6"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Before-tax amount</w:t>
            </w:r>
          </w:p>
        </w:tc>
        <w:tc>
          <w:tcPr>
            <w:tcW w:w="572" w:type="pct"/>
            <w:tcBorders>
              <w:bottom w:val="single" w:sz="4" w:space="0" w:color="000000"/>
            </w:tcBorders>
          </w:tcPr>
          <w:p w14:paraId="7D5EF101"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Income tax (expense) / benefit</w:t>
            </w:r>
          </w:p>
        </w:tc>
        <w:tc>
          <w:tcPr>
            <w:tcW w:w="573" w:type="pct"/>
            <w:tcBorders>
              <w:bottom w:val="single" w:sz="4" w:space="0" w:color="000000"/>
            </w:tcBorders>
          </w:tcPr>
          <w:p w14:paraId="3E509E49"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Net-of-tax amount</w:t>
            </w:r>
          </w:p>
        </w:tc>
      </w:tr>
      <w:tr w:rsidR="00D83E33" w:rsidRPr="00EA10CF" w14:paraId="06F17977" w14:textId="77777777" w:rsidTr="001B330E">
        <w:trPr>
          <w:trHeight w:val="23"/>
        </w:trPr>
        <w:tc>
          <w:tcPr>
            <w:tcW w:w="1566" w:type="pct"/>
            <w:vAlign w:val="bottom"/>
          </w:tcPr>
          <w:p w14:paraId="4FD7FDA5" w14:textId="77777777" w:rsidR="00D83E33" w:rsidRPr="00EA10CF" w:rsidRDefault="00BC4072" w:rsidP="001B330E">
            <w:pPr>
              <w:widowControl w:val="0"/>
              <w:ind w:left="113" w:hanging="113"/>
            </w:pPr>
            <w:r w:rsidRPr="00EA10CF">
              <w:t> </w:t>
            </w:r>
          </w:p>
        </w:tc>
        <w:tc>
          <w:tcPr>
            <w:tcW w:w="572" w:type="pct"/>
            <w:vAlign w:val="bottom"/>
          </w:tcPr>
          <w:p w14:paraId="2C2A75BD" w14:textId="77777777" w:rsidR="00D83E33" w:rsidRPr="00EA10CF" w:rsidRDefault="00D83E33">
            <w:pPr>
              <w:widowControl w:val="0"/>
              <w:jc w:val="right"/>
            </w:pPr>
          </w:p>
        </w:tc>
        <w:tc>
          <w:tcPr>
            <w:tcW w:w="572" w:type="pct"/>
            <w:tcBorders>
              <w:top w:val="single" w:sz="4" w:space="0" w:color="000000"/>
            </w:tcBorders>
            <w:vAlign w:val="bottom"/>
          </w:tcPr>
          <w:p w14:paraId="73F3A27B" w14:textId="77777777" w:rsidR="00D83E33" w:rsidRPr="00EA10CF" w:rsidRDefault="00D83E33">
            <w:pPr>
              <w:widowControl w:val="0"/>
              <w:jc w:val="right"/>
            </w:pPr>
          </w:p>
        </w:tc>
        <w:tc>
          <w:tcPr>
            <w:tcW w:w="573" w:type="pct"/>
            <w:tcBorders>
              <w:top w:val="single" w:sz="4" w:space="0" w:color="000000"/>
            </w:tcBorders>
            <w:vAlign w:val="bottom"/>
          </w:tcPr>
          <w:p w14:paraId="64AD4C2E" w14:textId="77777777" w:rsidR="00D83E33" w:rsidRPr="00EA10CF" w:rsidRDefault="00D83E33">
            <w:pPr>
              <w:widowControl w:val="0"/>
              <w:jc w:val="right"/>
            </w:pPr>
          </w:p>
        </w:tc>
        <w:tc>
          <w:tcPr>
            <w:tcW w:w="572" w:type="pct"/>
            <w:vAlign w:val="bottom"/>
          </w:tcPr>
          <w:p w14:paraId="67507885" w14:textId="77777777" w:rsidR="00D83E33" w:rsidRPr="00EA10CF" w:rsidRDefault="00D83E33">
            <w:pPr>
              <w:widowControl w:val="0"/>
              <w:jc w:val="right"/>
            </w:pPr>
          </w:p>
        </w:tc>
        <w:tc>
          <w:tcPr>
            <w:tcW w:w="572" w:type="pct"/>
            <w:vAlign w:val="bottom"/>
          </w:tcPr>
          <w:p w14:paraId="152C712B" w14:textId="77777777" w:rsidR="00D83E33" w:rsidRPr="00EA10CF" w:rsidRDefault="00D83E33">
            <w:pPr>
              <w:widowControl w:val="0"/>
              <w:jc w:val="right"/>
            </w:pPr>
          </w:p>
        </w:tc>
        <w:tc>
          <w:tcPr>
            <w:tcW w:w="573" w:type="pct"/>
            <w:vAlign w:val="bottom"/>
          </w:tcPr>
          <w:p w14:paraId="64FE32D8" w14:textId="77777777" w:rsidR="00D83E33" w:rsidRPr="00EA10CF" w:rsidRDefault="00D83E33">
            <w:pPr>
              <w:widowControl w:val="0"/>
              <w:jc w:val="right"/>
            </w:pPr>
          </w:p>
        </w:tc>
      </w:tr>
      <w:tr w:rsidR="00D83E33" w:rsidRPr="00EA10CF" w14:paraId="34D1FCD2" w14:textId="77777777" w:rsidTr="001B330E">
        <w:trPr>
          <w:trHeight w:val="23"/>
        </w:trPr>
        <w:tc>
          <w:tcPr>
            <w:tcW w:w="1566" w:type="pct"/>
            <w:vAlign w:val="bottom"/>
          </w:tcPr>
          <w:p w14:paraId="78CD7A6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at FVOCI:</w:t>
            </w:r>
          </w:p>
        </w:tc>
        <w:tc>
          <w:tcPr>
            <w:tcW w:w="572" w:type="pct"/>
            <w:vAlign w:val="bottom"/>
          </w:tcPr>
          <w:p w14:paraId="7DDDE01D" w14:textId="77777777" w:rsidR="00D83E33" w:rsidRPr="00EA10CF" w:rsidRDefault="00D83E33">
            <w:pPr>
              <w:widowControl w:val="0"/>
              <w:jc w:val="right"/>
            </w:pPr>
          </w:p>
        </w:tc>
        <w:tc>
          <w:tcPr>
            <w:tcW w:w="572" w:type="pct"/>
            <w:vAlign w:val="bottom"/>
          </w:tcPr>
          <w:p w14:paraId="43EBADF3" w14:textId="77777777" w:rsidR="00D83E33" w:rsidRPr="00EA10CF" w:rsidRDefault="00D83E33">
            <w:pPr>
              <w:widowControl w:val="0"/>
              <w:jc w:val="right"/>
            </w:pPr>
          </w:p>
        </w:tc>
        <w:tc>
          <w:tcPr>
            <w:tcW w:w="573" w:type="pct"/>
            <w:vAlign w:val="bottom"/>
          </w:tcPr>
          <w:p w14:paraId="437D0F08" w14:textId="77777777" w:rsidR="00D83E33" w:rsidRPr="00EA10CF" w:rsidRDefault="00D83E33">
            <w:pPr>
              <w:widowControl w:val="0"/>
              <w:jc w:val="right"/>
            </w:pPr>
          </w:p>
        </w:tc>
        <w:tc>
          <w:tcPr>
            <w:tcW w:w="572" w:type="pct"/>
            <w:vAlign w:val="bottom"/>
          </w:tcPr>
          <w:p w14:paraId="2FB671E3" w14:textId="77777777" w:rsidR="00D83E33" w:rsidRPr="00EA10CF" w:rsidRDefault="00D83E33">
            <w:pPr>
              <w:widowControl w:val="0"/>
              <w:jc w:val="right"/>
            </w:pPr>
          </w:p>
        </w:tc>
        <w:tc>
          <w:tcPr>
            <w:tcW w:w="572" w:type="pct"/>
            <w:vAlign w:val="bottom"/>
          </w:tcPr>
          <w:p w14:paraId="053BCBFD" w14:textId="77777777" w:rsidR="00D83E33" w:rsidRPr="00EA10CF" w:rsidRDefault="00D83E33">
            <w:pPr>
              <w:widowControl w:val="0"/>
              <w:jc w:val="right"/>
            </w:pPr>
          </w:p>
        </w:tc>
        <w:tc>
          <w:tcPr>
            <w:tcW w:w="573" w:type="pct"/>
            <w:vAlign w:val="bottom"/>
          </w:tcPr>
          <w:p w14:paraId="620D5710" w14:textId="77777777" w:rsidR="00D83E33" w:rsidRPr="00EA10CF" w:rsidRDefault="00D83E33">
            <w:pPr>
              <w:widowControl w:val="0"/>
              <w:jc w:val="right"/>
            </w:pPr>
          </w:p>
        </w:tc>
      </w:tr>
      <w:tr w:rsidR="00D83E33" w:rsidRPr="00EA10CF" w14:paraId="2170C62C" w14:textId="77777777" w:rsidTr="001B330E">
        <w:trPr>
          <w:trHeight w:val="23"/>
        </w:trPr>
        <w:tc>
          <w:tcPr>
            <w:tcW w:w="1566" w:type="pct"/>
            <w:vAlign w:val="bottom"/>
          </w:tcPr>
          <w:p w14:paraId="76DCCF5D"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 xml:space="preserve">- </w:t>
            </w:r>
            <w:r w:rsidRPr="00EA10CF">
              <w:rPr>
                <w:color w:val="000000"/>
              </w:rPr>
              <w:tab/>
              <w:t>Gains arising during the year</w:t>
            </w:r>
          </w:p>
        </w:tc>
        <w:tc>
          <w:tcPr>
            <w:tcW w:w="572" w:type="pct"/>
            <w:vAlign w:val="bottom"/>
          </w:tcPr>
          <w:p w14:paraId="100C2324" w14:textId="77777777" w:rsidR="00D83E33" w:rsidRPr="00EA10CF" w:rsidRDefault="00D83E33">
            <w:pPr>
              <w:widowControl w:val="0"/>
              <w:jc w:val="right"/>
            </w:pPr>
          </w:p>
        </w:tc>
        <w:tc>
          <w:tcPr>
            <w:tcW w:w="572" w:type="pct"/>
            <w:vAlign w:val="bottom"/>
          </w:tcPr>
          <w:p w14:paraId="3CACD566" w14:textId="77777777" w:rsidR="00D83E33" w:rsidRPr="00EA10CF" w:rsidRDefault="00D83E33">
            <w:pPr>
              <w:widowControl w:val="0"/>
              <w:jc w:val="right"/>
            </w:pPr>
          </w:p>
        </w:tc>
        <w:tc>
          <w:tcPr>
            <w:tcW w:w="573" w:type="pct"/>
            <w:vAlign w:val="bottom"/>
          </w:tcPr>
          <w:p w14:paraId="4D83822B" w14:textId="77777777" w:rsidR="00D83E33" w:rsidRPr="00EA10CF" w:rsidRDefault="00D83E33">
            <w:pPr>
              <w:widowControl w:val="0"/>
              <w:jc w:val="right"/>
            </w:pPr>
          </w:p>
        </w:tc>
        <w:tc>
          <w:tcPr>
            <w:tcW w:w="572" w:type="pct"/>
            <w:vAlign w:val="bottom"/>
          </w:tcPr>
          <w:p w14:paraId="49259CD6" w14:textId="77777777" w:rsidR="00D83E33" w:rsidRPr="00EA10CF" w:rsidRDefault="00D83E33">
            <w:pPr>
              <w:widowControl w:val="0"/>
              <w:jc w:val="right"/>
            </w:pPr>
          </w:p>
        </w:tc>
        <w:tc>
          <w:tcPr>
            <w:tcW w:w="572" w:type="pct"/>
            <w:vAlign w:val="bottom"/>
          </w:tcPr>
          <w:p w14:paraId="42FEA931" w14:textId="77777777" w:rsidR="00D83E33" w:rsidRPr="00EA10CF" w:rsidRDefault="00D83E33">
            <w:pPr>
              <w:widowControl w:val="0"/>
              <w:jc w:val="right"/>
            </w:pPr>
          </w:p>
        </w:tc>
        <w:tc>
          <w:tcPr>
            <w:tcW w:w="573" w:type="pct"/>
            <w:vAlign w:val="bottom"/>
          </w:tcPr>
          <w:p w14:paraId="3EAD8269" w14:textId="77777777" w:rsidR="00D83E33" w:rsidRPr="00EA10CF" w:rsidRDefault="00D83E33">
            <w:pPr>
              <w:widowControl w:val="0"/>
              <w:jc w:val="right"/>
            </w:pPr>
          </w:p>
        </w:tc>
      </w:tr>
      <w:tr w:rsidR="00D83E33" w:rsidRPr="00EA10CF" w14:paraId="11592036" w14:textId="77777777" w:rsidTr="001B330E">
        <w:trPr>
          <w:trHeight w:val="23"/>
        </w:trPr>
        <w:tc>
          <w:tcPr>
            <w:tcW w:w="1566" w:type="pct"/>
            <w:vAlign w:val="bottom"/>
          </w:tcPr>
          <w:p w14:paraId="7E6F3928"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 xml:space="preserve">- </w:t>
            </w:r>
            <w:r w:rsidRPr="00EA10CF">
              <w:rPr>
                <w:color w:val="000000"/>
              </w:rPr>
              <w:tab/>
              <w:t>Reclassification adjustments for gains included in profit or loss</w:t>
            </w:r>
          </w:p>
        </w:tc>
        <w:tc>
          <w:tcPr>
            <w:tcW w:w="572" w:type="pct"/>
            <w:vAlign w:val="bottom"/>
          </w:tcPr>
          <w:p w14:paraId="0BF0B60F" w14:textId="77777777" w:rsidR="00D83E33" w:rsidRPr="00EA10CF" w:rsidRDefault="00D83E33">
            <w:pPr>
              <w:widowControl w:val="0"/>
              <w:jc w:val="right"/>
            </w:pPr>
          </w:p>
        </w:tc>
        <w:tc>
          <w:tcPr>
            <w:tcW w:w="572" w:type="pct"/>
            <w:vAlign w:val="bottom"/>
          </w:tcPr>
          <w:p w14:paraId="2C85211C" w14:textId="77777777" w:rsidR="00D83E33" w:rsidRPr="00EA10CF" w:rsidRDefault="00D83E33">
            <w:pPr>
              <w:widowControl w:val="0"/>
              <w:jc w:val="right"/>
            </w:pPr>
          </w:p>
        </w:tc>
        <w:tc>
          <w:tcPr>
            <w:tcW w:w="573" w:type="pct"/>
            <w:vAlign w:val="bottom"/>
          </w:tcPr>
          <w:p w14:paraId="0A5409D7" w14:textId="77777777" w:rsidR="00D83E33" w:rsidRPr="00EA10CF" w:rsidRDefault="00D83E33">
            <w:pPr>
              <w:widowControl w:val="0"/>
              <w:jc w:val="right"/>
            </w:pPr>
          </w:p>
        </w:tc>
        <w:tc>
          <w:tcPr>
            <w:tcW w:w="572" w:type="pct"/>
            <w:vAlign w:val="bottom"/>
          </w:tcPr>
          <w:p w14:paraId="550A2857" w14:textId="77777777" w:rsidR="00D83E33" w:rsidRPr="00EA10CF" w:rsidRDefault="00D83E33">
            <w:pPr>
              <w:widowControl w:val="0"/>
              <w:jc w:val="right"/>
            </w:pPr>
          </w:p>
        </w:tc>
        <w:tc>
          <w:tcPr>
            <w:tcW w:w="572" w:type="pct"/>
            <w:vAlign w:val="bottom"/>
          </w:tcPr>
          <w:p w14:paraId="01BA6408" w14:textId="77777777" w:rsidR="00D83E33" w:rsidRPr="00EA10CF" w:rsidRDefault="00D83E33">
            <w:pPr>
              <w:widowControl w:val="0"/>
              <w:jc w:val="right"/>
            </w:pPr>
          </w:p>
        </w:tc>
        <w:tc>
          <w:tcPr>
            <w:tcW w:w="573" w:type="pct"/>
            <w:vAlign w:val="bottom"/>
          </w:tcPr>
          <w:p w14:paraId="669C32E3" w14:textId="77777777" w:rsidR="00D83E33" w:rsidRPr="00EA10CF" w:rsidRDefault="00D83E33">
            <w:pPr>
              <w:widowControl w:val="0"/>
              <w:jc w:val="right"/>
            </w:pPr>
          </w:p>
        </w:tc>
      </w:tr>
      <w:tr w:rsidR="00D83E33" w:rsidRPr="00EA10CF" w14:paraId="2ABA6640" w14:textId="77777777" w:rsidTr="001B330E">
        <w:trPr>
          <w:trHeight w:val="23"/>
        </w:trPr>
        <w:tc>
          <w:tcPr>
            <w:tcW w:w="1566" w:type="pct"/>
            <w:vAlign w:val="bottom"/>
          </w:tcPr>
          <w:p w14:paraId="233577C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Equity securities at FVOCI:</w:t>
            </w:r>
          </w:p>
        </w:tc>
        <w:tc>
          <w:tcPr>
            <w:tcW w:w="572" w:type="pct"/>
            <w:vAlign w:val="bottom"/>
          </w:tcPr>
          <w:p w14:paraId="55401389" w14:textId="77777777" w:rsidR="00D83E33" w:rsidRPr="00EA10CF" w:rsidRDefault="00D83E33">
            <w:pPr>
              <w:widowControl w:val="0"/>
              <w:jc w:val="right"/>
            </w:pPr>
          </w:p>
        </w:tc>
        <w:tc>
          <w:tcPr>
            <w:tcW w:w="572" w:type="pct"/>
            <w:vAlign w:val="bottom"/>
          </w:tcPr>
          <w:p w14:paraId="163A423E" w14:textId="77777777" w:rsidR="00D83E33" w:rsidRPr="00EA10CF" w:rsidRDefault="00D83E33">
            <w:pPr>
              <w:widowControl w:val="0"/>
              <w:jc w:val="right"/>
            </w:pPr>
          </w:p>
        </w:tc>
        <w:tc>
          <w:tcPr>
            <w:tcW w:w="573" w:type="pct"/>
            <w:vAlign w:val="bottom"/>
          </w:tcPr>
          <w:p w14:paraId="540C0556" w14:textId="77777777" w:rsidR="00D83E33" w:rsidRPr="00EA10CF" w:rsidRDefault="00D83E33">
            <w:pPr>
              <w:widowControl w:val="0"/>
              <w:jc w:val="right"/>
            </w:pPr>
          </w:p>
        </w:tc>
        <w:tc>
          <w:tcPr>
            <w:tcW w:w="572" w:type="pct"/>
            <w:vAlign w:val="bottom"/>
          </w:tcPr>
          <w:p w14:paraId="6C3592A6" w14:textId="77777777" w:rsidR="00D83E33" w:rsidRPr="00EA10CF" w:rsidRDefault="00D83E33">
            <w:pPr>
              <w:widowControl w:val="0"/>
              <w:jc w:val="right"/>
            </w:pPr>
          </w:p>
        </w:tc>
        <w:tc>
          <w:tcPr>
            <w:tcW w:w="572" w:type="pct"/>
            <w:vAlign w:val="bottom"/>
          </w:tcPr>
          <w:p w14:paraId="5E47E569" w14:textId="77777777" w:rsidR="00D83E33" w:rsidRPr="00EA10CF" w:rsidRDefault="00D83E33">
            <w:pPr>
              <w:widowControl w:val="0"/>
              <w:jc w:val="right"/>
            </w:pPr>
          </w:p>
        </w:tc>
        <w:tc>
          <w:tcPr>
            <w:tcW w:w="573" w:type="pct"/>
            <w:vAlign w:val="bottom"/>
          </w:tcPr>
          <w:p w14:paraId="0738D7C5" w14:textId="77777777" w:rsidR="00D83E33" w:rsidRPr="00EA10CF" w:rsidRDefault="00D83E33">
            <w:pPr>
              <w:widowControl w:val="0"/>
              <w:jc w:val="right"/>
            </w:pPr>
          </w:p>
        </w:tc>
      </w:tr>
      <w:tr w:rsidR="00D83E33" w:rsidRPr="00EA10CF" w14:paraId="3124084A" w14:textId="77777777" w:rsidTr="001B330E">
        <w:trPr>
          <w:trHeight w:val="23"/>
        </w:trPr>
        <w:tc>
          <w:tcPr>
            <w:tcW w:w="1566" w:type="pct"/>
            <w:vAlign w:val="bottom"/>
          </w:tcPr>
          <w:p w14:paraId="4BF17C3E"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 xml:space="preserve">- </w:t>
            </w:r>
            <w:r w:rsidRPr="00EA10CF">
              <w:rPr>
                <w:color w:val="000000"/>
              </w:rPr>
              <w:tab/>
              <w:t>Gains arising during the year</w:t>
            </w:r>
          </w:p>
        </w:tc>
        <w:tc>
          <w:tcPr>
            <w:tcW w:w="572" w:type="pct"/>
            <w:vAlign w:val="bottom"/>
          </w:tcPr>
          <w:p w14:paraId="0A382BF2" w14:textId="77777777" w:rsidR="00D83E33" w:rsidRPr="00EA10CF" w:rsidRDefault="00D83E33">
            <w:pPr>
              <w:widowControl w:val="0"/>
              <w:jc w:val="right"/>
            </w:pPr>
          </w:p>
        </w:tc>
        <w:tc>
          <w:tcPr>
            <w:tcW w:w="572" w:type="pct"/>
            <w:vAlign w:val="bottom"/>
          </w:tcPr>
          <w:p w14:paraId="27FA9917" w14:textId="77777777" w:rsidR="00D83E33" w:rsidRPr="00EA10CF" w:rsidRDefault="00D83E33">
            <w:pPr>
              <w:widowControl w:val="0"/>
              <w:jc w:val="right"/>
            </w:pPr>
          </w:p>
        </w:tc>
        <w:tc>
          <w:tcPr>
            <w:tcW w:w="573" w:type="pct"/>
            <w:vAlign w:val="bottom"/>
          </w:tcPr>
          <w:p w14:paraId="53CFC758" w14:textId="77777777" w:rsidR="00D83E33" w:rsidRPr="00EA10CF" w:rsidRDefault="00D83E33">
            <w:pPr>
              <w:widowControl w:val="0"/>
              <w:jc w:val="right"/>
            </w:pPr>
          </w:p>
        </w:tc>
        <w:tc>
          <w:tcPr>
            <w:tcW w:w="572" w:type="pct"/>
            <w:vAlign w:val="bottom"/>
          </w:tcPr>
          <w:p w14:paraId="651F5974" w14:textId="77777777" w:rsidR="00D83E33" w:rsidRPr="00EA10CF" w:rsidRDefault="00D83E33">
            <w:pPr>
              <w:widowControl w:val="0"/>
              <w:jc w:val="right"/>
            </w:pPr>
          </w:p>
        </w:tc>
        <w:tc>
          <w:tcPr>
            <w:tcW w:w="572" w:type="pct"/>
            <w:vAlign w:val="bottom"/>
          </w:tcPr>
          <w:p w14:paraId="7EB792D9" w14:textId="77777777" w:rsidR="00D83E33" w:rsidRPr="00EA10CF" w:rsidRDefault="00D83E33">
            <w:pPr>
              <w:widowControl w:val="0"/>
              <w:jc w:val="right"/>
            </w:pPr>
          </w:p>
        </w:tc>
        <w:tc>
          <w:tcPr>
            <w:tcW w:w="573" w:type="pct"/>
            <w:vAlign w:val="bottom"/>
          </w:tcPr>
          <w:p w14:paraId="63899B9F" w14:textId="77777777" w:rsidR="00D83E33" w:rsidRPr="00EA10CF" w:rsidRDefault="00D83E33">
            <w:pPr>
              <w:widowControl w:val="0"/>
              <w:jc w:val="right"/>
            </w:pPr>
          </w:p>
        </w:tc>
      </w:tr>
      <w:tr w:rsidR="00D83E33" w:rsidRPr="00EA10CF" w14:paraId="02F499BE" w14:textId="77777777" w:rsidTr="001B330E">
        <w:trPr>
          <w:trHeight w:val="23"/>
        </w:trPr>
        <w:tc>
          <w:tcPr>
            <w:tcW w:w="1566" w:type="pct"/>
            <w:vAlign w:val="bottom"/>
          </w:tcPr>
          <w:p w14:paraId="4E5EDD71"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Change in fair value of financial liabilities at FVTPL</w:t>
            </w:r>
          </w:p>
        </w:tc>
        <w:tc>
          <w:tcPr>
            <w:tcW w:w="572" w:type="pct"/>
            <w:vAlign w:val="bottom"/>
          </w:tcPr>
          <w:p w14:paraId="28621ABC" w14:textId="77777777" w:rsidR="00D83E33" w:rsidRPr="00EA10CF" w:rsidRDefault="00D83E33">
            <w:pPr>
              <w:widowControl w:val="0"/>
              <w:jc w:val="right"/>
            </w:pPr>
          </w:p>
        </w:tc>
        <w:tc>
          <w:tcPr>
            <w:tcW w:w="572" w:type="pct"/>
            <w:vAlign w:val="bottom"/>
          </w:tcPr>
          <w:p w14:paraId="56A85A3D" w14:textId="77777777" w:rsidR="00D83E33" w:rsidRPr="00EA10CF" w:rsidRDefault="00D83E33">
            <w:pPr>
              <w:widowControl w:val="0"/>
              <w:jc w:val="right"/>
            </w:pPr>
          </w:p>
        </w:tc>
        <w:tc>
          <w:tcPr>
            <w:tcW w:w="573" w:type="pct"/>
            <w:vAlign w:val="bottom"/>
          </w:tcPr>
          <w:p w14:paraId="139ABBFE" w14:textId="77777777" w:rsidR="00D83E33" w:rsidRPr="00EA10CF" w:rsidRDefault="00D83E33">
            <w:pPr>
              <w:widowControl w:val="0"/>
              <w:jc w:val="right"/>
            </w:pPr>
          </w:p>
        </w:tc>
        <w:tc>
          <w:tcPr>
            <w:tcW w:w="572" w:type="pct"/>
            <w:vAlign w:val="bottom"/>
          </w:tcPr>
          <w:p w14:paraId="322AACFB" w14:textId="77777777" w:rsidR="00D83E33" w:rsidRPr="00EA10CF" w:rsidRDefault="00D83E33">
            <w:pPr>
              <w:widowControl w:val="0"/>
              <w:jc w:val="right"/>
            </w:pPr>
          </w:p>
        </w:tc>
        <w:tc>
          <w:tcPr>
            <w:tcW w:w="572" w:type="pct"/>
            <w:vAlign w:val="bottom"/>
          </w:tcPr>
          <w:p w14:paraId="2A3AEB62" w14:textId="77777777" w:rsidR="00D83E33" w:rsidRPr="00EA10CF" w:rsidRDefault="00D83E33">
            <w:pPr>
              <w:widowControl w:val="0"/>
              <w:jc w:val="right"/>
            </w:pPr>
          </w:p>
        </w:tc>
        <w:tc>
          <w:tcPr>
            <w:tcW w:w="573" w:type="pct"/>
            <w:vAlign w:val="bottom"/>
          </w:tcPr>
          <w:p w14:paraId="3164CC0B" w14:textId="77777777" w:rsidR="00D83E33" w:rsidRPr="00EA10CF" w:rsidRDefault="00D83E33">
            <w:pPr>
              <w:widowControl w:val="0"/>
              <w:jc w:val="right"/>
            </w:pPr>
          </w:p>
        </w:tc>
      </w:tr>
      <w:tr w:rsidR="00D83E33" w:rsidRPr="00EA10CF" w14:paraId="6D3C6FF2" w14:textId="77777777" w:rsidTr="001B330E">
        <w:trPr>
          <w:trHeight w:val="23"/>
        </w:trPr>
        <w:tc>
          <w:tcPr>
            <w:tcW w:w="1566" w:type="pct"/>
            <w:vAlign w:val="bottom"/>
          </w:tcPr>
          <w:p w14:paraId="7CBAB608"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 xml:space="preserve">- </w:t>
            </w:r>
            <w:r w:rsidRPr="00EA10CF">
              <w:rPr>
                <w:color w:val="000000"/>
              </w:rPr>
              <w:tab/>
              <w:t>Gains arising during the year</w:t>
            </w:r>
          </w:p>
        </w:tc>
        <w:tc>
          <w:tcPr>
            <w:tcW w:w="572" w:type="pct"/>
            <w:vAlign w:val="bottom"/>
          </w:tcPr>
          <w:p w14:paraId="21E650F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BBCC81C"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34558C6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0F70D2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0C14A12"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02435C6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108757A" w14:textId="77777777" w:rsidTr="001B330E">
        <w:trPr>
          <w:trHeight w:val="23"/>
        </w:trPr>
        <w:tc>
          <w:tcPr>
            <w:tcW w:w="1566" w:type="pct"/>
            <w:vAlign w:val="bottom"/>
          </w:tcPr>
          <w:p w14:paraId="429F8E47"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 xml:space="preserve">- </w:t>
            </w:r>
            <w:r w:rsidRPr="00EA10CF">
              <w:rPr>
                <w:color w:val="000000"/>
              </w:rPr>
              <w:tab/>
              <w:t>Reclassification adjustments for gains included in profit or loss</w:t>
            </w:r>
          </w:p>
        </w:tc>
        <w:tc>
          <w:tcPr>
            <w:tcW w:w="572" w:type="pct"/>
            <w:vAlign w:val="bottom"/>
          </w:tcPr>
          <w:p w14:paraId="7E2211D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C1302A0"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0058A3D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39268B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2C806C2"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4EB7ECE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C10419" w14:textId="77777777" w:rsidTr="001B330E">
        <w:trPr>
          <w:trHeight w:val="23"/>
        </w:trPr>
        <w:tc>
          <w:tcPr>
            <w:tcW w:w="1566" w:type="pct"/>
            <w:vAlign w:val="bottom"/>
          </w:tcPr>
          <w:p w14:paraId="3C8F70B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Revaluation of premises </w:t>
            </w:r>
            <w:r w:rsidRPr="00EA10CF">
              <w:rPr>
                <w:color w:val="0000FF"/>
              </w:rPr>
              <w:t>[and equipment]</w:t>
            </w:r>
          </w:p>
        </w:tc>
        <w:tc>
          <w:tcPr>
            <w:tcW w:w="572" w:type="pct"/>
            <w:vAlign w:val="bottom"/>
          </w:tcPr>
          <w:p w14:paraId="65E4A49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F8B981E"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7957672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91D1C1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CCC2906"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1F4EB6A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2E840A3" w14:textId="77777777" w:rsidTr="001B330E">
        <w:trPr>
          <w:trHeight w:val="23"/>
        </w:trPr>
        <w:tc>
          <w:tcPr>
            <w:tcW w:w="1566" w:type="pct"/>
            <w:vAlign w:val="bottom"/>
          </w:tcPr>
          <w:p w14:paraId="6CC7031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Share of other comprehensive income of associates</w:t>
            </w:r>
          </w:p>
        </w:tc>
        <w:tc>
          <w:tcPr>
            <w:tcW w:w="572" w:type="pct"/>
            <w:vAlign w:val="bottom"/>
          </w:tcPr>
          <w:p w14:paraId="29CEFC5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4B3BE93"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7EA2B18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28103E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A804F05"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57646E4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D55242A" w14:textId="77777777" w:rsidTr="001B330E">
        <w:trPr>
          <w:trHeight w:val="23"/>
        </w:trPr>
        <w:tc>
          <w:tcPr>
            <w:tcW w:w="1566" w:type="pct"/>
            <w:vAlign w:val="bottom"/>
          </w:tcPr>
          <w:p w14:paraId="63047DB0"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[Exchange differences on translation to presentation currency]</w:t>
            </w:r>
          </w:p>
        </w:tc>
        <w:tc>
          <w:tcPr>
            <w:tcW w:w="572" w:type="pct"/>
            <w:vAlign w:val="bottom"/>
          </w:tcPr>
          <w:p w14:paraId="3E56A5E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D283889"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2B0DA58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5940A0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B5099A9" w14:textId="77777777" w:rsidR="00D83E33" w:rsidRPr="00EA10CF" w:rsidRDefault="00D83E33">
            <w:pPr>
              <w:widowControl w:val="0"/>
              <w:pBdr>
                <w:top w:val="nil"/>
                <w:left w:val="nil"/>
                <w:bottom w:val="nil"/>
                <w:right w:val="nil"/>
                <w:between w:val="nil"/>
              </w:pBdr>
              <w:jc w:val="right"/>
              <w:rPr>
                <w:color w:val="000000"/>
              </w:rPr>
            </w:pPr>
          </w:p>
        </w:tc>
        <w:tc>
          <w:tcPr>
            <w:tcW w:w="573" w:type="pct"/>
            <w:vAlign w:val="bottom"/>
          </w:tcPr>
          <w:p w14:paraId="3E23C54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41ABA82" w14:textId="77777777" w:rsidTr="001B330E">
        <w:trPr>
          <w:trHeight w:val="23"/>
        </w:trPr>
        <w:tc>
          <w:tcPr>
            <w:tcW w:w="1566" w:type="pct"/>
            <w:tcBorders>
              <w:bottom w:val="single" w:sz="4" w:space="0" w:color="000000"/>
            </w:tcBorders>
            <w:vAlign w:val="bottom"/>
          </w:tcPr>
          <w:p w14:paraId="46594F80" w14:textId="77777777" w:rsidR="00D83E33" w:rsidRPr="00EA10CF" w:rsidRDefault="00BC4072" w:rsidP="001B330E">
            <w:pPr>
              <w:widowControl w:val="0"/>
              <w:ind w:left="113" w:hanging="113"/>
            </w:pPr>
            <w:r w:rsidRPr="00EA10CF">
              <w:t> </w:t>
            </w:r>
          </w:p>
        </w:tc>
        <w:tc>
          <w:tcPr>
            <w:tcW w:w="572" w:type="pct"/>
            <w:tcBorders>
              <w:bottom w:val="single" w:sz="4" w:space="0" w:color="000000"/>
            </w:tcBorders>
            <w:vAlign w:val="bottom"/>
          </w:tcPr>
          <w:p w14:paraId="6B4BBF3C"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4" w:space="0" w:color="000000"/>
            </w:tcBorders>
            <w:vAlign w:val="bottom"/>
          </w:tcPr>
          <w:p w14:paraId="53F4438D" w14:textId="77777777" w:rsidR="00D83E33" w:rsidRPr="00EA10CF" w:rsidRDefault="00D83E33">
            <w:pPr>
              <w:widowControl w:val="0"/>
              <w:pBdr>
                <w:top w:val="nil"/>
                <w:left w:val="nil"/>
                <w:bottom w:val="nil"/>
                <w:right w:val="nil"/>
                <w:between w:val="nil"/>
              </w:pBdr>
              <w:jc w:val="right"/>
              <w:rPr>
                <w:color w:val="000000"/>
              </w:rPr>
            </w:pPr>
          </w:p>
        </w:tc>
        <w:tc>
          <w:tcPr>
            <w:tcW w:w="573" w:type="pct"/>
            <w:tcBorders>
              <w:bottom w:val="single" w:sz="4" w:space="0" w:color="000000"/>
            </w:tcBorders>
            <w:vAlign w:val="bottom"/>
          </w:tcPr>
          <w:p w14:paraId="5CD061A5"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4" w:space="0" w:color="000000"/>
            </w:tcBorders>
            <w:vAlign w:val="bottom"/>
          </w:tcPr>
          <w:p w14:paraId="413EE696"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4" w:space="0" w:color="000000"/>
            </w:tcBorders>
            <w:vAlign w:val="bottom"/>
          </w:tcPr>
          <w:p w14:paraId="2520D4B2" w14:textId="77777777" w:rsidR="00D83E33" w:rsidRPr="00EA10CF" w:rsidRDefault="00D83E33">
            <w:pPr>
              <w:widowControl w:val="0"/>
              <w:pBdr>
                <w:top w:val="nil"/>
                <w:left w:val="nil"/>
                <w:bottom w:val="nil"/>
                <w:right w:val="nil"/>
                <w:between w:val="nil"/>
              </w:pBdr>
              <w:jc w:val="right"/>
              <w:rPr>
                <w:color w:val="000000"/>
              </w:rPr>
            </w:pPr>
          </w:p>
        </w:tc>
        <w:tc>
          <w:tcPr>
            <w:tcW w:w="573" w:type="pct"/>
            <w:tcBorders>
              <w:bottom w:val="single" w:sz="4" w:space="0" w:color="000000"/>
            </w:tcBorders>
            <w:vAlign w:val="bottom"/>
          </w:tcPr>
          <w:p w14:paraId="778C801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0C9BA64" w14:textId="77777777" w:rsidTr="001B330E">
        <w:trPr>
          <w:trHeight w:val="23"/>
        </w:trPr>
        <w:tc>
          <w:tcPr>
            <w:tcW w:w="1566" w:type="pct"/>
            <w:vAlign w:val="bottom"/>
          </w:tcPr>
          <w:p w14:paraId="70720A6E" w14:textId="77777777" w:rsidR="00D83E33" w:rsidRPr="00EA10CF" w:rsidRDefault="00BC4072" w:rsidP="001B330E">
            <w:pPr>
              <w:widowControl w:val="0"/>
              <w:ind w:left="113" w:hanging="113"/>
            </w:pPr>
            <w:r w:rsidRPr="00EA10CF">
              <w:t> </w:t>
            </w:r>
          </w:p>
        </w:tc>
        <w:tc>
          <w:tcPr>
            <w:tcW w:w="572" w:type="pct"/>
            <w:vAlign w:val="bottom"/>
          </w:tcPr>
          <w:p w14:paraId="62070BCE" w14:textId="77777777" w:rsidR="00D83E33" w:rsidRPr="00EA10CF" w:rsidRDefault="00D83E33">
            <w:pPr>
              <w:widowControl w:val="0"/>
              <w:jc w:val="right"/>
              <w:rPr>
                <w:b/>
              </w:rPr>
            </w:pPr>
          </w:p>
        </w:tc>
        <w:tc>
          <w:tcPr>
            <w:tcW w:w="572" w:type="pct"/>
            <w:vAlign w:val="bottom"/>
          </w:tcPr>
          <w:p w14:paraId="435CC2C4" w14:textId="77777777" w:rsidR="00D83E33" w:rsidRPr="00EA10CF" w:rsidRDefault="00D83E33">
            <w:pPr>
              <w:widowControl w:val="0"/>
              <w:jc w:val="right"/>
              <w:rPr>
                <w:b/>
              </w:rPr>
            </w:pPr>
          </w:p>
        </w:tc>
        <w:tc>
          <w:tcPr>
            <w:tcW w:w="573" w:type="pct"/>
            <w:vAlign w:val="bottom"/>
          </w:tcPr>
          <w:p w14:paraId="58A8A661" w14:textId="77777777" w:rsidR="00D83E33" w:rsidRPr="00EA10CF" w:rsidRDefault="00D83E33">
            <w:pPr>
              <w:widowControl w:val="0"/>
              <w:jc w:val="right"/>
              <w:rPr>
                <w:b/>
              </w:rPr>
            </w:pPr>
          </w:p>
        </w:tc>
        <w:tc>
          <w:tcPr>
            <w:tcW w:w="572" w:type="pct"/>
            <w:vAlign w:val="bottom"/>
          </w:tcPr>
          <w:p w14:paraId="5903B486" w14:textId="77777777" w:rsidR="00D83E33" w:rsidRPr="00EA10CF" w:rsidRDefault="00D83E33">
            <w:pPr>
              <w:widowControl w:val="0"/>
              <w:jc w:val="right"/>
              <w:rPr>
                <w:b/>
              </w:rPr>
            </w:pPr>
          </w:p>
        </w:tc>
        <w:tc>
          <w:tcPr>
            <w:tcW w:w="572" w:type="pct"/>
            <w:vAlign w:val="bottom"/>
          </w:tcPr>
          <w:p w14:paraId="7E3157FC" w14:textId="77777777" w:rsidR="00D83E33" w:rsidRPr="00EA10CF" w:rsidRDefault="00D83E33">
            <w:pPr>
              <w:widowControl w:val="0"/>
              <w:jc w:val="right"/>
              <w:rPr>
                <w:b/>
              </w:rPr>
            </w:pPr>
          </w:p>
        </w:tc>
        <w:tc>
          <w:tcPr>
            <w:tcW w:w="573" w:type="pct"/>
            <w:vAlign w:val="bottom"/>
          </w:tcPr>
          <w:p w14:paraId="4609608C" w14:textId="77777777" w:rsidR="00D83E33" w:rsidRPr="00EA10CF" w:rsidRDefault="00D83E33">
            <w:pPr>
              <w:widowControl w:val="0"/>
              <w:jc w:val="right"/>
              <w:rPr>
                <w:b/>
              </w:rPr>
            </w:pPr>
          </w:p>
        </w:tc>
      </w:tr>
      <w:tr w:rsidR="00D83E33" w:rsidRPr="00EA10CF" w14:paraId="41A17A25" w14:textId="77777777" w:rsidTr="001B330E">
        <w:trPr>
          <w:trHeight w:val="23"/>
        </w:trPr>
        <w:tc>
          <w:tcPr>
            <w:tcW w:w="1566" w:type="pct"/>
            <w:vAlign w:val="bottom"/>
          </w:tcPr>
          <w:p w14:paraId="06007EE0"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Other comprehensive income</w:t>
            </w:r>
          </w:p>
        </w:tc>
        <w:tc>
          <w:tcPr>
            <w:tcW w:w="572" w:type="pct"/>
            <w:vAlign w:val="bottom"/>
          </w:tcPr>
          <w:p w14:paraId="5C100441"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6D802A3F" w14:textId="77777777" w:rsidR="00D83E33" w:rsidRPr="00EA10CF" w:rsidRDefault="00D83E33">
            <w:pPr>
              <w:widowControl w:val="0"/>
              <w:pBdr>
                <w:top w:val="nil"/>
                <w:left w:val="nil"/>
                <w:bottom w:val="nil"/>
                <w:right w:val="nil"/>
                <w:between w:val="nil"/>
              </w:pBdr>
              <w:jc w:val="right"/>
              <w:rPr>
                <w:b/>
                <w:color w:val="000000"/>
              </w:rPr>
            </w:pPr>
          </w:p>
        </w:tc>
        <w:tc>
          <w:tcPr>
            <w:tcW w:w="573" w:type="pct"/>
            <w:vAlign w:val="bottom"/>
          </w:tcPr>
          <w:p w14:paraId="68E19DA8"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326A3017"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2EC3B813" w14:textId="77777777" w:rsidR="00D83E33" w:rsidRPr="00EA10CF" w:rsidRDefault="00D83E33">
            <w:pPr>
              <w:widowControl w:val="0"/>
              <w:pBdr>
                <w:top w:val="nil"/>
                <w:left w:val="nil"/>
                <w:bottom w:val="nil"/>
                <w:right w:val="nil"/>
                <w:between w:val="nil"/>
              </w:pBdr>
              <w:jc w:val="right"/>
              <w:rPr>
                <w:b/>
                <w:color w:val="000000"/>
              </w:rPr>
            </w:pPr>
          </w:p>
        </w:tc>
        <w:tc>
          <w:tcPr>
            <w:tcW w:w="573" w:type="pct"/>
            <w:vAlign w:val="bottom"/>
          </w:tcPr>
          <w:p w14:paraId="257982F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E6A6378" w14:textId="77777777" w:rsidTr="001B330E">
        <w:trPr>
          <w:trHeight w:val="23"/>
        </w:trPr>
        <w:tc>
          <w:tcPr>
            <w:tcW w:w="1566" w:type="pct"/>
            <w:tcBorders>
              <w:bottom w:val="single" w:sz="12" w:space="0" w:color="000000"/>
            </w:tcBorders>
            <w:vAlign w:val="bottom"/>
          </w:tcPr>
          <w:p w14:paraId="6AD7BD6C" w14:textId="77777777" w:rsidR="00D83E33" w:rsidRPr="00EA10CF" w:rsidRDefault="00BC4072" w:rsidP="001B330E">
            <w:pPr>
              <w:widowControl w:val="0"/>
              <w:ind w:left="113" w:hanging="113"/>
            </w:pPr>
            <w:r w:rsidRPr="00EA10CF">
              <w:t> </w:t>
            </w:r>
          </w:p>
        </w:tc>
        <w:tc>
          <w:tcPr>
            <w:tcW w:w="572" w:type="pct"/>
            <w:tcBorders>
              <w:bottom w:val="single" w:sz="12" w:space="0" w:color="000000"/>
            </w:tcBorders>
            <w:vAlign w:val="bottom"/>
          </w:tcPr>
          <w:p w14:paraId="718ACC38" w14:textId="77777777" w:rsidR="00D83E33" w:rsidRPr="00EA10CF" w:rsidRDefault="00D83E33">
            <w:pPr>
              <w:widowControl w:val="0"/>
              <w:jc w:val="right"/>
              <w:rPr>
                <w:b/>
              </w:rPr>
            </w:pPr>
          </w:p>
        </w:tc>
        <w:tc>
          <w:tcPr>
            <w:tcW w:w="572" w:type="pct"/>
            <w:tcBorders>
              <w:bottom w:val="single" w:sz="12" w:space="0" w:color="000000"/>
            </w:tcBorders>
            <w:vAlign w:val="bottom"/>
          </w:tcPr>
          <w:p w14:paraId="74C98770" w14:textId="77777777" w:rsidR="00D83E33" w:rsidRPr="00EA10CF" w:rsidRDefault="00D83E33">
            <w:pPr>
              <w:widowControl w:val="0"/>
              <w:jc w:val="right"/>
              <w:rPr>
                <w:b/>
              </w:rPr>
            </w:pPr>
          </w:p>
        </w:tc>
        <w:tc>
          <w:tcPr>
            <w:tcW w:w="573" w:type="pct"/>
            <w:tcBorders>
              <w:bottom w:val="single" w:sz="12" w:space="0" w:color="000000"/>
            </w:tcBorders>
            <w:vAlign w:val="bottom"/>
          </w:tcPr>
          <w:p w14:paraId="725DC0B5" w14:textId="77777777" w:rsidR="00D83E33" w:rsidRPr="00EA10CF" w:rsidRDefault="00D83E33">
            <w:pPr>
              <w:widowControl w:val="0"/>
              <w:jc w:val="right"/>
              <w:rPr>
                <w:b/>
              </w:rPr>
            </w:pPr>
          </w:p>
        </w:tc>
        <w:tc>
          <w:tcPr>
            <w:tcW w:w="572" w:type="pct"/>
            <w:tcBorders>
              <w:bottom w:val="single" w:sz="12" w:space="0" w:color="000000"/>
            </w:tcBorders>
            <w:vAlign w:val="bottom"/>
          </w:tcPr>
          <w:p w14:paraId="11B6C4AF" w14:textId="77777777" w:rsidR="00D83E33" w:rsidRPr="00EA10CF" w:rsidRDefault="00D83E33">
            <w:pPr>
              <w:widowControl w:val="0"/>
              <w:jc w:val="right"/>
              <w:rPr>
                <w:b/>
              </w:rPr>
            </w:pPr>
          </w:p>
        </w:tc>
        <w:tc>
          <w:tcPr>
            <w:tcW w:w="572" w:type="pct"/>
            <w:tcBorders>
              <w:bottom w:val="single" w:sz="12" w:space="0" w:color="000000"/>
            </w:tcBorders>
            <w:vAlign w:val="bottom"/>
          </w:tcPr>
          <w:p w14:paraId="2BA43AD4" w14:textId="77777777" w:rsidR="00D83E33" w:rsidRPr="00EA10CF" w:rsidRDefault="00D83E33">
            <w:pPr>
              <w:widowControl w:val="0"/>
              <w:jc w:val="right"/>
              <w:rPr>
                <w:b/>
              </w:rPr>
            </w:pPr>
          </w:p>
        </w:tc>
        <w:tc>
          <w:tcPr>
            <w:tcW w:w="573" w:type="pct"/>
            <w:tcBorders>
              <w:bottom w:val="single" w:sz="12" w:space="0" w:color="000000"/>
            </w:tcBorders>
            <w:vAlign w:val="bottom"/>
          </w:tcPr>
          <w:p w14:paraId="567194E8" w14:textId="77777777" w:rsidR="00D83E33" w:rsidRPr="00EA10CF" w:rsidRDefault="00D83E33">
            <w:pPr>
              <w:widowControl w:val="0"/>
              <w:jc w:val="right"/>
              <w:rPr>
                <w:b/>
              </w:rPr>
            </w:pPr>
          </w:p>
        </w:tc>
      </w:tr>
    </w:tbl>
    <w:p w14:paraId="3276CE9B" w14:textId="77777777" w:rsidR="00D83E33" w:rsidRDefault="00BC4072" w:rsidP="001B330E">
      <w:pPr>
        <w:pStyle w:val="Heading1"/>
      </w:pPr>
      <w:bookmarkStart w:id="103" w:name="_Toc179196039"/>
      <w:r w:rsidRPr="004607BE">
        <w:t>Dividends</w:t>
      </w:r>
      <w:bookmarkEnd w:id="103"/>
    </w:p>
    <w:tbl>
      <w:tblPr>
        <w:tblStyle w:val="affffffffffffc"/>
        <w:tblW w:w="5000" w:type="pct"/>
        <w:tblLayout w:type="fixed"/>
        <w:tblLook w:val="0000" w:firstRow="0" w:lastRow="0" w:firstColumn="0" w:lastColumn="0" w:noHBand="0" w:noVBand="0"/>
      </w:tblPr>
      <w:tblGrid>
        <w:gridCol w:w="2953"/>
        <w:gridCol w:w="1069"/>
        <w:gridCol w:w="1068"/>
        <w:gridCol w:w="1068"/>
        <w:gridCol w:w="1068"/>
        <w:gridCol w:w="1068"/>
        <w:gridCol w:w="1061"/>
      </w:tblGrid>
      <w:tr w:rsidR="00D83E33" w:rsidRPr="00EA10CF" w14:paraId="0D2A4406" w14:textId="77777777" w:rsidTr="001B330E">
        <w:trPr>
          <w:trHeight w:val="23"/>
        </w:trPr>
        <w:tc>
          <w:tcPr>
            <w:tcW w:w="1578" w:type="pct"/>
            <w:vAlign w:val="bottom"/>
          </w:tcPr>
          <w:p w14:paraId="12E0EC40" w14:textId="77777777" w:rsidR="00D83E33" w:rsidRPr="00EA10CF" w:rsidRDefault="00D83E33" w:rsidP="001B330E">
            <w:pPr>
              <w:widowControl w:val="0"/>
              <w:ind w:left="113" w:hanging="113"/>
              <w:rPr>
                <w:b/>
              </w:rPr>
            </w:pPr>
          </w:p>
        </w:tc>
        <w:tc>
          <w:tcPr>
            <w:tcW w:w="1713" w:type="pct"/>
            <w:gridSpan w:val="3"/>
            <w:tcBorders>
              <w:bottom w:val="single" w:sz="4" w:space="0" w:color="000000"/>
            </w:tcBorders>
            <w:vAlign w:val="bottom"/>
          </w:tcPr>
          <w:p w14:paraId="59D401DB" w14:textId="120F127E" w:rsidR="00D83E33" w:rsidRPr="00EA10CF" w:rsidRDefault="00541EBC" w:rsidP="001B330E">
            <w:pPr>
              <w:widowControl w:val="0"/>
              <w:pBdr>
                <w:top w:val="nil"/>
                <w:left w:val="nil"/>
                <w:bottom w:val="nil"/>
                <w:right w:val="nil"/>
                <w:between w:val="nil"/>
              </w:pBdr>
              <w:jc w:val="center"/>
              <w:rPr>
                <w:b/>
                <w:color w:val="000000"/>
              </w:rPr>
            </w:pPr>
            <w:r>
              <w:rPr>
                <w:b/>
                <w:color w:val="000000"/>
              </w:rPr>
              <w:t>2024</w:t>
            </w:r>
          </w:p>
        </w:tc>
        <w:tc>
          <w:tcPr>
            <w:tcW w:w="1710" w:type="pct"/>
            <w:gridSpan w:val="3"/>
            <w:tcBorders>
              <w:bottom w:val="single" w:sz="4" w:space="0" w:color="000000"/>
            </w:tcBorders>
            <w:vAlign w:val="bottom"/>
          </w:tcPr>
          <w:p w14:paraId="355807A6" w14:textId="67451A74" w:rsidR="00D83E33" w:rsidRPr="00EA10CF" w:rsidRDefault="00541EBC" w:rsidP="001B330E">
            <w:pPr>
              <w:widowControl w:val="0"/>
              <w:pBdr>
                <w:top w:val="nil"/>
                <w:left w:val="nil"/>
                <w:bottom w:val="nil"/>
                <w:right w:val="nil"/>
                <w:between w:val="nil"/>
              </w:pBdr>
              <w:jc w:val="center"/>
              <w:rPr>
                <w:b/>
                <w:color w:val="000000"/>
              </w:rPr>
            </w:pPr>
            <w:r>
              <w:rPr>
                <w:b/>
                <w:color w:val="000000"/>
              </w:rPr>
              <w:t>2023</w:t>
            </w:r>
          </w:p>
        </w:tc>
      </w:tr>
      <w:tr w:rsidR="00D83E33" w:rsidRPr="00EA10CF" w14:paraId="776301CC" w14:textId="77777777" w:rsidTr="001B330E">
        <w:trPr>
          <w:trHeight w:val="23"/>
        </w:trPr>
        <w:tc>
          <w:tcPr>
            <w:tcW w:w="1578" w:type="pct"/>
            <w:tcBorders>
              <w:bottom w:val="single" w:sz="4" w:space="0" w:color="000000"/>
            </w:tcBorders>
            <w:vAlign w:val="bottom"/>
          </w:tcPr>
          <w:p w14:paraId="2980500E" w14:textId="7BDF0654"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71" w:type="pct"/>
            <w:tcBorders>
              <w:top w:val="single" w:sz="4" w:space="0" w:color="000000"/>
              <w:bottom w:val="single" w:sz="4" w:space="0" w:color="000000"/>
            </w:tcBorders>
            <w:vAlign w:val="bottom"/>
          </w:tcPr>
          <w:p w14:paraId="3A8BF391" w14:textId="77777777" w:rsidR="00D83E33" w:rsidRPr="00EA10CF" w:rsidRDefault="00BC4072">
            <w:pPr>
              <w:widowControl w:val="0"/>
              <w:jc w:val="right"/>
              <w:rPr>
                <w:b/>
              </w:rPr>
            </w:pPr>
            <w:r w:rsidRPr="00EA10CF">
              <w:rPr>
                <w:b/>
              </w:rPr>
              <w:t>Ordinary</w:t>
            </w:r>
          </w:p>
        </w:tc>
        <w:tc>
          <w:tcPr>
            <w:tcW w:w="571" w:type="pct"/>
            <w:tcBorders>
              <w:top w:val="single" w:sz="4" w:space="0" w:color="000000"/>
              <w:bottom w:val="single" w:sz="4" w:space="0" w:color="000000"/>
            </w:tcBorders>
            <w:vAlign w:val="bottom"/>
          </w:tcPr>
          <w:p w14:paraId="260BCA49"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Prefe-rence</w:t>
            </w:r>
          </w:p>
        </w:tc>
        <w:tc>
          <w:tcPr>
            <w:tcW w:w="571" w:type="pct"/>
            <w:tcBorders>
              <w:top w:val="single" w:sz="4" w:space="0" w:color="000000"/>
              <w:bottom w:val="single" w:sz="4" w:space="0" w:color="000000"/>
            </w:tcBorders>
          </w:tcPr>
          <w:p w14:paraId="2D5C065F"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Perpetual bonds</w:t>
            </w:r>
          </w:p>
        </w:tc>
        <w:tc>
          <w:tcPr>
            <w:tcW w:w="571" w:type="pct"/>
            <w:tcBorders>
              <w:top w:val="single" w:sz="4" w:space="0" w:color="000000"/>
              <w:bottom w:val="single" w:sz="4" w:space="0" w:color="000000"/>
            </w:tcBorders>
            <w:vAlign w:val="bottom"/>
          </w:tcPr>
          <w:p w14:paraId="3E6D38AA"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Ordinary</w:t>
            </w:r>
          </w:p>
        </w:tc>
        <w:tc>
          <w:tcPr>
            <w:tcW w:w="571" w:type="pct"/>
            <w:tcBorders>
              <w:top w:val="single" w:sz="4" w:space="0" w:color="000000"/>
              <w:bottom w:val="single" w:sz="4" w:space="0" w:color="000000"/>
            </w:tcBorders>
            <w:vAlign w:val="bottom"/>
          </w:tcPr>
          <w:p w14:paraId="7F23968A" w14:textId="376BF762" w:rsidR="00D83E33" w:rsidRPr="00EA10CF" w:rsidRDefault="00BC4072">
            <w:pPr>
              <w:widowControl w:val="0"/>
              <w:pBdr>
                <w:top w:val="nil"/>
                <w:left w:val="nil"/>
                <w:bottom w:val="nil"/>
                <w:right w:val="nil"/>
                <w:between w:val="nil"/>
              </w:pBdr>
              <w:jc w:val="right"/>
              <w:rPr>
                <w:b/>
                <w:color w:val="000000"/>
              </w:rPr>
            </w:pPr>
            <w:r w:rsidRPr="00EA10CF">
              <w:rPr>
                <w:b/>
                <w:color w:val="000000"/>
              </w:rPr>
              <w:t>Prefe-</w:t>
            </w:r>
            <w:r w:rsidR="00FA2F22">
              <w:rPr>
                <w:b/>
                <w:color w:val="000000"/>
              </w:rPr>
              <w:t>r</w:t>
            </w:r>
            <w:r w:rsidRPr="00EA10CF">
              <w:rPr>
                <w:b/>
                <w:color w:val="000000"/>
              </w:rPr>
              <w:t>ence</w:t>
            </w:r>
          </w:p>
        </w:tc>
        <w:tc>
          <w:tcPr>
            <w:tcW w:w="568" w:type="pct"/>
            <w:tcBorders>
              <w:top w:val="single" w:sz="4" w:space="0" w:color="000000"/>
              <w:bottom w:val="single" w:sz="4" w:space="0" w:color="000000"/>
            </w:tcBorders>
          </w:tcPr>
          <w:p w14:paraId="13532299"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Perpetual bonds</w:t>
            </w:r>
          </w:p>
        </w:tc>
      </w:tr>
      <w:tr w:rsidR="00D83E33" w:rsidRPr="00EA10CF" w14:paraId="3101FA89" w14:textId="77777777" w:rsidTr="001B330E">
        <w:trPr>
          <w:trHeight w:val="23"/>
        </w:trPr>
        <w:tc>
          <w:tcPr>
            <w:tcW w:w="1578" w:type="pct"/>
            <w:vAlign w:val="bottom"/>
          </w:tcPr>
          <w:p w14:paraId="2C48F47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1" w:type="pct"/>
            <w:vAlign w:val="bottom"/>
          </w:tcPr>
          <w:p w14:paraId="05D7F8D1"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9710D24" w14:textId="77777777" w:rsidR="00D83E33" w:rsidRPr="00EA10CF" w:rsidRDefault="00D83E33">
            <w:pPr>
              <w:widowControl w:val="0"/>
              <w:pBdr>
                <w:top w:val="nil"/>
                <w:left w:val="nil"/>
                <w:bottom w:val="nil"/>
                <w:right w:val="nil"/>
                <w:between w:val="nil"/>
              </w:pBdr>
              <w:jc w:val="right"/>
              <w:rPr>
                <w:color w:val="000000"/>
              </w:rPr>
            </w:pPr>
          </w:p>
        </w:tc>
        <w:tc>
          <w:tcPr>
            <w:tcW w:w="571" w:type="pct"/>
          </w:tcPr>
          <w:p w14:paraId="11120628" w14:textId="77777777" w:rsidR="00D83E33" w:rsidRPr="00EA10CF" w:rsidRDefault="00D83E33">
            <w:pPr>
              <w:widowControl w:val="0"/>
              <w:jc w:val="right"/>
            </w:pPr>
          </w:p>
        </w:tc>
        <w:tc>
          <w:tcPr>
            <w:tcW w:w="571" w:type="pct"/>
            <w:vAlign w:val="bottom"/>
          </w:tcPr>
          <w:p w14:paraId="7B82EB78" w14:textId="77777777" w:rsidR="00D83E33" w:rsidRPr="00EA10CF" w:rsidRDefault="00D83E33">
            <w:pPr>
              <w:widowControl w:val="0"/>
              <w:jc w:val="right"/>
            </w:pPr>
          </w:p>
        </w:tc>
        <w:tc>
          <w:tcPr>
            <w:tcW w:w="571" w:type="pct"/>
            <w:vAlign w:val="bottom"/>
          </w:tcPr>
          <w:p w14:paraId="68904A9C" w14:textId="77777777" w:rsidR="00D83E33" w:rsidRPr="00EA10CF" w:rsidRDefault="00D83E33">
            <w:pPr>
              <w:widowControl w:val="0"/>
              <w:jc w:val="right"/>
            </w:pPr>
          </w:p>
        </w:tc>
        <w:tc>
          <w:tcPr>
            <w:tcW w:w="568" w:type="pct"/>
          </w:tcPr>
          <w:p w14:paraId="028B31CB" w14:textId="77777777" w:rsidR="00D83E33" w:rsidRPr="00EA10CF" w:rsidRDefault="00D83E33">
            <w:pPr>
              <w:widowControl w:val="0"/>
              <w:jc w:val="right"/>
            </w:pPr>
          </w:p>
        </w:tc>
      </w:tr>
      <w:tr w:rsidR="00D83E33" w:rsidRPr="00EA10CF" w14:paraId="2D934F3A" w14:textId="77777777" w:rsidTr="001B330E">
        <w:trPr>
          <w:trHeight w:val="23"/>
        </w:trPr>
        <w:tc>
          <w:tcPr>
            <w:tcW w:w="1578" w:type="pct"/>
            <w:vAlign w:val="bottom"/>
          </w:tcPr>
          <w:p w14:paraId="33F51FAE"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Dividends payable at 1 January</w:t>
            </w:r>
          </w:p>
        </w:tc>
        <w:tc>
          <w:tcPr>
            <w:tcW w:w="571" w:type="pct"/>
            <w:vAlign w:val="bottom"/>
          </w:tcPr>
          <w:p w14:paraId="5DCD32BF"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2420AFBE" w14:textId="77777777" w:rsidR="00D83E33" w:rsidRPr="00EA10CF" w:rsidRDefault="00D83E33">
            <w:pPr>
              <w:widowControl w:val="0"/>
              <w:pBdr>
                <w:top w:val="nil"/>
                <w:left w:val="nil"/>
                <w:bottom w:val="nil"/>
                <w:right w:val="nil"/>
                <w:between w:val="nil"/>
              </w:pBdr>
              <w:jc w:val="right"/>
              <w:rPr>
                <w:color w:val="000000"/>
              </w:rPr>
            </w:pPr>
          </w:p>
        </w:tc>
        <w:tc>
          <w:tcPr>
            <w:tcW w:w="571" w:type="pct"/>
          </w:tcPr>
          <w:p w14:paraId="1502C426" w14:textId="77777777" w:rsidR="00D83E33" w:rsidRPr="00EA10CF" w:rsidRDefault="00D83E33">
            <w:pPr>
              <w:widowControl w:val="0"/>
              <w:jc w:val="right"/>
            </w:pPr>
          </w:p>
        </w:tc>
        <w:tc>
          <w:tcPr>
            <w:tcW w:w="571" w:type="pct"/>
            <w:vAlign w:val="bottom"/>
          </w:tcPr>
          <w:p w14:paraId="262B9B28" w14:textId="77777777" w:rsidR="00D83E33" w:rsidRPr="00EA10CF" w:rsidRDefault="00D83E33">
            <w:pPr>
              <w:widowControl w:val="0"/>
              <w:jc w:val="right"/>
            </w:pPr>
          </w:p>
        </w:tc>
        <w:tc>
          <w:tcPr>
            <w:tcW w:w="571" w:type="pct"/>
            <w:vAlign w:val="bottom"/>
          </w:tcPr>
          <w:p w14:paraId="71EC0D98" w14:textId="77777777" w:rsidR="00D83E33" w:rsidRPr="00EA10CF" w:rsidRDefault="00D83E33">
            <w:pPr>
              <w:widowControl w:val="0"/>
              <w:jc w:val="right"/>
            </w:pPr>
          </w:p>
        </w:tc>
        <w:tc>
          <w:tcPr>
            <w:tcW w:w="568" w:type="pct"/>
          </w:tcPr>
          <w:p w14:paraId="07D265AD" w14:textId="77777777" w:rsidR="00D83E33" w:rsidRPr="00EA10CF" w:rsidRDefault="00D83E33">
            <w:pPr>
              <w:widowControl w:val="0"/>
              <w:jc w:val="right"/>
            </w:pPr>
          </w:p>
        </w:tc>
      </w:tr>
      <w:tr w:rsidR="00D83E33" w:rsidRPr="00EA10CF" w14:paraId="698DA310" w14:textId="77777777" w:rsidTr="001B330E">
        <w:trPr>
          <w:trHeight w:val="23"/>
        </w:trPr>
        <w:tc>
          <w:tcPr>
            <w:tcW w:w="1578" w:type="pct"/>
            <w:vAlign w:val="bottom"/>
          </w:tcPr>
          <w:p w14:paraId="0753327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Dividends declared during the year</w:t>
            </w:r>
          </w:p>
        </w:tc>
        <w:tc>
          <w:tcPr>
            <w:tcW w:w="571" w:type="pct"/>
            <w:vAlign w:val="bottom"/>
          </w:tcPr>
          <w:p w14:paraId="1DC3191B"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60A6E48B" w14:textId="77777777" w:rsidR="00D83E33" w:rsidRPr="00EA10CF" w:rsidRDefault="00D83E33">
            <w:pPr>
              <w:widowControl w:val="0"/>
              <w:pBdr>
                <w:top w:val="nil"/>
                <w:left w:val="nil"/>
                <w:bottom w:val="nil"/>
                <w:right w:val="nil"/>
                <w:between w:val="nil"/>
              </w:pBdr>
              <w:jc w:val="right"/>
              <w:rPr>
                <w:color w:val="000000"/>
              </w:rPr>
            </w:pPr>
          </w:p>
        </w:tc>
        <w:tc>
          <w:tcPr>
            <w:tcW w:w="571" w:type="pct"/>
          </w:tcPr>
          <w:p w14:paraId="7D9A8A20" w14:textId="77777777" w:rsidR="00D83E33" w:rsidRPr="00EA10CF" w:rsidRDefault="00D83E33">
            <w:pPr>
              <w:widowControl w:val="0"/>
              <w:jc w:val="right"/>
            </w:pPr>
          </w:p>
        </w:tc>
        <w:tc>
          <w:tcPr>
            <w:tcW w:w="571" w:type="pct"/>
            <w:vAlign w:val="bottom"/>
          </w:tcPr>
          <w:p w14:paraId="2CB1E177" w14:textId="77777777" w:rsidR="00D83E33" w:rsidRPr="00EA10CF" w:rsidRDefault="00D83E33">
            <w:pPr>
              <w:widowControl w:val="0"/>
              <w:jc w:val="right"/>
            </w:pPr>
          </w:p>
        </w:tc>
        <w:tc>
          <w:tcPr>
            <w:tcW w:w="571" w:type="pct"/>
            <w:vAlign w:val="bottom"/>
          </w:tcPr>
          <w:p w14:paraId="3F23652D" w14:textId="77777777" w:rsidR="00D83E33" w:rsidRPr="00EA10CF" w:rsidRDefault="00D83E33">
            <w:pPr>
              <w:widowControl w:val="0"/>
              <w:jc w:val="right"/>
            </w:pPr>
          </w:p>
        </w:tc>
        <w:tc>
          <w:tcPr>
            <w:tcW w:w="568" w:type="pct"/>
          </w:tcPr>
          <w:p w14:paraId="4BED4C1C" w14:textId="77777777" w:rsidR="00D83E33" w:rsidRPr="00EA10CF" w:rsidRDefault="00D83E33">
            <w:pPr>
              <w:widowControl w:val="0"/>
              <w:jc w:val="right"/>
            </w:pPr>
          </w:p>
        </w:tc>
      </w:tr>
      <w:tr w:rsidR="00D83E33" w:rsidRPr="00EA10CF" w14:paraId="1C61FA90" w14:textId="77777777" w:rsidTr="001B330E">
        <w:trPr>
          <w:trHeight w:val="23"/>
        </w:trPr>
        <w:tc>
          <w:tcPr>
            <w:tcW w:w="1578" w:type="pct"/>
            <w:vAlign w:val="bottom"/>
          </w:tcPr>
          <w:p w14:paraId="79B5954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Dividends paid during the year</w:t>
            </w:r>
          </w:p>
        </w:tc>
        <w:tc>
          <w:tcPr>
            <w:tcW w:w="571" w:type="pct"/>
            <w:vAlign w:val="bottom"/>
          </w:tcPr>
          <w:p w14:paraId="462D6172"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6002E5A" w14:textId="77777777" w:rsidR="00D83E33" w:rsidRPr="00EA10CF" w:rsidRDefault="00D83E33">
            <w:pPr>
              <w:widowControl w:val="0"/>
              <w:pBdr>
                <w:top w:val="nil"/>
                <w:left w:val="nil"/>
                <w:bottom w:val="nil"/>
                <w:right w:val="nil"/>
                <w:between w:val="nil"/>
              </w:pBdr>
              <w:jc w:val="right"/>
              <w:rPr>
                <w:color w:val="000000"/>
              </w:rPr>
            </w:pPr>
          </w:p>
        </w:tc>
        <w:tc>
          <w:tcPr>
            <w:tcW w:w="571" w:type="pct"/>
          </w:tcPr>
          <w:p w14:paraId="5FFF07AA" w14:textId="77777777" w:rsidR="00D83E33" w:rsidRPr="00EA10CF" w:rsidRDefault="00D83E33">
            <w:pPr>
              <w:widowControl w:val="0"/>
              <w:jc w:val="right"/>
            </w:pPr>
          </w:p>
        </w:tc>
        <w:tc>
          <w:tcPr>
            <w:tcW w:w="571" w:type="pct"/>
            <w:vAlign w:val="bottom"/>
          </w:tcPr>
          <w:p w14:paraId="55D5DDD9" w14:textId="77777777" w:rsidR="00D83E33" w:rsidRPr="00EA10CF" w:rsidRDefault="00D83E33">
            <w:pPr>
              <w:widowControl w:val="0"/>
              <w:jc w:val="right"/>
            </w:pPr>
          </w:p>
        </w:tc>
        <w:tc>
          <w:tcPr>
            <w:tcW w:w="571" w:type="pct"/>
            <w:vAlign w:val="bottom"/>
          </w:tcPr>
          <w:p w14:paraId="08ACA68D" w14:textId="77777777" w:rsidR="00D83E33" w:rsidRPr="00EA10CF" w:rsidRDefault="00D83E33">
            <w:pPr>
              <w:widowControl w:val="0"/>
              <w:jc w:val="right"/>
            </w:pPr>
          </w:p>
        </w:tc>
        <w:tc>
          <w:tcPr>
            <w:tcW w:w="568" w:type="pct"/>
          </w:tcPr>
          <w:p w14:paraId="627E2518" w14:textId="77777777" w:rsidR="00D83E33" w:rsidRPr="00EA10CF" w:rsidRDefault="00D83E33">
            <w:pPr>
              <w:widowControl w:val="0"/>
              <w:jc w:val="right"/>
            </w:pPr>
          </w:p>
        </w:tc>
      </w:tr>
      <w:tr w:rsidR="00D83E33" w:rsidRPr="00EA10CF" w14:paraId="04BA1D4C" w14:textId="77777777" w:rsidTr="001B330E">
        <w:trPr>
          <w:trHeight w:val="23"/>
        </w:trPr>
        <w:tc>
          <w:tcPr>
            <w:tcW w:w="1578" w:type="pct"/>
            <w:vAlign w:val="bottom"/>
          </w:tcPr>
          <w:p w14:paraId="75D62EE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FF"/>
              </w:rPr>
              <w:t>[Translation to presentation currency]</w:t>
            </w:r>
          </w:p>
        </w:tc>
        <w:tc>
          <w:tcPr>
            <w:tcW w:w="571" w:type="pct"/>
            <w:vAlign w:val="bottom"/>
          </w:tcPr>
          <w:p w14:paraId="34D2C796"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153F93A5" w14:textId="77777777" w:rsidR="00D83E33" w:rsidRPr="00EA10CF" w:rsidRDefault="00D83E33">
            <w:pPr>
              <w:widowControl w:val="0"/>
              <w:pBdr>
                <w:top w:val="nil"/>
                <w:left w:val="nil"/>
                <w:bottom w:val="nil"/>
                <w:right w:val="nil"/>
                <w:between w:val="nil"/>
              </w:pBdr>
              <w:jc w:val="right"/>
              <w:rPr>
                <w:color w:val="000000"/>
              </w:rPr>
            </w:pPr>
          </w:p>
        </w:tc>
        <w:tc>
          <w:tcPr>
            <w:tcW w:w="571" w:type="pct"/>
          </w:tcPr>
          <w:p w14:paraId="430FE5BA" w14:textId="77777777" w:rsidR="00D83E33" w:rsidRPr="00EA10CF" w:rsidRDefault="00D83E33">
            <w:pPr>
              <w:widowControl w:val="0"/>
              <w:jc w:val="right"/>
            </w:pPr>
          </w:p>
        </w:tc>
        <w:tc>
          <w:tcPr>
            <w:tcW w:w="571" w:type="pct"/>
            <w:vAlign w:val="bottom"/>
          </w:tcPr>
          <w:p w14:paraId="53ECE0AB" w14:textId="77777777" w:rsidR="00D83E33" w:rsidRPr="00EA10CF" w:rsidRDefault="00D83E33">
            <w:pPr>
              <w:widowControl w:val="0"/>
              <w:jc w:val="right"/>
            </w:pPr>
          </w:p>
        </w:tc>
        <w:tc>
          <w:tcPr>
            <w:tcW w:w="571" w:type="pct"/>
            <w:vAlign w:val="bottom"/>
          </w:tcPr>
          <w:p w14:paraId="4173E0A1" w14:textId="77777777" w:rsidR="00D83E33" w:rsidRPr="00EA10CF" w:rsidRDefault="00D83E33">
            <w:pPr>
              <w:widowControl w:val="0"/>
              <w:jc w:val="right"/>
            </w:pPr>
          </w:p>
        </w:tc>
        <w:tc>
          <w:tcPr>
            <w:tcW w:w="568" w:type="pct"/>
          </w:tcPr>
          <w:p w14:paraId="157D5888" w14:textId="77777777" w:rsidR="00D83E33" w:rsidRPr="00EA10CF" w:rsidRDefault="00D83E33">
            <w:pPr>
              <w:widowControl w:val="0"/>
              <w:jc w:val="right"/>
            </w:pPr>
          </w:p>
        </w:tc>
      </w:tr>
      <w:tr w:rsidR="00D83E33" w:rsidRPr="00EA10CF" w14:paraId="11F62449" w14:textId="77777777" w:rsidTr="001B330E">
        <w:trPr>
          <w:trHeight w:val="23"/>
        </w:trPr>
        <w:tc>
          <w:tcPr>
            <w:tcW w:w="1578" w:type="pct"/>
            <w:tcBorders>
              <w:bottom w:val="single" w:sz="4" w:space="0" w:color="000000"/>
            </w:tcBorders>
            <w:vAlign w:val="bottom"/>
          </w:tcPr>
          <w:p w14:paraId="73028F7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1" w:type="pct"/>
            <w:tcBorders>
              <w:bottom w:val="single" w:sz="4" w:space="0" w:color="000000"/>
            </w:tcBorders>
            <w:vAlign w:val="bottom"/>
          </w:tcPr>
          <w:p w14:paraId="44461A60"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4" w:space="0" w:color="000000"/>
            </w:tcBorders>
            <w:vAlign w:val="bottom"/>
          </w:tcPr>
          <w:p w14:paraId="506EA86B"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4" w:space="0" w:color="000000"/>
            </w:tcBorders>
          </w:tcPr>
          <w:p w14:paraId="403FFF04" w14:textId="77777777" w:rsidR="00D83E33" w:rsidRPr="00EA10CF" w:rsidRDefault="00D83E33">
            <w:pPr>
              <w:widowControl w:val="0"/>
              <w:jc w:val="right"/>
            </w:pPr>
          </w:p>
        </w:tc>
        <w:tc>
          <w:tcPr>
            <w:tcW w:w="571" w:type="pct"/>
            <w:tcBorders>
              <w:bottom w:val="single" w:sz="4" w:space="0" w:color="000000"/>
            </w:tcBorders>
            <w:vAlign w:val="bottom"/>
          </w:tcPr>
          <w:p w14:paraId="722716BD" w14:textId="77777777" w:rsidR="00D83E33" w:rsidRPr="00EA10CF" w:rsidRDefault="00D83E33">
            <w:pPr>
              <w:widowControl w:val="0"/>
              <w:jc w:val="right"/>
            </w:pPr>
          </w:p>
        </w:tc>
        <w:tc>
          <w:tcPr>
            <w:tcW w:w="571" w:type="pct"/>
            <w:tcBorders>
              <w:bottom w:val="single" w:sz="4" w:space="0" w:color="000000"/>
            </w:tcBorders>
            <w:vAlign w:val="bottom"/>
          </w:tcPr>
          <w:p w14:paraId="60A04C24" w14:textId="77777777" w:rsidR="00D83E33" w:rsidRPr="00EA10CF" w:rsidRDefault="00D83E33">
            <w:pPr>
              <w:widowControl w:val="0"/>
              <w:jc w:val="right"/>
            </w:pPr>
          </w:p>
        </w:tc>
        <w:tc>
          <w:tcPr>
            <w:tcW w:w="568" w:type="pct"/>
            <w:tcBorders>
              <w:bottom w:val="single" w:sz="4" w:space="0" w:color="000000"/>
            </w:tcBorders>
          </w:tcPr>
          <w:p w14:paraId="0095E81C" w14:textId="77777777" w:rsidR="00D83E33" w:rsidRPr="00EA10CF" w:rsidRDefault="00D83E33">
            <w:pPr>
              <w:widowControl w:val="0"/>
              <w:jc w:val="right"/>
            </w:pPr>
          </w:p>
        </w:tc>
      </w:tr>
      <w:tr w:rsidR="00D83E33" w:rsidRPr="00EA10CF" w14:paraId="0F0664B5" w14:textId="77777777" w:rsidTr="001B330E">
        <w:trPr>
          <w:trHeight w:val="23"/>
        </w:trPr>
        <w:tc>
          <w:tcPr>
            <w:tcW w:w="1578" w:type="pct"/>
            <w:tcBorders>
              <w:top w:val="single" w:sz="4" w:space="0" w:color="000000"/>
            </w:tcBorders>
            <w:vAlign w:val="bottom"/>
          </w:tcPr>
          <w:p w14:paraId="2ADABB2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571" w:type="pct"/>
            <w:tcBorders>
              <w:top w:val="single" w:sz="4" w:space="0" w:color="000000"/>
            </w:tcBorders>
            <w:vAlign w:val="bottom"/>
          </w:tcPr>
          <w:p w14:paraId="244A4961"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top w:val="single" w:sz="4" w:space="0" w:color="000000"/>
            </w:tcBorders>
            <w:vAlign w:val="bottom"/>
          </w:tcPr>
          <w:p w14:paraId="50EDE2A5"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top w:val="single" w:sz="4" w:space="0" w:color="000000"/>
            </w:tcBorders>
          </w:tcPr>
          <w:p w14:paraId="511CB250" w14:textId="77777777" w:rsidR="00D83E33" w:rsidRPr="00EA10CF" w:rsidRDefault="00D83E33">
            <w:pPr>
              <w:widowControl w:val="0"/>
              <w:jc w:val="right"/>
            </w:pPr>
          </w:p>
        </w:tc>
        <w:tc>
          <w:tcPr>
            <w:tcW w:w="571" w:type="pct"/>
            <w:tcBorders>
              <w:top w:val="single" w:sz="4" w:space="0" w:color="000000"/>
            </w:tcBorders>
            <w:vAlign w:val="bottom"/>
          </w:tcPr>
          <w:p w14:paraId="54F18B77" w14:textId="77777777" w:rsidR="00D83E33" w:rsidRPr="00EA10CF" w:rsidRDefault="00D83E33">
            <w:pPr>
              <w:widowControl w:val="0"/>
              <w:jc w:val="right"/>
            </w:pPr>
          </w:p>
        </w:tc>
        <w:tc>
          <w:tcPr>
            <w:tcW w:w="571" w:type="pct"/>
            <w:tcBorders>
              <w:top w:val="single" w:sz="4" w:space="0" w:color="000000"/>
            </w:tcBorders>
            <w:vAlign w:val="bottom"/>
          </w:tcPr>
          <w:p w14:paraId="51803D5B" w14:textId="77777777" w:rsidR="00D83E33" w:rsidRPr="00EA10CF" w:rsidRDefault="00D83E33">
            <w:pPr>
              <w:widowControl w:val="0"/>
              <w:jc w:val="right"/>
            </w:pPr>
          </w:p>
        </w:tc>
        <w:tc>
          <w:tcPr>
            <w:tcW w:w="568" w:type="pct"/>
            <w:tcBorders>
              <w:top w:val="single" w:sz="4" w:space="0" w:color="000000"/>
            </w:tcBorders>
          </w:tcPr>
          <w:p w14:paraId="3FBE9FD4" w14:textId="77777777" w:rsidR="00D83E33" w:rsidRPr="00EA10CF" w:rsidRDefault="00D83E33">
            <w:pPr>
              <w:widowControl w:val="0"/>
              <w:jc w:val="right"/>
            </w:pPr>
          </w:p>
        </w:tc>
      </w:tr>
      <w:tr w:rsidR="00D83E33" w:rsidRPr="00EA10CF" w14:paraId="650F511F" w14:textId="77777777" w:rsidTr="001B330E">
        <w:trPr>
          <w:trHeight w:val="23"/>
        </w:trPr>
        <w:tc>
          <w:tcPr>
            <w:tcW w:w="1578" w:type="pct"/>
            <w:vAlign w:val="bottom"/>
          </w:tcPr>
          <w:p w14:paraId="03521B52" w14:textId="68779990"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Dividends payable at 31</w:t>
            </w:r>
            <w:r w:rsidR="00181687">
              <w:rPr>
                <w:b/>
                <w:color w:val="000000"/>
              </w:rPr>
              <w:t> December </w:t>
            </w:r>
          </w:p>
        </w:tc>
        <w:tc>
          <w:tcPr>
            <w:tcW w:w="571" w:type="pct"/>
            <w:vAlign w:val="bottom"/>
          </w:tcPr>
          <w:p w14:paraId="7FEEC8AA"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06952497" w14:textId="77777777" w:rsidR="00D83E33" w:rsidRPr="00EA10CF" w:rsidRDefault="00D83E33">
            <w:pPr>
              <w:widowControl w:val="0"/>
              <w:pBdr>
                <w:top w:val="nil"/>
                <w:left w:val="nil"/>
                <w:bottom w:val="nil"/>
                <w:right w:val="nil"/>
                <w:between w:val="nil"/>
              </w:pBdr>
              <w:jc w:val="right"/>
              <w:rPr>
                <w:b/>
                <w:color w:val="000000"/>
              </w:rPr>
            </w:pPr>
          </w:p>
        </w:tc>
        <w:tc>
          <w:tcPr>
            <w:tcW w:w="571" w:type="pct"/>
          </w:tcPr>
          <w:p w14:paraId="22A95E98" w14:textId="77777777" w:rsidR="00D83E33" w:rsidRPr="00EA10CF" w:rsidRDefault="00D83E33">
            <w:pPr>
              <w:widowControl w:val="0"/>
              <w:jc w:val="right"/>
              <w:rPr>
                <w:b/>
              </w:rPr>
            </w:pPr>
          </w:p>
        </w:tc>
        <w:tc>
          <w:tcPr>
            <w:tcW w:w="571" w:type="pct"/>
            <w:vAlign w:val="bottom"/>
          </w:tcPr>
          <w:p w14:paraId="569EA75D" w14:textId="77777777" w:rsidR="00D83E33" w:rsidRPr="00EA10CF" w:rsidRDefault="00D83E33">
            <w:pPr>
              <w:widowControl w:val="0"/>
              <w:jc w:val="right"/>
              <w:rPr>
                <w:b/>
              </w:rPr>
            </w:pPr>
          </w:p>
        </w:tc>
        <w:tc>
          <w:tcPr>
            <w:tcW w:w="571" w:type="pct"/>
            <w:vAlign w:val="bottom"/>
          </w:tcPr>
          <w:p w14:paraId="1F8772D4" w14:textId="77777777" w:rsidR="00D83E33" w:rsidRPr="00EA10CF" w:rsidRDefault="00D83E33">
            <w:pPr>
              <w:widowControl w:val="0"/>
              <w:jc w:val="right"/>
              <w:rPr>
                <w:b/>
              </w:rPr>
            </w:pPr>
          </w:p>
        </w:tc>
        <w:tc>
          <w:tcPr>
            <w:tcW w:w="568" w:type="pct"/>
          </w:tcPr>
          <w:p w14:paraId="2A4CF2E7" w14:textId="77777777" w:rsidR="00D83E33" w:rsidRPr="00EA10CF" w:rsidRDefault="00D83E33">
            <w:pPr>
              <w:widowControl w:val="0"/>
              <w:jc w:val="right"/>
              <w:rPr>
                <w:b/>
              </w:rPr>
            </w:pPr>
          </w:p>
        </w:tc>
      </w:tr>
      <w:tr w:rsidR="00D83E33" w:rsidRPr="00EA10CF" w14:paraId="5115A850" w14:textId="77777777" w:rsidTr="001B330E">
        <w:trPr>
          <w:trHeight w:val="23"/>
        </w:trPr>
        <w:tc>
          <w:tcPr>
            <w:tcW w:w="1578" w:type="pct"/>
            <w:tcBorders>
              <w:bottom w:val="single" w:sz="12" w:space="0" w:color="000000"/>
            </w:tcBorders>
            <w:vAlign w:val="bottom"/>
          </w:tcPr>
          <w:p w14:paraId="17A7FDD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571" w:type="pct"/>
            <w:tcBorders>
              <w:bottom w:val="single" w:sz="12" w:space="0" w:color="000000"/>
            </w:tcBorders>
            <w:vAlign w:val="bottom"/>
          </w:tcPr>
          <w:p w14:paraId="22C2B478"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vAlign w:val="bottom"/>
          </w:tcPr>
          <w:p w14:paraId="22922761"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tcPr>
          <w:p w14:paraId="5BFD682A" w14:textId="77777777" w:rsidR="00D83E33" w:rsidRPr="00EA10CF" w:rsidRDefault="00D83E33">
            <w:pPr>
              <w:widowControl w:val="0"/>
              <w:jc w:val="right"/>
            </w:pPr>
          </w:p>
        </w:tc>
        <w:tc>
          <w:tcPr>
            <w:tcW w:w="571" w:type="pct"/>
            <w:tcBorders>
              <w:bottom w:val="single" w:sz="12" w:space="0" w:color="000000"/>
            </w:tcBorders>
            <w:vAlign w:val="bottom"/>
          </w:tcPr>
          <w:p w14:paraId="2391E861" w14:textId="77777777" w:rsidR="00D83E33" w:rsidRPr="00EA10CF" w:rsidRDefault="00D83E33">
            <w:pPr>
              <w:widowControl w:val="0"/>
              <w:jc w:val="right"/>
            </w:pPr>
          </w:p>
        </w:tc>
        <w:tc>
          <w:tcPr>
            <w:tcW w:w="571" w:type="pct"/>
            <w:tcBorders>
              <w:bottom w:val="single" w:sz="12" w:space="0" w:color="000000"/>
            </w:tcBorders>
            <w:vAlign w:val="bottom"/>
          </w:tcPr>
          <w:p w14:paraId="2F8C91E7" w14:textId="77777777" w:rsidR="00D83E33" w:rsidRPr="00EA10CF" w:rsidRDefault="00D83E33">
            <w:pPr>
              <w:widowControl w:val="0"/>
              <w:jc w:val="right"/>
            </w:pPr>
          </w:p>
        </w:tc>
        <w:tc>
          <w:tcPr>
            <w:tcW w:w="568" w:type="pct"/>
            <w:tcBorders>
              <w:bottom w:val="single" w:sz="12" w:space="0" w:color="000000"/>
            </w:tcBorders>
          </w:tcPr>
          <w:p w14:paraId="3EC61B64" w14:textId="77777777" w:rsidR="00D83E33" w:rsidRPr="00EA10CF" w:rsidRDefault="00D83E33">
            <w:pPr>
              <w:widowControl w:val="0"/>
              <w:jc w:val="right"/>
            </w:pPr>
          </w:p>
        </w:tc>
      </w:tr>
      <w:tr w:rsidR="00D83E33" w:rsidRPr="00EA10CF" w14:paraId="5034A020" w14:textId="77777777" w:rsidTr="001B330E">
        <w:trPr>
          <w:trHeight w:val="23"/>
        </w:trPr>
        <w:tc>
          <w:tcPr>
            <w:tcW w:w="1578" w:type="pct"/>
            <w:tcBorders>
              <w:top w:val="single" w:sz="12" w:space="0" w:color="000000"/>
            </w:tcBorders>
            <w:vAlign w:val="bottom"/>
          </w:tcPr>
          <w:p w14:paraId="46E6EEDC" w14:textId="77777777" w:rsidR="00D83E33" w:rsidRPr="00EA10CF" w:rsidRDefault="00BC4072" w:rsidP="001B330E">
            <w:pPr>
              <w:widowControl w:val="0"/>
              <w:ind w:left="113" w:hanging="113"/>
            </w:pPr>
            <w:r w:rsidRPr="00EA10CF">
              <w:t> </w:t>
            </w:r>
          </w:p>
        </w:tc>
        <w:tc>
          <w:tcPr>
            <w:tcW w:w="571" w:type="pct"/>
            <w:tcBorders>
              <w:top w:val="single" w:sz="12" w:space="0" w:color="000000"/>
            </w:tcBorders>
            <w:vAlign w:val="bottom"/>
          </w:tcPr>
          <w:p w14:paraId="24665A0C"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top w:val="single" w:sz="12" w:space="0" w:color="000000"/>
            </w:tcBorders>
            <w:vAlign w:val="bottom"/>
          </w:tcPr>
          <w:p w14:paraId="059935F6"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top w:val="single" w:sz="12" w:space="0" w:color="000000"/>
            </w:tcBorders>
          </w:tcPr>
          <w:p w14:paraId="61B7C94D" w14:textId="77777777" w:rsidR="00D83E33" w:rsidRPr="00EA10CF" w:rsidRDefault="00D83E33">
            <w:pPr>
              <w:widowControl w:val="0"/>
              <w:jc w:val="right"/>
            </w:pPr>
          </w:p>
        </w:tc>
        <w:tc>
          <w:tcPr>
            <w:tcW w:w="571" w:type="pct"/>
            <w:tcBorders>
              <w:top w:val="single" w:sz="12" w:space="0" w:color="000000"/>
            </w:tcBorders>
            <w:vAlign w:val="bottom"/>
          </w:tcPr>
          <w:p w14:paraId="62B26BE2" w14:textId="77777777" w:rsidR="00D83E33" w:rsidRPr="00EA10CF" w:rsidRDefault="00D83E33">
            <w:pPr>
              <w:widowControl w:val="0"/>
              <w:jc w:val="right"/>
            </w:pPr>
          </w:p>
        </w:tc>
        <w:tc>
          <w:tcPr>
            <w:tcW w:w="571" w:type="pct"/>
            <w:tcBorders>
              <w:top w:val="single" w:sz="12" w:space="0" w:color="000000"/>
            </w:tcBorders>
            <w:vAlign w:val="bottom"/>
          </w:tcPr>
          <w:p w14:paraId="71E19FEE" w14:textId="77777777" w:rsidR="00D83E33" w:rsidRPr="00EA10CF" w:rsidRDefault="00D83E33">
            <w:pPr>
              <w:widowControl w:val="0"/>
              <w:jc w:val="right"/>
            </w:pPr>
          </w:p>
        </w:tc>
        <w:tc>
          <w:tcPr>
            <w:tcW w:w="568" w:type="pct"/>
            <w:tcBorders>
              <w:top w:val="single" w:sz="12" w:space="0" w:color="000000"/>
            </w:tcBorders>
          </w:tcPr>
          <w:p w14:paraId="77C15DB3" w14:textId="77777777" w:rsidR="00D83E33" w:rsidRPr="00EA10CF" w:rsidRDefault="00D83E33">
            <w:pPr>
              <w:widowControl w:val="0"/>
              <w:jc w:val="right"/>
            </w:pPr>
          </w:p>
        </w:tc>
      </w:tr>
      <w:tr w:rsidR="00D83E33" w:rsidRPr="00EA10CF" w14:paraId="766427F0" w14:textId="77777777" w:rsidTr="001B330E">
        <w:trPr>
          <w:trHeight w:val="23"/>
        </w:trPr>
        <w:tc>
          <w:tcPr>
            <w:tcW w:w="1578" w:type="pct"/>
            <w:vAlign w:val="bottom"/>
          </w:tcPr>
          <w:p w14:paraId="0DEFCE7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Dividends per share (or bond) declared during the year</w:t>
            </w:r>
          </w:p>
        </w:tc>
        <w:tc>
          <w:tcPr>
            <w:tcW w:w="571" w:type="pct"/>
            <w:vAlign w:val="bottom"/>
          </w:tcPr>
          <w:p w14:paraId="43D02862"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23AA1530" w14:textId="77777777" w:rsidR="00D83E33" w:rsidRPr="00EA10CF" w:rsidRDefault="00D83E33">
            <w:pPr>
              <w:widowControl w:val="0"/>
              <w:pBdr>
                <w:top w:val="nil"/>
                <w:left w:val="nil"/>
                <w:bottom w:val="nil"/>
                <w:right w:val="nil"/>
                <w:between w:val="nil"/>
              </w:pBdr>
              <w:jc w:val="right"/>
              <w:rPr>
                <w:b/>
                <w:color w:val="000000"/>
              </w:rPr>
            </w:pPr>
          </w:p>
        </w:tc>
        <w:tc>
          <w:tcPr>
            <w:tcW w:w="571" w:type="pct"/>
          </w:tcPr>
          <w:p w14:paraId="4EFBA741" w14:textId="77777777" w:rsidR="00D83E33" w:rsidRPr="00EA10CF" w:rsidRDefault="00D83E33">
            <w:pPr>
              <w:widowControl w:val="0"/>
              <w:jc w:val="right"/>
              <w:rPr>
                <w:b/>
              </w:rPr>
            </w:pPr>
          </w:p>
        </w:tc>
        <w:tc>
          <w:tcPr>
            <w:tcW w:w="571" w:type="pct"/>
            <w:vAlign w:val="bottom"/>
          </w:tcPr>
          <w:p w14:paraId="274C5A22" w14:textId="77777777" w:rsidR="00D83E33" w:rsidRPr="00EA10CF" w:rsidRDefault="00D83E33">
            <w:pPr>
              <w:widowControl w:val="0"/>
              <w:jc w:val="right"/>
              <w:rPr>
                <w:b/>
              </w:rPr>
            </w:pPr>
          </w:p>
        </w:tc>
        <w:tc>
          <w:tcPr>
            <w:tcW w:w="571" w:type="pct"/>
            <w:vAlign w:val="bottom"/>
          </w:tcPr>
          <w:p w14:paraId="372A84F2" w14:textId="77777777" w:rsidR="00D83E33" w:rsidRPr="00EA10CF" w:rsidRDefault="00D83E33">
            <w:pPr>
              <w:widowControl w:val="0"/>
              <w:jc w:val="right"/>
              <w:rPr>
                <w:b/>
              </w:rPr>
            </w:pPr>
          </w:p>
        </w:tc>
        <w:tc>
          <w:tcPr>
            <w:tcW w:w="568" w:type="pct"/>
          </w:tcPr>
          <w:p w14:paraId="753B1366" w14:textId="77777777" w:rsidR="00D83E33" w:rsidRPr="00EA10CF" w:rsidRDefault="00D83E33">
            <w:pPr>
              <w:widowControl w:val="0"/>
              <w:jc w:val="right"/>
              <w:rPr>
                <w:b/>
              </w:rPr>
            </w:pPr>
          </w:p>
        </w:tc>
      </w:tr>
      <w:tr w:rsidR="00D83E33" w:rsidRPr="00EA10CF" w14:paraId="52309753" w14:textId="77777777" w:rsidTr="001B330E">
        <w:trPr>
          <w:trHeight w:val="23"/>
        </w:trPr>
        <w:tc>
          <w:tcPr>
            <w:tcW w:w="1578" w:type="pct"/>
            <w:tcBorders>
              <w:bottom w:val="single" w:sz="12" w:space="0" w:color="000000"/>
            </w:tcBorders>
            <w:vAlign w:val="bottom"/>
          </w:tcPr>
          <w:p w14:paraId="7B5D1400" w14:textId="77777777" w:rsidR="00D83E33" w:rsidRPr="00EA10CF" w:rsidRDefault="00BC4072" w:rsidP="001B330E">
            <w:pPr>
              <w:widowControl w:val="0"/>
              <w:ind w:left="113" w:hanging="113"/>
            </w:pPr>
            <w:r w:rsidRPr="00EA10CF">
              <w:t> </w:t>
            </w:r>
          </w:p>
        </w:tc>
        <w:tc>
          <w:tcPr>
            <w:tcW w:w="571" w:type="pct"/>
            <w:tcBorders>
              <w:bottom w:val="single" w:sz="12" w:space="0" w:color="000000"/>
            </w:tcBorders>
            <w:vAlign w:val="bottom"/>
          </w:tcPr>
          <w:p w14:paraId="3CD540E8"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vAlign w:val="bottom"/>
          </w:tcPr>
          <w:p w14:paraId="5C27D654"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tcPr>
          <w:p w14:paraId="7F562A61" w14:textId="77777777" w:rsidR="00D83E33" w:rsidRPr="00EA10CF" w:rsidRDefault="00D83E33">
            <w:pPr>
              <w:widowControl w:val="0"/>
              <w:jc w:val="right"/>
            </w:pPr>
          </w:p>
        </w:tc>
        <w:tc>
          <w:tcPr>
            <w:tcW w:w="571" w:type="pct"/>
            <w:tcBorders>
              <w:bottom w:val="single" w:sz="12" w:space="0" w:color="000000"/>
            </w:tcBorders>
            <w:vAlign w:val="bottom"/>
          </w:tcPr>
          <w:p w14:paraId="27A4D196" w14:textId="77777777" w:rsidR="00D83E33" w:rsidRPr="00EA10CF" w:rsidRDefault="00D83E33">
            <w:pPr>
              <w:widowControl w:val="0"/>
              <w:jc w:val="right"/>
            </w:pPr>
          </w:p>
        </w:tc>
        <w:tc>
          <w:tcPr>
            <w:tcW w:w="571" w:type="pct"/>
            <w:tcBorders>
              <w:bottom w:val="single" w:sz="12" w:space="0" w:color="000000"/>
            </w:tcBorders>
            <w:vAlign w:val="bottom"/>
          </w:tcPr>
          <w:p w14:paraId="79093531" w14:textId="77777777" w:rsidR="00D83E33" w:rsidRPr="00EA10CF" w:rsidRDefault="00D83E33">
            <w:pPr>
              <w:widowControl w:val="0"/>
              <w:jc w:val="right"/>
            </w:pPr>
          </w:p>
        </w:tc>
        <w:tc>
          <w:tcPr>
            <w:tcW w:w="568" w:type="pct"/>
            <w:tcBorders>
              <w:bottom w:val="single" w:sz="12" w:space="0" w:color="000000"/>
            </w:tcBorders>
          </w:tcPr>
          <w:p w14:paraId="714A8080" w14:textId="77777777" w:rsidR="00D83E33" w:rsidRPr="00EA10CF" w:rsidRDefault="00D83E33">
            <w:pPr>
              <w:widowControl w:val="0"/>
              <w:jc w:val="right"/>
            </w:pPr>
          </w:p>
        </w:tc>
      </w:tr>
    </w:tbl>
    <w:p w14:paraId="2D2A297D" w14:textId="3602CAB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All dividends or discretionary interest on perpetual bonds are declared and paid in </w:t>
      </w:r>
      <w:r w:rsidR="002649EE">
        <w:rPr>
          <w:color w:val="000000"/>
          <w:sz w:val="20"/>
          <w:szCs w:val="20"/>
        </w:rPr>
        <w:t>EUR</w:t>
      </w:r>
      <w:r>
        <w:rPr>
          <w:color w:val="000000"/>
          <w:sz w:val="20"/>
          <w:szCs w:val="20"/>
        </w:rPr>
        <w:t>.</w:t>
      </w:r>
    </w:p>
    <w:p w14:paraId="513DEFBE" w14:textId="77777777" w:rsidR="00D83E33" w:rsidRDefault="00BC4072" w:rsidP="001B330E">
      <w:pPr>
        <w:pStyle w:val="Heading1"/>
      </w:pPr>
      <w:bookmarkStart w:id="104" w:name="_Toc179196040"/>
      <w:r w:rsidRPr="004607BE">
        <w:lastRenderedPageBreak/>
        <w:t>Reconciliation</w:t>
      </w:r>
      <w:r>
        <w:t xml:space="preserve"> of Liabilities Arising from Financing Activities</w:t>
      </w:r>
      <w:bookmarkEnd w:id="104"/>
      <w:r>
        <w:t xml:space="preserve"> </w:t>
      </w:r>
    </w:p>
    <w:p w14:paraId="502330BA" w14:textId="24278E3F"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 xml:space="preserve">The table below sets out movements in the Group’s liabilities from financing activities for each of the periods presented. The items of these liabilities are those that are reported as financing </w:t>
      </w:r>
      <w:r w:rsidR="00192497">
        <w:rPr>
          <w:color w:val="000000"/>
          <w:sz w:val="20"/>
          <w:szCs w:val="20"/>
        </w:rPr>
        <w:t>activities</w:t>
      </w:r>
      <w:r>
        <w:rPr>
          <w:color w:val="000000"/>
          <w:sz w:val="20"/>
          <w:szCs w:val="20"/>
        </w:rPr>
        <w:t xml:space="preserve"> in the statement of cash flows.</w:t>
      </w:r>
    </w:p>
    <w:tbl>
      <w:tblPr>
        <w:tblStyle w:val="affffffffffffd"/>
        <w:tblW w:w="5000" w:type="pct"/>
        <w:tblBorders>
          <w:top w:val="nil"/>
          <w:left w:val="nil"/>
          <w:bottom w:val="nil"/>
          <w:right w:val="nil"/>
          <w:insideH w:val="nil"/>
          <w:insideV w:val="nil"/>
        </w:tblBorders>
        <w:tblLayout w:type="fixed"/>
        <w:tblLook w:val="0400" w:firstRow="0" w:lastRow="0" w:firstColumn="0" w:lastColumn="0" w:noHBand="0" w:noVBand="1"/>
      </w:tblPr>
      <w:tblGrid>
        <w:gridCol w:w="3157"/>
        <w:gridCol w:w="896"/>
        <w:gridCol w:w="165"/>
        <w:gridCol w:w="1160"/>
        <w:gridCol w:w="1160"/>
        <w:gridCol w:w="1025"/>
        <w:gridCol w:w="896"/>
        <w:gridCol w:w="896"/>
      </w:tblGrid>
      <w:tr w:rsidR="00C45FE5" w:rsidRPr="00EA10CF" w14:paraId="4BD20E78" w14:textId="77777777" w:rsidTr="00C45FE5">
        <w:trPr>
          <w:trHeight w:val="23"/>
        </w:trPr>
        <w:tc>
          <w:tcPr>
            <w:tcW w:w="1687" w:type="pct"/>
            <w:tcBorders>
              <w:top w:val="nil"/>
              <w:left w:val="nil"/>
              <w:right w:val="nil"/>
            </w:tcBorders>
            <w:vAlign w:val="bottom"/>
          </w:tcPr>
          <w:p w14:paraId="71112E34" w14:textId="77777777" w:rsidR="00C45FE5" w:rsidRPr="00EA10CF" w:rsidRDefault="00C45FE5" w:rsidP="001B330E">
            <w:pPr>
              <w:widowControl w:val="0"/>
              <w:ind w:left="113" w:hanging="113"/>
              <w:rPr>
                <w:i/>
              </w:rPr>
            </w:pPr>
          </w:p>
        </w:tc>
        <w:tc>
          <w:tcPr>
            <w:tcW w:w="479" w:type="pct"/>
            <w:tcBorders>
              <w:left w:val="nil"/>
              <w:right w:val="nil"/>
            </w:tcBorders>
          </w:tcPr>
          <w:p w14:paraId="4D3CEC9F" w14:textId="77777777" w:rsidR="00C45FE5" w:rsidRPr="00EA10CF" w:rsidRDefault="00C45FE5">
            <w:pPr>
              <w:widowControl w:val="0"/>
              <w:pBdr>
                <w:top w:val="nil"/>
                <w:left w:val="nil"/>
                <w:bottom w:val="nil"/>
                <w:right w:val="nil"/>
                <w:between w:val="nil"/>
              </w:pBdr>
              <w:jc w:val="center"/>
              <w:rPr>
                <w:b/>
                <w:color w:val="000000"/>
              </w:rPr>
            </w:pPr>
          </w:p>
        </w:tc>
        <w:tc>
          <w:tcPr>
            <w:tcW w:w="2834" w:type="pct"/>
            <w:gridSpan w:val="6"/>
            <w:tcBorders>
              <w:left w:val="nil"/>
              <w:bottom w:val="single" w:sz="4" w:space="0" w:color="000000"/>
              <w:right w:val="nil"/>
            </w:tcBorders>
            <w:vAlign w:val="bottom"/>
          </w:tcPr>
          <w:p w14:paraId="3B266A8A" w14:textId="420176F2" w:rsidR="00C45FE5" w:rsidRPr="00EA10CF" w:rsidRDefault="00C45FE5">
            <w:pPr>
              <w:widowControl w:val="0"/>
              <w:pBdr>
                <w:top w:val="nil"/>
                <w:left w:val="nil"/>
                <w:bottom w:val="nil"/>
                <w:right w:val="nil"/>
                <w:between w:val="nil"/>
              </w:pBdr>
              <w:jc w:val="center"/>
              <w:rPr>
                <w:b/>
                <w:color w:val="000000"/>
              </w:rPr>
            </w:pPr>
            <w:r w:rsidRPr="00EA10CF">
              <w:rPr>
                <w:b/>
                <w:color w:val="000000"/>
              </w:rPr>
              <w:t>Liabilities from financing activities</w:t>
            </w:r>
          </w:p>
        </w:tc>
      </w:tr>
      <w:tr w:rsidR="00C45FE5" w:rsidRPr="00EA10CF" w14:paraId="29E3FDE5" w14:textId="77777777" w:rsidTr="00C45FE5">
        <w:trPr>
          <w:trHeight w:val="23"/>
        </w:trPr>
        <w:tc>
          <w:tcPr>
            <w:tcW w:w="1687" w:type="pct"/>
            <w:tcBorders>
              <w:left w:val="nil"/>
              <w:bottom w:val="single" w:sz="4" w:space="0" w:color="000000"/>
              <w:right w:val="nil"/>
            </w:tcBorders>
            <w:vAlign w:val="bottom"/>
          </w:tcPr>
          <w:p w14:paraId="5481DF5E" w14:textId="1C88D078" w:rsidR="00C45FE5" w:rsidRPr="00EA10CF" w:rsidRDefault="00C45FE5" w:rsidP="001B330E">
            <w:pPr>
              <w:widowControl w:val="0"/>
              <w:ind w:left="113" w:hanging="113"/>
              <w:rPr>
                <w:i/>
              </w:rPr>
            </w:pPr>
            <w:r w:rsidRPr="00EA10CF">
              <w:rPr>
                <w:i/>
              </w:rPr>
              <w:t xml:space="preserve">In thousands or </w:t>
            </w:r>
            <w:r>
              <w:rPr>
                <w:i/>
              </w:rPr>
              <w:t>EUR</w:t>
            </w:r>
          </w:p>
        </w:tc>
        <w:tc>
          <w:tcPr>
            <w:tcW w:w="567" w:type="pct"/>
            <w:gridSpan w:val="2"/>
            <w:tcBorders>
              <w:top w:val="single" w:sz="4" w:space="0" w:color="000000"/>
              <w:left w:val="nil"/>
              <w:bottom w:val="single" w:sz="4" w:space="0" w:color="000000"/>
              <w:right w:val="nil"/>
            </w:tcBorders>
          </w:tcPr>
          <w:p w14:paraId="156307D2" w14:textId="3B4C5D79" w:rsidR="00C45FE5" w:rsidRPr="00EA10CF" w:rsidRDefault="00C45FE5" w:rsidP="001B330E">
            <w:pPr>
              <w:widowControl w:val="0"/>
              <w:pBdr>
                <w:top w:val="nil"/>
                <w:left w:val="nil"/>
                <w:bottom w:val="nil"/>
                <w:right w:val="nil"/>
                <w:between w:val="nil"/>
              </w:pBdr>
              <w:jc w:val="right"/>
              <w:rPr>
                <w:color w:val="000000"/>
              </w:rPr>
            </w:pPr>
            <w:r w:rsidRPr="00EA10CF">
              <w:rPr>
                <w:b/>
                <w:color w:val="000000"/>
              </w:rPr>
              <w:t>Other borrowed funds</w:t>
            </w:r>
          </w:p>
        </w:tc>
        <w:tc>
          <w:tcPr>
            <w:tcW w:w="620" w:type="pct"/>
            <w:tcBorders>
              <w:top w:val="single" w:sz="4" w:space="0" w:color="000000"/>
              <w:left w:val="nil"/>
              <w:bottom w:val="single" w:sz="4" w:space="0" w:color="000000"/>
              <w:right w:val="nil"/>
            </w:tcBorders>
          </w:tcPr>
          <w:p w14:paraId="132FC1A2" w14:textId="77777777" w:rsidR="00C45FE5" w:rsidRPr="00EA10CF" w:rsidRDefault="00C45FE5" w:rsidP="001B330E">
            <w:pPr>
              <w:widowControl w:val="0"/>
              <w:pBdr>
                <w:top w:val="nil"/>
                <w:left w:val="nil"/>
                <w:bottom w:val="nil"/>
                <w:right w:val="nil"/>
                <w:between w:val="nil"/>
              </w:pBdr>
              <w:ind w:left="-57"/>
              <w:jc w:val="right"/>
              <w:rPr>
                <w:b/>
                <w:color w:val="000000"/>
              </w:rPr>
            </w:pPr>
            <w:r w:rsidRPr="00EA10CF">
              <w:rPr>
                <w:b/>
                <w:color w:val="0000FF"/>
              </w:rPr>
              <w:t>[Syndicated]</w:t>
            </w:r>
            <w:r w:rsidRPr="00EA10CF">
              <w:rPr>
                <w:b/>
                <w:color w:val="000000"/>
              </w:rPr>
              <w:t xml:space="preserve"> long term borrowings from other banks</w:t>
            </w:r>
          </w:p>
        </w:tc>
        <w:tc>
          <w:tcPr>
            <w:tcW w:w="620" w:type="pct"/>
            <w:tcBorders>
              <w:top w:val="single" w:sz="4" w:space="0" w:color="000000"/>
              <w:left w:val="nil"/>
              <w:bottom w:val="single" w:sz="4" w:space="0" w:color="000000"/>
              <w:right w:val="nil"/>
            </w:tcBorders>
          </w:tcPr>
          <w:p w14:paraId="2A241C20" w14:textId="7BAAC039" w:rsidR="00C45FE5" w:rsidRPr="00EA10CF" w:rsidRDefault="00C45FE5" w:rsidP="001B330E">
            <w:pPr>
              <w:widowControl w:val="0"/>
              <w:pBdr>
                <w:top w:val="nil"/>
                <w:left w:val="nil"/>
                <w:bottom w:val="nil"/>
                <w:right w:val="nil"/>
                <w:between w:val="nil"/>
              </w:pBdr>
              <w:jc w:val="right"/>
              <w:rPr>
                <w:b/>
                <w:color w:val="000000"/>
              </w:rPr>
            </w:pPr>
            <w:r w:rsidRPr="00EA10CF">
              <w:rPr>
                <w:b/>
                <w:color w:val="000000"/>
              </w:rPr>
              <w:t>Subor-dinated debt</w:t>
            </w:r>
          </w:p>
          <w:p w14:paraId="4657BAE9" w14:textId="0C2E43C4" w:rsidR="00C45FE5" w:rsidRPr="00EA10CF" w:rsidRDefault="00C45FE5" w:rsidP="001B330E">
            <w:pPr>
              <w:widowControl w:val="0"/>
              <w:pBdr>
                <w:top w:val="nil"/>
                <w:left w:val="nil"/>
                <w:bottom w:val="nil"/>
                <w:right w:val="nil"/>
                <w:between w:val="nil"/>
              </w:pBdr>
              <w:jc w:val="right"/>
              <w:rPr>
                <w:color w:val="000000"/>
              </w:rPr>
            </w:pPr>
          </w:p>
        </w:tc>
        <w:tc>
          <w:tcPr>
            <w:tcW w:w="548" w:type="pct"/>
            <w:tcBorders>
              <w:top w:val="single" w:sz="4" w:space="0" w:color="000000"/>
              <w:left w:val="nil"/>
              <w:bottom w:val="single" w:sz="4" w:space="0" w:color="000000"/>
              <w:right w:val="nil"/>
            </w:tcBorders>
          </w:tcPr>
          <w:p w14:paraId="2EAA5AD5" w14:textId="77777777" w:rsidR="00C45FE5" w:rsidRPr="00EA10CF" w:rsidRDefault="00C45FE5" w:rsidP="001B330E">
            <w:pPr>
              <w:widowControl w:val="0"/>
              <w:pBdr>
                <w:top w:val="nil"/>
                <w:left w:val="nil"/>
                <w:bottom w:val="nil"/>
                <w:right w:val="nil"/>
                <w:between w:val="nil"/>
              </w:pBdr>
              <w:jc w:val="right"/>
              <w:rPr>
                <w:b/>
                <w:color w:val="000000"/>
              </w:rPr>
            </w:pPr>
            <w:r w:rsidRPr="00EA10CF">
              <w:rPr>
                <w:b/>
                <w:color w:val="000000"/>
              </w:rPr>
              <w:t>Lease liabilities</w:t>
            </w:r>
          </w:p>
        </w:tc>
        <w:tc>
          <w:tcPr>
            <w:tcW w:w="479" w:type="pct"/>
            <w:tcBorders>
              <w:top w:val="single" w:sz="4" w:space="0" w:color="000000"/>
              <w:left w:val="nil"/>
              <w:bottom w:val="single" w:sz="4" w:space="0" w:color="000000"/>
              <w:right w:val="nil"/>
            </w:tcBorders>
          </w:tcPr>
          <w:p w14:paraId="1A759ECB" w14:textId="7683CCE6" w:rsidR="00C45FE5" w:rsidRPr="00EA10CF" w:rsidRDefault="00C45FE5" w:rsidP="001B330E">
            <w:pPr>
              <w:widowControl w:val="0"/>
              <w:pBdr>
                <w:top w:val="nil"/>
                <w:left w:val="nil"/>
                <w:bottom w:val="nil"/>
                <w:right w:val="nil"/>
                <w:between w:val="nil"/>
              </w:pBdr>
              <w:jc w:val="right"/>
              <w:rPr>
                <w:b/>
                <w:color w:val="000000"/>
              </w:rPr>
            </w:pPr>
            <w:r>
              <w:rPr>
                <w:b/>
                <w:color w:val="000000"/>
              </w:rPr>
              <w:t xml:space="preserve">Deriva-tives </w:t>
            </w:r>
          </w:p>
        </w:tc>
        <w:tc>
          <w:tcPr>
            <w:tcW w:w="479" w:type="pct"/>
            <w:tcBorders>
              <w:top w:val="single" w:sz="4" w:space="0" w:color="000000"/>
              <w:left w:val="nil"/>
              <w:bottom w:val="single" w:sz="4" w:space="0" w:color="000000"/>
              <w:right w:val="nil"/>
            </w:tcBorders>
          </w:tcPr>
          <w:p w14:paraId="586B5D37" w14:textId="354E5DEA" w:rsidR="00C45FE5" w:rsidRPr="00EA10CF" w:rsidRDefault="00C45FE5" w:rsidP="001B330E">
            <w:pPr>
              <w:widowControl w:val="0"/>
              <w:pBdr>
                <w:top w:val="nil"/>
                <w:left w:val="nil"/>
                <w:bottom w:val="nil"/>
                <w:right w:val="nil"/>
                <w:between w:val="nil"/>
              </w:pBdr>
              <w:jc w:val="right"/>
              <w:rPr>
                <w:b/>
                <w:color w:val="000000"/>
              </w:rPr>
            </w:pPr>
            <w:r w:rsidRPr="00EA10CF">
              <w:rPr>
                <w:b/>
                <w:color w:val="000000"/>
              </w:rPr>
              <w:t>Total</w:t>
            </w:r>
          </w:p>
        </w:tc>
      </w:tr>
      <w:tr w:rsidR="00C45FE5" w:rsidRPr="00EA10CF" w14:paraId="6AC482CB" w14:textId="77777777" w:rsidTr="00C45FE5">
        <w:trPr>
          <w:trHeight w:val="23"/>
        </w:trPr>
        <w:tc>
          <w:tcPr>
            <w:tcW w:w="1687" w:type="pct"/>
            <w:tcBorders>
              <w:top w:val="single" w:sz="4" w:space="0" w:color="000000"/>
              <w:left w:val="nil"/>
              <w:right w:val="nil"/>
            </w:tcBorders>
            <w:vAlign w:val="bottom"/>
          </w:tcPr>
          <w:p w14:paraId="2A8FF7C9" w14:textId="77777777" w:rsidR="00C45FE5" w:rsidRPr="00EA10CF" w:rsidRDefault="00C45FE5" w:rsidP="001B330E">
            <w:pPr>
              <w:widowControl w:val="0"/>
              <w:pBdr>
                <w:top w:val="nil"/>
                <w:left w:val="nil"/>
                <w:bottom w:val="nil"/>
                <w:right w:val="nil"/>
                <w:between w:val="nil"/>
              </w:pBdr>
              <w:ind w:left="113" w:hanging="113"/>
              <w:rPr>
                <w:b/>
                <w:color w:val="000000"/>
              </w:rPr>
            </w:pPr>
          </w:p>
        </w:tc>
        <w:tc>
          <w:tcPr>
            <w:tcW w:w="567" w:type="pct"/>
            <w:gridSpan w:val="2"/>
            <w:tcBorders>
              <w:top w:val="single" w:sz="4" w:space="0" w:color="000000"/>
              <w:left w:val="nil"/>
              <w:right w:val="nil"/>
            </w:tcBorders>
            <w:vAlign w:val="bottom"/>
          </w:tcPr>
          <w:p w14:paraId="70219955"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left w:val="nil"/>
              <w:right w:val="nil"/>
            </w:tcBorders>
            <w:vAlign w:val="bottom"/>
          </w:tcPr>
          <w:p w14:paraId="54043E60"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left w:val="nil"/>
              <w:right w:val="nil"/>
            </w:tcBorders>
            <w:vAlign w:val="bottom"/>
          </w:tcPr>
          <w:p w14:paraId="41D9C350"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top w:val="single" w:sz="4" w:space="0" w:color="000000"/>
              <w:left w:val="nil"/>
              <w:right w:val="nil"/>
            </w:tcBorders>
            <w:vAlign w:val="bottom"/>
          </w:tcPr>
          <w:p w14:paraId="5A26B71E"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left w:val="nil"/>
              <w:right w:val="nil"/>
            </w:tcBorders>
          </w:tcPr>
          <w:p w14:paraId="62A2BBF9"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left w:val="nil"/>
              <w:right w:val="nil"/>
            </w:tcBorders>
          </w:tcPr>
          <w:p w14:paraId="1A4BD8AF" w14:textId="2D59A1D9" w:rsidR="00C45FE5" w:rsidRPr="00EA10CF" w:rsidRDefault="00C45FE5">
            <w:pPr>
              <w:widowControl w:val="0"/>
              <w:pBdr>
                <w:top w:val="nil"/>
                <w:left w:val="nil"/>
                <w:bottom w:val="nil"/>
                <w:right w:val="nil"/>
                <w:between w:val="nil"/>
              </w:pBdr>
              <w:jc w:val="right"/>
              <w:rPr>
                <w:color w:val="000000"/>
              </w:rPr>
            </w:pPr>
          </w:p>
        </w:tc>
      </w:tr>
      <w:tr w:rsidR="00C45FE5" w:rsidRPr="00EA10CF" w14:paraId="0270E7DB" w14:textId="77777777" w:rsidTr="00C45FE5">
        <w:trPr>
          <w:trHeight w:val="23"/>
        </w:trPr>
        <w:tc>
          <w:tcPr>
            <w:tcW w:w="1687" w:type="pct"/>
            <w:tcBorders>
              <w:left w:val="nil"/>
              <w:right w:val="nil"/>
            </w:tcBorders>
            <w:vAlign w:val="bottom"/>
          </w:tcPr>
          <w:p w14:paraId="0FDAA20E" w14:textId="6114B432" w:rsidR="00C45FE5" w:rsidRPr="00EA10CF" w:rsidRDefault="00C45FE5" w:rsidP="001B330E">
            <w:pPr>
              <w:widowControl w:val="0"/>
              <w:pBdr>
                <w:top w:val="nil"/>
                <w:left w:val="nil"/>
                <w:bottom w:val="nil"/>
                <w:right w:val="nil"/>
                <w:between w:val="nil"/>
              </w:pBdr>
              <w:ind w:left="113" w:hanging="113"/>
              <w:rPr>
                <w:color w:val="000000"/>
              </w:rPr>
            </w:pPr>
            <w:r w:rsidRPr="00EA10CF">
              <w:rPr>
                <w:b/>
                <w:color w:val="000000"/>
              </w:rPr>
              <w:t xml:space="preserve">Liabilities from financing activities at 1 January </w:t>
            </w:r>
            <w:r w:rsidR="00541EBC">
              <w:rPr>
                <w:b/>
                <w:color w:val="000000"/>
              </w:rPr>
              <w:t>2023</w:t>
            </w:r>
          </w:p>
        </w:tc>
        <w:tc>
          <w:tcPr>
            <w:tcW w:w="567" w:type="pct"/>
            <w:gridSpan w:val="2"/>
            <w:tcBorders>
              <w:left w:val="nil"/>
              <w:right w:val="nil"/>
            </w:tcBorders>
            <w:vAlign w:val="bottom"/>
          </w:tcPr>
          <w:p w14:paraId="5187B3C0"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left w:val="nil"/>
              <w:right w:val="nil"/>
            </w:tcBorders>
            <w:vAlign w:val="bottom"/>
          </w:tcPr>
          <w:p w14:paraId="5E079D39"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left w:val="nil"/>
              <w:right w:val="nil"/>
            </w:tcBorders>
            <w:vAlign w:val="bottom"/>
          </w:tcPr>
          <w:p w14:paraId="652770B1"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left w:val="nil"/>
              <w:right w:val="nil"/>
            </w:tcBorders>
            <w:vAlign w:val="bottom"/>
          </w:tcPr>
          <w:p w14:paraId="351B201A"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left w:val="nil"/>
              <w:right w:val="nil"/>
            </w:tcBorders>
          </w:tcPr>
          <w:p w14:paraId="0EDC0B2C"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left w:val="nil"/>
              <w:right w:val="nil"/>
            </w:tcBorders>
          </w:tcPr>
          <w:p w14:paraId="6CAB4B33" w14:textId="18123DDD" w:rsidR="00C45FE5" w:rsidRPr="00EA10CF" w:rsidRDefault="00C45FE5">
            <w:pPr>
              <w:widowControl w:val="0"/>
              <w:pBdr>
                <w:top w:val="nil"/>
                <w:left w:val="nil"/>
                <w:bottom w:val="nil"/>
                <w:right w:val="nil"/>
                <w:between w:val="nil"/>
              </w:pBdr>
              <w:jc w:val="right"/>
              <w:rPr>
                <w:color w:val="000000"/>
              </w:rPr>
            </w:pPr>
          </w:p>
        </w:tc>
      </w:tr>
      <w:tr w:rsidR="00C45FE5" w:rsidRPr="00EA10CF" w14:paraId="3D637E1C" w14:textId="77777777" w:rsidTr="00C45FE5">
        <w:trPr>
          <w:trHeight w:val="23"/>
        </w:trPr>
        <w:tc>
          <w:tcPr>
            <w:tcW w:w="1687" w:type="pct"/>
            <w:tcBorders>
              <w:bottom w:val="single" w:sz="4" w:space="0" w:color="000000"/>
            </w:tcBorders>
            <w:vAlign w:val="bottom"/>
          </w:tcPr>
          <w:p w14:paraId="407B67A5" w14:textId="77777777" w:rsidR="00C45FE5" w:rsidRPr="00EA10CF" w:rsidRDefault="00C45FE5" w:rsidP="001B330E">
            <w:pPr>
              <w:widowControl w:val="0"/>
              <w:pBdr>
                <w:top w:val="nil"/>
                <w:left w:val="nil"/>
                <w:bottom w:val="nil"/>
                <w:right w:val="nil"/>
                <w:between w:val="nil"/>
              </w:pBdr>
              <w:ind w:left="113" w:hanging="113"/>
              <w:rPr>
                <w:color w:val="000000"/>
              </w:rPr>
            </w:pPr>
          </w:p>
        </w:tc>
        <w:tc>
          <w:tcPr>
            <w:tcW w:w="567" w:type="pct"/>
            <w:gridSpan w:val="2"/>
            <w:tcBorders>
              <w:bottom w:val="single" w:sz="4" w:space="0" w:color="000000"/>
            </w:tcBorders>
            <w:vAlign w:val="bottom"/>
          </w:tcPr>
          <w:p w14:paraId="5943E96D"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bottom w:val="single" w:sz="4" w:space="0" w:color="000000"/>
            </w:tcBorders>
            <w:vAlign w:val="bottom"/>
          </w:tcPr>
          <w:p w14:paraId="1D5EEC31"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bottom w:val="single" w:sz="4" w:space="0" w:color="000000"/>
            </w:tcBorders>
            <w:vAlign w:val="bottom"/>
          </w:tcPr>
          <w:p w14:paraId="5D97D55D"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bottom w:val="single" w:sz="4" w:space="0" w:color="000000"/>
            </w:tcBorders>
            <w:vAlign w:val="bottom"/>
          </w:tcPr>
          <w:p w14:paraId="24E12827"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bottom w:val="single" w:sz="4" w:space="0" w:color="000000"/>
            </w:tcBorders>
          </w:tcPr>
          <w:p w14:paraId="2567FD09"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bottom w:val="single" w:sz="4" w:space="0" w:color="000000"/>
            </w:tcBorders>
          </w:tcPr>
          <w:p w14:paraId="6CCE3210" w14:textId="2AA56031" w:rsidR="00C45FE5" w:rsidRPr="00EA10CF" w:rsidRDefault="00C45FE5">
            <w:pPr>
              <w:widowControl w:val="0"/>
              <w:pBdr>
                <w:top w:val="nil"/>
                <w:left w:val="nil"/>
                <w:bottom w:val="nil"/>
                <w:right w:val="nil"/>
                <w:between w:val="nil"/>
              </w:pBdr>
              <w:jc w:val="right"/>
              <w:rPr>
                <w:color w:val="000000"/>
              </w:rPr>
            </w:pPr>
          </w:p>
        </w:tc>
      </w:tr>
      <w:tr w:rsidR="00C45FE5" w:rsidRPr="00EA10CF" w14:paraId="2EECA8FC" w14:textId="77777777" w:rsidTr="00C45FE5">
        <w:trPr>
          <w:trHeight w:val="23"/>
        </w:trPr>
        <w:tc>
          <w:tcPr>
            <w:tcW w:w="1687" w:type="pct"/>
            <w:tcBorders>
              <w:top w:val="single" w:sz="4" w:space="0" w:color="000000"/>
            </w:tcBorders>
            <w:vAlign w:val="bottom"/>
          </w:tcPr>
          <w:p w14:paraId="2CE9BA09"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 </w:t>
            </w:r>
          </w:p>
        </w:tc>
        <w:tc>
          <w:tcPr>
            <w:tcW w:w="567" w:type="pct"/>
            <w:gridSpan w:val="2"/>
            <w:tcBorders>
              <w:top w:val="single" w:sz="4" w:space="0" w:color="000000"/>
            </w:tcBorders>
            <w:vAlign w:val="bottom"/>
          </w:tcPr>
          <w:p w14:paraId="1D92B826"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tcBorders>
            <w:vAlign w:val="bottom"/>
          </w:tcPr>
          <w:p w14:paraId="20AF4B38"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tcBorders>
            <w:vAlign w:val="bottom"/>
          </w:tcPr>
          <w:p w14:paraId="7FE56CC5"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top w:val="single" w:sz="4" w:space="0" w:color="000000"/>
            </w:tcBorders>
            <w:vAlign w:val="bottom"/>
          </w:tcPr>
          <w:p w14:paraId="1F8AC212"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tcBorders>
          </w:tcPr>
          <w:p w14:paraId="7148BAB4"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tcBorders>
          </w:tcPr>
          <w:p w14:paraId="2943F3CC" w14:textId="216315D1" w:rsidR="00C45FE5" w:rsidRPr="00EA10CF" w:rsidRDefault="00C45FE5">
            <w:pPr>
              <w:widowControl w:val="0"/>
              <w:pBdr>
                <w:top w:val="nil"/>
                <w:left w:val="nil"/>
                <w:bottom w:val="nil"/>
                <w:right w:val="nil"/>
                <w:between w:val="nil"/>
              </w:pBdr>
              <w:jc w:val="right"/>
              <w:rPr>
                <w:color w:val="000000"/>
              </w:rPr>
            </w:pPr>
          </w:p>
        </w:tc>
      </w:tr>
      <w:tr w:rsidR="00C45FE5" w:rsidRPr="00EA10CF" w14:paraId="23EF0192" w14:textId="77777777" w:rsidTr="00C45FE5">
        <w:trPr>
          <w:trHeight w:val="23"/>
        </w:trPr>
        <w:tc>
          <w:tcPr>
            <w:tcW w:w="1687" w:type="pct"/>
            <w:vAlign w:val="bottom"/>
          </w:tcPr>
          <w:p w14:paraId="481B9726"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 xml:space="preserve">Cash flows </w:t>
            </w:r>
          </w:p>
        </w:tc>
        <w:tc>
          <w:tcPr>
            <w:tcW w:w="567" w:type="pct"/>
            <w:gridSpan w:val="2"/>
            <w:vAlign w:val="bottom"/>
          </w:tcPr>
          <w:p w14:paraId="65827135"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583DE761"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59E24802"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58F15169"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511C5730"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3CCD1D6F" w14:textId="0E2F8C0C" w:rsidR="00C45FE5" w:rsidRPr="00EA10CF" w:rsidRDefault="00C45FE5">
            <w:pPr>
              <w:widowControl w:val="0"/>
              <w:pBdr>
                <w:top w:val="nil"/>
                <w:left w:val="nil"/>
                <w:bottom w:val="nil"/>
                <w:right w:val="nil"/>
                <w:between w:val="nil"/>
              </w:pBdr>
              <w:jc w:val="right"/>
              <w:rPr>
                <w:color w:val="000000"/>
              </w:rPr>
            </w:pPr>
          </w:p>
        </w:tc>
      </w:tr>
      <w:tr w:rsidR="00C45FE5" w:rsidRPr="00EA10CF" w14:paraId="09A41FFB" w14:textId="77777777" w:rsidTr="00C45FE5">
        <w:trPr>
          <w:trHeight w:val="23"/>
        </w:trPr>
        <w:tc>
          <w:tcPr>
            <w:tcW w:w="1687" w:type="pct"/>
            <w:vAlign w:val="bottom"/>
          </w:tcPr>
          <w:p w14:paraId="231BF424"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Business combinations</w:t>
            </w:r>
          </w:p>
        </w:tc>
        <w:tc>
          <w:tcPr>
            <w:tcW w:w="567" w:type="pct"/>
            <w:gridSpan w:val="2"/>
            <w:vAlign w:val="bottom"/>
          </w:tcPr>
          <w:p w14:paraId="0271C21A"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61301BB0"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0DA30A48"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42CE2062"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728200AC"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78BD1A3A" w14:textId="4749BA6F" w:rsidR="00C45FE5" w:rsidRPr="00EA10CF" w:rsidRDefault="00C45FE5">
            <w:pPr>
              <w:widowControl w:val="0"/>
              <w:pBdr>
                <w:top w:val="nil"/>
                <w:left w:val="nil"/>
                <w:bottom w:val="nil"/>
                <w:right w:val="nil"/>
                <w:between w:val="nil"/>
              </w:pBdr>
              <w:jc w:val="right"/>
              <w:rPr>
                <w:color w:val="000000"/>
              </w:rPr>
            </w:pPr>
          </w:p>
        </w:tc>
      </w:tr>
      <w:tr w:rsidR="00C45FE5" w:rsidRPr="00EA10CF" w14:paraId="227B3635" w14:textId="77777777" w:rsidTr="00C45FE5">
        <w:trPr>
          <w:trHeight w:val="23"/>
        </w:trPr>
        <w:tc>
          <w:tcPr>
            <w:tcW w:w="1687" w:type="pct"/>
            <w:vAlign w:val="bottom"/>
          </w:tcPr>
          <w:p w14:paraId="786B8BDD"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Changes in fair values</w:t>
            </w:r>
          </w:p>
        </w:tc>
        <w:tc>
          <w:tcPr>
            <w:tcW w:w="567" w:type="pct"/>
            <w:gridSpan w:val="2"/>
            <w:vAlign w:val="bottom"/>
          </w:tcPr>
          <w:p w14:paraId="50E19984"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79CB3D15"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04F3508F"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0566303B"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1C3A3989"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3C54F657" w14:textId="0060CA36" w:rsidR="00C45FE5" w:rsidRPr="00EA10CF" w:rsidRDefault="00C45FE5">
            <w:pPr>
              <w:widowControl w:val="0"/>
              <w:pBdr>
                <w:top w:val="nil"/>
                <w:left w:val="nil"/>
                <w:bottom w:val="nil"/>
                <w:right w:val="nil"/>
                <w:between w:val="nil"/>
              </w:pBdr>
              <w:jc w:val="right"/>
              <w:rPr>
                <w:color w:val="000000"/>
              </w:rPr>
            </w:pPr>
          </w:p>
        </w:tc>
      </w:tr>
      <w:tr w:rsidR="00C45FE5" w:rsidRPr="00EA10CF" w14:paraId="3DB03EA9" w14:textId="77777777" w:rsidTr="00C45FE5">
        <w:trPr>
          <w:trHeight w:val="23"/>
        </w:trPr>
        <w:tc>
          <w:tcPr>
            <w:tcW w:w="1687" w:type="pct"/>
            <w:vAlign w:val="bottom"/>
          </w:tcPr>
          <w:p w14:paraId="6BDB577C"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Foreign exchange adjustments</w:t>
            </w:r>
          </w:p>
        </w:tc>
        <w:tc>
          <w:tcPr>
            <w:tcW w:w="567" w:type="pct"/>
            <w:gridSpan w:val="2"/>
            <w:vAlign w:val="bottom"/>
          </w:tcPr>
          <w:p w14:paraId="58B80DC8"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27F5947D"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134E494B"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3D5E7978" w14:textId="77777777" w:rsidR="00C45FE5" w:rsidRPr="00EA10CF" w:rsidRDefault="00C45FE5">
            <w:pPr>
              <w:widowControl w:val="0"/>
              <w:pBdr>
                <w:top w:val="nil"/>
                <w:left w:val="nil"/>
                <w:bottom w:val="nil"/>
                <w:right w:val="nil"/>
                <w:between w:val="nil"/>
              </w:pBdr>
              <w:jc w:val="right"/>
              <w:rPr>
                <w:color w:val="000000"/>
              </w:rPr>
            </w:pPr>
            <w:r w:rsidRPr="00EA10CF">
              <w:rPr>
                <w:color w:val="000000"/>
              </w:rPr>
              <w:t>-</w:t>
            </w:r>
          </w:p>
        </w:tc>
        <w:tc>
          <w:tcPr>
            <w:tcW w:w="479" w:type="pct"/>
          </w:tcPr>
          <w:p w14:paraId="115D64F5"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6C66C569" w14:textId="00BDEDEE" w:rsidR="00C45FE5" w:rsidRPr="00EA10CF" w:rsidRDefault="00C45FE5">
            <w:pPr>
              <w:widowControl w:val="0"/>
              <w:pBdr>
                <w:top w:val="nil"/>
                <w:left w:val="nil"/>
                <w:bottom w:val="nil"/>
                <w:right w:val="nil"/>
                <w:between w:val="nil"/>
              </w:pBdr>
              <w:jc w:val="right"/>
              <w:rPr>
                <w:color w:val="000000"/>
              </w:rPr>
            </w:pPr>
          </w:p>
        </w:tc>
      </w:tr>
      <w:tr w:rsidR="00C45FE5" w:rsidRPr="00EA10CF" w14:paraId="4525A823" w14:textId="77777777" w:rsidTr="00C45FE5">
        <w:trPr>
          <w:trHeight w:val="23"/>
        </w:trPr>
        <w:tc>
          <w:tcPr>
            <w:tcW w:w="1687" w:type="pct"/>
            <w:vAlign w:val="bottom"/>
          </w:tcPr>
          <w:p w14:paraId="2D60BA6E"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 xml:space="preserve">Other non-cash movements </w:t>
            </w:r>
          </w:p>
        </w:tc>
        <w:tc>
          <w:tcPr>
            <w:tcW w:w="567" w:type="pct"/>
            <w:gridSpan w:val="2"/>
            <w:vAlign w:val="bottom"/>
          </w:tcPr>
          <w:p w14:paraId="72DCCA0D"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1B40487D"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0C29AF51"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363769FA"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0412E50F"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06E97477" w14:textId="46F6C5E6" w:rsidR="00C45FE5" w:rsidRPr="00EA10CF" w:rsidRDefault="00C45FE5">
            <w:pPr>
              <w:widowControl w:val="0"/>
              <w:pBdr>
                <w:top w:val="nil"/>
                <w:left w:val="nil"/>
                <w:bottom w:val="nil"/>
                <w:right w:val="nil"/>
                <w:between w:val="nil"/>
              </w:pBdr>
              <w:jc w:val="right"/>
              <w:rPr>
                <w:color w:val="000000"/>
              </w:rPr>
            </w:pPr>
          </w:p>
        </w:tc>
      </w:tr>
      <w:tr w:rsidR="00C45FE5" w:rsidRPr="00EA10CF" w14:paraId="1B16FEF2" w14:textId="77777777" w:rsidTr="00C45FE5">
        <w:trPr>
          <w:trHeight w:val="23"/>
        </w:trPr>
        <w:tc>
          <w:tcPr>
            <w:tcW w:w="1687" w:type="pct"/>
            <w:tcBorders>
              <w:bottom w:val="single" w:sz="4" w:space="0" w:color="000000"/>
            </w:tcBorders>
            <w:vAlign w:val="bottom"/>
          </w:tcPr>
          <w:p w14:paraId="50B01550" w14:textId="77777777" w:rsidR="00C45FE5" w:rsidRPr="00EA10CF" w:rsidRDefault="00C45FE5" w:rsidP="001B330E">
            <w:pPr>
              <w:widowControl w:val="0"/>
              <w:pBdr>
                <w:top w:val="nil"/>
                <w:left w:val="nil"/>
                <w:bottom w:val="nil"/>
                <w:right w:val="nil"/>
                <w:between w:val="nil"/>
              </w:pBdr>
              <w:ind w:left="113" w:hanging="113"/>
              <w:rPr>
                <w:b/>
                <w:color w:val="000000"/>
              </w:rPr>
            </w:pPr>
          </w:p>
        </w:tc>
        <w:tc>
          <w:tcPr>
            <w:tcW w:w="567" w:type="pct"/>
            <w:gridSpan w:val="2"/>
            <w:tcBorders>
              <w:bottom w:val="single" w:sz="4" w:space="0" w:color="000000"/>
            </w:tcBorders>
            <w:vAlign w:val="bottom"/>
          </w:tcPr>
          <w:p w14:paraId="0E2E8CA9"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bottom w:val="single" w:sz="4" w:space="0" w:color="000000"/>
            </w:tcBorders>
            <w:vAlign w:val="bottom"/>
          </w:tcPr>
          <w:p w14:paraId="2AD6E6C5"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bottom w:val="single" w:sz="4" w:space="0" w:color="000000"/>
            </w:tcBorders>
            <w:vAlign w:val="bottom"/>
          </w:tcPr>
          <w:p w14:paraId="115FCFF6"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bottom w:val="single" w:sz="4" w:space="0" w:color="000000"/>
            </w:tcBorders>
            <w:vAlign w:val="bottom"/>
          </w:tcPr>
          <w:p w14:paraId="23B9D348"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bottom w:val="single" w:sz="4" w:space="0" w:color="000000"/>
            </w:tcBorders>
          </w:tcPr>
          <w:p w14:paraId="26ECFE3B"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bottom w:val="single" w:sz="4" w:space="0" w:color="000000"/>
            </w:tcBorders>
          </w:tcPr>
          <w:p w14:paraId="2AEB2C80" w14:textId="63EA19CF" w:rsidR="00C45FE5" w:rsidRPr="00EA10CF" w:rsidRDefault="00C45FE5">
            <w:pPr>
              <w:widowControl w:val="0"/>
              <w:pBdr>
                <w:top w:val="nil"/>
                <w:left w:val="nil"/>
                <w:bottom w:val="nil"/>
                <w:right w:val="nil"/>
                <w:between w:val="nil"/>
              </w:pBdr>
              <w:jc w:val="right"/>
              <w:rPr>
                <w:color w:val="000000"/>
              </w:rPr>
            </w:pPr>
          </w:p>
        </w:tc>
      </w:tr>
      <w:tr w:rsidR="00C45FE5" w:rsidRPr="00EA10CF" w14:paraId="2B41D613" w14:textId="77777777" w:rsidTr="00C45FE5">
        <w:trPr>
          <w:trHeight w:val="23"/>
        </w:trPr>
        <w:tc>
          <w:tcPr>
            <w:tcW w:w="1687" w:type="pct"/>
            <w:tcBorders>
              <w:top w:val="single" w:sz="4" w:space="0" w:color="000000"/>
            </w:tcBorders>
            <w:vAlign w:val="bottom"/>
          </w:tcPr>
          <w:p w14:paraId="5C3F5896" w14:textId="77777777" w:rsidR="00C45FE5" w:rsidRPr="00EA10CF" w:rsidRDefault="00C45FE5" w:rsidP="001B330E">
            <w:pPr>
              <w:widowControl w:val="0"/>
              <w:pBdr>
                <w:top w:val="nil"/>
                <w:left w:val="nil"/>
                <w:bottom w:val="nil"/>
                <w:right w:val="nil"/>
                <w:between w:val="nil"/>
              </w:pBdr>
              <w:ind w:left="113" w:hanging="113"/>
              <w:rPr>
                <w:b/>
                <w:color w:val="000000"/>
              </w:rPr>
            </w:pPr>
          </w:p>
        </w:tc>
        <w:tc>
          <w:tcPr>
            <w:tcW w:w="567" w:type="pct"/>
            <w:gridSpan w:val="2"/>
            <w:tcBorders>
              <w:top w:val="single" w:sz="4" w:space="0" w:color="000000"/>
            </w:tcBorders>
            <w:vAlign w:val="bottom"/>
          </w:tcPr>
          <w:p w14:paraId="0536680F"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tcBorders>
            <w:vAlign w:val="bottom"/>
          </w:tcPr>
          <w:p w14:paraId="1342BAB4"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tcBorders>
            <w:vAlign w:val="bottom"/>
          </w:tcPr>
          <w:p w14:paraId="02014829"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top w:val="single" w:sz="4" w:space="0" w:color="000000"/>
            </w:tcBorders>
            <w:vAlign w:val="bottom"/>
          </w:tcPr>
          <w:p w14:paraId="063A0C4A"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tcBorders>
          </w:tcPr>
          <w:p w14:paraId="30E9CBDB"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tcBorders>
          </w:tcPr>
          <w:p w14:paraId="7BF6199F" w14:textId="6CE1E3B7" w:rsidR="00C45FE5" w:rsidRPr="00EA10CF" w:rsidRDefault="00C45FE5">
            <w:pPr>
              <w:widowControl w:val="0"/>
              <w:pBdr>
                <w:top w:val="nil"/>
                <w:left w:val="nil"/>
                <w:bottom w:val="nil"/>
                <w:right w:val="nil"/>
                <w:between w:val="nil"/>
              </w:pBdr>
              <w:jc w:val="right"/>
              <w:rPr>
                <w:color w:val="000000"/>
              </w:rPr>
            </w:pPr>
          </w:p>
        </w:tc>
      </w:tr>
      <w:tr w:rsidR="00C45FE5" w:rsidRPr="00EA10CF" w14:paraId="696C069E" w14:textId="77777777" w:rsidTr="00C45FE5">
        <w:trPr>
          <w:trHeight w:val="23"/>
        </w:trPr>
        <w:tc>
          <w:tcPr>
            <w:tcW w:w="1687" w:type="pct"/>
            <w:vAlign w:val="bottom"/>
          </w:tcPr>
          <w:p w14:paraId="17BE620F" w14:textId="7251DD1E" w:rsidR="00C45FE5" w:rsidRPr="00EA10CF" w:rsidRDefault="00C45FE5" w:rsidP="001B330E">
            <w:pPr>
              <w:widowControl w:val="0"/>
              <w:pBdr>
                <w:top w:val="nil"/>
                <w:left w:val="nil"/>
                <w:bottom w:val="nil"/>
                <w:right w:val="nil"/>
                <w:between w:val="nil"/>
              </w:pBdr>
              <w:ind w:left="113" w:hanging="113"/>
              <w:rPr>
                <w:color w:val="000000"/>
              </w:rPr>
            </w:pPr>
            <w:r w:rsidRPr="00EA10CF">
              <w:rPr>
                <w:b/>
                <w:color w:val="000000"/>
              </w:rPr>
              <w:t>Liabilities from financing activities at 31</w:t>
            </w:r>
            <w:r>
              <w:rPr>
                <w:b/>
                <w:color w:val="000000"/>
              </w:rPr>
              <w:t> December </w:t>
            </w:r>
            <w:r w:rsidR="00541EBC">
              <w:rPr>
                <w:b/>
                <w:color w:val="000000"/>
              </w:rPr>
              <w:t>2023</w:t>
            </w:r>
          </w:p>
        </w:tc>
        <w:tc>
          <w:tcPr>
            <w:tcW w:w="567" w:type="pct"/>
            <w:gridSpan w:val="2"/>
            <w:vAlign w:val="bottom"/>
          </w:tcPr>
          <w:p w14:paraId="7DC4940A"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7970457B"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632677A4"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55C8C770" w14:textId="77777777" w:rsidR="00C45FE5" w:rsidRPr="00EA10CF" w:rsidRDefault="00C45FE5">
            <w:pPr>
              <w:widowControl w:val="0"/>
              <w:pBdr>
                <w:top w:val="nil"/>
                <w:left w:val="nil"/>
                <w:bottom w:val="nil"/>
                <w:right w:val="nil"/>
                <w:between w:val="nil"/>
              </w:pBdr>
              <w:jc w:val="right"/>
              <w:rPr>
                <w:color w:val="000000"/>
              </w:rPr>
            </w:pPr>
            <w:r w:rsidRPr="00EA10CF">
              <w:rPr>
                <w:color w:val="000000"/>
              </w:rPr>
              <w:t>-</w:t>
            </w:r>
          </w:p>
        </w:tc>
        <w:tc>
          <w:tcPr>
            <w:tcW w:w="479" w:type="pct"/>
          </w:tcPr>
          <w:p w14:paraId="39ACDAEB"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1297ED01" w14:textId="143E6B73" w:rsidR="00C45FE5" w:rsidRPr="00EA10CF" w:rsidRDefault="00C45FE5">
            <w:pPr>
              <w:widowControl w:val="0"/>
              <w:pBdr>
                <w:top w:val="nil"/>
                <w:left w:val="nil"/>
                <w:bottom w:val="nil"/>
                <w:right w:val="nil"/>
                <w:between w:val="nil"/>
              </w:pBdr>
              <w:jc w:val="right"/>
              <w:rPr>
                <w:color w:val="000000"/>
              </w:rPr>
            </w:pPr>
          </w:p>
        </w:tc>
      </w:tr>
      <w:tr w:rsidR="00C45FE5" w:rsidRPr="00EA10CF" w14:paraId="19069D43" w14:textId="77777777" w:rsidTr="00C45FE5">
        <w:trPr>
          <w:trHeight w:val="23"/>
        </w:trPr>
        <w:tc>
          <w:tcPr>
            <w:tcW w:w="1687" w:type="pct"/>
            <w:tcBorders>
              <w:bottom w:val="single" w:sz="4" w:space="0" w:color="000000"/>
            </w:tcBorders>
            <w:vAlign w:val="bottom"/>
          </w:tcPr>
          <w:p w14:paraId="7046D1A2" w14:textId="77777777" w:rsidR="00C45FE5" w:rsidRPr="00EA10CF" w:rsidRDefault="00C45FE5" w:rsidP="001B330E">
            <w:pPr>
              <w:widowControl w:val="0"/>
              <w:pBdr>
                <w:top w:val="nil"/>
                <w:left w:val="nil"/>
                <w:bottom w:val="nil"/>
                <w:right w:val="nil"/>
                <w:between w:val="nil"/>
              </w:pBdr>
              <w:ind w:left="113" w:hanging="113"/>
              <w:rPr>
                <w:b/>
                <w:color w:val="000000"/>
              </w:rPr>
            </w:pPr>
          </w:p>
        </w:tc>
        <w:tc>
          <w:tcPr>
            <w:tcW w:w="567" w:type="pct"/>
            <w:gridSpan w:val="2"/>
            <w:tcBorders>
              <w:bottom w:val="single" w:sz="4" w:space="0" w:color="000000"/>
            </w:tcBorders>
            <w:vAlign w:val="bottom"/>
          </w:tcPr>
          <w:p w14:paraId="67E525D1"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bottom w:val="single" w:sz="4" w:space="0" w:color="000000"/>
            </w:tcBorders>
            <w:vAlign w:val="bottom"/>
          </w:tcPr>
          <w:p w14:paraId="5CE8A767"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bottom w:val="single" w:sz="4" w:space="0" w:color="000000"/>
            </w:tcBorders>
            <w:vAlign w:val="bottom"/>
          </w:tcPr>
          <w:p w14:paraId="646B0A82"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bottom w:val="single" w:sz="4" w:space="0" w:color="000000"/>
            </w:tcBorders>
            <w:vAlign w:val="bottom"/>
          </w:tcPr>
          <w:p w14:paraId="797F133C"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bottom w:val="single" w:sz="4" w:space="0" w:color="000000"/>
            </w:tcBorders>
          </w:tcPr>
          <w:p w14:paraId="26C3626F"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bottom w:val="single" w:sz="4" w:space="0" w:color="000000"/>
            </w:tcBorders>
          </w:tcPr>
          <w:p w14:paraId="1B11E839" w14:textId="37572F6E" w:rsidR="00C45FE5" w:rsidRPr="00EA10CF" w:rsidRDefault="00C45FE5">
            <w:pPr>
              <w:widowControl w:val="0"/>
              <w:pBdr>
                <w:top w:val="nil"/>
                <w:left w:val="nil"/>
                <w:bottom w:val="nil"/>
                <w:right w:val="nil"/>
                <w:between w:val="nil"/>
              </w:pBdr>
              <w:jc w:val="right"/>
              <w:rPr>
                <w:color w:val="000000"/>
              </w:rPr>
            </w:pPr>
          </w:p>
        </w:tc>
      </w:tr>
      <w:tr w:rsidR="00C45FE5" w:rsidRPr="00EA10CF" w14:paraId="16B198E2" w14:textId="77777777" w:rsidTr="00C45FE5">
        <w:trPr>
          <w:trHeight w:val="23"/>
        </w:trPr>
        <w:tc>
          <w:tcPr>
            <w:tcW w:w="1687" w:type="pct"/>
            <w:tcBorders>
              <w:top w:val="single" w:sz="4" w:space="0" w:color="000000"/>
            </w:tcBorders>
            <w:vAlign w:val="bottom"/>
          </w:tcPr>
          <w:p w14:paraId="2DCBE2EA" w14:textId="77777777" w:rsidR="00C45FE5" w:rsidRPr="00EA10CF" w:rsidRDefault="00C45FE5" w:rsidP="001B330E">
            <w:pPr>
              <w:widowControl w:val="0"/>
              <w:pBdr>
                <w:top w:val="nil"/>
                <w:left w:val="nil"/>
                <w:bottom w:val="nil"/>
                <w:right w:val="nil"/>
                <w:between w:val="nil"/>
              </w:pBdr>
              <w:ind w:left="113" w:hanging="113"/>
              <w:rPr>
                <w:color w:val="000000"/>
              </w:rPr>
            </w:pPr>
          </w:p>
        </w:tc>
        <w:tc>
          <w:tcPr>
            <w:tcW w:w="567" w:type="pct"/>
            <w:gridSpan w:val="2"/>
            <w:tcBorders>
              <w:top w:val="single" w:sz="4" w:space="0" w:color="000000"/>
            </w:tcBorders>
            <w:vAlign w:val="bottom"/>
          </w:tcPr>
          <w:p w14:paraId="01CD011B"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tcBorders>
            <w:vAlign w:val="bottom"/>
          </w:tcPr>
          <w:p w14:paraId="30B010F9"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tcBorders>
            <w:vAlign w:val="bottom"/>
          </w:tcPr>
          <w:p w14:paraId="6D87E1B8"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top w:val="single" w:sz="4" w:space="0" w:color="000000"/>
            </w:tcBorders>
            <w:vAlign w:val="bottom"/>
          </w:tcPr>
          <w:p w14:paraId="10EB48B5"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tcBorders>
          </w:tcPr>
          <w:p w14:paraId="1E330620"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tcBorders>
          </w:tcPr>
          <w:p w14:paraId="2D50FAC8" w14:textId="30A3FD23" w:rsidR="00C45FE5" w:rsidRPr="00EA10CF" w:rsidRDefault="00C45FE5">
            <w:pPr>
              <w:widowControl w:val="0"/>
              <w:pBdr>
                <w:top w:val="nil"/>
                <w:left w:val="nil"/>
                <w:bottom w:val="nil"/>
                <w:right w:val="nil"/>
                <w:between w:val="nil"/>
              </w:pBdr>
              <w:jc w:val="right"/>
              <w:rPr>
                <w:color w:val="000000"/>
              </w:rPr>
            </w:pPr>
          </w:p>
        </w:tc>
      </w:tr>
      <w:tr w:rsidR="00C45FE5" w:rsidRPr="00EA10CF" w14:paraId="2C4829BF" w14:textId="77777777" w:rsidTr="00C45FE5">
        <w:trPr>
          <w:trHeight w:val="23"/>
        </w:trPr>
        <w:tc>
          <w:tcPr>
            <w:tcW w:w="1687" w:type="pct"/>
            <w:vAlign w:val="bottom"/>
          </w:tcPr>
          <w:p w14:paraId="3642E1DB" w14:textId="77777777" w:rsidR="00C45FE5" w:rsidRPr="00EA10CF" w:rsidRDefault="00C45FE5" w:rsidP="001B330E">
            <w:pPr>
              <w:widowControl w:val="0"/>
              <w:pBdr>
                <w:top w:val="nil"/>
                <w:left w:val="nil"/>
                <w:bottom w:val="nil"/>
                <w:right w:val="nil"/>
                <w:between w:val="nil"/>
              </w:pBdr>
              <w:ind w:left="113" w:hanging="113"/>
              <w:rPr>
                <w:b/>
                <w:color w:val="000000"/>
              </w:rPr>
            </w:pPr>
            <w:r w:rsidRPr="00EA10CF">
              <w:rPr>
                <w:color w:val="000000"/>
              </w:rPr>
              <w:t xml:space="preserve">Cash flows </w:t>
            </w:r>
          </w:p>
        </w:tc>
        <w:tc>
          <w:tcPr>
            <w:tcW w:w="567" w:type="pct"/>
            <w:gridSpan w:val="2"/>
            <w:vAlign w:val="bottom"/>
          </w:tcPr>
          <w:p w14:paraId="3EDF5A89"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19A11AA8"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54884D30"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0C060016"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69BFD6B2"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5D3DF0B5" w14:textId="267ECE5F" w:rsidR="00C45FE5" w:rsidRPr="00EA10CF" w:rsidRDefault="00C45FE5">
            <w:pPr>
              <w:widowControl w:val="0"/>
              <w:pBdr>
                <w:top w:val="nil"/>
                <w:left w:val="nil"/>
                <w:bottom w:val="nil"/>
                <w:right w:val="nil"/>
                <w:between w:val="nil"/>
              </w:pBdr>
              <w:jc w:val="right"/>
              <w:rPr>
                <w:color w:val="000000"/>
              </w:rPr>
            </w:pPr>
          </w:p>
        </w:tc>
      </w:tr>
      <w:tr w:rsidR="00C45FE5" w:rsidRPr="00EA10CF" w14:paraId="7E435104" w14:textId="77777777" w:rsidTr="00C45FE5">
        <w:trPr>
          <w:trHeight w:val="23"/>
        </w:trPr>
        <w:tc>
          <w:tcPr>
            <w:tcW w:w="1687" w:type="pct"/>
            <w:vAlign w:val="bottom"/>
          </w:tcPr>
          <w:p w14:paraId="67763DA1"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Business combinations</w:t>
            </w:r>
          </w:p>
        </w:tc>
        <w:tc>
          <w:tcPr>
            <w:tcW w:w="567" w:type="pct"/>
            <w:gridSpan w:val="2"/>
            <w:vAlign w:val="bottom"/>
          </w:tcPr>
          <w:p w14:paraId="3E274100"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02F56BFA"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1C3C1A88"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48D29C8A"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2AAC0723"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52CC2F66" w14:textId="7F9C4FBD" w:rsidR="00C45FE5" w:rsidRPr="00EA10CF" w:rsidRDefault="00C45FE5">
            <w:pPr>
              <w:widowControl w:val="0"/>
              <w:pBdr>
                <w:top w:val="nil"/>
                <w:left w:val="nil"/>
                <w:bottom w:val="nil"/>
                <w:right w:val="nil"/>
                <w:between w:val="nil"/>
              </w:pBdr>
              <w:jc w:val="right"/>
              <w:rPr>
                <w:color w:val="000000"/>
              </w:rPr>
            </w:pPr>
          </w:p>
        </w:tc>
      </w:tr>
      <w:tr w:rsidR="00C45FE5" w:rsidRPr="00EA10CF" w14:paraId="3D60A1B9" w14:textId="77777777" w:rsidTr="00C45FE5">
        <w:trPr>
          <w:trHeight w:val="23"/>
        </w:trPr>
        <w:tc>
          <w:tcPr>
            <w:tcW w:w="1687" w:type="pct"/>
            <w:vAlign w:val="bottom"/>
          </w:tcPr>
          <w:p w14:paraId="7787F50B"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Changes in fair values</w:t>
            </w:r>
          </w:p>
        </w:tc>
        <w:tc>
          <w:tcPr>
            <w:tcW w:w="567" w:type="pct"/>
            <w:gridSpan w:val="2"/>
            <w:vAlign w:val="bottom"/>
          </w:tcPr>
          <w:p w14:paraId="35D0AB18"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21409A8D"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4675DD1A"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32B00C08"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5AC95889"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26CA63BA" w14:textId="249A9EC3" w:rsidR="00C45FE5" w:rsidRPr="00EA10CF" w:rsidRDefault="00C45FE5">
            <w:pPr>
              <w:widowControl w:val="0"/>
              <w:pBdr>
                <w:top w:val="nil"/>
                <w:left w:val="nil"/>
                <w:bottom w:val="nil"/>
                <w:right w:val="nil"/>
                <w:between w:val="nil"/>
              </w:pBdr>
              <w:jc w:val="right"/>
              <w:rPr>
                <w:color w:val="000000"/>
              </w:rPr>
            </w:pPr>
          </w:p>
        </w:tc>
      </w:tr>
      <w:tr w:rsidR="00C45FE5" w:rsidRPr="00EA10CF" w14:paraId="46CEA817" w14:textId="77777777" w:rsidTr="00C45FE5">
        <w:trPr>
          <w:trHeight w:val="23"/>
        </w:trPr>
        <w:tc>
          <w:tcPr>
            <w:tcW w:w="1687" w:type="pct"/>
            <w:vAlign w:val="bottom"/>
          </w:tcPr>
          <w:p w14:paraId="3F29172A"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Foreign exchange adjustments</w:t>
            </w:r>
          </w:p>
        </w:tc>
        <w:tc>
          <w:tcPr>
            <w:tcW w:w="567" w:type="pct"/>
            <w:gridSpan w:val="2"/>
            <w:vAlign w:val="bottom"/>
          </w:tcPr>
          <w:p w14:paraId="266A81BF"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5F004DE8"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29B9AF19"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537F288C"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7FEF5065"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5043743A" w14:textId="7956545C" w:rsidR="00C45FE5" w:rsidRPr="00EA10CF" w:rsidRDefault="00C45FE5">
            <w:pPr>
              <w:widowControl w:val="0"/>
              <w:pBdr>
                <w:top w:val="nil"/>
                <w:left w:val="nil"/>
                <w:bottom w:val="nil"/>
                <w:right w:val="nil"/>
                <w:between w:val="nil"/>
              </w:pBdr>
              <w:jc w:val="right"/>
              <w:rPr>
                <w:color w:val="000000"/>
              </w:rPr>
            </w:pPr>
          </w:p>
        </w:tc>
      </w:tr>
      <w:tr w:rsidR="00C45FE5" w:rsidRPr="00EA10CF" w14:paraId="0067E48B" w14:textId="77777777" w:rsidTr="00C45FE5">
        <w:trPr>
          <w:trHeight w:val="23"/>
        </w:trPr>
        <w:tc>
          <w:tcPr>
            <w:tcW w:w="1687" w:type="pct"/>
            <w:vAlign w:val="bottom"/>
          </w:tcPr>
          <w:p w14:paraId="01135E17" w14:textId="77777777" w:rsidR="00C45FE5" w:rsidRPr="00EA10CF" w:rsidRDefault="00C45FE5" w:rsidP="001B330E">
            <w:pPr>
              <w:widowControl w:val="0"/>
              <w:pBdr>
                <w:top w:val="nil"/>
                <w:left w:val="nil"/>
                <w:bottom w:val="nil"/>
                <w:right w:val="nil"/>
                <w:between w:val="nil"/>
              </w:pBdr>
              <w:ind w:left="113" w:hanging="113"/>
              <w:rPr>
                <w:color w:val="000000"/>
              </w:rPr>
            </w:pPr>
            <w:r w:rsidRPr="00EA10CF">
              <w:rPr>
                <w:color w:val="000000"/>
              </w:rPr>
              <w:t xml:space="preserve">Other non-cash movements </w:t>
            </w:r>
          </w:p>
        </w:tc>
        <w:tc>
          <w:tcPr>
            <w:tcW w:w="567" w:type="pct"/>
            <w:gridSpan w:val="2"/>
            <w:vAlign w:val="bottom"/>
          </w:tcPr>
          <w:p w14:paraId="5F0D42C3"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1AC72BB4"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65E456CE"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03E30271"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6F94ED87"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36E16837" w14:textId="1AEC2004" w:rsidR="00C45FE5" w:rsidRPr="00EA10CF" w:rsidRDefault="00C45FE5">
            <w:pPr>
              <w:widowControl w:val="0"/>
              <w:pBdr>
                <w:top w:val="nil"/>
                <w:left w:val="nil"/>
                <w:bottom w:val="nil"/>
                <w:right w:val="nil"/>
                <w:between w:val="nil"/>
              </w:pBdr>
              <w:jc w:val="right"/>
              <w:rPr>
                <w:color w:val="000000"/>
              </w:rPr>
            </w:pPr>
          </w:p>
        </w:tc>
      </w:tr>
      <w:tr w:rsidR="00C45FE5" w:rsidRPr="00EA10CF" w14:paraId="6D074C94" w14:textId="77777777" w:rsidTr="00C45FE5">
        <w:trPr>
          <w:trHeight w:val="23"/>
        </w:trPr>
        <w:tc>
          <w:tcPr>
            <w:tcW w:w="1687" w:type="pct"/>
            <w:tcBorders>
              <w:bottom w:val="single" w:sz="4" w:space="0" w:color="000000"/>
            </w:tcBorders>
            <w:vAlign w:val="bottom"/>
          </w:tcPr>
          <w:p w14:paraId="2CB764D1" w14:textId="77777777" w:rsidR="00C45FE5" w:rsidRPr="00EA10CF" w:rsidRDefault="00C45FE5" w:rsidP="001B330E">
            <w:pPr>
              <w:widowControl w:val="0"/>
              <w:pBdr>
                <w:top w:val="nil"/>
                <w:left w:val="nil"/>
                <w:bottom w:val="nil"/>
                <w:right w:val="nil"/>
                <w:between w:val="nil"/>
              </w:pBdr>
              <w:ind w:left="113" w:hanging="113"/>
              <w:rPr>
                <w:b/>
                <w:color w:val="000000"/>
              </w:rPr>
            </w:pPr>
          </w:p>
        </w:tc>
        <w:tc>
          <w:tcPr>
            <w:tcW w:w="567" w:type="pct"/>
            <w:gridSpan w:val="2"/>
            <w:tcBorders>
              <w:bottom w:val="single" w:sz="4" w:space="0" w:color="000000"/>
            </w:tcBorders>
            <w:vAlign w:val="bottom"/>
          </w:tcPr>
          <w:p w14:paraId="12A361DF"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bottom w:val="single" w:sz="4" w:space="0" w:color="000000"/>
            </w:tcBorders>
            <w:vAlign w:val="bottom"/>
          </w:tcPr>
          <w:p w14:paraId="20EE75DD"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bottom w:val="single" w:sz="4" w:space="0" w:color="000000"/>
            </w:tcBorders>
            <w:vAlign w:val="bottom"/>
          </w:tcPr>
          <w:p w14:paraId="772C6E8E"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bottom w:val="single" w:sz="4" w:space="0" w:color="000000"/>
            </w:tcBorders>
            <w:vAlign w:val="bottom"/>
          </w:tcPr>
          <w:p w14:paraId="7E9A4487"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bottom w:val="single" w:sz="4" w:space="0" w:color="000000"/>
            </w:tcBorders>
          </w:tcPr>
          <w:p w14:paraId="427398DE"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bottom w:val="single" w:sz="4" w:space="0" w:color="000000"/>
            </w:tcBorders>
          </w:tcPr>
          <w:p w14:paraId="7F43F47D" w14:textId="3F693719" w:rsidR="00C45FE5" w:rsidRPr="00EA10CF" w:rsidRDefault="00C45FE5">
            <w:pPr>
              <w:widowControl w:val="0"/>
              <w:pBdr>
                <w:top w:val="nil"/>
                <w:left w:val="nil"/>
                <w:bottom w:val="nil"/>
                <w:right w:val="nil"/>
                <w:between w:val="nil"/>
              </w:pBdr>
              <w:jc w:val="right"/>
              <w:rPr>
                <w:color w:val="000000"/>
              </w:rPr>
            </w:pPr>
          </w:p>
        </w:tc>
      </w:tr>
      <w:tr w:rsidR="00C45FE5" w:rsidRPr="00EA10CF" w14:paraId="4F7FA89E" w14:textId="77777777" w:rsidTr="00C45FE5">
        <w:trPr>
          <w:trHeight w:val="23"/>
        </w:trPr>
        <w:tc>
          <w:tcPr>
            <w:tcW w:w="1687" w:type="pct"/>
            <w:tcBorders>
              <w:top w:val="single" w:sz="4" w:space="0" w:color="000000"/>
            </w:tcBorders>
            <w:vAlign w:val="bottom"/>
          </w:tcPr>
          <w:p w14:paraId="4C11BCA1" w14:textId="77777777" w:rsidR="00C45FE5" w:rsidRPr="00EA10CF" w:rsidRDefault="00C45FE5" w:rsidP="001B330E">
            <w:pPr>
              <w:widowControl w:val="0"/>
              <w:pBdr>
                <w:top w:val="nil"/>
                <w:left w:val="nil"/>
                <w:bottom w:val="nil"/>
                <w:right w:val="nil"/>
                <w:between w:val="nil"/>
              </w:pBdr>
              <w:ind w:left="113" w:hanging="113"/>
              <w:rPr>
                <w:b/>
                <w:color w:val="000000"/>
              </w:rPr>
            </w:pPr>
          </w:p>
        </w:tc>
        <w:tc>
          <w:tcPr>
            <w:tcW w:w="567" w:type="pct"/>
            <w:gridSpan w:val="2"/>
            <w:tcBorders>
              <w:top w:val="single" w:sz="4" w:space="0" w:color="000000"/>
            </w:tcBorders>
            <w:vAlign w:val="bottom"/>
          </w:tcPr>
          <w:p w14:paraId="5F7E57DC"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tcBorders>
            <w:vAlign w:val="bottom"/>
          </w:tcPr>
          <w:p w14:paraId="0CFD77EE"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single" w:sz="4" w:space="0" w:color="000000"/>
            </w:tcBorders>
            <w:vAlign w:val="bottom"/>
          </w:tcPr>
          <w:p w14:paraId="72EE933D"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top w:val="single" w:sz="4" w:space="0" w:color="000000"/>
            </w:tcBorders>
            <w:vAlign w:val="bottom"/>
          </w:tcPr>
          <w:p w14:paraId="45938AB0"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tcBorders>
          </w:tcPr>
          <w:p w14:paraId="3E0439F4"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single" w:sz="4" w:space="0" w:color="000000"/>
            </w:tcBorders>
          </w:tcPr>
          <w:p w14:paraId="483C61C5" w14:textId="67BC4DDE" w:rsidR="00C45FE5" w:rsidRPr="00EA10CF" w:rsidRDefault="00C45FE5">
            <w:pPr>
              <w:widowControl w:val="0"/>
              <w:pBdr>
                <w:top w:val="nil"/>
                <w:left w:val="nil"/>
                <w:bottom w:val="nil"/>
                <w:right w:val="nil"/>
                <w:between w:val="nil"/>
              </w:pBdr>
              <w:jc w:val="right"/>
              <w:rPr>
                <w:color w:val="000000"/>
              </w:rPr>
            </w:pPr>
          </w:p>
        </w:tc>
      </w:tr>
      <w:tr w:rsidR="00C45FE5" w:rsidRPr="00EA10CF" w14:paraId="44340856" w14:textId="77777777" w:rsidTr="00C45FE5">
        <w:trPr>
          <w:trHeight w:val="23"/>
        </w:trPr>
        <w:tc>
          <w:tcPr>
            <w:tcW w:w="1687" w:type="pct"/>
            <w:vAlign w:val="bottom"/>
          </w:tcPr>
          <w:p w14:paraId="6F749E5F" w14:textId="499CCADF" w:rsidR="00C45FE5" w:rsidRPr="00EA10CF" w:rsidRDefault="00C45FE5" w:rsidP="001B330E">
            <w:pPr>
              <w:widowControl w:val="0"/>
              <w:pBdr>
                <w:top w:val="nil"/>
                <w:left w:val="nil"/>
                <w:bottom w:val="nil"/>
                <w:right w:val="nil"/>
                <w:between w:val="nil"/>
              </w:pBdr>
              <w:ind w:left="113" w:hanging="113"/>
              <w:rPr>
                <w:b/>
                <w:color w:val="000000"/>
              </w:rPr>
            </w:pPr>
            <w:r w:rsidRPr="00EA10CF">
              <w:rPr>
                <w:b/>
                <w:color w:val="000000"/>
              </w:rPr>
              <w:t>Liabilities from financing activities at 31</w:t>
            </w:r>
            <w:r>
              <w:rPr>
                <w:b/>
                <w:color w:val="000000"/>
              </w:rPr>
              <w:t> December </w:t>
            </w:r>
            <w:r w:rsidR="00541EBC">
              <w:rPr>
                <w:b/>
                <w:color w:val="000000"/>
              </w:rPr>
              <w:t>2024</w:t>
            </w:r>
          </w:p>
        </w:tc>
        <w:tc>
          <w:tcPr>
            <w:tcW w:w="567" w:type="pct"/>
            <w:gridSpan w:val="2"/>
            <w:vAlign w:val="bottom"/>
          </w:tcPr>
          <w:p w14:paraId="67EC8EB5"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792B9AAE" w14:textId="77777777" w:rsidR="00C45FE5" w:rsidRPr="00EA10CF" w:rsidRDefault="00C45FE5">
            <w:pPr>
              <w:widowControl w:val="0"/>
              <w:pBdr>
                <w:top w:val="nil"/>
                <w:left w:val="nil"/>
                <w:bottom w:val="nil"/>
                <w:right w:val="nil"/>
                <w:between w:val="nil"/>
              </w:pBdr>
              <w:jc w:val="right"/>
              <w:rPr>
                <w:color w:val="000000"/>
              </w:rPr>
            </w:pPr>
          </w:p>
        </w:tc>
        <w:tc>
          <w:tcPr>
            <w:tcW w:w="620" w:type="pct"/>
            <w:vAlign w:val="bottom"/>
          </w:tcPr>
          <w:p w14:paraId="18D9F8C1" w14:textId="77777777" w:rsidR="00C45FE5" w:rsidRPr="00EA10CF" w:rsidRDefault="00C45FE5">
            <w:pPr>
              <w:widowControl w:val="0"/>
              <w:pBdr>
                <w:top w:val="nil"/>
                <w:left w:val="nil"/>
                <w:bottom w:val="nil"/>
                <w:right w:val="nil"/>
                <w:between w:val="nil"/>
              </w:pBdr>
              <w:jc w:val="right"/>
              <w:rPr>
                <w:color w:val="000000"/>
              </w:rPr>
            </w:pPr>
          </w:p>
        </w:tc>
        <w:tc>
          <w:tcPr>
            <w:tcW w:w="548" w:type="pct"/>
            <w:vAlign w:val="bottom"/>
          </w:tcPr>
          <w:p w14:paraId="7D28BB2F"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2A2B8CBA" w14:textId="77777777" w:rsidR="00C45FE5" w:rsidRPr="00EA10CF" w:rsidRDefault="00C45FE5">
            <w:pPr>
              <w:widowControl w:val="0"/>
              <w:pBdr>
                <w:top w:val="nil"/>
                <w:left w:val="nil"/>
                <w:bottom w:val="nil"/>
                <w:right w:val="nil"/>
                <w:between w:val="nil"/>
              </w:pBdr>
              <w:jc w:val="right"/>
              <w:rPr>
                <w:color w:val="000000"/>
              </w:rPr>
            </w:pPr>
          </w:p>
        </w:tc>
        <w:tc>
          <w:tcPr>
            <w:tcW w:w="479" w:type="pct"/>
          </w:tcPr>
          <w:p w14:paraId="1EA1E752" w14:textId="43302C98" w:rsidR="00C45FE5" w:rsidRPr="00EA10CF" w:rsidRDefault="00C45FE5">
            <w:pPr>
              <w:widowControl w:val="0"/>
              <w:pBdr>
                <w:top w:val="nil"/>
                <w:left w:val="nil"/>
                <w:bottom w:val="nil"/>
                <w:right w:val="nil"/>
                <w:between w:val="nil"/>
              </w:pBdr>
              <w:jc w:val="right"/>
              <w:rPr>
                <w:color w:val="000000"/>
              </w:rPr>
            </w:pPr>
          </w:p>
        </w:tc>
      </w:tr>
      <w:tr w:rsidR="00C45FE5" w:rsidRPr="00EA10CF" w14:paraId="7B145212" w14:textId="77777777" w:rsidTr="00C45FE5">
        <w:trPr>
          <w:trHeight w:val="23"/>
        </w:trPr>
        <w:tc>
          <w:tcPr>
            <w:tcW w:w="1687" w:type="pct"/>
            <w:tcBorders>
              <w:top w:val="nil"/>
              <w:left w:val="nil"/>
              <w:bottom w:val="single" w:sz="12" w:space="0" w:color="000000"/>
              <w:right w:val="nil"/>
            </w:tcBorders>
            <w:vAlign w:val="bottom"/>
          </w:tcPr>
          <w:p w14:paraId="1B309307" w14:textId="77777777" w:rsidR="00C45FE5" w:rsidRPr="00EA10CF" w:rsidRDefault="00C45FE5" w:rsidP="001B330E">
            <w:pPr>
              <w:widowControl w:val="0"/>
              <w:pBdr>
                <w:top w:val="nil"/>
                <w:left w:val="nil"/>
                <w:bottom w:val="nil"/>
                <w:right w:val="nil"/>
                <w:between w:val="nil"/>
              </w:pBdr>
              <w:ind w:left="113" w:hanging="113"/>
              <w:rPr>
                <w:color w:val="000000"/>
              </w:rPr>
            </w:pPr>
          </w:p>
        </w:tc>
        <w:tc>
          <w:tcPr>
            <w:tcW w:w="567" w:type="pct"/>
            <w:gridSpan w:val="2"/>
            <w:tcBorders>
              <w:top w:val="nil"/>
              <w:left w:val="nil"/>
              <w:bottom w:val="single" w:sz="12" w:space="0" w:color="000000"/>
              <w:right w:val="nil"/>
            </w:tcBorders>
            <w:vAlign w:val="bottom"/>
          </w:tcPr>
          <w:p w14:paraId="31852778"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nil"/>
              <w:left w:val="nil"/>
              <w:bottom w:val="single" w:sz="12" w:space="0" w:color="000000"/>
              <w:right w:val="nil"/>
            </w:tcBorders>
            <w:vAlign w:val="bottom"/>
          </w:tcPr>
          <w:p w14:paraId="5C47FBB6" w14:textId="77777777" w:rsidR="00C45FE5" w:rsidRPr="00EA10CF" w:rsidRDefault="00C45FE5">
            <w:pPr>
              <w:widowControl w:val="0"/>
              <w:pBdr>
                <w:top w:val="nil"/>
                <w:left w:val="nil"/>
                <w:bottom w:val="nil"/>
                <w:right w:val="nil"/>
                <w:between w:val="nil"/>
              </w:pBdr>
              <w:jc w:val="right"/>
              <w:rPr>
                <w:color w:val="000000"/>
              </w:rPr>
            </w:pPr>
          </w:p>
        </w:tc>
        <w:tc>
          <w:tcPr>
            <w:tcW w:w="620" w:type="pct"/>
            <w:tcBorders>
              <w:top w:val="nil"/>
              <w:left w:val="nil"/>
              <w:bottom w:val="single" w:sz="12" w:space="0" w:color="000000"/>
              <w:right w:val="nil"/>
            </w:tcBorders>
            <w:vAlign w:val="bottom"/>
          </w:tcPr>
          <w:p w14:paraId="50905C25" w14:textId="77777777" w:rsidR="00C45FE5" w:rsidRPr="00EA10CF" w:rsidRDefault="00C45FE5">
            <w:pPr>
              <w:widowControl w:val="0"/>
              <w:pBdr>
                <w:top w:val="nil"/>
                <w:left w:val="nil"/>
                <w:bottom w:val="nil"/>
                <w:right w:val="nil"/>
                <w:between w:val="nil"/>
              </w:pBdr>
              <w:jc w:val="right"/>
              <w:rPr>
                <w:color w:val="000000"/>
              </w:rPr>
            </w:pPr>
          </w:p>
        </w:tc>
        <w:tc>
          <w:tcPr>
            <w:tcW w:w="548" w:type="pct"/>
            <w:tcBorders>
              <w:top w:val="nil"/>
              <w:left w:val="nil"/>
              <w:bottom w:val="single" w:sz="12" w:space="0" w:color="000000"/>
              <w:right w:val="nil"/>
            </w:tcBorders>
            <w:vAlign w:val="bottom"/>
          </w:tcPr>
          <w:p w14:paraId="4D2BC7EA"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nil"/>
              <w:left w:val="nil"/>
              <w:bottom w:val="single" w:sz="12" w:space="0" w:color="000000"/>
              <w:right w:val="nil"/>
            </w:tcBorders>
          </w:tcPr>
          <w:p w14:paraId="3641C47D" w14:textId="77777777" w:rsidR="00C45FE5" w:rsidRPr="00EA10CF" w:rsidRDefault="00C45FE5">
            <w:pPr>
              <w:widowControl w:val="0"/>
              <w:pBdr>
                <w:top w:val="nil"/>
                <w:left w:val="nil"/>
                <w:bottom w:val="nil"/>
                <w:right w:val="nil"/>
                <w:between w:val="nil"/>
              </w:pBdr>
              <w:jc w:val="right"/>
              <w:rPr>
                <w:color w:val="000000"/>
              </w:rPr>
            </w:pPr>
          </w:p>
        </w:tc>
        <w:tc>
          <w:tcPr>
            <w:tcW w:w="479" w:type="pct"/>
            <w:tcBorders>
              <w:top w:val="nil"/>
              <w:left w:val="nil"/>
              <w:bottom w:val="single" w:sz="12" w:space="0" w:color="000000"/>
              <w:right w:val="nil"/>
            </w:tcBorders>
          </w:tcPr>
          <w:p w14:paraId="23A138FF" w14:textId="63C27650" w:rsidR="00C45FE5" w:rsidRPr="00EA10CF" w:rsidRDefault="00C45FE5">
            <w:pPr>
              <w:widowControl w:val="0"/>
              <w:pBdr>
                <w:top w:val="nil"/>
                <w:left w:val="nil"/>
                <w:bottom w:val="nil"/>
                <w:right w:val="nil"/>
                <w:between w:val="nil"/>
              </w:pBdr>
              <w:jc w:val="right"/>
              <w:rPr>
                <w:color w:val="000000"/>
              </w:rPr>
            </w:pPr>
          </w:p>
        </w:tc>
      </w:tr>
    </w:tbl>
    <w:p w14:paraId="03A54904" w14:textId="76EEE3C2" w:rsidR="004607BE" w:rsidRDefault="004607BE" w:rsidP="001B330E">
      <w:pPr>
        <w:pStyle w:val="Heading1"/>
      </w:pPr>
      <w:bookmarkStart w:id="105" w:name="_Toc179196041"/>
      <w:r>
        <w:t>Earnings</w:t>
      </w:r>
      <w:r>
        <w:rPr>
          <w:color w:val="0000FF"/>
        </w:rPr>
        <w:t xml:space="preserve"> [Loss]</w:t>
      </w:r>
      <w:r>
        <w:t xml:space="preserve"> per Share</w:t>
      </w:r>
      <w:bookmarkEnd w:id="105"/>
    </w:p>
    <w:p w14:paraId="0A7AC559" w14:textId="37C741F8" w:rsidR="00D83E33" w:rsidRDefault="00BC4072">
      <w:pPr>
        <w:widowControl w:val="0"/>
        <w:pBdr>
          <w:top w:val="nil"/>
          <w:left w:val="nil"/>
          <w:bottom w:val="nil"/>
          <w:right w:val="nil"/>
          <w:between w:val="nil"/>
        </w:pBdr>
        <w:spacing w:before="200" w:after="200"/>
        <w:jc w:val="both"/>
        <w:rPr>
          <w:i/>
          <w:color w:val="000000"/>
          <w:sz w:val="20"/>
          <w:szCs w:val="20"/>
        </w:rPr>
      </w:pPr>
      <w:r>
        <w:rPr>
          <w:color w:val="000000"/>
          <w:sz w:val="20"/>
          <w:szCs w:val="20"/>
        </w:rPr>
        <w:t xml:space="preserve">Basic earnings/(loss) per share are calculated by dividing the profit or loss attributable to owners of the Parent by the weighted average number of ordinary shares in issue during the year, excluding treasury shares. </w:t>
      </w:r>
      <w:r>
        <w:rPr>
          <w:i/>
          <w:color w:val="000000"/>
          <w:sz w:val="20"/>
          <w:szCs w:val="20"/>
        </w:rPr>
        <w:t>[</w:t>
      </w:r>
      <w:r>
        <w:rPr>
          <w:i/>
          <w:color w:val="FF0000"/>
          <w:sz w:val="20"/>
          <w:szCs w:val="20"/>
        </w:rPr>
        <w:t>If you have a rights issue the wording above should be amended in accordance with IAS 33.]</w:t>
      </w:r>
    </w:p>
    <w:p w14:paraId="7E0CADD2" w14:textId="6CF4BB6E" w:rsidR="004607BE" w:rsidRPr="001B330E" w:rsidRDefault="004607BE" w:rsidP="001B330E">
      <w:pPr>
        <w:pStyle w:val="Continued"/>
      </w:pPr>
      <w:r w:rsidRPr="001B330E">
        <w:lastRenderedPageBreak/>
        <w:t>39</w:t>
      </w:r>
      <w:r w:rsidRPr="001B330E">
        <w:tab/>
      </w:r>
      <w:r>
        <w:t>Earnings</w:t>
      </w:r>
      <w:r>
        <w:rPr>
          <w:color w:val="0000FF"/>
        </w:rPr>
        <w:t xml:space="preserve"> [Loss]</w:t>
      </w:r>
      <w:r>
        <w:t xml:space="preserve"> per Share</w:t>
      </w:r>
      <w:r w:rsidRPr="001B330E">
        <w:t xml:space="preserve"> (</w:t>
      </w:r>
      <w:r>
        <w:t>Continued</w:t>
      </w:r>
      <w:r w:rsidRPr="001B330E">
        <w:t>)</w:t>
      </w:r>
    </w:p>
    <w:p w14:paraId="22F1B050" w14:textId="6AE726EB" w:rsidR="00D83E33" w:rsidRDefault="00BC4072">
      <w:pPr>
        <w:widowControl w:val="0"/>
        <w:pBdr>
          <w:top w:val="nil"/>
          <w:left w:val="nil"/>
          <w:bottom w:val="nil"/>
          <w:right w:val="nil"/>
          <w:between w:val="nil"/>
        </w:pBdr>
        <w:spacing w:before="200" w:after="200"/>
        <w:jc w:val="both"/>
        <w:rPr>
          <w:i/>
          <w:color w:val="000000"/>
          <w:sz w:val="20"/>
          <w:szCs w:val="20"/>
        </w:rPr>
      </w:pPr>
      <w:r>
        <w:rPr>
          <w:color w:val="000000"/>
          <w:sz w:val="20"/>
          <w:szCs w:val="20"/>
        </w:rPr>
        <w:t xml:space="preserve">The Bank has no dilutive potential ordinary shares; therefore, the diluted earnings per share equal the basic earnings per share. Earnings per share are calculated as follows: </w:t>
      </w:r>
    </w:p>
    <w:tbl>
      <w:tblPr>
        <w:tblStyle w:val="affffffffffffe"/>
        <w:tblW w:w="5000" w:type="pct"/>
        <w:tblLayout w:type="fixed"/>
        <w:tblLook w:val="0000" w:firstRow="0" w:lastRow="0" w:firstColumn="0" w:lastColumn="0" w:noHBand="0" w:noVBand="0"/>
      </w:tblPr>
      <w:tblGrid>
        <w:gridCol w:w="5673"/>
        <w:gridCol w:w="709"/>
        <w:gridCol w:w="1444"/>
        <w:gridCol w:w="1529"/>
      </w:tblGrid>
      <w:tr w:rsidR="00D83E33" w:rsidRPr="00EA10CF" w14:paraId="170F4CCB" w14:textId="77777777" w:rsidTr="00C45FE5">
        <w:trPr>
          <w:trHeight w:val="23"/>
        </w:trPr>
        <w:tc>
          <w:tcPr>
            <w:tcW w:w="3032" w:type="pct"/>
            <w:tcBorders>
              <w:bottom w:val="single" w:sz="4" w:space="0" w:color="000000"/>
            </w:tcBorders>
            <w:vAlign w:val="bottom"/>
          </w:tcPr>
          <w:p w14:paraId="2D05C3C2" w14:textId="44680D7A"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r w:rsidR="00BC4072" w:rsidRPr="00EA10CF">
              <w:rPr>
                <w:i/>
                <w:color w:val="000000"/>
              </w:rPr>
              <w:t xml:space="preserve"> except for number of shares</w:t>
            </w:r>
          </w:p>
        </w:tc>
        <w:tc>
          <w:tcPr>
            <w:tcW w:w="379" w:type="pct"/>
            <w:tcBorders>
              <w:bottom w:val="single" w:sz="4" w:space="0" w:color="000000"/>
            </w:tcBorders>
            <w:vAlign w:val="bottom"/>
          </w:tcPr>
          <w:p w14:paraId="5133A305"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w:t>
            </w:r>
          </w:p>
        </w:tc>
        <w:tc>
          <w:tcPr>
            <w:tcW w:w="772" w:type="pct"/>
            <w:tcBorders>
              <w:bottom w:val="single" w:sz="4" w:space="0" w:color="000000"/>
            </w:tcBorders>
            <w:vAlign w:val="bottom"/>
          </w:tcPr>
          <w:p w14:paraId="4501E3D6" w14:textId="1F1FBA56"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7" w:type="pct"/>
            <w:tcBorders>
              <w:bottom w:val="single" w:sz="4" w:space="0" w:color="000000"/>
            </w:tcBorders>
            <w:vAlign w:val="bottom"/>
          </w:tcPr>
          <w:p w14:paraId="748E6D98" w14:textId="1F3C293F"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64CAC6BD" w14:textId="77777777" w:rsidTr="00C45FE5">
        <w:trPr>
          <w:trHeight w:val="23"/>
        </w:trPr>
        <w:tc>
          <w:tcPr>
            <w:tcW w:w="3032" w:type="pct"/>
            <w:vAlign w:val="bottom"/>
          </w:tcPr>
          <w:p w14:paraId="4101C2D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79" w:type="pct"/>
            <w:vAlign w:val="bottom"/>
          </w:tcPr>
          <w:p w14:paraId="7B9D7E2F"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63FED279" w14:textId="77777777" w:rsidR="00D83E33" w:rsidRPr="00EA10CF" w:rsidRDefault="00D83E33">
            <w:pPr>
              <w:widowControl w:val="0"/>
              <w:pBdr>
                <w:top w:val="nil"/>
                <w:left w:val="nil"/>
                <w:bottom w:val="nil"/>
                <w:right w:val="nil"/>
                <w:between w:val="nil"/>
              </w:pBdr>
              <w:jc w:val="right"/>
              <w:rPr>
                <w:color w:val="000000"/>
              </w:rPr>
            </w:pPr>
          </w:p>
        </w:tc>
        <w:tc>
          <w:tcPr>
            <w:tcW w:w="817" w:type="pct"/>
            <w:vAlign w:val="bottom"/>
          </w:tcPr>
          <w:p w14:paraId="41DD607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EFBD027" w14:textId="77777777" w:rsidTr="00C45FE5">
        <w:trPr>
          <w:trHeight w:val="23"/>
        </w:trPr>
        <w:tc>
          <w:tcPr>
            <w:tcW w:w="3032" w:type="pct"/>
            <w:vAlign w:val="bottom"/>
          </w:tcPr>
          <w:p w14:paraId="5237371F" w14:textId="369025CD"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Profit/(loss) for the year attributable to </w:t>
            </w:r>
            <w:r w:rsidR="008B4E15" w:rsidRPr="00EA10CF">
              <w:rPr>
                <w:color w:val="000000"/>
              </w:rPr>
              <w:t xml:space="preserve">the </w:t>
            </w:r>
            <w:r w:rsidRPr="00EA10CF">
              <w:rPr>
                <w:color w:val="000000"/>
              </w:rPr>
              <w:t>shareholders</w:t>
            </w:r>
            <w:r w:rsidR="008B4E15" w:rsidRPr="00EA10CF">
              <w:rPr>
                <w:color w:val="000000"/>
              </w:rPr>
              <w:t xml:space="preserve"> of the </w:t>
            </w:r>
            <w:r w:rsidR="0008089B" w:rsidRPr="00EA10CF">
              <w:rPr>
                <w:color w:val="000000"/>
              </w:rPr>
              <w:t>Bank</w:t>
            </w:r>
          </w:p>
        </w:tc>
        <w:tc>
          <w:tcPr>
            <w:tcW w:w="379" w:type="pct"/>
            <w:vAlign w:val="bottom"/>
          </w:tcPr>
          <w:p w14:paraId="2B4A80C5"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643ADD9B" w14:textId="77777777" w:rsidR="00D83E33" w:rsidRPr="00EA10CF" w:rsidRDefault="00D83E33">
            <w:pPr>
              <w:widowControl w:val="0"/>
              <w:pBdr>
                <w:top w:val="nil"/>
                <w:left w:val="nil"/>
                <w:bottom w:val="nil"/>
                <w:right w:val="nil"/>
                <w:between w:val="nil"/>
              </w:pBdr>
              <w:jc w:val="right"/>
              <w:rPr>
                <w:color w:val="000000"/>
              </w:rPr>
            </w:pPr>
          </w:p>
        </w:tc>
        <w:tc>
          <w:tcPr>
            <w:tcW w:w="817" w:type="pct"/>
            <w:vAlign w:val="bottom"/>
          </w:tcPr>
          <w:p w14:paraId="41546D8F" w14:textId="77777777" w:rsidR="00D83E33" w:rsidRPr="00EA10CF" w:rsidRDefault="00D83E33">
            <w:pPr>
              <w:widowControl w:val="0"/>
              <w:pBdr>
                <w:top w:val="nil"/>
                <w:left w:val="nil"/>
                <w:bottom w:val="nil"/>
                <w:right w:val="nil"/>
                <w:between w:val="nil"/>
              </w:pBdr>
              <w:jc w:val="right"/>
              <w:rPr>
                <w:color w:val="000000"/>
              </w:rPr>
            </w:pPr>
          </w:p>
        </w:tc>
      </w:tr>
      <w:tr w:rsidR="008B4E15" w:rsidRPr="00EA10CF" w14:paraId="214FC9E3" w14:textId="77777777" w:rsidTr="00C45FE5">
        <w:trPr>
          <w:trHeight w:val="23"/>
        </w:trPr>
        <w:tc>
          <w:tcPr>
            <w:tcW w:w="3032" w:type="pct"/>
            <w:vAlign w:val="bottom"/>
          </w:tcPr>
          <w:p w14:paraId="7D6D53C3" w14:textId="77777777" w:rsidR="008B4E15" w:rsidRPr="00EA10CF" w:rsidRDefault="008B4E15" w:rsidP="001B330E">
            <w:pPr>
              <w:widowControl w:val="0"/>
              <w:pBdr>
                <w:top w:val="nil"/>
                <w:left w:val="nil"/>
                <w:bottom w:val="nil"/>
                <w:right w:val="nil"/>
                <w:between w:val="nil"/>
              </w:pBdr>
              <w:ind w:left="113" w:hanging="113"/>
              <w:rPr>
                <w:color w:val="000000"/>
              </w:rPr>
            </w:pPr>
            <w:r w:rsidRPr="00EA10CF">
              <w:rPr>
                <w:color w:val="000000"/>
              </w:rPr>
              <w:t>Less preference dividends declared</w:t>
            </w:r>
          </w:p>
          <w:p w14:paraId="663359BF" w14:textId="77777777" w:rsidR="0008089B" w:rsidRPr="00EA10CF" w:rsidRDefault="0008089B" w:rsidP="001B330E">
            <w:pPr>
              <w:widowControl w:val="0"/>
              <w:pBdr>
                <w:top w:val="nil"/>
                <w:left w:val="nil"/>
                <w:bottom w:val="nil"/>
                <w:right w:val="nil"/>
                <w:between w:val="nil"/>
              </w:pBdr>
              <w:ind w:left="113" w:hanging="113"/>
              <w:rPr>
                <w:color w:val="000000"/>
              </w:rPr>
            </w:pPr>
            <w:r w:rsidRPr="00EA10CF">
              <w:rPr>
                <w:color w:val="000000"/>
              </w:rPr>
              <w:t>Less undistributed profit or loss for the year attributable to preference shareholders based on terms of the shares</w:t>
            </w:r>
          </w:p>
        </w:tc>
        <w:tc>
          <w:tcPr>
            <w:tcW w:w="379" w:type="pct"/>
            <w:vAlign w:val="bottom"/>
          </w:tcPr>
          <w:p w14:paraId="5B06E29B" w14:textId="77777777" w:rsidR="008B4E15" w:rsidRPr="00EA10CF" w:rsidRDefault="008B4E15">
            <w:pPr>
              <w:widowControl w:val="0"/>
              <w:pBdr>
                <w:top w:val="nil"/>
                <w:left w:val="nil"/>
                <w:bottom w:val="nil"/>
                <w:right w:val="nil"/>
                <w:between w:val="nil"/>
              </w:pBdr>
              <w:jc w:val="center"/>
              <w:rPr>
                <w:color w:val="000000"/>
              </w:rPr>
            </w:pPr>
          </w:p>
        </w:tc>
        <w:tc>
          <w:tcPr>
            <w:tcW w:w="772" w:type="pct"/>
            <w:vAlign w:val="bottom"/>
          </w:tcPr>
          <w:p w14:paraId="32303591" w14:textId="77777777" w:rsidR="008B4E15" w:rsidRPr="00EA10CF" w:rsidRDefault="008B4E15">
            <w:pPr>
              <w:widowControl w:val="0"/>
              <w:pBdr>
                <w:top w:val="nil"/>
                <w:left w:val="nil"/>
                <w:bottom w:val="nil"/>
                <w:right w:val="nil"/>
                <w:between w:val="nil"/>
              </w:pBdr>
              <w:jc w:val="right"/>
              <w:rPr>
                <w:color w:val="000000"/>
              </w:rPr>
            </w:pPr>
          </w:p>
        </w:tc>
        <w:tc>
          <w:tcPr>
            <w:tcW w:w="817" w:type="pct"/>
            <w:vAlign w:val="bottom"/>
          </w:tcPr>
          <w:p w14:paraId="7E83CCAB" w14:textId="77777777" w:rsidR="008B4E15" w:rsidRPr="00EA10CF" w:rsidRDefault="008B4E15">
            <w:pPr>
              <w:widowControl w:val="0"/>
              <w:pBdr>
                <w:top w:val="nil"/>
                <w:left w:val="nil"/>
                <w:bottom w:val="nil"/>
                <w:right w:val="nil"/>
                <w:between w:val="nil"/>
              </w:pBdr>
              <w:jc w:val="right"/>
              <w:rPr>
                <w:color w:val="000000"/>
              </w:rPr>
            </w:pPr>
          </w:p>
        </w:tc>
      </w:tr>
      <w:tr w:rsidR="008B4E15" w:rsidRPr="00EA10CF" w14:paraId="06346FC9" w14:textId="77777777" w:rsidTr="00C45FE5">
        <w:trPr>
          <w:trHeight w:val="23"/>
        </w:trPr>
        <w:tc>
          <w:tcPr>
            <w:tcW w:w="3032" w:type="pct"/>
            <w:vAlign w:val="bottom"/>
          </w:tcPr>
          <w:p w14:paraId="0D00D66B" w14:textId="77777777" w:rsidR="008B4E15" w:rsidRPr="00EA10CF" w:rsidRDefault="008B4E15" w:rsidP="001B330E">
            <w:pPr>
              <w:widowControl w:val="0"/>
              <w:pBdr>
                <w:top w:val="nil"/>
                <w:left w:val="nil"/>
                <w:bottom w:val="nil"/>
                <w:right w:val="nil"/>
                <w:between w:val="nil"/>
              </w:pBdr>
              <w:ind w:left="113" w:hanging="113"/>
              <w:rPr>
                <w:color w:val="000000"/>
              </w:rPr>
            </w:pPr>
            <w:r w:rsidRPr="00EA10CF">
              <w:rPr>
                <w:color w:val="000000"/>
              </w:rPr>
              <w:t>Less interest payments on perpetual subordinated loan</w:t>
            </w:r>
          </w:p>
        </w:tc>
        <w:tc>
          <w:tcPr>
            <w:tcW w:w="379" w:type="pct"/>
            <w:vAlign w:val="bottom"/>
          </w:tcPr>
          <w:p w14:paraId="742E8F40" w14:textId="77777777" w:rsidR="008B4E15" w:rsidRPr="00EA10CF" w:rsidRDefault="008B4E15">
            <w:pPr>
              <w:widowControl w:val="0"/>
              <w:pBdr>
                <w:top w:val="nil"/>
                <w:left w:val="nil"/>
                <w:bottom w:val="nil"/>
                <w:right w:val="nil"/>
                <w:between w:val="nil"/>
              </w:pBdr>
              <w:jc w:val="center"/>
              <w:rPr>
                <w:color w:val="000000"/>
              </w:rPr>
            </w:pPr>
          </w:p>
        </w:tc>
        <w:tc>
          <w:tcPr>
            <w:tcW w:w="772" w:type="pct"/>
            <w:vAlign w:val="bottom"/>
          </w:tcPr>
          <w:p w14:paraId="393A75EC" w14:textId="77777777" w:rsidR="008B4E15" w:rsidRPr="00EA10CF" w:rsidRDefault="008B4E15">
            <w:pPr>
              <w:widowControl w:val="0"/>
              <w:pBdr>
                <w:top w:val="nil"/>
                <w:left w:val="nil"/>
                <w:bottom w:val="nil"/>
                <w:right w:val="nil"/>
                <w:between w:val="nil"/>
              </w:pBdr>
              <w:jc w:val="right"/>
              <w:rPr>
                <w:color w:val="000000"/>
              </w:rPr>
            </w:pPr>
          </w:p>
        </w:tc>
        <w:tc>
          <w:tcPr>
            <w:tcW w:w="817" w:type="pct"/>
            <w:vAlign w:val="bottom"/>
          </w:tcPr>
          <w:p w14:paraId="12CAB953" w14:textId="77777777" w:rsidR="008B4E15" w:rsidRPr="00EA10CF" w:rsidRDefault="008B4E15">
            <w:pPr>
              <w:widowControl w:val="0"/>
              <w:pBdr>
                <w:top w:val="nil"/>
                <w:left w:val="nil"/>
                <w:bottom w:val="nil"/>
                <w:right w:val="nil"/>
                <w:between w:val="nil"/>
              </w:pBdr>
              <w:jc w:val="right"/>
              <w:rPr>
                <w:color w:val="000000"/>
              </w:rPr>
            </w:pPr>
          </w:p>
        </w:tc>
      </w:tr>
      <w:tr w:rsidR="00C45FE5" w:rsidRPr="00EA10CF" w14:paraId="5B3CFD66" w14:textId="77777777" w:rsidTr="00C45FE5">
        <w:trPr>
          <w:trHeight w:val="23"/>
        </w:trPr>
        <w:tc>
          <w:tcPr>
            <w:tcW w:w="3032" w:type="pct"/>
            <w:vAlign w:val="bottom"/>
          </w:tcPr>
          <w:p w14:paraId="559B5B14" w14:textId="77777777" w:rsidR="00C45FE5" w:rsidRPr="00EA10CF" w:rsidRDefault="00C45FE5" w:rsidP="001B330E">
            <w:pPr>
              <w:widowControl w:val="0"/>
              <w:pBdr>
                <w:top w:val="nil"/>
                <w:left w:val="nil"/>
                <w:bottom w:val="nil"/>
                <w:right w:val="nil"/>
                <w:between w:val="nil"/>
              </w:pBdr>
              <w:ind w:left="113" w:hanging="113"/>
              <w:rPr>
                <w:color w:val="000000"/>
              </w:rPr>
            </w:pPr>
          </w:p>
        </w:tc>
        <w:tc>
          <w:tcPr>
            <w:tcW w:w="379" w:type="pct"/>
            <w:vAlign w:val="bottom"/>
          </w:tcPr>
          <w:p w14:paraId="4401FA50" w14:textId="77777777" w:rsidR="00C45FE5" w:rsidRPr="00EA10CF" w:rsidRDefault="00C45FE5">
            <w:pPr>
              <w:widowControl w:val="0"/>
              <w:pBdr>
                <w:top w:val="nil"/>
                <w:left w:val="nil"/>
                <w:bottom w:val="nil"/>
                <w:right w:val="nil"/>
                <w:between w:val="nil"/>
              </w:pBdr>
              <w:jc w:val="center"/>
              <w:rPr>
                <w:color w:val="000000"/>
              </w:rPr>
            </w:pPr>
          </w:p>
        </w:tc>
        <w:tc>
          <w:tcPr>
            <w:tcW w:w="772" w:type="pct"/>
            <w:vAlign w:val="bottom"/>
          </w:tcPr>
          <w:p w14:paraId="1AECA60F" w14:textId="77777777" w:rsidR="00C45FE5" w:rsidRPr="00EA10CF" w:rsidRDefault="00C45FE5">
            <w:pPr>
              <w:widowControl w:val="0"/>
              <w:pBdr>
                <w:top w:val="nil"/>
                <w:left w:val="nil"/>
                <w:bottom w:val="nil"/>
                <w:right w:val="nil"/>
                <w:between w:val="nil"/>
              </w:pBdr>
              <w:jc w:val="right"/>
              <w:rPr>
                <w:color w:val="000000"/>
              </w:rPr>
            </w:pPr>
          </w:p>
        </w:tc>
        <w:tc>
          <w:tcPr>
            <w:tcW w:w="817" w:type="pct"/>
            <w:vAlign w:val="bottom"/>
          </w:tcPr>
          <w:p w14:paraId="03AB3C82" w14:textId="77777777" w:rsidR="00C45FE5" w:rsidRPr="00EA10CF" w:rsidRDefault="00C45FE5">
            <w:pPr>
              <w:widowControl w:val="0"/>
              <w:pBdr>
                <w:top w:val="nil"/>
                <w:left w:val="nil"/>
                <w:bottom w:val="nil"/>
                <w:right w:val="nil"/>
                <w:between w:val="nil"/>
              </w:pBdr>
              <w:jc w:val="right"/>
              <w:rPr>
                <w:color w:val="000000"/>
              </w:rPr>
            </w:pPr>
          </w:p>
        </w:tc>
      </w:tr>
      <w:tr w:rsidR="00D83E33" w:rsidRPr="00EA10CF" w14:paraId="30798EEA" w14:textId="77777777" w:rsidTr="00C45FE5">
        <w:trPr>
          <w:trHeight w:val="23"/>
        </w:trPr>
        <w:tc>
          <w:tcPr>
            <w:tcW w:w="3032" w:type="pct"/>
            <w:tcBorders>
              <w:top w:val="single" w:sz="4" w:space="0" w:color="000000"/>
            </w:tcBorders>
            <w:vAlign w:val="bottom"/>
          </w:tcPr>
          <w:p w14:paraId="5F77ECA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79" w:type="pct"/>
            <w:tcBorders>
              <w:top w:val="single" w:sz="4" w:space="0" w:color="000000"/>
            </w:tcBorders>
            <w:vAlign w:val="bottom"/>
          </w:tcPr>
          <w:p w14:paraId="16BEC1C0" w14:textId="77777777" w:rsidR="00D83E33" w:rsidRPr="00EA10CF" w:rsidRDefault="00D83E33">
            <w:pPr>
              <w:widowControl w:val="0"/>
              <w:pBdr>
                <w:top w:val="nil"/>
                <w:left w:val="nil"/>
                <w:bottom w:val="nil"/>
                <w:right w:val="nil"/>
                <w:between w:val="nil"/>
              </w:pBdr>
              <w:jc w:val="center"/>
              <w:rPr>
                <w:color w:val="000000"/>
              </w:rPr>
            </w:pPr>
          </w:p>
        </w:tc>
        <w:tc>
          <w:tcPr>
            <w:tcW w:w="772" w:type="pct"/>
            <w:tcBorders>
              <w:top w:val="single" w:sz="4" w:space="0" w:color="000000"/>
            </w:tcBorders>
            <w:vAlign w:val="bottom"/>
          </w:tcPr>
          <w:p w14:paraId="2F1B98A0" w14:textId="77777777" w:rsidR="00D83E33" w:rsidRPr="00EA10CF" w:rsidRDefault="00D83E33">
            <w:pPr>
              <w:widowControl w:val="0"/>
              <w:pBdr>
                <w:top w:val="nil"/>
                <w:left w:val="nil"/>
                <w:bottom w:val="nil"/>
                <w:right w:val="nil"/>
                <w:between w:val="nil"/>
              </w:pBdr>
              <w:jc w:val="right"/>
              <w:rPr>
                <w:color w:val="000000"/>
              </w:rPr>
            </w:pPr>
          </w:p>
        </w:tc>
        <w:tc>
          <w:tcPr>
            <w:tcW w:w="817" w:type="pct"/>
            <w:tcBorders>
              <w:top w:val="single" w:sz="4" w:space="0" w:color="000000"/>
            </w:tcBorders>
            <w:vAlign w:val="bottom"/>
          </w:tcPr>
          <w:p w14:paraId="50BAFC9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38503B5" w14:textId="77777777" w:rsidTr="00C45FE5">
        <w:trPr>
          <w:trHeight w:val="23"/>
        </w:trPr>
        <w:tc>
          <w:tcPr>
            <w:tcW w:w="3032" w:type="pct"/>
            <w:vAlign w:val="bottom"/>
          </w:tcPr>
          <w:p w14:paraId="426C8139" w14:textId="5306F2C0"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Profit or loss for the year attributable to the</w:t>
            </w:r>
            <w:r w:rsidR="008B4E15" w:rsidRPr="00EA10CF">
              <w:rPr>
                <w:color w:val="000000"/>
              </w:rPr>
              <w:t xml:space="preserve"> ordinary shareholders of the Bank</w:t>
            </w:r>
          </w:p>
        </w:tc>
        <w:tc>
          <w:tcPr>
            <w:tcW w:w="379" w:type="pct"/>
            <w:vAlign w:val="bottom"/>
          </w:tcPr>
          <w:p w14:paraId="57A635DB"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1E6CFDB5" w14:textId="77777777" w:rsidR="00D83E33" w:rsidRPr="00EA10CF" w:rsidRDefault="00D83E33">
            <w:pPr>
              <w:widowControl w:val="0"/>
              <w:pBdr>
                <w:top w:val="nil"/>
                <w:left w:val="nil"/>
                <w:bottom w:val="nil"/>
                <w:right w:val="nil"/>
                <w:between w:val="nil"/>
              </w:pBdr>
              <w:jc w:val="right"/>
              <w:rPr>
                <w:color w:val="000000"/>
              </w:rPr>
            </w:pPr>
          </w:p>
        </w:tc>
        <w:tc>
          <w:tcPr>
            <w:tcW w:w="817" w:type="pct"/>
            <w:vAlign w:val="bottom"/>
          </w:tcPr>
          <w:p w14:paraId="564DD8D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9F81503" w14:textId="77777777" w:rsidTr="00C45FE5">
        <w:trPr>
          <w:trHeight w:val="23"/>
        </w:trPr>
        <w:tc>
          <w:tcPr>
            <w:tcW w:w="3032" w:type="pct"/>
            <w:tcBorders>
              <w:bottom w:val="single" w:sz="12" w:space="0" w:color="000000"/>
            </w:tcBorders>
            <w:shd w:val="clear" w:color="auto" w:fill="auto"/>
            <w:vAlign w:val="bottom"/>
          </w:tcPr>
          <w:p w14:paraId="20EBE86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79" w:type="pct"/>
            <w:tcBorders>
              <w:bottom w:val="single" w:sz="12" w:space="0" w:color="000000"/>
            </w:tcBorders>
            <w:shd w:val="clear" w:color="auto" w:fill="auto"/>
            <w:vAlign w:val="bottom"/>
          </w:tcPr>
          <w:p w14:paraId="1540AE36" w14:textId="77777777" w:rsidR="00D83E33" w:rsidRPr="00EA10CF" w:rsidRDefault="00D83E33">
            <w:pPr>
              <w:widowControl w:val="0"/>
              <w:pBdr>
                <w:top w:val="nil"/>
                <w:left w:val="nil"/>
                <w:bottom w:val="nil"/>
                <w:right w:val="nil"/>
                <w:between w:val="nil"/>
              </w:pBdr>
              <w:jc w:val="center"/>
              <w:rPr>
                <w:color w:val="000000"/>
              </w:rPr>
            </w:pPr>
          </w:p>
        </w:tc>
        <w:tc>
          <w:tcPr>
            <w:tcW w:w="772" w:type="pct"/>
            <w:tcBorders>
              <w:bottom w:val="single" w:sz="12" w:space="0" w:color="000000"/>
            </w:tcBorders>
            <w:shd w:val="clear" w:color="auto" w:fill="auto"/>
            <w:vAlign w:val="bottom"/>
          </w:tcPr>
          <w:p w14:paraId="6D6816D2" w14:textId="77777777" w:rsidR="00D83E33" w:rsidRPr="00EA10CF" w:rsidRDefault="00D83E33">
            <w:pPr>
              <w:widowControl w:val="0"/>
              <w:pBdr>
                <w:top w:val="nil"/>
                <w:left w:val="nil"/>
                <w:bottom w:val="nil"/>
                <w:right w:val="nil"/>
                <w:between w:val="nil"/>
              </w:pBdr>
              <w:jc w:val="right"/>
              <w:rPr>
                <w:color w:val="000000"/>
              </w:rPr>
            </w:pPr>
          </w:p>
        </w:tc>
        <w:tc>
          <w:tcPr>
            <w:tcW w:w="817" w:type="pct"/>
            <w:tcBorders>
              <w:bottom w:val="single" w:sz="12" w:space="0" w:color="000000"/>
            </w:tcBorders>
            <w:shd w:val="clear" w:color="auto" w:fill="auto"/>
            <w:vAlign w:val="bottom"/>
          </w:tcPr>
          <w:p w14:paraId="4D4061E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D6F9F7" w14:textId="77777777" w:rsidTr="00C45FE5">
        <w:trPr>
          <w:trHeight w:val="23"/>
        </w:trPr>
        <w:tc>
          <w:tcPr>
            <w:tcW w:w="3032" w:type="pct"/>
            <w:tcBorders>
              <w:top w:val="single" w:sz="4" w:space="0" w:color="000000"/>
            </w:tcBorders>
            <w:vAlign w:val="bottom"/>
          </w:tcPr>
          <w:p w14:paraId="7D4ADBD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79" w:type="pct"/>
            <w:tcBorders>
              <w:top w:val="single" w:sz="4" w:space="0" w:color="000000"/>
            </w:tcBorders>
            <w:vAlign w:val="bottom"/>
          </w:tcPr>
          <w:p w14:paraId="3BE1D44D" w14:textId="77777777" w:rsidR="00D83E33" w:rsidRPr="00EA10CF" w:rsidRDefault="00D83E33">
            <w:pPr>
              <w:widowControl w:val="0"/>
              <w:pBdr>
                <w:top w:val="nil"/>
                <w:left w:val="nil"/>
                <w:bottom w:val="nil"/>
                <w:right w:val="nil"/>
                <w:between w:val="nil"/>
              </w:pBdr>
              <w:jc w:val="center"/>
              <w:rPr>
                <w:color w:val="000000"/>
              </w:rPr>
            </w:pPr>
          </w:p>
        </w:tc>
        <w:tc>
          <w:tcPr>
            <w:tcW w:w="772" w:type="pct"/>
            <w:tcBorders>
              <w:top w:val="single" w:sz="4" w:space="0" w:color="000000"/>
            </w:tcBorders>
            <w:vAlign w:val="bottom"/>
          </w:tcPr>
          <w:p w14:paraId="619A632A" w14:textId="77777777" w:rsidR="00D83E33" w:rsidRPr="00EA10CF" w:rsidRDefault="00D83E33">
            <w:pPr>
              <w:widowControl w:val="0"/>
              <w:pBdr>
                <w:top w:val="nil"/>
                <w:left w:val="nil"/>
                <w:bottom w:val="nil"/>
                <w:right w:val="nil"/>
                <w:between w:val="nil"/>
              </w:pBdr>
              <w:jc w:val="right"/>
              <w:rPr>
                <w:color w:val="000000"/>
              </w:rPr>
            </w:pPr>
          </w:p>
        </w:tc>
        <w:tc>
          <w:tcPr>
            <w:tcW w:w="817" w:type="pct"/>
            <w:tcBorders>
              <w:top w:val="single" w:sz="4" w:space="0" w:color="000000"/>
            </w:tcBorders>
            <w:vAlign w:val="bottom"/>
          </w:tcPr>
          <w:p w14:paraId="7ADB304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278D79C" w14:textId="77777777" w:rsidTr="00C45FE5">
        <w:trPr>
          <w:trHeight w:val="23"/>
        </w:trPr>
        <w:tc>
          <w:tcPr>
            <w:tcW w:w="3032" w:type="pct"/>
            <w:vAlign w:val="bottom"/>
          </w:tcPr>
          <w:p w14:paraId="6340562A" w14:textId="40CCEF18"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Weighted average number of ordinary shares in issue (thousands) </w:t>
            </w:r>
          </w:p>
        </w:tc>
        <w:tc>
          <w:tcPr>
            <w:tcW w:w="379" w:type="pct"/>
            <w:vAlign w:val="bottom"/>
          </w:tcPr>
          <w:p w14:paraId="36367681" w14:textId="77777777" w:rsidR="00D83E33" w:rsidRPr="00EA10CF" w:rsidRDefault="00BC4072">
            <w:pPr>
              <w:widowControl w:val="0"/>
              <w:pBdr>
                <w:top w:val="nil"/>
                <w:left w:val="nil"/>
                <w:bottom w:val="nil"/>
                <w:right w:val="nil"/>
                <w:between w:val="nil"/>
              </w:pBdr>
              <w:jc w:val="center"/>
              <w:rPr>
                <w:color w:val="000000"/>
              </w:rPr>
            </w:pPr>
            <w:r w:rsidRPr="00EA10CF">
              <w:rPr>
                <w:color w:val="000000"/>
              </w:rPr>
              <w:t>29</w:t>
            </w:r>
          </w:p>
        </w:tc>
        <w:tc>
          <w:tcPr>
            <w:tcW w:w="772" w:type="pct"/>
            <w:vAlign w:val="bottom"/>
          </w:tcPr>
          <w:p w14:paraId="626D0642" w14:textId="77777777" w:rsidR="00D83E33" w:rsidRPr="00EA10CF" w:rsidRDefault="00D83E33">
            <w:pPr>
              <w:widowControl w:val="0"/>
              <w:pBdr>
                <w:top w:val="nil"/>
                <w:left w:val="nil"/>
                <w:bottom w:val="nil"/>
                <w:right w:val="nil"/>
                <w:between w:val="nil"/>
              </w:pBdr>
              <w:jc w:val="right"/>
              <w:rPr>
                <w:color w:val="000000"/>
              </w:rPr>
            </w:pPr>
          </w:p>
        </w:tc>
        <w:tc>
          <w:tcPr>
            <w:tcW w:w="817" w:type="pct"/>
            <w:vAlign w:val="bottom"/>
          </w:tcPr>
          <w:p w14:paraId="0B95F23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4290049" w14:textId="77777777" w:rsidTr="00C45FE5">
        <w:trPr>
          <w:trHeight w:val="23"/>
        </w:trPr>
        <w:tc>
          <w:tcPr>
            <w:tcW w:w="3032" w:type="pct"/>
            <w:vAlign w:val="bottom"/>
          </w:tcPr>
          <w:p w14:paraId="447751F9" w14:textId="77777777" w:rsidR="00D83E33" w:rsidRPr="00EA10CF" w:rsidRDefault="00BC4072" w:rsidP="001B330E">
            <w:pPr>
              <w:widowControl w:val="0"/>
              <w:ind w:left="113" w:hanging="113"/>
            </w:pPr>
            <w:r w:rsidRPr="00EA10CF">
              <w:t> </w:t>
            </w:r>
          </w:p>
        </w:tc>
        <w:tc>
          <w:tcPr>
            <w:tcW w:w="379" w:type="pct"/>
            <w:vAlign w:val="bottom"/>
          </w:tcPr>
          <w:p w14:paraId="3090A5AF"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383102EA"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4B49AAC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818BDA3" w14:textId="77777777" w:rsidTr="00C45FE5">
        <w:trPr>
          <w:trHeight w:val="23"/>
        </w:trPr>
        <w:tc>
          <w:tcPr>
            <w:tcW w:w="3032" w:type="pct"/>
            <w:vAlign w:val="bottom"/>
          </w:tcPr>
          <w:p w14:paraId="13FCDD9E" w14:textId="51C74221"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Basic and diluted earnings/(loss) per ordinary share (expressed in </w:t>
            </w:r>
            <w:r w:rsidR="00D73799">
              <w:rPr>
                <w:b/>
                <w:color w:val="000000"/>
              </w:rPr>
              <w:t>EUR</w:t>
            </w:r>
            <w:r w:rsidRPr="00EA10CF">
              <w:rPr>
                <w:b/>
                <w:color w:val="000000"/>
              </w:rPr>
              <w:t> per share)</w:t>
            </w:r>
          </w:p>
        </w:tc>
        <w:tc>
          <w:tcPr>
            <w:tcW w:w="379" w:type="pct"/>
            <w:vAlign w:val="bottom"/>
          </w:tcPr>
          <w:p w14:paraId="66CEBBDB"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2409A903" w14:textId="77777777" w:rsidR="00D83E33" w:rsidRPr="00EA10CF" w:rsidRDefault="00D83E33">
            <w:pPr>
              <w:widowControl w:val="0"/>
              <w:pBdr>
                <w:top w:val="nil"/>
                <w:left w:val="nil"/>
                <w:bottom w:val="nil"/>
                <w:right w:val="nil"/>
                <w:between w:val="nil"/>
              </w:pBdr>
              <w:jc w:val="right"/>
              <w:rPr>
                <w:b/>
                <w:color w:val="000000"/>
              </w:rPr>
            </w:pPr>
          </w:p>
        </w:tc>
        <w:tc>
          <w:tcPr>
            <w:tcW w:w="817" w:type="pct"/>
            <w:vAlign w:val="bottom"/>
          </w:tcPr>
          <w:p w14:paraId="21A5938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8393E16" w14:textId="77777777" w:rsidTr="00C45FE5">
        <w:trPr>
          <w:trHeight w:val="23"/>
        </w:trPr>
        <w:tc>
          <w:tcPr>
            <w:tcW w:w="3032" w:type="pct"/>
            <w:tcBorders>
              <w:bottom w:val="single" w:sz="12" w:space="0" w:color="000000"/>
            </w:tcBorders>
            <w:vAlign w:val="bottom"/>
          </w:tcPr>
          <w:p w14:paraId="4893F926" w14:textId="77777777" w:rsidR="00D83E33" w:rsidRPr="00EA10CF" w:rsidRDefault="00BC4072" w:rsidP="001B330E">
            <w:pPr>
              <w:widowControl w:val="0"/>
              <w:ind w:left="113" w:hanging="113"/>
            </w:pPr>
            <w:r w:rsidRPr="00EA10CF">
              <w:t> </w:t>
            </w:r>
          </w:p>
        </w:tc>
        <w:tc>
          <w:tcPr>
            <w:tcW w:w="379" w:type="pct"/>
            <w:tcBorders>
              <w:bottom w:val="single" w:sz="12" w:space="0" w:color="000000"/>
            </w:tcBorders>
            <w:vAlign w:val="bottom"/>
          </w:tcPr>
          <w:p w14:paraId="6FCA0955" w14:textId="77777777" w:rsidR="00D83E33" w:rsidRPr="00EA10CF" w:rsidRDefault="00D83E33">
            <w:pPr>
              <w:widowControl w:val="0"/>
              <w:pBdr>
                <w:top w:val="nil"/>
                <w:left w:val="nil"/>
                <w:bottom w:val="nil"/>
                <w:right w:val="nil"/>
                <w:between w:val="nil"/>
              </w:pBdr>
              <w:jc w:val="center"/>
              <w:rPr>
                <w:color w:val="000000"/>
              </w:rPr>
            </w:pPr>
          </w:p>
        </w:tc>
        <w:tc>
          <w:tcPr>
            <w:tcW w:w="772" w:type="pct"/>
            <w:tcBorders>
              <w:bottom w:val="single" w:sz="12" w:space="0" w:color="000000"/>
            </w:tcBorders>
            <w:vAlign w:val="bottom"/>
          </w:tcPr>
          <w:p w14:paraId="34D4FC9D" w14:textId="77777777" w:rsidR="00D83E33" w:rsidRPr="00EA10CF" w:rsidRDefault="00D83E33">
            <w:pPr>
              <w:widowControl w:val="0"/>
              <w:pBdr>
                <w:top w:val="nil"/>
                <w:left w:val="nil"/>
                <w:bottom w:val="nil"/>
                <w:right w:val="nil"/>
                <w:between w:val="nil"/>
              </w:pBdr>
              <w:jc w:val="right"/>
              <w:rPr>
                <w:b/>
                <w:color w:val="000000"/>
                <w:u w:val="single"/>
              </w:rPr>
            </w:pPr>
          </w:p>
        </w:tc>
        <w:tc>
          <w:tcPr>
            <w:tcW w:w="817" w:type="pct"/>
            <w:tcBorders>
              <w:bottom w:val="single" w:sz="12" w:space="0" w:color="000000"/>
            </w:tcBorders>
            <w:vAlign w:val="bottom"/>
          </w:tcPr>
          <w:p w14:paraId="69EBDAE4" w14:textId="77777777" w:rsidR="00D83E33" w:rsidRPr="00EA10CF" w:rsidRDefault="00D83E33">
            <w:pPr>
              <w:widowControl w:val="0"/>
              <w:pBdr>
                <w:top w:val="nil"/>
                <w:left w:val="nil"/>
                <w:bottom w:val="nil"/>
                <w:right w:val="nil"/>
                <w:between w:val="nil"/>
              </w:pBdr>
              <w:jc w:val="right"/>
              <w:rPr>
                <w:b/>
                <w:color w:val="000000"/>
              </w:rPr>
            </w:pPr>
          </w:p>
        </w:tc>
      </w:tr>
    </w:tbl>
    <w:p w14:paraId="63A3CB57" w14:textId="77777777" w:rsidR="00D83E33" w:rsidRDefault="00BC4072" w:rsidP="001B330E">
      <w:pPr>
        <w:pStyle w:val="Heading1"/>
      </w:pPr>
      <w:bookmarkStart w:id="106" w:name="_Toc83818345"/>
      <w:bookmarkStart w:id="107" w:name="_Toc83913984"/>
      <w:bookmarkStart w:id="108" w:name="_Toc83917450"/>
      <w:bookmarkStart w:id="109" w:name="_heading=h.4k668n3" w:colFirst="0" w:colLast="0"/>
      <w:bookmarkStart w:id="110" w:name="_Toc83818346"/>
      <w:bookmarkStart w:id="111" w:name="_Toc83913985"/>
      <w:bookmarkStart w:id="112" w:name="_Toc83917451"/>
      <w:bookmarkStart w:id="113" w:name="_Toc179196042"/>
      <w:bookmarkEnd w:id="106"/>
      <w:bookmarkEnd w:id="107"/>
      <w:bookmarkEnd w:id="108"/>
      <w:bookmarkEnd w:id="109"/>
      <w:bookmarkEnd w:id="110"/>
      <w:bookmarkEnd w:id="111"/>
      <w:bookmarkEnd w:id="112"/>
      <w:r w:rsidRPr="004607BE">
        <w:t>Segment</w:t>
      </w:r>
      <w:r>
        <w:t xml:space="preserve"> Analysis</w:t>
      </w:r>
      <w:bookmarkEnd w:id="113"/>
    </w:p>
    <w:p w14:paraId="6BE11C5B" w14:textId="0B7A8FAD"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Operating segments are components that engage in business activities that may earn revenues or incur expenses, whose operating results are regularly reviewed by the chief operating decision maker (CODM), and for which discrete financial information is available. The CODM is the person ‒ or group of persons ‒ who allocates resources and assesses the performance for the entity. The functions of the CODM are performed by </w:t>
      </w:r>
      <w:r>
        <w:rPr>
          <w:color w:val="0000FF"/>
          <w:sz w:val="20"/>
          <w:szCs w:val="20"/>
        </w:rPr>
        <w:t>[the Board of Directors (management board)]</w:t>
      </w:r>
      <w:r>
        <w:rPr>
          <w:color w:val="000000"/>
          <w:sz w:val="20"/>
          <w:szCs w:val="20"/>
        </w:rPr>
        <w:t xml:space="preserve"> of the Group. </w:t>
      </w:r>
    </w:p>
    <w:p w14:paraId="3609BB55" w14:textId="77777777" w:rsidR="00D83E33" w:rsidRDefault="00BC4072">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(a) </w:t>
      </w:r>
      <w:r>
        <w:rPr>
          <w:b/>
          <w:i/>
          <w:color w:val="000000"/>
          <w:sz w:val="20"/>
          <w:szCs w:val="20"/>
        </w:rPr>
        <w:tab/>
        <w:t>Description of products and services from which each reportable segment derives its revenue</w:t>
      </w:r>
    </w:p>
    <w:p w14:paraId="2E64717D"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is organised on the basis of </w:t>
      </w:r>
      <w:r>
        <w:rPr>
          <w:color w:val="0000FF"/>
          <w:sz w:val="20"/>
          <w:szCs w:val="20"/>
        </w:rPr>
        <w:t>[three]</w:t>
      </w:r>
      <w:r>
        <w:rPr>
          <w:color w:val="000000"/>
          <w:sz w:val="20"/>
          <w:szCs w:val="20"/>
        </w:rPr>
        <w:t xml:space="preserve"> main business segments: </w:t>
      </w:r>
    </w:p>
    <w:p w14:paraId="5E62986F"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Retail banking – representing private banking services, private customer current accounts, savings, deposits, investment savings products, custody, credit and debit cards, consumer loans and mortgages;</w:t>
      </w:r>
    </w:p>
    <w:p w14:paraId="077EB3DE"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Corporate banking – representing direct debit facilities, current accounts, deposits, overdrafts, loan and other credit facilities, foreign currency and derivative products; </w:t>
      </w:r>
    </w:p>
    <w:p w14:paraId="22C70173"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Investment banking – representing financial instruments trading, structured financing, corporate leasing, merger and acquisitions advice. </w:t>
      </w:r>
    </w:p>
    <w:p w14:paraId="478F5C4A"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(b)</w:t>
      </w:r>
      <w:r>
        <w:rPr>
          <w:b/>
          <w:i/>
          <w:color w:val="000000"/>
          <w:sz w:val="20"/>
          <w:szCs w:val="20"/>
        </w:rPr>
        <w:tab/>
        <w:t>Factors that management used to identify the reportable segments</w:t>
      </w:r>
    </w:p>
    <w:p w14:paraId="61D44F9C"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Group’s segments are strategic business units that focus on different customers. They are managed separately because each business unit requires different </w:t>
      </w:r>
      <w:r>
        <w:rPr>
          <w:color w:val="0000FF"/>
          <w:sz w:val="20"/>
          <w:szCs w:val="20"/>
        </w:rPr>
        <w:t>[marketing strategies and service level]</w:t>
      </w:r>
      <w:r>
        <w:rPr>
          <w:color w:val="000000"/>
          <w:sz w:val="20"/>
          <w:szCs w:val="20"/>
        </w:rPr>
        <w:t xml:space="preserve">. </w:t>
      </w:r>
    </w:p>
    <w:p w14:paraId="1E75E52F" w14:textId="77777777" w:rsidR="004607BE" w:rsidRDefault="004607BE" w:rsidP="001B330E">
      <w:pPr>
        <w:pStyle w:val="Continued"/>
      </w:pPr>
      <w:r>
        <w:lastRenderedPageBreak/>
        <w:t>40</w:t>
      </w:r>
      <w:r>
        <w:tab/>
        <w:t>Segment Analysis (Continued)</w:t>
      </w:r>
    </w:p>
    <w:p w14:paraId="28FEED83" w14:textId="77777777" w:rsidR="00D83E33" w:rsidRDefault="00BC4072">
      <w:pPr>
        <w:widowControl w:val="0"/>
        <w:pBdr>
          <w:top w:val="nil"/>
          <w:left w:val="nil"/>
          <w:bottom w:val="nil"/>
          <w:right w:val="nil"/>
          <w:between w:val="nil"/>
        </w:pBdr>
        <w:spacing w:before="200" w:after="200"/>
        <w:jc w:val="both"/>
        <w:rPr>
          <w:b/>
          <w:i/>
          <w:color w:val="000000"/>
          <w:sz w:val="20"/>
          <w:szCs w:val="20"/>
        </w:rPr>
      </w:pPr>
      <w:r>
        <w:rPr>
          <w:color w:val="000000"/>
          <w:sz w:val="20"/>
          <w:szCs w:val="20"/>
        </w:rPr>
        <w:t xml:space="preserve">Segment financial information reviewed by the CODM includes </w:t>
      </w:r>
      <w:r>
        <w:rPr>
          <w:color w:val="0000FF"/>
          <w:sz w:val="20"/>
          <w:szCs w:val="20"/>
        </w:rPr>
        <w:t>[loans and advances to customers]</w:t>
      </w:r>
      <w:r>
        <w:rPr>
          <w:color w:val="000000"/>
          <w:sz w:val="20"/>
          <w:szCs w:val="20"/>
        </w:rPr>
        <w:t xml:space="preserve"> of the Group’s subsidiaries, but not their results and other items in the statement of financial position. Regular review of these subsidiary banks is delegated to the local management teams. The CODM obtains financial statements of the Group’s subsidiaries. Such financial information overlaps with segment analysis provided internally to the CODM. Management, therefore, applied the core principle of IFRS 8 “Operating Segments”, in determining which of the overlapping financial information sets should form the basis of operating segments. Management considered that information on subsidiary banks is available less frequently in concluding that segments exclude details of the subsidiaries other than information about </w:t>
      </w:r>
      <w:r>
        <w:rPr>
          <w:color w:val="0000FF"/>
          <w:sz w:val="20"/>
          <w:szCs w:val="20"/>
        </w:rPr>
        <w:t>[their loan portfolios]</w:t>
      </w:r>
      <w:r>
        <w:rPr>
          <w:color w:val="000000"/>
          <w:sz w:val="20"/>
          <w:szCs w:val="20"/>
        </w:rPr>
        <w:t>.</w:t>
      </w:r>
    </w:p>
    <w:p w14:paraId="56EA8C43"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(c)</w:t>
      </w:r>
      <w:r>
        <w:rPr>
          <w:b/>
          <w:i/>
          <w:color w:val="000000"/>
          <w:sz w:val="20"/>
          <w:szCs w:val="20"/>
        </w:rPr>
        <w:tab/>
        <w:t>Measurement of operating segment profit or loss, assets and liabilities</w:t>
      </w:r>
    </w:p>
    <w:p w14:paraId="7F13BFBA" w14:textId="538F3C8C"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CODM reviews financial information prepared based on </w:t>
      </w:r>
      <w:r w:rsidR="00372E26">
        <w:rPr>
          <w:color w:val="000000"/>
          <w:sz w:val="20"/>
          <w:szCs w:val="20"/>
        </w:rPr>
        <w:t>[Country]</w:t>
      </w:r>
      <w:r>
        <w:rPr>
          <w:color w:val="000000"/>
          <w:sz w:val="20"/>
          <w:szCs w:val="20"/>
        </w:rPr>
        <w:t xml:space="preserve"> </w:t>
      </w:r>
      <w:r w:rsidR="00192497">
        <w:rPr>
          <w:color w:val="000000"/>
          <w:sz w:val="20"/>
          <w:szCs w:val="20"/>
        </w:rPr>
        <w:t>A</w:t>
      </w:r>
      <w:r>
        <w:rPr>
          <w:color w:val="000000"/>
          <w:sz w:val="20"/>
          <w:szCs w:val="20"/>
        </w:rPr>
        <w:t xml:space="preserve">ccounting </w:t>
      </w:r>
      <w:r w:rsidR="00192497">
        <w:rPr>
          <w:color w:val="000000"/>
          <w:sz w:val="20"/>
          <w:szCs w:val="20"/>
        </w:rPr>
        <w:t xml:space="preserve">Rules </w:t>
      </w:r>
      <w:r>
        <w:rPr>
          <w:color w:val="000000"/>
          <w:sz w:val="20"/>
          <w:szCs w:val="20"/>
        </w:rPr>
        <w:t xml:space="preserve">adjusted to meet the requirements of internal reporting. Such financial information differs in certain aspects from </w:t>
      </w:r>
      <w:r w:rsidR="00192497">
        <w:rPr>
          <w:color w:val="000000"/>
          <w:sz w:val="20"/>
          <w:szCs w:val="20"/>
        </w:rPr>
        <w:t>IFRS</w:t>
      </w:r>
      <w:r>
        <w:rPr>
          <w:color w:val="000000"/>
          <w:sz w:val="20"/>
          <w:szCs w:val="20"/>
        </w:rPr>
        <w:t xml:space="preserve">: </w:t>
      </w:r>
    </w:p>
    <w:p w14:paraId="33AF3729" w14:textId="77777777" w:rsidR="00D83E33" w:rsidRDefault="00BC4072">
      <w:pPr>
        <w:widowControl w:val="0"/>
        <w:numPr>
          <w:ilvl w:val="0"/>
          <w:numId w:val="4"/>
        </w:numPr>
        <w:pBdr>
          <w:top w:val="nil"/>
          <w:left w:val="nil"/>
          <w:bottom w:val="nil"/>
          <w:right w:val="nil"/>
          <w:between w:val="nil"/>
        </w:pBdr>
        <w:spacing w:before="100" w:after="100"/>
        <w:ind w:left="567" w:hanging="567"/>
        <w:jc w:val="both"/>
        <w:rPr>
          <w:color w:val="000000"/>
          <w:sz w:val="20"/>
          <w:szCs w:val="20"/>
        </w:rPr>
      </w:pPr>
      <w:r>
        <w:rPr>
          <w:color w:val="000000"/>
          <w:sz w:val="20"/>
          <w:szCs w:val="20"/>
        </w:rPr>
        <w:t xml:space="preserve">the fair value changes in securities carried at FVOCI are reported within the segments’ profits or losses rather than in other comprehensive income; </w:t>
      </w:r>
    </w:p>
    <w:p w14:paraId="63E3EBA5" w14:textId="77777777" w:rsidR="00D83E33" w:rsidRDefault="00BC4072">
      <w:pPr>
        <w:widowControl w:val="0"/>
        <w:numPr>
          <w:ilvl w:val="0"/>
          <w:numId w:val="4"/>
        </w:numPr>
        <w:pBdr>
          <w:top w:val="nil"/>
          <w:left w:val="nil"/>
          <w:bottom w:val="nil"/>
          <w:right w:val="nil"/>
          <w:between w:val="nil"/>
        </w:pBdr>
        <w:spacing w:before="100" w:after="100"/>
        <w:ind w:left="567" w:hanging="567"/>
        <w:jc w:val="both"/>
        <w:rPr>
          <w:color w:val="000000"/>
          <w:sz w:val="20"/>
          <w:szCs w:val="20"/>
        </w:rPr>
      </w:pPr>
      <w:r>
        <w:rPr>
          <w:color w:val="000000"/>
          <w:sz w:val="20"/>
          <w:szCs w:val="20"/>
        </w:rPr>
        <w:t>funds are generally reallocated between segments at internal interest rates set by the treasury department, which are determined by reference to market interest rate benchmarks, contractual maturities for loans and observed actual maturities of customer accounts balances;</w:t>
      </w:r>
    </w:p>
    <w:p w14:paraId="39D40B48" w14:textId="77777777" w:rsidR="00D83E33" w:rsidRDefault="00BC4072">
      <w:pPr>
        <w:widowControl w:val="0"/>
        <w:numPr>
          <w:ilvl w:val="0"/>
          <w:numId w:val="4"/>
        </w:numPr>
        <w:pBdr>
          <w:top w:val="nil"/>
          <w:left w:val="nil"/>
          <w:bottom w:val="nil"/>
          <w:right w:val="nil"/>
          <w:between w:val="nil"/>
        </w:pBdr>
        <w:spacing w:before="100" w:after="100"/>
        <w:ind w:left="567" w:hanging="567"/>
        <w:jc w:val="both"/>
        <w:rPr>
          <w:color w:val="000000"/>
          <w:sz w:val="20"/>
          <w:szCs w:val="20"/>
        </w:rPr>
      </w:pPr>
      <w:r>
        <w:rPr>
          <w:color w:val="000000"/>
          <w:sz w:val="20"/>
          <w:szCs w:val="20"/>
        </w:rPr>
        <w:t xml:space="preserve">income taxes are not allocated to segments; </w:t>
      </w:r>
    </w:p>
    <w:p w14:paraId="16C1AA0B" w14:textId="55E9AE14" w:rsidR="00D83E33" w:rsidRDefault="00BC4072">
      <w:pPr>
        <w:widowControl w:val="0"/>
        <w:numPr>
          <w:ilvl w:val="0"/>
          <w:numId w:val="4"/>
        </w:numPr>
        <w:pBdr>
          <w:top w:val="nil"/>
          <w:left w:val="nil"/>
          <w:bottom w:val="nil"/>
          <w:right w:val="nil"/>
          <w:between w:val="nil"/>
        </w:pBdr>
        <w:spacing w:before="100" w:after="100"/>
        <w:ind w:left="567" w:hanging="567"/>
        <w:jc w:val="both"/>
        <w:rPr>
          <w:color w:val="000000"/>
          <w:sz w:val="20"/>
          <w:szCs w:val="20"/>
        </w:rPr>
      </w:pPr>
      <w:r>
        <w:rPr>
          <w:color w:val="000000"/>
          <w:sz w:val="20"/>
          <w:szCs w:val="20"/>
        </w:rPr>
        <w:t xml:space="preserve">loan provisions are recognised based IFRS 9 and interpretations issued by the </w:t>
      </w:r>
      <w:r w:rsidR="00613F4D">
        <w:rPr>
          <w:color w:val="000000"/>
          <w:sz w:val="20"/>
          <w:szCs w:val="20"/>
        </w:rPr>
        <w:t>NBC</w:t>
      </w:r>
      <w:r>
        <w:rPr>
          <w:color w:val="000000"/>
          <w:sz w:val="20"/>
          <w:szCs w:val="20"/>
        </w:rPr>
        <w:t>, and can be different from provisions reported under IFRS;</w:t>
      </w:r>
    </w:p>
    <w:p w14:paraId="1EA51627" w14:textId="77777777" w:rsidR="00D83E33" w:rsidRDefault="00BC4072">
      <w:pPr>
        <w:widowControl w:val="0"/>
        <w:numPr>
          <w:ilvl w:val="0"/>
          <w:numId w:val="4"/>
        </w:numPr>
        <w:pBdr>
          <w:top w:val="nil"/>
          <w:left w:val="nil"/>
          <w:bottom w:val="nil"/>
          <w:right w:val="nil"/>
          <w:between w:val="nil"/>
        </w:pBdr>
        <w:spacing w:before="100" w:after="100"/>
        <w:ind w:left="567" w:hanging="567"/>
        <w:jc w:val="both"/>
        <w:rPr>
          <w:color w:val="000000"/>
          <w:sz w:val="20"/>
          <w:szCs w:val="20"/>
        </w:rPr>
      </w:pPr>
      <w:r>
        <w:rPr>
          <w:color w:val="000000"/>
          <w:sz w:val="20"/>
          <w:szCs w:val="20"/>
        </w:rPr>
        <w:t>commission income relating to lending is recognised immediately rather than deferred using the effective interest method; and</w:t>
      </w:r>
    </w:p>
    <w:p w14:paraId="3E4FABD0" w14:textId="77777777" w:rsidR="00D83E33" w:rsidRDefault="00BC4072" w:rsidP="001B330E">
      <w:pPr>
        <w:widowControl w:val="0"/>
        <w:numPr>
          <w:ilvl w:val="0"/>
          <w:numId w:val="4"/>
        </w:numPr>
        <w:pBdr>
          <w:top w:val="nil"/>
          <w:left w:val="nil"/>
          <w:bottom w:val="nil"/>
          <w:right w:val="nil"/>
          <w:between w:val="nil"/>
        </w:pBdr>
        <w:spacing w:before="100" w:after="200"/>
        <w:ind w:left="567" w:hanging="567"/>
        <w:jc w:val="both"/>
        <w:rPr>
          <w:color w:val="000000"/>
          <w:sz w:val="20"/>
          <w:szCs w:val="20"/>
        </w:rPr>
      </w:pPr>
      <w:r>
        <w:rPr>
          <w:color w:val="000000"/>
          <w:sz w:val="20"/>
          <w:szCs w:val="20"/>
        </w:rPr>
        <w:t>liabilities for the Group’s post-employment obligations are not recognised.</w:t>
      </w:r>
    </w:p>
    <w:p w14:paraId="536E0E91"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CODM evaluates performance of each segment based on </w:t>
      </w:r>
      <w:r>
        <w:rPr>
          <w:color w:val="0000FF"/>
          <w:sz w:val="20"/>
          <w:szCs w:val="20"/>
        </w:rPr>
        <w:t>[profit before tax]</w:t>
      </w:r>
      <w:r>
        <w:rPr>
          <w:color w:val="000000"/>
          <w:sz w:val="20"/>
          <w:szCs w:val="20"/>
        </w:rPr>
        <w:t>.</w:t>
      </w:r>
    </w:p>
    <w:p w14:paraId="4031B049"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(d) </w:t>
      </w:r>
      <w:r>
        <w:rPr>
          <w:b/>
          <w:i/>
          <w:color w:val="000000"/>
          <w:sz w:val="20"/>
          <w:szCs w:val="20"/>
        </w:rPr>
        <w:tab/>
        <w:t>Information about reportable segment profit or loss, assets and liabilities</w:t>
      </w:r>
    </w:p>
    <w:p w14:paraId="4D44B1AB" w14:textId="62070B9C"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Segment information for the reportable segments for the year ended 31</w:t>
      </w:r>
      <w:r w:rsidR="00181687">
        <w:rPr>
          <w:color w:val="000000"/>
          <w:sz w:val="20"/>
          <w:szCs w:val="20"/>
        </w:rPr>
        <w:t> December </w:t>
      </w:r>
      <w:r w:rsidR="00541EBC">
        <w:rPr>
          <w:color w:val="000000"/>
          <w:sz w:val="20"/>
          <w:szCs w:val="20"/>
        </w:rPr>
        <w:t>2024</w:t>
      </w:r>
      <w:r>
        <w:rPr>
          <w:color w:val="000000"/>
          <w:sz w:val="20"/>
          <w:szCs w:val="20"/>
        </w:rPr>
        <w:t xml:space="preserve"> is set out below:</w:t>
      </w:r>
    </w:p>
    <w:tbl>
      <w:tblPr>
        <w:tblStyle w:val="afffffffffffff0"/>
        <w:tblW w:w="5000" w:type="pct"/>
        <w:tblLayout w:type="fixed"/>
        <w:tblLook w:val="0000" w:firstRow="0" w:lastRow="0" w:firstColumn="0" w:lastColumn="0" w:noHBand="0" w:noVBand="0"/>
      </w:tblPr>
      <w:tblGrid>
        <w:gridCol w:w="2890"/>
        <w:gridCol w:w="1077"/>
        <w:gridCol w:w="1078"/>
        <w:gridCol w:w="1078"/>
        <w:gridCol w:w="1078"/>
        <w:gridCol w:w="1078"/>
        <w:gridCol w:w="1076"/>
      </w:tblGrid>
      <w:tr w:rsidR="00D83E33" w:rsidRPr="00EA10CF" w14:paraId="44A233C3" w14:textId="77777777" w:rsidTr="001B330E">
        <w:trPr>
          <w:trHeight w:val="23"/>
        </w:trPr>
        <w:tc>
          <w:tcPr>
            <w:tcW w:w="1545" w:type="pct"/>
            <w:tcBorders>
              <w:bottom w:val="single" w:sz="4" w:space="0" w:color="000000"/>
            </w:tcBorders>
            <w:vAlign w:val="bottom"/>
          </w:tcPr>
          <w:p w14:paraId="5F60BC18" w14:textId="2CFD8F50" w:rsidR="00D83E33" w:rsidRPr="00EA10CF" w:rsidRDefault="00313B4D" w:rsidP="001B330E">
            <w:pPr>
              <w:widowControl w:val="0"/>
              <w:pBdr>
                <w:top w:val="nil"/>
                <w:left w:val="nil"/>
                <w:bottom w:val="nil"/>
                <w:right w:val="nil"/>
                <w:between w:val="nil"/>
              </w:pBdr>
              <w:ind w:left="113" w:right="-113" w:hanging="113"/>
              <w:rPr>
                <w:i/>
                <w:color w:val="000000"/>
              </w:rPr>
            </w:pPr>
            <w:r>
              <w:rPr>
                <w:i/>
                <w:color w:val="000000"/>
              </w:rPr>
              <w:t xml:space="preserve">In thousands of </w:t>
            </w:r>
            <w:r w:rsidR="002649EE">
              <w:rPr>
                <w:i/>
                <w:color w:val="000000"/>
              </w:rPr>
              <w:t>EUR</w:t>
            </w:r>
          </w:p>
        </w:tc>
        <w:tc>
          <w:tcPr>
            <w:tcW w:w="576" w:type="pct"/>
            <w:tcBorders>
              <w:bottom w:val="single" w:sz="4" w:space="0" w:color="000000"/>
            </w:tcBorders>
          </w:tcPr>
          <w:p w14:paraId="1D1CCFCB"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Retail</w:t>
            </w:r>
          </w:p>
          <w:p w14:paraId="755C67E0"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banking</w:t>
            </w:r>
          </w:p>
        </w:tc>
        <w:tc>
          <w:tcPr>
            <w:tcW w:w="576" w:type="pct"/>
            <w:tcBorders>
              <w:bottom w:val="single" w:sz="4" w:space="0" w:color="000000"/>
            </w:tcBorders>
          </w:tcPr>
          <w:p w14:paraId="7509E100"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Corporate banking</w:t>
            </w:r>
          </w:p>
        </w:tc>
        <w:tc>
          <w:tcPr>
            <w:tcW w:w="576" w:type="pct"/>
            <w:tcBorders>
              <w:bottom w:val="single" w:sz="4" w:space="0" w:color="000000"/>
            </w:tcBorders>
          </w:tcPr>
          <w:p w14:paraId="1709BB1B"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Investment banking</w:t>
            </w:r>
          </w:p>
        </w:tc>
        <w:tc>
          <w:tcPr>
            <w:tcW w:w="576" w:type="pct"/>
            <w:tcBorders>
              <w:bottom w:val="single" w:sz="4" w:space="0" w:color="000000"/>
            </w:tcBorders>
          </w:tcPr>
          <w:p w14:paraId="6B5BC942" w14:textId="77777777" w:rsidR="00D83E33" w:rsidRPr="00EA10CF" w:rsidRDefault="00BC4072">
            <w:pPr>
              <w:widowControl w:val="0"/>
              <w:pBdr>
                <w:top w:val="nil"/>
                <w:left w:val="nil"/>
                <w:bottom w:val="nil"/>
                <w:right w:val="nil"/>
                <w:between w:val="nil"/>
              </w:pBdr>
              <w:ind w:left="-113"/>
              <w:jc w:val="right"/>
              <w:rPr>
                <w:b/>
                <w:color w:val="0000FF"/>
              </w:rPr>
            </w:pPr>
            <w:r w:rsidRPr="00EA10CF">
              <w:rPr>
                <w:b/>
                <w:color w:val="0000FF"/>
              </w:rPr>
              <w:t>[Other]</w:t>
            </w:r>
          </w:p>
        </w:tc>
        <w:tc>
          <w:tcPr>
            <w:tcW w:w="576" w:type="pct"/>
            <w:tcBorders>
              <w:bottom w:val="single" w:sz="4" w:space="0" w:color="000000"/>
            </w:tcBorders>
          </w:tcPr>
          <w:p w14:paraId="3B44C9A2"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Elimina-tions</w:t>
            </w:r>
          </w:p>
        </w:tc>
        <w:tc>
          <w:tcPr>
            <w:tcW w:w="575" w:type="pct"/>
            <w:tcBorders>
              <w:bottom w:val="single" w:sz="4" w:space="0" w:color="000000"/>
            </w:tcBorders>
          </w:tcPr>
          <w:p w14:paraId="58F831FA"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Total</w:t>
            </w:r>
          </w:p>
        </w:tc>
      </w:tr>
      <w:tr w:rsidR="00D83E33" w:rsidRPr="00EA10CF" w14:paraId="41723238" w14:textId="77777777" w:rsidTr="001B330E">
        <w:trPr>
          <w:trHeight w:val="23"/>
        </w:trPr>
        <w:tc>
          <w:tcPr>
            <w:tcW w:w="1545" w:type="pct"/>
            <w:tcBorders>
              <w:top w:val="single" w:sz="4" w:space="0" w:color="000000"/>
            </w:tcBorders>
            <w:vAlign w:val="bottom"/>
          </w:tcPr>
          <w:p w14:paraId="1DA8A7EB"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color w:val="000000"/>
              </w:rPr>
              <w:t> </w:t>
            </w:r>
          </w:p>
        </w:tc>
        <w:tc>
          <w:tcPr>
            <w:tcW w:w="576" w:type="pct"/>
            <w:tcBorders>
              <w:top w:val="single" w:sz="4" w:space="0" w:color="000000"/>
            </w:tcBorders>
          </w:tcPr>
          <w:p w14:paraId="6A3EA14F" w14:textId="77777777" w:rsidR="00D83E33" w:rsidRPr="00EA10CF" w:rsidRDefault="00D83E33" w:rsidP="001B330E">
            <w:pPr>
              <w:widowControl w:val="0"/>
              <w:pBdr>
                <w:top w:val="nil"/>
                <w:left w:val="nil"/>
                <w:bottom w:val="nil"/>
                <w:right w:val="nil"/>
                <w:between w:val="nil"/>
              </w:pBdr>
              <w:jc w:val="right"/>
              <w:rPr>
                <w:color w:val="000000"/>
              </w:rPr>
            </w:pPr>
          </w:p>
        </w:tc>
        <w:tc>
          <w:tcPr>
            <w:tcW w:w="576" w:type="pct"/>
            <w:tcBorders>
              <w:top w:val="single" w:sz="4" w:space="0" w:color="000000"/>
            </w:tcBorders>
          </w:tcPr>
          <w:p w14:paraId="7FBF43B7" w14:textId="77777777" w:rsidR="00D83E33" w:rsidRPr="00EA10CF" w:rsidRDefault="00D83E33" w:rsidP="001B330E">
            <w:pPr>
              <w:widowControl w:val="0"/>
              <w:pBdr>
                <w:top w:val="nil"/>
                <w:left w:val="nil"/>
                <w:bottom w:val="nil"/>
                <w:right w:val="nil"/>
                <w:between w:val="nil"/>
              </w:pBdr>
              <w:jc w:val="right"/>
              <w:rPr>
                <w:color w:val="000000"/>
              </w:rPr>
            </w:pPr>
          </w:p>
        </w:tc>
        <w:tc>
          <w:tcPr>
            <w:tcW w:w="576" w:type="pct"/>
            <w:tcBorders>
              <w:top w:val="single" w:sz="4" w:space="0" w:color="000000"/>
            </w:tcBorders>
          </w:tcPr>
          <w:p w14:paraId="6795B286" w14:textId="77777777" w:rsidR="00D83E33" w:rsidRPr="00EA10CF" w:rsidRDefault="00D83E33" w:rsidP="001B330E">
            <w:pPr>
              <w:widowControl w:val="0"/>
              <w:pBdr>
                <w:top w:val="nil"/>
                <w:left w:val="nil"/>
                <w:bottom w:val="nil"/>
                <w:right w:val="nil"/>
                <w:between w:val="nil"/>
              </w:pBdr>
              <w:jc w:val="right"/>
              <w:rPr>
                <w:color w:val="000000"/>
              </w:rPr>
            </w:pPr>
          </w:p>
        </w:tc>
        <w:tc>
          <w:tcPr>
            <w:tcW w:w="576" w:type="pct"/>
            <w:tcBorders>
              <w:top w:val="single" w:sz="4" w:space="0" w:color="000000"/>
            </w:tcBorders>
          </w:tcPr>
          <w:p w14:paraId="74EEA002" w14:textId="77777777" w:rsidR="00D83E33" w:rsidRPr="00EA10CF" w:rsidRDefault="00D83E33" w:rsidP="001B330E">
            <w:pPr>
              <w:widowControl w:val="0"/>
              <w:pBdr>
                <w:top w:val="nil"/>
                <w:left w:val="nil"/>
                <w:bottom w:val="nil"/>
                <w:right w:val="nil"/>
                <w:between w:val="nil"/>
              </w:pBdr>
              <w:jc w:val="right"/>
              <w:rPr>
                <w:color w:val="000000"/>
              </w:rPr>
            </w:pPr>
          </w:p>
        </w:tc>
        <w:tc>
          <w:tcPr>
            <w:tcW w:w="576" w:type="pct"/>
            <w:tcBorders>
              <w:top w:val="single" w:sz="4" w:space="0" w:color="000000"/>
            </w:tcBorders>
          </w:tcPr>
          <w:p w14:paraId="017D6B0F" w14:textId="77777777" w:rsidR="00D83E33" w:rsidRPr="00EA10CF" w:rsidRDefault="00D83E33" w:rsidP="001B330E">
            <w:pPr>
              <w:widowControl w:val="0"/>
              <w:pBdr>
                <w:top w:val="nil"/>
                <w:left w:val="nil"/>
                <w:bottom w:val="nil"/>
                <w:right w:val="nil"/>
                <w:between w:val="nil"/>
              </w:pBdr>
              <w:jc w:val="right"/>
              <w:rPr>
                <w:color w:val="000000"/>
              </w:rPr>
            </w:pPr>
          </w:p>
        </w:tc>
        <w:tc>
          <w:tcPr>
            <w:tcW w:w="575" w:type="pct"/>
            <w:tcBorders>
              <w:top w:val="single" w:sz="4" w:space="0" w:color="000000"/>
            </w:tcBorders>
          </w:tcPr>
          <w:p w14:paraId="4380DB8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369F745" w14:textId="77777777" w:rsidTr="001B330E">
        <w:trPr>
          <w:trHeight w:val="23"/>
        </w:trPr>
        <w:tc>
          <w:tcPr>
            <w:tcW w:w="1545" w:type="pct"/>
            <w:vAlign w:val="bottom"/>
          </w:tcPr>
          <w:p w14:paraId="54FD566C"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color w:val="000000"/>
              </w:rPr>
              <w:t>Non-current assets held for sale (or disposal groups)</w:t>
            </w:r>
          </w:p>
        </w:tc>
        <w:tc>
          <w:tcPr>
            <w:tcW w:w="576" w:type="pct"/>
            <w:vAlign w:val="bottom"/>
          </w:tcPr>
          <w:p w14:paraId="15E96366"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359704B1"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7D9BBC76"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5A99E39E"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5CBDFBD7" w14:textId="77777777" w:rsidR="00D83E33" w:rsidRPr="00EA10CF" w:rsidRDefault="00D83E33">
            <w:pPr>
              <w:widowControl w:val="0"/>
              <w:pBdr>
                <w:top w:val="nil"/>
                <w:left w:val="nil"/>
                <w:bottom w:val="nil"/>
                <w:right w:val="nil"/>
                <w:between w:val="nil"/>
              </w:pBdr>
              <w:jc w:val="right"/>
              <w:rPr>
                <w:b/>
                <w:color w:val="000000"/>
              </w:rPr>
            </w:pPr>
          </w:p>
        </w:tc>
        <w:tc>
          <w:tcPr>
            <w:tcW w:w="575" w:type="pct"/>
            <w:vAlign w:val="bottom"/>
          </w:tcPr>
          <w:p w14:paraId="7F733FF8"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7A00FE1" w14:textId="77777777" w:rsidTr="001B330E">
        <w:trPr>
          <w:trHeight w:val="23"/>
        </w:trPr>
        <w:tc>
          <w:tcPr>
            <w:tcW w:w="1545" w:type="pct"/>
            <w:vAlign w:val="bottom"/>
          </w:tcPr>
          <w:p w14:paraId="133FD462"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color w:val="000000"/>
              </w:rPr>
              <w:t xml:space="preserve">Investment in associates </w:t>
            </w:r>
          </w:p>
        </w:tc>
        <w:tc>
          <w:tcPr>
            <w:tcW w:w="576" w:type="pct"/>
            <w:vAlign w:val="bottom"/>
          </w:tcPr>
          <w:p w14:paraId="12C35D9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BE92C5C"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B57B77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F26156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30F69FC"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161950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5C4C7D4" w14:textId="77777777" w:rsidTr="001B330E">
        <w:trPr>
          <w:trHeight w:val="23"/>
        </w:trPr>
        <w:tc>
          <w:tcPr>
            <w:tcW w:w="1545" w:type="pct"/>
            <w:vAlign w:val="bottom"/>
          </w:tcPr>
          <w:p w14:paraId="428E03C1"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color w:val="0000FF"/>
              </w:rPr>
              <w:t>[Other]</w:t>
            </w:r>
            <w:r w:rsidRPr="00EA10CF">
              <w:rPr>
                <w:color w:val="4F81BD"/>
              </w:rPr>
              <w:t xml:space="preserve"> </w:t>
            </w:r>
            <w:r w:rsidRPr="00EA10CF">
              <w:rPr>
                <w:color w:val="000000"/>
              </w:rPr>
              <w:t>reportable segment assets</w:t>
            </w:r>
          </w:p>
        </w:tc>
        <w:tc>
          <w:tcPr>
            <w:tcW w:w="576" w:type="pct"/>
            <w:vAlign w:val="bottom"/>
          </w:tcPr>
          <w:p w14:paraId="5D32D4DC"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021CDC49"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283B8043"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0DB45679"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5A66190D" w14:textId="77777777" w:rsidR="00D83E33" w:rsidRPr="00EA10CF" w:rsidRDefault="00D83E33">
            <w:pPr>
              <w:widowControl w:val="0"/>
              <w:pBdr>
                <w:top w:val="nil"/>
                <w:left w:val="nil"/>
                <w:bottom w:val="nil"/>
                <w:right w:val="nil"/>
                <w:between w:val="nil"/>
              </w:pBdr>
              <w:jc w:val="right"/>
              <w:rPr>
                <w:b/>
                <w:color w:val="000000"/>
              </w:rPr>
            </w:pPr>
          </w:p>
        </w:tc>
        <w:tc>
          <w:tcPr>
            <w:tcW w:w="575" w:type="pct"/>
            <w:vAlign w:val="bottom"/>
          </w:tcPr>
          <w:p w14:paraId="19DBF14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A878B32" w14:textId="77777777" w:rsidTr="001B330E">
        <w:trPr>
          <w:trHeight w:val="23"/>
        </w:trPr>
        <w:tc>
          <w:tcPr>
            <w:tcW w:w="1545" w:type="pct"/>
            <w:tcBorders>
              <w:bottom w:val="single" w:sz="4" w:space="0" w:color="000000"/>
            </w:tcBorders>
            <w:vAlign w:val="bottom"/>
          </w:tcPr>
          <w:p w14:paraId="0932D3FB"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b/>
                <w:color w:val="000000"/>
              </w:rPr>
              <w:t> </w:t>
            </w:r>
          </w:p>
        </w:tc>
        <w:tc>
          <w:tcPr>
            <w:tcW w:w="576" w:type="pct"/>
            <w:tcBorders>
              <w:bottom w:val="single" w:sz="4" w:space="0" w:color="000000"/>
            </w:tcBorders>
            <w:vAlign w:val="bottom"/>
          </w:tcPr>
          <w:p w14:paraId="7DFAEDFD"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4" w:space="0" w:color="000000"/>
            </w:tcBorders>
            <w:vAlign w:val="bottom"/>
          </w:tcPr>
          <w:p w14:paraId="1E8910C0"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4" w:space="0" w:color="000000"/>
            </w:tcBorders>
            <w:vAlign w:val="bottom"/>
          </w:tcPr>
          <w:p w14:paraId="0B5469C0"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4" w:space="0" w:color="000000"/>
            </w:tcBorders>
            <w:vAlign w:val="bottom"/>
          </w:tcPr>
          <w:p w14:paraId="40698F9D"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4" w:space="0" w:color="000000"/>
            </w:tcBorders>
            <w:vAlign w:val="bottom"/>
          </w:tcPr>
          <w:p w14:paraId="2CB761F6" w14:textId="77777777" w:rsidR="00D83E33" w:rsidRPr="00EA10CF" w:rsidRDefault="00D83E33">
            <w:pPr>
              <w:widowControl w:val="0"/>
              <w:pBdr>
                <w:top w:val="nil"/>
                <w:left w:val="nil"/>
                <w:bottom w:val="nil"/>
                <w:right w:val="nil"/>
                <w:between w:val="nil"/>
              </w:pBdr>
              <w:jc w:val="right"/>
              <w:rPr>
                <w:b/>
                <w:color w:val="000000"/>
              </w:rPr>
            </w:pPr>
          </w:p>
        </w:tc>
        <w:tc>
          <w:tcPr>
            <w:tcW w:w="575" w:type="pct"/>
            <w:tcBorders>
              <w:bottom w:val="single" w:sz="4" w:space="0" w:color="000000"/>
            </w:tcBorders>
            <w:vAlign w:val="bottom"/>
          </w:tcPr>
          <w:p w14:paraId="1235F1B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C6FDC04" w14:textId="77777777" w:rsidTr="001B330E">
        <w:trPr>
          <w:trHeight w:val="23"/>
        </w:trPr>
        <w:tc>
          <w:tcPr>
            <w:tcW w:w="1545" w:type="pct"/>
            <w:tcBorders>
              <w:top w:val="single" w:sz="4" w:space="0" w:color="000000"/>
            </w:tcBorders>
            <w:vAlign w:val="bottom"/>
          </w:tcPr>
          <w:p w14:paraId="7CF3C518"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b/>
                <w:color w:val="000000"/>
              </w:rPr>
              <w:t> </w:t>
            </w:r>
          </w:p>
        </w:tc>
        <w:tc>
          <w:tcPr>
            <w:tcW w:w="576" w:type="pct"/>
            <w:tcBorders>
              <w:top w:val="single" w:sz="4" w:space="0" w:color="000000"/>
            </w:tcBorders>
            <w:vAlign w:val="bottom"/>
          </w:tcPr>
          <w:p w14:paraId="2EDD11F2"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top w:val="single" w:sz="4" w:space="0" w:color="000000"/>
            </w:tcBorders>
            <w:vAlign w:val="bottom"/>
          </w:tcPr>
          <w:p w14:paraId="72063DDD"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top w:val="single" w:sz="4" w:space="0" w:color="000000"/>
            </w:tcBorders>
            <w:vAlign w:val="bottom"/>
          </w:tcPr>
          <w:p w14:paraId="74803607"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top w:val="single" w:sz="4" w:space="0" w:color="000000"/>
            </w:tcBorders>
            <w:vAlign w:val="bottom"/>
          </w:tcPr>
          <w:p w14:paraId="75A5965D"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top w:val="single" w:sz="4" w:space="0" w:color="000000"/>
            </w:tcBorders>
            <w:vAlign w:val="bottom"/>
          </w:tcPr>
          <w:p w14:paraId="6C86564F" w14:textId="77777777" w:rsidR="00D83E33" w:rsidRPr="00EA10CF" w:rsidRDefault="00D83E33">
            <w:pPr>
              <w:widowControl w:val="0"/>
              <w:pBdr>
                <w:top w:val="nil"/>
                <w:left w:val="nil"/>
                <w:bottom w:val="nil"/>
                <w:right w:val="nil"/>
                <w:between w:val="nil"/>
              </w:pBdr>
              <w:jc w:val="right"/>
              <w:rPr>
                <w:b/>
                <w:color w:val="000000"/>
              </w:rPr>
            </w:pPr>
          </w:p>
        </w:tc>
        <w:tc>
          <w:tcPr>
            <w:tcW w:w="575" w:type="pct"/>
            <w:tcBorders>
              <w:top w:val="single" w:sz="4" w:space="0" w:color="000000"/>
            </w:tcBorders>
            <w:vAlign w:val="bottom"/>
          </w:tcPr>
          <w:p w14:paraId="78A9FD8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74C0FF0" w14:textId="77777777" w:rsidTr="001B330E">
        <w:trPr>
          <w:trHeight w:val="23"/>
        </w:trPr>
        <w:tc>
          <w:tcPr>
            <w:tcW w:w="1545" w:type="pct"/>
            <w:vAlign w:val="bottom"/>
          </w:tcPr>
          <w:p w14:paraId="5A58534D" w14:textId="77777777" w:rsidR="00D83E33" w:rsidRPr="00EA10CF" w:rsidRDefault="00BC4072" w:rsidP="001B330E">
            <w:pPr>
              <w:widowControl w:val="0"/>
              <w:pBdr>
                <w:top w:val="nil"/>
                <w:left w:val="nil"/>
                <w:bottom w:val="nil"/>
                <w:right w:val="nil"/>
                <w:between w:val="nil"/>
              </w:pBdr>
              <w:ind w:left="113" w:right="-113" w:hanging="113"/>
              <w:rPr>
                <w:b/>
                <w:color w:val="000000"/>
              </w:rPr>
            </w:pPr>
            <w:r w:rsidRPr="00EA10CF">
              <w:rPr>
                <w:b/>
                <w:color w:val="000000"/>
              </w:rPr>
              <w:t>Total reportable segment assets</w:t>
            </w:r>
          </w:p>
        </w:tc>
        <w:tc>
          <w:tcPr>
            <w:tcW w:w="576" w:type="pct"/>
            <w:vAlign w:val="bottom"/>
          </w:tcPr>
          <w:p w14:paraId="0980A69D"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27848F42"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23788FA0"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632AACE3"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77377068" w14:textId="77777777" w:rsidR="00D83E33" w:rsidRPr="00EA10CF" w:rsidRDefault="00D83E33">
            <w:pPr>
              <w:widowControl w:val="0"/>
              <w:pBdr>
                <w:top w:val="nil"/>
                <w:left w:val="nil"/>
                <w:bottom w:val="nil"/>
                <w:right w:val="nil"/>
                <w:between w:val="nil"/>
              </w:pBdr>
              <w:jc w:val="right"/>
              <w:rPr>
                <w:b/>
                <w:color w:val="000000"/>
              </w:rPr>
            </w:pPr>
          </w:p>
        </w:tc>
        <w:tc>
          <w:tcPr>
            <w:tcW w:w="575" w:type="pct"/>
            <w:vAlign w:val="bottom"/>
          </w:tcPr>
          <w:p w14:paraId="24E02DDC"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058D1E0" w14:textId="77777777" w:rsidTr="001B330E">
        <w:trPr>
          <w:trHeight w:val="23"/>
        </w:trPr>
        <w:tc>
          <w:tcPr>
            <w:tcW w:w="1545" w:type="pct"/>
            <w:tcBorders>
              <w:bottom w:val="single" w:sz="12" w:space="0" w:color="000000"/>
            </w:tcBorders>
            <w:vAlign w:val="bottom"/>
          </w:tcPr>
          <w:p w14:paraId="4C0C3ACF" w14:textId="77777777" w:rsidR="00D83E33" w:rsidRPr="00EA10CF" w:rsidRDefault="00BC4072" w:rsidP="001B330E">
            <w:pPr>
              <w:widowControl w:val="0"/>
              <w:pBdr>
                <w:top w:val="nil"/>
                <w:left w:val="nil"/>
                <w:bottom w:val="nil"/>
                <w:right w:val="nil"/>
                <w:between w:val="nil"/>
              </w:pBdr>
              <w:ind w:left="113" w:right="-113" w:hanging="113"/>
              <w:rPr>
                <w:b/>
                <w:color w:val="000000"/>
              </w:rPr>
            </w:pPr>
            <w:r w:rsidRPr="00EA10CF">
              <w:rPr>
                <w:b/>
                <w:color w:val="000000"/>
              </w:rPr>
              <w:t> </w:t>
            </w:r>
          </w:p>
        </w:tc>
        <w:tc>
          <w:tcPr>
            <w:tcW w:w="576" w:type="pct"/>
            <w:tcBorders>
              <w:bottom w:val="single" w:sz="12" w:space="0" w:color="000000"/>
            </w:tcBorders>
            <w:vAlign w:val="bottom"/>
          </w:tcPr>
          <w:p w14:paraId="0C390220"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12" w:space="0" w:color="000000"/>
            </w:tcBorders>
            <w:vAlign w:val="bottom"/>
          </w:tcPr>
          <w:p w14:paraId="021340D3"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12" w:space="0" w:color="000000"/>
            </w:tcBorders>
            <w:vAlign w:val="bottom"/>
          </w:tcPr>
          <w:p w14:paraId="37AA7ECC"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12" w:space="0" w:color="000000"/>
            </w:tcBorders>
            <w:vAlign w:val="bottom"/>
          </w:tcPr>
          <w:p w14:paraId="22CF2F08"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12" w:space="0" w:color="000000"/>
            </w:tcBorders>
            <w:vAlign w:val="bottom"/>
          </w:tcPr>
          <w:p w14:paraId="014C0500" w14:textId="77777777" w:rsidR="00D83E33" w:rsidRPr="00EA10CF" w:rsidRDefault="00D83E33">
            <w:pPr>
              <w:widowControl w:val="0"/>
              <w:pBdr>
                <w:top w:val="nil"/>
                <w:left w:val="nil"/>
                <w:bottom w:val="nil"/>
                <w:right w:val="nil"/>
                <w:between w:val="nil"/>
              </w:pBdr>
              <w:jc w:val="right"/>
              <w:rPr>
                <w:b/>
                <w:color w:val="000000"/>
              </w:rPr>
            </w:pPr>
          </w:p>
        </w:tc>
        <w:tc>
          <w:tcPr>
            <w:tcW w:w="575" w:type="pct"/>
            <w:tcBorders>
              <w:bottom w:val="single" w:sz="12" w:space="0" w:color="000000"/>
            </w:tcBorders>
            <w:vAlign w:val="bottom"/>
          </w:tcPr>
          <w:p w14:paraId="5C68823A"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E76277F" w14:textId="77777777" w:rsidTr="001B330E">
        <w:trPr>
          <w:trHeight w:val="23"/>
        </w:trPr>
        <w:tc>
          <w:tcPr>
            <w:tcW w:w="1545" w:type="pct"/>
            <w:vAlign w:val="bottom"/>
          </w:tcPr>
          <w:p w14:paraId="5A784568"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b/>
                <w:color w:val="000000"/>
              </w:rPr>
              <w:t> </w:t>
            </w:r>
          </w:p>
        </w:tc>
        <w:tc>
          <w:tcPr>
            <w:tcW w:w="576" w:type="pct"/>
            <w:vAlign w:val="bottom"/>
          </w:tcPr>
          <w:p w14:paraId="530B881D"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C71987F"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2CF449C8"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32BF4B0F"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6FAF4A46" w14:textId="77777777" w:rsidR="00D83E33" w:rsidRPr="00EA10CF" w:rsidRDefault="00D83E33">
            <w:pPr>
              <w:widowControl w:val="0"/>
              <w:pBdr>
                <w:top w:val="nil"/>
                <w:left w:val="nil"/>
                <w:bottom w:val="nil"/>
                <w:right w:val="nil"/>
                <w:between w:val="nil"/>
              </w:pBdr>
              <w:jc w:val="right"/>
              <w:rPr>
                <w:b/>
                <w:color w:val="000000"/>
              </w:rPr>
            </w:pPr>
          </w:p>
        </w:tc>
        <w:tc>
          <w:tcPr>
            <w:tcW w:w="575" w:type="pct"/>
            <w:vAlign w:val="bottom"/>
          </w:tcPr>
          <w:p w14:paraId="32C158B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92D2D4D" w14:textId="77777777" w:rsidTr="001B330E">
        <w:trPr>
          <w:trHeight w:val="23"/>
        </w:trPr>
        <w:tc>
          <w:tcPr>
            <w:tcW w:w="1545" w:type="pct"/>
            <w:vAlign w:val="bottom"/>
          </w:tcPr>
          <w:p w14:paraId="55D60EFF"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color w:val="000000"/>
              </w:rPr>
              <w:t>Liabilities directly associated with disposal groups held for sale</w:t>
            </w:r>
          </w:p>
        </w:tc>
        <w:tc>
          <w:tcPr>
            <w:tcW w:w="576" w:type="pct"/>
            <w:vAlign w:val="bottom"/>
          </w:tcPr>
          <w:p w14:paraId="100A410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46C7A35"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009941F6"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128433D7"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74C57ECB" w14:textId="77777777" w:rsidR="00D83E33" w:rsidRPr="00EA10CF" w:rsidRDefault="00D83E33">
            <w:pPr>
              <w:widowControl w:val="0"/>
              <w:pBdr>
                <w:top w:val="nil"/>
                <w:left w:val="nil"/>
                <w:bottom w:val="nil"/>
                <w:right w:val="nil"/>
                <w:between w:val="nil"/>
              </w:pBdr>
              <w:jc w:val="right"/>
              <w:rPr>
                <w:b/>
                <w:color w:val="000000"/>
              </w:rPr>
            </w:pPr>
          </w:p>
        </w:tc>
        <w:tc>
          <w:tcPr>
            <w:tcW w:w="575" w:type="pct"/>
            <w:vAlign w:val="bottom"/>
          </w:tcPr>
          <w:p w14:paraId="579E2639"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362D8A0" w14:textId="77777777" w:rsidTr="001B330E">
        <w:trPr>
          <w:trHeight w:val="23"/>
        </w:trPr>
        <w:tc>
          <w:tcPr>
            <w:tcW w:w="1545" w:type="pct"/>
            <w:vAlign w:val="bottom"/>
          </w:tcPr>
          <w:p w14:paraId="052FBF97"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color w:val="0000FF"/>
              </w:rPr>
              <w:t>[Other]</w:t>
            </w:r>
            <w:r w:rsidRPr="00EA10CF">
              <w:rPr>
                <w:color w:val="4F81BD"/>
              </w:rPr>
              <w:t xml:space="preserve"> </w:t>
            </w:r>
            <w:r w:rsidRPr="00EA10CF">
              <w:rPr>
                <w:color w:val="000000"/>
              </w:rPr>
              <w:t>reportable segment liabilities</w:t>
            </w:r>
          </w:p>
        </w:tc>
        <w:tc>
          <w:tcPr>
            <w:tcW w:w="576" w:type="pct"/>
            <w:vAlign w:val="bottom"/>
          </w:tcPr>
          <w:p w14:paraId="13D5A47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612AA25"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1516032B"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0884452B"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555E2D1B" w14:textId="77777777" w:rsidR="00D83E33" w:rsidRPr="00EA10CF" w:rsidRDefault="00D83E33">
            <w:pPr>
              <w:widowControl w:val="0"/>
              <w:pBdr>
                <w:top w:val="nil"/>
                <w:left w:val="nil"/>
                <w:bottom w:val="nil"/>
                <w:right w:val="nil"/>
                <w:between w:val="nil"/>
              </w:pBdr>
              <w:jc w:val="right"/>
              <w:rPr>
                <w:b/>
                <w:color w:val="000000"/>
              </w:rPr>
            </w:pPr>
          </w:p>
        </w:tc>
        <w:tc>
          <w:tcPr>
            <w:tcW w:w="575" w:type="pct"/>
            <w:vAlign w:val="bottom"/>
          </w:tcPr>
          <w:p w14:paraId="18F53E4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B677D5A" w14:textId="77777777" w:rsidTr="001B330E">
        <w:trPr>
          <w:trHeight w:val="23"/>
        </w:trPr>
        <w:tc>
          <w:tcPr>
            <w:tcW w:w="1545" w:type="pct"/>
            <w:tcBorders>
              <w:bottom w:val="single" w:sz="4" w:space="0" w:color="000000"/>
            </w:tcBorders>
            <w:vAlign w:val="bottom"/>
          </w:tcPr>
          <w:p w14:paraId="521D39C1"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b/>
                <w:color w:val="000000"/>
              </w:rPr>
              <w:t> </w:t>
            </w:r>
          </w:p>
        </w:tc>
        <w:tc>
          <w:tcPr>
            <w:tcW w:w="576" w:type="pct"/>
            <w:tcBorders>
              <w:bottom w:val="single" w:sz="4" w:space="0" w:color="000000"/>
            </w:tcBorders>
            <w:vAlign w:val="bottom"/>
          </w:tcPr>
          <w:p w14:paraId="463D93D4"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435D0960"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4" w:space="0" w:color="000000"/>
            </w:tcBorders>
            <w:vAlign w:val="bottom"/>
          </w:tcPr>
          <w:p w14:paraId="633D8E26"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4" w:space="0" w:color="000000"/>
            </w:tcBorders>
            <w:vAlign w:val="bottom"/>
          </w:tcPr>
          <w:p w14:paraId="4B8345AF"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4" w:space="0" w:color="000000"/>
            </w:tcBorders>
            <w:vAlign w:val="bottom"/>
          </w:tcPr>
          <w:p w14:paraId="06152A69" w14:textId="77777777" w:rsidR="00D83E33" w:rsidRPr="00EA10CF" w:rsidRDefault="00D83E33">
            <w:pPr>
              <w:widowControl w:val="0"/>
              <w:pBdr>
                <w:top w:val="nil"/>
                <w:left w:val="nil"/>
                <w:bottom w:val="nil"/>
                <w:right w:val="nil"/>
                <w:between w:val="nil"/>
              </w:pBdr>
              <w:jc w:val="right"/>
              <w:rPr>
                <w:b/>
                <w:color w:val="000000"/>
              </w:rPr>
            </w:pPr>
          </w:p>
        </w:tc>
        <w:tc>
          <w:tcPr>
            <w:tcW w:w="575" w:type="pct"/>
            <w:tcBorders>
              <w:bottom w:val="single" w:sz="4" w:space="0" w:color="000000"/>
            </w:tcBorders>
            <w:vAlign w:val="bottom"/>
          </w:tcPr>
          <w:p w14:paraId="7508BDD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06C1888" w14:textId="77777777" w:rsidTr="001B330E">
        <w:trPr>
          <w:trHeight w:val="23"/>
        </w:trPr>
        <w:tc>
          <w:tcPr>
            <w:tcW w:w="1545" w:type="pct"/>
            <w:tcBorders>
              <w:top w:val="single" w:sz="4" w:space="0" w:color="000000"/>
            </w:tcBorders>
            <w:vAlign w:val="bottom"/>
          </w:tcPr>
          <w:p w14:paraId="7C40D1F7"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b/>
                <w:color w:val="000000"/>
              </w:rPr>
              <w:t> </w:t>
            </w:r>
          </w:p>
        </w:tc>
        <w:tc>
          <w:tcPr>
            <w:tcW w:w="576" w:type="pct"/>
            <w:tcBorders>
              <w:top w:val="single" w:sz="4" w:space="0" w:color="000000"/>
            </w:tcBorders>
            <w:vAlign w:val="bottom"/>
          </w:tcPr>
          <w:p w14:paraId="5DC3DCB3"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3DF6B57D"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top w:val="single" w:sz="4" w:space="0" w:color="000000"/>
            </w:tcBorders>
            <w:vAlign w:val="bottom"/>
          </w:tcPr>
          <w:p w14:paraId="3C9D5CEB"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top w:val="single" w:sz="4" w:space="0" w:color="000000"/>
            </w:tcBorders>
            <w:vAlign w:val="bottom"/>
          </w:tcPr>
          <w:p w14:paraId="7C027B69"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top w:val="single" w:sz="4" w:space="0" w:color="000000"/>
            </w:tcBorders>
            <w:vAlign w:val="bottom"/>
          </w:tcPr>
          <w:p w14:paraId="06455566" w14:textId="77777777" w:rsidR="00D83E33" w:rsidRPr="00EA10CF" w:rsidRDefault="00D83E33">
            <w:pPr>
              <w:widowControl w:val="0"/>
              <w:pBdr>
                <w:top w:val="nil"/>
                <w:left w:val="nil"/>
                <w:bottom w:val="nil"/>
                <w:right w:val="nil"/>
                <w:between w:val="nil"/>
              </w:pBdr>
              <w:jc w:val="right"/>
              <w:rPr>
                <w:b/>
                <w:color w:val="000000"/>
              </w:rPr>
            </w:pPr>
          </w:p>
        </w:tc>
        <w:tc>
          <w:tcPr>
            <w:tcW w:w="575" w:type="pct"/>
            <w:tcBorders>
              <w:top w:val="single" w:sz="4" w:space="0" w:color="000000"/>
            </w:tcBorders>
            <w:vAlign w:val="bottom"/>
          </w:tcPr>
          <w:p w14:paraId="2CE9CD0C"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9CC877F" w14:textId="77777777" w:rsidTr="001B330E">
        <w:trPr>
          <w:trHeight w:val="23"/>
        </w:trPr>
        <w:tc>
          <w:tcPr>
            <w:tcW w:w="1545" w:type="pct"/>
            <w:vAlign w:val="bottom"/>
          </w:tcPr>
          <w:p w14:paraId="6DF5E4B5" w14:textId="77777777" w:rsidR="00D83E33" w:rsidRPr="00EA10CF" w:rsidRDefault="00BC4072" w:rsidP="001B330E">
            <w:pPr>
              <w:widowControl w:val="0"/>
              <w:pBdr>
                <w:top w:val="nil"/>
                <w:left w:val="nil"/>
                <w:bottom w:val="nil"/>
                <w:right w:val="nil"/>
                <w:between w:val="nil"/>
              </w:pBdr>
              <w:ind w:left="113" w:right="-113" w:hanging="113"/>
              <w:rPr>
                <w:b/>
                <w:color w:val="000000"/>
              </w:rPr>
            </w:pPr>
            <w:r w:rsidRPr="00EA10CF">
              <w:rPr>
                <w:b/>
                <w:color w:val="000000"/>
              </w:rPr>
              <w:t>Total reportable segment liabilities</w:t>
            </w:r>
          </w:p>
        </w:tc>
        <w:tc>
          <w:tcPr>
            <w:tcW w:w="576" w:type="pct"/>
            <w:vAlign w:val="bottom"/>
          </w:tcPr>
          <w:p w14:paraId="0D53E2A7"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662ACD8C"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131C6C7F"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447B088C"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3F03B67B" w14:textId="77777777" w:rsidR="00D83E33" w:rsidRPr="00EA10CF" w:rsidRDefault="00D83E33">
            <w:pPr>
              <w:widowControl w:val="0"/>
              <w:pBdr>
                <w:top w:val="nil"/>
                <w:left w:val="nil"/>
                <w:bottom w:val="nil"/>
                <w:right w:val="nil"/>
                <w:between w:val="nil"/>
              </w:pBdr>
              <w:jc w:val="right"/>
              <w:rPr>
                <w:b/>
                <w:color w:val="000000"/>
              </w:rPr>
            </w:pPr>
          </w:p>
        </w:tc>
        <w:tc>
          <w:tcPr>
            <w:tcW w:w="575" w:type="pct"/>
            <w:vAlign w:val="bottom"/>
          </w:tcPr>
          <w:p w14:paraId="0C7C5B70"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AEBBDC0" w14:textId="77777777" w:rsidTr="001B330E">
        <w:trPr>
          <w:trHeight w:val="23"/>
        </w:trPr>
        <w:tc>
          <w:tcPr>
            <w:tcW w:w="1545" w:type="pct"/>
            <w:tcBorders>
              <w:bottom w:val="single" w:sz="12" w:space="0" w:color="000000"/>
            </w:tcBorders>
            <w:vAlign w:val="bottom"/>
          </w:tcPr>
          <w:p w14:paraId="5676C244" w14:textId="77777777" w:rsidR="00D83E33" w:rsidRPr="00EA10CF" w:rsidRDefault="00BC4072" w:rsidP="001B330E">
            <w:pPr>
              <w:widowControl w:val="0"/>
              <w:pBdr>
                <w:top w:val="nil"/>
                <w:left w:val="nil"/>
                <w:bottom w:val="nil"/>
                <w:right w:val="nil"/>
                <w:between w:val="nil"/>
              </w:pBdr>
              <w:ind w:left="113" w:right="-113" w:hanging="113"/>
              <w:rPr>
                <w:b/>
                <w:color w:val="000000"/>
              </w:rPr>
            </w:pPr>
            <w:r w:rsidRPr="00EA10CF">
              <w:rPr>
                <w:b/>
                <w:color w:val="000000"/>
              </w:rPr>
              <w:t> </w:t>
            </w:r>
          </w:p>
        </w:tc>
        <w:tc>
          <w:tcPr>
            <w:tcW w:w="576" w:type="pct"/>
            <w:tcBorders>
              <w:bottom w:val="single" w:sz="12" w:space="0" w:color="000000"/>
            </w:tcBorders>
            <w:vAlign w:val="bottom"/>
          </w:tcPr>
          <w:p w14:paraId="25078E36"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12" w:space="0" w:color="000000"/>
            </w:tcBorders>
            <w:vAlign w:val="bottom"/>
          </w:tcPr>
          <w:p w14:paraId="2DE7697C"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12" w:space="0" w:color="000000"/>
            </w:tcBorders>
            <w:vAlign w:val="bottom"/>
          </w:tcPr>
          <w:p w14:paraId="21C698E9"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12" w:space="0" w:color="000000"/>
            </w:tcBorders>
            <w:vAlign w:val="bottom"/>
          </w:tcPr>
          <w:p w14:paraId="5AE4D478" w14:textId="77777777" w:rsidR="00D83E33" w:rsidRPr="00EA10CF" w:rsidRDefault="00D83E33">
            <w:pPr>
              <w:widowControl w:val="0"/>
              <w:pBdr>
                <w:top w:val="nil"/>
                <w:left w:val="nil"/>
                <w:bottom w:val="nil"/>
                <w:right w:val="nil"/>
                <w:between w:val="nil"/>
              </w:pBdr>
              <w:jc w:val="right"/>
              <w:rPr>
                <w:b/>
                <w:color w:val="000000"/>
              </w:rPr>
            </w:pPr>
          </w:p>
        </w:tc>
        <w:tc>
          <w:tcPr>
            <w:tcW w:w="576" w:type="pct"/>
            <w:tcBorders>
              <w:bottom w:val="single" w:sz="12" w:space="0" w:color="000000"/>
            </w:tcBorders>
            <w:vAlign w:val="bottom"/>
          </w:tcPr>
          <w:p w14:paraId="17B7F7C8" w14:textId="77777777" w:rsidR="00D83E33" w:rsidRPr="00EA10CF" w:rsidRDefault="00D83E33">
            <w:pPr>
              <w:widowControl w:val="0"/>
              <w:pBdr>
                <w:top w:val="nil"/>
                <w:left w:val="nil"/>
                <w:bottom w:val="nil"/>
                <w:right w:val="nil"/>
                <w:between w:val="nil"/>
              </w:pBdr>
              <w:jc w:val="right"/>
              <w:rPr>
                <w:b/>
                <w:color w:val="000000"/>
              </w:rPr>
            </w:pPr>
          </w:p>
        </w:tc>
        <w:tc>
          <w:tcPr>
            <w:tcW w:w="575" w:type="pct"/>
            <w:tcBorders>
              <w:bottom w:val="single" w:sz="12" w:space="0" w:color="000000"/>
            </w:tcBorders>
            <w:vAlign w:val="bottom"/>
          </w:tcPr>
          <w:p w14:paraId="07A9749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FDA0FBD" w14:textId="77777777" w:rsidTr="001B330E">
        <w:trPr>
          <w:trHeight w:val="23"/>
        </w:trPr>
        <w:tc>
          <w:tcPr>
            <w:tcW w:w="1545" w:type="pct"/>
            <w:vAlign w:val="bottom"/>
          </w:tcPr>
          <w:p w14:paraId="10DB14E4"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color w:val="000000"/>
              </w:rPr>
              <w:t> </w:t>
            </w:r>
          </w:p>
        </w:tc>
        <w:tc>
          <w:tcPr>
            <w:tcW w:w="576" w:type="pct"/>
            <w:vAlign w:val="bottom"/>
          </w:tcPr>
          <w:p w14:paraId="3FBD33C3"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8779DE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FF072A3"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66AD65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BAEB76F"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8BFC44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7D6099" w14:textId="77777777" w:rsidTr="00026549">
        <w:trPr>
          <w:trHeight w:val="23"/>
        </w:trPr>
        <w:tc>
          <w:tcPr>
            <w:tcW w:w="1545" w:type="pct"/>
            <w:vAlign w:val="bottom"/>
          </w:tcPr>
          <w:p w14:paraId="6B9AC316" w14:textId="008F0489" w:rsidR="00D83E33" w:rsidRPr="00EA10CF" w:rsidRDefault="00BC4072" w:rsidP="001B330E">
            <w:pPr>
              <w:widowControl w:val="0"/>
              <w:pBdr>
                <w:top w:val="nil"/>
                <w:left w:val="nil"/>
                <w:bottom w:val="nil"/>
                <w:right w:val="nil"/>
                <w:between w:val="nil"/>
              </w:pBdr>
              <w:ind w:left="113" w:right="-113" w:hanging="113"/>
              <w:rPr>
                <w:b/>
                <w:color w:val="000000"/>
              </w:rPr>
            </w:pPr>
            <w:r w:rsidRPr="00EA10CF">
              <w:rPr>
                <w:b/>
                <w:color w:val="000000"/>
              </w:rPr>
              <w:t xml:space="preserve">Capital expenditure </w:t>
            </w:r>
          </w:p>
        </w:tc>
        <w:tc>
          <w:tcPr>
            <w:tcW w:w="576" w:type="pct"/>
            <w:vAlign w:val="bottom"/>
          </w:tcPr>
          <w:p w14:paraId="2B3B25E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729824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E76DD1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10BACC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7EFC201"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23F2824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0092369" w14:textId="77777777" w:rsidTr="001B330E">
        <w:trPr>
          <w:trHeight w:val="23"/>
        </w:trPr>
        <w:tc>
          <w:tcPr>
            <w:tcW w:w="1545" w:type="pct"/>
            <w:tcBorders>
              <w:bottom w:val="single" w:sz="12" w:space="0" w:color="000000"/>
            </w:tcBorders>
            <w:vAlign w:val="bottom"/>
          </w:tcPr>
          <w:p w14:paraId="49EF8FE5" w14:textId="77777777" w:rsidR="00D83E33" w:rsidRPr="00EA10CF" w:rsidRDefault="00BC4072" w:rsidP="001B330E">
            <w:pPr>
              <w:widowControl w:val="0"/>
              <w:pBdr>
                <w:top w:val="nil"/>
                <w:left w:val="nil"/>
                <w:bottom w:val="nil"/>
                <w:right w:val="nil"/>
                <w:between w:val="nil"/>
              </w:pBdr>
              <w:ind w:left="113" w:right="-113" w:hanging="113"/>
              <w:rPr>
                <w:color w:val="000000"/>
              </w:rPr>
            </w:pPr>
            <w:r w:rsidRPr="00EA10CF">
              <w:rPr>
                <w:color w:val="000000"/>
              </w:rPr>
              <w:t> </w:t>
            </w:r>
          </w:p>
        </w:tc>
        <w:tc>
          <w:tcPr>
            <w:tcW w:w="576" w:type="pct"/>
            <w:tcBorders>
              <w:bottom w:val="single" w:sz="12" w:space="0" w:color="000000"/>
            </w:tcBorders>
            <w:vAlign w:val="bottom"/>
          </w:tcPr>
          <w:p w14:paraId="06701485"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12" w:space="0" w:color="000000"/>
            </w:tcBorders>
            <w:vAlign w:val="bottom"/>
          </w:tcPr>
          <w:p w14:paraId="14CFDB01"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12" w:space="0" w:color="000000"/>
            </w:tcBorders>
            <w:vAlign w:val="bottom"/>
          </w:tcPr>
          <w:p w14:paraId="0511810B"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12" w:space="0" w:color="000000"/>
            </w:tcBorders>
            <w:vAlign w:val="bottom"/>
          </w:tcPr>
          <w:p w14:paraId="0B904802"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12" w:space="0" w:color="000000"/>
            </w:tcBorders>
            <w:vAlign w:val="bottom"/>
          </w:tcPr>
          <w:p w14:paraId="3927335E"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bottom w:val="single" w:sz="12" w:space="0" w:color="000000"/>
            </w:tcBorders>
            <w:vAlign w:val="bottom"/>
          </w:tcPr>
          <w:p w14:paraId="2FEA714B" w14:textId="77777777" w:rsidR="00D83E33" w:rsidRPr="00EA10CF" w:rsidRDefault="00D83E33">
            <w:pPr>
              <w:widowControl w:val="0"/>
              <w:pBdr>
                <w:top w:val="nil"/>
                <w:left w:val="nil"/>
                <w:bottom w:val="nil"/>
                <w:right w:val="nil"/>
                <w:between w:val="nil"/>
              </w:pBdr>
              <w:jc w:val="right"/>
              <w:rPr>
                <w:color w:val="000000"/>
              </w:rPr>
            </w:pPr>
          </w:p>
        </w:tc>
      </w:tr>
    </w:tbl>
    <w:p w14:paraId="09A052D5" w14:textId="38609D4D" w:rsidR="00D83E33" w:rsidRDefault="00BC4072" w:rsidP="001B330E">
      <w:pPr>
        <w:pStyle w:val="Continued"/>
      </w:pPr>
      <w:r>
        <w:lastRenderedPageBreak/>
        <w:t>40</w:t>
      </w:r>
      <w:r>
        <w:tab/>
        <w:t>Segment Analysis (Continued)</w:t>
      </w:r>
    </w:p>
    <w:p w14:paraId="66966721"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Capital expenditure represents additions to non-current assets other than financial instruments, deferred tax assets, post-employment benefit assets and rights arising under insurance contracts.</w:t>
      </w:r>
    </w:p>
    <w:tbl>
      <w:tblPr>
        <w:tblStyle w:val="afffffffffffff1"/>
        <w:tblW w:w="5000" w:type="pct"/>
        <w:tblLayout w:type="fixed"/>
        <w:tblLook w:val="0000" w:firstRow="0" w:lastRow="0" w:firstColumn="0" w:lastColumn="0" w:noHBand="0" w:noVBand="0"/>
      </w:tblPr>
      <w:tblGrid>
        <w:gridCol w:w="2890"/>
        <w:gridCol w:w="1077"/>
        <w:gridCol w:w="1078"/>
        <w:gridCol w:w="1078"/>
        <w:gridCol w:w="28"/>
        <w:gridCol w:w="1050"/>
        <w:gridCol w:w="1078"/>
        <w:gridCol w:w="1076"/>
      </w:tblGrid>
      <w:tr w:rsidR="00D83E33" w:rsidRPr="00EA10CF" w14:paraId="43BB30AD" w14:textId="77777777" w:rsidTr="001B330E">
        <w:trPr>
          <w:trHeight w:val="23"/>
        </w:trPr>
        <w:tc>
          <w:tcPr>
            <w:tcW w:w="1545" w:type="pct"/>
            <w:tcBorders>
              <w:bottom w:val="single" w:sz="4" w:space="0" w:color="000000"/>
            </w:tcBorders>
            <w:vAlign w:val="bottom"/>
          </w:tcPr>
          <w:p w14:paraId="32FF4E35" w14:textId="166FBE24"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76" w:type="pct"/>
            <w:tcBorders>
              <w:bottom w:val="single" w:sz="4" w:space="0" w:color="000000"/>
            </w:tcBorders>
          </w:tcPr>
          <w:p w14:paraId="07680C57"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Retail</w:t>
            </w:r>
          </w:p>
          <w:p w14:paraId="3DAE2B37"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banking</w:t>
            </w:r>
          </w:p>
        </w:tc>
        <w:tc>
          <w:tcPr>
            <w:tcW w:w="576" w:type="pct"/>
            <w:tcBorders>
              <w:bottom w:val="single" w:sz="4" w:space="0" w:color="000000"/>
            </w:tcBorders>
          </w:tcPr>
          <w:p w14:paraId="5DBCAD01"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Corporate banking</w:t>
            </w:r>
          </w:p>
        </w:tc>
        <w:tc>
          <w:tcPr>
            <w:tcW w:w="591" w:type="pct"/>
            <w:gridSpan w:val="2"/>
            <w:tcBorders>
              <w:bottom w:val="single" w:sz="4" w:space="0" w:color="000000"/>
            </w:tcBorders>
          </w:tcPr>
          <w:p w14:paraId="2A45D8E7"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Investment banking</w:t>
            </w:r>
          </w:p>
        </w:tc>
        <w:tc>
          <w:tcPr>
            <w:tcW w:w="561" w:type="pct"/>
            <w:tcBorders>
              <w:bottom w:val="single" w:sz="4" w:space="0" w:color="000000"/>
            </w:tcBorders>
          </w:tcPr>
          <w:p w14:paraId="549EF214" w14:textId="77777777" w:rsidR="00D83E33" w:rsidRPr="00EA10CF" w:rsidRDefault="00BC4072">
            <w:pPr>
              <w:widowControl w:val="0"/>
              <w:pBdr>
                <w:top w:val="nil"/>
                <w:left w:val="nil"/>
                <w:bottom w:val="nil"/>
                <w:right w:val="nil"/>
                <w:between w:val="nil"/>
              </w:pBdr>
              <w:ind w:left="-113"/>
              <w:jc w:val="right"/>
              <w:rPr>
                <w:b/>
                <w:color w:val="0000FF"/>
              </w:rPr>
            </w:pPr>
            <w:r w:rsidRPr="00EA10CF">
              <w:rPr>
                <w:b/>
                <w:color w:val="0000FF"/>
              </w:rPr>
              <w:t>[Other]</w:t>
            </w:r>
          </w:p>
        </w:tc>
        <w:tc>
          <w:tcPr>
            <w:tcW w:w="576" w:type="pct"/>
            <w:tcBorders>
              <w:bottom w:val="single" w:sz="4" w:space="0" w:color="000000"/>
            </w:tcBorders>
          </w:tcPr>
          <w:p w14:paraId="70B9D323" w14:textId="538A9C88"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Elimina-tions</w:t>
            </w:r>
          </w:p>
        </w:tc>
        <w:tc>
          <w:tcPr>
            <w:tcW w:w="575" w:type="pct"/>
            <w:tcBorders>
              <w:bottom w:val="single" w:sz="4" w:space="0" w:color="000000"/>
            </w:tcBorders>
          </w:tcPr>
          <w:p w14:paraId="23E5D8CF"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Total</w:t>
            </w:r>
          </w:p>
        </w:tc>
      </w:tr>
      <w:tr w:rsidR="00D83E33" w:rsidRPr="00EA10CF" w14:paraId="1F675BE0" w14:textId="77777777" w:rsidTr="001B330E">
        <w:trPr>
          <w:trHeight w:val="23"/>
        </w:trPr>
        <w:tc>
          <w:tcPr>
            <w:tcW w:w="1545" w:type="pct"/>
            <w:tcBorders>
              <w:top w:val="single" w:sz="4" w:space="0" w:color="000000"/>
            </w:tcBorders>
            <w:vAlign w:val="bottom"/>
          </w:tcPr>
          <w:p w14:paraId="7F472E8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6" w:type="pct"/>
            <w:tcBorders>
              <w:top w:val="single" w:sz="4" w:space="0" w:color="000000"/>
            </w:tcBorders>
            <w:vAlign w:val="bottom"/>
          </w:tcPr>
          <w:p w14:paraId="68D07DB4"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2173570E"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tcBorders>
              <w:top w:val="single" w:sz="4" w:space="0" w:color="000000"/>
            </w:tcBorders>
            <w:vAlign w:val="bottom"/>
          </w:tcPr>
          <w:p w14:paraId="60DF86CE" w14:textId="77777777" w:rsidR="00D83E33" w:rsidRPr="00EA10CF" w:rsidRDefault="00D83E33">
            <w:pPr>
              <w:widowControl w:val="0"/>
              <w:pBdr>
                <w:top w:val="nil"/>
                <w:left w:val="nil"/>
                <w:bottom w:val="nil"/>
                <w:right w:val="nil"/>
                <w:between w:val="nil"/>
              </w:pBdr>
              <w:jc w:val="right"/>
              <w:rPr>
                <w:color w:val="000000"/>
              </w:rPr>
            </w:pPr>
          </w:p>
        </w:tc>
        <w:tc>
          <w:tcPr>
            <w:tcW w:w="561" w:type="pct"/>
            <w:tcBorders>
              <w:top w:val="single" w:sz="4" w:space="0" w:color="000000"/>
            </w:tcBorders>
            <w:vAlign w:val="bottom"/>
          </w:tcPr>
          <w:p w14:paraId="7A437B0D"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09D4A959"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top w:val="single" w:sz="4" w:space="0" w:color="000000"/>
            </w:tcBorders>
            <w:vAlign w:val="bottom"/>
          </w:tcPr>
          <w:p w14:paraId="3E71661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AD8B09A" w14:textId="77777777" w:rsidTr="001B330E">
        <w:trPr>
          <w:trHeight w:val="23"/>
        </w:trPr>
        <w:tc>
          <w:tcPr>
            <w:tcW w:w="1545" w:type="pct"/>
            <w:vAlign w:val="bottom"/>
          </w:tcPr>
          <w:p w14:paraId="5B3C6515" w14:textId="43554294" w:rsidR="00D83E33" w:rsidRPr="00EA10CF" w:rsidRDefault="00541EBC" w:rsidP="001B330E">
            <w:pPr>
              <w:widowControl w:val="0"/>
              <w:pBdr>
                <w:top w:val="nil"/>
                <w:left w:val="nil"/>
                <w:bottom w:val="nil"/>
                <w:right w:val="nil"/>
                <w:between w:val="nil"/>
              </w:pBdr>
              <w:ind w:left="113" w:hanging="113"/>
              <w:rPr>
                <w:b/>
                <w:color w:val="000000"/>
              </w:rPr>
            </w:pPr>
            <w:r>
              <w:rPr>
                <w:b/>
                <w:color w:val="000000"/>
              </w:rPr>
              <w:t>2024</w:t>
            </w:r>
          </w:p>
        </w:tc>
        <w:tc>
          <w:tcPr>
            <w:tcW w:w="576" w:type="pct"/>
            <w:vAlign w:val="bottom"/>
          </w:tcPr>
          <w:p w14:paraId="36FEC62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70377E3"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0B1B3D7F"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2F12F88B"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5D5CA4F"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5BEFC0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D660D5C" w14:textId="77777777" w:rsidTr="001B330E">
        <w:trPr>
          <w:trHeight w:val="23"/>
        </w:trPr>
        <w:tc>
          <w:tcPr>
            <w:tcW w:w="1545" w:type="pct"/>
            <w:vAlign w:val="bottom"/>
          </w:tcPr>
          <w:p w14:paraId="25FBE62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6" w:type="pct"/>
            <w:vAlign w:val="bottom"/>
          </w:tcPr>
          <w:p w14:paraId="4BBA2B3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0186872"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036BAF3D"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552E781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2C3299B"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420122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537BB9" w14:textId="77777777" w:rsidTr="001B330E">
        <w:trPr>
          <w:trHeight w:val="23"/>
        </w:trPr>
        <w:tc>
          <w:tcPr>
            <w:tcW w:w="1545" w:type="pct"/>
            <w:vAlign w:val="bottom"/>
          </w:tcPr>
          <w:p w14:paraId="6F1B410F"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External revenues:</w:t>
            </w:r>
          </w:p>
        </w:tc>
        <w:tc>
          <w:tcPr>
            <w:tcW w:w="576" w:type="pct"/>
            <w:vAlign w:val="bottom"/>
          </w:tcPr>
          <w:p w14:paraId="039BD6F6" w14:textId="77777777" w:rsidR="00D83E33" w:rsidRPr="00EA10CF" w:rsidRDefault="00D83E33">
            <w:pPr>
              <w:widowControl w:val="0"/>
              <w:pBdr>
                <w:top w:val="nil"/>
                <w:left w:val="nil"/>
                <w:bottom w:val="nil"/>
                <w:right w:val="nil"/>
                <w:between w:val="nil"/>
              </w:pBdr>
              <w:jc w:val="right"/>
              <w:rPr>
                <w:i/>
                <w:color w:val="000000"/>
              </w:rPr>
            </w:pPr>
          </w:p>
        </w:tc>
        <w:tc>
          <w:tcPr>
            <w:tcW w:w="576" w:type="pct"/>
            <w:vAlign w:val="bottom"/>
          </w:tcPr>
          <w:p w14:paraId="0C924E3F" w14:textId="77777777" w:rsidR="00D83E33" w:rsidRPr="00EA10CF" w:rsidRDefault="00D83E33">
            <w:pPr>
              <w:widowControl w:val="0"/>
              <w:pBdr>
                <w:top w:val="nil"/>
                <w:left w:val="nil"/>
                <w:bottom w:val="nil"/>
                <w:right w:val="nil"/>
                <w:between w:val="nil"/>
              </w:pBdr>
              <w:jc w:val="right"/>
              <w:rPr>
                <w:i/>
                <w:color w:val="000000"/>
              </w:rPr>
            </w:pPr>
          </w:p>
        </w:tc>
        <w:tc>
          <w:tcPr>
            <w:tcW w:w="591" w:type="pct"/>
            <w:gridSpan w:val="2"/>
            <w:vAlign w:val="bottom"/>
          </w:tcPr>
          <w:p w14:paraId="63D0872C" w14:textId="77777777" w:rsidR="00D83E33" w:rsidRPr="00EA10CF" w:rsidRDefault="00D83E33">
            <w:pPr>
              <w:widowControl w:val="0"/>
              <w:pBdr>
                <w:top w:val="nil"/>
                <w:left w:val="nil"/>
                <w:bottom w:val="nil"/>
                <w:right w:val="nil"/>
                <w:between w:val="nil"/>
              </w:pBdr>
              <w:jc w:val="right"/>
              <w:rPr>
                <w:i/>
                <w:color w:val="000000"/>
              </w:rPr>
            </w:pPr>
          </w:p>
        </w:tc>
        <w:tc>
          <w:tcPr>
            <w:tcW w:w="561" w:type="pct"/>
            <w:vAlign w:val="bottom"/>
          </w:tcPr>
          <w:p w14:paraId="51DE9D57" w14:textId="77777777" w:rsidR="00D83E33" w:rsidRPr="00EA10CF" w:rsidRDefault="00D83E33">
            <w:pPr>
              <w:widowControl w:val="0"/>
              <w:pBdr>
                <w:top w:val="nil"/>
                <w:left w:val="nil"/>
                <w:bottom w:val="nil"/>
                <w:right w:val="nil"/>
                <w:between w:val="nil"/>
              </w:pBdr>
              <w:jc w:val="right"/>
              <w:rPr>
                <w:i/>
                <w:color w:val="000000"/>
              </w:rPr>
            </w:pPr>
          </w:p>
        </w:tc>
        <w:tc>
          <w:tcPr>
            <w:tcW w:w="576" w:type="pct"/>
            <w:vAlign w:val="bottom"/>
          </w:tcPr>
          <w:p w14:paraId="64470432" w14:textId="77777777" w:rsidR="00D83E33" w:rsidRPr="00EA10CF" w:rsidRDefault="00D83E33">
            <w:pPr>
              <w:widowControl w:val="0"/>
              <w:pBdr>
                <w:top w:val="nil"/>
                <w:left w:val="nil"/>
                <w:bottom w:val="nil"/>
                <w:right w:val="nil"/>
                <w:between w:val="nil"/>
              </w:pBdr>
              <w:jc w:val="right"/>
              <w:rPr>
                <w:i/>
                <w:color w:val="000000"/>
              </w:rPr>
            </w:pPr>
          </w:p>
        </w:tc>
        <w:tc>
          <w:tcPr>
            <w:tcW w:w="575" w:type="pct"/>
            <w:vAlign w:val="bottom"/>
          </w:tcPr>
          <w:p w14:paraId="1378DA18" w14:textId="77777777" w:rsidR="00D83E33" w:rsidRPr="00EA10CF" w:rsidRDefault="00D83E33">
            <w:pPr>
              <w:widowControl w:val="0"/>
              <w:pBdr>
                <w:top w:val="nil"/>
                <w:left w:val="nil"/>
                <w:bottom w:val="nil"/>
                <w:right w:val="nil"/>
                <w:between w:val="nil"/>
              </w:pBdr>
              <w:jc w:val="right"/>
              <w:rPr>
                <w:i/>
                <w:color w:val="000000"/>
              </w:rPr>
            </w:pPr>
          </w:p>
        </w:tc>
      </w:tr>
      <w:tr w:rsidR="00D83E33" w:rsidRPr="00EA10CF" w14:paraId="3C6FB28B" w14:textId="77777777" w:rsidTr="001B330E">
        <w:trPr>
          <w:trHeight w:val="23"/>
        </w:trPr>
        <w:tc>
          <w:tcPr>
            <w:tcW w:w="1545" w:type="pct"/>
            <w:vAlign w:val="bottom"/>
          </w:tcPr>
          <w:p w14:paraId="03BE3A1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Interest income </w:t>
            </w:r>
          </w:p>
        </w:tc>
        <w:tc>
          <w:tcPr>
            <w:tcW w:w="576" w:type="pct"/>
            <w:vAlign w:val="bottom"/>
          </w:tcPr>
          <w:p w14:paraId="33C7E5B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6C56BE3"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2EC8B058"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6421E16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2D03609"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08B5AB0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6821EC7" w14:textId="77777777" w:rsidTr="001B330E">
        <w:trPr>
          <w:trHeight w:val="23"/>
        </w:trPr>
        <w:tc>
          <w:tcPr>
            <w:tcW w:w="1545" w:type="pct"/>
            <w:vAlign w:val="bottom"/>
          </w:tcPr>
          <w:p w14:paraId="24215E6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Fee and commission income</w:t>
            </w:r>
          </w:p>
        </w:tc>
        <w:tc>
          <w:tcPr>
            <w:tcW w:w="576" w:type="pct"/>
            <w:vAlign w:val="bottom"/>
          </w:tcPr>
          <w:p w14:paraId="2F2F266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EE2065B"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001A93F9"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16AB72C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A5FF6EB"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E90726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C28B0F7" w14:textId="77777777" w:rsidTr="001B330E">
        <w:trPr>
          <w:trHeight w:val="23"/>
        </w:trPr>
        <w:tc>
          <w:tcPr>
            <w:tcW w:w="1545" w:type="pct"/>
            <w:vAlign w:val="bottom"/>
          </w:tcPr>
          <w:p w14:paraId="28E3A31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Other operating income </w:t>
            </w:r>
          </w:p>
        </w:tc>
        <w:tc>
          <w:tcPr>
            <w:tcW w:w="576" w:type="pct"/>
            <w:vAlign w:val="bottom"/>
          </w:tcPr>
          <w:p w14:paraId="3FF396CC"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EECDEDB"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602E7416"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71286BF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6C40714"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1950646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6A16449" w14:textId="77777777" w:rsidTr="001B330E">
        <w:trPr>
          <w:trHeight w:val="23"/>
        </w:trPr>
        <w:tc>
          <w:tcPr>
            <w:tcW w:w="1545" w:type="pct"/>
            <w:vAlign w:val="bottom"/>
          </w:tcPr>
          <w:p w14:paraId="0019BCA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6" w:type="pct"/>
            <w:vAlign w:val="bottom"/>
          </w:tcPr>
          <w:p w14:paraId="766688F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6A04338"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5D3F8F56"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6A6AC7D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D811E4F"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D746DB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11E40A" w14:textId="77777777" w:rsidTr="001B330E">
        <w:trPr>
          <w:trHeight w:val="23"/>
        </w:trPr>
        <w:tc>
          <w:tcPr>
            <w:tcW w:w="1545" w:type="pct"/>
            <w:vAlign w:val="bottom"/>
          </w:tcPr>
          <w:p w14:paraId="289132E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Revenues from other segments</w:t>
            </w:r>
          </w:p>
        </w:tc>
        <w:tc>
          <w:tcPr>
            <w:tcW w:w="576" w:type="pct"/>
            <w:vAlign w:val="bottom"/>
          </w:tcPr>
          <w:p w14:paraId="655A1DBB"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D338505"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4C82F4D8"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56F7EF1D"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09D13EA"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2511AC7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D8DA688" w14:textId="77777777" w:rsidTr="001B330E">
        <w:trPr>
          <w:trHeight w:val="23"/>
        </w:trPr>
        <w:tc>
          <w:tcPr>
            <w:tcW w:w="1545" w:type="pct"/>
            <w:vAlign w:val="bottom"/>
          </w:tcPr>
          <w:p w14:paraId="7366294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Interest income</w:t>
            </w:r>
          </w:p>
        </w:tc>
        <w:tc>
          <w:tcPr>
            <w:tcW w:w="576" w:type="pct"/>
            <w:vAlign w:val="bottom"/>
          </w:tcPr>
          <w:p w14:paraId="314BC3C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2A3A10F"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1A669385"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6C360B5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05DE105"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C8E638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54AC47" w14:textId="77777777" w:rsidTr="001B330E">
        <w:trPr>
          <w:trHeight w:val="23"/>
        </w:trPr>
        <w:tc>
          <w:tcPr>
            <w:tcW w:w="1545" w:type="pct"/>
            <w:vAlign w:val="bottom"/>
          </w:tcPr>
          <w:p w14:paraId="1E3AA3D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Fee and commission income</w:t>
            </w:r>
          </w:p>
        </w:tc>
        <w:tc>
          <w:tcPr>
            <w:tcW w:w="576" w:type="pct"/>
            <w:vAlign w:val="bottom"/>
          </w:tcPr>
          <w:p w14:paraId="4AAC79A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5C3A986"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4E4B59D0"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3BC15C2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3F8101F"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E8F163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C686A70" w14:textId="77777777" w:rsidTr="001B330E">
        <w:trPr>
          <w:trHeight w:val="23"/>
        </w:trPr>
        <w:tc>
          <w:tcPr>
            <w:tcW w:w="1545" w:type="pct"/>
            <w:vAlign w:val="bottom"/>
          </w:tcPr>
          <w:p w14:paraId="7561E74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Other operating income </w:t>
            </w:r>
          </w:p>
        </w:tc>
        <w:tc>
          <w:tcPr>
            <w:tcW w:w="576" w:type="pct"/>
            <w:vAlign w:val="bottom"/>
          </w:tcPr>
          <w:p w14:paraId="47F24D3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588CFEF"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5C9DC9F5"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2C59967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3ED501C"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226FA9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E0CFB0F" w14:textId="77777777" w:rsidTr="001B330E">
        <w:trPr>
          <w:trHeight w:val="23"/>
        </w:trPr>
        <w:tc>
          <w:tcPr>
            <w:tcW w:w="1545" w:type="pct"/>
            <w:tcBorders>
              <w:bottom w:val="single" w:sz="4" w:space="0" w:color="000000"/>
            </w:tcBorders>
            <w:vAlign w:val="bottom"/>
          </w:tcPr>
          <w:p w14:paraId="7CC846F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6" w:type="pct"/>
            <w:tcBorders>
              <w:bottom w:val="single" w:sz="4" w:space="0" w:color="000000"/>
            </w:tcBorders>
            <w:vAlign w:val="bottom"/>
          </w:tcPr>
          <w:p w14:paraId="2A58654D"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1C330B86"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tcBorders>
              <w:bottom w:val="single" w:sz="4" w:space="0" w:color="000000"/>
            </w:tcBorders>
            <w:vAlign w:val="bottom"/>
          </w:tcPr>
          <w:p w14:paraId="6D4DD145" w14:textId="77777777" w:rsidR="00D83E33" w:rsidRPr="00EA10CF" w:rsidRDefault="00D83E33">
            <w:pPr>
              <w:widowControl w:val="0"/>
              <w:pBdr>
                <w:top w:val="nil"/>
                <w:left w:val="nil"/>
                <w:bottom w:val="nil"/>
                <w:right w:val="nil"/>
                <w:between w:val="nil"/>
              </w:pBdr>
              <w:jc w:val="right"/>
              <w:rPr>
                <w:color w:val="000000"/>
              </w:rPr>
            </w:pPr>
          </w:p>
        </w:tc>
        <w:tc>
          <w:tcPr>
            <w:tcW w:w="561" w:type="pct"/>
            <w:tcBorders>
              <w:bottom w:val="single" w:sz="4" w:space="0" w:color="000000"/>
            </w:tcBorders>
            <w:vAlign w:val="bottom"/>
          </w:tcPr>
          <w:p w14:paraId="5D6229BE"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19E84A99"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bottom w:val="single" w:sz="4" w:space="0" w:color="000000"/>
            </w:tcBorders>
            <w:vAlign w:val="bottom"/>
          </w:tcPr>
          <w:p w14:paraId="7F828A9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35593F1" w14:textId="77777777" w:rsidTr="001B330E">
        <w:trPr>
          <w:trHeight w:val="23"/>
        </w:trPr>
        <w:tc>
          <w:tcPr>
            <w:tcW w:w="1545" w:type="pct"/>
            <w:tcBorders>
              <w:top w:val="single" w:sz="4" w:space="0" w:color="000000"/>
            </w:tcBorders>
            <w:vAlign w:val="bottom"/>
          </w:tcPr>
          <w:p w14:paraId="63084DA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6" w:type="pct"/>
            <w:tcBorders>
              <w:top w:val="single" w:sz="4" w:space="0" w:color="000000"/>
            </w:tcBorders>
            <w:vAlign w:val="bottom"/>
          </w:tcPr>
          <w:p w14:paraId="5099073E"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19B7B91B"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tcBorders>
              <w:top w:val="single" w:sz="4" w:space="0" w:color="000000"/>
            </w:tcBorders>
            <w:vAlign w:val="bottom"/>
          </w:tcPr>
          <w:p w14:paraId="384503A5" w14:textId="77777777" w:rsidR="00D83E33" w:rsidRPr="00EA10CF" w:rsidRDefault="00D83E33">
            <w:pPr>
              <w:widowControl w:val="0"/>
              <w:pBdr>
                <w:top w:val="nil"/>
                <w:left w:val="nil"/>
                <w:bottom w:val="nil"/>
                <w:right w:val="nil"/>
                <w:between w:val="nil"/>
              </w:pBdr>
              <w:jc w:val="right"/>
              <w:rPr>
                <w:color w:val="000000"/>
              </w:rPr>
            </w:pPr>
          </w:p>
        </w:tc>
        <w:tc>
          <w:tcPr>
            <w:tcW w:w="561" w:type="pct"/>
            <w:tcBorders>
              <w:top w:val="single" w:sz="4" w:space="0" w:color="000000"/>
            </w:tcBorders>
            <w:vAlign w:val="bottom"/>
          </w:tcPr>
          <w:p w14:paraId="4AA9ABAE"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6A2C0AC6"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top w:val="single" w:sz="4" w:space="0" w:color="000000"/>
            </w:tcBorders>
            <w:vAlign w:val="bottom"/>
          </w:tcPr>
          <w:p w14:paraId="36A6429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073AA12" w14:textId="77777777" w:rsidTr="001B330E">
        <w:trPr>
          <w:trHeight w:val="23"/>
        </w:trPr>
        <w:tc>
          <w:tcPr>
            <w:tcW w:w="1545" w:type="pct"/>
            <w:vAlign w:val="bottom"/>
          </w:tcPr>
          <w:p w14:paraId="25194C69"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color w:val="000000"/>
              </w:rPr>
              <w:t xml:space="preserve">Total revenues </w:t>
            </w:r>
          </w:p>
        </w:tc>
        <w:tc>
          <w:tcPr>
            <w:tcW w:w="576" w:type="pct"/>
            <w:vAlign w:val="bottom"/>
          </w:tcPr>
          <w:p w14:paraId="5695130A"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300837A2" w14:textId="77777777" w:rsidR="00D83E33" w:rsidRPr="00EA10CF" w:rsidRDefault="00D83E33">
            <w:pPr>
              <w:widowControl w:val="0"/>
              <w:pBdr>
                <w:top w:val="nil"/>
                <w:left w:val="nil"/>
                <w:bottom w:val="nil"/>
                <w:right w:val="nil"/>
                <w:between w:val="nil"/>
              </w:pBdr>
              <w:jc w:val="right"/>
              <w:rPr>
                <w:b/>
                <w:color w:val="000000"/>
              </w:rPr>
            </w:pPr>
          </w:p>
        </w:tc>
        <w:tc>
          <w:tcPr>
            <w:tcW w:w="591" w:type="pct"/>
            <w:gridSpan w:val="2"/>
            <w:vAlign w:val="bottom"/>
          </w:tcPr>
          <w:p w14:paraId="464B02E4" w14:textId="77777777" w:rsidR="00D83E33" w:rsidRPr="00EA10CF" w:rsidRDefault="00D83E33">
            <w:pPr>
              <w:widowControl w:val="0"/>
              <w:pBdr>
                <w:top w:val="nil"/>
                <w:left w:val="nil"/>
                <w:bottom w:val="nil"/>
                <w:right w:val="nil"/>
                <w:between w:val="nil"/>
              </w:pBdr>
              <w:jc w:val="right"/>
              <w:rPr>
                <w:b/>
                <w:color w:val="000000"/>
              </w:rPr>
            </w:pPr>
          </w:p>
        </w:tc>
        <w:tc>
          <w:tcPr>
            <w:tcW w:w="561" w:type="pct"/>
            <w:vAlign w:val="bottom"/>
          </w:tcPr>
          <w:p w14:paraId="46BAB1C8" w14:textId="77777777" w:rsidR="00D83E33" w:rsidRPr="00EA10CF" w:rsidRDefault="00D83E33">
            <w:pPr>
              <w:widowControl w:val="0"/>
              <w:pBdr>
                <w:top w:val="nil"/>
                <w:left w:val="nil"/>
                <w:bottom w:val="nil"/>
                <w:right w:val="nil"/>
                <w:between w:val="nil"/>
              </w:pBdr>
              <w:jc w:val="right"/>
              <w:rPr>
                <w:b/>
                <w:color w:val="000000"/>
              </w:rPr>
            </w:pPr>
          </w:p>
        </w:tc>
        <w:tc>
          <w:tcPr>
            <w:tcW w:w="576" w:type="pct"/>
            <w:vAlign w:val="bottom"/>
          </w:tcPr>
          <w:p w14:paraId="03430E0A" w14:textId="77777777" w:rsidR="00D83E33" w:rsidRPr="00EA10CF" w:rsidRDefault="00D83E33">
            <w:pPr>
              <w:widowControl w:val="0"/>
              <w:pBdr>
                <w:top w:val="nil"/>
                <w:left w:val="nil"/>
                <w:bottom w:val="nil"/>
                <w:right w:val="nil"/>
                <w:between w:val="nil"/>
              </w:pBdr>
              <w:jc w:val="right"/>
              <w:rPr>
                <w:b/>
                <w:color w:val="000000"/>
              </w:rPr>
            </w:pPr>
          </w:p>
        </w:tc>
        <w:tc>
          <w:tcPr>
            <w:tcW w:w="575" w:type="pct"/>
            <w:vAlign w:val="bottom"/>
          </w:tcPr>
          <w:p w14:paraId="3E7E5AF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C891FE3" w14:textId="77777777" w:rsidTr="001B330E">
        <w:trPr>
          <w:trHeight w:val="23"/>
        </w:trPr>
        <w:tc>
          <w:tcPr>
            <w:tcW w:w="1545" w:type="pct"/>
            <w:tcBorders>
              <w:bottom w:val="single" w:sz="4" w:space="0" w:color="000000"/>
            </w:tcBorders>
            <w:vAlign w:val="bottom"/>
          </w:tcPr>
          <w:p w14:paraId="405028D7"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6" w:type="pct"/>
            <w:tcBorders>
              <w:bottom w:val="single" w:sz="4" w:space="0" w:color="000000"/>
            </w:tcBorders>
            <w:vAlign w:val="bottom"/>
          </w:tcPr>
          <w:p w14:paraId="5E3B91B3"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2E5178D0"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tcBorders>
              <w:bottom w:val="single" w:sz="4" w:space="0" w:color="000000"/>
            </w:tcBorders>
            <w:vAlign w:val="bottom"/>
          </w:tcPr>
          <w:p w14:paraId="069495EA" w14:textId="77777777" w:rsidR="00D83E33" w:rsidRPr="00EA10CF" w:rsidRDefault="00D83E33">
            <w:pPr>
              <w:widowControl w:val="0"/>
              <w:pBdr>
                <w:top w:val="nil"/>
                <w:left w:val="nil"/>
                <w:bottom w:val="nil"/>
                <w:right w:val="nil"/>
                <w:between w:val="nil"/>
              </w:pBdr>
              <w:jc w:val="right"/>
              <w:rPr>
                <w:color w:val="000000"/>
              </w:rPr>
            </w:pPr>
          </w:p>
        </w:tc>
        <w:tc>
          <w:tcPr>
            <w:tcW w:w="561" w:type="pct"/>
            <w:tcBorders>
              <w:bottom w:val="single" w:sz="4" w:space="0" w:color="000000"/>
            </w:tcBorders>
            <w:vAlign w:val="bottom"/>
          </w:tcPr>
          <w:p w14:paraId="0D47D707"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1810D0AE"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bottom w:val="single" w:sz="4" w:space="0" w:color="000000"/>
            </w:tcBorders>
            <w:vAlign w:val="bottom"/>
          </w:tcPr>
          <w:p w14:paraId="5822725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02326F3" w14:textId="77777777" w:rsidTr="001B330E">
        <w:trPr>
          <w:trHeight w:val="23"/>
        </w:trPr>
        <w:tc>
          <w:tcPr>
            <w:tcW w:w="1545" w:type="pct"/>
            <w:tcBorders>
              <w:top w:val="single" w:sz="4" w:space="0" w:color="000000"/>
            </w:tcBorders>
            <w:vAlign w:val="bottom"/>
          </w:tcPr>
          <w:p w14:paraId="73992EB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6" w:type="pct"/>
            <w:tcBorders>
              <w:top w:val="single" w:sz="4" w:space="0" w:color="000000"/>
            </w:tcBorders>
            <w:vAlign w:val="bottom"/>
          </w:tcPr>
          <w:p w14:paraId="56A207DB"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2114539F"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tcBorders>
              <w:top w:val="single" w:sz="4" w:space="0" w:color="000000"/>
            </w:tcBorders>
            <w:vAlign w:val="bottom"/>
          </w:tcPr>
          <w:p w14:paraId="23D8C64B" w14:textId="77777777" w:rsidR="00D83E33" w:rsidRPr="00EA10CF" w:rsidRDefault="00D83E33">
            <w:pPr>
              <w:widowControl w:val="0"/>
              <w:pBdr>
                <w:top w:val="nil"/>
                <w:left w:val="nil"/>
                <w:bottom w:val="nil"/>
                <w:right w:val="nil"/>
                <w:between w:val="nil"/>
              </w:pBdr>
              <w:jc w:val="right"/>
              <w:rPr>
                <w:color w:val="000000"/>
              </w:rPr>
            </w:pPr>
          </w:p>
        </w:tc>
        <w:tc>
          <w:tcPr>
            <w:tcW w:w="561" w:type="pct"/>
            <w:tcBorders>
              <w:top w:val="single" w:sz="4" w:space="0" w:color="000000"/>
            </w:tcBorders>
            <w:vAlign w:val="bottom"/>
          </w:tcPr>
          <w:p w14:paraId="4E3BE251"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6A662AAB"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top w:val="single" w:sz="4" w:space="0" w:color="000000"/>
            </w:tcBorders>
            <w:vAlign w:val="bottom"/>
          </w:tcPr>
          <w:p w14:paraId="6C7FDBE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A9D9C6E" w14:textId="77777777" w:rsidTr="001B330E">
        <w:trPr>
          <w:trHeight w:val="23"/>
        </w:trPr>
        <w:tc>
          <w:tcPr>
            <w:tcW w:w="1545" w:type="pct"/>
            <w:vAlign w:val="bottom"/>
          </w:tcPr>
          <w:p w14:paraId="5F99F47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Timing of revenue recognition:</w:t>
            </w:r>
          </w:p>
        </w:tc>
        <w:tc>
          <w:tcPr>
            <w:tcW w:w="576" w:type="pct"/>
            <w:vAlign w:val="bottom"/>
          </w:tcPr>
          <w:p w14:paraId="30438DC9"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AA32E1D"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512CDD0F"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41297013"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DBD6AC2"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16B576D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1AE3E39" w14:textId="77777777" w:rsidTr="001B330E">
        <w:trPr>
          <w:trHeight w:val="23"/>
        </w:trPr>
        <w:tc>
          <w:tcPr>
            <w:tcW w:w="1545" w:type="pct"/>
            <w:vAlign w:val="bottom"/>
          </w:tcPr>
          <w:p w14:paraId="1B86FEE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At point in time</w:t>
            </w:r>
          </w:p>
        </w:tc>
        <w:tc>
          <w:tcPr>
            <w:tcW w:w="576" w:type="pct"/>
            <w:vAlign w:val="bottom"/>
          </w:tcPr>
          <w:p w14:paraId="24ECCC3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B622E19"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708F34B2"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40E572AC"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D6CFA70"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18D07F3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237EAC9" w14:textId="77777777" w:rsidTr="001B330E">
        <w:trPr>
          <w:trHeight w:val="23"/>
        </w:trPr>
        <w:tc>
          <w:tcPr>
            <w:tcW w:w="1545" w:type="pct"/>
            <w:vAlign w:val="bottom"/>
          </w:tcPr>
          <w:p w14:paraId="6495DC3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Over time</w:t>
            </w:r>
          </w:p>
        </w:tc>
        <w:tc>
          <w:tcPr>
            <w:tcW w:w="576" w:type="pct"/>
            <w:vAlign w:val="bottom"/>
          </w:tcPr>
          <w:p w14:paraId="642EC73B"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19E0FAD"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vAlign w:val="bottom"/>
          </w:tcPr>
          <w:p w14:paraId="57CC599B" w14:textId="77777777" w:rsidR="00D83E33" w:rsidRPr="00EA10CF" w:rsidRDefault="00D83E33">
            <w:pPr>
              <w:widowControl w:val="0"/>
              <w:pBdr>
                <w:top w:val="nil"/>
                <w:left w:val="nil"/>
                <w:bottom w:val="nil"/>
                <w:right w:val="nil"/>
                <w:between w:val="nil"/>
              </w:pBdr>
              <w:jc w:val="right"/>
              <w:rPr>
                <w:color w:val="000000"/>
              </w:rPr>
            </w:pPr>
          </w:p>
        </w:tc>
        <w:tc>
          <w:tcPr>
            <w:tcW w:w="561" w:type="pct"/>
            <w:vAlign w:val="bottom"/>
          </w:tcPr>
          <w:p w14:paraId="55966F97"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743DD5C"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18FBC4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3B87B5" w14:textId="77777777" w:rsidTr="001B330E">
        <w:trPr>
          <w:trHeight w:val="23"/>
        </w:trPr>
        <w:tc>
          <w:tcPr>
            <w:tcW w:w="1545" w:type="pct"/>
            <w:tcBorders>
              <w:bottom w:val="single" w:sz="12" w:space="0" w:color="000000"/>
            </w:tcBorders>
            <w:vAlign w:val="bottom"/>
          </w:tcPr>
          <w:p w14:paraId="0636CA7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6" w:type="pct"/>
            <w:tcBorders>
              <w:bottom w:val="single" w:sz="12" w:space="0" w:color="000000"/>
            </w:tcBorders>
            <w:vAlign w:val="bottom"/>
          </w:tcPr>
          <w:p w14:paraId="7F01AF22"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12" w:space="0" w:color="000000"/>
            </w:tcBorders>
            <w:vAlign w:val="bottom"/>
          </w:tcPr>
          <w:p w14:paraId="7EA8BA3C"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tcBorders>
              <w:bottom w:val="single" w:sz="12" w:space="0" w:color="000000"/>
            </w:tcBorders>
            <w:vAlign w:val="bottom"/>
          </w:tcPr>
          <w:p w14:paraId="29FD9EFD" w14:textId="77777777" w:rsidR="00D83E33" w:rsidRPr="00EA10CF" w:rsidRDefault="00D83E33">
            <w:pPr>
              <w:widowControl w:val="0"/>
              <w:pBdr>
                <w:top w:val="nil"/>
                <w:left w:val="nil"/>
                <w:bottom w:val="nil"/>
                <w:right w:val="nil"/>
                <w:between w:val="nil"/>
              </w:pBdr>
              <w:jc w:val="right"/>
              <w:rPr>
                <w:color w:val="000000"/>
              </w:rPr>
            </w:pPr>
          </w:p>
        </w:tc>
        <w:tc>
          <w:tcPr>
            <w:tcW w:w="561" w:type="pct"/>
            <w:tcBorders>
              <w:bottom w:val="single" w:sz="12" w:space="0" w:color="000000"/>
            </w:tcBorders>
            <w:vAlign w:val="bottom"/>
          </w:tcPr>
          <w:p w14:paraId="01C907E3"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12" w:space="0" w:color="000000"/>
            </w:tcBorders>
            <w:vAlign w:val="bottom"/>
          </w:tcPr>
          <w:p w14:paraId="184036E1"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bottom w:val="single" w:sz="12" w:space="0" w:color="000000"/>
            </w:tcBorders>
            <w:vAlign w:val="bottom"/>
          </w:tcPr>
          <w:p w14:paraId="72861E0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09A4F71" w14:textId="77777777" w:rsidTr="001B330E">
        <w:trPr>
          <w:trHeight w:val="23"/>
        </w:trPr>
        <w:tc>
          <w:tcPr>
            <w:tcW w:w="1545" w:type="pct"/>
            <w:tcBorders>
              <w:top w:val="single" w:sz="12" w:space="0" w:color="000000"/>
            </w:tcBorders>
            <w:vAlign w:val="bottom"/>
          </w:tcPr>
          <w:p w14:paraId="6CD1DA0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6" w:type="pct"/>
            <w:tcBorders>
              <w:top w:val="single" w:sz="12" w:space="0" w:color="000000"/>
            </w:tcBorders>
            <w:vAlign w:val="bottom"/>
          </w:tcPr>
          <w:p w14:paraId="49A65659"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12" w:space="0" w:color="000000"/>
            </w:tcBorders>
            <w:vAlign w:val="bottom"/>
          </w:tcPr>
          <w:p w14:paraId="0D4B6E79" w14:textId="77777777" w:rsidR="00D83E33" w:rsidRPr="00EA10CF" w:rsidRDefault="00D83E33">
            <w:pPr>
              <w:widowControl w:val="0"/>
              <w:pBdr>
                <w:top w:val="nil"/>
                <w:left w:val="nil"/>
                <w:bottom w:val="nil"/>
                <w:right w:val="nil"/>
                <w:between w:val="nil"/>
              </w:pBdr>
              <w:jc w:val="right"/>
              <w:rPr>
                <w:color w:val="000000"/>
              </w:rPr>
            </w:pPr>
          </w:p>
        </w:tc>
        <w:tc>
          <w:tcPr>
            <w:tcW w:w="591" w:type="pct"/>
            <w:gridSpan w:val="2"/>
            <w:tcBorders>
              <w:top w:val="single" w:sz="12" w:space="0" w:color="000000"/>
            </w:tcBorders>
            <w:vAlign w:val="bottom"/>
          </w:tcPr>
          <w:p w14:paraId="21D9DF24" w14:textId="77777777" w:rsidR="00D83E33" w:rsidRPr="00EA10CF" w:rsidRDefault="00D83E33">
            <w:pPr>
              <w:widowControl w:val="0"/>
              <w:pBdr>
                <w:top w:val="nil"/>
                <w:left w:val="nil"/>
                <w:bottom w:val="nil"/>
                <w:right w:val="nil"/>
                <w:between w:val="nil"/>
              </w:pBdr>
              <w:jc w:val="right"/>
              <w:rPr>
                <w:color w:val="000000"/>
              </w:rPr>
            </w:pPr>
          </w:p>
        </w:tc>
        <w:tc>
          <w:tcPr>
            <w:tcW w:w="561" w:type="pct"/>
            <w:tcBorders>
              <w:top w:val="single" w:sz="12" w:space="0" w:color="000000"/>
            </w:tcBorders>
            <w:vAlign w:val="bottom"/>
          </w:tcPr>
          <w:p w14:paraId="3E5230FC"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12" w:space="0" w:color="000000"/>
            </w:tcBorders>
            <w:vAlign w:val="bottom"/>
          </w:tcPr>
          <w:p w14:paraId="722E0345"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top w:val="single" w:sz="12" w:space="0" w:color="000000"/>
            </w:tcBorders>
            <w:vAlign w:val="bottom"/>
          </w:tcPr>
          <w:p w14:paraId="6A40521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EA021E3" w14:textId="77777777" w:rsidTr="001B330E">
        <w:trPr>
          <w:trHeight w:val="23"/>
        </w:trPr>
        <w:tc>
          <w:tcPr>
            <w:tcW w:w="1545" w:type="pct"/>
            <w:vAlign w:val="bottom"/>
          </w:tcPr>
          <w:p w14:paraId="7AE66B0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Interest expense</w:t>
            </w:r>
          </w:p>
        </w:tc>
        <w:tc>
          <w:tcPr>
            <w:tcW w:w="576" w:type="pct"/>
            <w:vAlign w:val="bottom"/>
          </w:tcPr>
          <w:p w14:paraId="74A4E898"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57C159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4542961"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1BC42FA7"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064E319"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969103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1E6491D" w14:textId="77777777" w:rsidTr="001B330E">
        <w:trPr>
          <w:trHeight w:val="23"/>
        </w:trPr>
        <w:tc>
          <w:tcPr>
            <w:tcW w:w="1545" w:type="pct"/>
            <w:vAlign w:val="bottom"/>
          </w:tcPr>
          <w:p w14:paraId="4040F0BC" w14:textId="7777777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00"/>
              </w:rPr>
              <w:t xml:space="preserve">Credit loss allowance </w:t>
            </w:r>
          </w:p>
        </w:tc>
        <w:tc>
          <w:tcPr>
            <w:tcW w:w="576" w:type="pct"/>
            <w:vAlign w:val="bottom"/>
          </w:tcPr>
          <w:p w14:paraId="16602C0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2859FDA"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B520E1D"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75F456E9"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9B71A76"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07EF76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1BA1224" w14:textId="77777777" w:rsidTr="001B330E">
        <w:trPr>
          <w:trHeight w:val="23"/>
        </w:trPr>
        <w:tc>
          <w:tcPr>
            <w:tcW w:w="1545" w:type="pct"/>
            <w:vAlign w:val="bottom"/>
          </w:tcPr>
          <w:p w14:paraId="5A8FD2C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Impairment of debt securities at FVOCI</w:t>
            </w:r>
          </w:p>
        </w:tc>
        <w:tc>
          <w:tcPr>
            <w:tcW w:w="576" w:type="pct"/>
            <w:vAlign w:val="bottom"/>
          </w:tcPr>
          <w:p w14:paraId="5A96C03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458CB3B"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D797AB0"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78648D1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486E0A3"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0564A92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B87204D" w14:textId="77777777" w:rsidTr="001B330E">
        <w:trPr>
          <w:trHeight w:val="23"/>
        </w:trPr>
        <w:tc>
          <w:tcPr>
            <w:tcW w:w="1545" w:type="pct"/>
            <w:vAlign w:val="bottom"/>
          </w:tcPr>
          <w:p w14:paraId="5A56A1CE"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Provision for credit related commitments</w:t>
            </w:r>
          </w:p>
        </w:tc>
        <w:tc>
          <w:tcPr>
            <w:tcW w:w="576" w:type="pct"/>
            <w:vAlign w:val="bottom"/>
          </w:tcPr>
          <w:p w14:paraId="488A348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90EF87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E5EAEA4"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215EB973"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9FD2B85"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107B76B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202563F" w14:textId="77777777" w:rsidTr="001B330E">
        <w:trPr>
          <w:trHeight w:val="23"/>
        </w:trPr>
        <w:tc>
          <w:tcPr>
            <w:tcW w:w="1545" w:type="pct"/>
            <w:vAlign w:val="bottom"/>
          </w:tcPr>
          <w:p w14:paraId="39EF1C8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Fee and commission expense</w:t>
            </w:r>
          </w:p>
        </w:tc>
        <w:tc>
          <w:tcPr>
            <w:tcW w:w="576" w:type="pct"/>
            <w:vAlign w:val="bottom"/>
          </w:tcPr>
          <w:p w14:paraId="2526A9A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7467AFA"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5E89B77"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07A10B7C"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8425310"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33795D7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02A5DBE" w14:textId="77777777" w:rsidTr="001B330E">
        <w:trPr>
          <w:trHeight w:val="23"/>
        </w:trPr>
        <w:tc>
          <w:tcPr>
            <w:tcW w:w="1545" w:type="pct"/>
            <w:vAlign w:val="bottom"/>
          </w:tcPr>
          <w:p w14:paraId="3EB3907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financial derivatives</w:t>
            </w:r>
          </w:p>
        </w:tc>
        <w:tc>
          <w:tcPr>
            <w:tcW w:w="576" w:type="pct"/>
            <w:vAlign w:val="bottom"/>
          </w:tcPr>
          <w:p w14:paraId="09B92BED"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FD6D3A7"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F827C1F"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1BE06B8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B8B0C91"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06DD25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F53EE76" w14:textId="77777777" w:rsidTr="001B330E">
        <w:trPr>
          <w:trHeight w:val="23"/>
        </w:trPr>
        <w:tc>
          <w:tcPr>
            <w:tcW w:w="1545" w:type="pct"/>
            <w:vAlign w:val="bottom"/>
          </w:tcPr>
          <w:p w14:paraId="345B26A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securities at FVTPL</w:t>
            </w:r>
          </w:p>
        </w:tc>
        <w:tc>
          <w:tcPr>
            <w:tcW w:w="576" w:type="pct"/>
            <w:vAlign w:val="bottom"/>
          </w:tcPr>
          <w:p w14:paraId="27E6AC5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76E26A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7CD8C1E"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63851E4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4E6AF22"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20D9671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1D5E7D" w14:textId="77777777" w:rsidTr="001B330E">
        <w:trPr>
          <w:trHeight w:val="23"/>
        </w:trPr>
        <w:tc>
          <w:tcPr>
            <w:tcW w:w="1545" w:type="pct"/>
            <w:vAlign w:val="bottom"/>
          </w:tcPr>
          <w:p w14:paraId="61F0054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trading in foreign currencies</w:t>
            </w:r>
          </w:p>
        </w:tc>
        <w:tc>
          <w:tcPr>
            <w:tcW w:w="576" w:type="pct"/>
            <w:vAlign w:val="bottom"/>
          </w:tcPr>
          <w:p w14:paraId="50082C0B"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48E905D"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C452EFA"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15281BF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EC4AE57"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1A61058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3A6FAF6" w14:textId="77777777" w:rsidTr="001B330E">
        <w:trPr>
          <w:trHeight w:val="23"/>
        </w:trPr>
        <w:tc>
          <w:tcPr>
            <w:tcW w:w="1545" w:type="pct"/>
            <w:vAlign w:val="bottom"/>
          </w:tcPr>
          <w:p w14:paraId="5CBEAA7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on revaluation of investment properties</w:t>
            </w:r>
          </w:p>
        </w:tc>
        <w:tc>
          <w:tcPr>
            <w:tcW w:w="576" w:type="pct"/>
            <w:vAlign w:val="bottom"/>
          </w:tcPr>
          <w:p w14:paraId="199E74E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EF72A9D"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B2AB66F"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50A57B4B"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777C435"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8AF2EE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19D6B5B" w14:textId="77777777" w:rsidTr="001B330E">
        <w:trPr>
          <w:trHeight w:val="23"/>
        </w:trPr>
        <w:tc>
          <w:tcPr>
            <w:tcW w:w="1545" w:type="pct"/>
            <w:vAlign w:val="bottom"/>
          </w:tcPr>
          <w:p w14:paraId="37F654D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Foreign exchange translation gains less losses</w:t>
            </w:r>
          </w:p>
        </w:tc>
        <w:tc>
          <w:tcPr>
            <w:tcW w:w="576" w:type="pct"/>
            <w:vAlign w:val="bottom"/>
          </w:tcPr>
          <w:p w14:paraId="0021425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6FA46EB"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A7F53E8"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21C2A569"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35066AC"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E7FA30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683EA85" w14:textId="77777777" w:rsidTr="001B330E">
        <w:trPr>
          <w:trHeight w:val="23"/>
        </w:trPr>
        <w:tc>
          <w:tcPr>
            <w:tcW w:w="1545" w:type="pct"/>
            <w:vAlign w:val="bottom"/>
          </w:tcPr>
          <w:p w14:paraId="0F2C3DA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disposals of debt securities at FVOCI</w:t>
            </w:r>
          </w:p>
        </w:tc>
        <w:tc>
          <w:tcPr>
            <w:tcW w:w="576" w:type="pct"/>
            <w:vAlign w:val="bottom"/>
          </w:tcPr>
          <w:p w14:paraId="2F450C7A"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6FC7223"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DB36153"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05A97C9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21E71DB"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502C67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AC20E69" w14:textId="77777777" w:rsidTr="001B330E">
        <w:trPr>
          <w:trHeight w:val="23"/>
        </w:trPr>
        <w:tc>
          <w:tcPr>
            <w:tcW w:w="1545" w:type="pct"/>
            <w:vAlign w:val="bottom"/>
          </w:tcPr>
          <w:p w14:paraId="0DC8A16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Gains/(losses) arising from early retirement of debt</w:t>
            </w:r>
          </w:p>
        </w:tc>
        <w:tc>
          <w:tcPr>
            <w:tcW w:w="576" w:type="pct"/>
            <w:vAlign w:val="bottom"/>
          </w:tcPr>
          <w:p w14:paraId="64E4788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BF1C9C3"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5D60013"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2DCDC89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A964F02"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0361D20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56FC77" w14:textId="77777777" w:rsidTr="001B330E">
        <w:trPr>
          <w:trHeight w:val="23"/>
        </w:trPr>
        <w:tc>
          <w:tcPr>
            <w:tcW w:w="1545" w:type="pct"/>
            <w:vAlign w:val="bottom"/>
          </w:tcPr>
          <w:p w14:paraId="61AFA5C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Administrative and other operating expenses </w:t>
            </w:r>
          </w:p>
        </w:tc>
        <w:tc>
          <w:tcPr>
            <w:tcW w:w="576" w:type="pct"/>
            <w:vAlign w:val="bottom"/>
          </w:tcPr>
          <w:p w14:paraId="2A771EF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6EB4CC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BEE76B0"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064C47C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76B8C11"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33E9470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E4EB763" w14:textId="77777777" w:rsidTr="001B330E">
        <w:trPr>
          <w:trHeight w:val="23"/>
        </w:trPr>
        <w:tc>
          <w:tcPr>
            <w:tcW w:w="1545" w:type="pct"/>
            <w:vAlign w:val="bottom"/>
          </w:tcPr>
          <w:p w14:paraId="7F200CAF"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Share of result of associates</w:t>
            </w:r>
          </w:p>
        </w:tc>
        <w:tc>
          <w:tcPr>
            <w:tcW w:w="576" w:type="pct"/>
            <w:vAlign w:val="bottom"/>
          </w:tcPr>
          <w:p w14:paraId="0B93A34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9EB2DC3"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E476550"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64066EE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5D865C8"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39C5A4C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2A354EC" w14:textId="77777777" w:rsidTr="001B330E">
        <w:trPr>
          <w:trHeight w:val="23"/>
        </w:trPr>
        <w:tc>
          <w:tcPr>
            <w:tcW w:w="1545" w:type="pct"/>
            <w:tcBorders>
              <w:bottom w:val="single" w:sz="4" w:space="0" w:color="000000"/>
            </w:tcBorders>
            <w:vAlign w:val="bottom"/>
          </w:tcPr>
          <w:p w14:paraId="5CDE360B"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w:t>
            </w:r>
          </w:p>
        </w:tc>
        <w:tc>
          <w:tcPr>
            <w:tcW w:w="576" w:type="pct"/>
            <w:tcBorders>
              <w:bottom w:val="single" w:sz="4" w:space="0" w:color="000000"/>
            </w:tcBorders>
            <w:vAlign w:val="bottom"/>
          </w:tcPr>
          <w:p w14:paraId="53CC1F2F"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58D52A16"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04BC69EF"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tcBorders>
              <w:bottom w:val="single" w:sz="4" w:space="0" w:color="000000"/>
            </w:tcBorders>
            <w:vAlign w:val="bottom"/>
          </w:tcPr>
          <w:p w14:paraId="4B38A46E"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5708E90D"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bottom w:val="single" w:sz="4" w:space="0" w:color="000000"/>
            </w:tcBorders>
            <w:vAlign w:val="bottom"/>
          </w:tcPr>
          <w:p w14:paraId="0BE1707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67C20A4" w14:textId="77777777" w:rsidTr="001B330E">
        <w:trPr>
          <w:trHeight w:val="23"/>
        </w:trPr>
        <w:tc>
          <w:tcPr>
            <w:tcW w:w="1545" w:type="pct"/>
            <w:tcBorders>
              <w:top w:val="single" w:sz="4" w:space="0" w:color="000000"/>
            </w:tcBorders>
            <w:vAlign w:val="bottom"/>
          </w:tcPr>
          <w:p w14:paraId="2EFDD29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w:t>
            </w:r>
          </w:p>
        </w:tc>
        <w:tc>
          <w:tcPr>
            <w:tcW w:w="576" w:type="pct"/>
            <w:tcBorders>
              <w:top w:val="single" w:sz="4" w:space="0" w:color="000000"/>
            </w:tcBorders>
            <w:vAlign w:val="bottom"/>
          </w:tcPr>
          <w:p w14:paraId="5A84405F"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1EA656BA"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6E59EBB8"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tcBorders>
              <w:top w:val="single" w:sz="4" w:space="0" w:color="000000"/>
            </w:tcBorders>
            <w:vAlign w:val="bottom"/>
          </w:tcPr>
          <w:p w14:paraId="0AB4DCFF"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top w:val="single" w:sz="4" w:space="0" w:color="000000"/>
            </w:tcBorders>
            <w:vAlign w:val="bottom"/>
          </w:tcPr>
          <w:p w14:paraId="578ECC85"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top w:val="single" w:sz="4" w:space="0" w:color="000000"/>
            </w:tcBorders>
            <w:vAlign w:val="bottom"/>
          </w:tcPr>
          <w:p w14:paraId="1C48F8C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0222F3" w14:textId="77777777" w:rsidTr="001B330E">
        <w:trPr>
          <w:trHeight w:val="23"/>
        </w:trPr>
        <w:tc>
          <w:tcPr>
            <w:tcW w:w="1545" w:type="pct"/>
            <w:vAlign w:val="bottom"/>
          </w:tcPr>
          <w:p w14:paraId="52FCF836"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Segment result</w:t>
            </w:r>
          </w:p>
        </w:tc>
        <w:tc>
          <w:tcPr>
            <w:tcW w:w="576" w:type="pct"/>
            <w:vAlign w:val="bottom"/>
          </w:tcPr>
          <w:p w14:paraId="4DCB182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36A05D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56E6D4F"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vAlign w:val="bottom"/>
          </w:tcPr>
          <w:p w14:paraId="48643AA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829FE8A"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0E16DBF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08E1C2A" w14:textId="77777777" w:rsidTr="001B330E">
        <w:trPr>
          <w:trHeight w:val="23"/>
        </w:trPr>
        <w:tc>
          <w:tcPr>
            <w:tcW w:w="1545" w:type="pct"/>
            <w:tcBorders>
              <w:bottom w:val="single" w:sz="12" w:space="0" w:color="000000"/>
            </w:tcBorders>
            <w:vAlign w:val="bottom"/>
          </w:tcPr>
          <w:p w14:paraId="530373E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6" w:type="pct"/>
            <w:tcBorders>
              <w:bottom w:val="single" w:sz="12" w:space="0" w:color="000000"/>
            </w:tcBorders>
            <w:vAlign w:val="bottom"/>
          </w:tcPr>
          <w:p w14:paraId="46835F61"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12" w:space="0" w:color="000000"/>
            </w:tcBorders>
            <w:vAlign w:val="bottom"/>
          </w:tcPr>
          <w:p w14:paraId="38EEF7FC"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12" w:space="0" w:color="000000"/>
            </w:tcBorders>
            <w:vAlign w:val="bottom"/>
          </w:tcPr>
          <w:p w14:paraId="42AC6007" w14:textId="77777777" w:rsidR="00D83E33" w:rsidRPr="00EA10CF" w:rsidRDefault="00D83E33">
            <w:pPr>
              <w:widowControl w:val="0"/>
              <w:pBdr>
                <w:top w:val="nil"/>
                <w:left w:val="nil"/>
                <w:bottom w:val="nil"/>
                <w:right w:val="nil"/>
                <w:between w:val="nil"/>
              </w:pBdr>
              <w:jc w:val="right"/>
              <w:rPr>
                <w:color w:val="000000"/>
              </w:rPr>
            </w:pPr>
          </w:p>
        </w:tc>
        <w:tc>
          <w:tcPr>
            <w:tcW w:w="576" w:type="pct"/>
            <w:gridSpan w:val="2"/>
            <w:tcBorders>
              <w:bottom w:val="single" w:sz="12" w:space="0" w:color="000000"/>
            </w:tcBorders>
            <w:vAlign w:val="bottom"/>
          </w:tcPr>
          <w:p w14:paraId="69ECD271"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12" w:space="0" w:color="000000"/>
            </w:tcBorders>
            <w:vAlign w:val="bottom"/>
          </w:tcPr>
          <w:p w14:paraId="3D523A74"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bottom w:val="single" w:sz="12" w:space="0" w:color="000000"/>
            </w:tcBorders>
            <w:vAlign w:val="bottom"/>
          </w:tcPr>
          <w:p w14:paraId="16994238" w14:textId="77777777" w:rsidR="00D83E33" w:rsidRPr="00EA10CF" w:rsidRDefault="00D83E33">
            <w:pPr>
              <w:widowControl w:val="0"/>
              <w:pBdr>
                <w:top w:val="nil"/>
                <w:left w:val="nil"/>
                <w:bottom w:val="nil"/>
                <w:right w:val="nil"/>
                <w:between w:val="nil"/>
              </w:pBdr>
              <w:jc w:val="right"/>
              <w:rPr>
                <w:color w:val="000000"/>
              </w:rPr>
            </w:pPr>
          </w:p>
        </w:tc>
      </w:tr>
    </w:tbl>
    <w:p w14:paraId="36DB251D" w14:textId="6D7F5C06" w:rsidR="00D83E33" w:rsidRDefault="00BC4072" w:rsidP="001B330E">
      <w:pPr>
        <w:pStyle w:val="Continued"/>
      </w:pPr>
      <w:r>
        <w:lastRenderedPageBreak/>
        <w:t>40</w:t>
      </w:r>
      <w:r>
        <w:tab/>
        <w:t>Segment Analysis (Continued)</w:t>
      </w:r>
    </w:p>
    <w:p w14:paraId="102BA9AC" w14:textId="38E7F89D"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Segment information for the reportable segments for the year ended 31</w:t>
      </w:r>
      <w:r w:rsidR="00181687">
        <w:rPr>
          <w:color w:val="000000"/>
          <w:sz w:val="20"/>
          <w:szCs w:val="20"/>
        </w:rPr>
        <w:t> December </w:t>
      </w:r>
      <w:r w:rsidR="00541EBC">
        <w:rPr>
          <w:color w:val="000000"/>
          <w:sz w:val="20"/>
          <w:szCs w:val="20"/>
        </w:rPr>
        <w:t>2023</w:t>
      </w:r>
      <w:r>
        <w:rPr>
          <w:color w:val="000000"/>
          <w:sz w:val="20"/>
          <w:szCs w:val="20"/>
        </w:rPr>
        <w:t xml:space="preserve"> is set out below:</w:t>
      </w:r>
    </w:p>
    <w:tbl>
      <w:tblPr>
        <w:tblStyle w:val="afffffffffffff2"/>
        <w:tblW w:w="5000" w:type="pct"/>
        <w:tblLayout w:type="fixed"/>
        <w:tblLook w:val="0000" w:firstRow="0" w:lastRow="0" w:firstColumn="0" w:lastColumn="0" w:noHBand="0" w:noVBand="0"/>
      </w:tblPr>
      <w:tblGrid>
        <w:gridCol w:w="2890"/>
        <w:gridCol w:w="1077"/>
        <w:gridCol w:w="1078"/>
        <w:gridCol w:w="1078"/>
        <w:gridCol w:w="28"/>
        <w:gridCol w:w="1050"/>
        <w:gridCol w:w="1078"/>
        <w:gridCol w:w="1076"/>
      </w:tblGrid>
      <w:tr w:rsidR="00D83E33" w:rsidRPr="00234DAF" w14:paraId="0551A64C" w14:textId="77777777" w:rsidTr="001B330E">
        <w:trPr>
          <w:trHeight w:val="23"/>
          <w:tblHeader/>
        </w:trPr>
        <w:tc>
          <w:tcPr>
            <w:tcW w:w="1545" w:type="pct"/>
            <w:tcBorders>
              <w:bottom w:val="single" w:sz="4" w:space="0" w:color="000000"/>
            </w:tcBorders>
            <w:vAlign w:val="bottom"/>
          </w:tcPr>
          <w:p w14:paraId="7618E0AE" w14:textId="53B07547" w:rsidR="00D83E33" w:rsidRPr="00372E26" w:rsidRDefault="00313B4D" w:rsidP="001B330E">
            <w:pPr>
              <w:widowControl w:val="0"/>
              <w:pBdr>
                <w:top w:val="nil"/>
                <w:left w:val="nil"/>
                <w:bottom w:val="nil"/>
                <w:right w:val="nil"/>
                <w:between w:val="nil"/>
              </w:pBdr>
              <w:ind w:left="113" w:hanging="113"/>
              <w:rPr>
                <w:i/>
                <w:color w:val="000000"/>
                <w:sz w:val="16"/>
                <w:szCs w:val="16"/>
              </w:rPr>
            </w:pPr>
            <w:r w:rsidRPr="00372E26">
              <w:rPr>
                <w:i/>
                <w:color w:val="000000"/>
                <w:sz w:val="16"/>
                <w:szCs w:val="16"/>
              </w:rPr>
              <w:t xml:space="preserve">In thousands of </w:t>
            </w:r>
            <w:r w:rsidR="002649EE" w:rsidRPr="00372E26">
              <w:rPr>
                <w:i/>
                <w:color w:val="000000"/>
                <w:sz w:val="16"/>
                <w:szCs w:val="16"/>
              </w:rPr>
              <w:t>EUR</w:t>
            </w:r>
          </w:p>
        </w:tc>
        <w:tc>
          <w:tcPr>
            <w:tcW w:w="576" w:type="pct"/>
            <w:tcBorders>
              <w:bottom w:val="single" w:sz="4" w:space="0" w:color="000000"/>
            </w:tcBorders>
          </w:tcPr>
          <w:p w14:paraId="33707211"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Retail</w:t>
            </w:r>
          </w:p>
          <w:p w14:paraId="7BD4BD94"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banking</w:t>
            </w:r>
          </w:p>
        </w:tc>
        <w:tc>
          <w:tcPr>
            <w:tcW w:w="576" w:type="pct"/>
            <w:tcBorders>
              <w:bottom w:val="single" w:sz="4" w:space="0" w:color="000000"/>
            </w:tcBorders>
          </w:tcPr>
          <w:p w14:paraId="2B79DAF1"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Corporate banking</w:t>
            </w:r>
          </w:p>
        </w:tc>
        <w:tc>
          <w:tcPr>
            <w:tcW w:w="576" w:type="pct"/>
            <w:tcBorders>
              <w:bottom w:val="single" w:sz="4" w:space="0" w:color="000000"/>
            </w:tcBorders>
          </w:tcPr>
          <w:p w14:paraId="7CD112E8"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Investment banking</w:t>
            </w:r>
          </w:p>
        </w:tc>
        <w:tc>
          <w:tcPr>
            <w:tcW w:w="576" w:type="pct"/>
            <w:gridSpan w:val="2"/>
            <w:tcBorders>
              <w:bottom w:val="single" w:sz="4" w:space="0" w:color="000000"/>
            </w:tcBorders>
          </w:tcPr>
          <w:p w14:paraId="7BCF59CB" w14:textId="77777777" w:rsidR="00D83E33" w:rsidRPr="00372E26" w:rsidRDefault="00BC4072" w:rsidP="001B330E">
            <w:pPr>
              <w:widowControl w:val="0"/>
              <w:pBdr>
                <w:top w:val="nil"/>
                <w:left w:val="nil"/>
                <w:bottom w:val="nil"/>
                <w:right w:val="nil"/>
                <w:between w:val="nil"/>
              </w:pBdr>
              <w:ind w:left="-113"/>
              <w:jc w:val="right"/>
              <w:rPr>
                <w:b/>
                <w:color w:val="0000FF"/>
                <w:sz w:val="16"/>
                <w:szCs w:val="16"/>
              </w:rPr>
            </w:pPr>
            <w:r w:rsidRPr="00372E26">
              <w:rPr>
                <w:b/>
                <w:color w:val="0000FF"/>
                <w:sz w:val="16"/>
                <w:szCs w:val="16"/>
              </w:rPr>
              <w:t>[Other]</w:t>
            </w:r>
          </w:p>
        </w:tc>
        <w:tc>
          <w:tcPr>
            <w:tcW w:w="576" w:type="pct"/>
            <w:tcBorders>
              <w:bottom w:val="single" w:sz="4" w:space="0" w:color="000000"/>
            </w:tcBorders>
          </w:tcPr>
          <w:p w14:paraId="5CB4C957"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Elimina-tions</w:t>
            </w:r>
          </w:p>
        </w:tc>
        <w:tc>
          <w:tcPr>
            <w:tcW w:w="575" w:type="pct"/>
            <w:tcBorders>
              <w:bottom w:val="single" w:sz="4" w:space="0" w:color="000000"/>
            </w:tcBorders>
          </w:tcPr>
          <w:p w14:paraId="1E9CED8B"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Total</w:t>
            </w:r>
          </w:p>
        </w:tc>
      </w:tr>
      <w:tr w:rsidR="00D83E33" w:rsidRPr="00234DAF" w14:paraId="0C2634D1" w14:textId="77777777" w:rsidTr="001B330E">
        <w:trPr>
          <w:trHeight w:val="23"/>
        </w:trPr>
        <w:tc>
          <w:tcPr>
            <w:tcW w:w="1545" w:type="pct"/>
            <w:tcBorders>
              <w:top w:val="single" w:sz="4" w:space="0" w:color="000000"/>
            </w:tcBorders>
            <w:vAlign w:val="bottom"/>
          </w:tcPr>
          <w:p w14:paraId="286558F3"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576" w:type="pct"/>
            <w:tcBorders>
              <w:top w:val="single" w:sz="4" w:space="0" w:color="000000"/>
            </w:tcBorders>
            <w:vAlign w:val="bottom"/>
          </w:tcPr>
          <w:p w14:paraId="5312239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4" w:space="0" w:color="000000"/>
            </w:tcBorders>
            <w:vAlign w:val="bottom"/>
          </w:tcPr>
          <w:p w14:paraId="79ED26D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4" w:space="0" w:color="000000"/>
            </w:tcBorders>
            <w:vAlign w:val="bottom"/>
          </w:tcPr>
          <w:p w14:paraId="19F8A42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tcBorders>
              <w:top w:val="single" w:sz="4" w:space="0" w:color="000000"/>
            </w:tcBorders>
            <w:vAlign w:val="bottom"/>
          </w:tcPr>
          <w:p w14:paraId="72BF660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4" w:space="0" w:color="000000"/>
            </w:tcBorders>
            <w:vAlign w:val="bottom"/>
          </w:tcPr>
          <w:p w14:paraId="33BA1B4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tcBorders>
              <w:top w:val="single" w:sz="4" w:space="0" w:color="000000"/>
            </w:tcBorders>
            <w:vAlign w:val="bottom"/>
          </w:tcPr>
          <w:p w14:paraId="05B5024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6E290D8F" w14:textId="77777777" w:rsidTr="001B330E">
        <w:trPr>
          <w:trHeight w:val="23"/>
        </w:trPr>
        <w:tc>
          <w:tcPr>
            <w:tcW w:w="1545" w:type="pct"/>
            <w:vAlign w:val="bottom"/>
          </w:tcPr>
          <w:p w14:paraId="30C4FE88"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Non-current assets held for sale (or disposal groups)</w:t>
            </w:r>
          </w:p>
        </w:tc>
        <w:tc>
          <w:tcPr>
            <w:tcW w:w="576" w:type="pct"/>
            <w:vAlign w:val="bottom"/>
          </w:tcPr>
          <w:p w14:paraId="106581A0"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212A7EEA"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76539BCA"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vAlign w:val="bottom"/>
          </w:tcPr>
          <w:p w14:paraId="008C8AD9"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2AB7610E"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vAlign w:val="bottom"/>
          </w:tcPr>
          <w:p w14:paraId="58130EBB"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43EABD87" w14:textId="77777777" w:rsidTr="001B330E">
        <w:trPr>
          <w:trHeight w:val="23"/>
        </w:trPr>
        <w:tc>
          <w:tcPr>
            <w:tcW w:w="1545" w:type="pct"/>
            <w:vAlign w:val="bottom"/>
          </w:tcPr>
          <w:p w14:paraId="37FA2594"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Investment in associates </w:t>
            </w:r>
          </w:p>
        </w:tc>
        <w:tc>
          <w:tcPr>
            <w:tcW w:w="576" w:type="pct"/>
            <w:vAlign w:val="bottom"/>
          </w:tcPr>
          <w:p w14:paraId="128077B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57D258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D15B6E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1515EC3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51309D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466C4DA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4359C360" w14:textId="77777777" w:rsidTr="001B330E">
        <w:trPr>
          <w:trHeight w:val="23"/>
        </w:trPr>
        <w:tc>
          <w:tcPr>
            <w:tcW w:w="1545" w:type="pct"/>
            <w:vAlign w:val="bottom"/>
          </w:tcPr>
          <w:p w14:paraId="1F75CC0C"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FF"/>
                <w:sz w:val="16"/>
                <w:szCs w:val="16"/>
              </w:rPr>
              <w:t xml:space="preserve">[Other] </w:t>
            </w:r>
            <w:r w:rsidRPr="00372E26">
              <w:rPr>
                <w:color w:val="000000"/>
                <w:sz w:val="16"/>
                <w:szCs w:val="16"/>
              </w:rPr>
              <w:t>reportable segment assets</w:t>
            </w:r>
          </w:p>
        </w:tc>
        <w:tc>
          <w:tcPr>
            <w:tcW w:w="576" w:type="pct"/>
            <w:vAlign w:val="bottom"/>
          </w:tcPr>
          <w:p w14:paraId="0521A056"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7610AAA7"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786FB755"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vAlign w:val="bottom"/>
          </w:tcPr>
          <w:p w14:paraId="70D94305"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59ECFC7E"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vAlign w:val="bottom"/>
          </w:tcPr>
          <w:p w14:paraId="739F5A57"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788E332F" w14:textId="77777777" w:rsidTr="001B330E">
        <w:trPr>
          <w:trHeight w:val="23"/>
        </w:trPr>
        <w:tc>
          <w:tcPr>
            <w:tcW w:w="1545" w:type="pct"/>
            <w:tcBorders>
              <w:bottom w:val="single" w:sz="4" w:space="0" w:color="000000"/>
            </w:tcBorders>
            <w:vAlign w:val="bottom"/>
          </w:tcPr>
          <w:p w14:paraId="65A918CF"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b/>
                <w:color w:val="000000"/>
                <w:sz w:val="16"/>
                <w:szCs w:val="16"/>
              </w:rPr>
              <w:t> </w:t>
            </w:r>
          </w:p>
        </w:tc>
        <w:tc>
          <w:tcPr>
            <w:tcW w:w="576" w:type="pct"/>
            <w:tcBorders>
              <w:bottom w:val="single" w:sz="4" w:space="0" w:color="000000"/>
            </w:tcBorders>
            <w:vAlign w:val="bottom"/>
          </w:tcPr>
          <w:p w14:paraId="23299C5C"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4" w:space="0" w:color="000000"/>
            </w:tcBorders>
            <w:vAlign w:val="bottom"/>
          </w:tcPr>
          <w:p w14:paraId="0E604320"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4" w:space="0" w:color="000000"/>
            </w:tcBorders>
            <w:vAlign w:val="bottom"/>
          </w:tcPr>
          <w:p w14:paraId="1DFBE3F7"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tcBorders>
              <w:bottom w:val="single" w:sz="4" w:space="0" w:color="000000"/>
            </w:tcBorders>
            <w:vAlign w:val="bottom"/>
          </w:tcPr>
          <w:p w14:paraId="63653D31"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4" w:space="0" w:color="000000"/>
            </w:tcBorders>
            <w:vAlign w:val="bottom"/>
          </w:tcPr>
          <w:p w14:paraId="3DE95F10"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tcBorders>
              <w:bottom w:val="single" w:sz="4" w:space="0" w:color="000000"/>
            </w:tcBorders>
            <w:vAlign w:val="bottom"/>
          </w:tcPr>
          <w:p w14:paraId="3CF0AF9F"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468FADE7" w14:textId="77777777" w:rsidTr="001B330E">
        <w:trPr>
          <w:trHeight w:val="23"/>
        </w:trPr>
        <w:tc>
          <w:tcPr>
            <w:tcW w:w="1545" w:type="pct"/>
            <w:tcBorders>
              <w:top w:val="single" w:sz="4" w:space="0" w:color="000000"/>
            </w:tcBorders>
            <w:vAlign w:val="bottom"/>
          </w:tcPr>
          <w:p w14:paraId="024E9CC5"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b/>
                <w:color w:val="000000"/>
                <w:sz w:val="16"/>
                <w:szCs w:val="16"/>
              </w:rPr>
              <w:t> </w:t>
            </w:r>
          </w:p>
        </w:tc>
        <w:tc>
          <w:tcPr>
            <w:tcW w:w="576" w:type="pct"/>
            <w:tcBorders>
              <w:top w:val="single" w:sz="4" w:space="0" w:color="000000"/>
            </w:tcBorders>
            <w:vAlign w:val="bottom"/>
          </w:tcPr>
          <w:p w14:paraId="1CE0ED70"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top w:val="single" w:sz="4" w:space="0" w:color="000000"/>
            </w:tcBorders>
            <w:vAlign w:val="bottom"/>
          </w:tcPr>
          <w:p w14:paraId="7C019A2F"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top w:val="single" w:sz="4" w:space="0" w:color="000000"/>
            </w:tcBorders>
            <w:vAlign w:val="bottom"/>
          </w:tcPr>
          <w:p w14:paraId="6484EC44"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tcBorders>
              <w:top w:val="single" w:sz="4" w:space="0" w:color="000000"/>
            </w:tcBorders>
            <w:vAlign w:val="bottom"/>
          </w:tcPr>
          <w:p w14:paraId="5A68DBD2"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top w:val="single" w:sz="4" w:space="0" w:color="000000"/>
            </w:tcBorders>
            <w:vAlign w:val="bottom"/>
          </w:tcPr>
          <w:p w14:paraId="03C5EF72"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tcBorders>
              <w:top w:val="single" w:sz="4" w:space="0" w:color="000000"/>
            </w:tcBorders>
            <w:vAlign w:val="bottom"/>
          </w:tcPr>
          <w:p w14:paraId="5B7F87F5"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3F665C8C" w14:textId="77777777" w:rsidTr="001B330E">
        <w:trPr>
          <w:trHeight w:val="23"/>
        </w:trPr>
        <w:tc>
          <w:tcPr>
            <w:tcW w:w="1545" w:type="pct"/>
            <w:vAlign w:val="bottom"/>
          </w:tcPr>
          <w:p w14:paraId="110F3FFA" w14:textId="77777777" w:rsidR="00D83E33" w:rsidRPr="00372E26" w:rsidRDefault="00BC4072" w:rsidP="001B330E">
            <w:pPr>
              <w:widowControl w:val="0"/>
              <w:pBdr>
                <w:top w:val="nil"/>
                <w:left w:val="nil"/>
                <w:bottom w:val="nil"/>
                <w:right w:val="nil"/>
                <w:between w:val="nil"/>
              </w:pBdr>
              <w:ind w:left="113" w:hanging="113"/>
              <w:rPr>
                <w:b/>
                <w:color w:val="000000"/>
                <w:sz w:val="16"/>
                <w:szCs w:val="16"/>
              </w:rPr>
            </w:pPr>
            <w:r w:rsidRPr="00372E26">
              <w:rPr>
                <w:b/>
                <w:color w:val="000000"/>
                <w:sz w:val="16"/>
                <w:szCs w:val="16"/>
              </w:rPr>
              <w:t>Total reportable segment assets</w:t>
            </w:r>
          </w:p>
        </w:tc>
        <w:tc>
          <w:tcPr>
            <w:tcW w:w="576" w:type="pct"/>
            <w:vAlign w:val="bottom"/>
          </w:tcPr>
          <w:p w14:paraId="1116111F"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169B87B0"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67B131F8"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vAlign w:val="bottom"/>
          </w:tcPr>
          <w:p w14:paraId="13D6D86E"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3439A591"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vAlign w:val="bottom"/>
          </w:tcPr>
          <w:p w14:paraId="22916898"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2F556DFE" w14:textId="77777777" w:rsidTr="001B330E">
        <w:trPr>
          <w:trHeight w:val="23"/>
        </w:trPr>
        <w:tc>
          <w:tcPr>
            <w:tcW w:w="1545" w:type="pct"/>
            <w:tcBorders>
              <w:bottom w:val="single" w:sz="12" w:space="0" w:color="000000"/>
            </w:tcBorders>
            <w:vAlign w:val="bottom"/>
          </w:tcPr>
          <w:p w14:paraId="54F92BB8" w14:textId="77777777" w:rsidR="00D83E33" w:rsidRPr="00372E26" w:rsidRDefault="00BC4072" w:rsidP="001B330E">
            <w:pPr>
              <w:widowControl w:val="0"/>
              <w:pBdr>
                <w:top w:val="nil"/>
                <w:left w:val="nil"/>
                <w:bottom w:val="nil"/>
                <w:right w:val="nil"/>
                <w:between w:val="nil"/>
              </w:pBdr>
              <w:ind w:left="113" w:hanging="113"/>
              <w:rPr>
                <w:b/>
                <w:color w:val="000000"/>
                <w:sz w:val="16"/>
                <w:szCs w:val="16"/>
              </w:rPr>
            </w:pPr>
            <w:r w:rsidRPr="00372E26">
              <w:rPr>
                <w:b/>
                <w:color w:val="000000"/>
                <w:sz w:val="16"/>
                <w:szCs w:val="16"/>
              </w:rPr>
              <w:t> </w:t>
            </w:r>
          </w:p>
        </w:tc>
        <w:tc>
          <w:tcPr>
            <w:tcW w:w="576" w:type="pct"/>
            <w:tcBorders>
              <w:bottom w:val="single" w:sz="12" w:space="0" w:color="000000"/>
            </w:tcBorders>
            <w:vAlign w:val="bottom"/>
          </w:tcPr>
          <w:p w14:paraId="760F08E8"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12" w:space="0" w:color="000000"/>
            </w:tcBorders>
            <w:vAlign w:val="bottom"/>
          </w:tcPr>
          <w:p w14:paraId="39D5AF08"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12" w:space="0" w:color="000000"/>
            </w:tcBorders>
            <w:vAlign w:val="bottom"/>
          </w:tcPr>
          <w:p w14:paraId="55A89E65"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tcBorders>
              <w:bottom w:val="single" w:sz="12" w:space="0" w:color="000000"/>
            </w:tcBorders>
            <w:vAlign w:val="bottom"/>
          </w:tcPr>
          <w:p w14:paraId="40D17663"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12" w:space="0" w:color="000000"/>
            </w:tcBorders>
            <w:vAlign w:val="bottom"/>
          </w:tcPr>
          <w:p w14:paraId="3EB78ACF"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tcBorders>
              <w:bottom w:val="single" w:sz="12" w:space="0" w:color="000000"/>
            </w:tcBorders>
            <w:vAlign w:val="bottom"/>
          </w:tcPr>
          <w:p w14:paraId="2254EEAF"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6E3758FD" w14:textId="77777777" w:rsidTr="001B330E">
        <w:trPr>
          <w:trHeight w:val="23"/>
        </w:trPr>
        <w:tc>
          <w:tcPr>
            <w:tcW w:w="1545" w:type="pct"/>
            <w:vAlign w:val="bottom"/>
          </w:tcPr>
          <w:p w14:paraId="7B696882"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b/>
                <w:color w:val="000000"/>
                <w:sz w:val="16"/>
                <w:szCs w:val="16"/>
              </w:rPr>
              <w:t> </w:t>
            </w:r>
          </w:p>
        </w:tc>
        <w:tc>
          <w:tcPr>
            <w:tcW w:w="576" w:type="pct"/>
            <w:vAlign w:val="bottom"/>
          </w:tcPr>
          <w:p w14:paraId="15DB4F1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9771089"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07C21B0F"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vAlign w:val="bottom"/>
          </w:tcPr>
          <w:p w14:paraId="3C94C645"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32872B45"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vAlign w:val="bottom"/>
          </w:tcPr>
          <w:p w14:paraId="0693C69E"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4C9E9E5D" w14:textId="77777777" w:rsidTr="001B330E">
        <w:trPr>
          <w:trHeight w:val="23"/>
        </w:trPr>
        <w:tc>
          <w:tcPr>
            <w:tcW w:w="1545" w:type="pct"/>
            <w:vAlign w:val="bottom"/>
          </w:tcPr>
          <w:p w14:paraId="5C5DC796"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Liabilities directly associated with disposal groups held for sale</w:t>
            </w:r>
          </w:p>
        </w:tc>
        <w:tc>
          <w:tcPr>
            <w:tcW w:w="576" w:type="pct"/>
            <w:vAlign w:val="bottom"/>
          </w:tcPr>
          <w:p w14:paraId="14BEB21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72C1F137"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154FD048"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vAlign w:val="bottom"/>
          </w:tcPr>
          <w:p w14:paraId="31F61307"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4844C836"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vAlign w:val="bottom"/>
          </w:tcPr>
          <w:p w14:paraId="11C1A333"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4FF5166C" w14:textId="77777777" w:rsidTr="001B330E">
        <w:trPr>
          <w:trHeight w:val="23"/>
        </w:trPr>
        <w:tc>
          <w:tcPr>
            <w:tcW w:w="1545" w:type="pct"/>
            <w:vAlign w:val="bottom"/>
          </w:tcPr>
          <w:p w14:paraId="7C2E3085"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FF"/>
                <w:sz w:val="16"/>
                <w:szCs w:val="16"/>
              </w:rPr>
              <w:t>[Other]</w:t>
            </w:r>
            <w:r w:rsidRPr="00372E26">
              <w:rPr>
                <w:color w:val="4F81BD"/>
                <w:sz w:val="16"/>
                <w:szCs w:val="16"/>
              </w:rPr>
              <w:t xml:space="preserve"> </w:t>
            </w:r>
            <w:r w:rsidRPr="00372E26">
              <w:rPr>
                <w:color w:val="000000"/>
                <w:sz w:val="16"/>
                <w:szCs w:val="16"/>
              </w:rPr>
              <w:t>reportable segment liabilities</w:t>
            </w:r>
          </w:p>
        </w:tc>
        <w:tc>
          <w:tcPr>
            <w:tcW w:w="576" w:type="pct"/>
            <w:vAlign w:val="bottom"/>
          </w:tcPr>
          <w:p w14:paraId="13085D3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2EE0856"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40C2ABE6"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vAlign w:val="bottom"/>
          </w:tcPr>
          <w:p w14:paraId="07497C89"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293B4F6A"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vAlign w:val="bottom"/>
          </w:tcPr>
          <w:p w14:paraId="63625F76"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001FA03E" w14:textId="77777777" w:rsidTr="001B330E">
        <w:trPr>
          <w:trHeight w:val="23"/>
        </w:trPr>
        <w:tc>
          <w:tcPr>
            <w:tcW w:w="1545" w:type="pct"/>
            <w:tcBorders>
              <w:bottom w:val="single" w:sz="4" w:space="0" w:color="000000"/>
            </w:tcBorders>
            <w:vAlign w:val="bottom"/>
          </w:tcPr>
          <w:p w14:paraId="0869FDF0"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b/>
                <w:color w:val="000000"/>
                <w:sz w:val="16"/>
                <w:szCs w:val="16"/>
              </w:rPr>
              <w:t> </w:t>
            </w:r>
          </w:p>
        </w:tc>
        <w:tc>
          <w:tcPr>
            <w:tcW w:w="576" w:type="pct"/>
            <w:tcBorders>
              <w:bottom w:val="single" w:sz="4" w:space="0" w:color="000000"/>
            </w:tcBorders>
            <w:vAlign w:val="bottom"/>
          </w:tcPr>
          <w:p w14:paraId="653F855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4" w:space="0" w:color="000000"/>
            </w:tcBorders>
            <w:vAlign w:val="bottom"/>
          </w:tcPr>
          <w:p w14:paraId="50EBAB21"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4" w:space="0" w:color="000000"/>
            </w:tcBorders>
            <w:vAlign w:val="bottom"/>
          </w:tcPr>
          <w:p w14:paraId="7C10FE3B"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tcBorders>
              <w:bottom w:val="single" w:sz="4" w:space="0" w:color="000000"/>
            </w:tcBorders>
            <w:vAlign w:val="bottom"/>
          </w:tcPr>
          <w:p w14:paraId="32F61731"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4" w:space="0" w:color="000000"/>
            </w:tcBorders>
            <w:vAlign w:val="bottom"/>
          </w:tcPr>
          <w:p w14:paraId="25E49316"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tcBorders>
              <w:bottom w:val="single" w:sz="4" w:space="0" w:color="000000"/>
            </w:tcBorders>
            <w:vAlign w:val="bottom"/>
          </w:tcPr>
          <w:p w14:paraId="4CEB7621"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0E359A8B" w14:textId="77777777" w:rsidTr="001B330E">
        <w:trPr>
          <w:trHeight w:val="23"/>
        </w:trPr>
        <w:tc>
          <w:tcPr>
            <w:tcW w:w="1545" w:type="pct"/>
            <w:tcBorders>
              <w:top w:val="single" w:sz="4" w:space="0" w:color="000000"/>
            </w:tcBorders>
            <w:vAlign w:val="bottom"/>
          </w:tcPr>
          <w:p w14:paraId="58530C3D"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b/>
                <w:color w:val="000000"/>
                <w:sz w:val="16"/>
                <w:szCs w:val="16"/>
              </w:rPr>
              <w:t> </w:t>
            </w:r>
          </w:p>
        </w:tc>
        <w:tc>
          <w:tcPr>
            <w:tcW w:w="576" w:type="pct"/>
            <w:tcBorders>
              <w:top w:val="single" w:sz="4" w:space="0" w:color="000000"/>
            </w:tcBorders>
            <w:vAlign w:val="bottom"/>
          </w:tcPr>
          <w:p w14:paraId="0509765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4" w:space="0" w:color="000000"/>
            </w:tcBorders>
            <w:vAlign w:val="bottom"/>
          </w:tcPr>
          <w:p w14:paraId="570D212C"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top w:val="single" w:sz="4" w:space="0" w:color="000000"/>
            </w:tcBorders>
            <w:vAlign w:val="bottom"/>
          </w:tcPr>
          <w:p w14:paraId="2DBE78B7"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tcBorders>
              <w:top w:val="single" w:sz="4" w:space="0" w:color="000000"/>
            </w:tcBorders>
            <w:vAlign w:val="bottom"/>
          </w:tcPr>
          <w:p w14:paraId="7F29D540"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top w:val="single" w:sz="4" w:space="0" w:color="000000"/>
            </w:tcBorders>
            <w:vAlign w:val="bottom"/>
          </w:tcPr>
          <w:p w14:paraId="02E6F11D"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tcBorders>
              <w:top w:val="single" w:sz="4" w:space="0" w:color="000000"/>
            </w:tcBorders>
            <w:vAlign w:val="bottom"/>
          </w:tcPr>
          <w:p w14:paraId="70BC988F"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2D25149B" w14:textId="77777777" w:rsidTr="001B330E">
        <w:trPr>
          <w:trHeight w:val="23"/>
        </w:trPr>
        <w:tc>
          <w:tcPr>
            <w:tcW w:w="1545" w:type="pct"/>
            <w:vAlign w:val="bottom"/>
          </w:tcPr>
          <w:p w14:paraId="397682F7" w14:textId="77777777" w:rsidR="00D83E33" w:rsidRPr="00372E26" w:rsidRDefault="00BC4072" w:rsidP="001B330E">
            <w:pPr>
              <w:widowControl w:val="0"/>
              <w:pBdr>
                <w:top w:val="nil"/>
                <w:left w:val="nil"/>
                <w:bottom w:val="nil"/>
                <w:right w:val="nil"/>
                <w:between w:val="nil"/>
              </w:pBdr>
              <w:ind w:left="113" w:hanging="113"/>
              <w:rPr>
                <w:b/>
                <w:color w:val="000000"/>
                <w:sz w:val="16"/>
                <w:szCs w:val="16"/>
              </w:rPr>
            </w:pPr>
            <w:r w:rsidRPr="00372E26">
              <w:rPr>
                <w:b/>
                <w:color w:val="000000"/>
                <w:sz w:val="16"/>
                <w:szCs w:val="16"/>
              </w:rPr>
              <w:t>Total reportable segment liabilities</w:t>
            </w:r>
          </w:p>
        </w:tc>
        <w:tc>
          <w:tcPr>
            <w:tcW w:w="576" w:type="pct"/>
            <w:vAlign w:val="bottom"/>
          </w:tcPr>
          <w:p w14:paraId="128B079D"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7AAFC941"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44C8BDCC"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vAlign w:val="bottom"/>
          </w:tcPr>
          <w:p w14:paraId="64260643"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21CB194D"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vAlign w:val="bottom"/>
          </w:tcPr>
          <w:p w14:paraId="0796541A"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276FB792" w14:textId="77777777" w:rsidTr="001B330E">
        <w:trPr>
          <w:trHeight w:val="23"/>
        </w:trPr>
        <w:tc>
          <w:tcPr>
            <w:tcW w:w="1545" w:type="pct"/>
            <w:tcBorders>
              <w:bottom w:val="single" w:sz="12" w:space="0" w:color="000000"/>
            </w:tcBorders>
            <w:vAlign w:val="bottom"/>
          </w:tcPr>
          <w:p w14:paraId="029449C4" w14:textId="77777777" w:rsidR="00D83E33" w:rsidRPr="00372E26" w:rsidRDefault="00BC4072" w:rsidP="001B330E">
            <w:pPr>
              <w:widowControl w:val="0"/>
              <w:pBdr>
                <w:top w:val="nil"/>
                <w:left w:val="nil"/>
                <w:bottom w:val="nil"/>
                <w:right w:val="nil"/>
                <w:between w:val="nil"/>
              </w:pBdr>
              <w:ind w:left="113" w:hanging="113"/>
              <w:rPr>
                <w:b/>
                <w:color w:val="000000"/>
                <w:sz w:val="16"/>
                <w:szCs w:val="16"/>
              </w:rPr>
            </w:pPr>
            <w:r w:rsidRPr="00372E26">
              <w:rPr>
                <w:b/>
                <w:color w:val="000000"/>
                <w:sz w:val="16"/>
                <w:szCs w:val="16"/>
              </w:rPr>
              <w:t> </w:t>
            </w:r>
          </w:p>
        </w:tc>
        <w:tc>
          <w:tcPr>
            <w:tcW w:w="576" w:type="pct"/>
            <w:tcBorders>
              <w:bottom w:val="single" w:sz="12" w:space="0" w:color="000000"/>
            </w:tcBorders>
            <w:vAlign w:val="bottom"/>
          </w:tcPr>
          <w:p w14:paraId="0DDE944F"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12" w:space="0" w:color="000000"/>
            </w:tcBorders>
            <w:vAlign w:val="bottom"/>
          </w:tcPr>
          <w:p w14:paraId="2EEC65B5"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12" w:space="0" w:color="000000"/>
            </w:tcBorders>
            <w:vAlign w:val="bottom"/>
          </w:tcPr>
          <w:p w14:paraId="3E06946A"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gridSpan w:val="2"/>
            <w:tcBorders>
              <w:bottom w:val="single" w:sz="12" w:space="0" w:color="000000"/>
            </w:tcBorders>
            <w:vAlign w:val="bottom"/>
          </w:tcPr>
          <w:p w14:paraId="1D78812C"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tcBorders>
              <w:bottom w:val="single" w:sz="12" w:space="0" w:color="000000"/>
            </w:tcBorders>
            <w:vAlign w:val="bottom"/>
          </w:tcPr>
          <w:p w14:paraId="33004695"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tcBorders>
              <w:bottom w:val="single" w:sz="12" w:space="0" w:color="000000"/>
            </w:tcBorders>
            <w:vAlign w:val="bottom"/>
          </w:tcPr>
          <w:p w14:paraId="2CA0948D"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5CCDA9B4" w14:textId="77777777" w:rsidTr="001B330E">
        <w:trPr>
          <w:trHeight w:val="23"/>
        </w:trPr>
        <w:tc>
          <w:tcPr>
            <w:tcW w:w="1545" w:type="pct"/>
            <w:vAlign w:val="bottom"/>
          </w:tcPr>
          <w:p w14:paraId="03E2276C"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576" w:type="pct"/>
            <w:vAlign w:val="bottom"/>
          </w:tcPr>
          <w:p w14:paraId="160F035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590122A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B9A99D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150D742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02EA15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57F13D6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4A6DE287" w14:textId="77777777" w:rsidTr="001B330E">
        <w:trPr>
          <w:trHeight w:val="23"/>
        </w:trPr>
        <w:tc>
          <w:tcPr>
            <w:tcW w:w="1545" w:type="pct"/>
            <w:vAlign w:val="bottom"/>
          </w:tcPr>
          <w:p w14:paraId="58F43FF2" w14:textId="77777777" w:rsidR="00D83E33" w:rsidRPr="00372E26" w:rsidRDefault="00BC4072" w:rsidP="001B330E">
            <w:pPr>
              <w:widowControl w:val="0"/>
              <w:pBdr>
                <w:top w:val="nil"/>
                <w:left w:val="nil"/>
                <w:bottom w:val="nil"/>
                <w:right w:val="nil"/>
                <w:between w:val="nil"/>
              </w:pBdr>
              <w:ind w:left="113" w:hanging="113"/>
              <w:rPr>
                <w:b/>
                <w:color w:val="000000"/>
                <w:sz w:val="16"/>
                <w:szCs w:val="16"/>
              </w:rPr>
            </w:pPr>
            <w:r w:rsidRPr="00372E26">
              <w:rPr>
                <w:b/>
                <w:color w:val="000000"/>
                <w:sz w:val="16"/>
                <w:szCs w:val="16"/>
              </w:rPr>
              <w:t xml:space="preserve">Capital expenditure </w:t>
            </w:r>
          </w:p>
        </w:tc>
        <w:tc>
          <w:tcPr>
            <w:tcW w:w="576" w:type="pct"/>
            <w:vAlign w:val="bottom"/>
          </w:tcPr>
          <w:p w14:paraId="2D4613C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7471DCE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F35B1A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59EC9AF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50122D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77A32FC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2F702CD3" w14:textId="77777777" w:rsidTr="001B330E">
        <w:trPr>
          <w:trHeight w:val="23"/>
        </w:trPr>
        <w:tc>
          <w:tcPr>
            <w:tcW w:w="1545" w:type="pct"/>
            <w:tcBorders>
              <w:bottom w:val="single" w:sz="12" w:space="0" w:color="000000"/>
            </w:tcBorders>
            <w:vAlign w:val="bottom"/>
          </w:tcPr>
          <w:p w14:paraId="74983612"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576" w:type="pct"/>
            <w:tcBorders>
              <w:bottom w:val="single" w:sz="12" w:space="0" w:color="000000"/>
            </w:tcBorders>
            <w:vAlign w:val="bottom"/>
          </w:tcPr>
          <w:p w14:paraId="0E5F595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12" w:space="0" w:color="000000"/>
            </w:tcBorders>
            <w:vAlign w:val="bottom"/>
          </w:tcPr>
          <w:p w14:paraId="7AF3EBF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12" w:space="0" w:color="000000"/>
            </w:tcBorders>
            <w:vAlign w:val="bottom"/>
          </w:tcPr>
          <w:p w14:paraId="7AB0893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tcBorders>
              <w:bottom w:val="single" w:sz="12" w:space="0" w:color="000000"/>
            </w:tcBorders>
            <w:vAlign w:val="bottom"/>
          </w:tcPr>
          <w:p w14:paraId="618D1A8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12" w:space="0" w:color="000000"/>
            </w:tcBorders>
            <w:vAlign w:val="bottom"/>
          </w:tcPr>
          <w:p w14:paraId="7D40CB7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tcBorders>
              <w:bottom w:val="single" w:sz="12" w:space="0" w:color="000000"/>
            </w:tcBorders>
            <w:vAlign w:val="bottom"/>
          </w:tcPr>
          <w:p w14:paraId="39CAAD8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074A6C20" w14:textId="77777777" w:rsidTr="001B330E">
        <w:trPr>
          <w:trHeight w:val="23"/>
        </w:trPr>
        <w:tc>
          <w:tcPr>
            <w:tcW w:w="1545" w:type="pct"/>
            <w:vAlign w:val="bottom"/>
          </w:tcPr>
          <w:p w14:paraId="7D745C23"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576" w:type="pct"/>
            <w:vAlign w:val="bottom"/>
          </w:tcPr>
          <w:p w14:paraId="73FFA17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30E29B6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vAlign w:val="bottom"/>
          </w:tcPr>
          <w:p w14:paraId="0071001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vAlign w:val="bottom"/>
          </w:tcPr>
          <w:p w14:paraId="0A1DFA6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3B1C1F2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40E4096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3F0E2511" w14:textId="77777777" w:rsidTr="001B330E">
        <w:trPr>
          <w:trHeight w:val="23"/>
        </w:trPr>
        <w:tc>
          <w:tcPr>
            <w:tcW w:w="1545" w:type="pct"/>
            <w:vAlign w:val="bottom"/>
          </w:tcPr>
          <w:p w14:paraId="4D22ACB7" w14:textId="77777777" w:rsidR="00D83E33" w:rsidRPr="00372E26" w:rsidRDefault="00BC4072" w:rsidP="001B330E">
            <w:pPr>
              <w:widowControl w:val="0"/>
              <w:pBdr>
                <w:top w:val="nil"/>
                <w:left w:val="nil"/>
                <w:bottom w:val="nil"/>
                <w:right w:val="nil"/>
                <w:between w:val="nil"/>
              </w:pBdr>
              <w:ind w:left="113" w:hanging="113"/>
              <w:rPr>
                <w:i/>
                <w:color w:val="000000"/>
                <w:sz w:val="16"/>
                <w:szCs w:val="16"/>
              </w:rPr>
            </w:pPr>
            <w:r w:rsidRPr="00372E26">
              <w:rPr>
                <w:i/>
                <w:color w:val="000000"/>
                <w:sz w:val="16"/>
                <w:szCs w:val="16"/>
              </w:rPr>
              <w:t>External revenues:</w:t>
            </w:r>
          </w:p>
        </w:tc>
        <w:tc>
          <w:tcPr>
            <w:tcW w:w="576" w:type="pct"/>
            <w:vAlign w:val="bottom"/>
          </w:tcPr>
          <w:p w14:paraId="4648BEF3" w14:textId="77777777" w:rsidR="00D83E33" w:rsidRPr="00372E26" w:rsidRDefault="00D83E33" w:rsidP="001B330E">
            <w:pPr>
              <w:widowControl w:val="0"/>
              <w:pBdr>
                <w:top w:val="nil"/>
                <w:left w:val="nil"/>
                <w:bottom w:val="nil"/>
                <w:right w:val="nil"/>
                <w:between w:val="nil"/>
              </w:pBdr>
              <w:jc w:val="right"/>
              <w:rPr>
                <w:i/>
                <w:color w:val="000000"/>
                <w:sz w:val="16"/>
                <w:szCs w:val="16"/>
              </w:rPr>
            </w:pPr>
          </w:p>
        </w:tc>
        <w:tc>
          <w:tcPr>
            <w:tcW w:w="576" w:type="pct"/>
            <w:vAlign w:val="bottom"/>
          </w:tcPr>
          <w:p w14:paraId="6FD23B47" w14:textId="77777777" w:rsidR="00D83E33" w:rsidRPr="00372E26" w:rsidRDefault="00D83E33" w:rsidP="001B330E">
            <w:pPr>
              <w:widowControl w:val="0"/>
              <w:pBdr>
                <w:top w:val="nil"/>
                <w:left w:val="nil"/>
                <w:bottom w:val="nil"/>
                <w:right w:val="nil"/>
                <w:between w:val="nil"/>
              </w:pBdr>
              <w:jc w:val="right"/>
              <w:rPr>
                <w:i/>
                <w:color w:val="000000"/>
                <w:sz w:val="16"/>
                <w:szCs w:val="16"/>
              </w:rPr>
            </w:pPr>
          </w:p>
        </w:tc>
        <w:tc>
          <w:tcPr>
            <w:tcW w:w="591" w:type="pct"/>
            <w:gridSpan w:val="2"/>
            <w:vAlign w:val="bottom"/>
          </w:tcPr>
          <w:p w14:paraId="6F390C2D" w14:textId="77777777" w:rsidR="00D83E33" w:rsidRPr="00372E26" w:rsidRDefault="00D83E33" w:rsidP="001B330E">
            <w:pPr>
              <w:widowControl w:val="0"/>
              <w:pBdr>
                <w:top w:val="nil"/>
                <w:left w:val="nil"/>
                <w:bottom w:val="nil"/>
                <w:right w:val="nil"/>
                <w:between w:val="nil"/>
              </w:pBdr>
              <w:jc w:val="right"/>
              <w:rPr>
                <w:i/>
                <w:color w:val="000000"/>
                <w:sz w:val="16"/>
                <w:szCs w:val="16"/>
              </w:rPr>
            </w:pPr>
          </w:p>
        </w:tc>
        <w:tc>
          <w:tcPr>
            <w:tcW w:w="561" w:type="pct"/>
            <w:vAlign w:val="bottom"/>
          </w:tcPr>
          <w:p w14:paraId="7A94FE13" w14:textId="77777777" w:rsidR="00D83E33" w:rsidRPr="00372E26" w:rsidRDefault="00D83E33" w:rsidP="001B330E">
            <w:pPr>
              <w:widowControl w:val="0"/>
              <w:pBdr>
                <w:top w:val="nil"/>
                <w:left w:val="nil"/>
                <w:bottom w:val="nil"/>
                <w:right w:val="nil"/>
                <w:between w:val="nil"/>
              </w:pBdr>
              <w:jc w:val="right"/>
              <w:rPr>
                <w:i/>
                <w:color w:val="000000"/>
                <w:sz w:val="16"/>
                <w:szCs w:val="16"/>
              </w:rPr>
            </w:pPr>
          </w:p>
        </w:tc>
        <w:tc>
          <w:tcPr>
            <w:tcW w:w="576" w:type="pct"/>
            <w:vAlign w:val="bottom"/>
          </w:tcPr>
          <w:p w14:paraId="40E4161D" w14:textId="77777777" w:rsidR="00D83E33" w:rsidRPr="00372E26" w:rsidRDefault="00D83E33" w:rsidP="001B330E">
            <w:pPr>
              <w:widowControl w:val="0"/>
              <w:pBdr>
                <w:top w:val="nil"/>
                <w:left w:val="nil"/>
                <w:bottom w:val="nil"/>
                <w:right w:val="nil"/>
                <w:between w:val="nil"/>
              </w:pBdr>
              <w:jc w:val="right"/>
              <w:rPr>
                <w:i/>
                <w:color w:val="000000"/>
                <w:sz w:val="16"/>
                <w:szCs w:val="16"/>
              </w:rPr>
            </w:pPr>
          </w:p>
        </w:tc>
        <w:tc>
          <w:tcPr>
            <w:tcW w:w="575" w:type="pct"/>
            <w:vAlign w:val="bottom"/>
          </w:tcPr>
          <w:p w14:paraId="09313014" w14:textId="77777777" w:rsidR="00D83E33" w:rsidRPr="00372E26" w:rsidRDefault="00D83E33" w:rsidP="001B330E">
            <w:pPr>
              <w:widowControl w:val="0"/>
              <w:pBdr>
                <w:top w:val="nil"/>
                <w:left w:val="nil"/>
                <w:bottom w:val="nil"/>
                <w:right w:val="nil"/>
                <w:between w:val="nil"/>
              </w:pBdr>
              <w:jc w:val="right"/>
              <w:rPr>
                <w:i/>
                <w:color w:val="000000"/>
                <w:sz w:val="16"/>
                <w:szCs w:val="16"/>
              </w:rPr>
            </w:pPr>
          </w:p>
        </w:tc>
      </w:tr>
      <w:tr w:rsidR="00D83E33" w:rsidRPr="00234DAF" w14:paraId="0C8CC1A7" w14:textId="77777777" w:rsidTr="001B330E">
        <w:trPr>
          <w:trHeight w:val="23"/>
        </w:trPr>
        <w:tc>
          <w:tcPr>
            <w:tcW w:w="1545" w:type="pct"/>
            <w:vAlign w:val="bottom"/>
          </w:tcPr>
          <w:p w14:paraId="1CB0C0B0"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Interest income</w:t>
            </w:r>
          </w:p>
        </w:tc>
        <w:tc>
          <w:tcPr>
            <w:tcW w:w="576" w:type="pct"/>
            <w:vAlign w:val="bottom"/>
          </w:tcPr>
          <w:p w14:paraId="43DCECA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D700F9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vAlign w:val="bottom"/>
          </w:tcPr>
          <w:p w14:paraId="1F13324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vAlign w:val="bottom"/>
          </w:tcPr>
          <w:p w14:paraId="3E7BC10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CA8119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46B7999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0818BD37" w14:textId="77777777" w:rsidTr="001B330E">
        <w:trPr>
          <w:trHeight w:val="23"/>
        </w:trPr>
        <w:tc>
          <w:tcPr>
            <w:tcW w:w="1545" w:type="pct"/>
            <w:vAlign w:val="bottom"/>
          </w:tcPr>
          <w:p w14:paraId="0EEDDE31"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Fee and commission income</w:t>
            </w:r>
          </w:p>
        </w:tc>
        <w:tc>
          <w:tcPr>
            <w:tcW w:w="576" w:type="pct"/>
            <w:vAlign w:val="bottom"/>
          </w:tcPr>
          <w:p w14:paraId="5671ABF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1DEABA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vAlign w:val="bottom"/>
          </w:tcPr>
          <w:p w14:paraId="366BCA6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vAlign w:val="bottom"/>
          </w:tcPr>
          <w:p w14:paraId="603FEB9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F3DDF7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53B2A96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1CC75052" w14:textId="77777777" w:rsidTr="001B330E">
        <w:trPr>
          <w:trHeight w:val="23"/>
        </w:trPr>
        <w:tc>
          <w:tcPr>
            <w:tcW w:w="1545" w:type="pct"/>
            <w:vAlign w:val="bottom"/>
          </w:tcPr>
          <w:p w14:paraId="381FABB1"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 Other operating income </w:t>
            </w:r>
          </w:p>
        </w:tc>
        <w:tc>
          <w:tcPr>
            <w:tcW w:w="576" w:type="pct"/>
            <w:vAlign w:val="bottom"/>
          </w:tcPr>
          <w:p w14:paraId="320A6E6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553B569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vAlign w:val="bottom"/>
          </w:tcPr>
          <w:p w14:paraId="6075B68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vAlign w:val="bottom"/>
          </w:tcPr>
          <w:p w14:paraId="1EE7FA1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471FBC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63D5D13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199997D3" w14:textId="77777777" w:rsidTr="001B330E">
        <w:trPr>
          <w:trHeight w:val="23"/>
        </w:trPr>
        <w:tc>
          <w:tcPr>
            <w:tcW w:w="1545" w:type="pct"/>
            <w:vAlign w:val="bottom"/>
          </w:tcPr>
          <w:p w14:paraId="25611582"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576" w:type="pct"/>
            <w:vAlign w:val="bottom"/>
          </w:tcPr>
          <w:p w14:paraId="1882ED2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71D0AB3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vAlign w:val="bottom"/>
          </w:tcPr>
          <w:p w14:paraId="6D46143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vAlign w:val="bottom"/>
          </w:tcPr>
          <w:p w14:paraId="348309F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221AC7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00E2D88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0BF232D4" w14:textId="77777777" w:rsidTr="001B330E">
        <w:trPr>
          <w:trHeight w:val="23"/>
        </w:trPr>
        <w:tc>
          <w:tcPr>
            <w:tcW w:w="1545" w:type="pct"/>
            <w:vAlign w:val="bottom"/>
          </w:tcPr>
          <w:p w14:paraId="346238E5"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Revenues from other segments</w:t>
            </w:r>
          </w:p>
        </w:tc>
        <w:tc>
          <w:tcPr>
            <w:tcW w:w="576" w:type="pct"/>
            <w:vAlign w:val="bottom"/>
          </w:tcPr>
          <w:p w14:paraId="372D73D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5C285C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vAlign w:val="bottom"/>
          </w:tcPr>
          <w:p w14:paraId="7292934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vAlign w:val="bottom"/>
          </w:tcPr>
          <w:p w14:paraId="7C2829C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BD6EF2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6FA0EEB3" w14:textId="77777777" w:rsidR="00D83E33" w:rsidRPr="00372E26" w:rsidRDefault="00BC4072" w:rsidP="001B330E">
            <w:pPr>
              <w:widowControl w:val="0"/>
              <w:pBdr>
                <w:top w:val="nil"/>
                <w:left w:val="nil"/>
                <w:bottom w:val="nil"/>
                <w:right w:val="nil"/>
                <w:between w:val="nil"/>
              </w:pBdr>
              <w:jc w:val="right"/>
              <w:rPr>
                <w:color w:val="000000"/>
                <w:sz w:val="16"/>
                <w:szCs w:val="16"/>
              </w:rPr>
            </w:pPr>
            <w:r w:rsidRPr="00372E26">
              <w:rPr>
                <w:color w:val="000000"/>
                <w:sz w:val="16"/>
                <w:szCs w:val="16"/>
              </w:rPr>
              <w:t>-</w:t>
            </w:r>
          </w:p>
        </w:tc>
      </w:tr>
      <w:tr w:rsidR="00D83E33" w:rsidRPr="00234DAF" w14:paraId="737D9EDE" w14:textId="77777777" w:rsidTr="001B330E">
        <w:trPr>
          <w:trHeight w:val="23"/>
        </w:trPr>
        <w:tc>
          <w:tcPr>
            <w:tcW w:w="1545" w:type="pct"/>
            <w:vAlign w:val="bottom"/>
          </w:tcPr>
          <w:p w14:paraId="6594B4C6"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Interest income</w:t>
            </w:r>
          </w:p>
        </w:tc>
        <w:tc>
          <w:tcPr>
            <w:tcW w:w="576" w:type="pct"/>
            <w:vAlign w:val="bottom"/>
          </w:tcPr>
          <w:p w14:paraId="14E7EDE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09E152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vAlign w:val="bottom"/>
          </w:tcPr>
          <w:p w14:paraId="6B9D498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vAlign w:val="bottom"/>
          </w:tcPr>
          <w:p w14:paraId="0C1AEF9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066B0E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7E9D4C1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54CBE17E" w14:textId="77777777" w:rsidTr="001B330E">
        <w:trPr>
          <w:trHeight w:val="23"/>
        </w:trPr>
        <w:tc>
          <w:tcPr>
            <w:tcW w:w="1545" w:type="pct"/>
            <w:vAlign w:val="bottom"/>
          </w:tcPr>
          <w:p w14:paraId="3544AB00"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Fee and commission income</w:t>
            </w:r>
          </w:p>
        </w:tc>
        <w:tc>
          <w:tcPr>
            <w:tcW w:w="576" w:type="pct"/>
            <w:vAlign w:val="bottom"/>
          </w:tcPr>
          <w:p w14:paraId="2660FEA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721757B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vAlign w:val="bottom"/>
          </w:tcPr>
          <w:p w14:paraId="048BEC2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vAlign w:val="bottom"/>
          </w:tcPr>
          <w:p w14:paraId="06EF7FB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D0275E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527104A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3405B697" w14:textId="77777777" w:rsidTr="001B330E">
        <w:trPr>
          <w:trHeight w:val="23"/>
        </w:trPr>
        <w:tc>
          <w:tcPr>
            <w:tcW w:w="1545" w:type="pct"/>
            <w:vAlign w:val="bottom"/>
          </w:tcPr>
          <w:p w14:paraId="2C96776A"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 Other operating income </w:t>
            </w:r>
          </w:p>
        </w:tc>
        <w:tc>
          <w:tcPr>
            <w:tcW w:w="576" w:type="pct"/>
            <w:vAlign w:val="bottom"/>
          </w:tcPr>
          <w:p w14:paraId="236FF2C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8C18AE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vAlign w:val="bottom"/>
          </w:tcPr>
          <w:p w14:paraId="53FA3B6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vAlign w:val="bottom"/>
          </w:tcPr>
          <w:p w14:paraId="41C67BF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768EBBD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5CC95D1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5926D164" w14:textId="77777777" w:rsidTr="001B330E">
        <w:trPr>
          <w:trHeight w:val="23"/>
        </w:trPr>
        <w:tc>
          <w:tcPr>
            <w:tcW w:w="1545" w:type="pct"/>
            <w:tcBorders>
              <w:bottom w:val="single" w:sz="4" w:space="0" w:color="000000"/>
            </w:tcBorders>
            <w:vAlign w:val="bottom"/>
          </w:tcPr>
          <w:p w14:paraId="5A3A9A44"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576" w:type="pct"/>
            <w:tcBorders>
              <w:bottom w:val="single" w:sz="4" w:space="0" w:color="000000"/>
            </w:tcBorders>
            <w:vAlign w:val="bottom"/>
          </w:tcPr>
          <w:p w14:paraId="153D139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4" w:space="0" w:color="000000"/>
            </w:tcBorders>
            <w:vAlign w:val="bottom"/>
          </w:tcPr>
          <w:p w14:paraId="63268A5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tcBorders>
              <w:bottom w:val="single" w:sz="4" w:space="0" w:color="000000"/>
            </w:tcBorders>
            <w:vAlign w:val="bottom"/>
          </w:tcPr>
          <w:p w14:paraId="5895DB5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tcBorders>
              <w:bottom w:val="single" w:sz="4" w:space="0" w:color="000000"/>
            </w:tcBorders>
            <w:vAlign w:val="bottom"/>
          </w:tcPr>
          <w:p w14:paraId="080C40C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4" w:space="0" w:color="000000"/>
            </w:tcBorders>
            <w:vAlign w:val="bottom"/>
          </w:tcPr>
          <w:p w14:paraId="591D86D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tcBorders>
              <w:bottom w:val="single" w:sz="4" w:space="0" w:color="000000"/>
            </w:tcBorders>
            <w:vAlign w:val="bottom"/>
          </w:tcPr>
          <w:p w14:paraId="5CCA54D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4C123A59" w14:textId="77777777" w:rsidTr="001B330E">
        <w:trPr>
          <w:trHeight w:val="23"/>
        </w:trPr>
        <w:tc>
          <w:tcPr>
            <w:tcW w:w="1545" w:type="pct"/>
            <w:tcBorders>
              <w:top w:val="single" w:sz="4" w:space="0" w:color="000000"/>
            </w:tcBorders>
            <w:vAlign w:val="bottom"/>
          </w:tcPr>
          <w:p w14:paraId="413BD620"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 </w:t>
            </w:r>
          </w:p>
        </w:tc>
        <w:tc>
          <w:tcPr>
            <w:tcW w:w="576" w:type="pct"/>
            <w:tcBorders>
              <w:top w:val="single" w:sz="4" w:space="0" w:color="000000"/>
            </w:tcBorders>
            <w:vAlign w:val="bottom"/>
          </w:tcPr>
          <w:p w14:paraId="2F92599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4" w:space="0" w:color="000000"/>
            </w:tcBorders>
            <w:vAlign w:val="bottom"/>
          </w:tcPr>
          <w:p w14:paraId="1C832EF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tcBorders>
              <w:top w:val="single" w:sz="4" w:space="0" w:color="000000"/>
            </w:tcBorders>
            <w:vAlign w:val="bottom"/>
          </w:tcPr>
          <w:p w14:paraId="6FADE6B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tcBorders>
              <w:top w:val="single" w:sz="4" w:space="0" w:color="000000"/>
            </w:tcBorders>
            <w:vAlign w:val="bottom"/>
          </w:tcPr>
          <w:p w14:paraId="7D79CA2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4" w:space="0" w:color="000000"/>
            </w:tcBorders>
            <w:vAlign w:val="bottom"/>
          </w:tcPr>
          <w:p w14:paraId="444D572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tcBorders>
              <w:top w:val="single" w:sz="4" w:space="0" w:color="000000"/>
            </w:tcBorders>
            <w:vAlign w:val="bottom"/>
          </w:tcPr>
          <w:p w14:paraId="6614EE9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3101B7A3" w14:textId="77777777" w:rsidTr="001B330E">
        <w:trPr>
          <w:trHeight w:val="23"/>
        </w:trPr>
        <w:tc>
          <w:tcPr>
            <w:tcW w:w="1545" w:type="pct"/>
            <w:vAlign w:val="bottom"/>
          </w:tcPr>
          <w:p w14:paraId="72554F35" w14:textId="77777777" w:rsidR="00D83E33" w:rsidRPr="00372E26" w:rsidRDefault="00BC4072" w:rsidP="001B330E">
            <w:pPr>
              <w:widowControl w:val="0"/>
              <w:pBdr>
                <w:top w:val="nil"/>
                <w:left w:val="nil"/>
                <w:bottom w:val="nil"/>
                <w:right w:val="nil"/>
                <w:between w:val="nil"/>
              </w:pBdr>
              <w:ind w:left="113" w:hanging="113"/>
              <w:rPr>
                <w:b/>
                <w:i/>
                <w:color w:val="000000"/>
                <w:sz w:val="16"/>
                <w:szCs w:val="16"/>
              </w:rPr>
            </w:pPr>
            <w:r w:rsidRPr="00372E26">
              <w:rPr>
                <w:b/>
                <w:color w:val="000000"/>
                <w:sz w:val="16"/>
                <w:szCs w:val="16"/>
              </w:rPr>
              <w:t xml:space="preserve">Total revenues </w:t>
            </w:r>
          </w:p>
        </w:tc>
        <w:tc>
          <w:tcPr>
            <w:tcW w:w="576" w:type="pct"/>
            <w:vAlign w:val="bottom"/>
          </w:tcPr>
          <w:p w14:paraId="4DCC8D27"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3B4FF666"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91" w:type="pct"/>
            <w:gridSpan w:val="2"/>
            <w:vAlign w:val="bottom"/>
          </w:tcPr>
          <w:p w14:paraId="05AC69BF"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61" w:type="pct"/>
            <w:vAlign w:val="bottom"/>
          </w:tcPr>
          <w:p w14:paraId="42616AD3"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6" w:type="pct"/>
            <w:vAlign w:val="bottom"/>
          </w:tcPr>
          <w:p w14:paraId="2E4C0176"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c>
          <w:tcPr>
            <w:tcW w:w="575" w:type="pct"/>
            <w:vAlign w:val="bottom"/>
          </w:tcPr>
          <w:p w14:paraId="34E0D96B" w14:textId="77777777" w:rsidR="00D83E33" w:rsidRPr="00372E26" w:rsidRDefault="00D83E33" w:rsidP="001B330E">
            <w:pPr>
              <w:widowControl w:val="0"/>
              <w:pBdr>
                <w:top w:val="nil"/>
                <w:left w:val="nil"/>
                <w:bottom w:val="nil"/>
                <w:right w:val="nil"/>
                <w:between w:val="nil"/>
              </w:pBdr>
              <w:jc w:val="right"/>
              <w:rPr>
                <w:b/>
                <w:color w:val="000000"/>
                <w:sz w:val="16"/>
                <w:szCs w:val="16"/>
              </w:rPr>
            </w:pPr>
          </w:p>
        </w:tc>
      </w:tr>
      <w:tr w:rsidR="00D83E33" w:rsidRPr="00234DAF" w14:paraId="0309F817" w14:textId="77777777" w:rsidTr="001B330E">
        <w:trPr>
          <w:trHeight w:val="23"/>
        </w:trPr>
        <w:tc>
          <w:tcPr>
            <w:tcW w:w="1545" w:type="pct"/>
            <w:tcBorders>
              <w:bottom w:val="single" w:sz="12" w:space="0" w:color="000000"/>
            </w:tcBorders>
            <w:vAlign w:val="bottom"/>
          </w:tcPr>
          <w:p w14:paraId="29EEB2EC"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576" w:type="pct"/>
            <w:tcBorders>
              <w:bottom w:val="single" w:sz="12" w:space="0" w:color="000000"/>
            </w:tcBorders>
            <w:vAlign w:val="bottom"/>
          </w:tcPr>
          <w:p w14:paraId="4552BEE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12" w:space="0" w:color="000000"/>
            </w:tcBorders>
            <w:vAlign w:val="bottom"/>
          </w:tcPr>
          <w:p w14:paraId="1271B1F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tcBorders>
              <w:bottom w:val="single" w:sz="12" w:space="0" w:color="000000"/>
            </w:tcBorders>
            <w:vAlign w:val="bottom"/>
          </w:tcPr>
          <w:p w14:paraId="2EC4ACE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tcBorders>
              <w:bottom w:val="single" w:sz="12" w:space="0" w:color="000000"/>
            </w:tcBorders>
            <w:vAlign w:val="bottom"/>
          </w:tcPr>
          <w:p w14:paraId="4A2A6D9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12" w:space="0" w:color="000000"/>
            </w:tcBorders>
            <w:vAlign w:val="bottom"/>
          </w:tcPr>
          <w:p w14:paraId="58BB18D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tcBorders>
              <w:bottom w:val="single" w:sz="12" w:space="0" w:color="000000"/>
            </w:tcBorders>
            <w:vAlign w:val="bottom"/>
          </w:tcPr>
          <w:p w14:paraId="1CB5BC6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2B85DEC0" w14:textId="77777777" w:rsidTr="001B330E">
        <w:trPr>
          <w:trHeight w:val="23"/>
        </w:trPr>
        <w:tc>
          <w:tcPr>
            <w:tcW w:w="1545" w:type="pct"/>
            <w:tcBorders>
              <w:top w:val="single" w:sz="12" w:space="0" w:color="000000"/>
            </w:tcBorders>
            <w:vAlign w:val="bottom"/>
          </w:tcPr>
          <w:p w14:paraId="307F4C12"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576" w:type="pct"/>
            <w:tcBorders>
              <w:top w:val="single" w:sz="12" w:space="0" w:color="000000"/>
            </w:tcBorders>
            <w:vAlign w:val="bottom"/>
          </w:tcPr>
          <w:p w14:paraId="1E960D7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12" w:space="0" w:color="000000"/>
            </w:tcBorders>
            <w:vAlign w:val="bottom"/>
          </w:tcPr>
          <w:p w14:paraId="7D90085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91" w:type="pct"/>
            <w:gridSpan w:val="2"/>
            <w:tcBorders>
              <w:top w:val="single" w:sz="12" w:space="0" w:color="000000"/>
            </w:tcBorders>
            <w:vAlign w:val="bottom"/>
          </w:tcPr>
          <w:p w14:paraId="199CD79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61" w:type="pct"/>
            <w:tcBorders>
              <w:top w:val="single" w:sz="12" w:space="0" w:color="000000"/>
            </w:tcBorders>
            <w:vAlign w:val="bottom"/>
          </w:tcPr>
          <w:p w14:paraId="3107513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12" w:space="0" w:color="000000"/>
            </w:tcBorders>
            <w:vAlign w:val="bottom"/>
          </w:tcPr>
          <w:p w14:paraId="00C3558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tcBorders>
              <w:top w:val="single" w:sz="12" w:space="0" w:color="000000"/>
            </w:tcBorders>
            <w:vAlign w:val="bottom"/>
          </w:tcPr>
          <w:p w14:paraId="60B56F9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7B661153" w14:textId="77777777" w:rsidTr="001B330E">
        <w:trPr>
          <w:trHeight w:val="23"/>
        </w:trPr>
        <w:tc>
          <w:tcPr>
            <w:tcW w:w="1545" w:type="pct"/>
            <w:vAlign w:val="bottom"/>
          </w:tcPr>
          <w:p w14:paraId="49BF3F38"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Interest expense</w:t>
            </w:r>
          </w:p>
        </w:tc>
        <w:tc>
          <w:tcPr>
            <w:tcW w:w="576" w:type="pct"/>
            <w:vAlign w:val="bottom"/>
          </w:tcPr>
          <w:p w14:paraId="48E92E8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34AA82B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C65EE5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3D745D9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34380EC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659AB6D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1BF9BBF3" w14:textId="77777777" w:rsidTr="001B330E">
        <w:trPr>
          <w:trHeight w:val="23"/>
        </w:trPr>
        <w:tc>
          <w:tcPr>
            <w:tcW w:w="1545" w:type="pct"/>
            <w:vAlign w:val="bottom"/>
          </w:tcPr>
          <w:p w14:paraId="15B3A394"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Credit loss allowance</w:t>
            </w:r>
          </w:p>
        </w:tc>
        <w:tc>
          <w:tcPr>
            <w:tcW w:w="576" w:type="pct"/>
            <w:vAlign w:val="bottom"/>
          </w:tcPr>
          <w:p w14:paraId="2797132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9C65CF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79EA3AF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29E5D70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7176D63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770528C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0539D6D5" w14:textId="77777777" w:rsidTr="001B330E">
        <w:trPr>
          <w:trHeight w:val="23"/>
        </w:trPr>
        <w:tc>
          <w:tcPr>
            <w:tcW w:w="1545" w:type="pct"/>
            <w:vAlign w:val="bottom"/>
          </w:tcPr>
          <w:p w14:paraId="56AC1D89" w14:textId="77777777" w:rsidR="00D83E33" w:rsidRPr="00372E26" w:rsidRDefault="00BC4072" w:rsidP="001B330E">
            <w:pPr>
              <w:widowControl w:val="0"/>
              <w:pBdr>
                <w:top w:val="nil"/>
                <w:left w:val="nil"/>
                <w:bottom w:val="nil"/>
                <w:right w:val="nil"/>
                <w:between w:val="nil"/>
              </w:pBdr>
              <w:ind w:left="113" w:hanging="113"/>
              <w:rPr>
                <w:i/>
                <w:color w:val="000000"/>
                <w:sz w:val="16"/>
                <w:szCs w:val="16"/>
              </w:rPr>
            </w:pPr>
            <w:r w:rsidRPr="00372E26">
              <w:rPr>
                <w:color w:val="000000"/>
                <w:sz w:val="16"/>
                <w:szCs w:val="16"/>
              </w:rPr>
              <w:t xml:space="preserve">Impairment of debt securities at FVOCI </w:t>
            </w:r>
          </w:p>
        </w:tc>
        <w:tc>
          <w:tcPr>
            <w:tcW w:w="576" w:type="pct"/>
            <w:vAlign w:val="bottom"/>
          </w:tcPr>
          <w:p w14:paraId="23F5FCD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EF0B4E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35970C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7948D1E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79AA0AB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0B6A39D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1C4D5FC3" w14:textId="77777777" w:rsidTr="001B330E">
        <w:trPr>
          <w:trHeight w:val="23"/>
        </w:trPr>
        <w:tc>
          <w:tcPr>
            <w:tcW w:w="1545" w:type="pct"/>
            <w:vAlign w:val="bottom"/>
          </w:tcPr>
          <w:p w14:paraId="16F3682C"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Impairment of debt securities at AC</w:t>
            </w:r>
          </w:p>
        </w:tc>
        <w:tc>
          <w:tcPr>
            <w:tcW w:w="576" w:type="pct"/>
            <w:vAlign w:val="bottom"/>
          </w:tcPr>
          <w:p w14:paraId="12F01BB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063995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7FD727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411E433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10536A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000D60F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50529D36" w14:textId="77777777" w:rsidTr="001B330E">
        <w:trPr>
          <w:trHeight w:val="23"/>
        </w:trPr>
        <w:tc>
          <w:tcPr>
            <w:tcW w:w="1545" w:type="pct"/>
            <w:vAlign w:val="bottom"/>
          </w:tcPr>
          <w:p w14:paraId="5F5F7DA0" w14:textId="77777777" w:rsidR="00D83E33" w:rsidRPr="00372E26" w:rsidRDefault="00BC4072" w:rsidP="001B330E">
            <w:pPr>
              <w:widowControl w:val="0"/>
              <w:pBdr>
                <w:top w:val="nil"/>
                <w:left w:val="nil"/>
                <w:bottom w:val="nil"/>
                <w:right w:val="nil"/>
                <w:between w:val="nil"/>
              </w:pBdr>
              <w:ind w:left="113" w:hanging="113"/>
              <w:rPr>
                <w:i/>
                <w:color w:val="000000"/>
                <w:sz w:val="16"/>
                <w:szCs w:val="16"/>
              </w:rPr>
            </w:pPr>
            <w:r w:rsidRPr="00372E26">
              <w:rPr>
                <w:color w:val="000000"/>
                <w:sz w:val="16"/>
                <w:szCs w:val="16"/>
              </w:rPr>
              <w:t>Provision for credit related commitments</w:t>
            </w:r>
          </w:p>
        </w:tc>
        <w:tc>
          <w:tcPr>
            <w:tcW w:w="576" w:type="pct"/>
            <w:vAlign w:val="bottom"/>
          </w:tcPr>
          <w:p w14:paraId="6D635D0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7F4EA0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9C3CF2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57EF3AF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FB55B1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3B73460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7A5BDD53" w14:textId="77777777" w:rsidTr="001B330E">
        <w:trPr>
          <w:trHeight w:val="23"/>
        </w:trPr>
        <w:tc>
          <w:tcPr>
            <w:tcW w:w="1545" w:type="pct"/>
            <w:vAlign w:val="bottom"/>
          </w:tcPr>
          <w:p w14:paraId="0C660792"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Fee and commission expense</w:t>
            </w:r>
          </w:p>
        </w:tc>
        <w:tc>
          <w:tcPr>
            <w:tcW w:w="576" w:type="pct"/>
            <w:vAlign w:val="bottom"/>
          </w:tcPr>
          <w:p w14:paraId="413D358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43BF69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B705B5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506E14C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A207C1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3B45A87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60BF15AE" w14:textId="77777777" w:rsidTr="001B330E">
        <w:trPr>
          <w:trHeight w:val="23"/>
        </w:trPr>
        <w:tc>
          <w:tcPr>
            <w:tcW w:w="1545" w:type="pct"/>
            <w:vAlign w:val="bottom"/>
          </w:tcPr>
          <w:p w14:paraId="3146B708"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Gains less losses from financial derivatives</w:t>
            </w:r>
          </w:p>
        </w:tc>
        <w:tc>
          <w:tcPr>
            <w:tcW w:w="576" w:type="pct"/>
            <w:vAlign w:val="bottom"/>
          </w:tcPr>
          <w:p w14:paraId="00E88DB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749271B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31213C1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630B362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029D41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1FBAEA6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50F5CEDA" w14:textId="77777777" w:rsidTr="001B330E">
        <w:trPr>
          <w:trHeight w:val="23"/>
        </w:trPr>
        <w:tc>
          <w:tcPr>
            <w:tcW w:w="1545" w:type="pct"/>
            <w:vAlign w:val="bottom"/>
          </w:tcPr>
          <w:p w14:paraId="1DAFB11E"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Gains less losses from securities at FVTPL</w:t>
            </w:r>
          </w:p>
        </w:tc>
        <w:tc>
          <w:tcPr>
            <w:tcW w:w="576" w:type="pct"/>
            <w:vAlign w:val="bottom"/>
          </w:tcPr>
          <w:p w14:paraId="782A9DD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5F742E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9CEC8D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1CFB1AE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842BD2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635F100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349EDB77" w14:textId="77777777" w:rsidTr="001B330E">
        <w:trPr>
          <w:trHeight w:val="23"/>
        </w:trPr>
        <w:tc>
          <w:tcPr>
            <w:tcW w:w="1545" w:type="pct"/>
            <w:vAlign w:val="bottom"/>
          </w:tcPr>
          <w:p w14:paraId="010D6EE5"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Gains less losses from trading in foreign currencies</w:t>
            </w:r>
          </w:p>
        </w:tc>
        <w:tc>
          <w:tcPr>
            <w:tcW w:w="576" w:type="pct"/>
            <w:vAlign w:val="bottom"/>
          </w:tcPr>
          <w:p w14:paraId="7B63F7A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52148F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8F91C0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77B5DCE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6E8CDB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7C28645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71F27DCE" w14:textId="77777777" w:rsidTr="001B330E">
        <w:trPr>
          <w:trHeight w:val="23"/>
        </w:trPr>
        <w:tc>
          <w:tcPr>
            <w:tcW w:w="1545" w:type="pct"/>
            <w:vAlign w:val="bottom"/>
          </w:tcPr>
          <w:p w14:paraId="4D5626FE"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Gains less losses on revaluation of investment properties</w:t>
            </w:r>
          </w:p>
        </w:tc>
        <w:tc>
          <w:tcPr>
            <w:tcW w:w="576" w:type="pct"/>
            <w:vAlign w:val="bottom"/>
          </w:tcPr>
          <w:p w14:paraId="7D22B20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37152CA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260039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7875FB9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1428E6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515CD8B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53D5C920" w14:textId="77777777" w:rsidTr="001B330E">
        <w:trPr>
          <w:trHeight w:val="23"/>
        </w:trPr>
        <w:tc>
          <w:tcPr>
            <w:tcW w:w="1545" w:type="pct"/>
            <w:vAlign w:val="bottom"/>
          </w:tcPr>
          <w:p w14:paraId="7ED130CF"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Foreign exchange translation gains less losses</w:t>
            </w:r>
          </w:p>
        </w:tc>
        <w:tc>
          <w:tcPr>
            <w:tcW w:w="576" w:type="pct"/>
            <w:vAlign w:val="bottom"/>
          </w:tcPr>
          <w:p w14:paraId="3A4A617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528A249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8A99EB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3E3A129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54E720D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41E39B9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4AFDE22B" w14:textId="77777777" w:rsidTr="001B330E">
        <w:trPr>
          <w:trHeight w:val="23"/>
        </w:trPr>
        <w:tc>
          <w:tcPr>
            <w:tcW w:w="1545" w:type="pct"/>
            <w:vAlign w:val="bottom"/>
          </w:tcPr>
          <w:p w14:paraId="4B91AA77"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Gains less losses from disposals of debt securities at FVOCI </w:t>
            </w:r>
          </w:p>
        </w:tc>
        <w:tc>
          <w:tcPr>
            <w:tcW w:w="576" w:type="pct"/>
            <w:vAlign w:val="bottom"/>
          </w:tcPr>
          <w:p w14:paraId="2E4568E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37D63F4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314787E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20365AD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048292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4B605DD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2EBC1665" w14:textId="77777777" w:rsidTr="001B330E">
        <w:trPr>
          <w:trHeight w:val="23"/>
        </w:trPr>
        <w:tc>
          <w:tcPr>
            <w:tcW w:w="1545" w:type="pct"/>
            <w:vAlign w:val="bottom"/>
          </w:tcPr>
          <w:p w14:paraId="08DA6145"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Gains/(losses) arising from early retirement of debt</w:t>
            </w:r>
          </w:p>
        </w:tc>
        <w:tc>
          <w:tcPr>
            <w:tcW w:w="576" w:type="pct"/>
            <w:vAlign w:val="bottom"/>
          </w:tcPr>
          <w:p w14:paraId="3CD238C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67D92AA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145DB8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4004815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7E3E87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4D5AC81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5048F9C5" w14:textId="77777777" w:rsidTr="001B330E">
        <w:trPr>
          <w:trHeight w:val="23"/>
        </w:trPr>
        <w:tc>
          <w:tcPr>
            <w:tcW w:w="1545" w:type="pct"/>
            <w:vAlign w:val="bottom"/>
          </w:tcPr>
          <w:p w14:paraId="00B3DEF6"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Administrative and other operating expenses </w:t>
            </w:r>
          </w:p>
        </w:tc>
        <w:tc>
          <w:tcPr>
            <w:tcW w:w="576" w:type="pct"/>
            <w:vAlign w:val="bottom"/>
          </w:tcPr>
          <w:p w14:paraId="0F7D34A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515A71E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5D0212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6C94340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C9DA5A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16E7A8F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4C9D46D9" w14:textId="77777777" w:rsidTr="001B330E">
        <w:trPr>
          <w:trHeight w:val="23"/>
        </w:trPr>
        <w:tc>
          <w:tcPr>
            <w:tcW w:w="1545" w:type="pct"/>
            <w:vAlign w:val="bottom"/>
          </w:tcPr>
          <w:p w14:paraId="1AA2DAB4" w14:textId="77777777" w:rsidR="00D83E33" w:rsidRPr="00372E26" w:rsidRDefault="00BC4072" w:rsidP="001B330E">
            <w:pPr>
              <w:widowControl w:val="0"/>
              <w:pBdr>
                <w:top w:val="nil"/>
                <w:left w:val="nil"/>
                <w:bottom w:val="nil"/>
                <w:right w:val="nil"/>
                <w:between w:val="nil"/>
              </w:pBdr>
              <w:ind w:left="113" w:hanging="113"/>
              <w:rPr>
                <w:i/>
                <w:color w:val="000000"/>
                <w:sz w:val="16"/>
                <w:szCs w:val="16"/>
              </w:rPr>
            </w:pPr>
            <w:r w:rsidRPr="00372E26">
              <w:rPr>
                <w:color w:val="000000"/>
                <w:sz w:val="16"/>
                <w:szCs w:val="16"/>
              </w:rPr>
              <w:t>Share of result of associates</w:t>
            </w:r>
          </w:p>
        </w:tc>
        <w:tc>
          <w:tcPr>
            <w:tcW w:w="576" w:type="pct"/>
            <w:vAlign w:val="bottom"/>
          </w:tcPr>
          <w:p w14:paraId="74ACE09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2730D95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80EF2B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10831A7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09B575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3271A39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3C2263C3" w14:textId="77777777" w:rsidTr="001B330E">
        <w:trPr>
          <w:trHeight w:val="23"/>
        </w:trPr>
        <w:tc>
          <w:tcPr>
            <w:tcW w:w="1545" w:type="pct"/>
            <w:tcBorders>
              <w:bottom w:val="single" w:sz="4" w:space="0" w:color="000000"/>
            </w:tcBorders>
            <w:vAlign w:val="bottom"/>
          </w:tcPr>
          <w:p w14:paraId="48B3C3C1" w14:textId="77777777" w:rsidR="00D83E33" w:rsidRPr="00372E26" w:rsidRDefault="00BC4072" w:rsidP="001B330E">
            <w:pPr>
              <w:widowControl w:val="0"/>
              <w:pBdr>
                <w:top w:val="nil"/>
                <w:left w:val="nil"/>
                <w:bottom w:val="nil"/>
                <w:right w:val="nil"/>
                <w:between w:val="nil"/>
              </w:pBdr>
              <w:ind w:left="113" w:hanging="113"/>
              <w:rPr>
                <w:b/>
                <w:color w:val="000000"/>
                <w:sz w:val="16"/>
                <w:szCs w:val="16"/>
              </w:rPr>
            </w:pPr>
            <w:r w:rsidRPr="00372E26">
              <w:rPr>
                <w:color w:val="000000"/>
                <w:sz w:val="16"/>
                <w:szCs w:val="16"/>
              </w:rPr>
              <w:t> </w:t>
            </w:r>
          </w:p>
        </w:tc>
        <w:tc>
          <w:tcPr>
            <w:tcW w:w="576" w:type="pct"/>
            <w:tcBorders>
              <w:bottom w:val="single" w:sz="4" w:space="0" w:color="000000"/>
            </w:tcBorders>
            <w:vAlign w:val="bottom"/>
          </w:tcPr>
          <w:p w14:paraId="3369A38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4" w:space="0" w:color="000000"/>
            </w:tcBorders>
            <w:vAlign w:val="bottom"/>
          </w:tcPr>
          <w:p w14:paraId="76B402E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4" w:space="0" w:color="000000"/>
            </w:tcBorders>
            <w:vAlign w:val="bottom"/>
          </w:tcPr>
          <w:p w14:paraId="72E152D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tcBorders>
              <w:bottom w:val="single" w:sz="4" w:space="0" w:color="000000"/>
            </w:tcBorders>
            <w:vAlign w:val="bottom"/>
          </w:tcPr>
          <w:p w14:paraId="49337E4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4" w:space="0" w:color="000000"/>
            </w:tcBorders>
            <w:vAlign w:val="bottom"/>
          </w:tcPr>
          <w:p w14:paraId="5780865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tcBorders>
              <w:bottom w:val="single" w:sz="4" w:space="0" w:color="000000"/>
            </w:tcBorders>
            <w:vAlign w:val="bottom"/>
          </w:tcPr>
          <w:p w14:paraId="78ADBC6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0A34EAAD" w14:textId="77777777" w:rsidTr="001B330E">
        <w:trPr>
          <w:trHeight w:val="23"/>
        </w:trPr>
        <w:tc>
          <w:tcPr>
            <w:tcW w:w="1545" w:type="pct"/>
            <w:tcBorders>
              <w:top w:val="single" w:sz="4" w:space="0" w:color="000000"/>
            </w:tcBorders>
            <w:vAlign w:val="bottom"/>
          </w:tcPr>
          <w:p w14:paraId="0E59F24E" w14:textId="77777777" w:rsidR="00D83E33" w:rsidRPr="00372E26" w:rsidRDefault="00BC4072" w:rsidP="001B330E">
            <w:pPr>
              <w:widowControl w:val="0"/>
              <w:pBdr>
                <w:top w:val="nil"/>
                <w:left w:val="nil"/>
                <w:bottom w:val="nil"/>
                <w:right w:val="nil"/>
                <w:between w:val="nil"/>
              </w:pBdr>
              <w:ind w:left="113" w:hanging="113"/>
              <w:rPr>
                <w:b/>
                <w:color w:val="000000"/>
                <w:sz w:val="16"/>
                <w:szCs w:val="16"/>
              </w:rPr>
            </w:pPr>
            <w:r w:rsidRPr="00372E26">
              <w:rPr>
                <w:color w:val="000000"/>
                <w:sz w:val="16"/>
                <w:szCs w:val="16"/>
              </w:rPr>
              <w:t> </w:t>
            </w:r>
          </w:p>
        </w:tc>
        <w:tc>
          <w:tcPr>
            <w:tcW w:w="576" w:type="pct"/>
            <w:tcBorders>
              <w:top w:val="single" w:sz="4" w:space="0" w:color="000000"/>
            </w:tcBorders>
            <w:vAlign w:val="bottom"/>
          </w:tcPr>
          <w:p w14:paraId="2BB1523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4" w:space="0" w:color="000000"/>
            </w:tcBorders>
            <w:vAlign w:val="bottom"/>
          </w:tcPr>
          <w:p w14:paraId="4CAC8E9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4" w:space="0" w:color="000000"/>
            </w:tcBorders>
            <w:vAlign w:val="bottom"/>
          </w:tcPr>
          <w:p w14:paraId="12E79CB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tcBorders>
              <w:top w:val="single" w:sz="4" w:space="0" w:color="000000"/>
            </w:tcBorders>
            <w:vAlign w:val="bottom"/>
          </w:tcPr>
          <w:p w14:paraId="5A74BCA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top w:val="single" w:sz="4" w:space="0" w:color="000000"/>
            </w:tcBorders>
            <w:vAlign w:val="bottom"/>
          </w:tcPr>
          <w:p w14:paraId="4B75284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tcBorders>
              <w:top w:val="single" w:sz="4" w:space="0" w:color="000000"/>
            </w:tcBorders>
            <w:vAlign w:val="bottom"/>
          </w:tcPr>
          <w:p w14:paraId="68972A0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09A8400B" w14:textId="77777777" w:rsidTr="001B330E">
        <w:trPr>
          <w:trHeight w:val="23"/>
        </w:trPr>
        <w:tc>
          <w:tcPr>
            <w:tcW w:w="1545" w:type="pct"/>
            <w:vAlign w:val="bottom"/>
          </w:tcPr>
          <w:p w14:paraId="2B1B99EF" w14:textId="77777777" w:rsidR="00D83E33" w:rsidRPr="00372E26" w:rsidRDefault="00BC4072" w:rsidP="001B330E">
            <w:pPr>
              <w:widowControl w:val="0"/>
              <w:pBdr>
                <w:top w:val="nil"/>
                <w:left w:val="nil"/>
                <w:bottom w:val="nil"/>
                <w:right w:val="nil"/>
                <w:between w:val="nil"/>
              </w:pBdr>
              <w:ind w:left="113" w:hanging="113"/>
              <w:rPr>
                <w:b/>
                <w:color w:val="000000"/>
                <w:sz w:val="16"/>
                <w:szCs w:val="16"/>
              </w:rPr>
            </w:pPr>
            <w:r w:rsidRPr="00372E26">
              <w:rPr>
                <w:b/>
                <w:color w:val="000000"/>
                <w:sz w:val="16"/>
                <w:szCs w:val="16"/>
              </w:rPr>
              <w:t>Segment result</w:t>
            </w:r>
          </w:p>
        </w:tc>
        <w:tc>
          <w:tcPr>
            <w:tcW w:w="576" w:type="pct"/>
            <w:vAlign w:val="bottom"/>
          </w:tcPr>
          <w:p w14:paraId="5CED2A4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117CF34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018E288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vAlign w:val="bottom"/>
          </w:tcPr>
          <w:p w14:paraId="45B5002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vAlign w:val="bottom"/>
          </w:tcPr>
          <w:p w14:paraId="4BD2EA5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vAlign w:val="bottom"/>
          </w:tcPr>
          <w:p w14:paraId="75744C8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234DAF" w14:paraId="2B8283F4" w14:textId="77777777" w:rsidTr="001B330E">
        <w:trPr>
          <w:trHeight w:val="23"/>
        </w:trPr>
        <w:tc>
          <w:tcPr>
            <w:tcW w:w="1545" w:type="pct"/>
            <w:tcBorders>
              <w:bottom w:val="single" w:sz="12" w:space="0" w:color="000000"/>
            </w:tcBorders>
            <w:vAlign w:val="bottom"/>
          </w:tcPr>
          <w:p w14:paraId="16ADA29E"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w:t>
            </w:r>
          </w:p>
        </w:tc>
        <w:tc>
          <w:tcPr>
            <w:tcW w:w="576" w:type="pct"/>
            <w:tcBorders>
              <w:bottom w:val="single" w:sz="12" w:space="0" w:color="000000"/>
            </w:tcBorders>
            <w:vAlign w:val="bottom"/>
          </w:tcPr>
          <w:p w14:paraId="1E4438D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12" w:space="0" w:color="000000"/>
            </w:tcBorders>
            <w:vAlign w:val="bottom"/>
          </w:tcPr>
          <w:p w14:paraId="3A45D88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12" w:space="0" w:color="000000"/>
            </w:tcBorders>
            <w:vAlign w:val="bottom"/>
          </w:tcPr>
          <w:p w14:paraId="2490FBB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gridSpan w:val="2"/>
            <w:tcBorders>
              <w:bottom w:val="single" w:sz="12" w:space="0" w:color="000000"/>
            </w:tcBorders>
            <w:vAlign w:val="bottom"/>
          </w:tcPr>
          <w:p w14:paraId="6914EC8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6" w:type="pct"/>
            <w:tcBorders>
              <w:bottom w:val="single" w:sz="12" w:space="0" w:color="000000"/>
            </w:tcBorders>
            <w:vAlign w:val="bottom"/>
          </w:tcPr>
          <w:p w14:paraId="62C1C89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5" w:type="pct"/>
            <w:tcBorders>
              <w:bottom w:val="single" w:sz="12" w:space="0" w:color="000000"/>
            </w:tcBorders>
            <w:vAlign w:val="bottom"/>
          </w:tcPr>
          <w:p w14:paraId="3F39E7E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bl>
    <w:p w14:paraId="7BFCA9BC" w14:textId="7CB601BA" w:rsidR="004607BE" w:rsidRDefault="004607BE" w:rsidP="001B330E">
      <w:pPr>
        <w:widowControl w:val="0"/>
        <w:pBdr>
          <w:top w:val="nil"/>
          <w:left w:val="nil"/>
          <w:bottom w:val="nil"/>
          <w:right w:val="nil"/>
          <w:between w:val="nil"/>
        </w:pBdr>
        <w:ind w:left="567" w:hanging="567"/>
        <w:jc w:val="both"/>
        <w:rPr>
          <w:b/>
          <w:color w:val="000000"/>
          <w:sz w:val="20"/>
          <w:szCs w:val="20"/>
        </w:rPr>
      </w:pPr>
    </w:p>
    <w:p w14:paraId="6D6D2EAF" w14:textId="77777777" w:rsidR="00234DAF" w:rsidRDefault="00234DAF" w:rsidP="001B330E">
      <w:pPr>
        <w:widowControl w:val="0"/>
        <w:pBdr>
          <w:top w:val="nil"/>
          <w:left w:val="nil"/>
          <w:bottom w:val="nil"/>
          <w:right w:val="nil"/>
          <w:between w:val="nil"/>
        </w:pBdr>
        <w:ind w:left="567" w:hanging="567"/>
        <w:jc w:val="both"/>
        <w:rPr>
          <w:b/>
          <w:color w:val="000000"/>
          <w:sz w:val="20"/>
          <w:szCs w:val="20"/>
        </w:rPr>
      </w:pPr>
    </w:p>
    <w:p w14:paraId="09576E9A" w14:textId="38C6FDD3" w:rsidR="008E750A" w:rsidRPr="008E750A" w:rsidRDefault="008E750A" w:rsidP="008E750A">
      <w:pPr>
        <w:pStyle w:val="Continued"/>
      </w:pPr>
      <w:r>
        <w:lastRenderedPageBreak/>
        <w:t>40</w:t>
      </w:r>
      <w:r>
        <w:tab/>
        <w:t>Segment Analysis (Continued)</w:t>
      </w:r>
    </w:p>
    <w:p w14:paraId="0EB48EC3" w14:textId="65EE7DA7" w:rsidR="00D83E33" w:rsidRDefault="00BC4072" w:rsidP="001B330E">
      <w:pPr>
        <w:widowControl w:val="0"/>
        <w:pBdr>
          <w:top w:val="nil"/>
          <w:left w:val="nil"/>
          <w:bottom w:val="nil"/>
          <w:right w:val="nil"/>
          <w:between w:val="nil"/>
        </w:pBdr>
        <w:spacing w:after="200"/>
        <w:jc w:val="both"/>
        <w:rPr>
          <w:b/>
          <w:i/>
          <w:color w:val="000000"/>
          <w:sz w:val="20"/>
          <w:szCs w:val="20"/>
        </w:rPr>
      </w:pPr>
      <w:r>
        <w:rPr>
          <w:b/>
          <w:i/>
          <w:color w:val="000000"/>
          <w:sz w:val="20"/>
          <w:szCs w:val="20"/>
        </w:rPr>
        <w:t xml:space="preserve">(e) </w:t>
      </w:r>
      <w:r>
        <w:rPr>
          <w:b/>
          <w:i/>
          <w:color w:val="000000"/>
          <w:sz w:val="20"/>
          <w:szCs w:val="20"/>
        </w:rPr>
        <w:tab/>
        <w:t>Reconciliation of reportable segment revenues, profit or loss, assets and liabilities</w:t>
      </w:r>
    </w:p>
    <w:tbl>
      <w:tblPr>
        <w:tblStyle w:val="afffffffffffff3"/>
        <w:tblW w:w="5000" w:type="pct"/>
        <w:tblLayout w:type="fixed"/>
        <w:tblLook w:val="0000" w:firstRow="0" w:lastRow="0" w:firstColumn="0" w:lastColumn="0" w:noHBand="0" w:noVBand="0"/>
      </w:tblPr>
      <w:tblGrid>
        <w:gridCol w:w="6295"/>
        <w:gridCol w:w="1530"/>
        <w:gridCol w:w="1530"/>
      </w:tblGrid>
      <w:tr w:rsidR="00D83E33" w:rsidRPr="00EA10CF" w14:paraId="3F7ED1B1" w14:textId="77777777" w:rsidTr="001B330E">
        <w:trPr>
          <w:trHeight w:val="23"/>
        </w:trPr>
        <w:tc>
          <w:tcPr>
            <w:tcW w:w="3364" w:type="pct"/>
            <w:tcBorders>
              <w:bottom w:val="single" w:sz="4" w:space="0" w:color="000000"/>
            </w:tcBorders>
            <w:vAlign w:val="bottom"/>
          </w:tcPr>
          <w:p w14:paraId="3FD58337" w14:textId="3390005C"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r w:rsidR="00BC4072" w:rsidRPr="00EA10CF">
              <w:rPr>
                <w:i/>
                <w:color w:val="000000"/>
              </w:rPr>
              <w:t xml:space="preserve"> </w:t>
            </w:r>
          </w:p>
        </w:tc>
        <w:tc>
          <w:tcPr>
            <w:tcW w:w="818" w:type="pct"/>
            <w:tcBorders>
              <w:bottom w:val="single" w:sz="4" w:space="0" w:color="000000"/>
            </w:tcBorders>
            <w:vAlign w:val="bottom"/>
          </w:tcPr>
          <w:p w14:paraId="7D17AD8B" w14:textId="36397880"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1069A22A" w14:textId="55D09BB1"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268AAF5F" w14:textId="77777777" w:rsidTr="001B330E">
        <w:trPr>
          <w:trHeight w:val="23"/>
        </w:trPr>
        <w:tc>
          <w:tcPr>
            <w:tcW w:w="3364" w:type="pct"/>
            <w:vAlign w:val="bottom"/>
          </w:tcPr>
          <w:p w14:paraId="7F3F421F"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38D8A2C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9E8E44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7559491" w14:textId="77777777" w:rsidTr="001B330E">
        <w:trPr>
          <w:trHeight w:val="23"/>
        </w:trPr>
        <w:tc>
          <w:tcPr>
            <w:tcW w:w="3364" w:type="pct"/>
            <w:vAlign w:val="bottom"/>
          </w:tcPr>
          <w:p w14:paraId="317683BD"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revenues for reportable segments</w:t>
            </w:r>
          </w:p>
        </w:tc>
        <w:tc>
          <w:tcPr>
            <w:tcW w:w="818" w:type="pct"/>
            <w:vAlign w:val="bottom"/>
          </w:tcPr>
          <w:p w14:paraId="2AA8B44A"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2519516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D31C063" w14:textId="77777777" w:rsidTr="001B330E">
        <w:trPr>
          <w:trHeight w:val="23"/>
        </w:trPr>
        <w:tc>
          <w:tcPr>
            <w:tcW w:w="3364" w:type="pct"/>
            <w:vAlign w:val="bottom"/>
          </w:tcPr>
          <w:p w14:paraId="093173F1"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4939A24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313E47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9FCCFFA" w14:textId="77777777" w:rsidTr="001B330E">
        <w:trPr>
          <w:trHeight w:val="23"/>
        </w:trPr>
        <w:tc>
          <w:tcPr>
            <w:tcW w:w="3364" w:type="pct"/>
            <w:vAlign w:val="bottom"/>
          </w:tcPr>
          <w:p w14:paraId="28AE9785"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(a) </w:t>
            </w:r>
            <w:r w:rsidRPr="00EA10CF">
              <w:rPr>
                <w:color w:val="0000FF"/>
              </w:rPr>
              <w:t>[description of each adjustment]</w:t>
            </w:r>
          </w:p>
        </w:tc>
        <w:tc>
          <w:tcPr>
            <w:tcW w:w="818" w:type="pct"/>
            <w:vAlign w:val="bottom"/>
          </w:tcPr>
          <w:p w14:paraId="4CF77F0A"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4DD1858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7D8605B" w14:textId="77777777" w:rsidTr="001B330E">
        <w:trPr>
          <w:trHeight w:val="23"/>
        </w:trPr>
        <w:tc>
          <w:tcPr>
            <w:tcW w:w="3364" w:type="pct"/>
            <w:vAlign w:val="bottom"/>
          </w:tcPr>
          <w:p w14:paraId="72C3A9A5"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(b) </w:t>
            </w:r>
            <w:r w:rsidRPr="00EA10CF">
              <w:rPr>
                <w:color w:val="0000FF"/>
              </w:rPr>
              <w:t>[description of each adjustment]</w:t>
            </w:r>
          </w:p>
        </w:tc>
        <w:tc>
          <w:tcPr>
            <w:tcW w:w="818" w:type="pct"/>
            <w:vAlign w:val="bottom"/>
          </w:tcPr>
          <w:p w14:paraId="57501AA6"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71B27F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5B65C7F" w14:textId="77777777" w:rsidTr="001B330E">
        <w:trPr>
          <w:trHeight w:val="23"/>
        </w:trPr>
        <w:tc>
          <w:tcPr>
            <w:tcW w:w="3364" w:type="pct"/>
            <w:vAlign w:val="bottom"/>
          </w:tcPr>
          <w:p w14:paraId="32F55D0C"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(c) </w:t>
            </w:r>
            <w:r w:rsidRPr="00EA10CF">
              <w:rPr>
                <w:color w:val="0000FF"/>
              </w:rPr>
              <w:t>[description of each adjustment]</w:t>
            </w:r>
          </w:p>
        </w:tc>
        <w:tc>
          <w:tcPr>
            <w:tcW w:w="818" w:type="pct"/>
            <w:vAlign w:val="bottom"/>
          </w:tcPr>
          <w:p w14:paraId="09FF74F9"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8371F3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DB201F" w14:textId="77777777" w:rsidTr="001B330E">
        <w:trPr>
          <w:trHeight w:val="23"/>
        </w:trPr>
        <w:tc>
          <w:tcPr>
            <w:tcW w:w="3364" w:type="pct"/>
            <w:tcBorders>
              <w:bottom w:val="single" w:sz="4" w:space="0" w:color="000000"/>
            </w:tcBorders>
            <w:vAlign w:val="bottom"/>
          </w:tcPr>
          <w:p w14:paraId="20075F36"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bottom w:val="single" w:sz="4" w:space="0" w:color="000000"/>
            </w:tcBorders>
            <w:vAlign w:val="bottom"/>
          </w:tcPr>
          <w:p w14:paraId="55DC63BF"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02EB7B0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12011A9" w14:textId="77777777" w:rsidTr="001B330E">
        <w:trPr>
          <w:trHeight w:val="23"/>
        </w:trPr>
        <w:tc>
          <w:tcPr>
            <w:tcW w:w="3364" w:type="pct"/>
            <w:tcBorders>
              <w:top w:val="single" w:sz="4" w:space="0" w:color="000000"/>
            </w:tcBorders>
            <w:vAlign w:val="bottom"/>
          </w:tcPr>
          <w:p w14:paraId="576C0CAB"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top w:val="single" w:sz="4" w:space="0" w:color="000000"/>
            </w:tcBorders>
            <w:vAlign w:val="bottom"/>
          </w:tcPr>
          <w:p w14:paraId="672EF0EF"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0EDDE17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33CE4BF" w14:textId="77777777" w:rsidTr="001B330E">
        <w:trPr>
          <w:trHeight w:val="23"/>
        </w:trPr>
        <w:tc>
          <w:tcPr>
            <w:tcW w:w="3364" w:type="pct"/>
            <w:vAlign w:val="bottom"/>
          </w:tcPr>
          <w:p w14:paraId="76526266"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consolidated revenues</w:t>
            </w:r>
          </w:p>
        </w:tc>
        <w:tc>
          <w:tcPr>
            <w:tcW w:w="818" w:type="pct"/>
            <w:vAlign w:val="bottom"/>
          </w:tcPr>
          <w:p w14:paraId="5195D35F"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7BDAC82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7359C41" w14:textId="77777777" w:rsidTr="001B330E">
        <w:trPr>
          <w:trHeight w:val="23"/>
        </w:trPr>
        <w:tc>
          <w:tcPr>
            <w:tcW w:w="3364" w:type="pct"/>
            <w:tcBorders>
              <w:bottom w:val="single" w:sz="12" w:space="0" w:color="000000"/>
            </w:tcBorders>
            <w:vAlign w:val="bottom"/>
          </w:tcPr>
          <w:p w14:paraId="22203AF2" w14:textId="77777777" w:rsidR="00D83E33" w:rsidRPr="00EA10CF" w:rsidRDefault="00BC4072">
            <w:pPr>
              <w:widowControl w:val="0"/>
            </w:pPr>
            <w:r w:rsidRPr="00EA10CF">
              <w:t> </w:t>
            </w:r>
          </w:p>
        </w:tc>
        <w:tc>
          <w:tcPr>
            <w:tcW w:w="818" w:type="pct"/>
            <w:tcBorders>
              <w:bottom w:val="single" w:sz="12" w:space="0" w:color="000000"/>
            </w:tcBorders>
            <w:vAlign w:val="bottom"/>
          </w:tcPr>
          <w:p w14:paraId="49821B4C" w14:textId="77777777" w:rsidR="00D83E33" w:rsidRPr="00EA10CF" w:rsidRDefault="00D83E33">
            <w:pPr>
              <w:widowControl w:val="0"/>
              <w:pBdr>
                <w:top w:val="nil"/>
                <w:left w:val="nil"/>
                <w:bottom w:val="nil"/>
                <w:right w:val="nil"/>
                <w:between w:val="nil"/>
              </w:pBdr>
              <w:jc w:val="right"/>
              <w:rPr>
                <w:b/>
                <w:color w:val="000000"/>
                <w:u w:val="single"/>
              </w:rPr>
            </w:pPr>
          </w:p>
        </w:tc>
        <w:tc>
          <w:tcPr>
            <w:tcW w:w="818" w:type="pct"/>
            <w:tcBorders>
              <w:bottom w:val="single" w:sz="12" w:space="0" w:color="000000"/>
            </w:tcBorders>
            <w:vAlign w:val="bottom"/>
          </w:tcPr>
          <w:p w14:paraId="1F5E1418" w14:textId="77777777" w:rsidR="00D83E33" w:rsidRPr="00EA10CF" w:rsidRDefault="00D83E33">
            <w:pPr>
              <w:widowControl w:val="0"/>
              <w:pBdr>
                <w:top w:val="nil"/>
                <w:left w:val="nil"/>
                <w:bottom w:val="nil"/>
                <w:right w:val="nil"/>
                <w:between w:val="nil"/>
              </w:pBdr>
              <w:jc w:val="right"/>
              <w:rPr>
                <w:b/>
                <w:color w:val="000000"/>
              </w:rPr>
            </w:pPr>
          </w:p>
        </w:tc>
      </w:tr>
    </w:tbl>
    <w:p w14:paraId="5EB86B03"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Total consolidated revenues comprise interest income, fee and commission income and other operating income.</w:t>
      </w:r>
    </w:p>
    <w:tbl>
      <w:tblPr>
        <w:tblStyle w:val="afffffffffffff4"/>
        <w:tblW w:w="5000" w:type="pct"/>
        <w:tblLayout w:type="fixed"/>
        <w:tblLook w:val="0000" w:firstRow="0" w:lastRow="0" w:firstColumn="0" w:lastColumn="0" w:noHBand="0" w:noVBand="0"/>
      </w:tblPr>
      <w:tblGrid>
        <w:gridCol w:w="6295"/>
        <w:gridCol w:w="1530"/>
        <w:gridCol w:w="1530"/>
      </w:tblGrid>
      <w:tr w:rsidR="00D83E33" w:rsidRPr="00EA10CF" w14:paraId="4F6F8F6F" w14:textId="77777777" w:rsidTr="001B330E">
        <w:trPr>
          <w:trHeight w:val="23"/>
        </w:trPr>
        <w:tc>
          <w:tcPr>
            <w:tcW w:w="3364" w:type="pct"/>
            <w:tcBorders>
              <w:bottom w:val="single" w:sz="4" w:space="0" w:color="000000"/>
            </w:tcBorders>
            <w:vAlign w:val="bottom"/>
          </w:tcPr>
          <w:p w14:paraId="63EE469A" w14:textId="026242B4"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r w:rsidR="00BC4072" w:rsidRPr="00EA10CF">
              <w:rPr>
                <w:i/>
                <w:color w:val="000000"/>
              </w:rPr>
              <w:t xml:space="preserve"> </w:t>
            </w:r>
          </w:p>
        </w:tc>
        <w:tc>
          <w:tcPr>
            <w:tcW w:w="818" w:type="pct"/>
            <w:tcBorders>
              <w:bottom w:val="single" w:sz="4" w:space="0" w:color="000000"/>
            </w:tcBorders>
            <w:vAlign w:val="bottom"/>
          </w:tcPr>
          <w:p w14:paraId="47176D18" w14:textId="3EF1C34C"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68C101D1" w14:textId="5BDE06F6"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02D4B28F" w14:textId="77777777" w:rsidTr="001B330E">
        <w:trPr>
          <w:trHeight w:val="23"/>
        </w:trPr>
        <w:tc>
          <w:tcPr>
            <w:tcW w:w="3364" w:type="pct"/>
            <w:vAlign w:val="bottom"/>
          </w:tcPr>
          <w:p w14:paraId="05DE6D5E"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41167309"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547E97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27783FE" w14:textId="77777777" w:rsidTr="001B330E">
        <w:trPr>
          <w:trHeight w:val="23"/>
        </w:trPr>
        <w:tc>
          <w:tcPr>
            <w:tcW w:w="3364" w:type="pct"/>
            <w:vAlign w:val="bottom"/>
          </w:tcPr>
          <w:p w14:paraId="34D2C522"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reportable segment result</w:t>
            </w:r>
          </w:p>
        </w:tc>
        <w:tc>
          <w:tcPr>
            <w:tcW w:w="818" w:type="pct"/>
            <w:vAlign w:val="bottom"/>
          </w:tcPr>
          <w:p w14:paraId="14E17123"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27BE16A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901DEF5" w14:textId="77777777" w:rsidTr="001B330E">
        <w:trPr>
          <w:trHeight w:val="23"/>
        </w:trPr>
        <w:tc>
          <w:tcPr>
            <w:tcW w:w="3364" w:type="pct"/>
            <w:vAlign w:val="bottom"/>
          </w:tcPr>
          <w:p w14:paraId="7E0F8F1F"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35F28F06"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565AF4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A6D0B21" w14:textId="77777777" w:rsidTr="001B330E">
        <w:trPr>
          <w:trHeight w:val="23"/>
        </w:trPr>
        <w:tc>
          <w:tcPr>
            <w:tcW w:w="3364" w:type="pct"/>
            <w:vAlign w:val="bottom"/>
          </w:tcPr>
          <w:p w14:paraId="77D31E43"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(a) </w:t>
            </w:r>
            <w:r w:rsidRPr="00EA10CF">
              <w:rPr>
                <w:color w:val="0000FF"/>
              </w:rPr>
              <w:t>[description of each adjustment]</w:t>
            </w:r>
          </w:p>
        </w:tc>
        <w:tc>
          <w:tcPr>
            <w:tcW w:w="818" w:type="pct"/>
            <w:vAlign w:val="bottom"/>
          </w:tcPr>
          <w:p w14:paraId="793CF88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318687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B882387" w14:textId="77777777" w:rsidTr="001B330E">
        <w:trPr>
          <w:trHeight w:val="23"/>
        </w:trPr>
        <w:tc>
          <w:tcPr>
            <w:tcW w:w="3364" w:type="pct"/>
            <w:vAlign w:val="bottom"/>
          </w:tcPr>
          <w:p w14:paraId="5450BFA9"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(b) </w:t>
            </w:r>
            <w:r w:rsidRPr="00EA10CF">
              <w:rPr>
                <w:color w:val="0000FF"/>
              </w:rPr>
              <w:t>[description of each adjustment]</w:t>
            </w:r>
          </w:p>
        </w:tc>
        <w:tc>
          <w:tcPr>
            <w:tcW w:w="818" w:type="pct"/>
            <w:vAlign w:val="bottom"/>
          </w:tcPr>
          <w:p w14:paraId="38D5ABF5"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7832AF9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454E774" w14:textId="77777777" w:rsidTr="001B330E">
        <w:trPr>
          <w:trHeight w:val="23"/>
        </w:trPr>
        <w:tc>
          <w:tcPr>
            <w:tcW w:w="3364" w:type="pct"/>
            <w:vAlign w:val="bottom"/>
          </w:tcPr>
          <w:p w14:paraId="40C7D7DF"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(c) </w:t>
            </w:r>
            <w:r w:rsidRPr="00EA10CF">
              <w:rPr>
                <w:color w:val="0000FF"/>
              </w:rPr>
              <w:t>[description of each adjustment]</w:t>
            </w:r>
          </w:p>
        </w:tc>
        <w:tc>
          <w:tcPr>
            <w:tcW w:w="818" w:type="pct"/>
            <w:vAlign w:val="bottom"/>
          </w:tcPr>
          <w:p w14:paraId="4DB15A15"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7D9A9D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F0AB8A4" w14:textId="77777777" w:rsidTr="001B330E">
        <w:trPr>
          <w:trHeight w:val="23"/>
        </w:trPr>
        <w:tc>
          <w:tcPr>
            <w:tcW w:w="3364" w:type="pct"/>
            <w:tcBorders>
              <w:bottom w:val="single" w:sz="4" w:space="0" w:color="000000"/>
            </w:tcBorders>
            <w:vAlign w:val="bottom"/>
          </w:tcPr>
          <w:p w14:paraId="28404B3F"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bottom w:val="single" w:sz="4" w:space="0" w:color="000000"/>
            </w:tcBorders>
            <w:vAlign w:val="bottom"/>
          </w:tcPr>
          <w:p w14:paraId="45937E43"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465FAA0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D5DC3C8" w14:textId="77777777" w:rsidTr="001B330E">
        <w:trPr>
          <w:trHeight w:val="23"/>
        </w:trPr>
        <w:tc>
          <w:tcPr>
            <w:tcW w:w="3364" w:type="pct"/>
            <w:tcBorders>
              <w:top w:val="single" w:sz="4" w:space="0" w:color="000000"/>
            </w:tcBorders>
            <w:vAlign w:val="bottom"/>
          </w:tcPr>
          <w:p w14:paraId="395A4D36"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top w:val="single" w:sz="4" w:space="0" w:color="000000"/>
            </w:tcBorders>
            <w:vAlign w:val="bottom"/>
          </w:tcPr>
          <w:p w14:paraId="5850DE18"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3165118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0A22430" w14:textId="77777777" w:rsidTr="001B330E">
        <w:trPr>
          <w:trHeight w:val="23"/>
        </w:trPr>
        <w:tc>
          <w:tcPr>
            <w:tcW w:w="3364" w:type="pct"/>
            <w:vAlign w:val="bottom"/>
          </w:tcPr>
          <w:p w14:paraId="612C866D" w14:textId="77777777" w:rsidR="00D83E33" w:rsidRPr="00EA10CF" w:rsidRDefault="00BC4072">
            <w:pPr>
              <w:widowControl w:val="0"/>
              <w:pBdr>
                <w:top w:val="nil"/>
                <w:left w:val="nil"/>
                <w:bottom w:val="nil"/>
                <w:right w:val="nil"/>
                <w:between w:val="nil"/>
              </w:pBdr>
              <w:rPr>
                <w:b/>
                <w:color w:val="000000"/>
              </w:rPr>
            </w:pPr>
            <w:r w:rsidRPr="00EA10CF">
              <w:rPr>
                <w:b/>
                <w:color w:val="000000"/>
              </w:rPr>
              <w:t>Profit or loss before tax</w:t>
            </w:r>
          </w:p>
        </w:tc>
        <w:tc>
          <w:tcPr>
            <w:tcW w:w="818" w:type="pct"/>
            <w:vAlign w:val="bottom"/>
          </w:tcPr>
          <w:p w14:paraId="042DFB56"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730FCFC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8C025CF" w14:textId="77777777" w:rsidTr="001B330E">
        <w:trPr>
          <w:trHeight w:val="23"/>
        </w:trPr>
        <w:tc>
          <w:tcPr>
            <w:tcW w:w="3364" w:type="pct"/>
            <w:tcBorders>
              <w:bottom w:val="single" w:sz="12" w:space="0" w:color="000000"/>
            </w:tcBorders>
            <w:vAlign w:val="bottom"/>
          </w:tcPr>
          <w:p w14:paraId="27530FB1" w14:textId="77777777" w:rsidR="00D83E33" w:rsidRPr="00EA10CF" w:rsidRDefault="00BC4072">
            <w:pPr>
              <w:widowControl w:val="0"/>
            </w:pPr>
            <w:r w:rsidRPr="00EA10CF">
              <w:t> </w:t>
            </w:r>
          </w:p>
        </w:tc>
        <w:tc>
          <w:tcPr>
            <w:tcW w:w="818" w:type="pct"/>
            <w:tcBorders>
              <w:bottom w:val="single" w:sz="12" w:space="0" w:color="000000"/>
            </w:tcBorders>
            <w:vAlign w:val="bottom"/>
          </w:tcPr>
          <w:p w14:paraId="388DD35E" w14:textId="77777777" w:rsidR="00D83E33" w:rsidRPr="00EA10CF" w:rsidRDefault="00D83E33">
            <w:pPr>
              <w:widowControl w:val="0"/>
              <w:pBdr>
                <w:top w:val="nil"/>
                <w:left w:val="nil"/>
                <w:bottom w:val="nil"/>
                <w:right w:val="nil"/>
                <w:between w:val="nil"/>
              </w:pBdr>
              <w:jc w:val="right"/>
              <w:rPr>
                <w:b/>
                <w:color w:val="000000"/>
                <w:u w:val="single"/>
              </w:rPr>
            </w:pPr>
          </w:p>
        </w:tc>
        <w:tc>
          <w:tcPr>
            <w:tcW w:w="818" w:type="pct"/>
            <w:tcBorders>
              <w:bottom w:val="single" w:sz="12" w:space="0" w:color="000000"/>
            </w:tcBorders>
            <w:vAlign w:val="bottom"/>
          </w:tcPr>
          <w:p w14:paraId="33F27D5D" w14:textId="77777777" w:rsidR="00D83E33" w:rsidRPr="00EA10CF" w:rsidRDefault="00D83E33">
            <w:pPr>
              <w:widowControl w:val="0"/>
              <w:pBdr>
                <w:top w:val="nil"/>
                <w:left w:val="nil"/>
                <w:bottom w:val="nil"/>
                <w:right w:val="nil"/>
                <w:between w:val="nil"/>
              </w:pBdr>
              <w:jc w:val="right"/>
              <w:rPr>
                <w:b/>
                <w:color w:val="000000"/>
              </w:rPr>
            </w:pPr>
          </w:p>
        </w:tc>
      </w:tr>
    </w:tbl>
    <w:p w14:paraId="7E776BE8" w14:textId="77777777" w:rsidR="00D83E33" w:rsidRDefault="00D83E33">
      <w:pPr>
        <w:widowControl w:val="0"/>
        <w:pBdr>
          <w:top w:val="nil"/>
          <w:left w:val="nil"/>
          <w:bottom w:val="nil"/>
          <w:right w:val="nil"/>
          <w:between w:val="nil"/>
        </w:pBdr>
        <w:jc w:val="both"/>
        <w:rPr>
          <w:color w:val="000000"/>
          <w:sz w:val="20"/>
          <w:szCs w:val="20"/>
        </w:rPr>
      </w:pPr>
    </w:p>
    <w:tbl>
      <w:tblPr>
        <w:tblStyle w:val="afffffffffffff5"/>
        <w:tblW w:w="5000" w:type="pct"/>
        <w:tblLayout w:type="fixed"/>
        <w:tblLook w:val="0000" w:firstRow="0" w:lastRow="0" w:firstColumn="0" w:lastColumn="0" w:noHBand="0" w:noVBand="0"/>
      </w:tblPr>
      <w:tblGrid>
        <w:gridCol w:w="6295"/>
        <w:gridCol w:w="1530"/>
        <w:gridCol w:w="1530"/>
      </w:tblGrid>
      <w:tr w:rsidR="00D83E33" w:rsidRPr="00EA10CF" w14:paraId="6A7C5C38" w14:textId="77777777" w:rsidTr="001B330E">
        <w:trPr>
          <w:trHeight w:val="23"/>
        </w:trPr>
        <w:tc>
          <w:tcPr>
            <w:tcW w:w="3364" w:type="pct"/>
            <w:tcBorders>
              <w:bottom w:val="single" w:sz="4" w:space="0" w:color="000000"/>
            </w:tcBorders>
            <w:vAlign w:val="bottom"/>
          </w:tcPr>
          <w:p w14:paraId="4673B145" w14:textId="69EBDD4E"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r w:rsidR="00BC4072" w:rsidRPr="00EA10CF">
              <w:rPr>
                <w:i/>
                <w:color w:val="000000"/>
              </w:rPr>
              <w:t xml:space="preserve"> </w:t>
            </w:r>
          </w:p>
        </w:tc>
        <w:tc>
          <w:tcPr>
            <w:tcW w:w="818" w:type="pct"/>
            <w:tcBorders>
              <w:bottom w:val="single" w:sz="4" w:space="0" w:color="000000"/>
            </w:tcBorders>
            <w:vAlign w:val="bottom"/>
          </w:tcPr>
          <w:p w14:paraId="5F6485FF" w14:textId="6FBDE8BA"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2E7570FD" w14:textId="63960DD8"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5938E495" w14:textId="77777777" w:rsidTr="001B330E">
        <w:trPr>
          <w:trHeight w:val="23"/>
        </w:trPr>
        <w:tc>
          <w:tcPr>
            <w:tcW w:w="3364" w:type="pct"/>
            <w:vAlign w:val="bottom"/>
          </w:tcPr>
          <w:p w14:paraId="3FEAC708"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2CE24CF5"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0AF1EB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BDCFCED" w14:textId="77777777" w:rsidTr="001B330E">
        <w:trPr>
          <w:trHeight w:val="23"/>
        </w:trPr>
        <w:tc>
          <w:tcPr>
            <w:tcW w:w="3364" w:type="pct"/>
            <w:vAlign w:val="bottom"/>
          </w:tcPr>
          <w:p w14:paraId="76A60D21"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reportable segment assets</w:t>
            </w:r>
          </w:p>
        </w:tc>
        <w:tc>
          <w:tcPr>
            <w:tcW w:w="818" w:type="pct"/>
            <w:vAlign w:val="bottom"/>
          </w:tcPr>
          <w:p w14:paraId="5B52B0F5"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0E5B9E8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1F6C5D1" w14:textId="77777777" w:rsidTr="001B330E">
        <w:trPr>
          <w:trHeight w:val="23"/>
        </w:trPr>
        <w:tc>
          <w:tcPr>
            <w:tcW w:w="3364" w:type="pct"/>
            <w:vAlign w:val="bottom"/>
          </w:tcPr>
          <w:p w14:paraId="17DFFB2C"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06B39031"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1AF6D0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BA98A90" w14:textId="77777777" w:rsidTr="001B330E">
        <w:trPr>
          <w:trHeight w:val="23"/>
        </w:trPr>
        <w:tc>
          <w:tcPr>
            <w:tcW w:w="3364" w:type="pct"/>
            <w:vAlign w:val="bottom"/>
          </w:tcPr>
          <w:p w14:paraId="630FAAB5"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(a) </w:t>
            </w:r>
            <w:r w:rsidRPr="00EA10CF">
              <w:rPr>
                <w:color w:val="0000FF"/>
              </w:rPr>
              <w:t>[description of each adjustment]</w:t>
            </w:r>
          </w:p>
        </w:tc>
        <w:tc>
          <w:tcPr>
            <w:tcW w:w="818" w:type="pct"/>
            <w:vAlign w:val="bottom"/>
          </w:tcPr>
          <w:p w14:paraId="6B14BC0A"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57EC71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1BC3AE2" w14:textId="77777777" w:rsidTr="001B330E">
        <w:trPr>
          <w:trHeight w:val="23"/>
        </w:trPr>
        <w:tc>
          <w:tcPr>
            <w:tcW w:w="3364" w:type="pct"/>
            <w:vAlign w:val="bottom"/>
          </w:tcPr>
          <w:p w14:paraId="723586C8"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(b) </w:t>
            </w:r>
            <w:r w:rsidRPr="00EA10CF">
              <w:rPr>
                <w:color w:val="0000FF"/>
              </w:rPr>
              <w:t>[description of each adjustment]</w:t>
            </w:r>
          </w:p>
        </w:tc>
        <w:tc>
          <w:tcPr>
            <w:tcW w:w="818" w:type="pct"/>
            <w:vAlign w:val="bottom"/>
          </w:tcPr>
          <w:p w14:paraId="0A80AA02"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506D23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256472B" w14:textId="77777777" w:rsidTr="001B330E">
        <w:trPr>
          <w:trHeight w:val="23"/>
        </w:trPr>
        <w:tc>
          <w:tcPr>
            <w:tcW w:w="3364" w:type="pct"/>
            <w:vAlign w:val="bottom"/>
          </w:tcPr>
          <w:p w14:paraId="5D2BF04D"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(c) </w:t>
            </w:r>
            <w:r w:rsidRPr="00EA10CF">
              <w:rPr>
                <w:color w:val="0000FF"/>
              </w:rPr>
              <w:t>[description of each adjustment]</w:t>
            </w:r>
          </w:p>
        </w:tc>
        <w:tc>
          <w:tcPr>
            <w:tcW w:w="818" w:type="pct"/>
            <w:vAlign w:val="bottom"/>
          </w:tcPr>
          <w:p w14:paraId="79AEB214"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DF2AFF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B0964B3" w14:textId="77777777" w:rsidTr="001B330E">
        <w:trPr>
          <w:trHeight w:val="23"/>
        </w:trPr>
        <w:tc>
          <w:tcPr>
            <w:tcW w:w="3364" w:type="pct"/>
            <w:tcBorders>
              <w:bottom w:val="single" w:sz="4" w:space="0" w:color="000000"/>
            </w:tcBorders>
            <w:vAlign w:val="bottom"/>
          </w:tcPr>
          <w:p w14:paraId="62F4F052"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bottom w:val="single" w:sz="4" w:space="0" w:color="000000"/>
            </w:tcBorders>
            <w:vAlign w:val="bottom"/>
          </w:tcPr>
          <w:p w14:paraId="69B4605D"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47E1C32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CD17D18" w14:textId="77777777" w:rsidTr="001B330E">
        <w:trPr>
          <w:trHeight w:val="23"/>
        </w:trPr>
        <w:tc>
          <w:tcPr>
            <w:tcW w:w="3364" w:type="pct"/>
            <w:tcBorders>
              <w:top w:val="single" w:sz="4" w:space="0" w:color="000000"/>
            </w:tcBorders>
            <w:vAlign w:val="bottom"/>
          </w:tcPr>
          <w:p w14:paraId="7268E836"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top w:val="single" w:sz="4" w:space="0" w:color="000000"/>
            </w:tcBorders>
            <w:vAlign w:val="bottom"/>
          </w:tcPr>
          <w:p w14:paraId="3DA160DE"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730E0B3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05932B6" w14:textId="77777777" w:rsidTr="001B330E">
        <w:trPr>
          <w:trHeight w:val="23"/>
        </w:trPr>
        <w:tc>
          <w:tcPr>
            <w:tcW w:w="3364" w:type="pct"/>
            <w:vAlign w:val="bottom"/>
          </w:tcPr>
          <w:p w14:paraId="0BB8F76F"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consolidated assets</w:t>
            </w:r>
          </w:p>
        </w:tc>
        <w:tc>
          <w:tcPr>
            <w:tcW w:w="818" w:type="pct"/>
            <w:vAlign w:val="bottom"/>
          </w:tcPr>
          <w:p w14:paraId="51F91E96"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5D174259"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83758B0" w14:textId="77777777" w:rsidTr="001B330E">
        <w:trPr>
          <w:trHeight w:val="23"/>
        </w:trPr>
        <w:tc>
          <w:tcPr>
            <w:tcW w:w="3364" w:type="pct"/>
            <w:tcBorders>
              <w:bottom w:val="single" w:sz="12" w:space="0" w:color="000000"/>
            </w:tcBorders>
            <w:vAlign w:val="bottom"/>
          </w:tcPr>
          <w:p w14:paraId="58FB5CE9" w14:textId="77777777" w:rsidR="00D83E33" w:rsidRPr="00EA10CF" w:rsidRDefault="00BC4072">
            <w:pPr>
              <w:widowControl w:val="0"/>
            </w:pPr>
            <w:r w:rsidRPr="00EA10CF">
              <w:t> </w:t>
            </w:r>
          </w:p>
        </w:tc>
        <w:tc>
          <w:tcPr>
            <w:tcW w:w="818" w:type="pct"/>
            <w:tcBorders>
              <w:bottom w:val="single" w:sz="12" w:space="0" w:color="000000"/>
            </w:tcBorders>
            <w:vAlign w:val="bottom"/>
          </w:tcPr>
          <w:p w14:paraId="3E284CF5" w14:textId="77777777" w:rsidR="00D83E33" w:rsidRPr="00EA10CF" w:rsidRDefault="00D83E33">
            <w:pPr>
              <w:widowControl w:val="0"/>
              <w:pBdr>
                <w:top w:val="nil"/>
                <w:left w:val="nil"/>
                <w:bottom w:val="nil"/>
                <w:right w:val="nil"/>
                <w:between w:val="nil"/>
              </w:pBdr>
              <w:jc w:val="right"/>
              <w:rPr>
                <w:b/>
                <w:color w:val="000000"/>
                <w:u w:val="single"/>
              </w:rPr>
            </w:pPr>
          </w:p>
        </w:tc>
        <w:tc>
          <w:tcPr>
            <w:tcW w:w="818" w:type="pct"/>
            <w:tcBorders>
              <w:bottom w:val="single" w:sz="12" w:space="0" w:color="000000"/>
            </w:tcBorders>
            <w:vAlign w:val="bottom"/>
          </w:tcPr>
          <w:p w14:paraId="2B1D2594" w14:textId="77777777" w:rsidR="00D83E33" w:rsidRPr="00EA10CF" w:rsidRDefault="00D83E33">
            <w:pPr>
              <w:widowControl w:val="0"/>
              <w:pBdr>
                <w:top w:val="nil"/>
                <w:left w:val="nil"/>
                <w:bottom w:val="nil"/>
                <w:right w:val="nil"/>
                <w:between w:val="nil"/>
              </w:pBdr>
              <w:jc w:val="right"/>
              <w:rPr>
                <w:b/>
                <w:color w:val="000000"/>
              </w:rPr>
            </w:pPr>
          </w:p>
        </w:tc>
      </w:tr>
    </w:tbl>
    <w:p w14:paraId="1E521B13" w14:textId="77777777" w:rsidR="00D83E33" w:rsidRDefault="00D83E33">
      <w:pPr>
        <w:widowControl w:val="0"/>
        <w:pBdr>
          <w:top w:val="nil"/>
          <w:left w:val="nil"/>
          <w:bottom w:val="nil"/>
          <w:right w:val="nil"/>
          <w:between w:val="nil"/>
        </w:pBdr>
        <w:jc w:val="both"/>
        <w:rPr>
          <w:color w:val="000000"/>
          <w:sz w:val="20"/>
          <w:szCs w:val="20"/>
        </w:rPr>
      </w:pPr>
    </w:p>
    <w:tbl>
      <w:tblPr>
        <w:tblStyle w:val="afffffffffffff6"/>
        <w:tblW w:w="5000" w:type="pct"/>
        <w:tblLayout w:type="fixed"/>
        <w:tblLook w:val="0000" w:firstRow="0" w:lastRow="0" w:firstColumn="0" w:lastColumn="0" w:noHBand="0" w:noVBand="0"/>
      </w:tblPr>
      <w:tblGrid>
        <w:gridCol w:w="6295"/>
        <w:gridCol w:w="1530"/>
        <w:gridCol w:w="1530"/>
      </w:tblGrid>
      <w:tr w:rsidR="00D83E33" w:rsidRPr="00EA10CF" w14:paraId="5F771A5B" w14:textId="77777777" w:rsidTr="001B330E">
        <w:trPr>
          <w:trHeight w:val="23"/>
        </w:trPr>
        <w:tc>
          <w:tcPr>
            <w:tcW w:w="3364" w:type="pct"/>
            <w:tcBorders>
              <w:bottom w:val="single" w:sz="4" w:space="0" w:color="000000"/>
            </w:tcBorders>
            <w:vAlign w:val="bottom"/>
          </w:tcPr>
          <w:p w14:paraId="4EE57826" w14:textId="13DCBE08"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r w:rsidR="00BC4072" w:rsidRPr="00EA10CF">
              <w:rPr>
                <w:i/>
                <w:color w:val="000000"/>
              </w:rPr>
              <w:t xml:space="preserve"> </w:t>
            </w:r>
          </w:p>
        </w:tc>
        <w:tc>
          <w:tcPr>
            <w:tcW w:w="818" w:type="pct"/>
            <w:tcBorders>
              <w:bottom w:val="single" w:sz="4" w:space="0" w:color="000000"/>
            </w:tcBorders>
            <w:vAlign w:val="bottom"/>
          </w:tcPr>
          <w:p w14:paraId="543F3840" w14:textId="0E9E156D"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185DBF0D" w14:textId="61A8B709"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6AFCBD93" w14:textId="77777777" w:rsidTr="001B330E">
        <w:trPr>
          <w:trHeight w:val="23"/>
        </w:trPr>
        <w:tc>
          <w:tcPr>
            <w:tcW w:w="3364" w:type="pct"/>
            <w:vAlign w:val="bottom"/>
          </w:tcPr>
          <w:p w14:paraId="773AFD95"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2D1F25E1"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EFD002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194F4C7" w14:textId="77777777" w:rsidTr="001B330E">
        <w:trPr>
          <w:trHeight w:val="23"/>
        </w:trPr>
        <w:tc>
          <w:tcPr>
            <w:tcW w:w="3364" w:type="pct"/>
            <w:vAlign w:val="bottom"/>
          </w:tcPr>
          <w:p w14:paraId="7D019A93"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reportable segment liabilities</w:t>
            </w:r>
          </w:p>
        </w:tc>
        <w:tc>
          <w:tcPr>
            <w:tcW w:w="818" w:type="pct"/>
            <w:vAlign w:val="bottom"/>
          </w:tcPr>
          <w:p w14:paraId="4193E214"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6154E9A9"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08DEACA" w14:textId="77777777" w:rsidTr="001B330E">
        <w:trPr>
          <w:trHeight w:val="23"/>
        </w:trPr>
        <w:tc>
          <w:tcPr>
            <w:tcW w:w="3364" w:type="pct"/>
            <w:vAlign w:val="bottom"/>
          </w:tcPr>
          <w:p w14:paraId="1A7F3DDA"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1E749995"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7A34A43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8312CC6" w14:textId="77777777" w:rsidTr="001B330E">
        <w:trPr>
          <w:trHeight w:val="23"/>
        </w:trPr>
        <w:tc>
          <w:tcPr>
            <w:tcW w:w="3364" w:type="pct"/>
            <w:vAlign w:val="bottom"/>
          </w:tcPr>
          <w:p w14:paraId="6F75226B"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(a) </w:t>
            </w:r>
            <w:r w:rsidRPr="00EA10CF">
              <w:rPr>
                <w:color w:val="0000FF"/>
              </w:rPr>
              <w:t>[description of each adjustment]</w:t>
            </w:r>
          </w:p>
        </w:tc>
        <w:tc>
          <w:tcPr>
            <w:tcW w:w="818" w:type="pct"/>
            <w:vAlign w:val="bottom"/>
          </w:tcPr>
          <w:p w14:paraId="7BB6574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1D40560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B4AA09" w14:textId="77777777" w:rsidTr="001B330E">
        <w:trPr>
          <w:trHeight w:val="23"/>
        </w:trPr>
        <w:tc>
          <w:tcPr>
            <w:tcW w:w="3364" w:type="pct"/>
            <w:vAlign w:val="bottom"/>
          </w:tcPr>
          <w:p w14:paraId="218F86CB"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(b) </w:t>
            </w:r>
            <w:r w:rsidRPr="00EA10CF">
              <w:rPr>
                <w:color w:val="0000FF"/>
              </w:rPr>
              <w:t>[description of each adjustment]</w:t>
            </w:r>
          </w:p>
        </w:tc>
        <w:tc>
          <w:tcPr>
            <w:tcW w:w="818" w:type="pct"/>
            <w:vAlign w:val="bottom"/>
          </w:tcPr>
          <w:p w14:paraId="1A32CB9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9B8983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85BDF69" w14:textId="77777777" w:rsidTr="001B330E">
        <w:trPr>
          <w:trHeight w:val="23"/>
        </w:trPr>
        <w:tc>
          <w:tcPr>
            <w:tcW w:w="3364" w:type="pct"/>
            <w:vAlign w:val="bottom"/>
          </w:tcPr>
          <w:p w14:paraId="12EBE141" w14:textId="77777777" w:rsidR="00D83E33" w:rsidRPr="00EA10CF" w:rsidRDefault="00BC4072">
            <w:pPr>
              <w:widowControl w:val="0"/>
              <w:pBdr>
                <w:top w:val="nil"/>
                <w:left w:val="nil"/>
                <w:bottom w:val="nil"/>
                <w:right w:val="nil"/>
                <w:between w:val="nil"/>
              </w:pBdr>
              <w:rPr>
                <w:color w:val="000000"/>
              </w:rPr>
            </w:pPr>
            <w:r w:rsidRPr="00EA10CF">
              <w:rPr>
                <w:color w:val="000000"/>
              </w:rPr>
              <w:t xml:space="preserve">(c) </w:t>
            </w:r>
            <w:r w:rsidRPr="00EA10CF">
              <w:rPr>
                <w:color w:val="0000FF"/>
              </w:rPr>
              <w:t>[description of each adjustment]</w:t>
            </w:r>
          </w:p>
        </w:tc>
        <w:tc>
          <w:tcPr>
            <w:tcW w:w="818" w:type="pct"/>
            <w:vAlign w:val="bottom"/>
          </w:tcPr>
          <w:p w14:paraId="7E2D471D"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A0E0ED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B449FCE" w14:textId="77777777" w:rsidTr="001B330E">
        <w:trPr>
          <w:trHeight w:val="23"/>
        </w:trPr>
        <w:tc>
          <w:tcPr>
            <w:tcW w:w="3364" w:type="pct"/>
            <w:tcBorders>
              <w:bottom w:val="single" w:sz="4" w:space="0" w:color="000000"/>
            </w:tcBorders>
            <w:vAlign w:val="bottom"/>
          </w:tcPr>
          <w:p w14:paraId="7796BDC5"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bottom w:val="single" w:sz="4" w:space="0" w:color="000000"/>
            </w:tcBorders>
            <w:vAlign w:val="bottom"/>
          </w:tcPr>
          <w:p w14:paraId="6CFB2DDE"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7B1B8ED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A547C27" w14:textId="77777777" w:rsidTr="001B330E">
        <w:trPr>
          <w:trHeight w:val="23"/>
        </w:trPr>
        <w:tc>
          <w:tcPr>
            <w:tcW w:w="3364" w:type="pct"/>
            <w:tcBorders>
              <w:top w:val="single" w:sz="4" w:space="0" w:color="000000"/>
            </w:tcBorders>
            <w:vAlign w:val="bottom"/>
          </w:tcPr>
          <w:p w14:paraId="42B394DA"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top w:val="single" w:sz="4" w:space="0" w:color="000000"/>
            </w:tcBorders>
            <w:vAlign w:val="bottom"/>
          </w:tcPr>
          <w:p w14:paraId="7E624223"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1A903BD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E3D1AA7" w14:textId="77777777" w:rsidTr="001B330E">
        <w:trPr>
          <w:trHeight w:val="23"/>
        </w:trPr>
        <w:tc>
          <w:tcPr>
            <w:tcW w:w="3364" w:type="pct"/>
            <w:vAlign w:val="bottom"/>
          </w:tcPr>
          <w:p w14:paraId="062B9DDE"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consolidated liabilities</w:t>
            </w:r>
          </w:p>
        </w:tc>
        <w:tc>
          <w:tcPr>
            <w:tcW w:w="818" w:type="pct"/>
            <w:vAlign w:val="bottom"/>
          </w:tcPr>
          <w:p w14:paraId="5253FBE1"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7AF2C359"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830E9C2" w14:textId="77777777" w:rsidTr="001B330E">
        <w:trPr>
          <w:trHeight w:val="23"/>
        </w:trPr>
        <w:tc>
          <w:tcPr>
            <w:tcW w:w="3364" w:type="pct"/>
            <w:tcBorders>
              <w:bottom w:val="single" w:sz="12" w:space="0" w:color="000000"/>
            </w:tcBorders>
            <w:vAlign w:val="bottom"/>
          </w:tcPr>
          <w:p w14:paraId="1934531C" w14:textId="77777777" w:rsidR="00D83E33" w:rsidRPr="00EA10CF" w:rsidRDefault="00BC4072">
            <w:pPr>
              <w:widowControl w:val="0"/>
            </w:pPr>
            <w:r w:rsidRPr="00EA10CF">
              <w:t> </w:t>
            </w:r>
          </w:p>
        </w:tc>
        <w:tc>
          <w:tcPr>
            <w:tcW w:w="818" w:type="pct"/>
            <w:tcBorders>
              <w:bottom w:val="single" w:sz="12" w:space="0" w:color="000000"/>
            </w:tcBorders>
            <w:vAlign w:val="bottom"/>
          </w:tcPr>
          <w:p w14:paraId="076515DE" w14:textId="77777777" w:rsidR="00D83E33" w:rsidRPr="00EA10CF" w:rsidRDefault="00D83E33">
            <w:pPr>
              <w:widowControl w:val="0"/>
              <w:pBdr>
                <w:top w:val="nil"/>
                <w:left w:val="nil"/>
                <w:bottom w:val="nil"/>
                <w:right w:val="nil"/>
                <w:between w:val="nil"/>
              </w:pBdr>
              <w:jc w:val="right"/>
              <w:rPr>
                <w:b/>
                <w:color w:val="000000"/>
                <w:u w:val="single"/>
              </w:rPr>
            </w:pPr>
          </w:p>
        </w:tc>
        <w:tc>
          <w:tcPr>
            <w:tcW w:w="818" w:type="pct"/>
            <w:tcBorders>
              <w:bottom w:val="single" w:sz="12" w:space="0" w:color="000000"/>
            </w:tcBorders>
            <w:vAlign w:val="bottom"/>
          </w:tcPr>
          <w:p w14:paraId="4C049E12" w14:textId="77777777" w:rsidR="00D83E33" w:rsidRPr="00EA10CF" w:rsidRDefault="00D83E33">
            <w:pPr>
              <w:widowControl w:val="0"/>
              <w:pBdr>
                <w:top w:val="nil"/>
                <w:left w:val="nil"/>
                <w:bottom w:val="nil"/>
                <w:right w:val="nil"/>
                <w:between w:val="nil"/>
              </w:pBdr>
              <w:jc w:val="right"/>
              <w:rPr>
                <w:b/>
                <w:color w:val="000000"/>
              </w:rPr>
            </w:pPr>
          </w:p>
        </w:tc>
      </w:tr>
    </w:tbl>
    <w:p w14:paraId="3784B3C9" w14:textId="5BF435A3" w:rsidR="00D83E33" w:rsidRDefault="00BC4072" w:rsidP="001B330E">
      <w:pPr>
        <w:pStyle w:val="Continued"/>
      </w:pPr>
      <w:r>
        <w:lastRenderedPageBreak/>
        <w:t>40</w:t>
      </w:r>
      <w:r>
        <w:tab/>
        <w:t>Segment Analysis (Continued)</w:t>
      </w:r>
    </w:p>
    <w:p w14:paraId="78F1E69B" w14:textId="2082B634"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Reconciliation of other material items of income or expenses for the year ended 31</w:t>
      </w:r>
      <w:r w:rsidR="00181687">
        <w:rPr>
          <w:color w:val="000000"/>
          <w:sz w:val="20"/>
          <w:szCs w:val="20"/>
        </w:rPr>
        <w:t> December </w:t>
      </w:r>
      <w:r w:rsidR="00541EBC">
        <w:rPr>
          <w:color w:val="000000"/>
          <w:sz w:val="20"/>
          <w:szCs w:val="20"/>
        </w:rPr>
        <w:t>2024</w:t>
      </w:r>
      <w:r>
        <w:rPr>
          <w:color w:val="000000"/>
          <w:sz w:val="20"/>
          <w:szCs w:val="20"/>
        </w:rPr>
        <w:t xml:space="preserve"> is as follows:</w:t>
      </w:r>
    </w:p>
    <w:tbl>
      <w:tblPr>
        <w:tblStyle w:val="afffffffffffff7"/>
        <w:tblW w:w="5000" w:type="pct"/>
        <w:tblLayout w:type="fixed"/>
        <w:tblLook w:val="0000" w:firstRow="0" w:lastRow="0" w:firstColumn="0" w:lastColumn="0" w:noHBand="0" w:noVBand="0"/>
      </w:tblPr>
      <w:tblGrid>
        <w:gridCol w:w="2935"/>
        <w:gridCol w:w="1070"/>
        <w:gridCol w:w="1070"/>
        <w:gridCol w:w="1070"/>
        <w:gridCol w:w="1070"/>
        <w:gridCol w:w="1070"/>
        <w:gridCol w:w="1070"/>
      </w:tblGrid>
      <w:tr w:rsidR="00D83E33" w:rsidRPr="00EA10CF" w14:paraId="7D6E8636" w14:textId="77777777" w:rsidTr="001B330E">
        <w:trPr>
          <w:trHeight w:val="23"/>
        </w:trPr>
        <w:tc>
          <w:tcPr>
            <w:tcW w:w="1568" w:type="pct"/>
            <w:tcBorders>
              <w:bottom w:val="single" w:sz="4" w:space="0" w:color="000000"/>
            </w:tcBorders>
            <w:vAlign w:val="bottom"/>
          </w:tcPr>
          <w:p w14:paraId="7328B82C" w14:textId="12C96246"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72" w:type="pct"/>
            <w:tcBorders>
              <w:bottom w:val="single" w:sz="4" w:space="0" w:color="000000"/>
            </w:tcBorders>
          </w:tcPr>
          <w:p w14:paraId="7C2E7787" w14:textId="1BF34135"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Total amount for all reportable segments</w:t>
            </w:r>
          </w:p>
        </w:tc>
        <w:tc>
          <w:tcPr>
            <w:tcW w:w="572" w:type="pct"/>
            <w:tcBorders>
              <w:bottom w:val="single" w:sz="4" w:space="0" w:color="000000"/>
            </w:tcBorders>
          </w:tcPr>
          <w:p w14:paraId="1DAC6683" w14:textId="77777777" w:rsidR="00D83E33" w:rsidRPr="00EA10CF" w:rsidRDefault="00BC4072">
            <w:pPr>
              <w:widowControl w:val="0"/>
              <w:pBdr>
                <w:top w:val="nil"/>
                <w:left w:val="nil"/>
                <w:bottom w:val="nil"/>
                <w:right w:val="nil"/>
                <w:between w:val="nil"/>
              </w:pBdr>
              <w:ind w:left="-113"/>
              <w:jc w:val="right"/>
              <w:rPr>
                <w:b/>
                <w:color w:val="0000FF"/>
              </w:rPr>
            </w:pPr>
            <w:r w:rsidRPr="00EA10CF">
              <w:rPr>
                <w:b/>
                <w:color w:val="0000FF"/>
              </w:rPr>
              <w:t>[Adjust-ment 1]</w:t>
            </w:r>
          </w:p>
        </w:tc>
        <w:tc>
          <w:tcPr>
            <w:tcW w:w="572" w:type="pct"/>
            <w:tcBorders>
              <w:bottom w:val="single" w:sz="4" w:space="0" w:color="000000"/>
            </w:tcBorders>
          </w:tcPr>
          <w:p w14:paraId="79E57BCA" w14:textId="77777777" w:rsidR="00D83E33" w:rsidRPr="00EA10CF" w:rsidRDefault="00BC4072">
            <w:pPr>
              <w:widowControl w:val="0"/>
              <w:pBdr>
                <w:top w:val="nil"/>
                <w:left w:val="nil"/>
                <w:bottom w:val="nil"/>
                <w:right w:val="nil"/>
                <w:between w:val="nil"/>
              </w:pBdr>
              <w:ind w:left="-113"/>
              <w:jc w:val="right"/>
              <w:rPr>
                <w:b/>
                <w:color w:val="0000FF"/>
              </w:rPr>
            </w:pPr>
            <w:r w:rsidRPr="00EA10CF">
              <w:rPr>
                <w:b/>
                <w:color w:val="0000FF"/>
              </w:rPr>
              <w:t>[Adjust-ment 2]</w:t>
            </w:r>
          </w:p>
        </w:tc>
        <w:tc>
          <w:tcPr>
            <w:tcW w:w="572" w:type="pct"/>
            <w:tcBorders>
              <w:bottom w:val="single" w:sz="4" w:space="0" w:color="000000"/>
            </w:tcBorders>
          </w:tcPr>
          <w:p w14:paraId="73CAEA2B" w14:textId="77777777" w:rsidR="00D83E33" w:rsidRPr="00EA10CF" w:rsidRDefault="00BC4072">
            <w:pPr>
              <w:widowControl w:val="0"/>
              <w:pBdr>
                <w:top w:val="nil"/>
                <w:left w:val="nil"/>
                <w:bottom w:val="nil"/>
                <w:right w:val="nil"/>
                <w:between w:val="nil"/>
              </w:pBdr>
              <w:ind w:left="-113"/>
              <w:jc w:val="right"/>
              <w:rPr>
                <w:b/>
                <w:color w:val="0000FF"/>
              </w:rPr>
            </w:pPr>
            <w:r w:rsidRPr="00EA10CF">
              <w:rPr>
                <w:b/>
                <w:color w:val="0000FF"/>
              </w:rPr>
              <w:t>[Adjust-ment 3]</w:t>
            </w:r>
          </w:p>
        </w:tc>
        <w:tc>
          <w:tcPr>
            <w:tcW w:w="572" w:type="pct"/>
            <w:tcBorders>
              <w:bottom w:val="single" w:sz="4" w:space="0" w:color="000000"/>
            </w:tcBorders>
          </w:tcPr>
          <w:p w14:paraId="4A866224" w14:textId="77777777" w:rsidR="00D83E33" w:rsidRPr="00EA10CF" w:rsidRDefault="00BC4072">
            <w:pPr>
              <w:widowControl w:val="0"/>
              <w:pBdr>
                <w:top w:val="nil"/>
                <w:left w:val="nil"/>
                <w:bottom w:val="nil"/>
                <w:right w:val="nil"/>
                <w:between w:val="nil"/>
              </w:pBdr>
              <w:ind w:left="-113"/>
              <w:jc w:val="right"/>
              <w:rPr>
                <w:b/>
                <w:color w:val="0000FF"/>
              </w:rPr>
            </w:pPr>
            <w:r w:rsidRPr="00EA10CF">
              <w:rPr>
                <w:b/>
                <w:color w:val="0000FF"/>
              </w:rPr>
              <w:t>[Adjust-ment 4]</w:t>
            </w:r>
          </w:p>
        </w:tc>
        <w:tc>
          <w:tcPr>
            <w:tcW w:w="572" w:type="pct"/>
            <w:tcBorders>
              <w:bottom w:val="single" w:sz="4" w:space="0" w:color="000000"/>
            </w:tcBorders>
          </w:tcPr>
          <w:p w14:paraId="206FD5EC"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As reported under IFRS</w:t>
            </w:r>
          </w:p>
        </w:tc>
      </w:tr>
      <w:tr w:rsidR="00D83E33" w:rsidRPr="00EA10CF" w14:paraId="239F7482" w14:textId="77777777" w:rsidTr="001B330E">
        <w:trPr>
          <w:trHeight w:val="23"/>
        </w:trPr>
        <w:tc>
          <w:tcPr>
            <w:tcW w:w="1568" w:type="pct"/>
            <w:tcBorders>
              <w:top w:val="single" w:sz="4" w:space="0" w:color="000000"/>
            </w:tcBorders>
            <w:vAlign w:val="bottom"/>
          </w:tcPr>
          <w:p w14:paraId="141FD0C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2" w:type="pct"/>
            <w:tcBorders>
              <w:top w:val="single" w:sz="4" w:space="0" w:color="000000"/>
            </w:tcBorders>
            <w:vAlign w:val="bottom"/>
          </w:tcPr>
          <w:p w14:paraId="23988828"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2DAC2CAA"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413A5032"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75237137"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6BBB5020"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0BFDD34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2FEE576" w14:textId="77777777" w:rsidTr="001B330E">
        <w:trPr>
          <w:trHeight w:val="23"/>
        </w:trPr>
        <w:tc>
          <w:tcPr>
            <w:tcW w:w="1568" w:type="pct"/>
            <w:vAlign w:val="bottom"/>
          </w:tcPr>
          <w:p w14:paraId="374562AA" w14:textId="5194ABE0"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Material income or expenses for year ended 31</w:t>
            </w:r>
            <w:r w:rsidR="00181687">
              <w:rPr>
                <w:b/>
                <w:color w:val="000000"/>
              </w:rPr>
              <w:t> December </w:t>
            </w:r>
            <w:r w:rsidR="00541EBC">
              <w:rPr>
                <w:b/>
                <w:color w:val="000000"/>
              </w:rPr>
              <w:t>2024</w:t>
            </w:r>
          </w:p>
        </w:tc>
        <w:tc>
          <w:tcPr>
            <w:tcW w:w="572" w:type="pct"/>
            <w:vAlign w:val="bottom"/>
          </w:tcPr>
          <w:p w14:paraId="7BE6D98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2337AE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BFF347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88C30F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54034A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B309CD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2C96FE8" w14:textId="77777777" w:rsidTr="001B330E">
        <w:trPr>
          <w:trHeight w:val="23"/>
        </w:trPr>
        <w:tc>
          <w:tcPr>
            <w:tcW w:w="1568" w:type="pct"/>
            <w:vAlign w:val="bottom"/>
          </w:tcPr>
          <w:p w14:paraId="17B5C087"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2" w:type="pct"/>
            <w:vAlign w:val="bottom"/>
          </w:tcPr>
          <w:p w14:paraId="32A7BAA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7B0A10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E1EC69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DB54D0B"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F59963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AE448C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995137F" w14:textId="77777777" w:rsidTr="001B330E">
        <w:trPr>
          <w:trHeight w:val="23"/>
        </w:trPr>
        <w:tc>
          <w:tcPr>
            <w:tcW w:w="1568" w:type="pct"/>
            <w:vAlign w:val="bottom"/>
          </w:tcPr>
          <w:p w14:paraId="44D70128"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External revenues:</w:t>
            </w:r>
          </w:p>
        </w:tc>
        <w:tc>
          <w:tcPr>
            <w:tcW w:w="572" w:type="pct"/>
            <w:vAlign w:val="bottom"/>
          </w:tcPr>
          <w:p w14:paraId="07542843"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429945D1"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0D18349A"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74A6AAF8"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38F9E0AF"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652D6553" w14:textId="77777777" w:rsidR="00D83E33" w:rsidRPr="00EA10CF" w:rsidRDefault="00D83E33">
            <w:pPr>
              <w:widowControl w:val="0"/>
              <w:pBdr>
                <w:top w:val="nil"/>
                <w:left w:val="nil"/>
                <w:bottom w:val="nil"/>
                <w:right w:val="nil"/>
                <w:between w:val="nil"/>
              </w:pBdr>
              <w:jc w:val="right"/>
              <w:rPr>
                <w:i/>
                <w:color w:val="000000"/>
              </w:rPr>
            </w:pPr>
          </w:p>
        </w:tc>
      </w:tr>
      <w:tr w:rsidR="00D83E33" w:rsidRPr="00EA10CF" w14:paraId="621B4D6C" w14:textId="77777777" w:rsidTr="001B330E">
        <w:trPr>
          <w:trHeight w:val="23"/>
        </w:trPr>
        <w:tc>
          <w:tcPr>
            <w:tcW w:w="1568" w:type="pct"/>
            <w:vAlign w:val="bottom"/>
          </w:tcPr>
          <w:p w14:paraId="0719A9A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Interest income</w:t>
            </w:r>
          </w:p>
        </w:tc>
        <w:tc>
          <w:tcPr>
            <w:tcW w:w="572" w:type="pct"/>
            <w:vAlign w:val="bottom"/>
          </w:tcPr>
          <w:p w14:paraId="7E8E668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80104D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A2483C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5E1306F"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B0BC77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DEF584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C7C29C8" w14:textId="77777777" w:rsidTr="001B330E">
        <w:trPr>
          <w:trHeight w:val="23"/>
        </w:trPr>
        <w:tc>
          <w:tcPr>
            <w:tcW w:w="1568" w:type="pct"/>
            <w:vAlign w:val="bottom"/>
          </w:tcPr>
          <w:p w14:paraId="4C76252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Fee and commission income</w:t>
            </w:r>
          </w:p>
        </w:tc>
        <w:tc>
          <w:tcPr>
            <w:tcW w:w="572" w:type="pct"/>
            <w:vAlign w:val="bottom"/>
          </w:tcPr>
          <w:p w14:paraId="6B7BA80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1EAC9A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745BCF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96E3DC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544A5B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595BCE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F0A9E23" w14:textId="77777777" w:rsidTr="001B330E">
        <w:trPr>
          <w:trHeight w:val="23"/>
        </w:trPr>
        <w:tc>
          <w:tcPr>
            <w:tcW w:w="1568" w:type="pct"/>
            <w:vAlign w:val="bottom"/>
          </w:tcPr>
          <w:p w14:paraId="625BA4E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Other operating income </w:t>
            </w:r>
          </w:p>
        </w:tc>
        <w:tc>
          <w:tcPr>
            <w:tcW w:w="572" w:type="pct"/>
            <w:vAlign w:val="bottom"/>
          </w:tcPr>
          <w:p w14:paraId="70D274E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4DACDB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91256D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F9B72B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98DB2A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C0C4D9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0D80C1F" w14:textId="77777777" w:rsidTr="001B330E">
        <w:trPr>
          <w:trHeight w:val="23"/>
        </w:trPr>
        <w:tc>
          <w:tcPr>
            <w:tcW w:w="1568" w:type="pct"/>
            <w:vAlign w:val="bottom"/>
          </w:tcPr>
          <w:p w14:paraId="7561623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Interest expense</w:t>
            </w:r>
          </w:p>
        </w:tc>
        <w:tc>
          <w:tcPr>
            <w:tcW w:w="572" w:type="pct"/>
            <w:vAlign w:val="bottom"/>
          </w:tcPr>
          <w:p w14:paraId="3402502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7C965B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44F37B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E19C12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D139BD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44E09B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873A177" w14:textId="77777777" w:rsidTr="001B330E">
        <w:trPr>
          <w:trHeight w:val="23"/>
        </w:trPr>
        <w:tc>
          <w:tcPr>
            <w:tcW w:w="1568" w:type="pct"/>
            <w:vAlign w:val="bottom"/>
          </w:tcPr>
          <w:p w14:paraId="3B55DC2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Credit loss allowance</w:t>
            </w:r>
          </w:p>
        </w:tc>
        <w:tc>
          <w:tcPr>
            <w:tcW w:w="572" w:type="pct"/>
            <w:vAlign w:val="bottom"/>
          </w:tcPr>
          <w:p w14:paraId="67EB844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13F90C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EA135F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99F6C1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4028CC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0DF0FF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49EE8F9" w14:textId="77777777" w:rsidTr="001B330E">
        <w:trPr>
          <w:trHeight w:val="23"/>
        </w:trPr>
        <w:tc>
          <w:tcPr>
            <w:tcW w:w="1568" w:type="pct"/>
            <w:vAlign w:val="bottom"/>
          </w:tcPr>
          <w:p w14:paraId="570610F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Impairment of debt securities at FVOCI</w:t>
            </w:r>
          </w:p>
        </w:tc>
        <w:tc>
          <w:tcPr>
            <w:tcW w:w="572" w:type="pct"/>
            <w:vAlign w:val="bottom"/>
          </w:tcPr>
          <w:p w14:paraId="1EC4FA8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5CBF0B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BDDCCD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707DE0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3DC589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73EF08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360E2B6" w14:textId="77777777" w:rsidTr="001B330E">
        <w:trPr>
          <w:trHeight w:val="23"/>
        </w:trPr>
        <w:tc>
          <w:tcPr>
            <w:tcW w:w="1568" w:type="pct"/>
            <w:vAlign w:val="bottom"/>
          </w:tcPr>
          <w:p w14:paraId="6F5C888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Impairment of debt securities at AC</w:t>
            </w:r>
          </w:p>
        </w:tc>
        <w:tc>
          <w:tcPr>
            <w:tcW w:w="572" w:type="pct"/>
            <w:vAlign w:val="bottom"/>
          </w:tcPr>
          <w:p w14:paraId="4BEF58DF"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831402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476C32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B2A793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77984C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BE7B6E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D63DFA7" w14:textId="77777777" w:rsidTr="001B330E">
        <w:trPr>
          <w:trHeight w:val="23"/>
        </w:trPr>
        <w:tc>
          <w:tcPr>
            <w:tcW w:w="1568" w:type="pct"/>
            <w:vAlign w:val="bottom"/>
          </w:tcPr>
          <w:p w14:paraId="26E6207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Fee and commission expense</w:t>
            </w:r>
          </w:p>
        </w:tc>
        <w:tc>
          <w:tcPr>
            <w:tcW w:w="572" w:type="pct"/>
            <w:vAlign w:val="bottom"/>
          </w:tcPr>
          <w:p w14:paraId="6578E9A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AA84C6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588407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71D294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4C4ACA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81F8CA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A35015C" w14:textId="77777777" w:rsidTr="001B330E">
        <w:trPr>
          <w:trHeight w:val="23"/>
        </w:trPr>
        <w:tc>
          <w:tcPr>
            <w:tcW w:w="1568" w:type="pct"/>
            <w:vAlign w:val="bottom"/>
          </w:tcPr>
          <w:p w14:paraId="1B87BC3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financial derivatives</w:t>
            </w:r>
          </w:p>
        </w:tc>
        <w:tc>
          <w:tcPr>
            <w:tcW w:w="572" w:type="pct"/>
            <w:vAlign w:val="bottom"/>
          </w:tcPr>
          <w:p w14:paraId="414D87A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65A693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58412E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6D5847B"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848196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1028F0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74A0012" w14:textId="77777777" w:rsidTr="001B330E">
        <w:trPr>
          <w:trHeight w:val="23"/>
        </w:trPr>
        <w:tc>
          <w:tcPr>
            <w:tcW w:w="1568" w:type="pct"/>
            <w:vAlign w:val="bottom"/>
          </w:tcPr>
          <w:p w14:paraId="5E822B1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securities at FVTPL</w:t>
            </w:r>
          </w:p>
        </w:tc>
        <w:tc>
          <w:tcPr>
            <w:tcW w:w="572" w:type="pct"/>
            <w:vAlign w:val="bottom"/>
          </w:tcPr>
          <w:p w14:paraId="42BD121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A6CB1CF"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6EE32C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B1F01A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F8FBCE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84E1A0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2573C82" w14:textId="77777777" w:rsidTr="001B330E">
        <w:trPr>
          <w:trHeight w:val="23"/>
        </w:trPr>
        <w:tc>
          <w:tcPr>
            <w:tcW w:w="1568" w:type="pct"/>
            <w:vAlign w:val="bottom"/>
          </w:tcPr>
          <w:p w14:paraId="7CF197D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trading in foreign currencies</w:t>
            </w:r>
          </w:p>
        </w:tc>
        <w:tc>
          <w:tcPr>
            <w:tcW w:w="572" w:type="pct"/>
            <w:vAlign w:val="bottom"/>
          </w:tcPr>
          <w:p w14:paraId="5B5B031F"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D93AB6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522906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A0A123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F6A73B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1E53CB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B1FC080" w14:textId="77777777" w:rsidTr="001B330E">
        <w:trPr>
          <w:trHeight w:val="23"/>
        </w:trPr>
        <w:tc>
          <w:tcPr>
            <w:tcW w:w="1568" w:type="pct"/>
            <w:vAlign w:val="bottom"/>
          </w:tcPr>
          <w:p w14:paraId="67B8FCC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on revaluation of investment properties</w:t>
            </w:r>
          </w:p>
        </w:tc>
        <w:tc>
          <w:tcPr>
            <w:tcW w:w="572" w:type="pct"/>
            <w:vAlign w:val="bottom"/>
          </w:tcPr>
          <w:p w14:paraId="3EC7197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727F42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2CDFF1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3BFF27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5C69D2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F87785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CE289A1" w14:textId="77777777" w:rsidTr="001B330E">
        <w:trPr>
          <w:trHeight w:val="23"/>
        </w:trPr>
        <w:tc>
          <w:tcPr>
            <w:tcW w:w="1568" w:type="pct"/>
            <w:vAlign w:val="bottom"/>
          </w:tcPr>
          <w:p w14:paraId="7C28B8C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Foreign exchange translation gains less losses</w:t>
            </w:r>
          </w:p>
        </w:tc>
        <w:tc>
          <w:tcPr>
            <w:tcW w:w="572" w:type="pct"/>
            <w:vAlign w:val="bottom"/>
          </w:tcPr>
          <w:p w14:paraId="41449E2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0750B1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536B2D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E78B5C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7E1A0E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5E7137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71020B" w14:textId="77777777" w:rsidTr="001B330E">
        <w:trPr>
          <w:trHeight w:val="23"/>
        </w:trPr>
        <w:tc>
          <w:tcPr>
            <w:tcW w:w="1568" w:type="pct"/>
            <w:vAlign w:val="bottom"/>
          </w:tcPr>
          <w:p w14:paraId="49C6D7A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disposals of investment securities at FVOCI</w:t>
            </w:r>
          </w:p>
        </w:tc>
        <w:tc>
          <w:tcPr>
            <w:tcW w:w="572" w:type="pct"/>
            <w:vAlign w:val="bottom"/>
          </w:tcPr>
          <w:p w14:paraId="6C4D012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132384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EA66A4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14878F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4548A2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A448A0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9D35D58" w14:textId="77777777" w:rsidTr="001B330E">
        <w:trPr>
          <w:trHeight w:val="23"/>
        </w:trPr>
        <w:tc>
          <w:tcPr>
            <w:tcW w:w="1568" w:type="pct"/>
            <w:vAlign w:val="bottom"/>
          </w:tcPr>
          <w:p w14:paraId="34683A7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Gains/(losses) arising from early retirement of debt</w:t>
            </w:r>
          </w:p>
        </w:tc>
        <w:tc>
          <w:tcPr>
            <w:tcW w:w="572" w:type="pct"/>
            <w:vAlign w:val="bottom"/>
          </w:tcPr>
          <w:p w14:paraId="1D96976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53A430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72A0E6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3775B5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4F8BF5F"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5D28F6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0BBD977" w14:textId="77777777" w:rsidTr="001B330E">
        <w:trPr>
          <w:trHeight w:val="23"/>
        </w:trPr>
        <w:tc>
          <w:tcPr>
            <w:tcW w:w="1568" w:type="pct"/>
            <w:vAlign w:val="bottom"/>
          </w:tcPr>
          <w:p w14:paraId="1CB0E26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Administrative and other operating expenses </w:t>
            </w:r>
          </w:p>
        </w:tc>
        <w:tc>
          <w:tcPr>
            <w:tcW w:w="572" w:type="pct"/>
            <w:vAlign w:val="bottom"/>
          </w:tcPr>
          <w:p w14:paraId="48EA05F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4F3EDA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CF13BD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D90AF7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2A77F2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EC6EE9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3450E10" w14:textId="77777777" w:rsidTr="001B330E">
        <w:trPr>
          <w:trHeight w:val="23"/>
        </w:trPr>
        <w:tc>
          <w:tcPr>
            <w:tcW w:w="1568" w:type="pct"/>
            <w:vAlign w:val="bottom"/>
          </w:tcPr>
          <w:p w14:paraId="5192966D"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Share of result of associates</w:t>
            </w:r>
          </w:p>
        </w:tc>
        <w:tc>
          <w:tcPr>
            <w:tcW w:w="572" w:type="pct"/>
            <w:vAlign w:val="bottom"/>
          </w:tcPr>
          <w:p w14:paraId="7FA1B88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A30E03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016A1C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F493C9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7A72D6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3857E2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F91A78E" w14:textId="77777777" w:rsidTr="001B330E">
        <w:trPr>
          <w:trHeight w:val="23"/>
        </w:trPr>
        <w:tc>
          <w:tcPr>
            <w:tcW w:w="1568" w:type="pct"/>
            <w:tcBorders>
              <w:bottom w:val="single" w:sz="12" w:space="0" w:color="000000"/>
            </w:tcBorders>
            <w:vAlign w:val="bottom"/>
          </w:tcPr>
          <w:p w14:paraId="5B392D4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2" w:type="pct"/>
            <w:tcBorders>
              <w:bottom w:val="single" w:sz="12" w:space="0" w:color="000000"/>
            </w:tcBorders>
            <w:vAlign w:val="bottom"/>
          </w:tcPr>
          <w:p w14:paraId="3B8A5F0C"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466D24ED"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642E8292"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6753F926"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1B8A060B"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1916824E" w14:textId="77777777" w:rsidR="00D83E33" w:rsidRPr="00EA10CF" w:rsidRDefault="00D83E33">
            <w:pPr>
              <w:widowControl w:val="0"/>
              <w:pBdr>
                <w:top w:val="nil"/>
                <w:left w:val="nil"/>
                <w:bottom w:val="nil"/>
                <w:right w:val="nil"/>
                <w:between w:val="nil"/>
              </w:pBdr>
              <w:jc w:val="right"/>
              <w:rPr>
                <w:color w:val="000000"/>
              </w:rPr>
            </w:pPr>
          </w:p>
        </w:tc>
      </w:tr>
    </w:tbl>
    <w:p w14:paraId="61D5B56C"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reconciling items are attributable to the following: </w:t>
      </w:r>
    </w:p>
    <w:p w14:paraId="5E9DCAF9" w14:textId="77777777" w:rsidR="00D83E33" w:rsidRDefault="00BC4072">
      <w:pPr>
        <w:widowControl w:val="0"/>
        <w:numPr>
          <w:ilvl w:val="0"/>
          <w:numId w:val="7"/>
        </w:numPr>
        <w:pBdr>
          <w:top w:val="nil"/>
          <w:left w:val="nil"/>
          <w:bottom w:val="nil"/>
          <w:right w:val="nil"/>
          <w:between w:val="nil"/>
        </w:pBdr>
        <w:spacing w:before="100" w:after="100"/>
        <w:ind w:left="567" w:hanging="567"/>
        <w:jc w:val="both"/>
        <w:rPr>
          <w:color w:val="0000FF"/>
          <w:sz w:val="20"/>
          <w:szCs w:val="20"/>
        </w:rPr>
      </w:pPr>
      <w:r>
        <w:rPr>
          <w:color w:val="0000FF"/>
          <w:sz w:val="20"/>
          <w:szCs w:val="20"/>
        </w:rPr>
        <w:t xml:space="preserve">[description of each adjustment]; </w:t>
      </w:r>
    </w:p>
    <w:p w14:paraId="66808B05" w14:textId="77777777" w:rsidR="00D83E33" w:rsidRDefault="00BC4072">
      <w:pPr>
        <w:widowControl w:val="0"/>
        <w:numPr>
          <w:ilvl w:val="0"/>
          <w:numId w:val="7"/>
        </w:numPr>
        <w:pBdr>
          <w:top w:val="nil"/>
          <w:left w:val="nil"/>
          <w:bottom w:val="nil"/>
          <w:right w:val="nil"/>
          <w:between w:val="nil"/>
        </w:pBdr>
        <w:spacing w:before="100" w:after="100"/>
        <w:ind w:left="567" w:hanging="567"/>
        <w:jc w:val="both"/>
        <w:rPr>
          <w:color w:val="0000FF"/>
          <w:sz w:val="20"/>
          <w:szCs w:val="20"/>
        </w:rPr>
      </w:pPr>
      <w:r>
        <w:rPr>
          <w:color w:val="0000FF"/>
          <w:sz w:val="20"/>
          <w:szCs w:val="20"/>
        </w:rPr>
        <w:t>[description of each adjustment];</w:t>
      </w:r>
    </w:p>
    <w:p w14:paraId="6C62337A" w14:textId="77777777" w:rsidR="00D83E33" w:rsidRDefault="00BC4072">
      <w:pPr>
        <w:widowControl w:val="0"/>
        <w:numPr>
          <w:ilvl w:val="0"/>
          <w:numId w:val="7"/>
        </w:numPr>
        <w:pBdr>
          <w:top w:val="nil"/>
          <w:left w:val="nil"/>
          <w:bottom w:val="nil"/>
          <w:right w:val="nil"/>
          <w:between w:val="nil"/>
        </w:pBdr>
        <w:spacing w:before="100" w:after="100"/>
        <w:ind w:left="567" w:hanging="567"/>
        <w:jc w:val="both"/>
        <w:rPr>
          <w:color w:val="0000FF"/>
          <w:sz w:val="20"/>
          <w:szCs w:val="20"/>
        </w:rPr>
      </w:pPr>
      <w:r>
        <w:rPr>
          <w:color w:val="0000FF"/>
          <w:sz w:val="20"/>
          <w:szCs w:val="20"/>
        </w:rPr>
        <w:t>[description of each adjustment];</w:t>
      </w:r>
    </w:p>
    <w:p w14:paraId="0E5DC868" w14:textId="430D8182" w:rsidR="00D83E33" w:rsidRDefault="00BC4072" w:rsidP="001B330E">
      <w:pPr>
        <w:pStyle w:val="Continued"/>
      </w:pPr>
      <w:r>
        <w:lastRenderedPageBreak/>
        <w:t>40</w:t>
      </w:r>
      <w:r>
        <w:tab/>
        <w:t>Segment Analysis (Continued)</w:t>
      </w:r>
    </w:p>
    <w:p w14:paraId="3EDE05A3" w14:textId="4F92990D" w:rsidR="00D83E33" w:rsidRDefault="00BC4072">
      <w:pPr>
        <w:widowControl w:val="0"/>
        <w:pBdr>
          <w:top w:val="nil"/>
          <w:left w:val="nil"/>
          <w:bottom w:val="nil"/>
          <w:right w:val="nil"/>
          <w:between w:val="nil"/>
        </w:pBdr>
        <w:spacing w:before="200" w:after="200"/>
        <w:jc w:val="both"/>
        <w:rPr>
          <w:b/>
          <w:color w:val="000000"/>
          <w:sz w:val="20"/>
          <w:szCs w:val="20"/>
        </w:rPr>
      </w:pPr>
      <w:r>
        <w:rPr>
          <w:color w:val="000000"/>
          <w:sz w:val="20"/>
          <w:szCs w:val="20"/>
        </w:rPr>
        <w:t>Reconciliation of other material items of income or expenses for the year ended 31</w:t>
      </w:r>
      <w:r w:rsidR="00181687">
        <w:rPr>
          <w:color w:val="000000"/>
          <w:sz w:val="20"/>
          <w:szCs w:val="20"/>
        </w:rPr>
        <w:t> December </w:t>
      </w:r>
      <w:r w:rsidR="00541EBC">
        <w:rPr>
          <w:color w:val="000000"/>
          <w:sz w:val="20"/>
          <w:szCs w:val="20"/>
        </w:rPr>
        <w:t>2023</w:t>
      </w:r>
      <w:r>
        <w:rPr>
          <w:color w:val="000000"/>
          <w:sz w:val="20"/>
          <w:szCs w:val="20"/>
        </w:rPr>
        <w:t xml:space="preserve"> is as follows:</w:t>
      </w:r>
    </w:p>
    <w:tbl>
      <w:tblPr>
        <w:tblStyle w:val="afffffffffffff8"/>
        <w:tblW w:w="5000" w:type="pct"/>
        <w:tblLayout w:type="fixed"/>
        <w:tblLook w:val="0000" w:firstRow="0" w:lastRow="0" w:firstColumn="0" w:lastColumn="0" w:noHBand="0" w:noVBand="0"/>
      </w:tblPr>
      <w:tblGrid>
        <w:gridCol w:w="2935"/>
        <w:gridCol w:w="1070"/>
        <w:gridCol w:w="1070"/>
        <w:gridCol w:w="1070"/>
        <w:gridCol w:w="1070"/>
        <w:gridCol w:w="1070"/>
        <w:gridCol w:w="1070"/>
      </w:tblGrid>
      <w:tr w:rsidR="00D83E33" w:rsidRPr="00EA10CF" w14:paraId="70598630" w14:textId="77777777" w:rsidTr="001B330E">
        <w:trPr>
          <w:trHeight w:val="23"/>
        </w:trPr>
        <w:tc>
          <w:tcPr>
            <w:tcW w:w="1568" w:type="pct"/>
            <w:tcBorders>
              <w:bottom w:val="single" w:sz="4" w:space="0" w:color="000000"/>
            </w:tcBorders>
            <w:vAlign w:val="bottom"/>
          </w:tcPr>
          <w:p w14:paraId="668B1F78" w14:textId="47509CDD"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72" w:type="pct"/>
            <w:tcBorders>
              <w:bottom w:val="single" w:sz="4" w:space="0" w:color="000000"/>
            </w:tcBorders>
          </w:tcPr>
          <w:p w14:paraId="024335F5" w14:textId="79E15D0D" w:rsidR="00D83E33" w:rsidRPr="00EA10CF" w:rsidRDefault="00BC4072" w:rsidP="001B330E">
            <w:pPr>
              <w:widowControl w:val="0"/>
              <w:pBdr>
                <w:top w:val="nil"/>
                <w:left w:val="nil"/>
                <w:bottom w:val="nil"/>
                <w:right w:val="nil"/>
                <w:between w:val="nil"/>
              </w:pBdr>
              <w:ind w:left="-57"/>
              <w:jc w:val="right"/>
              <w:rPr>
                <w:b/>
                <w:color w:val="000000"/>
              </w:rPr>
            </w:pPr>
            <w:r w:rsidRPr="00EA10CF">
              <w:rPr>
                <w:b/>
                <w:color w:val="000000"/>
              </w:rPr>
              <w:t>Total amount for all reportable segments</w:t>
            </w:r>
          </w:p>
        </w:tc>
        <w:tc>
          <w:tcPr>
            <w:tcW w:w="572" w:type="pct"/>
            <w:tcBorders>
              <w:bottom w:val="single" w:sz="4" w:space="0" w:color="000000"/>
            </w:tcBorders>
          </w:tcPr>
          <w:p w14:paraId="6779B90A"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1]</w:t>
            </w:r>
          </w:p>
        </w:tc>
        <w:tc>
          <w:tcPr>
            <w:tcW w:w="572" w:type="pct"/>
            <w:tcBorders>
              <w:bottom w:val="single" w:sz="4" w:space="0" w:color="000000"/>
            </w:tcBorders>
          </w:tcPr>
          <w:p w14:paraId="43BCA7F3"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2]</w:t>
            </w:r>
          </w:p>
        </w:tc>
        <w:tc>
          <w:tcPr>
            <w:tcW w:w="572" w:type="pct"/>
            <w:tcBorders>
              <w:bottom w:val="single" w:sz="4" w:space="0" w:color="000000"/>
            </w:tcBorders>
          </w:tcPr>
          <w:p w14:paraId="3783F4A9"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3]</w:t>
            </w:r>
          </w:p>
        </w:tc>
        <w:tc>
          <w:tcPr>
            <w:tcW w:w="572" w:type="pct"/>
            <w:tcBorders>
              <w:bottom w:val="single" w:sz="4" w:space="0" w:color="000000"/>
            </w:tcBorders>
          </w:tcPr>
          <w:p w14:paraId="5C4DDA00"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4]</w:t>
            </w:r>
          </w:p>
        </w:tc>
        <w:tc>
          <w:tcPr>
            <w:tcW w:w="572" w:type="pct"/>
            <w:tcBorders>
              <w:bottom w:val="single" w:sz="4" w:space="0" w:color="000000"/>
            </w:tcBorders>
          </w:tcPr>
          <w:p w14:paraId="31B10D57" w14:textId="77777777" w:rsidR="00D83E33" w:rsidRPr="00EA10CF" w:rsidRDefault="00BC4072" w:rsidP="001B330E">
            <w:pPr>
              <w:widowControl w:val="0"/>
              <w:pBdr>
                <w:top w:val="nil"/>
                <w:left w:val="nil"/>
                <w:bottom w:val="nil"/>
                <w:right w:val="nil"/>
                <w:between w:val="nil"/>
              </w:pBdr>
              <w:ind w:left="-57"/>
              <w:jc w:val="right"/>
              <w:rPr>
                <w:b/>
                <w:color w:val="000000"/>
              </w:rPr>
            </w:pPr>
            <w:r w:rsidRPr="00EA10CF">
              <w:rPr>
                <w:b/>
                <w:color w:val="000000"/>
              </w:rPr>
              <w:t>As reported under IFRS</w:t>
            </w:r>
          </w:p>
        </w:tc>
      </w:tr>
      <w:tr w:rsidR="00D83E33" w:rsidRPr="00EA10CF" w14:paraId="3A934C58" w14:textId="77777777" w:rsidTr="001B330E">
        <w:trPr>
          <w:trHeight w:val="23"/>
        </w:trPr>
        <w:tc>
          <w:tcPr>
            <w:tcW w:w="1568" w:type="pct"/>
            <w:tcBorders>
              <w:top w:val="single" w:sz="4" w:space="0" w:color="000000"/>
            </w:tcBorders>
            <w:vAlign w:val="bottom"/>
          </w:tcPr>
          <w:p w14:paraId="357DD97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2" w:type="pct"/>
            <w:tcBorders>
              <w:top w:val="single" w:sz="4" w:space="0" w:color="000000"/>
            </w:tcBorders>
            <w:vAlign w:val="bottom"/>
          </w:tcPr>
          <w:p w14:paraId="380DB2EE"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00962D7B"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1C5B7312"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7B5A3388"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4E77E460"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688111C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D38146E" w14:textId="77777777" w:rsidTr="001B330E">
        <w:trPr>
          <w:trHeight w:val="23"/>
        </w:trPr>
        <w:tc>
          <w:tcPr>
            <w:tcW w:w="1568" w:type="pct"/>
            <w:vAlign w:val="bottom"/>
          </w:tcPr>
          <w:p w14:paraId="3FE49207" w14:textId="4606580C"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Material income or expenses for year ended 31</w:t>
            </w:r>
            <w:r w:rsidR="00181687">
              <w:rPr>
                <w:b/>
                <w:color w:val="000000"/>
              </w:rPr>
              <w:t> December </w:t>
            </w:r>
            <w:r w:rsidR="00541EBC">
              <w:rPr>
                <w:b/>
                <w:color w:val="000000"/>
              </w:rPr>
              <w:t>2023</w:t>
            </w:r>
          </w:p>
        </w:tc>
        <w:tc>
          <w:tcPr>
            <w:tcW w:w="572" w:type="pct"/>
            <w:vAlign w:val="bottom"/>
          </w:tcPr>
          <w:p w14:paraId="3EC2EA0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6985C4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E187B1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C37DC4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60A7A5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B0440D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B15EF7F" w14:textId="77777777" w:rsidTr="001B330E">
        <w:trPr>
          <w:trHeight w:val="23"/>
        </w:trPr>
        <w:tc>
          <w:tcPr>
            <w:tcW w:w="1568" w:type="pct"/>
            <w:vAlign w:val="bottom"/>
          </w:tcPr>
          <w:p w14:paraId="7B748CC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2" w:type="pct"/>
            <w:vAlign w:val="bottom"/>
          </w:tcPr>
          <w:p w14:paraId="4148F5A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704AEDB"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9B4E15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B34F7D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A156A2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295E24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E347EFB" w14:textId="77777777" w:rsidTr="001B330E">
        <w:trPr>
          <w:trHeight w:val="23"/>
        </w:trPr>
        <w:tc>
          <w:tcPr>
            <w:tcW w:w="1568" w:type="pct"/>
            <w:vAlign w:val="bottom"/>
          </w:tcPr>
          <w:p w14:paraId="339195BB"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i/>
                <w:color w:val="000000"/>
              </w:rPr>
              <w:t>External revenues:</w:t>
            </w:r>
          </w:p>
        </w:tc>
        <w:tc>
          <w:tcPr>
            <w:tcW w:w="572" w:type="pct"/>
            <w:vAlign w:val="bottom"/>
          </w:tcPr>
          <w:p w14:paraId="732A026B"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2DABBAC2"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30286FEE"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1A5AD3EE"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29811C77" w14:textId="77777777" w:rsidR="00D83E33" w:rsidRPr="00EA10CF" w:rsidRDefault="00D83E33">
            <w:pPr>
              <w:widowControl w:val="0"/>
              <w:pBdr>
                <w:top w:val="nil"/>
                <w:left w:val="nil"/>
                <w:bottom w:val="nil"/>
                <w:right w:val="nil"/>
                <w:between w:val="nil"/>
              </w:pBdr>
              <w:jc w:val="right"/>
              <w:rPr>
                <w:i/>
                <w:color w:val="000000"/>
              </w:rPr>
            </w:pPr>
          </w:p>
        </w:tc>
        <w:tc>
          <w:tcPr>
            <w:tcW w:w="572" w:type="pct"/>
            <w:vAlign w:val="bottom"/>
          </w:tcPr>
          <w:p w14:paraId="592DD440" w14:textId="77777777" w:rsidR="00D83E33" w:rsidRPr="00EA10CF" w:rsidRDefault="00D83E33">
            <w:pPr>
              <w:widowControl w:val="0"/>
              <w:pBdr>
                <w:top w:val="nil"/>
                <w:left w:val="nil"/>
                <w:bottom w:val="nil"/>
                <w:right w:val="nil"/>
                <w:between w:val="nil"/>
              </w:pBdr>
              <w:jc w:val="right"/>
              <w:rPr>
                <w:i/>
                <w:color w:val="000000"/>
              </w:rPr>
            </w:pPr>
          </w:p>
        </w:tc>
      </w:tr>
      <w:tr w:rsidR="00D83E33" w:rsidRPr="00EA10CF" w14:paraId="6DB94D33" w14:textId="77777777" w:rsidTr="001B330E">
        <w:trPr>
          <w:trHeight w:val="23"/>
        </w:trPr>
        <w:tc>
          <w:tcPr>
            <w:tcW w:w="1568" w:type="pct"/>
            <w:vAlign w:val="bottom"/>
          </w:tcPr>
          <w:p w14:paraId="4EF833F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Interest income</w:t>
            </w:r>
          </w:p>
        </w:tc>
        <w:tc>
          <w:tcPr>
            <w:tcW w:w="572" w:type="pct"/>
            <w:vAlign w:val="bottom"/>
          </w:tcPr>
          <w:p w14:paraId="22EE108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1FBD7D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593342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B45BEF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DBB3BE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2F50B2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012DF43" w14:textId="77777777" w:rsidTr="001B330E">
        <w:trPr>
          <w:trHeight w:val="23"/>
        </w:trPr>
        <w:tc>
          <w:tcPr>
            <w:tcW w:w="1568" w:type="pct"/>
            <w:vAlign w:val="bottom"/>
          </w:tcPr>
          <w:p w14:paraId="78D397A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Fee and commission income</w:t>
            </w:r>
          </w:p>
        </w:tc>
        <w:tc>
          <w:tcPr>
            <w:tcW w:w="572" w:type="pct"/>
            <w:vAlign w:val="bottom"/>
          </w:tcPr>
          <w:p w14:paraId="686E0B3B"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0B1B25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C14BB7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26936C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96722A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4A8F02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B3A8436" w14:textId="77777777" w:rsidTr="001B330E">
        <w:trPr>
          <w:trHeight w:val="23"/>
        </w:trPr>
        <w:tc>
          <w:tcPr>
            <w:tcW w:w="1568" w:type="pct"/>
            <w:vAlign w:val="bottom"/>
          </w:tcPr>
          <w:p w14:paraId="4F0C034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Other operating income </w:t>
            </w:r>
          </w:p>
        </w:tc>
        <w:tc>
          <w:tcPr>
            <w:tcW w:w="572" w:type="pct"/>
            <w:vAlign w:val="bottom"/>
          </w:tcPr>
          <w:p w14:paraId="1AE690E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A5122F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5B82B8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56B089F"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636C48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E1D75B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A39B636" w14:textId="77777777" w:rsidTr="001B330E">
        <w:trPr>
          <w:trHeight w:val="23"/>
        </w:trPr>
        <w:tc>
          <w:tcPr>
            <w:tcW w:w="1568" w:type="pct"/>
            <w:vAlign w:val="bottom"/>
          </w:tcPr>
          <w:p w14:paraId="3EEF006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Interest expense</w:t>
            </w:r>
          </w:p>
        </w:tc>
        <w:tc>
          <w:tcPr>
            <w:tcW w:w="572" w:type="pct"/>
            <w:vAlign w:val="bottom"/>
          </w:tcPr>
          <w:p w14:paraId="71F05CB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D20DF3F"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12151E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650A30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E8A0FC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18C9B9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A63DDE" w14:textId="77777777" w:rsidTr="001B330E">
        <w:trPr>
          <w:trHeight w:val="23"/>
        </w:trPr>
        <w:tc>
          <w:tcPr>
            <w:tcW w:w="1568" w:type="pct"/>
            <w:vAlign w:val="bottom"/>
          </w:tcPr>
          <w:p w14:paraId="231024F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Credit loss allowance</w:t>
            </w:r>
          </w:p>
        </w:tc>
        <w:tc>
          <w:tcPr>
            <w:tcW w:w="572" w:type="pct"/>
            <w:vAlign w:val="bottom"/>
          </w:tcPr>
          <w:p w14:paraId="3D66C80F"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B15C75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D8DDB1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61A731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FBF329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505C6B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7A51F7F" w14:textId="77777777" w:rsidTr="001B330E">
        <w:trPr>
          <w:trHeight w:val="23"/>
        </w:trPr>
        <w:tc>
          <w:tcPr>
            <w:tcW w:w="1568" w:type="pct"/>
            <w:vAlign w:val="bottom"/>
          </w:tcPr>
          <w:p w14:paraId="69A03521"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Impairment of debt securities at FVOCI</w:t>
            </w:r>
          </w:p>
        </w:tc>
        <w:tc>
          <w:tcPr>
            <w:tcW w:w="572" w:type="pct"/>
            <w:vAlign w:val="bottom"/>
          </w:tcPr>
          <w:p w14:paraId="422317C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7539FC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E26875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723D95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555E7A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BA4AD9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4ED3177" w14:textId="77777777" w:rsidTr="001B330E">
        <w:trPr>
          <w:trHeight w:val="23"/>
        </w:trPr>
        <w:tc>
          <w:tcPr>
            <w:tcW w:w="1568" w:type="pct"/>
            <w:vAlign w:val="bottom"/>
          </w:tcPr>
          <w:p w14:paraId="44B6459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Impairment of debt securities at AC</w:t>
            </w:r>
          </w:p>
        </w:tc>
        <w:tc>
          <w:tcPr>
            <w:tcW w:w="572" w:type="pct"/>
            <w:vAlign w:val="bottom"/>
          </w:tcPr>
          <w:p w14:paraId="1F97C43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C50159B"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7598CB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1770A5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ED378C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1CC47D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3F4217E" w14:textId="77777777" w:rsidTr="001B330E">
        <w:trPr>
          <w:trHeight w:val="23"/>
        </w:trPr>
        <w:tc>
          <w:tcPr>
            <w:tcW w:w="1568" w:type="pct"/>
            <w:vAlign w:val="bottom"/>
          </w:tcPr>
          <w:p w14:paraId="5A8F6FC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Fee and commission expense</w:t>
            </w:r>
          </w:p>
        </w:tc>
        <w:tc>
          <w:tcPr>
            <w:tcW w:w="572" w:type="pct"/>
            <w:vAlign w:val="bottom"/>
          </w:tcPr>
          <w:p w14:paraId="4BC0256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5686AF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1DB56B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699DEE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8082D0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CB3ACA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DDFD1ED" w14:textId="77777777" w:rsidTr="001B330E">
        <w:trPr>
          <w:trHeight w:val="23"/>
        </w:trPr>
        <w:tc>
          <w:tcPr>
            <w:tcW w:w="1568" w:type="pct"/>
            <w:vAlign w:val="bottom"/>
          </w:tcPr>
          <w:p w14:paraId="27B5C4E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financial derivatives</w:t>
            </w:r>
          </w:p>
        </w:tc>
        <w:tc>
          <w:tcPr>
            <w:tcW w:w="572" w:type="pct"/>
            <w:vAlign w:val="bottom"/>
          </w:tcPr>
          <w:p w14:paraId="034F9B8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00D3F3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73EDFE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221416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0D67F4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FDEB55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8583F7A" w14:textId="77777777" w:rsidTr="001B330E">
        <w:trPr>
          <w:trHeight w:val="23"/>
        </w:trPr>
        <w:tc>
          <w:tcPr>
            <w:tcW w:w="1568" w:type="pct"/>
            <w:vAlign w:val="bottom"/>
          </w:tcPr>
          <w:p w14:paraId="7E854C9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securities at FVTPL</w:t>
            </w:r>
          </w:p>
        </w:tc>
        <w:tc>
          <w:tcPr>
            <w:tcW w:w="572" w:type="pct"/>
            <w:vAlign w:val="bottom"/>
          </w:tcPr>
          <w:p w14:paraId="5AD7E80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7ECACE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DB216C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41F8EC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9B4552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632DD1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8E1E028" w14:textId="77777777" w:rsidTr="001B330E">
        <w:trPr>
          <w:trHeight w:val="23"/>
        </w:trPr>
        <w:tc>
          <w:tcPr>
            <w:tcW w:w="1568" w:type="pct"/>
            <w:vAlign w:val="bottom"/>
          </w:tcPr>
          <w:p w14:paraId="2C8804C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trading in foreign currencies</w:t>
            </w:r>
          </w:p>
        </w:tc>
        <w:tc>
          <w:tcPr>
            <w:tcW w:w="572" w:type="pct"/>
            <w:vAlign w:val="bottom"/>
          </w:tcPr>
          <w:p w14:paraId="792C683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7A6CD9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52ACC6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5EFCF5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BF1896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C32187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C4C92D8" w14:textId="77777777" w:rsidTr="001B330E">
        <w:trPr>
          <w:trHeight w:val="23"/>
        </w:trPr>
        <w:tc>
          <w:tcPr>
            <w:tcW w:w="1568" w:type="pct"/>
            <w:vAlign w:val="bottom"/>
          </w:tcPr>
          <w:p w14:paraId="7C611E4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on revaluation of investment properties</w:t>
            </w:r>
          </w:p>
        </w:tc>
        <w:tc>
          <w:tcPr>
            <w:tcW w:w="572" w:type="pct"/>
            <w:vAlign w:val="bottom"/>
          </w:tcPr>
          <w:p w14:paraId="34D4133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6F100A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6B346A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6A99CA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3EA95E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986328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A88D141" w14:textId="77777777" w:rsidTr="001B330E">
        <w:trPr>
          <w:trHeight w:val="23"/>
        </w:trPr>
        <w:tc>
          <w:tcPr>
            <w:tcW w:w="1568" w:type="pct"/>
            <w:vAlign w:val="bottom"/>
          </w:tcPr>
          <w:p w14:paraId="20AA5EB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Foreign exchange translation gains less losses</w:t>
            </w:r>
          </w:p>
        </w:tc>
        <w:tc>
          <w:tcPr>
            <w:tcW w:w="572" w:type="pct"/>
            <w:vAlign w:val="bottom"/>
          </w:tcPr>
          <w:p w14:paraId="4300118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4AC743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6F2CFC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C19B38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108F84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02A1C3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39C5EA2" w14:textId="77777777" w:rsidTr="001B330E">
        <w:trPr>
          <w:trHeight w:val="23"/>
        </w:trPr>
        <w:tc>
          <w:tcPr>
            <w:tcW w:w="1568" w:type="pct"/>
            <w:vAlign w:val="bottom"/>
          </w:tcPr>
          <w:p w14:paraId="6DD0922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less losses from disposals of investment securities at FVOCI</w:t>
            </w:r>
          </w:p>
        </w:tc>
        <w:tc>
          <w:tcPr>
            <w:tcW w:w="572" w:type="pct"/>
            <w:vAlign w:val="bottom"/>
          </w:tcPr>
          <w:p w14:paraId="7584304B"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B3DA1C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6737AB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736FC2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374E0F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5E7AB1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B5740A" w14:textId="77777777" w:rsidTr="001B330E">
        <w:trPr>
          <w:trHeight w:val="23"/>
        </w:trPr>
        <w:tc>
          <w:tcPr>
            <w:tcW w:w="1568" w:type="pct"/>
            <w:vAlign w:val="bottom"/>
          </w:tcPr>
          <w:p w14:paraId="50E76AA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Gains/(losses) arising from early retirement of debt</w:t>
            </w:r>
          </w:p>
        </w:tc>
        <w:tc>
          <w:tcPr>
            <w:tcW w:w="572" w:type="pct"/>
            <w:vAlign w:val="bottom"/>
          </w:tcPr>
          <w:p w14:paraId="58F387F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1B4263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72BB04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2165D85"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F0EAD5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11C4CA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C6C5307" w14:textId="77777777" w:rsidTr="001B330E">
        <w:trPr>
          <w:trHeight w:val="23"/>
        </w:trPr>
        <w:tc>
          <w:tcPr>
            <w:tcW w:w="1568" w:type="pct"/>
            <w:vAlign w:val="bottom"/>
          </w:tcPr>
          <w:p w14:paraId="5D31878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Administrative and other operating expenses </w:t>
            </w:r>
          </w:p>
        </w:tc>
        <w:tc>
          <w:tcPr>
            <w:tcW w:w="572" w:type="pct"/>
            <w:vAlign w:val="bottom"/>
          </w:tcPr>
          <w:p w14:paraId="50288B4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E74D33A"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2D83223"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B0828E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316FF7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4542DC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B2FF95F" w14:textId="77777777" w:rsidTr="001B330E">
        <w:trPr>
          <w:trHeight w:val="23"/>
        </w:trPr>
        <w:tc>
          <w:tcPr>
            <w:tcW w:w="1568" w:type="pct"/>
            <w:vAlign w:val="bottom"/>
          </w:tcPr>
          <w:p w14:paraId="52BA0E6E" w14:textId="77777777" w:rsidR="00D83E33" w:rsidRPr="00EA10CF" w:rsidRDefault="00BC4072" w:rsidP="001B330E">
            <w:pPr>
              <w:widowControl w:val="0"/>
              <w:pBdr>
                <w:top w:val="nil"/>
                <w:left w:val="nil"/>
                <w:bottom w:val="nil"/>
                <w:right w:val="nil"/>
                <w:between w:val="nil"/>
              </w:pBdr>
              <w:ind w:left="113" w:hanging="113"/>
              <w:rPr>
                <w:i/>
                <w:color w:val="000000"/>
              </w:rPr>
            </w:pPr>
            <w:r w:rsidRPr="00EA10CF">
              <w:rPr>
                <w:color w:val="000000"/>
              </w:rPr>
              <w:t>Share of result of associates</w:t>
            </w:r>
          </w:p>
        </w:tc>
        <w:tc>
          <w:tcPr>
            <w:tcW w:w="572" w:type="pct"/>
            <w:vAlign w:val="bottom"/>
          </w:tcPr>
          <w:p w14:paraId="46C8787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3C2334B"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1C36715B"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FA770DE"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5A1F96D"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1EA78F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CC8B2FE" w14:textId="77777777" w:rsidTr="001B330E">
        <w:trPr>
          <w:trHeight w:val="23"/>
        </w:trPr>
        <w:tc>
          <w:tcPr>
            <w:tcW w:w="1568" w:type="pct"/>
            <w:tcBorders>
              <w:bottom w:val="single" w:sz="12" w:space="0" w:color="000000"/>
            </w:tcBorders>
            <w:vAlign w:val="bottom"/>
          </w:tcPr>
          <w:p w14:paraId="4A7E703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2" w:type="pct"/>
            <w:tcBorders>
              <w:bottom w:val="single" w:sz="12" w:space="0" w:color="000000"/>
            </w:tcBorders>
            <w:vAlign w:val="bottom"/>
          </w:tcPr>
          <w:p w14:paraId="6FA43C2E"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0AA5AC1F"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10C8DB09"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04879D79"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61B0DD15"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591E5C53" w14:textId="77777777" w:rsidR="00D83E33" w:rsidRPr="00EA10CF" w:rsidRDefault="00D83E33">
            <w:pPr>
              <w:widowControl w:val="0"/>
              <w:pBdr>
                <w:top w:val="nil"/>
                <w:left w:val="nil"/>
                <w:bottom w:val="nil"/>
                <w:right w:val="nil"/>
                <w:between w:val="nil"/>
              </w:pBdr>
              <w:jc w:val="right"/>
              <w:rPr>
                <w:color w:val="000000"/>
              </w:rPr>
            </w:pPr>
          </w:p>
        </w:tc>
      </w:tr>
    </w:tbl>
    <w:p w14:paraId="3A87A81E"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reconciling items are attributable to the following: </w:t>
      </w:r>
    </w:p>
    <w:p w14:paraId="01496BD5" w14:textId="77777777" w:rsidR="00D83E33" w:rsidRDefault="00BC4072">
      <w:pPr>
        <w:widowControl w:val="0"/>
        <w:numPr>
          <w:ilvl w:val="0"/>
          <w:numId w:val="9"/>
        </w:numPr>
        <w:pBdr>
          <w:top w:val="nil"/>
          <w:left w:val="nil"/>
          <w:bottom w:val="nil"/>
          <w:right w:val="nil"/>
          <w:between w:val="nil"/>
        </w:pBdr>
        <w:spacing w:before="100" w:after="100"/>
        <w:ind w:left="567" w:hanging="567"/>
        <w:jc w:val="both"/>
        <w:rPr>
          <w:color w:val="0000FF"/>
          <w:sz w:val="20"/>
          <w:szCs w:val="20"/>
        </w:rPr>
      </w:pPr>
      <w:r>
        <w:rPr>
          <w:color w:val="0000FF"/>
          <w:sz w:val="20"/>
          <w:szCs w:val="20"/>
        </w:rPr>
        <w:t xml:space="preserve">[description of each adjustment]; </w:t>
      </w:r>
    </w:p>
    <w:p w14:paraId="78BA7130" w14:textId="77777777" w:rsidR="00D83E33" w:rsidRDefault="00BC4072">
      <w:pPr>
        <w:widowControl w:val="0"/>
        <w:numPr>
          <w:ilvl w:val="0"/>
          <w:numId w:val="9"/>
        </w:numPr>
        <w:pBdr>
          <w:top w:val="nil"/>
          <w:left w:val="nil"/>
          <w:bottom w:val="nil"/>
          <w:right w:val="nil"/>
          <w:between w:val="nil"/>
        </w:pBdr>
        <w:spacing w:before="100" w:after="100"/>
        <w:ind w:left="567" w:hanging="567"/>
        <w:jc w:val="both"/>
        <w:rPr>
          <w:color w:val="0000FF"/>
          <w:sz w:val="20"/>
          <w:szCs w:val="20"/>
        </w:rPr>
      </w:pPr>
      <w:r>
        <w:rPr>
          <w:color w:val="0000FF"/>
          <w:sz w:val="20"/>
          <w:szCs w:val="20"/>
        </w:rPr>
        <w:t>[description of each adjustment];</w:t>
      </w:r>
    </w:p>
    <w:p w14:paraId="23954217" w14:textId="77777777" w:rsidR="00D83E33" w:rsidRDefault="00BC4072">
      <w:pPr>
        <w:widowControl w:val="0"/>
        <w:numPr>
          <w:ilvl w:val="0"/>
          <w:numId w:val="9"/>
        </w:numPr>
        <w:pBdr>
          <w:top w:val="nil"/>
          <w:left w:val="nil"/>
          <w:bottom w:val="nil"/>
          <w:right w:val="nil"/>
          <w:between w:val="nil"/>
        </w:pBdr>
        <w:spacing w:before="100" w:after="100"/>
        <w:ind w:left="567" w:hanging="567"/>
        <w:jc w:val="both"/>
        <w:rPr>
          <w:color w:val="0000FF"/>
          <w:sz w:val="20"/>
          <w:szCs w:val="20"/>
        </w:rPr>
      </w:pPr>
      <w:r>
        <w:rPr>
          <w:color w:val="0000FF"/>
          <w:sz w:val="20"/>
          <w:szCs w:val="20"/>
        </w:rPr>
        <w:t>[description of each adjustment];</w:t>
      </w:r>
    </w:p>
    <w:p w14:paraId="301530EB" w14:textId="697C465E" w:rsidR="00D83E33" w:rsidRDefault="00BC4072" w:rsidP="001B330E">
      <w:pPr>
        <w:pStyle w:val="Continued"/>
      </w:pPr>
      <w:r>
        <w:lastRenderedPageBreak/>
        <w:t>40</w:t>
      </w:r>
      <w:r>
        <w:tab/>
        <w:t>Segment Analysis (Continued)</w:t>
      </w:r>
    </w:p>
    <w:p w14:paraId="38026291" w14:textId="07A3EE38"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Reconciliation of material assets and liabilities at 31</w:t>
      </w:r>
      <w:r w:rsidR="00181687">
        <w:rPr>
          <w:color w:val="000000"/>
          <w:sz w:val="20"/>
          <w:szCs w:val="20"/>
        </w:rPr>
        <w:t> December </w:t>
      </w:r>
      <w:r w:rsidR="00541EBC">
        <w:rPr>
          <w:color w:val="000000"/>
          <w:sz w:val="20"/>
          <w:szCs w:val="20"/>
        </w:rPr>
        <w:t>2024</w:t>
      </w:r>
      <w:r>
        <w:rPr>
          <w:color w:val="000000"/>
          <w:sz w:val="20"/>
          <w:szCs w:val="20"/>
        </w:rPr>
        <w:t xml:space="preserve"> and of capital expenditure for </w:t>
      </w:r>
      <w:r w:rsidR="00541EBC">
        <w:rPr>
          <w:color w:val="000000"/>
          <w:sz w:val="20"/>
          <w:szCs w:val="20"/>
        </w:rPr>
        <w:t>2024</w:t>
      </w:r>
      <w:r>
        <w:rPr>
          <w:color w:val="000000"/>
          <w:sz w:val="20"/>
          <w:szCs w:val="20"/>
        </w:rPr>
        <w:t xml:space="preserve"> is as follows:</w:t>
      </w:r>
    </w:p>
    <w:tbl>
      <w:tblPr>
        <w:tblStyle w:val="afffffffffffff9"/>
        <w:tblW w:w="5000" w:type="pct"/>
        <w:tblLayout w:type="fixed"/>
        <w:tblLook w:val="0000" w:firstRow="0" w:lastRow="0" w:firstColumn="0" w:lastColumn="0" w:noHBand="0" w:noVBand="0"/>
      </w:tblPr>
      <w:tblGrid>
        <w:gridCol w:w="2935"/>
        <w:gridCol w:w="1070"/>
        <w:gridCol w:w="1070"/>
        <w:gridCol w:w="1070"/>
        <w:gridCol w:w="1070"/>
        <w:gridCol w:w="1070"/>
        <w:gridCol w:w="1070"/>
      </w:tblGrid>
      <w:tr w:rsidR="00D83E33" w:rsidRPr="00EA10CF" w14:paraId="54A22B50" w14:textId="77777777" w:rsidTr="001B330E">
        <w:trPr>
          <w:trHeight w:val="23"/>
        </w:trPr>
        <w:tc>
          <w:tcPr>
            <w:tcW w:w="1568" w:type="pct"/>
            <w:tcBorders>
              <w:bottom w:val="single" w:sz="4" w:space="0" w:color="000000"/>
            </w:tcBorders>
            <w:vAlign w:val="bottom"/>
          </w:tcPr>
          <w:p w14:paraId="4E8C1B2F" w14:textId="5E468769"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72" w:type="pct"/>
            <w:tcBorders>
              <w:bottom w:val="single" w:sz="4" w:space="0" w:color="000000"/>
            </w:tcBorders>
          </w:tcPr>
          <w:p w14:paraId="6FFBB0FD" w14:textId="55BBBCF9" w:rsidR="00D83E33" w:rsidRPr="00EA10CF" w:rsidRDefault="00BC4072" w:rsidP="001B330E">
            <w:pPr>
              <w:widowControl w:val="0"/>
              <w:pBdr>
                <w:top w:val="nil"/>
                <w:left w:val="nil"/>
                <w:bottom w:val="nil"/>
                <w:right w:val="nil"/>
                <w:between w:val="nil"/>
              </w:pBdr>
              <w:ind w:left="-57"/>
              <w:jc w:val="right"/>
              <w:rPr>
                <w:b/>
                <w:color w:val="000000"/>
              </w:rPr>
            </w:pPr>
            <w:r w:rsidRPr="00EA10CF">
              <w:rPr>
                <w:b/>
                <w:color w:val="000000"/>
              </w:rPr>
              <w:t>Total amount for all reportable segments</w:t>
            </w:r>
          </w:p>
        </w:tc>
        <w:tc>
          <w:tcPr>
            <w:tcW w:w="572" w:type="pct"/>
            <w:tcBorders>
              <w:bottom w:val="single" w:sz="4" w:space="0" w:color="000000"/>
            </w:tcBorders>
          </w:tcPr>
          <w:p w14:paraId="25C1CEBA"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1]</w:t>
            </w:r>
          </w:p>
        </w:tc>
        <w:tc>
          <w:tcPr>
            <w:tcW w:w="572" w:type="pct"/>
            <w:tcBorders>
              <w:bottom w:val="single" w:sz="4" w:space="0" w:color="000000"/>
            </w:tcBorders>
          </w:tcPr>
          <w:p w14:paraId="17246FF1"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2]</w:t>
            </w:r>
          </w:p>
        </w:tc>
        <w:tc>
          <w:tcPr>
            <w:tcW w:w="572" w:type="pct"/>
            <w:tcBorders>
              <w:bottom w:val="single" w:sz="4" w:space="0" w:color="000000"/>
            </w:tcBorders>
          </w:tcPr>
          <w:p w14:paraId="6BE73722"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3]</w:t>
            </w:r>
          </w:p>
        </w:tc>
        <w:tc>
          <w:tcPr>
            <w:tcW w:w="572" w:type="pct"/>
            <w:tcBorders>
              <w:bottom w:val="single" w:sz="4" w:space="0" w:color="000000"/>
            </w:tcBorders>
          </w:tcPr>
          <w:p w14:paraId="203AF13D"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4]</w:t>
            </w:r>
          </w:p>
        </w:tc>
        <w:tc>
          <w:tcPr>
            <w:tcW w:w="572" w:type="pct"/>
            <w:tcBorders>
              <w:bottom w:val="single" w:sz="4" w:space="0" w:color="000000"/>
            </w:tcBorders>
          </w:tcPr>
          <w:p w14:paraId="10457B91" w14:textId="77777777" w:rsidR="00D83E33" w:rsidRPr="00EA10CF" w:rsidRDefault="00BC4072" w:rsidP="001B330E">
            <w:pPr>
              <w:widowControl w:val="0"/>
              <w:pBdr>
                <w:top w:val="nil"/>
                <w:left w:val="nil"/>
                <w:bottom w:val="nil"/>
                <w:right w:val="nil"/>
                <w:between w:val="nil"/>
              </w:pBdr>
              <w:ind w:left="-57"/>
              <w:jc w:val="right"/>
              <w:rPr>
                <w:b/>
                <w:color w:val="000000"/>
              </w:rPr>
            </w:pPr>
            <w:r w:rsidRPr="00EA10CF">
              <w:rPr>
                <w:b/>
                <w:color w:val="000000"/>
              </w:rPr>
              <w:t>As reported under IFRS</w:t>
            </w:r>
          </w:p>
        </w:tc>
      </w:tr>
      <w:tr w:rsidR="00D83E33" w:rsidRPr="00EA10CF" w14:paraId="6021CFF5" w14:textId="77777777" w:rsidTr="001B330E">
        <w:trPr>
          <w:trHeight w:val="23"/>
        </w:trPr>
        <w:tc>
          <w:tcPr>
            <w:tcW w:w="1568" w:type="pct"/>
            <w:tcBorders>
              <w:top w:val="single" w:sz="4" w:space="0" w:color="000000"/>
            </w:tcBorders>
            <w:vAlign w:val="bottom"/>
          </w:tcPr>
          <w:p w14:paraId="6C647A6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2" w:type="pct"/>
            <w:tcBorders>
              <w:top w:val="single" w:sz="4" w:space="0" w:color="000000"/>
            </w:tcBorders>
            <w:vAlign w:val="bottom"/>
          </w:tcPr>
          <w:p w14:paraId="65B868D4"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6E9A7BD5"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378D8D05"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4C67CF5C"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458ACE65"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top w:val="single" w:sz="4" w:space="0" w:color="000000"/>
            </w:tcBorders>
            <w:vAlign w:val="bottom"/>
          </w:tcPr>
          <w:p w14:paraId="791CC79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2F88D83" w14:textId="77777777" w:rsidTr="001B330E">
        <w:trPr>
          <w:trHeight w:val="23"/>
        </w:trPr>
        <w:tc>
          <w:tcPr>
            <w:tcW w:w="1568" w:type="pct"/>
            <w:vAlign w:val="bottom"/>
          </w:tcPr>
          <w:p w14:paraId="0C33DD9F" w14:textId="3759D9AA" w:rsidR="00D83E33" w:rsidRPr="00EA10CF" w:rsidRDefault="00BC4072" w:rsidP="001B330E">
            <w:pPr>
              <w:widowControl w:val="0"/>
              <w:pBdr>
                <w:top w:val="nil"/>
                <w:left w:val="nil"/>
                <w:bottom w:val="nil"/>
                <w:right w:val="nil"/>
                <w:between w:val="nil"/>
              </w:pBdr>
              <w:ind w:left="113" w:hanging="113"/>
              <w:rPr>
                <w:b/>
                <w:i/>
                <w:color w:val="000000"/>
              </w:rPr>
            </w:pPr>
            <w:r w:rsidRPr="00EA10CF">
              <w:rPr>
                <w:b/>
                <w:i/>
                <w:color w:val="000000"/>
              </w:rPr>
              <w:t>Assets at 31</w:t>
            </w:r>
            <w:r w:rsidR="00181687">
              <w:rPr>
                <w:b/>
                <w:i/>
                <w:color w:val="000000"/>
              </w:rPr>
              <w:t> December </w:t>
            </w:r>
            <w:r w:rsidR="00541EBC">
              <w:rPr>
                <w:b/>
                <w:i/>
                <w:color w:val="000000"/>
              </w:rPr>
              <w:t>2024</w:t>
            </w:r>
          </w:p>
        </w:tc>
        <w:tc>
          <w:tcPr>
            <w:tcW w:w="572" w:type="pct"/>
            <w:vAlign w:val="bottom"/>
          </w:tcPr>
          <w:p w14:paraId="3CC9DAA7"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26D613DC"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7DC49491"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798480F9"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6B54CBDD"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2F1DBD6B"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737BD09" w14:textId="77777777" w:rsidTr="001B330E">
        <w:trPr>
          <w:trHeight w:val="23"/>
        </w:trPr>
        <w:tc>
          <w:tcPr>
            <w:tcW w:w="1568" w:type="pct"/>
            <w:vAlign w:val="bottom"/>
          </w:tcPr>
          <w:p w14:paraId="345993B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Non-current assets held for sale (or disposal groups)</w:t>
            </w:r>
          </w:p>
        </w:tc>
        <w:tc>
          <w:tcPr>
            <w:tcW w:w="572" w:type="pct"/>
            <w:vAlign w:val="bottom"/>
          </w:tcPr>
          <w:p w14:paraId="6B838A25"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3057AB06"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2E48C924"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39593A41"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2F1C90BA"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75E9037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89E5F29" w14:textId="77777777" w:rsidTr="001B330E">
        <w:trPr>
          <w:trHeight w:val="23"/>
        </w:trPr>
        <w:tc>
          <w:tcPr>
            <w:tcW w:w="1568" w:type="pct"/>
            <w:vAlign w:val="bottom"/>
          </w:tcPr>
          <w:p w14:paraId="005BC80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Investment in associates </w:t>
            </w:r>
          </w:p>
        </w:tc>
        <w:tc>
          <w:tcPr>
            <w:tcW w:w="572" w:type="pct"/>
            <w:vAlign w:val="bottom"/>
          </w:tcPr>
          <w:p w14:paraId="5C15928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2A2302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631E8031"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428B5D6"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8D4AB0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1B1448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694ED0F" w14:textId="77777777" w:rsidTr="001B330E">
        <w:trPr>
          <w:trHeight w:val="23"/>
        </w:trPr>
        <w:tc>
          <w:tcPr>
            <w:tcW w:w="1568" w:type="pct"/>
            <w:vAlign w:val="bottom"/>
          </w:tcPr>
          <w:p w14:paraId="5EB56E4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reportable segment assets</w:t>
            </w:r>
          </w:p>
        </w:tc>
        <w:tc>
          <w:tcPr>
            <w:tcW w:w="572" w:type="pct"/>
            <w:vAlign w:val="bottom"/>
          </w:tcPr>
          <w:p w14:paraId="71537C97"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2ADFA9EA"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61862FA0"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73DE011C"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26DD9645"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1DDA9BBA"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21C8B3E" w14:textId="77777777" w:rsidTr="001B330E">
        <w:trPr>
          <w:trHeight w:val="23"/>
        </w:trPr>
        <w:tc>
          <w:tcPr>
            <w:tcW w:w="1568" w:type="pct"/>
            <w:tcBorders>
              <w:bottom w:val="single" w:sz="12" w:space="0" w:color="000000"/>
            </w:tcBorders>
            <w:vAlign w:val="bottom"/>
          </w:tcPr>
          <w:p w14:paraId="7A57450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572" w:type="pct"/>
            <w:tcBorders>
              <w:bottom w:val="single" w:sz="12" w:space="0" w:color="000000"/>
            </w:tcBorders>
            <w:vAlign w:val="bottom"/>
          </w:tcPr>
          <w:p w14:paraId="00FFB23A"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6C6513A4"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7CAF59BC"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6E1280E6"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56E7DE48"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18474B32"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170E212" w14:textId="77777777" w:rsidTr="001B330E">
        <w:trPr>
          <w:trHeight w:val="23"/>
        </w:trPr>
        <w:tc>
          <w:tcPr>
            <w:tcW w:w="1568" w:type="pct"/>
            <w:vAlign w:val="bottom"/>
          </w:tcPr>
          <w:p w14:paraId="1C16875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572" w:type="pct"/>
            <w:vAlign w:val="bottom"/>
          </w:tcPr>
          <w:p w14:paraId="2752E8D4"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2BADDCA"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45DB60E1"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0C20710E"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539DED58"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6CA718D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368AD71" w14:textId="77777777" w:rsidTr="001B330E">
        <w:trPr>
          <w:trHeight w:val="23"/>
        </w:trPr>
        <w:tc>
          <w:tcPr>
            <w:tcW w:w="1568" w:type="pct"/>
            <w:vAlign w:val="bottom"/>
          </w:tcPr>
          <w:p w14:paraId="429DB105" w14:textId="0D000D7A" w:rsidR="00D83E33" w:rsidRPr="00EA10CF" w:rsidRDefault="00BC4072" w:rsidP="001B330E">
            <w:pPr>
              <w:widowControl w:val="0"/>
              <w:pBdr>
                <w:top w:val="nil"/>
                <w:left w:val="nil"/>
                <w:bottom w:val="nil"/>
                <w:right w:val="nil"/>
                <w:between w:val="nil"/>
              </w:pBdr>
              <w:ind w:left="113" w:hanging="113"/>
              <w:rPr>
                <w:color w:val="000000"/>
              </w:rPr>
            </w:pPr>
            <w:r w:rsidRPr="00EA10CF">
              <w:rPr>
                <w:b/>
                <w:i/>
                <w:color w:val="000000"/>
              </w:rPr>
              <w:t>Liabilities at 31</w:t>
            </w:r>
            <w:r w:rsidR="00181687">
              <w:rPr>
                <w:b/>
                <w:i/>
                <w:color w:val="000000"/>
              </w:rPr>
              <w:t> December </w:t>
            </w:r>
            <w:r w:rsidR="00541EBC">
              <w:rPr>
                <w:b/>
                <w:i/>
                <w:color w:val="000000"/>
              </w:rPr>
              <w:t>2024</w:t>
            </w:r>
          </w:p>
        </w:tc>
        <w:tc>
          <w:tcPr>
            <w:tcW w:w="572" w:type="pct"/>
            <w:vAlign w:val="bottom"/>
          </w:tcPr>
          <w:p w14:paraId="369CD68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9DF8882"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4F84C049"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32D1A14A"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2F255585"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464EADA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93299CF" w14:textId="77777777" w:rsidTr="001B330E">
        <w:trPr>
          <w:trHeight w:val="23"/>
        </w:trPr>
        <w:tc>
          <w:tcPr>
            <w:tcW w:w="1568" w:type="pct"/>
            <w:vAlign w:val="bottom"/>
          </w:tcPr>
          <w:p w14:paraId="71D2B6B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Liabilities directly associated with disposal groups held for sale</w:t>
            </w:r>
          </w:p>
        </w:tc>
        <w:tc>
          <w:tcPr>
            <w:tcW w:w="572" w:type="pct"/>
            <w:vAlign w:val="bottom"/>
          </w:tcPr>
          <w:p w14:paraId="3BB8958C"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34DFA7F"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518F9D6C"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0D97166C"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7843ED12"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60EAC27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14C7B4D" w14:textId="77777777" w:rsidTr="001B330E">
        <w:trPr>
          <w:trHeight w:val="23"/>
        </w:trPr>
        <w:tc>
          <w:tcPr>
            <w:tcW w:w="1568" w:type="pct"/>
            <w:vAlign w:val="bottom"/>
          </w:tcPr>
          <w:p w14:paraId="1543607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reportable segment liabilities</w:t>
            </w:r>
          </w:p>
        </w:tc>
        <w:tc>
          <w:tcPr>
            <w:tcW w:w="572" w:type="pct"/>
            <w:vAlign w:val="bottom"/>
          </w:tcPr>
          <w:p w14:paraId="54D9370F"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C221544"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32968AE0"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545A7D8E"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2E8F83AF" w14:textId="77777777" w:rsidR="00D83E33" w:rsidRPr="00EA10CF" w:rsidRDefault="00D83E33">
            <w:pPr>
              <w:widowControl w:val="0"/>
              <w:pBdr>
                <w:top w:val="nil"/>
                <w:left w:val="nil"/>
                <w:bottom w:val="nil"/>
                <w:right w:val="nil"/>
                <w:between w:val="nil"/>
              </w:pBdr>
              <w:jc w:val="right"/>
              <w:rPr>
                <w:b/>
                <w:color w:val="000000"/>
              </w:rPr>
            </w:pPr>
          </w:p>
        </w:tc>
        <w:tc>
          <w:tcPr>
            <w:tcW w:w="572" w:type="pct"/>
            <w:vAlign w:val="bottom"/>
          </w:tcPr>
          <w:p w14:paraId="52BB94E8"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F7DC07D" w14:textId="77777777" w:rsidTr="001B330E">
        <w:trPr>
          <w:trHeight w:val="23"/>
        </w:trPr>
        <w:tc>
          <w:tcPr>
            <w:tcW w:w="1568" w:type="pct"/>
            <w:tcBorders>
              <w:bottom w:val="single" w:sz="12" w:space="0" w:color="000000"/>
            </w:tcBorders>
            <w:vAlign w:val="bottom"/>
          </w:tcPr>
          <w:p w14:paraId="6E22E57A"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572" w:type="pct"/>
            <w:tcBorders>
              <w:bottom w:val="single" w:sz="12" w:space="0" w:color="000000"/>
            </w:tcBorders>
            <w:vAlign w:val="bottom"/>
          </w:tcPr>
          <w:p w14:paraId="4BCA757A"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3109ADF3"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5B631AF1"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040D7D53"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148D909A" w14:textId="77777777" w:rsidR="00D83E33" w:rsidRPr="00EA10CF" w:rsidRDefault="00D83E33">
            <w:pPr>
              <w:widowControl w:val="0"/>
              <w:pBdr>
                <w:top w:val="nil"/>
                <w:left w:val="nil"/>
                <w:bottom w:val="nil"/>
                <w:right w:val="nil"/>
                <w:between w:val="nil"/>
              </w:pBdr>
              <w:jc w:val="right"/>
              <w:rPr>
                <w:b/>
                <w:color w:val="000000"/>
              </w:rPr>
            </w:pPr>
          </w:p>
        </w:tc>
        <w:tc>
          <w:tcPr>
            <w:tcW w:w="572" w:type="pct"/>
            <w:tcBorders>
              <w:bottom w:val="single" w:sz="12" w:space="0" w:color="000000"/>
            </w:tcBorders>
            <w:vAlign w:val="bottom"/>
          </w:tcPr>
          <w:p w14:paraId="15F1274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B683932" w14:textId="77777777" w:rsidTr="001B330E">
        <w:trPr>
          <w:trHeight w:val="23"/>
        </w:trPr>
        <w:tc>
          <w:tcPr>
            <w:tcW w:w="1568" w:type="pct"/>
            <w:vAlign w:val="bottom"/>
          </w:tcPr>
          <w:p w14:paraId="764E5D7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2" w:type="pct"/>
            <w:vAlign w:val="bottom"/>
          </w:tcPr>
          <w:p w14:paraId="37657BB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B473C1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6D95C2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5BB1328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7ECA0F7"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0BE7EC7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89058FA" w14:textId="77777777" w:rsidTr="001B330E">
        <w:trPr>
          <w:trHeight w:val="23"/>
        </w:trPr>
        <w:tc>
          <w:tcPr>
            <w:tcW w:w="1568" w:type="pct"/>
            <w:vAlign w:val="bottom"/>
          </w:tcPr>
          <w:p w14:paraId="48671F6F" w14:textId="5611B612"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Capital expenditure for </w:t>
            </w:r>
            <w:r w:rsidR="00541EBC">
              <w:rPr>
                <w:b/>
                <w:color w:val="000000"/>
              </w:rPr>
              <w:t>2024</w:t>
            </w:r>
          </w:p>
        </w:tc>
        <w:tc>
          <w:tcPr>
            <w:tcW w:w="572" w:type="pct"/>
            <w:vAlign w:val="bottom"/>
          </w:tcPr>
          <w:p w14:paraId="372DD139"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73C040C2"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181568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49E04870"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3C47C5A8" w14:textId="77777777" w:rsidR="00D83E33" w:rsidRPr="00EA10CF" w:rsidRDefault="00D83E33">
            <w:pPr>
              <w:widowControl w:val="0"/>
              <w:pBdr>
                <w:top w:val="nil"/>
                <w:left w:val="nil"/>
                <w:bottom w:val="nil"/>
                <w:right w:val="nil"/>
                <w:between w:val="nil"/>
              </w:pBdr>
              <w:jc w:val="right"/>
              <w:rPr>
                <w:color w:val="000000"/>
              </w:rPr>
            </w:pPr>
          </w:p>
        </w:tc>
        <w:tc>
          <w:tcPr>
            <w:tcW w:w="572" w:type="pct"/>
            <w:vAlign w:val="bottom"/>
          </w:tcPr>
          <w:p w14:paraId="2876971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6B851D9" w14:textId="77777777" w:rsidTr="001B330E">
        <w:trPr>
          <w:trHeight w:val="23"/>
        </w:trPr>
        <w:tc>
          <w:tcPr>
            <w:tcW w:w="1568" w:type="pct"/>
            <w:tcBorders>
              <w:bottom w:val="single" w:sz="12" w:space="0" w:color="000000"/>
            </w:tcBorders>
            <w:vAlign w:val="bottom"/>
          </w:tcPr>
          <w:p w14:paraId="04B24B1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2" w:type="pct"/>
            <w:tcBorders>
              <w:bottom w:val="single" w:sz="12" w:space="0" w:color="000000"/>
            </w:tcBorders>
            <w:vAlign w:val="bottom"/>
          </w:tcPr>
          <w:p w14:paraId="46F648EE"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71589B10"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6F41B563"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46D88B7A"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7C6BB28A" w14:textId="77777777" w:rsidR="00D83E33" w:rsidRPr="00EA10CF" w:rsidRDefault="00D83E33">
            <w:pPr>
              <w:widowControl w:val="0"/>
              <w:pBdr>
                <w:top w:val="nil"/>
                <w:left w:val="nil"/>
                <w:bottom w:val="nil"/>
                <w:right w:val="nil"/>
                <w:between w:val="nil"/>
              </w:pBdr>
              <w:jc w:val="right"/>
              <w:rPr>
                <w:color w:val="000000"/>
              </w:rPr>
            </w:pPr>
          </w:p>
        </w:tc>
        <w:tc>
          <w:tcPr>
            <w:tcW w:w="572" w:type="pct"/>
            <w:tcBorders>
              <w:bottom w:val="single" w:sz="12" w:space="0" w:color="000000"/>
            </w:tcBorders>
            <w:vAlign w:val="bottom"/>
          </w:tcPr>
          <w:p w14:paraId="4AAD5590" w14:textId="77777777" w:rsidR="00D83E33" w:rsidRPr="00EA10CF" w:rsidRDefault="00D83E33">
            <w:pPr>
              <w:widowControl w:val="0"/>
              <w:pBdr>
                <w:top w:val="nil"/>
                <w:left w:val="nil"/>
                <w:bottom w:val="nil"/>
                <w:right w:val="nil"/>
                <w:between w:val="nil"/>
              </w:pBdr>
              <w:jc w:val="right"/>
              <w:rPr>
                <w:color w:val="000000"/>
              </w:rPr>
            </w:pPr>
          </w:p>
        </w:tc>
      </w:tr>
    </w:tbl>
    <w:p w14:paraId="1828D830"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reconciling items are attributable to the following: </w:t>
      </w:r>
    </w:p>
    <w:p w14:paraId="71FA61B5" w14:textId="77777777" w:rsidR="00D83E33" w:rsidRDefault="00BC4072">
      <w:pPr>
        <w:widowControl w:val="0"/>
        <w:numPr>
          <w:ilvl w:val="0"/>
          <w:numId w:val="11"/>
        </w:numPr>
        <w:pBdr>
          <w:top w:val="nil"/>
          <w:left w:val="nil"/>
          <w:bottom w:val="nil"/>
          <w:right w:val="nil"/>
          <w:between w:val="nil"/>
        </w:pBdr>
        <w:spacing w:before="100" w:after="100"/>
        <w:ind w:left="567" w:hanging="567"/>
        <w:jc w:val="both"/>
        <w:rPr>
          <w:color w:val="0000FF"/>
          <w:sz w:val="20"/>
          <w:szCs w:val="20"/>
        </w:rPr>
      </w:pPr>
      <w:r>
        <w:rPr>
          <w:color w:val="0000FF"/>
          <w:sz w:val="20"/>
          <w:szCs w:val="20"/>
        </w:rPr>
        <w:t xml:space="preserve">[description of each adjustment]; </w:t>
      </w:r>
    </w:p>
    <w:p w14:paraId="2D834667" w14:textId="77777777" w:rsidR="00D83E33" w:rsidRDefault="00BC4072">
      <w:pPr>
        <w:widowControl w:val="0"/>
        <w:numPr>
          <w:ilvl w:val="0"/>
          <w:numId w:val="11"/>
        </w:numPr>
        <w:pBdr>
          <w:top w:val="nil"/>
          <w:left w:val="nil"/>
          <w:bottom w:val="nil"/>
          <w:right w:val="nil"/>
          <w:between w:val="nil"/>
        </w:pBdr>
        <w:spacing w:before="100" w:after="100"/>
        <w:ind w:left="567" w:hanging="567"/>
        <w:jc w:val="both"/>
        <w:rPr>
          <w:color w:val="0000FF"/>
          <w:sz w:val="20"/>
          <w:szCs w:val="20"/>
        </w:rPr>
      </w:pPr>
      <w:r>
        <w:rPr>
          <w:color w:val="0000FF"/>
          <w:sz w:val="20"/>
          <w:szCs w:val="20"/>
        </w:rPr>
        <w:t>[description of each adjustment];</w:t>
      </w:r>
    </w:p>
    <w:p w14:paraId="2030BBC1" w14:textId="77777777" w:rsidR="00D83E33" w:rsidRDefault="00BC4072">
      <w:pPr>
        <w:widowControl w:val="0"/>
        <w:numPr>
          <w:ilvl w:val="0"/>
          <w:numId w:val="11"/>
        </w:numPr>
        <w:pBdr>
          <w:top w:val="nil"/>
          <w:left w:val="nil"/>
          <w:bottom w:val="nil"/>
          <w:right w:val="nil"/>
          <w:between w:val="nil"/>
        </w:pBdr>
        <w:spacing w:before="100" w:after="100"/>
        <w:ind w:left="567" w:hanging="567"/>
        <w:jc w:val="both"/>
        <w:rPr>
          <w:color w:val="0000FF"/>
          <w:sz w:val="20"/>
          <w:szCs w:val="20"/>
        </w:rPr>
      </w:pPr>
      <w:r>
        <w:rPr>
          <w:color w:val="0000FF"/>
          <w:sz w:val="20"/>
          <w:szCs w:val="20"/>
        </w:rPr>
        <w:t>[description of each adjustment];</w:t>
      </w:r>
    </w:p>
    <w:p w14:paraId="089FA8E4" w14:textId="2F172530"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Reconciliation of material assets and liabilities at 31</w:t>
      </w:r>
      <w:r w:rsidR="00181687">
        <w:rPr>
          <w:color w:val="000000"/>
          <w:sz w:val="20"/>
          <w:szCs w:val="20"/>
        </w:rPr>
        <w:t> December </w:t>
      </w:r>
      <w:r w:rsidR="00541EBC">
        <w:rPr>
          <w:color w:val="000000"/>
          <w:sz w:val="20"/>
          <w:szCs w:val="20"/>
        </w:rPr>
        <w:t>2023</w:t>
      </w:r>
      <w:r>
        <w:rPr>
          <w:color w:val="000000"/>
          <w:sz w:val="20"/>
          <w:szCs w:val="20"/>
        </w:rPr>
        <w:t xml:space="preserve"> and of capital expenditure for </w:t>
      </w:r>
      <w:r w:rsidR="00541EBC">
        <w:rPr>
          <w:color w:val="000000"/>
          <w:sz w:val="20"/>
          <w:szCs w:val="20"/>
        </w:rPr>
        <w:t>2023</w:t>
      </w:r>
      <w:r>
        <w:rPr>
          <w:color w:val="000000"/>
          <w:sz w:val="20"/>
          <w:szCs w:val="20"/>
        </w:rPr>
        <w:t xml:space="preserve"> is as follows:</w:t>
      </w:r>
    </w:p>
    <w:tbl>
      <w:tblPr>
        <w:tblStyle w:val="afffffffffffffa"/>
        <w:tblW w:w="5000" w:type="pct"/>
        <w:tblLayout w:type="fixed"/>
        <w:tblLook w:val="0000" w:firstRow="0" w:lastRow="0" w:firstColumn="0" w:lastColumn="0" w:noHBand="0" w:noVBand="0"/>
      </w:tblPr>
      <w:tblGrid>
        <w:gridCol w:w="2953"/>
        <w:gridCol w:w="1069"/>
        <w:gridCol w:w="1068"/>
        <w:gridCol w:w="1068"/>
        <w:gridCol w:w="1068"/>
        <w:gridCol w:w="1068"/>
        <w:gridCol w:w="1061"/>
      </w:tblGrid>
      <w:tr w:rsidR="00D83E33" w:rsidRPr="00EA10CF" w14:paraId="4431C3CC" w14:textId="77777777" w:rsidTr="001B330E">
        <w:trPr>
          <w:trHeight w:val="23"/>
        </w:trPr>
        <w:tc>
          <w:tcPr>
            <w:tcW w:w="1578" w:type="pct"/>
            <w:tcBorders>
              <w:bottom w:val="single" w:sz="4" w:space="0" w:color="000000"/>
            </w:tcBorders>
            <w:vAlign w:val="bottom"/>
          </w:tcPr>
          <w:p w14:paraId="701EFB22" w14:textId="16CF1325"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71" w:type="pct"/>
            <w:tcBorders>
              <w:bottom w:val="single" w:sz="4" w:space="0" w:color="000000"/>
            </w:tcBorders>
          </w:tcPr>
          <w:p w14:paraId="6F952C0D" w14:textId="1E4D8309" w:rsidR="00D83E33" w:rsidRPr="00EA10CF" w:rsidRDefault="00BC4072" w:rsidP="001B330E">
            <w:pPr>
              <w:widowControl w:val="0"/>
              <w:pBdr>
                <w:top w:val="nil"/>
                <w:left w:val="nil"/>
                <w:bottom w:val="nil"/>
                <w:right w:val="nil"/>
                <w:between w:val="nil"/>
              </w:pBdr>
              <w:ind w:left="-57"/>
              <w:jc w:val="right"/>
              <w:rPr>
                <w:b/>
                <w:color w:val="000000"/>
              </w:rPr>
            </w:pPr>
            <w:r w:rsidRPr="00EA10CF">
              <w:rPr>
                <w:b/>
                <w:color w:val="000000"/>
              </w:rPr>
              <w:t>Total amount for all reportable segments</w:t>
            </w:r>
          </w:p>
        </w:tc>
        <w:tc>
          <w:tcPr>
            <w:tcW w:w="571" w:type="pct"/>
            <w:tcBorders>
              <w:bottom w:val="single" w:sz="4" w:space="0" w:color="000000"/>
            </w:tcBorders>
          </w:tcPr>
          <w:p w14:paraId="48C7F3B8"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1]</w:t>
            </w:r>
          </w:p>
        </w:tc>
        <w:tc>
          <w:tcPr>
            <w:tcW w:w="571" w:type="pct"/>
            <w:tcBorders>
              <w:bottom w:val="single" w:sz="4" w:space="0" w:color="000000"/>
            </w:tcBorders>
          </w:tcPr>
          <w:p w14:paraId="39DDC391"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2]</w:t>
            </w:r>
          </w:p>
        </w:tc>
        <w:tc>
          <w:tcPr>
            <w:tcW w:w="571" w:type="pct"/>
            <w:tcBorders>
              <w:bottom w:val="single" w:sz="4" w:space="0" w:color="000000"/>
            </w:tcBorders>
          </w:tcPr>
          <w:p w14:paraId="0BA476D5"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3]</w:t>
            </w:r>
          </w:p>
        </w:tc>
        <w:tc>
          <w:tcPr>
            <w:tcW w:w="571" w:type="pct"/>
            <w:tcBorders>
              <w:bottom w:val="single" w:sz="4" w:space="0" w:color="000000"/>
            </w:tcBorders>
          </w:tcPr>
          <w:p w14:paraId="3F6F8519" w14:textId="77777777" w:rsidR="00D83E33" w:rsidRPr="00EA10CF" w:rsidRDefault="00BC4072" w:rsidP="001B330E">
            <w:pPr>
              <w:widowControl w:val="0"/>
              <w:pBdr>
                <w:top w:val="nil"/>
                <w:left w:val="nil"/>
                <w:bottom w:val="nil"/>
                <w:right w:val="nil"/>
                <w:between w:val="nil"/>
              </w:pBdr>
              <w:ind w:left="-57"/>
              <w:jc w:val="right"/>
              <w:rPr>
                <w:b/>
                <w:color w:val="0000FF"/>
              </w:rPr>
            </w:pPr>
            <w:r w:rsidRPr="00EA10CF">
              <w:rPr>
                <w:b/>
                <w:color w:val="0000FF"/>
              </w:rPr>
              <w:t>[Adjust-ment 4]</w:t>
            </w:r>
          </w:p>
        </w:tc>
        <w:tc>
          <w:tcPr>
            <w:tcW w:w="568" w:type="pct"/>
            <w:tcBorders>
              <w:bottom w:val="single" w:sz="4" w:space="0" w:color="000000"/>
            </w:tcBorders>
          </w:tcPr>
          <w:p w14:paraId="3451E101" w14:textId="77777777" w:rsidR="00D83E33" w:rsidRPr="00EA10CF" w:rsidRDefault="00BC4072" w:rsidP="001B330E">
            <w:pPr>
              <w:widowControl w:val="0"/>
              <w:pBdr>
                <w:top w:val="nil"/>
                <w:left w:val="nil"/>
                <w:bottom w:val="nil"/>
                <w:right w:val="nil"/>
                <w:between w:val="nil"/>
              </w:pBdr>
              <w:ind w:left="-57"/>
              <w:jc w:val="right"/>
              <w:rPr>
                <w:b/>
                <w:color w:val="000000"/>
              </w:rPr>
            </w:pPr>
            <w:r w:rsidRPr="00EA10CF">
              <w:rPr>
                <w:b/>
                <w:color w:val="000000"/>
              </w:rPr>
              <w:t>As reported under IFRS</w:t>
            </w:r>
          </w:p>
        </w:tc>
      </w:tr>
      <w:tr w:rsidR="00D83E33" w:rsidRPr="00EA10CF" w14:paraId="3BF9A056" w14:textId="77777777" w:rsidTr="001B330E">
        <w:trPr>
          <w:trHeight w:val="23"/>
        </w:trPr>
        <w:tc>
          <w:tcPr>
            <w:tcW w:w="1578" w:type="pct"/>
            <w:tcBorders>
              <w:top w:val="single" w:sz="4" w:space="0" w:color="000000"/>
            </w:tcBorders>
            <w:vAlign w:val="bottom"/>
          </w:tcPr>
          <w:p w14:paraId="44313A2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1" w:type="pct"/>
            <w:tcBorders>
              <w:top w:val="single" w:sz="4" w:space="0" w:color="000000"/>
            </w:tcBorders>
            <w:vAlign w:val="bottom"/>
          </w:tcPr>
          <w:p w14:paraId="2F91E515"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top w:val="single" w:sz="4" w:space="0" w:color="000000"/>
            </w:tcBorders>
            <w:vAlign w:val="bottom"/>
          </w:tcPr>
          <w:p w14:paraId="0B0E1F76"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top w:val="single" w:sz="4" w:space="0" w:color="000000"/>
            </w:tcBorders>
            <w:vAlign w:val="bottom"/>
          </w:tcPr>
          <w:p w14:paraId="37D9BAA0"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top w:val="single" w:sz="4" w:space="0" w:color="000000"/>
            </w:tcBorders>
            <w:vAlign w:val="bottom"/>
          </w:tcPr>
          <w:p w14:paraId="36D94DEA"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top w:val="single" w:sz="4" w:space="0" w:color="000000"/>
            </w:tcBorders>
            <w:vAlign w:val="bottom"/>
          </w:tcPr>
          <w:p w14:paraId="498ECFEA" w14:textId="77777777" w:rsidR="00D83E33" w:rsidRPr="00EA10CF" w:rsidRDefault="00D83E33">
            <w:pPr>
              <w:widowControl w:val="0"/>
              <w:pBdr>
                <w:top w:val="nil"/>
                <w:left w:val="nil"/>
                <w:bottom w:val="nil"/>
                <w:right w:val="nil"/>
                <w:between w:val="nil"/>
              </w:pBdr>
              <w:jc w:val="right"/>
              <w:rPr>
                <w:color w:val="000000"/>
              </w:rPr>
            </w:pPr>
          </w:p>
        </w:tc>
        <w:tc>
          <w:tcPr>
            <w:tcW w:w="568" w:type="pct"/>
            <w:tcBorders>
              <w:top w:val="single" w:sz="4" w:space="0" w:color="000000"/>
            </w:tcBorders>
            <w:vAlign w:val="bottom"/>
          </w:tcPr>
          <w:p w14:paraId="06CB2FE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F698131" w14:textId="77777777" w:rsidTr="001B330E">
        <w:trPr>
          <w:trHeight w:val="23"/>
        </w:trPr>
        <w:tc>
          <w:tcPr>
            <w:tcW w:w="1578" w:type="pct"/>
            <w:vAlign w:val="bottom"/>
          </w:tcPr>
          <w:p w14:paraId="7288E0E6" w14:textId="25FA7709" w:rsidR="00D83E33" w:rsidRPr="00EA10CF" w:rsidRDefault="00BC4072" w:rsidP="001B330E">
            <w:pPr>
              <w:widowControl w:val="0"/>
              <w:pBdr>
                <w:top w:val="nil"/>
                <w:left w:val="nil"/>
                <w:bottom w:val="nil"/>
                <w:right w:val="nil"/>
                <w:between w:val="nil"/>
              </w:pBdr>
              <w:ind w:left="113" w:hanging="113"/>
              <w:rPr>
                <w:b/>
                <w:i/>
                <w:color w:val="000000"/>
              </w:rPr>
            </w:pPr>
            <w:r w:rsidRPr="00EA10CF">
              <w:rPr>
                <w:b/>
                <w:i/>
                <w:color w:val="000000"/>
              </w:rPr>
              <w:t>Assets at 31</w:t>
            </w:r>
            <w:r w:rsidR="00181687">
              <w:rPr>
                <w:b/>
                <w:i/>
                <w:color w:val="000000"/>
              </w:rPr>
              <w:t> December </w:t>
            </w:r>
            <w:r w:rsidR="00541EBC">
              <w:rPr>
                <w:b/>
                <w:i/>
                <w:color w:val="000000"/>
              </w:rPr>
              <w:t>2023</w:t>
            </w:r>
          </w:p>
        </w:tc>
        <w:tc>
          <w:tcPr>
            <w:tcW w:w="571" w:type="pct"/>
            <w:vAlign w:val="bottom"/>
          </w:tcPr>
          <w:p w14:paraId="0828D9B5"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2234BBDD"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5C17CF38"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1875918E"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715DB1E0" w14:textId="77777777" w:rsidR="00D83E33" w:rsidRPr="00EA10CF" w:rsidRDefault="00D83E33">
            <w:pPr>
              <w:widowControl w:val="0"/>
              <w:pBdr>
                <w:top w:val="nil"/>
                <w:left w:val="nil"/>
                <w:bottom w:val="nil"/>
                <w:right w:val="nil"/>
                <w:between w:val="nil"/>
              </w:pBdr>
              <w:jc w:val="right"/>
              <w:rPr>
                <w:b/>
                <w:color w:val="000000"/>
              </w:rPr>
            </w:pPr>
          </w:p>
        </w:tc>
        <w:tc>
          <w:tcPr>
            <w:tcW w:w="568" w:type="pct"/>
            <w:vAlign w:val="bottom"/>
          </w:tcPr>
          <w:p w14:paraId="327DCE8B"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7042B35" w14:textId="77777777" w:rsidTr="001B330E">
        <w:trPr>
          <w:trHeight w:val="23"/>
        </w:trPr>
        <w:tc>
          <w:tcPr>
            <w:tcW w:w="1578" w:type="pct"/>
            <w:vAlign w:val="bottom"/>
          </w:tcPr>
          <w:p w14:paraId="2D8DEE5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Non-current assets held for sale (or disposal groups)</w:t>
            </w:r>
          </w:p>
        </w:tc>
        <w:tc>
          <w:tcPr>
            <w:tcW w:w="571" w:type="pct"/>
            <w:vAlign w:val="bottom"/>
          </w:tcPr>
          <w:p w14:paraId="38FD92FD"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72FCD8C3"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69149D69"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56E7A6A0"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0FF02E08" w14:textId="77777777" w:rsidR="00D83E33" w:rsidRPr="00EA10CF" w:rsidRDefault="00D83E33">
            <w:pPr>
              <w:widowControl w:val="0"/>
              <w:pBdr>
                <w:top w:val="nil"/>
                <w:left w:val="nil"/>
                <w:bottom w:val="nil"/>
                <w:right w:val="nil"/>
                <w:between w:val="nil"/>
              </w:pBdr>
              <w:jc w:val="right"/>
              <w:rPr>
                <w:b/>
                <w:color w:val="000000"/>
              </w:rPr>
            </w:pPr>
          </w:p>
        </w:tc>
        <w:tc>
          <w:tcPr>
            <w:tcW w:w="568" w:type="pct"/>
            <w:vAlign w:val="bottom"/>
          </w:tcPr>
          <w:p w14:paraId="0C229D96"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951BF23" w14:textId="77777777" w:rsidTr="001B330E">
        <w:trPr>
          <w:trHeight w:val="23"/>
        </w:trPr>
        <w:tc>
          <w:tcPr>
            <w:tcW w:w="1578" w:type="pct"/>
            <w:vAlign w:val="bottom"/>
          </w:tcPr>
          <w:p w14:paraId="65FA4E1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Investment in associates </w:t>
            </w:r>
          </w:p>
        </w:tc>
        <w:tc>
          <w:tcPr>
            <w:tcW w:w="571" w:type="pct"/>
            <w:vAlign w:val="bottom"/>
          </w:tcPr>
          <w:p w14:paraId="4E91DCC2"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CCEDE9C"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373EE23C"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0279F04B"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1B040E38"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05A22AD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B5AB3DE" w14:textId="77777777" w:rsidTr="001B330E">
        <w:trPr>
          <w:trHeight w:val="23"/>
        </w:trPr>
        <w:tc>
          <w:tcPr>
            <w:tcW w:w="1578" w:type="pct"/>
            <w:vAlign w:val="bottom"/>
          </w:tcPr>
          <w:p w14:paraId="101E7D6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reportable segment assets</w:t>
            </w:r>
          </w:p>
        </w:tc>
        <w:tc>
          <w:tcPr>
            <w:tcW w:w="571" w:type="pct"/>
            <w:vAlign w:val="bottom"/>
          </w:tcPr>
          <w:p w14:paraId="7CBEA505"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38CDBCA2"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47CA6A98"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3B681798"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235DFBE9" w14:textId="77777777" w:rsidR="00D83E33" w:rsidRPr="00EA10CF" w:rsidRDefault="00D83E33">
            <w:pPr>
              <w:widowControl w:val="0"/>
              <w:pBdr>
                <w:top w:val="nil"/>
                <w:left w:val="nil"/>
                <w:bottom w:val="nil"/>
                <w:right w:val="nil"/>
                <w:between w:val="nil"/>
              </w:pBdr>
              <w:jc w:val="right"/>
              <w:rPr>
                <w:b/>
                <w:color w:val="000000"/>
              </w:rPr>
            </w:pPr>
          </w:p>
        </w:tc>
        <w:tc>
          <w:tcPr>
            <w:tcW w:w="568" w:type="pct"/>
            <w:vAlign w:val="bottom"/>
          </w:tcPr>
          <w:p w14:paraId="6795DD6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E1CB84A" w14:textId="77777777" w:rsidTr="001B330E">
        <w:trPr>
          <w:trHeight w:val="23"/>
        </w:trPr>
        <w:tc>
          <w:tcPr>
            <w:tcW w:w="1578" w:type="pct"/>
            <w:tcBorders>
              <w:bottom w:val="single" w:sz="12" w:space="0" w:color="000000"/>
            </w:tcBorders>
            <w:vAlign w:val="bottom"/>
          </w:tcPr>
          <w:p w14:paraId="61B33F7C"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571" w:type="pct"/>
            <w:tcBorders>
              <w:bottom w:val="single" w:sz="12" w:space="0" w:color="000000"/>
            </w:tcBorders>
            <w:vAlign w:val="bottom"/>
          </w:tcPr>
          <w:p w14:paraId="3497715B" w14:textId="77777777" w:rsidR="00D83E33" w:rsidRPr="00EA10CF" w:rsidRDefault="00D83E33">
            <w:pPr>
              <w:widowControl w:val="0"/>
              <w:pBdr>
                <w:top w:val="nil"/>
                <w:left w:val="nil"/>
                <w:bottom w:val="nil"/>
                <w:right w:val="nil"/>
                <w:between w:val="nil"/>
              </w:pBdr>
              <w:jc w:val="right"/>
              <w:rPr>
                <w:b/>
                <w:color w:val="000000"/>
              </w:rPr>
            </w:pPr>
          </w:p>
        </w:tc>
        <w:tc>
          <w:tcPr>
            <w:tcW w:w="571" w:type="pct"/>
            <w:tcBorders>
              <w:bottom w:val="single" w:sz="12" w:space="0" w:color="000000"/>
            </w:tcBorders>
            <w:vAlign w:val="bottom"/>
          </w:tcPr>
          <w:p w14:paraId="30E48CD2" w14:textId="77777777" w:rsidR="00D83E33" w:rsidRPr="00EA10CF" w:rsidRDefault="00D83E33">
            <w:pPr>
              <w:widowControl w:val="0"/>
              <w:pBdr>
                <w:top w:val="nil"/>
                <w:left w:val="nil"/>
                <w:bottom w:val="nil"/>
                <w:right w:val="nil"/>
                <w:between w:val="nil"/>
              </w:pBdr>
              <w:jc w:val="right"/>
              <w:rPr>
                <w:b/>
                <w:color w:val="000000"/>
              </w:rPr>
            </w:pPr>
          </w:p>
        </w:tc>
        <w:tc>
          <w:tcPr>
            <w:tcW w:w="571" w:type="pct"/>
            <w:tcBorders>
              <w:bottom w:val="single" w:sz="12" w:space="0" w:color="000000"/>
            </w:tcBorders>
            <w:vAlign w:val="bottom"/>
          </w:tcPr>
          <w:p w14:paraId="4AFB292F" w14:textId="77777777" w:rsidR="00D83E33" w:rsidRPr="00EA10CF" w:rsidRDefault="00D83E33">
            <w:pPr>
              <w:widowControl w:val="0"/>
              <w:pBdr>
                <w:top w:val="nil"/>
                <w:left w:val="nil"/>
                <w:bottom w:val="nil"/>
                <w:right w:val="nil"/>
                <w:between w:val="nil"/>
              </w:pBdr>
              <w:jc w:val="right"/>
              <w:rPr>
                <w:b/>
                <w:color w:val="000000"/>
              </w:rPr>
            </w:pPr>
          </w:p>
        </w:tc>
        <w:tc>
          <w:tcPr>
            <w:tcW w:w="571" w:type="pct"/>
            <w:tcBorders>
              <w:bottom w:val="single" w:sz="12" w:space="0" w:color="000000"/>
            </w:tcBorders>
            <w:vAlign w:val="bottom"/>
          </w:tcPr>
          <w:p w14:paraId="2067C233" w14:textId="77777777" w:rsidR="00D83E33" w:rsidRPr="00EA10CF" w:rsidRDefault="00D83E33">
            <w:pPr>
              <w:widowControl w:val="0"/>
              <w:pBdr>
                <w:top w:val="nil"/>
                <w:left w:val="nil"/>
                <w:bottom w:val="nil"/>
                <w:right w:val="nil"/>
                <w:between w:val="nil"/>
              </w:pBdr>
              <w:jc w:val="right"/>
              <w:rPr>
                <w:b/>
                <w:color w:val="000000"/>
              </w:rPr>
            </w:pPr>
          </w:p>
        </w:tc>
        <w:tc>
          <w:tcPr>
            <w:tcW w:w="571" w:type="pct"/>
            <w:tcBorders>
              <w:bottom w:val="single" w:sz="12" w:space="0" w:color="000000"/>
            </w:tcBorders>
            <w:vAlign w:val="bottom"/>
          </w:tcPr>
          <w:p w14:paraId="4791D500" w14:textId="77777777" w:rsidR="00D83E33" w:rsidRPr="00EA10CF" w:rsidRDefault="00D83E33">
            <w:pPr>
              <w:widowControl w:val="0"/>
              <w:pBdr>
                <w:top w:val="nil"/>
                <w:left w:val="nil"/>
                <w:bottom w:val="nil"/>
                <w:right w:val="nil"/>
                <w:between w:val="nil"/>
              </w:pBdr>
              <w:jc w:val="right"/>
              <w:rPr>
                <w:b/>
                <w:color w:val="000000"/>
              </w:rPr>
            </w:pPr>
          </w:p>
        </w:tc>
        <w:tc>
          <w:tcPr>
            <w:tcW w:w="568" w:type="pct"/>
            <w:tcBorders>
              <w:bottom w:val="single" w:sz="12" w:space="0" w:color="000000"/>
            </w:tcBorders>
            <w:vAlign w:val="bottom"/>
          </w:tcPr>
          <w:p w14:paraId="40A53CD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7D844ED" w14:textId="77777777" w:rsidTr="001B330E">
        <w:trPr>
          <w:trHeight w:val="23"/>
        </w:trPr>
        <w:tc>
          <w:tcPr>
            <w:tcW w:w="1578" w:type="pct"/>
            <w:vAlign w:val="bottom"/>
          </w:tcPr>
          <w:p w14:paraId="4ED6A5B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571" w:type="pct"/>
            <w:vAlign w:val="bottom"/>
          </w:tcPr>
          <w:p w14:paraId="1BA0CF47"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033C9031"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45746086"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1CA7BB6B"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69CDADF8" w14:textId="77777777" w:rsidR="00D83E33" w:rsidRPr="00EA10CF" w:rsidRDefault="00D83E33">
            <w:pPr>
              <w:widowControl w:val="0"/>
              <w:pBdr>
                <w:top w:val="nil"/>
                <w:left w:val="nil"/>
                <w:bottom w:val="nil"/>
                <w:right w:val="nil"/>
                <w:between w:val="nil"/>
              </w:pBdr>
              <w:jc w:val="right"/>
              <w:rPr>
                <w:b/>
                <w:color w:val="000000"/>
              </w:rPr>
            </w:pPr>
          </w:p>
        </w:tc>
        <w:tc>
          <w:tcPr>
            <w:tcW w:w="568" w:type="pct"/>
            <w:vAlign w:val="bottom"/>
          </w:tcPr>
          <w:p w14:paraId="1297E27B"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44DBE5E" w14:textId="77777777" w:rsidTr="001B330E">
        <w:trPr>
          <w:trHeight w:val="23"/>
        </w:trPr>
        <w:tc>
          <w:tcPr>
            <w:tcW w:w="1578" w:type="pct"/>
            <w:vAlign w:val="bottom"/>
          </w:tcPr>
          <w:p w14:paraId="6ED9136F" w14:textId="14B55606" w:rsidR="00D83E33" w:rsidRPr="00EA10CF" w:rsidRDefault="00BC4072" w:rsidP="001B330E">
            <w:pPr>
              <w:widowControl w:val="0"/>
              <w:pBdr>
                <w:top w:val="nil"/>
                <w:left w:val="nil"/>
                <w:bottom w:val="nil"/>
                <w:right w:val="nil"/>
                <w:between w:val="nil"/>
              </w:pBdr>
              <w:ind w:left="113" w:hanging="113"/>
              <w:rPr>
                <w:color w:val="000000"/>
              </w:rPr>
            </w:pPr>
            <w:r w:rsidRPr="00EA10CF">
              <w:rPr>
                <w:b/>
                <w:i/>
                <w:color w:val="000000"/>
              </w:rPr>
              <w:t>Liabilities at 31</w:t>
            </w:r>
            <w:r w:rsidR="00181687">
              <w:rPr>
                <w:b/>
                <w:i/>
                <w:color w:val="000000"/>
              </w:rPr>
              <w:t> December </w:t>
            </w:r>
            <w:r w:rsidR="00541EBC">
              <w:rPr>
                <w:b/>
                <w:i/>
                <w:color w:val="000000"/>
              </w:rPr>
              <w:t>2023</w:t>
            </w:r>
          </w:p>
        </w:tc>
        <w:tc>
          <w:tcPr>
            <w:tcW w:w="571" w:type="pct"/>
            <w:vAlign w:val="bottom"/>
          </w:tcPr>
          <w:p w14:paraId="18CB7347"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0121846"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613A1915"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0CE12ACD"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3533AABA" w14:textId="77777777" w:rsidR="00D83E33" w:rsidRPr="00EA10CF" w:rsidRDefault="00D83E33">
            <w:pPr>
              <w:widowControl w:val="0"/>
              <w:pBdr>
                <w:top w:val="nil"/>
                <w:left w:val="nil"/>
                <w:bottom w:val="nil"/>
                <w:right w:val="nil"/>
                <w:between w:val="nil"/>
              </w:pBdr>
              <w:jc w:val="right"/>
              <w:rPr>
                <w:b/>
                <w:color w:val="000000"/>
              </w:rPr>
            </w:pPr>
          </w:p>
        </w:tc>
        <w:tc>
          <w:tcPr>
            <w:tcW w:w="568" w:type="pct"/>
            <w:vAlign w:val="bottom"/>
          </w:tcPr>
          <w:p w14:paraId="1A297A8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49B593E" w14:textId="77777777" w:rsidTr="001B330E">
        <w:trPr>
          <w:trHeight w:val="23"/>
        </w:trPr>
        <w:tc>
          <w:tcPr>
            <w:tcW w:w="1578" w:type="pct"/>
            <w:vAlign w:val="bottom"/>
          </w:tcPr>
          <w:p w14:paraId="758D00A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Liabilities directly associated with disposal groups held for sale</w:t>
            </w:r>
          </w:p>
        </w:tc>
        <w:tc>
          <w:tcPr>
            <w:tcW w:w="571" w:type="pct"/>
            <w:vAlign w:val="bottom"/>
          </w:tcPr>
          <w:p w14:paraId="3D5DEA38"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6EF35FE"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31F72E56"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72B963A5"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4D3098F1" w14:textId="77777777" w:rsidR="00D83E33" w:rsidRPr="00EA10CF" w:rsidRDefault="00D83E33">
            <w:pPr>
              <w:widowControl w:val="0"/>
              <w:pBdr>
                <w:top w:val="nil"/>
                <w:left w:val="nil"/>
                <w:bottom w:val="nil"/>
                <w:right w:val="nil"/>
                <w:between w:val="nil"/>
              </w:pBdr>
              <w:jc w:val="right"/>
              <w:rPr>
                <w:b/>
                <w:color w:val="000000"/>
              </w:rPr>
            </w:pPr>
          </w:p>
        </w:tc>
        <w:tc>
          <w:tcPr>
            <w:tcW w:w="568" w:type="pct"/>
            <w:vAlign w:val="bottom"/>
          </w:tcPr>
          <w:p w14:paraId="5C6833E2"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7373D4E" w14:textId="77777777" w:rsidTr="001B330E">
        <w:trPr>
          <w:trHeight w:val="23"/>
        </w:trPr>
        <w:tc>
          <w:tcPr>
            <w:tcW w:w="1578" w:type="pct"/>
            <w:vAlign w:val="bottom"/>
          </w:tcPr>
          <w:p w14:paraId="76BB67D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reportable segment liabilities</w:t>
            </w:r>
          </w:p>
        </w:tc>
        <w:tc>
          <w:tcPr>
            <w:tcW w:w="571" w:type="pct"/>
            <w:vAlign w:val="bottom"/>
          </w:tcPr>
          <w:p w14:paraId="0E8B14B9"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08A6B57B"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7E8CF2F7"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0051F248"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62C87411" w14:textId="77777777" w:rsidR="00D83E33" w:rsidRPr="00EA10CF" w:rsidRDefault="00D83E33">
            <w:pPr>
              <w:widowControl w:val="0"/>
              <w:pBdr>
                <w:top w:val="nil"/>
                <w:left w:val="nil"/>
                <w:bottom w:val="nil"/>
                <w:right w:val="nil"/>
                <w:between w:val="nil"/>
              </w:pBdr>
              <w:jc w:val="right"/>
              <w:rPr>
                <w:b/>
                <w:color w:val="000000"/>
              </w:rPr>
            </w:pPr>
          </w:p>
        </w:tc>
        <w:tc>
          <w:tcPr>
            <w:tcW w:w="568" w:type="pct"/>
            <w:vAlign w:val="bottom"/>
          </w:tcPr>
          <w:p w14:paraId="3F19AE0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AC8A521" w14:textId="77777777" w:rsidTr="001B330E">
        <w:trPr>
          <w:trHeight w:val="23"/>
        </w:trPr>
        <w:tc>
          <w:tcPr>
            <w:tcW w:w="1578" w:type="pct"/>
            <w:tcBorders>
              <w:bottom w:val="single" w:sz="12" w:space="0" w:color="000000"/>
            </w:tcBorders>
            <w:vAlign w:val="bottom"/>
          </w:tcPr>
          <w:p w14:paraId="7D37BA97"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571" w:type="pct"/>
            <w:tcBorders>
              <w:bottom w:val="single" w:sz="12" w:space="0" w:color="000000"/>
            </w:tcBorders>
            <w:vAlign w:val="bottom"/>
          </w:tcPr>
          <w:p w14:paraId="5DFE2A37" w14:textId="77777777" w:rsidR="00D83E33" w:rsidRPr="00EA10CF" w:rsidRDefault="00D83E33">
            <w:pPr>
              <w:widowControl w:val="0"/>
              <w:pBdr>
                <w:top w:val="nil"/>
                <w:left w:val="nil"/>
                <w:bottom w:val="nil"/>
                <w:right w:val="nil"/>
                <w:between w:val="nil"/>
              </w:pBdr>
              <w:jc w:val="right"/>
              <w:rPr>
                <w:b/>
                <w:color w:val="000000"/>
              </w:rPr>
            </w:pPr>
          </w:p>
        </w:tc>
        <w:tc>
          <w:tcPr>
            <w:tcW w:w="571" w:type="pct"/>
            <w:tcBorders>
              <w:bottom w:val="single" w:sz="12" w:space="0" w:color="000000"/>
            </w:tcBorders>
            <w:vAlign w:val="bottom"/>
          </w:tcPr>
          <w:p w14:paraId="7AA66774" w14:textId="77777777" w:rsidR="00D83E33" w:rsidRPr="00EA10CF" w:rsidRDefault="00D83E33">
            <w:pPr>
              <w:widowControl w:val="0"/>
              <w:pBdr>
                <w:top w:val="nil"/>
                <w:left w:val="nil"/>
                <w:bottom w:val="nil"/>
                <w:right w:val="nil"/>
                <w:between w:val="nil"/>
              </w:pBdr>
              <w:jc w:val="right"/>
              <w:rPr>
                <w:b/>
                <w:color w:val="000000"/>
              </w:rPr>
            </w:pPr>
          </w:p>
        </w:tc>
        <w:tc>
          <w:tcPr>
            <w:tcW w:w="571" w:type="pct"/>
            <w:tcBorders>
              <w:bottom w:val="single" w:sz="12" w:space="0" w:color="000000"/>
            </w:tcBorders>
            <w:vAlign w:val="bottom"/>
          </w:tcPr>
          <w:p w14:paraId="5CDBC76C" w14:textId="77777777" w:rsidR="00D83E33" w:rsidRPr="00EA10CF" w:rsidRDefault="00D83E33">
            <w:pPr>
              <w:widowControl w:val="0"/>
              <w:pBdr>
                <w:top w:val="nil"/>
                <w:left w:val="nil"/>
                <w:bottom w:val="nil"/>
                <w:right w:val="nil"/>
                <w:between w:val="nil"/>
              </w:pBdr>
              <w:jc w:val="right"/>
              <w:rPr>
                <w:b/>
                <w:color w:val="000000"/>
              </w:rPr>
            </w:pPr>
          </w:p>
        </w:tc>
        <w:tc>
          <w:tcPr>
            <w:tcW w:w="571" w:type="pct"/>
            <w:tcBorders>
              <w:bottom w:val="single" w:sz="12" w:space="0" w:color="000000"/>
            </w:tcBorders>
            <w:vAlign w:val="bottom"/>
          </w:tcPr>
          <w:p w14:paraId="767E64DB" w14:textId="77777777" w:rsidR="00D83E33" w:rsidRPr="00EA10CF" w:rsidRDefault="00D83E33">
            <w:pPr>
              <w:widowControl w:val="0"/>
              <w:pBdr>
                <w:top w:val="nil"/>
                <w:left w:val="nil"/>
                <w:bottom w:val="nil"/>
                <w:right w:val="nil"/>
                <w:between w:val="nil"/>
              </w:pBdr>
              <w:jc w:val="right"/>
              <w:rPr>
                <w:b/>
                <w:color w:val="000000"/>
              </w:rPr>
            </w:pPr>
          </w:p>
        </w:tc>
        <w:tc>
          <w:tcPr>
            <w:tcW w:w="571" w:type="pct"/>
            <w:tcBorders>
              <w:bottom w:val="single" w:sz="12" w:space="0" w:color="000000"/>
            </w:tcBorders>
            <w:vAlign w:val="bottom"/>
          </w:tcPr>
          <w:p w14:paraId="69F0119A" w14:textId="77777777" w:rsidR="00D83E33" w:rsidRPr="00EA10CF" w:rsidRDefault="00D83E33">
            <w:pPr>
              <w:widowControl w:val="0"/>
              <w:pBdr>
                <w:top w:val="nil"/>
                <w:left w:val="nil"/>
                <w:bottom w:val="nil"/>
                <w:right w:val="nil"/>
                <w:between w:val="nil"/>
              </w:pBdr>
              <w:jc w:val="right"/>
              <w:rPr>
                <w:b/>
                <w:color w:val="000000"/>
              </w:rPr>
            </w:pPr>
          </w:p>
        </w:tc>
        <w:tc>
          <w:tcPr>
            <w:tcW w:w="568" w:type="pct"/>
            <w:tcBorders>
              <w:bottom w:val="single" w:sz="12" w:space="0" w:color="000000"/>
            </w:tcBorders>
            <w:vAlign w:val="bottom"/>
          </w:tcPr>
          <w:p w14:paraId="39E03E7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9E7038D" w14:textId="77777777" w:rsidTr="001B330E">
        <w:trPr>
          <w:trHeight w:val="23"/>
        </w:trPr>
        <w:tc>
          <w:tcPr>
            <w:tcW w:w="1578" w:type="pct"/>
            <w:vAlign w:val="bottom"/>
          </w:tcPr>
          <w:p w14:paraId="2E73DDA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1" w:type="pct"/>
            <w:vAlign w:val="bottom"/>
          </w:tcPr>
          <w:p w14:paraId="2E0AEA1E"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73C45F4E"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F892E71"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CC78FAC"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6EDFA587"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14DE296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B93C30B" w14:textId="77777777" w:rsidTr="001B330E">
        <w:trPr>
          <w:trHeight w:val="23"/>
        </w:trPr>
        <w:tc>
          <w:tcPr>
            <w:tcW w:w="1578" w:type="pct"/>
            <w:vAlign w:val="bottom"/>
          </w:tcPr>
          <w:p w14:paraId="1E7FF55E" w14:textId="0BB1D36D"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Capital expenditure for </w:t>
            </w:r>
            <w:r w:rsidR="00541EBC">
              <w:rPr>
                <w:b/>
                <w:color w:val="000000"/>
              </w:rPr>
              <w:t>2023</w:t>
            </w:r>
          </w:p>
        </w:tc>
        <w:tc>
          <w:tcPr>
            <w:tcW w:w="571" w:type="pct"/>
            <w:vAlign w:val="bottom"/>
          </w:tcPr>
          <w:p w14:paraId="2DF4D304"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24501F50"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30CE1841"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6D85476F"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2D1254A7"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334650B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42E5B20" w14:textId="77777777" w:rsidTr="001B330E">
        <w:trPr>
          <w:trHeight w:val="23"/>
        </w:trPr>
        <w:tc>
          <w:tcPr>
            <w:tcW w:w="1578" w:type="pct"/>
            <w:tcBorders>
              <w:bottom w:val="single" w:sz="12" w:space="0" w:color="000000"/>
            </w:tcBorders>
            <w:vAlign w:val="bottom"/>
          </w:tcPr>
          <w:p w14:paraId="5EAE3DC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71" w:type="pct"/>
            <w:tcBorders>
              <w:bottom w:val="single" w:sz="12" w:space="0" w:color="000000"/>
            </w:tcBorders>
            <w:vAlign w:val="bottom"/>
          </w:tcPr>
          <w:p w14:paraId="5D860C9B"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vAlign w:val="bottom"/>
          </w:tcPr>
          <w:p w14:paraId="7A9E916A"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vAlign w:val="bottom"/>
          </w:tcPr>
          <w:p w14:paraId="303D7A0F"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vAlign w:val="bottom"/>
          </w:tcPr>
          <w:p w14:paraId="41805050"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vAlign w:val="bottom"/>
          </w:tcPr>
          <w:p w14:paraId="7295F61C" w14:textId="77777777" w:rsidR="00D83E33" w:rsidRPr="00EA10CF" w:rsidRDefault="00D83E33">
            <w:pPr>
              <w:widowControl w:val="0"/>
              <w:pBdr>
                <w:top w:val="nil"/>
                <w:left w:val="nil"/>
                <w:bottom w:val="nil"/>
                <w:right w:val="nil"/>
                <w:between w:val="nil"/>
              </w:pBdr>
              <w:jc w:val="right"/>
              <w:rPr>
                <w:color w:val="000000"/>
              </w:rPr>
            </w:pPr>
          </w:p>
        </w:tc>
        <w:tc>
          <w:tcPr>
            <w:tcW w:w="568" w:type="pct"/>
            <w:tcBorders>
              <w:bottom w:val="single" w:sz="12" w:space="0" w:color="000000"/>
            </w:tcBorders>
            <w:vAlign w:val="bottom"/>
          </w:tcPr>
          <w:p w14:paraId="7E0F8355" w14:textId="77777777" w:rsidR="00D83E33" w:rsidRPr="00EA10CF" w:rsidRDefault="00D83E33">
            <w:pPr>
              <w:widowControl w:val="0"/>
              <w:pBdr>
                <w:top w:val="nil"/>
                <w:left w:val="nil"/>
                <w:bottom w:val="nil"/>
                <w:right w:val="nil"/>
                <w:between w:val="nil"/>
              </w:pBdr>
              <w:jc w:val="right"/>
              <w:rPr>
                <w:color w:val="000000"/>
              </w:rPr>
            </w:pPr>
          </w:p>
        </w:tc>
      </w:tr>
    </w:tbl>
    <w:p w14:paraId="716AAF37" w14:textId="0F6DE960" w:rsidR="00D83E33" w:rsidRDefault="00BC4072" w:rsidP="001B330E">
      <w:pPr>
        <w:pStyle w:val="Continued"/>
      </w:pPr>
      <w:r>
        <w:lastRenderedPageBreak/>
        <w:t>40</w:t>
      </w:r>
      <w:r>
        <w:tab/>
        <w:t>Segment Analysis (Continued)</w:t>
      </w:r>
    </w:p>
    <w:p w14:paraId="24D0D3F5"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reconciling items are attributable to the following: </w:t>
      </w:r>
    </w:p>
    <w:p w14:paraId="7A6024F5" w14:textId="77777777" w:rsidR="00D83E33" w:rsidRDefault="00BC4072">
      <w:pPr>
        <w:widowControl w:val="0"/>
        <w:numPr>
          <w:ilvl w:val="0"/>
          <w:numId w:val="22"/>
        </w:numPr>
        <w:pBdr>
          <w:top w:val="nil"/>
          <w:left w:val="nil"/>
          <w:bottom w:val="nil"/>
          <w:right w:val="nil"/>
          <w:between w:val="nil"/>
        </w:pBdr>
        <w:spacing w:before="100" w:after="100"/>
        <w:ind w:left="567" w:hanging="567"/>
        <w:jc w:val="both"/>
        <w:rPr>
          <w:color w:val="0000FF"/>
          <w:sz w:val="20"/>
          <w:szCs w:val="20"/>
        </w:rPr>
      </w:pPr>
      <w:r>
        <w:rPr>
          <w:color w:val="0000FF"/>
          <w:sz w:val="20"/>
          <w:szCs w:val="20"/>
        </w:rPr>
        <w:t xml:space="preserve">[description of each adjustment]; </w:t>
      </w:r>
    </w:p>
    <w:p w14:paraId="5576CBBB" w14:textId="77777777" w:rsidR="00D83E33" w:rsidRDefault="00BC4072">
      <w:pPr>
        <w:widowControl w:val="0"/>
        <w:numPr>
          <w:ilvl w:val="0"/>
          <w:numId w:val="22"/>
        </w:numPr>
        <w:pBdr>
          <w:top w:val="nil"/>
          <w:left w:val="nil"/>
          <w:bottom w:val="nil"/>
          <w:right w:val="nil"/>
          <w:between w:val="nil"/>
        </w:pBdr>
        <w:spacing w:before="100" w:after="100"/>
        <w:ind w:left="567" w:hanging="567"/>
        <w:jc w:val="both"/>
        <w:rPr>
          <w:color w:val="0000FF"/>
          <w:sz w:val="20"/>
          <w:szCs w:val="20"/>
        </w:rPr>
      </w:pPr>
      <w:r>
        <w:rPr>
          <w:color w:val="0000FF"/>
          <w:sz w:val="20"/>
          <w:szCs w:val="20"/>
        </w:rPr>
        <w:t>[description of each adjustment];</w:t>
      </w:r>
    </w:p>
    <w:p w14:paraId="4972A12C" w14:textId="77777777" w:rsidR="00D83E33" w:rsidRDefault="00BC4072">
      <w:pPr>
        <w:widowControl w:val="0"/>
        <w:numPr>
          <w:ilvl w:val="0"/>
          <w:numId w:val="22"/>
        </w:numPr>
        <w:pBdr>
          <w:top w:val="nil"/>
          <w:left w:val="nil"/>
          <w:bottom w:val="nil"/>
          <w:right w:val="nil"/>
          <w:between w:val="nil"/>
        </w:pBdr>
        <w:spacing w:before="100" w:after="100"/>
        <w:ind w:left="567" w:hanging="567"/>
        <w:jc w:val="both"/>
        <w:rPr>
          <w:color w:val="0000FF"/>
          <w:sz w:val="20"/>
          <w:szCs w:val="20"/>
        </w:rPr>
      </w:pPr>
      <w:r>
        <w:rPr>
          <w:color w:val="0000FF"/>
          <w:sz w:val="20"/>
          <w:szCs w:val="20"/>
        </w:rPr>
        <w:t>[description of each adjustment];</w:t>
      </w:r>
    </w:p>
    <w:p w14:paraId="4D9DDF76"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(f) </w:t>
      </w:r>
      <w:r>
        <w:rPr>
          <w:b/>
          <w:i/>
          <w:color w:val="000000"/>
          <w:sz w:val="20"/>
          <w:szCs w:val="20"/>
        </w:rPr>
        <w:tab/>
        <w:t>Analysis of revenues by products and services</w:t>
      </w:r>
    </w:p>
    <w:p w14:paraId="3C92A0D6" w14:textId="77777777" w:rsidR="00D83E33" w:rsidRDefault="00BC4072">
      <w:pPr>
        <w:widowControl w:val="0"/>
        <w:pBdr>
          <w:top w:val="nil"/>
          <w:left w:val="nil"/>
          <w:bottom w:val="nil"/>
          <w:right w:val="nil"/>
          <w:between w:val="nil"/>
        </w:pBdr>
        <w:spacing w:before="200" w:after="200"/>
        <w:jc w:val="both"/>
        <w:rPr>
          <w:b/>
          <w:i/>
          <w:color w:val="000000"/>
          <w:sz w:val="20"/>
          <w:szCs w:val="20"/>
        </w:rPr>
      </w:pPr>
      <w:r>
        <w:rPr>
          <w:color w:val="000000"/>
          <w:sz w:val="20"/>
          <w:szCs w:val="20"/>
        </w:rPr>
        <w:t xml:space="preserve">The Group’s revenues are analysed by products and services in Notes 32 (interest income), Note 33 (fee and commission income) and in Note 34 (other operating income). </w:t>
      </w:r>
    </w:p>
    <w:p w14:paraId="60310BF4"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(g) </w:t>
      </w:r>
      <w:r>
        <w:rPr>
          <w:b/>
          <w:i/>
          <w:color w:val="000000"/>
          <w:sz w:val="20"/>
          <w:szCs w:val="20"/>
        </w:rPr>
        <w:tab/>
        <w:t>Geographical information</w:t>
      </w:r>
    </w:p>
    <w:p w14:paraId="54A48427"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Revenues for each individual country for which the revenues are material are reported separately, as follows:</w:t>
      </w:r>
    </w:p>
    <w:tbl>
      <w:tblPr>
        <w:tblStyle w:val="afffffffffffffb"/>
        <w:tblW w:w="5000" w:type="pct"/>
        <w:tblLayout w:type="fixed"/>
        <w:tblLook w:val="0000" w:firstRow="0" w:lastRow="0" w:firstColumn="0" w:lastColumn="0" w:noHBand="0" w:noVBand="0"/>
      </w:tblPr>
      <w:tblGrid>
        <w:gridCol w:w="6295"/>
        <w:gridCol w:w="1530"/>
        <w:gridCol w:w="1530"/>
      </w:tblGrid>
      <w:tr w:rsidR="00D83E33" w:rsidRPr="00EA10CF" w14:paraId="0D8A687B" w14:textId="77777777" w:rsidTr="001B330E">
        <w:trPr>
          <w:trHeight w:val="23"/>
        </w:trPr>
        <w:tc>
          <w:tcPr>
            <w:tcW w:w="3364" w:type="pct"/>
            <w:tcBorders>
              <w:bottom w:val="single" w:sz="4" w:space="0" w:color="000000"/>
            </w:tcBorders>
            <w:vAlign w:val="bottom"/>
          </w:tcPr>
          <w:p w14:paraId="466EB751" w14:textId="7A604C4D"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r w:rsidR="00BC4072" w:rsidRPr="00EA10CF">
              <w:rPr>
                <w:i/>
                <w:color w:val="000000"/>
              </w:rPr>
              <w:t xml:space="preserve"> </w:t>
            </w:r>
          </w:p>
        </w:tc>
        <w:tc>
          <w:tcPr>
            <w:tcW w:w="818" w:type="pct"/>
            <w:tcBorders>
              <w:bottom w:val="single" w:sz="4" w:space="0" w:color="000000"/>
            </w:tcBorders>
            <w:vAlign w:val="bottom"/>
          </w:tcPr>
          <w:p w14:paraId="207B6E87" w14:textId="4008B103"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3A4BEB30" w14:textId="287B88F6"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546372CE" w14:textId="77777777" w:rsidTr="001B330E">
        <w:trPr>
          <w:trHeight w:val="23"/>
        </w:trPr>
        <w:tc>
          <w:tcPr>
            <w:tcW w:w="3364" w:type="pct"/>
            <w:vAlign w:val="bottom"/>
          </w:tcPr>
          <w:p w14:paraId="11D6FA92"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7F577C3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5A46421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EBCF7ED" w14:textId="77777777" w:rsidTr="001B330E">
        <w:trPr>
          <w:trHeight w:val="23"/>
        </w:trPr>
        <w:tc>
          <w:tcPr>
            <w:tcW w:w="3364" w:type="pct"/>
            <w:vAlign w:val="bottom"/>
          </w:tcPr>
          <w:p w14:paraId="063836FC" w14:textId="1A4A0919" w:rsidR="00D83E33" w:rsidRPr="00EA10CF" w:rsidRDefault="00372E26">
            <w:pPr>
              <w:widowControl w:val="0"/>
              <w:pBdr>
                <w:top w:val="nil"/>
                <w:left w:val="nil"/>
                <w:bottom w:val="nil"/>
                <w:right w:val="nil"/>
                <w:between w:val="nil"/>
              </w:pBdr>
              <w:rPr>
                <w:color w:val="000000"/>
              </w:rPr>
            </w:pPr>
            <w:r>
              <w:rPr>
                <w:color w:val="000000"/>
              </w:rPr>
              <w:t>[Country]</w:t>
            </w:r>
          </w:p>
        </w:tc>
        <w:tc>
          <w:tcPr>
            <w:tcW w:w="818" w:type="pct"/>
            <w:vAlign w:val="bottom"/>
          </w:tcPr>
          <w:p w14:paraId="35A21579"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61E981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CE34AB1" w14:textId="77777777" w:rsidTr="001B330E">
        <w:trPr>
          <w:trHeight w:val="23"/>
        </w:trPr>
        <w:tc>
          <w:tcPr>
            <w:tcW w:w="3364" w:type="pct"/>
            <w:vAlign w:val="bottom"/>
          </w:tcPr>
          <w:p w14:paraId="328035EF" w14:textId="444E3BC1" w:rsidR="00D83E33" w:rsidRPr="00EA10CF" w:rsidRDefault="00CB274D">
            <w:pPr>
              <w:widowControl w:val="0"/>
              <w:pBdr>
                <w:top w:val="nil"/>
                <w:left w:val="nil"/>
                <w:bottom w:val="nil"/>
                <w:right w:val="nil"/>
                <w:between w:val="nil"/>
              </w:pBdr>
              <w:rPr>
                <w:color w:val="000000"/>
              </w:rPr>
            </w:pPr>
            <w:r>
              <w:rPr>
                <w:color w:val="000000"/>
              </w:rPr>
              <w:t>Czech Republic</w:t>
            </w:r>
          </w:p>
        </w:tc>
        <w:tc>
          <w:tcPr>
            <w:tcW w:w="818" w:type="pct"/>
            <w:vAlign w:val="bottom"/>
          </w:tcPr>
          <w:p w14:paraId="7BA1EEF5"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E5924B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41E161" w14:textId="77777777" w:rsidTr="001B330E">
        <w:trPr>
          <w:trHeight w:val="23"/>
        </w:trPr>
        <w:tc>
          <w:tcPr>
            <w:tcW w:w="3364" w:type="pct"/>
            <w:vAlign w:val="bottom"/>
          </w:tcPr>
          <w:p w14:paraId="06B52E96" w14:textId="08572FC9" w:rsidR="00D83E33" w:rsidRPr="00EA10CF" w:rsidRDefault="00CB274D">
            <w:pPr>
              <w:widowControl w:val="0"/>
              <w:pBdr>
                <w:top w:val="nil"/>
                <w:left w:val="nil"/>
                <w:bottom w:val="nil"/>
                <w:right w:val="nil"/>
                <w:between w:val="nil"/>
              </w:pBdr>
              <w:rPr>
                <w:color w:val="000000"/>
              </w:rPr>
            </w:pPr>
            <w:r>
              <w:rPr>
                <w:color w:val="000000"/>
              </w:rPr>
              <w:t>Poland</w:t>
            </w:r>
          </w:p>
        </w:tc>
        <w:tc>
          <w:tcPr>
            <w:tcW w:w="818" w:type="pct"/>
            <w:vAlign w:val="bottom"/>
          </w:tcPr>
          <w:p w14:paraId="6FC8F28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B0C19A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53F4960" w14:textId="77777777" w:rsidTr="001B330E">
        <w:trPr>
          <w:trHeight w:val="23"/>
        </w:trPr>
        <w:tc>
          <w:tcPr>
            <w:tcW w:w="3364" w:type="pct"/>
            <w:vAlign w:val="bottom"/>
          </w:tcPr>
          <w:p w14:paraId="050B224A" w14:textId="77777777" w:rsidR="00D83E33" w:rsidRDefault="00BC4072">
            <w:pPr>
              <w:widowControl w:val="0"/>
              <w:pBdr>
                <w:top w:val="nil"/>
                <w:left w:val="nil"/>
                <w:bottom w:val="nil"/>
                <w:right w:val="nil"/>
                <w:between w:val="nil"/>
              </w:pBdr>
              <w:rPr>
                <w:color w:val="000000"/>
              </w:rPr>
            </w:pPr>
            <w:r w:rsidRPr="00EA10CF">
              <w:rPr>
                <w:color w:val="000000"/>
              </w:rPr>
              <w:t xml:space="preserve">Other </w:t>
            </w:r>
            <w:r w:rsidR="00CB274D">
              <w:rPr>
                <w:color w:val="000000"/>
              </w:rPr>
              <w:t xml:space="preserve">EU </w:t>
            </w:r>
            <w:r w:rsidRPr="00EA10CF">
              <w:rPr>
                <w:color w:val="000000"/>
              </w:rPr>
              <w:t>countries</w:t>
            </w:r>
          </w:p>
          <w:p w14:paraId="7C7036C7" w14:textId="384D8CEF" w:rsidR="00CB274D" w:rsidRPr="00EA10CF" w:rsidRDefault="00CB274D">
            <w:pPr>
              <w:widowControl w:val="0"/>
              <w:pBdr>
                <w:top w:val="nil"/>
                <w:left w:val="nil"/>
                <w:bottom w:val="nil"/>
                <w:right w:val="nil"/>
                <w:between w:val="nil"/>
              </w:pBdr>
              <w:rPr>
                <w:color w:val="000000"/>
              </w:rPr>
            </w:pPr>
            <w:r>
              <w:rPr>
                <w:color w:val="000000"/>
              </w:rPr>
              <w:t>Other non-EU countries</w:t>
            </w:r>
          </w:p>
        </w:tc>
        <w:tc>
          <w:tcPr>
            <w:tcW w:w="818" w:type="pct"/>
            <w:vAlign w:val="bottom"/>
          </w:tcPr>
          <w:p w14:paraId="77F269C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9CFD58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D9DC12D" w14:textId="77777777" w:rsidTr="001B330E">
        <w:trPr>
          <w:trHeight w:val="23"/>
        </w:trPr>
        <w:tc>
          <w:tcPr>
            <w:tcW w:w="3364" w:type="pct"/>
            <w:vAlign w:val="bottom"/>
          </w:tcPr>
          <w:p w14:paraId="07EEBD99" w14:textId="36F68188" w:rsidR="00D83E33" w:rsidRPr="00EA10CF" w:rsidRDefault="00D83E33">
            <w:pPr>
              <w:widowControl w:val="0"/>
              <w:pBdr>
                <w:top w:val="nil"/>
                <w:left w:val="nil"/>
                <w:bottom w:val="nil"/>
                <w:right w:val="nil"/>
                <w:between w:val="nil"/>
              </w:pBdr>
              <w:rPr>
                <w:i/>
                <w:color w:val="FF0000"/>
              </w:rPr>
            </w:pPr>
          </w:p>
        </w:tc>
        <w:tc>
          <w:tcPr>
            <w:tcW w:w="818" w:type="pct"/>
            <w:vAlign w:val="bottom"/>
          </w:tcPr>
          <w:p w14:paraId="6CEC424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EB7009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B3F255" w14:textId="77777777" w:rsidTr="001B330E">
        <w:trPr>
          <w:trHeight w:val="23"/>
        </w:trPr>
        <w:tc>
          <w:tcPr>
            <w:tcW w:w="3364" w:type="pct"/>
            <w:tcBorders>
              <w:bottom w:val="single" w:sz="4" w:space="0" w:color="000000"/>
            </w:tcBorders>
            <w:vAlign w:val="bottom"/>
          </w:tcPr>
          <w:p w14:paraId="7808908B"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bottom w:val="single" w:sz="4" w:space="0" w:color="000000"/>
            </w:tcBorders>
            <w:vAlign w:val="bottom"/>
          </w:tcPr>
          <w:p w14:paraId="7B9E2359"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7CBEFB1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BF2F56D" w14:textId="77777777" w:rsidTr="001B330E">
        <w:trPr>
          <w:trHeight w:val="23"/>
        </w:trPr>
        <w:tc>
          <w:tcPr>
            <w:tcW w:w="3364" w:type="pct"/>
            <w:tcBorders>
              <w:top w:val="single" w:sz="4" w:space="0" w:color="000000"/>
            </w:tcBorders>
            <w:vAlign w:val="bottom"/>
          </w:tcPr>
          <w:p w14:paraId="23647149"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top w:val="single" w:sz="4" w:space="0" w:color="000000"/>
            </w:tcBorders>
            <w:vAlign w:val="bottom"/>
          </w:tcPr>
          <w:p w14:paraId="5F5ABF28"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37643FD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4A5E57" w14:textId="77777777" w:rsidTr="001B330E">
        <w:trPr>
          <w:trHeight w:val="23"/>
        </w:trPr>
        <w:tc>
          <w:tcPr>
            <w:tcW w:w="3364" w:type="pct"/>
            <w:vAlign w:val="bottom"/>
          </w:tcPr>
          <w:p w14:paraId="52BE1EE7"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consolidated revenues</w:t>
            </w:r>
          </w:p>
        </w:tc>
        <w:tc>
          <w:tcPr>
            <w:tcW w:w="818" w:type="pct"/>
            <w:vAlign w:val="bottom"/>
          </w:tcPr>
          <w:p w14:paraId="62B4689F"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3E1E7A66"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028A696" w14:textId="77777777" w:rsidTr="001B330E">
        <w:trPr>
          <w:trHeight w:val="23"/>
        </w:trPr>
        <w:tc>
          <w:tcPr>
            <w:tcW w:w="3364" w:type="pct"/>
            <w:tcBorders>
              <w:bottom w:val="single" w:sz="12" w:space="0" w:color="000000"/>
            </w:tcBorders>
            <w:vAlign w:val="bottom"/>
          </w:tcPr>
          <w:p w14:paraId="6A120DCA" w14:textId="77777777" w:rsidR="00D83E33" w:rsidRPr="00EA10CF" w:rsidRDefault="00BC4072">
            <w:pPr>
              <w:widowControl w:val="0"/>
            </w:pPr>
            <w:r w:rsidRPr="00EA10CF">
              <w:t> </w:t>
            </w:r>
          </w:p>
        </w:tc>
        <w:tc>
          <w:tcPr>
            <w:tcW w:w="818" w:type="pct"/>
            <w:tcBorders>
              <w:bottom w:val="single" w:sz="12" w:space="0" w:color="000000"/>
            </w:tcBorders>
            <w:vAlign w:val="bottom"/>
          </w:tcPr>
          <w:p w14:paraId="51A7E496" w14:textId="77777777" w:rsidR="00D83E33" w:rsidRPr="00EA10CF" w:rsidRDefault="00D83E33">
            <w:pPr>
              <w:widowControl w:val="0"/>
              <w:pBdr>
                <w:top w:val="nil"/>
                <w:left w:val="nil"/>
                <w:bottom w:val="nil"/>
                <w:right w:val="nil"/>
                <w:between w:val="nil"/>
              </w:pBdr>
              <w:jc w:val="right"/>
              <w:rPr>
                <w:b/>
                <w:color w:val="000000"/>
                <w:u w:val="single"/>
              </w:rPr>
            </w:pPr>
          </w:p>
        </w:tc>
        <w:tc>
          <w:tcPr>
            <w:tcW w:w="818" w:type="pct"/>
            <w:tcBorders>
              <w:bottom w:val="single" w:sz="12" w:space="0" w:color="000000"/>
            </w:tcBorders>
            <w:vAlign w:val="bottom"/>
          </w:tcPr>
          <w:p w14:paraId="30F91F0B" w14:textId="77777777" w:rsidR="00D83E33" w:rsidRPr="00EA10CF" w:rsidRDefault="00D83E33">
            <w:pPr>
              <w:widowControl w:val="0"/>
              <w:pBdr>
                <w:top w:val="nil"/>
                <w:left w:val="nil"/>
                <w:bottom w:val="nil"/>
                <w:right w:val="nil"/>
                <w:between w:val="nil"/>
              </w:pBdr>
              <w:jc w:val="right"/>
              <w:rPr>
                <w:b/>
                <w:color w:val="000000"/>
              </w:rPr>
            </w:pPr>
          </w:p>
        </w:tc>
      </w:tr>
    </w:tbl>
    <w:p w14:paraId="128BAE2C" w14:textId="13D0EF3D"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analysis is based on domicile of the customer. Revenues comprise interest income, fee and commission income and other operating income.</w:t>
      </w:r>
    </w:p>
    <w:p w14:paraId="13A5941F"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Capital expenditure for each individual country for which it is material is reported separately, as follows:</w:t>
      </w:r>
    </w:p>
    <w:tbl>
      <w:tblPr>
        <w:tblStyle w:val="afffffffffffffc"/>
        <w:tblW w:w="5000" w:type="pct"/>
        <w:tblLayout w:type="fixed"/>
        <w:tblLook w:val="0000" w:firstRow="0" w:lastRow="0" w:firstColumn="0" w:lastColumn="0" w:noHBand="0" w:noVBand="0"/>
      </w:tblPr>
      <w:tblGrid>
        <w:gridCol w:w="6295"/>
        <w:gridCol w:w="1530"/>
        <w:gridCol w:w="1530"/>
      </w:tblGrid>
      <w:tr w:rsidR="00D83E33" w:rsidRPr="00EA10CF" w14:paraId="2DBAF4EA" w14:textId="77777777" w:rsidTr="001B330E">
        <w:trPr>
          <w:trHeight w:val="23"/>
        </w:trPr>
        <w:tc>
          <w:tcPr>
            <w:tcW w:w="3364" w:type="pct"/>
            <w:tcBorders>
              <w:bottom w:val="single" w:sz="4" w:space="0" w:color="000000"/>
            </w:tcBorders>
            <w:vAlign w:val="bottom"/>
          </w:tcPr>
          <w:p w14:paraId="52301D56" w14:textId="5176B9FF"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r w:rsidR="00BC4072" w:rsidRPr="00EA10CF">
              <w:rPr>
                <w:i/>
                <w:color w:val="000000"/>
              </w:rPr>
              <w:t xml:space="preserve"> </w:t>
            </w:r>
          </w:p>
        </w:tc>
        <w:tc>
          <w:tcPr>
            <w:tcW w:w="818" w:type="pct"/>
            <w:tcBorders>
              <w:bottom w:val="single" w:sz="4" w:space="0" w:color="000000"/>
            </w:tcBorders>
            <w:vAlign w:val="bottom"/>
          </w:tcPr>
          <w:p w14:paraId="1AE24F4D" w14:textId="2641FE77"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7708F564" w14:textId="4CCBDE71"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6CC40309" w14:textId="77777777" w:rsidTr="001B330E">
        <w:trPr>
          <w:trHeight w:val="23"/>
        </w:trPr>
        <w:tc>
          <w:tcPr>
            <w:tcW w:w="3364" w:type="pct"/>
            <w:vAlign w:val="bottom"/>
          </w:tcPr>
          <w:p w14:paraId="78528AF3"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vAlign w:val="bottom"/>
          </w:tcPr>
          <w:p w14:paraId="11A9733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CB6681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02EABE9" w14:textId="77777777" w:rsidTr="001B330E">
        <w:trPr>
          <w:trHeight w:val="23"/>
        </w:trPr>
        <w:tc>
          <w:tcPr>
            <w:tcW w:w="3364" w:type="pct"/>
            <w:vAlign w:val="bottom"/>
          </w:tcPr>
          <w:p w14:paraId="36B55174" w14:textId="254BD023" w:rsidR="00D83E33" w:rsidRPr="00EA10CF" w:rsidRDefault="00372E26">
            <w:pPr>
              <w:widowControl w:val="0"/>
              <w:pBdr>
                <w:top w:val="nil"/>
                <w:left w:val="nil"/>
                <w:bottom w:val="nil"/>
                <w:right w:val="nil"/>
                <w:between w:val="nil"/>
              </w:pBdr>
              <w:rPr>
                <w:color w:val="000000"/>
              </w:rPr>
            </w:pPr>
            <w:r>
              <w:rPr>
                <w:color w:val="000000"/>
              </w:rPr>
              <w:t>[Country]</w:t>
            </w:r>
          </w:p>
        </w:tc>
        <w:tc>
          <w:tcPr>
            <w:tcW w:w="818" w:type="pct"/>
            <w:vAlign w:val="bottom"/>
          </w:tcPr>
          <w:p w14:paraId="6502993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FBDD20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9C2D853" w14:textId="77777777" w:rsidTr="001B330E">
        <w:trPr>
          <w:trHeight w:val="23"/>
        </w:trPr>
        <w:tc>
          <w:tcPr>
            <w:tcW w:w="3364" w:type="pct"/>
            <w:vAlign w:val="bottom"/>
          </w:tcPr>
          <w:p w14:paraId="3985D5EC" w14:textId="1D89A96B" w:rsidR="00D83E33" w:rsidRPr="00EA10CF" w:rsidRDefault="00CB274D">
            <w:pPr>
              <w:widowControl w:val="0"/>
              <w:pBdr>
                <w:top w:val="nil"/>
                <w:left w:val="nil"/>
                <w:bottom w:val="nil"/>
                <w:right w:val="nil"/>
                <w:between w:val="nil"/>
              </w:pBdr>
              <w:rPr>
                <w:color w:val="000000"/>
              </w:rPr>
            </w:pPr>
            <w:r>
              <w:rPr>
                <w:color w:val="000000"/>
              </w:rPr>
              <w:t>Czech Republic</w:t>
            </w:r>
          </w:p>
        </w:tc>
        <w:tc>
          <w:tcPr>
            <w:tcW w:w="818" w:type="pct"/>
            <w:vAlign w:val="bottom"/>
          </w:tcPr>
          <w:p w14:paraId="5E6C952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6A1D70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B09D77E" w14:textId="77777777" w:rsidTr="001B330E">
        <w:trPr>
          <w:trHeight w:val="23"/>
        </w:trPr>
        <w:tc>
          <w:tcPr>
            <w:tcW w:w="3364" w:type="pct"/>
            <w:vAlign w:val="bottom"/>
          </w:tcPr>
          <w:p w14:paraId="12F1A526" w14:textId="453535BA" w:rsidR="00D83E33" w:rsidRPr="00EA10CF" w:rsidRDefault="00CB274D">
            <w:pPr>
              <w:widowControl w:val="0"/>
              <w:pBdr>
                <w:top w:val="nil"/>
                <w:left w:val="nil"/>
                <w:bottom w:val="nil"/>
                <w:right w:val="nil"/>
                <w:between w:val="nil"/>
              </w:pBdr>
              <w:rPr>
                <w:color w:val="000000"/>
              </w:rPr>
            </w:pPr>
            <w:r>
              <w:rPr>
                <w:color w:val="000000"/>
              </w:rPr>
              <w:t>Poland</w:t>
            </w:r>
          </w:p>
        </w:tc>
        <w:tc>
          <w:tcPr>
            <w:tcW w:w="818" w:type="pct"/>
            <w:vAlign w:val="bottom"/>
          </w:tcPr>
          <w:p w14:paraId="5B5950BC"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C7B236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9F1D80" w14:textId="77777777" w:rsidTr="001B330E">
        <w:trPr>
          <w:trHeight w:val="23"/>
        </w:trPr>
        <w:tc>
          <w:tcPr>
            <w:tcW w:w="3364" w:type="pct"/>
            <w:vAlign w:val="bottom"/>
          </w:tcPr>
          <w:p w14:paraId="0B423AC1" w14:textId="77777777" w:rsidR="00D83E33" w:rsidRDefault="00BC4072">
            <w:pPr>
              <w:widowControl w:val="0"/>
              <w:pBdr>
                <w:top w:val="nil"/>
                <w:left w:val="nil"/>
                <w:bottom w:val="nil"/>
                <w:right w:val="nil"/>
                <w:between w:val="nil"/>
              </w:pBdr>
              <w:rPr>
                <w:color w:val="000000"/>
              </w:rPr>
            </w:pPr>
            <w:r w:rsidRPr="00EA10CF">
              <w:rPr>
                <w:color w:val="000000"/>
              </w:rPr>
              <w:t xml:space="preserve">Other </w:t>
            </w:r>
            <w:r w:rsidR="00CB274D">
              <w:rPr>
                <w:color w:val="000000"/>
              </w:rPr>
              <w:t xml:space="preserve">EU </w:t>
            </w:r>
            <w:r w:rsidRPr="00EA10CF">
              <w:rPr>
                <w:color w:val="000000"/>
              </w:rPr>
              <w:t>countries</w:t>
            </w:r>
          </w:p>
          <w:p w14:paraId="739CFC00" w14:textId="6953D516" w:rsidR="00CB274D" w:rsidRPr="00EA10CF" w:rsidRDefault="00CB274D">
            <w:pPr>
              <w:widowControl w:val="0"/>
              <w:pBdr>
                <w:top w:val="nil"/>
                <w:left w:val="nil"/>
                <w:bottom w:val="nil"/>
                <w:right w:val="nil"/>
                <w:between w:val="nil"/>
              </w:pBdr>
              <w:rPr>
                <w:color w:val="000000"/>
              </w:rPr>
            </w:pPr>
            <w:r>
              <w:rPr>
                <w:color w:val="000000"/>
              </w:rPr>
              <w:t>Other non-EU countries</w:t>
            </w:r>
          </w:p>
        </w:tc>
        <w:tc>
          <w:tcPr>
            <w:tcW w:w="818" w:type="pct"/>
            <w:vAlign w:val="bottom"/>
          </w:tcPr>
          <w:p w14:paraId="687C7652"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9D41E6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DA60F34" w14:textId="77777777" w:rsidTr="001B330E">
        <w:trPr>
          <w:trHeight w:val="23"/>
        </w:trPr>
        <w:tc>
          <w:tcPr>
            <w:tcW w:w="3364" w:type="pct"/>
            <w:vAlign w:val="bottom"/>
          </w:tcPr>
          <w:p w14:paraId="583B874C" w14:textId="29D4182C" w:rsidR="00D83E33" w:rsidRPr="00EA10CF" w:rsidRDefault="00D83E33">
            <w:pPr>
              <w:widowControl w:val="0"/>
              <w:pBdr>
                <w:top w:val="nil"/>
                <w:left w:val="nil"/>
                <w:bottom w:val="nil"/>
                <w:right w:val="nil"/>
                <w:between w:val="nil"/>
              </w:pBdr>
              <w:rPr>
                <w:color w:val="000000"/>
              </w:rPr>
            </w:pPr>
          </w:p>
        </w:tc>
        <w:tc>
          <w:tcPr>
            <w:tcW w:w="818" w:type="pct"/>
            <w:vAlign w:val="bottom"/>
          </w:tcPr>
          <w:p w14:paraId="7EC2599A"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0F477D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7AE8F7D" w14:textId="77777777" w:rsidTr="001B330E">
        <w:trPr>
          <w:trHeight w:val="23"/>
        </w:trPr>
        <w:tc>
          <w:tcPr>
            <w:tcW w:w="3364" w:type="pct"/>
            <w:tcBorders>
              <w:bottom w:val="single" w:sz="4" w:space="0" w:color="000000"/>
            </w:tcBorders>
            <w:vAlign w:val="bottom"/>
          </w:tcPr>
          <w:p w14:paraId="26A21C27"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bottom w:val="single" w:sz="4" w:space="0" w:color="000000"/>
            </w:tcBorders>
            <w:vAlign w:val="bottom"/>
          </w:tcPr>
          <w:p w14:paraId="341ED671"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1E15717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71286EB" w14:textId="77777777" w:rsidTr="001B330E">
        <w:trPr>
          <w:trHeight w:val="23"/>
        </w:trPr>
        <w:tc>
          <w:tcPr>
            <w:tcW w:w="3364" w:type="pct"/>
            <w:tcBorders>
              <w:top w:val="single" w:sz="4" w:space="0" w:color="000000"/>
            </w:tcBorders>
            <w:vAlign w:val="bottom"/>
          </w:tcPr>
          <w:p w14:paraId="3EC37D29"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818" w:type="pct"/>
            <w:tcBorders>
              <w:top w:val="single" w:sz="4" w:space="0" w:color="000000"/>
            </w:tcBorders>
            <w:vAlign w:val="bottom"/>
          </w:tcPr>
          <w:p w14:paraId="6CA5640F"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1FFC8F4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896F98E" w14:textId="77777777" w:rsidTr="001B330E">
        <w:trPr>
          <w:trHeight w:val="23"/>
        </w:trPr>
        <w:tc>
          <w:tcPr>
            <w:tcW w:w="3364" w:type="pct"/>
            <w:vAlign w:val="bottom"/>
          </w:tcPr>
          <w:p w14:paraId="5CCEA835" w14:textId="255B01D4" w:rsidR="00D83E33" w:rsidRPr="00EA10CF" w:rsidRDefault="00BC4072">
            <w:pPr>
              <w:widowControl w:val="0"/>
              <w:pBdr>
                <w:top w:val="nil"/>
                <w:left w:val="nil"/>
                <w:bottom w:val="nil"/>
                <w:right w:val="nil"/>
                <w:between w:val="nil"/>
              </w:pBdr>
              <w:rPr>
                <w:b/>
                <w:color w:val="000000"/>
              </w:rPr>
            </w:pPr>
            <w:r w:rsidRPr="00EA10CF">
              <w:rPr>
                <w:b/>
                <w:color w:val="000000"/>
              </w:rPr>
              <w:t xml:space="preserve">Total </w:t>
            </w:r>
            <w:r w:rsidR="00CB274D">
              <w:rPr>
                <w:b/>
                <w:color w:val="000000"/>
              </w:rPr>
              <w:t>capital expenditure</w:t>
            </w:r>
          </w:p>
        </w:tc>
        <w:tc>
          <w:tcPr>
            <w:tcW w:w="818" w:type="pct"/>
            <w:vAlign w:val="bottom"/>
          </w:tcPr>
          <w:p w14:paraId="7F17D3FD"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502C8FD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E5CD62F" w14:textId="77777777" w:rsidTr="001B330E">
        <w:trPr>
          <w:trHeight w:val="23"/>
        </w:trPr>
        <w:tc>
          <w:tcPr>
            <w:tcW w:w="3364" w:type="pct"/>
            <w:tcBorders>
              <w:bottom w:val="single" w:sz="12" w:space="0" w:color="000000"/>
            </w:tcBorders>
            <w:vAlign w:val="bottom"/>
          </w:tcPr>
          <w:p w14:paraId="32F09D3F" w14:textId="77777777" w:rsidR="00D83E33" w:rsidRPr="00EA10CF" w:rsidRDefault="00BC4072">
            <w:pPr>
              <w:widowControl w:val="0"/>
            </w:pPr>
            <w:r w:rsidRPr="00EA10CF">
              <w:t> </w:t>
            </w:r>
          </w:p>
        </w:tc>
        <w:tc>
          <w:tcPr>
            <w:tcW w:w="818" w:type="pct"/>
            <w:tcBorders>
              <w:bottom w:val="single" w:sz="12" w:space="0" w:color="000000"/>
            </w:tcBorders>
            <w:vAlign w:val="bottom"/>
          </w:tcPr>
          <w:p w14:paraId="53CD3980" w14:textId="77777777" w:rsidR="00D83E33" w:rsidRPr="00EA10CF" w:rsidRDefault="00D83E33">
            <w:pPr>
              <w:widowControl w:val="0"/>
              <w:pBdr>
                <w:top w:val="nil"/>
                <w:left w:val="nil"/>
                <w:bottom w:val="nil"/>
                <w:right w:val="nil"/>
                <w:between w:val="nil"/>
              </w:pBdr>
              <w:jc w:val="right"/>
              <w:rPr>
                <w:b/>
                <w:color w:val="000000"/>
                <w:u w:val="single"/>
              </w:rPr>
            </w:pPr>
          </w:p>
        </w:tc>
        <w:tc>
          <w:tcPr>
            <w:tcW w:w="818" w:type="pct"/>
            <w:tcBorders>
              <w:bottom w:val="single" w:sz="12" w:space="0" w:color="000000"/>
            </w:tcBorders>
            <w:vAlign w:val="bottom"/>
          </w:tcPr>
          <w:p w14:paraId="0323C583" w14:textId="77777777" w:rsidR="00D83E33" w:rsidRPr="00EA10CF" w:rsidRDefault="00D83E33">
            <w:pPr>
              <w:widowControl w:val="0"/>
              <w:pBdr>
                <w:top w:val="nil"/>
                <w:left w:val="nil"/>
                <w:bottom w:val="nil"/>
                <w:right w:val="nil"/>
                <w:between w:val="nil"/>
              </w:pBdr>
              <w:jc w:val="right"/>
              <w:rPr>
                <w:b/>
                <w:color w:val="000000"/>
              </w:rPr>
            </w:pPr>
          </w:p>
        </w:tc>
      </w:tr>
    </w:tbl>
    <w:p w14:paraId="1A918745"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analysis is based on location of assets. Capital expenditure represents additions to non-current assets other than financial instruments, deferred tax assets, post-employment benefit assets and rights arising under insurance contracts.</w:t>
      </w:r>
    </w:p>
    <w:p w14:paraId="5BFF2367" w14:textId="069ED32F" w:rsidR="00D83E33" w:rsidRDefault="00BC4072" w:rsidP="001B330E">
      <w:pPr>
        <w:pStyle w:val="Continued"/>
      </w:pPr>
      <w:r>
        <w:lastRenderedPageBreak/>
        <w:t>40</w:t>
      </w:r>
      <w:r>
        <w:tab/>
        <w:t>Segment Analysis (Continued)</w:t>
      </w:r>
    </w:p>
    <w:p w14:paraId="65FE0F3E" w14:textId="77777777" w:rsidR="00D83E33" w:rsidRDefault="00BC4072">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(h) </w:t>
      </w:r>
      <w:r>
        <w:rPr>
          <w:b/>
          <w:i/>
          <w:color w:val="000000"/>
          <w:sz w:val="20"/>
          <w:szCs w:val="20"/>
        </w:rPr>
        <w:tab/>
        <w:t>Major customers</w:t>
      </w:r>
    </w:p>
    <w:p w14:paraId="5E9B9BC8"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Revenues from customers which represent 10% or more of the total revenues are as follows:</w:t>
      </w:r>
    </w:p>
    <w:tbl>
      <w:tblPr>
        <w:tblStyle w:val="afffffffffffffd"/>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A10CF" w14:paraId="3559640F" w14:textId="77777777" w:rsidTr="001B330E">
        <w:trPr>
          <w:trHeight w:val="23"/>
        </w:trPr>
        <w:tc>
          <w:tcPr>
            <w:tcW w:w="1971" w:type="pct"/>
            <w:tcBorders>
              <w:bottom w:val="single" w:sz="4" w:space="0" w:color="000000"/>
            </w:tcBorders>
            <w:vAlign w:val="bottom"/>
          </w:tcPr>
          <w:p w14:paraId="12B434D4" w14:textId="2F61F304"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265B7572"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Retail</w:t>
            </w:r>
          </w:p>
          <w:p w14:paraId="1DB55462"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banking</w:t>
            </w:r>
          </w:p>
        </w:tc>
        <w:tc>
          <w:tcPr>
            <w:tcW w:w="606" w:type="pct"/>
            <w:tcBorders>
              <w:bottom w:val="single" w:sz="4" w:space="0" w:color="000000"/>
            </w:tcBorders>
          </w:tcPr>
          <w:p w14:paraId="5072EF65"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Corporate banking</w:t>
            </w:r>
          </w:p>
        </w:tc>
        <w:tc>
          <w:tcPr>
            <w:tcW w:w="606" w:type="pct"/>
            <w:tcBorders>
              <w:bottom w:val="single" w:sz="4" w:space="0" w:color="000000"/>
            </w:tcBorders>
          </w:tcPr>
          <w:p w14:paraId="6456CD95"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Investment banking</w:t>
            </w:r>
          </w:p>
        </w:tc>
        <w:tc>
          <w:tcPr>
            <w:tcW w:w="606" w:type="pct"/>
            <w:tcBorders>
              <w:bottom w:val="single" w:sz="4" w:space="0" w:color="000000"/>
            </w:tcBorders>
          </w:tcPr>
          <w:p w14:paraId="7119A970" w14:textId="77777777" w:rsidR="00D83E33" w:rsidRPr="00EA10CF" w:rsidRDefault="00BC4072" w:rsidP="001B330E">
            <w:pPr>
              <w:widowControl w:val="0"/>
              <w:pBdr>
                <w:top w:val="nil"/>
                <w:left w:val="nil"/>
                <w:bottom w:val="nil"/>
                <w:right w:val="nil"/>
                <w:between w:val="nil"/>
              </w:pBdr>
              <w:jc w:val="right"/>
              <w:rPr>
                <w:b/>
                <w:color w:val="0000FF"/>
              </w:rPr>
            </w:pPr>
            <w:r w:rsidRPr="00EA10CF">
              <w:rPr>
                <w:b/>
                <w:color w:val="0000FF"/>
              </w:rPr>
              <w:t>[Other]</w:t>
            </w:r>
          </w:p>
        </w:tc>
        <w:tc>
          <w:tcPr>
            <w:tcW w:w="606" w:type="pct"/>
            <w:tcBorders>
              <w:bottom w:val="single" w:sz="4" w:space="0" w:color="000000"/>
            </w:tcBorders>
          </w:tcPr>
          <w:p w14:paraId="00862581"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Total</w:t>
            </w:r>
          </w:p>
        </w:tc>
      </w:tr>
      <w:tr w:rsidR="00D83E33" w:rsidRPr="00EA10CF" w14:paraId="187C6DF3" w14:textId="77777777" w:rsidTr="001B330E">
        <w:trPr>
          <w:trHeight w:val="23"/>
        </w:trPr>
        <w:tc>
          <w:tcPr>
            <w:tcW w:w="1971" w:type="pct"/>
            <w:tcBorders>
              <w:top w:val="single" w:sz="4" w:space="0" w:color="000000"/>
            </w:tcBorders>
            <w:vAlign w:val="bottom"/>
          </w:tcPr>
          <w:p w14:paraId="41607502"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tcBorders>
              <w:top w:val="single" w:sz="4" w:space="0" w:color="000000"/>
            </w:tcBorders>
            <w:vAlign w:val="bottom"/>
          </w:tcPr>
          <w:p w14:paraId="2C759FB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377DD4E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15D611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6624131"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26BB14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B830C99" w14:textId="77777777" w:rsidTr="001B330E">
        <w:trPr>
          <w:trHeight w:val="23"/>
        </w:trPr>
        <w:tc>
          <w:tcPr>
            <w:tcW w:w="1971" w:type="pct"/>
            <w:vAlign w:val="bottom"/>
          </w:tcPr>
          <w:p w14:paraId="7892BA7F" w14:textId="44216C44" w:rsidR="00D83E33" w:rsidRPr="00EA10CF" w:rsidRDefault="00541EBC">
            <w:pPr>
              <w:widowControl w:val="0"/>
              <w:pBdr>
                <w:top w:val="nil"/>
                <w:left w:val="nil"/>
                <w:bottom w:val="nil"/>
                <w:right w:val="nil"/>
                <w:between w:val="nil"/>
              </w:pBdr>
              <w:rPr>
                <w:b/>
                <w:color w:val="000000"/>
              </w:rPr>
            </w:pPr>
            <w:r>
              <w:rPr>
                <w:b/>
                <w:color w:val="000000"/>
              </w:rPr>
              <w:t>2024</w:t>
            </w:r>
          </w:p>
        </w:tc>
        <w:tc>
          <w:tcPr>
            <w:tcW w:w="606" w:type="pct"/>
            <w:vAlign w:val="bottom"/>
          </w:tcPr>
          <w:p w14:paraId="3009955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AB235F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1CC3F8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3AD39D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791B2B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4B3CFC1" w14:textId="77777777" w:rsidTr="001B330E">
        <w:trPr>
          <w:trHeight w:val="23"/>
        </w:trPr>
        <w:tc>
          <w:tcPr>
            <w:tcW w:w="1971" w:type="pct"/>
            <w:vAlign w:val="bottom"/>
          </w:tcPr>
          <w:p w14:paraId="7D8720CC"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vAlign w:val="bottom"/>
          </w:tcPr>
          <w:p w14:paraId="44021C6F"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0099E9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C15357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4B1A5D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E343A7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6A5072A" w14:textId="77777777" w:rsidTr="001B330E">
        <w:trPr>
          <w:trHeight w:val="23"/>
        </w:trPr>
        <w:tc>
          <w:tcPr>
            <w:tcW w:w="1971" w:type="pct"/>
            <w:vAlign w:val="bottom"/>
          </w:tcPr>
          <w:p w14:paraId="613607F0" w14:textId="77777777" w:rsidR="00D83E33" w:rsidRPr="00EA10CF" w:rsidRDefault="00BC4072">
            <w:pPr>
              <w:widowControl w:val="0"/>
              <w:pBdr>
                <w:top w:val="nil"/>
                <w:left w:val="nil"/>
                <w:bottom w:val="nil"/>
                <w:right w:val="nil"/>
                <w:between w:val="nil"/>
              </w:pBdr>
              <w:rPr>
                <w:color w:val="000000"/>
              </w:rPr>
            </w:pPr>
            <w:r w:rsidRPr="00EA10CF">
              <w:rPr>
                <w:color w:val="000000"/>
              </w:rPr>
              <w:t>[Customer 1]</w:t>
            </w:r>
          </w:p>
        </w:tc>
        <w:tc>
          <w:tcPr>
            <w:tcW w:w="606" w:type="pct"/>
            <w:vAlign w:val="bottom"/>
          </w:tcPr>
          <w:p w14:paraId="70DB6072" w14:textId="77777777" w:rsidR="00D83E33" w:rsidRPr="00EA10CF" w:rsidRDefault="00D83E33">
            <w:pPr>
              <w:widowControl w:val="0"/>
              <w:pBdr>
                <w:top w:val="nil"/>
                <w:left w:val="nil"/>
                <w:bottom w:val="nil"/>
                <w:right w:val="nil"/>
                <w:between w:val="nil"/>
              </w:pBdr>
              <w:jc w:val="right"/>
              <w:rPr>
                <w:i/>
                <w:color w:val="000000"/>
              </w:rPr>
            </w:pPr>
          </w:p>
        </w:tc>
        <w:tc>
          <w:tcPr>
            <w:tcW w:w="606" w:type="pct"/>
            <w:vAlign w:val="bottom"/>
          </w:tcPr>
          <w:p w14:paraId="2B0FE296" w14:textId="77777777" w:rsidR="00D83E33" w:rsidRPr="00EA10CF" w:rsidRDefault="00D83E33">
            <w:pPr>
              <w:widowControl w:val="0"/>
              <w:pBdr>
                <w:top w:val="nil"/>
                <w:left w:val="nil"/>
                <w:bottom w:val="nil"/>
                <w:right w:val="nil"/>
                <w:between w:val="nil"/>
              </w:pBdr>
              <w:jc w:val="right"/>
              <w:rPr>
                <w:i/>
                <w:color w:val="000000"/>
              </w:rPr>
            </w:pPr>
          </w:p>
        </w:tc>
        <w:tc>
          <w:tcPr>
            <w:tcW w:w="606" w:type="pct"/>
            <w:vAlign w:val="bottom"/>
          </w:tcPr>
          <w:p w14:paraId="1B7460FF" w14:textId="77777777" w:rsidR="00D83E33" w:rsidRPr="00EA10CF" w:rsidRDefault="00D83E33">
            <w:pPr>
              <w:widowControl w:val="0"/>
              <w:pBdr>
                <w:top w:val="nil"/>
                <w:left w:val="nil"/>
                <w:bottom w:val="nil"/>
                <w:right w:val="nil"/>
                <w:between w:val="nil"/>
              </w:pBdr>
              <w:jc w:val="right"/>
              <w:rPr>
                <w:i/>
                <w:color w:val="000000"/>
              </w:rPr>
            </w:pPr>
          </w:p>
        </w:tc>
        <w:tc>
          <w:tcPr>
            <w:tcW w:w="606" w:type="pct"/>
            <w:vAlign w:val="bottom"/>
          </w:tcPr>
          <w:p w14:paraId="5AB9DB92" w14:textId="77777777" w:rsidR="00D83E33" w:rsidRPr="00EA10CF" w:rsidRDefault="00D83E33">
            <w:pPr>
              <w:widowControl w:val="0"/>
              <w:pBdr>
                <w:top w:val="nil"/>
                <w:left w:val="nil"/>
                <w:bottom w:val="nil"/>
                <w:right w:val="nil"/>
                <w:between w:val="nil"/>
              </w:pBdr>
              <w:jc w:val="right"/>
              <w:rPr>
                <w:i/>
                <w:color w:val="000000"/>
              </w:rPr>
            </w:pPr>
          </w:p>
        </w:tc>
        <w:tc>
          <w:tcPr>
            <w:tcW w:w="606" w:type="pct"/>
            <w:vAlign w:val="bottom"/>
          </w:tcPr>
          <w:p w14:paraId="27294E13" w14:textId="77777777" w:rsidR="00D83E33" w:rsidRPr="00EA10CF" w:rsidRDefault="00D83E33">
            <w:pPr>
              <w:widowControl w:val="0"/>
              <w:pBdr>
                <w:top w:val="nil"/>
                <w:left w:val="nil"/>
                <w:bottom w:val="nil"/>
                <w:right w:val="nil"/>
                <w:between w:val="nil"/>
              </w:pBdr>
              <w:jc w:val="right"/>
              <w:rPr>
                <w:i/>
                <w:color w:val="000000"/>
              </w:rPr>
            </w:pPr>
          </w:p>
        </w:tc>
      </w:tr>
      <w:tr w:rsidR="00D83E33" w:rsidRPr="00EA10CF" w14:paraId="5E900467" w14:textId="77777777" w:rsidTr="001B330E">
        <w:trPr>
          <w:trHeight w:val="23"/>
        </w:trPr>
        <w:tc>
          <w:tcPr>
            <w:tcW w:w="1971" w:type="pct"/>
            <w:vAlign w:val="bottom"/>
          </w:tcPr>
          <w:p w14:paraId="3410D56A" w14:textId="77777777" w:rsidR="00D83E33" w:rsidRPr="00EA10CF" w:rsidRDefault="00BC4072">
            <w:pPr>
              <w:widowControl w:val="0"/>
              <w:pBdr>
                <w:top w:val="nil"/>
                <w:left w:val="nil"/>
                <w:bottom w:val="nil"/>
                <w:right w:val="nil"/>
                <w:between w:val="nil"/>
              </w:pBdr>
              <w:rPr>
                <w:color w:val="000000"/>
              </w:rPr>
            </w:pPr>
            <w:r w:rsidRPr="00EA10CF">
              <w:rPr>
                <w:color w:val="000000"/>
              </w:rPr>
              <w:t>[Customer 2]</w:t>
            </w:r>
          </w:p>
        </w:tc>
        <w:tc>
          <w:tcPr>
            <w:tcW w:w="606" w:type="pct"/>
            <w:vAlign w:val="bottom"/>
          </w:tcPr>
          <w:p w14:paraId="04D8006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D9522EC"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D69A2F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89D682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9B136C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0CAFF08" w14:textId="77777777" w:rsidTr="001B330E">
        <w:trPr>
          <w:trHeight w:val="23"/>
        </w:trPr>
        <w:tc>
          <w:tcPr>
            <w:tcW w:w="1971" w:type="pct"/>
            <w:vAlign w:val="bottom"/>
          </w:tcPr>
          <w:p w14:paraId="5605CA85" w14:textId="48B01AB0" w:rsidR="00D83E33" w:rsidRPr="00EA10CF" w:rsidRDefault="00D83E33">
            <w:pPr>
              <w:widowControl w:val="0"/>
              <w:pBdr>
                <w:top w:val="nil"/>
                <w:left w:val="nil"/>
                <w:bottom w:val="nil"/>
                <w:right w:val="nil"/>
                <w:between w:val="nil"/>
              </w:pBdr>
              <w:rPr>
                <w:i/>
                <w:color w:val="FF0000"/>
              </w:rPr>
            </w:pPr>
          </w:p>
        </w:tc>
        <w:tc>
          <w:tcPr>
            <w:tcW w:w="606" w:type="pct"/>
            <w:vAlign w:val="bottom"/>
          </w:tcPr>
          <w:p w14:paraId="373727C2"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9FD165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D4EF1C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89E47E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B38E58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CA0B215" w14:textId="77777777" w:rsidTr="001B330E">
        <w:trPr>
          <w:trHeight w:val="23"/>
        </w:trPr>
        <w:tc>
          <w:tcPr>
            <w:tcW w:w="1971" w:type="pct"/>
            <w:tcBorders>
              <w:bottom w:val="single" w:sz="4" w:space="0" w:color="000000"/>
            </w:tcBorders>
            <w:vAlign w:val="bottom"/>
          </w:tcPr>
          <w:p w14:paraId="46A6A136"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tcBorders>
              <w:bottom w:val="single" w:sz="4" w:space="0" w:color="000000"/>
            </w:tcBorders>
            <w:vAlign w:val="bottom"/>
          </w:tcPr>
          <w:p w14:paraId="01835D2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27994E0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F541AF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89C788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5C9752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7B0329" w14:textId="77777777" w:rsidTr="001B330E">
        <w:trPr>
          <w:trHeight w:val="23"/>
        </w:trPr>
        <w:tc>
          <w:tcPr>
            <w:tcW w:w="1971" w:type="pct"/>
            <w:tcBorders>
              <w:top w:val="single" w:sz="4" w:space="0" w:color="000000"/>
            </w:tcBorders>
            <w:vAlign w:val="bottom"/>
          </w:tcPr>
          <w:p w14:paraId="1BDCCA10"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tcBorders>
              <w:top w:val="single" w:sz="4" w:space="0" w:color="000000"/>
            </w:tcBorders>
            <w:vAlign w:val="bottom"/>
          </w:tcPr>
          <w:p w14:paraId="00409A0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9612288"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2E769326"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15F7F592"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494909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FE13DFD" w14:textId="77777777" w:rsidTr="001B330E">
        <w:trPr>
          <w:trHeight w:val="23"/>
        </w:trPr>
        <w:tc>
          <w:tcPr>
            <w:tcW w:w="1971" w:type="pct"/>
            <w:vAlign w:val="bottom"/>
          </w:tcPr>
          <w:p w14:paraId="343518BB" w14:textId="51435707" w:rsidR="00D83E33" w:rsidRPr="00EA10CF" w:rsidRDefault="00BC4072">
            <w:pPr>
              <w:widowControl w:val="0"/>
              <w:pBdr>
                <w:top w:val="nil"/>
                <w:left w:val="nil"/>
                <w:bottom w:val="nil"/>
                <w:right w:val="nil"/>
                <w:between w:val="nil"/>
              </w:pBdr>
              <w:rPr>
                <w:b/>
                <w:i/>
                <w:color w:val="000000"/>
              </w:rPr>
            </w:pPr>
            <w:r w:rsidRPr="00EA10CF">
              <w:rPr>
                <w:b/>
                <w:color w:val="000000"/>
              </w:rPr>
              <w:t xml:space="preserve">Total revenues for </w:t>
            </w:r>
            <w:r w:rsidR="00541EBC">
              <w:rPr>
                <w:b/>
                <w:color w:val="000000"/>
              </w:rPr>
              <w:t>2024</w:t>
            </w:r>
          </w:p>
        </w:tc>
        <w:tc>
          <w:tcPr>
            <w:tcW w:w="606" w:type="pct"/>
            <w:vAlign w:val="bottom"/>
          </w:tcPr>
          <w:p w14:paraId="740299CB" w14:textId="77777777" w:rsidR="00D83E33" w:rsidRPr="00EA10CF" w:rsidRDefault="00D83E33">
            <w:pPr>
              <w:widowControl w:val="0"/>
              <w:pBdr>
                <w:top w:val="nil"/>
                <w:left w:val="nil"/>
                <w:bottom w:val="nil"/>
                <w:right w:val="nil"/>
                <w:between w:val="nil"/>
              </w:pBdr>
              <w:jc w:val="right"/>
              <w:rPr>
                <w:b/>
                <w:color w:val="000000"/>
              </w:rPr>
            </w:pPr>
          </w:p>
        </w:tc>
        <w:tc>
          <w:tcPr>
            <w:tcW w:w="606" w:type="pct"/>
            <w:vAlign w:val="bottom"/>
          </w:tcPr>
          <w:p w14:paraId="22D2F51D" w14:textId="77777777" w:rsidR="00D83E33" w:rsidRPr="00EA10CF" w:rsidRDefault="00D83E33">
            <w:pPr>
              <w:widowControl w:val="0"/>
              <w:pBdr>
                <w:top w:val="nil"/>
                <w:left w:val="nil"/>
                <w:bottom w:val="nil"/>
                <w:right w:val="nil"/>
                <w:between w:val="nil"/>
              </w:pBdr>
              <w:jc w:val="right"/>
              <w:rPr>
                <w:b/>
                <w:color w:val="000000"/>
              </w:rPr>
            </w:pPr>
          </w:p>
        </w:tc>
        <w:tc>
          <w:tcPr>
            <w:tcW w:w="606" w:type="pct"/>
            <w:vAlign w:val="bottom"/>
          </w:tcPr>
          <w:p w14:paraId="12121076" w14:textId="77777777" w:rsidR="00D83E33" w:rsidRPr="00EA10CF" w:rsidRDefault="00D83E33">
            <w:pPr>
              <w:widowControl w:val="0"/>
              <w:pBdr>
                <w:top w:val="nil"/>
                <w:left w:val="nil"/>
                <w:bottom w:val="nil"/>
                <w:right w:val="nil"/>
                <w:between w:val="nil"/>
              </w:pBdr>
              <w:jc w:val="right"/>
              <w:rPr>
                <w:b/>
                <w:color w:val="000000"/>
              </w:rPr>
            </w:pPr>
          </w:p>
        </w:tc>
        <w:tc>
          <w:tcPr>
            <w:tcW w:w="606" w:type="pct"/>
            <w:vAlign w:val="bottom"/>
          </w:tcPr>
          <w:p w14:paraId="5A0E37D0" w14:textId="77777777" w:rsidR="00D83E33" w:rsidRPr="00EA10CF" w:rsidRDefault="00D83E33">
            <w:pPr>
              <w:widowControl w:val="0"/>
              <w:pBdr>
                <w:top w:val="nil"/>
                <w:left w:val="nil"/>
                <w:bottom w:val="nil"/>
                <w:right w:val="nil"/>
                <w:between w:val="nil"/>
              </w:pBdr>
              <w:jc w:val="right"/>
              <w:rPr>
                <w:b/>
                <w:color w:val="000000"/>
              </w:rPr>
            </w:pPr>
          </w:p>
        </w:tc>
        <w:tc>
          <w:tcPr>
            <w:tcW w:w="606" w:type="pct"/>
            <w:vAlign w:val="bottom"/>
          </w:tcPr>
          <w:p w14:paraId="6E80023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BDC48DC" w14:textId="77777777" w:rsidTr="001B330E">
        <w:trPr>
          <w:trHeight w:val="23"/>
        </w:trPr>
        <w:tc>
          <w:tcPr>
            <w:tcW w:w="1971" w:type="pct"/>
            <w:tcBorders>
              <w:bottom w:val="single" w:sz="12" w:space="0" w:color="000000"/>
            </w:tcBorders>
            <w:vAlign w:val="bottom"/>
          </w:tcPr>
          <w:p w14:paraId="3F13D645"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tcBorders>
              <w:bottom w:val="single" w:sz="12" w:space="0" w:color="000000"/>
            </w:tcBorders>
            <w:vAlign w:val="bottom"/>
          </w:tcPr>
          <w:p w14:paraId="770FFA3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3AFF186D"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6758DE98"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5760549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259B24B7" w14:textId="77777777" w:rsidR="00D83E33" w:rsidRPr="00EA10CF" w:rsidRDefault="00D83E33">
            <w:pPr>
              <w:widowControl w:val="0"/>
              <w:pBdr>
                <w:top w:val="nil"/>
                <w:left w:val="nil"/>
                <w:bottom w:val="nil"/>
                <w:right w:val="nil"/>
                <w:between w:val="nil"/>
              </w:pBdr>
              <w:jc w:val="right"/>
              <w:rPr>
                <w:color w:val="000000"/>
              </w:rPr>
            </w:pPr>
          </w:p>
        </w:tc>
      </w:tr>
    </w:tbl>
    <w:p w14:paraId="5CE40B98" w14:textId="77777777" w:rsidR="00D83E33" w:rsidRDefault="00D83E33">
      <w:pPr>
        <w:widowControl w:val="0"/>
        <w:rPr>
          <w:sz w:val="20"/>
          <w:szCs w:val="20"/>
        </w:rPr>
      </w:pPr>
    </w:p>
    <w:tbl>
      <w:tblPr>
        <w:tblStyle w:val="afffffffffffffe"/>
        <w:tblW w:w="5000" w:type="pct"/>
        <w:tblLayout w:type="fixed"/>
        <w:tblLook w:val="0000" w:firstRow="0" w:lastRow="0" w:firstColumn="0" w:lastColumn="0" w:noHBand="0" w:noVBand="0"/>
      </w:tblPr>
      <w:tblGrid>
        <w:gridCol w:w="3687"/>
        <w:gridCol w:w="1134"/>
        <w:gridCol w:w="1134"/>
        <w:gridCol w:w="1134"/>
        <w:gridCol w:w="1134"/>
        <w:gridCol w:w="1132"/>
      </w:tblGrid>
      <w:tr w:rsidR="00D83E33" w:rsidRPr="00EA10CF" w14:paraId="4C5003F2" w14:textId="77777777" w:rsidTr="001B330E">
        <w:trPr>
          <w:trHeight w:val="23"/>
        </w:trPr>
        <w:tc>
          <w:tcPr>
            <w:tcW w:w="1971" w:type="pct"/>
            <w:tcBorders>
              <w:bottom w:val="single" w:sz="4" w:space="0" w:color="000000"/>
            </w:tcBorders>
            <w:vAlign w:val="bottom"/>
          </w:tcPr>
          <w:p w14:paraId="339DA0BC" w14:textId="242E46F4"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606" w:type="pct"/>
            <w:tcBorders>
              <w:bottom w:val="single" w:sz="4" w:space="0" w:color="000000"/>
            </w:tcBorders>
          </w:tcPr>
          <w:p w14:paraId="412C0FF5"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Retail</w:t>
            </w:r>
          </w:p>
          <w:p w14:paraId="526D04A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banking</w:t>
            </w:r>
          </w:p>
        </w:tc>
        <w:tc>
          <w:tcPr>
            <w:tcW w:w="606" w:type="pct"/>
            <w:tcBorders>
              <w:bottom w:val="single" w:sz="4" w:space="0" w:color="000000"/>
            </w:tcBorders>
          </w:tcPr>
          <w:p w14:paraId="3B58E5B8"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Corporate banking</w:t>
            </w:r>
          </w:p>
        </w:tc>
        <w:tc>
          <w:tcPr>
            <w:tcW w:w="606" w:type="pct"/>
            <w:tcBorders>
              <w:bottom w:val="single" w:sz="4" w:space="0" w:color="000000"/>
            </w:tcBorders>
          </w:tcPr>
          <w:p w14:paraId="5C719643"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Investment banking</w:t>
            </w:r>
          </w:p>
        </w:tc>
        <w:tc>
          <w:tcPr>
            <w:tcW w:w="606" w:type="pct"/>
            <w:tcBorders>
              <w:bottom w:val="single" w:sz="4" w:space="0" w:color="000000"/>
            </w:tcBorders>
          </w:tcPr>
          <w:p w14:paraId="0C9E810E" w14:textId="77777777" w:rsidR="00D83E33" w:rsidRPr="00EA10CF" w:rsidRDefault="00BC4072" w:rsidP="001B330E">
            <w:pPr>
              <w:widowControl w:val="0"/>
              <w:pBdr>
                <w:top w:val="nil"/>
                <w:left w:val="nil"/>
                <w:bottom w:val="nil"/>
                <w:right w:val="nil"/>
                <w:between w:val="nil"/>
              </w:pBdr>
              <w:jc w:val="right"/>
              <w:rPr>
                <w:b/>
                <w:color w:val="0000FF"/>
              </w:rPr>
            </w:pPr>
            <w:r w:rsidRPr="00EA10CF">
              <w:rPr>
                <w:b/>
                <w:color w:val="0000FF"/>
              </w:rPr>
              <w:t>[Other]</w:t>
            </w:r>
          </w:p>
        </w:tc>
        <w:tc>
          <w:tcPr>
            <w:tcW w:w="606" w:type="pct"/>
            <w:tcBorders>
              <w:bottom w:val="single" w:sz="4" w:space="0" w:color="000000"/>
            </w:tcBorders>
          </w:tcPr>
          <w:p w14:paraId="37C99B1A"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Total</w:t>
            </w:r>
          </w:p>
        </w:tc>
      </w:tr>
      <w:tr w:rsidR="00D83E33" w:rsidRPr="00EA10CF" w14:paraId="368F496A" w14:textId="77777777" w:rsidTr="001B330E">
        <w:trPr>
          <w:trHeight w:val="23"/>
        </w:trPr>
        <w:tc>
          <w:tcPr>
            <w:tcW w:w="1971" w:type="pct"/>
            <w:tcBorders>
              <w:top w:val="single" w:sz="4" w:space="0" w:color="000000"/>
            </w:tcBorders>
            <w:vAlign w:val="bottom"/>
          </w:tcPr>
          <w:p w14:paraId="34B42A0A"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tcBorders>
              <w:top w:val="single" w:sz="4" w:space="0" w:color="000000"/>
            </w:tcBorders>
            <w:vAlign w:val="bottom"/>
          </w:tcPr>
          <w:p w14:paraId="7EBD9446"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9EE4F0B"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565B3E86"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057A793E"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689FBD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5A69A92" w14:textId="77777777" w:rsidTr="001B330E">
        <w:trPr>
          <w:trHeight w:val="23"/>
        </w:trPr>
        <w:tc>
          <w:tcPr>
            <w:tcW w:w="1971" w:type="pct"/>
            <w:vAlign w:val="bottom"/>
          </w:tcPr>
          <w:p w14:paraId="320026F9" w14:textId="1F6E77B8" w:rsidR="00D83E33" w:rsidRPr="00EA10CF" w:rsidRDefault="00541EBC">
            <w:pPr>
              <w:widowControl w:val="0"/>
              <w:pBdr>
                <w:top w:val="nil"/>
                <w:left w:val="nil"/>
                <w:bottom w:val="nil"/>
                <w:right w:val="nil"/>
                <w:between w:val="nil"/>
              </w:pBdr>
              <w:rPr>
                <w:b/>
                <w:color w:val="000000"/>
              </w:rPr>
            </w:pPr>
            <w:r>
              <w:rPr>
                <w:b/>
                <w:color w:val="000000"/>
              </w:rPr>
              <w:t>2023</w:t>
            </w:r>
          </w:p>
        </w:tc>
        <w:tc>
          <w:tcPr>
            <w:tcW w:w="606" w:type="pct"/>
            <w:vAlign w:val="bottom"/>
          </w:tcPr>
          <w:p w14:paraId="4AE3F28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5DBF73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2A8C2F8"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F4C5579"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E77D15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4EBC90C" w14:textId="77777777" w:rsidTr="001B330E">
        <w:trPr>
          <w:trHeight w:val="23"/>
        </w:trPr>
        <w:tc>
          <w:tcPr>
            <w:tcW w:w="1971" w:type="pct"/>
            <w:vAlign w:val="bottom"/>
          </w:tcPr>
          <w:p w14:paraId="4384B412"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vAlign w:val="bottom"/>
          </w:tcPr>
          <w:p w14:paraId="54FCF8F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07E91C0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4E5777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4224BCD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66C545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F6FB7AF" w14:textId="77777777" w:rsidTr="001B330E">
        <w:trPr>
          <w:trHeight w:val="23"/>
        </w:trPr>
        <w:tc>
          <w:tcPr>
            <w:tcW w:w="1971" w:type="pct"/>
            <w:vAlign w:val="bottom"/>
          </w:tcPr>
          <w:p w14:paraId="748CA37A" w14:textId="77777777" w:rsidR="00D83E33" w:rsidRPr="00EA10CF" w:rsidRDefault="00BC4072">
            <w:pPr>
              <w:widowControl w:val="0"/>
              <w:pBdr>
                <w:top w:val="nil"/>
                <w:left w:val="nil"/>
                <w:bottom w:val="nil"/>
                <w:right w:val="nil"/>
                <w:between w:val="nil"/>
              </w:pBdr>
              <w:rPr>
                <w:color w:val="000000"/>
              </w:rPr>
            </w:pPr>
            <w:r w:rsidRPr="00EA10CF">
              <w:rPr>
                <w:color w:val="000000"/>
              </w:rPr>
              <w:t>[Customer 1]</w:t>
            </w:r>
          </w:p>
        </w:tc>
        <w:tc>
          <w:tcPr>
            <w:tcW w:w="606" w:type="pct"/>
            <w:vAlign w:val="bottom"/>
          </w:tcPr>
          <w:p w14:paraId="52688285" w14:textId="77777777" w:rsidR="00D83E33" w:rsidRPr="00EA10CF" w:rsidRDefault="00D83E33">
            <w:pPr>
              <w:widowControl w:val="0"/>
              <w:pBdr>
                <w:top w:val="nil"/>
                <w:left w:val="nil"/>
                <w:bottom w:val="nil"/>
                <w:right w:val="nil"/>
                <w:between w:val="nil"/>
              </w:pBdr>
              <w:jc w:val="right"/>
              <w:rPr>
                <w:i/>
                <w:color w:val="000000"/>
              </w:rPr>
            </w:pPr>
          </w:p>
        </w:tc>
        <w:tc>
          <w:tcPr>
            <w:tcW w:w="606" w:type="pct"/>
            <w:vAlign w:val="bottom"/>
          </w:tcPr>
          <w:p w14:paraId="0E640442" w14:textId="77777777" w:rsidR="00D83E33" w:rsidRPr="00EA10CF" w:rsidRDefault="00D83E33">
            <w:pPr>
              <w:widowControl w:val="0"/>
              <w:pBdr>
                <w:top w:val="nil"/>
                <w:left w:val="nil"/>
                <w:bottom w:val="nil"/>
                <w:right w:val="nil"/>
                <w:between w:val="nil"/>
              </w:pBdr>
              <w:jc w:val="right"/>
              <w:rPr>
                <w:i/>
                <w:color w:val="000000"/>
              </w:rPr>
            </w:pPr>
          </w:p>
        </w:tc>
        <w:tc>
          <w:tcPr>
            <w:tcW w:w="606" w:type="pct"/>
            <w:vAlign w:val="bottom"/>
          </w:tcPr>
          <w:p w14:paraId="2E040695" w14:textId="77777777" w:rsidR="00D83E33" w:rsidRPr="00EA10CF" w:rsidRDefault="00D83E33">
            <w:pPr>
              <w:widowControl w:val="0"/>
              <w:pBdr>
                <w:top w:val="nil"/>
                <w:left w:val="nil"/>
                <w:bottom w:val="nil"/>
                <w:right w:val="nil"/>
                <w:between w:val="nil"/>
              </w:pBdr>
              <w:jc w:val="right"/>
              <w:rPr>
                <w:i/>
                <w:color w:val="000000"/>
              </w:rPr>
            </w:pPr>
          </w:p>
        </w:tc>
        <w:tc>
          <w:tcPr>
            <w:tcW w:w="606" w:type="pct"/>
            <w:vAlign w:val="bottom"/>
          </w:tcPr>
          <w:p w14:paraId="6B7D5B37" w14:textId="77777777" w:rsidR="00D83E33" w:rsidRPr="00EA10CF" w:rsidRDefault="00D83E33">
            <w:pPr>
              <w:widowControl w:val="0"/>
              <w:pBdr>
                <w:top w:val="nil"/>
                <w:left w:val="nil"/>
                <w:bottom w:val="nil"/>
                <w:right w:val="nil"/>
                <w:between w:val="nil"/>
              </w:pBdr>
              <w:jc w:val="right"/>
              <w:rPr>
                <w:i/>
                <w:color w:val="000000"/>
              </w:rPr>
            </w:pPr>
          </w:p>
        </w:tc>
        <w:tc>
          <w:tcPr>
            <w:tcW w:w="606" w:type="pct"/>
            <w:vAlign w:val="bottom"/>
          </w:tcPr>
          <w:p w14:paraId="43214C0F" w14:textId="77777777" w:rsidR="00D83E33" w:rsidRPr="00EA10CF" w:rsidRDefault="00D83E33">
            <w:pPr>
              <w:widowControl w:val="0"/>
              <w:pBdr>
                <w:top w:val="nil"/>
                <w:left w:val="nil"/>
                <w:bottom w:val="nil"/>
                <w:right w:val="nil"/>
                <w:between w:val="nil"/>
              </w:pBdr>
              <w:jc w:val="right"/>
              <w:rPr>
                <w:i/>
                <w:color w:val="000000"/>
              </w:rPr>
            </w:pPr>
          </w:p>
        </w:tc>
      </w:tr>
      <w:tr w:rsidR="00D83E33" w:rsidRPr="00EA10CF" w14:paraId="68CE05D3" w14:textId="77777777" w:rsidTr="001B330E">
        <w:trPr>
          <w:trHeight w:val="23"/>
        </w:trPr>
        <w:tc>
          <w:tcPr>
            <w:tcW w:w="1971" w:type="pct"/>
            <w:vAlign w:val="bottom"/>
          </w:tcPr>
          <w:p w14:paraId="2BE6A56B" w14:textId="77777777" w:rsidR="00D83E33" w:rsidRPr="00EA10CF" w:rsidRDefault="00BC4072">
            <w:pPr>
              <w:widowControl w:val="0"/>
              <w:pBdr>
                <w:top w:val="nil"/>
                <w:left w:val="nil"/>
                <w:bottom w:val="nil"/>
                <w:right w:val="nil"/>
                <w:between w:val="nil"/>
              </w:pBdr>
              <w:rPr>
                <w:color w:val="000000"/>
              </w:rPr>
            </w:pPr>
            <w:r w:rsidRPr="00EA10CF">
              <w:rPr>
                <w:color w:val="000000"/>
              </w:rPr>
              <w:t>[Customer 2]</w:t>
            </w:r>
          </w:p>
        </w:tc>
        <w:tc>
          <w:tcPr>
            <w:tcW w:w="606" w:type="pct"/>
            <w:vAlign w:val="bottom"/>
          </w:tcPr>
          <w:p w14:paraId="4A64C2A0"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168B5C47"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B5FD5B3"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26961FED"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6853902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C9468A6" w14:textId="77777777" w:rsidTr="001B330E">
        <w:trPr>
          <w:trHeight w:val="23"/>
        </w:trPr>
        <w:tc>
          <w:tcPr>
            <w:tcW w:w="1971" w:type="pct"/>
            <w:vAlign w:val="bottom"/>
          </w:tcPr>
          <w:p w14:paraId="42C271CE" w14:textId="26FCAF73" w:rsidR="00D83E33" w:rsidRPr="00EA10CF" w:rsidRDefault="00D83E33">
            <w:pPr>
              <w:widowControl w:val="0"/>
              <w:pBdr>
                <w:top w:val="nil"/>
                <w:left w:val="nil"/>
                <w:bottom w:val="nil"/>
                <w:right w:val="nil"/>
                <w:between w:val="nil"/>
              </w:pBdr>
              <w:rPr>
                <w:i/>
                <w:color w:val="FF0000"/>
              </w:rPr>
            </w:pPr>
          </w:p>
        </w:tc>
        <w:tc>
          <w:tcPr>
            <w:tcW w:w="606" w:type="pct"/>
            <w:vAlign w:val="bottom"/>
          </w:tcPr>
          <w:p w14:paraId="3894B2DE"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3B9ECFFB"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569DA826"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9489D15" w14:textId="77777777" w:rsidR="00D83E33" w:rsidRPr="00EA10CF" w:rsidRDefault="00D83E33">
            <w:pPr>
              <w:widowControl w:val="0"/>
              <w:pBdr>
                <w:top w:val="nil"/>
                <w:left w:val="nil"/>
                <w:bottom w:val="nil"/>
                <w:right w:val="nil"/>
                <w:between w:val="nil"/>
              </w:pBdr>
              <w:jc w:val="right"/>
              <w:rPr>
                <w:color w:val="000000"/>
              </w:rPr>
            </w:pPr>
          </w:p>
        </w:tc>
        <w:tc>
          <w:tcPr>
            <w:tcW w:w="606" w:type="pct"/>
            <w:vAlign w:val="bottom"/>
          </w:tcPr>
          <w:p w14:paraId="71BF225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D947708" w14:textId="77777777" w:rsidTr="001B330E">
        <w:trPr>
          <w:trHeight w:val="23"/>
        </w:trPr>
        <w:tc>
          <w:tcPr>
            <w:tcW w:w="1971" w:type="pct"/>
            <w:tcBorders>
              <w:bottom w:val="single" w:sz="4" w:space="0" w:color="000000"/>
            </w:tcBorders>
            <w:vAlign w:val="bottom"/>
          </w:tcPr>
          <w:p w14:paraId="747F7F72"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tcBorders>
              <w:bottom w:val="single" w:sz="4" w:space="0" w:color="000000"/>
            </w:tcBorders>
            <w:vAlign w:val="bottom"/>
          </w:tcPr>
          <w:p w14:paraId="5A491BC5"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1BB2903"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42126C4"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46D8FC6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0D57D50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7DF675A" w14:textId="77777777" w:rsidTr="001B330E">
        <w:trPr>
          <w:trHeight w:val="23"/>
        </w:trPr>
        <w:tc>
          <w:tcPr>
            <w:tcW w:w="1971" w:type="pct"/>
            <w:tcBorders>
              <w:top w:val="single" w:sz="4" w:space="0" w:color="000000"/>
            </w:tcBorders>
            <w:vAlign w:val="bottom"/>
          </w:tcPr>
          <w:p w14:paraId="43A77A06"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tcBorders>
              <w:top w:val="single" w:sz="4" w:space="0" w:color="000000"/>
            </w:tcBorders>
            <w:vAlign w:val="bottom"/>
          </w:tcPr>
          <w:p w14:paraId="0B01056F"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13A3137"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707EE62A"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4F50DBA2"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top w:val="single" w:sz="4" w:space="0" w:color="000000"/>
            </w:tcBorders>
            <w:vAlign w:val="bottom"/>
          </w:tcPr>
          <w:p w14:paraId="6C06B1C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6583D8A" w14:textId="77777777" w:rsidTr="001B330E">
        <w:trPr>
          <w:trHeight w:val="23"/>
        </w:trPr>
        <w:tc>
          <w:tcPr>
            <w:tcW w:w="1971" w:type="pct"/>
            <w:vAlign w:val="bottom"/>
          </w:tcPr>
          <w:p w14:paraId="308CC0F0" w14:textId="6BF38EF4" w:rsidR="00D83E33" w:rsidRPr="00EA10CF" w:rsidRDefault="00BC4072">
            <w:pPr>
              <w:widowControl w:val="0"/>
              <w:pBdr>
                <w:top w:val="nil"/>
                <w:left w:val="nil"/>
                <w:bottom w:val="nil"/>
                <w:right w:val="nil"/>
                <w:between w:val="nil"/>
              </w:pBdr>
              <w:rPr>
                <w:b/>
                <w:i/>
                <w:color w:val="000000"/>
              </w:rPr>
            </w:pPr>
            <w:r w:rsidRPr="00EA10CF">
              <w:rPr>
                <w:b/>
                <w:color w:val="000000"/>
              </w:rPr>
              <w:t xml:space="preserve">Total revenues for </w:t>
            </w:r>
            <w:r w:rsidR="00541EBC">
              <w:rPr>
                <w:b/>
                <w:color w:val="000000"/>
              </w:rPr>
              <w:t>2023</w:t>
            </w:r>
          </w:p>
        </w:tc>
        <w:tc>
          <w:tcPr>
            <w:tcW w:w="606" w:type="pct"/>
            <w:vAlign w:val="bottom"/>
          </w:tcPr>
          <w:p w14:paraId="22D2777A" w14:textId="77777777" w:rsidR="00D83E33" w:rsidRPr="00EA10CF" w:rsidRDefault="00D83E33">
            <w:pPr>
              <w:widowControl w:val="0"/>
              <w:pBdr>
                <w:top w:val="nil"/>
                <w:left w:val="nil"/>
                <w:bottom w:val="nil"/>
                <w:right w:val="nil"/>
                <w:between w:val="nil"/>
              </w:pBdr>
              <w:jc w:val="right"/>
              <w:rPr>
                <w:b/>
                <w:color w:val="000000"/>
              </w:rPr>
            </w:pPr>
          </w:p>
        </w:tc>
        <w:tc>
          <w:tcPr>
            <w:tcW w:w="606" w:type="pct"/>
            <w:vAlign w:val="bottom"/>
          </w:tcPr>
          <w:p w14:paraId="7F3E5750" w14:textId="77777777" w:rsidR="00D83E33" w:rsidRPr="00EA10CF" w:rsidRDefault="00D83E33">
            <w:pPr>
              <w:widowControl w:val="0"/>
              <w:pBdr>
                <w:top w:val="nil"/>
                <w:left w:val="nil"/>
                <w:bottom w:val="nil"/>
                <w:right w:val="nil"/>
                <w:between w:val="nil"/>
              </w:pBdr>
              <w:jc w:val="right"/>
              <w:rPr>
                <w:b/>
                <w:color w:val="000000"/>
              </w:rPr>
            </w:pPr>
          </w:p>
        </w:tc>
        <w:tc>
          <w:tcPr>
            <w:tcW w:w="606" w:type="pct"/>
            <w:vAlign w:val="bottom"/>
          </w:tcPr>
          <w:p w14:paraId="15A889A8" w14:textId="77777777" w:rsidR="00D83E33" w:rsidRPr="00EA10CF" w:rsidRDefault="00D83E33">
            <w:pPr>
              <w:widowControl w:val="0"/>
              <w:pBdr>
                <w:top w:val="nil"/>
                <w:left w:val="nil"/>
                <w:bottom w:val="nil"/>
                <w:right w:val="nil"/>
                <w:between w:val="nil"/>
              </w:pBdr>
              <w:jc w:val="right"/>
              <w:rPr>
                <w:b/>
                <w:color w:val="000000"/>
              </w:rPr>
            </w:pPr>
          </w:p>
        </w:tc>
        <w:tc>
          <w:tcPr>
            <w:tcW w:w="606" w:type="pct"/>
            <w:vAlign w:val="bottom"/>
          </w:tcPr>
          <w:p w14:paraId="7DB5B397" w14:textId="77777777" w:rsidR="00D83E33" w:rsidRPr="00EA10CF" w:rsidRDefault="00D83E33">
            <w:pPr>
              <w:widowControl w:val="0"/>
              <w:pBdr>
                <w:top w:val="nil"/>
                <w:left w:val="nil"/>
                <w:bottom w:val="nil"/>
                <w:right w:val="nil"/>
                <w:between w:val="nil"/>
              </w:pBdr>
              <w:jc w:val="right"/>
              <w:rPr>
                <w:b/>
                <w:color w:val="000000"/>
              </w:rPr>
            </w:pPr>
          </w:p>
        </w:tc>
        <w:tc>
          <w:tcPr>
            <w:tcW w:w="606" w:type="pct"/>
            <w:vAlign w:val="bottom"/>
          </w:tcPr>
          <w:p w14:paraId="3EB7A596"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5B4D874" w14:textId="77777777" w:rsidTr="001B330E">
        <w:trPr>
          <w:trHeight w:val="23"/>
        </w:trPr>
        <w:tc>
          <w:tcPr>
            <w:tcW w:w="1971" w:type="pct"/>
            <w:tcBorders>
              <w:bottom w:val="single" w:sz="12" w:space="0" w:color="000000"/>
            </w:tcBorders>
            <w:vAlign w:val="bottom"/>
          </w:tcPr>
          <w:p w14:paraId="223DAD01"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6" w:type="pct"/>
            <w:tcBorders>
              <w:bottom w:val="single" w:sz="12" w:space="0" w:color="000000"/>
            </w:tcBorders>
            <w:vAlign w:val="bottom"/>
          </w:tcPr>
          <w:p w14:paraId="3322B8F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561F692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0E129DB8"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7B39626C" w14:textId="77777777" w:rsidR="00D83E33" w:rsidRPr="00EA10CF" w:rsidRDefault="00D83E33">
            <w:pPr>
              <w:widowControl w:val="0"/>
              <w:pBdr>
                <w:top w:val="nil"/>
                <w:left w:val="nil"/>
                <w:bottom w:val="nil"/>
                <w:right w:val="nil"/>
                <w:between w:val="nil"/>
              </w:pBdr>
              <w:jc w:val="right"/>
              <w:rPr>
                <w:color w:val="000000"/>
              </w:rPr>
            </w:pPr>
          </w:p>
        </w:tc>
        <w:tc>
          <w:tcPr>
            <w:tcW w:w="606" w:type="pct"/>
            <w:tcBorders>
              <w:bottom w:val="single" w:sz="12" w:space="0" w:color="000000"/>
            </w:tcBorders>
            <w:vAlign w:val="bottom"/>
          </w:tcPr>
          <w:p w14:paraId="6381CD7B" w14:textId="77777777" w:rsidR="00D83E33" w:rsidRPr="00EA10CF" w:rsidRDefault="00D83E33">
            <w:pPr>
              <w:widowControl w:val="0"/>
              <w:pBdr>
                <w:top w:val="nil"/>
                <w:left w:val="nil"/>
                <w:bottom w:val="nil"/>
                <w:right w:val="nil"/>
                <w:between w:val="nil"/>
              </w:pBdr>
              <w:jc w:val="right"/>
              <w:rPr>
                <w:color w:val="000000"/>
              </w:rPr>
            </w:pPr>
          </w:p>
        </w:tc>
      </w:tr>
    </w:tbl>
    <w:p w14:paraId="05E09BC8" w14:textId="0A3CFE69"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Management considered the extent of economic integration between entities controlled by</w:t>
      </w:r>
      <w:r w:rsidR="00CB274D">
        <w:rPr>
          <w:color w:val="000000"/>
          <w:sz w:val="20"/>
          <w:szCs w:val="20"/>
        </w:rPr>
        <w:t xml:space="preserve"> the same</w:t>
      </w:r>
      <w:r>
        <w:rPr>
          <w:color w:val="000000"/>
          <w:sz w:val="20"/>
          <w:szCs w:val="20"/>
        </w:rPr>
        <w:t xml:space="preserve"> </w:t>
      </w:r>
      <w:r w:rsidR="00CB274D">
        <w:rPr>
          <w:color w:val="000000"/>
          <w:sz w:val="20"/>
          <w:szCs w:val="20"/>
        </w:rPr>
        <w:t>local</w:t>
      </w:r>
      <w:r>
        <w:rPr>
          <w:color w:val="000000"/>
          <w:sz w:val="20"/>
          <w:szCs w:val="20"/>
        </w:rPr>
        <w:t xml:space="preserve"> government, and concluded that entities under the control of the government are not in general a single customer for the purposes of the above disclosure. Revenues comprise interest income, fee and commission income and other operating income.</w:t>
      </w:r>
    </w:p>
    <w:p w14:paraId="14C4FFA1" w14:textId="77777777" w:rsidR="00D83E33" w:rsidRDefault="00BC4072">
      <w:pPr>
        <w:widowControl w:val="0"/>
        <w:pBdr>
          <w:top w:val="nil"/>
          <w:left w:val="nil"/>
          <w:bottom w:val="nil"/>
          <w:right w:val="nil"/>
          <w:between w:val="nil"/>
        </w:pBdr>
        <w:spacing w:before="200" w:after="200"/>
        <w:jc w:val="both"/>
        <w:rPr>
          <w:color w:val="0000FF"/>
          <w:sz w:val="20"/>
          <w:szCs w:val="20"/>
          <w:lang w:val="sr-Cyrl-RS"/>
        </w:rPr>
      </w:pPr>
      <w:r>
        <w:rPr>
          <w:color w:val="0000FF"/>
          <w:sz w:val="20"/>
          <w:szCs w:val="20"/>
        </w:rPr>
        <w:t>[The Group does not have customers with the revenues exceeding 10% of the total revenue of the Group.]</w:t>
      </w:r>
    </w:p>
    <w:p w14:paraId="78C534DC"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02A6769F"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2162B747"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15DEF1DD"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61E63E8C"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3C506451"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0A093CD2"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2B6EDF6C"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52DC33EC"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4F6F63F0"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3DEB3466" w14:textId="77777777" w:rsidR="00071B94" w:rsidRDefault="00071B94">
      <w:pPr>
        <w:widowControl w:val="0"/>
        <w:pBdr>
          <w:top w:val="nil"/>
          <w:left w:val="nil"/>
          <w:bottom w:val="nil"/>
          <w:right w:val="nil"/>
          <w:between w:val="nil"/>
        </w:pBdr>
        <w:spacing w:before="200" w:after="200"/>
        <w:jc w:val="both"/>
        <w:rPr>
          <w:color w:val="0000FF"/>
          <w:sz w:val="20"/>
          <w:szCs w:val="20"/>
          <w:lang w:val="sr-Cyrl-RS"/>
        </w:rPr>
      </w:pPr>
    </w:p>
    <w:p w14:paraId="37A58435" w14:textId="77777777" w:rsidR="00071B94" w:rsidRPr="00071B94" w:rsidRDefault="00071B94">
      <w:pPr>
        <w:widowControl w:val="0"/>
        <w:pBdr>
          <w:top w:val="nil"/>
          <w:left w:val="nil"/>
          <w:bottom w:val="nil"/>
          <w:right w:val="nil"/>
          <w:between w:val="nil"/>
        </w:pBdr>
        <w:spacing w:before="200" w:after="200"/>
        <w:jc w:val="both"/>
        <w:rPr>
          <w:color w:val="0000FF"/>
          <w:sz w:val="20"/>
          <w:szCs w:val="20"/>
          <w:lang w:val="sr-Cyrl-RS"/>
        </w:rPr>
      </w:pPr>
    </w:p>
    <w:p w14:paraId="648F9143" w14:textId="77777777" w:rsidR="00D83E33" w:rsidRDefault="00BC4072" w:rsidP="001B330E">
      <w:pPr>
        <w:pStyle w:val="Heading1"/>
      </w:pPr>
      <w:bookmarkStart w:id="114" w:name="_Toc179196043"/>
      <w:r w:rsidRPr="009A397A">
        <w:lastRenderedPageBreak/>
        <w:t>Financial</w:t>
      </w:r>
      <w:r>
        <w:t xml:space="preserve"> Risk Management</w:t>
      </w:r>
      <w:bookmarkEnd w:id="114"/>
    </w:p>
    <w:p w14:paraId="7B4C225D" w14:textId="77777777" w:rsidR="00054457" w:rsidRDefault="00054457" w:rsidP="00054457">
      <w:pPr>
        <w:widowControl w:val="0"/>
        <w:pBdr>
          <w:top w:val="nil"/>
          <w:left w:val="nil"/>
          <w:bottom w:val="nil"/>
          <w:right w:val="nil"/>
          <w:between w:val="nil"/>
        </w:pBdr>
        <w:spacing w:before="200" w:after="200"/>
        <w:jc w:val="both"/>
        <w:rPr>
          <w:color w:val="000000"/>
          <w:sz w:val="20"/>
          <w:szCs w:val="20"/>
        </w:rPr>
      </w:pPr>
      <w:r>
        <w:rPr>
          <w:color w:val="000000"/>
          <w:sz w:val="20"/>
          <w:szCs w:val="20"/>
        </w:rPr>
        <w:t>The risk management function within the Group is carried out with respect to financial risks, operational risks and legal risks. Financial risk comprises market risk (including currency risk, interest rate risk and other price risks), credit risk and liquidity risk. The primary function of financial risk management is to establish risk limits and to ensure that any exposure to risk stays within these limits. The operational and legal risk management functions are intended to ensure the proper functioning of internal policies and procedures in order to minimise operational and legal risks.</w:t>
      </w:r>
    </w:p>
    <w:p w14:paraId="32CF3456" w14:textId="77777777" w:rsidR="00054457" w:rsidRDefault="00054457" w:rsidP="00054457">
      <w:pPr>
        <w:spacing w:before="200" w:after="200"/>
        <w:jc w:val="both"/>
        <w:rPr>
          <w:sz w:val="20"/>
          <w:szCs w:val="20"/>
        </w:rPr>
      </w:pPr>
      <w:r>
        <w:rPr>
          <w:b/>
          <w:i/>
          <w:sz w:val="20"/>
          <w:szCs w:val="20"/>
        </w:rPr>
        <w:t xml:space="preserve">Credit risk. </w:t>
      </w:r>
      <w:r>
        <w:rPr>
          <w:sz w:val="20"/>
          <w:szCs w:val="20"/>
        </w:rPr>
        <w:t xml:space="preserve">The Group exposes itself to credit risk, which is the risk that one party to a financial instrument will cause a financial loss for the other party by failing to meet an obligation. </w:t>
      </w:r>
    </w:p>
    <w:p w14:paraId="5217861B" w14:textId="77777777" w:rsidR="00054457" w:rsidRDefault="00054457" w:rsidP="00054457">
      <w:pPr>
        <w:spacing w:before="200" w:after="200"/>
        <w:jc w:val="both"/>
        <w:rPr>
          <w:sz w:val="20"/>
          <w:szCs w:val="20"/>
        </w:rPr>
      </w:pPr>
      <w:r>
        <w:rPr>
          <w:sz w:val="20"/>
          <w:szCs w:val="20"/>
        </w:rPr>
        <w:t xml:space="preserve">Exposure to credit risk arises as a result of the Group’s lending and other transactions with counterparties, giving rise to financial assets and off-balance sheet credit-related commitments. </w:t>
      </w:r>
    </w:p>
    <w:p w14:paraId="57B590E1"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Group’s maximum exposure to credit risk is reflected in the carrying amounts of financial assets in the consolidated statement of financial position. For financial guarantees issued, commitments to extend credit, undrawn credit lines and export/import letters of credit, the maximum exposure to credit risk is the amount of the commitment. </w:t>
      </w:r>
    </w:p>
    <w:p w14:paraId="6B83E82B" w14:textId="77777777" w:rsidR="00D83E33" w:rsidRDefault="00BC4072">
      <w:pPr>
        <w:widowControl w:val="0"/>
        <w:pBdr>
          <w:top w:val="nil"/>
          <w:left w:val="nil"/>
          <w:bottom w:val="nil"/>
          <w:right w:val="nil"/>
          <w:between w:val="nil"/>
        </w:pBdr>
        <w:spacing w:before="200" w:after="200"/>
        <w:jc w:val="both"/>
        <w:rPr>
          <w:color w:val="000000"/>
          <w:sz w:val="20"/>
          <w:szCs w:val="20"/>
        </w:rPr>
      </w:pPr>
      <w:r>
        <w:rPr>
          <w:i/>
          <w:color w:val="000000"/>
          <w:sz w:val="20"/>
          <w:szCs w:val="20"/>
        </w:rPr>
        <w:t>Credit risk management.</w:t>
      </w:r>
      <w:r>
        <w:rPr>
          <w:color w:val="000000"/>
          <w:sz w:val="20"/>
          <w:szCs w:val="20"/>
        </w:rPr>
        <w:t xml:space="preserve"> Credit risk is the single largest risk for the Group's business; management therefore carefully manages its exposure to credit risk. </w:t>
      </w:r>
    </w:p>
    <w:p w14:paraId="3E6EB10F"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estimation of credit risk for risk management purposes is complex and involves the use of models, as the risk varies depending on market conditions, expected cash flows and the passage of time. The assessment of credit risk for a portfolio of assets entails further estimations of the likelihood of defaults occurring, the associated loss ratios and default correlations between counterparties.</w:t>
      </w:r>
    </w:p>
    <w:p w14:paraId="378B549B" w14:textId="77777777" w:rsidR="00D83E33" w:rsidRDefault="00BC4072">
      <w:pPr>
        <w:spacing w:before="200" w:after="200"/>
        <w:jc w:val="both"/>
        <w:rPr>
          <w:sz w:val="20"/>
          <w:szCs w:val="20"/>
        </w:rPr>
      </w:pPr>
      <w:r>
        <w:rPr>
          <w:i/>
          <w:sz w:val="20"/>
          <w:szCs w:val="20"/>
        </w:rPr>
        <w:t>Limits.</w:t>
      </w:r>
      <w:r>
        <w:rPr>
          <w:sz w:val="20"/>
          <w:szCs w:val="20"/>
        </w:rPr>
        <w:t xml:space="preserve"> The Group structures the levels of credit risk it undertakes by placing limits on the amount of risk accepted in relation to one borrower, or groups of borrowers, and to geographical and industry segments. Limits on the level of credit risk by product and industry sector are approved regularly by management. Such risks are monitored on a revolving basis and are subject to an annual, or more frequent, review. </w:t>
      </w:r>
    </w:p>
    <w:p w14:paraId="77399513" w14:textId="551D93B0"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[The Group established credit committees that are responsible for approving credit limits for individual borrowers: </w:t>
      </w:r>
    </w:p>
    <w:p w14:paraId="7718E0C7" w14:textId="6AB7B3CE" w:rsidR="00D83E33" w:rsidRPr="001B330E" w:rsidRDefault="00BC4072" w:rsidP="001B330E">
      <w:pPr>
        <w:pStyle w:val="bluetabs"/>
      </w:pPr>
      <w:r w:rsidRPr="001B330E">
        <w:t xml:space="preserve">The senior credit committee reviews and approves limits above </w:t>
      </w:r>
      <w:r w:rsidR="00CB274D">
        <w:t>EUR</w:t>
      </w:r>
      <w:r w:rsidRPr="001B330E">
        <w:t xml:space="preserve"> ___ thousand and meets monthly. It is also responsible for issuing guidance to lower-level credit committees;</w:t>
      </w:r>
    </w:p>
    <w:p w14:paraId="10741B45" w14:textId="2479E31E" w:rsidR="00D83E33" w:rsidRPr="001B330E" w:rsidRDefault="00BC4072" w:rsidP="001B330E">
      <w:pPr>
        <w:pStyle w:val="bluetabs"/>
      </w:pPr>
      <w:r w:rsidRPr="001B330E">
        <w:t xml:space="preserve">The junior credit committees review and approve credit limits below </w:t>
      </w:r>
      <w:r w:rsidR="00CB274D">
        <w:t>EU</w:t>
      </w:r>
      <w:r w:rsidR="004C5CE9">
        <w:t>R</w:t>
      </w:r>
      <w:r w:rsidRPr="001B330E">
        <w:t xml:space="preserve"> ___ thousand and meet weekly.]</w:t>
      </w:r>
    </w:p>
    <w:p w14:paraId="5146EBF9"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Loan applications originating with the relevant client relationship managers are passed on to the relevant credit committee for the approval of the credit limit. Exposure to credit risk is also managed, in part, by obtaining collateral as well as corporate and personal guarantees. In order to monitor exposure to credit risk, regular reports are produced by the </w:t>
      </w:r>
      <w:r>
        <w:rPr>
          <w:color w:val="0000FF"/>
          <w:sz w:val="20"/>
          <w:szCs w:val="20"/>
        </w:rPr>
        <w:t>[credit department’s]</w:t>
      </w:r>
      <w:r>
        <w:rPr>
          <w:color w:val="000000"/>
          <w:sz w:val="20"/>
          <w:szCs w:val="20"/>
        </w:rPr>
        <w:t xml:space="preserve"> officers based on a structured analysis focusing on the customer’s business and financial performance. Any significant interaction with customers with deteriorating creditworthiness are reported to and reviewed by </w:t>
      </w:r>
      <w:r>
        <w:rPr>
          <w:color w:val="0000FF"/>
          <w:sz w:val="20"/>
          <w:szCs w:val="20"/>
        </w:rPr>
        <w:t>[the Board of Directors].</w:t>
      </w:r>
      <w:r>
        <w:rPr>
          <w:color w:val="000000"/>
          <w:sz w:val="20"/>
          <w:szCs w:val="20"/>
        </w:rPr>
        <w:t xml:space="preserve"> </w:t>
      </w:r>
    </w:p>
    <w:p w14:paraId="0D7F77A0" w14:textId="353F1F56" w:rsidR="00D83E33" w:rsidRDefault="00BC4072" w:rsidP="001B330E">
      <w:pPr>
        <w:pStyle w:val="Continued"/>
      </w:pPr>
      <w:r>
        <w:lastRenderedPageBreak/>
        <w:t>41</w:t>
      </w:r>
      <w:r>
        <w:tab/>
        <w:t>Financial Risk Management (Continued)</w:t>
      </w:r>
    </w:p>
    <w:p w14:paraId="32470424" w14:textId="77777777" w:rsidR="00054457" w:rsidRDefault="00054457" w:rsidP="00054457">
      <w:pPr>
        <w:widowControl w:val="0"/>
        <w:spacing w:before="200" w:after="200"/>
        <w:jc w:val="both"/>
        <w:rPr>
          <w:sz w:val="20"/>
          <w:szCs w:val="20"/>
        </w:rPr>
      </w:pPr>
      <w:r>
        <w:rPr>
          <w:i/>
          <w:sz w:val="20"/>
          <w:szCs w:val="20"/>
        </w:rPr>
        <w:t>Credit risk grading system</w:t>
      </w:r>
      <w:r>
        <w:rPr>
          <w:sz w:val="20"/>
          <w:szCs w:val="20"/>
        </w:rPr>
        <w:t xml:space="preserve">. For measuring credit risk and grading financial instruments by the amount of credit risk, the Group applies two approaches – an Internal Risk-Based (IRB) rating system or risk grades estimated by external international rating agencies (Standard &amp; Poor’s – “S&amp;P”, Fitch, Moody’s). Internal and external credit ratings are mapped on an internally defined master scale with a specified range of probabilities of default as disclosed in the table below: </w:t>
      </w:r>
    </w:p>
    <w:tbl>
      <w:tblPr>
        <w:tblStyle w:val="affffffffffffff"/>
        <w:tblW w:w="5000" w:type="pct"/>
        <w:tblLayout w:type="fixed"/>
        <w:tblLook w:val="0000" w:firstRow="0" w:lastRow="0" w:firstColumn="0" w:lastColumn="0" w:noHBand="0" w:noVBand="0"/>
      </w:tblPr>
      <w:tblGrid>
        <w:gridCol w:w="2552"/>
        <w:gridCol w:w="1985"/>
        <w:gridCol w:w="3231"/>
        <w:gridCol w:w="1587"/>
      </w:tblGrid>
      <w:tr w:rsidR="00054457" w:rsidRPr="00EA10CF" w14:paraId="2CD31206" w14:textId="77777777" w:rsidTr="001C28A7">
        <w:trPr>
          <w:trHeight w:val="23"/>
        </w:trPr>
        <w:tc>
          <w:tcPr>
            <w:tcW w:w="1364" w:type="pct"/>
            <w:tcBorders>
              <w:bottom w:val="single" w:sz="4" w:space="0" w:color="000000"/>
            </w:tcBorders>
          </w:tcPr>
          <w:p w14:paraId="6976AF8B" w14:textId="77777777" w:rsidR="00054457" w:rsidRPr="00EA10CF" w:rsidRDefault="00054457" w:rsidP="001C28A7">
            <w:pPr>
              <w:widowControl w:val="0"/>
              <w:pBdr>
                <w:top w:val="nil"/>
                <w:left w:val="nil"/>
                <w:bottom w:val="nil"/>
                <w:right w:val="nil"/>
                <w:between w:val="nil"/>
              </w:pBdr>
              <w:ind w:left="113" w:hanging="113"/>
              <w:rPr>
                <w:b/>
                <w:color w:val="000000"/>
              </w:rPr>
            </w:pPr>
            <w:r w:rsidRPr="00EA10CF">
              <w:rPr>
                <w:b/>
                <w:color w:val="000000"/>
              </w:rPr>
              <w:t>Master scale credit risk grade</w:t>
            </w:r>
          </w:p>
        </w:tc>
        <w:tc>
          <w:tcPr>
            <w:tcW w:w="1061" w:type="pct"/>
            <w:tcBorders>
              <w:bottom w:val="single" w:sz="4" w:space="0" w:color="000000"/>
            </w:tcBorders>
          </w:tcPr>
          <w:p w14:paraId="093958DE" w14:textId="77777777" w:rsidR="00054457" w:rsidRPr="00EA10CF" w:rsidRDefault="00054457" w:rsidP="001C28A7">
            <w:pPr>
              <w:widowControl w:val="0"/>
              <w:pBdr>
                <w:top w:val="nil"/>
                <w:left w:val="nil"/>
                <w:bottom w:val="nil"/>
                <w:right w:val="nil"/>
                <w:between w:val="nil"/>
              </w:pBdr>
              <w:rPr>
                <w:b/>
                <w:color w:val="000000"/>
              </w:rPr>
            </w:pPr>
            <w:r w:rsidRPr="00EA10CF">
              <w:rPr>
                <w:b/>
                <w:color w:val="000000"/>
              </w:rPr>
              <w:t>Corresponding internal ratings</w:t>
            </w:r>
          </w:p>
        </w:tc>
        <w:tc>
          <w:tcPr>
            <w:tcW w:w="1727" w:type="pct"/>
            <w:tcBorders>
              <w:bottom w:val="single" w:sz="4" w:space="0" w:color="000000"/>
            </w:tcBorders>
          </w:tcPr>
          <w:p w14:paraId="7812E94D" w14:textId="77777777" w:rsidR="00054457" w:rsidRPr="00EA10CF" w:rsidRDefault="00054457" w:rsidP="001C28A7">
            <w:pPr>
              <w:widowControl w:val="0"/>
              <w:pBdr>
                <w:top w:val="nil"/>
                <w:left w:val="nil"/>
                <w:bottom w:val="nil"/>
                <w:right w:val="nil"/>
                <w:between w:val="nil"/>
              </w:pBdr>
              <w:rPr>
                <w:b/>
                <w:color w:val="000000"/>
              </w:rPr>
            </w:pPr>
            <w:r w:rsidRPr="00EA10CF">
              <w:rPr>
                <w:b/>
                <w:color w:val="000000"/>
              </w:rPr>
              <w:t>Corresponding ratings of external international rating agencies (S&amp;P)</w:t>
            </w:r>
          </w:p>
        </w:tc>
        <w:tc>
          <w:tcPr>
            <w:tcW w:w="848" w:type="pct"/>
            <w:tcBorders>
              <w:bottom w:val="single" w:sz="4" w:space="0" w:color="000000"/>
            </w:tcBorders>
          </w:tcPr>
          <w:p w14:paraId="088D3912" w14:textId="77777777" w:rsidR="00054457" w:rsidRPr="00EA10CF" w:rsidRDefault="00054457" w:rsidP="001C28A7">
            <w:pPr>
              <w:widowControl w:val="0"/>
              <w:pBdr>
                <w:top w:val="nil"/>
                <w:left w:val="nil"/>
                <w:bottom w:val="nil"/>
                <w:right w:val="nil"/>
                <w:between w:val="nil"/>
              </w:pBdr>
              <w:jc w:val="right"/>
              <w:rPr>
                <w:b/>
                <w:color w:val="000000"/>
              </w:rPr>
            </w:pPr>
            <w:r w:rsidRPr="00EA10CF">
              <w:rPr>
                <w:b/>
                <w:color w:val="000000"/>
              </w:rPr>
              <w:t>Corresponding PD interval</w:t>
            </w:r>
          </w:p>
        </w:tc>
      </w:tr>
      <w:tr w:rsidR="00054457" w:rsidRPr="00EA10CF" w14:paraId="556B8AEF" w14:textId="77777777" w:rsidTr="001C28A7">
        <w:trPr>
          <w:trHeight w:val="23"/>
        </w:trPr>
        <w:tc>
          <w:tcPr>
            <w:tcW w:w="1364" w:type="pct"/>
            <w:tcBorders>
              <w:top w:val="single" w:sz="4" w:space="0" w:color="000000"/>
            </w:tcBorders>
            <w:vAlign w:val="bottom"/>
          </w:tcPr>
          <w:p w14:paraId="386749A5" w14:textId="77777777" w:rsidR="00054457" w:rsidRPr="00EA10CF" w:rsidRDefault="00054457" w:rsidP="001C28A7">
            <w:pPr>
              <w:widowControl w:val="0"/>
              <w:pBdr>
                <w:top w:val="nil"/>
                <w:left w:val="nil"/>
                <w:bottom w:val="nil"/>
                <w:right w:val="nil"/>
                <w:between w:val="nil"/>
              </w:pBdr>
              <w:ind w:left="113" w:hanging="113"/>
              <w:rPr>
                <w:color w:val="000000"/>
              </w:rPr>
            </w:pPr>
            <w:r w:rsidRPr="00EA10CF">
              <w:rPr>
                <w:color w:val="000000"/>
              </w:rPr>
              <w:t> </w:t>
            </w:r>
          </w:p>
        </w:tc>
        <w:tc>
          <w:tcPr>
            <w:tcW w:w="1061" w:type="pct"/>
            <w:tcBorders>
              <w:top w:val="single" w:sz="4" w:space="0" w:color="000000"/>
            </w:tcBorders>
            <w:vAlign w:val="bottom"/>
          </w:tcPr>
          <w:p w14:paraId="6D811422" w14:textId="77777777" w:rsidR="00054457" w:rsidRPr="00EA10CF" w:rsidRDefault="00054457" w:rsidP="001C28A7">
            <w:pPr>
              <w:widowControl w:val="0"/>
              <w:pBdr>
                <w:top w:val="nil"/>
                <w:left w:val="nil"/>
                <w:bottom w:val="nil"/>
                <w:right w:val="nil"/>
                <w:between w:val="nil"/>
              </w:pBdr>
              <w:jc w:val="right"/>
              <w:rPr>
                <w:color w:val="000000"/>
              </w:rPr>
            </w:pPr>
          </w:p>
        </w:tc>
        <w:tc>
          <w:tcPr>
            <w:tcW w:w="1727" w:type="pct"/>
            <w:tcBorders>
              <w:top w:val="single" w:sz="4" w:space="0" w:color="000000"/>
            </w:tcBorders>
            <w:vAlign w:val="bottom"/>
          </w:tcPr>
          <w:p w14:paraId="0BEE4A5A" w14:textId="77777777" w:rsidR="00054457" w:rsidRPr="00EA10CF" w:rsidRDefault="00054457" w:rsidP="001C28A7">
            <w:pPr>
              <w:widowControl w:val="0"/>
              <w:pBdr>
                <w:top w:val="nil"/>
                <w:left w:val="nil"/>
                <w:bottom w:val="nil"/>
                <w:right w:val="nil"/>
                <w:between w:val="nil"/>
              </w:pBdr>
              <w:rPr>
                <w:color w:val="000000"/>
              </w:rPr>
            </w:pPr>
          </w:p>
        </w:tc>
        <w:tc>
          <w:tcPr>
            <w:tcW w:w="848" w:type="pct"/>
            <w:tcBorders>
              <w:top w:val="single" w:sz="4" w:space="0" w:color="000000"/>
            </w:tcBorders>
            <w:vAlign w:val="bottom"/>
          </w:tcPr>
          <w:p w14:paraId="4FA704AF" w14:textId="77777777" w:rsidR="00054457" w:rsidRPr="00EA10CF" w:rsidRDefault="00054457" w:rsidP="001C28A7">
            <w:pPr>
              <w:widowControl w:val="0"/>
              <w:pBdr>
                <w:top w:val="nil"/>
                <w:left w:val="nil"/>
                <w:bottom w:val="nil"/>
                <w:right w:val="nil"/>
                <w:between w:val="nil"/>
              </w:pBdr>
              <w:jc w:val="right"/>
              <w:rPr>
                <w:color w:val="000000"/>
              </w:rPr>
            </w:pPr>
          </w:p>
        </w:tc>
      </w:tr>
      <w:tr w:rsidR="00054457" w:rsidRPr="00EA10CF" w14:paraId="282C72BE" w14:textId="77777777" w:rsidTr="001C28A7">
        <w:trPr>
          <w:trHeight w:val="23"/>
        </w:trPr>
        <w:tc>
          <w:tcPr>
            <w:tcW w:w="1364" w:type="pct"/>
            <w:vAlign w:val="bottom"/>
          </w:tcPr>
          <w:p w14:paraId="19BDD91B" w14:textId="77777777" w:rsidR="00054457" w:rsidRPr="00EA10CF" w:rsidRDefault="00054457" w:rsidP="001C28A7">
            <w:pPr>
              <w:widowControl w:val="0"/>
              <w:pBdr>
                <w:top w:val="nil"/>
                <w:left w:val="nil"/>
                <w:bottom w:val="nil"/>
                <w:right w:val="nil"/>
                <w:between w:val="nil"/>
              </w:pBdr>
              <w:ind w:left="113" w:hanging="113"/>
              <w:rPr>
                <w:color w:val="000000"/>
              </w:rPr>
            </w:pPr>
            <w:r w:rsidRPr="00EA10CF">
              <w:rPr>
                <w:color w:val="000000"/>
              </w:rPr>
              <w:t>Excellent</w:t>
            </w:r>
          </w:p>
        </w:tc>
        <w:tc>
          <w:tcPr>
            <w:tcW w:w="1061" w:type="pct"/>
            <w:vAlign w:val="bottom"/>
          </w:tcPr>
          <w:p w14:paraId="233E91F7" w14:textId="77777777" w:rsidR="00054457" w:rsidRPr="00EA10CF" w:rsidRDefault="00054457" w:rsidP="001C28A7">
            <w:pPr>
              <w:widowControl w:val="0"/>
              <w:pBdr>
                <w:top w:val="nil"/>
                <w:left w:val="nil"/>
                <w:bottom w:val="nil"/>
                <w:right w:val="nil"/>
                <w:between w:val="nil"/>
              </w:pBdr>
              <w:rPr>
                <w:color w:val="0000FF"/>
              </w:rPr>
            </w:pPr>
            <w:r w:rsidRPr="00EA10CF">
              <w:rPr>
                <w:color w:val="0000FF"/>
              </w:rPr>
              <w:t>[1 – 6]</w:t>
            </w:r>
          </w:p>
        </w:tc>
        <w:tc>
          <w:tcPr>
            <w:tcW w:w="1727" w:type="pct"/>
            <w:vAlign w:val="bottom"/>
          </w:tcPr>
          <w:p w14:paraId="32726A34" w14:textId="77777777" w:rsidR="00054457" w:rsidRPr="00EA10CF" w:rsidRDefault="00054457" w:rsidP="001C28A7">
            <w:pPr>
              <w:widowControl w:val="0"/>
              <w:pBdr>
                <w:top w:val="nil"/>
                <w:left w:val="nil"/>
                <w:bottom w:val="nil"/>
                <w:right w:val="nil"/>
                <w:between w:val="nil"/>
              </w:pBdr>
              <w:rPr>
                <w:b/>
                <w:color w:val="000000"/>
              </w:rPr>
            </w:pPr>
            <w:r w:rsidRPr="00EA10CF">
              <w:rPr>
                <w:color w:val="000000"/>
              </w:rPr>
              <w:t>AAA to BB+</w:t>
            </w:r>
          </w:p>
        </w:tc>
        <w:tc>
          <w:tcPr>
            <w:tcW w:w="848" w:type="pct"/>
            <w:vAlign w:val="bottom"/>
          </w:tcPr>
          <w:p w14:paraId="6A610C94" w14:textId="77777777" w:rsidR="00054457" w:rsidRPr="00EA10CF" w:rsidRDefault="00054457" w:rsidP="001C28A7">
            <w:pPr>
              <w:widowControl w:val="0"/>
              <w:pBdr>
                <w:top w:val="nil"/>
                <w:left w:val="nil"/>
                <w:bottom w:val="nil"/>
                <w:right w:val="nil"/>
                <w:between w:val="nil"/>
              </w:pBdr>
              <w:jc w:val="right"/>
              <w:rPr>
                <w:color w:val="000000"/>
              </w:rPr>
            </w:pPr>
            <w:r w:rsidRPr="00EA10CF">
              <w:rPr>
                <w:color w:val="000000"/>
              </w:rPr>
              <w:t>0,01%</w:t>
            </w:r>
            <w:r>
              <w:rPr>
                <w:color w:val="000000"/>
              </w:rPr>
              <w:t xml:space="preserve"> – </w:t>
            </w:r>
            <w:r w:rsidRPr="00EA10CF">
              <w:rPr>
                <w:color w:val="000000"/>
              </w:rPr>
              <w:t>0,5%</w:t>
            </w:r>
          </w:p>
        </w:tc>
      </w:tr>
      <w:tr w:rsidR="00054457" w:rsidRPr="00EA10CF" w14:paraId="56A4D611" w14:textId="77777777" w:rsidTr="001C28A7">
        <w:trPr>
          <w:trHeight w:val="23"/>
        </w:trPr>
        <w:tc>
          <w:tcPr>
            <w:tcW w:w="1364" w:type="pct"/>
            <w:vAlign w:val="bottom"/>
          </w:tcPr>
          <w:p w14:paraId="4C3AA8DB" w14:textId="77777777" w:rsidR="00054457" w:rsidRPr="00EA10CF" w:rsidRDefault="00054457" w:rsidP="001C28A7">
            <w:pPr>
              <w:widowControl w:val="0"/>
              <w:pBdr>
                <w:top w:val="nil"/>
                <w:left w:val="nil"/>
                <w:bottom w:val="nil"/>
                <w:right w:val="nil"/>
                <w:between w:val="nil"/>
              </w:pBdr>
              <w:ind w:left="113" w:hanging="113"/>
              <w:rPr>
                <w:color w:val="000000"/>
              </w:rPr>
            </w:pPr>
          </w:p>
        </w:tc>
        <w:tc>
          <w:tcPr>
            <w:tcW w:w="1061" w:type="pct"/>
            <w:vAlign w:val="bottom"/>
          </w:tcPr>
          <w:p w14:paraId="016CBE7E" w14:textId="77777777" w:rsidR="00054457" w:rsidRPr="00EA10CF" w:rsidRDefault="00054457" w:rsidP="001C28A7">
            <w:pPr>
              <w:widowControl w:val="0"/>
              <w:pBdr>
                <w:top w:val="nil"/>
                <w:left w:val="nil"/>
                <w:bottom w:val="nil"/>
                <w:right w:val="nil"/>
                <w:between w:val="nil"/>
              </w:pBdr>
              <w:rPr>
                <w:color w:val="000000"/>
              </w:rPr>
            </w:pPr>
          </w:p>
        </w:tc>
        <w:tc>
          <w:tcPr>
            <w:tcW w:w="1727" w:type="pct"/>
            <w:vAlign w:val="bottom"/>
          </w:tcPr>
          <w:p w14:paraId="43D48E96" w14:textId="77777777" w:rsidR="00054457" w:rsidRPr="00EA10CF" w:rsidRDefault="00054457" w:rsidP="001C28A7">
            <w:pPr>
              <w:widowControl w:val="0"/>
              <w:pBdr>
                <w:top w:val="nil"/>
                <w:left w:val="nil"/>
                <w:bottom w:val="nil"/>
                <w:right w:val="nil"/>
                <w:between w:val="nil"/>
              </w:pBdr>
              <w:rPr>
                <w:color w:val="000000"/>
              </w:rPr>
            </w:pPr>
          </w:p>
        </w:tc>
        <w:tc>
          <w:tcPr>
            <w:tcW w:w="848" w:type="pct"/>
            <w:vAlign w:val="bottom"/>
          </w:tcPr>
          <w:p w14:paraId="4C6EEDC7" w14:textId="77777777" w:rsidR="00054457" w:rsidRPr="00EA10CF" w:rsidRDefault="00054457" w:rsidP="001C28A7">
            <w:pPr>
              <w:widowControl w:val="0"/>
              <w:pBdr>
                <w:top w:val="nil"/>
                <w:left w:val="nil"/>
                <w:bottom w:val="nil"/>
                <w:right w:val="nil"/>
                <w:between w:val="nil"/>
              </w:pBdr>
              <w:jc w:val="right"/>
              <w:rPr>
                <w:b/>
                <w:color w:val="000000"/>
              </w:rPr>
            </w:pPr>
          </w:p>
        </w:tc>
      </w:tr>
      <w:tr w:rsidR="00054457" w:rsidRPr="00EA10CF" w14:paraId="1E0E7E57" w14:textId="77777777" w:rsidTr="001C28A7">
        <w:trPr>
          <w:trHeight w:val="23"/>
        </w:trPr>
        <w:tc>
          <w:tcPr>
            <w:tcW w:w="1364" w:type="pct"/>
            <w:vAlign w:val="bottom"/>
          </w:tcPr>
          <w:p w14:paraId="0CB51DCD" w14:textId="77777777" w:rsidR="00054457" w:rsidRPr="00EA10CF" w:rsidRDefault="00054457" w:rsidP="001C28A7">
            <w:pPr>
              <w:widowControl w:val="0"/>
              <w:pBdr>
                <w:top w:val="nil"/>
                <w:left w:val="nil"/>
                <w:bottom w:val="nil"/>
                <w:right w:val="nil"/>
                <w:between w:val="nil"/>
              </w:pBdr>
              <w:ind w:left="113" w:hanging="113"/>
              <w:rPr>
                <w:color w:val="000000"/>
              </w:rPr>
            </w:pPr>
            <w:r w:rsidRPr="00EA10CF">
              <w:rPr>
                <w:color w:val="000000"/>
              </w:rPr>
              <w:t>Good</w:t>
            </w:r>
          </w:p>
        </w:tc>
        <w:tc>
          <w:tcPr>
            <w:tcW w:w="1061" w:type="pct"/>
            <w:vAlign w:val="bottom"/>
          </w:tcPr>
          <w:p w14:paraId="1B44E9DD" w14:textId="77777777" w:rsidR="00054457" w:rsidRPr="00EA10CF" w:rsidRDefault="00054457" w:rsidP="001C28A7">
            <w:pPr>
              <w:widowControl w:val="0"/>
              <w:pBdr>
                <w:top w:val="nil"/>
                <w:left w:val="nil"/>
                <w:bottom w:val="nil"/>
                <w:right w:val="nil"/>
                <w:between w:val="nil"/>
              </w:pBdr>
              <w:rPr>
                <w:color w:val="0000FF"/>
              </w:rPr>
            </w:pPr>
            <w:r w:rsidRPr="00EA10CF">
              <w:rPr>
                <w:color w:val="0000FF"/>
              </w:rPr>
              <w:t>[7 – 14]</w:t>
            </w:r>
          </w:p>
        </w:tc>
        <w:tc>
          <w:tcPr>
            <w:tcW w:w="1727" w:type="pct"/>
            <w:vAlign w:val="bottom"/>
          </w:tcPr>
          <w:p w14:paraId="3DCC7317" w14:textId="77777777" w:rsidR="00054457" w:rsidRPr="00EA10CF" w:rsidRDefault="00054457" w:rsidP="001C28A7">
            <w:pPr>
              <w:widowControl w:val="0"/>
              <w:pBdr>
                <w:top w:val="nil"/>
                <w:left w:val="nil"/>
                <w:bottom w:val="nil"/>
                <w:right w:val="nil"/>
                <w:between w:val="nil"/>
              </w:pBdr>
              <w:rPr>
                <w:color w:val="000000"/>
              </w:rPr>
            </w:pPr>
            <w:r w:rsidRPr="00EA10CF">
              <w:rPr>
                <w:color w:val="000000"/>
              </w:rPr>
              <w:t>BB to B+</w:t>
            </w:r>
          </w:p>
        </w:tc>
        <w:tc>
          <w:tcPr>
            <w:tcW w:w="848" w:type="pct"/>
            <w:vAlign w:val="bottom"/>
          </w:tcPr>
          <w:p w14:paraId="67680ED9" w14:textId="77777777" w:rsidR="00054457" w:rsidRPr="00EA10CF" w:rsidRDefault="00054457" w:rsidP="001C28A7">
            <w:pPr>
              <w:widowControl w:val="0"/>
              <w:pBdr>
                <w:top w:val="nil"/>
                <w:left w:val="nil"/>
                <w:bottom w:val="nil"/>
                <w:right w:val="nil"/>
                <w:between w:val="nil"/>
              </w:pBdr>
              <w:jc w:val="right"/>
              <w:rPr>
                <w:color w:val="000000"/>
              </w:rPr>
            </w:pPr>
            <w:r w:rsidRPr="00EA10CF">
              <w:rPr>
                <w:color w:val="000000"/>
              </w:rPr>
              <w:t>0,51%</w:t>
            </w:r>
            <w:r>
              <w:rPr>
                <w:color w:val="000000"/>
              </w:rPr>
              <w:t xml:space="preserve"> – </w:t>
            </w:r>
            <w:r w:rsidRPr="00EA10CF">
              <w:rPr>
                <w:color w:val="000000"/>
              </w:rPr>
              <w:t>3%</w:t>
            </w:r>
          </w:p>
        </w:tc>
      </w:tr>
      <w:tr w:rsidR="00054457" w:rsidRPr="00EA10CF" w14:paraId="42DBFF2C" w14:textId="77777777" w:rsidTr="001C28A7">
        <w:trPr>
          <w:trHeight w:val="23"/>
        </w:trPr>
        <w:tc>
          <w:tcPr>
            <w:tcW w:w="1364" w:type="pct"/>
            <w:vAlign w:val="bottom"/>
          </w:tcPr>
          <w:p w14:paraId="2D118B7A" w14:textId="77777777" w:rsidR="00054457" w:rsidRPr="00EA10CF" w:rsidRDefault="00054457" w:rsidP="001C28A7">
            <w:pPr>
              <w:widowControl w:val="0"/>
              <w:pBdr>
                <w:top w:val="nil"/>
                <w:left w:val="nil"/>
                <w:bottom w:val="nil"/>
                <w:right w:val="nil"/>
                <w:between w:val="nil"/>
              </w:pBdr>
              <w:ind w:left="113" w:hanging="113"/>
              <w:rPr>
                <w:color w:val="000000"/>
              </w:rPr>
            </w:pPr>
          </w:p>
        </w:tc>
        <w:tc>
          <w:tcPr>
            <w:tcW w:w="1061" w:type="pct"/>
            <w:vAlign w:val="bottom"/>
          </w:tcPr>
          <w:p w14:paraId="15207FD2" w14:textId="77777777" w:rsidR="00054457" w:rsidRPr="00EA10CF" w:rsidRDefault="00054457" w:rsidP="001C28A7">
            <w:pPr>
              <w:widowControl w:val="0"/>
              <w:pBdr>
                <w:top w:val="nil"/>
                <w:left w:val="nil"/>
                <w:bottom w:val="nil"/>
                <w:right w:val="nil"/>
                <w:between w:val="nil"/>
              </w:pBdr>
              <w:rPr>
                <w:color w:val="0000FF"/>
              </w:rPr>
            </w:pPr>
          </w:p>
        </w:tc>
        <w:tc>
          <w:tcPr>
            <w:tcW w:w="1727" w:type="pct"/>
            <w:vAlign w:val="bottom"/>
          </w:tcPr>
          <w:p w14:paraId="1AD44D1E" w14:textId="77777777" w:rsidR="00054457" w:rsidRPr="00EA10CF" w:rsidRDefault="00054457" w:rsidP="001C28A7">
            <w:pPr>
              <w:widowControl w:val="0"/>
              <w:pBdr>
                <w:top w:val="nil"/>
                <w:left w:val="nil"/>
                <w:bottom w:val="nil"/>
                <w:right w:val="nil"/>
                <w:between w:val="nil"/>
              </w:pBdr>
              <w:rPr>
                <w:color w:val="000000"/>
              </w:rPr>
            </w:pPr>
          </w:p>
        </w:tc>
        <w:tc>
          <w:tcPr>
            <w:tcW w:w="848" w:type="pct"/>
            <w:vAlign w:val="bottom"/>
          </w:tcPr>
          <w:p w14:paraId="5D9F49B8" w14:textId="77777777" w:rsidR="00054457" w:rsidRPr="00EA10CF" w:rsidRDefault="00054457" w:rsidP="001C28A7">
            <w:pPr>
              <w:widowControl w:val="0"/>
              <w:pBdr>
                <w:top w:val="nil"/>
                <w:left w:val="nil"/>
                <w:bottom w:val="nil"/>
                <w:right w:val="nil"/>
                <w:between w:val="nil"/>
              </w:pBdr>
              <w:jc w:val="right"/>
              <w:rPr>
                <w:b/>
                <w:color w:val="000000"/>
              </w:rPr>
            </w:pPr>
          </w:p>
        </w:tc>
      </w:tr>
      <w:tr w:rsidR="00054457" w:rsidRPr="00EA10CF" w14:paraId="6450432C" w14:textId="77777777" w:rsidTr="001C28A7">
        <w:trPr>
          <w:trHeight w:val="23"/>
        </w:trPr>
        <w:tc>
          <w:tcPr>
            <w:tcW w:w="1364" w:type="pct"/>
            <w:vAlign w:val="bottom"/>
          </w:tcPr>
          <w:p w14:paraId="0CD900F9" w14:textId="77777777" w:rsidR="00054457" w:rsidRPr="00EA10CF" w:rsidRDefault="00054457" w:rsidP="001C28A7">
            <w:pPr>
              <w:widowControl w:val="0"/>
              <w:pBdr>
                <w:top w:val="nil"/>
                <w:left w:val="nil"/>
                <w:bottom w:val="nil"/>
                <w:right w:val="nil"/>
                <w:between w:val="nil"/>
              </w:pBdr>
              <w:ind w:left="113" w:hanging="113"/>
              <w:rPr>
                <w:color w:val="000000"/>
              </w:rPr>
            </w:pPr>
            <w:r w:rsidRPr="00EA10CF">
              <w:rPr>
                <w:color w:val="000000"/>
              </w:rPr>
              <w:t>Satisfactory</w:t>
            </w:r>
          </w:p>
        </w:tc>
        <w:tc>
          <w:tcPr>
            <w:tcW w:w="1061" w:type="pct"/>
            <w:vAlign w:val="bottom"/>
          </w:tcPr>
          <w:p w14:paraId="7C06F698" w14:textId="77777777" w:rsidR="00054457" w:rsidRPr="00EA10CF" w:rsidRDefault="00054457" w:rsidP="001C28A7">
            <w:pPr>
              <w:widowControl w:val="0"/>
              <w:pBdr>
                <w:top w:val="nil"/>
                <w:left w:val="nil"/>
                <w:bottom w:val="nil"/>
                <w:right w:val="nil"/>
                <w:between w:val="nil"/>
              </w:pBdr>
              <w:rPr>
                <w:color w:val="0000FF"/>
              </w:rPr>
            </w:pPr>
            <w:r w:rsidRPr="00EA10CF">
              <w:rPr>
                <w:color w:val="0000FF"/>
              </w:rPr>
              <w:t>[15 – 21]</w:t>
            </w:r>
          </w:p>
        </w:tc>
        <w:tc>
          <w:tcPr>
            <w:tcW w:w="1727" w:type="pct"/>
            <w:vAlign w:val="bottom"/>
          </w:tcPr>
          <w:p w14:paraId="322F1084" w14:textId="77777777" w:rsidR="00054457" w:rsidRPr="00EA10CF" w:rsidRDefault="00054457" w:rsidP="001C28A7">
            <w:pPr>
              <w:widowControl w:val="0"/>
              <w:pBdr>
                <w:top w:val="nil"/>
                <w:left w:val="nil"/>
                <w:bottom w:val="nil"/>
                <w:right w:val="nil"/>
                <w:between w:val="nil"/>
              </w:pBdr>
              <w:rPr>
                <w:b/>
                <w:color w:val="000000"/>
              </w:rPr>
            </w:pPr>
            <w:r w:rsidRPr="00EA10CF">
              <w:rPr>
                <w:color w:val="000000"/>
              </w:rPr>
              <w:t>B, B-</w:t>
            </w:r>
          </w:p>
        </w:tc>
        <w:tc>
          <w:tcPr>
            <w:tcW w:w="848" w:type="pct"/>
            <w:vAlign w:val="bottom"/>
          </w:tcPr>
          <w:p w14:paraId="529975FD" w14:textId="77777777" w:rsidR="00054457" w:rsidRPr="00EA10CF" w:rsidRDefault="00054457" w:rsidP="001C28A7">
            <w:pPr>
              <w:widowControl w:val="0"/>
              <w:pBdr>
                <w:top w:val="nil"/>
                <w:left w:val="nil"/>
                <w:bottom w:val="nil"/>
                <w:right w:val="nil"/>
                <w:between w:val="nil"/>
              </w:pBdr>
              <w:jc w:val="right"/>
              <w:rPr>
                <w:b/>
                <w:color w:val="000000"/>
              </w:rPr>
            </w:pPr>
            <w:r w:rsidRPr="00EA10CF">
              <w:rPr>
                <w:color w:val="000000"/>
              </w:rPr>
              <w:t>3%</w:t>
            </w:r>
            <w:r>
              <w:rPr>
                <w:color w:val="000000"/>
              </w:rPr>
              <w:t xml:space="preserve"> – </w:t>
            </w:r>
            <w:r w:rsidRPr="00EA10CF">
              <w:rPr>
                <w:color w:val="000000"/>
              </w:rPr>
              <w:t>10%</w:t>
            </w:r>
          </w:p>
        </w:tc>
      </w:tr>
      <w:tr w:rsidR="00054457" w:rsidRPr="00EA10CF" w14:paraId="38451DB8" w14:textId="77777777" w:rsidTr="001C28A7">
        <w:trPr>
          <w:trHeight w:val="23"/>
        </w:trPr>
        <w:tc>
          <w:tcPr>
            <w:tcW w:w="1364" w:type="pct"/>
            <w:vAlign w:val="bottom"/>
          </w:tcPr>
          <w:p w14:paraId="762DEE22" w14:textId="77777777" w:rsidR="00054457" w:rsidRPr="00EA10CF" w:rsidRDefault="00054457" w:rsidP="001C28A7">
            <w:pPr>
              <w:widowControl w:val="0"/>
              <w:pBdr>
                <w:top w:val="nil"/>
                <w:left w:val="nil"/>
                <w:bottom w:val="nil"/>
                <w:right w:val="nil"/>
                <w:between w:val="nil"/>
              </w:pBdr>
              <w:ind w:left="113" w:hanging="113"/>
              <w:rPr>
                <w:color w:val="000000"/>
              </w:rPr>
            </w:pPr>
          </w:p>
        </w:tc>
        <w:tc>
          <w:tcPr>
            <w:tcW w:w="1061" w:type="pct"/>
            <w:vAlign w:val="bottom"/>
          </w:tcPr>
          <w:p w14:paraId="5B1597EB" w14:textId="77777777" w:rsidR="00054457" w:rsidRPr="00EA10CF" w:rsidRDefault="00054457" w:rsidP="001C28A7">
            <w:pPr>
              <w:widowControl w:val="0"/>
              <w:pBdr>
                <w:top w:val="nil"/>
                <w:left w:val="nil"/>
                <w:bottom w:val="nil"/>
                <w:right w:val="nil"/>
                <w:between w:val="nil"/>
              </w:pBdr>
              <w:rPr>
                <w:color w:val="0000FF"/>
              </w:rPr>
            </w:pPr>
          </w:p>
        </w:tc>
        <w:tc>
          <w:tcPr>
            <w:tcW w:w="1727" w:type="pct"/>
            <w:vAlign w:val="bottom"/>
          </w:tcPr>
          <w:p w14:paraId="6671FF17" w14:textId="77777777" w:rsidR="00054457" w:rsidRPr="00EA10CF" w:rsidRDefault="00054457" w:rsidP="001C28A7">
            <w:pPr>
              <w:widowControl w:val="0"/>
              <w:pBdr>
                <w:top w:val="nil"/>
                <w:left w:val="nil"/>
                <w:bottom w:val="nil"/>
                <w:right w:val="nil"/>
                <w:between w:val="nil"/>
              </w:pBdr>
              <w:rPr>
                <w:color w:val="000000"/>
              </w:rPr>
            </w:pPr>
          </w:p>
        </w:tc>
        <w:tc>
          <w:tcPr>
            <w:tcW w:w="848" w:type="pct"/>
            <w:vAlign w:val="bottom"/>
          </w:tcPr>
          <w:p w14:paraId="3E5404B3" w14:textId="77777777" w:rsidR="00054457" w:rsidRPr="00EA10CF" w:rsidRDefault="00054457" w:rsidP="001C28A7">
            <w:pPr>
              <w:widowControl w:val="0"/>
              <w:pBdr>
                <w:top w:val="nil"/>
                <w:left w:val="nil"/>
                <w:bottom w:val="nil"/>
                <w:right w:val="nil"/>
                <w:between w:val="nil"/>
              </w:pBdr>
              <w:jc w:val="right"/>
              <w:rPr>
                <w:b/>
                <w:color w:val="000000"/>
              </w:rPr>
            </w:pPr>
          </w:p>
        </w:tc>
      </w:tr>
      <w:tr w:rsidR="00054457" w:rsidRPr="00EA10CF" w14:paraId="0D9B7076" w14:textId="77777777" w:rsidTr="001C28A7">
        <w:trPr>
          <w:trHeight w:val="23"/>
        </w:trPr>
        <w:tc>
          <w:tcPr>
            <w:tcW w:w="1364" w:type="pct"/>
            <w:vAlign w:val="bottom"/>
          </w:tcPr>
          <w:p w14:paraId="4E91FBC0" w14:textId="77777777" w:rsidR="00054457" w:rsidRPr="00EA10CF" w:rsidRDefault="00054457" w:rsidP="001C28A7">
            <w:pPr>
              <w:widowControl w:val="0"/>
              <w:pBdr>
                <w:top w:val="nil"/>
                <w:left w:val="nil"/>
                <w:bottom w:val="nil"/>
                <w:right w:val="nil"/>
                <w:between w:val="nil"/>
              </w:pBdr>
              <w:ind w:left="113" w:hanging="113"/>
              <w:rPr>
                <w:color w:val="000000"/>
              </w:rPr>
            </w:pPr>
            <w:r w:rsidRPr="00EA10CF">
              <w:rPr>
                <w:color w:val="000000"/>
              </w:rPr>
              <w:t>Special monitoring</w:t>
            </w:r>
          </w:p>
        </w:tc>
        <w:tc>
          <w:tcPr>
            <w:tcW w:w="1061" w:type="pct"/>
            <w:vAlign w:val="bottom"/>
          </w:tcPr>
          <w:p w14:paraId="5173E1C5" w14:textId="77777777" w:rsidR="00054457" w:rsidRPr="00EA10CF" w:rsidRDefault="00054457" w:rsidP="001C28A7">
            <w:pPr>
              <w:widowControl w:val="0"/>
              <w:pBdr>
                <w:top w:val="nil"/>
                <w:left w:val="nil"/>
                <w:bottom w:val="nil"/>
                <w:right w:val="nil"/>
                <w:between w:val="nil"/>
              </w:pBdr>
              <w:rPr>
                <w:color w:val="0000FF"/>
              </w:rPr>
            </w:pPr>
            <w:r w:rsidRPr="00EA10CF">
              <w:rPr>
                <w:color w:val="0000FF"/>
              </w:rPr>
              <w:t>[22 – 25]</w:t>
            </w:r>
          </w:p>
        </w:tc>
        <w:tc>
          <w:tcPr>
            <w:tcW w:w="1727" w:type="pct"/>
            <w:vAlign w:val="bottom"/>
          </w:tcPr>
          <w:p w14:paraId="65A9276B" w14:textId="77777777" w:rsidR="00054457" w:rsidRPr="00EA10CF" w:rsidRDefault="00054457" w:rsidP="001C28A7">
            <w:pPr>
              <w:widowControl w:val="0"/>
              <w:pBdr>
                <w:top w:val="nil"/>
                <w:left w:val="nil"/>
                <w:bottom w:val="nil"/>
                <w:right w:val="nil"/>
                <w:between w:val="nil"/>
              </w:pBdr>
              <w:rPr>
                <w:b/>
                <w:color w:val="000000"/>
              </w:rPr>
            </w:pPr>
            <w:r w:rsidRPr="00EA10CF">
              <w:rPr>
                <w:color w:val="000000"/>
              </w:rPr>
              <w:t>CCC+ to CC-</w:t>
            </w:r>
          </w:p>
        </w:tc>
        <w:tc>
          <w:tcPr>
            <w:tcW w:w="848" w:type="pct"/>
            <w:vAlign w:val="bottom"/>
          </w:tcPr>
          <w:p w14:paraId="255A2072" w14:textId="77777777" w:rsidR="00054457" w:rsidRPr="00EA10CF" w:rsidRDefault="00054457" w:rsidP="001C28A7">
            <w:pPr>
              <w:widowControl w:val="0"/>
              <w:pBdr>
                <w:top w:val="nil"/>
                <w:left w:val="nil"/>
                <w:bottom w:val="nil"/>
                <w:right w:val="nil"/>
                <w:between w:val="nil"/>
              </w:pBdr>
              <w:jc w:val="right"/>
              <w:rPr>
                <w:b/>
                <w:color w:val="000000"/>
              </w:rPr>
            </w:pPr>
            <w:r w:rsidRPr="00EA10CF">
              <w:rPr>
                <w:color w:val="000000"/>
              </w:rPr>
              <w:t>10%</w:t>
            </w:r>
            <w:r>
              <w:rPr>
                <w:color w:val="000000"/>
              </w:rPr>
              <w:t xml:space="preserve"> – </w:t>
            </w:r>
            <w:r w:rsidRPr="00EA10CF">
              <w:rPr>
                <w:color w:val="000000"/>
              </w:rPr>
              <w:t>99,9%</w:t>
            </w:r>
          </w:p>
        </w:tc>
      </w:tr>
      <w:tr w:rsidR="00054457" w:rsidRPr="00EA10CF" w14:paraId="5696C594" w14:textId="77777777" w:rsidTr="001C28A7">
        <w:trPr>
          <w:trHeight w:val="23"/>
        </w:trPr>
        <w:tc>
          <w:tcPr>
            <w:tcW w:w="1364" w:type="pct"/>
            <w:vAlign w:val="bottom"/>
          </w:tcPr>
          <w:p w14:paraId="1F361771" w14:textId="77777777" w:rsidR="00054457" w:rsidRPr="00EA10CF" w:rsidRDefault="00054457" w:rsidP="001C28A7">
            <w:pPr>
              <w:widowControl w:val="0"/>
              <w:pBdr>
                <w:top w:val="nil"/>
                <w:left w:val="nil"/>
                <w:bottom w:val="nil"/>
                <w:right w:val="nil"/>
                <w:between w:val="nil"/>
              </w:pBdr>
              <w:ind w:left="113" w:hanging="113"/>
              <w:rPr>
                <w:color w:val="000000"/>
              </w:rPr>
            </w:pPr>
          </w:p>
        </w:tc>
        <w:tc>
          <w:tcPr>
            <w:tcW w:w="1061" w:type="pct"/>
            <w:vAlign w:val="bottom"/>
          </w:tcPr>
          <w:p w14:paraId="792E02D8" w14:textId="77777777" w:rsidR="00054457" w:rsidRPr="00EA10CF" w:rsidRDefault="00054457" w:rsidP="001C28A7">
            <w:pPr>
              <w:widowControl w:val="0"/>
              <w:pBdr>
                <w:top w:val="nil"/>
                <w:left w:val="nil"/>
                <w:bottom w:val="nil"/>
                <w:right w:val="nil"/>
                <w:between w:val="nil"/>
              </w:pBdr>
              <w:rPr>
                <w:color w:val="0000FF"/>
              </w:rPr>
            </w:pPr>
          </w:p>
        </w:tc>
        <w:tc>
          <w:tcPr>
            <w:tcW w:w="1727" w:type="pct"/>
            <w:vAlign w:val="bottom"/>
          </w:tcPr>
          <w:p w14:paraId="75300C88" w14:textId="77777777" w:rsidR="00054457" w:rsidRPr="00EA10CF" w:rsidRDefault="00054457" w:rsidP="001C28A7">
            <w:pPr>
              <w:widowControl w:val="0"/>
              <w:pBdr>
                <w:top w:val="nil"/>
                <w:left w:val="nil"/>
                <w:bottom w:val="nil"/>
                <w:right w:val="nil"/>
                <w:between w:val="nil"/>
              </w:pBdr>
              <w:rPr>
                <w:color w:val="000000"/>
              </w:rPr>
            </w:pPr>
          </w:p>
        </w:tc>
        <w:tc>
          <w:tcPr>
            <w:tcW w:w="848" w:type="pct"/>
            <w:vAlign w:val="bottom"/>
          </w:tcPr>
          <w:p w14:paraId="4F5DA52E" w14:textId="77777777" w:rsidR="00054457" w:rsidRPr="00EA10CF" w:rsidRDefault="00054457" w:rsidP="001C28A7">
            <w:pPr>
              <w:widowControl w:val="0"/>
              <w:pBdr>
                <w:top w:val="nil"/>
                <w:left w:val="nil"/>
                <w:bottom w:val="nil"/>
                <w:right w:val="nil"/>
                <w:between w:val="nil"/>
              </w:pBdr>
              <w:jc w:val="right"/>
              <w:rPr>
                <w:b/>
                <w:color w:val="000000"/>
              </w:rPr>
            </w:pPr>
          </w:p>
        </w:tc>
      </w:tr>
      <w:tr w:rsidR="00054457" w:rsidRPr="00EA10CF" w14:paraId="625826CB" w14:textId="77777777" w:rsidTr="001C28A7">
        <w:trPr>
          <w:trHeight w:val="23"/>
        </w:trPr>
        <w:tc>
          <w:tcPr>
            <w:tcW w:w="1364" w:type="pct"/>
            <w:vAlign w:val="bottom"/>
          </w:tcPr>
          <w:p w14:paraId="71269FDF" w14:textId="77777777" w:rsidR="00054457" w:rsidRPr="00EA10CF" w:rsidRDefault="00054457" w:rsidP="001C28A7">
            <w:pPr>
              <w:widowControl w:val="0"/>
              <w:pBdr>
                <w:top w:val="nil"/>
                <w:left w:val="nil"/>
                <w:bottom w:val="nil"/>
                <w:right w:val="nil"/>
                <w:between w:val="nil"/>
              </w:pBdr>
              <w:ind w:left="113" w:hanging="113"/>
              <w:rPr>
                <w:color w:val="000000"/>
              </w:rPr>
            </w:pPr>
            <w:r w:rsidRPr="00EA10CF">
              <w:rPr>
                <w:color w:val="000000"/>
              </w:rPr>
              <w:t>Default</w:t>
            </w:r>
          </w:p>
        </w:tc>
        <w:tc>
          <w:tcPr>
            <w:tcW w:w="1061" w:type="pct"/>
            <w:vAlign w:val="bottom"/>
          </w:tcPr>
          <w:p w14:paraId="71D0176F" w14:textId="77777777" w:rsidR="00054457" w:rsidRPr="00EA10CF" w:rsidRDefault="00054457" w:rsidP="001C28A7">
            <w:pPr>
              <w:widowControl w:val="0"/>
              <w:pBdr>
                <w:top w:val="nil"/>
                <w:left w:val="nil"/>
                <w:bottom w:val="nil"/>
                <w:right w:val="nil"/>
                <w:between w:val="nil"/>
              </w:pBdr>
              <w:rPr>
                <w:color w:val="0000FF"/>
              </w:rPr>
            </w:pPr>
            <w:r w:rsidRPr="00EA10CF">
              <w:rPr>
                <w:color w:val="0000FF"/>
              </w:rPr>
              <w:t>[26 – 30]</w:t>
            </w:r>
          </w:p>
        </w:tc>
        <w:tc>
          <w:tcPr>
            <w:tcW w:w="1727" w:type="pct"/>
            <w:vAlign w:val="bottom"/>
          </w:tcPr>
          <w:p w14:paraId="571FED0B" w14:textId="77777777" w:rsidR="00054457" w:rsidRPr="00EA10CF" w:rsidRDefault="00054457" w:rsidP="001C28A7">
            <w:pPr>
              <w:widowControl w:val="0"/>
              <w:pBdr>
                <w:top w:val="nil"/>
                <w:left w:val="nil"/>
                <w:bottom w:val="nil"/>
                <w:right w:val="nil"/>
                <w:between w:val="nil"/>
              </w:pBdr>
              <w:rPr>
                <w:b/>
                <w:color w:val="000000"/>
              </w:rPr>
            </w:pPr>
            <w:r w:rsidRPr="00EA10CF">
              <w:rPr>
                <w:color w:val="000000"/>
              </w:rPr>
              <w:t>C, D-I, D-II</w:t>
            </w:r>
          </w:p>
        </w:tc>
        <w:tc>
          <w:tcPr>
            <w:tcW w:w="848" w:type="pct"/>
            <w:vAlign w:val="bottom"/>
          </w:tcPr>
          <w:p w14:paraId="7ED5923D" w14:textId="77777777" w:rsidR="00054457" w:rsidRPr="00EA10CF" w:rsidRDefault="00054457" w:rsidP="001C28A7">
            <w:pPr>
              <w:widowControl w:val="0"/>
              <w:pBdr>
                <w:top w:val="nil"/>
                <w:left w:val="nil"/>
                <w:bottom w:val="nil"/>
                <w:right w:val="nil"/>
                <w:between w:val="nil"/>
              </w:pBdr>
              <w:jc w:val="right"/>
              <w:rPr>
                <w:b/>
                <w:color w:val="000000"/>
              </w:rPr>
            </w:pPr>
            <w:r w:rsidRPr="00EA10CF">
              <w:rPr>
                <w:color w:val="000000"/>
              </w:rPr>
              <w:t>100%</w:t>
            </w:r>
          </w:p>
        </w:tc>
      </w:tr>
      <w:tr w:rsidR="00054457" w:rsidRPr="00EA10CF" w14:paraId="24B74A13" w14:textId="77777777" w:rsidTr="001C28A7">
        <w:trPr>
          <w:trHeight w:val="23"/>
        </w:trPr>
        <w:tc>
          <w:tcPr>
            <w:tcW w:w="1364" w:type="pct"/>
            <w:tcBorders>
              <w:bottom w:val="single" w:sz="12" w:space="0" w:color="000000"/>
            </w:tcBorders>
            <w:vAlign w:val="bottom"/>
          </w:tcPr>
          <w:p w14:paraId="6AD524AB" w14:textId="77777777" w:rsidR="00054457" w:rsidRPr="00EA10CF" w:rsidRDefault="00054457" w:rsidP="001C28A7">
            <w:pPr>
              <w:widowControl w:val="0"/>
              <w:pBdr>
                <w:top w:val="nil"/>
                <w:left w:val="nil"/>
                <w:bottom w:val="nil"/>
                <w:right w:val="nil"/>
                <w:between w:val="nil"/>
              </w:pBdr>
              <w:ind w:left="113" w:hanging="113"/>
              <w:rPr>
                <w:b/>
                <w:color w:val="000000"/>
              </w:rPr>
            </w:pPr>
            <w:r w:rsidRPr="00EA10CF">
              <w:rPr>
                <w:b/>
                <w:color w:val="000000"/>
              </w:rPr>
              <w:t> </w:t>
            </w:r>
          </w:p>
        </w:tc>
        <w:tc>
          <w:tcPr>
            <w:tcW w:w="1061" w:type="pct"/>
            <w:tcBorders>
              <w:bottom w:val="single" w:sz="12" w:space="0" w:color="000000"/>
            </w:tcBorders>
            <w:vAlign w:val="bottom"/>
          </w:tcPr>
          <w:p w14:paraId="0DEC95AE" w14:textId="77777777" w:rsidR="00054457" w:rsidRPr="00EA10CF" w:rsidRDefault="00054457" w:rsidP="001C28A7">
            <w:pPr>
              <w:widowControl w:val="0"/>
              <w:pBdr>
                <w:top w:val="nil"/>
                <w:left w:val="nil"/>
                <w:bottom w:val="nil"/>
                <w:right w:val="nil"/>
                <w:between w:val="nil"/>
              </w:pBdr>
              <w:rPr>
                <w:b/>
                <w:color w:val="000000"/>
              </w:rPr>
            </w:pPr>
          </w:p>
        </w:tc>
        <w:tc>
          <w:tcPr>
            <w:tcW w:w="1727" w:type="pct"/>
            <w:tcBorders>
              <w:bottom w:val="single" w:sz="12" w:space="0" w:color="000000"/>
            </w:tcBorders>
            <w:vAlign w:val="bottom"/>
          </w:tcPr>
          <w:p w14:paraId="4836FADE" w14:textId="77777777" w:rsidR="00054457" w:rsidRPr="00EA10CF" w:rsidRDefault="00054457" w:rsidP="001C28A7">
            <w:pPr>
              <w:widowControl w:val="0"/>
              <w:pBdr>
                <w:top w:val="nil"/>
                <w:left w:val="nil"/>
                <w:bottom w:val="nil"/>
                <w:right w:val="nil"/>
                <w:between w:val="nil"/>
              </w:pBdr>
              <w:rPr>
                <w:b/>
                <w:color w:val="000000"/>
              </w:rPr>
            </w:pPr>
          </w:p>
        </w:tc>
        <w:tc>
          <w:tcPr>
            <w:tcW w:w="848" w:type="pct"/>
            <w:tcBorders>
              <w:bottom w:val="single" w:sz="12" w:space="0" w:color="000000"/>
            </w:tcBorders>
            <w:vAlign w:val="bottom"/>
          </w:tcPr>
          <w:p w14:paraId="0042FB82" w14:textId="77777777" w:rsidR="00054457" w:rsidRPr="00EA10CF" w:rsidRDefault="00054457" w:rsidP="001C28A7">
            <w:pPr>
              <w:widowControl w:val="0"/>
              <w:pBdr>
                <w:top w:val="nil"/>
                <w:left w:val="nil"/>
                <w:bottom w:val="nil"/>
                <w:right w:val="nil"/>
                <w:between w:val="nil"/>
              </w:pBdr>
              <w:jc w:val="right"/>
              <w:rPr>
                <w:b/>
                <w:color w:val="000000"/>
              </w:rPr>
            </w:pPr>
          </w:p>
        </w:tc>
      </w:tr>
    </w:tbl>
    <w:p w14:paraId="6E1CEC32" w14:textId="77777777" w:rsidR="00D83E33" w:rsidRDefault="00BC4072">
      <w:pPr>
        <w:spacing w:before="200" w:after="200"/>
        <w:jc w:val="both"/>
        <w:rPr>
          <w:sz w:val="20"/>
          <w:szCs w:val="20"/>
        </w:rPr>
      </w:pPr>
      <w:r>
        <w:rPr>
          <w:sz w:val="20"/>
          <w:szCs w:val="20"/>
        </w:rPr>
        <w:t>Each master scale credit risk grade is assigned a specific degree of creditworthiness:</w:t>
      </w:r>
    </w:p>
    <w:p w14:paraId="669E2768"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i/>
          <w:color w:val="000000"/>
          <w:sz w:val="20"/>
          <w:szCs w:val="20"/>
        </w:rPr>
        <w:t xml:space="preserve">Excellent </w:t>
      </w:r>
      <w:r>
        <w:rPr>
          <w:color w:val="000000"/>
          <w:sz w:val="20"/>
          <w:szCs w:val="20"/>
        </w:rPr>
        <w:t>– strong credit quality with low expected credit risk;</w:t>
      </w:r>
    </w:p>
    <w:p w14:paraId="5C5ABAB0" w14:textId="77777777" w:rsidR="00D83E33" w:rsidRDefault="00BC4072">
      <w:pPr>
        <w:widowControl w:val="0"/>
        <w:numPr>
          <w:ilvl w:val="0"/>
          <w:numId w:val="23"/>
        </w:numPr>
        <w:pBdr>
          <w:top w:val="nil"/>
          <w:left w:val="nil"/>
          <w:bottom w:val="nil"/>
          <w:right w:val="nil"/>
          <w:between w:val="nil"/>
        </w:pBdr>
        <w:spacing w:before="100" w:after="100"/>
        <w:ind w:left="567" w:hanging="567"/>
        <w:jc w:val="both"/>
        <w:rPr>
          <w:i/>
          <w:color w:val="000000"/>
          <w:sz w:val="20"/>
          <w:szCs w:val="20"/>
        </w:rPr>
      </w:pPr>
      <w:r>
        <w:rPr>
          <w:i/>
          <w:color w:val="000000"/>
          <w:sz w:val="20"/>
          <w:szCs w:val="20"/>
        </w:rPr>
        <w:t xml:space="preserve">Good </w:t>
      </w:r>
      <w:r>
        <w:rPr>
          <w:color w:val="000000"/>
          <w:sz w:val="20"/>
          <w:szCs w:val="20"/>
        </w:rPr>
        <w:t>– adequate credit quality with a moderate credit risk;</w:t>
      </w:r>
    </w:p>
    <w:p w14:paraId="1FB8E016"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i/>
          <w:color w:val="000000"/>
          <w:sz w:val="20"/>
          <w:szCs w:val="20"/>
        </w:rPr>
        <w:t>Satisfactory</w:t>
      </w:r>
      <w:r>
        <w:rPr>
          <w:color w:val="000000"/>
          <w:sz w:val="20"/>
          <w:szCs w:val="20"/>
        </w:rPr>
        <w:t xml:space="preserve"> – moderate credit quality with a satisfactory credit risk;</w:t>
      </w:r>
    </w:p>
    <w:p w14:paraId="12795FEC"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i/>
          <w:color w:val="000000"/>
          <w:sz w:val="20"/>
          <w:szCs w:val="20"/>
        </w:rPr>
        <w:t>Special monitoring</w:t>
      </w:r>
      <w:r>
        <w:rPr>
          <w:color w:val="000000"/>
          <w:sz w:val="20"/>
          <w:szCs w:val="20"/>
        </w:rPr>
        <w:t xml:space="preserve"> – facilities that require closer monitoring and remedial management; and</w:t>
      </w:r>
    </w:p>
    <w:p w14:paraId="55618F7D"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i/>
          <w:color w:val="000000"/>
          <w:sz w:val="20"/>
          <w:szCs w:val="20"/>
        </w:rPr>
        <w:t>Default</w:t>
      </w:r>
      <w:r>
        <w:rPr>
          <w:color w:val="000000"/>
          <w:sz w:val="20"/>
          <w:szCs w:val="20"/>
        </w:rPr>
        <w:t xml:space="preserve"> – facilities in which a default has occurred. </w:t>
      </w:r>
    </w:p>
    <w:p w14:paraId="1ACA9570" w14:textId="77777777" w:rsidR="00D83E33" w:rsidRDefault="00BC4072">
      <w:pPr>
        <w:widowControl w:val="0"/>
        <w:spacing w:before="200" w:after="200"/>
        <w:jc w:val="both"/>
        <w:rPr>
          <w:sz w:val="20"/>
          <w:szCs w:val="20"/>
        </w:rPr>
      </w:pPr>
      <w:r>
        <w:rPr>
          <w:sz w:val="20"/>
          <w:szCs w:val="20"/>
        </w:rPr>
        <w:t>The IRB system is designed internally and ratings are estimated by management. Various credit-risk estimation techniques are used by the Group depending on the class of the asset. There are three commonly used types of such systems:</w:t>
      </w:r>
    </w:p>
    <w:p w14:paraId="68D3BA29"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i/>
          <w:color w:val="000000"/>
          <w:sz w:val="20"/>
          <w:szCs w:val="20"/>
        </w:rPr>
        <w:t xml:space="preserve">Model-based </w:t>
      </w:r>
      <w:r>
        <w:rPr>
          <w:color w:val="000000"/>
          <w:sz w:val="20"/>
          <w:szCs w:val="20"/>
        </w:rPr>
        <w:t>– In this system, credit risk ratings are assigned by internally developed statistical models with the limited involvement of credit officers. Statistical models include qualitative and quantitative information that shows the best predictive power based on historical data on defaults.</w:t>
      </w:r>
    </w:p>
    <w:p w14:paraId="1D9993E2"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i/>
          <w:color w:val="000000"/>
          <w:sz w:val="20"/>
          <w:szCs w:val="20"/>
        </w:rPr>
        <w:t>Expert judgement-based</w:t>
      </w:r>
      <w:r>
        <w:rPr>
          <w:color w:val="000000"/>
          <w:sz w:val="20"/>
          <w:szCs w:val="20"/>
        </w:rPr>
        <w:t xml:space="preserve"> – In this system, credit risk ratings are assigned subjectively by experienced credit officers based on internally developed methodology and different qualitative and quantitative factors. This approach is based on expert methodology and judgements rather than on sophisticated statistical models.</w:t>
      </w:r>
    </w:p>
    <w:p w14:paraId="27CB088A"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i/>
          <w:color w:val="000000"/>
          <w:sz w:val="20"/>
          <w:szCs w:val="20"/>
        </w:rPr>
        <w:t>Hybrid</w:t>
      </w:r>
      <w:r>
        <w:rPr>
          <w:color w:val="000000"/>
          <w:sz w:val="20"/>
          <w:szCs w:val="20"/>
        </w:rPr>
        <w:t xml:space="preserve"> – This rating system is a combination of the two systems above. It is developed by using historical data combined with expert input.</w:t>
      </w:r>
    </w:p>
    <w:p w14:paraId="33135BE4" w14:textId="77777777" w:rsidR="00D83E33" w:rsidRDefault="00BC4072">
      <w:pPr>
        <w:widowControl w:val="0"/>
        <w:spacing w:before="200" w:after="200"/>
        <w:jc w:val="both"/>
        <w:rPr>
          <w:color w:val="FF0000"/>
          <w:sz w:val="20"/>
          <w:szCs w:val="20"/>
        </w:rPr>
      </w:pPr>
      <w:r>
        <w:rPr>
          <w:sz w:val="20"/>
          <w:szCs w:val="20"/>
        </w:rPr>
        <w:t xml:space="preserve">The Group applies IRB systems for measuring credit risk for the following financial assets: </w:t>
      </w:r>
      <w:r>
        <w:rPr>
          <w:color w:val="0000FF"/>
          <w:sz w:val="20"/>
          <w:szCs w:val="20"/>
        </w:rPr>
        <w:t>[corporate loans, SMEs and finance lease receivables].</w:t>
      </w:r>
      <w:r>
        <w:rPr>
          <w:color w:val="FF0000"/>
          <w:sz w:val="20"/>
          <w:szCs w:val="20"/>
        </w:rPr>
        <w:t xml:space="preserve"> </w:t>
      </w:r>
    </w:p>
    <w:p w14:paraId="08B917CB" w14:textId="77777777" w:rsidR="00D83E33" w:rsidRDefault="00BC4072">
      <w:pPr>
        <w:widowControl w:val="0"/>
        <w:spacing w:before="200" w:after="200"/>
        <w:jc w:val="both"/>
        <w:rPr>
          <w:sz w:val="20"/>
          <w:szCs w:val="20"/>
        </w:rPr>
      </w:pPr>
      <w:r>
        <w:rPr>
          <w:sz w:val="20"/>
          <w:szCs w:val="20"/>
        </w:rPr>
        <w:t xml:space="preserve">The rating models are regularly reviewed by </w:t>
      </w:r>
      <w:r>
        <w:rPr>
          <w:color w:val="0000FF"/>
          <w:sz w:val="20"/>
          <w:szCs w:val="20"/>
        </w:rPr>
        <w:t>[the Credit Risk Department]</w:t>
      </w:r>
      <w:r>
        <w:rPr>
          <w:sz w:val="20"/>
          <w:szCs w:val="20"/>
        </w:rPr>
        <w:t xml:space="preserve">, backtested on actual default data and updated, if necessary. Despite the method used, the Group regularly validates the accuracy of ratings estimates and appraises the predictive power of the models. </w:t>
      </w:r>
    </w:p>
    <w:p w14:paraId="3FD271AE" w14:textId="40B30BE0" w:rsidR="00D83E33" w:rsidRDefault="00BC4072">
      <w:pPr>
        <w:widowControl w:val="0"/>
        <w:spacing w:before="200" w:after="200"/>
        <w:jc w:val="both"/>
        <w:rPr>
          <w:i/>
          <w:color w:val="FF0000"/>
          <w:sz w:val="20"/>
          <w:szCs w:val="20"/>
        </w:rPr>
      </w:pPr>
      <w:r>
        <w:rPr>
          <w:sz w:val="20"/>
          <w:szCs w:val="20"/>
        </w:rPr>
        <w:t xml:space="preserve">External ratings are assigned to counterparties by independent international rating agencies, such as S&amp;P, Moody’s and Fitch. These ratings are publicly available. Such ratings and the corresponding range of probabilities of default (“PD”) are applied for the following financial instruments: </w:t>
      </w:r>
      <w:r>
        <w:rPr>
          <w:color w:val="0000FF"/>
          <w:sz w:val="20"/>
          <w:szCs w:val="20"/>
        </w:rPr>
        <w:t>[interbank placements, loans to sovereigns and sub-sovereigns, and investments in debt securities (government, corporate, municipal bonds</w:t>
      </w:r>
      <w:r w:rsidR="00CB274D">
        <w:rPr>
          <w:color w:val="0000FF"/>
          <w:sz w:val="20"/>
          <w:szCs w:val="20"/>
        </w:rPr>
        <w:t xml:space="preserve"> </w:t>
      </w:r>
      <w:r>
        <w:rPr>
          <w:color w:val="0000FF"/>
          <w:sz w:val="20"/>
          <w:szCs w:val="20"/>
        </w:rPr>
        <w:t>and promissory notes purchased).]</w:t>
      </w:r>
      <w:r>
        <w:rPr>
          <w:sz w:val="20"/>
          <w:szCs w:val="20"/>
        </w:rPr>
        <w:t xml:space="preserve"> </w:t>
      </w:r>
    </w:p>
    <w:p w14:paraId="75C56F98" w14:textId="51A1FBBC" w:rsidR="00D83E33" w:rsidRDefault="00BC4072" w:rsidP="001B330E">
      <w:pPr>
        <w:pStyle w:val="Continued"/>
      </w:pPr>
      <w:r>
        <w:lastRenderedPageBreak/>
        <w:t>41</w:t>
      </w:r>
      <w:r>
        <w:tab/>
        <w:t>Financial Risk Management (Continued)</w:t>
      </w:r>
    </w:p>
    <w:p w14:paraId="02B425CD" w14:textId="77777777" w:rsidR="00054457" w:rsidRDefault="00054457" w:rsidP="00054457">
      <w:pPr>
        <w:widowControl w:val="0"/>
        <w:spacing w:before="200" w:after="200"/>
        <w:jc w:val="both"/>
        <w:rPr>
          <w:sz w:val="20"/>
          <w:szCs w:val="20"/>
        </w:rPr>
      </w:pPr>
      <w:r>
        <w:rPr>
          <w:b/>
          <w:i/>
          <w:sz w:val="20"/>
          <w:szCs w:val="20"/>
        </w:rPr>
        <w:t xml:space="preserve">Expected credit loss (ECL) measurement. </w:t>
      </w:r>
      <w:r>
        <w:rPr>
          <w:i/>
          <w:sz w:val="20"/>
          <w:szCs w:val="20"/>
        </w:rPr>
        <w:t>ECL</w:t>
      </w:r>
      <w:r>
        <w:rPr>
          <w:sz w:val="20"/>
          <w:szCs w:val="20"/>
        </w:rPr>
        <w:t xml:space="preserve"> is a probability-weighted estimate of the present value of future cash shortfalls (i.e., the weighted average of credit losses, with the respective risks of default occurring in a given time period used as weights). An ECL measurement is unbiased and is determined by evaluating a range of possible outcomes. ECL measurement is based on four components used by the Group: Probability of Default (“PD”), Exposure at Default (“EAD”), Loss Given Default (“LGD”) and Discount Rate.</w:t>
      </w:r>
    </w:p>
    <w:p w14:paraId="541ACC2A" w14:textId="77777777" w:rsidR="00054457" w:rsidRDefault="00054457" w:rsidP="00054457">
      <w:pPr>
        <w:widowControl w:val="0"/>
        <w:spacing w:before="200" w:after="200"/>
        <w:jc w:val="both"/>
        <w:rPr>
          <w:sz w:val="20"/>
          <w:szCs w:val="20"/>
        </w:rPr>
      </w:pPr>
      <w:r>
        <w:rPr>
          <w:sz w:val="20"/>
          <w:szCs w:val="20"/>
        </w:rPr>
        <w:t>EAD is an estimate of exposure at a future default date, taking into account expected changes in the exposure after the reporting period, including repayments of principal and interest, and expected drawdowns on committed facilities. The EAD on credit related commitments is estimated using Credit Conversion Factor (“CCF”). CCF is</w:t>
      </w:r>
      <w:r>
        <w:rPr>
          <w:i/>
          <w:sz w:val="20"/>
          <w:szCs w:val="20"/>
        </w:rPr>
        <w:t xml:space="preserve"> </w:t>
      </w:r>
      <w:r>
        <w:rPr>
          <w:sz w:val="20"/>
          <w:szCs w:val="20"/>
        </w:rPr>
        <w:t xml:space="preserve">a coefficient that shows the probability of conversion of the committed amounts to an on-balance sheet exposure within a defined period. </w:t>
      </w:r>
      <w:r>
        <w:rPr>
          <w:color w:val="0000FF"/>
          <w:sz w:val="20"/>
          <w:szCs w:val="20"/>
        </w:rPr>
        <w:t xml:space="preserve">[The Group’s management estimates that 12-month and lifetime CCFs are materially the same.] </w:t>
      </w:r>
      <w:r>
        <w:rPr>
          <w:sz w:val="20"/>
          <w:szCs w:val="20"/>
        </w:rPr>
        <w:t>PD</w:t>
      </w:r>
      <w:r>
        <w:rPr>
          <w:i/>
          <w:sz w:val="20"/>
          <w:szCs w:val="20"/>
        </w:rPr>
        <w:t xml:space="preserve"> </w:t>
      </w:r>
      <w:r>
        <w:rPr>
          <w:sz w:val="20"/>
          <w:szCs w:val="20"/>
        </w:rPr>
        <w:t>an estimate of the likelihood of default to occur over a given time period. LGD</w:t>
      </w:r>
      <w:r>
        <w:rPr>
          <w:i/>
          <w:sz w:val="20"/>
          <w:szCs w:val="20"/>
        </w:rPr>
        <w:t xml:space="preserve"> </w:t>
      </w:r>
      <w:r>
        <w:rPr>
          <w:sz w:val="20"/>
          <w:szCs w:val="20"/>
        </w:rPr>
        <w:t>is an estimate of the loss arising on default. It is based on the difference between the contractual cash flows due and those that the lender would expect to receive, including from any collateral. It is usually expressed as a percentage of the EAD. The expected losses are discounted to present value at the end of the reporting period. The discount rate represents the effective interest rate (“EIR”) for the financial instrument or an approximation thereof.</w:t>
      </w:r>
    </w:p>
    <w:p w14:paraId="32571E2B" w14:textId="77777777" w:rsidR="00D83E33" w:rsidRDefault="00BC4072">
      <w:pPr>
        <w:widowControl w:val="0"/>
        <w:spacing w:before="200" w:after="200"/>
        <w:jc w:val="both"/>
        <w:rPr>
          <w:sz w:val="20"/>
          <w:szCs w:val="20"/>
        </w:rPr>
      </w:pPr>
      <w:r>
        <w:rPr>
          <w:sz w:val="20"/>
          <w:szCs w:val="20"/>
        </w:rPr>
        <w:t xml:space="preserve">Expected credit losses are modelled over instrument’s </w:t>
      </w:r>
      <w:r>
        <w:rPr>
          <w:i/>
          <w:sz w:val="20"/>
          <w:szCs w:val="20"/>
        </w:rPr>
        <w:t>lifetime period.</w:t>
      </w:r>
      <w:r>
        <w:rPr>
          <w:sz w:val="20"/>
          <w:szCs w:val="20"/>
        </w:rPr>
        <w:t xml:space="preserve"> The </w:t>
      </w:r>
      <w:r>
        <w:rPr>
          <w:i/>
          <w:sz w:val="20"/>
          <w:szCs w:val="20"/>
        </w:rPr>
        <w:t>lifetime period</w:t>
      </w:r>
      <w:r>
        <w:rPr>
          <w:sz w:val="20"/>
          <w:szCs w:val="20"/>
        </w:rPr>
        <w:t xml:space="preserve"> is equal to the remaining contractual period to maturity of debt instruments, adjusted for expected prepayments, if any. For loan commitments and financial guarantee contracts, it is the contractual period over which an entity has a present contractual obligation to extend credit. As a matter of exception from determining the lifetime exposure based on contractual maturity, for credit cards issued to individuals, the lifetime exposure is measured over a period that is based on expected life of the credit card contracts, based on internal statistics, and it is equal on average to </w:t>
      </w:r>
      <w:bookmarkStart w:id="115" w:name="_Hlk110952304"/>
      <w:r>
        <w:rPr>
          <w:color w:val="0000FF"/>
          <w:sz w:val="20"/>
          <w:szCs w:val="20"/>
        </w:rPr>
        <w:t>[3]</w:t>
      </w:r>
      <w:r>
        <w:rPr>
          <w:sz w:val="20"/>
          <w:szCs w:val="20"/>
        </w:rPr>
        <w:t xml:space="preserve"> </w:t>
      </w:r>
      <w:bookmarkEnd w:id="115"/>
      <w:r>
        <w:rPr>
          <w:sz w:val="20"/>
          <w:szCs w:val="20"/>
        </w:rPr>
        <w:t>to</w:t>
      </w:r>
      <w:r>
        <w:rPr>
          <w:color w:val="0000FF"/>
          <w:sz w:val="20"/>
          <w:szCs w:val="20"/>
        </w:rPr>
        <w:t xml:space="preserve"> [5]</w:t>
      </w:r>
      <w:r>
        <w:rPr>
          <w:sz w:val="20"/>
          <w:szCs w:val="20"/>
        </w:rPr>
        <w:t xml:space="preserve"> years.</w:t>
      </w:r>
    </w:p>
    <w:p w14:paraId="532D2C84" w14:textId="77777777" w:rsidR="00D83E33" w:rsidRDefault="00BC4072">
      <w:pPr>
        <w:widowControl w:val="0"/>
        <w:spacing w:before="200" w:after="200"/>
        <w:jc w:val="both"/>
        <w:rPr>
          <w:sz w:val="20"/>
          <w:szCs w:val="20"/>
        </w:rPr>
      </w:pPr>
      <w:r>
        <w:rPr>
          <w:sz w:val="20"/>
          <w:szCs w:val="20"/>
        </w:rPr>
        <w:t xml:space="preserve">Management models </w:t>
      </w:r>
      <w:r>
        <w:rPr>
          <w:i/>
          <w:sz w:val="20"/>
          <w:szCs w:val="20"/>
        </w:rPr>
        <w:t xml:space="preserve">Lifetime ECL, </w:t>
      </w:r>
      <w:r>
        <w:rPr>
          <w:sz w:val="20"/>
          <w:szCs w:val="20"/>
        </w:rPr>
        <w:t xml:space="preserve">that is, losses that result from all possible default events over the remaining lifetime period of the financial instrument. The </w:t>
      </w:r>
      <w:r>
        <w:rPr>
          <w:i/>
          <w:sz w:val="20"/>
          <w:szCs w:val="20"/>
        </w:rPr>
        <w:t>12-month ECL,</w:t>
      </w:r>
      <w:r>
        <w:rPr>
          <w:sz w:val="20"/>
          <w:szCs w:val="20"/>
        </w:rPr>
        <w:t xml:space="preserve"> represents a portion of lifetime ECLs that result from default events on a financial instrument that are possible within 12 months after the reporting period, or remaining </w:t>
      </w:r>
      <w:r>
        <w:rPr>
          <w:i/>
          <w:sz w:val="20"/>
          <w:szCs w:val="20"/>
        </w:rPr>
        <w:t>lifetime period</w:t>
      </w:r>
      <w:r>
        <w:rPr>
          <w:sz w:val="20"/>
          <w:szCs w:val="20"/>
        </w:rPr>
        <w:t xml:space="preserve"> of the financial instrument if it is less than a year.</w:t>
      </w:r>
    </w:p>
    <w:p w14:paraId="07119614" w14:textId="77777777" w:rsidR="00D83E33" w:rsidRDefault="00BC4072">
      <w:pPr>
        <w:widowControl w:val="0"/>
        <w:spacing w:before="200" w:after="200"/>
        <w:jc w:val="both"/>
        <w:rPr>
          <w:sz w:val="20"/>
          <w:szCs w:val="20"/>
        </w:rPr>
      </w:pPr>
      <w:r>
        <w:rPr>
          <w:sz w:val="20"/>
          <w:szCs w:val="20"/>
        </w:rPr>
        <w:t xml:space="preserve">The ECLs that are estimated by management for the purposes of these financial statements are point-in-time estimates, rather than through-the-cycle estimates that are commonly used for regulatory purposes. The estimates consider </w:t>
      </w:r>
      <w:r>
        <w:rPr>
          <w:i/>
          <w:sz w:val="20"/>
          <w:szCs w:val="20"/>
        </w:rPr>
        <w:t xml:space="preserve">forward looking information, </w:t>
      </w:r>
      <w:r>
        <w:rPr>
          <w:sz w:val="20"/>
          <w:szCs w:val="20"/>
        </w:rPr>
        <w:t>that is,</w:t>
      </w:r>
      <w:r>
        <w:rPr>
          <w:i/>
          <w:sz w:val="20"/>
          <w:szCs w:val="20"/>
        </w:rPr>
        <w:t xml:space="preserve"> </w:t>
      </w:r>
      <w:r>
        <w:rPr>
          <w:sz w:val="20"/>
          <w:szCs w:val="20"/>
        </w:rPr>
        <w:t xml:space="preserve">ECLs reflect probability weighted development of key macroeconomic variables that have an impact on credit risk. </w:t>
      </w:r>
    </w:p>
    <w:p w14:paraId="48B733BD" w14:textId="77777777" w:rsidR="00D83E33" w:rsidRDefault="00BC4072">
      <w:pPr>
        <w:widowControl w:val="0"/>
        <w:spacing w:before="200" w:after="200"/>
        <w:jc w:val="both"/>
        <w:rPr>
          <w:sz w:val="20"/>
          <w:szCs w:val="20"/>
        </w:rPr>
      </w:pPr>
      <w:r>
        <w:rPr>
          <w:sz w:val="20"/>
          <w:szCs w:val="20"/>
        </w:rPr>
        <w:t xml:space="preserve">The ECL modelling does not differ for Purchased or Originated Credit Impaired (“POCI”) financial assets, except that (a) gross carrying value and discount rate are based on cash flows that were recoverable at initial recognition of the asset, rather than based on contractual cash flows, and (b) the ECL is always a lifetime ECL. POCI assets are financial assets that are credit-impaired upon initial recognition, such as impaired loans acquired in a past business combination. </w:t>
      </w:r>
    </w:p>
    <w:p w14:paraId="4EBBDE29" w14:textId="77777777" w:rsidR="00054457" w:rsidRDefault="00054457">
      <w:pPr>
        <w:widowControl w:val="0"/>
        <w:pBdr>
          <w:top w:val="nil"/>
          <w:left w:val="nil"/>
          <w:bottom w:val="nil"/>
          <w:right w:val="nil"/>
          <w:between w:val="nil"/>
        </w:pBdr>
        <w:spacing w:before="200" w:after="200"/>
        <w:jc w:val="both"/>
        <w:rPr>
          <w:color w:val="000000"/>
          <w:sz w:val="20"/>
          <w:szCs w:val="20"/>
        </w:rPr>
      </w:pPr>
    </w:p>
    <w:p w14:paraId="6ABCFFDC" w14:textId="77777777" w:rsidR="00054457" w:rsidRDefault="00054457">
      <w:pPr>
        <w:widowControl w:val="0"/>
        <w:pBdr>
          <w:top w:val="nil"/>
          <w:left w:val="nil"/>
          <w:bottom w:val="nil"/>
          <w:right w:val="nil"/>
          <w:between w:val="nil"/>
        </w:pBdr>
        <w:spacing w:before="200" w:after="200"/>
        <w:jc w:val="both"/>
        <w:rPr>
          <w:color w:val="000000"/>
          <w:sz w:val="20"/>
          <w:szCs w:val="20"/>
        </w:rPr>
      </w:pPr>
    </w:p>
    <w:p w14:paraId="64F12FA8" w14:textId="77777777" w:rsidR="00054457" w:rsidRDefault="00054457">
      <w:pPr>
        <w:widowControl w:val="0"/>
        <w:pBdr>
          <w:top w:val="nil"/>
          <w:left w:val="nil"/>
          <w:bottom w:val="nil"/>
          <w:right w:val="nil"/>
          <w:between w:val="nil"/>
        </w:pBdr>
        <w:spacing w:before="200" w:after="200"/>
        <w:jc w:val="both"/>
        <w:rPr>
          <w:color w:val="000000"/>
          <w:sz w:val="20"/>
          <w:szCs w:val="20"/>
        </w:rPr>
      </w:pPr>
    </w:p>
    <w:p w14:paraId="03711DF5" w14:textId="77777777" w:rsidR="00054457" w:rsidRDefault="00054457">
      <w:pPr>
        <w:widowControl w:val="0"/>
        <w:pBdr>
          <w:top w:val="nil"/>
          <w:left w:val="nil"/>
          <w:bottom w:val="nil"/>
          <w:right w:val="nil"/>
          <w:between w:val="nil"/>
        </w:pBdr>
        <w:spacing w:before="200" w:after="200"/>
        <w:jc w:val="both"/>
        <w:rPr>
          <w:color w:val="000000"/>
          <w:sz w:val="20"/>
          <w:szCs w:val="20"/>
        </w:rPr>
      </w:pPr>
    </w:p>
    <w:p w14:paraId="2B244610" w14:textId="77777777" w:rsidR="00054457" w:rsidRDefault="00054457">
      <w:pPr>
        <w:widowControl w:val="0"/>
        <w:pBdr>
          <w:top w:val="nil"/>
          <w:left w:val="nil"/>
          <w:bottom w:val="nil"/>
          <w:right w:val="nil"/>
          <w:between w:val="nil"/>
        </w:pBdr>
        <w:spacing w:before="200" w:after="200"/>
        <w:jc w:val="both"/>
        <w:rPr>
          <w:color w:val="000000"/>
          <w:sz w:val="20"/>
          <w:szCs w:val="20"/>
        </w:rPr>
      </w:pPr>
    </w:p>
    <w:p w14:paraId="13B43708" w14:textId="77777777" w:rsidR="00054457" w:rsidRDefault="00054457">
      <w:pPr>
        <w:widowControl w:val="0"/>
        <w:pBdr>
          <w:top w:val="nil"/>
          <w:left w:val="nil"/>
          <w:bottom w:val="nil"/>
          <w:right w:val="nil"/>
          <w:between w:val="nil"/>
        </w:pBdr>
        <w:spacing w:before="200" w:after="200"/>
        <w:jc w:val="both"/>
        <w:rPr>
          <w:color w:val="000000"/>
          <w:sz w:val="20"/>
          <w:szCs w:val="20"/>
        </w:rPr>
      </w:pPr>
    </w:p>
    <w:p w14:paraId="11824EF1" w14:textId="77777777" w:rsidR="00054457" w:rsidRDefault="00054457">
      <w:pPr>
        <w:widowControl w:val="0"/>
        <w:pBdr>
          <w:top w:val="nil"/>
          <w:left w:val="nil"/>
          <w:bottom w:val="nil"/>
          <w:right w:val="nil"/>
          <w:between w:val="nil"/>
        </w:pBdr>
        <w:spacing w:before="200" w:after="200"/>
        <w:jc w:val="both"/>
        <w:rPr>
          <w:color w:val="000000"/>
          <w:sz w:val="20"/>
          <w:szCs w:val="20"/>
        </w:rPr>
      </w:pPr>
    </w:p>
    <w:p w14:paraId="6391DCBA" w14:textId="77777777" w:rsidR="00054457" w:rsidRDefault="00054457">
      <w:pPr>
        <w:widowControl w:val="0"/>
        <w:pBdr>
          <w:top w:val="nil"/>
          <w:left w:val="nil"/>
          <w:bottom w:val="nil"/>
          <w:right w:val="nil"/>
          <w:between w:val="nil"/>
        </w:pBdr>
        <w:spacing w:before="200" w:after="200"/>
        <w:jc w:val="both"/>
        <w:rPr>
          <w:color w:val="000000"/>
          <w:sz w:val="20"/>
          <w:szCs w:val="20"/>
        </w:rPr>
      </w:pPr>
    </w:p>
    <w:p w14:paraId="05833C7E" w14:textId="77777777" w:rsidR="00054457" w:rsidRDefault="00054457">
      <w:pPr>
        <w:widowControl w:val="0"/>
        <w:pBdr>
          <w:top w:val="nil"/>
          <w:left w:val="nil"/>
          <w:bottom w:val="nil"/>
          <w:right w:val="nil"/>
          <w:between w:val="nil"/>
        </w:pBdr>
        <w:spacing w:before="200" w:after="200"/>
        <w:jc w:val="both"/>
        <w:rPr>
          <w:color w:val="000000"/>
          <w:sz w:val="20"/>
          <w:szCs w:val="20"/>
        </w:rPr>
      </w:pPr>
    </w:p>
    <w:p w14:paraId="37C5E787" w14:textId="77777777" w:rsidR="00054457" w:rsidRDefault="00054457" w:rsidP="00054457">
      <w:pPr>
        <w:pStyle w:val="Continued"/>
      </w:pPr>
      <w:r>
        <w:lastRenderedPageBreak/>
        <w:t>41</w:t>
      </w:r>
      <w:r>
        <w:tab/>
        <w:t>Financial Risk Management (Continued)</w:t>
      </w:r>
    </w:p>
    <w:p w14:paraId="3748B586" w14:textId="15255258" w:rsidR="00D83E33" w:rsidRPr="004C5CE9" w:rsidRDefault="004C5CE9">
      <w:pPr>
        <w:widowControl w:val="0"/>
        <w:pBdr>
          <w:top w:val="nil"/>
          <w:left w:val="nil"/>
          <w:bottom w:val="nil"/>
          <w:right w:val="nil"/>
          <w:between w:val="nil"/>
        </w:pBdr>
        <w:spacing w:before="200" w:after="200"/>
        <w:jc w:val="both"/>
        <w:rPr>
          <w:color w:val="000000"/>
          <w:sz w:val="20"/>
          <w:szCs w:val="20"/>
        </w:rPr>
      </w:pPr>
      <w:r w:rsidRPr="00315B92">
        <w:rPr>
          <w:color w:val="000000"/>
          <w:sz w:val="20"/>
          <w:szCs w:val="20"/>
        </w:rPr>
        <w:t xml:space="preserve">The Group </w:t>
      </w:r>
      <w:r w:rsidR="00940983">
        <w:rPr>
          <w:color w:val="000000"/>
          <w:sz w:val="20"/>
          <w:szCs w:val="20"/>
        </w:rPr>
        <w:t xml:space="preserve">uses </w:t>
      </w:r>
      <w:r w:rsidRPr="00315B92">
        <w:rPr>
          <w:color w:val="000000"/>
          <w:sz w:val="20"/>
          <w:szCs w:val="20"/>
        </w:rPr>
        <w:t>definition</w:t>
      </w:r>
      <w:r w:rsidR="00940983">
        <w:rPr>
          <w:color w:val="000000"/>
          <w:sz w:val="20"/>
          <w:szCs w:val="20"/>
        </w:rPr>
        <w:t xml:space="preserve"> of </w:t>
      </w:r>
      <w:r w:rsidR="00940983" w:rsidRPr="00315B92">
        <w:rPr>
          <w:color w:val="000000"/>
          <w:sz w:val="20"/>
          <w:szCs w:val="20"/>
        </w:rPr>
        <w:t>default</w:t>
      </w:r>
      <w:r>
        <w:rPr>
          <w:color w:val="000000"/>
          <w:sz w:val="20"/>
          <w:szCs w:val="20"/>
        </w:rPr>
        <w:t xml:space="preserve"> </w:t>
      </w:r>
      <w:r w:rsidR="00940983">
        <w:rPr>
          <w:color w:val="000000"/>
          <w:sz w:val="20"/>
          <w:szCs w:val="20"/>
        </w:rPr>
        <w:t>that is consistent</w:t>
      </w:r>
      <w:r>
        <w:rPr>
          <w:color w:val="000000"/>
          <w:sz w:val="20"/>
          <w:szCs w:val="20"/>
        </w:rPr>
        <w:t xml:space="preserve"> with</w:t>
      </w:r>
      <w:r w:rsidRPr="00315B92">
        <w:rPr>
          <w:color w:val="000000"/>
          <w:sz w:val="20"/>
          <w:szCs w:val="20"/>
        </w:rPr>
        <w:t xml:space="preserve"> </w:t>
      </w:r>
      <w:r w:rsidRPr="004C5CE9">
        <w:rPr>
          <w:color w:val="000000"/>
          <w:sz w:val="20"/>
          <w:szCs w:val="20"/>
        </w:rPr>
        <w:t>Article 178 of Regulation (EU) No 575/2013 (Capital Requirements Regulation – CRR)</w:t>
      </w:r>
      <w:r w:rsidRPr="00315B92">
        <w:rPr>
          <w:color w:val="000000"/>
          <w:sz w:val="20"/>
          <w:szCs w:val="20"/>
        </w:rPr>
        <w:t>.</w:t>
      </w:r>
      <w:r>
        <w:rPr>
          <w:color w:val="000000"/>
          <w:sz w:val="20"/>
          <w:szCs w:val="20"/>
        </w:rPr>
        <w:t xml:space="preserve"> </w:t>
      </w:r>
      <w:r w:rsidRPr="00315B92">
        <w:rPr>
          <w:color w:val="000000"/>
          <w:sz w:val="20"/>
          <w:szCs w:val="20"/>
        </w:rPr>
        <w:t>Overdue days are defined as the number of</w:t>
      </w:r>
      <w:r>
        <w:rPr>
          <w:color w:val="000000"/>
          <w:sz w:val="20"/>
          <w:szCs w:val="20"/>
        </w:rPr>
        <w:t xml:space="preserve"> </w:t>
      </w:r>
      <w:r w:rsidRPr="00315B92">
        <w:rPr>
          <w:color w:val="000000"/>
          <w:sz w:val="20"/>
          <w:szCs w:val="20"/>
        </w:rPr>
        <w:t xml:space="preserve">consecutive days when the arrears of the </w:t>
      </w:r>
      <w:r w:rsidR="00940983">
        <w:rPr>
          <w:color w:val="000000"/>
          <w:sz w:val="20"/>
          <w:szCs w:val="20"/>
        </w:rPr>
        <w:t>customer</w:t>
      </w:r>
      <w:r w:rsidRPr="00315B92">
        <w:rPr>
          <w:color w:val="000000"/>
          <w:sz w:val="20"/>
          <w:szCs w:val="20"/>
        </w:rPr>
        <w:t xml:space="preserve"> facility are </w:t>
      </w:r>
      <w:r w:rsidRPr="004C5CE9">
        <w:rPr>
          <w:color w:val="000000"/>
          <w:sz w:val="20"/>
          <w:szCs w:val="20"/>
        </w:rPr>
        <w:t>continuous and simultaneously above</w:t>
      </w:r>
      <w:r>
        <w:rPr>
          <w:color w:val="000000"/>
          <w:sz w:val="20"/>
          <w:szCs w:val="20"/>
        </w:rPr>
        <w:t xml:space="preserve"> </w:t>
      </w:r>
      <w:r w:rsidRPr="00315B92">
        <w:rPr>
          <w:color w:val="000000"/>
          <w:sz w:val="20"/>
          <w:szCs w:val="20"/>
        </w:rPr>
        <w:t xml:space="preserve">both </w:t>
      </w:r>
      <w:r w:rsidR="00940983">
        <w:rPr>
          <w:color w:val="000000"/>
          <w:sz w:val="20"/>
          <w:szCs w:val="20"/>
        </w:rPr>
        <w:t xml:space="preserve">(a) </w:t>
      </w:r>
      <w:r w:rsidRPr="004C5CE9">
        <w:rPr>
          <w:color w:val="000000"/>
          <w:sz w:val="20"/>
          <w:szCs w:val="20"/>
        </w:rPr>
        <w:t xml:space="preserve">absolute threshold and </w:t>
      </w:r>
      <w:r w:rsidR="00940983">
        <w:rPr>
          <w:color w:val="000000"/>
          <w:sz w:val="20"/>
          <w:szCs w:val="20"/>
        </w:rPr>
        <w:t xml:space="preserve">(b) </w:t>
      </w:r>
      <w:r w:rsidRPr="004C5CE9">
        <w:rPr>
          <w:color w:val="000000"/>
          <w:sz w:val="20"/>
          <w:szCs w:val="20"/>
        </w:rPr>
        <w:t>relative materiality threshold.</w:t>
      </w:r>
      <w:r>
        <w:rPr>
          <w:color w:val="000000"/>
          <w:sz w:val="20"/>
          <w:szCs w:val="20"/>
        </w:rPr>
        <w:t xml:space="preserve"> </w:t>
      </w:r>
      <w:r w:rsidR="00BC4072" w:rsidRPr="00315B92">
        <w:rPr>
          <w:color w:val="000000"/>
          <w:sz w:val="20"/>
          <w:szCs w:val="20"/>
        </w:rPr>
        <w:t>For purposes of measuring PD, the Group defines default as a situation when the exposure meets one or more of the following criteria:</w:t>
      </w:r>
    </w:p>
    <w:p w14:paraId="7B68A3AD" w14:textId="77777777" w:rsidR="00D83E33" w:rsidRDefault="00BC4072" w:rsidP="001B330E">
      <w:pPr>
        <w:pStyle w:val="bluetabs"/>
      </w:pPr>
      <w:r>
        <w:t>[the borrower is more than 90 days past due on its contractual payments;</w:t>
      </w:r>
    </w:p>
    <w:p w14:paraId="785C276B" w14:textId="77777777" w:rsidR="00D83E33" w:rsidRDefault="00BC4072" w:rsidP="001B330E">
      <w:pPr>
        <w:pStyle w:val="bluetabs"/>
      </w:pPr>
      <w:r>
        <w:t>the bank has sold the borrower’s debt or its portion at a loss due to credit deterioration;</w:t>
      </w:r>
    </w:p>
    <w:p w14:paraId="02613294" w14:textId="77777777" w:rsidR="00D83E33" w:rsidRDefault="00BC4072" w:rsidP="001B330E">
      <w:pPr>
        <w:pStyle w:val="bluetabs"/>
      </w:pPr>
      <w:r>
        <w:t>international rating agencies have classified the borrower in the default rating class;</w:t>
      </w:r>
    </w:p>
    <w:p w14:paraId="65DE113C" w14:textId="77777777" w:rsidR="00D83E33" w:rsidRDefault="00BC4072" w:rsidP="001B330E">
      <w:pPr>
        <w:pStyle w:val="bluetabs"/>
      </w:pPr>
      <w:r>
        <w:t>the borrower meets the unlikeliness-to-pay criteria listed below:</w:t>
      </w:r>
    </w:p>
    <w:p w14:paraId="134810DB" w14:textId="77777777" w:rsidR="00D83E33" w:rsidRDefault="00BC4072">
      <w:pPr>
        <w:widowControl w:val="0"/>
        <w:numPr>
          <w:ilvl w:val="0"/>
          <w:numId w:val="28"/>
        </w:numPr>
        <w:pBdr>
          <w:top w:val="nil"/>
          <w:left w:val="nil"/>
          <w:bottom w:val="nil"/>
          <w:right w:val="nil"/>
          <w:between w:val="nil"/>
        </w:pBdr>
        <w:spacing w:before="100" w:after="100"/>
        <w:ind w:left="1134" w:hanging="567"/>
        <w:jc w:val="both"/>
        <w:rPr>
          <w:color w:val="0000FF"/>
          <w:sz w:val="20"/>
          <w:szCs w:val="20"/>
        </w:rPr>
      </w:pPr>
      <w:r>
        <w:rPr>
          <w:color w:val="0000FF"/>
          <w:sz w:val="20"/>
          <w:szCs w:val="20"/>
        </w:rPr>
        <w:t>the bank was forced to restructure the debt;</w:t>
      </w:r>
    </w:p>
    <w:p w14:paraId="4EBB54CF" w14:textId="77777777" w:rsidR="00D83E33" w:rsidRDefault="00BC4072">
      <w:pPr>
        <w:widowControl w:val="0"/>
        <w:numPr>
          <w:ilvl w:val="0"/>
          <w:numId w:val="28"/>
        </w:numPr>
        <w:pBdr>
          <w:top w:val="nil"/>
          <w:left w:val="nil"/>
          <w:bottom w:val="nil"/>
          <w:right w:val="nil"/>
          <w:between w:val="nil"/>
        </w:pBdr>
        <w:spacing w:before="100" w:after="100"/>
        <w:ind w:left="1134" w:hanging="567"/>
        <w:jc w:val="both"/>
        <w:rPr>
          <w:color w:val="0000FF"/>
          <w:sz w:val="20"/>
          <w:szCs w:val="20"/>
        </w:rPr>
      </w:pPr>
      <w:r>
        <w:rPr>
          <w:color w:val="0000FF"/>
          <w:sz w:val="20"/>
          <w:szCs w:val="20"/>
        </w:rPr>
        <w:t>the borrower is deceased;</w:t>
      </w:r>
    </w:p>
    <w:p w14:paraId="03B16C55" w14:textId="77777777" w:rsidR="00D83E33" w:rsidRDefault="00BC4072">
      <w:pPr>
        <w:widowControl w:val="0"/>
        <w:numPr>
          <w:ilvl w:val="0"/>
          <w:numId w:val="28"/>
        </w:numPr>
        <w:pBdr>
          <w:top w:val="nil"/>
          <w:left w:val="nil"/>
          <w:bottom w:val="nil"/>
          <w:right w:val="nil"/>
          <w:between w:val="nil"/>
        </w:pBdr>
        <w:spacing w:before="100" w:after="100"/>
        <w:ind w:left="1134" w:hanging="567"/>
        <w:jc w:val="both"/>
        <w:rPr>
          <w:color w:val="0000FF"/>
          <w:sz w:val="20"/>
          <w:szCs w:val="20"/>
        </w:rPr>
      </w:pPr>
      <w:r>
        <w:rPr>
          <w:color w:val="0000FF"/>
          <w:sz w:val="20"/>
          <w:szCs w:val="20"/>
        </w:rPr>
        <w:t>the borrower is insolvent;</w:t>
      </w:r>
    </w:p>
    <w:p w14:paraId="4895B845" w14:textId="77777777" w:rsidR="00D83E33" w:rsidRDefault="00BC4072">
      <w:pPr>
        <w:widowControl w:val="0"/>
        <w:numPr>
          <w:ilvl w:val="0"/>
          <w:numId w:val="28"/>
        </w:numPr>
        <w:pBdr>
          <w:top w:val="nil"/>
          <w:left w:val="nil"/>
          <w:bottom w:val="nil"/>
          <w:right w:val="nil"/>
          <w:between w:val="nil"/>
        </w:pBdr>
        <w:spacing w:before="100" w:after="100"/>
        <w:ind w:left="1134" w:hanging="567"/>
        <w:jc w:val="both"/>
        <w:rPr>
          <w:color w:val="0000FF"/>
          <w:sz w:val="20"/>
          <w:szCs w:val="20"/>
        </w:rPr>
      </w:pPr>
      <w:r>
        <w:rPr>
          <w:color w:val="0000FF"/>
          <w:sz w:val="20"/>
          <w:szCs w:val="20"/>
        </w:rPr>
        <w:t>the borrower is in breach of financial covenant(s);</w:t>
      </w:r>
    </w:p>
    <w:p w14:paraId="3038D3F1" w14:textId="77777777" w:rsidR="00D83E33" w:rsidRDefault="00BC4072">
      <w:pPr>
        <w:widowControl w:val="0"/>
        <w:numPr>
          <w:ilvl w:val="0"/>
          <w:numId w:val="28"/>
        </w:numPr>
        <w:pBdr>
          <w:top w:val="nil"/>
          <w:left w:val="nil"/>
          <w:bottom w:val="nil"/>
          <w:right w:val="nil"/>
          <w:between w:val="nil"/>
        </w:pBdr>
        <w:spacing w:before="100" w:after="100"/>
        <w:ind w:left="1134" w:hanging="567"/>
        <w:jc w:val="both"/>
        <w:rPr>
          <w:color w:val="0000FF"/>
          <w:sz w:val="20"/>
          <w:szCs w:val="20"/>
        </w:rPr>
      </w:pPr>
      <w:r>
        <w:rPr>
          <w:color w:val="0000FF"/>
          <w:sz w:val="20"/>
          <w:szCs w:val="20"/>
        </w:rPr>
        <w:t>it is becoming likely that the borrower will enter bankruptcy; and</w:t>
      </w:r>
    </w:p>
    <w:p w14:paraId="0F27819F" w14:textId="77777777" w:rsidR="00D83E33" w:rsidRDefault="00BC4072">
      <w:pPr>
        <w:widowControl w:val="0"/>
        <w:numPr>
          <w:ilvl w:val="0"/>
          <w:numId w:val="28"/>
        </w:numPr>
        <w:pBdr>
          <w:top w:val="nil"/>
          <w:left w:val="nil"/>
          <w:bottom w:val="nil"/>
          <w:right w:val="nil"/>
          <w:between w:val="nil"/>
        </w:pBdr>
        <w:spacing w:before="100" w:after="100"/>
        <w:ind w:left="1134" w:hanging="567"/>
        <w:jc w:val="both"/>
        <w:rPr>
          <w:i/>
          <w:color w:val="0000FF"/>
          <w:sz w:val="20"/>
          <w:szCs w:val="20"/>
        </w:rPr>
      </w:pPr>
      <w:r>
        <w:rPr>
          <w:color w:val="0000FF"/>
          <w:sz w:val="20"/>
          <w:szCs w:val="20"/>
        </w:rPr>
        <w:t>the loans were purchased or originated at a deep discount that reflects the incurred credit losses.]</w:t>
      </w:r>
    </w:p>
    <w:p w14:paraId="79A465A8" w14:textId="10AD9383" w:rsidR="00D83E33" w:rsidRDefault="00BC4072">
      <w:pPr>
        <w:widowControl w:val="0"/>
        <w:pBdr>
          <w:top w:val="nil"/>
          <w:left w:val="nil"/>
          <w:bottom w:val="nil"/>
          <w:right w:val="nil"/>
          <w:between w:val="nil"/>
        </w:pBdr>
        <w:spacing w:before="200" w:after="200"/>
        <w:jc w:val="both"/>
        <w:rPr>
          <w:b/>
          <w:i/>
          <w:color w:val="FF0000"/>
          <w:sz w:val="20"/>
          <w:szCs w:val="20"/>
        </w:rPr>
      </w:pPr>
      <w:r>
        <w:rPr>
          <w:color w:val="000000"/>
          <w:sz w:val="20"/>
          <w:szCs w:val="20"/>
        </w:rPr>
        <w:t xml:space="preserve">For purposes of disclosure, the Group fully aligned the definition of default with the definition of credit-impaired assets. The default definition stated above is applied to all types of financial assets of the Group. </w:t>
      </w:r>
      <w:r>
        <w:rPr>
          <w:i/>
          <w:color w:val="FF0000"/>
          <w:sz w:val="20"/>
          <w:szCs w:val="20"/>
        </w:rPr>
        <w:t>[Specify the definition of default as it is used for internal credit risk management purposes for any specific class of financial instruments, if different].</w:t>
      </w:r>
    </w:p>
    <w:p w14:paraId="32DCE760" w14:textId="50881BAD" w:rsidR="00D83E33" w:rsidRDefault="00BC4072">
      <w:pPr>
        <w:widowControl w:val="0"/>
        <w:spacing w:before="200" w:after="200"/>
        <w:jc w:val="both"/>
        <w:rPr>
          <w:i/>
          <w:color w:val="FF0000"/>
          <w:sz w:val="20"/>
          <w:szCs w:val="20"/>
        </w:rPr>
      </w:pPr>
      <w:r>
        <w:rPr>
          <w:sz w:val="20"/>
          <w:szCs w:val="20"/>
        </w:rPr>
        <w:t xml:space="preserve">An instrument is considered to no longer be in default (i.e. to have cured) when it no longer meets any of the default criteria for a consecutive period of </w:t>
      </w:r>
      <w:r>
        <w:rPr>
          <w:color w:val="0000FF"/>
          <w:sz w:val="20"/>
          <w:szCs w:val="20"/>
        </w:rPr>
        <w:t>[six</w:t>
      </w:r>
      <w:r>
        <w:rPr>
          <w:sz w:val="20"/>
          <w:szCs w:val="20"/>
        </w:rPr>
        <w:t xml:space="preserve"> </w:t>
      </w:r>
      <w:r>
        <w:rPr>
          <w:color w:val="0000FF"/>
          <w:sz w:val="20"/>
          <w:szCs w:val="20"/>
        </w:rPr>
        <w:t>months]</w:t>
      </w:r>
      <w:r>
        <w:rPr>
          <w:sz w:val="20"/>
          <w:szCs w:val="20"/>
        </w:rPr>
        <w:t xml:space="preserve">. This period of </w:t>
      </w:r>
      <w:r>
        <w:rPr>
          <w:color w:val="0000FF"/>
          <w:sz w:val="20"/>
          <w:szCs w:val="20"/>
        </w:rPr>
        <w:t>[six months]</w:t>
      </w:r>
      <w:r>
        <w:rPr>
          <w:sz w:val="20"/>
          <w:szCs w:val="20"/>
        </w:rPr>
        <w:t xml:space="preserve"> has been determined based on an analysis that considers the likelihood of a financial instrument returning to default status after curing by using different possible definitions of cures. </w:t>
      </w:r>
      <w:r>
        <w:rPr>
          <w:i/>
          <w:color w:val="FF0000"/>
          <w:sz w:val="20"/>
          <w:szCs w:val="20"/>
        </w:rPr>
        <w:t>[Specify criteria used by the Group for each class of financial assets.]</w:t>
      </w:r>
    </w:p>
    <w:p w14:paraId="5591BE89" w14:textId="77777777" w:rsidR="00054457" w:rsidRDefault="00054457" w:rsidP="00054457">
      <w:pPr>
        <w:widowControl w:val="0"/>
        <w:spacing w:before="200" w:after="200"/>
        <w:jc w:val="both"/>
        <w:rPr>
          <w:sz w:val="20"/>
          <w:szCs w:val="20"/>
        </w:rPr>
      </w:pPr>
      <w:r>
        <w:rPr>
          <w:sz w:val="20"/>
          <w:szCs w:val="20"/>
        </w:rPr>
        <w:t>The assessment whether or not there has been a significant increase in credit risk (“SICR”)</w:t>
      </w:r>
      <w:r>
        <w:rPr>
          <w:i/>
          <w:sz w:val="20"/>
          <w:szCs w:val="20"/>
        </w:rPr>
        <w:t xml:space="preserve"> </w:t>
      </w:r>
      <w:r>
        <w:rPr>
          <w:sz w:val="20"/>
          <w:szCs w:val="20"/>
        </w:rPr>
        <w:t>since initial recognition</w:t>
      </w:r>
      <w:r>
        <w:rPr>
          <w:i/>
          <w:sz w:val="20"/>
          <w:szCs w:val="20"/>
        </w:rPr>
        <w:t xml:space="preserve"> </w:t>
      </w:r>
      <w:r>
        <w:rPr>
          <w:sz w:val="20"/>
          <w:szCs w:val="20"/>
        </w:rPr>
        <w:t xml:space="preserve">is performed on an individual basis and on a portfolio basis. For </w:t>
      </w:r>
      <w:r>
        <w:rPr>
          <w:color w:val="0000FF"/>
          <w:sz w:val="20"/>
          <w:szCs w:val="20"/>
        </w:rPr>
        <w:t>[loans issued to corporate entities, interbank loans and debt securities at AC or at FVOCI]</w:t>
      </w:r>
      <w:r>
        <w:rPr>
          <w:sz w:val="20"/>
          <w:szCs w:val="20"/>
        </w:rPr>
        <w:t xml:space="preserve">, SICR is assessed on an individual basis by monitoring the triggers stated below. For </w:t>
      </w:r>
      <w:r>
        <w:rPr>
          <w:color w:val="0000FF"/>
          <w:sz w:val="20"/>
          <w:szCs w:val="20"/>
        </w:rPr>
        <w:t>[loans issued to individuals and other financial assets]</w:t>
      </w:r>
      <w:r>
        <w:rPr>
          <w:sz w:val="20"/>
          <w:szCs w:val="20"/>
        </w:rPr>
        <w:t xml:space="preserve">, SICR is assessed either on a portfolio basis or an individual basis, depending on the existence of scoring models. The criteria used to identify an SICR are monitored and reviewed periodically for appropriateness by the Group’s </w:t>
      </w:r>
      <w:r>
        <w:rPr>
          <w:color w:val="0000FF"/>
          <w:sz w:val="20"/>
          <w:szCs w:val="20"/>
        </w:rPr>
        <w:t>[Risk Management Department]</w:t>
      </w:r>
      <w:r>
        <w:rPr>
          <w:sz w:val="20"/>
          <w:szCs w:val="20"/>
        </w:rPr>
        <w:t>. The presumption, being that there have been significant increases in credit risk since initial recognition when financial assets are more than 30 days past due, has not been rebutted.</w:t>
      </w:r>
    </w:p>
    <w:p w14:paraId="5347752B" w14:textId="77777777" w:rsidR="00054457" w:rsidRDefault="00054457" w:rsidP="00054457">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decided not to use the low credit risk assessment exemption for investment grade financial assets. Hence, even assets of an investment grade are assessed whether there has been a SICR. </w:t>
      </w:r>
    </w:p>
    <w:p w14:paraId="7766E5EF" w14:textId="6BFCF0C0" w:rsidR="00054457" w:rsidRDefault="00054457" w:rsidP="00054457">
      <w:pPr>
        <w:widowControl w:val="0"/>
        <w:spacing w:before="200" w:after="200"/>
        <w:jc w:val="both"/>
        <w:rPr>
          <w:color w:val="FF0000"/>
          <w:sz w:val="20"/>
          <w:szCs w:val="20"/>
        </w:rPr>
      </w:pPr>
      <w:r>
        <w:rPr>
          <w:sz w:val="20"/>
          <w:szCs w:val="20"/>
        </w:rPr>
        <w:t xml:space="preserve">The Group considers a financial instrument to have experienced an SICR when one or more of the following quantitative, qualitative or backstop criteria have been met. </w:t>
      </w:r>
      <w:r>
        <w:rPr>
          <w:i/>
          <w:color w:val="FF0000"/>
          <w:sz w:val="20"/>
          <w:szCs w:val="20"/>
        </w:rPr>
        <w:t>[specify separately in case the assessment of SICR differs for specialised lending or other financial assets]</w:t>
      </w:r>
    </w:p>
    <w:p w14:paraId="46917712" w14:textId="77777777" w:rsidR="00054457" w:rsidRDefault="00054457">
      <w:pPr>
        <w:widowControl w:val="0"/>
        <w:spacing w:before="200" w:after="200"/>
        <w:jc w:val="both"/>
        <w:rPr>
          <w:i/>
          <w:color w:val="FF0000"/>
          <w:sz w:val="20"/>
          <w:szCs w:val="20"/>
        </w:rPr>
      </w:pPr>
    </w:p>
    <w:p w14:paraId="5FA525C4" w14:textId="4E433ECD" w:rsidR="00D83E33" w:rsidRDefault="00BC4072" w:rsidP="001B330E">
      <w:pPr>
        <w:pStyle w:val="Continued"/>
      </w:pPr>
      <w:r>
        <w:lastRenderedPageBreak/>
        <w:t>41</w:t>
      </w:r>
      <w:r>
        <w:tab/>
        <w:t>Financial Risk Management (Continued)</w:t>
      </w:r>
    </w:p>
    <w:p w14:paraId="772E7C81" w14:textId="77777777" w:rsidR="00D83E33" w:rsidRDefault="00BC4072">
      <w:pPr>
        <w:widowControl w:val="0"/>
        <w:spacing w:before="200" w:after="200"/>
        <w:jc w:val="both"/>
        <w:rPr>
          <w:sz w:val="20"/>
          <w:szCs w:val="20"/>
        </w:rPr>
      </w:pPr>
      <w:r>
        <w:rPr>
          <w:sz w:val="20"/>
          <w:szCs w:val="20"/>
        </w:rPr>
        <w:t>For interbank operations and bonds issued by banks:</w:t>
      </w:r>
    </w:p>
    <w:p w14:paraId="4D6B51DB"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FF"/>
          <w:sz w:val="20"/>
          <w:szCs w:val="20"/>
        </w:rPr>
        <w:t>[30]</w:t>
      </w:r>
      <w:r>
        <w:rPr>
          <w:color w:val="000000"/>
          <w:sz w:val="20"/>
          <w:szCs w:val="20"/>
        </w:rPr>
        <w:t xml:space="preserve"> days past due;</w:t>
      </w:r>
    </w:p>
    <w:p w14:paraId="2930151A"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award of risk grade “Special monitoring”;</w:t>
      </w:r>
    </w:p>
    <w:p w14:paraId="34A6586B" w14:textId="79EAE011"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SICR based on relative threshold based either on external ratings or internal ratings. The following thresholds are used for external ratings: decrease of rating by </w:t>
      </w:r>
      <w:r>
        <w:rPr>
          <w:color w:val="0000FF"/>
          <w:sz w:val="20"/>
          <w:szCs w:val="20"/>
        </w:rPr>
        <w:t>[2]</w:t>
      </w:r>
      <w:r>
        <w:rPr>
          <w:color w:val="FF0000"/>
          <w:sz w:val="20"/>
          <w:szCs w:val="20"/>
        </w:rPr>
        <w:t xml:space="preserve"> </w:t>
      </w:r>
      <w:r>
        <w:rPr>
          <w:color w:val="000000"/>
          <w:sz w:val="20"/>
          <w:szCs w:val="20"/>
        </w:rPr>
        <w:t xml:space="preserve">notches, for internal ratings by </w:t>
      </w:r>
      <w:r>
        <w:rPr>
          <w:color w:val="0000FF"/>
          <w:sz w:val="20"/>
          <w:szCs w:val="20"/>
        </w:rPr>
        <w:t>[5]</w:t>
      </w:r>
      <w:r>
        <w:rPr>
          <w:color w:val="FF0000"/>
          <w:sz w:val="20"/>
          <w:szCs w:val="20"/>
        </w:rPr>
        <w:t xml:space="preserve"> </w:t>
      </w:r>
      <w:r>
        <w:rPr>
          <w:color w:val="000000"/>
          <w:sz w:val="20"/>
          <w:szCs w:val="20"/>
        </w:rPr>
        <w:t xml:space="preserve">notches, which corresponds to an approximate increase of PD by </w:t>
      </w:r>
      <w:r>
        <w:rPr>
          <w:color w:val="0000FF"/>
          <w:sz w:val="20"/>
          <w:szCs w:val="20"/>
        </w:rPr>
        <w:t>[</w:t>
      </w:r>
      <w:r w:rsidR="00F56971">
        <w:rPr>
          <w:color w:val="0000FF"/>
          <w:sz w:val="20"/>
          <w:szCs w:val="20"/>
        </w:rPr>
        <w:t>3</w:t>
      </w:r>
      <w:r>
        <w:rPr>
          <w:color w:val="0000FF"/>
          <w:sz w:val="20"/>
          <w:szCs w:val="20"/>
        </w:rPr>
        <w:t>]</w:t>
      </w:r>
      <w:r>
        <w:rPr>
          <w:color w:val="FF0000"/>
          <w:sz w:val="20"/>
          <w:szCs w:val="20"/>
        </w:rPr>
        <w:t xml:space="preserve"> </w:t>
      </w:r>
      <w:r>
        <w:rPr>
          <w:color w:val="000000"/>
          <w:sz w:val="20"/>
          <w:szCs w:val="20"/>
        </w:rPr>
        <w:t>times</w:t>
      </w:r>
      <w:r w:rsidR="00F56971">
        <w:rPr>
          <w:color w:val="000000"/>
          <w:sz w:val="20"/>
          <w:szCs w:val="20"/>
        </w:rPr>
        <w:t xml:space="preserve">; refer to Note </w:t>
      </w:r>
      <w:r w:rsidR="00F56971">
        <w:rPr>
          <w:color w:val="000000"/>
          <w:sz w:val="20"/>
          <w:szCs w:val="20"/>
        </w:rPr>
        <w:fldChar w:fldCharType="begin"/>
      </w:r>
      <w:r w:rsidR="00F56971">
        <w:rPr>
          <w:color w:val="000000"/>
          <w:sz w:val="20"/>
          <w:szCs w:val="20"/>
        </w:rPr>
        <w:instrText xml:space="preserve"> REF _Ref146548582 \r \h </w:instrText>
      </w:r>
      <w:r w:rsidR="00F56971">
        <w:rPr>
          <w:color w:val="000000"/>
          <w:sz w:val="20"/>
          <w:szCs w:val="20"/>
        </w:rPr>
      </w:r>
      <w:r w:rsidR="00F56971">
        <w:rPr>
          <w:color w:val="000000"/>
          <w:sz w:val="20"/>
          <w:szCs w:val="20"/>
        </w:rPr>
        <w:fldChar w:fldCharType="separate"/>
      </w:r>
      <w:r w:rsidR="00F56971">
        <w:rPr>
          <w:color w:val="000000"/>
          <w:sz w:val="20"/>
          <w:szCs w:val="20"/>
        </w:rPr>
        <w:t>4</w:t>
      </w:r>
      <w:r w:rsidR="00F56971">
        <w:rPr>
          <w:color w:val="000000"/>
          <w:sz w:val="20"/>
          <w:szCs w:val="20"/>
        </w:rPr>
        <w:fldChar w:fldCharType="end"/>
      </w:r>
      <w:r w:rsidR="00F56971">
        <w:rPr>
          <w:color w:val="000000"/>
          <w:sz w:val="20"/>
          <w:szCs w:val="20"/>
        </w:rPr>
        <w:t>.</w:t>
      </w:r>
    </w:p>
    <w:p w14:paraId="6C9ACFC5" w14:textId="77777777" w:rsidR="00D83E33" w:rsidRDefault="00BC4072">
      <w:pPr>
        <w:widowControl w:val="0"/>
        <w:spacing w:before="200" w:after="200"/>
        <w:jc w:val="both"/>
        <w:rPr>
          <w:sz w:val="20"/>
          <w:szCs w:val="20"/>
        </w:rPr>
      </w:pPr>
      <w:r>
        <w:rPr>
          <w:sz w:val="20"/>
          <w:szCs w:val="20"/>
        </w:rPr>
        <w:t>For loans issued to legal entities and bonds issued by corporate customers:</w:t>
      </w:r>
    </w:p>
    <w:p w14:paraId="0A219CAD"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FF"/>
          <w:sz w:val="20"/>
          <w:szCs w:val="20"/>
        </w:rPr>
        <w:t>[30]</w:t>
      </w:r>
      <w:r>
        <w:rPr>
          <w:color w:val="000000"/>
          <w:sz w:val="20"/>
          <w:szCs w:val="20"/>
        </w:rPr>
        <w:t xml:space="preserve"> days past due;</w:t>
      </w:r>
    </w:p>
    <w:p w14:paraId="46843FBC"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award of risk grade “Special monitoring”;</w:t>
      </w:r>
    </w:p>
    <w:p w14:paraId="5A8DF38D" w14:textId="2D7F6343"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SICR based on relative threshold based either on external ratings or internal ratings. The following thresholds are used for external ratings: decrease of rating by </w:t>
      </w:r>
      <w:r>
        <w:rPr>
          <w:color w:val="0000FF"/>
          <w:sz w:val="20"/>
          <w:szCs w:val="20"/>
        </w:rPr>
        <w:t>[2]</w:t>
      </w:r>
      <w:r>
        <w:rPr>
          <w:color w:val="FF0000"/>
          <w:sz w:val="20"/>
          <w:szCs w:val="20"/>
        </w:rPr>
        <w:t xml:space="preserve"> </w:t>
      </w:r>
      <w:r>
        <w:rPr>
          <w:color w:val="000000"/>
          <w:sz w:val="20"/>
          <w:szCs w:val="20"/>
        </w:rPr>
        <w:t xml:space="preserve">notches, for internal ratings by </w:t>
      </w:r>
      <w:r>
        <w:rPr>
          <w:color w:val="0000FF"/>
          <w:sz w:val="20"/>
          <w:szCs w:val="20"/>
        </w:rPr>
        <w:t>[5]</w:t>
      </w:r>
      <w:r>
        <w:rPr>
          <w:color w:val="FF0000"/>
          <w:sz w:val="20"/>
          <w:szCs w:val="20"/>
        </w:rPr>
        <w:t xml:space="preserve"> </w:t>
      </w:r>
      <w:r>
        <w:rPr>
          <w:color w:val="000000"/>
          <w:sz w:val="20"/>
          <w:szCs w:val="20"/>
        </w:rPr>
        <w:t xml:space="preserve">notches, which corresponds to approximate increase of PD by </w:t>
      </w:r>
      <w:r>
        <w:rPr>
          <w:color w:val="0000FF"/>
          <w:sz w:val="20"/>
          <w:szCs w:val="20"/>
        </w:rPr>
        <w:t>[</w:t>
      </w:r>
      <w:r w:rsidR="00F56971">
        <w:rPr>
          <w:color w:val="0000FF"/>
          <w:sz w:val="20"/>
          <w:szCs w:val="20"/>
        </w:rPr>
        <w:t>3</w:t>
      </w:r>
      <w:r>
        <w:rPr>
          <w:color w:val="0000FF"/>
          <w:sz w:val="20"/>
          <w:szCs w:val="20"/>
        </w:rPr>
        <w:t>]</w:t>
      </w:r>
      <w:r>
        <w:rPr>
          <w:color w:val="FF0000"/>
          <w:sz w:val="20"/>
          <w:szCs w:val="20"/>
        </w:rPr>
        <w:t xml:space="preserve"> </w:t>
      </w:r>
      <w:r>
        <w:rPr>
          <w:color w:val="000000"/>
          <w:sz w:val="20"/>
          <w:szCs w:val="20"/>
        </w:rPr>
        <w:t>times</w:t>
      </w:r>
      <w:r w:rsidR="00F56971">
        <w:rPr>
          <w:color w:val="000000"/>
          <w:sz w:val="20"/>
          <w:szCs w:val="20"/>
        </w:rPr>
        <w:t xml:space="preserve">; refer to Note </w:t>
      </w:r>
      <w:r w:rsidR="00F56971">
        <w:rPr>
          <w:color w:val="000000"/>
          <w:sz w:val="20"/>
          <w:szCs w:val="20"/>
        </w:rPr>
        <w:fldChar w:fldCharType="begin"/>
      </w:r>
      <w:r w:rsidR="00F56971">
        <w:rPr>
          <w:color w:val="000000"/>
          <w:sz w:val="20"/>
          <w:szCs w:val="20"/>
        </w:rPr>
        <w:instrText xml:space="preserve"> REF _Ref146548582 \r \h </w:instrText>
      </w:r>
      <w:r w:rsidR="00F56971">
        <w:rPr>
          <w:color w:val="000000"/>
          <w:sz w:val="20"/>
          <w:szCs w:val="20"/>
        </w:rPr>
      </w:r>
      <w:r w:rsidR="00F56971">
        <w:rPr>
          <w:color w:val="000000"/>
          <w:sz w:val="20"/>
          <w:szCs w:val="20"/>
        </w:rPr>
        <w:fldChar w:fldCharType="separate"/>
      </w:r>
      <w:r w:rsidR="00F56971">
        <w:rPr>
          <w:color w:val="000000"/>
          <w:sz w:val="20"/>
          <w:szCs w:val="20"/>
        </w:rPr>
        <w:t>4</w:t>
      </w:r>
      <w:r w:rsidR="00F56971">
        <w:rPr>
          <w:color w:val="000000"/>
          <w:sz w:val="20"/>
          <w:szCs w:val="20"/>
        </w:rPr>
        <w:fldChar w:fldCharType="end"/>
      </w:r>
      <w:r w:rsidR="00F56971">
        <w:rPr>
          <w:color w:val="000000"/>
          <w:sz w:val="20"/>
          <w:szCs w:val="20"/>
        </w:rPr>
        <w:t>;</w:t>
      </w:r>
    </w:p>
    <w:p w14:paraId="12C5436A"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inclusion of loan into a watch list according to the internal credit risk monitoring process.</w:t>
      </w:r>
    </w:p>
    <w:p w14:paraId="34B7EF28" w14:textId="77777777" w:rsidR="00D83E33" w:rsidRDefault="00BC4072">
      <w:pPr>
        <w:widowControl w:val="0"/>
        <w:spacing w:before="200" w:after="200"/>
        <w:jc w:val="both"/>
        <w:rPr>
          <w:sz w:val="20"/>
          <w:szCs w:val="20"/>
        </w:rPr>
      </w:pPr>
      <w:r>
        <w:rPr>
          <w:sz w:val="20"/>
          <w:szCs w:val="20"/>
        </w:rPr>
        <w:t xml:space="preserve">For loans to Individuals: </w:t>
      </w:r>
    </w:p>
    <w:p w14:paraId="0F5EAD79"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FF"/>
          <w:sz w:val="20"/>
          <w:szCs w:val="20"/>
        </w:rPr>
        <w:t>[30]</w:t>
      </w:r>
      <w:r>
        <w:rPr>
          <w:color w:val="000000"/>
          <w:sz w:val="20"/>
          <w:szCs w:val="20"/>
        </w:rPr>
        <w:t xml:space="preserve"> days past due;</w:t>
      </w:r>
    </w:p>
    <w:p w14:paraId="3E31A990" w14:textId="77777777" w:rsidR="00D83E33" w:rsidRDefault="00BC4072">
      <w:pPr>
        <w:widowControl w:val="0"/>
        <w:numPr>
          <w:ilvl w:val="0"/>
          <w:numId w:val="23"/>
        </w:numPr>
        <w:pBdr>
          <w:top w:val="nil"/>
          <w:left w:val="nil"/>
          <w:bottom w:val="nil"/>
          <w:right w:val="nil"/>
          <w:between w:val="nil"/>
        </w:pBdr>
        <w:spacing w:before="100" w:after="100"/>
        <w:ind w:left="567" w:hanging="567"/>
        <w:jc w:val="both"/>
        <w:rPr>
          <w:color w:val="0000FF"/>
          <w:sz w:val="20"/>
          <w:szCs w:val="20"/>
        </w:rPr>
      </w:pPr>
      <w:r>
        <w:rPr>
          <w:color w:val="0000FF"/>
          <w:sz w:val="20"/>
          <w:szCs w:val="20"/>
        </w:rPr>
        <w:t>[Relative threshold defined on the basis of a portfolio for products without existing scoring models: the Group regularly monitors segments with increased credit risk (regions of higher credit risk, failed products, products on which issuing was stopped) and considers such portfolios to have a SICR;] / [Relative threshold defined on individual basis for products with existing scoring models: increase of the remaining lifetime PD compared to remaining lifetime PD estimated as of the date of initial recognition by 2.5 times. In some circumstances, the Group uses a 12-month PD instead of a lifetime PD for calculating this ratio, if the effect of using 12-month PD is not materially different.]</w:t>
      </w:r>
    </w:p>
    <w:p w14:paraId="0088FE98" w14:textId="13857BF2" w:rsidR="00D83E33" w:rsidRDefault="00D83E33">
      <w:pPr>
        <w:widowControl w:val="0"/>
        <w:spacing w:before="200" w:after="200"/>
        <w:jc w:val="both"/>
        <w:rPr>
          <w:color w:val="FF0000"/>
          <w:sz w:val="20"/>
          <w:szCs w:val="20"/>
        </w:rPr>
      </w:pPr>
    </w:p>
    <w:p w14:paraId="1388A43D" w14:textId="77777777" w:rsidR="00054457" w:rsidRDefault="00054457" w:rsidP="00054457">
      <w:pPr>
        <w:widowControl w:val="0"/>
        <w:spacing w:before="200" w:after="200"/>
        <w:jc w:val="both"/>
        <w:rPr>
          <w:sz w:val="20"/>
          <w:szCs w:val="20"/>
        </w:rPr>
      </w:pPr>
      <w:r>
        <w:rPr>
          <w:sz w:val="20"/>
          <w:szCs w:val="20"/>
        </w:rPr>
        <w:t>The level of ECL that is recognised in these consolidated financial statements depends on whether the credit risk of the borrower has increased significantly since initial recognition. This is a three-stage model for ECL measurement. A financial instrument that is not credit-impaired on initial recognition and its credit risk has not increased significantly since initial recognition has a credit loss allowance based on 12-month ECLs (Stage 1). If a SICR since initial recognition is identified, the financial instrument is moved to Stage 2 but is not yet deemed to be credit-impaired and the loss allowance is based on lifetime ECLs. If a financial instrument is credit-impaired, the financial instrument is moved to Stage 3 and loss allowance is based on lifetime ECLs. The consequence of an asset being in Stage 3 is that the entity ceases to recognise interest income based on gross carrying value and applies the asset’s effective interest rate to the carrying amount, net of ECL, when calculating interest income.</w:t>
      </w:r>
    </w:p>
    <w:p w14:paraId="0A41A5F7" w14:textId="77777777" w:rsidR="00054457" w:rsidRDefault="00054457">
      <w:pPr>
        <w:widowControl w:val="0"/>
        <w:spacing w:before="200" w:after="200"/>
        <w:jc w:val="both"/>
        <w:rPr>
          <w:i/>
          <w:color w:val="FF0000"/>
          <w:sz w:val="20"/>
          <w:szCs w:val="20"/>
        </w:rPr>
      </w:pPr>
    </w:p>
    <w:p w14:paraId="229BB156" w14:textId="4C6C7840" w:rsidR="00D83E33" w:rsidRDefault="00BC4072" w:rsidP="001B330E">
      <w:pPr>
        <w:pStyle w:val="Continued"/>
      </w:pPr>
      <w:r>
        <w:lastRenderedPageBreak/>
        <w:t>41</w:t>
      </w:r>
      <w:r>
        <w:tab/>
        <w:t>Financial Risk Management (Continued)</w:t>
      </w:r>
    </w:p>
    <w:p w14:paraId="6FCD828B" w14:textId="276F1884" w:rsidR="00D83E33" w:rsidRDefault="00BC4072">
      <w:pPr>
        <w:widowControl w:val="0"/>
        <w:spacing w:before="200" w:after="200"/>
        <w:jc w:val="both"/>
        <w:rPr>
          <w:sz w:val="20"/>
          <w:szCs w:val="20"/>
        </w:rPr>
      </w:pPr>
      <w:r>
        <w:rPr>
          <w:sz w:val="20"/>
          <w:szCs w:val="20"/>
        </w:rPr>
        <w:t xml:space="preserve">If there is evidence that the SICR criteria are no longer met, the instrument is transferred back to Stage 1. If an exposure has been transferred to Stage 2 based on a qualitative indicator, the Group monitors whether that indicator continues to exist or has changed. </w:t>
      </w:r>
      <w:r>
        <w:rPr>
          <w:color w:val="FF0000"/>
          <w:sz w:val="20"/>
          <w:szCs w:val="20"/>
        </w:rPr>
        <w:t>[Specify the process for how the Group monitors SICR indicators]</w:t>
      </w:r>
      <w:r>
        <w:rPr>
          <w:sz w:val="20"/>
          <w:szCs w:val="20"/>
        </w:rPr>
        <w:t xml:space="preserve">. </w:t>
      </w:r>
    </w:p>
    <w:p w14:paraId="3A16119F" w14:textId="77777777" w:rsidR="00D83E33" w:rsidRDefault="00BC4072">
      <w:pPr>
        <w:widowControl w:val="0"/>
        <w:spacing w:before="200" w:after="200"/>
        <w:jc w:val="both"/>
        <w:rPr>
          <w:sz w:val="20"/>
          <w:szCs w:val="20"/>
        </w:rPr>
      </w:pPr>
      <w:r>
        <w:rPr>
          <w:sz w:val="20"/>
          <w:szCs w:val="20"/>
        </w:rPr>
        <w:t xml:space="preserve">ECL for POCI financial assets is always measured on a lifetime basis. The Group therefore only recognises the cumulative changes in lifetime expected credit losses. </w:t>
      </w:r>
    </w:p>
    <w:p w14:paraId="7BAED5CD" w14:textId="5854D7E5" w:rsidR="00D83E33" w:rsidRDefault="00BC4072">
      <w:pPr>
        <w:widowControl w:val="0"/>
        <w:spacing w:before="200" w:after="200"/>
        <w:jc w:val="both"/>
        <w:rPr>
          <w:sz w:val="20"/>
          <w:szCs w:val="20"/>
        </w:rPr>
      </w:pPr>
      <w:r>
        <w:rPr>
          <w:sz w:val="20"/>
          <w:szCs w:val="20"/>
        </w:rPr>
        <w:t xml:space="preserve">The Group has three approaches for ECL measurement: (i) assessment on an individual basis; (ii) assessment on a portfolio basis: internal ratings are estimated on an individual basis but the same credit risk parameters (e.g. PD, LGD) will be applied during the process of ECL calculations for the same credit risk ratings and homogeneous segments of the loan portfolio; and (iii) assessment based on external ratings. The Group performs an assessment on an individual basis for the following types of loans: </w:t>
      </w:r>
      <w:r>
        <w:rPr>
          <w:color w:val="0000FF"/>
          <w:sz w:val="20"/>
          <w:szCs w:val="20"/>
        </w:rPr>
        <w:t xml:space="preserve">[loans with unique credit risk characteristics, individually significant loans, that is, individual exposures above </w:t>
      </w:r>
      <w:r w:rsidR="00D73799">
        <w:rPr>
          <w:color w:val="0000FF"/>
          <w:sz w:val="20"/>
          <w:szCs w:val="20"/>
        </w:rPr>
        <w:t>EUR</w:t>
      </w:r>
      <w:r>
        <w:rPr>
          <w:color w:val="0000FF"/>
          <w:sz w:val="20"/>
          <w:szCs w:val="20"/>
        </w:rPr>
        <w:t xml:space="preserve"> ____ thousand and credit-impaired loans above </w:t>
      </w:r>
      <w:r w:rsidR="00D73799">
        <w:rPr>
          <w:color w:val="0000FF"/>
          <w:sz w:val="20"/>
          <w:szCs w:val="20"/>
        </w:rPr>
        <w:t>EUR</w:t>
      </w:r>
      <w:r>
        <w:rPr>
          <w:color w:val="0000FF"/>
          <w:sz w:val="20"/>
          <w:szCs w:val="20"/>
        </w:rPr>
        <w:t xml:space="preserve"> ____ thousand.]. </w:t>
      </w:r>
      <w:r>
        <w:rPr>
          <w:sz w:val="20"/>
          <w:szCs w:val="20"/>
        </w:rPr>
        <w:t xml:space="preserve">The Group performs an assessment on a portfolio basis for the following types of loans: </w:t>
      </w:r>
      <w:r>
        <w:rPr>
          <w:color w:val="0000FF"/>
          <w:sz w:val="20"/>
          <w:szCs w:val="20"/>
        </w:rPr>
        <w:t>[retail loans and loans issued to SMEs, when no borrower-specific information is available]</w:t>
      </w:r>
      <w:r>
        <w:rPr>
          <w:sz w:val="20"/>
          <w:szCs w:val="20"/>
        </w:rPr>
        <w:t xml:space="preserve">. This approach stratifies the loan pool into homogeneous segments based on borrower-specific information, such as </w:t>
      </w:r>
      <w:r>
        <w:rPr>
          <w:color w:val="0000FF"/>
          <w:sz w:val="20"/>
          <w:szCs w:val="20"/>
        </w:rPr>
        <w:t xml:space="preserve">[delinquency status, the historical data on losses, location and other predictive information.] </w:t>
      </w:r>
      <w:r>
        <w:rPr>
          <w:sz w:val="20"/>
          <w:szCs w:val="20"/>
        </w:rPr>
        <w:t xml:space="preserve">The Group also performs an assessment on a portfolio basis for </w:t>
      </w:r>
      <w:r>
        <w:rPr>
          <w:color w:val="0000FF"/>
          <w:sz w:val="20"/>
          <w:szCs w:val="20"/>
        </w:rPr>
        <w:t>[loans issued to corporate customers (standard lending, specialised lending, loans to leasing companies, etc.), interbank loans, retail loans and loans issued to SMEs.]</w:t>
      </w:r>
      <w:r>
        <w:rPr>
          <w:color w:val="FF0000"/>
          <w:sz w:val="20"/>
          <w:szCs w:val="20"/>
        </w:rPr>
        <w:t xml:space="preserve"> </w:t>
      </w:r>
    </w:p>
    <w:p w14:paraId="7D4D1FE4" w14:textId="49EB46DB" w:rsidR="00D83E33" w:rsidRDefault="00BC4072">
      <w:pPr>
        <w:widowControl w:val="0"/>
        <w:spacing w:before="200" w:after="200"/>
        <w:jc w:val="both"/>
        <w:rPr>
          <w:sz w:val="20"/>
          <w:szCs w:val="20"/>
        </w:rPr>
      </w:pPr>
      <w:r>
        <w:rPr>
          <w:sz w:val="20"/>
          <w:szCs w:val="20"/>
        </w:rPr>
        <w:t xml:space="preserve">The Group performs assessments based on external ratings for </w:t>
      </w:r>
      <w:r>
        <w:rPr>
          <w:color w:val="0000FF"/>
          <w:sz w:val="20"/>
          <w:szCs w:val="20"/>
        </w:rPr>
        <w:t xml:space="preserve">[interbank loans, debt securities issued by banks and certain blue chip </w:t>
      </w:r>
      <w:r w:rsidR="004C5CE9">
        <w:rPr>
          <w:color w:val="0000FF"/>
          <w:sz w:val="20"/>
          <w:szCs w:val="20"/>
        </w:rPr>
        <w:t>corporate</w:t>
      </w:r>
      <w:r>
        <w:rPr>
          <w:color w:val="0000FF"/>
          <w:sz w:val="20"/>
          <w:szCs w:val="20"/>
        </w:rPr>
        <w:t xml:space="preserve"> customers, and loans issued to sovereigns.]</w:t>
      </w:r>
      <w:r>
        <w:rPr>
          <w:sz w:val="20"/>
          <w:szCs w:val="20"/>
        </w:rPr>
        <w:t xml:space="preserve"> </w:t>
      </w:r>
    </w:p>
    <w:p w14:paraId="12CD68F0" w14:textId="77777777" w:rsidR="00D83E33" w:rsidRDefault="00BC4072">
      <w:pPr>
        <w:widowControl w:val="0"/>
        <w:spacing w:before="200" w:after="200"/>
        <w:jc w:val="both"/>
        <w:rPr>
          <w:sz w:val="20"/>
          <w:szCs w:val="20"/>
        </w:rPr>
      </w:pPr>
      <w:r>
        <w:rPr>
          <w:sz w:val="20"/>
          <w:szCs w:val="20"/>
        </w:rPr>
        <w:t xml:space="preserve">ECL assessment on an individual basis is performed by weighting the estimates of credit losses for different possible outcomes against the probabilities of each outcome. The Group defines at least two possible outcomes for each assessed loan, one of which leads to a credit loss even if the probability of such a scenario may be very low. Individual assessment is primarily based on the expert judgement of experienced officers from the </w:t>
      </w:r>
      <w:r>
        <w:rPr>
          <w:color w:val="0000FF"/>
          <w:sz w:val="20"/>
          <w:szCs w:val="20"/>
        </w:rPr>
        <w:t>[Credit Risk and Non-Performing Loan Management Department]</w:t>
      </w:r>
      <w:r>
        <w:rPr>
          <w:sz w:val="20"/>
          <w:szCs w:val="20"/>
        </w:rPr>
        <w:t>. Expert judgements are regularly tested in order to decrease the difference between estimates and actual losses.</w:t>
      </w:r>
    </w:p>
    <w:p w14:paraId="6D3F8372" w14:textId="77777777" w:rsidR="00D83E33" w:rsidRDefault="00BC4072">
      <w:pPr>
        <w:widowControl w:val="0"/>
        <w:spacing w:before="200" w:after="200"/>
        <w:jc w:val="both"/>
        <w:rPr>
          <w:sz w:val="20"/>
          <w:szCs w:val="20"/>
        </w:rPr>
      </w:pPr>
      <w:r>
        <w:rPr>
          <w:sz w:val="20"/>
          <w:szCs w:val="20"/>
        </w:rPr>
        <w:t xml:space="preserve">When assessment is performed on a portfolio basis, the Group determines the staging of the exposures and measures the loss allowance on a collective basis. The Group analyses its exposures by segments determined on the basis of shared credit risk characteristics, such that exposures within a group have homogeneous or similar risks. The key shared credit characteristics considered are: </w:t>
      </w:r>
      <w:r>
        <w:rPr>
          <w:color w:val="0000FF"/>
          <w:sz w:val="20"/>
          <w:szCs w:val="20"/>
        </w:rPr>
        <w:t xml:space="preserve">[type of customer (such as wholesale or retail), product type, credit risk rating, date of initial recognition, term to maturity, the quality of collateral and loan to value (LTV) ratio.]. </w:t>
      </w:r>
      <w:r>
        <w:rPr>
          <w:sz w:val="20"/>
          <w:szCs w:val="20"/>
        </w:rPr>
        <w:t xml:space="preserve">The different segments also reflect differences in credit risk parameters such as PD and LGD. The appropriateness of groupigs is monitored and reviewed on a periodic basis by </w:t>
      </w:r>
      <w:r>
        <w:rPr>
          <w:color w:val="0000FF"/>
          <w:sz w:val="20"/>
          <w:szCs w:val="20"/>
        </w:rPr>
        <w:t>[the Risk Management Department]</w:t>
      </w:r>
      <w:r>
        <w:rPr>
          <w:sz w:val="20"/>
          <w:szCs w:val="20"/>
        </w:rPr>
        <w:t>.</w:t>
      </w:r>
    </w:p>
    <w:p w14:paraId="38A29876" w14:textId="02F0BF32" w:rsidR="00D83E33" w:rsidRDefault="00D83E33">
      <w:pPr>
        <w:widowControl w:val="0"/>
        <w:spacing w:before="200" w:after="200"/>
        <w:jc w:val="both"/>
        <w:rPr>
          <w:color w:val="FF0000"/>
          <w:sz w:val="20"/>
          <w:szCs w:val="20"/>
        </w:rPr>
      </w:pPr>
    </w:p>
    <w:p w14:paraId="50BFBE02" w14:textId="784E0770" w:rsidR="00D83E33" w:rsidRDefault="00BC4072" w:rsidP="001B330E">
      <w:pPr>
        <w:pStyle w:val="Continued"/>
      </w:pPr>
      <w:r>
        <w:lastRenderedPageBreak/>
        <w:t>41</w:t>
      </w:r>
      <w:r>
        <w:tab/>
        <w:t>Financial Risk Management (Continued)</w:t>
      </w:r>
    </w:p>
    <w:p w14:paraId="66E93614" w14:textId="77777777" w:rsidR="00D83E33" w:rsidRDefault="00BC4072">
      <w:pPr>
        <w:widowControl w:val="0"/>
        <w:spacing w:before="200" w:after="200"/>
        <w:jc w:val="both"/>
        <w:rPr>
          <w:sz w:val="20"/>
          <w:szCs w:val="20"/>
        </w:rPr>
      </w:pPr>
      <w:r>
        <w:rPr>
          <w:sz w:val="20"/>
          <w:szCs w:val="20"/>
        </w:rPr>
        <w:t xml:space="preserve">In general, ECL is the sum of the multiplications of the following credit risk parameters: EAD, PD and LGD, that are defined as explained above, and discounted to present value using the instrument’s effective interest rate. The ECL is determined by predicting credit risk parameters (EAD, PD and LGD) for each future </w:t>
      </w:r>
      <w:r>
        <w:rPr>
          <w:color w:val="0000FF"/>
          <w:sz w:val="20"/>
          <w:szCs w:val="20"/>
        </w:rPr>
        <w:t>[month / year]</w:t>
      </w:r>
      <w:r>
        <w:rPr>
          <w:sz w:val="20"/>
          <w:szCs w:val="20"/>
        </w:rPr>
        <w:t xml:space="preserve"> during the lifetime period for each individual exposure or collective segment. These three components are multiplied together and adjusted for the likelihood of survival (i.e. the exposure has been repaid or defaulted in an earlier month). This effectively calculates an ECL for each future period, that is then discounted back to the reporting date and summed up. The discount rate used in the ECL calculation is the original effective interest rate or an approximation thereof.</w:t>
      </w:r>
    </w:p>
    <w:p w14:paraId="1BCC97ED" w14:textId="64804BDF" w:rsidR="00D83E33" w:rsidRDefault="00BC4072">
      <w:pPr>
        <w:widowControl w:val="0"/>
        <w:spacing w:before="200" w:after="200"/>
        <w:jc w:val="both"/>
        <w:rPr>
          <w:sz w:val="20"/>
          <w:szCs w:val="20"/>
        </w:rPr>
      </w:pPr>
      <w:r>
        <w:rPr>
          <w:b/>
          <w:i/>
          <w:sz w:val="20"/>
          <w:szCs w:val="20"/>
        </w:rPr>
        <w:t xml:space="preserve">The key principles of calculating the credit risk parameters. </w:t>
      </w:r>
      <w:r>
        <w:rPr>
          <w:sz w:val="20"/>
          <w:szCs w:val="20"/>
        </w:rPr>
        <w:t>The EADs are determined based on the expected payment profile, that varies by product type. EAD is based on the contractual repayments owed by the borrower over a 12-month or lifetime basis for amortising products and bullet repayment loans. This will also be adjusted for any expected overpayments made by a borrower. Early repayment or refinancing assumptions are also incorporated into the calculation.</w:t>
      </w:r>
      <w:r w:rsidR="00181687">
        <w:rPr>
          <w:sz w:val="20"/>
          <w:szCs w:val="20"/>
        </w:rPr>
        <w:t xml:space="preserve"> </w:t>
      </w:r>
      <w:r>
        <w:rPr>
          <w:sz w:val="20"/>
          <w:szCs w:val="20"/>
        </w:rPr>
        <w:t>For revolving products, the EAD is predicted by taking the current drawn balance and adding a "credit conversion factor" that accounts for the expected drawdown of the remaining limit by the time of default. These assumptions vary by product type, current limit utilisation and other borrower-specific behavioural characteristics.</w:t>
      </w:r>
    </w:p>
    <w:p w14:paraId="12ED1FD7" w14:textId="7CCE6FC0" w:rsidR="00D83E33" w:rsidRDefault="005E30EB">
      <w:pPr>
        <w:widowControl w:val="0"/>
        <w:spacing w:before="200" w:after="200"/>
        <w:jc w:val="both"/>
        <w:rPr>
          <w:sz w:val="20"/>
          <w:szCs w:val="20"/>
        </w:rPr>
      </w:pPr>
      <w:r>
        <w:rPr>
          <w:sz w:val="20"/>
          <w:szCs w:val="20"/>
        </w:rPr>
        <w:t xml:space="preserve">Two types of PDs are used for calculating ECLs: 12-month and lifetime PD. An assessment of a 12-month PD is based on the latest available historic default data and adjusted for supportable forward-looking information when appropriate. Lifetime PDs represent the estimated probability of a default occurring over the remaining life of the financial instrument and it is </w:t>
      </w:r>
      <w:sdt>
        <w:sdtPr>
          <w:tag w:val="goog_rdk_5"/>
          <w:id w:val="-868525337"/>
        </w:sdtPr>
        <w:sdtContent>
          <w:r>
            <w:rPr>
              <w:sz w:val="20"/>
              <w:szCs w:val="20"/>
            </w:rPr>
            <w:t>calculated based on</w:t>
          </w:r>
        </w:sdtContent>
      </w:sdt>
      <w:r>
        <w:t xml:space="preserve"> </w:t>
      </w:r>
      <w:r>
        <w:rPr>
          <w:sz w:val="20"/>
          <w:szCs w:val="20"/>
        </w:rPr>
        <w:t>the 12 months PDs over the life of the instrument. The Group uses different statistical approaches depending on the segment and product type to calculate</w:t>
      </w:r>
      <w:r>
        <w:t xml:space="preserve"> </w:t>
      </w:r>
      <w:r>
        <w:rPr>
          <w:sz w:val="20"/>
          <w:szCs w:val="20"/>
        </w:rPr>
        <w:t>lifetime PDs, such as the extrapolation of 12-month PDs based on migration matri</w:t>
      </w:r>
      <w:sdt>
        <w:sdtPr>
          <w:tag w:val="goog_rdk_8"/>
          <w:id w:val="-1308706230"/>
        </w:sdtPr>
        <w:sdtContent>
          <w:r>
            <w:t>ce</w:t>
          </w:r>
        </w:sdtContent>
      </w:sdt>
      <w:r>
        <w:rPr>
          <w:sz w:val="20"/>
          <w:szCs w:val="20"/>
        </w:rPr>
        <w:t xml:space="preserve">s, developing lifetime PD curves based on the historical default data, hazard rate approach or other </w:t>
      </w:r>
      <w:r>
        <w:rPr>
          <w:color w:val="FF0000"/>
          <w:sz w:val="20"/>
          <w:szCs w:val="20"/>
        </w:rPr>
        <w:t>[Specify].</w:t>
      </w:r>
    </w:p>
    <w:p w14:paraId="2DEB2C2F" w14:textId="77777777" w:rsidR="00D83E33" w:rsidRDefault="00BC4072">
      <w:pPr>
        <w:widowControl w:val="0"/>
        <w:spacing w:before="200" w:after="200"/>
        <w:jc w:val="both"/>
        <w:rPr>
          <w:sz w:val="20"/>
          <w:szCs w:val="20"/>
        </w:rPr>
      </w:pPr>
      <w:r>
        <w:rPr>
          <w:sz w:val="20"/>
          <w:szCs w:val="20"/>
        </w:rPr>
        <w:t>LGD represents the Group's expectation of the extent of loss on a defaulted exposure. LGD varies by the type of counterparty, type and seniority of the claim, and the availability of collateral or other credit support. The 12-month and lifetime LGDs are determined based on the factors that impact the expected recoveries after a default event. The approach to LGD measurement can be divided into three possible approaches:</w:t>
      </w:r>
    </w:p>
    <w:p w14:paraId="320ADFF1"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measurement of LGD based on the specific characteristics of the collateral; </w:t>
      </w:r>
    </w:p>
    <w:p w14:paraId="663DE45C"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calculation of LGD on a portfolio basis based on recovery statistics; or</w:t>
      </w:r>
    </w:p>
    <w:p w14:paraId="6F6E8605"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individually defined LGD depending on different factors and scenarios.</w:t>
      </w:r>
    </w:p>
    <w:p w14:paraId="7E185D88" w14:textId="28EB9157" w:rsidR="00D83E33" w:rsidRDefault="00BC4072">
      <w:pPr>
        <w:widowControl w:val="0"/>
        <w:spacing w:before="200" w:after="200"/>
        <w:jc w:val="both"/>
        <w:rPr>
          <w:sz w:val="20"/>
          <w:szCs w:val="20"/>
        </w:rPr>
      </w:pPr>
      <w:r>
        <w:rPr>
          <w:sz w:val="20"/>
          <w:szCs w:val="20"/>
        </w:rPr>
        <w:t>The Group calculates LGD based on specific characteristics of the collateral, such as projected collateral values, historical discounts on sales and other factors for loans secured by real estate, cash and liquid securities.</w:t>
      </w:r>
      <w:r w:rsidR="00181687">
        <w:rPr>
          <w:sz w:val="20"/>
          <w:szCs w:val="20"/>
        </w:rPr>
        <w:t xml:space="preserve"> </w:t>
      </w:r>
      <w:r>
        <w:rPr>
          <w:sz w:val="20"/>
          <w:szCs w:val="20"/>
        </w:rPr>
        <w:t>LGD is calculated on a collective basis based on the latest available recovery statistics for the remainder of the corporate loan portfolio and for retail secured and unsecured products.</w:t>
      </w:r>
    </w:p>
    <w:p w14:paraId="07C92405" w14:textId="77777777" w:rsidR="00D83E33" w:rsidRDefault="00BC4072">
      <w:pPr>
        <w:widowControl w:val="0"/>
        <w:spacing w:before="200" w:after="200"/>
        <w:jc w:val="both"/>
        <w:rPr>
          <w:sz w:val="20"/>
          <w:szCs w:val="20"/>
        </w:rPr>
      </w:pPr>
      <w:r>
        <w:rPr>
          <w:b/>
          <w:i/>
          <w:sz w:val="20"/>
          <w:szCs w:val="20"/>
        </w:rPr>
        <w:t xml:space="preserve">ECL measurement for financial guarantees and loan commitments. </w:t>
      </w:r>
      <w:r>
        <w:rPr>
          <w:sz w:val="20"/>
          <w:szCs w:val="20"/>
        </w:rPr>
        <w:t>The ECL measurement for these instruments includes the same steps as described above for on-balance sheet exposures and differs with respect to EAD calculation. The EAD is a product of credit conversion factor (“CCF”) and amount of the commitment (“</w:t>
      </w:r>
      <w:r>
        <w:rPr>
          <w:i/>
          <w:sz w:val="20"/>
          <w:szCs w:val="20"/>
        </w:rPr>
        <w:t>E</w:t>
      </w:r>
      <m:oMath>
        <m:r>
          <w:rPr>
            <w:rFonts w:ascii="Cambria Math" w:eastAsia="Cambria Math" w:hAnsi="Cambria Math" w:cs="Cambria Math"/>
            <w:sz w:val="20"/>
            <w:szCs w:val="20"/>
          </w:rPr>
          <m:t>xOff</m:t>
        </m:r>
      </m:oMath>
      <w:r>
        <w:rPr>
          <w:sz w:val="20"/>
          <w:szCs w:val="20"/>
        </w:rPr>
        <w:t xml:space="preserve">”). CCF for undrawn credit lines of corporate customers, credit cards issued to individuals and for financial guarantees is defined based on statistical analysis of past exposures at default. CCF for overdrafts is defined as </w:t>
      </w:r>
      <w:r>
        <w:rPr>
          <w:color w:val="0000FF"/>
          <w:sz w:val="20"/>
          <w:szCs w:val="20"/>
        </w:rPr>
        <w:t>[100%]</w:t>
      </w:r>
      <w:r>
        <w:rPr>
          <w:sz w:val="20"/>
          <w:szCs w:val="20"/>
        </w:rPr>
        <w:t xml:space="preserve"> since the limits can be used by the customers at any time.</w:t>
      </w:r>
    </w:p>
    <w:p w14:paraId="4A777FCD" w14:textId="77777777" w:rsidR="00D83E33" w:rsidRDefault="00BC4072">
      <w:pPr>
        <w:widowControl w:val="0"/>
        <w:spacing w:before="200" w:after="200"/>
        <w:jc w:val="both"/>
        <w:rPr>
          <w:i/>
          <w:sz w:val="20"/>
          <w:szCs w:val="20"/>
        </w:rPr>
      </w:pPr>
      <w:r>
        <w:rPr>
          <w:b/>
          <w:i/>
          <w:sz w:val="20"/>
          <w:szCs w:val="20"/>
        </w:rPr>
        <w:t>Principles of assessment based on external ratings</w:t>
      </w:r>
      <w:r>
        <w:rPr>
          <w:i/>
          <w:sz w:val="20"/>
          <w:szCs w:val="20"/>
        </w:rPr>
        <w:t xml:space="preserve">. </w:t>
      </w:r>
      <w:r>
        <w:rPr>
          <w:sz w:val="20"/>
          <w:szCs w:val="20"/>
        </w:rPr>
        <w:t xml:space="preserve">Certain exposures have external credit risk ratings and these are used to estimate credit risk parameters PD and LGD from the default and recovery statistics published by the respective rating agencies. This approach is applied to government and blue chip corporate bonds exposures. </w:t>
      </w:r>
    </w:p>
    <w:p w14:paraId="656EA6D9" w14:textId="70337C96" w:rsidR="00D83E33" w:rsidRDefault="00BC4072" w:rsidP="001B330E">
      <w:pPr>
        <w:pStyle w:val="Continued"/>
      </w:pPr>
      <w:r>
        <w:lastRenderedPageBreak/>
        <w:t>41</w:t>
      </w:r>
      <w:r>
        <w:tab/>
        <w:t>Financial Risk Management (Continued)</w:t>
      </w:r>
    </w:p>
    <w:p w14:paraId="6103C8B1" w14:textId="44BB6023" w:rsidR="00D83E33" w:rsidRDefault="00BC4072">
      <w:pPr>
        <w:widowControl w:val="0"/>
        <w:spacing w:before="200" w:after="200"/>
        <w:jc w:val="both"/>
        <w:rPr>
          <w:sz w:val="20"/>
          <w:szCs w:val="20"/>
        </w:rPr>
      </w:pPr>
      <w:r>
        <w:rPr>
          <w:b/>
          <w:i/>
          <w:sz w:val="20"/>
          <w:szCs w:val="20"/>
        </w:rPr>
        <w:t>Forward-looking information incorporated in the ECL models.</w:t>
      </w:r>
      <w:r>
        <w:rPr>
          <w:i/>
          <w:sz w:val="20"/>
          <w:szCs w:val="20"/>
        </w:rPr>
        <w:t xml:space="preserve"> </w:t>
      </w:r>
      <w:r>
        <w:rPr>
          <w:sz w:val="20"/>
          <w:szCs w:val="20"/>
        </w:rPr>
        <w:t xml:space="preserve">The assessment of SICR and the calculation of ECLs both incorporate unbiased and supportable forward-looking information. The Group identified certain key economic variables that correlate with developments in credit risk and ECLs. Forecasts of economic variables (the "base economic scenario") are provided by the Group's  and provide the best estimate of the expected macro-economic development over the next </w:t>
      </w:r>
      <w:r>
        <w:rPr>
          <w:color w:val="0000FF"/>
          <w:sz w:val="20"/>
          <w:szCs w:val="20"/>
        </w:rPr>
        <w:t>[five]</w:t>
      </w:r>
      <w:r>
        <w:rPr>
          <w:sz w:val="20"/>
          <w:szCs w:val="20"/>
        </w:rPr>
        <w:t xml:space="preserve"> years. After </w:t>
      </w:r>
      <w:r>
        <w:rPr>
          <w:color w:val="0000FF"/>
          <w:sz w:val="20"/>
          <w:szCs w:val="20"/>
        </w:rPr>
        <w:t xml:space="preserve">[five] </w:t>
      </w:r>
      <w:r>
        <w:rPr>
          <w:sz w:val="20"/>
          <w:szCs w:val="20"/>
        </w:rPr>
        <w:t xml:space="preserve">years, a </w:t>
      </w:r>
      <w:r>
        <w:rPr>
          <w:color w:val="000000"/>
          <w:sz w:val="20"/>
          <w:szCs w:val="20"/>
        </w:rPr>
        <w:t>mean reversion approach is used, which means that economic variables tend to revert to either a long run average rate (e.g. for unemployment) or a long run average growth rate (e.g. GDP).</w:t>
      </w:r>
      <w:r>
        <w:rPr>
          <w:sz w:val="20"/>
          <w:szCs w:val="20"/>
        </w:rPr>
        <w:t xml:space="preserve"> The impact of the relevant economic variables on the PD, EAD and LGD has been determined by performing statistical regression analysis to understand the impact that the changes in these variables historically had on the default rates and on the components of LGD and EAD.</w:t>
      </w:r>
    </w:p>
    <w:p w14:paraId="693723C9" w14:textId="77777777" w:rsidR="00D83E33" w:rsidRDefault="00BC4072">
      <w:pPr>
        <w:widowControl w:val="0"/>
        <w:spacing w:before="200" w:after="200"/>
        <w:jc w:val="both"/>
        <w:rPr>
          <w:b/>
          <w:sz w:val="20"/>
          <w:szCs w:val="20"/>
        </w:rPr>
      </w:pPr>
      <w:r>
        <w:rPr>
          <w:sz w:val="20"/>
          <w:szCs w:val="20"/>
        </w:rPr>
        <w:t xml:space="preserve">In addition to the base economic scenario, the Group's </w:t>
      </w:r>
      <w:r>
        <w:rPr>
          <w:color w:val="0000FF"/>
          <w:sz w:val="20"/>
          <w:szCs w:val="20"/>
        </w:rPr>
        <w:t>[Risk Department]</w:t>
      </w:r>
      <w:r>
        <w:rPr>
          <w:sz w:val="20"/>
          <w:szCs w:val="20"/>
        </w:rPr>
        <w:t xml:space="preserve"> also provides other possible scenarios along with scenario weightings. The number of other scenarios used is set based on the analysis of each major product type to ensure that non-linearities are captured. The number of scenarios and their attributes are reassessed at each reporting date. The scenario weightings are determined by a combination of statistical analysis and expert credit judgement, taking into account the range of possible outcomes of which each chosen scenario is representative. The assessment of SICR is performed using the Lifetime PD under each of the bases and the other scenarios, multiplied by the associated scenario weighting, along with qualitative and backstop indicators. This determines whether the whole financial instrument is in Stage 1, Stage 2, or Stage 3 and hence whether a 12-month or lifetime ECL should be recorded. Following this assessment, the Group measures ECL as either a probability-weighted 12 month ECL (Stage 1), or a probability weighted lifetime ECL (Stages 2 and 3). These probability-weighted ECLs are determined by running each scenario through the relevant ECL model and multiplying it by the appropriate scenario weighting (as opposed to weighting the inputs).</w:t>
      </w:r>
    </w:p>
    <w:p w14:paraId="0364CF08" w14:textId="77777777" w:rsidR="00D83E33" w:rsidRDefault="00BC4072">
      <w:pPr>
        <w:widowControl w:val="0"/>
        <w:spacing w:before="200" w:after="200"/>
        <w:jc w:val="both"/>
        <w:rPr>
          <w:sz w:val="20"/>
          <w:szCs w:val="20"/>
        </w:rPr>
      </w:pPr>
      <w:r>
        <w:rPr>
          <w:sz w:val="20"/>
          <w:szCs w:val="20"/>
        </w:rPr>
        <w:t>As with any economic forecast, the projections and likelihoods of occurrence are subject to a high degree of inherent uncertainty, and therefore the actual outcomes may be significantly different to those projected. The Group considers these forecasts to represent its best estimate of the possible outcomes and has analysed the non-linearities and asymmetries within the Group's different portfolios to establish that the chosen scenarios are appropriately representative of the range of possible scenarios.</w:t>
      </w:r>
    </w:p>
    <w:p w14:paraId="4D6726CB" w14:textId="7DBDDA88" w:rsidR="00D83E33" w:rsidRDefault="00BC4072">
      <w:pPr>
        <w:widowControl w:val="0"/>
        <w:spacing w:before="200" w:after="200"/>
        <w:jc w:val="both"/>
        <w:rPr>
          <w:i/>
          <w:color w:val="FF0000"/>
          <w:sz w:val="20"/>
          <w:szCs w:val="20"/>
        </w:rPr>
      </w:pPr>
      <w:r>
        <w:rPr>
          <w:i/>
          <w:color w:val="FF0000"/>
          <w:sz w:val="20"/>
          <w:szCs w:val="20"/>
        </w:rPr>
        <w:t>[Add information about specific forward-looking information and significant period-end assumptions used for the ECL estimate.]</w:t>
      </w:r>
    </w:p>
    <w:p w14:paraId="09481F21" w14:textId="77777777" w:rsidR="00D83E33" w:rsidRDefault="00BC4072">
      <w:pPr>
        <w:widowControl w:val="0"/>
        <w:spacing w:before="200" w:after="200"/>
        <w:jc w:val="both"/>
        <w:rPr>
          <w:sz w:val="20"/>
          <w:szCs w:val="20"/>
        </w:rPr>
      </w:pPr>
      <w:r>
        <w:rPr>
          <w:sz w:val="20"/>
          <w:szCs w:val="20"/>
        </w:rPr>
        <w:t>The Group regularly reviews its methodology and assumptions to reduce any difference between the estimates and the actual loss of credit. Such backtesting is performed at least once a year.</w:t>
      </w:r>
    </w:p>
    <w:p w14:paraId="2EDEDF40" w14:textId="77777777" w:rsidR="00D83E33" w:rsidRDefault="00BC4072">
      <w:pPr>
        <w:widowControl w:val="0"/>
        <w:spacing w:before="200" w:after="200"/>
        <w:jc w:val="both"/>
        <w:rPr>
          <w:sz w:val="20"/>
          <w:szCs w:val="20"/>
        </w:rPr>
      </w:pPr>
      <w:r>
        <w:rPr>
          <w:sz w:val="20"/>
          <w:szCs w:val="20"/>
        </w:rPr>
        <w:t>The results of backtesting the ECL measurement methodology are communicated to Group Management and further steps for tuning models and assumptions are defined after discussions between authorised persons.</w:t>
      </w:r>
    </w:p>
    <w:p w14:paraId="70389129" w14:textId="2613D245" w:rsidR="00F56971" w:rsidRPr="00F56971" w:rsidRDefault="00F56971" w:rsidP="00F56971">
      <w:pPr>
        <w:widowControl w:val="0"/>
        <w:spacing w:before="200" w:after="200"/>
        <w:jc w:val="both"/>
        <w:rPr>
          <w:color w:val="0000FF"/>
          <w:sz w:val="20"/>
          <w:szCs w:val="20"/>
          <w:lang w:val="en-US"/>
        </w:rPr>
      </w:pPr>
      <w:r w:rsidRPr="00F56971">
        <w:rPr>
          <w:b/>
          <w:bCs/>
          <w:i/>
          <w:iCs/>
          <w:color w:val="0000FF"/>
          <w:sz w:val="20"/>
          <w:szCs w:val="20"/>
          <w:lang w:val="en-US"/>
        </w:rPr>
        <w:t>[Purchased financial guarantees.</w:t>
      </w:r>
      <w:r w:rsidRPr="00F56971">
        <w:rPr>
          <w:b/>
          <w:bCs/>
          <w:color w:val="0000FF"/>
          <w:sz w:val="20"/>
          <w:szCs w:val="20"/>
          <w:lang w:val="en-US"/>
        </w:rPr>
        <w:t xml:space="preserve"> </w:t>
      </w:r>
      <w:r w:rsidRPr="00F56971">
        <w:rPr>
          <w:color w:val="0000FF"/>
          <w:sz w:val="20"/>
          <w:szCs w:val="20"/>
          <w:lang w:val="en-US"/>
        </w:rPr>
        <w:t>The accounting for purchased financial guarantees, where the Group is the beneficiary and is compensated for credit losses incurred on its debt instruments, depends on whether the guarantees are both (i) in substance integral to the terms and conditions of the guaranteed loans and (ii) not recognised separately.</w:t>
      </w:r>
    </w:p>
    <w:p w14:paraId="4525D611" w14:textId="77777777" w:rsidR="00F56971" w:rsidRPr="00F56971" w:rsidRDefault="00F56971" w:rsidP="00F56971">
      <w:pPr>
        <w:widowControl w:val="0"/>
        <w:spacing w:before="200" w:after="200"/>
        <w:jc w:val="both"/>
        <w:rPr>
          <w:color w:val="0000FF"/>
          <w:sz w:val="20"/>
          <w:szCs w:val="20"/>
          <w:lang w:val="en-US"/>
        </w:rPr>
      </w:pPr>
      <w:r w:rsidRPr="00F56971">
        <w:rPr>
          <w:color w:val="0000FF"/>
          <w:sz w:val="20"/>
          <w:szCs w:val="20"/>
          <w:lang w:val="en-US"/>
        </w:rPr>
        <w:t>If the financial guarantee is both integral to the guaranteed loan and not recognised separately, fees paid for the guarantee are an integral part of the loan’s effective interest rate as transaction costs, unless the loan is measured at FVTPL. If the guaranteed loans are measured at amortised cost, the ability to recover cash flows from financial guarantee is considered in assessing whether significant increase in credit risk occurred, however, the expected cash flows from the financial guarantee are included in the measurement of ECL of the guaranteed loan.</w:t>
      </w:r>
    </w:p>
    <w:p w14:paraId="4B52086A" w14:textId="77777777" w:rsidR="00C45FE5" w:rsidRDefault="00C45FE5" w:rsidP="00C45FE5">
      <w:pPr>
        <w:pStyle w:val="Continued"/>
      </w:pPr>
      <w:r>
        <w:lastRenderedPageBreak/>
        <w:t>41</w:t>
      </w:r>
      <w:r>
        <w:tab/>
        <w:t>Financial Risk Management (Continued)</w:t>
      </w:r>
    </w:p>
    <w:p w14:paraId="579233E6" w14:textId="1708A278" w:rsidR="00F56971" w:rsidRPr="00F56971" w:rsidRDefault="00F56971" w:rsidP="00F56971">
      <w:pPr>
        <w:widowControl w:val="0"/>
        <w:spacing w:before="200" w:after="200"/>
        <w:jc w:val="both"/>
        <w:rPr>
          <w:color w:val="0000FF"/>
          <w:sz w:val="20"/>
          <w:szCs w:val="20"/>
          <w:lang w:val="en-US"/>
        </w:rPr>
      </w:pPr>
      <w:r w:rsidRPr="00F56971">
        <w:rPr>
          <w:color w:val="0000FF"/>
          <w:sz w:val="20"/>
          <w:szCs w:val="20"/>
          <w:lang w:val="en-US"/>
        </w:rPr>
        <w:t>The financial guarantee is recognised as a separate asset if it is not integral to the terms and conditions of any particular loan or group of loans. Since the financial guarantee is recognised separately, it is not included in the measurement of ECL of the guaranteed loan or loans. The Group measures the asset recognised for the financial guarantee at the higher of (i) the ECL allowance for related loans and (ii) its cost less cumulative amortisation recognised to allocate the cost of the guarantee over the shorter of (a) the life of the guarantee and (b) expected life of the guaranteed loan or loans. The asset is recognised provided it is virtually certain that the guarantee will reimburse the entity for a loss that it incurs if the borrower fails to pay.]</w:t>
      </w:r>
    </w:p>
    <w:p w14:paraId="7C6D0CC1" w14:textId="77777777" w:rsidR="00D83E33" w:rsidRDefault="00BC4072">
      <w:pPr>
        <w:pBdr>
          <w:top w:val="nil"/>
          <w:left w:val="nil"/>
          <w:bottom w:val="nil"/>
          <w:right w:val="nil"/>
          <w:between w:val="nil"/>
        </w:pBdr>
        <w:spacing w:before="200" w:after="200"/>
        <w:jc w:val="both"/>
        <w:rPr>
          <w:color w:val="000000"/>
          <w:sz w:val="20"/>
          <w:szCs w:val="20"/>
        </w:rPr>
      </w:pPr>
      <w:r>
        <w:rPr>
          <w:b/>
          <w:i/>
          <w:color w:val="000000"/>
          <w:sz w:val="20"/>
          <w:szCs w:val="20"/>
        </w:rPr>
        <w:t>Market risk.</w:t>
      </w:r>
      <w:r>
        <w:rPr>
          <w:color w:val="000000"/>
          <w:sz w:val="20"/>
          <w:szCs w:val="20"/>
        </w:rPr>
        <w:t xml:space="preserve"> The Group takes on exposure to market risks. Market risks arise from open positions in (a) currency, (b) interest rates and (c) equity products, all of which are exposed to general and specific market movements. Management sets limits on the value of risk that may be accepted, which is monitored on a daily basis. However, the use of this approach does not prevent losses outside of these limits in the event of more significant market movements. </w:t>
      </w:r>
    </w:p>
    <w:p w14:paraId="7E8F34FB" w14:textId="77777777" w:rsidR="00D83E33" w:rsidRDefault="00BC4072">
      <w:pPr>
        <w:pBdr>
          <w:top w:val="nil"/>
          <w:left w:val="nil"/>
          <w:bottom w:val="nil"/>
          <w:right w:val="nil"/>
          <w:between w:val="nil"/>
        </w:pBdr>
        <w:spacing w:before="200" w:after="200"/>
        <w:jc w:val="both"/>
        <w:rPr>
          <w:color w:val="000000"/>
          <w:sz w:val="20"/>
          <w:szCs w:val="20"/>
        </w:rPr>
      </w:pPr>
      <w:r>
        <w:rPr>
          <w:b/>
          <w:i/>
          <w:color w:val="000000"/>
          <w:sz w:val="20"/>
          <w:szCs w:val="20"/>
        </w:rPr>
        <w:t>Currency risk.</w:t>
      </w:r>
      <w:r>
        <w:rPr>
          <w:color w:val="000000"/>
          <w:sz w:val="20"/>
          <w:szCs w:val="20"/>
        </w:rPr>
        <w:t xml:space="preserve"> In respect of currency risk, management sets limits on the level of exposure by currency and in total for both overnight and intra-day positions, which are monitored daily. </w:t>
      </w:r>
    </w:p>
    <w:p w14:paraId="56F07E8A" w14:textId="1D9713B2" w:rsidR="00D83E33" w:rsidRDefault="00BC4072">
      <w:pPr>
        <w:pBdr>
          <w:top w:val="nil"/>
          <w:left w:val="nil"/>
          <w:bottom w:val="nil"/>
          <w:right w:val="nil"/>
          <w:between w:val="nil"/>
        </w:pBdr>
        <w:spacing w:before="200" w:after="200"/>
        <w:jc w:val="both"/>
        <w:rPr>
          <w:i/>
          <w:color w:val="FF0000"/>
          <w:sz w:val="20"/>
          <w:szCs w:val="20"/>
        </w:rPr>
      </w:pPr>
      <w:r>
        <w:rPr>
          <w:i/>
          <w:color w:val="FF0000"/>
          <w:sz w:val="20"/>
          <w:szCs w:val="20"/>
        </w:rPr>
        <w:t>[Disclose here detailed processes for management of currency risks. Processes need to be disclosed in addition to objectives and policies for managing the currency risk.]</w:t>
      </w:r>
    </w:p>
    <w:p w14:paraId="633349A0" w14:textId="77777777"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table below summarises the Group’s exposure to foreign currency exchange rate risk at the end of the reporting period:</w:t>
      </w:r>
    </w:p>
    <w:tbl>
      <w:tblPr>
        <w:tblStyle w:val="affffffffffffff0"/>
        <w:tblW w:w="5000" w:type="pct"/>
        <w:tblLayout w:type="fixed"/>
        <w:tblCellMar>
          <w:left w:w="113" w:type="dxa"/>
          <w:right w:w="113" w:type="dxa"/>
        </w:tblCellMar>
        <w:tblLook w:val="0000" w:firstRow="0" w:lastRow="0" w:firstColumn="0" w:lastColumn="0" w:noHBand="0" w:noVBand="0"/>
      </w:tblPr>
      <w:tblGrid>
        <w:gridCol w:w="1986"/>
        <w:gridCol w:w="990"/>
        <w:gridCol w:w="992"/>
        <w:gridCol w:w="851"/>
        <w:gridCol w:w="851"/>
        <w:gridCol w:w="995"/>
        <w:gridCol w:w="992"/>
        <w:gridCol w:w="849"/>
        <w:gridCol w:w="849"/>
      </w:tblGrid>
      <w:tr w:rsidR="00EA10CF" w:rsidRPr="00EA10CF" w14:paraId="3230D7F4" w14:textId="77777777" w:rsidTr="00372E26">
        <w:trPr>
          <w:trHeight w:val="23"/>
        </w:trPr>
        <w:tc>
          <w:tcPr>
            <w:tcW w:w="1061" w:type="pct"/>
            <w:vAlign w:val="bottom"/>
          </w:tcPr>
          <w:p w14:paraId="419C62A1" w14:textId="77777777" w:rsidR="00EA10CF" w:rsidRPr="00EA10CF" w:rsidRDefault="00EA10CF" w:rsidP="001B330E">
            <w:pPr>
              <w:widowControl w:val="0"/>
              <w:pBdr>
                <w:top w:val="nil"/>
                <w:left w:val="nil"/>
                <w:bottom w:val="nil"/>
                <w:right w:val="nil"/>
                <w:between w:val="nil"/>
              </w:pBdr>
              <w:ind w:left="113" w:hanging="113"/>
              <w:rPr>
                <w:color w:val="000000"/>
              </w:rPr>
            </w:pPr>
          </w:p>
        </w:tc>
        <w:tc>
          <w:tcPr>
            <w:tcW w:w="1968" w:type="pct"/>
            <w:gridSpan w:val="4"/>
            <w:tcBorders>
              <w:bottom w:val="single" w:sz="4" w:space="0" w:color="000000"/>
            </w:tcBorders>
          </w:tcPr>
          <w:p w14:paraId="27809CB9" w14:textId="39CB2AFD" w:rsidR="00EA10CF" w:rsidRPr="00EA10CF" w:rsidRDefault="00EA10CF" w:rsidP="001B330E">
            <w:pPr>
              <w:widowControl w:val="0"/>
              <w:pBdr>
                <w:top w:val="nil"/>
                <w:left w:val="nil"/>
                <w:bottom w:val="nil"/>
                <w:right w:val="nil"/>
                <w:between w:val="nil"/>
              </w:pBdr>
              <w:jc w:val="center"/>
              <w:rPr>
                <w:b/>
                <w:color w:val="000000"/>
              </w:rPr>
            </w:pPr>
            <w:r w:rsidRPr="00EA10CF">
              <w:rPr>
                <w:b/>
                <w:color w:val="000000"/>
              </w:rPr>
              <w:t>At 31</w:t>
            </w:r>
            <w:r w:rsidR="00181687">
              <w:rPr>
                <w:b/>
                <w:color w:val="000000"/>
              </w:rPr>
              <w:t> December </w:t>
            </w:r>
            <w:r w:rsidR="00541EBC">
              <w:rPr>
                <w:b/>
                <w:color w:val="000000"/>
              </w:rPr>
              <w:t>2024</w:t>
            </w:r>
          </w:p>
        </w:tc>
        <w:tc>
          <w:tcPr>
            <w:tcW w:w="1971" w:type="pct"/>
            <w:gridSpan w:val="4"/>
            <w:tcBorders>
              <w:bottom w:val="single" w:sz="4" w:space="0" w:color="000000"/>
            </w:tcBorders>
          </w:tcPr>
          <w:p w14:paraId="54C55A95" w14:textId="423CFBDC" w:rsidR="00EA10CF" w:rsidRPr="00EA10CF" w:rsidRDefault="00EA10CF" w:rsidP="001B330E">
            <w:pPr>
              <w:widowControl w:val="0"/>
              <w:pBdr>
                <w:top w:val="nil"/>
                <w:left w:val="nil"/>
                <w:bottom w:val="nil"/>
                <w:right w:val="nil"/>
                <w:between w:val="nil"/>
              </w:pBdr>
              <w:jc w:val="center"/>
              <w:rPr>
                <w:b/>
                <w:color w:val="000000"/>
              </w:rPr>
            </w:pPr>
            <w:r w:rsidRPr="00EA10CF">
              <w:rPr>
                <w:b/>
                <w:color w:val="000000"/>
              </w:rPr>
              <w:t>At 31</w:t>
            </w:r>
            <w:r w:rsidR="00181687">
              <w:rPr>
                <w:b/>
                <w:color w:val="000000"/>
              </w:rPr>
              <w:t> December </w:t>
            </w:r>
            <w:r w:rsidR="00541EBC">
              <w:rPr>
                <w:b/>
                <w:color w:val="000000"/>
              </w:rPr>
              <w:t>2023</w:t>
            </w:r>
          </w:p>
        </w:tc>
      </w:tr>
      <w:tr w:rsidR="00125132" w:rsidRPr="00EA10CF" w14:paraId="0D023D1F" w14:textId="77777777" w:rsidTr="00372E26">
        <w:trPr>
          <w:trHeight w:val="23"/>
        </w:trPr>
        <w:tc>
          <w:tcPr>
            <w:tcW w:w="1061" w:type="pct"/>
            <w:tcBorders>
              <w:bottom w:val="single" w:sz="4" w:space="0" w:color="000000"/>
            </w:tcBorders>
            <w:vAlign w:val="bottom"/>
          </w:tcPr>
          <w:p w14:paraId="16D96C9B" w14:textId="535B4BFC" w:rsidR="00EA10CF"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29" w:type="pct"/>
            <w:tcBorders>
              <w:top w:val="single" w:sz="4" w:space="0" w:color="000000"/>
              <w:bottom w:val="single" w:sz="4" w:space="0" w:color="000000"/>
            </w:tcBorders>
          </w:tcPr>
          <w:p w14:paraId="2E283C4B" w14:textId="4609AE41" w:rsidR="00EA10CF" w:rsidRPr="00EA10CF" w:rsidRDefault="00EA10CF" w:rsidP="001B330E">
            <w:pPr>
              <w:widowControl w:val="0"/>
              <w:pBdr>
                <w:top w:val="nil"/>
                <w:left w:val="nil"/>
                <w:bottom w:val="nil"/>
                <w:right w:val="nil"/>
                <w:between w:val="nil"/>
              </w:pBdr>
              <w:ind w:left="-113"/>
              <w:jc w:val="right"/>
              <w:rPr>
                <w:b/>
                <w:color w:val="000000"/>
              </w:rPr>
            </w:pPr>
            <w:r w:rsidRPr="00EA10CF">
              <w:rPr>
                <w:b/>
                <w:color w:val="000000"/>
              </w:rPr>
              <w:t>Monetary financial assets</w:t>
            </w:r>
          </w:p>
        </w:tc>
        <w:tc>
          <w:tcPr>
            <w:tcW w:w="530" w:type="pct"/>
            <w:tcBorders>
              <w:top w:val="single" w:sz="4" w:space="0" w:color="000000"/>
              <w:bottom w:val="single" w:sz="4" w:space="0" w:color="000000"/>
            </w:tcBorders>
          </w:tcPr>
          <w:p w14:paraId="589DD5BF" w14:textId="7C6EBC4A" w:rsidR="00EA10CF" w:rsidRPr="00EA10CF" w:rsidRDefault="00EA10CF" w:rsidP="001B330E">
            <w:pPr>
              <w:widowControl w:val="0"/>
              <w:pBdr>
                <w:top w:val="nil"/>
                <w:left w:val="nil"/>
                <w:bottom w:val="nil"/>
                <w:right w:val="nil"/>
                <w:between w:val="nil"/>
              </w:pBdr>
              <w:ind w:left="-113"/>
              <w:jc w:val="right"/>
              <w:rPr>
                <w:b/>
                <w:color w:val="000000"/>
              </w:rPr>
            </w:pPr>
            <w:r w:rsidRPr="00EA10CF">
              <w:rPr>
                <w:b/>
                <w:color w:val="000000"/>
              </w:rPr>
              <w:t>Monetary financial liabilities</w:t>
            </w:r>
          </w:p>
        </w:tc>
        <w:tc>
          <w:tcPr>
            <w:tcW w:w="455" w:type="pct"/>
            <w:tcBorders>
              <w:top w:val="single" w:sz="4" w:space="0" w:color="000000"/>
              <w:bottom w:val="single" w:sz="4" w:space="0" w:color="000000"/>
            </w:tcBorders>
          </w:tcPr>
          <w:p w14:paraId="3A1DEBAF" w14:textId="77777777" w:rsidR="00EA10CF" w:rsidRPr="00EA10CF" w:rsidRDefault="00EA10CF" w:rsidP="001B330E">
            <w:pPr>
              <w:widowControl w:val="0"/>
              <w:pBdr>
                <w:top w:val="nil"/>
                <w:left w:val="nil"/>
                <w:bottom w:val="nil"/>
                <w:right w:val="nil"/>
                <w:between w:val="nil"/>
              </w:pBdr>
              <w:ind w:left="-113"/>
              <w:jc w:val="right"/>
              <w:rPr>
                <w:b/>
                <w:color w:val="000000"/>
              </w:rPr>
            </w:pPr>
            <w:r w:rsidRPr="00EA10CF">
              <w:rPr>
                <w:b/>
                <w:color w:val="000000"/>
              </w:rPr>
              <w:t>Deri-vatives</w:t>
            </w:r>
          </w:p>
        </w:tc>
        <w:tc>
          <w:tcPr>
            <w:tcW w:w="455" w:type="pct"/>
            <w:tcBorders>
              <w:top w:val="single" w:sz="4" w:space="0" w:color="000000"/>
              <w:bottom w:val="single" w:sz="4" w:space="0" w:color="000000"/>
            </w:tcBorders>
          </w:tcPr>
          <w:p w14:paraId="28E7769C" w14:textId="77777777" w:rsidR="00EA10CF" w:rsidRPr="00EA10CF" w:rsidRDefault="00EA10CF" w:rsidP="001B330E">
            <w:pPr>
              <w:widowControl w:val="0"/>
              <w:pBdr>
                <w:top w:val="nil"/>
                <w:left w:val="nil"/>
                <w:bottom w:val="nil"/>
                <w:right w:val="nil"/>
                <w:between w:val="nil"/>
              </w:pBdr>
              <w:ind w:left="-113"/>
              <w:jc w:val="right"/>
              <w:rPr>
                <w:b/>
                <w:color w:val="000000"/>
              </w:rPr>
            </w:pPr>
            <w:r w:rsidRPr="00EA10CF">
              <w:rPr>
                <w:b/>
                <w:color w:val="000000"/>
              </w:rPr>
              <w:t>Net position</w:t>
            </w:r>
          </w:p>
        </w:tc>
        <w:tc>
          <w:tcPr>
            <w:tcW w:w="532" w:type="pct"/>
            <w:tcBorders>
              <w:top w:val="single" w:sz="4" w:space="0" w:color="000000"/>
              <w:bottom w:val="single" w:sz="4" w:space="0" w:color="000000"/>
            </w:tcBorders>
          </w:tcPr>
          <w:p w14:paraId="6182CDFA" w14:textId="3F3A6A6E" w:rsidR="00EA10CF" w:rsidRPr="00EA10CF" w:rsidRDefault="00EA10CF" w:rsidP="001B330E">
            <w:pPr>
              <w:widowControl w:val="0"/>
              <w:pBdr>
                <w:top w:val="nil"/>
                <w:left w:val="nil"/>
                <w:bottom w:val="nil"/>
                <w:right w:val="nil"/>
                <w:between w:val="nil"/>
              </w:pBdr>
              <w:ind w:left="-113"/>
              <w:jc w:val="right"/>
              <w:rPr>
                <w:b/>
                <w:color w:val="000000"/>
              </w:rPr>
            </w:pPr>
            <w:r w:rsidRPr="00EA10CF">
              <w:rPr>
                <w:b/>
                <w:color w:val="000000"/>
              </w:rPr>
              <w:t>Monetary financial assets</w:t>
            </w:r>
          </w:p>
        </w:tc>
        <w:tc>
          <w:tcPr>
            <w:tcW w:w="530" w:type="pct"/>
            <w:tcBorders>
              <w:top w:val="single" w:sz="4" w:space="0" w:color="000000"/>
              <w:bottom w:val="single" w:sz="4" w:space="0" w:color="000000"/>
            </w:tcBorders>
          </w:tcPr>
          <w:p w14:paraId="7224D306" w14:textId="3F11C811" w:rsidR="00EA10CF" w:rsidRPr="00EA10CF" w:rsidRDefault="00EA10CF" w:rsidP="001B330E">
            <w:pPr>
              <w:widowControl w:val="0"/>
              <w:pBdr>
                <w:top w:val="nil"/>
                <w:left w:val="nil"/>
                <w:bottom w:val="nil"/>
                <w:right w:val="nil"/>
                <w:between w:val="nil"/>
              </w:pBdr>
              <w:ind w:left="-113"/>
              <w:jc w:val="right"/>
              <w:rPr>
                <w:b/>
                <w:color w:val="000000"/>
              </w:rPr>
            </w:pPr>
            <w:r w:rsidRPr="00EA10CF">
              <w:rPr>
                <w:b/>
                <w:color w:val="000000"/>
              </w:rPr>
              <w:t>Monetary financial liabilities</w:t>
            </w:r>
          </w:p>
        </w:tc>
        <w:tc>
          <w:tcPr>
            <w:tcW w:w="454" w:type="pct"/>
            <w:tcBorders>
              <w:top w:val="single" w:sz="4" w:space="0" w:color="000000"/>
              <w:bottom w:val="single" w:sz="4" w:space="0" w:color="000000"/>
            </w:tcBorders>
          </w:tcPr>
          <w:p w14:paraId="09C079E7" w14:textId="77777777" w:rsidR="00EA10CF" w:rsidRPr="00EA10CF" w:rsidRDefault="00EA10CF" w:rsidP="001B330E">
            <w:pPr>
              <w:widowControl w:val="0"/>
              <w:pBdr>
                <w:top w:val="nil"/>
                <w:left w:val="nil"/>
                <w:bottom w:val="nil"/>
                <w:right w:val="nil"/>
                <w:between w:val="nil"/>
              </w:pBdr>
              <w:ind w:left="-113"/>
              <w:jc w:val="right"/>
              <w:rPr>
                <w:b/>
                <w:color w:val="000000"/>
              </w:rPr>
            </w:pPr>
            <w:r w:rsidRPr="00EA10CF">
              <w:rPr>
                <w:b/>
                <w:color w:val="000000"/>
              </w:rPr>
              <w:t>Deri-vatives</w:t>
            </w:r>
          </w:p>
        </w:tc>
        <w:tc>
          <w:tcPr>
            <w:tcW w:w="455" w:type="pct"/>
            <w:tcBorders>
              <w:top w:val="single" w:sz="4" w:space="0" w:color="000000"/>
              <w:bottom w:val="single" w:sz="4" w:space="0" w:color="000000"/>
            </w:tcBorders>
          </w:tcPr>
          <w:p w14:paraId="38115BF9" w14:textId="77777777" w:rsidR="00EA10CF" w:rsidRPr="00EA10CF" w:rsidRDefault="00EA10CF" w:rsidP="001B330E">
            <w:pPr>
              <w:widowControl w:val="0"/>
              <w:pBdr>
                <w:top w:val="nil"/>
                <w:left w:val="nil"/>
                <w:bottom w:val="nil"/>
                <w:right w:val="nil"/>
                <w:between w:val="nil"/>
              </w:pBdr>
              <w:ind w:left="-113"/>
              <w:jc w:val="right"/>
              <w:rPr>
                <w:b/>
                <w:color w:val="000000"/>
              </w:rPr>
            </w:pPr>
            <w:r w:rsidRPr="00EA10CF">
              <w:rPr>
                <w:b/>
                <w:color w:val="000000"/>
              </w:rPr>
              <w:t>Net position</w:t>
            </w:r>
          </w:p>
        </w:tc>
      </w:tr>
      <w:tr w:rsidR="00125132" w:rsidRPr="00EA10CF" w14:paraId="0677D264" w14:textId="77777777" w:rsidTr="00372E26">
        <w:trPr>
          <w:trHeight w:val="23"/>
        </w:trPr>
        <w:tc>
          <w:tcPr>
            <w:tcW w:w="1061" w:type="pct"/>
          </w:tcPr>
          <w:p w14:paraId="29EF83B0" w14:textId="77777777" w:rsidR="00EA10CF" w:rsidRPr="00EA10CF" w:rsidRDefault="00EA10CF" w:rsidP="001B330E">
            <w:pPr>
              <w:widowControl w:val="0"/>
              <w:pBdr>
                <w:top w:val="nil"/>
                <w:left w:val="nil"/>
                <w:bottom w:val="nil"/>
                <w:right w:val="nil"/>
                <w:between w:val="nil"/>
              </w:pBdr>
              <w:ind w:left="113" w:hanging="113"/>
              <w:rPr>
                <w:color w:val="000000"/>
              </w:rPr>
            </w:pPr>
          </w:p>
        </w:tc>
        <w:tc>
          <w:tcPr>
            <w:tcW w:w="529" w:type="pct"/>
          </w:tcPr>
          <w:p w14:paraId="649BBDF8" w14:textId="77777777" w:rsidR="00EA10CF" w:rsidRPr="00EA10CF" w:rsidRDefault="00EA10CF" w:rsidP="001B330E">
            <w:pPr>
              <w:widowControl w:val="0"/>
              <w:pBdr>
                <w:top w:val="nil"/>
                <w:left w:val="nil"/>
                <w:bottom w:val="nil"/>
                <w:right w:val="nil"/>
                <w:between w:val="nil"/>
              </w:pBdr>
              <w:rPr>
                <w:color w:val="000000"/>
              </w:rPr>
            </w:pPr>
          </w:p>
        </w:tc>
        <w:tc>
          <w:tcPr>
            <w:tcW w:w="530" w:type="pct"/>
          </w:tcPr>
          <w:p w14:paraId="45D3B46D" w14:textId="77777777" w:rsidR="00EA10CF" w:rsidRPr="00EA10CF" w:rsidRDefault="00EA10CF" w:rsidP="001B330E">
            <w:pPr>
              <w:widowControl w:val="0"/>
              <w:pBdr>
                <w:top w:val="nil"/>
                <w:left w:val="nil"/>
                <w:bottom w:val="nil"/>
                <w:right w:val="nil"/>
                <w:between w:val="nil"/>
              </w:pBdr>
              <w:rPr>
                <w:color w:val="000000"/>
              </w:rPr>
            </w:pPr>
          </w:p>
        </w:tc>
        <w:tc>
          <w:tcPr>
            <w:tcW w:w="455" w:type="pct"/>
          </w:tcPr>
          <w:p w14:paraId="65BD9190" w14:textId="77777777" w:rsidR="00EA10CF" w:rsidRPr="00EA10CF" w:rsidRDefault="00EA10CF" w:rsidP="001B330E">
            <w:pPr>
              <w:widowControl w:val="0"/>
              <w:pBdr>
                <w:top w:val="nil"/>
                <w:left w:val="nil"/>
                <w:bottom w:val="nil"/>
                <w:right w:val="nil"/>
                <w:between w:val="nil"/>
              </w:pBdr>
              <w:rPr>
                <w:color w:val="000000"/>
              </w:rPr>
            </w:pPr>
          </w:p>
        </w:tc>
        <w:tc>
          <w:tcPr>
            <w:tcW w:w="455" w:type="pct"/>
          </w:tcPr>
          <w:p w14:paraId="34862498" w14:textId="77777777" w:rsidR="00EA10CF" w:rsidRPr="00EA10CF" w:rsidRDefault="00EA10CF" w:rsidP="001B330E">
            <w:pPr>
              <w:widowControl w:val="0"/>
              <w:pBdr>
                <w:top w:val="nil"/>
                <w:left w:val="nil"/>
                <w:bottom w:val="nil"/>
                <w:right w:val="nil"/>
                <w:between w:val="nil"/>
              </w:pBdr>
              <w:rPr>
                <w:color w:val="000000"/>
              </w:rPr>
            </w:pPr>
          </w:p>
        </w:tc>
        <w:tc>
          <w:tcPr>
            <w:tcW w:w="532" w:type="pct"/>
          </w:tcPr>
          <w:p w14:paraId="60ECC7B7" w14:textId="77777777" w:rsidR="00EA10CF" w:rsidRPr="00EA10CF" w:rsidRDefault="00EA10CF" w:rsidP="001B330E">
            <w:pPr>
              <w:widowControl w:val="0"/>
              <w:pBdr>
                <w:top w:val="nil"/>
                <w:left w:val="nil"/>
                <w:bottom w:val="nil"/>
                <w:right w:val="nil"/>
                <w:between w:val="nil"/>
              </w:pBdr>
              <w:rPr>
                <w:color w:val="000000"/>
              </w:rPr>
            </w:pPr>
          </w:p>
        </w:tc>
        <w:tc>
          <w:tcPr>
            <w:tcW w:w="530" w:type="pct"/>
            <w:vAlign w:val="bottom"/>
          </w:tcPr>
          <w:p w14:paraId="76B6B4E8" w14:textId="77777777" w:rsidR="00EA10CF" w:rsidRPr="00EA10CF" w:rsidRDefault="00EA10CF" w:rsidP="001B330E">
            <w:pPr>
              <w:widowControl w:val="0"/>
              <w:pBdr>
                <w:top w:val="nil"/>
                <w:left w:val="nil"/>
                <w:bottom w:val="nil"/>
                <w:right w:val="nil"/>
                <w:between w:val="nil"/>
              </w:pBdr>
              <w:rPr>
                <w:color w:val="000000"/>
              </w:rPr>
            </w:pPr>
          </w:p>
        </w:tc>
        <w:tc>
          <w:tcPr>
            <w:tcW w:w="454" w:type="pct"/>
          </w:tcPr>
          <w:p w14:paraId="5A472B08" w14:textId="77777777" w:rsidR="00EA10CF" w:rsidRPr="00EA10CF" w:rsidRDefault="00EA10CF" w:rsidP="001B330E">
            <w:pPr>
              <w:widowControl w:val="0"/>
              <w:pBdr>
                <w:top w:val="nil"/>
                <w:left w:val="nil"/>
                <w:bottom w:val="nil"/>
                <w:right w:val="nil"/>
                <w:between w:val="nil"/>
              </w:pBdr>
              <w:rPr>
                <w:color w:val="000000"/>
              </w:rPr>
            </w:pPr>
          </w:p>
        </w:tc>
        <w:tc>
          <w:tcPr>
            <w:tcW w:w="455" w:type="pct"/>
            <w:vAlign w:val="bottom"/>
          </w:tcPr>
          <w:p w14:paraId="774AAA65" w14:textId="77777777" w:rsidR="00EA10CF" w:rsidRPr="00EA10CF" w:rsidRDefault="00EA10CF" w:rsidP="001B330E">
            <w:pPr>
              <w:widowControl w:val="0"/>
              <w:pBdr>
                <w:top w:val="nil"/>
                <w:left w:val="nil"/>
                <w:bottom w:val="nil"/>
                <w:right w:val="nil"/>
                <w:between w:val="nil"/>
              </w:pBdr>
              <w:rPr>
                <w:color w:val="000000"/>
              </w:rPr>
            </w:pPr>
          </w:p>
        </w:tc>
      </w:tr>
      <w:tr w:rsidR="00125132" w:rsidRPr="00EA10CF" w14:paraId="21F34208" w14:textId="77777777" w:rsidTr="00372E26">
        <w:trPr>
          <w:trHeight w:val="23"/>
        </w:trPr>
        <w:tc>
          <w:tcPr>
            <w:tcW w:w="1061" w:type="pct"/>
          </w:tcPr>
          <w:p w14:paraId="3DCEF6CF" w14:textId="707EF449" w:rsidR="00EA10CF" w:rsidRPr="00EA10CF" w:rsidRDefault="00125132" w:rsidP="001B330E">
            <w:pPr>
              <w:widowControl w:val="0"/>
              <w:pBdr>
                <w:top w:val="nil"/>
                <w:left w:val="nil"/>
                <w:bottom w:val="nil"/>
                <w:right w:val="nil"/>
                <w:between w:val="nil"/>
              </w:pBdr>
              <w:ind w:left="113" w:hanging="113"/>
              <w:rPr>
                <w:color w:val="000000"/>
              </w:rPr>
            </w:pPr>
            <w:r>
              <w:rPr>
                <w:color w:val="000000"/>
              </w:rPr>
              <w:t>Czech Koruna (CZK)</w:t>
            </w:r>
          </w:p>
        </w:tc>
        <w:tc>
          <w:tcPr>
            <w:tcW w:w="529" w:type="pct"/>
          </w:tcPr>
          <w:p w14:paraId="47DF2AAE" w14:textId="77777777" w:rsidR="00EA10CF" w:rsidRPr="00EA10CF" w:rsidRDefault="00EA10CF">
            <w:pPr>
              <w:widowControl w:val="0"/>
              <w:pBdr>
                <w:top w:val="nil"/>
                <w:left w:val="nil"/>
                <w:bottom w:val="nil"/>
                <w:right w:val="nil"/>
                <w:between w:val="nil"/>
              </w:pBdr>
              <w:jc w:val="right"/>
              <w:rPr>
                <w:color w:val="000000"/>
              </w:rPr>
            </w:pPr>
          </w:p>
        </w:tc>
        <w:tc>
          <w:tcPr>
            <w:tcW w:w="530" w:type="pct"/>
          </w:tcPr>
          <w:p w14:paraId="577539FD"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473E8483"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446E7B1E" w14:textId="77777777" w:rsidR="00EA10CF" w:rsidRPr="00EA10CF" w:rsidRDefault="00EA10CF">
            <w:pPr>
              <w:widowControl w:val="0"/>
              <w:pBdr>
                <w:top w:val="nil"/>
                <w:left w:val="nil"/>
                <w:bottom w:val="nil"/>
                <w:right w:val="nil"/>
                <w:between w:val="nil"/>
              </w:pBdr>
              <w:jc w:val="right"/>
              <w:rPr>
                <w:color w:val="000000"/>
              </w:rPr>
            </w:pPr>
          </w:p>
        </w:tc>
        <w:tc>
          <w:tcPr>
            <w:tcW w:w="532" w:type="pct"/>
          </w:tcPr>
          <w:p w14:paraId="14C8C730" w14:textId="77777777" w:rsidR="00EA10CF" w:rsidRPr="00EA10CF" w:rsidRDefault="00EA10CF">
            <w:pPr>
              <w:widowControl w:val="0"/>
              <w:pBdr>
                <w:top w:val="nil"/>
                <w:left w:val="nil"/>
                <w:bottom w:val="nil"/>
                <w:right w:val="nil"/>
                <w:between w:val="nil"/>
              </w:pBdr>
              <w:jc w:val="right"/>
              <w:rPr>
                <w:color w:val="000000"/>
              </w:rPr>
            </w:pPr>
          </w:p>
        </w:tc>
        <w:tc>
          <w:tcPr>
            <w:tcW w:w="530" w:type="pct"/>
            <w:vAlign w:val="bottom"/>
          </w:tcPr>
          <w:p w14:paraId="758E3861" w14:textId="77777777" w:rsidR="00EA10CF" w:rsidRPr="00EA10CF" w:rsidRDefault="00EA10CF">
            <w:pPr>
              <w:widowControl w:val="0"/>
              <w:pBdr>
                <w:top w:val="nil"/>
                <w:left w:val="nil"/>
                <w:bottom w:val="nil"/>
                <w:right w:val="nil"/>
                <w:between w:val="nil"/>
              </w:pBdr>
              <w:jc w:val="right"/>
              <w:rPr>
                <w:color w:val="000000"/>
              </w:rPr>
            </w:pPr>
          </w:p>
        </w:tc>
        <w:tc>
          <w:tcPr>
            <w:tcW w:w="454" w:type="pct"/>
          </w:tcPr>
          <w:p w14:paraId="6C15C710" w14:textId="77777777" w:rsidR="00EA10CF" w:rsidRPr="00EA10CF" w:rsidRDefault="00EA10CF">
            <w:pPr>
              <w:widowControl w:val="0"/>
              <w:pBdr>
                <w:top w:val="nil"/>
                <w:left w:val="nil"/>
                <w:bottom w:val="nil"/>
                <w:right w:val="nil"/>
                <w:between w:val="nil"/>
              </w:pBdr>
              <w:jc w:val="right"/>
              <w:rPr>
                <w:color w:val="000000"/>
              </w:rPr>
            </w:pPr>
          </w:p>
        </w:tc>
        <w:tc>
          <w:tcPr>
            <w:tcW w:w="455" w:type="pct"/>
            <w:vAlign w:val="bottom"/>
          </w:tcPr>
          <w:p w14:paraId="1A82AB53" w14:textId="77777777" w:rsidR="00EA10CF" w:rsidRPr="00EA10CF" w:rsidRDefault="00EA10CF">
            <w:pPr>
              <w:widowControl w:val="0"/>
              <w:pBdr>
                <w:top w:val="nil"/>
                <w:left w:val="nil"/>
                <w:bottom w:val="nil"/>
                <w:right w:val="nil"/>
                <w:between w:val="nil"/>
              </w:pBdr>
              <w:jc w:val="right"/>
              <w:rPr>
                <w:color w:val="000000"/>
              </w:rPr>
            </w:pPr>
          </w:p>
        </w:tc>
      </w:tr>
      <w:tr w:rsidR="00125132" w:rsidRPr="00EA10CF" w14:paraId="42BA16D8" w14:textId="77777777" w:rsidTr="00372E26">
        <w:trPr>
          <w:trHeight w:val="23"/>
        </w:trPr>
        <w:tc>
          <w:tcPr>
            <w:tcW w:w="1061" w:type="pct"/>
          </w:tcPr>
          <w:p w14:paraId="0C38ED33" w14:textId="403113CB" w:rsidR="00EA10CF" w:rsidRPr="00EA10CF" w:rsidRDefault="00EA10CF" w:rsidP="001B330E">
            <w:pPr>
              <w:widowControl w:val="0"/>
              <w:pBdr>
                <w:top w:val="nil"/>
                <w:left w:val="nil"/>
                <w:bottom w:val="nil"/>
                <w:right w:val="nil"/>
                <w:between w:val="nil"/>
              </w:pBdr>
              <w:ind w:left="113" w:hanging="113"/>
              <w:rPr>
                <w:color w:val="000000"/>
              </w:rPr>
            </w:pPr>
            <w:r w:rsidRPr="00EA10CF">
              <w:rPr>
                <w:color w:val="000000"/>
              </w:rPr>
              <w:t>US Dollars</w:t>
            </w:r>
            <w:r w:rsidR="00125132">
              <w:rPr>
                <w:color w:val="000000"/>
              </w:rPr>
              <w:t xml:space="preserve"> (USD)</w:t>
            </w:r>
          </w:p>
        </w:tc>
        <w:tc>
          <w:tcPr>
            <w:tcW w:w="529" w:type="pct"/>
          </w:tcPr>
          <w:p w14:paraId="7EF06B28" w14:textId="77777777" w:rsidR="00EA10CF" w:rsidRPr="00EA10CF" w:rsidRDefault="00EA10CF">
            <w:pPr>
              <w:widowControl w:val="0"/>
              <w:pBdr>
                <w:top w:val="nil"/>
                <w:left w:val="nil"/>
                <w:bottom w:val="nil"/>
                <w:right w:val="nil"/>
                <w:between w:val="nil"/>
              </w:pBdr>
              <w:jc w:val="right"/>
              <w:rPr>
                <w:color w:val="000000"/>
              </w:rPr>
            </w:pPr>
          </w:p>
        </w:tc>
        <w:tc>
          <w:tcPr>
            <w:tcW w:w="530" w:type="pct"/>
          </w:tcPr>
          <w:p w14:paraId="684BCF1F"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3F55C030"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57BAC8CE" w14:textId="77777777" w:rsidR="00EA10CF" w:rsidRPr="00EA10CF" w:rsidRDefault="00EA10CF">
            <w:pPr>
              <w:widowControl w:val="0"/>
              <w:pBdr>
                <w:top w:val="nil"/>
                <w:left w:val="nil"/>
                <w:bottom w:val="nil"/>
                <w:right w:val="nil"/>
                <w:between w:val="nil"/>
              </w:pBdr>
              <w:jc w:val="right"/>
              <w:rPr>
                <w:color w:val="000000"/>
              </w:rPr>
            </w:pPr>
          </w:p>
        </w:tc>
        <w:tc>
          <w:tcPr>
            <w:tcW w:w="532" w:type="pct"/>
          </w:tcPr>
          <w:p w14:paraId="7576EC3A" w14:textId="77777777" w:rsidR="00EA10CF" w:rsidRPr="00EA10CF" w:rsidRDefault="00EA10CF">
            <w:pPr>
              <w:widowControl w:val="0"/>
              <w:pBdr>
                <w:top w:val="nil"/>
                <w:left w:val="nil"/>
                <w:bottom w:val="nil"/>
                <w:right w:val="nil"/>
                <w:between w:val="nil"/>
              </w:pBdr>
              <w:jc w:val="right"/>
              <w:rPr>
                <w:color w:val="000000"/>
              </w:rPr>
            </w:pPr>
          </w:p>
        </w:tc>
        <w:tc>
          <w:tcPr>
            <w:tcW w:w="530" w:type="pct"/>
            <w:vAlign w:val="bottom"/>
          </w:tcPr>
          <w:p w14:paraId="6E51554B" w14:textId="77777777" w:rsidR="00EA10CF" w:rsidRPr="00EA10CF" w:rsidRDefault="00EA10CF">
            <w:pPr>
              <w:widowControl w:val="0"/>
              <w:pBdr>
                <w:top w:val="nil"/>
                <w:left w:val="nil"/>
                <w:bottom w:val="nil"/>
                <w:right w:val="nil"/>
                <w:between w:val="nil"/>
              </w:pBdr>
              <w:jc w:val="right"/>
              <w:rPr>
                <w:color w:val="000000"/>
              </w:rPr>
            </w:pPr>
          </w:p>
        </w:tc>
        <w:tc>
          <w:tcPr>
            <w:tcW w:w="454" w:type="pct"/>
          </w:tcPr>
          <w:p w14:paraId="41421190" w14:textId="77777777" w:rsidR="00EA10CF" w:rsidRPr="00EA10CF" w:rsidRDefault="00EA10CF">
            <w:pPr>
              <w:widowControl w:val="0"/>
              <w:pBdr>
                <w:top w:val="nil"/>
                <w:left w:val="nil"/>
                <w:bottom w:val="nil"/>
                <w:right w:val="nil"/>
                <w:between w:val="nil"/>
              </w:pBdr>
              <w:jc w:val="right"/>
              <w:rPr>
                <w:color w:val="000000"/>
              </w:rPr>
            </w:pPr>
          </w:p>
        </w:tc>
        <w:tc>
          <w:tcPr>
            <w:tcW w:w="455" w:type="pct"/>
            <w:vAlign w:val="bottom"/>
          </w:tcPr>
          <w:p w14:paraId="1EA889C5" w14:textId="77777777" w:rsidR="00EA10CF" w:rsidRPr="00EA10CF" w:rsidRDefault="00EA10CF">
            <w:pPr>
              <w:widowControl w:val="0"/>
              <w:pBdr>
                <w:top w:val="nil"/>
                <w:left w:val="nil"/>
                <w:bottom w:val="nil"/>
                <w:right w:val="nil"/>
                <w:between w:val="nil"/>
              </w:pBdr>
              <w:jc w:val="right"/>
              <w:rPr>
                <w:color w:val="000000"/>
              </w:rPr>
            </w:pPr>
          </w:p>
        </w:tc>
      </w:tr>
      <w:tr w:rsidR="00125132" w:rsidRPr="00EA10CF" w14:paraId="6A7A6FE6" w14:textId="77777777" w:rsidTr="00372E26">
        <w:trPr>
          <w:trHeight w:val="23"/>
        </w:trPr>
        <w:tc>
          <w:tcPr>
            <w:tcW w:w="1061" w:type="pct"/>
          </w:tcPr>
          <w:p w14:paraId="780B32DC" w14:textId="516E8A62" w:rsidR="00EA10CF" w:rsidRPr="00EA10CF" w:rsidRDefault="00125132" w:rsidP="001B330E">
            <w:pPr>
              <w:widowControl w:val="0"/>
              <w:pBdr>
                <w:top w:val="nil"/>
                <w:left w:val="nil"/>
                <w:bottom w:val="nil"/>
                <w:right w:val="nil"/>
                <w:between w:val="nil"/>
              </w:pBdr>
              <w:ind w:left="113" w:hanging="113"/>
              <w:rPr>
                <w:color w:val="000000"/>
              </w:rPr>
            </w:pPr>
            <w:r>
              <w:rPr>
                <w:color w:val="000000"/>
              </w:rPr>
              <w:t>Polish Zloty (PLN)</w:t>
            </w:r>
          </w:p>
        </w:tc>
        <w:tc>
          <w:tcPr>
            <w:tcW w:w="529" w:type="pct"/>
          </w:tcPr>
          <w:p w14:paraId="60AB0C52" w14:textId="77777777" w:rsidR="00EA10CF" w:rsidRPr="00EA10CF" w:rsidRDefault="00EA10CF">
            <w:pPr>
              <w:widowControl w:val="0"/>
              <w:pBdr>
                <w:top w:val="nil"/>
                <w:left w:val="nil"/>
                <w:bottom w:val="nil"/>
                <w:right w:val="nil"/>
                <w:between w:val="nil"/>
              </w:pBdr>
              <w:jc w:val="right"/>
              <w:rPr>
                <w:color w:val="000000"/>
              </w:rPr>
            </w:pPr>
          </w:p>
        </w:tc>
        <w:tc>
          <w:tcPr>
            <w:tcW w:w="530" w:type="pct"/>
          </w:tcPr>
          <w:p w14:paraId="1D047CEF"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503999D1"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4CCEBB38" w14:textId="77777777" w:rsidR="00EA10CF" w:rsidRPr="00EA10CF" w:rsidRDefault="00EA10CF">
            <w:pPr>
              <w:widowControl w:val="0"/>
              <w:pBdr>
                <w:top w:val="nil"/>
                <w:left w:val="nil"/>
                <w:bottom w:val="nil"/>
                <w:right w:val="nil"/>
                <w:between w:val="nil"/>
              </w:pBdr>
              <w:jc w:val="right"/>
              <w:rPr>
                <w:color w:val="000000"/>
              </w:rPr>
            </w:pPr>
          </w:p>
        </w:tc>
        <w:tc>
          <w:tcPr>
            <w:tcW w:w="532" w:type="pct"/>
          </w:tcPr>
          <w:p w14:paraId="0E5BFEDC" w14:textId="77777777" w:rsidR="00EA10CF" w:rsidRPr="00EA10CF" w:rsidRDefault="00EA10CF">
            <w:pPr>
              <w:widowControl w:val="0"/>
              <w:pBdr>
                <w:top w:val="nil"/>
                <w:left w:val="nil"/>
                <w:bottom w:val="nil"/>
                <w:right w:val="nil"/>
                <w:between w:val="nil"/>
              </w:pBdr>
              <w:jc w:val="right"/>
              <w:rPr>
                <w:color w:val="000000"/>
              </w:rPr>
            </w:pPr>
          </w:p>
        </w:tc>
        <w:tc>
          <w:tcPr>
            <w:tcW w:w="530" w:type="pct"/>
            <w:vAlign w:val="bottom"/>
          </w:tcPr>
          <w:p w14:paraId="7A4CF06C" w14:textId="77777777" w:rsidR="00EA10CF" w:rsidRPr="00EA10CF" w:rsidRDefault="00EA10CF">
            <w:pPr>
              <w:widowControl w:val="0"/>
              <w:pBdr>
                <w:top w:val="nil"/>
                <w:left w:val="nil"/>
                <w:bottom w:val="nil"/>
                <w:right w:val="nil"/>
                <w:between w:val="nil"/>
              </w:pBdr>
              <w:jc w:val="right"/>
              <w:rPr>
                <w:color w:val="000000"/>
              </w:rPr>
            </w:pPr>
          </w:p>
        </w:tc>
        <w:tc>
          <w:tcPr>
            <w:tcW w:w="454" w:type="pct"/>
          </w:tcPr>
          <w:p w14:paraId="74B04968" w14:textId="77777777" w:rsidR="00EA10CF" w:rsidRPr="00EA10CF" w:rsidRDefault="00EA10CF">
            <w:pPr>
              <w:widowControl w:val="0"/>
              <w:pBdr>
                <w:top w:val="nil"/>
                <w:left w:val="nil"/>
                <w:bottom w:val="nil"/>
                <w:right w:val="nil"/>
                <w:between w:val="nil"/>
              </w:pBdr>
              <w:jc w:val="right"/>
              <w:rPr>
                <w:color w:val="000000"/>
              </w:rPr>
            </w:pPr>
          </w:p>
        </w:tc>
        <w:tc>
          <w:tcPr>
            <w:tcW w:w="455" w:type="pct"/>
            <w:vAlign w:val="bottom"/>
          </w:tcPr>
          <w:p w14:paraId="29FD0375" w14:textId="77777777" w:rsidR="00EA10CF" w:rsidRPr="00EA10CF" w:rsidRDefault="00EA10CF">
            <w:pPr>
              <w:widowControl w:val="0"/>
              <w:pBdr>
                <w:top w:val="nil"/>
                <w:left w:val="nil"/>
                <w:bottom w:val="nil"/>
                <w:right w:val="nil"/>
                <w:between w:val="nil"/>
              </w:pBdr>
              <w:jc w:val="right"/>
              <w:rPr>
                <w:color w:val="000000"/>
              </w:rPr>
            </w:pPr>
          </w:p>
        </w:tc>
      </w:tr>
      <w:tr w:rsidR="00125132" w:rsidRPr="00EA10CF" w14:paraId="2519C4E5" w14:textId="77777777" w:rsidTr="00372E26">
        <w:trPr>
          <w:trHeight w:val="23"/>
        </w:trPr>
        <w:tc>
          <w:tcPr>
            <w:tcW w:w="1061" w:type="pct"/>
          </w:tcPr>
          <w:p w14:paraId="7623C6EF" w14:textId="67A814E9" w:rsidR="00EA10CF" w:rsidRPr="00EA10CF" w:rsidRDefault="00EA10CF" w:rsidP="001B330E">
            <w:pPr>
              <w:widowControl w:val="0"/>
              <w:pBdr>
                <w:top w:val="nil"/>
                <w:left w:val="nil"/>
                <w:bottom w:val="nil"/>
                <w:right w:val="nil"/>
                <w:between w:val="nil"/>
              </w:pBdr>
              <w:ind w:left="113" w:hanging="113"/>
              <w:rPr>
                <w:color w:val="000000"/>
              </w:rPr>
            </w:pPr>
            <w:r w:rsidRPr="00EA10CF">
              <w:rPr>
                <w:color w:val="000000"/>
              </w:rPr>
              <w:t>Pound Sterling</w:t>
            </w:r>
            <w:r w:rsidR="00125132">
              <w:rPr>
                <w:color w:val="000000"/>
              </w:rPr>
              <w:t xml:space="preserve"> (GBP)</w:t>
            </w:r>
          </w:p>
        </w:tc>
        <w:tc>
          <w:tcPr>
            <w:tcW w:w="529" w:type="pct"/>
          </w:tcPr>
          <w:p w14:paraId="5593ACBE" w14:textId="77777777" w:rsidR="00EA10CF" w:rsidRPr="00EA10CF" w:rsidRDefault="00EA10CF">
            <w:pPr>
              <w:widowControl w:val="0"/>
              <w:pBdr>
                <w:top w:val="nil"/>
                <w:left w:val="nil"/>
                <w:bottom w:val="nil"/>
                <w:right w:val="nil"/>
                <w:between w:val="nil"/>
              </w:pBdr>
              <w:jc w:val="right"/>
              <w:rPr>
                <w:color w:val="000000"/>
              </w:rPr>
            </w:pPr>
          </w:p>
        </w:tc>
        <w:tc>
          <w:tcPr>
            <w:tcW w:w="530" w:type="pct"/>
          </w:tcPr>
          <w:p w14:paraId="1D56E0D9"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28FCA6EC"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7F9C6726" w14:textId="77777777" w:rsidR="00EA10CF" w:rsidRPr="00EA10CF" w:rsidRDefault="00EA10CF">
            <w:pPr>
              <w:widowControl w:val="0"/>
              <w:pBdr>
                <w:top w:val="nil"/>
                <w:left w:val="nil"/>
                <w:bottom w:val="nil"/>
                <w:right w:val="nil"/>
                <w:between w:val="nil"/>
              </w:pBdr>
              <w:jc w:val="right"/>
              <w:rPr>
                <w:color w:val="000000"/>
              </w:rPr>
            </w:pPr>
          </w:p>
        </w:tc>
        <w:tc>
          <w:tcPr>
            <w:tcW w:w="532" w:type="pct"/>
          </w:tcPr>
          <w:p w14:paraId="3A5804AF" w14:textId="77777777" w:rsidR="00EA10CF" w:rsidRPr="00EA10CF" w:rsidRDefault="00EA10CF">
            <w:pPr>
              <w:widowControl w:val="0"/>
              <w:pBdr>
                <w:top w:val="nil"/>
                <w:left w:val="nil"/>
                <w:bottom w:val="nil"/>
                <w:right w:val="nil"/>
                <w:between w:val="nil"/>
              </w:pBdr>
              <w:jc w:val="right"/>
              <w:rPr>
                <w:color w:val="000000"/>
              </w:rPr>
            </w:pPr>
          </w:p>
        </w:tc>
        <w:tc>
          <w:tcPr>
            <w:tcW w:w="530" w:type="pct"/>
            <w:vAlign w:val="bottom"/>
          </w:tcPr>
          <w:p w14:paraId="5DB87D26" w14:textId="77777777" w:rsidR="00EA10CF" w:rsidRPr="00EA10CF" w:rsidRDefault="00EA10CF">
            <w:pPr>
              <w:widowControl w:val="0"/>
              <w:pBdr>
                <w:top w:val="nil"/>
                <w:left w:val="nil"/>
                <w:bottom w:val="nil"/>
                <w:right w:val="nil"/>
                <w:between w:val="nil"/>
              </w:pBdr>
              <w:jc w:val="right"/>
              <w:rPr>
                <w:color w:val="000000"/>
              </w:rPr>
            </w:pPr>
          </w:p>
        </w:tc>
        <w:tc>
          <w:tcPr>
            <w:tcW w:w="454" w:type="pct"/>
          </w:tcPr>
          <w:p w14:paraId="09A5F0E7" w14:textId="77777777" w:rsidR="00EA10CF" w:rsidRPr="00EA10CF" w:rsidRDefault="00EA10CF">
            <w:pPr>
              <w:widowControl w:val="0"/>
              <w:pBdr>
                <w:top w:val="nil"/>
                <w:left w:val="nil"/>
                <w:bottom w:val="nil"/>
                <w:right w:val="nil"/>
                <w:between w:val="nil"/>
              </w:pBdr>
              <w:jc w:val="right"/>
              <w:rPr>
                <w:color w:val="000000"/>
              </w:rPr>
            </w:pPr>
          </w:p>
        </w:tc>
        <w:tc>
          <w:tcPr>
            <w:tcW w:w="455" w:type="pct"/>
            <w:vAlign w:val="bottom"/>
          </w:tcPr>
          <w:p w14:paraId="3E177614" w14:textId="77777777" w:rsidR="00EA10CF" w:rsidRPr="00EA10CF" w:rsidRDefault="00EA10CF">
            <w:pPr>
              <w:widowControl w:val="0"/>
              <w:pBdr>
                <w:top w:val="nil"/>
                <w:left w:val="nil"/>
                <w:bottom w:val="nil"/>
                <w:right w:val="nil"/>
                <w:between w:val="nil"/>
              </w:pBdr>
              <w:jc w:val="right"/>
              <w:rPr>
                <w:color w:val="000000"/>
              </w:rPr>
            </w:pPr>
          </w:p>
        </w:tc>
      </w:tr>
      <w:tr w:rsidR="00125132" w:rsidRPr="00EA10CF" w14:paraId="12CB6AD1" w14:textId="77777777" w:rsidTr="00372E26">
        <w:trPr>
          <w:trHeight w:val="23"/>
        </w:trPr>
        <w:tc>
          <w:tcPr>
            <w:tcW w:w="1061" w:type="pct"/>
          </w:tcPr>
          <w:p w14:paraId="68A340AF" w14:textId="18BFA0CE" w:rsidR="00EA10CF" w:rsidRPr="00EA10CF" w:rsidRDefault="00125132" w:rsidP="001B330E">
            <w:pPr>
              <w:widowControl w:val="0"/>
              <w:pBdr>
                <w:top w:val="nil"/>
                <w:left w:val="nil"/>
                <w:bottom w:val="nil"/>
                <w:right w:val="nil"/>
                <w:between w:val="nil"/>
              </w:pBdr>
              <w:ind w:left="113" w:hanging="113"/>
              <w:rPr>
                <w:color w:val="000000"/>
              </w:rPr>
            </w:pPr>
            <w:r>
              <w:rPr>
                <w:color w:val="000000"/>
              </w:rPr>
              <w:t>Euro (EUR)</w:t>
            </w:r>
          </w:p>
        </w:tc>
        <w:tc>
          <w:tcPr>
            <w:tcW w:w="529" w:type="pct"/>
          </w:tcPr>
          <w:p w14:paraId="59F55BF4" w14:textId="77777777" w:rsidR="00EA10CF" w:rsidRPr="00EA10CF" w:rsidRDefault="00EA10CF">
            <w:pPr>
              <w:widowControl w:val="0"/>
              <w:pBdr>
                <w:top w:val="nil"/>
                <w:left w:val="nil"/>
                <w:bottom w:val="nil"/>
                <w:right w:val="nil"/>
                <w:between w:val="nil"/>
              </w:pBdr>
              <w:jc w:val="right"/>
              <w:rPr>
                <w:color w:val="000000"/>
              </w:rPr>
            </w:pPr>
          </w:p>
        </w:tc>
        <w:tc>
          <w:tcPr>
            <w:tcW w:w="530" w:type="pct"/>
          </w:tcPr>
          <w:p w14:paraId="34D58C70"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7F7974A2"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717C63C8" w14:textId="77777777" w:rsidR="00EA10CF" w:rsidRPr="00EA10CF" w:rsidRDefault="00EA10CF">
            <w:pPr>
              <w:widowControl w:val="0"/>
              <w:pBdr>
                <w:top w:val="nil"/>
                <w:left w:val="nil"/>
                <w:bottom w:val="nil"/>
                <w:right w:val="nil"/>
                <w:between w:val="nil"/>
              </w:pBdr>
              <w:jc w:val="right"/>
              <w:rPr>
                <w:color w:val="000000"/>
              </w:rPr>
            </w:pPr>
          </w:p>
        </w:tc>
        <w:tc>
          <w:tcPr>
            <w:tcW w:w="532" w:type="pct"/>
          </w:tcPr>
          <w:p w14:paraId="2857914A" w14:textId="77777777" w:rsidR="00EA10CF" w:rsidRPr="00EA10CF" w:rsidRDefault="00EA10CF">
            <w:pPr>
              <w:widowControl w:val="0"/>
              <w:pBdr>
                <w:top w:val="nil"/>
                <w:left w:val="nil"/>
                <w:bottom w:val="nil"/>
                <w:right w:val="nil"/>
                <w:between w:val="nil"/>
              </w:pBdr>
              <w:jc w:val="right"/>
              <w:rPr>
                <w:color w:val="000000"/>
              </w:rPr>
            </w:pPr>
          </w:p>
        </w:tc>
        <w:tc>
          <w:tcPr>
            <w:tcW w:w="530" w:type="pct"/>
            <w:vAlign w:val="bottom"/>
          </w:tcPr>
          <w:p w14:paraId="426D92DB" w14:textId="77777777" w:rsidR="00EA10CF" w:rsidRPr="00EA10CF" w:rsidRDefault="00EA10CF">
            <w:pPr>
              <w:widowControl w:val="0"/>
              <w:pBdr>
                <w:top w:val="nil"/>
                <w:left w:val="nil"/>
                <w:bottom w:val="nil"/>
                <w:right w:val="nil"/>
                <w:between w:val="nil"/>
              </w:pBdr>
              <w:jc w:val="right"/>
              <w:rPr>
                <w:color w:val="000000"/>
              </w:rPr>
            </w:pPr>
          </w:p>
        </w:tc>
        <w:tc>
          <w:tcPr>
            <w:tcW w:w="454" w:type="pct"/>
          </w:tcPr>
          <w:p w14:paraId="00A7C6A3" w14:textId="77777777" w:rsidR="00EA10CF" w:rsidRPr="00EA10CF" w:rsidRDefault="00EA10CF">
            <w:pPr>
              <w:widowControl w:val="0"/>
              <w:pBdr>
                <w:top w:val="nil"/>
                <w:left w:val="nil"/>
                <w:bottom w:val="nil"/>
                <w:right w:val="nil"/>
                <w:between w:val="nil"/>
              </w:pBdr>
              <w:jc w:val="right"/>
              <w:rPr>
                <w:color w:val="000000"/>
              </w:rPr>
            </w:pPr>
          </w:p>
        </w:tc>
        <w:tc>
          <w:tcPr>
            <w:tcW w:w="455" w:type="pct"/>
            <w:vAlign w:val="bottom"/>
          </w:tcPr>
          <w:p w14:paraId="3F7BFDFB" w14:textId="77777777" w:rsidR="00EA10CF" w:rsidRPr="00EA10CF" w:rsidRDefault="00EA10CF">
            <w:pPr>
              <w:widowControl w:val="0"/>
              <w:pBdr>
                <w:top w:val="nil"/>
                <w:left w:val="nil"/>
                <w:bottom w:val="nil"/>
                <w:right w:val="nil"/>
                <w:between w:val="nil"/>
              </w:pBdr>
              <w:jc w:val="right"/>
              <w:rPr>
                <w:color w:val="000000"/>
              </w:rPr>
            </w:pPr>
          </w:p>
        </w:tc>
      </w:tr>
      <w:tr w:rsidR="00125132" w:rsidRPr="00EA10CF" w14:paraId="6ECA060B" w14:textId="77777777" w:rsidTr="00372E26">
        <w:trPr>
          <w:trHeight w:val="23"/>
        </w:trPr>
        <w:tc>
          <w:tcPr>
            <w:tcW w:w="1061" w:type="pct"/>
          </w:tcPr>
          <w:p w14:paraId="20CD90B2" w14:textId="77777777" w:rsidR="00EA10CF" w:rsidRPr="00EA10CF" w:rsidRDefault="00EA10CF" w:rsidP="001B330E">
            <w:pPr>
              <w:widowControl w:val="0"/>
              <w:pBdr>
                <w:top w:val="nil"/>
                <w:left w:val="nil"/>
                <w:bottom w:val="nil"/>
                <w:right w:val="nil"/>
                <w:between w:val="nil"/>
              </w:pBdr>
              <w:ind w:left="113" w:hanging="113"/>
              <w:rPr>
                <w:color w:val="000000"/>
              </w:rPr>
            </w:pPr>
            <w:r w:rsidRPr="00EA10CF">
              <w:rPr>
                <w:color w:val="000000"/>
              </w:rPr>
              <w:t>Other</w:t>
            </w:r>
          </w:p>
        </w:tc>
        <w:tc>
          <w:tcPr>
            <w:tcW w:w="529" w:type="pct"/>
          </w:tcPr>
          <w:p w14:paraId="0934BC0F" w14:textId="77777777" w:rsidR="00EA10CF" w:rsidRPr="00EA10CF" w:rsidRDefault="00EA10CF">
            <w:pPr>
              <w:widowControl w:val="0"/>
              <w:pBdr>
                <w:top w:val="nil"/>
                <w:left w:val="nil"/>
                <w:bottom w:val="nil"/>
                <w:right w:val="nil"/>
                <w:between w:val="nil"/>
              </w:pBdr>
              <w:jc w:val="right"/>
              <w:rPr>
                <w:color w:val="000000"/>
              </w:rPr>
            </w:pPr>
          </w:p>
        </w:tc>
        <w:tc>
          <w:tcPr>
            <w:tcW w:w="530" w:type="pct"/>
          </w:tcPr>
          <w:p w14:paraId="471F3230"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12D531C2"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17E29C8C" w14:textId="77777777" w:rsidR="00EA10CF" w:rsidRPr="00EA10CF" w:rsidRDefault="00EA10CF">
            <w:pPr>
              <w:widowControl w:val="0"/>
              <w:pBdr>
                <w:top w:val="nil"/>
                <w:left w:val="nil"/>
                <w:bottom w:val="nil"/>
                <w:right w:val="nil"/>
                <w:between w:val="nil"/>
              </w:pBdr>
              <w:jc w:val="right"/>
              <w:rPr>
                <w:color w:val="000000"/>
              </w:rPr>
            </w:pPr>
          </w:p>
        </w:tc>
        <w:tc>
          <w:tcPr>
            <w:tcW w:w="532" w:type="pct"/>
          </w:tcPr>
          <w:p w14:paraId="68790474" w14:textId="77777777" w:rsidR="00EA10CF" w:rsidRPr="00EA10CF" w:rsidRDefault="00EA10CF">
            <w:pPr>
              <w:widowControl w:val="0"/>
              <w:pBdr>
                <w:top w:val="nil"/>
                <w:left w:val="nil"/>
                <w:bottom w:val="nil"/>
                <w:right w:val="nil"/>
                <w:between w:val="nil"/>
              </w:pBdr>
              <w:jc w:val="right"/>
              <w:rPr>
                <w:color w:val="000000"/>
              </w:rPr>
            </w:pPr>
          </w:p>
        </w:tc>
        <w:tc>
          <w:tcPr>
            <w:tcW w:w="530" w:type="pct"/>
            <w:vAlign w:val="bottom"/>
          </w:tcPr>
          <w:p w14:paraId="05ACD466" w14:textId="77777777" w:rsidR="00EA10CF" w:rsidRPr="00EA10CF" w:rsidRDefault="00EA10CF">
            <w:pPr>
              <w:widowControl w:val="0"/>
              <w:pBdr>
                <w:top w:val="nil"/>
                <w:left w:val="nil"/>
                <w:bottom w:val="nil"/>
                <w:right w:val="nil"/>
                <w:between w:val="nil"/>
              </w:pBdr>
              <w:jc w:val="right"/>
              <w:rPr>
                <w:color w:val="000000"/>
              </w:rPr>
            </w:pPr>
          </w:p>
        </w:tc>
        <w:tc>
          <w:tcPr>
            <w:tcW w:w="454" w:type="pct"/>
          </w:tcPr>
          <w:p w14:paraId="525D0301" w14:textId="77777777" w:rsidR="00EA10CF" w:rsidRPr="00EA10CF" w:rsidRDefault="00EA10CF">
            <w:pPr>
              <w:widowControl w:val="0"/>
              <w:pBdr>
                <w:top w:val="nil"/>
                <w:left w:val="nil"/>
                <w:bottom w:val="nil"/>
                <w:right w:val="nil"/>
                <w:between w:val="nil"/>
              </w:pBdr>
              <w:jc w:val="right"/>
              <w:rPr>
                <w:color w:val="000000"/>
              </w:rPr>
            </w:pPr>
          </w:p>
        </w:tc>
        <w:tc>
          <w:tcPr>
            <w:tcW w:w="455" w:type="pct"/>
            <w:vAlign w:val="bottom"/>
          </w:tcPr>
          <w:p w14:paraId="55490ECF" w14:textId="77777777" w:rsidR="00EA10CF" w:rsidRPr="00EA10CF" w:rsidRDefault="00EA10CF">
            <w:pPr>
              <w:widowControl w:val="0"/>
              <w:pBdr>
                <w:top w:val="nil"/>
                <w:left w:val="nil"/>
                <w:bottom w:val="nil"/>
                <w:right w:val="nil"/>
                <w:between w:val="nil"/>
              </w:pBdr>
              <w:jc w:val="right"/>
              <w:rPr>
                <w:color w:val="000000"/>
              </w:rPr>
            </w:pPr>
          </w:p>
        </w:tc>
      </w:tr>
      <w:tr w:rsidR="00125132" w:rsidRPr="00EA10CF" w14:paraId="39D7C309" w14:textId="77777777" w:rsidTr="00372E26">
        <w:trPr>
          <w:trHeight w:val="23"/>
        </w:trPr>
        <w:tc>
          <w:tcPr>
            <w:tcW w:w="1061" w:type="pct"/>
            <w:tcBorders>
              <w:bottom w:val="single" w:sz="4" w:space="0" w:color="000000"/>
            </w:tcBorders>
            <w:shd w:val="clear" w:color="auto" w:fill="auto"/>
          </w:tcPr>
          <w:p w14:paraId="5756D4F2" w14:textId="77777777" w:rsidR="00EA10CF" w:rsidRPr="00EA10CF" w:rsidRDefault="00EA10CF" w:rsidP="001B330E">
            <w:pPr>
              <w:widowControl w:val="0"/>
              <w:pBdr>
                <w:top w:val="nil"/>
                <w:left w:val="nil"/>
                <w:bottom w:val="nil"/>
                <w:right w:val="nil"/>
                <w:between w:val="nil"/>
              </w:pBdr>
              <w:ind w:left="113" w:hanging="113"/>
              <w:rPr>
                <w:color w:val="000000"/>
              </w:rPr>
            </w:pPr>
          </w:p>
        </w:tc>
        <w:tc>
          <w:tcPr>
            <w:tcW w:w="529" w:type="pct"/>
            <w:tcBorders>
              <w:bottom w:val="single" w:sz="4" w:space="0" w:color="000000"/>
            </w:tcBorders>
          </w:tcPr>
          <w:p w14:paraId="393438FB" w14:textId="77777777" w:rsidR="00EA10CF" w:rsidRPr="00EA10CF" w:rsidRDefault="00EA10CF">
            <w:pPr>
              <w:widowControl w:val="0"/>
              <w:pBdr>
                <w:top w:val="nil"/>
                <w:left w:val="nil"/>
                <w:bottom w:val="nil"/>
                <w:right w:val="nil"/>
                <w:between w:val="nil"/>
              </w:pBdr>
              <w:jc w:val="right"/>
              <w:rPr>
                <w:color w:val="000000"/>
              </w:rPr>
            </w:pPr>
          </w:p>
        </w:tc>
        <w:tc>
          <w:tcPr>
            <w:tcW w:w="530" w:type="pct"/>
            <w:tcBorders>
              <w:bottom w:val="single" w:sz="4" w:space="0" w:color="000000"/>
            </w:tcBorders>
          </w:tcPr>
          <w:p w14:paraId="237AD2B2" w14:textId="77777777" w:rsidR="00EA10CF" w:rsidRPr="00EA10CF" w:rsidRDefault="00EA10CF">
            <w:pPr>
              <w:widowControl w:val="0"/>
              <w:pBdr>
                <w:top w:val="nil"/>
                <w:left w:val="nil"/>
                <w:bottom w:val="nil"/>
                <w:right w:val="nil"/>
                <w:between w:val="nil"/>
              </w:pBdr>
              <w:jc w:val="right"/>
              <w:rPr>
                <w:color w:val="000000"/>
              </w:rPr>
            </w:pPr>
          </w:p>
        </w:tc>
        <w:tc>
          <w:tcPr>
            <w:tcW w:w="455" w:type="pct"/>
            <w:tcBorders>
              <w:bottom w:val="single" w:sz="4" w:space="0" w:color="000000"/>
            </w:tcBorders>
          </w:tcPr>
          <w:p w14:paraId="39F1C484" w14:textId="77777777" w:rsidR="00EA10CF" w:rsidRPr="00EA10CF" w:rsidRDefault="00EA10CF">
            <w:pPr>
              <w:widowControl w:val="0"/>
              <w:pBdr>
                <w:top w:val="nil"/>
                <w:left w:val="nil"/>
                <w:bottom w:val="nil"/>
                <w:right w:val="nil"/>
                <w:between w:val="nil"/>
              </w:pBdr>
              <w:jc w:val="right"/>
              <w:rPr>
                <w:color w:val="000000"/>
              </w:rPr>
            </w:pPr>
          </w:p>
        </w:tc>
        <w:tc>
          <w:tcPr>
            <w:tcW w:w="455" w:type="pct"/>
            <w:tcBorders>
              <w:bottom w:val="single" w:sz="4" w:space="0" w:color="000000"/>
            </w:tcBorders>
          </w:tcPr>
          <w:p w14:paraId="0B0CCB3B" w14:textId="77777777" w:rsidR="00EA10CF" w:rsidRPr="00EA10CF" w:rsidRDefault="00EA10CF">
            <w:pPr>
              <w:widowControl w:val="0"/>
              <w:pBdr>
                <w:top w:val="nil"/>
                <w:left w:val="nil"/>
                <w:bottom w:val="nil"/>
                <w:right w:val="nil"/>
                <w:between w:val="nil"/>
              </w:pBdr>
              <w:jc w:val="right"/>
              <w:rPr>
                <w:color w:val="000000"/>
              </w:rPr>
            </w:pPr>
          </w:p>
        </w:tc>
        <w:tc>
          <w:tcPr>
            <w:tcW w:w="532" w:type="pct"/>
            <w:tcBorders>
              <w:bottom w:val="single" w:sz="4" w:space="0" w:color="000000"/>
            </w:tcBorders>
          </w:tcPr>
          <w:p w14:paraId="396BF5AE" w14:textId="77777777" w:rsidR="00EA10CF" w:rsidRPr="00EA10CF" w:rsidRDefault="00EA10CF">
            <w:pPr>
              <w:widowControl w:val="0"/>
              <w:pBdr>
                <w:top w:val="nil"/>
                <w:left w:val="nil"/>
                <w:bottom w:val="nil"/>
                <w:right w:val="nil"/>
                <w:between w:val="nil"/>
              </w:pBdr>
              <w:jc w:val="right"/>
              <w:rPr>
                <w:color w:val="000000"/>
              </w:rPr>
            </w:pPr>
          </w:p>
        </w:tc>
        <w:tc>
          <w:tcPr>
            <w:tcW w:w="530" w:type="pct"/>
            <w:tcBorders>
              <w:bottom w:val="single" w:sz="4" w:space="0" w:color="000000"/>
            </w:tcBorders>
            <w:shd w:val="clear" w:color="auto" w:fill="auto"/>
            <w:vAlign w:val="bottom"/>
          </w:tcPr>
          <w:p w14:paraId="7DBCD3F9" w14:textId="77777777" w:rsidR="00EA10CF" w:rsidRPr="00EA10CF" w:rsidRDefault="00EA10CF">
            <w:pPr>
              <w:widowControl w:val="0"/>
              <w:pBdr>
                <w:top w:val="nil"/>
                <w:left w:val="nil"/>
                <w:bottom w:val="nil"/>
                <w:right w:val="nil"/>
                <w:between w:val="nil"/>
              </w:pBdr>
              <w:jc w:val="right"/>
              <w:rPr>
                <w:color w:val="000000"/>
              </w:rPr>
            </w:pPr>
          </w:p>
        </w:tc>
        <w:tc>
          <w:tcPr>
            <w:tcW w:w="454" w:type="pct"/>
            <w:tcBorders>
              <w:bottom w:val="single" w:sz="4" w:space="0" w:color="000000"/>
            </w:tcBorders>
          </w:tcPr>
          <w:p w14:paraId="501CE766" w14:textId="77777777" w:rsidR="00EA10CF" w:rsidRPr="00EA10CF" w:rsidRDefault="00EA10CF">
            <w:pPr>
              <w:widowControl w:val="0"/>
              <w:pBdr>
                <w:top w:val="nil"/>
                <w:left w:val="nil"/>
                <w:bottom w:val="nil"/>
                <w:right w:val="nil"/>
                <w:between w:val="nil"/>
              </w:pBdr>
              <w:jc w:val="right"/>
              <w:rPr>
                <w:color w:val="000000"/>
              </w:rPr>
            </w:pPr>
          </w:p>
        </w:tc>
        <w:tc>
          <w:tcPr>
            <w:tcW w:w="455" w:type="pct"/>
            <w:tcBorders>
              <w:bottom w:val="single" w:sz="4" w:space="0" w:color="000000"/>
            </w:tcBorders>
            <w:shd w:val="clear" w:color="auto" w:fill="auto"/>
            <w:vAlign w:val="bottom"/>
          </w:tcPr>
          <w:p w14:paraId="7FE61C47" w14:textId="77777777" w:rsidR="00EA10CF" w:rsidRPr="00EA10CF" w:rsidRDefault="00EA10CF">
            <w:pPr>
              <w:widowControl w:val="0"/>
              <w:pBdr>
                <w:top w:val="nil"/>
                <w:left w:val="nil"/>
                <w:bottom w:val="nil"/>
                <w:right w:val="nil"/>
                <w:between w:val="nil"/>
              </w:pBdr>
              <w:jc w:val="right"/>
              <w:rPr>
                <w:color w:val="000000"/>
              </w:rPr>
            </w:pPr>
          </w:p>
        </w:tc>
      </w:tr>
      <w:tr w:rsidR="00125132" w:rsidRPr="00EA10CF" w14:paraId="29155E55" w14:textId="77777777" w:rsidTr="00372E26">
        <w:trPr>
          <w:trHeight w:val="23"/>
        </w:trPr>
        <w:tc>
          <w:tcPr>
            <w:tcW w:w="1061" w:type="pct"/>
            <w:tcBorders>
              <w:top w:val="single" w:sz="4" w:space="0" w:color="000000"/>
            </w:tcBorders>
          </w:tcPr>
          <w:p w14:paraId="2561F1D5" w14:textId="77777777" w:rsidR="00EA10CF" w:rsidRPr="00EA10CF" w:rsidRDefault="00EA10CF" w:rsidP="001B330E">
            <w:pPr>
              <w:widowControl w:val="0"/>
              <w:pBdr>
                <w:top w:val="nil"/>
                <w:left w:val="nil"/>
                <w:bottom w:val="nil"/>
                <w:right w:val="nil"/>
                <w:between w:val="nil"/>
              </w:pBdr>
              <w:ind w:left="113" w:hanging="113"/>
              <w:rPr>
                <w:color w:val="000000"/>
              </w:rPr>
            </w:pPr>
          </w:p>
        </w:tc>
        <w:tc>
          <w:tcPr>
            <w:tcW w:w="529" w:type="pct"/>
            <w:tcBorders>
              <w:top w:val="single" w:sz="4" w:space="0" w:color="000000"/>
            </w:tcBorders>
          </w:tcPr>
          <w:p w14:paraId="39874FBF" w14:textId="77777777" w:rsidR="00EA10CF" w:rsidRPr="00EA10CF" w:rsidRDefault="00EA10CF">
            <w:pPr>
              <w:widowControl w:val="0"/>
              <w:pBdr>
                <w:top w:val="nil"/>
                <w:left w:val="nil"/>
                <w:bottom w:val="nil"/>
                <w:right w:val="nil"/>
                <w:between w:val="nil"/>
              </w:pBdr>
              <w:jc w:val="right"/>
              <w:rPr>
                <w:color w:val="000000"/>
              </w:rPr>
            </w:pPr>
          </w:p>
        </w:tc>
        <w:tc>
          <w:tcPr>
            <w:tcW w:w="530" w:type="pct"/>
            <w:tcBorders>
              <w:top w:val="single" w:sz="4" w:space="0" w:color="000000"/>
            </w:tcBorders>
          </w:tcPr>
          <w:p w14:paraId="170B2449" w14:textId="77777777" w:rsidR="00EA10CF" w:rsidRPr="00EA10CF" w:rsidRDefault="00EA10CF">
            <w:pPr>
              <w:widowControl w:val="0"/>
              <w:pBdr>
                <w:top w:val="nil"/>
                <w:left w:val="nil"/>
                <w:bottom w:val="nil"/>
                <w:right w:val="nil"/>
                <w:between w:val="nil"/>
              </w:pBdr>
              <w:jc w:val="right"/>
              <w:rPr>
                <w:color w:val="000000"/>
              </w:rPr>
            </w:pPr>
          </w:p>
        </w:tc>
        <w:tc>
          <w:tcPr>
            <w:tcW w:w="455" w:type="pct"/>
            <w:tcBorders>
              <w:top w:val="single" w:sz="4" w:space="0" w:color="000000"/>
            </w:tcBorders>
          </w:tcPr>
          <w:p w14:paraId="217BCC74" w14:textId="77777777" w:rsidR="00EA10CF" w:rsidRPr="00EA10CF" w:rsidRDefault="00EA10CF">
            <w:pPr>
              <w:widowControl w:val="0"/>
              <w:pBdr>
                <w:top w:val="nil"/>
                <w:left w:val="nil"/>
                <w:bottom w:val="nil"/>
                <w:right w:val="nil"/>
                <w:between w:val="nil"/>
              </w:pBdr>
              <w:jc w:val="right"/>
              <w:rPr>
                <w:color w:val="000000"/>
              </w:rPr>
            </w:pPr>
          </w:p>
        </w:tc>
        <w:tc>
          <w:tcPr>
            <w:tcW w:w="455" w:type="pct"/>
            <w:tcBorders>
              <w:top w:val="single" w:sz="4" w:space="0" w:color="000000"/>
            </w:tcBorders>
          </w:tcPr>
          <w:p w14:paraId="255F4001" w14:textId="77777777" w:rsidR="00EA10CF" w:rsidRPr="00EA10CF" w:rsidRDefault="00EA10CF">
            <w:pPr>
              <w:widowControl w:val="0"/>
              <w:pBdr>
                <w:top w:val="nil"/>
                <w:left w:val="nil"/>
                <w:bottom w:val="nil"/>
                <w:right w:val="nil"/>
                <w:between w:val="nil"/>
              </w:pBdr>
              <w:jc w:val="right"/>
              <w:rPr>
                <w:color w:val="000000"/>
              </w:rPr>
            </w:pPr>
          </w:p>
        </w:tc>
        <w:tc>
          <w:tcPr>
            <w:tcW w:w="532" w:type="pct"/>
            <w:tcBorders>
              <w:top w:val="single" w:sz="4" w:space="0" w:color="000000"/>
            </w:tcBorders>
          </w:tcPr>
          <w:p w14:paraId="44E592F0" w14:textId="77777777" w:rsidR="00EA10CF" w:rsidRPr="00EA10CF" w:rsidRDefault="00EA10CF">
            <w:pPr>
              <w:widowControl w:val="0"/>
              <w:pBdr>
                <w:top w:val="nil"/>
                <w:left w:val="nil"/>
                <w:bottom w:val="nil"/>
                <w:right w:val="nil"/>
                <w:between w:val="nil"/>
              </w:pBdr>
              <w:jc w:val="right"/>
              <w:rPr>
                <w:color w:val="000000"/>
              </w:rPr>
            </w:pPr>
          </w:p>
        </w:tc>
        <w:tc>
          <w:tcPr>
            <w:tcW w:w="530" w:type="pct"/>
            <w:tcBorders>
              <w:top w:val="single" w:sz="4" w:space="0" w:color="000000"/>
            </w:tcBorders>
            <w:vAlign w:val="bottom"/>
          </w:tcPr>
          <w:p w14:paraId="3642CA9E" w14:textId="77777777" w:rsidR="00EA10CF" w:rsidRPr="00EA10CF" w:rsidRDefault="00EA10CF">
            <w:pPr>
              <w:widowControl w:val="0"/>
              <w:pBdr>
                <w:top w:val="nil"/>
                <w:left w:val="nil"/>
                <w:bottom w:val="nil"/>
                <w:right w:val="nil"/>
                <w:between w:val="nil"/>
              </w:pBdr>
              <w:jc w:val="right"/>
              <w:rPr>
                <w:color w:val="000000"/>
              </w:rPr>
            </w:pPr>
          </w:p>
        </w:tc>
        <w:tc>
          <w:tcPr>
            <w:tcW w:w="454" w:type="pct"/>
            <w:tcBorders>
              <w:top w:val="single" w:sz="4" w:space="0" w:color="000000"/>
            </w:tcBorders>
          </w:tcPr>
          <w:p w14:paraId="3B63E98A" w14:textId="77777777" w:rsidR="00EA10CF" w:rsidRPr="00EA10CF" w:rsidRDefault="00EA10CF">
            <w:pPr>
              <w:widowControl w:val="0"/>
              <w:pBdr>
                <w:top w:val="nil"/>
                <w:left w:val="nil"/>
                <w:bottom w:val="nil"/>
                <w:right w:val="nil"/>
                <w:between w:val="nil"/>
              </w:pBdr>
              <w:jc w:val="right"/>
              <w:rPr>
                <w:color w:val="000000"/>
              </w:rPr>
            </w:pPr>
          </w:p>
        </w:tc>
        <w:tc>
          <w:tcPr>
            <w:tcW w:w="455" w:type="pct"/>
            <w:tcBorders>
              <w:top w:val="single" w:sz="4" w:space="0" w:color="000000"/>
            </w:tcBorders>
            <w:vAlign w:val="bottom"/>
          </w:tcPr>
          <w:p w14:paraId="03031A52" w14:textId="77777777" w:rsidR="00EA10CF" w:rsidRPr="00EA10CF" w:rsidRDefault="00EA10CF">
            <w:pPr>
              <w:widowControl w:val="0"/>
              <w:pBdr>
                <w:top w:val="nil"/>
                <w:left w:val="nil"/>
                <w:bottom w:val="nil"/>
                <w:right w:val="nil"/>
                <w:between w:val="nil"/>
              </w:pBdr>
              <w:jc w:val="right"/>
              <w:rPr>
                <w:color w:val="000000"/>
              </w:rPr>
            </w:pPr>
          </w:p>
        </w:tc>
      </w:tr>
      <w:tr w:rsidR="00125132" w:rsidRPr="00EA10CF" w14:paraId="2A25A06E" w14:textId="77777777" w:rsidTr="00372E26">
        <w:trPr>
          <w:trHeight w:val="23"/>
        </w:trPr>
        <w:tc>
          <w:tcPr>
            <w:tcW w:w="1061" w:type="pct"/>
          </w:tcPr>
          <w:p w14:paraId="33D0B29B" w14:textId="77777777" w:rsidR="00EA10CF" w:rsidRPr="00EA10CF" w:rsidRDefault="00EA10CF" w:rsidP="001B330E">
            <w:pPr>
              <w:widowControl w:val="0"/>
              <w:pBdr>
                <w:top w:val="nil"/>
                <w:left w:val="nil"/>
                <w:bottom w:val="nil"/>
                <w:right w:val="nil"/>
                <w:between w:val="nil"/>
              </w:pBdr>
              <w:ind w:left="113" w:hanging="113"/>
              <w:rPr>
                <w:b/>
                <w:color w:val="000000"/>
              </w:rPr>
            </w:pPr>
            <w:r w:rsidRPr="00EA10CF">
              <w:rPr>
                <w:b/>
                <w:color w:val="000000"/>
              </w:rPr>
              <w:t xml:space="preserve">Total </w:t>
            </w:r>
          </w:p>
        </w:tc>
        <w:tc>
          <w:tcPr>
            <w:tcW w:w="529" w:type="pct"/>
          </w:tcPr>
          <w:p w14:paraId="6860B8FA" w14:textId="77777777" w:rsidR="00EA10CF" w:rsidRPr="00EA10CF" w:rsidRDefault="00EA10CF">
            <w:pPr>
              <w:widowControl w:val="0"/>
              <w:pBdr>
                <w:top w:val="nil"/>
                <w:left w:val="nil"/>
                <w:bottom w:val="nil"/>
                <w:right w:val="nil"/>
                <w:between w:val="nil"/>
              </w:pBdr>
              <w:jc w:val="right"/>
              <w:rPr>
                <w:color w:val="000000"/>
              </w:rPr>
            </w:pPr>
          </w:p>
        </w:tc>
        <w:tc>
          <w:tcPr>
            <w:tcW w:w="530" w:type="pct"/>
          </w:tcPr>
          <w:p w14:paraId="61A53266"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198B5C42" w14:textId="77777777" w:rsidR="00EA10CF" w:rsidRPr="00EA10CF" w:rsidRDefault="00EA10CF">
            <w:pPr>
              <w:widowControl w:val="0"/>
              <w:pBdr>
                <w:top w:val="nil"/>
                <w:left w:val="nil"/>
                <w:bottom w:val="nil"/>
                <w:right w:val="nil"/>
                <w:between w:val="nil"/>
              </w:pBdr>
              <w:jc w:val="right"/>
              <w:rPr>
                <w:color w:val="000000"/>
              </w:rPr>
            </w:pPr>
          </w:p>
        </w:tc>
        <w:tc>
          <w:tcPr>
            <w:tcW w:w="455" w:type="pct"/>
          </w:tcPr>
          <w:p w14:paraId="125F045B" w14:textId="77777777" w:rsidR="00EA10CF" w:rsidRPr="00EA10CF" w:rsidRDefault="00EA10CF">
            <w:pPr>
              <w:widowControl w:val="0"/>
              <w:pBdr>
                <w:top w:val="nil"/>
                <w:left w:val="nil"/>
                <w:bottom w:val="nil"/>
                <w:right w:val="nil"/>
                <w:between w:val="nil"/>
              </w:pBdr>
              <w:jc w:val="right"/>
              <w:rPr>
                <w:color w:val="000000"/>
              </w:rPr>
            </w:pPr>
          </w:p>
        </w:tc>
        <w:tc>
          <w:tcPr>
            <w:tcW w:w="532" w:type="pct"/>
          </w:tcPr>
          <w:p w14:paraId="6AD3DDA3" w14:textId="77777777" w:rsidR="00EA10CF" w:rsidRPr="00EA10CF" w:rsidRDefault="00EA10CF">
            <w:pPr>
              <w:widowControl w:val="0"/>
              <w:pBdr>
                <w:top w:val="nil"/>
                <w:left w:val="nil"/>
                <w:bottom w:val="nil"/>
                <w:right w:val="nil"/>
                <w:between w:val="nil"/>
              </w:pBdr>
              <w:jc w:val="right"/>
              <w:rPr>
                <w:color w:val="000000"/>
              </w:rPr>
            </w:pPr>
          </w:p>
        </w:tc>
        <w:tc>
          <w:tcPr>
            <w:tcW w:w="530" w:type="pct"/>
            <w:vAlign w:val="bottom"/>
          </w:tcPr>
          <w:p w14:paraId="5CEAAF4C" w14:textId="77777777" w:rsidR="00EA10CF" w:rsidRPr="00EA10CF" w:rsidRDefault="00EA10CF">
            <w:pPr>
              <w:widowControl w:val="0"/>
              <w:pBdr>
                <w:top w:val="nil"/>
                <w:left w:val="nil"/>
                <w:bottom w:val="nil"/>
                <w:right w:val="nil"/>
                <w:between w:val="nil"/>
              </w:pBdr>
              <w:jc w:val="right"/>
              <w:rPr>
                <w:color w:val="000000"/>
              </w:rPr>
            </w:pPr>
          </w:p>
        </w:tc>
        <w:tc>
          <w:tcPr>
            <w:tcW w:w="454" w:type="pct"/>
          </w:tcPr>
          <w:p w14:paraId="3253E4D4" w14:textId="77777777" w:rsidR="00EA10CF" w:rsidRPr="00EA10CF" w:rsidRDefault="00EA10CF">
            <w:pPr>
              <w:widowControl w:val="0"/>
              <w:pBdr>
                <w:top w:val="nil"/>
                <w:left w:val="nil"/>
                <w:bottom w:val="nil"/>
                <w:right w:val="nil"/>
                <w:between w:val="nil"/>
              </w:pBdr>
              <w:jc w:val="right"/>
              <w:rPr>
                <w:color w:val="000000"/>
              </w:rPr>
            </w:pPr>
          </w:p>
        </w:tc>
        <w:tc>
          <w:tcPr>
            <w:tcW w:w="455" w:type="pct"/>
            <w:vAlign w:val="bottom"/>
          </w:tcPr>
          <w:p w14:paraId="577E7A45" w14:textId="77777777" w:rsidR="00EA10CF" w:rsidRPr="00EA10CF" w:rsidRDefault="00EA10CF">
            <w:pPr>
              <w:widowControl w:val="0"/>
              <w:pBdr>
                <w:top w:val="nil"/>
                <w:left w:val="nil"/>
                <w:bottom w:val="nil"/>
                <w:right w:val="nil"/>
                <w:between w:val="nil"/>
              </w:pBdr>
              <w:jc w:val="right"/>
              <w:rPr>
                <w:color w:val="000000"/>
              </w:rPr>
            </w:pPr>
          </w:p>
        </w:tc>
      </w:tr>
      <w:tr w:rsidR="00125132" w:rsidRPr="00EA10CF" w14:paraId="577AF76B" w14:textId="77777777" w:rsidTr="00372E26">
        <w:trPr>
          <w:trHeight w:val="23"/>
        </w:trPr>
        <w:tc>
          <w:tcPr>
            <w:tcW w:w="1061" w:type="pct"/>
            <w:tcBorders>
              <w:bottom w:val="single" w:sz="12" w:space="0" w:color="000000"/>
            </w:tcBorders>
            <w:shd w:val="clear" w:color="auto" w:fill="auto"/>
          </w:tcPr>
          <w:p w14:paraId="00885D01" w14:textId="77777777" w:rsidR="00EA10CF" w:rsidRPr="00EA10CF" w:rsidRDefault="00EA10CF" w:rsidP="001B330E">
            <w:pPr>
              <w:widowControl w:val="0"/>
              <w:pBdr>
                <w:top w:val="nil"/>
                <w:left w:val="nil"/>
                <w:bottom w:val="nil"/>
                <w:right w:val="nil"/>
                <w:between w:val="nil"/>
              </w:pBdr>
              <w:ind w:left="113" w:hanging="113"/>
              <w:rPr>
                <w:b/>
                <w:color w:val="000000"/>
              </w:rPr>
            </w:pPr>
          </w:p>
        </w:tc>
        <w:tc>
          <w:tcPr>
            <w:tcW w:w="529" w:type="pct"/>
            <w:tcBorders>
              <w:bottom w:val="single" w:sz="12" w:space="0" w:color="000000"/>
            </w:tcBorders>
            <w:shd w:val="clear" w:color="auto" w:fill="auto"/>
          </w:tcPr>
          <w:p w14:paraId="0A6495F4" w14:textId="77777777" w:rsidR="00EA10CF" w:rsidRPr="00EA10CF" w:rsidRDefault="00EA10CF">
            <w:pPr>
              <w:widowControl w:val="0"/>
              <w:pBdr>
                <w:top w:val="nil"/>
                <w:left w:val="nil"/>
                <w:bottom w:val="nil"/>
                <w:right w:val="nil"/>
                <w:between w:val="nil"/>
              </w:pBdr>
              <w:jc w:val="right"/>
              <w:rPr>
                <w:color w:val="000000"/>
              </w:rPr>
            </w:pPr>
          </w:p>
        </w:tc>
        <w:tc>
          <w:tcPr>
            <w:tcW w:w="530" w:type="pct"/>
            <w:tcBorders>
              <w:bottom w:val="single" w:sz="12" w:space="0" w:color="000000"/>
            </w:tcBorders>
            <w:shd w:val="clear" w:color="auto" w:fill="auto"/>
          </w:tcPr>
          <w:p w14:paraId="4FD97A06" w14:textId="77777777" w:rsidR="00EA10CF" w:rsidRPr="00EA10CF" w:rsidRDefault="00EA10CF">
            <w:pPr>
              <w:widowControl w:val="0"/>
              <w:pBdr>
                <w:top w:val="nil"/>
                <w:left w:val="nil"/>
                <w:bottom w:val="nil"/>
                <w:right w:val="nil"/>
                <w:between w:val="nil"/>
              </w:pBdr>
              <w:jc w:val="right"/>
              <w:rPr>
                <w:color w:val="000000"/>
              </w:rPr>
            </w:pPr>
          </w:p>
        </w:tc>
        <w:tc>
          <w:tcPr>
            <w:tcW w:w="455" w:type="pct"/>
            <w:tcBorders>
              <w:bottom w:val="single" w:sz="12" w:space="0" w:color="000000"/>
            </w:tcBorders>
          </w:tcPr>
          <w:p w14:paraId="652B08FD" w14:textId="77777777" w:rsidR="00EA10CF" w:rsidRPr="00EA10CF" w:rsidRDefault="00EA10CF">
            <w:pPr>
              <w:widowControl w:val="0"/>
              <w:pBdr>
                <w:top w:val="nil"/>
                <w:left w:val="nil"/>
                <w:bottom w:val="nil"/>
                <w:right w:val="nil"/>
                <w:between w:val="nil"/>
              </w:pBdr>
              <w:jc w:val="right"/>
              <w:rPr>
                <w:color w:val="000000"/>
              </w:rPr>
            </w:pPr>
          </w:p>
        </w:tc>
        <w:tc>
          <w:tcPr>
            <w:tcW w:w="455" w:type="pct"/>
            <w:tcBorders>
              <w:bottom w:val="single" w:sz="12" w:space="0" w:color="000000"/>
            </w:tcBorders>
            <w:shd w:val="clear" w:color="auto" w:fill="auto"/>
          </w:tcPr>
          <w:p w14:paraId="3F04BB1C" w14:textId="77777777" w:rsidR="00EA10CF" w:rsidRPr="00EA10CF" w:rsidRDefault="00EA10CF">
            <w:pPr>
              <w:widowControl w:val="0"/>
              <w:pBdr>
                <w:top w:val="nil"/>
                <w:left w:val="nil"/>
                <w:bottom w:val="nil"/>
                <w:right w:val="nil"/>
                <w:between w:val="nil"/>
              </w:pBdr>
              <w:jc w:val="right"/>
              <w:rPr>
                <w:color w:val="000000"/>
              </w:rPr>
            </w:pPr>
          </w:p>
        </w:tc>
        <w:tc>
          <w:tcPr>
            <w:tcW w:w="532" w:type="pct"/>
            <w:tcBorders>
              <w:bottom w:val="single" w:sz="12" w:space="0" w:color="000000"/>
            </w:tcBorders>
            <w:shd w:val="clear" w:color="auto" w:fill="auto"/>
          </w:tcPr>
          <w:p w14:paraId="75EEF235" w14:textId="77777777" w:rsidR="00EA10CF" w:rsidRPr="00EA10CF" w:rsidRDefault="00EA10CF">
            <w:pPr>
              <w:widowControl w:val="0"/>
              <w:pBdr>
                <w:top w:val="nil"/>
                <w:left w:val="nil"/>
                <w:bottom w:val="nil"/>
                <w:right w:val="nil"/>
                <w:between w:val="nil"/>
              </w:pBdr>
              <w:jc w:val="right"/>
              <w:rPr>
                <w:color w:val="000000"/>
              </w:rPr>
            </w:pPr>
          </w:p>
        </w:tc>
        <w:tc>
          <w:tcPr>
            <w:tcW w:w="530" w:type="pct"/>
            <w:tcBorders>
              <w:bottom w:val="single" w:sz="12" w:space="0" w:color="000000"/>
            </w:tcBorders>
            <w:shd w:val="clear" w:color="auto" w:fill="auto"/>
            <w:vAlign w:val="bottom"/>
          </w:tcPr>
          <w:p w14:paraId="6ACECFEA" w14:textId="77777777" w:rsidR="00EA10CF" w:rsidRPr="00EA10CF" w:rsidRDefault="00EA10CF">
            <w:pPr>
              <w:widowControl w:val="0"/>
              <w:pBdr>
                <w:top w:val="nil"/>
                <w:left w:val="nil"/>
                <w:bottom w:val="nil"/>
                <w:right w:val="nil"/>
                <w:between w:val="nil"/>
              </w:pBdr>
              <w:jc w:val="right"/>
              <w:rPr>
                <w:color w:val="000000"/>
              </w:rPr>
            </w:pPr>
          </w:p>
        </w:tc>
        <w:tc>
          <w:tcPr>
            <w:tcW w:w="454" w:type="pct"/>
            <w:tcBorders>
              <w:bottom w:val="single" w:sz="12" w:space="0" w:color="000000"/>
            </w:tcBorders>
          </w:tcPr>
          <w:p w14:paraId="1B0B3D2B" w14:textId="77777777" w:rsidR="00EA10CF" w:rsidRPr="00EA10CF" w:rsidRDefault="00EA10CF">
            <w:pPr>
              <w:widowControl w:val="0"/>
              <w:pBdr>
                <w:top w:val="nil"/>
                <w:left w:val="nil"/>
                <w:bottom w:val="nil"/>
                <w:right w:val="nil"/>
                <w:between w:val="nil"/>
              </w:pBdr>
              <w:jc w:val="right"/>
              <w:rPr>
                <w:color w:val="000000"/>
              </w:rPr>
            </w:pPr>
          </w:p>
        </w:tc>
        <w:tc>
          <w:tcPr>
            <w:tcW w:w="455" w:type="pct"/>
            <w:tcBorders>
              <w:bottom w:val="single" w:sz="12" w:space="0" w:color="000000"/>
            </w:tcBorders>
            <w:shd w:val="clear" w:color="auto" w:fill="auto"/>
            <w:vAlign w:val="bottom"/>
          </w:tcPr>
          <w:p w14:paraId="19366986" w14:textId="77777777" w:rsidR="00EA10CF" w:rsidRPr="00EA10CF" w:rsidRDefault="00EA10CF">
            <w:pPr>
              <w:widowControl w:val="0"/>
              <w:pBdr>
                <w:top w:val="nil"/>
                <w:left w:val="nil"/>
                <w:bottom w:val="nil"/>
                <w:right w:val="nil"/>
                <w:between w:val="nil"/>
              </w:pBdr>
              <w:jc w:val="right"/>
              <w:rPr>
                <w:color w:val="000000"/>
              </w:rPr>
            </w:pPr>
          </w:p>
        </w:tc>
      </w:tr>
    </w:tbl>
    <w:p w14:paraId="2372B77D" w14:textId="77777777" w:rsidR="00D83E33" w:rsidRDefault="00BC4072">
      <w:pPr>
        <w:pBdr>
          <w:top w:val="nil"/>
          <w:left w:val="nil"/>
          <w:bottom w:val="nil"/>
          <w:right w:val="nil"/>
          <w:between w:val="nil"/>
        </w:pBdr>
        <w:spacing w:before="200" w:after="200"/>
        <w:jc w:val="both"/>
        <w:rPr>
          <w:color w:val="0000FF"/>
          <w:sz w:val="20"/>
          <w:szCs w:val="20"/>
        </w:rPr>
      </w:pPr>
      <w:r>
        <w:rPr>
          <w:color w:val="0000FF"/>
          <w:sz w:val="20"/>
          <w:szCs w:val="20"/>
        </w:rPr>
        <w:t>[Derivatives presented above are monetary financial assets or monetary financial liabilities, but are presented separately in order to show the Group’s gross exposure.]</w:t>
      </w:r>
    </w:p>
    <w:p w14:paraId="65A5A646" w14:textId="77777777" w:rsidR="00C45FE5" w:rsidRDefault="00C45FE5" w:rsidP="00C45FE5">
      <w:pPr>
        <w:pStyle w:val="Continued"/>
      </w:pPr>
      <w:r>
        <w:lastRenderedPageBreak/>
        <w:t>41</w:t>
      </w:r>
      <w:r>
        <w:tab/>
        <w:t>Financial Risk Management (Continued)</w:t>
      </w:r>
    </w:p>
    <w:p w14:paraId="02F5F44E" w14:textId="5C2856FF"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 xml:space="preserve">Amounts disclosed in respect of derivatives represent the fair value, at the end of the reporting period, of the respective currency that the Group agreed to buy (positive amount) or sell (negative amount) before netting of positions and payments with the counterparty. The amounts by currency are presented gross as stated in Note 48. The net total represents the fair value of the currency derivatives. The above analysis includes only monetary assets and liabilities. Investments in equities and non-monetary assets are not considered to give rise to any material currency risk. </w:t>
      </w:r>
    </w:p>
    <w:p w14:paraId="062E45EA" w14:textId="77777777"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following table presents sensitivities of profit or loss and equity to reasonably possible changes in exchange rates applied at the end of the reporting period relative to the functional currency of the respective Group entities, with all other variables held constant:</w:t>
      </w:r>
    </w:p>
    <w:tbl>
      <w:tblPr>
        <w:tblStyle w:val="affffffffffffff1"/>
        <w:tblW w:w="5000" w:type="pct"/>
        <w:tblLayout w:type="fixed"/>
        <w:tblCellMar>
          <w:left w:w="113" w:type="dxa"/>
          <w:right w:w="113" w:type="dxa"/>
        </w:tblCellMar>
        <w:tblLook w:val="0000" w:firstRow="0" w:lastRow="0" w:firstColumn="0" w:lastColumn="0" w:noHBand="0" w:noVBand="0"/>
      </w:tblPr>
      <w:tblGrid>
        <w:gridCol w:w="2835"/>
        <w:gridCol w:w="1630"/>
        <w:gridCol w:w="1630"/>
        <w:gridCol w:w="1630"/>
        <w:gridCol w:w="1630"/>
      </w:tblGrid>
      <w:tr w:rsidR="00D83E33" w:rsidRPr="00EA10CF" w14:paraId="7396D321" w14:textId="77777777" w:rsidTr="001B330E">
        <w:trPr>
          <w:trHeight w:val="23"/>
        </w:trPr>
        <w:tc>
          <w:tcPr>
            <w:tcW w:w="1515" w:type="pct"/>
            <w:vAlign w:val="bottom"/>
          </w:tcPr>
          <w:p w14:paraId="383CC839" w14:textId="77777777" w:rsidR="00D83E33" w:rsidRPr="00EA10CF" w:rsidRDefault="00D83E33" w:rsidP="001B330E">
            <w:pPr>
              <w:widowControl w:val="0"/>
              <w:pBdr>
                <w:top w:val="nil"/>
                <w:left w:val="nil"/>
                <w:bottom w:val="nil"/>
                <w:right w:val="nil"/>
                <w:between w:val="nil"/>
              </w:pBdr>
              <w:ind w:left="113" w:hanging="113"/>
              <w:rPr>
                <w:i/>
                <w:color w:val="000000"/>
              </w:rPr>
            </w:pPr>
          </w:p>
        </w:tc>
        <w:tc>
          <w:tcPr>
            <w:tcW w:w="1742" w:type="pct"/>
            <w:gridSpan w:val="2"/>
            <w:tcBorders>
              <w:bottom w:val="single" w:sz="4" w:space="0" w:color="000000"/>
            </w:tcBorders>
          </w:tcPr>
          <w:p w14:paraId="0ED9FE9D" w14:textId="3896F97E" w:rsidR="00D83E33" w:rsidRPr="00EA10CF" w:rsidRDefault="00BC4072" w:rsidP="001B330E">
            <w:pPr>
              <w:widowControl w:val="0"/>
              <w:pBdr>
                <w:top w:val="nil"/>
                <w:left w:val="nil"/>
                <w:bottom w:val="nil"/>
                <w:right w:val="nil"/>
                <w:between w:val="nil"/>
              </w:pBdr>
              <w:jc w:val="center"/>
              <w:rPr>
                <w:b/>
                <w:color w:val="000000"/>
              </w:rPr>
            </w:pPr>
            <w:r w:rsidRPr="00EA10CF">
              <w:rPr>
                <w:b/>
                <w:color w:val="000000"/>
              </w:rPr>
              <w:t>At 31</w:t>
            </w:r>
            <w:r w:rsidR="00181687">
              <w:rPr>
                <w:b/>
                <w:color w:val="000000"/>
              </w:rPr>
              <w:t> December </w:t>
            </w:r>
            <w:r w:rsidR="00541EBC">
              <w:rPr>
                <w:b/>
                <w:color w:val="000000"/>
              </w:rPr>
              <w:t>2024</w:t>
            </w:r>
          </w:p>
        </w:tc>
        <w:tc>
          <w:tcPr>
            <w:tcW w:w="1742" w:type="pct"/>
            <w:gridSpan w:val="2"/>
            <w:tcBorders>
              <w:bottom w:val="single" w:sz="4" w:space="0" w:color="000000"/>
            </w:tcBorders>
          </w:tcPr>
          <w:p w14:paraId="5C098096" w14:textId="12EE370F" w:rsidR="00D83E33" w:rsidRPr="00EA10CF" w:rsidRDefault="00BC4072" w:rsidP="001B330E">
            <w:pPr>
              <w:widowControl w:val="0"/>
              <w:pBdr>
                <w:top w:val="nil"/>
                <w:left w:val="nil"/>
                <w:bottom w:val="nil"/>
                <w:right w:val="nil"/>
                <w:between w:val="nil"/>
              </w:pBdr>
              <w:jc w:val="center"/>
              <w:rPr>
                <w:b/>
                <w:color w:val="000000"/>
              </w:rPr>
            </w:pPr>
            <w:r w:rsidRPr="00EA10CF">
              <w:rPr>
                <w:b/>
                <w:color w:val="000000"/>
              </w:rPr>
              <w:t>At 31</w:t>
            </w:r>
            <w:r w:rsidR="00181687">
              <w:rPr>
                <w:b/>
                <w:color w:val="000000"/>
              </w:rPr>
              <w:t> December </w:t>
            </w:r>
            <w:r w:rsidR="00541EBC">
              <w:rPr>
                <w:b/>
                <w:color w:val="000000"/>
              </w:rPr>
              <w:t>2023</w:t>
            </w:r>
          </w:p>
        </w:tc>
      </w:tr>
      <w:tr w:rsidR="00D83E33" w:rsidRPr="00EA10CF" w14:paraId="6D7DD103" w14:textId="77777777" w:rsidTr="001B330E">
        <w:trPr>
          <w:trHeight w:val="23"/>
        </w:trPr>
        <w:tc>
          <w:tcPr>
            <w:tcW w:w="1515" w:type="pct"/>
            <w:tcBorders>
              <w:bottom w:val="single" w:sz="4" w:space="0" w:color="000000"/>
            </w:tcBorders>
            <w:vAlign w:val="bottom"/>
          </w:tcPr>
          <w:p w14:paraId="7C2E949E" w14:textId="55AA6003"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871" w:type="pct"/>
            <w:tcBorders>
              <w:bottom w:val="single" w:sz="4" w:space="0" w:color="000000"/>
            </w:tcBorders>
          </w:tcPr>
          <w:p w14:paraId="22086683"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Impact on profit or loss</w:t>
            </w:r>
          </w:p>
        </w:tc>
        <w:tc>
          <w:tcPr>
            <w:tcW w:w="871" w:type="pct"/>
            <w:tcBorders>
              <w:bottom w:val="single" w:sz="4" w:space="0" w:color="000000"/>
            </w:tcBorders>
          </w:tcPr>
          <w:p w14:paraId="375185D5"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Impact on equity</w:t>
            </w:r>
          </w:p>
        </w:tc>
        <w:tc>
          <w:tcPr>
            <w:tcW w:w="871" w:type="pct"/>
            <w:tcBorders>
              <w:bottom w:val="single" w:sz="4" w:space="0" w:color="000000"/>
            </w:tcBorders>
          </w:tcPr>
          <w:p w14:paraId="4D8818D7"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Impact on profit or loss</w:t>
            </w:r>
          </w:p>
        </w:tc>
        <w:tc>
          <w:tcPr>
            <w:tcW w:w="871" w:type="pct"/>
            <w:tcBorders>
              <w:bottom w:val="single" w:sz="4" w:space="0" w:color="000000"/>
            </w:tcBorders>
          </w:tcPr>
          <w:p w14:paraId="792DCF7C"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Impact on equity</w:t>
            </w:r>
          </w:p>
        </w:tc>
      </w:tr>
      <w:tr w:rsidR="00D83E33" w:rsidRPr="00EA10CF" w14:paraId="602C3FEF" w14:textId="77777777" w:rsidTr="001B330E">
        <w:trPr>
          <w:trHeight w:val="23"/>
        </w:trPr>
        <w:tc>
          <w:tcPr>
            <w:tcW w:w="1515" w:type="pct"/>
          </w:tcPr>
          <w:p w14:paraId="0EC861CB"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871" w:type="pct"/>
            <w:vAlign w:val="bottom"/>
          </w:tcPr>
          <w:p w14:paraId="385C6C68"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4CB7AC72"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3D5F6303"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0F663C8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A3A528B" w14:textId="77777777" w:rsidTr="001B330E">
        <w:trPr>
          <w:trHeight w:val="23"/>
        </w:trPr>
        <w:tc>
          <w:tcPr>
            <w:tcW w:w="1515" w:type="pct"/>
          </w:tcPr>
          <w:p w14:paraId="1C9DA591" w14:textId="57C2FD95"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US</w:t>
            </w:r>
            <w:r w:rsidR="00125132">
              <w:rPr>
                <w:color w:val="000000"/>
              </w:rPr>
              <w:t xml:space="preserve">D </w:t>
            </w:r>
            <w:r w:rsidRPr="00EA10CF">
              <w:rPr>
                <w:color w:val="000000"/>
              </w:rPr>
              <w:t>strengthening by 20% (</w:t>
            </w:r>
            <w:r w:rsidR="00541EBC">
              <w:rPr>
                <w:color w:val="000000"/>
              </w:rPr>
              <w:t>2023</w:t>
            </w:r>
            <w:r w:rsidRPr="00EA10CF">
              <w:rPr>
                <w:color w:val="000000"/>
              </w:rPr>
              <w:t>: strengthening by [20]%)</w:t>
            </w:r>
          </w:p>
        </w:tc>
        <w:tc>
          <w:tcPr>
            <w:tcW w:w="871" w:type="pct"/>
            <w:vAlign w:val="bottom"/>
          </w:tcPr>
          <w:p w14:paraId="66E57B2C"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0CB33C7A"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5323C09A"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1DA0BB3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F355F21" w14:textId="77777777" w:rsidTr="001B330E">
        <w:trPr>
          <w:trHeight w:val="23"/>
        </w:trPr>
        <w:tc>
          <w:tcPr>
            <w:tcW w:w="1515" w:type="pct"/>
          </w:tcPr>
          <w:p w14:paraId="6A7D6F1E" w14:textId="6E8733BD"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US</w:t>
            </w:r>
            <w:r w:rsidR="00125132">
              <w:rPr>
                <w:color w:val="000000"/>
              </w:rPr>
              <w:t>D</w:t>
            </w:r>
            <w:r w:rsidRPr="00EA10CF">
              <w:rPr>
                <w:color w:val="000000"/>
              </w:rPr>
              <w:t xml:space="preserve"> weakening by 20% </w:t>
            </w:r>
            <w:r w:rsidR="00125132">
              <w:rPr>
                <w:color w:val="000000"/>
              </w:rPr>
              <w:t xml:space="preserve">    </w:t>
            </w:r>
            <w:r w:rsidRPr="00EA10CF">
              <w:rPr>
                <w:color w:val="000000"/>
              </w:rPr>
              <w:t>(</w:t>
            </w:r>
            <w:r w:rsidR="00541EBC">
              <w:rPr>
                <w:color w:val="000000"/>
              </w:rPr>
              <w:t>2023</w:t>
            </w:r>
            <w:r w:rsidRPr="00EA10CF">
              <w:rPr>
                <w:color w:val="000000"/>
              </w:rPr>
              <w:t>: weakening by [20]%)</w:t>
            </w:r>
          </w:p>
        </w:tc>
        <w:tc>
          <w:tcPr>
            <w:tcW w:w="871" w:type="pct"/>
            <w:vAlign w:val="bottom"/>
          </w:tcPr>
          <w:p w14:paraId="691CBCD2"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0E84A5D9"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11DB3C58"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22A6AC8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DEB66B3" w14:textId="77777777" w:rsidTr="001B330E">
        <w:trPr>
          <w:trHeight w:val="23"/>
        </w:trPr>
        <w:tc>
          <w:tcPr>
            <w:tcW w:w="1515" w:type="pct"/>
          </w:tcPr>
          <w:p w14:paraId="6D8F55A5" w14:textId="53D8C81B" w:rsidR="00D83E33" w:rsidRPr="00EA10CF" w:rsidRDefault="00125132" w:rsidP="001B330E">
            <w:pPr>
              <w:widowControl w:val="0"/>
              <w:pBdr>
                <w:top w:val="nil"/>
                <w:left w:val="nil"/>
                <w:bottom w:val="nil"/>
                <w:right w:val="nil"/>
                <w:between w:val="nil"/>
              </w:pBdr>
              <w:ind w:left="113" w:hanging="113"/>
              <w:rPr>
                <w:color w:val="000000"/>
              </w:rPr>
            </w:pPr>
            <w:r>
              <w:rPr>
                <w:color w:val="000000"/>
              </w:rPr>
              <w:t>CZK</w:t>
            </w:r>
            <w:r w:rsidR="00BC4072" w:rsidRPr="00EA10CF">
              <w:rPr>
                <w:color w:val="000000"/>
              </w:rPr>
              <w:t xml:space="preserve"> strengthening by 20% (</w:t>
            </w:r>
            <w:r w:rsidR="00541EBC">
              <w:rPr>
                <w:color w:val="000000"/>
              </w:rPr>
              <w:t>2023</w:t>
            </w:r>
            <w:r w:rsidR="00BC4072" w:rsidRPr="00EA10CF">
              <w:rPr>
                <w:color w:val="000000"/>
              </w:rPr>
              <w:t>: strengthening by [20]%)</w:t>
            </w:r>
          </w:p>
        </w:tc>
        <w:tc>
          <w:tcPr>
            <w:tcW w:w="871" w:type="pct"/>
            <w:vAlign w:val="bottom"/>
          </w:tcPr>
          <w:p w14:paraId="2ED58112"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4FC55931"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60FB9BD8"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2F968EA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F8ADA5A" w14:textId="77777777" w:rsidTr="001B330E">
        <w:trPr>
          <w:trHeight w:val="23"/>
        </w:trPr>
        <w:tc>
          <w:tcPr>
            <w:tcW w:w="1515" w:type="pct"/>
          </w:tcPr>
          <w:p w14:paraId="0ACFA631" w14:textId="3E81839C" w:rsidR="00D83E33" w:rsidRPr="00EA10CF" w:rsidRDefault="00125132" w:rsidP="001B330E">
            <w:pPr>
              <w:widowControl w:val="0"/>
              <w:pBdr>
                <w:top w:val="nil"/>
                <w:left w:val="nil"/>
                <w:bottom w:val="nil"/>
                <w:right w:val="nil"/>
                <w:between w:val="nil"/>
              </w:pBdr>
              <w:ind w:left="113" w:hanging="113"/>
              <w:rPr>
                <w:color w:val="000000"/>
              </w:rPr>
            </w:pPr>
            <w:r>
              <w:rPr>
                <w:color w:val="000000"/>
              </w:rPr>
              <w:t xml:space="preserve">CZK </w:t>
            </w:r>
            <w:r w:rsidR="00BC4072" w:rsidRPr="00EA10CF">
              <w:rPr>
                <w:color w:val="000000"/>
              </w:rPr>
              <w:t>weakening by 20%</w:t>
            </w:r>
            <w:r>
              <w:rPr>
                <w:color w:val="000000"/>
              </w:rPr>
              <w:t xml:space="preserve">   </w:t>
            </w:r>
            <w:r w:rsidR="00BC4072" w:rsidRPr="00EA10CF">
              <w:rPr>
                <w:color w:val="000000"/>
              </w:rPr>
              <w:t xml:space="preserve"> (</w:t>
            </w:r>
            <w:r w:rsidR="00541EBC">
              <w:rPr>
                <w:color w:val="000000"/>
              </w:rPr>
              <w:t>2023</w:t>
            </w:r>
            <w:r w:rsidR="00BC4072" w:rsidRPr="00EA10CF">
              <w:rPr>
                <w:color w:val="000000"/>
              </w:rPr>
              <w:t>: weakening by [20]%)</w:t>
            </w:r>
          </w:p>
        </w:tc>
        <w:tc>
          <w:tcPr>
            <w:tcW w:w="871" w:type="pct"/>
            <w:vAlign w:val="bottom"/>
          </w:tcPr>
          <w:p w14:paraId="5B274C03"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0D9C015C"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34ECD9F9"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7D72FE1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2F949AF" w14:textId="77777777" w:rsidTr="001B330E">
        <w:trPr>
          <w:trHeight w:val="23"/>
        </w:trPr>
        <w:tc>
          <w:tcPr>
            <w:tcW w:w="1515" w:type="pct"/>
          </w:tcPr>
          <w:p w14:paraId="4CE77D72" w14:textId="09A2BC4F" w:rsidR="00D83E33" w:rsidRPr="00EA10CF" w:rsidRDefault="00125132" w:rsidP="001B330E">
            <w:pPr>
              <w:widowControl w:val="0"/>
              <w:pBdr>
                <w:top w:val="nil"/>
                <w:left w:val="nil"/>
                <w:bottom w:val="nil"/>
                <w:right w:val="nil"/>
                <w:between w:val="nil"/>
              </w:pBdr>
              <w:ind w:left="113" w:hanging="113"/>
              <w:rPr>
                <w:color w:val="000000"/>
              </w:rPr>
            </w:pPr>
            <w:r>
              <w:rPr>
                <w:color w:val="000000"/>
              </w:rPr>
              <w:t>EUR</w:t>
            </w:r>
            <w:r w:rsidR="00BC4072" w:rsidRPr="00EA10CF">
              <w:rPr>
                <w:color w:val="000000"/>
              </w:rPr>
              <w:t xml:space="preserve"> strengthening by __% (</w:t>
            </w:r>
            <w:r w:rsidR="00541EBC">
              <w:rPr>
                <w:color w:val="000000"/>
              </w:rPr>
              <w:t>2023</w:t>
            </w:r>
            <w:r w:rsidR="00BC4072" w:rsidRPr="00EA10CF">
              <w:rPr>
                <w:color w:val="000000"/>
              </w:rPr>
              <w:t>: strengthening by [__]%)</w:t>
            </w:r>
          </w:p>
        </w:tc>
        <w:tc>
          <w:tcPr>
            <w:tcW w:w="871" w:type="pct"/>
            <w:vAlign w:val="bottom"/>
          </w:tcPr>
          <w:p w14:paraId="67C45494"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71EDAD9F"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462A9044"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69ED62EF"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6FB9117" w14:textId="77777777" w:rsidTr="001B330E">
        <w:trPr>
          <w:trHeight w:val="23"/>
        </w:trPr>
        <w:tc>
          <w:tcPr>
            <w:tcW w:w="1515" w:type="pct"/>
          </w:tcPr>
          <w:p w14:paraId="408C96C4" w14:textId="431EE4DC" w:rsidR="00D83E33" w:rsidRPr="00EA10CF" w:rsidRDefault="00125132" w:rsidP="001B330E">
            <w:pPr>
              <w:widowControl w:val="0"/>
              <w:pBdr>
                <w:top w:val="nil"/>
                <w:left w:val="nil"/>
                <w:bottom w:val="nil"/>
                <w:right w:val="nil"/>
                <w:between w:val="nil"/>
              </w:pBdr>
              <w:ind w:left="113" w:hanging="113"/>
              <w:rPr>
                <w:color w:val="000000"/>
              </w:rPr>
            </w:pPr>
            <w:r>
              <w:rPr>
                <w:color w:val="000000"/>
              </w:rPr>
              <w:t>EUR</w:t>
            </w:r>
            <w:r w:rsidR="00BC4072" w:rsidRPr="00EA10CF">
              <w:rPr>
                <w:color w:val="000000"/>
              </w:rPr>
              <w:t xml:space="preserve"> weakening by __% </w:t>
            </w:r>
            <w:r>
              <w:rPr>
                <w:color w:val="000000"/>
              </w:rPr>
              <w:t xml:space="preserve">   </w:t>
            </w:r>
            <w:r w:rsidR="00BC4072" w:rsidRPr="00EA10CF">
              <w:rPr>
                <w:color w:val="000000"/>
              </w:rPr>
              <w:t>(</w:t>
            </w:r>
            <w:r w:rsidR="00541EBC">
              <w:rPr>
                <w:color w:val="000000"/>
              </w:rPr>
              <w:t>2023</w:t>
            </w:r>
            <w:r w:rsidR="00BC4072" w:rsidRPr="00EA10CF">
              <w:rPr>
                <w:color w:val="000000"/>
              </w:rPr>
              <w:t>: weakening by [__]%)</w:t>
            </w:r>
          </w:p>
        </w:tc>
        <w:tc>
          <w:tcPr>
            <w:tcW w:w="871" w:type="pct"/>
            <w:vAlign w:val="bottom"/>
          </w:tcPr>
          <w:p w14:paraId="6C80AF06"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1FC76082"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3ECE2149"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04DFC0F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C9C817D" w14:textId="77777777" w:rsidTr="001B330E">
        <w:trPr>
          <w:trHeight w:val="23"/>
        </w:trPr>
        <w:tc>
          <w:tcPr>
            <w:tcW w:w="1515" w:type="pct"/>
          </w:tcPr>
          <w:p w14:paraId="4BF9D767" w14:textId="133EB4AD"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strengthening by 20% (</w:t>
            </w:r>
            <w:r w:rsidR="00541EBC">
              <w:rPr>
                <w:color w:val="000000"/>
              </w:rPr>
              <w:t>2023</w:t>
            </w:r>
            <w:r w:rsidRPr="00EA10CF">
              <w:rPr>
                <w:color w:val="000000"/>
              </w:rPr>
              <w:t>: strengthening by [30]%)</w:t>
            </w:r>
          </w:p>
        </w:tc>
        <w:tc>
          <w:tcPr>
            <w:tcW w:w="871" w:type="pct"/>
            <w:vAlign w:val="bottom"/>
          </w:tcPr>
          <w:p w14:paraId="4AC95F29"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2A549272"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0982DE22"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7C90731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75AAE65" w14:textId="77777777" w:rsidTr="001B330E">
        <w:trPr>
          <w:trHeight w:val="23"/>
        </w:trPr>
        <w:tc>
          <w:tcPr>
            <w:tcW w:w="1515" w:type="pct"/>
          </w:tcPr>
          <w:p w14:paraId="2B20788B" w14:textId="67A601C6"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Other weakening by 20% </w:t>
            </w:r>
            <w:r w:rsidR="00125132">
              <w:rPr>
                <w:color w:val="000000"/>
              </w:rPr>
              <w:t xml:space="preserve">  </w:t>
            </w:r>
            <w:r w:rsidRPr="00EA10CF">
              <w:rPr>
                <w:color w:val="000000"/>
              </w:rPr>
              <w:t>(</w:t>
            </w:r>
            <w:r w:rsidR="00541EBC">
              <w:rPr>
                <w:color w:val="000000"/>
              </w:rPr>
              <w:t>2023</w:t>
            </w:r>
            <w:r w:rsidRPr="00EA10CF">
              <w:rPr>
                <w:color w:val="000000"/>
              </w:rPr>
              <w:t>: weakening by [30]%)</w:t>
            </w:r>
          </w:p>
        </w:tc>
        <w:tc>
          <w:tcPr>
            <w:tcW w:w="871" w:type="pct"/>
            <w:vAlign w:val="bottom"/>
          </w:tcPr>
          <w:p w14:paraId="17BD4810"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53823FF0"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46DBC7E2"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788FFFF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D1AEB79" w14:textId="77777777" w:rsidTr="001B330E">
        <w:trPr>
          <w:trHeight w:val="23"/>
        </w:trPr>
        <w:tc>
          <w:tcPr>
            <w:tcW w:w="1515" w:type="pct"/>
            <w:tcBorders>
              <w:bottom w:val="single" w:sz="4" w:space="0" w:color="000000"/>
            </w:tcBorders>
            <w:shd w:val="clear" w:color="auto" w:fill="auto"/>
          </w:tcPr>
          <w:p w14:paraId="7CE13D9E"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871" w:type="pct"/>
            <w:tcBorders>
              <w:bottom w:val="single" w:sz="4" w:space="0" w:color="000000"/>
            </w:tcBorders>
            <w:vAlign w:val="bottom"/>
          </w:tcPr>
          <w:p w14:paraId="6805C9F0"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tcBorders>
              <w:bottom w:val="single" w:sz="4" w:space="0" w:color="000000"/>
            </w:tcBorders>
            <w:vAlign w:val="bottom"/>
          </w:tcPr>
          <w:p w14:paraId="4120D9A0"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tcBorders>
              <w:bottom w:val="single" w:sz="4" w:space="0" w:color="000000"/>
            </w:tcBorders>
            <w:vAlign w:val="bottom"/>
          </w:tcPr>
          <w:p w14:paraId="24499602"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tcBorders>
              <w:bottom w:val="single" w:sz="4" w:space="0" w:color="000000"/>
            </w:tcBorders>
            <w:shd w:val="clear" w:color="auto" w:fill="auto"/>
            <w:vAlign w:val="bottom"/>
          </w:tcPr>
          <w:p w14:paraId="360C9E1F"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9FE54E9" w14:textId="77777777" w:rsidTr="001B330E">
        <w:trPr>
          <w:trHeight w:val="23"/>
        </w:trPr>
        <w:tc>
          <w:tcPr>
            <w:tcW w:w="1515" w:type="pct"/>
            <w:tcBorders>
              <w:top w:val="single" w:sz="4" w:space="0" w:color="000000"/>
            </w:tcBorders>
          </w:tcPr>
          <w:p w14:paraId="2CC83D20"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871" w:type="pct"/>
            <w:tcBorders>
              <w:top w:val="single" w:sz="4" w:space="0" w:color="000000"/>
            </w:tcBorders>
            <w:vAlign w:val="bottom"/>
          </w:tcPr>
          <w:p w14:paraId="18DDC8FF"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tcBorders>
              <w:top w:val="single" w:sz="4" w:space="0" w:color="000000"/>
            </w:tcBorders>
            <w:vAlign w:val="bottom"/>
          </w:tcPr>
          <w:p w14:paraId="0F74A659"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tcBorders>
              <w:top w:val="single" w:sz="4" w:space="0" w:color="000000"/>
            </w:tcBorders>
            <w:vAlign w:val="bottom"/>
          </w:tcPr>
          <w:p w14:paraId="091E514B"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tcBorders>
              <w:top w:val="single" w:sz="4" w:space="0" w:color="000000"/>
            </w:tcBorders>
            <w:vAlign w:val="bottom"/>
          </w:tcPr>
          <w:p w14:paraId="6B215D1F"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C08EA61" w14:textId="77777777" w:rsidTr="001B330E">
        <w:trPr>
          <w:trHeight w:val="23"/>
        </w:trPr>
        <w:tc>
          <w:tcPr>
            <w:tcW w:w="1515" w:type="pct"/>
          </w:tcPr>
          <w:p w14:paraId="2D0C6927"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Total </w:t>
            </w:r>
          </w:p>
        </w:tc>
        <w:tc>
          <w:tcPr>
            <w:tcW w:w="871" w:type="pct"/>
            <w:vAlign w:val="bottom"/>
          </w:tcPr>
          <w:p w14:paraId="502AD668"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16703A70"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6A7E8851"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vAlign w:val="bottom"/>
          </w:tcPr>
          <w:p w14:paraId="13407D0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92DE8CF" w14:textId="77777777" w:rsidTr="001B330E">
        <w:trPr>
          <w:trHeight w:val="23"/>
        </w:trPr>
        <w:tc>
          <w:tcPr>
            <w:tcW w:w="1515" w:type="pct"/>
            <w:tcBorders>
              <w:bottom w:val="single" w:sz="12" w:space="0" w:color="000000"/>
            </w:tcBorders>
            <w:shd w:val="clear" w:color="auto" w:fill="auto"/>
          </w:tcPr>
          <w:p w14:paraId="6D14629A"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871" w:type="pct"/>
            <w:tcBorders>
              <w:bottom w:val="single" w:sz="12" w:space="0" w:color="000000"/>
            </w:tcBorders>
            <w:vAlign w:val="bottom"/>
          </w:tcPr>
          <w:p w14:paraId="4217A635"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tcBorders>
              <w:bottom w:val="single" w:sz="12" w:space="0" w:color="000000"/>
            </w:tcBorders>
            <w:vAlign w:val="bottom"/>
          </w:tcPr>
          <w:p w14:paraId="20500743"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tcBorders>
              <w:bottom w:val="single" w:sz="12" w:space="0" w:color="000000"/>
            </w:tcBorders>
            <w:vAlign w:val="bottom"/>
          </w:tcPr>
          <w:p w14:paraId="39335E2C" w14:textId="77777777" w:rsidR="00D83E33" w:rsidRPr="00EA10CF" w:rsidRDefault="00D83E33" w:rsidP="001B330E">
            <w:pPr>
              <w:widowControl w:val="0"/>
              <w:pBdr>
                <w:top w:val="nil"/>
                <w:left w:val="nil"/>
                <w:bottom w:val="nil"/>
                <w:right w:val="nil"/>
                <w:between w:val="nil"/>
              </w:pBdr>
              <w:jc w:val="right"/>
              <w:rPr>
                <w:color w:val="000000"/>
              </w:rPr>
            </w:pPr>
          </w:p>
        </w:tc>
        <w:tc>
          <w:tcPr>
            <w:tcW w:w="871" w:type="pct"/>
            <w:tcBorders>
              <w:bottom w:val="single" w:sz="12" w:space="0" w:color="000000"/>
            </w:tcBorders>
            <w:shd w:val="clear" w:color="auto" w:fill="auto"/>
            <w:vAlign w:val="bottom"/>
          </w:tcPr>
          <w:p w14:paraId="02B086BE" w14:textId="77777777" w:rsidR="00D83E33" w:rsidRPr="00EA10CF" w:rsidRDefault="00D83E33" w:rsidP="001B330E">
            <w:pPr>
              <w:widowControl w:val="0"/>
              <w:pBdr>
                <w:top w:val="nil"/>
                <w:left w:val="nil"/>
                <w:bottom w:val="nil"/>
                <w:right w:val="nil"/>
                <w:between w:val="nil"/>
              </w:pBdr>
              <w:jc w:val="right"/>
              <w:rPr>
                <w:color w:val="000000"/>
              </w:rPr>
            </w:pPr>
          </w:p>
        </w:tc>
      </w:tr>
    </w:tbl>
    <w:p w14:paraId="24C057C7" w14:textId="77777777" w:rsidR="009A397A" w:rsidRDefault="009A397A" w:rsidP="001B330E">
      <w:pPr>
        <w:pStyle w:val="Continued"/>
      </w:pPr>
      <w:r>
        <w:lastRenderedPageBreak/>
        <w:t>41</w:t>
      </w:r>
      <w:r>
        <w:tab/>
        <w:t>Financial Risk Management (Continued)</w:t>
      </w:r>
    </w:p>
    <w:p w14:paraId="0149397A" w14:textId="77777777" w:rsidR="00D83E33" w:rsidRDefault="00BC4072">
      <w:pPr>
        <w:pBdr>
          <w:top w:val="nil"/>
          <w:left w:val="nil"/>
          <w:bottom w:val="nil"/>
          <w:right w:val="nil"/>
          <w:between w:val="nil"/>
        </w:pBdr>
        <w:spacing w:before="200" w:after="200"/>
        <w:jc w:val="both"/>
        <w:rPr>
          <w:color w:val="0000FF"/>
          <w:sz w:val="20"/>
          <w:szCs w:val="20"/>
        </w:rPr>
      </w:pPr>
      <w:r>
        <w:rPr>
          <w:color w:val="000000"/>
          <w:sz w:val="20"/>
          <w:szCs w:val="20"/>
        </w:rPr>
        <w:t>The exposure was calculated only for monetary balances denominated in currencies other than the functional currency of the respective entity of the Group.</w:t>
      </w:r>
      <w:r>
        <w:rPr>
          <w:color w:val="0000FF"/>
          <w:sz w:val="20"/>
          <w:szCs w:val="20"/>
        </w:rPr>
        <w:t xml:space="preserve"> [The Group’s exposure to currency risk at the end of the reporting period is not representative of the typical exposure during the year. The following table presents sensitivities of profit and loss and equity to reasonably possible changes in exchange rates applied to the average exposure to currency risk during the year, with all other variables held constant:]</w:t>
      </w:r>
    </w:p>
    <w:tbl>
      <w:tblPr>
        <w:tblStyle w:val="affffffffffffff2"/>
        <w:tblW w:w="5000" w:type="pct"/>
        <w:tblLayout w:type="fixed"/>
        <w:tblCellMar>
          <w:left w:w="113" w:type="dxa"/>
          <w:right w:w="113" w:type="dxa"/>
        </w:tblCellMar>
        <w:tblLook w:val="0000" w:firstRow="0" w:lastRow="0" w:firstColumn="0" w:lastColumn="0" w:noHBand="0" w:noVBand="0"/>
      </w:tblPr>
      <w:tblGrid>
        <w:gridCol w:w="2653"/>
        <w:gridCol w:w="1675"/>
        <w:gridCol w:w="1676"/>
        <w:gridCol w:w="1675"/>
        <w:gridCol w:w="1676"/>
      </w:tblGrid>
      <w:tr w:rsidR="00D83E33" w:rsidRPr="00EA10CF" w14:paraId="46D002F8" w14:textId="77777777" w:rsidTr="001B330E">
        <w:trPr>
          <w:trHeight w:val="23"/>
        </w:trPr>
        <w:tc>
          <w:tcPr>
            <w:tcW w:w="1418" w:type="pct"/>
            <w:vAlign w:val="bottom"/>
          </w:tcPr>
          <w:p w14:paraId="712EB37E" w14:textId="77777777" w:rsidR="00D83E33" w:rsidRPr="00EA10CF" w:rsidRDefault="00D83E33" w:rsidP="001B330E">
            <w:pPr>
              <w:widowControl w:val="0"/>
              <w:pBdr>
                <w:top w:val="nil"/>
                <w:left w:val="nil"/>
                <w:bottom w:val="nil"/>
                <w:right w:val="nil"/>
                <w:between w:val="nil"/>
              </w:pBdr>
              <w:ind w:left="113" w:hanging="113"/>
              <w:rPr>
                <w:i/>
                <w:color w:val="0000FF"/>
              </w:rPr>
            </w:pPr>
          </w:p>
        </w:tc>
        <w:tc>
          <w:tcPr>
            <w:tcW w:w="1791" w:type="pct"/>
            <w:gridSpan w:val="2"/>
            <w:tcBorders>
              <w:bottom w:val="single" w:sz="4" w:space="0" w:color="000000"/>
            </w:tcBorders>
          </w:tcPr>
          <w:p w14:paraId="27A8CF21" w14:textId="669EFA38" w:rsidR="00D83E33" w:rsidRPr="00EA10CF" w:rsidRDefault="00BC4072" w:rsidP="001B330E">
            <w:pPr>
              <w:widowControl w:val="0"/>
              <w:pBdr>
                <w:top w:val="nil"/>
                <w:left w:val="nil"/>
                <w:bottom w:val="nil"/>
                <w:right w:val="nil"/>
                <w:between w:val="nil"/>
              </w:pBdr>
              <w:jc w:val="center"/>
              <w:rPr>
                <w:b/>
                <w:color w:val="0000FF"/>
              </w:rPr>
            </w:pPr>
            <w:r w:rsidRPr="00EA10CF">
              <w:rPr>
                <w:b/>
                <w:color w:val="0000FF"/>
              </w:rPr>
              <w:t xml:space="preserve">Average exposure during </w:t>
            </w:r>
            <w:r w:rsidR="00541EBC">
              <w:rPr>
                <w:b/>
                <w:color w:val="0000FF"/>
              </w:rPr>
              <w:t>2024</w:t>
            </w:r>
          </w:p>
        </w:tc>
        <w:tc>
          <w:tcPr>
            <w:tcW w:w="1791" w:type="pct"/>
            <w:gridSpan w:val="2"/>
            <w:tcBorders>
              <w:bottom w:val="single" w:sz="4" w:space="0" w:color="000000"/>
            </w:tcBorders>
          </w:tcPr>
          <w:p w14:paraId="121EE8A7" w14:textId="7BF228C2" w:rsidR="00D83E33" w:rsidRPr="00EA10CF" w:rsidRDefault="00BC4072" w:rsidP="001B330E">
            <w:pPr>
              <w:widowControl w:val="0"/>
              <w:pBdr>
                <w:top w:val="nil"/>
                <w:left w:val="nil"/>
                <w:bottom w:val="nil"/>
                <w:right w:val="nil"/>
                <w:between w:val="nil"/>
              </w:pBdr>
              <w:jc w:val="center"/>
              <w:rPr>
                <w:b/>
                <w:color w:val="0000FF"/>
              </w:rPr>
            </w:pPr>
            <w:r w:rsidRPr="00EA10CF">
              <w:rPr>
                <w:b/>
                <w:color w:val="0000FF"/>
              </w:rPr>
              <w:t xml:space="preserve">Average exposure during </w:t>
            </w:r>
            <w:r w:rsidR="00541EBC">
              <w:rPr>
                <w:b/>
                <w:color w:val="0000FF"/>
              </w:rPr>
              <w:t>2023</w:t>
            </w:r>
          </w:p>
        </w:tc>
      </w:tr>
      <w:tr w:rsidR="00D83E33" w:rsidRPr="00EA10CF" w14:paraId="7AFE8F8E" w14:textId="77777777" w:rsidTr="001B330E">
        <w:trPr>
          <w:trHeight w:val="23"/>
        </w:trPr>
        <w:tc>
          <w:tcPr>
            <w:tcW w:w="1418" w:type="pct"/>
            <w:tcBorders>
              <w:bottom w:val="single" w:sz="4" w:space="0" w:color="000000"/>
            </w:tcBorders>
            <w:vAlign w:val="bottom"/>
          </w:tcPr>
          <w:p w14:paraId="350EB5B1" w14:textId="7C7FCD1F" w:rsidR="00D83E33" w:rsidRPr="00EA10CF" w:rsidRDefault="00313B4D" w:rsidP="001B330E">
            <w:pPr>
              <w:widowControl w:val="0"/>
              <w:pBdr>
                <w:top w:val="nil"/>
                <w:left w:val="nil"/>
                <w:bottom w:val="nil"/>
                <w:right w:val="nil"/>
                <w:between w:val="nil"/>
              </w:pBdr>
              <w:ind w:left="113" w:hanging="113"/>
              <w:rPr>
                <w:b/>
                <w:i/>
                <w:color w:val="0000FF"/>
              </w:rPr>
            </w:pPr>
            <w:r>
              <w:rPr>
                <w:i/>
                <w:color w:val="0000FF"/>
              </w:rPr>
              <w:t xml:space="preserve">In thousands of </w:t>
            </w:r>
            <w:r w:rsidR="002649EE">
              <w:rPr>
                <w:i/>
                <w:color w:val="0000FF"/>
              </w:rPr>
              <w:t>EUR</w:t>
            </w:r>
          </w:p>
        </w:tc>
        <w:tc>
          <w:tcPr>
            <w:tcW w:w="895" w:type="pct"/>
            <w:tcBorders>
              <w:bottom w:val="single" w:sz="4" w:space="0" w:color="000000"/>
            </w:tcBorders>
          </w:tcPr>
          <w:p w14:paraId="105D19BA" w14:textId="77777777" w:rsidR="00D83E33" w:rsidRPr="00EA10CF" w:rsidRDefault="00BC4072" w:rsidP="001B330E">
            <w:pPr>
              <w:widowControl w:val="0"/>
              <w:pBdr>
                <w:top w:val="nil"/>
                <w:left w:val="nil"/>
                <w:bottom w:val="nil"/>
                <w:right w:val="nil"/>
                <w:between w:val="nil"/>
              </w:pBdr>
              <w:jc w:val="right"/>
              <w:rPr>
                <w:b/>
                <w:color w:val="0000FF"/>
              </w:rPr>
            </w:pPr>
            <w:r w:rsidRPr="00EA10CF">
              <w:rPr>
                <w:b/>
                <w:color w:val="0000FF"/>
              </w:rPr>
              <w:t>Impact on profit or loss</w:t>
            </w:r>
          </w:p>
        </w:tc>
        <w:tc>
          <w:tcPr>
            <w:tcW w:w="896" w:type="pct"/>
            <w:tcBorders>
              <w:bottom w:val="single" w:sz="4" w:space="0" w:color="000000"/>
            </w:tcBorders>
          </w:tcPr>
          <w:p w14:paraId="5EB0A08D" w14:textId="77777777" w:rsidR="00D83E33" w:rsidRPr="00EA10CF" w:rsidRDefault="00BC4072" w:rsidP="001B330E">
            <w:pPr>
              <w:widowControl w:val="0"/>
              <w:pBdr>
                <w:top w:val="nil"/>
                <w:left w:val="nil"/>
                <w:bottom w:val="nil"/>
                <w:right w:val="nil"/>
                <w:between w:val="nil"/>
              </w:pBdr>
              <w:jc w:val="right"/>
              <w:rPr>
                <w:b/>
                <w:color w:val="0000FF"/>
              </w:rPr>
            </w:pPr>
            <w:r w:rsidRPr="00EA10CF">
              <w:rPr>
                <w:b/>
                <w:color w:val="0000FF"/>
              </w:rPr>
              <w:t>Impact on equity</w:t>
            </w:r>
          </w:p>
        </w:tc>
        <w:tc>
          <w:tcPr>
            <w:tcW w:w="895" w:type="pct"/>
            <w:tcBorders>
              <w:bottom w:val="single" w:sz="4" w:space="0" w:color="000000"/>
            </w:tcBorders>
          </w:tcPr>
          <w:p w14:paraId="390C32F7" w14:textId="77777777" w:rsidR="00D83E33" w:rsidRPr="00EA10CF" w:rsidRDefault="00BC4072" w:rsidP="001B330E">
            <w:pPr>
              <w:widowControl w:val="0"/>
              <w:pBdr>
                <w:top w:val="nil"/>
                <w:left w:val="nil"/>
                <w:bottom w:val="nil"/>
                <w:right w:val="nil"/>
                <w:between w:val="nil"/>
              </w:pBdr>
              <w:jc w:val="right"/>
              <w:rPr>
                <w:b/>
                <w:color w:val="0000FF"/>
              </w:rPr>
            </w:pPr>
            <w:r w:rsidRPr="00EA10CF">
              <w:rPr>
                <w:b/>
                <w:color w:val="0000FF"/>
              </w:rPr>
              <w:t>Impact on profit or loss</w:t>
            </w:r>
          </w:p>
        </w:tc>
        <w:tc>
          <w:tcPr>
            <w:tcW w:w="896" w:type="pct"/>
            <w:tcBorders>
              <w:bottom w:val="single" w:sz="4" w:space="0" w:color="000000"/>
            </w:tcBorders>
          </w:tcPr>
          <w:p w14:paraId="240BFD3B" w14:textId="77777777" w:rsidR="00D83E33" w:rsidRPr="00EA10CF" w:rsidRDefault="00BC4072" w:rsidP="001B330E">
            <w:pPr>
              <w:widowControl w:val="0"/>
              <w:pBdr>
                <w:top w:val="nil"/>
                <w:left w:val="nil"/>
                <w:bottom w:val="nil"/>
                <w:right w:val="nil"/>
                <w:between w:val="nil"/>
              </w:pBdr>
              <w:jc w:val="right"/>
              <w:rPr>
                <w:b/>
                <w:color w:val="0000FF"/>
              </w:rPr>
            </w:pPr>
            <w:r w:rsidRPr="00EA10CF">
              <w:rPr>
                <w:b/>
                <w:color w:val="0000FF"/>
              </w:rPr>
              <w:t>Impact on equity</w:t>
            </w:r>
          </w:p>
        </w:tc>
      </w:tr>
      <w:tr w:rsidR="00D83E33" w:rsidRPr="00EA10CF" w14:paraId="40707A5D" w14:textId="77777777" w:rsidTr="001B330E">
        <w:trPr>
          <w:trHeight w:val="23"/>
        </w:trPr>
        <w:tc>
          <w:tcPr>
            <w:tcW w:w="1418" w:type="pct"/>
          </w:tcPr>
          <w:p w14:paraId="12D63399" w14:textId="77777777" w:rsidR="00D83E33" w:rsidRPr="00EA10CF" w:rsidRDefault="00D83E33" w:rsidP="001B330E">
            <w:pPr>
              <w:widowControl w:val="0"/>
              <w:pBdr>
                <w:top w:val="nil"/>
                <w:left w:val="nil"/>
                <w:bottom w:val="nil"/>
                <w:right w:val="nil"/>
                <w:between w:val="nil"/>
              </w:pBdr>
              <w:ind w:left="113" w:hanging="113"/>
              <w:rPr>
                <w:color w:val="0000FF"/>
              </w:rPr>
            </w:pPr>
          </w:p>
        </w:tc>
        <w:tc>
          <w:tcPr>
            <w:tcW w:w="895" w:type="pct"/>
          </w:tcPr>
          <w:p w14:paraId="3E86358C"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3DC101D8"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307087F9"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681D2064"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6BB28B18" w14:textId="77777777" w:rsidTr="001B330E">
        <w:trPr>
          <w:trHeight w:val="23"/>
        </w:trPr>
        <w:tc>
          <w:tcPr>
            <w:tcW w:w="1418" w:type="pct"/>
          </w:tcPr>
          <w:p w14:paraId="36131A0D" w14:textId="14128255"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US</w:t>
            </w:r>
            <w:r w:rsidR="00125132">
              <w:rPr>
                <w:color w:val="0000FF"/>
              </w:rPr>
              <w:t>D</w:t>
            </w:r>
            <w:r w:rsidRPr="00EA10CF">
              <w:rPr>
                <w:color w:val="0000FF"/>
              </w:rPr>
              <w:t xml:space="preserve"> strengthening by 20% (</w:t>
            </w:r>
            <w:r w:rsidR="00541EBC">
              <w:rPr>
                <w:color w:val="0000FF"/>
              </w:rPr>
              <w:t>2023</w:t>
            </w:r>
            <w:r w:rsidRPr="00EA10CF">
              <w:rPr>
                <w:color w:val="0000FF"/>
              </w:rPr>
              <w:t>: by [20]%)</w:t>
            </w:r>
          </w:p>
        </w:tc>
        <w:tc>
          <w:tcPr>
            <w:tcW w:w="895" w:type="pct"/>
          </w:tcPr>
          <w:p w14:paraId="15DB3D84"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16D3ADCC"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51BF3177"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2ED99193"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3D309998" w14:textId="77777777" w:rsidTr="001B330E">
        <w:trPr>
          <w:trHeight w:val="23"/>
        </w:trPr>
        <w:tc>
          <w:tcPr>
            <w:tcW w:w="1418" w:type="pct"/>
          </w:tcPr>
          <w:p w14:paraId="3B8EF7A1" w14:textId="251EA0EA"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US</w:t>
            </w:r>
            <w:r w:rsidR="00125132">
              <w:rPr>
                <w:color w:val="0000FF"/>
              </w:rPr>
              <w:t xml:space="preserve">D </w:t>
            </w:r>
            <w:r w:rsidRPr="00EA10CF">
              <w:rPr>
                <w:color w:val="0000FF"/>
              </w:rPr>
              <w:t>weakening by 20% (</w:t>
            </w:r>
            <w:r w:rsidR="00541EBC">
              <w:rPr>
                <w:color w:val="0000FF"/>
              </w:rPr>
              <w:t>2023</w:t>
            </w:r>
            <w:r w:rsidRPr="00EA10CF">
              <w:rPr>
                <w:color w:val="0000FF"/>
              </w:rPr>
              <w:t>: by [20]%)</w:t>
            </w:r>
          </w:p>
        </w:tc>
        <w:tc>
          <w:tcPr>
            <w:tcW w:w="895" w:type="pct"/>
          </w:tcPr>
          <w:p w14:paraId="76BEA225"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0A5F4A4C"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04B20BF9"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3D81F213"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4A3B3050" w14:textId="77777777" w:rsidTr="001B330E">
        <w:trPr>
          <w:trHeight w:val="23"/>
        </w:trPr>
        <w:tc>
          <w:tcPr>
            <w:tcW w:w="1418" w:type="pct"/>
          </w:tcPr>
          <w:p w14:paraId="0C813C21" w14:textId="23100707"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E</w:t>
            </w:r>
            <w:r w:rsidR="00125132">
              <w:rPr>
                <w:color w:val="0000FF"/>
              </w:rPr>
              <w:t>UR</w:t>
            </w:r>
            <w:r w:rsidRPr="00EA10CF">
              <w:rPr>
                <w:color w:val="0000FF"/>
              </w:rPr>
              <w:t xml:space="preserve"> strengthening by 20% (</w:t>
            </w:r>
            <w:r w:rsidR="00541EBC">
              <w:rPr>
                <w:color w:val="0000FF"/>
              </w:rPr>
              <w:t>2023</w:t>
            </w:r>
            <w:r w:rsidRPr="00EA10CF">
              <w:rPr>
                <w:color w:val="0000FF"/>
              </w:rPr>
              <w:t>: by [20]%)</w:t>
            </w:r>
          </w:p>
        </w:tc>
        <w:tc>
          <w:tcPr>
            <w:tcW w:w="895" w:type="pct"/>
          </w:tcPr>
          <w:p w14:paraId="54EC84A5"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10A992CC"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54716251"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1CD59ED6"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4452CB38" w14:textId="77777777" w:rsidTr="001B330E">
        <w:trPr>
          <w:trHeight w:val="23"/>
        </w:trPr>
        <w:tc>
          <w:tcPr>
            <w:tcW w:w="1418" w:type="pct"/>
          </w:tcPr>
          <w:p w14:paraId="5BB94C38" w14:textId="38EA5F1A"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E</w:t>
            </w:r>
            <w:r w:rsidR="00125132">
              <w:rPr>
                <w:color w:val="0000FF"/>
              </w:rPr>
              <w:t>UR</w:t>
            </w:r>
            <w:r w:rsidRPr="00EA10CF">
              <w:rPr>
                <w:color w:val="0000FF"/>
              </w:rPr>
              <w:t xml:space="preserve"> weakening by 20% (</w:t>
            </w:r>
            <w:r w:rsidR="00541EBC">
              <w:rPr>
                <w:color w:val="0000FF"/>
              </w:rPr>
              <w:t>2023</w:t>
            </w:r>
            <w:r w:rsidRPr="00EA10CF">
              <w:rPr>
                <w:color w:val="0000FF"/>
              </w:rPr>
              <w:t>: by [30]%)</w:t>
            </w:r>
          </w:p>
        </w:tc>
        <w:tc>
          <w:tcPr>
            <w:tcW w:w="895" w:type="pct"/>
          </w:tcPr>
          <w:p w14:paraId="6EADF468"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2286217C"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0EBF5483"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5D19DD7C"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05281544" w14:textId="77777777" w:rsidTr="001B330E">
        <w:trPr>
          <w:trHeight w:val="23"/>
        </w:trPr>
        <w:tc>
          <w:tcPr>
            <w:tcW w:w="1418" w:type="pct"/>
          </w:tcPr>
          <w:p w14:paraId="374AEFC5" w14:textId="124F2DD5" w:rsidR="00D83E33" w:rsidRPr="00EA10CF" w:rsidRDefault="00125132" w:rsidP="001B330E">
            <w:pPr>
              <w:widowControl w:val="0"/>
              <w:pBdr>
                <w:top w:val="nil"/>
                <w:left w:val="nil"/>
                <w:bottom w:val="nil"/>
                <w:right w:val="nil"/>
                <w:between w:val="nil"/>
              </w:pBdr>
              <w:ind w:left="113" w:hanging="113"/>
              <w:rPr>
                <w:color w:val="0000FF"/>
              </w:rPr>
            </w:pPr>
            <w:r>
              <w:rPr>
                <w:color w:val="0000FF"/>
              </w:rPr>
              <w:t>CZK</w:t>
            </w:r>
            <w:r w:rsidR="00BC4072" w:rsidRPr="00EA10CF">
              <w:rPr>
                <w:color w:val="0000FF"/>
              </w:rPr>
              <w:t xml:space="preserve"> strengthening by 20% (</w:t>
            </w:r>
            <w:r w:rsidR="00541EBC">
              <w:rPr>
                <w:color w:val="0000FF"/>
              </w:rPr>
              <w:t>2023</w:t>
            </w:r>
            <w:r w:rsidR="00BC4072" w:rsidRPr="00EA10CF">
              <w:rPr>
                <w:color w:val="0000FF"/>
              </w:rPr>
              <w:t>: by [__]%)</w:t>
            </w:r>
          </w:p>
        </w:tc>
        <w:tc>
          <w:tcPr>
            <w:tcW w:w="895" w:type="pct"/>
          </w:tcPr>
          <w:p w14:paraId="50DD3CE5"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5275FF59"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13D1D13A"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73545404"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03093FAB" w14:textId="77777777" w:rsidTr="001B330E">
        <w:trPr>
          <w:trHeight w:val="23"/>
        </w:trPr>
        <w:tc>
          <w:tcPr>
            <w:tcW w:w="1418" w:type="pct"/>
          </w:tcPr>
          <w:p w14:paraId="6DC49643" w14:textId="029DFF80" w:rsidR="00D83E33" w:rsidRPr="00EA10CF" w:rsidRDefault="00125132" w:rsidP="001B330E">
            <w:pPr>
              <w:widowControl w:val="0"/>
              <w:pBdr>
                <w:top w:val="nil"/>
                <w:left w:val="nil"/>
                <w:bottom w:val="nil"/>
                <w:right w:val="nil"/>
                <w:between w:val="nil"/>
              </w:pBdr>
              <w:ind w:left="113" w:hanging="113"/>
              <w:rPr>
                <w:color w:val="0000FF"/>
              </w:rPr>
            </w:pPr>
            <w:r>
              <w:rPr>
                <w:color w:val="0000FF"/>
              </w:rPr>
              <w:t>CZK</w:t>
            </w:r>
            <w:r w:rsidR="00BC4072" w:rsidRPr="00EA10CF">
              <w:rPr>
                <w:color w:val="0000FF"/>
              </w:rPr>
              <w:t xml:space="preserve"> weakening by 20% (</w:t>
            </w:r>
            <w:r w:rsidR="00541EBC">
              <w:rPr>
                <w:color w:val="0000FF"/>
              </w:rPr>
              <w:t>2023</w:t>
            </w:r>
            <w:r w:rsidR="00BC4072" w:rsidRPr="00EA10CF">
              <w:rPr>
                <w:color w:val="0000FF"/>
              </w:rPr>
              <w:t>: by [__]%)</w:t>
            </w:r>
          </w:p>
        </w:tc>
        <w:tc>
          <w:tcPr>
            <w:tcW w:w="895" w:type="pct"/>
          </w:tcPr>
          <w:p w14:paraId="29C569E6"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157C6337"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5FF6F378"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1FE72F2B"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09FED08A" w14:textId="77777777" w:rsidTr="001B330E">
        <w:trPr>
          <w:trHeight w:val="23"/>
        </w:trPr>
        <w:tc>
          <w:tcPr>
            <w:tcW w:w="1418" w:type="pct"/>
          </w:tcPr>
          <w:p w14:paraId="14DC3BB2" w14:textId="025F910B"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Other strengthening by 20% (</w:t>
            </w:r>
            <w:r w:rsidR="00541EBC">
              <w:rPr>
                <w:color w:val="0000FF"/>
              </w:rPr>
              <w:t>2023</w:t>
            </w:r>
            <w:r w:rsidRPr="00EA10CF">
              <w:rPr>
                <w:color w:val="0000FF"/>
              </w:rPr>
              <w:t>: by [20]%)</w:t>
            </w:r>
          </w:p>
        </w:tc>
        <w:tc>
          <w:tcPr>
            <w:tcW w:w="895" w:type="pct"/>
          </w:tcPr>
          <w:p w14:paraId="5FEAD476"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4EE59792"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58F49AAC"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3ADEA222"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2FC831DC" w14:textId="77777777" w:rsidTr="001B330E">
        <w:trPr>
          <w:trHeight w:val="23"/>
        </w:trPr>
        <w:tc>
          <w:tcPr>
            <w:tcW w:w="1418" w:type="pct"/>
          </w:tcPr>
          <w:p w14:paraId="0F92FDFA" w14:textId="274C07AD" w:rsidR="00D83E33" w:rsidRPr="00EA10CF" w:rsidRDefault="00BC4072" w:rsidP="001B330E">
            <w:pPr>
              <w:widowControl w:val="0"/>
              <w:pBdr>
                <w:top w:val="nil"/>
                <w:left w:val="nil"/>
                <w:bottom w:val="nil"/>
                <w:right w:val="nil"/>
                <w:between w:val="nil"/>
              </w:pBdr>
              <w:ind w:left="113" w:hanging="113"/>
              <w:rPr>
                <w:color w:val="0000FF"/>
              </w:rPr>
            </w:pPr>
            <w:r w:rsidRPr="00EA10CF">
              <w:rPr>
                <w:color w:val="0000FF"/>
              </w:rPr>
              <w:t>Other weakening by 20% (</w:t>
            </w:r>
            <w:r w:rsidR="00541EBC">
              <w:rPr>
                <w:color w:val="0000FF"/>
              </w:rPr>
              <w:t>2023</w:t>
            </w:r>
            <w:r w:rsidRPr="00EA10CF">
              <w:rPr>
                <w:color w:val="0000FF"/>
              </w:rPr>
              <w:t>: by [20]%)</w:t>
            </w:r>
          </w:p>
        </w:tc>
        <w:tc>
          <w:tcPr>
            <w:tcW w:w="895" w:type="pct"/>
          </w:tcPr>
          <w:p w14:paraId="15260A02"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6F5AAC51"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0491851C"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5DAC2304"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44E2E92C" w14:textId="77777777" w:rsidTr="001B330E">
        <w:trPr>
          <w:trHeight w:val="23"/>
        </w:trPr>
        <w:tc>
          <w:tcPr>
            <w:tcW w:w="1418" w:type="pct"/>
            <w:tcBorders>
              <w:bottom w:val="single" w:sz="4" w:space="0" w:color="000000"/>
            </w:tcBorders>
            <w:shd w:val="clear" w:color="auto" w:fill="auto"/>
          </w:tcPr>
          <w:p w14:paraId="2E2DA3DC" w14:textId="77777777" w:rsidR="00D83E33" w:rsidRPr="00EA10CF" w:rsidRDefault="00D83E33" w:rsidP="001B330E">
            <w:pPr>
              <w:widowControl w:val="0"/>
              <w:pBdr>
                <w:top w:val="nil"/>
                <w:left w:val="nil"/>
                <w:bottom w:val="nil"/>
                <w:right w:val="nil"/>
                <w:between w:val="nil"/>
              </w:pBdr>
              <w:ind w:left="113" w:hanging="113"/>
              <w:rPr>
                <w:color w:val="0000FF"/>
              </w:rPr>
            </w:pPr>
          </w:p>
        </w:tc>
        <w:tc>
          <w:tcPr>
            <w:tcW w:w="895" w:type="pct"/>
            <w:tcBorders>
              <w:bottom w:val="single" w:sz="4" w:space="0" w:color="000000"/>
            </w:tcBorders>
          </w:tcPr>
          <w:p w14:paraId="27F3E7B8" w14:textId="77777777" w:rsidR="00D83E33" w:rsidRPr="00EA10CF" w:rsidRDefault="00D83E33" w:rsidP="001B330E">
            <w:pPr>
              <w:widowControl w:val="0"/>
              <w:pBdr>
                <w:top w:val="nil"/>
                <w:left w:val="nil"/>
                <w:bottom w:val="nil"/>
                <w:right w:val="nil"/>
                <w:between w:val="nil"/>
              </w:pBdr>
              <w:rPr>
                <w:color w:val="0000FF"/>
              </w:rPr>
            </w:pPr>
          </w:p>
        </w:tc>
        <w:tc>
          <w:tcPr>
            <w:tcW w:w="896" w:type="pct"/>
            <w:tcBorders>
              <w:bottom w:val="single" w:sz="4" w:space="0" w:color="000000"/>
            </w:tcBorders>
          </w:tcPr>
          <w:p w14:paraId="530D4B8B" w14:textId="77777777" w:rsidR="00D83E33" w:rsidRPr="00EA10CF" w:rsidRDefault="00D83E33" w:rsidP="001B330E">
            <w:pPr>
              <w:widowControl w:val="0"/>
              <w:pBdr>
                <w:top w:val="nil"/>
                <w:left w:val="nil"/>
                <w:bottom w:val="nil"/>
                <w:right w:val="nil"/>
                <w:between w:val="nil"/>
              </w:pBdr>
              <w:rPr>
                <w:color w:val="0000FF"/>
              </w:rPr>
            </w:pPr>
          </w:p>
        </w:tc>
        <w:tc>
          <w:tcPr>
            <w:tcW w:w="895" w:type="pct"/>
            <w:tcBorders>
              <w:bottom w:val="single" w:sz="4" w:space="0" w:color="000000"/>
            </w:tcBorders>
          </w:tcPr>
          <w:p w14:paraId="4017FB32" w14:textId="77777777" w:rsidR="00D83E33" w:rsidRPr="00EA10CF" w:rsidRDefault="00D83E33" w:rsidP="001B330E">
            <w:pPr>
              <w:widowControl w:val="0"/>
              <w:pBdr>
                <w:top w:val="nil"/>
                <w:left w:val="nil"/>
                <w:bottom w:val="nil"/>
                <w:right w:val="nil"/>
                <w:between w:val="nil"/>
              </w:pBdr>
              <w:rPr>
                <w:color w:val="0000FF"/>
              </w:rPr>
            </w:pPr>
          </w:p>
        </w:tc>
        <w:tc>
          <w:tcPr>
            <w:tcW w:w="896" w:type="pct"/>
            <w:tcBorders>
              <w:bottom w:val="single" w:sz="4" w:space="0" w:color="000000"/>
            </w:tcBorders>
            <w:shd w:val="clear" w:color="auto" w:fill="auto"/>
            <w:vAlign w:val="bottom"/>
          </w:tcPr>
          <w:p w14:paraId="730C95FC"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062C2DED" w14:textId="77777777" w:rsidTr="001B330E">
        <w:trPr>
          <w:trHeight w:val="23"/>
        </w:trPr>
        <w:tc>
          <w:tcPr>
            <w:tcW w:w="1418" w:type="pct"/>
            <w:tcBorders>
              <w:top w:val="single" w:sz="4" w:space="0" w:color="000000"/>
            </w:tcBorders>
          </w:tcPr>
          <w:p w14:paraId="501803F1" w14:textId="77777777" w:rsidR="00D83E33" w:rsidRPr="00EA10CF" w:rsidRDefault="00D83E33" w:rsidP="001B330E">
            <w:pPr>
              <w:widowControl w:val="0"/>
              <w:pBdr>
                <w:top w:val="nil"/>
                <w:left w:val="nil"/>
                <w:bottom w:val="nil"/>
                <w:right w:val="nil"/>
                <w:between w:val="nil"/>
              </w:pBdr>
              <w:ind w:left="113" w:hanging="113"/>
              <w:rPr>
                <w:color w:val="0000FF"/>
              </w:rPr>
            </w:pPr>
          </w:p>
        </w:tc>
        <w:tc>
          <w:tcPr>
            <w:tcW w:w="895" w:type="pct"/>
            <w:tcBorders>
              <w:top w:val="single" w:sz="4" w:space="0" w:color="000000"/>
            </w:tcBorders>
          </w:tcPr>
          <w:p w14:paraId="445C0EEA" w14:textId="77777777" w:rsidR="00D83E33" w:rsidRPr="00EA10CF" w:rsidRDefault="00D83E33" w:rsidP="001B330E">
            <w:pPr>
              <w:widowControl w:val="0"/>
              <w:pBdr>
                <w:top w:val="nil"/>
                <w:left w:val="nil"/>
                <w:bottom w:val="nil"/>
                <w:right w:val="nil"/>
                <w:between w:val="nil"/>
              </w:pBdr>
              <w:rPr>
                <w:color w:val="0000FF"/>
              </w:rPr>
            </w:pPr>
          </w:p>
        </w:tc>
        <w:tc>
          <w:tcPr>
            <w:tcW w:w="896" w:type="pct"/>
            <w:tcBorders>
              <w:top w:val="single" w:sz="4" w:space="0" w:color="000000"/>
            </w:tcBorders>
          </w:tcPr>
          <w:p w14:paraId="1AB50319" w14:textId="77777777" w:rsidR="00D83E33" w:rsidRPr="00EA10CF" w:rsidRDefault="00D83E33" w:rsidP="001B330E">
            <w:pPr>
              <w:widowControl w:val="0"/>
              <w:pBdr>
                <w:top w:val="nil"/>
                <w:left w:val="nil"/>
                <w:bottom w:val="nil"/>
                <w:right w:val="nil"/>
                <w:between w:val="nil"/>
              </w:pBdr>
              <w:rPr>
                <w:color w:val="0000FF"/>
              </w:rPr>
            </w:pPr>
          </w:p>
        </w:tc>
        <w:tc>
          <w:tcPr>
            <w:tcW w:w="895" w:type="pct"/>
            <w:tcBorders>
              <w:top w:val="single" w:sz="4" w:space="0" w:color="000000"/>
            </w:tcBorders>
          </w:tcPr>
          <w:p w14:paraId="2D4492A0" w14:textId="77777777" w:rsidR="00D83E33" w:rsidRPr="00EA10CF" w:rsidRDefault="00D83E33" w:rsidP="001B330E">
            <w:pPr>
              <w:widowControl w:val="0"/>
              <w:pBdr>
                <w:top w:val="nil"/>
                <w:left w:val="nil"/>
                <w:bottom w:val="nil"/>
                <w:right w:val="nil"/>
                <w:between w:val="nil"/>
              </w:pBdr>
              <w:rPr>
                <w:color w:val="0000FF"/>
              </w:rPr>
            </w:pPr>
          </w:p>
        </w:tc>
        <w:tc>
          <w:tcPr>
            <w:tcW w:w="896" w:type="pct"/>
            <w:tcBorders>
              <w:top w:val="single" w:sz="4" w:space="0" w:color="000000"/>
            </w:tcBorders>
            <w:vAlign w:val="bottom"/>
          </w:tcPr>
          <w:p w14:paraId="3AB9D4F9"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61D58CE5" w14:textId="77777777" w:rsidTr="001B330E">
        <w:trPr>
          <w:trHeight w:val="23"/>
        </w:trPr>
        <w:tc>
          <w:tcPr>
            <w:tcW w:w="1418" w:type="pct"/>
          </w:tcPr>
          <w:p w14:paraId="67EA8BED" w14:textId="77777777" w:rsidR="00D83E33" w:rsidRPr="00EA10CF" w:rsidRDefault="00BC4072" w:rsidP="001B330E">
            <w:pPr>
              <w:widowControl w:val="0"/>
              <w:pBdr>
                <w:top w:val="nil"/>
                <w:left w:val="nil"/>
                <w:bottom w:val="nil"/>
                <w:right w:val="nil"/>
                <w:between w:val="nil"/>
              </w:pBdr>
              <w:ind w:left="113" w:hanging="113"/>
              <w:rPr>
                <w:b/>
                <w:color w:val="0000FF"/>
              </w:rPr>
            </w:pPr>
            <w:r w:rsidRPr="00EA10CF">
              <w:rPr>
                <w:b/>
                <w:color w:val="0000FF"/>
              </w:rPr>
              <w:t xml:space="preserve">Total </w:t>
            </w:r>
          </w:p>
        </w:tc>
        <w:tc>
          <w:tcPr>
            <w:tcW w:w="895" w:type="pct"/>
          </w:tcPr>
          <w:p w14:paraId="2C06F118" w14:textId="77777777" w:rsidR="00D83E33" w:rsidRPr="00EA10CF" w:rsidRDefault="00D83E33" w:rsidP="001B330E">
            <w:pPr>
              <w:widowControl w:val="0"/>
              <w:pBdr>
                <w:top w:val="nil"/>
                <w:left w:val="nil"/>
                <w:bottom w:val="nil"/>
                <w:right w:val="nil"/>
                <w:between w:val="nil"/>
              </w:pBdr>
              <w:rPr>
                <w:color w:val="0000FF"/>
              </w:rPr>
            </w:pPr>
          </w:p>
        </w:tc>
        <w:tc>
          <w:tcPr>
            <w:tcW w:w="896" w:type="pct"/>
          </w:tcPr>
          <w:p w14:paraId="215BF213" w14:textId="77777777" w:rsidR="00D83E33" w:rsidRPr="00EA10CF" w:rsidRDefault="00D83E33" w:rsidP="001B330E">
            <w:pPr>
              <w:widowControl w:val="0"/>
              <w:pBdr>
                <w:top w:val="nil"/>
                <w:left w:val="nil"/>
                <w:bottom w:val="nil"/>
                <w:right w:val="nil"/>
                <w:between w:val="nil"/>
              </w:pBdr>
              <w:rPr>
                <w:color w:val="0000FF"/>
              </w:rPr>
            </w:pPr>
          </w:p>
        </w:tc>
        <w:tc>
          <w:tcPr>
            <w:tcW w:w="895" w:type="pct"/>
          </w:tcPr>
          <w:p w14:paraId="5F6279E6" w14:textId="77777777" w:rsidR="00D83E33" w:rsidRPr="00EA10CF" w:rsidRDefault="00D83E33" w:rsidP="001B330E">
            <w:pPr>
              <w:widowControl w:val="0"/>
              <w:pBdr>
                <w:top w:val="nil"/>
                <w:left w:val="nil"/>
                <w:bottom w:val="nil"/>
                <w:right w:val="nil"/>
                <w:between w:val="nil"/>
              </w:pBdr>
              <w:rPr>
                <w:color w:val="0000FF"/>
              </w:rPr>
            </w:pPr>
          </w:p>
        </w:tc>
        <w:tc>
          <w:tcPr>
            <w:tcW w:w="896" w:type="pct"/>
            <w:vAlign w:val="bottom"/>
          </w:tcPr>
          <w:p w14:paraId="5FEB52D5"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5EA03FED" w14:textId="77777777" w:rsidTr="001B330E">
        <w:trPr>
          <w:trHeight w:val="23"/>
        </w:trPr>
        <w:tc>
          <w:tcPr>
            <w:tcW w:w="1418" w:type="pct"/>
            <w:tcBorders>
              <w:bottom w:val="single" w:sz="12" w:space="0" w:color="000000"/>
            </w:tcBorders>
            <w:shd w:val="clear" w:color="auto" w:fill="auto"/>
          </w:tcPr>
          <w:p w14:paraId="588B0D06" w14:textId="77777777" w:rsidR="00D83E33" w:rsidRPr="00EA10CF" w:rsidRDefault="00D83E33" w:rsidP="001B330E">
            <w:pPr>
              <w:widowControl w:val="0"/>
              <w:pBdr>
                <w:top w:val="nil"/>
                <w:left w:val="nil"/>
                <w:bottom w:val="nil"/>
                <w:right w:val="nil"/>
                <w:between w:val="nil"/>
              </w:pBdr>
              <w:ind w:left="113" w:hanging="113"/>
              <w:rPr>
                <w:b/>
                <w:color w:val="0000FF"/>
              </w:rPr>
            </w:pPr>
          </w:p>
        </w:tc>
        <w:tc>
          <w:tcPr>
            <w:tcW w:w="895" w:type="pct"/>
            <w:tcBorders>
              <w:bottom w:val="single" w:sz="12" w:space="0" w:color="000000"/>
            </w:tcBorders>
          </w:tcPr>
          <w:p w14:paraId="697F853B" w14:textId="77777777" w:rsidR="00D83E33" w:rsidRPr="00EA10CF" w:rsidRDefault="00D83E33" w:rsidP="001B330E">
            <w:pPr>
              <w:widowControl w:val="0"/>
              <w:pBdr>
                <w:top w:val="nil"/>
                <w:left w:val="nil"/>
                <w:bottom w:val="nil"/>
                <w:right w:val="nil"/>
                <w:between w:val="nil"/>
              </w:pBdr>
              <w:rPr>
                <w:color w:val="0000FF"/>
              </w:rPr>
            </w:pPr>
          </w:p>
        </w:tc>
        <w:tc>
          <w:tcPr>
            <w:tcW w:w="896" w:type="pct"/>
            <w:tcBorders>
              <w:bottom w:val="single" w:sz="12" w:space="0" w:color="000000"/>
            </w:tcBorders>
          </w:tcPr>
          <w:p w14:paraId="5C271168" w14:textId="77777777" w:rsidR="00D83E33" w:rsidRPr="00EA10CF" w:rsidRDefault="00D83E33" w:rsidP="001B330E">
            <w:pPr>
              <w:widowControl w:val="0"/>
              <w:pBdr>
                <w:top w:val="nil"/>
                <w:left w:val="nil"/>
                <w:bottom w:val="nil"/>
                <w:right w:val="nil"/>
                <w:between w:val="nil"/>
              </w:pBdr>
              <w:rPr>
                <w:color w:val="0000FF"/>
              </w:rPr>
            </w:pPr>
          </w:p>
        </w:tc>
        <w:tc>
          <w:tcPr>
            <w:tcW w:w="895" w:type="pct"/>
            <w:tcBorders>
              <w:bottom w:val="single" w:sz="12" w:space="0" w:color="000000"/>
            </w:tcBorders>
          </w:tcPr>
          <w:p w14:paraId="61D3AEFA" w14:textId="77777777" w:rsidR="00D83E33" w:rsidRPr="00EA10CF" w:rsidRDefault="00D83E33" w:rsidP="001B330E">
            <w:pPr>
              <w:widowControl w:val="0"/>
              <w:pBdr>
                <w:top w:val="nil"/>
                <w:left w:val="nil"/>
                <w:bottom w:val="nil"/>
                <w:right w:val="nil"/>
                <w:between w:val="nil"/>
              </w:pBdr>
              <w:rPr>
                <w:color w:val="0000FF"/>
              </w:rPr>
            </w:pPr>
          </w:p>
        </w:tc>
        <w:tc>
          <w:tcPr>
            <w:tcW w:w="896" w:type="pct"/>
            <w:tcBorders>
              <w:bottom w:val="single" w:sz="12" w:space="0" w:color="000000"/>
            </w:tcBorders>
            <w:shd w:val="clear" w:color="auto" w:fill="auto"/>
            <w:vAlign w:val="bottom"/>
          </w:tcPr>
          <w:p w14:paraId="10EC91C0" w14:textId="77777777" w:rsidR="00D83E33" w:rsidRPr="00EA10CF" w:rsidRDefault="00D83E33" w:rsidP="001B330E">
            <w:pPr>
              <w:widowControl w:val="0"/>
              <w:pBdr>
                <w:top w:val="nil"/>
                <w:left w:val="nil"/>
                <w:bottom w:val="nil"/>
                <w:right w:val="nil"/>
                <w:between w:val="nil"/>
              </w:pBdr>
              <w:rPr>
                <w:color w:val="0000FF"/>
              </w:rPr>
            </w:pPr>
          </w:p>
        </w:tc>
      </w:tr>
    </w:tbl>
    <w:p w14:paraId="7238C047" w14:textId="77777777" w:rsidR="00D83E33" w:rsidRDefault="00BC4072">
      <w:pPr>
        <w:pBdr>
          <w:top w:val="nil"/>
          <w:left w:val="nil"/>
          <w:bottom w:val="nil"/>
          <w:right w:val="nil"/>
          <w:between w:val="nil"/>
        </w:pBdr>
        <w:spacing w:before="200" w:after="200"/>
        <w:jc w:val="both"/>
        <w:rPr>
          <w:color w:val="000000"/>
          <w:sz w:val="20"/>
          <w:szCs w:val="20"/>
        </w:rPr>
      </w:pPr>
      <w:r>
        <w:rPr>
          <w:b/>
          <w:i/>
          <w:color w:val="000000"/>
          <w:sz w:val="20"/>
          <w:szCs w:val="20"/>
        </w:rPr>
        <w:t xml:space="preserve">Interest rate risk. </w:t>
      </w:r>
      <w:r>
        <w:rPr>
          <w:color w:val="000000"/>
          <w:sz w:val="20"/>
          <w:szCs w:val="20"/>
        </w:rPr>
        <w:t xml:space="preserve">The Group takes on exposure to the effects of fluctuations in the prevailing levels of market interest rates on its financial position and cash flows. Interest margins may increase as a result of such changes, but may reduce or create losses in the event that unexpected movements arise. Management monitors on a daily basis and sets limits on the level of mismatch of interest rate repricing that may be undertaken. </w:t>
      </w:r>
    </w:p>
    <w:p w14:paraId="0635699E" w14:textId="335FDC1D" w:rsidR="00D83E33" w:rsidRDefault="00BC4072">
      <w:pPr>
        <w:pBdr>
          <w:top w:val="nil"/>
          <w:left w:val="nil"/>
          <w:bottom w:val="nil"/>
          <w:right w:val="nil"/>
          <w:between w:val="nil"/>
        </w:pBdr>
        <w:spacing w:before="200" w:after="200"/>
        <w:jc w:val="both"/>
        <w:rPr>
          <w:color w:val="000000"/>
          <w:sz w:val="20"/>
          <w:szCs w:val="20"/>
        </w:rPr>
      </w:pPr>
      <w:r>
        <w:rPr>
          <w:i/>
          <w:color w:val="FF0000"/>
          <w:sz w:val="20"/>
          <w:szCs w:val="20"/>
        </w:rPr>
        <w:t>[Disclose here detailed processes for management of interest risks. Processes need to be disclosed in addition to objectives and policies for managing the interest risks.]</w:t>
      </w:r>
    </w:p>
    <w:p w14:paraId="6F5973B3" w14:textId="77777777" w:rsidR="009A397A" w:rsidRDefault="009A397A" w:rsidP="001B330E">
      <w:pPr>
        <w:pStyle w:val="Continued"/>
      </w:pPr>
      <w:r>
        <w:lastRenderedPageBreak/>
        <w:t>41</w:t>
      </w:r>
      <w:r>
        <w:tab/>
        <w:t>Financial Risk Management (Continued)</w:t>
      </w:r>
    </w:p>
    <w:p w14:paraId="4A2195C2" w14:textId="77777777"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table below summarises the Group’s exposure to interest rate risks. The table presents the aggregated amounts of the Group’s financial assets and liabilities at carrying amounts, categorised by the earlier of contractual interest repricing or maturity dates:</w:t>
      </w:r>
    </w:p>
    <w:tbl>
      <w:tblPr>
        <w:tblStyle w:val="affffffffffffff3"/>
        <w:tblW w:w="5000" w:type="pct"/>
        <w:tblLayout w:type="fixed"/>
        <w:tblCellMar>
          <w:left w:w="113" w:type="dxa"/>
          <w:right w:w="113" w:type="dxa"/>
        </w:tblCellMar>
        <w:tblLook w:val="0000" w:firstRow="0" w:lastRow="0" w:firstColumn="0" w:lastColumn="0" w:noHBand="0" w:noVBand="0"/>
      </w:tblPr>
      <w:tblGrid>
        <w:gridCol w:w="2798"/>
        <w:gridCol w:w="1092"/>
        <w:gridCol w:w="1093"/>
        <w:gridCol w:w="1093"/>
        <w:gridCol w:w="1093"/>
        <w:gridCol w:w="1093"/>
        <w:gridCol w:w="1093"/>
      </w:tblGrid>
      <w:tr w:rsidR="00D83E33" w:rsidRPr="00EA10CF" w14:paraId="2DE62350" w14:textId="77777777" w:rsidTr="001B330E">
        <w:trPr>
          <w:trHeight w:val="23"/>
        </w:trPr>
        <w:tc>
          <w:tcPr>
            <w:tcW w:w="1496" w:type="pct"/>
            <w:tcBorders>
              <w:bottom w:val="single" w:sz="4" w:space="0" w:color="000000"/>
            </w:tcBorders>
            <w:vAlign w:val="bottom"/>
          </w:tcPr>
          <w:p w14:paraId="057B18A2" w14:textId="462D72C8"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84" w:type="pct"/>
            <w:tcBorders>
              <w:bottom w:val="single" w:sz="4" w:space="0" w:color="000000"/>
            </w:tcBorders>
          </w:tcPr>
          <w:p w14:paraId="5E6CBA91"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Demand and less than 1 month</w:t>
            </w:r>
          </w:p>
        </w:tc>
        <w:tc>
          <w:tcPr>
            <w:tcW w:w="584" w:type="pct"/>
            <w:tcBorders>
              <w:bottom w:val="single" w:sz="4" w:space="0" w:color="000000"/>
            </w:tcBorders>
          </w:tcPr>
          <w:p w14:paraId="0C3E43F7"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From 1 to 6 months</w:t>
            </w:r>
          </w:p>
        </w:tc>
        <w:tc>
          <w:tcPr>
            <w:tcW w:w="584" w:type="pct"/>
            <w:tcBorders>
              <w:bottom w:val="single" w:sz="4" w:space="0" w:color="000000"/>
            </w:tcBorders>
          </w:tcPr>
          <w:p w14:paraId="4BC214CD"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From 6 to 12 months</w:t>
            </w:r>
          </w:p>
        </w:tc>
        <w:tc>
          <w:tcPr>
            <w:tcW w:w="584" w:type="pct"/>
            <w:tcBorders>
              <w:bottom w:val="single" w:sz="4" w:space="0" w:color="000000"/>
            </w:tcBorders>
          </w:tcPr>
          <w:p w14:paraId="6FA4CD8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More than 1 year</w:t>
            </w:r>
          </w:p>
        </w:tc>
        <w:tc>
          <w:tcPr>
            <w:tcW w:w="584" w:type="pct"/>
            <w:tcBorders>
              <w:bottom w:val="single" w:sz="4" w:space="0" w:color="000000"/>
            </w:tcBorders>
          </w:tcPr>
          <w:p w14:paraId="206E3BDE"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Non-monetary</w:t>
            </w:r>
          </w:p>
        </w:tc>
        <w:tc>
          <w:tcPr>
            <w:tcW w:w="584" w:type="pct"/>
            <w:tcBorders>
              <w:bottom w:val="single" w:sz="4" w:space="0" w:color="000000"/>
            </w:tcBorders>
          </w:tcPr>
          <w:p w14:paraId="3FFB7C8E"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Total</w:t>
            </w:r>
          </w:p>
        </w:tc>
      </w:tr>
      <w:tr w:rsidR="00D83E33" w:rsidRPr="00EA10CF" w14:paraId="37D5A515" w14:textId="77777777" w:rsidTr="001B330E">
        <w:trPr>
          <w:trHeight w:val="23"/>
        </w:trPr>
        <w:tc>
          <w:tcPr>
            <w:tcW w:w="1496" w:type="pct"/>
            <w:vAlign w:val="bottom"/>
          </w:tcPr>
          <w:p w14:paraId="70E571BA" w14:textId="77777777" w:rsidR="00D83E33" w:rsidRPr="00EA10CF" w:rsidRDefault="00D83E33" w:rsidP="001B330E">
            <w:pPr>
              <w:widowControl w:val="0"/>
              <w:ind w:left="113" w:hanging="113"/>
              <w:rPr>
                <w:b/>
              </w:rPr>
            </w:pPr>
          </w:p>
        </w:tc>
        <w:tc>
          <w:tcPr>
            <w:tcW w:w="584" w:type="pct"/>
            <w:vAlign w:val="bottom"/>
          </w:tcPr>
          <w:p w14:paraId="2D48D938" w14:textId="77777777" w:rsidR="00D83E33" w:rsidRPr="00EA10CF" w:rsidRDefault="00D83E33" w:rsidP="001B330E">
            <w:pPr>
              <w:widowControl w:val="0"/>
              <w:pBdr>
                <w:top w:val="nil"/>
                <w:left w:val="nil"/>
                <w:bottom w:val="nil"/>
                <w:right w:val="nil"/>
                <w:between w:val="nil"/>
              </w:pBdr>
              <w:ind w:hanging="85"/>
              <w:rPr>
                <w:color w:val="000000"/>
              </w:rPr>
            </w:pPr>
          </w:p>
        </w:tc>
        <w:tc>
          <w:tcPr>
            <w:tcW w:w="584" w:type="pct"/>
            <w:vAlign w:val="bottom"/>
          </w:tcPr>
          <w:p w14:paraId="5EC1FB81" w14:textId="77777777" w:rsidR="00D83E33" w:rsidRPr="00EA10CF" w:rsidRDefault="00D83E33" w:rsidP="001B330E">
            <w:pPr>
              <w:widowControl w:val="0"/>
              <w:pBdr>
                <w:top w:val="nil"/>
                <w:left w:val="nil"/>
                <w:bottom w:val="nil"/>
                <w:right w:val="nil"/>
                <w:between w:val="nil"/>
              </w:pBdr>
              <w:ind w:hanging="85"/>
              <w:rPr>
                <w:color w:val="000000"/>
              </w:rPr>
            </w:pPr>
          </w:p>
        </w:tc>
        <w:tc>
          <w:tcPr>
            <w:tcW w:w="584" w:type="pct"/>
            <w:vAlign w:val="bottom"/>
          </w:tcPr>
          <w:p w14:paraId="52DA6C9D" w14:textId="77777777" w:rsidR="00D83E33" w:rsidRPr="00EA10CF" w:rsidRDefault="00D83E33" w:rsidP="001B330E">
            <w:pPr>
              <w:widowControl w:val="0"/>
              <w:pBdr>
                <w:top w:val="nil"/>
                <w:left w:val="nil"/>
                <w:bottom w:val="nil"/>
                <w:right w:val="nil"/>
                <w:between w:val="nil"/>
              </w:pBdr>
              <w:ind w:hanging="85"/>
              <w:rPr>
                <w:color w:val="000000"/>
              </w:rPr>
            </w:pPr>
          </w:p>
        </w:tc>
        <w:tc>
          <w:tcPr>
            <w:tcW w:w="584" w:type="pct"/>
            <w:vAlign w:val="bottom"/>
          </w:tcPr>
          <w:p w14:paraId="20859A54" w14:textId="77777777" w:rsidR="00D83E33" w:rsidRPr="00EA10CF" w:rsidRDefault="00D83E33" w:rsidP="001B330E">
            <w:pPr>
              <w:widowControl w:val="0"/>
              <w:pBdr>
                <w:top w:val="nil"/>
                <w:left w:val="nil"/>
                <w:bottom w:val="nil"/>
                <w:right w:val="nil"/>
                <w:between w:val="nil"/>
              </w:pBdr>
              <w:ind w:hanging="85"/>
              <w:rPr>
                <w:color w:val="000000"/>
              </w:rPr>
            </w:pPr>
          </w:p>
        </w:tc>
        <w:tc>
          <w:tcPr>
            <w:tcW w:w="584" w:type="pct"/>
            <w:vAlign w:val="bottom"/>
          </w:tcPr>
          <w:p w14:paraId="407E5372" w14:textId="77777777" w:rsidR="00D83E33" w:rsidRPr="00EA10CF" w:rsidRDefault="00D83E33" w:rsidP="001B330E">
            <w:pPr>
              <w:widowControl w:val="0"/>
              <w:pBdr>
                <w:top w:val="nil"/>
                <w:left w:val="nil"/>
                <w:bottom w:val="nil"/>
                <w:right w:val="nil"/>
                <w:between w:val="nil"/>
              </w:pBdr>
              <w:ind w:hanging="85"/>
              <w:rPr>
                <w:color w:val="000000"/>
              </w:rPr>
            </w:pPr>
          </w:p>
        </w:tc>
        <w:tc>
          <w:tcPr>
            <w:tcW w:w="584" w:type="pct"/>
            <w:vAlign w:val="bottom"/>
          </w:tcPr>
          <w:p w14:paraId="49540877" w14:textId="77777777" w:rsidR="00D83E33" w:rsidRPr="00EA10CF" w:rsidRDefault="00D83E33" w:rsidP="001B330E">
            <w:pPr>
              <w:widowControl w:val="0"/>
              <w:pBdr>
                <w:top w:val="nil"/>
                <w:left w:val="nil"/>
                <w:bottom w:val="nil"/>
                <w:right w:val="nil"/>
                <w:between w:val="nil"/>
              </w:pBdr>
              <w:ind w:hanging="85"/>
              <w:rPr>
                <w:color w:val="000000"/>
              </w:rPr>
            </w:pPr>
          </w:p>
        </w:tc>
      </w:tr>
      <w:tr w:rsidR="00D83E33" w:rsidRPr="00EA10CF" w14:paraId="4894AA4F" w14:textId="77777777" w:rsidTr="001B330E">
        <w:trPr>
          <w:trHeight w:val="23"/>
        </w:trPr>
        <w:tc>
          <w:tcPr>
            <w:tcW w:w="1496" w:type="pct"/>
            <w:vAlign w:val="bottom"/>
          </w:tcPr>
          <w:p w14:paraId="1A2AE708" w14:textId="2ACF368F"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31</w:t>
            </w:r>
            <w:r w:rsidR="00181687">
              <w:rPr>
                <w:b/>
                <w:color w:val="000000"/>
              </w:rPr>
              <w:t> December </w:t>
            </w:r>
            <w:r w:rsidR="00541EBC">
              <w:rPr>
                <w:b/>
                <w:color w:val="000000"/>
              </w:rPr>
              <w:t>2024</w:t>
            </w:r>
          </w:p>
        </w:tc>
        <w:tc>
          <w:tcPr>
            <w:tcW w:w="584" w:type="pct"/>
            <w:vAlign w:val="bottom"/>
          </w:tcPr>
          <w:p w14:paraId="7AEDCD8F"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0FF3D4DF"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183A3479"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0BFBC80C"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55362FC7"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1AD3C0B5"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13FC9E44" w14:textId="77777777" w:rsidTr="001B330E">
        <w:trPr>
          <w:trHeight w:val="23"/>
        </w:trPr>
        <w:tc>
          <w:tcPr>
            <w:tcW w:w="1496" w:type="pct"/>
            <w:vAlign w:val="bottom"/>
          </w:tcPr>
          <w:p w14:paraId="0A56684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Total financial assets</w:t>
            </w:r>
          </w:p>
        </w:tc>
        <w:tc>
          <w:tcPr>
            <w:tcW w:w="584" w:type="pct"/>
            <w:vAlign w:val="bottom"/>
          </w:tcPr>
          <w:p w14:paraId="2FEB1B86"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698BB234"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2F405C85"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532A15CF"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10938895"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06EB8291"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2906C36C" w14:textId="77777777" w:rsidTr="001B330E">
        <w:trPr>
          <w:trHeight w:val="23"/>
        </w:trPr>
        <w:tc>
          <w:tcPr>
            <w:tcW w:w="1496" w:type="pct"/>
            <w:vAlign w:val="bottom"/>
          </w:tcPr>
          <w:p w14:paraId="5D5042E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Total financial liabilities</w:t>
            </w:r>
          </w:p>
        </w:tc>
        <w:tc>
          <w:tcPr>
            <w:tcW w:w="584" w:type="pct"/>
            <w:vAlign w:val="bottom"/>
          </w:tcPr>
          <w:p w14:paraId="6B23C4ED"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5646A198"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6EB23AD4"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4687C576"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61AF0FD0"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13FE9780"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2367BF35" w14:textId="77777777" w:rsidTr="001B330E">
        <w:trPr>
          <w:trHeight w:val="23"/>
        </w:trPr>
        <w:tc>
          <w:tcPr>
            <w:tcW w:w="1496" w:type="pct"/>
            <w:tcBorders>
              <w:bottom w:val="single" w:sz="4" w:space="0" w:color="000000"/>
            </w:tcBorders>
            <w:vAlign w:val="bottom"/>
          </w:tcPr>
          <w:p w14:paraId="0383C960"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84" w:type="pct"/>
            <w:tcBorders>
              <w:bottom w:val="single" w:sz="4" w:space="0" w:color="000000"/>
            </w:tcBorders>
            <w:vAlign w:val="bottom"/>
          </w:tcPr>
          <w:p w14:paraId="71D111C2"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vAlign w:val="bottom"/>
          </w:tcPr>
          <w:p w14:paraId="7CA32DEB"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vAlign w:val="bottom"/>
          </w:tcPr>
          <w:p w14:paraId="1B2586AF"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vAlign w:val="bottom"/>
          </w:tcPr>
          <w:p w14:paraId="09ACBA39"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vAlign w:val="bottom"/>
          </w:tcPr>
          <w:p w14:paraId="4270DD98"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vAlign w:val="bottom"/>
          </w:tcPr>
          <w:p w14:paraId="7EF1F598"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3E9AF11B" w14:textId="77777777" w:rsidTr="001B330E">
        <w:trPr>
          <w:trHeight w:val="23"/>
        </w:trPr>
        <w:tc>
          <w:tcPr>
            <w:tcW w:w="1496" w:type="pct"/>
            <w:tcBorders>
              <w:top w:val="single" w:sz="4" w:space="0" w:color="000000"/>
            </w:tcBorders>
            <w:vAlign w:val="bottom"/>
          </w:tcPr>
          <w:p w14:paraId="5E1F18D0"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84" w:type="pct"/>
            <w:tcBorders>
              <w:top w:val="single" w:sz="4" w:space="0" w:color="000000"/>
            </w:tcBorders>
            <w:vAlign w:val="bottom"/>
          </w:tcPr>
          <w:p w14:paraId="6A07C51E"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4721FCC5"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7DEAE87B"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37E5AB7F"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00F107E0"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39C7BC98"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441ECD7A" w14:textId="77777777" w:rsidTr="001B330E">
        <w:trPr>
          <w:trHeight w:val="23"/>
        </w:trPr>
        <w:tc>
          <w:tcPr>
            <w:tcW w:w="1496" w:type="pct"/>
            <w:vAlign w:val="bottom"/>
          </w:tcPr>
          <w:p w14:paraId="59206E9A" w14:textId="6A6CDF6B"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Net interest sensitivity gap at 31</w:t>
            </w:r>
            <w:r w:rsidR="00181687">
              <w:rPr>
                <w:b/>
                <w:color w:val="000000"/>
              </w:rPr>
              <w:t> December </w:t>
            </w:r>
            <w:r w:rsidR="00541EBC">
              <w:rPr>
                <w:b/>
                <w:color w:val="000000"/>
              </w:rPr>
              <w:t>2024</w:t>
            </w:r>
          </w:p>
        </w:tc>
        <w:tc>
          <w:tcPr>
            <w:tcW w:w="584" w:type="pct"/>
            <w:vAlign w:val="bottom"/>
          </w:tcPr>
          <w:p w14:paraId="4C3FE2F6"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49F2C91D"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021A3DE6"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43C5444C"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01D9E3BE"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1F02A91F"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1FF9F70A" w14:textId="77777777" w:rsidTr="001B330E">
        <w:trPr>
          <w:trHeight w:val="23"/>
        </w:trPr>
        <w:tc>
          <w:tcPr>
            <w:tcW w:w="1496" w:type="pct"/>
            <w:tcBorders>
              <w:bottom w:val="single" w:sz="12" w:space="0" w:color="000000"/>
            </w:tcBorders>
            <w:shd w:val="clear" w:color="auto" w:fill="auto"/>
            <w:vAlign w:val="bottom"/>
          </w:tcPr>
          <w:p w14:paraId="6CBD892D"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84" w:type="pct"/>
            <w:tcBorders>
              <w:bottom w:val="single" w:sz="12" w:space="0" w:color="000000"/>
            </w:tcBorders>
            <w:shd w:val="clear" w:color="auto" w:fill="auto"/>
            <w:vAlign w:val="bottom"/>
          </w:tcPr>
          <w:p w14:paraId="3E44649B"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60D45F74"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4E5EDA7A"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27F06565"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4C6E9CD2"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4A8308EB"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6669BE7C" w14:textId="77777777" w:rsidTr="001B330E">
        <w:trPr>
          <w:trHeight w:val="23"/>
        </w:trPr>
        <w:tc>
          <w:tcPr>
            <w:tcW w:w="1496" w:type="pct"/>
            <w:tcBorders>
              <w:top w:val="single" w:sz="12" w:space="0" w:color="000000"/>
            </w:tcBorders>
            <w:vAlign w:val="bottom"/>
          </w:tcPr>
          <w:p w14:paraId="5387020A"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84" w:type="pct"/>
            <w:tcBorders>
              <w:top w:val="single" w:sz="12" w:space="0" w:color="000000"/>
            </w:tcBorders>
            <w:vAlign w:val="bottom"/>
          </w:tcPr>
          <w:p w14:paraId="7D661771"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12" w:space="0" w:color="000000"/>
            </w:tcBorders>
            <w:vAlign w:val="bottom"/>
          </w:tcPr>
          <w:p w14:paraId="509E33C6"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12" w:space="0" w:color="000000"/>
            </w:tcBorders>
            <w:vAlign w:val="bottom"/>
          </w:tcPr>
          <w:p w14:paraId="60351828"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12" w:space="0" w:color="000000"/>
            </w:tcBorders>
            <w:vAlign w:val="bottom"/>
          </w:tcPr>
          <w:p w14:paraId="6FEC9F94"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12" w:space="0" w:color="000000"/>
            </w:tcBorders>
            <w:vAlign w:val="bottom"/>
          </w:tcPr>
          <w:p w14:paraId="63B2E3EE"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12" w:space="0" w:color="000000"/>
            </w:tcBorders>
            <w:vAlign w:val="bottom"/>
          </w:tcPr>
          <w:p w14:paraId="60DF0257"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68DDFC1D" w14:textId="77777777" w:rsidTr="001B330E">
        <w:trPr>
          <w:trHeight w:val="23"/>
        </w:trPr>
        <w:tc>
          <w:tcPr>
            <w:tcW w:w="1496" w:type="pct"/>
            <w:vAlign w:val="bottom"/>
          </w:tcPr>
          <w:p w14:paraId="01BD970F" w14:textId="6DC3F30B"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31</w:t>
            </w:r>
            <w:r w:rsidR="00181687">
              <w:rPr>
                <w:b/>
                <w:color w:val="000000"/>
              </w:rPr>
              <w:t> December </w:t>
            </w:r>
            <w:r w:rsidR="00541EBC">
              <w:rPr>
                <w:b/>
                <w:color w:val="000000"/>
              </w:rPr>
              <w:t>2023</w:t>
            </w:r>
          </w:p>
        </w:tc>
        <w:tc>
          <w:tcPr>
            <w:tcW w:w="584" w:type="pct"/>
            <w:vAlign w:val="bottom"/>
          </w:tcPr>
          <w:p w14:paraId="6158BF2A"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24AA8840"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3D39CF80"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6DDA2994"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657A08ED"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15B5572C"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05F1B036" w14:textId="77777777" w:rsidTr="001B330E">
        <w:trPr>
          <w:trHeight w:val="23"/>
        </w:trPr>
        <w:tc>
          <w:tcPr>
            <w:tcW w:w="1496" w:type="pct"/>
            <w:vAlign w:val="bottom"/>
          </w:tcPr>
          <w:p w14:paraId="271DC92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Total financial assets</w:t>
            </w:r>
          </w:p>
        </w:tc>
        <w:tc>
          <w:tcPr>
            <w:tcW w:w="584" w:type="pct"/>
            <w:vAlign w:val="bottom"/>
          </w:tcPr>
          <w:p w14:paraId="3CBB27ED"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72F77680"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1A8A10AD"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3DAE8035"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6A795668"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4BF4B5DD"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0ED536FB" w14:textId="77777777" w:rsidTr="001B330E">
        <w:trPr>
          <w:trHeight w:val="23"/>
        </w:trPr>
        <w:tc>
          <w:tcPr>
            <w:tcW w:w="1496" w:type="pct"/>
            <w:vAlign w:val="bottom"/>
          </w:tcPr>
          <w:p w14:paraId="2401C1B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Total financial liabilities</w:t>
            </w:r>
          </w:p>
        </w:tc>
        <w:tc>
          <w:tcPr>
            <w:tcW w:w="584" w:type="pct"/>
            <w:vAlign w:val="bottom"/>
          </w:tcPr>
          <w:p w14:paraId="72704E02"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596D9118"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5B6434FC"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2E519DA3"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0C1933E2"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3DE82B62"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50E7B045" w14:textId="77777777" w:rsidTr="001B330E">
        <w:trPr>
          <w:trHeight w:val="23"/>
        </w:trPr>
        <w:tc>
          <w:tcPr>
            <w:tcW w:w="1496" w:type="pct"/>
            <w:tcBorders>
              <w:bottom w:val="single" w:sz="4" w:space="0" w:color="000000"/>
            </w:tcBorders>
            <w:shd w:val="clear" w:color="auto" w:fill="auto"/>
            <w:vAlign w:val="bottom"/>
          </w:tcPr>
          <w:p w14:paraId="24AAEFA3"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84" w:type="pct"/>
            <w:tcBorders>
              <w:bottom w:val="single" w:sz="4" w:space="0" w:color="000000"/>
            </w:tcBorders>
            <w:shd w:val="clear" w:color="auto" w:fill="auto"/>
            <w:vAlign w:val="bottom"/>
          </w:tcPr>
          <w:p w14:paraId="4CB7F962"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shd w:val="clear" w:color="auto" w:fill="auto"/>
            <w:vAlign w:val="bottom"/>
          </w:tcPr>
          <w:p w14:paraId="48E71525"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shd w:val="clear" w:color="auto" w:fill="auto"/>
            <w:vAlign w:val="bottom"/>
          </w:tcPr>
          <w:p w14:paraId="6422FF89"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shd w:val="clear" w:color="auto" w:fill="auto"/>
            <w:vAlign w:val="bottom"/>
          </w:tcPr>
          <w:p w14:paraId="2DB21578"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shd w:val="clear" w:color="auto" w:fill="auto"/>
            <w:vAlign w:val="bottom"/>
          </w:tcPr>
          <w:p w14:paraId="23EE693F"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4" w:space="0" w:color="000000"/>
            </w:tcBorders>
            <w:shd w:val="clear" w:color="auto" w:fill="auto"/>
            <w:vAlign w:val="bottom"/>
          </w:tcPr>
          <w:p w14:paraId="0C4868C3"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2B780A49" w14:textId="77777777" w:rsidTr="001B330E">
        <w:trPr>
          <w:trHeight w:val="23"/>
        </w:trPr>
        <w:tc>
          <w:tcPr>
            <w:tcW w:w="1496" w:type="pct"/>
            <w:tcBorders>
              <w:top w:val="single" w:sz="4" w:space="0" w:color="000000"/>
            </w:tcBorders>
            <w:vAlign w:val="bottom"/>
          </w:tcPr>
          <w:p w14:paraId="63622014"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84" w:type="pct"/>
            <w:tcBorders>
              <w:top w:val="single" w:sz="4" w:space="0" w:color="000000"/>
            </w:tcBorders>
            <w:vAlign w:val="bottom"/>
          </w:tcPr>
          <w:p w14:paraId="46759760"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283D1E3C"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4BBDADE7"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46C5430C"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18A9EBD1"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top w:val="single" w:sz="4" w:space="0" w:color="000000"/>
            </w:tcBorders>
            <w:vAlign w:val="bottom"/>
          </w:tcPr>
          <w:p w14:paraId="49C87D34"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1DBF349C" w14:textId="77777777" w:rsidTr="001B330E">
        <w:trPr>
          <w:trHeight w:val="23"/>
        </w:trPr>
        <w:tc>
          <w:tcPr>
            <w:tcW w:w="1496" w:type="pct"/>
            <w:vAlign w:val="bottom"/>
          </w:tcPr>
          <w:p w14:paraId="372F568E" w14:textId="114FF1C6"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Net interest sensitivity gap at 31</w:t>
            </w:r>
            <w:r w:rsidR="00181687">
              <w:rPr>
                <w:b/>
                <w:color w:val="000000"/>
              </w:rPr>
              <w:t> December </w:t>
            </w:r>
            <w:r w:rsidR="00541EBC">
              <w:rPr>
                <w:b/>
                <w:color w:val="000000"/>
              </w:rPr>
              <w:t>2023</w:t>
            </w:r>
          </w:p>
        </w:tc>
        <w:tc>
          <w:tcPr>
            <w:tcW w:w="584" w:type="pct"/>
            <w:vAlign w:val="bottom"/>
          </w:tcPr>
          <w:p w14:paraId="2E185CBB"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77AA2EEC"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56D70E64"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134FF982"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7E23A845"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vAlign w:val="bottom"/>
          </w:tcPr>
          <w:p w14:paraId="38FB5A2D" w14:textId="77777777" w:rsidR="00D83E33" w:rsidRPr="00EA10CF" w:rsidRDefault="00D83E33" w:rsidP="001B330E">
            <w:pPr>
              <w:widowControl w:val="0"/>
              <w:pBdr>
                <w:top w:val="nil"/>
                <w:left w:val="nil"/>
                <w:bottom w:val="nil"/>
                <w:right w:val="nil"/>
                <w:between w:val="nil"/>
              </w:pBdr>
              <w:ind w:hanging="85"/>
              <w:rPr>
                <w:b/>
                <w:color w:val="000000"/>
              </w:rPr>
            </w:pPr>
          </w:p>
        </w:tc>
      </w:tr>
      <w:tr w:rsidR="00D83E33" w:rsidRPr="00EA10CF" w14:paraId="3C1E66D6" w14:textId="77777777" w:rsidTr="001B330E">
        <w:trPr>
          <w:trHeight w:val="23"/>
        </w:trPr>
        <w:tc>
          <w:tcPr>
            <w:tcW w:w="1496" w:type="pct"/>
            <w:tcBorders>
              <w:bottom w:val="single" w:sz="12" w:space="0" w:color="000000"/>
            </w:tcBorders>
            <w:shd w:val="clear" w:color="auto" w:fill="auto"/>
            <w:vAlign w:val="bottom"/>
          </w:tcPr>
          <w:p w14:paraId="4B520A5B"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84" w:type="pct"/>
            <w:tcBorders>
              <w:bottom w:val="single" w:sz="12" w:space="0" w:color="000000"/>
            </w:tcBorders>
            <w:shd w:val="clear" w:color="auto" w:fill="auto"/>
            <w:vAlign w:val="bottom"/>
          </w:tcPr>
          <w:p w14:paraId="25641C0D"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0C94F425"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4966E59D"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0B839E64"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53601A73" w14:textId="77777777" w:rsidR="00D83E33" w:rsidRPr="00EA10CF" w:rsidRDefault="00D83E33" w:rsidP="001B330E">
            <w:pPr>
              <w:widowControl w:val="0"/>
              <w:pBdr>
                <w:top w:val="nil"/>
                <w:left w:val="nil"/>
                <w:bottom w:val="nil"/>
                <w:right w:val="nil"/>
                <w:between w:val="nil"/>
              </w:pBdr>
              <w:ind w:hanging="85"/>
              <w:rPr>
                <w:b/>
                <w:color w:val="000000"/>
              </w:rPr>
            </w:pPr>
          </w:p>
        </w:tc>
        <w:tc>
          <w:tcPr>
            <w:tcW w:w="584" w:type="pct"/>
            <w:tcBorders>
              <w:bottom w:val="single" w:sz="12" w:space="0" w:color="000000"/>
            </w:tcBorders>
            <w:shd w:val="clear" w:color="auto" w:fill="auto"/>
            <w:vAlign w:val="bottom"/>
          </w:tcPr>
          <w:p w14:paraId="28E3897E" w14:textId="77777777" w:rsidR="00D83E33" w:rsidRPr="00EA10CF" w:rsidRDefault="00D83E33" w:rsidP="001B330E">
            <w:pPr>
              <w:widowControl w:val="0"/>
              <w:pBdr>
                <w:top w:val="nil"/>
                <w:left w:val="nil"/>
                <w:bottom w:val="nil"/>
                <w:right w:val="nil"/>
                <w:between w:val="nil"/>
              </w:pBdr>
              <w:ind w:hanging="85"/>
              <w:rPr>
                <w:b/>
                <w:color w:val="000000"/>
              </w:rPr>
            </w:pPr>
          </w:p>
        </w:tc>
      </w:tr>
    </w:tbl>
    <w:p w14:paraId="755C0531" w14:textId="42FAE74F" w:rsidR="00D83E33" w:rsidRDefault="00BC4072">
      <w:pPr>
        <w:pBdr>
          <w:top w:val="nil"/>
          <w:left w:val="nil"/>
          <w:bottom w:val="nil"/>
          <w:right w:val="nil"/>
          <w:between w:val="nil"/>
        </w:pBdr>
        <w:spacing w:before="200" w:after="200"/>
        <w:jc w:val="both"/>
        <w:rPr>
          <w:color w:val="0000FF"/>
          <w:sz w:val="20"/>
          <w:szCs w:val="20"/>
        </w:rPr>
      </w:pPr>
      <w:r>
        <w:rPr>
          <w:color w:val="000000"/>
          <w:sz w:val="20"/>
          <w:szCs w:val="20"/>
        </w:rPr>
        <w:t xml:space="preserve">All of the Group’s debt instruments reprice within 5 years </w:t>
      </w:r>
      <w:r>
        <w:rPr>
          <w:color w:val="0000FF"/>
          <w:sz w:val="20"/>
          <w:szCs w:val="20"/>
        </w:rPr>
        <w:t xml:space="preserve">[except fixed interest rate bonds of </w:t>
      </w:r>
      <w:r w:rsidR="00D73799">
        <w:rPr>
          <w:color w:val="0000FF"/>
          <w:sz w:val="20"/>
          <w:szCs w:val="20"/>
        </w:rPr>
        <w:t>EUR</w:t>
      </w:r>
      <w:r>
        <w:rPr>
          <w:color w:val="0000FF"/>
          <w:sz w:val="20"/>
          <w:szCs w:val="20"/>
        </w:rPr>
        <w:t xml:space="preserve"> ____ thousand, which mature in ____ ] </w:t>
      </w:r>
      <w:r>
        <w:rPr>
          <w:color w:val="000000"/>
          <w:sz w:val="20"/>
          <w:szCs w:val="20"/>
        </w:rPr>
        <w:t>(</w:t>
      </w:r>
      <w:r w:rsidR="00541EBC">
        <w:rPr>
          <w:color w:val="000000"/>
          <w:sz w:val="20"/>
          <w:szCs w:val="20"/>
        </w:rPr>
        <w:t>2023</w:t>
      </w:r>
      <w:r>
        <w:rPr>
          <w:color w:val="000000"/>
          <w:sz w:val="20"/>
          <w:szCs w:val="20"/>
        </w:rPr>
        <w:t xml:space="preserve">: all reprice within 5 years </w:t>
      </w:r>
      <w:r>
        <w:rPr>
          <w:color w:val="0000FF"/>
          <w:sz w:val="20"/>
          <w:szCs w:val="20"/>
        </w:rPr>
        <w:t xml:space="preserve">[except fixed interest rate bonds of </w:t>
      </w:r>
      <w:r w:rsidR="00D73799">
        <w:rPr>
          <w:color w:val="0000FF"/>
          <w:sz w:val="20"/>
          <w:szCs w:val="20"/>
        </w:rPr>
        <w:t>EUR</w:t>
      </w:r>
      <w:r>
        <w:rPr>
          <w:color w:val="0000FF"/>
          <w:sz w:val="20"/>
          <w:szCs w:val="20"/>
        </w:rPr>
        <w:t xml:space="preserve"> ____ thousand, which mature in ____ ]).</w:t>
      </w:r>
    </w:p>
    <w:p w14:paraId="664026C1" w14:textId="129E6A5A" w:rsidR="00D83E33" w:rsidRDefault="00BC4072">
      <w:pPr>
        <w:pBdr>
          <w:top w:val="nil"/>
          <w:left w:val="nil"/>
          <w:bottom w:val="nil"/>
          <w:right w:val="nil"/>
          <w:between w:val="nil"/>
        </w:pBdr>
        <w:spacing w:before="200" w:after="200"/>
        <w:jc w:val="both"/>
        <w:rPr>
          <w:i/>
          <w:color w:val="FF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if interest rates at that date had been 200 basis points lower (</w:t>
      </w:r>
      <w:r w:rsidR="00541EBC">
        <w:rPr>
          <w:color w:val="000000"/>
          <w:sz w:val="20"/>
          <w:szCs w:val="20"/>
        </w:rPr>
        <w:t>2023</w:t>
      </w:r>
      <w:r>
        <w:rPr>
          <w:color w:val="000000"/>
          <w:sz w:val="20"/>
          <w:szCs w:val="20"/>
        </w:rPr>
        <w:t xml:space="preserve">: [200] basis points lower) with all other variables held constant, profit for the year would have been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higher, mainly as a result of lower interest expense on variable interest liabilities </w:t>
      </w:r>
      <w:r>
        <w:rPr>
          <w:color w:val="0000FF"/>
          <w:sz w:val="20"/>
          <w:szCs w:val="20"/>
        </w:rPr>
        <w:t>[and higher fair value of debt trading and other securities at fair value through profit or loss]</w:t>
      </w:r>
      <w:r>
        <w:rPr>
          <w:color w:val="000000"/>
          <w:sz w:val="20"/>
          <w:szCs w:val="20"/>
        </w:rPr>
        <w:t xml:space="preserve">. Other components of equity would have been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higher, </w:t>
      </w:r>
      <w:r>
        <w:rPr>
          <w:color w:val="0000FF"/>
          <w:sz w:val="20"/>
          <w:szCs w:val="20"/>
        </w:rPr>
        <w:t>[mainly]</w:t>
      </w:r>
      <w:r>
        <w:rPr>
          <w:color w:val="000000"/>
          <w:sz w:val="20"/>
          <w:szCs w:val="20"/>
        </w:rPr>
        <w:t xml:space="preserve"> as a result of an increase in the fair value of fixed rate financial assets at fair value through other comprehensive income. </w:t>
      </w:r>
      <w:r>
        <w:rPr>
          <w:i/>
          <w:color w:val="FF0000"/>
          <w:sz w:val="20"/>
          <w:szCs w:val="20"/>
        </w:rPr>
        <w:t>[Disclose also assumptions made in calculating the sensitivities.]</w:t>
      </w:r>
    </w:p>
    <w:p w14:paraId="461BA0FD" w14:textId="6262BFE2" w:rsidR="00D83E33" w:rsidRDefault="00BC4072">
      <w:pPr>
        <w:pBdr>
          <w:top w:val="nil"/>
          <w:left w:val="nil"/>
          <w:bottom w:val="nil"/>
          <w:right w:val="nil"/>
          <w:between w:val="nil"/>
        </w:pBdr>
        <w:spacing w:before="200" w:after="200"/>
        <w:jc w:val="both"/>
        <w:rPr>
          <w:i/>
          <w:color w:val="FF0000"/>
          <w:sz w:val="20"/>
          <w:szCs w:val="20"/>
        </w:rPr>
      </w:pPr>
      <w:r>
        <w:rPr>
          <w:color w:val="000000"/>
          <w:sz w:val="20"/>
          <w:szCs w:val="20"/>
        </w:rPr>
        <w:t>If interest rates had been 200 basis points higher (</w:t>
      </w:r>
      <w:r w:rsidR="00541EBC">
        <w:rPr>
          <w:color w:val="000000"/>
          <w:sz w:val="20"/>
          <w:szCs w:val="20"/>
        </w:rPr>
        <w:t>2023</w:t>
      </w:r>
      <w:r>
        <w:rPr>
          <w:color w:val="000000"/>
          <w:sz w:val="20"/>
          <w:szCs w:val="20"/>
        </w:rPr>
        <w:t xml:space="preserve">: [200] basis points higher), with all other variables held constant, profit would have been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lower, mainly as a result of higher interest expense on variable interest liabilities </w:t>
      </w:r>
      <w:r>
        <w:rPr>
          <w:color w:val="0000FF"/>
          <w:sz w:val="20"/>
          <w:szCs w:val="20"/>
        </w:rPr>
        <w:t>[and lower fair value of debt trading and other securities at fair value through profit or loss].</w:t>
      </w:r>
      <w:r>
        <w:rPr>
          <w:color w:val="000000"/>
          <w:sz w:val="20"/>
          <w:szCs w:val="20"/>
        </w:rPr>
        <w:t xml:space="preserve"> Other components of equity would have been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lower, </w:t>
      </w:r>
      <w:r>
        <w:rPr>
          <w:color w:val="0000FF"/>
          <w:sz w:val="20"/>
          <w:szCs w:val="20"/>
        </w:rPr>
        <w:t xml:space="preserve">[mainly] </w:t>
      </w:r>
      <w:r>
        <w:rPr>
          <w:color w:val="000000"/>
          <w:sz w:val="20"/>
          <w:szCs w:val="20"/>
        </w:rPr>
        <w:t xml:space="preserve">as a result of a decrease in the fair value of fixed rate financial assets at far value through other comprehensive income. </w:t>
      </w:r>
      <w:r>
        <w:rPr>
          <w:i/>
          <w:color w:val="FF0000"/>
          <w:sz w:val="20"/>
          <w:szCs w:val="20"/>
        </w:rPr>
        <w:t>[Disclose also assumptions made in calculating the sensitivities.]</w:t>
      </w:r>
    </w:p>
    <w:p w14:paraId="589ED46D" w14:textId="4FF61DFD" w:rsidR="00D83E33" w:rsidRDefault="00BC4072" w:rsidP="001B330E">
      <w:pPr>
        <w:pBdr>
          <w:top w:val="nil"/>
          <w:left w:val="nil"/>
          <w:bottom w:val="nil"/>
          <w:right w:val="nil"/>
          <w:between w:val="nil"/>
        </w:pBdr>
        <w:spacing w:before="200" w:after="200"/>
        <w:jc w:val="both"/>
        <w:rPr>
          <w:color w:val="0000FF"/>
          <w:sz w:val="20"/>
          <w:szCs w:val="20"/>
        </w:rPr>
      </w:pPr>
      <w:r>
        <w:rPr>
          <w:color w:val="0000FF"/>
          <w:sz w:val="20"/>
          <w:szCs w:val="20"/>
        </w:rPr>
        <w:t xml:space="preserve">[The Group’s exposure to interest rate risk at the end of the reporting period is not representative of the typical exposure during the year. For the average exposure during </w:t>
      </w:r>
      <w:r w:rsidR="00541EBC">
        <w:rPr>
          <w:color w:val="0000FF"/>
          <w:sz w:val="20"/>
          <w:szCs w:val="20"/>
        </w:rPr>
        <w:t>2024</w:t>
      </w:r>
      <w:r>
        <w:rPr>
          <w:color w:val="0000FF"/>
          <w:sz w:val="20"/>
          <w:szCs w:val="20"/>
        </w:rPr>
        <w:t>, if interest rates had been 200 basis points lower (</w:t>
      </w:r>
      <w:r w:rsidR="00541EBC">
        <w:rPr>
          <w:color w:val="0000FF"/>
          <w:sz w:val="20"/>
          <w:szCs w:val="20"/>
        </w:rPr>
        <w:t>2023</w:t>
      </w:r>
      <w:r>
        <w:rPr>
          <w:color w:val="0000FF"/>
          <w:sz w:val="20"/>
          <w:szCs w:val="20"/>
        </w:rPr>
        <w:t xml:space="preserve">: [200] basis points lower) with all other variables held constant, profit for the year would have been </w:t>
      </w:r>
      <w:r w:rsidR="00D73799">
        <w:rPr>
          <w:color w:val="0000FF"/>
          <w:sz w:val="20"/>
          <w:szCs w:val="20"/>
        </w:rPr>
        <w:t>EUR</w:t>
      </w:r>
      <w:r>
        <w:rPr>
          <w:color w:val="0000FF"/>
          <w:sz w:val="20"/>
          <w:szCs w:val="20"/>
        </w:rPr>
        <w:t xml:space="preserve"> ____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 thousand) higher, [mainly] as a result of lower interest expense on variable interest liabilities [and higher fair value of debt trading and other securities at fair value through profit or loss]. Other components of equity would have been </w:t>
      </w:r>
      <w:r w:rsidR="00D73799">
        <w:rPr>
          <w:color w:val="0000FF"/>
          <w:sz w:val="20"/>
          <w:szCs w:val="20"/>
        </w:rPr>
        <w:t>EUR</w:t>
      </w:r>
      <w:r>
        <w:rPr>
          <w:color w:val="0000FF"/>
          <w:sz w:val="20"/>
          <w:szCs w:val="20"/>
        </w:rPr>
        <w:t xml:space="preserve"> ____ thousand</w:t>
      </w:r>
      <w:r w:rsidR="00181687">
        <w:rPr>
          <w:color w:val="0000FF"/>
          <w:sz w:val="20"/>
          <w:szCs w:val="20"/>
        </w:rPr>
        <w:t xml:space="preserve"> </w:t>
      </w:r>
      <w:r>
        <w:rPr>
          <w:color w:val="0000FF"/>
          <w:sz w:val="20"/>
          <w:szCs w:val="20"/>
        </w:rPr>
        <w:t>(</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 thousand) higher, [mainly] as a result of an increase in the fair value of fixed rate financial assets at fair value through other comprehensive income. </w:t>
      </w:r>
    </w:p>
    <w:p w14:paraId="27865DF7" w14:textId="77777777" w:rsidR="009A397A" w:rsidRDefault="009A397A">
      <w:pPr>
        <w:pStyle w:val="Continued"/>
      </w:pPr>
      <w:r>
        <w:lastRenderedPageBreak/>
        <w:t>41</w:t>
      </w:r>
      <w:r>
        <w:tab/>
      </w:r>
      <w:r w:rsidRPr="009A397A">
        <w:t>Financial</w:t>
      </w:r>
      <w:r>
        <w:t xml:space="preserve"> Risk Management (Continued)</w:t>
      </w:r>
    </w:p>
    <w:p w14:paraId="604842A5" w14:textId="12069F6A" w:rsidR="00D83E33" w:rsidRDefault="00BC4072" w:rsidP="001B330E">
      <w:pPr>
        <w:pBdr>
          <w:top w:val="nil"/>
          <w:left w:val="nil"/>
          <w:bottom w:val="nil"/>
          <w:right w:val="nil"/>
          <w:between w:val="nil"/>
        </w:pBdr>
        <w:spacing w:before="200" w:after="200"/>
        <w:jc w:val="both"/>
        <w:rPr>
          <w:color w:val="FF0000"/>
          <w:sz w:val="20"/>
          <w:szCs w:val="20"/>
        </w:rPr>
      </w:pPr>
      <w:r>
        <w:rPr>
          <w:color w:val="0000FF"/>
          <w:sz w:val="20"/>
          <w:szCs w:val="20"/>
        </w:rPr>
        <w:t xml:space="preserve">For the average exposure during </w:t>
      </w:r>
      <w:r w:rsidR="00541EBC">
        <w:rPr>
          <w:color w:val="0000FF"/>
          <w:sz w:val="20"/>
          <w:szCs w:val="20"/>
        </w:rPr>
        <w:t>2024</w:t>
      </w:r>
      <w:r>
        <w:rPr>
          <w:color w:val="0000FF"/>
          <w:sz w:val="20"/>
          <w:szCs w:val="20"/>
        </w:rPr>
        <w:t>, if interest rates had been 200 basis points higher (</w:t>
      </w:r>
      <w:r w:rsidR="00541EBC">
        <w:rPr>
          <w:color w:val="0000FF"/>
          <w:sz w:val="20"/>
          <w:szCs w:val="20"/>
        </w:rPr>
        <w:t>2023</w:t>
      </w:r>
      <w:r>
        <w:rPr>
          <w:color w:val="0000FF"/>
          <w:sz w:val="20"/>
          <w:szCs w:val="20"/>
        </w:rPr>
        <w:t xml:space="preserve">: [200] basis points higher), with all other variables held constant, profit would have been </w:t>
      </w:r>
      <w:r w:rsidR="00D73799">
        <w:rPr>
          <w:color w:val="0000FF"/>
          <w:sz w:val="20"/>
          <w:szCs w:val="20"/>
        </w:rPr>
        <w:t>EUR</w:t>
      </w:r>
      <w:r>
        <w:rPr>
          <w:color w:val="0000FF"/>
          <w:sz w:val="20"/>
          <w:szCs w:val="20"/>
        </w:rPr>
        <w:t xml:space="preserve"> ____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 thousand) lower, [mainly] as a result of higher interest expense on variable interest liabilities [and lower fair value of debt trading and other securities at fair value through profit or loss]. Other components of equity would have been </w:t>
      </w:r>
      <w:r w:rsidR="00D73799">
        <w:rPr>
          <w:color w:val="0000FF"/>
          <w:sz w:val="20"/>
          <w:szCs w:val="20"/>
        </w:rPr>
        <w:t>EUR</w:t>
      </w:r>
      <w:r>
        <w:rPr>
          <w:color w:val="0000FF"/>
          <w:sz w:val="20"/>
          <w:szCs w:val="20"/>
        </w:rPr>
        <w:t xml:space="preserve"> ____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 thousand) lower, [mainly] as a result of a decrease in the fair value of fixed rate financial assets at fair value through other comprehensive income.] </w:t>
      </w:r>
    </w:p>
    <w:p w14:paraId="4F31A71B" w14:textId="77777777" w:rsidR="00D83E33" w:rsidRDefault="00BC4072" w:rsidP="001B330E">
      <w:pPr>
        <w:pBdr>
          <w:top w:val="nil"/>
          <w:left w:val="nil"/>
          <w:bottom w:val="nil"/>
          <w:right w:val="nil"/>
          <w:between w:val="nil"/>
        </w:pBdr>
        <w:spacing w:before="200" w:after="200"/>
        <w:jc w:val="both"/>
        <w:rPr>
          <w:color w:val="000000"/>
          <w:sz w:val="20"/>
          <w:szCs w:val="20"/>
        </w:rPr>
      </w:pPr>
      <w:r>
        <w:rPr>
          <w:color w:val="000000"/>
          <w:sz w:val="20"/>
          <w:szCs w:val="20"/>
        </w:rPr>
        <w:t>The Group monitors interest rates for its financial instruments. The table below summarises interest rates at the respective reporting date based on reports reviewed by key management personnel. For securities, the interest rates represent yields to maturity based on market quotations at the reporting date:</w:t>
      </w:r>
    </w:p>
    <w:tbl>
      <w:tblPr>
        <w:tblStyle w:val="affffffffffffff4"/>
        <w:tblW w:w="5000" w:type="pct"/>
        <w:tblCellMar>
          <w:left w:w="113" w:type="dxa"/>
          <w:right w:w="113" w:type="dxa"/>
        </w:tblCellMar>
        <w:tblLook w:val="0000" w:firstRow="0" w:lastRow="0" w:firstColumn="0" w:lastColumn="0" w:noHBand="0" w:noVBand="0"/>
      </w:tblPr>
      <w:tblGrid>
        <w:gridCol w:w="2880"/>
        <w:gridCol w:w="866"/>
        <w:gridCol w:w="670"/>
        <w:gridCol w:w="1007"/>
        <w:gridCol w:w="707"/>
        <w:gridCol w:w="866"/>
        <w:gridCol w:w="645"/>
        <w:gridCol w:w="1007"/>
        <w:gridCol w:w="707"/>
      </w:tblGrid>
      <w:tr w:rsidR="009A397A" w:rsidRPr="009A397A" w14:paraId="4F4F6D8A" w14:textId="77777777" w:rsidTr="00372E26">
        <w:trPr>
          <w:trHeight w:val="23"/>
        </w:trPr>
        <w:tc>
          <w:tcPr>
            <w:tcW w:w="1539" w:type="pct"/>
            <w:vMerge w:val="restart"/>
            <w:vAlign w:val="bottom"/>
          </w:tcPr>
          <w:p w14:paraId="3EE4979E" w14:textId="77777777" w:rsidR="009A397A" w:rsidRPr="009A397A" w:rsidRDefault="009A397A" w:rsidP="001B330E">
            <w:pPr>
              <w:widowControl w:val="0"/>
              <w:pBdr>
                <w:top w:val="nil"/>
                <w:left w:val="nil"/>
                <w:bottom w:val="nil"/>
                <w:right w:val="nil"/>
                <w:between w:val="nil"/>
              </w:pBdr>
              <w:ind w:left="113" w:hanging="113"/>
              <w:rPr>
                <w:b/>
                <w:i/>
                <w:color w:val="000000"/>
              </w:rPr>
            </w:pPr>
            <w:r w:rsidRPr="009A397A">
              <w:rPr>
                <w:i/>
                <w:color w:val="000000"/>
              </w:rPr>
              <w:t>In % p.a.</w:t>
            </w:r>
          </w:p>
        </w:tc>
        <w:tc>
          <w:tcPr>
            <w:tcW w:w="1737" w:type="pct"/>
            <w:gridSpan w:val="4"/>
            <w:tcBorders>
              <w:bottom w:val="single" w:sz="4" w:space="0" w:color="000000"/>
            </w:tcBorders>
          </w:tcPr>
          <w:p w14:paraId="629955F3" w14:textId="24514C62" w:rsidR="009A397A" w:rsidRPr="009A397A" w:rsidRDefault="00541EBC" w:rsidP="001B330E">
            <w:pPr>
              <w:widowControl w:val="0"/>
              <w:pBdr>
                <w:top w:val="nil"/>
                <w:left w:val="nil"/>
                <w:bottom w:val="nil"/>
                <w:right w:val="nil"/>
                <w:between w:val="nil"/>
              </w:pBdr>
              <w:jc w:val="center"/>
              <w:rPr>
                <w:b/>
                <w:color w:val="000000"/>
              </w:rPr>
            </w:pPr>
            <w:r>
              <w:rPr>
                <w:b/>
                <w:color w:val="000000"/>
              </w:rPr>
              <w:t>2024</w:t>
            </w:r>
          </w:p>
        </w:tc>
        <w:tc>
          <w:tcPr>
            <w:tcW w:w="1724" w:type="pct"/>
            <w:gridSpan w:val="4"/>
            <w:tcBorders>
              <w:bottom w:val="single" w:sz="4" w:space="0" w:color="000000"/>
            </w:tcBorders>
          </w:tcPr>
          <w:p w14:paraId="5530E1B3" w14:textId="5DEC0B10" w:rsidR="009A397A" w:rsidRPr="009A397A" w:rsidRDefault="00541EBC" w:rsidP="001B330E">
            <w:pPr>
              <w:widowControl w:val="0"/>
              <w:pBdr>
                <w:top w:val="nil"/>
                <w:left w:val="nil"/>
                <w:bottom w:val="nil"/>
                <w:right w:val="nil"/>
                <w:between w:val="nil"/>
              </w:pBdr>
              <w:jc w:val="center"/>
              <w:rPr>
                <w:b/>
                <w:color w:val="000000"/>
              </w:rPr>
            </w:pPr>
            <w:r>
              <w:rPr>
                <w:b/>
                <w:color w:val="000000"/>
              </w:rPr>
              <w:t>2023</w:t>
            </w:r>
          </w:p>
        </w:tc>
      </w:tr>
      <w:tr w:rsidR="009A397A" w:rsidRPr="009A397A" w14:paraId="3AF78AFC" w14:textId="77777777" w:rsidTr="00372E26">
        <w:trPr>
          <w:trHeight w:val="23"/>
        </w:trPr>
        <w:tc>
          <w:tcPr>
            <w:tcW w:w="1539" w:type="pct"/>
            <w:vMerge/>
            <w:vAlign w:val="bottom"/>
          </w:tcPr>
          <w:p w14:paraId="352A14FC" w14:textId="77777777" w:rsidR="009A397A" w:rsidRPr="009A397A" w:rsidRDefault="009A397A" w:rsidP="001B330E">
            <w:pPr>
              <w:widowControl w:val="0"/>
              <w:pBdr>
                <w:top w:val="nil"/>
                <w:left w:val="nil"/>
                <w:bottom w:val="nil"/>
                <w:right w:val="nil"/>
                <w:between w:val="nil"/>
              </w:pBdr>
              <w:ind w:left="113" w:hanging="113"/>
              <w:rPr>
                <w:b/>
                <w:color w:val="000000"/>
              </w:rPr>
            </w:pPr>
          </w:p>
        </w:tc>
        <w:tc>
          <w:tcPr>
            <w:tcW w:w="463" w:type="pct"/>
            <w:tcBorders>
              <w:top w:val="single" w:sz="4" w:space="0" w:color="000000"/>
              <w:bottom w:val="single" w:sz="4" w:space="0" w:color="000000"/>
            </w:tcBorders>
          </w:tcPr>
          <w:p w14:paraId="2A73D6D3" w14:textId="7ED95908" w:rsidR="009A397A" w:rsidRPr="009A397A" w:rsidRDefault="00D73799" w:rsidP="001B330E">
            <w:pPr>
              <w:widowControl w:val="0"/>
              <w:pBdr>
                <w:top w:val="nil"/>
                <w:left w:val="nil"/>
                <w:bottom w:val="nil"/>
                <w:right w:val="nil"/>
                <w:between w:val="nil"/>
              </w:pBdr>
              <w:rPr>
                <w:b/>
                <w:color w:val="000000"/>
              </w:rPr>
            </w:pPr>
            <w:r>
              <w:rPr>
                <w:b/>
                <w:color w:val="000000"/>
              </w:rPr>
              <w:t>EUR</w:t>
            </w:r>
          </w:p>
        </w:tc>
        <w:tc>
          <w:tcPr>
            <w:tcW w:w="358" w:type="pct"/>
            <w:tcBorders>
              <w:top w:val="single" w:sz="4" w:space="0" w:color="000000"/>
              <w:bottom w:val="single" w:sz="4" w:space="0" w:color="000000"/>
            </w:tcBorders>
          </w:tcPr>
          <w:p w14:paraId="390516DF" w14:textId="77777777" w:rsidR="009A397A" w:rsidRPr="009A397A" w:rsidRDefault="009A397A" w:rsidP="001B330E">
            <w:pPr>
              <w:widowControl w:val="0"/>
              <w:pBdr>
                <w:top w:val="nil"/>
                <w:left w:val="nil"/>
                <w:bottom w:val="nil"/>
                <w:right w:val="nil"/>
                <w:between w:val="nil"/>
              </w:pBdr>
              <w:rPr>
                <w:b/>
                <w:color w:val="000000"/>
              </w:rPr>
            </w:pPr>
            <w:r w:rsidRPr="009A397A">
              <w:rPr>
                <w:b/>
                <w:color w:val="000000"/>
              </w:rPr>
              <w:t>USD</w:t>
            </w:r>
          </w:p>
        </w:tc>
        <w:tc>
          <w:tcPr>
            <w:tcW w:w="538" w:type="pct"/>
            <w:tcBorders>
              <w:top w:val="single" w:sz="4" w:space="0" w:color="000000"/>
              <w:bottom w:val="single" w:sz="4" w:space="0" w:color="000000"/>
            </w:tcBorders>
          </w:tcPr>
          <w:p w14:paraId="134B4806" w14:textId="733973CD" w:rsidR="009A397A" w:rsidRPr="009A397A" w:rsidRDefault="00D73799" w:rsidP="001B330E">
            <w:pPr>
              <w:widowControl w:val="0"/>
              <w:pBdr>
                <w:top w:val="nil"/>
                <w:left w:val="nil"/>
                <w:bottom w:val="nil"/>
                <w:right w:val="nil"/>
                <w:between w:val="nil"/>
              </w:pBdr>
              <w:rPr>
                <w:b/>
                <w:color w:val="000000"/>
              </w:rPr>
            </w:pPr>
            <w:r>
              <w:rPr>
                <w:b/>
                <w:color w:val="000000"/>
              </w:rPr>
              <w:t>CZK</w:t>
            </w:r>
          </w:p>
        </w:tc>
        <w:tc>
          <w:tcPr>
            <w:tcW w:w="378" w:type="pct"/>
            <w:tcBorders>
              <w:top w:val="single" w:sz="4" w:space="0" w:color="000000"/>
              <w:bottom w:val="single" w:sz="4" w:space="0" w:color="000000"/>
            </w:tcBorders>
          </w:tcPr>
          <w:p w14:paraId="4A16CDF2" w14:textId="77777777" w:rsidR="009A397A" w:rsidRPr="009A397A" w:rsidRDefault="009A397A" w:rsidP="001B330E">
            <w:pPr>
              <w:widowControl w:val="0"/>
              <w:pBdr>
                <w:top w:val="nil"/>
                <w:left w:val="nil"/>
                <w:bottom w:val="nil"/>
                <w:right w:val="nil"/>
                <w:between w:val="nil"/>
              </w:pBdr>
              <w:rPr>
                <w:b/>
                <w:color w:val="000000"/>
              </w:rPr>
            </w:pPr>
            <w:r w:rsidRPr="009A397A">
              <w:rPr>
                <w:b/>
                <w:color w:val="000000"/>
              </w:rPr>
              <w:t xml:space="preserve">Other </w:t>
            </w:r>
          </w:p>
        </w:tc>
        <w:tc>
          <w:tcPr>
            <w:tcW w:w="463" w:type="pct"/>
            <w:tcBorders>
              <w:top w:val="single" w:sz="4" w:space="0" w:color="000000"/>
              <w:bottom w:val="single" w:sz="4" w:space="0" w:color="000000"/>
            </w:tcBorders>
          </w:tcPr>
          <w:p w14:paraId="381F77DA" w14:textId="7E1C6EE3" w:rsidR="009A397A" w:rsidRPr="009A397A" w:rsidRDefault="00D73799" w:rsidP="001B330E">
            <w:pPr>
              <w:widowControl w:val="0"/>
              <w:pBdr>
                <w:top w:val="nil"/>
                <w:left w:val="nil"/>
                <w:bottom w:val="nil"/>
                <w:right w:val="nil"/>
                <w:between w:val="nil"/>
              </w:pBdr>
              <w:rPr>
                <w:b/>
                <w:color w:val="000000"/>
              </w:rPr>
            </w:pPr>
            <w:r>
              <w:rPr>
                <w:b/>
                <w:color w:val="000000"/>
              </w:rPr>
              <w:t>EUR</w:t>
            </w:r>
          </w:p>
        </w:tc>
        <w:tc>
          <w:tcPr>
            <w:tcW w:w="345" w:type="pct"/>
            <w:tcBorders>
              <w:top w:val="single" w:sz="4" w:space="0" w:color="000000"/>
              <w:bottom w:val="single" w:sz="4" w:space="0" w:color="000000"/>
            </w:tcBorders>
          </w:tcPr>
          <w:p w14:paraId="2A45A523" w14:textId="77777777" w:rsidR="009A397A" w:rsidRPr="009A397A" w:rsidRDefault="009A397A" w:rsidP="001B330E">
            <w:pPr>
              <w:widowControl w:val="0"/>
              <w:pBdr>
                <w:top w:val="nil"/>
                <w:left w:val="nil"/>
                <w:bottom w:val="nil"/>
                <w:right w:val="nil"/>
                <w:between w:val="nil"/>
              </w:pBdr>
              <w:rPr>
                <w:b/>
                <w:color w:val="000000"/>
              </w:rPr>
            </w:pPr>
            <w:r w:rsidRPr="009A397A">
              <w:rPr>
                <w:b/>
                <w:color w:val="000000"/>
              </w:rPr>
              <w:t>USD</w:t>
            </w:r>
          </w:p>
        </w:tc>
        <w:tc>
          <w:tcPr>
            <w:tcW w:w="538" w:type="pct"/>
            <w:tcBorders>
              <w:top w:val="single" w:sz="4" w:space="0" w:color="000000"/>
              <w:bottom w:val="single" w:sz="4" w:space="0" w:color="000000"/>
            </w:tcBorders>
          </w:tcPr>
          <w:p w14:paraId="4CDCF95E" w14:textId="23D6FE91" w:rsidR="009A397A" w:rsidRPr="009A397A" w:rsidRDefault="00D73799" w:rsidP="001B330E">
            <w:pPr>
              <w:widowControl w:val="0"/>
              <w:pBdr>
                <w:top w:val="nil"/>
                <w:left w:val="nil"/>
                <w:bottom w:val="nil"/>
                <w:right w:val="nil"/>
                <w:between w:val="nil"/>
              </w:pBdr>
              <w:rPr>
                <w:b/>
                <w:color w:val="000000"/>
              </w:rPr>
            </w:pPr>
            <w:r>
              <w:rPr>
                <w:b/>
                <w:color w:val="000000"/>
              </w:rPr>
              <w:t>CZK</w:t>
            </w:r>
          </w:p>
        </w:tc>
        <w:tc>
          <w:tcPr>
            <w:tcW w:w="378" w:type="pct"/>
            <w:tcBorders>
              <w:top w:val="single" w:sz="4" w:space="0" w:color="000000"/>
              <w:bottom w:val="single" w:sz="4" w:space="0" w:color="000000"/>
            </w:tcBorders>
          </w:tcPr>
          <w:p w14:paraId="54577A31" w14:textId="77777777" w:rsidR="009A397A" w:rsidRPr="009A397A" w:rsidRDefault="009A397A" w:rsidP="001B330E">
            <w:pPr>
              <w:widowControl w:val="0"/>
              <w:pBdr>
                <w:top w:val="nil"/>
                <w:left w:val="nil"/>
                <w:bottom w:val="nil"/>
                <w:right w:val="nil"/>
                <w:between w:val="nil"/>
              </w:pBdr>
              <w:rPr>
                <w:b/>
                <w:color w:val="000000"/>
              </w:rPr>
            </w:pPr>
            <w:r w:rsidRPr="009A397A">
              <w:rPr>
                <w:b/>
                <w:color w:val="000000"/>
              </w:rPr>
              <w:t xml:space="preserve">Other </w:t>
            </w:r>
          </w:p>
        </w:tc>
      </w:tr>
      <w:tr w:rsidR="009A397A" w:rsidRPr="009A397A" w14:paraId="680C3EC7" w14:textId="77777777" w:rsidTr="00372E26">
        <w:trPr>
          <w:trHeight w:val="23"/>
        </w:trPr>
        <w:tc>
          <w:tcPr>
            <w:tcW w:w="1539" w:type="pct"/>
          </w:tcPr>
          <w:p w14:paraId="459BAF93" w14:textId="77777777" w:rsidR="009A397A" w:rsidRPr="009A397A" w:rsidRDefault="009A397A" w:rsidP="001B330E">
            <w:pPr>
              <w:widowControl w:val="0"/>
              <w:ind w:left="113" w:hanging="113"/>
              <w:rPr>
                <w:b/>
              </w:rPr>
            </w:pPr>
          </w:p>
        </w:tc>
        <w:tc>
          <w:tcPr>
            <w:tcW w:w="463" w:type="pct"/>
            <w:vAlign w:val="bottom"/>
          </w:tcPr>
          <w:p w14:paraId="00AB85EE"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4F3DA1AC"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0A7035C1"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0DCAEC22"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4BF31198"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46F6D5C6"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0673F9CE"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2A430464"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4F444A27" w14:textId="77777777" w:rsidTr="00372E26">
        <w:trPr>
          <w:trHeight w:val="23"/>
        </w:trPr>
        <w:tc>
          <w:tcPr>
            <w:tcW w:w="1539" w:type="pct"/>
          </w:tcPr>
          <w:p w14:paraId="38D138F4" w14:textId="77777777" w:rsidR="009A397A" w:rsidRPr="009A397A" w:rsidRDefault="009A397A" w:rsidP="001B330E">
            <w:pPr>
              <w:widowControl w:val="0"/>
              <w:pBdr>
                <w:top w:val="nil"/>
                <w:left w:val="nil"/>
                <w:bottom w:val="nil"/>
                <w:right w:val="nil"/>
                <w:between w:val="nil"/>
              </w:pBdr>
              <w:ind w:left="113" w:hanging="113"/>
              <w:rPr>
                <w:b/>
                <w:color w:val="000000"/>
              </w:rPr>
            </w:pPr>
            <w:r w:rsidRPr="009A397A">
              <w:rPr>
                <w:b/>
                <w:color w:val="000000"/>
              </w:rPr>
              <w:t>Assets</w:t>
            </w:r>
          </w:p>
        </w:tc>
        <w:tc>
          <w:tcPr>
            <w:tcW w:w="463" w:type="pct"/>
            <w:vAlign w:val="bottom"/>
          </w:tcPr>
          <w:p w14:paraId="4D82A841" w14:textId="77777777" w:rsidR="009A397A" w:rsidRPr="009A397A" w:rsidRDefault="009A397A" w:rsidP="001B330E">
            <w:pPr>
              <w:widowControl w:val="0"/>
              <w:pBdr>
                <w:top w:val="nil"/>
                <w:left w:val="nil"/>
                <w:bottom w:val="nil"/>
                <w:right w:val="nil"/>
                <w:between w:val="nil"/>
              </w:pBdr>
              <w:rPr>
                <w:b/>
                <w:color w:val="000000"/>
              </w:rPr>
            </w:pPr>
          </w:p>
        </w:tc>
        <w:tc>
          <w:tcPr>
            <w:tcW w:w="358" w:type="pct"/>
            <w:vAlign w:val="bottom"/>
          </w:tcPr>
          <w:p w14:paraId="287DA79F" w14:textId="77777777" w:rsidR="009A397A" w:rsidRPr="009A397A" w:rsidRDefault="009A397A" w:rsidP="001B330E">
            <w:pPr>
              <w:widowControl w:val="0"/>
              <w:pBdr>
                <w:top w:val="nil"/>
                <w:left w:val="nil"/>
                <w:bottom w:val="nil"/>
                <w:right w:val="nil"/>
                <w:between w:val="nil"/>
              </w:pBdr>
              <w:rPr>
                <w:b/>
                <w:color w:val="000000"/>
              </w:rPr>
            </w:pPr>
          </w:p>
        </w:tc>
        <w:tc>
          <w:tcPr>
            <w:tcW w:w="538" w:type="pct"/>
            <w:vAlign w:val="bottom"/>
          </w:tcPr>
          <w:p w14:paraId="779448B6" w14:textId="77777777" w:rsidR="009A397A" w:rsidRPr="009A397A" w:rsidRDefault="009A397A" w:rsidP="001B330E">
            <w:pPr>
              <w:widowControl w:val="0"/>
              <w:pBdr>
                <w:top w:val="nil"/>
                <w:left w:val="nil"/>
                <w:bottom w:val="nil"/>
                <w:right w:val="nil"/>
                <w:between w:val="nil"/>
              </w:pBdr>
              <w:rPr>
                <w:b/>
                <w:color w:val="000000"/>
              </w:rPr>
            </w:pPr>
          </w:p>
        </w:tc>
        <w:tc>
          <w:tcPr>
            <w:tcW w:w="378" w:type="pct"/>
            <w:vAlign w:val="bottom"/>
          </w:tcPr>
          <w:p w14:paraId="0EB6790A" w14:textId="77777777" w:rsidR="009A397A" w:rsidRPr="009A397A" w:rsidRDefault="009A397A" w:rsidP="001B330E">
            <w:pPr>
              <w:widowControl w:val="0"/>
              <w:pBdr>
                <w:top w:val="nil"/>
                <w:left w:val="nil"/>
                <w:bottom w:val="nil"/>
                <w:right w:val="nil"/>
                <w:between w:val="nil"/>
              </w:pBdr>
              <w:rPr>
                <w:b/>
                <w:color w:val="000000"/>
              </w:rPr>
            </w:pPr>
          </w:p>
        </w:tc>
        <w:tc>
          <w:tcPr>
            <w:tcW w:w="463" w:type="pct"/>
            <w:vAlign w:val="bottom"/>
          </w:tcPr>
          <w:p w14:paraId="150C9B5E" w14:textId="77777777" w:rsidR="009A397A" w:rsidRPr="009A397A" w:rsidRDefault="009A397A" w:rsidP="001B330E">
            <w:pPr>
              <w:widowControl w:val="0"/>
              <w:pBdr>
                <w:top w:val="nil"/>
                <w:left w:val="nil"/>
                <w:bottom w:val="nil"/>
                <w:right w:val="nil"/>
                <w:between w:val="nil"/>
              </w:pBdr>
              <w:rPr>
                <w:b/>
                <w:color w:val="000000"/>
              </w:rPr>
            </w:pPr>
          </w:p>
        </w:tc>
        <w:tc>
          <w:tcPr>
            <w:tcW w:w="345" w:type="pct"/>
            <w:vAlign w:val="bottom"/>
          </w:tcPr>
          <w:p w14:paraId="1FB113FB" w14:textId="77777777" w:rsidR="009A397A" w:rsidRPr="009A397A" w:rsidRDefault="009A397A" w:rsidP="001B330E">
            <w:pPr>
              <w:widowControl w:val="0"/>
              <w:pBdr>
                <w:top w:val="nil"/>
                <w:left w:val="nil"/>
                <w:bottom w:val="nil"/>
                <w:right w:val="nil"/>
                <w:between w:val="nil"/>
              </w:pBdr>
              <w:rPr>
                <w:b/>
                <w:color w:val="000000"/>
              </w:rPr>
            </w:pPr>
          </w:p>
        </w:tc>
        <w:tc>
          <w:tcPr>
            <w:tcW w:w="538" w:type="pct"/>
            <w:vAlign w:val="bottom"/>
          </w:tcPr>
          <w:p w14:paraId="67584BD0" w14:textId="77777777" w:rsidR="009A397A" w:rsidRPr="009A397A" w:rsidRDefault="009A397A" w:rsidP="001B330E">
            <w:pPr>
              <w:widowControl w:val="0"/>
              <w:pBdr>
                <w:top w:val="nil"/>
                <w:left w:val="nil"/>
                <w:bottom w:val="nil"/>
                <w:right w:val="nil"/>
                <w:between w:val="nil"/>
              </w:pBdr>
              <w:rPr>
                <w:b/>
                <w:color w:val="000000"/>
              </w:rPr>
            </w:pPr>
          </w:p>
        </w:tc>
        <w:tc>
          <w:tcPr>
            <w:tcW w:w="378" w:type="pct"/>
            <w:vAlign w:val="bottom"/>
          </w:tcPr>
          <w:p w14:paraId="41615D47" w14:textId="77777777" w:rsidR="009A397A" w:rsidRPr="009A397A" w:rsidRDefault="009A397A" w:rsidP="001B330E">
            <w:pPr>
              <w:widowControl w:val="0"/>
              <w:pBdr>
                <w:top w:val="nil"/>
                <w:left w:val="nil"/>
                <w:bottom w:val="nil"/>
                <w:right w:val="nil"/>
                <w:between w:val="nil"/>
              </w:pBdr>
              <w:rPr>
                <w:b/>
                <w:color w:val="000000"/>
              </w:rPr>
            </w:pPr>
          </w:p>
        </w:tc>
      </w:tr>
      <w:tr w:rsidR="009A397A" w:rsidRPr="009A397A" w14:paraId="530B7075" w14:textId="77777777" w:rsidTr="00372E26">
        <w:trPr>
          <w:trHeight w:val="23"/>
        </w:trPr>
        <w:tc>
          <w:tcPr>
            <w:tcW w:w="1539" w:type="pct"/>
          </w:tcPr>
          <w:p w14:paraId="09DDA073"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Cash and cash equivalents</w:t>
            </w:r>
          </w:p>
        </w:tc>
        <w:tc>
          <w:tcPr>
            <w:tcW w:w="463" w:type="pct"/>
            <w:vAlign w:val="bottom"/>
          </w:tcPr>
          <w:p w14:paraId="16610CEF"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2439E64C"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5C44B14C"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52529995"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7736B614"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08F410CF"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16358C46"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1F532050"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1BA0A009" w14:textId="77777777" w:rsidTr="00372E26">
        <w:trPr>
          <w:trHeight w:val="23"/>
        </w:trPr>
        <w:tc>
          <w:tcPr>
            <w:tcW w:w="1539" w:type="pct"/>
          </w:tcPr>
          <w:p w14:paraId="78E618B5"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Investments in debt securities</w:t>
            </w:r>
          </w:p>
        </w:tc>
        <w:tc>
          <w:tcPr>
            <w:tcW w:w="463" w:type="pct"/>
            <w:vAlign w:val="bottom"/>
          </w:tcPr>
          <w:p w14:paraId="2E4EE0A6"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230D14C0"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47E1D86D"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3E389CCC"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756EF756"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3D1383FF"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30BB9AE4"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2831DAB8"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2E004DF3" w14:textId="77777777" w:rsidTr="00372E26">
        <w:trPr>
          <w:trHeight w:val="23"/>
        </w:trPr>
        <w:tc>
          <w:tcPr>
            <w:tcW w:w="1539" w:type="pct"/>
          </w:tcPr>
          <w:p w14:paraId="5033A200"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Due from other banks</w:t>
            </w:r>
          </w:p>
        </w:tc>
        <w:tc>
          <w:tcPr>
            <w:tcW w:w="463" w:type="pct"/>
            <w:vAlign w:val="bottom"/>
          </w:tcPr>
          <w:p w14:paraId="67DAC0F3"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4E291A25"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19DCDE8D"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49528A49"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6FF013AC"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682FA358"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069A5C89"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6ADCA705"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75A873FA" w14:textId="77777777" w:rsidTr="00372E26">
        <w:trPr>
          <w:trHeight w:val="23"/>
        </w:trPr>
        <w:tc>
          <w:tcPr>
            <w:tcW w:w="1539" w:type="pct"/>
          </w:tcPr>
          <w:p w14:paraId="5CBB22BD"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Loans and advances to customers</w:t>
            </w:r>
          </w:p>
        </w:tc>
        <w:tc>
          <w:tcPr>
            <w:tcW w:w="463" w:type="pct"/>
            <w:vAlign w:val="bottom"/>
          </w:tcPr>
          <w:p w14:paraId="1230A719"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6F8715EA"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2C6095D0"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1060244F"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47D229CE"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649AADEF"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1D0F8B75"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7865D4FA"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2AF1FCB1" w14:textId="77777777" w:rsidTr="00372E26">
        <w:trPr>
          <w:trHeight w:val="23"/>
        </w:trPr>
        <w:tc>
          <w:tcPr>
            <w:tcW w:w="1539" w:type="pct"/>
          </w:tcPr>
          <w:p w14:paraId="5A763315"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Repurchase receivables</w:t>
            </w:r>
          </w:p>
        </w:tc>
        <w:tc>
          <w:tcPr>
            <w:tcW w:w="463" w:type="pct"/>
            <w:vAlign w:val="bottom"/>
          </w:tcPr>
          <w:p w14:paraId="039290D0"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28CA296C"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6EA3CE00"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1D22D7EE"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2B7862EE"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44781310"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4D80150B"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45B424BB"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1C641CC6" w14:textId="77777777" w:rsidTr="00372E26">
        <w:trPr>
          <w:trHeight w:val="23"/>
        </w:trPr>
        <w:tc>
          <w:tcPr>
            <w:tcW w:w="1539" w:type="pct"/>
          </w:tcPr>
          <w:p w14:paraId="2077D537"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Other financial assets</w:t>
            </w:r>
          </w:p>
        </w:tc>
        <w:tc>
          <w:tcPr>
            <w:tcW w:w="463" w:type="pct"/>
            <w:vAlign w:val="bottom"/>
          </w:tcPr>
          <w:p w14:paraId="303B5A53"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7004F698"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09751A43"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6C7D2553"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63D97C6D"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2987560A"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47FC7B73"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3C18BEFF"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6A039986" w14:textId="77777777" w:rsidTr="00372E26">
        <w:trPr>
          <w:trHeight w:val="23"/>
        </w:trPr>
        <w:tc>
          <w:tcPr>
            <w:tcW w:w="1539" w:type="pct"/>
          </w:tcPr>
          <w:p w14:paraId="47B08D21" w14:textId="77777777" w:rsidR="009A397A" w:rsidRPr="009A397A" w:rsidRDefault="009A397A" w:rsidP="001B330E">
            <w:pPr>
              <w:widowControl w:val="0"/>
              <w:pBdr>
                <w:top w:val="nil"/>
                <w:left w:val="nil"/>
                <w:bottom w:val="nil"/>
                <w:right w:val="nil"/>
                <w:between w:val="nil"/>
              </w:pBdr>
              <w:tabs>
                <w:tab w:val="right" w:pos="8782"/>
              </w:tabs>
              <w:ind w:left="113" w:hanging="113"/>
              <w:rPr>
                <w:color w:val="000000"/>
              </w:rPr>
            </w:pPr>
            <w:r w:rsidRPr="009A397A">
              <w:rPr>
                <w:color w:val="000000"/>
              </w:rPr>
              <w:t>Financial assets included in non-current assets held for sale (or disposal groups)</w:t>
            </w:r>
          </w:p>
        </w:tc>
        <w:tc>
          <w:tcPr>
            <w:tcW w:w="463" w:type="pct"/>
            <w:vAlign w:val="bottom"/>
          </w:tcPr>
          <w:p w14:paraId="5B23037A"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358" w:type="pct"/>
            <w:vAlign w:val="bottom"/>
          </w:tcPr>
          <w:p w14:paraId="69494D03"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538" w:type="pct"/>
            <w:vAlign w:val="bottom"/>
          </w:tcPr>
          <w:p w14:paraId="3C1C694C"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378" w:type="pct"/>
            <w:vAlign w:val="bottom"/>
          </w:tcPr>
          <w:p w14:paraId="29005018"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463" w:type="pct"/>
            <w:vAlign w:val="bottom"/>
          </w:tcPr>
          <w:p w14:paraId="793A68F3"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345" w:type="pct"/>
            <w:vAlign w:val="bottom"/>
          </w:tcPr>
          <w:p w14:paraId="50D93E2B"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538" w:type="pct"/>
            <w:vAlign w:val="bottom"/>
          </w:tcPr>
          <w:p w14:paraId="3932D642"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378" w:type="pct"/>
            <w:vAlign w:val="bottom"/>
          </w:tcPr>
          <w:p w14:paraId="6E526542"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r>
      <w:tr w:rsidR="009A397A" w:rsidRPr="009A397A" w14:paraId="124AB2B8" w14:textId="77777777" w:rsidTr="00372E26">
        <w:trPr>
          <w:trHeight w:val="23"/>
        </w:trPr>
        <w:tc>
          <w:tcPr>
            <w:tcW w:w="1539" w:type="pct"/>
            <w:tcBorders>
              <w:bottom w:val="single" w:sz="4" w:space="0" w:color="000000"/>
            </w:tcBorders>
            <w:shd w:val="clear" w:color="auto" w:fill="auto"/>
          </w:tcPr>
          <w:p w14:paraId="27258FF5" w14:textId="77777777" w:rsidR="009A397A" w:rsidRPr="009A397A" w:rsidRDefault="009A397A" w:rsidP="001B330E">
            <w:pPr>
              <w:widowControl w:val="0"/>
              <w:pBdr>
                <w:top w:val="nil"/>
                <w:left w:val="nil"/>
                <w:bottom w:val="nil"/>
                <w:right w:val="nil"/>
                <w:between w:val="nil"/>
              </w:pBdr>
              <w:tabs>
                <w:tab w:val="right" w:pos="8782"/>
              </w:tabs>
              <w:ind w:left="113" w:hanging="113"/>
              <w:rPr>
                <w:color w:val="000000"/>
              </w:rPr>
            </w:pPr>
          </w:p>
        </w:tc>
        <w:tc>
          <w:tcPr>
            <w:tcW w:w="463" w:type="pct"/>
            <w:tcBorders>
              <w:bottom w:val="single" w:sz="4" w:space="0" w:color="000000"/>
            </w:tcBorders>
            <w:shd w:val="clear" w:color="auto" w:fill="auto"/>
            <w:vAlign w:val="bottom"/>
          </w:tcPr>
          <w:p w14:paraId="67108185"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358" w:type="pct"/>
            <w:tcBorders>
              <w:bottom w:val="single" w:sz="4" w:space="0" w:color="000000"/>
            </w:tcBorders>
            <w:shd w:val="clear" w:color="auto" w:fill="auto"/>
            <w:vAlign w:val="bottom"/>
          </w:tcPr>
          <w:p w14:paraId="7F45AB25"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538" w:type="pct"/>
            <w:tcBorders>
              <w:bottom w:val="single" w:sz="4" w:space="0" w:color="000000"/>
            </w:tcBorders>
            <w:shd w:val="clear" w:color="auto" w:fill="auto"/>
            <w:vAlign w:val="bottom"/>
          </w:tcPr>
          <w:p w14:paraId="2EC3B6DC"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378" w:type="pct"/>
            <w:tcBorders>
              <w:bottom w:val="single" w:sz="4" w:space="0" w:color="000000"/>
            </w:tcBorders>
            <w:shd w:val="clear" w:color="auto" w:fill="auto"/>
            <w:vAlign w:val="bottom"/>
          </w:tcPr>
          <w:p w14:paraId="254AD8AF"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463" w:type="pct"/>
            <w:tcBorders>
              <w:bottom w:val="single" w:sz="4" w:space="0" w:color="000000"/>
            </w:tcBorders>
            <w:shd w:val="clear" w:color="auto" w:fill="auto"/>
            <w:vAlign w:val="bottom"/>
          </w:tcPr>
          <w:p w14:paraId="75735DA7"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345" w:type="pct"/>
            <w:tcBorders>
              <w:bottom w:val="single" w:sz="4" w:space="0" w:color="000000"/>
            </w:tcBorders>
            <w:shd w:val="clear" w:color="auto" w:fill="auto"/>
            <w:vAlign w:val="bottom"/>
          </w:tcPr>
          <w:p w14:paraId="65DCC3F4"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538" w:type="pct"/>
            <w:tcBorders>
              <w:bottom w:val="single" w:sz="4" w:space="0" w:color="000000"/>
            </w:tcBorders>
            <w:shd w:val="clear" w:color="auto" w:fill="auto"/>
            <w:vAlign w:val="bottom"/>
          </w:tcPr>
          <w:p w14:paraId="6156643F"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c>
          <w:tcPr>
            <w:tcW w:w="378" w:type="pct"/>
            <w:tcBorders>
              <w:bottom w:val="single" w:sz="4" w:space="0" w:color="000000"/>
            </w:tcBorders>
            <w:shd w:val="clear" w:color="auto" w:fill="auto"/>
            <w:vAlign w:val="bottom"/>
          </w:tcPr>
          <w:p w14:paraId="4A50A159" w14:textId="77777777" w:rsidR="009A397A" w:rsidRPr="009A397A" w:rsidRDefault="009A397A" w:rsidP="001B330E">
            <w:pPr>
              <w:widowControl w:val="0"/>
              <w:pBdr>
                <w:top w:val="nil"/>
                <w:left w:val="nil"/>
                <w:bottom w:val="nil"/>
                <w:right w:val="nil"/>
                <w:between w:val="nil"/>
              </w:pBdr>
              <w:tabs>
                <w:tab w:val="right" w:pos="8782"/>
              </w:tabs>
              <w:ind w:hanging="198"/>
              <w:rPr>
                <w:color w:val="000000"/>
              </w:rPr>
            </w:pPr>
          </w:p>
        </w:tc>
      </w:tr>
      <w:tr w:rsidR="009A397A" w:rsidRPr="009A397A" w14:paraId="5392378E" w14:textId="77777777" w:rsidTr="00372E26">
        <w:trPr>
          <w:trHeight w:val="23"/>
        </w:trPr>
        <w:tc>
          <w:tcPr>
            <w:tcW w:w="1539" w:type="pct"/>
            <w:tcBorders>
              <w:top w:val="single" w:sz="4" w:space="0" w:color="000000"/>
            </w:tcBorders>
          </w:tcPr>
          <w:p w14:paraId="56B6F916" w14:textId="77777777" w:rsidR="009A397A" w:rsidRPr="009A397A" w:rsidRDefault="009A397A" w:rsidP="001B330E">
            <w:pPr>
              <w:widowControl w:val="0"/>
              <w:ind w:left="113" w:hanging="113"/>
              <w:rPr>
                <w:b/>
              </w:rPr>
            </w:pPr>
          </w:p>
        </w:tc>
        <w:tc>
          <w:tcPr>
            <w:tcW w:w="463" w:type="pct"/>
            <w:tcBorders>
              <w:top w:val="single" w:sz="4" w:space="0" w:color="000000"/>
            </w:tcBorders>
            <w:vAlign w:val="bottom"/>
          </w:tcPr>
          <w:p w14:paraId="447E9C54" w14:textId="77777777" w:rsidR="009A397A" w:rsidRPr="009A397A" w:rsidRDefault="009A397A" w:rsidP="001B330E">
            <w:pPr>
              <w:widowControl w:val="0"/>
              <w:pBdr>
                <w:top w:val="nil"/>
                <w:left w:val="nil"/>
                <w:bottom w:val="nil"/>
                <w:right w:val="nil"/>
                <w:between w:val="nil"/>
              </w:pBdr>
              <w:rPr>
                <w:color w:val="000000"/>
              </w:rPr>
            </w:pPr>
          </w:p>
        </w:tc>
        <w:tc>
          <w:tcPr>
            <w:tcW w:w="358" w:type="pct"/>
            <w:tcBorders>
              <w:top w:val="single" w:sz="4" w:space="0" w:color="000000"/>
            </w:tcBorders>
            <w:vAlign w:val="bottom"/>
          </w:tcPr>
          <w:p w14:paraId="48402C77" w14:textId="77777777" w:rsidR="009A397A" w:rsidRPr="009A397A" w:rsidRDefault="009A397A" w:rsidP="001B330E">
            <w:pPr>
              <w:widowControl w:val="0"/>
              <w:pBdr>
                <w:top w:val="nil"/>
                <w:left w:val="nil"/>
                <w:bottom w:val="nil"/>
                <w:right w:val="nil"/>
                <w:between w:val="nil"/>
              </w:pBdr>
              <w:rPr>
                <w:color w:val="000000"/>
              </w:rPr>
            </w:pPr>
          </w:p>
        </w:tc>
        <w:tc>
          <w:tcPr>
            <w:tcW w:w="538" w:type="pct"/>
            <w:tcBorders>
              <w:top w:val="single" w:sz="4" w:space="0" w:color="000000"/>
            </w:tcBorders>
            <w:vAlign w:val="bottom"/>
          </w:tcPr>
          <w:p w14:paraId="60F6A4EC" w14:textId="77777777" w:rsidR="009A397A" w:rsidRPr="009A397A" w:rsidRDefault="009A397A" w:rsidP="001B330E">
            <w:pPr>
              <w:widowControl w:val="0"/>
              <w:pBdr>
                <w:top w:val="nil"/>
                <w:left w:val="nil"/>
                <w:bottom w:val="nil"/>
                <w:right w:val="nil"/>
                <w:between w:val="nil"/>
              </w:pBdr>
              <w:rPr>
                <w:color w:val="000000"/>
              </w:rPr>
            </w:pPr>
          </w:p>
        </w:tc>
        <w:tc>
          <w:tcPr>
            <w:tcW w:w="378" w:type="pct"/>
            <w:tcBorders>
              <w:top w:val="single" w:sz="4" w:space="0" w:color="000000"/>
            </w:tcBorders>
            <w:vAlign w:val="bottom"/>
          </w:tcPr>
          <w:p w14:paraId="7121EDD0" w14:textId="77777777" w:rsidR="009A397A" w:rsidRPr="009A397A" w:rsidRDefault="009A397A" w:rsidP="001B330E">
            <w:pPr>
              <w:widowControl w:val="0"/>
              <w:pBdr>
                <w:top w:val="nil"/>
                <w:left w:val="nil"/>
                <w:bottom w:val="nil"/>
                <w:right w:val="nil"/>
                <w:between w:val="nil"/>
              </w:pBdr>
              <w:rPr>
                <w:color w:val="000000"/>
              </w:rPr>
            </w:pPr>
          </w:p>
        </w:tc>
        <w:tc>
          <w:tcPr>
            <w:tcW w:w="463" w:type="pct"/>
            <w:tcBorders>
              <w:top w:val="single" w:sz="4" w:space="0" w:color="000000"/>
            </w:tcBorders>
            <w:vAlign w:val="bottom"/>
          </w:tcPr>
          <w:p w14:paraId="3A08F267" w14:textId="77777777" w:rsidR="009A397A" w:rsidRPr="009A397A" w:rsidRDefault="009A397A" w:rsidP="001B330E">
            <w:pPr>
              <w:widowControl w:val="0"/>
              <w:pBdr>
                <w:top w:val="nil"/>
                <w:left w:val="nil"/>
                <w:bottom w:val="nil"/>
                <w:right w:val="nil"/>
                <w:between w:val="nil"/>
              </w:pBdr>
              <w:rPr>
                <w:color w:val="000000"/>
              </w:rPr>
            </w:pPr>
          </w:p>
        </w:tc>
        <w:tc>
          <w:tcPr>
            <w:tcW w:w="345" w:type="pct"/>
            <w:tcBorders>
              <w:top w:val="single" w:sz="4" w:space="0" w:color="000000"/>
            </w:tcBorders>
            <w:vAlign w:val="bottom"/>
          </w:tcPr>
          <w:p w14:paraId="04481A03" w14:textId="77777777" w:rsidR="009A397A" w:rsidRPr="009A397A" w:rsidRDefault="009A397A" w:rsidP="001B330E">
            <w:pPr>
              <w:widowControl w:val="0"/>
              <w:pBdr>
                <w:top w:val="nil"/>
                <w:left w:val="nil"/>
                <w:bottom w:val="nil"/>
                <w:right w:val="nil"/>
                <w:between w:val="nil"/>
              </w:pBdr>
              <w:rPr>
                <w:color w:val="000000"/>
              </w:rPr>
            </w:pPr>
          </w:p>
        </w:tc>
        <w:tc>
          <w:tcPr>
            <w:tcW w:w="538" w:type="pct"/>
            <w:tcBorders>
              <w:top w:val="single" w:sz="4" w:space="0" w:color="000000"/>
            </w:tcBorders>
            <w:vAlign w:val="bottom"/>
          </w:tcPr>
          <w:p w14:paraId="5D1A883B" w14:textId="77777777" w:rsidR="009A397A" w:rsidRPr="009A397A" w:rsidRDefault="009A397A" w:rsidP="001B330E">
            <w:pPr>
              <w:widowControl w:val="0"/>
              <w:pBdr>
                <w:top w:val="nil"/>
                <w:left w:val="nil"/>
                <w:bottom w:val="nil"/>
                <w:right w:val="nil"/>
                <w:between w:val="nil"/>
              </w:pBdr>
              <w:rPr>
                <w:color w:val="000000"/>
              </w:rPr>
            </w:pPr>
          </w:p>
        </w:tc>
        <w:tc>
          <w:tcPr>
            <w:tcW w:w="378" w:type="pct"/>
            <w:tcBorders>
              <w:top w:val="single" w:sz="4" w:space="0" w:color="000000"/>
            </w:tcBorders>
            <w:vAlign w:val="bottom"/>
          </w:tcPr>
          <w:p w14:paraId="5DE9208A"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3A4F577C" w14:textId="77777777" w:rsidTr="00372E26">
        <w:trPr>
          <w:trHeight w:val="23"/>
        </w:trPr>
        <w:tc>
          <w:tcPr>
            <w:tcW w:w="1539" w:type="pct"/>
          </w:tcPr>
          <w:p w14:paraId="2B6A323B" w14:textId="77777777" w:rsidR="009A397A" w:rsidRPr="009A397A" w:rsidRDefault="009A397A" w:rsidP="001B330E">
            <w:pPr>
              <w:widowControl w:val="0"/>
              <w:pBdr>
                <w:top w:val="nil"/>
                <w:left w:val="nil"/>
                <w:bottom w:val="nil"/>
                <w:right w:val="nil"/>
                <w:between w:val="nil"/>
              </w:pBdr>
              <w:ind w:left="113" w:hanging="113"/>
              <w:rPr>
                <w:b/>
                <w:color w:val="000000"/>
              </w:rPr>
            </w:pPr>
            <w:r w:rsidRPr="009A397A">
              <w:rPr>
                <w:b/>
                <w:color w:val="000000"/>
              </w:rPr>
              <w:t>Liabilities</w:t>
            </w:r>
          </w:p>
        </w:tc>
        <w:tc>
          <w:tcPr>
            <w:tcW w:w="463" w:type="pct"/>
            <w:vAlign w:val="bottom"/>
          </w:tcPr>
          <w:p w14:paraId="2415CDA3" w14:textId="77777777" w:rsidR="009A397A" w:rsidRPr="009A397A" w:rsidRDefault="009A397A" w:rsidP="001B330E">
            <w:pPr>
              <w:widowControl w:val="0"/>
              <w:pBdr>
                <w:top w:val="nil"/>
                <w:left w:val="nil"/>
                <w:bottom w:val="nil"/>
                <w:right w:val="nil"/>
                <w:between w:val="nil"/>
              </w:pBdr>
              <w:rPr>
                <w:b/>
                <w:color w:val="000000"/>
              </w:rPr>
            </w:pPr>
          </w:p>
        </w:tc>
        <w:tc>
          <w:tcPr>
            <w:tcW w:w="358" w:type="pct"/>
            <w:vAlign w:val="bottom"/>
          </w:tcPr>
          <w:p w14:paraId="737EB5A3" w14:textId="77777777" w:rsidR="009A397A" w:rsidRPr="009A397A" w:rsidRDefault="009A397A" w:rsidP="001B330E">
            <w:pPr>
              <w:widowControl w:val="0"/>
              <w:pBdr>
                <w:top w:val="nil"/>
                <w:left w:val="nil"/>
                <w:bottom w:val="nil"/>
                <w:right w:val="nil"/>
                <w:between w:val="nil"/>
              </w:pBdr>
              <w:rPr>
                <w:b/>
                <w:color w:val="000000"/>
              </w:rPr>
            </w:pPr>
          </w:p>
        </w:tc>
        <w:tc>
          <w:tcPr>
            <w:tcW w:w="538" w:type="pct"/>
            <w:vAlign w:val="bottom"/>
          </w:tcPr>
          <w:p w14:paraId="5F0B1CBC" w14:textId="77777777" w:rsidR="009A397A" w:rsidRPr="009A397A" w:rsidRDefault="009A397A" w:rsidP="001B330E">
            <w:pPr>
              <w:widowControl w:val="0"/>
              <w:pBdr>
                <w:top w:val="nil"/>
                <w:left w:val="nil"/>
                <w:bottom w:val="nil"/>
                <w:right w:val="nil"/>
                <w:between w:val="nil"/>
              </w:pBdr>
              <w:rPr>
                <w:b/>
                <w:color w:val="000000"/>
              </w:rPr>
            </w:pPr>
          </w:p>
        </w:tc>
        <w:tc>
          <w:tcPr>
            <w:tcW w:w="378" w:type="pct"/>
            <w:vAlign w:val="bottom"/>
          </w:tcPr>
          <w:p w14:paraId="485A2F23" w14:textId="77777777" w:rsidR="009A397A" w:rsidRPr="009A397A" w:rsidRDefault="009A397A" w:rsidP="001B330E">
            <w:pPr>
              <w:widowControl w:val="0"/>
              <w:pBdr>
                <w:top w:val="nil"/>
                <w:left w:val="nil"/>
                <w:bottom w:val="nil"/>
                <w:right w:val="nil"/>
                <w:between w:val="nil"/>
              </w:pBdr>
              <w:rPr>
                <w:b/>
                <w:color w:val="000000"/>
              </w:rPr>
            </w:pPr>
          </w:p>
        </w:tc>
        <w:tc>
          <w:tcPr>
            <w:tcW w:w="463" w:type="pct"/>
            <w:vAlign w:val="bottom"/>
          </w:tcPr>
          <w:p w14:paraId="17C635BB" w14:textId="77777777" w:rsidR="009A397A" w:rsidRPr="009A397A" w:rsidRDefault="009A397A" w:rsidP="001B330E">
            <w:pPr>
              <w:widowControl w:val="0"/>
              <w:pBdr>
                <w:top w:val="nil"/>
                <w:left w:val="nil"/>
                <w:bottom w:val="nil"/>
                <w:right w:val="nil"/>
                <w:between w:val="nil"/>
              </w:pBdr>
              <w:rPr>
                <w:b/>
                <w:color w:val="000000"/>
              </w:rPr>
            </w:pPr>
          </w:p>
        </w:tc>
        <w:tc>
          <w:tcPr>
            <w:tcW w:w="345" w:type="pct"/>
            <w:vAlign w:val="bottom"/>
          </w:tcPr>
          <w:p w14:paraId="2A08062D" w14:textId="77777777" w:rsidR="009A397A" w:rsidRPr="009A397A" w:rsidRDefault="009A397A" w:rsidP="001B330E">
            <w:pPr>
              <w:widowControl w:val="0"/>
              <w:pBdr>
                <w:top w:val="nil"/>
                <w:left w:val="nil"/>
                <w:bottom w:val="nil"/>
                <w:right w:val="nil"/>
                <w:between w:val="nil"/>
              </w:pBdr>
              <w:rPr>
                <w:b/>
                <w:color w:val="000000"/>
              </w:rPr>
            </w:pPr>
          </w:p>
        </w:tc>
        <w:tc>
          <w:tcPr>
            <w:tcW w:w="538" w:type="pct"/>
            <w:vAlign w:val="bottom"/>
          </w:tcPr>
          <w:p w14:paraId="10E1AB84" w14:textId="77777777" w:rsidR="009A397A" w:rsidRPr="009A397A" w:rsidRDefault="009A397A" w:rsidP="001B330E">
            <w:pPr>
              <w:widowControl w:val="0"/>
              <w:pBdr>
                <w:top w:val="nil"/>
                <w:left w:val="nil"/>
                <w:bottom w:val="nil"/>
                <w:right w:val="nil"/>
                <w:between w:val="nil"/>
              </w:pBdr>
              <w:rPr>
                <w:b/>
                <w:color w:val="000000"/>
              </w:rPr>
            </w:pPr>
          </w:p>
        </w:tc>
        <w:tc>
          <w:tcPr>
            <w:tcW w:w="378" w:type="pct"/>
            <w:vAlign w:val="bottom"/>
          </w:tcPr>
          <w:p w14:paraId="3C7D9F26" w14:textId="77777777" w:rsidR="009A397A" w:rsidRPr="009A397A" w:rsidRDefault="009A397A" w:rsidP="001B330E">
            <w:pPr>
              <w:widowControl w:val="0"/>
              <w:pBdr>
                <w:top w:val="nil"/>
                <w:left w:val="nil"/>
                <w:bottom w:val="nil"/>
                <w:right w:val="nil"/>
                <w:between w:val="nil"/>
              </w:pBdr>
              <w:rPr>
                <w:b/>
                <w:color w:val="000000"/>
              </w:rPr>
            </w:pPr>
          </w:p>
        </w:tc>
      </w:tr>
      <w:tr w:rsidR="009A397A" w:rsidRPr="009A397A" w14:paraId="685A57E9" w14:textId="77777777" w:rsidTr="00372E26">
        <w:trPr>
          <w:trHeight w:val="23"/>
        </w:trPr>
        <w:tc>
          <w:tcPr>
            <w:tcW w:w="1539" w:type="pct"/>
          </w:tcPr>
          <w:p w14:paraId="10DC125B"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Due to other banks</w:t>
            </w:r>
          </w:p>
        </w:tc>
        <w:tc>
          <w:tcPr>
            <w:tcW w:w="463" w:type="pct"/>
            <w:vAlign w:val="bottom"/>
          </w:tcPr>
          <w:p w14:paraId="65B8EC85"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0256A4C1"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50FB2BF2"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4ED1C6B8"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77E2B929"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4FE65AC5"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53352197"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38567885"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20A3A608" w14:textId="77777777" w:rsidTr="00372E26">
        <w:trPr>
          <w:trHeight w:val="23"/>
        </w:trPr>
        <w:tc>
          <w:tcPr>
            <w:tcW w:w="1539" w:type="pct"/>
          </w:tcPr>
          <w:p w14:paraId="6CEB7E6D"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Customer accounts</w:t>
            </w:r>
          </w:p>
        </w:tc>
        <w:tc>
          <w:tcPr>
            <w:tcW w:w="463" w:type="pct"/>
            <w:vAlign w:val="bottom"/>
          </w:tcPr>
          <w:p w14:paraId="215E144F"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313DE627"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2EB33CA3"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2D2A0438"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0EEAF285"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666682B9"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05B1EC12"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15BA217E"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16D39270" w14:textId="77777777" w:rsidTr="00372E26">
        <w:trPr>
          <w:trHeight w:val="23"/>
        </w:trPr>
        <w:tc>
          <w:tcPr>
            <w:tcW w:w="1539" w:type="pct"/>
          </w:tcPr>
          <w:p w14:paraId="412550C8"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 current and settlement accounts</w:t>
            </w:r>
          </w:p>
        </w:tc>
        <w:tc>
          <w:tcPr>
            <w:tcW w:w="463" w:type="pct"/>
            <w:vAlign w:val="bottom"/>
          </w:tcPr>
          <w:p w14:paraId="4F98D442"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3513CC62"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53948E5D"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0526598F"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49A7405B"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305CB94D"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703D9B6E"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0680D0B6"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507B79C2" w14:textId="77777777" w:rsidTr="00372E26">
        <w:trPr>
          <w:trHeight w:val="23"/>
        </w:trPr>
        <w:tc>
          <w:tcPr>
            <w:tcW w:w="1539" w:type="pct"/>
          </w:tcPr>
          <w:p w14:paraId="4DA58EA1"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 term deposits</w:t>
            </w:r>
          </w:p>
        </w:tc>
        <w:tc>
          <w:tcPr>
            <w:tcW w:w="463" w:type="pct"/>
            <w:vAlign w:val="bottom"/>
          </w:tcPr>
          <w:p w14:paraId="635D9C50"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1942A37F"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2C871156"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54B0CDAF"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3DFA13CD"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3DD6792A"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67F303FE"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70ED08E7"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606DB9C0" w14:textId="77777777" w:rsidTr="00372E26">
        <w:trPr>
          <w:trHeight w:val="23"/>
        </w:trPr>
        <w:tc>
          <w:tcPr>
            <w:tcW w:w="1539" w:type="pct"/>
          </w:tcPr>
          <w:p w14:paraId="2BFADA6C"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 xml:space="preserve">Debt securities in issue </w:t>
            </w:r>
            <w:r w:rsidRPr="009A397A">
              <w:rPr>
                <w:color w:val="0000FF"/>
              </w:rPr>
              <w:t>[Promissory notes issued]</w:t>
            </w:r>
          </w:p>
        </w:tc>
        <w:tc>
          <w:tcPr>
            <w:tcW w:w="463" w:type="pct"/>
            <w:vAlign w:val="bottom"/>
          </w:tcPr>
          <w:p w14:paraId="519A3DFF"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25493488"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04711788"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01A072E2"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2E04CAF3"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08EA8EA0"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296E491C"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06F7831E"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49124D56" w14:textId="77777777" w:rsidTr="00372E26">
        <w:trPr>
          <w:trHeight w:val="23"/>
        </w:trPr>
        <w:tc>
          <w:tcPr>
            <w:tcW w:w="1539" w:type="pct"/>
          </w:tcPr>
          <w:p w14:paraId="6C7BE482"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 xml:space="preserve">Other borrowed funds </w:t>
            </w:r>
          </w:p>
        </w:tc>
        <w:tc>
          <w:tcPr>
            <w:tcW w:w="463" w:type="pct"/>
            <w:vAlign w:val="bottom"/>
          </w:tcPr>
          <w:p w14:paraId="67FA4B02"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081C6844"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44D8B8B1"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49323CC9"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2D9EDA5D"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422BE0E0"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285EC8F8"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57509288"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2E4AA0E1" w14:textId="77777777" w:rsidTr="00372E26">
        <w:trPr>
          <w:trHeight w:val="23"/>
        </w:trPr>
        <w:tc>
          <w:tcPr>
            <w:tcW w:w="1539" w:type="pct"/>
          </w:tcPr>
          <w:p w14:paraId="5E2DC597"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Other financial liabilities</w:t>
            </w:r>
          </w:p>
        </w:tc>
        <w:tc>
          <w:tcPr>
            <w:tcW w:w="463" w:type="pct"/>
            <w:vAlign w:val="bottom"/>
          </w:tcPr>
          <w:p w14:paraId="1D021A88"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74C0A3BA"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1D560BFC"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09168E4E"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4B31AA29"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4B59BB6A"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4C77A727"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25544E40"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045A4EE0" w14:textId="77777777" w:rsidTr="00372E26">
        <w:trPr>
          <w:trHeight w:val="23"/>
        </w:trPr>
        <w:tc>
          <w:tcPr>
            <w:tcW w:w="1539" w:type="pct"/>
          </w:tcPr>
          <w:p w14:paraId="000A90FD" w14:textId="77777777" w:rsidR="009A397A" w:rsidRPr="009A397A" w:rsidRDefault="009A397A" w:rsidP="001B330E">
            <w:pPr>
              <w:widowControl w:val="0"/>
              <w:pBdr>
                <w:top w:val="nil"/>
                <w:left w:val="nil"/>
                <w:bottom w:val="nil"/>
                <w:right w:val="nil"/>
                <w:between w:val="nil"/>
              </w:pBdr>
              <w:ind w:left="113" w:hanging="113"/>
              <w:rPr>
                <w:color w:val="000000"/>
              </w:rPr>
            </w:pPr>
            <w:r w:rsidRPr="009A397A">
              <w:rPr>
                <w:color w:val="000000"/>
              </w:rPr>
              <w:t>Lease liabilities</w:t>
            </w:r>
          </w:p>
        </w:tc>
        <w:tc>
          <w:tcPr>
            <w:tcW w:w="463" w:type="pct"/>
            <w:vAlign w:val="bottom"/>
          </w:tcPr>
          <w:p w14:paraId="3068E4B2"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431A4FA4"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636E18EC"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11BF077B"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4309216A"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5053B227"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35E6696C"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6367133F"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7E6751DA" w14:textId="77777777" w:rsidTr="00372E26">
        <w:trPr>
          <w:trHeight w:val="23"/>
        </w:trPr>
        <w:tc>
          <w:tcPr>
            <w:tcW w:w="1539" w:type="pct"/>
          </w:tcPr>
          <w:p w14:paraId="1790ABF0" w14:textId="77777777" w:rsidR="009A397A" w:rsidRPr="009A397A" w:rsidRDefault="009A397A" w:rsidP="001B330E">
            <w:pPr>
              <w:widowControl w:val="0"/>
              <w:pBdr>
                <w:top w:val="nil"/>
                <w:left w:val="nil"/>
                <w:bottom w:val="nil"/>
                <w:right w:val="nil"/>
                <w:between w:val="nil"/>
              </w:pBdr>
              <w:tabs>
                <w:tab w:val="right" w:pos="8782"/>
              </w:tabs>
              <w:ind w:left="113" w:hanging="113"/>
              <w:rPr>
                <w:color w:val="000000"/>
              </w:rPr>
            </w:pPr>
            <w:r w:rsidRPr="009A397A">
              <w:rPr>
                <w:color w:val="000000"/>
              </w:rPr>
              <w:t>Subordinated debt</w:t>
            </w:r>
          </w:p>
        </w:tc>
        <w:tc>
          <w:tcPr>
            <w:tcW w:w="463" w:type="pct"/>
            <w:vAlign w:val="bottom"/>
          </w:tcPr>
          <w:p w14:paraId="2420D162"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1A0D631D"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0EA00018"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2B3040CF"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40806AC0"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198C29D5"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312DA14D"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3E91E768"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09A12BC4" w14:textId="77777777" w:rsidTr="00372E26">
        <w:trPr>
          <w:trHeight w:val="23"/>
        </w:trPr>
        <w:tc>
          <w:tcPr>
            <w:tcW w:w="1539" w:type="pct"/>
          </w:tcPr>
          <w:p w14:paraId="5CBC0690" w14:textId="77777777" w:rsidR="009A397A" w:rsidRPr="009A397A" w:rsidRDefault="009A397A" w:rsidP="001B330E">
            <w:pPr>
              <w:widowControl w:val="0"/>
              <w:pBdr>
                <w:top w:val="nil"/>
                <w:left w:val="nil"/>
                <w:bottom w:val="nil"/>
                <w:right w:val="nil"/>
                <w:between w:val="nil"/>
              </w:pBdr>
              <w:tabs>
                <w:tab w:val="right" w:pos="8782"/>
              </w:tabs>
              <w:ind w:left="113" w:hanging="113"/>
              <w:rPr>
                <w:color w:val="000000"/>
              </w:rPr>
            </w:pPr>
            <w:r w:rsidRPr="009A397A">
              <w:rPr>
                <w:color w:val="000000"/>
              </w:rPr>
              <w:t>Financial liabilities associated with non-current assets held for sale (or disposal groups)</w:t>
            </w:r>
          </w:p>
        </w:tc>
        <w:tc>
          <w:tcPr>
            <w:tcW w:w="463" w:type="pct"/>
            <w:vAlign w:val="bottom"/>
          </w:tcPr>
          <w:p w14:paraId="3454B195" w14:textId="77777777" w:rsidR="009A397A" w:rsidRPr="009A397A" w:rsidRDefault="009A397A" w:rsidP="001B330E">
            <w:pPr>
              <w:widowControl w:val="0"/>
              <w:pBdr>
                <w:top w:val="nil"/>
                <w:left w:val="nil"/>
                <w:bottom w:val="nil"/>
                <w:right w:val="nil"/>
                <w:between w:val="nil"/>
              </w:pBdr>
              <w:rPr>
                <w:color w:val="000000"/>
              </w:rPr>
            </w:pPr>
          </w:p>
        </w:tc>
        <w:tc>
          <w:tcPr>
            <w:tcW w:w="358" w:type="pct"/>
            <w:vAlign w:val="bottom"/>
          </w:tcPr>
          <w:p w14:paraId="302D70DB"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5A4F3F39"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2D395A5B" w14:textId="77777777" w:rsidR="009A397A" w:rsidRPr="009A397A" w:rsidRDefault="009A397A" w:rsidP="001B330E">
            <w:pPr>
              <w:widowControl w:val="0"/>
              <w:pBdr>
                <w:top w:val="nil"/>
                <w:left w:val="nil"/>
                <w:bottom w:val="nil"/>
                <w:right w:val="nil"/>
                <w:between w:val="nil"/>
              </w:pBdr>
              <w:rPr>
                <w:color w:val="000000"/>
              </w:rPr>
            </w:pPr>
          </w:p>
        </w:tc>
        <w:tc>
          <w:tcPr>
            <w:tcW w:w="463" w:type="pct"/>
            <w:vAlign w:val="bottom"/>
          </w:tcPr>
          <w:p w14:paraId="5E1DE85A" w14:textId="77777777" w:rsidR="009A397A" w:rsidRPr="009A397A" w:rsidRDefault="009A397A" w:rsidP="001B330E">
            <w:pPr>
              <w:widowControl w:val="0"/>
              <w:pBdr>
                <w:top w:val="nil"/>
                <w:left w:val="nil"/>
                <w:bottom w:val="nil"/>
                <w:right w:val="nil"/>
                <w:between w:val="nil"/>
              </w:pBdr>
              <w:rPr>
                <w:color w:val="000000"/>
              </w:rPr>
            </w:pPr>
          </w:p>
        </w:tc>
        <w:tc>
          <w:tcPr>
            <w:tcW w:w="345" w:type="pct"/>
            <w:vAlign w:val="bottom"/>
          </w:tcPr>
          <w:p w14:paraId="3C67A43B" w14:textId="77777777" w:rsidR="009A397A" w:rsidRPr="009A397A" w:rsidRDefault="009A397A" w:rsidP="001B330E">
            <w:pPr>
              <w:widowControl w:val="0"/>
              <w:pBdr>
                <w:top w:val="nil"/>
                <w:left w:val="nil"/>
                <w:bottom w:val="nil"/>
                <w:right w:val="nil"/>
                <w:between w:val="nil"/>
              </w:pBdr>
              <w:rPr>
                <w:color w:val="000000"/>
              </w:rPr>
            </w:pPr>
          </w:p>
        </w:tc>
        <w:tc>
          <w:tcPr>
            <w:tcW w:w="538" w:type="pct"/>
            <w:vAlign w:val="bottom"/>
          </w:tcPr>
          <w:p w14:paraId="6F14359C" w14:textId="77777777" w:rsidR="009A397A" w:rsidRPr="009A397A" w:rsidRDefault="009A397A" w:rsidP="001B330E">
            <w:pPr>
              <w:widowControl w:val="0"/>
              <w:pBdr>
                <w:top w:val="nil"/>
                <w:left w:val="nil"/>
                <w:bottom w:val="nil"/>
                <w:right w:val="nil"/>
                <w:between w:val="nil"/>
              </w:pBdr>
              <w:rPr>
                <w:color w:val="000000"/>
              </w:rPr>
            </w:pPr>
          </w:p>
        </w:tc>
        <w:tc>
          <w:tcPr>
            <w:tcW w:w="378" w:type="pct"/>
            <w:vAlign w:val="bottom"/>
          </w:tcPr>
          <w:p w14:paraId="75599B21" w14:textId="77777777" w:rsidR="009A397A" w:rsidRPr="009A397A" w:rsidRDefault="009A397A" w:rsidP="001B330E">
            <w:pPr>
              <w:widowControl w:val="0"/>
              <w:pBdr>
                <w:top w:val="nil"/>
                <w:left w:val="nil"/>
                <w:bottom w:val="nil"/>
                <w:right w:val="nil"/>
                <w:between w:val="nil"/>
              </w:pBdr>
              <w:rPr>
                <w:color w:val="000000"/>
              </w:rPr>
            </w:pPr>
          </w:p>
        </w:tc>
      </w:tr>
      <w:tr w:rsidR="009A397A" w:rsidRPr="009A397A" w14:paraId="65D6A67B" w14:textId="77777777" w:rsidTr="00372E26">
        <w:trPr>
          <w:trHeight w:val="23"/>
        </w:trPr>
        <w:tc>
          <w:tcPr>
            <w:tcW w:w="1539" w:type="pct"/>
            <w:tcBorders>
              <w:bottom w:val="single" w:sz="12" w:space="0" w:color="000000"/>
            </w:tcBorders>
          </w:tcPr>
          <w:p w14:paraId="0718AB8A" w14:textId="77777777" w:rsidR="009A397A" w:rsidRPr="009A397A" w:rsidRDefault="009A397A" w:rsidP="001B330E">
            <w:pPr>
              <w:widowControl w:val="0"/>
              <w:ind w:left="113" w:hanging="113"/>
            </w:pPr>
          </w:p>
        </w:tc>
        <w:tc>
          <w:tcPr>
            <w:tcW w:w="463" w:type="pct"/>
            <w:tcBorders>
              <w:bottom w:val="single" w:sz="12" w:space="0" w:color="000000"/>
            </w:tcBorders>
            <w:vAlign w:val="bottom"/>
          </w:tcPr>
          <w:p w14:paraId="58797C7D" w14:textId="77777777" w:rsidR="009A397A" w:rsidRPr="009A397A" w:rsidRDefault="009A397A" w:rsidP="001B330E">
            <w:pPr>
              <w:widowControl w:val="0"/>
              <w:pBdr>
                <w:top w:val="nil"/>
                <w:left w:val="nil"/>
                <w:bottom w:val="nil"/>
                <w:right w:val="nil"/>
                <w:between w:val="nil"/>
              </w:pBdr>
              <w:rPr>
                <w:color w:val="000000"/>
              </w:rPr>
            </w:pPr>
          </w:p>
        </w:tc>
        <w:tc>
          <w:tcPr>
            <w:tcW w:w="358" w:type="pct"/>
            <w:tcBorders>
              <w:bottom w:val="single" w:sz="12" w:space="0" w:color="000000"/>
            </w:tcBorders>
            <w:vAlign w:val="bottom"/>
          </w:tcPr>
          <w:p w14:paraId="47A99975" w14:textId="77777777" w:rsidR="009A397A" w:rsidRPr="009A397A" w:rsidRDefault="009A397A" w:rsidP="001B330E">
            <w:pPr>
              <w:widowControl w:val="0"/>
              <w:pBdr>
                <w:top w:val="nil"/>
                <w:left w:val="nil"/>
                <w:bottom w:val="nil"/>
                <w:right w:val="nil"/>
                <w:between w:val="nil"/>
              </w:pBdr>
              <w:rPr>
                <w:color w:val="000000"/>
              </w:rPr>
            </w:pPr>
          </w:p>
        </w:tc>
        <w:tc>
          <w:tcPr>
            <w:tcW w:w="538" w:type="pct"/>
            <w:tcBorders>
              <w:bottom w:val="single" w:sz="12" w:space="0" w:color="000000"/>
            </w:tcBorders>
            <w:vAlign w:val="bottom"/>
          </w:tcPr>
          <w:p w14:paraId="5070F35F" w14:textId="77777777" w:rsidR="009A397A" w:rsidRPr="009A397A" w:rsidRDefault="009A397A" w:rsidP="001B330E">
            <w:pPr>
              <w:widowControl w:val="0"/>
              <w:pBdr>
                <w:top w:val="nil"/>
                <w:left w:val="nil"/>
                <w:bottom w:val="nil"/>
                <w:right w:val="nil"/>
                <w:between w:val="nil"/>
              </w:pBdr>
              <w:rPr>
                <w:color w:val="000000"/>
              </w:rPr>
            </w:pPr>
          </w:p>
        </w:tc>
        <w:tc>
          <w:tcPr>
            <w:tcW w:w="378" w:type="pct"/>
            <w:tcBorders>
              <w:bottom w:val="single" w:sz="12" w:space="0" w:color="000000"/>
            </w:tcBorders>
            <w:vAlign w:val="bottom"/>
          </w:tcPr>
          <w:p w14:paraId="1835637F" w14:textId="77777777" w:rsidR="009A397A" w:rsidRPr="009A397A" w:rsidRDefault="009A397A" w:rsidP="001B330E">
            <w:pPr>
              <w:widowControl w:val="0"/>
              <w:pBdr>
                <w:top w:val="nil"/>
                <w:left w:val="nil"/>
                <w:bottom w:val="nil"/>
                <w:right w:val="nil"/>
                <w:between w:val="nil"/>
              </w:pBdr>
              <w:rPr>
                <w:color w:val="000000"/>
              </w:rPr>
            </w:pPr>
          </w:p>
        </w:tc>
        <w:tc>
          <w:tcPr>
            <w:tcW w:w="463" w:type="pct"/>
            <w:tcBorders>
              <w:bottom w:val="single" w:sz="12" w:space="0" w:color="000000"/>
            </w:tcBorders>
            <w:vAlign w:val="bottom"/>
          </w:tcPr>
          <w:p w14:paraId="785A3592" w14:textId="77777777" w:rsidR="009A397A" w:rsidRPr="009A397A" w:rsidRDefault="009A397A" w:rsidP="001B330E">
            <w:pPr>
              <w:widowControl w:val="0"/>
              <w:pBdr>
                <w:top w:val="nil"/>
                <w:left w:val="nil"/>
                <w:bottom w:val="nil"/>
                <w:right w:val="nil"/>
                <w:between w:val="nil"/>
              </w:pBdr>
              <w:rPr>
                <w:color w:val="000000"/>
              </w:rPr>
            </w:pPr>
          </w:p>
        </w:tc>
        <w:tc>
          <w:tcPr>
            <w:tcW w:w="345" w:type="pct"/>
            <w:tcBorders>
              <w:bottom w:val="single" w:sz="12" w:space="0" w:color="000000"/>
            </w:tcBorders>
            <w:vAlign w:val="bottom"/>
          </w:tcPr>
          <w:p w14:paraId="37C60EFC" w14:textId="77777777" w:rsidR="009A397A" w:rsidRPr="009A397A" w:rsidRDefault="009A397A" w:rsidP="001B330E">
            <w:pPr>
              <w:widowControl w:val="0"/>
              <w:pBdr>
                <w:top w:val="nil"/>
                <w:left w:val="nil"/>
                <w:bottom w:val="nil"/>
                <w:right w:val="nil"/>
                <w:between w:val="nil"/>
              </w:pBdr>
              <w:rPr>
                <w:color w:val="000000"/>
              </w:rPr>
            </w:pPr>
          </w:p>
        </w:tc>
        <w:tc>
          <w:tcPr>
            <w:tcW w:w="538" w:type="pct"/>
            <w:tcBorders>
              <w:bottom w:val="single" w:sz="12" w:space="0" w:color="000000"/>
            </w:tcBorders>
            <w:vAlign w:val="bottom"/>
          </w:tcPr>
          <w:p w14:paraId="4439B795" w14:textId="77777777" w:rsidR="009A397A" w:rsidRPr="009A397A" w:rsidRDefault="009A397A" w:rsidP="001B330E">
            <w:pPr>
              <w:widowControl w:val="0"/>
              <w:pBdr>
                <w:top w:val="nil"/>
                <w:left w:val="nil"/>
                <w:bottom w:val="nil"/>
                <w:right w:val="nil"/>
                <w:between w:val="nil"/>
              </w:pBdr>
              <w:rPr>
                <w:color w:val="000000"/>
              </w:rPr>
            </w:pPr>
          </w:p>
        </w:tc>
        <w:tc>
          <w:tcPr>
            <w:tcW w:w="378" w:type="pct"/>
            <w:tcBorders>
              <w:bottom w:val="single" w:sz="12" w:space="0" w:color="000000"/>
            </w:tcBorders>
            <w:vAlign w:val="bottom"/>
          </w:tcPr>
          <w:p w14:paraId="7544A764" w14:textId="77777777" w:rsidR="009A397A" w:rsidRPr="009A397A" w:rsidRDefault="009A397A" w:rsidP="001B330E">
            <w:pPr>
              <w:widowControl w:val="0"/>
              <w:pBdr>
                <w:top w:val="nil"/>
                <w:left w:val="nil"/>
                <w:bottom w:val="nil"/>
                <w:right w:val="nil"/>
                <w:between w:val="nil"/>
              </w:pBdr>
              <w:rPr>
                <w:color w:val="000000"/>
              </w:rPr>
            </w:pPr>
          </w:p>
        </w:tc>
      </w:tr>
    </w:tbl>
    <w:p w14:paraId="3B72C84F" w14:textId="77777777"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sign “-“ in the table above means that the Group does not have the respective assets or liabilities in the corresponding currency.</w:t>
      </w:r>
    </w:p>
    <w:p w14:paraId="3D7B55C4" w14:textId="627E44FF" w:rsidR="00D83E33" w:rsidRDefault="00BC4072">
      <w:pPr>
        <w:pBdr>
          <w:top w:val="nil"/>
          <w:left w:val="nil"/>
          <w:bottom w:val="nil"/>
          <w:right w:val="nil"/>
          <w:between w:val="nil"/>
        </w:pBdr>
        <w:spacing w:before="200" w:after="200"/>
        <w:jc w:val="both"/>
        <w:rPr>
          <w:color w:val="000000"/>
          <w:sz w:val="20"/>
          <w:szCs w:val="20"/>
        </w:rPr>
      </w:pPr>
      <w:r>
        <w:rPr>
          <w:b/>
          <w:i/>
          <w:color w:val="000000"/>
          <w:sz w:val="20"/>
          <w:szCs w:val="20"/>
        </w:rPr>
        <w:t>Other price risk.</w:t>
      </w:r>
      <w:r>
        <w:rPr>
          <w:b/>
          <w:color w:val="000000"/>
          <w:sz w:val="20"/>
          <w:szCs w:val="20"/>
        </w:rPr>
        <w:t xml:space="preserve"> </w:t>
      </w:r>
      <w:r>
        <w:rPr>
          <w:color w:val="000000"/>
          <w:sz w:val="20"/>
          <w:szCs w:val="20"/>
        </w:rPr>
        <w:t xml:space="preserve">The Group has </w:t>
      </w:r>
      <w:r>
        <w:rPr>
          <w:color w:val="0000FF"/>
          <w:sz w:val="20"/>
          <w:szCs w:val="20"/>
        </w:rPr>
        <w:t>[limited]</w:t>
      </w:r>
      <w:r>
        <w:rPr>
          <w:color w:val="000000"/>
          <w:sz w:val="20"/>
          <w:szCs w:val="20"/>
        </w:rPr>
        <w:t xml:space="preserve"> exposure to equity price risk. Transactions in equity products are monitored and authorised by the </w:t>
      </w:r>
      <w:r>
        <w:rPr>
          <w:color w:val="0000FF"/>
          <w:sz w:val="20"/>
          <w:szCs w:val="20"/>
        </w:rPr>
        <w:t>[Group treasury]</w:t>
      </w:r>
      <w:r>
        <w:rPr>
          <w:color w:val="000000"/>
          <w:sz w:val="20"/>
          <w:szCs w:val="20"/>
        </w:rPr>
        <w:t>. At 31</w:t>
      </w:r>
      <w:r w:rsidR="00181687">
        <w:rPr>
          <w:color w:val="000000"/>
          <w:sz w:val="20"/>
          <w:szCs w:val="20"/>
        </w:rPr>
        <w:t> December </w:t>
      </w:r>
      <w:r w:rsidR="00541EBC">
        <w:rPr>
          <w:color w:val="000000"/>
          <w:sz w:val="20"/>
          <w:szCs w:val="20"/>
        </w:rPr>
        <w:t>2024</w:t>
      </w:r>
      <w:r>
        <w:rPr>
          <w:color w:val="000000"/>
          <w:sz w:val="20"/>
          <w:szCs w:val="20"/>
        </w:rPr>
        <w:t xml:space="preserve">, if equity prices at that date had been </w:t>
      </w:r>
      <w:r>
        <w:rPr>
          <w:color w:val="0000FF"/>
          <w:sz w:val="20"/>
          <w:szCs w:val="20"/>
        </w:rPr>
        <w:t>[20% (</w:t>
      </w:r>
      <w:r w:rsidR="00541EBC">
        <w:rPr>
          <w:color w:val="0000FF"/>
          <w:sz w:val="20"/>
          <w:szCs w:val="20"/>
        </w:rPr>
        <w:t>2023</w:t>
      </w:r>
      <w:r>
        <w:rPr>
          <w:color w:val="0000FF"/>
          <w:sz w:val="20"/>
          <w:szCs w:val="20"/>
        </w:rPr>
        <w:t>: 25%)]</w:t>
      </w:r>
      <w:r>
        <w:rPr>
          <w:color w:val="000000"/>
          <w:sz w:val="20"/>
          <w:szCs w:val="20"/>
        </w:rPr>
        <w:t xml:space="preserve"> lower (higher) with all other variables held constant, profit for the year would have been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lower (higher), and other components of equity would have been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lower (higher), mainly as a result of a decrease in the fair value of corporate shares at FVOCI (</w:t>
      </w:r>
      <w:r w:rsidR="00541EBC">
        <w:rPr>
          <w:color w:val="000000"/>
          <w:sz w:val="20"/>
          <w:szCs w:val="20"/>
        </w:rPr>
        <w:t>2023</w:t>
      </w:r>
      <w:r>
        <w:rPr>
          <w:color w:val="000000"/>
          <w:sz w:val="20"/>
          <w:szCs w:val="20"/>
        </w:rPr>
        <w:t xml:space="preserve">: corporate shares at FVOCI). </w:t>
      </w:r>
      <w:r>
        <w:rPr>
          <w:i/>
          <w:color w:val="FF0000"/>
          <w:sz w:val="20"/>
          <w:szCs w:val="20"/>
        </w:rPr>
        <w:t>[Disclose also assumptions made in calculating the sensitivities.]</w:t>
      </w:r>
    </w:p>
    <w:p w14:paraId="7EF8673F" w14:textId="77777777" w:rsidR="009A397A" w:rsidRDefault="009A397A">
      <w:pPr>
        <w:pStyle w:val="Continued"/>
      </w:pPr>
      <w:r>
        <w:lastRenderedPageBreak/>
        <w:t>41</w:t>
      </w:r>
      <w:r>
        <w:tab/>
        <w:t>Financial Risk Management (Continued)</w:t>
      </w:r>
    </w:p>
    <w:p w14:paraId="3F961C97" w14:textId="797B49E9"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 xml:space="preserve">The Group is exposed to prepayment risk through providing </w:t>
      </w:r>
      <w:r>
        <w:rPr>
          <w:color w:val="0000FF"/>
          <w:sz w:val="20"/>
          <w:szCs w:val="20"/>
        </w:rPr>
        <w:t>[fixed or variable rate]</w:t>
      </w:r>
      <w:r>
        <w:rPr>
          <w:color w:val="000000"/>
          <w:sz w:val="20"/>
          <w:szCs w:val="20"/>
        </w:rPr>
        <w:t xml:space="preserve"> loans, including mortgages, which give the borrower the right to repay the loans early. The Group’s current year profit </w:t>
      </w:r>
      <w:r>
        <w:rPr>
          <w:color w:val="0000FF"/>
          <w:sz w:val="20"/>
          <w:szCs w:val="20"/>
        </w:rPr>
        <w:t>[loss]</w:t>
      </w:r>
      <w:r>
        <w:rPr>
          <w:color w:val="000000"/>
          <w:sz w:val="20"/>
          <w:szCs w:val="20"/>
        </w:rPr>
        <w:t xml:space="preserve"> and equity at the end of the current reporting period would not have been significantly impacted by changes in prepayment rates because such loans are carried at amortised cost and the prepayment right is at, or close to, the amortised cost of the loans and advances to customers (</w:t>
      </w:r>
      <w:r w:rsidR="00541EBC">
        <w:rPr>
          <w:color w:val="000000"/>
          <w:sz w:val="20"/>
          <w:szCs w:val="20"/>
        </w:rPr>
        <w:t>2023</w:t>
      </w:r>
      <w:r>
        <w:rPr>
          <w:color w:val="000000"/>
          <w:sz w:val="20"/>
          <w:szCs w:val="20"/>
        </w:rPr>
        <w:t>: no material impact).</w:t>
      </w:r>
    </w:p>
    <w:p w14:paraId="7CD3A544" w14:textId="2C4DFCDD" w:rsidR="00D83E33" w:rsidRDefault="00BC4072">
      <w:pPr>
        <w:pBdr>
          <w:top w:val="nil"/>
          <w:left w:val="nil"/>
          <w:bottom w:val="nil"/>
          <w:right w:val="nil"/>
          <w:between w:val="nil"/>
        </w:pBdr>
        <w:spacing w:before="200" w:after="200"/>
        <w:jc w:val="both"/>
        <w:rPr>
          <w:color w:val="000000"/>
          <w:sz w:val="20"/>
          <w:szCs w:val="20"/>
        </w:rPr>
      </w:pPr>
      <w:r>
        <w:rPr>
          <w:i/>
          <w:color w:val="FF0000"/>
          <w:sz w:val="20"/>
          <w:szCs w:val="20"/>
        </w:rPr>
        <w:t>[Please disclose information about any other price risk that the Group may be exposed to.]</w:t>
      </w:r>
    </w:p>
    <w:p w14:paraId="5E782ECB" w14:textId="09CF59BF" w:rsidR="00D83E33" w:rsidRDefault="00BC4072">
      <w:pPr>
        <w:pBdr>
          <w:top w:val="nil"/>
          <w:left w:val="nil"/>
          <w:bottom w:val="nil"/>
          <w:right w:val="nil"/>
          <w:between w:val="nil"/>
        </w:pBdr>
        <w:spacing w:before="200" w:after="200"/>
        <w:jc w:val="both"/>
        <w:rPr>
          <w:color w:val="000000"/>
          <w:sz w:val="20"/>
          <w:szCs w:val="20"/>
        </w:rPr>
      </w:pPr>
      <w:r>
        <w:rPr>
          <w:b/>
          <w:i/>
          <w:color w:val="000000"/>
          <w:sz w:val="20"/>
          <w:szCs w:val="20"/>
        </w:rPr>
        <w:t>Geographical risk concentrations.</w:t>
      </w:r>
      <w:r>
        <w:rPr>
          <w:b/>
          <w:color w:val="000000"/>
          <w:sz w:val="20"/>
          <w:szCs w:val="20"/>
        </w:rPr>
        <w:t xml:space="preserve"> </w:t>
      </w:r>
      <w:r>
        <w:rPr>
          <w:color w:val="000000"/>
          <w:sz w:val="20"/>
          <w:szCs w:val="20"/>
        </w:rPr>
        <w:t>The geographical concentration of the Group’s financial assets and liabilities at 31</w:t>
      </w:r>
      <w:r w:rsidR="00181687">
        <w:rPr>
          <w:color w:val="000000"/>
          <w:sz w:val="20"/>
          <w:szCs w:val="20"/>
        </w:rPr>
        <w:t> December </w:t>
      </w:r>
      <w:r w:rsidR="00541EBC">
        <w:rPr>
          <w:color w:val="000000"/>
          <w:sz w:val="20"/>
          <w:szCs w:val="20"/>
        </w:rPr>
        <w:t>2024</w:t>
      </w:r>
      <w:r>
        <w:rPr>
          <w:color w:val="000000"/>
          <w:sz w:val="20"/>
          <w:szCs w:val="20"/>
        </w:rPr>
        <w:t xml:space="preserve"> is set out below:</w:t>
      </w:r>
    </w:p>
    <w:tbl>
      <w:tblPr>
        <w:tblStyle w:val="affffffffffffff5"/>
        <w:tblW w:w="5000" w:type="pct"/>
        <w:tblLayout w:type="fixed"/>
        <w:tblCellMar>
          <w:left w:w="113" w:type="dxa"/>
          <w:right w:w="113" w:type="dxa"/>
        </w:tblCellMar>
        <w:tblLook w:val="0000" w:firstRow="0" w:lastRow="0" w:firstColumn="0" w:lastColumn="0" w:noHBand="0" w:noVBand="0"/>
      </w:tblPr>
      <w:tblGrid>
        <w:gridCol w:w="2956"/>
        <w:gridCol w:w="1218"/>
        <w:gridCol w:w="1218"/>
        <w:gridCol w:w="1128"/>
        <w:gridCol w:w="879"/>
        <w:gridCol w:w="964"/>
        <w:gridCol w:w="992"/>
      </w:tblGrid>
      <w:tr w:rsidR="00D83E33" w:rsidRPr="00EA10CF" w14:paraId="03F80689" w14:textId="77777777" w:rsidTr="00372E26">
        <w:trPr>
          <w:trHeight w:val="23"/>
        </w:trPr>
        <w:tc>
          <w:tcPr>
            <w:tcW w:w="1580" w:type="pct"/>
            <w:tcBorders>
              <w:bottom w:val="single" w:sz="4" w:space="0" w:color="000000"/>
            </w:tcBorders>
            <w:vAlign w:val="bottom"/>
          </w:tcPr>
          <w:p w14:paraId="43A7FCC9" w14:textId="656502A7"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51" w:type="pct"/>
            <w:tcBorders>
              <w:bottom w:val="single" w:sz="4" w:space="0" w:color="000000"/>
            </w:tcBorders>
          </w:tcPr>
          <w:p w14:paraId="1E997919" w14:textId="687C9033" w:rsidR="00D83E33" w:rsidRPr="00EA10CF" w:rsidRDefault="00372E26" w:rsidP="001B330E">
            <w:pPr>
              <w:widowControl w:val="0"/>
              <w:pBdr>
                <w:top w:val="nil"/>
                <w:left w:val="nil"/>
                <w:bottom w:val="nil"/>
                <w:right w:val="nil"/>
                <w:between w:val="nil"/>
              </w:pBdr>
              <w:rPr>
                <w:color w:val="000000"/>
              </w:rPr>
            </w:pPr>
            <w:r>
              <w:rPr>
                <w:b/>
                <w:color w:val="000000"/>
              </w:rPr>
              <w:t>[Country]</w:t>
            </w:r>
          </w:p>
        </w:tc>
        <w:tc>
          <w:tcPr>
            <w:tcW w:w="651" w:type="pct"/>
            <w:tcBorders>
              <w:bottom w:val="single" w:sz="4" w:space="0" w:color="000000"/>
            </w:tcBorders>
          </w:tcPr>
          <w:p w14:paraId="00C771E7" w14:textId="472719A7" w:rsidR="00D83E33" w:rsidRPr="00EA10CF" w:rsidRDefault="002769D8" w:rsidP="001B330E">
            <w:pPr>
              <w:widowControl w:val="0"/>
              <w:pBdr>
                <w:top w:val="nil"/>
                <w:left w:val="nil"/>
                <w:bottom w:val="nil"/>
                <w:right w:val="nil"/>
                <w:between w:val="nil"/>
              </w:pBdr>
              <w:rPr>
                <w:b/>
                <w:color w:val="0000FF"/>
              </w:rPr>
            </w:pPr>
            <w:r>
              <w:rPr>
                <w:b/>
                <w:color w:val="0000FF"/>
              </w:rPr>
              <w:t>Czech Republic</w:t>
            </w:r>
          </w:p>
        </w:tc>
        <w:tc>
          <w:tcPr>
            <w:tcW w:w="603" w:type="pct"/>
            <w:tcBorders>
              <w:bottom w:val="single" w:sz="4" w:space="0" w:color="000000"/>
            </w:tcBorders>
          </w:tcPr>
          <w:p w14:paraId="7E6958C5" w14:textId="420FF79B" w:rsidR="00D83E33" w:rsidRPr="00EA10CF" w:rsidRDefault="002769D8" w:rsidP="001B330E">
            <w:pPr>
              <w:widowControl w:val="0"/>
              <w:pBdr>
                <w:top w:val="nil"/>
                <w:left w:val="nil"/>
                <w:bottom w:val="nil"/>
                <w:right w:val="nil"/>
                <w:between w:val="nil"/>
              </w:pBdr>
              <w:rPr>
                <w:color w:val="0000FF"/>
              </w:rPr>
            </w:pPr>
            <w:r>
              <w:rPr>
                <w:b/>
                <w:color w:val="0000FF"/>
              </w:rPr>
              <w:t>Poland</w:t>
            </w:r>
          </w:p>
        </w:tc>
        <w:tc>
          <w:tcPr>
            <w:tcW w:w="470" w:type="pct"/>
            <w:tcBorders>
              <w:bottom w:val="single" w:sz="4" w:space="0" w:color="000000"/>
            </w:tcBorders>
          </w:tcPr>
          <w:p w14:paraId="2A7F8411" w14:textId="799ACA46" w:rsidR="00D83E33" w:rsidRPr="00EA10CF" w:rsidRDefault="00BC4072" w:rsidP="001B330E">
            <w:pPr>
              <w:widowControl w:val="0"/>
              <w:pBdr>
                <w:top w:val="nil"/>
                <w:left w:val="nil"/>
                <w:bottom w:val="nil"/>
                <w:right w:val="nil"/>
                <w:between w:val="nil"/>
              </w:pBdr>
              <w:rPr>
                <w:color w:val="0000FF"/>
              </w:rPr>
            </w:pPr>
            <w:r w:rsidRPr="00EA10CF">
              <w:rPr>
                <w:b/>
                <w:color w:val="0000FF"/>
              </w:rPr>
              <w:t xml:space="preserve">[Other </w:t>
            </w:r>
            <w:r w:rsidR="002769D8">
              <w:rPr>
                <w:b/>
                <w:color w:val="0000FF"/>
              </w:rPr>
              <w:t>EU</w:t>
            </w:r>
            <w:r w:rsidRPr="00EA10CF">
              <w:rPr>
                <w:b/>
                <w:color w:val="0000FF"/>
              </w:rPr>
              <w:t>]</w:t>
            </w:r>
          </w:p>
        </w:tc>
        <w:tc>
          <w:tcPr>
            <w:tcW w:w="515" w:type="pct"/>
            <w:tcBorders>
              <w:bottom w:val="single" w:sz="4" w:space="0" w:color="000000"/>
            </w:tcBorders>
          </w:tcPr>
          <w:p w14:paraId="78FA40FC" w14:textId="55FD7A08" w:rsidR="00D83E33" w:rsidRPr="00EA10CF" w:rsidRDefault="00BC4072" w:rsidP="001B330E">
            <w:pPr>
              <w:widowControl w:val="0"/>
              <w:pBdr>
                <w:top w:val="nil"/>
                <w:left w:val="nil"/>
                <w:bottom w:val="nil"/>
                <w:right w:val="nil"/>
                <w:between w:val="nil"/>
              </w:pBdr>
              <w:rPr>
                <w:color w:val="0000FF"/>
              </w:rPr>
            </w:pPr>
            <w:r w:rsidRPr="00EA10CF">
              <w:rPr>
                <w:b/>
                <w:color w:val="0000FF"/>
              </w:rPr>
              <w:t>[</w:t>
            </w:r>
            <w:r w:rsidR="002769D8">
              <w:rPr>
                <w:b/>
                <w:color w:val="0000FF"/>
              </w:rPr>
              <w:t>Other n</w:t>
            </w:r>
            <w:r w:rsidRPr="00EA10CF">
              <w:rPr>
                <w:b/>
                <w:color w:val="0000FF"/>
              </w:rPr>
              <w:t>on</w:t>
            </w:r>
            <w:r w:rsidR="002769D8">
              <w:rPr>
                <w:b/>
                <w:color w:val="0000FF"/>
              </w:rPr>
              <w:t>-EU</w:t>
            </w:r>
            <w:r w:rsidRPr="00EA10CF">
              <w:rPr>
                <w:b/>
                <w:color w:val="0000FF"/>
              </w:rPr>
              <w:t>]</w:t>
            </w:r>
          </w:p>
        </w:tc>
        <w:tc>
          <w:tcPr>
            <w:tcW w:w="530" w:type="pct"/>
            <w:tcBorders>
              <w:bottom w:val="single" w:sz="4" w:space="0" w:color="000000"/>
            </w:tcBorders>
          </w:tcPr>
          <w:p w14:paraId="339C0852" w14:textId="77777777" w:rsidR="00D83E33" w:rsidRPr="00EA10CF" w:rsidRDefault="00BC4072" w:rsidP="001B330E">
            <w:pPr>
              <w:widowControl w:val="0"/>
              <w:pBdr>
                <w:top w:val="nil"/>
                <w:left w:val="nil"/>
                <w:bottom w:val="nil"/>
                <w:right w:val="nil"/>
                <w:between w:val="nil"/>
              </w:pBdr>
              <w:rPr>
                <w:color w:val="000000"/>
              </w:rPr>
            </w:pPr>
            <w:r w:rsidRPr="00EA10CF">
              <w:rPr>
                <w:b/>
                <w:color w:val="000000"/>
              </w:rPr>
              <w:t>Total</w:t>
            </w:r>
          </w:p>
        </w:tc>
      </w:tr>
      <w:tr w:rsidR="00D83E33" w:rsidRPr="00EA10CF" w14:paraId="4B7232A1" w14:textId="77777777" w:rsidTr="00372E26">
        <w:trPr>
          <w:trHeight w:val="23"/>
        </w:trPr>
        <w:tc>
          <w:tcPr>
            <w:tcW w:w="1580" w:type="pct"/>
          </w:tcPr>
          <w:p w14:paraId="5D1F79F4" w14:textId="77777777" w:rsidR="00D83E33" w:rsidRPr="00EA10CF" w:rsidRDefault="00D83E33" w:rsidP="001B330E">
            <w:pPr>
              <w:widowControl w:val="0"/>
              <w:ind w:left="113" w:hanging="113"/>
              <w:rPr>
                <w:i/>
              </w:rPr>
            </w:pPr>
          </w:p>
        </w:tc>
        <w:tc>
          <w:tcPr>
            <w:tcW w:w="651" w:type="pct"/>
            <w:vAlign w:val="bottom"/>
          </w:tcPr>
          <w:p w14:paraId="1B966AB9"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7488EFF4"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446A5F0C"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3FCD2F7E"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3DA3D056"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507C4BBB"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20939543" w14:textId="77777777" w:rsidTr="00372E26">
        <w:trPr>
          <w:trHeight w:val="23"/>
        </w:trPr>
        <w:tc>
          <w:tcPr>
            <w:tcW w:w="1580" w:type="pct"/>
          </w:tcPr>
          <w:p w14:paraId="770D2154"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color w:val="000000"/>
              </w:rPr>
              <w:t>Financial assets</w:t>
            </w:r>
          </w:p>
        </w:tc>
        <w:tc>
          <w:tcPr>
            <w:tcW w:w="651" w:type="pct"/>
            <w:vAlign w:val="bottom"/>
          </w:tcPr>
          <w:p w14:paraId="4DC4815C"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06A38B5B"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4B25C8DF"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0397F04D"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76EA72EA"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1B477D03"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1FF79F41" w14:textId="77777777" w:rsidTr="00372E26">
        <w:trPr>
          <w:trHeight w:val="23"/>
        </w:trPr>
        <w:tc>
          <w:tcPr>
            <w:tcW w:w="1580" w:type="pct"/>
          </w:tcPr>
          <w:p w14:paraId="58D1F58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Cash and cash equivalents</w:t>
            </w:r>
          </w:p>
        </w:tc>
        <w:tc>
          <w:tcPr>
            <w:tcW w:w="651" w:type="pct"/>
            <w:vAlign w:val="bottom"/>
          </w:tcPr>
          <w:p w14:paraId="09C4C26A"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5C6320D7"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61EFCB1E"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47503722"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6B5FE924"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59800974"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54CA9382" w14:textId="77777777" w:rsidTr="00372E26">
        <w:trPr>
          <w:trHeight w:val="23"/>
        </w:trPr>
        <w:tc>
          <w:tcPr>
            <w:tcW w:w="1580" w:type="pct"/>
          </w:tcPr>
          <w:p w14:paraId="79A53A9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Investments in debt securities</w:t>
            </w:r>
          </w:p>
        </w:tc>
        <w:tc>
          <w:tcPr>
            <w:tcW w:w="651" w:type="pct"/>
            <w:vAlign w:val="bottom"/>
          </w:tcPr>
          <w:p w14:paraId="52C63CC6"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1A166A7F"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6900598F"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4D78B178"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2A3D1F5D"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05E8F34D"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4BE10BED" w14:textId="77777777" w:rsidTr="00372E26">
        <w:trPr>
          <w:trHeight w:val="23"/>
        </w:trPr>
        <w:tc>
          <w:tcPr>
            <w:tcW w:w="1580" w:type="pct"/>
          </w:tcPr>
          <w:p w14:paraId="7A89C77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Investment in equity securities </w:t>
            </w:r>
          </w:p>
        </w:tc>
        <w:tc>
          <w:tcPr>
            <w:tcW w:w="651" w:type="pct"/>
            <w:vAlign w:val="bottom"/>
          </w:tcPr>
          <w:p w14:paraId="12B59631"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5B4FA2C0"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19238E7F"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041E6373"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1CD9E6EE"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6E7CFC1E"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142D32AC" w14:textId="77777777" w:rsidTr="00372E26">
        <w:trPr>
          <w:trHeight w:val="23"/>
        </w:trPr>
        <w:tc>
          <w:tcPr>
            <w:tcW w:w="1580" w:type="pct"/>
          </w:tcPr>
          <w:p w14:paraId="139354D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Due from other banks</w:t>
            </w:r>
          </w:p>
        </w:tc>
        <w:tc>
          <w:tcPr>
            <w:tcW w:w="651" w:type="pct"/>
            <w:vAlign w:val="bottom"/>
          </w:tcPr>
          <w:p w14:paraId="162AC2D4"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01810920"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4E47B663"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302CE2C9"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450510C3"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6E60D736"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74B0CBE5" w14:textId="77777777" w:rsidTr="00372E26">
        <w:trPr>
          <w:trHeight w:val="23"/>
        </w:trPr>
        <w:tc>
          <w:tcPr>
            <w:tcW w:w="1580" w:type="pct"/>
          </w:tcPr>
          <w:p w14:paraId="24FDB44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Loans and advances to customers</w:t>
            </w:r>
          </w:p>
        </w:tc>
        <w:tc>
          <w:tcPr>
            <w:tcW w:w="651" w:type="pct"/>
            <w:vAlign w:val="bottom"/>
          </w:tcPr>
          <w:p w14:paraId="33FA89D9"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2D871330"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31F7EB9C"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0F168AFA"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6EDE6159"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64498CF0"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0F3FD2D8" w14:textId="77777777" w:rsidTr="00372E26">
        <w:trPr>
          <w:trHeight w:val="23"/>
        </w:trPr>
        <w:tc>
          <w:tcPr>
            <w:tcW w:w="1580" w:type="pct"/>
          </w:tcPr>
          <w:p w14:paraId="3D8B01E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Repurchase receivables</w:t>
            </w:r>
          </w:p>
        </w:tc>
        <w:tc>
          <w:tcPr>
            <w:tcW w:w="651" w:type="pct"/>
            <w:vAlign w:val="bottom"/>
          </w:tcPr>
          <w:p w14:paraId="18D5FD7A"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6469E804"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4DF6D238"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10EB9659"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38F38C4E"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725A5A1C"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5C9DB054" w14:textId="77777777" w:rsidTr="00372E26">
        <w:trPr>
          <w:trHeight w:val="23"/>
        </w:trPr>
        <w:tc>
          <w:tcPr>
            <w:tcW w:w="1580" w:type="pct"/>
          </w:tcPr>
          <w:p w14:paraId="1E8866E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financial assets</w:t>
            </w:r>
          </w:p>
        </w:tc>
        <w:tc>
          <w:tcPr>
            <w:tcW w:w="651" w:type="pct"/>
            <w:vAlign w:val="bottom"/>
          </w:tcPr>
          <w:p w14:paraId="71DFD1B4"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327CCBEB"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78A7D501"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59A37103"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6E335E6C"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43BA4960"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12B27313" w14:textId="77777777" w:rsidTr="00372E26">
        <w:trPr>
          <w:trHeight w:val="23"/>
        </w:trPr>
        <w:tc>
          <w:tcPr>
            <w:tcW w:w="1580" w:type="pct"/>
            <w:tcBorders>
              <w:bottom w:val="single" w:sz="4" w:space="0" w:color="000000"/>
            </w:tcBorders>
          </w:tcPr>
          <w:p w14:paraId="28827928"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51" w:type="pct"/>
            <w:tcBorders>
              <w:bottom w:val="single" w:sz="4" w:space="0" w:color="000000"/>
            </w:tcBorders>
            <w:vAlign w:val="bottom"/>
          </w:tcPr>
          <w:p w14:paraId="306EC9ED" w14:textId="77777777" w:rsidR="00D83E33" w:rsidRPr="00EA10CF" w:rsidRDefault="00D83E33" w:rsidP="001B330E">
            <w:pPr>
              <w:widowControl w:val="0"/>
              <w:pBdr>
                <w:top w:val="nil"/>
                <w:left w:val="nil"/>
                <w:bottom w:val="nil"/>
                <w:right w:val="nil"/>
                <w:between w:val="nil"/>
              </w:pBdr>
              <w:rPr>
                <w:color w:val="000000"/>
              </w:rPr>
            </w:pPr>
          </w:p>
        </w:tc>
        <w:tc>
          <w:tcPr>
            <w:tcW w:w="651" w:type="pct"/>
            <w:tcBorders>
              <w:bottom w:val="single" w:sz="4" w:space="0" w:color="000000"/>
            </w:tcBorders>
          </w:tcPr>
          <w:p w14:paraId="25454D22" w14:textId="77777777" w:rsidR="00D83E33" w:rsidRPr="00EA10CF" w:rsidRDefault="00D83E33" w:rsidP="001B330E">
            <w:pPr>
              <w:widowControl w:val="0"/>
              <w:pBdr>
                <w:top w:val="nil"/>
                <w:left w:val="nil"/>
                <w:bottom w:val="nil"/>
                <w:right w:val="nil"/>
                <w:between w:val="nil"/>
              </w:pBdr>
              <w:rPr>
                <w:color w:val="000000"/>
              </w:rPr>
            </w:pPr>
          </w:p>
        </w:tc>
        <w:tc>
          <w:tcPr>
            <w:tcW w:w="603" w:type="pct"/>
            <w:tcBorders>
              <w:bottom w:val="single" w:sz="4" w:space="0" w:color="000000"/>
            </w:tcBorders>
          </w:tcPr>
          <w:p w14:paraId="6EACE87E" w14:textId="77777777" w:rsidR="00D83E33" w:rsidRPr="00EA10CF" w:rsidRDefault="00D83E33" w:rsidP="001B330E">
            <w:pPr>
              <w:widowControl w:val="0"/>
              <w:pBdr>
                <w:top w:val="nil"/>
                <w:left w:val="nil"/>
                <w:bottom w:val="nil"/>
                <w:right w:val="nil"/>
                <w:between w:val="nil"/>
              </w:pBdr>
              <w:rPr>
                <w:color w:val="000000"/>
              </w:rPr>
            </w:pPr>
          </w:p>
        </w:tc>
        <w:tc>
          <w:tcPr>
            <w:tcW w:w="470" w:type="pct"/>
            <w:tcBorders>
              <w:bottom w:val="single" w:sz="4" w:space="0" w:color="000000"/>
            </w:tcBorders>
            <w:vAlign w:val="bottom"/>
          </w:tcPr>
          <w:p w14:paraId="7A600D20" w14:textId="77777777" w:rsidR="00D83E33" w:rsidRPr="00EA10CF" w:rsidRDefault="00D83E33" w:rsidP="001B330E">
            <w:pPr>
              <w:widowControl w:val="0"/>
              <w:pBdr>
                <w:top w:val="nil"/>
                <w:left w:val="nil"/>
                <w:bottom w:val="nil"/>
                <w:right w:val="nil"/>
                <w:between w:val="nil"/>
              </w:pBdr>
              <w:rPr>
                <w:color w:val="000000"/>
              </w:rPr>
            </w:pPr>
          </w:p>
        </w:tc>
        <w:tc>
          <w:tcPr>
            <w:tcW w:w="515" w:type="pct"/>
            <w:tcBorders>
              <w:bottom w:val="single" w:sz="4" w:space="0" w:color="000000"/>
            </w:tcBorders>
            <w:vAlign w:val="bottom"/>
          </w:tcPr>
          <w:p w14:paraId="51E47F6F" w14:textId="77777777" w:rsidR="00D83E33" w:rsidRPr="00EA10CF" w:rsidRDefault="00D83E33" w:rsidP="001B330E">
            <w:pPr>
              <w:widowControl w:val="0"/>
              <w:pBdr>
                <w:top w:val="nil"/>
                <w:left w:val="nil"/>
                <w:bottom w:val="nil"/>
                <w:right w:val="nil"/>
                <w:between w:val="nil"/>
              </w:pBdr>
              <w:rPr>
                <w:color w:val="000000"/>
              </w:rPr>
            </w:pPr>
          </w:p>
        </w:tc>
        <w:tc>
          <w:tcPr>
            <w:tcW w:w="530" w:type="pct"/>
            <w:tcBorders>
              <w:bottom w:val="single" w:sz="4" w:space="0" w:color="000000"/>
            </w:tcBorders>
            <w:vAlign w:val="bottom"/>
          </w:tcPr>
          <w:p w14:paraId="45F99413"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47EB711F" w14:textId="77777777" w:rsidTr="00372E26">
        <w:trPr>
          <w:trHeight w:val="23"/>
        </w:trPr>
        <w:tc>
          <w:tcPr>
            <w:tcW w:w="1580" w:type="pct"/>
          </w:tcPr>
          <w:p w14:paraId="62F54F08"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51" w:type="pct"/>
            <w:vAlign w:val="bottom"/>
          </w:tcPr>
          <w:p w14:paraId="77E5C968" w14:textId="77777777" w:rsidR="00D83E33" w:rsidRPr="00EA10CF" w:rsidRDefault="00D83E33" w:rsidP="001B330E">
            <w:pPr>
              <w:widowControl w:val="0"/>
              <w:pBdr>
                <w:top w:val="nil"/>
                <w:left w:val="nil"/>
                <w:bottom w:val="nil"/>
                <w:right w:val="nil"/>
                <w:between w:val="nil"/>
              </w:pBdr>
              <w:rPr>
                <w:b/>
                <w:color w:val="000000"/>
              </w:rPr>
            </w:pPr>
          </w:p>
        </w:tc>
        <w:tc>
          <w:tcPr>
            <w:tcW w:w="651" w:type="pct"/>
          </w:tcPr>
          <w:p w14:paraId="456CA360" w14:textId="77777777" w:rsidR="00D83E33" w:rsidRPr="00EA10CF" w:rsidRDefault="00D83E33" w:rsidP="001B330E">
            <w:pPr>
              <w:widowControl w:val="0"/>
              <w:pBdr>
                <w:top w:val="nil"/>
                <w:left w:val="nil"/>
                <w:bottom w:val="nil"/>
                <w:right w:val="nil"/>
                <w:between w:val="nil"/>
              </w:pBdr>
              <w:rPr>
                <w:b/>
                <w:color w:val="000000"/>
              </w:rPr>
            </w:pPr>
          </w:p>
        </w:tc>
        <w:tc>
          <w:tcPr>
            <w:tcW w:w="603" w:type="pct"/>
          </w:tcPr>
          <w:p w14:paraId="73C478CE" w14:textId="77777777" w:rsidR="00D83E33" w:rsidRPr="00EA10CF" w:rsidRDefault="00D83E33" w:rsidP="001B330E">
            <w:pPr>
              <w:widowControl w:val="0"/>
              <w:pBdr>
                <w:top w:val="nil"/>
                <w:left w:val="nil"/>
                <w:bottom w:val="nil"/>
                <w:right w:val="nil"/>
                <w:between w:val="nil"/>
              </w:pBdr>
              <w:rPr>
                <w:b/>
                <w:color w:val="000000"/>
              </w:rPr>
            </w:pPr>
          </w:p>
        </w:tc>
        <w:tc>
          <w:tcPr>
            <w:tcW w:w="470" w:type="pct"/>
            <w:vAlign w:val="bottom"/>
          </w:tcPr>
          <w:p w14:paraId="535B7C5B" w14:textId="77777777" w:rsidR="00D83E33" w:rsidRPr="00EA10CF" w:rsidRDefault="00D83E33" w:rsidP="001B330E">
            <w:pPr>
              <w:widowControl w:val="0"/>
              <w:pBdr>
                <w:top w:val="nil"/>
                <w:left w:val="nil"/>
                <w:bottom w:val="nil"/>
                <w:right w:val="nil"/>
                <w:between w:val="nil"/>
              </w:pBdr>
              <w:rPr>
                <w:b/>
                <w:color w:val="000000"/>
              </w:rPr>
            </w:pPr>
          </w:p>
        </w:tc>
        <w:tc>
          <w:tcPr>
            <w:tcW w:w="515" w:type="pct"/>
            <w:vAlign w:val="bottom"/>
          </w:tcPr>
          <w:p w14:paraId="77BEA345" w14:textId="77777777" w:rsidR="00D83E33" w:rsidRPr="00EA10CF" w:rsidRDefault="00D83E33" w:rsidP="001B330E">
            <w:pPr>
              <w:widowControl w:val="0"/>
              <w:pBdr>
                <w:top w:val="nil"/>
                <w:left w:val="nil"/>
                <w:bottom w:val="nil"/>
                <w:right w:val="nil"/>
                <w:between w:val="nil"/>
              </w:pBdr>
              <w:rPr>
                <w:b/>
                <w:color w:val="000000"/>
              </w:rPr>
            </w:pPr>
          </w:p>
        </w:tc>
        <w:tc>
          <w:tcPr>
            <w:tcW w:w="530" w:type="pct"/>
            <w:vAlign w:val="bottom"/>
          </w:tcPr>
          <w:p w14:paraId="678A83B4"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1F9FF0EF" w14:textId="77777777" w:rsidTr="00372E26">
        <w:trPr>
          <w:trHeight w:val="23"/>
        </w:trPr>
        <w:tc>
          <w:tcPr>
            <w:tcW w:w="1580" w:type="pct"/>
          </w:tcPr>
          <w:p w14:paraId="2E5F9F3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financial assets</w:t>
            </w:r>
          </w:p>
        </w:tc>
        <w:tc>
          <w:tcPr>
            <w:tcW w:w="651" w:type="pct"/>
            <w:vAlign w:val="bottom"/>
          </w:tcPr>
          <w:p w14:paraId="256B9224" w14:textId="77777777" w:rsidR="00D83E33" w:rsidRPr="00EA10CF" w:rsidRDefault="00D83E33" w:rsidP="001B330E">
            <w:pPr>
              <w:widowControl w:val="0"/>
              <w:pBdr>
                <w:top w:val="nil"/>
                <w:left w:val="nil"/>
                <w:bottom w:val="nil"/>
                <w:right w:val="nil"/>
                <w:between w:val="nil"/>
              </w:pBdr>
              <w:rPr>
                <w:b/>
                <w:color w:val="000000"/>
              </w:rPr>
            </w:pPr>
          </w:p>
        </w:tc>
        <w:tc>
          <w:tcPr>
            <w:tcW w:w="651" w:type="pct"/>
          </w:tcPr>
          <w:p w14:paraId="2AD23969" w14:textId="77777777" w:rsidR="00D83E33" w:rsidRPr="00EA10CF" w:rsidRDefault="00D83E33" w:rsidP="001B330E">
            <w:pPr>
              <w:widowControl w:val="0"/>
              <w:pBdr>
                <w:top w:val="nil"/>
                <w:left w:val="nil"/>
                <w:bottom w:val="nil"/>
                <w:right w:val="nil"/>
                <w:between w:val="nil"/>
              </w:pBdr>
              <w:rPr>
                <w:b/>
                <w:color w:val="000000"/>
              </w:rPr>
            </w:pPr>
          </w:p>
        </w:tc>
        <w:tc>
          <w:tcPr>
            <w:tcW w:w="603" w:type="pct"/>
          </w:tcPr>
          <w:p w14:paraId="5DF12BD0" w14:textId="77777777" w:rsidR="00D83E33" w:rsidRPr="00EA10CF" w:rsidRDefault="00D83E33" w:rsidP="001B330E">
            <w:pPr>
              <w:widowControl w:val="0"/>
              <w:pBdr>
                <w:top w:val="nil"/>
                <w:left w:val="nil"/>
                <w:bottom w:val="nil"/>
                <w:right w:val="nil"/>
                <w:between w:val="nil"/>
              </w:pBdr>
              <w:rPr>
                <w:b/>
                <w:color w:val="000000"/>
              </w:rPr>
            </w:pPr>
          </w:p>
        </w:tc>
        <w:tc>
          <w:tcPr>
            <w:tcW w:w="470" w:type="pct"/>
            <w:vAlign w:val="bottom"/>
          </w:tcPr>
          <w:p w14:paraId="082AAD06" w14:textId="77777777" w:rsidR="00D83E33" w:rsidRPr="00EA10CF" w:rsidRDefault="00D83E33" w:rsidP="001B330E">
            <w:pPr>
              <w:widowControl w:val="0"/>
              <w:pBdr>
                <w:top w:val="nil"/>
                <w:left w:val="nil"/>
                <w:bottom w:val="nil"/>
                <w:right w:val="nil"/>
                <w:between w:val="nil"/>
              </w:pBdr>
              <w:rPr>
                <w:b/>
                <w:color w:val="000000"/>
              </w:rPr>
            </w:pPr>
          </w:p>
        </w:tc>
        <w:tc>
          <w:tcPr>
            <w:tcW w:w="515" w:type="pct"/>
            <w:vAlign w:val="bottom"/>
          </w:tcPr>
          <w:p w14:paraId="683C6637" w14:textId="77777777" w:rsidR="00D83E33" w:rsidRPr="00EA10CF" w:rsidRDefault="00D83E33" w:rsidP="001B330E">
            <w:pPr>
              <w:widowControl w:val="0"/>
              <w:pBdr>
                <w:top w:val="nil"/>
                <w:left w:val="nil"/>
                <w:bottom w:val="nil"/>
                <w:right w:val="nil"/>
                <w:between w:val="nil"/>
              </w:pBdr>
              <w:rPr>
                <w:b/>
                <w:color w:val="000000"/>
              </w:rPr>
            </w:pPr>
          </w:p>
        </w:tc>
        <w:tc>
          <w:tcPr>
            <w:tcW w:w="530" w:type="pct"/>
            <w:vAlign w:val="bottom"/>
          </w:tcPr>
          <w:p w14:paraId="702A3E2B"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09C7BFA6" w14:textId="77777777" w:rsidTr="00372E26">
        <w:trPr>
          <w:trHeight w:val="23"/>
        </w:trPr>
        <w:tc>
          <w:tcPr>
            <w:tcW w:w="1580" w:type="pct"/>
            <w:tcBorders>
              <w:bottom w:val="single" w:sz="4" w:space="0" w:color="000000"/>
            </w:tcBorders>
          </w:tcPr>
          <w:p w14:paraId="55EAB74C"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51" w:type="pct"/>
            <w:tcBorders>
              <w:bottom w:val="single" w:sz="4" w:space="0" w:color="000000"/>
            </w:tcBorders>
            <w:vAlign w:val="bottom"/>
          </w:tcPr>
          <w:p w14:paraId="2886BA79" w14:textId="77777777" w:rsidR="00D83E33" w:rsidRPr="00EA10CF" w:rsidRDefault="00D83E33" w:rsidP="001B330E">
            <w:pPr>
              <w:widowControl w:val="0"/>
              <w:pBdr>
                <w:top w:val="nil"/>
                <w:left w:val="nil"/>
                <w:bottom w:val="nil"/>
                <w:right w:val="nil"/>
                <w:between w:val="nil"/>
              </w:pBdr>
              <w:rPr>
                <w:b/>
                <w:color w:val="000000"/>
              </w:rPr>
            </w:pPr>
          </w:p>
        </w:tc>
        <w:tc>
          <w:tcPr>
            <w:tcW w:w="651" w:type="pct"/>
            <w:tcBorders>
              <w:bottom w:val="single" w:sz="4" w:space="0" w:color="000000"/>
            </w:tcBorders>
          </w:tcPr>
          <w:p w14:paraId="53AC81F5" w14:textId="77777777" w:rsidR="00D83E33" w:rsidRPr="00EA10CF" w:rsidRDefault="00D83E33" w:rsidP="001B330E">
            <w:pPr>
              <w:widowControl w:val="0"/>
              <w:pBdr>
                <w:top w:val="nil"/>
                <w:left w:val="nil"/>
                <w:bottom w:val="nil"/>
                <w:right w:val="nil"/>
                <w:between w:val="nil"/>
              </w:pBdr>
              <w:rPr>
                <w:b/>
                <w:color w:val="000000"/>
              </w:rPr>
            </w:pPr>
          </w:p>
        </w:tc>
        <w:tc>
          <w:tcPr>
            <w:tcW w:w="603" w:type="pct"/>
            <w:tcBorders>
              <w:bottom w:val="single" w:sz="4" w:space="0" w:color="000000"/>
            </w:tcBorders>
          </w:tcPr>
          <w:p w14:paraId="1C027138" w14:textId="77777777" w:rsidR="00D83E33" w:rsidRPr="00EA10CF" w:rsidRDefault="00D83E33" w:rsidP="001B330E">
            <w:pPr>
              <w:widowControl w:val="0"/>
              <w:pBdr>
                <w:top w:val="nil"/>
                <w:left w:val="nil"/>
                <w:bottom w:val="nil"/>
                <w:right w:val="nil"/>
                <w:between w:val="nil"/>
              </w:pBdr>
              <w:rPr>
                <w:b/>
                <w:color w:val="000000"/>
              </w:rPr>
            </w:pPr>
          </w:p>
        </w:tc>
        <w:tc>
          <w:tcPr>
            <w:tcW w:w="470" w:type="pct"/>
            <w:tcBorders>
              <w:bottom w:val="single" w:sz="4" w:space="0" w:color="000000"/>
            </w:tcBorders>
            <w:vAlign w:val="bottom"/>
          </w:tcPr>
          <w:p w14:paraId="24BE2353" w14:textId="77777777" w:rsidR="00D83E33" w:rsidRPr="00EA10CF" w:rsidRDefault="00D83E33" w:rsidP="001B330E">
            <w:pPr>
              <w:widowControl w:val="0"/>
              <w:pBdr>
                <w:top w:val="nil"/>
                <w:left w:val="nil"/>
                <w:bottom w:val="nil"/>
                <w:right w:val="nil"/>
                <w:between w:val="nil"/>
              </w:pBdr>
              <w:rPr>
                <w:b/>
                <w:color w:val="000000"/>
              </w:rPr>
            </w:pPr>
          </w:p>
        </w:tc>
        <w:tc>
          <w:tcPr>
            <w:tcW w:w="515" w:type="pct"/>
            <w:tcBorders>
              <w:bottom w:val="single" w:sz="4" w:space="0" w:color="000000"/>
            </w:tcBorders>
            <w:vAlign w:val="bottom"/>
          </w:tcPr>
          <w:p w14:paraId="2D5DE08D" w14:textId="77777777" w:rsidR="00D83E33" w:rsidRPr="00EA10CF" w:rsidRDefault="00D83E33" w:rsidP="001B330E">
            <w:pPr>
              <w:widowControl w:val="0"/>
              <w:pBdr>
                <w:top w:val="nil"/>
                <w:left w:val="nil"/>
                <w:bottom w:val="nil"/>
                <w:right w:val="nil"/>
                <w:between w:val="nil"/>
              </w:pBdr>
              <w:rPr>
                <w:b/>
                <w:color w:val="000000"/>
              </w:rPr>
            </w:pPr>
          </w:p>
        </w:tc>
        <w:tc>
          <w:tcPr>
            <w:tcW w:w="530" w:type="pct"/>
            <w:tcBorders>
              <w:bottom w:val="single" w:sz="4" w:space="0" w:color="000000"/>
            </w:tcBorders>
            <w:vAlign w:val="bottom"/>
          </w:tcPr>
          <w:p w14:paraId="057C39F3"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0E19415C" w14:textId="77777777" w:rsidTr="00372E26">
        <w:trPr>
          <w:trHeight w:val="23"/>
        </w:trPr>
        <w:tc>
          <w:tcPr>
            <w:tcW w:w="1580" w:type="pct"/>
          </w:tcPr>
          <w:p w14:paraId="4F1008C3" w14:textId="77777777" w:rsidR="00D83E33" w:rsidRPr="00EA10CF" w:rsidRDefault="00D83E33" w:rsidP="001B330E">
            <w:pPr>
              <w:widowControl w:val="0"/>
              <w:ind w:left="113" w:hanging="113"/>
              <w:rPr>
                <w:i/>
              </w:rPr>
            </w:pPr>
          </w:p>
        </w:tc>
        <w:tc>
          <w:tcPr>
            <w:tcW w:w="651" w:type="pct"/>
            <w:vAlign w:val="bottom"/>
          </w:tcPr>
          <w:p w14:paraId="352D094A"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1BCA3DAB"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38AC7E2C"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4C71288A"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2C2D05B5"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5640C6D8"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40BB60C6" w14:textId="77777777" w:rsidTr="00372E26">
        <w:trPr>
          <w:trHeight w:val="23"/>
        </w:trPr>
        <w:tc>
          <w:tcPr>
            <w:tcW w:w="1580" w:type="pct"/>
          </w:tcPr>
          <w:p w14:paraId="79ED27AE"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color w:val="000000"/>
              </w:rPr>
              <w:t>Financial liabilities</w:t>
            </w:r>
          </w:p>
        </w:tc>
        <w:tc>
          <w:tcPr>
            <w:tcW w:w="651" w:type="pct"/>
            <w:vAlign w:val="bottom"/>
          </w:tcPr>
          <w:p w14:paraId="1A18466F"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3052CC7E"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737BD224"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70399D25"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6D4E8E33"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79B21ACF"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59F75A2E" w14:textId="77777777" w:rsidTr="00372E26">
        <w:trPr>
          <w:trHeight w:val="23"/>
        </w:trPr>
        <w:tc>
          <w:tcPr>
            <w:tcW w:w="1580" w:type="pct"/>
          </w:tcPr>
          <w:p w14:paraId="6F7C633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Due to other banks</w:t>
            </w:r>
          </w:p>
        </w:tc>
        <w:tc>
          <w:tcPr>
            <w:tcW w:w="651" w:type="pct"/>
            <w:vAlign w:val="bottom"/>
          </w:tcPr>
          <w:p w14:paraId="11F74CA3"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5743D544"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6059798D"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63990CFB"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0193F592"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2440833C"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52BBCD16" w14:textId="77777777" w:rsidTr="00372E26">
        <w:trPr>
          <w:trHeight w:val="23"/>
        </w:trPr>
        <w:tc>
          <w:tcPr>
            <w:tcW w:w="1580" w:type="pct"/>
          </w:tcPr>
          <w:p w14:paraId="014B83B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Customer accounts</w:t>
            </w:r>
          </w:p>
        </w:tc>
        <w:tc>
          <w:tcPr>
            <w:tcW w:w="651" w:type="pct"/>
            <w:vAlign w:val="bottom"/>
          </w:tcPr>
          <w:p w14:paraId="490811E4"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55A32395"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6E98E291"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7A38D3E7"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71262F3D"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60EF2DC5"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52013E08" w14:textId="77777777" w:rsidTr="00372E26">
        <w:trPr>
          <w:trHeight w:val="23"/>
        </w:trPr>
        <w:tc>
          <w:tcPr>
            <w:tcW w:w="1580" w:type="pct"/>
          </w:tcPr>
          <w:p w14:paraId="09B79BC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in issue [</w:t>
            </w:r>
            <w:r w:rsidRPr="00EA10CF">
              <w:rPr>
                <w:color w:val="0000FF"/>
              </w:rPr>
              <w:t>Promissory notes issued]</w:t>
            </w:r>
          </w:p>
        </w:tc>
        <w:tc>
          <w:tcPr>
            <w:tcW w:w="651" w:type="pct"/>
            <w:vAlign w:val="bottom"/>
          </w:tcPr>
          <w:p w14:paraId="63DF485A"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07E78D99"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592FE572"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1D822F77"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2663B509"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5A24D4B6"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3221353F" w14:textId="77777777" w:rsidTr="00372E26">
        <w:trPr>
          <w:trHeight w:val="23"/>
        </w:trPr>
        <w:tc>
          <w:tcPr>
            <w:tcW w:w="1580" w:type="pct"/>
          </w:tcPr>
          <w:p w14:paraId="14B592A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Other borrowed funds </w:t>
            </w:r>
          </w:p>
        </w:tc>
        <w:tc>
          <w:tcPr>
            <w:tcW w:w="651" w:type="pct"/>
            <w:vAlign w:val="bottom"/>
          </w:tcPr>
          <w:p w14:paraId="14C89B31"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6EF65DF2"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7C7F0120"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2F5B1E57"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55A7B0DE"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1D391682"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25DE66DC" w14:textId="77777777" w:rsidTr="00372E26">
        <w:trPr>
          <w:trHeight w:val="23"/>
        </w:trPr>
        <w:tc>
          <w:tcPr>
            <w:tcW w:w="1580" w:type="pct"/>
          </w:tcPr>
          <w:p w14:paraId="3F04785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Lease liabilities </w:t>
            </w:r>
          </w:p>
        </w:tc>
        <w:tc>
          <w:tcPr>
            <w:tcW w:w="651" w:type="pct"/>
            <w:vAlign w:val="bottom"/>
          </w:tcPr>
          <w:p w14:paraId="2988B1BD"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7C17723A"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2A8621B8"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76C8530D"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7E27174D"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3CB5CF4C"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44589EA0" w14:textId="77777777" w:rsidTr="00372E26">
        <w:trPr>
          <w:trHeight w:val="23"/>
        </w:trPr>
        <w:tc>
          <w:tcPr>
            <w:tcW w:w="1580" w:type="pct"/>
          </w:tcPr>
          <w:p w14:paraId="601CCE0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financial liabilities</w:t>
            </w:r>
          </w:p>
        </w:tc>
        <w:tc>
          <w:tcPr>
            <w:tcW w:w="651" w:type="pct"/>
            <w:vAlign w:val="bottom"/>
          </w:tcPr>
          <w:p w14:paraId="4C17CC29"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48002BE4"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49A0B25A"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34E70F72"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1F485FB5"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368C6DAF"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7F5D7849" w14:textId="77777777" w:rsidTr="00372E26">
        <w:trPr>
          <w:trHeight w:val="23"/>
        </w:trPr>
        <w:tc>
          <w:tcPr>
            <w:tcW w:w="1580" w:type="pct"/>
          </w:tcPr>
          <w:p w14:paraId="16CA47FA"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Subordinated debt</w:t>
            </w:r>
          </w:p>
        </w:tc>
        <w:tc>
          <w:tcPr>
            <w:tcW w:w="651" w:type="pct"/>
            <w:vAlign w:val="bottom"/>
          </w:tcPr>
          <w:p w14:paraId="69381237" w14:textId="77777777" w:rsidR="00D83E33" w:rsidRPr="00EA10CF" w:rsidRDefault="00D83E33" w:rsidP="001B330E">
            <w:pPr>
              <w:widowControl w:val="0"/>
              <w:pBdr>
                <w:top w:val="nil"/>
                <w:left w:val="nil"/>
                <w:bottom w:val="nil"/>
                <w:right w:val="nil"/>
                <w:between w:val="nil"/>
              </w:pBdr>
              <w:rPr>
                <w:color w:val="000000"/>
              </w:rPr>
            </w:pPr>
          </w:p>
        </w:tc>
        <w:tc>
          <w:tcPr>
            <w:tcW w:w="651" w:type="pct"/>
          </w:tcPr>
          <w:p w14:paraId="271FC45D" w14:textId="77777777" w:rsidR="00D83E33" w:rsidRPr="00EA10CF" w:rsidRDefault="00D83E33" w:rsidP="001B330E">
            <w:pPr>
              <w:widowControl w:val="0"/>
              <w:pBdr>
                <w:top w:val="nil"/>
                <w:left w:val="nil"/>
                <w:bottom w:val="nil"/>
                <w:right w:val="nil"/>
                <w:between w:val="nil"/>
              </w:pBdr>
              <w:rPr>
                <w:color w:val="000000"/>
              </w:rPr>
            </w:pPr>
          </w:p>
        </w:tc>
        <w:tc>
          <w:tcPr>
            <w:tcW w:w="603" w:type="pct"/>
          </w:tcPr>
          <w:p w14:paraId="08BCEB58" w14:textId="77777777" w:rsidR="00D83E33" w:rsidRPr="00EA10CF" w:rsidRDefault="00D83E33" w:rsidP="001B330E">
            <w:pPr>
              <w:widowControl w:val="0"/>
              <w:pBdr>
                <w:top w:val="nil"/>
                <w:left w:val="nil"/>
                <w:bottom w:val="nil"/>
                <w:right w:val="nil"/>
                <w:between w:val="nil"/>
              </w:pBdr>
              <w:rPr>
                <w:color w:val="000000"/>
              </w:rPr>
            </w:pPr>
          </w:p>
        </w:tc>
        <w:tc>
          <w:tcPr>
            <w:tcW w:w="470" w:type="pct"/>
            <w:vAlign w:val="bottom"/>
          </w:tcPr>
          <w:p w14:paraId="529D545A" w14:textId="77777777" w:rsidR="00D83E33" w:rsidRPr="00EA10CF" w:rsidRDefault="00D83E33" w:rsidP="001B330E">
            <w:pPr>
              <w:widowControl w:val="0"/>
              <w:pBdr>
                <w:top w:val="nil"/>
                <w:left w:val="nil"/>
                <w:bottom w:val="nil"/>
                <w:right w:val="nil"/>
                <w:between w:val="nil"/>
              </w:pBdr>
              <w:rPr>
                <w:color w:val="000000"/>
              </w:rPr>
            </w:pPr>
          </w:p>
        </w:tc>
        <w:tc>
          <w:tcPr>
            <w:tcW w:w="515" w:type="pct"/>
            <w:vAlign w:val="bottom"/>
          </w:tcPr>
          <w:p w14:paraId="78B9E22D" w14:textId="77777777" w:rsidR="00D83E33" w:rsidRPr="00EA10CF" w:rsidRDefault="00D83E33" w:rsidP="001B330E">
            <w:pPr>
              <w:widowControl w:val="0"/>
              <w:pBdr>
                <w:top w:val="nil"/>
                <w:left w:val="nil"/>
                <w:bottom w:val="nil"/>
                <w:right w:val="nil"/>
                <w:between w:val="nil"/>
              </w:pBdr>
              <w:rPr>
                <w:color w:val="000000"/>
              </w:rPr>
            </w:pPr>
          </w:p>
        </w:tc>
        <w:tc>
          <w:tcPr>
            <w:tcW w:w="530" w:type="pct"/>
            <w:vAlign w:val="bottom"/>
          </w:tcPr>
          <w:p w14:paraId="0E26BE41"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1044EF1E" w14:textId="77777777" w:rsidTr="00372E26">
        <w:trPr>
          <w:trHeight w:val="23"/>
        </w:trPr>
        <w:tc>
          <w:tcPr>
            <w:tcW w:w="1580" w:type="pct"/>
            <w:tcBorders>
              <w:bottom w:val="single" w:sz="4" w:space="0" w:color="000000"/>
            </w:tcBorders>
          </w:tcPr>
          <w:p w14:paraId="3FDC7CF5"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51" w:type="pct"/>
            <w:tcBorders>
              <w:bottom w:val="single" w:sz="4" w:space="0" w:color="000000"/>
            </w:tcBorders>
            <w:vAlign w:val="bottom"/>
          </w:tcPr>
          <w:p w14:paraId="08B2A756" w14:textId="77777777" w:rsidR="00D83E33" w:rsidRPr="00EA10CF" w:rsidRDefault="00D83E33" w:rsidP="001B330E">
            <w:pPr>
              <w:widowControl w:val="0"/>
              <w:pBdr>
                <w:top w:val="nil"/>
                <w:left w:val="nil"/>
                <w:bottom w:val="nil"/>
                <w:right w:val="nil"/>
                <w:between w:val="nil"/>
              </w:pBdr>
              <w:rPr>
                <w:color w:val="000000"/>
              </w:rPr>
            </w:pPr>
          </w:p>
        </w:tc>
        <w:tc>
          <w:tcPr>
            <w:tcW w:w="651" w:type="pct"/>
            <w:tcBorders>
              <w:bottom w:val="single" w:sz="4" w:space="0" w:color="000000"/>
            </w:tcBorders>
          </w:tcPr>
          <w:p w14:paraId="48CA4A09" w14:textId="77777777" w:rsidR="00D83E33" w:rsidRPr="00EA10CF" w:rsidRDefault="00D83E33" w:rsidP="001B330E">
            <w:pPr>
              <w:widowControl w:val="0"/>
              <w:pBdr>
                <w:top w:val="nil"/>
                <w:left w:val="nil"/>
                <w:bottom w:val="nil"/>
                <w:right w:val="nil"/>
                <w:between w:val="nil"/>
              </w:pBdr>
              <w:rPr>
                <w:color w:val="000000"/>
              </w:rPr>
            </w:pPr>
          </w:p>
        </w:tc>
        <w:tc>
          <w:tcPr>
            <w:tcW w:w="603" w:type="pct"/>
            <w:tcBorders>
              <w:bottom w:val="single" w:sz="4" w:space="0" w:color="000000"/>
            </w:tcBorders>
          </w:tcPr>
          <w:p w14:paraId="1387132A" w14:textId="77777777" w:rsidR="00D83E33" w:rsidRPr="00EA10CF" w:rsidRDefault="00D83E33" w:rsidP="001B330E">
            <w:pPr>
              <w:widowControl w:val="0"/>
              <w:pBdr>
                <w:top w:val="nil"/>
                <w:left w:val="nil"/>
                <w:bottom w:val="nil"/>
                <w:right w:val="nil"/>
                <w:between w:val="nil"/>
              </w:pBdr>
              <w:rPr>
                <w:color w:val="000000"/>
              </w:rPr>
            </w:pPr>
          </w:p>
        </w:tc>
        <w:tc>
          <w:tcPr>
            <w:tcW w:w="470" w:type="pct"/>
            <w:tcBorders>
              <w:bottom w:val="single" w:sz="4" w:space="0" w:color="000000"/>
            </w:tcBorders>
            <w:vAlign w:val="bottom"/>
          </w:tcPr>
          <w:p w14:paraId="3FF6E835" w14:textId="77777777" w:rsidR="00D83E33" w:rsidRPr="00EA10CF" w:rsidRDefault="00D83E33" w:rsidP="001B330E">
            <w:pPr>
              <w:widowControl w:val="0"/>
              <w:pBdr>
                <w:top w:val="nil"/>
                <w:left w:val="nil"/>
                <w:bottom w:val="nil"/>
                <w:right w:val="nil"/>
                <w:between w:val="nil"/>
              </w:pBdr>
              <w:rPr>
                <w:color w:val="000000"/>
              </w:rPr>
            </w:pPr>
          </w:p>
        </w:tc>
        <w:tc>
          <w:tcPr>
            <w:tcW w:w="515" w:type="pct"/>
            <w:tcBorders>
              <w:bottom w:val="single" w:sz="4" w:space="0" w:color="000000"/>
            </w:tcBorders>
            <w:vAlign w:val="bottom"/>
          </w:tcPr>
          <w:p w14:paraId="7E370AB3" w14:textId="77777777" w:rsidR="00D83E33" w:rsidRPr="00EA10CF" w:rsidRDefault="00D83E33" w:rsidP="001B330E">
            <w:pPr>
              <w:widowControl w:val="0"/>
              <w:pBdr>
                <w:top w:val="nil"/>
                <w:left w:val="nil"/>
                <w:bottom w:val="nil"/>
                <w:right w:val="nil"/>
                <w:between w:val="nil"/>
              </w:pBdr>
              <w:rPr>
                <w:color w:val="000000"/>
              </w:rPr>
            </w:pPr>
          </w:p>
        </w:tc>
        <w:tc>
          <w:tcPr>
            <w:tcW w:w="530" w:type="pct"/>
            <w:tcBorders>
              <w:bottom w:val="single" w:sz="4" w:space="0" w:color="000000"/>
            </w:tcBorders>
            <w:vAlign w:val="bottom"/>
          </w:tcPr>
          <w:p w14:paraId="20A25FE1"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4D69965E" w14:textId="77777777" w:rsidTr="00372E26">
        <w:trPr>
          <w:trHeight w:val="23"/>
        </w:trPr>
        <w:tc>
          <w:tcPr>
            <w:tcW w:w="1580" w:type="pct"/>
          </w:tcPr>
          <w:p w14:paraId="3F96041A" w14:textId="77777777" w:rsidR="00D83E33" w:rsidRPr="00EA10CF" w:rsidRDefault="00D83E33" w:rsidP="001B330E">
            <w:pPr>
              <w:widowControl w:val="0"/>
              <w:ind w:left="113" w:hanging="113"/>
            </w:pPr>
          </w:p>
        </w:tc>
        <w:tc>
          <w:tcPr>
            <w:tcW w:w="651" w:type="pct"/>
            <w:vAlign w:val="bottom"/>
          </w:tcPr>
          <w:p w14:paraId="792827BE" w14:textId="77777777" w:rsidR="00D83E33" w:rsidRPr="00EA10CF" w:rsidRDefault="00D83E33" w:rsidP="001B330E">
            <w:pPr>
              <w:widowControl w:val="0"/>
              <w:pBdr>
                <w:top w:val="nil"/>
                <w:left w:val="nil"/>
                <w:bottom w:val="nil"/>
                <w:right w:val="nil"/>
                <w:between w:val="nil"/>
              </w:pBdr>
              <w:rPr>
                <w:b/>
                <w:color w:val="000000"/>
              </w:rPr>
            </w:pPr>
          </w:p>
        </w:tc>
        <w:tc>
          <w:tcPr>
            <w:tcW w:w="651" w:type="pct"/>
          </w:tcPr>
          <w:p w14:paraId="14899D1C" w14:textId="77777777" w:rsidR="00D83E33" w:rsidRPr="00EA10CF" w:rsidRDefault="00D83E33" w:rsidP="001B330E">
            <w:pPr>
              <w:widowControl w:val="0"/>
              <w:pBdr>
                <w:top w:val="nil"/>
                <w:left w:val="nil"/>
                <w:bottom w:val="nil"/>
                <w:right w:val="nil"/>
                <w:between w:val="nil"/>
              </w:pBdr>
              <w:rPr>
                <w:b/>
                <w:color w:val="000000"/>
              </w:rPr>
            </w:pPr>
          </w:p>
        </w:tc>
        <w:tc>
          <w:tcPr>
            <w:tcW w:w="603" w:type="pct"/>
          </w:tcPr>
          <w:p w14:paraId="7E5D0306" w14:textId="77777777" w:rsidR="00D83E33" w:rsidRPr="00EA10CF" w:rsidRDefault="00D83E33" w:rsidP="001B330E">
            <w:pPr>
              <w:widowControl w:val="0"/>
              <w:pBdr>
                <w:top w:val="nil"/>
                <w:left w:val="nil"/>
                <w:bottom w:val="nil"/>
                <w:right w:val="nil"/>
                <w:between w:val="nil"/>
              </w:pBdr>
              <w:rPr>
                <w:b/>
                <w:color w:val="000000"/>
              </w:rPr>
            </w:pPr>
          </w:p>
        </w:tc>
        <w:tc>
          <w:tcPr>
            <w:tcW w:w="470" w:type="pct"/>
            <w:vAlign w:val="bottom"/>
          </w:tcPr>
          <w:p w14:paraId="514A04CD" w14:textId="77777777" w:rsidR="00D83E33" w:rsidRPr="00EA10CF" w:rsidRDefault="00D83E33" w:rsidP="001B330E">
            <w:pPr>
              <w:widowControl w:val="0"/>
              <w:pBdr>
                <w:top w:val="nil"/>
                <w:left w:val="nil"/>
                <w:bottom w:val="nil"/>
                <w:right w:val="nil"/>
                <w:between w:val="nil"/>
              </w:pBdr>
              <w:rPr>
                <w:b/>
                <w:color w:val="000000"/>
              </w:rPr>
            </w:pPr>
          </w:p>
        </w:tc>
        <w:tc>
          <w:tcPr>
            <w:tcW w:w="515" w:type="pct"/>
            <w:vAlign w:val="bottom"/>
          </w:tcPr>
          <w:p w14:paraId="1FA6FD9F" w14:textId="77777777" w:rsidR="00D83E33" w:rsidRPr="00EA10CF" w:rsidRDefault="00D83E33" w:rsidP="001B330E">
            <w:pPr>
              <w:widowControl w:val="0"/>
              <w:pBdr>
                <w:top w:val="nil"/>
                <w:left w:val="nil"/>
                <w:bottom w:val="nil"/>
                <w:right w:val="nil"/>
                <w:between w:val="nil"/>
              </w:pBdr>
              <w:rPr>
                <w:b/>
                <w:color w:val="000000"/>
              </w:rPr>
            </w:pPr>
          </w:p>
        </w:tc>
        <w:tc>
          <w:tcPr>
            <w:tcW w:w="530" w:type="pct"/>
            <w:vAlign w:val="bottom"/>
          </w:tcPr>
          <w:p w14:paraId="645C8BBC"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0F615CD0" w14:textId="77777777" w:rsidTr="00372E26">
        <w:trPr>
          <w:trHeight w:val="23"/>
        </w:trPr>
        <w:tc>
          <w:tcPr>
            <w:tcW w:w="1580" w:type="pct"/>
          </w:tcPr>
          <w:p w14:paraId="66BA83A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financial liabilities</w:t>
            </w:r>
          </w:p>
        </w:tc>
        <w:tc>
          <w:tcPr>
            <w:tcW w:w="651" w:type="pct"/>
            <w:vAlign w:val="bottom"/>
          </w:tcPr>
          <w:p w14:paraId="1C590F36" w14:textId="77777777" w:rsidR="00D83E33" w:rsidRPr="00EA10CF" w:rsidRDefault="00D83E33" w:rsidP="001B330E">
            <w:pPr>
              <w:widowControl w:val="0"/>
              <w:pBdr>
                <w:top w:val="nil"/>
                <w:left w:val="nil"/>
                <w:bottom w:val="nil"/>
                <w:right w:val="nil"/>
                <w:between w:val="nil"/>
              </w:pBdr>
              <w:rPr>
                <w:b/>
                <w:color w:val="000000"/>
              </w:rPr>
            </w:pPr>
          </w:p>
        </w:tc>
        <w:tc>
          <w:tcPr>
            <w:tcW w:w="651" w:type="pct"/>
          </w:tcPr>
          <w:p w14:paraId="1FA93BEC" w14:textId="77777777" w:rsidR="00D83E33" w:rsidRPr="00EA10CF" w:rsidRDefault="00D83E33" w:rsidP="001B330E">
            <w:pPr>
              <w:widowControl w:val="0"/>
              <w:pBdr>
                <w:top w:val="nil"/>
                <w:left w:val="nil"/>
                <w:bottom w:val="nil"/>
                <w:right w:val="nil"/>
                <w:between w:val="nil"/>
              </w:pBdr>
              <w:rPr>
                <w:b/>
                <w:color w:val="000000"/>
              </w:rPr>
            </w:pPr>
          </w:p>
        </w:tc>
        <w:tc>
          <w:tcPr>
            <w:tcW w:w="603" w:type="pct"/>
          </w:tcPr>
          <w:p w14:paraId="3A6C9424" w14:textId="77777777" w:rsidR="00D83E33" w:rsidRPr="00EA10CF" w:rsidRDefault="00D83E33" w:rsidP="001B330E">
            <w:pPr>
              <w:widowControl w:val="0"/>
              <w:pBdr>
                <w:top w:val="nil"/>
                <w:left w:val="nil"/>
                <w:bottom w:val="nil"/>
                <w:right w:val="nil"/>
                <w:between w:val="nil"/>
              </w:pBdr>
              <w:rPr>
                <w:b/>
                <w:color w:val="000000"/>
              </w:rPr>
            </w:pPr>
          </w:p>
        </w:tc>
        <w:tc>
          <w:tcPr>
            <w:tcW w:w="470" w:type="pct"/>
            <w:vAlign w:val="bottom"/>
          </w:tcPr>
          <w:p w14:paraId="727C06E3" w14:textId="77777777" w:rsidR="00D83E33" w:rsidRPr="00EA10CF" w:rsidRDefault="00D83E33" w:rsidP="001B330E">
            <w:pPr>
              <w:widowControl w:val="0"/>
              <w:pBdr>
                <w:top w:val="nil"/>
                <w:left w:val="nil"/>
                <w:bottom w:val="nil"/>
                <w:right w:val="nil"/>
                <w:between w:val="nil"/>
              </w:pBdr>
              <w:rPr>
                <w:b/>
                <w:color w:val="000000"/>
              </w:rPr>
            </w:pPr>
          </w:p>
        </w:tc>
        <w:tc>
          <w:tcPr>
            <w:tcW w:w="515" w:type="pct"/>
            <w:vAlign w:val="bottom"/>
          </w:tcPr>
          <w:p w14:paraId="1B211C31" w14:textId="77777777" w:rsidR="00D83E33" w:rsidRPr="00EA10CF" w:rsidRDefault="00D83E33" w:rsidP="001B330E">
            <w:pPr>
              <w:widowControl w:val="0"/>
              <w:pBdr>
                <w:top w:val="nil"/>
                <w:left w:val="nil"/>
                <w:bottom w:val="nil"/>
                <w:right w:val="nil"/>
                <w:between w:val="nil"/>
              </w:pBdr>
              <w:rPr>
                <w:b/>
                <w:color w:val="000000"/>
              </w:rPr>
            </w:pPr>
          </w:p>
        </w:tc>
        <w:tc>
          <w:tcPr>
            <w:tcW w:w="530" w:type="pct"/>
            <w:vAlign w:val="bottom"/>
          </w:tcPr>
          <w:p w14:paraId="604342AA"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74D74C7E" w14:textId="77777777" w:rsidTr="00372E26">
        <w:trPr>
          <w:trHeight w:val="23"/>
        </w:trPr>
        <w:tc>
          <w:tcPr>
            <w:tcW w:w="1580" w:type="pct"/>
          </w:tcPr>
          <w:p w14:paraId="25323E01" w14:textId="77777777" w:rsidR="00D83E33" w:rsidRPr="00EA10CF" w:rsidRDefault="00D83E33" w:rsidP="001B330E">
            <w:pPr>
              <w:widowControl w:val="0"/>
              <w:ind w:left="113" w:hanging="113"/>
            </w:pPr>
          </w:p>
        </w:tc>
        <w:tc>
          <w:tcPr>
            <w:tcW w:w="651" w:type="pct"/>
            <w:vAlign w:val="bottom"/>
          </w:tcPr>
          <w:p w14:paraId="138166CF" w14:textId="77777777" w:rsidR="00D83E33" w:rsidRPr="00EA10CF" w:rsidRDefault="00D83E33" w:rsidP="001B330E">
            <w:pPr>
              <w:widowControl w:val="0"/>
              <w:pBdr>
                <w:top w:val="nil"/>
                <w:left w:val="nil"/>
                <w:bottom w:val="nil"/>
                <w:right w:val="nil"/>
                <w:between w:val="nil"/>
              </w:pBdr>
              <w:rPr>
                <w:b/>
                <w:color w:val="000000"/>
              </w:rPr>
            </w:pPr>
          </w:p>
        </w:tc>
        <w:tc>
          <w:tcPr>
            <w:tcW w:w="651" w:type="pct"/>
          </w:tcPr>
          <w:p w14:paraId="6651E0BF" w14:textId="77777777" w:rsidR="00D83E33" w:rsidRPr="00EA10CF" w:rsidRDefault="00D83E33" w:rsidP="001B330E">
            <w:pPr>
              <w:widowControl w:val="0"/>
              <w:pBdr>
                <w:top w:val="nil"/>
                <w:left w:val="nil"/>
                <w:bottom w:val="nil"/>
                <w:right w:val="nil"/>
                <w:between w:val="nil"/>
              </w:pBdr>
              <w:rPr>
                <w:b/>
                <w:color w:val="000000"/>
              </w:rPr>
            </w:pPr>
          </w:p>
        </w:tc>
        <w:tc>
          <w:tcPr>
            <w:tcW w:w="603" w:type="pct"/>
          </w:tcPr>
          <w:p w14:paraId="6E27FF83" w14:textId="77777777" w:rsidR="00D83E33" w:rsidRPr="00EA10CF" w:rsidRDefault="00D83E33" w:rsidP="001B330E">
            <w:pPr>
              <w:widowControl w:val="0"/>
              <w:pBdr>
                <w:top w:val="nil"/>
                <w:left w:val="nil"/>
                <w:bottom w:val="nil"/>
                <w:right w:val="nil"/>
                <w:between w:val="nil"/>
              </w:pBdr>
              <w:rPr>
                <w:b/>
                <w:color w:val="000000"/>
              </w:rPr>
            </w:pPr>
          </w:p>
        </w:tc>
        <w:tc>
          <w:tcPr>
            <w:tcW w:w="470" w:type="pct"/>
            <w:vAlign w:val="bottom"/>
          </w:tcPr>
          <w:p w14:paraId="0F8235A9" w14:textId="77777777" w:rsidR="00D83E33" w:rsidRPr="00EA10CF" w:rsidRDefault="00D83E33" w:rsidP="001B330E">
            <w:pPr>
              <w:widowControl w:val="0"/>
              <w:pBdr>
                <w:top w:val="nil"/>
                <w:left w:val="nil"/>
                <w:bottom w:val="nil"/>
                <w:right w:val="nil"/>
                <w:between w:val="nil"/>
              </w:pBdr>
              <w:rPr>
                <w:b/>
                <w:color w:val="000000"/>
              </w:rPr>
            </w:pPr>
          </w:p>
        </w:tc>
        <w:tc>
          <w:tcPr>
            <w:tcW w:w="515" w:type="pct"/>
            <w:vAlign w:val="bottom"/>
          </w:tcPr>
          <w:p w14:paraId="11514B9F" w14:textId="77777777" w:rsidR="00D83E33" w:rsidRPr="00EA10CF" w:rsidRDefault="00D83E33" w:rsidP="001B330E">
            <w:pPr>
              <w:widowControl w:val="0"/>
              <w:pBdr>
                <w:top w:val="nil"/>
                <w:left w:val="nil"/>
                <w:bottom w:val="nil"/>
                <w:right w:val="nil"/>
                <w:between w:val="nil"/>
              </w:pBdr>
              <w:rPr>
                <w:b/>
                <w:color w:val="000000"/>
              </w:rPr>
            </w:pPr>
          </w:p>
        </w:tc>
        <w:tc>
          <w:tcPr>
            <w:tcW w:w="530" w:type="pct"/>
            <w:vAlign w:val="bottom"/>
          </w:tcPr>
          <w:p w14:paraId="76CEC137"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02EEF1DD" w14:textId="77777777" w:rsidTr="00372E26">
        <w:trPr>
          <w:trHeight w:val="23"/>
        </w:trPr>
        <w:tc>
          <w:tcPr>
            <w:tcW w:w="1580" w:type="pct"/>
            <w:tcBorders>
              <w:top w:val="single" w:sz="12" w:space="0" w:color="000000"/>
            </w:tcBorders>
          </w:tcPr>
          <w:p w14:paraId="029E852C" w14:textId="77777777" w:rsidR="00D83E33" w:rsidRPr="00EA10CF" w:rsidRDefault="00D83E33" w:rsidP="001B330E">
            <w:pPr>
              <w:widowControl w:val="0"/>
              <w:ind w:left="113" w:hanging="113"/>
            </w:pPr>
          </w:p>
        </w:tc>
        <w:tc>
          <w:tcPr>
            <w:tcW w:w="651" w:type="pct"/>
            <w:tcBorders>
              <w:top w:val="single" w:sz="12" w:space="0" w:color="000000"/>
            </w:tcBorders>
            <w:vAlign w:val="bottom"/>
          </w:tcPr>
          <w:p w14:paraId="1667A528" w14:textId="77777777" w:rsidR="00D83E33" w:rsidRPr="00EA10CF" w:rsidRDefault="00D83E33" w:rsidP="001B330E">
            <w:pPr>
              <w:widowControl w:val="0"/>
              <w:pBdr>
                <w:top w:val="nil"/>
                <w:left w:val="nil"/>
                <w:bottom w:val="nil"/>
                <w:right w:val="nil"/>
                <w:between w:val="nil"/>
              </w:pBdr>
              <w:rPr>
                <w:b/>
                <w:color w:val="000000"/>
              </w:rPr>
            </w:pPr>
          </w:p>
        </w:tc>
        <w:tc>
          <w:tcPr>
            <w:tcW w:w="651" w:type="pct"/>
            <w:tcBorders>
              <w:top w:val="single" w:sz="12" w:space="0" w:color="000000"/>
            </w:tcBorders>
          </w:tcPr>
          <w:p w14:paraId="21379D8B" w14:textId="77777777" w:rsidR="00D83E33" w:rsidRPr="00EA10CF" w:rsidRDefault="00D83E33" w:rsidP="001B330E">
            <w:pPr>
              <w:widowControl w:val="0"/>
              <w:pBdr>
                <w:top w:val="nil"/>
                <w:left w:val="nil"/>
                <w:bottom w:val="nil"/>
                <w:right w:val="nil"/>
                <w:between w:val="nil"/>
              </w:pBdr>
              <w:rPr>
                <w:b/>
                <w:color w:val="000000"/>
              </w:rPr>
            </w:pPr>
          </w:p>
        </w:tc>
        <w:tc>
          <w:tcPr>
            <w:tcW w:w="603" w:type="pct"/>
            <w:tcBorders>
              <w:top w:val="single" w:sz="12" w:space="0" w:color="000000"/>
            </w:tcBorders>
          </w:tcPr>
          <w:p w14:paraId="6DA395D7" w14:textId="77777777" w:rsidR="00D83E33" w:rsidRPr="00EA10CF" w:rsidRDefault="00D83E33" w:rsidP="001B330E">
            <w:pPr>
              <w:widowControl w:val="0"/>
              <w:pBdr>
                <w:top w:val="nil"/>
                <w:left w:val="nil"/>
                <w:bottom w:val="nil"/>
                <w:right w:val="nil"/>
                <w:between w:val="nil"/>
              </w:pBdr>
              <w:rPr>
                <w:b/>
                <w:color w:val="000000"/>
              </w:rPr>
            </w:pPr>
          </w:p>
        </w:tc>
        <w:tc>
          <w:tcPr>
            <w:tcW w:w="470" w:type="pct"/>
            <w:tcBorders>
              <w:top w:val="single" w:sz="12" w:space="0" w:color="000000"/>
            </w:tcBorders>
            <w:vAlign w:val="bottom"/>
          </w:tcPr>
          <w:p w14:paraId="37B849B9" w14:textId="77777777" w:rsidR="00D83E33" w:rsidRPr="00EA10CF" w:rsidRDefault="00D83E33" w:rsidP="001B330E">
            <w:pPr>
              <w:widowControl w:val="0"/>
              <w:pBdr>
                <w:top w:val="nil"/>
                <w:left w:val="nil"/>
                <w:bottom w:val="nil"/>
                <w:right w:val="nil"/>
                <w:between w:val="nil"/>
              </w:pBdr>
              <w:rPr>
                <w:b/>
                <w:color w:val="000000"/>
              </w:rPr>
            </w:pPr>
          </w:p>
        </w:tc>
        <w:tc>
          <w:tcPr>
            <w:tcW w:w="515" w:type="pct"/>
            <w:tcBorders>
              <w:top w:val="single" w:sz="12" w:space="0" w:color="000000"/>
            </w:tcBorders>
            <w:vAlign w:val="bottom"/>
          </w:tcPr>
          <w:p w14:paraId="33F11859" w14:textId="77777777" w:rsidR="00D83E33" w:rsidRPr="00EA10CF" w:rsidRDefault="00D83E33" w:rsidP="001B330E">
            <w:pPr>
              <w:widowControl w:val="0"/>
              <w:pBdr>
                <w:top w:val="nil"/>
                <w:left w:val="nil"/>
                <w:bottom w:val="nil"/>
                <w:right w:val="nil"/>
                <w:between w:val="nil"/>
              </w:pBdr>
              <w:rPr>
                <w:b/>
                <w:color w:val="000000"/>
              </w:rPr>
            </w:pPr>
          </w:p>
        </w:tc>
        <w:tc>
          <w:tcPr>
            <w:tcW w:w="530" w:type="pct"/>
            <w:tcBorders>
              <w:top w:val="single" w:sz="12" w:space="0" w:color="000000"/>
            </w:tcBorders>
            <w:vAlign w:val="bottom"/>
          </w:tcPr>
          <w:p w14:paraId="433FD584"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4EE92C0F" w14:textId="77777777" w:rsidTr="00372E26">
        <w:trPr>
          <w:trHeight w:val="23"/>
        </w:trPr>
        <w:tc>
          <w:tcPr>
            <w:tcW w:w="1580" w:type="pct"/>
          </w:tcPr>
          <w:p w14:paraId="23C154A6"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Net position in on-balance sheet financial instruments</w:t>
            </w:r>
          </w:p>
        </w:tc>
        <w:tc>
          <w:tcPr>
            <w:tcW w:w="651" w:type="pct"/>
            <w:vAlign w:val="bottom"/>
          </w:tcPr>
          <w:p w14:paraId="4AD921F9" w14:textId="77777777" w:rsidR="00D83E33" w:rsidRPr="00EA10CF" w:rsidRDefault="00D83E33" w:rsidP="001B330E">
            <w:pPr>
              <w:widowControl w:val="0"/>
              <w:pBdr>
                <w:top w:val="nil"/>
                <w:left w:val="nil"/>
                <w:bottom w:val="nil"/>
                <w:right w:val="nil"/>
                <w:between w:val="nil"/>
              </w:pBdr>
              <w:rPr>
                <w:b/>
                <w:color w:val="000000"/>
              </w:rPr>
            </w:pPr>
          </w:p>
        </w:tc>
        <w:tc>
          <w:tcPr>
            <w:tcW w:w="651" w:type="pct"/>
          </w:tcPr>
          <w:p w14:paraId="06F92ABF" w14:textId="77777777" w:rsidR="00D83E33" w:rsidRPr="00EA10CF" w:rsidRDefault="00D83E33" w:rsidP="001B330E">
            <w:pPr>
              <w:widowControl w:val="0"/>
              <w:pBdr>
                <w:top w:val="nil"/>
                <w:left w:val="nil"/>
                <w:bottom w:val="nil"/>
                <w:right w:val="nil"/>
                <w:between w:val="nil"/>
              </w:pBdr>
              <w:rPr>
                <w:b/>
                <w:color w:val="000000"/>
              </w:rPr>
            </w:pPr>
          </w:p>
        </w:tc>
        <w:tc>
          <w:tcPr>
            <w:tcW w:w="603" w:type="pct"/>
          </w:tcPr>
          <w:p w14:paraId="1FE99A56" w14:textId="77777777" w:rsidR="00D83E33" w:rsidRPr="00EA10CF" w:rsidRDefault="00D83E33" w:rsidP="001B330E">
            <w:pPr>
              <w:widowControl w:val="0"/>
              <w:pBdr>
                <w:top w:val="nil"/>
                <w:left w:val="nil"/>
                <w:bottom w:val="nil"/>
                <w:right w:val="nil"/>
                <w:between w:val="nil"/>
              </w:pBdr>
              <w:rPr>
                <w:b/>
                <w:color w:val="000000"/>
              </w:rPr>
            </w:pPr>
          </w:p>
        </w:tc>
        <w:tc>
          <w:tcPr>
            <w:tcW w:w="470" w:type="pct"/>
            <w:vAlign w:val="bottom"/>
          </w:tcPr>
          <w:p w14:paraId="5FD28A84" w14:textId="77777777" w:rsidR="00D83E33" w:rsidRPr="00EA10CF" w:rsidRDefault="00D83E33" w:rsidP="001B330E">
            <w:pPr>
              <w:widowControl w:val="0"/>
              <w:pBdr>
                <w:top w:val="nil"/>
                <w:left w:val="nil"/>
                <w:bottom w:val="nil"/>
                <w:right w:val="nil"/>
                <w:between w:val="nil"/>
              </w:pBdr>
              <w:rPr>
                <w:b/>
                <w:color w:val="000000"/>
              </w:rPr>
            </w:pPr>
          </w:p>
        </w:tc>
        <w:tc>
          <w:tcPr>
            <w:tcW w:w="515" w:type="pct"/>
            <w:vAlign w:val="bottom"/>
          </w:tcPr>
          <w:p w14:paraId="2B18C96A" w14:textId="77777777" w:rsidR="00D83E33" w:rsidRPr="00EA10CF" w:rsidRDefault="00D83E33" w:rsidP="001B330E">
            <w:pPr>
              <w:widowControl w:val="0"/>
              <w:pBdr>
                <w:top w:val="nil"/>
                <w:left w:val="nil"/>
                <w:bottom w:val="nil"/>
                <w:right w:val="nil"/>
                <w:between w:val="nil"/>
              </w:pBdr>
              <w:rPr>
                <w:b/>
                <w:color w:val="000000"/>
              </w:rPr>
            </w:pPr>
          </w:p>
        </w:tc>
        <w:tc>
          <w:tcPr>
            <w:tcW w:w="530" w:type="pct"/>
            <w:vAlign w:val="bottom"/>
          </w:tcPr>
          <w:p w14:paraId="70F3AAB7"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653E1D4C" w14:textId="77777777" w:rsidTr="00372E26">
        <w:trPr>
          <w:trHeight w:val="23"/>
        </w:trPr>
        <w:tc>
          <w:tcPr>
            <w:tcW w:w="1580" w:type="pct"/>
            <w:tcBorders>
              <w:bottom w:val="single" w:sz="12" w:space="0" w:color="000000"/>
            </w:tcBorders>
          </w:tcPr>
          <w:p w14:paraId="624C25C5" w14:textId="77777777" w:rsidR="00D83E33" w:rsidRPr="00EA10CF" w:rsidRDefault="00D83E33" w:rsidP="001B330E">
            <w:pPr>
              <w:widowControl w:val="0"/>
              <w:ind w:left="113" w:hanging="113"/>
            </w:pPr>
          </w:p>
        </w:tc>
        <w:tc>
          <w:tcPr>
            <w:tcW w:w="651" w:type="pct"/>
            <w:tcBorders>
              <w:bottom w:val="single" w:sz="12" w:space="0" w:color="000000"/>
            </w:tcBorders>
            <w:vAlign w:val="bottom"/>
          </w:tcPr>
          <w:p w14:paraId="1E51ED1B" w14:textId="77777777" w:rsidR="00D83E33" w:rsidRPr="00EA10CF" w:rsidRDefault="00D83E33" w:rsidP="001B330E">
            <w:pPr>
              <w:widowControl w:val="0"/>
              <w:pBdr>
                <w:top w:val="nil"/>
                <w:left w:val="nil"/>
                <w:bottom w:val="nil"/>
                <w:right w:val="nil"/>
                <w:between w:val="nil"/>
              </w:pBdr>
              <w:rPr>
                <w:b/>
                <w:color w:val="000000"/>
              </w:rPr>
            </w:pPr>
          </w:p>
        </w:tc>
        <w:tc>
          <w:tcPr>
            <w:tcW w:w="651" w:type="pct"/>
            <w:tcBorders>
              <w:bottom w:val="single" w:sz="12" w:space="0" w:color="000000"/>
            </w:tcBorders>
          </w:tcPr>
          <w:p w14:paraId="4801E5EC" w14:textId="77777777" w:rsidR="00D83E33" w:rsidRPr="00EA10CF" w:rsidRDefault="00D83E33" w:rsidP="001B330E">
            <w:pPr>
              <w:widowControl w:val="0"/>
              <w:pBdr>
                <w:top w:val="nil"/>
                <w:left w:val="nil"/>
                <w:bottom w:val="nil"/>
                <w:right w:val="nil"/>
                <w:between w:val="nil"/>
              </w:pBdr>
              <w:rPr>
                <w:b/>
                <w:color w:val="000000"/>
              </w:rPr>
            </w:pPr>
          </w:p>
        </w:tc>
        <w:tc>
          <w:tcPr>
            <w:tcW w:w="603" w:type="pct"/>
            <w:tcBorders>
              <w:bottom w:val="single" w:sz="12" w:space="0" w:color="000000"/>
            </w:tcBorders>
          </w:tcPr>
          <w:p w14:paraId="0BDE62A8" w14:textId="77777777" w:rsidR="00D83E33" w:rsidRPr="00EA10CF" w:rsidRDefault="00D83E33" w:rsidP="001B330E">
            <w:pPr>
              <w:widowControl w:val="0"/>
              <w:pBdr>
                <w:top w:val="nil"/>
                <w:left w:val="nil"/>
                <w:bottom w:val="nil"/>
                <w:right w:val="nil"/>
                <w:between w:val="nil"/>
              </w:pBdr>
              <w:rPr>
                <w:b/>
                <w:color w:val="000000"/>
              </w:rPr>
            </w:pPr>
          </w:p>
        </w:tc>
        <w:tc>
          <w:tcPr>
            <w:tcW w:w="470" w:type="pct"/>
            <w:tcBorders>
              <w:bottom w:val="single" w:sz="12" w:space="0" w:color="000000"/>
            </w:tcBorders>
            <w:vAlign w:val="bottom"/>
          </w:tcPr>
          <w:p w14:paraId="6D7B8B4A" w14:textId="77777777" w:rsidR="00D83E33" w:rsidRPr="00EA10CF" w:rsidRDefault="00D83E33" w:rsidP="001B330E">
            <w:pPr>
              <w:widowControl w:val="0"/>
              <w:pBdr>
                <w:top w:val="nil"/>
                <w:left w:val="nil"/>
                <w:bottom w:val="nil"/>
                <w:right w:val="nil"/>
                <w:between w:val="nil"/>
              </w:pBdr>
              <w:rPr>
                <w:b/>
                <w:color w:val="000000"/>
              </w:rPr>
            </w:pPr>
          </w:p>
        </w:tc>
        <w:tc>
          <w:tcPr>
            <w:tcW w:w="515" w:type="pct"/>
            <w:tcBorders>
              <w:bottom w:val="single" w:sz="12" w:space="0" w:color="000000"/>
            </w:tcBorders>
            <w:vAlign w:val="bottom"/>
          </w:tcPr>
          <w:p w14:paraId="379B81EE" w14:textId="77777777" w:rsidR="00D83E33" w:rsidRPr="00EA10CF" w:rsidRDefault="00D83E33" w:rsidP="001B330E">
            <w:pPr>
              <w:widowControl w:val="0"/>
              <w:pBdr>
                <w:top w:val="nil"/>
                <w:left w:val="nil"/>
                <w:bottom w:val="nil"/>
                <w:right w:val="nil"/>
                <w:between w:val="nil"/>
              </w:pBdr>
              <w:rPr>
                <w:b/>
                <w:color w:val="000000"/>
              </w:rPr>
            </w:pPr>
          </w:p>
        </w:tc>
        <w:tc>
          <w:tcPr>
            <w:tcW w:w="530" w:type="pct"/>
            <w:tcBorders>
              <w:bottom w:val="single" w:sz="12" w:space="0" w:color="000000"/>
            </w:tcBorders>
            <w:vAlign w:val="bottom"/>
          </w:tcPr>
          <w:p w14:paraId="63D45E9A"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48BDCE29" w14:textId="77777777" w:rsidTr="00372E26">
        <w:trPr>
          <w:trHeight w:val="23"/>
        </w:trPr>
        <w:tc>
          <w:tcPr>
            <w:tcW w:w="1580" w:type="pct"/>
            <w:tcBorders>
              <w:top w:val="single" w:sz="4" w:space="0" w:color="000000"/>
            </w:tcBorders>
          </w:tcPr>
          <w:p w14:paraId="1AF6E745" w14:textId="77777777" w:rsidR="00D83E33" w:rsidRPr="00EA10CF" w:rsidRDefault="00D83E33" w:rsidP="001B330E">
            <w:pPr>
              <w:widowControl w:val="0"/>
              <w:ind w:left="113" w:hanging="113"/>
            </w:pPr>
          </w:p>
        </w:tc>
        <w:tc>
          <w:tcPr>
            <w:tcW w:w="651" w:type="pct"/>
            <w:tcBorders>
              <w:top w:val="single" w:sz="4" w:space="0" w:color="000000"/>
            </w:tcBorders>
            <w:vAlign w:val="bottom"/>
          </w:tcPr>
          <w:p w14:paraId="0D1302CF" w14:textId="77777777" w:rsidR="00D83E33" w:rsidRPr="00EA10CF" w:rsidRDefault="00D83E33" w:rsidP="001B330E">
            <w:pPr>
              <w:widowControl w:val="0"/>
              <w:pBdr>
                <w:top w:val="nil"/>
                <w:left w:val="nil"/>
                <w:bottom w:val="nil"/>
                <w:right w:val="nil"/>
                <w:between w:val="nil"/>
              </w:pBdr>
              <w:rPr>
                <w:b/>
                <w:color w:val="000000"/>
              </w:rPr>
            </w:pPr>
          </w:p>
        </w:tc>
        <w:tc>
          <w:tcPr>
            <w:tcW w:w="651" w:type="pct"/>
            <w:tcBorders>
              <w:top w:val="single" w:sz="4" w:space="0" w:color="000000"/>
            </w:tcBorders>
          </w:tcPr>
          <w:p w14:paraId="2D5F7047" w14:textId="77777777" w:rsidR="00D83E33" w:rsidRPr="00EA10CF" w:rsidRDefault="00D83E33" w:rsidP="001B330E">
            <w:pPr>
              <w:widowControl w:val="0"/>
              <w:pBdr>
                <w:top w:val="nil"/>
                <w:left w:val="nil"/>
                <w:bottom w:val="nil"/>
                <w:right w:val="nil"/>
                <w:between w:val="nil"/>
              </w:pBdr>
              <w:rPr>
                <w:b/>
                <w:color w:val="000000"/>
              </w:rPr>
            </w:pPr>
          </w:p>
        </w:tc>
        <w:tc>
          <w:tcPr>
            <w:tcW w:w="603" w:type="pct"/>
            <w:tcBorders>
              <w:top w:val="single" w:sz="4" w:space="0" w:color="000000"/>
            </w:tcBorders>
          </w:tcPr>
          <w:p w14:paraId="41632CA8" w14:textId="77777777" w:rsidR="00D83E33" w:rsidRPr="00EA10CF" w:rsidRDefault="00D83E33" w:rsidP="001B330E">
            <w:pPr>
              <w:widowControl w:val="0"/>
              <w:pBdr>
                <w:top w:val="nil"/>
                <w:left w:val="nil"/>
                <w:bottom w:val="nil"/>
                <w:right w:val="nil"/>
                <w:between w:val="nil"/>
              </w:pBdr>
              <w:rPr>
                <w:b/>
                <w:color w:val="000000"/>
              </w:rPr>
            </w:pPr>
          </w:p>
        </w:tc>
        <w:tc>
          <w:tcPr>
            <w:tcW w:w="470" w:type="pct"/>
            <w:tcBorders>
              <w:top w:val="single" w:sz="4" w:space="0" w:color="000000"/>
            </w:tcBorders>
            <w:vAlign w:val="bottom"/>
          </w:tcPr>
          <w:p w14:paraId="14B51335" w14:textId="77777777" w:rsidR="00D83E33" w:rsidRPr="00EA10CF" w:rsidRDefault="00D83E33" w:rsidP="001B330E">
            <w:pPr>
              <w:widowControl w:val="0"/>
              <w:pBdr>
                <w:top w:val="nil"/>
                <w:left w:val="nil"/>
                <w:bottom w:val="nil"/>
                <w:right w:val="nil"/>
                <w:between w:val="nil"/>
              </w:pBdr>
              <w:rPr>
                <w:b/>
                <w:color w:val="000000"/>
              </w:rPr>
            </w:pPr>
          </w:p>
        </w:tc>
        <w:tc>
          <w:tcPr>
            <w:tcW w:w="515" w:type="pct"/>
            <w:tcBorders>
              <w:top w:val="single" w:sz="4" w:space="0" w:color="000000"/>
            </w:tcBorders>
            <w:vAlign w:val="bottom"/>
          </w:tcPr>
          <w:p w14:paraId="01AE9A7F" w14:textId="77777777" w:rsidR="00D83E33" w:rsidRPr="00EA10CF" w:rsidRDefault="00D83E33" w:rsidP="001B330E">
            <w:pPr>
              <w:widowControl w:val="0"/>
              <w:pBdr>
                <w:top w:val="nil"/>
                <w:left w:val="nil"/>
                <w:bottom w:val="nil"/>
                <w:right w:val="nil"/>
                <w:between w:val="nil"/>
              </w:pBdr>
              <w:rPr>
                <w:b/>
                <w:color w:val="000000"/>
              </w:rPr>
            </w:pPr>
          </w:p>
        </w:tc>
        <w:tc>
          <w:tcPr>
            <w:tcW w:w="530" w:type="pct"/>
            <w:tcBorders>
              <w:top w:val="single" w:sz="4" w:space="0" w:color="000000"/>
            </w:tcBorders>
            <w:vAlign w:val="bottom"/>
          </w:tcPr>
          <w:p w14:paraId="22699D21"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0E34F924" w14:textId="77777777" w:rsidTr="00372E26">
        <w:trPr>
          <w:trHeight w:val="23"/>
        </w:trPr>
        <w:tc>
          <w:tcPr>
            <w:tcW w:w="1580" w:type="pct"/>
          </w:tcPr>
          <w:p w14:paraId="349ADD34" w14:textId="611178A5" w:rsidR="00D83E33" w:rsidRPr="00EA10CF" w:rsidRDefault="00BC4072" w:rsidP="001B330E">
            <w:pPr>
              <w:widowControl w:val="0"/>
              <w:ind w:left="113" w:hanging="113"/>
            </w:pPr>
            <w:r w:rsidRPr="00EA10CF">
              <w:rPr>
                <w:b/>
              </w:rPr>
              <w:t>Credit related commitments</w:t>
            </w:r>
            <w:r w:rsidRPr="00EA10CF">
              <w:rPr>
                <w:b/>
                <w:i/>
              </w:rPr>
              <w:t xml:space="preserve"> </w:t>
            </w:r>
          </w:p>
        </w:tc>
        <w:tc>
          <w:tcPr>
            <w:tcW w:w="651" w:type="pct"/>
            <w:vAlign w:val="bottom"/>
          </w:tcPr>
          <w:p w14:paraId="3424D35B" w14:textId="77777777" w:rsidR="00D83E33" w:rsidRPr="00EA10CF" w:rsidRDefault="00D83E33" w:rsidP="001B330E">
            <w:pPr>
              <w:widowControl w:val="0"/>
              <w:pBdr>
                <w:top w:val="nil"/>
                <w:left w:val="nil"/>
                <w:bottom w:val="nil"/>
                <w:right w:val="nil"/>
                <w:between w:val="nil"/>
              </w:pBdr>
              <w:rPr>
                <w:b/>
                <w:color w:val="000000"/>
              </w:rPr>
            </w:pPr>
          </w:p>
        </w:tc>
        <w:tc>
          <w:tcPr>
            <w:tcW w:w="651" w:type="pct"/>
          </w:tcPr>
          <w:p w14:paraId="03CD1E22" w14:textId="77777777" w:rsidR="00D83E33" w:rsidRPr="00EA10CF" w:rsidRDefault="00D83E33" w:rsidP="001B330E">
            <w:pPr>
              <w:widowControl w:val="0"/>
              <w:pBdr>
                <w:top w:val="nil"/>
                <w:left w:val="nil"/>
                <w:bottom w:val="nil"/>
                <w:right w:val="nil"/>
                <w:between w:val="nil"/>
              </w:pBdr>
              <w:rPr>
                <w:b/>
                <w:color w:val="000000"/>
              </w:rPr>
            </w:pPr>
          </w:p>
        </w:tc>
        <w:tc>
          <w:tcPr>
            <w:tcW w:w="603" w:type="pct"/>
          </w:tcPr>
          <w:p w14:paraId="6F09AA2F" w14:textId="77777777" w:rsidR="00D83E33" w:rsidRPr="00EA10CF" w:rsidRDefault="00D83E33" w:rsidP="001B330E">
            <w:pPr>
              <w:widowControl w:val="0"/>
              <w:pBdr>
                <w:top w:val="nil"/>
                <w:left w:val="nil"/>
                <w:bottom w:val="nil"/>
                <w:right w:val="nil"/>
                <w:between w:val="nil"/>
              </w:pBdr>
              <w:rPr>
                <w:b/>
                <w:color w:val="000000"/>
              </w:rPr>
            </w:pPr>
          </w:p>
        </w:tc>
        <w:tc>
          <w:tcPr>
            <w:tcW w:w="470" w:type="pct"/>
            <w:vAlign w:val="bottom"/>
          </w:tcPr>
          <w:p w14:paraId="60D2B0E1" w14:textId="77777777" w:rsidR="00D83E33" w:rsidRPr="00EA10CF" w:rsidRDefault="00D83E33" w:rsidP="001B330E">
            <w:pPr>
              <w:widowControl w:val="0"/>
              <w:pBdr>
                <w:top w:val="nil"/>
                <w:left w:val="nil"/>
                <w:bottom w:val="nil"/>
                <w:right w:val="nil"/>
                <w:between w:val="nil"/>
              </w:pBdr>
              <w:rPr>
                <w:b/>
                <w:color w:val="000000"/>
              </w:rPr>
            </w:pPr>
          </w:p>
        </w:tc>
        <w:tc>
          <w:tcPr>
            <w:tcW w:w="515" w:type="pct"/>
            <w:vAlign w:val="bottom"/>
          </w:tcPr>
          <w:p w14:paraId="0DD87F7C" w14:textId="77777777" w:rsidR="00D83E33" w:rsidRPr="00EA10CF" w:rsidRDefault="00D83E33" w:rsidP="001B330E">
            <w:pPr>
              <w:widowControl w:val="0"/>
              <w:pBdr>
                <w:top w:val="nil"/>
                <w:left w:val="nil"/>
                <w:bottom w:val="nil"/>
                <w:right w:val="nil"/>
                <w:between w:val="nil"/>
              </w:pBdr>
              <w:rPr>
                <w:b/>
                <w:color w:val="000000"/>
              </w:rPr>
            </w:pPr>
          </w:p>
        </w:tc>
        <w:tc>
          <w:tcPr>
            <w:tcW w:w="530" w:type="pct"/>
            <w:vAlign w:val="bottom"/>
          </w:tcPr>
          <w:p w14:paraId="459F600F"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7FB2305D" w14:textId="77777777" w:rsidTr="00372E26">
        <w:trPr>
          <w:trHeight w:val="23"/>
        </w:trPr>
        <w:tc>
          <w:tcPr>
            <w:tcW w:w="1580" w:type="pct"/>
            <w:tcBorders>
              <w:bottom w:val="single" w:sz="12" w:space="0" w:color="000000"/>
            </w:tcBorders>
          </w:tcPr>
          <w:p w14:paraId="21469DD1" w14:textId="77777777" w:rsidR="00D83E33" w:rsidRPr="00EA10CF" w:rsidRDefault="00D83E33" w:rsidP="001B330E">
            <w:pPr>
              <w:widowControl w:val="0"/>
              <w:ind w:left="113" w:hanging="113"/>
            </w:pPr>
          </w:p>
        </w:tc>
        <w:tc>
          <w:tcPr>
            <w:tcW w:w="651" w:type="pct"/>
            <w:tcBorders>
              <w:bottom w:val="single" w:sz="12" w:space="0" w:color="000000"/>
            </w:tcBorders>
            <w:vAlign w:val="bottom"/>
          </w:tcPr>
          <w:p w14:paraId="2D211632" w14:textId="77777777" w:rsidR="00D83E33" w:rsidRPr="00EA10CF" w:rsidRDefault="00D83E33" w:rsidP="001B330E">
            <w:pPr>
              <w:widowControl w:val="0"/>
              <w:pBdr>
                <w:top w:val="nil"/>
                <w:left w:val="nil"/>
                <w:bottom w:val="nil"/>
                <w:right w:val="nil"/>
                <w:between w:val="nil"/>
              </w:pBdr>
              <w:rPr>
                <w:b/>
                <w:color w:val="000000"/>
              </w:rPr>
            </w:pPr>
          </w:p>
        </w:tc>
        <w:tc>
          <w:tcPr>
            <w:tcW w:w="651" w:type="pct"/>
            <w:tcBorders>
              <w:bottom w:val="single" w:sz="12" w:space="0" w:color="000000"/>
            </w:tcBorders>
          </w:tcPr>
          <w:p w14:paraId="695D49A3" w14:textId="77777777" w:rsidR="00D83E33" w:rsidRPr="00EA10CF" w:rsidRDefault="00D83E33" w:rsidP="001B330E">
            <w:pPr>
              <w:widowControl w:val="0"/>
              <w:pBdr>
                <w:top w:val="nil"/>
                <w:left w:val="nil"/>
                <w:bottom w:val="nil"/>
                <w:right w:val="nil"/>
                <w:between w:val="nil"/>
              </w:pBdr>
              <w:rPr>
                <w:b/>
                <w:color w:val="000000"/>
              </w:rPr>
            </w:pPr>
          </w:p>
        </w:tc>
        <w:tc>
          <w:tcPr>
            <w:tcW w:w="603" w:type="pct"/>
            <w:tcBorders>
              <w:bottom w:val="single" w:sz="12" w:space="0" w:color="000000"/>
            </w:tcBorders>
          </w:tcPr>
          <w:p w14:paraId="3ADEEB60" w14:textId="77777777" w:rsidR="00D83E33" w:rsidRPr="00EA10CF" w:rsidRDefault="00D83E33" w:rsidP="001B330E">
            <w:pPr>
              <w:widowControl w:val="0"/>
              <w:pBdr>
                <w:top w:val="nil"/>
                <w:left w:val="nil"/>
                <w:bottom w:val="nil"/>
                <w:right w:val="nil"/>
                <w:between w:val="nil"/>
              </w:pBdr>
              <w:rPr>
                <w:b/>
                <w:color w:val="000000"/>
              </w:rPr>
            </w:pPr>
          </w:p>
        </w:tc>
        <w:tc>
          <w:tcPr>
            <w:tcW w:w="470" w:type="pct"/>
            <w:tcBorders>
              <w:bottom w:val="single" w:sz="12" w:space="0" w:color="000000"/>
            </w:tcBorders>
            <w:vAlign w:val="bottom"/>
          </w:tcPr>
          <w:p w14:paraId="14F890B4" w14:textId="77777777" w:rsidR="00D83E33" w:rsidRPr="00EA10CF" w:rsidRDefault="00D83E33" w:rsidP="001B330E">
            <w:pPr>
              <w:widowControl w:val="0"/>
              <w:pBdr>
                <w:top w:val="nil"/>
                <w:left w:val="nil"/>
                <w:bottom w:val="nil"/>
                <w:right w:val="nil"/>
                <w:between w:val="nil"/>
              </w:pBdr>
              <w:rPr>
                <w:b/>
                <w:color w:val="000000"/>
              </w:rPr>
            </w:pPr>
          </w:p>
        </w:tc>
        <w:tc>
          <w:tcPr>
            <w:tcW w:w="515" w:type="pct"/>
            <w:tcBorders>
              <w:bottom w:val="single" w:sz="12" w:space="0" w:color="000000"/>
            </w:tcBorders>
            <w:vAlign w:val="bottom"/>
          </w:tcPr>
          <w:p w14:paraId="1ED4002A" w14:textId="77777777" w:rsidR="00D83E33" w:rsidRPr="00EA10CF" w:rsidRDefault="00D83E33" w:rsidP="001B330E">
            <w:pPr>
              <w:widowControl w:val="0"/>
              <w:pBdr>
                <w:top w:val="nil"/>
                <w:left w:val="nil"/>
                <w:bottom w:val="nil"/>
                <w:right w:val="nil"/>
                <w:between w:val="nil"/>
              </w:pBdr>
              <w:rPr>
                <w:b/>
                <w:color w:val="000000"/>
              </w:rPr>
            </w:pPr>
          </w:p>
        </w:tc>
        <w:tc>
          <w:tcPr>
            <w:tcW w:w="530" w:type="pct"/>
            <w:tcBorders>
              <w:bottom w:val="single" w:sz="12" w:space="0" w:color="000000"/>
            </w:tcBorders>
            <w:vAlign w:val="bottom"/>
          </w:tcPr>
          <w:p w14:paraId="46171CA1" w14:textId="77777777" w:rsidR="00D83E33" w:rsidRPr="00EA10CF" w:rsidRDefault="00D83E33" w:rsidP="001B330E">
            <w:pPr>
              <w:widowControl w:val="0"/>
              <w:pBdr>
                <w:top w:val="nil"/>
                <w:left w:val="nil"/>
                <w:bottom w:val="nil"/>
                <w:right w:val="nil"/>
                <w:between w:val="nil"/>
              </w:pBdr>
              <w:rPr>
                <w:b/>
                <w:color w:val="000000"/>
              </w:rPr>
            </w:pPr>
          </w:p>
        </w:tc>
      </w:tr>
    </w:tbl>
    <w:p w14:paraId="10893423" w14:textId="77777777" w:rsidR="009A397A" w:rsidRDefault="009A397A" w:rsidP="001B330E">
      <w:pPr>
        <w:pBdr>
          <w:top w:val="nil"/>
          <w:left w:val="nil"/>
          <w:bottom w:val="nil"/>
          <w:right w:val="nil"/>
          <w:between w:val="nil"/>
        </w:pBdr>
        <w:spacing w:before="200"/>
        <w:jc w:val="both"/>
        <w:rPr>
          <w:color w:val="000000"/>
          <w:sz w:val="20"/>
          <w:szCs w:val="20"/>
        </w:rPr>
      </w:pPr>
    </w:p>
    <w:p w14:paraId="1488162E" w14:textId="783F71A0" w:rsidR="00D83E33" w:rsidRDefault="00BC4072" w:rsidP="001B330E">
      <w:pPr>
        <w:pBdr>
          <w:top w:val="nil"/>
          <w:left w:val="nil"/>
          <w:bottom w:val="nil"/>
          <w:right w:val="nil"/>
          <w:between w:val="nil"/>
        </w:pBdr>
        <w:spacing w:after="200"/>
        <w:jc w:val="both"/>
        <w:rPr>
          <w:color w:val="000000"/>
          <w:sz w:val="20"/>
          <w:szCs w:val="20"/>
        </w:rPr>
      </w:pPr>
      <w:r>
        <w:rPr>
          <w:color w:val="000000"/>
          <w:sz w:val="20"/>
          <w:szCs w:val="20"/>
        </w:rPr>
        <w:t xml:space="preserve">Assets, liabilities and credit related commitments have </w:t>
      </w:r>
      <w:r>
        <w:rPr>
          <w:color w:val="0000FF"/>
          <w:sz w:val="20"/>
          <w:szCs w:val="20"/>
        </w:rPr>
        <w:t>[generally]</w:t>
      </w:r>
      <w:r>
        <w:rPr>
          <w:color w:val="000000"/>
          <w:sz w:val="20"/>
          <w:szCs w:val="20"/>
        </w:rPr>
        <w:t xml:space="preserve"> been based on the country in which the counterparty is located. Cash on hand </w:t>
      </w:r>
      <w:r>
        <w:rPr>
          <w:color w:val="0000FF"/>
          <w:sz w:val="20"/>
          <w:szCs w:val="20"/>
        </w:rPr>
        <w:t>[and</w:t>
      </w:r>
      <w:r w:rsidR="00181687">
        <w:rPr>
          <w:color w:val="0000FF"/>
          <w:sz w:val="20"/>
          <w:szCs w:val="20"/>
        </w:rPr>
        <w:t xml:space="preserve"> </w:t>
      </w:r>
      <w:r>
        <w:rPr>
          <w:color w:val="0000FF"/>
          <w:sz w:val="20"/>
          <w:szCs w:val="20"/>
        </w:rPr>
        <w:t>precious metals]</w:t>
      </w:r>
      <w:r>
        <w:rPr>
          <w:color w:val="000000"/>
          <w:sz w:val="20"/>
          <w:szCs w:val="20"/>
        </w:rPr>
        <w:t xml:space="preserve"> have been allocated based on the country in which they are physically held. </w:t>
      </w:r>
    </w:p>
    <w:p w14:paraId="7AA1CBFF" w14:textId="77777777" w:rsidR="009A397A" w:rsidRDefault="009A397A">
      <w:pPr>
        <w:pStyle w:val="Continued"/>
      </w:pPr>
      <w:r>
        <w:lastRenderedPageBreak/>
        <w:t>41</w:t>
      </w:r>
      <w:r>
        <w:tab/>
        <w:t>Financial Risk Management (Continued)</w:t>
      </w:r>
    </w:p>
    <w:p w14:paraId="43C7967D" w14:textId="72B2AFA7"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geographical concentration of the Group’s financial assets and liabilities at 31</w:t>
      </w:r>
      <w:r w:rsidR="00181687">
        <w:rPr>
          <w:color w:val="000000"/>
          <w:sz w:val="20"/>
          <w:szCs w:val="20"/>
        </w:rPr>
        <w:t> December </w:t>
      </w:r>
      <w:r w:rsidR="00541EBC">
        <w:rPr>
          <w:color w:val="000000"/>
          <w:sz w:val="20"/>
          <w:szCs w:val="20"/>
        </w:rPr>
        <w:t>2023</w:t>
      </w:r>
      <w:r>
        <w:rPr>
          <w:color w:val="000000"/>
          <w:sz w:val="20"/>
          <w:szCs w:val="20"/>
        </w:rPr>
        <w:t xml:space="preserve"> is set out below:</w:t>
      </w:r>
    </w:p>
    <w:tbl>
      <w:tblPr>
        <w:tblStyle w:val="affffffffffffff6"/>
        <w:tblW w:w="5000" w:type="pct"/>
        <w:tblCellMar>
          <w:left w:w="113" w:type="dxa"/>
          <w:right w:w="113" w:type="dxa"/>
        </w:tblCellMar>
        <w:tblLook w:val="0000" w:firstRow="0" w:lastRow="0" w:firstColumn="0" w:lastColumn="0" w:noHBand="0" w:noVBand="0"/>
      </w:tblPr>
      <w:tblGrid>
        <w:gridCol w:w="2947"/>
        <w:gridCol w:w="1209"/>
        <w:gridCol w:w="1209"/>
        <w:gridCol w:w="1259"/>
        <w:gridCol w:w="766"/>
        <w:gridCol w:w="766"/>
        <w:gridCol w:w="1173"/>
        <w:gridCol w:w="26"/>
      </w:tblGrid>
      <w:tr w:rsidR="002769D8" w:rsidRPr="00EA10CF" w14:paraId="5D6C4FCD" w14:textId="77777777" w:rsidTr="001B330E">
        <w:trPr>
          <w:trHeight w:val="23"/>
        </w:trPr>
        <w:tc>
          <w:tcPr>
            <w:tcW w:w="1580" w:type="pct"/>
            <w:tcBorders>
              <w:bottom w:val="single" w:sz="4" w:space="0" w:color="000000"/>
            </w:tcBorders>
            <w:vAlign w:val="bottom"/>
          </w:tcPr>
          <w:p w14:paraId="5AE50097" w14:textId="015A3071"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51" w:type="pct"/>
            <w:tcBorders>
              <w:bottom w:val="single" w:sz="4" w:space="0" w:color="000000"/>
            </w:tcBorders>
          </w:tcPr>
          <w:p w14:paraId="1E549020" w14:textId="70B34BE6" w:rsidR="00D83E33" w:rsidRPr="00EA10CF" w:rsidRDefault="00372E26" w:rsidP="001B330E">
            <w:pPr>
              <w:widowControl w:val="0"/>
              <w:pBdr>
                <w:top w:val="nil"/>
                <w:left w:val="nil"/>
                <w:bottom w:val="nil"/>
                <w:right w:val="nil"/>
                <w:between w:val="nil"/>
              </w:pBdr>
              <w:jc w:val="right"/>
              <w:rPr>
                <w:color w:val="000000"/>
              </w:rPr>
            </w:pPr>
            <w:r>
              <w:rPr>
                <w:b/>
                <w:color w:val="000000"/>
              </w:rPr>
              <w:t>[Country]</w:t>
            </w:r>
          </w:p>
        </w:tc>
        <w:tc>
          <w:tcPr>
            <w:tcW w:w="651" w:type="pct"/>
            <w:tcBorders>
              <w:bottom w:val="single" w:sz="4" w:space="0" w:color="000000"/>
            </w:tcBorders>
          </w:tcPr>
          <w:p w14:paraId="2D29EB5A" w14:textId="4D705666" w:rsidR="00D83E33" w:rsidRPr="00EA10CF" w:rsidRDefault="002769D8" w:rsidP="001B330E">
            <w:pPr>
              <w:widowControl w:val="0"/>
              <w:pBdr>
                <w:top w:val="nil"/>
                <w:left w:val="nil"/>
                <w:bottom w:val="nil"/>
                <w:right w:val="nil"/>
                <w:between w:val="nil"/>
              </w:pBdr>
              <w:jc w:val="right"/>
              <w:rPr>
                <w:b/>
                <w:color w:val="0000FF"/>
              </w:rPr>
            </w:pPr>
            <w:r>
              <w:rPr>
                <w:b/>
                <w:color w:val="0000FF"/>
              </w:rPr>
              <w:t>Czech Republic</w:t>
            </w:r>
          </w:p>
        </w:tc>
        <w:tc>
          <w:tcPr>
            <w:tcW w:w="677" w:type="pct"/>
            <w:tcBorders>
              <w:bottom w:val="single" w:sz="4" w:space="0" w:color="000000"/>
            </w:tcBorders>
          </w:tcPr>
          <w:p w14:paraId="3C36995D" w14:textId="69AF7845" w:rsidR="00D83E33" w:rsidRPr="00EA10CF" w:rsidRDefault="002769D8" w:rsidP="001B330E">
            <w:pPr>
              <w:widowControl w:val="0"/>
              <w:pBdr>
                <w:top w:val="nil"/>
                <w:left w:val="nil"/>
                <w:bottom w:val="nil"/>
                <w:right w:val="nil"/>
                <w:between w:val="nil"/>
              </w:pBdr>
              <w:jc w:val="right"/>
              <w:rPr>
                <w:color w:val="0000FF"/>
              </w:rPr>
            </w:pPr>
            <w:r>
              <w:rPr>
                <w:b/>
                <w:color w:val="0000FF"/>
              </w:rPr>
              <w:t>Poland</w:t>
            </w:r>
          </w:p>
        </w:tc>
        <w:tc>
          <w:tcPr>
            <w:tcW w:w="396" w:type="pct"/>
            <w:tcBorders>
              <w:bottom w:val="single" w:sz="4" w:space="0" w:color="000000"/>
            </w:tcBorders>
          </w:tcPr>
          <w:p w14:paraId="15A64B12" w14:textId="0BA5DA84" w:rsidR="00D83E33" w:rsidRPr="00EA10CF" w:rsidRDefault="00BC4072" w:rsidP="001B330E">
            <w:pPr>
              <w:widowControl w:val="0"/>
              <w:pBdr>
                <w:top w:val="nil"/>
                <w:left w:val="nil"/>
                <w:bottom w:val="nil"/>
                <w:right w:val="nil"/>
                <w:between w:val="nil"/>
              </w:pBdr>
              <w:jc w:val="right"/>
              <w:rPr>
                <w:color w:val="0000FF"/>
              </w:rPr>
            </w:pPr>
            <w:r w:rsidRPr="00EA10CF">
              <w:rPr>
                <w:b/>
                <w:color w:val="0000FF"/>
              </w:rPr>
              <w:t xml:space="preserve">[Other </w:t>
            </w:r>
            <w:r w:rsidR="002769D8">
              <w:rPr>
                <w:b/>
                <w:color w:val="0000FF"/>
              </w:rPr>
              <w:t>EU</w:t>
            </w:r>
            <w:r w:rsidRPr="00EA10CF">
              <w:rPr>
                <w:b/>
                <w:color w:val="0000FF"/>
              </w:rPr>
              <w:t>]</w:t>
            </w:r>
          </w:p>
        </w:tc>
        <w:tc>
          <w:tcPr>
            <w:tcW w:w="396" w:type="pct"/>
            <w:tcBorders>
              <w:bottom w:val="single" w:sz="4" w:space="0" w:color="000000"/>
            </w:tcBorders>
          </w:tcPr>
          <w:p w14:paraId="279AB38D" w14:textId="080DC757" w:rsidR="00D83E33" w:rsidRPr="00EA10CF" w:rsidRDefault="00BC4072" w:rsidP="001B330E">
            <w:pPr>
              <w:widowControl w:val="0"/>
              <w:pBdr>
                <w:top w:val="nil"/>
                <w:left w:val="nil"/>
                <w:bottom w:val="nil"/>
                <w:right w:val="nil"/>
                <w:between w:val="nil"/>
              </w:pBdr>
              <w:jc w:val="right"/>
              <w:rPr>
                <w:color w:val="0000FF"/>
              </w:rPr>
            </w:pPr>
            <w:r w:rsidRPr="00EA10CF">
              <w:rPr>
                <w:b/>
                <w:color w:val="0000FF"/>
              </w:rPr>
              <w:t>[</w:t>
            </w:r>
            <w:r w:rsidR="002769D8">
              <w:rPr>
                <w:b/>
                <w:color w:val="0000FF"/>
              </w:rPr>
              <w:t>Other n</w:t>
            </w:r>
            <w:r w:rsidRPr="00EA10CF">
              <w:rPr>
                <w:b/>
                <w:color w:val="0000FF"/>
              </w:rPr>
              <w:t>on-</w:t>
            </w:r>
            <w:r w:rsidR="002769D8">
              <w:rPr>
                <w:b/>
                <w:color w:val="0000FF"/>
              </w:rPr>
              <w:t>EU</w:t>
            </w:r>
            <w:r w:rsidRPr="00EA10CF">
              <w:rPr>
                <w:b/>
                <w:color w:val="0000FF"/>
              </w:rPr>
              <w:t>]</w:t>
            </w:r>
          </w:p>
        </w:tc>
        <w:tc>
          <w:tcPr>
            <w:tcW w:w="651" w:type="pct"/>
            <w:gridSpan w:val="2"/>
            <w:tcBorders>
              <w:bottom w:val="single" w:sz="4" w:space="0" w:color="000000"/>
            </w:tcBorders>
          </w:tcPr>
          <w:p w14:paraId="74E70308" w14:textId="77777777" w:rsidR="00D83E33" w:rsidRPr="00EA10CF" w:rsidRDefault="00BC4072" w:rsidP="001B330E">
            <w:pPr>
              <w:widowControl w:val="0"/>
              <w:pBdr>
                <w:top w:val="nil"/>
                <w:left w:val="nil"/>
                <w:bottom w:val="nil"/>
                <w:right w:val="nil"/>
                <w:between w:val="nil"/>
              </w:pBdr>
              <w:jc w:val="right"/>
              <w:rPr>
                <w:color w:val="000000"/>
              </w:rPr>
            </w:pPr>
            <w:r w:rsidRPr="00EA10CF">
              <w:rPr>
                <w:b/>
                <w:color w:val="000000"/>
              </w:rPr>
              <w:t>Total</w:t>
            </w:r>
          </w:p>
        </w:tc>
      </w:tr>
      <w:tr w:rsidR="002769D8" w:rsidRPr="00EA10CF" w14:paraId="3C0CE598" w14:textId="77777777" w:rsidTr="001B330E">
        <w:trPr>
          <w:trHeight w:val="23"/>
        </w:trPr>
        <w:tc>
          <w:tcPr>
            <w:tcW w:w="1580" w:type="pct"/>
          </w:tcPr>
          <w:p w14:paraId="1F3E5C18" w14:textId="77777777" w:rsidR="00D83E33" w:rsidRPr="00EA10CF" w:rsidRDefault="00D83E33" w:rsidP="001B330E">
            <w:pPr>
              <w:widowControl w:val="0"/>
              <w:ind w:left="113" w:hanging="113"/>
              <w:rPr>
                <w:i/>
              </w:rPr>
            </w:pPr>
          </w:p>
        </w:tc>
        <w:tc>
          <w:tcPr>
            <w:tcW w:w="651" w:type="pct"/>
            <w:vAlign w:val="bottom"/>
          </w:tcPr>
          <w:p w14:paraId="365FB86C"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1132C773"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641A53CD"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610DD52F"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6AB8539F"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vAlign w:val="bottom"/>
          </w:tcPr>
          <w:p w14:paraId="3C6CFC03"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5B39B5F0" w14:textId="77777777" w:rsidTr="001B330E">
        <w:trPr>
          <w:trHeight w:val="23"/>
        </w:trPr>
        <w:tc>
          <w:tcPr>
            <w:tcW w:w="1580" w:type="pct"/>
          </w:tcPr>
          <w:p w14:paraId="55D0BE47"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color w:val="000000"/>
              </w:rPr>
              <w:t>Financial assets</w:t>
            </w:r>
          </w:p>
        </w:tc>
        <w:tc>
          <w:tcPr>
            <w:tcW w:w="651" w:type="pct"/>
            <w:vAlign w:val="bottom"/>
          </w:tcPr>
          <w:p w14:paraId="44207D43"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2D725A84"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1707585E"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0FD5BC88"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15AE7198"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vAlign w:val="bottom"/>
          </w:tcPr>
          <w:p w14:paraId="604892EF"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594B1AE1" w14:textId="77777777" w:rsidTr="001B330E">
        <w:trPr>
          <w:trHeight w:val="23"/>
        </w:trPr>
        <w:tc>
          <w:tcPr>
            <w:tcW w:w="1580" w:type="pct"/>
          </w:tcPr>
          <w:p w14:paraId="50058D3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Cash and cash equivalents</w:t>
            </w:r>
          </w:p>
        </w:tc>
        <w:tc>
          <w:tcPr>
            <w:tcW w:w="651" w:type="pct"/>
            <w:vAlign w:val="bottom"/>
          </w:tcPr>
          <w:p w14:paraId="0007F07F"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4BA1E65E"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1D0F80C3"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76CB8D6E"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79FDB7EF"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vAlign w:val="bottom"/>
          </w:tcPr>
          <w:p w14:paraId="15863926"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12623A17" w14:textId="77777777" w:rsidTr="001B330E">
        <w:trPr>
          <w:trHeight w:val="23"/>
        </w:trPr>
        <w:tc>
          <w:tcPr>
            <w:tcW w:w="1580" w:type="pct"/>
          </w:tcPr>
          <w:p w14:paraId="31530CC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Investments in debt securities</w:t>
            </w:r>
          </w:p>
        </w:tc>
        <w:tc>
          <w:tcPr>
            <w:tcW w:w="651" w:type="pct"/>
            <w:vAlign w:val="bottom"/>
          </w:tcPr>
          <w:p w14:paraId="5A1EA687"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64E780A0"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203E766F"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175240EA"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49911A83"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vAlign w:val="bottom"/>
          </w:tcPr>
          <w:p w14:paraId="5EB2F4B2"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02FAED60" w14:textId="77777777" w:rsidTr="001B330E">
        <w:trPr>
          <w:trHeight w:val="23"/>
        </w:trPr>
        <w:tc>
          <w:tcPr>
            <w:tcW w:w="1580" w:type="pct"/>
          </w:tcPr>
          <w:p w14:paraId="5D5B4DA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Investment in equity securities </w:t>
            </w:r>
          </w:p>
        </w:tc>
        <w:tc>
          <w:tcPr>
            <w:tcW w:w="651" w:type="pct"/>
            <w:vAlign w:val="bottom"/>
          </w:tcPr>
          <w:p w14:paraId="12BE326C"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25A1024C"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2CE1E5C4"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713866F8"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1BD31EF9"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vAlign w:val="bottom"/>
          </w:tcPr>
          <w:p w14:paraId="0D57F912"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02EE4D99" w14:textId="77777777" w:rsidTr="001B330E">
        <w:trPr>
          <w:trHeight w:val="23"/>
        </w:trPr>
        <w:tc>
          <w:tcPr>
            <w:tcW w:w="1580" w:type="pct"/>
          </w:tcPr>
          <w:p w14:paraId="6F713A7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Due from other banks</w:t>
            </w:r>
          </w:p>
        </w:tc>
        <w:tc>
          <w:tcPr>
            <w:tcW w:w="651" w:type="pct"/>
            <w:vAlign w:val="bottom"/>
          </w:tcPr>
          <w:p w14:paraId="65DBCE3A"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3C837B6F"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1B232E8A"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2FBD161C"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04060FEF"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vAlign w:val="bottom"/>
          </w:tcPr>
          <w:p w14:paraId="779DFC8B"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05E5D8A6" w14:textId="77777777" w:rsidTr="001B330E">
        <w:trPr>
          <w:trHeight w:val="23"/>
        </w:trPr>
        <w:tc>
          <w:tcPr>
            <w:tcW w:w="1580" w:type="pct"/>
          </w:tcPr>
          <w:p w14:paraId="0B2385A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Loans and advances to customers</w:t>
            </w:r>
          </w:p>
        </w:tc>
        <w:tc>
          <w:tcPr>
            <w:tcW w:w="651" w:type="pct"/>
            <w:vAlign w:val="bottom"/>
          </w:tcPr>
          <w:p w14:paraId="6CCC264C"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6EE62A62"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0EF4DB2E"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628924A3"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424F7282"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vAlign w:val="bottom"/>
          </w:tcPr>
          <w:p w14:paraId="7CE8B146"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78D51A58" w14:textId="77777777" w:rsidTr="001B330E">
        <w:trPr>
          <w:trHeight w:val="23"/>
        </w:trPr>
        <w:tc>
          <w:tcPr>
            <w:tcW w:w="1580" w:type="pct"/>
          </w:tcPr>
          <w:p w14:paraId="5DB5027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Repurchase receivables</w:t>
            </w:r>
          </w:p>
        </w:tc>
        <w:tc>
          <w:tcPr>
            <w:tcW w:w="651" w:type="pct"/>
            <w:vAlign w:val="bottom"/>
          </w:tcPr>
          <w:p w14:paraId="042D595E"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5ACA2A76"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18CBDD5E"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5FF81339"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4B0654C3"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vAlign w:val="bottom"/>
          </w:tcPr>
          <w:p w14:paraId="4CEE9BA0"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459D31B0" w14:textId="77777777" w:rsidTr="001B330E">
        <w:trPr>
          <w:trHeight w:val="23"/>
        </w:trPr>
        <w:tc>
          <w:tcPr>
            <w:tcW w:w="1580" w:type="pct"/>
          </w:tcPr>
          <w:p w14:paraId="22609E4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financial assets</w:t>
            </w:r>
          </w:p>
        </w:tc>
        <w:tc>
          <w:tcPr>
            <w:tcW w:w="651" w:type="pct"/>
            <w:vAlign w:val="bottom"/>
          </w:tcPr>
          <w:p w14:paraId="6FA4CA74"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1FF7BAFB"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7DCCE5F4"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389EB960"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3C3A7BE8"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vAlign w:val="bottom"/>
          </w:tcPr>
          <w:p w14:paraId="2AB03991"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337BECBB" w14:textId="77777777" w:rsidTr="001B330E">
        <w:trPr>
          <w:trHeight w:val="23"/>
        </w:trPr>
        <w:tc>
          <w:tcPr>
            <w:tcW w:w="1580" w:type="pct"/>
            <w:tcBorders>
              <w:bottom w:val="single" w:sz="4" w:space="0" w:color="000000"/>
            </w:tcBorders>
          </w:tcPr>
          <w:p w14:paraId="3A8807C0"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51" w:type="pct"/>
            <w:tcBorders>
              <w:bottom w:val="single" w:sz="4" w:space="0" w:color="000000"/>
            </w:tcBorders>
            <w:vAlign w:val="bottom"/>
          </w:tcPr>
          <w:p w14:paraId="0F9E3049"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tcBorders>
              <w:bottom w:val="single" w:sz="4" w:space="0" w:color="000000"/>
            </w:tcBorders>
            <w:vAlign w:val="bottom"/>
          </w:tcPr>
          <w:p w14:paraId="42AF2AB3"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tcBorders>
              <w:bottom w:val="single" w:sz="4" w:space="0" w:color="000000"/>
            </w:tcBorders>
            <w:vAlign w:val="bottom"/>
          </w:tcPr>
          <w:p w14:paraId="5505E81F"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tcBorders>
              <w:bottom w:val="single" w:sz="4" w:space="0" w:color="000000"/>
            </w:tcBorders>
            <w:vAlign w:val="bottom"/>
          </w:tcPr>
          <w:p w14:paraId="5EA6D7F5"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tcBorders>
              <w:bottom w:val="single" w:sz="4" w:space="0" w:color="000000"/>
            </w:tcBorders>
            <w:vAlign w:val="bottom"/>
          </w:tcPr>
          <w:p w14:paraId="41B7C505"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gridSpan w:val="2"/>
            <w:tcBorders>
              <w:bottom w:val="single" w:sz="4" w:space="0" w:color="000000"/>
            </w:tcBorders>
            <w:vAlign w:val="bottom"/>
          </w:tcPr>
          <w:p w14:paraId="420E23B0"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0CBE805E" w14:textId="77777777" w:rsidTr="001B330E">
        <w:trPr>
          <w:trHeight w:val="23"/>
        </w:trPr>
        <w:tc>
          <w:tcPr>
            <w:tcW w:w="1580" w:type="pct"/>
          </w:tcPr>
          <w:p w14:paraId="34359AF3"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51" w:type="pct"/>
            <w:vAlign w:val="bottom"/>
          </w:tcPr>
          <w:p w14:paraId="07862E07"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vAlign w:val="bottom"/>
          </w:tcPr>
          <w:p w14:paraId="41A07C8A"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vAlign w:val="bottom"/>
          </w:tcPr>
          <w:p w14:paraId="44D6843D"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749BE449"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1B91B357"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gridSpan w:val="2"/>
            <w:vAlign w:val="bottom"/>
          </w:tcPr>
          <w:p w14:paraId="3F99DCF5"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2635FF0D" w14:textId="77777777" w:rsidTr="001B330E">
        <w:trPr>
          <w:trHeight w:val="23"/>
        </w:trPr>
        <w:tc>
          <w:tcPr>
            <w:tcW w:w="1580" w:type="pct"/>
          </w:tcPr>
          <w:p w14:paraId="034F5611"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financial assets</w:t>
            </w:r>
          </w:p>
        </w:tc>
        <w:tc>
          <w:tcPr>
            <w:tcW w:w="651" w:type="pct"/>
            <w:vAlign w:val="bottom"/>
          </w:tcPr>
          <w:p w14:paraId="15A57B55"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vAlign w:val="bottom"/>
          </w:tcPr>
          <w:p w14:paraId="0879255B"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vAlign w:val="bottom"/>
          </w:tcPr>
          <w:p w14:paraId="2A9AC464"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0E6CE9E0"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0354FD09"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gridSpan w:val="2"/>
            <w:vAlign w:val="bottom"/>
          </w:tcPr>
          <w:p w14:paraId="6E7C00C2"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31273BD3" w14:textId="77777777" w:rsidTr="001B330E">
        <w:trPr>
          <w:trHeight w:val="23"/>
        </w:trPr>
        <w:tc>
          <w:tcPr>
            <w:tcW w:w="1580" w:type="pct"/>
            <w:tcBorders>
              <w:bottom w:val="single" w:sz="4" w:space="0" w:color="000000"/>
            </w:tcBorders>
          </w:tcPr>
          <w:p w14:paraId="008667C6"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651" w:type="pct"/>
            <w:tcBorders>
              <w:bottom w:val="single" w:sz="4" w:space="0" w:color="000000"/>
            </w:tcBorders>
            <w:vAlign w:val="bottom"/>
          </w:tcPr>
          <w:p w14:paraId="3F47C66F"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tcBorders>
              <w:bottom w:val="single" w:sz="4" w:space="0" w:color="000000"/>
            </w:tcBorders>
            <w:vAlign w:val="bottom"/>
          </w:tcPr>
          <w:p w14:paraId="3F94704F"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tcBorders>
              <w:bottom w:val="single" w:sz="4" w:space="0" w:color="000000"/>
            </w:tcBorders>
            <w:vAlign w:val="bottom"/>
          </w:tcPr>
          <w:p w14:paraId="3CA55FCA"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bottom w:val="single" w:sz="4" w:space="0" w:color="000000"/>
            </w:tcBorders>
            <w:vAlign w:val="bottom"/>
          </w:tcPr>
          <w:p w14:paraId="2F58A119"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bottom w:val="single" w:sz="4" w:space="0" w:color="000000"/>
            </w:tcBorders>
            <w:vAlign w:val="bottom"/>
          </w:tcPr>
          <w:p w14:paraId="76291851"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gridSpan w:val="2"/>
            <w:tcBorders>
              <w:bottom w:val="single" w:sz="4" w:space="0" w:color="000000"/>
            </w:tcBorders>
            <w:vAlign w:val="bottom"/>
          </w:tcPr>
          <w:p w14:paraId="2196CC45"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7F20EC13" w14:textId="77777777" w:rsidTr="001B330E">
        <w:trPr>
          <w:gridAfter w:val="1"/>
          <w:wAfter w:w="20" w:type="pct"/>
          <w:trHeight w:val="23"/>
        </w:trPr>
        <w:tc>
          <w:tcPr>
            <w:tcW w:w="1580" w:type="pct"/>
          </w:tcPr>
          <w:p w14:paraId="492ECF70" w14:textId="77777777" w:rsidR="00D83E33" w:rsidRPr="00EA10CF" w:rsidRDefault="00D83E33" w:rsidP="001B330E">
            <w:pPr>
              <w:widowControl w:val="0"/>
              <w:ind w:left="113" w:hanging="113"/>
              <w:rPr>
                <w:i/>
              </w:rPr>
            </w:pPr>
          </w:p>
        </w:tc>
        <w:tc>
          <w:tcPr>
            <w:tcW w:w="651" w:type="pct"/>
            <w:vAlign w:val="bottom"/>
          </w:tcPr>
          <w:p w14:paraId="23D8E7F6"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53478DE6"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7B1B9FF8"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6DD4F11D"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1D32E7D7" w14:textId="77777777" w:rsidR="00D83E33" w:rsidRPr="00EA10CF" w:rsidRDefault="00D83E33" w:rsidP="001B330E">
            <w:pPr>
              <w:widowControl w:val="0"/>
              <w:pBdr>
                <w:top w:val="nil"/>
                <w:left w:val="nil"/>
                <w:bottom w:val="nil"/>
                <w:right w:val="nil"/>
                <w:between w:val="nil"/>
              </w:pBdr>
              <w:jc w:val="right"/>
              <w:rPr>
                <w:color w:val="000000"/>
              </w:rPr>
            </w:pPr>
          </w:p>
        </w:tc>
        <w:tc>
          <w:tcPr>
            <w:tcW w:w="631" w:type="pct"/>
            <w:vAlign w:val="bottom"/>
          </w:tcPr>
          <w:p w14:paraId="44F4D1C9"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125C3529" w14:textId="77777777" w:rsidTr="001B330E">
        <w:trPr>
          <w:gridAfter w:val="1"/>
          <w:wAfter w:w="20" w:type="pct"/>
          <w:trHeight w:val="23"/>
        </w:trPr>
        <w:tc>
          <w:tcPr>
            <w:tcW w:w="1580" w:type="pct"/>
          </w:tcPr>
          <w:p w14:paraId="2D0D8FDC"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color w:val="000000"/>
              </w:rPr>
              <w:t>Financial liabilities</w:t>
            </w:r>
          </w:p>
        </w:tc>
        <w:tc>
          <w:tcPr>
            <w:tcW w:w="651" w:type="pct"/>
            <w:vAlign w:val="bottom"/>
          </w:tcPr>
          <w:p w14:paraId="7C54C79B"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5B7A7999"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0497B8D4"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4B9A531D"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7A735EEA" w14:textId="77777777" w:rsidR="00D83E33" w:rsidRPr="00EA10CF" w:rsidRDefault="00D83E33" w:rsidP="001B330E">
            <w:pPr>
              <w:widowControl w:val="0"/>
              <w:pBdr>
                <w:top w:val="nil"/>
                <w:left w:val="nil"/>
                <w:bottom w:val="nil"/>
                <w:right w:val="nil"/>
                <w:between w:val="nil"/>
              </w:pBdr>
              <w:jc w:val="right"/>
              <w:rPr>
                <w:color w:val="000000"/>
              </w:rPr>
            </w:pPr>
          </w:p>
        </w:tc>
        <w:tc>
          <w:tcPr>
            <w:tcW w:w="631" w:type="pct"/>
            <w:vAlign w:val="bottom"/>
          </w:tcPr>
          <w:p w14:paraId="370D3FFA"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62071092" w14:textId="77777777" w:rsidTr="001B330E">
        <w:trPr>
          <w:gridAfter w:val="1"/>
          <w:wAfter w:w="20" w:type="pct"/>
          <w:trHeight w:val="23"/>
        </w:trPr>
        <w:tc>
          <w:tcPr>
            <w:tcW w:w="1580" w:type="pct"/>
          </w:tcPr>
          <w:p w14:paraId="7670297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Due to other banks</w:t>
            </w:r>
          </w:p>
        </w:tc>
        <w:tc>
          <w:tcPr>
            <w:tcW w:w="651" w:type="pct"/>
            <w:vAlign w:val="bottom"/>
          </w:tcPr>
          <w:p w14:paraId="47F42761"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7C978A07"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5C972DEB"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2EC9887C"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0485B70C" w14:textId="77777777" w:rsidR="00D83E33" w:rsidRPr="00EA10CF" w:rsidRDefault="00D83E33" w:rsidP="001B330E">
            <w:pPr>
              <w:widowControl w:val="0"/>
              <w:pBdr>
                <w:top w:val="nil"/>
                <w:left w:val="nil"/>
                <w:bottom w:val="nil"/>
                <w:right w:val="nil"/>
                <w:between w:val="nil"/>
              </w:pBdr>
              <w:jc w:val="right"/>
              <w:rPr>
                <w:color w:val="000000"/>
              </w:rPr>
            </w:pPr>
          </w:p>
        </w:tc>
        <w:tc>
          <w:tcPr>
            <w:tcW w:w="631" w:type="pct"/>
            <w:vAlign w:val="bottom"/>
          </w:tcPr>
          <w:p w14:paraId="18CBEB1A"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0A0B2369" w14:textId="77777777" w:rsidTr="001B330E">
        <w:trPr>
          <w:gridAfter w:val="1"/>
          <w:wAfter w:w="20" w:type="pct"/>
          <w:trHeight w:val="23"/>
        </w:trPr>
        <w:tc>
          <w:tcPr>
            <w:tcW w:w="1580" w:type="pct"/>
          </w:tcPr>
          <w:p w14:paraId="44139FD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Customer accounts</w:t>
            </w:r>
          </w:p>
        </w:tc>
        <w:tc>
          <w:tcPr>
            <w:tcW w:w="651" w:type="pct"/>
            <w:vAlign w:val="bottom"/>
          </w:tcPr>
          <w:p w14:paraId="3FE88733"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569785EB"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0DF972C6"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35B4C6B5"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7337F11B" w14:textId="77777777" w:rsidR="00D83E33" w:rsidRPr="00EA10CF" w:rsidRDefault="00D83E33" w:rsidP="001B330E">
            <w:pPr>
              <w:widowControl w:val="0"/>
              <w:pBdr>
                <w:top w:val="nil"/>
                <w:left w:val="nil"/>
                <w:bottom w:val="nil"/>
                <w:right w:val="nil"/>
                <w:between w:val="nil"/>
              </w:pBdr>
              <w:jc w:val="right"/>
              <w:rPr>
                <w:color w:val="000000"/>
              </w:rPr>
            </w:pPr>
          </w:p>
        </w:tc>
        <w:tc>
          <w:tcPr>
            <w:tcW w:w="631" w:type="pct"/>
            <w:vAlign w:val="bottom"/>
          </w:tcPr>
          <w:p w14:paraId="44299377"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647C9DC2" w14:textId="77777777" w:rsidTr="001B330E">
        <w:trPr>
          <w:gridAfter w:val="1"/>
          <w:wAfter w:w="20" w:type="pct"/>
          <w:trHeight w:val="23"/>
        </w:trPr>
        <w:tc>
          <w:tcPr>
            <w:tcW w:w="1580" w:type="pct"/>
          </w:tcPr>
          <w:p w14:paraId="685A2B3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in issue [</w:t>
            </w:r>
            <w:r w:rsidRPr="00EA10CF">
              <w:rPr>
                <w:color w:val="0000FF"/>
              </w:rPr>
              <w:t>Promissory notes issued]</w:t>
            </w:r>
          </w:p>
        </w:tc>
        <w:tc>
          <w:tcPr>
            <w:tcW w:w="651" w:type="pct"/>
            <w:vAlign w:val="bottom"/>
          </w:tcPr>
          <w:p w14:paraId="6637CB8B"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05887E0C"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60585113"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372B2104"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0C9E6B80" w14:textId="77777777" w:rsidR="00D83E33" w:rsidRPr="00EA10CF" w:rsidRDefault="00D83E33" w:rsidP="001B330E">
            <w:pPr>
              <w:widowControl w:val="0"/>
              <w:pBdr>
                <w:top w:val="nil"/>
                <w:left w:val="nil"/>
                <w:bottom w:val="nil"/>
                <w:right w:val="nil"/>
                <w:between w:val="nil"/>
              </w:pBdr>
              <w:jc w:val="right"/>
              <w:rPr>
                <w:color w:val="000000"/>
              </w:rPr>
            </w:pPr>
          </w:p>
        </w:tc>
        <w:tc>
          <w:tcPr>
            <w:tcW w:w="631" w:type="pct"/>
            <w:vAlign w:val="bottom"/>
          </w:tcPr>
          <w:p w14:paraId="348EC732"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6AE84A34" w14:textId="77777777" w:rsidTr="001B330E">
        <w:trPr>
          <w:gridAfter w:val="1"/>
          <w:wAfter w:w="20" w:type="pct"/>
          <w:trHeight w:val="23"/>
        </w:trPr>
        <w:tc>
          <w:tcPr>
            <w:tcW w:w="1580" w:type="pct"/>
          </w:tcPr>
          <w:p w14:paraId="1BBCF81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Other borrowed funds </w:t>
            </w:r>
          </w:p>
        </w:tc>
        <w:tc>
          <w:tcPr>
            <w:tcW w:w="651" w:type="pct"/>
            <w:vAlign w:val="bottom"/>
          </w:tcPr>
          <w:p w14:paraId="3B865150"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2AEA446D"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784FE5AE"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2C2B4D7B"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14483889" w14:textId="77777777" w:rsidR="00D83E33" w:rsidRPr="00EA10CF" w:rsidRDefault="00D83E33" w:rsidP="001B330E">
            <w:pPr>
              <w:widowControl w:val="0"/>
              <w:pBdr>
                <w:top w:val="nil"/>
                <w:left w:val="nil"/>
                <w:bottom w:val="nil"/>
                <w:right w:val="nil"/>
                <w:between w:val="nil"/>
              </w:pBdr>
              <w:jc w:val="right"/>
              <w:rPr>
                <w:color w:val="000000"/>
              </w:rPr>
            </w:pPr>
          </w:p>
        </w:tc>
        <w:tc>
          <w:tcPr>
            <w:tcW w:w="631" w:type="pct"/>
            <w:vAlign w:val="bottom"/>
          </w:tcPr>
          <w:p w14:paraId="31AD92DF"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4CA350DB" w14:textId="77777777" w:rsidTr="001B330E">
        <w:trPr>
          <w:gridAfter w:val="1"/>
          <w:wAfter w:w="20" w:type="pct"/>
          <w:trHeight w:val="23"/>
        </w:trPr>
        <w:tc>
          <w:tcPr>
            <w:tcW w:w="1580" w:type="pct"/>
          </w:tcPr>
          <w:p w14:paraId="6C739AE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financial liabilities</w:t>
            </w:r>
          </w:p>
        </w:tc>
        <w:tc>
          <w:tcPr>
            <w:tcW w:w="651" w:type="pct"/>
            <w:vAlign w:val="bottom"/>
          </w:tcPr>
          <w:p w14:paraId="2A09C2D2"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5383A95C"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7D051BAA"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48034284"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401BA23C" w14:textId="77777777" w:rsidR="00D83E33" w:rsidRPr="00EA10CF" w:rsidRDefault="00D83E33" w:rsidP="001B330E">
            <w:pPr>
              <w:widowControl w:val="0"/>
              <w:pBdr>
                <w:top w:val="nil"/>
                <w:left w:val="nil"/>
                <w:bottom w:val="nil"/>
                <w:right w:val="nil"/>
                <w:between w:val="nil"/>
              </w:pBdr>
              <w:jc w:val="right"/>
              <w:rPr>
                <w:color w:val="000000"/>
              </w:rPr>
            </w:pPr>
          </w:p>
        </w:tc>
        <w:tc>
          <w:tcPr>
            <w:tcW w:w="631" w:type="pct"/>
            <w:vAlign w:val="bottom"/>
          </w:tcPr>
          <w:p w14:paraId="7F2BC14B"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5EF5DF70" w14:textId="77777777" w:rsidTr="001B330E">
        <w:trPr>
          <w:gridAfter w:val="1"/>
          <w:wAfter w:w="20" w:type="pct"/>
          <w:trHeight w:val="23"/>
        </w:trPr>
        <w:tc>
          <w:tcPr>
            <w:tcW w:w="1580" w:type="pct"/>
          </w:tcPr>
          <w:p w14:paraId="3061D014"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Subordinated debt</w:t>
            </w:r>
          </w:p>
        </w:tc>
        <w:tc>
          <w:tcPr>
            <w:tcW w:w="651" w:type="pct"/>
            <w:vAlign w:val="bottom"/>
          </w:tcPr>
          <w:p w14:paraId="33786609"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vAlign w:val="bottom"/>
          </w:tcPr>
          <w:p w14:paraId="2CEF27C9"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vAlign w:val="bottom"/>
          </w:tcPr>
          <w:p w14:paraId="6DD60C8E"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47AC88D0"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vAlign w:val="bottom"/>
          </w:tcPr>
          <w:p w14:paraId="41097CB0" w14:textId="77777777" w:rsidR="00D83E33" w:rsidRPr="00EA10CF" w:rsidRDefault="00D83E33" w:rsidP="001B330E">
            <w:pPr>
              <w:widowControl w:val="0"/>
              <w:pBdr>
                <w:top w:val="nil"/>
                <w:left w:val="nil"/>
                <w:bottom w:val="nil"/>
                <w:right w:val="nil"/>
                <w:between w:val="nil"/>
              </w:pBdr>
              <w:jc w:val="right"/>
              <w:rPr>
                <w:color w:val="000000"/>
              </w:rPr>
            </w:pPr>
          </w:p>
        </w:tc>
        <w:tc>
          <w:tcPr>
            <w:tcW w:w="631" w:type="pct"/>
            <w:vAlign w:val="bottom"/>
          </w:tcPr>
          <w:p w14:paraId="24013FB6"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4F6CDC56" w14:textId="77777777" w:rsidTr="001B330E">
        <w:trPr>
          <w:gridAfter w:val="1"/>
          <w:wAfter w:w="20" w:type="pct"/>
          <w:trHeight w:val="23"/>
        </w:trPr>
        <w:tc>
          <w:tcPr>
            <w:tcW w:w="1580" w:type="pct"/>
            <w:tcBorders>
              <w:bottom w:val="single" w:sz="4" w:space="0" w:color="000000"/>
            </w:tcBorders>
          </w:tcPr>
          <w:p w14:paraId="1989BFFB"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651" w:type="pct"/>
            <w:tcBorders>
              <w:bottom w:val="single" w:sz="4" w:space="0" w:color="000000"/>
            </w:tcBorders>
            <w:vAlign w:val="bottom"/>
          </w:tcPr>
          <w:p w14:paraId="5496B010" w14:textId="77777777" w:rsidR="00D83E33" w:rsidRPr="00EA10CF" w:rsidRDefault="00D83E33" w:rsidP="001B330E">
            <w:pPr>
              <w:widowControl w:val="0"/>
              <w:pBdr>
                <w:top w:val="nil"/>
                <w:left w:val="nil"/>
                <w:bottom w:val="nil"/>
                <w:right w:val="nil"/>
                <w:between w:val="nil"/>
              </w:pBdr>
              <w:jc w:val="right"/>
              <w:rPr>
                <w:color w:val="000000"/>
              </w:rPr>
            </w:pPr>
          </w:p>
        </w:tc>
        <w:tc>
          <w:tcPr>
            <w:tcW w:w="651" w:type="pct"/>
            <w:tcBorders>
              <w:bottom w:val="single" w:sz="4" w:space="0" w:color="000000"/>
            </w:tcBorders>
            <w:vAlign w:val="bottom"/>
          </w:tcPr>
          <w:p w14:paraId="33ED3246" w14:textId="77777777" w:rsidR="00D83E33" w:rsidRPr="00EA10CF" w:rsidRDefault="00D83E33" w:rsidP="001B330E">
            <w:pPr>
              <w:widowControl w:val="0"/>
              <w:pBdr>
                <w:top w:val="nil"/>
                <w:left w:val="nil"/>
                <w:bottom w:val="nil"/>
                <w:right w:val="nil"/>
                <w:between w:val="nil"/>
              </w:pBdr>
              <w:jc w:val="right"/>
              <w:rPr>
                <w:color w:val="000000"/>
              </w:rPr>
            </w:pPr>
          </w:p>
        </w:tc>
        <w:tc>
          <w:tcPr>
            <w:tcW w:w="677" w:type="pct"/>
            <w:tcBorders>
              <w:bottom w:val="single" w:sz="4" w:space="0" w:color="000000"/>
            </w:tcBorders>
            <w:vAlign w:val="bottom"/>
          </w:tcPr>
          <w:p w14:paraId="2DAE86D1"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tcBorders>
              <w:bottom w:val="single" w:sz="4" w:space="0" w:color="000000"/>
            </w:tcBorders>
            <w:vAlign w:val="bottom"/>
          </w:tcPr>
          <w:p w14:paraId="1B76BC2C" w14:textId="77777777" w:rsidR="00D83E33" w:rsidRPr="00EA10CF" w:rsidRDefault="00D83E33" w:rsidP="001B330E">
            <w:pPr>
              <w:widowControl w:val="0"/>
              <w:pBdr>
                <w:top w:val="nil"/>
                <w:left w:val="nil"/>
                <w:bottom w:val="nil"/>
                <w:right w:val="nil"/>
                <w:between w:val="nil"/>
              </w:pBdr>
              <w:jc w:val="right"/>
              <w:rPr>
                <w:color w:val="000000"/>
              </w:rPr>
            </w:pPr>
          </w:p>
        </w:tc>
        <w:tc>
          <w:tcPr>
            <w:tcW w:w="396" w:type="pct"/>
            <w:tcBorders>
              <w:bottom w:val="single" w:sz="4" w:space="0" w:color="000000"/>
            </w:tcBorders>
            <w:vAlign w:val="bottom"/>
          </w:tcPr>
          <w:p w14:paraId="351D98F6" w14:textId="77777777" w:rsidR="00D83E33" w:rsidRPr="00EA10CF" w:rsidRDefault="00D83E33" w:rsidP="001B330E">
            <w:pPr>
              <w:widowControl w:val="0"/>
              <w:pBdr>
                <w:top w:val="nil"/>
                <w:left w:val="nil"/>
                <w:bottom w:val="nil"/>
                <w:right w:val="nil"/>
                <w:between w:val="nil"/>
              </w:pBdr>
              <w:jc w:val="right"/>
              <w:rPr>
                <w:color w:val="000000"/>
              </w:rPr>
            </w:pPr>
          </w:p>
        </w:tc>
        <w:tc>
          <w:tcPr>
            <w:tcW w:w="631" w:type="pct"/>
            <w:tcBorders>
              <w:bottom w:val="single" w:sz="4" w:space="0" w:color="000000"/>
            </w:tcBorders>
            <w:vAlign w:val="bottom"/>
          </w:tcPr>
          <w:p w14:paraId="4B81D8F4" w14:textId="77777777" w:rsidR="00D83E33" w:rsidRPr="00EA10CF" w:rsidRDefault="00D83E33" w:rsidP="001B330E">
            <w:pPr>
              <w:widowControl w:val="0"/>
              <w:pBdr>
                <w:top w:val="nil"/>
                <w:left w:val="nil"/>
                <w:bottom w:val="nil"/>
                <w:right w:val="nil"/>
                <w:between w:val="nil"/>
              </w:pBdr>
              <w:jc w:val="right"/>
              <w:rPr>
                <w:color w:val="000000"/>
              </w:rPr>
            </w:pPr>
          </w:p>
        </w:tc>
      </w:tr>
      <w:tr w:rsidR="002769D8" w:rsidRPr="00EA10CF" w14:paraId="149E605C" w14:textId="77777777" w:rsidTr="001B330E">
        <w:trPr>
          <w:gridAfter w:val="1"/>
          <w:wAfter w:w="20" w:type="pct"/>
          <w:trHeight w:val="23"/>
        </w:trPr>
        <w:tc>
          <w:tcPr>
            <w:tcW w:w="1580" w:type="pct"/>
          </w:tcPr>
          <w:p w14:paraId="1E4DA4F6" w14:textId="77777777" w:rsidR="00D83E33" w:rsidRPr="00EA10CF" w:rsidRDefault="00D83E33" w:rsidP="001B330E">
            <w:pPr>
              <w:widowControl w:val="0"/>
              <w:ind w:left="113" w:hanging="113"/>
            </w:pPr>
          </w:p>
        </w:tc>
        <w:tc>
          <w:tcPr>
            <w:tcW w:w="651" w:type="pct"/>
            <w:vAlign w:val="bottom"/>
          </w:tcPr>
          <w:p w14:paraId="23BE436A"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vAlign w:val="bottom"/>
          </w:tcPr>
          <w:p w14:paraId="552D0F60"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vAlign w:val="bottom"/>
          </w:tcPr>
          <w:p w14:paraId="3CB3B5DC"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5554868C"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26BA8998" w14:textId="77777777" w:rsidR="00D83E33" w:rsidRPr="00EA10CF" w:rsidRDefault="00D83E33" w:rsidP="001B330E">
            <w:pPr>
              <w:widowControl w:val="0"/>
              <w:pBdr>
                <w:top w:val="nil"/>
                <w:left w:val="nil"/>
                <w:bottom w:val="nil"/>
                <w:right w:val="nil"/>
                <w:between w:val="nil"/>
              </w:pBdr>
              <w:jc w:val="right"/>
              <w:rPr>
                <w:b/>
                <w:color w:val="000000"/>
              </w:rPr>
            </w:pPr>
          </w:p>
        </w:tc>
        <w:tc>
          <w:tcPr>
            <w:tcW w:w="631" w:type="pct"/>
            <w:vAlign w:val="bottom"/>
          </w:tcPr>
          <w:p w14:paraId="5D3D52CD"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723B1C05" w14:textId="77777777" w:rsidTr="001B330E">
        <w:trPr>
          <w:gridAfter w:val="1"/>
          <w:wAfter w:w="20" w:type="pct"/>
          <w:trHeight w:val="23"/>
        </w:trPr>
        <w:tc>
          <w:tcPr>
            <w:tcW w:w="1580" w:type="pct"/>
          </w:tcPr>
          <w:p w14:paraId="1AE373C1"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financial liabilities</w:t>
            </w:r>
          </w:p>
        </w:tc>
        <w:tc>
          <w:tcPr>
            <w:tcW w:w="651" w:type="pct"/>
            <w:vAlign w:val="bottom"/>
          </w:tcPr>
          <w:p w14:paraId="22DC6DC9"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vAlign w:val="bottom"/>
          </w:tcPr>
          <w:p w14:paraId="7D6C741C"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vAlign w:val="bottom"/>
          </w:tcPr>
          <w:p w14:paraId="44AF49F0"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13B44818"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063E7446" w14:textId="77777777" w:rsidR="00D83E33" w:rsidRPr="00EA10CF" w:rsidRDefault="00D83E33" w:rsidP="001B330E">
            <w:pPr>
              <w:widowControl w:val="0"/>
              <w:pBdr>
                <w:top w:val="nil"/>
                <w:left w:val="nil"/>
                <w:bottom w:val="nil"/>
                <w:right w:val="nil"/>
                <w:between w:val="nil"/>
              </w:pBdr>
              <w:jc w:val="right"/>
              <w:rPr>
                <w:b/>
                <w:color w:val="000000"/>
              </w:rPr>
            </w:pPr>
          </w:p>
        </w:tc>
        <w:tc>
          <w:tcPr>
            <w:tcW w:w="631" w:type="pct"/>
            <w:vAlign w:val="bottom"/>
          </w:tcPr>
          <w:p w14:paraId="24FF53B5"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15D0D2B6" w14:textId="77777777" w:rsidTr="001B330E">
        <w:trPr>
          <w:gridAfter w:val="1"/>
          <w:wAfter w:w="20" w:type="pct"/>
          <w:trHeight w:val="23"/>
        </w:trPr>
        <w:tc>
          <w:tcPr>
            <w:tcW w:w="1580" w:type="pct"/>
          </w:tcPr>
          <w:p w14:paraId="60AEE0C7" w14:textId="77777777" w:rsidR="00D83E33" w:rsidRPr="00EA10CF" w:rsidRDefault="00D83E33" w:rsidP="001B330E">
            <w:pPr>
              <w:widowControl w:val="0"/>
              <w:ind w:left="113" w:hanging="113"/>
            </w:pPr>
          </w:p>
        </w:tc>
        <w:tc>
          <w:tcPr>
            <w:tcW w:w="651" w:type="pct"/>
            <w:vAlign w:val="bottom"/>
          </w:tcPr>
          <w:p w14:paraId="2FF220F7"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vAlign w:val="bottom"/>
          </w:tcPr>
          <w:p w14:paraId="76E76211"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vAlign w:val="bottom"/>
          </w:tcPr>
          <w:p w14:paraId="25AA2B2D"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0C4720B6"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1FBEA4E9" w14:textId="77777777" w:rsidR="00D83E33" w:rsidRPr="00EA10CF" w:rsidRDefault="00D83E33" w:rsidP="001B330E">
            <w:pPr>
              <w:widowControl w:val="0"/>
              <w:pBdr>
                <w:top w:val="nil"/>
                <w:left w:val="nil"/>
                <w:bottom w:val="nil"/>
                <w:right w:val="nil"/>
                <w:between w:val="nil"/>
              </w:pBdr>
              <w:jc w:val="right"/>
              <w:rPr>
                <w:b/>
                <w:color w:val="000000"/>
              </w:rPr>
            </w:pPr>
          </w:p>
        </w:tc>
        <w:tc>
          <w:tcPr>
            <w:tcW w:w="631" w:type="pct"/>
            <w:vAlign w:val="bottom"/>
          </w:tcPr>
          <w:p w14:paraId="6FC93A5C"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4725121C" w14:textId="77777777" w:rsidTr="001B330E">
        <w:trPr>
          <w:gridAfter w:val="1"/>
          <w:wAfter w:w="20" w:type="pct"/>
          <w:trHeight w:val="23"/>
        </w:trPr>
        <w:tc>
          <w:tcPr>
            <w:tcW w:w="1580" w:type="pct"/>
            <w:tcBorders>
              <w:top w:val="single" w:sz="12" w:space="0" w:color="000000"/>
            </w:tcBorders>
          </w:tcPr>
          <w:p w14:paraId="07304A31" w14:textId="77777777" w:rsidR="00D83E33" w:rsidRPr="00EA10CF" w:rsidRDefault="00D83E33" w:rsidP="001B330E">
            <w:pPr>
              <w:widowControl w:val="0"/>
              <w:ind w:left="113" w:hanging="113"/>
            </w:pPr>
          </w:p>
        </w:tc>
        <w:tc>
          <w:tcPr>
            <w:tcW w:w="651" w:type="pct"/>
            <w:tcBorders>
              <w:top w:val="single" w:sz="12" w:space="0" w:color="000000"/>
            </w:tcBorders>
            <w:vAlign w:val="bottom"/>
          </w:tcPr>
          <w:p w14:paraId="629AE482"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tcBorders>
              <w:top w:val="single" w:sz="12" w:space="0" w:color="000000"/>
            </w:tcBorders>
            <w:vAlign w:val="bottom"/>
          </w:tcPr>
          <w:p w14:paraId="6B3D3D98"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tcBorders>
              <w:top w:val="single" w:sz="12" w:space="0" w:color="000000"/>
            </w:tcBorders>
            <w:vAlign w:val="bottom"/>
          </w:tcPr>
          <w:p w14:paraId="2770DF6A"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top w:val="single" w:sz="12" w:space="0" w:color="000000"/>
            </w:tcBorders>
            <w:vAlign w:val="bottom"/>
          </w:tcPr>
          <w:p w14:paraId="3037AE44"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top w:val="single" w:sz="12" w:space="0" w:color="000000"/>
            </w:tcBorders>
            <w:vAlign w:val="bottom"/>
          </w:tcPr>
          <w:p w14:paraId="6325287D" w14:textId="77777777" w:rsidR="00D83E33" w:rsidRPr="00EA10CF" w:rsidRDefault="00D83E33" w:rsidP="001B330E">
            <w:pPr>
              <w:widowControl w:val="0"/>
              <w:pBdr>
                <w:top w:val="nil"/>
                <w:left w:val="nil"/>
                <w:bottom w:val="nil"/>
                <w:right w:val="nil"/>
                <w:between w:val="nil"/>
              </w:pBdr>
              <w:jc w:val="right"/>
              <w:rPr>
                <w:b/>
                <w:color w:val="000000"/>
              </w:rPr>
            </w:pPr>
          </w:p>
        </w:tc>
        <w:tc>
          <w:tcPr>
            <w:tcW w:w="631" w:type="pct"/>
            <w:tcBorders>
              <w:top w:val="single" w:sz="12" w:space="0" w:color="000000"/>
            </w:tcBorders>
            <w:vAlign w:val="bottom"/>
          </w:tcPr>
          <w:p w14:paraId="238F2FAF"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7C209FC3" w14:textId="77777777" w:rsidTr="001B330E">
        <w:trPr>
          <w:gridAfter w:val="1"/>
          <w:wAfter w:w="20" w:type="pct"/>
          <w:trHeight w:val="23"/>
        </w:trPr>
        <w:tc>
          <w:tcPr>
            <w:tcW w:w="1580" w:type="pct"/>
          </w:tcPr>
          <w:p w14:paraId="7434853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Net position in on-balance sheet financial instruments</w:t>
            </w:r>
          </w:p>
        </w:tc>
        <w:tc>
          <w:tcPr>
            <w:tcW w:w="651" w:type="pct"/>
            <w:vAlign w:val="bottom"/>
          </w:tcPr>
          <w:p w14:paraId="1DE7DFBC"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vAlign w:val="bottom"/>
          </w:tcPr>
          <w:p w14:paraId="637EE4DE"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vAlign w:val="bottom"/>
          </w:tcPr>
          <w:p w14:paraId="161F13FC"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414E5D46"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765D1F24" w14:textId="77777777" w:rsidR="00D83E33" w:rsidRPr="00EA10CF" w:rsidRDefault="00D83E33" w:rsidP="001B330E">
            <w:pPr>
              <w:widowControl w:val="0"/>
              <w:pBdr>
                <w:top w:val="nil"/>
                <w:left w:val="nil"/>
                <w:bottom w:val="nil"/>
                <w:right w:val="nil"/>
                <w:between w:val="nil"/>
              </w:pBdr>
              <w:jc w:val="right"/>
              <w:rPr>
                <w:b/>
                <w:color w:val="000000"/>
              </w:rPr>
            </w:pPr>
          </w:p>
        </w:tc>
        <w:tc>
          <w:tcPr>
            <w:tcW w:w="631" w:type="pct"/>
            <w:vAlign w:val="bottom"/>
          </w:tcPr>
          <w:p w14:paraId="6D80AAAD"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603A721F" w14:textId="77777777" w:rsidTr="001B330E">
        <w:trPr>
          <w:gridAfter w:val="1"/>
          <w:wAfter w:w="20" w:type="pct"/>
          <w:trHeight w:val="23"/>
        </w:trPr>
        <w:tc>
          <w:tcPr>
            <w:tcW w:w="1580" w:type="pct"/>
            <w:tcBorders>
              <w:bottom w:val="single" w:sz="12" w:space="0" w:color="000000"/>
            </w:tcBorders>
          </w:tcPr>
          <w:p w14:paraId="0A9DF1DB" w14:textId="77777777" w:rsidR="00D83E33" w:rsidRPr="00EA10CF" w:rsidRDefault="00D83E33" w:rsidP="001B330E">
            <w:pPr>
              <w:widowControl w:val="0"/>
              <w:ind w:left="113" w:hanging="113"/>
            </w:pPr>
          </w:p>
        </w:tc>
        <w:tc>
          <w:tcPr>
            <w:tcW w:w="651" w:type="pct"/>
            <w:tcBorders>
              <w:bottom w:val="single" w:sz="12" w:space="0" w:color="000000"/>
            </w:tcBorders>
            <w:vAlign w:val="bottom"/>
          </w:tcPr>
          <w:p w14:paraId="68541554"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tcBorders>
              <w:bottom w:val="single" w:sz="12" w:space="0" w:color="000000"/>
            </w:tcBorders>
            <w:vAlign w:val="bottom"/>
          </w:tcPr>
          <w:p w14:paraId="7CC32F3F"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tcBorders>
              <w:bottom w:val="single" w:sz="12" w:space="0" w:color="000000"/>
            </w:tcBorders>
            <w:vAlign w:val="bottom"/>
          </w:tcPr>
          <w:p w14:paraId="66F88E21"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bottom w:val="single" w:sz="12" w:space="0" w:color="000000"/>
            </w:tcBorders>
            <w:vAlign w:val="bottom"/>
          </w:tcPr>
          <w:p w14:paraId="687166C5"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bottom w:val="single" w:sz="12" w:space="0" w:color="000000"/>
            </w:tcBorders>
            <w:vAlign w:val="bottom"/>
          </w:tcPr>
          <w:p w14:paraId="61808B26" w14:textId="77777777" w:rsidR="00D83E33" w:rsidRPr="00EA10CF" w:rsidRDefault="00D83E33" w:rsidP="001B330E">
            <w:pPr>
              <w:widowControl w:val="0"/>
              <w:pBdr>
                <w:top w:val="nil"/>
                <w:left w:val="nil"/>
                <w:bottom w:val="nil"/>
                <w:right w:val="nil"/>
                <w:between w:val="nil"/>
              </w:pBdr>
              <w:jc w:val="right"/>
              <w:rPr>
                <w:b/>
                <w:color w:val="000000"/>
              </w:rPr>
            </w:pPr>
          </w:p>
        </w:tc>
        <w:tc>
          <w:tcPr>
            <w:tcW w:w="631" w:type="pct"/>
            <w:tcBorders>
              <w:bottom w:val="single" w:sz="12" w:space="0" w:color="000000"/>
            </w:tcBorders>
            <w:vAlign w:val="bottom"/>
          </w:tcPr>
          <w:p w14:paraId="1B672D1D"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61238A56" w14:textId="77777777" w:rsidTr="001B330E">
        <w:trPr>
          <w:gridAfter w:val="1"/>
          <w:wAfter w:w="20" w:type="pct"/>
          <w:trHeight w:val="23"/>
        </w:trPr>
        <w:tc>
          <w:tcPr>
            <w:tcW w:w="1580" w:type="pct"/>
            <w:tcBorders>
              <w:top w:val="single" w:sz="4" w:space="0" w:color="000000"/>
            </w:tcBorders>
          </w:tcPr>
          <w:p w14:paraId="3D38FF21" w14:textId="77777777" w:rsidR="00D83E33" w:rsidRPr="00EA10CF" w:rsidRDefault="00D83E33" w:rsidP="001B330E">
            <w:pPr>
              <w:widowControl w:val="0"/>
              <w:ind w:left="113" w:hanging="113"/>
            </w:pPr>
          </w:p>
        </w:tc>
        <w:tc>
          <w:tcPr>
            <w:tcW w:w="651" w:type="pct"/>
            <w:tcBorders>
              <w:top w:val="single" w:sz="4" w:space="0" w:color="000000"/>
            </w:tcBorders>
            <w:vAlign w:val="bottom"/>
          </w:tcPr>
          <w:p w14:paraId="4EA07618"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tcBorders>
              <w:top w:val="single" w:sz="4" w:space="0" w:color="000000"/>
            </w:tcBorders>
            <w:vAlign w:val="bottom"/>
          </w:tcPr>
          <w:p w14:paraId="7CDF6024"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tcBorders>
              <w:top w:val="single" w:sz="4" w:space="0" w:color="000000"/>
            </w:tcBorders>
            <w:vAlign w:val="bottom"/>
          </w:tcPr>
          <w:p w14:paraId="207834B9"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top w:val="single" w:sz="4" w:space="0" w:color="000000"/>
            </w:tcBorders>
            <w:vAlign w:val="bottom"/>
          </w:tcPr>
          <w:p w14:paraId="3E8B698F"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top w:val="single" w:sz="4" w:space="0" w:color="000000"/>
            </w:tcBorders>
            <w:vAlign w:val="bottom"/>
          </w:tcPr>
          <w:p w14:paraId="055D7050" w14:textId="77777777" w:rsidR="00D83E33" w:rsidRPr="00EA10CF" w:rsidRDefault="00D83E33" w:rsidP="001B330E">
            <w:pPr>
              <w:widowControl w:val="0"/>
              <w:pBdr>
                <w:top w:val="nil"/>
                <w:left w:val="nil"/>
                <w:bottom w:val="nil"/>
                <w:right w:val="nil"/>
                <w:between w:val="nil"/>
              </w:pBdr>
              <w:jc w:val="right"/>
              <w:rPr>
                <w:b/>
                <w:color w:val="000000"/>
              </w:rPr>
            </w:pPr>
          </w:p>
        </w:tc>
        <w:tc>
          <w:tcPr>
            <w:tcW w:w="631" w:type="pct"/>
            <w:tcBorders>
              <w:top w:val="single" w:sz="4" w:space="0" w:color="000000"/>
            </w:tcBorders>
            <w:vAlign w:val="bottom"/>
          </w:tcPr>
          <w:p w14:paraId="6CAA6CF9"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6E95FEF9" w14:textId="77777777" w:rsidTr="001B330E">
        <w:trPr>
          <w:gridAfter w:val="1"/>
          <w:wAfter w:w="20" w:type="pct"/>
          <w:trHeight w:val="23"/>
        </w:trPr>
        <w:tc>
          <w:tcPr>
            <w:tcW w:w="1580" w:type="pct"/>
          </w:tcPr>
          <w:p w14:paraId="2B7EE514" w14:textId="764E47C3" w:rsidR="00D83E33" w:rsidRPr="00EA10CF" w:rsidRDefault="00BC4072" w:rsidP="001B330E">
            <w:pPr>
              <w:widowControl w:val="0"/>
              <w:ind w:left="113" w:hanging="113"/>
            </w:pPr>
            <w:r w:rsidRPr="00EA10CF">
              <w:rPr>
                <w:b/>
              </w:rPr>
              <w:t>Credit related commitments</w:t>
            </w:r>
            <w:r w:rsidRPr="00EA10CF">
              <w:rPr>
                <w:b/>
                <w:i/>
              </w:rPr>
              <w:t xml:space="preserve"> </w:t>
            </w:r>
          </w:p>
        </w:tc>
        <w:tc>
          <w:tcPr>
            <w:tcW w:w="651" w:type="pct"/>
            <w:vAlign w:val="bottom"/>
          </w:tcPr>
          <w:p w14:paraId="3E26EFF5"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vAlign w:val="bottom"/>
          </w:tcPr>
          <w:p w14:paraId="76D04C9D"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vAlign w:val="bottom"/>
          </w:tcPr>
          <w:p w14:paraId="30180F3C"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260D2F5D"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vAlign w:val="bottom"/>
          </w:tcPr>
          <w:p w14:paraId="62DECFF6" w14:textId="77777777" w:rsidR="00D83E33" w:rsidRPr="00EA10CF" w:rsidRDefault="00D83E33" w:rsidP="001B330E">
            <w:pPr>
              <w:widowControl w:val="0"/>
              <w:pBdr>
                <w:top w:val="nil"/>
                <w:left w:val="nil"/>
                <w:bottom w:val="nil"/>
                <w:right w:val="nil"/>
                <w:between w:val="nil"/>
              </w:pBdr>
              <w:jc w:val="right"/>
              <w:rPr>
                <w:b/>
                <w:color w:val="000000"/>
              </w:rPr>
            </w:pPr>
          </w:p>
        </w:tc>
        <w:tc>
          <w:tcPr>
            <w:tcW w:w="631" w:type="pct"/>
            <w:vAlign w:val="bottom"/>
          </w:tcPr>
          <w:p w14:paraId="18DCEDA8" w14:textId="77777777" w:rsidR="00D83E33" w:rsidRPr="00EA10CF" w:rsidRDefault="00D83E33" w:rsidP="001B330E">
            <w:pPr>
              <w:widowControl w:val="0"/>
              <w:pBdr>
                <w:top w:val="nil"/>
                <w:left w:val="nil"/>
                <w:bottom w:val="nil"/>
                <w:right w:val="nil"/>
                <w:between w:val="nil"/>
              </w:pBdr>
              <w:jc w:val="right"/>
              <w:rPr>
                <w:b/>
                <w:color w:val="000000"/>
              </w:rPr>
            </w:pPr>
          </w:p>
        </w:tc>
      </w:tr>
      <w:tr w:rsidR="002769D8" w:rsidRPr="00EA10CF" w14:paraId="6EA6A693" w14:textId="77777777" w:rsidTr="001B330E">
        <w:trPr>
          <w:gridAfter w:val="1"/>
          <w:wAfter w:w="20" w:type="pct"/>
          <w:trHeight w:val="23"/>
        </w:trPr>
        <w:tc>
          <w:tcPr>
            <w:tcW w:w="1580" w:type="pct"/>
            <w:tcBorders>
              <w:bottom w:val="single" w:sz="12" w:space="0" w:color="000000"/>
            </w:tcBorders>
          </w:tcPr>
          <w:p w14:paraId="0B639876" w14:textId="77777777" w:rsidR="00D83E33" w:rsidRPr="00EA10CF" w:rsidRDefault="00D83E33" w:rsidP="001B330E">
            <w:pPr>
              <w:widowControl w:val="0"/>
              <w:ind w:left="113" w:hanging="113"/>
            </w:pPr>
          </w:p>
        </w:tc>
        <w:tc>
          <w:tcPr>
            <w:tcW w:w="651" w:type="pct"/>
            <w:tcBorders>
              <w:bottom w:val="single" w:sz="12" w:space="0" w:color="000000"/>
            </w:tcBorders>
            <w:vAlign w:val="bottom"/>
          </w:tcPr>
          <w:p w14:paraId="06DCA00B" w14:textId="77777777" w:rsidR="00D83E33" w:rsidRPr="00EA10CF" w:rsidRDefault="00D83E33" w:rsidP="001B330E">
            <w:pPr>
              <w:widowControl w:val="0"/>
              <w:pBdr>
                <w:top w:val="nil"/>
                <w:left w:val="nil"/>
                <w:bottom w:val="nil"/>
                <w:right w:val="nil"/>
                <w:between w:val="nil"/>
              </w:pBdr>
              <w:jc w:val="right"/>
              <w:rPr>
                <w:b/>
                <w:color w:val="000000"/>
              </w:rPr>
            </w:pPr>
          </w:p>
        </w:tc>
        <w:tc>
          <w:tcPr>
            <w:tcW w:w="651" w:type="pct"/>
            <w:tcBorders>
              <w:bottom w:val="single" w:sz="12" w:space="0" w:color="000000"/>
            </w:tcBorders>
            <w:vAlign w:val="bottom"/>
          </w:tcPr>
          <w:p w14:paraId="58F469D0" w14:textId="77777777" w:rsidR="00D83E33" w:rsidRPr="00EA10CF" w:rsidRDefault="00D83E33" w:rsidP="001B330E">
            <w:pPr>
              <w:widowControl w:val="0"/>
              <w:pBdr>
                <w:top w:val="nil"/>
                <w:left w:val="nil"/>
                <w:bottom w:val="nil"/>
                <w:right w:val="nil"/>
                <w:between w:val="nil"/>
              </w:pBdr>
              <w:jc w:val="right"/>
              <w:rPr>
                <w:b/>
                <w:color w:val="000000"/>
              </w:rPr>
            </w:pPr>
          </w:p>
        </w:tc>
        <w:tc>
          <w:tcPr>
            <w:tcW w:w="677" w:type="pct"/>
            <w:tcBorders>
              <w:bottom w:val="single" w:sz="12" w:space="0" w:color="000000"/>
            </w:tcBorders>
            <w:vAlign w:val="bottom"/>
          </w:tcPr>
          <w:p w14:paraId="338C23A9"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bottom w:val="single" w:sz="12" w:space="0" w:color="000000"/>
            </w:tcBorders>
            <w:vAlign w:val="bottom"/>
          </w:tcPr>
          <w:p w14:paraId="2240CEBB" w14:textId="77777777" w:rsidR="00D83E33" w:rsidRPr="00EA10CF" w:rsidRDefault="00D83E33" w:rsidP="001B330E">
            <w:pPr>
              <w:widowControl w:val="0"/>
              <w:pBdr>
                <w:top w:val="nil"/>
                <w:left w:val="nil"/>
                <w:bottom w:val="nil"/>
                <w:right w:val="nil"/>
                <w:between w:val="nil"/>
              </w:pBdr>
              <w:jc w:val="right"/>
              <w:rPr>
                <w:b/>
                <w:color w:val="000000"/>
              </w:rPr>
            </w:pPr>
          </w:p>
        </w:tc>
        <w:tc>
          <w:tcPr>
            <w:tcW w:w="396" w:type="pct"/>
            <w:tcBorders>
              <w:bottom w:val="single" w:sz="12" w:space="0" w:color="000000"/>
            </w:tcBorders>
            <w:vAlign w:val="bottom"/>
          </w:tcPr>
          <w:p w14:paraId="2B47A896" w14:textId="77777777" w:rsidR="00D83E33" w:rsidRPr="00EA10CF" w:rsidRDefault="00D83E33" w:rsidP="001B330E">
            <w:pPr>
              <w:widowControl w:val="0"/>
              <w:pBdr>
                <w:top w:val="nil"/>
                <w:left w:val="nil"/>
                <w:bottom w:val="nil"/>
                <w:right w:val="nil"/>
                <w:between w:val="nil"/>
              </w:pBdr>
              <w:jc w:val="right"/>
              <w:rPr>
                <w:b/>
                <w:color w:val="000000"/>
              </w:rPr>
            </w:pPr>
          </w:p>
        </w:tc>
        <w:tc>
          <w:tcPr>
            <w:tcW w:w="631" w:type="pct"/>
            <w:tcBorders>
              <w:bottom w:val="single" w:sz="12" w:space="0" w:color="000000"/>
            </w:tcBorders>
            <w:vAlign w:val="bottom"/>
          </w:tcPr>
          <w:p w14:paraId="771B555C" w14:textId="77777777" w:rsidR="00D83E33" w:rsidRPr="00EA10CF" w:rsidRDefault="00D83E33" w:rsidP="001B330E">
            <w:pPr>
              <w:widowControl w:val="0"/>
              <w:pBdr>
                <w:top w:val="nil"/>
                <w:left w:val="nil"/>
                <w:bottom w:val="nil"/>
                <w:right w:val="nil"/>
                <w:between w:val="nil"/>
              </w:pBdr>
              <w:jc w:val="right"/>
              <w:rPr>
                <w:b/>
                <w:color w:val="000000"/>
              </w:rPr>
            </w:pPr>
          </w:p>
        </w:tc>
      </w:tr>
    </w:tbl>
    <w:p w14:paraId="0A5154DC" w14:textId="25868706" w:rsidR="00D83E33" w:rsidRDefault="00BC4072">
      <w:pPr>
        <w:pBdr>
          <w:top w:val="nil"/>
          <w:left w:val="nil"/>
          <w:bottom w:val="nil"/>
          <w:right w:val="nil"/>
          <w:between w:val="nil"/>
        </w:pBdr>
        <w:spacing w:before="200" w:after="200"/>
        <w:jc w:val="both"/>
        <w:rPr>
          <w:color w:val="000000"/>
          <w:sz w:val="20"/>
          <w:szCs w:val="20"/>
        </w:rPr>
      </w:pPr>
      <w:r>
        <w:rPr>
          <w:b/>
          <w:i/>
          <w:color w:val="000000"/>
          <w:sz w:val="20"/>
          <w:szCs w:val="20"/>
        </w:rPr>
        <w:t>Other risk concentrations.</w:t>
      </w:r>
      <w:r>
        <w:rPr>
          <w:color w:val="000000"/>
          <w:sz w:val="20"/>
          <w:szCs w:val="20"/>
        </w:rPr>
        <w:t xml:space="preserve"> Management monitors and discloses concentrations of credit risk by obtaining reports listing exposures to borrowers with aggregated loan balances in excess of 10% of net assets. </w:t>
      </w:r>
      <w:r>
        <w:rPr>
          <w:color w:val="0000FF"/>
          <w:sz w:val="20"/>
          <w:szCs w:val="20"/>
        </w:rPr>
        <w:t>[Refer to Notes 8</w:t>
      </w:r>
      <w:r>
        <w:rPr>
          <w:color w:val="000000"/>
          <w:sz w:val="20"/>
          <w:szCs w:val="20"/>
        </w:rPr>
        <w:t xml:space="preserve"> </w:t>
      </w:r>
      <w:r>
        <w:rPr>
          <w:color w:val="0000FF"/>
          <w:sz w:val="20"/>
          <w:szCs w:val="20"/>
        </w:rPr>
        <w:t>and 9.] [The Group did not have any such significant risk concentrations at 31</w:t>
      </w:r>
      <w:r w:rsidR="00181687">
        <w:rPr>
          <w:color w:val="0000FF"/>
          <w:sz w:val="20"/>
          <w:szCs w:val="20"/>
        </w:rPr>
        <w:t> December </w:t>
      </w:r>
      <w:r w:rsidR="00541EBC">
        <w:rPr>
          <w:color w:val="0000FF"/>
          <w:sz w:val="20"/>
          <w:szCs w:val="20"/>
        </w:rPr>
        <w:t>2024</w:t>
      </w:r>
      <w:r>
        <w:rPr>
          <w:color w:val="0000FF"/>
          <w:sz w:val="20"/>
          <w:szCs w:val="20"/>
        </w:rPr>
        <w:t xml:space="preserve"> and </w:t>
      </w:r>
      <w:r w:rsidR="00541EBC">
        <w:rPr>
          <w:color w:val="0000FF"/>
          <w:sz w:val="20"/>
          <w:szCs w:val="20"/>
        </w:rPr>
        <w:t>2023</w:t>
      </w:r>
      <w:r>
        <w:rPr>
          <w:color w:val="0000FF"/>
          <w:sz w:val="20"/>
          <w:szCs w:val="20"/>
        </w:rPr>
        <w:t>.]</w:t>
      </w:r>
    </w:p>
    <w:p w14:paraId="12CBEF8A" w14:textId="44E25411" w:rsidR="00D83E33" w:rsidRDefault="00BC4072">
      <w:pPr>
        <w:pBdr>
          <w:top w:val="nil"/>
          <w:left w:val="nil"/>
          <w:bottom w:val="nil"/>
          <w:right w:val="nil"/>
          <w:between w:val="nil"/>
        </w:pBdr>
        <w:spacing w:before="200" w:after="200"/>
        <w:jc w:val="both"/>
        <w:rPr>
          <w:color w:val="000000"/>
          <w:sz w:val="20"/>
          <w:szCs w:val="20"/>
        </w:rPr>
      </w:pPr>
      <w:r>
        <w:rPr>
          <w:b/>
          <w:i/>
          <w:color w:val="000000"/>
          <w:sz w:val="20"/>
          <w:szCs w:val="20"/>
        </w:rPr>
        <w:t xml:space="preserve">Liquidity risk. </w:t>
      </w:r>
      <w:r>
        <w:rPr>
          <w:color w:val="000000"/>
          <w:sz w:val="20"/>
          <w:szCs w:val="20"/>
        </w:rPr>
        <w:t xml:space="preserve">Liquidity risk is the risk that an entity will encounter difficulty in meeting obligations associated with financial liabilities. The Group is exposed to daily calls on its available cash resources from overnight deposits, current accounts, maturing deposits, loan draw-downs, guarantees and from margin and other calls on cash-settled derivative instruments. The Group does not maintain cash resources to meet all of these needs as experience shows that a minimum level of reinvestment of maturing funds can be predicted with a high level of certainty. Liquidity risk is managed by </w:t>
      </w:r>
      <w:r>
        <w:rPr>
          <w:color w:val="0000FF"/>
          <w:sz w:val="20"/>
          <w:szCs w:val="20"/>
        </w:rPr>
        <w:t>[the Asset/Liability Committee]</w:t>
      </w:r>
      <w:r>
        <w:rPr>
          <w:color w:val="000000"/>
          <w:sz w:val="20"/>
          <w:szCs w:val="20"/>
        </w:rPr>
        <w:t xml:space="preserve"> of the Group. </w:t>
      </w:r>
      <w:r>
        <w:rPr>
          <w:i/>
          <w:color w:val="FF0000"/>
          <w:sz w:val="20"/>
          <w:szCs w:val="20"/>
        </w:rPr>
        <w:t>[Needs tailoring to the Group’s circumstances.]</w:t>
      </w:r>
    </w:p>
    <w:p w14:paraId="34B1477E" w14:textId="77777777" w:rsidR="00D83E33" w:rsidRDefault="00BC4072">
      <w:pPr>
        <w:pBdr>
          <w:top w:val="nil"/>
          <w:left w:val="nil"/>
          <w:bottom w:val="nil"/>
          <w:right w:val="nil"/>
          <w:between w:val="nil"/>
        </w:pBdr>
        <w:spacing w:before="200" w:after="200"/>
        <w:jc w:val="both"/>
        <w:rPr>
          <w:color w:val="000000"/>
          <w:sz w:val="20"/>
          <w:szCs w:val="20"/>
          <w:lang w:val="sr-Cyrl-RS"/>
        </w:rPr>
      </w:pPr>
      <w:r>
        <w:rPr>
          <w:color w:val="000000"/>
          <w:sz w:val="20"/>
          <w:szCs w:val="20"/>
        </w:rPr>
        <w:t xml:space="preserve">The Group seeks to maintain a stable funding base primarily consisting of amounts due to other banks, corporate and retail customer deposits and </w:t>
      </w:r>
      <w:r>
        <w:rPr>
          <w:color w:val="0000FF"/>
          <w:sz w:val="20"/>
          <w:szCs w:val="20"/>
        </w:rPr>
        <w:t xml:space="preserve">[debt securities]. </w:t>
      </w:r>
      <w:r>
        <w:rPr>
          <w:color w:val="000000"/>
          <w:sz w:val="20"/>
          <w:szCs w:val="20"/>
        </w:rPr>
        <w:t xml:space="preserve">The Group invests the funds in diversified portfolios of liquid assets, in order to be able to respond quickly and smoothly to unforeseen liquidity requirements. </w:t>
      </w:r>
    </w:p>
    <w:p w14:paraId="58CF064F" w14:textId="77777777" w:rsidR="00071B94" w:rsidRPr="00071B94" w:rsidRDefault="00071B94">
      <w:pPr>
        <w:pBdr>
          <w:top w:val="nil"/>
          <w:left w:val="nil"/>
          <w:bottom w:val="nil"/>
          <w:right w:val="nil"/>
          <w:between w:val="nil"/>
        </w:pBdr>
        <w:spacing w:before="200" w:after="200"/>
        <w:jc w:val="both"/>
        <w:rPr>
          <w:color w:val="000000"/>
          <w:sz w:val="20"/>
          <w:szCs w:val="20"/>
          <w:lang w:val="sr-Cyrl-RS"/>
        </w:rPr>
      </w:pPr>
    </w:p>
    <w:p w14:paraId="516B0F7C" w14:textId="77777777" w:rsidR="008E750A" w:rsidRDefault="008E750A" w:rsidP="009A397A">
      <w:pPr>
        <w:widowControl w:val="0"/>
        <w:pBdr>
          <w:top w:val="nil"/>
          <w:left w:val="nil"/>
          <w:bottom w:val="nil"/>
          <w:right w:val="nil"/>
          <w:between w:val="nil"/>
        </w:pBdr>
        <w:spacing w:before="200" w:after="200"/>
        <w:ind w:left="567" w:hanging="567"/>
        <w:jc w:val="both"/>
        <w:rPr>
          <w:b/>
          <w:color w:val="000000"/>
          <w:sz w:val="20"/>
          <w:szCs w:val="20"/>
        </w:rPr>
      </w:pPr>
    </w:p>
    <w:p w14:paraId="21595CC4" w14:textId="45044F82" w:rsidR="009A397A" w:rsidRDefault="009A397A" w:rsidP="009A397A">
      <w:pPr>
        <w:widowControl w:val="0"/>
        <w:pBdr>
          <w:top w:val="nil"/>
          <w:left w:val="nil"/>
          <w:bottom w:val="nil"/>
          <w:right w:val="nil"/>
          <w:between w:val="nil"/>
        </w:pBdr>
        <w:spacing w:before="200" w:after="200"/>
        <w:ind w:left="567" w:hanging="567"/>
        <w:jc w:val="both"/>
        <w:rPr>
          <w:b/>
          <w:color w:val="000000"/>
          <w:sz w:val="20"/>
          <w:szCs w:val="20"/>
        </w:rPr>
      </w:pPr>
      <w:r>
        <w:rPr>
          <w:b/>
          <w:color w:val="000000"/>
          <w:sz w:val="20"/>
          <w:szCs w:val="20"/>
        </w:rPr>
        <w:lastRenderedPageBreak/>
        <w:t>41</w:t>
      </w:r>
      <w:r>
        <w:rPr>
          <w:b/>
          <w:color w:val="000000"/>
          <w:sz w:val="20"/>
          <w:szCs w:val="20"/>
        </w:rPr>
        <w:tab/>
        <w:t>Financial Risk Management (Continued)</w:t>
      </w:r>
    </w:p>
    <w:p w14:paraId="101075C2" w14:textId="7AECFD5D"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liquidity management of the Group requires </w:t>
      </w:r>
      <w:r w:rsidR="002769D8">
        <w:rPr>
          <w:color w:val="000000"/>
          <w:sz w:val="20"/>
          <w:szCs w:val="20"/>
        </w:rPr>
        <w:t>consideration</w:t>
      </w:r>
      <w:r>
        <w:rPr>
          <w:color w:val="000000"/>
          <w:sz w:val="20"/>
          <w:szCs w:val="20"/>
        </w:rPr>
        <w:t xml:space="preserve"> of the level of liquid assets necessary to settle obligations as they fall due; maintaining access to a range of funding sources; maintaining funding contingency plans; and monitoring liquidity ratios against regulatory requirements. The Bank calculates liquidity ratios on a daily basis in accordance with the requirement</w:t>
      </w:r>
      <w:r w:rsidR="00A23BFF">
        <w:rPr>
          <w:color w:val="000000"/>
          <w:sz w:val="20"/>
          <w:szCs w:val="20"/>
        </w:rPr>
        <w:t>s</w:t>
      </w:r>
      <w:r>
        <w:rPr>
          <w:color w:val="000000"/>
          <w:sz w:val="20"/>
          <w:szCs w:val="20"/>
        </w:rPr>
        <w:t xml:space="preserve"> of</w:t>
      </w:r>
      <w:r w:rsidR="00E34AC8">
        <w:rPr>
          <w:color w:val="000000"/>
          <w:sz w:val="20"/>
          <w:szCs w:val="20"/>
        </w:rPr>
        <w:t xml:space="preserve"> </w:t>
      </w:r>
      <w:r w:rsidR="00E34AC8" w:rsidRPr="00E34AC8">
        <w:rPr>
          <w:color w:val="000000"/>
          <w:sz w:val="20"/>
          <w:szCs w:val="20"/>
        </w:rPr>
        <w:t>Regulation (EU) No 575/2013</w:t>
      </w:r>
      <w:r>
        <w:rPr>
          <w:color w:val="000000"/>
          <w:sz w:val="20"/>
          <w:szCs w:val="20"/>
        </w:rPr>
        <w:t xml:space="preserve"> </w:t>
      </w:r>
      <w:r w:rsidR="00E34AC8">
        <w:rPr>
          <w:color w:val="000000"/>
          <w:sz w:val="20"/>
          <w:szCs w:val="20"/>
        </w:rPr>
        <w:t>(</w:t>
      </w:r>
      <w:r w:rsidR="005612B9">
        <w:rPr>
          <w:color w:val="000000"/>
          <w:sz w:val="20"/>
          <w:szCs w:val="20"/>
        </w:rPr>
        <w:t>C</w:t>
      </w:r>
      <w:r w:rsidR="00E34AC8">
        <w:rPr>
          <w:color w:val="000000"/>
          <w:sz w:val="20"/>
          <w:szCs w:val="20"/>
        </w:rPr>
        <w:t>apital Requirements Regulation – CRR, as amended by Regulation (EU) No 2019/876 – CRR II)</w:t>
      </w:r>
      <w:r>
        <w:rPr>
          <w:color w:val="000000"/>
          <w:sz w:val="20"/>
          <w:szCs w:val="20"/>
        </w:rPr>
        <w:t xml:space="preserve">. These ratios are: </w:t>
      </w:r>
    </w:p>
    <w:p w14:paraId="628243CE" w14:textId="7930C37F" w:rsidR="00D83E33" w:rsidRDefault="005612B9" w:rsidP="00315B92">
      <w:pPr>
        <w:pStyle w:val="bullets"/>
      </w:pPr>
      <w:r>
        <w:t>Liquidity Coverage Ratio</w:t>
      </w:r>
      <w:r w:rsidR="00BC4072">
        <w:t xml:space="preserve"> (</w:t>
      </w:r>
      <w:r>
        <w:t>LCR</w:t>
      </w:r>
      <w:r w:rsidR="00BC4072">
        <w:t xml:space="preserve">), </w:t>
      </w:r>
      <w:r>
        <w:t>which compares available liquidity buffers to expected net cash outflows within the 30-day horizon under gravely stressed conditions</w:t>
      </w:r>
      <w:r w:rsidR="00BC4072">
        <w:t>. The ratio was ____ at 31</w:t>
      </w:r>
      <w:r w:rsidR="00181687">
        <w:t> December </w:t>
      </w:r>
      <w:r w:rsidR="00541EBC">
        <w:t>2024</w:t>
      </w:r>
      <w:r w:rsidR="00BC4072">
        <w:t xml:space="preserve"> (</w:t>
      </w:r>
      <w:r w:rsidR="00541EBC">
        <w:t>2023</w:t>
      </w:r>
      <w:r w:rsidR="00BC4072">
        <w:t>: _____);</w:t>
      </w:r>
    </w:p>
    <w:p w14:paraId="3A7015BF" w14:textId="59E80CE4" w:rsidR="00D83E33" w:rsidRDefault="005612B9">
      <w:pPr>
        <w:pStyle w:val="bullets"/>
      </w:pPr>
      <w:r>
        <w:t>Net Stable Funding Ratio</w:t>
      </w:r>
      <w:r w:rsidR="00BC4072">
        <w:t xml:space="preserve"> (N</w:t>
      </w:r>
      <w:r>
        <w:t>SFR</w:t>
      </w:r>
      <w:r w:rsidR="00BC4072">
        <w:t xml:space="preserve">), which is calculated as the ratio </w:t>
      </w:r>
      <w:r w:rsidR="00A23BFF">
        <w:t>of available stable funding relative to the amount of required stable funding</w:t>
      </w:r>
      <w:r w:rsidR="00BC4072">
        <w:t>. The ratio was ____ at 31</w:t>
      </w:r>
      <w:r w:rsidR="00181687">
        <w:t> December </w:t>
      </w:r>
      <w:r w:rsidR="00541EBC">
        <w:t>2024</w:t>
      </w:r>
      <w:r w:rsidR="00BC4072">
        <w:t xml:space="preserve"> (</w:t>
      </w:r>
      <w:r w:rsidR="00541EBC">
        <w:t>2023</w:t>
      </w:r>
      <w:r w:rsidR="00BC4072">
        <w:t>: _____);</w:t>
      </w:r>
    </w:p>
    <w:p w14:paraId="6ABE15D9" w14:textId="77777777"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 xml:space="preserve">The </w:t>
      </w:r>
      <w:r>
        <w:rPr>
          <w:color w:val="0000FF"/>
          <w:sz w:val="20"/>
          <w:szCs w:val="20"/>
        </w:rPr>
        <w:t>[Treasury Department]</w:t>
      </w:r>
      <w:r>
        <w:rPr>
          <w:color w:val="000000"/>
          <w:sz w:val="20"/>
          <w:szCs w:val="20"/>
        </w:rPr>
        <w:t xml:space="preserve"> receives information about the liquidity profile of the financial assets and liabilities. The Treasury Department then provides for an adequate portfolio of short-term liquid assets, largely made up of short-term liquid trading securities, deposits with banks and other inter-bank facilities, to ensure that sufficient liquidity is maintained within the Group as a whole. </w:t>
      </w:r>
    </w:p>
    <w:p w14:paraId="1959128E" w14:textId="742EA55F"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 xml:space="preserve">The daily liquidity position is monitored and regular liquidity stress testing, under a variety of scenarios covering both normal and more severe market conditions, is performed by the Treasury Department. </w:t>
      </w:r>
      <w:r>
        <w:rPr>
          <w:i/>
          <w:color w:val="FF0000"/>
          <w:sz w:val="20"/>
          <w:szCs w:val="20"/>
        </w:rPr>
        <w:t>[Tailor to the Group’s circumstances and the recent liquidity shortfalls in financial markets.]</w:t>
      </w:r>
    </w:p>
    <w:p w14:paraId="1C1B835F" w14:textId="3643658A"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table below shows liabilities at 31</w:t>
      </w:r>
      <w:r w:rsidR="00181687">
        <w:rPr>
          <w:color w:val="000000"/>
          <w:sz w:val="20"/>
          <w:szCs w:val="20"/>
        </w:rPr>
        <w:t> December </w:t>
      </w:r>
      <w:r w:rsidR="00541EBC">
        <w:rPr>
          <w:color w:val="000000"/>
          <w:sz w:val="20"/>
          <w:szCs w:val="20"/>
        </w:rPr>
        <w:t>2024</w:t>
      </w:r>
      <w:r>
        <w:rPr>
          <w:color w:val="000000"/>
          <w:sz w:val="20"/>
          <w:szCs w:val="20"/>
        </w:rPr>
        <w:t xml:space="preserve"> by their remaining contractual maturity. The amounts of liabilities disclosed in the maturity table are the contractual undiscounted cash flows, including gross lease obligations (before deducting future finance charges), gross loan commitments and financial guarantees. Such undiscounted cash flows differ from the amount included in the statement of financial position because the amount in the statement of financial position is based on discounted cash flows. Financial derivatives are included at the contractual amounts to be paid or received, unless the Group expects to close the derivative position before its maturity date in which case the derivatives are included based on the expected cash flows. For the purposes of the maturity analysis, embedded derivatives are not separated from hybrid (combined) financial instruments.</w:t>
      </w:r>
    </w:p>
    <w:p w14:paraId="668B8D0E" w14:textId="77777777" w:rsidR="00D83E33" w:rsidRDefault="00BC4072">
      <w:pPr>
        <w:pBdr>
          <w:top w:val="nil"/>
          <w:left w:val="nil"/>
          <w:bottom w:val="nil"/>
          <w:right w:val="nil"/>
          <w:between w:val="nil"/>
        </w:pBdr>
        <w:spacing w:before="200" w:after="120"/>
        <w:jc w:val="both"/>
        <w:rPr>
          <w:color w:val="000000"/>
          <w:sz w:val="20"/>
          <w:szCs w:val="20"/>
        </w:rPr>
      </w:pPr>
      <w:r>
        <w:rPr>
          <w:color w:val="000000"/>
          <w:sz w:val="20"/>
          <w:szCs w:val="20"/>
        </w:rPr>
        <w:t xml:space="preserve">The table below shows the maturity analysis of non-derivative financial assets at their carrying amounts and based on their contractual maturities, except for assets that are readily saleable if it should be necessary to meet cash outflows on financial liabilities. Such financial assets are included in the maturity analysis based on their expected date of disposal. Impaired loans are included at their carrying amounts net of impairment provisions, and based on the expected timing of cash inflows. Derivatives are presented based on their </w:t>
      </w:r>
      <w:r>
        <w:rPr>
          <w:color w:val="0000FF"/>
          <w:sz w:val="20"/>
          <w:szCs w:val="20"/>
        </w:rPr>
        <w:t>[contractual maturities]</w:t>
      </w:r>
      <w:r>
        <w:rPr>
          <w:color w:val="000000"/>
          <w:sz w:val="20"/>
          <w:szCs w:val="20"/>
        </w:rPr>
        <w:t>.</w:t>
      </w:r>
    </w:p>
    <w:p w14:paraId="12AF3F1C" w14:textId="77777777" w:rsidR="00D83E33" w:rsidRDefault="00BC4072">
      <w:pPr>
        <w:pBdr>
          <w:top w:val="nil"/>
          <w:left w:val="nil"/>
          <w:bottom w:val="nil"/>
          <w:right w:val="nil"/>
          <w:between w:val="nil"/>
        </w:pBdr>
        <w:spacing w:before="200" w:after="120"/>
        <w:jc w:val="both"/>
        <w:rPr>
          <w:color w:val="000000"/>
          <w:sz w:val="20"/>
          <w:szCs w:val="20"/>
        </w:rPr>
      </w:pPr>
      <w:r>
        <w:rPr>
          <w:color w:val="000000"/>
          <w:sz w:val="20"/>
          <w:szCs w:val="20"/>
        </w:rPr>
        <w:t xml:space="preserve">When the amount payable is not fixed, the amount disclosed is determined by reference to the conditions existing at the end of the reporting period. Foreign currency payments are translated using the spot exchange rate at the end of the reporting period. </w:t>
      </w:r>
    </w:p>
    <w:p w14:paraId="6814D3A9" w14:textId="466620A7" w:rsidR="00D83E33" w:rsidRDefault="00BC4072" w:rsidP="001B330E">
      <w:pPr>
        <w:pStyle w:val="Continued"/>
      </w:pPr>
      <w:r>
        <w:lastRenderedPageBreak/>
        <w:t>41</w:t>
      </w:r>
      <w:r>
        <w:tab/>
        <w:t>Financial Risk Management (Continued)</w:t>
      </w:r>
    </w:p>
    <w:p w14:paraId="0208E6F8" w14:textId="529B2963"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maturity analysis of financial instruments at 31</w:t>
      </w:r>
      <w:r w:rsidR="00181687">
        <w:rPr>
          <w:color w:val="000000"/>
          <w:sz w:val="20"/>
          <w:szCs w:val="20"/>
        </w:rPr>
        <w:t> December </w:t>
      </w:r>
      <w:r w:rsidR="00541EBC">
        <w:rPr>
          <w:color w:val="000000"/>
          <w:sz w:val="20"/>
          <w:szCs w:val="20"/>
        </w:rPr>
        <w:t>2024</w:t>
      </w:r>
      <w:r>
        <w:rPr>
          <w:color w:val="000000"/>
          <w:sz w:val="20"/>
          <w:szCs w:val="20"/>
        </w:rPr>
        <w:t xml:space="preserve"> is as follows:</w:t>
      </w:r>
    </w:p>
    <w:tbl>
      <w:tblPr>
        <w:tblStyle w:val="affffffffffffff7"/>
        <w:tblW w:w="5000" w:type="pct"/>
        <w:tblLayout w:type="fixed"/>
        <w:tblCellMar>
          <w:left w:w="113" w:type="dxa"/>
          <w:right w:w="113" w:type="dxa"/>
        </w:tblCellMar>
        <w:tblLook w:val="0000" w:firstRow="0" w:lastRow="0" w:firstColumn="0" w:lastColumn="0" w:noHBand="0" w:noVBand="0"/>
      </w:tblPr>
      <w:tblGrid>
        <w:gridCol w:w="3339"/>
        <w:gridCol w:w="1003"/>
        <w:gridCol w:w="1003"/>
        <w:gridCol w:w="1052"/>
        <w:gridCol w:w="1093"/>
        <w:gridCol w:w="864"/>
        <w:gridCol w:w="1001"/>
      </w:tblGrid>
      <w:tr w:rsidR="00D83E33" w:rsidRPr="00EA10CF" w14:paraId="52E183E4" w14:textId="77777777" w:rsidTr="001B330E">
        <w:trPr>
          <w:trHeight w:val="23"/>
        </w:trPr>
        <w:tc>
          <w:tcPr>
            <w:tcW w:w="1785" w:type="pct"/>
            <w:tcBorders>
              <w:bottom w:val="single" w:sz="4" w:space="0" w:color="000000"/>
            </w:tcBorders>
            <w:vAlign w:val="bottom"/>
          </w:tcPr>
          <w:p w14:paraId="2A917324" w14:textId="4D8DAB50"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36" w:type="pct"/>
            <w:tcBorders>
              <w:bottom w:val="single" w:sz="4" w:space="0" w:color="000000"/>
            </w:tcBorders>
          </w:tcPr>
          <w:p w14:paraId="28FAE4A7"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Demand and less than 1 month</w:t>
            </w:r>
          </w:p>
        </w:tc>
        <w:tc>
          <w:tcPr>
            <w:tcW w:w="536" w:type="pct"/>
            <w:tcBorders>
              <w:bottom w:val="single" w:sz="4" w:space="0" w:color="000000"/>
            </w:tcBorders>
          </w:tcPr>
          <w:p w14:paraId="3C22AA78"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From 1 to 6 months</w:t>
            </w:r>
          </w:p>
        </w:tc>
        <w:tc>
          <w:tcPr>
            <w:tcW w:w="562" w:type="pct"/>
            <w:tcBorders>
              <w:bottom w:val="single" w:sz="4" w:space="0" w:color="000000"/>
            </w:tcBorders>
          </w:tcPr>
          <w:p w14:paraId="18F2823B"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From 6 to 12 months</w:t>
            </w:r>
          </w:p>
        </w:tc>
        <w:tc>
          <w:tcPr>
            <w:tcW w:w="584" w:type="pct"/>
            <w:tcBorders>
              <w:bottom w:val="single" w:sz="4" w:space="0" w:color="000000"/>
            </w:tcBorders>
          </w:tcPr>
          <w:p w14:paraId="2A7AD399"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From 12 months to 5 years</w:t>
            </w:r>
          </w:p>
        </w:tc>
        <w:tc>
          <w:tcPr>
            <w:tcW w:w="462" w:type="pct"/>
            <w:tcBorders>
              <w:bottom w:val="single" w:sz="4" w:space="0" w:color="000000"/>
            </w:tcBorders>
          </w:tcPr>
          <w:p w14:paraId="451456F8"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Over 5 years</w:t>
            </w:r>
          </w:p>
        </w:tc>
        <w:tc>
          <w:tcPr>
            <w:tcW w:w="535" w:type="pct"/>
            <w:tcBorders>
              <w:bottom w:val="single" w:sz="4" w:space="0" w:color="000000"/>
            </w:tcBorders>
          </w:tcPr>
          <w:p w14:paraId="38593F63"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Total</w:t>
            </w:r>
          </w:p>
        </w:tc>
      </w:tr>
      <w:tr w:rsidR="00D83E33" w:rsidRPr="00EA10CF" w14:paraId="5B73B01A" w14:textId="77777777" w:rsidTr="001B330E">
        <w:trPr>
          <w:trHeight w:val="23"/>
        </w:trPr>
        <w:tc>
          <w:tcPr>
            <w:tcW w:w="1785" w:type="pct"/>
          </w:tcPr>
          <w:p w14:paraId="308DB43F" w14:textId="77777777" w:rsidR="00D83E33" w:rsidRPr="00EA10CF" w:rsidRDefault="00D83E33" w:rsidP="001B330E">
            <w:pPr>
              <w:widowControl w:val="0"/>
              <w:ind w:left="113" w:hanging="113"/>
              <w:rPr>
                <w:b/>
              </w:rPr>
            </w:pPr>
          </w:p>
        </w:tc>
        <w:tc>
          <w:tcPr>
            <w:tcW w:w="536" w:type="pct"/>
            <w:vAlign w:val="bottom"/>
          </w:tcPr>
          <w:p w14:paraId="47489660"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46BDB146" w14:textId="77777777" w:rsidR="00D83E33" w:rsidRPr="00EA10CF" w:rsidRDefault="00D83E33" w:rsidP="001B330E">
            <w:pPr>
              <w:widowControl w:val="0"/>
              <w:pBdr>
                <w:top w:val="nil"/>
                <w:left w:val="nil"/>
                <w:bottom w:val="nil"/>
                <w:right w:val="nil"/>
                <w:between w:val="nil"/>
              </w:pBdr>
              <w:jc w:val="right"/>
              <w:rPr>
                <w:color w:val="000000"/>
              </w:rPr>
            </w:pPr>
          </w:p>
        </w:tc>
        <w:tc>
          <w:tcPr>
            <w:tcW w:w="562" w:type="pct"/>
            <w:vAlign w:val="bottom"/>
          </w:tcPr>
          <w:p w14:paraId="7646A072" w14:textId="77777777" w:rsidR="00D83E33" w:rsidRPr="00EA10CF" w:rsidRDefault="00D83E33" w:rsidP="001B330E">
            <w:pPr>
              <w:widowControl w:val="0"/>
              <w:pBdr>
                <w:top w:val="nil"/>
                <w:left w:val="nil"/>
                <w:bottom w:val="nil"/>
                <w:right w:val="nil"/>
                <w:between w:val="nil"/>
              </w:pBdr>
              <w:jc w:val="right"/>
              <w:rPr>
                <w:color w:val="000000"/>
              </w:rPr>
            </w:pPr>
          </w:p>
        </w:tc>
        <w:tc>
          <w:tcPr>
            <w:tcW w:w="584" w:type="pct"/>
            <w:vAlign w:val="bottom"/>
          </w:tcPr>
          <w:p w14:paraId="0E862356" w14:textId="77777777" w:rsidR="00D83E33" w:rsidRPr="00EA10CF" w:rsidRDefault="00D83E33" w:rsidP="001B330E">
            <w:pPr>
              <w:widowControl w:val="0"/>
              <w:pBdr>
                <w:top w:val="nil"/>
                <w:left w:val="nil"/>
                <w:bottom w:val="nil"/>
                <w:right w:val="nil"/>
                <w:between w:val="nil"/>
              </w:pBdr>
              <w:jc w:val="right"/>
              <w:rPr>
                <w:color w:val="000000"/>
              </w:rPr>
            </w:pPr>
          </w:p>
        </w:tc>
        <w:tc>
          <w:tcPr>
            <w:tcW w:w="462" w:type="pct"/>
            <w:vAlign w:val="bottom"/>
          </w:tcPr>
          <w:p w14:paraId="4B065FB3" w14:textId="77777777" w:rsidR="00D83E33" w:rsidRPr="00EA10CF" w:rsidRDefault="00D83E33" w:rsidP="001B330E">
            <w:pPr>
              <w:widowControl w:val="0"/>
              <w:pBdr>
                <w:top w:val="nil"/>
                <w:left w:val="nil"/>
                <w:bottom w:val="nil"/>
                <w:right w:val="nil"/>
                <w:between w:val="nil"/>
              </w:pBdr>
              <w:jc w:val="right"/>
              <w:rPr>
                <w:color w:val="000000"/>
              </w:rPr>
            </w:pPr>
          </w:p>
        </w:tc>
        <w:tc>
          <w:tcPr>
            <w:tcW w:w="535" w:type="pct"/>
            <w:vAlign w:val="bottom"/>
          </w:tcPr>
          <w:p w14:paraId="4E923E7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77643ED" w14:textId="77777777" w:rsidTr="001B330E">
        <w:trPr>
          <w:trHeight w:val="23"/>
        </w:trPr>
        <w:tc>
          <w:tcPr>
            <w:tcW w:w="1785" w:type="pct"/>
          </w:tcPr>
          <w:p w14:paraId="0037B0DD"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color w:val="000000"/>
              </w:rPr>
              <w:t>Assets</w:t>
            </w:r>
          </w:p>
        </w:tc>
        <w:tc>
          <w:tcPr>
            <w:tcW w:w="536" w:type="pct"/>
            <w:vAlign w:val="bottom"/>
          </w:tcPr>
          <w:p w14:paraId="7388B279"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5E33C1E5"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02A252AD"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284A5A37"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4773BFA2"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3E8B778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3B25516" w14:textId="77777777" w:rsidTr="001B330E">
        <w:trPr>
          <w:trHeight w:val="23"/>
        </w:trPr>
        <w:tc>
          <w:tcPr>
            <w:tcW w:w="1785" w:type="pct"/>
          </w:tcPr>
          <w:p w14:paraId="5F189D8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Cash and cash equivalents</w:t>
            </w:r>
          </w:p>
        </w:tc>
        <w:tc>
          <w:tcPr>
            <w:tcW w:w="536" w:type="pct"/>
            <w:vAlign w:val="bottom"/>
          </w:tcPr>
          <w:p w14:paraId="4E61553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070EBF6E"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5BD28506"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36461B82"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3A9A2C62"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47A5837E"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D14A802" w14:textId="77777777" w:rsidTr="001B330E">
        <w:trPr>
          <w:trHeight w:val="23"/>
        </w:trPr>
        <w:tc>
          <w:tcPr>
            <w:tcW w:w="1785" w:type="pct"/>
          </w:tcPr>
          <w:p w14:paraId="5B76FE7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Investments in debt securities</w:t>
            </w:r>
          </w:p>
        </w:tc>
        <w:tc>
          <w:tcPr>
            <w:tcW w:w="536" w:type="pct"/>
            <w:vAlign w:val="bottom"/>
          </w:tcPr>
          <w:p w14:paraId="7F0BF988"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0970D75D"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4902AF20"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07053C24"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6EE0D890"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42E101F3"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B4A2BF1" w14:textId="77777777" w:rsidTr="001B330E">
        <w:trPr>
          <w:trHeight w:val="23"/>
        </w:trPr>
        <w:tc>
          <w:tcPr>
            <w:tcW w:w="1785" w:type="pct"/>
          </w:tcPr>
          <w:p w14:paraId="2C7E41A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Investments in equity securities </w:t>
            </w:r>
          </w:p>
        </w:tc>
        <w:tc>
          <w:tcPr>
            <w:tcW w:w="536" w:type="pct"/>
            <w:vAlign w:val="bottom"/>
          </w:tcPr>
          <w:p w14:paraId="02AA4160"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589AA3D7"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3F8C5024"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04EB482D"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513CAAAE"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1F6CC83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2EAE5C3" w14:textId="77777777" w:rsidTr="001B330E">
        <w:trPr>
          <w:trHeight w:val="23"/>
        </w:trPr>
        <w:tc>
          <w:tcPr>
            <w:tcW w:w="1785" w:type="pct"/>
          </w:tcPr>
          <w:p w14:paraId="5784925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Due from other banks</w:t>
            </w:r>
          </w:p>
        </w:tc>
        <w:tc>
          <w:tcPr>
            <w:tcW w:w="536" w:type="pct"/>
            <w:vAlign w:val="bottom"/>
          </w:tcPr>
          <w:p w14:paraId="13EF12FD"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55B81F4B"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1395609B"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64A7E469"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17F282A3"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4D8A6FAC"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C485A38" w14:textId="77777777" w:rsidTr="001B330E">
        <w:trPr>
          <w:trHeight w:val="23"/>
        </w:trPr>
        <w:tc>
          <w:tcPr>
            <w:tcW w:w="1785" w:type="pct"/>
          </w:tcPr>
          <w:p w14:paraId="187D403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Loans and advances to customers</w:t>
            </w:r>
          </w:p>
        </w:tc>
        <w:tc>
          <w:tcPr>
            <w:tcW w:w="536" w:type="pct"/>
            <w:vAlign w:val="bottom"/>
          </w:tcPr>
          <w:p w14:paraId="181601D6"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F511F86"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063314AD"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70ACDEC7"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32EB5F65"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0AB77D23"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16FA23D" w14:textId="77777777" w:rsidTr="001B330E">
        <w:trPr>
          <w:trHeight w:val="23"/>
        </w:trPr>
        <w:tc>
          <w:tcPr>
            <w:tcW w:w="1785" w:type="pct"/>
          </w:tcPr>
          <w:p w14:paraId="3EB9DA2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Repurchase receivables</w:t>
            </w:r>
          </w:p>
        </w:tc>
        <w:tc>
          <w:tcPr>
            <w:tcW w:w="536" w:type="pct"/>
            <w:vAlign w:val="bottom"/>
          </w:tcPr>
          <w:p w14:paraId="7AF2F2C4"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555838EC"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348C88FB"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0E6FD775"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73A967E9"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45044FA1"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804CC2D" w14:textId="77777777" w:rsidTr="001B330E">
        <w:trPr>
          <w:trHeight w:val="23"/>
        </w:trPr>
        <w:tc>
          <w:tcPr>
            <w:tcW w:w="1785" w:type="pct"/>
          </w:tcPr>
          <w:p w14:paraId="42AFD454" w14:textId="77777777" w:rsidR="00D83E33" w:rsidRPr="00EA10CF" w:rsidRDefault="00BC4072" w:rsidP="001B330E">
            <w:pPr>
              <w:widowControl w:val="0"/>
              <w:pBdr>
                <w:top w:val="nil"/>
                <w:left w:val="nil"/>
                <w:bottom w:val="nil"/>
                <w:right w:val="nil"/>
                <w:between w:val="nil"/>
              </w:pBdr>
              <w:tabs>
                <w:tab w:val="right" w:pos="8782"/>
              </w:tabs>
              <w:ind w:left="113" w:hanging="113"/>
              <w:rPr>
                <w:i/>
                <w:color w:val="000000"/>
              </w:rPr>
            </w:pPr>
            <w:r w:rsidRPr="00EA10CF">
              <w:rPr>
                <w:i/>
                <w:color w:val="000000"/>
              </w:rPr>
              <w:t>Gross settled swaps and forwards:</w:t>
            </w:r>
          </w:p>
        </w:tc>
        <w:tc>
          <w:tcPr>
            <w:tcW w:w="536" w:type="pct"/>
            <w:vAlign w:val="bottom"/>
          </w:tcPr>
          <w:p w14:paraId="6E717002"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10E2E03C" w14:textId="77777777" w:rsidR="00D83E33" w:rsidRPr="00EA10CF" w:rsidRDefault="00D83E33" w:rsidP="001B330E">
            <w:pPr>
              <w:widowControl w:val="0"/>
              <w:pBdr>
                <w:top w:val="nil"/>
                <w:left w:val="nil"/>
                <w:bottom w:val="nil"/>
                <w:right w:val="nil"/>
                <w:between w:val="nil"/>
              </w:pBdr>
              <w:jc w:val="right"/>
              <w:rPr>
                <w:color w:val="000000"/>
              </w:rPr>
            </w:pPr>
          </w:p>
        </w:tc>
        <w:tc>
          <w:tcPr>
            <w:tcW w:w="562" w:type="pct"/>
            <w:vAlign w:val="bottom"/>
          </w:tcPr>
          <w:p w14:paraId="6AC119AA" w14:textId="77777777" w:rsidR="00D83E33" w:rsidRPr="00EA10CF" w:rsidRDefault="00D83E33" w:rsidP="001B330E">
            <w:pPr>
              <w:widowControl w:val="0"/>
              <w:pBdr>
                <w:top w:val="nil"/>
                <w:left w:val="nil"/>
                <w:bottom w:val="nil"/>
                <w:right w:val="nil"/>
                <w:between w:val="nil"/>
              </w:pBdr>
              <w:jc w:val="right"/>
              <w:rPr>
                <w:color w:val="000000"/>
              </w:rPr>
            </w:pPr>
          </w:p>
        </w:tc>
        <w:tc>
          <w:tcPr>
            <w:tcW w:w="584" w:type="pct"/>
            <w:vAlign w:val="bottom"/>
          </w:tcPr>
          <w:p w14:paraId="0D026D9F" w14:textId="77777777" w:rsidR="00D83E33" w:rsidRPr="00EA10CF" w:rsidRDefault="00D83E33" w:rsidP="001B330E">
            <w:pPr>
              <w:widowControl w:val="0"/>
              <w:pBdr>
                <w:top w:val="nil"/>
                <w:left w:val="nil"/>
                <w:bottom w:val="nil"/>
                <w:right w:val="nil"/>
                <w:between w:val="nil"/>
              </w:pBdr>
              <w:jc w:val="right"/>
              <w:rPr>
                <w:color w:val="000000"/>
              </w:rPr>
            </w:pPr>
          </w:p>
        </w:tc>
        <w:tc>
          <w:tcPr>
            <w:tcW w:w="462" w:type="pct"/>
            <w:vAlign w:val="bottom"/>
          </w:tcPr>
          <w:p w14:paraId="31341E97" w14:textId="77777777" w:rsidR="00D83E33" w:rsidRPr="00EA10CF" w:rsidRDefault="00D83E33" w:rsidP="001B330E">
            <w:pPr>
              <w:widowControl w:val="0"/>
              <w:pBdr>
                <w:top w:val="nil"/>
                <w:left w:val="nil"/>
                <w:bottom w:val="nil"/>
                <w:right w:val="nil"/>
                <w:between w:val="nil"/>
              </w:pBdr>
              <w:jc w:val="right"/>
              <w:rPr>
                <w:color w:val="000000"/>
              </w:rPr>
            </w:pPr>
          </w:p>
        </w:tc>
        <w:tc>
          <w:tcPr>
            <w:tcW w:w="535" w:type="pct"/>
            <w:vAlign w:val="bottom"/>
          </w:tcPr>
          <w:p w14:paraId="378658A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66CC4B8" w14:textId="77777777" w:rsidTr="001B330E">
        <w:trPr>
          <w:trHeight w:val="23"/>
        </w:trPr>
        <w:tc>
          <w:tcPr>
            <w:tcW w:w="1785" w:type="pct"/>
          </w:tcPr>
          <w:p w14:paraId="2B19A05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inflows</w:t>
            </w:r>
          </w:p>
        </w:tc>
        <w:tc>
          <w:tcPr>
            <w:tcW w:w="536" w:type="pct"/>
            <w:vAlign w:val="bottom"/>
          </w:tcPr>
          <w:p w14:paraId="1128A962"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5FF6D989"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1C043ACF"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6950C919"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5B3FC33C"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3831B801"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5AC53F8" w14:textId="77777777" w:rsidTr="001B330E">
        <w:trPr>
          <w:trHeight w:val="23"/>
        </w:trPr>
        <w:tc>
          <w:tcPr>
            <w:tcW w:w="1785" w:type="pct"/>
          </w:tcPr>
          <w:p w14:paraId="75C3B62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outflows</w:t>
            </w:r>
          </w:p>
        </w:tc>
        <w:tc>
          <w:tcPr>
            <w:tcW w:w="536" w:type="pct"/>
            <w:vAlign w:val="bottom"/>
          </w:tcPr>
          <w:p w14:paraId="70312620"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28909FF9"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4F55E128"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2CABA33C"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4FA1F742"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13977D3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9338AC7" w14:textId="77777777" w:rsidTr="001B330E">
        <w:trPr>
          <w:trHeight w:val="23"/>
        </w:trPr>
        <w:tc>
          <w:tcPr>
            <w:tcW w:w="1785" w:type="pct"/>
          </w:tcPr>
          <w:p w14:paraId="2F1E1D86"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Net settled derivatives</w:t>
            </w:r>
          </w:p>
        </w:tc>
        <w:tc>
          <w:tcPr>
            <w:tcW w:w="536" w:type="pct"/>
            <w:vAlign w:val="bottom"/>
          </w:tcPr>
          <w:p w14:paraId="315F5BA6"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324BAB19"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1BEFB5FA"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5624EDC5"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61C27003"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7B500DEF"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80A21BB" w14:textId="77777777" w:rsidTr="001B330E">
        <w:trPr>
          <w:trHeight w:val="23"/>
        </w:trPr>
        <w:tc>
          <w:tcPr>
            <w:tcW w:w="1785" w:type="pct"/>
          </w:tcPr>
          <w:p w14:paraId="595FBEF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financial assets</w:t>
            </w:r>
          </w:p>
        </w:tc>
        <w:tc>
          <w:tcPr>
            <w:tcW w:w="536" w:type="pct"/>
            <w:vAlign w:val="bottom"/>
          </w:tcPr>
          <w:p w14:paraId="492F1A26"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2F0AF1A8"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51E5894E"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6DD155EB"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12D9F762"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4EF42A5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A78B9C6" w14:textId="77777777" w:rsidTr="001B330E">
        <w:trPr>
          <w:trHeight w:val="23"/>
        </w:trPr>
        <w:tc>
          <w:tcPr>
            <w:tcW w:w="1785" w:type="pct"/>
            <w:tcBorders>
              <w:bottom w:val="single" w:sz="4" w:space="0" w:color="000000"/>
            </w:tcBorders>
          </w:tcPr>
          <w:p w14:paraId="07BCC4A6"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bottom w:val="single" w:sz="4" w:space="0" w:color="000000"/>
            </w:tcBorders>
            <w:vAlign w:val="bottom"/>
          </w:tcPr>
          <w:p w14:paraId="6FD0D33E"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4" w:space="0" w:color="000000"/>
            </w:tcBorders>
            <w:vAlign w:val="bottom"/>
          </w:tcPr>
          <w:p w14:paraId="3944E18B"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tcBorders>
              <w:bottom w:val="single" w:sz="4" w:space="0" w:color="000000"/>
            </w:tcBorders>
            <w:vAlign w:val="bottom"/>
          </w:tcPr>
          <w:p w14:paraId="228D5A41"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tcBorders>
              <w:bottom w:val="single" w:sz="4" w:space="0" w:color="000000"/>
            </w:tcBorders>
            <w:vAlign w:val="bottom"/>
          </w:tcPr>
          <w:p w14:paraId="23CC3167"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tcBorders>
              <w:bottom w:val="single" w:sz="4" w:space="0" w:color="000000"/>
            </w:tcBorders>
            <w:vAlign w:val="bottom"/>
          </w:tcPr>
          <w:p w14:paraId="6B900253"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tcBorders>
              <w:bottom w:val="single" w:sz="4" w:space="0" w:color="000000"/>
            </w:tcBorders>
            <w:vAlign w:val="bottom"/>
          </w:tcPr>
          <w:p w14:paraId="0EB6160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FDC1695" w14:textId="77777777" w:rsidTr="001B330E">
        <w:trPr>
          <w:trHeight w:val="23"/>
        </w:trPr>
        <w:tc>
          <w:tcPr>
            <w:tcW w:w="1785" w:type="pct"/>
            <w:tcBorders>
              <w:top w:val="single" w:sz="4" w:space="0" w:color="000000"/>
            </w:tcBorders>
          </w:tcPr>
          <w:p w14:paraId="047BE4F5"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top w:val="single" w:sz="4" w:space="0" w:color="000000"/>
            </w:tcBorders>
            <w:vAlign w:val="bottom"/>
          </w:tcPr>
          <w:p w14:paraId="200B4094"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top w:val="single" w:sz="4" w:space="0" w:color="000000"/>
            </w:tcBorders>
            <w:vAlign w:val="bottom"/>
          </w:tcPr>
          <w:p w14:paraId="6AB942BB"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tcBorders>
              <w:top w:val="single" w:sz="4" w:space="0" w:color="000000"/>
            </w:tcBorders>
            <w:vAlign w:val="bottom"/>
          </w:tcPr>
          <w:p w14:paraId="6041FF63"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tcBorders>
              <w:top w:val="single" w:sz="4" w:space="0" w:color="000000"/>
            </w:tcBorders>
            <w:vAlign w:val="bottom"/>
          </w:tcPr>
          <w:p w14:paraId="5EEF51AE"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tcBorders>
              <w:top w:val="single" w:sz="4" w:space="0" w:color="000000"/>
            </w:tcBorders>
            <w:vAlign w:val="bottom"/>
          </w:tcPr>
          <w:p w14:paraId="1E1D5C73"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tcBorders>
              <w:top w:val="single" w:sz="4" w:space="0" w:color="000000"/>
            </w:tcBorders>
            <w:vAlign w:val="bottom"/>
          </w:tcPr>
          <w:p w14:paraId="67707241"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C4AB15E" w14:textId="77777777" w:rsidTr="001B330E">
        <w:trPr>
          <w:trHeight w:val="23"/>
        </w:trPr>
        <w:tc>
          <w:tcPr>
            <w:tcW w:w="1785" w:type="pct"/>
          </w:tcPr>
          <w:p w14:paraId="195B2C58"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Total </w:t>
            </w:r>
          </w:p>
        </w:tc>
        <w:tc>
          <w:tcPr>
            <w:tcW w:w="536" w:type="pct"/>
            <w:vAlign w:val="bottom"/>
          </w:tcPr>
          <w:p w14:paraId="59C0FA1E"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5B483C0B"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7D346874"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5E983103"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0F9D1822"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18B3943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D03E823" w14:textId="77777777" w:rsidTr="001B330E">
        <w:trPr>
          <w:trHeight w:val="23"/>
        </w:trPr>
        <w:tc>
          <w:tcPr>
            <w:tcW w:w="1785" w:type="pct"/>
            <w:tcBorders>
              <w:bottom w:val="single" w:sz="4" w:space="0" w:color="000000"/>
            </w:tcBorders>
          </w:tcPr>
          <w:p w14:paraId="18832863"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bottom w:val="single" w:sz="4" w:space="0" w:color="000000"/>
            </w:tcBorders>
            <w:vAlign w:val="bottom"/>
          </w:tcPr>
          <w:p w14:paraId="7AB10B2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4" w:space="0" w:color="000000"/>
            </w:tcBorders>
            <w:vAlign w:val="bottom"/>
          </w:tcPr>
          <w:p w14:paraId="75057895"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tcBorders>
              <w:bottom w:val="single" w:sz="4" w:space="0" w:color="000000"/>
            </w:tcBorders>
            <w:vAlign w:val="bottom"/>
          </w:tcPr>
          <w:p w14:paraId="6DEFECEE"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tcBorders>
              <w:bottom w:val="single" w:sz="4" w:space="0" w:color="000000"/>
            </w:tcBorders>
            <w:vAlign w:val="bottom"/>
          </w:tcPr>
          <w:p w14:paraId="28614998"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tcBorders>
              <w:bottom w:val="single" w:sz="4" w:space="0" w:color="000000"/>
            </w:tcBorders>
            <w:vAlign w:val="bottom"/>
          </w:tcPr>
          <w:p w14:paraId="37510BAF"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tcBorders>
              <w:bottom w:val="single" w:sz="4" w:space="0" w:color="000000"/>
            </w:tcBorders>
            <w:vAlign w:val="bottom"/>
          </w:tcPr>
          <w:p w14:paraId="3B3A0CA5"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F59C1D3" w14:textId="77777777" w:rsidTr="001B330E">
        <w:trPr>
          <w:trHeight w:val="23"/>
        </w:trPr>
        <w:tc>
          <w:tcPr>
            <w:tcW w:w="1785" w:type="pct"/>
            <w:tcBorders>
              <w:top w:val="single" w:sz="4" w:space="0" w:color="000000"/>
            </w:tcBorders>
          </w:tcPr>
          <w:p w14:paraId="59ED6A85"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top w:val="single" w:sz="4" w:space="0" w:color="000000"/>
            </w:tcBorders>
            <w:vAlign w:val="bottom"/>
          </w:tcPr>
          <w:p w14:paraId="041C4810"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top w:val="single" w:sz="4" w:space="0" w:color="000000"/>
            </w:tcBorders>
            <w:vAlign w:val="bottom"/>
          </w:tcPr>
          <w:p w14:paraId="4C0535D3"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tcBorders>
              <w:top w:val="single" w:sz="4" w:space="0" w:color="000000"/>
            </w:tcBorders>
            <w:vAlign w:val="bottom"/>
          </w:tcPr>
          <w:p w14:paraId="7EEEB957"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tcBorders>
              <w:top w:val="single" w:sz="4" w:space="0" w:color="000000"/>
            </w:tcBorders>
            <w:vAlign w:val="bottom"/>
          </w:tcPr>
          <w:p w14:paraId="274928B5"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tcBorders>
              <w:top w:val="single" w:sz="4" w:space="0" w:color="000000"/>
            </w:tcBorders>
            <w:vAlign w:val="bottom"/>
          </w:tcPr>
          <w:p w14:paraId="3CAB6306"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tcBorders>
              <w:top w:val="single" w:sz="4" w:space="0" w:color="000000"/>
            </w:tcBorders>
            <w:vAlign w:val="bottom"/>
          </w:tcPr>
          <w:p w14:paraId="1602AAA9"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B68DFD3" w14:textId="77777777" w:rsidTr="001B330E">
        <w:trPr>
          <w:trHeight w:val="23"/>
        </w:trPr>
        <w:tc>
          <w:tcPr>
            <w:tcW w:w="1785" w:type="pct"/>
          </w:tcPr>
          <w:p w14:paraId="316DB0D7"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Liabilities</w:t>
            </w:r>
          </w:p>
        </w:tc>
        <w:tc>
          <w:tcPr>
            <w:tcW w:w="536" w:type="pct"/>
            <w:vAlign w:val="bottom"/>
          </w:tcPr>
          <w:p w14:paraId="5826053D"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45A3ECE5"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3CC3F112"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44041E40"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6D094780"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1808F9EE"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FD36CDD" w14:textId="77777777" w:rsidTr="001B330E">
        <w:trPr>
          <w:trHeight w:val="23"/>
        </w:trPr>
        <w:tc>
          <w:tcPr>
            <w:tcW w:w="1785" w:type="pct"/>
          </w:tcPr>
          <w:p w14:paraId="715F7C9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Due to other banks</w:t>
            </w:r>
          </w:p>
        </w:tc>
        <w:tc>
          <w:tcPr>
            <w:tcW w:w="536" w:type="pct"/>
            <w:vAlign w:val="bottom"/>
          </w:tcPr>
          <w:p w14:paraId="773C8081"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671ABD3D"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07DAA80D"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6A6DBADC"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0EA67659"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2316E171"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A1A887D" w14:textId="77777777" w:rsidTr="001B330E">
        <w:trPr>
          <w:trHeight w:val="23"/>
        </w:trPr>
        <w:tc>
          <w:tcPr>
            <w:tcW w:w="1785" w:type="pct"/>
          </w:tcPr>
          <w:p w14:paraId="2D0438B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Customer accounts – individuals</w:t>
            </w:r>
          </w:p>
        </w:tc>
        <w:tc>
          <w:tcPr>
            <w:tcW w:w="536" w:type="pct"/>
            <w:vAlign w:val="bottom"/>
          </w:tcPr>
          <w:p w14:paraId="15FFD969"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3445555"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3F8A5C98"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3A0F0E55"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6EA5A7EC"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6427E8C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91E51F2" w14:textId="77777777" w:rsidTr="001B330E">
        <w:trPr>
          <w:trHeight w:val="23"/>
        </w:trPr>
        <w:tc>
          <w:tcPr>
            <w:tcW w:w="1785" w:type="pct"/>
          </w:tcPr>
          <w:p w14:paraId="16F30DF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Customer accounts – other</w:t>
            </w:r>
          </w:p>
        </w:tc>
        <w:tc>
          <w:tcPr>
            <w:tcW w:w="536" w:type="pct"/>
            <w:vAlign w:val="bottom"/>
          </w:tcPr>
          <w:p w14:paraId="056B5516"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01ABE1BF"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3A000B11"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2EB56B3D"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00DFC866"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24179E3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924BA4A" w14:textId="77777777" w:rsidTr="001B330E">
        <w:trPr>
          <w:trHeight w:val="23"/>
        </w:trPr>
        <w:tc>
          <w:tcPr>
            <w:tcW w:w="1785" w:type="pct"/>
          </w:tcPr>
          <w:p w14:paraId="5B3A705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Debt securities in issue </w:t>
            </w:r>
            <w:r w:rsidRPr="00EA10CF">
              <w:rPr>
                <w:color w:val="0000FF"/>
              </w:rPr>
              <w:t>[Promissory notes issued]</w:t>
            </w:r>
          </w:p>
        </w:tc>
        <w:tc>
          <w:tcPr>
            <w:tcW w:w="536" w:type="pct"/>
            <w:vAlign w:val="bottom"/>
          </w:tcPr>
          <w:p w14:paraId="6BF49D68"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22479CE3"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305A7EEB"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1AC3B7AB"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6169DABC"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34F9404E"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0E0D87D" w14:textId="77777777" w:rsidTr="001B330E">
        <w:trPr>
          <w:trHeight w:val="23"/>
        </w:trPr>
        <w:tc>
          <w:tcPr>
            <w:tcW w:w="1785" w:type="pct"/>
          </w:tcPr>
          <w:p w14:paraId="710B8D6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Other borrowed funds </w:t>
            </w:r>
          </w:p>
        </w:tc>
        <w:tc>
          <w:tcPr>
            <w:tcW w:w="536" w:type="pct"/>
            <w:vAlign w:val="bottom"/>
          </w:tcPr>
          <w:p w14:paraId="633DD262"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55BCEB91"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4BA5FE14"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3A112E64"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402D8619"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2D7E49C5"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9186C69" w14:textId="77777777" w:rsidTr="001B330E">
        <w:trPr>
          <w:trHeight w:val="23"/>
        </w:trPr>
        <w:tc>
          <w:tcPr>
            <w:tcW w:w="1785" w:type="pct"/>
          </w:tcPr>
          <w:p w14:paraId="2CDE300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Lease liabilities</w:t>
            </w:r>
          </w:p>
        </w:tc>
        <w:tc>
          <w:tcPr>
            <w:tcW w:w="536" w:type="pct"/>
            <w:vAlign w:val="bottom"/>
          </w:tcPr>
          <w:p w14:paraId="62E4E5EA"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02552165"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16EEDBF0"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64783B2A"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738294D8"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73951375"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819D108" w14:textId="77777777" w:rsidTr="001B330E">
        <w:trPr>
          <w:trHeight w:val="23"/>
        </w:trPr>
        <w:tc>
          <w:tcPr>
            <w:tcW w:w="1785" w:type="pct"/>
          </w:tcPr>
          <w:p w14:paraId="7903CA30"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Subordinated debt</w:t>
            </w:r>
          </w:p>
        </w:tc>
        <w:tc>
          <w:tcPr>
            <w:tcW w:w="536" w:type="pct"/>
            <w:vAlign w:val="bottom"/>
          </w:tcPr>
          <w:p w14:paraId="21708FAC"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76447340" w14:textId="77777777" w:rsidR="00D83E33" w:rsidRPr="00EA10CF" w:rsidRDefault="00D83E33" w:rsidP="001B330E">
            <w:pPr>
              <w:widowControl w:val="0"/>
              <w:pBdr>
                <w:top w:val="nil"/>
                <w:left w:val="nil"/>
                <w:bottom w:val="nil"/>
                <w:right w:val="nil"/>
                <w:between w:val="nil"/>
              </w:pBdr>
              <w:jc w:val="right"/>
              <w:rPr>
                <w:color w:val="000000"/>
              </w:rPr>
            </w:pPr>
          </w:p>
        </w:tc>
        <w:tc>
          <w:tcPr>
            <w:tcW w:w="562" w:type="pct"/>
            <w:vAlign w:val="bottom"/>
          </w:tcPr>
          <w:p w14:paraId="3B06602D" w14:textId="77777777" w:rsidR="00D83E33" w:rsidRPr="00EA10CF" w:rsidRDefault="00D83E33" w:rsidP="001B330E">
            <w:pPr>
              <w:widowControl w:val="0"/>
              <w:pBdr>
                <w:top w:val="nil"/>
                <w:left w:val="nil"/>
                <w:bottom w:val="nil"/>
                <w:right w:val="nil"/>
                <w:between w:val="nil"/>
              </w:pBdr>
              <w:jc w:val="right"/>
              <w:rPr>
                <w:color w:val="000000"/>
              </w:rPr>
            </w:pPr>
          </w:p>
        </w:tc>
        <w:tc>
          <w:tcPr>
            <w:tcW w:w="584" w:type="pct"/>
            <w:vAlign w:val="bottom"/>
          </w:tcPr>
          <w:p w14:paraId="7EA476FC" w14:textId="77777777" w:rsidR="00D83E33" w:rsidRPr="00EA10CF" w:rsidRDefault="00D83E33" w:rsidP="001B330E">
            <w:pPr>
              <w:widowControl w:val="0"/>
              <w:pBdr>
                <w:top w:val="nil"/>
                <w:left w:val="nil"/>
                <w:bottom w:val="nil"/>
                <w:right w:val="nil"/>
                <w:between w:val="nil"/>
              </w:pBdr>
              <w:jc w:val="right"/>
              <w:rPr>
                <w:color w:val="000000"/>
              </w:rPr>
            </w:pPr>
          </w:p>
        </w:tc>
        <w:tc>
          <w:tcPr>
            <w:tcW w:w="462" w:type="pct"/>
            <w:vAlign w:val="bottom"/>
          </w:tcPr>
          <w:p w14:paraId="06759D2F" w14:textId="77777777" w:rsidR="00D83E33" w:rsidRPr="00EA10CF" w:rsidRDefault="00D83E33" w:rsidP="001B330E">
            <w:pPr>
              <w:widowControl w:val="0"/>
              <w:pBdr>
                <w:top w:val="nil"/>
                <w:left w:val="nil"/>
                <w:bottom w:val="nil"/>
                <w:right w:val="nil"/>
                <w:between w:val="nil"/>
              </w:pBdr>
              <w:jc w:val="right"/>
              <w:rPr>
                <w:color w:val="000000"/>
              </w:rPr>
            </w:pPr>
          </w:p>
        </w:tc>
        <w:tc>
          <w:tcPr>
            <w:tcW w:w="535" w:type="pct"/>
            <w:vAlign w:val="bottom"/>
          </w:tcPr>
          <w:p w14:paraId="691BBC7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5E7462A" w14:textId="77777777" w:rsidTr="001B330E">
        <w:trPr>
          <w:trHeight w:val="23"/>
        </w:trPr>
        <w:tc>
          <w:tcPr>
            <w:tcW w:w="1785" w:type="pct"/>
          </w:tcPr>
          <w:p w14:paraId="41751BC3" w14:textId="77777777" w:rsidR="00D83E33" w:rsidRPr="00EA10CF" w:rsidRDefault="00BC4072" w:rsidP="001B330E">
            <w:pPr>
              <w:widowControl w:val="0"/>
              <w:pBdr>
                <w:top w:val="nil"/>
                <w:left w:val="nil"/>
                <w:bottom w:val="nil"/>
                <w:right w:val="nil"/>
                <w:between w:val="nil"/>
              </w:pBdr>
              <w:tabs>
                <w:tab w:val="right" w:pos="8782"/>
              </w:tabs>
              <w:ind w:left="113" w:hanging="113"/>
              <w:rPr>
                <w:i/>
                <w:color w:val="000000"/>
              </w:rPr>
            </w:pPr>
            <w:r w:rsidRPr="00EA10CF">
              <w:rPr>
                <w:i/>
                <w:color w:val="000000"/>
              </w:rPr>
              <w:t>Gross settled swaps and forwards:</w:t>
            </w:r>
          </w:p>
        </w:tc>
        <w:tc>
          <w:tcPr>
            <w:tcW w:w="536" w:type="pct"/>
            <w:vAlign w:val="bottom"/>
          </w:tcPr>
          <w:p w14:paraId="44B6EB58"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386F7133" w14:textId="77777777" w:rsidR="00D83E33" w:rsidRPr="00EA10CF" w:rsidRDefault="00D83E33" w:rsidP="001B330E">
            <w:pPr>
              <w:widowControl w:val="0"/>
              <w:pBdr>
                <w:top w:val="nil"/>
                <w:left w:val="nil"/>
                <w:bottom w:val="nil"/>
                <w:right w:val="nil"/>
                <w:between w:val="nil"/>
              </w:pBdr>
              <w:jc w:val="right"/>
              <w:rPr>
                <w:color w:val="000000"/>
              </w:rPr>
            </w:pPr>
          </w:p>
        </w:tc>
        <w:tc>
          <w:tcPr>
            <w:tcW w:w="562" w:type="pct"/>
            <w:vAlign w:val="bottom"/>
          </w:tcPr>
          <w:p w14:paraId="26569063" w14:textId="77777777" w:rsidR="00D83E33" w:rsidRPr="00EA10CF" w:rsidRDefault="00D83E33" w:rsidP="001B330E">
            <w:pPr>
              <w:widowControl w:val="0"/>
              <w:pBdr>
                <w:top w:val="nil"/>
                <w:left w:val="nil"/>
                <w:bottom w:val="nil"/>
                <w:right w:val="nil"/>
                <w:between w:val="nil"/>
              </w:pBdr>
              <w:jc w:val="right"/>
              <w:rPr>
                <w:color w:val="000000"/>
              </w:rPr>
            </w:pPr>
          </w:p>
        </w:tc>
        <w:tc>
          <w:tcPr>
            <w:tcW w:w="584" w:type="pct"/>
            <w:vAlign w:val="bottom"/>
          </w:tcPr>
          <w:p w14:paraId="61EDFE27" w14:textId="77777777" w:rsidR="00D83E33" w:rsidRPr="00EA10CF" w:rsidRDefault="00D83E33" w:rsidP="001B330E">
            <w:pPr>
              <w:widowControl w:val="0"/>
              <w:pBdr>
                <w:top w:val="nil"/>
                <w:left w:val="nil"/>
                <w:bottom w:val="nil"/>
                <w:right w:val="nil"/>
                <w:between w:val="nil"/>
              </w:pBdr>
              <w:jc w:val="right"/>
              <w:rPr>
                <w:color w:val="000000"/>
              </w:rPr>
            </w:pPr>
          </w:p>
        </w:tc>
        <w:tc>
          <w:tcPr>
            <w:tcW w:w="462" w:type="pct"/>
            <w:vAlign w:val="bottom"/>
          </w:tcPr>
          <w:p w14:paraId="023C165B" w14:textId="77777777" w:rsidR="00D83E33" w:rsidRPr="00EA10CF" w:rsidRDefault="00D83E33" w:rsidP="001B330E">
            <w:pPr>
              <w:widowControl w:val="0"/>
              <w:pBdr>
                <w:top w:val="nil"/>
                <w:left w:val="nil"/>
                <w:bottom w:val="nil"/>
                <w:right w:val="nil"/>
                <w:between w:val="nil"/>
              </w:pBdr>
              <w:jc w:val="right"/>
              <w:rPr>
                <w:color w:val="000000"/>
              </w:rPr>
            </w:pPr>
          </w:p>
        </w:tc>
        <w:tc>
          <w:tcPr>
            <w:tcW w:w="535" w:type="pct"/>
            <w:vAlign w:val="bottom"/>
          </w:tcPr>
          <w:p w14:paraId="5632620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3445B72" w14:textId="77777777" w:rsidTr="001B330E">
        <w:trPr>
          <w:trHeight w:val="23"/>
        </w:trPr>
        <w:tc>
          <w:tcPr>
            <w:tcW w:w="1785" w:type="pct"/>
          </w:tcPr>
          <w:p w14:paraId="747B9CC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inflows</w:t>
            </w:r>
          </w:p>
        </w:tc>
        <w:tc>
          <w:tcPr>
            <w:tcW w:w="536" w:type="pct"/>
            <w:vAlign w:val="bottom"/>
          </w:tcPr>
          <w:p w14:paraId="4539C712"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5496DC79" w14:textId="77777777" w:rsidR="00D83E33" w:rsidRPr="00EA10CF" w:rsidRDefault="00D83E33" w:rsidP="001B330E">
            <w:pPr>
              <w:widowControl w:val="0"/>
              <w:pBdr>
                <w:top w:val="nil"/>
                <w:left w:val="nil"/>
                <w:bottom w:val="nil"/>
                <w:right w:val="nil"/>
                <w:between w:val="nil"/>
              </w:pBdr>
              <w:jc w:val="right"/>
              <w:rPr>
                <w:color w:val="000000"/>
              </w:rPr>
            </w:pPr>
          </w:p>
        </w:tc>
        <w:tc>
          <w:tcPr>
            <w:tcW w:w="562" w:type="pct"/>
            <w:vAlign w:val="bottom"/>
          </w:tcPr>
          <w:p w14:paraId="3A94ED1E" w14:textId="77777777" w:rsidR="00D83E33" w:rsidRPr="00EA10CF" w:rsidRDefault="00D83E33" w:rsidP="001B330E">
            <w:pPr>
              <w:widowControl w:val="0"/>
              <w:pBdr>
                <w:top w:val="nil"/>
                <w:left w:val="nil"/>
                <w:bottom w:val="nil"/>
                <w:right w:val="nil"/>
                <w:between w:val="nil"/>
              </w:pBdr>
              <w:jc w:val="right"/>
              <w:rPr>
                <w:color w:val="000000"/>
              </w:rPr>
            </w:pPr>
          </w:p>
        </w:tc>
        <w:tc>
          <w:tcPr>
            <w:tcW w:w="584" w:type="pct"/>
            <w:vAlign w:val="bottom"/>
          </w:tcPr>
          <w:p w14:paraId="7E596598" w14:textId="77777777" w:rsidR="00D83E33" w:rsidRPr="00EA10CF" w:rsidRDefault="00D83E33" w:rsidP="001B330E">
            <w:pPr>
              <w:widowControl w:val="0"/>
              <w:pBdr>
                <w:top w:val="nil"/>
                <w:left w:val="nil"/>
                <w:bottom w:val="nil"/>
                <w:right w:val="nil"/>
                <w:between w:val="nil"/>
              </w:pBdr>
              <w:jc w:val="right"/>
              <w:rPr>
                <w:color w:val="000000"/>
              </w:rPr>
            </w:pPr>
          </w:p>
        </w:tc>
        <w:tc>
          <w:tcPr>
            <w:tcW w:w="462" w:type="pct"/>
            <w:vAlign w:val="bottom"/>
          </w:tcPr>
          <w:p w14:paraId="469B8648" w14:textId="77777777" w:rsidR="00D83E33" w:rsidRPr="00EA10CF" w:rsidRDefault="00D83E33" w:rsidP="001B330E">
            <w:pPr>
              <w:widowControl w:val="0"/>
              <w:pBdr>
                <w:top w:val="nil"/>
                <w:left w:val="nil"/>
                <w:bottom w:val="nil"/>
                <w:right w:val="nil"/>
                <w:between w:val="nil"/>
              </w:pBdr>
              <w:jc w:val="right"/>
              <w:rPr>
                <w:color w:val="000000"/>
              </w:rPr>
            </w:pPr>
          </w:p>
        </w:tc>
        <w:tc>
          <w:tcPr>
            <w:tcW w:w="535" w:type="pct"/>
            <w:vAlign w:val="bottom"/>
          </w:tcPr>
          <w:p w14:paraId="577B60F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8202E63" w14:textId="77777777" w:rsidTr="001B330E">
        <w:trPr>
          <w:trHeight w:val="23"/>
        </w:trPr>
        <w:tc>
          <w:tcPr>
            <w:tcW w:w="1785" w:type="pct"/>
          </w:tcPr>
          <w:p w14:paraId="6074EB3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outflows</w:t>
            </w:r>
          </w:p>
        </w:tc>
        <w:tc>
          <w:tcPr>
            <w:tcW w:w="536" w:type="pct"/>
            <w:vAlign w:val="bottom"/>
          </w:tcPr>
          <w:p w14:paraId="0070B623"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7F081AAD" w14:textId="77777777" w:rsidR="00D83E33" w:rsidRPr="00EA10CF" w:rsidRDefault="00D83E33" w:rsidP="001B330E">
            <w:pPr>
              <w:widowControl w:val="0"/>
              <w:pBdr>
                <w:top w:val="nil"/>
                <w:left w:val="nil"/>
                <w:bottom w:val="nil"/>
                <w:right w:val="nil"/>
                <w:between w:val="nil"/>
              </w:pBdr>
              <w:jc w:val="right"/>
              <w:rPr>
                <w:color w:val="000000"/>
              </w:rPr>
            </w:pPr>
          </w:p>
        </w:tc>
        <w:tc>
          <w:tcPr>
            <w:tcW w:w="562" w:type="pct"/>
            <w:vAlign w:val="bottom"/>
          </w:tcPr>
          <w:p w14:paraId="74F4675E" w14:textId="77777777" w:rsidR="00D83E33" w:rsidRPr="00EA10CF" w:rsidRDefault="00D83E33" w:rsidP="001B330E">
            <w:pPr>
              <w:widowControl w:val="0"/>
              <w:pBdr>
                <w:top w:val="nil"/>
                <w:left w:val="nil"/>
                <w:bottom w:val="nil"/>
                <w:right w:val="nil"/>
                <w:between w:val="nil"/>
              </w:pBdr>
              <w:jc w:val="right"/>
              <w:rPr>
                <w:color w:val="000000"/>
              </w:rPr>
            </w:pPr>
          </w:p>
        </w:tc>
        <w:tc>
          <w:tcPr>
            <w:tcW w:w="584" w:type="pct"/>
            <w:vAlign w:val="bottom"/>
          </w:tcPr>
          <w:p w14:paraId="5F2E6494" w14:textId="77777777" w:rsidR="00D83E33" w:rsidRPr="00EA10CF" w:rsidRDefault="00D83E33" w:rsidP="001B330E">
            <w:pPr>
              <w:widowControl w:val="0"/>
              <w:pBdr>
                <w:top w:val="nil"/>
                <w:left w:val="nil"/>
                <w:bottom w:val="nil"/>
                <w:right w:val="nil"/>
                <w:between w:val="nil"/>
              </w:pBdr>
              <w:jc w:val="right"/>
              <w:rPr>
                <w:color w:val="000000"/>
              </w:rPr>
            </w:pPr>
          </w:p>
        </w:tc>
        <w:tc>
          <w:tcPr>
            <w:tcW w:w="462" w:type="pct"/>
            <w:vAlign w:val="bottom"/>
          </w:tcPr>
          <w:p w14:paraId="11D55D1B" w14:textId="77777777" w:rsidR="00D83E33" w:rsidRPr="00EA10CF" w:rsidRDefault="00D83E33" w:rsidP="001B330E">
            <w:pPr>
              <w:widowControl w:val="0"/>
              <w:pBdr>
                <w:top w:val="nil"/>
                <w:left w:val="nil"/>
                <w:bottom w:val="nil"/>
                <w:right w:val="nil"/>
                <w:between w:val="nil"/>
              </w:pBdr>
              <w:jc w:val="right"/>
              <w:rPr>
                <w:color w:val="000000"/>
              </w:rPr>
            </w:pPr>
          </w:p>
        </w:tc>
        <w:tc>
          <w:tcPr>
            <w:tcW w:w="535" w:type="pct"/>
            <w:vAlign w:val="bottom"/>
          </w:tcPr>
          <w:p w14:paraId="4161986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424F288" w14:textId="77777777" w:rsidTr="001B330E">
        <w:trPr>
          <w:trHeight w:val="23"/>
        </w:trPr>
        <w:tc>
          <w:tcPr>
            <w:tcW w:w="1785" w:type="pct"/>
          </w:tcPr>
          <w:p w14:paraId="65A061AE"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Net settled derivatives</w:t>
            </w:r>
          </w:p>
        </w:tc>
        <w:tc>
          <w:tcPr>
            <w:tcW w:w="536" w:type="pct"/>
            <w:vAlign w:val="bottom"/>
          </w:tcPr>
          <w:p w14:paraId="54D0489F"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557ED1A1" w14:textId="77777777" w:rsidR="00D83E33" w:rsidRPr="00EA10CF" w:rsidRDefault="00D83E33" w:rsidP="001B330E">
            <w:pPr>
              <w:widowControl w:val="0"/>
              <w:pBdr>
                <w:top w:val="nil"/>
                <w:left w:val="nil"/>
                <w:bottom w:val="nil"/>
                <w:right w:val="nil"/>
                <w:between w:val="nil"/>
              </w:pBdr>
              <w:jc w:val="right"/>
              <w:rPr>
                <w:color w:val="000000"/>
              </w:rPr>
            </w:pPr>
          </w:p>
        </w:tc>
        <w:tc>
          <w:tcPr>
            <w:tcW w:w="562" w:type="pct"/>
            <w:vAlign w:val="bottom"/>
          </w:tcPr>
          <w:p w14:paraId="7D3CED78" w14:textId="77777777" w:rsidR="00D83E33" w:rsidRPr="00EA10CF" w:rsidRDefault="00D83E33" w:rsidP="001B330E">
            <w:pPr>
              <w:widowControl w:val="0"/>
              <w:pBdr>
                <w:top w:val="nil"/>
                <w:left w:val="nil"/>
                <w:bottom w:val="nil"/>
                <w:right w:val="nil"/>
                <w:between w:val="nil"/>
              </w:pBdr>
              <w:jc w:val="right"/>
              <w:rPr>
                <w:color w:val="000000"/>
              </w:rPr>
            </w:pPr>
          </w:p>
        </w:tc>
        <w:tc>
          <w:tcPr>
            <w:tcW w:w="584" w:type="pct"/>
            <w:vAlign w:val="bottom"/>
          </w:tcPr>
          <w:p w14:paraId="256F0896" w14:textId="77777777" w:rsidR="00D83E33" w:rsidRPr="00EA10CF" w:rsidRDefault="00D83E33" w:rsidP="001B330E">
            <w:pPr>
              <w:widowControl w:val="0"/>
              <w:pBdr>
                <w:top w:val="nil"/>
                <w:left w:val="nil"/>
                <w:bottom w:val="nil"/>
                <w:right w:val="nil"/>
                <w:between w:val="nil"/>
              </w:pBdr>
              <w:jc w:val="right"/>
              <w:rPr>
                <w:color w:val="000000"/>
              </w:rPr>
            </w:pPr>
          </w:p>
        </w:tc>
        <w:tc>
          <w:tcPr>
            <w:tcW w:w="462" w:type="pct"/>
            <w:vAlign w:val="bottom"/>
          </w:tcPr>
          <w:p w14:paraId="2FA91CDD" w14:textId="77777777" w:rsidR="00D83E33" w:rsidRPr="00EA10CF" w:rsidRDefault="00D83E33" w:rsidP="001B330E">
            <w:pPr>
              <w:widowControl w:val="0"/>
              <w:pBdr>
                <w:top w:val="nil"/>
                <w:left w:val="nil"/>
                <w:bottom w:val="nil"/>
                <w:right w:val="nil"/>
                <w:between w:val="nil"/>
              </w:pBdr>
              <w:jc w:val="right"/>
              <w:rPr>
                <w:color w:val="000000"/>
              </w:rPr>
            </w:pPr>
          </w:p>
        </w:tc>
        <w:tc>
          <w:tcPr>
            <w:tcW w:w="535" w:type="pct"/>
            <w:vAlign w:val="bottom"/>
          </w:tcPr>
          <w:p w14:paraId="05C510DF"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C5A34A4" w14:textId="77777777" w:rsidTr="001B330E">
        <w:trPr>
          <w:trHeight w:val="23"/>
        </w:trPr>
        <w:tc>
          <w:tcPr>
            <w:tcW w:w="1785" w:type="pct"/>
          </w:tcPr>
          <w:p w14:paraId="48793C1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Gross loan commitments</w:t>
            </w:r>
          </w:p>
        </w:tc>
        <w:tc>
          <w:tcPr>
            <w:tcW w:w="536" w:type="pct"/>
            <w:vAlign w:val="bottom"/>
          </w:tcPr>
          <w:p w14:paraId="6E036C1D"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45776FE"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7A7CBBD2"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1E3E676B"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5B123EB9"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65FD2AA7"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D41A629" w14:textId="77777777" w:rsidTr="001B330E">
        <w:trPr>
          <w:trHeight w:val="23"/>
        </w:trPr>
        <w:tc>
          <w:tcPr>
            <w:tcW w:w="1785" w:type="pct"/>
          </w:tcPr>
          <w:p w14:paraId="6BA2479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Financial guarantees</w:t>
            </w:r>
          </w:p>
        </w:tc>
        <w:tc>
          <w:tcPr>
            <w:tcW w:w="536" w:type="pct"/>
            <w:vAlign w:val="bottom"/>
          </w:tcPr>
          <w:p w14:paraId="4BA1B87C"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62F4949"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2F1B4000"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4373089B"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2F1DFC86"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2C6D6ED5"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93995CF" w14:textId="77777777" w:rsidTr="001B330E">
        <w:trPr>
          <w:trHeight w:val="23"/>
        </w:trPr>
        <w:tc>
          <w:tcPr>
            <w:tcW w:w="1785" w:type="pct"/>
          </w:tcPr>
          <w:p w14:paraId="5A90695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financial liabilities</w:t>
            </w:r>
          </w:p>
        </w:tc>
        <w:tc>
          <w:tcPr>
            <w:tcW w:w="536" w:type="pct"/>
            <w:vAlign w:val="bottom"/>
          </w:tcPr>
          <w:p w14:paraId="7126A8A3"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73207A96"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400BB29F"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1BD0476B"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20509C8E"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4F92AE67"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FBFAE27" w14:textId="77777777" w:rsidTr="001B330E">
        <w:trPr>
          <w:trHeight w:val="23"/>
        </w:trPr>
        <w:tc>
          <w:tcPr>
            <w:tcW w:w="1785" w:type="pct"/>
            <w:tcBorders>
              <w:bottom w:val="single" w:sz="4" w:space="0" w:color="000000"/>
            </w:tcBorders>
          </w:tcPr>
          <w:p w14:paraId="413511B9"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36" w:type="pct"/>
            <w:tcBorders>
              <w:bottom w:val="single" w:sz="4" w:space="0" w:color="000000"/>
            </w:tcBorders>
            <w:vAlign w:val="bottom"/>
          </w:tcPr>
          <w:p w14:paraId="2BF5B2C9"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tcBorders>
              <w:bottom w:val="single" w:sz="4" w:space="0" w:color="000000"/>
            </w:tcBorders>
            <w:vAlign w:val="bottom"/>
          </w:tcPr>
          <w:p w14:paraId="0BD894ED" w14:textId="77777777" w:rsidR="00D83E33" w:rsidRPr="00EA10CF" w:rsidRDefault="00D83E33" w:rsidP="001B330E">
            <w:pPr>
              <w:widowControl w:val="0"/>
              <w:pBdr>
                <w:top w:val="nil"/>
                <w:left w:val="nil"/>
                <w:bottom w:val="nil"/>
                <w:right w:val="nil"/>
                <w:between w:val="nil"/>
              </w:pBdr>
              <w:jc w:val="right"/>
              <w:rPr>
                <w:color w:val="000000"/>
              </w:rPr>
            </w:pPr>
          </w:p>
        </w:tc>
        <w:tc>
          <w:tcPr>
            <w:tcW w:w="562" w:type="pct"/>
            <w:tcBorders>
              <w:bottom w:val="single" w:sz="4" w:space="0" w:color="000000"/>
            </w:tcBorders>
            <w:vAlign w:val="bottom"/>
          </w:tcPr>
          <w:p w14:paraId="0ED5FBA7" w14:textId="77777777" w:rsidR="00D83E33" w:rsidRPr="00EA10CF" w:rsidRDefault="00D83E33" w:rsidP="001B330E">
            <w:pPr>
              <w:widowControl w:val="0"/>
              <w:pBdr>
                <w:top w:val="nil"/>
                <w:left w:val="nil"/>
                <w:bottom w:val="nil"/>
                <w:right w:val="nil"/>
                <w:between w:val="nil"/>
              </w:pBdr>
              <w:jc w:val="right"/>
              <w:rPr>
                <w:color w:val="000000"/>
              </w:rPr>
            </w:pPr>
          </w:p>
        </w:tc>
        <w:tc>
          <w:tcPr>
            <w:tcW w:w="584" w:type="pct"/>
            <w:tcBorders>
              <w:bottom w:val="single" w:sz="4" w:space="0" w:color="000000"/>
            </w:tcBorders>
            <w:vAlign w:val="bottom"/>
          </w:tcPr>
          <w:p w14:paraId="4223E7F2" w14:textId="77777777" w:rsidR="00D83E33" w:rsidRPr="00EA10CF" w:rsidRDefault="00D83E33" w:rsidP="001B330E">
            <w:pPr>
              <w:widowControl w:val="0"/>
              <w:pBdr>
                <w:top w:val="nil"/>
                <w:left w:val="nil"/>
                <w:bottom w:val="nil"/>
                <w:right w:val="nil"/>
                <w:between w:val="nil"/>
              </w:pBdr>
              <w:jc w:val="right"/>
              <w:rPr>
                <w:color w:val="000000"/>
              </w:rPr>
            </w:pPr>
          </w:p>
        </w:tc>
        <w:tc>
          <w:tcPr>
            <w:tcW w:w="462" w:type="pct"/>
            <w:tcBorders>
              <w:bottom w:val="single" w:sz="4" w:space="0" w:color="000000"/>
            </w:tcBorders>
            <w:vAlign w:val="bottom"/>
          </w:tcPr>
          <w:p w14:paraId="7686042E" w14:textId="77777777" w:rsidR="00D83E33" w:rsidRPr="00EA10CF" w:rsidRDefault="00D83E33" w:rsidP="001B330E">
            <w:pPr>
              <w:widowControl w:val="0"/>
              <w:pBdr>
                <w:top w:val="nil"/>
                <w:left w:val="nil"/>
                <w:bottom w:val="nil"/>
                <w:right w:val="nil"/>
                <w:between w:val="nil"/>
              </w:pBdr>
              <w:jc w:val="right"/>
              <w:rPr>
                <w:color w:val="000000"/>
              </w:rPr>
            </w:pPr>
          </w:p>
        </w:tc>
        <w:tc>
          <w:tcPr>
            <w:tcW w:w="535" w:type="pct"/>
            <w:tcBorders>
              <w:bottom w:val="single" w:sz="4" w:space="0" w:color="000000"/>
            </w:tcBorders>
            <w:vAlign w:val="bottom"/>
          </w:tcPr>
          <w:p w14:paraId="0E5B4DAD"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EA4C56C" w14:textId="77777777" w:rsidTr="001B330E">
        <w:trPr>
          <w:trHeight w:val="23"/>
        </w:trPr>
        <w:tc>
          <w:tcPr>
            <w:tcW w:w="1785" w:type="pct"/>
            <w:tcBorders>
              <w:top w:val="single" w:sz="4" w:space="0" w:color="000000"/>
            </w:tcBorders>
          </w:tcPr>
          <w:p w14:paraId="5788F2DF"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top w:val="single" w:sz="4" w:space="0" w:color="000000"/>
            </w:tcBorders>
            <w:vAlign w:val="bottom"/>
          </w:tcPr>
          <w:p w14:paraId="3BDA33A6"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top w:val="single" w:sz="4" w:space="0" w:color="000000"/>
            </w:tcBorders>
            <w:vAlign w:val="bottom"/>
          </w:tcPr>
          <w:p w14:paraId="3CFC2A97"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tcBorders>
              <w:top w:val="single" w:sz="4" w:space="0" w:color="000000"/>
            </w:tcBorders>
            <w:vAlign w:val="bottom"/>
          </w:tcPr>
          <w:p w14:paraId="30FAC10B"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tcBorders>
              <w:top w:val="single" w:sz="4" w:space="0" w:color="000000"/>
            </w:tcBorders>
            <w:vAlign w:val="bottom"/>
          </w:tcPr>
          <w:p w14:paraId="1ECC82D6"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tcBorders>
              <w:top w:val="single" w:sz="4" w:space="0" w:color="000000"/>
            </w:tcBorders>
            <w:vAlign w:val="bottom"/>
          </w:tcPr>
          <w:p w14:paraId="26C41C4B"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tcBorders>
              <w:top w:val="single" w:sz="4" w:space="0" w:color="000000"/>
            </w:tcBorders>
            <w:vAlign w:val="bottom"/>
          </w:tcPr>
          <w:p w14:paraId="4C7E26D6"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32A89DC" w14:textId="77777777" w:rsidTr="001B330E">
        <w:trPr>
          <w:trHeight w:val="23"/>
        </w:trPr>
        <w:tc>
          <w:tcPr>
            <w:tcW w:w="1785" w:type="pct"/>
          </w:tcPr>
          <w:p w14:paraId="3236865E"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potential future payments for financial obligations</w:t>
            </w:r>
          </w:p>
        </w:tc>
        <w:tc>
          <w:tcPr>
            <w:tcW w:w="536" w:type="pct"/>
            <w:vAlign w:val="bottom"/>
          </w:tcPr>
          <w:p w14:paraId="70CD9E96"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B49C38D"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77DFB0CA"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5B8E3AE7"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7A76A421"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34837BA0"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1F6B6573" w14:textId="77777777" w:rsidTr="001B330E">
        <w:trPr>
          <w:trHeight w:val="23"/>
        </w:trPr>
        <w:tc>
          <w:tcPr>
            <w:tcW w:w="1785" w:type="pct"/>
            <w:tcBorders>
              <w:bottom w:val="single" w:sz="4" w:space="0" w:color="000000"/>
            </w:tcBorders>
          </w:tcPr>
          <w:p w14:paraId="01F78382"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36" w:type="pct"/>
            <w:tcBorders>
              <w:bottom w:val="single" w:sz="4" w:space="0" w:color="000000"/>
            </w:tcBorders>
            <w:vAlign w:val="bottom"/>
          </w:tcPr>
          <w:p w14:paraId="0F7CC9C0"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tcBorders>
              <w:bottom w:val="single" w:sz="4" w:space="0" w:color="000000"/>
            </w:tcBorders>
            <w:vAlign w:val="bottom"/>
          </w:tcPr>
          <w:p w14:paraId="41549515" w14:textId="77777777" w:rsidR="00D83E33" w:rsidRPr="00EA10CF" w:rsidRDefault="00D83E33" w:rsidP="001B330E">
            <w:pPr>
              <w:widowControl w:val="0"/>
              <w:pBdr>
                <w:top w:val="nil"/>
                <w:left w:val="nil"/>
                <w:bottom w:val="nil"/>
                <w:right w:val="nil"/>
                <w:between w:val="nil"/>
              </w:pBdr>
              <w:jc w:val="right"/>
              <w:rPr>
                <w:color w:val="000000"/>
              </w:rPr>
            </w:pPr>
          </w:p>
        </w:tc>
        <w:tc>
          <w:tcPr>
            <w:tcW w:w="562" w:type="pct"/>
            <w:tcBorders>
              <w:bottom w:val="single" w:sz="4" w:space="0" w:color="000000"/>
            </w:tcBorders>
            <w:vAlign w:val="bottom"/>
          </w:tcPr>
          <w:p w14:paraId="64E8184C" w14:textId="77777777" w:rsidR="00D83E33" w:rsidRPr="00EA10CF" w:rsidRDefault="00D83E33" w:rsidP="001B330E">
            <w:pPr>
              <w:widowControl w:val="0"/>
              <w:pBdr>
                <w:top w:val="nil"/>
                <w:left w:val="nil"/>
                <w:bottom w:val="nil"/>
                <w:right w:val="nil"/>
                <w:between w:val="nil"/>
              </w:pBdr>
              <w:jc w:val="right"/>
              <w:rPr>
                <w:color w:val="000000"/>
              </w:rPr>
            </w:pPr>
          </w:p>
        </w:tc>
        <w:tc>
          <w:tcPr>
            <w:tcW w:w="584" w:type="pct"/>
            <w:tcBorders>
              <w:bottom w:val="single" w:sz="4" w:space="0" w:color="000000"/>
            </w:tcBorders>
            <w:vAlign w:val="bottom"/>
          </w:tcPr>
          <w:p w14:paraId="36F91B5D" w14:textId="77777777" w:rsidR="00D83E33" w:rsidRPr="00EA10CF" w:rsidRDefault="00D83E33" w:rsidP="001B330E">
            <w:pPr>
              <w:widowControl w:val="0"/>
              <w:pBdr>
                <w:top w:val="nil"/>
                <w:left w:val="nil"/>
                <w:bottom w:val="nil"/>
                <w:right w:val="nil"/>
                <w:between w:val="nil"/>
              </w:pBdr>
              <w:jc w:val="right"/>
              <w:rPr>
                <w:color w:val="000000"/>
              </w:rPr>
            </w:pPr>
          </w:p>
        </w:tc>
        <w:tc>
          <w:tcPr>
            <w:tcW w:w="462" w:type="pct"/>
            <w:tcBorders>
              <w:bottom w:val="single" w:sz="4" w:space="0" w:color="000000"/>
            </w:tcBorders>
            <w:vAlign w:val="bottom"/>
          </w:tcPr>
          <w:p w14:paraId="0D9B8D04" w14:textId="77777777" w:rsidR="00D83E33" w:rsidRPr="00EA10CF" w:rsidRDefault="00D83E33" w:rsidP="001B330E">
            <w:pPr>
              <w:widowControl w:val="0"/>
              <w:pBdr>
                <w:top w:val="nil"/>
                <w:left w:val="nil"/>
                <w:bottom w:val="nil"/>
                <w:right w:val="nil"/>
                <w:between w:val="nil"/>
              </w:pBdr>
              <w:jc w:val="right"/>
              <w:rPr>
                <w:color w:val="000000"/>
              </w:rPr>
            </w:pPr>
          </w:p>
        </w:tc>
        <w:tc>
          <w:tcPr>
            <w:tcW w:w="535" w:type="pct"/>
            <w:tcBorders>
              <w:bottom w:val="single" w:sz="4" w:space="0" w:color="000000"/>
            </w:tcBorders>
            <w:vAlign w:val="bottom"/>
          </w:tcPr>
          <w:p w14:paraId="237D77D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63DE095" w14:textId="77777777" w:rsidTr="001B330E">
        <w:trPr>
          <w:trHeight w:val="23"/>
        </w:trPr>
        <w:tc>
          <w:tcPr>
            <w:tcW w:w="1785" w:type="pct"/>
          </w:tcPr>
          <w:p w14:paraId="761FA74B"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vAlign w:val="bottom"/>
          </w:tcPr>
          <w:p w14:paraId="3761E321"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41533EA2"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319697EE"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794F5F72"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750D9E62"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26820D1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219CBD3" w14:textId="77777777" w:rsidTr="001B330E">
        <w:trPr>
          <w:trHeight w:val="23"/>
        </w:trPr>
        <w:tc>
          <w:tcPr>
            <w:tcW w:w="1785" w:type="pct"/>
          </w:tcPr>
          <w:p w14:paraId="6EDDA62B"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Liquidity gap arising from financial instruments</w:t>
            </w:r>
          </w:p>
        </w:tc>
        <w:tc>
          <w:tcPr>
            <w:tcW w:w="536" w:type="pct"/>
            <w:vAlign w:val="bottom"/>
          </w:tcPr>
          <w:p w14:paraId="483CAAFE"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5A78B75A"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vAlign w:val="bottom"/>
          </w:tcPr>
          <w:p w14:paraId="641ED2CE"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vAlign w:val="bottom"/>
          </w:tcPr>
          <w:p w14:paraId="0D8A243F"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vAlign w:val="bottom"/>
          </w:tcPr>
          <w:p w14:paraId="079D3E96"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vAlign w:val="bottom"/>
          </w:tcPr>
          <w:p w14:paraId="3676AEB9"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FAC9B8D" w14:textId="77777777" w:rsidTr="001B330E">
        <w:trPr>
          <w:trHeight w:val="23"/>
        </w:trPr>
        <w:tc>
          <w:tcPr>
            <w:tcW w:w="1785" w:type="pct"/>
            <w:tcBorders>
              <w:bottom w:val="single" w:sz="12" w:space="0" w:color="000000"/>
            </w:tcBorders>
          </w:tcPr>
          <w:p w14:paraId="32ACFE3F"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bottom w:val="single" w:sz="12" w:space="0" w:color="000000"/>
            </w:tcBorders>
            <w:vAlign w:val="bottom"/>
          </w:tcPr>
          <w:p w14:paraId="31A29141"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12" w:space="0" w:color="000000"/>
            </w:tcBorders>
            <w:vAlign w:val="bottom"/>
          </w:tcPr>
          <w:p w14:paraId="44AB3757" w14:textId="77777777" w:rsidR="00D83E33" w:rsidRPr="00EA10CF" w:rsidRDefault="00D83E33" w:rsidP="001B330E">
            <w:pPr>
              <w:widowControl w:val="0"/>
              <w:pBdr>
                <w:top w:val="nil"/>
                <w:left w:val="nil"/>
                <w:bottom w:val="nil"/>
                <w:right w:val="nil"/>
                <w:between w:val="nil"/>
              </w:pBdr>
              <w:jc w:val="right"/>
              <w:rPr>
                <w:b/>
                <w:color w:val="000000"/>
              </w:rPr>
            </w:pPr>
          </w:p>
        </w:tc>
        <w:tc>
          <w:tcPr>
            <w:tcW w:w="562" w:type="pct"/>
            <w:tcBorders>
              <w:bottom w:val="single" w:sz="12" w:space="0" w:color="000000"/>
            </w:tcBorders>
            <w:vAlign w:val="bottom"/>
          </w:tcPr>
          <w:p w14:paraId="7776DE71" w14:textId="77777777" w:rsidR="00D83E33" w:rsidRPr="00EA10CF" w:rsidRDefault="00D83E33" w:rsidP="001B330E">
            <w:pPr>
              <w:widowControl w:val="0"/>
              <w:pBdr>
                <w:top w:val="nil"/>
                <w:left w:val="nil"/>
                <w:bottom w:val="nil"/>
                <w:right w:val="nil"/>
                <w:between w:val="nil"/>
              </w:pBdr>
              <w:jc w:val="right"/>
              <w:rPr>
                <w:b/>
                <w:color w:val="000000"/>
              </w:rPr>
            </w:pPr>
          </w:p>
        </w:tc>
        <w:tc>
          <w:tcPr>
            <w:tcW w:w="584" w:type="pct"/>
            <w:tcBorders>
              <w:bottom w:val="single" w:sz="12" w:space="0" w:color="000000"/>
            </w:tcBorders>
            <w:vAlign w:val="bottom"/>
          </w:tcPr>
          <w:p w14:paraId="26408D16" w14:textId="77777777" w:rsidR="00D83E33" w:rsidRPr="00EA10CF" w:rsidRDefault="00D83E33" w:rsidP="001B330E">
            <w:pPr>
              <w:widowControl w:val="0"/>
              <w:pBdr>
                <w:top w:val="nil"/>
                <w:left w:val="nil"/>
                <w:bottom w:val="nil"/>
                <w:right w:val="nil"/>
                <w:between w:val="nil"/>
              </w:pBdr>
              <w:jc w:val="right"/>
              <w:rPr>
                <w:b/>
                <w:color w:val="000000"/>
              </w:rPr>
            </w:pPr>
          </w:p>
        </w:tc>
        <w:tc>
          <w:tcPr>
            <w:tcW w:w="462" w:type="pct"/>
            <w:tcBorders>
              <w:bottom w:val="single" w:sz="12" w:space="0" w:color="000000"/>
            </w:tcBorders>
            <w:vAlign w:val="bottom"/>
          </w:tcPr>
          <w:p w14:paraId="15715E89" w14:textId="77777777" w:rsidR="00D83E33" w:rsidRPr="00EA10CF" w:rsidRDefault="00D83E33" w:rsidP="001B330E">
            <w:pPr>
              <w:widowControl w:val="0"/>
              <w:pBdr>
                <w:top w:val="nil"/>
                <w:left w:val="nil"/>
                <w:bottom w:val="nil"/>
                <w:right w:val="nil"/>
                <w:between w:val="nil"/>
              </w:pBdr>
              <w:jc w:val="right"/>
              <w:rPr>
                <w:b/>
                <w:color w:val="000000"/>
              </w:rPr>
            </w:pPr>
          </w:p>
        </w:tc>
        <w:tc>
          <w:tcPr>
            <w:tcW w:w="535" w:type="pct"/>
            <w:tcBorders>
              <w:bottom w:val="single" w:sz="12" w:space="0" w:color="000000"/>
            </w:tcBorders>
            <w:vAlign w:val="bottom"/>
          </w:tcPr>
          <w:p w14:paraId="39446392" w14:textId="77777777" w:rsidR="00D83E33" w:rsidRPr="00EA10CF" w:rsidRDefault="00D83E33" w:rsidP="001B330E">
            <w:pPr>
              <w:widowControl w:val="0"/>
              <w:pBdr>
                <w:top w:val="nil"/>
                <w:left w:val="nil"/>
                <w:bottom w:val="nil"/>
                <w:right w:val="nil"/>
                <w:between w:val="nil"/>
              </w:pBdr>
              <w:jc w:val="right"/>
              <w:rPr>
                <w:b/>
                <w:color w:val="000000"/>
              </w:rPr>
            </w:pPr>
          </w:p>
        </w:tc>
      </w:tr>
    </w:tbl>
    <w:p w14:paraId="612220A5" w14:textId="77777777" w:rsidR="00D83E33" w:rsidRDefault="00BC4072">
      <w:pPr>
        <w:spacing w:before="200" w:after="200"/>
        <w:jc w:val="both"/>
      </w:pPr>
      <w:r>
        <w:rPr>
          <w:color w:val="000000"/>
          <w:sz w:val="20"/>
          <w:szCs w:val="20"/>
        </w:rPr>
        <w:t>Liquidity requirements to support calls under guarantees and standby letters of credit are considerably less than the amount of the commitment disclosed in the above maturity analysis, because the Group does not generally expect the third party to draw funds under the agreement. The total outstanding contractual amount of commitments to extend credit as included in the above maturity table does not necessarily represent future cash requirements, since many of these commitments will expire or terminate without being funded.</w:t>
      </w:r>
    </w:p>
    <w:p w14:paraId="7186BBDD" w14:textId="77777777" w:rsidR="009A397A" w:rsidRDefault="009A397A" w:rsidP="001B330E">
      <w:pPr>
        <w:pStyle w:val="Continued"/>
      </w:pPr>
      <w:r>
        <w:lastRenderedPageBreak/>
        <w:t>41</w:t>
      </w:r>
      <w:r>
        <w:tab/>
        <w:t>Financial Risk Management (Continued)</w:t>
      </w:r>
    </w:p>
    <w:p w14:paraId="754B3A4C" w14:textId="258F9508" w:rsidR="00D83E33" w:rsidRDefault="00BC4072">
      <w:pPr>
        <w:spacing w:before="200" w:after="200"/>
        <w:jc w:val="both"/>
        <w:rPr>
          <w:sz w:val="20"/>
          <w:szCs w:val="20"/>
        </w:rPr>
      </w:pPr>
      <w:r>
        <w:rPr>
          <w:sz w:val="20"/>
          <w:szCs w:val="20"/>
        </w:rPr>
        <w:t>The maturity analysis of financial instruments at 31</w:t>
      </w:r>
      <w:r w:rsidR="00181687">
        <w:rPr>
          <w:sz w:val="20"/>
          <w:szCs w:val="20"/>
        </w:rPr>
        <w:t> December </w:t>
      </w:r>
      <w:r w:rsidR="00541EBC">
        <w:rPr>
          <w:sz w:val="20"/>
          <w:szCs w:val="20"/>
        </w:rPr>
        <w:t>2023</w:t>
      </w:r>
      <w:r>
        <w:rPr>
          <w:sz w:val="20"/>
          <w:szCs w:val="20"/>
        </w:rPr>
        <w:t xml:space="preserve"> is as follows:</w:t>
      </w:r>
    </w:p>
    <w:tbl>
      <w:tblPr>
        <w:tblStyle w:val="affffffffffffff8"/>
        <w:tblW w:w="5000" w:type="pct"/>
        <w:tblLayout w:type="fixed"/>
        <w:tblCellMar>
          <w:left w:w="113" w:type="dxa"/>
          <w:right w:w="113" w:type="dxa"/>
        </w:tblCellMar>
        <w:tblLook w:val="0000" w:firstRow="0" w:lastRow="0" w:firstColumn="0" w:lastColumn="0" w:noHBand="0" w:noVBand="0"/>
      </w:tblPr>
      <w:tblGrid>
        <w:gridCol w:w="3339"/>
        <w:gridCol w:w="1003"/>
        <w:gridCol w:w="1003"/>
        <w:gridCol w:w="1035"/>
        <w:gridCol w:w="1134"/>
        <w:gridCol w:w="844"/>
        <w:gridCol w:w="997"/>
      </w:tblGrid>
      <w:tr w:rsidR="00D83E33" w:rsidRPr="00EA10CF" w14:paraId="7DC2C18D" w14:textId="77777777" w:rsidTr="001B330E">
        <w:trPr>
          <w:trHeight w:val="23"/>
        </w:trPr>
        <w:tc>
          <w:tcPr>
            <w:tcW w:w="1785" w:type="pct"/>
            <w:tcBorders>
              <w:bottom w:val="single" w:sz="4" w:space="0" w:color="000000"/>
            </w:tcBorders>
            <w:vAlign w:val="bottom"/>
          </w:tcPr>
          <w:p w14:paraId="62086613" w14:textId="357BB92F"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36" w:type="pct"/>
            <w:tcBorders>
              <w:bottom w:val="single" w:sz="4" w:space="0" w:color="000000"/>
            </w:tcBorders>
          </w:tcPr>
          <w:p w14:paraId="7740D977"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Demand and less than 1 month</w:t>
            </w:r>
          </w:p>
        </w:tc>
        <w:tc>
          <w:tcPr>
            <w:tcW w:w="536" w:type="pct"/>
            <w:tcBorders>
              <w:bottom w:val="single" w:sz="4" w:space="0" w:color="000000"/>
            </w:tcBorders>
          </w:tcPr>
          <w:p w14:paraId="0DE3A005"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From 1 to 6 months</w:t>
            </w:r>
          </w:p>
        </w:tc>
        <w:tc>
          <w:tcPr>
            <w:tcW w:w="553" w:type="pct"/>
            <w:tcBorders>
              <w:bottom w:val="single" w:sz="4" w:space="0" w:color="000000"/>
            </w:tcBorders>
          </w:tcPr>
          <w:p w14:paraId="707EA7F8"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From 6 to 12 months</w:t>
            </w:r>
          </w:p>
        </w:tc>
        <w:tc>
          <w:tcPr>
            <w:tcW w:w="606" w:type="pct"/>
            <w:tcBorders>
              <w:bottom w:val="single" w:sz="4" w:space="0" w:color="000000"/>
            </w:tcBorders>
          </w:tcPr>
          <w:p w14:paraId="45FED239"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From 12 months to 5 years</w:t>
            </w:r>
          </w:p>
        </w:tc>
        <w:tc>
          <w:tcPr>
            <w:tcW w:w="451" w:type="pct"/>
            <w:tcBorders>
              <w:bottom w:val="single" w:sz="4" w:space="0" w:color="000000"/>
            </w:tcBorders>
          </w:tcPr>
          <w:p w14:paraId="5BD3BBBB"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Over 5 years</w:t>
            </w:r>
          </w:p>
        </w:tc>
        <w:tc>
          <w:tcPr>
            <w:tcW w:w="534" w:type="pct"/>
            <w:tcBorders>
              <w:bottom w:val="single" w:sz="4" w:space="0" w:color="000000"/>
            </w:tcBorders>
          </w:tcPr>
          <w:p w14:paraId="64D5EBC5"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Total</w:t>
            </w:r>
          </w:p>
        </w:tc>
      </w:tr>
      <w:tr w:rsidR="00D83E33" w:rsidRPr="00EA10CF" w14:paraId="1F920E58" w14:textId="77777777" w:rsidTr="001B330E">
        <w:trPr>
          <w:trHeight w:val="23"/>
        </w:trPr>
        <w:tc>
          <w:tcPr>
            <w:tcW w:w="1785" w:type="pct"/>
          </w:tcPr>
          <w:p w14:paraId="33882806" w14:textId="77777777" w:rsidR="00D83E33" w:rsidRPr="00EA10CF" w:rsidRDefault="00D83E33" w:rsidP="001B330E">
            <w:pPr>
              <w:widowControl w:val="0"/>
              <w:ind w:left="113" w:hanging="113"/>
              <w:rPr>
                <w:b/>
              </w:rPr>
            </w:pPr>
          </w:p>
        </w:tc>
        <w:tc>
          <w:tcPr>
            <w:tcW w:w="536" w:type="pct"/>
            <w:vAlign w:val="bottom"/>
          </w:tcPr>
          <w:p w14:paraId="097433F1"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49F95C26" w14:textId="77777777" w:rsidR="00D83E33" w:rsidRPr="00EA10CF" w:rsidRDefault="00D83E33" w:rsidP="001B330E">
            <w:pPr>
              <w:widowControl w:val="0"/>
              <w:pBdr>
                <w:top w:val="nil"/>
                <w:left w:val="nil"/>
                <w:bottom w:val="nil"/>
                <w:right w:val="nil"/>
                <w:between w:val="nil"/>
              </w:pBdr>
              <w:jc w:val="right"/>
              <w:rPr>
                <w:color w:val="000000"/>
              </w:rPr>
            </w:pPr>
          </w:p>
        </w:tc>
        <w:tc>
          <w:tcPr>
            <w:tcW w:w="553" w:type="pct"/>
            <w:vAlign w:val="bottom"/>
          </w:tcPr>
          <w:p w14:paraId="7E50EF19"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vAlign w:val="bottom"/>
          </w:tcPr>
          <w:p w14:paraId="01F1955C" w14:textId="77777777" w:rsidR="00D83E33" w:rsidRPr="00EA10CF" w:rsidRDefault="00D83E33" w:rsidP="001B330E">
            <w:pPr>
              <w:widowControl w:val="0"/>
              <w:pBdr>
                <w:top w:val="nil"/>
                <w:left w:val="nil"/>
                <w:bottom w:val="nil"/>
                <w:right w:val="nil"/>
                <w:between w:val="nil"/>
              </w:pBdr>
              <w:jc w:val="right"/>
              <w:rPr>
                <w:color w:val="000000"/>
              </w:rPr>
            </w:pPr>
          </w:p>
        </w:tc>
        <w:tc>
          <w:tcPr>
            <w:tcW w:w="451" w:type="pct"/>
            <w:vAlign w:val="bottom"/>
          </w:tcPr>
          <w:p w14:paraId="2BFBA6E4" w14:textId="77777777" w:rsidR="00D83E33" w:rsidRPr="00EA10CF" w:rsidRDefault="00D83E33" w:rsidP="001B330E">
            <w:pPr>
              <w:widowControl w:val="0"/>
              <w:pBdr>
                <w:top w:val="nil"/>
                <w:left w:val="nil"/>
                <w:bottom w:val="nil"/>
                <w:right w:val="nil"/>
                <w:between w:val="nil"/>
              </w:pBdr>
              <w:jc w:val="right"/>
              <w:rPr>
                <w:color w:val="000000"/>
              </w:rPr>
            </w:pPr>
          </w:p>
        </w:tc>
        <w:tc>
          <w:tcPr>
            <w:tcW w:w="534" w:type="pct"/>
            <w:vAlign w:val="bottom"/>
          </w:tcPr>
          <w:p w14:paraId="703E42B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FC1ACD7" w14:textId="77777777" w:rsidTr="001B330E">
        <w:trPr>
          <w:trHeight w:val="23"/>
        </w:trPr>
        <w:tc>
          <w:tcPr>
            <w:tcW w:w="1785" w:type="pct"/>
          </w:tcPr>
          <w:p w14:paraId="413D11B9"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color w:val="000000"/>
              </w:rPr>
              <w:t>Assets</w:t>
            </w:r>
          </w:p>
        </w:tc>
        <w:tc>
          <w:tcPr>
            <w:tcW w:w="536" w:type="pct"/>
            <w:vAlign w:val="bottom"/>
          </w:tcPr>
          <w:p w14:paraId="5EDDB22F"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7A0995F4"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5CCAAC86"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66496652"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28E7493B"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4BF1366C"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D6DBE1C" w14:textId="77777777" w:rsidTr="001B330E">
        <w:trPr>
          <w:trHeight w:val="23"/>
        </w:trPr>
        <w:tc>
          <w:tcPr>
            <w:tcW w:w="1785" w:type="pct"/>
          </w:tcPr>
          <w:p w14:paraId="4410AB9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Cash and cash equivalents</w:t>
            </w:r>
          </w:p>
        </w:tc>
        <w:tc>
          <w:tcPr>
            <w:tcW w:w="536" w:type="pct"/>
            <w:vAlign w:val="bottom"/>
          </w:tcPr>
          <w:p w14:paraId="4E949B72"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361C5675"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782D8B82"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064E0599"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7A396C5C"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07FF04F4"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6927B69" w14:textId="77777777" w:rsidTr="001B330E">
        <w:trPr>
          <w:trHeight w:val="23"/>
        </w:trPr>
        <w:tc>
          <w:tcPr>
            <w:tcW w:w="1785" w:type="pct"/>
          </w:tcPr>
          <w:p w14:paraId="56231E3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Investments in debt securities</w:t>
            </w:r>
          </w:p>
        </w:tc>
        <w:tc>
          <w:tcPr>
            <w:tcW w:w="536" w:type="pct"/>
            <w:vAlign w:val="bottom"/>
          </w:tcPr>
          <w:p w14:paraId="1C4B59AF"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1BC5469"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00FEFEB7"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517E594B"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77346F88"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31A79F2E"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E79D6D3" w14:textId="77777777" w:rsidTr="001B330E">
        <w:trPr>
          <w:trHeight w:val="23"/>
        </w:trPr>
        <w:tc>
          <w:tcPr>
            <w:tcW w:w="1785" w:type="pct"/>
          </w:tcPr>
          <w:p w14:paraId="3C951A8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Investments in equity securities </w:t>
            </w:r>
          </w:p>
        </w:tc>
        <w:tc>
          <w:tcPr>
            <w:tcW w:w="536" w:type="pct"/>
            <w:vAlign w:val="bottom"/>
          </w:tcPr>
          <w:p w14:paraId="3F26728C"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41053ABA"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00AAD18F"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34360236"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16FFB25B"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6A69F8C7"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12B30921" w14:textId="77777777" w:rsidTr="001B330E">
        <w:trPr>
          <w:trHeight w:val="23"/>
        </w:trPr>
        <w:tc>
          <w:tcPr>
            <w:tcW w:w="1785" w:type="pct"/>
          </w:tcPr>
          <w:p w14:paraId="23334DC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Due from other banks</w:t>
            </w:r>
          </w:p>
        </w:tc>
        <w:tc>
          <w:tcPr>
            <w:tcW w:w="536" w:type="pct"/>
            <w:vAlign w:val="bottom"/>
          </w:tcPr>
          <w:p w14:paraId="023C4961"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5DD7BF8A"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38DBFEE8"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6ACED8BB"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1C5D5E98"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4502ACFC"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60BE372" w14:textId="77777777" w:rsidTr="001B330E">
        <w:trPr>
          <w:trHeight w:val="23"/>
        </w:trPr>
        <w:tc>
          <w:tcPr>
            <w:tcW w:w="1785" w:type="pct"/>
          </w:tcPr>
          <w:p w14:paraId="7971F8B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Loans and advances to customers</w:t>
            </w:r>
          </w:p>
        </w:tc>
        <w:tc>
          <w:tcPr>
            <w:tcW w:w="536" w:type="pct"/>
            <w:vAlign w:val="bottom"/>
          </w:tcPr>
          <w:p w14:paraId="245ED05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646B1688"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7B4C4E72"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396A72F6"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43C91179"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13B01B16"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F6C37EF" w14:textId="77777777" w:rsidTr="001B330E">
        <w:trPr>
          <w:trHeight w:val="23"/>
        </w:trPr>
        <w:tc>
          <w:tcPr>
            <w:tcW w:w="1785" w:type="pct"/>
          </w:tcPr>
          <w:p w14:paraId="71217F0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Repurchase receivables</w:t>
            </w:r>
          </w:p>
        </w:tc>
        <w:tc>
          <w:tcPr>
            <w:tcW w:w="536" w:type="pct"/>
            <w:vAlign w:val="bottom"/>
          </w:tcPr>
          <w:p w14:paraId="2D14127B"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7615BCCA"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3AF895DB"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6D99D1CA"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41122D6A"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71651F3C"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9CF3940" w14:textId="77777777" w:rsidTr="001B330E">
        <w:trPr>
          <w:trHeight w:val="23"/>
        </w:trPr>
        <w:tc>
          <w:tcPr>
            <w:tcW w:w="1785" w:type="pct"/>
          </w:tcPr>
          <w:p w14:paraId="05AA9E79" w14:textId="77777777" w:rsidR="00D83E33" w:rsidRPr="00EA10CF" w:rsidRDefault="00BC4072" w:rsidP="001B330E">
            <w:pPr>
              <w:widowControl w:val="0"/>
              <w:pBdr>
                <w:top w:val="nil"/>
                <w:left w:val="nil"/>
                <w:bottom w:val="nil"/>
                <w:right w:val="nil"/>
                <w:between w:val="nil"/>
              </w:pBdr>
              <w:tabs>
                <w:tab w:val="right" w:pos="8782"/>
              </w:tabs>
              <w:ind w:left="113" w:hanging="113"/>
              <w:rPr>
                <w:i/>
                <w:color w:val="000000"/>
              </w:rPr>
            </w:pPr>
            <w:r w:rsidRPr="00EA10CF">
              <w:rPr>
                <w:i/>
                <w:color w:val="000000"/>
              </w:rPr>
              <w:t>Gross settled swaps and forwards:</w:t>
            </w:r>
          </w:p>
        </w:tc>
        <w:tc>
          <w:tcPr>
            <w:tcW w:w="536" w:type="pct"/>
            <w:vAlign w:val="bottom"/>
          </w:tcPr>
          <w:p w14:paraId="7D8E48D7"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568D6BD8" w14:textId="77777777" w:rsidR="00D83E33" w:rsidRPr="00EA10CF" w:rsidRDefault="00D83E33" w:rsidP="001B330E">
            <w:pPr>
              <w:widowControl w:val="0"/>
              <w:pBdr>
                <w:top w:val="nil"/>
                <w:left w:val="nil"/>
                <w:bottom w:val="nil"/>
                <w:right w:val="nil"/>
                <w:between w:val="nil"/>
              </w:pBdr>
              <w:jc w:val="right"/>
              <w:rPr>
                <w:color w:val="000000"/>
              </w:rPr>
            </w:pPr>
          </w:p>
        </w:tc>
        <w:tc>
          <w:tcPr>
            <w:tcW w:w="553" w:type="pct"/>
            <w:vAlign w:val="bottom"/>
          </w:tcPr>
          <w:p w14:paraId="0A6F3489"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vAlign w:val="bottom"/>
          </w:tcPr>
          <w:p w14:paraId="673F10EF" w14:textId="77777777" w:rsidR="00D83E33" w:rsidRPr="00EA10CF" w:rsidRDefault="00D83E33" w:rsidP="001B330E">
            <w:pPr>
              <w:widowControl w:val="0"/>
              <w:pBdr>
                <w:top w:val="nil"/>
                <w:left w:val="nil"/>
                <w:bottom w:val="nil"/>
                <w:right w:val="nil"/>
                <w:between w:val="nil"/>
              </w:pBdr>
              <w:jc w:val="right"/>
              <w:rPr>
                <w:color w:val="000000"/>
              </w:rPr>
            </w:pPr>
          </w:p>
        </w:tc>
        <w:tc>
          <w:tcPr>
            <w:tcW w:w="451" w:type="pct"/>
            <w:vAlign w:val="bottom"/>
          </w:tcPr>
          <w:p w14:paraId="79797E42" w14:textId="77777777" w:rsidR="00D83E33" w:rsidRPr="00EA10CF" w:rsidRDefault="00D83E33" w:rsidP="001B330E">
            <w:pPr>
              <w:widowControl w:val="0"/>
              <w:pBdr>
                <w:top w:val="nil"/>
                <w:left w:val="nil"/>
                <w:bottom w:val="nil"/>
                <w:right w:val="nil"/>
                <w:between w:val="nil"/>
              </w:pBdr>
              <w:jc w:val="right"/>
              <w:rPr>
                <w:color w:val="000000"/>
              </w:rPr>
            </w:pPr>
          </w:p>
        </w:tc>
        <w:tc>
          <w:tcPr>
            <w:tcW w:w="534" w:type="pct"/>
            <w:vAlign w:val="bottom"/>
          </w:tcPr>
          <w:p w14:paraId="44ED973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4307FF4" w14:textId="77777777" w:rsidTr="001B330E">
        <w:trPr>
          <w:trHeight w:val="23"/>
        </w:trPr>
        <w:tc>
          <w:tcPr>
            <w:tcW w:w="1785" w:type="pct"/>
          </w:tcPr>
          <w:p w14:paraId="4DD43A6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inflows</w:t>
            </w:r>
          </w:p>
        </w:tc>
        <w:tc>
          <w:tcPr>
            <w:tcW w:w="536" w:type="pct"/>
            <w:vAlign w:val="bottom"/>
          </w:tcPr>
          <w:p w14:paraId="61D10EFA"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2C38884E"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0FD1D901"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007EA57A"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159EEFF2"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0D67DA5B"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D947CB2" w14:textId="77777777" w:rsidTr="001B330E">
        <w:trPr>
          <w:trHeight w:val="23"/>
        </w:trPr>
        <w:tc>
          <w:tcPr>
            <w:tcW w:w="1785" w:type="pct"/>
          </w:tcPr>
          <w:p w14:paraId="33A9A04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outflows</w:t>
            </w:r>
          </w:p>
        </w:tc>
        <w:tc>
          <w:tcPr>
            <w:tcW w:w="536" w:type="pct"/>
            <w:vAlign w:val="bottom"/>
          </w:tcPr>
          <w:p w14:paraId="0D7588ED"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71129F1F"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726F5CD9"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3549E2F3"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6E945054"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4ADA8E5E"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476319B" w14:textId="77777777" w:rsidTr="001B330E">
        <w:trPr>
          <w:trHeight w:val="23"/>
        </w:trPr>
        <w:tc>
          <w:tcPr>
            <w:tcW w:w="1785" w:type="pct"/>
          </w:tcPr>
          <w:p w14:paraId="04809C9F"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Net settled derivatives</w:t>
            </w:r>
          </w:p>
        </w:tc>
        <w:tc>
          <w:tcPr>
            <w:tcW w:w="536" w:type="pct"/>
            <w:vAlign w:val="bottom"/>
          </w:tcPr>
          <w:p w14:paraId="55053F13"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4551A866"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68B62B7E"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2FAF63D4"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76959ACC"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64607BB1"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1F819512" w14:textId="77777777" w:rsidTr="001B330E">
        <w:trPr>
          <w:trHeight w:val="23"/>
        </w:trPr>
        <w:tc>
          <w:tcPr>
            <w:tcW w:w="1785" w:type="pct"/>
          </w:tcPr>
          <w:p w14:paraId="2559EE4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financial assets</w:t>
            </w:r>
          </w:p>
        </w:tc>
        <w:tc>
          <w:tcPr>
            <w:tcW w:w="536" w:type="pct"/>
            <w:vAlign w:val="bottom"/>
          </w:tcPr>
          <w:p w14:paraId="061649D9"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201BC494"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645124D3"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17FEA24C"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1EA509D0"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3C763FF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662CAE2" w14:textId="77777777" w:rsidTr="001B330E">
        <w:trPr>
          <w:trHeight w:val="23"/>
        </w:trPr>
        <w:tc>
          <w:tcPr>
            <w:tcW w:w="1785" w:type="pct"/>
            <w:tcBorders>
              <w:bottom w:val="single" w:sz="4" w:space="0" w:color="000000"/>
            </w:tcBorders>
          </w:tcPr>
          <w:p w14:paraId="494083F1"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bottom w:val="single" w:sz="4" w:space="0" w:color="000000"/>
            </w:tcBorders>
            <w:vAlign w:val="bottom"/>
          </w:tcPr>
          <w:p w14:paraId="4B129B6D"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4" w:space="0" w:color="000000"/>
            </w:tcBorders>
            <w:vAlign w:val="bottom"/>
          </w:tcPr>
          <w:p w14:paraId="23E18D80"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tcBorders>
              <w:bottom w:val="single" w:sz="4" w:space="0" w:color="000000"/>
            </w:tcBorders>
            <w:vAlign w:val="bottom"/>
          </w:tcPr>
          <w:p w14:paraId="1EFE265E"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bottom w:val="single" w:sz="4" w:space="0" w:color="000000"/>
            </w:tcBorders>
            <w:vAlign w:val="bottom"/>
          </w:tcPr>
          <w:p w14:paraId="1712A6D6"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tcBorders>
              <w:bottom w:val="single" w:sz="4" w:space="0" w:color="000000"/>
            </w:tcBorders>
            <w:vAlign w:val="bottom"/>
          </w:tcPr>
          <w:p w14:paraId="41972C8B"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tcBorders>
              <w:bottom w:val="single" w:sz="4" w:space="0" w:color="000000"/>
            </w:tcBorders>
            <w:vAlign w:val="bottom"/>
          </w:tcPr>
          <w:p w14:paraId="5F94B14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CEDD307" w14:textId="77777777" w:rsidTr="001B330E">
        <w:trPr>
          <w:trHeight w:val="23"/>
        </w:trPr>
        <w:tc>
          <w:tcPr>
            <w:tcW w:w="1785" w:type="pct"/>
            <w:tcBorders>
              <w:top w:val="single" w:sz="4" w:space="0" w:color="000000"/>
            </w:tcBorders>
          </w:tcPr>
          <w:p w14:paraId="770E403A"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top w:val="single" w:sz="4" w:space="0" w:color="000000"/>
            </w:tcBorders>
            <w:vAlign w:val="bottom"/>
          </w:tcPr>
          <w:p w14:paraId="78C2E222"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top w:val="single" w:sz="4" w:space="0" w:color="000000"/>
            </w:tcBorders>
            <w:vAlign w:val="bottom"/>
          </w:tcPr>
          <w:p w14:paraId="676A364C"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tcBorders>
              <w:top w:val="single" w:sz="4" w:space="0" w:color="000000"/>
            </w:tcBorders>
            <w:vAlign w:val="bottom"/>
          </w:tcPr>
          <w:p w14:paraId="70B1FCDD"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top w:val="single" w:sz="4" w:space="0" w:color="000000"/>
            </w:tcBorders>
            <w:vAlign w:val="bottom"/>
          </w:tcPr>
          <w:p w14:paraId="773EA2C4"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tcBorders>
              <w:top w:val="single" w:sz="4" w:space="0" w:color="000000"/>
            </w:tcBorders>
            <w:vAlign w:val="bottom"/>
          </w:tcPr>
          <w:p w14:paraId="38F73C67"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tcBorders>
              <w:top w:val="single" w:sz="4" w:space="0" w:color="000000"/>
            </w:tcBorders>
            <w:vAlign w:val="bottom"/>
          </w:tcPr>
          <w:p w14:paraId="7FD5175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D4E5CCE" w14:textId="77777777" w:rsidTr="001B330E">
        <w:trPr>
          <w:trHeight w:val="23"/>
        </w:trPr>
        <w:tc>
          <w:tcPr>
            <w:tcW w:w="1785" w:type="pct"/>
          </w:tcPr>
          <w:p w14:paraId="3AC58CC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Total </w:t>
            </w:r>
          </w:p>
        </w:tc>
        <w:tc>
          <w:tcPr>
            <w:tcW w:w="536" w:type="pct"/>
            <w:vAlign w:val="bottom"/>
          </w:tcPr>
          <w:p w14:paraId="47B6BB4F"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483C99B2"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57E10CE4"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6FB86EC0"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117DB97C"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1F4175BB"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161E2BC9" w14:textId="77777777" w:rsidTr="001B330E">
        <w:trPr>
          <w:trHeight w:val="23"/>
        </w:trPr>
        <w:tc>
          <w:tcPr>
            <w:tcW w:w="1785" w:type="pct"/>
            <w:tcBorders>
              <w:bottom w:val="single" w:sz="4" w:space="0" w:color="000000"/>
            </w:tcBorders>
          </w:tcPr>
          <w:p w14:paraId="324B0475"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bottom w:val="single" w:sz="4" w:space="0" w:color="000000"/>
            </w:tcBorders>
            <w:vAlign w:val="bottom"/>
          </w:tcPr>
          <w:p w14:paraId="02F6CA22"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4" w:space="0" w:color="000000"/>
            </w:tcBorders>
            <w:vAlign w:val="bottom"/>
          </w:tcPr>
          <w:p w14:paraId="50B534B8"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tcBorders>
              <w:bottom w:val="single" w:sz="4" w:space="0" w:color="000000"/>
            </w:tcBorders>
            <w:vAlign w:val="bottom"/>
          </w:tcPr>
          <w:p w14:paraId="52B463CA"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bottom w:val="single" w:sz="4" w:space="0" w:color="000000"/>
            </w:tcBorders>
            <w:vAlign w:val="bottom"/>
          </w:tcPr>
          <w:p w14:paraId="6D653145"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tcBorders>
              <w:bottom w:val="single" w:sz="4" w:space="0" w:color="000000"/>
            </w:tcBorders>
            <w:vAlign w:val="bottom"/>
          </w:tcPr>
          <w:p w14:paraId="5E200BB1"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tcBorders>
              <w:bottom w:val="single" w:sz="4" w:space="0" w:color="000000"/>
            </w:tcBorders>
            <w:vAlign w:val="bottom"/>
          </w:tcPr>
          <w:p w14:paraId="0E6D673C"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0496C99" w14:textId="77777777" w:rsidTr="001B330E">
        <w:trPr>
          <w:trHeight w:val="23"/>
        </w:trPr>
        <w:tc>
          <w:tcPr>
            <w:tcW w:w="1785" w:type="pct"/>
            <w:tcBorders>
              <w:top w:val="single" w:sz="4" w:space="0" w:color="000000"/>
            </w:tcBorders>
          </w:tcPr>
          <w:p w14:paraId="1E828055"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top w:val="single" w:sz="4" w:space="0" w:color="000000"/>
            </w:tcBorders>
            <w:vAlign w:val="bottom"/>
          </w:tcPr>
          <w:p w14:paraId="0F820D3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top w:val="single" w:sz="4" w:space="0" w:color="000000"/>
            </w:tcBorders>
            <w:vAlign w:val="bottom"/>
          </w:tcPr>
          <w:p w14:paraId="0B4152F2"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tcBorders>
              <w:top w:val="single" w:sz="4" w:space="0" w:color="000000"/>
            </w:tcBorders>
            <w:vAlign w:val="bottom"/>
          </w:tcPr>
          <w:p w14:paraId="6417B33A"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top w:val="single" w:sz="4" w:space="0" w:color="000000"/>
            </w:tcBorders>
            <w:vAlign w:val="bottom"/>
          </w:tcPr>
          <w:p w14:paraId="7C43A370"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tcBorders>
              <w:top w:val="single" w:sz="4" w:space="0" w:color="000000"/>
            </w:tcBorders>
            <w:vAlign w:val="bottom"/>
          </w:tcPr>
          <w:p w14:paraId="49E20B0E"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tcBorders>
              <w:top w:val="single" w:sz="4" w:space="0" w:color="000000"/>
            </w:tcBorders>
            <w:vAlign w:val="bottom"/>
          </w:tcPr>
          <w:p w14:paraId="7FCEEC3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29CD31E" w14:textId="77777777" w:rsidTr="001B330E">
        <w:trPr>
          <w:trHeight w:val="23"/>
        </w:trPr>
        <w:tc>
          <w:tcPr>
            <w:tcW w:w="1785" w:type="pct"/>
          </w:tcPr>
          <w:p w14:paraId="5BD8096A"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Liabilities</w:t>
            </w:r>
          </w:p>
        </w:tc>
        <w:tc>
          <w:tcPr>
            <w:tcW w:w="536" w:type="pct"/>
            <w:vAlign w:val="bottom"/>
          </w:tcPr>
          <w:p w14:paraId="09EE0D90"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0C8B0FED"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4DEEBCEE"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5AD2DB63"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66375881"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744B2A25"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1EAAF496" w14:textId="77777777" w:rsidTr="001B330E">
        <w:trPr>
          <w:trHeight w:val="23"/>
        </w:trPr>
        <w:tc>
          <w:tcPr>
            <w:tcW w:w="1785" w:type="pct"/>
          </w:tcPr>
          <w:p w14:paraId="555BDB2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Due to other banks</w:t>
            </w:r>
          </w:p>
        </w:tc>
        <w:tc>
          <w:tcPr>
            <w:tcW w:w="536" w:type="pct"/>
            <w:vAlign w:val="bottom"/>
          </w:tcPr>
          <w:p w14:paraId="3FF40672"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0FA81DA2"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3F8577A4"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7E4B935C"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346126E2"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0E1D8CB0"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147675E2" w14:textId="77777777" w:rsidTr="001B330E">
        <w:trPr>
          <w:trHeight w:val="23"/>
        </w:trPr>
        <w:tc>
          <w:tcPr>
            <w:tcW w:w="1785" w:type="pct"/>
          </w:tcPr>
          <w:p w14:paraId="1F75DE4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Customer accounts – individuals</w:t>
            </w:r>
          </w:p>
        </w:tc>
        <w:tc>
          <w:tcPr>
            <w:tcW w:w="536" w:type="pct"/>
            <w:vAlign w:val="bottom"/>
          </w:tcPr>
          <w:p w14:paraId="07DC538F"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2A7E56AA"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4BCF76B2"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71097AAE"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13B45442"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081122F3"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19D7BEE" w14:textId="77777777" w:rsidTr="001B330E">
        <w:trPr>
          <w:trHeight w:val="23"/>
        </w:trPr>
        <w:tc>
          <w:tcPr>
            <w:tcW w:w="1785" w:type="pct"/>
          </w:tcPr>
          <w:p w14:paraId="1F951C0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Customer accounts – other</w:t>
            </w:r>
          </w:p>
        </w:tc>
        <w:tc>
          <w:tcPr>
            <w:tcW w:w="536" w:type="pct"/>
            <w:vAlign w:val="bottom"/>
          </w:tcPr>
          <w:p w14:paraId="3660B92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37AB854D"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4A25B20A"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232C0605"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6AEFC63B"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0B94AC2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D7D7E2A" w14:textId="77777777" w:rsidTr="001B330E">
        <w:trPr>
          <w:trHeight w:val="23"/>
        </w:trPr>
        <w:tc>
          <w:tcPr>
            <w:tcW w:w="1785" w:type="pct"/>
          </w:tcPr>
          <w:p w14:paraId="71A84DE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Debt securities in issue </w:t>
            </w:r>
            <w:r w:rsidRPr="00EA10CF">
              <w:rPr>
                <w:color w:val="0000FF"/>
              </w:rPr>
              <w:t>[Promissory notes issued]</w:t>
            </w:r>
          </w:p>
        </w:tc>
        <w:tc>
          <w:tcPr>
            <w:tcW w:w="536" w:type="pct"/>
            <w:vAlign w:val="bottom"/>
          </w:tcPr>
          <w:p w14:paraId="60C154BB"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73DC8497"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6DD77BF4"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7EBB3D71"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7031175A"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2659C8E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FCA10A9" w14:textId="77777777" w:rsidTr="001B330E">
        <w:trPr>
          <w:trHeight w:val="23"/>
        </w:trPr>
        <w:tc>
          <w:tcPr>
            <w:tcW w:w="1785" w:type="pct"/>
          </w:tcPr>
          <w:p w14:paraId="325E043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Other borrowed funds </w:t>
            </w:r>
          </w:p>
        </w:tc>
        <w:tc>
          <w:tcPr>
            <w:tcW w:w="536" w:type="pct"/>
            <w:vAlign w:val="bottom"/>
          </w:tcPr>
          <w:p w14:paraId="5BD3E46E"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6AEF29DF"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74264F03"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7CB221CB"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58C764C0"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74710B43"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BE0335F" w14:textId="77777777" w:rsidTr="001B330E">
        <w:trPr>
          <w:trHeight w:val="23"/>
        </w:trPr>
        <w:tc>
          <w:tcPr>
            <w:tcW w:w="1785" w:type="pct"/>
          </w:tcPr>
          <w:p w14:paraId="75EDFF0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Lease liabilities </w:t>
            </w:r>
          </w:p>
        </w:tc>
        <w:tc>
          <w:tcPr>
            <w:tcW w:w="536" w:type="pct"/>
            <w:vAlign w:val="bottom"/>
          </w:tcPr>
          <w:p w14:paraId="465DB55D"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4039A83"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694B5261"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09A43553"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7B9E5BB5"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0531358E"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89C2CEB" w14:textId="77777777" w:rsidTr="001B330E">
        <w:trPr>
          <w:trHeight w:val="23"/>
        </w:trPr>
        <w:tc>
          <w:tcPr>
            <w:tcW w:w="1785" w:type="pct"/>
          </w:tcPr>
          <w:p w14:paraId="731F927C"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Subordinated debt</w:t>
            </w:r>
          </w:p>
        </w:tc>
        <w:tc>
          <w:tcPr>
            <w:tcW w:w="536" w:type="pct"/>
            <w:vAlign w:val="bottom"/>
          </w:tcPr>
          <w:p w14:paraId="1D438A1F"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43169078" w14:textId="77777777" w:rsidR="00D83E33" w:rsidRPr="00EA10CF" w:rsidRDefault="00D83E33" w:rsidP="001B330E">
            <w:pPr>
              <w:widowControl w:val="0"/>
              <w:pBdr>
                <w:top w:val="nil"/>
                <w:left w:val="nil"/>
                <w:bottom w:val="nil"/>
                <w:right w:val="nil"/>
                <w:between w:val="nil"/>
              </w:pBdr>
              <w:jc w:val="right"/>
              <w:rPr>
                <w:color w:val="000000"/>
              </w:rPr>
            </w:pPr>
          </w:p>
        </w:tc>
        <w:tc>
          <w:tcPr>
            <w:tcW w:w="553" w:type="pct"/>
            <w:vAlign w:val="bottom"/>
          </w:tcPr>
          <w:p w14:paraId="53B110D4"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vAlign w:val="bottom"/>
          </w:tcPr>
          <w:p w14:paraId="4ADF688F" w14:textId="77777777" w:rsidR="00D83E33" w:rsidRPr="00EA10CF" w:rsidRDefault="00D83E33" w:rsidP="001B330E">
            <w:pPr>
              <w:widowControl w:val="0"/>
              <w:pBdr>
                <w:top w:val="nil"/>
                <w:left w:val="nil"/>
                <w:bottom w:val="nil"/>
                <w:right w:val="nil"/>
                <w:between w:val="nil"/>
              </w:pBdr>
              <w:jc w:val="right"/>
              <w:rPr>
                <w:color w:val="000000"/>
              </w:rPr>
            </w:pPr>
          </w:p>
        </w:tc>
        <w:tc>
          <w:tcPr>
            <w:tcW w:w="451" w:type="pct"/>
            <w:vAlign w:val="bottom"/>
          </w:tcPr>
          <w:p w14:paraId="77BB2417" w14:textId="77777777" w:rsidR="00D83E33" w:rsidRPr="00EA10CF" w:rsidRDefault="00D83E33" w:rsidP="001B330E">
            <w:pPr>
              <w:widowControl w:val="0"/>
              <w:pBdr>
                <w:top w:val="nil"/>
                <w:left w:val="nil"/>
                <w:bottom w:val="nil"/>
                <w:right w:val="nil"/>
                <w:between w:val="nil"/>
              </w:pBdr>
              <w:jc w:val="right"/>
              <w:rPr>
                <w:color w:val="000000"/>
              </w:rPr>
            </w:pPr>
          </w:p>
        </w:tc>
        <w:tc>
          <w:tcPr>
            <w:tcW w:w="534" w:type="pct"/>
            <w:vAlign w:val="bottom"/>
          </w:tcPr>
          <w:p w14:paraId="6164870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601A126" w14:textId="77777777" w:rsidTr="001B330E">
        <w:trPr>
          <w:trHeight w:val="23"/>
        </w:trPr>
        <w:tc>
          <w:tcPr>
            <w:tcW w:w="1785" w:type="pct"/>
          </w:tcPr>
          <w:p w14:paraId="4A74215E" w14:textId="77777777" w:rsidR="00D83E33" w:rsidRPr="00EA10CF" w:rsidRDefault="00BC4072" w:rsidP="001B330E">
            <w:pPr>
              <w:widowControl w:val="0"/>
              <w:pBdr>
                <w:top w:val="nil"/>
                <w:left w:val="nil"/>
                <w:bottom w:val="nil"/>
                <w:right w:val="nil"/>
                <w:between w:val="nil"/>
              </w:pBdr>
              <w:tabs>
                <w:tab w:val="right" w:pos="8782"/>
              </w:tabs>
              <w:ind w:left="113" w:hanging="113"/>
              <w:rPr>
                <w:i/>
                <w:color w:val="000000"/>
              </w:rPr>
            </w:pPr>
            <w:r w:rsidRPr="00EA10CF">
              <w:rPr>
                <w:i/>
                <w:color w:val="000000"/>
              </w:rPr>
              <w:t>Gross settled swaps and forwards:</w:t>
            </w:r>
          </w:p>
        </w:tc>
        <w:tc>
          <w:tcPr>
            <w:tcW w:w="536" w:type="pct"/>
            <w:vAlign w:val="bottom"/>
          </w:tcPr>
          <w:p w14:paraId="6430DF80"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41FB0EDC" w14:textId="77777777" w:rsidR="00D83E33" w:rsidRPr="00EA10CF" w:rsidRDefault="00D83E33" w:rsidP="001B330E">
            <w:pPr>
              <w:widowControl w:val="0"/>
              <w:pBdr>
                <w:top w:val="nil"/>
                <w:left w:val="nil"/>
                <w:bottom w:val="nil"/>
                <w:right w:val="nil"/>
                <w:between w:val="nil"/>
              </w:pBdr>
              <w:jc w:val="right"/>
              <w:rPr>
                <w:color w:val="000000"/>
              </w:rPr>
            </w:pPr>
          </w:p>
        </w:tc>
        <w:tc>
          <w:tcPr>
            <w:tcW w:w="553" w:type="pct"/>
            <w:vAlign w:val="bottom"/>
          </w:tcPr>
          <w:p w14:paraId="5775F433"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vAlign w:val="bottom"/>
          </w:tcPr>
          <w:p w14:paraId="6326200B" w14:textId="77777777" w:rsidR="00D83E33" w:rsidRPr="00EA10CF" w:rsidRDefault="00D83E33" w:rsidP="001B330E">
            <w:pPr>
              <w:widowControl w:val="0"/>
              <w:pBdr>
                <w:top w:val="nil"/>
                <w:left w:val="nil"/>
                <w:bottom w:val="nil"/>
                <w:right w:val="nil"/>
                <w:between w:val="nil"/>
              </w:pBdr>
              <w:jc w:val="right"/>
              <w:rPr>
                <w:color w:val="000000"/>
              </w:rPr>
            </w:pPr>
          </w:p>
        </w:tc>
        <w:tc>
          <w:tcPr>
            <w:tcW w:w="451" w:type="pct"/>
            <w:vAlign w:val="bottom"/>
          </w:tcPr>
          <w:p w14:paraId="48A825D4" w14:textId="77777777" w:rsidR="00D83E33" w:rsidRPr="00EA10CF" w:rsidRDefault="00D83E33" w:rsidP="001B330E">
            <w:pPr>
              <w:widowControl w:val="0"/>
              <w:pBdr>
                <w:top w:val="nil"/>
                <w:left w:val="nil"/>
                <w:bottom w:val="nil"/>
                <w:right w:val="nil"/>
                <w:between w:val="nil"/>
              </w:pBdr>
              <w:jc w:val="right"/>
              <w:rPr>
                <w:color w:val="000000"/>
              </w:rPr>
            </w:pPr>
          </w:p>
        </w:tc>
        <w:tc>
          <w:tcPr>
            <w:tcW w:w="534" w:type="pct"/>
            <w:vAlign w:val="bottom"/>
          </w:tcPr>
          <w:p w14:paraId="75C01C1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BFBF907" w14:textId="77777777" w:rsidTr="001B330E">
        <w:trPr>
          <w:trHeight w:val="23"/>
        </w:trPr>
        <w:tc>
          <w:tcPr>
            <w:tcW w:w="1785" w:type="pct"/>
          </w:tcPr>
          <w:p w14:paraId="67901B1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inflows</w:t>
            </w:r>
          </w:p>
        </w:tc>
        <w:tc>
          <w:tcPr>
            <w:tcW w:w="536" w:type="pct"/>
            <w:vAlign w:val="bottom"/>
          </w:tcPr>
          <w:p w14:paraId="1E6B93CD"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2011E888" w14:textId="77777777" w:rsidR="00D83E33" w:rsidRPr="00EA10CF" w:rsidRDefault="00D83E33" w:rsidP="001B330E">
            <w:pPr>
              <w:widowControl w:val="0"/>
              <w:pBdr>
                <w:top w:val="nil"/>
                <w:left w:val="nil"/>
                <w:bottom w:val="nil"/>
                <w:right w:val="nil"/>
                <w:between w:val="nil"/>
              </w:pBdr>
              <w:jc w:val="right"/>
              <w:rPr>
                <w:color w:val="000000"/>
              </w:rPr>
            </w:pPr>
          </w:p>
        </w:tc>
        <w:tc>
          <w:tcPr>
            <w:tcW w:w="553" w:type="pct"/>
            <w:vAlign w:val="bottom"/>
          </w:tcPr>
          <w:p w14:paraId="6A1260B3"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vAlign w:val="bottom"/>
          </w:tcPr>
          <w:p w14:paraId="5E14B52D" w14:textId="77777777" w:rsidR="00D83E33" w:rsidRPr="00EA10CF" w:rsidRDefault="00D83E33" w:rsidP="001B330E">
            <w:pPr>
              <w:widowControl w:val="0"/>
              <w:pBdr>
                <w:top w:val="nil"/>
                <w:left w:val="nil"/>
                <w:bottom w:val="nil"/>
                <w:right w:val="nil"/>
                <w:between w:val="nil"/>
              </w:pBdr>
              <w:jc w:val="right"/>
              <w:rPr>
                <w:color w:val="000000"/>
              </w:rPr>
            </w:pPr>
          </w:p>
        </w:tc>
        <w:tc>
          <w:tcPr>
            <w:tcW w:w="451" w:type="pct"/>
            <w:vAlign w:val="bottom"/>
          </w:tcPr>
          <w:p w14:paraId="5B776CBE" w14:textId="77777777" w:rsidR="00D83E33" w:rsidRPr="00EA10CF" w:rsidRDefault="00D83E33" w:rsidP="001B330E">
            <w:pPr>
              <w:widowControl w:val="0"/>
              <w:pBdr>
                <w:top w:val="nil"/>
                <w:left w:val="nil"/>
                <w:bottom w:val="nil"/>
                <w:right w:val="nil"/>
                <w:between w:val="nil"/>
              </w:pBdr>
              <w:jc w:val="right"/>
              <w:rPr>
                <w:color w:val="000000"/>
              </w:rPr>
            </w:pPr>
          </w:p>
        </w:tc>
        <w:tc>
          <w:tcPr>
            <w:tcW w:w="534" w:type="pct"/>
            <w:vAlign w:val="bottom"/>
          </w:tcPr>
          <w:p w14:paraId="0F93965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6192E20" w14:textId="77777777" w:rsidTr="001B330E">
        <w:trPr>
          <w:trHeight w:val="23"/>
        </w:trPr>
        <w:tc>
          <w:tcPr>
            <w:tcW w:w="1785" w:type="pct"/>
          </w:tcPr>
          <w:p w14:paraId="7C8D3E7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outflows</w:t>
            </w:r>
          </w:p>
        </w:tc>
        <w:tc>
          <w:tcPr>
            <w:tcW w:w="536" w:type="pct"/>
            <w:vAlign w:val="bottom"/>
          </w:tcPr>
          <w:p w14:paraId="51A20231"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4F3AFD06" w14:textId="77777777" w:rsidR="00D83E33" w:rsidRPr="00EA10CF" w:rsidRDefault="00D83E33" w:rsidP="001B330E">
            <w:pPr>
              <w:widowControl w:val="0"/>
              <w:pBdr>
                <w:top w:val="nil"/>
                <w:left w:val="nil"/>
                <w:bottom w:val="nil"/>
                <w:right w:val="nil"/>
                <w:between w:val="nil"/>
              </w:pBdr>
              <w:jc w:val="right"/>
              <w:rPr>
                <w:color w:val="000000"/>
              </w:rPr>
            </w:pPr>
          </w:p>
        </w:tc>
        <w:tc>
          <w:tcPr>
            <w:tcW w:w="553" w:type="pct"/>
            <w:vAlign w:val="bottom"/>
          </w:tcPr>
          <w:p w14:paraId="2509A640"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vAlign w:val="bottom"/>
          </w:tcPr>
          <w:p w14:paraId="7E3B9B45" w14:textId="77777777" w:rsidR="00D83E33" w:rsidRPr="00EA10CF" w:rsidRDefault="00D83E33" w:rsidP="001B330E">
            <w:pPr>
              <w:widowControl w:val="0"/>
              <w:pBdr>
                <w:top w:val="nil"/>
                <w:left w:val="nil"/>
                <w:bottom w:val="nil"/>
                <w:right w:val="nil"/>
                <w:between w:val="nil"/>
              </w:pBdr>
              <w:jc w:val="right"/>
              <w:rPr>
                <w:color w:val="000000"/>
              </w:rPr>
            </w:pPr>
          </w:p>
        </w:tc>
        <w:tc>
          <w:tcPr>
            <w:tcW w:w="451" w:type="pct"/>
            <w:vAlign w:val="bottom"/>
          </w:tcPr>
          <w:p w14:paraId="4FC0A4D8" w14:textId="77777777" w:rsidR="00D83E33" w:rsidRPr="00EA10CF" w:rsidRDefault="00D83E33" w:rsidP="001B330E">
            <w:pPr>
              <w:widowControl w:val="0"/>
              <w:pBdr>
                <w:top w:val="nil"/>
                <w:left w:val="nil"/>
                <w:bottom w:val="nil"/>
                <w:right w:val="nil"/>
                <w:between w:val="nil"/>
              </w:pBdr>
              <w:jc w:val="right"/>
              <w:rPr>
                <w:color w:val="000000"/>
              </w:rPr>
            </w:pPr>
          </w:p>
        </w:tc>
        <w:tc>
          <w:tcPr>
            <w:tcW w:w="534" w:type="pct"/>
            <w:vAlign w:val="bottom"/>
          </w:tcPr>
          <w:p w14:paraId="2C80D932"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3A36119" w14:textId="77777777" w:rsidTr="001B330E">
        <w:trPr>
          <w:trHeight w:val="23"/>
        </w:trPr>
        <w:tc>
          <w:tcPr>
            <w:tcW w:w="1785" w:type="pct"/>
          </w:tcPr>
          <w:p w14:paraId="6F0B6F18" w14:textId="77777777"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Net settled derivatives</w:t>
            </w:r>
          </w:p>
        </w:tc>
        <w:tc>
          <w:tcPr>
            <w:tcW w:w="536" w:type="pct"/>
            <w:vAlign w:val="bottom"/>
          </w:tcPr>
          <w:p w14:paraId="24B1D405"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551F97A9" w14:textId="77777777" w:rsidR="00D83E33" w:rsidRPr="00EA10CF" w:rsidRDefault="00D83E33" w:rsidP="001B330E">
            <w:pPr>
              <w:widowControl w:val="0"/>
              <w:pBdr>
                <w:top w:val="nil"/>
                <w:left w:val="nil"/>
                <w:bottom w:val="nil"/>
                <w:right w:val="nil"/>
                <w:between w:val="nil"/>
              </w:pBdr>
              <w:jc w:val="right"/>
              <w:rPr>
                <w:color w:val="000000"/>
              </w:rPr>
            </w:pPr>
          </w:p>
        </w:tc>
        <w:tc>
          <w:tcPr>
            <w:tcW w:w="553" w:type="pct"/>
            <w:vAlign w:val="bottom"/>
          </w:tcPr>
          <w:p w14:paraId="380A120D"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vAlign w:val="bottom"/>
          </w:tcPr>
          <w:p w14:paraId="75634686" w14:textId="77777777" w:rsidR="00D83E33" w:rsidRPr="00EA10CF" w:rsidRDefault="00D83E33" w:rsidP="001B330E">
            <w:pPr>
              <w:widowControl w:val="0"/>
              <w:pBdr>
                <w:top w:val="nil"/>
                <w:left w:val="nil"/>
                <w:bottom w:val="nil"/>
                <w:right w:val="nil"/>
                <w:between w:val="nil"/>
              </w:pBdr>
              <w:jc w:val="right"/>
              <w:rPr>
                <w:color w:val="000000"/>
              </w:rPr>
            </w:pPr>
          </w:p>
        </w:tc>
        <w:tc>
          <w:tcPr>
            <w:tcW w:w="451" w:type="pct"/>
            <w:vAlign w:val="bottom"/>
          </w:tcPr>
          <w:p w14:paraId="7C957FA8" w14:textId="77777777" w:rsidR="00D83E33" w:rsidRPr="00EA10CF" w:rsidRDefault="00D83E33" w:rsidP="001B330E">
            <w:pPr>
              <w:widowControl w:val="0"/>
              <w:pBdr>
                <w:top w:val="nil"/>
                <w:left w:val="nil"/>
                <w:bottom w:val="nil"/>
                <w:right w:val="nil"/>
                <w:between w:val="nil"/>
              </w:pBdr>
              <w:jc w:val="right"/>
              <w:rPr>
                <w:color w:val="000000"/>
              </w:rPr>
            </w:pPr>
          </w:p>
        </w:tc>
        <w:tc>
          <w:tcPr>
            <w:tcW w:w="534" w:type="pct"/>
            <w:vAlign w:val="bottom"/>
          </w:tcPr>
          <w:p w14:paraId="0E4F4F5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08B74B6" w14:textId="77777777" w:rsidTr="001B330E">
        <w:trPr>
          <w:trHeight w:val="23"/>
        </w:trPr>
        <w:tc>
          <w:tcPr>
            <w:tcW w:w="1785" w:type="pct"/>
          </w:tcPr>
          <w:p w14:paraId="7DD0C12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Gross loan commitments</w:t>
            </w:r>
          </w:p>
        </w:tc>
        <w:tc>
          <w:tcPr>
            <w:tcW w:w="536" w:type="pct"/>
            <w:vAlign w:val="bottom"/>
          </w:tcPr>
          <w:p w14:paraId="4C8F543B"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319F2B88"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4255E0EA"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73A2490C"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33D93B9C"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2FD09907"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BB8E935" w14:textId="77777777" w:rsidTr="001B330E">
        <w:trPr>
          <w:trHeight w:val="23"/>
        </w:trPr>
        <w:tc>
          <w:tcPr>
            <w:tcW w:w="1785" w:type="pct"/>
          </w:tcPr>
          <w:p w14:paraId="31095BC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Financial guarantees</w:t>
            </w:r>
          </w:p>
        </w:tc>
        <w:tc>
          <w:tcPr>
            <w:tcW w:w="536" w:type="pct"/>
            <w:vAlign w:val="bottom"/>
          </w:tcPr>
          <w:p w14:paraId="4F12F6A0"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258C3257"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0E7401C2"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13743444"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6C05BE70"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3367AF32"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5A91FD0" w14:textId="77777777" w:rsidTr="001B330E">
        <w:trPr>
          <w:trHeight w:val="23"/>
        </w:trPr>
        <w:tc>
          <w:tcPr>
            <w:tcW w:w="1785" w:type="pct"/>
          </w:tcPr>
          <w:p w14:paraId="6FD75A2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Other financial liabilities</w:t>
            </w:r>
          </w:p>
        </w:tc>
        <w:tc>
          <w:tcPr>
            <w:tcW w:w="536" w:type="pct"/>
            <w:vAlign w:val="bottom"/>
          </w:tcPr>
          <w:p w14:paraId="33A9E049"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70E15D5"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12684088"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44806511"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0CB217D8"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274964B4"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31C5A8B" w14:textId="77777777" w:rsidTr="001B330E">
        <w:trPr>
          <w:trHeight w:val="23"/>
        </w:trPr>
        <w:tc>
          <w:tcPr>
            <w:tcW w:w="1785" w:type="pct"/>
            <w:tcBorders>
              <w:bottom w:val="single" w:sz="4" w:space="0" w:color="000000"/>
            </w:tcBorders>
          </w:tcPr>
          <w:p w14:paraId="043640EA"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36" w:type="pct"/>
            <w:tcBorders>
              <w:bottom w:val="single" w:sz="4" w:space="0" w:color="000000"/>
            </w:tcBorders>
            <w:vAlign w:val="bottom"/>
          </w:tcPr>
          <w:p w14:paraId="3064F606"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tcBorders>
              <w:bottom w:val="single" w:sz="4" w:space="0" w:color="000000"/>
            </w:tcBorders>
            <w:vAlign w:val="bottom"/>
          </w:tcPr>
          <w:p w14:paraId="2C3F13AE" w14:textId="77777777" w:rsidR="00D83E33" w:rsidRPr="00EA10CF" w:rsidRDefault="00D83E33" w:rsidP="001B330E">
            <w:pPr>
              <w:widowControl w:val="0"/>
              <w:pBdr>
                <w:top w:val="nil"/>
                <w:left w:val="nil"/>
                <w:bottom w:val="nil"/>
                <w:right w:val="nil"/>
                <w:between w:val="nil"/>
              </w:pBdr>
              <w:jc w:val="right"/>
              <w:rPr>
                <w:color w:val="000000"/>
              </w:rPr>
            </w:pPr>
          </w:p>
        </w:tc>
        <w:tc>
          <w:tcPr>
            <w:tcW w:w="553" w:type="pct"/>
            <w:tcBorders>
              <w:bottom w:val="single" w:sz="4" w:space="0" w:color="000000"/>
            </w:tcBorders>
            <w:vAlign w:val="bottom"/>
          </w:tcPr>
          <w:p w14:paraId="0AE2C957"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3952BAE4" w14:textId="77777777" w:rsidR="00D83E33" w:rsidRPr="00EA10CF" w:rsidRDefault="00D83E33" w:rsidP="001B330E">
            <w:pPr>
              <w:widowControl w:val="0"/>
              <w:pBdr>
                <w:top w:val="nil"/>
                <w:left w:val="nil"/>
                <w:bottom w:val="nil"/>
                <w:right w:val="nil"/>
                <w:between w:val="nil"/>
              </w:pBdr>
              <w:jc w:val="right"/>
              <w:rPr>
                <w:color w:val="000000"/>
              </w:rPr>
            </w:pPr>
          </w:p>
        </w:tc>
        <w:tc>
          <w:tcPr>
            <w:tcW w:w="451" w:type="pct"/>
            <w:tcBorders>
              <w:bottom w:val="single" w:sz="4" w:space="0" w:color="000000"/>
            </w:tcBorders>
            <w:vAlign w:val="bottom"/>
          </w:tcPr>
          <w:p w14:paraId="35D87DB8" w14:textId="77777777" w:rsidR="00D83E33" w:rsidRPr="00EA10CF" w:rsidRDefault="00D83E33" w:rsidP="001B330E">
            <w:pPr>
              <w:widowControl w:val="0"/>
              <w:pBdr>
                <w:top w:val="nil"/>
                <w:left w:val="nil"/>
                <w:bottom w:val="nil"/>
                <w:right w:val="nil"/>
                <w:between w:val="nil"/>
              </w:pBdr>
              <w:jc w:val="right"/>
              <w:rPr>
                <w:color w:val="000000"/>
              </w:rPr>
            </w:pPr>
          </w:p>
        </w:tc>
        <w:tc>
          <w:tcPr>
            <w:tcW w:w="534" w:type="pct"/>
            <w:tcBorders>
              <w:bottom w:val="single" w:sz="4" w:space="0" w:color="000000"/>
            </w:tcBorders>
            <w:vAlign w:val="bottom"/>
          </w:tcPr>
          <w:p w14:paraId="4D5BBAD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469376A" w14:textId="77777777" w:rsidTr="001B330E">
        <w:trPr>
          <w:trHeight w:val="23"/>
        </w:trPr>
        <w:tc>
          <w:tcPr>
            <w:tcW w:w="1785" w:type="pct"/>
            <w:tcBorders>
              <w:top w:val="single" w:sz="4" w:space="0" w:color="000000"/>
            </w:tcBorders>
          </w:tcPr>
          <w:p w14:paraId="01CA716C"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top w:val="single" w:sz="4" w:space="0" w:color="000000"/>
            </w:tcBorders>
            <w:vAlign w:val="bottom"/>
          </w:tcPr>
          <w:p w14:paraId="4E6DF76D"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top w:val="single" w:sz="4" w:space="0" w:color="000000"/>
            </w:tcBorders>
            <w:vAlign w:val="bottom"/>
          </w:tcPr>
          <w:p w14:paraId="6BB9FD78"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tcBorders>
              <w:top w:val="single" w:sz="4" w:space="0" w:color="000000"/>
            </w:tcBorders>
            <w:vAlign w:val="bottom"/>
          </w:tcPr>
          <w:p w14:paraId="593DD283"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top w:val="single" w:sz="4" w:space="0" w:color="000000"/>
            </w:tcBorders>
            <w:vAlign w:val="bottom"/>
          </w:tcPr>
          <w:p w14:paraId="33C1D76A"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tcBorders>
              <w:top w:val="single" w:sz="4" w:space="0" w:color="000000"/>
            </w:tcBorders>
            <w:vAlign w:val="bottom"/>
          </w:tcPr>
          <w:p w14:paraId="2E71BF99"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tcBorders>
              <w:top w:val="single" w:sz="4" w:space="0" w:color="000000"/>
            </w:tcBorders>
            <w:vAlign w:val="bottom"/>
          </w:tcPr>
          <w:p w14:paraId="5CD00C00"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A00E264" w14:textId="77777777" w:rsidTr="001B330E">
        <w:trPr>
          <w:trHeight w:val="23"/>
        </w:trPr>
        <w:tc>
          <w:tcPr>
            <w:tcW w:w="1785" w:type="pct"/>
          </w:tcPr>
          <w:p w14:paraId="437FA810"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potential future payments for financial obligations</w:t>
            </w:r>
          </w:p>
        </w:tc>
        <w:tc>
          <w:tcPr>
            <w:tcW w:w="536" w:type="pct"/>
            <w:vAlign w:val="bottom"/>
          </w:tcPr>
          <w:p w14:paraId="135F3D64"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47C2D50F"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18746EFA"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45D22E15"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2B3EBD7D"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20F8206E"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952D4B7" w14:textId="77777777" w:rsidTr="001B330E">
        <w:trPr>
          <w:trHeight w:val="23"/>
        </w:trPr>
        <w:tc>
          <w:tcPr>
            <w:tcW w:w="1785" w:type="pct"/>
            <w:tcBorders>
              <w:bottom w:val="single" w:sz="4" w:space="0" w:color="000000"/>
            </w:tcBorders>
          </w:tcPr>
          <w:p w14:paraId="3EFA0CA4"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36" w:type="pct"/>
            <w:tcBorders>
              <w:bottom w:val="single" w:sz="4" w:space="0" w:color="000000"/>
            </w:tcBorders>
            <w:vAlign w:val="bottom"/>
          </w:tcPr>
          <w:p w14:paraId="19C3C227"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tcBorders>
              <w:bottom w:val="single" w:sz="4" w:space="0" w:color="000000"/>
            </w:tcBorders>
            <w:vAlign w:val="bottom"/>
          </w:tcPr>
          <w:p w14:paraId="05FC0C17" w14:textId="77777777" w:rsidR="00D83E33" w:rsidRPr="00EA10CF" w:rsidRDefault="00D83E33" w:rsidP="001B330E">
            <w:pPr>
              <w:widowControl w:val="0"/>
              <w:pBdr>
                <w:top w:val="nil"/>
                <w:left w:val="nil"/>
                <w:bottom w:val="nil"/>
                <w:right w:val="nil"/>
                <w:between w:val="nil"/>
              </w:pBdr>
              <w:jc w:val="right"/>
              <w:rPr>
                <w:color w:val="000000"/>
              </w:rPr>
            </w:pPr>
          </w:p>
        </w:tc>
        <w:tc>
          <w:tcPr>
            <w:tcW w:w="553" w:type="pct"/>
            <w:tcBorders>
              <w:bottom w:val="single" w:sz="4" w:space="0" w:color="000000"/>
            </w:tcBorders>
            <w:vAlign w:val="bottom"/>
          </w:tcPr>
          <w:p w14:paraId="3168917E"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tcBorders>
              <w:bottom w:val="single" w:sz="4" w:space="0" w:color="000000"/>
            </w:tcBorders>
            <w:vAlign w:val="bottom"/>
          </w:tcPr>
          <w:p w14:paraId="13A25F06" w14:textId="77777777" w:rsidR="00D83E33" w:rsidRPr="00EA10CF" w:rsidRDefault="00D83E33" w:rsidP="001B330E">
            <w:pPr>
              <w:widowControl w:val="0"/>
              <w:pBdr>
                <w:top w:val="nil"/>
                <w:left w:val="nil"/>
                <w:bottom w:val="nil"/>
                <w:right w:val="nil"/>
                <w:between w:val="nil"/>
              </w:pBdr>
              <w:jc w:val="right"/>
              <w:rPr>
                <w:color w:val="000000"/>
              </w:rPr>
            </w:pPr>
          </w:p>
        </w:tc>
        <w:tc>
          <w:tcPr>
            <w:tcW w:w="451" w:type="pct"/>
            <w:tcBorders>
              <w:bottom w:val="single" w:sz="4" w:space="0" w:color="000000"/>
            </w:tcBorders>
            <w:vAlign w:val="bottom"/>
          </w:tcPr>
          <w:p w14:paraId="57243142" w14:textId="77777777" w:rsidR="00D83E33" w:rsidRPr="00EA10CF" w:rsidRDefault="00D83E33" w:rsidP="001B330E">
            <w:pPr>
              <w:widowControl w:val="0"/>
              <w:pBdr>
                <w:top w:val="nil"/>
                <w:left w:val="nil"/>
                <w:bottom w:val="nil"/>
                <w:right w:val="nil"/>
                <w:between w:val="nil"/>
              </w:pBdr>
              <w:jc w:val="right"/>
              <w:rPr>
                <w:color w:val="000000"/>
              </w:rPr>
            </w:pPr>
          </w:p>
        </w:tc>
        <w:tc>
          <w:tcPr>
            <w:tcW w:w="534" w:type="pct"/>
            <w:tcBorders>
              <w:bottom w:val="single" w:sz="4" w:space="0" w:color="000000"/>
            </w:tcBorders>
            <w:vAlign w:val="bottom"/>
          </w:tcPr>
          <w:p w14:paraId="2282A72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BB694A0" w14:textId="77777777" w:rsidTr="001B330E">
        <w:trPr>
          <w:trHeight w:val="23"/>
        </w:trPr>
        <w:tc>
          <w:tcPr>
            <w:tcW w:w="1785" w:type="pct"/>
          </w:tcPr>
          <w:p w14:paraId="49B732A4"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vAlign w:val="bottom"/>
          </w:tcPr>
          <w:p w14:paraId="141EA65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76DFBBCE"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0034BF22"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0295210B"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2E21647C"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5218C7D2"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D38B5A9" w14:textId="77777777" w:rsidTr="001B330E">
        <w:trPr>
          <w:trHeight w:val="23"/>
        </w:trPr>
        <w:tc>
          <w:tcPr>
            <w:tcW w:w="1785" w:type="pct"/>
          </w:tcPr>
          <w:p w14:paraId="46708B4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Liquidity gap arising from financial instruments</w:t>
            </w:r>
          </w:p>
        </w:tc>
        <w:tc>
          <w:tcPr>
            <w:tcW w:w="536" w:type="pct"/>
            <w:vAlign w:val="bottom"/>
          </w:tcPr>
          <w:p w14:paraId="669CE642"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2C3A5149"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vAlign w:val="bottom"/>
          </w:tcPr>
          <w:p w14:paraId="544D3928"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319692FE"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vAlign w:val="bottom"/>
          </w:tcPr>
          <w:p w14:paraId="7891DD7B"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vAlign w:val="bottom"/>
          </w:tcPr>
          <w:p w14:paraId="0EEAB544"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8DFD1BF" w14:textId="77777777" w:rsidTr="001B330E">
        <w:trPr>
          <w:trHeight w:val="23"/>
        </w:trPr>
        <w:tc>
          <w:tcPr>
            <w:tcW w:w="1785" w:type="pct"/>
            <w:tcBorders>
              <w:bottom w:val="single" w:sz="12" w:space="0" w:color="000000"/>
            </w:tcBorders>
          </w:tcPr>
          <w:p w14:paraId="639E0AEE"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bottom w:val="single" w:sz="12" w:space="0" w:color="000000"/>
            </w:tcBorders>
            <w:vAlign w:val="bottom"/>
          </w:tcPr>
          <w:p w14:paraId="411633F0"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12" w:space="0" w:color="000000"/>
            </w:tcBorders>
            <w:vAlign w:val="bottom"/>
          </w:tcPr>
          <w:p w14:paraId="0BD3521C" w14:textId="77777777" w:rsidR="00D83E33" w:rsidRPr="00EA10CF" w:rsidRDefault="00D83E33" w:rsidP="001B330E">
            <w:pPr>
              <w:widowControl w:val="0"/>
              <w:pBdr>
                <w:top w:val="nil"/>
                <w:left w:val="nil"/>
                <w:bottom w:val="nil"/>
                <w:right w:val="nil"/>
                <w:between w:val="nil"/>
              </w:pBdr>
              <w:jc w:val="right"/>
              <w:rPr>
                <w:b/>
                <w:color w:val="000000"/>
              </w:rPr>
            </w:pPr>
          </w:p>
        </w:tc>
        <w:tc>
          <w:tcPr>
            <w:tcW w:w="553" w:type="pct"/>
            <w:tcBorders>
              <w:bottom w:val="single" w:sz="12" w:space="0" w:color="000000"/>
            </w:tcBorders>
            <w:vAlign w:val="bottom"/>
          </w:tcPr>
          <w:p w14:paraId="4501C06E"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bottom w:val="single" w:sz="12" w:space="0" w:color="000000"/>
            </w:tcBorders>
            <w:vAlign w:val="bottom"/>
          </w:tcPr>
          <w:p w14:paraId="6F402801" w14:textId="77777777" w:rsidR="00D83E33" w:rsidRPr="00EA10CF" w:rsidRDefault="00D83E33" w:rsidP="001B330E">
            <w:pPr>
              <w:widowControl w:val="0"/>
              <w:pBdr>
                <w:top w:val="nil"/>
                <w:left w:val="nil"/>
                <w:bottom w:val="nil"/>
                <w:right w:val="nil"/>
                <w:between w:val="nil"/>
              </w:pBdr>
              <w:jc w:val="right"/>
              <w:rPr>
                <w:b/>
                <w:color w:val="000000"/>
              </w:rPr>
            </w:pPr>
          </w:p>
        </w:tc>
        <w:tc>
          <w:tcPr>
            <w:tcW w:w="451" w:type="pct"/>
            <w:tcBorders>
              <w:bottom w:val="single" w:sz="12" w:space="0" w:color="000000"/>
            </w:tcBorders>
            <w:vAlign w:val="bottom"/>
          </w:tcPr>
          <w:p w14:paraId="0B4BABB9" w14:textId="77777777" w:rsidR="00D83E33" w:rsidRPr="00EA10CF" w:rsidRDefault="00D83E33" w:rsidP="001B330E">
            <w:pPr>
              <w:widowControl w:val="0"/>
              <w:pBdr>
                <w:top w:val="nil"/>
                <w:left w:val="nil"/>
                <w:bottom w:val="nil"/>
                <w:right w:val="nil"/>
                <w:between w:val="nil"/>
              </w:pBdr>
              <w:jc w:val="right"/>
              <w:rPr>
                <w:b/>
                <w:color w:val="000000"/>
              </w:rPr>
            </w:pPr>
          </w:p>
        </w:tc>
        <w:tc>
          <w:tcPr>
            <w:tcW w:w="534" w:type="pct"/>
            <w:tcBorders>
              <w:bottom w:val="single" w:sz="12" w:space="0" w:color="000000"/>
            </w:tcBorders>
            <w:vAlign w:val="bottom"/>
          </w:tcPr>
          <w:p w14:paraId="71078756" w14:textId="77777777" w:rsidR="00D83E33" w:rsidRPr="00EA10CF" w:rsidRDefault="00D83E33" w:rsidP="001B330E">
            <w:pPr>
              <w:widowControl w:val="0"/>
              <w:pBdr>
                <w:top w:val="nil"/>
                <w:left w:val="nil"/>
                <w:bottom w:val="nil"/>
                <w:right w:val="nil"/>
                <w:between w:val="nil"/>
              </w:pBdr>
              <w:jc w:val="right"/>
              <w:rPr>
                <w:b/>
                <w:color w:val="000000"/>
              </w:rPr>
            </w:pPr>
          </w:p>
        </w:tc>
      </w:tr>
    </w:tbl>
    <w:p w14:paraId="4D7E6E9E" w14:textId="667C0874"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 xml:space="preserve">Payments in respect of gross settled forwards will be accompanied by related cash inflows. Customer accounts are classified in the above analysis based on contractual maturities. However, individuals have a right to withdraw their deposits prior to maturity </w:t>
      </w:r>
      <w:r w:rsidR="00A23BFF">
        <w:rPr>
          <w:color w:val="000000"/>
          <w:sz w:val="20"/>
          <w:szCs w:val="20"/>
        </w:rPr>
        <w:t xml:space="preserve">in certain territories </w:t>
      </w:r>
      <w:r>
        <w:rPr>
          <w:color w:val="000000"/>
          <w:sz w:val="20"/>
          <w:szCs w:val="20"/>
        </w:rPr>
        <w:t>if they forfeit their right to accrued interest.</w:t>
      </w:r>
    </w:p>
    <w:p w14:paraId="06668243" w14:textId="513B8298" w:rsidR="00D83E33" w:rsidRDefault="00BC4072" w:rsidP="001B330E">
      <w:pPr>
        <w:pStyle w:val="Continued"/>
      </w:pPr>
      <w:r>
        <w:lastRenderedPageBreak/>
        <w:t>41</w:t>
      </w:r>
      <w:r>
        <w:tab/>
        <w:t>Financial Risk Management (Continued)</w:t>
      </w:r>
    </w:p>
    <w:p w14:paraId="259FF62B" w14:textId="77777777"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Group does not use the above maturity analysis based on undiscounted contractual maturities of liabilities to manage liquidity. Instead, the Group monitors expected maturities and the resulting expected liquidity gap as follows:</w:t>
      </w:r>
    </w:p>
    <w:tbl>
      <w:tblPr>
        <w:tblStyle w:val="affffffffffffff9"/>
        <w:tblW w:w="5000" w:type="pct"/>
        <w:tblLayout w:type="fixed"/>
        <w:tblCellMar>
          <w:left w:w="113" w:type="dxa"/>
          <w:right w:w="113" w:type="dxa"/>
        </w:tblCellMar>
        <w:tblLook w:val="0000" w:firstRow="0" w:lastRow="0" w:firstColumn="0" w:lastColumn="0" w:noHBand="0" w:noVBand="0"/>
      </w:tblPr>
      <w:tblGrid>
        <w:gridCol w:w="3340"/>
        <w:gridCol w:w="1003"/>
        <w:gridCol w:w="1003"/>
        <w:gridCol w:w="1177"/>
        <w:gridCol w:w="1134"/>
        <w:gridCol w:w="849"/>
        <w:gridCol w:w="849"/>
      </w:tblGrid>
      <w:tr w:rsidR="00D83E33" w:rsidRPr="00EA10CF" w14:paraId="7CAFC5EB" w14:textId="77777777" w:rsidTr="001B330E">
        <w:trPr>
          <w:trHeight w:val="23"/>
        </w:trPr>
        <w:tc>
          <w:tcPr>
            <w:tcW w:w="1785" w:type="pct"/>
            <w:tcBorders>
              <w:bottom w:val="single" w:sz="4" w:space="0" w:color="000000"/>
            </w:tcBorders>
            <w:vAlign w:val="bottom"/>
          </w:tcPr>
          <w:p w14:paraId="04B3A172" w14:textId="3F5D35D0"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36" w:type="pct"/>
            <w:tcBorders>
              <w:bottom w:val="single" w:sz="4" w:space="0" w:color="000000"/>
            </w:tcBorders>
          </w:tcPr>
          <w:p w14:paraId="7A455360"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Demand and less than 1 month</w:t>
            </w:r>
          </w:p>
        </w:tc>
        <w:tc>
          <w:tcPr>
            <w:tcW w:w="536" w:type="pct"/>
            <w:tcBorders>
              <w:bottom w:val="single" w:sz="4" w:space="0" w:color="000000"/>
            </w:tcBorders>
          </w:tcPr>
          <w:p w14:paraId="509C7638"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From 1 to 6 months</w:t>
            </w:r>
          </w:p>
        </w:tc>
        <w:tc>
          <w:tcPr>
            <w:tcW w:w="629" w:type="pct"/>
            <w:tcBorders>
              <w:bottom w:val="single" w:sz="4" w:space="0" w:color="000000"/>
            </w:tcBorders>
          </w:tcPr>
          <w:p w14:paraId="1D70355C"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From 6 to 12 months</w:t>
            </w:r>
          </w:p>
        </w:tc>
        <w:tc>
          <w:tcPr>
            <w:tcW w:w="606" w:type="pct"/>
            <w:tcBorders>
              <w:bottom w:val="single" w:sz="4" w:space="0" w:color="000000"/>
            </w:tcBorders>
          </w:tcPr>
          <w:p w14:paraId="74BBDD4A"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From 12 months to 5 years</w:t>
            </w:r>
          </w:p>
        </w:tc>
        <w:tc>
          <w:tcPr>
            <w:tcW w:w="454" w:type="pct"/>
            <w:tcBorders>
              <w:bottom w:val="single" w:sz="4" w:space="0" w:color="000000"/>
            </w:tcBorders>
          </w:tcPr>
          <w:p w14:paraId="66255C09"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Over 5 years</w:t>
            </w:r>
          </w:p>
        </w:tc>
        <w:tc>
          <w:tcPr>
            <w:tcW w:w="454" w:type="pct"/>
            <w:tcBorders>
              <w:bottom w:val="single" w:sz="4" w:space="0" w:color="000000"/>
            </w:tcBorders>
          </w:tcPr>
          <w:p w14:paraId="4248C4B9" w14:textId="77777777"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Total</w:t>
            </w:r>
          </w:p>
        </w:tc>
      </w:tr>
      <w:tr w:rsidR="00D83E33" w:rsidRPr="00EA10CF" w14:paraId="25BE9F24" w14:textId="77777777" w:rsidTr="001B330E">
        <w:trPr>
          <w:trHeight w:val="23"/>
        </w:trPr>
        <w:tc>
          <w:tcPr>
            <w:tcW w:w="1785" w:type="pct"/>
          </w:tcPr>
          <w:p w14:paraId="7E48CAF8" w14:textId="77777777" w:rsidR="00D83E33" w:rsidRPr="00EA10CF" w:rsidRDefault="00D83E33" w:rsidP="001B330E">
            <w:pPr>
              <w:widowControl w:val="0"/>
              <w:ind w:left="113" w:hanging="113"/>
              <w:rPr>
                <w:b/>
              </w:rPr>
            </w:pPr>
          </w:p>
        </w:tc>
        <w:tc>
          <w:tcPr>
            <w:tcW w:w="536" w:type="pct"/>
            <w:vAlign w:val="bottom"/>
          </w:tcPr>
          <w:p w14:paraId="499F7D03" w14:textId="77777777" w:rsidR="00D83E33" w:rsidRPr="00EA10CF" w:rsidRDefault="00D83E33" w:rsidP="001B330E">
            <w:pPr>
              <w:widowControl w:val="0"/>
              <w:pBdr>
                <w:top w:val="nil"/>
                <w:left w:val="nil"/>
                <w:bottom w:val="nil"/>
                <w:right w:val="nil"/>
                <w:between w:val="nil"/>
              </w:pBdr>
              <w:jc w:val="right"/>
              <w:rPr>
                <w:color w:val="000000"/>
              </w:rPr>
            </w:pPr>
          </w:p>
        </w:tc>
        <w:tc>
          <w:tcPr>
            <w:tcW w:w="536" w:type="pct"/>
            <w:vAlign w:val="bottom"/>
          </w:tcPr>
          <w:p w14:paraId="068BABBE" w14:textId="77777777" w:rsidR="00D83E33" w:rsidRPr="00EA10CF" w:rsidRDefault="00D83E33" w:rsidP="001B330E">
            <w:pPr>
              <w:widowControl w:val="0"/>
              <w:pBdr>
                <w:top w:val="nil"/>
                <w:left w:val="nil"/>
                <w:bottom w:val="nil"/>
                <w:right w:val="nil"/>
                <w:between w:val="nil"/>
              </w:pBdr>
              <w:jc w:val="right"/>
              <w:rPr>
                <w:color w:val="000000"/>
              </w:rPr>
            </w:pPr>
          </w:p>
        </w:tc>
        <w:tc>
          <w:tcPr>
            <w:tcW w:w="629" w:type="pct"/>
            <w:vAlign w:val="bottom"/>
          </w:tcPr>
          <w:p w14:paraId="37484EB9" w14:textId="77777777" w:rsidR="00D83E33" w:rsidRPr="00EA10CF" w:rsidRDefault="00D83E33" w:rsidP="001B330E">
            <w:pPr>
              <w:widowControl w:val="0"/>
              <w:pBdr>
                <w:top w:val="nil"/>
                <w:left w:val="nil"/>
                <w:bottom w:val="nil"/>
                <w:right w:val="nil"/>
                <w:between w:val="nil"/>
              </w:pBdr>
              <w:jc w:val="right"/>
              <w:rPr>
                <w:color w:val="000000"/>
              </w:rPr>
            </w:pPr>
          </w:p>
        </w:tc>
        <w:tc>
          <w:tcPr>
            <w:tcW w:w="606" w:type="pct"/>
            <w:vAlign w:val="bottom"/>
          </w:tcPr>
          <w:p w14:paraId="6C00D99C" w14:textId="77777777" w:rsidR="00D83E33" w:rsidRPr="00EA10CF" w:rsidRDefault="00D83E33" w:rsidP="001B330E">
            <w:pPr>
              <w:widowControl w:val="0"/>
              <w:pBdr>
                <w:top w:val="nil"/>
                <w:left w:val="nil"/>
                <w:bottom w:val="nil"/>
                <w:right w:val="nil"/>
                <w:between w:val="nil"/>
              </w:pBdr>
              <w:jc w:val="right"/>
              <w:rPr>
                <w:color w:val="000000"/>
              </w:rPr>
            </w:pPr>
          </w:p>
        </w:tc>
        <w:tc>
          <w:tcPr>
            <w:tcW w:w="454" w:type="pct"/>
            <w:vAlign w:val="bottom"/>
          </w:tcPr>
          <w:p w14:paraId="77A91DAB" w14:textId="77777777" w:rsidR="00D83E33" w:rsidRPr="00EA10CF" w:rsidRDefault="00D83E33" w:rsidP="001B330E">
            <w:pPr>
              <w:widowControl w:val="0"/>
              <w:pBdr>
                <w:top w:val="nil"/>
                <w:left w:val="nil"/>
                <w:bottom w:val="nil"/>
                <w:right w:val="nil"/>
                <w:between w:val="nil"/>
              </w:pBdr>
              <w:jc w:val="right"/>
              <w:rPr>
                <w:color w:val="000000"/>
              </w:rPr>
            </w:pPr>
          </w:p>
        </w:tc>
        <w:tc>
          <w:tcPr>
            <w:tcW w:w="454" w:type="pct"/>
            <w:vAlign w:val="bottom"/>
          </w:tcPr>
          <w:p w14:paraId="2DE42DD2"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EC19C86" w14:textId="77777777" w:rsidTr="001B330E">
        <w:trPr>
          <w:trHeight w:val="23"/>
        </w:trPr>
        <w:tc>
          <w:tcPr>
            <w:tcW w:w="1785" w:type="pct"/>
          </w:tcPr>
          <w:p w14:paraId="1CEBF75B" w14:textId="1055141F"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At 31</w:t>
            </w:r>
            <w:r w:rsidR="00181687">
              <w:rPr>
                <w:b/>
                <w:color w:val="000000"/>
              </w:rPr>
              <w:t> December </w:t>
            </w:r>
            <w:r w:rsidR="00541EBC">
              <w:rPr>
                <w:b/>
                <w:color w:val="000000"/>
              </w:rPr>
              <w:t>2024</w:t>
            </w:r>
          </w:p>
        </w:tc>
        <w:tc>
          <w:tcPr>
            <w:tcW w:w="536" w:type="pct"/>
            <w:vAlign w:val="bottom"/>
          </w:tcPr>
          <w:p w14:paraId="237D1848"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1193ACE"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vAlign w:val="bottom"/>
          </w:tcPr>
          <w:p w14:paraId="0FF1B09A"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4610CD86"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0DA975C2"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3917526B"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EE21134" w14:textId="77777777" w:rsidTr="001B330E">
        <w:trPr>
          <w:trHeight w:val="23"/>
        </w:trPr>
        <w:tc>
          <w:tcPr>
            <w:tcW w:w="1785" w:type="pct"/>
          </w:tcPr>
          <w:p w14:paraId="749EAFB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Financial assets </w:t>
            </w:r>
          </w:p>
        </w:tc>
        <w:tc>
          <w:tcPr>
            <w:tcW w:w="536" w:type="pct"/>
            <w:vAlign w:val="bottom"/>
          </w:tcPr>
          <w:p w14:paraId="06C82D6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48821F6F"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vAlign w:val="bottom"/>
          </w:tcPr>
          <w:p w14:paraId="42FCB174"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73307798"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2568F4DC"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46867277"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19FDF046" w14:textId="77777777" w:rsidTr="001B330E">
        <w:trPr>
          <w:trHeight w:val="23"/>
        </w:trPr>
        <w:tc>
          <w:tcPr>
            <w:tcW w:w="1785" w:type="pct"/>
          </w:tcPr>
          <w:p w14:paraId="31BAC6C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Financial liabilities</w:t>
            </w:r>
          </w:p>
        </w:tc>
        <w:tc>
          <w:tcPr>
            <w:tcW w:w="536" w:type="pct"/>
            <w:vAlign w:val="bottom"/>
          </w:tcPr>
          <w:p w14:paraId="6569177C"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0BB6E3AA"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vAlign w:val="bottom"/>
          </w:tcPr>
          <w:p w14:paraId="0248AEA7"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3960F17E"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571D4AC9"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19CAF3F6"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D326583" w14:textId="77777777" w:rsidTr="001B330E">
        <w:trPr>
          <w:trHeight w:val="23"/>
        </w:trPr>
        <w:tc>
          <w:tcPr>
            <w:tcW w:w="1785" w:type="pct"/>
            <w:tcBorders>
              <w:bottom w:val="single" w:sz="4" w:space="0" w:color="000000"/>
            </w:tcBorders>
          </w:tcPr>
          <w:p w14:paraId="3DF760FB"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36" w:type="pct"/>
            <w:tcBorders>
              <w:bottom w:val="single" w:sz="4" w:space="0" w:color="000000"/>
            </w:tcBorders>
            <w:vAlign w:val="bottom"/>
          </w:tcPr>
          <w:p w14:paraId="565055D3"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4" w:space="0" w:color="000000"/>
            </w:tcBorders>
            <w:vAlign w:val="bottom"/>
          </w:tcPr>
          <w:p w14:paraId="62F954EB"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tcBorders>
              <w:bottom w:val="single" w:sz="4" w:space="0" w:color="000000"/>
            </w:tcBorders>
            <w:vAlign w:val="bottom"/>
          </w:tcPr>
          <w:p w14:paraId="123BB056"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bottom w:val="single" w:sz="4" w:space="0" w:color="000000"/>
            </w:tcBorders>
            <w:vAlign w:val="bottom"/>
          </w:tcPr>
          <w:p w14:paraId="16E89B7A"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bottom w:val="single" w:sz="4" w:space="0" w:color="000000"/>
            </w:tcBorders>
            <w:vAlign w:val="bottom"/>
          </w:tcPr>
          <w:p w14:paraId="74A14EB0"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bottom w:val="single" w:sz="4" w:space="0" w:color="000000"/>
            </w:tcBorders>
            <w:vAlign w:val="bottom"/>
          </w:tcPr>
          <w:p w14:paraId="6B54BF0E"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242E0CD" w14:textId="77777777" w:rsidTr="001B330E">
        <w:trPr>
          <w:trHeight w:val="23"/>
        </w:trPr>
        <w:tc>
          <w:tcPr>
            <w:tcW w:w="1785" w:type="pct"/>
            <w:tcBorders>
              <w:top w:val="single" w:sz="4" w:space="0" w:color="000000"/>
            </w:tcBorders>
          </w:tcPr>
          <w:p w14:paraId="016D1BF3" w14:textId="77777777" w:rsidR="00D83E33" w:rsidRPr="00EA10CF" w:rsidRDefault="00D83E33" w:rsidP="001B330E">
            <w:pPr>
              <w:widowControl w:val="0"/>
              <w:ind w:left="113" w:hanging="113"/>
            </w:pPr>
          </w:p>
        </w:tc>
        <w:tc>
          <w:tcPr>
            <w:tcW w:w="536" w:type="pct"/>
            <w:tcBorders>
              <w:top w:val="single" w:sz="4" w:space="0" w:color="000000"/>
            </w:tcBorders>
            <w:vAlign w:val="bottom"/>
          </w:tcPr>
          <w:p w14:paraId="51D5E61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top w:val="single" w:sz="4" w:space="0" w:color="000000"/>
            </w:tcBorders>
            <w:vAlign w:val="bottom"/>
          </w:tcPr>
          <w:p w14:paraId="15E8A54D"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tcBorders>
              <w:top w:val="single" w:sz="4" w:space="0" w:color="000000"/>
            </w:tcBorders>
            <w:vAlign w:val="bottom"/>
          </w:tcPr>
          <w:p w14:paraId="191A289B"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top w:val="single" w:sz="4" w:space="0" w:color="000000"/>
            </w:tcBorders>
            <w:vAlign w:val="bottom"/>
          </w:tcPr>
          <w:p w14:paraId="1B948D8A"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top w:val="single" w:sz="4" w:space="0" w:color="000000"/>
            </w:tcBorders>
            <w:vAlign w:val="bottom"/>
          </w:tcPr>
          <w:p w14:paraId="2D06A8B2"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top w:val="single" w:sz="4" w:space="0" w:color="000000"/>
            </w:tcBorders>
            <w:vAlign w:val="bottom"/>
          </w:tcPr>
          <w:p w14:paraId="73828C07"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994930D" w14:textId="77777777" w:rsidTr="001B330E">
        <w:trPr>
          <w:trHeight w:val="23"/>
        </w:trPr>
        <w:tc>
          <w:tcPr>
            <w:tcW w:w="1785" w:type="pct"/>
          </w:tcPr>
          <w:p w14:paraId="0AB706D8"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Net liquidity gap based on expected maturities</w:t>
            </w:r>
          </w:p>
        </w:tc>
        <w:tc>
          <w:tcPr>
            <w:tcW w:w="536" w:type="pct"/>
            <w:vAlign w:val="bottom"/>
          </w:tcPr>
          <w:p w14:paraId="2A8E5560"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316E139A"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vAlign w:val="bottom"/>
          </w:tcPr>
          <w:p w14:paraId="66F2B89C"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08A12552"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29217CCD"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04BD9F4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04866B2" w14:textId="77777777" w:rsidTr="001B330E">
        <w:trPr>
          <w:trHeight w:val="23"/>
        </w:trPr>
        <w:tc>
          <w:tcPr>
            <w:tcW w:w="1785" w:type="pct"/>
            <w:tcBorders>
              <w:bottom w:val="single" w:sz="12" w:space="0" w:color="000000"/>
            </w:tcBorders>
          </w:tcPr>
          <w:p w14:paraId="53DA4A44" w14:textId="77777777" w:rsidR="00D83E33" w:rsidRPr="00EA10CF" w:rsidRDefault="00D83E33" w:rsidP="001B330E">
            <w:pPr>
              <w:widowControl w:val="0"/>
              <w:ind w:left="113" w:hanging="113"/>
            </w:pPr>
          </w:p>
        </w:tc>
        <w:tc>
          <w:tcPr>
            <w:tcW w:w="536" w:type="pct"/>
            <w:tcBorders>
              <w:bottom w:val="single" w:sz="12" w:space="0" w:color="000000"/>
            </w:tcBorders>
            <w:vAlign w:val="bottom"/>
          </w:tcPr>
          <w:p w14:paraId="785FE5F2"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12" w:space="0" w:color="000000"/>
            </w:tcBorders>
            <w:vAlign w:val="bottom"/>
          </w:tcPr>
          <w:p w14:paraId="12056D8D"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tcBorders>
              <w:bottom w:val="single" w:sz="12" w:space="0" w:color="000000"/>
            </w:tcBorders>
            <w:vAlign w:val="bottom"/>
          </w:tcPr>
          <w:p w14:paraId="75487EC7"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bottom w:val="single" w:sz="12" w:space="0" w:color="000000"/>
            </w:tcBorders>
            <w:vAlign w:val="bottom"/>
          </w:tcPr>
          <w:p w14:paraId="7934A036"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bottom w:val="single" w:sz="12" w:space="0" w:color="000000"/>
            </w:tcBorders>
            <w:vAlign w:val="bottom"/>
          </w:tcPr>
          <w:p w14:paraId="72F324A3"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bottom w:val="single" w:sz="12" w:space="0" w:color="000000"/>
            </w:tcBorders>
            <w:vAlign w:val="bottom"/>
          </w:tcPr>
          <w:p w14:paraId="74D16624"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700E3AA" w14:textId="77777777" w:rsidTr="001B330E">
        <w:trPr>
          <w:trHeight w:val="23"/>
        </w:trPr>
        <w:tc>
          <w:tcPr>
            <w:tcW w:w="1785" w:type="pct"/>
          </w:tcPr>
          <w:p w14:paraId="149878A2" w14:textId="77777777" w:rsidR="00D83E33" w:rsidRPr="00EA10CF" w:rsidRDefault="00D83E33" w:rsidP="001B330E">
            <w:pPr>
              <w:widowControl w:val="0"/>
              <w:ind w:left="113" w:hanging="113"/>
            </w:pPr>
          </w:p>
        </w:tc>
        <w:tc>
          <w:tcPr>
            <w:tcW w:w="536" w:type="pct"/>
            <w:vAlign w:val="bottom"/>
          </w:tcPr>
          <w:p w14:paraId="38589AA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3A3183D5"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vAlign w:val="bottom"/>
          </w:tcPr>
          <w:p w14:paraId="189B5EB1"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1B8C7DC0"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77C0F33B"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40401F63"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B7EA19D" w14:textId="77777777" w:rsidTr="001B330E">
        <w:trPr>
          <w:trHeight w:val="23"/>
        </w:trPr>
        <w:tc>
          <w:tcPr>
            <w:tcW w:w="1785" w:type="pct"/>
          </w:tcPr>
          <w:p w14:paraId="782AF4A1" w14:textId="2AF1B64A" w:rsidR="00D83E33" w:rsidRPr="00EA10CF" w:rsidRDefault="00BC4072" w:rsidP="001B330E">
            <w:pPr>
              <w:widowControl w:val="0"/>
              <w:ind w:left="113" w:hanging="113"/>
              <w:rPr>
                <w:b/>
              </w:rPr>
            </w:pPr>
            <w:r w:rsidRPr="00EA10CF">
              <w:rPr>
                <w:b/>
              </w:rPr>
              <w:t>At 31</w:t>
            </w:r>
            <w:r w:rsidR="00181687">
              <w:rPr>
                <w:b/>
              </w:rPr>
              <w:t> December </w:t>
            </w:r>
            <w:r w:rsidR="00541EBC">
              <w:rPr>
                <w:b/>
              </w:rPr>
              <w:t>2023</w:t>
            </w:r>
          </w:p>
        </w:tc>
        <w:tc>
          <w:tcPr>
            <w:tcW w:w="536" w:type="pct"/>
            <w:vAlign w:val="bottom"/>
          </w:tcPr>
          <w:p w14:paraId="22F7B8B4"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475A0BE"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vAlign w:val="bottom"/>
          </w:tcPr>
          <w:p w14:paraId="7FA45A35"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5F25A481"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4224CF71"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1936EF14"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010E0EC" w14:textId="77777777" w:rsidTr="001B330E">
        <w:trPr>
          <w:trHeight w:val="23"/>
        </w:trPr>
        <w:tc>
          <w:tcPr>
            <w:tcW w:w="1785" w:type="pct"/>
          </w:tcPr>
          <w:p w14:paraId="740AEB95" w14:textId="77777777" w:rsidR="00D83E33" w:rsidRPr="00EA10CF" w:rsidRDefault="00BC4072" w:rsidP="001B330E">
            <w:pPr>
              <w:widowControl w:val="0"/>
              <w:ind w:left="113" w:hanging="113"/>
            </w:pPr>
            <w:r w:rsidRPr="00EA10CF">
              <w:t>Financial assets</w:t>
            </w:r>
          </w:p>
        </w:tc>
        <w:tc>
          <w:tcPr>
            <w:tcW w:w="536" w:type="pct"/>
            <w:vAlign w:val="bottom"/>
          </w:tcPr>
          <w:p w14:paraId="61FCB487"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36A6938F"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vAlign w:val="bottom"/>
          </w:tcPr>
          <w:p w14:paraId="2F7799BC"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1A519166"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4643B033"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2DCB6C92"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4FE9D51" w14:textId="77777777" w:rsidTr="001B330E">
        <w:trPr>
          <w:trHeight w:val="23"/>
        </w:trPr>
        <w:tc>
          <w:tcPr>
            <w:tcW w:w="1785" w:type="pct"/>
          </w:tcPr>
          <w:p w14:paraId="5291AD4D" w14:textId="77777777" w:rsidR="00D83E33" w:rsidRPr="00EA10CF" w:rsidRDefault="00BC4072" w:rsidP="001B330E">
            <w:pPr>
              <w:widowControl w:val="0"/>
              <w:ind w:left="113" w:hanging="113"/>
            </w:pPr>
            <w:r w:rsidRPr="00EA10CF">
              <w:t>Financial liabilities</w:t>
            </w:r>
          </w:p>
        </w:tc>
        <w:tc>
          <w:tcPr>
            <w:tcW w:w="536" w:type="pct"/>
            <w:vAlign w:val="bottom"/>
          </w:tcPr>
          <w:p w14:paraId="39B24EA5"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087FEA75"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vAlign w:val="bottom"/>
          </w:tcPr>
          <w:p w14:paraId="2E524E2A"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268D7BEC"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1CD7DE55"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2079354D"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21D5DB1C" w14:textId="77777777" w:rsidTr="001B330E">
        <w:trPr>
          <w:trHeight w:val="23"/>
        </w:trPr>
        <w:tc>
          <w:tcPr>
            <w:tcW w:w="1785" w:type="pct"/>
            <w:tcBorders>
              <w:bottom w:val="single" w:sz="4" w:space="0" w:color="000000"/>
            </w:tcBorders>
          </w:tcPr>
          <w:p w14:paraId="16E61E2B" w14:textId="77777777" w:rsidR="00D83E33" w:rsidRPr="00EA10CF" w:rsidRDefault="00D83E33" w:rsidP="001B330E">
            <w:pPr>
              <w:widowControl w:val="0"/>
              <w:ind w:left="113" w:hanging="113"/>
            </w:pPr>
          </w:p>
        </w:tc>
        <w:tc>
          <w:tcPr>
            <w:tcW w:w="536" w:type="pct"/>
            <w:tcBorders>
              <w:bottom w:val="single" w:sz="4" w:space="0" w:color="000000"/>
            </w:tcBorders>
            <w:vAlign w:val="bottom"/>
          </w:tcPr>
          <w:p w14:paraId="1520271F"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4" w:space="0" w:color="000000"/>
            </w:tcBorders>
            <w:vAlign w:val="bottom"/>
          </w:tcPr>
          <w:p w14:paraId="0D899F64"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tcBorders>
              <w:bottom w:val="single" w:sz="4" w:space="0" w:color="000000"/>
            </w:tcBorders>
            <w:vAlign w:val="bottom"/>
          </w:tcPr>
          <w:p w14:paraId="73B46B9C"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bottom w:val="single" w:sz="4" w:space="0" w:color="000000"/>
            </w:tcBorders>
            <w:vAlign w:val="bottom"/>
          </w:tcPr>
          <w:p w14:paraId="6B9126EC"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bottom w:val="single" w:sz="4" w:space="0" w:color="000000"/>
            </w:tcBorders>
            <w:vAlign w:val="bottom"/>
          </w:tcPr>
          <w:p w14:paraId="3A8F1143"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bottom w:val="single" w:sz="4" w:space="0" w:color="000000"/>
            </w:tcBorders>
            <w:vAlign w:val="bottom"/>
          </w:tcPr>
          <w:p w14:paraId="1D9615F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F052691" w14:textId="77777777" w:rsidTr="001B330E">
        <w:trPr>
          <w:trHeight w:val="23"/>
        </w:trPr>
        <w:tc>
          <w:tcPr>
            <w:tcW w:w="1785" w:type="pct"/>
            <w:tcBorders>
              <w:top w:val="single" w:sz="4" w:space="0" w:color="000000"/>
            </w:tcBorders>
          </w:tcPr>
          <w:p w14:paraId="244378FF" w14:textId="77777777" w:rsidR="00D83E33" w:rsidRPr="00EA10CF" w:rsidRDefault="00D83E33" w:rsidP="001B330E">
            <w:pPr>
              <w:widowControl w:val="0"/>
              <w:ind w:left="113" w:hanging="113"/>
            </w:pPr>
          </w:p>
        </w:tc>
        <w:tc>
          <w:tcPr>
            <w:tcW w:w="536" w:type="pct"/>
            <w:tcBorders>
              <w:top w:val="single" w:sz="4" w:space="0" w:color="000000"/>
            </w:tcBorders>
            <w:vAlign w:val="bottom"/>
          </w:tcPr>
          <w:p w14:paraId="4B858E7A"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top w:val="single" w:sz="4" w:space="0" w:color="000000"/>
            </w:tcBorders>
            <w:vAlign w:val="bottom"/>
          </w:tcPr>
          <w:p w14:paraId="5DB7AEDE"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tcBorders>
              <w:top w:val="single" w:sz="4" w:space="0" w:color="000000"/>
            </w:tcBorders>
            <w:vAlign w:val="bottom"/>
          </w:tcPr>
          <w:p w14:paraId="6ABC5E9A"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top w:val="single" w:sz="4" w:space="0" w:color="000000"/>
            </w:tcBorders>
            <w:vAlign w:val="bottom"/>
          </w:tcPr>
          <w:p w14:paraId="57861F9F"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top w:val="single" w:sz="4" w:space="0" w:color="000000"/>
            </w:tcBorders>
            <w:vAlign w:val="bottom"/>
          </w:tcPr>
          <w:p w14:paraId="4F780342"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top w:val="single" w:sz="4" w:space="0" w:color="000000"/>
            </w:tcBorders>
            <w:vAlign w:val="bottom"/>
          </w:tcPr>
          <w:p w14:paraId="4A21D56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6098BA87" w14:textId="77777777" w:rsidTr="001B330E">
        <w:trPr>
          <w:trHeight w:val="23"/>
        </w:trPr>
        <w:tc>
          <w:tcPr>
            <w:tcW w:w="1785" w:type="pct"/>
          </w:tcPr>
          <w:p w14:paraId="53A5411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Net liquidity gap based on expected maturities</w:t>
            </w:r>
          </w:p>
        </w:tc>
        <w:tc>
          <w:tcPr>
            <w:tcW w:w="536" w:type="pct"/>
            <w:vAlign w:val="bottom"/>
          </w:tcPr>
          <w:p w14:paraId="05BF2D4F"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vAlign w:val="bottom"/>
          </w:tcPr>
          <w:p w14:paraId="1239DF48"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vAlign w:val="bottom"/>
          </w:tcPr>
          <w:p w14:paraId="51378DBE"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vAlign w:val="bottom"/>
          </w:tcPr>
          <w:p w14:paraId="5B45A1E4"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196088F0"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vAlign w:val="bottom"/>
          </w:tcPr>
          <w:p w14:paraId="27722240"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54A8491" w14:textId="77777777" w:rsidTr="001B330E">
        <w:trPr>
          <w:trHeight w:val="23"/>
        </w:trPr>
        <w:tc>
          <w:tcPr>
            <w:tcW w:w="1785" w:type="pct"/>
            <w:tcBorders>
              <w:bottom w:val="single" w:sz="12" w:space="0" w:color="000000"/>
            </w:tcBorders>
          </w:tcPr>
          <w:p w14:paraId="5E38BF9B" w14:textId="77777777" w:rsidR="00D83E33" w:rsidRPr="00EA10CF" w:rsidRDefault="00D83E33" w:rsidP="001B330E">
            <w:pPr>
              <w:widowControl w:val="0"/>
              <w:ind w:left="113" w:hanging="113"/>
            </w:pPr>
          </w:p>
        </w:tc>
        <w:tc>
          <w:tcPr>
            <w:tcW w:w="536" w:type="pct"/>
            <w:tcBorders>
              <w:bottom w:val="single" w:sz="12" w:space="0" w:color="000000"/>
            </w:tcBorders>
            <w:vAlign w:val="bottom"/>
          </w:tcPr>
          <w:p w14:paraId="421B9319" w14:textId="77777777" w:rsidR="00D83E33" w:rsidRPr="00EA10CF" w:rsidRDefault="00D83E33" w:rsidP="001B330E">
            <w:pPr>
              <w:widowControl w:val="0"/>
              <w:pBdr>
                <w:top w:val="nil"/>
                <w:left w:val="nil"/>
                <w:bottom w:val="nil"/>
                <w:right w:val="nil"/>
                <w:between w:val="nil"/>
              </w:pBdr>
              <w:jc w:val="right"/>
              <w:rPr>
                <w:b/>
                <w:color w:val="000000"/>
              </w:rPr>
            </w:pPr>
          </w:p>
        </w:tc>
        <w:tc>
          <w:tcPr>
            <w:tcW w:w="536" w:type="pct"/>
            <w:tcBorders>
              <w:bottom w:val="single" w:sz="12" w:space="0" w:color="000000"/>
            </w:tcBorders>
            <w:vAlign w:val="bottom"/>
          </w:tcPr>
          <w:p w14:paraId="36E6EE3D" w14:textId="77777777" w:rsidR="00D83E33" w:rsidRPr="00EA10CF" w:rsidRDefault="00D83E33" w:rsidP="001B330E">
            <w:pPr>
              <w:widowControl w:val="0"/>
              <w:pBdr>
                <w:top w:val="nil"/>
                <w:left w:val="nil"/>
                <w:bottom w:val="nil"/>
                <w:right w:val="nil"/>
                <w:between w:val="nil"/>
              </w:pBdr>
              <w:jc w:val="right"/>
              <w:rPr>
                <w:b/>
                <w:color w:val="000000"/>
              </w:rPr>
            </w:pPr>
          </w:p>
        </w:tc>
        <w:tc>
          <w:tcPr>
            <w:tcW w:w="629" w:type="pct"/>
            <w:tcBorders>
              <w:bottom w:val="single" w:sz="12" w:space="0" w:color="000000"/>
            </w:tcBorders>
            <w:vAlign w:val="bottom"/>
          </w:tcPr>
          <w:p w14:paraId="544E70ED" w14:textId="77777777" w:rsidR="00D83E33" w:rsidRPr="00EA10CF" w:rsidRDefault="00D83E33" w:rsidP="001B330E">
            <w:pPr>
              <w:widowControl w:val="0"/>
              <w:pBdr>
                <w:top w:val="nil"/>
                <w:left w:val="nil"/>
                <w:bottom w:val="nil"/>
                <w:right w:val="nil"/>
                <w:between w:val="nil"/>
              </w:pBdr>
              <w:jc w:val="right"/>
              <w:rPr>
                <w:b/>
                <w:color w:val="000000"/>
              </w:rPr>
            </w:pPr>
          </w:p>
        </w:tc>
        <w:tc>
          <w:tcPr>
            <w:tcW w:w="606" w:type="pct"/>
            <w:tcBorders>
              <w:bottom w:val="single" w:sz="12" w:space="0" w:color="000000"/>
            </w:tcBorders>
            <w:vAlign w:val="bottom"/>
          </w:tcPr>
          <w:p w14:paraId="604F1AF9"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bottom w:val="single" w:sz="12" w:space="0" w:color="000000"/>
            </w:tcBorders>
            <w:vAlign w:val="bottom"/>
          </w:tcPr>
          <w:p w14:paraId="55CAAB5B" w14:textId="77777777" w:rsidR="00D83E33" w:rsidRPr="00EA10CF" w:rsidRDefault="00D83E33" w:rsidP="001B330E">
            <w:pPr>
              <w:widowControl w:val="0"/>
              <w:pBdr>
                <w:top w:val="nil"/>
                <w:left w:val="nil"/>
                <w:bottom w:val="nil"/>
                <w:right w:val="nil"/>
                <w:between w:val="nil"/>
              </w:pBdr>
              <w:jc w:val="right"/>
              <w:rPr>
                <w:b/>
                <w:color w:val="000000"/>
              </w:rPr>
            </w:pPr>
          </w:p>
        </w:tc>
        <w:tc>
          <w:tcPr>
            <w:tcW w:w="454" w:type="pct"/>
            <w:tcBorders>
              <w:bottom w:val="single" w:sz="12" w:space="0" w:color="000000"/>
            </w:tcBorders>
            <w:vAlign w:val="bottom"/>
          </w:tcPr>
          <w:p w14:paraId="5B1CA749" w14:textId="77777777" w:rsidR="00D83E33" w:rsidRPr="00EA10CF" w:rsidRDefault="00D83E33" w:rsidP="001B330E">
            <w:pPr>
              <w:widowControl w:val="0"/>
              <w:pBdr>
                <w:top w:val="nil"/>
                <w:left w:val="nil"/>
                <w:bottom w:val="nil"/>
                <w:right w:val="nil"/>
                <w:between w:val="nil"/>
              </w:pBdr>
              <w:jc w:val="right"/>
              <w:rPr>
                <w:b/>
                <w:color w:val="000000"/>
              </w:rPr>
            </w:pPr>
          </w:p>
        </w:tc>
      </w:tr>
    </w:tbl>
    <w:p w14:paraId="46CCA1D7" w14:textId="77777777"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entire portfolio of trading securities is classified within demand and less than one month based on management’s assessment of the portfolio’s realisability.</w:t>
      </w:r>
    </w:p>
    <w:p w14:paraId="336995FD" w14:textId="77777777" w:rsidR="00D83E33" w:rsidRDefault="00BC4072">
      <w:pPr>
        <w:pBdr>
          <w:top w:val="nil"/>
          <w:left w:val="nil"/>
          <w:bottom w:val="nil"/>
          <w:right w:val="nil"/>
          <w:between w:val="nil"/>
        </w:pBdr>
        <w:spacing w:before="200" w:after="200"/>
        <w:jc w:val="both"/>
        <w:rPr>
          <w:color w:val="000000"/>
          <w:sz w:val="20"/>
          <w:szCs w:val="20"/>
        </w:rPr>
      </w:pPr>
      <w:r>
        <w:rPr>
          <w:color w:val="000000"/>
          <w:sz w:val="20"/>
          <w:szCs w:val="20"/>
        </w:rPr>
        <w:t>The matching and/or controlled mismatching of the maturities and interest rates of assets and liabilities is fundamental to the management of the Group. It is unusual for banks ever to be completely matched since business transacted is often of an uncertain term and of different types. An unmatched position potentially enhances profitability, but can also increase the risk of losses. The maturities of assets and liabilities and the ability to replace, at an acceptable cost, interest-bearing liabilities as they mature, are important factors in assessing the liquidity of the Group and its exposure to changes in interest and exchange rates.</w:t>
      </w:r>
    </w:p>
    <w:p w14:paraId="74ABDF6D" w14:textId="657C8327" w:rsidR="00D83E33" w:rsidRDefault="00BC4072" w:rsidP="00673675">
      <w:pPr>
        <w:pBdr>
          <w:top w:val="nil"/>
          <w:left w:val="nil"/>
          <w:bottom w:val="nil"/>
          <w:right w:val="nil"/>
          <w:between w:val="nil"/>
        </w:pBdr>
        <w:spacing w:before="200" w:after="200"/>
        <w:jc w:val="both"/>
        <w:rPr>
          <w:color w:val="0000FF"/>
          <w:sz w:val="20"/>
          <w:szCs w:val="20"/>
        </w:rPr>
      </w:pPr>
      <w:r>
        <w:rPr>
          <w:color w:val="000000"/>
          <w:sz w:val="20"/>
          <w:szCs w:val="20"/>
        </w:rPr>
        <w:t xml:space="preserve">Management believes that </w:t>
      </w:r>
      <w:r w:rsidR="00A23BFF">
        <w:rPr>
          <w:color w:val="000000"/>
          <w:sz w:val="20"/>
          <w:szCs w:val="20"/>
        </w:rPr>
        <w:t>despite</w:t>
      </w:r>
      <w:r>
        <w:rPr>
          <w:color w:val="000000"/>
          <w:sz w:val="20"/>
          <w:szCs w:val="20"/>
        </w:rPr>
        <w:t xml:space="preserve"> a substantial portion of customer accounts being on demand, diversification of these deposits by number and type of depositors, and the past experience of the Group would indicate that these customer accounts provide a long-term and stable source of funding for the Group. </w:t>
      </w:r>
    </w:p>
    <w:p w14:paraId="00A7549C" w14:textId="74C04EEC" w:rsidR="00D83E33" w:rsidRDefault="00BC4072" w:rsidP="00673675">
      <w:pPr>
        <w:pBdr>
          <w:top w:val="nil"/>
          <w:left w:val="nil"/>
          <w:bottom w:val="nil"/>
          <w:right w:val="nil"/>
          <w:between w:val="nil"/>
        </w:pBdr>
        <w:spacing w:before="200" w:after="200"/>
        <w:jc w:val="both"/>
        <w:rPr>
          <w:i/>
          <w:color w:val="FF0000"/>
          <w:sz w:val="20"/>
          <w:szCs w:val="20"/>
        </w:rPr>
      </w:pPr>
      <w:r>
        <w:rPr>
          <w:i/>
          <w:color w:val="FF0000"/>
          <w:sz w:val="20"/>
          <w:szCs w:val="20"/>
        </w:rPr>
        <w:t>[Liquidity position discussion should be tailored depending on the Group’s particular circumstances.</w:t>
      </w:r>
      <w:r w:rsidR="00DB34A6" w:rsidRPr="00DB34A6">
        <w:rPr>
          <w:i/>
          <w:color w:val="FF0000"/>
          <w:sz w:val="20"/>
          <w:szCs w:val="20"/>
        </w:rPr>
        <w:t xml:space="preserve"> </w:t>
      </w:r>
      <w:r w:rsidR="00DB34A6">
        <w:rPr>
          <w:i/>
          <w:color w:val="FF0000"/>
          <w:sz w:val="20"/>
          <w:szCs w:val="20"/>
        </w:rPr>
        <w:t>]</w:t>
      </w:r>
      <w:r>
        <w:rPr>
          <w:i/>
          <w:color w:val="FF0000"/>
          <w:sz w:val="20"/>
          <w:szCs w:val="20"/>
        </w:rPr>
        <w:t xml:space="preserve"> </w:t>
      </w:r>
    </w:p>
    <w:p w14:paraId="46206903" w14:textId="740E32FB" w:rsidR="00154C03" w:rsidRDefault="00154C03" w:rsidP="00154C03">
      <w:pPr>
        <w:widowControl w:val="0"/>
        <w:spacing w:before="200" w:after="200"/>
        <w:jc w:val="both"/>
        <w:rPr>
          <w:sz w:val="20"/>
          <w:szCs w:val="20"/>
        </w:rPr>
      </w:pPr>
      <w:r w:rsidRPr="009004E7">
        <w:rPr>
          <w:b/>
          <w:bCs/>
          <w:i/>
          <w:iCs/>
          <w:sz w:val="20"/>
          <w:szCs w:val="20"/>
        </w:rPr>
        <w:t>Effect of IBOR reform</w:t>
      </w:r>
      <w:r>
        <w:rPr>
          <w:b/>
          <w:bCs/>
          <w:sz w:val="20"/>
          <w:szCs w:val="20"/>
        </w:rPr>
        <w:t xml:space="preserve">. </w:t>
      </w:r>
      <w:r>
        <w:rPr>
          <w:sz w:val="20"/>
          <w:szCs w:val="20"/>
        </w:rPr>
        <w:t>Reform and replacement of various inter-bank offered rates (‘IBORs’) has become a priority for regulators. Many IBOR rates stopped being published on 31 December </w:t>
      </w:r>
      <w:r w:rsidR="00541EBC">
        <w:rPr>
          <w:sz w:val="20"/>
          <w:szCs w:val="20"/>
        </w:rPr>
        <w:t>2023</w:t>
      </w:r>
      <w:r>
        <w:rPr>
          <w:sz w:val="20"/>
          <w:szCs w:val="20"/>
        </w:rPr>
        <w:t xml:space="preserve">, while certain USD LIBOR rates would stop being published by 30 June </w:t>
      </w:r>
      <w:r w:rsidR="00541EBC">
        <w:rPr>
          <w:sz w:val="20"/>
          <w:szCs w:val="20"/>
        </w:rPr>
        <w:t>2024</w:t>
      </w:r>
      <w:r>
        <w:rPr>
          <w:sz w:val="20"/>
          <w:szCs w:val="20"/>
        </w:rPr>
        <w:t>.</w:t>
      </w:r>
    </w:p>
    <w:p w14:paraId="6469766C" w14:textId="77777777" w:rsidR="00154C03" w:rsidRDefault="00154C03" w:rsidP="00154C03">
      <w:pPr>
        <w:widowControl w:val="0"/>
        <w:spacing w:before="200" w:after="200"/>
        <w:jc w:val="both"/>
        <w:rPr>
          <w:rFonts w:eastAsia="Times New Roman"/>
          <w:color w:val="0000FF"/>
          <w:sz w:val="20"/>
          <w:szCs w:val="20"/>
        </w:rPr>
      </w:pPr>
      <w:r>
        <w:rPr>
          <w:sz w:val="20"/>
          <w:szCs w:val="20"/>
        </w:rPr>
        <w:t>The Group applied the practical expedients of</w:t>
      </w:r>
      <w:r w:rsidRPr="00154C03">
        <w:t xml:space="preserve"> </w:t>
      </w:r>
      <w:r w:rsidRPr="00154C03">
        <w:rPr>
          <w:sz w:val="20"/>
          <w:szCs w:val="20"/>
        </w:rPr>
        <w:t>Interest Rate Benchmark Reform – Phase 2 amendments to IFRS 9</w:t>
      </w:r>
      <w:r>
        <w:rPr>
          <w:sz w:val="20"/>
          <w:szCs w:val="20"/>
        </w:rPr>
        <w:t xml:space="preserve"> to reflect </w:t>
      </w:r>
      <w:r w:rsidRPr="00E5315A">
        <w:rPr>
          <w:sz w:val="20"/>
          <w:szCs w:val="20"/>
        </w:rPr>
        <w:t xml:space="preserve">changes to the basis for determining the contractual cash flows by adjusting the effective interest rate </w:t>
      </w:r>
      <w:r>
        <w:rPr>
          <w:sz w:val="20"/>
          <w:szCs w:val="20"/>
        </w:rPr>
        <w:t xml:space="preserve">to </w:t>
      </w:r>
      <w:r>
        <w:rPr>
          <w:rFonts w:eastAsia="Times New Roman"/>
          <w:color w:val="0000FF"/>
          <w:sz w:val="20"/>
          <w:szCs w:val="20"/>
        </w:rPr>
        <w:t>[loans and advances to customers of EUR ________ thousand that were measured at amortised cost].</w:t>
      </w:r>
    </w:p>
    <w:p w14:paraId="4417B002" w14:textId="77777777" w:rsidR="008E750A" w:rsidRDefault="008E750A" w:rsidP="00154C03">
      <w:pPr>
        <w:widowControl w:val="0"/>
        <w:spacing w:before="200" w:after="200"/>
        <w:jc w:val="both"/>
        <w:rPr>
          <w:sz w:val="20"/>
          <w:szCs w:val="20"/>
        </w:rPr>
      </w:pPr>
    </w:p>
    <w:p w14:paraId="2378C87C" w14:textId="77777777" w:rsidR="008E750A" w:rsidRDefault="008E750A" w:rsidP="00154C03">
      <w:pPr>
        <w:widowControl w:val="0"/>
        <w:spacing w:before="200" w:after="200"/>
        <w:jc w:val="both"/>
        <w:rPr>
          <w:sz w:val="20"/>
          <w:szCs w:val="20"/>
        </w:rPr>
      </w:pPr>
    </w:p>
    <w:p w14:paraId="6BAFF132" w14:textId="77777777" w:rsidR="008E750A" w:rsidRDefault="008E750A" w:rsidP="008E750A">
      <w:pPr>
        <w:pStyle w:val="Continued"/>
      </w:pPr>
      <w:r>
        <w:lastRenderedPageBreak/>
        <w:t>41</w:t>
      </w:r>
      <w:r>
        <w:tab/>
        <w:t>Financial Risk Management (Continued)</w:t>
      </w:r>
    </w:p>
    <w:p w14:paraId="3CF10160" w14:textId="00ED06E3" w:rsidR="00154C03" w:rsidRPr="009004E7" w:rsidRDefault="00154C03" w:rsidP="00154C03">
      <w:pPr>
        <w:widowControl w:val="0"/>
        <w:spacing w:before="200" w:after="200"/>
        <w:jc w:val="both"/>
        <w:rPr>
          <w:i/>
          <w:iCs/>
          <w:color w:val="FF0000"/>
          <w:sz w:val="20"/>
          <w:szCs w:val="20"/>
        </w:rPr>
      </w:pPr>
      <w:r>
        <w:rPr>
          <w:sz w:val="20"/>
          <w:szCs w:val="20"/>
        </w:rPr>
        <w:t>The table below discloses amounts of non-derivative financial assets and liabilities and derivative contracts at 31 December </w:t>
      </w:r>
      <w:r w:rsidR="00541EBC">
        <w:rPr>
          <w:sz w:val="20"/>
          <w:szCs w:val="20"/>
        </w:rPr>
        <w:t>2024</w:t>
      </w:r>
      <w:r>
        <w:rPr>
          <w:sz w:val="20"/>
          <w:szCs w:val="20"/>
        </w:rPr>
        <w:t xml:space="preserve"> that would be transitioned to alternative interest rate benchmarks </w:t>
      </w:r>
    </w:p>
    <w:tbl>
      <w:tblPr>
        <w:tblW w:w="5000" w:type="pct"/>
        <w:tblLayout w:type="fixed"/>
        <w:tblCellMar>
          <w:left w:w="113" w:type="dxa"/>
          <w:right w:w="113" w:type="dxa"/>
        </w:tblCellMar>
        <w:tblLook w:val="04A0" w:firstRow="1" w:lastRow="0" w:firstColumn="1" w:lastColumn="0" w:noHBand="0" w:noVBand="1"/>
      </w:tblPr>
      <w:tblGrid>
        <w:gridCol w:w="3685"/>
        <w:gridCol w:w="1134"/>
        <w:gridCol w:w="1134"/>
        <w:gridCol w:w="1134"/>
        <w:gridCol w:w="1134"/>
        <w:gridCol w:w="1134"/>
      </w:tblGrid>
      <w:tr w:rsidR="00154C03" w14:paraId="6E711368" w14:textId="77777777" w:rsidTr="001C28A7">
        <w:trPr>
          <w:cantSplit/>
          <w:trHeight w:val="23"/>
          <w:tblHeader/>
        </w:trPr>
        <w:tc>
          <w:tcPr>
            <w:tcW w:w="1970" w:type="pct"/>
            <w:tcBorders>
              <w:top w:val="nil"/>
              <w:left w:val="nil"/>
              <w:bottom w:val="single" w:sz="4" w:space="0" w:color="auto"/>
              <w:right w:val="nil"/>
            </w:tcBorders>
            <w:vAlign w:val="bottom"/>
            <w:hideMark/>
          </w:tcPr>
          <w:p w14:paraId="04CE882F" w14:textId="77777777" w:rsidR="00154C03" w:rsidRDefault="00154C03" w:rsidP="001C28A7">
            <w:pPr>
              <w:pStyle w:val="RRthousands"/>
              <w:widowControl w:val="0"/>
              <w:ind w:left="113" w:hanging="113"/>
              <w:rPr>
                <w:b/>
                <w:sz w:val="18"/>
                <w:szCs w:val="20"/>
              </w:rPr>
            </w:pPr>
            <w:r>
              <w:rPr>
                <w:sz w:val="18"/>
              </w:rPr>
              <w:t>In thousands of EUR</w:t>
            </w:r>
          </w:p>
        </w:tc>
        <w:tc>
          <w:tcPr>
            <w:tcW w:w="606" w:type="pct"/>
            <w:tcBorders>
              <w:top w:val="nil"/>
              <w:left w:val="nil"/>
              <w:bottom w:val="single" w:sz="4" w:space="0" w:color="auto"/>
              <w:right w:val="nil"/>
            </w:tcBorders>
            <w:hideMark/>
          </w:tcPr>
          <w:p w14:paraId="024B316B" w14:textId="77777777" w:rsidR="00154C03" w:rsidRDefault="00154C03" w:rsidP="001C28A7">
            <w:pPr>
              <w:pStyle w:val="Columnheader"/>
              <w:widowControl w:val="0"/>
              <w:tabs>
                <w:tab w:val="clear" w:pos="1503"/>
              </w:tabs>
              <w:spacing w:line="240" w:lineRule="auto"/>
              <w:ind w:right="0"/>
              <w:jc w:val="right"/>
            </w:pPr>
            <w:r>
              <w:t>USD LIBOR</w:t>
            </w:r>
          </w:p>
        </w:tc>
        <w:tc>
          <w:tcPr>
            <w:tcW w:w="606" w:type="pct"/>
            <w:tcBorders>
              <w:top w:val="nil"/>
              <w:left w:val="nil"/>
              <w:bottom w:val="single" w:sz="4" w:space="0" w:color="auto"/>
              <w:right w:val="nil"/>
            </w:tcBorders>
            <w:hideMark/>
          </w:tcPr>
          <w:p w14:paraId="19B38E25" w14:textId="77777777" w:rsidR="00154C03" w:rsidRDefault="00154C03" w:rsidP="001C28A7">
            <w:pPr>
              <w:pStyle w:val="Columnheader"/>
              <w:widowControl w:val="0"/>
              <w:tabs>
                <w:tab w:val="clear" w:pos="1503"/>
              </w:tabs>
              <w:spacing w:line="240" w:lineRule="auto"/>
              <w:ind w:right="0"/>
              <w:jc w:val="right"/>
            </w:pPr>
            <w:r>
              <w:t>EUR LIBOR</w:t>
            </w:r>
          </w:p>
        </w:tc>
        <w:tc>
          <w:tcPr>
            <w:tcW w:w="606" w:type="pct"/>
            <w:tcBorders>
              <w:top w:val="nil"/>
              <w:left w:val="nil"/>
              <w:bottom w:val="single" w:sz="4" w:space="0" w:color="auto"/>
              <w:right w:val="nil"/>
            </w:tcBorders>
            <w:hideMark/>
          </w:tcPr>
          <w:p w14:paraId="1860E4BB" w14:textId="77777777" w:rsidR="00154C03" w:rsidRDefault="00154C03" w:rsidP="001C28A7">
            <w:pPr>
              <w:pStyle w:val="Columnheader"/>
              <w:widowControl w:val="0"/>
              <w:tabs>
                <w:tab w:val="clear" w:pos="1503"/>
              </w:tabs>
              <w:spacing w:line="240" w:lineRule="auto"/>
              <w:ind w:right="0"/>
              <w:jc w:val="right"/>
            </w:pPr>
            <w:r>
              <w:t>CHF LIBOR</w:t>
            </w:r>
          </w:p>
        </w:tc>
        <w:tc>
          <w:tcPr>
            <w:tcW w:w="606" w:type="pct"/>
            <w:tcBorders>
              <w:top w:val="nil"/>
              <w:left w:val="nil"/>
              <w:bottom w:val="single" w:sz="4" w:space="0" w:color="auto"/>
              <w:right w:val="nil"/>
            </w:tcBorders>
            <w:hideMark/>
          </w:tcPr>
          <w:p w14:paraId="5833A8C2" w14:textId="77777777" w:rsidR="00154C03" w:rsidRDefault="00154C03" w:rsidP="001C28A7">
            <w:pPr>
              <w:pStyle w:val="Columnheader"/>
              <w:widowControl w:val="0"/>
              <w:tabs>
                <w:tab w:val="clear" w:pos="1503"/>
              </w:tabs>
              <w:spacing w:line="240" w:lineRule="auto"/>
              <w:ind w:right="0"/>
              <w:jc w:val="right"/>
              <w:rPr>
                <w:b w:val="0"/>
                <w:color w:val="0000FF"/>
                <w:sz w:val="20"/>
              </w:rPr>
            </w:pPr>
            <w:r>
              <w:rPr>
                <w:b w:val="0"/>
                <w:color w:val="0000FF"/>
                <w:sz w:val="20"/>
              </w:rPr>
              <w:t>[…]</w:t>
            </w:r>
          </w:p>
        </w:tc>
        <w:tc>
          <w:tcPr>
            <w:tcW w:w="606" w:type="pct"/>
            <w:tcBorders>
              <w:top w:val="nil"/>
              <w:left w:val="nil"/>
              <w:bottom w:val="single" w:sz="4" w:space="0" w:color="auto"/>
              <w:right w:val="nil"/>
            </w:tcBorders>
            <w:hideMark/>
          </w:tcPr>
          <w:p w14:paraId="50DDF79D" w14:textId="77777777" w:rsidR="00154C03" w:rsidRDefault="00154C03" w:rsidP="001C28A7">
            <w:pPr>
              <w:pStyle w:val="Columnheader"/>
              <w:widowControl w:val="0"/>
              <w:tabs>
                <w:tab w:val="clear" w:pos="1503"/>
              </w:tabs>
              <w:spacing w:line="240" w:lineRule="auto"/>
              <w:ind w:right="0"/>
              <w:jc w:val="right"/>
            </w:pPr>
            <w:r>
              <w:t>Total</w:t>
            </w:r>
          </w:p>
        </w:tc>
      </w:tr>
      <w:tr w:rsidR="00154C03" w14:paraId="420CC1E4" w14:textId="77777777" w:rsidTr="001C28A7">
        <w:trPr>
          <w:cantSplit/>
          <w:trHeight w:val="23"/>
          <w:tblHeader/>
        </w:trPr>
        <w:tc>
          <w:tcPr>
            <w:tcW w:w="1970" w:type="pct"/>
            <w:tcBorders>
              <w:top w:val="single" w:sz="4" w:space="0" w:color="auto"/>
              <w:left w:val="nil"/>
              <w:bottom w:val="nil"/>
              <w:right w:val="nil"/>
            </w:tcBorders>
            <w:vAlign w:val="bottom"/>
          </w:tcPr>
          <w:p w14:paraId="030260AA" w14:textId="77777777" w:rsidR="00154C03" w:rsidRDefault="00154C03" w:rsidP="001C28A7">
            <w:pPr>
              <w:pStyle w:val="Rowheader"/>
              <w:widowControl w:val="0"/>
              <w:ind w:left="113" w:hanging="113"/>
              <w:rPr>
                <w:bCs/>
              </w:rPr>
            </w:pPr>
          </w:p>
        </w:tc>
        <w:tc>
          <w:tcPr>
            <w:tcW w:w="606" w:type="pct"/>
            <w:tcBorders>
              <w:top w:val="single" w:sz="4" w:space="0" w:color="auto"/>
              <w:left w:val="nil"/>
              <w:bottom w:val="nil"/>
              <w:right w:val="nil"/>
            </w:tcBorders>
            <w:vAlign w:val="bottom"/>
          </w:tcPr>
          <w:p w14:paraId="0D43122F" w14:textId="77777777" w:rsidR="00154C03" w:rsidRDefault="00154C03" w:rsidP="001C28A7">
            <w:pPr>
              <w:pStyle w:val="Tablenumbers1"/>
              <w:widowControl w:val="0"/>
              <w:tabs>
                <w:tab w:val="clear" w:pos="1503"/>
              </w:tabs>
              <w:ind w:right="0"/>
              <w:jc w:val="right"/>
            </w:pPr>
          </w:p>
        </w:tc>
        <w:tc>
          <w:tcPr>
            <w:tcW w:w="606" w:type="pct"/>
            <w:tcBorders>
              <w:top w:val="single" w:sz="4" w:space="0" w:color="auto"/>
              <w:left w:val="nil"/>
              <w:bottom w:val="nil"/>
              <w:right w:val="nil"/>
            </w:tcBorders>
            <w:vAlign w:val="bottom"/>
          </w:tcPr>
          <w:p w14:paraId="611D3FEF" w14:textId="77777777" w:rsidR="00154C03" w:rsidRDefault="00154C03" w:rsidP="001C28A7">
            <w:pPr>
              <w:pStyle w:val="Tablenumbers1"/>
              <w:widowControl w:val="0"/>
              <w:tabs>
                <w:tab w:val="clear" w:pos="1503"/>
              </w:tabs>
              <w:ind w:right="0"/>
              <w:jc w:val="right"/>
            </w:pPr>
          </w:p>
        </w:tc>
        <w:tc>
          <w:tcPr>
            <w:tcW w:w="606" w:type="pct"/>
            <w:tcBorders>
              <w:top w:val="single" w:sz="4" w:space="0" w:color="auto"/>
              <w:left w:val="nil"/>
              <w:bottom w:val="nil"/>
              <w:right w:val="nil"/>
            </w:tcBorders>
            <w:vAlign w:val="bottom"/>
          </w:tcPr>
          <w:p w14:paraId="3A2AA0C3" w14:textId="77777777" w:rsidR="00154C03" w:rsidRDefault="00154C03" w:rsidP="001C28A7">
            <w:pPr>
              <w:pStyle w:val="Tablenumbers1"/>
              <w:widowControl w:val="0"/>
              <w:tabs>
                <w:tab w:val="clear" w:pos="1503"/>
              </w:tabs>
              <w:ind w:right="0"/>
              <w:jc w:val="right"/>
            </w:pPr>
          </w:p>
        </w:tc>
        <w:tc>
          <w:tcPr>
            <w:tcW w:w="606" w:type="pct"/>
            <w:tcBorders>
              <w:top w:val="single" w:sz="4" w:space="0" w:color="auto"/>
              <w:left w:val="nil"/>
              <w:bottom w:val="nil"/>
              <w:right w:val="nil"/>
            </w:tcBorders>
          </w:tcPr>
          <w:p w14:paraId="10662771" w14:textId="77777777" w:rsidR="00154C03" w:rsidRDefault="00154C03" w:rsidP="001C28A7">
            <w:pPr>
              <w:pStyle w:val="Tablenumbers1"/>
              <w:widowControl w:val="0"/>
              <w:tabs>
                <w:tab w:val="clear" w:pos="1503"/>
              </w:tabs>
              <w:ind w:right="0"/>
              <w:jc w:val="right"/>
            </w:pPr>
          </w:p>
        </w:tc>
        <w:tc>
          <w:tcPr>
            <w:tcW w:w="606" w:type="pct"/>
            <w:tcBorders>
              <w:top w:val="single" w:sz="4" w:space="0" w:color="auto"/>
              <w:left w:val="nil"/>
              <w:bottom w:val="nil"/>
              <w:right w:val="nil"/>
            </w:tcBorders>
            <w:vAlign w:val="bottom"/>
          </w:tcPr>
          <w:p w14:paraId="3A03E248" w14:textId="77777777" w:rsidR="00154C03" w:rsidRDefault="00154C03" w:rsidP="001C28A7">
            <w:pPr>
              <w:pStyle w:val="Tablenumbers1"/>
              <w:widowControl w:val="0"/>
              <w:tabs>
                <w:tab w:val="clear" w:pos="1503"/>
              </w:tabs>
              <w:ind w:right="0"/>
              <w:jc w:val="right"/>
            </w:pPr>
          </w:p>
        </w:tc>
      </w:tr>
      <w:tr w:rsidR="00154C03" w14:paraId="4FED6BB2" w14:textId="77777777" w:rsidTr="001C28A7">
        <w:trPr>
          <w:cantSplit/>
          <w:trHeight w:val="23"/>
          <w:tblHeader/>
        </w:trPr>
        <w:tc>
          <w:tcPr>
            <w:tcW w:w="1970" w:type="pct"/>
            <w:vAlign w:val="bottom"/>
            <w:hideMark/>
          </w:tcPr>
          <w:p w14:paraId="7E772A95" w14:textId="77777777" w:rsidR="00154C03" w:rsidRDefault="00154C03" w:rsidP="001C28A7">
            <w:pPr>
              <w:pStyle w:val="Rowheader"/>
              <w:widowControl w:val="0"/>
              <w:ind w:left="113" w:hanging="113"/>
              <w:rPr>
                <w:bCs/>
              </w:rPr>
            </w:pPr>
            <w:r>
              <w:rPr>
                <w:bCs/>
              </w:rPr>
              <w:t>NON-DERIVATIVE FINANCIAL ASSETS</w:t>
            </w:r>
          </w:p>
        </w:tc>
        <w:tc>
          <w:tcPr>
            <w:tcW w:w="606" w:type="pct"/>
            <w:vAlign w:val="bottom"/>
          </w:tcPr>
          <w:p w14:paraId="3CA97F67" w14:textId="77777777" w:rsidR="00154C03" w:rsidRDefault="00154C03" w:rsidP="001C28A7">
            <w:pPr>
              <w:pStyle w:val="Tablenumbers1"/>
              <w:widowControl w:val="0"/>
              <w:tabs>
                <w:tab w:val="clear" w:pos="1503"/>
              </w:tabs>
              <w:ind w:right="0"/>
              <w:jc w:val="right"/>
            </w:pPr>
          </w:p>
        </w:tc>
        <w:tc>
          <w:tcPr>
            <w:tcW w:w="606" w:type="pct"/>
            <w:vAlign w:val="bottom"/>
          </w:tcPr>
          <w:p w14:paraId="4D897433" w14:textId="77777777" w:rsidR="00154C03" w:rsidRDefault="00154C03" w:rsidP="001C28A7">
            <w:pPr>
              <w:pStyle w:val="Tablenumbers1"/>
              <w:widowControl w:val="0"/>
              <w:tabs>
                <w:tab w:val="clear" w:pos="1503"/>
              </w:tabs>
              <w:ind w:right="0"/>
              <w:jc w:val="right"/>
            </w:pPr>
          </w:p>
        </w:tc>
        <w:tc>
          <w:tcPr>
            <w:tcW w:w="606" w:type="pct"/>
            <w:vAlign w:val="bottom"/>
          </w:tcPr>
          <w:p w14:paraId="2D3BA3F1" w14:textId="77777777" w:rsidR="00154C03" w:rsidRDefault="00154C03" w:rsidP="001C28A7">
            <w:pPr>
              <w:pStyle w:val="Tablenumbers1"/>
              <w:widowControl w:val="0"/>
              <w:tabs>
                <w:tab w:val="clear" w:pos="1503"/>
              </w:tabs>
              <w:ind w:right="0"/>
              <w:jc w:val="right"/>
            </w:pPr>
          </w:p>
        </w:tc>
        <w:tc>
          <w:tcPr>
            <w:tcW w:w="606" w:type="pct"/>
          </w:tcPr>
          <w:p w14:paraId="640D1F1A" w14:textId="77777777" w:rsidR="00154C03" w:rsidRDefault="00154C03" w:rsidP="001C28A7">
            <w:pPr>
              <w:pStyle w:val="Tablenumbers1"/>
              <w:widowControl w:val="0"/>
              <w:tabs>
                <w:tab w:val="clear" w:pos="1503"/>
              </w:tabs>
              <w:ind w:right="0"/>
              <w:jc w:val="right"/>
            </w:pPr>
          </w:p>
        </w:tc>
        <w:tc>
          <w:tcPr>
            <w:tcW w:w="606" w:type="pct"/>
            <w:vAlign w:val="bottom"/>
          </w:tcPr>
          <w:p w14:paraId="666F1E61" w14:textId="77777777" w:rsidR="00154C03" w:rsidRDefault="00154C03" w:rsidP="001C28A7">
            <w:pPr>
              <w:pStyle w:val="Tablenumbers1"/>
              <w:widowControl w:val="0"/>
              <w:tabs>
                <w:tab w:val="clear" w:pos="1503"/>
              </w:tabs>
              <w:ind w:right="0"/>
              <w:jc w:val="right"/>
            </w:pPr>
          </w:p>
        </w:tc>
      </w:tr>
      <w:tr w:rsidR="00154C03" w14:paraId="563E6A85" w14:textId="77777777" w:rsidTr="001C28A7">
        <w:trPr>
          <w:cantSplit/>
          <w:trHeight w:val="23"/>
          <w:tblHeader/>
        </w:trPr>
        <w:tc>
          <w:tcPr>
            <w:tcW w:w="1970" w:type="pct"/>
            <w:vAlign w:val="bottom"/>
            <w:hideMark/>
          </w:tcPr>
          <w:p w14:paraId="62495A30" w14:textId="77777777" w:rsidR="00154C03" w:rsidRDefault="00154C03" w:rsidP="001C28A7">
            <w:pPr>
              <w:widowControl w:val="0"/>
              <w:ind w:left="113" w:hanging="113"/>
            </w:pPr>
            <w:r>
              <w:t>Due from other banks</w:t>
            </w:r>
          </w:p>
        </w:tc>
        <w:tc>
          <w:tcPr>
            <w:tcW w:w="606" w:type="pct"/>
            <w:vAlign w:val="bottom"/>
          </w:tcPr>
          <w:p w14:paraId="3315CB10" w14:textId="77777777" w:rsidR="00154C03" w:rsidRDefault="00154C03" w:rsidP="001C28A7">
            <w:pPr>
              <w:pStyle w:val="Tablenumbers1"/>
              <w:widowControl w:val="0"/>
              <w:tabs>
                <w:tab w:val="clear" w:pos="1503"/>
              </w:tabs>
              <w:ind w:right="0"/>
              <w:jc w:val="right"/>
            </w:pPr>
          </w:p>
        </w:tc>
        <w:tc>
          <w:tcPr>
            <w:tcW w:w="606" w:type="pct"/>
            <w:vAlign w:val="bottom"/>
          </w:tcPr>
          <w:p w14:paraId="661C06AB" w14:textId="77777777" w:rsidR="00154C03" w:rsidRDefault="00154C03" w:rsidP="001C28A7">
            <w:pPr>
              <w:pStyle w:val="Tablenumbers1"/>
              <w:widowControl w:val="0"/>
              <w:tabs>
                <w:tab w:val="clear" w:pos="1503"/>
              </w:tabs>
              <w:ind w:right="0"/>
              <w:jc w:val="right"/>
            </w:pPr>
          </w:p>
        </w:tc>
        <w:tc>
          <w:tcPr>
            <w:tcW w:w="606" w:type="pct"/>
            <w:vAlign w:val="bottom"/>
          </w:tcPr>
          <w:p w14:paraId="5C38B080" w14:textId="77777777" w:rsidR="00154C03" w:rsidRDefault="00154C03" w:rsidP="001C28A7">
            <w:pPr>
              <w:pStyle w:val="Tablenumbers1"/>
              <w:widowControl w:val="0"/>
              <w:tabs>
                <w:tab w:val="clear" w:pos="1503"/>
              </w:tabs>
              <w:ind w:right="0"/>
              <w:jc w:val="right"/>
            </w:pPr>
          </w:p>
        </w:tc>
        <w:tc>
          <w:tcPr>
            <w:tcW w:w="606" w:type="pct"/>
          </w:tcPr>
          <w:p w14:paraId="05D80B4D" w14:textId="77777777" w:rsidR="00154C03" w:rsidRDefault="00154C03" w:rsidP="001C28A7">
            <w:pPr>
              <w:pStyle w:val="Tablenumbers1"/>
              <w:widowControl w:val="0"/>
              <w:tabs>
                <w:tab w:val="clear" w:pos="1503"/>
              </w:tabs>
              <w:ind w:right="0"/>
              <w:jc w:val="right"/>
            </w:pPr>
          </w:p>
        </w:tc>
        <w:tc>
          <w:tcPr>
            <w:tcW w:w="606" w:type="pct"/>
            <w:vAlign w:val="bottom"/>
          </w:tcPr>
          <w:p w14:paraId="4C36328F" w14:textId="77777777" w:rsidR="00154C03" w:rsidRDefault="00154C03" w:rsidP="001C28A7">
            <w:pPr>
              <w:pStyle w:val="Tablenumbers1"/>
              <w:widowControl w:val="0"/>
              <w:tabs>
                <w:tab w:val="clear" w:pos="1503"/>
              </w:tabs>
              <w:ind w:right="0"/>
              <w:jc w:val="right"/>
            </w:pPr>
          </w:p>
        </w:tc>
      </w:tr>
      <w:tr w:rsidR="00154C03" w14:paraId="003C5370" w14:textId="77777777" w:rsidTr="001C28A7">
        <w:trPr>
          <w:cantSplit/>
          <w:trHeight w:val="23"/>
          <w:tblHeader/>
        </w:trPr>
        <w:tc>
          <w:tcPr>
            <w:tcW w:w="1970" w:type="pct"/>
            <w:vAlign w:val="bottom"/>
            <w:hideMark/>
          </w:tcPr>
          <w:p w14:paraId="3389509A" w14:textId="77777777" w:rsidR="00154C03" w:rsidRDefault="00154C03" w:rsidP="001C28A7">
            <w:pPr>
              <w:widowControl w:val="0"/>
              <w:ind w:left="113" w:hanging="113"/>
            </w:pPr>
            <w:r>
              <w:t>Investments in debt securities</w:t>
            </w:r>
          </w:p>
        </w:tc>
        <w:tc>
          <w:tcPr>
            <w:tcW w:w="606" w:type="pct"/>
            <w:vAlign w:val="bottom"/>
          </w:tcPr>
          <w:p w14:paraId="35E5E715" w14:textId="77777777" w:rsidR="00154C03" w:rsidRDefault="00154C03" w:rsidP="001C28A7">
            <w:pPr>
              <w:pStyle w:val="Tablenumbers1"/>
              <w:widowControl w:val="0"/>
              <w:tabs>
                <w:tab w:val="clear" w:pos="1503"/>
              </w:tabs>
              <w:ind w:right="0"/>
              <w:jc w:val="right"/>
            </w:pPr>
          </w:p>
        </w:tc>
        <w:tc>
          <w:tcPr>
            <w:tcW w:w="606" w:type="pct"/>
            <w:vAlign w:val="bottom"/>
          </w:tcPr>
          <w:p w14:paraId="4FDEE0E0" w14:textId="77777777" w:rsidR="00154C03" w:rsidRDefault="00154C03" w:rsidP="001C28A7">
            <w:pPr>
              <w:pStyle w:val="Tablenumbers1"/>
              <w:widowControl w:val="0"/>
              <w:tabs>
                <w:tab w:val="clear" w:pos="1503"/>
              </w:tabs>
              <w:ind w:right="0"/>
              <w:jc w:val="right"/>
            </w:pPr>
          </w:p>
        </w:tc>
        <w:tc>
          <w:tcPr>
            <w:tcW w:w="606" w:type="pct"/>
            <w:vAlign w:val="bottom"/>
          </w:tcPr>
          <w:p w14:paraId="3465DFD2" w14:textId="77777777" w:rsidR="00154C03" w:rsidRDefault="00154C03" w:rsidP="001C28A7">
            <w:pPr>
              <w:pStyle w:val="Tablenumbers1"/>
              <w:widowControl w:val="0"/>
              <w:tabs>
                <w:tab w:val="clear" w:pos="1503"/>
              </w:tabs>
              <w:ind w:right="0"/>
              <w:jc w:val="right"/>
            </w:pPr>
          </w:p>
        </w:tc>
        <w:tc>
          <w:tcPr>
            <w:tcW w:w="606" w:type="pct"/>
          </w:tcPr>
          <w:p w14:paraId="43484B16" w14:textId="77777777" w:rsidR="00154C03" w:rsidRDefault="00154C03" w:rsidP="001C28A7">
            <w:pPr>
              <w:pStyle w:val="Tablenumbers1"/>
              <w:widowControl w:val="0"/>
              <w:tabs>
                <w:tab w:val="clear" w:pos="1503"/>
              </w:tabs>
              <w:ind w:right="0"/>
              <w:jc w:val="right"/>
            </w:pPr>
          </w:p>
        </w:tc>
        <w:tc>
          <w:tcPr>
            <w:tcW w:w="606" w:type="pct"/>
            <w:vAlign w:val="bottom"/>
          </w:tcPr>
          <w:p w14:paraId="477575FD" w14:textId="77777777" w:rsidR="00154C03" w:rsidRDefault="00154C03" w:rsidP="001C28A7">
            <w:pPr>
              <w:pStyle w:val="Tablenumbers1"/>
              <w:widowControl w:val="0"/>
              <w:tabs>
                <w:tab w:val="clear" w:pos="1503"/>
              </w:tabs>
              <w:ind w:right="0"/>
              <w:jc w:val="right"/>
            </w:pPr>
          </w:p>
        </w:tc>
      </w:tr>
      <w:tr w:rsidR="00154C03" w:rsidRPr="00CA645C" w14:paraId="08BAFD03" w14:textId="77777777" w:rsidTr="001C28A7">
        <w:trPr>
          <w:cantSplit/>
          <w:trHeight w:val="23"/>
          <w:tblHeader/>
        </w:trPr>
        <w:tc>
          <w:tcPr>
            <w:tcW w:w="1970" w:type="pct"/>
            <w:vAlign w:val="bottom"/>
            <w:hideMark/>
          </w:tcPr>
          <w:p w14:paraId="2559B213" w14:textId="77777777" w:rsidR="00154C03" w:rsidRDefault="00154C03" w:rsidP="001C28A7">
            <w:pPr>
              <w:widowControl w:val="0"/>
              <w:ind w:left="113" w:hanging="113"/>
            </w:pPr>
            <w:r>
              <w:t>Loans and advances to customers</w:t>
            </w:r>
          </w:p>
        </w:tc>
        <w:tc>
          <w:tcPr>
            <w:tcW w:w="606" w:type="pct"/>
            <w:vAlign w:val="bottom"/>
          </w:tcPr>
          <w:p w14:paraId="7D115A31" w14:textId="77777777" w:rsidR="00154C03" w:rsidRDefault="00154C03" w:rsidP="001C28A7">
            <w:pPr>
              <w:pStyle w:val="Tablenumbers1"/>
              <w:widowControl w:val="0"/>
              <w:tabs>
                <w:tab w:val="clear" w:pos="1503"/>
              </w:tabs>
              <w:ind w:right="0"/>
              <w:jc w:val="right"/>
            </w:pPr>
          </w:p>
        </w:tc>
        <w:tc>
          <w:tcPr>
            <w:tcW w:w="606" w:type="pct"/>
            <w:vAlign w:val="bottom"/>
          </w:tcPr>
          <w:p w14:paraId="1DBE097B" w14:textId="77777777" w:rsidR="00154C03" w:rsidRDefault="00154C03" w:rsidP="001C28A7">
            <w:pPr>
              <w:pStyle w:val="Tablenumbers1"/>
              <w:widowControl w:val="0"/>
              <w:tabs>
                <w:tab w:val="clear" w:pos="1503"/>
              </w:tabs>
              <w:ind w:right="0"/>
              <w:jc w:val="right"/>
            </w:pPr>
          </w:p>
        </w:tc>
        <w:tc>
          <w:tcPr>
            <w:tcW w:w="606" w:type="pct"/>
            <w:vAlign w:val="bottom"/>
          </w:tcPr>
          <w:p w14:paraId="1E7E7AF1" w14:textId="77777777" w:rsidR="00154C03" w:rsidRDefault="00154C03" w:rsidP="001C28A7">
            <w:pPr>
              <w:pStyle w:val="Tablenumbers1"/>
              <w:widowControl w:val="0"/>
              <w:tabs>
                <w:tab w:val="clear" w:pos="1503"/>
              </w:tabs>
              <w:ind w:right="0"/>
              <w:jc w:val="right"/>
            </w:pPr>
          </w:p>
        </w:tc>
        <w:tc>
          <w:tcPr>
            <w:tcW w:w="606" w:type="pct"/>
          </w:tcPr>
          <w:p w14:paraId="753F3F6C" w14:textId="77777777" w:rsidR="00154C03" w:rsidRDefault="00154C03" w:rsidP="001C28A7">
            <w:pPr>
              <w:pStyle w:val="Tablenumbers1"/>
              <w:widowControl w:val="0"/>
              <w:tabs>
                <w:tab w:val="clear" w:pos="1503"/>
              </w:tabs>
              <w:ind w:right="0"/>
              <w:jc w:val="right"/>
            </w:pPr>
          </w:p>
        </w:tc>
        <w:tc>
          <w:tcPr>
            <w:tcW w:w="606" w:type="pct"/>
            <w:vAlign w:val="bottom"/>
          </w:tcPr>
          <w:p w14:paraId="16710434" w14:textId="77777777" w:rsidR="00154C03" w:rsidRDefault="00154C03" w:rsidP="001C28A7">
            <w:pPr>
              <w:pStyle w:val="Tablenumbers1"/>
              <w:widowControl w:val="0"/>
              <w:tabs>
                <w:tab w:val="clear" w:pos="1503"/>
              </w:tabs>
              <w:ind w:right="0"/>
              <w:jc w:val="right"/>
            </w:pPr>
          </w:p>
        </w:tc>
      </w:tr>
      <w:tr w:rsidR="00154C03" w14:paraId="21C2FC46" w14:textId="77777777" w:rsidTr="001C28A7">
        <w:trPr>
          <w:cantSplit/>
          <w:trHeight w:val="23"/>
          <w:tblHeader/>
        </w:trPr>
        <w:tc>
          <w:tcPr>
            <w:tcW w:w="1970" w:type="pct"/>
            <w:vAlign w:val="bottom"/>
            <w:hideMark/>
          </w:tcPr>
          <w:p w14:paraId="0888FF76" w14:textId="77777777" w:rsidR="00154C03" w:rsidRDefault="00154C03" w:rsidP="001C28A7">
            <w:pPr>
              <w:pStyle w:val="Rowheader"/>
              <w:widowControl w:val="0"/>
              <w:ind w:left="113" w:hanging="113"/>
              <w:rPr>
                <w:b w:val="0"/>
                <w:bCs/>
              </w:rPr>
            </w:pPr>
            <w:r>
              <w:rPr>
                <w:b w:val="0"/>
                <w:bCs/>
              </w:rPr>
              <w:t>Repurchase receivables</w:t>
            </w:r>
          </w:p>
        </w:tc>
        <w:tc>
          <w:tcPr>
            <w:tcW w:w="606" w:type="pct"/>
            <w:vAlign w:val="bottom"/>
          </w:tcPr>
          <w:p w14:paraId="0ABCFB28" w14:textId="77777777" w:rsidR="00154C03" w:rsidRDefault="00154C03" w:rsidP="001C28A7">
            <w:pPr>
              <w:pStyle w:val="Tablenumbers1"/>
              <w:widowControl w:val="0"/>
              <w:tabs>
                <w:tab w:val="clear" w:pos="1503"/>
              </w:tabs>
              <w:ind w:right="0"/>
              <w:jc w:val="right"/>
            </w:pPr>
          </w:p>
        </w:tc>
        <w:tc>
          <w:tcPr>
            <w:tcW w:w="606" w:type="pct"/>
            <w:vAlign w:val="bottom"/>
          </w:tcPr>
          <w:p w14:paraId="0EFBE43B" w14:textId="77777777" w:rsidR="00154C03" w:rsidRDefault="00154C03" w:rsidP="001C28A7">
            <w:pPr>
              <w:pStyle w:val="Tablenumbers1"/>
              <w:widowControl w:val="0"/>
              <w:tabs>
                <w:tab w:val="clear" w:pos="1503"/>
              </w:tabs>
              <w:ind w:right="0"/>
              <w:jc w:val="right"/>
            </w:pPr>
          </w:p>
        </w:tc>
        <w:tc>
          <w:tcPr>
            <w:tcW w:w="606" w:type="pct"/>
            <w:vAlign w:val="bottom"/>
          </w:tcPr>
          <w:p w14:paraId="706F75D6" w14:textId="77777777" w:rsidR="00154C03" w:rsidRDefault="00154C03" w:rsidP="001C28A7">
            <w:pPr>
              <w:pStyle w:val="Tablenumbers1"/>
              <w:widowControl w:val="0"/>
              <w:tabs>
                <w:tab w:val="clear" w:pos="1503"/>
              </w:tabs>
              <w:ind w:right="0"/>
              <w:jc w:val="right"/>
            </w:pPr>
          </w:p>
        </w:tc>
        <w:tc>
          <w:tcPr>
            <w:tcW w:w="606" w:type="pct"/>
          </w:tcPr>
          <w:p w14:paraId="7F087ABD" w14:textId="77777777" w:rsidR="00154C03" w:rsidRDefault="00154C03" w:rsidP="001C28A7">
            <w:pPr>
              <w:pStyle w:val="Tablenumbers1"/>
              <w:widowControl w:val="0"/>
              <w:tabs>
                <w:tab w:val="clear" w:pos="1503"/>
              </w:tabs>
              <w:ind w:right="0"/>
              <w:jc w:val="right"/>
            </w:pPr>
          </w:p>
        </w:tc>
        <w:tc>
          <w:tcPr>
            <w:tcW w:w="606" w:type="pct"/>
            <w:vAlign w:val="bottom"/>
          </w:tcPr>
          <w:p w14:paraId="0359A95D" w14:textId="77777777" w:rsidR="00154C03" w:rsidRDefault="00154C03" w:rsidP="001C28A7">
            <w:pPr>
              <w:pStyle w:val="Tablenumbers1"/>
              <w:widowControl w:val="0"/>
              <w:tabs>
                <w:tab w:val="clear" w:pos="1503"/>
              </w:tabs>
              <w:ind w:right="0"/>
              <w:jc w:val="right"/>
            </w:pPr>
          </w:p>
        </w:tc>
      </w:tr>
      <w:tr w:rsidR="00154C03" w14:paraId="413633F2" w14:textId="77777777" w:rsidTr="001C28A7">
        <w:trPr>
          <w:cantSplit/>
          <w:trHeight w:val="23"/>
          <w:tblHeader/>
        </w:trPr>
        <w:tc>
          <w:tcPr>
            <w:tcW w:w="1970" w:type="pct"/>
            <w:tcBorders>
              <w:top w:val="nil"/>
              <w:left w:val="nil"/>
              <w:bottom w:val="single" w:sz="2" w:space="0" w:color="auto"/>
              <w:right w:val="nil"/>
            </w:tcBorders>
            <w:vAlign w:val="bottom"/>
          </w:tcPr>
          <w:p w14:paraId="5054D8B4" w14:textId="77777777" w:rsidR="00154C03" w:rsidRDefault="00154C03" w:rsidP="001C28A7">
            <w:pPr>
              <w:pStyle w:val="Rowheader"/>
              <w:widowControl w:val="0"/>
              <w:ind w:left="113" w:hanging="113"/>
            </w:pPr>
          </w:p>
        </w:tc>
        <w:tc>
          <w:tcPr>
            <w:tcW w:w="606" w:type="pct"/>
            <w:tcBorders>
              <w:top w:val="nil"/>
              <w:left w:val="nil"/>
              <w:bottom w:val="single" w:sz="2" w:space="0" w:color="auto"/>
              <w:right w:val="nil"/>
            </w:tcBorders>
            <w:vAlign w:val="bottom"/>
          </w:tcPr>
          <w:p w14:paraId="620A51F9"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2" w:space="0" w:color="auto"/>
              <w:right w:val="nil"/>
            </w:tcBorders>
            <w:vAlign w:val="bottom"/>
          </w:tcPr>
          <w:p w14:paraId="40F79C77"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2" w:space="0" w:color="auto"/>
              <w:right w:val="nil"/>
            </w:tcBorders>
            <w:vAlign w:val="bottom"/>
          </w:tcPr>
          <w:p w14:paraId="763A675B"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2" w:space="0" w:color="auto"/>
              <w:right w:val="nil"/>
            </w:tcBorders>
          </w:tcPr>
          <w:p w14:paraId="399BFE01"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2" w:space="0" w:color="auto"/>
              <w:right w:val="nil"/>
            </w:tcBorders>
            <w:vAlign w:val="bottom"/>
          </w:tcPr>
          <w:p w14:paraId="306C2E3A" w14:textId="77777777" w:rsidR="00154C03" w:rsidRDefault="00154C03" w:rsidP="001C28A7">
            <w:pPr>
              <w:pStyle w:val="Tablenumbers1"/>
              <w:widowControl w:val="0"/>
              <w:tabs>
                <w:tab w:val="clear" w:pos="1503"/>
              </w:tabs>
              <w:ind w:right="0"/>
              <w:jc w:val="right"/>
            </w:pPr>
          </w:p>
        </w:tc>
      </w:tr>
      <w:tr w:rsidR="00154C03" w14:paraId="7D538BD2" w14:textId="77777777" w:rsidTr="001C28A7">
        <w:trPr>
          <w:cantSplit/>
          <w:trHeight w:val="23"/>
          <w:tblHeader/>
        </w:trPr>
        <w:tc>
          <w:tcPr>
            <w:tcW w:w="1970" w:type="pct"/>
            <w:tcBorders>
              <w:top w:val="single" w:sz="2" w:space="0" w:color="auto"/>
              <w:left w:val="nil"/>
              <w:bottom w:val="nil"/>
              <w:right w:val="nil"/>
            </w:tcBorders>
            <w:vAlign w:val="bottom"/>
          </w:tcPr>
          <w:p w14:paraId="5773B2B0" w14:textId="77777777" w:rsidR="00154C03" w:rsidRDefault="00154C03" w:rsidP="001C28A7">
            <w:pPr>
              <w:pStyle w:val="Rowheader"/>
              <w:widowControl w:val="0"/>
              <w:ind w:left="113" w:hanging="113"/>
            </w:pPr>
          </w:p>
        </w:tc>
        <w:tc>
          <w:tcPr>
            <w:tcW w:w="606" w:type="pct"/>
            <w:tcBorders>
              <w:top w:val="single" w:sz="2" w:space="0" w:color="auto"/>
              <w:left w:val="nil"/>
              <w:bottom w:val="nil"/>
              <w:right w:val="nil"/>
            </w:tcBorders>
            <w:vAlign w:val="bottom"/>
          </w:tcPr>
          <w:p w14:paraId="0C9AF9BC" w14:textId="77777777" w:rsidR="00154C03" w:rsidRDefault="00154C03" w:rsidP="001C28A7">
            <w:pPr>
              <w:pStyle w:val="Tablenumbers1"/>
              <w:widowControl w:val="0"/>
              <w:tabs>
                <w:tab w:val="clear" w:pos="1503"/>
              </w:tabs>
              <w:ind w:right="0"/>
              <w:jc w:val="right"/>
            </w:pPr>
          </w:p>
        </w:tc>
        <w:tc>
          <w:tcPr>
            <w:tcW w:w="606" w:type="pct"/>
            <w:tcBorders>
              <w:top w:val="single" w:sz="2" w:space="0" w:color="auto"/>
              <w:left w:val="nil"/>
              <w:bottom w:val="nil"/>
              <w:right w:val="nil"/>
            </w:tcBorders>
            <w:vAlign w:val="bottom"/>
          </w:tcPr>
          <w:p w14:paraId="306B5513" w14:textId="77777777" w:rsidR="00154C03" w:rsidRDefault="00154C03" w:rsidP="001C28A7">
            <w:pPr>
              <w:pStyle w:val="Tablenumbers1"/>
              <w:widowControl w:val="0"/>
              <w:tabs>
                <w:tab w:val="clear" w:pos="1503"/>
              </w:tabs>
              <w:ind w:right="0"/>
              <w:jc w:val="right"/>
            </w:pPr>
          </w:p>
        </w:tc>
        <w:tc>
          <w:tcPr>
            <w:tcW w:w="606" w:type="pct"/>
            <w:tcBorders>
              <w:top w:val="single" w:sz="2" w:space="0" w:color="auto"/>
              <w:left w:val="nil"/>
              <w:bottom w:val="nil"/>
              <w:right w:val="nil"/>
            </w:tcBorders>
            <w:vAlign w:val="bottom"/>
          </w:tcPr>
          <w:p w14:paraId="20AB8116" w14:textId="77777777" w:rsidR="00154C03" w:rsidRDefault="00154C03" w:rsidP="001C28A7">
            <w:pPr>
              <w:pStyle w:val="Tablenumbers1"/>
              <w:widowControl w:val="0"/>
              <w:tabs>
                <w:tab w:val="clear" w:pos="1503"/>
              </w:tabs>
              <w:ind w:right="0"/>
              <w:jc w:val="right"/>
            </w:pPr>
          </w:p>
        </w:tc>
        <w:tc>
          <w:tcPr>
            <w:tcW w:w="606" w:type="pct"/>
            <w:tcBorders>
              <w:top w:val="single" w:sz="2" w:space="0" w:color="auto"/>
              <w:left w:val="nil"/>
              <w:bottom w:val="nil"/>
              <w:right w:val="nil"/>
            </w:tcBorders>
          </w:tcPr>
          <w:p w14:paraId="6E83F1E5" w14:textId="77777777" w:rsidR="00154C03" w:rsidRDefault="00154C03" w:rsidP="001C28A7">
            <w:pPr>
              <w:pStyle w:val="Tablenumbers1"/>
              <w:widowControl w:val="0"/>
              <w:tabs>
                <w:tab w:val="clear" w:pos="1503"/>
              </w:tabs>
              <w:ind w:right="0"/>
              <w:jc w:val="right"/>
            </w:pPr>
          </w:p>
        </w:tc>
        <w:tc>
          <w:tcPr>
            <w:tcW w:w="606" w:type="pct"/>
            <w:tcBorders>
              <w:top w:val="single" w:sz="2" w:space="0" w:color="auto"/>
              <w:left w:val="nil"/>
              <w:bottom w:val="nil"/>
              <w:right w:val="nil"/>
            </w:tcBorders>
            <w:vAlign w:val="bottom"/>
          </w:tcPr>
          <w:p w14:paraId="56E3D447" w14:textId="77777777" w:rsidR="00154C03" w:rsidRDefault="00154C03" w:rsidP="001C28A7">
            <w:pPr>
              <w:pStyle w:val="Tablenumbers1"/>
              <w:widowControl w:val="0"/>
              <w:tabs>
                <w:tab w:val="clear" w:pos="1503"/>
              </w:tabs>
              <w:ind w:right="0"/>
              <w:jc w:val="right"/>
            </w:pPr>
          </w:p>
        </w:tc>
      </w:tr>
      <w:tr w:rsidR="00154C03" w:rsidRPr="00CA645C" w14:paraId="1AEB3121" w14:textId="77777777" w:rsidTr="001C28A7">
        <w:trPr>
          <w:cantSplit/>
          <w:trHeight w:val="23"/>
          <w:tblHeader/>
        </w:trPr>
        <w:tc>
          <w:tcPr>
            <w:tcW w:w="1970" w:type="pct"/>
            <w:vAlign w:val="bottom"/>
            <w:hideMark/>
          </w:tcPr>
          <w:p w14:paraId="0927E3F0" w14:textId="77777777" w:rsidR="00154C03" w:rsidRDefault="00154C03" w:rsidP="001C28A7">
            <w:pPr>
              <w:pStyle w:val="Rowheader"/>
              <w:widowControl w:val="0"/>
              <w:ind w:left="113" w:hanging="113"/>
            </w:pPr>
            <w:r>
              <w:t xml:space="preserve">TOTAL </w:t>
            </w:r>
            <w:r>
              <w:rPr>
                <w:bCs/>
              </w:rPr>
              <w:t>NON-DERIVATIVE FINANCIAL ASSETS</w:t>
            </w:r>
          </w:p>
        </w:tc>
        <w:tc>
          <w:tcPr>
            <w:tcW w:w="606" w:type="pct"/>
            <w:vAlign w:val="bottom"/>
          </w:tcPr>
          <w:p w14:paraId="5A603059" w14:textId="77777777" w:rsidR="00154C03" w:rsidRDefault="00154C03" w:rsidP="001C28A7">
            <w:pPr>
              <w:pStyle w:val="Tablenumbers1"/>
              <w:widowControl w:val="0"/>
              <w:tabs>
                <w:tab w:val="clear" w:pos="1503"/>
              </w:tabs>
              <w:ind w:right="0"/>
              <w:jc w:val="right"/>
            </w:pPr>
          </w:p>
        </w:tc>
        <w:tc>
          <w:tcPr>
            <w:tcW w:w="606" w:type="pct"/>
            <w:vAlign w:val="bottom"/>
          </w:tcPr>
          <w:p w14:paraId="372BAF15" w14:textId="77777777" w:rsidR="00154C03" w:rsidRDefault="00154C03" w:rsidP="001C28A7">
            <w:pPr>
              <w:pStyle w:val="Tablenumbers1"/>
              <w:widowControl w:val="0"/>
              <w:tabs>
                <w:tab w:val="clear" w:pos="1503"/>
              </w:tabs>
              <w:ind w:right="0"/>
              <w:jc w:val="right"/>
            </w:pPr>
          </w:p>
        </w:tc>
        <w:tc>
          <w:tcPr>
            <w:tcW w:w="606" w:type="pct"/>
            <w:vAlign w:val="bottom"/>
          </w:tcPr>
          <w:p w14:paraId="21E88FEC" w14:textId="77777777" w:rsidR="00154C03" w:rsidRDefault="00154C03" w:rsidP="001C28A7">
            <w:pPr>
              <w:pStyle w:val="Tablenumbers1"/>
              <w:widowControl w:val="0"/>
              <w:tabs>
                <w:tab w:val="clear" w:pos="1503"/>
              </w:tabs>
              <w:ind w:right="0"/>
              <w:jc w:val="right"/>
            </w:pPr>
          </w:p>
        </w:tc>
        <w:tc>
          <w:tcPr>
            <w:tcW w:w="606" w:type="pct"/>
          </w:tcPr>
          <w:p w14:paraId="71E61BA9" w14:textId="77777777" w:rsidR="00154C03" w:rsidRDefault="00154C03" w:rsidP="001C28A7">
            <w:pPr>
              <w:pStyle w:val="Tablenumbers1"/>
              <w:widowControl w:val="0"/>
              <w:tabs>
                <w:tab w:val="clear" w:pos="1503"/>
              </w:tabs>
              <w:ind w:right="0"/>
              <w:jc w:val="right"/>
            </w:pPr>
          </w:p>
        </w:tc>
        <w:tc>
          <w:tcPr>
            <w:tcW w:w="606" w:type="pct"/>
            <w:vAlign w:val="bottom"/>
          </w:tcPr>
          <w:p w14:paraId="23C014D0" w14:textId="77777777" w:rsidR="00154C03" w:rsidRDefault="00154C03" w:rsidP="001C28A7">
            <w:pPr>
              <w:pStyle w:val="Tablenumbers1"/>
              <w:widowControl w:val="0"/>
              <w:tabs>
                <w:tab w:val="clear" w:pos="1503"/>
              </w:tabs>
              <w:ind w:right="0"/>
              <w:jc w:val="right"/>
            </w:pPr>
          </w:p>
        </w:tc>
      </w:tr>
      <w:tr w:rsidR="00154C03" w:rsidRPr="00CA645C" w14:paraId="5D8D20D8" w14:textId="77777777" w:rsidTr="001C28A7">
        <w:trPr>
          <w:cantSplit/>
          <w:trHeight w:val="23"/>
          <w:tblHeader/>
        </w:trPr>
        <w:tc>
          <w:tcPr>
            <w:tcW w:w="1970" w:type="pct"/>
            <w:tcBorders>
              <w:top w:val="nil"/>
              <w:left w:val="nil"/>
              <w:bottom w:val="single" w:sz="12" w:space="0" w:color="auto"/>
              <w:right w:val="nil"/>
            </w:tcBorders>
            <w:vAlign w:val="bottom"/>
          </w:tcPr>
          <w:p w14:paraId="4BC86FFE" w14:textId="77777777" w:rsidR="00154C03" w:rsidRDefault="00154C03" w:rsidP="001C28A7">
            <w:pPr>
              <w:pStyle w:val="Rowheader"/>
              <w:widowControl w:val="0"/>
              <w:ind w:left="113" w:hanging="113"/>
            </w:pPr>
          </w:p>
        </w:tc>
        <w:tc>
          <w:tcPr>
            <w:tcW w:w="606" w:type="pct"/>
            <w:tcBorders>
              <w:top w:val="nil"/>
              <w:left w:val="nil"/>
              <w:bottom w:val="single" w:sz="12" w:space="0" w:color="auto"/>
              <w:right w:val="nil"/>
            </w:tcBorders>
            <w:vAlign w:val="bottom"/>
          </w:tcPr>
          <w:p w14:paraId="637D352B"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12" w:space="0" w:color="auto"/>
              <w:right w:val="nil"/>
            </w:tcBorders>
            <w:vAlign w:val="bottom"/>
          </w:tcPr>
          <w:p w14:paraId="556DA0EA"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12" w:space="0" w:color="auto"/>
              <w:right w:val="nil"/>
            </w:tcBorders>
            <w:vAlign w:val="bottom"/>
          </w:tcPr>
          <w:p w14:paraId="69C3193B"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12" w:space="0" w:color="auto"/>
              <w:right w:val="nil"/>
            </w:tcBorders>
          </w:tcPr>
          <w:p w14:paraId="7CABDFAC"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12" w:space="0" w:color="auto"/>
              <w:right w:val="nil"/>
            </w:tcBorders>
            <w:vAlign w:val="bottom"/>
          </w:tcPr>
          <w:p w14:paraId="68B0B142" w14:textId="77777777" w:rsidR="00154C03" w:rsidRDefault="00154C03" w:rsidP="001C28A7">
            <w:pPr>
              <w:pStyle w:val="Tablenumbers1"/>
              <w:widowControl w:val="0"/>
              <w:tabs>
                <w:tab w:val="clear" w:pos="1503"/>
              </w:tabs>
              <w:ind w:right="0"/>
              <w:jc w:val="right"/>
            </w:pPr>
          </w:p>
        </w:tc>
      </w:tr>
      <w:tr w:rsidR="00154C03" w:rsidRPr="00CA645C" w14:paraId="225926F2" w14:textId="77777777" w:rsidTr="001C28A7">
        <w:trPr>
          <w:cantSplit/>
          <w:trHeight w:val="23"/>
          <w:tblHeader/>
        </w:trPr>
        <w:tc>
          <w:tcPr>
            <w:tcW w:w="1970" w:type="pct"/>
            <w:tcBorders>
              <w:top w:val="single" w:sz="12" w:space="0" w:color="auto"/>
              <w:left w:val="nil"/>
              <w:bottom w:val="nil"/>
              <w:right w:val="nil"/>
            </w:tcBorders>
            <w:vAlign w:val="bottom"/>
          </w:tcPr>
          <w:p w14:paraId="0A31DF94" w14:textId="77777777" w:rsidR="00154C03" w:rsidRDefault="00154C03" w:rsidP="001C28A7">
            <w:pPr>
              <w:pStyle w:val="Rowheader"/>
              <w:widowControl w:val="0"/>
              <w:ind w:left="113" w:hanging="113"/>
            </w:pPr>
          </w:p>
        </w:tc>
        <w:tc>
          <w:tcPr>
            <w:tcW w:w="606" w:type="pct"/>
            <w:tcBorders>
              <w:top w:val="single" w:sz="12" w:space="0" w:color="auto"/>
              <w:left w:val="nil"/>
              <w:bottom w:val="nil"/>
              <w:right w:val="nil"/>
            </w:tcBorders>
            <w:vAlign w:val="bottom"/>
          </w:tcPr>
          <w:p w14:paraId="365AF3D4" w14:textId="77777777" w:rsidR="00154C03" w:rsidRDefault="00154C03" w:rsidP="001C28A7">
            <w:pPr>
              <w:pStyle w:val="Tablenumbers1"/>
              <w:widowControl w:val="0"/>
              <w:tabs>
                <w:tab w:val="clear" w:pos="1503"/>
              </w:tabs>
              <w:ind w:right="0"/>
              <w:jc w:val="right"/>
            </w:pPr>
          </w:p>
        </w:tc>
        <w:tc>
          <w:tcPr>
            <w:tcW w:w="606" w:type="pct"/>
            <w:tcBorders>
              <w:top w:val="single" w:sz="12" w:space="0" w:color="auto"/>
              <w:left w:val="nil"/>
              <w:bottom w:val="nil"/>
              <w:right w:val="nil"/>
            </w:tcBorders>
            <w:vAlign w:val="bottom"/>
          </w:tcPr>
          <w:p w14:paraId="5A48D54B" w14:textId="77777777" w:rsidR="00154C03" w:rsidRDefault="00154C03" w:rsidP="001C28A7">
            <w:pPr>
              <w:pStyle w:val="Tablenumbers1"/>
              <w:widowControl w:val="0"/>
              <w:tabs>
                <w:tab w:val="clear" w:pos="1503"/>
              </w:tabs>
              <w:ind w:right="0"/>
              <w:jc w:val="right"/>
            </w:pPr>
          </w:p>
        </w:tc>
        <w:tc>
          <w:tcPr>
            <w:tcW w:w="606" w:type="pct"/>
            <w:tcBorders>
              <w:top w:val="single" w:sz="12" w:space="0" w:color="auto"/>
              <w:left w:val="nil"/>
              <w:bottom w:val="nil"/>
              <w:right w:val="nil"/>
            </w:tcBorders>
            <w:vAlign w:val="bottom"/>
          </w:tcPr>
          <w:p w14:paraId="372B90D0" w14:textId="77777777" w:rsidR="00154C03" w:rsidRDefault="00154C03" w:rsidP="001C28A7">
            <w:pPr>
              <w:pStyle w:val="Tablenumbers1"/>
              <w:widowControl w:val="0"/>
              <w:tabs>
                <w:tab w:val="clear" w:pos="1503"/>
              </w:tabs>
              <w:ind w:right="0"/>
              <w:jc w:val="right"/>
            </w:pPr>
          </w:p>
        </w:tc>
        <w:tc>
          <w:tcPr>
            <w:tcW w:w="606" w:type="pct"/>
            <w:tcBorders>
              <w:top w:val="single" w:sz="12" w:space="0" w:color="auto"/>
              <w:left w:val="nil"/>
              <w:bottom w:val="nil"/>
              <w:right w:val="nil"/>
            </w:tcBorders>
          </w:tcPr>
          <w:p w14:paraId="1D5F4AFD" w14:textId="77777777" w:rsidR="00154C03" w:rsidRDefault="00154C03" w:rsidP="001C28A7">
            <w:pPr>
              <w:pStyle w:val="Tablenumbers1"/>
              <w:widowControl w:val="0"/>
              <w:tabs>
                <w:tab w:val="clear" w:pos="1503"/>
              </w:tabs>
              <w:ind w:right="0"/>
              <w:jc w:val="right"/>
            </w:pPr>
          </w:p>
        </w:tc>
        <w:tc>
          <w:tcPr>
            <w:tcW w:w="606" w:type="pct"/>
            <w:tcBorders>
              <w:top w:val="single" w:sz="12" w:space="0" w:color="auto"/>
              <w:left w:val="nil"/>
              <w:bottom w:val="nil"/>
              <w:right w:val="nil"/>
            </w:tcBorders>
            <w:vAlign w:val="bottom"/>
          </w:tcPr>
          <w:p w14:paraId="6BCC9410" w14:textId="77777777" w:rsidR="00154C03" w:rsidRDefault="00154C03" w:rsidP="001C28A7">
            <w:pPr>
              <w:pStyle w:val="Tablenumbers1"/>
              <w:widowControl w:val="0"/>
              <w:tabs>
                <w:tab w:val="clear" w:pos="1503"/>
              </w:tabs>
              <w:ind w:right="0"/>
              <w:jc w:val="right"/>
            </w:pPr>
          </w:p>
        </w:tc>
      </w:tr>
      <w:tr w:rsidR="00154C03" w14:paraId="45DEAA32" w14:textId="77777777" w:rsidTr="001C28A7">
        <w:trPr>
          <w:cantSplit/>
          <w:trHeight w:val="23"/>
          <w:tblHeader/>
        </w:trPr>
        <w:tc>
          <w:tcPr>
            <w:tcW w:w="1970" w:type="pct"/>
            <w:vAlign w:val="bottom"/>
            <w:hideMark/>
          </w:tcPr>
          <w:p w14:paraId="5137D294" w14:textId="77777777" w:rsidR="00154C03" w:rsidRDefault="00154C03" w:rsidP="001C28A7">
            <w:pPr>
              <w:pStyle w:val="Rowheader"/>
              <w:widowControl w:val="0"/>
              <w:ind w:left="113" w:hanging="113"/>
            </w:pPr>
            <w:r>
              <w:rPr>
                <w:bCs/>
              </w:rPr>
              <w:t>NON-DERIVATIVE FINANCIAL LIABILITIES</w:t>
            </w:r>
          </w:p>
        </w:tc>
        <w:tc>
          <w:tcPr>
            <w:tcW w:w="606" w:type="pct"/>
            <w:vAlign w:val="bottom"/>
          </w:tcPr>
          <w:p w14:paraId="6596483D" w14:textId="77777777" w:rsidR="00154C03" w:rsidRDefault="00154C03" w:rsidP="001C28A7">
            <w:pPr>
              <w:pStyle w:val="Tablenumbers1"/>
              <w:widowControl w:val="0"/>
              <w:tabs>
                <w:tab w:val="clear" w:pos="1503"/>
              </w:tabs>
              <w:ind w:right="0"/>
              <w:jc w:val="right"/>
            </w:pPr>
          </w:p>
        </w:tc>
        <w:tc>
          <w:tcPr>
            <w:tcW w:w="606" w:type="pct"/>
            <w:vAlign w:val="bottom"/>
          </w:tcPr>
          <w:p w14:paraId="515E2925" w14:textId="77777777" w:rsidR="00154C03" w:rsidRDefault="00154C03" w:rsidP="001C28A7">
            <w:pPr>
              <w:pStyle w:val="Tablenumbers1"/>
              <w:widowControl w:val="0"/>
              <w:tabs>
                <w:tab w:val="clear" w:pos="1503"/>
              </w:tabs>
              <w:ind w:right="0"/>
              <w:jc w:val="right"/>
            </w:pPr>
          </w:p>
        </w:tc>
        <w:tc>
          <w:tcPr>
            <w:tcW w:w="606" w:type="pct"/>
            <w:vAlign w:val="bottom"/>
          </w:tcPr>
          <w:p w14:paraId="245D5A3E" w14:textId="77777777" w:rsidR="00154C03" w:rsidRDefault="00154C03" w:rsidP="001C28A7">
            <w:pPr>
              <w:pStyle w:val="Tablenumbers1"/>
              <w:widowControl w:val="0"/>
              <w:tabs>
                <w:tab w:val="clear" w:pos="1503"/>
              </w:tabs>
              <w:ind w:right="0"/>
              <w:jc w:val="right"/>
            </w:pPr>
          </w:p>
        </w:tc>
        <w:tc>
          <w:tcPr>
            <w:tcW w:w="606" w:type="pct"/>
          </w:tcPr>
          <w:p w14:paraId="2C5BC249" w14:textId="77777777" w:rsidR="00154C03" w:rsidRDefault="00154C03" w:rsidP="001C28A7">
            <w:pPr>
              <w:pStyle w:val="Tablenumbers1"/>
              <w:widowControl w:val="0"/>
              <w:tabs>
                <w:tab w:val="clear" w:pos="1503"/>
              </w:tabs>
              <w:ind w:right="0"/>
              <w:jc w:val="right"/>
            </w:pPr>
          </w:p>
        </w:tc>
        <w:tc>
          <w:tcPr>
            <w:tcW w:w="606" w:type="pct"/>
            <w:vAlign w:val="bottom"/>
          </w:tcPr>
          <w:p w14:paraId="5739221E" w14:textId="77777777" w:rsidR="00154C03" w:rsidRDefault="00154C03" w:rsidP="001C28A7">
            <w:pPr>
              <w:pStyle w:val="Tablenumbers1"/>
              <w:widowControl w:val="0"/>
              <w:tabs>
                <w:tab w:val="clear" w:pos="1503"/>
              </w:tabs>
              <w:ind w:right="0"/>
              <w:jc w:val="right"/>
            </w:pPr>
          </w:p>
        </w:tc>
      </w:tr>
      <w:tr w:rsidR="00154C03" w14:paraId="04E228AE" w14:textId="77777777" w:rsidTr="001C28A7">
        <w:trPr>
          <w:cantSplit/>
          <w:trHeight w:val="23"/>
          <w:tblHeader/>
        </w:trPr>
        <w:tc>
          <w:tcPr>
            <w:tcW w:w="1970" w:type="pct"/>
            <w:vAlign w:val="bottom"/>
            <w:hideMark/>
          </w:tcPr>
          <w:p w14:paraId="0A341D14" w14:textId="77777777" w:rsidR="00154C03" w:rsidRDefault="00154C03" w:rsidP="001C28A7">
            <w:pPr>
              <w:pStyle w:val="Rowheader"/>
              <w:widowControl w:val="0"/>
              <w:ind w:left="113" w:hanging="113"/>
              <w:rPr>
                <w:b w:val="0"/>
                <w:bCs/>
              </w:rPr>
            </w:pPr>
            <w:r>
              <w:rPr>
                <w:b w:val="0"/>
                <w:bCs/>
              </w:rPr>
              <w:t>Due to other banks</w:t>
            </w:r>
          </w:p>
        </w:tc>
        <w:tc>
          <w:tcPr>
            <w:tcW w:w="606" w:type="pct"/>
            <w:vAlign w:val="bottom"/>
          </w:tcPr>
          <w:p w14:paraId="0C4C44BC" w14:textId="77777777" w:rsidR="00154C03" w:rsidRDefault="00154C03" w:rsidP="001C28A7">
            <w:pPr>
              <w:pStyle w:val="Tablenumbers1"/>
              <w:widowControl w:val="0"/>
              <w:tabs>
                <w:tab w:val="clear" w:pos="1503"/>
              </w:tabs>
              <w:ind w:right="0"/>
              <w:jc w:val="right"/>
            </w:pPr>
          </w:p>
        </w:tc>
        <w:tc>
          <w:tcPr>
            <w:tcW w:w="606" w:type="pct"/>
            <w:vAlign w:val="bottom"/>
          </w:tcPr>
          <w:p w14:paraId="64F5AA2D" w14:textId="77777777" w:rsidR="00154C03" w:rsidRDefault="00154C03" w:rsidP="001C28A7">
            <w:pPr>
              <w:pStyle w:val="Tablenumbers1"/>
              <w:widowControl w:val="0"/>
              <w:tabs>
                <w:tab w:val="clear" w:pos="1503"/>
              </w:tabs>
              <w:ind w:right="0"/>
              <w:jc w:val="right"/>
            </w:pPr>
          </w:p>
        </w:tc>
        <w:tc>
          <w:tcPr>
            <w:tcW w:w="606" w:type="pct"/>
            <w:vAlign w:val="bottom"/>
          </w:tcPr>
          <w:p w14:paraId="3F8E5DEF" w14:textId="77777777" w:rsidR="00154C03" w:rsidRDefault="00154C03" w:rsidP="001C28A7">
            <w:pPr>
              <w:pStyle w:val="Tablenumbers1"/>
              <w:widowControl w:val="0"/>
              <w:tabs>
                <w:tab w:val="clear" w:pos="1503"/>
              </w:tabs>
              <w:ind w:right="0"/>
              <w:jc w:val="right"/>
            </w:pPr>
          </w:p>
        </w:tc>
        <w:tc>
          <w:tcPr>
            <w:tcW w:w="606" w:type="pct"/>
          </w:tcPr>
          <w:p w14:paraId="53B66EA4" w14:textId="77777777" w:rsidR="00154C03" w:rsidRDefault="00154C03" w:rsidP="001C28A7">
            <w:pPr>
              <w:pStyle w:val="Tablenumbers1"/>
              <w:widowControl w:val="0"/>
              <w:tabs>
                <w:tab w:val="clear" w:pos="1503"/>
              </w:tabs>
              <w:ind w:right="0"/>
              <w:jc w:val="right"/>
            </w:pPr>
          </w:p>
        </w:tc>
        <w:tc>
          <w:tcPr>
            <w:tcW w:w="606" w:type="pct"/>
            <w:vAlign w:val="bottom"/>
          </w:tcPr>
          <w:p w14:paraId="18BF7B19" w14:textId="77777777" w:rsidR="00154C03" w:rsidRDefault="00154C03" w:rsidP="001C28A7">
            <w:pPr>
              <w:pStyle w:val="Tablenumbers1"/>
              <w:widowControl w:val="0"/>
              <w:tabs>
                <w:tab w:val="clear" w:pos="1503"/>
              </w:tabs>
              <w:ind w:right="0"/>
              <w:jc w:val="right"/>
            </w:pPr>
          </w:p>
        </w:tc>
      </w:tr>
      <w:tr w:rsidR="00154C03" w14:paraId="122C1AC8" w14:textId="77777777" w:rsidTr="001C28A7">
        <w:trPr>
          <w:cantSplit/>
          <w:trHeight w:val="23"/>
          <w:tblHeader/>
        </w:trPr>
        <w:tc>
          <w:tcPr>
            <w:tcW w:w="1970" w:type="pct"/>
            <w:vAlign w:val="bottom"/>
            <w:hideMark/>
          </w:tcPr>
          <w:p w14:paraId="733F5055" w14:textId="77777777" w:rsidR="00154C03" w:rsidRDefault="00154C03" w:rsidP="001C28A7">
            <w:pPr>
              <w:pStyle w:val="Rowheader"/>
              <w:widowControl w:val="0"/>
              <w:ind w:left="113" w:hanging="113"/>
              <w:rPr>
                <w:b w:val="0"/>
                <w:bCs/>
              </w:rPr>
            </w:pPr>
            <w:r>
              <w:rPr>
                <w:b w:val="0"/>
                <w:bCs/>
              </w:rPr>
              <w:t>Customer accounts</w:t>
            </w:r>
          </w:p>
        </w:tc>
        <w:tc>
          <w:tcPr>
            <w:tcW w:w="606" w:type="pct"/>
            <w:vAlign w:val="bottom"/>
          </w:tcPr>
          <w:p w14:paraId="5EF9C4C3" w14:textId="77777777" w:rsidR="00154C03" w:rsidRDefault="00154C03" w:rsidP="001C28A7">
            <w:pPr>
              <w:pStyle w:val="Tablenumbers1"/>
              <w:widowControl w:val="0"/>
              <w:tabs>
                <w:tab w:val="clear" w:pos="1503"/>
              </w:tabs>
              <w:ind w:right="0"/>
              <w:jc w:val="right"/>
            </w:pPr>
          </w:p>
        </w:tc>
        <w:tc>
          <w:tcPr>
            <w:tcW w:w="606" w:type="pct"/>
            <w:vAlign w:val="bottom"/>
          </w:tcPr>
          <w:p w14:paraId="2EFE5EA8" w14:textId="77777777" w:rsidR="00154C03" w:rsidRDefault="00154C03" w:rsidP="001C28A7">
            <w:pPr>
              <w:pStyle w:val="Tablenumbers1"/>
              <w:widowControl w:val="0"/>
              <w:tabs>
                <w:tab w:val="clear" w:pos="1503"/>
              </w:tabs>
              <w:ind w:right="0"/>
              <w:jc w:val="right"/>
            </w:pPr>
          </w:p>
        </w:tc>
        <w:tc>
          <w:tcPr>
            <w:tcW w:w="606" w:type="pct"/>
            <w:vAlign w:val="bottom"/>
          </w:tcPr>
          <w:p w14:paraId="6F82297F" w14:textId="77777777" w:rsidR="00154C03" w:rsidRDefault="00154C03" w:rsidP="001C28A7">
            <w:pPr>
              <w:pStyle w:val="Tablenumbers1"/>
              <w:widowControl w:val="0"/>
              <w:tabs>
                <w:tab w:val="clear" w:pos="1503"/>
              </w:tabs>
              <w:ind w:right="0"/>
              <w:jc w:val="right"/>
            </w:pPr>
          </w:p>
        </w:tc>
        <w:tc>
          <w:tcPr>
            <w:tcW w:w="606" w:type="pct"/>
          </w:tcPr>
          <w:p w14:paraId="6F7EDE80" w14:textId="77777777" w:rsidR="00154C03" w:rsidRDefault="00154C03" w:rsidP="001C28A7">
            <w:pPr>
              <w:pStyle w:val="Tablenumbers1"/>
              <w:widowControl w:val="0"/>
              <w:tabs>
                <w:tab w:val="clear" w:pos="1503"/>
              </w:tabs>
              <w:ind w:right="0"/>
              <w:jc w:val="right"/>
            </w:pPr>
          </w:p>
        </w:tc>
        <w:tc>
          <w:tcPr>
            <w:tcW w:w="606" w:type="pct"/>
            <w:vAlign w:val="bottom"/>
          </w:tcPr>
          <w:p w14:paraId="712ACDF5" w14:textId="77777777" w:rsidR="00154C03" w:rsidRDefault="00154C03" w:rsidP="001C28A7">
            <w:pPr>
              <w:pStyle w:val="Tablenumbers1"/>
              <w:widowControl w:val="0"/>
              <w:tabs>
                <w:tab w:val="clear" w:pos="1503"/>
              </w:tabs>
              <w:ind w:right="0"/>
              <w:jc w:val="right"/>
            </w:pPr>
          </w:p>
        </w:tc>
      </w:tr>
      <w:tr w:rsidR="00154C03" w14:paraId="3184ECC6" w14:textId="77777777" w:rsidTr="001C28A7">
        <w:trPr>
          <w:cantSplit/>
          <w:trHeight w:val="23"/>
          <w:tblHeader/>
        </w:trPr>
        <w:tc>
          <w:tcPr>
            <w:tcW w:w="1970" w:type="pct"/>
            <w:vAlign w:val="bottom"/>
            <w:hideMark/>
          </w:tcPr>
          <w:p w14:paraId="410C17FD" w14:textId="77777777" w:rsidR="00154C03" w:rsidRDefault="00154C03" w:rsidP="001C28A7">
            <w:pPr>
              <w:pStyle w:val="Rowheader"/>
              <w:widowControl w:val="0"/>
              <w:ind w:left="113" w:hanging="113"/>
              <w:rPr>
                <w:b w:val="0"/>
                <w:bCs/>
              </w:rPr>
            </w:pPr>
            <w:r>
              <w:rPr>
                <w:b w:val="0"/>
                <w:bCs/>
              </w:rPr>
              <w:t>Debt securities in issue</w:t>
            </w:r>
          </w:p>
        </w:tc>
        <w:tc>
          <w:tcPr>
            <w:tcW w:w="606" w:type="pct"/>
            <w:vAlign w:val="bottom"/>
          </w:tcPr>
          <w:p w14:paraId="08011AA2" w14:textId="77777777" w:rsidR="00154C03" w:rsidRDefault="00154C03" w:rsidP="001C28A7">
            <w:pPr>
              <w:pStyle w:val="Tablenumbers1"/>
              <w:widowControl w:val="0"/>
              <w:tabs>
                <w:tab w:val="clear" w:pos="1503"/>
              </w:tabs>
              <w:ind w:right="0"/>
              <w:jc w:val="right"/>
            </w:pPr>
          </w:p>
        </w:tc>
        <w:tc>
          <w:tcPr>
            <w:tcW w:w="606" w:type="pct"/>
            <w:vAlign w:val="bottom"/>
          </w:tcPr>
          <w:p w14:paraId="2D676489" w14:textId="77777777" w:rsidR="00154C03" w:rsidRDefault="00154C03" w:rsidP="001C28A7">
            <w:pPr>
              <w:pStyle w:val="Tablenumbers1"/>
              <w:widowControl w:val="0"/>
              <w:tabs>
                <w:tab w:val="clear" w:pos="1503"/>
              </w:tabs>
              <w:ind w:right="0"/>
              <w:jc w:val="right"/>
            </w:pPr>
          </w:p>
        </w:tc>
        <w:tc>
          <w:tcPr>
            <w:tcW w:w="606" w:type="pct"/>
            <w:vAlign w:val="bottom"/>
          </w:tcPr>
          <w:p w14:paraId="7288B1A2" w14:textId="77777777" w:rsidR="00154C03" w:rsidRDefault="00154C03" w:rsidP="001C28A7">
            <w:pPr>
              <w:pStyle w:val="Tablenumbers1"/>
              <w:widowControl w:val="0"/>
              <w:tabs>
                <w:tab w:val="clear" w:pos="1503"/>
              </w:tabs>
              <w:ind w:right="0"/>
              <w:jc w:val="right"/>
            </w:pPr>
          </w:p>
        </w:tc>
        <w:tc>
          <w:tcPr>
            <w:tcW w:w="606" w:type="pct"/>
          </w:tcPr>
          <w:p w14:paraId="01139A34" w14:textId="77777777" w:rsidR="00154C03" w:rsidRDefault="00154C03" w:rsidP="001C28A7">
            <w:pPr>
              <w:pStyle w:val="Tablenumbers1"/>
              <w:widowControl w:val="0"/>
              <w:tabs>
                <w:tab w:val="clear" w:pos="1503"/>
              </w:tabs>
              <w:ind w:right="0"/>
              <w:jc w:val="right"/>
            </w:pPr>
          </w:p>
        </w:tc>
        <w:tc>
          <w:tcPr>
            <w:tcW w:w="606" w:type="pct"/>
            <w:vAlign w:val="bottom"/>
          </w:tcPr>
          <w:p w14:paraId="680F643A" w14:textId="77777777" w:rsidR="00154C03" w:rsidRDefault="00154C03" w:rsidP="001C28A7">
            <w:pPr>
              <w:pStyle w:val="Tablenumbers1"/>
              <w:widowControl w:val="0"/>
              <w:tabs>
                <w:tab w:val="clear" w:pos="1503"/>
              </w:tabs>
              <w:ind w:right="0"/>
              <w:jc w:val="right"/>
            </w:pPr>
          </w:p>
        </w:tc>
      </w:tr>
      <w:tr w:rsidR="00154C03" w14:paraId="7DDB2BEC" w14:textId="77777777" w:rsidTr="001C28A7">
        <w:trPr>
          <w:cantSplit/>
          <w:trHeight w:val="23"/>
          <w:tblHeader/>
        </w:trPr>
        <w:tc>
          <w:tcPr>
            <w:tcW w:w="1970" w:type="pct"/>
            <w:tcBorders>
              <w:top w:val="nil"/>
              <w:left w:val="nil"/>
              <w:bottom w:val="single" w:sz="2" w:space="0" w:color="auto"/>
              <w:right w:val="nil"/>
            </w:tcBorders>
            <w:vAlign w:val="bottom"/>
          </w:tcPr>
          <w:p w14:paraId="537C35DB" w14:textId="77777777" w:rsidR="00154C03" w:rsidRDefault="00154C03" w:rsidP="001C28A7">
            <w:pPr>
              <w:pStyle w:val="Rowheader"/>
              <w:widowControl w:val="0"/>
              <w:ind w:left="113" w:hanging="113"/>
            </w:pPr>
          </w:p>
        </w:tc>
        <w:tc>
          <w:tcPr>
            <w:tcW w:w="606" w:type="pct"/>
            <w:tcBorders>
              <w:top w:val="nil"/>
              <w:left w:val="nil"/>
              <w:bottom w:val="single" w:sz="2" w:space="0" w:color="auto"/>
              <w:right w:val="nil"/>
            </w:tcBorders>
            <w:vAlign w:val="bottom"/>
          </w:tcPr>
          <w:p w14:paraId="5F2AE8CD" w14:textId="77777777" w:rsidR="00154C03" w:rsidRDefault="00154C03" w:rsidP="001C28A7">
            <w:pPr>
              <w:pStyle w:val="Tablenumbers1"/>
              <w:widowControl w:val="0"/>
              <w:tabs>
                <w:tab w:val="clear" w:pos="1503"/>
              </w:tabs>
              <w:ind w:right="0"/>
              <w:jc w:val="right"/>
              <w:rPr>
                <w:b/>
              </w:rPr>
            </w:pPr>
          </w:p>
        </w:tc>
        <w:tc>
          <w:tcPr>
            <w:tcW w:w="606" w:type="pct"/>
            <w:tcBorders>
              <w:top w:val="nil"/>
              <w:left w:val="nil"/>
              <w:bottom w:val="single" w:sz="2" w:space="0" w:color="auto"/>
              <w:right w:val="nil"/>
            </w:tcBorders>
            <w:vAlign w:val="bottom"/>
          </w:tcPr>
          <w:p w14:paraId="0C31DCF0" w14:textId="77777777" w:rsidR="00154C03" w:rsidRDefault="00154C03" w:rsidP="001C28A7">
            <w:pPr>
              <w:pStyle w:val="Tablenumbers1"/>
              <w:widowControl w:val="0"/>
              <w:tabs>
                <w:tab w:val="clear" w:pos="1503"/>
              </w:tabs>
              <w:ind w:right="0"/>
              <w:jc w:val="right"/>
              <w:rPr>
                <w:b/>
              </w:rPr>
            </w:pPr>
          </w:p>
        </w:tc>
        <w:tc>
          <w:tcPr>
            <w:tcW w:w="606" w:type="pct"/>
            <w:tcBorders>
              <w:top w:val="nil"/>
              <w:left w:val="nil"/>
              <w:bottom w:val="single" w:sz="2" w:space="0" w:color="auto"/>
              <w:right w:val="nil"/>
            </w:tcBorders>
            <w:vAlign w:val="bottom"/>
          </w:tcPr>
          <w:p w14:paraId="6FF59C35" w14:textId="77777777" w:rsidR="00154C03" w:rsidRDefault="00154C03" w:rsidP="001C28A7">
            <w:pPr>
              <w:pStyle w:val="Tablenumbers1"/>
              <w:widowControl w:val="0"/>
              <w:tabs>
                <w:tab w:val="clear" w:pos="1503"/>
              </w:tabs>
              <w:ind w:right="0"/>
              <w:jc w:val="right"/>
              <w:rPr>
                <w:b/>
              </w:rPr>
            </w:pPr>
          </w:p>
        </w:tc>
        <w:tc>
          <w:tcPr>
            <w:tcW w:w="606" w:type="pct"/>
            <w:tcBorders>
              <w:top w:val="nil"/>
              <w:left w:val="nil"/>
              <w:bottom w:val="single" w:sz="2" w:space="0" w:color="auto"/>
              <w:right w:val="nil"/>
            </w:tcBorders>
          </w:tcPr>
          <w:p w14:paraId="3C767FDC" w14:textId="77777777" w:rsidR="00154C03" w:rsidRDefault="00154C03" w:rsidP="001C28A7">
            <w:pPr>
              <w:pStyle w:val="Tablenumbers1"/>
              <w:widowControl w:val="0"/>
              <w:tabs>
                <w:tab w:val="clear" w:pos="1503"/>
              </w:tabs>
              <w:ind w:right="0"/>
              <w:jc w:val="right"/>
              <w:rPr>
                <w:b/>
              </w:rPr>
            </w:pPr>
          </w:p>
        </w:tc>
        <w:tc>
          <w:tcPr>
            <w:tcW w:w="606" w:type="pct"/>
            <w:tcBorders>
              <w:top w:val="nil"/>
              <w:left w:val="nil"/>
              <w:bottom w:val="single" w:sz="2" w:space="0" w:color="auto"/>
              <w:right w:val="nil"/>
            </w:tcBorders>
            <w:vAlign w:val="bottom"/>
          </w:tcPr>
          <w:p w14:paraId="2913F643" w14:textId="77777777" w:rsidR="00154C03" w:rsidRDefault="00154C03" w:rsidP="001C28A7">
            <w:pPr>
              <w:pStyle w:val="Tablenumbers1"/>
              <w:widowControl w:val="0"/>
              <w:tabs>
                <w:tab w:val="clear" w:pos="1503"/>
              </w:tabs>
              <w:ind w:right="0"/>
              <w:jc w:val="right"/>
              <w:rPr>
                <w:b/>
              </w:rPr>
            </w:pPr>
          </w:p>
        </w:tc>
      </w:tr>
      <w:tr w:rsidR="00154C03" w14:paraId="6CD5F2D1" w14:textId="77777777" w:rsidTr="001C28A7">
        <w:trPr>
          <w:cantSplit/>
          <w:trHeight w:val="23"/>
          <w:tblHeader/>
        </w:trPr>
        <w:tc>
          <w:tcPr>
            <w:tcW w:w="1970" w:type="pct"/>
            <w:tcBorders>
              <w:top w:val="single" w:sz="2" w:space="0" w:color="auto"/>
              <w:left w:val="nil"/>
              <w:bottom w:val="nil"/>
              <w:right w:val="nil"/>
            </w:tcBorders>
            <w:vAlign w:val="bottom"/>
          </w:tcPr>
          <w:p w14:paraId="5C30F6CB" w14:textId="77777777" w:rsidR="00154C03" w:rsidRDefault="00154C03" w:rsidP="001C28A7">
            <w:pPr>
              <w:pStyle w:val="Rowheader"/>
              <w:widowControl w:val="0"/>
              <w:ind w:left="113" w:hanging="113"/>
            </w:pPr>
          </w:p>
        </w:tc>
        <w:tc>
          <w:tcPr>
            <w:tcW w:w="606" w:type="pct"/>
            <w:tcBorders>
              <w:top w:val="single" w:sz="2" w:space="0" w:color="auto"/>
              <w:left w:val="nil"/>
              <w:bottom w:val="nil"/>
              <w:right w:val="nil"/>
            </w:tcBorders>
            <w:vAlign w:val="bottom"/>
          </w:tcPr>
          <w:p w14:paraId="5D789F8A" w14:textId="77777777" w:rsidR="00154C03" w:rsidRDefault="00154C03" w:rsidP="001C28A7">
            <w:pPr>
              <w:pStyle w:val="Tablenumbers1"/>
              <w:widowControl w:val="0"/>
              <w:tabs>
                <w:tab w:val="clear" w:pos="1503"/>
              </w:tabs>
              <w:ind w:right="0"/>
              <w:jc w:val="right"/>
              <w:rPr>
                <w:b/>
              </w:rPr>
            </w:pPr>
          </w:p>
        </w:tc>
        <w:tc>
          <w:tcPr>
            <w:tcW w:w="606" w:type="pct"/>
            <w:tcBorders>
              <w:top w:val="single" w:sz="2" w:space="0" w:color="auto"/>
              <w:left w:val="nil"/>
              <w:bottom w:val="nil"/>
              <w:right w:val="nil"/>
            </w:tcBorders>
            <w:vAlign w:val="bottom"/>
          </w:tcPr>
          <w:p w14:paraId="778D4A25" w14:textId="77777777" w:rsidR="00154C03" w:rsidRDefault="00154C03" w:rsidP="001C28A7">
            <w:pPr>
              <w:pStyle w:val="Tablenumbers1"/>
              <w:widowControl w:val="0"/>
              <w:tabs>
                <w:tab w:val="clear" w:pos="1503"/>
              </w:tabs>
              <w:ind w:right="0"/>
              <w:jc w:val="right"/>
              <w:rPr>
                <w:b/>
              </w:rPr>
            </w:pPr>
          </w:p>
        </w:tc>
        <w:tc>
          <w:tcPr>
            <w:tcW w:w="606" w:type="pct"/>
            <w:tcBorders>
              <w:top w:val="single" w:sz="2" w:space="0" w:color="auto"/>
              <w:left w:val="nil"/>
              <w:bottom w:val="nil"/>
              <w:right w:val="nil"/>
            </w:tcBorders>
            <w:vAlign w:val="bottom"/>
          </w:tcPr>
          <w:p w14:paraId="0262658E" w14:textId="77777777" w:rsidR="00154C03" w:rsidRDefault="00154C03" w:rsidP="001C28A7">
            <w:pPr>
              <w:pStyle w:val="Tablenumbers1"/>
              <w:widowControl w:val="0"/>
              <w:tabs>
                <w:tab w:val="clear" w:pos="1503"/>
              </w:tabs>
              <w:ind w:right="0"/>
              <w:jc w:val="right"/>
              <w:rPr>
                <w:b/>
              </w:rPr>
            </w:pPr>
          </w:p>
        </w:tc>
        <w:tc>
          <w:tcPr>
            <w:tcW w:w="606" w:type="pct"/>
            <w:tcBorders>
              <w:top w:val="single" w:sz="2" w:space="0" w:color="auto"/>
              <w:left w:val="nil"/>
              <w:bottom w:val="nil"/>
              <w:right w:val="nil"/>
            </w:tcBorders>
          </w:tcPr>
          <w:p w14:paraId="13DEB2A9" w14:textId="77777777" w:rsidR="00154C03" w:rsidRDefault="00154C03" w:rsidP="001C28A7">
            <w:pPr>
              <w:pStyle w:val="Tablenumbers1"/>
              <w:widowControl w:val="0"/>
              <w:tabs>
                <w:tab w:val="clear" w:pos="1503"/>
              </w:tabs>
              <w:ind w:right="0"/>
              <w:jc w:val="right"/>
              <w:rPr>
                <w:b/>
              </w:rPr>
            </w:pPr>
          </w:p>
        </w:tc>
        <w:tc>
          <w:tcPr>
            <w:tcW w:w="606" w:type="pct"/>
            <w:tcBorders>
              <w:top w:val="single" w:sz="2" w:space="0" w:color="auto"/>
              <w:left w:val="nil"/>
              <w:bottom w:val="nil"/>
              <w:right w:val="nil"/>
            </w:tcBorders>
            <w:vAlign w:val="bottom"/>
          </w:tcPr>
          <w:p w14:paraId="6178A81B" w14:textId="77777777" w:rsidR="00154C03" w:rsidRDefault="00154C03" w:rsidP="001C28A7">
            <w:pPr>
              <w:pStyle w:val="Tablenumbers1"/>
              <w:widowControl w:val="0"/>
              <w:tabs>
                <w:tab w:val="clear" w:pos="1503"/>
              </w:tabs>
              <w:ind w:right="0"/>
              <w:jc w:val="right"/>
              <w:rPr>
                <w:b/>
              </w:rPr>
            </w:pPr>
          </w:p>
        </w:tc>
      </w:tr>
      <w:tr w:rsidR="00154C03" w:rsidRPr="00CA645C" w14:paraId="1E820CCD" w14:textId="77777777" w:rsidTr="001C28A7">
        <w:trPr>
          <w:cantSplit/>
          <w:trHeight w:val="23"/>
        </w:trPr>
        <w:tc>
          <w:tcPr>
            <w:tcW w:w="1970" w:type="pct"/>
            <w:vAlign w:val="bottom"/>
            <w:hideMark/>
          </w:tcPr>
          <w:p w14:paraId="66D1220D" w14:textId="77777777" w:rsidR="00154C03" w:rsidRDefault="00154C03" w:rsidP="001C28A7">
            <w:pPr>
              <w:pStyle w:val="Rowheader"/>
              <w:widowControl w:val="0"/>
              <w:ind w:left="113" w:hanging="113"/>
              <w:rPr>
                <w:b w:val="0"/>
              </w:rPr>
            </w:pPr>
            <w:r>
              <w:rPr>
                <w:bCs/>
              </w:rPr>
              <w:t>TOTAL NON-DERIVATIVE FINANCIAL LIABILITIES</w:t>
            </w:r>
          </w:p>
        </w:tc>
        <w:tc>
          <w:tcPr>
            <w:tcW w:w="606" w:type="pct"/>
            <w:vAlign w:val="bottom"/>
          </w:tcPr>
          <w:p w14:paraId="00143CBF" w14:textId="77777777" w:rsidR="00154C03" w:rsidRDefault="00154C03" w:rsidP="001C28A7">
            <w:pPr>
              <w:pStyle w:val="Tablenumbers1"/>
              <w:widowControl w:val="0"/>
              <w:tabs>
                <w:tab w:val="clear" w:pos="1503"/>
              </w:tabs>
              <w:ind w:right="0"/>
              <w:jc w:val="right"/>
            </w:pPr>
          </w:p>
        </w:tc>
        <w:tc>
          <w:tcPr>
            <w:tcW w:w="606" w:type="pct"/>
            <w:vAlign w:val="bottom"/>
          </w:tcPr>
          <w:p w14:paraId="236B0DB5" w14:textId="77777777" w:rsidR="00154C03" w:rsidRDefault="00154C03" w:rsidP="001C28A7">
            <w:pPr>
              <w:pStyle w:val="Tablenumbers1"/>
              <w:widowControl w:val="0"/>
              <w:tabs>
                <w:tab w:val="clear" w:pos="1503"/>
              </w:tabs>
              <w:ind w:right="0"/>
              <w:jc w:val="right"/>
            </w:pPr>
          </w:p>
        </w:tc>
        <w:tc>
          <w:tcPr>
            <w:tcW w:w="606" w:type="pct"/>
            <w:vAlign w:val="bottom"/>
          </w:tcPr>
          <w:p w14:paraId="5CF99393" w14:textId="77777777" w:rsidR="00154C03" w:rsidRDefault="00154C03" w:rsidP="001C28A7">
            <w:pPr>
              <w:pStyle w:val="Tablenumbers1"/>
              <w:widowControl w:val="0"/>
              <w:tabs>
                <w:tab w:val="clear" w:pos="1503"/>
              </w:tabs>
              <w:ind w:right="0"/>
              <w:jc w:val="right"/>
            </w:pPr>
          </w:p>
        </w:tc>
        <w:tc>
          <w:tcPr>
            <w:tcW w:w="606" w:type="pct"/>
          </w:tcPr>
          <w:p w14:paraId="6D9F4611" w14:textId="77777777" w:rsidR="00154C03" w:rsidRDefault="00154C03" w:rsidP="001C28A7">
            <w:pPr>
              <w:pStyle w:val="Tablenumbers1"/>
              <w:widowControl w:val="0"/>
              <w:tabs>
                <w:tab w:val="clear" w:pos="1503"/>
              </w:tabs>
              <w:ind w:right="0"/>
              <w:jc w:val="right"/>
            </w:pPr>
          </w:p>
        </w:tc>
        <w:tc>
          <w:tcPr>
            <w:tcW w:w="606" w:type="pct"/>
            <w:vAlign w:val="bottom"/>
          </w:tcPr>
          <w:p w14:paraId="124FE7F3" w14:textId="77777777" w:rsidR="00154C03" w:rsidRDefault="00154C03" w:rsidP="001C28A7">
            <w:pPr>
              <w:pStyle w:val="Tablenumbers1"/>
              <w:widowControl w:val="0"/>
              <w:tabs>
                <w:tab w:val="clear" w:pos="1503"/>
              </w:tabs>
              <w:ind w:right="0"/>
              <w:jc w:val="right"/>
            </w:pPr>
          </w:p>
        </w:tc>
      </w:tr>
      <w:tr w:rsidR="00154C03" w:rsidRPr="00CA645C" w14:paraId="7D4A993B" w14:textId="77777777" w:rsidTr="001C28A7">
        <w:trPr>
          <w:cantSplit/>
          <w:trHeight w:val="23"/>
        </w:trPr>
        <w:tc>
          <w:tcPr>
            <w:tcW w:w="1970" w:type="pct"/>
            <w:tcBorders>
              <w:top w:val="nil"/>
              <w:left w:val="nil"/>
              <w:right w:val="nil"/>
            </w:tcBorders>
            <w:vAlign w:val="bottom"/>
          </w:tcPr>
          <w:p w14:paraId="7E31DECC" w14:textId="77777777" w:rsidR="00154C03" w:rsidRDefault="00154C03" w:rsidP="001C28A7">
            <w:pPr>
              <w:pStyle w:val="Tabletext"/>
              <w:widowControl w:val="0"/>
              <w:ind w:left="113" w:hanging="113"/>
            </w:pPr>
            <w:r>
              <w:rPr>
                <w:b/>
              </w:rPr>
              <w:t>DERIVATIVE FINANCIAL INSTRUMENTS</w:t>
            </w:r>
          </w:p>
        </w:tc>
        <w:tc>
          <w:tcPr>
            <w:tcW w:w="606" w:type="pct"/>
            <w:tcBorders>
              <w:top w:val="nil"/>
              <w:left w:val="nil"/>
              <w:right w:val="nil"/>
            </w:tcBorders>
            <w:vAlign w:val="bottom"/>
          </w:tcPr>
          <w:p w14:paraId="5A3D3F81"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vAlign w:val="bottom"/>
          </w:tcPr>
          <w:p w14:paraId="7ABA1A64"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vAlign w:val="bottom"/>
          </w:tcPr>
          <w:p w14:paraId="5093690F"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tcPr>
          <w:p w14:paraId="423252AB"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vAlign w:val="bottom"/>
          </w:tcPr>
          <w:p w14:paraId="1F9A4B61" w14:textId="77777777" w:rsidR="00154C03" w:rsidRDefault="00154C03" w:rsidP="001C28A7">
            <w:pPr>
              <w:pStyle w:val="Tablenumbers1"/>
              <w:widowControl w:val="0"/>
              <w:tabs>
                <w:tab w:val="clear" w:pos="1503"/>
              </w:tabs>
              <w:ind w:right="0"/>
              <w:jc w:val="right"/>
            </w:pPr>
          </w:p>
        </w:tc>
      </w:tr>
      <w:tr w:rsidR="00154C03" w:rsidRPr="00CA645C" w14:paraId="4DD9F01F" w14:textId="77777777" w:rsidTr="001C28A7">
        <w:trPr>
          <w:cantSplit/>
          <w:trHeight w:val="23"/>
        </w:trPr>
        <w:tc>
          <w:tcPr>
            <w:tcW w:w="1970" w:type="pct"/>
            <w:tcBorders>
              <w:top w:val="nil"/>
              <w:left w:val="nil"/>
              <w:right w:val="nil"/>
            </w:tcBorders>
            <w:vAlign w:val="bottom"/>
          </w:tcPr>
          <w:p w14:paraId="31E57A33" w14:textId="77777777" w:rsidR="00154C03" w:rsidRDefault="00154C03" w:rsidP="001C28A7">
            <w:pPr>
              <w:pStyle w:val="Tabletext"/>
              <w:widowControl w:val="0"/>
              <w:ind w:left="113" w:hanging="113"/>
            </w:pPr>
            <w:r>
              <w:t>Interest rate swaps: notional amounts</w:t>
            </w:r>
          </w:p>
        </w:tc>
        <w:tc>
          <w:tcPr>
            <w:tcW w:w="606" w:type="pct"/>
            <w:tcBorders>
              <w:top w:val="nil"/>
              <w:left w:val="nil"/>
              <w:right w:val="nil"/>
            </w:tcBorders>
            <w:vAlign w:val="bottom"/>
          </w:tcPr>
          <w:p w14:paraId="4B8DC37A"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vAlign w:val="bottom"/>
          </w:tcPr>
          <w:p w14:paraId="18910E11"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vAlign w:val="bottom"/>
          </w:tcPr>
          <w:p w14:paraId="0FD5677D"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tcPr>
          <w:p w14:paraId="08EFDA90"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vAlign w:val="bottom"/>
          </w:tcPr>
          <w:p w14:paraId="74A089F8" w14:textId="77777777" w:rsidR="00154C03" w:rsidRDefault="00154C03" w:rsidP="001C28A7">
            <w:pPr>
              <w:pStyle w:val="Tablenumbers1"/>
              <w:widowControl w:val="0"/>
              <w:tabs>
                <w:tab w:val="clear" w:pos="1503"/>
              </w:tabs>
              <w:ind w:right="0"/>
              <w:jc w:val="right"/>
            </w:pPr>
          </w:p>
        </w:tc>
      </w:tr>
      <w:tr w:rsidR="00154C03" w:rsidRPr="00CA645C" w14:paraId="7F7F311A" w14:textId="77777777" w:rsidTr="001C28A7">
        <w:trPr>
          <w:cantSplit/>
          <w:trHeight w:val="23"/>
        </w:trPr>
        <w:tc>
          <w:tcPr>
            <w:tcW w:w="1970" w:type="pct"/>
            <w:tcBorders>
              <w:top w:val="nil"/>
              <w:left w:val="nil"/>
              <w:bottom w:val="single" w:sz="4" w:space="0" w:color="auto"/>
              <w:right w:val="nil"/>
            </w:tcBorders>
            <w:vAlign w:val="bottom"/>
          </w:tcPr>
          <w:p w14:paraId="3CDDA702" w14:textId="77777777" w:rsidR="00154C03" w:rsidRDefault="00154C03" w:rsidP="001C28A7">
            <w:pPr>
              <w:pStyle w:val="Tabletext"/>
              <w:widowControl w:val="0"/>
              <w:ind w:left="113" w:hanging="113"/>
            </w:pPr>
          </w:p>
        </w:tc>
        <w:tc>
          <w:tcPr>
            <w:tcW w:w="606" w:type="pct"/>
            <w:tcBorders>
              <w:top w:val="nil"/>
              <w:left w:val="nil"/>
              <w:bottom w:val="single" w:sz="4" w:space="0" w:color="auto"/>
              <w:right w:val="nil"/>
            </w:tcBorders>
            <w:vAlign w:val="bottom"/>
          </w:tcPr>
          <w:p w14:paraId="1E5CD816"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4" w:space="0" w:color="auto"/>
              <w:right w:val="nil"/>
            </w:tcBorders>
            <w:vAlign w:val="bottom"/>
          </w:tcPr>
          <w:p w14:paraId="6ADA8E18"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4" w:space="0" w:color="auto"/>
              <w:right w:val="nil"/>
            </w:tcBorders>
            <w:vAlign w:val="bottom"/>
          </w:tcPr>
          <w:p w14:paraId="5D8A2135"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4" w:space="0" w:color="auto"/>
              <w:right w:val="nil"/>
            </w:tcBorders>
          </w:tcPr>
          <w:p w14:paraId="1728DD13"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4" w:space="0" w:color="auto"/>
              <w:right w:val="nil"/>
            </w:tcBorders>
            <w:vAlign w:val="bottom"/>
          </w:tcPr>
          <w:p w14:paraId="15B5EE2F" w14:textId="77777777" w:rsidR="00154C03" w:rsidRDefault="00154C03" w:rsidP="001C28A7">
            <w:pPr>
              <w:pStyle w:val="Tablenumbers1"/>
              <w:widowControl w:val="0"/>
              <w:tabs>
                <w:tab w:val="clear" w:pos="1503"/>
              </w:tabs>
              <w:ind w:right="0"/>
              <w:jc w:val="right"/>
            </w:pPr>
          </w:p>
        </w:tc>
      </w:tr>
      <w:tr w:rsidR="00154C03" w:rsidRPr="00CA645C" w14:paraId="70E6181D" w14:textId="77777777" w:rsidTr="001C28A7">
        <w:trPr>
          <w:cantSplit/>
          <w:trHeight w:val="23"/>
        </w:trPr>
        <w:tc>
          <w:tcPr>
            <w:tcW w:w="1970" w:type="pct"/>
            <w:tcBorders>
              <w:top w:val="single" w:sz="4" w:space="0" w:color="auto"/>
              <w:left w:val="nil"/>
              <w:right w:val="nil"/>
            </w:tcBorders>
            <w:vAlign w:val="bottom"/>
          </w:tcPr>
          <w:p w14:paraId="4D8B9CD8" w14:textId="77777777" w:rsidR="00154C03" w:rsidRDefault="00154C03" w:rsidP="001C28A7">
            <w:pPr>
              <w:pStyle w:val="Tabletext"/>
              <w:widowControl w:val="0"/>
              <w:ind w:left="113" w:hanging="113"/>
            </w:pPr>
          </w:p>
        </w:tc>
        <w:tc>
          <w:tcPr>
            <w:tcW w:w="606" w:type="pct"/>
            <w:tcBorders>
              <w:top w:val="single" w:sz="4" w:space="0" w:color="auto"/>
              <w:left w:val="nil"/>
              <w:right w:val="nil"/>
            </w:tcBorders>
            <w:vAlign w:val="bottom"/>
          </w:tcPr>
          <w:p w14:paraId="000CE19D" w14:textId="77777777" w:rsidR="00154C03" w:rsidRDefault="00154C03" w:rsidP="001C28A7">
            <w:pPr>
              <w:pStyle w:val="Tablenumbers1"/>
              <w:widowControl w:val="0"/>
              <w:tabs>
                <w:tab w:val="clear" w:pos="1503"/>
              </w:tabs>
              <w:ind w:right="0"/>
              <w:jc w:val="right"/>
            </w:pPr>
          </w:p>
        </w:tc>
        <w:tc>
          <w:tcPr>
            <w:tcW w:w="606" w:type="pct"/>
            <w:tcBorders>
              <w:top w:val="single" w:sz="4" w:space="0" w:color="auto"/>
              <w:left w:val="nil"/>
              <w:right w:val="nil"/>
            </w:tcBorders>
            <w:vAlign w:val="bottom"/>
          </w:tcPr>
          <w:p w14:paraId="09380108" w14:textId="77777777" w:rsidR="00154C03" w:rsidRDefault="00154C03" w:rsidP="001C28A7">
            <w:pPr>
              <w:pStyle w:val="Tablenumbers1"/>
              <w:widowControl w:val="0"/>
              <w:tabs>
                <w:tab w:val="clear" w:pos="1503"/>
              </w:tabs>
              <w:ind w:right="0"/>
              <w:jc w:val="right"/>
            </w:pPr>
          </w:p>
        </w:tc>
        <w:tc>
          <w:tcPr>
            <w:tcW w:w="606" w:type="pct"/>
            <w:tcBorders>
              <w:top w:val="single" w:sz="4" w:space="0" w:color="auto"/>
              <w:left w:val="nil"/>
              <w:right w:val="nil"/>
            </w:tcBorders>
            <w:vAlign w:val="bottom"/>
          </w:tcPr>
          <w:p w14:paraId="448C3DD7" w14:textId="77777777" w:rsidR="00154C03" w:rsidRDefault="00154C03" w:rsidP="001C28A7">
            <w:pPr>
              <w:pStyle w:val="Tablenumbers1"/>
              <w:widowControl w:val="0"/>
              <w:tabs>
                <w:tab w:val="clear" w:pos="1503"/>
              </w:tabs>
              <w:ind w:right="0"/>
              <w:jc w:val="right"/>
            </w:pPr>
          </w:p>
        </w:tc>
        <w:tc>
          <w:tcPr>
            <w:tcW w:w="606" w:type="pct"/>
            <w:tcBorders>
              <w:top w:val="single" w:sz="4" w:space="0" w:color="auto"/>
              <w:left w:val="nil"/>
              <w:right w:val="nil"/>
            </w:tcBorders>
          </w:tcPr>
          <w:p w14:paraId="532D2F80" w14:textId="77777777" w:rsidR="00154C03" w:rsidRDefault="00154C03" w:rsidP="001C28A7">
            <w:pPr>
              <w:pStyle w:val="Tablenumbers1"/>
              <w:widowControl w:val="0"/>
              <w:tabs>
                <w:tab w:val="clear" w:pos="1503"/>
              </w:tabs>
              <w:ind w:right="0"/>
              <w:jc w:val="right"/>
            </w:pPr>
          </w:p>
        </w:tc>
        <w:tc>
          <w:tcPr>
            <w:tcW w:w="606" w:type="pct"/>
            <w:tcBorders>
              <w:top w:val="single" w:sz="4" w:space="0" w:color="auto"/>
              <w:left w:val="nil"/>
              <w:right w:val="nil"/>
            </w:tcBorders>
            <w:vAlign w:val="bottom"/>
          </w:tcPr>
          <w:p w14:paraId="07841353" w14:textId="77777777" w:rsidR="00154C03" w:rsidRDefault="00154C03" w:rsidP="001C28A7">
            <w:pPr>
              <w:pStyle w:val="Tablenumbers1"/>
              <w:widowControl w:val="0"/>
              <w:tabs>
                <w:tab w:val="clear" w:pos="1503"/>
              </w:tabs>
              <w:ind w:right="0"/>
              <w:jc w:val="right"/>
            </w:pPr>
          </w:p>
        </w:tc>
      </w:tr>
      <w:tr w:rsidR="00154C03" w:rsidRPr="00CA645C" w14:paraId="120177FE" w14:textId="77777777" w:rsidTr="001C28A7">
        <w:trPr>
          <w:cantSplit/>
          <w:trHeight w:val="23"/>
        </w:trPr>
        <w:tc>
          <w:tcPr>
            <w:tcW w:w="1970" w:type="pct"/>
            <w:tcBorders>
              <w:top w:val="nil"/>
              <w:left w:val="nil"/>
              <w:right w:val="nil"/>
            </w:tcBorders>
            <w:vAlign w:val="bottom"/>
          </w:tcPr>
          <w:p w14:paraId="4637FCE2" w14:textId="77777777" w:rsidR="00154C03" w:rsidRDefault="00154C03" w:rsidP="001C28A7">
            <w:pPr>
              <w:pStyle w:val="Tabletext"/>
              <w:widowControl w:val="0"/>
              <w:ind w:left="113" w:hanging="113"/>
            </w:pPr>
            <w:r>
              <w:rPr>
                <w:b/>
                <w:bCs/>
              </w:rPr>
              <w:t xml:space="preserve">TOTAL </w:t>
            </w:r>
            <w:r>
              <w:rPr>
                <w:b/>
              </w:rPr>
              <w:t>DERIVATIVE FINANCIAL INSTRUMENTS</w:t>
            </w:r>
          </w:p>
        </w:tc>
        <w:tc>
          <w:tcPr>
            <w:tcW w:w="606" w:type="pct"/>
            <w:tcBorders>
              <w:top w:val="nil"/>
              <w:left w:val="nil"/>
              <w:right w:val="nil"/>
            </w:tcBorders>
            <w:vAlign w:val="bottom"/>
          </w:tcPr>
          <w:p w14:paraId="6CED36C0"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vAlign w:val="bottom"/>
          </w:tcPr>
          <w:p w14:paraId="635A5CFB"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vAlign w:val="bottom"/>
          </w:tcPr>
          <w:p w14:paraId="1CAE057E"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tcPr>
          <w:p w14:paraId="5B15735C" w14:textId="77777777" w:rsidR="00154C03" w:rsidRDefault="00154C03" w:rsidP="001C28A7">
            <w:pPr>
              <w:pStyle w:val="Tablenumbers1"/>
              <w:widowControl w:val="0"/>
              <w:tabs>
                <w:tab w:val="clear" w:pos="1503"/>
              </w:tabs>
              <w:ind w:right="0"/>
              <w:jc w:val="right"/>
            </w:pPr>
          </w:p>
        </w:tc>
        <w:tc>
          <w:tcPr>
            <w:tcW w:w="606" w:type="pct"/>
            <w:tcBorders>
              <w:top w:val="nil"/>
              <w:left w:val="nil"/>
              <w:right w:val="nil"/>
            </w:tcBorders>
            <w:vAlign w:val="bottom"/>
          </w:tcPr>
          <w:p w14:paraId="60F7804A" w14:textId="77777777" w:rsidR="00154C03" w:rsidRDefault="00154C03" w:rsidP="001C28A7">
            <w:pPr>
              <w:pStyle w:val="Tablenumbers1"/>
              <w:widowControl w:val="0"/>
              <w:tabs>
                <w:tab w:val="clear" w:pos="1503"/>
              </w:tabs>
              <w:ind w:right="0"/>
              <w:jc w:val="right"/>
            </w:pPr>
          </w:p>
        </w:tc>
      </w:tr>
      <w:tr w:rsidR="00154C03" w:rsidRPr="00CA645C" w14:paraId="34480920" w14:textId="77777777" w:rsidTr="001C28A7">
        <w:trPr>
          <w:cantSplit/>
          <w:trHeight w:val="23"/>
        </w:trPr>
        <w:tc>
          <w:tcPr>
            <w:tcW w:w="1970" w:type="pct"/>
            <w:tcBorders>
              <w:top w:val="nil"/>
              <w:left w:val="nil"/>
              <w:bottom w:val="single" w:sz="12" w:space="0" w:color="auto"/>
              <w:right w:val="nil"/>
            </w:tcBorders>
            <w:vAlign w:val="bottom"/>
          </w:tcPr>
          <w:p w14:paraId="5D650E55" w14:textId="77777777" w:rsidR="00154C03" w:rsidRDefault="00154C03" w:rsidP="001C28A7">
            <w:pPr>
              <w:pStyle w:val="Tabletext"/>
              <w:widowControl w:val="0"/>
              <w:ind w:left="113" w:hanging="113"/>
            </w:pPr>
            <w:r>
              <w:t> </w:t>
            </w:r>
          </w:p>
        </w:tc>
        <w:tc>
          <w:tcPr>
            <w:tcW w:w="606" w:type="pct"/>
            <w:tcBorders>
              <w:top w:val="nil"/>
              <w:left w:val="nil"/>
              <w:bottom w:val="single" w:sz="12" w:space="0" w:color="auto"/>
              <w:right w:val="nil"/>
            </w:tcBorders>
            <w:vAlign w:val="bottom"/>
          </w:tcPr>
          <w:p w14:paraId="08E3C287"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12" w:space="0" w:color="auto"/>
              <w:right w:val="nil"/>
            </w:tcBorders>
            <w:vAlign w:val="bottom"/>
          </w:tcPr>
          <w:p w14:paraId="24AA5AE2"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12" w:space="0" w:color="auto"/>
              <w:right w:val="nil"/>
            </w:tcBorders>
            <w:vAlign w:val="bottom"/>
          </w:tcPr>
          <w:p w14:paraId="366D5F87"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12" w:space="0" w:color="auto"/>
              <w:right w:val="nil"/>
            </w:tcBorders>
          </w:tcPr>
          <w:p w14:paraId="1CF68634" w14:textId="77777777" w:rsidR="00154C03" w:rsidRDefault="00154C03" w:rsidP="001C28A7">
            <w:pPr>
              <w:pStyle w:val="Tablenumbers1"/>
              <w:widowControl w:val="0"/>
              <w:tabs>
                <w:tab w:val="clear" w:pos="1503"/>
              </w:tabs>
              <w:ind w:right="0"/>
              <w:jc w:val="right"/>
            </w:pPr>
          </w:p>
        </w:tc>
        <w:tc>
          <w:tcPr>
            <w:tcW w:w="606" w:type="pct"/>
            <w:tcBorders>
              <w:top w:val="nil"/>
              <w:left w:val="nil"/>
              <w:bottom w:val="single" w:sz="12" w:space="0" w:color="auto"/>
              <w:right w:val="nil"/>
            </w:tcBorders>
            <w:vAlign w:val="bottom"/>
          </w:tcPr>
          <w:p w14:paraId="3887294C" w14:textId="77777777" w:rsidR="00154C03" w:rsidRDefault="00154C03" w:rsidP="001C28A7">
            <w:pPr>
              <w:pStyle w:val="Tablenumbers1"/>
              <w:widowControl w:val="0"/>
              <w:tabs>
                <w:tab w:val="clear" w:pos="1503"/>
              </w:tabs>
              <w:ind w:right="0"/>
              <w:jc w:val="right"/>
            </w:pPr>
          </w:p>
        </w:tc>
      </w:tr>
    </w:tbl>
    <w:p w14:paraId="4A92D329" w14:textId="77777777" w:rsidR="00154C03" w:rsidRDefault="00154C03" w:rsidP="00154C03">
      <w:pPr>
        <w:widowControl w:val="0"/>
        <w:spacing w:before="200" w:after="200"/>
        <w:jc w:val="both"/>
        <w:rPr>
          <w:rFonts w:eastAsia="Times New Roman"/>
          <w:color w:val="0000FF"/>
          <w:sz w:val="20"/>
          <w:szCs w:val="20"/>
        </w:rPr>
      </w:pPr>
      <w:r>
        <w:rPr>
          <w:sz w:val="20"/>
          <w:szCs w:val="20"/>
        </w:rPr>
        <w:t xml:space="preserve">The Group is exposed to a risk that the liquidity of the above financial instruments would start to decrease, as the volume of operations with traditional IBOR-based financial instruments is shrinking. The Group is also exposed to a risk of the potential arbitrage differences between IBOR interest rates and the applicable alternative rates. </w:t>
      </w:r>
      <w:r>
        <w:rPr>
          <w:rFonts w:eastAsia="Times New Roman"/>
          <w:color w:val="0000FF"/>
          <w:sz w:val="20"/>
          <w:szCs w:val="20"/>
        </w:rPr>
        <w:t>[Please disclose any changes to the risk management policies and procedures due to the IBOR reform, or provide a reference to a note where such information is disclosed.]</w:t>
      </w:r>
    </w:p>
    <w:p w14:paraId="7DBBB11F" w14:textId="77777777" w:rsidR="00154C03" w:rsidRDefault="00154C03" w:rsidP="00154C03">
      <w:pPr>
        <w:widowControl w:val="0"/>
        <w:spacing w:before="200" w:after="200"/>
        <w:jc w:val="both"/>
        <w:rPr>
          <w:rFonts w:eastAsia="Times New Roman"/>
          <w:color w:val="0000FF"/>
          <w:sz w:val="20"/>
          <w:szCs w:val="20"/>
        </w:rPr>
      </w:pPr>
      <w:r>
        <w:rPr>
          <w:sz w:val="20"/>
          <w:szCs w:val="20"/>
        </w:rPr>
        <w:t xml:space="preserve">The Group is working with its customers and other counterparties, such as international financial institutions to perform a transition of legacy IBOR-based financial instruments to alternative benchmark interest rates and develop new financial products for its customers. The Group is also enhancing its IT systems and internal processes to ensure smooth transition from IBOR to alternative benchmark interest rates. </w:t>
      </w:r>
      <w:r>
        <w:rPr>
          <w:rFonts w:eastAsia="Times New Roman"/>
          <w:color w:val="0000FF"/>
          <w:sz w:val="20"/>
          <w:szCs w:val="20"/>
        </w:rPr>
        <w:t>[Please provide additional details on the actions carried by the Group to organise the transition process.]</w:t>
      </w:r>
    </w:p>
    <w:p w14:paraId="16D89C69" w14:textId="64985903" w:rsidR="00154C03" w:rsidRPr="00372E26" w:rsidRDefault="00154C03" w:rsidP="00372E26">
      <w:pPr>
        <w:widowControl w:val="0"/>
        <w:spacing w:before="200" w:after="200"/>
        <w:jc w:val="both"/>
        <w:rPr>
          <w:rFonts w:asciiTheme="minorHAnsi" w:eastAsiaTheme="minorHAnsi" w:hAnsiTheme="minorHAnsi" w:cstheme="minorBidi"/>
          <w:sz w:val="22"/>
          <w:szCs w:val="22"/>
        </w:rPr>
      </w:pPr>
      <w:r>
        <w:rPr>
          <w:rFonts w:eastAsia="Times New Roman"/>
          <w:color w:val="0000FF"/>
          <w:sz w:val="20"/>
          <w:szCs w:val="20"/>
        </w:rPr>
        <w:t>[Please note that if the Group is applying hedge accounting, and the hedge relationships are affected by IBOR reform, i.e. the Group is hedging IBOR-based interest rate risk, additional disclosures are required. Please refer to the IBOR reform global illustrative disclosures for a reference.]</w:t>
      </w:r>
    </w:p>
    <w:p w14:paraId="693C43D5" w14:textId="77777777" w:rsidR="009A397A" w:rsidRPr="009A397A" w:rsidRDefault="009A397A">
      <w:pPr>
        <w:pStyle w:val="Heading1"/>
      </w:pPr>
      <w:bookmarkStart w:id="116" w:name="_Toc179196044"/>
      <w:r w:rsidRPr="009A397A">
        <w:t>Management of Capital</w:t>
      </w:r>
      <w:bookmarkEnd w:id="116"/>
    </w:p>
    <w:p w14:paraId="195E09A5" w14:textId="39779EDF" w:rsidR="00D83E33" w:rsidRDefault="00BC4072">
      <w:pPr>
        <w:widowControl w:val="0"/>
        <w:spacing w:before="200" w:after="200"/>
        <w:jc w:val="both"/>
        <w:rPr>
          <w:color w:val="000000"/>
          <w:sz w:val="20"/>
          <w:szCs w:val="20"/>
        </w:rPr>
      </w:pPr>
      <w:r>
        <w:rPr>
          <w:color w:val="000000"/>
          <w:sz w:val="20"/>
          <w:szCs w:val="20"/>
        </w:rPr>
        <w:t xml:space="preserve">The Group’s objectives when managing capital are (i) to comply with the capital requirements set by </w:t>
      </w:r>
      <w:r w:rsidR="003E7500" w:rsidRPr="003E7500">
        <w:rPr>
          <w:color w:val="0000FF"/>
          <w:sz w:val="20"/>
          <w:szCs w:val="20"/>
        </w:rPr>
        <w:t>[</w:t>
      </w:r>
      <w:r w:rsidR="00E34AC8" w:rsidRPr="003E7500">
        <w:rPr>
          <w:color w:val="0000FF"/>
          <w:sz w:val="20"/>
          <w:szCs w:val="20"/>
        </w:rPr>
        <w:t>Regulation (EU) No 575/2013 (Capital Requirements Regulation – CRR, as amended by Regulation (EU) No 2019/876 – CRR II)</w:t>
      </w:r>
      <w:r w:rsidRPr="003E7500">
        <w:rPr>
          <w:color w:val="0000FF"/>
          <w:sz w:val="20"/>
          <w:szCs w:val="20"/>
        </w:rPr>
        <w:t>,</w:t>
      </w:r>
      <w:r w:rsidR="003E7500" w:rsidRPr="003E7500">
        <w:rPr>
          <w:color w:val="0000FF"/>
          <w:sz w:val="20"/>
          <w:szCs w:val="20"/>
        </w:rPr>
        <w:t>]</w:t>
      </w:r>
      <w:r>
        <w:rPr>
          <w:color w:val="000000"/>
          <w:sz w:val="20"/>
          <w:szCs w:val="20"/>
        </w:rPr>
        <w:t xml:space="preserve"> </w:t>
      </w:r>
      <w:r w:rsidR="002F2354">
        <w:rPr>
          <w:color w:val="000000"/>
          <w:sz w:val="20"/>
          <w:szCs w:val="20"/>
        </w:rPr>
        <w:t xml:space="preserve">and </w:t>
      </w:r>
      <w:r>
        <w:rPr>
          <w:color w:val="000000"/>
          <w:sz w:val="20"/>
          <w:szCs w:val="20"/>
        </w:rPr>
        <w:t xml:space="preserve">(ii) to safeguard the Group’s ability to continue as a going concern. Compliance with capital adequacy ratios set by the </w:t>
      </w:r>
      <w:r w:rsidR="002F2354">
        <w:rPr>
          <w:color w:val="000000"/>
          <w:sz w:val="20"/>
          <w:szCs w:val="20"/>
        </w:rPr>
        <w:t>CRR</w:t>
      </w:r>
      <w:r>
        <w:rPr>
          <w:color w:val="000000"/>
          <w:sz w:val="20"/>
          <w:szCs w:val="20"/>
        </w:rPr>
        <w:t xml:space="preserve"> is monitored monthly, with reports outlining their calculation reviewed and signed by the Bank’s Chief Executive Officer and Chief Accountant. Other objectives of capital management are evaluated </w:t>
      </w:r>
      <w:r>
        <w:rPr>
          <w:color w:val="0000FF"/>
          <w:sz w:val="20"/>
          <w:szCs w:val="20"/>
        </w:rPr>
        <w:t>[annually]</w:t>
      </w:r>
      <w:r>
        <w:rPr>
          <w:color w:val="000000"/>
          <w:sz w:val="20"/>
          <w:szCs w:val="20"/>
        </w:rPr>
        <w:t>.</w:t>
      </w:r>
    </w:p>
    <w:p w14:paraId="3DB13BBC" w14:textId="24BEE6EE" w:rsidR="009A397A" w:rsidRDefault="009A397A" w:rsidP="001B330E">
      <w:pPr>
        <w:pStyle w:val="Continued"/>
      </w:pPr>
      <w:r>
        <w:lastRenderedPageBreak/>
        <w:t>42</w:t>
      </w:r>
      <w:r>
        <w:tab/>
        <w:t>Management of Capital (Continued)</w:t>
      </w:r>
    </w:p>
    <w:p w14:paraId="47A4B8C0" w14:textId="2534052C" w:rsidR="00D83E33" w:rsidRDefault="00BC4072">
      <w:pPr>
        <w:widowControl w:val="0"/>
        <w:spacing w:before="200" w:after="200"/>
        <w:jc w:val="both"/>
        <w:rPr>
          <w:i/>
          <w:color w:val="FF0000"/>
          <w:sz w:val="20"/>
          <w:szCs w:val="20"/>
        </w:rPr>
      </w:pPr>
      <w:r>
        <w:rPr>
          <w:color w:val="000000"/>
          <w:sz w:val="20"/>
          <w:szCs w:val="20"/>
        </w:rPr>
        <w:t xml:space="preserve">Under the current capital requirements set by the </w:t>
      </w:r>
      <w:r w:rsidR="002F2354">
        <w:rPr>
          <w:color w:val="000000"/>
          <w:sz w:val="20"/>
          <w:szCs w:val="20"/>
        </w:rPr>
        <w:t>CRR</w:t>
      </w:r>
      <w:r>
        <w:rPr>
          <w:color w:val="000000"/>
          <w:sz w:val="20"/>
          <w:szCs w:val="20"/>
        </w:rPr>
        <w:t>, banks have to maintain a ratio of regulatory capital to risk weighted assets above a prescribed minimum level</w:t>
      </w:r>
      <w:r w:rsidR="00BB476F">
        <w:rPr>
          <w:color w:val="000000"/>
          <w:sz w:val="20"/>
          <w:szCs w:val="20"/>
        </w:rPr>
        <w:t xml:space="preserve"> (Tier 1 ratio and Total capital ratio)</w:t>
      </w:r>
      <w:r>
        <w:rPr>
          <w:color w:val="000000"/>
          <w:sz w:val="20"/>
          <w:szCs w:val="20"/>
        </w:rPr>
        <w:t xml:space="preserve">. Based on information provided internally to key management personnel, the amount of capital that the Group managed was </w:t>
      </w:r>
      <w:r w:rsidR="00D73799">
        <w:rPr>
          <w:color w:val="000000"/>
          <w:sz w:val="20"/>
          <w:szCs w:val="20"/>
        </w:rPr>
        <w:t>EUR</w:t>
      </w:r>
      <w:r>
        <w:rPr>
          <w:color w:val="000000"/>
          <w:sz w:val="20"/>
          <w:szCs w:val="20"/>
        </w:rPr>
        <w:t xml:space="preserve"> ______ thousand as of 31</w:t>
      </w:r>
      <w:r w:rsidR="00181687">
        <w:rPr>
          <w:color w:val="000000"/>
          <w:sz w:val="20"/>
          <w:szCs w:val="20"/>
        </w:rPr>
        <w:t> December </w:t>
      </w:r>
      <w:r w:rsidR="00541EBC">
        <w:rPr>
          <w:color w:val="000000"/>
          <w:sz w:val="20"/>
          <w:szCs w:val="20"/>
        </w:rPr>
        <w:t>2024</w:t>
      </w:r>
      <w:r>
        <w:rPr>
          <w:color w:val="000000"/>
          <w:sz w:val="20"/>
          <w:szCs w:val="20"/>
        </w:rPr>
        <w:t xml:space="preserve">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_____ thousand), regulatory </w:t>
      </w:r>
      <w:r w:rsidR="00E71817">
        <w:rPr>
          <w:color w:val="000000"/>
          <w:sz w:val="20"/>
          <w:szCs w:val="20"/>
        </w:rPr>
        <w:t xml:space="preserve">Tier 1 </w:t>
      </w:r>
      <w:r>
        <w:rPr>
          <w:color w:val="000000"/>
          <w:sz w:val="20"/>
          <w:szCs w:val="20"/>
        </w:rPr>
        <w:t xml:space="preserve">capital amounts to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w:t>
      </w:r>
      <w:r w:rsidR="00BB476F">
        <w:rPr>
          <w:color w:val="000000"/>
          <w:sz w:val="20"/>
          <w:szCs w:val="20"/>
        </w:rPr>
        <w:t>, total regulatory capital amounts to</w:t>
      </w:r>
      <w:r w:rsidR="00BB476F" w:rsidRPr="00BB476F">
        <w:rPr>
          <w:color w:val="000000"/>
          <w:sz w:val="20"/>
          <w:szCs w:val="20"/>
        </w:rPr>
        <w:t xml:space="preserve"> </w:t>
      </w:r>
      <w:r w:rsidR="00BB476F">
        <w:rPr>
          <w:color w:val="000000"/>
          <w:sz w:val="20"/>
          <w:szCs w:val="20"/>
        </w:rPr>
        <w:t>EUR _____ thousand (</w:t>
      </w:r>
      <w:r w:rsidR="00541EBC">
        <w:rPr>
          <w:color w:val="000000"/>
          <w:sz w:val="20"/>
          <w:szCs w:val="20"/>
        </w:rPr>
        <w:t>2023</w:t>
      </w:r>
      <w:r w:rsidR="00BB476F">
        <w:rPr>
          <w:color w:val="000000"/>
          <w:sz w:val="20"/>
          <w:szCs w:val="20"/>
        </w:rPr>
        <w:t>: EUR ____ thousand)</w:t>
      </w:r>
      <w:r>
        <w:rPr>
          <w:color w:val="000000"/>
          <w:sz w:val="20"/>
          <w:szCs w:val="20"/>
        </w:rPr>
        <w:t xml:space="preserve"> and the Group and the Bank have complied with all externally imposed capital requirements throughout </w:t>
      </w:r>
      <w:r w:rsidR="00541EBC">
        <w:rPr>
          <w:color w:val="000000"/>
          <w:sz w:val="20"/>
          <w:szCs w:val="20"/>
        </w:rPr>
        <w:t>2024</w:t>
      </w:r>
      <w:r>
        <w:rPr>
          <w:color w:val="000000"/>
          <w:sz w:val="20"/>
          <w:szCs w:val="20"/>
        </w:rPr>
        <w:t xml:space="preserve"> and </w:t>
      </w:r>
      <w:r w:rsidR="00541EBC">
        <w:rPr>
          <w:color w:val="000000"/>
          <w:sz w:val="20"/>
          <w:szCs w:val="20"/>
        </w:rPr>
        <w:t>2023</w:t>
      </w:r>
      <w:r>
        <w:rPr>
          <w:color w:val="000000"/>
          <w:sz w:val="20"/>
          <w:szCs w:val="20"/>
        </w:rPr>
        <w:t xml:space="preserve">. </w:t>
      </w:r>
      <w:r>
        <w:rPr>
          <w:i/>
          <w:color w:val="FF0000"/>
          <w:sz w:val="20"/>
          <w:szCs w:val="20"/>
        </w:rPr>
        <w:t>[Disclose consequences of non-compliance with any externally imposed capital requirement.</w:t>
      </w:r>
      <w:r w:rsidR="00DB34A6" w:rsidRPr="00DB34A6">
        <w:rPr>
          <w:i/>
          <w:color w:val="FF0000"/>
          <w:sz w:val="20"/>
          <w:szCs w:val="20"/>
        </w:rPr>
        <w:t xml:space="preserve"> </w:t>
      </w:r>
      <w:r w:rsidR="00DB34A6">
        <w:rPr>
          <w:i/>
          <w:color w:val="FF0000"/>
          <w:sz w:val="20"/>
          <w:szCs w:val="20"/>
        </w:rPr>
        <w:t>]</w:t>
      </w:r>
      <w:r>
        <w:rPr>
          <w:i/>
          <w:color w:val="FF0000"/>
          <w:sz w:val="20"/>
          <w:szCs w:val="20"/>
        </w:rPr>
        <w:t xml:space="preserve"> </w:t>
      </w:r>
    </w:p>
    <w:p w14:paraId="1550699E" w14:textId="77777777" w:rsidR="00D83E33" w:rsidRDefault="00BC4072" w:rsidP="001B330E">
      <w:pPr>
        <w:pStyle w:val="Heading1"/>
      </w:pPr>
      <w:bookmarkStart w:id="117" w:name="_Toc179196045"/>
      <w:r w:rsidRPr="009A397A">
        <w:t>Contingencies</w:t>
      </w:r>
      <w:r>
        <w:t xml:space="preserve"> and Commitments</w:t>
      </w:r>
      <w:bookmarkEnd w:id="117"/>
      <w:r>
        <w:t xml:space="preserve"> </w:t>
      </w:r>
    </w:p>
    <w:p w14:paraId="48F095AF" w14:textId="77777777"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Legal proceedings</w:t>
      </w:r>
      <w:r>
        <w:rPr>
          <w:b/>
          <w:color w:val="000000"/>
          <w:sz w:val="20"/>
          <w:szCs w:val="20"/>
        </w:rPr>
        <w:t xml:space="preserve">. </w:t>
      </w:r>
      <w:r>
        <w:rPr>
          <w:color w:val="000000"/>
          <w:sz w:val="20"/>
          <w:szCs w:val="20"/>
        </w:rPr>
        <w:t xml:space="preserve">From time to time and in the normal course of business, claims against the Group may be received. On the basis of its own estimates and both internal </w:t>
      </w:r>
      <w:r>
        <w:rPr>
          <w:color w:val="0000FF"/>
          <w:sz w:val="20"/>
          <w:szCs w:val="20"/>
        </w:rPr>
        <w:t>[and external]</w:t>
      </w:r>
      <w:r>
        <w:rPr>
          <w:color w:val="000000"/>
          <w:sz w:val="20"/>
          <w:szCs w:val="20"/>
        </w:rPr>
        <w:t xml:space="preserve"> professional advice, management is of the opinion that no material losses will be incurred in respect of claims, and accordingly no provision has been made in these </w:t>
      </w:r>
      <w:r>
        <w:rPr>
          <w:color w:val="0000FF"/>
          <w:sz w:val="20"/>
          <w:szCs w:val="20"/>
        </w:rPr>
        <w:t xml:space="preserve">[consolidated] </w:t>
      </w:r>
      <w:r>
        <w:rPr>
          <w:color w:val="000000"/>
          <w:sz w:val="20"/>
          <w:szCs w:val="20"/>
        </w:rPr>
        <w:t xml:space="preserve">financial statements. </w:t>
      </w:r>
    </w:p>
    <w:p w14:paraId="50AB38C2" w14:textId="72461FF3" w:rsidR="00D83E33" w:rsidRDefault="00BC4072">
      <w:pPr>
        <w:widowControl w:val="0"/>
        <w:pBdr>
          <w:top w:val="nil"/>
          <w:left w:val="nil"/>
          <w:bottom w:val="nil"/>
          <w:right w:val="nil"/>
          <w:between w:val="nil"/>
        </w:pBdr>
        <w:spacing w:before="200" w:after="200"/>
        <w:jc w:val="both"/>
        <w:rPr>
          <w:color w:val="000000"/>
          <w:sz w:val="20"/>
          <w:szCs w:val="20"/>
        </w:rPr>
      </w:pPr>
      <w:r>
        <w:rPr>
          <w:color w:val="0000FF"/>
          <w:sz w:val="20"/>
          <w:szCs w:val="20"/>
        </w:rPr>
        <w:t>[At 31</w:t>
      </w:r>
      <w:r w:rsidR="00181687">
        <w:rPr>
          <w:color w:val="0000FF"/>
          <w:sz w:val="20"/>
          <w:szCs w:val="20"/>
        </w:rPr>
        <w:t> December </w:t>
      </w:r>
      <w:r w:rsidR="00541EBC">
        <w:rPr>
          <w:color w:val="0000FF"/>
          <w:sz w:val="20"/>
          <w:szCs w:val="20"/>
        </w:rPr>
        <w:t>2024</w:t>
      </w:r>
      <w:r>
        <w:rPr>
          <w:color w:val="0000FF"/>
          <w:sz w:val="20"/>
          <w:szCs w:val="20"/>
        </w:rPr>
        <w:t>, the Group was engaged in litigation proceedings with ______ in relation to _____. No provision has been made as the Group’s management believes that it is not likely that any significant loss will eventuate.]</w:t>
      </w:r>
      <w:r>
        <w:rPr>
          <w:color w:val="000000"/>
          <w:sz w:val="20"/>
          <w:szCs w:val="20"/>
        </w:rPr>
        <w:t xml:space="preserve"> </w:t>
      </w:r>
    </w:p>
    <w:p w14:paraId="53AD50AE" w14:textId="070DFAA9" w:rsidR="00D83E33" w:rsidRDefault="00BC4072">
      <w:pPr>
        <w:widowControl w:val="0"/>
        <w:pBdr>
          <w:top w:val="nil"/>
          <w:left w:val="nil"/>
          <w:bottom w:val="nil"/>
          <w:right w:val="nil"/>
          <w:between w:val="nil"/>
        </w:pBdr>
        <w:spacing w:before="200" w:after="200"/>
        <w:jc w:val="both"/>
        <w:rPr>
          <w:color w:val="000000"/>
          <w:sz w:val="20"/>
          <w:szCs w:val="20"/>
        </w:rPr>
      </w:pPr>
      <w:r>
        <w:rPr>
          <w:color w:val="0000FF"/>
          <w:sz w:val="20"/>
          <w:szCs w:val="20"/>
        </w:rPr>
        <w:t>[At 31</w:t>
      </w:r>
      <w:r w:rsidR="00181687">
        <w:rPr>
          <w:color w:val="0000FF"/>
          <w:sz w:val="20"/>
          <w:szCs w:val="20"/>
        </w:rPr>
        <w:t> December </w:t>
      </w:r>
      <w:r w:rsidR="00541EBC">
        <w:rPr>
          <w:color w:val="0000FF"/>
          <w:sz w:val="20"/>
          <w:szCs w:val="20"/>
        </w:rPr>
        <w:t>2024</w:t>
      </w:r>
      <w:r>
        <w:rPr>
          <w:color w:val="0000FF"/>
          <w:sz w:val="20"/>
          <w:szCs w:val="20"/>
        </w:rPr>
        <w:t xml:space="preserve">, the Group was engaged in litigation proceedings with _____ in relation to _____. A provision of </w:t>
      </w:r>
      <w:r w:rsidR="00D73799">
        <w:rPr>
          <w:color w:val="0000FF"/>
          <w:sz w:val="20"/>
          <w:szCs w:val="20"/>
        </w:rPr>
        <w:t>EUR</w:t>
      </w:r>
      <w:r>
        <w:rPr>
          <w:color w:val="0000FF"/>
          <w:sz w:val="20"/>
          <w:szCs w:val="20"/>
        </w:rPr>
        <w:t> _____ thousand has been made as professional advice has indicated that it is likely that a loss will eventuate. Refer to Note [25</w:t>
      </w:r>
      <w:r>
        <w:rPr>
          <w:color w:val="000000"/>
          <w:sz w:val="20"/>
          <w:szCs w:val="20"/>
        </w:rPr>
        <w:t>]</w:t>
      </w:r>
      <w:r>
        <w:rPr>
          <w:color w:val="0000FF"/>
          <w:sz w:val="20"/>
          <w:szCs w:val="20"/>
        </w:rPr>
        <w:t>. ]</w:t>
      </w:r>
      <w:r>
        <w:rPr>
          <w:color w:val="000000"/>
          <w:sz w:val="20"/>
          <w:szCs w:val="20"/>
        </w:rPr>
        <w:t xml:space="preserve"> </w:t>
      </w:r>
    </w:p>
    <w:p w14:paraId="3AFCF3C2" w14:textId="06C9D56B"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Tax contingencies. </w:t>
      </w:r>
      <w:r w:rsidR="00ED76F7">
        <w:rPr>
          <w:color w:val="000000"/>
          <w:sz w:val="20"/>
          <w:szCs w:val="20"/>
        </w:rPr>
        <w:t>T</w:t>
      </w:r>
      <w:r>
        <w:rPr>
          <w:color w:val="000000"/>
          <w:sz w:val="20"/>
          <w:szCs w:val="20"/>
        </w:rPr>
        <w:t xml:space="preserve">ax </w:t>
      </w:r>
      <w:r>
        <w:rPr>
          <w:color w:val="0000FF"/>
          <w:sz w:val="20"/>
          <w:szCs w:val="20"/>
        </w:rPr>
        <w:t>[and customs]</w:t>
      </w:r>
      <w:r>
        <w:rPr>
          <w:color w:val="000000"/>
          <w:sz w:val="20"/>
          <w:szCs w:val="20"/>
        </w:rPr>
        <w:t xml:space="preserve"> legislation which was enacted or substantively enacted at the end of the reporting period, is subject to varying interpretations when being applied to the transactions and activities of the Group. Consequently, tax positions taken by management and the formal documentation supporting the tax positions may be challenged tax authorities.  Fiscal periods remain open to review by the authorities in respect of taxes for three calendar years preceding the year when decision about review was made. Under certain circumstances reviews may cover longer periods.</w:t>
      </w:r>
    </w:p>
    <w:p w14:paraId="15203D6F" w14:textId="3E55E828" w:rsidR="00D83E33" w:rsidRDefault="00BC4072">
      <w:pPr>
        <w:widowControl w:val="0"/>
        <w:spacing w:before="200" w:after="200"/>
        <w:jc w:val="both"/>
        <w:rPr>
          <w:color w:val="000000"/>
          <w:sz w:val="20"/>
          <w:szCs w:val="20"/>
        </w:rPr>
      </w:pPr>
      <w:r>
        <w:rPr>
          <w:color w:val="000000"/>
          <w:sz w:val="20"/>
          <w:szCs w:val="20"/>
        </w:rPr>
        <w:t xml:space="preserve">The transfer pricing legislation is generally aligned with the international transfer pricing principles developed by the Organisation for Economic Cooperation and Development (OECD), although it has specific features. This legislation provides for the possibility of additional tax assessment for controlled transactions (transactions between related parties and certain transactions between unrelated parties) if such transactions are not on an arm’s-length basis. </w:t>
      </w:r>
      <w:r>
        <w:rPr>
          <w:color w:val="0000FF"/>
          <w:sz w:val="20"/>
          <w:szCs w:val="20"/>
        </w:rPr>
        <w:t>[The Management has implemented internal controls to be in compliance with this transfer pricing legislation.]</w:t>
      </w:r>
      <w:r>
        <w:rPr>
          <w:color w:val="000000"/>
          <w:sz w:val="20"/>
          <w:szCs w:val="20"/>
        </w:rPr>
        <w:t xml:space="preserve"> </w:t>
      </w:r>
    </w:p>
    <w:p w14:paraId="10E18AA4" w14:textId="00B81A4E" w:rsidR="00D83E33" w:rsidRDefault="00BC4072">
      <w:pPr>
        <w:spacing w:before="200" w:after="200"/>
        <w:jc w:val="both"/>
        <w:rPr>
          <w:color w:val="FF0000"/>
          <w:sz w:val="20"/>
          <w:szCs w:val="20"/>
        </w:rPr>
      </w:pPr>
      <w:r>
        <w:rPr>
          <w:color w:val="000000"/>
          <w:sz w:val="20"/>
          <w:szCs w:val="20"/>
        </w:rPr>
        <w:t xml:space="preserve">Tax liabilities arising from controlled transactions are determined based on their actual transaction prices. It is possible, with the evolution of the interpretation of transfer pricing rules, that such transfer prices could be challenged. The impact of any such challenge cannot be reliably estimated; however, it may be significant to the financial position and/or the overall operations of the Group. </w:t>
      </w:r>
      <w:r>
        <w:rPr>
          <w:color w:val="0000FF"/>
          <w:sz w:val="20"/>
          <w:szCs w:val="20"/>
        </w:rPr>
        <w:t xml:space="preserve">The Management's best estimate of the exposure to transfer pricing is </w:t>
      </w:r>
      <w:r w:rsidR="00D73799">
        <w:rPr>
          <w:color w:val="0000FF"/>
          <w:sz w:val="20"/>
          <w:szCs w:val="20"/>
        </w:rPr>
        <w:t>EUR</w:t>
      </w:r>
      <w:r>
        <w:rPr>
          <w:color w:val="0000FF"/>
          <w:sz w:val="20"/>
          <w:szCs w:val="20"/>
        </w:rPr>
        <w:t xml:space="preserve"> ____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 thousand). In addition, alternative assumptions may be used for tax calculation purposes. Therefore, this amount should not be interpreted as the final assessment of future taxes payable if tax authorities challenge the transfer prices. The Management plans to defend vigorously the Group's transfer pricing positions.</w:t>
      </w:r>
      <w:r>
        <w:rPr>
          <w:color w:val="FF0000"/>
          <w:sz w:val="20"/>
          <w:szCs w:val="20"/>
        </w:rPr>
        <w:t xml:space="preserve">] </w:t>
      </w:r>
    </w:p>
    <w:p w14:paraId="37907BB6" w14:textId="5804DAB0" w:rsidR="00D83E33" w:rsidRDefault="00BC4072" w:rsidP="001B330E">
      <w:pPr>
        <w:pStyle w:val="Continued"/>
      </w:pPr>
      <w:r>
        <w:lastRenderedPageBreak/>
        <w:t>43</w:t>
      </w:r>
      <w:r>
        <w:tab/>
        <w:t>Contingencies and Commitments (Continued)</w:t>
      </w:r>
    </w:p>
    <w:p w14:paraId="3CE6CF8E" w14:textId="73E59951" w:rsidR="00D83E33" w:rsidRDefault="00BC4072">
      <w:pPr>
        <w:widowControl w:val="0"/>
        <w:spacing w:before="200" w:after="200"/>
        <w:jc w:val="both"/>
        <w:rPr>
          <w:color w:val="000000"/>
          <w:sz w:val="20"/>
          <w:szCs w:val="20"/>
        </w:rPr>
      </w:pPr>
      <w:r>
        <w:rPr>
          <w:color w:val="000000"/>
          <w:sz w:val="20"/>
          <w:szCs w:val="20"/>
        </w:rPr>
        <w:t xml:space="preserve">The Group includes companies incorporated outside of </w:t>
      </w:r>
      <w:r w:rsidR="00ED76F7">
        <w:rPr>
          <w:color w:val="000000"/>
          <w:sz w:val="20"/>
          <w:szCs w:val="20"/>
        </w:rPr>
        <w:t xml:space="preserve">the </w:t>
      </w:r>
      <w:r w:rsidR="00372E26">
        <w:rPr>
          <w:color w:val="000000"/>
          <w:sz w:val="20"/>
          <w:szCs w:val="20"/>
        </w:rPr>
        <w:t>[Country]</w:t>
      </w:r>
      <w:r>
        <w:rPr>
          <w:color w:val="000000"/>
          <w:sz w:val="20"/>
          <w:szCs w:val="20"/>
        </w:rPr>
        <w:t>. The tax liabilities of the Group are determined on the assumption that these companies are not subject to profits tax</w:t>
      </w:r>
      <w:r w:rsidR="00ED76F7">
        <w:rPr>
          <w:color w:val="000000"/>
          <w:sz w:val="20"/>
          <w:szCs w:val="20"/>
        </w:rPr>
        <w:t xml:space="preserve"> in the </w:t>
      </w:r>
      <w:r w:rsidR="00372E26">
        <w:rPr>
          <w:color w:val="000000"/>
          <w:sz w:val="20"/>
          <w:szCs w:val="20"/>
        </w:rPr>
        <w:t>[Country]</w:t>
      </w:r>
      <w:r>
        <w:rPr>
          <w:color w:val="000000"/>
          <w:sz w:val="20"/>
          <w:szCs w:val="20"/>
        </w:rPr>
        <w:t xml:space="preserve">, because they do not have a permanent establishment in </w:t>
      </w:r>
      <w:r w:rsidR="00ED76F7">
        <w:rPr>
          <w:color w:val="000000"/>
          <w:sz w:val="20"/>
          <w:szCs w:val="20"/>
        </w:rPr>
        <w:t xml:space="preserve">the </w:t>
      </w:r>
      <w:r w:rsidR="00372E26">
        <w:rPr>
          <w:color w:val="000000"/>
          <w:sz w:val="20"/>
          <w:szCs w:val="20"/>
        </w:rPr>
        <w:t>[Country]</w:t>
      </w:r>
      <w:r>
        <w:rPr>
          <w:color w:val="000000"/>
          <w:sz w:val="20"/>
          <w:szCs w:val="20"/>
        </w:rPr>
        <w:t>. This interpretation of relevant legislation may be challenged but the impact of any such challenge cannot be reliably estimated currently; however, it may be significant to the financial position and/or the overall operations of the Group.</w:t>
      </w:r>
    </w:p>
    <w:p w14:paraId="7DB55DA3" w14:textId="2526DF44" w:rsidR="00D83E33" w:rsidRDefault="00BC4072">
      <w:pPr>
        <w:widowControl w:val="0"/>
        <w:spacing w:before="200" w:after="200"/>
        <w:jc w:val="both"/>
        <w:rPr>
          <w:color w:val="000000"/>
          <w:sz w:val="20"/>
          <w:szCs w:val="20"/>
        </w:rPr>
      </w:pPr>
      <w:r>
        <w:rPr>
          <w:color w:val="000000"/>
          <w:sz w:val="20"/>
          <w:szCs w:val="20"/>
        </w:rPr>
        <w:t xml:space="preserve">As </w:t>
      </w:r>
      <w:r w:rsidR="00ED76F7">
        <w:rPr>
          <w:color w:val="000000"/>
          <w:sz w:val="20"/>
          <w:szCs w:val="20"/>
        </w:rPr>
        <w:t>the</w:t>
      </w:r>
      <w:r>
        <w:rPr>
          <w:color w:val="000000"/>
          <w:sz w:val="20"/>
          <w:szCs w:val="20"/>
        </w:rPr>
        <w:t xml:space="preserve"> tax legislation does not provide definitive guidance in certain areas, the Group adopts, from time to time, interpretations of such uncertain areas that reduce the overall tax rate of the Group. While management currently estimates that the tax positions and interpretations that it has taken can probably be sustained, there is a possible risk that outflow of resources will be required should such tax positions and interpretations be challenged by the tax authorities. The impact of any such challenge cannot be reliably estimated; however, it may be significant to the financial position and/or the overall operations of the Group.</w:t>
      </w:r>
    </w:p>
    <w:p w14:paraId="31D63B5D" w14:textId="57E20CA1" w:rsidR="00D83E33" w:rsidRDefault="00BC4072">
      <w:pPr>
        <w:widowControl w:val="0"/>
        <w:spacing w:before="200" w:after="200"/>
        <w:jc w:val="both"/>
        <w:rPr>
          <w:color w:val="000000"/>
          <w:sz w:val="20"/>
          <w:szCs w:val="20"/>
        </w:rPr>
      </w:pPr>
      <w:r>
        <w:rPr>
          <w:color w:val="000000"/>
          <w:sz w:val="20"/>
          <w:szCs w:val="20"/>
        </w:rPr>
        <w:t xml:space="preserve">In addition to the above matters, management estimates that the Group has other possible obligations from exposure to other than remote tax risks of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w:t>
      </w:r>
      <w:r>
        <w:rPr>
          <w:color w:val="0000FF"/>
          <w:sz w:val="20"/>
          <w:szCs w:val="20"/>
        </w:rPr>
        <w:t xml:space="preserve">....in the range from </w:t>
      </w:r>
      <w:r w:rsidR="00D73799">
        <w:rPr>
          <w:color w:val="0000FF"/>
          <w:sz w:val="20"/>
          <w:szCs w:val="20"/>
        </w:rPr>
        <w:t>EUR</w:t>
      </w:r>
      <w:r>
        <w:rPr>
          <w:color w:val="0000FF"/>
          <w:sz w:val="20"/>
          <w:szCs w:val="20"/>
        </w:rPr>
        <w:t xml:space="preserve"> _____ thousand to </w:t>
      </w:r>
      <w:r w:rsidR="00D73799">
        <w:rPr>
          <w:color w:val="0000FF"/>
          <w:sz w:val="20"/>
          <w:szCs w:val="20"/>
        </w:rPr>
        <w:t>EUR</w:t>
      </w:r>
      <w:r>
        <w:rPr>
          <w:color w:val="0000FF"/>
          <w:sz w:val="20"/>
          <w:szCs w:val="20"/>
        </w:rPr>
        <w:t xml:space="preserve"> ____ thousand (</w:t>
      </w:r>
      <w:r w:rsidR="00541EBC">
        <w:rPr>
          <w:color w:val="0000FF"/>
          <w:sz w:val="20"/>
          <w:szCs w:val="20"/>
        </w:rPr>
        <w:t>2023</w:t>
      </w:r>
      <w:r>
        <w:rPr>
          <w:color w:val="0000FF"/>
          <w:sz w:val="20"/>
          <w:szCs w:val="20"/>
        </w:rPr>
        <w:t xml:space="preserve">: in the range from </w:t>
      </w:r>
      <w:r w:rsidR="00D73799">
        <w:rPr>
          <w:color w:val="0000FF"/>
          <w:sz w:val="20"/>
          <w:szCs w:val="20"/>
        </w:rPr>
        <w:t>EUR</w:t>
      </w:r>
      <w:r>
        <w:rPr>
          <w:color w:val="0000FF"/>
          <w:sz w:val="20"/>
          <w:szCs w:val="20"/>
        </w:rPr>
        <w:t xml:space="preserve"> _____ thousand to </w:t>
      </w:r>
      <w:r w:rsidR="00D73799">
        <w:rPr>
          <w:color w:val="0000FF"/>
          <w:sz w:val="20"/>
          <w:szCs w:val="20"/>
        </w:rPr>
        <w:t>EUR</w:t>
      </w:r>
      <w:r>
        <w:rPr>
          <w:color w:val="0000FF"/>
          <w:sz w:val="20"/>
          <w:szCs w:val="20"/>
        </w:rPr>
        <w:t xml:space="preserve"> ____ thousand)]</w:t>
      </w:r>
      <w:r>
        <w:rPr>
          <w:color w:val="000000"/>
          <w:sz w:val="20"/>
          <w:szCs w:val="20"/>
        </w:rPr>
        <w:t xml:space="preserve">. These exposures primarily relate to </w:t>
      </w:r>
      <w:r>
        <w:rPr>
          <w:color w:val="0000FF"/>
          <w:sz w:val="20"/>
          <w:szCs w:val="20"/>
        </w:rPr>
        <w:t xml:space="preserve">[Insert explanation of the specific tax matters]. </w:t>
      </w:r>
      <w:r>
        <w:rPr>
          <w:color w:val="000000"/>
          <w:sz w:val="20"/>
          <w:szCs w:val="20"/>
        </w:rPr>
        <w:t>These exposures are estimates that result from uncertainties in interpretation of applicable legislation and related documentation requirements. Management will vigorously defend the entity's positions and interpretations that were applied in determining taxes recognised in these financial statements if these are challenged by the authorities.</w:t>
      </w:r>
    </w:p>
    <w:p w14:paraId="02B03016" w14:textId="160B538F"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Included in the above disclosed amount of possible obligations for uncertain tax positions are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w:t>
      </w:r>
      <w:r>
        <w:rPr>
          <w:color w:val="0000FF"/>
          <w:sz w:val="20"/>
          <w:szCs w:val="20"/>
        </w:rPr>
        <w:t xml:space="preserve">Included in the above disclosed range of possible obligations for uncertain tax positions are obligations of </w:t>
      </w:r>
      <w:r w:rsidR="00D73799">
        <w:rPr>
          <w:color w:val="0000FF"/>
          <w:sz w:val="20"/>
          <w:szCs w:val="20"/>
        </w:rPr>
        <w:t>EUR</w:t>
      </w:r>
      <w:r>
        <w:rPr>
          <w:color w:val="0000FF"/>
          <w:sz w:val="20"/>
          <w:szCs w:val="20"/>
        </w:rPr>
        <w:t xml:space="preserve"> _____ thousand to </w:t>
      </w:r>
      <w:r w:rsidR="00D73799">
        <w:rPr>
          <w:color w:val="0000FF"/>
          <w:sz w:val="20"/>
          <w:szCs w:val="20"/>
        </w:rPr>
        <w:t>EUR</w:t>
      </w:r>
      <w:r>
        <w:rPr>
          <w:color w:val="0000FF"/>
          <w:sz w:val="20"/>
          <w:szCs w:val="20"/>
        </w:rPr>
        <w:t xml:space="preserve"> ____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_____ thousand to </w:t>
      </w:r>
      <w:r w:rsidR="00D73799">
        <w:rPr>
          <w:color w:val="0000FF"/>
          <w:sz w:val="20"/>
          <w:szCs w:val="20"/>
        </w:rPr>
        <w:t>EUR</w:t>
      </w:r>
      <w:r>
        <w:rPr>
          <w:color w:val="0000FF"/>
          <w:sz w:val="20"/>
          <w:szCs w:val="20"/>
        </w:rPr>
        <w:t xml:space="preserve"> ____ thousand)] </w:t>
      </w:r>
      <w:r>
        <w:rPr>
          <w:color w:val="000000"/>
          <w:sz w:val="20"/>
          <w:szCs w:val="20"/>
        </w:rPr>
        <w:t>for which the inspection rights of tax authorities have expired, but which may be challenged by regulatory bodies under certain circumstances. In management’s estimate, no losses are anticipated from these contingent liabilities.</w:t>
      </w:r>
    </w:p>
    <w:p w14:paraId="3C31728A" w14:textId="43C9C4FA" w:rsidR="00D83E33" w:rsidRDefault="00BC4072">
      <w:pPr>
        <w:widowControl w:val="0"/>
        <w:pBdr>
          <w:top w:val="nil"/>
          <w:left w:val="nil"/>
          <w:bottom w:val="nil"/>
          <w:right w:val="nil"/>
          <w:between w:val="nil"/>
        </w:pBdr>
        <w:spacing w:before="200" w:after="200"/>
        <w:jc w:val="both"/>
        <w:rPr>
          <w:color w:val="0000FF"/>
          <w:sz w:val="20"/>
          <w:szCs w:val="20"/>
        </w:rPr>
      </w:pPr>
      <w:r>
        <w:rPr>
          <w:b/>
          <w:i/>
          <w:color w:val="000000"/>
          <w:sz w:val="20"/>
          <w:szCs w:val="20"/>
        </w:rPr>
        <w:t xml:space="preserve">Capital expenditure commitments. </w:t>
      </w: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the Group has contractual capital expenditure commitments in respect of premises and equipment totalling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and in respect of software and other intangible assets of </w:t>
      </w:r>
      <w:r w:rsidR="00D73799">
        <w:rPr>
          <w:color w:val="000000"/>
          <w:sz w:val="20"/>
          <w:szCs w:val="20"/>
        </w:rPr>
        <w:t>EUR</w:t>
      </w:r>
      <w:r>
        <w:rPr>
          <w:color w:val="000000"/>
          <w:sz w:val="20"/>
          <w:szCs w:val="20"/>
        </w:rPr>
        <w:t> _____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w:t>
      </w:r>
      <w:r>
        <w:rPr>
          <w:color w:val="0000FF"/>
          <w:sz w:val="20"/>
          <w:szCs w:val="20"/>
        </w:rPr>
        <w:t>).</w:t>
      </w:r>
    </w:p>
    <w:p w14:paraId="5003FAF7" w14:textId="0DA70AAA" w:rsidR="00D83E33" w:rsidRDefault="00BC4072">
      <w:pPr>
        <w:widowControl w:val="0"/>
        <w:pBdr>
          <w:top w:val="nil"/>
          <w:left w:val="nil"/>
          <w:bottom w:val="nil"/>
          <w:right w:val="nil"/>
          <w:between w:val="nil"/>
        </w:pBdr>
        <w:spacing w:before="200" w:after="200"/>
        <w:jc w:val="both"/>
        <w:rPr>
          <w:color w:val="000000"/>
          <w:sz w:val="20"/>
          <w:szCs w:val="20"/>
        </w:rPr>
      </w:pPr>
      <w:r>
        <w:rPr>
          <w:color w:val="0000FF"/>
          <w:sz w:val="20"/>
          <w:szCs w:val="20"/>
        </w:rPr>
        <w:t xml:space="preserve">[Contractual obligations to purchase, construct or develop investment properties totalled </w:t>
      </w:r>
      <w:r w:rsidR="00D73799">
        <w:rPr>
          <w:color w:val="0000FF"/>
          <w:sz w:val="20"/>
          <w:szCs w:val="20"/>
        </w:rPr>
        <w:t>EUR</w:t>
      </w:r>
      <w:r>
        <w:rPr>
          <w:color w:val="0000FF"/>
          <w:sz w:val="20"/>
          <w:szCs w:val="20"/>
        </w:rPr>
        <w:t> _____ thousand at 31</w:t>
      </w:r>
      <w:r w:rsidR="00181687">
        <w:rPr>
          <w:color w:val="0000FF"/>
          <w:sz w:val="20"/>
          <w:szCs w:val="20"/>
        </w:rPr>
        <w:t> December </w:t>
      </w:r>
      <w:r w:rsidR="00541EBC">
        <w:rPr>
          <w:color w:val="0000FF"/>
          <w:sz w:val="20"/>
          <w:szCs w:val="20"/>
        </w:rPr>
        <w:t>2024</w:t>
      </w:r>
      <w:r>
        <w:rPr>
          <w:color w:val="0000FF"/>
          <w:sz w:val="20"/>
          <w:szCs w:val="20"/>
        </w:rPr>
        <w:t xml:space="preserve">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 thousand). Contractual obligations for repairs, maintenance or enhancements of investment properties totalled </w:t>
      </w:r>
      <w:r w:rsidR="00D73799">
        <w:rPr>
          <w:color w:val="0000FF"/>
          <w:sz w:val="20"/>
          <w:szCs w:val="20"/>
        </w:rPr>
        <w:t>EUR</w:t>
      </w:r>
      <w:r>
        <w:rPr>
          <w:color w:val="0000FF"/>
          <w:sz w:val="20"/>
          <w:szCs w:val="20"/>
        </w:rPr>
        <w:t> _____ thousand at 31</w:t>
      </w:r>
      <w:r w:rsidR="00181687">
        <w:rPr>
          <w:color w:val="0000FF"/>
          <w:sz w:val="20"/>
          <w:szCs w:val="20"/>
        </w:rPr>
        <w:t> December </w:t>
      </w:r>
      <w:r w:rsidR="00541EBC">
        <w:rPr>
          <w:color w:val="0000FF"/>
          <w:sz w:val="20"/>
          <w:szCs w:val="20"/>
        </w:rPr>
        <w:t>2024</w:t>
      </w:r>
      <w:r>
        <w:rPr>
          <w:color w:val="0000FF"/>
          <w:sz w:val="20"/>
          <w:szCs w:val="20"/>
        </w:rPr>
        <w:t xml:space="preserve">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 thousand).] </w:t>
      </w:r>
    </w:p>
    <w:p w14:paraId="43BFB69D" w14:textId="4B914AF9"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Group has already allocated the necessary resources in respect of these commitments. The Group believes that future net income and funding will be sufficient to cover this and any similar such commitments. </w:t>
      </w:r>
    </w:p>
    <w:p w14:paraId="2CCD798E" w14:textId="60B2EBAF" w:rsidR="00D83E33" w:rsidRDefault="00BC4072" w:rsidP="001B330E">
      <w:pPr>
        <w:pStyle w:val="Continued"/>
      </w:pPr>
      <w:r>
        <w:lastRenderedPageBreak/>
        <w:t>43</w:t>
      </w:r>
      <w:r>
        <w:tab/>
        <w:t>Contingencies and Commitments (Continued)</w:t>
      </w:r>
    </w:p>
    <w:p w14:paraId="61BD123A" w14:textId="54DB3D0B"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Future cash </w:t>
      </w:r>
      <w:r w:rsidR="002F5D98">
        <w:rPr>
          <w:b/>
          <w:i/>
          <w:color w:val="000000"/>
          <w:sz w:val="20"/>
          <w:szCs w:val="20"/>
        </w:rPr>
        <w:t>outflows</w:t>
      </w:r>
      <w:r>
        <w:rPr>
          <w:b/>
          <w:i/>
          <w:color w:val="000000"/>
          <w:sz w:val="20"/>
          <w:szCs w:val="20"/>
        </w:rPr>
        <w:t xml:space="preserve"> related to leases. </w:t>
      </w:r>
      <w:r>
        <w:rPr>
          <w:color w:val="000000"/>
          <w:sz w:val="20"/>
          <w:szCs w:val="20"/>
        </w:rPr>
        <w:t xml:space="preserve">Where the Group is a lessee, the future cash outflows, to which the Group is potentially exposed and that are not reflected in the lease liabilities relate mainly to: </w:t>
      </w:r>
    </w:p>
    <w:p w14:paraId="2D712C83" w14:textId="247B5357" w:rsidR="00D83E33" w:rsidRDefault="00BC4072">
      <w:pPr>
        <w:widowControl w:val="0"/>
        <w:numPr>
          <w:ilvl w:val="0"/>
          <w:numId w:val="1"/>
        </w:numPr>
        <w:pBdr>
          <w:top w:val="nil"/>
          <w:left w:val="nil"/>
          <w:bottom w:val="nil"/>
          <w:right w:val="nil"/>
          <w:between w:val="nil"/>
        </w:pBdr>
        <w:spacing w:before="100" w:after="100"/>
        <w:ind w:left="567" w:hanging="567"/>
        <w:jc w:val="both"/>
        <w:rPr>
          <w:color w:val="000000"/>
          <w:sz w:val="20"/>
          <w:szCs w:val="20"/>
        </w:rPr>
      </w:pPr>
      <w:r>
        <w:rPr>
          <w:color w:val="000000"/>
          <w:sz w:val="20"/>
          <w:szCs w:val="20"/>
        </w:rPr>
        <w:t>Long-term leases of land with rent payments based on cadastral values; the rent expense recorded for such leases in</w:t>
      </w:r>
      <w:r w:rsidR="00181687">
        <w:rPr>
          <w:color w:val="000000"/>
          <w:sz w:val="20"/>
          <w:szCs w:val="20"/>
        </w:rPr>
        <w:t xml:space="preserve"> </w:t>
      </w:r>
      <w:r w:rsidR="00541EBC">
        <w:rPr>
          <w:color w:val="000000"/>
          <w:sz w:val="20"/>
          <w:szCs w:val="20"/>
        </w:rPr>
        <w:t>2024</w:t>
      </w:r>
      <w:r>
        <w:rPr>
          <w:color w:val="000000"/>
          <w:sz w:val="20"/>
          <w:szCs w:val="20"/>
        </w:rPr>
        <w:t xml:space="preserve"> is </w:t>
      </w:r>
      <w:r w:rsidR="00D73799">
        <w:rPr>
          <w:color w:val="000000"/>
          <w:sz w:val="20"/>
          <w:szCs w:val="20"/>
        </w:rPr>
        <w:t>EUR</w:t>
      </w:r>
      <w:r>
        <w:rPr>
          <w:color w:val="000000"/>
          <w:sz w:val="20"/>
          <w:szCs w:val="20"/>
        </w:rPr>
        <w:t>_____ thousand and the remaining lease terms are between ____ and _____ years (</w:t>
      </w:r>
      <w:r w:rsidR="00541EBC">
        <w:rPr>
          <w:color w:val="000000"/>
          <w:sz w:val="20"/>
          <w:szCs w:val="20"/>
        </w:rPr>
        <w:t>2023</w:t>
      </w:r>
      <w:r>
        <w:rPr>
          <w:color w:val="000000"/>
          <w:sz w:val="20"/>
          <w:szCs w:val="20"/>
        </w:rPr>
        <w:t xml:space="preserve">: the rent expense was </w:t>
      </w:r>
      <w:r w:rsidR="00D73799">
        <w:rPr>
          <w:color w:val="000000"/>
          <w:sz w:val="20"/>
          <w:szCs w:val="20"/>
        </w:rPr>
        <w:t>EUR</w:t>
      </w:r>
      <w:r>
        <w:rPr>
          <w:color w:val="000000"/>
          <w:sz w:val="20"/>
          <w:szCs w:val="20"/>
        </w:rPr>
        <w:t>_____ thousand and the remaining lease terms were between ____ and _____ years).</w:t>
      </w:r>
    </w:p>
    <w:p w14:paraId="69C57794" w14:textId="65FCCF7E" w:rsidR="00D83E33" w:rsidRDefault="00BC4072">
      <w:pPr>
        <w:widowControl w:val="0"/>
        <w:numPr>
          <w:ilvl w:val="0"/>
          <w:numId w:val="1"/>
        </w:numPr>
        <w:pBdr>
          <w:top w:val="nil"/>
          <w:left w:val="nil"/>
          <w:bottom w:val="nil"/>
          <w:right w:val="nil"/>
          <w:between w:val="nil"/>
        </w:pBdr>
        <w:spacing w:before="100" w:after="100"/>
        <w:ind w:left="567" w:hanging="567"/>
        <w:jc w:val="both"/>
        <w:rPr>
          <w:color w:val="000000"/>
          <w:sz w:val="20"/>
          <w:szCs w:val="20"/>
        </w:rPr>
      </w:pPr>
      <w:r>
        <w:rPr>
          <w:color w:val="000000"/>
          <w:sz w:val="20"/>
          <w:szCs w:val="20"/>
        </w:rPr>
        <w:t>Leases of buildings with rent annually indexed by the Consumer Price Index; the lease liability related to such leases at 31</w:t>
      </w:r>
      <w:r w:rsidR="00181687">
        <w:rPr>
          <w:color w:val="000000"/>
          <w:sz w:val="20"/>
          <w:szCs w:val="20"/>
        </w:rPr>
        <w:t> December </w:t>
      </w:r>
      <w:r w:rsidR="00541EBC">
        <w:rPr>
          <w:color w:val="000000"/>
          <w:sz w:val="20"/>
          <w:szCs w:val="20"/>
        </w:rPr>
        <w:t>2024</w:t>
      </w:r>
      <w:r>
        <w:rPr>
          <w:color w:val="000000"/>
          <w:sz w:val="20"/>
          <w:szCs w:val="20"/>
        </w:rPr>
        <w:t xml:space="preserve"> is </w:t>
      </w:r>
      <w:r w:rsidR="00D73799">
        <w:rPr>
          <w:color w:val="000000"/>
          <w:sz w:val="20"/>
          <w:szCs w:val="20"/>
        </w:rPr>
        <w:t>EUR</w:t>
      </w:r>
      <w:r>
        <w:rPr>
          <w:color w:val="000000"/>
          <w:sz w:val="20"/>
          <w:szCs w:val="20"/>
        </w:rPr>
        <w:t xml:space="preserve"> ______ thousand and the lease terms are between ____ and ____ years (</w:t>
      </w:r>
      <w:r w:rsidR="00541EBC">
        <w:rPr>
          <w:color w:val="000000"/>
          <w:sz w:val="20"/>
          <w:szCs w:val="20"/>
        </w:rPr>
        <w:t>2023</w:t>
      </w:r>
      <w:r>
        <w:rPr>
          <w:color w:val="000000"/>
          <w:sz w:val="20"/>
          <w:szCs w:val="20"/>
        </w:rPr>
        <w:t xml:space="preserve">: the lease liability was </w:t>
      </w:r>
      <w:r w:rsidR="00D73799">
        <w:rPr>
          <w:color w:val="000000"/>
          <w:sz w:val="20"/>
          <w:szCs w:val="20"/>
        </w:rPr>
        <w:t>EUR</w:t>
      </w:r>
      <w:r>
        <w:rPr>
          <w:color w:val="000000"/>
          <w:sz w:val="20"/>
          <w:szCs w:val="20"/>
        </w:rPr>
        <w:t xml:space="preserve">_____ thousand and the lease terms were between ____ and _____ years). </w:t>
      </w:r>
    </w:p>
    <w:p w14:paraId="5789485F" w14:textId="59E0739B" w:rsidR="00D83E33" w:rsidRDefault="00BC4072">
      <w:pPr>
        <w:widowControl w:val="0"/>
        <w:numPr>
          <w:ilvl w:val="0"/>
          <w:numId w:val="1"/>
        </w:numPr>
        <w:pBdr>
          <w:top w:val="nil"/>
          <w:left w:val="nil"/>
          <w:bottom w:val="nil"/>
          <w:right w:val="nil"/>
          <w:between w:val="nil"/>
        </w:pBdr>
        <w:spacing w:before="100" w:after="100"/>
        <w:ind w:left="567" w:hanging="567"/>
        <w:jc w:val="both"/>
        <w:rPr>
          <w:color w:val="000000"/>
          <w:sz w:val="20"/>
          <w:szCs w:val="20"/>
        </w:rPr>
      </w:pPr>
      <w:r>
        <w:rPr>
          <w:color w:val="000000"/>
          <w:sz w:val="20"/>
          <w:szCs w:val="20"/>
        </w:rPr>
        <w:t xml:space="preserve">leases of buildings with extension options, which the Group is not reasonably certain to exercise, however this assessment may change in the future depending on </w:t>
      </w:r>
      <w:r w:rsidR="002F5D98">
        <w:rPr>
          <w:color w:val="000000"/>
          <w:sz w:val="20"/>
          <w:szCs w:val="20"/>
        </w:rPr>
        <w:t>circumstances</w:t>
      </w:r>
      <w:r>
        <w:rPr>
          <w:color w:val="000000"/>
          <w:sz w:val="20"/>
          <w:szCs w:val="20"/>
        </w:rPr>
        <w:t>; the lease liability related to such leases at 31</w:t>
      </w:r>
      <w:r w:rsidR="00181687">
        <w:rPr>
          <w:color w:val="000000"/>
          <w:sz w:val="20"/>
          <w:szCs w:val="20"/>
        </w:rPr>
        <w:t> December </w:t>
      </w:r>
      <w:r w:rsidR="00541EBC">
        <w:rPr>
          <w:color w:val="000000"/>
          <w:sz w:val="20"/>
          <w:szCs w:val="20"/>
        </w:rPr>
        <w:t>2024</w:t>
      </w:r>
      <w:r>
        <w:rPr>
          <w:color w:val="000000"/>
          <w:sz w:val="20"/>
          <w:szCs w:val="20"/>
        </w:rPr>
        <w:t xml:space="preserve"> is </w:t>
      </w:r>
      <w:r w:rsidR="00D73799">
        <w:rPr>
          <w:color w:val="000000"/>
          <w:sz w:val="20"/>
          <w:szCs w:val="20"/>
        </w:rPr>
        <w:t>EUR</w:t>
      </w:r>
      <w:r>
        <w:rPr>
          <w:color w:val="000000"/>
          <w:sz w:val="20"/>
          <w:szCs w:val="20"/>
        </w:rPr>
        <w:t>______ thousand and the extension options that are currently not included in the lease term range from ____ to ____ years</w:t>
      </w:r>
      <w:r w:rsidR="00181687">
        <w:rPr>
          <w:color w:val="000000"/>
          <w:sz w:val="20"/>
          <w:szCs w:val="20"/>
        </w:rPr>
        <w:t xml:space="preserve"> </w:t>
      </w:r>
      <w:r>
        <w:rPr>
          <w:color w:val="000000"/>
          <w:sz w:val="20"/>
          <w:szCs w:val="20"/>
        </w:rPr>
        <w:t>(</w:t>
      </w:r>
      <w:r w:rsidR="00541EBC">
        <w:rPr>
          <w:color w:val="000000"/>
          <w:sz w:val="20"/>
          <w:szCs w:val="20"/>
        </w:rPr>
        <w:t>2023</w:t>
      </w:r>
      <w:r>
        <w:rPr>
          <w:color w:val="000000"/>
          <w:sz w:val="20"/>
          <w:szCs w:val="20"/>
        </w:rPr>
        <w:t xml:space="preserve">: the lease liability was </w:t>
      </w:r>
      <w:r w:rsidR="00D73799">
        <w:rPr>
          <w:color w:val="000000"/>
          <w:sz w:val="20"/>
          <w:szCs w:val="20"/>
        </w:rPr>
        <w:t>EUR</w:t>
      </w:r>
      <w:r>
        <w:rPr>
          <w:color w:val="000000"/>
          <w:sz w:val="20"/>
          <w:szCs w:val="20"/>
        </w:rPr>
        <w:t>_____ thousand and the extension options that were not included in the lease term ranged between ____ and _____ years).</w:t>
      </w:r>
    </w:p>
    <w:p w14:paraId="48AA5C06" w14:textId="2AADC4B8"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 xml:space="preserve">[Disclose also a general description of the leasing arrangements. This would include: (i) the basis on which fully variable rent payments are determined; (ii) the existence and terms of renewal or purchase options and escalation clauses; and (iii) restrictions imposed by lease arrangements, such as those concerning dividends, additional debt and further leasing.] </w:t>
      </w:r>
    </w:p>
    <w:p w14:paraId="4A992127" w14:textId="67608E79"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[Disclosure of details of significant operating leases is required.] [For capital commitments and operating lease commitments review implications of IFRS 9, specifically if the commitments are linked to a currency other than the relevant Group entity’s functional currency.]</w:t>
      </w:r>
    </w:p>
    <w:p w14:paraId="6F99C03D" w14:textId="1FF60AE0" w:rsidR="00D83E33" w:rsidRDefault="00BC4072">
      <w:pPr>
        <w:widowControl w:val="0"/>
        <w:pBdr>
          <w:top w:val="nil"/>
          <w:left w:val="nil"/>
          <w:bottom w:val="nil"/>
          <w:right w:val="nil"/>
          <w:between w:val="nil"/>
        </w:pBdr>
        <w:spacing w:before="200" w:after="200"/>
        <w:jc w:val="both"/>
        <w:rPr>
          <w:i/>
          <w:color w:val="FF0000"/>
          <w:sz w:val="20"/>
          <w:szCs w:val="20"/>
        </w:rPr>
      </w:pPr>
      <w:r>
        <w:rPr>
          <w:b/>
          <w:i/>
          <w:color w:val="000000"/>
          <w:sz w:val="20"/>
          <w:szCs w:val="20"/>
        </w:rPr>
        <w:t>Compliance with covenants.</w:t>
      </w:r>
      <w:r>
        <w:rPr>
          <w:color w:val="000000"/>
          <w:sz w:val="20"/>
          <w:szCs w:val="20"/>
        </w:rPr>
        <w:t xml:space="preserve"> The Group is subject to certain covenants primarily relating to its </w:t>
      </w:r>
      <w:r>
        <w:rPr>
          <w:color w:val="0000FF"/>
          <w:sz w:val="20"/>
          <w:szCs w:val="20"/>
        </w:rPr>
        <w:t>[borrowings]</w:t>
      </w:r>
      <w:r>
        <w:rPr>
          <w:color w:val="000000"/>
          <w:sz w:val="20"/>
          <w:szCs w:val="20"/>
        </w:rPr>
        <w:t xml:space="preserve">. Non-compliance with such covenants may result in negative consequences for the Group including </w:t>
      </w:r>
      <w:r>
        <w:rPr>
          <w:color w:val="0000FF"/>
          <w:sz w:val="20"/>
          <w:szCs w:val="20"/>
        </w:rPr>
        <w:t xml:space="preserve">[growth in the cost of borrowings and declaration of default]. </w:t>
      </w:r>
      <w:r>
        <w:rPr>
          <w:color w:val="000000"/>
          <w:sz w:val="20"/>
          <w:szCs w:val="20"/>
        </w:rPr>
        <w:t>Management believes that the Group was in compliance with covenants at 31</w:t>
      </w:r>
      <w:r w:rsidR="00181687">
        <w:rPr>
          <w:color w:val="000000"/>
          <w:sz w:val="20"/>
          <w:szCs w:val="20"/>
        </w:rPr>
        <w:t> December </w:t>
      </w:r>
      <w:r w:rsidR="00541EBC">
        <w:rPr>
          <w:color w:val="000000"/>
          <w:sz w:val="20"/>
          <w:szCs w:val="20"/>
        </w:rPr>
        <w:t>2024</w:t>
      </w:r>
      <w:r>
        <w:rPr>
          <w:color w:val="000000"/>
          <w:sz w:val="20"/>
          <w:szCs w:val="20"/>
        </w:rPr>
        <w:t xml:space="preserve"> and 31</w:t>
      </w:r>
      <w:r w:rsidR="00181687">
        <w:rPr>
          <w:color w:val="000000"/>
          <w:sz w:val="20"/>
          <w:szCs w:val="20"/>
        </w:rPr>
        <w:t> December </w:t>
      </w:r>
      <w:r w:rsidR="00541EBC">
        <w:rPr>
          <w:color w:val="000000"/>
          <w:sz w:val="20"/>
          <w:szCs w:val="20"/>
        </w:rPr>
        <w:t>2023</w:t>
      </w:r>
      <w:r>
        <w:rPr>
          <w:color w:val="000000"/>
          <w:sz w:val="20"/>
          <w:szCs w:val="20"/>
        </w:rPr>
        <w:t>.</w:t>
      </w:r>
      <w:r w:rsidR="000C752E">
        <w:rPr>
          <w:color w:val="000000"/>
          <w:sz w:val="20"/>
          <w:szCs w:val="20"/>
        </w:rPr>
        <w:t>Tailor accordingly if breach of covenant occurred.</w:t>
      </w:r>
      <w:r>
        <w:rPr>
          <w:i/>
          <w:color w:val="FF0000"/>
          <w:sz w:val="20"/>
          <w:szCs w:val="20"/>
        </w:rPr>
        <w:t xml:space="preserve"> </w:t>
      </w:r>
    </w:p>
    <w:p w14:paraId="7870D3A6" w14:textId="06C61BC5" w:rsidR="00D83E33" w:rsidRDefault="00BC4072">
      <w:pPr>
        <w:widowControl w:val="0"/>
        <w:spacing w:before="200" w:after="200"/>
        <w:jc w:val="both"/>
        <w:rPr>
          <w:color w:val="0000FF"/>
          <w:sz w:val="20"/>
          <w:szCs w:val="20"/>
        </w:rPr>
      </w:pPr>
      <w:r>
        <w:rPr>
          <w:color w:val="0000FF"/>
          <w:sz w:val="20"/>
          <w:szCs w:val="20"/>
        </w:rPr>
        <w:t xml:space="preserve">[The Group and the Bank are also subject to minimum capital requirements established by covenants stated in loan agreements, including capital adequacy levels calculated in accordance with the requirements of the </w:t>
      </w:r>
      <w:r w:rsidR="002F5D98">
        <w:rPr>
          <w:color w:val="0000FF"/>
          <w:sz w:val="20"/>
          <w:szCs w:val="20"/>
        </w:rPr>
        <w:t>CRR</w:t>
      </w:r>
      <w:r>
        <w:rPr>
          <w:color w:val="0000FF"/>
          <w:sz w:val="20"/>
          <w:szCs w:val="20"/>
        </w:rPr>
        <w:t>. The Group complied with th</w:t>
      </w:r>
      <w:r w:rsidR="002F5D98">
        <w:rPr>
          <w:color w:val="0000FF"/>
          <w:sz w:val="20"/>
          <w:szCs w:val="20"/>
        </w:rPr>
        <w:t>ese</w:t>
      </w:r>
      <w:r>
        <w:rPr>
          <w:color w:val="0000FF"/>
          <w:sz w:val="20"/>
          <w:szCs w:val="20"/>
        </w:rPr>
        <w:t xml:space="preserve"> loan covenant</w:t>
      </w:r>
      <w:r w:rsidR="002F5D98">
        <w:rPr>
          <w:color w:val="0000FF"/>
          <w:sz w:val="20"/>
          <w:szCs w:val="20"/>
        </w:rPr>
        <w:t>s</w:t>
      </w:r>
      <w:r>
        <w:rPr>
          <w:color w:val="0000FF"/>
          <w:sz w:val="20"/>
          <w:szCs w:val="20"/>
        </w:rPr>
        <w:t>.]</w:t>
      </w:r>
    </w:p>
    <w:p w14:paraId="621D4559" w14:textId="0742D044" w:rsidR="00D83E33" w:rsidRDefault="00BC4072" w:rsidP="001B330E">
      <w:pPr>
        <w:widowControl w:val="0"/>
        <w:spacing w:before="200" w:after="200"/>
        <w:jc w:val="both"/>
        <w:rPr>
          <w:color w:val="0000FF"/>
          <w:sz w:val="20"/>
          <w:szCs w:val="20"/>
        </w:rPr>
      </w:pPr>
      <w:r>
        <w:rPr>
          <w:color w:val="0000FF"/>
          <w:sz w:val="20"/>
          <w:szCs w:val="20"/>
        </w:rPr>
        <w:t xml:space="preserve">[The composition of the Group’s capital calculated in accordance with the </w:t>
      </w:r>
      <w:r w:rsidR="002F5D98">
        <w:rPr>
          <w:color w:val="0000FF"/>
          <w:sz w:val="20"/>
          <w:szCs w:val="20"/>
        </w:rPr>
        <w:t>CRR</w:t>
      </w:r>
      <w:r>
        <w:rPr>
          <w:color w:val="0000FF"/>
          <w:sz w:val="20"/>
          <w:szCs w:val="20"/>
        </w:rPr>
        <w:t xml:space="preserve"> is as follows:]</w:t>
      </w:r>
    </w:p>
    <w:tbl>
      <w:tblPr>
        <w:tblStyle w:val="affffffffffffffa"/>
        <w:tblW w:w="5000" w:type="pct"/>
        <w:tblLayout w:type="fixed"/>
        <w:tblLook w:val="0000" w:firstRow="0" w:lastRow="0" w:firstColumn="0" w:lastColumn="0" w:noHBand="0" w:noVBand="0"/>
      </w:tblPr>
      <w:tblGrid>
        <w:gridCol w:w="6296"/>
        <w:gridCol w:w="1530"/>
        <w:gridCol w:w="1529"/>
      </w:tblGrid>
      <w:tr w:rsidR="00D83E33" w:rsidRPr="00EA10CF" w14:paraId="38435A41" w14:textId="77777777" w:rsidTr="001B330E">
        <w:trPr>
          <w:trHeight w:val="23"/>
        </w:trPr>
        <w:tc>
          <w:tcPr>
            <w:tcW w:w="3365" w:type="pct"/>
            <w:tcBorders>
              <w:bottom w:val="single" w:sz="4" w:space="0" w:color="000000"/>
            </w:tcBorders>
            <w:vAlign w:val="bottom"/>
          </w:tcPr>
          <w:p w14:paraId="17FA5C13" w14:textId="293C6259" w:rsidR="00D83E33" w:rsidRPr="00EA10CF" w:rsidRDefault="00313B4D" w:rsidP="001B330E">
            <w:pPr>
              <w:widowControl w:val="0"/>
              <w:pBdr>
                <w:top w:val="nil"/>
                <w:left w:val="nil"/>
                <w:bottom w:val="nil"/>
                <w:right w:val="nil"/>
                <w:between w:val="nil"/>
              </w:pBdr>
              <w:rPr>
                <w:b/>
                <w:i/>
                <w:color w:val="0000FF"/>
              </w:rPr>
            </w:pPr>
            <w:r>
              <w:rPr>
                <w:i/>
                <w:color w:val="0000FF"/>
              </w:rPr>
              <w:t xml:space="preserve">In thousands of </w:t>
            </w:r>
            <w:r w:rsidR="002649EE">
              <w:rPr>
                <w:i/>
                <w:color w:val="0000FF"/>
              </w:rPr>
              <w:t>EUR</w:t>
            </w:r>
          </w:p>
        </w:tc>
        <w:tc>
          <w:tcPr>
            <w:tcW w:w="818" w:type="pct"/>
            <w:tcBorders>
              <w:bottom w:val="single" w:sz="4" w:space="0" w:color="000000"/>
            </w:tcBorders>
            <w:vAlign w:val="bottom"/>
          </w:tcPr>
          <w:p w14:paraId="7AAAF83A" w14:textId="1E08BF82" w:rsidR="00D83E33" w:rsidRPr="00EA10CF" w:rsidRDefault="00541EBC" w:rsidP="001B330E">
            <w:pPr>
              <w:widowControl w:val="0"/>
              <w:pBdr>
                <w:top w:val="nil"/>
                <w:left w:val="nil"/>
                <w:bottom w:val="nil"/>
                <w:right w:val="nil"/>
                <w:between w:val="nil"/>
              </w:pBdr>
              <w:jc w:val="right"/>
              <w:rPr>
                <w:b/>
                <w:color w:val="0000FF"/>
              </w:rPr>
            </w:pPr>
            <w:r>
              <w:rPr>
                <w:b/>
                <w:color w:val="0000FF"/>
              </w:rPr>
              <w:t>2024</w:t>
            </w:r>
          </w:p>
        </w:tc>
        <w:tc>
          <w:tcPr>
            <w:tcW w:w="818" w:type="pct"/>
            <w:tcBorders>
              <w:bottom w:val="single" w:sz="4" w:space="0" w:color="000000"/>
            </w:tcBorders>
            <w:vAlign w:val="bottom"/>
          </w:tcPr>
          <w:p w14:paraId="0C01B32C" w14:textId="50A79898" w:rsidR="00D83E33" w:rsidRPr="00EA10CF" w:rsidRDefault="00541EBC" w:rsidP="001B330E">
            <w:pPr>
              <w:widowControl w:val="0"/>
              <w:pBdr>
                <w:top w:val="nil"/>
                <w:left w:val="nil"/>
                <w:bottom w:val="nil"/>
                <w:right w:val="nil"/>
                <w:between w:val="nil"/>
              </w:pBdr>
              <w:jc w:val="right"/>
              <w:rPr>
                <w:b/>
                <w:color w:val="0000FF"/>
              </w:rPr>
            </w:pPr>
            <w:r>
              <w:rPr>
                <w:b/>
                <w:color w:val="0000FF"/>
              </w:rPr>
              <w:t>2023</w:t>
            </w:r>
          </w:p>
        </w:tc>
      </w:tr>
      <w:tr w:rsidR="00D83E33" w:rsidRPr="00EA10CF" w14:paraId="708F9968" w14:textId="77777777" w:rsidTr="001B330E">
        <w:trPr>
          <w:trHeight w:val="23"/>
        </w:trPr>
        <w:tc>
          <w:tcPr>
            <w:tcW w:w="3365" w:type="pct"/>
            <w:tcBorders>
              <w:top w:val="single" w:sz="4" w:space="0" w:color="000000"/>
            </w:tcBorders>
            <w:vAlign w:val="bottom"/>
          </w:tcPr>
          <w:p w14:paraId="0AEA3D18" w14:textId="77777777" w:rsidR="00D83E33" w:rsidRPr="00EA10CF" w:rsidRDefault="00BC4072" w:rsidP="001B330E">
            <w:pPr>
              <w:widowControl w:val="0"/>
              <w:pBdr>
                <w:top w:val="nil"/>
                <w:left w:val="nil"/>
                <w:bottom w:val="nil"/>
                <w:right w:val="nil"/>
                <w:between w:val="nil"/>
              </w:pBdr>
              <w:rPr>
                <w:color w:val="0000FF"/>
              </w:rPr>
            </w:pPr>
            <w:r w:rsidRPr="00EA10CF">
              <w:rPr>
                <w:color w:val="000000"/>
              </w:rPr>
              <w:t> </w:t>
            </w:r>
          </w:p>
        </w:tc>
        <w:tc>
          <w:tcPr>
            <w:tcW w:w="818" w:type="pct"/>
            <w:tcBorders>
              <w:top w:val="single" w:sz="4" w:space="0" w:color="000000"/>
            </w:tcBorders>
            <w:vAlign w:val="bottom"/>
          </w:tcPr>
          <w:p w14:paraId="57366E26"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tcBorders>
              <w:top w:val="single" w:sz="4" w:space="0" w:color="000000"/>
            </w:tcBorders>
            <w:vAlign w:val="bottom"/>
          </w:tcPr>
          <w:p w14:paraId="5E2C9CFE"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55455F64" w14:textId="77777777" w:rsidTr="001B330E">
        <w:trPr>
          <w:trHeight w:val="23"/>
        </w:trPr>
        <w:tc>
          <w:tcPr>
            <w:tcW w:w="3365" w:type="pct"/>
            <w:vAlign w:val="bottom"/>
          </w:tcPr>
          <w:p w14:paraId="4FFD2284" w14:textId="77777777" w:rsidR="00D83E33" w:rsidRPr="00EA10CF" w:rsidRDefault="00BC4072" w:rsidP="001B330E">
            <w:pPr>
              <w:widowControl w:val="0"/>
              <w:pBdr>
                <w:top w:val="nil"/>
                <w:left w:val="nil"/>
                <w:bottom w:val="nil"/>
                <w:right w:val="nil"/>
                <w:between w:val="nil"/>
              </w:pBdr>
              <w:rPr>
                <w:b/>
                <w:color w:val="0000FF"/>
              </w:rPr>
            </w:pPr>
            <w:r w:rsidRPr="00EA10CF">
              <w:rPr>
                <w:b/>
                <w:color w:val="0000FF"/>
              </w:rPr>
              <w:t>Tier 1 capital</w:t>
            </w:r>
          </w:p>
        </w:tc>
        <w:tc>
          <w:tcPr>
            <w:tcW w:w="818" w:type="pct"/>
            <w:vAlign w:val="bottom"/>
          </w:tcPr>
          <w:p w14:paraId="3D2205FC"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5D4C5AD4"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3836A414" w14:textId="77777777" w:rsidTr="001B330E">
        <w:trPr>
          <w:trHeight w:val="23"/>
        </w:trPr>
        <w:tc>
          <w:tcPr>
            <w:tcW w:w="3365" w:type="pct"/>
            <w:vAlign w:val="bottom"/>
          </w:tcPr>
          <w:p w14:paraId="61695A24" w14:textId="77777777" w:rsidR="00D83E33" w:rsidRPr="00EA10CF" w:rsidRDefault="00BC4072" w:rsidP="001B330E">
            <w:pPr>
              <w:widowControl w:val="0"/>
              <w:pBdr>
                <w:top w:val="nil"/>
                <w:left w:val="nil"/>
                <w:bottom w:val="nil"/>
                <w:right w:val="nil"/>
                <w:between w:val="nil"/>
              </w:pBdr>
              <w:rPr>
                <w:color w:val="0000FF"/>
              </w:rPr>
            </w:pPr>
            <w:r w:rsidRPr="00EA10CF">
              <w:rPr>
                <w:color w:val="0000FF"/>
              </w:rPr>
              <w:t>Share capital</w:t>
            </w:r>
          </w:p>
        </w:tc>
        <w:tc>
          <w:tcPr>
            <w:tcW w:w="818" w:type="pct"/>
            <w:vAlign w:val="bottom"/>
          </w:tcPr>
          <w:p w14:paraId="21B3F69D"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1008AF38"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22648AF0" w14:textId="77777777" w:rsidTr="001B330E">
        <w:trPr>
          <w:trHeight w:val="23"/>
        </w:trPr>
        <w:tc>
          <w:tcPr>
            <w:tcW w:w="3365" w:type="pct"/>
            <w:vAlign w:val="bottom"/>
          </w:tcPr>
          <w:p w14:paraId="2341579A" w14:textId="77777777" w:rsidR="00D83E33" w:rsidRPr="00EA10CF" w:rsidRDefault="00BC4072" w:rsidP="001B330E">
            <w:pPr>
              <w:widowControl w:val="0"/>
              <w:pBdr>
                <w:top w:val="nil"/>
                <w:left w:val="nil"/>
                <w:bottom w:val="nil"/>
                <w:right w:val="nil"/>
                <w:between w:val="nil"/>
              </w:pBdr>
              <w:rPr>
                <w:color w:val="0000FF"/>
              </w:rPr>
            </w:pPr>
            <w:r w:rsidRPr="00EA10CF">
              <w:rPr>
                <w:color w:val="0000FF"/>
              </w:rPr>
              <w:t>Cumulative translation reserve</w:t>
            </w:r>
          </w:p>
        </w:tc>
        <w:tc>
          <w:tcPr>
            <w:tcW w:w="818" w:type="pct"/>
            <w:vAlign w:val="bottom"/>
          </w:tcPr>
          <w:p w14:paraId="1CCA7B99"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1EF46F74"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28E698B1" w14:textId="77777777" w:rsidTr="001B330E">
        <w:trPr>
          <w:trHeight w:val="23"/>
        </w:trPr>
        <w:tc>
          <w:tcPr>
            <w:tcW w:w="3365" w:type="pct"/>
            <w:vAlign w:val="bottom"/>
          </w:tcPr>
          <w:p w14:paraId="0632CBD8" w14:textId="77777777" w:rsidR="00D83E33" w:rsidRPr="00EA10CF" w:rsidRDefault="00BC4072" w:rsidP="001B330E">
            <w:pPr>
              <w:widowControl w:val="0"/>
              <w:pBdr>
                <w:top w:val="nil"/>
                <w:left w:val="nil"/>
                <w:bottom w:val="nil"/>
                <w:right w:val="nil"/>
                <w:between w:val="nil"/>
              </w:pBdr>
              <w:rPr>
                <w:color w:val="0000FF"/>
              </w:rPr>
            </w:pPr>
            <w:r w:rsidRPr="00EA10CF">
              <w:rPr>
                <w:color w:val="0000FF"/>
              </w:rPr>
              <w:t>Retained earnings</w:t>
            </w:r>
          </w:p>
        </w:tc>
        <w:tc>
          <w:tcPr>
            <w:tcW w:w="818" w:type="pct"/>
            <w:vAlign w:val="bottom"/>
          </w:tcPr>
          <w:p w14:paraId="65C2C8DA"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7CA0338D"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61E34F66" w14:textId="77777777" w:rsidTr="001B330E">
        <w:trPr>
          <w:trHeight w:val="23"/>
        </w:trPr>
        <w:tc>
          <w:tcPr>
            <w:tcW w:w="3365" w:type="pct"/>
            <w:vAlign w:val="bottom"/>
          </w:tcPr>
          <w:p w14:paraId="464EB7B8" w14:textId="77777777" w:rsidR="00D83E33" w:rsidRDefault="00BC4072" w:rsidP="001B330E">
            <w:pPr>
              <w:widowControl w:val="0"/>
              <w:pBdr>
                <w:top w:val="nil"/>
                <w:left w:val="nil"/>
                <w:bottom w:val="nil"/>
                <w:right w:val="nil"/>
                <w:between w:val="nil"/>
              </w:pBdr>
              <w:rPr>
                <w:color w:val="0000FF"/>
              </w:rPr>
            </w:pPr>
            <w:r w:rsidRPr="00EA10CF">
              <w:rPr>
                <w:color w:val="0000FF"/>
              </w:rPr>
              <w:t>Non-controlling interest</w:t>
            </w:r>
          </w:p>
          <w:p w14:paraId="317C8A81" w14:textId="30E99EE6" w:rsidR="00BB476F" w:rsidRPr="00EA10CF" w:rsidRDefault="00BB476F" w:rsidP="001B330E">
            <w:pPr>
              <w:widowControl w:val="0"/>
              <w:pBdr>
                <w:top w:val="nil"/>
                <w:left w:val="nil"/>
                <w:bottom w:val="nil"/>
                <w:right w:val="nil"/>
                <w:between w:val="nil"/>
              </w:pBdr>
              <w:rPr>
                <w:color w:val="0000FF"/>
              </w:rPr>
            </w:pPr>
            <w:r>
              <w:rPr>
                <w:color w:val="0000FF"/>
              </w:rPr>
              <w:t xml:space="preserve">Other </w:t>
            </w:r>
            <w:r w:rsidRPr="00372E26">
              <w:rPr>
                <w:i/>
                <w:iCs/>
                <w:color w:val="0000FF"/>
              </w:rPr>
              <w:t>(specify)</w:t>
            </w:r>
          </w:p>
        </w:tc>
        <w:tc>
          <w:tcPr>
            <w:tcW w:w="818" w:type="pct"/>
            <w:vAlign w:val="bottom"/>
          </w:tcPr>
          <w:p w14:paraId="11DA464A"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7DC74D09"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5B8F74C2" w14:textId="77777777" w:rsidTr="001B330E">
        <w:trPr>
          <w:trHeight w:val="23"/>
        </w:trPr>
        <w:tc>
          <w:tcPr>
            <w:tcW w:w="3365" w:type="pct"/>
            <w:vAlign w:val="bottom"/>
          </w:tcPr>
          <w:p w14:paraId="6869E314" w14:textId="77777777" w:rsidR="00D83E33" w:rsidRPr="00EA10CF" w:rsidRDefault="00BC4072" w:rsidP="001B330E">
            <w:pPr>
              <w:widowControl w:val="0"/>
              <w:pBdr>
                <w:top w:val="nil"/>
                <w:left w:val="nil"/>
                <w:bottom w:val="nil"/>
                <w:right w:val="nil"/>
                <w:between w:val="nil"/>
              </w:pBdr>
              <w:rPr>
                <w:b/>
                <w:color w:val="0000FF"/>
              </w:rPr>
            </w:pPr>
            <w:r w:rsidRPr="00EA10CF">
              <w:rPr>
                <w:b/>
                <w:color w:val="0000FF"/>
              </w:rPr>
              <w:t>Total tier 1 capital</w:t>
            </w:r>
          </w:p>
        </w:tc>
        <w:tc>
          <w:tcPr>
            <w:tcW w:w="818" w:type="pct"/>
            <w:vAlign w:val="bottom"/>
          </w:tcPr>
          <w:p w14:paraId="41396D1A"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531B5B6E"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4DE746A8" w14:textId="77777777" w:rsidTr="001B330E">
        <w:trPr>
          <w:trHeight w:val="23"/>
        </w:trPr>
        <w:tc>
          <w:tcPr>
            <w:tcW w:w="3365" w:type="pct"/>
            <w:vAlign w:val="bottom"/>
          </w:tcPr>
          <w:p w14:paraId="297F229A" w14:textId="77777777" w:rsidR="00D83E33" w:rsidRPr="00EA10CF" w:rsidRDefault="00BC4072" w:rsidP="001B330E">
            <w:pPr>
              <w:widowControl w:val="0"/>
              <w:pBdr>
                <w:top w:val="nil"/>
                <w:left w:val="nil"/>
                <w:bottom w:val="nil"/>
                <w:right w:val="nil"/>
                <w:between w:val="nil"/>
              </w:pBdr>
              <w:rPr>
                <w:color w:val="0000FF"/>
              </w:rPr>
            </w:pPr>
            <w:r w:rsidRPr="00EA10CF">
              <w:rPr>
                <w:color w:val="000000"/>
              </w:rPr>
              <w:t> </w:t>
            </w:r>
          </w:p>
        </w:tc>
        <w:tc>
          <w:tcPr>
            <w:tcW w:w="818" w:type="pct"/>
            <w:vAlign w:val="bottom"/>
          </w:tcPr>
          <w:p w14:paraId="0D5F258C"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163016CC"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23D6544A" w14:textId="77777777" w:rsidTr="001B330E">
        <w:trPr>
          <w:trHeight w:val="23"/>
        </w:trPr>
        <w:tc>
          <w:tcPr>
            <w:tcW w:w="3365" w:type="pct"/>
            <w:vAlign w:val="bottom"/>
          </w:tcPr>
          <w:p w14:paraId="3C8E7DDD" w14:textId="77777777" w:rsidR="00D83E33" w:rsidRPr="00EA10CF" w:rsidRDefault="00BC4072" w:rsidP="001B330E">
            <w:pPr>
              <w:widowControl w:val="0"/>
              <w:pBdr>
                <w:top w:val="nil"/>
                <w:left w:val="nil"/>
                <w:bottom w:val="nil"/>
                <w:right w:val="nil"/>
                <w:between w:val="nil"/>
              </w:pBdr>
              <w:rPr>
                <w:b/>
                <w:color w:val="0000FF"/>
              </w:rPr>
            </w:pPr>
            <w:r w:rsidRPr="00EA10CF">
              <w:rPr>
                <w:b/>
                <w:color w:val="0000FF"/>
              </w:rPr>
              <w:t>Tier 2 capital</w:t>
            </w:r>
          </w:p>
        </w:tc>
        <w:tc>
          <w:tcPr>
            <w:tcW w:w="818" w:type="pct"/>
            <w:vAlign w:val="bottom"/>
          </w:tcPr>
          <w:p w14:paraId="417F512A"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4C5995D8"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1D8F6337" w14:textId="77777777" w:rsidTr="001B330E">
        <w:trPr>
          <w:trHeight w:val="23"/>
        </w:trPr>
        <w:tc>
          <w:tcPr>
            <w:tcW w:w="3365" w:type="pct"/>
            <w:vAlign w:val="bottom"/>
          </w:tcPr>
          <w:p w14:paraId="706C6609" w14:textId="77777777" w:rsidR="00D83E33" w:rsidRPr="00EA10CF" w:rsidRDefault="00BC4072" w:rsidP="001B330E">
            <w:pPr>
              <w:widowControl w:val="0"/>
              <w:pBdr>
                <w:top w:val="nil"/>
                <w:left w:val="nil"/>
                <w:bottom w:val="nil"/>
                <w:right w:val="nil"/>
                <w:between w:val="nil"/>
              </w:pBdr>
              <w:rPr>
                <w:color w:val="0000FF"/>
              </w:rPr>
            </w:pPr>
            <w:r w:rsidRPr="00EA10CF">
              <w:rPr>
                <w:color w:val="0000FF"/>
              </w:rPr>
              <w:t>Revaluation reserves</w:t>
            </w:r>
          </w:p>
        </w:tc>
        <w:tc>
          <w:tcPr>
            <w:tcW w:w="818" w:type="pct"/>
            <w:vAlign w:val="bottom"/>
          </w:tcPr>
          <w:p w14:paraId="0993483B"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7246B4B4"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27BF98F3" w14:textId="77777777" w:rsidTr="001B330E">
        <w:trPr>
          <w:trHeight w:val="23"/>
        </w:trPr>
        <w:tc>
          <w:tcPr>
            <w:tcW w:w="3365" w:type="pct"/>
            <w:vAlign w:val="bottom"/>
          </w:tcPr>
          <w:p w14:paraId="67502ABA" w14:textId="77777777" w:rsidR="00D83E33" w:rsidRDefault="00BC4072" w:rsidP="001B330E">
            <w:pPr>
              <w:widowControl w:val="0"/>
              <w:pBdr>
                <w:top w:val="nil"/>
                <w:left w:val="nil"/>
                <w:bottom w:val="nil"/>
                <w:right w:val="nil"/>
                <w:between w:val="nil"/>
              </w:pBdr>
              <w:rPr>
                <w:color w:val="0000FF"/>
              </w:rPr>
            </w:pPr>
            <w:r w:rsidRPr="00EA10CF">
              <w:rPr>
                <w:color w:val="0000FF"/>
              </w:rPr>
              <w:t>Subordinated debt</w:t>
            </w:r>
          </w:p>
          <w:p w14:paraId="20DDF858" w14:textId="0984139D" w:rsidR="00BB476F" w:rsidRPr="00EA10CF" w:rsidRDefault="00BB476F" w:rsidP="001B330E">
            <w:pPr>
              <w:widowControl w:val="0"/>
              <w:pBdr>
                <w:top w:val="nil"/>
                <w:left w:val="nil"/>
                <w:bottom w:val="nil"/>
                <w:right w:val="nil"/>
                <w:between w:val="nil"/>
              </w:pBdr>
              <w:rPr>
                <w:color w:val="0000FF"/>
              </w:rPr>
            </w:pPr>
            <w:r>
              <w:rPr>
                <w:color w:val="0000FF"/>
              </w:rPr>
              <w:t xml:space="preserve">Other </w:t>
            </w:r>
            <w:r w:rsidRPr="009818A7">
              <w:rPr>
                <w:i/>
                <w:iCs/>
                <w:color w:val="0000FF"/>
              </w:rPr>
              <w:t>(specify)</w:t>
            </w:r>
          </w:p>
        </w:tc>
        <w:tc>
          <w:tcPr>
            <w:tcW w:w="818" w:type="pct"/>
            <w:vAlign w:val="bottom"/>
          </w:tcPr>
          <w:p w14:paraId="7E8D06C1"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03492290"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6C73213E" w14:textId="77777777" w:rsidTr="001B330E">
        <w:trPr>
          <w:trHeight w:val="23"/>
        </w:trPr>
        <w:tc>
          <w:tcPr>
            <w:tcW w:w="3365" w:type="pct"/>
            <w:vAlign w:val="bottom"/>
          </w:tcPr>
          <w:p w14:paraId="7C5B6350" w14:textId="77777777" w:rsidR="00D83E33" w:rsidRPr="00EA10CF" w:rsidRDefault="00BC4072" w:rsidP="001B330E">
            <w:pPr>
              <w:widowControl w:val="0"/>
              <w:pBdr>
                <w:top w:val="nil"/>
                <w:left w:val="nil"/>
                <w:bottom w:val="nil"/>
                <w:right w:val="nil"/>
                <w:between w:val="nil"/>
              </w:pBdr>
              <w:rPr>
                <w:color w:val="0000FF"/>
              </w:rPr>
            </w:pPr>
            <w:r w:rsidRPr="00EA10CF">
              <w:rPr>
                <w:b/>
                <w:color w:val="0000FF"/>
              </w:rPr>
              <w:t>Total tier 2 capital</w:t>
            </w:r>
          </w:p>
        </w:tc>
        <w:tc>
          <w:tcPr>
            <w:tcW w:w="818" w:type="pct"/>
            <w:vAlign w:val="bottom"/>
          </w:tcPr>
          <w:p w14:paraId="58FDFE61"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vAlign w:val="bottom"/>
          </w:tcPr>
          <w:p w14:paraId="2314B511"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316F6771" w14:textId="77777777" w:rsidTr="001B330E">
        <w:trPr>
          <w:trHeight w:val="23"/>
        </w:trPr>
        <w:tc>
          <w:tcPr>
            <w:tcW w:w="3365" w:type="pct"/>
            <w:tcBorders>
              <w:bottom w:val="single" w:sz="4" w:space="0" w:color="000000"/>
            </w:tcBorders>
            <w:vAlign w:val="bottom"/>
          </w:tcPr>
          <w:p w14:paraId="17CF4016" w14:textId="77777777" w:rsidR="00D83E33" w:rsidRPr="00EA10CF" w:rsidRDefault="00BC4072" w:rsidP="001B330E">
            <w:pPr>
              <w:widowControl w:val="0"/>
              <w:pBdr>
                <w:top w:val="nil"/>
                <w:left w:val="nil"/>
                <w:bottom w:val="nil"/>
                <w:right w:val="nil"/>
                <w:between w:val="nil"/>
              </w:pBdr>
              <w:rPr>
                <w:color w:val="0000FF"/>
              </w:rPr>
            </w:pPr>
            <w:r w:rsidRPr="00EA10CF">
              <w:rPr>
                <w:color w:val="000000"/>
              </w:rPr>
              <w:t> </w:t>
            </w:r>
          </w:p>
        </w:tc>
        <w:tc>
          <w:tcPr>
            <w:tcW w:w="818" w:type="pct"/>
            <w:tcBorders>
              <w:bottom w:val="single" w:sz="4" w:space="0" w:color="000000"/>
            </w:tcBorders>
            <w:vAlign w:val="bottom"/>
          </w:tcPr>
          <w:p w14:paraId="04DA4983" w14:textId="77777777" w:rsidR="00D83E33" w:rsidRPr="00EA10CF" w:rsidRDefault="00D83E33" w:rsidP="001B330E">
            <w:pPr>
              <w:widowControl w:val="0"/>
              <w:pBdr>
                <w:top w:val="nil"/>
                <w:left w:val="nil"/>
                <w:bottom w:val="nil"/>
                <w:right w:val="nil"/>
                <w:between w:val="nil"/>
              </w:pBdr>
              <w:jc w:val="right"/>
              <w:rPr>
                <w:color w:val="0000FF"/>
              </w:rPr>
            </w:pPr>
          </w:p>
        </w:tc>
        <w:tc>
          <w:tcPr>
            <w:tcW w:w="818" w:type="pct"/>
            <w:tcBorders>
              <w:bottom w:val="single" w:sz="4" w:space="0" w:color="000000"/>
            </w:tcBorders>
            <w:vAlign w:val="bottom"/>
          </w:tcPr>
          <w:p w14:paraId="4542DEF0"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7EE94FA8" w14:textId="77777777" w:rsidTr="001B330E">
        <w:trPr>
          <w:trHeight w:val="23"/>
        </w:trPr>
        <w:tc>
          <w:tcPr>
            <w:tcW w:w="3365" w:type="pct"/>
            <w:vAlign w:val="bottom"/>
          </w:tcPr>
          <w:p w14:paraId="19E0341E" w14:textId="77777777" w:rsidR="00D83E33" w:rsidRPr="00EA10CF" w:rsidRDefault="00BC4072" w:rsidP="001B330E">
            <w:pPr>
              <w:widowControl w:val="0"/>
              <w:rPr>
                <w:color w:val="0000FF"/>
              </w:rPr>
            </w:pPr>
            <w:r w:rsidRPr="00EA10CF">
              <w:t> </w:t>
            </w:r>
          </w:p>
        </w:tc>
        <w:tc>
          <w:tcPr>
            <w:tcW w:w="818" w:type="pct"/>
            <w:vAlign w:val="bottom"/>
          </w:tcPr>
          <w:p w14:paraId="493C231D" w14:textId="77777777" w:rsidR="00D83E33" w:rsidRPr="00EA10CF" w:rsidRDefault="00D83E33" w:rsidP="001B330E">
            <w:pPr>
              <w:widowControl w:val="0"/>
              <w:jc w:val="right"/>
              <w:rPr>
                <w:b/>
                <w:color w:val="0000FF"/>
              </w:rPr>
            </w:pPr>
          </w:p>
        </w:tc>
        <w:tc>
          <w:tcPr>
            <w:tcW w:w="818" w:type="pct"/>
            <w:vAlign w:val="bottom"/>
          </w:tcPr>
          <w:p w14:paraId="231BDC90" w14:textId="77777777" w:rsidR="00D83E33" w:rsidRPr="00EA10CF" w:rsidRDefault="00D83E33" w:rsidP="001B330E">
            <w:pPr>
              <w:widowControl w:val="0"/>
              <w:jc w:val="right"/>
              <w:rPr>
                <w:b/>
                <w:color w:val="0000FF"/>
              </w:rPr>
            </w:pPr>
          </w:p>
        </w:tc>
      </w:tr>
      <w:tr w:rsidR="00D83E33" w:rsidRPr="00EA10CF" w14:paraId="5D13A5CF" w14:textId="77777777" w:rsidTr="001B330E">
        <w:trPr>
          <w:trHeight w:val="23"/>
        </w:trPr>
        <w:tc>
          <w:tcPr>
            <w:tcW w:w="3365" w:type="pct"/>
            <w:vAlign w:val="bottom"/>
          </w:tcPr>
          <w:p w14:paraId="57A1EDF2" w14:textId="77777777" w:rsidR="00D83E33" w:rsidRPr="00EA10CF" w:rsidRDefault="00BC4072" w:rsidP="001B330E">
            <w:pPr>
              <w:widowControl w:val="0"/>
              <w:pBdr>
                <w:top w:val="nil"/>
                <w:left w:val="nil"/>
                <w:bottom w:val="nil"/>
                <w:right w:val="nil"/>
                <w:between w:val="nil"/>
              </w:pBdr>
              <w:rPr>
                <w:b/>
                <w:color w:val="0000FF"/>
              </w:rPr>
            </w:pPr>
            <w:r w:rsidRPr="00EA10CF">
              <w:rPr>
                <w:b/>
                <w:color w:val="0000FF"/>
              </w:rPr>
              <w:t>Total capital</w:t>
            </w:r>
          </w:p>
        </w:tc>
        <w:tc>
          <w:tcPr>
            <w:tcW w:w="818" w:type="pct"/>
            <w:vAlign w:val="bottom"/>
          </w:tcPr>
          <w:p w14:paraId="7A3237F3" w14:textId="77777777" w:rsidR="00D83E33" w:rsidRPr="00EA10CF" w:rsidRDefault="00D83E33" w:rsidP="001B330E">
            <w:pPr>
              <w:widowControl w:val="0"/>
              <w:pBdr>
                <w:top w:val="nil"/>
                <w:left w:val="nil"/>
                <w:bottom w:val="nil"/>
                <w:right w:val="nil"/>
                <w:between w:val="nil"/>
              </w:pBdr>
              <w:jc w:val="right"/>
              <w:rPr>
                <w:b/>
                <w:color w:val="0000FF"/>
              </w:rPr>
            </w:pPr>
          </w:p>
        </w:tc>
        <w:tc>
          <w:tcPr>
            <w:tcW w:w="818" w:type="pct"/>
            <w:vAlign w:val="bottom"/>
          </w:tcPr>
          <w:p w14:paraId="739959B7" w14:textId="77777777" w:rsidR="00D83E33" w:rsidRPr="00EA10CF" w:rsidRDefault="00D83E33" w:rsidP="001B330E">
            <w:pPr>
              <w:widowControl w:val="0"/>
              <w:pBdr>
                <w:top w:val="nil"/>
                <w:left w:val="nil"/>
                <w:bottom w:val="nil"/>
                <w:right w:val="nil"/>
                <w:between w:val="nil"/>
              </w:pBdr>
              <w:jc w:val="right"/>
              <w:rPr>
                <w:b/>
                <w:color w:val="0000FF"/>
              </w:rPr>
            </w:pPr>
          </w:p>
        </w:tc>
      </w:tr>
      <w:tr w:rsidR="00D83E33" w:rsidRPr="00EA10CF" w14:paraId="67563281" w14:textId="77777777" w:rsidTr="001B330E">
        <w:trPr>
          <w:trHeight w:val="23"/>
        </w:trPr>
        <w:tc>
          <w:tcPr>
            <w:tcW w:w="3365" w:type="pct"/>
            <w:tcBorders>
              <w:bottom w:val="single" w:sz="12" w:space="0" w:color="000000"/>
            </w:tcBorders>
            <w:vAlign w:val="bottom"/>
          </w:tcPr>
          <w:p w14:paraId="55CCD86E" w14:textId="77777777" w:rsidR="00D83E33" w:rsidRPr="00EA10CF" w:rsidRDefault="00BC4072" w:rsidP="001B330E">
            <w:pPr>
              <w:widowControl w:val="0"/>
              <w:rPr>
                <w:color w:val="0000FF"/>
              </w:rPr>
            </w:pPr>
            <w:r w:rsidRPr="00EA10CF">
              <w:t> </w:t>
            </w:r>
          </w:p>
        </w:tc>
        <w:tc>
          <w:tcPr>
            <w:tcW w:w="818" w:type="pct"/>
            <w:tcBorders>
              <w:bottom w:val="single" w:sz="12" w:space="0" w:color="000000"/>
            </w:tcBorders>
            <w:vAlign w:val="bottom"/>
          </w:tcPr>
          <w:p w14:paraId="2E97D2D2" w14:textId="77777777" w:rsidR="00D83E33" w:rsidRPr="00EA10CF" w:rsidRDefault="00D83E33" w:rsidP="001B330E">
            <w:pPr>
              <w:widowControl w:val="0"/>
              <w:jc w:val="right"/>
              <w:rPr>
                <w:b/>
                <w:color w:val="0000FF"/>
              </w:rPr>
            </w:pPr>
          </w:p>
        </w:tc>
        <w:tc>
          <w:tcPr>
            <w:tcW w:w="818" w:type="pct"/>
            <w:tcBorders>
              <w:bottom w:val="single" w:sz="12" w:space="0" w:color="000000"/>
            </w:tcBorders>
            <w:vAlign w:val="bottom"/>
          </w:tcPr>
          <w:p w14:paraId="117F9A7C" w14:textId="77777777" w:rsidR="00D83E33" w:rsidRPr="00EA10CF" w:rsidRDefault="00D83E33" w:rsidP="001B330E">
            <w:pPr>
              <w:widowControl w:val="0"/>
              <w:jc w:val="right"/>
              <w:rPr>
                <w:b/>
                <w:color w:val="0000FF"/>
              </w:rPr>
            </w:pPr>
          </w:p>
        </w:tc>
      </w:tr>
    </w:tbl>
    <w:p w14:paraId="04285818" w14:textId="77777777" w:rsidR="009A397A" w:rsidRDefault="009A397A" w:rsidP="001B330E">
      <w:pPr>
        <w:pStyle w:val="Continued"/>
      </w:pPr>
      <w:r>
        <w:lastRenderedPageBreak/>
        <w:t>43</w:t>
      </w:r>
      <w:r>
        <w:tab/>
        <w:t>Contingencies and Commitments (Continued)</w:t>
      </w:r>
    </w:p>
    <w:p w14:paraId="70DC6630"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Credit related commitments. </w:t>
      </w:r>
      <w:r>
        <w:rPr>
          <w:color w:val="000000"/>
          <w:sz w:val="20"/>
          <w:szCs w:val="20"/>
        </w:rPr>
        <w:t xml:space="preserve">The primary purpose of these instruments is to ensure that funds are available to a customer as required. Guarantees and standby letters of credit, which represent irrevocable assurances that the Group will make payments in the event that a customer cannot meet its obligations to third parties, carry the same credit risk as loans. Documentary and commercial letters of credit, which are written undertakings by the Group on behalf of a customer authorising a third party to draw drafts on the Group up to a stipulated amount under specific terms and conditions, are collateralised by the underlying shipments of goods to which they relate or cash deposits and, therefore, carry less risk than a direct borrowing. </w:t>
      </w:r>
    </w:p>
    <w:p w14:paraId="52492BC8"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Commitments to extend credit represent unused portions of authorisations to extend credit in the form of loans, guarantees or letters of credit. With respect to credit risk on commitments to extend credit, the Group is potentially exposed to loss in an amount equal to the total unused commitments, if the unused amounts were to be drawn down. However, the likely amount of loss is less than the total unused commitments since most commitments to extend credit are contingent upon customers maintaining specific credit standards. </w:t>
      </w:r>
    </w:p>
    <w:p w14:paraId="5C218AAB" w14:textId="61EEB9E9" w:rsidR="00D83E33" w:rsidRPr="00F56971" w:rsidRDefault="00BC4072" w:rsidP="001B330E">
      <w:pPr>
        <w:widowControl w:val="0"/>
        <w:pBdr>
          <w:top w:val="nil"/>
          <w:left w:val="nil"/>
          <w:bottom w:val="nil"/>
          <w:right w:val="nil"/>
          <w:between w:val="nil"/>
        </w:pBdr>
        <w:spacing w:before="200" w:after="200"/>
        <w:jc w:val="both"/>
        <w:rPr>
          <w:b/>
          <w:color w:val="000000"/>
          <w:sz w:val="20"/>
          <w:szCs w:val="20"/>
        </w:rPr>
      </w:pPr>
      <w:r>
        <w:rPr>
          <w:color w:val="000000"/>
          <w:sz w:val="20"/>
          <w:szCs w:val="20"/>
        </w:rPr>
        <w:t>The Group monitors the term to maturity of credit related commitments, because longer-term commitments generally have a greater degree of credit risk than shorter-term commitments.</w:t>
      </w:r>
      <w:r w:rsidR="00F56971">
        <w:rPr>
          <w:color w:val="000000"/>
          <w:sz w:val="20"/>
          <w:szCs w:val="20"/>
        </w:rPr>
        <w:t xml:space="preserve"> Note 41 provides information about inputs, assumptions and estimation techniques used in measuring ECL, including an explanation of how the Group incorporates forward-looking information in the ECL models. </w:t>
      </w:r>
    </w:p>
    <w:p w14:paraId="6C1E0012" w14:textId="6C46A7A6" w:rsidR="00F56971" w:rsidRPr="00F56971" w:rsidRDefault="00F56971" w:rsidP="00F56971">
      <w:pPr>
        <w:widowControl w:val="0"/>
        <w:pBdr>
          <w:top w:val="nil"/>
          <w:left w:val="nil"/>
          <w:bottom w:val="nil"/>
          <w:right w:val="nil"/>
          <w:between w:val="nil"/>
        </w:pBdr>
        <w:spacing w:before="200" w:after="200"/>
        <w:jc w:val="both"/>
        <w:rPr>
          <w:color w:val="0000FF"/>
          <w:sz w:val="20"/>
          <w:szCs w:val="20"/>
        </w:rPr>
      </w:pPr>
      <w:r w:rsidRPr="00F56971">
        <w:rPr>
          <w:b/>
          <w:i/>
          <w:color w:val="0000FF"/>
          <w:sz w:val="20"/>
          <w:szCs w:val="20"/>
        </w:rPr>
        <w:t xml:space="preserve">[Loan commitments. </w:t>
      </w:r>
      <w:r w:rsidRPr="00F56971">
        <w:rPr>
          <w:color w:val="0000FF"/>
          <w:sz w:val="20"/>
          <w:szCs w:val="20"/>
        </w:rPr>
        <w:t xml:space="preserve">Loan commitments are initially recognised at their fair value, which is normally evidenced by the amount of fees received. This amount is amortised on a straight line basis over the life of the commitment, except for commitments to originate loans if it is probable that the Group will enter into a specific lending arrangement and does not expect to sell the resulting loan shortly after origination; such loan commitment fees are deferred and included in the carrying value of the loan on initial recognition. At the end of each reporting period, the commitments are measured at (i) the remaining unamortised balance of the amount at initial recognition, plus (ii) the amount of the loss allowance determined based on the expected credit loss model, unless the commitment is to provide a loan at a below market interest rate, in which case the measurement is at the higher of these two amounts. The carrying amount of the loan commitments represents a liability. For contracts that include both a loan and an undrawn commitment and where the Group cannot separately distinguish the ECL on the undrawn loan component from the loan component, the ECL on the undrawn commitment is recognised together with the loss allowance for the loan. To the extent that the combined ECLs exceed the gross carrying amount of the loan, they are recognised as a liability. </w:t>
      </w:r>
    </w:p>
    <w:p w14:paraId="4B5311BD" w14:textId="2858A88B" w:rsidR="00F56971" w:rsidRPr="00F56971" w:rsidRDefault="00F56971" w:rsidP="00F56971">
      <w:pPr>
        <w:widowControl w:val="0"/>
        <w:pBdr>
          <w:top w:val="nil"/>
          <w:left w:val="nil"/>
          <w:bottom w:val="nil"/>
          <w:right w:val="nil"/>
          <w:between w:val="nil"/>
        </w:pBdr>
        <w:spacing w:before="200" w:after="200"/>
        <w:jc w:val="both"/>
        <w:rPr>
          <w:color w:val="0000FF"/>
          <w:sz w:val="20"/>
          <w:szCs w:val="20"/>
        </w:rPr>
      </w:pPr>
      <w:r w:rsidRPr="00F56971">
        <w:rPr>
          <w:b/>
          <w:i/>
          <w:color w:val="0000FF"/>
          <w:sz w:val="20"/>
          <w:szCs w:val="20"/>
        </w:rPr>
        <w:t xml:space="preserve">Financial guarantees. </w:t>
      </w:r>
      <w:r w:rsidRPr="00F56971">
        <w:rPr>
          <w:color w:val="0000FF"/>
          <w:sz w:val="20"/>
          <w:szCs w:val="20"/>
        </w:rPr>
        <w:t xml:space="preserve">Financial guarantees require the Group to make specified payments to reimburse the holder of the guarantee for a loss it incurs because a specified debtor fails to make payment when due in accordance with the original or modified terms of a debt instrument. Financial guarantees are initially recognised at their fair value, which is normally evidenced by the amount of fees received. This amount is amortised on a straight-line basis over the life of the guarantee. At the end of each reporting period, the guarantees are measured at the higher of (i) the amount of the loss allowance for the guaranteed exposure determined based on the expected loss model and (ii) the remaining unamortised balance of the amount at initial recognition. In addition, an ECL loss allowance is recognised for fees receivable that are recognised in the statement of financial position as an asset. </w:t>
      </w:r>
    </w:p>
    <w:p w14:paraId="4CDC626A" w14:textId="583821D3" w:rsidR="00F56971" w:rsidRPr="00F56971" w:rsidRDefault="00F56971" w:rsidP="00F56971">
      <w:pPr>
        <w:widowControl w:val="0"/>
        <w:pBdr>
          <w:top w:val="nil"/>
          <w:left w:val="nil"/>
          <w:bottom w:val="nil"/>
          <w:right w:val="nil"/>
          <w:between w:val="nil"/>
        </w:pBdr>
        <w:spacing w:before="200" w:after="200"/>
        <w:jc w:val="both"/>
        <w:rPr>
          <w:color w:val="0000FF"/>
          <w:sz w:val="20"/>
          <w:szCs w:val="20"/>
        </w:rPr>
      </w:pPr>
      <w:r w:rsidRPr="00F56971">
        <w:rPr>
          <w:b/>
          <w:i/>
          <w:color w:val="0000FF"/>
          <w:sz w:val="20"/>
          <w:szCs w:val="20"/>
        </w:rPr>
        <w:t>Performance guarantees.</w:t>
      </w:r>
      <w:r w:rsidRPr="00F56971">
        <w:rPr>
          <w:color w:val="0000FF"/>
          <w:sz w:val="20"/>
          <w:szCs w:val="20"/>
        </w:rPr>
        <w:t xml:space="preserve"> Performance guarantees are contracts that provide compensation if another party fails to perform a contractual, commercial or legal obligation. Where the performance guarantee provides the Group with contractual indemnification rights to recover any payments made to the guarantee holder from the applicant and such rights are covered by collateral, they are treated as a loan commitment provided to the applicant, if the bank concludes that there is no event with commercial substance that could cause the bank to incur an overall loss on the guarantee arrangement. Such performance guarantees are initially recognised at their fair value, which is normally evidenced by the amount of fees received. This amount is amortised on a straight line basis over the life of the contract. At the end of each reporting period, the performance guarantee contracts are measured at the higher of (i) the unamortised balance of the amount at initial recognition and (ii) the amount of the loss allowance determined based on the expected credit loss model.]</w:t>
      </w:r>
    </w:p>
    <w:p w14:paraId="133A3EC1" w14:textId="77777777" w:rsidR="008B6A03" w:rsidRDefault="008B6A03" w:rsidP="008B6A03">
      <w:pPr>
        <w:pStyle w:val="Continued"/>
      </w:pPr>
      <w:r>
        <w:lastRenderedPageBreak/>
        <w:t>43</w:t>
      </w:r>
      <w:r>
        <w:tab/>
        <w:t>Contingencies and Commitments (Continued)</w:t>
      </w:r>
    </w:p>
    <w:p w14:paraId="0DD1BB5C"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Outstanding credit related commitments are as follows:</w:t>
      </w:r>
    </w:p>
    <w:tbl>
      <w:tblPr>
        <w:tblStyle w:val="affffffffffffffb"/>
        <w:tblW w:w="5000" w:type="pct"/>
        <w:tblLayout w:type="fixed"/>
        <w:tblLook w:val="0000" w:firstRow="0" w:lastRow="0" w:firstColumn="0" w:lastColumn="0" w:noHBand="0" w:noVBand="0"/>
      </w:tblPr>
      <w:tblGrid>
        <w:gridCol w:w="5670"/>
        <w:gridCol w:w="709"/>
        <w:gridCol w:w="1446"/>
        <w:gridCol w:w="1530"/>
      </w:tblGrid>
      <w:tr w:rsidR="00D83E33" w:rsidRPr="00EA10CF" w14:paraId="0D85818D" w14:textId="77777777" w:rsidTr="001B330E">
        <w:trPr>
          <w:trHeight w:val="23"/>
        </w:trPr>
        <w:tc>
          <w:tcPr>
            <w:tcW w:w="3030" w:type="pct"/>
            <w:tcBorders>
              <w:bottom w:val="single" w:sz="4" w:space="0" w:color="000000"/>
            </w:tcBorders>
            <w:vAlign w:val="bottom"/>
          </w:tcPr>
          <w:p w14:paraId="420D67DA" w14:textId="3816E03E"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79" w:type="pct"/>
            <w:tcBorders>
              <w:bottom w:val="single" w:sz="4" w:space="0" w:color="000000"/>
            </w:tcBorders>
            <w:vAlign w:val="bottom"/>
          </w:tcPr>
          <w:p w14:paraId="1755EF37" w14:textId="77777777" w:rsidR="00D83E33" w:rsidRPr="00EA10CF" w:rsidRDefault="00BC4072" w:rsidP="001B330E">
            <w:pPr>
              <w:widowControl w:val="0"/>
              <w:pBdr>
                <w:top w:val="nil"/>
                <w:left w:val="nil"/>
                <w:bottom w:val="nil"/>
                <w:right w:val="nil"/>
                <w:between w:val="nil"/>
              </w:pBdr>
              <w:jc w:val="center"/>
              <w:rPr>
                <w:b/>
                <w:color w:val="000000"/>
              </w:rPr>
            </w:pPr>
            <w:r w:rsidRPr="00EA10CF">
              <w:rPr>
                <w:b/>
                <w:color w:val="000000"/>
              </w:rPr>
              <w:t>Note</w:t>
            </w:r>
          </w:p>
        </w:tc>
        <w:tc>
          <w:tcPr>
            <w:tcW w:w="773" w:type="pct"/>
            <w:tcBorders>
              <w:bottom w:val="single" w:sz="4" w:space="0" w:color="000000"/>
            </w:tcBorders>
            <w:vAlign w:val="bottom"/>
          </w:tcPr>
          <w:p w14:paraId="56C6BC5D" w14:textId="58961409" w:rsidR="00D83E33" w:rsidRPr="00EA10CF" w:rsidRDefault="00541EBC" w:rsidP="001B330E">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21351C25" w14:textId="108B9109" w:rsidR="00D83E33" w:rsidRPr="00EA10CF" w:rsidRDefault="00541EBC" w:rsidP="001B330E">
            <w:pPr>
              <w:widowControl w:val="0"/>
              <w:pBdr>
                <w:top w:val="nil"/>
                <w:left w:val="nil"/>
                <w:bottom w:val="nil"/>
                <w:right w:val="nil"/>
                <w:between w:val="nil"/>
              </w:pBdr>
              <w:jc w:val="right"/>
              <w:rPr>
                <w:b/>
                <w:color w:val="000000"/>
              </w:rPr>
            </w:pPr>
            <w:r>
              <w:rPr>
                <w:b/>
                <w:color w:val="000000"/>
              </w:rPr>
              <w:t>2023</w:t>
            </w:r>
          </w:p>
        </w:tc>
      </w:tr>
      <w:tr w:rsidR="00D83E33" w:rsidRPr="00EA10CF" w14:paraId="1BC17250" w14:textId="77777777" w:rsidTr="001B330E">
        <w:trPr>
          <w:trHeight w:val="23"/>
        </w:trPr>
        <w:tc>
          <w:tcPr>
            <w:tcW w:w="3030" w:type="pct"/>
            <w:vAlign w:val="bottom"/>
          </w:tcPr>
          <w:p w14:paraId="55C7A3F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79" w:type="pct"/>
            <w:vAlign w:val="bottom"/>
          </w:tcPr>
          <w:p w14:paraId="66EAE95D"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vAlign w:val="bottom"/>
          </w:tcPr>
          <w:p w14:paraId="5D07876D"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04E336F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3F43614" w14:textId="77777777" w:rsidTr="001B330E">
        <w:trPr>
          <w:trHeight w:val="23"/>
        </w:trPr>
        <w:tc>
          <w:tcPr>
            <w:tcW w:w="3030" w:type="pct"/>
            <w:vAlign w:val="bottom"/>
          </w:tcPr>
          <w:p w14:paraId="674B17D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Commitments to extend credit that are irrevocable or are revocable only in response to a material adverse change </w:t>
            </w:r>
          </w:p>
        </w:tc>
        <w:tc>
          <w:tcPr>
            <w:tcW w:w="379" w:type="pct"/>
            <w:vAlign w:val="bottom"/>
          </w:tcPr>
          <w:p w14:paraId="46DE7676"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vAlign w:val="bottom"/>
          </w:tcPr>
          <w:p w14:paraId="5F736129"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686348F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01178F1" w14:textId="77777777" w:rsidTr="001B330E">
        <w:trPr>
          <w:trHeight w:val="23"/>
        </w:trPr>
        <w:tc>
          <w:tcPr>
            <w:tcW w:w="3030" w:type="pct"/>
            <w:vAlign w:val="bottom"/>
          </w:tcPr>
          <w:p w14:paraId="0ACB762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Undrawn credit lines that are irrevocable or are revocable only in response to a material adverse change </w:t>
            </w:r>
          </w:p>
        </w:tc>
        <w:tc>
          <w:tcPr>
            <w:tcW w:w="379" w:type="pct"/>
            <w:vAlign w:val="bottom"/>
          </w:tcPr>
          <w:p w14:paraId="3A7FBA2A"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vAlign w:val="bottom"/>
          </w:tcPr>
          <w:p w14:paraId="51159F7E"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4594947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8BB72E1" w14:textId="77777777" w:rsidTr="001B330E">
        <w:trPr>
          <w:trHeight w:val="23"/>
        </w:trPr>
        <w:tc>
          <w:tcPr>
            <w:tcW w:w="3030" w:type="pct"/>
            <w:vAlign w:val="bottom"/>
          </w:tcPr>
          <w:p w14:paraId="6959A73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Export letters of credit</w:t>
            </w:r>
          </w:p>
        </w:tc>
        <w:tc>
          <w:tcPr>
            <w:tcW w:w="379" w:type="pct"/>
            <w:vAlign w:val="bottom"/>
          </w:tcPr>
          <w:p w14:paraId="2F70D7F3"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vAlign w:val="bottom"/>
          </w:tcPr>
          <w:p w14:paraId="17195F7E"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437132E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7AD9D7B" w14:textId="77777777" w:rsidTr="001B330E">
        <w:trPr>
          <w:trHeight w:val="23"/>
        </w:trPr>
        <w:tc>
          <w:tcPr>
            <w:tcW w:w="3030" w:type="pct"/>
            <w:vAlign w:val="bottom"/>
          </w:tcPr>
          <w:p w14:paraId="7A33183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Import letters of credit</w:t>
            </w:r>
          </w:p>
        </w:tc>
        <w:tc>
          <w:tcPr>
            <w:tcW w:w="379" w:type="pct"/>
            <w:vAlign w:val="bottom"/>
          </w:tcPr>
          <w:p w14:paraId="15343D0A" w14:textId="77777777" w:rsidR="00D83E33" w:rsidRPr="00EA10CF" w:rsidRDefault="00BC4072" w:rsidP="001B330E">
            <w:pPr>
              <w:widowControl w:val="0"/>
              <w:pBdr>
                <w:top w:val="nil"/>
                <w:left w:val="nil"/>
                <w:bottom w:val="nil"/>
                <w:right w:val="nil"/>
                <w:between w:val="nil"/>
              </w:pBdr>
              <w:jc w:val="center"/>
              <w:rPr>
                <w:color w:val="000000"/>
              </w:rPr>
            </w:pPr>
            <w:r w:rsidRPr="00EA10CF">
              <w:rPr>
                <w:color w:val="000000"/>
              </w:rPr>
              <w:t>22</w:t>
            </w:r>
          </w:p>
        </w:tc>
        <w:tc>
          <w:tcPr>
            <w:tcW w:w="773" w:type="pct"/>
            <w:vAlign w:val="bottom"/>
          </w:tcPr>
          <w:p w14:paraId="10165A50"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449372F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2BA298D" w14:textId="77777777" w:rsidTr="001B330E">
        <w:trPr>
          <w:trHeight w:val="23"/>
        </w:trPr>
        <w:tc>
          <w:tcPr>
            <w:tcW w:w="3030" w:type="pct"/>
            <w:tcBorders>
              <w:bottom w:val="single" w:sz="4" w:space="0" w:color="000000"/>
            </w:tcBorders>
            <w:vAlign w:val="bottom"/>
          </w:tcPr>
          <w:p w14:paraId="0A7F6349"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79" w:type="pct"/>
            <w:tcBorders>
              <w:bottom w:val="single" w:sz="4" w:space="0" w:color="000000"/>
            </w:tcBorders>
            <w:vAlign w:val="bottom"/>
          </w:tcPr>
          <w:p w14:paraId="541094B3"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tcBorders>
              <w:bottom w:val="single" w:sz="4" w:space="0" w:color="000000"/>
            </w:tcBorders>
            <w:vAlign w:val="bottom"/>
          </w:tcPr>
          <w:p w14:paraId="1B25852D"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0972C34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46EFFC8" w14:textId="77777777" w:rsidTr="001B330E">
        <w:trPr>
          <w:trHeight w:val="23"/>
        </w:trPr>
        <w:tc>
          <w:tcPr>
            <w:tcW w:w="3030" w:type="pct"/>
            <w:tcBorders>
              <w:top w:val="single" w:sz="4" w:space="0" w:color="000000"/>
            </w:tcBorders>
            <w:vAlign w:val="bottom"/>
          </w:tcPr>
          <w:p w14:paraId="0AD8C6E4"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79" w:type="pct"/>
            <w:tcBorders>
              <w:top w:val="single" w:sz="4" w:space="0" w:color="000000"/>
            </w:tcBorders>
            <w:vAlign w:val="bottom"/>
          </w:tcPr>
          <w:p w14:paraId="3952C2F0"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tcBorders>
              <w:top w:val="single" w:sz="4" w:space="0" w:color="000000"/>
            </w:tcBorders>
            <w:vAlign w:val="bottom"/>
          </w:tcPr>
          <w:p w14:paraId="370D4E2D"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147CD7C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CFA18EF" w14:textId="77777777" w:rsidTr="001B330E">
        <w:trPr>
          <w:trHeight w:val="23"/>
        </w:trPr>
        <w:tc>
          <w:tcPr>
            <w:tcW w:w="3030" w:type="pct"/>
            <w:vAlign w:val="bottom"/>
          </w:tcPr>
          <w:p w14:paraId="0157534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Total loan commitments</w:t>
            </w:r>
          </w:p>
        </w:tc>
        <w:tc>
          <w:tcPr>
            <w:tcW w:w="379" w:type="pct"/>
            <w:vAlign w:val="bottom"/>
          </w:tcPr>
          <w:p w14:paraId="0E21B5EA"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vAlign w:val="bottom"/>
          </w:tcPr>
          <w:p w14:paraId="3E4C888F"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191F9DE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75BBFCB" w14:textId="77777777" w:rsidTr="001B330E">
        <w:trPr>
          <w:trHeight w:val="23"/>
        </w:trPr>
        <w:tc>
          <w:tcPr>
            <w:tcW w:w="3030" w:type="pct"/>
            <w:tcBorders>
              <w:bottom w:val="single" w:sz="4" w:space="0" w:color="000000"/>
            </w:tcBorders>
            <w:vAlign w:val="bottom"/>
          </w:tcPr>
          <w:p w14:paraId="519B7D7D"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79" w:type="pct"/>
            <w:tcBorders>
              <w:bottom w:val="single" w:sz="4" w:space="0" w:color="000000"/>
            </w:tcBorders>
            <w:vAlign w:val="bottom"/>
          </w:tcPr>
          <w:p w14:paraId="5529F734"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tcBorders>
              <w:bottom w:val="single" w:sz="4" w:space="0" w:color="000000"/>
            </w:tcBorders>
            <w:vAlign w:val="bottom"/>
          </w:tcPr>
          <w:p w14:paraId="45FD7B14"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28678B6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E1D49AF" w14:textId="77777777" w:rsidTr="001B330E">
        <w:trPr>
          <w:trHeight w:val="23"/>
        </w:trPr>
        <w:tc>
          <w:tcPr>
            <w:tcW w:w="3030" w:type="pct"/>
            <w:tcBorders>
              <w:top w:val="single" w:sz="4" w:space="0" w:color="000000"/>
            </w:tcBorders>
            <w:vAlign w:val="bottom"/>
          </w:tcPr>
          <w:p w14:paraId="05D98C44"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79" w:type="pct"/>
            <w:tcBorders>
              <w:top w:val="single" w:sz="4" w:space="0" w:color="000000"/>
            </w:tcBorders>
            <w:vAlign w:val="bottom"/>
          </w:tcPr>
          <w:p w14:paraId="05E6C50E"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tcBorders>
              <w:top w:val="single" w:sz="4" w:space="0" w:color="000000"/>
            </w:tcBorders>
            <w:vAlign w:val="bottom"/>
          </w:tcPr>
          <w:p w14:paraId="01224DFB"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tcBorders>
              <w:top w:val="single" w:sz="4" w:space="0" w:color="000000"/>
            </w:tcBorders>
            <w:vAlign w:val="bottom"/>
          </w:tcPr>
          <w:p w14:paraId="1C1649E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879224D" w14:textId="77777777" w:rsidTr="001B330E">
        <w:trPr>
          <w:trHeight w:val="23"/>
        </w:trPr>
        <w:tc>
          <w:tcPr>
            <w:tcW w:w="3030" w:type="pct"/>
            <w:vAlign w:val="bottom"/>
          </w:tcPr>
          <w:p w14:paraId="64A070B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Financial guarantees issued</w:t>
            </w:r>
          </w:p>
        </w:tc>
        <w:tc>
          <w:tcPr>
            <w:tcW w:w="379" w:type="pct"/>
            <w:vAlign w:val="bottom"/>
          </w:tcPr>
          <w:p w14:paraId="7A11E0A8"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vAlign w:val="bottom"/>
          </w:tcPr>
          <w:p w14:paraId="1AE47509"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496A923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B7E1951" w14:textId="77777777" w:rsidTr="001B330E">
        <w:trPr>
          <w:trHeight w:val="23"/>
        </w:trPr>
        <w:tc>
          <w:tcPr>
            <w:tcW w:w="3030" w:type="pct"/>
            <w:vAlign w:val="bottom"/>
          </w:tcPr>
          <w:p w14:paraId="7A25AC4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79" w:type="pct"/>
            <w:vAlign w:val="bottom"/>
          </w:tcPr>
          <w:p w14:paraId="124F0480"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vAlign w:val="bottom"/>
          </w:tcPr>
          <w:p w14:paraId="7C6C5AC5"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63E3213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91321CE" w14:textId="77777777" w:rsidTr="001B330E">
        <w:trPr>
          <w:trHeight w:val="23"/>
        </w:trPr>
        <w:tc>
          <w:tcPr>
            <w:tcW w:w="3030" w:type="pct"/>
            <w:vAlign w:val="bottom"/>
          </w:tcPr>
          <w:p w14:paraId="4F9E063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Less: Provision for financial guarantees</w:t>
            </w:r>
          </w:p>
        </w:tc>
        <w:tc>
          <w:tcPr>
            <w:tcW w:w="379" w:type="pct"/>
            <w:vAlign w:val="bottom"/>
          </w:tcPr>
          <w:p w14:paraId="7C60C131" w14:textId="77777777" w:rsidR="00D83E33" w:rsidRPr="00EA10CF" w:rsidRDefault="00BC4072" w:rsidP="001B330E">
            <w:pPr>
              <w:widowControl w:val="0"/>
              <w:pBdr>
                <w:top w:val="nil"/>
                <w:left w:val="nil"/>
                <w:bottom w:val="nil"/>
                <w:right w:val="nil"/>
                <w:between w:val="nil"/>
              </w:pBdr>
              <w:jc w:val="center"/>
              <w:rPr>
                <w:color w:val="000000"/>
              </w:rPr>
            </w:pPr>
            <w:r w:rsidRPr="00EA10CF">
              <w:rPr>
                <w:color w:val="000000"/>
              </w:rPr>
              <w:t>26</w:t>
            </w:r>
          </w:p>
        </w:tc>
        <w:tc>
          <w:tcPr>
            <w:tcW w:w="773" w:type="pct"/>
            <w:vAlign w:val="bottom"/>
          </w:tcPr>
          <w:p w14:paraId="26E07FDF"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0D96464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BD6077C" w14:textId="77777777" w:rsidTr="001B330E">
        <w:trPr>
          <w:trHeight w:val="23"/>
        </w:trPr>
        <w:tc>
          <w:tcPr>
            <w:tcW w:w="3030" w:type="pct"/>
            <w:vAlign w:val="bottom"/>
          </w:tcPr>
          <w:p w14:paraId="4E04BA0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Less: Provision for loan commitments</w:t>
            </w:r>
          </w:p>
        </w:tc>
        <w:tc>
          <w:tcPr>
            <w:tcW w:w="379" w:type="pct"/>
            <w:vAlign w:val="bottom"/>
          </w:tcPr>
          <w:p w14:paraId="26613805" w14:textId="77777777" w:rsidR="00D83E33" w:rsidRPr="00EA10CF" w:rsidRDefault="00BC4072" w:rsidP="001B330E">
            <w:pPr>
              <w:widowControl w:val="0"/>
              <w:pBdr>
                <w:top w:val="nil"/>
                <w:left w:val="nil"/>
                <w:bottom w:val="nil"/>
                <w:right w:val="nil"/>
                <w:between w:val="nil"/>
              </w:pBdr>
              <w:jc w:val="center"/>
              <w:rPr>
                <w:color w:val="000000"/>
              </w:rPr>
            </w:pPr>
            <w:r w:rsidRPr="00EA10CF">
              <w:rPr>
                <w:color w:val="000000"/>
              </w:rPr>
              <w:t>26</w:t>
            </w:r>
          </w:p>
        </w:tc>
        <w:tc>
          <w:tcPr>
            <w:tcW w:w="773" w:type="pct"/>
            <w:vAlign w:val="bottom"/>
          </w:tcPr>
          <w:p w14:paraId="7AAEE85C"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23151BB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EAA3BF0" w14:textId="77777777" w:rsidTr="001B330E">
        <w:trPr>
          <w:trHeight w:val="23"/>
        </w:trPr>
        <w:tc>
          <w:tcPr>
            <w:tcW w:w="3030" w:type="pct"/>
            <w:vAlign w:val="bottom"/>
          </w:tcPr>
          <w:p w14:paraId="5CEA1A7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Less: Commitment collateralised by cash deposits</w:t>
            </w:r>
          </w:p>
        </w:tc>
        <w:tc>
          <w:tcPr>
            <w:tcW w:w="379" w:type="pct"/>
            <w:vAlign w:val="bottom"/>
          </w:tcPr>
          <w:p w14:paraId="1C06B308"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vAlign w:val="bottom"/>
          </w:tcPr>
          <w:p w14:paraId="480F0549"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vAlign w:val="bottom"/>
          </w:tcPr>
          <w:p w14:paraId="034A910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E778D3D" w14:textId="77777777" w:rsidTr="001B330E">
        <w:trPr>
          <w:trHeight w:val="23"/>
        </w:trPr>
        <w:tc>
          <w:tcPr>
            <w:tcW w:w="3030" w:type="pct"/>
            <w:tcBorders>
              <w:bottom w:val="single" w:sz="4" w:space="0" w:color="000000"/>
            </w:tcBorders>
            <w:vAlign w:val="bottom"/>
          </w:tcPr>
          <w:p w14:paraId="43CA5F3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w:t>
            </w:r>
          </w:p>
        </w:tc>
        <w:tc>
          <w:tcPr>
            <w:tcW w:w="379" w:type="pct"/>
            <w:tcBorders>
              <w:bottom w:val="single" w:sz="4" w:space="0" w:color="000000"/>
            </w:tcBorders>
            <w:vAlign w:val="bottom"/>
          </w:tcPr>
          <w:p w14:paraId="45B2FF6B" w14:textId="77777777" w:rsidR="00D83E33" w:rsidRPr="00EA10CF" w:rsidRDefault="00D83E33" w:rsidP="001B330E">
            <w:pPr>
              <w:widowControl w:val="0"/>
              <w:pBdr>
                <w:top w:val="nil"/>
                <w:left w:val="nil"/>
                <w:bottom w:val="nil"/>
                <w:right w:val="nil"/>
                <w:between w:val="nil"/>
              </w:pBdr>
              <w:jc w:val="center"/>
              <w:rPr>
                <w:color w:val="000000"/>
              </w:rPr>
            </w:pPr>
          </w:p>
        </w:tc>
        <w:tc>
          <w:tcPr>
            <w:tcW w:w="773" w:type="pct"/>
            <w:tcBorders>
              <w:bottom w:val="single" w:sz="4" w:space="0" w:color="000000"/>
            </w:tcBorders>
            <w:vAlign w:val="bottom"/>
          </w:tcPr>
          <w:p w14:paraId="7EFD882E" w14:textId="77777777" w:rsidR="00D83E33" w:rsidRPr="00EA10CF" w:rsidRDefault="00D83E33" w:rsidP="001B330E">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5F5E448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76ADCB4" w14:textId="77777777" w:rsidTr="001B330E">
        <w:trPr>
          <w:trHeight w:val="23"/>
        </w:trPr>
        <w:tc>
          <w:tcPr>
            <w:tcW w:w="3030" w:type="pct"/>
            <w:vAlign w:val="bottom"/>
          </w:tcPr>
          <w:p w14:paraId="0B723EB8"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379" w:type="pct"/>
            <w:vAlign w:val="bottom"/>
          </w:tcPr>
          <w:p w14:paraId="38DCDF5A" w14:textId="77777777" w:rsidR="00D83E33" w:rsidRPr="00EA10CF" w:rsidRDefault="00D83E33" w:rsidP="001B330E">
            <w:pPr>
              <w:widowControl w:val="0"/>
              <w:pBdr>
                <w:top w:val="nil"/>
                <w:left w:val="nil"/>
                <w:bottom w:val="nil"/>
                <w:right w:val="nil"/>
                <w:between w:val="nil"/>
              </w:pBdr>
              <w:jc w:val="center"/>
              <w:rPr>
                <w:b/>
                <w:color w:val="000000"/>
              </w:rPr>
            </w:pPr>
          </w:p>
        </w:tc>
        <w:tc>
          <w:tcPr>
            <w:tcW w:w="773" w:type="pct"/>
            <w:vAlign w:val="bottom"/>
          </w:tcPr>
          <w:p w14:paraId="0C71569E"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7314937B"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0887396" w14:textId="77777777" w:rsidTr="001B330E">
        <w:trPr>
          <w:trHeight w:val="23"/>
        </w:trPr>
        <w:tc>
          <w:tcPr>
            <w:tcW w:w="3030" w:type="pct"/>
            <w:vAlign w:val="bottom"/>
          </w:tcPr>
          <w:p w14:paraId="59A1CB8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 credit related commitments, net of provision and cash covered exposures</w:t>
            </w:r>
          </w:p>
        </w:tc>
        <w:tc>
          <w:tcPr>
            <w:tcW w:w="379" w:type="pct"/>
            <w:vAlign w:val="bottom"/>
          </w:tcPr>
          <w:p w14:paraId="2F0976F9" w14:textId="77777777" w:rsidR="00D83E33" w:rsidRPr="00EA10CF" w:rsidRDefault="00D83E33" w:rsidP="001B330E">
            <w:pPr>
              <w:widowControl w:val="0"/>
              <w:pBdr>
                <w:top w:val="nil"/>
                <w:left w:val="nil"/>
                <w:bottom w:val="nil"/>
                <w:right w:val="nil"/>
                <w:between w:val="nil"/>
              </w:pBdr>
              <w:jc w:val="center"/>
              <w:rPr>
                <w:b/>
                <w:color w:val="000000"/>
              </w:rPr>
            </w:pPr>
          </w:p>
        </w:tc>
        <w:tc>
          <w:tcPr>
            <w:tcW w:w="773" w:type="pct"/>
            <w:vAlign w:val="bottom"/>
          </w:tcPr>
          <w:p w14:paraId="1925F724"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vAlign w:val="bottom"/>
          </w:tcPr>
          <w:p w14:paraId="6086DAE5"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30257408" w14:textId="77777777" w:rsidTr="001B330E">
        <w:trPr>
          <w:trHeight w:val="23"/>
        </w:trPr>
        <w:tc>
          <w:tcPr>
            <w:tcW w:w="3030" w:type="pct"/>
            <w:tcBorders>
              <w:bottom w:val="single" w:sz="12" w:space="0" w:color="000000"/>
            </w:tcBorders>
            <w:vAlign w:val="bottom"/>
          </w:tcPr>
          <w:p w14:paraId="7DC706A6"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379" w:type="pct"/>
            <w:tcBorders>
              <w:bottom w:val="single" w:sz="12" w:space="0" w:color="000000"/>
            </w:tcBorders>
            <w:vAlign w:val="bottom"/>
          </w:tcPr>
          <w:p w14:paraId="5757013E" w14:textId="77777777" w:rsidR="00D83E33" w:rsidRPr="00EA10CF" w:rsidRDefault="00D83E33" w:rsidP="001B330E">
            <w:pPr>
              <w:widowControl w:val="0"/>
              <w:pBdr>
                <w:top w:val="nil"/>
                <w:left w:val="nil"/>
                <w:bottom w:val="nil"/>
                <w:right w:val="nil"/>
                <w:between w:val="nil"/>
              </w:pBdr>
              <w:jc w:val="center"/>
              <w:rPr>
                <w:b/>
                <w:color w:val="000000"/>
              </w:rPr>
            </w:pPr>
          </w:p>
        </w:tc>
        <w:tc>
          <w:tcPr>
            <w:tcW w:w="773" w:type="pct"/>
            <w:tcBorders>
              <w:bottom w:val="single" w:sz="12" w:space="0" w:color="000000"/>
            </w:tcBorders>
            <w:vAlign w:val="bottom"/>
          </w:tcPr>
          <w:p w14:paraId="3FD799F0" w14:textId="77777777" w:rsidR="00D83E33" w:rsidRPr="00EA10CF" w:rsidRDefault="00D83E33" w:rsidP="001B330E">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4D39740A" w14:textId="77777777" w:rsidR="00D83E33" w:rsidRPr="00EA10CF" w:rsidRDefault="00D83E33" w:rsidP="001B330E">
            <w:pPr>
              <w:widowControl w:val="0"/>
              <w:pBdr>
                <w:top w:val="nil"/>
                <w:left w:val="nil"/>
                <w:bottom w:val="nil"/>
                <w:right w:val="nil"/>
                <w:between w:val="nil"/>
              </w:pBdr>
              <w:jc w:val="right"/>
              <w:rPr>
                <w:b/>
                <w:color w:val="000000"/>
              </w:rPr>
            </w:pPr>
          </w:p>
        </w:tc>
      </w:tr>
    </w:tbl>
    <w:p w14:paraId="27E12CED" w14:textId="532D6B7C" w:rsidR="00D83E33" w:rsidRDefault="00BC4072" w:rsidP="001B330E">
      <w:pPr>
        <w:pStyle w:val="Continued"/>
      </w:pPr>
      <w:r>
        <w:lastRenderedPageBreak/>
        <w:t>43</w:t>
      </w:r>
      <w:r>
        <w:tab/>
        <w:t>Contingencies and Commitments (Continued)</w:t>
      </w:r>
    </w:p>
    <w:p w14:paraId="048547A8" w14:textId="5547D219"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An analysis of credit related commitments by credit quality based on credit risk grades at 31</w:t>
      </w:r>
      <w:r w:rsidR="00181687">
        <w:rPr>
          <w:color w:val="000000"/>
          <w:sz w:val="20"/>
          <w:szCs w:val="20"/>
        </w:rPr>
        <w:t> December </w:t>
      </w:r>
      <w:r w:rsidR="00541EBC">
        <w:rPr>
          <w:color w:val="000000"/>
          <w:sz w:val="20"/>
          <w:szCs w:val="20"/>
        </w:rPr>
        <w:t>2024</w:t>
      </w:r>
      <w:r>
        <w:rPr>
          <w:color w:val="000000"/>
          <w:sz w:val="20"/>
          <w:szCs w:val="20"/>
        </w:rPr>
        <w:t xml:space="preserve"> is as follows. </w:t>
      </w:r>
    </w:p>
    <w:tbl>
      <w:tblPr>
        <w:tblStyle w:val="affffffffffffffc"/>
        <w:tblW w:w="5000" w:type="pct"/>
        <w:tblLayout w:type="fixed"/>
        <w:tblLook w:val="0000" w:firstRow="0" w:lastRow="0" w:firstColumn="0" w:lastColumn="0" w:noHBand="0" w:noVBand="0"/>
      </w:tblPr>
      <w:tblGrid>
        <w:gridCol w:w="3687"/>
        <w:gridCol w:w="1418"/>
        <w:gridCol w:w="1418"/>
        <w:gridCol w:w="1418"/>
        <w:gridCol w:w="1414"/>
      </w:tblGrid>
      <w:tr w:rsidR="00D83E33" w:rsidRPr="00EA10CF" w14:paraId="2472DADD" w14:textId="77777777" w:rsidTr="001B330E">
        <w:trPr>
          <w:trHeight w:val="23"/>
        </w:trPr>
        <w:tc>
          <w:tcPr>
            <w:tcW w:w="1970" w:type="pct"/>
            <w:tcBorders>
              <w:bottom w:val="single" w:sz="4" w:space="0" w:color="000000"/>
            </w:tcBorders>
            <w:vAlign w:val="bottom"/>
          </w:tcPr>
          <w:p w14:paraId="081ABD6B" w14:textId="102D237C"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758" w:type="pct"/>
            <w:tcBorders>
              <w:bottom w:val="single" w:sz="4" w:space="0" w:color="000000"/>
            </w:tcBorders>
          </w:tcPr>
          <w:p w14:paraId="04E16CFE"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Stage 1 </w:t>
            </w:r>
          </w:p>
          <w:p w14:paraId="571F0BD0"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(12-months ECL)</w:t>
            </w:r>
          </w:p>
        </w:tc>
        <w:tc>
          <w:tcPr>
            <w:tcW w:w="758" w:type="pct"/>
            <w:tcBorders>
              <w:bottom w:val="single" w:sz="4" w:space="0" w:color="000000"/>
            </w:tcBorders>
          </w:tcPr>
          <w:p w14:paraId="5D150599"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Stage 2</w:t>
            </w:r>
          </w:p>
          <w:p w14:paraId="0A84B306"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(lifetime ECL for SICR) </w:t>
            </w:r>
          </w:p>
        </w:tc>
        <w:tc>
          <w:tcPr>
            <w:tcW w:w="758" w:type="pct"/>
            <w:tcBorders>
              <w:bottom w:val="single" w:sz="4" w:space="0" w:color="000000"/>
            </w:tcBorders>
          </w:tcPr>
          <w:p w14:paraId="1FD4AAFF"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Stage 3</w:t>
            </w:r>
          </w:p>
          <w:p w14:paraId="3CB0CCD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(lifetime ECL for credit im-paired)</w:t>
            </w:r>
          </w:p>
        </w:tc>
        <w:tc>
          <w:tcPr>
            <w:tcW w:w="757" w:type="pct"/>
            <w:tcBorders>
              <w:bottom w:val="single" w:sz="4" w:space="0" w:color="000000"/>
            </w:tcBorders>
          </w:tcPr>
          <w:p w14:paraId="65AFCDB1"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Total</w:t>
            </w:r>
          </w:p>
        </w:tc>
      </w:tr>
      <w:tr w:rsidR="00D83E33" w:rsidRPr="00EA10CF" w14:paraId="1A08C051" w14:textId="77777777" w:rsidTr="001B330E">
        <w:trPr>
          <w:trHeight w:val="23"/>
        </w:trPr>
        <w:tc>
          <w:tcPr>
            <w:tcW w:w="1970" w:type="pct"/>
            <w:vAlign w:val="bottom"/>
          </w:tcPr>
          <w:p w14:paraId="654328C6" w14:textId="77777777" w:rsidR="00D83E33" w:rsidRPr="001B330E" w:rsidRDefault="00BC4072">
            <w:pPr>
              <w:widowControl w:val="0"/>
              <w:rPr>
                <w:szCs w:val="16"/>
              </w:rPr>
            </w:pPr>
            <w:r w:rsidRPr="001B330E">
              <w:rPr>
                <w:szCs w:val="16"/>
              </w:rPr>
              <w:t> </w:t>
            </w:r>
          </w:p>
        </w:tc>
        <w:tc>
          <w:tcPr>
            <w:tcW w:w="758" w:type="pct"/>
            <w:vAlign w:val="bottom"/>
          </w:tcPr>
          <w:p w14:paraId="5C8021A0"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vAlign w:val="bottom"/>
          </w:tcPr>
          <w:p w14:paraId="3A96CDF8"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vAlign w:val="bottom"/>
          </w:tcPr>
          <w:p w14:paraId="46686A93"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vAlign w:val="bottom"/>
          </w:tcPr>
          <w:p w14:paraId="2ECD6E2F"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6E5A1244" w14:textId="77777777" w:rsidTr="001B330E">
        <w:trPr>
          <w:trHeight w:val="23"/>
        </w:trPr>
        <w:tc>
          <w:tcPr>
            <w:tcW w:w="1970" w:type="pct"/>
            <w:shd w:val="clear" w:color="auto" w:fill="auto"/>
            <w:vAlign w:val="bottom"/>
          </w:tcPr>
          <w:p w14:paraId="5CC6A297" w14:textId="77777777" w:rsidR="00D83E33" w:rsidRPr="00EA10CF" w:rsidRDefault="00BC4072">
            <w:pPr>
              <w:widowControl w:val="0"/>
              <w:pBdr>
                <w:top w:val="nil"/>
                <w:left w:val="nil"/>
                <w:bottom w:val="nil"/>
                <w:right w:val="nil"/>
                <w:between w:val="nil"/>
              </w:pBdr>
              <w:rPr>
                <w:b/>
                <w:i/>
                <w:color w:val="000000"/>
              </w:rPr>
            </w:pPr>
            <w:r w:rsidRPr="00EA10CF">
              <w:rPr>
                <w:b/>
                <w:color w:val="000000"/>
              </w:rPr>
              <w:t>Issued financial guarantees</w:t>
            </w:r>
          </w:p>
        </w:tc>
        <w:tc>
          <w:tcPr>
            <w:tcW w:w="758" w:type="pct"/>
            <w:vAlign w:val="bottom"/>
          </w:tcPr>
          <w:p w14:paraId="4B58596A"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176B1A31"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02D885BF"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478FAFD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8C4F549" w14:textId="77777777" w:rsidTr="001B330E">
        <w:trPr>
          <w:trHeight w:val="23"/>
        </w:trPr>
        <w:tc>
          <w:tcPr>
            <w:tcW w:w="1970" w:type="pct"/>
            <w:shd w:val="clear" w:color="auto" w:fill="auto"/>
            <w:vAlign w:val="bottom"/>
          </w:tcPr>
          <w:p w14:paraId="107BA3E8" w14:textId="77777777" w:rsidR="00D83E33" w:rsidRPr="001B330E" w:rsidRDefault="00D83E33">
            <w:pPr>
              <w:widowControl w:val="0"/>
              <w:pBdr>
                <w:top w:val="nil"/>
                <w:left w:val="nil"/>
                <w:bottom w:val="nil"/>
                <w:right w:val="nil"/>
                <w:between w:val="nil"/>
              </w:pBdr>
              <w:rPr>
                <w:color w:val="000000"/>
                <w:szCs w:val="16"/>
              </w:rPr>
            </w:pPr>
          </w:p>
        </w:tc>
        <w:tc>
          <w:tcPr>
            <w:tcW w:w="758" w:type="pct"/>
            <w:vAlign w:val="bottom"/>
          </w:tcPr>
          <w:p w14:paraId="724BAFA7"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vAlign w:val="bottom"/>
          </w:tcPr>
          <w:p w14:paraId="5C9E9898"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shd w:val="clear" w:color="auto" w:fill="auto"/>
            <w:vAlign w:val="bottom"/>
          </w:tcPr>
          <w:p w14:paraId="4B50F408"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shd w:val="clear" w:color="auto" w:fill="auto"/>
            <w:vAlign w:val="bottom"/>
          </w:tcPr>
          <w:p w14:paraId="7BAEB78F"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5BE93080" w14:textId="77777777" w:rsidTr="001B330E">
        <w:trPr>
          <w:trHeight w:val="23"/>
        </w:trPr>
        <w:tc>
          <w:tcPr>
            <w:tcW w:w="1970" w:type="pct"/>
            <w:shd w:val="clear" w:color="auto" w:fill="auto"/>
            <w:vAlign w:val="bottom"/>
          </w:tcPr>
          <w:p w14:paraId="3702F9F7" w14:textId="77777777" w:rsidR="00D83E33" w:rsidRPr="00EA10CF" w:rsidRDefault="00BC4072">
            <w:pPr>
              <w:widowControl w:val="0"/>
              <w:pBdr>
                <w:top w:val="nil"/>
                <w:left w:val="nil"/>
                <w:bottom w:val="nil"/>
                <w:right w:val="nil"/>
                <w:between w:val="nil"/>
              </w:pBdr>
              <w:rPr>
                <w:color w:val="000000"/>
              </w:rPr>
            </w:pPr>
            <w:r w:rsidRPr="00EA10CF">
              <w:rPr>
                <w:color w:val="000000"/>
              </w:rPr>
              <w:t>- Excellent</w:t>
            </w:r>
          </w:p>
        </w:tc>
        <w:tc>
          <w:tcPr>
            <w:tcW w:w="758" w:type="pct"/>
            <w:vAlign w:val="bottom"/>
          </w:tcPr>
          <w:p w14:paraId="083C49BB"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0BE54BFA"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76A05C68"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0105F08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F10EFC3" w14:textId="77777777" w:rsidTr="001B330E">
        <w:trPr>
          <w:trHeight w:val="23"/>
        </w:trPr>
        <w:tc>
          <w:tcPr>
            <w:tcW w:w="1970" w:type="pct"/>
            <w:shd w:val="clear" w:color="auto" w:fill="auto"/>
            <w:vAlign w:val="bottom"/>
          </w:tcPr>
          <w:p w14:paraId="1BF686F4" w14:textId="77777777" w:rsidR="00D83E33" w:rsidRPr="00EA10CF" w:rsidRDefault="00BC4072">
            <w:pPr>
              <w:widowControl w:val="0"/>
              <w:pBdr>
                <w:top w:val="nil"/>
                <w:left w:val="nil"/>
                <w:bottom w:val="nil"/>
                <w:right w:val="nil"/>
                <w:between w:val="nil"/>
              </w:pBdr>
              <w:rPr>
                <w:color w:val="000000"/>
              </w:rPr>
            </w:pPr>
            <w:r w:rsidRPr="00EA10CF">
              <w:rPr>
                <w:color w:val="000000"/>
              </w:rPr>
              <w:t>- Good</w:t>
            </w:r>
          </w:p>
        </w:tc>
        <w:tc>
          <w:tcPr>
            <w:tcW w:w="758" w:type="pct"/>
            <w:vAlign w:val="bottom"/>
          </w:tcPr>
          <w:p w14:paraId="5BA40585"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3E74B913"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1EECEE1D"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02778AB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1596603" w14:textId="77777777" w:rsidTr="001B330E">
        <w:trPr>
          <w:trHeight w:val="23"/>
        </w:trPr>
        <w:tc>
          <w:tcPr>
            <w:tcW w:w="1970" w:type="pct"/>
            <w:shd w:val="clear" w:color="auto" w:fill="auto"/>
            <w:vAlign w:val="bottom"/>
          </w:tcPr>
          <w:p w14:paraId="07CAD38D" w14:textId="77777777" w:rsidR="00D83E33" w:rsidRPr="00EA10CF" w:rsidRDefault="00BC4072">
            <w:pPr>
              <w:widowControl w:val="0"/>
              <w:pBdr>
                <w:top w:val="nil"/>
                <w:left w:val="nil"/>
                <w:bottom w:val="nil"/>
                <w:right w:val="nil"/>
                <w:between w:val="nil"/>
              </w:pBdr>
              <w:rPr>
                <w:color w:val="000000"/>
              </w:rPr>
            </w:pPr>
            <w:r w:rsidRPr="00EA10CF">
              <w:rPr>
                <w:color w:val="000000"/>
              </w:rPr>
              <w:t>- Satisfactory</w:t>
            </w:r>
          </w:p>
        </w:tc>
        <w:tc>
          <w:tcPr>
            <w:tcW w:w="758" w:type="pct"/>
            <w:vAlign w:val="bottom"/>
          </w:tcPr>
          <w:p w14:paraId="0B228C30"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4768B73F"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174AD35E"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2C9B6AB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09E4D7A" w14:textId="77777777" w:rsidTr="001B330E">
        <w:trPr>
          <w:trHeight w:val="23"/>
        </w:trPr>
        <w:tc>
          <w:tcPr>
            <w:tcW w:w="1970" w:type="pct"/>
            <w:shd w:val="clear" w:color="auto" w:fill="auto"/>
            <w:vAlign w:val="bottom"/>
          </w:tcPr>
          <w:p w14:paraId="3DAB6D23" w14:textId="77777777" w:rsidR="00D83E33" w:rsidRPr="00EA10CF" w:rsidRDefault="00BC4072">
            <w:pPr>
              <w:widowControl w:val="0"/>
              <w:pBdr>
                <w:top w:val="nil"/>
                <w:left w:val="nil"/>
                <w:bottom w:val="nil"/>
                <w:right w:val="nil"/>
                <w:between w:val="nil"/>
              </w:pBdr>
              <w:rPr>
                <w:color w:val="000000"/>
              </w:rPr>
            </w:pPr>
            <w:r w:rsidRPr="00EA10CF">
              <w:rPr>
                <w:color w:val="000000"/>
              </w:rPr>
              <w:t>- Special monitoring</w:t>
            </w:r>
          </w:p>
        </w:tc>
        <w:tc>
          <w:tcPr>
            <w:tcW w:w="758" w:type="pct"/>
            <w:vAlign w:val="bottom"/>
          </w:tcPr>
          <w:p w14:paraId="7486AEB4"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6DE92B2B"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252A1386"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5A3BBBB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2C5ED7" w14:textId="77777777" w:rsidTr="001B330E">
        <w:trPr>
          <w:trHeight w:val="23"/>
        </w:trPr>
        <w:tc>
          <w:tcPr>
            <w:tcW w:w="1970" w:type="pct"/>
            <w:shd w:val="clear" w:color="auto" w:fill="auto"/>
            <w:vAlign w:val="bottom"/>
          </w:tcPr>
          <w:p w14:paraId="140F18EA" w14:textId="77777777" w:rsidR="00D83E33" w:rsidRPr="00EA10CF" w:rsidRDefault="00BC4072">
            <w:pPr>
              <w:widowControl w:val="0"/>
              <w:pBdr>
                <w:top w:val="nil"/>
                <w:left w:val="nil"/>
                <w:bottom w:val="nil"/>
                <w:right w:val="nil"/>
                <w:between w:val="nil"/>
              </w:pBdr>
              <w:rPr>
                <w:color w:val="000000"/>
              </w:rPr>
            </w:pPr>
            <w:r w:rsidRPr="00EA10CF">
              <w:rPr>
                <w:color w:val="000000"/>
              </w:rPr>
              <w:t>- Default</w:t>
            </w:r>
          </w:p>
        </w:tc>
        <w:tc>
          <w:tcPr>
            <w:tcW w:w="758" w:type="pct"/>
            <w:vAlign w:val="bottom"/>
          </w:tcPr>
          <w:p w14:paraId="223B8973" w14:textId="77777777" w:rsidR="00D83E33" w:rsidRPr="00EA10CF" w:rsidRDefault="00D83E33">
            <w:pPr>
              <w:widowControl w:val="0"/>
              <w:pBdr>
                <w:top w:val="nil"/>
                <w:left w:val="nil"/>
                <w:bottom w:val="nil"/>
                <w:right w:val="nil"/>
                <w:between w:val="nil"/>
              </w:pBdr>
              <w:rPr>
                <w:color w:val="000000"/>
              </w:rPr>
            </w:pPr>
          </w:p>
        </w:tc>
        <w:tc>
          <w:tcPr>
            <w:tcW w:w="758" w:type="pct"/>
            <w:vAlign w:val="bottom"/>
          </w:tcPr>
          <w:p w14:paraId="6114BC58"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738A6551"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1F5DBD1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127C7D8" w14:textId="77777777" w:rsidTr="001B330E">
        <w:trPr>
          <w:trHeight w:val="23"/>
        </w:trPr>
        <w:tc>
          <w:tcPr>
            <w:tcW w:w="1970" w:type="pct"/>
            <w:tcBorders>
              <w:bottom w:val="single" w:sz="4" w:space="0" w:color="000000"/>
            </w:tcBorders>
            <w:shd w:val="clear" w:color="auto" w:fill="auto"/>
            <w:vAlign w:val="bottom"/>
          </w:tcPr>
          <w:p w14:paraId="433F5A7D"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4" w:space="0" w:color="000000"/>
            </w:tcBorders>
            <w:vAlign w:val="bottom"/>
          </w:tcPr>
          <w:p w14:paraId="707F34F7"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4" w:space="0" w:color="000000"/>
            </w:tcBorders>
            <w:vAlign w:val="bottom"/>
          </w:tcPr>
          <w:p w14:paraId="5B1FD37A"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bottom w:val="single" w:sz="4" w:space="0" w:color="000000"/>
            </w:tcBorders>
            <w:shd w:val="clear" w:color="auto" w:fill="auto"/>
            <w:vAlign w:val="bottom"/>
          </w:tcPr>
          <w:p w14:paraId="6F00D0F3"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bottom w:val="single" w:sz="4" w:space="0" w:color="000000"/>
            </w:tcBorders>
            <w:shd w:val="clear" w:color="auto" w:fill="auto"/>
            <w:vAlign w:val="bottom"/>
          </w:tcPr>
          <w:p w14:paraId="0D5CEE1F"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296BBA7F" w14:textId="77777777" w:rsidTr="001B330E">
        <w:trPr>
          <w:trHeight w:val="23"/>
        </w:trPr>
        <w:tc>
          <w:tcPr>
            <w:tcW w:w="1970" w:type="pct"/>
            <w:tcBorders>
              <w:top w:val="single" w:sz="4" w:space="0" w:color="000000"/>
            </w:tcBorders>
            <w:shd w:val="clear" w:color="auto" w:fill="auto"/>
            <w:vAlign w:val="bottom"/>
          </w:tcPr>
          <w:p w14:paraId="2E2A863B"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top w:val="single" w:sz="4" w:space="0" w:color="000000"/>
            </w:tcBorders>
            <w:vAlign w:val="bottom"/>
          </w:tcPr>
          <w:p w14:paraId="306C5A54"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top w:val="single" w:sz="4" w:space="0" w:color="000000"/>
            </w:tcBorders>
            <w:vAlign w:val="bottom"/>
          </w:tcPr>
          <w:p w14:paraId="47D21AA3"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top w:val="single" w:sz="4" w:space="0" w:color="000000"/>
            </w:tcBorders>
            <w:shd w:val="clear" w:color="auto" w:fill="auto"/>
            <w:vAlign w:val="bottom"/>
          </w:tcPr>
          <w:p w14:paraId="6254BC0D"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top w:val="single" w:sz="4" w:space="0" w:color="000000"/>
            </w:tcBorders>
            <w:shd w:val="clear" w:color="auto" w:fill="auto"/>
            <w:vAlign w:val="bottom"/>
          </w:tcPr>
          <w:p w14:paraId="67BF1A95"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7465B1EC" w14:textId="77777777" w:rsidTr="001B330E">
        <w:trPr>
          <w:trHeight w:val="23"/>
        </w:trPr>
        <w:tc>
          <w:tcPr>
            <w:tcW w:w="1970" w:type="pct"/>
            <w:shd w:val="clear" w:color="auto" w:fill="auto"/>
            <w:vAlign w:val="bottom"/>
          </w:tcPr>
          <w:p w14:paraId="24DE50FC" w14:textId="77777777" w:rsidR="00D83E33" w:rsidRPr="00EA10CF" w:rsidRDefault="00BC4072">
            <w:pPr>
              <w:widowControl w:val="0"/>
              <w:pBdr>
                <w:top w:val="nil"/>
                <w:left w:val="nil"/>
                <w:bottom w:val="nil"/>
                <w:right w:val="nil"/>
                <w:between w:val="nil"/>
              </w:pBdr>
              <w:rPr>
                <w:b/>
                <w:color w:val="000000"/>
              </w:rPr>
            </w:pPr>
            <w:r w:rsidRPr="00EA10CF">
              <w:rPr>
                <w:b/>
                <w:color w:val="000000"/>
              </w:rPr>
              <w:t xml:space="preserve">Unrecognised gross amount </w:t>
            </w:r>
          </w:p>
        </w:tc>
        <w:tc>
          <w:tcPr>
            <w:tcW w:w="758" w:type="pct"/>
            <w:vAlign w:val="bottom"/>
          </w:tcPr>
          <w:p w14:paraId="7FD5ABE2"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43300339"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23F880F1"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0F77723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AA78930" w14:textId="77777777" w:rsidTr="001B330E">
        <w:trPr>
          <w:trHeight w:val="23"/>
        </w:trPr>
        <w:tc>
          <w:tcPr>
            <w:tcW w:w="1970" w:type="pct"/>
            <w:tcBorders>
              <w:bottom w:val="single" w:sz="4" w:space="0" w:color="000000"/>
            </w:tcBorders>
            <w:shd w:val="clear" w:color="auto" w:fill="auto"/>
            <w:vAlign w:val="bottom"/>
          </w:tcPr>
          <w:p w14:paraId="7C6793EE"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4" w:space="0" w:color="000000"/>
            </w:tcBorders>
            <w:vAlign w:val="bottom"/>
          </w:tcPr>
          <w:p w14:paraId="2CA31290"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bottom w:val="single" w:sz="4" w:space="0" w:color="000000"/>
            </w:tcBorders>
            <w:vAlign w:val="bottom"/>
          </w:tcPr>
          <w:p w14:paraId="070BF6F5"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bottom w:val="single" w:sz="4" w:space="0" w:color="000000"/>
            </w:tcBorders>
            <w:shd w:val="clear" w:color="auto" w:fill="auto"/>
            <w:vAlign w:val="bottom"/>
          </w:tcPr>
          <w:p w14:paraId="710DC3E8"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bottom w:val="single" w:sz="4" w:space="0" w:color="000000"/>
            </w:tcBorders>
            <w:shd w:val="clear" w:color="auto" w:fill="auto"/>
            <w:vAlign w:val="bottom"/>
          </w:tcPr>
          <w:p w14:paraId="3821903F"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6D92A044" w14:textId="77777777" w:rsidTr="001B330E">
        <w:trPr>
          <w:trHeight w:val="23"/>
        </w:trPr>
        <w:tc>
          <w:tcPr>
            <w:tcW w:w="1970" w:type="pct"/>
            <w:tcBorders>
              <w:top w:val="single" w:sz="4" w:space="0" w:color="000000"/>
            </w:tcBorders>
            <w:shd w:val="clear" w:color="auto" w:fill="auto"/>
            <w:vAlign w:val="bottom"/>
          </w:tcPr>
          <w:p w14:paraId="08470182"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top w:val="single" w:sz="4" w:space="0" w:color="000000"/>
            </w:tcBorders>
            <w:vAlign w:val="bottom"/>
          </w:tcPr>
          <w:p w14:paraId="27119080"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top w:val="single" w:sz="4" w:space="0" w:color="000000"/>
            </w:tcBorders>
            <w:vAlign w:val="bottom"/>
          </w:tcPr>
          <w:p w14:paraId="67E141C9"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top w:val="single" w:sz="4" w:space="0" w:color="000000"/>
            </w:tcBorders>
            <w:shd w:val="clear" w:color="auto" w:fill="auto"/>
            <w:vAlign w:val="bottom"/>
          </w:tcPr>
          <w:p w14:paraId="47A59A34"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top w:val="single" w:sz="4" w:space="0" w:color="000000"/>
            </w:tcBorders>
            <w:shd w:val="clear" w:color="auto" w:fill="auto"/>
            <w:vAlign w:val="bottom"/>
          </w:tcPr>
          <w:p w14:paraId="3719A318"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036962CD" w14:textId="77777777" w:rsidTr="001B330E">
        <w:trPr>
          <w:trHeight w:val="23"/>
        </w:trPr>
        <w:tc>
          <w:tcPr>
            <w:tcW w:w="1970" w:type="pct"/>
            <w:shd w:val="clear" w:color="auto" w:fill="auto"/>
            <w:vAlign w:val="bottom"/>
          </w:tcPr>
          <w:p w14:paraId="2D1B34A9" w14:textId="77777777" w:rsidR="00D83E33" w:rsidRPr="00EA10CF" w:rsidRDefault="00BC4072">
            <w:pPr>
              <w:widowControl w:val="0"/>
              <w:pBdr>
                <w:top w:val="nil"/>
                <w:left w:val="nil"/>
                <w:bottom w:val="nil"/>
                <w:right w:val="nil"/>
                <w:between w:val="nil"/>
              </w:pBdr>
              <w:rPr>
                <w:b/>
                <w:color w:val="000000"/>
              </w:rPr>
            </w:pPr>
            <w:r w:rsidRPr="00EA10CF">
              <w:rPr>
                <w:b/>
                <w:color w:val="000000"/>
              </w:rPr>
              <w:t>Provision for financial guarantees</w:t>
            </w:r>
          </w:p>
        </w:tc>
        <w:tc>
          <w:tcPr>
            <w:tcW w:w="758" w:type="pct"/>
            <w:vAlign w:val="bottom"/>
          </w:tcPr>
          <w:p w14:paraId="07BFF6DD" w14:textId="77777777" w:rsidR="00D83E33" w:rsidRPr="00EA10CF" w:rsidRDefault="00D83E33">
            <w:pPr>
              <w:widowControl w:val="0"/>
              <w:pBdr>
                <w:top w:val="nil"/>
                <w:left w:val="nil"/>
                <w:bottom w:val="nil"/>
                <w:right w:val="nil"/>
                <w:between w:val="nil"/>
              </w:pBdr>
              <w:rPr>
                <w:color w:val="000000"/>
              </w:rPr>
            </w:pPr>
          </w:p>
        </w:tc>
        <w:tc>
          <w:tcPr>
            <w:tcW w:w="758" w:type="pct"/>
            <w:vAlign w:val="bottom"/>
          </w:tcPr>
          <w:p w14:paraId="6A6E29FD"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1F4DC779"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05EA2A6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A8AB6C9" w14:textId="77777777" w:rsidTr="001B330E">
        <w:trPr>
          <w:trHeight w:val="23"/>
        </w:trPr>
        <w:tc>
          <w:tcPr>
            <w:tcW w:w="1970" w:type="pct"/>
            <w:tcBorders>
              <w:bottom w:val="single" w:sz="12" w:space="0" w:color="000000"/>
            </w:tcBorders>
            <w:shd w:val="clear" w:color="auto" w:fill="auto"/>
            <w:vAlign w:val="bottom"/>
          </w:tcPr>
          <w:p w14:paraId="7CFFFA7B"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12" w:space="0" w:color="000000"/>
            </w:tcBorders>
            <w:vAlign w:val="bottom"/>
          </w:tcPr>
          <w:p w14:paraId="033940BD"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12" w:space="0" w:color="000000"/>
            </w:tcBorders>
            <w:vAlign w:val="bottom"/>
          </w:tcPr>
          <w:p w14:paraId="46755678"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bottom w:val="single" w:sz="12" w:space="0" w:color="000000"/>
            </w:tcBorders>
            <w:shd w:val="clear" w:color="auto" w:fill="auto"/>
            <w:vAlign w:val="bottom"/>
          </w:tcPr>
          <w:p w14:paraId="1E832233"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bottom w:val="single" w:sz="12" w:space="0" w:color="000000"/>
            </w:tcBorders>
            <w:shd w:val="clear" w:color="auto" w:fill="auto"/>
            <w:vAlign w:val="bottom"/>
          </w:tcPr>
          <w:p w14:paraId="27C3B886"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2CC2BAAC" w14:textId="77777777" w:rsidTr="001B330E">
        <w:trPr>
          <w:trHeight w:val="23"/>
        </w:trPr>
        <w:tc>
          <w:tcPr>
            <w:tcW w:w="1970" w:type="pct"/>
            <w:vAlign w:val="bottom"/>
          </w:tcPr>
          <w:p w14:paraId="56930925" w14:textId="77777777" w:rsidR="00D83E33" w:rsidRPr="001B330E" w:rsidRDefault="00BC4072">
            <w:pPr>
              <w:widowControl w:val="0"/>
              <w:rPr>
                <w:szCs w:val="16"/>
              </w:rPr>
            </w:pPr>
            <w:r w:rsidRPr="001B330E">
              <w:rPr>
                <w:szCs w:val="16"/>
              </w:rPr>
              <w:t> </w:t>
            </w:r>
          </w:p>
        </w:tc>
        <w:tc>
          <w:tcPr>
            <w:tcW w:w="758" w:type="pct"/>
            <w:vAlign w:val="bottom"/>
          </w:tcPr>
          <w:p w14:paraId="61D2BF42"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vAlign w:val="bottom"/>
          </w:tcPr>
          <w:p w14:paraId="6D00399D"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vAlign w:val="bottom"/>
          </w:tcPr>
          <w:p w14:paraId="3CAF38CB"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vAlign w:val="bottom"/>
          </w:tcPr>
          <w:p w14:paraId="292287DC"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31A68103" w14:textId="77777777" w:rsidTr="001B330E">
        <w:trPr>
          <w:trHeight w:val="23"/>
        </w:trPr>
        <w:tc>
          <w:tcPr>
            <w:tcW w:w="1970" w:type="pct"/>
            <w:shd w:val="clear" w:color="auto" w:fill="auto"/>
            <w:vAlign w:val="bottom"/>
          </w:tcPr>
          <w:p w14:paraId="4580115B" w14:textId="77777777" w:rsidR="00D83E33" w:rsidRPr="00EA10CF" w:rsidRDefault="00BC4072">
            <w:pPr>
              <w:widowControl w:val="0"/>
              <w:pBdr>
                <w:top w:val="nil"/>
                <w:left w:val="nil"/>
                <w:bottom w:val="nil"/>
                <w:right w:val="nil"/>
                <w:between w:val="nil"/>
              </w:pBdr>
              <w:rPr>
                <w:b/>
                <w:i/>
                <w:color w:val="000000"/>
              </w:rPr>
            </w:pPr>
            <w:r w:rsidRPr="00EA10CF">
              <w:rPr>
                <w:b/>
                <w:color w:val="000000"/>
              </w:rPr>
              <w:t>Loan commitments</w:t>
            </w:r>
          </w:p>
        </w:tc>
        <w:tc>
          <w:tcPr>
            <w:tcW w:w="758" w:type="pct"/>
            <w:vAlign w:val="bottom"/>
          </w:tcPr>
          <w:p w14:paraId="5D26A4BA"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2E8A5727"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0C3E3602"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49AA9F1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E830E90" w14:textId="77777777" w:rsidTr="001B330E">
        <w:trPr>
          <w:trHeight w:val="23"/>
        </w:trPr>
        <w:tc>
          <w:tcPr>
            <w:tcW w:w="1970" w:type="pct"/>
            <w:shd w:val="clear" w:color="auto" w:fill="auto"/>
            <w:vAlign w:val="bottom"/>
          </w:tcPr>
          <w:p w14:paraId="5BB01E63" w14:textId="77777777" w:rsidR="00D83E33" w:rsidRPr="001B330E" w:rsidRDefault="00D83E33">
            <w:pPr>
              <w:widowControl w:val="0"/>
              <w:pBdr>
                <w:top w:val="nil"/>
                <w:left w:val="nil"/>
                <w:bottom w:val="nil"/>
                <w:right w:val="nil"/>
                <w:between w:val="nil"/>
              </w:pBdr>
              <w:rPr>
                <w:color w:val="000000"/>
                <w:szCs w:val="16"/>
              </w:rPr>
            </w:pPr>
          </w:p>
        </w:tc>
        <w:tc>
          <w:tcPr>
            <w:tcW w:w="758" w:type="pct"/>
            <w:vAlign w:val="bottom"/>
          </w:tcPr>
          <w:p w14:paraId="0E8AB50D"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vAlign w:val="bottom"/>
          </w:tcPr>
          <w:p w14:paraId="7A507B93"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shd w:val="clear" w:color="auto" w:fill="auto"/>
            <w:vAlign w:val="bottom"/>
          </w:tcPr>
          <w:p w14:paraId="7CA1BE05"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shd w:val="clear" w:color="auto" w:fill="auto"/>
            <w:vAlign w:val="bottom"/>
          </w:tcPr>
          <w:p w14:paraId="6403BD53"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0D170AA2" w14:textId="77777777" w:rsidTr="001B330E">
        <w:trPr>
          <w:trHeight w:val="23"/>
        </w:trPr>
        <w:tc>
          <w:tcPr>
            <w:tcW w:w="1970" w:type="pct"/>
            <w:shd w:val="clear" w:color="auto" w:fill="auto"/>
            <w:vAlign w:val="bottom"/>
          </w:tcPr>
          <w:p w14:paraId="04D29C5B" w14:textId="77777777" w:rsidR="00D83E33" w:rsidRPr="00EA10CF" w:rsidRDefault="00BC4072">
            <w:pPr>
              <w:widowControl w:val="0"/>
              <w:pBdr>
                <w:top w:val="nil"/>
                <w:left w:val="nil"/>
                <w:bottom w:val="nil"/>
                <w:right w:val="nil"/>
                <w:between w:val="nil"/>
              </w:pBdr>
              <w:rPr>
                <w:color w:val="000000"/>
              </w:rPr>
            </w:pPr>
            <w:r w:rsidRPr="00EA10CF">
              <w:rPr>
                <w:color w:val="000000"/>
              </w:rPr>
              <w:t>- Excellent</w:t>
            </w:r>
          </w:p>
        </w:tc>
        <w:tc>
          <w:tcPr>
            <w:tcW w:w="758" w:type="pct"/>
            <w:vAlign w:val="bottom"/>
          </w:tcPr>
          <w:p w14:paraId="1EC51438"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09A574ED"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2B834DA3"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6746402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0876DA1" w14:textId="77777777" w:rsidTr="001B330E">
        <w:trPr>
          <w:trHeight w:val="23"/>
        </w:trPr>
        <w:tc>
          <w:tcPr>
            <w:tcW w:w="1970" w:type="pct"/>
            <w:shd w:val="clear" w:color="auto" w:fill="auto"/>
            <w:vAlign w:val="bottom"/>
          </w:tcPr>
          <w:p w14:paraId="47FF97C2" w14:textId="77777777" w:rsidR="00D83E33" w:rsidRPr="00EA10CF" w:rsidRDefault="00BC4072">
            <w:pPr>
              <w:widowControl w:val="0"/>
              <w:pBdr>
                <w:top w:val="nil"/>
                <w:left w:val="nil"/>
                <w:bottom w:val="nil"/>
                <w:right w:val="nil"/>
                <w:between w:val="nil"/>
              </w:pBdr>
              <w:rPr>
                <w:color w:val="000000"/>
              </w:rPr>
            </w:pPr>
            <w:r w:rsidRPr="00EA10CF">
              <w:rPr>
                <w:color w:val="000000"/>
              </w:rPr>
              <w:t>- Good</w:t>
            </w:r>
          </w:p>
        </w:tc>
        <w:tc>
          <w:tcPr>
            <w:tcW w:w="758" w:type="pct"/>
            <w:vAlign w:val="bottom"/>
          </w:tcPr>
          <w:p w14:paraId="336DBC14"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13D51380"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7059CCDF"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401569C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6074772" w14:textId="77777777" w:rsidTr="001B330E">
        <w:trPr>
          <w:trHeight w:val="23"/>
        </w:trPr>
        <w:tc>
          <w:tcPr>
            <w:tcW w:w="1970" w:type="pct"/>
            <w:shd w:val="clear" w:color="auto" w:fill="auto"/>
            <w:vAlign w:val="bottom"/>
          </w:tcPr>
          <w:p w14:paraId="368582C5" w14:textId="77777777" w:rsidR="00D83E33" w:rsidRPr="00EA10CF" w:rsidRDefault="00BC4072">
            <w:pPr>
              <w:widowControl w:val="0"/>
              <w:pBdr>
                <w:top w:val="nil"/>
                <w:left w:val="nil"/>
                <w:bottom w:val="nil"/>
                <w:right w:val="nil"/>
                <w:between w:val="nil"/>
              </w:pBdr>
              <w:rPr>
                <w:color w:val="000000"/>
              </w:rPr>
            </w:pPr>
            <w:r w:rsidRPr="00EA10CF">
              <w:rPr>
                <w:color w:val="000000"/>
              </w:rPr>
              <w:t>- Satisfactory</w:t>
            </w:r>
          </w:p>
        </w:tc>
        <w:tc>
          <w:tcPr>
            <w:tcW w:w="758" w:type="pct"/>
            <w:vAlign w:val="bottom"/>
          </w:tcPr>
          <w:p w14:paraId="3AF68BC5"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1F5CD3FE"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473D7F6E"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1D4E75B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EA4A760" w14:textId="77777777" w:rsidTr="001B330E">
        <w:trPr>
          <w:trHeight w:val="23"/>
        </w:trPr>
        <w:tc>
          <w:tcPr>
            <w:tcW w:w="1970" w:type="pct"/>
            <w:shd w:val="clear" w:color="auto" w:fill="auto"/>
            <w:vAlign w:val="bottom"/>
          </w:tcPr>
          <w:p w14:paraId="404CC950" w14:textId="77777777" w:rsidR="00D83E33" w:rsidRPr="00EA10CF" w:rsidRDefault="00BC4072">
            <w:pPr>
              <w:widowControl w:val="0"/>
              <w:pBdr>
                <w:top w:val="nil"/>
                <w:left w:val="nil"/>
                <w:bottom w:val="nil"/>
                <w:right w:val="nil"/>
                <w:between w:val="nil"/>
              </w:pBdr>
              <w:rPr>
                <w:color w:val="000000"/>
              </w:rPr>
            </w:pPr>
            <w:r w:rsidRPr="00EA10CF">
              <w:rPr>
                <w:color w:val="000000"/>
              </w:rPr>
              <w:t>- Special monitoring</w:t>
            </w:r>
          </w:p>
        </w:tc>
        <w:tc>
          <w:tcPr>
            <w:tcW w:w="758" w:type="pct"/>
            <w:vAlign w:val="bottom"/>
          </w:tcPr>
          <w:p w14:paraId="5CD3E74A"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485CEAEF"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2FAD9FA1"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32D19DE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535EACC" w14:textId="77777777" w:rsidTr="001B330E">
        <w:trPr>
          <w:trHeight w:val="23"/>
        </w:trPr>
        <w:tc>
          <w:tcPr>
            <w:tcW w:w="1970" w:type="pct"/>
            <w:shd w:val="clear" w:color="auto" w:fill="auto"/>
            <w:vAlign w:val="bottom"/>
          </w:tcPr>
          <w:p w14:paraId="7DB5E7A3" w14:textId="77777777" w:rsidR="00D83E33" w:rsidRPr="00EA10CF" w:rsidRDefault="00BC4072">
            <w:pPr>
              <w:widowControl w:val="0"/>
              <w:pBdr>
                <w:top w:val="nil"/>
                <w:left w:val="nil"/>
                <w:bottom w:val="nil"/>
                <w:right w:val="nil"/>
                <w:between w:val="nil"/>
              </w:pBdr>
              <w:rPr>
                <w:color w:val="000000"/>
              </w:rPr>
            </w:pPr>
            <w:r w:rsidRPr="00EA10CF">
              <w:rPr>
                <w:color w:val="000000"/>
              </w:rPr>
              <w:t>- Default</w:t>
            </w:r>
          </w:p>
        </w:tc>
        <w:tc>
          <w:tcPr>
            <w:tcW w:w="758" w:type="pct"/>
            <w:vAlign w:val="bottom"/>
          </w:tcPr>
          <w:p w14:paraId="46844948" w14:textId="77777777" w:rsidR="00D83E33" w:rsidRPr="00EA10CF" w:rsidRDefault="00D83E33">
            <w:pPr>
              <w:widowControl w:val="0"/>
              <w:pBdr>
                <w:top w:val="nil"/>
                <w:left w:val="nil"/>
                <w:bottom w:val="nil"/>
                <w:right w:val="nil"/>
                <w:between w:val="nil"/>
              </w:pBdr>
              <w:rPr>
                <w:color w:val="000000"/>
              </w:rPr>
            </w:pPr>
          </w:p>
        </w:tc>
        <w:tc>
          <w:tcPr>
            <w:tcW w:w="758" w:type="pct"/>
            <w:vAlign w:val="bottom"/>
          </w:tcPr>
          <w:p w14:paraId="5BFC2CBE"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744D49D7"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5416AE9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DE2BA61" w14:textId="77777777" w:rsidTr="001B330E">
        <w:trPr>
          <w:trHeight w:val="23"/>
        </w:trPr>
        <w:tc>
          <w:tcPr>
            <w:tcW w:w="1970" w:type="pct"/>
            <w:tcBorders>
              <w:bottom w:val="single" w:sz="4" w:space="0" w:color="000000"/>
            </w:tcBorders>
            <w:shd w:val="clear" w:color="auto" w:fill="auto"/>
            <w:vAlign w:val="bottom"/>
          </w:tcPr>
          <w:p w14:paraId="007D5035"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4" w:space="0" w:color="000000"/>
            </w:tcBorders>
            <w:vAlign w:val="bottom"/>
          </w:tcPr>
          <w:p w14:paraId="627AA84A"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4" w:space="0" w:color="000000"/>
            </w:tcBorders>
            <w:vAlign w:val="bottom"/>
          </w:tcPr>
          <w:p w14:paraId="16971114"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bottom w:val="single" w:sz="4" w:space="0" w:color="000000"/>
            </w:tcBorders>
            <w:shd w:val="clear" w:color="auto" w:fill="auto"/>
            <w:vAlign w:val="bottom"/>
          </w:tcPr>
          <w:p w14:paraId="3C76E450"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bottom w:val="single" w:sz="4" w:space="0" w:color="000000"/>
            </w:tcBorders>
            <w:shd w:val="clear" w:color="auto" w:fill="auto"/>
            <w:vAlign w:val="bottom"/>
          </w:tcPr>
          <w:p w14:paraId="3821A5CF"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64B3B427" w14:textId="77777777" w:rsidTr="001B330E">
        <w:trPr>
          <w:trHeight w:val="23"/>
        </w:trPr>
        <w:tc>
          <w:tcPr>
            <w:tcW w:w="1970" w:type="pct"/>
            <w:tcBorders>
              <w:top w:val="single" w:sz="4" w:space="0" w:color="000000"/>
            </w:tcBorders>
            <w:shd w:val="clear" w:color="auto" w:fill="auto"/>
            <w:vAlign w:val="bottom"/>
          </w:tcPr>
          <w:p w14:paraId="7E1526AD"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top w:val="single" w:sz="4" w:space="0" w:color="000000"/>
            </w:tcBorders>
            <w:vAlign w:val="bottom"/>
          </w:tcPr>
          <w:p w14:paraId="0C79BC67"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top w:val="single" w:sz="4" w:space="0" w:color="000000"/>
            </w:tcBorders>
            <w:vAlign w:val="bottom"/>
          </w:tcPr>
          <w:p w14:paraId="353D7124"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top w:val="single" w:sz="4" w:space="0" w:color="000000"/>
            </w:tcBorders>
            <w:shd w:val="clear" w:color="auto" w:fill="auto"/>
            <w:vAlign w:val="bottom"/>
          </w:tcPr>
          <w:p w14:paraId="112A54FD"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top w:val="single" w:sz="4" w:space="0" w:color="000000"/>
            </w:tcBorders>
            <w:shd w:val="clear" w:color="auto" w:fill="auto"/>
            <w:vAlign w:val="bottom"/>
          </w:tcPr>
          <w:p w14:paraId="200B1866"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474E68C1" w14:textId="77777777" w:rsidTr="001B330E">
        <w:trPr>
          <w:trHeight w:val="23"/>
        </w:trPr>
        <w:tc>
          <w:tcPr>
            <w:tcW w:w="1970" w:type="pct"/>
            <w:shd w:val="clear" w:color="auto" w:fill="auto"/>
            <w:vAlign w:val="bottom"/>
          </w:tcPr>
          <w:p w14:paraId="5D1337B9" w14:textId="77777777" w:rsidR="00D83E33" w:rsidRPr="00EA10CF" w:rsidRDefault="00BC4072">
            <w:pPr>
              <w:widowControl w:val="0"/>
              <w:pBdr>
                <w:top w:val="nil"/>
                <w:left w:val="nil"/>
                <w:bottom w:val="nil"/>
                <w:right w:val="nil"/>
                <w:between w:val="nil"/>
              </w:pBdr>
              <w:rPr>
                <w:b/>
                <w:color w:val="000000"/>
              </w:rPr>
            </w:pPr>
            <w:r w:rsidRPr="00EA10CF">
              <w:rPr>
                <w:b/>
                <w:color w:val="000000"/>
              </w:rPr>
              <w:t xml:space="preserve">Unrecognised gross amount </w:t>
            </w:r>
          </w:p>
        </w:tc>
        <w:tc>
          <w:tcPr>
            <w:tcW w:w="758" w:type="pct"/>
            <w:vAlign w:val="bottom"/>
          </w:tcPr>
          <w:p w14:paraId="454DA234"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4E54713E"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188934E3"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62BEA86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35C786A" w14:textId="77777777" w:rsidTr="001B330E">
        <w:trPr>
          <w:trHeight w:val="23"/>
        </w:trPr>
        <w:tc>
          <w:tcPr>
            <w:tcW w:w="1970" w:type="pct"/>
            <w:tcBorders>
              <w:bottom w:val="single" w:sz="4" w:space="0" w:color="000000"/>
            </w:tcBorders>
            <w:shd w:val="clear" w:color="auto" w:fill="auto"/>
            <w:vAlign w:val="bottom"/>
          </w:tcPr>
          <w:p w14:paraId="261593F3"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4" w:space="0" w:color="000000"/>
            </w:tcBorders>
            <w:vAlign w:val="bottom"/>
          </w:tcPr>
          <w:p w14:paraId="24D990F8"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bottom w:val="single" w:sz="4" w:space="0" w:color="000000"/>
            </w:tcBorders>
            <w:vAlign w:val="bottom"/>
          </w:tcPr>
          <w:p w14:paraId="499B3CB4"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bottom w:val="single" w:sz="4" w:space="0" w:color="000000"/>
            </w:tcBorders>
            <w:shd w:val="clear" w:color="auto" w:fill="auto"/>
            <w:vAlign w:val="bottom"/>
          </w:tcPr>
          <w:p w14:paraId="6374B196"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bottom w:val="single" w:sz="4" w:space="0" w:color="000000"/>
            </w:tcBorders>
            <w:shd w:val="clear" w:color="auto" w:fill="auto"/>
            <w:vAlign w:val="bottom"/>
          </w:tcPr>
          <w:p w14:paraId="0ECDAC6D"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32279D00" w14:textId="77777777" w:rsidTr="001B330E">
        <w:trPr>
          <w:trHeight w:val="23"/>
        </w:trPr>
        <w:tc>
          <w:tcPr>
            <w:tcW w:w="1970" w:type="pct"/>
            <w:tcBorders>
              <w:top w:val="single" w:sz="4" w:space="0" w:color="000000"/>
            </w:tcBorders>
            <w:shd w:val="clear" w:color="auto" w:fill="auto"/>
            <w:vAlign w:val="bottom"/>
          </w:tcPr>
          <w:p w14:paraId="0D84316F"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top w:val="single" w:sz="4" w:space="0" w:color="000000"/>
            </w:tcBorders>
            <w:vAlign w:val="bottom"/>
          </w:tcPr>
          <w:p w14:paraId="23692846"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top w:val="single" w:sz="4" w:space="0" w:color="000000"/>
            </w:tcBorders>
            <w:vAlign w:val="bottom"/>
          </w:tcPr>
          <w:p w14:paraId="143ABAB5"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top w:val="single" w:sz="4" w:space="0" w:color="000000"/>
            </w:tcBorders>
            <w:shd w:val="clear" w:color="auto" w:fill="auto"/>
            <w:vAlign w:val="bottom"/>
          </w:tcPr>
          <w:p w14:paraId="2C196ADA"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top w:val="single" w:sz="4" w:space="0" w:color="000000"/>
            </w:tcBorders>
            <w:shd w:val="clear" w:color="auto" w:fill="auto"/>
            <w:vAlign w:val="bottom"/>
          </w:tcPr>
          <w:p w14:paraId="6624F067" w14:textId="77777777" w:rsidR="00D83E33" w:rsidRPr="001B330E" w:rsidRDefault="00D83E33">
            <w:pPr>
              <w:widowControl w:val="0"/>
              <w:pBdr>
                <w:top w:val="nil"/>
                <w:left w:val="nil"/>
                <w:bottom w:val="nil"/>
                <w:right w:val="nil"/>
                <w:between w:val="nil"/>
              </w:pBdr>
              <w:jc w:val="right"/>
              <w:rPr>
                <w:color w:val="000000"/>
                <w:szCs w:val="16"/>
              </w:rPr>
            </w:pPr>
          </w:p>
        </w:tc>
      </w:tr>
      <w:tr w:rsidR="00D83E33" w:rsidRPr="00EA10CF" w14:paraId="1127895F" w14:textId="77777777" w:rsidTr="001B330E">
        <w:trPr>
          <w:trHeight w:val="23"/>
        </w:trPr>
        <w:tc>
          <w:tcPr>
            <w:tcW w:w="1970" w:type="pct"/>
            <w:shd w:val="clear" w:color="auto" w:fill="auto"/>
            <w:vAlign w:val="bottom"/>
          </w:tcPr>
          <w:p w14:paraId="34BECCF6" w14:textId="77777777" w:rsidR="00D83E33" w:rsidRPr="00EA10CF" w:rsidRDefault="00BC4072">
            <w:pPr>
              <w:widowControl w:val="0"/>
              <w:pBdr>
                <w:top w:val="nil"/>
                <w:left w:val="nil"/>
                <w:bottom w:val="nil"/>
                <w:right w:val="nil"/>
                <w:between w:val="nil"/>
              </w:pBdr>
              <w:rPr>
                <w:b/>
                <w:color w:val="000000"/>
              </w:rPr>
            </w:pPr>
            <w:r w:rsidRPr="00EA10CF">
              <w:rPr>
                <w:b/>
                <w:color w:val="000000"/>
              </w:rPr>
              <w:t>Provision for loan commitments</w:t>
            </w:r>
          </w:p>
        </w:tc>
        <w:tc>
          <w:tcPr>
            <w:tcW w:w="758" w:type="pct"/>
            <w:vAlign w:val="bottom"/>
          </w:tcPr>
          <w:p w14:paraId="16C9C98B" w14:textId="77777777" w:rsidR="00D83E33" w:rsidRPr="00EA10CF" w:rsidRDefault="00D83E33">
            <w:pPr>
              <w:widowControl w:val="0"/>
              <w:pBdr>
                <w:top w:val="nil"/>
                <w:left w:val="nil"/>
                <w:bottom w:val="nil"/>
                <w:right w:val="nil"/>
                <w:between w:val="nil"/>
              </w:pBdr>
              <w:rPr>
                <w:color w:val="000000"/>
              </w:rPr>
            </w:pPr>
          </w:p>
        </w:tc>
        <w:tc>
          <w:tcPr>
            <w:tcW w:w="758" w:type="pct"/>
            <w:vAlign w:val="bottom"/>
          </w:tcPr>
          <w:p w14:paraId="56459A9C" w14:textId="77777777" w:rsidR="00D83E33" w:rsidRPr="00EA10CF" w:rsidRDefault="00D83E33">
            <w:pPr>
              <w:widowControl w:val="0"/>
              <w:pBdr>
                <w:top w:val="nil"/>
                <w:left w:val="nil"/>
                <w:bottom w:val="nil"/>
                <w:right w:val="nil"/>
                <w:between w:val="nil"/>
              </w:pBdr>
              <w:jc w:val="right"/>
              <w:rPr>
                <w:color w:val="000000"/>
              </w:rPr>
            </w:pPr>
          </w:p>
        </w:tc>
        <w:tc>
          <w:tcPr>
            <w:tcW w:w="758" w:type="pct"/>
            <w:shd w:val="clear" w:color="auto" w:fill="auto"/>
            <w:vAlign w:val="bottom"/>
          </w:tcPr>
          <w:p w14:paraId="47492697" w14:textId="77777777" w:rsidR="00D83E33" w:rsidRPr="00EA10CF" w:rsidRDefault="00D83E33">
            <w:pPr>
              <w:widowControl w:val="0"/>
              <w:pBdr>
                <w:top w:val="nil"/>
                <w:left w:val="nil"/>
                <w:bottom w:val="nil"/>
                <w:right w:val="nil"/>
                <w:between w:val="nil"/>
              </w:pBdr>
              <w:jc w:val="right"/>
              <w:rPr>
                <w:color w:val="000000"/>
              </w:rPr>
            </w:pPr>
          </w:p>
        </w:tc>
        <w:tc>
          <w:tcPr>
            <w:tcW w:w="757" w:type="pct"/>
            <w:shd w:val="clear" w:color="auto" w:fill="auto"/>
            <w:vAlign w:val="bottom"/>
          </w:tcPr>
          <w:p w14:paraId="5C5A597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27E60C8" w14:textId="77777777" w:rsidTr="001B330E">
        <w:trPr>
          <w:trHeight w:val="23"/>
        </w:trPr>
        <w:tc>
          <w:tcPr>
            <w:tcW w:w="1970" w:type="pct"/>
            <w:tcBorders>
              <w:bottom w:val="single" w:sz="12" w:space="0" w:color="000000"/>
            </w:tcBorders>
            <w:shd w:val="clear" w:color="auto" w:fill="auto"/>
            <w:vAlign w:val="bottom"/>
          </w:tcPr>
          <w:p w14:paraId="34CDB224"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12" w:space="0" w:color="000000"/>
            </w:tcBorders>
            <w:vAlign w:val="bottom"/>
          </w:tcPr>
          <w:p w14:paraId="5237E47F" w14:textId="77777777" w:rsidR="00D83E33" w:rsidRPr="001B330E" w:rsidRDefault="00D83E33">
            <w:pPr>
              <w:widowControl w:val="0"/>
              <w:pBdr>
                <w:top w:val="nil"/>
                <w:left w:val="nil"/>
                <w:bottom w:val="nil"/>
                <w:right w:val="nil"/>
                <w:between w:val="nil"/>
              </w:pBdr>
              <w:rPr>
                <w:color w:val="000000"/>
                <w:szCs w:val="16"/>
              </w:rPr>
            </w:pPr>
          </w:p>
        </w:tc>
        <w:tc>
          <w:tcPr>
            <w:tcW w:w="758" w:type="pct"/>
            <w:tcBorders>
              <w:bottom w:val="single" w:sz="12" w:space="0" w:color="000000"/>
            </w:tcBorders>
            <w:vAlign w:val="bottom"/>
          </w:tcPr>
          <w:p w14:paraId="4545B8AC" w14:textId="77777777" w:rsidR="00D83E33" w:rsidRPr="001B330E" w:rsidRDefault="00D83E33">
            <w:pPr>
              <w:widowControl w:val="0"/>
              <w:pBdr>
                <w:top w:val="nil"/>
                <w:left w:val="nil"/>
                <w:bottom w:val="nil"/>
                <w:right w:val="nil"/>
                <w:between w:val="nil"/>
              </w:pBdr>
              <w:jc w:val="right"/>
              <w:rPr>
                <w:color w:val="000000"/>
                <w:szCs w:val="16"/>
              </w:rPr>
            </w:pPr>
          </w:p>
        </w:tc>
        <w:tc>
          <w:tcPr>
            <w:tcW w:w="758" w:type="pct"/>
            <w:tcBorders>
              <w:bottom w:val="single" w:sz="12" w:space="0" w:color="000000"/>
            </w:tcBorders>
            <w:shd w:val="clear" w:color="auto" w:fill="auto"/>
            <w:vAlign w:val="bottom"/>
          </w:tcPr>
          <w:p w14:paraId="1ECA84D7" w14:textId="77777777" w:rsidR="00D83E33" w:rsidRPr="001B330E" w:rsidRDefault="00D83E33">
            <w:pPr>
              <w:widowControl w:val="0"/>
              <w:pBdr>
                <w:top w:val="nil"/>
                <w:left w:val="nil"/>
                <w:bottom w:val="nil"/>
                <w:right w:val="nil"/>
                <w:between w:val="nil"/>
              </w:pBdr>
              <w:jc w:val="right"/>
              <w:rPr>
                <w:color w:val="000000"/>
                <w:szCs w:val="16"/>
              </w:rPr>
            </w:pPr>
          </w:p>
        </w:tc>
        <w:tc>
          <w:tcPr>
            <w:tcW w:w="757" w:type="pct"/>
            <w:tcBorders>
              <w:bottom w:val="single" w:sz="12" w:space="0" w:color="000000"/>
            </w:tcBorders>
            <w:shd w:val="clear" w:color="auto" w:fill="auto"/>
            <w:vAlign w:val="bottom"/>
          </w:tcPr>
          <w:p w14:paraId="5A56E43A" w14:textId="77777777" w:rsidR="00D83E33" w:rsidRPr="001B330E" w:rsidRDefault="00D83E33">
            <w:pPr>
              <w:widowControl w:val="0"/>
              <w:pBdr>
                <w:top w:val="nil"/>
                <w:left w:val="nil"/>
                <w:bottom w:val="nil"/>
                <w:right w:val="nil"/>
                <w:between w:val="nil"/>
              </w:pBdr>
              <w:jc w:val="right"/>
              <w:rPr>
                <w:color w:val="000000"/>
                <w:szCs w:val="16"/>
              </w:rPr>
            </w:pPr>
          </w:p>
        </w:tc>
      </w:tr>
    </w:tbl>
    <w:p w14:paraId="5553BF15"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Refer to Note 41 for the description of credit risk grading system used by the Group and the approach to ECL measurement, including the definition of default and SICR as applicable to credit related commitments.</w:t>
      </w:r>
    </w:p>
    <w:p w14:paraId="08D66E16" w14:textId="2216FABF"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total outstanding contractual amount of undrawn credit lines, letters of credit, and guarantees does not necessarily represent future cash requirements, as these financial instruments may expire or terminate without being funded. The fair value of credit related commitments was </w:t>
      </w:r>
      <w:r w:rsidR="00D73799">
        <w:rPr>
          <w:color w:val="000000"/>
          <w:sz w:val="20"/>
          <w:szCs w:val="20"/>
        </w:rPr>
        <w:t>EUR</w:t>
      </w:r>
      <w:r>
        <w:rPr>
          <w:color w:val="000000"/>
          <w:sz w:val="20"/>
          <w:szCs w:val="20"/>
        </w:rPr>
        <w:t> _____ thousand at 31</w:t>
      </w:r>
      <w:r w:rsidR="009A397A">
        <w:rPr>
          <w:color w:val="000000"/>
          <w:sz w:val="20"/>
          <w:szCs w:val="20"/>
        </w:rPr>
        <w:t> </w:t>
      </w:r>
      <w:r>
        <w:rPr>
          <w:color w:val="000000"/>
          <w:sz w:val="20"/>
          <w:szCs w:val="20"/>
        </w:rPr>
        <w:t xml:space="preserve">December </w:t>
      </w:r>
      <w:r w:rsidR="00541EBC">
        <w:rPr>
          <w:color w:val="000000"/>
          <w:sz w:val="20"/>
          <w:szCs w:val="20"/>
        </w:rPr>
        <w:t>2024</w:t>
      </w:r>
      <w:r>
        <w:rPr>
          <w:color w:val="000000"/>
          <w:sz w:val="20"/>
          <w:szCs w:val="20"/>
        </w:rPr>
        <w:t xml:space="preserve">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w:t>
      </w:r>
    </w:p>
    <w:p w14:paraId="2549F339" w14:textId="77777777" w:rsidR="00D83E33" w:rsidRDefault="00BC4072">
      <w:pPr>
        <w:widowControl w:val="0"/>
        <w:pBdr>
          <w:top w:val="nil"/>
          <w:left w:val="nil"/>
          <w:bottom w:val="nil"/>
          <w:right w:val="nil"/>
          <w:between w:val="nil"/>
        </w:pBdr>
        <w:spacing w:before="200" w:after="200"/>
        <w:jc w:val="both"/>
        <w:rPr>
          <w:color w:val="000000"/>
          <w:sz w:val="20"/>
          <w:szCs w:val="20"/>
        </w:rPr>
      </w:pPr>
      <w:r w:rsidRPr="00302F88">
        <w:rPr>
          <w:b/>
          <w:i/>
          <w:color w:val="000000"/>
          <w:sz w:val="20"/>
          <w:szCs w:val="20"/>
        </w:rPr>
        <w:t xml:space="preserve">Performance guarantees. </w:t>
      </w:r>
      <w:r w:rsidRPr="00302F88">
        <w:rPr>
          <w:color w:val="000000"/>
          <w:sz w:val="20"/>
          <w:szCs w:val="20"/>
        </w:rPr>
        <w:t>Performance guarantees are contracts that provide compensation if another party fails to perform a contractual obligation. Such contracts do not transfer credit risk. The risk under performance guarantee contracts is the possibility that the insured event (i.e. the failure to perform the contractual obligation by another party) occurs. The key risks the Group faces are significant fluctuations in the frequency and severity of payments incurred on such contracts relative to expectations. The Group uses historical data and statistical techniques to predict levels of such payments. Claims must be made before the contract matures and most claims are settled within short term. This allows the Group to achieve a high degree of certainty about the estimated payments and therefore future cash flows. The Group manages such risks by constantly monitoring the level of payments for such products and has the ability to adjust its fees in the future to reflect any change in claim payments experience. The Group has a claim payment requests handling process which includes the right to review the claim and reject fraudulent or non-compliant requests. The exposure and concentration of performance guarantees expressed at the amounts guaranteed is as follows:</w:t>
      </w:r>
    </w:p>
    <w:p w14:paraId="21049226" w14:textId="6C613AC4" w:rsidR="00D83E33" w:rsidRDefault="00BC4072" w:rsidP="001B330E">
      <w:pPr>
        <w:pStyle w:val="Continued"/>
      </w:pPr>
      <w:r>
        <w:lastRenderedPageBreak/>
        <w:t>43</w:t>
      </w:r>
      <w:r>
        <w:tab/>
        <w:t>Contingencies and Commitments (Continued)</w:t>
      </w:r>
    </w:p>
    <w:tbl>
      <w:tblPr>
        <w:tblStyle w:val="affffffffffffffd"/>
        <w:tblW w:w="5000" w:type="pct"/>
        <w:tblLayout w:type="fixed"/>
        <w:tblLook w:val="0000" w:firstRow="0" w:lastRow="0" w:firstColumn="0" w:lastColumn="0" w:noHBand="0" w:noVBand="0"/>
      </w:tblPr>
      <w:tblGrid>
        <w:gridCol w:w="5673"/>
        <w:gridCol w:w="709"/>
        <w:gridCol w:w="1444"/>
        <w:gridCol w:w="1529"/>
      </w:tblGrid>
      <w:tr w:rsidR="00D83E33" w:rsidRPr="00EA10CF" w14:paraId="2266FC55" w14:textId="77777777" w:rsidTr="001B330E">
        <w:trPr>
          <w:trHeight w:val="23"/>
        </w:trPr>
        <w:tc>
          <w:tcPr>
            <w:tcW w:w="3032" w:type="pct"/>
            <w:tcBorders>
              <w:bottom w:val="single" w:sz="4" w:space="0" w:color="000000"/>
            </w:tcBorders>
            <w:vAlign w:val="bottom"/>
          </w:tcPr>
          <w:p w14:paraId="4767775F" w14:textId="549FB4B0"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379" w:type="pct"/>
            <w:tcBorders>
              <w:bottom w:val="single" w:sz="4" w:space="0" w:color="000000"/>
            </w:tcBorders>
            <w:vAlign w:val="bottom"/>
          </w:tcPr>
          <w:p w14:paraId="675B60DC"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w:t>
            </w:r>
          </w:p>
        </w:tc>
        <w:tc>
          <w:tcPr>
            <w:tcW w:w="772" w:type="pct"/>
            <w:tcBorders>
              <w:bottom w:val="single" w:sz="4" w:space="0" w:color="000000"/>
            </w:tcBorders>
            <w:vAlign w:val="bottom"/>
          </w:tcPr>
          <w:p w14:paraId="379FC099" w14:textId="45FFE63B"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06AC7DE9" w14:textId="0530378F"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5C84AE40" w14:textId="77777777" w:rsidTr="001B330E">
        <w:trPr>
          <w:trHeight w:val="23"/>
        </w:trPr>
        <w:tc>
          <w:tcPr>
            <w:tcW w:w="3032" w:type="pct"/>
            <w:vAlign w:val="bottom"/>
          </w:tcPr>
          <w:p w14:paraId="63EB148E" w14:textId="77777777" w:rsidR="00D83E33" w:rsidRPr="00EA10CF" w:rsidRDefault="00BC4072">
            <w:pPr>
              <w:widowControl w:val="0"/>
              <w:rPr>
                <w:b/>
              </w:rPr>
            </w:pPr>
            <w:r w:rsidRPr="00EA10CF">
              <w:rPr>
                <w:b/>
              </w:rPr>
              <w:t> </w:t>
            </w:r>
          </w:p>
        </w:tc>
        <w:tc>
          <w:tcPr>
            <w:tcW w:w="379" w:type="pct"/>
            <w:vAlign w:val="bottom"/>
          </w:tcPr>
          <w:p w14:paraId="4C8076F5"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77607A01"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4B3572D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393D592" w14:textId="77777777" w:rsidTr="001B330E">
        <w:trPr>
          <w:trHeight w:val="23"/>
        </w:trPr>
        <w:tc>
          <w:tcPr>
            <w:tcW w:w="3032" w:type="pct"/>
            <w:vAlign w:val="bottom"/>
          </w:tcPr>
          <w:p w14:paraId="691DB3E6" w14:textId="77777777" w:rsidR="00D83E33" w:rsidRPr="00EA10CF" w:rsidRDefault="00BC4072">
            <w:pPr>
              <w:widowControl w:val="0"/>
              <w:pBdr>
                <w:top w:val="nil"/>
                <w:left w:val="nil"/>
                <w:bottom w:val="nil"/>
                <w:right w:val="nil"/>
                <w:between w:val="nil"/>
              </w:pBdr>
              <w:rPr>
                <w:b/>
                <w:color w:val="0000FF"/>
              </w:rPr>
            </w:pPr>
            <w:r w:rsidRPr="00EA10CF">
              <w:rPr>
                <w:color w:val="0000FF"/>
              </w:rPr>
              <w:t>[Product/Exposure 1]</w:t>
            </w:r>
          </w:p>
        </w:tc>
        <w:tc>
          <w:tcPr>
            <w:tcW w:w="379" w:type="pct"/>
            <w:vAlign w:val="bottom"/>
          </w:tcPr>
          <w:p w14:paraId="338B78EA"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08AA743D"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0E3A09BA"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EDD285A" w14:textId="77777777" w:rsidTr="001B330E">
        <w:trPr>
          <w:trHeight w:val="23"/>
        </w:trPr>
        <w:tc>
          <w:tcPr>
            <w:tcW w:w="3032" w:type="pct"/>
            <w:vAlign w:val="bottom"/>
          </w:tcPr>
          <w:p w14:paraId="39753A4D" w14:textId="77777777" w:rsidR="00D83E33" w:rsidRPr="00EA10CF" w:rsidRDefault="00BC4072">
            <w:pPr>
              <w:widowControl w:val="0"/>
              <w:pBdr>
                <w:top w:val="nil"/>
                <w:left w:val="nil"/>
                <w:bottom w:val="nil"/>
                <w:right w:val="nil"/>
                <w:between w:val="nil"/>
              </w:pBdr>
              <w:rPr>
                <w:b/>
                <w:color w:val="0000FF"/>
              </w:rPr>
            </w:pPr>
            <w:r w:rsidRPr="00EA10CF">
              <w:rPr>
                <w:color w:val="0000FF"/>
              </w:rPr>
              <w:t>[Product/Exposure 2]</w:t>
            </w:r>
          </w:p>
        </w:tc>
        <w:tc>
          <w:tcPr>
            <w:tcW w:w="379" w:type="pct"/>
            <w:vAlign w:val="bottom"/>
          </w:tcPr>
          <w:p w14:paraId="614A63E7"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7DE77D24"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4B8C15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6EEC242" w14:textId="77777777" w:rsidTr="001B330E">
        <w:trPr>
          <w:trHeight w:val="23"/>
        </w:trPr>
        <w:tc>
          <w:tcPr>
            <w:tcW w:w="3032" w:type="pct"/>
            <w:vAlign w:val="bottom"/>
          </w:tcPr>
          <w:p w14:paraId="7561DC0F" w14:textId="77777777" w:rsidR="00D83E33" w:rsidRPr="00EA10CF" w:rsidRDefault="00BC4072">
            <w:pPr>
              <w:widowControl w:val="0"/>
              <w:pBdr>
                <w:top w:val="nil"/>
                <w:left w:val="nil"/>
                <w:bottom w:val="nil"/>
                <w:right w:val="nil"/>
                <w:between w:val="nil"/>
              </w:pBdr>
              <w:rPr>
                <w:b/>
                <w:color w:val="0000FF"/>
              </w:rPr>
            </w:pPr>
            <w:r w:rsidRPr="00EA10CF">
              <w:rPr>
                <w:color w:val="0000FF"/>
              </w:rPr>
              <w:t>[Product/Exposure 3]</w:t>
            </w:r>
          </w:p>
        </w:tc>
        <w:tc>
          <w:tcPr>
            <w:tcW w:w="379" w:type="pct"/>
            <w:vAlign w:val="bottom"/>
          </w:tcPr>
          <w:p w14:paraId="464423B6"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3F1AC520"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109257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70295D5" w14:textId="77777777" w:rsidTr="001B330E">
        <w:trPr>
          <w:trHeight w:val="23"/>
        </w:trPr>
        <w:tc>
          <w:tcPr>
            <w:tcW w:w="3032" w:type="pct"/>
            <w:vAlign w:val="bottom"/>
          </w:tcPr>
          <w:p w14:paraId="209F4621" w14:textId="77777777" w:rsidR="00D83E33" w:rsidRPr="00EA10CF" w:rsidRDefault="00BC4072">
            <w:pPr>
              <w:widowControl w:val="0"/>
              <w:pBdr>
                <w:top w:val="nil"/>
                <w:left w:val="nil"/>
                <w:bottom w:val="nil"/>
                <w:right w:val="nil"/>
                <w:between w:val="nil"/>
              </w:pBdr>
              <w:rPr>
                <w:b/>
                <w:color w:val="0000FF"/>
              </w:rPr>
            </w:pPr>
            <w:r w:rsidRPr="00EA10CF">
              <w:rPr>
                <w:color w:val="0000FF"/>
              </w:rPr>
              <w:t>…</w:t>
            </w:r>
          </w:p>
        </w:tc>
        <w:tc>
          <w:tcPr>
            <w:tcW w:w="379" w:type="pct"/>
            <w:vAlign w:val="bottom"/>
          </w:tcPr>
          <w:p w14:paraId="1952315D"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013C7A4E"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82CBAB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9098EA2" w14:textId="77777777" w:rsidTr="001B330E">
        <w:trPr>
          <w:trHeight w:val="23"/>
        </w:trPr>
        <w:tc>
          <w:tcPr>
            <w:tcW w:w="3032" w:type="pct"/>
            <w:tcBorders>
              <w:bottom w:val="single" w:sz="4" w:space="0" w:color="000000"/>
            </w:tcBorders>
            <w:vAlign w:val="bottom"/>
          </w:tcPr>
          <w:p w14:paraId="793ACB94" w14:textId="77777777" w:rsidR="00D83E33" w:rsidRPr="00EA10CF" w:rsidRDefault="00BC4072">
            <w:pPr>
              <w:widowControl w:val="0"/>
              <w:rPr>
                <w:b/>
              </w:rPr>
            </w:pPr>
            <w:r w:rsidRPr="00EA10CF">
              <w:rPr>
                <w:b/>
              </w:rPr>
              <w:t> </w:t>
            </w:r>
          </w:p>
        </w:tc>
        <w:tc>
          <w:tcPr>
            <w:tcW w:w="379" w:type="pct"/>
            <w:tcBorders>
              <w:bottom w:val="single" w:sz="4" w:space="0" w:color="000000"/>
            </w:tcBorders>
            <w:vAlign w:val="bottom"/>
          </w:tcPr>
          <w:p w14:paraId="5FA0E1F4" w14:textId="77777777" w:rsidR="00D83E33" w:rsidRPr="00EA10CF" w:rsidRDefault="00D83E33">
            <w:pPr>
              <w:widowControl w:val="0"/>
              <w:pBdr>
                <w:top w:val="nil"/>
                <w:left w:val="nil"/>
                <w:bottom w:val="nil"/>
                <w:right w:val="nil"/>
                <w:between w:val="nil"/>
              </w:pBdr>
              <w:jc w:val="center"/>
              <w:rPr>
                <w:color w:val="000000"/>
              </w:rPr>
            </w:pPr>
          </w:p>
        </w:tc>
        <w:tc>
          <w:tcPr>
            <w:tcW w:w="772" w:type="pct"/>
            <w:tcBorders>
              <w:bottom w:val="single" w:sz="4" w:space="0" w:color="000000"/>
            </w:tcBorders>
            <w:vAlign w:val="bottom"/>
          </w:tcPr>
          <w:p w14:paraId="3A092AC7"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0CBAE5A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5578201" w14:textId="77777777" w:rsidTr="001B330E">
        <w:trPr>
          <w:trHeight w:val="23"/>
        </w:trPr>
        <w:tc>
          <w:tcPr>
            <w:tcW w:w="3032" w:type="pct"/>
            <w:vAlign w:val="bottom"/>
          </w:tcPr>
          <w:p w14:paraId="7EB1E1EC" w14:textId="77777777" w:rsidR="00D83E33" w:rsidRPr="00EA10CF" w:rsidRDefault="00BC4072">
            <w:pPr>
              <w:widowControl w:val="0"/>
              <w:rPr>
                <w:b/>
              </w:rPr>
            </w:pPr>
            <w:r w:rsidRPr="00EA10CF">
              <w:rPr>
                <w:b/>
              </w:rPr>
              <w:t> </w:t>
            </w:r>
          </w:p>
        </w:tc>
        <w:tc>
          <w:tcPr>
            <w:tcW w:w="379" w:type="pct"/>
            <w:vAlign w:val="bottom"/>
          </w:tcPr>
          <w:p w14:paraId="09350B5B"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530155D5"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7546B9EC"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AD103B4" w14:textId="77777777" w:rsidTr="001B330E">
        <w:trPr>
          <w:trHeight w:val="23"/>
        </w:trPr>
        <w:tc>
          <w:tcPr>
            <w:tcW w:w="3032" w:type="pct"/>
            <w:vAlign w:val="bottom"/>
          </w:tcPr>
          <w:p w14:paraId="79233029" w14:textId="77777777" w:rsidR="00D83E33" w:rsidRPr="00EA10CF" w:rsidRDefault="00BC4072">
            <w:pPr>
              <w:widowControl w:val="0"/>
              <w:pBdr>
                <w:top w:val="nil"/>
                <w:left w:val="nil"/>
                <w:bottom w:val="nil"/>
                <w:right w:val="nil"/>
                <w:between w:val="nil"/>
              </w:pBdr>
              <w:rPr>
                <w:color w:val="000000"/>
              </w:rPr>
            </w:pPr>
            <w:r w:rsidRPr="00EA10CF">
              <w:rPr>
                <w:b/>
                <w:color w:val="000000"/>
              </w:rPr>
              <w:t xml:space="preserve">Total guaranteed amounts </w:t>
            </w:r>
          </w:p>
        </w:tc>
        <w:tc>
          <w:tcPr>
            <w:tcW w:w="379" w:type="pct"/>
            <w:vAlign w:val="bottom"/>
          </w:tcPr>
          <w:p w14:paraId="55FB7FE4"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2C66365B"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6840037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50F985D" w14:textId="77777777" w:rsidTr="001B330E">
        <w:trPr>
          <w:trHeight w:val="23"/>
        </w:trPr>
        <w:tc>
          <w:tcPr>
            <w:tcW w:w="3032" w:type="pct"/>
            <w:tcBorders>
              <w:bottom w:val="single" w:sz="12" w:space="0" w:color="000000"/>
            </w:tcBorders>
            <w:vAlign w:val="bottom"/>
          </w:tcPr>
          <w:p w14:paraId="3F8801AF" w14:textId="77777777" w:rsidR="00D83E33" w:rsidRPr="00EA10CF" w:rsidRDefault="00BC4072">
            <w:pPr>
              <w:widowControl w:val="0"/>
              <w:rPr>
                <w:b/>
              </w:rPr>
            </w:pPr>
            <w:r w:rsidRPr="00EA10CF">
              <w:rPr>
                <w:b/>
              </w:rPr>
              <w:t> </w:t>
            </w:r>
          </w:p>
        </w:tc>
        <w:tc>
          <w:tcPr>
            <w:tcW w:w="379" w:type="pct"/>
            <w:tcBorders>
              <w:bottom w:val="single" w:sz="12" w:space="0" w:color="000000"/>
            </w:tcBorders>
            <w:vAlign w:val="bottom"/>
          </w:tcPr>
          <w:p w14:paraId="5FB562A0" w14:textId="77777777" w:rsidR="00D83E33" w:rsidRPr="00EA10CF" w:rsidRDefault="00D83E33">
            <w:pPr>
              <w:widowControl w:val="0"/>
              <w:pBdr>
                <w:top w:val="nil"/>
                <w:left w:val="nil"/>
                <w:bottom w:val="nil"/>
                <w:right w:val="nil"/>
                <w:between w:val="nil"/>
              </w:pBdr>
              <w:jc w:val="center"/>
              <w:rPr>
                <w:color w:val="000000"/>
              </w:rPr>
            </w:pPr>
          </w:p>
        </w:tc>
        <w:tc>
          <w:tcPr>
            <w:tcW w:w="772" w:type="pct"/>
            <w:tcBorders>
              <w:bottom w:val="single" w:sz="12" w:space="0" w:color="000000"/>
            </w:tcBorders>
            <w:vAlign w:val="bottom"/>
          </w:tcPr>
          <w:p w14:paraId="4C957BFA" w14:textId="77777777" w:rsidR="00D83E33" w:rsidRPr="00EA10CF" w:rsidRDefault="00D83E33">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1DC1F639" w14:textId="77777777" w:rsidR="00D83E33" w:rsidRPr="00EA10CF" w:rsidRDefault="00D83E33">
            <w:pPr>
              <w:widowControl w:val="0"/>
              <w:pBdr>
                <w:top w:val="nil"/>
                <w:left w:val="nil"/>
                <w:bottom w:val="nil"/>
                <w:right w:val="nil"/>
                <w:between w:val="nil"/>
              </w:pBdr>
              <w:jc w:val="right"/>
              <w:rPr>
                <w:b/>
                <w:color w:val="000000"/>
              </w:rPr>
            </w:pPr>
          </w:p>
        </w:tc>
      </w:tr>
    </w:tbl>
    <w:p w14:paraId="3254EF58" w14:textId="77777777" w:rsidR="00D83E33" w:rsidRDefault="00BC4072">
      <w:pPr>
        <w:widowControl w:val="0"/>
        <w:pBdr>
          <w:top w:val="nil"/>
          <w:left w:val="nil"/>
          <w:bottom w:val="nil"/>
          <w:right w:val="nil"/>
          <w:between w:val="nil"/>
        </w:pBdr>
        <w:spacing w:before="200" w:after="200"/>
        <w:rPr>
          <w:color w:val="000000"/>
          <w:sz w:val="20"/>
          <w:szCs w:val="20"/>
        </w:rPr>
      </w:pPr>
      <w:r>
        <w:rPr>
          <w:color w:val="000000"/>
          <w:sz w:val="20"/>
          <w:szCs w:val="20"/>
        </w:rPr>
        <w:t>Movements in provisions for performance guarantees are as follows:</w:t>
      </w:r>
    </w:p>
    <w:tbl>
      <w:tblPr>
        <w:tblStyle w:val="affffffffffffffe"/>
        <w:tblW w:w="5000" w:type="pct"/>
        <w:tblLayout w:type="fixed"/>
        <w:tblLook w:val="0000" w:firstRow="0" w:lastRow="0" w:firstColumn="0" w:lastColumn="0" w:noHBand="0" w:noVBand="0"/>
      </w:tblPr>
      <w:tblGrid>
        <w:gridCol w:w="5673"/>
        <w:gridCol w:w="709"/>
        <w:gridCol w:w="1444"/>
        <w:gridCol w:w="1529"/>
      </w:tblGrid>
      <w:tr w:rsidR="00D83E33" w:rsidRPr="00EA10CF" w14:paraId="0ACE9ADA" w14:textId="77777777" w:rsidTr="001B330E">
        <w:trPr>
          <w:trHeight w:val="23"/>
        </w:trPr>
        <w:tc>
          <w:tcPr>
            <w:tcW w:w="3032" w:type="pct"/>
            <w:tcBorders>
              <w:bottom w:val="single" w:sz="4" w:space="0" w:color="000000"/>
            </w:tcBorders>
            <w:vAlign w:val="bottom"/>
          </w:tcPr>
          <w:p w14:paraId="7F6EC859" w14:textId="6EAB7749"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79" w:type="pct"/>
            <w:tcBorders>
              <w:bottom w:val="single" w:sz="4" w:space="0" w:color="000000"/>
            </w:tcBorders>
            <w:vAlign w:val="bottom"/>
          </w:tcPr>
          <w:p w14:paraId="5809062D"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w:t>
            </w:r>
          </w:p>
        </w:tc>
        <w:tc>
          <w:tcPr>
            <w:tcW w:w="772" w:type="pct"/>
            <w:tcBorders>
              <w:bottom w:val="single" w:sz="4" w:space="0" w:color="000000"/>
            </w:tcBorders>
            <w:vAlign w:val="bottom"/>
          </w:tcPr>
          <w:p w14:paraId="6D3ED253" w14:textId="25D01F6D" w:rsidR="00D83E33" w:rsidRPr="00EA10CF" w:rsidRDefault="00541EBC">
            <w:pPr>
              <w:widowControl w:val="0"/>
              <w:pBdr>
                <w:top w:val="nil"/>
                <w:left w:val="nil"/>
                <w:bottom w:val="nil"/>
                <w:right w:val="nil"/>
                <w:between w:val="nil"/>
              </w:pBdr>
              <w:jc w:val="right"/>
              <w:rPr>
                <w:b/>
                <w:color w:val="000000"/>
              </w:rPr>
            </w:pPr>
            <w:r>
              <w:rPr>
                <w:b/>
                <w:color w:val="000000"/>
              </w:rPr>
              <w:t>2024</w:t>
            </w:r>
          </w:p>
        </w:tc>
        <w:tc>
          <w:tcPr>
            <w:tcW w:w="818" w:type="pct"/>
            <w:tcBorders>
              <w:bottom w:val="single" w:sz="4" w:space="0" w:color="000000"/>
            </w:tcBorders>
            <w:vAlign w:val="bottom"/>
          </w:tcPr>
          <w:p w14:paraId="1E179C29" w14:textId="3C524E19" w:rsidR="00D83E33" w:rsidRPr="00EA10CF" w:rsidRDefault="00541EBC">
            <w:pPr>
              <w:widowControl w:val="0"/>
              <w:pBdr>
                <w:top w:val="nil"/>
                <w:left w:val="nil"/>
                <w:bottom w:val="nil"/>
                <w:right w:val="nil"/>
                <w:between w:val="nil"/>
              </w:pBdr>
              <w:jc w:val="right"/>
              <w:rPr>
                <w:b/>
                <w:color w:val="000000"/>
              </w:rPr>
            </w:pPr>
            <w:r>
              <w:rPr>
                <w:b/>
                <w:color w:val="000000"/>
              </w:rPr>
              <w:t>2023</w:t>
            </w:r>
          </w:p>
        </w:tc>
      </w:tr>
      <w:tr w:rsidR="00D83E33" w:rsidRPr="00EA10CF" w14:paraId="772AACE2" w14:textId="77777777" w:rsidTr="001B330E">
        <w:trPr>
          <w:trHeight w:val="23"/>
        </w:trPr>
        <w:tc>
          <w:tcPr>
            <w:tcW w:w="3032" w:type="pct"/>
            <w:vAlign w:val="bottom"/>
          </w:tcPr>
          <w:p w14:paraId="33175B63" w14:textId="77777777" w:rsidR="00D83E33" w:rsidRPr="00EA10CF" w:rsidRDefault="00BC4072" w:rsidP="001B330E">
            <w:pPr>
              <w:widowControl w:val="0"/>
              <w:ind w:left="113" w:hanging="113"/>
              <w:rPr>
                <w:b/>
              </w:rPr>
            </w:pPr>
            <w:r w:rsidRPr="00EA10CF">
              <w:rPr>
                <w:b/>
              </w:rPr>
              <w:t> </w:t>
            </w:r>
          </w:p>
        </w:tc>
        <w:tc>
          <w:tcPr>
            <w:tcW w:w="379" w:type="pct"/>
            <w:vAlign w:val="bottom"/>
          </w:tcPr>
          <w:p w14:paraId="2219B5AA"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4F5B0649"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720CFBF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5200F95" w14:textId="77777777" w:rsidTr="001B330E">
        <w:trPr>
          <w:trHeight w:val="23"/>
        </w:trPr>
        <w:tc>
          <w:tcPr>
            <w:tcW w:w="3032" w:type="pct"/>
            <w:vAlign w:val="bottom"/>
          </w:tcPr>
          <w:p w14:paraId="3B37540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xml:space="preserve">Carrying amount at 1 January </w:t>
            </w:r>
          </w:p>
        </w:tc>
        <w:tc>
          <w:tcPr>
            <w:tcW w:w="379" w:type="pct"/>
            <w:vAlign w:val="bottom"/>
          </w:tcPr>
          <w:p w14:paraId="549EBEF2"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69102B2B"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2C5507FC"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3DB8AA0" w14:textId="77777777" w:rsidTr="001B330E">
        <w:trPr>
          <w:trHeight w:val="23"/>
        </w:trPr>
        <w:tc>
          <w:tcPr>
            <w:tcW w:w="3032" w:type="pct"/>
            <w:vAlign w:val="bottom"/>
          </w:tcPr>
          <w:p w14:paraId="4A02BA71" w14:textId="77777777" w:rsidR="00D83E33" w:rsidRPr="00EA10CF" w:rsidRDefault="00BC4072" w:rsidP="001B330E">
            <w:pPr>
              <w:widowControl w:val="0"/>
              <w:ind w:left="113" w:hanging="113"/>
              <w:rPr>
                <w:b/>
              </w:rPr>
            </w:pPr>
            <w:r w:rsidRPr="00EA10CF">
              <w:rPr>
                <w:b/>
              </w:rPr>
              <w:t> </w:t>
            </w:r>
          </w:p>
        </w:tc>
        <w:tc>
          <w:tcPr>
            <w:tcW w:w="379" w:type="pct"/>
            <w:vAlign w:val="bottom"/>
          </w:tcPr>
          <w:p w14:paraId="65B76FCB"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4948AA6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3BEA56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D8DBF68" w14:textId="77777777" w:rsidTr="001B330E">
        <w:trPr>
          <w:trHeight w:val="23"/>
        </w:trPr>
        <w:tc>
          <w:tcPr>
            <w:tcW w:w="3032" w:type="pct"/>
            <w:vAlign w:val="bottom"/>
          </w:tcPr>
          <w:p w14:paraId="5861F6C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Initial recognition of issued performance guarantees</w:t>
            </w:r>
          </w:p>
        </w:tc>
        <w:tc>
          <w:tcPr>
            <w:tcW w:w="379" w:type="pct"/>
            <w:vAlign w:val="bottom"/>
          </w:tcPr>
          <w:p w14:paraId="414574FB"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20A5939B"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0B1C73A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44CDF84" w14:textId="77777777" w:rsidTr="001B330E">
        <w:trPr>
          <w:trHeight w:val="23"/>
        </w:trPr>
        <w:tc>
          <w:tcPr>
            <w:tcW w:w="3032" w:type="pct"/>
            <w:vAlign w:val="bottom"/>
          </w:tcPr>
          <w:p w14:paraId="21F4EEA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Losses charged to profit or loss </w:t>
            </w:r>
          </w:p>
        </w:tc>
        <w:tc>
          <w:tcPr>
            <w:tcW w:w="379" w:type="pct"/>
            <w:vAlign w:val="bottom"/>
          </w:tcPr>
          <w:p w14:paraId="4C73FF11" w14:textId="77777777" w:rsidR="00D83E33" w:rsidRPr="00EA10CF" w:rsidRDefault="00BC4072">
            <w:pPr>
              <w:widowControl w:val="0"/>
              <w:pBdr>
                <w:top w:val="nil"/>
                <w:left w:val="nil"/>
                <w:bottom w:val="nil"/>
                <w:right w:val="nil"/>
                <w:between w:val="nil"/>
              </w:pBdr>
              <w:jc w:val="center"/>
              <w:rPr>
                <w:b/>
                <w:color w:val="000000"/>
              </w:rPr>
            </w:pPr>
            <w:r w:rsidRPr="00EA10CF">
              <w:rPr>
                <w:color w:val="000000"/>
              </w:rPr>
              <w:t>35</w:t>
            </w:r>
          </w:p>
        </w:tc>
        <w:tc>
          <w:tcPr>
            <w:tcW w:w="772" w:type="pct"/>
            <w:vAlign w:val="bottom"/>
          </w:tcPr>
          <w:p w14:paraId="190D01D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30BBC8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DE94E1D" w14:textId="77777777" w:rsidTr="001B330E">
        <w:trPr>
          <w:trHeight w:val="23"/>
        </w:trPr>
        <w:tc>
          <w:tcPr>
            <w:tcW w:w="3032" w:type="pct"/>
            <w:vAlign w:val="bottom"/>
          </w:tcPr>
          <w:p w14:paraId="64277536"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Additions through business combinations</w:t>
            </w:r>
          </w:p>
        </w:tc>
        <w:tc>
          <w:tcPr>
            <w:tcW w:w="379" w:type="pct"/>
            <w:vAlign w:val="bottom"/>
          </w:tcPr>
          <w:p w14:paraId="58C8838A" w14:textId="77777777" w:rsidR="00D83E33" w:rsidRPr="00EA10CF" w:rsidRDefault="00BC4072">
            <w:pPr>
              <w:widowControl w:val="0"/>
              <w:pBdr>
                <w:top w:val="nil"/>
                <w:left w:val="nil"/>
                <w:bottom w:val="nil"/>
                <w:right w:val="nil"/>
                <w:between w:val="nil"/>
              </w:pBdr>
              <w:jc w:val="center"/>
              <w:rPr>
                <w:b/>
                <w:color w:val="000000"/>
              </w:rPr>
            </w:pPr>
            <w:r w:rsidRPr="00EA10CF">
              <w:rPr>
                <w:color w:val="000000"/>
              </w:rPr>
              <w:t>52</w:t>
            </w:r>
          </w:p>
        </w:tc>
        <w:tc>
          <w:tcPr>
            <w:tcW w:w="772" w:type="pct"/>
            <w:vAlign w:val="bottom"/>
          </w:tcPr>
          <w:p w14:paraId="1F6B26B1"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6CB81AC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063721E" w14:textId="77777777" w:rsidTr="001B330E">
        <w:trPr>
          <w:trHeight w:val="23"/>
        </w:trPr>
        <w:tc>
          <w:tcPr>
            <w:tcW w:w="3032" w:type="pct"/>
            <w:vAlign w:val="bottom"/>
          </w:tcPr>
          <w:p w14:paraId="2A66A35A"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Utilisation of provision</w:t>
            </w:r>
          </w:p>
        </w:tc>
        <w:tc>
          <w:tcPr>
            <w:tcW w:w="379" w:type="pct"/>
            <w:vAlign w:val="bottom"/>
          </w:tcPr>
          <w:p w14:paraId="3E956E11"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05AC48C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D70185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CBC5C7F" w14:textId="77777777" w:rsidTr="001B330E">
        <w:trPr>
          <w:trHeight w:val="23"/>
        </w:trPr>
        <w:tc>
          <w:tcPr>
            <w:tcW w:w="3032" w:type="pct"/>
            <w:vAlign w:val="bottom"/>
          </w:tcPr>
          <w:p w14:paraId="521DA391"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Unwinding of the present value discount and effect of changes in discount rates</w:t>
            </w:r>
          </w:p>
        </w:tc>
        <w:tc>
          <w:tcPr>
            <w:tcW w:w="379" w:type="pct"/>
            <w:vAlign w:val="bottom"/>
          </w:tcPr>
          <w:p w14:paraId="5618D421"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118EE9C1"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2AA5CF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C3FC715" w14:textId="77777777" w:rsidTr="001B330E">
        <w:trPr>
          <w:trHeight w:val="23"/>
        </w:trPr>
        <w:tc>
          <w:tcPr>
            <w:tcW w:w="3032" w:type="pct"/>
            <w:vAlign w:val="bottom"/>
          </w:tcPr>
          <w:p w14:paraId="713550E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Unused amounts reversed</w:t>
            </w:r>
          </w:p>
        </w:tc>
        <w:tc>
          <w:tcPr>
            <w:tcW w:w="379" w:type="pct"/>
            <w:vAlign w:val="bottom"/>
          </w:tcPr>
          <w:p w14:paraId="256D5C73" w14:textId="77777777" w:rsidR="00D83E33" w:rsidRPr="00EA10CF" w:rsidRDefault="00BC4072">
            <w:pPr>
              <w:widowControl w:val="0"/>
              <w:pBdr>
                <w:top w:val="nil"/>
                <w:left w:val="nil"/>
                <w:bottom w:val="nil"/>
                <w:right w:val="nil"/>
                <w:between w:val="nil"/>
              </w:pBdr>
              <w:jc w:val="center"/>
              <w:rPr>
                <w:b/>
                <w:color w:val="000000"/>
              </w:rPr>
            </w:pPr>
            <w:r w:rsidRPr="00EA10CF">
              <w:rPr>
                <w:color w:val="000000"/>
              </w:rPr>
              <w:t>35</w:t>
            </w:r>
          </w:p>
        </w:tc>
        <w:tc>
          <w:tcPr>
            <w:tcW w:w="772" w:type="pct"/>
            <w:vAlign w:val="bottom"/>
          </w:tcPr>
          <w:p w14:paraId="6F8079F9"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ED4294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C3BAB35" w14:textId="77777777" w:rsidTr="001B330E">
        <w:trPr>
          <w:trHeight w:val="23"/>
        </w:trPr>
        <w:tc>
          <w:tcPr>
            <w:tcW w:w="3032" w:type="pct"/>
            <w:vAlign w:val="bottom"/>
          </w:tcPr>
          <w:p w14:paraId="55C53F01" w14:textId="77777777" w:rsidR="00D83E33" w:rsidRPr="00EA10CF" w:rsidRDefault="00BC4072" w:rsidP="001B330E">
            <w:pPr>
              <w:widowControl w:val="0"/>
              <w:pBdr>
                <w:top w:val="nil"/>
                <w:left w:val="nil"/>
                <w:bottom w:val="nil"/>
                <w:right w:val="nil"/>
                <w:between w:val="nil"/>
              </w:pBdr>
              <w:ind w:left="113" w:hanging="113"/>
              <w:rPr>
                <w:b/>
                <w:color w:val="0000FF"/>
              </w:rPr>
            </w:pPr>
            <w:r w:rsidRPr="00EA10CF">
              <w:rPr>
                <w:color w:val="0000FF"/>
              </w:rPr>
              <w:t>[Effect of translation to presentation currency]</w:t>
            </w:r>
          </w:p>
        </w:tc>
        <w:tc>
          <w:tcPr>
            <w:tcW w:w="379" w:type="pct"/>
            <w:vAlign w:val="bottom"/>
          </w:tcPr>
          <w:p w14:paraId="0B0EE30E"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552953D2"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2D8180E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A75BC89" w14:textId="77777777" w:rsidTr="001B330E">
        <w:trPr>
          <w:trHeight w:val="23"/>
        </w:trPr>
        <w:tc>
          <w:tcPr>
            <w:tcW w:w="3032" w:type="pct"/>
            <w:vAlign w:val="bottom"/>
          </w:tcPr>
          <w:p w14:paraId="7824096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Other</w:t>
            </w:r>
          </w:p>
        </w:tc>
        <w:tc>
          <w:tcPr>
            <w:tcW w:w="379" w:type="pct"/>
            <w:vAlign w:val="bottom"/>
          </w:tcPr>
          <w:p w14:paraId="1989F656"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5CBBF803" w14:textId="77777777" w:rsidR="00D83E33" w:rsidRPr="00EA10CF" w:rsidRDefault="00D83E33">
            <w:pPr>
              <w:widowControl w:val="0"/>
              <w:pBdr>
                <w:top w:val="nil"/>
                <w:left w:val="nil"/>
                <w:bottom w:val="nil"/>
                <w:right w:val="nil"/>
                <w:between w:val="nil"/>
              </w:pBdr>
              <w:jc w:val="right"/>
              <w:rPr>
                <w:color w:val="000000"/>
              </w:rPr>
            </w:pPr>
          </w:p>
        </w:tc>
        <w:tc>
          <w:tcPr>
            <w:tcW w:w="818" w:type="pct"/>
            <w:vAlign w:val="bottom"/>
          </w:tcPr>
          <w:p w14:paraId="322682D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091C11E" w14:textId="77777777" w:rsidTr="001B330E">
        <w:trPr>
          <w:trHeight w:val="23"/>
        </w:trPr>
        <w:tc>
          <w:tcPr>
            <w:tcW w:w="3032" w:type="pct"/>
            <w:tcBorders>
              <w:bottom w:val="single" w:sz="4" w:space="0" w:color="000000"/>
            </w:tcBorders>
            <w:vAlign w:val="bottom"/>
          </w:tcPr>
          <w:p w14:paraId="61CE8C1D" w14:textId="77777777" w:rsidR="00D83E33" w:rsidRPr="00EA10CF" w:rsidRDefault="00BC4072" w:rsidP="001B330E">
            <w:pPr>
              <w:widowControl w:val="0"/>
              <w:ind w:left="113" w:hanging="113"/>
              <w:rPr>
                <w:b/>
              </w:rPr>
            </w:pPr>
            <w:r w:rsidRPr="00EA10CF">
              <w:rPr>
                <w:b/>
              </w:rPr>
              <w:t> </w:t>
            </w:r>
          </w:p>
        </w:tc>
        <w:tc>
          <w:tcPr>
            <w:tcW w:w="379" w:type="pct"/>
            <w:tcBorders>
              <w:bottom w:val="single" w:sz="4" w:space="0" w:color="000000"/>
            </w:tcBorders>
            <w:vAlign w:val="bottom"/>
          </w:tcPr>
          <w:p w14:paraId="4BE22527" w14:textId="77777777" w:rsidR="00D83E33" w:rsidRPr="00EA10CF" w:rsidRDefault="00D83E33">
            <w:pPr>
              <w:widowControl w:val="0"/>
              <w:pBdr>
                <w:top w:val="nil"/>
                <w:left w:val="nil"/>
                <w:bottom w:val="nil"/>
                <w:right w:val="nil"/>
                <w:between w:val="nil"/>
              </w:pBdr>
              <w:jc w:val="center"/>
              <w:rPr>
                <w:color w:val="000000"/>
              </w:rPr>
            </w:pPr>
          </w:p>
        </w:tc>
        <w:tc>
          <w:tcPr>
            <w:tcW w:w="772" w:type="pct"/>
            <w:tcBorders>
              <w:bottom w:val="single" w:sz="4" w:space="0" w:color="000000"/>
            </w:tcBorders>
            <w:vAlign w:val="bottom"/>
          </w:tcPr>
          <w:p w14:paraId="3DB8233B" w14:textId="77777777" w:rsidR="00D83E33" w:rsidRPr="00EA10CF" w:rsidRDefault="00D83E33">
            <w:pPr>
              <w:widowControl w:val="0"/>
              <w:pBdr>
                <w:top w:val="nil"/>
                <w:left w:val="nil"/>
                <w:bottom w:val="nil"/>
                <w:right w:val="nil"/>
                <w:between w:val="nil"/>
              </w:pBdr>
              <w:jc w:val="right"/>
              <w:rPr>
                <w:color w:val="000000"/>
              </w:rPr>
            </w:pPr>
          </w:p>
        </w:tc>
        <w:tc>
          <w:tcPr>
            <w:tcW w:w="818" w:type="pct"/>
            <w:tcBorders>
              <w:bottom w:val="single" w:sz="4" w:space="0" w:color="000000"/>
            </w:tcBorders>
            <w:vAlign w:val="bottom"/>
          </w:tcPr>
          <w:p w14:paraId="5C2C750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107B156" w14:textId="77777777" w:rsidTr="001B330E">
        <w:trPr>
          <w:trHeight w:val="23"/>
        </w:trPr>
        <w:tc>
          <w:tcPr>
            <w:tcW w:w="3032" w:type="pct"/>
            <w:vAlign w:val="bottom"/>
          </w:tcPr>
          <w:p w14:paraId="62AA6B3F" w14:textId="77777777" w:rsidR="00D83E33" w:rsidRPr="00EA10CF" w:rsidRDefault="00BC4072" w:rsidP="001B330E">
            <w:pPr>
              <w:widowControl w:val="0"/>
              <w:ind w:left="113" w:hanging="113"/>
              <w:rPr>
                <w:b/>
              </w:rPr>
            </w:pPr>
            <w:r w:rsidRPr="00EA10CF">
              <w:rPr>
                <w:b/>
              </w:rPr>
              <w:t> </w:t>
            </w:r>
          </w:p>
        </w:tc>
        <w:tc>
          <w:tcPr>
            <w:tcW w:w="379" w:type="pct"/>
            <w:vAlign w:val="bottom"/>
          </w:tcPr>
          <w:p w14:paraId="3EE13770"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61189E93"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088853E8"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D85D7CE" w14:textId="77777777" w:rsidTr="001B330E">
        <w:trPr>
          <w:trHeight w:val="23"/>
        </w:trPr>
        <w:tc>
          <w:tcPr>
            <w:tcW w:w="3032" w:type="pct"/>
            <w:vAlign w:val="bottom"/>
          </w:tcPr>
          <w:p w14:paraId="4F2B2A13" w14:textId="69185EBF"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Carrying amount at 31</w:t>
            </w:r>
            <w:r w:rsidR="00181687">
              <w:rPr>
                <w:b/>
                <w:color w:val="000000"/>
              </w:rPr>
              <w:t> December </w:t>
            </w:r>
          </w:p>
        </w:tc>
        <w:tc>
          <w:tcPr>
            <w:tcW w:w="379" w:type="pct"/>
            <w:vAlign w:val="bottom"/>
          </w:tcPr>
          <w:p w14:paraId="45FA023A" w14:textId="77777777" w:rsidR="00D83E33" w:rsidRPr="00EA10CF" w:rsidRDefault="00D83E33">
            <w:pPr>
              <w:widowControl w:val="0"/>
              <w:pBdr>
                <w:top w:val="nil"/>
                <w:left w:val="nil"/>
                <w:bottom w:val="nil"/>
                <w:right w:val="nil"/>
                <w:between w:val="nil"/>
              </w:pBdr>
              <w:jc w:val="center"/>
              <w:rPr>
                <w:color w:val="000000"/>
              </w:rPr>
            </w:pPr>
          </w:p>
        </w:tc>
        <w:tc>
          <w:tcPr>
            <w:tcW w:w="772" w:type="pct"/>
            <w:vAlign w:val="bottom"/>
          </w:tcPr>
          <w:p w14:paraId="2334576B" w14:textId="77777777" w:rsidR="00D83E33" w:rsidRPr="00EA10CF" w:rsidRDefault="00D83E33">
            <w:pPr>
              <w:widowControl w:val="0"/>
              <w:pBdr>
                <w:top w:val="nil"/>
                <w:left w:val="nil"/>
                <w:bottom w:val="nil"/>
                <w:right w:val="nil"/>
                <w:between w:val="nil"/>
              </w:pBdr>
              <w:jc w:val="right"/>
              <w:rPr>
                <w:b/>
                <w:color w:val="000000"/>
              </w:rPr>
            </w:pPr>
          </w:p>
        </w:tc>
        <w:tc>
          <w:tcPr>
            <w:tcW w:w="818" w:type="pct"/>
            <w:vAlign w:val="bottom"/>
          </w:tcPr>
          <w:p w14:paraId="2A0A7060"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369E3BB" w14:textId="77777777" w:rsidTr="001B330E">
        <w:trPr>
          <w:trHeight w:val="23"/>
        </w:trPr>
        <w:tc>
          <w:tcPr>
            <w:tcW w:w="3032" w:type="pct"/>
            <w:tcBorders>
              <w:bottom w:val="single" w:sz="12" w:space="0" w:color="000000"/>
            </w:tcBorders>
            <w:vAlign w:val="bottom"/>
          </w:tcPr>
          <w:p w14:paraId="42B4FE3C" w14:textId="77777777" w:rsidR="00D83E33" w:rsidRPr="00EA10CF" w:rsidRDefault="00BC4072" w:rsidP="001B330E">
            <w:pPr>
              <w:widowControl w:val="0"/>
              <w:ind w:left="113" w:hanging="113"/>
              <w:rPr>
                <w:b/>
              </w:rPr>
            </w:pPr>
            <w:r w:rsidRPr="00EA10CF">
              <w:rPr>
                <w:b/>
              </w:rPr>
              <w:t> </w:t>
            </w:r>
          </w:p>
        </w:tc>
        <w:tc>
          <w:tcPr>
            <w:tcW w:w="379" w:type="pct"/>
            <w:tcBorders>
              <w:bottom w:val="single" w:sz="12" w:space="0" w:color="000000"/>
            </w:tcBorders>
            <w:vAlign w:val="bottom"/>
          </w:tcPr>
          <w:p w14:paraId="348A1C23" w14:textId="77777777" w:rsidR="00D83E33" w:rsidRPr="00EA10CF" w:rsidRDefault="00D83E33">
            <w:pPr>
              <w:widowControl w:val="0"/>
              <w:pBdr>
                <w:top w:val="nil"/>
                <w:left w:val="nil"/>
                <w:bottom w:val="nil"/>
                <w:right w:val="nil"/>
                <w:between w:val="nil"/>
              </w:pBdr>
              <w:jc w:val="center"/>
              <w:rPr>
                <w:color w:val="000000"/>
              </w:rPr>
            </w:pPr>
          </w:p>
        </w:tc>
        <w:tc>
          <w:tcPr>
            <w:tcW w:w="772" w:type="pct"/>
            <w:tcBorders>
              <w:bottom w:val="single" w:sz="12" w:space="0" w:color="000000"/>
            </w:tcBorders>
            <w:vAlign w:val="bottom"/>
          </w:tcPr>
          <w:p w14:paraId="31664A79" w14:textId="77777777" w:rsidR="00D83E33" w:rsidRPr="00EA10CF" w:rsidRDefault="00D83E33">
            <w:pPr>
              <w:widowControl w:val="0"/>
              <w:pBdr>
                <w:top w:val="nil"/>
                <w:left w:val="nil"/>
                <w:bottom w:val="nil"/>
                <w:right w:val="nil"/>
                <w:between w:val="nil"/>
              </w:pBdr>
              <w:jc w:val="right"/>
              <w:rPr>
                <w:b/>
                <w:color w:val="000000"/>
              </w:rPr>
            </w:pPr>
          </w:p>
        </w:tc>
        <w:tc>
          <w:tcPr>
            <w:tcW w:w="818" w:type="pct"/>
            <w:tcBorders>
              <w:bottom w:val="single" w:sz="12" w:space="0" w:color="000000"/>
            </w:tcBorders>
            <w:vAlign w:val="bottom"/>
          </w:tcPr>
          <w:p w14:paraId="3C43E30B" w14:textId="77777777" w:rsidR="00D83E33" w:rsidRPr="00EA10CF" w:rsidRDefault="00D83E33">
            <w:pPr>
              <w:widowControl w:val="0"/>
              <w:pBdr>
                <w:top w:val="nil"/>
                <w:left w:val="nil"/>
                <w:bottom w:val="nil"/>
                <w:right w:val="nil"/>
                <w:between w:val="nil"/>
              </w:pBdr>
              <w:jc w:val="right"/>
              <w:rPr>
                <w:b/>
                <w:color w:val="000000"/>
              </w:rPr>
            </w:pPr>
          </w:p>
        </w:tc>
      </w:tr>
    </w:tbl>
    <w:p w14:paraId="60524264" w14:textId="77777777"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Assets pledged and restricted. </w:t>
      </w:r>
      <w:r>
        <w:rPr>
          <w:color w:val="000000"/>
          <w:sz w:val="20"/>
          <w:szCs w:val="20"/>
        </w:rPr>
        <w:t>The Group had assets pledged as collateral with the following carrying value:</w:t>
      </w:r>
    </w:p>
    <w:tbl>
      <w:tblPr>
        <w:tblStyle w:val="afffffffffffffff"/>
        <w:tblW w:w="5000" w:type="pct"/>
        <w:tblLayout w:type="fixed"/>
        <w:tblLook w:val="0000" w:firstRow="0" w:lastRow="0" w:firstColumn="0" w:lastColumn="0" w:noHBand="0" w:noVBand="0"/>
      </w:tblPr>
      <w:tblGrid>
        <w:gridCol w:w="3628"/>
        <w:gridCol w:w="737"/>
        <w:gridCol w:w="1248"/>
        <w:gridCol w:w="1248"/>
        <w:gridCol w:w="1248"/>
        <w:gridCol w:w="1246"/>
      </w:tblGrid>
      <w:tr w:rsidR="00D83E33" w:rsidRPr="00EA10CF" w14:paraId="553C9BC2" w14:textId="77777777" w:rsidTr="001B330E">
        <w:trPr>
          <w:trHeight w:val="23"/>
        </w:trPr>
        <w:tc>
          <w:tcPr>
            <w:tcW w:w="1939" w:type="pct"/>
            <w:vAlign w:val="bottom"/>
          </w:tcPr>
          <w:p w14:paraId="4EC9DEC7" w14:textId="77777777" w:rsidR="00D83E33" w:rsidRPr="00EA10CF" w:rsidRDefault="00D83E33" w:rsidP="001B330E">
            <w:pPr>
              <w:widowControl w:val="0"/>
              <w:ind w:left="113" w:hanging="113"/>
              <w:rPr>
                <w:b/>
              </w:rPr>
            </w:pPr>
          </w:p>
        </w:tc>
        <w:tc>
          <w:tcPr>
            <w:tcW w:w="394" w:type="pct"/>
            <w:vMerge w:val="restart"/>
            <w:vAlign w:val="bottom"/>
          </w:tcPr>
          <w:p w14:paraId="31745A13"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Notes</w:t>
            </w:r>
          </w:p>
        </w:tc>
        <w:tc>
          <w:tcPr>
            <w:tcW w:w="1334" w:type="pct"/>
            <w:gridSpan w:val="2"/>
            <w:tcBorders>
              <w:bottom w:val="single" w:sz="4" w:space="0" w:color="000000"/>
            </w:tcBorders>
            <w:vAlign w:val="bottom"/>
          </w:tcPr>
          <w:p w14:paraId="57B06650" w14:textId="3C8AE315" w:rsidR="00D83E33" w:rsidRPr="00EA10CF" w:rsidRDefault="00BC4072">
            <w:pPr>
              <w:widowControl w:val="0"/>
              <w:pBdr>
                <w:top w:val="nil"/>
                <w:left w:val="nil"/>
                <w:bottom w:val="nil"/>
                <w:right w:val="nil"/>
                <w:between w:val="nil"/>
              </w:pBdr>
              <w:jc w:val="center"/>
              <w:rPr>
                <w:b/>
                <w:color w:val="000000"/>
              </w:rPr>
            </w:pPr>
            <w:r w:rsidRPr="00EA10CF">
              <w:rPr>
                <w:b/>
                <w:color w:val="000000"/>
              </w:rPr>
              <w:t>31</w:t>
            </w:r>
            <w:r w:rsidR="00181687">
              <w:rPr>
                <w:b/>
                <w:color w:val="000000"/>
              </w:rPr>
              <w:t> December </w:t>
            </w:r>
            <w:r w:rsidR="00541EBC">
              <w:rPr>
                <w:b/>
                <w:color w:val="000000"/>
              </w:rPr>
              <w:t>2024</w:t>
            </w:r>
          </w:p>
        </w:tc>
        <w:tc>
          <w:tcPr>
            <w:tcW w:w="1333" w:type="pct"/>
            <w:gridSpan w:val="2"/>
            <w:tcBorders>
              <w:bottom w:val="single" w:sz="4" w:space="0" w:color="000000"/>
            </w:tcBorders>
            <w:vAlign w:val="bottom"/>
          </w:tcPr>
          <w:p w14:paraId="2551FBFB" w14:textId="373679D7" w:rsidR="00D83E33" w:rsidRPr="00EA10CF" w:rsidRDefault="00BC4072">
            <w:pPr>
              <w:widowControl w:val="0"/>
              <w:pBdr>
                <w:top w:val="nil"/>
                <w:left w:val="nil"/>
                <w:bottom w:val="nil"/>
                <w:right w:val="nil"/>
                <w:between w:val="nil"/>
              </w:pBdr>
              <w:jc w:val="center"/>
              <w:rPr>
                <w:b/>
                <w:color w:val="000000"/>
              </w:rPr>
            </w:pPr>
            <w:r w:rsidRPr="00EA10CF">
              <w:rPr>
                <w:b/>
                <w:color w:val="000000"/>
              </w:rPr>
              <w:t>31</w:t>
            </w:r>
            <w:r w:rsidR="00181687">
              <w:rPr>
                <w:b/>
                <w:color w:val="000000"/>
              </w:rPr>
              <w:t> December </w:t>
            </w:r>
            <w:r w:rsidR="00541EBC">
              <w:rPr>
                <w:b/>
                <w:color w:val="000000"/>
              </w:rPr>
              <w:t>2023</w:t>
            </w:r>
          </w:p>
        </w:tc>
      </w:tr>
      <w:tr w:rsidR="00D83E33" w:rsidRPr="00EA10CF" w14:paraId="1B3317F2" w14:textId="77777777" w:rsidTr="001B330E">
        <w:trPr>
          <w:trHeight w:val="23"/>
        </w:trPr>
        <w:tc>
          <w:tcPr>
            <w:tcW w:w="1939" w:type="pct"/>
            <w:tcBorders>
              <w:bottom w:val="single" w:sz="4" w:space="0" w:color="000000"/>
            </w:tcBorders>
            <w:vAlign w:val="bottom"/>
          </w:tcPr>
          <w:p w14:paraId="11303793" w14:textId="7AE966C4"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94" w:type="pct"/>
            <w:vMerge/>
            <w:vAlign w:val="bottom"/>
          </w:tcPr>
          <w:p w14:paraId="01D0AA91" w14:textId="77777777" w:rsidR="00D83E33" w:rsidRPr="00EA10CF" w:rsidRDefault="00D83E33" w:rsidP="001B330E">
            <w:pPr>
              <w:widowControl w:val="0"/>
              <w:pBdr>
                <w:top w:val="nil"/>
                <w:left w:val="nil"/>
                <w:bottom w:val="nil"/>
                <w:right w:val="nil"/>
                <w:between w:val="nil"/>
              </w:pBdr>
              <w:rPr>
                <w:b/>
                <w:i/>
                <w:color w:val="000000"/>
              </w:rPr>
            </w:pPr>
          </w:p>
        </w:tc>
        <w:tc>
          <w:tcPr>
            <w:tcW w:w="667" w:type="pct"/>
            <w:tcBorders>
              <w:top w:val="single" w:sz="4" w:space="0" w:color="000000"/>
              <w:bottom w:val="single" w:sz="4" w:space="0" w:color="000000"/>
            </w:tcBorders>
          </w:tcPr>
          <w:p w14:paraId="3D2C3DF0"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Asset pledged</w:t>
            </w:r>
          </w:p>
        </w:tc>
        <w:tc>
          <w:tcPr>
            <w:tcW w:w="667" w:type="pct"/>
            <w:tcBorders>
              <w:top w:val="single" w:sz="4" w:space="0" w:color="000000"/>
              <w:bottom w:val="single" w:sz="4" w:space="0" w:color="000000"/>
            </w:tcBorders>
          </w:tcPr>
          <w:p w14:paraId="6551020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Related liability</w:t>
            </w:r>
          </w:p>
        </w:tc>
        <w:tc>
          <w:tcPr>
            <w:tcW w:w="667" w:type="pct"/>
            <w:tcBorders>
              <w:top w:val="single" w:sz="4" w:space="0" w:color="000000"/>
              <w:bottom w:val="single" w:sz="4" w:space="0" w:color="000000"/>
            </w:tcBorders>
          </w:tcPr>
          <w:p w14:paraId="6FC85961"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Asset pledged</w:t>
            </w:r>
          </w:p>
        </w:tc>
        <w:tc>
          <w:tcPr>
            <w:tcW w:w="666" w:type="pct"/>
            <w:tcBorders>
              <w:top w:val="single" w:sz="4" w:space="0" w:color="000000"/>
              <w:bottom w:val="single" w:sz="4" w:space="0" w:color="000000"/>
            </w:tcBorders>
          </w:tcPr>
          <w:p w14:paraId="7419C1F7"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Related liability</w:t>
            </w:r>
          </w:p>
        </w:tc>
      </w:tr>
      <w:tr w:rsidR="00D83E33" w:rsidRPr="00EA10CF" w14:paraId="69D3A398" w14:textId="77777777" w:rsidTr="001B330E">
        <w:trPr>
          <w:trHeight w:val="23"/>
        </w:trPr>
        <w:tc>
          <w:tcPr>
            <w:tcW w:w="1939" w:type="pct"/>
            <w:tcBorders>
              <w:top w:val="single" w:sz="4" w:space="0" w:color="000000"/>
            </w:tcBorders>
            <w:vAlign w:val="bottom"/>
          </w:tcPr>
          <w:p w14:paraId="122A5218" w14:textId="77777777" w:rsidR="00D83E33" w:rsidRPr="00EA10CF" w:rsidRDefault="00BC4072" w:rsidP="001B330E">
            <w:pPr>
              <w:widowControl w:val="0"/>
              <w:ind w:left="113" w:hanging="113"/>
              <w:rPr>
                <w:b/>
              </w:rPr>
            </w:pPr>
            <w:r w:rsidRPr="00EA10CF">
              <w:rPr>
                <w:b/>
              </w:rPr>
              <w:t> </w:t>
            </w:r>
          </w:p>
        </w:tc>
        <w:tc>
          <w:tcPr>
            <w:tcW w:w="394" w:type="pct"/>
            <w:tcBorders>
              <w:top w:val="single" w:sz="4" w:space="0" w:color="000000"/>
            </w:tcBorders>
            <w:vAlign w:val="bottom"/>
          </w:tcPr>
          <w:p w14:paraId="7C9C1884" w14:textId="77777777" w:rsidR="00D83E33" w:rsidRPr="00EA10CF" w:rsidRDefault="00D83E33">
            <w:pPr>
              <w:widowControl w:val="0"/>
              <w:jc w:val="center"/>
              <w:rPr>
                <w:b/>
              </w:rPr>
            </w:pPr>
          </w:p>
        </w:tc>
        <w:tc>
          <w:tcPr>
            <w:tcW w:w="667" w:type="pct"/>
            <w:tcBorders>
              <w:top w:val="single" w:sz="4" w:space="0" w:color="000000"/>
            </w:tcBorders>
            <w:vAlign w:val="bottom"/>
          </w:tcPr>
          <w:p w14:paraId="0B6569D5" w14:textId="77777777" w:rsidR="00D83E33" w:rsidRPr="00EA10CF" w:rsidRDefault="00D83E33">
            <w:pPr>
              <w:widowControl w:val="0"/>
              <w:pBdr>
                <w:top w:val="nil"/>
                <w:left w:val="nil"/>
                <w:bottom w:val="nil"/>
                <w:right w:val="nil"/>
                <w:between w:val="nil"/>
              </w:pBdr>
              <w:jc w:val="right"/>
              <w:rPr>
                <w:color w:val="000000"/>
              </w:rPr>
            </w:pPr>
          </w:p>
        </w:tc>
        <w:tc>
          <w:tcPr>
            <w:tcW w:w="667" w:type="pct"/>
            <w:tcBorders>
              <w:top w:val="single" w:sz="4" w:space="0" w:color="000000"/>
            </w:tcBorders>
            <w:vAlign w:val="bottom"/>
          </w:tcPr>
          <w:p w14:paraId="4C99B6D1" w14:textId="77777777" w:rsidR="00D83E33" w:rsidRPr="00EA10CF" w:rsidRDefault="00D83E33">
            <w:pPr>
              <w:widowControl w:val="0"/>
              <w:pBdr>
                <w:top w:val="nil"/>
                <w:left w:val="nil"/>
                <w:bottom w:val="nil"/>
                <w:right w:val="nil"/>
                <w:between w:val="nil"/>
              </w:pBdr>
              <w:jc w:val="right"/>
              <w:rPr>
                <w:color w:val="000000"/>
              </w:rPr>
            </w:pPr>
          </w:p>
        </w:tc>
        <w:tc>
          <w:tcPr>
            <w:tcW w:w="667" w:type="pct"/>
            <w:tcBorders>
              <w:top w:val="single" w:sz="4" w:space="0" w:color="000000"/>
            </w:tcBorders>
            <w:vAlign w:val="bottom"/>
          </w:tcPr>
          <w:p w14:paraId="400750BC" w14:textId="77777777" w:rsidR="00D83E33" w:rsidRPr="00EA10CF" w:rsidRDefault="00D83E33">
            <w:pPr>
              <w:widowControl w:val="0"/>
              <w:pBdr>
                <w:top w:val="nil"/>
                <w:left w:val="nil"/>
                <w:bottom w:val="nil"/>
                <w:right w:val="nil"/>
                <w:between w:val="nil"/>
              </w:pBdr>
              <w:jc w:val="right"/>
              <w:rPr>
                <w:color w:val="000000"/>
              </w:rPr>
            </w:pPr>
          </w:p>
        </w:tc>
        <w:tc>
          <w:tcPr>
            <w:tcW w:w="666" w:type="pct"/>
            <w:tcBorders>
              <w:top w:val="single" w:sz="4" w:space="0" w:color="000000"/>
            </w:tcBorders>
            <w:vAlign w:val="bottom"/>
          </w:tcPr>
          <w:p w14:paraId="73B109D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22A30A3" w14:textId="77777777" w:rsidTr="001B330E">
        <w:trPr>
          <w:trHeight w:val="23"/>
        </w:trPr>
        <w:tc>
          <w:tcPr>
            <w:tcW w:w="1939" w:type="pct"/>
            <w:vAlign w:val="bottom"/>
          </w:tcPr>
          <w:p w14:paraId="7737EF6F" w14:textId="7C4B83EC"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Investments in debt securities at</w:t>
            </w:r>
            <w:r w:rsidR="00181687">
              <w:rPr>
                <w:color w:val="000000"/>
              </w:rPr>
              <w:t xml:space="preserve"> </w:t>
            </w:r>
            <w:r w:rsidRPr="00EA10CF">
              <w:rPr>
                <w:color w:val="000000"/>
              </w:rPr>
              <w:t>AC</w:t>
            </w:r>
          </w:p>
        </w:tc>
        <w:tc>
          <w:tcPr>
            <w:tcW w:w="394" w:type="pct"/>
            <w:vAlign w:val="bottom"/>
          </w:tcPr>
          <w:p w14:paraId="37E960C6" w14:textId="77777777" w:rsidR="00D83E33" w:rsidRPr="00EA10CF" w:rsidRDefault="00BC4072">
            <w:pPr>
              <w:widowControl w:val="0"/>
              <w:jc w:val="center"/>
            </w:pPr>
            <w:r w:rsidRPr="00EA10CF">
              <w:t xml:space="preserve">9, </w:t>
            </w:r>
            <w:hyperlink w:anchor="_heading=h.2p2csry">
              <w:r w:rsidRPr="00EA10CF">
                <w:rPr>
                  <w:color w:val="000000"/>
                </w:rPr>
                <w:t>23</w:t>
              </w:r>
            </w:hyperlink>
          </w:p>
        </w:tc>
        <w:tc>
          <w:tcPr>
            <w:tcW w:w="667" w:type="pct"/>
            <w:vAlign w:val="bottom"/>
          </w:tcPr>
          <w:p w14:paraId="0F3251B1"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1874AAE6"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4ECD0ADA" w14:textId="77777777" w:rsidR="00D83E33" w:rsidRPr="00EA10CF" w:rsidRDefault="00D83E33">
            <w:pPr>
              <w:widowControl w:val="0"/>
              <w:pBdr>
                <w:top w:val="nil"/>
                <w:left w:val="nil"/>
                <w:bottom w:val="nil"/>
                <w:right w:val="nil"/>
                <w:between w:val="nil"/>
              </w:pBdr>
              <w:jc w:val="right"/>
              <w:rPr>
                <w:color w:val="000000"/>
              </w:rPr>
            </w:pPr>
          </w:p>
        </w:tc>
        <w:tc>
          <w:tcPr>
            <w:tcW w:w="666" w:type="pct"/>
            <w:vAlign w:val="bottom"/>
          </w:tcPr>
          <w:p w14:paraId="2B262A1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48078C1" w14:textId="77777777" w:rsidTr="001B330E">
        <w:trPr>
          <w:trHeight w:val="23"/>
        </w:trPr>
        <w:tc>
          <w:tcPr>
            <w:tcW w:w="1939" w:type="pct"/>
            <w:vAlign w:val="bottom"/>
          </w:tcPr>
          <w:p w14:paraId="5798CD75" w14:textId="7810E220"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Investments in debt securities at</w:t>
            </w:r>
            <w:r w:rsidR="00181687">
              <w:rPr>
                <w:color w:val="000000"/>
              </w:rPr>
              <w:t xml:space="preserve"> </w:t>
            </w:r>
            <w:r w:rsidRPr="00EA10CF">
              <w:rPr>
                <w:color w:val="000000"/>
              </w:rPr>
              <w:t>FVOCI</w:t>
            </w:r>
          </w:p>
        </w:tc>
        <w:tc>
          <w:tcPr>
            <w:tcW w:w="394" w:type="pct"/>
            <w:vAlign w:val="bottom"/>
          </w:tcPr>
          <w:p w14:paraId="1C0EDF3E" w14:textId="77777777" w:rsidR="00D83E33" w:rsidRPr="00EA10CF" w:rsidRDefault="00BC4072">
            <w:pPr>
              <w:widowControl w:val="0"/>
            </w:pPr>
            <w:r w:rsidRPr="00EA10CF">
              <w:t xml:space="preserve">9, </w:t>
            </w:r>
            <w:hyperlink w:anchor="_heading=h.2p2csry">
              <w:r w:rsidRPr="00EA10CF">
                <w:rPr>
                  <w:color w:val="000000"/>
                </w:rPr>
                <w:t>23</w:t>
              </w:r>
            </w:hyperlink>
          </w:p>
        </w:tc>
        <w:tc>
          <w:tcPr>
            <w:tcW w:w="667" w:type="pct"/>
            <w:vAlign w:val="bottom"/>
          </w:tcPr>
          <w:p w14:paraId="019709EB"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1A643F49"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12DC8EDE" w14:textId="77777777" w:rsidR="00D83E33" w:rsidRPr="00EA10CF" w:rsidRDefault="00D83E33">
            <w:pPr>
              <w:widowControl w:val="0"/>
              <w:pBdr>
                <w:top w:val="nil"/>
                <w:left w:val="nil"/>
                <w:bottom w:val="nil"/>
                <w:right w:val="nil"/>
                <w:between w:val="nil"/>
              </w:pBdr>
              <w:jc w:val="right"/>
              <w:rPr>
                <w:color w:val="000000"/>
              </w:rPr>
            </w:pPr>
          </w:p>
        </w:tc>
        <w:tc>
          <w:tcPr>
            <w:tcW w:w="666" w:type="pct"/>
            <w:vAlign w:val="bottom"/>
          </w:tcPr>
          <w:p w14:paraId="3261943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DC92A9F" w14:textId="77777777" w:rsidTr="001B330E">
        <w:trPr>
          <w:trHeight w:val="23"/>
        </w:trPr>
        <w:tc>
          <w:tcPr>
            <w:tcW w:w="1939" w:type="pct"/>
            <w:vAlign w:val="bottom"/>
          </w:tcPr>
          <w:p w14:paraId="2FA57A1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Gross receivables under currency swaps</w:t>
            </w:r>
          </w:p>
        </w:tc>
        <w:tc>
          <w:tcPr>
            <w:tcW w:w="394" w:type="pct"/>
            <w:vAlign w:val="bottom"/>
          </w:tcPr>
          <w:p w14:paraId="7A498AC9" w14:textId="77777777" w:rsidR="00D83E33" w:rsidRPr="00EA10CF" w:rsidRDefault="00BC4072">
            <w:pPr>
              <w:widowControl w:val="0"/>
            </w:pPr>
            <w:r w:rsidRPr="00EA10CF">
              <w:t xml:space="preserve">15, </w:t>
            </w:r>
            <w:hyperlink w:anchor="_heading=h.2p2csry">
              <w:r w:rsidRPr="00EA10CF">
                <w:rPr>
                  <w:color w:val="000000"/>
                </w:rPr>
                <w:t>23</w:t>
              </w:r>
            </w:hyperlink>
          </w:p>
        </w:tc>
        <w:tc>
          <w:tcPr>
            <w:tcW w:w="667" w:type="pct"/>
            <w:vAlign w:val="bottom"/>
          </w:tcPr>
          <w:p w14:paraId="725E3754"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237D8A87"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22381E02" w14:textId="77777777" w:rsidR="00D83E33" w:rsidRPr="00EA10CF" w:rsidRDefault="00D83E33">
            <w:pPr>
              <w:widowControl w:val="0"/>
              <w:pBdr>
                <w:top w:val="nil"/>
                <w:left w:val="nil"/>
                <w:bottom w:val="nil"/>
                <w:right w:val="nil"/>
                <w:between w:val="nil"/>
              </w:pBdr>
              <w:jc w:val="right"/>
              <w:rPr>
                <w:color w:val="000000"/>
              </w:rPr>
            </w:pPr>
          </w:p>
        </w:tc>
        <w:tc>
          <w:tcPr>
            <w:tcW w:w="666" w:type="pct"/>
            <w:vAlign w:val="bottom"/>
          </w:tcPr>
          <w:p w14:paraId="5DE3F8B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0F0FA90" w14:textId="77777777" w:rsidTr="001B330E">
        <w:trPr>
          <w:trHeight w:val="23"/>
        </w:trPr>
        <w:tc>
          <w:tcPr>
            <w:tcW w:w="1939" w:type="pct"/>
            <w:vAlign w:val="bottom"/>
          </w:tcPr>
          <w:p w14:paraId="7974DAB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Investments in equity securities at FVTPL</w:t>
            </w:r>
          </w:p>
        </w:tc>
        <w:tc>
          <w:tcPr>
            <w:tcW w:w="394" w:type="pct"/>
            <w:vAlign w:val="bottom"/>
          </w:tcPr>
          <w:p w14:paraId="12F6BCB4" w14:textId="77777777" w:rsidR="00D83E33" w:rsidRPr="00EA10CF" w:rsidRDefault="00BC4072">
            <w:pPr>
              <w:widowControl w:val="0"/>
              <w:jc w:val="center"/>
            </w:pPr>
            <w:r w:rsidRPr="00EA10CF">
              <w:t xml:space="preserve">10, </w:t>
            </w:r>
            <w:hyperlink w:anchor="_heading=h.2p2csry">
              <w:r w:rsidRPr="00EA10CF">
                <w:rPr>
                  <w:color w:val="000000"/>
                </w:rPr>
                <w:t>23</w:t>
              </w:r>
            </w:hyperlink>
          </w:p>
        </w:tc>
        <w:tc>
          <w:tcPr>
            <w:tcW w:w="667" w:type="pct"/>
            <w:vAlign w:val="bottom"/>
          </w:tcPr>
          <w:p w14:paraId="1EB1F75F"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2C6BB0E9"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3A6E935E" w14:textId="77777777" w:rsidR="00D83E33" w:rsidRPr="00EA10CF" w:rsidRDefault="00D83E33">
            <w:pPr>
              <w:widowControl w:val="0"/>
              <w:pBdr>
                <w:top w:val="nil"/>
                <w:left w:val="nil"/>
                <w:bottom w:val="nil"/>
                <w:right w:val="nil"/>
                <w:between w:val="nil"/>
              </w:pBdr>
              <w:jc w:val="right"/>
              <w:rPr>
                <w:color w:val="000000"/>
              </w:rPr>
            </w:pPr>
          </w:p>
        </w:tc>
        <w:tc>
          <w:tcPr>
            <w:tcW w:w="666" w:type="pct"/>
            <w:vAlign w:val="bottom"/>
          </w:tcPr>
          <w:p w14:paraId="3F1843E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22B0B17" w14:textId="77777777" w:rsidTr="001B330E">
        <w:trPr>
          <w:trHeight w:val="23"/>
        </w:trPr>
        <w:tc>
          <w:tcPr>
            <w:tcW w:w="1939" w:type="pct"/>
            <w:vAlign w:val="bottom"/>
          </w:tcPr>
          <w:p w14:paraId="57C9286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Investments in equity securities at FVOCI</w:t>
            </w:r>
          </w:p>
        </w:tc>
        <w:tc>
          <w:tcPr>
            <w:tcW w:w="394" w:type="pct"/>
            <w:vAlign w:val="bottom"/>
          </w:tcPr>
          <w:p w14:paraId="5B1FB2D6" w14:textId="77777777" w:rsidR="00D83E33" w:rsidRPr="00EA10CF" w:rsidRDefault="00BC4072">
            <w:pPr>
              <w:widowControl w:val="0"/>
              <w:jc w:val="center"/>
            </w:pPr>
            <w:r w:rsidRPr="00EA10CF">
              <w:t xml:space="preserve">10, </w:t>
            </w:r>
            <w:hyperlink w:anchor="_heading=h.2p2csry">
              <w:r w:rsidRPr="00EA10CF">
                <w:rPr>
                  <w:color w:val="000000"/>
                </w:rPr>
                <w:t>23</w:t>
              </w:r>
            </w:hyperlink>
          </w:p>
        </w:tc>
        <w:tc>
          <w:tcPr>
            <w:tcW w:w="667" w:type="pct"/>
            <w:vAlign w:val="bottom"/>
          </w:tcPr>
          <w:p w14:paraId="6A1C9727"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65DFA415"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4FA6AF91" w14:textId="77777777" w:rsidR="00D83E33" w:rsidRPr="00EA10CF" w:rsidRDefault="00D83E33">
            <w:pPr>
              <w:widowControl w:val="0"/>
              <w:pBdr>
                <w:top w:val="nil"/>
                <w:left w:val="nil"/>
                <w:bottom w:val="nil"/>
                <w:right w:val="nil"/>
                <w:between w:val="nil"/>
              </w:pBdr>
              <w:jc w:val="right"/>
              <w:rPr>
                <w:color w:val="000000"/>
              </w:rPr>
            </w:pPr>
          </w:p>
        </w:tc>
        <w:tc>
          <w:tcPr>
            <w:tcW w:w="666" w:type="pct"/>
            <w:vAlign w:val="bottom"/>
          </w:tcPr>
          <w:p w14:paraId="48AA23C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241C8D" w14:textId="77777777" w:rsidTr="001B330E">
        <w:trPr>
          <w:trHeight w:val="23"/>
        </w:trPr>
        <w:tc>
          <w:tcPr>
            <w:tcW w:w="1939" w:type="pct"/>
            <w:vAlign w:val="bottom"/>
          </w:tcPr>
          <w:p w14:paraId="085558F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Repurchase receivables</w:t>
            </w:r>
          </w:p>
        </w:tc>
        <w:tc>
          <w:tcPr>
            <w:tcW w:w="394" w:type="pct"/>
            <w:vAlign w:val="bottom"/>
          </w:tcPr>
          <w:p w14:paraId="4D43770A" w14:textId="77777777" w:rsidR="00D83E33" w:rsidRPr="00EA10CF" w:rsidRDefault="00BC4072">
            <w:pPr>
              <w:widowControl w:val="0"/>
              <w:jc w:val="center"/>
            </w:pPr>
            <w:r w:rsidRPr="00EA10CF">
              <w:t xml:space="preserve">12, </w:t>
            </w:r>
            <w:hyperlink w:anchor="_heading=h.2p2csry">
              <w:r w:rsidRPr="00EA10CF">
                <w:rPr>
                  <w:color w:val="000000"/>
                </w:rPr>
                <w:t>23</w:t>
              </w:r>
            </w:hyperlink>
          </w:p>
        </w:tc>
        <w:tc>
          <w:tcPr>
            <w:tcW w:w="667" w:type="pct"/>
            <w:vAlign w:val="bottom"/>
          </w:tcPr>
          <w:p w14:paraId="303A9D04"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53A668E3"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32129C6A" w14:textId="77777777" w:rsidR="00D83E33" w:rsidRPr="00EA10CF" w:rsidRDefault="00D83E33">
            <w:pPr>
              <w:widowControl w:val="0"/>
              <w:pBdr>
                <w:top w:val="nil"/>
                <w:left w:val="nil"/>
                <w:bottom w:val="nil"/>
                <w:right w:val="nil"/>
                <w:between w:val="nil"/>
              </w:pBdr>
              <w:jc w:val="right"/>
              <w:rPr>
                <w:color w:val="000000"/>
              </w:rPr>
            </w:pPr>
          </w:p>
        </w:tc>
        <w:tc>
          <w:tcPr>
            <w:tcW w:w="666" w:type="pct"/>
            <w:vAlign w:val="bottom"/>
          </w:tcPr>
          <w:p w14:paraId="0F07611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2C2D3E5" w14:textId="77777777" w:rsidTr="001B330E">
        <w:trPr>
          <w:trHeight w:val="23"/>
        </w:trPr>
        <w:tc>
          <w:tcPr>
            <w:tcW w:w="1939" w:type="pct"/>
            <w:vAlign w:val="bottom"/>
          </w:tcPr>
          <w:p w14:paraId="6968105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Investment properties</w:t>
            </w:r>
          </w:p>
        </w:tc>
        <w:tc>
          <w:tcPr>
            <w:tcW w:w="394" w:type="pct"/>
            <w:vAlign w:val="bottom"/>
          </w:tcPr>
          <w:p w14:paraId="584869AB" w14:textId="77777777" w:rsidR="00D83E33" w:rsidRPr="00EA10CF" w:rsidRDefault="00BC4072">
            <w:pPr>
              <w:widowControl w:val="0"/>
              <w:jc w:val="center"/>
            </w:pPr>
            <w:r w:rsidRPr="00EA10CF">
              <w:t>13</w:t>
            </w:r>
          </w:p>
        </w:tc>
        <w:tc>
          <w:tcPr>
            <w:tcW w:w="667" w:type="pct"/>
            <w:vAlign w:val="bottom"/>
          </w:tcPr>
          <w:p w14:paraId="6D0AB390"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4E979179"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27B4BA08" w14:textId="77777777" w:rsidR="00D83E33" w:rsidRPr="00EA10CF" w:rsidRDefault="00D83E33">
            <w:pPr>
              <w:widowControl w:val="0"/>
              <w:pBdr>
                <w:top w:val="nil"/>
                <w:left w:val="nil"/>
                <w:bottom w:val="nil"/>
                <w:right w:val="nil"/>
                <w:between w:val="nil"/>
              </w:pBdr>
              <w:jc w:val="right"/>
              <w:rPr>
                <w:color w:val="000000"/>
              </w:rPr>
            </w:pPr>
          </w:p>
        </w:tc>
        <w:tc>
          <w:tcPr>
            <w:tcW w:w="666" w:type="pct"/>
            <w:vAlign w:val="bottom"/>
          </w:tcPr>
          <w:p w14:paraId="5B518E0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2CB95A1" w14:textId="77777777" w:rsidTr="001B330E">
        <w:trPr>
          <w:trHeight w:val="23"/>
        </w:trPr>
        <w:tc>
          <w:tcPr>
            <w:tcW w:w="1939" w:type="pct"/>
            <w:vAlign w:val="bottom"/>
          </w:tcPr>
          <w:p w14:paraId="6747F63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Premises and equipment</w:t>
            </w:r>
          </w:p>
        </w:tc>
        <w:tc>
          <w:tcPr>
            <w:tcW w:w="394" w:type="pct"/>
            <w:vAlign w:val="bottom"/>
          </w:tcPr>
          <w:p w14:paraId="4EBDB01D" w14:textId="77777777" w:rsidR="00D83E33" w:rsidRPr="00EA10CF" w:rsidRDefault="00000000">
            <w:pPr>
              <w:widowControl w:val="0"/>
              <w:jc w:val="center"/>
            </w:pPr>
            <w:hyperlink w:anchor="_heading=h.1pxezwc">
              <w:r w:rsidR="00BC4072" w:rsidRPr="00EA10CF">
                <w:rPr>
                  <w:color w:val="000000"/>
                </w:rPr>
                <w:t>18</w:t>
              </w:r>
            </w:hyperlink>
            <w:r w:rsidR="00BC4072" w:rsidRPr="00EA10CF">
              <w:t xml:space="preserve">, </w:t>
            </w:r>
            <w:hyperlink w:anchor="_heading=h.2p2csry">
              <w:r w:rsidR="00BC4072" w:rsidRPr="00EA10CF">
                <w:rPr>
                  <w:color w:val="000000"/>
                </w:rPr>
                <w:t>23</w:t>
              </w:r>
            </w:hyperlink>
          </w:p>
        </w:tc>
        <w:tc>
          <w:tcPr>
            <w:tcW w:w="667" w:type="pct"/>
            <w:vAlign w:val="bottom"/>
          </w:tcPr>
          <w:p w14:paraId="5E1A2658"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2C3DE7B2" w14:textId="77777777" w:rsidR="00D83E33" w:rsidRPr="00EA10CF" w:rsidRDefault="00D83E33">
            <w:pPr>
              <w:widowControl w:val="0"/>
              <w:pBdr>
                <w:top w:val="nil"/>
                <w:left w:val="nil"/>
                <w:bottom w:val="nil"/>
                <w:right w:val="nil"/>
                <w:between w:val="nil"/>
              </w:pBdr>
              <w:jc w:val="right"/>
              <w:rPr>
                <w:color w:val="000000"/>
              </w:rPr>
            </w:pPr>
          </w:p>
        </w:tc>
        <w:tc>
          <w:tcPr>
            <w:tcW w:w="667" w:type="pct"/>
            <w:vAlign w:val="bottom"/>
          </w:tcPr>
          <w:p w14:paraId="5DEE5674" w14:textId="77777777" w:rsidR="00D83E33" w:rsidRPr="00EA10CF" w:rsidRDefault="00D83E33">
            <w:pPr>
              <w:widowControl w:val="0"/>
              <w:pBdr>
                <w:top w:val="nil"/>
                <w:left w:val="nil"/>
                <w:bottom w:val="nil"/>
                <w:right w:val="nil"/>
                <w:between w:val="nil"/>
              </w:pBdr>
              <w:jc w:val="right"/>
              <w:rPr>
                <w:color w:val="000000"/>
              </w:rPr>
            </w:pPr>
          </w:p>
        </w:tc>
        <w:tc>
          <w:tcPr>
            <w:tcW w:w="666" w:type="pct"/>
            <w:vAlign w:val="bottom"/>
          </w:tcPr>
          <w:p w14:paraId="1B77823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B94513E" w14:textId="77777777" w:rsidTr="001B330E">
        <w:trPr>
          <w:trHeight w:val="23"/>
        </w:trPr>
        <w:tc>
          <w:tcPr>
            <w:tcW w:w="1939" w:type="pct"/>
            <w:tcBorders>
              <w:bottom w:val="single" w:sz="4" w:space="0" w:color="000000"/>
            </w:tcBorders>
            <w:vAlign w:val="bottom"/>
          </w:tcPr>
          <w:p w14:paraId="673821EB" w14:textId="77777777" w:rsidR="00D83E33" w:rsidRPr="00EA10CF" w:rsidRDefault="00BC4072" w:rsidP="001B330E">
            <w:pPr>
              <w:widowControl w:val="0"/>
              <w:ind w:left="113" w:hanging="113"/>
            </w:pPr>
            <w:r w:rsidRPr="00EA10CF">
              <w:rPr>
                <w:b/>
              </w:rPr>
              <w:t> </w:t>
            </w:r>
          </w:p>
        </w:tc>
        <w:tc>
          <w:tcPr>
            <w:tcW w:w="394" w:type="pct"/>
            <w:tcBorders>
              <w:bottom w:val="single" w:sz="4" w:space="0" w:color="000000"/>
            </w:tcBorders>
            <w:vAlign w:val="bottom"/>
          </w:tcPr>
          <w:p w14:paraId="6F7A2BCE" w14:textId="77777777" w:rsidR="00D83E33" w:rsidRPr="00EA10CF" w:rsidRDefault="00D83E33">
            <w:pPr>
              <w:widowControl w:val="0"/>
              <w:jc w:val="center"/>
            </w:pPr>
          </w:p>
        </w:tc>
        <w:tc>
          <w:tcPr>
            <w:tcW w:w="667" w:type="pct"/>
            <w:tcBorders>
              <w:bottom w:val="single" w:sz="4" w:space="0" w:color="000000"/>
            </w:tcBorders>
            <w:vAlign w:val="bottom"/>
          </w:tcPr>
          <w:p w14:paraId="3CEF6C35" w14:textId="77777777" w:rsidR="00D83E33" w:rsidRPr="00EA10CF" w:rsidRDefault="00D83E33">
            <w:pPr>
              <w:widowControl w:val="0"/>
              <w:pBdr>
                <w:top w:val="nil"/>
                <w:left w:val="nil"/>
                <w:bottom w:val="nil"/>
                <w:right w:val="nil"/>
                <w:between w:val="nil"/>
              </w:pBdr>
              <w:jc w:val="right"/>
              <w:rPr>
                <w:color w:val="000000"/>
              </w:rPr>
            </w:pPr>
          </w:p>
        </w:tc>
        <w:tc>
          <w:tcPr>
            <w:tcW w:w="667" w:type="pct"/>
            <w:tcBorders>
              <w:bottom w:val="single" w:sz="4" w:space="0" w:color="000000"/>
            </w:tcBorders>
            <w:vAlign w:val="bottom"/>
          </w:tcPr>
          <w:p w14:paraId="4816F629" w14:textId="77777777" w:rsidR="00D83E33" w:rsidRPr="00EA10CF" w:rsidRDefault="00D83E33">
            <w:pPr>
              <w:widowControl w:val="0"/>
              <w:pBdr>
                <w:top w:val="nil"/>
                <w:left w:val="nil"/>
                <w:bottom w:val="nil"/>
                <w:right w:val="nil"/>
                <w:between w:val="nil"/>
              </w:pBdr>
              <w:jc w:val="right"/>
              <w:rPr>
                <w:color w:val="000000"/>
              </w:rPr>
            </w:pPr>
          </w:p>
        </w:tc>
        <w:tc>
          <w:tcPr>
            <w:tcW w:w="667" w:type="pct"/>
            <w:tcBorders>
              <w:bottom w:val="single" w:sz="4" w:space="0" w:color="000000"/>
            </w:tcBorders>
            <w:vAlign w:val="bottom"/>
          </w:tcPr>
          <w:p w14:paraId="33EE529F" w14:textId="77777777" w:rsidR="00D83E33" w:rsidRPr="00EA10CF" w:rsidRDefault="00D83E33">
            <w:pPr>
              <w:widowControl w:val="0"/>
              <w:pBdr>
                <w:top w:val="nil"/>
                <w:left w:val="nil"/>
                <w:bottom w:val="nil"/>
                <w:right w:val="nil"/>
                <w:between w:val="nil"/>
              </w:pBdr>
              <w:jc w:val="right"/>
              <w:rPr>
                <w:color w:val="000000"/>
              </w:rPr>
            </w:pPr>
          </w:p>
        </w:tc>
        <w:tc>
          <w:tcPr>
            <w:tcW w:w="666" w:type="pct"/>
            <w:tcBorders>
              <w:bottom w:val="single" w:sz="4" w:space="0" w:color="000000"/>
            </w:tcBorders>
            <w:vAlign w:val="bottom"/>
          </w:tcPr>
          <w:p w14:paraId="58E45B6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CBF482B" w14:textId="77777777" w:rsidTr="001B330E">
        <w:trPr>
          <w:trHeight w:val="23"/>
        </w:trPr>
        <w:tc>
          <w:tcPr>
            <w:tcW w:w="1939" w:type="pct"/>
            <w:tcBorders>
              <w:top w:val="single" w:sz="4" w:space="0" w:color="000000"/>
            </w:tcBorders>
            <w:vAlign w:val="bottom"/>
          </w:tcPr>
          <w:p w14:paraId="13FD9FE7" w14:textId="77777777" w:rsidR="00D83E33" w:rsidRPr="00EA10CF" w:rsidRDefault="00BC4072" w:rsidP="001B330E">
            <w:pPr>
              <w:widowControl w:val="0"/>
              <w:ind w:left="113" w:hanging="113"/>
            </w:pPr>
            <w:r w:rsidRPr="00EA10CF">
              <w:rPr>
                <w:b/>
              </w:rPr>
              <w:t> </w:t>
            </w:r>
          </w:p>
        </w:tc>
        <w:tc>
          <w:tcPr>
            <w:tcW w:w="394" w:type="pct"/>
            <w:tcBorders>
              <w:top w:val="single" w:sz="4" w:space="0" w:color="000000"/>
            </w:tcBorders>
            <w:vAlign w:val="bottom"/>
          </w:tcPr>
          <w:p w14:paraId="03EC155F" w14:textId="77777777" w:rsidR="00D83E33" w:rsidRPr="00EA10CF" w:rsidRDefault="00D83E33">
            <w:pPr>
              <w:widowControl w:val="0"/>
              <w:jc w:val="center"/>
              <w:rPr>
                <w:b/>
              </w:rPr>
            </w:pPr>
          </w:p>
        </w:tc>
        <w:tc>
          <w:tcPr>
            <w:tcW w:w="667" w:type="pct"/>
            <w:tcBorders>
              <w:top w:val="single" w:sz="4" w:space="0" w:color="000000"/>
            </w:tcBorders>
            <w:vAlign w:val="bottom"/>
          </w:tcPr>
          <w:p w14:paraId="12FC96AF" w14:textId="77777777" w:rsidR="00D83E33" w:rsidRPr="00EA10CF" w:rsidRDefault="00D83E33">
            <w:pPr>
              <w:widowControl w:val="0"/>
              <w:pBdr>
                <w:top w:val="nil"/>
                <w:left w:val="nil"/>
                <w:bottom w:val="nil"/>
                <w:right w:val="nil"/>
                <w:between w:val="nil"/>
              </w:pBdr>
              <w:jc w:val="right"/>
              <w:rPr>
                <w:b/>
                <w:color w:val="000000"/>
              </w:rPr>
            </w:pPr>
          </w:p>
        </w:tc>
        <w:tc>
          <w:tcPr>
            <w:tcW w:w="667" w:type="pct"/>
            <w:tcBorders>
              <w:top w:val="single" w:sz="4" w:space="0" w:color="000000"/>
            </w:tcBorders>
            <w:vAlign w:val="bottom"/>
          </w:tcPr>
          <w:p w14:paraId="7F2D81C0" w14:textId="77777777" w:rsidR="00D83E33" w:rsidRPr="00EA10CF" w:rsidRDefault="00D83E33">
            <w:pPr>
              <w:widowControl w:val="0"/>
              <w:pBdr>
                <w:top w:val="nil"/>
                <w:left w:val="nil"/>
                <w:bottom w:val="nil"/>
                <w:right w:val="nil"/>
                <w:between w:val="nil"/>
              </w:pBdr>
              <w:jc w:val="right"/>
              <w:rPr>
                <w:b/>
                <w:color w:val="000000"/>
              </w:rPr>
            </w:pPr>
          </w:p>
        </w:tc>
        <w:tc>
          <w:tcPr>
            <w:tcW w:w="667" w:type="pct"/>
            <w:tcBorders>
              <w:top w:val="single" w:sz="4" w:space="0" w:color="000000"/>
            </w:tcBorders>
            <w:vAlign w:val="bottom"/>
          </w:tcPr>
          <w:p w14:paraId="0FD79C36" w14:textId="77777777" w:rsidR="00D83E33" w:rsidRPr="00EA10CF" w:rsidRDefault="00D83E33">
            <w:pPr>
              <w:widowControl w:val="0"/>
              <w:pBdr>
                <w:top w:val="nil"/>
                <w:left w:val="nil"/>
                <w:bottom w:val="nil"/>
                <w:right w:val="nil"/>
                <w:between w:val="nil"/>
              </w:pBdr>
              <w:jc w:val="right"/>
              <w:rPr>
                <w:b/>
                <w:color w:val="000000"/>
              </w:rPr>
            </w:pPr>
          </w:p>
        </w:tc>
        <w:tc>
          <w:tcPr>
            <w:tcW w:w="666" w:type="pct"/>
            <w:tcBorders>
              <w:top w:val="single" w:sz="4" w:space="0" w:color="000000"/>
            </w:tcBorders>
            <w:vAlign w:val="bottom"/>
          </w:tcPr>
          <w:p w14:paraId="5D908806"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BBCC8D3" w14:textId="77777777" w:rsidTr="001B330E">
        <w:trPr>
          <w:trHeight w:val="23"/>
        </w:trPr>
        <w:tc>
          <w:tcPr>
            <w:tcW w:w="1939" w:type="pct"/>
            <w:vAlign w:val="bottom"/>
          </w:tcPr>
          <w:p w14:paraId="21404202"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w:t>
            </w:r>
          </w:p>
        </w:tc>
        <w:tc>
          <w:tcPr>
            <w:tcW w:w="394" w:type="pct"/>
            <w:vAlign w:val="bottom"/>
          </w:tcPr>
          <w:p w14:paraId="39311CE5" w14:textId="77777777" w:rsidR="00D83E33" w:rsidRPr="00EA10CF" w:rsidRDefault="00D83E33">
            <w:pPr>
              <w:widowControl w:val="0"/>
              <w:jc w:val="center"/>
              <w:rPr>
                <w:b/>
              </w:rPr>
            </w:pPr>
          </w:p>
        </w:tc>
        <w:tc>
          <w:tcPr>
            <w:tcW w:w="667" w:type="pct"/>
            <w:vAlign w:val="bottom"/>
          </w:tcPr>
          <w:p w14:paraId="2C2E52B0" w14:textId="77777777" w:rsidR="00D83E33" w:rsidRPr="00EA10CF" w:rsidRDefault="00D83E33">
            <w:pPr>
              <w:widowControl w:val="0"/>
              <w:pBdr>
                <w:top w:val="nil"/>
                <w:left w:val="nil"/>
                <w:bottom w:val="nil"/>
                <w:right w:val="nil"/>
                <w:between w:val="nil"/>
              </w:pBdr>
              <w:jc w:val="right"/>
              <w:rPr>
                <w:b/>
                <w:color w:val="000000"/>
              </w:rPr>
            </w:pPr>
          </w:p>
        </w:tc>
        <w:tc>
          <w:tcPr>
            <w:tcW w:w="667" w:type="pct"/>
            <w:vAlign w:val="bottom"/>
          </w:tcPr>
          <w:p w14:paraId="0826E715" w14:textId="77777777" w:rsidR="00D83E33" w:rsidRPr="00EA10CF" w:rsidRDefault="00D83E33">
            <w:pPr>
              <w:widowControl w:val="0"/>
              <w:pBdr>
                <w:top w:val="nil"/>
                <w:left w:val="nil"/>
                <w:bottom w:val="nil"/>
                <w:right w:val="nil"/>
                <w:between w:val="nil"/>
              </w:pBdr>
              <w:jc w:val="right"/>
              <w:rPr>
                <w:b/>
                <w:color w:val="000000"/>
              </w:rPr>
            </w:pPr>
          </w:p>
        </w:tc>
        <w:tc>
          <w:tcPr>
            <w:tcW w:w="667" w:type="pct"/>
            <w:vAlign w:val="bottom"/>
          </w:tcPr>
          <w:p w14:paraId="577BCC7F" w14:textId="77777777" w:rsidR="00D83E33" w:rsidRPr="00EA10CF" w:rsidRDefault="00D83E33">
            <w:pPr>
              <w:widowControl w:val="0"/>
              <w:pBdr>
                <w:top w:val="nil"/>
                <w:left w:val="nil"/>
                <w:bottom w:val="nil"/>
                <w:right w:val="nil"/>
                <w:between w:val="nil"/>
              </w:pBdr>
              <w:jc w:val="right"/>
              <w:rPr>
                <w:b/>
                <w:color w:val="000000"/>
              </w:rPr>
            </w:pPr>
          </w:p>
        </w:tc>
        <w:tc>
          <w:tcPr>
            <w:tcW w:w="666" w:type="pct"/>
            <w:vAlign w:val="bottom"/>
          </w:tcPr>
          <w:p w14:paraId="436102F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68F932F" w14:textId="77777777" w:rsidTr="001B330E">
        <w:trPr>
          <w:trHeight w:val="23"/>
        </w:trPr>
        <w:tc>
          <w:tcPr>
            <w:tcW w:w="1939" w:type="pct"/>
            <w:tcBorders>
              <w:bottom w:val="single" w:sz="12" w:space="0" w:color="000000"/>
            </w:tcBorders>
            <w:vAlign w:val="bottom"/>
          </w:tcPr>
          <w:p w14:paraId="14713ED7" w14:textId="77777777" w:rsidR="00D83E33" w:rsidRPr="00EA10CF" w:rsidRDefault="00BC4072" w:rsidP="001B330E">
            <w:pPr>
              <w:widowControl w:val="0"/>
              <w:ind w:left="113" w:hanging="113"/>
            </w:pPr>
            <w:r w:rsidRPr="00EA10CF">
              <w:rPr>
                <w:b/>
              </w:rPr>
              <w:t> </w:t>
            </w:r>
          </w:p>
        </w:tc>
        <w:tc>
          <w:tcPr>
            <w:tcW w:w="394" w:type="pct"/>
            <w:tcBorders>
              <w:bottom w:val="single" w:sz="12" w:space="0" w:color="000000"/>
            </w:tcBorders>
            <w:vAlign w:val="bottom"/>
          </w:tcPr>
          <w:p w14:paraId="57847F11" w14:textId="77777777" w:rsidR="00D83E33" w:rsidRPr="00EA10CF" w:rsidRDefault="00D83E33">
            <w:pPr>
              <w:widowControl w:val="0"/>
              <w:jc w:val="center"/>
              <w:rPr>
                <w:b/>
              </w:rPr>
            </w:pPr>
          </w:p>
        </w:tc>
        <w:tc>
          <w:tcPr>
            <w:tcW w:w="667" w:type="pct"/>
            <w:tcBorders>
              <w:bottom w:val="single" w:sz="12" w:space="0" w:color="000000"/>
            </w:tcBorders>
            <w:vAlign w:val="bottom"/>
          </w:tcPr>
          <w:p w14:paraId="110B9B86" w14:textId="77777777" w:rsidR="00D83E33" w:rsidRPr="00EA10CF" w:rsidRDefault="00D83E33">
            <w:pPr>
              <w:widowControl w:val="0"/>
              <w:pBdr>
                <w:top w:val="nil"/>
                <w:left w:val="nil"/>
                <w:bottom w:val="nil"/>
                <w:right w:val="nil"/>
                <w:between w:val="nil"/>
              </w:pBdr>
              <w:jc w:val="right"/>
              <w:rPr>
                <w:b/>
                <w:color w:val="000000"/>
              </w:rPr>
            </w:pPr>
          </w:p>
        </w:tc>
        <w:tc>
          <w:tcPr>
            <w:tcW w:w="667" w:type="pct"/>
            <w:tcBorders>
              <w:bottom w:val="single" w:sz="12" w:space="0" w:color="000000"/>
            </w:tcBorders>
            <w:vAlign w:val="bottom"/>
          </w:tcPr>
          <w:p w14:paraId="055A302F" w14:textId="77777777" w:rsidR="00D83E33" w:rsidRPr="00EA10CF" w:rsidRDefault="00D83E33">
            <w:pPr>
              <w:widowControl w:val="0"/>
              <w:pBdr>
                <w:top w:val="nil"/>
                <w:left w:val="nil"/>
                <w:bottom w:val="nil"/>
                <w:right w:val="nil"/>
                <w:between w:val="nil"/>
              </w:pBdr>
              <w:jc w:val="right"/>
              <w:rPr>
                <w:b/>
                <w:color w:val="000000"/>
              </w:rPr>
            </w:pPr>
          </w:p>
        </w:tc>
        <w:tc>
          <w:tcPr>
            <w:tcW w:w="667" w:type="pct"/>
            <w:tcBorders>
              <w:bottom w:val="single" w:sz="12" w:space="0" w:color="000000"/>
            </w:tcBorders>
            <w:vAlign w:val="bottom"/>
          </w:tcPr>
          <w:p w14:paraId="6FF74001" w14:textId="77777777" w:rsidR="00D83E33" w:rsidRPr="00EA10CF" w:rsidRDefault="00D83E33">
            <w:pPr>
              <w:widowControl w:val="0"/>
              <w:pBdr>
                <w:top w:val="nil"/>
                <w:left w:val="nil"/>
                <w:bottom w:val="nil"/>
                <w:right w:val="nil"/>
                <w:between w:val="nil"/>
              </w:pBdr>
              <w:jc w:val="right"/>
              <w:rPr>
                <w:b/>
                <w:color w:val="000000"/>
              </w:rPr>
            </w:pPr>
          </w:p>
        </w:tc>
        <w:tc>
          <w:tcPr>
            <w:tcW w:w="666" w:type="pct"/>
            <w:tcBorders>
              <w:bottom w:val="single" w:sz="12" w:space="0" w:color="000000"/>
            </w:tcBorders>
            <w:vAlign w:val="bottom"/>
          </w:tcPr>
          <w:p w14:paraId="7B5F6AC2" w14:textId="77777777" w:rsidR="00D83E33" w:rsidRPr="00EA10CF" w:rsidRDefault="00D83E33">
            <w:pPr>
              <w:widowControl w:val="0"/>
              <w:pBdr>
                <w:top w:val="nil"/>
                <w:left w:val="nil"/>
                <w:bottom w:val="nil"/>
                <w:right w:val="nil"/>
                <w:between w:val="nil"/>
              </w:pBdr>
              <w:jc w:val="right"/>
              <w:rPr>
                <w:b/>
                <w:color w:val="000000"/>
              </w:rPr>
            </w:pPr>
          </w:p>
        </w:tc>
      </w:tr>
    </w:tbl>
    <w:p w14:paraId="1D0E2B8C" w14:textId="501D6511" w:rsidR="00D83E33" w:rsidRDefault="00BC4072">
      <w:pPr>
        <w:widowControl w:val="0"/>
        <w:pBdr>
          <w:top w:val="nil"/>
          <w:left w:val="nil"/>
          <w:bottom w:val="nil"/>
          <w:right w:val="nil"/>
          <w:between w:val="nil"/>
        </w:pBdr>
        <w:spacing w:before="200" w:after="200"/>
        <w:jc w:val="both"/>
        <w:rPr>
          <w:color w:val="0000FF"/>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due from other banks balances of </w:t>
      </w:r>
      <w:r w:rsidR="00D73799">
        <w:rPr>
          <w:color w:val="000000"/>
          <w:sz w:val="20"/>
          <w:szCs w:val="20"/>
        </w:rPr>
        <w:t>EUR</w:t>
      </w:r>
      <w:r>
        <w:rPr>
          <w:color w:val="000000"/>
          <w:sz w:val="20"/>
          <w:szCs w:val="20"/>
        </w:rPr>
        <w:t xml:space="preserve"> ____ thousand (</w:t>
      </w:r>
      <w:r w:rsidR="00541EBC">
        <w:rPr>
          <w:color w:val="000000"/>
          <w:sz w:val="20"/>
          <w:szCs w:val="20"/>
        </w:rPr>
        <w:t>2023</w:t>
      </w:r>
      <w:r>
        <w:rPr>
          <w:color w:val="000000"/>
          <w:sz w:val="20"/>
          <w:szCs w:val="20"/>
        </w:rPr>
        <w:t xml:space="preserve">: </w:t>
      </w:r>
      <w:r w:rsidR="00D73799">
        <w:rPr>
          <w:color w:val="000000"/>
          <w:sz w:val="20"/>
          <w:szCs w:val="20"/>
        </w:rPr>
        <w:t>EUR</w:t>
      </w:r>
      <w:r>
        <w:rPr>
          <w:color w:val="000000"/>
          <w:sz w:val="20"/>
          <w:szCs w:val="20"/>
        </w:rPr>
        <w:t xml:space="preserve"> ____ thousand) are placed as a cover for letters of credit and international payment cards transactions. </w:t>
      </w:r>
      <w:r>
        <w:rPr>
          <w:color w:val="0000FF"/>
          <w:sz w:val="20"/>
          <w:szCs w:val="20"/>
        </w:rPr>
        <w:t xml:space="preserve">[In addition, mandatory cash balances with the </w:t>
      </w:r>
      <w:r w:rsidR="00613F4D">
        <w:rPr>
          <w:color w:val="0000FF"/>
          <w:sz w:val="20"/>
          <w:szCs w:val="20"/>
        </w:rPr>
        <w:t>NBC</w:t>
      </w:r>
      <w:r>
        <w:rPr>
          <w:color w:val="0000FF"/>
          <w:sz w:val="20"/>
          <w:szCs w:val="20"/>
        </w:rPr>
        <w:t xml:space="preserve"> of </w:t>
      </w:r>
      <w:r w:rsidR="00D73799">
        <w:rPr>
          <w:color w:val="0000FF"/>
          <w:sz w:val="20"/>
          <w:szCs w:val="20"/>
        </w:rPr>
        <w:t>EUR</w:t>
      </w:r>
      <w:r>
        <w:rPr>
          <w:color w:val="0000FF"/>
          <w:sz w:val="20"/>
          <w:szCs w:val="20"/>
        </w:rPr>
        <w:t xml:space="preserve"> _____ thousand (</w:t>
      </w:r>
      <w:r w:rsidR="00541EBC">
        <w:rPr>
          <w:color w:val="0000FF"/>
          <w:sz w:val="20"/>
          <w:szCs w:val="20"/>
        </w:rPr>
        <w:t>2023</w:t>
      </w:r>
      <w:r>
        <w:rPr>
          <w:color w:val="0000FF"/>
          <w:sz w:val="20"/>
          <w:szCs w:val="20"/>
        </w:rPr>
        <w:t xml:space="preserve">: </w:t>
      </w:r>
      <w:r w:rsidR="00D73799">
        <w:rPr>
          <w:color w:val="0000FF"/>
          <w:sz w:val="20"/>
          <w:szCs w:val="20"/>
        </w:rPr>
        <w:t>EUR</w:t>
      </w:r>
      <w:r>
        <w:rPr>
          <w:color w:val="0000FF"/>
          <w:sz w:val="20"/>
          <w:szCs w:val="20"/>
        </w:rPr>
        <w:t xml:space="preserve"> _____ thousand) represent mandatory reserve deposits which are not available to finance the Bank's day to day operations.]</w:t>
      </w:r>
    </w:p>
    <w:p w14:paraId="421D08C8" w14:textId="77777777" w:rsidR="009A397A" w:rsidRDefault="009A397A" w:rsidP="001B330E">
      <w:pPr>
        <w:pStyle w:val="Heading1"/>
        <w:pageBreakBefore/>
      </w:pPr>
      <w:bookmarkStart w:id="118" w:name="_Toc179196046"/>
      <w:r w:rsidRPr="002547FE">
        <w:lastRenderedPageBreak/>
        <w:t>Offsetting</w:t>
      </w:r>
      <w:r>
        <w:t xml:space="preserve"> Financial Assets and Financial Liabilities</w:t>
      </w:r>
      <w:bookmarkEnd w:id="118"/>
      <w:r>
        <w:t xml:space="preserve"> </w:t>
      </w:r>
    </w:p>
    <w:p w14:paraId="52DD38D5" w14:textId="12BB2A4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Financial instruments subject to offsetting, enforceable master netting and similar arrangements are as follows at 31</w:t>
      </w:r>
      <w:r w:rsidR="00181687">
        <w:rPr>
          <w:color w:val="000000"/>
          <w:sz w:val="20"/>
          <w:szCs w:val="20"/>
        </w:rPr>
        <w:t> December </w:t>
      </w:r>
      <w:r w:rsidR="00541EBC">
        <w:rPr>
          <w:color w:val="000000"/>
          <w:sz w:val="20"/>
          <w:szCs w:val="20"/>
        </w:rPr>
        <w:t>2024</w:t>
      </w:r>
      <w:r>
        <w:rPr>
          <w:color w:val="000000"/>
          <w:sz w:val="20"/>
          <w:szCs w:val="20"/>
        </w:rPr>
        <w:t>:</w:t>
      </w:r>
    </w:p>
    <w:tbl>
      <w:tblPr>
        <w:tblStyle w:val="afffffffffffffff0"/>
        <w:tblW w:w="5000" w:type="pct"/>
        <w:tblLayout w:type="fixed"/>
        <w:tblLook w:val="0000" w:firstRow="0" w:lastRow="0" w:firstColumn="0" w:lastColumn="0" w:noHBand="0" w:noVBand="0"/>
      </w:tblPr>
      <w:tblGrid>
        <w:gridCol w:w="2953"/>
        <w:gridCol w:w="1069"/>
        <w:gridCol w:w="1068"/>
        <w:gridCol w:w="1068"/>
        <w:gridCol w:w="1068"/>
        <w:gridCol w:w="1068"/>
        <w:gridCol w:w="1061"/>
      </w:tblGrid>
      <w:tr w:rsidR="00D83E33" w:rsidRPr="009A397A" w14:paraId="395BC461" w14:textId="77777777" w:rsidTr="001B330E">
        <w:trPr>
          <w:trHeight w:val="23"/>
        </w:trPr>
        <w:tc>
          <w:tcPr>
            <w:tcW w:w="1578" w:type="pct"/>
            <w:vAlign w:val="bottom"/>
          </w:tcPr>
          <w:p w14:paraId="0BDA2F94" w14:textId="77777777" w:rsidR="00D83E33" w:rsidRPr="001B330E" w:rsidRDefault="00D83E33" w:rsidP="001B330E">
            <w:pPr>
              <w:widowControl w:val="0"/>
              <w:pBdr>
                <w:top w:val="nil"/>
                <w:left w:val="nil"/>
                <w:bottom w:val="nil"/>
                <w:right w:val="nil"/>
                <w:between w:val="nil"/>
              </w:pBdr>
              <w:ind w:left="113" w:hanging="113"/>
              <w:rPr>
                <w:i/>
                <w:color w:val="000000"/>
                <w:sz w:val="17"/>
                <w:szCs w:val="17"/>
              </w:rPr>
            </w:pPr>
          </w:p>
        </w:tc>
        <w:tc>
          <w:tcPr>
            <w:tcW w:w="571" w:type="pct"/>
            <w:vMerge w:val="restart"/>
          </w:tcPr>
          <w:p w14:paraId="4C5FFF55"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 xml:space="preserve">Gross amounts before offsetting in the statement of financial position </w:t>
            </w:r>
          </w:p>
          <w:p w14:paraId="19D32D0F"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55744F5F"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6A15CED1"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(a)</w:t>
            </w:r>
          </w:p>
        </w:tc>
        <w:tc>
          <w:tcPr>
            <w:tcW w:w="571" w:type="pct"/>
            <w:vMerge w:val="restart"/>
          </w:tcPr>
          <w:p w14:paraId="61AC29ED"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 xml:space="preserve">Gross amounts set off </w:t>
            </w:r>
          </w:p>
          <w:p w14:paraId="24D1488F"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 xml:space="preserve">in the statement of financial position </w:t>
            </w:r>
          </w:p>
          <w:p w14:paraId="0BD9592A"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2C3E511D"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6DBA897E"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28399D50"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(b)</w:t>
            </w:r>
          </w:p>
        </w:tc>
        <w:tc>
          <w:tcPr>
            <w:tcW w:w="571" w:type="pct"/>
            <w:vMerge w:val="restart"/>
          </w:tcPr>
          <w:p w14:paraId="4554C753"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Net amount after offsetting in the statement of financial position</w:t>
            </w:r>
          </w:p>
          <w:p w14:paraId="606F9D02"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34E7381C"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(c) = (a) ‒ (b)</w:t>
            </w:r>
          </w:p>
        </w:tc>
        <w:tc>
          <w:tcPr>
            <w:tcW w:w="1142" w:type="pct"/>
            <w:gridSpan w:val="2"/>
            <w:tcBorders>
              <w:bottom w:val="single" w:sz="4" w:space="0" w:color="000000"/>
            </w:tcBorders>
          </w:tcPr>
          <w:p w14:paraId="2560509B" w14:textId="77777777" w:rsidR="00D83E33" w:rsidRPr="001B330E" w:rsidRDefault="00BC4072" w:rsidP="001B330E">
            <w:pPr>
              <w:widowControl w:val="0"/>
              <w:pBdr>
                <w:top w:val="nil"/>
                <w:left w:val="nil"/>
                <w:bottom w:val="nil"/>
                <w:right w:val="nil"/>
                <w:between w:val="nil"/>
              </w:pBdr>
              <w:jc w:val="right"/>
              <w:rPr>
                <w:color w:val="000000"/>
                <w:sz w:val="17"/>
                <w:szCs w:val="17"/>
              </w:rPr>
            </w:pPr>
            <w:r w:rsidRPr="001B330E">
              <w:rPr>
                <w:b/>
                <w:color w:val="000000"/>
                <w:sz w:val="17"/>
                <w:szCs w:val="17"/>
              </w:rPr>
              <w:t>Amounts subject to master netting and similar arrangements not set off in the statement of financial position</w:t>
            </w:r>
          </w:p>
        </w:tc>
        <w:tc>
          <w:tcPr>
            <w:tcW w:w="568" w:type="pct"/>
            <w:vMerge w:val="restart"/>
          </w:tcPr>
          <w:p w14:paraId="7B011A41"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Net amount of exposure</w:t>
            </w:r>
          </w:p>
          <w:p w14:paraId="7459288B"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1B75634B"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016F0566"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1B2EC2AB" w14:textId="3522C02B" w:rsidR="00D83E33" w:rsidRDefault="00D83E33">
            <w:pPr>
              <w:widowControl w:val="0"/>
              <w:pBdr>
                <w:top w:val="nil"/>
                <w:left w:val="nil"/>
                <w:bottom w:val="nil"/>
                <w:right w:val="nil"/>
                <w:between w:val="nil"/>
              </w:pBdr>
              <w:jc w:val="right"/>
              <w:rPr>
                <w:b/>
                <w:color w:val="000000"/>
                <w:sz w:val="17"/>
                <w:szCs w:val="17"/>
              </w:rPr>
            </w:pPr>
          </w:p>
          <w:p w14:paraId="1132F8CE" w14:textId="77777777" w:rsidR="005C4425" w:rsidRPr="001B330E" w:rsidRDefault="005C4425" w:rsidP="001B330E">
            <w:pPr>
              <w:widowControl w:val="0"/>
              <w:pBdr>
                <w:top w:val="nil"/>
                <w:left w:val="nil"/>
                <w:bottom w:val="nil"/>
                <w:right w:val="nil"/>
                <w:between w:val="nil"/>
              </w:pBdr>
              <w:jc w:val="right"/>
              <w:rPr>
                <w:b/>
                <w:color w:val="000000"/>
                <w:sz w:val="17"/>
                <w:szCs w:val="17"/>
              </w:rPr>
            </w:pPr>
          </w:p>
          <w:p w14:paraId="6BEEDED4"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45E76603"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59414E0A"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(c) ‒ (d) ‒ (e)</w:t>
            </w:r>
          </w:p>
        </w:tc>
      </w:tr>
      <w:tr w:rsidR="00D83E33" w:rsidRPr="009A397A" w14:paraId="3BA58D87" w14:textId="77777777" w:rsidTr="001B330E">
        <w:trPr>
          <w:trHeight w:val="23"/>
        </w:trPr>
        <w:tc>
          <w:tcPr>
            <w:tcW w:w="1578" w:type="pct"/>
            <w:tcBorders>
              <w:bottom w:val="single" w:sz="4" w:space="0" w:color="000000"/>
            </w:tcBorders>
            <w:vAlign w:val="bottom"/>
          </w:tcPr>
          <w:p w14:paraId="1089828D" w14:textId="7518A815" w:rsidR="00D83E33" w:rsidRPr="001B330E" w:rsidRDefault="00313B4D" w:rsidP="001B330E">
            <w:pPr>
              <w:widowControl w:val="0"/>
              <w:pBdr>
                <w:top w:val="nil"/>
                <w:left w:val="nil"/>
                <w:bottom w:val="nil"/>
                <w:right w:val="nil"/>
                <w:between w:val="nil"/>
              </w:pBdr>
              <w:ind w:left="113" w:hanging="113"/>
              <w:rPr>
                <w:i/>
                <w:color w:val="000000"/>
                <w:sz w:val="17"/>
                <w:szCs w:val="17"/>
              </w:rPr>
            </w:pPr>
            <w:r>
              <w:rPr>
                <w:i/>
                <w:color w:val="000000"/>
                <w:sz w:val="17"/>
                <w:szCs w:val="17"/>
              </w:rPr>
              <w:t xml:space="preserve">In thousands of </w:t>
            </w:r>
            <w:r w:rsidR="002649EE">
              <w:rPr>
                <w:i/>
                <w:color w:val="000000"/>
                <w:sz w:val="17"/>
                <w:szCs w:val="17"/>
              </w:rPr>
              <w:t>EUR</w:t>
            </w:r>
          </w:p>
        </w:tc>
        <w:tc>
          <w:tcPr>
            <w:tcW w:w="571" w:type="pct"/>
            <w:vMerge/>
          </w:tcPr>
          <w:p w14:paraId="06620F60" w14:textId="77777777" w:rsidR="00D83E33" w:rsidRPr="001B330E" w:rsidRDefault="00D83E33" w:rsidP="001B330E">
            <w:pPr>
              <w:widowControl w:val="0"/>
              <w:pBdr>
                <w:top w:val="nil"/>
                <w:left w:val="nil"/>
                <w:bottom w:val="nil"/>
                <w:right w:val="nil"/>
                <w:between w:val="nil"/>
              </w:pBdr>
              <w:rPr>
                <w:i/>
                <w:color w:val="000000"/>
                <w:sz w:val="17"/>
                <w:szCs w:val="17"/>
              </w:rPr>
            </w:pPr>
          </w:p>
        </w:tc>
        <w:tc>
          <w:tcPr>
            <w:tcW w:w="571" w:type="pct"/>
            <w:vMerge/>
          </w:tcPr>
          <w:p w14:paraId="7AF49988" w14:textId="77777777" w:rsidR="00D83E33" w:rsidRPr="001B330E" w:rsidRDefault="00D83E33" w:rsidP="001B330E">
            <w:pPr>
              <w:widowControl w:val="0"/>
              <w:pBdr>
                <w:top w:val="nil"/>
                <w:left w:val="nil"/>
                <w:bottom w:val="nil"/>
                <w:right w:val="nil"/>
                <w:between w:val="nil"/>
              </w:pBdr>
              <w:rPr>
                <w:i/>
                <w:color w:val="000000"/>
                <w:sz w:val="17"/>
                <w:szCs w:val="17"/>
              </w:rPr>
            </w:pPr>
          </w:p>
        </w:tc>
        <w:tc>
          <w:tcPr>
            <w:tcW w:w="571" w:type="pct"/>
            <w:vMerge/>
          </w:tcPr>
          <w:p w14:paraId="14B2F770" w14:textId="77777777" w:rsidR="00D83E33" w:rsidRPr="001B330E" w:rsidRDefault="00D83E33" w:rsidP="001B330E">
            <w:pPr>
              <w:widowControl w:val="0"/>
              <w:pBdr>
                <w:top w:val="nil"/>
                <w:left w:val="nil"/>
                <w:bottom w:val="nil"/>
                <w:right w:val="nil"/>
                <w:between w:val="nil"/>
              </w:pBdr>
              <w:rPr>
                <w:i/>
                <w:color w:val="000000"/>
                <w:sz w:val="17"/>
                <w:szCs w:val="17"/>
              </w:rPr>
            </w:pPr>
          </w:p>
        </w:tc>
        <w:tc>
          <w:tcPr>
            <w:tcW w:w="571" w:type="pct"/>
            <w:tcBorders>
              <w:top w:val="single" w:sz="4" w:space="0" w:color="000000"/>
              <w:bottom w:val="single" w:sz="4" w:space="0" w:color="000000"/>
            </w:tcBorders>
          </w:tcPr>
          <w:p w14:paraId="30CB2F12"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Financial instru-ments</w:t>
            </w:r>
          </w:p>
          <w:p w14:paraId="7DD9A5E5" w14:textId="7DD6040C" w:rsidR="00D83E33" w:rsidRDefault="00D83E33">
            <w:pPr>
              <w:widowControl w:val="0"/>
              <w:pBdr>
                <w:top w:val="nil"/>
                <w:left w:val="nil"/>
                <w:bottom w:val="nil"/>
                <w:right w:val="nil"/>
                <w:between w:val="nil"/>
              </w:pBdr>
              <w:jc w:val="right"/>
              <w:rPr>
                <w:b/>
                <w:color w:val="000000"/>
                <w:sz w:val="17"/>
                <w:szCs w:val="17"/>
              </w:rPr>
            </w:pPr>
          </w:p>
          <w:p w14:paraId="16663B3F" w14:textId="77777777" w:rsidR="005C4425" w:rsidRPr="001B330E" w:rsidRDefault="005C4425" w:rsidP="001B330E">
            <w:pPr>
              <w:widowControl w:val="0"/>
              <w:pBdr>
                <w:top w:val="nil"/>
                <w:left w:val="nil"/>
                <w:bottom w:val="nil"/>
                <w:right w:val="nil"/>
                <w:between w:val="nil"/>
              </w:pBdr>
              <w:jc w:val="right"/>
              <w:rPr>
                <w:b/>
                <w:color w:val="000000"/>
                <w:sz w:val="17"/>
                <w:szCs w:val="17"/>
              </w:rPr>
            </w:pPr>
          </w:p>
          <w:p w14:paraId="21BE32A9" w14:textId="77777777" w:rsidR="00D83E33" w:rsidRPr="001B330E" w:rsidRDefault="00BC4072" w:rsidP="001B330E">
            <w:pPr>
              <w:widowControl w:val="0"/>
              <w:pBdr>
                <w:top w:val="nil"/>
                <w:left w:val="nil"/>
                <w:bottom w:val="nil"/>
                <w:right w:val="nil"/>
                <w:between w:val="nil"/>
              </w:pBdr>
              <w:jc w:val="right"/>
              <w:rPr>
                <w:color w:val="000000"/>
                <w:sz w:val="17"/>
                <w:szCs w:val="17"/>
              </w:rPr>
            </w:pPr>
            <w:r w:rsidRPr="001B330E">
              <w:rPr>
                <w:b/>
                <w:color w:val="000000"/>
                <w:sz w:val="17"/>
                <w:szCs w:val="17"/>
              </w:rPr>
              <w:t xml:space="preserve">(d) </w:t>
            </w:r>
          </w:p>
        </w:tc>
        <w:tc>
          <w:tcPr>
            <w:tcW w:w="571" w:type="pct"/>
            <w:tcBorders>
              <w:top w:val="single" w:sz="4" w:space="0" w:color="000000"/>
              <w:bottom w:val="single" w:sz="4" w:space="0" w:color="000000"/>
            </w:tcBorders>
          </w:tcPr>
          <w:p w14:paraId="18AA4999"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Cash collateral received</w:t>
            </w:r>
          </w:p>
          <w:p w14:paraId="57D64201" w14:textId="6AFB8F2A" w:rsidR="00D83E33" w:rsidRDefault="00D83E33">
            <w:pPr>
              <w:widowControl w:val="0"/>
              <w:pBdr>
                <w:top w:val="nil"/>
                <w:left w:val="nil"/>
                <w:bottom w:val="nil"/>
                <w:right w:val="nil"/>
                <w:between w:val="nil"/>
              </w:pBdr>
              <w:jc w:val="right"/>
              <w:rPr>
                <w:b/>
                <w:color w:val="000000"/>
                <w:sz w:val="17"/>
                <w:szCs w:val="17"/>
              </w:rPr>
            </w:pPr>
          </w:p>
          <w:p w14:paraId="4FB02FB3" w14:textId="77777777" w:rsidR="005C4425" w:rsidRPr="001B330E" w:rsidRDefault="005C4425" w:rsidP="001B330E">
            <w:pPr>
              <w:widowControl w:val="0"/>
              <w:pBdr>
                <w:top w:val="nil"/>
                <w:left w:val="nil"/>
                <w:bottom w:val="nil"/>
                <w:right w:val="nil"/>
                <w:between w:val="nil"/>
              </w:pBdr>
              <w:jc w:val="right"/>
              <w:rPr>
                <w:b/>
                <w:color w:val="000000"/>
                <w:sz w:val="17"/>
                <w:szCs w:val="17"/>
              </w:rPr>
            </w:pPr>
          </w:p>
          <w:p w14:paraId="51AF0EE2" w14:textId="77777777" w:rsidR="00D83E33" w:rsidRPr="001B330E" w:rsidRDefault="00BC4072" w:rsidP="001B330E">
            <w:pPr>
              <w:widowControl w:val="0"/>
              <w:pBdr>
                <w:top w:val="nil"/>
                <w:left w:val="nil"/>
                <w:bottom w:val="nil"/>
                <w:right w:val="nil"/>
                <w:between w:val="nil"/>
              </w:pBdr>
              <w:jc w:val="right"/>
              <w:rPr>
                <w:color w:val="000000"/>
                <w:sz w:val="17"/>
                <w:szCs w:val="17"/>
              </w:rPr>
            </w:pPr>
            <w:r w:rsidRPr="001B330E">
              <w:rPr>
                <w:b/>
                <w:color w:val="000000"/>
                <w:sz w:val="17"/>
                <w:szCs w:val="17"/>
              </w:rPr>
              <w:t>(e)</w:t>
            </w:r>
          </w:p>
        </w:tc>
        <w:tc>
          <w:tcPr>
            <w:tcW w:w="568" w:type="pct"/>
            <w:vMerge/>
          </w:tcPr>
          <w:p w14:paraId="43DACADE" w14:textId="77777777" w:rsidR="00D83E33" w:rsidRPr="001B330E" w:rsidRDefault="00D83E33" w:rsidP="001B330E">
            <w:pPr>
              <w:widowControl w:val="0"/>
              <w:pBdr>
                <w:top w:val="nil"/>
                <w:left w:val="nil"/>
                <w:bottom w:val="nil"/>
                <w:right w:val="nil"/>
                <w:between w:val="nil"/>
              </w:pBdr>
              <w:rPr>
                <w:color w:val="000000"/>
                <w:sz w:val="17"/>
                <w:szCs w:val="17"/>
              </w:rPr>
            </w:pPr>
          </w:p>
        </w:tc>
      </w:tr>
      <w:tr w:rsidR="00D83E33" w:rsidRPr="009A397A" w14:paraId="73233C02" w14:textId="77777777" w:rsidTr="001B330E">
        <w:trPr>
          <w:trHeight w:val="23"/>
        </w:trPr>
        <w:tc>
          <w:tcPr>
            <w:tcW w:w="1578" w:type="pct"/>
            <w:vAlign w:val="bottom"/>
          </w:tcPr>
          <w:p w14:paraId="59333694"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b/>
                <w:color w:val="000000"/>
                <w:sz w:val="17"/>
                <w:szCs w:val="17"/>
              </w:rPr>
              <w:t> </w:t>
            </w:r>
          </w:p>
        </w:tc>
        <w:tc>
          <w:tcPr>
            <w:tcW w:w="571" w:type="pct"/>
            <w:vAlign w:val="bottom"/>
          </w:tcPr>
          <w:p w14:paraId="1CC1B0F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DAFE95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096E1F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7672E7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C6DBF5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1951D34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7FC10F89" w14:textId="77777777" w:rsidTr="001B330E">
        <w:trPr>
          <w:trHeight w:val="23"/>
        </w:trPr>
        <w:tc>
          <w:tcPr>
            <w:tcW w:w="1578" w:type="pct"/>
            <w:vAlign w:val="bottom"/>
          </w:tcPr>
          <w:p w14:paraId="29C2042D"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ASSETS</w:t>
            </w:r>
          </w:p>
        </w:tc>
        <w:tc>
          <w:tcPr>
            <w:tcW w:w="571" w:type="pct"/>
            <w:vAlign w:val="bottom"/>
          </w:tcPr>
          <w:p w14:paraId="1326F81C" w14:textId="77777777" w:rsidR="00D83E33" w:rsidRPr="001B330E" w:rsidRDefault="00D83E33" w:rsidP="001B330E">
            <w:pPr>
              <w:widowControl w:val="0"/>
              <w:pBdr>
                <w:top w:val="nil"/>
                <w:left w:val="nil"/>
                <w:bottom w:val="nil"/>
                <w:right w:val="nil"/>
                <w:between w:val="nil"/>
              </w:pBdr>
              <w:jc w:val="right"/>
              <w:rPr>
                <w:smallCaps/>
                <w:color w:val="000000"/>
                <w:sz w:val="17"/>
                <w:szCs w:val="17"/>
              </w:rPr>
            </w:pPr>
          </w:p>
        </w:tc>
        <w:tc>
          <w:tcPr>
            <w:tcW w:w="571" w:type="pct"/>
            <w:vAlign w:val="bottom"/>
          </w:tcPr>
          <w:p w14:paraId="590901C4"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4995B3DD"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0F220233"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26BB1AFF"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73077283"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628F1643" w14:textId="77777777" w:rsidTr="001B330E">
        <w:trPr>
          <w:trHeight w:val="23"/>
        </w:trPr>
        <w:tc>
          <w:tcPr>
            <w:tcW w:w="1578" w:type="pct"/>
            <w:vAlign w:val="bottom"/>
          </w:tcPr>
          <w:p w14:paraId="2C7DF607"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color w:val="000000"/>
                <w:sz w:val="17"/>
                <w:szCs w:val="17"/>
              </w:rPr>
              <w:t> </w:t>
            </w:r>
          </w:p>
        </w:tc>
        <w:tc>
          <w:tcPr>
            <w:tcW w:w="571" w:type="pct"/>
            <w:vAlign w:val="bottom"/>
          </w:tcPr>
          <w:p w14:paraId="77543CB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5AB027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C8A66F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49D2CE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CD0A0F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2ABAFD2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B2C51D9" w14:textId="77777777" w:rsidTr="001B330E">
        <w:trPr>
          <w:trHeight w:val="23"/>
        </w:trPr>
        <w:tc>
          <w:tcPr>
            <w:tcW w:w="1578" w:type="pct"/>
            <w:vAlign w:val="bottom"/>
          </w:tcPr>
          <w:p w14:paraId="2655F8A9"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Due from other banks</w:t>
            </w:r>
          </w:p>
        </w:tc>
        <w:tc>
          <w:tcPr>
            <w:tcW w:w="571" w:type="pct"/>
            <w:vAlign w:val="bottom"/>
          </w:tcPr>
          <w:p w14:paraId="4B3129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815303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FE6935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BAEDA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E12898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1832AD3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247070C5" w14:textId="77777777" w:rsidTr="001B330E">
        <w:trPr>
          <w:trHeight w:val="23"/>
        </w:trPr>
        <w:tc>
          <w:tcPr>
            <w:tcW w:w="1578" w:type="pct"/>
            <w:vAlign w:val="bottom"/>
          </w:tcPr>
          <w:p w14:paraId="1E4CF27C"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Short-term placements with other banks with original maturities of more than three months</w:t>
            </w:r>
          </w:p>
        </w:tc>
        <w:tc>
          <w:tcPr>
            <w:tcW w:w="571" w:type="pct"/>
            <w:vAlign w:val="bottom"/>
          </w:tcPr>
          <w:p w14:paraId="08FF543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64F962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64048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B38E37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07B0C4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3B937EB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3D40037C" w14:textId="77777777" w:rsidTr="001B330E">
        <w:trPr>
          <w:trHeight w:val="23"/>
        </w:trPr>
        <w:tc>
          <w:tcPr>
            <w:tcW w:w="1578" w:type="pct"/>
            <w:vAlign w:val="bottom"/>
          </w:tcPr>
          <w:p w14:paraId="08A303F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Reverse sale and repurchase agreements with other banks with original maturities of more than three months</w:t>
            </w:r>
          </w:p>
        </w:tc>
        <w:tc>
          <w:tcPr>
            <w:tcW w:w="571" w:type="pct"/>
            <w:vAlign w:val="bottom"/>
          </w:tcPr>
          <w:p w14:paraId="70DB0E3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EBE244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F81D99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386032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7339BC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51EAF18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72B7A318" w14:textId="77777777" w:rsidTr="001B330E">
        <w:trPr>
          <w:trHeight w:val="23"/>
        </w:trPr>
        <w:tc>
          <w:tcPr>
            <w:tcW w:w="1578" w:type="pct"/>
            <w:vAlign w:val="bottom"/>
          </w:tcPr>
          <w:p w14:paraId="5BD27E2B"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Loans and advances to customers</w:t>
            </w:r>
          </w:p>
        </w:tc>
        <w:tc>
          <w:tcPr>
            <w:tcW w:w="571" w:type="pct"/>
            <w:vAlign w:val="bottom"/>
          </w:tcPr>
          <w:p w14:paraId="353F147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000A85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447EC2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63B4B0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BB9B0C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1DC03B8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7072F461" w14:textId="77777777" w:rsidTr="001B330E">
        <w:trPr>
          <w:trHeight w:val="23"/>
        </w:trPr>
        <w:tc>
          <w:tcPr>
            <w:tcW w:w="1578" w:type="pct"/>
            <w:vAlign w:val="bottom"/>
          </w:tcPr>
          <w:p w14:paraId="09F8CAC1"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Corporate loans</w:t>
            </w:r>
          </w:p>
        </w:tc>
        <w:tc>
          <w:tcPr>
            <w:tcW w:w="571" w:type="pct"/>
            <w:vAlign w:val="bottom"/>
          </w:tcPr>
          <w:p w14:paraId="28870B7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FD03E7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2F8E1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0DC965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97F68A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47DFD1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0C9F744F" w14:textId="77777777" w:rsidTr="001B330E">
        <w:trPr>
          <w:trHeight w:val="23"/>
        </w:trPr>
        <w:tc>
          <w:tcPr>
            <w:tcW w:w="1578" w:type="pct"/>
            <w:vAlign w:val="bottom"/>
          </w:tcPr>
          <w:p w14:paraId="051611A5"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Reverse sale and repurchase agreements</w:t>
            </w:r>
          </w:p>
        </w:tc>
        <w:tc>
          <w:tcPr>
            <w:tcW w:w="571" w:type="pct"/>
            <w:vAlign w:val="bottom"/>
          </w:tcPr>
          <w:p w14:paraId="3AAFA9B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00E322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BA72B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73FC10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3DE19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7A96F77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B83CD9B" w14:textId="77777777" w:rsidTr="001B330E">
        <w:trPr>
          <w:trHeight w:val="23"/>
        </w:trPr>
        <w:tc>
          <w:tcPr>
            <w:tcW w:w="1578" w:type="pct"/>
            <w:vAlign w:val="bottom"/>
          </w:tcPr>
          <w:p w14:paraId="5C3DAE79"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Other financial assets:</w:t>
            </w:r>
          </w:p>
        </w:tc>
        <w:tc>
          <w:tcPr>
            <w:tcW w:w="571" w:type="pct"/>
            <w:vAlign w:val="bottom"/>
          </w:tcPr>
          <w:p w14:paraId="455B458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59862EC4"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0BBD0B4B"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6E66F9E9"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7F8E4C49"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68" w:type="pct"/>
            <w:vAlign w:val="bottom"/>
          </w:tcPr>
          <w:p w14:paraId="11119B69"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9A397A" w14:paraId="1D5D3833" w14:textId="77777777" w:rsidTr="001B330E">
        <w:trPr>
          <w:trHeight w:val="23"/>
        </w:trPr>
        <w:tc>
          <w:tcPr>
            <w:tcW w:w="1578" w:type="pct"/>
            <w:vAlign w:val="bottom"/>
          </w:tcPr>
          <w:p w14:paraId="3A73919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Trade receivables</w:t>
            </w:r>
          </w:p>
        </w:tc>
        <w:tc>
          <w:tcPr>
            <w:tcW w:w="571" w:type="pct"/>
            <w:vAlign w:val="bottom"/>
          </w:tcPr>
          <w:p w14:paraId="7EA454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15D95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E29FD3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BE4D7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53182B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5770CC5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5F07B375" w14:textId="77777777" w:rsidTr="001B330E">
        <w:trPr>
          <w:trHeight w:val="23"/>
        </w:trPr>
        <w:tc>
          <w:tcPr>
            <w:tcW w:w="1578" w:type="pct"/>
            <w:vAlign w:val="bottom"/>
          </w:tcPr>
          <w:p w14:paraId="1C41AE48"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Credit and debit cards receivables</w:t>
            </w:r>
          </w:p>
        </w:tc>
        <w:tc>
          <w:tcPr>
            <w:tcW w:w="571" w:type="pct"/>
            <w:vAlign w:val="bottom"/>
          </w:tcPr>
          <w:p w14:paraId="1EC7CB0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1C3F72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5EE3EF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FF20D1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3ED7EF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692C2EA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440194B9" w14:textId="77777777" w:rsidTr="001B330E">
        <w:trPr>
          <w:trHeight w:val="23"/>
        </w:trPr>
        <w:tc>
          <w:tcPr>
            <w:tcW w:w="1578" w:type="pct"/>
            <w:vAlign w:val="bottom"/>
          </w:tcPr>
          <w:p w14:paraId="457C7F1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Settlements on conversion operations</w:t>
            </w:r>
          </w:p>
        </w:tc>
        <w:tc>
          <w:tcPr>
            <w:tcW w:w="571" w:type="pct"/>
            <w:vAlign w:val="bottom"/>
          </w:tcPr>
          <w:p w14:paraId="5423C12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AB52F4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3E2E52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27CB0B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493A61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2F57526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5BC6941E" w14:textId="77777777" w:rsidTr="001B330E">
        <w:trPr>
          <w:trHeight w:val="23"/>
        </w:trPr>
        <w:tc>
          <w:tcPr>
            <w:tcW w:w="1578" w:type="pct"/>
            <w:vAlign w:val="bottom"/>
          </w:tcPr>
          <w:p w14:paraId="0BB36134"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Foreign exchange forward contracts</w:t>
            </w:r>
          </w:p>
        </w:tc>
        <w:tc>
          <w:tcPr>
            <w:tcW w:w="571" w:type="pct"/>
            <w:vAlign w:val="bottom"/>
          </w:tcPr>
          <w:p w14:paraId="7BA4B78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9223D6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19AF75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10F3A0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0327A6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0B8DD8E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7AC2FAF1" w14:textId="77777777" w:rsidTr="001B330E">
        <w:trPr>
          <w:trHeight w:val="23"/>
        </w:trPr>
        <w:tc>
          <w:tcPr>
            <w:tcW w:w="1578" w:type="pct"/>
            <w:vAlign w:val="bottom"/>
          </w:tcPr>
          <w:p w14:paraId="6C2D355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Precious metals forward contracts</w:t>
            </w:r>
          </w:p>
        </w:tc>
        <w:tc>
          <w:tcPr>
            <w:tcW w:w="571" w:type="pct"/>
            <w:vAlign w:val="bottom"/>
          </w:tcPr>
          <w:p w14:paraId="1D6325E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FB2528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715F58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07994F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354758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0A2CFBC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95A0203" w14:textId="77777777" w:rsidTr="001B330E">
        <w:trPr>
          <w:trHeight w:val="23"/>
        </w:trPr>
        <w:tc>
          <w:tcPr>
            <w:tcW w:w="1578" w:type="pct"/>
            <w:vAlign w:val="bottom"/>
          </w:tcPr>
          <w:p w14:paraId="2521FBF8"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Other financial derivatives</w:t>
            </w:r>
          </w:p>
        </w:tc>
        <w:tc>
          <w:tcPr>
            <w:tcW w:w="571" w:type="pct"/>
            <w:vAlign w:val="bottom"/>
          </w:tcPr>
          <w:p w14:paraId="23CC1BD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855745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15C973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82173D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664EF2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2938211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43F04036" w14:textId="77777777" w:rsidTr="001B330E">
        <w:trPr>
          <w:trHeight w:val="23"/>
        </w:trPr>
        <w:tc>
          <w:tcPr>
            <w:tcW w:w="1578" w:type="pct"/>
            <w:vAlign w:val="bottom"/>
          </w:tcPr>
          <w:p w14:paraId="3D0C0FB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 Restricted cash </w:t>
            </w:r>
          </w:p>
        </w:tc>
        <w:tc>
          <w:tcPr>
            <w:tcW w:w="571" w:type="pct"/>
            <w:vAlign w:val="bottom"/>
          </w:tcPr>
          <w:p w14:paraId="12C2FB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D2418F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CDDF5F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A32272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9C2E7A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753D18E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1687FF54" w14:textId="77777777" w:rsidTr="001B330E">
        <w:trPr>
          <w:trHeight w:val="23"/>
        </w:trPr>
        <w:tc>
          <w:tcPr>
            <w:tcW w:w="1578" w:type="pct"/>
            <w:vAlign w:val="bottom"/>
          </w:tcPr>
          <w:p w14:paraId="72DC34C0" w14:textId="5CF318B4" w:rsidR="00D83E33" w:rsidRPr="001B330E" w:rsidRDefault="00D83E33" w:rsidP="001B330E">
            <w:pPr>
              <w:widowControl w:val="0"/>
              <w:pBdr>
                <w:top w:val="nil"/>
                <w:left w:val="nil"/>
                <w:bottom w:val="nil"/>
                <w:right w:val="nil"/>
                <w:between w:val="nil"/>
              </w:pBdr>
              <w:ind w:left="113" w:hanging="113"/>
              <w:rPr>
                <w:i/>
                <w:color w:val="FF0000"/>
                <w:sz w:val="17"/>
                <w:szCs w:val="17"/>
              </w:rPr>
            </w:pPr>
          </w:p>
        </w:tc>
        <w:tc>
          <w:tcPr>
            <w:tcW w:w="571" w:type="pct"/>
            <w:vAlign w:val="bottom"/>
          </w:tcPr>
          <w:p w14:paraId="04E0A17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89FF61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BB0238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F509A3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239CA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6E21821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7D763267" w14:textId="77777777" w:rsidTr="001B330E">
        <w:trPr>
          <w:trHeight w:val="23"/>
        </w:trPr>
        <w:tc>
          <w:tcPr>
            <w:tcW w:w="1578" w:type="pct"/>
            <w:tcBorders>
              <w:bottom w:val="single" w:sz="4" w:space="0" w:color="000000"/>
            </w:tcBorders>
            <w:vAlign w:val="bottom"/>
          </w:tcPr>
          <w:p w14:paraId="7A5AE6B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tcBorders>
              <w:bottom w:val="single" w:sz="4" w:space="0" w:color="000000"/>
            </w:tcBorders>
            <w:vAlign w:val="bottom"/>
          </w:tcPr>
          <w:p w14:paraId="0C5128D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209767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6B6FBB4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387024D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414290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tcBorders>
              <w:bottom w:val="single" w:sz="4" w:space="0" w:color="000000"/>
            </w:tcBorders>
            <w:vAlign w:val="bottom"/>
          </w:tcPr>
          <w:p w14:paraId="31AE0E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25DB7823" w14:textId="77777777" w:rsidTr="001B330E">
        <w:trPr>
          <w:trHeight w:val="23"/>
        </w:trPr>
        <w:tc>
          <w:tcPr>
            <w:tcW w:w="1578" w:type="pct"/>
            <w:vAlign w:val="bottom"/>
          </w:tcPr>
          <w:p w14:paraId="3A7889A9"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vAlign w:val="bottom"/>
          </w:tcPr>
          <w:p w14:paraId="3D45F62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400032BE"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62A78C4C"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50BE215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2910F4DF"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68" w:type="pct"/>
            <w:vAlign w:val="bottom"/>
          </w:tcPr>
          <w:p w14:paraId="0A8EDDB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9A397A" w14:paraId="487DB744" w14:textId="77777777" w:rsidTr="001B330E">
        <w:trPr>
          <w:trHeight w:val="23"/>
        </w:trPr>
        <w:tc>
          <w:tcPr>
            <w:tcW w:w="1578" w:type="pct"/>
            <w:vAlign w:val="bottom"/>
          </w:tcPr>
          <w:p w14:paraId="6F9CB054"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TOTAL ASSETS SUBJECT TO OFFSETTING, MASTER NETTING AND SIMILAR ARRANGEMENT</w:t>
            </w:r>
          </w:p>
        </w:tc>
        <w:tc>
          <w:tcPr>
            <w:tcW w:w="571" w:type="pct"/>
            <w:vAlign w:val="bottom"/>
          </w:tcPr>
          <w:p w14:paraId="692569A5"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5B52C4C5"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11538DA4"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4D6D786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7BB137F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58BC3D04"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2E9F7ED0" w14:textId="77777777" w:rsidTr="001B330E">
        <w:trPr>
          <w:trHeight w:val="23"/>
        </w:trPr>
        <w:tc>
          <w:tcPr>
            <w:tcW w:w="1578" w:type="pct"/>
            <w:tcBorders>
              <w:bottom w:val="single" w:sz="12" w:space="0" w:color="000000"/>
            </w:tcBorders>
            <w:shd w:val="clear" w:color="auto" w:fill="auto"/>
            <w:vAlign w:val="bottom"/>
          </w:tcPr>
          <w:p w14:paraId="19EC8C5D"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tcBorders>
              <w:bottom w:val="single" w:sz="12" w:space="0" w:color="000000"/>
            </w:tcBorders>
            <w:shd w:val="clear" w:color="auto" w:fill="auto"/>
            <w:vAlign w:val="bottom"/>
          </w:tcPr>
          <w:p w14:paraId="22D18B6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5BDDAA0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61D1F1C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vAlign w:val="bottom"/>
          </w:tcPr>
          <w:p w14:paraId="4E34D0C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5B39732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tcBorders>
              <w:bottom w:val="single" w:sz="12" w:space="0" w:color="000000"/>
            </w:tcBorders>
            <w:vAlign w:val="bottom"/>
          </w:tcPr>
          <w:p w14:paraId="460450E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0DAA02E" w14:textId="77777777" w:rsidTr="001B330E">
        <w:trPr>
          <w:trHeight w:val="23"/>
        </w:trPr>
        <w:tc>
          <w:tcPr>
            <w:tcW w:w="1578" w:type="pct"/>
            <w:vAlign w:val="bottom"/>
          </w:tcPr>
          <w:p w14:paraId="37D0B872"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color w:val="000000"/>
                <w:sz w:val="17"/>
                <w:szCs w:val="17"/>
              </w:rPr>
              <w:t> </w:t>
            </w:r>
          </w:p>
        </w:tc>
        <w:tc>
          <w:tcPr>
            <w:tcW w:w="571" w:type="pct"/>
            <w:vAlign w:val="bottom"/>
          </w:tcPr>
          <w:p w14:paraId="5D40C0CF" w14:textId="77777777" w:rsidR="00D83E33" w:rsidRPr="001B330E" w:rsidRDefault="00D83E33" w:rsidP="001B330E">
            <w:pPr>
              <w:widowControl w:val="0"/>
              <w:pBdr>
                <w:top w:val="nil"/>
                <w:left w:val="nil"/>
                <w:bottom w:val="nil"/>
                <w:right w:val="nil"/>
                <w:between w:val="nil"/>
              </w:pBdr>
              <w:jc w:val="right"/>
              <w:rPr>
                <w:smallCaps/>
                <w:color w:val="000000"/>
                <w:sz w:val="17"/>
                <w:szCs w:val="17"/>
              </w:rPr>
            </w:pPr>
          </w:p>
        </w:tc>
        <w:tc>
          <w:tcPr>
            <w:tcW w:w="571" w:type="pct"/>
            <w:vAlign w:val="bottom"/>
          </w:tcPr>
          <w:p w14:paraId="1831A56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43A3695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6F0BF66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38F9C80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617BAE4D"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77BE96CF" w14:textId="77777777" w:rsidTr="001B330E">
        <w:trPr>
          <w:trHeight w:val="23"/>
        </w:trPr>
        <w:tc>
          <w:tcPr>
            <w:tcW w:w="1578" w:type="pct"/>
            <w:vAlign w:val="bottom"/>
          </w:tcPr>
          <w:p w14:paraId="3E3FE73E"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LIABILITIES</w:t>
            </w:r>
          </w:p>
        </w:tc>
        <w:tc>
          <w:tcPr>
            <w:tcW w:w="571" w:type="pct"/>
            <w:vAlign w:val="bottom"/>
          </w:tcPr>
          <w:p w14:paraId="349709E5" w14:textId="77777777" w:rsidR="00D83E33" w:rsidRPr="001B330E" w:rsidRDefault="00D83E33" w:rsidP="001B330E">
            <w:pPr>
              <w:widowControl w:val="0"/>
              <w:pBdr>
                <w:top w:val="nil"/>
                <w:left w:val="nil"/>
                <w:bottom w:val="nil"/>
                <w:right w:val="nil"/>
                <w:between w:val="nil"/>
              </w:pBdr>
              <w:jc w:val="right"/>
              <w:rPr>
                <w:smallCaps/>
                <w:color w:val="000000"/>
                <w:sz w:val="17"/>
                <w:szCs w:val="17"/>
              </w:rPr>
            </w:pPr>
          </w:p>
        </w:tc>
        <w:tc>
          <w:tcPr>
            <w:tcW w:w="571" w:type="pct"/>
            <w:vAlign w:val="bottom"/>
          </w:tcPr>
          <w:p w14:paraId="21635DE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7C1613DF"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7605519D"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4518DAC3"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658D45E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6E38892D" w14:textId="77777777" w:rsidTr="001B330E">
        <w:trPr>
          <w:trHeight w:val="23"/>
        </w:trPr>
        <w:tc>
          <w:tcPr>
            <w:tcW w:w="1578" w:type="pct"/>
            <w:vAlign w:val="bottom"/>
          </w:tcPr>
          <w:p w14:paraId="65AC8DBD" w14:textId="77777777" w:rsidR="00D83E33" w:rsidRPr="001B330E" w:rsidRDefault="00D83E33" w:rsidP="001B330E">
            <w:pPr>
              <w:widowControl w:val="0"/>
              <w:pBdr>
                <w:top w:val="nil"/>
                <w:left w:val="nil"/>
                <w:bottom w:val="nil"/>
                <w:right w:val="nil"/>
                <w:between w:val="nil"/>
              </w:pBdr>
              <w:ind w:left="113" w:hanging="113"/>
              <w:rPr>
                <w:b/>
                <w:i/>
                <w:color w:val="000000"/>
                <w:sz w:val="17"/>
                <w:szCs w:val="17"/>
              </w:rPr>
            </w:pPr>
          </w:p>
        </w:tc>
        <w:tc>
          <w:tcPr>
            <w:tcW w:w="571" w:type="pct"/>
            <w:vAlign w:val="bottom"/>
          </w:tcPr>
          <w:p w14:paraId="27C6865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61BB88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082EA7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96A6FE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35427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3E8E254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022C1E0D" w14:textId="77777777" w:rsidTr="001B330E">
        <w:trPr>
          <w:trHeight w:val="23"/>
        </w:trPr>
        <w:tc>
          <w:tcPr>
            <w:tcW w:w="1578" w:type="pct"/>
            <w:vAlign w:val="bottom"/>
          </w:tcPr>
          <w:p w14:paraId="09F37DA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Financial derivatives</w:t>
            </w:r>
          </w:p>
        </w:tc>
        <w:tc>
          <w:tcPr>
            <w:tcW w:w="571" w:type="pct"/>
            <w:vAlign w:val="bottom"/>
          </w:tcPr>
          <w:p w14:paraId="5D27741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D9E423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B5F355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E8DF9A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7AFA4E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385724D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082C49B0" w14:textId="77777777" w:rsidTr="001B330E">
        <w:trPr>
          <w:trHeight w:val="23"/>
        </w:trPr>
        <w:tc>
          <w:tcPr>
            <w:tcW w:w="1578" w:type="pct"/>
            <w:vAlign w:val="bottom"/>
          </w:tcPr>
          <w:p w14:paraId="71898E1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Sale and repurchase agreements</w:t>
            </w:r>
          </w:p>
        </w:tc>
        <w:tc>
          <w:tcPr>
            <w:tcW w:w="571" w:type="pct"/>
            <w:vAlign w:val="bottom"/>
          </w:tcPr>
          <w:p w14:paraId="451C2E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542B62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B541DF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50E4D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0D2EB2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769333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3828939" w14:textId="77777777" w:rsidTr="001B330E">
        <w:trPr>
          <w:trHeight w:val="23"/>
        </w:trPr>
        <w:tc>
          <w:tcPr>
            <w:tcW w:w="1578" w:type="pct"/>
            <w:vAlign w:val="bottom"/>
          </w:tcPr>
          <w:p w14:paraId="2613ACCC"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Trade payables</w:t>
            </w:r>
          </w:p>
        </w:tc>
        <w:tc>
          <w:tcPr>
            <w:tcW w:w="571" w:type="pct"/>
            <w:vAlign w:val="bottom"/>
          </w:tcPr>
          <w:p w14:paraId="5BD8C9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6A3FC5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C153CD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5CB37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020FD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3CB4147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0E579578" w14:textId="77777777" w:rsidTr="001B330E">
        <w:trPr>
          <w:trHeight w:val="23"/>
        </w:trPr>
        <w:tc>
          <w:tcPr>
            <w:tcW w:w="1578" w:type="pct"/>
            <w:vAlign w:val="bottom"/>
          </w:tcPr>
          <w:p w14:paraId="21D7480B"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Short sale of securities</w:t>
            </w:r>
          </w:p>
        </w:tc>
        <w:tc>
          <w:tcPr>
            <w:tcW w:w="571" w:type="pct"/>
            <w:vAlign w:val="bottom"/>
          </w:tcPr>
          <w:p w14:paraId="5AF39C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ED6E14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48DEDD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3EAF52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7CC9A8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1F5155D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00A96A33" w14:textId="77777777" w:rsidTr="001B330E">
        <w:trPr>
          <w:trHeight w:val="23"/>
        </w:trPr>
        <w:tc>
          <w:tcPr>
            <w:tcW w:w="1578" w:type="pct"/>
            <w:vAlign w:val="bottom"/>
          </w:tcPr>
          <w:p w14:paraId="510DC714" w14:textId="7507A3E1" w:rsidR="00D83E33" w:rsidRPr="001B330E" w:rsidRDefault="00D83E33" w:rsidP="001B330E">
            <w:pPr>
              <w:widowControl w:val="0"/>
              <w:pBdr>
                <w:top w:val="nil"/>
                <w:left w:val="nil"/>
                <w:bottom w:val="nil"/>
                <w:right w:val="nil"/>
                <w:between w:val="nil"/>
              </w:pBdr>
              <w:ind w:left="113" w:hanging="113"/>
              <w:rPr>
                <w:i/>
                <w:color w:val="FF0000"/>
                <w:sz w:val="17"/>
                <w:szCs w:val="17"/>
              </w:rPr>
            </w:pPr>
          </w:p>
        </w:tc>
        <w:tc>
          <w:tcPr>
            <w:tcW w:w="571" w:type="pct"/>
            <w:vAlign w:val="bottom"/>
          </w:tcPr>
          <w:p w14:paraId="189B23B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2B6922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110C3A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B2D771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A3F70E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0EDAF30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38A3DF4E" w14:textId="77777777" w:rsidTr="001B330E">
        <w:trPr>
          <w:trHeight w:val="23"/>
        </w:trPr>
        <w:tc>
          <w:tcPr>
            <w:tcW w:w="1578" w:type="pct"/>
            <w:tcBorders>
              <w:bottom w:val="single" w:sz="4" w:space="0" w:color="000000"/>
            </w:tcBorders>
            <w:vAlign w:val="bottom"/>
          </w:tcPr>
          <w:p w14:paraId="7E5BCB2A"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xml:space="preserve"> </w:t>
            </w:r>
          </w:p>
        </w:tc>
        <w:tc>
          <w:tcPr>
            <w:tcW w:w="571" w:type="pct"/>
            <w:tcBorders>
              <w:bottom w:val="single" w:sz="4" w:space="0" w:color="000000"/>
            </w:tcBorders>
            <w:vAlign w:val="bottom"/>
          </w:tcPr>
          <w:p w14:paraId="228E03A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3D2E99D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3FD0E98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4C9CD09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36FC03A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tcBorders>
              <w:bottom w:val="single" w:sz="4" w:space="0" w:color="000000"/>
            </w:tcBorders>
            <w:vAlign w:val="bottom"/>
          </w:tcPr>
          <w:p w14:paraId="7D2612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16D8418A" w14:textId="77777777" w:rsidTr="001B330E">
        <w:trPr>
          <w:trHeight w:val="23"/>
        </w:trPr>
        <w:tc>
          <w:tcPr>
            <w:tcW w:w="1578" w:type="pct"/>
            <w:vAlign w:val="bottom"/>
          </w:tcPr>
          <w:p w14:paraId="01BA92E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vAlign w:val="bottom"/>
          </w:tcPr>
          <w:p w14:paraId="6DA13F30"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5E020DE6"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0FDC0BE5"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07C113C8"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15208CFE"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68" w:type="pct"/>
            <w:vAlign w:val="bottom"/>
          </w:tcPr>
          <w:p w14:paraId="1CCD9BA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9A397A" w14:paraId="54F98445" w14:textId="77777777" w:rsidTr="001B330E">
        <w:trPr>
          <w:trHeight w:val="23"/>
        </w:trPr>
        <w:tc>
          <w:tcPr>
            <w:tcW w:w="1578" w:type="pct"/>
            <w:vAlign w:val="bottom"/>
          </w:tcPr>
          <w:p w14:paraId="0156FAA4"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b/>
                <w:smallCaps/>
                <w:color w:val="000000"/>
                <w:sz w:val="17"/>
                <w:szCs w:val="17"/>
              </w:rPr>
              <w:t>TOTAL LIABILITIES SUBJECT TO OFFSETTING, MASTER NETTING AND SIMILAR ARRANGEMENT</w:t>
            </w:r>
          </w:p>
        </w:tc>
        <w:tc>
          <w:tcPr>
            <w:tcW w:w="571" w:type="pct"/>
            <w:vAlign w:val="bottom"/>
          </w:tcPr>
          <w:p w14:paraId="00DA1F34"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4AEBB52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4F91856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1CB77EB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4683D73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4AE52CE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526496B2" w14:textId="77777777" w:rsidTr="001B330E">
        <w:trPr>
          <w:trHeight w:val="23"/>
        </w:trPr>
        <w:tc>
          <w:tcPr>
            <w:tcW w:w="1578" w:type="pct"/>
            <w:tcBorders>
              <w:bottom w:val="single" w:sz="12" w:space="0" w:color="000000"/>
            </w:tcBorders>
            <w:shd w:val="clear" w:color="auto" w:fill="auto"/>
            <w:vAlign w:val="bottom"/>
          </w:tcPr>
          <w:p w14:paraId="035434CB"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tcBorders>
              <w:bottom w:val="single" w:sz="12" w:space="0" w:color="000000"/>
            </w:tcBorders>
            <w:shd w:val="clear" w:color="auto" w:fill="auto"/>
            <w:vAlign w:val="bottom"/>
          </w:tcPr>
          <w:p w14:paraId="507A0E8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758C7FD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2A11B61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vAlign w:val="bottom"/>
          </w:tcPr>
          <w:p w14:paraId="04849AB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6E2FC44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tcBorders>
              <w:bottom w:val="single" w:sz="12" w:space="0" w:color="000000"/>
            </w:tcBorders>
            <w:vAlign w:val="bottom"/>
          </w:tcPr>
          <w:p w14:paraId="3988DBC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bl>
    <w:p w14:paraId="77F5FAFC" w14:textId="3C0D486F" w:rsidR="00D83E33" w:rsidRDefault="00BC4072" w:rsidP="001B330E">
      <w:pPr>
        <w:pStyle w:val="Continued"/>
      </w:pPr>
      <w:r>
        <w:lastRenderedPageBreak/>
        <w:t>44</w:t>
      </w:r>
      <w:r>
        <w:tab/>
        <w:t>Offsetting Financial Assets and Financial Liabilities (Continued)</w:t>
      </w:r>
    </w:p>
    <w:p w14:paraId="32AA8AF6" w14:textId="31519BE4"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Financial instruments subject to offsetting, enforceable master netting and similar arrangements are as follows at 31</w:t>
      </w:r>
      <w:r w:rsidR="00181687">
        <w:rPr>
          <w:color w:val="000000"/>
          <w:sz w:val="20"/>
          <w:szCs w:val="20"/>
        </w:rPr>
        <w:t> December </w:t>
      </w:r>
      <w:r w:rsidR="00541EBC">
        <w:rPr>
          <w:color w:val="000000"/>
          <w:sz w:val="20"/>
          <w:szCs w:val="20"/>
        </w:rPr>
        <w:t>2023</w:t>
      </w:r>
      <w:r>
        <w:rPr>
          <w:color w:val="000000"/>
          <w:sz w:val="20"/>
          <w:szCs w:val="20"/>
        </w:rPr>
        <w:t>:</w:t>
      </w:r>
    </w:p>
    <w:tbl>
      <w:tblPr>
        <w:tblStyle w:val="afffffffffffffff1"/>
        <w:tblW w:w="5000" w:type="pct"/>
        <w:tblLayout w:type="fixed"/>
        <w:tblLook w:val="0000" w:firstRow="0" w:lastRow="0" w:firstColumn="0" w:lastColumn="0" w:noHBand="0" w:noVBand="0"/>
      </w:tblPr>
      <w:tblGrid>
        <w:gridCol w:w="2953"/>
        <w:gridCol w:w="1069"/>
        <w:gridCol w:w="1068"/>
        <w:gridCol w:w="1068"/>
        <w:gridCol w:w="1068"/>
        <w:gridCol w:w="1068"/>
        <w:gridCol w:w="1061"/>
      </w:tblGrid>
      <w:tr w:rsidR="00D83E33" w:rsidRPr="009A397A" w14:paraId="04DC4706" w14:textId="77777777" w:rsidTr="001B330E">
        <w:trPr>
          <w:trHeight w:val="23"/>
        </w:trPr>
        <w:tc>
          <w:tcPr>
            <w:tcW w:w="1578" w:type="pct"/>
            <w:vAlign w:val="bottom"/>
          </w:tcPr>
          <w:p w14:paraId="53A1CB1E" w14:textId="77777777" w:rsidR="00D83E33" w:rsidRPr="001B330E" w:rsidRDefault="00D83E33" w:rsidP="001B330E">
            <w:pPr>
              <w:widowControl w:val="0"/>
              <w:pBdr>
                <w:top w:val="nil"/>
                <w:left w:val="nil"/>
                <w:bottom w:val="nil"/>
                <w:right w:val="nil"/>
                <w:between w:val="nil"/>
              </w:pBdr>
              <w:ind w:left="113" w:hanging="113"/>
              <w:rPr>
                <w:i/>
                <w:color w:val="000000"/>
                <w:sz w:val="17"/>
                <w:szCs w:val="17"/>
              </w:rPr>
            </w:pPr>
          </w:p>
        </w:tc>
        <w:tc>
          <w:tcPr>
            <w:tcW w:w="571" w:type="pct"/>
            <w:vMerge w:val="restart"/>
          </w:tcPr>
          <w:p w14:paraId="00FA303E"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 xml:space="preserve">Gross amounts before offsetting in the statement of financial position </w:t>
            </w:r>
          </w:p>
          <w:p w14:paraId="1919750C"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00ABFB85"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60DCD819"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(a)</w:t>
            </w:r>
          </w:p>
        </w:tc>
        <w:tc>
          <w:tcPr>
            <w:tcW w:w="571" w:type="pct"/>
            <w:vMerge w:val="restart"/>
          </w:tcPr>
          <w:p w14:paraId="135B10D0"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 xml:space="preserve">Gross amounts set off </w:t>
            </w:r>
          </w:p>
          <w:p w14:paraId="27A0BB1A"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 xml:space="preserve">in the statement of financial position </w:t>
            </w:r>
          </w:p>
          <w:p w14:paraId="5C36AF7B"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38F6F61F"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754CE770"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2257AE46"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(b)</w:t>
            </w:r>
          </w:p>
        </w:tc>
        <w:tc>
          <w:tcPr>
            <w:tcW w:w="571" w:type="pct"/>
            <w:vMerge w:val="restart"/>
          </w:tcPr>
          <w:p w14:paraId="18C56D34"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Net amount after offsetting in the statement of financial position</w:t>
            </w:r>
          </w:p>
          <w:p w14:paraId="68FB1916" w14:textId="6B7FBFBD" w:rsidR="00D83E33" w:rsidRDefault="00D83E33">
            <w:pPr>
              <w:widowControl w:val="0"/>
              <w:pBdr>
                <w:top w:val="nil"/>
                <w:left w:val="nil"/>
                <w:bottom w:val="nil"/>
                <w:right w:val="nil"/>
                <w:between w:val="nil"/>
              </w:pBdr>
              <w:jc w:val="right"/>
              <w:rPr>
                <w:b/>
                <w:color w:val="000000"/>
                <w:sz w:val="17"/>
                <w:szCs w:val="17"/>
              </w:rPr>
            </w:pPr>
          </w:p>
          <w:p w14:paraId="03FE5FDA"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(c) = (a) ‒ (b)</w:t>
            </w:r>
          </w:p>
        </w:tc>
        <w:tc>
          <w:tcPr>
            <w:tcW w:w="1142" w:type="pct"/>
            <w:gridSpan w:val="2"/>
            <w:tcBorders>
              <w:bottom w:val="single" w:sz="4" w:space="0" w:color="000000"/>
            </w:tcBorders>
          </w:tcPr>
          <w:p w14:paraId="50AFCF2A" w14:textId="77777777" w:rsidR="00D83E33" w:rsidRPr="001B330E" w:rsidRDefault="00BC4072" w:rsidP="001B330E">
            <w:pPr>
              <w:widowControl w:val="0"/>
              <w:pBdr>
                <w:top w:val="nil"/>
                <w:left w:val="nil"/>
                <w:bottom w:val="nil"/>
                <w:right w:val="nil"/>
                <w:between w:val="nil"/>
              </w:pBdr>
              <w:jc w:val="right"/>
              <w:rPr>
                <w:color w:val="000000"/>
                <w:sz w:val="17"/>
                <w:szCs w:val="17"/>
              </w:rPr>
            </w:pPr>
            <w:r w:rsidRPr="001B330E">
              <w:rPr>
                <w:b/>
                <w:color w:val="000000"/>
                <w:sz w:val="17"/>
                <w:szCs w:val="17"/>
              </w:rPr>
              <w:t>Amounts subject to master netting and similar arrangements not set off in the statement of financial position</w:t>
            </w:r>
          </w:p>
        </w:tc>
        <w:tc>
          <w:tcPr>
            <w:tcW w:w="568" w:type="pct"/>
            <w:vMerge w:val="restart"/>
          </w:tcPr>
          <w:p w14:paraId="03AB551B"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Net amount of exposure</w:t>
            </w:r>
          </w:p>
          <w:p w14:paraId="5EEC8DED"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340DA1E1"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0A07F3FB"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6E27A358"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01B26BE5" w14:textId="77777777" w:rsidR="00D83E33" w:rsidRPr="001B330E" w:rsidRDefault="00D83E33" w:rsidP="001B330E">
            <w:pPr>
              <w:widowControl w:val="0"/>
              <w:pBdr>
                <w:top w:val="nil"/>
                <w:left w:val="nil"/>
                <w:bottom w:val="nil"/>
                <w:right w:val="nil"/>
                <w:between w:val="nil"/>
              </w:pBdr>
              <w:jc w:val="right"/>
              <w:rPr>
                <w:b/>
                <w:color w:val="000000"/>
                <w:sz w:val="17"/>
                <w:szCs w:val="17"/>
              </w:rPr>
            </w:pPr>
          </w:p>
          <w:p w14:paraId="34E1ECA9" w14:textId="183E2063" w:rsidR="00D83E33" w:rsidRDefault="00D83E33">
            <w:pPr>
              <w:widowControl w:val="0"/>
              <w:pBdr>
                <w:top w:val="nil"/>
                <w:left w:val="nil"/>
                <w:bottom w:val="nil"/>
                <w:right w:val="nil"/>
                <w:between w:val="nil"/>
              </w:pBdr>
              <w:jc w:val="right"/>
              <w:rPr>
                <w:b/>
                <w:color w:val="000000"/>
                <w:sz w:val="17"/>
                <w:szCs w:val="17"/>
              </w:rPr>
            </w:pPr>
          </w:p>
          <w:p w14:paraId="226D361B" w14:textId="77777777" w:rsidR="005C4425" w:rsidRPr="001B330E" w:rsidRDefault="005C4425" w:rsidP="001B330E">
            <w:pPr>
              <w:widowControl w:val="0"/>
              <w:pBdr>
                <w:top w:val="nil"/>
                <w:left w:val="nil"/>
                <w:bottom w:val="nil"/>
                <w:right w:val="nil"/>
                <w:between w:val="nil"/>
              </w:pBdr>
              <w:jc w:val="right"/>
              <w:rPr>
                <w:b/>
                <w:color w:val="000000"/>
                <w:sz w:val="17"/>
                <w:szCs w:val="17"/>
              </w:rPr>
            </w:pPr>
          </w:p>
          <w:p w14:paraId="5A40D946"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(c) ‒ (d) ‒ (e)</w:t>
            </w:r>
          </w:p>
        </w:tc>
      </w:tr>
      <w:tr w:rsidR="00D83E33" w:rsidRPr="009A397A" w14:paraId="0BC809E1" w14:textId="77777777" w:rsidTr="001B330E">
        <w:trPr>
          <w:trHeight w:val="23"/>
        </w:trPr>
        <w:tc>
          <w:tcPr>
            <w:tcW w:w="1578" w:type="pct"/>
            <w:tcBorders>
              <w:bottom w:val="single" w:sz="4" w:space="0" w:color="000000"/>
            </w:tcBorders>
            <w:vAlign w:val="bottom"/>
          </w:tcPr>
          <w:p w14:paraId="119D5692" w14:textId="52311305" w:rsidR="00D83E33" w:rsidRPr="001B330E" w:rsidRDefault="00313B4D" w:rsidP="001B330E">
            <w:pPr>
              <w:widowControl w:val="0"/>
              <w:pBdr>
                <w:top w:val="nil"/>
                <w:left w:val="nil"/>
                <w:bottom w:val="nil"/>
                <w:right w:val="nil"/>
                <w:between w:val="nil"/>
              </w:pBdr>
              <w:ind w:left="113" w:hanging="113"/>
              <w:rPr>
                <w:i/>
                <w:color w:val="000000"/>
                <w:sz w:val="17"/>
                <w:szCs w:val="17"/>
              </w:rPr>
            </w:pPr>
            <w:r>
              <w:rPr>
                <w:i/>
                <w:color w:val="000000"/>
                <w:sz w:val="17"/>
                <w:szCs w:val="17"/>
              </w:rPr>
              <w:t xml:space="preserve">In thousands of </w:t>
            </w:r>
            <w:r w:rsidR="002649EE">
              <w:rPr>
                <w:i/>
                <w:color w:val="000000"/>
                <w:sz w:val="17"/>
                <w:szCs w:val="17"/>
              </w:rPr>
              <w:t>EUR</w:t>
            </w:r>
          </w:p>
        </w:tc>
        <w:tc>
          <w:tcPr>
            <w:tcW w:w="571" w:type="pct"/>
            <w:vMerge/>
          </w:tcPr>
          <w:p w14:paraId="5C0EEB04" w14:textId="77777777" w:rsidR="00D83E33" w:rsidRPr="001B330E" w:rsidRDefault="00D83E33" w:rsidP="001B330E">
            <w:pPr>
              <w:widowControl w:val="0"/>
              <w:pBdr>
                <w:top w:val="nil"/>
                <w:left w:val="nil"/>
                <w:bottom w:val="nil"/>
                <w:right w:val="nil"/>
                <w:between w:val="nil"/>
              </w:pBdr>
              <w:rPr>
                <w:i/>
                <w:color w:val="000000"/>
                <w:sz w:val="17"/>
                <w:szCs w:val="17"/>
              </w:rPr>
            </w:pPr>
          </w:p>
        </w:tc>
        <w:tc>
          <w:tcPr>
            <w:tcW w:w="571" w:type="pct"/>
            <w:vMerge/>
          </w:tcPr>
          <w:p w14:paraId="435AD956" w14:textId="77777777" w:rsidR="00D83E33" w:rsidRPr="001B330E" w:rsidRDefault="00D83E33" w:rsidP="001B330E">
            <w:pPr>
              <w:widowControl w:val="0"/>
              <w:pBdr>
                <w:top w:val="nil"/>
                <w:left w:val="nil"/>
                <w:bottom w:val="nil"/>
                <w:right w:val="nil"/>
                <w:between w:val="nil"/>
              </w:pBdr>
              <w:rPr>
                <w:i/>
                <w:color w:val="000000"/>
                <w:sz w:val="17"/>
                <w:szCs w:val="17"/>
              </w:rPr>
            </w:pPr>
          </w:p>
        </w:tc>
        <w:tc>
          <w:tcPr>
            <w:tcW w:w="571" w:type="pct"/>
            <w:vMerge/>
          </w:tcPr>
          <w:p w14:paraId="0F508CC4" w14:textId="77777777" w:rsidR="00D83E33" w:rsidRPr="001B330E" w:rsidRDefault="00D83E33" w:rsidP="001B330E">
            <w:pPr>
              <w:widowControl w:val="0"/>
              <w:pBdr>
                <w:top w:val="nil"/>
                <w:left w:val="nil"/>
                <w:bottom w:val="nil"/>
                <w:right w:val="nil"/>
                <w:between w:val="nil"/>
              </w:pBdr>
              <w:rPr>
                <w:i/>
                <w:color w:val="000000"/>
                <w:sz w:val="17"/>
                <w:szCs w:val="17"/>
              </w:rPr>
            </w:pPr>
          </w:p>
        </w:tc>
        <w:tc>
          <w:tcPr>
            <w:tcW w:w="571" w:type="pct"/>
            <w:tcBorders>
              <w:top w:val="single" w:sz="4" w:space="0" w:color="000000"/>
              <w:bottom w:val="single" w:sz="4" w:space="0" w:color="000000"/>
            </w:tcBorders>
          </w:tcPr>
          <w:p w14:paraId="2034EA7C" w14:textId="77777777" w:rsidR="00D83E33" w:rsidRPr="001B330E" w:rsidRDefault="00BC4072" w:rsidP="001B330E">
            <w:pPr>
              <w:widowControl w:val="0"/>
              <w:pBdr>
                <w:top w:val="nil"/>
                <w:left w:val="nil"/>
                <w:bottom w:val="nil"/>
                <w:right w:val="nil"/>
                <w:between w:val="nil"/>
              </w:pBdr>
              <w:jc w:val="right"/>
              <w:rPr>
                <w:b/>
                <w:color w:val="000000"/>
                <w:sz w:val="17"/>
                <w:szCs w:val="17"/>
              </w:rPr>
            </w:pPr>
            <w:r w:rsidRPr="001B330E">
              <w:rPr>
                <w:b/>
                <w:color w:val="000000"/>
                <w:sz w:val="17"/>
                <w:szCs w:val="17"/>
              </w:rPr>
              <w:t>Financial instru-ments</w:t>
            </w:r>
          </w:p>
          <w:p w14:paraId="0E8FBE63" w14:textId="3B879AAE" w:rsidR="005C4425" w:rsidRDefault="005C4425">
            <w:pPr>
              <w:widowControl w:val="0"/>
              <w:pBdr>
                <w:top w:val="nil"/>
                <w:left w:val="nil"/>
                <w:bottom w:val="nil"/>
                <w:right w:val="nil"/>
                <w:between w:val="nil"/>
              </w:pBdr>
              <w:jc w:val="right"/>
              <w:rPr>
                <w:b/>
                <w:color w:val="000000"/>
                <w:sz w:val="17"/>
                <w:szCs w:val="17"/>
              </w:rPr>
            </w:pPr>
          </w:p>
          <w:p w14:paraId="5C45E053" w14:textId="77777777" w:rsidR="005C4425" w:rsidRPr="001B330E" w:rsidRDefault="005C4425" w:rsidP="001B330E">
            <w:pPr>
              <w:widowControl w:val="0"/>
              <w:pBdr>
                <w:top w:val="nil"/>
                <w:left w:val="nil"/>
                <w:bottom w:val="nil"/>
                <w:right w:val="nil"/>
                <w:between w:val="nil"/>
              </w:pBdr>
              <w:jc w:val="right"/>
              <w:rPr>
                <w:b/>
                <w:color w:val="000000"/>
                <w:sz w:val="17"/>
                <w:szCs w:val="17"/>
              </w:rPr>
            </w:pPr>
          </w:p>
          <w:p w14:paraId="0E053F9E" w14:textId="77777777" w:rsidR="00D83E33" w:rsidRPr="001B330E" w:rsidRDefault="00BC4072" w:rsidP="001B330E">
            <w:pPr>
              <w:widowControl w:val="0"/>
              <w:pBdr>
                <w:top w:val="nil"/>
                <w:left w:val="nil"/>
                <w:bottom w:val="nil"/>
                <w:right w:val="nil"/>
                <w:between w:val="nil"/>
              </w:pBdr>
              <w:jc w:val="right"/>
              <w:rPr>
                <w:color w:val="000000"/>
                <w:sz w:val="17"/>
                <w:szCs w:val="17"/>
              </w:rPr>
            </w:pPr>
            <w:r w:rsidRPr="001B330E">
              <w:rPr>
                <w:b/>
                <w:color w:val="000000"/>
                <w:sz w:val="17"/>
                <w:szCs w:val="17"/>
              </w:rPr>
              <w:t xml:space="preserve">(d) </w:t>
            </w:r>
          </w:p>
        </w:tc>
        <w:tc>
          <w:tcPr>
            <w:tcW w:w="571" w:type="pct"/>
            <w:tcBorders>
              <w:top w:val="single" w:sz="4" w:space="0" w:color="000000"/>
              <w:bottom w:val="single" w:sz="4" w:space="0" w:color="000000"/>
            </w:tcBorders>
          </w:tcPr>
          <w:p w14:paraId="7A6649A4" w14:textId="52C16FDE" w:rsidR="00D83E33" w:rsidRDefault="00BC4072">
            <w:pPr>
              <w:widowControl w:val="0"/>
              <w:pBdr>
                <w:top w:val="nil"/>
                <w:left w:val="nil"/>
                <w:bottom w:val="nil"/>
                <w:right w:val="nil"/>
                <w:between w:val="nil"/>
              </w:pBdr>
              <w:jc w:val="right"/>
              <w:rPr>
                <w:b/>
                <w:color w:val="000000"/>
                <w:sz w:val="17"/>
                <w:szCs w:val="17"/>
              </w:rPr>
            </w:pPr>
            <w:r w:rsidRPr="001B330E">
              <w:rPr>
                <w:b/>
                <w:color w:val="000000"/>
                <w:sz w:val="17"/>
                <w:szCs w:val="17"/>
              </w:rPr>
              <w:t>Cash collateral received</w:t>
            </w:r>
          </w:p>
          <w:p w14:paraId="61ED6B1E" w14:textId="6C334513" w:rsidR="005C4425" w:rsidRDefault="005C4425">
            <w:pPr>
              <w:widowControl w:val="0"/>
              <w:pBdr>
                <w:top w:val="nil"/>
                <w:left w:val="nil"/>
                <w:bottom w:val="nil"/>
                <w:right w:val="nil"/>
                <w:between w:val="nil"/>
              </w:pBdr>
              <w:jc w:val="right"/>
              <w:rPr>
                <w:b/>
                <w:color w:val="000000"/>
                <w:sz w:val="17"/>
                <w:szCs w:val="17"/>
              </w:rPr>
            </w:pPr>
          </w:p>
          <w:p w14:paraId="05EDC851" w14:textId="77777777" w:rsidR="005C4425" w:rsidRPr="001B330E" w:rsidRDefault="005C4425" w:rsidP="001B330E">
            <w:pPr>
              <w:widowControl w:val="0"/>
              <w:pBdr>
                <w:top w:val="nil"/>
                <w:left w:val="nil"/>
                <w:bottom w:val="nil"/>
                <w:right w:val="nil"/>
                <w:between w:val="nil"/>
              </w:pBdr>
              <w:jc w:val="right"/>
              <w:rPr>
                <w:b/>
                <w:color w:val="000000"/>
                <w:sz w:val="17"/>
                <w:szCs w:val="17"/>
              </w:rPr>
            </w:pPr>
          </w:p>
          <w:p w14:paraId="1F8A1168" w14:textId="77777777" w:rsidR="00D83E33" w:rsidRPr="001B330E" w:rsidRDefault="00BC4072" w:rsidP="001B330E">
            <w:pPr>
              <w:widowControl w:val="0"/>
              <w:pBdr>
                <w:top w:val="nil"/>
                <w:left w:val="nil"/>
                <w:bottom w:val="nil"/>
                <w:right w:val="nil"/>
                <w:between w:val="nil"/>
              </w:pBdr>
              <w:jc w:val="right"/>
              <w:rPr>
                <w:color w:val="000000"/>
                <w:sz w:val="17"/>
                <w:szCs w:val="17"/>
              </w:rPr>
            </w:pPr>
            <w:r w:rsidRPr="001B330E">
              <w:rPr>
                <w:b/>
                <w:color w:val="000000"/>
                <w:sz w:val="17"/>
                <w:szCs w:val="17"/>
              </w:rPr>
              <w:t>(e)</w:t>
            </w:r>
          </w:p>
        </w:tc>
        <w:tc>
          <w:tcPr>
            <w:tcW w:w="568" w:type="pct"/>
            <w:vMerge/>
          </w:tcPr>
          <w:p w14:paraId="0ECA8E76" w14:textId="77777777" w:rsidR="00D83E33" w:rsidRPr="001B330E" w:rsidRDefault="00D83E33" w:rsidP="001B330E">
            <w:pPr>
              <w:widowControl w:val="0"/>
              <w:pBdr>
                <w:top w:val="nil"/>
                <w:left w:val="nil"/>
                <w:bottom w:val="nil"/>
                <w:right w:val="nil"/>
                <w:between w:val="nil"/>
              </w:pBdr>
              <w:rPr>
                <w:color w:val="000000"/>
                <w:sz w:val="17"/>
                <w:szCs w:val="17"/>
              </w:rPr>
            </w:pPr>
          </w:p>
        </w:tc>
      </w:tr>
      <w:tr w:rsidR="00D83E33" w:rsidRPr="009A397A" w14:paraId="53DD2068" w14:textId="77777777" w:rsidTr="001B330E">
        <w:trPr>
          <w:trHeight w:val="23"/>
        </w:trPr>
        <w:tc>
          <w:tcPr>
            <w:tcW w:w="1578" w:type="pct"/>
            <w:vAlign w:val="bottom"/>
          </w:tcPr>
          <w:p w14:paraId="142FBB62"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b/>
                <w:color w:val="000000"/>
                <w:sz w:val="17"/>
                <w:szCs w:val="17"/>
              </w:rPr>
              <w:t> </w:t>
            </w:r>
          </w:p>
        </w:tc>
        <w:tc>
          <w:tcPr>
            <w:tcW w:w="571" w:type="pct"/>
            <w:vAlign w:val="bottom"/>
          </w:tcPr>
          <w:p w14:paraId="06344C6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F6324C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98652E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126A69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2D16CF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674EC4B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4C96B49A" w14:textId="77777777" w:rsidTr="001B330E">
        <w:trPr>
          <w:trHeight w:val="23"/>
        </w:trPr>
        <w:tc>
          <w:tcPr>
            <w:tcW w:w="1578" w:type="pct"/>
            <w:vAlign w:val="bottom"/>
          </w:tcPr>
          <w:p w14:paraId="653108A6"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ASSETS</w:t>
            </w:r>
          </w:p>
        </w:tc>
        <w:tc>
          <w:tcPr>
            <w:tcW w:w="571" w:type="pct"/>
            <w:vAlign w:val="bottom"/>
          </w:tcPr>
          <w:p w14:paraId="2525C476" w14:textId="77777777" w:rsidR="00D83E33" w:rsidRPr="001B330E" w:rsidRDefault="00D83E33" w:rsidP="001B330E">
            <w:pPr>
              <w:widowControl w:val="0"/>
              <w:pBdr>
                <w:top w:val="nil"/>
                <w:left w:val="nil"/>
                <w:bottom w:val="nil"/>
                <w:right w:val="nil"/>
                <w:between w:val="nil"/>
              </w:pBdr>
              <w:jc w:val="right"/>
              <w:rPr>
                <w:smallCaps/>
                <w:color w:val="000000"/>
                <w:sz w:val="17"/>
                <w:szCs w:val="17"/>
              </w:rPr>
            </w:pPr>
          </w:p>
        </w:tc>
        <w:tc>
          <w:tcPr>
            <w:tcW w:w="571" w:type="pct"/>
            <w:vAlign w:val="bottom"/>
          </w:tcPr>
          <w:p w14:paraId="34EEBBE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45AA9ED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3D9CCB31"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432BE0E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055FF06A"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145886B0" w14:textId="77777777" w:rsidTr="001B330E">
        <w:trPr>
          <w:trHeight w:val="23"/>
        </w:trPr>
        <w:tc>
          <w:tcPr>
            <w:tcW w:w="1578" w:type="pct"/>
            <w:vAlign w:val="bottom"/>
          </w:tcPr>
          <w:p w14:paraId="4C9B4439"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color w:val="000000"/>
                <w:sz w:val="17"/>
                <w:szCs w:val="17"/>
              </w:rPr>
              <w:t> </w:t>
            </w:r>
          </w:p>
        </w:tc>
        <w:tc>
          <w:tcPr>
            <w:tcW w:w="571" w:type="pct"/>
            <w:vAlign w:val="bottom"/>
          </w:tcPr>
          <w:p w14:paraId="7B95151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1574A7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CD127D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EF1AD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886FA0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7D3278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2FB3C38" w14:textId="77777777" w:rsidTr="001B330E">
        <w:trPr>
          <w:trHeight w:val="23"/>
        </w:trPr>
        <w:tc>
          <w:tcPr>
            <w:tcW w:w="1578" w:type="pct"/>
            <w:vAlign w:val="bottom"/>
          </w:tcPr>
          <w:p w14:paraId="2333BC52"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Due from other banks</w:t>
            </w:r>
          </w:p>
        </w:tc>
        <w:tc>
          <w:tcPr>
            <w:tcW w:w="571" w:type="pct"/>
            <w:vAlign w:val="bottom"/>
          </w:tcPr>
          <w:p w14:paraId="12CC59F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4A48A8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76384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FEDA72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B32169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6B98E0F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544931E1" w14:textId="77777777" w:rsidTr="001B330E">
        <w:trPr>
          <w:trHeight w:val="23"/>
        </w:trPr>
        <w:tc>
          <w:tcPr>
            <w:tcW w:w="1578" w:type="pct"/>
            <w:vAlign w:val="bottom"/>
          </w:tcPr>
          <w:p w14:paraId="5B421E1D"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Short-term placements with other banks with original maturities of more than three months</w:t>
            </w:r>
          </w:p>
        </w:tc>
        <w:tc>
          <w:tcPr>
            <w:tcW w:w="571" w:type="pct"/>
            <w:vAlign w:val="bottom"/>
          </w:tcPr>
          <w:p w14:paraId="128A1C5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76E45B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C747C7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BD7503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E2D6B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5F86DFE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59878DD3" w14:textId="77777777" w:rsidTr="001B330E">
        <w:trPr>
          <w:trHeight w:val="23"/>
        </w:trPr>
        <w:tc>
          <w:tcPr>
            <w:tcW w:w="1578" w:type="pct"/>
            <w:vAlign w:val="bottom"/>
          </w:tcPr>
          <w:p w14:paraId="170B7A14"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Reverse sale and repurchase agreements with other banks with original maturities of more than three months</w:t>
            </w:r>
          </w:p>
        </w:tc>
        <w:tc>
          <w:tcPr>
            <w:tcW w:w="571" w:type="pct"/>
            <w:vAlign w:val="bottom"/>
          </w:tcPr>
          <w:p w14:paraId="2E5715F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DF2E0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9ACAEE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0BED1F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3891EA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2E6AFD6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0829CC86" w14:textId="77777777" w:rsidTr="001B330E">
        <w:trPr>
          <w:trHeight w:val="23"/>
        </w:trPr>
        <w:tc>
          <w:tcPr>
            <w:tcW w:w="1578" w:type="pct"/>
            <w:vAlign w:val="bottom"/>
          </w:tcPr>
          <w:p w14:paraId="4058CB74"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Loans and advances to customers</w:t>
            </w:r>
          </w:p>
        </w:tc>
        <w:tc>
          <w:tcPr>
            <w:tcW w:w="571" w:type="pct"/>
            <w:vAlign w:val="bottom"/>
          </w:tcPr>
          <w:p w14:paraId="2982039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BD0D1F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5147C6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DF441D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E8DF20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168BB19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3A41419D" w14:textId="77777777" w:rsidTr="001B330E">
        <w:trPr>
          <w:trHeight w:val="23"/>
        </w:trPr>
        <w:tc>
          <w:tcPr>
            <w:tcW w:w="1578" w:type="pct"/>
            <w:vAlign w:val="bottom"/>
          </w:tcPr>
          <w:p w14:paraId="4697E727"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Corporate loans</w:t>
            </w:r>
          </w:p>
        </w:tc>
        <w:tc>
          <w:tcPr>
            <w:tcW w:w="571" w:type="pct"/>
            <w:vAlign w:val="bottom"/>
          </w:tcPr>
          <w:p w14:paraId="4C8B9F0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360C3E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24878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143521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EB2024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1E0ED65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38D7EB83" w14:textId="77777777" w:rsidTr="001B330E">
        <w:trPr>
          <w:trHeight w:val="23"/>
        </w:trPr>
        <w:tc>
          <w:tcPr>
            <w:tcW w:w="1578" w:type="pct"/>
            <w:vAlign w:val="bottom"/>
          </w:tcPr>
          <w:p w14:paraId="747EE97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Reverse sale and repurchase agreements</w:t>
            </w:r>
          </w:p>
        </w:tc>
        <w:tc>
          <w:tcPr>
            <w:tcW w:w="571" w:type="pct"/>
            <w:vAlign w:val="bottom"/>
          </w:tcPr>
          <w:p w14:paraId="43D06F3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E47BF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18FB99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1CEB1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18F073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671557D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C6EAAFC" w14:textId="77777777" w:rsidTr="001B330E">
        <w:trPr>
          <w:trHeight w:val="23"/>
        </w:trPr>
        <w:tc>
          <w:tcPr>
            <w:tcW w:w="1578" w:type="pct"/>
            <w:vAlign w:val="bottom"/>
          </w:tcPr>
          <w:p w14:paraId="4E72D110"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Other financial assets:</w:t>
            </w:r>
          </w:p>
        </w:tc>
        <w:tc>
          <w:tcPr>
            <w:tcW w:w="571" w:type="pct"/>
            <w:vAlign w:val="bottom"/>
          </w:tcPr>
          <w:p w14:paraId="25CB2FCD"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7EF58EE8"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2D784667"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7A31BB73"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60F12968"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68" w:type="pct"/>
            <w:vAlign w:val="bottom"/>
          </w:tcPr>
          <w:p w14:paraId="1ECE53B9"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9A397A" w14:paraId="515E7BAB" w14:textId="77777777" w:rsidTr="001B330E">
        <w:trPr>
          <w:trHeight w:val="23"/>
        </w:trPr>
        <w:tc>
          <w:tcPr>
            <w:tcW w:w="1578" w:type="pct"/>
            <w:vAlign w:val="bottom"/>
          </w:tcPr>
          <w:p w14:paraId="6CA26A06"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Trade receivables</w:t>
            </w:r>
          </w:p>
        </w:tc>
        <w:tc>
          <w:tcPr>
            <w:tcW w:w="571" w:type="pct"/>
            <w:vAlign w:val="bottom"/>
          </w:tcPr>
          <w:p w14:paraId="2DCA585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6AC250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515371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9EF340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8AB3BF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3C27791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C18626E" w14:textId="77777777" w:rsidTr="001B330E">
        <w:trPr>
          <w:trHeight w:val="23"/>
        </w:trPr>
        <w:tc>
          <w:tcPr>
            <w:tcW w:w="1578" w:type="pct"/>
            <w:vAlign w:val="bottom"/>
          </w:tcPr>
          <w:p w14:paraId="30BB2E0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Credit and debit cards receivables</w:t>
            </w:r>
          </w:p>
        </w:tc>
        <w:tc>
          <w:tcPr>
            <w:tcW w:w="571" w:type="pct"/>
            <w:vAlign w:val="bottom"/>
          </w:tcPr>
          <w:p w14:paraId="17E2AE3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E4374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CDC863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314EE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5134E6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00B2F2C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208419BE" w14:textId="77777777" w:rsidTr="001B330E">
        <w:trPr>
          <w:trHeight w:val="23"/>
        </w:trPr>
        <w:tc>
          <w:tcPr>
            <w:tcW w:w="1578" w:type="pct"/>
            <w:vAlign w:val="bottom"/>
          </w:tcPr>
          <w:p w14:paraId="7E85014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Settlements on conversion operations</w:t>
            </w:r>
          </w:p>
        </w:tc>
        <w:tc>
          <w:tcPr>
            <w:tcW w:w="571" w:type="pct"/>
            <w:vAlign w:val="bottom"/>
          </w:tcPr>
          <w:p w14:paraId="4F8E2A8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C033A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2E8A4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20A3E2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DFF460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152DFE5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75E4C6C1" w14:textId="77777777" w:rsidTr="001B330E">
        <w:trPr>
          <w:trHeight w:val="23"/>
        </w:trPr>
        <w:tc>
          <w:tcPr>
            <w:tcW w:w="1578" w:type="pct"/>
            <w:vAlign w:val="bottom"/>
          </w:tcPr>
          <w:p w14:paraId="06DC4D57"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Foreign exchange forward contracts</w:t>
            </w:r>
          </w:p>
        </w:tc>
        <w:tc>
          <w:tcPr>
            <w:tcW w:w="571" w:type="pct"/>
            <w:vAlign w:val="bottom"/>
          </w:tcPr>
          <w:p w14:paraId="4C8FC8B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314D51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140032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FC534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B7BE3B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4ADC062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377993F8" w14:textId="77777777" w:rsidTr="001B330E">
        <w:trPr>
          <w:trHeight w:val="23"/>
        </w:trPr>
        <w:tc>
          <w:tcPr>
            <w:tcW w:w="1578" w:type="pct"/>
            <w:vAlign w:val="bottom"/>
          </w:tcPr>
          <w:p w14:paraId="64A9C9FB"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Precious metals forward contracts</w:t>
            </w:r>
          </w:p>
        </w:tc>
        <w:tc>
          <w:tcPr>
            <w:tcW w:w="571" w:type="pct"/>
            <w:vAlign w:val="bottom"/>
          </w:tcPr>
          <w:p w14:paraId="60B6835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4DA772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C1AE4D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ECB0B9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E886B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729ACB6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3D922CA0" w14:textId="77777777" w:rsidTr="001B330E">
        <w:trPr>
          <w:trHeight w:val="23"/>
        </w:trPr>
        <w:tc>
          <w:tcPr>
            <w:tcW w:w="1578" w:type="pct"/>
            <w:vAlign w:val="bottom"/>
          </w:tcPr>
          <w:p w14:paraId="4E2E667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Other financial derivatives</w:t>
            </w:r>
          </w:p>
        </w:tc>
        <w:tc>
          <w:tcPr>
            <w:tcW w:w="571" w:type="pct"/>
            <w:vAlign w:val="bottom"/>
          </w:tcPr>
          <w:p w14:paraId="651CAC4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809241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1BA3E1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0ED4AA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A56C9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2E8BA05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5AA890BE" w14:textId="77777777" w:rsidTr="001B330E">
        <w:trPr>
          <w:trHeight w:val="23"/>
        </w:trPr>
        <w:tc>
          <w:tcPr>
            <w:tcW w:w="1578" w:type="pct"/>
            <w:vAlign w:val="bottom"/>
          </w:tcPr>
          <w:p w14:paraId="2BC6D0DD"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 Restricted cash </w:t>
            </w:r>
          </w:p>
        </w:tc>
        <w:tc>
          <w:tcPr>
            <w:tcW w:w="571" w:type="pct"/>
            <w:vAlign w:val="bottom"/>
          </w:tcPr>
          <w:p w14:paraId="054786D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40D27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7B105D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D3A90C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AD1038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1F82093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26BA6664" w14:textId="77777777" w:rsidTr="001B330E">
        <w:trPr>
          <w:trHeight w:val="23"/>
        </w:trPr>
        <w:tc>
          <w:tcPr>
            <w:tcW w:w="1578" w:type="pct"/>
            <w:vAlign w:val="bottom"/>
          </w:tcPr>
          <w:p w14:paraId="0FC5BC57" w14:textId="4126DD8F" w:rsidR="00D83E33" w:rsidRPr="001B330E" w:rsidRDefault="00D83E33" w:rsidP="001B330E">
            <w:pPr>
              <w:widowControl w:val="0"/>
              <w:pBdr>
                <w:top w:val="nil"/>
                <w:left w:val="nil"/>
                <w:bottom w:val="nil"/>
                <w:right w:val="nil"/>
                <w:between w:val="nil"/>
              </w:pBdr>
              <w:ind w:left="113" w:hanging="113"/>
              <w:rPr>
                <w:i/>
                <w:color w:val="FF0000"/>
                <w:sz w:val="17"/>
                <w:szCs w:val="17"/>
              </w:rPr>
            </w:pPr>
          </w:p>
        </w:tc>
        <w:tc>
          <w:tcPr>
            <w:tcW w:w="571" w:type="pct"/>
            <w:vAlign w:val="bottom"/>
          </w:tcPr>
          <w:p w14:paraId="2FD71D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AA6383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5C796D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4F339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1F4E3C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7AD3B45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7FA9D9F" w14:textId="77777777" w:rsidTr="001B330E">
        <w:trPr>
          <w:trHeight w:val="23"/>
        </w:trPr>
        <w:tc>
          <w:tcPr>
            <w:tcW w:w="1578" w:type="pct"/>
            <w:tcBorders>
              <w:bottom w:val="single" w:sz="4" w:space="0" w:color="000000"/>
            </w:tcBorders>
            <w:vAlign w:val="bottom"/>
          </w:tcPr>
          <w:p w14:paraId="57F6DCAC"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tcBorders>
              <w:bottom w:val="single" w:sz="4" w:space="0" w:color="000000"/>
            </w:tcBorders>
            <w:vAlign w:val="bottom"/>
          </w:tcPr>
          <w:p w14:paraId="347CA43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2CB5149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39E2F42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52BDC1E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54C4A22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tcBorders>
              <w:bottom w:val="single" w:sz="4" w:space="0" w:color="000000"/>
            </w:tcBorders>
            <w:vAlign w:val="bottom"/>
          </w:tcPr>
          <w:p w14:paraId="168E31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248FB082" w14:textId="77777777" w:rsidTr="001B330E">
        <w:trPr>
          <w:trHeight w:val="23"/>
        </w:trPr>
        <w:tc>
          <w:tcPr>
            <w:tcW w:w="1578" w:type="pct"/>
            <w:vAlign w:val="bottom"/>
          </w:tcPr>
          <w:p w14:paraId="147DC7B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vAlign w:val="bottom"/>
          </w:tcPr>
          <w:p w14:paraId="38626622"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31F4ECDC"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1C2F8AD7"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66EE288E"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5996B03E"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68" w:type="pct"/>
            <w:vAlign w:val="bottom"/>
          </w:tcPr>
          <w:p w14:paraId="04F4208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9A397A" w14:paraId="7F804CFD" w14:textId="77777777" w:rsidTr="001B330E">
        <w:trPr>
          <w:trHeight w:val="23"/>
        </w:trPr>
        <w:tc>
          <w:tcPr>
            <w:tcW w:w="1578" w:type="pct"/>
            <w:vAlign w:val="bottom"/>
          </w:tcPr>
          <w:p w14:paraId="3773352E"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TOTAL ASSETS SUBJECT TO OFFSETTING, MASTER NETTING AND SIMILAR ARRANGEMENT</w:t>
            </w:r>
          </w:p>
        </w:tc>
        <w:tc>
          <w:tcPr>
            <w:tcW w:w="571" w:type="pct"/>
            <w:vAlign w:val="bottom"/>
          </w:tcPr>
          <w:p w14:paraId="59CC0A43"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03B2A36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773371F1"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0BA72E5A"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27A9F9A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3EDB560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059068A9" w14:textId="77777777" w:rsidTr="001B330E">
        <w:trPr>
          <w:trHeight w:val="23"/>
        </w:trPr>
        <w:tc>
          <w:tcPr>
            <w:tcW w:w="1578" w:type="pct"/>
            <w:tcBorders>
              <w:bottom w:val="single" w:sz="12" w:space="0" w:color="000000"/>
            </w:tcBorders>
            <w:shd w:val="clear" w:color="auto" w:fill="auto"/>
            <w:vAlign w:val="bottom"/>
          </w:tcPr>
          <w:p w14:paraId="78168F2D"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tcBorders>
              <w:bottom w:val="single" w:sz="12" w:space="0" w:color="000000"/>
            </w:tcBorders>
            <w:shd w:val="clear" w:color="auto" w:fill="auto"/>
            <w:vAlign w:val="bottom"/>
          </w:tcPr>
          <w:p w14:paraId="147FA89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00724F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3C604A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vAlign w:val="bottom"/>
          </w:tcPr>
          <w:p w14:paraId="5519ACE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550B653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tcBorders>
              <w:bottom w:val="single" w:sz="12" w:space="0" w:color="000000"/>
            </w:tcBorders>
            <w:vAlign w:val="bottom"/>
          </w:tcPr>
          <w:p w14:paraId="3136275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625ECEB4" w14:textId="77777777" w:rsidTr="001B330E">
        <w:trPr>
          <w:trHeight w:val="23"/>
        </w:trPr>
        <w:tc>
          <w:tcPr>
            <w:tcW w:w="1578" w:type="pct"/>
            <w:vAlign w:val="bottom"/>
          </w:tcPr>
          <w:p w14:paraId="100BE161"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color w:val="000000"/>
                <w:sz w:val="17"/>
                <w:szCs w:val="17"/>
              </w:rPr>
              <w:t> </w:t>
            </w:r>
          </w:p>
        </w:tc>
        <w:tc>
          <w:tcPr>
            <w:tcW w:w="571" w:type="pct"/>
            <w:vAlign w:val="bottom"/>
          </w:tcPr>
          <w:p w14:paraId="32D212BE" w14:textId="77777777" w:rsidR="00D83E33" w:rsidRPr="001B330E" w:rsidRDefault="00D83E33" w:rsidP="001B330E">
            <w:pPr>
              <w:widowControl w:val="0"/>
              <w:pBdr>
                <w:top w:val="nil"/>
                <w:left w:val="nil"/>
                <w:bottom w:val="nil"/>
                <w:right w:val="nil"/>
                <w:between w:val="nil"/>
              </w:pBdr>
              <w:jc w:val="right"/>
              <w:rPr>
                <w:smallCaps/>
                <w:color w:val="000000"/>
                <w:sz w:val="17"/>
                <w:szCs w:val="17"/>
              </w:rPr>
            </w:pPr>
          </w:p>
        </w:tc>
        <w:tc>
          <w:tcPr>
            <w:tcW w:w="571" w:type="pct"/>
            <w:vAlign w:val="bottom"/>
          </w:tcPr>
          <w:p w14:paraId="4025C7F5"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0474E00B"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12C3B7E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7972CB5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43EFD22D"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0EE6382F" w14:textId="77777777" w:rsidTr="001B330E">
        <w:trPr>
          <w:trHeight w:val="23"/>
        </w:trPr>
        <w:tc>
          <w:tcPr>
            <w:tcW w:w="1578" w:type="pct"/>
            <w:vAlign w:val="bottom"/>
          </w:tcPr>
          <w:p w14:paraId="6A2CBEBB"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LIABILITIES</w:t>
            </w:r>
          </w:p>
        </w:tc>
        <w:tc>
          <w:tcPr>
            <w:tcW w:w="571" w:type="pct"/>
            <w:vAlign w:val="bottom"/>
          </w:tcPr>
          <w:p w14:paraId="519E08FD" w14:textId="77777777" w:rsidR="00D83E33" w:rsidRPr="001B330E" w:rsidRDefault="00D83E33" w:rsidP="001B330E">
            <w:pPr>
              <w:widowControl w:val="0"/>
              <w:pBdr>
                <w:top w:val="nil"/>
                <w:left w:val="nil"/>
                <w:bottom w:val="nil"/>
                <w:right w:val="nil"/>
                <w:between w:val="nil"/>
              </w:pBdr>
              <w:jc w:val="right"/>
              <w:rPr>
                <w:smallCaps/>
                <w:color w:val="000000"/>
                <w:sz w:val="17"/>
                <w:szCs w:val="17"/>
              </w:rPr>
            </w:pPr>
          </w:p>
        </w:tc>
        <w:tc>
          <w:tcPr>
            <w:tcW w:w="571" w:type="pct"/>
            <w:vAlign w:val="bottom"/>
          </w:tcPr>
          <w:p w14:paraId="36CBB1D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3F718BF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0212A7C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20BAF6C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3F99EB5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72D5C3D0" w14:textId="77777777" w:rsidTr="001B330E">
        <w:trPr>
          <w:trHeight w:val="23"/>
        </w:trPr>
        <w:tc>
          <w:tcPr>
            <w:tcW w:w="1578" w:type="pct"/>
            <w:vAlign w:val="bottom"/>
          </w:tcPr>
          <w:p w14:paraId="310612CE" w14:textId="77777777" w:rsidR="00D83E33" w:rsidRPr="001B330E" w:rsidRDefault="00D83E33" w:rsidP="001B330E">
            <w:pPr>
              <w:widowControl w:val="0"/>
              <w:pBdr>
                <w:top w:val="nil"/>
                <w:left w:val="nil"/>
                <w:bottom w:val="nil"/>
                <w:right w:val="nil"/>
                <w:between w:val="nil"/>
              </w:pBdr>
              <w:ind w:left="113" w:hanging="113"/>
              <w:rPr>
                <w:b/>
                <w:i/>
                <w:color w:val="000000"/>
                <w:sz w:val="17"/>
                <w:szCs w:val="17"/>
              </w:rPr>
            </w:pPr>
          </w:p>
        </w:tc>
        <w:tc>
          <w:tcPr>
            <w:tcW w:w="571" w:type="pct"/>
            <w:vAlign w:val="bottom"/>
          </w:tcPr>
          <w:p w14:paraId="510C375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CB4AC0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A392A3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E15625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56B503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70F1444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27A5B6CB" w14:textId="77777777" w:rsidTr="001B330E">
        <w:trPr>
          <w:trHeight w:val="23"/>
        </w:trPr>
        <w:tc>
          <w:tcPr>
            <w:tcW w:w="1578" w:type="pct"/>
            <w:vAlign w:val="bottom"/>
          </w:tcPr>
          <w:p w14:paraId="0DC6095D"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Financial derivatives</w:t>
            </w:r>
          </w:p>
        </w:tc>
        <w:tc>
          <w:tcPr>
            <w:tcW w:w="571" w:type="pct"/>
            <w:vAlign w:val="bottom"/>
          </w:tcPr>
          <w:p w14:paraId="0161DF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2CAB30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542652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F2FD0E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86D87B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3CFBEC5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208672C1" w14:textId="77777777" w:rsidTr="001B330E">
        <w:trPr>
          <w:trHeight w:val="23"/>
        </w:trPr>
        <w:tc>
          <w:tcPr>
            <w:tcW w:w="1578" w:type="pct"/>
            <w:vAlign w:val="bottom"/>
          </w:tcPr>
          <w:p w14:paraId="1B625BA5"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Sale and repurchase agreements</w:t>
            </w:r>
          </w:p>
        </w:tc>
        <w:tc>
          <w:tcPr>
            <w:tcW w:w="571" w:type="pct"/>
            <w:vAlign w:val="bottom"/>
          </w:tcPr>
          <w:p w14:paraId="276290E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B5CA33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BEF280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0DFC90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4309AD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17B1F16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40A9206A" w14:textId="77777777" w:rsidTr="001B330E">
        <w:trPr>
          <w:trHeight w:val="23"/>
        </w:trPr>
        <w:tc>
          <w:tcPr>
            <w:tcW w:w="1578" w:type="pct"/>
            <w:vAlign w:val="bottom"/>
          </w:tcPr>
          <w:p w14:paraId="60ED1F64"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Trade payables</w:t>
            </w:r>
          </w:p>
        </w:tc>
        <w:tc>
          <w:tcPr>
            <w:tcW w:w="571" w:type="pct"/>
            <w:vAlign w:val="bottom"/>
          </w:tcPr>
          <w:p w14:paraId="03DA31E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64B8ED9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25808E8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4FE9B45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53B8C79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72CD14F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2CCBC3C3" w14:textId="77777777" w:rsidTr="001B330E">
        <w:trPr>
          <w:trHeight w:val="23"/>
        </w:trPr>
        <w:tc>
          <w:tcPr>
            <w:tcW w:w="1578" w:type="pct"/>
            <w:vAlign w:val="bottom"/>
          </w:tcPr>
          <w:p w14:paraId="334D6BA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Short sale of securities</w:t>
            </w:r>
          </w:p>
        </w:tc>
        <w:tc>
          <w:tcPr>
            <w:tcW w:w="571" w:type="pct"/>
            <w:vAlign w:val="bottom"/>
          </w:tcPr>
          <w:p w14:paraId="3C26F99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E4325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1007AB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7A7021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3AC7205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042F7C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45523F9A" w14:textId="77777777" w:rsidTr="001B330E">
        <w:trPr>
          <w:trHeight w:val="23"/>
        </w:trPr>
        <w:tc>
          <w:tcPr>
            <w:tcW w:w="1578" w:type="pct"/>
            <w:vAlign w:val="bottom"/>
          </w:tcPr>
          <w:p w14:paraId="2021E2F0" w14:textId="0B0E834E" w:rsidR="00D83E33" w:rsidRPr="001B330E" w:rsidRDefault="00D83E33" w:rsidP="001B330E">
            <w:pPr>
              <w:widowControl w:val="0"/>
              <w:pBdr>
                <w:top w:val="nil"/>
                <w:left w:val="nil"/>
                <w:bottom w:val="nil"/>
                <w:right w:val="nil"/>
                <w:between w:val="nil"/>
              </w:pBdr>
              <w:ind w:left="113" w:hanging="113"/>
              <w:rPr>
                <w:i/>
                <w:color w:val="FF0000"/>
                <w:sz w:val="17"/>
                <w:szCs w:val="17"/>
              </w:rPr>
            </w:pPr>
          </w:p>
        </w:tc>
        <w:tc>
          <w:tcPr>
            <w:tcW w:w="571" w:type="pct"/>
            <w:vAlign w:val="bottom"/>
          </w:tcPr>
          <w:p w14:paraId="4F0BD58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40B425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EFC89C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093D608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vAlign w:val="bottom"/>
          </w:tcPr>
          <w:p w14:paraId="12AD8D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vAlign w:val="bottom"/>
          </w:tcPr>
          <w:p w14:paraId="271AAC5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186A526A" w14:textId="77777777" w:rsidTr="001B330E">
        <w:trPr>
          <w:trHeight w:val="23"/>
        </w:trPr>
        <w:tc>
          <w:tcPr>
            <w:tcW w:w="1578" w:type="pct"/>
            <w:tcBorders>
              <w:bottom w:val="single" w:sz="4" w:space="0" w:color="000000"/>
            </w:tcBorders>
            <w:vAlign w:val="bottom"/>
          </w:tcPr>
          <w:p w14:paraId="7F5EC10C"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tcBorders>
              <w:bottom w:val="single" w:sz="4" w:space="0" w:color="000000"/>
            </w:tcBorders>
            <w:vAlign w:val="bottom"/>
          </w:tcPr>
          <w:p w14:paraId="7120DBD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149F02A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33358D0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286FD62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4" w:space="0" w:color="000000"/>
            </w:tcBorders>
            <w:vAlign w:val="bottom"/>
          </w:tcPr>
          <w:p w14:paraId="6578629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tcBorders>
              <w:bottom w:val="single" w:sz="4" w:space="0" w:color="000000"/>
            </w:tcBorders>
            <w:vAlign w:val="bottom"/>
          </w:tcPr>
          <w:p w14:paraId="566C6B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9A397A" w14:paraId="1C99EB8C" w14:textId="77777777" w:rsidTr="001B330E">
        <w:trPr>
          <w:trHeight w:val="23"/>
        </w:trPr>
        <w:tc>
          <w:tcPr>
            <w:tcW w:w="1578" w:type="pct"/>
            <w:vAlign w:val="bottom"/>
          </w:tcPr>
          <w:p w14:paraId="41E86C3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vAlign w:val="bottom"/>
          </w:tcPr>
          <w:p w14:paraId="0C8BA324"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63FE61E9"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30FF0C93"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43923094"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1" w:type="pct"/>
            <w:vAlign w:val="bottom"/>
          </w:tcPr>
          <w:p w14:paraId="5A5E7B0D"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68" w:type="pct"/>
            <w:vAlign w:val="bottom"/>
          </w:tcPr>
          <w:p w14:paraId="75A38107"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9A397A" w14:paraId="403C25B1" w14:textId="77777777" w:rsidTr="001B330E">
        <w:trPr>
          <w:trHeight w:val="23"/>
        </w:trPr>
        <w:tc>
          <w:tcPr>
            <w:tcW w:w="1578" w:type="pct"/>
            <w:vAlign w:val="bottom"/>
          </w:tcPr>
          <w:p w14:paraId="57EE1307"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TOTAL LIABILITIES SUBJECT TO OFFSETTING, MASTER NETTING AND SIMILAR ARRANGEMENT</w:t>
            </w:r>
          </w:p>
        </w:tc>
        <w:tc>
          <w:tcPr>
            <w:tcW w:w="571" w:type="pct"/>
            <w:vAlign w:val="bottom"/>
          </w:tcPr>
          <w:p w14:paraId="635CE415"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7DA6F31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08C87DB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0E8ABBF5"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71" w:type="pct"/>
            <w:vAlign w:val="bottom"/>
          </w:tcPr>
          <w:p w14:paraId="7B59528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568" w:type="pct"/>
            <w:vAlign w:val="bottom"/>
          </w:tcPr>
          <w:p w14:paraId="2CBF416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9A397A" w14:paraId="30429FB7" w14:textId="77777777" w:rsidTr="001B330E">
        <w:trPr>
          <w:trHeight w:val="23"/>
        </w:trPr>
        <w:tc>
          <w:tcPr>
            <w:tcW w:w="1578" w:type="pct"/>
            <w:tcBorders>
              <w:bottom w:val="single" w:sz="12" w:space="0" w:color="000000"/>
            </w:tcBorders>
            <w:shd w:val="clear" w:color="auto" w:fill="auto"/>
            <w:vAlign w:val="bottom"/>
          </w:tcPr>
          <w:p w14:paraId="5E7ED004"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color w:val="000000"/>
                <w:sz w:val="17"/>
                <w:szCs w:val="17"/>
              </w:rPr>
              <w:t> </w:t>
            </w:r>
          </w:p>
        </w:tc>
        <w:tc>
          <w:tcPr>
            <w:tcW w:w="571" w:type="pct"/>
            <w:tcBorders>
              <w:bottom w:val="single" w:sz="12" w:space="0" w:color="000000"/>
            </w:tcBorders>
            <w:shd w:val="clear" w:color="auto" w:fill="auto"/>
            <w:vAlign w:val="bottom"/>
          </w:tcPr>
          <w:p w14:paraId="41FF05B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6F8A21C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213EBE4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vAlign w:val="bottom"/>
          </w:tcPr>
          <w:p w14:paraId="7F15EAA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1" w:type="pct"/>
            <w:tcBorders>
              <w:bottom w:val="single" w:sz="12" w:space="0" w:color="000000"/>
            </w:tcBorders>
            <w:shd w:val="clear" w:color="auto" w:fill="auto"/>
            <w:vAlign w:val="bottom"/>
          </w:tcPr>
          <w:p w14:paraId="06D6F79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68" w:type="pct"/>
            <w:tcBorders>
              <w:bottom w:val="single" w:sz="12" w:space="0" w:color="000000"/>
            </w:tcBorders>
            <w:vAlign w:val="bottom"/>
          </w:tcPr>
          <w:p w14:paraId="7FE5DC5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bl>
    <w:p w14:paraId="06F60C9F" w14:textId="7F14CFF7" w:rsidR="00D83E33" w:rsidRDefault="00BC4072" w:rsidP="001B330E">
      <w:pPr>
        <w:pStyle w:val="Continued"/>
      </w:pPr>
      <w:r>
        <w:lastRenderedPageBreak/>
        <w:t>44</w:t>
      </w:r>
      <w:r>
        <w:tab/>
        <w:t>Offsetting Financial Assets and Financial Liabilities (Continued)</w:t>
      </w:r>
    </w:p>
    <w:p w14:paraId="0034D0DA" w14:textId="77777777" w:rsidR="008B6A03" w:rsidRDefault="008B6A03" w:rsidP="008B6A03">
      <w:pPr>
        <w:widowControl w:val="0"/>
        <w:pBdr>
          <w:top w:val="nil"/>
          <w:left w:val="nil"/>
          <w:bottom w:val="nil"/>
          <w:right w:val="nil"/>
          <w:between w:val="nil"/>
        </w:pBdr>
        <w:spacing w:before="200" w:after="200"/>
        <w:jc w:val="both"/>
        <w:rPr>
          <w:color w:val="000000"/>
          <w:sz w:val="20"/>
          <w:szCs w:val="20"/>
        </w:rPr>
      </w:pPr>
      <w:r>
        <w:rPr>
          <w:color w:val="000000"/>
          <w:sz w:val="20"/>
          <w:szCs w:val="20"/>
        </w:rPr>
        <w:t>Financial assets and liabilities are offset and the net amount reported in the consolidated statement of financial position only when there is a legally enforceable right to offset the recognised amounts, and there is an intention to either settle on a net basis, or to realise the asset and settle the liability simultaneously. Such a right of set off (a) must not be contingent on a future event and (b) must be legally enforceable in all of the following circumstances: (i) in the normal course of business, (ii) the event of default and (iii) the event of insolvency or bankruptcy.</w:t>
      </w:r>
    </w:p>
    <w:p w14:paraId="284EDAC6"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amount set off in the statement of financial position reported in column (b) is the lower of (i) the gross amount before offsetting reported in column (a) and (ii) the amount of the related instrument that is eligible for offsetting. Similarly, the amounts in columns (d) and (e) are limited to the exposure reported in column (c) for each individual instrument in order not to understate the ultimate net exposure.</w:t>
      </w:r>
    </w:p>
    <w:p w14:paraId="742B9B71"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has master netting arrangements with counterparty banks, which are enforceable in case of default. In addition, applicable legislation allows an entity to unilaterally set off trade receivables and payables that are due for payment, denominated in the same currency and outstanding with the same counterparty. These fall in the scope of the disclosure as they were set off in the statement of financial position. The Group also made margin deposits with </w:t>
      </w:r>
      <w:r>
        <w:rPr>
          <w:color w:val="0000FF"/>
          <w:sz w:val="20"/>
          <w:szCs w:val="20"/>
        </w:rPr>
        <w:t>[clearing house counterparty]</w:t>
      </w:r>
      <w:r>
        <w:rPr>
          <w:color w:val="000000"/>
          <w:sz w:val="20"/>
          <w:szCs w:val="20"/>
        </w:rPr>
        <w:t xml:space="preserve"> as collateral for its outstanding derivative positions. The counterparty may set off the Group’s liabilities with the margin deposit in case of default.</w:t>
      </w:r>
    </w:p>
    <w:p w14:paraId="47F74320"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disclosure does not apply to loans and advances to customers and related customer deposits unless they are set off in the statement of financial position. </w:t>
      </w:r>
    </w:p>
    <w:p w14:paraId="73D6ECE0" w14:textId="1AF2E22E"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[Disclose description of the rights of set-off associated with the entity’s recognised financial assets and recognised financial liabilities subject to enforceable master netting arrangements and similar agreements that are disclosed in accordance with paragraph 13C(d) of IFRS 7, including the nature of those rights.]</w:t>
      </w:r>
    </w:p>
    <w:p w14:paraId="18979834" w14:textId="77777777" w:rsidR="00D83E33" w:rsidRDefault="00BC4072" w:rsidP="001B330E">
      <w:pPr>
        <w:pStyle w:val="Heading1"/>
      </w:pPr>
      <w:bookmarkStart w:id="119" w:name="_Ref146541411"/>
      <w:bookmarkStart w:id="120" w:name="_Toc179196047"/>
      <w:r>
        <w:t>Non-Controlling Interest</w:t>
      </w:r>
      <w:bookmarkEnd w:id="119"/>
      <w:bookmarkEnd w:id="120"/>
      <w:r>
        <w:t xml:space="preserve"> </w:t>
      </w:r>
    </w:p>
    <w:p w14:paraId="0AB6B77E"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following table provides information about each subsidiary that has non-controlling interest that is material to the Group: </w:t>
      </w:r>
    </w:p>
    <w:tbl>
      <w:tblPr>
        <w:tblStyle w:val="afffffffffffffff2"/>
        <w:tblW w:w="5000" w:type="pct"/>
        <w:tblLayout w:type="fixed"/>
        <w:tblLook w:val="0000" w:firstRow="0" w:lastRow="0" w:firstColumn="0" w:lastColumn="0" w:noHBand="0" w:noVBand="0"/>
      </w:tblPr>
      <w:tblGrid>
        <w:gridCol w:w="2953"/>
        <w:gridCol w:w="1069"/>
        <w:gridCol w:w="1068"/>
        <w:gridCol w:w="1068"/>
        <w:gridCol w:w="1068"/>
        <w:gridCol w:w="1068"/>
        <w:gridCol w:w="1061"/>
      </w:tblGrid>
      <w:tr w:rsidR="00D83E33" w:rsidRPr="00EA10CF" w14:paraId="042E6372" w14:textId="77777777" w:rsidTr="001B330E">
        <w:trPr>
          <w:trHeight w:val="23"/>
        </w:trPr>
        <w:tc>
          <w:tcPr>
            <w:tcW w:w="1578" w:type="pct"/>
            <w:tcBorders>
              <w:bottom w:val="single" w:sz="4" w:space="0" w:color="000000"/>
            </w:tcBorders>
            <w:vAlign w:val="bottom"/>
          </w:tcPr>
          <w:p w14:paraId="1EAA23E2" w14:textId="3FB3975C" w:rsidR="00D83E33" w:rsidRPr="00EA10CF"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571" w:type="pct"/>
            <w:tcBorders>
              <w:bottom w:val="single" w:sz="4" w:space="0" w:color="000000"/>
            </w:tcBorders>
          </w:tcPr>
          <w:p w14:paraId="002F570B"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Place of business (and country of incorpo-ration if different)</w:t>
            </w:r>
          </w:p>
        </w:tc>
        <w:tc>
          <w:tcPr>
            <w:tcW w:w="571" w:type="pct"/>
            <w:tcBorders>
              <w:bottom w:val="single" w:sz="4" w:space="0" w:color="000000"/>
            </w:tcBorders>
          </w:tcPr>
          <w:p w14:paraId="332AEE7B"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Proportion of non-controlling interest</w:t>
            </w:r>
          </w:p>
        </w:tc>
        <w:tc>
          <w:tcPr>
            <w:tcW w:w="571" w:type="pct"/>
            <w:tcBorders>
              <w:bottom w:val="single" w:sz="4" w:space="0" w:color="000000"/>
            </w:tcBorders>
          </w:tcPr>
          <w:p w14:paraId="110BA1FB"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 xml:space="preserve">Proportion of non-controlling interest’s voting rights held </w:t>
            </w:r>
          </w:p>
        </w:tc>
        <w:tc>
          <w:tcPr>
            <w:tcW w:w="571" w:type="pct"/>
            <w:tcBorders>
              <w:bottom w:val="single" w:sz="4" w:space="0" w:color="000000"/>
            </w:tcBorders>
          </w:tcPr>
          <w:p w14:paraId="0651CC04"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Profit or loss attribu-table to non-controlling interest</w:t>
            </w:r>
          </w:p>
        </w:tc>
        <w:tc>
          <w:tcPr>
            <w:tcW w:w="571" w:type="pct"/>
            <w:tcBorders>
              <w:bottom w:val="single" w:sz="4" w:space="0" w:color="000000"/>
            </w:tcBorders>
          </w:tcPr>
          <w:p w14:paraId="0B0C60EA"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Accumu-lated non-controlling interest in the subsidiary</w:t>
            </w:r>
          </w:p>
        </w:tc>
        <w:tc>
          <w:tcPr>
            <w:tcW w:w="568" w:type="pct"/>
            <w:tcBorders>
              <w:bottom w:val="single" w:sz="4" w:space="0" w:color="000000"/>
            </w:tcBorders>
          </w:tcPr>
          <w:p w14:paraId="74EEB1F8"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Dividends paid to non-controlling interest during the year</w:t>
            </w:r>
          </w:p>
        </w:tc>
      </w:tr>
      <w:tr w:rsidR="00D83E33" w:rsidRPr="00EA10CF" w14:paraId="422FAAED" w14:textId="77777777" w:rsidTr="001B330E">
        <w:trPr>
          <w:trHeight w:val="23"/>
        </w:trPr>
        <w:tc>
          <w:tcPr>
            <w:tcW w:w="1578" w:type="pct"/>
            <w:vAlign w:val="bottom"/>
          </w:tcPr>
          <w:p w14:paraId="02A9B2B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571" w:type="pct"/>
            <w:vAlign w:val="bottom"/>
          </w:tcPr>
          <w:p w14:paraId="43397643"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0E7ABE23"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15DD0E5F"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C7D1B31"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68907FC"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1204189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8EAC4FF" w14:textId="77777777" w:rsidTr="001B330E">
        <w:trPr>
          <w:trHeight w:val="23"/>
        </w:trPr>
        <w:tc>
          <w:tcPr>
            <w:tcW w:w="1578" w:type="pct"/>
            <w:vAlign w:val="bottom"/>
          </w:tcPr>
          <w:p w14:paraId="39BD12AD" w14:textId="22D65937" w:rsidR="00D83E33" w:rsidRPr="00EA10CF" w:rsidRDefault="00BC4072" w:rsidP="001B330E">
            <w:pPr>
              <w:widowControl w:val="0"/>
              <w:pBdr>
                <w:top w:val="nil"/>
                <w:left w:val="nil"/>
                <w:bottom w:val="nil"/>
                <w:right w:val="nil"/>
                <w:between w:val="nil"/>
              </w:pBdr>
              <w:ind w:left="113" w:hanging="113"/>
              <w:rPr>
                <w:b/>
                <w:smallCaps/>
                <w:color w:val="000000"/>
              </w:rPr>
            </w:pPr>
            <w:r w:rsidRPr="00EA10CF">
              <w:rPr>
                <w:b/>
                <w:color w:val="000000"/>
              </w:rPr>
              <w:t>Year ended 31</w:t>
            </w:r>
            <w:r w:rsidR="00181687">
              <w:rPr>
                <w:b/>
                <w:color w:val="000000"/>
              </w:rPr>
              <w:t> December </w:t>
            </w:r>
            <w:r w:rsidR="00541EBC">
              <w:rPr>
                <w:b/>
                <w:color w:val="000000"/>
              </w:rPr>
              <w:t>2024</w:t>
            </w:r>
          </w:p>
        </w:tc>
        <w:tc>
          <w:tcPr>
            <w:tcW w:w="571" w:type="pct"/>
            <w:vAlign w:val="bottom"/>
          </w:tcPr>
          <w:p w14:paraId="258242C1" w14:textId="77777777" w:rsidR="00D83E33" w:rsidRPr="00EA10CF" w:rsidRDefault="00D83E33">
            <w:pPr>
              <w:widowControl w:val="0"/>
              <w:pBdr>
                <w:top w:val="nil"/>
                <w:left w:val="nil"/>
                <w:bottom w:val="nil"/>
                <w:right w:val="nil"/>
                <w:between w:val="nil"/>
              </w:pBdr>
              <w:jc w:val="right"/>
              <w:rPr>
                <w:smallCaps/>
                <w:color w:val="000000"/>
              </w:rPr>
            </w:pPr>
          </w:p>
        </w:tc>
        <w:tc>
          <w:tcPr>
            <w:tcW w:w="571" w:type="pct"/>
            <w:vAlign w:val="bottom"/>
          </w:tcPr>
          <w:p w14:paraId="114799AB"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02DEE767"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3C600953"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4B5283C1" w14:textId="77777777" w:rsidR="00D83E33" w:rsidRPr="00EA10CF" w:rsidRDefault="00D83E33">
            <w:pPr>
              <w:widowControl w:val="0"/>
              <w:pBdr>
                <w:top w:val="nil"/>
                <w:left w:val="nil"/>
                <w:bottom w:val="nil"/>
                <w:right w:val="nil"/>
                <w:between w:val="nil"/>
              </w:pBdr>
              <w:jc w:val="right"/>
              <w:rPr>
                <w:b/>
                <w:smallCaps/>
                <w:color w:val="000000"/>
              </w:rPr>
            </w:pPr>
          </w:p>
        </w:tc>
        <w:tc>
          <w:tcPr>
            <w:tcW w:w="568" w:type="pct"/>
            <w:vAlign w:val="bottom"/>
          </w:tcPr>
          <w:p w14:paraId="37956259" w14:textId="77777777" w:rsidR="00D83E33" w:rsidRPr="00EA10CF" w:rsidRDefault="00D83E33">
            <w:pPr>
              <w:widowControl w:val="0"/>
              <w:pBdr>
                <w:top w:val="nil"/>
                <w:left w:val="nil"/>
                <w:bottom w:val="nil"/>
                <w:right w:val="nil"/>
                <w:between w:val="nil"/>
              </w:pBdr>
              <w:jc w:val="right"/>
              <w:rPr>
                <w:b/>
                <w:smallCaps/>
                <w:color w:val="000000"/>
              </w:rPr>
            </w:pPr>
          </w:p>
        </w:tc>
      </w:tr>
      <w:tr w:rsidR="00D83E33" w:rsidRPr="00EA10CF" w14:paraId="0D32944C" w14:textId="77777777" w:rsidTr="001B330E">
        <w:trPr>
          <w:trHeight w:val="23"/>
        </w:trPr>
        <w:tc>
          <w:tcPr>
            <w:tcW w:w="1578" w:type="pct"/>
            <w:vAlign w:val="bottom"/>
          </w:tcPr>
          <w:p w14:paraId="61947494" w14:textId="77777777" w:rsidR="00D83E33" w:rsidRPr="00EA10CF" w:rsidRDefault="00BC4072" w:rsidP="001B330E">
            <w:pPr>
              <w:widowControl w:val="0"/>
              <w:pBdr>
                <w:top w:val="nil"/>
                <w:left w:val="nil"/>
                <w:bottom w:val="nil"/>
                <w:right w:val="nil"/>
                <w:between w:val="nil"/>
              </w:pBdr>
              <w:ind w:left="113" w:hanging="113"/>
              <w:rPr>
                <w:smallCaps/>
                <w:color w:val="0000FF"/>
              </w:rPr>
            </w:pPr>
            <w:r w:rsidRPr="00EA10CF">
              <w:rPr>
                <w:color w:val="000000"/>
              </w:rPr>
              <w:t> </w:t>
            </w:r>
          </w:p>
        </w:tc>
        <w:tc>
          <w:tcPr>
            <w:tcW w:w="571" w:type="pct"/>
            <w:vAlign w:val="bottom"/>
          </w:tcPr>
          <w:p w14:paraId="17493B0B" w14:textId="77777777" w:rsidR="00D83E33" w:rsidRPr="00EA10CF" w:rsidRDefault="00D83E33">
            <w:pPr>
              <w:widowControl w:val="0"/>
              <w:pBdr>
                <w:top w:val="nil"/>
                <w:left w:val="nil"/>
                <w:bottom w:val="nil"/>
                <w:right w:val="nil"/>
                <w:between w:val="nil"/>
              </w:pBdr>
              <w:jc w:val="right"/>
              <w:rPr>
                <w:smallCaps/>
                <w:color w:val="000000"/>
              </w:rPr>
            </w:pPr>
          </w:p>
        </w:tc>
        <w:tc>
          <w:tcPr>
            <w:tcW w:w="571" w:type="pct"/>
            <w:vAlign w:val="bottom"/>
          </w:tcPr>
          <w:p w14:paraId="6F6AD056"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6FC76E0C"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50D5B779"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31EC7333" w14:textId="77777777" w:rsidR="00D83E33" w:rsidRPr="00EA10CF" w:rsidRDefault="00D83E33">
            <w:pPr>
              <w:widowControl w:val="0"/>
              <w:pBdr>
                <w:top w:val="nil"/>
                <w:left w:val="nil"/>
                <w:bottom w:val="nil"/>
                <w:right w:val="nil"/>
                <w:between w:val="nil"/>
              </w:pBdr>
              <w:jc w:val="right"/>
              <w:rPr>
                <w:b/>
                <w:smallCaps/>
                <w:color w:val="000000"/>
              </w:rPr>
            </w:pPr>
          </w:p>
        </w:tc>
        <w:tc>
          <w:tcPr>
            <w:tcW w:w="568" w:type="pct"/>
            <w:vAlign w:val="bottom"/>
          </w:tcPr>
          <w:p w14:paraId="570C47FD" w14:textId="77777777" w:rsidR="00D83E33" w:rsidRPr="00EA10CF" w:rsidRDefault="00D83E33">
            <w:pPr>
              <w:widowControl w:val="0"/>
              <w:pBdr>
                <w:top w:val="nil"/>
                <w:left w:val="nil"/>
                <w:bottom w:val="nil"/>
                <w:right w:val="nil"/>
                <w:between w:val="nil"/>
              </w:pBdr>
              <w:jc w:val="right"/>
              <w:rPr>
                <w:b/>
                <w:smallCaps/>
                <w:color w:val="000000"/>
              </w:rPr>
            </w:pPr>
          </w:p>
        </w:tc>
      </w:tr>
      <w:tr w:rsidR="00D83E33" w:rsidRPr="00EA10CF" w14:paraId="4EE2F837" w14:textId="77777777" w:rsidTr="001B330E">
        <w:trPr>
          <w:trHeight w:val="23"/>
        </w:trPr>
        <w:tc>
          <w:tcPr>
            <w:tcW w:w="1578" w:type="pct"/>
            <w:vAlign w:val="bottom"/>
          </w:tcPr>
          <w:p w14:paraId="686FE3D9" w14:textId="77777777" w:rsidR="00D83E33" w:rsidRPr="00EA10CF" w:rsidRDefault="00BC4072" w:rsidP="001B330E">
            <w:pPr>
              <w:widowControl w:val="0"/>
              <w:pBdr>
                <w:top w:val="nil"/>
                <w:left w:val="nil"/>
                <w:bottom w:val="nil"/>
                <w:right w:val="nil"/>
                <w:between w:val="nil"/>
              </w:pBdr>
              <w:ind w:left="113" w:hanging="113"/>
              <w:rPr>
                <w:smallCaps/>
                <w:color w:val="0000FF"/>
              </w:rPr>
            </w:pPr>
            <w:r w:rsidRPr="00EA10CF">
              <w:rPr>
                <w:smallCaps/>
                <w:color w:val="0000FF"/>
              </w:rPr>
              <w:t>[NAME OF SUBSIDIARY 1]</w:t>
            </w:r>
          </w:p>
        </w:tc>
        <w:tc>
          <w:tcPr>
            <w:tcW w:w="571" w:type="pct"/>
            <w:vAlign w:val="bottom"/>
          </w:tcPr>
          <w:p w14:paraId="2784FD89" w14:textId="77777777" w:rsidR="00D83E33" w:rsidRPr="00EA10CF" w:rsidRDefault="00D83E33">
            <w:pPr>
              <w:widowControl w:val="0"/>
              <w:pBdr>
                <w:top w:val="nil"/>
                <w:left w:val="nil"/>
                <w:bottom w:val="nil"/>
                <w:right w:val="nil"/>
                <w:between w:val="nil"/>
              </w:pBdr>
              <w:jc w:val="right"/>
              <w:rPr>
                <w:smallCaps/>
                <w:color w:val="000000"/>
              </w:rPr>
            </w:pPr>
          </w:p>
        </w:tc>
        <w:tc>
          <w:tcPr>
            <w:tcW w:w="571" w:type="pct"/>
            <w:vAlign w:val="bottom"/>
          </w:tcPr>
          <w:p w14:paraId="33FF345B"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60885AC0"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6A0E73D4"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477E846D" w14:textId="77777777" w:rsidR="00D83E33" w:rsidRPr="00EA10CF" w:rsidRDefault="00D83E33">
            <w:pPr>
              <w:widowControl w:val="0"/>
              <w:pBdr>
                <w:top w:val="nil"/>
                <w:left w:val="nil"/>
                <w:bottom w:val="nil"/>
                <w:right w:val="nil"/>
                <w:between w:val="nil"/>
              </w:pBdr>
              <w:jc w:val="right"/>
              <w:rPr>
                <w:b/>
                <w:smallCaps/>
                <w:color w:val="000000"/>
              </w:rPr>
            </w:pPr>
          </w:p>
        </w:tc>
        <w:tc>
          <w:tcPr>
            <w:tcW w:w="568" w:type="pct"/>
            <w:vAlign w:val="bottom"/>
          </w:tcPr>
          <w:p w14:paraId="5BAB1F77" w14:textId="77777777" w:rsidR="00D83E33" w:rsidRPr="00EA10CF" w:rsidRDefault="00D83E33">
            <w:pPr>
              <w:widowControl w:val="0"/>
              <w:pBdr>
                <w:top w:val="nil"/>
                <w:left w:val="nil"/>
                <w:bottom w:val="nil"/>
                <w:right w:val="nil"/>
                <w:between w:val="nil"/>
              </w:pBdr>
              <w:jc w:val="right"/>
              <w:rPr>
                <w:b/>
                <w:smallCaps/>
                <w:color w:val="000000"/>
              </w:rPr>
            </w:pPr>
          </w:p>
        </w:tc>
      </w:tr>
      <w:tr w:rsidR="00D83E33" w:rsidRPr="00EA10CF" w14:paraId="61B479F6" w14:textId="77777777" w:rsidTr="001B330E">
        <w:trPr>
          <w:trHeight w:val="23"/>
        </w:trPr>
        <w:tc>
          <w:tcPr>
            <w:tcW w:w="1578" w:type="pct"/>
            <w:vAlign w:val="bottom"/>
          </w:tcPr>
          <w:p w14:paraId="7459239A"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smallCaps/>
                <w:color w:val="0000FF"/>
              </w:rPr>
              <w:t>[NAME OF SUBSIDIARY 2]</w:t>
            </w:r>
          </w:p>
        </w:tc>
        <w:tc>
          <w:tcPr>
            <w:tcW w:w="571" w:type="pct"/>
            <w:vAlign w:val="bottom"/>
          </w:tcPr>
          <w:p w14:paraId="1AB7D20B"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1901B6A8"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71C90985"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87F1FE3"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FF728F2"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57EAB1D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4627474" w14:textId="77777777" w:rsidTr="001B330E">
        <w:trPr>
          <w:trHeight w:val="23"/>
        </w:trPr>
        <w:tc>
          <w:tcPr>
            <w:tcW w:w="1578" w:type="pct"/>
            <w:vAlign w:val="bottom"/>
          </w:tcPr>
          <w:p w14:paraId="63B7C6CE" w14:textId="4BA5C513" w:rsidR="00D83E33" w:rsidRPr="00EA10CF" w:rsidRDefault="00D83E33" w:rsidP="001B330E">
            <w:pPr>
              <w:widowControl w:val="0"/>
              <w:pBdr>
                <w:top w:val="nil"/>
                <w:left w:val="nil"/>
                <w:bottom w:val="nil"/>
                <w:right w:val="nil"/>
                <w:between w:val="nil"/>
              </w:pBdr>
              <w:ind w:left="113" w:hanging="113"/>
              <w:rPr>
                <w:color w:val="000000"/>
              </w:rPr>
            </w:pPr>
          </w:p>
        </w:tc>
        <w:tc>
          <w:tcPr>
            <w:tcW w:w="571" w:type="pct"/>
            <w:vAlign w:val="bottom"/>
          </w:tcPr>
          <w:p w14:paraId="1C52B104"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2B5DBAAD"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5CF389E"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39BBE0F6"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77B215DB"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05FD604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E160AB6" w14:textId="77777777" w:rsidTr="001B330E">
        <w:trPr>
          <w:trHeight w:val="23"/>
        </w:trPr>
        <w:tc>
          <w:tcPr>
            <w:tcW w:w="1578" w:type="pct"/>
            <w:vAlign w:val="bottom"/>
          </w:tcPr>
          <w:p w14:paraId="301A73FD" w14:textId="77777777" w:rsidR="00D83E33" w:rsidRPr="00EA10CF" w:rsidRDefault="00BC4072" w:rsidP="001B330E">
            <w:pPr>
              <w:widowControl w:val="0"/>
              <w:pBdr>
                <w:top w:val="nil"/>
                <w:left w:val="nil"/>
                <w:bottom w:val="nil"/>
                <w:right w:val="nil"/>
                <w:between w:val="nil"/>
              </w:pBdr>
              <w:ind w:left="113" w:hanging="113"/>
              <w:rPr>
                <w:i/>
                <w:color w:val="FF0000"/>
              </w:rPr>
            </w:pPr>
            <w:r w:rsidRPr="00EA10CF">
              <w:rPr>
                <w:b/>
                <w:color w:val="000000"/>
              </w:rPr>
              <w:t> </w:t>
            </w:r>
          </w:p>
        </w:tc>
        <w:tc>
          <w:tcPr>
            <w:tcW w:w="571" w:type="pct"/>
            <w:vAlign w:val="bottom"/>
          </w:tcPr>
          <w:p w14:paraId="01E06F54"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1A1BA8C2"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3225D9A5"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711B5E23"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1F764B1"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4ADEBD6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2D4B535" w14:textId="77777777" w:rsidTr="001B330E">
        <w:trPr>
          <w:trHeight w:val="23"/>
        </w:trPr>
        <w:tc>
          <w:tcPr>
            <w:tcW w:w="1578" w:type="pct"/>
            <w:vAlign w:val="bottom"/>
          </w:tcPr>
          <w:p w14:paraId="0EA5DB96" w14:textId="14294F3A"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Year ended 31</w:t>
            </w:r>
            <w:r w:rsidR="00181687">
              <w:rPr>
                <w:b/>
                <w:color w:val="000000"/>
              </w:rPr>
              <w:t> December </w:t>
            </w:r>
            <w:r w:rsidR="00541EBC">
              <w:rPr>
                <w:b/>
                <w:color w:val="000000"/>
              </w:rPr>
              <w:t>2023</w:t>
            </w:r>
          </w:p>
        </w:tc>
        <w:tc>
          <w:tcPr>
            <w:tcW w:w="571" w:type="pct"/>
            <w:vAlign w:val="bottom"/>
          </w:tcPr>
          <w:p w14:paraId="0BE5B973"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07082DD9"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FD392BB"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2B0F2EA"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6963D2D2"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359BBDF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B915DED" w14:textId="77777777" w:rsidTr="001B330E">
        <w:trPr>
          <w:trHeight w:val="23"/>
        </w:trPr>
        <w:tc>
          <w:tcPr>
            <w:tcW w:w="1578" w:type="pct"/>
            <w:vAlign w:val="bottom"/>
          </w:tcPr>
          <w:p w14:paraId="2538765E" w14:textId="77777777" w:rsidR="00D83E33" w:rsidRPr="00EA10CF" w:rsidRDefault="00BC4072" w:rsidP="001B330E">
            <w:pPr>
              <w:widowControl w:val="0"/>
              <w:pBdr>
                <w:top w:val="nil"/>
                <w:left w:val="nil"/>
                <w:bottom w:val="nil"/>
                <w:right w:val="nil"/>
                <w:between w:val="nil"/>
              </w:pBdr>
              <w:ind w:left="113" w:hanging="113"/>
              <w:rPr>
                <w:i/>
                <w:color w:val="FF0000"/>
              </w:rPr>
            </w:pPr>
            <w:r w:rsidRPr="00EA10CF">
              <w:rPr>
                <w:b/>
                <w:color w:val="000000"/>
              </w:rPr>
              <w:t> </w:t>
            </w:r>
          </w:p>
        </w:tc>
        <w:tc>
          <w:tcPr>
            <w:tcW w:w="571" w:type="pct"/>
            <w:vAlign w:val="bottom"/>
          </w:tcPr>
          <w:p w14:paraId="0221ABE6"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60CC4F6C"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190FDD46"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10A8744A"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2981F4A7"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7993863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D9D6A2A" w14:textId="77777777" w:rsidTr="001B330E">
        <w:trPr>
          <w:trHeight w:val="23"/>
        </w:trPr>
        <w:tc>
          <w:tcPr>
            <w:tcW w:w="1578" w:type="pct"/>
            <w:vAlign w:val="bottom"/>
          </w:tcPr>
          <w:p w14:paraId="02CD1482" w14:textId="77777777" w:rsidR="00D83E33" w:rsidRPr="00EA10CF" w:rsidRDefault="00BC4072" w:rsidP="001B330E">
            <w:pPr>
              <w:widowControl w:val="0"/>
              <w:pBdr>
                <w:top w:val="nil"/>
                <w:left w:val="nil"/>
                <w:bottom w:val="nil"/>
                <w:right w:val="nil"/>
                <w:between w:val="nil"/>
              </w:pBdr>
              <w:ind w:left="113" w:hanging="113"/>
              <w:rPr>
                <w:i/>
                <w:color w:val="FF0000"/>
              </w:rPr>
            </w:pPr>
            <w:r w:rsidRPr="00EA10CF">
              <w:rPr>
                <w:smallCaps/>
                <w:color w:val="0000FF"/>
              </w:rPr>
              <w:t>[NAME OF SUBSIDIARY 1]</w:t>
            </w:r>
          </w:p>
        </w:tc>
        <w:tc>
          <w:tcPr>
            <w:tcW w:w="571" w:type="pct"/>
            <w:vAlign w:val="bottom"/>
          </w:tcPr>
          <w:p w14:paraId="109876AD"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40D8E36"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7158369"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6F5F2C28"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312DF2A4"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4AC25E0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B51D5C3" w14:textId="77777777" w:rsidTr="001B330E">
        <w:trPr>
          <w:trHeight w:val="23"/>
        </w:trPr>
        <w:tc>
          <w:tcPr>
            <w:tcW w:w="1578" w:type="pct"/>
            <w:vAlign w:val="bottom"/>
          </w:tcPr>
          <w:p w14:paraId="3AFE9544" w14:textId="77777777" w:rsidR="00D83E33" w:rsidRPr="00EA10CF" w:rsidRDefault="00BC4072" w:rsidP="001B330E">
            <w:pPr>
              <w:widowControl w:val="0"/>
              <w:pBdr>
                <w:top w:val="nil"/>
                <w:left w:val="nil"/>
                <w:bottom w:val="nil"/>
                <w:right w:val="nil"/>
                <w:between w:val="nil"/>
              </w:pBdr>
              <w:ind w:left="113" w:hanging="113"/>
              <w:rPr>
                <w:i/>
                <w:color w:val="FF0000"/>
              </w:rPr>
            </w:pPr>
            <w:r w:rsidRPr="00EA10CF">
              <w:rPr>
                <w:smallCaps/>
                <w:color w:val="0000FF"/>
              </w:rPr>
              <w:t>[NAME OF SUBSIDIARY 2]</w:t>
            </w:r>
          </w:p>
        </w:tc>
        <w:tc>
          <w:tcPr>
            <w:tcW w:w="571" w:type="pct"/>
            <w:vAlign w:val="bottom"/>
          </w:tcPr>
          <w:p w14:paraId="53B11A88"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C53C286"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445A76D4"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D8D8F49"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1ABECF6B"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252804E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686FB5E" w14:textId="77777777" w:rsidTr="001B330E">
        <w:trPr>
          <w:trHeight w:val="23"/>
        </w:trPr>
        <w:tc>
          <w:tcPr>
            <w:tcW w:w="1578" w:type="pct"/>
            <w:vAlign w:val="bottom"/>
          </w:tcPr>
          <w:p w14:paraId="5D824F43" w14:textId="3186391A" w:rsidR="00D83E33" w:rsidRPr="00EA10CF" w:rsidRDefault="00D83E33" w:rsidP="001B330E">
            <w:pPr>
              <w:widowControl w:val="0"/>
              <w:pBdr>
                <w:top w:val="nil"/>
                <w:left w:val="nil"/>
                <w:bottom w:val="nil"/>
                <w:right w:val="nil"/>
                <w:between w:val="nil"/>
              </w:pBdr>
              <w:ind w:left="113" w:hanging="113"/>
              <w:rPr>
                <w:i/>
                <w:color w:val="FF0000"/>
              </w:rPr>
            </w:pPr>
          </w:p>
        </w:tc>
        <w:tc>
          <w:tcPr>
            <w:tcW w:w="571" w:type="pct"/>
            <w:vAlign w:val="bottom"/>
          </w:tcPr>
          <w:p w14:paraId="6B27AABC"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6BCDCFA0"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51A32B87"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7BC9C45D" w14:textId="77777777" w:rsidR="00D83E33" w:rsidRPr="00EA10CF" w:rsidRDefault="00D83E33">
            <w:pPr>
              <w:widowControl w:val="0"/>
              <w:pBdr>
                <w:top w:val="nil"/>
                <w:left w:val="nil"/>
                <w:bottom w:val="nil"/>
                <w:right w:val="nil"/>
                <w:between w:val="nil"/>
              </w:pBdr>
              <w:jc w:val="right"/>
              <w:rPr>
                <w:color w:val="000000"/>
              </w:rPr>
            </w:pPr>
          </w:p>
        </w:tc>
        <w:tc>
          <w:tcPr>
            <w:tcW w:w="571" w:type="pct"/>
            <w:vAlign w:val="bottom"/>
          </w:tcPr>
          <w:p w14:paraId="067F1A53" w14:textId="77777777" w:rsidR="00D83E33" w:rsidRPr="00EA10CF" w:rsidRDefault="00D83E33">
            <w:pPr>
              <w:widowControl w:val="0"/>
              <w:pBdr>
                <w:top w:val="nil"/>
                <w:left w:val="nil"/>
                <w:bottom w:val="nil"/>
                <w:right w:val="nil"/>
                <w:between w:val="nil"/>
              </w:pBdr>
              <w:jc w:val="right"/>
              <w:rPr>
                <w:color w:val="000000"/>
              </w:rPr>
            </w:pPr>
          </w:p>
        </w:tc>
        <w:tc>
          <w:tcPr>
            <w:tcW w:w="568" w:type="pct"/>
            <w:vAlign w:val="bottom"/>
          </w:tcPr>
          <w:p w14:paraId="5521A36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92F9EEA" w14:textId="77777777" w:rsidTr="001B330E">
        <w:trPr>
          <w:trHeight w:val="23"/>
        </w:trPr>
        <w:tc>
          <w:tcPr>
            <w:tcW w:w="1578" w:type="pct"/>
            <w:tcBorders>
              <w:bottom w:val="single" w:sz="4" w:space="0" w:color="000000"/>
            </w:tcBorders>
            <w:vAlign w:val="bottom"/>
          </w:tcPr>
          <w:p w14:paraId="0366012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571" w:type="pct"/>
            <w:tcBorders>
              <w:bottom w:val="single" w:sz="4" w:space="0" w:color="000000"/>
            </w:tcBorders>
            <w:vAlign w:val="bottom"/>
          </w:tcPr>
          <w:p w14:paraId="7B47950D"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4" w:space="0" w:color="000000"/>
            </w:tcBorders>
            <w:vAlign w:val="bottom"/>
          </w:tcPr>
          <w:p w14:paraId="042E0A0A"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4" w:space="0" w:color="000000"/>
            </w:tcBorders>
            <w:vAlign w:val="bottom"/>
          </w:tcPr>
          <w:p w14:paraId="7543CDEA"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4" w:space="0" w:color="000000"/>
            </w:tcBorders>
            <w:vAlign w:val="bottom"/>
          </w:tcPr>
          <w:p w14:paraId="453F7142"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4" w:space="0" w:color="000000"/>
            </w:tcBorders>
            <w:vAlign w:val="bottom"/>
          </w:tcPr>
          <w:p w14:paraId="2DE8D681" w14:textId="77777777" w:rsidR="00D83E33" w:rsidRPr="00EA10CF" w:rsidRDefault="00D83E33">
            <w:pPr>
              <w:widowControl w:val="0"/>
              <w:pBdr>
                <w:top w:val="nil"/>
                <w:left w:val="nil"/>
                <w:bottom w:val="nil"/>
                <w:right w:val="nil"/>
                <w:between w:val="nil"/>
              </w:pBdr>
              <w:jc w:val="right"/>
              <w:rPr>
                <w:color w:val="000000"/>
              </w:rPr>
            </w:pPr>
          </w:p>
        </w:tc>
        <w:tc>
          <w:tcPr>
            <w:tcW w:w="568" w:type="pct"/>
            <w:tcBorders>
              <w:bottom w:val="single" w:sz="4" w:space="0" w:color="000000"/>
            </w:tcBorders>
            <w:vAlign w:val="bottom"/>
          </w:tcPr>
          <w:p w14:paraId="5879F16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0051A84" w14:textId="77777777" w:rsidTr="001B330E">
        <w:trPr>
          <w:trHeight w:val="23"/>
        </w:trPr>
        <w:tc>
          <w:tcPr>
            <w:tcW w:w="1578" w:type="pct"/>
            <w:vAlign w:val="bottom"/>
          </w:tcPr>
          <w:p w14:paraId="12F0595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571" w:type="pct"/>
            <w:vAlign w:val="bottom"/>
          </w:tcPr>
          <w:p w14:paraId="299F37E4"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5C2FF9E5"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3792BEC0"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13ACAF8F" w14:textId="77777777" w:rsidR="00D83E33" w:rsidRPr="00EA10CF" w:rsidRDefault="00D83E33">
            <w:pPr>
              <w:widowControl w:val="0"/>
              <w:pBdr>
                <w:top w:val="nil"/>
                <w:left w:val="nil"/>
                <w:bottom w:val="nil"/>
                <w:right w:val="nil"/>
                <w:between w:val="nil"/>
              </w:pBdr>
              <w:jc w:val="right"/>
              <w:rPr>
                <w:b/>
                <w:color w:val="000000"/>
              </w:rPr>
            </w:pPr>
          </w:p>
        </w:tc>
        <w:tc>
          <w:tcPr>
            <w:tcW w:w="571" w:type="pct"/>
            <w:vAlign w:val="bottom"/>
          </w:tcPr>
          <w:p w14:paraId="62D7B253" w14:textId="77777777" w:rsidR="00D83E33" w:rsidRPr="00EA10CF" w:rsidRDefault="00D83E33">
            <w:pPr>
              <w:widowControl w:val="0"/>
              <w:pBdr>
                <w:top w:val="nil"/>
                <w:left w:val="nil"/>
                <w:bottom w:val="nil"/>
                <w:right w:val="nil"/>
                <w:between w:val="nil"/>
              </w:pBdr>
              <w:jc w:val="right"/>
              <w:rPr>
                <w:b/>
                <w:color w:val="000000"/>
              </w:rPr>
            </w:pPr>
          </w:p>
        </w:tc>
        <w:tc>
          <w:tcPr>
            <w:tcW w:w="568" w:type="pct"/>
            <w:vAlign w:val="bottom"/>
          </w:tcPr>
          <w:p w14:paraId="07E10EE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97CE63D" w14:textId="77777777" w:rsidTr="001B330E">
        <w:trPr>
          <w:trHeight w:val="23"/>
        </w:trPr>
        <w:tc>
          <w:tcPr>
            <w:tcW w:w="1578" w:type="pct"/>
            <w:vAlign w:val="bottom"/>
          </w:tcPr>
          <w:p w14:paraId="3ED7240D" w14:textId="77777777" w:rsidR="00D83E33" w:rsidRPr="00EA10CF" w:rsidRDefault="00BC4072" w:rsidP="001B330E">
            <w:pPr>
              <w:widowControl w:val="0"/>
              <w:pBdr>
                <w:top w:val="nil"/>
                <w:left w:val="nil"/>
                <w:bottom w:val="nil"/>
                <w:right w:val="nil"/>
                <w:between w:val="nil"/>
              </w:pBdr>
              <w:ind w:left="113" w:hanging="113"/>
              <w:rPr>
                <w:b/>
                <w:smallCaps/>
                <w:color w:val="000000"/>
              </w:rPr>
            </w:pPr>
            <w:r w:rsidRPr="00EA10CF">
              <w:rPr>
                <w:b/>
                <w:smallCaps/>
                <w:color w:val="000000"/>
              </w:rPr>
              <w:t xml:space="preserve">TOTAL </w:t>
            </w:r>
          </w:p>
        </w:tc>
        <w:tc>
          <w:tcPr>
            <w:tcW w:w="571" w:type="pct"/>
            <w:vAlign w:val="bottom"/>
          </w:tcPr>
          <w:p w14:paraId="5E8EE85A"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2B74B889"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37D83291"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7C18B37F" w14:textId="77777777" w:rsidR="00D83E33" w:rsidRPr="00EA10CF" w:rsidRDefault="00D83E33">
            <w:pPr>
              <w:widowControl w:val="0"/>
              <w:pBdr>
                <w:top w:val="nil"/>
                <w:left w:val="nil"/>
                <w:bottom w:val="nil"/>
                <w:right w:val="nil"/>
                <w:between w:val="nil"/>
              </w:pBdr>
              <w:jc w:val="right"/>
              <w:rPr>
                <w:b/>
                <w:smallCaps/>
                <w:color w:val="000000"/>
              </w:rPr>
            </w:pPr>
          </w:p>
        </w:tc>
        <w:tc>
          <w:tcPr>
            <w:tcW w:w="571" w:type="pct"/>
            <w:vAlign w:val="bottom"/>
          </w:tcPr>
          <w:p w14:paraId="5AAB12A2" w14:textId="77777777" w:rsidR="00D83E33" w:rsidRPr="00EA10CF" w:rsidRDefault="00D83E33">
            <w:pPr>
              <w:widowControl w:val="0"/>
              <w:pBdr>
                <w:top w:val="nil"/>
                <w:left w:val="nil"/>
                <w:bottom w:val="nil"/>
                <w:right w:val="nil"/>
                <w:between w:val="nil"/>
              </w:pBdr>
              <w:jc w:val="right"/>
              <w:rPr>
                <w:b/>
                <w:smallCaps/>
                <w:color w:val="000000"/>
              </w:rPr>
            </w:pPr>
          </w:p>
        </w:tc>
        <w:tc>
          <w:tcPr>
            <w:tcW w:w="568" w:type="pct"/>
            <w:vAlign w:val="bottom"/>
          </w:tcPr>
          <w:p w14:paraId="6FF6C8A9" w14:textId="77777777" w:rsidR="00D83E33" w:rsidRPr="00EA10CF" w:rsidRDefault="00D83E33">
            <w:pPr>
              <w:widowControl w:val="0"/>
              <w:pBdr>
                <w:top w:val="nil"/>
                <w:left w:val="nil"/>
                <w:bottom w:val="nil"/>
                <w:right w:val="nil"/>
                <w:between w:val="nil"/>
              </w:pBdr>
              <w:jc w:val="right"/>
              <w:rPr>
                <w:b/>
                <w:smallCaps/>
                <w:color w:val="000000"/>
              </w:rPr>
            </w:pPr>
          </w:p>
        </w:tc>
      </w:tr>
      <w:tr w:rsidR="00D83E33" w:rsidRPr="00EA10CF" w14:paraId="409F22ED" w14:textId="77777777" w:rsidTr="001B330E">
        <w:trPr>
          <w:trHeight w:val="23"/>
        </w:trPr>
        <w:tc>
          <w:tcPr>
            <w:tcW w:w="1578" w:type="pct"/>
            <w:tcBorders>
              <w:bottom w:val="single" w:sz="12" w:space="0" w:color="000000"/>
            </w:tcBorders>
            <w:shd w:val="clear" w:color="auto" w:fill="auto"/>
            <w:vAlign w:val="bottom"/>
          </w:tcPr>
          <w:p w14:paraId="7799B34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571" w:type="pct"/>
            <w:tcBorders>
              <w:bottom w:val="single" w:sz="12" w:space="0" w:color="000000"/>
            </w:tcBorders>
            <w:shd w:val="clear" w:color="auto" w:fill="auto"/>
            <w:vAlign w:val="bottom"/>
          </w:tcPr>
          <w:p w14:paraId="5E7EE9E7"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shd w:val="clear" w:color="auto" w:fill="auto"/>
            <w:vAlign w:val="bottom"/>
          </w:tcPr>
          <w:p w14:paraId="45E037BB"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shd w:val="clear" w:color="auto" w:fill="auto"/>
            <w:vAlign w:val="bottom"/>
          </w:tcPr>
          <w:p w14:paraId="45C6E197"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vAlign w:val="bottom"/>
          </w:tcPr>
          <w:p w14:paraId="79C943D4" w14:textId="77777777" w:rsidR="00D83E33" w:rsidRPr="00EA10CF" w:rsidRDefault="00D83E33">
            <w:pPr>
              <w:widowControl w:val="0"/>
              <w:pBdr>
                <w:top w:val="nil"/>
                <w:left w:val="nil"/>
                <w:bottom w:val="nil"/>
                <w:right w:val="nil"/>
                <w:between w:val="nil"/>
              </w:pBdr>
              <w:jc w:val="right"/>
              <w:rPr>
                <w:color w:val="000000"/>
              </w:rPr>
            </w:pPr>
          </w:p>
        </w:tc>
        <w:tc>
          <w:tcPr>
            <w:tcW w:w="571" w:type="pct"/>
            <w:tcBorders>
              <w:bottom w:val="single" w:sz="12" w:space="0" w:color="000000"/>
            </w:tcBorders>
            <w:shd w:val="clear" w:color="auto" w:fill="auto"/>
            <w:vAlign w:val="bottom"/>
          </w:tcPr>
          <w:p w14:paraId="393C2463" w14:textId="77777777" w:rsidR="00D83E33" w:rsidRPr="00EA10CF" w:rsidRDefault="00D83E33">
            <w:pPr>
              <w:widowControl w:val="0"/>
              <w:pBdr>
                <w:top w:val="nil"/>
                <w:left w:val="nil"/>
                <w:bottom w:val="nil"/>
                <w:right w:val="nil"/>
                <w:between w:val="nil"/>
              </w:pBdr>
              <w:jc w:val="right"/>
              <w:rPr>
                <w:color w:val="000000"/>
              </w:rPr>
            </w:pPr>
          </w:p>
        </w:tc>
        <w:tc>
          <w:tcPr>
            <w:tcW w:w="568" w:type="pct"/>
            <w:tcBorders>
              <w:bottom w:val="single" w:sz="12" w:space="0" w:color="000000"/>
            </w:tcBorders>
            <w:vAlign w:val="bottom"/>
          </w:tcPr>
          <w:p w14:paraId="534CB3EB" w14:textId="77777777" w:rsidR="00D83E33" w:rsidRPr="00EA10CF" w:rsidRDefault="00D83E33">
            <w:pPr>
              <w:widowControl w:val="0"/>
              <w:pBdr>
                <w:top w:val="nil"/>
                <w:left w:val="nil"/>
                <w:bottom w:val="nil"/>
                <w:right w:val="nil"/>
                <w:between w:val="nil"/>
              </w:pBdr>
              <w:jc w:val="right"/>
              <w:rPr>
                <w:color w:val="000000"/>
              </w:rPr>
            </w:pPr>
          </w:p>
        </w:tc>
      </w:tr>
    </w:tbl>
    <w:p w14:paraId="340BAECC" w14:textId="3D00324D" w:rsidR="00D83E33" w:rsidRDefault="00BC4072" w:rsidP="001B330E">
      <w:pPr>
        <w:pStyle w:val="Continued"/>
      </w:pPr>
      <w:r>
        <w:lastRenderedPageBreak/>
        <w:t>45</w:t>
      </w:r>
      <w:r>
        <w:tab/>
        <w:t>Non-Controlling Interest (Continued)</w:t>
      </w:r>
    </w:p>
    <w:p w14:paraId="3F3D93A3"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summarised financial information of these subsidiaries was as follows:</w:t>
      </w:r>
    </w:p>
    <w:tbl>
      <w:tblPr>
        <w:tblStyle w:val="afffffffffffffff3"/>
        <w:tblW w:w="5000" w:type="pct"/>
        <w:tblLayout w:type="fixed"/>
        <w:tblLook w:val="0000" w:firstRow="0" w:lastRow="0" w:firstColumn="0" w:lastColumn="0" w:noHBand="0" w:noVBand="0"/>
      </w:tblPr>
      <w:tblGrid>
        <w:gridCol w:w="2123"/>
        <w:gridCol w:w="904"/>
        <w:gridCol w:w="904"/>
        <w:gridCol w:w="904"/>
        <w:gridCol w:w="904"/>
        <w:gridCol w:w="904"/>
        <w:gridCol w:w="904"/>
        <w:gridCol w:w="904"/>
        <w:gridCol w:w="904"/>
      </w:tblGrid>
      <w:tr w:rsidR="00D83E33" w:rsidRPr="00EA10CF" w14:paraId="3F938AE6" w14:textId="77777777" w:rsidTr="001B330E">
        <w:trPr>
          <w:trHeight w:val="23"/>
        </w:trPr>
        <w:tc>
          <w:tcPr>
            <w:tcW w:w="1134" w:type="pct"/>
            <w:tcBorders>
              <w:bottom w:val="single" w:sz="4" w:space="0" w:color="000000"/>
            </w:tcBorders>
            <w:vAlign w:val="bottom"/>
          </w:tcPr>
          <w:p w14:paraId="3855B1A7" w14:textId="22FCEC52" w:rsidR="00D83E33" w:rsidRPr="00EA10CF"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483" w:type="pct"/>
            <w:tcBorders>
              <w:bottom w:val="single" w:sz="4" w:space="0" w:color="000000"/>
            </w:tcBorders>
          </w:tcPr>
          <w:p w14:paraId="4A8D1A8D"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Current assets</w:t>
            </w:r>
          </w:p>
        </w:tc>
        <w:tc>
          <w:tcPr>
            <w:tcW w:w="483" w:type="pct"/>
            <w:tcBorders>
              <w:bottom w:val="single" w:sz="4" w:space="0" w:color="000000"/>
            </w:tcBorders>
          </w:tcPr>
          <w:p w14:paraId="2240669F"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Non-current assets</w:t>
            </w:r>
          </w:p>
        </w:tc>
        <w:tc>
          <w:tcPr>
            <w:tcW w:w="483" w:type="pct"/>
            <w:tcBorders>
              <w:bottom w:val="single" w:sz="4" w:space="0" w:color="000000"/>
            </w:tcBorders>
          </w:tcPr>
          <w:p w14:paraId="1BAD9B9C"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Current liabilities</w:t>
            </w:r>
          </w:p>
        </w:tc>
        <w:tc>
          <w:tcPr>
            <w:tcW w:w="483" w:type="pct"/>
            <w:tcBorders>
              <w:bottom w:val="single" w:sz="4" w:space="0" w:color="000000"/>
            </w:tcBorders>
          </w:tcPr>
          <w:p w14:paraId="6E376BD6"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Non-current liabilities</w:t>
            </w:r>
          </w:p>
        </w:tc>
        <w:tc>
          <w:tcPr>
            <w:tcW w:w="483" w:type="pct"/>
            <w:tcBorders>
              <w:bottom w:val="single" w:sz="4" w:space="0" w:color="000000"/>
            </w:tcBorders>
          </w:tcPr>
          <w:p w14:paraId="5F30EB79"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Revenue</w:t>
            </w:r>
          </w:p>
        </w:tc>
        <w:tc>
          <w:tcPr>
            <w:tcW w:w="483" w:type="pct"/>
            <w:tcBorders>
              <w:bottom w:val="single" w:sz="4" w:space="0" w:color="000000"/>
            </w:tcBorders>
          </w:tcPr>
          <w:p w14:paraId="72C66F2C"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Profit/</w:t>
            </w:r>
          </w:p>
          <w:p w14:paraId="41A3F29B"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(loss)</w:t>
            </w:r>
          </w:p>
        </w:tc>
        <w:tc>
          <w:tcPr>
            <w:tcW w:w="483" w:type="pct"/>
            <w:tcBorders>
              <w:bottom w:val="single" w:sz="4" w:space="0" w:color="000000"/>
            </w:tcBorders>
          </w:tcPr>
          <w:p w14:paraId="499EF575"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Total compre-hensive income</w:t>
            </w:r>
          </w:p>
        </w:tc>
        <w:tc>
          <w:tcPr>
            <w:tcW w:w="483" w:type="pct"/>
            <w:tcBorders>
              <w:bottom w:val="single" w:sz="4" w:space="0" w:color="000000"/>
            </w:tcBorders>
          </w:tcPr>
          <w:p w14:paraId="723B587A"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 xml:space="preserve">Cash </w:t>
            </w:r>
          </w:p>
          <w:p w14:paraId="69BE2B64"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flows</w:t>
            </w:r>
          </w:p>
        </w:tc>
      </w:tr>
      <w:tr w:rsidR="00D83E33" w:rsidRPr="00EA10CF" w14:paraId="1F08FE42" w14:textId="77777777" w:rsidTr="001B330E">
        <w:trPr>
          <w:trHeight w:val="23"/>
        </w:trPr>
        <w:tc>
          <w:tcPr>
            <w:tcW w:w="1134" w:type="pct"/>
            <w:vAlign w:val="bottom"/>
          </w:tcPr>
          <w:p w14:paraId="1A445EC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483" w:type="pct"/>
            <w:vAlign w:val="bottom"/>
          </w:tcPr>
          <w:p w14:paraId="4BF53EED"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1A7BF83F"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20EF3CD0"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14FCCCAF"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4145163D"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1272F2A3"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5ED30DD6"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1C6B48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7124478" w14:textId="77777777" w:rsidTr="001B330E">
        <w:trPr>
          <w:trHeight w:val="23"/>
        </w:trPr>
        <w:tc>
          <w:tcPr>
            <w:tcW w:w="1134" w:type="pct"/>
            <w:vAlign w:val="bottom"/>
          </w:tcPr>
          <w:p w14:paraId="370EE193" w14:textId="0FD1190C" w:rsidR="00D83E33" w:rsidRPr="00EA10CF" w:rsidRDefault="00BC4072" w:rsidP="001B330E">
            <w:pPr>
              <w:widowControl w:val="0"/>
              <w:pBdr>
                <w:top w:val="nil"/>
                <w:left w:val="nil"/>
                <w:bottom w:val="nil"/>
                <w:right w:val="nil"/>
                <w:between w:val="nil"/>
              </w:pBdr>
              <w:ind w:left="113" w:hanging="113"/>
              <w:rPr>
                <w:smallCaps/>
                <w:color w:val="0000FF"/>
              </w:rPr>
            </w:pPr>
            <w:r w:rsidRPr="00EA10CF">
              <w:rPr>
                <w:b/>
                <w:color w:val="000000"/>
              </w:rPr>
              <w:t>Year ended 31</w:t>
            </w:r>
            <w:r w:rsidR="00181687">
              <w:rPr>
                <w:b/>
                <w:color w:val="000000"/>
              </w:rPr>
              <w:t> December </w:t>
            </w:r>
            <w:r w:rsidR="00541EBC">
              <w:rPr>
                <w:b/>
                <w:color w:val="000000"/>
              </w:rPr>
              <w:t>2024</w:t>
            </w:r>
          </w:p>
        </w:tc>
        <w:tc>
          <w:tcPr>
            <w:tcW w:w="483" w:type="pct"/>
            <w:vAlign w:val="bottom"/>
          </w:tcPr>
          <w:p w14:paraId="50F095B3"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38ABD0F0"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327B6A05"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439F0BB2"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47908940"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0EEE3112"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2DD4AB1"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5E87494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A0EBBB3" w14:textId="77777777" w:rsidTr="001B330E">
        <w:trPr>
          <w:trHeight w:val="23"/>
        </w:trPr>
        <w:tc>
          <w:tcPr>
            <w:tcW w:w="1134" w:type="pct"/>
            <w:vAlign w:val="bottom"/>
          </w:tcPr>
          <w:p w14:paraId="62D95AC0" w14:textId="77777777" w:rsidR="00D83E33" w:rsidRPr="00EA10CF" w:rsidRDefault="00BC4072" w:rsidP="001B330E">
            <w:pPr>
              <w:widowControl w:val="0"/>
              <w:pBdr>
                <w:top w:val="nil"/>
                <w:left w:val="nil"/>
                <w:bottom w:val="nil"/>
                <w:right w:val="nil"/>
                <w:between w:val="nil"/>
              </w:pBdr>
              <w:ind w:left="113" w:hanging="113"/>
              <w:rPr>
                <w:smallCaps/>
                <w:color w:val="0000FF"/>
              </w:rPr>
            </w:pPr>
            <w:r w:rsidRPr="00EA10CF">
              <w:rPr>
                <w:smallCaps/>
                <w:color w:val="0000FF"/>
              </w:rPr>
              <w:t>[SUB 1]</w:t>
            </w:r>
          </w:p>
        </w:tc>
        <w:tc>
          <w:tcPr>
            <w:tcW w:w="483" w:type="pct"/>
            <w:vAlign w:val="bottom"/>
          </w:tcPr>
          <w:p w14:paraId="477B6991"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48DB624"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2B917472"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062D0C70"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0942E20F"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5E703DB"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A8BE16A"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13539F3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D9D95BB" w14:textId="77777777" w:rsidTr="001B330E">
        <w:trPr>
          <w:trHeight w:val="23"/>
        </w:trPr>
        <w:tc>
          <w:tcPr>
            <w:tcW w:w="1134" w:type="pct"/>
            <w:vAlign w:val="bottom"/>
          </w:tcPr>
          <w:p w14:paraId="72436B89" w14:textId="77777777" w:rsidR="00D83E33" w:rsidRPr="00EA10CF" w:rsidRDefault="00BC4072" w:rsidP="001B330E">
            <w:pPr>
              <w:widowControl w:val="0"/>
              <w:pBdr>
                <w:top w:val="nil"/>
                <w:left w:val="nil"/>
                <w:bottom w:val="nil"/>
                <w:right w:val="nil"/>
                <w:between w:val="nil"/>
              </w:pBdr>
              <w:ind w:left="113" w:hanging="113"/>
              <w:rPr>
                <w:smallCaps/>
                <w:color w:val="0000FF"/>
              </w:rPr>
            </w:pPr>
            <w:r w:rsidRPr="00EA10CF">
              <w:rPr>
                <w:smallCaps/>
                <w:color w:val="0000FF"/>
              </w:rPr>
              <w:t>[SUB 2]</w:t>
            </w:r>
          </w:p>
        </w:tc>
        <w:tc>
          <w:tcPr>
            <w:tcW w:w="483" w:type="pct"/>
            <w:vAlign w:val="bottom"/>
          </w:tcPr>
          <w:p w14:paraId="1F8158BD"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403608C7"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73FB8405"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1304A9D5"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34F40727"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10C3348B"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2BC37604"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04932FC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3FEB786" w14:textId="77777777" w:rsidTr="001B330E">
        <w:trPr>
          <w:trHeight w:val="23"/>
        </w:trPr>
        <w:tc>
          <w:tcPr>
            <w:tcW w:w="1134" w:type="pct"/>
            <w:vAlign w:val="bottom"/>
          </w:tcPr>
          <w:p w14:paraId="4185DAA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483" w:type="pct"/>
            <w:vAlign w:val="bottom"/>
          </w:tcPr>
          <w:p w14:paraId="47215F6E"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656CBFC"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2ADC7843"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6FE6387"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483D0CEE"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925ECF6"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F0085C9"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021969D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144E424" w14:textId="77777777" w:rsidTr="001B330E">
        <w:trPr>
          <w:trHeight w:val="23"/>
        </w:trPr>
        <w:tc>
          <w:tcPr>
            <w:tcW w:w="1134" w:type="pct"/>
            <w:vAlign w:val="bottom"/>
          </w:tcPr>
          <w:p w14:paraId="7DD355A9" w14:textId="63BAA4F1"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Year ended 31</w:t>
            </w:r>
            <w:r w:rsidR="00181687">
              <w:rPr>
                <w:b/>
                <w:color w:val="000000"/>
              </w:rPr>
              <w:t> December </w:t>
            </w:r>
            <w:r w:rsidR="00541EBC">
              <w:rPr>
                <w:b/>
                <w:color w:val="000000"/>
              </w:rPr>
              <w:t>2023</w:t>
            </w:r>
          </w:p>
        </w:tc>
        <w:tc>
          <w:tcPr>
            <w:tcW w:w="483" w:type="pct"/>
            <w:vAlign w:val="bottom"/>
          </w:tcPr>
          <w:p w14:paraId="2F8A3E44"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65837292"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7ECF29E5"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6C8734BE"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19FF5549"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73779986"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4E4998DF"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787A922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1BE3BEA" w14:textId="77777777" w:rsidTr="001B330E">
        <w:trPr>
          <w:trHeight w:val="23"/>
        </w:trPr>
        <w:tc>
          <w:tcPr>
            <w:tcW w:w="1134" w:type="pct"/>
            <w:vAlign w:val="bottom"/>
          </w:tcPr>
          <w:p w14:paraId="1AF0FF2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smallCaps/>
                <w:color w:val="0000FF"/>
              </w:rPr>
              <w:t>[SUB 1]</w:t>
            </w:r>
          </w:p>
        </w:tc>
        <w:tc>
          <w:tcPr>
            <w:tcW w:w="483" w:type="pct"/>
            <w:vAlign w:val="bottom"/>
          </w:tcPr>
          <w:p w14:paraId="2A78B530"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73CBB33F"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68A87CA8"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22C33424"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35B40D44"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576DA86B"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24E2EBFC"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3083F797"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5FAE22C" w14:textId="77777777" w:rsidTr="001B330E">
        <w:trPr>
          <w:trHeight w:val="23"/>
        </w:trPr>
        <w:tc>
          <w:tcPr>
            <w:tcW w:w="1134" w:type="pct"/>
            <w:vAlign w:val="bottom"/>
          </w:tcPr>
          <w:p w14:paraId="0A0D549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smallCaps/>
                <w:color w:val="0000FF"/>
              </w:rPr>
              <w:t>[SUB 2]</w:t>
            </w:r>
          </w:p>
        </w:tc>
        <w:tc>
          <w:tcPr>
            <w:tcW w:w="483" w:type="pct"/>
            <w:vAlign w:val="bottom"/>
          </w:tcPr>
          <w:p w14:paraId="3C73748F"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344B58E8"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499E96A5"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64061407"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583B3372"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7231939F"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72F93A96"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5E49883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FCB890D" w14:textId="77777777" w:rsidTr="001B330E">
        <w:trPr>
          <w:trHeight w:val="23"/>
        </w:trPr>
        <w:tc>
          <w:tcPr>
            <w:tcW w:w="1134" w:type="pct"/>
            <w:vAlign w:val="bottom"/>
          </w:tcPr>
          <w:p w14:paraId="44C37D10" w14:textId="05497410" w:rsidR="00D83E33" w:rsidRPr="00EA10CF" w:rsidRDefault="00D83E33" w:rsidP="001B330E">
            <w:pPr>
              <w:widowControl w:val="0"/>
              <w:pBdr>
                <w:top w:val="nil"/>
                <w:left w:val="nil"/>
                <w:bottom w:val="nil"/>
                <w:right w:val="nil"/>
                <w:between w:val="nil"/>
              </w:pBdr>
              <w:ind w:left="113" w:hanging="113"/>
              <w:rPr>
                <w:b/>
                <w:color w:val="000000"/>
              </w:rPr>
            </w:pPr>
          </w:p>
        </w:tc>
        <w:tc>
          <w:tcPr>
            <w:tcW w:w="483" w:type="pct"/>
            <w:vAlign w:val="bottom"/>
          </w:tcPr>
          <w:p w14:paraId="1AA1A8CE"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46D5A015"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0C6B16C8"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03559F45"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06CBDEC8"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562E416C"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4790B0DD" w14:textId="77777777" w:rsidR="00D83E33" w:rsidRPr="00EA10CF" w:rsidRDefault="00D83E33">
            <w:pPr>
              <w:widowControl w:val="0"/>
              <w:pBdr>
                <w:top w:val="nil"/>
                <w:left w:val="nil"/>
                <w:bottom w:val="nil"/>
                <w:right w:val="nil"/>
                <w:between w:val="nil"/>
              </w:pBdr>
              <w:jc w:val="right"/>
              <w:rPr>
                <w:b/>
                <w:color w:val="000000"/>
              </w:rPr>
            </w:pPr>
          </w:p>
        </w:tc>
        <w:tc>
          <w:tcPr>
            <w:tcW w:w="483" w:type="pct"/>
            <w:vAlign w:val="bottom"/>
          </w:tcPr>
          <w:p w14:paraId="14DDE5F4"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E6C49C6" w14:textId="77777777" w:rsidTr="001B330E">
        <w:trPr>
          <w:trHeight w:val="23"/>
        </w:trPr>
        <w:tc>
          <w:tcPr>
            <w:tcW w:w="1134" w:type="pct"/>
            <w:tcBorders>
              <w:bottom w:val="single" w:sz="4" w:space="0" w:color="000000"/>
            </w:tcBorders>
            <w:vAlign w:val="bottom"/>
          </w:tcPr>
          <w:p w14:paraId="5E556F2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483" w:type="pct"/>
            <w:tcBorders>
              <w:bottom w:val="single" w:sz="4" w:space="0" w:color="000000"/>
            </w:tcBorders>
            <w:vAlign w:val="bottom"/>
          </w:tcPr>
          <w:p w14:paraId="0E96AE59"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4" w:space="0" w:color="000000"/>
            </w:tcBorders>
            <w:vAlign w:val="bottom"/>
          </w:tcPr>
          <w:p w14:paraId="45AB4B1F"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4" w:space="0" w:color="000000"/>
            </w:tcBorders>
            <w:vAlign w:val="bottom"/>
          </w:tcPr>
          <w:p w14:paraId="576DC657"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4" w:space="0" w:color="000000"/>
            </w:tcBorders>
            <w:vAlign w:val="bottom"/>
          </w:tcPr>
          <w:p w14:paraId="295EEEE5"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4" w:space="0" w:color="000000"/>
            </w:tcBorders>
            <w:vAlign w:val="bottom"/>
          </w:tcPr>
          <w:p w14:paraId="39FF8143"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4" w:space="0" w:color="000000"/>
            </w:tcBorders>
            <w:vAlign w:val="bottom"/>
          </w:tcPr>
          <w:p w14:paraId="1A0EB86A"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4" w:space="0" w:color="000000"/>
            </w:tcBorders>
            <w:vAlign w:val="bottom"/>
          </w:tcPr>
          <w:p w14:paraId="41C58284"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4" w:space="0" w:color="000000"/>
            </w:tcBorders>
            <w:vAlign w:val="bottom"/>
          </w:tcPr>
          <w:p w14:paraId="512CCAC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69E6093" w14:textId="77777777" w:rsidTr="001B330E">
        <w:trPr>
          <w:trHeight w:val="23"/>
        </w:trPr>
        <w:tc>
          <w:tcPr>
            <w:tcW w:w="1134" w:type="pct"/>
            <w:vAlign w:val="bottom"/>
          </w:tcPr>
          <w:p w14:paraId="5B57191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color w:val="000000"/>
              </w:rPr>
              <w:t> </w:t>
            </w:r>
          </w:p>
        </w:tc>
        <w:tc>
          <w:tcPr>
            <w:tcW w:w="483" w:type="pct"/>
            <w:vAlign w:val="bottom"/>
          </w:tcPr>
          <w:p w14:paraId="376A008A"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78A373AA"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3199302D"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5CDA0C15"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340E6463"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272DECE1"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27E52F15"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1E4C0D1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470DF38" w14:textId="77777777" w:rsidTr="001B330E">
        <w:trPr>
          <w:trHeight w:val="23"/>
        </w:trPr>
        <w:tc>
          <w:tcPr>
            <w:tcW w:w="1134" w:type="pct"/>
            <w:vAlign w:val="bottom"/>
          </w:tcPr>
          <w:p w14:paraId="64EBDCF7"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Total</w:t>
            </w:r>
          </w:p>
        </w:tc>
        <w:tc>
          <w:tcPr>
            <w:tcW w:w="483" w:type="pct"/>
            <w:vAlign w:val="bottom"/>
          </w:tcPr>
          <w:p w14:paraId="4788C958"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65A11819"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70265CD5"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0AC44AD9"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277816DD"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4511E052"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59D780EE" w14:textId="77777777" w:rsidR="00D83E33" w:rsidRPr="00EA10CF" w:rsidRDefault="00D83E33">
            <w:pPr>
              <w:widowControl w:val="0"/>
              <w:pBdr>
                <w:top w:val="nil"/>
                <w:left w:val="nil"/>
                <w:bottom w:val="nil"/>
                <w:right w:val="nil"/>
                <w:between w:val="nil"/>
              </w:pBdr>
              <w:jc w:val="right"/>
              <w:rPr>
                <w:color w:val="000000"/>
              </w:rPr>
            </w:pPr>
          </w:p>
        </w:tc>
        <w:tc>
          <w:tcPr>
            <w:tcW w:w="483" w:type="pct"/>
            <w:vAlign w:val="bottom"/>
          </w:tcPr>
          <w:p w14:paraId="3B7A0DD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2A68B33" w14:textId="77777777" w:rsidTr="001B330E">
        <w:trPr>
          <w:trHeight w:val="23"/>
        </w:trPr>
        <w:tc>
          <w:tcPr>
            <w:tcW w:w="1134" w:type="pct"/>
            <w:tcBorders>
              <w:bottom w:val="single" w:sz="12" w:space="0" w:color="000000"/>
            </w:tcBorders>
            <w:vAlign w:val="bottom"/>
          </w:tcPr>
          <w:p w14:paraId="09304E73"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483" w:type="pct"/>
            <w:tcBorders>
              <w:bottom w:val="single" w:sz="12" w:space="0" w:color="000000"/>
            </w:tcBorders>
            <w:vAlign w:val="bottom"/>
          </w:tcPr>
          <w:p w14:paraId="1D3E42DC"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12" w:space="0" w:color="000000"/>
            </w:tcBorders>
            <w:vAlign w:val="bottom"/>
          </w:tcPr>
          <w:p w14:paraId="7897A46C"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12" w:space="0" w:color="000000"/>
            </w:tcBorders>
            <w:vAlign w:val="bottom"/>
          </w:tcPr>
          <w:p w14:paraId="6C8BAD68"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12" w:space="0" w:color="000000"/>
            </w:tcBorders>
            <w:vAlign w:val="bottom"/>
          </w:tcPr>
          <w:p w14:paraId="45885775"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12" w:space="0" w:color="000000"/>
            </w:tcBorders>
            <w:vAlign w:val="bottom"/>
          </w:tcPr>
          <w:p w14:paraId="1A8FF3E8"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12" w:space="0" w:color="000000"/>
            </w:tcBorders>
            <w:vAlign w:val="bottom"/>
          </w:tcPr>
          <w:p w14:paraId="1F8CBAF0"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12" w:space="0" w:color="000000"/>
            </w:tcBorders>
            <w:vAlign w:val="bottom"/>
          </w:tcPr>
          <w:p w14:paraId="74EC50BE" w14:textId="77777777" w:rsidR="00D83E33" w:rsidRPr="00EA10CF" w:rsidRDefault="00D83E33">
            <w:pPr>
              <w:widowControl w:val="0"/>
              <w:pBdr>
                <w:top w:val="nil"/>
                <w:left w:val="nil"/>
                <w:bottom w:val="nil"/>
                <w:right w:val="nil"/>
                <w:between w:val="nil"/>
              </w:pBdr>
              <w:jc w:val="right"/>
              <w:rPr>
                <w:color w:val="000000"/>
              </w:rPr>
            </w:pPr>
          </w:p>
        </w:tc>
        <w:tc>
          <w:tcPr>
            <w:tcW w:w="483" w:type="pct"/>
            <w:tcBorders>
              <w:bottom w:val="single" w:sz="12" w:space="0" w:color="000000"/>
            </w:tcBorders>
            <w:vAlign w:val="bottom"/>
          </w:tcPr>
          <w:p w14:paraId="28E274C6" w14:textId="77777777" w:rsidR="00D83E33" w:rsidRPr="00EA10CF" w:rsidRDefault="00D83E33">
            <w:pPr>
              <w:widowControl w:val="0"/>
              <w:pBdr>
                <w:top w:val="nil"/>
                <w:left w:val="nil"/>
                <w:bottom w:val="nil"/>
                <w:right w:val="nil"/>
                <w:between w:val="nil"/>
              </w:pBdr>
              <w:jc w:val="right"/>
              <w:rPr>
                <w:color w:val="000000"/>
              </w:rPr>
            </w:pPr>
          </w:p>
        </w:tc>
      </w:tr>
    </w:tbl>
    <w:p w14:paraId="1A36F101" w14:textId="559A122F" w:rsidR="00D83E33" w:rsidRDefault="00BC4072">
      <w:pPr>
        <w:widowControl w:val="0"/>
        <w:pBdr>
          <w:top w:val="nil"/>
          <w:left w:val="nil"/>
          <w:bottom w:val="nil"/>
          <w:right w:val="nil"/>
          <w:between w:val="nil"/>
        </w:pBdr>
        <w:spacing w:before="200" w:after="200"/>
        <w:jc w:val="both"/>
        <w:rPr>
          <w:color w:val="000000"/>
          <w:sz w:val="20"/>
          <w:szCs w:val="20"/>
        </w:rPr>
      </w:pPr>
      <w:r>
        <w:rPr>
          <w:color w:val="0000FF"/>
          <w:sz w:val="20"/>
          <w:szCs w:val="20"/>
        </w:rPr>
        <w:t>[Subsidiary 1]</w:t>
      </w:r>
      <w:r>
        <w:rPr>
          <w:color w:val="000000"/>
          <w:sz w:val="20"/>
          <w:szCs w:val="20"/>
        </w:rPr>
        <w:t xml:space="preserve"> has outstanding borrowing from a third party bank that includes a clause restricting payment of dividends to the parent without the lender’s approval. </w:t>
      </w:r>
      <w:r>
        <w:rPr>
          <w:i/>
          <w:color w:val="FF0000"/>
          <w:sz w:val="20"/>
          <w:szCs w:val="20"/>
        </w:rPr>
        <w:t>[Disclose significant restrictions (eg statutory, contractual and regulatory restrictions) on ability to access or use the assets and settle the liabilities of the group.]</w:t>
      </w:r>
    </w:p>
    <w:p w14:paraId="48C88629" w14:textId="77371853"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Holders of the non-controlling interest in </w:t>
      </w:r>
      <w:r>
        <w:rPr>
          <w:color w:val="0000FF"/>
          <w:sz w:val="20"/>
          <w:szCs w:val="20"/>
        </w:rPr>
        <w:t>[Subsidiary 1]</w:t>
      </w:r>
      <w:r>
        <w:rPr>
          <w:color w:val="000000"/>
          <w:sz w:val="20"/>
          <w:szCs w:val="20"/>
        </w:rPr>
        <w:t xml:space="preserve"> approve disposals of assets above </w:t>
      </w:r>
      <w:r>
        <w:rPr>
          <w:color w:val="0000FF"/>
          <w:sz w:val="20"/>
          <w:szCs w:val="20"/>
        </w:rPr>
        <w:t>[5%]</w:t>
      </w:r>
      <w:r>
        <w:rPr>
          <w:color w:val="000000"/>
          <w:sz w:val="20"/>
          <w:szCs w:val="20"/>
        </w:rPr>
        <w:t xml:space="preserve"> of the subsidiary’s total assets and have a right to veto any transaction with related parties with a financial effect above </w:t>
      </w:r>
      <w:r w:rsidR="00D73799">
        <w:rPr>
          <w:color w:val="000000"/>
          <w:sz w:val="20"/>
          <w:szCs w:val="20"/>
        </w:rPr>
        <w:t>EUR</w:t>
      </w:r>
      <w:r>
        <w:rPr>
          <w:color w:val="000000"/>
          <w:sz w:val="20"/>
          <w:szCs w:val="20"/>
        </w:rPr>
        <w:t xml:space="preserve"> ____ thousand. These restrictions apply to all assets of the subsidiary as disclosed above. </w:t>
      </w:r>
      <w:r>
        <w:rPr>
          <w:i/>
          <w:color w:val="FF0000"/>
          <w:sz w:val="20"/>
          <w:szCs w:val="20"/>
        </w:rPr>
        <w:t>[Disclose the nature and extent to which protective rights of non-controlling interests can significantly restrict the entity’s ability to access or use the assets and settle the liabilities of the group. Disclose the carrying amounts in the consolidated financial statements of the assets and liabilities to which those restrictions apply.]</w:t>
      </w:r>
    </w:p>
    <w:p w14:paraId="643FA0E4" w14:textId="17F7E624" w:rsidR="00030CA4" w:rsidRPr="00030CA4" w:rsidRDefault="00030CA4">
      <w:pPr>
        <w:widowControl w:val="0"/>
        <w:pBdr>
          <w:top w:val="nil"/>
          <w:left w:val="nil"/>
          <w:bottom w:val="nil"/>
          <w:right w:val="nil"/>
          <w:between w:val="nil"/>
        </w:pBdr>
        <w:spacing w:before="200" w:after="200"/>
        <w:jc w:val="both"/>
        <w:rPr>
          <w:color w:val="000000"/>
          <w:sz w:val="20"/>
          <w:szCs w:val="20"/>
        </w:rPr>
      </w:pPr>
      <w:r>
        <w:rPr>
          <w:b/>
          <w:i/>
          <w:color w:val="000000"/>
          <w:sz w:val="20"/>
          <w:szCs w:val="20"/>
        </w:rPr>
        <w:t>Purchases and sales of non-controlling interests.</w:t>
      </w:r>
      <w:r>
        <w:rPr>
          <w:color w:val="000000"/>
          <w:sz w:val="20"/>
          <w:szCs w:val="20"/>
        </w:rPr>
        <w:t xml:space="preserve"> The Group applies the economic entity model to account for transactions with owners of non-controlling interest. Any difference between the purchase consideration and the carrying amount of non-controlling interest acquired is recorded as a capital transaction directly in equity. The Group recognises the difference between sales consideration and carrying amount of non-controlling interest sold as a capital transaction in the statement of changes in equity.</w:t>
      </w:r>
    </w:p>
    <w:p w14:paraId="4FCFA1B8" w14:textId="77777777" w:rsidR="00D83E33" w:rsidRDefault="00BC4072" w:rsidP="001B330E">
      <w:pPr>
        <w:pStyle w:val="Heading1"/>
      </w:pPr>
      <w:bookmarkStart w:id="121" w:name="_Toc179196048"/>
      <w:r w:rsidRPr="00077F42">
        <w:t>Interests</w:t>
      </w:r>
      <w:r>
        <w:t xml:space="preserve"> in Structured Entities</w:t>
      </w:r>
      <w:bookmarkEnd w:id="121"/>
      <w:r>
        <w:t xml:space="preserve"> </w:t>
      </w:r>
    </w:p>
    <w:p w14:paraId="6B7BECFA"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(a) </w:t>
      </w:r>
      <w:r>
        <w:rPr>
          <w:b/>
          <w:i/>
          <w:color w:val="000000"/>
          <w:sz w:val="20"/>
          <w:szCs w:val="20"/>
        </w:rPr>
        <w:tab/>
        <w:t>Consolidated structured entities</w:t>
      </w:r>
    </w:p>
    <w:p w14:paraId="0C3F2A8F" w14:textId="7C5EAB8A" w:rsidR="00D83E33" w:rsidRDefault="00BC4072">
      <w:pPr>
        <w:widowControl w:val="0"/>
        <w:pBdr>
          <w:top w:val="nil"/>
          <w:left w:val="nil"/>
          <w:bottom w:val="nil"/>
          <w:right w:val="nil"/>
          <w:between w:val="nil"/>
        </w:pBdr>
        <w:spacing w:before="200" w:after="200"/>
        <w:jc w:val="both"/>
        <w:rPr>
          <w:i/>
          <w:color w:val="FF0000"/>
          <w:sz w:val="20"/>
          <w:szCs w:val="20"/>
        </w:rPr>
      </w:pPr>
      <w:r>
        <w:rPr>
          <w:color w:val="0000FF"/>
          <w:sz w:val="20"/>
          <w:szCs w:val="20"/>
        </w:rPr>
        <w:t xml:space="preserve">[The Group holds less than 50% of voting rights in a fully consolidated subsidiary _____. The Group has the power and exposure to variable returns of this subsidiary through contractual arrangements with _____. ] [The Group issued bonds though a consolidated structured entity incorporated in the [country]. This entity was consolidated as it was specifically set up for the purposes of the Group, and the Group has exposure to substantially all risks and rewards through outstanding guarantees of the entity’s obligations. The Group guarantees all obligations of this entity represented by the bonds issued of </w:t>
      </w:r>
      <w:r w:rsidR="00D73799">
        <w:rPr>
          <w:color w:val="0000FF"/>
          <w:sz w:val="20"/>
          <w:szCs w:val="20"/>
        </w:rPr>
        <w:t>EUR</w:t>
      </w:r>
      <w:r>
        <w:rPr>
          <w:color w:val="0000FF"/>
          <w:sz w:val="20"/>
          <w:szCs w:val="20"/>
        </w:rPr>
        <w:t> _____ thousand.]</w:t>
      </w:r>
      <w:r>
        <w:rPr>
          <w:color w:val="000000"/>
          <w:sz w:val="20"/>
          <w:szCs w:val="20"/>
        </w:rPr>
        <w:t xml:space="preserve"> </w:t>
      </w:r>
      <w:r>
        <w:rPr>
          <w:i/>
          <w:color w:val="FF0000"/>
          <w:sz w:val="20"/>
          <w:szCs w:val="20"/>
        </w:rPr>
        <w:t xml:space="preserve">[Disclose significant judgements and assumptions made in determining that (a) The Group controls another entity even though it holds less than half of the voting rights of the other entity; and (b) it is an agent or a principal (see paragraphs B58–B72 of IFRS 10).] [Disclose the terms of any contractual arrangements that could require the parent or its subsidiaries to provide financial support to a consolidated structured entity. This applies also to securitisation transactions. Also disclose details of any support provided during the year and an intention to provide support – see IFRS 12.15-16] </w:t>
      </w:r>
    </w:p>
    <w:p w14:paraId="6E506D9D" w14:textId="24B554AD" w:rsidR="00D83E33" w:rsidRDefault="00BC4072" w:rsidP="001B330E">
      <w:pPr>
        <w:pStyle w:val="Continued"/>
      </w:pPr>
      <w:r>
        <w:lastRenderedPageBreak/>
        <w:t>46</w:t>
      </w:r>
      <w:r>
        <w:tab/>
        <w:t>Interests in Structured Entities (Continued)</w:t>
      </w:r>
    </w:p>
    <w:p w14:paraId="1E8A0CAF"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(b) </w:t>
      </w:r>
      <w:r>
        <w:rPr>
          <w:b/>
          <w:i/>
          <w:color w:val="000000"/>
          <w:sz w:val="20"/>
          <w:szCs w:val="20"/>
        </w:rPr>
        <w:tab/>
        <w:t>Unconsolidated structured entities</w:t>
      </w:r>
    </w:p>
    <w:p w14:paraId="311557BD" w14:textId="2DF769FF"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[The Group holds more than 50% of voting rights in _____ but does not have the power over this entity due to contractual arrangements with _____, which specify that _____. Consequently _____ [entity] is not consolidated.] </w:t>
      </w:r>
      <w:r>
        <w:rPr>
          <w:i/>
          <w:color w:val="FF0000"/>
          <w:sz w:val="20"/>
          <w:szCs w:val="20"/>
        </w:rPr>
        <w:t xml:space="preserve">[Disclose significant judgements and assumptions made in determining that: (a) the Group does not control another entity even though it holds more than half of the voting rights of the other entity; (b) it is an agent or a principal (see paragraphs B58–B72 of IFRS 10); (c) it does not have significant influence even though it holds 20 per cent or more of the voting rights of another entity and (d) it has significant influence even though it holds less than 20 per cent of the voting rights of another entity.] </w:t>
      </w:r>
    </w:p>
    <w:p w14:paraId="1AD3B00D"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Information about unconsolidated structured entities is as follows:</w:t>
      </w:r>
    </w:p>
    <w:tbl>
      <w:tblPr>
        <w:tblStyle w:val="afffffffffffffff4"/>
        <w:tblW w:w="5000" w:type="pct"/>
        <w:tblLayout w:type="fixed"/>
        <w:tblLook w:val="0000" w:firstRow="0" w:lastRow="0" w:firstColumn="0" w:lastColumn="0" w:noHBand="0" w:noVBand="0"/>
      </w:tblPr>
      <w:tblGrid>
        <w:gridCol w:w="2837"/>
        <w:gridCol w:w="1085"/>
        <w:gridCol w:w="1087"/>
        <w:gridCol w:w="1087"/>
        <w:gridCol w:w="1087"/>
        <w:gridCol w:w="1085"/>
        <w:gridCol w:w="1087"/>
      </w:tblGrid>
      <w:tr w:rsidR="00D83E33" w:rsidRPr="00EA10CF" w14:paraId="51D75BB4" w14:textId="77777777" w:rsidTr="001B330E">
        <w:trPr>
          <w:trHeight w:val="23"/>
        </w:trPr>
        <w:tc>
          <w:tcPr>
            <w:tcW w:w="1516" w:type="pct"/>
            <w:vAlign w:val="bottom"/>
          </w:tcPr>
          <w:p w14:paraId="461593A7" w14:textId="77777777" w:rsidR="00D83E33" w:rsidRPr="00EA10CF" w:rsidRDefault="00D83E33">
            <w:pPr>
              <w:widowControl w:val="0"/>
              <w:pBdr>
                <w:top w:val="nil"/>
                <w:left w:val="nil"/>
                <w:bottom w:val="nil"/>
                <w:right w:val="nil"/>
                <w:between w:val="nil"/>
              </w:pBdr>
              <w:rPr>
                <w:i/>
                <w:color w:val="000000"/>
              </w:rPr>
            </w:pPr>
          </w:p>
        </w:tc>
        <w:tc>
          <w:tcPr>
            <w:tcW w:w="1742" w:type="pct"/>
            <w:gridSpan w:val="3"/>
            <w:tcBorders>
              <w:bottom w:val="single" w:sz="4" w:space="0" w:color="000000"/>
            </w:tcBorders>
            <w:vAlign w:val="bottom"/>
          </w:tcPr>
          <w:p w14:paraId="44CE3899" w14:textId="0A56AB9D" w:rsidR="00D83E33" w:rsidRPr="00EA10CF" w:rsidRDefault="00BC4072">
            <w:pPr>
              <w:widowControl w:val="0"/>
              <w:pBdr>
                <w:top w:val="nil"/>
                <w:left w:val="nil"/>
                <w:bottom w:val="nil"/>
                <w:right w:val="nil"/>
                <w:between w:val="nil"/>
              </w:pBdr>
              <w:jc w:val="center"/>
              <w:rPr>
                <w:color w:val="000000"/>
              </w:rPr>
            </w:pPr>
            <w:r w:rsidRPr="00EA10CF">
              <w:rPr>
                <w:b/>
                <w:color w:val="000000"/>
              </w:rPr>
              <w:t>Year ended 31</w:t>
            </w:r>
            <w:r w:rsidR="00181687">
              <w:rPr>
                <w:b/>
                <w:color w:val="000000"/>
              </w:rPr>
              <w:t> December </w:t>
            </w:r>
            <w:r w:rsidR="00541EBC">
              <w:rPr>
                <w:b/>
                <w:color w:val="000000"/>
              </w:rPr>
              <w:t>2024</w:t>
            </w:r>
          </w:p>
        </w:tc>
        <w:tc>
          <w:tcPr>
            <w:tcW w:w="1742" w:type="pct"/>
            <w:gridSpan w:val="3"/>
            <w:tcBorders>
              <w:bottom w:val="single" w:sz="4" w:space="0" w:color="000000"/>
            </w:tcBorders>
            <w:vAlign w:val="bottom"/>
          </w:tcPr>
          <w:p w14:paraId="365E11A3" w14:textId="3A025564" w:rsidR="00D83E33" w:rsidRPr="00EA10CF" w:rsidRDefault="00BC4072">
            <w:pPr>
              <w:widowControl w:val="0"/>
              <w:pBdr>
                <w:top w:val="nil"/>
                <w:left w:val="nil"/>
                <w:bottom w:val="nil"/>
                <w:right w:val="nil"/>
                <w:between w:val="nil"/>
              </w:pBdr>
              <w:jc w:val="center"/>
              <w:rPr>
                <w:color w:val="000000"/>
              </w:rPr>
            </w:pPr>
            <w:r w:rsidRPr="00EA10CF">
              <w:rPr>
                <w:b/>
                <w:color w:val="000000"/>
              </w:rPr>
              <w:t>At 31</w:t>
            </w:r>
            <w:r w:rsidR="00181687">
              <w:rPr>
                <w:b/>
                <w:color w:val="000000"/>
              </w:rPr>
              <w:t> December </w:t>
            </w:r>
            <w:r w:rsidR="00541EBC">
              <w:rPr>
                <w:b/>
                <w:color w:val="000000"/>
              </w:rPr>
              <w:t>2023</w:t>
            </w:r>
          </w:p>
        </w:tc>
      </w:tr>
      <w:tr w:rsidR="00D83E33" w:rsidRPr="00EA10CF" w14:paraId="4D64D4EF" w14:textId="77777777" w:rsidTr="001B330E">
        <w:trPr>
          <w:trHeight w:val="23"/>
        </w:trPr>
        <w:tc>
          <w:tcPr>
            <w:tcW w:w="1516" w:type="pct"/>
            <w:tcBorders>
              <w:bottom w:val="single" w:sz="4" w:space="0" w:color="000000"/>
            </w:tcBorders>
            <w:vAlign w:val="bottom"/>
          </w:tcPr>
          <w:p w14:paraId="4DE5D8CA" w14:textId="3B86EAC2" w:rsidR="00D83E33" w:rsidRPr="00EA10CF" w:rsidRDefault="00313B4D">
            <w:pPr>
              <w:widowControl w:val="0"/>
              <w:pBdr>
                <w:top w:val="nil"/>
                <w:left w:val="nil"/>
                <w:bottom w:val="nil"/>
                <w:right w:val="nil"/>
                <w:between w:val="nil"/>
              </w:pBdr>
              <w:rPr>
                <w:i/>
                <w:color w:val="000000"/>
              </w:rPr>
            </w:pPr>
            <w:r>
              <w:rPr>
                <w:i/>
                <w:color w:val="000000"/>
              </w:rPr>
              <w:t xml:space="preserve">In thousands of </w:t>
            </w:r>
            <w:r w:rsidR="002649EE">
              <w:rPr>
                <w:i/>
                <w:color w:val="000000"/>
              </w:rPr>
              <w:t>EUR</w:t>
            </w:r>
          </w:p>
        </w:tc>
        <w:tc>
          <w:tcPr>
            <w:tcW w:w="580" w:type="pct"/>
            <w:tcBorders>
              <w:top w:val="single" w:sz="4" w:space="0" w:color="000000"/>
              <w:bottom w:val="single" w:sz="4" w:space="0" w:color="000000"/>
            </w:tcBorders>
          </w:tcPr>
          <w:p w14:paraId="05BA9368"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Income from the structured entity for the year</w:t>
            </w:r>
          </w:p>
        </w:tc>
        <w:tc>
          <w:tcPr>
            <w:tcW w:w="581" w:type="pct"/>
            <w:tcBorders>
              <w:top w:val="single" w:sz="4" w:space="0" w:color="000000"/>
              <w:bottom w:val="single" w:sz="4" w:space="0" w:color="000000"/>
            </w:tcBorders>
          </w:tcPr>
          <w:p w14:paraId="61B59DF9"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Carrying amount of assets transferred to the structured entity during the year</w:t>
            </w:r>
          </w:p>
        </w:tc>
        <w:tc>
          <w:tcPr>
            <w:tcW w:w="580" w:type="pct"/>
            <w:tcBorders>
              <w:top w:val="single" w:sz="4" w:space="0" w:color="000000"/>
              <w:bottom w:val="single" w:sz="4" w:space="0" w:color="000000"/>
            </w:tcBorders>
          </w:tcPr>
          <w:p w14:paraId="0F7A4535"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Support provided to the structured entity during the year</w:t>
            </w:r>
          </w:p>
        </w:tc>
        <w:tc>
          <w:tcPr>
            <w:tcW w:w="581" w:type="pct"/>
            <w:tcBorders>
              <w:top w:val="single" w:sz="4" w:space="0" w:color="000000"/>
              <w:bottom w:val="single" w:sz="4" w:space="0" w:color="000000"/>
            </w:tcBorders>
          </w:tcPr>
          <w:p w14:paraId="60BDBD5F"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Carrying amount of assets recognised for expo-sure to the structured entity</w:t>
            </w:r>
          </w:p>
        </w:tc>
        <w:tc>
          <w:tcPr>
            <w:tcW w:w="580" w:type="pct"/>
            <w:tcBorders>
              <w:top w:val="single" w:sz="4" w:space="0" w:color="000000"/>
              <w:bottom w:val="single" w:sz="4" w:space="0" w:color="000000"/>
            </w:tcBorders>
          </w:tcPr>
          <w:p w14:paraId="6A16CB69"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Carrying amount of liabilities recognised for expo-sure to the structured entity</w:t>
            </w:r>
          </w:p>
        </w:tc>
        <w:tc>
          <w:tcPr>
            <w:tcW w:w="581" w:type="pct"/>
            <w:tcBorders>
              <w:top w:val="single" w:sz="4" w:space="0" w:color="000000"/>
              <w:bottom w:val="single" w:sz="4" w:space="0" w:color="000000"/>
            </w:tcBorders>
          </w:tcPr>
          <w:p w14:paraId="07867C8D"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Maximum exposure to loss from interest in structured entity</w:t>
            </w:r>
          </w:p>
        </w:tc>
      </w:tr>
      <w:tr w:rsidR="00D83E33" w:rsidRPr="00EA10CF" w14:paraId="12552EBE" w14:textId="77777777" w:rsidTr="001B330E">
        <w:trPr>
          <w:trHeight w:val="23"/>
        </w:trPr>
        <w:tc>
          <w:tcPr>
            <w:tcW w:w="1516" w:type="pct"/>
            <w:vAlign w:val="bottom"/>
          </w:tcPr>
          <w:p w14:paraId="3049B901" w14:textId="77777777" w:rsidR="00D83E33" w:rsidRPr="00EA10CF" w:rsidRDefault="00BC4072">
            <w:pPr>
              <w:widowControl w:val="0"/>
              <w:pBdr>
                <w:top w:val="nil"/>
                <w:left w:val="nil"/>
                <w:bottom w:val="nil"/>
                <w:right w:val="nil"/>
                <w:between w:val="nil"/>
              </w:pBdr>
              <w:jc w:val="center"/>
              <w:rPr>
                <w:b/>
                <w:color w:val="000000"/>
              </w:rPr>
            </w:pPr>
            <w:r w:rsidRPr="00EA10CF">
              <w:rPr>
                <w:b/>
                <w:color w:val="000000"/>
              </w:rPr>
              <w:t> </w:t>
            </w:r>
          </w:p>
        </w:tc>
        <w:tc>
          <w:tcPr>
            <w:tcW w:w="580" w:type="pct"/>
            <w:vAlign w:val="bottom"/>
          </w:tcPr>
          <w:p w14:paraId="174B2F96"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3A6D4743" w14:textId="77777777" w:rsidR="00D83E33" w:rsidRPr="00EA10CF" w:rsidRDefault="00D83E33">
            <w:pPr>
              <w:widowControl w:val="0"/>
              <w:pBdr>
                <w:top w:val="nil"/>
                <w:left w:val="nil"/>
                <w:bottom w:val="nil"/>
                <w:right w:val="nil"/>
                <w:between w:val="nil"/>
              </w:pBdr>
              <w:jc w:val="right"/>
              <w:rPr>
                <w:color w:val="000000"/>
              </w:rPr>
            </w:pPr>
          </w:p>
        </w:tc>
        <w:tc>
          <w:tcPr>
            <w:tcW w:w="580" w:type="pct"/>
            <w:vAlign w:val="bottom"/>
          </w:tcPr>
          <w:p w14:paraId="0D53B0E8"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5EB66668" w14:textId="77777777" w:rsidR="00D83E33" w:rsidRPr="00EA10CF" w:rsidRDefault="00D83E33">
            <w:pPr>
              <w:widowControl w:val="0"/>
              <w:pBdr>
                <w:top w:val="nil"/>
                <w:left w:val="nil"/>
                <w:bottom w:val="nil"/>
                <w:right w:val="nil"/>
                <w:between w:val="nil"/>
              </w:pBdr>
              <w:jc w:val="right"/>
              <w:rPr>
                <w:color w:val="000000"/>
              </w:rPr>
            </w:pPr>
          </w:p>
        </w:tc>
        <w:tc>
          <w:tcPr>
            <w:tcW w:w="580" w:type="pct"/>
            <w:vAlign w:val="bottom"/>
          </w:tcPr>
          <w:p w14:paraId="1683917B"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5070CC2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2F78116" w14:textId="77777777" w:rsidTr="001B330E">
        <w:trPr>
          <w:trHeight w:val="23"/>
        </w:trPr>
        <w:tc>
          <w:tcPr>
            <w:tcW w:w="1516" w:type="pct"/>
            <w:vAlign w:val="bottom"/>
          </w:tcPr>
          <w:p w14:paraId="68EEED70" w14:textId="77777777" w:rsidR="00D83E33" w:rsidRPr="00EA10CF" w:rsidRDefault="00BC4072">
            <w:pPr>
              <w:widowControl w:val="0"/>
              <w:pBdr>
                <w:top w:val="nil"/>
                <w:left w:val="nil"/>
                <w:bottom w:val="nil"/>
                <w:right w:val="nil"/>
                <w:between w:val="nil"/>
              </w:pBdr>
              <w:rPr>
                <w:color w:val="0000FF"/>
              </w:rPr>
            </w:pPr>
            <w:r w:rsidRPr="00EA10CF">
              <w:rPr>
                <w:color w:val="0000FF"/>
              </w:rPr>
              <w:t>[Leasing entity]</w:t>
            </w:r>
          </w:p>
        </w:tc>
        <w:tc>
          <w:tcPr>
            <w:tcW w:w="580" w:type="pct"/>
            <w:vAlign w:val="bottom"/>
          </w:tcPr>
          <w:p w14:paraId="3117C74B"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78454768" w14:textId="77777777" w:rsidR="00D83E33" w:rsidRPr="00EA10CF" w:rsidRDefault="00D83E33">
            <w:pPr>
              <w:widowControl w:val="0"/>
              <w:pBdr>
                <w:top w:val="nil"/>
                <w:left w:val="nil"/>
                <w:bottom w:val="nil"/>
                <w:right w:val="nil"/>
                <w:between w:val="nil"/>
              </w:pBdr>
              <w:jc w:val="right"/>
              <w:rPr>
                <w:color w:val="000000"/>
              </w:rPr>
            </w:pPr>
          </w:p>
        </w:tc>
        <w:tc>
          <w:tcPr>
            <w:tcW w:w="580" w:type="pct"/>
            <w:vAlign w:val="bottom"/>
          </w:tcPr>
          <w:p w14:paraId="14D165B5"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40378D39" w14:textId="77777777" w:rsidR="00D83E33" w:rsidRPr="00EA10CF" w:rsidRDefault="00D83E33">
            <w:pPr>
              <w:widowControl w:val="0"/>
              <w:pBdr>
                <w:top w:val="nil"/>
                <w:left w:val="nil"/>
                <w:bottom w:val="nil"/>
                <w:right w:val="nil"/>
                <w:between w:val="nil"/>
              </w:pBdr>
              <w:jc w:val="right"/>
              <w:rPr>
                <w:color w:val="000000"/>
              </w:rPr>
            </w:pPr>
          </w:p>
        </w:tc>
        <w:tc>
          <w:tcPr>
            <w:tcW w:w="580" w:type="pct"/>
            <w:vAlign w:val="bottom"/>
          </w:tcPr>
          <w:p w14:paraId="2E318D96"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3E11911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B17A61E" w14:textId="77777777" w:rsidTr="001B330E">
        <w:trPr>
          <w:trHeight w:val="23"/>
        </w:trPr>
        <w:tc>
          <w:tcPr>
            <w:tcW w:w="1516" w:type="pct"/>
            <w:vAlign w:val="bottom"/>
          </w:tcPr>
          <w:p w14:paraId="2C1FF426" w14:textId="77777777" w:rsidR="00D83E33" w:rsidRPr="00EA10CF" w:rsidRDefault="00BC4072">
            <w:pPr>
              <w:widowControl w:val="0"/>
              <w:pBdr>
                <w:top w:val="nil"/>
                <w:left w:val="nil"/>
                <w:bottom w:val="nil"/>
                <w:right w:val="nil"/>
                <w:between w:val="nil"/>
              </w:pBdr>
              <w:rPr>
                <w:color w:val="0000FF"/>
              </w:rPr>
            </w:pPr>
            <w:r w:rsidRPr="00EA10CF">
              <w:rPr>
                <w:color w:val="0000FF"/>
              </w:rPr>
              <w:t>[Securitisation vehicle]</w:t>
            </w:r>
          </w:p>
        </w:tc>
        <w:tc>
          <w:tcPr>
            <w:tcW w:w="580" w:type="pct"/>
            <w:vAlign w:val="bottom"/>
          </w:tcPr>
          <w:p w14:paraId="60E61066"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750FF48A" w14:textId="77777777" w:rsidR="00D83E33" w:rsidRPr="00EA10CF" w:rsidRDefault="00D83E33">
            <w:pPr>
              <w:widowControl w:val="0"/>
              <w:pBdr>
                <w:top w:val="nil"/>
                <w:left w:val="nil"/>
                <w:bottom w:val="nil"/>
                <w:right w:val="nil"/>
                <w:between w:val="nil"/>
              </w:pBdr>
              <w:jc w:val="right"/>
              <w:rPr>
                <w:color w:val="000000"/>
              </w:rPr>
            </w:pPr>
          </w:p>
        </w:tc>
        <w:tc>
          <w:tcPr>
            <w:tcW w:w="580" w:type="pct"/>
            <w:vAlign w:val="bottom"/>
          </w:tcPr>
          <w:p w14:paraId="00254A06"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31956D45" w14:textId="77777777" w:rsidR="00D83E33" w:rsidRPr="00EA10CF" w:rsidRDefault="00D83E33">
            <w:pPr>
              <w:widowControl w:val="0"/>
              <w:pBdr>
                <w:top w:val="nil"/>
                <w:left w:val="nil"/>
                <w:bottom w:val="nil"/>
                <w:right w:val="nil"/>
                <w:between w:val="nil"/>
              </w:pBdr>
              <w:jc w:val="right"/>
              <w:rPr>
                <w:color w:val="000000"/>
              </w:rPr>
            </w:pPr>
          </w:p>
        </w:tc>
        <w:tc>
          <w:tcPr>
            <w:tcW w:w="580" w:type="pct"/>
            <w:vAlign w:val="bottom"/>
          </w:tcPr>
          <w:p w14:paraId="4C8DC689"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76064F2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C5B77E4" w14:textId="77777777" w:rsidTr="001B330E">
        <w:trPr>
          <w:trHeight w:val="23"/>
        </w:trPr>
        <w:tc>
          <w:tcPr>
            <w:tcW w:w="1516" w:type="pct"/>
            <w:vAlign w:val="bottom"/>
          </w:tcPr>
          <w:p w14:paraId="054CBF05" w14:textId="6DF64694" w:rsidR="00D83E33" w:rsidRPr="00EA10CF" w:rsidRDefault="00D83E33">
            <w:pPr>
              <w:widowControl w:val="0"/>
              <w:pBdr>
                <w:top w:val="nil"/>
                <w:left w:val="nil"/>
                <w:bottom w:val="nil"/>
                <w:right w:val="nil"/>
                <w:between w:val="nil"/>
              </w:pBdr>
              <w:rPr>
                <w:color w:val="000000"/>
              </w:rPr>
            </w:pPr>
          </w:p>
        </w:tc>
        <w:tc>
          <w:tcPr>
            <w:tcW w:w="580" w:type="pct"/>
            <w:vAlign w:val="bottom"/>
          </w:tcPr>
          <w:p w14:paraId="6C48C881"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3F40E4B7" w14:textId="77777777" w:rsidR="00D83E33" w:rsidRPr="00EA10CF" w:rsidRDefault="00D83E33">
            <w:pPr>
              <w:widowControl w:val="0"/>
              <w:pBdr>
                <w:top w:val="nil"/>
                <w:left w:val="nil"/>
                <w:bottom w:val="nil"/>
                <w:right w:val="nil"/>
                <w:between w:val="nil"/>
              </w:pBdr>
              <w:jc w:val="right"/>
              <w:rPr>
                <w:color w:val="000000"/>
              </w:rPr>
            </w:pPr>
          </w:p>
        </w:tc>
        <w:tc>
          <w:tcPr>
            <w:tcW w:w="580" w:type="pct"/>
            <w:vAlign w:val="bottom"/>
          </w:tcPr>
          <w:p w14:paraId="37931107"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20011D80" w14:textId="77777777" w:rsidR="00D83E33" w:rsidRPr="00EA10CF" w:rsidRDefault="00D83E33">
            <w:pPr>
              <w:widowControl w:val="0"/>
              <w:pBdr>
                <w:top w:val="nil"/>
                <w:left w:val="nil"/>
                <w:bottom w:val="nil"/>
                <w:right w:val="nil"/>
                <w:between w:val="nil"/>
              </w:pBdr>
              <w:jc w:val="right"/>
              <w:rPr>
                <w:color w:val="000000"/>
              </w:rPr>
            </w:pPr>
          </w:p>
        </w:tc>
        <w:tc>
          <w:tcPr>
            <w:tcW w:w="580" w:type="pct"/>
            <w:vAlign w:val="bottom"/>
          </w:tcPr>
          <w:p w14:paraId="65D576D0" w14:textId="77777777" w:rsidR="00D83E33" w:rsidRPr="00EA10CF" w:rsidRDefault="00D83E33">
            <w:pPr>
              <w:widowControl w:val="0"/>
              <w:pBdr>
                <w:top w:val="nil"/>
                <w:left w:val="nil"/>
                <w:bottom w:val="nil"/>
                <w:right w:val="nil"/>
                <w:between w:val="nil"/>
              </w:pBdr>
              <w:jc w:val="right"/>
              <w:rPr>
                <w:color w:val="000000"/>
              </w:rPr>
            </w:pPr>
          </w:p>
        </w:tc>
        <w:tc>
          <w:tcPr>
            <w:tcW w:w="581" w:type="pct"/>
            <w:vAlign w:val="bottom"/>
          </w:tcPr>
          <w:p w14:paraId="493BF60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A3EAB40" w14:textId="77777777" w:rsidTr="001B330E">
        <w:trPr>
          <w:trHeight w:val="23"/>
        </w:trPr>
        <w:tc>
          <w:tcPr>
            <w:tcW w:w="1516" w:type="pct"/>
            <w:tcBorders>
              <w:bottom w:val="single" w:sz="4" w:space="0" w:color="000000"/>
            </w:tcBorders>
            <w:vAlign w:val="bottom"/>
          </w:tcPr>
          <w:p w14:paraId="7C132284"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580" w:type="pct"/>
            <w:tcBorders>
              <w:bottom w:val="single" w:sz="4" w:space="0" w:color="000000"/>
            </w:tcBorders>
            <w:vAlign w:val="bottom"/>
          </w:tcPr>
          <w:p w14:paraId="0520271B" w14:textId="77777777" w:rsidR="00D83E33" w:rsidRPr="00EA10CF" w:rsidRDefault="00D83E33">
            <w:pPr>
              <w:widowControl w:val="0"/>
              <w:pBdr>
                <w:top w:val="nil"/>
                <w:left w:val="nil"/>
                <w:bottom w:val="nil"/>
                <w:right w:val="nil"/>
                <w:between w:val="nil"/>
              </w:pBdr>
              <w:jc w:val="right"/>
              <w:rPr>
                <w:color w:val="000000"/>
              </w:rPr>
            </w:pPr>
          </w:p>
        </w:tc>
        <w:tc>
          <w:tcPr>
            <w:tcW w:w="581" w:type="pct"/>
            <w:tcBorders>
              <w:bottom w:val="single" w:sz="4" w:space="0" w:color="000000"/>
            </w:tcBorders>
            <w:vAlign w:val="bottom"/>
          </w:tcPr>
          <w:p w14:paraId="3D88E1BE" w14:textId="77777777" w:rsidR="00D83E33" w:rsidRPr="00EA10CF" w:rsidRDefault="00D83E33">
            <w:pPr>
              <w:widowControl w:val="0"/>
              <w:pBdr>
                <w:top w:val="nil"/>
                <w:left w:val="nil"/>
                <w:bottom w:val="nil"/>
                <w:right w:val="nil"/>
                <w:between w:val="nil"/>
              </w:pBdr>
              <w:jc w:val="right"/>
              <w:rPr>
                <w:color w:val="000000"/>
              </w:rPr>
            </w:pPr>
          </w:p>
        </w:tc>
        <w:tc>
          <w:tcPr>
            <w:tcW w:w="580" w:type="pct"/>
            <w:tcBorders>
              <w:bottom w:val="single" w:sz="4" w:space="0" w:color="000000"/>
            </w:tcBorders>
            <w:vAlign w:val="bottom"/>
          </w:tcPr>
          <w:p w14:paraId="474912EF" w14:textId="77777777" w:rsidR="00D83E33" w:rsidRPr="00EA10CF" w:rsidRDefault="00D83E33">
            <w:pPr>
              <w:widowControl w:val="0"/>
              <w:pBdr>
                <w:top w:val="nil"/>
                <w:left w:val="nil"/>
                <w:bottom w:val="nil"/>
                <w:right w:val="nil"/>
                <w:between w:val="nil"/>
              </w:pBdr>
              <w:jc w:val="right"/>
              <w:rPr>
                <w:color w:val="000000"/>
              </w:rPr>
            </w:pPr>
          </w:p>
        </w:tc>
        <w:tc>
          <w:tcPr>
            <w:tcW w:w="581" w:type="pct"/>
            <w:tcBorders>
              <w:bottom w:val="single" w:sz="4" w:space="0" w:color="000000"/>
            </w:tcBorders>
            <w:vAlign w:val="bottom"/>
          </w:tcPr>
          <w:p w14:paraId="59683DA7" w14:textId="77777777" w:rsidR="00D83E33" w:rsidRPr="00EA10CF" w:rsidRDefault="00D83E33">
            <w:pPr>
              <w:widowControl w:val="0"/>
              <w:pBdr>
                <w:top w:val="nil"/>
                <w:left w:val="nil"/>
                <w:bottom w:val="nil"/>
                <w:right w:val="nil"/>
                <w:between w:val="nil"/>
              </w:pBdr>
              <w:jc w:val="right"/>
              <w:rPr>
                <w:color w:val="000000"/>
              </w:rPr>
            </w:pPr>
          </w:p>
        </w:tc>
        <w:tc>
          <w:tcPr>
            <w:tcW w:w="580" w:type="pct"/>
            <w:tcBorders>
              <w:bottom w:val="single" w:sz="4" w:space="0" w:color="000000"/>
            </w:tcBorders>
            <w:vAlign w:val="bottom"/>
          </w:tcPr>
          <w:p w14:paraId="0F121FEA" w14:textId="77777777" w:rsidR="00D83E33" w:rsidRPr="00EA10CF" w:rsidRDefault="00D83E33">
            <w:pPr>
              <w:widowControl w:val="0"/>
              <w:pBdr>
                <w:top w:val="nil"/>
                <w:left w:val="nil"/>
                <w:bottom w:val="nil"/>
                <w:right w:val="nil"/>
                <w:between w:val="nil"/>
              </w:pBdr>
              <w:jc w:val="right"/>
              <w:rPr>
                <w:color w:val="000000"/>
              </w:rPr>
            </w:pPr>
          </w:p>
        </w:tc>
        <w:tc>
          <w:tcPr>
            <w:tcW w:w="581" w:type="pct"/>
            <w:tcBorders>
              <w:bottom w:val="single" w:sz="4" w:space="0" w:color="000000"/>
            </w:tcBorders>
            <w:vAlign w:val="bottom"/>
          </w:tcPr>
          <w:p w14:paraId="455F0B3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FA83F32" w14:textId="77777777" w:rsidTr="001B330E">
        <w:trPr>
          <w:trHeight w:val="23"/>
        </w:trPr>
        <w:tc>
          <w:tcPr>
            <w:tcW w:w="1516" w:type="pct"/>
            <w:vAlign w:val="bottom"/>
          </w:tcPr>
          <w:p w14:paraId="013CA7C5"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580" w:type="pct"/>
            <w:vAlign w:val="bottom"/>
          </w:tcPr>
          <w:p w14:paraId="0EFCEB2A" w14:textId="77777777" w:rsidR="00D83E33" w:rsidRPr="00EA10CF" w:rsidRDefault="00D83E33">
            <w:pPr>
              <w:widowControl w:val="0"/>
              <w:pBdr>
                <w:top w:val="nil"/>
                <w:left w:val="nil"/>
                <w:bottom w:val="nil"/>
                <w:right w:val="nil"/>
                <w:between w:val="nil"/>
              </w:pBdr>
              <w:jc w:val="right"/>
              <w:rPr>
                <w:b/>
                <w:color w:val="000000"/>
              </w:rPr>
            </w:pPr>
          </w:p>
        </w:tc>
        <w:tc>
          <w:tcPr>
            <w:tcW w:w="581" w:type="pct"/>
            <w:vAlign w:val="bottom"/>
          </w:tcPr>
          <w:p w14:paraId="17D65F63" w14:textId="77777777" w:rsidR="00D83E33" w:rsidRPr="00EA10CF" w:rsidRDefault="00D83E33">
            <w:pPr>
              <w:widowControl w:val="0"/>
              <w:pBdr>
                <w:top w:val="nil"/>
                <w:left w:val="nil"/>
                <w:bottom w:val="nil"/>
                <w:right w:val="nil"/>
                <w:between w:val="nil"/>
              </w:pBdr>
              <w:jc w:val="right"/>
              <w:rPr>
                <w:b/>
                <w:color w:val="000000"/>
              </w:rPr>
            </w:pPr>
          </w:p>
        </w:tc>
        <w:tc>
          <w:tcPr>
            <w:tcW w:w="580" w:type="pct"/>
            <w:vAlign w:val="bottom"/>
          </w:tcPr>
          <w:p w14:paraId="16160FA1" w14:textId="77777777" w:rsidR="00D83E33" w:rsidRPr="00EA10CF" w:rsidRDefault="00D83E33">
            <w:pPr>
              <w:widowControl w:val="0"/>
              <w:pBdr>
                <w:top w:val="nil"/>
                <w:left w:val="nil"/>
                <w:bottom w:val="nil"/>
                <w:right w:val="nil"/>
                <w:between w:val="nil"/>
              </w:pBdr>
              <w:jc w:val="right"/>
              <w:rPr>
                <w:b/>
                <w:color w:val="000000"/>
              </w:rPr>
            </w:pPr>
          </w:p>
        </w:tc>
        <w:tc>
          <w:tcPr>
            <w:tcW w:w="581" w:type="pct"/>
            <w:vAlign w:val="bottom"/>
          </w:tcPr>
          <w:p w14:paraId="67624739" w14:textId="77777777" w:rsidR="00D83E33" w:rsidRPr="00EA10CF" w:rsidRDefault="00D83E33">
            <w:pPr>
              <w:widowControl w:val="0"/>
              <w:pBdr>
                <w:top w:val="nil"/>
                <w:left w:val="nil"/>
                <w:bottom w:val="nil"/>
                <w:right w:val="nil"/>
                <w:between w:val="nil"/>
              </w:pBdr>
              <w:jc w:val="right"/>
              <w:rPr>
                <w:b/>
                <w:color w:val="000000"/>
              </w:rPr>
            </w:pPr>
          </w:p>
        </w:tc>
        <w:tc>
          <w:tcPr>
            <w:tcW w:w="580" w:type="pct"/>
            <w:vAlign w:val="bottom"/>
          </w:tcPr>
          <w:p w14:paraId="405352F3" w14:textId="77777777" w:rsidR="00D83E33" w:rsidRPr="00EA10CF" w:rsidRDefault="00D83E33">
            <w:pPr>
              <w:widowControl w:val="0"/>
              <w:pBdr>
                <w:top w:val="nil"/>
                <w:left w:val="nil"/>
                <w:bottom w:val="nil"/>
                <w:right w:val="nil"/>
                <w:between w:val="nil"/>
              </w:pBdr>
              <w:jc w:val="right"/>
              <w:rPr>
                <w:b/>
                <w:color w:val="000000"/>
              </w:rPr>
            </w:pPr>
          </w:p>
        </w:tc>
        <w:tc>
          <w:tcPr>
            <w:tcW w:w="581" w:type="pct"/>
            <w:vAlign w:val="bottom"/>
          </w:tcPr>
          <w:p w14:paraId="57A21263"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4D88998" w14:textId="77777777" w:rsidTr="001B330E">
        <w:trPr>
          <w:trHeight w:val="23"/>
        </w:trPr>
        <w:tc>
          <w:tcPr>
            <w:tcW w:w="1516" w:type="pct"/>
            <w:vAlign w:val="bottom"/>
          </w:tcPr>
          <w:p w14:paraId="748D5C32" w14:textId="77777777" w:rsidR="00D83E33" w:rsidRPr="00EA10CF" w:rsidRDefault="00BC4072">
            <w:pPr>
              <w:widowControl w:val="0"/>
              <w:pBdr>
                <w:top w:val="nil"/>
                <w:left w:val="nil"/>
                <w:bottom w:val="nil"/>
                <w:right w:val="nil"/>
                <w:between w:val="nil"/>
              </w:pBdr>
              <w:rPr>
                <w:b/>
                <w:smallCaps/>
                <w:color w:val="000000"/>
              </w:rPr>
            </w:pPr>
            <w:r w:rsidRPr="00EA10CF">
              <w:rPr>
                <w:b/>
                <w:smallCaps/>
                <w:color w:val="000000"/>
              </w:rPr>
              <w:t xml:space="preserve">TOTAL </w:t>
            </w:r>
          </w:p>
        </w:tc>
        <w:tc>
          <w:tcPr>
            <w:tcW w:w="580" w:type="pct"/>
            <w:vAlign w:val="bottom"/>
          </w:tcPr>
          <w:p w14:paraId="6E16CDE4" w14:textId="77777777" w:rsidR="00D83E33" w:rsidRPr="00EA10CF" w:rsidRDefault="00D83E33">
            <w:pPr>
              <w:widowControl w:val="0"/>
              <w:pBdr>
                <w:top w:val="nil"/>
                <w:left w:val="nil"/>
                <w:bottom w:val="nil"/>
                <w:right w:val="nil"/>
                <w:between w:val="nil"/>
              </w:pBdr>
              <w:jc w:val="right"/>
              <w:rPr>
                <w:b/>
                <w:smallCaps/>
                <w:color w:val="000000"/>
              </w:rPr>
            </w:pPr>
          </w:p>
        </w:tc>
        <w:tc>
          <w:tcPr>
            <w:tcW w:w="581" w:type="pct"/>
            <w:vAlign w:val="bottom"/>
          </w:tcPr>
          <w:p w14:paraId="7BE59B09" w14:textId="77777777" w:rsidR="00D83E33" w:rsidRPr="00EA10CF" w:rsidRDefault="00D83E33">
            <w:pPr>
              <w:widowControl w:val="0"/>
              <w:pBdr>
                <w:top w:val="nil"/>
                <w:left w:val="nil"/>
                <w:bottom w:val="nil"/>
                <w:right w:val="nil"/>
                <w:between w:val="nil"/>
              </w:pBdr>
              <w:jc w:val="right"/>
              <w:rPr>
                <w:b/>
                <w:smallCaps/>
                <w:color w:val="000000"/>
              </w:rPr>
            </w:pPr>
          </w:p>
        </w:tc>
        <w:tc>
          <w:tcPr>
            <w:tcW w:w="580" w:type="pct"/>
            <w:vAlign w:val="bottom"/>
          </w:tcPr>
          <w:p w14:paraId="3279A82C" w14:textId="77777777" w:rsidR="00D83E33" w:rsidRPr="00EA10CF" w:rsidRDefault="00D83E33">
            <w:pPr>
              <w:widowControl w:val="0"/>
              <w:pBdr>
                <w:top w:val="nil"/>
                <w:left w:val="nil"/>
                <w:bottom w:val="nil"/>
                <w:right w:val="nil"/>
                <w:between w:val="nil"/>
              </w:pBdr>
              <w:jc w:val="right"/>
              <w:rPr>
                <w:b/>
                <w:smallCaps/>
                <w:color w:val="000000"/>
              </w:rPr>
            </w:pPr>
          </w:p>
        </w:tc>
        <w:tc>
          <w:tcPr>
            <w:tcW w:w="581" w:type="pct"/>
            <w:vAlign w:val="bottom"/>
          </w:tcPr>
          <w:p w14:paraId="00357C3A" w14:textId="77777777" w:rsidR="00D83E33" w:rsidRPr="00EA10CF" w:rsidRDefault="00D83E33">
            <w:pPr>
              <w:widowControl w:val="0"/>
              <w:pBdr>
                <w:top w:val="nil"/>
                <w:left w:val="nil"/>
                <w:bottom w:val="nil"/>
                <w:right w:val="nil"/>
                <w:between w:val="nil"/>
              </w:pBdr>
              <w:jc w:val="right"/>
              <w:rPr>
                <w:b/>
                <w:smallCaps/>
                <w:color w:val="000000"/>
              </w:rPr>
            </w:pPr>
          </w:p>
        </w:tc>
        <w:tc>
          <w:tcPr>
            <w:tcW w:w="580" w:type="pct"/>
            <w:vAlign w:val="bottom"/>
          </w:tcPr>
          <w:p w14:paraId="1EEB6130" w14:textId="77777777" w:rsidR="00D83E33" w:rsidRPr="00EA10CF" w:rsidRDefault="00D83E33">
            <w:pPr>
              <w:widowControl w:val="0"/>
              <w:pBdr>
                <w:top w:val="nil"/>
                <w:left w:val="nil"/>
                <w:bottom w:val="nil"/>
                <w:right w:val="nil"/>
                <w:between w:val="nil"/>
              </w:pBdr>
              <w:jc w:val="right"/>
              <w:rPr>
                <w:b/>
                <w:smallCaps/>
                <w:color w:val="000000"/>
              </w:rPr>
            </w:pPr>
          </w:p>
        </w:tc>
        <w:tc>
          <w:tcPr>
            <w:tcW w:w="581" w:type="pct"/>
            <w:vAlign w:val="bottom"/>
          </w:tcPr>
          <w:p w14:paraId="46FC370B" w14:textId="77777777" w:rsidR="00D83E33" w:rsidRPr="00EA10CF" w:rsidRDefault="00D83E33">
            <w:pPr>
              <w:widowControl w:val="0"/>
              <w:pBdr>
                <w:top w:val="nil"/>
                <w:left w:val="nil"/>
                <w:bottom w:val="nil"/>
                <w:right w:val="nil"/>
                <w:between w:val="nil"/>
              </w:pBdr>
              <w:jc w:val="right"/>
              <w:rPr>
                <w:b/>
                <w:smallCaps/>
                <w:color w:val="000000"/>
              </w:rPr>
            </w:pPr>
          </w:p>
        </w:tc>
      </w:tr>
      <w:tr w:rsidR="00D83E33" w:rsidRPr="00EA10CF" w14:paraId="47EDDC84" w14:textId="77777777" w:rsidTr="001B330E">
        <w:trPr>
          <w:trHeight w:val="23"/>
        </w:trPr>
        <w:tc>
          <w:tcPr>
            <w:tcW w:w="1516" w:type="pct"/>
            <w:tcBorders>
              <w:bottom w:val="single" w:sz="12" w:space="0" w:color="000000"/>
            </w:tcBorders>
            <w:shd w:val="clear" w:color="auto" w:fill="auto"/>
            <w:vAlign w:val="bottom"/>
          </w:tcPr>
          <w:p w14:paraId="12237BF1"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580" w:type="pct"/>
            <w:tcBorders>
              <w:bottom w:val="single" w:sz="12" w:space="0" w:color="000000"/>
            </w:tcBorders>
            <w:shd w:val="clear" w:color="auto" w:fill="auto"/>
            <w:vAlign w:val="bottom"/>
          </w:tcPr>
          <w:p w14:paraId="7656795B" w14:textId="77777777" w:rsidR="00D83E33" w:rsidRPr="00EA10CF" w:rsidRDefault="00D83E33">
            <w:pPr>
              <w:widowControl w:val="0"/>
              <w:pBdr>
                <w:top w:val="nil"/>
                <w:left w:val="nil"/>
                <w:bottom w:val="nil"/>
                <w:right w:val="nil"/>
                <w:between w:val="nil"/>
              </w:pBdr>
              <w:jc w:val="right"/>
              <w:rPr>
                <w:color w:val="000000"/>
              </w:rPr>
            </w:pPr>
          </w:p>
        </w:tc>
        <w:tc>
          <w:tcPr>
            <w:tcW w:w="581" w:type="pct"/>
            <w:tcBorders>
              <w:bottom w:val="single" w:sz="12" w:space="0" w:color="000000"/>
            </w:tcBorders>
            <w:shd w:val="clear" w:color="auto" w:fill="auto"/>
            <w:vAlign w:val="bottom"/>
          </w:tcPr>
          <w:p w14:paraId="6E7A89B9" w14:textId="77777777" w:rsidR="00D83E33" w:rsidRPr="00EA10CF" w:rsidRDefault="00D83E33">
            <w:pPr>
              <w:widowControl w:val="0"/>
              <w:pBdr>
                <w:top w:val="nil"/>
                <w:left w:val="nil"/>
                <w:bottom w:val="nil"/>
                <w:right w:val="nil"/>
                <w:between w:val="nil"/>
              </w:pBdr>
              <w:jc w:val="right"/>
              <w:rPr>
                <w:color w:val="000000"/>
              </w:rPr>
            </w:pPr>
          </w:p>
        </w:tc>
        <w:tc>
          <w:tcPr>
            <w:tcW w:w="580" w:type="pct"/>
            <w:tcBorders>
              <w:bottom w:val="single" w:sz="12" w:space="0" w:color="000000"/>
            </w:tcBorders>
            <w:vAlign w:val="bottom"/>
          </w:tcPr>
          <w:p w14:paraId="6E026D2C" w14:textId="77777777" w:rsidR="00D83E33" w:rsidRPr="00EA10CF" w:rsidRDefault="00D83E33">
            <w:pPr>
              <w:widowControl w:val="0"/>
              <w:pBdr>
                <w:top w:val="nil"/>
                <w:left w:val="nil"/>
                <w:bottom w:val="nil"/>
                <w:right w:val="nil"/>
                <w:between w:val="nil"/>
              </w:pBdr>
              <w:jc w:val="right"/>
              <w:rPr>
                <w:color w:val="000000"/>
              </w:rPr>
            </w:pPr>
          </w:p>
        </w:tc>
        <w:tc>
          <w:tcPr>
            <w:tcW w:w="581" w:type="pct"/>
            <w:tcBorders>
              <w:bottom w:val="single" w:sz="12" w:space="0" w:color="000000"/>
            </w:tcBorders>
            <w:shd w:val="clear" w:color="auto" w:fill="auto"/>
            <w:vAlign w:val="bottom"/>
          </w:tcPr>
          <w:p w14:paraId="6E2331A2" w14:textId="77777777" w:rsidR="00D83E33" w:rsidRPr="00EA10CF" w:rsidRDefault="00D83E33">
            <w:pPr>
              <w:widowControl w:val="0"/>
              <w:pBdr>
                <w:top w:val="nil"/>
                <w:left w:val="nil"/>
                <w:bottom w:val="nil"/>
                <w:right w:val="nil"/>
                <w:between w:val="nil"/>
              </w:pBdr>
              <w:jc w:val="right"/>
              <w:rPr>
                <w:color w:val="000000"/>
              </w:rPr>
            </w:pPr>
          </w:p>
        </w:tc>
        <w:tc>
          <w:tcPr>
            <w:tcW w:w="580" w:type="pct"/>
            <w:tcBorders>
              <w:bottom w:val="single" w:sz="12" w:space="0" w:color="000000"/>
            </w:tcBorders>
            <w:vAlign w:val="bottom"/>
          </w:tcPr>
          <w:p w14:paraId="57340F68" w14:textId="77777777" w:rsidR="00D83E33" w:rsidRPr="00EA10CF" w:rsidRDefault="00D83E33">
            <w:pPr>
              <w:widowControl w:val="0"/>
              <w:pBdr>
                <w:top w:val="nil"/>
                <w:left w:val="nil"/>
                <w:bottom w:val="nil"/>
                <w:right w:val="nil"/>
                <w:between w:val="nil"/>
              </w:pBdr>
              <w:jc w:val="right"/>
              <w:rPr>
                <w:color w:val="000000"/>
              </w:rPr>
            </w:pPr>
          </w:p>
        </w:tc>
        <w:tc>
          <w:tcPr>
            <w:tcW w:w="581" w:type="pct"/>
            <w:tcBorders>
              <w:bottom w:val="single" w:sz="12" w:space="0" w:color="000000"/>
            </w:tcBorders>
            <w:shd w:val="clear" w:color="auto" w:fill="auto"/>
            <w:vAlign w:val="bottom"/>
          </w:tcPr>
          <w:p w14:paraId="033FF6DB" w14:textId="77777777" w:rsidR="00D83E33" w:rsidRPr="00EA10CF" w:rsidRDefault="00D83E33">
            <w:pPr>
              <w:widowControl w:val="0"/>
              <w:pBdr>
                <w:top w:val="nil"/>
                <w:left w:val="nil"/>
                <w:bottom w:val="nil"/>
                <w:right w:val="nil"/>
                <w:between w:val="nil"/>
              </w:pBdr>
              <w:jc w:val="right"/>
              <w:rPr>
                <w:color w:val="000000"/>
              </w:rPr>
            </w:pPr>
          </w:p>
        </w:tc>
      </w:tr>
    </w:tbl>
    <w:p w14:paraId="0B318D33" w14:textId="00667DDD"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[Disclose narrative text to cover the following information where material:</w:t>
      </w:r>
    </w:p>
    <w:p w14:paraId="07028E76" w14:textId="036595BC" w:rsidR="00D83E33" w:rsidRDefault="00BC4072" w:rsidP="001B330E">
      <w:pPr>
        <w:pStyle w:val="red"/>
      </w:pPr>
      <w:r>
        <w:t xml:space="preserve">the nature, purpose, size and activities of the unconsolidated structured entity; </w:t>
      </w:r>
    </w:p>
    <w:p w14:paraId="081FE970" w14:textId="60AC68E8" w:rsidR="00D83E33" w:rsidRDefault="00BC4072" w:rsidP="001B330E">
      <w:pPr>
        <w:pStyle w:val="red"/>
      </w:pPr>
      <w:r>
        <w:t>how the unconsolidated structured entity is financed;</w:t>
      </w:r>
    </w:p>
    <w:p w14:paraId="4B4B1360" w14:textId="5997CFA6" w:rsidR="00D83E33" w:rsidRDefault="00BC4072" w:rsidP="001B330E">
      <w:pPr>
        <w:pStyle w:val="red"/>
      </w:pPr>
      <w:r>
        <w:t>how it has determined which structured entities the Group has sponsored;</w:t>
      </w:r>
    </w:p>
    <w:p w14:paraId="1A3331BA" w14:textId="2D09C309" w:rsidR="00D83E33" w:rsidRDefault="00BC4072" w:rsidP="001B330E">
      <w:pPr>
        <w:pStyle w:val="red"/>
      </w:pPr>
      <w:r>
        <w:t>a description of the types of income from structured entities presented above;</w:t>
      </w:r>
    </w:p>
    <w:p w14:paraId="39077CF8" w14:textId="15B250C8" w:rsidR="00D83E33" w:rsidRDefault="00BC4072" w:rsidP="001B330E">
      <w:pPr>
        <w:pStyle w:val="red"/>
      </w:pPr>
      <w:r>
        <w:t>the line items in the statement of financial position in which the assets and liabilities relating to unconsolidated structured entity are recognised;</w:t>
      </w:r>
    </w:p>
    <w:p w14:paraId="6F520C1C" w14:textId="30EB4AD4" w:rsidR="00D83E33" w:rsidRDefault="00BC4072" w:rsidP="001B330E">
      <w:pPr>
        <w:pStyle w:val="red"/>
      </w:pPr>
      <w:r>
        <w:t>description how the maximum exposure to loss is determined;</w:t>
      </w:r>
    </w:p>
    <w:p w14:paraId="39A77C18" w14:textId="6ED71BFC" w:rsidR="00D83E33" w:rsidRDefault="00BC4072" w:rsidP="001B330E">
      <w:pPr>
        <w:pStyle w:val="red"/>
      </w:pPr>
      <w:r>
        <w:t>the type of support provided to structured entity, including situations in which the entity assisted the structured entity in obtaining financial support; and the reasons for providing the support;</w:t>
      </w:r>
    </w:p>
    <w:p w14:paraId="69506A2D" w14:textId="00376350" w:rsidR="00D83E33" w:rsidRDefault="00BC4072" w:rsidP="001B330E">
      <w:pPr>
        <w:pStyle w:val="red"/>
      </w:pPr>
      <w:r>
        <w:t>any current intentions to provide financial or other support to an unconsolidated structured entity, including intentions to assist the structured entity in obtaining financial support;</w:t>
      </w:r>
    </w:p>
    <w:p w14:paraId="4D0628CC" w14:textId="2F00F4DF" w:rsidR="00D83E33" w:rsidRDefault="00BC4072" w:rsidP="001B330E">
      <w:pPr>
        <w:pStyle w:val="red"/>
      </w:pPr>
      <w:r>
        <w:t xml:space="preserve">the terms of an arrangement that could require the entity to provide financial support to an unconsolidated structured entity (eg liquidity arrangements or credit rating triggers associated with obligations to purchase assets of the structured entity or provide financial support), including: (i) description of events or circumstances that could expose the reporting entity to a loss, (ii) whether there are any terms that would limit the obligation, (ii) whether there are any other parties that provide financial support and, if so, how the reporting entity’s obligation ranks with those of other parties. </w:t>
      </w:r>
    </w:p>
    <w:p w14:paraId="0057FBE5" w14:textId="00A188C0" w:rsidR="00D83E33" w:rsidRDefault="00BC4072" w:rsidP="001B330E">
      <w:pPr>
        <w:pStyle w:val="red"/>
      </w:pPr>
      <w:r>
        <w:t xml:space="preserve">losses incurred by the entity during the reporting period relating to its interests in unconsolidated structured entities. </w:t>
      </w:r>
    </w:p>
    <w:p w14:paraId="4A67353E" w14:textId="5A8EB1C6" w:rsidR="00D83E33" w:rsidRDefault="00BC4072" w:rsidP="001B330E">
      <w:pPr>
        <w:pStyle w:val="red"/>
      </w:pPr>
      <w:r>
        <w:t>the types of income the entity received during the reporting period from its interests in unconsolidated structured entities.</w:t>
      </w:r>
    </w:p>
    <w:p w14:paraId="74725613" w14:textId="2836B984" w:rsidR="00D83E33" w:rsidRDefault="00BC4072" w:rsidP="001B330E">
      <w:pPr>
        <w:pStyle w:val="Continued"/>
      </w:pPr>
      <w:r>
        <w:lastRenderedPageBreak/>
        <w:t>46</w:t>
      </w:r>
      <w:r>
        <w:tab/>
        <w:t>Interests in Structured Entities (Continued)</w:t>
      </w:r>
    </w:p>
    <w:p w14:paraId="615D1B39" w14:textId="0B515BE5" w:rsidR="00D83E33" w:rsidRDefault="00BC4072" w:rsidP="001B330E">
      <w:pPr>
        <w:pStyle w:val="red"/>
      </w:pPr>
      <w:r>
        <w:t xml:space="preserve">whether the entity is required to absorb losses of an unconsolidated structured entity before other parties, the maximum limit of such losses for the entity, and (if relevant) the ranking and amounts of potential losses borne by parties whose interests rank lower than the entity’s interest in the unconsolidated structured entity. </w:t>
      </w:r>
    </w:p>
    <w:p w14:paraId="4BEA5184" w14:textId="4BA372A8" w:rsidR="00D83E33" w:rsidRDefault="00BC4072" w:rsidP="001B330E">
      <w:pPr>
        <w:pStyle w:val="red"/>
      </w:pPr>
      <w:r>
        <w:t xml:space="preserve">information about any liquidity arrangements, guarantees or other commitments with third parties that may affect the fair value or risk of the entity’s interests in unconsolidated structured entities. </w:t>
      </w:r>
    </w:p>
    <w:p w14:paraId="77461FCC" w14:textId="3C188D63" w:rsidR="00D83E33" w:rsidRDefault="00BC4072" w:rsidP="001B330E">
      <w:pPr>
        <w:pStyle w:val="red"/>
      </w:pPr>
      <w:r>
        <w:t xml:space="preserve">any difficulties an unconsolidated structured entity has experienced in financing its activities during the reporting period. </w:t>
      </w:r>
    </w:p>
    <w:p w14:paraId="583ED60F" w14:textId="14F4E882" w:rsidR="00D83E33" w:rsidRDefault="00BC4072" w:rsidP="001B330E">
      <w:pPr>
        <w:pStyle w:val="red"/>
      </w:pPr>
      <w:r>
        <w:t>in relation to the funding of an unconsolidated structured entity, the forms of funding (eg commercial paper or medium-term notes) and their weighted-average life. That information might include maturity analyses of the assets and funding of an unconsolidated structured entity if the structured entity has longer-term assets funded by shorter-term funding.]</w:t>
      </w:r>
    </w:p>
    <w:p w14:paraId="7DA6EE83" w14:textId="77777777" w:rsidR="00D83E33" w:rsidRDefault="00BC4072" w:rsidP="001B330E">
      <w:pPr>
        <w:pStyle w:val="Heading1"/>
      </w:pPr>
      <w:bookmarkStart w:id="122" w:name="_Toc179196049"/>
      <w:r w:rsidRPr="00077F42">
        <w:t>Transfers</w:t>
      </w:r>
      <w:r>
        <w:t xml:space="preserve"> of Financial Assets</w:t>
      </w:r>
      <w:bookmarkEnd w:id="122"/>
      <w:r>
        <w:t xml:space="preserve"> </w:t>
      </w:r>
    </w:p>
    <w:p w14:paraId="72311900" w14:textId="6A264C6E"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Pr>
          <w:b/>
          <w:i/>
          <w:color w:val="0000FF"/>
          <w:sz w:val="20"/>
          <w:szCs w:val="20"/>
        </w:rPr>
        <w:t>[</w:t>
      </w:r>
      <w:r w:rsidRPr="0049022E">
        <w:rPr>
          <w:color w:val="0000FF"/>
          <w:sz w:val="20"/>
          <w:szCs w:val="20"/>
        </w:rPr>
        <w:t>The Group derecognises financial assets when (a) the assets are redeemed or the rights to cash flows from the assets otherwise expired or (b) the Group has transferred the rights to the cash flows from the financial assets or entered into a qualifying pass-through arrangement while (i) also transferring substantially all risks and rewards of ownership of the assets or (ii) neither transferring nor retaining substantially all risks and rewards of ownership, but not retaining control. Control is retained if the counterparty does not have the practical ability to sell the asset in its entirety to an unrelated third party without needing to impose restrictions on the sale.</w:t>
      </w:r>
    </w:p>
    <w:p w14:paraId="60990BE9" w14:textId="5A4F13AB"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 xml:space="preserve">The Group sometimes renegotiates or otherwise modifies the contractual terms of the financial assets. The Group assesses whether the modification of contractual cash flows is substantial considering, among other, the following factors: [any new contractual terms that substantially affect the risk profile of the asset (eg profit share or equity-based return), significant change in interest rate, change in the currency denomination, new collateral or credit enhancement that significantly affects the credit risk associated with the asset or a significant extension of a loan when the borrower is not in financial difficulties.] </w:t>
      </w:r>
    </w:p>
    <w:p w14:paraId="6A6ACDAC" w14:textId="77777777" w:rsidR="0049022E" w:rsidRPr="0049022E" w:rsidRDefault="0049022E" w:rsidP="0049022E">
      <w:pPr>
        <w:widowControl w:val="0"/>
        <w:pBdr>
          <w:top w:val="nil"/>
          <w:left w:val="nil"/>
          <w:bottom w:val="nil"/>
          <w:right w:val="nil"/>
          <w:between w:val="nil"/>
        </w:pBdr>
        <w:spacing w:before="200" w:after="200"/>
        <w:jc w:val="both"/>
        <w:rPr>
          <w:b/>
          <w:color w:val="0000FF"/>
          <w:sz w:val="20"/>
          <w:szCs w:val="20"/>
        </w:rPr>
      </w:pPr>
      <w:r w:rsidRPr="0049022E">
        <w:rPr>
          <w:color w:val="0000FF"/>
          <w:sz w:val="20"/>
          <w:szCs w:val="20"/>
        </w:rPr>
        <w:t>If the modified terms are substantially different, the rights to cash flows from the original asset expire and the Group derecognises the original financial asset and recognises a new asset at its fair value. The date of renegotiation is considered to be the date of initial recognition for subsequent impairment calculation purposes, including determining whether a SICR has occurred. The Group also assesses whether the new loan or debt instrument meets the SPPI criterion. Any difference between the carrying amount of the original asset derecognised and fair value of the new substantially modified asset is recognised in profit or loss, unless the substance of the difference is attributed to a capital transaction with owners.</w:t>
      </w:r>
    </w:p>
    <w:p w14:paraId="1E612C22" w14:textId="77777777"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 xml:space="preserve">In a situation where the renegotiation was driven by financial difficulties of the counterparty and inability to make the originally agreed payments, the Group compares the original and revised expected cash flows to assets whether the risks and rewards of the asset are substantially different as a result of the contractual modification. If the risks and rewards do not change, the modified asset is not substantially different from the original asset and the modification does not result in derecognition. The Group recalculates the gross carrying amount by discounting the modified contractual cash flows by the original effective interest rate (or credit-adjusted effective interest rate for POCI financial assets) and recognises a modification gain or loss in profit or loss. </w:t>
      </w:r>
    </w:p>
    <w:p w14:paraId="10E6D65E" w14:textId="599D5AA0" w:rsidR="0049022E" w:rsidRPr="0049022E" w:rsidRDefault="0049022E" w:rsidP="0049022E">
      <w:pPr>
        <w:widowControl w:val="0"/>
        <w:pBdr>
          <w:top w:val="nil"/>
          <w:left w:val="nil"/>
          <w:bottom w:val="nil"/>
          <w:right w:val="nil"/>
          <w:between w:val="nil"/>
        </w:pBdr>
        <w:spacing w:before="200" w:after="200"/>
        <w:jc w:val="both"/>
        <w:rPr>
          <w:color w:val="0000FF"/>
          <w:sz w:val="20"/>
          <w:szCs w:val="20"/>
        </w:rPr>
      </w:pPr>
      <w:r w:rsidRPr="0049022E">
        <w:rPr>
          <w:color w:val="0000FF"/>
          <w:sz w:val="20"/>
          <w:szCs w:val="20"/>
        </w:rPr>
        <w:t>Payment holidays granted by the Group in response to [</w:t>
      </w:r>
      <w:r w:rsidRPr="0049022E">
        <w:rPr>
          <w:i/>
          <w:iCs/>
          <w:color w:val="0000FF"/>
          <w:sz w:val="20"/>
          <w:szCs w:val="20"/>
        </w:rPr>
        <w:t xml:space="preserve">specify as appropriate, e.g. </w:t>
      </w:r>
      <w:r w:rsidR="00DE1359">
        <w:rPr>
          <w:i/>
          <w:iCs/>
          <w:color w:val="0000FF"/>
          <w:sz w:val="20"/>
          <w:szCs w:val="20"/>
        </w:rPr>
        <w:t>current high interest environment</w:t>
      </w:r>
      <w:r w:rsidRPr="0049022E">
        <w:rPr>
          <w:color w:val="0000FF"/>
          <w:sz w:val="20"/>
          <w:szCs w:val="20"/>
        </w:rPr>
        <w:t xml:space="preserve">] are treated as contractual modifications of the respective loans and advances. Their impact on the gross carrying amount (modification loss) is presented in profit or loss within </w:t>
      </w:r>
      <w:r w:rsidRPr="0049022E">
        <w:rPr>
          <w:i/>
          <w:color w:val="0000FF"/>
          <w:sz w:val="20"/>
          <w:szCs w:val="20"/>
        </w:rPr>
        <w:t>[specify the line item].</w:t>
      </w:r>
      <w:r w:rsidRPr="0049022E">
        <w:rPr>
          <w:color w:val="0000FF"/>
          <w:sz w:val="20"/>
          <w:szCs w:val="20"/>
        </w:rPr>
        <w:t xml:space="preserve"> </w:t>
      </w:r>
    </w:p>
    <w:p w14:paraId="08191B78" w14:textId="07A7D185" w:rsidR="00D83E33" w:rsidRDefault="00BC4072" w:rsidP="0049022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(a) </w:t>
      </w:r>
      <w:r>
        <w:rPr>
          <w:b/>
          <w:i/>
          <w:color w:val="000000"/>
          <w:sz w:val="20"/>
          <w:szCs w:val="20"/>
        </w:rPr>
        <w:tab/>
        <w:t>Transfers that did not qualify for derecognition of the financial asset in its entirety.</w:t>
      </w:r>
    </w:p>
    <w:p w14:paraId="463F7215" w14:textId="77777777" w:rsidR="00D83E33" w:rsidRDefault="00BC4072">
      <w:pPr>
        <w:widowControl w:val="0"/>
        <w:spacing w:before="200" w:after="200"/>
        <w:rPr>
          <w:sz w:val="20"/>
          <w:szCs w:val="20"/>
        </w:rPr>
      </w:pPr>
      <w:r>
        <w:rPr>
          <w:sz w:val="20"/>
          <w:szCs w:val="20"/>
        </w:rPr>
        <w:t xml:space="preserve">The Group transferred financial assets in transactions that did not qualify for derecognition in the current and prior periods. </w:t>
      </w:r>
    </w:p>
    <w:p w14:paraId="0DEAAAAB" w14:textId="77777777" w:rsidR="008B6A03" w:rsidRDefault="008B6A03" w:rsidP="008B6A03">
      <w:pPr>
        <w:pStyle w:val="Continued"/>
      </w:pPr>
      <w:r>
        <w:lastRenderedPageBreak/>
        <w:t>47</w:t>
      </w:r>
      <w:r>
        <w:tab/>
        <w:t>Transfers of Financial Assets (Continued)</w:t>
      </w:r>
    </w:p>
    <w:p w14:paraId="0B085EE8" w14:textId="3135008D" w:rsidR="00D83E33" w:rsidRDefault="00BC4072">
      <w:pPr>
        <w:widowControl w:val="0"/>
        <w:spacing w:before="200" w:after="200"/>
        <w:jc w:val="both"/>
        <w:rPr>
          <w:sz w:val="20"/>
          <w:szCs w:val="20"/>
        </w:rPr>
      </w:pPr>
      <w:r>
        <w:rPr>
          <w:b/>
          <w:i/>
          <w:sz w:val="20"/>
          <w:szCs w:val="20"/>
        </w:rPr>
        <w:t xml:space="preserve">Disposal of loans. </w:t>
      </w:r>
      <w:r>
        <w:rPr>
          <w:sz w:val="20"/>
          <w:szCs w:val="20"/>
        </w:rPr>
        <w:t>At 31</w:t>
      </w:r>
      <w:r w:rsidR="00181687">
        <w:rPr>
          <w:sz w:val="20"/>
          <w:szCs w:val="20"/>
        </w:rPr>
        <w:t> December </w:t>
      </w:r>
      <w:r w:rsidR="00541EBC">
        <w:rPr>
          <w:sz w:val="20"/>
          <w:szCs w:val="20"/>
        </w:rPr>
        <w:t>2024</w:t>
      </w:r>
      <w:r>
        <w:rPr>
          <w:sz w:val="20"/>
          <w:szCs w:val="20"/>
        </w:rPr>
        <w:t xml:space="preserve">, the Group had </w:t>
      </w:r>
      <w:r>
        <w:rPr>
          <w:color w:val="0000FF"/>
          <w:sz w:val="20"/>
          <w:szCs w:val="20"/>
        </w:rPr>
        <w:t>[corporate]</w:t>
      </w:r>
      <w:r>
        <w:rPr>
          <w:sz w:val="20"/>
          <w:szCs w:val="20"/>
        </w:rPr>
        <w:t xml:space="preserve"> loans of </w:t>
      </w:r>
      <w:r w:rsidR="00D73799">
        <w:rPr>
          <w:sz w:val="20"/>
          <w:szCs w:val="20"/>
        </w:rPr>
        <w:t>EUR</w:t>
      </w:r>
      <w:r>
        <w:rPr>
          <w:sz w:val="20"/>
          <w:szCs w:val="20"/>
        </w:rPr>
        <w:t xml:space="preserve"> ____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that were transferred to </w:t>
      </w:r>
      <w:r>
        <w:rPr>
          <w:color w:val="0000FF"/>
          <w:sz w:val="20"/>
          <w:szCs w:val="20"/>
        </w:rPr>
        <w:t>[a related party under common control].</w:t>
      </w:r>
      <w:r>
        <w:rPr>
          <w:sz w:val="20"/>
          <w:szCs w:val="20"/>
        </w:rPr>
        <w:t xml:space="preserve"> The</w:t>
      </w:r>
      <w:r>
        <w:rPr>
          <w:b/>
          <w:sz w:val="20"/>
          <w:szCs w:val="20"/>
        </w:rPr>
        <w:t xml:space="preserve"> </w:t>
      </w:r>
      <w:r>
        <w:rPr>
          <w:sz w:val="20"/>
          <w:szCs w:val="20"/>
        </w:rPr>
        <w:t>Group</w:t>
      </w:r>
      <w:r>
        <w:rPr>
          <w:b/>
          <w:sz w:val="20"/>
          <w:szCs w:val="20"/>
        </w:rPr>
        <w:t xml:space="preserve"> </w:t>
      </w:r>
      <w:r>
        <w:rPr>
          <w:sz w:val="20"/>
          <w:szCs w:val="20"/>
        </w:rPr>
        <w:t>guaranteed repayment of the nominal value of the transferred loans in case of their default after 360 days. The Group is not exposed to late payment risk as it did not guarantee payment of accrued interest. As the transfer did not meet criteria for derecognition of the loans, at 31</w:t>
      </w:r>
      <w:r w:rsidR="00181687">
        <w:rPr>
          <w:sz w:val="20"/>
          <w:szCs w:val="20"/>
        </w:rPr>
        <w:t> December </w:t>
      </w:r>
      <w:r w:rsidR="00541EBC">
        <w:rPr>
          <w:sz w:val="20"/>
          <w:szCs w:val="20"/>
        </w:rPr>
        <w:t>2024</w:t>
      </w:r>
      <w:r>
        <w:rPr>
          <w:sz w:val="20"/>
          <w:szCs w:val="20"/>
        </w:rPr>
        <w:t xml:space="preserve"> the sale proceeds of </w:t>
      </w:r>
      <w:r w:rsidR="00D73799">
        <w:rPr>
          <w:sz w:val="20"/>
          <w:szCs w:val="20"/>
        </w:rPr>
        <w:t>EUR</w:t>
      </w:r>
      <w:r>
        <w:rPr>
          <w:sz w:val="20"/>
          <w:szCs w:val="20"/>
        </w:rPr>
        <w:t xml:space="preserve"> ____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were recognised as borrowings and are presented in Note 24. </w:t>
      </w:r>
      <w:r>
        <w:rPr>
          <w:i/>
          <w:color w:val="FF0000"/>
          <w:sz w:val="20"/>
          <w:szCs w:val="20"/>
        </w:rPr>
        <w:t xml:space="preserve">[Note: disclose </w:t>
      </w:r>
      <w:r>
        <w:rPr>
          <w:i/>
          <w:color w:val="FF0000"/>
          <w:sz w:val="20"/>
          <w:szCs w:val="20"/>
          <w:u w:val="single"/>
        </w:rPr>
        <w:t>by class</w:t>
      </w:r>
      <w:r>
        <w:rPr>
          <w:i/>
          <w:color w:val="FF0000"/>
          <w:sz w:val="20"/>
          <w:szCs w:val="20"/>
        </w:rPr>
        <w:t xml:space="preserve"> of financial assets the nature of the transferred assets, nature of retained risks and rewards and description of the relationship with the related liabilities including any restrictions on the use of the transferred assets.]</w:t>
      </w:r>
    </w:p>
    <w:p w14:paraId="5B2DA480" w14:textId="71E2CB61" w:rsidR="00D83E33" w:rsidRDefault="00BC4072">
      <w:pPr>
        <w:widowControl w:val="0"/>
        <w:spacing w:before="200" w:after="200"/>
        <w:jc w:val="both"/>
        <w:rPr>
          <w:sz w:val="20"/>
          <w:szCs w:val="20"/>
        </w:rPr>
      </w:pPr>
      <w:r>
        <w:rPr>
          <w:b/>
          <w:i/>
          <w:sz w:val="20"/>
          <w:szCs w:val="20"/>
        </w:rPr>
        <w:t>Securitisation transaction.</w:t>
      </w:r>
      <w:r>
        <w:rPr>
          <w:sz w:val="20"/>
          <w:szCs w:val="20"/>
        </w:rPr>
        <w:t xml:space="preserve"> In addition, at 31</w:t>
      </w:r>
      <w:r w:rsidR="00181687">
        <w:rPr>
          <w:sz w:val="20"/>
          <w:szCs w:val="20"/>
        </w:rPr>
        <w:t> December </w:t>
      </w:r>
      <w:r w:rsidR="00541EBC">
        <w:rPr>
          <w:sz w:val="20"/>
          <w:szCs w:val="20"/>
        </w:rPr>
        <w:t>2024</w:t>
      </w:r>
      <w:r>
        <w:rPr>
          <w:sz w:val="20"/>
          <w:szCs w:val="20"/>
        </w:rPr>
        <w:t xml:space="preserve"> the Group transferred </w:t>
      </w:r>
      <w:r>
        <w:rPr>
          <w:color w:val="0000FF"/>
          <w:sz w:val="20"/>
          <w:szCs w:val="20"/>
        </w:rPr>
        <w:t>[corporate]</w:t>
      </w:r>
      <w:r>
        <w:rPr>
          <w:sz w:val="20"/>
          <w:szCs w:val="20"/>
        </w:rPr>
        <w:t xml:space="preserve"> loans of </w:t>
      </w:r>
      <w:r w:rsidR="00D73799">
        <w:rPr>
          <w:sz w:val="20"/>
          <w:szCs w:val="20"/>
        </w:rPr>
        <w:t>EUR</w:t>
      </w:r>
      <w:r>
        <w:rPr>
          <w:sz w:val="20"/>
          <w:szCs w:val="20"/>
        </w:rPr>
        <w:t xml:space="preserve"> _____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to a securitisation structured entity that the Group consolidates because it acquired all of its subordinated borrowings amounting to </w:t>
      </w:r>
      <w:r w:rsidR="00D73799">
        <w:rPr>
          <w:sz w:val="20"/>
          <w:szCs w:val="20"/>
        </w:rPr>
        <w:t>EUR</w:t>
      </w:r>
      <w:r>
        <w:rPr>
          <w:sz w:val="20"/>
          <w:szCs w:val="20"/>
        </w:rPr>
        <w:t xml:space="preserve"> ____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Refer to Note 24 for carrying value of the related borrowings that are represented by senior notes issued by the securitisation special purpose entity to third party investors. </w:t>
      </w:r>
    </w:p>
    <w:p w14:paraId="010CA183" w14:textId="41513B3B" w:rsidR="00D83E33" w:rsidRDefault="00BC4072">
      <w:pPr>
        <w:widowControl w:val="0"/>
        <w:spacing w:before="200" w:after="200"/>
        <w:jc w:val="both"/>
        <w:rPr>
          <w:b/>
          <w:i/>
          <w:sz w:val="20"/>
          <w:szCs w:val="20"/>
        </w:rPr>
      </w:pPr>
      <w:r>
        <w:rPr>
          <w:b/>
          <w:i/>
          <w:sz w:val="20"/>
          <w:szCs w:val="20"/>
        </w:rPr>
        <w:t xml:space="preserve">Sale and repurchase transactions. </w:t>
      </w:r>
      <w:r>
        <w:rPr>
          <w:sz w:val="20"/>
          <w:szCs w:val="20"/>
        </w:rPr>
        <w:t>At 31</w:t>
      </w:r>
      <w:r w:rsidR="00181687">
        <w:rPr>
          <w:b/>
          <w:i/>
          <w:sz w:val="20"/>
          <w:szCs w:val="20"/>
        </w:rPr>
        <w:t> </w:t>
      </w:r>
      <w:r w:rsidR="00181687" w:rsidRPr="00372E26">
        <w:rPr>
          <w:bCs/>
          <w:iCs/>
          <w:sz w:val="20"/>
          <w:szCs w:val="20"/>
        </w:rPr>
        <w:t>December</w:t>
      </w:r>
      <w:r w:rsidR="00181687">
        <w:rPr>
          <w:b/>
          <w:i/>
          <w:sz w:val="20"/>
          <w:szCs w:val="20"/>
        </w:rPr>
        <w:t> </w:t>
      </w:r>
      <w:r w:rsidR="00541EBC">
        <w:rPr>
          <w:sz w:val="20"/>
          <w:szCs w:val="20"/>
        </w:rPr>
        <w:t>2024</w:t>
      </w:r>
      <w:r>
        <w:rPr>
          <w:sz w:val="20"/>
          <w:szCs w:val="20"/>
        </w:rPr>
        <w:t>, the</w:t>
      </w:r>
      <w:r>
        <w:rPr>
          <w:b/>
          <w:i/>
          <w:sz w:val="20"/>
          <w:szCs w:val="20"/>
        </w:rPr>
        <w:t xml:space="preserve"> </w:t>
      </w:r>
      <w:r>
        <w:rPr>
          <w:sz w:val="20"/>
          <w:szCs w:val="20"/>
        </w:rPr>
        <w:t xml:space="preserve">Group has trading securities represented by </w:t>
      </w:r>
      <w:r>
        <w:rPr>
          <w:color w:val="0000FF"/>
          <w:sz w:val="20"/>
          <w:szCs w:val="20"/>
        </w:rPr>
        <w:t>[</w:t>
      </w:r>
      <w:r w:rsidR="00372E26">
        <w:rPr>
          <w:color w:val="0000FF"/>
          <w:sz w:val="20"/>
          <w:szCs w:val="20"/>
        </w:rPr>
        <w:t>[Country]</w:t>
      </w:r>
      <w:r>
        <w:rPr>
          <w:color w:val="0000FF"/>
          <w:sz w:val="20"/>
          <w:szCs w:val="20"/>
        </w:rPr>
        <w:t xml:space="preserve"> government bonds]</w:t>
      </w:r>
      <w:r>
        <w:rPr>
          <w:sz w:val="20"/>
          <w:szCs w:val="20"/>
        </w:rPr>
        <w:t xml:space="preserve"> of </w:t>
      </w:r>
      <w:r w:rsidR="00D73799">
        <w:rPr>
          <w:sz w:val="20"/>
          <w:szCs w:val="20"/>
        </w:rPr>
        <w:t>EUR</w:t>
      </w:r>
      <w:r>
        <w:rPr>
          <w:sz w:val="20"/>
          <w:szCs w:val="20"/>
        </w:rPr>
        <w:t xml:space="preserve"> ____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and FVOCI securities represented by </w:t>
      </w:r>
      <w:r>
        <w:rPr>
          <w:color w:val="0000FF"/>
          <w:sz w:val="20"/>
          <w:szCs w:val="20"/>
        </w:rPr>
        <w:t>[corporate bonds]</w:t>
      </w:r>
      <w:r>
        <w:rPr>
          <w:sz w:val="20"/>
          <w:szCs w:val="20"/>
        </w:rPr>
        <w:t xml:space="preserve"> of </w:t>
      </w:r>
      <w:r w:rsidR="00D73799">
        <w:rPr>
          <w:sz w:val="20"/>
          <w:szCs w:val="20"/>
        </w:rPr>
        <w:t>EUR</w:t>
      </w:r>
      <w:r>
        <w:rPr>
          <w:sz w:val="20"/>
          <w:szCs w:val="20"/>
        </w:rPr>
        <w:t xml:space="preserve"> 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that are subject to obligation to repurchase the securities for a fixed pre-determined price. Refer to Notes 21</w:t>
      </w:r>
      <w:r>
        <w:rPr>
          <w:color w:val="000000"/>
          <w:sz w:val="20"/>
          <w:szCs w:val="20"/>
        </w:rPr>
        <w:t xml:space="preserve"> </w:t>
      </w:r>
      <w:r>
        <w:rPr>
          <w:sz w:val="20"/>
          <w:szCs w:val="20"/>
        </w:rPr>
        <w:t>and 24</w:t>
      </w:r>
      <w:r>
        <w:rPr>
          <w:color w:val="000000"/>
          <w:sz w:val="20"/>
          <w:szCs w:val="20"/>
        </w:rPr>
        <w:t xml:space="preserve"> </w:t>
      </w:r>
      <w:r>
        <w:rPr>
          <w:sz w:val="20"/>
          <w:szCs w:val="20"/>
        </w:rPr>
        <w:t>for the carrying value of obligations from these sale and repurchase transactions.</w:t>
      </w:r>
    </w:p>
    <w:p w14:paraId="5C9CDE5A" w14:textId="6EB7C491" w:rsidR="00D83E33" w:rsidRDefault="00BC4072">
      <w:pPr>
        <w:widowControl w:val="0"/>
        <w:spacing w:before="200" w:after="200"/>
        <w:jc w:val="both"/>
        <w:rPr>
          <w:sz w:val="20"/>
          <w:szCs w:val="20"/>
        </w:rPr>
      </w:pPr>
      <w:r>
        <w:rPr>
          <w:b/>
          <w:i/>
          <w:sz w:val="20"/>
          <w:szCs w:val="20"/>
        </w:rPr>
        <w:t xml:space="preserve">Securities lending transactions. </w:t>
      </w:r>
      <w:r>
        <w:rPr>
          <w:sz w:val="20"/>
          <w:szCs w:val="20"/>
        </w:rPr>
        <w:t>At 31</w:t>
      </w:r>
      <w:r w:rsidR="00181687">
        <w:rPr>
          <w:sz w:val="20"/>
          <w:szCs w:val="20"/>
        </w:rPr>
        <w:t> December </w:t>
      </w:r>
      <w:r w:rsidR="00541EBC">
        <w:rPr>
          <w:sz w:val="20"/>
          <w:szCs w:val="20"/>
        </w:rPr>
        <w:t>2024</w:t>
      </w:r>
      <w:r>
        <w:rPr>
          <w:sz w:val="20"/>
          <w:szCs w:val="20"/>
        </w:rPr>
        <w:t>,</w:t>
      </w:r>
      <w:r>
        <w:rPr>
          <w:b/>
          <w:i/>
          <w:sz w:val="20"/>
          <w:szCs w:val="20"/>
        </w:rPr>
        <w:t xml:space="preserve"> </w:t>
      </w:r>
      <w:r>
        <w:rPr>
          <w:sz w:val="20"/>
          <w:szCs w:val="20"/>
        </w:rPr>
        <w:t>the</w:t>
      </w:r>
      <w:r>
        <w:rPr>
          <w:b/>
          <w:i/>
          <w:sz w:val="20"/>
          <w:szCs w:val="20"/>
        </w:rPr>
        <w:t xml:space="preserve"> </w:t>
      </w:r>
      <w:r>
        <w:rPr>
          <w:sz w:val="20"/>
          <w:szCs w:val="20"/>
        </w:rPr>
        <w:t xml:space="preserve">Group had trading securities represented by </w:t>
      </w:r>
      <w:r>
        <w:rPr>
          <w:color w:val="0000FF"/>
          <w:sz w:val="20"/>
          <w:szCs w:val="20"/>
        </w:rPr>
        <w:t>[</w:t>
      </w:r>
      <w:r w:rsidR="00372E26">
        <w:rPr>
          <w:color w:val="0000FF"/>
          <w:sz w:val="20"/>
          <w:szCs w:val="20"/>
        </w:rPr>
        <w:t>[Country]</w:t>
      </w:r>
      <w:r>
        <w:rPr>
          <w:color w:val="0000FF"/>
          <w:sz w:val="20"/>
          <w:szCs w:val="20"/>
        </w:rPr>
        <w:t xml:space="preserve"> government bonds]</w:t>
      </w:r>
      <w:r>
        <w:rPr>
          <w:sz w:val="20"/>
          <w:szCs w:val="20"/>
        </w:rPr>
        <w:t xml:space="preserve"> of </w:t>
      </w:r>
      <w:r w:rsidR="00D73799">
        <w:rPr>
          <w:sz w:val="20"/>
          <w:szCs w:val="20"/>
        </w:rPr>
        <w:t>EUR</w:t>
      </w:r>
      <w:r>
        <w:rPr>
          <w:sz w:val="20"/>
          <w:szCs w:val="20"/>
        </w:rPr>
        <w:t xml:space="preserve"> ____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that were provided to counterparties in a securities lending transaction in exchange for a fee.</w:t>
      </w:r>
    </w:p>
    <w:p w14:paraId="7EA22756" w14:textId="77777777" w:rsidR="008B6A03" w:rsidRDefault="008B6A03" w:rsidP="008B6A03">
      <w:pPr>
        <w:pStyle w:val="Continued"/>
      </w:pPr>
      <w:r>
        <w:lastRenderedPageBreak/>
        <w:t>47</w:t>
      </w:r>
      <w:r>
        <w:tab/>
        <w:t>Transfers of Financial Assets (Continued)</w:t>
      </w:r>
    </w:p>
    <w:p w14:paraId="08D6EAC2" w14:textId="77777777" w:rsidR="00D83E33" w:rsidRDefault="00BC4072">
      <w:pPr>
        <w:widowControl w:val="0"/>
        <w:spacing w:before="200" w:after="200"/>
        <w:jc w:val="both"/>
        <w:rPr>
          <w:sz w:val="20"/>
          <w:szCs w:val="20"/>
        </w:rPr>
      </w:pPr>
      <w:r>
        <w:rPr>
          <w:sz w:val="20"/>
          <w:szCs w:val="20"/>
        </w:rPr>
        <w:t xml:space="preserve">The following schedule summarises transfers where the entity continues to recognise all of the transferred financial assets. The analysis is provided by class of financial assets. </w:t>
      </w:r>
    </w:p>
    <w:tbl>
      <w:tblPr>
        <w:tblStyle w:val="afffffffffffffff5"/>
        <w:tblW w:w="5000" w:type="pct"/>
        <w:tblLayout w:type="fixed"/>
        <w:tblLook w:val="0000" w:firstRow="0" w:lastRow="0" w:firstColumn="0" w:lastColumn="0" w:noHBand="0" w:noVBand="0"/>
      </w:tblPr>
      <w:tblGrid>
        <w:gridCol w:w="4160"/>
        <w:gridCol w:w="681"/>
        <w:gridCol w:w="1128"/>
        <w:gridCol w:w="1130"/>
        <w:gridCol w:w="1128"/>
        <w:gridCol w:w="1128"/>
      </w:tblGrid>
      <w:tr w:rsidR="00D83E33" w:rsidRPr="00EA10CF" w14:paraId="74496BDF" w14:textId="77777777" w:rsidTr="00372E26">
        <w:trPr>
          <w:trHeight w:val="23"/>
        </w:trPr>
        <w:tc>
          <w:tcPr>
            <w:tcW w:w="2223" w:type="pct"/>
            <w:vAlign w:val="bottom"/>
          </w:tcPr>
          <w:p w14:paraId="37F8CB66" w14:textId="77777777" w:rsidR="00D83E33" w:rsidRPr="00EA10CF" w:rsidRDefault="00D83E33" w:rsidP="001B330E">
            <w:pPr>
              <w:widowControl w:val="0"/>
              <w:ind w:left="113" w:hanging="113"/>
              <w:rPr>
                <w:b/>
              </w:rPr>
            </w:pPr>
          </w:p>
        </w:tc>
        <w:tc>
          <w:tcPr>
            <w:tcW w:w="364" w:type="pct"/>
            <w:vMerge w:val="restart"/>
            <w:vAlign w:val="bottom"/>
          </w:tcPr>
          <w:p w14:paraId="5E9FE75D" w14:textId="77777777" w:rsidR="00D83E33" w:rsidRPr="00EA10CF" w:rsidRDefault="00BC4072">
            <w:pPr>
              <w:widowControl w:val="0"/>
              <w:pBdr>
                <w:top w:val="nil"/>
                <w:left w:val="nil"/>
                <w:bottom w:val="nil"/>
                <w:right w:val="nil"/>
                <w:between w:val="nil"/>
              </w:pBdr>
              <w:ind w:left="-57" w:right="-57"/>
              <w:jc w:val="center"/>
              <w:rPr>
                <w:b/>
                <w:color w:val="000000"/>
              </w:rPr>
            </w:pPr>
            <w:r w:rsidRPr="00EA10CF">
              <w:rPr>
                <w:b/>
                <w:color w:val="000000"/>
              </w:rPr>
              <w:t>Notes</w:t>
            </w:r>
          </w:p>
        </w:tc>
        <w:tc>
          <w:tcPr>
            <w:tcW w:w="1207" w:type="pct"/>
            <w:gridSpan w:val="2"/>
            <w:tcBorders>
              <w:bottom w:val="single" w:sz="4" w:space="0" w:color="000000"/>
            </w:tcBorders>
            <w:vAlign w:val="bottom"/>
          </w:tcPr>
          <w:p w14:paraId="377BB66C" w14:textId="1AFCE7FD" w:rsidR="00D83E33" w:rsidRPr="00EA10CF" w:rsidRDefault="00BC4072">
            <w:pPr>
              <w:widowControl w:val="0"/>
              <w:pBdr>
                <w:top w:val="nil"/>
                <w:left w:val="nil"/>
                <w:bottom w:val="nil"/>
                <w:right w:val="nil"/>
                <w:between w:val="nil"/>
              </w:pBdr>
              <w:jc w:val="center"/>
              <w:rPr>
                <w:color w:val="000000"/>
              </w:rPr>
            </w:pPr>
            <w:r w:rsidRPr="00EA10CF">
              <w:rPr>
                <w:b/>
                <w:color w:val="000000"/>
              </w:rPr>
              <w:t>31</w:t>
            </w:r>
            <w:r w:rsidR="00181687">
              <w:rPr>
                <w:b/>
                <w:color w:val="000000"/>
              </w:rPr>
              <w:t> December </w:t>
            </w:r>
            <w:r w:rsidR="00541EBC">
              <w:rPr>
                <w:b/>
                <w:color w:val="000000"/>
              </w:rPr>
              <w:t>2024</w:t>
            </w:r>
          </w:p>
        </w:tc>
        <w:tc>
          <w:tcPr>
            <w:tcW w:w="1206" w:type="pct"/>
            <w:gridSpan w:val="2"/>
            <w:tcBorders>
              <w:bottom w:val="single" w:sz="4" w:space="0" w:color="000000"/>
            </w:tcBorders>
            <w:vAlign w:val="bottom"/>
          </w:tcPr>
          <w:p w14:paraId="20122CB2" w14:textId="735C8B61" w:rsidR="00D83E33" w:rsidRPr="00EA10CF" w:rsidRDefault="00BC4072">
            <w:pPr>
              <w:widowControl w:val="0"/>
              <w:pBdr>
                <w:top w:val="nil"/>
                <w:left w:val="nil"/>
                <w:bottom w:val="nil"/>
                <w:right w:val="nil"/>
                <w:between w:val="nil"/>
              </w:pBdr>
              <w:jc w:val="center"/>
              <w:rPr>
                <w:color w:val="000000"/>
              </w:rPr>
            </w:pPr>
            <w:r w:rsidRPr="00EA10CF">
              <w:rPr>
                <w:b/>
                <w:color w:val="000000"/>
              </w:rPr>
              <w:t>31</w:t>
            </w:r>
            <w:r w:rsidR="00181687">
              <w:rPr>
                <w:b/>
                <w:color w:val="000000"/>
              </w:rPr>
              <w:t> December </w:t>
            </w:r>
            <w:r w:rsidR="00541EBC">
              <w:rPr>
                <w:b/>
                <w:color w:val="000000"/>
              </w:rPr>
              <w:t>2023</w:t>
            </w:r>
          </w:p>
        </w:tc>
      </w:tr>
      <w:tr w:rsidR="00D83E33" w:rsidRPr="00EA10CF" w14:paraId="703FB235" w14:textId="77777777" w:rsidTr="00372E26">
        <w:trPr>
          <w:trHeight w:val="23"/>
        </w:trPr>
        <w:tc>
          <w:tcPr>
            <w:tcW w:w="2223" w:type="pct"/>
            <w:tcBorders>
              <w:bottom w:val="single" w:sz="4" w:space="0" w:color="000000"/>
            </w:tcBorders>
            <w:vAlign w:val="bottom"/>
          </w:tcPr>
          <w:p w14:paraId="3FBC4798" w14:textId="298A379D"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64" w:type="pct"/>
            <w:vMerge/>
            <w:vAlign w:val="bottom"/>
          </w:tcPr>
          <w:p w14:paraId="3513562E" w14:textId="77777777" w:rsidR="00D83E33" w:rsidRPr="00EA10CF" w:rsidRDefault="00D83E33" w:rsidP="001B330E">
            <w:pPr>
              <w:widowControl w:val="0"/>
              <w:pBdr>
                <w:top w:val="nil"/>
                <w:left w:val="nil"/>
                <w:bottom w:val="nil"/>
                <w:right w:val="nil"/>
                <w:between w:val="nil"/>
              </w:pBdr>
              <w:rPr>
                <w:b/>
                <w:i/>
                <w:color w:val="000000"/>
              </w:rPr>
            </w:pPr>
          </w:p>
        </w:tc>
        <w:tc>
          <w:tcPr>
            <w:tcW w:w="603" w:type="pct"/>
            <w:tcBorders>
              <w:top w:val="single" w:sz="4" w:space="0" w:color="000000"/>
              <w:bottom w:val="single" w:sz="4" w:space="0" w:color="000000"/>
            </w:tcBorders>
          </w:tcPr>
          <w:p w14:paraId="41DDF2E2"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Carrying amount of the assets at year end</w:t>
            </w:r>
          </w:p>
        </w:tc>
        <w:tc>
          <w:tcPr>
            <w:tcW w:w="604" w:type="pct"/>
            <w:tcBorders>
              <w:top w:val="single" w:sz="4" w:space="0" w:color="000000"/>
              <w:bottom w:val="single" w:sz="4" w:space="0" w:color="000000"/>
            </w:tcBorders>
          </w:tcPr>
          <w:p w14:paraId="7ABBAF93"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Carrying amount of the associated liabilities</w:t>
            </w:r>
          </w:p>
        </w:tc>
        <w:tc>
          <w:tcPr>
            <w:tcW w:w="603" w:type="pct"/>
            <w:tcBorders>
              <w:top w:val="single" w:sz="4" w:space="0" w:color="000000"/>
              <w:bottom w:val="single" w:sz="4" w:space="0" w:color="000000"/>
            </w:tcBorders>
          </w:tcPr>
          <w:p w14:paraId="0D4B94B0"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Carrying amount of the assets at year end</w:t>
            </w:r>
          </w:p>
        </w:tc>
        <w:tc>
          <w:tcPr>
            <w:tcW w:w="603" w:type="pct"/>
            <w:tcBorders>
              <w:top w:val="single" w:sz="4" w:space="0" w:color="000000"/>
              <w:bottom w:val="single" w:sz="4" w:space="0" w:color="000000"/>
            </w:tcBorders>
          </w:tcPr>
          <w:p w14:paraId="2793E833"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Carrying amount of the associated liabilities</w:t>
            </w:r>
          </w:p>
        </w:tc>
      </w:tr>
      <w:tr w:rsidR="00D83E33" w:rsidRPr="00EA10CF" w14:paraId="635003B5" w14:textId="77777777" w:rsidTr="00372E26">
        <w:trPr>
          <w:trHeight w:val="23"/>
        </w:trPr>
        <w:tc>
          <w:tcPr>
            <w:tcW w:w="2223" w:type="pct"/>
            <w:tcBorders>
              <w:top w:val="single" w:sz="4" w:space="0" w:color="000000"/>
            </w:tcBorders>
            <w:vAlign w:val="bottom"/>
          </w:tcPr>
          <w:p w14:paraId="56A4989C" w14:textId="77777777" w:rsidR="00D83E33" w:rsidRPr="00EA10CF" w:rsidRDefault="00BC4072" w:rsidP="001B330E">
            <w:pPr>
              <w:widowControl w:val="0"/>
              <w:ind w:left="113" w:hanging="113"/>
              <w:rPr>
                <w:b/>
              </w:rPr>
            </w:pPr>
            <w:r w:rsidRPr="00EA10CF">
              <w:rPr>
                <w:b/>
              </w:rPr>
              <w:t> </w:t>
            </w:r>
          </w:p>
        </w:tc>
        <w:tc>
          <w:tcPr>
            <w:tcW w:w="364" w:type="pct"/>
            <w:tcBorders>
              <w:top w:val="single" w:sz="4" w:space="0" w:color="000000"/>
            </w:tcBorders>
            <w:vAlign w:val="bottom"/>
          </w:tcPr>
          <w:p w14:paraId="037F6E2B" w14:textId="77777777" w:rsidR="00D83E33" w:rsidRPr="00EA10CF" w:rsidRDefault="00D83E33" w:rsidP="001B330E">
            <w:pPr>
              <w:widowControl w:val="0"/>
              <w:jc w:val="center"/>
              <w:rPr>
                <w:b/>
              </w:rPr>
            </w:pPr>
          </w:p>
        </w:tc>
        <w:tc>
          <w:tcPr>
            <w:tcW w:w="603" w:type="pct"/>
            <w:tcBorders>
              <w:top w:val="single" w:sz="4" w:space="0" w:color="000000"/>
            </w:tcBorders>
            <w:vAlign w:val="bottom"/>
          </w:tcPr>
          <w:p w14:paraId="4AB224C3" w14:textId="77777777" w:rsidR="00D83E33" w:rsidRPr="00EA10CF" w:rsidRDefault="00D83E33">
            <w:pPr>
              <w:widowControl w:val="0"/>
              <w:pBdr>
                <w:top w:val="nil"/>
                <w:left w:val="nil"/>
                <w:bottom w:val="nil"/>
                <w:right w:val="nil"/>
                <w:between w:val="nil"/>
              </w:pBdr>
              <w:jc w:val="right"/>
              <w:rPr>
                <w:color w:val="000000"/>
              </w:rPr>
            </w:pPr>
          </w:p>
        </w:tc>
        <w:tc>
          <w:tcPr>
            <w:tcW w:w="604" w:type="pct"/>
            <w:tcBorders>
              <w:top w:val="single" w:sz="4" w:space="0" w:color="000000"/>
            </w:tcBorders>
            <w:vAlign w:val="bottom"/>
          </w:tcPr>
          <w:p w14:paraId="2F392F12" w14:textId="77777777" w:rsidR="00D83E33" w:rsidRPr="00EA10CF" w:rsidRDefault="00D83E33">
            <w:pPr>
              <w:widowControl w:val="0"/>
              <w:pBdr>
                <w:top w:val="nil"/>
                <w:left w:val="nil"/>
                <w:bottom w:val="nil"/>
                <w:right w:val="nil"/>
                <w:between w:val="nil"/>
              </w:pBdr>
              <w:jc w:val="right"/>
              <w:rPr>
                <w:color w:val="000000"/>
              </w:rPr>
            </w:pPr>
          </w:p>
        </w:tc>
        <w:tc>
          <w:tcPr>
            <w:tcW w:w="603" w:type="pct"/>
            <w:tcBorders>
              <w:top w:val="single" w:sz="4" w:space="0" w:color="000000"/>
            </w:tcBorders>
            <w:vAlign w:val="bottom"/>
          </w:tcPr>
          <w:p w14:paraId="3FCFA466" w14:textId="77777777" w:rsidR="00D83E33" w:rsidRPr="00EA10CF" w:rsidRDefault="00D83E33">
            <w:pPr>
              <w:widowControl w:val="0"/>
              <w:pBdr>
                <w:top w:val="nil"/>
                <w:left w:val="nil"/>
                <w:bottom w:val="nil"/>
                <w:right w:val="nil"/>
                <w:between w:val="nil"/>
              </w:pBdr>
              <w:jc w:val="right"/>
              <w:rPr>
                <w:color w:val="000000"/>
              </w:rPr>
            </w:pPr>
          </w:p>
        </w:tc>
        <w:tc>
          <w:tcPr>
            <w:tcW w:w="603" w:type="pct"/>
            <w:tcBorders>
              <w:top w:val="single" w:sz="4" w:space="0" w:color="000000"/>
            </w:tcBorders>
            <w:vAlign w:val="bottom"/>
          </w:tcPr>
          <w:p w14:paraId="1BE2B53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A9242E3" w14:textId="77777777" w:rsidTr="00372E26">
        <w:trPr>
          <w:trHeight w:val="23"/>
        </w:trPr>
        <w:tc>
          <w:tcPr>
            <w:tcW w:w="2223" w:type="pct"/>
            <w:vAlign w:val="bottom"/>
          </w:tcPr>
          <w:p w14:paraId="0FAB1E1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Corporate loans</w:t>
            </w:r>
          </w:p>
        </w:tc>
        <w:tc>
          <w:tcPr>
            <w:tcW w:w="364" w:type="pct"/>
            <w:vAlign w:val="bottom"/>
          </w:tcPr>
          <w:p w14:paraId="32ADD19D" w14:textId="77777777" w:rsidR="00D83E33" w:rsidRPr="00EA10CF" w:rsidRDefault="00D83E33" w:rsidP="001B330E">
            <w:pPr>
              <w:widowControl w:val="0"/>
              <w:jc w:val="center"/>
            </w:pPr>
          </w:p>
        </w:tc>
        <w:tc>
          <w:tcPr>
            <w:tcW w:w="603" w:type="pct"/>
            <w:vAlign w:val="bottom"/>
          </w:tcPr>
          <w:p w14:paraId="514F4089"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686BB311"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06C17137"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4620FCE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8244AA9" w14:textId="77777777" w:rsidTr="00372E26">
        <w:trPr>
          <w:trHeight w:val="23"/>
        </w:trPr>
        <w:tc>
          <w:tcPr>
            <w:tcW w:w="2223" w:type="pct"/>
            <w:vAlign w:val="bottom"/>
          </w:tcPr>
          <w:p w14:paraId="581D080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Loans to individuals</w:t>
            </w:r>
          </w:p>
        </w:tc>
        <w:tc>
          <w:tcPr>
            <w:tcW w:w="364" w:type="pct"/>
            <w:vAlign w:val="bottom"/>
          </w:tcPr>
          <w:p w14:paraId="6CCA07A0" w14:textId="77777777" w:rsidR="00D83E33" w:rsidRPr="00EA10CF" w:rsidRDefault="00D83E33" w:rsidP="001B330E">
            <w:pPr>
              <w:widowControl w:val="0"/>
              <w:jc w:val="center"/>
            </w:pPr>
          </w:p>
        </w:tc>
        <w:tc>
          <w:tcPr>
            <w:tcW w:w="603" w:type="pct"/>
            <w:vAlign w:val="bottom"/>
          </w:tcPr>
          <w:p w14:paraId="1D937479"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3CE7F670"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29E5EE2C"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74EECC6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9B0BCDB" w14:textId="77777777" w:rsidTr="00372E26">
        <w:trPr>
          <w:trHeight w:val="23"/>
        </w:trPr>
        <w:tc>
          <w:tcPr>
            <w:tcW w:w="2223" w:type="pct"/>
            <w:vAlign w:val="bottom"/>
          </w:tcPr>
          <w:p w14:paraId="7350F48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mandatorily measured at FVTPL</w:t>
            </w:r>
          </w:p>
        </w:tc>
        <w:tc>
          <w:tcPr>
            <w:tcW w:w="364" w:type="pct"/>
            <w:vAlign w:val="bottom"/>
          </w:tcPr>
          <w:p w14:paraId="03C2F083" w14:textId="77777777" w:rsidR="00D83E33" w:rsidRPr="00EA10CF" w:rsidRDefault="00D83E33" w:rsidP="001B330E">
            <w:pPr>
              <w:widowControl w:val="0"/>
              <w:jc w:val="center"/>
            </w:pPr>
          </w:p>
        </w:tc>
        <w:tc>
          <w:tcPr>
            <w:tcW w:w="603" w:type="pct"/>
            <w:vAlign w:val="bottom"/>
          </w:tcPr>
          <w:p w14:paraId="68918E0E"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33039F54"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2D04371A"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5C2B54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4C05FE2" w14:textId="77777777" w:rsidTr="00372E26">
        <w:trPr>
          <w:trHeight w:val="23"/>
        </w:trPr>
        <w:tc>
          <w:tcPr>
            <w:tcW w:w="2223" w:type="pct"/>
            <w:vAlign w:val="bottom"/>
          </w:tcPr>
          <w:p w14:paraId="3C49FE84" w14:textId="40069E69"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w:t>
            </w:r>
            <w:r w:rsidR="00372E26">
              <w:rPr>
                <w:color w:val="000000"/>
              </w:rPr>
              <w:t>[Country]</w:t>
            </w:r>
            <w:r w:rsidRPr="00EA10CF">
              <w:rPr>
                <w:color w:val="000000"/>
              </w:rPr>
              <w:t xml:space="preserve"> government bonds</w:t>
            </w:r>
          </w:p>
        </w:tc>
        <w:tc>
          <w:tcPr>
            <w:tcW w:w="364" w:type="pct"/>
            <w:vAlign w:val="bottom"/>
          </w:tcPr>
          <w:p w14:paraId="7DB5E970" w14:textId="77777777" w:rsidR="00D83E33" w:rsidRPr="00EA10CF" w:rsidRDefault="00D83E33" w:rsidP="001B330E">
            <w:pPr>
              <w:widowControl w:val="0"/>
              <w:jc w:val="center"/>
            </w:pPr>
          </w:p>
        </w:tc>
        <w:tc>
          <w:tcPr>
            <w:tcW w:w="603" w:type="pct"/>
            <w:vAlign w:val="bottom"/>
          </w:tcPr>
          <w:p w14:paraId="46C96593"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374A83DB"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40B13F07"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ACBBA8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C4A27B6" w14:textId="77777777" w:rsidTr="00372E26">
        <w:trPr>
          <w:trHeight w:val="23"/>
        </w:trPr>
        <w:tc>
          <w:tcPr>
            <w:tcW w:w="2223" w:type="pct"/>
            <w:vAlign w:val="bottom"/>
          </w:tcPr>
          <w:p w14:paraId="0CC9F9AE"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Municipal bonds</w:t>
            </w:r>
          </w:p>
        </w:tc>
        <w:tc>
          <w:tcPr>
            <w:tcW w:w="364" w:type="pct"/>
            <w:vAlign w:val="bottom"/>
          </w:tcPr>
          <w:p w14:paraId="3B7C4F18" w14:textId="77777777" w:rsidR="00D83E33" w:rsidRPr="00EA10CF" w:rsidRDefault="00D83E33" w:rsidP="001B330E">
            <w:pPr>
              <w:widowControl w:val="0"/>
              <w:jc w:val="center"/>
            </w:pPr>
          </w:p>
        </w:tc>
        <w:tc>
          <w:tcPr>
            <w:tcW w:w="603" w:type="pct"/>
            <w:vAlign w:val="bottom"/>
          </w:tcPr>
          <w:p w14:paraId="2AF31F1E"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4BFD7BBE"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6810A8E"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2F7EBDF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5CE2A32" w14:textId="77777777" w:rsidTr="00372E26">
        <w:trPr>
          <w:trHeight w:val="23"/>
        </w:trPr>
        <w:tc>
          <w:tcPr>
            <w:tcW w:w="2223" w:type="pct"/>
            <w:vAlign w:val="bottom"/>
          </w:tcPr>
          <w:p w14:paraId="33E2447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Corporate bonds</w:t>
            </w:r>
          </w:p>
          <w:p w14:paraId="0A6855E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Investments in mutual funds</w:t>
            </w:r>
          </w:p>
        </w:tc>
        <w:tc>
          <w:tcPr>
            <w:tcW w:w="364" w:type="pct"/>
            <w:vAlign w:val="bottom"/>
          </w:tcPr>
          <w:p w14:paraId="5FB54BBF" w14:textId="77777777" w:rsidR="00D83E33" w:rsidRPr="00EA10CF" w:rsidRDefault="00D83E33" w:rsidP="001B330E">
            <w:pPr>
              <w:widowControl w:val="0"/>
              <w:jc w:val="center"/>
            </w:pPr>
          </w:p>
        </w:tc>
        <w:tc>
          <w:tcPr>
            <w:tcW w:w="603" w:type="pct"/>
            <w:vAlign w:val="bottom"/>
          </w:tcPr>
          <w:p w14:paraId="4927D8BF"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18B2E29E"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21AC88F6"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730F1CB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86A3D96" w14:textId="77777777" w:rsidTr="00372E26">
        <w:trPr>
          <w:trHeight w:val="23"/>
        </w:trPr>
        <w:tc>
          <w:tcPr>
            <w:tcW w:w="2223" w:type="pct"/>
            <w:vAlign w:val="bottom"/>
          </w:tcPr>
          <w:p w14:paraId="7135882B" w14:textId="1BFE8185"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Promissory notes </w:t>
            </w:r>
          </w:p>
        </w:tc>
        <w:tc>
          <w:tcPr>
            <w:tcW w:w="364" w:type="pct"/>
            <w:vAlign w:val="bottom"/>
          </w:tcPr>
          <w:p w14:paraId="2DB5C8D1" w14:textId="77777777" w:rsidR="00D83E33" w:rsidRPr="00EA10CF" w:rsidRDefault="00D83E33" w:rsidP="001B330E">
            <w:pPr>
              <w:widowControl w:val="0"/>
              <w:jc w:val="center"/>
            </w:pPr>
          </w:p>
        </w:tc>
        <w:tc>
          <w:tcPr>
            <w:tcW w:w="603" w:type="pct"/>
            <w:vAlign w:val="bottom"/>
          </w:tcPr>
          <w:p w14:paraId="31E5C2AF"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566A755C"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4D2536B1"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27B0103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8204E58" w14:textId="77777777" w:rsidTr="00372E26">
        <w:trPr>
          <w:trHeight w:val="23"/>
        </w:trPr>
        <w:tc>
          <w:tcPr>
            <w:tcW w:w="2223" w:type="pct"/>
            <w:vAlign w:val="bottom"/>
          </w:tcPr>
          <w:p w14:paraId="0EC95ACB"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64" w:type="pct"/>
            <w:vAlign w:val="bottom"/>
          </w:tcPr>
          <w:p w14:paraId="5DACD32B" w14:textId="77777777" w:rsidR="00D83E33" w:rsidRPr="00EA10CF" w:rsidRDefault="00D83E33" w:rsidP="001B330E">
            <w:pPr>
              <w:widowControl w:val="0"/>
              <w:jc w:val="center"/>
            </w:pPr>
          </w:p>
        </w:tc>
        <w:tc>
          <w:tcPr>
            <w:tcW w:w="603" w:type="pct"/>
            <w:vAlign w:val="bottom"/>
          </w:tcPr>
          <w:p w14:paraId="4A2E0604"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62A9A8C8"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21BCFEFD"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A8EECD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9E76837" w14:textId="77777777" w:rsidTr="00372E26">
        <w:trPr>
          <w:trHeight w:val="23"/>
        </w:trPr>
        <w:tc>
          <w:tcPr>
            <w:tcW w:w="2223" w:type="pct"/>
            <w:vAlign w:val="bottom"/>
          </w:tcPr>
          <w:p w14:paraId="5A6A4AD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designated as at FVTPL at initial recognition</w:t>
            </w:r>
          </w:p>
        </w:tc>
        <w:tc>
          <w:tcPr>
            <w:tcW w:w="364" w:type="pct"/>
            <w:vAlign w:val="bottom"/>
          </w:tcPr>
          <w:p w14:paraId="3AC57E15" w14:textId="77777777" w:rsidR="00D83E33" w:rsidRPr="00EA10CF" w:rsidRDefault="00D83E33" w:rsidP="001B330E">
            <w:pPr>
              <w:widowControl w:val="0"/>
              <w:jc w:val="center"/>
            </w:pPr>
          </w:p>
        </w:tc>
        <w:tc>
          <w:tcPr>
            <w:tcW w:w="603" w:type="pct"/>
            <w:vAlign w:val="bottom"/>
          </w:tcPr>
          <w:p w14:paraId="4582C804"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454019DE"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472D4060"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2E0B7DD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68F127C" w14:textId="77777777" w:rsidTr="00372E26">
        <w:trPr>
          <w:trHeight w:val="23"/>
        </w:trPr>
        <w:tc>
          <w:tcPr>
            <w:tcW w:w="2223" w:type="pct"/>
            <w:vAlign w:val="bottom"/>
          </w:tcPr>
          <w:p w14:paraId="0D95C7EC" w14:textId="3BFB0AB0"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w:t>
            </w:r>
            <w:r w:rsidR="00372E26">
              <w:rPr>
                <w:color w:val="000000"/>
              </w:rPr>
              <w:t>[Country]</w:t>
            </w:r>
            <w:r w:rsidRPr="00EA10CF">
              <w:rPr>
                <w:color w:val="000000"/>
              </w:rPr>
              <w:t xml:space="preserve"> government bonds</w:t>
            </w:r>
          </w:p>
        </w:tc>
        <w:tc>
          <w:tcPr>
            <w:tcW w:w="364" w:type="pct"/>
            <w:vAlign w:val="bottom"/>
          </w:tcPr>
          <w:p w14:paraId="46235637" w14:textId="77777777" w:rsidR="00D83E33" w:rsidRPr="00EA10CF" w:rsidRDefault="00D83E33" w:rsidP="001B330E">
            <w:pPr>
              <w:widowControl w:val="0"/>
              <w:jc w:val="center"/>
            </w:pPr>
          </w:p>
        </w:tc>
        <w:tc>
          <w:tcPr>
            <w:tcW w:w="603" w:type="pct"/>
            <w:vAlign w:val="bottom"/>
          </w:tcPr>
          <w:p w14:paraId="54AF5FA2"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66F4BA04"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591286F"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CC9034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77F3807" w14:textId="77777777" w:rsidTr="00372E26">
        <w:trPr>
          <w:trHeight w:val="23"/>
        </w:trPr>
        <w:tc>
          <w:tcPr>
            <w:tcW w:w="2223" w:type="pct"/>
            <w:vAlign w:val="bottom"/>
          </w:tcPr>
          <w:p w14:paraId="2FBEB77B"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Municipal bonds</w:t>
            </w:r>
          </w:p>
        </w:tc>
        <w:tc>
          <w:tcPr>
            <w:tcW w:w="364" w:type="pct"/>
            <w:vAlign w:val="bottom"/>
          </w:tcPr>
          <w:p w14:paraId="4291B1FD" w14:textId="77777777" w:rsidR="00D83E33" w:rsidRPr="00EA10CF" w:rsidRDefault="00D83E33" w:rsidP="001B330E">
            <w:pPr>
              <w:widowControl w:val="0"/>
              <w:jc w:val="center"/>
            </w:pPr>
          </w:p>
        </w:tc>
        <w:tc>
          <w:tcPr>
            <w:tcW w:w="603" w:type="pct"/>
            <w:vAlign w:val="bottom"/>
          </w:tcPr>
          <w:p w14:paraId="6A661B9D"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6A3E34AB"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F776DC4"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3BAFCC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31D5266" w14:textId="77777777" w:rsidTr="00372E26">
        <w:trPr>
          <w:trHeight w:val="23"/>
        </w:trPr>
        <w:tc>
          <w:tcPr>
            <w:tcW w:w="2223" w:type="pct"/>
            <w:vAlign w:val="bottom"/>
          </w:tcPr>
          <w:p w14:paraId="76953C0E"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Corporate bonds</w:t>
            </w:r>
          </w:p>
        </w:tc>
        <w:tc>
          <w:tcPr>
            <w:tcW w:w="364" w:type="pct"/>
            <w:vAlign w:val="bottom"/>
          </w:tcPr>
          <w:p w14:paraId="562DEB48" w14:textId="77777777" w:rsidR="00D83E33" w:rsidRPr="00EA10CF" w:rsidRDefault="00D83E33" w:rsidP="001B330E">
            <w:pPr>
              <w:widowControl w:val="0"/>
              <w:jc w:val="center"/>
            </w:pPr>
          </w:p>
        </w:tc>
        <w:tc>
          <w:tcPr>
            <w:tcW w:w="603" w:type="pct"/>
            <w:vAlign w:val="bottom"/>
          </w:tcPr>
          <w:p w14:paraId="3AA80F49"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5C5F2D19"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4A520028"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46DCE3D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D51C122" w14:textId="77777777" w:rsidTr="00372E26">
        <w:trPr>
          <w:trHeight w:val="23"/>
        </w:trPr>
        <w:tc>
          <w:tcPr>
            <w:tcW w:w="2223" w:type="pct"/>
            <w:vAlign w:val="bottom"/>
          </w:tcPr>
          <w:p w14:paraId="36EEDBBC" w14:textId="0DBB9892"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Promissory notes </w:t>
            </w:r>
          </w:p>
        </w:tc>
        <w:tc>
          <w:tcPr>
            <w:tcW w:w="364" w:type="pct"/>
            <w:vAlign w:val="bottom"/>
          </w:tcPr>
          <w:p w14:paraId="04709C7C" w14:textId="77777777" w:rsidR="00D83E33" w:rsidRPr="00EA10CF" w:rsidRDefault="00D83E33" w:rsidP="001B330E">
            <w:pPr>
              <w:widowControl w:val="0"/>
              <w:jc w:val="center"/>
            </w:pPr>
          </w:p>
        </w:tc>
        <w:tc>
          <w:tcPr>
            <w:tcW w:w="603" w:type="pct"/>
            <w:vAlign w:val="bottom"/>
          </w:tcPr>
          <w:p w14:paraId="6F2FE4B6"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1B6605A4"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3F3313B"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3B4774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3AFC354" w14:textId="77777777" w:rsidTr="00372E26">
        <w:trPr>
          <w:trHeight w:val="23"/>
        </w:trPr>
        <w:tc>
          <w:tcPr>
            <w:tcW w:w="2223" w:type="pct"/>
            <w:vAlign w:val="bottom"/>
          </w:tcPr>
          <w:p w14:paraId="146AE802"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64" w:type="pct"/>
            <w:vAlign w:val="bottom"/>
          </w:tcPr>
          <w:p w14:paraId="6453401C" w14:textId="77777777" w:rsidR="00D83E33" w:rsidRPr="00EA10CF" w:rsidRDefault="00D83E33" w:rsidP="001B330E">
            <w:pPr>
              <w:widowControl w:val="0"/>
              <w:jc w:val="center"/>
            </w:pPr>
          </w:p>
        </w:tc>
        <w:tc>
          <w:tcPr>
            <w:tcW w:w="603" w:type="pct"/>
            <w:vAlign w:val="bottom"/>
          </w:tcPr>
          <w:p w14:paraId="68CF5287"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749DF582"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AE06EB7"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F04514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80D5233" w14:textId="77777777" w:rsidTr="00372E26">
        <w:trPr>
          <w:trHeight w:val="23"/>
        </w:trPr>
        <w:tc>
          <w:tcPr>
            <w:tcW w:w="2223" w:type="pct"/>
            <w:vAlign w:val="bottom"/>
          </w:tcPr>
          <w:p w14:paraId="28E52484"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at FVOCI</w:t>
            </w:r>
          </w:p>
        </w:tc>
        <w:tc>
          <w:tcPr>
            <w:tcW w:w="364" w:type="pct"/>
            <w:vAlign w:val="bottom"/>
          </w:tcPr>
          <w:p w14:paraId="79B69BDD" w14:textId="77777777" w:rsidR="00D83E33" w:rsidRPr="00EA10CF" w:rsidRDefault="00D83E33" w:rsidP="001B330E">
            <w:pPr>
              <w:widowControl w:val="0"/>
              <w:jc w:val="center"/>
            </w:pPr>
          </w:p>
        </w:tc>
        <w:tc>
          <w:tcPr>
            <w:tcW w:w="603" w:type="pct"/>
            <w:vAlign w:val="bottom"/>
          </w:tcPr>
          <w:p w14:paraId="6D866B2A"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58CA0A17"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9F1FA7B"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32330A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B22510F" w14:textId="77777777" w:rsidTr="00372E26">
        <w:trPr>
          <w:trHeight w:val="23"/>
        </w:trPr>
        <w:tc>
          <w:tcPr>
            <w:tcW w:w="2223" w:type="pct"/>
            <w:vAlign w:val="bottom"/>
          </w:tcPr>
          <w:p w14:paraId="621753D4" w14:textId="28D5C334"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w:t>
            </w:r>
            <w:r w:rsidR="00372E26">
              <w:rPr>
                <w:color w:val="000000"/>
              </w:rPr>
              <w:t>[Country]</w:t>
            </w:r>
            <w:r w:rsidRPr="00EA10CF">
              <w:rPr>
                <w:color w:val="000000"/>
              </w:rPr>
              <w:t xml:space="preserve"> government bonds</w:t>
            </w:r>
          </w:p>
        </w:tc>
        <w:tc>
          <w:tcPr>
            <w:tcW w:w="364" w:type="pct"/>
            <w:vAlign w:val="bottom"/>
          </w:tcPr>
          <w:p w14:paraId="33F7DC09" w14:textId="77777777" w:rsidR="00D83E33" w:rsidRPr="00EA10CF" w:rsidRDefault="00D83E33" w:rsidP="001B330E">
            <w:pPr>
              <w:widowControl w:val="0"/>
              <w:jc w:val="center"/>
            </w:pPr>
          </w:p>
        </w:tc>
        <w:tc>
          <w:tcPr>
            <w:tcW w:w="603" w:type="pct"/>
            <w:vAlign w:val="bottom"/>
          </w:tcPr>
          <w:p w14:paraId="46C10DF3"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77410475"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454ECE6"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910F8B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EAD8173" w14:textId="77777777" w:rsidTr="00372E26">
        <w:trPr>
          <w:trHeight w:val="23"/>
        </w:trPr>
        <w:tc>
          <w:tcPr>
            <w:tcW w:w="2223" w:type="pct"/>
            <w:vAlign w:val="bottom"/>
          </w:tcPr>
          <w:p w14:paraId="7E8463C7"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Municipal bonds</w:t>
            </w:r>
          </w:p>
        </w:tc>
        <w:tc>
          <w:tcPr>
            <w:tcW w:w="364" w:type="pct"/>
            <w:vAlign w:val="bottom"/>
          </w:tcPr>
          <w:p w14:paraId="37F4B291" w14:textId="77777777" w:rsidR="00D83E33" w:rsidRPr="00EA10CF" w:rsidRDefault="00D83E33" w:rsidP="001B330E">
            <w:pPr>
              <w:widowControl w:val="0"/>
              <w:jc w:val="center"/>
            </w:pPr>
          </w:p>
        </w:tc>
        <w:tc>
          <w:tcPr>
            <w:tcW w:w="603" w:type="pct"/>
            <w:vAlign w:val="bottom"/>
          </w:tcPr>
          <w:p w14:paraId="41734675"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7E62D1EA"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01BEEED"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AA9C9B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363289F" w14:textId="77777777" w:rsidTr="00372E26">
        <w:trPr>
          <w:trHeight w:val="23"/>
        </w:trPr>
        <w:tc>
          <w:tcPr>
            <w:tcW w:w="2223" w:type="pct"/>
            <w:vAlign w:val="bottom"/>
          </w:tcPr>
          <w:p w14:paraId="014BE32F"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Corporate bonds</w:t>
            </w:r>
          </w:p>
        </w:tc>
        <w:tc>
          <w:tcPr>
            <w:tcW w:w="364" w:type="pct"/>
            <w:vAlign w:val="bottom"/>
          </w:tcPr>
          <w:p w14:paraId="575743B6" w14:textId="77777777" w:rsidR="00D83E33" w:rsidRPr="00EA10CF" w:rsidRDefault="00D83E33" w:rsidP="001B330E">
            <w:pPr>
              <w:widowControl w:val="0"/>
              <w:jc w:val="center"/>
            </w:pPr>
          </w:p>
        </w:tc>
        <w:tc>
          <w:tcPr>
            <w:tcW w:w="603" w:type="pct"/>
            <w:vAlign w:val="bottom"/>
          </w:tcPr>
          <w:p w14:paraId="49CD7B74"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6B05EA61"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CFD71E3"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02070BF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5D3542F" w14:textId="77777777" w:rsidTr="00372E26">
        <w:trPr>
          <w:trHeight w:val="23"/>
        </w:trPr>
        <w:tc>
          <w:tcPr>
            <w:tcW w:w="2223" w:type="pct"/>
            <w:vAlign w:val="bottom"/>
          </w:tcPr>
          <w:p w14:paraId="6E1A3B72" w14:textId="70D8D6ED"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Promissory notes </w:t>
            </w:r>
          </w:p>
        </w:tc>
        <w:tc>
          <w:tcPr>
            <w:tcW w:w="364" w:type="pct"/>
            <w:vAlign w:val="bottom"/>
          </w:tcPr>
          <w:p w14:paraId="7F677387" w14:textId="77777777" w:rsidR="00D83E33" w:rsidRPr="00EA10CF" w:rsidRDefault="00D83E33" w:rsidP="001B330E">
            <w:pPr>
              <w:widowControl w:val="0"/>
              <w:jc w:val="center"/>
            </w:pPr>
          </w:p>
        </w:tc>
        <w:tc>
          <w:tcPr>
            <w:tcW w:w="603" w:type="pct"/>
            <w:vAlign w:val="bottom"/>
          </w:tcPr>
          <w:p w14:paraId="3EC810A2"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1C32E3CE"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75A1E37"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07460FA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1983960" w14:textId="77777777" w:rsidTr="00372E26">
        <w:trPr>
          <w:trHeight w:val="23"/>
        </w:trPr>
        <w:tc>
          <w:tcPr>
            <w:tcW w:w="2223" w:type="pct"/>
            <w:vAlign w:val="bottom"/>
          </w:tcPr>
          <w:p w14:paraId="375152BC"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64" w:type="pct"/>
            <w:vAlign w:val="bottom"/>
          </w:tcPr>
          <w:p w14:paraId="45DFD0F6" w14:textId="77777777" w:rsidR="00D83E33" w:rsidRPr="00EA10CF" w:rsidRDefault="00D83E33" w:rsidP="001B330E">
            <w:pPr>
              <w:widowControl w:val="0"/>
              <w:jc w:val="center"/>
            </w:pPr>
          </w:p>
        </w:tc>
        <w:tc>
          <w:tcPr>
            <w:tcW w:w="603" w:type="pct"/>
            <w:vAlign w:val="bottom"/>
          </w:tcPr>
          <w:p w14:paraId="36603EF7"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255C5C27"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3481683"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F94915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5E04C1D" w14:textId="77777777" w:rsidTr="00372E26">
        <w:trPr>
          <w:trHeight w:val="23"/>
        </w:trPr>
        <w:tc>
          <w:tcPr>
            <w:tcW w:w="2223" w:type="pct"/>
            <w:vAlign w:val="bottom"/>
          </w:tcPr>
          <w:p w14:paraId="27DE0D5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at AC</w:t>
            </w:r>
          </w:p>
        </w:tc>
        <w:tc>
          <w:tcPr>
            <w:tcW w:w="364" w:type="pct"/>
            <w:vAlign w:val="bottom"/>
          </w:tcPr>
          <w:p w14:paraId="0CB37B6F" w14:textId="77777777" w:rsidR="00D83E33" w:rsidRPr="00EA10CF" w:rsidRDefault="00D83E33" w:rsidP="001B330E">
            <w:pPr>
              <w:widowControl w:val="0"/>
              <w:jc w:val="center"/>
            </w:pPr>
          </w:p>
        </w:tc>
        <w:tc>
          <w:tcPr>
            <w:tcW w:w="603" w:type="pct"/>
            <w:vAlign w:val="bottom"/>
          </w:tcPr>
          <w:p w14:paraId="5C931236"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112E8700"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40FDB543"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01F8FE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D3F87C6" w14:textId="77777777" w:rsidTr="00372E26">
        <w:trPr>
          <w:trHeight w:val="23"/>
        </w:trPr>
        <w:tc>
          <w:tcPr>
            <w:tcW w:w="2223" w:type="pct"/>
            <w:vAlign w:val="bottom"/>
          </w:tcPr>
          <w:p w14:paraId="78D4BB0A" w14:textId="2BAE5D63"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w:t>
            </w:r>
            <w:r w:rsidR="00372E26">
              <w:rPr>
                <w:color w:val="000000"/>
              </w:rPr>
              <w:t>[Country]</w:t>
            </w:r>
            <w:r w:rsidRPr="00EA10CF">
              <w:rPr>
                <w:color w:val="000000"/>
              </w:rPr>
              <w:t xml:space="preserve"> government bonds</w:t>
            </w:r>
          </w:p>
        </w:tc>
        <w:tc>
          <w:tcPr>
            <w:tcW w:w="364" w:type="pct"/>
            <w:vAlign w:val="bottom"/>
          </w:tcPr>
          <w:p w14:paraId="14186BEA" w14:textId="77777777" w:rsidR="00D83E33" w:rsidRPr="00EA10CF" w:rsidRDefault="00D83E33" w:rsidP="001B330E">
            <w:pPr>
              <w:widowControl w:val="0"/>
              <w:jc w:val="center"/>
            </w:pPr>
          </w:p>
        </w:tc>
        <w:tc>
          <w:tcPr>
            <w:tcW w:w="603" w:type="pct"/>
            <w:vAlign w:val="bottom"/>
          </w:tcPr>
          <w:p w14:paraId="07F0BE76"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39C76F29"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3005DE0"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01E160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87FE3E4" w14:textId="77777777" w:rsidTr="00372E26">
        <w:trPr>
          <w:trHeight w:val="23"/>
        </w:trPr>
        <w:tc>
          <w:tcPr>
            <w:tcW w:w="2223" w:type="pct"/>
            <w:vAlign w:val="bottom"/>
          </w:tcPr>
          <w:p w14:paraId="52C4E82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Municipal bonds</w:t>
            </w:r>
          </w:p>
        </w:tc>
        <w:tc>
          <w:tcPr>
            <w:tcW w:w="364" w:type="pct"/>
            <w:vAlign w:val="bottom"/>
          </w:tcPr>
          <w:p w14:paraId="670AA449" w14:textId="77777777" w:rsidR="00D83E33" w:rsidRPr="00EA10CF" w:rsidRDefault="00D83E33" w:rsidP="001B330E">
            <w:pPr>
              <w:widowControl w:val="0"/>
              <w:jc w:val="center"/>
            </w:pPr>
          </w:p>
        </w:tc>
        <w:tc>
          <w:tcPr>
            <w:tcW w:w="603" w:type="pct"/>
            <w:vAlign w:val="bottom"/>
          </w:tcPr>
          <w:p w14:paraId="1E4D8459"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1EDB1F87"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75545AC"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7D5ECA3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DB7B6AE" w14:textId="77777777" w:rsidTr="00372E26">
        <w:trPr>
          <w:trHeight w:val="23"/>
        </w:trPr>
        <w:tc>
          <w:tcPr>
            <w:tcW w:w="2223" w:type="pct"/>
            <w:vAlign w:val="bottom"/>
          </w:tcPr>
          <w:p w14:paraId="1D5661E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Corporate bonds</w:t>
            </w:r>
          </w:p>
        </w:tc>
        <w:tc>
          <w:tcPr>
            <w:tcW w:w="364" w:type="pct"/>
            <w:vAlign w:val="bottom"/>
          </w:tcPr>
          <w:p w14:paraId="15F64D49" w14:textId="77777777" w:rsidR="00D83E33" w:rsidRPr="00EA10CF" w:rsidRDefault="00D83E33" w:rsidP="001B330E">
            <w:pPr>
              <w:widowControl w:val="0"/>
              <w:jc w:val="center"/>
            </w:pPr>
          </w:p>
        </w:tc>
        <w:tc>
          <w:tcPr>
            <w:tcW w:w="603" w:type="pct"/>
            <w:vAlign w:val="bottom"/>
          </w:tcPr>
          <w:p w14:paraId="24FF9AC0"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7CE0782F"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4A6FAB5E"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90E1E9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95DA265" w14:textId="77777777" w:rsidTr="00372E26">
        <w:trPr>
          <w:trHeight w:val="23"/>
        </w:trPr>
        <w:tc>
          <w:tcPr>
            <w:tcW w:w="2223" w:type="pct"/>
            <w:vAlign w:val="bottom"/>
          </w:tcPr>
          <w:p w14:paraId="3BE823C7" w14:textId="49BA43A6"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Promissory notes </w:t>
            </w:r>
          </w:p>
        </w:tc>
        <w:tc>
          <w:tcPr>
            <w:tcW w:w="364" w:type="pct"/>
            <w:vAlign w:val="bottom"/>
          </w:tcPr>
          <w:p w14:paraId="53B158CA" w14:textId="77777777" w:rsidR="00D83E33" w:rsidRPr="00EA10CF" w:rsidRDefault="00D83E33" w:rsidP="001B330E">
            <w:pPr>
              <w:widowControl w:val="0"/>
              <w:jc w:val="center"/>
            </w:pPr>
          </w:p>
        </w:tc>
        <w:tc>
          <w:tcPr>
            <w:tcW w:w="603" w:type="pct"/>
            <w:vAlign w:val="bottom"/>
          </w:tcPr>
          <w:p w14:paraId="55A832DF"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30B467A9"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3F97F49"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594D28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F463DD1" w14:textId="77777777" w:rsidTr="00372E26">
        <w:trPr>
          <w:trHeight w:val="23"/>
        </w:trPr>
        <w:tc>
          <w:tcPr>
            <w:tcW w:w="2223" w:type="pct"/>
            <w:vAlign w:val="bottom"/>
          </w:tcPr>
          <w:p w14:paraId="382BC140"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64" w:type="pct"/>
            <w:vAlign w:val="bottom"/>
          </w:tcPr>
          <w:p w14:paraId="01A195D0" w14:textId="77777777" w:rsidR="00D83E33" w:rsidRPr="00EA10CF" w:rsidRDefault="00D83E33" w:rsidP="001B330E">
            <w:pPr>
              <w:widowControl w:val="0"/>
              <w:jc w:val="center"/>
            </w:pPr>
          </w:p>
        </w:tc>
        <w:tc>
          <w:tcPr>
            <w:tcW w:w="603" w:type="pct"/>
            <w:vAlign w:val="bottom"/>
          </w:tcPr>
          <w:p w14:paraId="2EFCECB5"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3811B2AC"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A004A70"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83473A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FC5AD4B" w14:textId="77777777" w:rsidTr="00372E26">
        <w:trPr>
          <w:trHeight w:val="23"/>
        </w:trPr>
        <w:tc>
          <w:tcPr>
            <w:tcW w:w="2223" w:type="pct"/>
            <w:vAlign w:val="bottom"/>
          </w:tcPr>
          <w:p w14:paraId="34BE347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Equity securities mandatorily measured at FVTPL</w:t>
            </w:r>
          </w:p>
        </w:tc>
        <w:tc>
          <w:tcPr>
            <w:tcW w:w="364" w:type="pct"/>
            <w:vAlign w:val="bottom"/>
          </w:tcPr>
          <w:p w14:paraId="7FEFCC9C" w14:textId="77777777" w:rsidR="00D83E33" w:rsidRPr="00EA10CF" w:rsidRDefault="00D83E33" w:rsidP="001B330E">
            <w:pPr>
              <w:widowControl w:val="0"/>
              <w:jc w:val="center"/>
            </w:pPr>
          </w:p>
        </w:tc>
        <w:tc>
          <w:tcPr>
            <w:tcW w:w="603" w:type="pct"/>
            <w:vAlign w:val="bottom"/>
          </w:tcPr>
          <w:p w14:paraId="2D8987E4"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102EFC30"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758D866A"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16A8D9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141504E" w14:textId="77777777" w:rsidTr="00372E26">
        <w:trPr>
          <w:trHeight w:val="23"/>
        </w:trPr>
        <w:tc>
          <w:tcPr>
            <w:tcW w:w="2223" w:type="pct"/>
            <w:vAlign w:val="bottom"/>
          </w:tcPr>
          <w:p w14:paraId="5D960A3C" w14:textId="77777777" w:rsidR="00D83E33" w:rsidRPr="00EA10CF" w:rsidRDefault="00BC4072" w:rsidP="001B330E">
            <w:pPr>
              <w:widowControl w:val="0"/>
              <w:ind w:left="113" w:hanging="113"/>
            </w:pPr>
            <w:r w:rsidRPr="00EA10CF">
              <w:t>- Corporate shares</w:t>
            </w:r>
          </w:p>
        </w:tc>
        <w:tc>
          <w:tcPr>
            <w:tcW w:w="364" w:type="pct"/>
            <w:vAlign w:val="bottom"/>
          </w:tcPr>
          <w:p w14:paraId="60138087" w14:textId="77777777" w:rsidR="00D83E33" w:rsidRPr="00EA10CF" w:rsidRDefault="00D83E33" w:rsidP="001B330E">
            <w:pPr>
              <w:widowControl w:val="0"/>
              <w:jc w:val="center"/>
            </w:pPr>
          </w:p>
        </w:tc>
        <w:tc>
          <w:tcPr>
            <w:tcW w:w="603" w:type="pct"/>
            <w:vAlign w:val="bottom"/>
          </w:tcPr>
          <w:p w14:paraId="6736A7FD"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36D772CC"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025BC671"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5D897B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9D72D56" w14:textId="77777777" w:rsidTr="00372E26">
        <w:trPr>
          <w:trHeight w:val="23"/>
        </w:trPr>
        <w:tc>
          <w:tcPr>
            <w:tcW w:w="2223" w:type="pct"/>
            <w:vAlign w:val="bottom"/>
          </w:tcPr>
          <w:p w14:paraId="31B27E61" w14:textId="77777777" w:rsidR="00D83E33" w:rsidRPr="00EA10CF" w:rsidRDefault="00BC4072" w:rsidP="001B330E">
            <w:pPr>
              <w:widowControl w:val="0"/>
              <w:ind w:left="113" w:hanging="113"/>
            </w:pPr>
            <w:r w:rsidRPr="00EA10CF">
              <w:t>- ADRs</w:t>
            </w:r>
          </w:p>
        </w:tc>
        <w:tc>
          <w:tcPr>
            <w:tcW w:w="364" w:type="pct"/>
            <w:vAlign w:val="bottom"/>
          </w:tcPr>
          <w:p w14:paraId="27A71200" w14:textId="77777777" w:rsidR="00D83E33" w:rsidRPr="00EA10CF" w:rsidRDefault="00D83E33" w:rsidP="001B330E">
            <w:pPr>
              <w:widowControl w:val="0"/>
              <w:jc w:val="center"/>
            </w:pPr>
          </w:p>
        </w:tc>
        <w:tc>
          <w:tcPr>
            <w:tcW w:w="603" w:type="pct"/>
            <w:vAlign w:val="bottom"/>
          </w:tcPr>
          <w:p w14:paraId="4F6A5DC5"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3E9C2B41"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08342A8B"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450C66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C69CBB9" w14:textId="77777777" w:rsidTr="00372E26">
        <w:trPr>
          <w:trHeight w:val="23"/>
        </w:trPr>
        <w:tc>
          <w:tcPr>
            <w:tcW w:w="2223" w:type="pct"/>
            <w:vAlign w:val="bottom"/>
          </w:tcPr>
          <w:p w14:paraId="0EF31BA1" w14:textId="09C21365" w:rsidR="00D83E33" w:rsidRPr="00EA10CF" w:rsidRDefault="00BC4072" w:rsidP="001B330E">
            <w:pPr>
              <w:widowControl w:val="0"/>
              <w:ind w:left="113" w:hanging="113"/>
              <w:rPr>
                <w:b/>
              </w:rPr>
            </w:pPr>
            <w:r w:rsidRPr="00EA10CF">
              <w:t xml:space="preserve">- GDRs </w:t>
            </w:r>
          </w:p>
        </w:tc>
        <w:tc>
          <w:tcPr>
            <w:tcW w:w="364" w:type="pct"/>
            <w:vAlign w:val="bottom"/>
          </w:tcPr>
          <w:p w14:paraId="1F77ABBC" w14:textId="77777777" w:rsidR="00D83E33" w:rsidRPr="00EA10CF" w:rsidRDefault="00D83E33" w:rsidP="001B330E">
            <w:pPr>
              <w:widowControl w:val="0"/>
              <w:jc w:val="center"/>
            </w:pPr>
          </w:p>
        </w:tc>
        <w:tc>
          <w:tcPr>
            <w:tcW w:w="603" w:type="pct"/>
            <w:vAlign w:val="bottom"/>
          </w:tcPr>
          <w:p w14:paraId="4D040045"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2D8B4104"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24A0A26"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7D74298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B815560" w14:textId="77777777" w:rsidTr="00372E26">
        <w:trPr>
          <w:trHeight w:val="23"/>
        </w:trPr>
        <w:tc>
          <w:tcPr>
            <w:tcW w:w="2223" w:type="pct"/>
            <w:vAlign w:val="bottom"/>
          </w:tcPr>
          <w:p w14:paraId="31B97484"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64" w:type="pct"/>
            <w:vAlign w:val="bottom"/>
          </w:tcPr>
          <w:p w14:paraId="32B7AC9E" w14:textId="77777777" w:rsidR="00D83E33" w:rsidRPr="00EA10CF" w:rsidRDefault="00D83E33" w:rsidP="001B330E">
            <w:pPr>
              <w:widowControl w:val="0"/>
              <w:jc w:val="center"/>
            </w:pPr>
          </w:p>
        </w:tc>
        <w:tc>
          <w:tcPr>
            <w:tcW w:w="603" w:type="pct"/>
            <w:vAlign w:val="bottom"/>
          </w:tcPr>
          <w:p w14:paraId="4B65F9DF"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222FBD00"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C726C70"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CB6CA7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0E83C8E" w14:textId="77777777" w:rsidTr="00372E26">
        <w:trPr>
          <w:trHeight w:val="23"/>
        </w:trPr>
        <w:tc>
          <w:tcPr>
            <w:tcW w:w="2223" w:type="pct"/>
            <w:vAlign w:val="bottom"/>
          </w:tcPr>
          <w:p w14:paraId="6BB5155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Equity securities at FVOCI</w:t>
            </w:r>
          </w:p>
        </w:tc>
        <w:tc>
          <w:tcPr>
            <w:tcW w:w="364" w:type="pct"/>
            <w:vAlign w:val="bottom"/>
          </w:tcPr>
          <w:p w14:paraId="1CFFD5A4" w14:textId="77777777" w:rsidR="00D83E33" w:rsidRPr="00EA10CF" w:rsidRDefault="00D83E33" w:rsidP="001B330E">
            <w:pPr>
              <w:widowControl w:val="0"/>
              <w:jc w:val="center"/>
            </w:pPr>
          </w:p>
        </w:tc>
        <w:tc>
          <w:tcPr>
            <w:tcW w:w="603" w:type="pct"/>
            <w:vAlign w:val="bottom"/>
          </w:tcPr>
          <w:p w14:paraId="1DB3A8F5"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10657136"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EB4CC8E"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1918364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42CCE6C" w14:textId="77777777" w:rsidTr="00372E26">
        <w:trPr>
          <w:trHeight w:val="23"/>
        </w:trPr>
        <w:tc>
          <w:tcPr>
            <w:tcW w:w="2223" w:type="pct"/>
            <w:vAlign w:val="bottom"/>
          </w:tcPr>
          <w:p w14:paraId="7867F4D7" w14:textId="77777777" w:rsidR="00D83E33" w:rsidRPr="00EA10CF" w:rsidRDefault="00BC4072" w:rsidP="001B330E">
            <w:pPr>
              <w:widowControl w:val="0"/>
              <w:ind w:left="113" w:hanging="113"/>
            </w:pPr>
            <w:r w:rsidRPr="00EA10CF">
              <w:t>- Corporate shares</w:t>
            </w:r>
          </w:p>
        </w:tc>
        <w:tc>
          <w:tcPr>
            <w:tcW w:w="364" w:type="pct"/>
            <w:vAlign w:val="bottom"/>
          </w:tcPr>
          <w:p w14:paraId="4728D377" w14:textId="77777777" w:rsidR="00D83E33" w:rsidRPr="00EA10CF" w:rsidRDefault="00D83E33" w:rsidP="001B330E">
            <w:pPr>
              <w:widowControl w:val="0"/>
              <w:jc w:val="center"/>
            </w:pPr>
          </w:p>
        </w:tc>
        <w:tc>
          <w:tcPr>
            <w:tcW w:w="603" w:type="pct"/>
            <w:vAlign w:val="bottom"/>
          </w:tcPr>
          <w:p w14:paraId="044563B6"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750EEAAC"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584DB31B"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7DCFEE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334FFB3" w14:textId="77777777" w:rsidTr="00372E26">
        <w:trPr>
          <w:trHeight w:val="23"/>
        </w:trPr>
        <w:tc>
          <w:tcPr>
            <w:tcW w:w="2223" w:type="pct"/>
            <w:vAlign w:val="bottom"/>
          </w:tcPr>
          <w:p w14:paraId="35F7D688" w14:textId="77777777" w:rsidR="00D83E33" w:rsidRPr="00EA10CF" w:rsidRDefault="00BC4072" w:rsidP="001B330E">
            <w:pPr>
              <w:widowControl w:val="0"/>
              <w:ind w:left="113" w:hanging="113"/>
            </w:pPr>
            <w:r w:rsidRPr="00EA10CF">
              <w:t>- ADRs</w:t>
            </w:r>
          </w:p>
        </w:tc>
        <w:tc>
          <w:tcPr>
            <w:tcW w:w="364" w:type="pct"/>
            <w:vAlign w:val="bottom"/>
          </w:tcPr>
          <w:p w14:paraId="7FEDFC50" w14:textId="77777777" w:rsidR="00D83E33" w:rsidRPr="00EA10CF" w:rsidRDefault="00D83E33" w:rsidP="001B330E">
            <w:pPr>
              <w:widowControl w:val="0"/>
              <w:jc w:val="center"/>
            </w:pPr>
          </w:p>
        </w:tc>
        <w:tc>
          <w:tcPr>
            <w:tcW w:w="603" w:type="pct"/>
            <w:vAlign w:val="bottom"/>
          </w:tcPr>
          <w:p w14:paraId="67F59241"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52F8B7EE"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2AB50A04"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7E4E0C2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C2C9BFF" w14:textId="77777777" w:rsidTr="00372E26">
        <w:trPr>
          <w:trHeight w:val="23"/>
        </w:trPr>
        <w:tc>
          <w:tcPr>
            <w:tcW w:w="2223" w:type="pct"/>
            <w:vAlign w:val="bottom"/>
          </w:tcPr>
          <w:p w14:paraId="73422D19" w14:textId="756EC63B" w:rsidR="00D83E33" w:rsidRPr="00EA10CF" w:rsidRDefault="00BC4072" w:rsidP="001B330E">
            <w:pPr>
              <w:widowControl w:val="0"/>
              <w:ind w:left="113" w:hanging="113"/>
              <w:rPr>
                <w:b/>
              </w:rPr>
            </w:pPr>
            <w:r w:rsidRPr="00EA10CF">
              <w:t xml:space="preserve">- GDRs </w:t>
            </w:r>
          </w:p>
        </w:tc>
        <w:tc>
          <w:tcPr>
            <w:tcW w:w="364" w:type="pct"/>
            <w:vAlign w:val="bottom"/>
          </w:tcPr>
          <w:p w14:paraId="4CC90554" w14:textId="77777777" w:rsidR="00D83E33" w:rsidRPr="00EA10CF" w:rsidRDefault="00D83E33" w:rsidP="001B330E">
            <w:pPr>
              <w:widowControl w:val="0"/>
              <w:jc w:val="center"/>
            </w:pPr>
          </w:p>
        </w:tc>
        <w:tc>
          <w:tcPr>
            <w:tcW w:w="603" w:type="pct"/>
            <w:vAlign w:val="bottom"/>
          </w:tcPr>
          <w:p w14:paraId="56DE3B0F"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268C9C98"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7B604D81"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388A495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2F0A7DA" w14:textId="77777777" w:rsidTr="00372E26">
        <w:trPr>
          <w:trHeight w:val="23"/>
        </w:trPr>
        <w:tc>
          <w:tcPr>
            <w:tcW w:w="2223" w:type="pct"/>
            <w:vAlign w:val="bottom"/>
          </w:tcPr>
          <w:p w14:paraId="4669561C"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64" w:type="pct"/>
            <w:vAlign w:val="bottom"/>
          </w:tcPr>
          <w:p w14:paraId="52194D28" w14:textId="77777777" w:rsidR="00D83E33" w:rsidRPr="00EA10CF" w:rsidRDefault="00D83E33" w:rsidP="001B330E">
            <w:pPr>
              <w:widowControl w:val="0"/>
              <w:jc w:val="center"/>
            </w:pPr>
          </w:p>
        </w:tc>
        <w:tc>
          <w:tcPr>
            <w:tcW w:w="603" w:type="pct"/>
            <w:vAlign w:val="bottom"/>
          </w:tcPr>
          <w:p w14:paraId="2FB1E155" w14:textId="77777777" w:rsidR="00D83E33" w:rsidRPr="00EA10CF" w:rsidRDefault="00D83E33">
            <w:pPr>
              <w:widowControl w:val="0"/>
              <w:pBdr>
                <w:top w:val="nil"/>
                <w:left w:val="nil"/>
                <w:bottom w:val="nil"/>
                <w:right w:val="nil"/>
                <w:between w:val="nil"/>
              </w:pBdr>
              <w:jc w:val="right"/>
              <w:rPr>
                <w:color w:val="000000"/>
              </w:rPr>
            </w:pPr>
          </w:p>
        </w:tc>
        <w:tc>
          <w:tcPr>
            <w:tcW w:w="604" w:type="pct"/>
            <w:vAlign w:val="bottom"/>
          </w:tcPr>
          <w:p w14:paraId="561E3FA3"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617C2E2C" w14:textId="77777777" w:rsidR="00D83E33" w:rsidRPr="00EA10CF" w:rsidRDefault="00D83E33">
            <w:pPr>
              <w:widowControl w:val="0"/>
              <w:pBdr>
                <w:top w:val="nil"/>
                <w:left w:val="nil"/>
                <w:bottom w:val="nil"/>
                <w:right w:val="nil"/>
                <w:between w:val="nil"/>
              </w:pBdr>
              <w:jc w:val="right"/>
              <w:rPr>
                <w:color w:val="000000"/>
              </w:rPr>
            </w:pPr>
          </w:p>
        </w:tc>
        <w:tc>
          <w:tcPr>
            <w:tcW w:w="603" w:type="pct"/>
            <w:vAlign w:val="bottom"/>
          </w:tcPr>
          <w:p w14:paraId="740445A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C0A1BA9" w14:textId="77777777" w:rsidTr="00372E26">
        <w:trPr>
          <w:trHeight w:val="23"/>
        </w:trPr>
        <w:tc>
          <w:tcPr>
            <w:tcW w:w="2223" w:type="pct"/>
            <w:tcBorders>
              <w:bottom w:val="single" w:sz="4" w:space="0" w:color="000000"/>
            </w:tcBorders>
            <w:vAlign w:val="bottom"/>
          </w:tcPr>
          <w:p w14:paraId="45643907"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364" w:type="pct"/>
            <w:tcBorders>
              <w:bottom w:val="single" w:sz="4" w:space="0" w:color="000000"/>
            </w:tcBorders>
            <w:vAlign w:val="bottom"/>
          </w:tcPr>
          <w:p w14:paraId="30EC8B6C" w14:textId="77777777" w:rsidR="00D83E33" w:rsidRPr="00EA10CF" w:rsidRDefault="00D83E33" w:rsidP="001B330E">
            <w:pPr>
              <w:widowControl w:val="0"/>
              <w:jc w:val="center"/>
            </w:pPr>
          </w:p>
        </w:tc>
        <w:tc>
          <w:tcPr>
            <w:tcW w:w="603" w:type="pct"/>
            <w:tcBorders>
              <w:bottom w:val="single" w:sz="4" w:space="0" w:color="000000"/>
            </w:tcBorders>
            <w:vAlign w:val="bottom"/>
          </w:tcPr>
          <w:p w14:paraId="7DAD8BD1" w14:textId="77777777" w:rsidR="00D83E33" w:rsidRPr="00EA10CF" w:rsidRDefault="00D83E33">
            <w:pPr>
              <w:widowControl w:val="0"/>
              <w:pBdr>
                <w:top w:val="nil"/>
                <w:left w:val="nil"/>
                <w:bottom w:val="nil"/>
                <w:right w:val="nil"/>
                <w:between w:val="nil"/>
              </w:pBdr>
              <w:jc w:val="right"/>
              <w:rPr>
                <w:color w:val="000000"/>
              </w:rPr>
            </w:pPr>
          </w:p>
        </w:tc>
        <w:tc>
          <w:tcPr>
            <w:tcW w:w="604" w:type="pct"/>
            <w:tcBorders>
              <w:bottom w:val="single" w:sz="4" w:space="0" w:color="000000"/>
            </w:tcBorders>
            <w:vAlign w:val="bottom"/>
          </w:tcPr>
          <w:p w14:paraId="05D9CC1D" w14:textId="77777777" w:rsidR="00D83E33" w:rsidRPr="00EA10CF" w:rsidRDefault="00D83E33">
            <w:pPr>
              <w:widowControl w:val="0"/>
              <w:pBdr>
                <w:top w:val="nil"/>
                <w:left w:val="nil"/>
                <w:bottom w:val="nil"/>
                <w:right w:val="nil"/>
                <w:between w:val="nil"/>
              </w:pBdr>
              <w:jc w:val="right"/>
              <w:rPr>
                <w:color w:val="000000"/>
              </w:rPr>
            </w:pPr>
          </w:p>
        </w:tc>
        <w:tc>
          <w:tcPr>
            <w:tcW w:w="603" w:type="pct"/>
            <w:tcBorders>
              <w:bottom w:val="single" w:sz="4" w:space="0" w:color="000000"/>
            </w:tcBorders>
            <w:vAlign w:val="bottom"/>
          </w:tcPr>
          <w:p w14:paraId="0F781954" w14:textId="77777777" w:rsidR="00D83E33" w:rsidRPr="00EA10CF" w:rsidRDefault="00D83E33">
            <w:pPr>
              <w:widowControl w:val="0"/>
              <w:pBdr>
                <w:top w:val="nil"/>
                <w:left w:val="nil"/>
                <w:bottom w:val="nil"/>
                <w:right w:val="nil"/>
                <w:between w:val="nil"/>
              </w:pBdr>
              <w:jc w:val="right"/>
              <w:rPr>
                <w:color w:val="000000"/>
              </w:rPr>
            </w:pPr>
          </w:p>
        </w:tc>
        <w:tc>
          <w:tcPr>
            <w:tcW w:w="603" w:type="pct"/>
            <w:tcBorders>
              <w:bottom w:val="single" w:sz="4" w:space="0" w:color="000000"/>
            </w:tcBorders>
            <w:vAlign w:val="bottom"/>
          </w:tcPr>
          <w:p w14:paraId="0D70661D" w14:textId="77777777" w:rsidR="00D83E33" w:rsidRPr="00EA10CF" w:rsidRDefault="00D83E33">
            <w:pPr>
              <w:widowControl w:val="0"/>
              <w:pBdr>
                <w:top w:val="nil"/>
                <w:left w:val="nil"/>
                <w:bottom w:val="nil"/>
                <w:right w:val="nil"/>
                <w:between w:val="nil"/>
              </w:pBdr>
              <w:jc w:val="right"/>
              <w:rPr>
                <w:color w:val="000000"/>
              </w:rPr>
            </w:pPr>
          </w:p>
        </w:tc>
      </w:tr>
    </w:tbl>
    <w:p w14:paraId="1AD3F3EB" w14:textId="2F534E72" w:rsidR="00D83E33" w:rsidRPr="001B330E" w:rsidRDefault="00BC4072" w:rsidP="001B330E">
      <w:pPr>
        <w:pStyle w:val="Continued"/>
        <w:rPr>
          <w:b w:val="0"/>
          <w:spacing w:val="-2"/>
        </w:rPr>
      </w:pPr>
      <w:r>
        <w:lastRenderedPageBreak/>
        <w:t>47</w:t>
      </w:r>
      <w:r>
        <w:tab/>
      </w:r>
      <w:r w:rsidRPr="001B330E">
        <w:rPr>
          <w:spacing w:val="-2"/>
        </w:rPr>
        <w:t>Transfers of Financial Assets (Continued)</w:t>
      </w:r>
    </w:p>
    <w:tbl>
      <w:tblPr>
        <w:tblStyle w:val="afffffffffffffff6"/>
        <w:tblW w:w="5000" w:type="pct"/>
        <w:tblLayout w:type="fixed"/>
        <w:tblLook w:val="0000" w:firstRow="0" w:lastRow="0" w:firstColumn="0" w:lastColumn="0" w:noHBand="0" w:noVBand="0"/>
      </w:tblPr>
      <w:tblGrid>
        <w:gridCol w:w="4160"/>
        <w:gridCol w:w="681"/>
        <w:gridCol w:w="1128"/>
        <w:gridCol w:w="1130"/>
        <w:gridCol w:w="1128"/>
        <w:gridCol w:w="1128"/>
      </w:tblGrid>
      <w:tr w:rsidR="00D83E33" w:rsidRPr="00077F42" w14:paraId="294C65CF" w14:textId="77777777" w:rsidTr="00372E26">
        <w:trPr>
          <w:trHeight w:val="23"/>
        </w:trPr>
        <w:tc>
          <w:tcPr>
            <w:tcW w:w="2223" w:type="pct"/>
            <w:vAlign w:val="bottom"/>
          </w:tcPr>
          <w:p w14:paraId="504149D3" w14:textId="77777777" w:rsidR="00D83E33" w:rsidRPr="001B330E" w:rsidRDefault="00D83E33" w:rsidP="001B330E">
            <w:pPr>
              <w:widowControl w:val="0"/>
              <w:ind w:left="113" w:hanging="113"/>
              <w:rPr>
                <w:b/>
                <w:spacing w:val="-2"/>
              </w:rPr>
            </w:pPr>
          </w:p>
        </w:tc>
        <w:tc>
          <w:tcPr>
            <w:tcW w:w="364" w:type="pct"/>
            <w:vMerge w:val="restart"/>
            <w:vAlign w:val="bottom"/>
          </w:tcPr>
          <w:p w14:paraId="73B9FA1E" w14:textId="77777777" w:rsidR="00D83E33" w:rsidRPr="001B330E" w:rsidRDefault="00BC4072" w:rsidP="001B330E">
            <w:pPr>
              <w:widowControl w:val="0"/>
              <w:pBdr>
                <w:top w:val="nil"/>
                <w:left w:val="nil"/>
                <w:right w:val="nil"/>
                <w:between w:val="nil"/>
              </w:pBdr>
              <w:ind w:left="-57" w:right="-57"/>
              <w:jc w:val="center"/>
              <w:rPr>
                <w:b/>
                <w:color w:val="000000"/>
                <w:spacing w:val="-2"/>
              </w:rPr>
            </w:pPr>
            <w:r w:rsidRPr="001B330E">
              <w:rPr>
                <w:b/>
                <w:color w:val="000000"/>
                <w:spacing w:val="-2"/>
              </w:rPr>
              <w:t>Notes</w:t>
            </w:r>
          </w:p>
        </w:tc>
        <w:tc>
          <w:tcPr>
            <w:tcW w:w="1207" w:type="pct"/>
            <w:gridSpan w:val="2"/>
            <w:tcBorders>
              <w:bottom w:val="single" w:sz="4" w:space="0" w:color="000000"/>
            </w:tcBorders>
            <w:vAlign w:val="bottom"/>
          </w:tcPr>
          <w:p w14:paraId="40BD4244" w14:textId="405C0A77" w:rsidR="00D83E33" w:rsidRPr="001B330E" w:rsidRDefault="00BC4072">
            <w:pPr>
              <w:widowControl w:val="0"/>
              <w:pBdr>
                <w:top w:val="nil"/>
                <w:left w:val="nil"/>
                <w:bottom w:val="nil"/>
                <w:right w:val="nil"/>
                <w:between w:val="nil"/>
              </w:pBdr>
              <w:jc w:val="center"/>
              <w:rPr>
                <w:color w:val="000000"/>
                <w:spacing w:val="-2"/>
              </w:rPr>
            </w:pPr>
            <w:r w:rsidRPr="001B330E">
              <w:rPr>
                <w:b/>
                <w:color w:val="000000"/>
                <w:spacing w:val="-2"/>
              </w:rPr>
              <w:t>31</w:t>
            </w:r>
            <w:r w:rsidR="00181687">
              <w:rPr>
                <w:b/>
                <w:color w:val="000000"/>
                <w:spacing w:val="-2"/>
              </w:rPr>
              <w:t> December </w:t>
            </w:r>
            <w:r w:rsidR="00541EBC">
              <w:rPr>
                <w:b/>
                <w:color w:val="000000"/>
                <w:spacing w:val="-2"/>
              </w:rPr>
              <w:t>2024</w:t>
            </w:r>
          </w:p>
        </w:tc>
        <w:tc>
          <w:tcPr>
            <w:tcW w:w="1206" w:type="pct"/>
            <w:gridSpan w:val="2"/>
            <w:tcBorders>
              <w:bottom w:val="single" w:sz="4" w:space="0" w:color="000000"/>
            </w:tcBorders>
            <w:vAlign w:val="bottom"/>
          </w:tcPr>
          <w:p w14:paraId="37A3FDCD" w14:textId="260A453C" w:rsidR="00D83E33" w:rsidRPr="001B330E" w:rsidRDefault="00BC4072">
            <w:pPr>
              <w:widowControl w:val="0"/>
              <w:pBdr>
                <w:top w:val="nil"/>
                <w:left w:val="nil"/>
                <w:bottom w:val="nil"/>
                <w:right w:val="nil"/>
                <w:between w:val="nil"/>
              </w:pBdr>
              <w:jc w:val="center"/>
              <w:rPr>
                <w:color w:val="000000"/>
                <w:spacing w:val="-2"/>
              </w:rPr>
            </w:pPr>
            <w:r w:rsidRPr="001B330E">
              <w:rPr>
                <w:b/>
                <w:color w:val="000000"/>
                <w:spacing w:val="-2"/>
              </w:rPr>
              <w:t>31</w:t>
            </w:r>
            <w:r w:rsidR="00181687">
              <w:rPr>
                <w:b/>
                <w:color w:val="000000"/>
                <w:spacing w:val="-2"/>
              </w:rPr>
              <w:t> December </w:t>
            </w:r>
            <w:r w:rsidR="00541EBC">
              <w:rPr>
                <w:b/>
                <w:color w:val="000000"/>
                <w:spacing w:val="-2"/>
              </w:rPr>
              <w:t>2023</w:t>
            </w:r>
          </w:p>
        </w:tc>
      </w:tr>
      <w:tr w:rsidR="00D83E33" w:rsidRPr="00077F42" w14:paraId="35F2CCC7" w14:textId="77777777" w:rsidTr="00372E26">
        <w:trPr>
          <w:trHeight w:val="23"/>
        </w:trPr>
        <w:tc>
          <w:tcPr>
            <w:tcW w:w="2223" w:type="pct"/>
            <w:tcBorders>
              <w:bottom w:val="single" w:sz="4" w:space="0" w:color="000000"/>
            </w:tcBorders>
            <w:vAlign w:val="bottom"/>
          </w:tcPr>
          <w:p w14:paraId="72EA82D9" w14:textId="7AFD436F" w:rsidR="00D83E33" w:rsidRPr="001B330E" w:rsidRDefault="00313B4D" w:rsidP="001B330E">
            <w:pPr>
              <w:widowControl w:val="0"/>
              <w:pBdr>
                <w:top w:val="nil"/>
                <w:left w:val="nil"/>
                <w:bottom w:val="nil"/>
                <w:right w:val="nil"/>
                <w:between w:val="nil"/>
              </w:pBdr>
              <w:ind w:left="113" w:hanging="113"/>
              <w:rPr>
                <w:b/>
                <w:i/>
                <w:color w:val="000000"/>
                <w:spacing w:val="-2"/>
              </w:rPr>
            </w:pPr>
            <w:r>
              <w:rPr>
                <w:i/>
                <w:color w:val="000000"/>
                <w:spacing w:val="-2"/>
              </w:rPr>
              <w:t xml:space="preserve">In thousands of </w:t>
            </w:r>
            <w:r w:rsidR="002649EE">
              <w:rPr>
                <w:i/>
                <w:color w:val="000000"/>
                <w:spacing w:val="-2"/>
              </w:rPr>
              <w:t>EUR</w:t>
            </w:r>
          </w:p>
        </w:tc>
        <w:tc>
          <w:tcPr>
            <w:tcW w:w="364" w:type="pct"/>
            <w:vMerge/>
            <w:tcBorders>
              <w:bottom w:val="single" w:sz="4" w:space="0" w:color="auto"/>
            </w:tcBorders>
            <w:vAlign w:val="bottom"/>
          </w:tcPr>
          <w:p w14:paraId="29AAB811" w14:textId="77777777" w:rsidR="00D83E33" w:rsidRPr="001B330E" w:rsidRDefault="00D83E33" w:rsidP="001B330E">
            <w:pPr>
              <w:widowControl w:val="0"/>
              <w:pBdr>
                <w:top w:val="nil"/>
                <w:left w:val="nil"/>
                <w:bottom w:val="nil"/>
                <w:right w:val="nil"/>
                <w:between w:val="nil"/>
              </w:pBdr>
              <w:rPr>
                <w:b/>
                <w:i/>
                <w:color w:val="000000"/>
                <w:spacing w:val="-2"/>
              </w:rPr>
            </w:pPr>
          </w:p>
        </w:tc>
        <w:tc>
          <w:tcPr>
            <w:tcW w:w="603" w:type="pct"/>
            <w:tcBorders>
              <w:top w:val="single" w:sz="4" w:space="0" w:color="000000"/>
              <w:bottom w:val="single" w:sz="4" w:space="0" w:color="000000"/>
            </w:tcBorders>
          </w:tcPr>
          <w:p w14:paraId="15643A1F"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Carrying amount of the assets at year end</w:t>
            </w:r>
          </w:p>
        </w:tc>
        <w:tc>
          <w:tcPr>
            <w:tcW w:w="604" w:type="pct"/>
            <w:tcBorders>
              <w:top w:val="single" w:sz="4" w:space="0" w:color="000000"/>
              <w:bottom w:val="single" w:sz="4" w:space="0" w:color="000000"/>
            </w:tcBorders>
          </w:tcPr>
          <w:p w14:paraId="411677DA"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Carrying amount of the associated liabilities</w:t>
            </w:r>
          </w:p>
        </w:tc>
        <w:tc>
          <w:tcPr>
            <w:tcW w:w="603" w:type="pct"/>
            <w:tcBorders>
              <w:top w:val="single" w:sz="4" w:space="0" w:color="000000"/>
              <w:bottom w:val="single" w:sz="4" w:space="0" w:color="000000"/>
            </w:tcBorders>
          </w:tcPr>
          <w:p w14:paraId="1600AFB4"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Carrying amount of the assets at year end</w:t>
            </w:r>
          </w:p>
        </w:tc>
        <w:tc>
          <w:tcPr>
            <w:tcW w:w="603" w:type="pct"/>
            <w:tcBorders>
              <w:top w:val="single" w:sz="4" w:space="0" w:color="000000"/>
              <w:bottom w:val="single" w:sz="4" w:space="0" w:color="000000"/>
            </w:tcBorders>
          </w:tcPr>
          <w:p w14:paraId="33614723"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Carrying amount of the associated liabilities</w:t>
            </w:r>
          </w:p>
        </w:tc>
      </w:tr>
      <w:tr w:rsidR="00D83E33" w:rsidRPr="00077F42" w14:paraId="0BBEBB7A" w14:textId="77777777" w:rsidTr="00372E26">
        <w:trPr>
          <w:trHeight w:val="23"/>
        </w:trPr>
        <w:tc>
          <w:tcPr>
            <w:tcW w:w="2223" w:type="pct"/>
            <w:vAlign w:val="bottom"/>
          </w:tcPr>
          <w:p w14:paraId="3EA6B793" w14:textId="77777777" w:rsidR="00D83E33" w:rsidRPr="001B330E" w:rsidRDefault="00D83E33" w:rsidP="001B330E">
            <w:pPr>
              <w:widowControl w:val="0"/>
              <w:pBdr>
                <w:top w:val="nil"/>
                <w:left w:val="nil"/>
                <w:bottom w:val="nil"/>
                <w:right w:val="nil"/>
                <w:between w:val="nil"/>
              </w:pBdr>
              <w:ind w:left="113" w:hanging="113"/>
              <w:rPr>
                <w:color w:val="000000"/>
                <w:spacing w:val="-2"/>
              </w:rPr>
            </w:pPr>
          </w:p>
        </w:tc>
        <w:tc>
          <w:tcPr>
            <w:tcW w:w="364" w:type="pct"/>
            <w:tcBorders>
              <w:top w:val="single" w:sz="4" w:space="0" w:color="auto"/>
            </w:tcBorders>
            <w:vAlign w:val="bottom"/>
          </w:tcPr>
          <w:p w14:paraId="1CDD4E9B" w14:textId="77777777" w:rsidR="00D83E33" w:rsidRPr="001B330E" w:rsidRDefault="00D83E33" w:rsidP="001B330E">
            <w:pPr>
              <w:widowControl w:val="0"/>
              <w:jc w:val="center"/>
              <w:rPr>
                <w:spacing w:val="-2"/>
              </w:rPr>
            </w:pPr>
          </w:p>
        </w:tc>
        <w:tc>
          <w:tcPr>
            <w:tcW w:w="603" w:type="pct"/>
            <w:vAlign w:val="bottom"/>
          </w:tcPr>
          <w:p w14:paraId="711D5FBB"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0EEE7775"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6D6973FB"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01935208"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7FCD9909" w14:textId="77777777" w:rsidTr="00372E26">
        <w:trPr>
          <w:trHeight w:val="23"/>
        </w:trPr>
        <w:tc>
          <w:tcPr>
            <w:tcW w:w="2223" w:type="pct"/>
            <w:vAlign w:val="bottom"/>
          </w:tcPr>
          <w:p w14:paraId="2F2ADE23"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Corporate bonds at FVOCI</w:t>
            </w:r>
          </w:p>
        </w:tc>
        <w:tc>
          <w:tcPr>
            <w:tcW w:w="364" w:type="pct"/>
            <w:vAlign w:val="bottom"/>
          </w:tcPr>
          <w:p w14:paraId="1A98A724" w14:textId="77777777" w:rsidR="00D83E33" w:rsidRPr="001B330E" w:rsidRDefault="00D83E33" w:rsidP="001B330E">
            <w:pPr>
              <w:widowControl w:val="0"/>
              <w:jc w:val="center"/>
              <w:rPr>
                <w:spacing w:val="-2"/>
              </w:rPr>
            </w:pPr>
          </w:p>
        </w:tc>
        <w:tc>
          <w:tcPr>
            <w:tcW w:w="603" w:type="pct"/>
            <w:vAlign w:val="bottom"/>
          </w:tcPr>
          <w:p w14:paraId="6D50D7AB"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516EBD88"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2069FD20"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1D206BA0"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69A242F1" w14:textId="77777777" w:rsidTr="00372E26">
        <w:trPr>
          <w:trHeight w:val="23"/>
        </w:trPr>
        <w:tc>
          <w:tcPr>
            <w:tcW w:w="2223" w:type="pct"/>
            <w:vAlign w:val="bottom"/>
          </w:tcPr>
          <w:p w14:paraId="06663088"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Municipal bonds</w:t>
            </w:r>
          </w:p>
        </w:tc>
        <w:tc>
          <w:tcPr>
            <w:tcW w:w="364" w:type="pct"/>
            <w:vAlign w:val="bottom"/>
          </w:tcPr>
          <w:p w14:paraId="19609286" w14:textId="77777777" w:rsidR="00D83E33" w:rsidRPr="001B330E" w:rsidRDefault="00D83E33" w:rsidP="001B330E">
            <w:pPr>
              <w:widowControl w:val="0"/>
              <w:jc w:val="center"/>
              <w:rPr>
                <w:spacing w:val="-2"/>
              </w:rPr>
            </w:pPr>
          </w:p>
        </w:tc>
        <w:tc>
          <w:tcPr>
            <w:tcW w:w="603" w:type="pct"/>
            <w:vAlign w:val="bottom"/>
          </w:tcPr>
          <w:p w14:paraId="28E1CC3D"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7965046B"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336768EB"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2130D684"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25BE9EAA" w14:textId="77777777" w:rsidTr="00372E26">
        <w:trPr>
          <w:trHeight w:val="23"/>
        </w:trPr>
        <w:tc>
          <w:tcPr>
            <w:tcW w:w="2223" w:type="pct"/>
            <w:vAlign w:val="bottom"/>
          </w:tcPr>
          <w:p w14:paraId="10EF1236"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Corporate bonds</w:t>
            </w:r>
          </w:p>
        </w:tc>
        <w:tc>
          <w:tcPr>
            <w:tcW w:w="364" w:type="pct"/>
            <w:vAlign w:val="bottom"/>
          </w:tcPr>
          <w:p w14:paraId="3E9A625B" w14:textId="77777777" w:rsidR="00D83E33" w:rsidRPr="001B330E" w:rsidRDefault="00D83E33" w:rsidP="001B330E">
            <w:pPr>
              <w:widowControl w:val="0"/>
              <w:jc w:val="center"/>
              <w:rPr>
                <w:spacing w:val="-2"/>
              </w:rPr>
            </w:pPr>
          </w:p>
        </w:tc>
        <w:tc>
          <w:tcPr>
            <w:tcW w:w="603" w:type="pct"/>
            <w:vAlign w:val="bottom"/>
          </w:tcPr>
          <w:p w14:paraId="43BC1480"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216B4B5E"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2C3718F6"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58C5579A"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722E6A2E" w14:textId="77777777" w:rsidTr="00372E26">
        <w:trPr>
          <w:trHeight w:val="23"/>
        </w:trPr>
        <w:tc>
          <w:tcPr>
            <w:tcW w:w="2223" w:type="pct"/>
            <w:vAlign w:val="bottom"/>
          </w:tcPr>
          <w:p w14:paraId="1CD9B2EE" w14:textId="64CCDF7B"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Promissory notes</w:t>
            </w:r>
          </w:p>
        </w:tc>
        <w:tc>
          <w:tcPr>
            <w:tcW w:w="364" w:type="pct"/>
            <w:vAlign w:val="bottom"/>
          </w:tcPr>
          <w:p w14:paraId="66B21FC3" w14:textId="77777777" w:rsidR="00D83E33" w:rsidRPr="001B330E" w:rsidRDefault="00D83E33" w:rsidP="001B330E">
            <w:pPr>
              <w:widowControl w:val="0"/>
              <w:jc w:val="center"/>
              <w:rPr>
                <w:spacing w:val="-2"/>
              </w:rPr>
            </w:pPr>
          </w:p>
        </w:tc>
        <w:tc>
          <w:tcPr>
            <w:tcW w:w="603" w:type="pct"/>
            <w:vAlign w:val="bottom"/>
          </w:tcPr>
          <w:p w14:paraId="5A796ABC"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7F00818A"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517683C4"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4AA9E120"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54F6A786" w14:textId="77777777" w:rsidTr="00372E26">
        <w:trPr>
          <w:trHeight w:val="23"/>
        </w:trPr>
        <w:tc>
          <w:tcPr>
            <w:tcW w:w="2223" w:type="pct"/>
            <w:vAlign w:val="bottom"/>
          </w:tcPr>
          <w:p w14:paraId="79AC5394" w14:textId="77777777" w:rsidR="00D83E33" w:rsidRPr="001B330E" w:rsidRDefault="00D83E33" w:rsidP="001B330E">
            <w:pPr>
              <w:widowControl w:val="0"/>
              <w:pBdr>
                <w:top w:val="nil"/>
                <w:left w:val="nil"/>
                <w:bottom w:val="nil"/>
                <w:right w:val="nil"/>
                <w:between w:val="nil"/>
              </w:pBdr>
              <w:ind w:left="113" w:hanging="113"/>
              <w:rPr>
                <w:color w:val="000000"/>
                <w:spacing w:val="-2"/>
              </w:rPr>
            </w:pPr>
          </w:p>
        </w:tc>
        <w:tc>
          <w:tcPr>
            <w:tcW w:w="364" w:type="pct"/>
            <w:vAlign w:val="bottom"/>
          </w:tcPr>
          <w:p w14:paraId="630F521E" w14:textId="77777777" w:rsidR="00D83E33" w:rsidRPr="001B330E" w:rsidRDefault="00D83E33" w:rsidP="001B330E">
            <w:pPr>
              <w:widowControl w:val="0"/>
              <w:jc w:val="center"/>
              <w:rPr>
                <w:spacing w:val="-2"/>
              </w:rPr>
            </w:pPr>
          </w:p>
        </w:tc>
        <w:tc>
          <w:tcPr>
            <w:tcW w:w="603" w:type="pct"/>
            <w:vAlign w:val="bottom"/>
          </w:tcPr>
          <w:p w14:paraId="5DCE44C1"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4D30839E"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593626A1"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0D74CD5A"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1F07C5B6" w14:textId="77777777" w:rsidTr="00372E26">
        <w:trPr>
          <w:trHeight w:val="23"/>
        </w:trPr>
        <w:tc>
          <w:tcPr>
            <w:tcW w:w="2223" w:type="pct"/>
            <w:vAlign w:val="bottom"/>
          </w:tcPr>
          <w:p w14:paraId="15859181" w14:textId="77777777" w:rsidR="00D83E33" w:rsidRPr="001B330E" w:rsidRDefault="00BC4072" w:rsidP="001B330E">
            <w:pPr>
              <w:widowControl w:val="0"/>
              <w:pBdr>
                <w:top w:val="nil"/>
                <w:left w:val="nil"/>
                <w:bottom w:val="nil"/>
                <w:right w:val="nil"/>
                <w:between w:val="nil"/>
              </w:pBdr>
              <w:ind w:left="113" w:hanging="113"/>
              <w:rPr>
                <w:b/>
                <w:i/>
                <w:color w:val="000000"/>
                <w:spacing w:val="-2"/>
              </w:rPr>
            </w:pPr>
            <w:r w:rsidRPr="001B330E">
              <w:rPr>
                <w:b/>
                <w:i/>
                <w:color w:val="000000"/>
                <w:spacing w:val="-2"/>
              </w:rPr>
              <w:t>Other financial assets at AC</w:t>
            </w:r>
          </w:p>
        </w:tc>
        <w:tc>
          <w:tcPr>
            <w:tcW w:w="364" w:type="pct"/>
            <w:vAlign w:val="bottom"/>
          </w:tcPr>
          <w:p w14:paraId="402BC2D4" w14:textId="77777777" w:rsidR="00D83E33" w:rsidRPr="001B330E" w:rsidRDefault="00D83E33" w:rsidP="001B330E">
            <w:pPr>
              <w:widowControl w:val="0"/>
              <w:jc w:val="center"/>
              <w:rPr>
                <w:spacing w:val="-2"/>
              </w:rPr>
            </w:pPr>
          </w:p>
        </w:tc>
        <w:tc>
          <w:tcPr>
            <w:tcW w:w="603" w:type="pct"/>
            <w:vAlign w:val="bottom"/>
          </w:tcPr>
          <w:p w14:paraId="69DE04FF"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05729D81"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191122CD"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4170CA25"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5315DF21" w14:textId="77777777" w:rsidTr="00372E26">
        <w:trPr>
          <w:trHeight w:val="23"/>
        </w:trPr>
        <w:tc>
          <w:tcPr>
            <w:tcW w:w="2223" w:type="pct"/>
            <w:vAlign w:val="bottom"/>
          </w:tcPr>
          <w:p w14:paraId="0838898C"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Trade receivables</w:t>
            </w:r>
          </w:p>
        </w:tc>
        <w:tc>
          <w:tcPr>
            <w:tcW w:w="364" w:type="pct"/>
            <w:vAlign w:val="bottom"/>
          </w:tcPr>
          <w:p w14:paraId="7C017CB3" w14:textId="77777777" w:rsidR="00D83E33" w:rsidRPr="001B330E" w:rsidRDefault="00D83E33" w:rsidP="001B330E">
            <w:pPr>
              <w:widowControl w:val="0"/>
              <w:jc w:val="center"/>
              <w:rPr>
                <w:spacing w:val="-2"/>
              </w:rPr>
            </w:pPr>
          </w:p>
        </w:tc>
        <w:tc>
          <w:tcPr>
            <w:tcW w:w="603" w:type="pct"/>
            <w:vAlign w:val="bottom"/>
          </w:tcPr>
          <w:p w14:paraId="6019CBBF"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58AA4DCE"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1877B580"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437AA4ED"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400A6A44" w14:textId="77777777" w:rsidTr="00372E26">
        <w:trPr>
          <w:trHeight w:val="23"/>
        </w:trPr>
        <w:tc>
          <w:tcPr>
            <w:tcW w:w="2223" w:type="pct"/>
            <w:vAlign w:val="bottom"/>
          </w:tcPr>
          <w:p w14:paraId="091DD653"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Finance lease receivables</w:t>
            </w:r>
          </w:p>
        </w:tc>
        <w:tc>
          <w:tcPr>
            <w:tcW w:w="364" w:type="pct"/>
            <w:vAlign w:val="bottom"/>
          </w:tcPr>
          <w:p w14:paraId="58B3DFC1" w14:textId="77777777" w:rsidR="00D83E33" w:rsidRPr="001B330E" w:rsidRDefault="00D83E33" w:rsidP="001B330E">
            <w:pPr>
              <w:widowControl w:val="0"/>
              <w:jc w:val="center"/>
              <w:rPr>
                <w:spacing w:val="-2"/>
              </w:rPr>
            </w:pPr>
          </w:p>
        </w:tc>
        <w:tc>
          <w:tcPr>
            <w:tcW w:w="603" w:type="pct"/>
            <w:vAlign w:val="bottom"/>
          </w:tcPr>
          <w:p w14:paraId="079BD266"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7FE33A04"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4B3596AD"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61E241FD"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2EB87698" w14:textId="77777777" w:rsidTr="00372E26">
        <w:trPr>
          <w:trHeight w:val="23"/>
        </w:trPr>
        <w:tc>
          <w:tcPr>
            <w:tcW w:w="2223" w:type="pct"/>
            <w:vAlign w:val="bottom"/>
          </w:tcPr>
          <w:p w14:paraId="6A9B86FF"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Credit and debit card receivables</w:t>
            </w:r>
          </w:p>
        </w:tc>
        <w:tc>
          <w:tcPr>
            <w:tcW w:w="364" w:type="pct"/>
            <w:vAlign w:val="bottom"/>
          </w:tcPr>
          <w:p w14:paraId="6B96CBBC" w14:textId="77777777" w:rsidR="00D83E33" w:rsidRPr="001B330E" w:rsidRDefault="00D83E33" w:rsidP="001B330E">
            <w:pPr>
              <w:widowControl w:val="0"/>
              <w:jc w:val="center"/>
              <w:rPr>
                <w:spacing w:val="-2"/>
              </w:rPr>
            </w:pPr>
          </w:p>
        </w:tc>
        <w:tc>
          <w:tcPr>
            <w:tcW w:w="603" w:type="pct"/>
            <w:vAlign w:val="bottom"/>
          </w:tcPr>
          <w:p w14:paraId="1312E91B"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57856362"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334297BF"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1CC43881"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51BC5185" w14:textId="77777777" w:rsidTr="00372E26">
        <w:trPr>
          <w:trHeight w:val="23"/>
        </w:trPr>
        <w:tc>
          <w:tcPr>
            <w:tcW w:w="2223" w:type="pct"/>
            <w:vAlign w:val="bottom"/>
          </w:tcPr>
          <w:p w14:paraId="75AA74DD"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Settlements on conversion operations</w:t>
            </w:r>
          </w:p>
        </w:tc>
        <w:tc>
          <w:tcPr>
            <w:tcW w:w="364" w:type="pct"/>
            <w:vAlign w:val="bottom"/>
          </w:tcPr>
          <w:p w14:paraId="275245B6" w14:textId="77777777" w:rsidR="00D83E33" w:rsidRPr="001B330E" w:rsidRDefault="00D83E33" w:rsidP="001B330E">
            <w:pPr>
              <w:widowControl w:val="0"/>
              <w:jc w:val="center"/>
              <w:rPr>
                <w:spacing w:val="-2"/>
              </w:rPr>
            </w:pPr>
          </w:p>
        </w:tc>
        <w:tc>
          <w:tcPr>
            <w:tcW w:w="603" w:type="pct"/>
            <w:vAlign w:val="bottom"/>
          </w:tcPr>
          <w:p w14:paraId="1A4921AC"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029D9310"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721F7C8A"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3CF9AF06"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0C914F1E" w14:textId="77777777" w:rsidTr="00372E26">
        <w:trPr>
          <w:trHeight w:val="23"/>
        </w:trPr>
        <w:tc>
          <w:tcPr>
            <w:tcW w:w="2223" w:type="pct"/>
            <w:vAlign w:val="bottom"/>
          </w:tcPr>
          <w:p w14:paraId="40903B13" w14:textId="22A64DD9"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xml:space="preserve">- Other </w:t>
            </w:r>
          </w:p>
        </w:tc>
        <w:tc>
          <w:tcPr>
            <w:tcW w:w="364" w:type="pct"/>
            <w:vAlign w:val="bottom"/>
          </w:tcPr>
          <w:p w14:paraId="783726FC" w14:textId="77777777" w:rsidR="00D83E33" w:rsidRPr="001B330E" w:rsidRDefault="00D83E33" w:rsidP="001B330E">
            <w:pPr>
              <w:widowControl w:val="0"/>
              <w:jc w:val="center"/>
              <w:rPr>
                <w:spacing w:val="-2"/>
              </w:rPr>
            </w:pPr>
          </w:p>
        </w:tc>
        <w:tc>
          <w:tcPr>
            <w:tcW w:w="603" w:type="pct"/>
            <w:vAlign w:val="bottom"/>
          </w:tcPr>
          <w:p w14:paraId="76DF7EA4"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770A4566"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60154294"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2AA81098"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5F851678" w14:textId="77777777" w:rsidTr="00372E26">
        <w:trPr>
          <w:trHeight w:val="23"/>
        </w:trPr>
        <w:tc>
          <w:tcPr>
            <w:tcW w:w="2223" w:type="pct"/>
            <w:vAlign w:val="bottom"/>
          </w:tcPr>
          <w:p w14:paraId="3D94F8B5" w14:textId="77777777" w:rsidR="00D83E33" w:rsidRPr="001B330E" w:rsidRDefault="00D83E33" w:rsidP="001B330E">
            <w:pPr>
              <w:widowControl w:val="0"/>
              <w:pBdr>
                <w:top w:val="nil"/>
                <w:left w:val="nil"/>
                <w:bottom w:val="nil"/>
                <w:right w:val="nil"/>
                <w:between w:val="nil"/>
              </w:pBdr>
              <w:ind w:left="113" w:hanging="113"/>
              <w:rPr>
                <w:color w:val="000000"/>
                <w:spacing w:val="-2"/>
              </w:rPr>
            </w:pPr>
          </w:p>
        </w:tc>
        <w:tc>
          <w:tcPr>
            <w:tcW w:w="364" w:type="pct"/>
            <w:vAlign w:val="bottom"/>
          </w:tcPr>
          <w:p w14:paraId="1716042F" w14:textId="77777777" w:rsidR="00D83E33" w:rsidRPr="001B330E" w:rsidRDefault="00D83E33" w:rsidP="001B330E">
            <w:pPr>
              <w:widowControl w:val="0"/>
              <w:jc w:val="center"/>
              <w:rPr>
                <w:spacing w:val="-2"/>
              </w:rPr>
            </w:pPr>
          </w:p>
        </w:tc>
        <w:tc>
          <w:tcPr>
            <w:tcW w:w="603" w:type="pct"/>
            <w:vAlign w:val="bottom"/>
          </w:tcPr>
          <w:p w14:paraId="42AB3D0A"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3E518ACA"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59463F46"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76F63CBD"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3C1B0174" w14:textId="77777777" w:rsidTr="00372E26">
        <w:trPr>
          <w:trHeight w:val="23"/>
        </w:trPr>
        <w:tc>
          <w:tcPr>
            <w:tcW w:w="2223" w:type="pct"/>
            <w:vAlign w:val="bottom"/>
          </w:tcPr>
          <w:p w14:paraId="0FBBE485" w14:textId="77777777" w:rsidR="00D83E33" w:rsidRPr="001B330E" w:rsidRDefault="00BC4072" w:rsidP="001B330E">
            <w:pPr>
              <w:widowControl w:val="0"/>
              <w:pBdr>
                <w:top w:val="nil"/>
                <w:left w:val="nil"/>
                <w:bottom w:val="nil"/>
                <w:right w:val="nil"/>
                <w:between w:val="nil"/>
              </w:pBdr>
              <w:ind w:left="113" w:hanging="113"/>
              <w:rPr>
                <w:b/>
                <w:i/>
                <w:color w:val="000000"/>
                <w:spacing w:val="-2"/>
              </w:rPr>
            </w:pPr>
            <w:r w:rsidRPr="001B330E">
              <w:rPr>
                <w:b/>
                <w:i/>
                <w:color w:val="000000"/>
                <w:spacing w:val="-2"/>
              </w:rPr>
              <w:t>Other financial assets at FVTPL</w:t>
            </w:r>
          </w:p>
        </w:tc>
        <w:tc>
          <w:tcPr>
            <w:tcW w:w="364" w:type="pct"/>
            <w:vAlign w:val="bottom"/>
          </w:tcPr>
          <w:p w14:paraId="363A7D83" w14:textId="77777777" w:rsidR="00D83E33" w:rsidRPr="001B330E" w:rsidRDefault="00D83E33" w:rsidP="001B330E">
            <w:pPr>
              <w:widowControl w:val="0"/>
              <w:jc w:val="center"/>
              <w:rPr>
                <w:spacing w:val="-2"/>
              </w:rPr>
            </w:pPr>
          </w:p>
        </w:tc>
        <w:tc>
          <w:tcPr>
            <w:tcW w:w="603" w:type="pct"/>
            <w:vAlign w:val="bottom"/>
          </w:tcPr>
          <w:p w14:paraId="7CEDD118"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4A7B8300"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7F5D6572"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3D09CD6F"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057CBE7C" w14:textId="77777777" w:rsidTr="00372E26">
        <w:trPr>
          <w:trHeight w:val="23"/>
        </w:trPr>
        <w:tc>
          <w:tcPr>
            <w:tcW w:w="2223" w:type="pct"/>
            <w:vAlign w:val="bottom"/>
          </w:tcPr>
          <w:p w14:paraId="731388B8"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FX forward contracts</w:t>
            </w:r>
          </w:p>
        </w:tc>
        <w:tc>
          <w:tcPr>
            <w:tcW w:w="364" w:type="pct"/>
            <w:vAlign w:val="bottom"/>
          </w:tcPr>
          <w:p w14:paraId="4F70E2EB" w14:textId="77777777" w:rsidR="00D83E33" w:rsidRPr="001B330E" w:rsidRDefault="00D83E33" w:rsidP="001B330E">
            <w:pPr>
              <w:widowControl w:val="0"/>
              <w:jc w:val="center"/>
              <w:rPr>
                <w:spacing w:val="-2"/>
              </w:rPr>
            </w:pPr>
          </w:p>
        </w:tc>
        <w:tc>
          <w:tcPr>
            <w:tcW w:w="603" w:type="pct"/>
            <w:vAlign w:val="bottom"/>
          </w:tcPr>
          <w:p w14:paraId="38BE36C0"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7447345F"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6AB10B6F"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251082F5"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72AB04CF" w14:textId="77777777" w:rsidTr="00372E26">
        <w:trPr>
          <w:trHeight w:val="23"/>
        </w:trPr>
        <w:tc>
          <w:tcPr>
            <w:tcW w:w="2223" w:type="pct"/>
            <w:vAlign w:val="bottom"/>
          </w:tcPr>
          <w:p w14:paraId="1DA4477B"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Precious metals forward contracts</w:t>
            </w:r>
          </w:p>
        </w:tc>
        <w:tc>
          <w:tcPr>
            <w:tcW w:w="364" w:type="pct"/>
            <w:vAlign w:val="bottom"/>
          </w:tcPr>
          <w:p w14:paraId="42570882" w14:textId="77777777" w:rsidR="00D83E33" w:rsidRPr="001B330E" w:rsidRDefault="00D83E33" w:rsidP="001B330E">
            <w:pPr>
              <w:widowControl w:val="0"/>
              <w:jc w:val="center"/>
              <w:rPr>
                <w:spacing w:val="-2"/>
              </w:rPr>
            </w:pPr>
          </w:p>
        </w:tc>
        <w:tc>
          <w:tcPr>
            <w:tcW w:w="603" w:type="pct"/>
            <w:vAlign w:val="bottom"/>
          </w:tcPr>
          <w:p w14:paraId="1FEE405D"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12280129"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23C13F6A"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47AA7DDB"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2A545995" w14:textId="77777777" w:rsidTr="00372E26">
        <w:trPr>
          <w:trHeight w:val="23"/>
        </w:trPr>
        <w:tc>
          <w:tcPr>
            <w:tcW w:w="2223" w:type="pct"/>
            <w:vAlign w:val="bottom"/>
          </w:tcPr>
          <w:p w14:paraId="25E479A1" w14:textId="5C1D1B80"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Other</w:t>
            </w:r>
          </w:p>
        </w:tc>
        <w:tc>
          <w:tcPr>
            <w:tcW w:w="364" w:type="pct"/>
            <w:vAlign w:val="bottom"/>
          </w:tcPr>
          <w:p w14:paraId="491AD5DA" w14:textId="77777777" w:rsidR="00D83E33" w:rsidRPr="001B330E" w:rsidRDefault="00D83E33" w:rsidP="001B330E">
            <w:pPr>
              <w:widowControl w:val="0"/>
              <w:jc w:val="center"/>
              <w:rPr>
                <w:spacing w:val="-2"/>
              </w:rPr>
            </w:pPr>
          </w:p>
        </w:tc>
        <w:tc>
          <w:tcPr>
            <w:tcW w:w="603" w:type="pct"/>
            <w:vAlign w:val="bottom"/>
          </w:tcPr>
          <w:p w14:paraId="258AE729"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vAlign w:val="bottom"/>
          </w:tcPr>
          <w:p w14:paraId="5CD2D700"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1F8F034D"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vAlign w:val="bottom"/>
          </w:tcPr>
          <w:p w14:paraId="4C7E74D1"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40C13879" w14:textId="77777777" w:rsidTr="00372E26">
        <w:trPr>
          <w:trHeight w:val="23"/>
        </w:trPr>
        <w:tc>
          <w:tcPr>
            <w:tcW w:w="2223" w:type="pct"/>
            <w:tcBorders>
              <w:bottom w:val="single" w:sz="4" w:space="0" w:color="000000"/>
            </w:tcBorders>
            <w:vAlign w:val="bottom"/>
          </w:tcPr>
          <w:p w14:paraId="00FD72F0" w14:textId="77777777" w:rsidR="00D83E33" w:rsidRPr="001B330E" w:rsidRDefault="00BC4072" w:rsidP="001B330E">
            <w:pPr>
              <w:widowControl w:val="0"/>
              <w:ind w:left="113" w:hanging="113"/>
              <w:rPr>
                <w:spacing w:val="-2"/>
              </w:rPr>
            </w:pPr>
            <w:r w:rsidRPr="001B330E">
              <w:rPr>
                <w:b/>
                <w:spacing w:val="-2"/>
              </w:rPr>
              <w:t> </w:t>
            </w:r>
          </w:p>
        </w:tc>
        <w:tc>
          <w:tcPr>
            <w:tcW w:w="364" w:type="pct"/>
            <w:tcBorders>
              <w:bottom w:val="single" w:sz="4" w:space="0" w:color="000000"/>
            </w:tcBorders>
            <w:vAlign w:val="bottom"/>
          </w:tcPr>
          <w:p w14:paraId="162F1172" w14:textId="77777777" w:rsidR="00D83E33" w:rsidRPr="001B330E" w:rsidRDefault="00D83E33" w:rsidP="001B330E">
            <w:pPr>
              <w:widowControl w:val="0"/>
              <w:jc w:val="center"/>
              <w:rPr>
                <w:spacing w:val="-2"/>
              </w:rPr>
            </w:pPr>
          </w:p>
        </w:tc>
        <w:tc>
          <w:tcPr>
            <w:tcW w:w="603" w:type="pct"/>
            <w:tcBorders>
              <w:bottom w:val="single" w:sz="4" w:space="0" w:color="000000"/>
            </w:tcBorders>
            <w:vAlign w:val="bottom"/>
          </w:tcPr>
          <w:p w14:paraId="26BCF4FE" w14:textId="77777777" w:rsidR="00D83E33" w:rsidRPr="001B330E" w:rsidRDefault="00D83E33">
            <w:pPr>
              <w:widowControl w:val="0"/>
              <w:pBdr>
                <w:top w:val="nil"/>
                <w:left w:val="nil"/>
                <w:bottom w:val="nil"/>
                <w:right w:val="nil"/>
                <w:between w:val="nil"/>
              </w:pBdr>
              <w:jc w:val="right"/>
              <w:rPr>
                <w:color w:val="000000"/>
                <w:spacing w:val="-2"/>
              </w:rPr>
            </w:pPr>
          </w:p>
        </w:tc>
        <w:tc>
          <w:tcPr>
            <w:tcW w:w="604" w:type="pct"/>
            <w:tcBorders>
              <w:bottom w:val="single" w:sz="4" w:space="0" w:color="000000"/>
            </w:tcBorders>
            <w:vAlign w:val="bottom"/>
          </w:tcPr>
          <w:p w14:paraId="3A0F8A8E"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tcBorders>
              <w:bottom w:val="single" w:sz="4" w:space="0" w:color="000000"/>
            </w:tcBorders>
            <w:vAlign w:val="bottom"/>
          </w:tcPr>
          <w:p w14:paraId="0143365B" w14:textId="77777777" w:rsidR="00D83E33" w:rsidRPr="001B330E" w:rsidRDefault="00D83E33">
            <w:pPr>
              <w:widowControl w:val="0"/>
              <w:pBdr>
                <w:top w:val="nil"/>
                <w:left w:val="nil"/>
                <w:bottom w:val="nil"/>
                <w:right w:val="nil"/>
                <w:between w:val="nil"/>
              </w:pBdr>
              <w:jc w:val="right"/>
              <w:rPr>
                <w:color w:val="000000"/>
                <w:spacing w:val="-2"/>
              </w:rPr>
            </w:pPr>
          </w:p>
        </w:tc>
        <w:tc>
          <w:tcPr>
            <w:tcW w:w="603" w:type="pct"/>
            <w:tcBorders>
              <w:bottom w:val="single" w:sz="4" w:space="0" w:color="000000"/>
            </w:tcBorders>
            <w:vAlign w:val="bottom"/>
          </w:tcPr>
          <w:p w14:paraId="0A88E4E1"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7C07A13E" w14:textId="77777777" w:rsidTr="00372E26">
        <w:trPr>
          <w:trHeight w:val="23"/>
        </w:trPr>
        <w:tc>
          <w:tcPr>
            <w:tcW w:w="2223" w:type="pct"/>
            <w:tcBorders>
              <w:top w:val="single" w:sz="4" w:space="0" w:color="000000"/>
            </w:tcBorders>
            <w:vAlign w:val="bottom"/>
          </w:tcPr>
          <w:p w14:paraId="4FA049CB" w14:textId="77777777" w:rsidR="00D83E33" w:rsidRPr="001B330E" w:rsidRDefault="00BC4072" w:rsidP="001B330E">
            <w:pPr>
              <w:widowControl w:val="0"/>
              <w:ind w:left="113" w:hanging="113"/>
              <w:rPr>
                <w:spacing w:val="-2"/>
              </w:rPr>
            </w:pPr>
            <w:r w:rsidRPr="001B330E">
              <w:rPr>
                <w:b/>
                <w:spacing w:val="-2"/>
              </w:rPr>
              <w:t> </w:t>
            </w:r>
          </w:p>
        </w:tc>
        <w:tc>
          <w:tcPr>
            <w:tcW w:w="364" w:type="pct"/>
            <w:tcBorders>
              <w:top w:val="single" w:sz="4" w:space="0" w:color="000000"/>
            </w:tcBorders>
            <w:vAlign w:val="bottom"/>
          </w:tcPr>
          <w:p w14:paraId="533BCC02" w14:textId="77777777" w:rsidR="00D83E33" w:rsidRPr="001B330E" w:rsidRDefault="00D83E33" w:rsidP="001B330E">
            <w:pPr>
              <w:widowControl w:val="0"/>
              <w:jc w:val="center"/>
              <w:rPr>
                <w:b/>
                <w:spacing w:val="-2"/>
              </w:rPr>
            </w:pPr>
          </w:p>
        </w:tc>
        <w:tc>
          <w:tcPr>
            <w:tcW w:w="603" w:type="pct"/>
            <w:tcBorders>
              <w:top w:val="single" w:sz="4" w:space="0" w:color="000000"/>
            </w:tcBorders>
            <w:vAlign w:val="bottom"/>
          </w:tcPr>
          <w:p w14:paraId="380E4BB5" w14:textId="77777777" w:rsidR="00D83E33" w:rsidRPr="001B330E" w:rsidRDefault="00D83E33">
            <w:pPr>
              <w:widowControl w:val="0"/>
              <w:pBdr>
                <w:top w:val="nil"/>
                <w:left w:val="nil"/>
                <w:bottom w:val="nil"/>
                <w:right w:val="nil"/>
                <w:between w:val="nil"/>
              </w:pBdr>
              <w:jc w:val="right"/>
              <w:rPr>
                <w:b/>
                <w:color w:val="000000"/>
                <w:spacing w:val="-2"/>
              </w:rPr>
            </w:pPr>
          </w:p>
        </w:tc>
        <w:tc>
          <w:tcPr>
            <w:tcW w:w="604" w:type="pct"/>
            <w:tcBorders>
              <w:top w:val="single" w:sz="4" w:space="0" w:color="000000"/>
            </w:tcBorders>
            <w:vAlign w:val="bottom"/>
          </w:tcPr>
          <w:p w14:paraId="177B3693" w14:textId="77777777" w:rsidR="00D83E33" w:rsidRPr="001B330E" w:rsidRDefault="00D83E33">
            <w:pPr>
              <w:widowControl w:val="0"/>
              <w:pBdr>
                <w:top w:val="nil"/>
                <w:left w:val="nil"/>
                <w:bottom w:val="nil"/>
                <w:right w:val="nil"/>
                <w:between w:val="nil"/>
              </w:pBdr>
              <w:jc w:val="right"/>
              <w:rPr>
                <w:b/>
                <w:color w:val="000000"/>
                <w:spacing w:val="-2"/>
              </w:rPr>
            </w:pPr>
          </w:p>
        </w:tc>
        <w:tc>
          <w:tcPr>
            <w:tcW w:w="603" w:type="pct"/>
            <w:tcBorders>
              <w:top w:val="single" w:sz="4" w:space="0" w:color="000000"/>
            </w:tcBorders>
            <w:vAlign w:val="bottom"/>
          </w:tcPr>
          <w:p w14:paraId="6CE95461" w14:textId="77777777" w:rsidR="00D83E33" w:rsidRPr="001B330E" w:rsidRDefault="00D83E33">
            <w:pPr>
              <w:widowControl w:val="0"/>
              <w:pBdr>
                <w:top w:val="nil"/>
                <w:left w:val="nil"/>
                <w:bottom w:val="nil"/>
                <w:right w:val="nil"/>
                <w:between w:val="nil"/>
              </w:pBdr>
              <w:jc w:val="right"/>
              <w:rPr>
                <w:b/>
                <w:color w:val="000000"/>
                <w:spacing w:val="-2"/>
              </w:rPr>
            </w:pPr>
          </w:p>
        </w:tc>
        <w:tc>
          <w:tcPr>
            <w:tcW w:w="603" w:type="pct"/>
            <w:tcBorders>
              <w:top w:val="single" w:sz="4" w:space="0" w:color="000000"/>
            </w:tcBorders>
            <w:vAlign w:val="bottom"/>
          </w:tcPr>
          <w:p w14:paraId="4E57092B" w14:textId="77777777" w:rsidR="00D83E33" w:rsidRPr="001B330E" w:rsidRDefault="00D83E33">
            <w:pPr>
              <w:widowControl w:val="0"/>
              <w:pBdr>
                <w:top w:val="nil"/>
                <w:left w:val="nil"/>
                <w:bottom w:val="nil"/>
                <w:right w:val="nil"/>
                <w:between w:val="nil"/>
              </w:pBdr>
              <w:jc w:val="right"/>
              <w:rPr>
                <w:b/>
                <w:color w:val="000000"/>
                <w:spacing w:val="-2"/>
              </w:rPr>
            </w:pPr>
          </w:p>
        </w:tc>
      </w:tr>
      <w:tr w:rsidR="00D83E33" w:rsidRPr="00077F42" w14:paraId="3BA745AD" w14:textId="77777777" w:rsidTr="00372E26">
        <w:trPr>
          <w:trHeight w:val="23"/>
        </w:trPr>
        <w:tc>
          <w:tcPr>
            <w:tcW w:w="2223" w:type="pct"/>
            <w:vAlign w:val="bottom"/>
          </w:tcPr>
          <w:p w14:paraId="4BC1B392"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b/>
                <w:color w:val="000000"/>
                <w:spacing w:val="-2"/>
              </w:rPr>
              <w:t>Total</w:t>
            </w:r>
          </w:p>
        </w:tc>
        <w:tc>
          <w:tcPr>
            <w:tcW w:w="364" w:type="pct"/>
            <w:vAlign w:val="bottom"/>
          </w:tcPr>
          <w:p w14:paraId="6112BF2E" w14:textId="77777777" w:rsidR="00D83E33" w:rsidRPr="001B330E" w:rsidRDefault="00D83E33" w:rsidP="001B330E">
            <w:pPr>
              <w:widowControl w:val="0"/>
              <w:jc w:val="center"/>
              <w:rPr>
                <w:b/>
                <w:spacing w:val="-2"/>
              </w:rPr>
            </w:pPr>
          </w:p>
        </w:tc>
        <w:tc>
          <w:tcPr>
            <w:tcW w:w="603" w:type="pct"/>
            <w:vAlign w:val="bottom"/>
          </w:tcPr>
          <w:p w14:paraId="273D2B11" w14:textId="77777777" w:rsidR="00D83E33" w:rsidRPr="001B330E" w:rsidRDefault="00D83E33">
            <w:pPr>
              <w:widowControl w:val="0"/>
              <w:pBdr>
                <w:top w:val="nil"/>
                <w:left w:val="nil"/>
                <w:bottom w:val="nil"/>
                <w:right w:val="nil"/>
                <w:between w:val="nil"/>
              </w:pBdr>
              <w:jc w:val="right"/>
              <w:rPr>
                <w:b/>
                <w:color w:val="000000"/>
                <w:spacing w:val="-2"/>
              </w:rPr>
            </w:pPr>
          </w:p>
        </w:tc>
        <w:tc>
          <w:tcPr>
            <w:tcW w:w="604" w:type="pct"/>
            <w:vAlign w:val="bottom"/>
          </w:tcPr>
          <w:p w14:paraId="70A9FF78" w14:textId="77777777" w:rsidR="00D83E33" w:rsidRPr="001B330E" w:rsidRDefault="00D83E33">
            <w:pPr>
              <w:widowControl w:val="0"/>
              <w:pBdr>
                <w:top w:val="nil"/>
                <w:left w:val="nil"/>
                <w:bottom w:val="nil"/>
                <w:right w:val="nil"/>
                <w:between w:val="nil"/>
              </w:pBdr>
              <w:jc w:val="right"/>
              <w:rPr>
                <w:b/>
                <w:color w:val="000000"/>
                <w:spacing w:val="-2"/>
              </w:rPr>
            </w:pPr>
          </w:p>
        </w:tc>
        <w:tc>
          <w:tcPr>
            <w:tcW w:w="603" w:type="pct"/>
            <w:vAlign w:val="bottom"/>
          </w:tcPr>
          <w:p w14:paraId="44BA85B2" w14:textId="77777777" w:rsidR="00D83E33" w:rsidRPr="001B330E" w:rsidRDefault="00D83E33">
            <w:pPr>
              <w:widowControl w:val="0"/>
              <w:pBdr>
                <w:top w:val="nil"/>
                <w:left w:val="nil"/>
                <w:bottom w:val="nil"/>
                <w:right w:val="nil"/>
                <w:between w:val="nil"/>
              </w:pBdr>
              <w:jc w:val="right"/>
              <w:rPr>
                <w:b/>
                <w:color w:val="000000"/>
                <w:spacing w:val="-2"/>
              </w:rPr>
            </w:pPr>
          </w:p>
        </w:tc>
        <w:tc>
          <w:tcPr>
            <w:tcW w:w="603" w:type="pct"/>
            <w:vAlign w:val="bottom"/>
          </w:tcPr>
          <w:p w14:paraId="42A7D51B" w14:textId="77777777" w:rsidR="00D83E33" w:rsidRPr="001B330E" w:rsidRDefault="00D83E33">
            <w:pPr>
              <w:widowControl w:val="0"/>
              <w:pBdr>
                <w:top w:val="nil"/>
                <w:left w:val="nil"/>
                <w:bottom w:val="nil"/>
                <w:right w:val="nil"/>
                <w:between w:val="nil"/>
              </w:pBdr>
              <w:jc w:val="right"/>
              <w:rPr>
                <w:b/>
                <w:color w:val="000000"/>
                <w:spacing w:val="-2"/>
              </w:rPr>
            </w:pPr>
          </w:p>
        </w:tc>
      </w:tr>
      <w:tr w:rsidR="00D83E33" w:rsidRPr="00077F42" w14:paraId="76AA8219" w14:textId="77777777" w:rsidTr="00372E26">
        <w:trPr>
          <w:trHeight w:val="23"/>
        </w:trPr>
        <w:tc>
          <w:tcPr>
            <w:tcW w:w="2223" w:type="pct"/>
            <w:tcBorders>
              <w:bottom w:val="single" w:sz="12" w:space="0" w:color="000000"/>
            </w:tcBorders>
            <w:vAlign w:val="bottom"/>
          </w:tcPr>
          <w:p w14:paraId="1B28C1A9" w14:textId="77777777" w:rsidR="00D83E33" w:rsidRPr="001B330E" w:rsidRDefault="00BC4072" w:rsidP="001B330E">
            <w:pPr>
              <w:widowControl w:val="0"/>
              <w:ind w:left="113" w:hanging="113"/>
              <w:rPr>
                <w:spacing w:val="-2"/>
              </w:rPr>
            </w:pPr>
            <w:r w:rsidRPr="001B330E">
              <w:rPr>
                <w:b/>
                <w:spacing w:val="-2"/>
              </w:rPr>
              <w:t> </w:t>
            </w:r>
          </w:p>
        </w:tc>
        <w:tc>
          <w:tcPr>
            <w:tcW w:w="364" w:type="pct"/>
            <w:tcBorders>
              <w:bottom w:val="single" w:sz="12" w:space="0" w:color="000000"/>
            </w:tcBorders>
            <w:vAlign w:val="bottom"/>
          </w:tcPr>
          <w:p w14:paraId="059A32A3" w14:textId="77777777" w:rsidR="00D83E33" w:rsidRPr="001B330E" w:rsidRDefault="00D83E33" w:rsidP="001B330E">
            <w:pPr>
              <w:widowControl w:val="0"/>
              <w:jc w:val="center"/>
              <w:rPr>
                <w:b/>
                <w:spacing w:val="-2"/>
              </w:rPr>
            </w:pPr>
          </w:p>
        </w:tc>
        <w:tc>
          <w:tcPr>
            <w:tcW w:w="603" w:type="pct"/>
            <w:tcBorders>
              <w:bottom w:val="single" w:sz="12" w:space="0" w:color="000000"/>
            </w:tcBorders>
            <w:vAlign w:val="bottom"/>
          </w:tcPr>
          <w:p w14:paraId="07953A36" w14:textId="77777777" w:rsidR="00D83E33" w:rsidRPr="001B330E" w:rsidRDefault="00D83E33">
            <w:pPr>
              <w:widowControl w:val="0"/>
              <w:pBdr>
                <w:top w:val="nil"/>
                <w:left w:val="nil"/>
                <w:bottom w:val="nil"/>
                <w:right w:val="nil"/>
                <w:between w:val="nil"/>
              </w:pBdr>
              <w:jc w:val="right"/>
              <w:rPr>
                <w:b/>
                <w:color w:val="000000"/>
                <w:spacing w:val="-2"/>
              </w:rPr>
            </w:pPr>
          </w:p>
        </w:tc>
        <w:tc>
          <w:tcPr>
            <w:tcW w:w="604" w:type="pct"/>
            <w:tcBorders>
              <w:bottom w:val="single" w:sz="12" w:space="0" w:color="000000"/>
            </w:tcBorders>
            <w:vAlign w:val="bottom"/>
          </w:tcPr>
          <w:p w14:paraId="02E6D66E" w14:textId="77777777" w:rsidR="00D83E33" w:rsidRPr="001B330E" w:rsidRDefault="00D83E33">
            <w:pPr>
              <w:widowControl w:val="0"/>
              <w:pBdr>
                <w:top w:val="nil"/>
                <w:left w:val="nil"/>
                <w:bottom w:val="nil"/>
                <w:right w:val="nil"/>
                <w:between w:val="nil"/>
              </w:pBdr>
              <w:jc w:val="right"/>
              <w:rPr>
                <w:b/>
                <w:color w:val="000000"/>
                <w:spacing w:val="-2"/>
              </w:rPr>
            </w:pPr>
          </w:p>
        </w:tc>
        <w:tc>
          <w:tcPr>
            <w:tcW w:w="603" w:type="pct"/>
            <w:tcBorders>
              <w:bottom w:val="single" w:sz="12" w:space="0" w:color="000000"/>
            </w:tcBorders>
            <w:vAlign w:val="bottom"/>
          </w:tcPr>
          <w:p w14:paraId="6CBCDEE6" w14:textId="77777777" w:rsidR="00D83E33" w:rsidRPr="001B330E" w:rsidRDefault="00D83E33">
            <w:pPr>
              <w:widowControl w:val="0"/>
              <w:pBdr>
                <w:top w:val="nil"/>
                <w:left w:val="nil"/>
                <w:bottom w:val="nil"/>
                <w:right w:val="nil"/>
                <w:between w:val="nil"/>
              </w:pBdr>
              <w:jc w:val="right"/>
              <w:rPr>
                <w:b/>
                <w:color w:val="000000"/>
                <w:spacing w:val="-2"/>
              </w:rPr>
            </w:pPr>
          </w:p>
        </w:tc>
        <w:tc>
          <w:tcPr>
            <w:tcW w:w="603" w:type="pct"/>
            <w:tcBorders>
              <w:bottom w:val="single" w:sz="12" w:space="0" w:color="000000"/>
            </w:tcBorders>
            <w:vAlign w:val="bottom"/>
          </w:tcPr>
          <w:p w14:paraId="24C00C74" w14:textId="77777777" w:rsidR="00D83E33" w:rsidRPr="001B330E" w:rsidRDefault="00D83E33">
            <w:pPr>
              <w:widowControl w:val="0"/>
              <w:pBdr>
                <w:top w:val="nil"/>
                <w:left w:val="nil"/>
                <w:bottom w:val="nil"/>
                <w:right w:val="nil"/>
                <w:between w:val="nil"/>
              </w:pBdr>
              <w:jc w:val="right"/>
              <w:rPr>
                <w:b/>
                <w:color w:val="000000"/>
                <w:spacing w:val="-2"/>
              </w:rPr>
            </w:pPr>
          </w:p>
        </w:tc>
      </w:tr>
    </w:tbl>
    <w:p w14:paraId="064DEF9F" w14:textId="77777777" w:rsidR="00D83E33" w:rsidRPr="001B330E" w:rsidRDefault="00BC4072">
      <w:pPr>
        <w:widowControl w:val="0"/>
        <w:spacing w:before="200" w:after="200"/>
        <w:jc w:val="both"/>
        <w:rPr>
          <w:spacing w:val="-2"/>
          <w:sz w:val="20"/>
          <w:szCs w:val="20"/>
        </w:rPr>
      </w:pPr>
      <w:r w:rsidRPr="001B330E">
        <w:rPr>
          <w:spacing w:val="-2"/>
          <w:sz w:val="20"/>
          <w:szCs w:val="20"/>
        </w:rPr>
        <w:t xml:space="preserve">The following schedule provides information about transfers where the counterparties to the associated liabilities have recourse only to the transferred assets. This is the case for the Group’s securitisation transactions. </w:t>
      </w:r>
    </w:p>
    <w:tbl>
      <w:tblPr>
        <w:tblStyle w:val="afffffffffffffff7"/>
        <w:tblW w:w="5000" w:type="pct"/>
        <w:tblLayout w:type="fixed"/>
        <w:tblLook w:val="0000" w:firstRow="0" w:lastRow="0" w:firstColumn="0" w:lastColumn="0" w:noHBand="0" w:noVBand="0"/>
      </w:tblPr>
      <w:tblGrid>
        <w:gridCol w:w="2890"/>
        <w:gridCol w:w="1077"/>
        <w:gridCol w:w="1078"/>
        <w:gridCol w:w="1078"/>
        <w:gridCol w:w="1078"/>
        <w:gridCol w:w="1078"/>
        <w:gridCol w:w="1076"/>
      </w:tblGrid>
      <w:tr w:rsidR="00D83E33" w:rsidRPr="00077F42" w14:paraId="7A7B0BD7" w14:textId="77777777" w:rsidTr="001B330E">
        <w:trPr>
          <w:trHeight w:val="23"/>
        </w:trPr>
        <w:tc>
          <w:tcPr>
            <w:tcW w:w="1545" w:type="pct"/>
            <w:vAlign w:val="bottom"/>
          </w:tcPr>
          <w:p w14:paraId="76EE6805" w14:textId="77777777" w:rsidR="00D83E33" w:rsidRPr="001B330E" w:rsidRDefault="00D83E33" w:rsidP="001B330E">
            <w:pPr>
              <w:widowControl w:val="0"/>
              <w:ind w:left="113" w:hanging="113"/>
              <w:rPr>
                <w:b/>
                <w:spacing w:val="-2"/>
              </w:rPr>
            </w:pPr>
          </w:p>
        </w:tc>
        <w:tc>
          <w:tcPr>
            <w:tcW w:w="1728" w:type="pct"/>
            <w:gridSpan w:val="3"/>
            <w:tcBorders>
              <w:bottom w:val="single" w:sz="4" w:space="0" w:color="000000"/>
            </w:tcBorders>
            <w:vAlign w:val="bottom"/>
          </w:tcPr>
          <w:p w14:paraId="3319900A" w14:textId="730EC5A4" w:rsidR="00D83E33" w:rsidRPr="001B330E" w:rsidRDefault="00BC4072">
            <w:pPr>
              <w:widowControl w:val="0"/>
              <w:pBdr>
                <w:top w:val="nil"/>
                <w:left w:val="nil"/>
                <w:bottom w:val="nil"/>
                <w:right w:val="nil"/>
                <w:between w:val="nil"/>
              </w:pBdr>
              <w:jc w:val="center"/>
              <w:rPr>
                <w:color w:val="000000"/>
                <w:spacing w:val="-2"/>
              </w:rPr>
            </w:pPr>
            <w:r w:rsidRPr="001B330E">
              <w:rPr>
                <w:b/>
                <w:color w:val="000000"/>
                <w:spacing w:val="-2"/>
              </w:rPr>
              <w:t>31</w:t>
            </w:r>
            <w:r w:rsidR="00181687">
              <w:rPr>
                <w:b/>
                <w:color w:val="000000"/>
                <w:spacing w:val="-2"/>
              </w:rPr>
              <w:t> December </w:t>
            </w:r>
            <w:r w:rsidR="00541EBC">
              <w:rPr>
                <w:b/>
                <w:color w:val="000000"/>
                <w:spacing w:val="-2"/>
              </w:rPr>
              <w:t>2024</w:t>
            </w:r>
          </w:p>
        </w:tc>
        <w:tc>
          <w:tcPr>
            <w:tcW w:w="1727" w:type="pct"/>
            <w:gridSpan w:val="3"/>
            <w:tcBorders>
              <w:bottom w:val="single" w:sz="4" w:space="0" w:color="000000"/>
            </w:tcBorders>
            <w:vAlign w:val="bottom"/>
          </w:tcPr>
          <w:p w14:paraId="76B78BCC" w14:textId="18C12349" w:rsidR="00D83E33" w:rsidRPr="001B330E" w:rsidRDefault="00BC4072">
            <w:pPr>
              <w:widowControl w:val="0"/>
              <w:pBdr>
                <w:top w:val="nil"/>
                <w:left w:val="nil"/>
                <w:bottom w:val="nil"/>
                <w:right w:val="nil"/>
                <w:between w:val="nil"/>
              </w:pBdr>
              <w:jc w:val="center"/>
              <w:rPr>
                <w:color w:val="000000"/>
                <w:spacing w:val="-2"/>
              </w:rPr>
            </w:pPr>
            <w:r w:rsidRPr="001B330E">
              <w:rPr>
                <w:b/>
                <w:color w:val="000000"/>
                <w:spacing w:val="-2"/>
              </w:rPr>
              <w:t>31</w:t>
            </w:r>
            <w:r w:rsidR="00181687">
              <w:rPr>
                <w:b/>
                <w:color w:val="000000"/>
                <w:spacing w:val="-2"/>
              </w:rPr>
              <w:t> December </w:t>
            </w:r>
            <w:r w:rsidR="00541EBC">
              <w:rPr>
                <w:b/>
                <w:color w:val="000000"/>
                <w:spacing w:val="-2"/>
              </w:rPr>
              <w:t>2023</w:t>
            </w:r>
          </w:p>
        </w:tc>
      </w:tr>
      <w:tr w:rsidR="00D83E33" w:rsidRPr="00077F42" w14:paraId="1F92BA80" w14:textId="77777777" w:rsidTr="001B330E">
        <w:trPr>
          <w:trHeight w:val="23"/>
        </w:trPr>
        <w:tc>
          <w:tcPr>
            <w:tcW w:w="1545" w:type="pct"/>
            <w:tcBorders>
              <w:bottom w:val="single" w:sz="4" w:space="0" w:color="000000"/>
            </w:tcBorders>
            <w:vAlign w:val="bottom"/>
          </w:tcPr>
          <w:p w14:paraId="5D822553" w14:textId="37D00C0E" w:rsidR="00D83E33" w:rsidRPr="001B330E" w:rsidRDefault="00313B4D" w:rsidP="001B330E">
            <w:pPr>
              <w:widowControl w:val="0"/>
              <w:pBdr>
                <w:top w:val="nil"/>
                <w:left w:val="nil"/>
                <w:bottom w:val="nil"/>
                <w:right w:val="nil"/>
                <w:between w:val="nil"/>
              </w:pBdr>
              <w:ind w:left="113" w:hanging="113"/>
              <w:rPr>
                <w:b/>
                <w:i/>
                <w:color w:val="000000"/>
                <w:spacing w:val="-2"/>
              </w:rPr>
            </w:pPr>
            <w:r>
              <w:rPr>
                <w:i/>
                <w:color w:val="000000"/>
                <w:spacing w:val="-2"/>
              </w:rPr>
              <w:t xml:space="preserve">In thousands of </w:t>
            </w:r>
            <w:r w:rsidR="002649EE">
              <w:rPr>
                <w:i/>
                <w:color w:val="000000"/>
                <w:spacing w:val="-2"/>
              </w:rPr>
              <w:t>EUR</w:t>
            </w:r>
          </w:p>
        </w:tc>
        <w:tc>
          <w:tcPr>
            <w:tcW w:w="576" w:type="pct"/>
            <w:tcBorders>
              <w:top w:val="single" w:sz="4" w:space="0" w:color="000000"/>
              <w:bottom w:val="single" w:sz="4" w:space="0" w:color="000000"/>
            </w:tcBorders>
          </w:tcPr>
          <w:p w14:paraId="64DEC27B"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Fair value of the assets at year end</w:t>
            </w:r>
          </w:p>
        </w:tc>
        <w:tc>
          <w:tcPr>
            <w:tcW w:w="576" w:type="pct"/>
            <w:tcBorders>
              <w:top w:val="single" w:sz="4" w:space="0" w:color="000000"/>
              <w:bottom w:val="single" w:sz="4" w:space="0" w:color="000000"/>
            </w:tcBorders>
          </w:tcPr>
          <w:p w14:paraId="50D7E703"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Fair value of the associated liabilities</w:t>
            </w:r>
          </w:p>
        </w:tc>
        <w:tc>
          <w:tcPr>
            <w:tcW w:w="576" w:type="pct"/>
            <w:tcBorders>
              <w:top w:val="single" w:sz="4" w:space="0" w:color="000000"/>
              <w:bottom w:val="single" w:sz="4" w:space="0" w:color="000000"/>
            </w:tcBorders>
          </w:tcPr>
          <w:p w14:paraId="05C64160"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Net position</w:t>
            </w:r>
          </w:p>
        </w:tc>
        <w:tc>
          <w:tcPr>
            <w:tcW w:w="576" w:type="pct"/>
            <w:tcBorders>
              <w:top w:val="single" w:sz="4" w:space="0" w:color="000000"/>
              <w:bottom w:val="single" w:sz="4" w:space="0" w:color="000000"/>
            </w:tcBorders>
          </w:tcPr>
          <w:p w14:paraId="21C6A6D7"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Fair value of the assets at year end</w:t>
            </w:r>
          </w:p>
        </w:tc>
        <w:tc>
          <w:tcPr>
            <w:tcW w:w="576" w:type="pct"/>
            <w:tcBorders>
              <w:top w:val="single" w:sz="4" w:space="0" w:color="000000"/>
              <w:bottom w:val="single" w:sz="4" w:space="0" w:color="000000"/>
            </w:tcBorders>
          </w:tcPr>
          <w:p w14:paraId="5CFB4AF7"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Fair value of the associated liabilities</w:t>
            </w:r>
          </w:p>
        </w:tc>
        <w:tc>
          <w:tcPr>
            <w:tcW w:w="575" w:type="pct"/>
            <w:tcBorders>
              <w:top w:val="single" w:sz="4" w:space="0" w:color="000000"/>
              <w:bottom w:val="single" w:sz="4" w:space="0" w:color="000000"/>
            </w:tcBorders>
          </w:tcPr>
          <w:p w14:paraId="2F77BCCC" w14:textId="77777777" w:rsidR="00D83E33" w:rsidRPr="001B330E" w:rsidRDefault="00BC4072">
            <w:pPr>
              <w:widowControl w:val="0"/>
              <w:pBdr>
                <w:top w:val="nil"/>
                <w:left w:val="nil"/>
                <w:bottom w:val="nil"/>
                <w:right w:val="nil"/>
                <w:between w:val="nil"/>
              </w:pBdr>
              <w:ind w:left="-113"/>
              <w:jc w:val="right"/>
              <w:rPr>
                <w:b/>
                <w:color w:val="000000"/>
                <w:spacing w:val="-2"/>
              </w:rPr>
            </w:pPr>
            <w:r w:rsidRPr="001B330E">
              <w:rPr>
                <w:b/>
                <w:color w:val="000000"/>
                <w:spacing w:val="-2"/>
              </w:rPr>
              <w:t>Net position</w:t>
            </w:r>
          </w:p>
        </w:tc>
      </w:tr>
      <w:tr w:rsidR="00D83E33" w:rsidRPr="00077F42" w14:paraId="31570160" w14:textId="77777777" w:rsidTr="001B330E">
        <w:trPr>
          <w:trHeight w:val="23"/>
        </w:trPr>
        <w:tc>
          <w:tcPr>
            <w:tcW w:w="1545" w:type="pct"/>
            <w:tcBorders>
              <w:top w:val="single" w:sz="4" w:space="0" w:color="000000"/>
            </w:tcBorders>
            <w:vAlign w:val="bottom"/>
          </w:tcPr>
          <w:p w14:paraId="5B09728D" w14:textId="77777777" w:rsidR="00D83E33" w:rsidRPr="001B330E" w:rsidRDefault="00BC4072" w:rsidP="001B330E">
            <w:pPr>
              <w:widowControl w:val="0"/>
              <w:ind w:left="113" w:hanging="113"/>
              <w:rPr>
                <w:b/>
                <w:spacing w:val="-2"/>
              </w:rPr>
            </w:pPr>
            <w:r w:rsidRPr="001B330E">
              <w:rPr>
                <w:b/>
                <w:spacing w:val="-2"/>
              </w:rPr>
              <w:t> </w:t>
            </w:r>
          </w:p>
        </w:tc>
        <w:tc>
          <w:tcPr>
            <w:tcW w:w="576" w:type="pct"/>
            <w:tcBorders>
              <w:top w:val="single" w:sz="4" w:space="0" w:color="000000"/>
            </w:tcBorders>
            <w:vAlign w:val="bottom"/>
          </w:tcPr>
          <w:p w14:paraId="147C71F4"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tcBorders>
              <w:top w:val="single" w:sz="4" w:space="0" w:color="000000"/>
            </w:tcBorders>
            <w:vAlign w:val="bottom"/>
          </w:tcPr>
          <w:p w14:paraId="052C523F"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tcBorders>
              <w:top w:val="single" w:sz="4" w:space="0" w:color="000000"/>
            </w:tcBorders>
            <w:vAlign w:val="bottom"/>
          </w:tcPr>
          <w:p w14:paraId="105BDBA2"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tcBorders>
              <w:top w:val="single" w:sz="4" w:space="0" w:color="000000"/>
            </w:tcBorders>
            <w:vAlign w:val="bottom"/>
          </w:tcPr>
          <w:p w14:paraId="2F0597CA"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tcBorders>
              <w:top w:val="single" w:sz="4" w:space="0" w:color="000000"/>
            </w:tcBorders>
            <w:vAlign w:val="bottom"/>
          </w:tcPr>
          <w:p w14:paraId="049CF43B"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tcBorders>
              <w:top w:val="single" w:sz="4" w:space="0" w:color="000000"/>
            </w:tcBorders>
            <w:vAlign w:val="bottom"/>
          </w:tcPr>
          <w:p w14:paraId="145238BA"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1BBC79A2" w14:textId="77777777" w:rsidTr="001B330E">
        <w:trPr>
          <w:trHeight w:val="23"/>
        </w:trPr>
        <w:tc>
          <w:tcPr>
            <w:tcW w:w="1545" w:type="pct"/>
            <w:vAlign w:val="bottom"/>
          </w:tcPr>
          <w:p w14:paraId="71DC967D"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Corporate loans</w:t>
            </w:r>
          </w:p>
        </w:tc>
        <w:tc>
          <w:tcPr>
            <w:tcW w:w="576" w:type="pct"/>
            <w:vAlign w:val="bottom"/>
          </w:tcPr>
          <w:p w14:paraId="368638B7" w14:textId="77777777" w:rsidR="00D83E33" w:rsidRPr="001B330E" w:rsidRDefault="00D83E33">
            <w:pPr>
              <w:widowControl w:val="0"/>
              <w:jc w:val="center"/>
              <w:rPr>
                <w:spacing w:val="-2"/>
              </w:rPr>
            </w:pPr>
          </w:p>
        </w:tc>
        <w:tc>
          <w:tcPr>
            <w:tcW w:w="576" w:type="pct"/>
            <w:vAlign w:val="bottom"/>
          </w:tcPr>
          <w:p w14:paraId="563A8F55" w14:textId="77777777" w:rsidR="00D83E33" w:rsidRPr="001B330E" w:rsidRDefault="00D83E33">
            <w:pPr>
              <w:widowControl w:val="0"/>
              <w:jc w:val="center"/>
              <w:rPr>
                <w:spacing w:val="-2"/>
              </w:rPr>
            </w:pPr>
          </w:p>
        </w:tc>
        <w:tc>
          <w:tcPr>
            <w:tcW w:w="576" w:type="pct"/>
            <w:vAlign w:val="bottom"/>
          </w:tcPr>
          <w:p w14:paraId="1F999B54"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62E8AB1F"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12F9BAA7"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117A4BD9"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62F348D7" w14:textId="77777777" w:rsidTr="001B330E">
        <w:trPr>
          <w:trHeight w:val="23"/>
        </w:trPr>
        <w:tc>
          <w:tcPr>
            <w:tcW w:w="1545" w:type="pct"/>
            <w:vAlign w:val="bottom"/>
          </w:tcPr>
          <w:p w14:paraId="2892FF5D"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Loans to individuals</w:t>
            </w:r>
          </w:p>
        </w:tc>
        <w:tc>
          <w:tcPr>
            <w:tcW w:w="576" w:type="pct"/>
            <w:vAlign w:val="bottom"/>
          </w:tcPr>
          <w:p w14:paraId="2A5B5F83" w14:textId="77777777" w:rsidR="00D83E33" w:rsidRPr="001B330E" w:rsidRDefault="00D83E33">
            <w:pPr>
              <w:widowControl w:val="0"/>
              <w:jc w:val="center"/>
              <w:rPr>
                <w:spacing w:val="-2"/>
              </w:rPr>
            </w:pPr>
          </w:p>
        </w:tc>
        <w:tc>
          <w:tcPr>
            <w:tcW w:w="576" w:type="pct"/>
            <w:vAlign w:val="bottom"/>
          </w:tcPr>
          <w:p w14:paraId="0E6BFE6F" w14:textId="77777777" w:rsidR="00D83E33" w:rsidRPr="001B330E" w:rsidRDefault="00D83E33">
            <w:pPr>
              <w:widowControl w:val="0"/>
              <w:jc w:val="center"/>
              <w:rPr>
                <w:spacing w:val="-2"/>
              </w:rPr>
            </w:pPr>
          </w:p>
        </w:tc>
        <w:tc>
          <w:tcPr>
            <w:tcW w:w="576" w:type="pct"/>
            <w:vAlign w:val="bottom"/>
          </w:tcPr>
          <w:p w14:paraId="600C93A2"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5D88873D"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59B923BF"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2E9D4881"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4FAE1B07" w14:textId="77777777" w:rsidTr="001B330E">
        <w:trPr>
          <w:trHeight w:val="23"/>
        </w:trPr>
        <w:tc>
          <w:tcPr>
            <w:tcW w:w="1545" w:type="pct"/>
            <w:vAlign w:val="bottom"/>
          </w:tcPr>
          <w:p w14:paraId="2A3E40FD"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Debt securities mandatorily measured at FVTPL</w:t>
            </w:r>
          </w:p>
        </w:tc>
        <w:tc>
          <w:tcPr>
            <w:tcW w:w="576" w:type="pct"/>
            <w:vAlign w:val="bottom"/>
          </w:tcPr>
          <w:p w14:paraId="314FFE6E" w14:textId="77777777" w:rsidR="00D83E33" w:rsidRPr="001B330E" w:rsidRDefault="00D83E33">
            <w:pPr>
              <w:widowControl w:val="0"/>
              <w:jc w:val="center"/>
              <w:rPr>
                <w:spacing w:val="-2"/>
              </w:rPr>
            </w:pPr>
          </w:p>
        </w:tc>
        <w:tc>
          <w:tcPr>
            <w:tcW w:w="576" w:type="pct"/>
            <w:vAlign w:val="bottom"/>
          </w:tcPr>
          <w:p w14:paraId="64E0979A" w14:textId="77777777" w:rsidR="00D83E33" w:rsidRPr="001B330E" w:rsidRDefault="00D83E33">
            <w:pPr>
              <w:widowControl w:val="0"/>
              <w:jc w:val="center"/>
              <w:rPr>
                <w:spacing w:val="-2"/>
              </w:rPr>
            </w:pPr>
          </w:p>
        </w:tc>
        <w:tc>
          <w:tcPr>
            <w:tcW w:w="576" w:type="pct"/>
            <w:vAlign w:val="bottom"/>
          </w:tcPr>
          <w:p w14:paraId="1724E064"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7CC10FF3"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158DE341"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7F53DF65"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2BADC26C" w14:textId="77777777" w:rsidTr="001B330E">
        <w:trPr>
          <w:trHeight w:val="23"/>
        </w:trPr>
        <w:tc>
          <w:tcPr>
            <w:tcW w:w="1545" w:type="pct"/>
            <w:vAlign w:val="bottom"/>
          </w:tcPr>
          <w:p w14:paraId="654FC6C3" w14:textId="5B415AFB"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xml:space="preserve">- </w:t>
            </w:r>
            <w:r w:rsidR="00372E26">
              <w:rPr>
                <w:color w:val="000000"/>
                <w:spacing w:val="-2"/>
              </w:rPr>
              <w:t>[Country]</w:t>
            </w:r>
            <w:r w:rsidRPr="001B330E">
              <w:rPr>
                <w:color w:val="000000"/>
                <w:spacing w:val="-2"/>
              </w:rPr>
              <w:t xml:space="preserve"> government bonds</w:t>
            </w:r>
          </w:p>
        </w:tc>
        <w:tc>
          <w:tcPr>
            <w:tcW w:w="576" w:type="pct"/>
            <w:vAlign w:val="bottom"/>
          </w:tcPr>
          <w:p w14:paraId="40892445" w14:textId="77777777" w:rsidR="00D83E33" w:rsidRPr="001B330E" w:rsidRDefault="00D83E33">
            <w:pPr>
              <w:widowControl w:val="0"/>
              <w:jc w:val="center"/>
              <w:rPr>
                <w:spacing w:val="-2"/>
              </w:rPr>
            </w:pPr>
          </w:p>
        </w:tc>
        <w:tc>
          <w:tcPr>
            <w:tcW w:w="576" w:type="pct"/>
            <w:vAlign w:val="bottom"/>
          </w:tcPr>
          <w:p w14:paraId="68414773" w14:textId="77777777" w:rsidR="00D83E33" w:rsidRPr="001B330E" w:rsidRDefault="00D83E33">
            <w:pPr>
              <w:widowControl w:val="0"/>
              <w:jc w:val="center"/>
              <w:rPr>
                <w:spacing w:val="-2"/>
              </w:rPr>
            </w:pPr>
          </w:p>
        </w:tc>
        <w:tc>
          <w:tcPr>
            <w:tcW w:w="576" w:type="pct"/>
            <w:vAlign w:val="bottom"/>
          </w:tcPr>
          <w:p w14:paraId="2B5F058F"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7764FF4F"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78A37B06"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32B382CD"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440783FC" w14:textId="77777777" w:rsidTr="001B330E">
        <w:trPr>
          <w:trHeight w:val="23"/>
        </w:trPr>
        <w:tc>
          <w:tcPr>
            <w:tcW w:w="1545" w:type="pct"/>
            <w:vAlign w:val="bottom"/>
          </w:tcPr>
          <w:p w14:paraId="1352508F"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Municipal bonds</w:t>
            </w:r>
          </w:p>
        </w:tc>
        <w:tc>
          <w:tcPr>
            <w:tcW w:w="576" w:type="pct"/>
            <w:vAlign w:val="bottom"/>
          </w:tcPr>
          <w:p w14:paraId="57E93D1D" w14:textId="77777777" w:rsidR="00D83E33" w:rsidRPr="001B330E" w:rsidRDefault="00D83E33">
            <w:pPr>
              <w:widowControl w:val="0"/>
              <w:jc w:val="center"/>
              <w:rPr>
                <w:spacing w:val="-2"/>
              </w:rPr>
            </w:pPr>
          </w:p>
        </w:tc>
        <w:tc>
          <w:tcPr>
            <w:tcW w:w="576" w:type="pct"/>
            <w:vAlign w:val="bottom"/>
          </w:tcPr>
          <w:p w14:paraId="29DA6019" w14:textId="77777777" w:rsidR="00D83E33" w:rsidRPr="001B330E" w:rsidRDefault="00D83E33">
            <w:pPr>
              <w:widowControl w:val="0"/>
              <w:jc w:val="center"/>
              <w:rPr>
                <w:spacing w:val="-2"/>
              </w:rPr>
            </w:pPr>
          </w:p>
        </w:tc>
        <w:tc>
          <w:tcPr>
            <w:tcW w:w="576" w:type="pct"/>
            <w:vAlign w:val="bottom"/>
          </w:tcPr>
          <w:p w14:paraId="39A55B66"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17B03A5D"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5EBBC13F"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63F18851"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272DB23B" w14:textId="77777777" w:rsidTr="001B330E">
        <w:trPr>
          <w:trHeight w:val="23"/>
        </w:trPr>
        <w:tc>
          <w:tcPr>
            <w:tcW w:w="1545" w:type="pct"/>
            <w:vAlign w:val="bottom"/>
          </w:tcPr>
          <w:p w14:paraId="6F5F3E59"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Corporate bonds</w:t>
            </w:r>
          </w:p>
          <w:p w14:paraId="33E7DA70"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Investments in mutual funds</w:t>
            </w:r>
          </w:p>
        </w:tc>
        <w:tc>
          <w:tcPr>
            <w:tcW w:w="576" w:type="pct"/>
            <w:vAlign w:val="bottom"/>
          </w:tcPr>
          <w:p w14:paraId="60B3C923" w14:textId="77777777" w:rsidR="00D83E33" w:rsidRPr="001B330E" w:rsidRDefault="00D83E33">
            <w:pPr>
              <w:widowControl w:val="0"/>
              <w:jc w:val="center"/>
              <w:rPr>
                <w:spacing w:val="-2"/>
              </w:rPr>
            </w:pPr>
          </w:p>
        </w:tc>
        <w:tc>
          <w:tcPr>
            <w:tcW w:w="576" w:type="pct"/>
            <w:vAlign w:val="bottom"/>
          </w:tcPr>
          <w:p w14:paraId="6C38245F" w14:textId="77777777" w:rsidR="00D83E33" w:rsidRPr="001B330E" w:rsidRDefault="00D83E33">
            <w:pPr>
              <w:widowControl w:val="0"/>
              <w:jc w:val="center"/>
              <w:rPr>
                <w:spacing w:val="-2"/>
              </w:rPr>
            </w:pPr>
          </w:p>
        </w:tc>
        <w:tc>
          <w:tcPr>
            <w:tcW w:w="576" w:type="pct"/>
            <w:vAlign w:val="bottom"/>
          </w:tcPr>
          <w:p w14:paraId="40D8367D"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41AF3B7E"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7A8A21B1"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203B8A19"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1F0B0C65" w14:textId="77777777" w:rsidTr="001B330E">
        <w:trPr>
          <w:trHeight w:val="23"/>
        </w:trPr>
        <w:tc>
          <w:tcPr>
            <w:tcW w:w="1545" w:type="pct"/>
            <w:vAlign w:val="bottom"/>
          </w:tcPr>
          <w:p w14:paraId="1F1B5069" w14:textId="63B4F589"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xml:space="preserve">- Promissory notes </w:t>
            </w:r>
          </w:p>
        </w:tc>
        <w:tc>
          <w:tcPr>
            <w:tcW w:w="576" w:type="pct"/>
            <w:vAlign w:val="bottom"/>
          </w:tcPr>
          <w:p w14:paraId="75E890DA" w14:textId="77777777" w:rsidR="00D83E33" w:rsidRPr="001B330E" w:rsidRDefault="00D83E33">
            <w:pPr>
              <w:widowControl w:val="0"/>
              <w:jc w:val="center"/>
              <w:rPr>
                <w:spacing w:val="-2"/>
              </w:rPr>
            </w:pPr>
          </w:p>
        </w:tc>
        <w:tc>
          <w:tcPr>
            <w:tcW w:w="576" w:type="pct"/>
            <w:vAlign w:val="bottom"/>
          </w:tcPr>
          <w:p w14:paraId="7609EAB0" w14:textId="77777777" w:rsidR="00D83E33" w:rsidRPr="001B330E" w:rsidRDefault="00D83E33">
            <w:pPr>
              <w:widowControl w:val="0"/>
              <w:jc w:val="center"/>
              <w:rPr>
                <w:spacing w:val="-2"/>
              </w:rPr>
            </w:pPr>
          </w:p>
        </w:tc>
        <w:tc>
          <w:tcPr>
            <w:tcW w:w="576" w:type="pct"/>
            <w:vAlign w:val="bottom"/>
          </w:tcPr>
          <w:p w14:paraId="757D4690"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6209006A"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0E61D753"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5A8E4572"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1C8F30B4" w14:textId="77777777" w:rsidTr="001B330E">
        <w:trPr>
          <w:trHeight w:val="23"/>
        </w:trPr>
        <w:tc>
          <w:tcPr>
            <w:tcW w:w="1545" w:type="pct"/>
            <w:vAlign w:val="bottom"/>
          </w:tcPr>
          <w:p w14:paraId="05E73A57" w14:textId="77777777" w:rsidR="00D83E33" w:rsidRPr="001B330E" w:rsidRDefault="00D83E33" w:rsidP="001B330E">
            <w:pPr>
              <w:widowControl w:val="0"/>
              <w:pBdr>
                <w:top w:val="nil"/>
                <w:left w:val="nil"/>
                <w:bottom w:val="nil"/>
                <w:right w:val="nil"/>
                <w:between w:val="nil"/>
              </w:pBdr>
              <w:ind w:left="113" w:hanging="113"/>
              <w:rPr>
                <w:color w:val="000000"/>
                <w:spacing w:val="-2"/>
              </w:rPr>
            </w:pPr>
          </w:p>
        </w:tc>
        <w:tc>
          <w:tcPr>
            <w:tcW w:w="576" w:type="pct"/>
            <w:vAlign w:val="bottom"/>
          </w:tcPr>
          <w:p w14:paraId="12B5BF33" w14:textId="77777777" w:rsidR="00D83E33" w:rsidRPr="001B330E" w:rsidRDefault="00D83E33">
            <w:pPr>
              <w:widowControl w:val="0"/>
              <w:jc w:val="center"/>
              <w:rPr>
                <w:spacing w:val="-2"/>
              </w:rPr>
            </w:pPr>
          </w:p>
        </w:tc>
        <w:tc>
          <w:tcPr>
            <w:tcW w:w="576" w:type="pct"/>
            <w:vAlign w:val="bottom"/>
          </w:tcPr>
          <w:p w14:paraId="6174C5B7" w14:textId="77777777" w:rsidR="00D83E33" w:rsidRPr="001B330E" w:rsidRDefault="00D83E33">
            <w:pPr>
              <w:widowControl w:val="0"/>
              <w:jc w:val="center"/>
              <w:rPr>
                <w:spacing w:val="-2"/>
              </w:rPr>
            </w:pPr>
          </w:p>
        </w:tc>
        <w:tc>
          <w:tcPr>
            <w:tcW w:w="576" w:type="pct"/>
            <w:vAlign w:val="bottom"/>
          </w:tcPr>
          <w:p w14:paraId="57D1F48A"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2C9F4406"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7501779D"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5456AF48"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3EFB6BFB" w14:textId="77777777" w:rsidTr="001B330E">
        <w:trPr>
          <w:trHeight w:val="23"/>
        </w:trPr>
        <w:tc>
          <w:tcPr>
            <w:tcW w:w="1545" w:type="pct"/>
            <w:vAlign w:val="bottom"/>
          </w:tcPr>
          <w:p w14:paraId="3C4C312C"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Debt securities designated as at FVTPL at initial recognition</w:t>
            </w:r>
          </w:p>
        </w:tc>
        <w:tc>
          <w:tcPr>
            <w:tcW w:w="576" w:type="pct"/>
            <w:vAlign w:val="bottom"/>
          </w:tcPr>
          <w:p w14:paraId="52073F46" w14:textId="77777777" w:rsidR="00D83E33" w:rsidRPr="001B330E" w:rsidRDefault="00D83E33">
            <w:pPr>
              <w:widowControl w:val="0"/>
              <w:jc w:val="center"/>
              <w:rPr>
                <w:spacing w:val="-2"/>
              </w:rPr>
            </w:pPr>
          </w:p>
        </w:tc>
        <w:tc>
          <w:tcPr>
            <w:tcW w:w="576" w:type="pct"/>
            <w:vAlign w:val="bottom"/>
          </w:tcPr>
          <w:p w14:paraId="7B13358C" w14:textId="77777777" w:rsidR="00D83E33" w:rsidRPr="001B330E" w:rsidRDefault="00D83E33">
            <w:pPr>
              <w:widowControl w:val="0"/>
              <w:jc w:val="center"/>
              <w:rPr>
                <w:spacing w:val="-2"/>
              </w:rPr>
            </w:pPr>
          </w:p>
        </w:tc>
        <w:tc>
          <w:tcPr>
            <w:tcW w:w="576" w:type="pct"/>
            <w:vAlign w:val="bottom"/>
          </w:tcPr>
          <w:p w14:paraId="2AFA22E3"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59192F03"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362D6A0C"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074A0DAD"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6AB83D06" w14:textId="77777777" w:rsidTr="001B330E">
        <w:trPr>
          <w:trHeight w:val="23"/>
        </w:trPr>
        <w:tc>
          <w:tcPr>
            <w:tcW w:w="1545" w:type="pct"/>
            <w:vAlign w:val="bottom"/>
          </w:tcPr>
          <w:p w14:paraId="4E6A569F" w14:textId="754C3BFA"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xml:space="preserve">- </w:t>
            </w:r>
            <w:r w:rsidR="00372E26">
              <w:rPr>
                <w:color w:val="000000"/>
                <w:spacing w:val="-2"/>
              </w:rPr>
              <w:t>[Country]</w:t>
            </w:r>
            <w:r w:rsidRPr="001B330E">
              <w:rPr>
                <w:color w:val="000000"/>
                <w:spacing w:val="-2"/>
              </w:rPr>
              <w:t xml:space="preserve"> government bonds</w:t>
            </w:r>
          </w:p>
        </w:tc>
        <w:tc>
          <w:tcPr>
            <w:tcW w:w="576" w:type="pct"/>
            <w:vAlign w:val="bottom"/>
          </w:tcPr>
          <w:p w14:paraId="6089F4D1" w14:textId="77777777" w:rsidR="00D83E33" w:rsidRPr="001B330E" w:rsidRDefault="00D83E33">
            <w:pPr>
              <w:widowControl w:val="0"/>
              <w:jc w:val="center"/>
              <w:rPr>
                <w:spacing w:val="-2"/>
              </w:rPr>
            </w:pPr>
          </w:p>
        </w:tc>
        <w:tc>
          <w:tcPr>
            <w:tcW w:w="576" w:type="pct"/>
            <w:vAlign w:val="bottom"/>
          </w:tcPr>
          <w:p w14:paraId="2781D4B6" w14:textId="77777777" w:rsidR="00D83E33" w:rsidRPr="001B330E" w:rsidRDefault="00D83E33">
            <w:pPr>
              <w:widowControl w:val="0"/>
              <w:jc w:val="center"/>
              <w:rPr>
                <w:spacing w:val="-2"/>
              </w:rPr>
            </w:pPr>
          </w:p>
        </w:tc>
        <w:tc>
          <w:tcPr>
            <w:tcW w:w="576" w:type="pct"/>
            <w:vAlign w:val="bottom"/>
          </w:tcPr>
          <w:p w14:paraId="3ACA1B57"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7687AE8C"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4E4017CF"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0BDE5038"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20C0CBBF" w14:textId="77777777" w:rsidTr="001B330E">
        <w:trPr>
          <w:trHeight w:val="23"/>
        </w:trPr>
        <w:tc>
          <w:tcPr>
            <w:tcW w:w="1545" w:type="pct"/>
            <w:vAlign w:val="bottom"/>
          </w:tcPr>
          <w:p w14:paraId="1B2F80E9"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Municipal bonds</w:t>
            </w:r>
          </w:p>
        </w:tc>
        <w:tc>
          <w:tcPr>
            <w:tcW w:w="576" w:type="pct"/>
            <w:vAlign w:val="bottom"/>
          </w:tcPr>
          <w:p w14:paraId="08711A74" w14:textId="77777777" w:rsidR="00D83E33" w:rsidRPr="001B330E" w:rsidRDefault="00D83E33">
            <w:pPr>
              <w:widowControl w:val="0"/>
              <w:jc w:val="center"/>
              <w:rPr>
                <w:spacing w:val="-2"/>
              </w:rPr>
            </w:pPr>
          </w:p>
        </w:tc>
        <w:tc>
          <w:tcPr>
            <w:tcW w:w="576" w:type="pct"/>
            <w:vAlign w:val="bottom"/>
          </w:tcPr>
          <w:p w14:paraId="76108344" w14:textId="77777777" w:rsidR="00D83E33" w:rsidRPr="001B330E" w:rsidRDefault="00D83E33">
            <w:pPr>
              <w:widowControl w:val="0"/>
              <w:jc w:val="center"/>
              <w:rPr>
                <w:spacing w:val="-2"/>
              </w:rPr>
            </w:pPr>
          </w:p>
        </w:tc>
        <w:tc>
          <w:tcPr>
            <w:tcW w:w="576" w:type="pct"/>
            <w:vAlign w:val="bottom"/>
          </w:tcPr>
          <w:p w14:paraId="7288D192"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05DCB046"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7E6325FF"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3CB5AD29"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47A851E0" w14:textId="77777777" w:rsidTr="001B330E">
        <w:trPr>
          <w:trHeight w:val="23"/>
        </w:trPr>
        <w:tc>
          <w:tcPr>
            <w:tcW w:w="1545" w:type="pct"/>
            <w:vAlign w:val="bottom"/>
          </w:tcPr>
          <w:p w14:paraId="1F552DAA"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Corporate bonds</w:t>
            </w:r>
          </w:p>
        </w:tc>
        <w:tc>
          <w:tcPr>
            <w:tcW w:w="576" w:type="pct"/>
            <w:vAlign w:val="bottom"/>
          </w:tcPr>
          <w:p w14:paraId="21C58CFB" w14:textId="77777777" w:rsidR="00D83E33" w:rsidRPr="001B330E" w:rsidRDefault="00D83E33">
            <w:pPr>
              <w:widowControl w:val="0"/>
              <w:jc w:val="center"/>
              <w:rPr>
                <w:spacing w:val="-2"/>
              </w:rPr>
            </w:pPr>
          </w:p>
        </w:tc>
        <w:tc>
          <w:tcPr>
            <w:tcW w:w="576" w:type="pct"/>
            <w:vAlign w:val="bottom"/>
          </w:tcPr>
          <w:p w14:paraId="32BE31D5" w14:textId="77777777" w:rsidR="00D83E33" w:rsidRPr="001B330E" w:rsidRDefault="00D83E33">
            <w:pPr>
              <w:widowControl w:val="0"/>
              <w:jc w:val="center"/>
              <w:rPr>
                <w:spacing w:val="-2"/>
              </w:rPr>
            </w:pPr>
          </w:p>
        </w:tc>
        <w:tc>
          <w:tcPr>
            <w:tcW w:w="576" w:type="pct"/>
            <w:vAlign w:val="bottom"/>
          </w:tcPr>
          <w:p w14:paraId="458A7825"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6C2FED05"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05A4C0E5"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1C88D035"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6A7DE562" w14:textId="77777777" w:rsidTr="001B330E">
        <w:trPr>
          <w:trHeight w:val="23"/>
        </w:trPr>
        <w:tc>
          <w:tcPr>
            <w:tcW w:w="1545" w:type="pct"/>
            <w:vAlign w:val="bottom"/>
          </w:tcPr>
          <w:p w14:paraId="1F59E94D" w14:textId="303C6229"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 xml:space="preserve">- Promissory notes </w:t>
            </w:r>
          </w:p>
        </w:tc>
        <w:tc>
          <w:tcPr>
            <w:tcW w:w="576" w:type="pct"/>
            <w:vAlign w:val="bottom"/>
          </w:tcPr>
          <w:p w14:paraId="5757EA2A" w14:textId="77777777" w:rsidR="00D83E33" w:rsidRPr="001B330E" w:rsidRDefault="00D83E33">
            <w:pPr>
              <w:widowControl w:val="0"/>
              <w:jc w:val="center"/>
              <w:rPr>
                <w:spacing w:val="-2"/>
              </w:rPr>
            </w:pPr>
          </w:p>
        </w:tc>
        <w:tc>
          <w:tcPr>
            <w:tcW w:w="576" w:type="pct"/>
            <w:vAlign w:val="bottom"/>
          </w:tcPr>
          <w:p w14:paraId="62BF3A20" w14:textId="77777777" w:rsidR="00D83E33" w:rsidRPr="001B330E" w:rsidRDefault="00D83E33">
            <w:pPr>
              <w:widowControl w:val="0"/>
              <w:jc w:val="center"/>
              <w:rPr>
                <w:spacing w:val="-2"/>
              </w:rPr>
            </w:pPr>
          </w:p>
        </w:tc>
        <w:tc>
          <w:tcPr>
            <w:tcW w:w="576" w:type="pct"/>
            <w:vAlign w:val="bottom"/>
          </w:tcPr>
          <w:p w14:paraId="5D25DAE7"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104BC4BC"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vAlign w:val="bottom"/>
          </w:tcPr>
          <w:p w14:paraId="45C71A97"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vAlign w:val="bottom"/>
          </w:tcPr>
          <w:p w14:paraId="0253F8D6"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077F42" w14:paraId="12C9864E" w14:textId="77777777" w:rsidTr="001B330E">
        <w:trPr>
          <w:trHeight w:val="23"/>
        </w:trPr>
        <w:tc>
          <w:tcPr>
            <w:tcW w:w="1545" w:type="pct"/>
            <w:tcBorders>
              <w:bottom w:val="single" w:sz="4" w:space="0" w:color="000000"/>
            </w:tcBorders>
            <w:vAlign w:val="bottom"/>
          </w:tcPr>
          <w:p w14:paraId="7AD5D0EB" w14:textId="77777777" w:rsidR="00D83E33" w:rsidRPr="001B330E" w:rsidRDefault="00D83E33" w:rsidP="001B330E">
            <w:pPr>
              <w:widowControl w:val="0"/>
              <w:pBdr>
                <w:top w:val="nil"/>
                <w:left w:val="nil"/>
                <w:bottom w:val="nil"/>
                <w:right w:val="nil"/>
                <w:between w:val="nil"/>
              </w:pBdr>
              <w:ind w:left="113" w:hanging="113"/>
              <w:rPr>
                <w:color w:val="000000"/>
                <w:spacing w:val="-2"/>
              </w:rPr>
            </w:pPr>
          </w:p>
        </w:tc>
        <w:tc>
          <w:tcPr>
            <w:tcW w:w="576" w:type="pct"/>
            <w:tcBorders>
              <w:bottom w:val="single" w:sz="4" w:space="0" w:color="000000"/>
            </w:tcBorders>
            <w:vAlign w:val="bottom"/>
          </w:tcPr>
          <w:p w14:paraId="77BCC2ED" w14:textId="77777777" w:rsidR="00D83E33" w:rsidRPr="001B330E" w:rsidRDefault="00D83E33">
            <w:pPr>
              <w:widowControl w:val="0"/>
              <w:jc w:val="center"/>
              <w:rPr>
                <w:spacing w:val="-2"/>
              </w:rPr>
            </w:pPr>
          </w:p>
        </w:tc>
        <w:tc>
          <w:tcPr>
            <w:tcW w:w="576" w:type="pct"/>
            <w:tcBorders>
              <w:bottom w:val="single" w:sz="4" w:space="0" w:color="000000"/>
            </w:tcBorders>
            <w:vAlign w:val="bottom"/>
          </w:tcPr>
          <w:p w14:paraId="1F8EEC2B" w14:textId="77777777" w:rsidR="00D83E33" w:rsidRPr="001B330E" w:rsidRDefault="00D83E33">
            <w:pPr>
              <w:widowControl w:val="0"/>
              <w:jc w:val="center"/>
              <w:rPr>
                <w:spacing w:val="-2"/>
              </w:rPr>
            </w:pPr>
          </w:p>
        </w:tc>
        <w:tc>
          <w:tcPr>
            <w:tcW w:w="576" w:type="pct"/>
            <w:tcBorders>
              <w:bottom w:val="single" w:sz="4" w:space="0" w:color="000000"/>
            </w:tcBorders>
            <w:vAlign w:val="bottom"/>
          </w:tcPr>
          <w:p w14:paraId="49070104"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tcBorders>
              <w:bottom w:val="single" w:sz="4" w:space="0" w:color="000000"/>
            </w:tcBorders>
            <w:vAlign w:val="bottom"/>
          </w:tcPr>
          <w:p w14:paraId="2CBED6AA" w14:textId="77777777" w:rsidR="00D83E33" w:rsidRPr="001B330E" w:rsidRDefault="00D83E33">
            <w:pPr>
              <w:widowControl w:val="0"/>
              <w:pBdr>
                <w:top w:val="nil"/>
                <w:left w:val="nil"/>
                <w:bottom w:val="nil"/>
                <w:right w:val="nil"/>
                <w:between w:val="nil"/>
              </w:pBdr>
              <w:jc w:val="right"/>
              <w:rPr>
                <w:color w:val="000000"/>
                <w:spacing w:val="-2"/>
              </w:rPr>
            </w:pPr>
          </w:p>
        </w:tc>
        <w:tc>
          <w:tcPr>
            <w:tcW w:w="576" w:type="pct"/>
            <w:tcBorders>
              <w:bottom w:val="single" w:sz="4" w:space="0" w:color="000000"/>
            </w:tcBorders>
            <w:vAlign w:val="bottom"/>
          </w:tcPr>
          <w:p w14:paraId="303DF3ED" w14:textId="77777777" w:rsidR="00D83E33" w:rsidRPr="001B330E" w:rsidRDefault="00D83E33">
            <w:pPr>
              <w:widowControl w:val="0"/>
              <w:pBdr>
                <w:top w:val="nil"/>
                <w:left w:val="nil"/>
                <w:bottom w:val="nil"/>
                <w:right w:val="nil"/>
                <w:between w:val="nil"/>
              </w:pBdr>
              <w:jc w:val="right"/>
              <w:rPr>
                <w:color w:val="000000"/>
                <w:spacing w:val="-2"/>
              </w:rPr>
            </w:pPr>
          </w:p>
        </w:tc>
        <w:tc>
          <w:tcPr>
            <w:tcW w:w="575" w:type="pct"/>
            <w:tcBorders>
              <w:bottom w:val="single" w:sz="4" w:space="0" w:color="000000"/>
            </w:tcBorders>
            <w:vAlign w:val="bottom"/>
          </w:tcPr>
          <w:p w14:paraId="53C39F77" w14:textId="77777777" w:rsidR="00D83E33" w:rsidRPr="001B330E" w:rsidRDefault="00D83E33">
            <w:pPr>
              <w:widowControl w:val="0"/>
              <w:pBdr>
                <w:top w:val="nil"/>
                <w:left w:val="nil"/>
                <w:bottom w:val="nil"/>
                <w:right w:val="nil"/>
                <w:between w:val="nil"/>
              </w:pBdr>
              <w:jc w:val="right"/>
              <w:rPr>
                <w:color w:val="000000"/>
                <w:spacing w:val="-2"/>
              </w:rPr>
            </w:pPr>
          </w:p>
        </w:tc>
      </w:tr>
    </w:tbl>
    <w:p w14:paraId="58320B4B" w14:textId="003CBD7A" w:rsidR="00D83E33" w:rsidRDefault="00BC4072" w:rsidP="001B330E">
      <w:pPr>
        <w:pStyle w:val="Continued"/>
      </w:pPr>
      <w:r>
        <w:lastRenderedPageBreak/>
        <w:t>47</w:t>
      </w:r>
      <w:r>
        <w:tab/>
        <w:t>Transfers of Financial Assets (Continued)</w:t>
      </w:r>
    </w:p>
    <w:tbl>
      <w:tblPr>
        <w:tblStyle w:val="afffffffffffffff8"/>
        <w:tblW w:w="5000" w:type="pct"/>
        <w:tblLayout w:type="fixed"/>
        <w:tblLook w:val="0000" w:firstRow="0" w:lastRow="0" w:firstColumn="0" w:lastColumn="0" w:noHBand="0" w:noVBand="0"/>
      </w:tblPr>
      <w:tblGrid>
        <w:gridCol w:w="2890"/>
        <w:gridCol w:w="1077"/>
        <w:gridCol w:w="1078"/>
        <w:gridCol w:w="1078"/>
        <w:gridCol w:w="1078"/>
        <w:gridCol w:w="1078"/>
        <w:gridCol w:w="1076"/>
      </w:tblGrid>
      <w:tr w:rsidR="00D83E33" w:rsidRPr="00EA10CF" w14:paraId="27B6587C" w14:textId="77777777" w:rsidTr="001B330E">
        <w:trPr>
          <w:trHeight w:val="23"/>
        </w:trPr>
        <w:tc>
          <w:tcPr>
            <w:tcW w:w="1545" w:type="pct"/>
            <w:vAlign w:val="bottom"/>
          </w:tcPr>
          <w:p w14:paraId="12E8157D" w14:textId="77777777" w:rsidR="00D83E33" w:rsidRPr="00EA10CF" w:rsidRDefault="00D83E33" w:rsidP="001B330E">
            <w:pPr>
              <w:widowControl w:val="0"/>
              <w:ind w:left="113" w:hanging="113"/>
              <w:rPr>
                <w:b/>
              </w:rPr>
            </w:pPr>
          </w:p>
        </w:tc>
        <w:tc>
          <w:tcPr>
            <w:tcW w:w="1728" w:type="pct"/>
            <w:gridSpan w:val="3"/>
            <w:tcBorders>
              <w:bottom w:val="single" w:sz="4" w:space="0" w:color="000000"/>
            </w:tcBorders>
            <w:vAlign w:val="bottom"/>
          </w:tcPr>
          <w:p w14:paraId="6C8D1CB2" w14:textId="447360FD" w:rsidR="00D83E33" w:rsidRPr="00EA10CF" w:rsidRDefault="00BC4072">
            <w:pPr>
              <w:widowControl w:val="0"/>
              <w:pBdr>
                <w:top w:val="nil"/>
                <w:left w:val="nil"/>
                <w:bottom w:val="nil"/>
                <w:right w:val="nil"/>
                <w:between w:val="nil"/>
              </w:pBdr>
              <w:jc w:val="center"/>
              <w:rPr>
                <w:color w:val="000000"/>
              </w:rPr>
            </w:pPr>
            <w:r w:rsidRPr="00EA10CF">
              <w:rPr>
                <w:b/>
                <w:color w:val="000000"/>
              </w:rPr>
              <w:t>31</w:t>
            </w:r>
            <w:r w:rsidR="00181687">
              <w:rPr>
                <w:b/>
                <w:color w:val="000000"/>
              </w:rPr>
              <w:t> December </w:t>
            </w:r>
            <w:r w:rsidR="00541EBC">
              <w:rPr>
                <w:b/>
                <w:color w:val="000000"/>
              </w:rPr>
              <w:t>2024</w:t>
            </w:r>
          </w:p>
        </w:tc>
        <w:tc>
          <w:tcPr>
            <w:tcW w:w="1727" w:type="pct"/>
            <w:gridSpan w:val="3"/>
            <w:tcBorders>
              <w:bottom w:val="single" w:sz="4" w:space="0" w:color="000000"/>
            </w:tcBorders>
            <w:vAlign w:val="bottom"/>
          </w:tcPr>
          <w:p w14:paraId="7C92D305" w14:textId="195CAFF7" w:rsidR="00D83E33" w:rsidRPr="00EA10CF" w:rsidRDefault="00BC4072">
            <w:pPr>
              <w:widowControl w:val="0"/>
              <w:pBdr>
                <w:top w:val="nil"/>
                <w:left w:val="nil"/>
                <w:bottom w:val="nil"/>
                <w:right w:val="nil"/>
                <w:between w:val="nil"/>
              </w:pBdr>
              <w:jc w:val="center"/>
              <w:rPr>
                <w:color w:val="000000"/>
              </w:rPr>
            </w:pPr>
            <w:r w:rsidRPr="00EA10CF">
              <w:rPr>
                <w:b/>
                <w:color w:val="000000"/>
              </w:rPr>
              <w:t>31</w:t>
            </w:r>
            <w:r w:rsidR="00181687">
              <w:rPr>
                <w:b/>
                <w:color w:val="000000"/>
              </w:rPr>
              <w:t> December </w:t>
            </w:r>
            <w:r w:rsidR="00541EBC">
              <w:rPr>
                <w:b/>
                <w:color w:val="000000"/>
              </w:rPr>
              <w:t>2023</w:t>
            </w:r>
          </w:p>
        </w:tc>
      </w:tr>
      <w:tr w:rsidR="00D83E33" w:rsidRPr="00EA10CF" w14:paraId="0F144EB7" w14:textId="77777777" w:rsidTr="001B330E">
        <w:trPr>
          <w:trHeight w:val="23"/>
        </w:trPr>
        <w:tc>
          <w:tcPr>
            <w:tcW w:w="1545" w:type="pct"/>
            <w:tcBorders>
              <w:bottom w:val="single" w:sz="4" w:space="0" w:color="000000"/>
            </w:tcBorders>
            <w:vAlign w:val="bottom"/>
          </w:tcPr>
          <w:p w14:paraId="196D55A8" w14:textId="662DF38E" w:rsidR="00D83E33" w:rsidRPr="00EA10CF"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576" w:type="pct"/>
            <w:tcBorders>
              <w:top w:val="single" w:sz="4" w:space="0" w:color="000000"/>
              <w:bottom w:val="single" w:sz="4" w:space="0" w:color="000000"/>
            </w:tcBorders>
          </w:tcPr>
          <w:p w14:paraId="127BC1E2"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Fair value of the assets at year end</w:t>
            </w:r>
          </w:p>
        </w:tc>
        <w:tc>
          <w:tcPr>
            <w:tcW w:w="576" w:type="pct"/>
            <w:tcBorders>
              <w:top w:val="single" w:sz="4" w:space="0" w:color="000000"/>
              <w:bottom w:val="single" w:sz="4" w:space="0" w:color="000000"/>
            </w:tcBorders>
          </w:tcPr>
          <w:p w14:paraId="30C9C941"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Fair value of the associated liabilities</w:t>
            </w:r>
          </w:p>
        </w:tc>
        <w:tc>
          <w:tcPr>
            <w:tcW w:w="576" w:type="pct"/>
            <w:tcBorders>
              <w:top w:val="single" w:sz="4" w:space="0" w:color="000000"/>
              <w:bottom w:val="single" w:sz="4" w:space="0" w:color="000000"/>
            </w:tcBorders>
          </w:tcPr>
          <w:p w14:paraId="483A8766"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Net position</w:t>
            </w:r>
          </w:p>
        </w:tc>
        <w:tc>
          <w:tcPr>
            <w:tcW w:w="576" w:type="pct"/>
            <w:tcBorders>
              <w:top w:val="single" w:sz="4" w:space="0" w:color="000000"/>
              <w:bottom w:val="single" w:sz="4" w:space="0" w:color="000000"/>
            </w:tcBorders>
          </w:tcPr>
          <w:p w14:paraId="08692428"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Fair value of the assets at year end</w:t>
            </w:r>
          </w:p>
        </w:tc>
        <w:tc>
          <w:tcPr>
            <w:tcW w:w="576" w:type="pct"/>
            <w:tcBorders>
              <w:top w:val="single" w:sz="4" w:space="0" w:color="000000"/>
              <w:bottom w:val="single" w:sz="4" w:space="0" w:color="000000"/>
            </w:tcBorders>
          </w:tcPr>
          <w:p w14:paraId="449CCCAD"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Fair value of the associated liabilities</w:t>
            </w:r>
          </w:p>
        </w:tc>
        <w:tc>
          <w:tcPr>
            <w:tcW w:w="575" w:type="pct"/>
            <w:tcBorders>
              <w:top w:val="single" w:sz="4" w:space="0" w:color="000000"/>
              <w:bottom w:val="single" w:sz="4" w:space="0" w:color="000000"/>
            </w:tcBorders>
          </w:tcPr>
          <w:p w14:paraId="4E64E0E3"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Net position</w:t>
            </w:r>
          </w:p>
        </w:tc>
      </w:tr>
      <w:tr w:rsidR="00D83E33" w:rsidRPr="00EA10CF" w14:paraId="7946FCC8" w14:textId="77777777" w:rsidTr="001B330E">
        <w:trPr>
          <w:trHeight w:val="23"/>
        </w:trPr>
        <w:tc>
          <w:tcPr>
            <w:tcW w:w="1545" w:type="pct"/>
            <w:vAlign w:val="bottom"/>
          </w:tcPr>
          <w:p w14:paraId="191C8BB0"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6" w:type="pct"/>
            <w:vAlign w:val="bottom"/>
          </w:tcPr>
          <w:p w14:paraId="7727A42B" w14:textId="77777777" w:rsidR="00D83E33" w:rsidRPr="00EA10CF" w:rsidRDefault="00D83E33">
            <w:pPr>
              <w:widowControl w:val="0"/>
              <w:jc w:val="center"/>
            </w:pPr>
          </w:p>
        </w:tc>
        <w:tc>
          <w:tcPr>
            <w:tcW w:w="576" w:type="pct"/>
            <w:vAlign w:val="bottom"/>
          </w:tcPr>
          <w:p w14:paraId="46D1FF88" w14:textId="77777777" w:rsidR="00D83E33" w:rsidRPr="00EA10CF" w:rsidRDefault="00D83E33">
            <w:pPr>
              <w:widowControl w:val="0"/>
              <w:jc w:val="center"/>
            </w:pPr>
          </w:p>
        </w:tc>
        <w:tc>
          <w:tcPr>
            <w:tcW w:w="576" w:type="pct"/>
            <w:vAlign w:val="bottom"/>
          </w:tcPr>
          <w:p w14:paraId="0144CC4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75D0799"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6F94994"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3488A5A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F9B11EF" w14:textId="77777777" w:rsidTr="001B330E">
        <w:trPr>
          <w:trHeight w:val="23"/>
        </w:trPr>
        <w:tc>
          <w:tcPr>
            <w:tcW w:w="1545" w:type="pct"/>
            <w:vAlign w:val="bottom"/>
          </w:tcPr>
          <w:p w14:paraId="335C890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at FVOCI</w:t>
            </w:r>
          </w:p>
        </w:tc>
        <w:tc>
          <w:tcPr>
            <w:tcW w:w="576" w:type="pct"/>
            <w:vAlign w:val="bottom"/>
          </w:tcPr>
          <w:p w14:paraId="0002B66E" w14:textId="77777777" w:rsidR="00D83E33" w:rsidRPr="00EA10CF" w:rsidRDefault="00D83E33">
            <w:pPr>
              <w:widowControl w:val="0"/>
              <w:jc w:val="center"/>
            </w:pPr>
          </w:p>
        </w:tc>
        <w:tc>
          <w:tcPr>
            <w:tcW w:w="576" w:type="pct"/>
            <w:vAlign w:val="bottom"/>
          </w:tcPr>
          <w:p w14:paraId="031D535C" w14:textId="77777777" w:rsidR="00D83E33" w:rsidRPr="00EA10CF" w:rsidRDefault="00D83E33">
            <w:pPr>
              <w:widowControl w:val="0"/>
              <w:jc w:val="center"/>
            </w:pPr>
          </w:p>
        </w:tc>
        <w:tc>
          <w:tcPr>
            <w:tcW w:w="576" w:type="pct"/>
            <w:vAlign w:val="bottom"/>
          </w:tcPr>
          <w:p w14:paraId="1713A92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84CC50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42EC9EC"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20547A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B66C0AA" w14:textId="77777777" w:rsidTr="001B330E">
        <w:trPr>
          <w:trHeight w:val="23"/>
        </w:trPr>
        <w:tc>
          <w:tcPr>
            <w:tcW w:w="1545" w:type="pct"/>
            <w:vAlign w:val="bottom"/>
          </w:tcPr>
          <w:p w14:paraId="0B0BDB43" w14:textId="08A5DC23"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w:t>
            </w:r>
            <w:r w:rsidR="00372E26">
              <w:rPr>
                <w:color w:val="000000"/>
              </w:rPr>
              <w:t>[Country]</w:t>
            </w:r>
            <w:r w:rsidRPr="00EA10CF">
              <w:rPr>
                <w:color w:val="000000"/>
              </w:rPr>
              <w:t xml:space="preserve"> government bonds</w:t>
            </w:r>
          </w:p>
        </w:tc>
        <w:tc>
          <w:tcPr>
            <w:tcW w:w="576" w:type="pct"/>
            <w:vAlign w:val="bottom"/>
          </w:tcPr>
          <w:p w14:paraId="60E76038" w14:textId="77777777" w:rsidR="00D83E33" w:rsidRPr="00EA10CF" w:rsidRDefault="00D83E33">
            <w:pPr>
              <w:widowControl w:val="0"/>
              <w:jc w:val="center"/>
            </w:pPr>
          </w:p>
        </w:tc>
        <w:tc>
          <w:tcPr>
            <w:tcW w:w="576" w:type="pct"/>
            <w:vAlign w:val="bottom"/>
          </w:tcPr>
          <w:p w14:paraId="27633E1B" w14:textId="77777777" w:rsidR="00D83E33" w:rsidRPr="00EA10CF" w:rsidRDefault="00D83E33">
            <w:pPr>
              <w:widowControl w:val="0"/>
              <w:jc w:val="center"/>
            </w:pPr>
          </w:p>
        </w:tc>
        <w:tc>
          <w:tcPr>
            <w:tcW w:w="576" w:type="pct"/>
            <w:vAlign w:val="bottom"/>
          </w:tcPr>
          <w:p w14:paraId="25524BA8"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12D283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C6C00E6"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66B3F4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81B62C4" w14:textId="77777777" w:rsidTr="001B330E">
        <w:trPr>
          <w:trHeight w:val="23"/>
        </w:trPr>
        <w:tc>
          <w:tcPr>
            <w:tcW w:w="1545" w:type="pct"/>
            <w:vAlign w:val="bottom"/>
          </w:tcPr>
          <w:p w14:paraId="3B81E916"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Municipal bonds</w:t>
            </w:r>
          </w:p>
        </w:tc>
        <w:tc>
          <w:tcPr>
            <w:tcW w:w="576" w:type="pct"/>
            <w:vAlign w:val="bottom"/>
          </w:tcPr>
          <w:p w14:paraId="01D7CCA2" w14:textId="77777777" w:rsidR="00D83E33" w:rsidRPr="00EA10CF" w:rsidRDefault="00D83E33">
            <w:pPr>
              <w:widowControl w:val="0"/>
              <w:jc w:val="center"/>
            </w:pPr>
          </w:p>
        </w:tc>
        <w:tc>
          <w:tcPr>
            <w:tcW w:w="576" w:type="pct"/>
            <w:vAlign w:val="bottom"/>
          </w:tcPr>
          <w:p w14:paraId="4ED21BF2" w14:textId="77777777" w:rsidR="00D83E33" w:rsidRPr="00EA10CF" w:rsidRDefault="00D83E33">
            <w:pPr>
              <w:widowControl w:val="0"/>
              <w:jc w:val="center"/>
            </w:pPr>
          </w:p>
        </w:tc>
        <w:tc>
          <w:tcPr>
            <w:tcW w:w="576" w:type="pct"/>
            <w:vAlign w:val="bottom"/>
          </w:tcPr>
          <w:p w14:paraId="6D86FC7D"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E9135A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3C342D2"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04E74A5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2D1ED74" w14:textId="77777777" w:rsidTr="001B330E">
        <w:trPr>
          <w:trHeight w:val="23"/>
        </w:trPr>
        <w:tc>
          <w:tcPr>
            <w:tcW w:w="1545" w:type="pct"/>
            <w:vAlign w:val="bottom"/>
          </w:tcPr>
          <w:p w14:paraId="0DA8C26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Corporate bonds</w:t>
            </w:r>
          </w:p>
        </w:tc>
        <w:tc>
          <w:tcPr>
            <w:tcW w:w="576" w:type="pct"/>
            <w:vAlign w:val="bottom"/>
          </w:tcPr>
          <w:p w14:paraId="1E36FB61" w14:textId="77777777" w:rsidR="00D83E33" w:rsidRPr="00EA10CF" w:rsidRDefault="00D83E33">
            <w:pPr>
              <w:widowControl w:val="0"/>
              <w:jc w:val="center"/>
            </w:pPr>
          </w:p>
        </w:tc>
        <w:tc>
          <w:tcPr>
            <w:tcW w:w="576" w:type="pct"/>
            <w:vAlign w:val="bottom"/>
          </w:tcPr>
          <w:p w14:paraId="3E568BC9" w14:textId="77777777" w:rsidR="00D83E33" w:rsidRPr="00EA10CF" w:rsidRDefault="00D83E33">
            <w:pPr>
              <w:widowControl w:val="0"/>
              <w:jc w:val="center"/>
            </w:pPr>
          </w:p>
        </w:tc>
        <w:tc>
          <w:tcPr>
            <w:tcW w:w="576" w:type="pct"/>
            <w:vAlign w:val="bottom"/>
          </w:tcPr>
          <w:p w14:paraId="193D65C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37743C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16F64F5"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980F20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8AFCB9E" w14:textId="77777777" w:rsidTr="001B330E">
        <w:trPr>
          <w:trHeight w:val="23"/>
        </w:trPr>
        <w:tc>
          <w:tcPr>
            <w:tcW w:w="1545" w:type="pct"/>
            <w:vAlign w:val="bottom"/>
          </w:tcPr>
          <w:p w14:paraId="0A8F5F19" w14:textId="178E8D1F"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Promissory notes </w:t>
            </w:r>
          </w:p>
        </w:tc>
        <w:tc>
          <w:tcPr>
            <w:tcW w:w="576" w:type="pct"/>
            <w:vAlign w:val="bottom"/>
          </w:tcPr>
          <w:p w14:paraId="39400166" w14:textId="77777777" w:rsidR="00D83E33" w:rsidRPr="00EA10CF" w:rsidRDefault="00D83E33">
            <w:pPr>
              <w:widowControl w:val="0"/>
              <w:jc w:val="center"/>
            </w:pPr>
          </w:p>
        </w:tc>
        <w:tc>
          <w:tcPr>
            <w:tcW w:w="576" w:type="pct"/>
            <w:vAlign w:val="bottom"/>
          </w:tcPr>
          <w:p w14:paraId="67826C2F" w14:textId="77777777" w:rsidR="00D83E33" w:rsidRPr="00EA10CF" w:rsidRDefault="00D83E33">
            <w:pPr>
              <w:widowControl w:val="0"/>
              <w:jc w:val="center"/>
            </w:pPr>
          </w:p>
        </w:tc>
        <w:tc>
          <w:tcPr>
            <w:tcW w:w="576" w:type="pct"/>
            <w:vAlign w:val="bottom"/>
          </w:tcPr>
          <w:p w14:paraId="117D47E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E3B3F6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1FD3DC0"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3B36999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A5F2052" w14:textId="77777777" w:rsidTr="001B330E">
        <w:trPr>
          <w:trHeight w:val="23"/>
        </w:trPr>
        <w:tc>
          <w:tcPr>
            <w:tcW w:w="1545" w:type="pct"/>
            <w:vAlign w:val="bottom"/>
          </w:tcPr>
          <w:p w14:paraId="4B232CFC"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6" w:type="pct"/>
            <w:vAlign w:val="bottom"/>
          </w:tcPr>
          <w:p w14:paraId="1F81AF6B" w14:textId="77777777" w:rsidR="00D83E33" w:rsidRPr="00EA10CF" w:rsidRDefault="00D83E33">
            <w:pPr>
              <w:widowControl w:val="0"/>
              <w:jc w:val="center"/>
            </w:pPr>
          </w:p>
        </w:tc>
        <w:tc>
          <w:tcPr>
            <w:tcW w:w="576" w:type="pct"/>
            <w:vAlign w:val="bottom"/>
          </w:tcPr>
          <w:p w14:paraId="4D33569D" w14:textId="77777777" w:rsidR="00D83E33" w:rsidRPr="00EA10CF" w:rsidRDefault="00D83E33">
            <w:pPr>
              <w:widowControl w:val="0"/>
              <w:jc w:val="center"/>
            </w:pPr>
          </w:p>
        </w:tc>
        <w:tc>
          <w:tcPr>
            <w:tcW w:w="576" w:type="pct"/>
            <w:vAlign w:val="bottom"/>
          </w:tcPr>
          <w:p w14:paraId="458EAE7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DC7AE27"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070B402"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3EB6802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7528FB4" w14:textId="77777777" w:rsidTr="001B330E">
        <w:trPr>
          <w:trHeight w:val="23"/>
        </w:trPr>
        <w:tc>
          <w:tcPr>
            <w:tcW w:w="1545" w:type="pct"/>
            <w:vAlign w:val="bottom"/>
          </w:tcPr>
          <w:p w14:paraId="2E67E6E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Debt securities at AC</w:t>
            </w:r>
          </w:p>
        </w:tc>
        <w:tc>
          <w:tcPr>
            <w:tcW w:w="576" w:type="pct"/>
            <w:vAlign w:val="bottom"/>
          </w:tcPr>
          <w:p w14:paraId="6312AC65" w14:textId="77777777" w:rsidR="00D83E33" w:rsidRPr="00EA10CF" w:rsidRDefault="00D83E33">
            <w:pPr>
              <w:widowControl w:val="0"/>
              <w:jc w:val="center"/>
            </w:pPr>
          </w:p>
        </w:tc>
        <w:tc>
          <w:tcPr>
            <w:tcW w:w="576" w:type="pct"/>
            <w:vAlign w:val="bottom"/>
          </w:tcPr>
          <w:p w14:paraId="5E6C9587" w14:textId="77777777" w:rsidR="00D83E33" w:rsidRPr="00EA10CF" w:rsidRDefault="00D83E33">
            <w:pPr>
              <w:widowControl w:val="0"/>
              <w:jc w:val="center"/>
            </w:pPr>
          </w:p>
        </w:tc>
        <w:tc>
          <w:tcPr>
            <w:tcW w:w="576" w:type="pct"/>
            <w:vAlign w:val="bottom"/>
          </w:tcPr>
          <w:p w14:paraId="06B13908"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7E5AB57"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0EB14BB"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587018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0A2A46D" w14:textId="77777777" w:rsidTr="001B330E">
        <w:trPr>
          <w:trHeight w:val="23"/>
        </w:trPr>
        <w:tc>
          <w:tcPr>
            <w:tcW w:w="1545" w:type="pct"/>
            <w:vAlign w:val="bottom"/>
          </w:tcPr>
          <w:p w14:paraId="155FC961" w14:textId="5DFAD6FF"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w:t>
            </w:r>
            <w:r w:rsidR="00372E26">
              <w:rPr>
                <w:color w:val="000000"/>
              </w:rPr>
              <w:t>[Country]</w:t>
            </w:r>
            <w:r w:rsidRPr="00EA10CF">
              <w:rPr>
                <w:color w:val="000000"/>
              </w:rPr>
              <w:t xml:space="preserve"> government bonds</w:t>
            </w:r>
          </w:p>
        </w:tc>
        <w:tc>
          <w:tcPr>
            <w:tcW w:w="576" w:type="pct"/>
            <w:vAlign w:val="bottom"/>
          </w:tcPr>
          <w:p w14:paraId="16BD51AD" w14:textId="77777777" w:rsidR="00D83E33" w:rsidRPr="00EA10CF" w:rsidRDefault="00D83E33">
            <w:pPr>
              <w:widowControl w:val="0"/>
              <w:jc w:val="center"/>
            </w:pPr>
          </w:p>
        </w:tc>
        <w:tc>
          <w:tcPr>
            <w:tcW w:w="576" w:type="pct"/>
            <w:vAlign w:val="bottom"/>
          </w:tcPr>
          <w:p w14:paraId="77F31F9A" w14:textId="77777777" w:rsidR="00D83E33" w:rsidRPr="00EA10CF" w:rsidRDefault="00D83E33">
            <w:pPr>
              <w:widowControl w:val="0"/>
              <w:jc w:val="center"/>
            </w:pPr>
          </w:p>
        </w:tc>
        <w:tc>
          <w:tcPr>
            <w:tcW w:w="576" w:type="pct"/>
            <w:vAlign w:val="bottom"/>
          </w:tcPr>
          <w:p w14:paraId="45105B4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F8A378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4808771"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21D8AE4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5B87CDB" w14:textId="77777777" w:rsidTr="001B330E">
        <w:trPr>
          <w:trHeight w:val="23"/>
        </w:trPr>
        <w:tc>
          <w:tcPr>
            <w:tcW w:w="1545" w:type="pct"/>
            <w:vAlign w:val="bottom"/>
          </w:tcPr>
          <w:p w14:paraId="7C63164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Municipal bonds</w:t>
            </w:r>
          </w:p>
        </w:tc>
        <w:tc>
          <w:tcPr>
            <w:tcW w:w="576" w:type="pct"/>
            <w:vAlign w:val="bottom"/>
          </w:tcPr>
          <w:p w14:paraId="005A2A1D" w14:textId="77777777" w:rsidR="00D83E33" w:rsidRPr="00EA10CF" w:rsidRDefault="00D83E33">
            <w:pPr>
              <w:widowControl w:val="0"/>
              <w:jc w:val="center"/>
            </w:pPr>
          </w:p>
        </w:tc>
        <w:tc>
          <w:tcPr>
            <w:tcW w:w="576" w:type="pct"/>
            <w:vAlign w:val="bottom"/>
          </w:tcPr>
          <w:p w14:paraId="1E0E544F" w14:textId="77777777" w:rsidR="00D83E33" w:rsidRPr="00EA10CF" w:rsidRDefault="00D83E33">
            <w:pPr>
              <w:widowControl w:val="0"/>
              <w:jc w:val="center"/>
            </w:pPr>
          </w:p>
        </w:tc>
        <w:tc>
          <w:tcPr>
            <w:tcW w:w="576" w:type="pct"/>
            <w:vAlign w:val="bottom"/>
          </w:tcPr>
          <w:p w14:paraId="26C50FE7"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0FFD16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11251DD"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6DB4A2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D6CEC47" w14:textId="77777777" w:rsidTr="001B330E">
        <w:trPr>
          <w:trHeight w:val="23"/>
        </w:trPr>
        <w:tc>
          <w:tcPr>
            <w:tcW w:w="1545" w:type="pct"/>
            <w:vAlign w:val="bottom"/>
          </w:tcPr>
          <w:p w14:paraId="019AAA5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Corporate bonds</w:t>
            </w:r>
          </w:p>
        </w:tc>
        <w:tc>
          <w:tcPr>
            <w:tcW w:w="576" w:type="pct"/>
            <w:vAlign w:val="bottom"/>
          </w:tcPr>
          <w:p w14:paraId="25866C3B" w14:textId="77777777" w:rsidR="00D83E33" w:rsidRPr="00EA10CF" w:rsidRDefault="00D83E33">
            <w:pPr>
              <w:widowControl w:val="0"/>
              <w:jc w:val="center"/>
            </w:pPr>
          </w:p>
        </w:tc>
        <w:tc>
          <w:tcPr>
            <w:tcW w:w="576" w:type="pct"/>
            <w:vAlign w:val="bottom"/>
          </w:tcPr>
          <w:p w14:paraId="30F2E0FD" w14:textId="77777777" w:rsidR="00D83E33" w:rsidRPr="00EA10CF" w:rsidRDefault="00D83E33">
            <w:pPr>
              <w:widowControl w:val="0"/>
              <w:jc w:val="center"/>
            </w:pPr>
          </w:p>
        </w:tc>
        <w:tc>
          <w:tcPr>
            <w:tcW w:w="576" w:type="pct"/>
            <w:vAlign w:val="bottom"/>
          </w:tcPr>
          <w:p w14:paraId="70AE08C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F94ECEA"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F51AB0A"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2B1B9D4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6DACC8F" w14:textId="77777777" w:rsidTr="001B330E">
        <w:trPr>
          <w:trHeight w:val="23"/>
        </w:trPr>
        <w:tc>
          <w:tcPr>
            <w:tcW w:w="1545" w:type="pct"/>
            <w:vAlign w:val="bottom"/>
          </w:tcPr>
          <w:p w14:paraId="36B150F0" w14:textId="52C8AA03"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Promissory notes </w:t>
            </w:r>
          </w:p>
        </w:tc>
        <w:tc>
          <w:tcPr>
            <w:tcW w:w="576" w:type="pct"/>
            <w:vAlign w:val="bottom"/>
          </w:tcPr>
          <w:p w14:paraId="4B7AC54D" w14:textId="77777777" w:rsidR="00D83E33" w:rsidRPr="00EA10CF" w:rsidRDefault="00D83E33">
            <w:pPr>
              <w:widowControl w:val="0"/>
              <w:jc w:val="center"/>
            </w:pPr>
          </w:p>
        </w:tc>
        <w:tc>
          <w:tcPr>
            <w:tcW w:w="576" w:type="pct"/>
            <w:vAlign w:val="bottom"/>
          </w:tcPr>
          <w:p w14:paraId="3FF00B11" w14:textId="77777777" w:rsidR="00D83E33" w:rsidRPr="00EA10CF" w:rsidRDefault="00D83E33">
            <w:pPr>
              <w:widowControl w:val="0"/>
              <w:jc w:val="center"/>
            </w:pPr>
          </w:p>
        </w:tc>
        <w:tc>
          <w:tcPr>
            <w:tcW w:w="576" w:type="pct"/>
            <w:vAlign w:val="bottom"/>
          </w:tcPr>
          <w:p w14:paraId="76E55AD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7DA2DB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8189008"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115A78D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011AE6" w14:textId="77777777" w:rsidTr="001B330E">
        <w:trPr>
          <w:trHeight w:val="23"/>
        </w:trPr>
        <w:tc>
          <w:tcPr>
            <w:tcW w:w="1545" w:type="pct"/>
            <w:vAlign w:val="bottom"/>
          </w:tcPr>
          <w:p w14:paraId="22E67ED7"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6" w:type="pct"/>
            <w:vAlign w:val="bottom"/>
          </w:tcPr>
          <w:p w14:paraId="7F9CBF5D" w14:textId="77777777" w:rsidR="00D83E33" w:rsidRPr="00EA10CF" w:rsidRDefault="00D83E33">
            <w:pPr>
              <w:widowControl w:val="0"/>
              <w:jc w:val="center"/>
            </w:pPr>
          </w:p>
        </w:tc>
        <w:tc>
          <w:tcPr>
            <w:tcW w:w="576" w:type="pct"/>
            <w:vAlign w:val="bottom"/>
          </w:tcPr>
          <w:p w14:paraId="3B665B01" w14:textId="77777777" w:rsidR="00D83E33" w:rsidRPr="00EA10CF" w:rsidRDefault="00D83E33">
            <w:pPr>
              <w:widowControl w:val="0"/>
              <w:jc w:val="center"/>
            </w:pPr>
          </w:p>
        </w:tc>
        <w:tc>
          <w:tcPr>
            <w:tcW w:w="576" w:type="pct"/>
            <w:vAlign w:val="bottom"/>
          </w:tcPr>
          <w:p w14:paraId="60BE17E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7A7808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FFBDC04"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2C347F3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729DCD2" w14:textId="77777777" w:rsidTr="001B330E">
        <w:trPr>
          <w:trHeight w:val="23"/>
        </w:trPr>
        <w:tc>
          <w:tcPr>
            <w:tcW w:w="1545" w:type="pct"/>
            <w:vAlign w:val="bottom"/>
          </w:tcPr>
          <w:p w14:paraId="4671D30E"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Equity securities mandatorily measured at FVTPL</w:t>
            </w:r>
          </w:p>
        </w:tc>
        <w:tc>
          <w:tcPr>
            <w:tcW w:w="576" w:type="pct"/>
            <w:vAlign w:val="bottom"/>
          </w:tcPr>
          <w:p w14:paraId="17BA9056" w14:textId="77777777" w:rsidR="00D83E33" w:rsidRPr="00EA10CF" w:rsidRDefault="00D83E33">
            <w:pPr>
              <w:widowControl w:val="0"/>
              <w:jc w:val="center"/>
            </w:pPr>
          </w:p>
        </w:tc>
        <w:tc>
          <w:tcPr>
            <w:tcW w:w="576" w:type="pct"/>
            <w:vAlign w:val="bottom"/>
          </w:tcPr>
          <w:p w14:paraId="6B3FFB52" w14:textId="77777777" w:rsidR="00D83E33" w:rsidRPr="00EA10CF" w:rsidRDefault="00D83E33">
            <w:pPr>
              <w:widowControl w:val="0"/>
              <w:jc w:val="center"/>
            </w:pPr>
          </w:p>
        </w:tc>
        <w:tc>
          <w:tcPr>
            <w:tcW w:w="576" w:type="pct"/>
            <w:vAlign w:val="bottom"/>
          </w:tcPr>
          <w:p w14:paraId="10996EF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9424B59"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F5184D4"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6561774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F40C310" w14:textId="77777777" w:rsidTr="001B330E">
        <w:trPr>
          <w:trHeight w:val="23"/>
        </w:trPr>
        <w:tc>
          <w:tcPr>
            <w:tcW w:w="1545" w:type="pct"/>
            <w:vAlign w:val="bottom"/>
          </w:tcPr>
          <w:p w14:paraId="4C09520F" w14:textId="77777777" w:rsidR="00D83E33" w:rsidRPr="00EA10CF" w:rsidRDefault="00BC4072" w:rsidP="001B330E">
            <w:pPr>
              <w:widowControl w:val="0"/>
              <w:ind w:left="113" w:hanging="113"/>
            </w:pPr>
            <w:r w:rsidRPr="00EA10CF">
              <w:t>- Corporate shares</w:t>
            </w:r>
          </w:p>
        </w:tc>
        <w:tc>
          <w:tcPr>
            <w:tcW w:w="576" w:type="pct"/>
            <w:vAlign w:val="bottom"/>
          </w:tcPr>
          <w:p w14:paraId="1C9DE743" w14:textId="77777777" w:rsidR="00D83E33" w:rsidRPr="00EA10CF" w:rsidRDefault="00D83E33">
            <w:pPr>
              <w:widowControl w:val="0"/>
              <w:jc w:val="center"/>
            </w:pPr>
          </w:p>
        </w:tc>
        <w:tc>
          <w:tcPr>
            <w:tcW w:w="576" w:type="pct"/>
            <w:vAlign w:val="bottom"/>
          </w:tcPr>
          <w:p w14:paraId="70BDB8B3" w14:textId="77777777" w:rsidR="00D83E33" w:rsidRPr="00EA10CF" w:rsidRDefault="00D83E33">
            <w:pPr>
              <w:widowControl w:val="0"/>
              <w:jc w:val="center"/>
            </w:pPr>
          </w:p>
        </w:tc>
        <w:tc>
          <w:tcPr>
            <w:tcW w:w="576" w:type="pct"/>
            <w:vAlign w:val="bottom"/>
          </w:tcPr>
          <w:p w14:paraId="3963902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B9F16F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13FFA69"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6E76665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DD17E7D" w14:textId="77777777" w:rsidTr="001B330E">
        <w:trPr>
          <w:trHeight w:val="23"/>
        </w:trPr>
        <w:tc>
          <w:tcPr>
            <w:tcW w:w="1545" w:type="pct"/>
            <w:vAlign w:val="bottom"/>
          </w:tcPr>
          <w:p w14:paraId="02882425" w14:textId="77777777" w:rsidR="00D83E33" w:rsidRPr="00EA10CF" w:rsidRDefault="00BC4072" w:rsidP="001B330E">
            <w:pPr>
              <w:widowControl w:val="0"/>
              <w:ind w:left="113" w:hanging="113"/>
            </w:pPr>
            <w:r w:rsidRPr="00EA10CF">
              <w:t>- ADRs</w:t>
            </w:r>
          </w:p>
        </w:tc>
        <w:tc>
          <w:tcPr>
            <w:tcW w:w="576" w:type="pct"/>
            <w:vAlign w:val="bottom"/>
          </w:tcPr>
          <w:p w14:paraId="3BDF3F10" w14:textId="77777777" w:rsidR="00D83E33" w:rsidRPr="00EA10CF" w:rsidRDefault="00D83E33">
            <w:pPr>
              <w:widowControl w:val="0"/>
              <w:jc w:val="center"/>
            </w:pPr>
          </w:p>
        </w:tc>
        <w:tc>
          <w:tcPr>
            <w:tcW w:w="576" w:type="pct"/>
            <w:vAlign w:val="bottom"/>
          </w:tcPr>
          <w:p w14:paraId="7E831550" w14:textId="77777777" w:rsidR="00D83E33" w:rsidRPr="00EA10CF" w:rsidRDefault="00D83E33">
            <w:pPr>
              <w:widowControl w:val="0"/>
              <w:jc w:val="center"/>
            </w:pPr>
          </w:p>
        </w:tc>
        <w:tc>
          <w:tcPr>
            <w:tcW w:w="576" w:type="pct"/>
            <w:vAlign w:val="bottom"/>
          </w:tcPr>
          <w:p w14:paraId="05D5A05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F75E4D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8D87914"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3A9A2A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79735C" w14:textId="77777777" w:rsidTr="001B330E">
        <w:trPr>
          <w:trHeight w:val="23"/>
        </w:trPr>
        <w:tc>
          <w:tcPr>
            <w:tcW w:w="1545" w:type="pct"/>
            <w:vAlign w:val="bottom"/>
          </w:tcPr>
          <w:p w14:paraId="48EE667D" w14:textId="772F276D" w:rsidR="00D83E33" w:rsidRPr="00EA10CF" w:rsidRDefault="00BC4072" w:rsidP="001B330E">
            <w:pPr>
              <w:widowControl w:val="0"/>
              <w:ind w:left="113" w:hanging="113"/>
              <w:rPr>
                <w:b/>
              </w:rPr>
            </w:pPr>
            <w:r w:rsidRPr="00EA10CF">
              <w:t xml:space="preserve">- GDRs </w:t>
            </w:r>
          </w:p>
        </w:tc>
        <w:tc>
          <w:tcPr>
            <w:tcW w:w="576" w:type="pct"/>
            <w:vAlign w:val="bottom"/>
          </w:tcPr>
          <w:p w14:paraId="7CDEA485" w14:textId="77777777" w:rsidR="00D83E33" w:rsidRPr="00EA10CF" w:rsidRDefault="00D83E33">
            <w:pPr>
              <w:widowControl w:val="0"/>
              <w:jc w:val="center"/>
            </w:pPr>
          </w:p>
        </w:tc>
        <w:tc>
          <w:tcPr>
            <w:tcW w:w="576" w:type="pct"/>
            <w:vAlign w:val="bottom"/>
          </w:tcPr>
          <w:p w14:paraId="045A7DBA" w14:textId="77777777" w:rsidR="00D83E33" w:rsidRPr="00EA10CF" w:rsidRDefault="00D83E33">
            <w:pPr>
              <w:widowControl w:val="0"/>
              <w:jc w:val="center"/>
            </w:pPr>
          </w:p>
        </w:tc>
        <w:tc>
          <w:tcPr>
            <w:tcW w:w="576" w:type="pct"/>
            <w:vAlign w:val="bottom"/>
          </w:tcPr>
          <w:p w14:paraId="1E960258"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BE49F2A"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CBB0D1D"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EF2D8F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D097CD6" w14:textId="77777777" w:rsidTr="001B330E">
        <w:trPr>
          <w:trHeight w:val="23"/>
        </w:trPr>
        <w:tc>
          <w:tcPr>
            <w:tcW w:w="1545" w:type="pct"/>
            <w:vAlign w:val="bottom"/>
          </w:tcPr>
          <w:p w14:paraId="5F4B7A25"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6" w:type="pct"/>
            <w:vAlign w:val="bottom"/>
          </w:tcPr>
          <w:p w14:paraId="6D99C298" w14:textId="77777777" w:rsidR="00D83E33" w:rsidRPr="00EA10CF" w:rsidRDefault="00D83E33">
            <w:pPr>
              <w:widowControl w:val="0"/>
              <w:jc w:val="center"/>
            </w:pPr>
          </w:p>
        </w:tc>
        <w:tc>
          <w:tcPr>
            <w:tcW w:w="576" w:type="pct"/>
            <w:vAlign w:val="bottom"/>
          </w:tcPr>
          <w:p w14:paraId="3ECB234D" w14:textId="77777777" w:rsidR="00D83E33" w:rsidRPr="00EA10CF" w:rsidRDefault="00D83E33">
            <w:pPr>
              <w:widowControl w:val="0"/>
              <w:jc w:val="center"/>
            </w:pPr>
          </w:p>
        </w:tc>
        <w:tc>
          <w:tcPr>
            <w:tcW w:w="576" w:type="pct"/>
            <w:vAlign w:val="bottom"/>
          </w:tcPr>
          <w:p w14:paraId="121611F9"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3BC3E7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7B65B17"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9D149D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CB3AABF" w14:textId="77777777" w:rsidTr="001B330E">
        <w:trPr>
          <w:trHeight w:val="23"/>
        </w:trPr>
        <w:tc>
          <w:tcPr>
            <w:tcW w:w="1545" w:type="pct"/>
            <w:vAlign w:val="bottom"/>
          </w:tcPr>
          <w:p w14:paraId="70071A7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Equity securities at FVOCI</w:t>
            </w:r>
          </w:p>
        </w:tc>
        <w:tc>
          <w:tcPr>
            <w:tcW w:w="576" w:type="pct"/>
            <w:vAlign w:val="bottom"/>
          </w:tcPr>
          <w:p w14:paraId="5B90649C" w14:textId="77777777" w:rsidR="00D83E33" w:rsidRPr="00EA10CF" w:rsidRDefault="00D83E33">
            <w:pPr>
              <w:widowControl w:val="0"/>
              <w:jc w:val="center"/>
            </w:pPr>
          </w:p>
        </w:tc>
        <w:tc>
          <w:tcPr>
            <w:tcW w:w="576" w:type="pct"/>
            <w:vAlign w:val="bottom"/>
          </w:tcPr>
          <w:p w14:paraId="4D7092DB" w14:textId="77777777" w:rsidR="00D83E33" w:rsidRPr="00EA10CF" w:rsidRDefault="00D83E33">
            <w:pPr>
              <w:widowControl w:val="0"/>
              <w:jc w:val="center"/>
            </w:pPr>
          </w:p>
        </w:tc>
        <w:tc>
          <w:tcPr>
            <w:tcW w:w="576" w:type="pct"/>
            <w:vAlign w:val="bottom"/>
          </w:tcPr>
          <w:p w14:paraId="72BEC1C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B1C266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1F987FF"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CE307E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1096417" w14:textId="77777777" w:rsidTr="001B330E">
        <w:trPr>
          <w:trHeight w:val="23"/>
        </w:trPr>
        <w:tc>
          <w:tcPr>
            <w:tcW w:w="1545" w:type="pct"/>
            <w:vAlign w:val="bottom"/>
          </w:tcPr>
          <w:p w14:paraId="03AA3C47" w14:textId="77777777" w:rsidR="00D83E33" w:rsidRPr="00EA10CF" w:rsidRDefault="00BC4072" w:rsidP="001B330E">
            <w:pPr>
              <w:widowControl w:val="0"/>
              <w:ind w:left="113" w:hanging="113"/>
            </w:pPr>
            <w:r w:rsidRPr="00EA10CF">
              <w:t>- Corporate shares</w:t>
            </w:r>
          </w:p>
        </w:tc>
        <w:tc>
          <w:tcPr>
            <w:tcW w:w="576" w:type="pct"/>
            <w:vAlign w:val="bottom"/>
          </w:tcPr>
          <w:p w14:paraId="34D72FEF" w14:textId="77777777" w:rsidR="00D83E33" w:rsidRPr="00EA10CF" w:rsidRDefault="00D83E33">
            <w:pPr>
              <w:widowControl w:val="0"/>
              <w:jc w:val="center"/>
            </w:pPr>
          </w:p>
        </w:tc>
        <w:tc>
          <w:tcPr>
            <w:tcW w:w="576" w:type="pct"/>
            <w:vAlign w:val="bottom"/>
          </w:tcPr>
          <w:p w14:paraId="3E56A9E2" w14:textId="77777777" w:rsidR="00D83E33" w:rsidRPr="00EA10CF" w:rsidRDefault="00D83E33">
            <w:pPr>
              <w:widowControl w:val="0"/>
              <w:jc w:val="center"/>
            </w:pPr>
          </w:p>
        </w:tc>
        <w:tc>
          <w:tcPr>
            <w:tcW w:w="576" w:type="pct"/>
            <w:vAlign w:val="bottom"/>
          </w:tcPr>
          <w:p w14:paraId="1DC01693"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D2EC63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6770A64"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0FD6731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E73959" w14:textId="77777777" w:rsidTr="001B330E">
        <w:trPr>
          <w:trHeight w:val="23"/>
        </w:trPr>
        <w:tc>
          <w:tcPr>
            <w:tcW w:w="1545" w:type="pct"/>
            <w:vAlign w:val="bottom"/>
          </w:tcPr>
          <w:p w14:paraId="50518512" w14:textId="77777777" w:rsidR="00D83E33" w:rsidRPr="00EA10CF" w:rsidRDefault="00BC4072" w:rsidP="001B330E">
            <w:pPr>
              <w:widowControl w:val="0"/>
              <w:ind w:left="113" w:hanging="113"/>
            </w:pPr>
            <w:r w:rsidRPr="00EA10CF">
              <w:t>- ADRs</w:t>
            </w:r>
          </w:p>
        </w:tc>
        <w:tc>
          <w:tcPr>
            <w:tcW w:w="576" w:type="pct"/>
            <w:vAlign w:val="bottom"/>
          </w:tcPr>
          <w:p w14:paraId="626ADEA6" w14:textId="77777777" w:rsidR="00D83E33" w:rsidRPr="00EA10CF" w:rsidRDefault="00D83E33">
            <w:pPr>
              <w:widowControl w:val="0"/>
              <w:jc w:val="center"/>
            </w:pPr>
          </w:p>
        </w:tc>
        <w:tc>
          <w:tcPr>
            <w:tcW w:w="576" w:type="pct"/>
            <w:vAlign w:val="bottom"/>
          </w:tcPr>
          <w:p w14:paraId="38EC81B6" w14:textId="77777777" w:rsidR="00D83E33" w:rsidRPr="00EA10CF" w:rsidRDefault="00D83E33">
            <w:pPr>
              <w:widowControl w:val="0"/>
              <w:jc w:val="center"/>
            </w:pPr>
          </w:p>
        </w:tc>
        <w:tc>
          <w:tcPr>
            <w:tcW w:w="576" w:type="pct"/>
            <w:vAlign w:val="bottom"/>
          </w:tcPr>
          <w:p w14:paraId="6439032C"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A3BA9F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DF35F29"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C96953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7F2F914" w14:textId="77777777" w:rsidTr="001B330E">
        <w:trPr>
          <w:trHeight w:val="23"/>
        </w:trPr>
        <w:tc>
          <w:tcPr>
            <w:tcW w:w="1545" w:type="pct"/>
            <w:vAlign w:val="bottom"/>
          </w:tcPr>
          <w:p w14:paraId="1C8FC10F" w14:textId="4D503E10" w:rsidR="00D83E33" w:rsidRPr="00EA10CF" w:rsidRDefault="00BC4072" w:rsidP="001B330E">
            <w:pPr>
              <w:widowControl w:val="0"/>
              <w:ind w:left="113" w:hanging="113"/>
              <w:rPr>
                <w:b/>
              </w:rPr>
            </w:pPr>
            <w:r w:rsidRPr="00EA10CF">
              <w:t>- GDRs</w:t>
            </w:r>
          </w:p>
        </w:tc>
        <w:tc>
          <w:tcPr>
            <w:tcW w:w="576" w:type="pct"/>
            <w:vAlign w:val="bottom"/>
          </w:tcPr>
          <w:p w14:paraId="51EE18FE" w14:textId="77777777" w:rsidR="00D83E33" w:rsidRPr="00EA10CF" w:rsidRDefault="00D83E33">
            <w:pPr>
              <w:widowControl w:val="0"/>
              <w:jc w:val="center"/>
            </w:pPr>
          </w:p>
        </w:tc>
        <w:tc>
          <w:tcPr>
            <w:tcW w:w="576" w:type="pct"/>
            <w:vAlign w:val="bottom"/>
          </w:tcPr>
          <w:p w14:paraId="3641991F" w14:textId="77777777" w:rsidR="00D83E33" w:rsidRPr="00EA10CF" w:rsidRDefault="00D83E33">
            <w:pPr>
              <w:widowControl w:val="0"/>
              <w:jc w:val="center"/>
            </w:pPr>
          </w:p>
        </w:tc>
        <w:tc>
          <w:tcPr>
            <w:tcW w:w="576" w:type="pct"/>
            <w:vAlign w:val="bottom"/>
          </w:tcPr>
          <w:p w14:paraId="0D9C13BB"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7AD9BC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A3D75D6"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2DE5F1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CD0BDA" w14:textId="77777777" w:rsidTr="001B330E">
        <w:trPr>
          <w:trHeight w:val="23"/>
        </w:trPr>
        <w:tc>
          <w:tcPr>
            <w:tcW w:w="1545" w:type="pct"/>
            <w:vAlign w:val="bottom"/>
          </w:tcPr>
          <w:p w14:paraId="6F4A5A8A"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6" w:type="pct"/>
            <w:vAlign w:val="bottom"/>
          </w:tcPr>
          <w:p w14:paraId="12805E04" w14:textId="77777777" w:rsidR="00D83E33" w:rsidRPr="00EA10CF" w:rsidRDefault="00D83E33">
            <w:pPr>
              <w:widowControl w:val="0"/>
              <w:jc w:val="center"/>
            </w:pPr>
          </w:p>
        </w:tc>
        <w:tc>
          <w:tcPr>
            <w:tcW w:w="576" w:type="pct"/>
            <w:vAlign w:val="bottom"/>
          </w:tcPr>
          <w:p w14:paraId="61A378EC" w14:textId="77777777" w:rsidR="00D83E33" w:rsidRPr="00EA10CF" w:rsidRDefault="00D83E33">
            <w:pPr>
              <w:widowControl w:val="0"/>
              <w:jc w:val="center"/>
            </w:pPr>
          </w:p>
        </w:tc>
        <w:tc>
          <w:tcPr>
            <w:tcW w:w="576" w:type="pct"/>
            <w:vAlign w:val="bottom"/>
          </w:tcPr>
          <w:p w14:paraId="5762DBC9"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69696F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A2B7A78"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106328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B57465" w14:textId="77777777" w:rsidTr="001B330E">
        <w:trPr>
          <w:trHeight w:val="23"/>
        </w:trPr>
        <w:tc>
          <w:tcPr>
            <w:tcW w:w="1545" w:type="pct"/>
            <w:vAlign w:val="bottom"/>
          </w:tcPr>
          <w:p w14:paraId="564CADD8"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6" w:type="pct"/>
            <w:vAlign w:val="bottom"/>
          </w:tcPr>
          <w:p w14:paraId="56B616DA" w14:textId="77777777" w:rsidR="00D83E33" w:rsidRPr="00EA10CF" w:rsidRDefault="00D83E33">
            <w:pPr>
              <w:widowControl w:val="0"/>
              <w:jc w:val="center"/>
            </w:pPr>
          </w:p>
        </w:tc>
        <w:tc>
          <w:tcPr>
            <w:tcW w:w="576" w:type="pct"/>
            <w:vAlign w:val="bottom"/>
          </w:tcPr>
          <w:p w14:paraId="22978BCE" w14:textId="77777777" w:rsidR="00D83E33" w:rsidRPr="00EA10CF" w:rsidRDefault="00D83E33">
            <w:pPr>
              <w:widowControl w:val="0"/>
              <w:jc w:val="center"/>
            </w:pPr>
          </w:p>
        </w:tc>
        <w:tc>
          <w:tcPr>
            <w:tcW w:w="576" w:type="pct"/>
            <w:vAlign w:val="bottom"/>
          </w:tcPr>
          <w:p w14:paraId="2ADB12D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16D7926"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FCD7A80"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18E1563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F8F2B02" w14:textId="77777777" w:rsidTr="001B330E">
        <w:trPr>
          <w:trHeight w:val="23"/>
        </w:trPr>
        <w:tc>
          <w:tcPr>
            <w:tcW w:w="1545" w:type="pct"/>
            <w:vAlign w:val="bottom"/>
          </w:tcPr>
          <w:p w14:paraId="273EF63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Corporate bonds at FVOCI</w:t>
            </w:r>
          </w:p>
        </w:tc>
        <w:tc>
          <w:tcPr>
            <w:tcW w:w="576" w:type="pct"/>
            <w:vAlign w:val="bottom"/>
          </w:tcPr>
          <w:p w14:paraId="3577BC26" w14:textId="77777777" w:rsidR="00D83E33" w:rsidRPr="00EA10CF" w:rsidRDefault="00D83E33">
            <w:pPr>
              <w:widowControl w:val="0"/>
              <w:jc w:val="center"/>
            </w:pPr>
          </w:p>
        </w:tc>
        <w:tc>
          <w:tcPr>
            <w:tcW w:w="576" w:type="pct"/>
            <w:vAlign w:val="bottom"/>
          </w:tcPr>
          <w:p w14:paraId="4D79CB6E" w14:textId="77777777" w:rsidR="00D83E33" w:rsidRPr="00EA10CF" w:rsidRDefault="00D83E33">
            <w:pPr>
              <w:widowControl w:val="0"/>
              <w:jc w:val="center"/>
            </w:pPr>
          </w:p>
        </w:tc>
        <w:tc>
          <w:tcPr>
            <w:tcW w:w="576" w:type="pct"/>
            <w:vAlign w:val="bottom"/>
          </w:tcPr>
          <w:p w14:paraId="547E1BB1"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4F9424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96F48C5"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6D479E4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5016EAF" w14:textId="77777777" w:rsidTr="001B330E">
        <w:trPr>
          <w:trHeight w:val="23"/>
        </w:trPr>
        <w:tc>
          <w:tcPr>
            <w:tcW w:w="1545" w:type="pct"/>
            <w:vAlign w:val="bottom"/>
          </w:tcPr>
          <w:p w14:paraId="12D60FB4"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Municipal bonds</w:t>
            </w:r>
          </w:p>
        </w:tc>
        <w:tc>
          <w:tcPr>
            <w:tcW w:w="576" w:type="pct"/>
            <w:vAlign w:val="bottom"/>
          </w:tcPr>
          <w:p w14:paraId="39251514" w14:textId="77777777" w:rsidR="00D83E33" w:rsidRPr="00EA10CF" w:rsidRDefault="00D83E33">
            <w:pPr>
              <w:widowControl w:val="0"/>
              <w:jc w:val="center"/>
            </w:pPr>
          </w:p>
        </w:tc>
        <w:tc>
          <w:tcPr>
            <w:tcW w:w="576" w:type="pct"/>
            <w:vAlign w:val="bottom"/>
          </w:tcPr>
          <w:p w14:paraId="5EA66BF1" w14:textId="77777777" w:rsidR="00D83E33" w:rsidRPr="00EA10CF" w:rsidRDefault="00D83E33">
            <w:pPr>
              <w:widowControl w:val="0"/>
              <w:jc w:val="center"/>
            </w:pPr>
          </w:p>
        </w:tc>
        <w:tc>
          <w:tcPr>
            <w:tcW w:w="576" w:type="pct"/>
            <w:vAlign w:val="bottom"/>
          </w:tcPr>
          <w:p w14:paraId="3187E7ED"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45D92DBD"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37BC7FCE"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57FDB0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9B1CE9B" w14:textId="77777777" w:rsidTr="001B330E">
        <w:trPr>
          <w:trHeight w:val="23"/>
        </w:trPr>
        <w:tc>
          <w:tcPr>
            <w:tcW w:w="1545" w:type="pct"/>
            <w:vAlign w:val="bottom"/>
          </w:tcPr>
          <w:p w14:paraId="430007B1"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Corporate bonds</w:t>
            </w:r>
          </w:p>
        </w:tc>
        <w:tc>
          <w:tcPr>
            <w:tcW w:w="576" w:type="pct"/>
            <w:vAlign w:val="bottom"/>
          </w:tcPr>
          <w:p w14:paraId="7333DC27" w14:textId="77777777" w:rsidR="00D83E33" w:rsidRPr="00EA10CF" w:rsidRDefault="00D83E33">
            <w:pPr>
              <w:widowControl w:val="0"/>
              <w:jc w:val="center"/>
            </w:pPr>
          </w:p>
        </w:tc>
        <w:tc>
          <w:tcPr>
            <w:tcW w:w="576" w:type="pct"/>
            <w:vAlign w:val="bottom"/>
          </w:tcPr>
          <w:p w14:paraId="2791AF9E" w14:textId="77777777" w:rsidR="00D83E33" w:rsidRPr="00EA10CF" w:rsidRDefault="00D83E33">
            <w:pPr>
              <w:widowControl w:val="0"/>
              <w:jc w:val="center"/>
            </w:pPr>
          </w:p>
        </w:tc>
        <w:tc>
          <w:tcPr>
            <w:tcW w:w="576" w:type="pct"/>
            <w:vAlign w:val="bottom"/>
          </w:tcPr>
          <w:p w14:paraId="1B0B0629"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0F80A7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6B75513"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1247707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0F1489" w14:textId="77777777" w:rsidTr="001B330E">
        <w:trPr>
          <w:trHeight w:val="23"/>
        </w:trPr>
        <w:tc>
          <w:tcPr>
            <w:tcW w:w="1545" w:type="pct"/>
            <w:vAlign w:val="bottom"/>
          </w:tcPr>
          <w:p w14:paraId="1550008E" w14:textId="1A69C86D"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Promissory notes </w:t>
            </w:r>
          </w:p>
        </w:tc>
        <w:tc>
          <w:tcPr>
            <w:tcW w:w="576" w:type="pct"/>
            <w:vAlign w:val="bottom"/>
          </w:tcPr>
          <w:p w14:paraId="3931FECF" w14:textId="77777777" w:rsidR="00D83E33" w:rsidRPr="00EA10CF" w:rsidRDefault="00D83E33">
            <w:pPr>
              <w:widowControl w:val="0"/>
              <w:jc w:val="center"/>
            </w:pPr>
          </w:p>
        </w:tc>
        <w:tc>
          <w:tcPr>
            <w:tcW w:w="576" w:type="pct"/>
            <w:vAlign w:val="bottom"/>
          </w:tcPr>
          <w:p w14:paraId="4E092004" w14:textId="77777777" w:rsidR="00D83E33" w:rsidRPr="00EA10CF" w:rsidRDefault="00D83E33">
            <w:pPr>
              <w:widowControl w:val="0"/>
              <w:jc w:val="center"/>
            </w:pPr>
          </w:p>
        </w:tc>
        <w:tc>
          <w:tcPr>
            <w:tcW w:w="576" w:type="pct"/>
            <w:vAlign w:val="bottom"/>
          </w:tcPr>
          <w:p w14:paraId="4F1E2AF8"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3634D0D"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38FC736"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5DDA342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8A242FF" w14:textId="77777777" w:rsidTr="001B330E">
        <w:trPr>
          <w:trHeight w:val="23"/>
        </w:trPr>
        <w:tc>
          <w:tcPr>
            <w:tcW w:w="1545" w:type="pct"/>
            <w:vAlign w:val="bottom"/>
          </w:tcPr>
          <w:p w14:paraId="38937BE0"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6" w:type="pct"/>
            <w:vAlign w:val="bottom"/>
          </w:tcPr>
          <w:p w14:paraId="0D040B62" w14:textId="77777777" w:rsidR="00D83E33" w:rsidRPr="00EA10CF" w:rsidRDefault="00D83E33">
            <w:pPr>
              <w:widowControl w:val="0"/>
              <w:jc w:val="center"/>
            </w:pPr>
          </w:p>
        </w:tc>
        <w:tc>
          <w:tcPr>
            <w:tcW w:w="576" w:type="pct"/>
            <w:vAlign w:val="bottom"/>
          </w:tcPr>
          <w:p w14:paraId="6F355B42" w14:textId="77777777" w:rsidR="00D83E33" w:rsidRPr="00EA10CF" w:rsidRDefault="00D83E33">
            <w:pPr>
              <w:widowControl w:val="0"/>
              <w:jc w:val="center"/>
            </w:pPr>
          </w:p>
        </w:tc>
        <w:tc>
          <w:tcPr>
            <w:tcW w:w="576" w:type="pct"/>
            <w:vAlign w:val="bottom"/>
          </w:tcPr>
          <w:p w14:paraId="6CFAD6B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E0BAE99"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136237C"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24FC284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04AEBE3" w14:textId="77777777" w:rsidTr="001B330E">
        <w:trPr>
          <w:trHeight w:val="23"/>
        </w:trPr>
        <w:tc>
          <w:tcPr>
            <w:tcW w:w="1545" w:type="pct"/>
            <w:vAlign w:val="bottom"/>
          </w:tcPr>
          <w:p w14:paraId="03F11F9C"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i/>
                <w:color w:val="000000"/>
              </w:rPr>
              <w:t>Other financial assets at AC</w:t>
            </w:r>
          </w:p>
        </w:tc>
        <w:tc>
          <w:tcPr>
            <w:tcW w:w="576" w:type="pct"/>
            <w:vAlign w:val="bottom"/>
          </w:tcPr>
          <w:p w14:paraId="54565799" w14:textId="77777777" w:rsidR="00D83E33" w:rsidRPr="00EA10CF" w:rsidRDefault="00D83E33">
            <w:pPr>
              <w:widowControl w:val="0"/>
              <w:jc w:val="center"/>
            </w:pPr>
          </w:p>
        </w:tc>
        <w:tc>
          <w:tcPr>
            <w:tcW w:w="576" w:type="pct"/>
            <w:vAlign w:val="bottom"/>
          </w:tcPr>
          <w:p w14:paraId="0F6B5DB4" w14:textId="77777777" w:rsidR="00D83E33" w:rsidRPr="00EA10CF" w:rsidRDefault="00D83E33">
            <w:pPr>
              <w:widowControl w:val="0"/>
              <w:jc w:val="center"/>
            </w:pPr>
          </w:p>
        </w:tc>
        <w:tc>
          <w:tcPr>
            <w:tcW w:w="576" w:type="pct"/>
            <w:vAlign w:val="bottom"/>
          </w:tcPr>
          <w:p w14:paraId="24F6830E"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00E8090"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766CAEF"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6D841C9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18E6FE7" w14:textId="77777777" w:rsidTr="001B330E">
        <w:trPr>
          <w:trHeight w:val="23"/>
        </w:trPr>
        <w:tc>
          <w:tcPr>
            <w:tcW w:w="1545" w:type="pct"/>
            <w:vAlign w:val="bottom"/>
          </w:tcPr>
          <w:p w14:paraId="55481B23"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Trade receivables</w:t>
            </w:r>
          </w:p>
        </w:tc>
        <w:tc>
          <w:tcPr>
            <w:tcW w:w="576" w:type="pct"/>
            <w:vAlign w:val="bottom"/>
          </w:tcPr>
          <w:p w14:paraId="4A45E5FB" w14:textId="77777777" w:rsidR="00D83E33" w:rsidRPr="00EA10CF" w:rsidRDefault="00D83E33">
            <w:pPr>
              <w:widowControl w:val="0"/>
              <w:jc w:val="center"/>
            </w:pPr>
          </w:p>
        </w:tc>
        <w:tc>
          <w:tcPr>
            <w:tcW w:w="576" w:type="pct"/>
            <w:vAlign w:val="bottom"/>
          </w:tcPr>
          <w:p w14:paraId="7694B55B" w14:textId="77777777" w:rsidR="00D83E33" w:rsidRPr="00EA10CF" w:rsidRDefault="00D83E33">
            <w:pPr>
              <w:widowControl w:val="0"/>
              <w:jc w:val="center"/>
            </w:pPr>
          </w:p>
        </w:tc>
        <w:tc>
          <w:tcPr>
            <w:tcW w:w="576" w:type="pct"/>
            <w:vAlign w:val="bottom"/>
          </w:tcPr>
          <w:p w14:paraId="41FE68D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808881F"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5A5AF7CF"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6EE1A54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8744ADF" w14:textId="77777777" w:rsidTr="001B330E">
        <w:trPr>
          <w:trHeight w:val="23"/>
        </w:trPr>
        <w:tc>
          <w:tcPr>
            <w:tcW w:w="1545" w:type="pct"/>
            <w:vAlign w:val="bottom"/>
          </w:tcPr>
          <w:p w14:paraId="3067EC53"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Finance lease receivables</w:t>
            </w:r>
          </w:p>
        </w:tc>
        <w:tc>
          <w:tcPr>
            <w:tcW w:w="576" w:type="pct"/>
            <w:vAlign w:val="bottom"/>
          </w:tcPr>
          <w:p w14:paraId="1DE20C36" w14:textId="77777777" w:rsidR="00D83E33" w:rsidRPr="00EA10CF" w:rsidRDefault="00D83E33">
            <w:pPr>
              <w:widowControl w:val="0"/>
              <w:jc w:val="center"/>
            </w:pPr>
          </w:p>
        </w:tc>
        <w:tc>
          <w:tcPr>
            <w:tcW w:w="576" w:type="pct"/>
            <w:vAlign w:val="bottom"/>
          </w:tcPr>
          <w:p w14:paraId="03FB4837" w14:textId="77777777" w:rsidR="00D83E33" w:rsidRPr="00EA10CF" w:rsidRDefault="00D83E33">
            <w:pPr>
              <w:widowControl w:val="0"/>
              <w:jc w:val="center"/>
            </w:pPr>
          </w:p>
        </w:tc>
        <w:tc>
          <w:tcPr>
            <w:tcW w:w="576" w:type="pct"/>
            <w:vAlign w:val="bottom"/>
          </w:tcPr>
          <w:p w14:paraId="5A0E1C3A"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A5DCA63"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2B2A38B1"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0DCDBA6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EEF4099" w14:textId="77777777" w:rsidTr="001B330E">
        <w:trPr>
          <w:trHeight w:val="23"/>
        </w:trPr>
        <w:tc>
          <w:tcPr>
            <w:tcW w:w="1545" w:type="pct"/>
            <w:vAlign w:val="bottom"/>
          </w:tcPr>
          <w:p w14:paraId="10691DD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Credit and debit card receivables</w:t>
            </w:r>
          </w:p>
        </w:tc>
        <w:tc>
          <w:tcPr>
            <w:tcW w:w="576" w:type="pct"/>
            <w:vAlign w:val="bottom"/>
          </w:tcPr>
          <w:p w14:paraId="2BAB5A63" w14:textId="77777777" w:rsidR="00D83E33" w:rsidRPr="00EA10CF" w:rsidRDefault="00D83E33">
            <w:pPr>
              <w:widowControl w:val="0"/>
              <w:jc w:val="center"/>
            </w:pPr>
          </w:p>
        </w:tc>
        <w:tc>
          <w:tcPr>
            <w:tcW w:w="576" w:type="pct"/>
            <w:vAlign w:val="bottom"/>
          </w:tcPr>
          <w:p w14:paraId="67B75D28" w14:textId="77777777" w:rsidR="00D83E33" w:rsidRPr="00EA10CF" w:rsidRDefault="00D83E33">
            <w:pPr>
              <w:widowControl w:val="0"/>
              <w:jc w:val="center"/>
            </w:pPr>
          </w:p>
        </w:tc>
        <w:tc>
          <w:tcPr>
            <w:tcW w:w="576" w:type="pct"/>
            <w:vAlign w:val="bottom"/>
          </w:tcPr>
          <w:p w14:paraId="007DB588"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1A9C864"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979A80E"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6B30EC8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A3A910B" w14:textId="77777777" w:rsidTr="001B330E">
        <w:trPr>
          <w:trHeight w:val="23"/>
        </w:trPr>
        <w:tc>
          <w:tcPr>
            <w:tcW w:w="1545" w:type="pct"/>
            <w:vAlign w:val="bottom"/>
          </w:tcPr>
          <w:p w14:paraId="4B8E1F19"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Settlements on conversion operations</w:t>
            </w:r>
          </w:p>
        </w:tc>
        <w:tc>
          <w:tcPr>
            <w:tcW w:w="576" w:type="pct"/>
            <w:vAlign w:val="bottom"/>
          </w:tcPr>
          <w:p w14:paraId="264BE30B" w14:textId="77777777" w:rsidR="00D83E33" w:rsidRPr="00EA10CF" w:rsidRDefault="00D83E33">
            <w:pPr>
              <w:widowControl w:val="0"/>
              <w:jc w:val="center"/>
            </w:pPr>
          </w:p>
        </w:tc>
        <w:tc>
          <w:tcPr>
            <w:tcW w:w="576" w:type="pct"/>
            <w:vAlign w:val="bottom"/>
          </w:tcPr>
          <w:p w14:paraId="4851D21F" w14:textId="77777777" w:rsidR="00D83E33" w:rsidRPr="00EA10CF" w:rsidRDefault="00D83E33">
            <w:pPr>
              <w:widowControl w:val="0"/>
              <w:jc w:val="center"/>
            </w:pPr>
          </w:p>
        </w:tc>
        <w:tc>
          <w:tcPr>
            <w:tcW w:w="576" w:type="pct"/>
            <w:vAlign w:val="bottom"/>
          </w:tcPr>
          <w:p w14:paraId="05F6C0CA"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664EAA78"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72EEBA6C"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4B72B29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82E0807" w14:textId="77777777" w:rsidTr="001B330E">
        <w:trPr>
          <w:trHeight w:val="23"/>
        </w:trPr>
        <w:tc>
          <w:tcPr>
            <w:tcW w:w="1545" w:type="pct"/>
            <w:vAlign w:val="bottom"/>
          </w:tcPr>
          <w:p w14:paraId="03DB1756" w14:textId="673AC48D"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Other </w:t>
            </w:r>
          </w:p>
        </w:tc>
        <w:tc>
          <w:tcPr>
            <w:tcW w:w="576" w:type="pct"/>
            <w:vAlign w:val="bottom"/>
          </w:tcPr>
          <w:p w14:paraId="071AE489" w14:textId="77777777" w:rsidR="00D83E33" w:rsidRPr="00EA10CF" w:rsidRDefault="00D83E33">
            <w:pPr>
              <w:widowControl w:val="0"/>
              <w:jc w:val="center"/>
            </w:pPr>
          </w:p>
        </w:tc>
        <w:tc>
          <w:tcPr>
            <w:tcW w:w="576" w:type="pct"/>
            <w:vAlign w:val="bottom"/>
          </w:tcPr>
          <w:p w14:paraId="2DBE0847" w14:textId="77777777" w:rsidR="00D83E33" w:rsidRPr="00EA10CF" w:rsidRDefault="00D83E33">
            <w:pPr>
              <w:widowControl w:val="0"/>
              <w:jc w:val="center"/>
            </w:pPr>
          </w:p>
        </w:tc>
        <w:tc>
          <w:tcPr>
            <w:tcW w:w="576" w:type="pct"/>
            <w:vAlign w:val="bottom"/>
          </w:tcPr>
          <w:p w14:paraId="6E506195"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1CBC9082" w14:textId="77777777" w:rsidR="00D83E33" w:rsidRPr="00EA10CF" w:rsidRDefault="00D83E33">
            <w:pPr>
              <w:widowControl w:val="0"/>
              <w:pBdr>
                <w:top w:val="nil"/>
                <w:left w:val="nil"/>
                <w:bottom w:val="nil"/>
                <w:right w:val="nil"/>
                <w:between w:val="nil"/>
              </w:pBdr>
              <w:jc w:val="right"/>
              <w:rPr>
                <w:color w:val="000000"/>
              </w:rPr>
            </w:pPr>
          </w:p>
        </w:tc>
        <w:tc>
          <w:tcPr>
            <w:tcW w:w="576" w:type="pct"/>
            <w:vAlign w:val="bottom"/>
          </w:tcPr>
          <w:p w14:paraId="09009CFA" w14:textId="77777777" w:rsidR="00D83E33" w:rsidRPr="00EA10CF" w:rsidRDefault="00D83E33">
            <w:pPr>
              <w:widowControl w:val="0"/>
              <w:pBdr>
                <w:top w:val="nil"/>
                <w:left w:val="nil"/>
                <w:bottom w:val="nil"/>
                <w:right w:val="nil"/>
                <w:between w:val="nil"/>
              </w:pBdr>
              <w:jc w:val="right"/>
              <w:rPr>
                <w:color w:val="000000"/>
              </w:rPr>
            </w:pPr>
          </w:p>
        </w:tc>
        <w:tc>
          <w:tcPr>
            <w:tcW w:w="575" w:type="pct"/>
            <w:vAlign w:val="bottom"/>
          </w:tcPr>
          <w:p w14:paraId="7792DCD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35AABF7" w14:textId="77777777" w:rsidTr="001B330E">
        <w:trPr>
          <w:trHeight w:val="23"/>
        </w:trPr>
        <w:tc>
          <w:tcPr>
            <w:tcW w:w="1545" w:type="pct"/>
            <w:tcBorders>
              <w:bottom w:val="single" w:sz="4" w:space="0" w:color="000000"/>
            </w:tcBorders>
            <w:vAlign w:val="bottom"/>
          </w:tcPr>
          <w:p w14:paraId="78F6E71B"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76" w:type="pct"/>
            <w:tcBorders>
              <w:bottom w:val="single" w:sz="4" w:space="0" w:color="000000"/>
            </w:tcBorders>
            <w:vAlign w:val="bottom"/>
          </w:tcPr>
          <w:p w14:paraId="330CEC99" w14:textId="77777777" w:rsidR="00D83E33" w:rsidRPr="00EA10CF" w:rsidRDefault="00D83E33">
            <w:pPr>
              <w:widowControl w:val="0"/>
              <w:jc w:val="center"/>
            </w:pPr>
          </w:p>
        </w:tc>
        <w:tc>
          <w:tcPr>
            <w:tcW w:w="576" w:type="pct"/>
            <w:tcBorders>
              <w:bottom w:val="single" w:sz="4" w:space="0" w:color="000000"/>
            </w:tcBorders>
            <w:vAlign w:val="bottom"/>
          </w:tcPr>
          <w:p w14:paraId="11DD71BE" w14:textId="77777777" w:rsidR="00D83E33" w:rsidRPr="00EA10CF" w:rsidRDefault="00D83E33">
            <w:pPr>
              <w:widowControl w:val="0"/>
              <w:jc w:val="center"/>
            </w:pPr>
          </w:p>
        </w:tc>
        <w:tc>
          <w:tcPr>
            <w:tcW w:w="576" w:type="pct"/>
            <w:tcBorders>
              <w:bottom w:val="single" w:sz="4" w:space="0" w:color="000000"/>
            </w:tcBorders>
            <w:vAlign w:val="bottom"/>
          </w:tcPr>
          <w:p w14:paraId="7761366D"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6771DA79" w14:textId="77777777" w:rsidR="00D83E33" w:rsidRPr="00EA10CF" w:rsidRDefault="00D83E33">
            <w:pPr>
              <w:widowControl w:val="0"/>
              <w:pBdr>
                <w:top w:val="nil"/>
                <w:left w:val="nil"/>
                <w:bottom w:val="nil"/>
                <w:right w:val="nil"/>
                <w:between w:val="nil"/>
              </w:pBdr>
              <w:jc w:val="right"/>
              <w:rPr>
                <w:color w:val="000000"/>
              </w:rPr>
            </w:pPr>
          </w:p>
        </w:tc>
        <w:tc>
          <w:tcPr>
            <w:tcW w:w="576" w:type="pct"/>
            <w:tcBorders>
              <w:bottom w:val="single" w:sz="4" w:space="0" w:color="000000"/>
            </w:tcBorders>
            <w:vAlign w:val="bottom"/>
          </w:tcPr>
          <w:p w14:paraId="15D73CEF" w14:textId="77777777" w:rsidR="00D83E33" w:rsidRPr="00EA10CF" w:rsidRDefault="00D83E33">
            <w:pPr>
              <w:widowControl w:val="0"/>
              <w:pBdr>
                <w:top w:val="nil"/>
                <w:left w:val="nil"/>
                <w:bottom w:val="nil"/>
                <w:right w:val="nil"/>
                <w:between w:val="nil"/>
              </w:pBdr>
              <w:jc w:val="right"/>
              <w:rPr>
                <w:color w:val="000000"/>
              </w:rPr>
            </w:pPr>
          </w:p>
        </w:tc>
        <w:tc>
          <w:tcPr>
            <w:tcW w:w="575" w:type="pct"/>
            <w:tcBorders>
              <w:bottom w:val="single" w:sz="4" w:space="0" w:color="000000"/>
            </w:tcBorders>
            <w:vAlign w:val="bottom"/>
          </w:tcPr>
          <w:p w14:paraId="7D4962A7" w14:textId="77777777" w:rsidR="00D83E33" w:rsidRPr="00EA10CF" w:rsidRDefault="00D83E33">
            <w:pPr>
              <w:widowControl w:val="0"/>
              <w:pBdr>
                <w:top w:val="nil"/>
                <w:left w:val="nil"/>
                <w:bottom w:val="nil"/>
                <w:right w:val="nil"/>
                <w:between w:val="nil"/>
              </w:pBdr>
              <w:jc w:val="right"/>
              <w:rPr>
                <w:color w:val="000000"/>
              </w:rPr>
            </w:pPr>
          </w:p>
        </w:tc>
      </w:tr>
    </w:tbl>
    <w:p w14:paraId="4883C99E" w14:textId="6EF7C431" w:rsidR="00D83E33" w:rsidRDefault="00BC4072" w:rsidP="001B330E">
      <w:pPr>
        <w:pStyle w:val="Continued"/>
      </w:pPr>
      <w:r>
        <w:lastRenderedPageBreak/>
        <w:t>47</w:t>
      </w:r>
      <w:r>
        <w:tab/>
        <w:t>Transfers of Financial Assets (Continued)</w:t>
      </w:r>
    </w:p>
    <w:tbl>
      <w:tblPr>
        <w:tblStyle w:val="afffffffffffffff9"/>
        <w:tblW w:w="5000" w:type="pct"/>
        <w:tblLayout w:type="fixed"/>
        <w:tblLook w:val="0000" w:firstRow="0" w:lastRow="0" w:firstColumn="0" w:lastColumn="0" w:noHBand="0" w:noVBand="0"/>
      </w:tblPr>
      <w:tblGrid>
        <w:gridCol w:w="2890"/>
        <w:gridCol w:w="1077"/>
        <w:gridCol w:w="1078"/>
        <w:gridCol w:w="1078"/>
        <w:gridCol w:w="1078"/>
        <w:gridCol w:w="1078"/>
        <w:gridCol w:w="1076"/>
      </w:tblGrid>
      <w:tr w:rsidR="00D83E33" w:rsidRPr="00077F42" w14:paraId="5EB843FA" w14:textId="77777777" w:rsidTr="001B330E">
        <w:trPr>
          <w:trHeight w:val="23"/>
        </w:trPr>
        <w:tc>
          <w:tcPr>
            <w:tcW w:w="1545" w:type="pct"/>
            <w:vAlign w:val="bottom"/>
          </w:tcPr>
          <w:p w14:paraId="02DA96A8" w14:textId="77777777" w:rsidR="00D83E33" w:rsidRPr="001B330E" w:rsidRDefault="00D83E33" w:rsidP="001B330E">
            <w:pPr>
              <w:widowControl w:val="0"/>
              <w:ind w:left="113" w:hanging="113"/>
              <w:rPr>
                <w:b/>
                <w:sz w:val="17"/>
                <w:szCs w:val="17"/>
              </w:rPr>
            </w:pPr>
          </w:p>
        </w:tc>
        <w:tc>
          <w:tcPr>
            <w:tcW w:w="1728" w:type="pct"/>
            <w:gridSpan w:val="3"/>
            <w:tcBorders>
              <w:bottom w:val="single" w:sz="4" w:space="0" w:color="000000"/>
            </w:tcBorders>
            <w:vAlign w:val="bottom"/>
          </w:tcPr>
          <w:p w14:paraId="16D25FDC" w14:textId="13D75958" w:rsidR="00D83E33" w:rsidRPr="001B330E" w:rsidRDefault="00BC4072" w:rsidP="001B330E">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2024</w:t>
            </w:r>
          </w:p>
        </w:tc>
        <w:tc>
          <w:tcPr>
            <w:tcW w:w="1727" w:type="pct"/>
            <w:gridSpan w:val="3"/>
            <w:tcBorders>
              <w:bottom w:val="single" w:sz="4" w:space="0" w:color="000000"/>
            </w:tcBorders>
            <w:vAlign w:val="bottom"/>
          </w:tcPr>
          <w:p w14:paraId="1FB43093" w14:textId="478B4ACD" w:rsidR="00D83E33" w:rsidRPr="001B330E" w:rsidRDefault="00BC4072" w:rsidP="001B330E">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2023</w:t>
            </w:r>
          </w:p>
        </w:tc>
      </w:tr>
      <w:tr w:rsidR="00D83E33" w:rsidRPr="00077F42" w14:paraId="6CD54A33" w14:textId="77777777" w:rsidTr="001B330E">
        <w:trPr>
          <w:trHeight w:val="23"/>
        </w:trPr>
        <w:tc>
          <w:tcPr>
            <w:tcW w:w="1545" w:type="pct"/>
            <w:tcBorders>
              <w:bottom w:val="single" w:sz="4" w:space="0" w:color="000000"/>
            </w:tcBorders>
            <w:vAlign w:val="bottom"/>
          </w:tcPr>
          <w:p w14:paraId="5E14C016" w14:textId="5983ADC7" w:rsidR="00D83E33" w:rsidRPr="001B330E" w:rsidRDefault="00313B4D" w:rsidP="001B330E">
            <w:pPr>
              <w:widowControl w:val="0"/>
              <w:pBdr>
                <w:top w:val="nil"/>
                <w:left w:val="nil"/>
                <w:bottom w:val="nil"/>
                <w:right w:val="nil"/>
                <w:between w:val="nil"/>
              </w:pBdr>
              <w:ind w:left="113" w:hanging="113"/>
              <w:rPr>
                <w:b/>
                <w:i/>
                <w:color w:val="000000"/>
                <w:sz w:val="17"/>
                <w:szCs w:val="17"/>
              </w:rPr>
            </w:pPr>
            <w:r>
              <w:rPr>
                <w:i/>
                <w:color w:val="000000"/>
                <w:sz w:val="17"/>
                <w:szCs w:val="17"/>
              </w:rPr>
              <w:t xml:space="preserve">In thousands of </w:t>
            </w:r>
            <w:r w:rsidR="002649EE">
              <w:rPr>
                <w:i/>
                <w:color w:val="000000"/>
                <w:sz w:val="17"/>
                <w:szCs w:val="17"/>
              </w:rPr>
              <w:t>EUR</w:t>
            </w:r>
          </w:p>
        </w:tc>
        <w:tc>
          <w:tcPr>
            <w:tcW w:w="576" w:type="pct"/>
            <w:tcBorders>
              <w:top w:val="single" w:sz="4" w:space="0" w:color="000000"/>
              <w:bottom w:val="single" w:sz="4" w:space="0" w:color="000000"/>
            </w:tcBorders>
          </w:tcPr>
          <w:p w14:paraId="5D19E5E8"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 of the assets at year end</w:t>
            </w:r>
          </w:p>
        </w:tc>
        <w:tc>
          <w:tcPr>
            <w:tcW w:w="576" w:type="pct"/>
            <w:tcBorders>
              <w:top w:val="single" w:sz="4" w:space="0" w:color="000000"/>
              <w:bottom w:val="single" w:sz="4" w:space="0" w:color="000000"/>
            </w:tcBorders>
          </w:tcPr>
          <w:p w14:paraId="4595CDEC"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 of the associated liabilities</w:t>
            </w:r>
          </w:p>
        </w:tc>
        <w:tc>
          <w:tcPr>
            <w:tcW w:w="576" w:type="pct"/>
            <w:tcBorders>
              <w:top w:val="single" w:sz="4" w:space="0" w:color="000000"/>
              <w:bottom w:val="single" w:sz="4" w:space="0" w:color="000000"/>
            </w:tcBorders>
          </w:tcPr>
          <w:p w14:paraId="1F09AC01"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Net position</w:t>
            </w:r>
          </w:p>
        </w:tc>
        <w:tc>
          <w:tcPr>
            <w:tcW w:w="576" w:type="pct"/>
            <w:tcBorders>
              <w:top w:val="single" w:sz="4" w:space="0" w:color="000000"/>
              <w:bottom w:val="single" w:sz="4" w:space="0" w:color="000000"/>
            </w:tcBorders>
          </w:tcPr>
          <w:p w14:paraId="511870F6"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 of the assets at year end</w:t>
            </w:r>
          </w:p>
        </w:tc>
        <w:tc>
          <w:tcPr>
            <w:tcW w:w="576" w:type="pct"/>
            <w:tcBorders>
              <w:top w:val="single" w:sz="4" w:space="0" w:color="000000"/>
              <w:bottom w:val="single" w:sz="4" w:space="0" w:color="000000"/>
            </w:tcBorders>
          </w:tcPr>
          <w:p w14:paraId="31B27BF6"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 of the associated liabilities</w:t>
            </w:r>
          </w:p>
        </w:tc>
        <w:tc>
          <w:tcPr>
            <w:tcW w:w="575" w:type="pct"/>
            <w:tcBorders>
              <w:top w:val="single" w:sz="4" w:space="0" w:color="000000"/>
              <w:bottom w:val="single" w:sz="4" w:space="0" w:color="000000"/>
            </w:tcBorders>
          </w:tcPr>
          <w:p w14:paraId="274A6A1B"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Net position</w:t>
            </w:r>
          </w:p>
        </w:tc>
      </w:tr>
      <w:tr w:rsidR="00D83E33" w:rsidRPr="00077F42" w14:paraId="036FD137" w14:textId="77777777" w:rsidTr="001B330E">
        <w:trPr>
          <w:trHeight w:val="23"/>
        </w:trPr>
        <w:tc>
          <w:tcPr>
            <w:tcW w:w="1545" w:type="pct"/>
            <w:vAlign w:val="bottom"/>
          </w:tcPr>
          <w:p w14:paraId="4D8C6FCD" w14:textId="77777777" w:rsidR="00D83E33" w:rsidRPr="001B330E" w:rsidRDefault="00D83E33" w:rsidP="001B330E">
            <w:pPr>
              <w:widowControl w:val="0"/>
              <w:pBdr>
                <w:top w:val="nil"/>
                <w:left w:val="nil"/>
                <w:bottom w:val="nil"/>
                <w:right w:val="nil"/>
                <w:between w:val="nil"/>
              </w:pBdr>
              <w:ind w:left="113" w:hanging="113"/>
              <w:rPr>
                <w:color w:val="000000"/>
                <w:sz w:val="17"/>
                <w:szCs w:val="17"/>
              </w:rPr>
            </w:pPr>
          </w:p>
        </w:tc>
        <w:tc>
          <w:tcPr>
            <w:tcW w:w="576" w:type="pct"/>
            <w:vAlign w:val="bottom"/>
          </w:tcPr>
          <w:p w14:paraId="1FA9ED42" w14:textId="77777777" w:rsidR="00D83E33" w:rsidRPr="001B330E" w:rsidRDefault="00D83E33" w:rsidP="001B330E">
            <w:pPr>
              <w:widowControl w:val="0"/>
              <w:jc w:val="center"/>
              <w:rPr>
                <w:sz w:val="17"/>
                <w:szCs w:val="17"/>
              </w:rPr>
            </w:pPr>
          </w:p>
        </w:tc>
        <w:tc>
          <w:tcPr>
            <w:tcW w:w="576" w:type="pct"/>
            <w:vAlign w:val="bottom"/>
          </w:tcPr>
          <w:p w14:paraId="54FFB206" w14:textId="77777777" w:rsidR="00D83E33" w:rsidRPr="001B330E" w:rsidRDefault="00D83E33" w:rsidP="001B330E">
            <w:pPr>
              <w:widowControl w:val="0"/>
              <w:jc w:val="center"/>
              <w:rPr>
                <w:sz w:val="17"/>
                <w:szCs w:val="17"/>
              </w:rPr>
            </w:pPr>
          </w:p>
        </w:tc>
        <w:tc>
          <w:tcPr>
            <w:tcW w:w="576" w:type="pct"/>
            <w:vAlign w:val="bottom"/>
          </w:tcPr>
          <w:p w14:paraId="705D811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4E2E6BA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65E4E24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18C973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41E5D2EA" w14:textId="77777777" w:rsidTr="001B330E">
        <w:trPr>
          <w:trHeight w:val="23"/>
        </w:trPr>
        <w:tc>
          <w:tcPr>
            <w:tcW w:w="1545" w:type="pct"/>
            <w:vAlign w:val="bottom"/>
          </w:tcPr>
          <w:p w14:paraId="73B9E738"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Other financial assets at FVTPL</w:t>
            </w:r>
          </w:p>
        </w:tc>
        <w:tc>
          <w:tcPr>
            <w:tcW w:w="576" w:type="pct"/>
            <w:vAlign w:val="bottom"/>
          </w:tcPr>
          <w:p w14:paraId="3DE8510C" w14:textId="77777777" w:rsidR="00D83E33" w:rsidRPr="001B330E" w:rsidRDefault="00D83E33" w:rsidP="001B330E">
            <w:pPr>
              <w:widowControl w:val="0"/>
              <w:jc w:val="center"/>
              <w:rPr>
                <w:sz w:val="17"/>
                <w:szCs w:val="17"/>
              </w:rPr>
            </w:pPr>
          </w:p>
        </w:tc>
        <w:tc>
          <w:tcPr>
            <w:tcW w:w="576" w:type="pct"/>
            <w:vAlign w:val="bottom"/>
          </w:tcPr>
          <w:p w14:paraId="1479FD06" w14:textId="77777777" w:rsidR="00D83E33" w:rsidRPr="001B330E" w:rsidRDefault="00D83E33" w:rsidP="001B330E">
            <w:pPr>
              <w:widowControl w:val="0"/>
              <w:jc w:val="center"/>
              <w:rPr>
                <w:sz w:val="17"/>
                <w:szCs w:val="17"/>
              </w:rPr>
            </w:pPr>
          </w:p>
        </w:tc>
        <w:tc>
          <w:tcPr>
            <w:tcW w:w="576" w:type="pct"/>
            <w:vAlign w:val="bottom"/>
          </w:tcPr>
          <w:p w14:paraId="26EC837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5A7CD74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025BB7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139E7B1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75E9A236" w14:textId="77777777" w:rsidTr="001B330E">
        <w:trPr>
          <w:trHeight w:val="23"/>
        </w:trPr>
        <w:tc>
          <w:tcPr>
            <w:tcW w:w="1545" w:type="pct"/>
            <w:vAlign w:val="bottom"/>
          </w:tcPr>
          <w:p w14:paraId="28D94183"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color w:val="000000"/>
                <w:sz w:val="17"/>
                <w:szCs w:val="17"/>
              </w:rPr>
              <w:t>- FX forward contracts</w:t>
            </w:r>
          </w:p>
        </w:tc>
        <w:tc>
          <w:tcPr>
            <w:tcW w:w="576" w:type="pct"/>
            <w:vAlign w:val="bottom"/>
          </w:tcPr>
          <w:p w14:paraId="31B304A6" w14:textId="77777777" w:rsidR="00D83E33" w:rsidRPr="001B330E" w:rsidRDefault="00D83E33" w:rsidP="001B330E">
            <w:pPr>
              <w:widowControl w:val="0"/>
              <w:jc w:val="center"/>
              <w:rPr>
                <w:sz w:val="17"/>
                <w:szCs w:val="17"/>
              </w:rPr>
            </w:pPr>
          </w:p>
        </w:tc>
        <w:tc>
          <w:tcPr>
            <w:tcW w:w="576" w:type="pct"/>
            <w:vAlign w:val="bottom"/>
          </w:tcPr>
          <w:p w14:paraId="3BC627C6" w14:textId="77777777" w:rsidR="00D83E33" w:rsidRPr="001B330E" w:rsidRDefault="00D83E33" w:rsidP="001B330E">
            <w:pPr>
              <w:widowControl w:val="0"/>
              <w:jc w:val="center"/>
              <w:rPr>
                <w:sz w:val="17"/>
                <w:szCs w:val="17"/>
              </w:rPr>
            </w:pPr>
          </w:p>
        </w:tc>
        <w:tc>
          <w:tcPr>
            <w:tcW w:w="576" w:type="pct"/>
            <w:vAlign w:val="bottom"/>
          </w:tcPr>
          <w:p w14:paraId="3BF0BE1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1DB9F03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0141691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45695B8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6EC78E15" w14:textId="77777777" w:rsidTr="001B330E">
        <w:trPr>
          <w:trHeight w:val="23"/>
        </w:trPr>
        <w:tc>
          <w:tcPr>
            <w:tcW w:w="1545" w:type="pct"/>
            <w:vAlign w:val="bottom"/>
          </w:tcPr>
          <w:p w14:paraId="1F00D832"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color w:val="000000"/>
                <w:sz w:val="17"/>
                <w:szCs w:val="17"/>
              </w:rPr>
              <w:t>- Precious metals forward contracts</w:t>
            </w:r>
          </w:p>
        </w:tc>
        <w:tc>
          <w:tcPr>
            <w:tcW w:w="576" w:type="pct"/>
            <w:vAlign w:val="bottom"/>
          </w:tcPr>
          <w:p w14:paraId="7E72C343" w14:textId="77777777" w:rsidR="00D83E33" w:rsidRPr="001B330E" w:rsidRDefault="00D83E33" w:rsidP="001B330E">
            <w:pPr>
              <w:widowControl w:val="0"/>
              <w:jc w:val="center"/>
              <w:rPr>
                <w:sz w:val="17"/>
                <w:szCs w:val="17"/>
              </w:rPr>
            </w:pPr>
          </w:p>
        </w:tc>
        <w:tc>
          <w:tcPr>
            <w:tcW w:w="576" w:type="pct"/>
            <w:vAlign w:val="bottom"/>
          </w:tcPr>
          <w:p w14:paraId="13B9DE06" w14:textId="77777777" w:rsidR="00D83E33" w:rsidRPr="001B330E" w:rsidRDefault="00D83E33" w:rsidP="001B330E">
            <w:pPr>
              <w:widowControl w:val="0"/>
              <w:jc w:val="center"/>
              <w:rPr>
                <w:sz w:val="17"/>
                <w:szCs w:val="17"/>
              </w:rPr>
            </w:pPr>
          </w:p>
        </w:tc>
        <w:tc>
          <w:tcPr>
            <w:tcW w:w="576" w:type="pct"/>
            <w:vAlign w:val="bottom"/>
          </w:tcPr>
          <w:p w14:paraId="5C87493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4D11D12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3F9181C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4C2CD3D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0D70F3A1" w14:textId="77777777" w:rsidTr="001B330E">
        <w:trPr>
          <w:trHeight w:val="23"/>
        </w:trPr>
        <w:tc>
          <w:tcPr>
            <w:tcW w:w="1545" w:type="pct"/>
            <w:vAlign w:val="bottom"/>
          </w:tcPr>
          <w:p w14:paraId="78A2B78F" w14:textId="549355F3"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color w:val="000000"/>
                <w:sz w:val="17"/>
                <w:szCs w:val="17"/>
              </w:rPr>
              <w:t xml:space="preserve">- Other </w:t>
            </w:r>
          </w:p>
        </w:tc>
        <w:tc>
          <w:tcPr>
            <w:tcW w:w="576" w:type="pct"/>
            <w:vAlign w:val="bottom"/>
          </w:tcPr>
          <w:p w14:paraId="1568D393" w14:textId="77777777" w:rsidR="00D83E33" w:rsidRPr="001B330E" w:rsidRDefault="00D83E33" w:rsidP="001B330E">
            <w:pPr>
              <w:widowControl w:val="0"/>
              <w:jc w:val="center"/>
              <w:rPr>
                <w:sz w:val="17"/>
                <w:szCs w:val="17"/>
              </w:rPr>
            </w:pPr>
          </w:p>
        </w:tc>
        <w:tc>
          <w:tcPr>
            <w:tcW w:w="576" w:type="pct"/>
            <w:vAlign w:val="bottom"/>
          </w:tcPr>
          <w:p w14:paraId="71897428" w14:textId="77777777" w:rsidR="00D83E33" w:rsidRPr="001B330E" w:rsidRDefault="00D83E33" w:rsidP="001B330E">
            <w:pPr>
              <w:widowControl w:val="0"/>
              <w:jc w:val="center"/>
              <w:rPr>
                <w:sz w:val="17"/>
                <w:szCs w:val="17"/>
              </w:rPr>
            </w:pPr>
          </w:p>
        </w:tc>
        <w:tc>
          <w:tcPr>
            <w:tcW w:w="576" w:type="pct"/>
            <w:vAlign w:val="bottom"/>
          </w:tcPr>
          <w:p w14:paraId="413A26D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6EF171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3F891E3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0A58D85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10819683" w14:textId="77777777" w:rsidTr="001B330E">
        <w:trPr>
          <w:trHeight w:val="23"/>
        </w:trPr>
        <w:tc>
          <w:tcPr>
            <w:tcW w:w="1545" w:type="pct"/>
            <w:vAlign w:val="bottom"/>
          </w:tcPr>
          <w:p w14:paraId="413F0F6D" w14:textId="77777777" w:rsidR="00D83E33" w:rsidRPr="001B330E" w:rsidRDefault="00D83E33" w:rsidP="001B330E">
            <w:pPr>
              <w:widowControl w:val="0"/>
              <w:pBdr>
                <w:top w:val="nil"/>
                <w:left w:val="nil"/>
                <w:bottom w:val="nil"/>
                <w:right w:val="nil"/>
                <w:between w:val="nil"/>
              </w:pBdr>
              <w:ind w:left="113" w:hanging="113"/>
              <w:rPr>
                <w:i/>
                <w:color w:val="FF0000"/>
                <w:sz w:val="17"/>
                <w:szCs w:val="17"/>
              </w:rPr>
            </w:pPr>
          </w:p>
        </w:tc>
        <w:tc>
          <w:tcPr>
            <w:tcW w:w="576" w:type="pct"/>
            <w:vAlign w:val="bottom"/>
          </w:tcPr>
          <w:p w14:paraId="2B3F9B5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423660A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3B267B3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4E51248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19F3101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1CBCC2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643FEA63" w14:textId="77777777" w:rsidTr="001B330E">
        <w:trPr>
          <w:trHeight w:val="23"/>
        </w:trPr>
        <w:tc>
          <w:tcPr>
            <w:tcW w:w="1545" w:type="pct"/>
            <w:tcBorders>
              <w:bottom w:val="single" w:sz="4" w:space="0" w:color="000000"/>
            </w:tcBorders>
            <w:vAlign w:val="bottom"/>
          </w:tcPr>
          <w:p w14:paraId="5677E4E6" w14:textId="77777777" w:rsidR="00D83E33" w:rsidRPr="001B330E" w:rsidRDefault="00BC4072" w:rsidP="001B330E">
            <w:pPr>
              <w:widowControl w:val="0"/>
              <w:ind w:left="113" w:hanging="113"/>
              <w:rPr>
                <w:sz w:val="17"/>
                <w:szCs w:val="17"/>
              </w:rPr>
            </w:pPr>
            <w:r w:rsidRPr="001B330E">
              <w:rPr>
                <w:b/>
                <w:sz w:val="17"/>
                <w:szCs w:val="17"/>
              </w:rPr>
              <w:t> </w:t>
            </w:r>
          </w:p>
        </w:tc>
        <w:tc>
          <w:tcPr>
            <w:tcW w:w="576" w:type="pct"/>
            <w:tcBorders>
              <w:bottom w:val="single" w:sz="4" w:space="0" w:color="000000"/>
            </w:tcBorders>
            <w:vAlign w:val="bottom"/>
          </w:tcPr>
          <w:p w14:paraId="5095261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04E2443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775F333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1A3BB06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7EEB0B8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tcBorders>
              <w:bottom w:val="single" w:sz="4" w:space="0" w:color="000000"/>
            </w:tcBorders>
            <w:vAlign w:val="bottom"/>
          </w:tcPr>
          <w:p w14:paraId="1A26F98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6A2F9D71" w14:textId="77777777" w:rsidTr="001B330E">
        <w:trPr>
          <w:trHeight w:val="23"/>
        </w:trPr>
        <w:tc>
          <w:tcPr>
            <w:tcW w:w="1545" w:type="pct"/>
            <w:tcBorders>
              <w:top w:val="single" w:sz="4" w:space="0" w:color="000000"/>
            </w:tcBorders>
            <w:vAlign w:val="bottom"/>
          </w:tcPr>
          <w:p w14:paraId="030FCE35" w14:textId="77777777" w:rsidR="00D83E33" w:rsidRPr="001B330E" w:rsidRDefault="00BC4072" w:rsidP="001B330E">
            <w:pPr>
              <w:widowControl w:val="0"/>
              <w:ind w:left="113" w:hanging="113"/>
              <w:rPr>
                <w:sz w:val="17"/>
                <w:szCs w:val="17"/>
              </w:rPr>
            </w:pPr>
            <w:r w:rsidRPr="001B330E">
              <w:rPr>
                <w:b/>
                <w:sz w:val="17"/>
                <w:szCs w:val="17"/>
              </w:rPr>
              <w:t> </w:t>
            </w:r>
          </w:p>
        </w:tc>
        <w:tc>
          <w:tcPr>
            <w:tcW w:w="576" w:type="pct"/>
            <w:tcBorders>
              <w:top w:val="single" w:sz="4" w:space="0" w:color="000000"/>
            </w:tcBorders>
            <w:vAlign w:val="bottom"/>
          </w:tcPr>
          <w:p w14:paraId="10666C7F"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tcBorders>
              <w:top w:val="single" w:sz="4" w:space="0" w:color="000000"/>
            </w:tcBorders>
            <w:vAlign w:val="bottom"/>
          </w:tcPr>
          <w:p w14:paraId="445D022E"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tcBorders>
              <w:top w:val="single" w:sz="4" w:space="0" w:color="000000"/>
            </w:tcBorders>
            <w:vAlign w:val="bottom"/>
          </w:tcPr>
          <w:p w14:paraId="3F29787A"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tcBorders>
              <w:top w:val="single" w:sz="4" w:space="0" w:color="000000"/>
            </w:tcBorders>
            <w:vAlign w:val="bottom"/>
          </w:tcPr>
          <w:p w14:paraId="34FFAB06"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tcBorders>
              <w:top w:val="single" w:sz="4" w:space="0" w:color="000000"/>
            </w:tcBorders>
            <w:vAlign w:val="bottom"/>
          </w:tcPr>
          <w:p w14:paraId="4F50E2B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5" w:type="pct"/>
            <w:tcBorders>
              <w:top w:val="single" w:sz="4" w:space="0" w:color="000000"/>
            </w:tcBorders>
            <w:vAlign w:val="bottom"/>
          </w:tcPr>
          <w:p w14:paraId="6D156E26"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077F42" w14:paraId="3D6BE609" w14:textId="77777777" w:rsidTr="001B330E">
        <w:trPr>
          <w:trHeight w:val="23"/>
        </w:trPr>
        <w:tc>
          <w:tcPr>
            <w:tcW w:w="1545" w:type="pct"/>
            <w:vAlign w:val="bottom"/>
          </w:tcPr>
          <w:p w14:paraId="3FB7D8C9"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b/>
                <w:color w:val="000000"/>
                <w:sz w:val="17"/>
                <w:szCs w:val="17"/>
              </w:rPr>
              <w:t>Total</w:t>
            </w:r>
          </w:p>
        </w:tc>
        <w:tc>
          <w:tcPr>
            <w:tcW w:w="576" w:type="pct"/>
            <w:vAlign w:val="bottom"/>
          </w:tcPr>
          <w:p w14:paraId="0B045D9B"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vAlign w:val="bottom"/>
          </w:tcPr>
          <w:p w14:paraId="4187BAD5"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vAlign w:val="bottom"/>
          </w:tcPr>
          <w:p w14:paraId="0F1747B6"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vAlign w:val="bottom"/>
          </w:tcPr>
          <w:p w14:paraId="0B26CBCA"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vAlign w:val="bottom"/>
          </w:tcPr>
          <w:p w14:paraId="6A64C079"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5" w:type="pct"/>
            <w:vAlign w:val="bottom"/>
          </w:tcPr>
          <w:p w14:paraId="3638D5B9"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077F42" w14:paraId="35F60997" w14:textId="77777777" w:rsidTr="001B330E">
        <w:trPr>
          <w:trHeight w:val="23"/>
        </w:trPr>
        <w:tc>
          <w:tcPr>
            <w:tcW w:w="1545" w:type="pct"/>
            <w:tcBorders>
              <w:bottom w:val="single" w:sz="12" w:space="0" w:color="000000"/>
            </w:tcBorders>
            <w:vAlign w:val="bottom"/>
          </w:tcPr>
          <w:p w14:paraId="6F64BA36" w14:textId="77777777" w:rsidR="00D83E33" w:rsidRPr="001B330E" w:rsidRDefault="00BC4072" w:rsidP="001B330E">
            <w:pPr>
              <w:widowControl w:val="0"/>
              <w:ind w:left="113" w:hanging="113"/>
              <w:rPr>
                <w:sz w:val="17"/>
                <w:szCs w:val="17"/>
              </w:rPr>
            </w:pPr>
            <w:r w:rsidRPr="001B330E">
              <w:rPr>
                <w:b/>
                <w:sz w:val="17"/>
                <w:szCs w:val="17"/>
              </w:rPr>
              <w:t> </w:t>
            </w:r>
          </w:p>
        </w:tc>
        <w:tc>
          <w:tcPr>
            <w:tcW w:w="576" w:type="pct"/>
            <w:tcBorders>
              <w:bottom w:val="single" w:sz="12" w:space="0" w:color="000000"/>
            </w:tcBorders>
            <w:vAlign w:val="bottom"/>
          </w:tcPr>
          <w:p w14:paraId="0648ACBF"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tcBorders>
              <w:bottom w:val="single" w:sz="12" w:space="0" w:color="000000"/>
            </w:tcBorders>
            <w:vAlign w:val="bottom"/>
          </w:tcPr>
          <w:p w14:paraId="2D17CA12"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tcBorders>
              <w:bottom w:val="single" w:sz="12" w:space="0" w:color="000000"/>
            </w:tcBorders>
            <w:vAlign w:val="bottom"/>
          </w:tcPr>
          <w:p w14:paraId="04AFCE3D"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tcBorders>
              <w:bottom w:val="single" w:sz="12" w:space="0" w:color="000000"/>
            </w:tcBorders>
            <w:vAlign w:val="bottom"/>
          </w:tcPr>
          <w:p w14:paraId="6787A864"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6" w:type="pct"/>
            <w:tcBorders>
              <w:bottom w:val="single" w:sz="12" w:space="0" w:color="000000"/>
            </w:tcBorders>
            <w:vAlign w:val="bottom"/>
          </w:tcPr>
          <w:p w14:paraId="5A53E0F0"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575" w:type="pct"/>
            <w:tcBorders>
              <w:bottom w:val="single" w:sz="12" w:space="0" w:color="000000"/>
            </w:tcBorders>
            <w:vAlign w:val="bottom"/>
          </w:tcPr>
          <w:p w14:paraId="5EE94482"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bl>
    <w:p w14:paraId="3ADAC1F1" w14:textId="77777777" w:rsidR="00D83E33" w:rsidRDefault="00BC4072" w:rsidP="001B330E">
      <w:pPr>
        <w:widowControl w:val="0"/>
        <w:spacing w:before="200" w:after="200"/>
        <w:jc w:val="both"/>
        <w:rPr>
          <w:i/>
          <w:color w:val="FF0000"/>
          <w:sz w:val="20"/>
          <w:szCs w:val="20"/>
        </w:rPr>
      </w:pPr>
      <w:r>
        <w:rPr>
          <w:sz w:val="20"/>
          <w:szCs w:val="20"/>
        </w:rPr>
        <w:t xml:space="preserve">The following schedule summarises transfers where the entity continues to recognise the assets to the extent of its continuing involvement. The analysis is provided by class of financial assets. </w:t>
      </w:r>
    </w:p>
    <w:tbl>
      <w:tblPr>
        <w:tblStyle w:val="afffffffffffffffa"/>
        <w:tblW w:w="5000" w:type="pct"/>
        <w:tblLayout w:type="fixed"/>
        <w:tblLook w:val="0000" w:firstRow="0" w:lastRow="0" w:firstColumn="0" w:lastColumn="0" w:noHBand="0" w:noVBand="0"/>
      </w:tblPr>
      <w:tblGrid>
        <w:gridCol w:w="2890"/>
        <w:gridCol w:w="1077"/>
        <w:gridCol w:w="1078"/>
        <w:gridCol w:w="1078"/>
        <w:gridCol w:w="1078"/>
        <w:gridCol w:w="1078"/>
        <w:gridCol w:w="1076"/>
      </w:tblGrid>
      <w:tr w:rsidR="00D83E33" w:rsidRPr="00077F42" w14:paraId="76278A08" w14:textId="77777777" w:rsidTr="001B330E">
        <w:trPr>
          <w:trHeight w:val="23"/>
        </w:trPr>
        <w:tc>
          <w:tcPr>
            <w:tcW w:w="1545" w:type="pct"/>
            <w:vAlign w:val="bottom"/>
          </w:tcPr>
          <w:p w14:paraId="754F1D74" w14:textId="77777777" w:rsidR="00D83E33" w:rsidRPr="001B330E" w:rsidRDefault="00D83E33" w:rsidP="001B330E">
            <w:pPr>
              <w:widowControl w:val="0"/>
              <w:rPr>
                <w:b/>
                <w:sz w:val="17"/>
                <w:szCs w:val="17"/>
              </w:rPr>
            </w:pPr>
          </w:p>
        </w:tc>
        <w:tc>
          <w:tcPr>
            <w:tcW w:w="1728" w:type="pct"/>
            <w:gridSpan w:val="3"/>
            <w:tcBorders>
              <w:bottom w:val="single" w:sz="4" w:space="0" w:color="000000"/>
            </w:tcBorders>
            <w:vAlign w:val="bottom"/>
          </w:tcPr>
          <w:p w14:paraId="7729E259" w14:textId="45C17F67" w:rsidR="00D83E33" w:rsidRPr="001B330E" w:rsidRDefault="00BC4072" w:rsidP="001B330E">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2024</w:t>
            </w:r>
          </w:p>
        </w:tc>
        <w:tc>
          <w:tcPr>
            <w:tcW w:w="1727" w:type="pct"/>
            <w:gridSpan w:val="3"/>
            <w:tcBorders>
              <w:bottom w:val="single" w:sz="4" w:space="0" w:color="000000"/>
            </w:tcBorders>
            <w:vAlign w:val="bottom"/>
          </w:tcPr>
          <w:p w14:paraId="1CDD703D" w14:textId="2B415F98" w:rsidR="00D83E33" w:rsidRPr="001B330E" w:rsidRDefault="00BC4072" w:rsidP="001B330E">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2023</w:t>
            </w:r>
          </w:p>
        </w:tc>
      </w:tr>
      <w:tr w:rsidR="00D83E33" w:rsidRPr="00077F42" w14:paraId="0B0E6276" w14:textId="77777777" w:rsidTr="001B330E">
        <w:trPr>
          <w:trHeight w:val="23"/>
        </w:trPr>
        <w:tc>
          <w:tcPr>
            <w:tcW w:w="1545" w:type="pct"/>
            <w:tcBorders>
              <w:bottom w:val="single" w:sz="4" w:space="0" w:color="000000"/>
            </w:tcBorders>
            <w:vAlign w:val="bottom"/>
          </w:tcPr>
          <w:p w14:paraId="65E745BF" w14:textId="275FB32C" w:rsidR="00D83E33" w:rsidRPr="001B330E" w:rsidRDefault="00313B4D" w:rsidP="001B330E">
            <w:pPr>
              <w:widowControl w:val="0"/>
              <w:pBdr>
                <w:top w:val="nil"/>
                <w:left w:val="nil"/>
                <w:bottom w:val="nil"/>
                <w:right w:val="nil"/>
                <w:between w:val="nil"/>
              </w:pBdr>
              <w:rPr>
                <w:b/>
                <w:i/>
                <w:color w:val="000000"/>
                <w:sz w:val="17"/>
                <w:szCs w:val="17"/>
              </w:rPr>
            </w:pPr>
            <w:r>
              <w:rPr>
                <w:i/>
                <w:color w:val="000000"/>
                <w:sz w:val="17"/>
                <w:szCs w:val="17"/>
              </w:rPr>
              <w:t xml:space="preserve">In thousands of </w:t>
            </w:r>
            <w:r w:rsidR="002649EE">
              <w:rPr>
                <w:i/>
                <w:color w:val="000000"/>
                <w:sz w:val="17"/>
                <w:szCs w:val="17"/>
              </w:rPr>
              <w:t>EUR</w:t>
            </w:r>
          </w:p>
        </w:tc>
        <w:tc>
          <w:tcPr>
            <w:tcW w:w="576" w:type="pct"/>
            <w:tcBorders>
              <w:top w:val="single" w:sz="4" w:space="0" w:color="000000"/>
              <w:bottom w:val="single" w:sz="4" w:space="0" w:color="000000"/>
            </w:tcBorders>
          </w:tcPr>
          <w:p w14:paraId="746B9F81"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before the transfer</w:t>
            </w:r>
          </w:p>
        </w:tc>
        <w:tc>
          <w:tcPr>
            <w:tcW w:w="576" w:type="pct"/>
            <w:tcBorders>
              <w:top w:val="single" w:sz="4" w:space="0" w:color="000000"/>
              <w:bottom w:val="single" w:sz="4" w:space="0" w:color="000000"/>
            </w:tcBorders>
          </w:tcPr>
          <w:p w14:paraId="5FD30003"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that the entity continues to recognise after the transfer</w:t>
            </w:r>
          </w:p>
        </w:tc>
        <w:tc>
          <w:tcPr>
            <w:tcW w:w="576" w:type="pct"/>
            <w:tcBorders>
              <w:top w:val="single" w:sz="4" w:space="0" w:color="000000"/>
              <w:bottom w:val="single" w:sz="4" w:space="0" w:color="000000"/>
            </w:tcBorders>
          </w:tcPr>
          <w:p w14:paraId="3CB45F83"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associated liabilities</w:t>
            </w:r>
          </w:p>
        </w:tc>
        <w:tc>
          <w:tcPr>
            <w:tcW w:w="576" w:type="pct"/>
            <w:tcBorders>
              <w:top w:val="single" w:sz="4" w:space="0" w:color="000000"/>
              <w:bottom w:val="single" w:sz="4" w:space="0" w:color="000000"/>
            </w:tcBorders>
          </w:tcPr>
          <w:p w14:paraId="6EC0F80F"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before the transfer</w:t>
            </w:r>
          </w:p>
        </w:tc>
        <w:tc>
          <w:tcPr>
            <w:tcW w:w="576" w:type="pct"/>
            <w:tcBorders>
              <w:top w:val="single" w:sz="4" w:space="0" w:color="000000"/>
              <w:bottom w:val="single" w:sz="4" w:space="0" w:color="000000"/>
            </w:tcBorders>
          </w:tcPr>
          <w:p w14:paraId="7BF93E9F"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that the entity continues to recognise after the transfer</w:t>
            </w:r>
          </w:p>
        </w:tc>
        <w:tc>
          <w:tcPr>
            <w:tcW w:w="575" w:type="pct"/>
            <w:tcBorders>
              <w:top w:val="single" w:sz="4" w:space="0" w:color="000000"/>
              <w:bottom w:val="single" w:sz="4" w:space="0" w:color="000000"/>
            </w:tcBorders>
          </w:tcPr>
          <w:p w14:paraId="23E45E9D"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associated liabilities</w:t>
            </w:r>
          </w:p>
        </w:tc>
      </w:tr>
      <w:tr w:rsidR="00D83E33" w:rsidRPr="00077F42" w14:paraId="677E55B4" w14:textId="77777777" w:rsidTr="001B330E">
        <w:trPr>
          <w:trHeight w:val="23"/>
        </w:trPr>
        <w:tc>
          <w:tcPr>
            <w:tcW w:w="1545" w:type="pct"/>
            <w:tcBorders>
              <w:top w:val="single" w:sz="4" w:space="0" w:color="000000"/>
            </w:tcBorders>
            <w:vAlign w:val="bottom"/>
          </w:tcPr>
          <w:p w14:paraId="41E40FE6" w14:textId="77777777" w:rsidR="00D83E33" w:rsidRPr="001B330E" w:rsidRDefault="00BC4072" w:rsidP="001B330E">
            <w:pPr>
              <w:widowControl w:val="0"/>
              <w:rPr>
                <w:b/>
                <w:sz w:val="17"/>
                <w:szCs w:val="17"/>
              </w:rPr>
            </w:pPr>
            <w:r w:rsidRPr="001B330E">
              <w:rPr>
                <w:b/>
                <w:sz w:val="17"/>
                <w:szCs w:val="17"/>
              </w:rPr>
              <w:t> </w:t>
            </w:r>
          </w:p>
        </w:tc>
        <w:tc>
          <w:tcPr>
            <w:tcW w:w="576" w:type="pct"/>
            <w:tcBorders>
              <w:top w:val="single" w:sz="4" w:space="0" w:color="000000"/>
            </w:tcBorders>
            <w:vAlign w:val="bottom"/>
          </w:tcPr>
          <w:p w14:paraId="6542CB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top w:val="single" w:sz="4" w:space="0" w:color="000000"/>
            </w:tcBorders>
            <w:vAlign w:val="bottom"/>
          </w:tcPr>
          <w:p w14:paraId="4E949B6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top w:val="single" w:sz="4" w:space="0" w:color="000000"/>
            </w:tcBorders>
            <w:vAlign w:val="bottom"/>
          </w:tcPr>
          <w:p w14:paraId="361BAE3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top w:val="single" w:sz="4" w:space="0" w:color="000000"/>
            </w:tcBorders>
            <w:vAlign w:val="bottom"/>
          </w:tcPr>
          <w:p w14:paraId="5EF84DD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top w:val="single" w:sz="4" w:space="0" w:color="000000"/>
            </w:tcBorders>
            <w:vAlign w:val="bottom"/>
          </w:tcPr>
          <w:p w14:paraId="76CF690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tcBorders>
              <w:top w:val="single" w:sz="4" w:space="0" w:color="000000"/>
            </w:tcBorders>
            <w:vAlign w:val="bottom"/>
          </w:tcPr>
          <w:p w14:paraId="0DFE152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57F88625" w14:textId="77777777" w:rsidTr="001B330E">
        <w:trPr>
          <w:trHeight w:val="23"/>
        </w:trPr>
        <w:tc>
          <w:tcPr>
            <w:tcW w:w="1545" w:type="pct"/>
            <w:vAlign w:val="bottom"/>
          </w:tcPr>
          <w:p w14:paraId="74AAC0BD" w14:textId="77777777" w:rsidR="00D83E33" w:rsidRPr="001B330E" w:rsidRDefault="00BC4072" w:rsidP="001B330E">
            <w:pPr>
              <w:widowControl w:val="0"/>
              <w:pBdr>
                <w:top w:val="nil"/>
                <w:left w:val="nil"/>
                <w:bottom w:val="nil"/>
                <w:right w:val="nil"/>
                <w:between w:val="nil"/>
              </w:pBdr>
              <w:rPr>
                <w:color w:val="000000"/>
                <w:sz w:val="17"/>
                <w:szCs w:val="17"/>
              </w:rPr>
            </w:pPr>
            <w:r w:rsidRPr="001B330E">
              <w:rPr>
                <w:color w:val="000000"/>
                <w:sz w:val="17"/>
                <w:szCs w:val="17"/>
              </w:rPr>
              <w:t>Corporate loans</w:t>
            </w:r>
          </w:p>
        </w:tc>
        <w:tc>
          <w:tcPr>
            <w:tcW w:w="576" w:type="pct"/>
            <w:vAlign w:val="bottom"/>
          </w:tcPr>
          <w:p w14:paraId="55B11782" w14:textId="77777777" w:rsidR="00D83E33" w:rsidRPr="001B330E" w:rsidRDefault="00D83E33" w:rsidP="001B330E">
            <w:pPr>
              <w:widowControl w:val="0"/>
              <w:jc w:val="center"/>
              <w:rPr>
                <w:sz w:val="17"/>
                <w:szCs w:val="17"/>
              </w:rPr>
            </w:pPr>
          </w:p>
        </w:tc>
        <w:tc>
          <w:tcPr>
            <w:tcW w:w="576" w:type="pct"/>
            <w:vAlign w:val="bottom"/>
          </w:tcPr>
          <w:p w14:paraId="05DFB205" w14:textId="77777777" w:rsidR="00D83E33" w:rsidRPr="001B330E" w:rsidRDefault="00D83E33" w:rsidP="001B330E">
            <w:pPr>
              <w:widowControl w:val="0"/>
              <w:jc w:val="center"/>
              <w:rPr>
                <w:sz w:val="17"/>
                <w:szCs w:val="17"/>
              </w:rPr>
            </w:pPr>
          </w:p>
        </w:tc>
        <w:tc>
          <w:tcPr>
            <w:tcW w:w="576" w:type="pct"/>
            <w:vAlign w:val="bottom"/>
          </w:tcPr>
          <w:p w14:paraId="71BD0A7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7C48186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74DC194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3AC2A31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704CFF25" w14:textId="77777777" w:rsidTr="001B330E">
        <w:trPr>
          <w:trHeight w:val="23"/>
        </w:trPr>
        <w:tc>
          <w:tcPr>
            <w:tcW w:w="1545" w:type="pct"/>
            <w:vAlign w:val="bottom"/>
          </w:tcPr>
          <w:p w14:paraId="743F27E2" w14:textId="77777777" w:rsidR="00D83E33" w:rsidRPr="001B330E" w:rsidRDefault="00BC4072" w:rsidP="001B330E">
            <w:pPr>
              <w:widowControl w:val="0"/>
              <w:pBdr>
                <w:top w:val="nil"/>
                <w:left w:val="nil"/>
                <w:bottom w:val="nil"/>
                <w:right w:val="nil"/>
                <w:between w:val="nil"/>
              </w:pBdr>
              <w:rPr>
                <w:color w:val="000000"/>
                <w:sz w:val="17"/>
                <w:szCs w:val="17"/>
              </w:rPr>
            </w:pPr>
            <w:r w:rsidRPr="001B330E">
              <w:rPr>
                <w:color w:val="000000"/>
                <w:sz w:val="17"/>
                <w:szCs w:val="17"/>
              </w:rPr>
              <w:t>Loans to individuals</w:t>
            </w:r>
          </w:p>
        </w:tc>
        <w:tc>
          <w:tcPr>
            <w:tcW w:w="576" w:type="pct"/>
            <w:vAlign w:val="bottom"/>
          </w:tcPr>
          <w:p w14:paraId="35E9FF44" w14:textId="77777777" w:rsidR="00D83E33" w:rsidRPr="001B330E" w:rsidRDefault="00D83E33" w:rsidP="001B330E">
            <w:pPr>
              <w:widowControl w:val="0"/>
              <w:jc w:val="center"/>
              <w:rPr>
                <w:sz w:val="17"/>
                <w:szCs w:val="17"/>
              </w:rPr>
            </w:pPr>
          </w:p>
        </w:tc>
        <w:tc>
          <w:tcPr>
            <w:tcW w:w="576" w:type="pct"/>
            <w:vAlign w:val="bottom"/>
          </w:tcPr>
          <w:p w14:paraId="6CF29869" w14:textId="77777777" w:rsidR="00D83E33" w:rsidRPr="001B330E" w:rsidRDefault="00D83E33" w:rsidP="001B330E">
            <w:pPr>
              <w:widowControl w:val="0"/>
              <w:jc w:val="center"/>
              <w:rPr>
                <w:sz w:val="17"/>
                <w:szCs w:val="17"/>
              </w:rPr>
            </w:pPr>
          </w:p>
        </w:tc>
        <w:tc>
          <w:tcPr>
            <w:tcW w:w="576" w:type="pct"/>
            <w:vAlign w:val="bottom"/>
          </w:tcPr>
          <w:p w14:paraId="31CDE3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42A2C8D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79FFDE2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67F9AC1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2536C799" w14:textId="77777777" w:rsidTr="001B330E">
        <w:trPr>
          <w:trHeight w:val="23"/>
        </w:trPr>
        <w:tc>
          <w:tcPr>
            <w:tcW w:w="1545" w:type="pct"/>
            <w:vAlign w:val="bottom"/>
          </w:tcPr>
          <w:p w14:paraId="54E51F22" w14:textId="77777777" w:rsidR="00D83E33" w:rsidRPr="001B330E" w:rsidRDefault="00BC4072" w:rsidP="001B330E">
            <w:pPr>
              <w:widowControl w:val="0"/>
              <w:pBdr>
                <w:top w:val="nil"/>
                <w:left w:val="nil"/>
                <w:bottom w:val="nil"/>
                <w:right w:val="nil"/>
                <w:between w:val="nil"/>
              </w:pBdr>
              <w:rPr>
                <w:color w:val="000000"/>
                <w:sz w:val="17"/>
                <w:szCs w:val="17"/>
              </w:rPr>
            </w:pPr>
            <w:r w:rsidRPr="001B330E">
              <w:rPr>
                <w:color w:val="000000"/>
                <w:sz w:val="17"/>
                <w:szCs w:val="17"/>
              </w:rPr>
              <w:t>Debt securities mandatorily measured at FVTPL</w:t>
            </w:r>
          </w:p>
        </w:tc>
        <w:tc>
          <w:tcPr>
            <w:tcW w:w="576" w:type="pct"/>
            <w:vAlign w:val="bottom"/>
          </w:tcPr>
          <w:p w14:paraId="74E83C61" w14:textId="77777777" w:rsidR="00D83E33" w:rsidRPr="001B330E" w:rsidRDefault="00D83E33" w:rsidP="001B330E">
            <w:pPr>
              <w:widowControl w:val="0"/>
              <w:jc w:val="center"/>
              <w:rPr>
                <w:sz w:val="17"/>
                <w:szCs w:val="17"/>
              </w:rPr>
            </w:pPr>
          </w:p>
        </w:tc>
        <w:tc>
          <w:tcPr>
            <w:tcW w:w="576" w:type="pct"/>
            <w:vAlign w:val="bottom"/>
          </w:tcPr>
          <w:p w14:paraId="0C615E10" w14:textId="77777777" w:rsidR="00D83E33" w:rsidRPr="001B330E" w:rsidRDefault="00D83E33" w:rsidP="001B330E">
            <w:pPr>
              <w:widowControl w:val="0"/>
              <w:jc w:val="center"/>
              <w:rPr>
                <w:sz w:val="17"/>
                <w:szCs w:val="17"/>
              </w:rPr>
            </w:pPr>
          </w:p>
        </w:tc>
        <w:tc>
          <w:tcPr>
            <w:tcW w:w="576" w:type="pct"/>
            <w:vAlign w:val="bottom"/>
          </w:tcPr>
          <w:p w14:paraId="0E6233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684B60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2ECC09E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64A4E6C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1722C61C" w14:textId="77777777" w:rsidTr="001B330E">
        <w:trPr>
          <w:trHeight w:val="23"/>
        </w:trPr>
        <w:tc>
          <w:tcPr>
            <w:tcW w:w="1545" w:type="pct"/>
            <w:vAlign w:val="bottom"/>
          </w:tcPr>
          <w:p w14:paraId="419407DB" w14:textId="7B16DBE2"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xml:space="preserve">- </w:t>
            </w:r>
            <w:r w:rsidR="00372E26">
              <w:rPr>
                <w:color w:val="000000"/>
                <w:sz w:val="17"/>
                <w:szCs w:val="17"/>
              </w:rPr>
              <w:t>[Country]</w:t>
            </w:r>
            <w:r w:rsidRPr="001B330E">
              <w:rPr>
                <w:color w:val="000000"/>
                <w:sz w:val="17"/>
                <w:szCs w:val="17"/>
              </w:rPr>
              <w:t xml:space="preserve"> government bonds</w:t>
            </w:r>
          </w:p>
        </w:tc>
        <w:tc>
          <w:tcPr>
            <w:tcW w:w="576" w:type="pct"/>
            <w:vAlign w:val="bottom"/>
          </w:tcPr>
          <w:p w14:paraId="66FE3D24" w14:textId="77777777" w:rsidR="00D83E33" w:rsidRPr="001B330E" w:rsidRDefault="00D83E33" w:rsidP="001B330E">
            <w:pPr>
              <w:widowControl w:val="0"/>
              <w:jc w:val="center"/>
              <w:rPr>
                <w:sz w:val="17"/>
                <w:szCs w:val="17"/>
              </w:rPr>
            </w:pPr>
          </w:p>
        </w:tc>
        <w:tc>
          <w:tcPr>
            <w:tcW w:w="576" w:type="pct"/>
            <w:vAlign w:val="bottom"/>
          </w:tcPr>
          <w:p w14:paraId="427C6D16" w14:textId="77777777" w:rsidR="00D83E33" w:rsidRPr="001B330E" w:rsidRDefault="00D83E33" w:rsidP="001B330E">
            <w:pPr>
              <w:widowControl w:val="0"/>
              <w:jc w:val="center"/>
              <w:rPr>
                <w:sz w:val="17"/>
                <w:szCs w:val="17"/>
              </w:rPr>
            </w:pPr>
          </w:p>
        </w:tc>
        <w:tc>
          <w:tcPr>
            <w:tcW w:w="576" w:type="pct"/>
            <w:vAlign w:val="bottom"/>
          </w:tcPr>
          <w:p w14:paraId="3A71CB1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3A8A2DD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620D792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39EEBF0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5DFDE50C" w14:textId="77777777" w:rsidTr="001B330E">
        <w:trPr>
          <w:trHeight w:val="23"/>
        </w:trPr>
        <w:tc>
          <w:tcPr>
            <w:tcW w:w="1545" w:type="pct"/>
            <w:vAlign w:val="bottom"/>
          </w:tcPr>
          <w:p w14:paraId="76AB425E" w14:textId="77777777"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Municipal bonds</w:t>
            </w:r>
          </w:p>
        </w:tc>
        <w:tc>
          <w:tcPr>
            <w:tcW w:w="576" w:type="pct"/>
            <w:vAlign w:val="bottom"/>
          </w:tcPr>
          <w:p w14:paraId="231E015E" w14:textId="77777777" w:rsidR="00D83E33" w:rsidRPr="001B330E" w:rsidRDefault="00D83E33" w:rsidP="001B330E">
            <w:pPr>
              <w:widowControl w:val="0"/>
              <w:jc w:val="center"/>
              <w:rPr>
                <w:sz w:val="17"/>
                <w:szCs w:val="17"/>
              </w:rPr>
            </w:pPr>
          </w:p>
        </w:tc>
        <w:tc>
          <w:tcPr>
            <w:tcW w:w="576" w:type="pct"/>
            <w:vAlign w:val="bottom"/>
          </w:tcPr>
          <w:p w14:paraId="5127384E" w14:textId="77777777" w:rsidR="00D83E33" w:rsidRPr="001B330E" w:rsidRDefault="00D83E33" w:rsidP="001B330E">
            <w:pPr>
              <w:widowControl w:val="0"/>
              <w:jc w:val="center"/>
              <w:rPr>
                <w:sz w:val="17"/>
                <w:szCs w:val="17"/>
              </w:rPr>
            </w:pPr>
          </w:p>
        </w:tc>
        <w:tc>
          <w:tcPr>
            <w:tcW w:w="576" w:type="pct"/>
            <w:vAlign w:val="bottom"/>
          </w:tcPr>
          <w:p w14:paraId="68A7FB4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0F5F9EB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6257EC9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621BC26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7285164F" w14:textId="77777777" w:rsidTr="001B330E">
        <w:trPr>
          <w:trHeight w:val="23"/>
        </w:trPr>
        <w:tc>
          <w:tcPr>
            <w:tcW w:w="1545" w:type="pct"/>
            <w:vAlign w:val="bottom"/>
          </w:tcPr>
          <w:p w14:paraId="7048F252" w14:textId="77777777" w:rsidR="00D83E33" w:rsidRPr="001B330E" w:rsidRDefault="00BC4072" w:rsidP="001B330E">
            <w:pPr>
              <w:widowControl w:val="0"/>
              <w:pBdr>
                <w:top w:val="nil"/>
                <w:left w:val="nil"/>
                <w:bottom w:val="nil"/>
                <w:right w:val="nil"/>
                <w:between w:val="nil"/>
              </w:pBdr>
              <w:rPr>
                <w:color w:val="000000"/>
                <w:sz w:val="17"/>
                <w:szCs w:val="17"/>
              </w:rPr>
            </w:pPr>
            <w:r w:rsidRPr="001B330E">
              <w:rPr>
                <w:color w:val="000000"/>
                <w:sz w:val="17"/>
                <w:szCs w:val="17"/>
              </w:rPr>
              <w:t>- Corporate bonds</w:t>
            </w:r>
          </w:p>
          <w:p w14:paraId="39852262" w14:textId="77777777" w:rsidR="00D83E33" w:rsidRPr="001B330E" w:rsidRDefault="00BC4072" w:rsidP="001B330E">
            <w:pPr>
              <w:widowControl w:val="0"/>
              <w:pBdr>
                <w:top w:val="nil"/>
                <w:left w:val="nil"/>
                <w:bottom w:val="nil"/>
                <w:right w:val="nil"/>
                <w:between w:val="nil"/>
              </w:pBdr>
              <w:rPr>
                <w:color w:val="000000"/>
                <w:sz w:val="17"/>
                <w:szCs w:val="17"/>
              </w:rPr>
            </w:pPr>
            <w:r w:rsidRPr="001B330E">
              <w:rPr>
                <w:color w:val="000000"/>
                <w:sz w:val="17"/>
                <w:szCs w:val="17"/>
              </w:rPr>
              <w:t>- Investments in mutual funds</w:t>
            </w:r>
          </w:p>
        </w:tc>
        <w:tc>
          <w:tcPr>
            <w:tcW w:w="576" w:type="pct"/>
            <w:vAlign w:val="bottom"/>
          </w:tcPr>
          <w:p w14:paraId="4384E756" w14:textId="77777777" w:rsidR="00D83E33" w:rsidRPr="001B330E" w:rsidRDefault="00D83E33" w:rsidP="001B330E">
            <w:pPr>
              <w:widowControl w:val="0"/>
              <w:jc w:val="center"/>
              <w:rPr>
                <w:sz w:val="17"/>
                <w:szCs w:val="17"/>
              </w:rPr>
            </w:pPr>
          </w:p>
        </w:tc>
        <w:tc>
          <w:tcPr>
            <w:tcW w:w="576" w:type="pct"/>
            <w:vAlign w:val="bottom"/>
          </w:tcPr>
          <w:p w14:paraId="5CABB0FF" w14:textId="77777777" w:rsidR="00D83E33" w:rsidRPr="001B330E" w:rsidRDefault="00D83E33" w:rsidP="001B330E">
            <w:pPr>
              <w:widowControl w:val="0"/>
              <w:jc w:val="center"/>
              <w:rPr>
                <w:sz w:val="17"/>
                <w:szCs w:val="17"/>
              </w:rPr>
            </w:pPr>
          </w:p>
        </w:tc>
        <w:tc>
          <w:tcPr>
            <w:tcW w:w="576" w:type="pct"/>
            <w:vAlign w:val="bottom"/>
          </w:tcPr>
          <w:p w14:paraId="41B20FE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67193F5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4EA0342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72FD17C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41B00076" w14:textId="77777777" w:rsidTr="001B330E">
        <w:trPr>
          <w:trHeight w:val="23"/>
        </w:trPr>
        <w:tc>
          <w:tcPr>
            <w:tcW w:w="1545" w:type="pct"/>
            <w:vAlign w:val="bottom"/>
          </w:tcPr>
          <w:p w14:paraId="76B5D4C0" w14:textId="3355275E"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xml:space="preserve">- Promissory notes </w:t>
            </w:r>
          </w:p>
        </w:tc>
        <w:tc>
          <w:tcPr>
            <w:tcW w:w="576" w:type="pct"/>
            <w:vAlign w:val="bottom"/>
          </w:tcPr>
          <w:p w14:paraId="38AFB3ED" w14:textId="77777777" w:rsidR="00D83E33" w:rsidRPr="001B330E" w:rsidRDefault="00D83E33" w:rsidP="001B330E">
            <w:pPr>
              <w:widowControl w:val="0"/>
              <w:jc w:val="center"/>
              <w:rPr>
                <w:sz w:val="17"/>
                <w:szCs w:val="17"/>
              </w:rPr>
            </w:pPr>
          </w:p>
        </w:tc>
        <w:tc>
          <w:tcPr>
            <w:tcW w:w="576" w:type="pct"/>
            <w:vAlign w:val="bottom"/>
          </w:tcPr>
          <w:p w14:paraId="47964D69" w14:textId="77777777" w:rsidR="00D83E33" w:rsidRPr="001B330E" w:rsidRDefault="00D83E33" w:rsidP="001B330E">
            <w:pPr>
              <w:widowControl w:val="0"/>
              <w:jc w:val="center"/>
              <w:rPr>
                <w:sz w:val="17"/>
                <w:szCs w:val="17"/>
              </w:rPr>
            </w:pPr>
          </w:p>
        </w:tc>
        <w:tc>
          <w:tcPr>
            <w:tcW w:w="576" w:type="pct"/>
            <w:vAlign w:val="bottom"/>
          </w:tcPr>
          <w:p w14:paraId="6C24857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50211B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212E54B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0973FCA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62B9F873" w14:textId="77777777" w:rsidTr="001B330E">
        <w:trPr>
          <w:trHeight w:val="23"/>
        </w:trPr>
        <w:tc>
          <w:tcPr>
            <w:tcW w:w="1545" w:type="pct"/>
            <w:vAlign w:val="bottom"/>
          </w:tcPr>
          <w:p w14:paraId="180E8364" w14:textId="77777777" w:rsidR="00D83E33" w:rsidRPr="001B330E" w:rsidRDefault="00D83E33" w:rsidP="001B330E">
            <w:pPr>
              <w:widowControl w:val="0"/>
              <w:pBdr>
                <w:top w:val="nil"/>
                <w:left w:val="nil"/>
                <w:bottom w:val="nil"/>
                <w:right w:val="nil"/>
                <w:between w:val="nil"/>
              </w:pBdr>
              <w:rPr>
                <w:color w:val="000000"/>
                <w:sz w:val="17"/>
                <w:szCs w:val="17"/>
              </w:rPr>
            </w:pPr>
          </w:p>
        </w:tc>
        <w:tc>
          <w:tcPr>
            <w:tcW w:w="576" w:type="pct"/>
            <w:vAlign w:val="bottom"/>
          </w:tcPr>
          <w:p w14:paraId="7FD3429B" w14:textId="77777777" w:rsidR="00D83E33" w:rsidRPr="001B330E" w:rsidRDefault="00D83E33" w:rsidP="001B330E">
            <w:pPr>
              <w:widowControl w:val="0"/>
              <w:jc w:val="center"/>
              <w:rPr>
                <w:sz w:val="17"/>
                <w:szCs w:val="17"/>
              </w:rPr>
            </w:pPr>
          </w:p>
        </w:tc>
        <w:tc>
          <w:tcPr>
            <w:tcW w:w="576" w:type="pct"/>
            <w:vAlign w:val="bottom"/>
          </w:tcPr>
          <w:p w14:paraId="66AF25BF" w14:textId="77777777" w:rsidR="00D83E33" w:rsidRPr="001B330E" w:rsidRDefault="00D83E33" w:rsidP="001B330E">
            <w:pPr>
              <w:widowControl w:val="0"/>
              <w:jc w:val="center"/>
              <w:rPr>
                <w:sz w:val="17"/>
                <w:szCs w:val="17"/>
              </w:rPr>
            </w:pPr>
          </w:p>
        </w:tc>
        <w:tc>
          <w:tcPr>
            <w:tcW w:w="576" w:type="pct"/>
            <w:vAlign w:val="bottom"/>
          </w:tcPr>
          <w:p w14:paraId="684810E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2FBCC20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776BB5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7A31C7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14B6E5FE" w14:textId="77777777" w:rsidTr="001B330E">
        <w:trPr>
          <w:trHeight w:val="23"/>
        </w:trPr>
        <w:tc>
          <w:tcPr>
            <w:tcW w:w="1545" w:type="pct"/>
            <w:vAlign w:val="bottom"/>
          </w:tcPr>
          <w:p w14:paraId="137D4080" w14:textId="77777777" w:rsidR="00D83E33" w:rsidRPr="001B330E" w:rsidRDefault="00BC4072" w:rsidP="001B330E">
            <w:pPr>
              <w:widowControl w:val="0"/>
              <w:pBdr>
                <w:top w:val="nil"/>
                <w:left w:val="nil"/>
                <w:bottom w:val="nil"/>
                <w:right w:val="nil"/>
                <w:between w:val="nil"/>
              </w:pBdr>
              <w:rPr>
                <w:color w:val="000000"/>
                <w:sz w:val="17"/>
                <w:szCs w:val="17"/>
              </w:rPr>
            </w:pPr>
            <w:r w:rsidRPr="001B330E">
              <w:rPr>
                <w:color w:val="000000"/>
                <w:sz w:val="17"/>
                <w:szCs w:val="17"/>
              </w:rPr>
              <w:t>Debt securities designated as at FVTPL at initial recognition</w:t>
            </w:r>
          </w:p>
        </w:tc>
        <w:tc>
          <w:tcPr>
            <w:tcW w:w="576" w:type="pct"/>
            <w:vAlign w:val="bottom"/>
          </w:tcPr>
          <w:p w14:paraId="4720377B" w14:textId="77777777" w:rsidR="00D83E33" w:rsidRPr="001B330E" w:rsidRDefault="00D83E33" w:rsidP="001B330E">
            <w:pPr>
              <w:widowControl w:val="0"/>
              <w:jc w:val="center"/>
              <w:rPr>
                <w:sz w:val="17"/>
                <w:szCs w:val="17"/>
              </w:rPr>
            </w:pPr>
          </w:p>
        </w:tc>
        <w:tc>
          <w:tcPr>
            <w:tcW w:w="576" w:type="pct"/>
            <w:vAlign w:val="bottom"/>
          </w:tcPr>
          <w:p w14:paraId="39FD4060" w14:textId="77777777" w:rsidR="00D83E33" w:rsidRPr="001B330E" w:rsidRDefault="00D83E33" w:rsidP="001B330E">
            <w:pPr>
              <w:widowControl w:val="0"/>
              <w:jc w:val="center"/>
              <w:rPr>
                <w:sz w:val="17"/>
                <w:szCs w:val="17"/>
              </w:rPr>
            </w:pPr>
          </w:p>
        </w:tc>
        <w:tc>
          <w:tcPr>
            <w:tcW w:w="576" w:type="pct"/>
            <w:vAlign w:val="bottom"/>
          </w:tcPr>
          <w:p w14:paraId="439B82C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3FF51FA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39CD14B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0BA003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44F02FBE" w14:textId="77777777" w:rsidTr="001B330E">
        <w:trPr>
          <w:trHeight w:val="23"/>
        </w:trPr>
        <w:tc>
          <w:tcPr>
            <w:tcW w:w="1545" w:type="pct"/>
            <w:vAlign w:val="bottom"/>
          </w:tcPr>
          <w:p w14:paraId="47A1F9D8" w14:textId="5B6EC72A"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xml:space="preserve">- </w:t>
            </w:r>
            <w:r w:rsidR="00372E26">
              <w:rPr>
                <w:color w:val="000000"/>
                <w:sz w:val="17"/>
                <w:szCs w:val="17"/>
              </w:rPr>
              <w:t>[Country]</w:t>
            </w:r>
            <w:r w:rsidRPr="001B330E">
              <w:rPr>
                <w:color w:val="000000"/>
                <w:sz w:val="17"/>
                <w:szCs w:val="17"/>
              </w:rPr>
              <w:t xml:space="preserve"> government bonds</w:t>
            </w:r>
          </w:p>
        </w:tc>
        <w:tc>
          <w:tcPr>
            <w:tcW w:w="576" w:type="pct"/>
            <w:vAlign w:val="bottom"/>
          </w:tcPr>
          <w:p w14:paraId="2BFAB2A1" w14:textId="77777777" w:rsidR="00D83E33" w:rsidRPr="001B330E" w:rsidRDefault="00D83E33" w:rsidP="001B330E">
            <w:pPr>
              <w:widowControl w:val="0"/>
              <w:jc w:val="center"/>
              <w:rPr>
                <w:sz w:val="17"/>
                <w:szCs w:val="17"/>
              </w:rPr>
            </w:pPr>
          </w:p>
        </w:tc>
        <w:tc>
          <w:tcPr>
            <w:tcW w:w="576" w:type="pct"/>
            <w:vAlign w:val="bottom"/>
          </w:tcPr>
          <w:p w14:paraId="4BA39830" w14:textId="77777777" w:rsidR="00D83E33" w:rsidRPr="001B330E" w:rsidRDefault="00D83E33" w:rsidP="001B330E">
            <w:pPr>
              <w:widowControl w:val="0"/>
              <w:jc w:val="center"/>
              <w:rPr>
                <w:sz w:val="17"/>
                <w:szCs w:val="17"/>
              </w:rPr>
            </w:pPr>
          </w:p>
        </w:tc>
        <w:tc>
          <w:tcPr>
            <w:tcW w:w="576" w:type="pct"/>
            <w:vAlign w:val="bottom"/>
          </w:tcPr>
          <w:p w14:paraId="5E12512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7FBF948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73B2506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1AC2F9A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6FA22789" w14:textId="77777777" w:rsidTr="001B330E">
        <w:trPr>
          <w:trHeight w:val="23"/>
        </w:trPr>
        <w:tc>
          <w:tcPr>
            <w:tcW w:w="1545" w:type="pct"/>
            <w:vAlign w:val="bottom"/>
          </w:tcPr>
          <w:p w14:paraId="3198B59F" w14:textId="77777777"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Municipal bonds</w:t>
            </w:r>
          </w:p>
        </w:tc>
        <w:tc>
          <w:tcPr>
            <w:tcW w:w="576" w:type="pct"/>
            <w:vAlign w:val="bottom"/>
          </w:tcPr>
          <w:p w14:paraId="4A7C67EF" w14:textId="77777777" w:rsidR="00D83E33" w:rsidRPr="001B330E" w:rsidRDefault="00D83E33" w:rsidP="001B330E">
            <w:pPr>
              <w:widowControl w:val="0"/>
              <w:jc w:val="center"/>
              <w:rPr>
                <w:sz w:val="17"/>
                <w:szCs w:val="17"/>
              </w:rPr>
            </w:pPr>
          </w:p>
        </w:tc>
        <w:tc>
          <w:tcPr>
            <w:tcW w:w="576" w:type="pct"/>
            <w:vAlign w:val="bottom"/>
          </w:tcPr>
          <w:p w14:paraId="21AC0721" w14:textId="77777777" w:rsidR="00D83E33" w:rsidRPr="001B330E" w:rsidRDefault="00D83E33" w:rsidP="001B330E">
            <w:pPr>
              <w:widowControl w:val="0"/>
              <w:jc w:val="center"/>
              <w:rPr>
                <w:sz w:val="17"/>
                <w:szCs w:val="17"/>
              </w:rPr>
            </w:pPr>
          </w:p>
        </w:tc>
        <w:tc>
          <w:tcPr>
            <w:tcW w:w="576" w:type="pct"/>
            <w:vAlign w:val="bottom"/>
          </w:tcPr>
          <w:p w14:paraId="5F9A45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3C69D29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42BFB0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4EE62EE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7859CA91" w14:textId="77777777" w:rsidTr="001B330E">
        <w:trPr>
          <w:trHeight w:val="23"/>
        </w:trPr>
        <w:tc>
          <w:tcPr>
            <w:tcW w:w="1545" w:type="pct"/>
            <w:vAlign w:val="bottom"/>
          </w:tcPr>
          <w:p w14:paraId="3AD3A7E2" w14:textId="77777777"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Corporate bonds</w:t>
            </w:r>
          </w:p>
        </w:tc>
        <w:tc>
          <w:tcPr>
            <w:tcW w:w="576" w:type="pct"/>
            <w:vAlign w:val="bottom"/>
          </w:tcPr>
          <w:p w14:paraId="64DC5F58" w14:textId="77777777" w:rsidR="00D83E33" w:rsidRPr="001B330E" w:rsidRDefault="00D83E33" w:rsidP="001B330E">
            <w:pPr>
              <w:widowControl w:val="0"/>
              <w:jc w:val="center"/>
              <w:rPr>
                <w:sz w:val="17"/>
                <w:szCs w:val="17"/>
              </w:rPr>
            </w:pPr>
          </w:p>
        </w:tc>
        <w:tc>
          <w:tcPr>
            <w:tcW w:w="576" w:type="pct"/>
            <w:vAlign w:val="bottom"/>
          </w:tcPr>
          <w:p w14:paraId="75428F6D" w14:textId="77777777" w:rsidR="00D83E33" w:rsidRPr="001B330E" w:rsidRDefault="00D83E33" w:rsidP="001B330E">
            <w:pPr>
              <w:widowControl w:val="0"/>
              <w:jc w:val="center"/>
              <w:rPr>
                <w:sz w:val="17"/>
                <w:szCs w:val="17"/>
              </w:rPr>
            </w:pPr>
          </w:p>
        </w:tc>
        <w:tc>
          <w:tcPr>
            <w:tcW w:w="576" w:type="pct"/>
            <w:vAlign w:val="bottom"/>
          </w:tcPr>
          <w:p w14:paraId="15854E5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361B68A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548A8A9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61F468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04B2D4DD" w14:textId="77777777" w:rsidTr="001B330E">
        <w:trPr>
          <w:trHeight w:val="23"/>
        </w:trPr>
        <w:tc>
          <w:tcPr>
            <w:tcW w:w="1545" w:type="pct"/>
            <w:vAlign w:val="bottom"/>
          </w:tcPr>
          <w:p w14:paraId="27BD153D" w14:textId="64D3FDB0"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xml:space="preserve">- Promissory notes </w:t>
            </w:r>
          </w:p>
        </w:tc>
        <w:tc>
          <w:tcPr>
            <w:tcW w:w="576" w:type="pct"/>
            <w:vAlign w:val="bottom"/>
          </w:tcPr>
          <w:p w14:paraId="1BE482AE" w14:textId="77777777" w:rsidR="00D83E33" w:rsidRPr="001B330E" w:rsidRDefault="00D83E33" w:rsidP="001B330E">
            <w:pPr>
              <w:widowControl w:val="0"/>
              <w:jc w:val="center"/>
              <w:rPr>
                <w:sz w:val="17"/>
                <w:szCs w:val="17"/>
              </w:rPr>
            </w:pPr>
          </w:p>
        </w:tc>
        <w:tc>
          <w:tcPr>
            <w:tcW w:w="576" w:type="pct"/>
            <w:vAlign w:val="bottom"/>
          </w:tcPr>
          <w:p w14:paraId="2876058F" w14:textId="77777777" w:rsidR="00D83E33" w:rsidRPr="001B330E" w:rsidRDefault="00D83E33" w:rsidP="001B330E">
            <w:pPr>
              <w:widowControl w:val="0"/>
              <w:jc w:val="center"/>
              <w:rPr>
                <w:sz w:val="17"/>
                <w:szCs w:val="17"/>
              </w:rPr>
            </w:pPr>
          </w:p>
        </w:tc>
        <w:tc>
          <w:tcPr>
            <w:tcW w:w="576" w:type="pct"/>
            <w:vAlign w:val="bottom"/>
          </w:tcPr>
          <w:p w14:paraId="52C0093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2C2DE9F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78751C3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3FC85D5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08798055" w14:textId="77777777" w:rsidTr="001B330E">
        <w:trPr>
          <w:trHeight w:val="23"/>
        </w:trPr>
        <w:tc>
          <w:tcPr>
            <w:tcW w:w="1545" w:type="pct"/>
            <w:vAlign w:val="bottom"/>
          </w:tcPr>
          <w:p w14:paraId="5B9CE379" w14:textId="77777777" w:rsidR="00D83E33" w:rsidRPr="001B330E" w:rsidRDefault="00D83E33" w:rsidP="001B330E">
            <w:pPr>
              <w:widowControl w:val="0"/>
              <w:pBdr>
                <w:top w:val="nil"/>
                <w:left w:val="nil"/>
                <w:bottom w:val="nil"/>
                <w:right w:val="nil"/>
                <w:between w:val="nil"/>
              </w:pBdr>
              <w:rPr>
                <w:color w:val="000000"/>
                <w:sz w:val="17"/>
                <w:szCs w:val="17"/>
              </w:rPr>
            </w:pPr>
          </w:p>
        </w:tc>
        <w:tc>
          <w:tcPr>
            <w:tcW w:w="576" w:type="pct"/>
            <w:vAlign w:val="bottom"/>
          </w:tcPr>
          <w:p w14:paraId="2CCF73D9" w14:textId="77777777" w:rsidR="00D83E33" w:rsidRPr="001B330E" w:rsidRDefault="00D83E33" w:rsidP="001B330E">
            <w:pPr>
              <w:widowControl w:val="0"/>
              <w:jc w:val="center"/>
              <w:rPr>
                <w:sz w:val="17"/>
                <w:szCs w:val="17"/>
              </w:rPr>
            </w:pPr>
          </w:p>
        </w:tc>
        <w:tc>
          <w:tcPr>
            <w:tcW w:w="576" w:type="pct"/>
            <w:vAlign w:val="bottom"/>
          </w:tcPr>
          <w:p w14:paraId="2D9C0BF9" w14:textId="77777777" w:rsidR="00D83E33" w:rsidRPr="001B330E" w:rsidRDefault="00D83E33" w:rsidP="001B330E">
            <w:pPr>
              <w:widowControl w:val="0"/>
              <w:jc w:val="center"/>
              <w:rPr>
                <w:sz w:val="17"/>
                <w:szCs w:val="17"/>
              </w:rPr>
            </w:pPr>
          </w:p>
        </w:tc>
        <w:tc>
          <w:tcPr>
            <w:tcW w:w="576" w:type="pct"/>
            <w:vAlign w:val="bottom"/>
          </w:tcPr>
          <w:p w14:paraId="568415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243A3C6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692CE26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79F6B48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335348A6" w14:textId="77777777" w:rsidTr="001B330E">
        <w:trPr>
          <w:trHeight w:val="23"/>
        </w:trPr>
        <w:tc>
          <w:tcPr>
            <w:tcW w:w="1545" w:type="pct"/>
            <w:vAlign w:val="bottom"/>
          </w:tcPr>
          <w:p w14:paraId="383D0124" w14:textId="77777777" w:rsidR="00D83E33" w:rsidRPr="001B330E" w:rsidRDefault="00BC4072" w:rsidP="001B330E">
            <w:pPr>
              <w:widowControl w:val="0"/>
              <w:pBdr>
                <w:top w:val="nil"/>
                <w:left w:val="nil"/>
                <w:bottom w:val="nil"/>
                <w:right w:val="nil"/>
                <w:between w:val="nil"/>
              </w:pBdr>
              <w:rPr>
                <w:color w:val="000000"/>
                <w:sz w:val="17"/>
                <w:szCs w:val="17"/>
              </w:rPr>
            </w:pPr>
            <w:r w:rsidRPr="001B330E">
              <w:rPr>
                <w:color w:val="000000"/>
                <w:sz w:val="17"/>
                <w:szCs w:val="17"/>
              </w:rPr>
              <w:t>Debt securities at FVOCI</w:t>
            </w:r>
          </w:p>
        </w:tc>
        <w:tc>
          <w:tcPr>
            <w:tcW w:w="576" w:type="pct"/>
            <w:vAlign w:val="bottom"/>
          </w:tcPr>
          <w:p w14:paraId="176187C4" w14:textId="77777777" w:rsidR="00D83E33" w:rsidRPr="001B330E" w:rsidRDefault="00D83E33" w:rsidP="001B330E">
            <w:pPr>
              <w:widowControl w:val="0"/>
              <w:jc w:val="center"/>
              <w:rPr>
                <w:sz w:val="17"/>
                <w:szCs w:val="17"/>
              </w:rPr>
            </w:pPr>
          </w:p>
        </w:tc>
        <w:tc>
          <w:tcPr>
            <w:tcW w:w="576" w:type="pct"/>
            <w:vAlign w:val="bottom"/>
          </w:tcPr>
          <w:p w14:paraId="13A21AD6" w14:textId="77777777" w:rsidR="00D83E33" w:rsidRPr="001B330E" w:rsidRDefault="00D83E33" w:rsidP="001B330E">
            <w:pPr>
              <w:widowControl w:val="0"/>
              <w:jc w:val="center"/>
              <w:rPr>
                <w:sz w:val="17"/>
                <w:szCs w:val="17"/>
              </w:rPr>
            </w:pPr>
          </w:p>
        </w:tc>
        <w:tc>
          <w:tcPr>
            <w:tcW w:w="576" w:type="pct"/>
            <w:vAlign w:val="bottom"/>
          </w:tcPr>
          <w:p w14:paraId="4CEC32C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1C6598A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009DD84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427F93B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4B6B0100" w14:textId="77777777" w:rsidTr="001B330E">
        <w:trPr>
          <w:trHeight w:val="23"/>
        </w:trPr>
        <w:tc>
          <w:tcPr>
            <w:tcW w:w="1545" w:type="pct"/>
            <w:vAlign w:val="bottom"/>
          </w:tcPr>
          <w:p w14:paraId="1D16D3D6" w14:textId="43DB8826"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xml:space="preserve">- </w:t>
            </w:r>
            <w:r w:rsidR="00372E26">
              <w:rPr>
                <w:color w:val="000000"/>
                <w:sz w:val="17"/>
                <w:szCs w:val="17"/>
              </w:rPr>
              <w:t>[Country]</w:t>
            </w:r>
            <w:r w:rsidRPr="001B330E">
              <w:rPr>
                <w:color w:val="000000"/>
                <w:sz w:val="17"/>
                <w:szCs w:val="17"/>
              </w:rPr>
              <w:t xml:space="preserve"> government bonds</w:t>
            </w:r>
          </w:p>
        </w:tc>
        <w:tc>
          <w:tcPr>
            <w:tcW w:w="576" w:type="pct"/>
            <w:vAlign w:val="bottom"/>
          </w:tcPr>
          <w:p w14:paraId="0FC96FD1" w14:textId="77777777" w:rsidR="00D83E33" w:rsidRPr="001B330E" w:rsidRDefault="00D83E33" w:rsidP="001B330E">
            <w:pPr>
              <w:widowControl w:val="0"/>
              <w:jc w:val="center"/>
              <w:rPr>
                <w:sz w:val="17"/>
                <w:szCs w:val="17"/>
              </w:rPr>
            </w:pPr>
          </w:p>
        </w:tc>
        <w:tc>
          <w:tcPr>
            <w:tcW w:w="576" w:type="pct"/>
            <w:vAlign w:val="bottom"/>
          </w:tcPr>
          <w:p w14:paraId="3DD36BCF" w14:textId="77777777" w:rsidR="00D83E33" w:rsidRPr="001B330E" w:rsidRDefault="00D83E33" w:rsidP="001B330E">
            <w:pPr>
              <w:widowControl w:val="0"/>
              <w:jc w:val="center"/>
              <w:rPr>
                <w:sz w:val="17"/>
                <w:szCs w:val="17"/>
              </w:rPr>
            </w:pPr>
          </w:p>
        </w:tc>
        <w:tc>
          <w:tcPr>
            <w:tcW w:w="576" w:type="pct"/>
            <w:vAlign w:val="bottom"/>
          </w:tcPr>
          <w:p w14:paraId="72DBB79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721F226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2F78922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3F8AD06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3382AB61" w14:textId="77777777" w:rsidTr="001B330E">
        <w:trPr>
          <w:trHeight w:val="23"/>
        </w:trPr>
        <w:tc>
          <w:tcPr>
            <w:tcW w:w="1545" w:type="pct"/>
            <w:vAlign w:val="bottom"/>
          </w:tcPr>
          <w:p w14:paraId="3448828D" w14:textId="77777777"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Municipal bonds</w:t>
            </w:r>
          </w:p>
        </w:tc>
        <w:tc>
          <w:tcPr>
            <w:tcW w:w="576" w:type="pct"/>
            <w:vAlign w:val="bottom"/>
          </w:tcPr>
          <w:p w14:paraId="5CC52F84" w14:textId="77777777" w:rsidR="00D83E33" w:rsidRPr="001B330E" w:rsidRDefault="00D83E33" w:rsidP="001B330E">
            <w:pPr>
              <w:widowControl w:val="0"/>
              <w:jc w:val="center"/>
              <w:rPr>
                <w:sz w:val="17"/>
                <w:szCs w:val="17"/>
              </w:rPr>
            </w:pPr>
          </w:p>
        </w:tc>
        <w:tc>
          <w:tcPr>
            <w:tcW w:w="576" w:type="pct"/>
            <w:vAlign w:val="bottom"/>
          </w:tcPr>
          <w:p w14:paraId="13BCC20F" w14:textId="77777777" w:rsidR="00D83E33" w:rsidRPr="001B330E" w:rsidRDefault="00D83E33" w:rsidP="001B330E">
            <w:pPr>
              <w:widowControl w:val="0"/>
              <w:jc w:val="center"/>
              <w:rPr>
                <w:sz w:val="17"/>
                <w:szCs w:val="17"/>
              </w:rPr>
            </w:pPr>
          </w:p>
        </w:tc>
        <w:tc>
          <w:tcPr>
            <w:tcW w:w="576" w:type="pct"/>
            <w:vAlign w:val="bottom"/>
          </w:tcPr>
          <w:p w14:paraId="4B6D6A8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3F9C95E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752FCF7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46367DB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39491524" w14:textId="77777777" w:rsidTr="001B330E">
        <w:trPr>
          <w:trHeight w:val="23"/>
        </w:trPr>
        <w:tc>
          <w:tcPr>
            <w:tcW w:w="1545" w:type="pct"/>
            <w:vAlign w:val="bottom"/>
          </w:tcPr>
          <w:p w14:paraId="36F57B69" w14:textId="77777777"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Corporate bonds</w:t>
            </w:r>
          </w:p>
        </w:tc>
        <w:tc>
          <w:tcPr>
            <w:tcW w:w="576" w:type="pct"/>
            <w:vAlign w:val="bottom"/>
          </w:tcPr>
          <w:p w14:paraId="028C3674" w14:textId="77777777" w:rsidR="00D83E33" w:rsidRPr="001B330E" w:rsidRDefault="00D83E33" w:rsidP="001B330E">
            <w:pPr>
              <w:widowControl w:val="0"/>
              <w:jc w:val="center"/>
              <w:rPr>
                <w:sz w:val="17"/>
                <w:szCs w:val="17"/>
              </w:rPr>
            </w:pPr>
          </w:p>
        </w:tc>
        <w:tc>
          <w:tcPr>
            <w:tcW w:w="576" w:type="pct"/>
            <w:vAlign w:val="bottom"/>
          </w:tcPr>
          <w:p w14:paraId="5811A24F" w14:textId="77777777" w:rsidR="00D83E33" w:rsidRPr="001B330E" w:rsidRDefault="00D83E33" w:rsidP="001B330E">
            <w:pPr>
              <w:widowControl w:val="0"/>
              <w:jc w:val="center"/>
              <w:rPr>
                <w:sz w:val="17"/>
                <w:szCs w:val="17"/>
              </w:rPr>
            </w:pPr>
          </w:p>
        </w:tc>
        <w:tc>
          <w:tcPr>
            <w:tcW w:w="576" w:type="pct"/>
            <w:vAlign w:val="bottom"/>
          </w:tcPr>
          <w:p w14:paraId="378C83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24AEC43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5FA9472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7C1B2A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2BBBE957" w14:textId="77777777" w:rsidTr="001B330E">
        <w:trPr>
          <w:trHeight w:val="23"/>
        </w:trPr>
        <w:tc>
          <w:tcPr>
            <w:tcW w:w="1545" w:type="pct"/>
            <w:vAlign w:val="bottom"/>
          </w:tcPr>
          <w:p w14:paraId="43BCD56D" w14:textId="33B84026" w:rsidR="00D83E33" w:rsidRPr="001B330E" w:rsidRDefault="00BC4072" w:rsidP="001B330E">
            <w:pPr>
              <w:widowControl w:val="0"/>
              <w:pBdr>
                <w:top w:val="nil"/>
                <w:left w:val="nil"/>
                <w:bottom w:val="nil"/>
                <w:right w:val="nil"/>
                <w:between w:val="nil"/>
              </w:pBdr>
              <w:rPr>
                <w:b/>
                <w:color w:val="000000"/>
                <w:sz w:val="17"/>
                <w:szCs w:val="17"/>
              </w:rPr>
            </w:pPr>
            <w:r w:rsidRPr="001B330E">
              <w:rPr>
                <w:color w:val="000000"/>
                <w:sz w:val="17"/>
                <w:szCs w:val="17"/>
              </w:rPr>
              <w:t xml:space="preserve">- Promissory notes </w:t>
            </w:r>
          </w:p>
        </w:tc>
        <w:tc>
          <w:tcPr>
            <w:tcW w:w="576" w:type="pct"/>
            <w:vAlign w:val="bottom"/>
          </w:tcPr>
          <w:p w14:paraId="3E549E26" w14:textId="77777777" w:rsidR="00D83E33" w:rsidRPr="001B330E" w:rsidRDefault="00D83E33" w:rsidP="001B330E">
            <w:pPr>
              <w:widowControl w:val="0"/>
              <w:jc w:val="center"/>
              <w:rPr>
                <w:sz w:val="17"/>
                <w:szCs w:val="17"/>
              </w:rPr>
            </w:pPr>
          </w:p>
        </w:tc>
        <w:tc>
          <w:tcPr>
            <w:tcW w:w="576" w:type="pct"/>
            <w:vAlign w:val="bottom"/>
          </w:tcPr>
          <w:p w14:paraId="4F43F2B1" w14:textId="77777777" w:rsidR="00D83E33" w:rsidRPr="001B330E" w:rsidRDefault="00D83E33" w:rsidP="001B330E">
            <w:pPr>
              <w:widowControl w:val="0"/>
              <w:jc w:val="center"/>
              <w:rPr>
                <w:sz w:val="17"/>
                <w:szCs w:val="17"/>
              </w:rPr>
            </w:pPr>
          </w:p>
        </w:tc>
        <w:tc>
          <w:tcPr>
            <w:tcW w:w="576" w:type="pct"/>
            <w:vAlign w:val="bottom"/>
          </w:tcPr>
          <w:p w14:paraId="7CC256C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4688E2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vAlign w:val="bottom"/>
          </w:tcPr>
          <w:p w14:paraId="0C753EB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vAlign w:val="bottom"/>
          </w:tcPr>
          <w:p w14:paraId="08F4A07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077F42" w14:paraId="2129FE9B" w14:textId="77777777" w:rsidTr="001B330E">
        <w:trPr>
          <w:trHeight w:val="23"/>
        </w:trPr>
        <w:tc>
          <w:tcPr>
            <w:tcW w:w="1545" w:type="pct"/>
            <w:tcBorders>
              <w:bottom w:val="single" w:sz="12" w:space="0" w:color="000000"/>
            </w:tcBorders>
            <w:vAlign w:val="bottom"/>
          </w:tcPr>
          <w:p w14:paraId="62F383B9" w14:textId="77777777" w:rsidR="00D83E33" w:rsidRPr="001B330E" w:rsidRDefault="00D83E33" w:rsidP="001B330E">
            <w:pPr>
              <w:widowControl w:val="0"/>
              <w:pBdr>
                <w:top w:val="nil"/>
                <w:left w:val="nil"/>
                <w:bottom w:val="nil"/>
                <w:right w:val="nil"/>
                <w:between w:val="nil"/>
              </w:pBdr>
              <w:rPr>
                <w:color w:val="000000"/>
                <w:sz w:val="17"/>
                <w:szCs w:val="17"/>
              </w:rPr>
            </w:pPr>
          </w:p>
        </w:tc>
        <w:tc>
          <w:tcPr>
            <w:tcW w:w="576" w:type="pct"/>
            <w:tcBorders>
              <w:bottom w:val="single" w:sz="12" w:space="0" w:color="000000"/>
            </w:tcBorders>
            <w:vAlign w:val="bottom"/>
          </w:tcPr>
          <w:p w14:paraId="3311373C" w14:textId="77777777" w:rsidR="00D83E33" w:rsidRPr="001B330E" w:rsidRDefault="00D83E33" w:rsidP="001B330E">
            <w:pPr>
              <w:widowControl w:val="0"/>
              <w:jc w:val="center"/>
              <w:rPr>
                <w:sz w:val="17"/>
                <w:szCs w:val="17"/>
              </w:rPr>
            </w:pPr>
          </w:p>
        </w:tc>
        <w:tc>
          <w:tcPr>
            <w:tcW w:w="576" w:type="pct"/>
            <w:tcBorders>
              <w:bottom w:val="single" w:sz="12" w:space="0" w:color="000000"/>
            </w:tcBorders>
            <w:vAlign w:val="bottom"/>
          </w:tcPr>
          <w:p w14:paraId="3680C945" w14:textId="77777777" w:rsidR="00D83E33" w:rsidRPr="001B330E" w:rsidRDefault="00D83E33" w:rsidP="001B330E">
            <w:pPr>
              <w:widowControl w:val="0"/>
              <w:jc w:val="center"/>
              <w:rPr>
                <w:sz w:val="17"/>
                <w:szCs w:val="17"/>
              </w:rPr>
            </w:pPr>
          </w:p>
        </w:tc>
        <w:tc>
          <w:tcPr>
            <w:tcW w:w="576" w:type="pct"/>
            <w:tcBorders>
              <w:bottom w:val="single" w:sz="12" w:space="0" w:color="000000"/>
            </w:tcBorders>
            <w:vAlign w:val="bottom"/>
          </w:tcPr>
          <w:p w14:paraId="05B6390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bottom w:val="single" w:sz="12" w:space="0" w:color="000000"/>
            </w:tcBorders>
            <w:vAlign w:val="bottom"/>
          </w:tcPr>
          <w:p w14:paraId="3AB7918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6" w:type="pct"/>
            <w:tcBorders>
              <w:bottom w:val="single" w:sz="12" w:space="0" w:color="000000"/>
            </w:tcBorders>
            <w:vAlign w:val="bottom"/>
          </w:tcPr>
          <w:p w14:paraId="2F56877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575" w:type="pct"/>
            <w:tcBorders>
              <w:bottom w:val="single" w:sz="12" w:space="0" w:color="000000"/>
            </w:tcBorders>
            <w:vAlign w:val="bottom"/>
          </w:tcPr>
          <w:p w14:paraId="2596B1A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bl>
    <w:p w14:paraId="631936DB" w14:textId="0A93F3C4" w:rsidR="00D83E33" w:rsidRDefault="00BC4072" w:rsidP="001B330E">
      <w:pPr>
        <w:pStyle w:val="Continued"/>
      </w:pPr>
      <w:r>
        <w:lastRenderedPageBreak/>
        <w:t>47</w:t>
      </w:r>
      <w:r>
        <w:tab/>
        <w:t>Transfers of Financial Assets (Continued)</w:t>
      </w:r>
    </w:p>
    <w:tbl>
      <w:tblPr>
        <w:tblStyle w:val="afffffffffffffffb"/>
        <w:tblW w:w="5000" w:type="pct"/>
        <w:tblLayout w:type="fixed"/>
        <w:tblLook w:val="0000" w:firstRow="0" w:lastRow="0" w:firstColumn="0" w:lastColumn="0" w:noHBand="0" w:noVBand="0"/>
      </w:tblPr>
      <w:tblGrid>
        <w:gridCol w:w="2890"/>
        <w:gridCol w:w="1077"/>
        <w:gridCol w:w="1078"/>
        <w:gridCol w:w="1078"/>
        <w:gridCol w:w="1078"/>
        <w:gridCol w:w="1078"/>
        <w:gridCol w:w="1076"/>
      </w:tblGrid>
      <w:tr w:rsidR="00D83E33" w:rsidRPr="00077F42" w14:paraId="711FF2FF" w14:textId="77777777" w:rsidTr="001B330E">
        <w:trPr>
          <w:trHeight w:val="23"/>
        </w:trPr>
        <w:tc>
          <w:tcPr>
            <w:tcW w:w="1545" w:type="pct"/>
            <w:vAlign w:val="bottom"/>
          </w:tcPr>
          <w:p w14:paraId="595A5263" w14:textId="77777777" w:rsidR="00D83E33" w:rsidRPr="001B330E" w:rsidRDefault="00D83E33">
            <w:pPr>
              <w:widowControl w:val="0"/>
              <w:rPr>
                <w:b/>
                <w:sz w:val="17"/>
                <w:szCs w:val="17"/>
              </w:rPr>
            </w:pPr>
          </w:p>
        </w:tc>
        <w:tc>
          <w:tcPr>
            <w:tcW w:w="1728" w:type="pct"/>
            <w:gridSpan w:val="3"/>
            <w:tcBorders>
              <w:bottom w:val="single" w:sz="4" w:space="0" w:color="000000"/>
            </w:tcBorders>
            <w:vAlign w:val="bottom"/>
          </w:tcPr>
          <w:p w14:paraId="79179034" w14:textId="05FD2782" w:rsidR="00D83E33" w:rsidRPr="001B330E" w:rsidRDefault="00BC4072">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2024</w:t>
            </w:r>
          </w:p>
        </w:tc>
        <w:tc>
          <w:tcPr>
            <w:tcW w:w="1727" w:type="pct"/>
            <w:gridSpan w:val="3"/>
            <w:tcBorders>
              <w:bottom w:val="single" w:sz="4" w:space="0" w:color="000000"/>
            </w:tcBorders>
            <w:vAlign w:val="bottom"/>
          </w:tcPr>
          <w:p w14:paraId="18041ED8" w14:textId="5BE15F2C" w:rsidR="00D83E33" w:rsidRPr="001B330E" w:rsidRDefault="00BC4072">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2023</w:t>
            </w:r>
          </w:p>
        </w:tc>
      </w:tr>
      <w:tr w:rsidR="00D83E33" w:rsidRPr="00077F42" w14:paraId="0DEEE7DF" w14:textId="77777777" w:rsidTr="001B330E">
        <w:trPr>
          <w:trHeight w:val="23"/>
        </w:trPr>
        <w:tc>
          <w:tcPr>
            <w:tcW w:w="1545" w:type="pct"/>
            <w:tcBorders>
              <w:bottom w:val="single" w:sz="4" w:space="0" w:color="000000"/>
            </w:tcBorders>
            <w:vAlign w:val="bottom"/>
          </w:tcPr>
          <w:p w14:paraId="71BA191E" w14:textId="6B9B478A" w:rsidR="00D83E33" w:rsidRPr="001B330E" w:rsidRDefault="00313B4D">
            <w:pPr>
              <w:widowControl w:val="0"/>
              <w:pBdr>
                <w:top w:val="nil"/>
                <w:left w:val="nil"/>
                <w:bottom w:val="nil"/>
                <w:right w:val="nil"/>
                <w:between w:val="nil"/>
              </w:pBdr>
              <w:rPr>
                <w:b/>
                <w:i/>
                <w:color w:val="000000"/>
                <w:sz w:val="17"/>
                <w:szCs w:val="17"/>
              </w:rPr>
            </w:pPr>
            <w:r>
              <w:rPr>
                <w:i/>
                <w:color w:val="000000"/>
                <w:sz w:val="17"/>
                <w:szCs w:val="17"/>
              </w:rPr>
              <w:t xml:space="preserve">In thousands of </w:t>
            </w:r>
            <w:r w:rsidR="002649EE">
              <w:rPr>
                <w:i/>
                <w:color w:val="000000"/>
                <w:sz w:val="17"/>
                <w:szCs w:val="17"/>
              </w:rPr>
              <w:t>EUR</w:t>
            </w:r>
          </w:p>
        </w:tc>
        <w:tc>
          <w:tcPr>
            <w:tcW w:w="576" w:type="pct"/>
            <w:tcBorders>
              <w:top w:val="single" w:sz="4" w:space="0" w:color="000000"/>
              <w:bottom w:val="single" w:sz="4" w:space="0" w:color="000000"/>
            </w:tcBorders>
          </w:tcPr>
          <w:p w14:paraId="0B62971A"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before the transfer</w:t>
            </w:r>
          </w:p>
        </w:tc>
        <w:tc>
          <w:tcPr>
            <w:tcW w:w="576" w:type="pct"/>
            <w:tcBorders>
              <w:top w:val="single" w:sz="4" w:space="0" w:color="000000"/>
              <w:bottom w:val="single" w:sz="4" w:space="0" w:color="000000"/>
            </w:tcBorders>
          </w:tcPr>
          <w:p w14:paraId="604B7604"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that the entity continues to recognise after the transfer</w:t>
            </w:r>
          </w:p>
        </w:tc>
        <w:tc>
          <w:tcPr>
            <w:tcW w:w="576" w:type="pct"/>
            <w:tcBorders>
              <w:top w:val="single" w:sz="4" w:space="0" w:color="000000"/>
              <w:bottom w:val="single" w:sz="4" w:space="0" w:color="000000"/>
            </w:tcBorders>
          </w:tcPr>
          <w:p w14:paraId="49FB72C9"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associated liabilities</w:t>
            </w:r>
          </w:p>
        </w:tc>
        <w:tc>
          <w:tcPr>
            <w:tcW w:w="576" w:type="pct"/>
            <w:tcBorders>
              <w:top w:val="single" w:sz="4" w:space="0" w:color="000000"/>
              <w:bottom w:val="single" w:sz="4" w:space="0" w:color="000000"/>
            </w:tcBorders>
          </w:tcPr>
          <w:p w14:paraId="4E6F621C"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before the transfer</w:t>
            </w:r>
          </w:p>
        </w:tc>
        <w:tc>
          <w:tcPr>
            <w:tcW w:w="576" w:type="pct"/>
            <w:tcBorders>
              <w:top w:val="single" w:sz="4" w:space="0" w:color="000000"/>
              <w:bottom w:val="single" w:sz="4" w:space="0" w:color="000000"/>
            </w:tcBorders>
          </w:tcPr>
          <w:p w14:paraId="2213A4E4"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that the entity continues to recognise after the transfer</w:t>
            </w:r>
          </w:p>
        </w:tc>
        <w:tc>
          <w:tcPr>
            <w:tcW w:w="575" w:type="pct"/>
            <w:tcBorders>
              <w:top w:val="single" w:sz="4" w:space="0" w:color="000000"/>
              <w:bottom w:val="single" w:sz="4" w:space="0" w:color="000000"/>
            </w:tcBorders>
          </w:tcPr>
          <w:p w14:paraId="66A974B3"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associated liabilities</w:t>
            </w:r>
          </w:p>
        </w:tc>
      </w:tr>
      <w:tr w:rsidR="00D83E33" w:rsidRPr="00077F42" w14:paraId="5972500B" w14:textId="77777777" w:rsidTr="001B330E">
        <w:trPr>
          <w:trHeight w:val="23"/>
        </w:trPr>
        <w:tc>
          <w:tcPr>
            <w:tcW w:w="1545" w:type="pct"/>
            <w:vAlign w:val="bottom"/>
          </w:tcPr>
          <w:p w14:paraId="21421E9F" w14:textId="77777777" w:rsidR="00D83E33" w:rsidRPr="001B330E" w:rsidRDefault="00D83E33">
            <w:pPr>
              <w:widowControl w:val="0"/>
              <w:pBdr>
                <w:top w:val="nil"/>
                <w:left w:val="nil"/>
                <w:bottom w:val="nil"/>
                <w:right w:val="nil"/>
                <w:between w:val="nil"/>
              </w:pBdr>
              <w:rPr>
                <w:color w:val="000000"/>
                <w:sz w:val="17"/>
                <w:szCs w:val="17"/>
              </w:rPr>
            </w:pPr>
          </w:p>
        </w:tc>
        <w:tc>
          <w:tcPr>
            <w:tcW w:w="576" w:type="pct"/>
            <w:vAlign w:val="bottom"/>
          </w:tcPr>
          <w:p w14:paraId="009D6D9E" w14:textId="77777777" w:rsidR="00D83E33" w:rsidRPr="001B330E" w:rsidRDefault="00D83E33">
            <w:pPr>
              <w:widowControl w:val="0"/>
              <w:jc w:val="center"/>
              <w:rPr>
                <w:sz w:val="17"/>
                <w:szCs w:val="17"/>
              </w:rPr>
            </w:pPr>
          </w:p>
        </w:tc>
        <w:tc>
          <w:tcPr>
            <w:tcW w:w="576" w:type="pct"/>
            <w:vAlign w:val="bottom"/>
          </w:tcPr>
          <w:p w14:paraId="3282EE30" w14:textId="77777777" w:rsidR="00D83E33" w:rsidRPr="001B330E" w:rsidRDefault="00D83E33">
            <w:pPr>
              <w:widowControl w:val="0"/>
              <w:jc w:val="center"/>
              <w:rPr>
                <w:sz w:val="17"/>
                <w:szCs w:val="17"/>
              </w:rPr>
            </w:pPr>
          </w:p>
        </w:tc>
        <w:tc>
          <w:tcPr>
            <w:tcW w:w="576" w:type="pct"/>
            <w:vAlign w:val="bottom"/>
          </w:tcPr>
          <w:p w14:paraId="63F86C3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C5CA24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8CB798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51021F29"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62084609" w14:textId="77777777" w:rsidTr="001B330E">
        <w:trPr>
          <w:trHeight w:val="23"/>
        </w:trPr>
        <w:tc>
          <w:tcPr>
            <w:tcW w:w="1545" w:type="pct"/>
            <w:vAlign w:val="bottom"/>
          </w:tcPr>
          <w:p w14:paraId="1175A245"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Debt securities at AC</w:t>
            </w:r>
          </w:p>
        </w:tc>
        <w:tc>
          <w:tcPr>
            <w:tcW w:w="576" w:type="pct"/>
            <w:vAlign w:val="bottom"/>
          </w:tcPr>
          <w:p w14:paraId="68DEF699" w14:textId="77777777" w:rsidR="00D83E33" w:rsidRPr="001B330E" w:rsidRDefault="00D83E33">
            <w:pPr>
              <w:widowControl w:val="0"/>
              <w:jc w:val="center"/>
              <w:rPr>
                <w:sz w:val="17"/>
                <w:szCs w:val="17"/>
              </w:rPr>
            </w:pPr>
          </w:p>
        </w:tc>
        <w:tc>
          <w:tcPr>
            <w:tcW w:w="576" w:type="pct"/>
            <w:vAlign w:val="bottom"/>
          </w:tcPr>
          <w:p w14:paraId="4CA73B00" w14:textId="77777777" w:rsidR="00D83E33" w:rsidRPr="001B330E" w:rsidRDefault="00D83E33">
            <w:pPr>
              <w:widowControl w:val="0"/>
              <w:jc w:val="center"/>
              <w:rPr>
                <w:sz w:val="17"/>
                <w:szCs w:val="17"/>
              </w:rPr>
            </w:pPr>
          </w:p>
        </w:tc>
        <w:tc>
          <w:tcPr>
            <w:tcW w:w="576" w:type="pct"/>
            <w:vAlign w:val="bottom"/>
          </w:tcPr>
          <w:p w14:paraId="468F4CA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27CCB3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88B911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6D4A9A24"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075E2290" w14:textId="77777777" w:rsidTr="001B330E">
        <w:trPr>
          <w:trHeight w:val="23"/>
        </w:trPr>
        <w:tc>
          <w:tcPr>
            <w:tcW w:w="1545" w:type="pct"/>
            <w:vAlign w:val="bottom"/>
          </w:tcPr>
          <w:p w14:paraId="7273B8A2" w14:textId="5802F73D"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xml:space="preserve">- </w:t>
            </w:r>
            <w:r w:rsidR="00372E26">
              <w:rPr>
                <w:color w:val="000000"/>
                <w:sz w:val="17"/>
                <w:szCs w:val="17"/>
              </w:rPr>
              <w:t>[Country]</w:t>
            </w:r>
            <w:r w:rsidRPr="001B330E">
              <w:rPr>
                <w:color w:val="000000"/>
                <w:sz w:val="17"/>
                <w:szCs w:val="17"/>
              </w:rPr>
              <w:t xml:space="preserve"> government bonds</w:t>
            </w:r>
          </w:p>
        </w:tc>
        <w:tc>
          <w:tcPr>
            <w:tcW w:w="576" w:type="pct"/>
            <w:vAlign w:val="bottom"/>
          </w:tcPr>
          <w:p w14:paraId="5C7F183C" w14:textId="77777777" w:rsidR="00D83E33" w:rsidRPr="001B330E" w:rsidRDefault="00D83E33">
            <w:pPr>
              <w:widowControl w:val="0"/>
              <w:jc w:val="center"/>
              <w:rPr>
                <w:sz w:val="17"/>
                <w:szCs w:val="17"/>
              </w:rPr>
            </w:pPr>
          </w:p>
        </w:tc>
        <w:tc>
          <w:tcPr>
            <w:tcW w:w="576" w:type="pct"/>
            <w:vAlign w:val="bottom"/>
          </w:tcPr>
          <w:p w14:paraId="12D19988" w14:textId="77777777" w:rsidR="00D83E33" w:rsidRPr="001B330E" w:rsidRDefault="00D83E33">
            <w:pPr>
              <w:widowControl w:val="0"/>
              <w:jc w:val="center"/>
              <w:rPr>
                <w:sz w:val="17"/>
                <w:szCs w:val="17"/>
              </w:rPr>
            </w:pPr>
          </w:p>
        </w:tc>
        <w:tc>
          <w:tcPr>
            <w:tcW w:w="576" w:type="pct"/>
            <w:vAlign w:val="bottom"/>
          </w:tcPr>
          <w:p w14:paraId="0DFBA0D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955446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72EBC8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4704347B"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34FCB661" w14:textId="77777777" w:rsidTr="001B330E">
        <w:trPr>
          <w:trHeight w:val="23"/>
        </w:trPr>
        <w:tc>
          <w:tcPr>
            <w:tcW w:w="1545" w:type="pct"/>
            <w:vAlign w:val="bottom"/>
          </w:tcPr>
          <w:p w14:paraId="37E6B714"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Municipal bonds</w:t>
            </w:r>
          </w:p>
        </w:tc>
        <w:tc>
          <w:tcPr>
            <w:tcW w:w="576" w:type="pct"/>
            <w:vAlign w:val="bottom"/>
          </w:tcPr>
          <w:p w14:paraId="290A595A" w14:textId="77777777" w:rsidR="00D83E33" w:rsidRPr="001B330E" w:rsidRDefault="00D83E33">
            <w:pPr>
              <w:widowControl w:val="0"/>
              <w:jc w:val="center"/>
              <w:rPr>
                <w:sz w:val="17"/>
                <w:szCs w:val="17"/>
              </w:rPr>
            </w:pPr>
          </w:p>
        </w:tc>
        <w:tc>
          <w:tcPr>
            <w:tcW w:w="576" w:type="pct"/>
            <w:vAlign w:val="bottom"/>
          </w:tcPr>
          <w:p w14:paraId="0D12A3E5" w14:textId="77777777" w:rsidR="00D83E33" w:rsidRPr="001B330E" w:rsidRDefault="00D83E33">
            <w:pPr>
              <w:widowControl w:val="0"/>
              <w:jc w:val="center"/>
              <w:rPr>
                <w:sz w:val="17"/>
                <w:szCs w:val="17"/>
              </w:rPr>
            </w:pPr>
          </w:p>
        </w:tc>
        <w:tc>
          <w:tcPr>
            <w:tcW w:w="576" w:type="pct"/>
            <w:vAlign w:val="bottom"/>
          </w:tcPr>
          <w:p w14:paraId="1F2645A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A4A2F9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B10A89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3920A8E9"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1F8C57A0" w14:textId="77777777" w:rsidTr="001B330E">
        <w:trPr>
          <w:trHeight w:val="23"/>
        </w:trPr>
        <w:tc>
          <w:tcPr>
            <w:tcW w:w="1545" w:type="pct"/>
            <w:vAlign w:val="bottom"/>
          </w:tcPr>
          <w:p w14:paraId="5DED88DE"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Corporate bonds</w:t>
            </w:r>
          </w:p>
        </w:tc>
        <w:tc>
          <w:tcPr>
            <w:tcW w:w="576" w:type="pct"/>
            <w:vAlign w:val="bottom"/>
          </w:tcPr>
          <w:p w14:paraId="7CA8A07C" w14:textId="77777777" w:rsidR="00D83E33" w:rsidRPr="001B330E" w:rsidRDefault="00D83E33">
            <w:pPr>
              <w:widowControl w:val="0"/>
              <w:jc w:val="center"/>
              <w:rPr>
                <w:sz w:val="17"/>
                <w:szCs w:val="17"/>
              </w:rPr>
            </w:pPr>
          </w:p>
        </w:tc>
        <w:tc>
          <w:tcPr>
            <w:tcW w:w="576" w:type="pct"/>
            <w:vAlign w:val="bottom"/>
          </w:tcPr>
          <w:p w14:paraId="6C21AE34" w14:textId="77777777" w:rsidR="00D83E33" w:rsidRPr="001B330E" w:rsidRDefault="00D83E33">
            <w:pPr>
              <w:widowControl w:val="0"/>
              <w:jc w:val="center"/>
              <w:rPr>
                <w:sz w:val="17"/>
                <w:szCs w:val="17"/>
              </w:rPr>
            </w:pPr>
          </w:p>
        </w:tc>
        <w:tc>
          <w:tcPr>
            <w:tcW w:w="576" w:type="pct"/>
            <w:vAlign w:val="bottom"/>
          </w:tcPr>
          <w:p w14:paraId="6324F627"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C041A5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4739C8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4249AD5B"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1BB3DF92" w14:textId="77777777" w:rsidTr="001B330E">
        <w:trPr>
          <w:trHeight w:val="23"/>
        </w:trPr>
        <w:tc>
          <w:tcPr>
            <w:tcW w:w="1545" w:type="pct"/>
            <w:vAlign w:val="bottom"/>
          </w:tcPr>
          <w:p w14:paraId="660A4740" w14:textId="145FEB43"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xml:space="preserve">- Promissory notes </w:t>
            </w:r>
          </w:p>
        </w:tc>
        <w:tc>
          <w:tcPr>
            <w:tcW w:w="576" w:type="pct"/>
            <w:vAlign w:val="bottom"/>
          </w:tcPr>
          <w:p w14:paraId="335C4FF2" w14:textId="77777777" w:rsidR="00D83E33" w:rsidRPr="001B330E" w:rsidRDefault="00D83E33">
            <w:pPr>
              <w:widowControl w:val="0"/>
              <w:jc w:val="center"/>
              <w:rPr>
                <w:sz w:val="17"/>
                <w:szCs w:val="17"/>
              </w:rPr>
            </w:pPr>
          </w:p>
        </w:tc>
        <w:tc>
          <w:tcPr>
            <w:tcW w:w="576" w:type="pct"/>
            <w:vAlign w:val="bottom"/>
          </w:tcPr>
          <w:p w14:paraId="7773CDC1" w14:textId="77777777" w:rsidR="00D83E33" w:rsidRPr="001B330E" w:rsidRDefault="00D83E33">
            <w:pPr>
              <w:widowControl w:val="0"/>
              <w:jc w:val="center"/>
              <w:rPr>
                <w:sz w:val="17"/>
                <w:szCs w:val="17"/>
              </w:rPr>
            </w:pPr>
          </w:p>
        </w:tc>
        <w:tc>
          <w:tcPr>
            <w:tcW w:w="576" w:type="pct"/>
            <w:vAlign w:val="bottom"/>
          </w:tcPr>
          <w:p w14:paraId="30A952F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AE065E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3DB34F0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22EA9070"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4B90B8E2" w14:textId="77777777" w:rsidTr="001B330E">
        <w:trPr>
          <w:trHeight w:val="23"/>
        </w:trPr>
        <w:tc>
          <w:tcPr>
            <w:tcW w:w="1545" w:type="pct"/>
            <w:vAlign w:val="bottom"/>
          </w:tcPr>
          <w:p w14:paraId="5E94B76F" w14:textId="77777777" w:rsidR="00D83E33" w:rsidRPr="001B330E" w:rsidRDefault="00D83E33">
            <w:pPr>
              <w:widowControl w:val="0"/>
              <w:pBdr>
                <w:top w:val="nil"/>
                <w:left w:val="nil"/>
                <w:bottom w:val="nil"/>
                <w:right w:val="nil"/>
                <w:between w:val="nil"/>
              </w:pBdr>
              <w:rPr>
                <w:color w:val="000000"/>
                <w:sz w:val="17"/>
                <w:szCs w:val="17"/>
              </w:rPr>
            </w:pPr>
          </w:p>
        </w:tc>
        <w:tc>
          <w:tcPr>
            <w:tcW w:w="576" w:type="pct"/>
            <w:vAlign w:val="bottom"/>
          </w:tcPr>
          <w:p w14:paraId="0A4DFD89" w14:textId="77777777" w:rsidR="00D83E33" w:rsidRPr="001B330E" w:rsidRDefault="00D83E33">
            <w:pPr>
              <w:widowControl w:val="0"/>
              <w:jc w:val="center"/>
              <w:rPr>
                <w:sz w:val="17"/>
                <w:szCs w:val="17"/>
              </w:rPr>
            </w:pPr>
          </w:p>
        </w:tc>
        <w:tc>
          <w:tcPr>
            <w:tcW w:w="576" w:type="pct"/>
            <w:vAlign w:val="bottom"/>
          </w:tcPr>
          <w:p w14:paraId="6D042CEF" w14:textId="77777777" w:rsidR="00D83E33" w:rsidRPr="001B330E" w:rsidRDefault="00D83E33">
            <w:pPr>
              <w:widowControl w:val="0"/>
              <w:jc w:val="center"/>
              <w:rPr>
                <w:sz w:val="17"/>
                <w:szCs w:val="17"/>
              </w:rPr>
            </w:pPr>
          </w:p>
        </w:tc>
        <w:tc>
          <w:tcPr>
            <w:tcW w:w="576" w:type="pct"/>
            <w:vAlign w:val="bottom"/>
          </w:tcPr>
          <w:p w14:paraId="543CC78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3AC080C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61A401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3819A9B8"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2A0A9672" w14:textId="77777777" w:rsidTr="001B330E">
        <w:trPr>
          <w:trHeight w:val="23"/>
        </w:trPr>
        <w:tc>
          <w:tcPr>
            <w:tcW w:w="1545" w:type="pct"/>
            <w:vAlign w:val="bottom"/>
          </w:tcPr>
          <w:p w14:paraId="0A11830E"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Equity securities mandatorily measured at FVTPL</w:t>
            </w:r>
          </w:p>
        </w:tc>
        <w:tc>
          <w:tcPr>
            <w:tcW w:w="576" w:type="pct"/>
            <w:vAlign w:val="bottom"/>
          </w:tcPr>
          <w:p w14:paraId="5CDD7877" w14:textId="77777777" w:rsidR="00D83E33" w:rsidRPr="001B330E" w:rsidRDefault="00D83E33">
            <w:pPr>
              <w:widowControl w:val="0"/>
              <w:jc w:val="center"/>
              <w:rPr>
                <w:sz w:val="17"/>
                <w:szCs w:val="17"/>
              </w:rPr>
            </w:pPr>
          </w:p>
        </w:tc>
        <w:tc>
          <w:tcPr>
            <w:tcW w:w="576" w:type="pct"/>
            <w:vAlign w:val="bottom"/>
          </w:tcPr>
          <w:p w14:paraId="376358E7" w14:textId="77777777" w:rsidR="00D83E33" w:rsidRPr="001B330E" w:rsidRDefault="00D83E33">
            <w:pPr>
              <w:widowControl w:val="0"/>
              <w:jc w:val="center"/>
              <w:rPr>
                <w:sz w:val="17"/>
                <w:szCs w:val="17"/>
              </w:rPr>
            </w:pPr>
          </w:p>
        </w:tc>
        <w:tc>
          <w:tcPr>
            <w:tcW w:w="576" w:type="pct"/>
            <w:vAlign w:val="bottom"/>
          </w:tcPr>
          <w:p w14:paraId="7956706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42415F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776C3F4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0EC4AC17"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36911505" w14:textId="77777777" w:rsidTr="001B330E">
        <w:trPr>
          <w:trHeight w:val="23"/>
        </w:trPr>
        <w:tc>
          <w:tcPr>
            <w:tcW w:w="1545" w:type="pct"/>
            <w:vAlign w:val="bottom"/>
          </w:tcPr>
          <w:p w14:paraId="733A4DB5" w14:textId="77777777" w:rsidR="00D83E33" w:rsidRPr="001B330E" w:rsidRDefault="00BC4072">
            <w:pPr>
              <w:widowControl w:val="0"/>
              <w:rPr>
                <w:sz w:val="17"/>
                <w:szCs w:val="17"/>
              </w:rPr>
            </w:pPr>
            <w:r w:rsidRPr="001B330E">
              <w:rPr>
                <w:sz w:val="17"/>
                <w:szCs w:val="17"/>
              </w:rPr>
              <w:t>- Corporate shares</w:t>
            </w:r>
          </w:p>
        </w:tc>
        <w:tc>
          <w:tcPr>
            <w:tcW w:w="576" w:type="pct"/>
            <w:vAlign w:val="bottom"/>
          </w:tcPr>
          <w:p w14:paraId="1EC3FEBC" w14:textId="77777777" w:rsidR="00D83E33" w:rsidRPr="001B330E" w:rsidRDefault="00D83E33">
            <w:pPr>
              <w:widowControl w:val="0"/>
              <w:jc w:val="center"/>
              <w:rPr>
                <w:sz w:val="17"/>
                <w:szCs w:val="17"/>
              </w:rPr>
            </w:pPr>
          </w:p>
        </w:tc>
        <w:tc>
          <w:tcPr>
            <w:tcW w:w="576" w:type="pct"/>
            <w:vAlign w:val="bottom"/>
          </w:tcPr>
          <w:p w14:paraId="60102E03" w14:textId="77777777" w:rsidR="00D83E33" w:rsidRPr="001B330E" w:rsidRDefault="00D83E33">
            <w:pPr>
              <w:widowControl w:val="0"/>
              <w:jc w:val="center"/>
              <w:rPr>
                <w:sz w:val="17"/>
                <w:szCs w:val="17"/>
              </w:rPr>
            </w:pPr>
          </w:p>
        </w:tc>
        <w:tc>
          <w:tcPr>
            <w:tcW w:w="576" w:type="pct"/>
            <w:vAlign w:val="bottom"/>
          </w:tcPr>
          <w:p w14:paraId="67C2206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D60E34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8FD1EC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119259F0"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3F455888" w14:textId="77777777" w:rsidTr="001B330E">
        <w:trPr>
          <w:trHeight w:val="23"/>
        </w:trPr>
        <w:tc>
          <w:tcPr>
            <w:tcW w:w="1545" w:type="pct"/>
            <w:vAlign w:val="bottom"/>
          </w:tcPr>
          <w:p w14:paraId="76E02992" w14:textId="77777777" w:rsidR="00D83E33" w:rsidRPr="001B330E" w:rsidRDefault="00BC4072">
            <w:pPr>
              <w:widowControl w:val="0"/>
              <w:rPr>
                <w:sz w:val="17"/>
                <w:szCs w:val="17"/>
              </w:rPr>
            </w:pPr>
            <w:r w:rsidRPr="001B330E">
              <w:rPr>
                <w:sz w:val="17"/>
                <w:szCs w:val="17"/>
              </w:rPr>
              <w:t>- ADRs</w:t>
            </w:r>
          </w:p>
        </w:tc>
        <w:tc>
          <w:tcPr>
            <w:tcW w:w="576" w:type="pct"/>
            <w:vAlign w:val="bottom"/>
          </w:tcPr>
          <w:p w14:paraId="10A7AE31" w14:textId="77777777" w:rsidR="00D83E33" w:rsidRPr="001B330E" w:rsidRDefault="00D83E33">
            <w:pPr>
              <w:widowControl w:val="0"/>
              <w:jc w:val="center"/>
              <w:rPr>
                <w:sz w:val="17"/>
                <w:szCs w:val="17"/>
              </w:rPr>
            </w:pPr>
          </w:p>
        </w:tc>
        <w:tc>
          <w:tcPr>
            <w:tcW w:w="576" w:type="pct"/>
            <w:vAlign w:val="bottom"/>
          </w:tcPr>
          <w:p w14:paraId="0BD253DD" w14:textId="77777777" w:rsidR="00D83E33" w:rsidRPr="001B330E" w:rsidRDefault="00D83E33">
            <w:pPr>
              <w:widowControl w:val="0"/>
              <w:jc w:val="center"/>
              <w:rPr>
                <w:sz w:val="17"/>
                <w:szCs w:val="17"/>
              </w:rPr>
            </w:pPr>
          </w:p>
        </w:tc>
        <w:tc>
          <w:tcPr>
            <w:tcW w:w="576" w:type="pct"/>
            <w:vAlign w:val="bottom"/>
          </w:tcPr>
          <w:p w14:paraId="1EE7F26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34ACD8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7BAAC4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3F6FCE2D"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721EFC68" w14:textId="77777777" w:rsidTr="001B330E">
        <w:trPr>
          <w:trHeight w:val="23"/>
        </w:trPr>
        <w:tc>
          <w:tcPr>
            <w:tcW w:w="1545" w:type="pct"/>
            <w:vAlign w:val="bottom"/>
          </w:tcPr>
          <w:p w14:paraId="62623E7C" w14:textId="3ED130F9" w:rsidR="00D83E33" w:rsidRPr="001B330E" w:rsidRDefault="00BC4072">
            <w:pPr>
              <w:widowControl w:val="0"/>
              <w:rPr>
                <w:b/>
                <w:sz w:val="17"/>
                <w:szCs w:val="17"/>
              </w:rPr>
            </w:pPr>
            <w:r w:rsidRPr="001B330E">
              <w:rPr>
                <w:sz w:val="17"/>
                <w:szCs w:val="17"/>
              </w:rPr>
              <w:t xml:space="preserve">- GDRs </w:t>
            </w:r>
          </w:p>
        </w:tc>
        <w:tc>
          <w:tcPr>
            <w:tcW w:w="576" w:type="pct"/>
            <w:vAlign w:val="bottom"/>
          </w:tcPr>
          <w:p w14:paraId="6E03F628" w14:textId="77777777" w:rsidR="00D83E33" w:rsidRPr="001B330E" w:rsidRDefault="00D83E33">
            <w:pPr>
              <w:widowControl w:val="0"/>
              <w:jc w:val="center"/>
              <w:rPr>
                <w:sz w:val="17"/>
                <w:szCs w:val="17"/>
              </w:rPr>
            </w:pPr>
          </w:p>
        </w:tc>
        <w:tc>
          <w:tcPr>
            <w:tcW w:w="576" w:type="pct"/>
            <w:vAlign w:val="bottom"/>
          </w:tcPr>
          <w:p w14:paraId="290757F1" w14:textId="77777777" w:rsidR="00D83E33" w:rsidRPr="001B330E" w:rsidRDefault="00D83E33">
            <w:pPr>
              <w:widowControl w:val="0"/>
              <w:jc w:val="center"/>
              <w:rPr>
                <w:sz w:val="17"/>
                <w:szCs w:val="17"/>
              </w:rPr>
            </w:pPr>
          </w:p>
        </w:tc>
        <w:tc>
          <w:tcPr>
            <w:tcW w:w="576" w:type="pct"/>
            <w:vAlign w:val="bottom"/>
          </w:tcPr>
          <w:p w14:paraId="19C5725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6BF8F5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3DEB483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063D20C6"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65D99D18" w14:textId="77777777" w:rsidTr="001B330E">
        <w:trPr>
          <w:trHeight w:val="23"/>
        </w:trPr>
        <w:tc>
          <w:tcPr>
            <w:tcW w:w="1545" w:type="pct"/>
            <w:vAlign w:val="bottom"/>
          </w:tcPr>
          <w:p w14:paraId="29C60FA1" w14:textId="77777777" w:rsidR="00D83E33" w:rsidRPr="001B330E" w:rsidRDefault="00D83E33">
            <w:pPr>
              <w:widowControl w:val="0"/>
              <w:pBdr>
                <w:top w:val="nil"/>
                <w:left w:val="nil"/>
                <w:bottom w:val="nil"/>
                <w:right w:val="nil"/>
                <w:between w:val="nil"/>
              </w:pBdr>
              <w:rPr>
                <w:color w:val="000000"/>
                <w:sz w:val="17"/>
                <w:szCs w:val="17"/>
              </w:rPr>
            </w:pPr>
          </w:p>
        </w:tc>
        <w:tc>
          <w:tcPr>
            <w:tcW w:w="576" w:type="pct"/>
            <w:vAlign w:val="bottom"/>
          </w:tcPr>
          <w:p w14:paraId="2E52520E" w14:textId="77777777" w:rsidR="00D83E33" w:rsidRPr="001B330E" w:rsidRDefault="00D83E33">
            <w:pPr>
              <w:widowControl w:val="0"/>
              <w:jc w:val="center"/>
              <w:rPr>
                <w:sz w:val="17"/>
                <w:szCs w:val="17"/>
              </w:rPr>
            </w:pPr>
          </w:p>
        </w:tc>
        <w:tc>
          <w:tcPr>
            <w:tcW w:w="576" w:type="pct"/>
            <w:vAlign w:val="bottom"/>
          </w:tcPr>
          <w:p w14:paraId="2722B044" w14:textId="77777777" w:rsidR="00D83E33" w:rsidRPr="001B330E" w:rsidRDefault="00D83E33">
            <w:pPr>
              <w:widowControl w:val="0"/>
              <w:jc w:val="center"/>
              <w:rPr>
                <w:sz w:val="17"/>
                <w:szCs w:val="17"/>
              </w:rPr>
            </w:pPr>
          </w:p>
        </w:tc>
        <w:tc>
          <w:tcPr>
            <w:tcW w:w="576" w:type="pct"/>
            <w:vAlign w:val="bottom"/>
          </w:tcPr>
          <w:p w14:paraId="78D0D79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7EECF46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36A21F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79A5B9E6"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656DD888" w14:textId="77777777" w:rsidTr="001B330E">
        <w:trPr>
          <w:trHeight w:val="23"/>
        </w:trPr>
        <w:tc>
          <w:tcPr>
            <w:tcW w:w="1545" w:type="pct"/>
            <w:vAlign w:val="bottom"/>
          </w:tcPr>
          <w:p w14:paraId="686C9B53"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Equity securities at FVOCI</w:t>
            </w:r>
          </w:p>
        </w:tc>
        <w:tc>
          <w:tcPr>
            <w:tcW w:w="576" w:type="pct"/>
            <w:vAlign w:val="bottom"/>
          </w:tcPr>
          <w:p w14:paraId="298FB7CA" w14:textId="77777777" w:rsidR="00D83E33" w:rsidRPr="001B330E" w:rsidRDefault="00D83E33">
            <w:pPr>
              <w:widowControl w:val="0"/>
              <w:jc w:val="center"/>
              <w:rPr>
                <w:sz w:val="17"/>
                <w:szCs w:val="17"/>
              </w:rPr>
            </w:pPr>
          </w:p>
        </w:tc>
        <w:tc>
          <w:tcPr>
            <w:tcW w:w="576" w:type="pct"/>
            <w:vAlign w:val="bottom"/>
          </w:tcPr>
          <w:p w14:paraId="098A84CC" w14:textId="77777777" w:rsidR="00D83E33" w:rsidRPr="001B330E" w:rsidRDefault="00D83E33">
            <w:pPr>
              <w:widowControl w:val="0"/>
              <w:jc w:val="center"/>
              <w:rPr>
                <w:sz w:val="17"/>
                <w:szCs w:val="17"/>
              </w:rPr>
            </w:pPr>
          </w:p>
        </w:tc>
        <w:tc>
          <w:tcPr>
            <w:tcW w:w="576" w:type="pct"/>
            <w:vAlign w:val="bottom"/>
          </w:tcPr>
          <w:p w14:paraId="2215335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2606BE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8182CB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02788AB4"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0C856962" w14:textId="77777777" w:rsidTr="001B330E">
        <w:trPr>
          <w:trHeight w:val="23"/>
        </w:trPr>
        <w:tc>
          <w:tcPr>
            <w:tcW w:w="1545" w:type="pct"/>
            <w:vAlign w:val="bottom"/>
          </w:tcPr>
          <w:p w14:paraId="4218BBA4" w14:textId="77777777" w:rsidR="00D83E33" w:rsidRPr="001B330E" w:rsidRDefault="00BC4072">
            <w:pPr>
              <w:widowControl w:val="0"/>
              <w:rPr>
                <w:sz w:val="17"/>
                <w:szCs w:val="17"/>
              </w:rPr>
            </w:pPr>
            <w:r w:rsidRPr="001B330E">
              <w:rPr>
                <w:sz w:val="17"/>
                <w:szCs w:val="17"/>
              </w:rPr>
              <w:t>- Corporate shares</w:t>
            </w:r>
          </w:p>
        </w:tc>
        <w:tc>
          <w:tcPr>
            <w:tcW w:w="576" w:type="pct"/>
            <w:vAlign w:val="bottom"/>
          </w:tcPr>
          <w:p w14:paraId="49E35214" w14:textId="77777777" w:rsidR="00D83E33" w:rsidRPr="001B330E" w:rsidRDefault="00D83E33">
            <w:pPr>
              <w:widowControl w:val="0"/>
              <w:jc w:val="center"/>
              <w:rPr>
                <w:sz w:val="17"/>
                <w:szCs w:val="17"/>
              </w:rPr>
            </w:pPr>
          </w:p>
        </w:tc>
        <w:tc>
          <w:tcPr>
            <w:tcW w:w="576" w:type="pct"/>
            <w:vAlign w:val="bottom"/>
          </w:tcPr>
          <w:p w14:paraId="30D09864" w14:textId="77777777" w:rsidR="00D83E33" w:rsidRPr="001B330E" w:rsidRDefault="00D83E33">
            <w:pPr>
              <w:widowControl w:val="0"/>
              <w:jc w:val="center"/>
              <w:rPr>
                <w:sz w:val="17"/>
                <w:szCs w:val="17"/>
              </w:rPr>
            </w:pPr>
          </w:p>
        </w:tc>
        <w:tc>
          <w:tcPr>
            <w:tcW w:w="576" w:type="pct"/>
            <w:vAlign w:val="bottom"/>
          </w:tcPr>
          <w:p w14:paraId="4D7306F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50DF65B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54DB62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315106FA"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31F65909" w14:textId="77777777" w:rsidTr="001B330E">
        <w:trPr>
          <w:trHeight w:val="23"/>
        </w:trPr>
        <w:tc>
          <w:tcPr>
            <w:tcW w:w="1545" w:type="pct"/>
            <w:vAlign w:val="bottom"/>
          </w:tcPr>
          <w:p w14:paraId="75288FCB" w14:textId="77777777" w:rsidR="00D83E33" w:rsidRPr="001B330E" w:rsidRDefault="00BC4072">
            <w:pPr>
              <w:widowControl w:val="0"/>
              <w:rPr>
                <w:sz w:val="17"/>
                <w:szCs w:val="17"/>
              </w:rPr>
            </w:pPr>
            <w:r w:rsidRPr="001B330E">
              <w:rPr>
                <w:sz w:val="17"/>
                <w:szCs w:val="17"/>
              </w:rPr>
              <w:t>- ADRs</w:t>
            </w:r>
          </w:p>
        </w:tc>
        <w:tc>
          <w:tcPr>
            <w:tcW w:w="576" w:type="pct"/>
            <w:vAlign w:val="bottom"/>
          </w:tcPr>
          <w:p w14:paraId="30214B9E" w14:textId="77777777" w:rsidR="00D83E33" w:rsidRPr="001B330E" w:rsidRDefault="00D83E33">
            <w:pPr>
              <w:widowControl w:val="0"/>
              <w:jc w:val="center"/>
              <w:rPr>
                <w:sz w:val="17"/>
                <w:szCs w:val="17"/>
              </w:rPr>
            </w:pPr>
          </w:p>
        </w:tc>
        <w:tc>
          <w:tcPr>
            <w:tcW w:w="576" w:type="pct"/>
            <w:vAlign w:val="bottom"/>
          </w:tcPr>
          <w:p w14:paraId="085EC365" w14:textId="77777777" w:rsidR="00D83E33" w:rsidRPr="001B330E" w:rsidRDefault="00D83E33">
            <w:pPr>
              <w:widowControl w:val="0"/>
              <w:jc w:val="center"/>
              <w:rPr>
                <w:sz w:val="17"/>
                <w:szCs w:val="17"/>
              </w:rPr>
            </w:pPr>
          </w:p>
        </w:tc>
        <w:tc>
          <w:tcPr>
            <w:tcW w:w="576" w:type="pct"/>
            <w:vAlign w:val="bottom"/>
          </w:tcPr>
          <w:p w14:paraId="367AA8B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AA883E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DD9DB1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39B6B97A"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471C080C" w14:textId="77777777" w:rsidTr="001B330E">
        <w:trPr>
          <w:trHeight w:val="23"/>
        </w:trPr>
        <w:tc>
          <w:tcPr>
            <w:tcW w:w="1545" w:type="pct"/>
            <w:vAlign w:val="bottom"/>
          </w:tcPr>
          <w:p w14:paraId="52C26E55" w14:textId="7F36BE8E" w:rsidR="00D83E33" w:rsidRPr="001B330E" w:rsidRDefault="00BC4072">
            <w:pPr>
              <w:widowControl w:val="0"/>
              <w:rPr>
                <w:b/>
                <w:sz w:val="17"/>
                <w:szCs w:val="17"/>
              </w:rPr>
            </w:pPr>
            <w:r w:rsidRPr="001B330E">
              <w:rPr>
                <w:sz w:val="17"/>
                <w:szCs w:val="17"/>
              </w:rPr>
              <w:t xml:space="preserve">- GDRs </w:t>
            </w:r>
          </w:p>
        </w:tc>
        <w:tc>
          <w:tcPr>
            <w:tcW w:w="576" w:type="pct"/>
            <w:vAlign w:val="bottom"/>
          </w:tcPr>
          <w:p w14:paraId="080F9856" w14:textId="77777777" w:rsidR="00D83E33" w:rsidRPr="001B330E" w:rsidRDefault="00D83E33">
            <w:pPr>
              <w:widowControl w:val="0"/>
              <w:jc w:val="center"/>
              <w:rPr>
                <w:sz w:val="17"/>
                <w:szCs w:val="17"/>
              </w:rPr>
            </w:pPr>
          </w:p>
        </w:tc>
        <w:tc>
          <w:tcPr>
            <w:tcW w:w="576" w:type="pct"/>
            <w:vAlign w:val="bottom"/>
          </w:tcPr>
          <w:p w14:paraId="5953CC78" w14:textId="77777777" w:rsidR="00D83E33" w:rsidRPr="001B330E" w:rsidRDefault="00D83E33">
            <w:pPr>
              <w:widowControl w:val="0"/>
              <w:jc w:val="center"/>
              <w:rPr>
                <w:sz w:val="17"/>
                <w:szCs w:val="17"/>
              </w:rPr>
            </w:pPr>
          </w:p>
        </w:tc>
        <w:tc>
          <w:tcPr>
            <w:tcW w:w="576" w:type="pct"/>
            <w:vAlign w:val="bottom"/>
          </w:tcPr>
          <w:p w14:paraId="7ED7FE6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3F474AA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D069F3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7215BDB7"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0CDB5D48" w14:textId="77777777" w:rsidTr="001B330E">
        <w:trPr>
          <w:trHeight w:val="23"/>
        </w:trPr>
        <w:tc>
          <w:tcPr>
            <w:tcW w:w="1545" w:type="pct"/>
            <w:vAlign w:val="bottom"/>
          </w:tcPr>
          <w:p w14:paraId="196D83DC" w14:textId="77777777" w:rsidR="00D83E33" w:rsidRPr="001B330E" w:rsidRDefault="00D83E33">
            <w:pPr>
              <w:widowControl w:val="0"/>
              <w:pBdr>
                <w:top w:val="nil"/>
                <w:left w:val="nil"/>
                <w:bottom w:val="nil"/>
                <w:right w:val="nil"/>
                <w:between w:val="nil"/>
              </w:pBdr>
              <w:rPr>
                <w:color w:val="000000"/>
                <w:sz w:val="17"/>
                <w:szCs w:val="17"/>
              </w:rPr>
            </w:pPr>
          </w:p>
        </w:tc>
        <w:tc>
          <w:tcPr>
            <w:tcW w:w="576" w:type="pct"/>
            <w:vAlign w:val="bottom"/>
          </w:tcPr>
          <w:p w14:paraId="19685E0D" w14:textId="77777777" w:rsidR="00D83E33" w:rsidRPr="001B330E" w:rsidRDefault="00D83E33">
            <w:pPr>
              <w:widowControl w:val="0"/>
              <w:jc w:val="center"/>
              <w:rPr>
                <w:sz w:val="17"/>
                <w:szCs w:val="17"/>
              </w:rPr>
            </w:pPr>
          </w:p>
        </w:tc>
        <w:tc>
          <w:tcPr>
            <w:tcW w:w="576" w:type="pct"/>
            <w:vAlign w:val="bottom"/>
          </w:tcPr>
          <w:p w14:paraId="53ECC501" w14:textId="77777777" w:rsidR="00D83E33" w:rsidRPr="001B330E" w:rsidRDefault="00D83E33">
            <w:pPr>
              <w:widowControl w:val="0"/>
              <w:jc w:val="center"/>
              <w:rPr>
                <w:sz w:val="17"/>
                <w:szCs w:val="17"/>
              </w:rPr>
            </w:pPr>
          </w:p>
        </w:tc>
        <w:tc>
          <w:tcPr>
            <w:tcW w:w="576" w:type="pct"/>
            <w:vAlign w:val="bottom"/>
          </w:tcPr>
          <w:p w14:paraId="3D4E9E9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C27D26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EBFFD2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565EC5E9"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35F58262" w14:textId="77777777" w:rsidTr="001B330E">
        <w:trPr>
          <w:trHeight w:val="23"/>
        </w:trPr>
        <w:tc>
          <w:tcPr>
            <w:tcW w:w="1545" w:type="pct"/>
            <w:vAlign w:val="bottom"/>
          </w:tcPr>
          <w:p w14:paraId="56963A45" w14:textId="77777777" w:rsidR="00D83E33" w:rsidRPr="001B330E" w:rsidRDefault="00D83E33">
            <w:pPr>
              <w:widowControl w:val="0"/>
              <w:pBdr>
                <w:top w:val="nil"/>
                <w:left w:val="nil"/>
                <w:bottom w:val="nil"/>
                <w:right w:val="nil"/>
                <w:between w:val="nil"/>
              </w:pBdr>
              <w:rPr>
                <w:color w:val="000000"/>
                <w:sz w:val="17"/>
                <w:szCs w:val="17"/>
              </w:rPr>
            </w:pPr>
          </w:p>
        </w:tc>
        <w:tc>
          <w:tcPr>
            <w:tcW w:w="576" w:type="pct"/>
            <w:vAlign w:val="bottom"/>
          </w:tcPr>
          <w:p w14:paraId="5C463BDC" w14:textId="77777777" w:rsidR="00D83E33" w:rsidRPr="001B330E" w:rsidRDefault="00D83E33">
            <w:pPr>
              <w:widowControl w:val="0"/>
              <w:jc w:val="center"/>
              <w:rPr>
                <w:sz w:val="17"/>
                <w:szCs w:val="17"/>
              </w:rPr>
            </w:pPr>
          </w:p>
        </w:tc>
        <w:tc>
          <w:tcPr>
            <w:tcW w:w="576" w:type="pct"/>
            <w:vAlign w:val="bottom"/>
          </w:tcPr>
          <w:p w14:paraId="0D735C1D" w14:textId="77777777" w:rsidR="00D83E33" w:rsidRPr="001B330E" w:rsidRDefault="00D83E33">
            <w:pPr>
              <w:widowControl w:val="0"/>
              <w:jc w:val="center"/>
              <w:rPr>
                <w:sz w:val="17"/>
                <w:szCs w:val="17"/>
              </w:rPr>
            </w:pPr>
          </w:p>
        </w:tc>
        <w:tc>
          <w:tcPr>
            <w:tcW w:w="576" w:type="pct"/>
            <w:vAlign w:val="bottom"/>
          </w:tcPr>
          <w:p w14:paraId="1DA17B4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5704571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5C8D316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2FADB495"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0FAE6BBA" w14:textId="77777777" w:rsidTr="001B330E">
        <w:trPr>
          <w:trHeight w:val="23"/>
        </w:trPr>
        <w:tc>
          <w:tcPr>
            <w:tcW w:w="1545" w:type="pct"/>
            <w:vAlign w:val="bottom"/>
          </w:tcPr>
          <w:p w14:paraId="2697C3AB"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Corporate bonds at FVOCI</w:t>
            </w:r>
          </w:p>
        </w:tc>
        <w:tc>
          <w:tcPr>
            <w:tcW w:w="576" w:type="pct"/>
            <w:vAlign w:val="bottom"/>
          </w:tcPr>
          <w:p w14:paraId="273A3756" w14:textId="77777777" w:rsidR="00D83E33" w:rsidRPr="001B330E" w:rsidRDefault="00D83E33">
            <w:pPr>
              <w:widowControl w:val="0"/>
              <w:jc w:val="center"/>
              <w:rPr>
                <w:sz w:val="17"/>
                <w:szCs w:val="17"/>
              </w:rPr>
            </w:pPr>
          </w:p>
        </w:tc>
        <w:tc>
          <w:tcPr>
            <w:tcW w:w="576" w:type="pct"/>
            <w:vAlign w:val="bottom"/>
          </w:tcPr>
          <w:p w14:paraId="7F69AB44" w14:textId="77777777" w:rsidR="00D83E33" w:rsidRPr="001B330E" w:rsidRDefault="00D83E33">
            <w:pPr>
              <w:widowControl w:val="0"/>
              <w:jc w:val="center"/>
              <w:rPr>
                <w:sz w:val="17"/>
                <w:szCs w:val="17"/>
              </w:rPr>
            </w:pPr>
          </w:p>
        </w:tc>
        <w:tc>
          <w:tcPr>
            <w:tcW w:w="576" w:type="pct"/>
            <w:vAlign w:val="bottom"/>
          </w:tcPr>
          <w:p w14:paraId="13DC456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45FDB2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C66893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34AA98A3"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386655F9" w14:textId="77777777" w:rsidTr="001B330E">
        <w:trPr>
          <w:trHeight w:val="23"/>
        </w:trPr>
        <w:tc>
          <w:tcPr>
            <w:tcW w:w="1545" w:type="pct"/>
            <w:vAlign w:val="bottom"/>
          </w:tcPr>
          <w:p w14:paraId="7938F73C"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Municipal bonds</w:t>
            </w:r>
          </w:p>
        </w:tc>
        <w:tc>
          <w:tcPr>
            <w:tcW w:w="576" w:type="pct"/>
            <w:vAlign w:val="bottom"/>
          </w:tcPr>
          <w:p w14:paraId="1971B601" w14:textId="77777777" w:rsidR="00D83E33" w:rsidRPr="001B330E" w:rsidRDefault="00D83E33">
            <w:pPr>
              <w:widowControl w:val="0"/>
              <w:jc w:val="center"/>
              <w:rPr>
                <w:sz w:val="17"/>
                <w:szCs w:val="17"/>
              </w:rPr>
            </w:pPr>
          </w:p>
        </w:tc>
        <w:tc>
          <w:tcPr>
            <w:tcW w:w="576" w:type="pct"/>
            <w:vAlign w:val="bottom"/>
          </w:tcPr>
          <w:p w14:paraId="3A600BEC" w14:textId="77777777" w:rsidR="00D83E33" w:rsidRPr="001B330E" w:rsidRDefault="00D83E33">
            <w:pPr>
              <w:widowControl w:val="0"/>
              <w:jc w:val="center"/>
              <w:rPr>
                <w:sz w:val="17"/>
                <w:szCs w:val="17"/>
              </w:rPr>
            </w:pPr>
          </w:p>
        </w:tc>
        <w:tc>
          <w:tcPr>
            <w:tcW w:w="576" w:type="pct"/>
            <w:vAlign w:val="bottom"/>
          </w:tcPr>
          <w:p w14:paraId="11B6221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347BA6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1C6012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64269D1D"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35A1C608" w14:textId="77777777" w:rsidTr="001B330E">
        <w:trPr>
          <w:trHeight w:val="23"/>
        </w:trPr>
        <w:tc>
          <w:tcPr>
            <w:tcW w:w="1545" w:type="pct"/>
            <w:vAlign w:val="bottom"/>
          </w:tcPr>
          <w:p w14:paraId="48FD15A3"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Corporate bonds</w:t>
            </w:r>
          </w:p>
        </w:tc>
        <w:tc>
          <w:tcPr>
            <w:tcW w:w="576" w:type="pct"/>
            <w:vAlign w:val="bottom"/>
          </w:tcPr>
          <w:p w14:paraId="3033E26F" w14:textId="77777777" w:rsidR="00D83E33" w:rsidRPr="001B330E" w:rsidRDefault="00D83E33">
            <w:pPr>
              <w:widowControl w:val="0"/>
              <w:jc w:val="center"/>
              <w:rPr>
                <w:sz w:val="17"/>
                <w:szCs w:val="17"/>
              </w:rPr>
            </w:pPr>
          </w:p>
        </w:tc>
        <w:tc>
          <w:tcPr>
            <w:tcW w:w="576" w:type="pct"/>
            <w:vAlign w:val="bottom"/>
          </w:tcPr>
          <w:p w14:paraId="51829C75" w14:textId="77777777" w:rsidR="00D83E33" w:rsidRPr="001B330E" w:rsidRDefault="00D83E33">
            <w:pPr>
              <w:widowControl w:val="0"/>
              <w:jc w:val="center"/>
              <w:rPr>
                <w:sz w:val="17"/>
                <w:szCs w:val="17"/>
              </w:rPr>
            </w:pPr>
          </w:p>
        </w:tc>
        <w:tc>
          <w:tcPr>
            <w:tcW w:w="576" w:type="pct"/>
            <w:vAlign w:val="bottom"/>
          </w:tcPr>
          <w:p w14:paraId="1AB9101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8AA34A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4B34B7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2D6277FC"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1DEA764C" w14:textId="77777777" w:rsidTr="001B330E">
        <w:trPr>
          <w:trHeight w:val="23"/>
        </w:trPr>
        <w:tc>
          <w:tcPr>
            <w:tcW w:w="1545" w:type="pct"/>
            <w:vAlign w:val="bottom"/>
          </w:tcPr>
          <w:p w14:paraId="1A36DF53" w14:textId="72395A60"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xml:space="preserve">- Promissory notes </w:t>
            </w:r>
          </w:p>
        </w:tc>
        <w:tc>
          <w:tcPr>
            <w:tcW w:w="576" w:type="pct"/>
            <w:vAlign w:val="bottom"/>
          </w:tcPr>
          <w:p w14:paraId="46223264" w14:textId="77777777" w:rsidR="00D83E33" w:rsidRPr="001B330E" w:rsidRDefault="00D83E33">
            <w:pPr>
              <w:widowControl w:val="0"/>
              <w:jc w:val="center"/>
              <w:rPr>
                <w:sz w:val="17"/>
                <w:szCs w:val="17"/>
              </w:rPr>
            </w:pPr>
          </w:p>
        </w:tc>
        <w:tc>
          <w:tcPr>
            <w:tcW w:w="576" w:type="pct"/>
            <w:vAlign w:val="bottom"/>
          </w:tcPr>
          <w:p w14:paraId="28F40BDC" w14:textId="77777777" w:rsidR="00D83E33" w:rsidRPr="001B330E" w:rsidRDefault="00D83E33">
            <w:pPr>
              <w:widowControl w:val="0"/>
              <w:jc w:val="center"/>
              <w:rPr>
                <w:sz w:val="17"/>
                <w:szCs w:val="17"/>
              </w:rPr>
            </w:pPr>
          </w:p>
        </w:tc>
        <w:tc>
          <w:tcPr>
            <w:tcW w:w="576" w:type="pct"/>
            <w:vAlign w:val="bottom"/>
          </w:tcPr>
          <w:p w14:paraId="3577AF1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B85F49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D04B41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687CFC5D"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1980FDE8" w14:textId="77777777" w:rsidTr="001B330E">
        <w:trPr>
          <w:trHeight w:val="23"/>
        </w:trPr>
        <w:tc>
          <w:tcPr>
            <w:tcW w:w="1545" w:type="pct"/>
            <w:vAlign w:val="bottom"/>
          </w:tcPr>
          <w:p w14:paraId="46C8F469" w14:textId="77777777" w:rsidR="00D83E33" w:rsidRPr="001B330E" w:rsidRDefault="00D83E33">
            <w:pPr>
              <w:widowControl w:val="0"/>
              <w:pBdr>
                <w:top w:val="nil"/>
                <w:left w:val="nil"/>
                <w:bottom w:val="nil"/>
                <w:right w:val="nil"/>
                <w:between w:val="nil"/>
              </w:pBdr>
              <w:rPr>
                <w:color w:val="000000"/>
                <w:sz w:val="17"/>
                <w:szCs w:val="17"/>
              </w:rPr>
            </w:pPr>
          </w:p>
        </w:tc>
        <w:tc>
          <w:tcPr>
            <w:tcW w:w="576" w:type="pct"/>
            <w:vAlign w:val="bottom"/>
          </w:tcPr>
          <w:p w14:paraId="26553FD4" w14:textId="77777777" w:rsidR="00D83E33" w:rsidRPr="001B330E" w:rsidRDefault="00D83E33">
            <w:pPr>
              <w:widowControl w:val="0"/>
              <w:jc w:val="center"/>
              <w:rPr>
                <w:sz w:val="17"/>
                <w:szCs w:val="17"/>
              </w:rPr>
            </w:pPr>
          </w:p>
        </w:tc>
        <w:tc>
          <w:tcPr>
            <w:tcW w:w="576" w:type="pct"/>
            <w:vAlign w:val="bottom"/>
          </w:tcPr>
          <w:p w14:paraId="2F7E8022" w14:textId="77777777" w:rsidR="00D83E33" w:rsidRPr="001B330E" w:rsidRDefault="00D83E33">
            <w:pPr>
              <w:widowControl w:val="0"/>
              <w:jc w:val="center"/>
              <w:rPr>
                <w:sz w:val="17"/>
                <w:szCs w:val="17"/>
              </w:rPr>
            </w:pPr>
          </w:p>
        </w:tc>
        <w:tc>
          <w:tcPr>
            <w:tcW w:w="576" w:type="pct"/>
            <w:vAlign w:val="bottom"/>
          </w:tcPr>
          <w:p w14:paraId="2306633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718AD5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8BEA837"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65481600"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75D3BFB7" w14:textId="77777777" w:rsidTr="001B330E">
        <w:trPr>
          <w:trHeight w:val="23"/>
        </w:trPr>
        <w:tc>
          <w:tcPr>
            <w:tcW w:w="1545" w:type="pct"/>
            <w:vAlign w:val="bottom"/>
          </w:tcPr>
          <w:p w14:paraId="04996315" w14:textId="77777777" w:rsidR="00D83E33" w:rsidRPr="001B330E" w:rsidRDefault="00BC4072">
            <w:pPr>
              <w:widowControl w:val="0"/>
              <w:pBdr>
                <w:top w:val="nil"/>
                <w:left w:val="nil"/>
                <w:bottom w:val="nil"/>
                <w:right w:val="nil"/>
                <w:between w:val="nil"/>
              </w:pBdr>
              <w:rPr>
                <w:b/>
                <w:i/>
                <w:color w:val="000000"/>
                <w:sz w:val="17"/>
                <w:szCs w:val="17"/>
              </w:rPr>
            </w:pPr>
            <w:r w:rsidRPr="001B330E">
              <w:rPr>
                <w:b/>
                <w:i/>
                <w:color w:val="000000"/>
                <w:sz w:val="17"/>
                <w:szCs w:val="17"/>
              </w:rPr>
              <w:t>Other financial assets at AC</w:t>
            </w:r>
          </w:p>
        </w:tc>
        <w:tc>
          <w:tcPr>
            <w:tcW w:w="576" w:type="pct"/>
            <w:vAlign w:val="bottom"/>
          </w:tcPr>
          <w:p w14:paraId="0B7AE025" w14:textId="77777777" w:rsidR="00D83E33" w:rsidRPr="001B330E" w:rsidRDefault="00D83E33">
            <w:pPr>
              <w:widowControl w:val="0"/>
              <w:jc w:val="center"/>
              <w:rPr>
                <w:sz w:val="17"/>
                <w:szCs w:val="17"/>
              </w:rPr>
            </w:pPr>
          </w:p>
        </w:tc>
        <w:tc>
          <w:tcPr>
            <w:tcW w:w="576" w:type="pct"/>
            <w:vAlign w:val="bottom"/>
          </w:tcPr>
          <w:p w14:paraId="03F591CF" w14:textId="77777777" w:rsidR="00D83E33" w:rsidRPr="001B330E" w:rsidRDefault="00D83E33">
            <w:pPr>
              <w:widowControl w:val="0"/>
              <w:jc w:val="center"/>
              <w:rPr>
                <w:sz w:val="17"/>
                <w:szCs w:val="17"/>
              </w:rPr>
            </w:pPr>
          </w:p>
        </w:tc>
        <w:tc>
          <w:tcPr>
            <w:tcW w:w="576" w:type="pct"/>
            <w:vAlign w:val="bottom"/>
          </w:tcPr>
          <w:p w14:paraId="7EE765A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E346F8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CA71AD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01BE1FB9"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5BDE31CA" w14:textId="77777777" w:rsidTr="001B330E">
        <w:trPr>
          <w:trHeight w:val="23"/>
        </w:trPr>
        <w:tc>
          <w:tcPr>
            <w:tcW w:w="1545" w:type="pct"/>
            <w:vAlign w:val="bottom"/>
          </w:tcPr>
          <w:p w14:paraId="576EC292"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Trade receivables</w:t>
            </w:r>
          </w:p>
        </w:tc>
        <w:tc>
          <w:tcPr>
            <w:tcW w:w="576" w:type="pct"/>
            <w:vAlign w:val="bottom"/>
          </w:tcPr>
          <w:p w14:paraId="4F2B4BF5" w14:textId="77777777" w:rsidR="00D83E33" w:rsidRPr="001B330E" w:rsidRDefault="00D83E33">
            <w:pPr>
              <w:widowControl w:val="0"/>
              <w:jc w:val="center"/>
              <w:rPr>
                <w:sz w:val="17"/>
                <w:szCs w:val="17"/>
              </w:rPr>
            </w:pPr>
          </w:p>
        </w:tc>
        <w:tc>
          <w:tcPr>
            <w:tcW w:w="576" w:type="pct"/>
            <w:vAlign w:val="bottom"/>
          </w:tcPr>
          <w:p w14:paraId="4B0DC594" w14:textId="77777777" w:rsidR="00D83E33" w:rsidRPr="001B330E" w:rsidRDefault="00D83E33">
            <w:pPr>
              <w:widowControl w:val="0"/>
              <w:jc w:val="center"/>
              <w:rPr>
                <w:sz w:val="17"/>
                <w:szCs w:val="17"/>
              </w:rPr>
            </w:pPr>
          </w:p>
        </w:tc>
        <w:tc>
          <w:tcPr>
            <w:tcW w:w="576" w:type="pct"/>
            <w:vAlign w:val="bottom"/>
          </w:tcPr>
          <w:p w14:paraId="6A6194D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3C988A7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3041F0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1027A47E"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60954D88" w14:textId="77777777" w:rsidTr="001B330E">
        <w:trPr>
          <w:trHeight w:val="23"/>
        </w:trPr>
        <w:tc>
          <w:tcPr>
            <w:tcW w:w="1545" w:type="pct"/>
            <w:vAlign w:val="bottom"/>
          </w:tcPr>
          <w:p w14:paraId="7628FF2D"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Finance lease receivables</w:t>
            </w:r>
          </w:p>
        </w:tc>
        <w:tc>
          <w:tcPr>
            <w:tcW w:w="576" w:type="pct"/>
            <w:vAlign w:val="bottom"/>
          </w:tcPr>
          <w:p w14:paraId="1DD257A9" w14:textId="77777777" w:rsidR="00D83E33" w:rsidRPr="001B330E" w:rsidRDefault="00D83E33">
            <w:pPr>
              <w:widowControl w:val="0"/>
              <w:jc w:val="center"/>
              <w:rPr>
                <w:sz w:val="17"/>
                <w:szCs w:val="17"/>
              </w:rPr>
            </w:pPr>
          </w:p>
        </w:tc>
        <w:tc>
          <w:tcPr>
            <w:tcW w:w="576" w:type="pct"/>
            <w:vAlign w:val="bottom"/>
          </w:tcPr>
          <w:p w14:paraId="2979C10B" w14:textId="77777777" w:rsidR="00D83E33" w:rsidRPr="001B330E" w:rsidRDefault="00D83E33">
            <w:pPr>
              <w:widowControl w:val="0"/>
              <w:jc w:val="center"/>
              <w:rPr>
                <w:sz w:val="17"/>
                <w:szCs w:val="17"/>
              </w:rPr>
            </w:pPr>
          </w:p>
        </w:tc>
        <w:tc>
          <w:tcPr>
            <w:tcW w:w="576" w:type="pct"/>
            <w:vAlign w:val="bottom"/>
          </w:tcPr>
          <w:p w14:paraId="3EEF83E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5A35A7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6D2F14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45802842"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3F4E767A" w14:textId="77777777" w:rsidTr="001B330E">
        <w:trPr>
          <w:trHeight w:val="23"/>
        </w:trPr>
        <w:tc>
          <w:tcPr>
            <w:tcW w:w="1545" w:type="pct"/>
            <w:vAlign w:val="bottom"/>
          </w:tcPr>
          <w:p w14:paraId="5ACC4747"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Credit and debit card receivables</w:t>
            </w:r>
          </w:p>
        </w:tc>
        <w:tc>
          <w:tcPr>
            <w:tcW w:w="576" w:type="pct"/>
            <w:vAlign w:val="bottom"/>
          </w:tcPr>
          <w:p w14:paraId="69D745B5" w14:textId="77777777" w:rsidR="00D83E33" w:rsidRPr="001B330E" w:rsidRDefault="00D83E33">
            <w:pPr>
              <w:widowControl w:val="0"/>
              <w:jc w:val="center"/>
              <w:rPr>
                <w:sz w:val="17"/>
                <w:szCs w:val="17"/>
              </w:rPr>
            </w:pPr>
          </w:p>
        </w:tc>
        <w:tc>
          <w:tcPr>
            <w:tcW w:w="576" w:type="pct"/>
            <w:vAlign w:val="bottom"/>
          </w:tcPr>
          <w:p w14:paraId="029A2592" w14:textId="77777777" w:rsidR="00D83E33" w:rsidRPr="001B330E" w:rsidRDefault="00D83E33">
            <w:pPr>
              <w:widowControl w:val="0"/>
              <w:jc w:val="center"/>
              <w:rPr>
                <w:sz w:val="17"/>
                <w:szCs w:val="17"/>
              </w:rPr>
            </w:pPr>
          </w:p>
        </w:tc>
        <w:tc>
          <w:tcPr>
            <w:tcW w:w="576" w:type="pct"/>
            <w:vAlign w:val="bottom"/>
          </w:tcPr>
          <w:p w14:paraId="6EA00C5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0D05FED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3A0F109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6EFB71ED"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18F86F27" w14:textId="77777777" w:rsidTr="001B330E">
        <w:trPr>
          <w:trHeight w:val="23"/>
        </w:trPr>
        <w:tc>
          <w:tcPr>
            <w:tcW w:w="1545" w:type="pct"/>
            <w:vAlign w:val="bottom"/>
          </w:tcPr>
          <w:p w14:paraId="4023F705"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Settlements on conversion operations</w:t>
            </w:r>
          </w:p>
        </w:tc>
        <w:tc>
          <w:tcPr>
            <w:tcW w:w="576" w:type="pct"/>
            <w:vAlign w:val="bottom"/>
          </w:tcPr>
          <w:p w14:paraId="3EC84658" w14:textId="77777777" w:rsidR="00D83E33" w:rsidRPr="001B330E" w:rsidRDefault="00D83E33">
            <w:pPr>
              <w:widowControl w:val="0"/>
              <w:jc w:val="center"/>
              <w:rPr>
                <w:sz w:val="17"/>
                <w:szCs w:val="17"/>
              </w:rPr>
            </w:pPr>
          </w:p>
        </w:tc>
        <w:tc>
          <w:tcPr>
            <w:tcW w:w="576" w:type="pct"/>
            <w:vAlign w:val="bottom"/>
          </w:tcPr>
          <w:p w14:paraId="243F7B68" w14:textId="77777777" w:rsidR="00D83E33" w:rsidRPr="001B330E" w:rsidRDefault="00D83E33">
            <w:pPr>
              <w:widowControl w:val="0"/>
              <w:jc w:val="center"/>
              <w:rPr>
                <w:sz w:val="17"/>
                <w:szCs w:val="17"/>
              </w:rPr>
            </w:pPr>
          </w:p>
        </w:tc>
        <w:tc>
          <w:tcPr>
            <w:tcW w:w="576" w:type="pct"/>
            <w:vAlign w:val="bottom"/>
          </w:tcPr>
          <w:p w14:paraId="326E0BA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2C24C27"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32F0546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48E1C968"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1E7BBD2E" w14:textId="77777777" w:rsidTr="001B330E">
        <w:trPr>
          <w:trHeight w:val="23"/>
        </w:trPr>
        <w:tc>
          <w:tcPr>
            <w:tcW w:w="1545" w:type="pct"/>
            <w:vAlign w:val="bottom"/>
          </w:tcPr>
          <w:p w14:paraId="0DCCF2E1" w14:textId="1D4CFA68"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xml:space="preserve">- Other </w:t>
            </w:r>
          </w:p>
        </w:tc>
        <w:tc>
          <w:tcPr>
            <w:tcW w:w="576" w:type="pct"/>
            <w:vAlign w:val="bottom"/>
          </w:tcPr>
          <w:p w14:paraId="0A8E4EB3" w14:textId="77777777" w:rsidR="00D83E33" w:rsidRPr="001B330E" w:rsidRDefault="00D83E33">
            <w:pPr>
              <w:widowControl w:val="0"/>
              <w:jc w:val="center"/>
              <w:rPr>
                <w:sz w:val="17"/>
                <w:szCs w:val="17"/>
              </w:rPr>
            </w:pPr>
          </w:p>
        </w:tc>
        <w:tc>
          <w:tcPr>
            <w:tcW w:w="576" w:type="pct"/>
            <w:vAlign w:val="bottom"/>
          </w:tcPr>
          <w:p w14:paraId="106DDBE8" w14:textId="77777777" w:rsidR="00D83E33" w:rsidRPr="001B330E" w:rsidRDefault="00D83E33">
            <w:pPr>
              <w:widowControl w:val="0"/>
              <w:jc w:val="center"/>
              <w:rPr>
                <w:sz w:val="17"/>
                <w:szCs w:val="17"/>
              </w:rPr>
            </w:pPr>
          </w:p>
        </w:tc>
        <w:tc>
          <w:tcPr>
            <w:tcW w:w="576" w:type="pct"/>
            <w:vAlign w:val="bottom"/>
          </w:tcPr>
          <w:p w14:paraId="619A139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EED9C0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C87D08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7156800F"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4FC7EEF8" w14:textId="77777777" w:rsidTr="001B330E">
        <w:trPr>
          <w:trHeight w:val="23"/>
        </w:trPr>
        <w:tc>
          <w:tcPr>
            <w:tcW w:w="1545" w:type="pct"/>
            <w:tcBorders>
              <w:bottom w:val="single" w:sz="4" w:space="0" w:color="000000"/>
            </w:tcBorders>
            <w:vAlign w:val="bottom"/>
          </w:tcPr>
          <w:p w14:paraId="0C155FC3" w14:textId="77777777" w:rsidR="00D83E33" w:rsidRPr="001B330E" w:rsidRDefault="00D83E33">
            <w:pPr>
              <w:widowControl w:val="0"/>
              <w:pBdr>
                <w:top w:val="nil"/>
                <w:left w:val="nil"/>
                <w:bottom w:val="nil"/>
                <w:right w:val="nil"/>
                <w:between w:val="nil"/>
              </w:pBdr>
              <w:rPr>
                <w:color w:val="000000"/>
                <w:sz w:val="17"/>
                <w:szCs w:val="17"/>
              </w:rPr>
            </w:pPr>
          </w:p>
        </w:tc>
        <w:tc>
          <w:tcPr>
            <w:tcW w:w="576" w:type="pct"/>
            <w:tcBorders>
              <w:bottom w:val="single" w:sz="4" w:space="0" w:color="000000"/>
            </w:tcBorders>
            <w:vAlign w:val="bottom"/>
          </w:tcPr>
          <w:p w14:paraId="2B076B59" w14:textId="77777777" w:rsidR="00D83E33" w:rsidRPr="001B330E" w:rsidRDefault="00D83E33">
            <w:pPr>
              <w:widowControl w:val="0"/>
              <w:jc w:val="center"/>
              <w:rPr>
                <w:sz w:val="17"/>
                <w:szCs w:val="17"/>
              </w:rPr>
            </w:pPr>
          </w:p>
        </w:tc>
        <w:tc>
          <w:tcPr>
            <w:tcW w:w="576" w:type="pct"/>
            <w:tcBorders>
              <w:bottom w:val="single" w:sz="4" w:space="0" w:color="000000"/>
            </w:tcBorders>
            <w:vAlign w:val="bottom"/>
          </w:tcPr>
          <w:p w14:paraId="56ADEEF3" w14:textId="77777777" w:rsidR="00D83E33" w:rsidRPr="001B330E" w:rsidRDefault="00D83E33">
            <w:pPr>
              <w:widowControl w:val="0"/>
              <w:jc w:val="center"/>
              <w:rPr>
                <w:sz w:val="17"/>
                <w:szCs w:val="17"/>
              </w:rPr>
            </w:pPr>
          </w:p>
        </w:tc>
        <w:tc>
          <w:tcPr>
            <w:tcW w:w="576" w:type="pct"/>
            <w:tcBorders>
              <w:bottom w:val="single" w:sz="4" w:space="0" w:color="000000"/>
            </w:tcBorders>
            <w:vAlign w:val="bottom"/>
          </w:tcPr>
          <w:p w14:paraId="69B4D44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5940156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0A83304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tcBorders>
              <w:bottom w:val="single" w:sz="4" w:space="0" w:color="000000"/>
            </w:tcBorders>
            <w:vAlign w:val="bottom"/>
          </w:tcPr>
          <w:p w14:paraId="65DFA4F3" w14:textId="77777777" w:rsidR="00D83E33" w:rsidRPr="001B330E" w:rsidRDefault="00D83E33">
            <w:pPr>
              <w:widowControl w:val="0"/>
              <w:pBdr>
                <w:top w:val="nil"/>
                <w:left w:val="nil"/>
                <w:bottom w:val="nil"/>
                <w:right w:val="nil"/>
                <w:between w:val="nil"/>
              </w:pBdr>
              <w:jc w:val="right"/>
              <w:rPr>
                <w:color w:val="000000"/>
                <w:sz w:val="17"/>
                <w:szCs w:val="17"/>
              </w:rPr>
            </w:pPr>
          </w:p>
        </w:tc>
      </w:tr>
    </w:tbl>
    <w:p w14:paraId="44278120" w14:textId="7826B004" w:rsidR="00D83E33" w:rsidRDefault="00BC4072" w:rsidP="001B330E">
      <w:pPr>
        <w:pStyle w:val="Continued"/>
      </w:pPr>
      <w:r>
        <w:lastRenderedPageBreak/>
        <w:t>47</w:t>
      </w:r>
      <w:r>
        <w:tab/>
        <w:t>Transfers of Financial Assets (Continued)</w:t>
      </w:r>
    </w:p>
    <w:tbl>
      <w:tblPr>
        <w:tblStyle w:val="afffffffffffffffc"/>
        <w:tblW w:w="5000" w:type="pct"/>
        <w:tblLayout w:type="fixed"/>
        <w:tblLook w:val="0000" w:firstRow="0" w:lastRow="0" w:firstColumn="0" w:lastColumn="0" w:noHBand="0" w:noVBand="0"/>
      </w:tblPr>
      <w:tblGrid>
        <w:gridCol w:w="2890"/>
        <w:gridCol w:w="1077"/>
        <w:gridCol w:w="1078"/>
        <w:gridCol w:w="1078"/>
        <w:gridCol w:w="1078"/>
        <w:gridCol w:w="1078"/>
        <w:gridCol w:w="1076"/>
      </w:tblGrid>
      <w:tr w:rsidR="00D83E33" w:rsidRPr="00077F42" w14:paraId="404EC73E" w14:textId="77777777" w:rsidTr="001B330E">
        <w:trPr>
          <w:trHeight w:val="23"/>
        </w:trPr>
        <w:tc>
          <w:tcPr>
            <w:tcW w:w="1545" w:type="pct"/>
            <w:vAlign w:val="bottom"/>
          </w:tcPr>
          <w:p w14:paraId="3A918B15" w14:textId="77777777" w:rsidR="00D83E33" w:rsidRPr="001B330E" w:rsidRDefault="00D83E33">
            <w:pPr>
              <w:widowControl w:val="0"/>
              <w:rPr>
                <w:b/>
                <w:sz w:val="17"/>
                <w:szCs w:val="17"/>
              </w:rPr>
            </w:pPr>
          </w:p>
        </w:tc>
        <w:tc>
          <w:tcPr>
            <w:tcW w:w="1728" w:type="pct"/>
            <w:gridSpan w:val="3"/>
            <w:tcBorders>
              <w:bottom w:val="single" w:sz="4" w:space="0" w:color="000000"/>
            </w:tcBorders>
            <w:vAlign w:val="bottom"/>
          </w:tcPr>
          <w:p w14:paraId="7C917207" w14:textId="700CF69E" w:rsidR="00D83E33" w:rsidRPr="001B330E" w:rsidRDefault="00BC4072">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2024</w:t>
            </w:r>
          </w:p>
        </w:tc>
        <w:tc>
          <w:tcPr>
            <w:tcW w:w="1727" w:type="pct"/>
            <w:gridSpan w:val="3"/>
            <w:tcBorders>
              <w:bottom w:val="single" w:sz="4" w:space="0" w:color="000000"/>
            </w:tcBorders>
            <w:vAlign w:val="bottom"/>
          </w:tcPr>
          <w:p w14:paraId="72D068BB" w14:textId="3C5E1139" w:rsidR="00D83E33" w:rsidRPr="001B330E" w:rsidRDefault="00BC4072">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2023</w:t>
            </w:r>
          </w:p>
        </w:tc>
      </w:tr>
      <w:tr w:rsidR="00D83E33" w:rsidRPr="00077F42" w14:paraId="4E6007F5" w14:textId="77777777" w:rsidTr="001B330E">
        <w:trPr>
          <w:trHeight w:val="23"/>
        </w:trPr>
        <w:tc>
          <w:tcPr>
            <w:tcW w:w="1545" w:type="pct"/>
            <w:tcBorders>
              <w:bottom w:val="single" w:sz="4" w:space="0" w:color="000000"/>
            </w:tcBorders>
            <w:vAlign w:val="bottom"/>
          </w:tcPr>
          <w:p w14:paraId="293E725C" w14:textId="30168BE2" w:rsidR="00D83E33" w:rsidRPr="001B330E" w:rsidRDefault="00313B4D">
            <w:pPr>
              <w:widowControl w:val="0"/>
              <w:pBdr>
                <w:top w:val="nil"/>
                <w:left w:val="nil"/>
                <w:bottom w:val="nil"/>
                <w:right w:val="nil"/>
                <w:between w:val="nil"/>
              </w:pBdr>
              <w:rPr>
                <w:b/>
                <w:i/>
                <w:color w:val="000000"/>
                <w:sz w:val="17"/>
                <w:szCs w:val="17"/>
              </w:rPr>
            </w:pPr>
            <w:r>
              <w:rPr>
                <w:i/>
                <w:color w:val="000000"/>
                <w:sz w:val="17"/>
                <w:szCs w:val="17"/>
              </w:rPr>
              <w:t xml:space="preserve">In thousands of </w:t>
            </w:r>
            <w:r w:rsidR="002649EE">
              <w:rPr>
                <w:i/>
                <w:color w:val="000000"/>
                <w:sz w:val="17"/>
                <w:szCs w:val="17"/>
              </w:rPr>
              <w:t>EUR</w:t>
            </w:r>
          </w:p>
        </w:tc>
        <w:tc>
          <w:tcPr>
            <w:tcW w:w="576" w:type="pct"/>
            <w:tcBorders>
              <w:top w:val="single" w:sz="4" w:space="0" w:color="000000"/>
              <w:bottom w:val="single" w:sz="4" w:space="0" w:color="000000"/>
            </w:tcBorders>
          </w:tcPr>
          <w:p w14:paraId="5BB60F48"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before the transfer</w:t>
            </w:r>
          </w:p>
        </w:tc>
        <w:tc>
          <w:tcPr>
            <w:tcW w:w="576" w:type="pct"/>
            <w:tcBorders>
              <w:top w:val="single" w:sz="4" w:space="0" w:color="000000"/>
              <w:bottom w:val="single" w:sz="4" w:space="0" w:color="000000"/>
            </w:tcBorders>
          </w:tcPr>
          <w:p w14:paraId="72753184"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that the entity continues to recognise after the transfer</w:t>
            </w:r>
          </w:p>
        </w:tc>
        <w:tc>
          <w:tcPr>
            <w:tcW w:w="576" w:type="pct"/>
            <w:tcBorders>
              <w:top w:val="single" w:sz="4" w:space="0" w:color="000000"/>
              <w:bottom w:val="single" w:sz="4" w:space="0" w:color="000000"/>
            </w:tcBorders>
          </w:tcPr>
          <w:p w14:paraId="14F99888"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associated liabilities</w:t>
            </w:r>
          </w:p>
        </w:tc>
        <w:tc>
          <w:tcPr>
            <w:tcW w:w="576" w:type="pct"/>
            <w:tcBorders>
              <w:top w:val="single" w:sz="4" w:space="0" w:color="000000"/>
              <w:bottom w:val="single" w:sz="4" w:space="0" w:color="000000"/>
            </w:tcBorders>
          </w:tcPr>
          <w:p w14:paraId="465D4B62"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before the transfer</w:t>
            </w:r>
          </w:p>
        </w:tc>
        <w:tc>
          <w:tcPr>
            <w:tcW w:w="576" w:type="pct"/>
            <w:tcBorders>
              <w:top w:val="single" w:sz="4" w:space="0" w:color="000000"/>
              <w:bottom w:val="single" w:sz="4" w:space="0" w:color="000000"/>
            </w:tcBorders>
          </w:tcPr>
          <w:p w14:paraId="0421CE5D"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assets that the entity continues to recognise after the transfer</w:t>
            </w:r>
          </w:p>
        </w:tc>
        <w:tc>
          <w:tcPr>
            <w:tcW w:w="575" w:type="pct"/>
            <w:tcBorders>
              <w:top w:val="single" w:sz="4" w:space="0" w:color="000000"/>
              <w:bottom w:val="single" w:sz="4" w:space="0" w:color="000000"/>
            </w:tcBorders>
          </w:tcPr>
          <w:p w14:paraId="1FF67E82"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amount of the associated liabilities</w:t>
            </w:r>
          </w:p>
        </w:tc>
      </w:tr>
      <w:tr w:rsidR="00D83E33" w:rsidRPr="00077F42" w14:paraId="773669EA" w14:textId="77777777" w:rsidTr="001B330E">
        <w:trPr>
          <w:trHeight w:val="23"/>
        </w:trPr>
        <w:tc>
          <w:tcPr>
            <w:tcW w:w="1545" w:type="pct"/>
            <w:vAlign w:val="bottom"/>
          </w:tcPr>
          <w:p w14:paraId="551E2DD3" w14:textId="77777777" w:rsidR="00D83E33" w:rsidRPr="001B330E" w:rsidRDefault="00D83E33">
            <w:pPr>
              <w:widowControl w:val="0"/>
              <w:pBdr>
                <w:top w:val="nil"/>
                <w:left w:val="nil"/>
                <w:bottom w:val="nil"/>
                <w:right w:val="nil"/>
                <w:between w:val="nil"/>
              </w:pBdr>
              <w:rPr>
                <w:color w:val="000000"/>
                <w:sz w:val="17"/>
                <w:szCs w:val="17"/>
              </w:rPr>
            </w:pPr>
          </w:p>
        </w:tc>
        <w:tc>
          <w:tcPr>
            <w:tcW w:w="576" w:type="pct"/>
            <w:vAlign w:val="bottom"/>
          </w:tcPr>
          <w:p w14:paraId="01D0E01B" w14:textId="77777777" w:rsidR="00D83E33" w:rsidRPr="001B330E" w:rsidRDefault="00D83E33">
            <w:pPr>
              <w:widowControl w:val="0"/>
              <w:jc w:val="center"/>
              <w:rPr>
                <w:sz w:val="17"/>
                <w:szCs w:val="17"/>
              </w:rPr>
            </w:pPr>
          </w:p>
        </w:tc>
        <w:tc>
          <w:tcPr>
            <w:tcW w:w="576" w:type="pct"/>
            <w:vAlign w:val="bottom"/>
          </w:tcPr>
          <w:p w14:paraId="4532273A" w14:textId="77777777" w:rsidR="00D83E33" w:rsidRPr="001B330E" w:rsidRDefault="00D83E33">
            <w:pPr>
              <w:widowControl w:val="0"/>
              <w:jc w:val="center"/>
              <w:rPr>
                <w:sz w:val="17"/>
                <w:szCs w:val="17"/>
              </w:rPr>
            </w:pPr>
          </w:p>
        </w:tc>
        <w:tc>
          <w:tcPr>
            <w:tcW w:w="576" w:type="pct"/>
            <w:vAlign w:val="bottom"/>
          </w:tcPr>
          <w:p w14:paraId="3017B77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8E6F19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ECF8DD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2B8061D8"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7B238520" w14:textId="77777777" w:rsidTr="001B330E">
        <w:trPr>
          <w:trHeight w:val="23"/>
        </w:trPr>
        <w:tc>
          <w:tcPr>
            <w:tcW w:w="1545" w:type="pct"/>
            <w:vAlign w:val="bottom"/>
          </w:tcPr>
          <w:p w14:paraId="7D8A3D06" w14:textId="77777777" w:rsidR="00D83E33" w:rsidRPr="001B330E" w:rsidRDefault="00BC4072">
            <w:pPr>
              <w:widowControl w:val="0"/>
              <w:pBdr>
                <w:top w:val="nil"/>
                <w:left w:val="nil"/>
                <w:bottom w:val="nil"/>
                <w:right w:val="nil"/>
                <w:between w:val="nil"/>
              </w:pBdr>
              <w:rPr>
                <w:b/>
                <w:i/>
                <w:color w:val="000000"/>
                <w:sz w:val="17"/>
                <w:szCs w:val="17"/>
              </w:rPr>
            </w:pPr>
            <w:r w:rsidRPr="001B330E">
              <w:rPr>
                <w:b/>
                <w:i/>
                <w:color w:val="000000"/>
                <w:sz w:val="17"/>
                <w:szCs w:val="17"/>
              </w:rPr>
              <w:t>Other financial assets at FVTPL</w:t>
            </w:r>
          </w:p>
        </w:tc>
        <w:tc>
          <w:tcPr>
            <w:tcW w:w="576" w:type="pct"/>
            <w:vAlign w:val="bottom"/>
          </w:tcPr>
          <w:p w14:paraId="3B541BAC" w14:textId="77777777" w:rsidR="00D83E33" w:rsidRPr="001B330E" w:rsidRDefault="00D83E33">
            <w:pPr>
              <w:widowControl w:val="0"/>
              <w:jc w:val="center"/>
              <w:rPr>
                <w:sz w:val="17"/>
                <w:szCs w:val="17"/>
              </w:rPr>
            </w:pPr>
          </w:p>
        </w:tc>
        <w:tc>
          <w:tcPr>
            <w:tcW w:w="576" w:type="pct"/>
            <w:vAlign w:val="bottom"/>
          </w:tcPr>
          <w:p w14:paraId="24B65F24" w14:textId="77777777" w:rsidR="00D83E33" w:rsidRPr="001B330E" w:rsidRDefault="00D83E33">
            <w:pPr>
              <w:widowControl w:val="0"/>
              <w:jc w:val="center"/>
              <w:rPr>
                <w:sz w:val="17"/>
                <w:szCs w:val="17"/>
              </w:rPr>
            </w:pPr>
          </w:p>
        </w:tc>
        <w:tc>
          <w:tcPr>
            <w:tcW w:w="576" w:type="pct"/>
            <w:vAlign w:val="bottom"/>
          </w:tcPr>
          <w:p w14:paraId="036CB0C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7BC5E3A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71BB946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4439DEC2"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4652A542" w14:textId="77777777" w:rsidTr="001B330E">
        <w:trPr>
          <w:trHeight w:val="23"/>
        </w:trPr>
        <w:tc>
          <w:tcPr>
            <w:tcW w:w="1545" w:type="pct"/>
            <w:vAlign w:val="bottom"/>
          </w:tcPr>
          <w:p w14:paraId="1CB715DD"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FX forward contracts</w:t>
            </w:r>
          </w:p>
        </w:tc>
        <w:tc>
          <w:tcPr>
            <w:tcW w:w="576" w:type="pct"/>
            <w:vAlign w:val="bottom"/>
          </w:tcPr>
          <w:p w14:paraId="36CE6EDE" w14:textId="77777777" w:rsidR="00D83E33" w:rsidRPr="001B330E" w:rsidRDefault="00D83E33">
            <w:pPr>
              <w:widowControl w:val="0"/>
              <w:jc w:val="center"/>
              <w:rPr>
                <w:sz w:val="17"/>
                <w:szCs w:val="17"/>
              </w:rPr>
            </w:pPr>
          </w:p>
        </w:tc>
        <w:tc>
          <w:tcPr>
            <w:tcW w:w="576" w:type="pct"/>
            <w:vAlign w:val="bottom"/>
          </w:tcPr>
          <w:p w14:paraId="287FFB3D" w14:textId="77777777" w:rsidR="00D83E33" w:rsidRPr="001B330E" w:rsidRDefault="00D83E33">
            <w:pPr>
              <w:widowControl w:val="0"/>
              <w:jc w:val="center"/>
              <w:rPr>
                <w:sz w:val="17"/>
                <w:szCs w:val="17"/>
              </w:rPr>
            </w:pPr>
          </w:p>
        </w:tc>
        <w:tc>
          <w:tcPr>
            <w:tcW w:w="576" w:type="pct"/>
            <w:vAlign w:val="bottom"/>
          </w:tcPr>
          <w:p w14:paraId="50D61CA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11686D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840B5B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0587D067"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51F66225" w14:textId="77777777" w:rsidTr="001B330E">
        <w:trPr>
          <w:trHeight w:val="23"/>
        </w:trPr>
        <w:tc>
          <w:tcPr>
            <w:tcW w:w="1545" w:type="pct"/>
            <w:vAlign w:val="bottom"/>
          </w:tcPr>
          <w:p w14:paraId="6B9AA466"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Precious metals forward contracts</w:t>
            </w:r>
          </w:p>
        </w:tc>
        <w:tc>
          <w:tcPr>
            <w:tcW w:w="576" w:type="pct"/>
            <w:vAlign w:val="bottom"/>
          </w:tcPr>
          <w:p w14:paraId="26A1CB93" w14:textId="77777777" w:rsidR="00D83E33" w:rsidRPr="001B330E" w:rsidRDefault="00D83E33">
            <w:pPr>
              <w:widowControl w:val="0"/>
              <w:jc w:val="center"/>
              <w:rPr>
                <w:sz w:val="17"/>
                <w:szCs w:val="17"/>
              </w:rPr>
            </w:pPr>
          </w:p>
        </w:tc>
        <w:tc>
          <w:tcPr>
            <w:tcW w:w="576" w:type="pct"/>
            <w:vAlign w:val="bottom"/>
          </w:tcPr>
          <w:p w14:paraId="280B9D3F" w14:textId="77777777" w:rsidR="00D83E33" w:rsidRPr="001B330E" w:rsidRDefault="00D83E33">
            <w:pPr>
              <w:widowControl w:val="0"/>
              <w:jc w:val="center"/>
              <w:rPr>
                <w:sz w:val="17"/>
                <w:szCs w:val="17"/>
              </w:rPr>
            </w:pPr>
          </w:p>
        </w:tc>
        <w:tc>
          <w:tcPr>
            <w:tcW w:w="576" w:type="pct"/>
            <w:vAlign w:val="bottom"/>
          </w:tcPr>
          <w:p w14:paraId="609C415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658497E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AC544B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6CE96C8E"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1AC354CA" w14:textId="77777777" w:rsidTr="001B330E">
        <w:trPr>
          <w:trHeight w:val="23"/>
        </w:trPr>
        <w:tc>
          <w:tcPr>
            <w:tcW w:w="1545" w:type="pct"/>
            <w:vAlign w:val="bottom"/>
          </w:tcPr>
          <w:p w14:paraId="74200845" w14:textId="2D2F200E"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xml:space="preserve">- Other </w:t>
            </w:r>
          </w:p>
        </w:tc>
        <w:tc>
          <w:tcPr>
            <w:tcW w:w="576" w:type="pct"/>
            <w:vAlign w:val="bottom"/>
          </w:tcPr>
          <w:p w14:paraId="0BEA2F50" w14:textId="77777777" w:rsidR="00D83E33" w:rsidRPr="001B330E" w:rsidRDefault="00D83E33">
            <w:pPr>
              <w:widowControl w:val="0"/>
              <w:jc w:val="center"/>
              <w:rPr>
                <w:sz w:val="17"/>
                <w:szCs w:val="17"/>
              </w:rPr>
            </w:pPr>
          </w:p>
        </w:tc>
        <w:tc>
          <w:tcPr>
            <w:tcW w:w="576" w:type="pct"/>
            <w:vAlign w:val="bottom"/>
          </w:tcPr>
          <w:p w14:paraId="3225C770" w14:textId="77777777" w:rsidR="00D83E33" w:rsidRPr="001B330E" w:rsidRDefault="00D83E33">
            <w:pPr>
              <w:widowControl w:val="0"/>
              <w:jc w:val="center"/>
              <w:rPr>
                <w:sz w:val="17"/>
                <w:szCs w:val="17"/>
              </w:rPr>
            </w:pPr>
          </w:p>
        </w:tc>
        <w:tc>
          <w:tcPr>
            <w:tcW w:w="576" w:type="pct"/>
            <w:vAlign w:val="bottom"/>
          </w:tcPr>
          <w:p w14:paraId="6E60D01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31B788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FEC27E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41C4176C"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4CF09D9E" w14:textId="77777777" w:rsidTr="001B330E">
        <w:trPr>
          <w:trHeight w:val="23"/>
        </w:trPr>
        <w:tc>
          <w:tcPr>
            <w:tcW w:w="1545" w:type="pct"/>
            <w:vAlign w:val="bottom"/>
          </w:tcPr>
          <w:p w14:paraId="529898F5" w14:textId="77777777" w:rsidR="00D83E33" w:rsidRPr="001B330E" w:rsidRDefault="00D83E33">
            <w:pPr>
              <w:widowControl w:val="0"/>
              <w:pBdr>
                <w:top w:val="nil"/>
                <w:left w:val="nil"/>
                <w:bottom w:val="nil"/>
                <w:right w:val="nil"/>
                <w:between w:val="nil"/>
              </w:pBdr>
              <w:rPr>
                <w:i/>
                <w:color w:val="FF0000"/>
                <w:sz w:val="17"/>
                <w:szCs w:val="17"/>
              </w:rPr>
            </w:pPr>
          </w:p>
        </w:tc>
        <w:tc>
          <w:tcPr>
            <w:tcW w:w="576" w:type="pct"/>
            <w:vAlign w:val="bottom"/>
          </w:tcPr>
          <w:p w14:paraId="4330C51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1061E9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22D107F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82A3DA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178D1E9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1BDB73A7"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49054FDE" w14:textId="77777777" w:rsidTr="001B330E">
        <w:trPr>
          <w:trHeight w:val="23"/>
        </w:trPr>
        <w:tc>
          <w:tcPr>
            <w:tcW w:w="1545" w:type="pct"/>
            <w:vAlign w:val="bottom"/>
          </w:tcPr>
          <w:p w14:paraId="45DB88F8" w14:textId="03ED7C60" w:rsidR="00D83E33" w:rsidRPr="001B330E" w:rsidRDefault="00D83E33">
            <w:pPr>
              <w:widowControl w:val="0"/>
              <w:pBdr>
                <w:top w:val="nil"/>
                <w:left w:val="nil"/>
                <w:bottom w:val="nil"/>
                <w:right w:val="nil"/>
                <w:between w:val="nil"/>
              </w:pBdr>
              <w:rPr>
                <w:color w:val="000000"/>
                <w:sz w:val="17"/>
                <w:szCs w:val="17"/>
              </w:rPr>
            </w:pPr>
          </w:p>
        </w:tc>
        <w:tc>
          <w:tcPr>
            <w:tcW w:w="576" w:type="pct"/>
            <w:vAlign w:val="bottom"/>
          </w:tcPr>
          <w:p w14:paraId="1222726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4E8AB66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3A83512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5ACC00B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vAlign w:val="bottom"/>
          </w:tcPr>
          <w:p w14:paraId="5F43EF8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vAlign w:val="bottom"/>
          </w:tcPr>
          <w:p w14:paraId="4C49DF38"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133B5E02" w14:textId="77777777" w:rsidTr="001B330E">
        <w:trPr>
          <w:trHeight w:val="23"/>
        </w:trPr>
        <w:tc>
          <w:tcPr>
            <w:tcW w:w="1545" w:type="pct"/>
            <w:tcBorders>
              <w:bottom w:val="single" w:sz="4" w:space="0" w:color="000000"/>
            </w:tcBorders>
            <w:vAlign w:val="bottom"/>
          </w:tcPr>
          <w:p w14:paraId="6BD5E065" w14:textId="77777777" w:rsidR="00D83E33" w:rsidRPr="001B330E" w:rsidRDefault="00BC4072">
            <w:pPr>
              <w:widowControl w:val="0"/>
              <w:rPr>
                <w:sz w:val="17"/>
                <w:szCs w:val="17"/>
              </w:rPr>
            </w:pPr>
            <w:r w:rsidRPr="001B330E">
              <w:rPr>
                <w:b/>
                <w:sz w:val="17"/>
                <w:szCs w:val="17"/>
              </w:rPr>
              <w:t> </w:t>
            </w:r>
          </w:p>
        </w:tc>
        <w:tc>
          <w:tcPr>
            <w:tcW w:w="576" w:type="pct"/>
            <w:tcBorders>
              <w:bottom w:val="single" w:sz="4" w:space="0" w:color="000000"/>
            </w:tcBorders>
            <w:vAlign w:val="bottom"/>
          </w:tcPr>
          <w:p w14:paraId="070E805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525EA15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1360334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6C9B751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6" w:type="pct"/>
            <w:tcBorders>
              <w:bottom w:val="single" w:sz="4" w:space="0" w:color="000000"/>
            </w:tcBorders>
            <w:vAlign w:val="bottom"/>
          </w:tcPr>
          <w:p w14:paraId="22E7045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575" w:type="pct"/>
            <w:tcBorders>
              <w:bottom w:val="single" w:sz="4" w:space="0" w:color="000000"/>
            </w:tcBorders>
            <w:vAlign w:val="bottom"/>
          </w:tcPr>
          <w:p w14:paraId="139D43B6"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077F42" w14:paraId="6B530CFA" w14:textId="77777777" w:rsidTr="001B330E">
        <w:trPr>
          <w:trHeight w:val="23"/>
        </w:trPr>
        <w:tc>
          <w:tcPr>
            <w:tcW w:w="1545" w:type="pct"/>
            <w:tcBorders>
              <w:top w:val="single" w:sz="4" w:space="0" w:color="000000"/>
            </w:tcBorders>
            <w:vAlign w:val="bottom"/>
          </w:tcPr>
          <w:p w14:paraId="679231BD" w14:textId="77777777" w:rsidR="00D83E33" w:rsidRPr="001B330E" w:rsidRDefault="00BC4072">
            <w:pPr>
              <w:widowControl w:val="0"/>
              <w:rPr>
                <w:sz w:val="17"/>
                <w:szCs w:val="17"/>
              </w:rPr>
            </w:pPr>
            <w:r w:rsidRPr="001B330E">
              <w:rPr>
                <w:b/>
                <w:sz w:val="17"/>
                <w:szCs w:val="17"/>
              </w:rPr>
              <w:t> </w:t>
            </w:r>
          </w:p>
        </w:tc>
        <w:tc>
          <w:tcPr>
            <w:tcW w:w="576" w:type="pct"/>
            <w:tcBorders>
              <w:top w:val="single" w:sz="4" w:space="0" w:color="000000"/>
            </w:tcBorders>
            <w:vAlign w:val="bottom"/>
          </w:tcPr>
          <w:p w14:paraId="6E8B16A5"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tcBorders>
              <w:top w:val="single" w:sz="4" w:space="0" w:color="000000"/>
            </w:tcBorders>
            <w:vAlign w:val="bottom"/>
          </w:tcPr>
          <w:p w14:paraId="68F0A2DD"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tcBorders>
              <w:top w:val="single" w:sz="4" w:space="0" w:color="000000"/>
            </w:tcBorders>
            <w:vAlign w:val="bottom"/>
          </w:tcPr>
          <w:p w14:paraId="72A4D9EA"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tcBorders>
              <w:top w:val="single" w:sz="4" w:space="0" w:color="000000"/>
            </w:tcBorders>
            <w:vAlign w:val="bottom"/>
          </w:tcPr>
          <w:p w14:paraId="3948D9D9"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tcBorders>
              <w:top w:val="single" w:sz="4" w:space="0" w:color="000000"/>
            </w:tcBorders>
            <w:vAlign w:val="bottom"/>
          </w:tcPr>
          <w:p w14:paraId="3ADA2CC7"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5" w:type="pct"/>
            <w:tcBorders>
              <w:top w:val="single" w:sz="4" w:space="0" w:color="000000"/>
            </w:tcBorders>
            <w:vAlign w:val="bottom"/>
          </w:tcPr>
          <w:p w14:paraId="5EF4AB0D" w14:textId="77777777" w:rsidR="00D83E33" w:rsidRPr="001B330E" w:rsidRDefault="00D83E33">
            <w:pPr>
              <w:widowControl w:val="0"/>
              <w:pBdr>
                <w:top w:val="nil"/>
                <w:left w:val="nil"/>
                <w:bottom w:val="nil"/>
                <w:right w:val="nil"/>
                <w:between w:val="nil"/>
              </w:pBdr>
              <w:jc w:val="right"/>
              <w:rPr>
                <w:b/>
                <w:color w:val="000000"/>
                <w:sz w:val="17"/>
                <w:szCs w:val="17"/>
              </w:rPr>
            </w:pPr>
          </w:p>
        </w:tc>
      </w:tr>
      <w:tr w:rsidR="00D83E33" w:rsidRPr="00077F42" w14:paraId="6BDCF5BF" w14:textId="77777777" w:rsidTr="001B330E">
        <w:trPr>
          <w:trHeight w:val="23"/>
        </w:trPr>
        <w:tc>
          <w:tcPr>
            <w:tcW w:w="1545" w:type="pct"/>
            <w:vAlign w:val="bottom"/>
          </w:tcPr>
          <w:p w14:paraId="6C25CB4D" w14:textId="77777777" w:rsidR="00D83E33" w:rsidRPr="001B330E" w:rsidRDefault="00BC4072">
            <w:pPr>
              <w:widowControl w:val="0"/>
              <w:pBdr>
                <w:top w:val="nil"/>
                <w:left w:val="nil"/>
                <w:bottom w:val="nil"/>
                <w:right w:val="nil"/>
                <w:between w:val="nil"/>
              </w:pBdr>
              <w:rPr>
                <w:b/>
                <w:color w:val="000000"/>
                <w:sz w:val="17"/>
                <w:szCs w:val="17"/>
              </w:rPr>
            </w:pPr>
            <w:r w:rsidRPr="001B330E">
              <w:rPr>
                <w:b/>
                <w:color w:val="000000"/>
                <w:sz w:val="17"/>
                <w:szCs w:val="17"/>
              </w:rPr>
              <w:t>Total</w:t>
            </w:r>
          </w:p>
        </w:tc>
        <w:tc>
          <w:tcPr>
            <w:tcW w:w="576" w:type="pct"/>
            <w:vAlign w:val="bottom"/>
          </w:tcPr>
          <w:p w14:paraId="00F54C2D"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vAlign w:val="bottom"/>
          </w:tcPr>
          <w:p w14:paraId="5D780FEB"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vAlign w:val="bottom"/>
          </w:tcPr>
          <w:p w14:paraId="6207A5B4"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vAlign w:val="bottom"/>
          </w:tcPr>
          <w:p w14:paraId="5A6CCEF1"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vAlign w:val="bottom"/>
          </w:tcPr>
          <w:p w14:paraId="1B4BEA9D"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5" w:type="pct"/>
            <w:vAlign w:val="bottom"/>
          </w:tcPr>
          <w:p w14:paraId="4A745490" w14:textId="77777777" w:rsidR="00D83E33" w:rsidRPr="001B330E" w:rsidRDefault="00D83E33">
            <w:pPr>
              <w:widowControl w:val="0"/>
              <w:pBdr>
                <w:top w:val="nil"/>
                <w:left w:val="nil"/>
                <w:bottom w:val="nil"/>
                <w:right w:val="nil"/>
                <w:between w:val="nil"/>
              </w:pBdr>
              <w:jc w:val="right"/>
              <w:rPr>
                <w:b/>
                <w:color w:val="000000"/>
                <w:sz w:val="17"/>
                <w:szCs w:val="17"/>
              </w:rPr>
            </w:pPr>
          </w:p>
        </w:tc>
      </w:tr>
      <w:tr w:rsidR="00D83E33" w:rsidRPr="00077F42" w14:paraId="20738D8F" w14:textId="77777777" w:rsidTr="001B330E">
        <w:trPr>
          <w:trHeight w:val="23"/>
        </w:trPr>
        <w:tc>
          <w:tcPr>
            <w:tcW w:w="1545" w:type="pct"/>
            <w:tcBorders>
              <w:bottom w:val="single" w:sz="12" w:space="0" w:color="000000"/>
            </w:tcBorders>
            <w:vAlign w:val="bottom"/>
          </w:tcPr>
          <w:p w14:paraId="16CC8DA3" w14:textId="77777777" w:rsidR="00D83E33" w:rsidRPr="001B330E" w:rsidRDefault="00BC4072">
            <w:pPr>
              <w:widowControl w:val="0"/>
              <w:rPr>
                <w:sz w:val="17"/>
                <w:szCs w:val="17"/>
              </w:rPr>
            </w:pPr>
            <w:r w:rsidRPr="001B330E">
              <w:rPr>
                <w:b/>
                <w:sz w:val="17"/>
                <w:szCs w:val="17"/>
              </w:rPr>
              <w:t> </w:t>
            </w:r>
          </w:p>
        </w:tc>
        <w:tc>
          <w:tcPr>
            <w:tcW w:w="576" w:type="pct"/>
            <w:tcBorders>
              <w:bottom w:val="single" w:sz="12" w:space="0" w:color="000000"/>
            </w:tcBorders>
            <w:vAlign w:val="bottom"/>
          </w:tcPr>
          <w:p w14:paraId="40625366"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tcBorders>
              <w:bottom w:val="single" w:sz="12" w:space="0" w:color="000000"/>
            </w:tcBorders>
            <w:vAlign w:val="bottom"/>
          </w:tcPr>
          <w:p w14:paraId="172637D7"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tcBorders>
              <w:bottom w:val="single" w:sz="12" w:space="0" w:color="000000"/>
            </w:tcBorders>
            <w:vAlign w:val="bottom"/>
          </w:tcPr>
          <w:p w14:paraId="3038E708"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tcBorders>
              <w:bottom w:val="single" w:sz="12" w:space="0" w:color="000000"/>
            </w:tcBorders>
            <w:vAlign w:val="bottom"/>
          </w:tcPr>
          <w:p w14:paraId="1203F307"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6" w:type="pct"/>
            <w:tcBorders>
              <w:bottom w:val="single" w:sz="12" w:space="0" w:color="000000"/>
            </w:tcBorders>
            <w:vAlign w:val="bottom"/>
          </w:tcPr>
          <w:p w14:paraId="3C8F1435"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575" w:type="pct"/>
            <w:tcBorders>
              <w:bottom w:val="single" w:sz="12" w:space="0" w:color="000000"/>
            </w:tcBorders>
            <w:vAlign w:val="bottom"/>
          </w:tcPr>
          <w:p w14:paraId="580705BA" w14:textId="77777777" w:rsidR="00D83E33" w:rsidRPr="001B330E" w:rsidRDefault="00D83E33">
            <w:pPr>
              <w:widowControl w:val="0"/>
              <w:pBdr>
                <w:top w:val="nil"/>
                <w:left w:val="nil"/>
                <w:bottom w:val="nil"/>
                <w:right w:val="nil"/>
                <w:between w:val="nil"/>
              </w:pBdr>
              <w:jc w:val="right"/>
              <w:rPr>
                <w:b/>
                <w:color w:val="000000"/>
                <w:sz w:val="17"/>
                <w:szCs w:val="17"/>
              </w:rPr>
            </w:pPr>
          </w:p>
        </w:tc>
      </w:tr>
    </w:tbl>
    <w:p w14:paraId="0C0A6A63"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(b) </w:t>
      </w:r>
      <w:r>
        <w:rPr>
          <w:b/>
          <w:i/>
          <w:color w:val="000000"/>
          <w:sz w:val="20"/>
          <w:szCs w:val="20"/>
        </w:rPr>
        <w:tab/>
        <w:t>Transfers that qualified for derecognition of the financial asset in its entirety</w:t>
      </w:r>
    </w:p>
    <w:p w14:paraId="06A01DBA" w14:textId="77777777" w:rsidR="00D83E33" w:rsidRDefault="00BC4072">
      <w:pPr>
        <w:widowControl w:val="0"/>
        <w:spacing w:before="200" w:after="200"/>
        <w:jc w:val="both"/>
        <w:rPr>
          <w:sz w:val="20"/>
          <w:szCs w:val="20"/>
        </w:rPr>
      </w:pPr>
      <w:r>
        <w:rPr>
          <w:sz w:val="20"/>
          <w:szCs w:val="20"/>
        </w:rPr>
        <w:t xml:space="preserve">The Group transferred financial assets in transactions that qualified for derecognition in the current and prior periods and to which the Group retained exposed to a certain extent. </w:t>
      </w:r>
    </w:p>
    <w:p w14:paraId="47A1202B" w14:textId="22C36097" w:rsidR="00D83E33" w:rsidRDefault="00BC4072">
      <w:pPr>
        <w:widowControl w:val="0"/>
        <w:spacing w:before="200" w:after="200"/>
        <w:jc w:val="both"/>
        <w:rPr>
          <w:sz w:val="20"/>
          <w:szCs w:val="20"/>
        </w:rPr>
      </w:pPr>
      <w:r>
        <w:rPr>
          <w:b/>
          <w:i/>
          <w:sz w:val="20"/>
          <w:szCs w:val="20"/>
        </w:rPr>
        <w:t xml:space="preserve">Disposal of loans. </w:t>
      </w:r>
      <w:r>
        <w:rPr>
          <w:sz w:val="20"/>
          <w:szCs w:val="20"/>
        </w:rPr>
        <w:t>At 31</w:t>
      </w:r>
      <w:r w:rsidR="00181687">
        <w:rPr>
          <w:sz w:val="20"/>
          <w:szCs w:val="20"/>
        </w:rPr>
        <w:t> December </w:t>
      </w:r>
      <w:r w:rsidR="00541EBC">
        <w:rPr>
          <w:sz w:val="20"/>
          <w:szCs w:val="20"/>
        </w:rPr>
        <w:t>2024</w:t>
      </w:r>
      <w:r>
        <w:rPr>
          <w:sz w:val="20"/>
          <w:szCs w:val="20"/>
        </w:rPr>
        <w:t xml:space="preserve">, the Group had remaining exposure to </w:t>
      </w:r>
      <w:r>
        <w:rPr>
          <w:color w:val="0000FF"/>
          <w:sz w:val="20"/>
          <w:szCs w:val="20"/>
        </w:rPr>
        <w:t>[mortgage]</w:t>
      </w:r>
      <w:r>
        <w:rPr>
          <w:sz w:val="20"/>
          <w:szCs w:val="20"/>
        </w:rPr>
        <w:t xml:space="preserve"> loans that had carrying value of </w:t>
      </w:r>
      <w:r w:rsidR="00D73799">
        <w:rPr>
          <w:sz w:val="20"/>
          <w:szCs w:val="20"/>
        </w:rPr>
        <w:t>EUR</w:t>
      </w:r>
      <w:r>
        <w:rPr>
          <w:sz w:val="20"/>
          <w:szCs w:val="20"/>
        </w:rPr>
        <w:t xml:space="preserve"> ____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immediately before they were transferred to </w:t>
      </w:r>
      <w:r>
        <w:rPr>
          <w:color w:val="0000FF"/>
          <w:sz w:val="20"/>
          <w:szCs w:val="20"/>
        </w:rPr>
        <w:t>[a related party under common control]</w:t>
      </w:r>
      <w:r>
        <w:rPr>
          <w:sz w:val="20"/>
          <w:szCs w:val="20"/>
        </w:rPr>
        <w:t xml:space="preserve">. The Group is exposed to late payment risk as it guaranteed payment of interest over a period up to 30 days from the date of transfer. The loans were derecognised in their entirety as the retained late payment risk was not considered significant. </w:t>
      </w:r>
    </w:p>
    <w:p w14:paraId="0B5BE2EC" w14:textId="6125D619" w:rsidR="00D83E33" w:rsidRDefault="00BC4072">
      <w:pPr>
        <w:widowControl w:val="0"/>
        <w:spacing w:before="200" w:after="200"/>
        <w:jc w:val="both"/>
        <w:rPr>
          <w:sz w:val="20"/>
          <w:szCs w:val="20"/>
        </w:rPr>
      </w:pPr>
      <w:r>
        <w:rPr>
          <w:b/>
          <w:i/>
          <w:sz w:val="20"/>
          <w:szCs w:val="20"/>
        </w:rPr>
        <w:t>Securitisation transaction.</w:t>
      </w:r>
      <w:r>
        <w:rPr>
          <w:sz w:val="20"/>
          <w:szCs w:val="20"/>
        </w:rPr>
        <w:t xml:space="preserve"> In addition, at 31</w:t>
      </w:r>
      <w:r w:rsidR="00181687">
        <w:rPr>
          <w:sz w:val="20"/>
          <w:szCs w:val="20"/>
        </w:rPr>
        <w:t> December </w:t>
      </w:r>
      <w:r w:rsidR="00541EBC">
        <w:rPr>
          <w:sz w:val="20"/>
          <w:szCs w:val="20"/>
        </w:rPr>
        <w:t>2024</w:t>
      </w:r>
      <w:r>
        <w:rPr>
          <w:sz w:val="20"/>
          <w:szCs w:val="20"/>
        </w:rPr>
        <w:t xml:space="preserve">, the Group had remaining exposure to </w:t>
      </w:r>
      <w:r>
        <w:rPr>
          <w:color w:val="0000FF"/>
          <w:sz w:val="20"/>
          <w:szCs w:val="20"/>
        </w:rPr>
        <w:t>[corporate]</w:t>
      </w:r>
      <w:r>
        <w:rPr>
          <w:sz w:val="20"/>
          <w:szCs w:val="20"/>
        </w:rPr>
        <w:t xml:space="preserve"> loans that had carrying value of </w:t>
      </w:r>
      <w:r w:rsidR="00D73799">
        <w:rPr>
          <w:sz w:val="20"/>
          <w:szCs w:val="20"/>
        </w:rPr>
        <w:t>EUR</w:t>
      </w:r>
      <w:r>
        <w:rPr>
          <w:sz w:val="20"/>
          <w:szCs w:val="20"/>
        </w:rPr>
        <w:t xml:space="preserve"> _____ thousand (</w:t>
      </w:r>
      <w:r w:rsidR="00541EBC">
        <w:rPr>
          <w:sz w:val="20"/>
          <w:szCs w:val="20"/>
        </w:rPr>
        <w:t>2023</w:t>
      </w:r>
      <w:r>
        <w:rPr>
          <w:sz w:val="20"/>
          <w:szCs w:val="20"/>
        </w:rPr>
        <w:t xml:space="preserve">: </w:t>
      </w:r>
      <w:r w:rsidR="00D73799">
        <w:rPr>
          <w:sz w:val="20"/>
          <w:szCs w:val="20"/>
        </w:rPr>
        <w:t>EUR</w:t>
      </w:r>
      <w:r>
        <w:rPr>
          <w:sz w:val="20"/>
          <w:szCs w:val="20"/>
        </w:rPr>
        <w:t xml:space="preserve"> ____ thousand) immediately before their transfer to a securitisation special purpose entity that the Group does not consolidate. The loans were derecognised in their entirety because the written put option to repurchase them was deeply out of money at the date of the transfer and substantially all of the subordinated borrowings of the securitisation special purpose entity were acquired by third party investors.</w:t>
      </w:r>
    </w:p>
    <w:p w14:paraId="5F1D2E48" w14:textId="03936490" w:rsidR="00D83E33" w:rsidRDefault="00BC4072">
      <w:pPr>
        <w:widowControl w:val="0"/>
        <w:spacing w:before="200" w:after="200"/>
        <w:jc w:val="both"/>
        <w:rPr>
          <w:sz w:val="20"/>
          <w:szCs w:val="20"/>
        </w:rPr>
      </w:pPr>
      <w:r>
        <w:rPr>
          <w:sz w:val="20"/>
          <w:szCs w:val="20"/>
        </w:rPr>
        <w:t>The following schedule summarises information about continuing involvement in the transferred financial assets that qualified for derecognition. The analysis is provided by type of continuing involvement outstanding at 31</w:t>
      </w:r>
      <w:r w:rsidR="00181687">
        <w:rPr>
          <w:sz w:val="20"/>
          <w:szCs w:val="20"/>
        </w:rPr>
        <w:t> December </w:t>
      </w:r>
      <w:r w:rsidR="00541EBC">
        <w:rPr>
          <w:sz w:val="20"/>
          <w:szCs w:val="20"/>
        </w:rPr>
        <w:t>2024</w:t>
      </w:r>
      <w:r>
        <w:rPr>
          <w:sz w:val="20"/>
          <w:szCs w:val="20"/>
        </w:rPr>
        <w:t>:</w:t>
      </w:r>
    </w:p>
    <w:tbl>
      <w:tblPr>
        <w:tblStyle w:val="afffffffffffffffd"/>
        <w:tblW w:w="5000" w:type="pct"/>
        <w:tblLayout w:type="fixed"/>
        <w:tblLook w:val="0000" w:firstRow="0" w:lastRow="0" w:firstColumn="0" w:lastColumn="0" w:noHBand="0" w:noVBand="0"/>
      </w:tblPr>
      <w:tblGrid>
        <w:gridCol w:w="2733"/>
        <w:gridCol w:w="1097"/>
        <w:gridCol w:w="892"/>
        <w:gridCol w:w="894"/>
        <w:gridCol w:w="971"/>
        <w:gridCol w:w="950"/>
        <w:gridCol w:w="879"/>
        <w:gridCol w:w="939"/>
      </w:tblGrid>
      <w:tr w:rsidR="00D83E33" w:rsidRPr="005C4425" w14:paraId="627AC367" w14:textId="77777777" w:rsidTr="001B330E">
        <w:trPr>
          <w:trHeight w:val="23"/>
        </w:trPr>
        <w:tc>
          <w:tcPr>
            <w:tcW w:w="1460" w:type="pct"/>
            <w:vAlign w:val="bottom"/>
          </w:tcPr>
          <w:p w14:paraId="7D8562FC" w14:textId="77777777" w:rsidR="00D83E33" w:rsidRPr="001B330E" w:rsidRDefault="00D83E33">
            <w:pPr>
              <w:widowControl w:val="0"/>
              <w:pBdr>
                <w:top w:val="nil"/>
                <w:left w:val="nil"/>
                <w:bottom w:val="nil"/>
                <w:right w:val="nil"/>
                <w:between w:val="nil"/>
              </w:pBdr>
              <w:rPr>
                <w:i/>
                <w:color w:val="000000"/>
                <w:spacing w:val="-4"/>
                <w:sz w:val="17"/>
                <w:szCs w:val="17"/>
              </w:rPr>
            </w:pPr>
          </w:p>
        </w:tc>
        <w:tc>
          <w:tcPr>
            <w:tcW w:w="586" w:type="pct"/>
            <w:vMerge w:val="restart"/>
          </w:tcPr>
          <w:p w14:paraId="01334DCB" w14:textId="77777777" w:rsidR="00D83E33" w:rsidRPr="001B330E" w:rsidRDefault="00BC4072">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 xml:space="preserve">Cash outflows to repurchase the derecog-nised assets or other payments </w:t>
            </w:r>
          </w:p>
        </w:tc>
        <w:tc>
          <w:tcPr>
            <w:tcW w:w="1474" w:type="pct"/>
            <w:gridSpan w:val="3"/>
            <w:tcBorders>
              <w:bottom w:val="single" w:sz="4" w:space="0" w:color="000000"/>
            </w:tcBorders>
          </w:tcPr>
          <w:p w14:paraId="283C1C1F" w14:textId="77777777" w:rsidR="00D83E33" w:rsidRPr="001B330E" w:rsidRDefault="00BC4072" w:rsidP="001B330E">
            <w:pPr>
              <w:widowControl w:val="0"/>
              <w:pBdr>
                <w:top w:val="nil"/>
                <w:left w:val="nil"/>
                <w:bottom w:val="nil"/>
                <w:right w:val="nil"/>
                <w:between w:val="nil"/>
              </w:pBdr>
              <w:jc w:val="center"/>
              <w:rPr>
                <w:b/>
                <w:color w:val="000000"/>
                <w:spacing w:val="-4"/>
                <w:sz w:val="17"/>
                <w:szCs w:val="17"/>
              </w:rPr>
            </w:pPr>
            <w:r w:rsidRPr="001B330E">
              <w:rPr>
                <w:b/>
                <w:color w:val="000000"/>
                <w:spacing w:val="-4"/>
                <w:sz w:val="17"/>
                <w:szCs w:val="17"/>
              </w:rPr>
              <w:t>Carrying amount of continuing involvement in the consolidated statement of financial position</w:t>
            </w:r>
          </w:p>
        </w:tc>
        <w:tc>
          <w:tcPr>
            <w:tcW w:w="977" w:type="pct"/>
            <w:gridSpan w:val="2"/>
            <w:tcBorders>
              <w:bottom w:val="single" w:sz="4" w:space="0" w:color="000000"/>
            </w:tcBorders>
          </w:tcPr>
          <w:p w14:paraId="250F8DA8" w14:textId="77777777" w:rsidR="00D83E33" w:rsidRPr="001B330E" w:rsidRDefault="00BC4072" w:rsidP="001B330E">
            <w:pPr>
              <w:widowControl w:val="0"/>
              <w:pBdr>
                <w:top w:val="nil"/>
                <w:left w:val="nil"/>
                <w:bottom w:val="nil"/>
                <w:right w:val="nil"/>
                <w:between w:val="nil"/>
              </w:pBdr>
              <w:jc w:val="center"/>
              <w:rPr>
                <w:b/>
                <w:color w:val="000000"/>
                <w:spacing w:val="-4"/>
                <w:sz w:val="17"/>
                <w:szCs w:val="17"/>
              </w:rPr>
            </w:pPr>
            <w:r w:rsidRPr="001B330E">
              <w:rPr>
                <w:b/>
                <w:color w:val="000000"/>
                <w:spacing w:val="-4"/>
                <w:sz w:val="17"/>
                <w:szCs w:val="17"/>
              </w:rPr>
              <w:t>Fair value of continuing involvement</w:t>
            </w:r>
          </w:p>
        </w:tc>
        <w:tc>
          <w:tcPr>
            <w:tcW w:w="503" w:type="pct"/>
          </w:tcPr>
          <w:p w14:paraId="60BA3471" w14:textId="77777777" w:rsidR="00D83E33" w:rsidRPr="001B330E" w:rsidRDefault="00BC4072">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 xml:space="preserve">Maximum exposure to loss </w:t>
            </w:r>
          </w:p>
        </w:tc>
      </w:tr>
      <w:tr w:rsidR="00D83E33" w:rsidRPr="005C4425" w14:paraId="31119BDC" w14:textId="77777777" w:rsidTr="001B330E">
        <w:trPr>
          <w:trHeight w:val="23"/>
        </w:trPr>
        <w:tc>
          <w:tcPr>
            <w:tcW w:w="1460" w:type="pct"/>
            <w:tcBorders>
              <w:bottom w:val="single" w:sz="4" w:space="0" w:color="auto"/>
            </w:tcBorders>
            <w:vAlign w:val="bottom"/>
          </w:tcPr>
          <w:p w14:paraId="1AA7419A" w14:textId="783D4566" w:rsidR="00D83E33" w:rsidRPr="001B330E" w:rsidRDefault="00313B4D">
            <w:pPr>
              <w:widowControl w:val="0"/>
              <w:pBdr>
                <w:top w:val="nil"/>
                <w:left w:val="nil"/>
                <w:bottom w:val="nil"/>
                <w:right w:val="nil"/>
                <w:between w:val="nil"/>
              </w:pBdr>
              <w:rPr>
                <w:b/>
                <w:i/>
                <w:color w:val="000000"/>
                <w:spacing w:val="-4"/>
                <w:sz w:val="17"/>
                <w:szCs w:val="17"/>
              </w:rPr>
            </w:pPr>
            <w:r>
              <w:rPr>
                <w:i/>
                <w:color w:val="000000"/>
                <w:spacing w:val="-4"/>
                <w:sz w:val="17"/>
                <w:szCs w:val="17"/>
              </w:rPr>
              <w:t xml:space="preserve">In thousands of </w:t>
            </w:r>
            <w:r w:rsidR="002649EE">
              <w:rPr>
                <w:i/>
                <w:color w:val="000000"/>
                <w:spacing w:val="-4"/>
                <w:sz w:val="17"/>
                <w:szCs w:val="17"/>
              </w:rPr>
              <w:t>EUR</w:t>
            </w:r>
          </w:p>
        </w:tc>
        <w:tc>
          <w:tcPr>
            <w:tcW w:w="586" w:type="pct"/>
            <w:vMerge/>
            <w:tcBorders>
              <w:bottom w:val="single" w:sz="4" w:space="0" w:color="auto"/>
            </w:tcBorders>
          </w:tcPr>
          <w:p w14:paraId="1D8C7C1A" w14:textId="77777777" w:rsidR="00D83E33" w:rsidRPr="001B330E" w:rsidRDefault="00D83E33" w:rsidP="001B330E">
            <w:pPr>
              <w:widowControl w:val="0"/>
              <w:pBdr>
                <w:top w:val="nil"/>
                <w:left w:val="nil"/>
                <w:bottom w:val="nil"/>
                <w:right w:val="nil"/>
                <w:between w:val="nil"/>
              </w:pBdr>
              <w:rPr>
                <w:b/>
                <w:i/>
                <w:color w:val="000000"/>
                <w:spacing w:val="-4"/>
                <w:sz w:val="17"/>
                <w:szCs w:val="17"/>
              </w:rPr>
            </w:pPr>
          </w:p>
        </w:tc>
        <w:tc>
          <w:tcPr>
            <w:tcW w:w="477" w:type="pct"/>
            <w:tcBorders>
              <w:top w:val="single" w:sz="4" w:space="0" w:color="000000"/>
              <w:bottom w:val="single" w:sz="4" w:space="0" w:color="auto"/>
            </w:tcBorders>
          </w:tcPr>
          <w:p w14:paraId="3181AC0A" w14:textId="77777777" w:rsidR="00D83E33" w:rsidRPr="001B330E" w:rsidRDefault="00BC4072">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 xml:space="preserve">Deriva-tive financial assets (Note </w:t>
            </w:r>
            <w:hyperlink w:anchor="_heading=h.2bn6wsx">
              <w:r w:rsidRPr="001B330E">
                <w:rPr>
                  <w:b/>
                  <w:color w:val="000000"/>
                  <w:spacing w:val="-4"/>
                  <w:sz w:val="17"/>
                  <w:szCs w:val="17"/>
                </w:rPr>
                <w:t>15</w:t>
              </w:r>
            </w:hyperlink>
            <w:r w:rsidRPr="001B330E">
              <w:rPr>
                <w:b/>
                <w:color w:val="000000"/>
                <w:spacing w:val="-4"/>
                <w:sz w:val="17"/>
                <w:szCs w:val="17"/>
              </w:rPr>
              <w:t>)</w:t>
            </w:r>
          </w:p>
        </w:tc>
        <w:tc>
          <w:tcPr>
            <w:tcW w:w="478" w:type="pct"/>
            <w:tcBorders>
              <w:top w:val="single" w:sz="4" w:space="0" w:color="000000"/>
              <w:bottom w:val="single" w:sz="4" w:space="0" w:color="auto"/>
            </w:tcBorders>
          </w:tcPr>
          <w:p w14:paraId="56B1D71F" w14:textId="77777777" w:rsidR="00D83E33" w:rsidRPr="001B330E" w:rsidRDefault="00BC4072">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 xml:space="preserve">Deriva-tive financial liabilities (Note </w:t>
            </w:r>
            <w:hyperlink w:anchor="_heading=h.vx1227">
              <w:r w:rsidRPr="001B330E">
                <w:rPr>
                  <w:b/>
                  <w:color w:val="000000"/>
                  <w:spacing w:val="-4"/>
                  <w:sz w:val="17"/>
                  <w:szCs w:val="17"/>
                </w:rPr>
                <w:t>26</w:t>
              </w:r>
            </w:hyperlink>
            <w:r w:rsidRPr="001B330E">
              <w:rPr>
                <w:b/>
                <w:color w:val="000000"/>
                <w:spacing w:val="-4"/>
                <w:sz w:val="17"/>
                <w:szCs w:val="17"/>
              </w:rPr>
              <w:t>)</w:t>
            </w:r>
          </w:p>
        </w:tc>
        <w:tc>
          <w:tcPr>
            <w:tcW w:w="519" w:type="pct"/>
            <w:tcBorders>
              <w:top w:val="single" w:sz="4" w:space="0" w:color="000000"/>
              <w:bottom w:val="single" w:sz="4" w:space="0" w:color="auto"/>
            </w:tcBorders>
          </w:tcPr>
          <w:p w14:paraId="7F9691C8" w14:textId="77777777" w:rsidR="00D83E33" w:rsidRPr="001B330E" w:rsidRDefault="00BC4072">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 xml:space="preserve">Provisions (Note </w:t>
            </w:r>
            <w:hyperlink w:anchor="_heading=h.41mghml">
              <w:r w:rsidRPr="001B330E">
                <w:rPr>
                  <w:b/>
                  <w:color w:val="000000"/>
                  <w:spacing w:val="-4"/>
                  <w:sz w:val="17"/>
                  <w:szCs w:val="17"/>
                </w:rPr>
                <w:t>25</w:t>
              </w:r>
            </w:hyperlink>
            <w:r w:rsidRPr="001B330E">
              <w:rPr>
                <w:b/>
                <w:color w:val="000000"/>
                <w:spacing w:val="-4"/>
                <w:sz w:val="17"/>
                <w:szCs w:val="17"/>
              </w:rPr>
              <w:t xml:space="preserve">) </w:t>
            </w:r>
          </w:p>
        </w:tc>
        <w:tc>
          <w:tcPr>
            <w:tcW w:w="508" w:type="pct"/>
            <w:tcBorders>
              <w:top w:val="single" w:sz="4" w:space="0" w:color="000000"/>
              <w:bottom w:val="single" w:sz="4" w:space="0" w:color="auto"/>
            </w:tcBorders>
          </w:tcPr>
          <w:p w14:paraId="4E639779" w14:textId="77777777" w:rsidR="00D83E33" w:rsidRPr="001B330E" w:rsidRDefault="00BC4072" w:rsidP="001B330E">
            <w:pPr>
              <w:widowControl w:val="0"/>
              <w:pBdr>
                <w:top w:val="nil"/>
                <w:left w:val="nil"/>
                <w:bottom w:val="nil"/>
                <w:right w:val="nil"/>
                <w:between w:val="nil"/>
              </w:pBdr>
              <w:jc w:val="right"/>
              <w:rPr>
                <w:b/>
                <w:color w:val="000000"/>
                <w:spacing w:val="-4"/>
                <w:sz w:val="17"/>
                <w:szCs w:val="17"/>
              </w:rPr>
            </w:pPr>
            <w:r w:rsidRPr="001B330E">
              <w:rPr>
                <w:b/>
                <w:color w:val="000000"/>
                <w:spacing w:val="-4"/>
                <w:sz w:val="17"/>
                <w:szCs w:val="17"/>
              </w:rPr>
              <w:t>Assets</w:t>
            </w:r>
          </w:p>
        </w:tc>
        <w:tc>
          <w:tcPr>
            <w:tcW w:w="470" w:type="pct"/>
            <w:tcBorders>
              <w:top w:val="single" w:sz="4" w:space="0" w:color="000000"/>
              <w:bottom w:val="single" w:sz="4" w:space="0" w:color="auto"/>
            </w:tcBorders>
          </w:tcPr>
          <w:p w14:paraId="5DB6D37F" w14:textId="77777777" w:rsidR="00D83E33" w:rsidRPr="001B330E" w:rsidRDefault="00BC4072">
            <w:pPr>
              <w:widowControl w:val="0"/>
              <w:pBdr>
                <w:top w:val="nil"/>
                <w:left w:val="nil"/>
                <w:bottom w:val="nil"/>
                <w:right w:val="nil"/>
                <w:between w:val="nil"/>
              </w:pBdr>
              <w:ind w:left="-113"/>
              <w:jc w:val="right"/>
              <w:rPr>
                <w:b/>
                <w:color w:val="000000"/>
                <w:spacing w:val="-4"/>
                <w:sz w:val="17"/>
                <w:szCs w:val="17"/>
              </w:rPr>
            </w:pPr>
            <w:r w:rsidRPr="001B330E">
              <w:rPr>
                <w:b/>
                <w:color w:val="000000"/>
                <w:spacing w:val="-4"/>
                <w:sz w:val="17"/>
                <w:szCs w:val="17"/>
              </w:rPr>
              <w:t>Liabilities</w:t>
            </w:r>
          </w:p>
        </w:tc>
        <w:tc>
          <w:tcPr>
            <w:tcW w:w="503" w:type="pct"/>
            <w:tcBorders>
              <w:bottom w:val="single" w:sz="4" w:space="0" w:color="auto"/>
            </w:tcBorders>
          </w:tcPr>
          <w:p w14:paraId="49DCA779" w14:textId="77777777" w:rsidR="00D83E33" w:rsidRPr="001B330E" w:rsidRDefault="00D83E33" w:rsidP="001B330E">
            <w:pPr>
              <w:widowControl w:val="0"/>
              <w:pBdr>
                <w:top w:val="nil"/>
                <w:left w:val="nil"/>
                <w:bottom w:val="nil"/>
                <w:right w:val="nil"/>
                <w:between w:val="nil"/>
              </w:pBdr>
              <w:jc w:val="right"/>
              <w:rPr>
                <w:color w:val="000000"/>
                <w:spacing w:val="-4"/>
                <w:sz w:val="17"/>
                <w:szCs w:val="17"/>
              </w:rPr>
            </w:pPr>
          </w:p>
        </w:tc>
      </w:tr>
      <w:tr w:rsidR="00D83E33" w:rsidRPr="005C4425" w14:paraId="6BFBCEB0" w14:textId="77777777" w:rsidTr="001B330E">
        <w:trPr>
          <w:trHeight w:val="23"/>
        </w:trPr>
        <w:tc>
          <w:tcPr>
            <w:tcW w:w="1460" w:type="pct"/>
            <w:tcBorders>
              <w:top w:val="single" w:sz="4" w:space="0" w:color="auto"/>
            </w:tcBorders>
            <w:vAlign w:val="bottom"/>
          </w:tcPr>
          <w:p w14:paraId="0B9504AB" w14:textId="77777777" w:rsidR="00D83E33" w:rsidRPr="001B330E" w:rsidRDefault="00BC4072">
            <w:pPr>
              <w:widowControl w:val="0"/>
              <w:rPr>
                <w:b/>
                <w:spacing w:val="-4"/>
                <w:sz w:val="17"/>
                <w:szCs w:val="17"/>
              </w:rPr>
            </w:pPr>
            <w:r w:rsidRPr="001B330E">
              <w:rPr>
                <w:b/>
                <w:spacing w:val="-4"/>
                <w:sz w:val="17"/>
                <w:szCs w:val="17"/>
              </w:rPr>
              <w:t> </w:t>
            </w:r>
          </w:p>
        </w:tc>
        <w:tc>
          <w:tcPr>
            <w:tcW w:w="586" w:type="pct"/>
            <w:tcBorders>
              <w:top w:val="single" w:sz="4" w:space="0" w:color="auto"/>
            </w:tcBorders>
            <w:vAlign w:val="bottom"/>
          </w:tcPr>
          <w:p w14:paraId="6EE0BB02" w14:textId="77777777" w:rsidR="00D83E33" w:rsidRPr="001B330E" w:rsidRDefault="00D83E33">
            <w:pPr>
              <w:widowControl w:val="0"/>
              <w:pBdr>
                <w:top w:val="nil"/>
                <w:left w:val="nil"/>
                <w:bottom w:val="nil"/>
                <w:right w:val="nil"/>
                <w:between w:val="nil"/>
              </w:pBdr>
              <w:jc w:val="center"/>
              <w:rPr>
                <w:color w:val="000000"/>
                <w:spacing w:val="-4"/>
                <w:sz w:val="17"/>
                <w:szCs w:val="17"/>
              </w:rPr>
            </w:pPr>
          </w:p>
        </w:tc>
        <w:tc>
          <w:tcPr>
            <w:tcW w:w="477" w:type="pct"/>
            <w:tcBorders>
              <w:top w:val="single" w:sz="4" w:space="0" w:color="auto"/>
            </w:tcBorders>
            <w:vAlign w:val="bottom"/>
          </w:tcPr>
          <w:p w14:paraId="3E731FFB"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478" w:type="pct"/>
            <w:tcBorders>
              <w:top w:val="single" w:sz="4" w:space="0" w:color="auto"/>
            </w:tcBorders>
            <w:vAlign w:val="bottom"/>
          </w:tcPr>
          <w:p w14:paraId="619EBB85"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19" w:type="pct"/>
            <w:tcBorders>
              <w:top w:val="single" w:sz="4" w:space="0" w:color="auto"/>
            </w:tcBorders>
            <w:vAlign w:val="bottom"/>
          </w:tcPr>
          <w:p w14:paraId="218CC744"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8" w:type="pct"/>
            <w:tcBorders>
              <w:top w:val="single" w:sz="4" w:space="0" w:color="auto"/>
            </w:tcBorders>
            <w:vAlign w:val="bottom"/>
          </w:tcPr>
          <w:p w14:paraId="30C54F66"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c>
          <w:tcPr>
            <w:tcW w:w="470" w:type="pct"/>
            <w:tcBorders>
              <w:top w:val="single" w:sz="4" w:space="0" w:color="auto"/>
            </w:tcBorders>
            <w:vAlign w:val="bottom"/>
          </w:tcPr>
          <w:p w14:paraId="1C83D1C6"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3" w:type="pct"/>
            <w:tcBorders>
              <w:top w:val="single" w:sz="4" w:space="0" w:color="auto"/>
            </w:tcBorders>
            <w:vAlign w:val="bottom"/>
          </w:tcPr>
          <w:p w14:paraId="08136AFB"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r>
      <w:tr w:rsidR="00D83E33" w:rsidRPr="005C4425" w14:paraId="78B9E0EB" w14:textId="77777777" w:rsidTr="001B330E">
        <w:trPr>
          <w:trHeight w:val="23"/>
        </w:trPr>
        <w:tc>
          <w:tcPr>
            <w:tcW w:w="1460" w:type="pct"/>
            <w:vAlign w:val="bottom"/>
          </w:tcPr>
          <w:p w14:paraId="363515EC" w14:textId="77777777" w:rsidR="00D83E33" w:rsidRPr="001B330E" w:rsidRDefault="00BC4072">
            <w:pPr>
              <w:widowControl w:val="0"/>
              <w:pBdr>
                <w:top w:val="nil"/>
                <w:left w:val="nil"/>
                <w:bottom w:val="nil"/>
                <w:right w:val="nil"/>
                <w:between w:val="nil"/>
              </w:pBdr>
              <w:rPr>
                <w:color w:val="000000"/>
                <w:spacing w:val="-4"/>
                <w:sz w:val="17"/>
                <w:szCs w:val="17"/>
              </w:rPr>
            </w:pPr>
            <w:r w:rsidRPr="001B330E">
              <w:rPr>
                <w:color w:val="000000"/>
                <w:spacing w:val="-4"/>
                <w:sz w:val="17"/>
                <w:szCs w:val="17"/>
              </w:rPr>
              <w:t>Written put options</w:t>
            </w:r>
          </w:p>
        </w:tc>
        <w:tc>
          <w:tcPr>
            <w:tcW w:w="586" w:type="pct"/>
            <w:vAlign w:val="bottom"/>
          </w:tcPr>
          <w:p w14:paraId="2D96CC70" w14:textId="77777777" w:rsidR="00D83E33" w:rsidRPr="001B330E" w:rsidRDefault="00D83E33">
            <w:pPr>
              <w:widowControl w:val="0"/>
              <w:pBdr>
                <w:top w:val="nil"/>
                <w:left w:val="nil"/>
                <w:bottom w:val="nil"/>
                <w:right w:val="nil"/>
                <w:between w:val="nil"/>
              </w:pBdr>
              <w:jc w:val="center"/>
              <w:rPr>
                <w:color w:val="000000"/>
                <w:spacing w:val="-4"/>
                <w:sz w:val="17"/>
                <w:szCs w:val="17"/>
              </w:rPr>
            </w:pPr>
          </w:p>
        </w:tc>
        <w:tc>
          <w:tcPr>
            <w:tcW w:w="477" w:type="pct"/>
            <w:vAlign w:val="bottom"/>
          </w:tcPr>
          <w:p w14:paraId="0D2DA607"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478" w:type="pct"/>
            <w:vAlign w:val="bottom"/>
          </w:tcPr>
          <w:p w14:paraId="2B471D02"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19" w:type="pct"/>
            <w:vAlign w:val="bottom"/>
          </w:tcPr>
          <w:p w14:paraId="62308D9F"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8" w:type="pct"/>
            <w:vAlign w:val="bottom"/>
          </w:tcPr>
          <w:p w14:paraId="7BB5F9EE"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c>
          <w:tcPr>
            <w:tcW w:w="470" w:type="pct"/>
            <w:vAlign w:val="bottom"/>
          </w:tcPr>
          <w:p w14:paraId="0F421241"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3" w:type="pct"/>
            <w:vAlign w:val="bottom"/>
          </w:tcPr>
          <w:p w14:paraId="74C30593"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r>
      <w:tr w:rsidR="00D83E33" w:rsidRPr="005C4425" w14:paraId="4E1CF8F6" w14:textId="77777777" w:rsidTr="001B330E">
        <w:trPr>
          <w:trHeight w:val="23"/>
        </w:trPr>
        <w:tc>
          <w:tcPr>
            <w:tcW w:w="1460" w:type="pct"/>
            <w:vAlign w:val="bottom"/>
          </w:tcPr>
          <w:p w14:paraId="0DF695C7" w14:textId="77777777" w:rsidR="00D83E33" w:rsidRPr="001B330E" w:rsidRDefault="00BC4072">
            <w:pPr>
              <w:widowControl w:val="0"/>
              <w:pBdr>
                <w:top w:val="nil"/>
                <w:left w:val="nil"/>
                <w:bottom w:val="nil"/>
                <w:right w:val="nil"/>
                <w:between w:val="nil"/>
              </w:pBdr>
              <w:rPr>
                <w:color w:val="000000"/>
                <w:spacing w:val="-4"/>
                <w:sz w:val="17"/>
                <w:szCs w:val="17"/>
              </w:rPr>
            </w:pPr>
            <w:r w:rsidRPr="001B330E">
              <w:rPr>
                <w:color w:val="000000"/>
                <w:spacing w:val="-4"/>
                <w:sz w:val="17"/>
                <w:szCs w:val="17"/>
              </w:rPr>
              <w:t>Purchased call options</w:t>
            </w:r>
          </w:p>
        </w:tc>
        <w:tc>
          <w:tcPr>
            <w:tcW w:w="586" w:type="pct"/>
            <w:vAlign w:val="bottom"/>
          </w:tcPr>
          <w:p w14:paraId="47DCB741" w14:textId="77777777" w:rsidR="00D83E33" w:rsidRPr="001B330E" w:rsidRDefault="00D83E33">
            <w:pPr>
              <w:widowControl w:val="0"/>
              <w:pBdr>
                <w:top w:val="nil"/>
                <w:left w:val="nil"/>
                <w:bottom w:val="nil"/>
                <w:right w:val="nil"/>
                <w:between w:val="nil"/>
              </w:pBdr>
              <w:jc w:val="center"/>
              <w:rPr>
                <w:color w:val="000000"/>
                <w:spacing w:val="-4"/>
                <w:sz w:val="17"/>
                <w:szCs w:val="17"/>
              </w:rPr>
            </w:pPr>
          </w:p>
        </w:tc>
        <w:tc>
          <w:tcPr>
            <w:tcW w:w="477" w:type="pct"/>
            <w:vAlign w:val="bottom"/>
          </w:tcPr>
          <w:p w14:paraId="796F08C9"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478" w:type="pct"/>
            <w:vAlign w:val="bottom"/>
          </w:tcPr>
          <w:p w14:paraId="33B0EE7F"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19" w:type="pct"/>
            <w:vAlign w:val="bottom"/>
          </w:tcPr>
          <w:p w14:paraId="25BA5222"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8" w:type="pct"/>
            <w:vAlign w:val="bottom"/>
          </w:tcPr>
          <w:p w14:paraId="77EDAD94"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c>
          <w:tcPr>
            <w:tcW w:w="470" w:type="pct"/>
            <w:vAlign w:val="bottom"/>
          </w:tcPr>
          <w:p w14:paraId="7428EEB0"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3" w:type="pct"/>
            <w:vAlign w:val="bottom"/>
          </w:tcPr>
          <w:p w14:paraId="6159D3BE"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r>
      <w:tr w:rsidR="00D83E33" w:rsidRPr="005C4425" w14:paraId="3306500D" w14:textId="77777777" w:rsidTr="001B330E">
        <w:trPr>
          <w:trHeight w:val="23"/>
        </w:trPr>
        <w:tc>
          <w:tcPr>
            <w:tcW w:w="1460" w:type="pct"/>
            <w:vAlign w:val="bottom"/>
          </w:tcPr>
          <w:p w14:paraId="4887E682" w14:textId="77777777" w:rsidR="00D83E33" w:rsidRPr="001B330E" w:rsidRDefault="00BC4072">
            <w:pPr>
              <w:widowControl w:val="0"/>
              <w:pBdr>
                <w:top w:val="nil"/>
                <w:left w:val="nil"/>
                <w:bottom w:val="nil"/>
                <w:right w:val="nil"/>
                <w:between w:val="nil"/>
              </w:pBdr>
              <w:rPr>
                <w:color w:val="000000"/>
                <w:spacing w:val="-4"/>
                <w:sz w:val="17"/>
                <w:szCs w:val="17"/>
              </w:rPr>
            </w:pPr>
            <w:r w:rsidRPr="001B330E">
              <w:rPr>
                <w:color w:val="000000"/>
                <w:spacing w:val="-4"/>
                <w:sz w:val="17"/>
                <w:szCs w:val="17"/>
              </w:rPr>
              <w:t>Late payment risk guarantee</w:t>
            </w:r>
          </w:p>
        </w:tc>
        <w:tc>
          <w:tcPr>
            <w:tcW w:w="586" w:type="pct"/>
            <w:vAlign w:val="bottom"/>
          </w:tcPr>
          <w:p w14:paraId="20A2EDB5" w14:textId="77777777" w:rsidR="00D83E33" w:rsidRPr="001B330E" w:rsidRDefault="00D83E33">
            <w:pPr>
              <w:widowControl w:val="0"/>
              <w:pBdr>
                <w:top w:val="nil"/>
                <w:left w:val="nil"/>
                <w:bottom w:val="nil"/>
                <w:right w:val="nil"/>
                <w:between w:val="nil"/>
              </w:pBdr>
              <w:jc w:val="center"/>
              <w:rPr>
                <w:color w:val="000000"/>
                <w:spacing w:val="-4"/>
                <w:sz w:val="17"/>
                <w:szCs w:val="17"/>
              </w:rPr>
            </w:pPr>
          </w:p>
        </w:tc>
        <w:tc>
          <w:tcPr>
            <w:tcW w:w="477" w:type="pct"/>
            <w:vAlign w:val="bottom"/>
          </w:tcPr>
          <w:p w14:paraId="2586027C"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478" w:type="pct"/>
            <w:vAlign w:val="bottom"/>
          </w:tcPr>
          <w:p w14:paraId="211A1EB3"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19" w:type="pct"/>
            <w:vAlign w:val="bottom"/>
          </w:tcPr>
          <w:p w14:paraId="02186FBB"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8" w:type="pct"/>
            <w:vAlign w:val="bottom"/>
          </w:tcPr>
          <w:p w14:paraId="7E82FCF8"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c>
          <w:tcPr>
            <w:tcW w:w="470" w:type="pct"/>
            <w:vAlign w:val="bottom"/>
          </w:tcPr>
          <w:p w14:paraId="022FC477"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3" w:type="pct"/>
            <w:vAlign w:val="bottom"/>
          </w:tcPr>
          <w:p w14:paraId="7D90B1EA"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r>
      <w:tr w:rsidR="00D83E33" w:rsidRPr="005C4425" w14:paraId="717AE912" w14:textId="77777777" w:rsidTr="001B330E">
        <w:trPr>
          <w:trHeight w:val="23"/>
        </w:trPr>
        <w:tc>
          <w:tcPr>
            <w:tcW w:w="1460" w:type="pct"/>
            <w:tcBorders>
              <w:bottom w:val="single" w:sz="12" w:space="0" w:color="000000"/>
            </w:tcBorders>
            <w:vAlign w:val="bottom"/>
          </w:tcPr>
          <w:p w14:paraId="1439DED0" w14:textId="77777777" w:rsidR="00D83E33" w:rsidRPr="001B330E" w:rsidRDefault="00BC4072">
            <w:pPr>
              <w:widowControl w:val="0"/>
              <w:rPr>
                <w:b/>
                <w:spacing w:val="-4"/>
                <w:sz w:val="17"/>
                <w:szCs w:val="17"/>
              </w:rPr>
            </w:pPr>
            <w:r w:rsidRPr="001B330E">
              <w:rPr>
                <w:b/>
                <w:spacing w:val="-4"/>
                <w:sz w:val="17"/>
                <w:szCs w:val="17"/>
              </w:rPr>
              <w:t> </w:t>
            </w:r>
          </w:p>
        </w:tc>
        <w:tc>
          <w:tcPr>
            <w:tcW w:w="586" w:type="pct"/>
            <w:tcBorders>
              <w:bottom w:val="single" w:sz="12" w:space="0" w:color="000000"/>
            </w:tcBorders>
            <w:vAlign w:val="bottom"/>
          </w:tcPr>
          <w:p w14:paraId="0B258E1C" w14:textId="77777777" w:rsidR="00D83E33" w:rsidRPr="001B330E" w:rsidRDefault="00D83E33">
            <w:pPr>
              <w:widowControl w:val="0"/>
              <w:pBdr>
                <w:top w:val="nil"/>
                <w:left w:val="nil"/>
                <w:bottom w:val="nil"/>
                <w:right w:val="nil"/>
                <w:between w:val="nil"/>
              </w:pBdr>
              <w:jc w:val="center"/>
              <w:rPr>
                <w:color w:val="000000"/>
                <w:spacing w:val="-4"/>
                <w:sz w:val="17"/>
                <w:szCs w:val="17"/>
              </w:rPr>
            </w:pPr>
          </w:p>
        </w:tc>
        <w:tc>
          <w:tcPr>
            <w:tcW w:w="477" w:type="pct"/>
            <w:tcBorders>
              <w:bottom w:val="single" w:sz="12" w:space="0" w:color="000000"/>
            </w:tcBorders>
            <w:vAlign w:val="bottom"/>
          </w:tcPr>
          <w:p w14:paraId="3AC972A8"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478" w:type="pct"/>
            <w:tcBorders>
              <w:bottom w:val="single" w:sz="12" w:space="0" w:color="000000"/>
            </w:tcBorders>
            <w:vAlign w:val="bottom"/>
          </w:tcPr>
          <w:p w14:paraId="5D40707F"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19" w:type="pct"/>
            <w:tcBorders>
              <w:bottom w:val="single" w:sz="12" w:space="0" w:color="000000"/>
            </w:tcBorders>
            <w:vAlign w:val="bottom"/>
          </w:tcPr>
          <w:p w14:paraId="0C288D55"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8" w:type="pct"/>
            <w:tcBorders>
              <w:bottom w:val="single" w:sz="12" w:space="0" w:color="000000"/>
            </w:tcBorders>
            <w:vAlign w:val="bottom"/>
          </w:tcPr>
          <w:p w14:paraId="0AC2BD84"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c>
          <w:tcPr>
            <w:tcW w:w="470" w:type="pct"/>
            <w:tcBorders>
              <w:bottom w:val="single" w:sz="12" w:space="0" w:color="000000"/>
            </w:tcBorders>
            <w:vAlign w:val="bottom"/>
          </w:tcPr>
          <w:p w14:paraId="6BED16F0" w14:textId="77777777" w:rsidR="00D83E33" w:rsidRPr="001B330E" w:rsidRDefault="00D83E33">
            <w:pPr>
              <w:widowControl w:val="0"/>
              <w:pBdr>
                <w:top w:val="nil"/>
                <w:left w:val="nil"/>
                <w:bottom w:val="nil"/>
                <w:right w:val="nil"/>
                <w:between w:val="nil"/>
              </w:pBdr>
              <w:jc w:val="both"/>
              <w:rPr>
                <w:color w:val="000000"/>
                <w:spacing w:val="-4"/>
                <w:sz w:val="17"/>
                <w:szCs w:val="17"/>
              </w:rPr>
            </w:pPr>
          </w:p>
        </w:tc>
        <w:tc>
          <w:tcPr>
            <w:tcW w:w="503" w:type="pct"/>
            <w:tcBorders>
              <w:bottom w:val="single" w:sz="12" w:space="0" w:color="000000"/>
            </w:tcBorders>
            <w:vAlign w:val="bottom"/>
          </w:tcPr>
          <w:p w14:paraId="0195F8EA" w14:textId="77777777" w:rsidR="00D83E33" w:rsidRPr="001B330E" w:rsidRDefault="00D83E33">
            <w:pPr>
              <w:widowControl w:val="0"/>
              <w:pBdr>
                <w:top w:val="nil"/>
                <w:left w:val="nil"/>
                <w:bottom w:val="nil"/>
                <w:right w:val="nil"/>
                <w:between w:val="nil"/>
              </w:pBdr>
              <w:jc w:val="both"/>
              <w:rPr>
                <w:b/>
                <w:color w:val="000000"/>
                <w:spacing w:val="-4"/>
                <w:sz w:val="17"/>
                <w:szCs w:val="17"/>
              </w:rPr>
            </w:pPr>
          </w:p>
        </w:tc>
      </w:tr>
    </w:tbl>
    <w:p w14:paraId="134C3CFF" w14:textId="544D8294" w:rsidR="00D83E33" w:rsidRDefault="00BC4072" w:rsidP="001B330E">
      <w:pPr>
        <w:pStyle w:val="Continued"/>
      </w:pPr>
      <w:r>
        <w:lastRenderedPageBreak/>
        <w:t>47</w:t>
      </w:r>
      <w:r>
        <w:tab/>
        <w:t>Transfers of Financial Assets (Continued)</w:t>
      </w:r>
    </w:p>
    <w:p w14:paraId="6ECCBF67" w14:textId="488595DE" w:rsidR="00D83E33" w:rsidRDefault="00BC4072">
      <w:pPr>
        <w:widowControl w:val="0"/>
        <w:spacing w:before="200" w:after="200"/>
        <w:jc w:val="both"/>
        <w:rPr>
          <w:sz w:val="20"/>
          <w:szCs w:val="20"/>
        </w:rPr>
      </w:pPr>
      <w:r>
        <w:rPr>
          <w:sz w:val="20"/>
          <w:szCs w:val="20"/>
        </w:rPr>
        <w:t>The analysis is provided by type of continuing involvement outstanding at 31</w:t>
      </w:r>
      <w:r w:rsidR="00181687">
        <w:rPr>
          <w:sz w:val="20"/>
          <w:szCs w:val="20"/>
        </w:rPr>
        <w:t> December </w:t>
      </w:r>
      <w:r w:rsidR="00541EBC">
        <w:rPr>
          <w:sz w:val="20"/>
          <w:szCs w:val="20"/>
        </w:rPr>
        <w:t>2023</w:t>
      </w:r>
      <w:r>
        <w:rPr>
          <w:sz w:val="20"/>
          <w:szCs w:val="20"/>
        </w:rPr>
        <w:t>:</w:t>
      </w:r>
    </w:p>
    <w:tbl>
      <w:tblPr>
        <w:tblStyle w:val="afffffffffffffffe"/>
        <w:tblW w:w="5000" w:type="pct"/>
        <w:tblLayout w:type="fixed"/>
        <w:tblLook w:val="0000" w:firstRow="0" w:lastRow="0" w:firstColumn="0" w:lastColumn="0" w:noHBand="0" w:noVBand="0"/>
      </w:tblPr>
      <w:tblGrid>
        <w:gridCol w:w="2739"/>
        <w:gridCol w:w="1108"/>
        <w:gridCol w:w="902"/>
        <w:gridCol w:w="921"/>
        <w:gridCol w:w="954"/>
        <w:gridCol w:w="898"/>
        <w:gridCol w:w="879"/>
        <w:gridCol w:w="954"/>
      </w:tblGrid>
      <w:tr w:rsidR="00EA10CF" w:rsidRPr="005C4425" w14:paraId="362B02D7" w14:textId="77777777" w:rsidTr="001B330E">
        <w:trPr>
          <w:trHeight w:val="23"/>
        </w:trPr>
        <w:tc>
          <w:tcPr>
            <w:tcW w:w="1464" w:type="pct"/>
            <w:vAlign w:val="bottom"/>
          </w:tcPr>
          <w:p w14:paraId="3FD7B82C" w14:textId="77777777" w:rsidR="00D83E33" w:rsidRPr="001B330E" w:rsidRDefault="00D83E33" w:rsidP="001B330E">
            <w:pPr>
              <w:widowControl w:val="0"/>
              <w:pBdr>
                <w:top w:val="nil"/>
                <w:left w:val="nil"/>
                <w:bottom w:val="nil"/>
                <w:right w:val="nil"/>
                <w:between w:val="nil"/>
              </w:pBdr>
              <w:ind w:left="113" w:hanging="113"/>
              <w:rPr>
                <w:i/>
                <w:color w:val="000000"/>
                <w:spacing w:val="-4"/>
                <w:sz w:val="17"/>
                <w:szCs w:val="17"/>
              </w:rPr>
            </w:pPr>
          </w:p>
        </w:tc>
        <w:tc>
          <w:tcPr>
            <w:tcW w:w="592" w:type="pct"/>
            <w:vMerge w:val="restart"/>
          </w:tcPr>
          <w:p w14:paraId="51C13D3C" w14:textId="1DC78E54" w:rsidR="00D83E33" w:rsidRPr="001B330E" w:rsidRDefault="00BC4072" w:rsidP="001B330E">
            <w:pPr>
              <w:widowControl w:val="0"/>
              <w:pBdr>
                <w:top w:val="nil"/>
                <w:left w:val="nil"/>
                <w:bottom w:val="nil"/>
                <w:right w:val="nil"/>
                <w:between w:val="nil"/>
              </w:pBdr>
              <w:ind w:hanging="113"/>
              <w:jc w:val="right"/>
              <w:rPr>
                <w:b/>
                <w:color w:val="000000"/>
                <w:spacing w:val="-4"/>
                <w:sz w:val="17"/>
                <w:szCs w:val="17"/>
              </w:rPr>
            </w:pPr>
            <w:r w:rsidRPr="001B330E">
              <w:rPr>
                <w:b/>
                <w:color w:val="000000"/>
                <w:spacing w:val="-4"/>
                <w:sz w:val="17"/>
                <w:szCs w:val="17"/>
              </w:rPr>
              <w:t>Cash outflows to repurchase the derecog-nised assets or other payments</w:t>
            </w:r>
          </w:p>
        </w:tc>
        <w:tc>
          <w:tcPr>
            <w:tcW w:w="1484" w:type="pct"/>
            <w:gridSpan w:val="3"/>
            <w:tcBorders>
              <w:bottom w:val="single" w:sz="4" w:space="0" w:color="000000"/>
            </w:tcBorders>
          </w:tcPr>
          <w:p w14:paraId="7D570B0C" w14:textId="77777777" w:rsidR="00D83E33" w:rsidRPr="001B330E" w:rsidRDefault="00BC4072" w:rsidP="001B330E">
            <w:pPr>
              <w:widowControl w:val="0"/>
              <w:pBdr>
                <w:top w:val="nil"/>
                <w:left w:val="nil"/>
                <w:bottom w:val="nil"/>
                <w:right w:val="nil"/>
                <w:between w:val="nil"/>
              </w:pBdr>
              <w:ind w:hanging="113"/>
              <w:jc w:val="right"/>
              <w:rPr>
                <w:b/>
                <w:color w:val="000000"/>
                <w:spacing w:val="-4"/>
                <w:sz w:val="17"/>
                <w:szCs w:val="17"/>
              </w:rPr>
            </w:pPr>
            <w:r w:rsidRPr="001B330E">
              <w:rPr>
                <w:b/>
                <w:color w:val="000000"/>
                <w:spacing w:val="-4"/>
                <w:sz w:val="17"/>
                <w:szCs w:val="17"/>
              </w:rPr>
              <w:t>Carrying amount of continuing involvement in the consolidated statement of financial position</w:t>
            </w:r>
          </w:p>
        </w:tc>
        <w:tc>
          <w:tcPr>
            <w:tcW w:w="950" w:type="pct"/>
            <w:gridSpan w:val="2"/>
            <w:tcBorders>
              <w:bottom w:val="single" w:sz="4" w:space="0" w:color="000000"/>
            </w:tcBorders>
          </w:tcPr>
          <w:p w14:paraId="0F4FCCEA" w14:textId="77777777" w:rsidR="00D83E33" w:rsidRPr="001B330E" w:rsidRDefault="00BC4072" w:rsidP="001B330E">
            <w:pPr>
              <w:widowControl w:val="0"/>
              <w:pBdr>
                <w:top w:val="nil"/>
                <w:left w:val="nil"/>
                <w:bottom w:val="nil"/>
                <w:right w:val="nil"/>
                <w:between w:val="nil"/>
              </w:pBdr>
              <w:ind w:hanging="113"/>
              <w:jc w:val="right"/>
              <w:rPr>
                <w:b/>
                <w:color w:val="000000"/>
                <w:spacing w:val="-4"/>
                <w:sz w:val="17"/>
                <w:szCs w:val="17"/>
              </w:rPr>
            </w:pPr>
            <w:r w:rsidRPr="001B330E">
              <w:rPr>
                <w:b/>
                <w:color w:val="000000"/>
                <w:spacing w:val="-4"/>
                <w:sz w:val="17"/>
                <w:szCs w:val="17"/>
              </w:rPr>
              <w:t>Fair value of continuing involvement</w:t>
            </w:r>
          </w:p>
        </w:tc>
        <w:tc>
          <w:tcPr>
            <w:tcW w:w="510" w:type="pct"/>
          </w:tcPr>
          <w:p w14:paraId="0374E2BC" w14:textId="0BABFF64" w:rsidR="00D83E33" w:rsidRPr="001B330E" w:rsidRDefault="00BC4072" w:rsidP="001B330E">
            <w:pPr>
              <w:widowControl w:val="0"/>
              <w:pBdr>
                <w:top w:val="nil"/>
                <w:left w:val="nil"/>
                <w:bottom w:val="nil"/>
                <w:right w:val="nil"/>
                <w:between w:val="nil"/>
              </w:pBdr>
              <w:ind w:hanging="113"/>
              <w:jc w:val="right"/>
              <w:rPr>
                <w:b/>
                <w:color w:val="000000"/>
                <w:spacing w:val="-4"/>
                <w:sz w:val="17"/>
                <w:szCs w:val="17"/>
              </w:rPr>
            </w:pPr>
            <w:r w:rsidRPr="001B330E">
              <w:rPr>
                <w:b/>
                <w:color w:val="000000"/>
                <w:spacing w:val="-4"/>
                <w:sz w:val="17"/>
                <w:szCs w:val="17"/>
              </w:rPr>
              <w:t>Maximum exposure to loss</w:t>
            </w:r>
          </w:p>
        </w:tc>
      </w:tr>
      <w:tr w:rsidR="00EA10CF" w:rsidRPr="005C4425" w14:paraId="06B3C2CA" w14:textId="77777777" w:rsidTr="001B330E">
        <w:trPr>
          <w:trHeight w:val="23"/>
        </w:trPr>
        <w:tc>
          <w:tcPr>
            <w:tcW w:w="1464" w:type="pct"/>
            <w:tcBorders>
              <w:bottom w:val="single" w:sz="4" w:space="0" w:color="auto"/>
            </w:tcBorders>
            <w:vAlign w:val="bottom"/>
          </w:tcPr>
          <w:p w14:paraId="2B18C2F4" w14:textId="43038CF8" w:rsidR="00D83E33" w:rsidRPr="001B330E" w:rsidRDefault="00313B4D" w:rsidP="001B330E">
            <w:pPr>
              <w:widowControl w:val="0"/>
              <w:pBdr>
                <w:top w:val="nil"/>
                <w:left w:val="nil"/>
                <w:bottom w:val="nil"/>
                <w:right w:val="nil"/>
                <w:between w:val="nil"/>
              </w:pBdr>
              <w:ind w:left="113" w:hanging="113"/>
              <w:rPr>
                <w:b/>
                <w:i/>
                <w:color w:val="000000"/>
                <w:spacing w:val="-4"/>
                <w:sz w:val="17"/>
                <w:szCs w:val="17"/>
              </w:rPr>
            </w:pPr>
            <w:r>
              <w:rPr>
                <w:i/>
                <w:color w:val="000000"/>
                <w:spacing w:val="-4"/>
                <w:sz w:val="17"/>
                <w:szCs w:val="17"/>
              </w:rPr>
              <w:t xml:space="preserve">In thousands of </w:t>
            </w:r>
            <w:r w:rsidR="002649EE">
              <w:rPr>
                <w:i/>
                <w:color w:val="000000"/>
                <w:spacing w:val="-4"/>
                <w:sz w:val="17"/>
                <w:szCs w:val="17"/>
              </w:rPr>
              <w:t>EUR</w:t>
            </w:r>
          </w:p>
        </w:tc>
        <w:tc>
          <w:tcPr>
            <w:tcW w:w="592" w:type="pct"/>
            <w:vMerge/>
            <w:tcBorders>
              <w:bottom w:val="single" w:sz="4" w:space="0" w:color="auto"/>
            </w:tcBorders>
          </w:tcPr>
          <w:p w14:paraId="6FFBE41A" w14:textId="77777777" w:rsidR="00D83E33" w:rsidRPr="001B330E" w:rsidRDefault="00D83E33" w:rsidP="001B330E">
            <w:pPr>
              <w:widowControl w:val="0"/>
              <w:pBdr>
                <w:top w:val="nil"/>
                <w:left w:val="nil"/>
                <w:bottom w:val="nil"/>
                <w:right w:val="nil"/>
                <w:between w:val="nil"/>
              </w:pBdr>
              <w:ind w:hanging="113"/>
              <w:jc w:val="right"/>
              <w:rPr>
                <w:b/>
                <w:i/>
                <w:color w:val="000000"/>
                <w:spacing w:val="-4"/>
                <w:sz w:val="17"/>
                <w:szCs w:val="17"/>
              </w:rPr>
            </w:pPr>
          </w:p>
        </w:tc>
        <w:tc>
          <w:tcPr>
            <w:tcW w:w="482" w:type="pct"/>
            <w:tcBorders>
              <w:top w:val="single" w:sz="4" w:space="0" w:color="000000"/>
              <w:bottom w:val="single" w:sz="4" w:space="0" w:color="auto"/>
            </w:tcBorders>
          </w:tcPr>
          <w:p w14:paraId="2D6AB501" w14:textId="77777777" w:rsidR="00D83E33" w:rsidRPr="001B330E" w:rsidRDefault="00BC4072" w:rsidP="001B330E">
            <w:pPr>
              <w:widowControl w:val="0"/>
              <w:pBdr>
                <w:top w:val="nil"/>
                <w:left w:val="nil"/>
                <w:bottom w:val="nil"/>
                <w:right w:val="nil"/>
                <w:between w:val="nil"/>
              </w:pBdr>
              <w:ind w:hanging="113"/>
              <w:jc w:val="right"/>
              <w:rPr>
                <w:b/>
                <w:color w:val="000000"/>
                <w:spacing w:val="-4"/>
                <w:sz w:val="17"/>
                <w:szCs w:val="17"/>
              </w:rPr>
            </w:pPr>
            <w:r w:rsidRPr="001B330E">
              <w:rPr>
                <w:b/>
                <w:color w:val="000000"/>
                <w:spacing w:val="-4"/>
                <w:sz w:val="17"/>
                <w:szCs w:val="17"/>
              </w:rPr>
              <w:t xml:space="preserve">Deriva-tive financial assets (Note </w:t>
            </w:r>
            <w:hyperlink w:anchor="_heading=h.2bn6wsx">
              <w:r w:rsidRPr="001B330E">
                <w:rPr>
                  <w:b/>
                  <w:color w:val="000000"/>
                  <w:spacing w:val="-4"/>
                  <w:sz w:val="17"/>
                  <w:szCs w:val="17"/>
                </w:rPr>
                <w:t>15</w:t>
              </w:r>
            </w:hyperlink>
            <w:r w:rsidRPr="001B330E">
              <w:rPr>
                <w:b/>
                <w:color w:val="000000"/>
                <w:spacing w:val="-4"/>
                <w:sz w:val="17"/>
                <w:szCs w:val="17"/>
              </w:rPr>
              <w:t>)</w:t>
            </w:r>
          </w:p>
        </w:tc>
        <w:tc>
          <w:tcPr>
            <w:tcW w:w="492" w:type="pct"/>
            <w:tcBorders>
              <w:top w:val="single" w:sz="4" w:space="0" w:color="000000"/>
              <w:bottom w:val="single" w:sz="4" w:space="0" w:color="auto"/>
            </w:tcBorders>
          </w:tcPr>
          <w:p w14:paraId="71AEAF11" w14:textId="77777777" w:rsidR="00D83E33" w:rsidRPr="001B330E" w:rsidRDefault="00BC4072" w:rsidP="001B330E">
            <w:pPr>
              <w:widowControl w:val="0"/>
              <w:pBdr>
                <w:top w:val="nil"/>
                <w:left w:val="nil"/>
                <w:bottom w:val="nil"/>
                <w:right w:val="nil"/>
                <w:between w:val="nil"/>
              </w:pBdr>
              <w:ind w:hanging="113"/>
              <w:jc w:val="right"/>
              <w:rPr>
                <w:b/>
                <w:color w:val="000000"/>
                <w:spacing w:val="-4"/>
                <w:sz w:val="17"/>
                <w:szCs w:val="17"/>
              </w:rPr>
            </w:pPr>
            <w:r w:rsidRPr="001B330E">
              <w:rPr>
                <w:b/>
                <w:color w:val="000000"/>
                <w:spacing w:val="-4"/>
                <w:sz w:val="17"/>
                <w:szCs w:val="17"/>
              </w:rPr>
              <w:t xml:space="preserve">Deriva-tive financial liabilities (Note </w:t>
            </w:r>
            <w:hyperlink w:anchor="_heading=h.vx1227">
              <w:r w:rsidRPr="001B330E">
                <w:rPr>
                  <w:b/>
                  <w:color w:val="000000"/>
                  <w:spacing w:val="-4"/>
                  <w:sz w:val="17"/>
                  <w:szCs w:val="17"/>
                </w:rPr>
                <w:t>26</w:t>
              </w:r>
            </w:hyperlink>
            <w:r w:rsidRPr="001B330E">
              <w:rPr>
                <w:b/>
                <w:color w:val="000000"/>
                <w:spacing w:val="-4"/>
                <w:sz w:val="17"/>
                <w:szCs w:val="17"/>
              </w:rPr>
              <w:t>)</w:t>
            </w:r>
          </w:p>
        </w:tc>
        <w:tc>
          <w:tcPr>
            <w:tcW w:w="510" w:type="pct"/>
            <w:tcBorders>
              <w:top w:val="single" w:sz="4" w:space="0" w:color="000000"/>
              <w:bottom w:val="single" w:sz="4" w:space="0" w:color="auto"/>
            </w:tcBorders>
          </w:tcPr>
          <w:p w14:paraId="557F18DC" w14:textId="60714EC2" w:rsidR="00D83E33" w:rsidRPr="001B330E" w:rsidRDefault="00BC4072" w:rsidP="001B330E">
            <w:pPr>
              <w:widowControl w:val="0"/>
              <w:pBdr>
                <w:top w:val="nil"/>
                <w:left w:val="nil"/>
                <w:bottom w:val="nil"/>
                <w:right w:val="nil"/>
                <w:between w:val="nil"/>
              </w:pBdr>
              <w:ind w:hanging="113"/>
              <w:jc w:val="right"/>
              <w:rPr>
                <w:b/>
                <w:color w:val="000000"/>
                <w:spacing w:val="-4"/>
                <w:sz w:val="17"/>
                <w:szCs w:val="17"/>
              </w:rPr>
            </w:pPr>
            <w:r w:rsidRPr="001B330E">
              <w:rPr>
                <w:b/>
                <w:color w:val="000000"/>
                <w:spacing w:val="-4"/>
                <w:sz w:val="17"/>
                <w:szCs w:val="17"/>
              </w:rPr>
              <w:t xml:space="preserve">Provisions (Note </w:t>
            </w:r>
            <w:hyperlink w:anchor="_heading=h.41mghml">
              <w:r w:rsidRPr="001B330E">
                <w:rPr>
                  <w:b/>
                  <w:color w:val="000000"/>
                  <w:spacing w:val="-4"/>
                  <w:sz w:val="17"/>
                  <w:szCs w:val="17"/>
                </w:rPr>
                <w:t>25</w:t>
              </w:r>
            </w:hyperlink>
            <w:r w:rsidRPr="001B330E">
              <w:rPr>
                <w:b/>
                <w:color w:val="000000"/>
                <w:spacing w:val="-4"/>
                <w:sz w:val="17"/>
                <w:szCs w:val="17"/>
              </w:rPr>
              <w:t>)</w:t>
            </w:r>
          </w:p>
        </w:tc>
        <w:tc>
          <w:tcPr>
            <w:tcW w:w="480" w:type="pct"/>
            <w:tcBorders>
              <w:top w:val="single" w:sz="4" w:space="0" w:color="000000"/>
              <w:bottom w:val="single" w:sz="4" w:space="0" w:color="auto"/>
            </w:tcBorders>
          </w:tcPr>
          <w:p w14:paraId="07E9892A" w14:textId="77777777" w:rsidR="00D83E33" w:rsidRPr="001B330E" w:rsidRDefault="00BC4072" w:rsidP="001B330E">
            <w:pPr>
              <w:widowControl w:val="0"/>
              <w:pBdr>
                <w:top w:val="nil"/>
                <w:left w:val="nil"/>
                <w:bottom w:val="nil"/>
                <w:right w:val="nil"/>
                <w:between w:val="nil"/>
              </w:pBdr>
              <w:ind w:hanging="113"/>
              <w:jc w:val="right"/>
              <w:rPr>
                <w:b/>
                <w:color w:val="000000"/>
                <w:spacing w:val="-4"/>
                <w:sz w:val="17"/>
                <w:szCs w:val="17"/>
              </w:rPr>
            </w:pPr>
            <w:r w:rsidRPr="001B330E">
              <w:rPr>
                <w:b/>
                <w:color w:val="000000"/>
                <w:spacing w:val="-4"/>
                <w:sz w:val="17"/>
                <w:szCs w:val="17"/>
              </w:rPr>
              <w:t>Assets</w:t>
            </w:r>
          </w:p>
        </w:tc>
        <w:tc>
          <w:tcPr>
            <w:tcW w:w="470" w:type="pct"/>
            <w:tcBorders>
              <w:top w:val="single" w:sz="4" w:space="0" w:color="000000"/>
              <w:bottom w:val="single" w:sz="4" w:space="0" w:color="auto"/>
            </w:tcBorders>
          </w:tcPr>
          <w:p w14:paraId="253FD08C" w14:textId="77777777" w:rsidR="00D83E33" w:rsidRPr="001B330E" w:rsidRDefault="00BC4072" w:rsidP="001B330E">
            <w:pPr>
              <w:widowControl w:val="0"/>
              <w:pBdr>
                <w:top w:val="nil"/>
                <w:left w:val="nil"/>
                <w:bottom w:val="nil"/>
                <w:right w:val="nil"/>
                <w:between w:val="nil"/>
              </w:pBdr>
              <w:ind w:hanging="113"/>
              <w:jc w:val="right"/>
              <w:rPr>
                <w:b/>
                <w:color w:val="000000"/>
                <w:spacing w:val="-4"/>
                <w:sz w:val="17"/>
                <w:szCs w:val="17"/>
              </w:rPr>
            </w:pPr>
            <w:r w:rsidRPr="001B330E">
              <w:rPr>
                <w:b/>
                <w:color w:val="000000"/>
                <w:spacing w:val="-4"/>
                <w:sz w:val="17"/>
                <w:szCs w:val="17"/>
              </w:rPr>
              <w:t>Liabilities</w:t>
            </w:r>
          </w:p>
        </w:tc>
        <w:tc>
          <w:tcPr>
            <w:tcW w:w="510" w:type="pct"/>
            <w:tcBorders>
              <w:bottom w:val="single" w:sz="4" w:space="0" w:color="auto"/>
            </w:tcBorders>
          </w:tcPr>
          <w:p w14:paraId="1C305EDB"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r>
      <w:tr w:rsidR="00EA10CF" w:rsidRPr="005C4425" w14:paraId="29B562C7" w14:textId="77777777" w:rsidTr="001B330E">
        <w:trPr>
          <w:trHeight w:val="23"/>
        </w:trPr>
        <w:tc>
          <w:tcPr>
            <w:tcW w:w="1464" w:type="pct"/>
            <w:tcBorders>
              <w:top w:val="single" w:sz="4" w:space="0" w:color="auto"/>
            </w:tcBorders>
            <w:vAlign w:val="bottom"/>
          </w:tcPr>
          <w:p w14:paraId="394480F2" w14:textId="77777777" w:rsidR="00D83E33" w:rsidRPr="001B330E" w:rsidRDefault="00BC4072" w:rsidP="001B330E">
            <w:pPr>
              <w:widowControl w:val="0"/>
              <w:ind w:left="113" w:hanging="113"/>
              <w:rPr>
                <w:b/>
                <w:spacing w:val="-4"/>
                <w:sz w:val="17"/>
                <w:szCs w:val="17"/>
              </w:rPr>
            </w:pPr>
            <w:r w:rsidRPr="001B330E">
              <w:rPr>
                <w:b/>
                <w:spacing w:val="-4"/>
                <w:sz w:val="17"/>
                <w:szCs w:val="17"/>
              </w:rPr>
              <w:t> </w:t>
            </w:r>
          </w:p>
        </w:tc>
        <w:tc>
          <w:tcPr>
            <w:tcW w:w="592" w:type="pct"/>
            <w:tcBorders>
              <w:top w:val="single" w:sz="4" w:space="0" w:color="auto"/>
            </w:tcBorders>
            <w:vAlign w:val="bottom"/>
          </w:tcPr>
          <w:p w14:paraId="14139B49"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2" w:type="pct"/>
            <w:tcBorders>
              <w:top w:val="single" w:sz="4" w:space="0" w:color="auto"/>
            </w:tcBorders>
            <w:vAlign w:val="bottom"/>
          </w:tcPr>
          <w:p w14:paraId="4F38EB0D"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92" w:type="pct"/>
            <w:tcBorders>
              <w:top w:val="single" w:sz="4" w:space="0" w:color="auto"/>
            </w:tcBorders>
            <w:vAlign w:val="bottom"/>
          </w:tcPr>
          <w:p w14:paraId="559E4004"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tcBorders>
              <w:top w:val="single" w:sz="4" w:space="0" w:color="auto"/>
            </w:tcBorders>
            <w:vAlign w:val="bottom"/>
          </w:tcPr>
          <w:p w14:paraId="330AC1AE"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0" w:type="pct"/>
            <w:tcBorders>
              <w:top w:val="single" w:sz="4" w:space="0" w:color="auto"/>
            </w:tcBorders>
            <w:vAlign w:val="bottom"/>
          </w:tcPr>
          <w:p w14:paraId="3EB4FD16"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c>
          <w:tcPr>
            <w:tcW w:w="470" w:type="pct"/>
            <w:tcBorders>
              <w:top w:val="single" w:sz="4" w:space="0" w:color="auto"/>
            </w:tcBorders>
            <w:vAlign w:val="bottom"/>
          </w:tcPr>
          <w:p w14:paraId="405E1CC5"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tcBorders>
              <w:top w:val="single" w:sz="4" w:space="0" w:color="auto"/>
            </w:tcBorders>
            <w:vAlign w:val="bottom"/>
          </w:tcPr>
          <w:p w14:paraId="75827AFE"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r>
      <w:tr w:rsidR="00EA10CF" w:rsidRPr="005C4425" w14:paraId="26B1F1F3" w14:textId="77777777" w:rsidTr="001B330E">
        <w:trPr>
          <w:trHeight w:val="23"/>
        </w:trPr>
        <w:tc>
          <w:tcPr>
            <w:tcW w:w="1464" w:type="pct"/>
            <w:vAlign w:val="bottom"/>
          </w:tcPr>
          <w:p w14:paraId="2E9B338D"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Written put options</w:t>
            </w:r>
          </w:p>
        </w:tc>
        <w:tc>
          <w:tcPr>
            <w:tcW w:w="592" w:type="pct"/>
            <w:vAlign w:val="bottom"/>
          </w:tcPr>
          <w:p w14:paraId="13157819"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2" w:type="pct"/>
            <w:vAlign w:val="bottom"/>
          </w:tcPr>
          <w:p w14:paraId="39AD22AF"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92" w:type="pct"/>
            <w:vAlign w:val="bottom"/>
          </w:tcPr>
          <w:p w14:paraId="421877FA"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vAlign w:val="bottom"/>
          </w:tcPr>
          <w:p w14:paraId="3FBF9AF2"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0" w:type="pct"/>
            <w:vAlign w:val="bottom"/>
          </w:tcPr>
          <w:p w14:paraId="34A809AF"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c>
          <w:tcPr>
            <w:tcW w:w="470" w:type="pct"/>
            <w:vAlign w:val="bottom"/>
          </w:tcPr>
          <w:p w14:paraId="2D885B43"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vAlign w:val="bottom"/>
          </w:tcPr>
          <w:p w14:paraId="6321E743"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r>
      <w:tr w:rsidR="00EA10CF" w:rsidRPr="005C4425" w14:paraId="1A16D49F" w14:textId="77777777" w:rsidTr="001B330E">
        <w:trPr>
          <w:trHeight w:val="23"/>
        </w:trPr>
        <w:tc>
          <w:tcPr>
            <w:tcW w:w="1464" w:type="pct"/>
            <w:vAlign w:val="bottom"/>
          </w:tcPr>
          <w:p w14:paraId="139BAD61"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Purchased call options</w:t>
            </w:r>
          </w:p>
        </w:tc>
        <w:tc>
          <w:tcPr>
            <w:tcW w:w="592" w:type="pct"/>
            <w:vAlign w:val="bottom"/>
          </w:tcPr>
          <w:p w14:paraId="56571B42"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2" w:type="pct"/>
            <w:vAlign w:val="bottom"/>
          </w:tcPr>
          <w:p w14:paraId="66BD9595"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92" w:type="pct"/>
            <w:vAlign w:val="bottom"/>
          </w:tcPr>
          <w:p w14:paraId="12205078"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vAlign w:val="bottom"/>
          </w:tcPr>
          <w:p w14:paraId="7CBBCF2D"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0" w:type="pct"/>
            <w:vAlign w:val="bottom"/>
          </w:tcPr>
          <w:p w14:paraId="4C07EB68"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c>
          <w:tcPr>
            <w:tcW w:w="470" w:type="pct"/>
            <w:vAlign w:val="bottom"/>
          </w:tcPr>
          <w:p w14:paraId="66DECA92"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vAlign w:val="bottom"/>
          </w:tcPr>
          <w:p w14:paraId="0C0E426C"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r>
      <w:tr w:rsidR="00EA10CF" w:rsidRPr="005C4425" w14:paraId="3F8D7A23" w14:textId="77777777" w:rsidTr="001B330E">
        <w:trPr>
          <w:trHeight w:val="23"/>
        </w:trPr>
        <w:tc>
          <w:tcPr>
            <w:tcW w:w="1464" w:type="pct"/>
            <w:vAlign w:val="bottom"/>
          </w:tcPr>
          <w:p w14:paraId="78E791C1" w14:textId="77777777" w:rsidR="00D83E33" w:rsidRPr="001B330E" w:rsidRDefault="00BC4072" w:rsidP="001B330E">
            <w:pPr>
              <w:widowControl w:val="0"/>
              <w:pBdr>
                <w:top w:val="nil"/>
                <w:left w:val="nil"/>
                <w:bottom w:val="nil"/>
                <w:right w:val="nil"/>
                <w:between w:val="nil"/>
              </w:pBdr>
              <w:ind w:left="113" w:hanging="113"/>
              <w:rPr>
                <w:color w:val="000000"/>
                <w:spacing w:val="-4"/>
                <w:sz w:val="17"/>
                <w:szCs w:val="17"/>
              </w:rPr>
            </w:pPr>
            <w:r w:rsidRPr="001B330E">
              <w:rPr>
                <w:color w:val="000000"/>
                <w:spacing w:val="-4"/>
                <w:sz w:val="17"/>
                <w:szCs w:val="17"/>
              </w:rPr>
              <w:t>Late payment risk guarantee</w:t>
            </w:r>
          </w:p>
        </w:tc>
        <w:tc>
          <w:tcPr>
            <w:tcW w:w="592" w:type="pct"/>
            <w:vAlign w:val="bottom"/>
          </w:tcPr>
          <w:p w14:paraId="66CF8994"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2" w:type="pct"/>
            <w:vAlign w:val="bottom"/>
          </w:tcPr>
          <w:p w14:paraId="42DDE555"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92" w:type="pct"/>
            <w:vAlign w:val="bottom"/>
          </w:tcPr>
          <w:p w14:paraId="55B3BD4D"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vAlign w:val="bottom"/>
          </w:tcPr>
          <w:p w14:paraId="6B72217D"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0" w:type="pct"/>
            <w:vAlign w:val="bottom"/>
          </w:tcPr>
          <w:p w14:paraId="147BB58B"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c>
          <w:tcPr>
            <w:tcW w:w="470" w:type="pct"/>
            <w:vAlign w:val="bottom"/>
          </w:tcPr>
          <w:p w14:paraId="68F05628"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vAlign w:val="bottom"/>
          </w:tcPr>
          <w:p w14:paraId="6726335E"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r>
      <w:tr w:rsidR="00EA10CF" w:rsidRPr="005C4425" w14:paraId="5752B7FD" w14:textId="77777777" w:rsidTr="001B330E">
        <w:trPr>
          <w:trHeight w:val="23"/>
        </w:trPr>
        <w:tc>
          <w:tcPr>
            <w:tcW w:w="1464" w:type="pct"/>
            <w:tcBorders>
              <w:bottom w:val="single" w:sz="12" w:space="0" w:color="000000"/>
            </w:tcBorders>
            <w:vAlign w:val="bottom"/>
          </w:tcPr>
          <w:p w14:paraId="31935427" w14:textId="77777777" w:rsidR="00D83E33" w:rsidRPr="001B330E" w:rsidRDefault="00BC4072" w:rsidP="001B330E">
            <w:pPr>
              <w:widowControl w:val="0"/>
              <w:ind w:left="113" w:hanging="113"/>
              <w:rPr>
                <w:b/>
                <w:spacing w:val="-4"/>
                <w:sz w:val="17"/>
                <w:szCs w:val="17"/>
              </w:rPr>
            </w:pPr>
            <w:r w:rsidRPr="001B330E">
              <w:rPr>
                <w:b/>
                <w:spacing w:val="-4"/>
                <w:sz w:val="17"/>
                <w:szCs w:val="17"/>
              </w:rPr>
              <w:t> </w:t>
            </w:r>
          </w:p>
        </w:tc>
        <w:tc>
          <w:tcPr>
            <w:tcW w:w="592" w:type="pct"/>
            <w:tcBorders>
              <w:bottom w:val="single" w:sz="12" w:space="0" w:color="000000"/>
            </w:tcBorders>
            <w:vAlign w:val="bottom"/>
          </w:tcPr>
          <w:p w14:paraId="7C1021EC"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2" w:type="pct"/>
            <w:tcBorders>
              <w:bottom w:val="single" w:sz="12" w:space="0" w:color="000000"/>
            </w:tcBorders>
            <w:vAlign w:val="bottom"/>
          </w:tcPr>
          <w:p w14:paraId="11F25F10"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92" w:type="pct"/>
            <w:tcBorders>
              <w:bottom w:val="single" w:sz="12" w:space="0" w:color="000000"/>
            </w:tcBorders>
            <w:vAlign w:val="bottom"/>
          </w:tcPr>
          <w:p w14:paraId="1A3593E6"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tcBorders>
              <w:bottom w:val="single" w:sz="12" w:space="0" w:color="000000"/>
            </w:tcBorders>
            <w:vAlign w:val="bottom"/>
          </w:tcPr>
          <w:p w14:paraId="1477A30B"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480" w:type="pct"/>
            <w:tcBorders>
              <w:bottom w:val="single" w:sz="12" w:space="0" w:color="000000"/>
            </w:tcBorders>
            <w:vAlign w:val="bottom"/>
          </w:tcPr>
          <w:p w14:paraId="4CB69138"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c>
          <w:tcPr>
            <w:tcW w:w="470" w:type="pct"/>
            <w:tcBorders>
              <w:bottom w:val="single" w:sz="12" w:space="0" w:color="000000"/>
            </w:tcBorders>
            <w:vAlign w:val="bottom"/>
          </w:tcPr>
          <w:p w14:paraId="12EE0257" w14:textId="77777777" w:rsidR="00D83E33" w:rsidRPr="001B330E" w:rsidRDefault="00D83E33" w:rsidP="001B330E">
            <w:pPr>
              <w:widowControl w:val="0"/>
              <w:pBdr>
                <w:top w:val="nil"/>
                <w:left w:val="nil"/>
                <w:bottom w:val="nil"/>
                <w:right w:val="nil"/>
                <w:between w:val="nil"/>
              </w:pBdr>
              <w:ind w:hanging="113"/>
              <w:jc w:val="right"/>
              <w:rPr>
                <w:color w:val="000000"/>
                <w:spacing w:val="-4"/>
                <w:sz w:val="17"/>
                <w:szCs w:val="17"/>
              </w:rPr>
            </w:pPr>
          </w:p>
        </w:tc>
        <w:tc>
          <w:tcPr>
            <w:tcW w:w="510" w:type="pct"/>
            <w:tcBorders>
              <w:bottom w:val="single" w:sz="12" w:space="0" w:color="000000"/>
            </w:tcBorders>
            <w:vAlign w:val="bottom"/>
          </w:tcPr>
          <w:p w14:paraId="4FDC73C9" w14:textId="77777777" w:rsidR="00D83E33" w:rsidRPr="001B330E" w:rsidRDefault="00D83E33" w:rsidP="001B330E">
            <w:pPr>
              <w:widowControl w:val="0"/>
              <w:pBdr>
                <w:top w:val="nil"/>
                <w:left w:val="nil"/>
                <w:bottom w:val="nil"/>
                <w:right w:val="nil"/>
                <w:between w:val="nil"/>
              </w:pBdr>
              <w:ind w:hanging="113"/>
              <w:jc w:val="right"/>
              <w:rPr>
                <w:b/>
                <w:color w:val="000000"/>
                <w:spacing w:val="-4"/>
                <w:sz w:val="17"/>
                <w:szCs w:val="17"/>
              </w:rPr>
            </w:pPr>
          </w:p>
        </w:tc>
      </w:tr>
    </w:tbl>
    <w:p w14:paraId="33B52E17" w14:textId="77777777" w:rsidR="00D83E33" w:rsidRDefault="00BC4072">
      <w:pPr>
        <w:widowControl w:val="0"/>
        <w:spacing w:before="200" w:after="200"/>
        <w:jc w:val="both"/>
        <w:rPr>
          <w:sz w:val="20"/>
          <w:szCs w:val="20"/>
        </w:rPr>
      </w:pPr>
      <w:r>
        <w:rPr>
          <w:sz w:val="20"/>
          <w:szCs w:val="20"/>
        </w:rPr>
        <w:t>The following schedule presents remaining contractual maturity analysis of the undiscounted cash flows to repurchase the transferred assets or other amounts payable to the transferee in respect of financial assets that qualified for derecognition. Where the cash flows are variable, they are disclosed based on the conditions that existed at each reporting date. The analysis is provided by type of continuing involvement outstanding at the respective end of the reporting period:</w:t>
      </w:r>
    </w:p>
    <w:tbl>
      <w:tblPr>
        <w:tblStyle w:val="affffffffffffffff"/>
        <w:tblW w:w="5000" w:type="pct"/>
        <w:tblLayout w:type="fixed"/>
        <w:tblLook w:val="0000" w:firstRow="0" w:lastRow="0" w:firstColumn="0" w:lastColumn="0" w:noHBand="0" w:noVBand="0"/>
      </w:tblPr>
      <w:tblGrid>
        <w:gridCol w:w="2340"/>
        <w:gridCol w:w="899"/>
        <w:gridCol w:w="1265"/>
        <w:gridCol w:w="408"/>
        <w:gridCol w:w="597"/>
        <w:gridCol w:w="1016"/>
        <w:gridCol w:w="775"/>
        <w:gridCol w:w="326"/>
        <w:gridCol w:w="1014"/>
        <w:gridCol w:w="715"/>
      </w:tblGrid>
      <w:tr w:rsidR="00D83E33" w:rsidRPr="00EA10CF" w14:paraId="7A4F8F30" w14:textId="77777777" w:rsidTr="001B330E">
        <w:trPr>
          <w:trHeight w:val="23"/>
        </w:trPr>
        <w:tc>
          <w:tcPr>
            <w:tcW w:w="1732" w:type="pct"/>
            <w:gridSpan w:val="2"/>
            <w:tcBorders>
              <w:bottom w:val="single" w:sz="4" w:space="0" w:color="000000"/>
            </w:tcBorders>
            <w:vAlign w:val="bottom"/>
          </w:tcPr>
          <w:p w14:paraId="48B5F59B" w14:textId="7A43E40D" w:rsidR="00D83E33" w:rsidRPr="00EA10CF" w:rsidRDefault="00313B4D">
            <w:pPr>
              <w:widowControl w:val="0"/>
              <w:pBdr>
                <w:top w:val="nil"/>
                <w:left w:val="nil"/>
                <w:bottom w:val="nil"/>
                <w:right w:val="nil"/>
                <w:between w:val="nil"/>
              </w:pBdr>
              <w:rPr>
                <w:b/>
                <w:i/>
                <w:color w:val="000000"/>
              </w:rPr>
            </w:pPr>
            <w:r>
              <w:rPr>
                <w:i/>
                <w:color w:val="000000"/>
              </w:rPr>
              <w:t xml:space="preserve">In thousands of </w:t>
            </w:r>
            <w:r w:rsidR="002649EE">
              <w:rPr>
                <w:i/>
                <w:color w:val="000000"/>
              </w:rPr>
              <w:t>EUR</w:t>
            </w:r>
          </w:p>
        </w:tc>
        <w:tc>
          <w:tcPr>
            <w:tcW w:w="676" w:type="pct"/>
            <w:tcBorders>
              <w:bottom w:val="single" w:sz="4" w:space="0" w:color="000000"/>
            </w:tcBorders>
          </w:tcPr>
          <w:p w14:paraId="079C1F91"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Demand and less than 1 month</w:t>
            </w:r>
          </w:p>
        </w:tc>
        <w:tc>
          <w:tcPr>
            <w:tcW w:w="537" w:type="pct"/>
            <w:gridSpan w:val="2"/>
            <w:tcBorders>
              <w:bottom w:val="single" w:sz="4" w:space="0" w:color="000000"/>
            </w:tcBorders>
          </w:tcPr>
          <w:p w14:paraId="0B73B281"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From</w:t>
            </w:r>
          </w:p>
          <w:p w14:paraId="7093B482"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 xml:space="preserve"> 1 to 6</w:t>
            </w:r>
          </w:p>
          <w:p w14:paraId="6D80E186"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months</w:t>
            </w:r>
          </w:p>
        </w:tc>
        <w:tc>
          <w:tcPr>
            <w:tcW w:w="543" w:type="pct"/>
            <w:tcBorders>
              <w:bottom w:val="single" w:sz="4" w:space="0" w:color="000000"/>
            </w:tcBorders>
          </w:tcPr>
          <w:p w14:paraId="0458CD17"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 xml:space="preserve">From </w:t>
            </w:r>
          </w:p>
          <w:p w14:paraId="5DC0A520"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6 to 12</w:t>
            </w:r>
          </w:p>
          <w:p w14:paraId="428B9830"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Months</w:t>
            </w:r>
          </w:p>
        </w:tc>
        <w:tc>
          <w:tcPr>
            <w:tcW w:w="588" w:type="pct"/>
            <w:gridSpan w:val="2"/>
            <w:tcBorders>
              <w:bottom w:val="single" w:sz="4" w:space="0" w:color="000000"/>
            </w:tcBorders>
          </w:tcPr>
          <w:p w14:paraId="005A41EF"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From 12 months to 5 years</w:t>
            </w:r>
          </w:p>
        </w:tc>
        <w:tc>
          <w:tcPr>
            <w:tcW w:w="542" w:type="pct"/>
            <w:tcBorders>
              <w:bottom w:val="single" w:sz="4" w:space="0" w:color="000000"/>
            </w:tcBorders>
          </w:tcPr>
          <w:p w14:paraId="21A00ECB"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 xml:space="preserve">Over </w:t>
            </w:r>
          </w:p>
          <w:p w14:paraId="14645898"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5 years</w:t>
            </w:r>
          </w:p>
        </w:tc>
        <w:tc>
          <w:tcPr>
            <w:tcW w:w="383" w:type="pct"/>
            <w:tcBorders>
              <w:bottom w:val="single" w:sz="4" w:space="0" w:color="000000"/>
            </w:tcBorders>
          </w:tcPr>
          <w:p w14:paraId="68A76EB9" w14:textId="77777777" w:rsidR="00D83E33" w:rsidRPr="00EA10CF" w:rsidRDefault="00BC4072">
            <w:pPr>
              <w:widowControl w:val="0"/>
              <w:pBdr>
                <w:top w:val="nil"/>
                <w:left w:val="nil"/>
                <w:bottom w:val="nil"/>
                <w:right w:val="nil"/>
                <w:between w:val="nil"/>
              </w:pBdr>
              <w:jc w:val="right"/>
              <w:rPr>
                <w:b/>
                <w:color w:val="000000"/>
              </w:rPr>
            </w:pPr>
            <w:r w:rsidRPr="00EA10CF">
              <w:rPr>
                <w:b/>
                <w:color w:val="000000"/>
              </w:rPr>
              <w:t>Total</w:t>
            </w:r>
          </w:p>
        </w:tc>
      </w:tr>
      <w:tr w:rsidR="00D83E33" w:rsidRPr="00EA10CF" w14:paraId="5FEC00AB" w14:textId="77777777" w:rsidTr="001B330E">
        <w:trPr>
          <w:trHeight w:val="23"/>
        </w:trPr>
        <w:tc>
          <w:tcPr>
            <w:tcW w:w="1732" w:type="pct"/>
            <w:gridSpan w:val="2"/>
            <w:vAlign w:val="bottom"/>
          </w:tcPr>
          <w:p w14:paraId="5935186D" w14:textId="77777777" w:rsidR="00D83E33" w:rsidRPr="00EA10CF" w:rsidRDefault="00BC4072">
            <w:pPr>
              <w:widowControl w:val="0"/>
              <w:rPr>
                <w:b/>
              </w:rPr>
            </w:pPr>
            <w:r w:rsidRPr="00EA10CF">
              <w:rPr>
                <w:b/>
              </w:rPr>
              <w:t> </w:t>
            </w:r>
          </w:p>
        </w:tc>
        <w:tc>
          <w:tcPr>
            <w:tcW w:w="676" w:type="pct"/>
            <w:vAlign w:val="bottom"/>
          </w:tcPr>
          <w:p w14:paraId="64F6EE54" w14:textId="77777777" w:rsidR="00D83E33" w:rsidRPr="00EA10CF" w:rsidRDefault="00D83E33">
            <w:pPr>
              <w:widowControl w:val="0"/>
              <w:pBdr>
                <w:top w:val="nil"/>
                <w:left w:val="nil"/>
                <w:bottom w:val="nil"/>
                <w:right w:val="nil"/>
                <w:between w:val="nil"/>
              </w:pBdr>
              <w:jc w:val="right"/>
              <w:rPr>
                <w:color w:val="000000"/>
              </w:rPr>
            </w:pPr>
          </w:p>
        </w:tc>
        <w:tc>
          <w:tcPr>
            <w:tcW w:w="537" w:type="pct"/>
            <w:gridSpan w:val="2"/>
            <w:vAlign w:val="bottom"/>
          </w:tcPr>
          <w:p w14:paraId="7021F975"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626C01C0" w14:textId="77777777" w:rsidR="00D83E33" w:rsidRPr="00EA10CF" w:rsidRDefault="00D83E33">
            <w:pPr>
              <w:widowControl w:val="0"/>
              <w:pBdr>
                <w:top w:val="nil"/>
                <w:left w:val="nil"/>
                <w:bottom w:val="nil"/>
                <w:right w:val="nil"/>
                <w:between w:val="nil"/>
              </w:pBdr>
              <w:jc w:val="right"/>
              <w:rPr>
                <w:color w:val="000000"/>
              </w:rPr>
            </w:pPr>
          </w:p>
        </w:tc>
        <w:tc>
          <w:tcPr>
            <w:tcW w:w="588" w:type="pct"/>
            <w:gridSpan w:val="2"/>
            <w:vAlign w:val="bottom"/>
          </w:tcPr>
          <w:p w14:paraId="648C1384"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6CD596F4" w14:textId="77777777" w:rsidR="00D83E33" w:rsidRPr="00EA10CF" w:rsidRDefault="00D83E33">
            <w:pPr>
              <w:widowControl w:val="0"/>
              <w:pBdr>
                <w:top w:val="nil"/>
                <w:left w:val="nil"/>
                <w:bottom w:val="nil"/>
                <w:right w:val="nil"/>
                <w:between w:val="nil"/>
              </w:pBdr>
              <w:jc w:val="right"/>
              <w:rPr>
                <w:color w:val="000000"/>
              </w:rPr>
            </w:pPr>
          </w:p>
        </w:tc>
        <w:tc>
          <w:tcPr>
            <w:tcW w:w="383" w:type="pct"/>
            <w:vAlign w:val="bottom"/>
          </w:tcPr>
          <w:p w14:paraId="590CECF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844F5F6" w14:textId="77777777" w:rsidTr="001B330E">
        <w:trPr>
          <w:trHeight w:val="23"/>
        </w:trPr>
        <w:tc>
          <w:tcPr>
            <w:tcW w:w="1732" w:type="pct"/>
            <w:gridSpan w:val="2"/>
            <w:vAlign w:val="bottom"/>
          </w:tcPr>
          <w:p w14:paraId="7BE295C1" w14:textId="47D35045" w:rsidR="00D83E33" w:rsidRPr="00EA10CF" w:rsidRDefault="00BC4072">
            <w:pPr>
              <w:widowControl w:val="0"/>
              <w:pBdr>
                <w:top w:val="nil"/>
                <w:left w:val="nil"/>
                <w:bottom w:val="nil"/>
                <w:right w:val="nil"/>
                <w:between w:val="nil"/>
              </w:pBdr>
              <w:rPr>
                <w:b/>
                <w:color w:val="000000"/>
              </w:rPr>
            </w:pPr>
            <w:r w:rsidRPr="00EA10CF">
              <w:rPr>
                <w:b/>
                <w:color w:val="000000"/>
              </w:rPr>
              <w:t>At 31</w:t>
            </w:r>
            <w:r w:rsidR="00181687">
              <w:rPr>
                <w:b/>
                <w:color w:val="000000"/>
              </w:rPr>
              <w:t> December </w:t>
            </w:r>
            <w:r w:rsidR="00541EBC">
              <w:rPr>
                <w:b/>
                <w:color w:val="000000"/>
              </w:rPr>
              <w:t>2024</w:t>
            </w:r>
          </w:p>
        </w:tc>
        <w:tc>
          <w:tcPr>
            <w:tcW w:w="676" w:type="pct"/>
            <w:vAlign w:val="bottom"/>
          </w:tcPr>
          <w:p w14:paraId="3E98140F"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6B466288"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063EE881"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366A6253"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2A4ACC3E"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128A21F2"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31FFB112" w14:textId="77777777" w:rsidTr="001B330E">
        <w:trPr>
          <w:trHeight w:val="23"/>
        </w:trPr>
        <w:tc>
          <w:tcPr>
            <w:tcW w:w="1732" w:type="pct"/>
            <w:gridSpan w:val="2"/>
            <w:vAlign w:val="bottom"/>
          </w:tcPr>
          <w:p w14:paraId="689CCF48"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76" w:type="pct"/>
            <w:vAlign w:val="bottom"/>
          </w:tcPr>
          <w:p w14:paraId="62C8F317"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5222B5D0"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18A5BB17"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2907229F"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11C7E942"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3D4C44F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C19C784" w14:textId="77777777" w:rsidTr="001B330E">
        <w:trPr>
          <w:trHeight w:val="23"/>
        </w:trPr>
        <w:tc>
          <w:tcPr>
            <w:tcW w:w="1732" w:type="pct"/>
            <w:gridSpan w:val="2"/>
            <w:vAlign w:val="bottom"/>
          </w:tcPr>
          <w:p w14:paraId="3938CF7D" w14:textId="77777777" w:rsidR="00D83E33" w:rsidRPr="00EA10CF" w:rsidRDefault="00BC4072">
            <w:pPr>
              <w:widowControl w:val="0"/>
              <w:pBdr>
                <w:top w:val="nil"/>
                <w:left w:val="nil"/>
                <w:bottom w:val="nil"/>
                <w:right w:val="nil"/>
                <w:between w:val="nil"/>
              </w:pBdr>
              <w:rPr>
                <w:color w:val="000000"/>
              </w:rPr>
            </w:pPr>
            <w:r w:rsidRPr="00EA10CF">
              <w:rPr>
                <w:color w:val="000000"/>
              </w:rPr>
              <w:t>Written put options</w:t>
            </w:r>
          </w:p>
        </w:tc>
        <w:tc>
          <w:tcPr>
            <w:tcW w:w="676" w:type="pct"/>
            <w:vAlign w:val="bottom"/>
          </w:tcPr>
          <w:p w14:paraId="537CC0FB"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74043D77"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61B6E7BA"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40E4C12F"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22D3F028"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37B0FE5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1CFCB5D" w14:textId="77777777" w:rsidTr="001B330E">
        <w:trPr>
          <w:trHeight w:val="23"/>
        </w:trPr>
        <w:tc>
          <w:tcPr>
            <w:tcW w:w="1732" w:type="pct"/>
            <w:gridSpan w:val="2"/>
            <w:vAlign w:val="bottom"/>
          </w:tcPr>
          <w:p w14:paraId="2407D51E" w14:textId="77777777" w:rsidR="00D83E33" w:rsidRPr="00EA10CF" w:rsidRDefault="00BC4072">
            <w:pPr>
              <w:widowControl w:val="0"/>
              <w:pBdr>
                <w:top w:val="nil"/>
                <w:left w:val="nil"/>
                <w:bottom w:val="nil"/>
                <w:right w:val="nil"/>
                <w:between w:val="nil"/>
              </w:pBdr>
              <w:rPr>
                <w:color w:val="000000"/>
              </w:rPr>
            </w:pPr>
            <w:r w:rsidRPr="00EA10CF">
              <w:rPr>
                <w:color w:val="000000"/>
              </w:rPr>
              <w:t>Purchased call options</w:t>
            </w:r>
          </w:p>
        </w:tc>
        <w:tc>
          <w:tcPr>
            <w:tcW w:w="676" w:type="pct"/>
            <w:vAlign w:val="bottom"/>
          </w:tcPr>
          <w:p w14:paraId="5B87A249"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7D69A1CF"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5871737D"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136874D4"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2956AA81"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7CD7E742"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CFB64F5" w14:textId="77777777" w:rsidTr="001B330E">
        <w:trPr>
          <w:trHeight w:val="23"/>
        </w:trPr>
        <w:tc>
          <w:tcPr>
            <w:tcW w:w="1732" w:type="pct"/>
            <w:gridSpan w:val="2"/>
            <w:vAlign w:val="bottom"/>
          </w:tcPr>
          <w:p w14:paraId="1BB94FFB" w14:textId="77777777" w:rsidR="00D83E33" w:rsidRPr="00EA10CF" w:rsidRDefault="00BC4072">
            <w:pPr>
              <w:widowControl w:val="0"/>
              <w:pBdr>
                <w:top w:val="nil"/>
                <w:left w:val="nil"/>
                <w:bottom w:val="nil"/>
                <w:right w:val="nil"/>
                <w:between w:val="nil"/>
              </w:pBdr>
              <w:rPr>
                <w:color w:val="000000"/>
              </w:rPr>
            </w:pPr>
            <w:r w:rsidRPr="00EA10CF">
              <w:rPr>
                <w:color w:val="000000"/>
              </w:rPr>
              <w:t>Late payment risk guarantee</w:t>
            </w:r>
          </w:p>
        </w:tc>
        <w:tc>
          <w:tcPr>
            <w:tcW w:w="676" w:type="pct"/>
            <w:vAlign w:val="bottom"/>
          </w:tcPr>
          <w:p w14:paraId="2F3E1592"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7BCE5428"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357F85BB"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783A32DE"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6BBE69FA"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02F49B6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96CA50A" w14:textId="77777777" w:rsidTr="001B330E">
        <w:trPr>
          <w:trHeight w:val="23"/>
        </w:trPr>
        <w:tc>
          <w:tcPr>
            <w:tcW w:w="1732" w:type="pct"/>
            <w:gridSpan w:val="2"/>
            <w:tcBorders>
              <w:bottom w:val="single" w:sz="4" w:space="0" w:color="000000"/>
            </w:tcBorders>
            <w:vAlign w:val="bottom"/>
          </w:tcPr>
          <w:p w14:paraId="535D0C55" w14:textId="77777777" w:rsidR="00D83E33" w:rsidRPr="00EA10CF" w:rsidRDefault="00BC4072">
            <w:pPr>
              <w:widowControl w:val="0"/>
              <w:pBdr>
                <w:top w:val="nil"/>
                <w:left w:val="nil"/>
                <w:bottom w:val="nil"/>
                <w:right w:val="nil"/>
                <w:between w:val="nil"/>
              </w:pBdr>
              <w:rPr>
                <w:b/>
                <w:color w:val="000000"/>
              </w:rPr>
            </w:pPr>
            <w:r w:rsidRPr="00EA10CF">
              <w:rPr>
                <w:color w:val="000000"/>
              </w:rPr>
              <w:t> </w:t>
            </w:r>
          </w:p>
        </w:tc>
        <w:tc>
          <w:tcPr>
            <w:tcW w:w="676" w:type="pct"/>
            <w:tcBorders>
              <w:bottom w:val="single" w:sz="4" w:space="0" w:color="000000"/>
            </w:tcBorders>
            <w:vAlign w:val="bottom"/>
          </w:tcPr>
          <w:p w14:paraId="33AEF711"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tcBorders>
              <w:bottom w:val="single" w:sz="4" w:space="0" w:color="000000"/>
            </w:tcBorders>
            <w:vAlign w:val="bottom"/>
          </w:tcPr>
          <w:p w14:paraId="5A490703" w14:textId="77777777" w:rsidR="00D83E33" w:rsidRPr="00EA10CF" w:rsidRDefault="00D83E33">
            <w:pPr>
              <w:widowControl w:val="0"/>
              <w:pBdr>
                <w:top w:val="nil"/>
                <w:left w:val="nil"/>
                <w:bottom w:val="nil"/>
                <w:right w:val="nil"/>
                <w:between w:val="nil"/>
              </w:pBdr>
              <w:jc w:val="right"/>
              <w:rPr>
                <w:b/>
                <w:color w:val="000000"/>
              </w:rPr>
            </w:pPr>
          </w:p>
        </w:tc>
        <w:tc>
          <w:tcPr>
            <w:tcW w:w="543" w:type="pct"/>
            <w:tcBorders>
              <w:bottom w:val="single" w:sz="4" w:space="0" w:color="000000"/>
            </w:tcBorders>
            <w:vAlign w:val="bottom"/>
          </w:tcPr>
          <w:p w14:paraId="3E9EF500"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tcBorders>
              <w:bottom w:val="single" w:sz="4" w:space="0" w:color="000000"/>
            </w:tcBorders>
            <w:vAlign w:val="bottom"/>
          </w:tcPr>
          <w:p w14:paraId="7329E4F4"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bottom w:val="single" w:sz="4" w:space="0" w:color="000000"/>
            </w:tcBorders>
            <w:vAlign w:val="bottom"/>
          </w:tcPr>
          <w:p w14:paraId="29414A52" w14:textId="77777777" w:rsidR="00D83E33" w:rsidRPr="00EA10CF" w:rsidRDefault="00D83E33">
            <w:pPr>
              <w:widowControl w:val="0"/>
              <w:pBdr>
                <w:top w:val="nil"/>
                <w:left w:val="nil"/>
                <w:bottom w:val="nil"/>
                <w:right w:val="nil"/>
                <w:between w:val="nil"/>
              </w:pBdr>
              <w:jc w:val="right"/>
              <w:rPr>
                <w:b/>
                <w:color w:val="000000"/>
              </w:rPr>
            </w:pPr>
          </w:p>
        </w:tc>
        <w:tc>
          <w:tcPr>
            <w:tcW w:w="383" w:type="pct"/>
            <w:tcBorders>
              <w:bottom w:val="single" w:sz="4" w:space="0" w:color="000000"/>
            </w:tcBorders>
            <w:vAlign w:val="bottom"/>
          </w:tcPr>
          <w:p w14:paraId="48CCF1F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0D5E27E4" w14:textId="77777777" w:rsidTr="001B330E">
        <w:trPr>
          <w:trHeight w:val="23"/>
        </w:trPr>
        <w:tc>
          <w:tcPr>
            <w:tcW w:w="1732" w:type="pct"/>
            <w:gridSpan w:val="2"/>
            <w:tcBorders>
              <w:top w:val="single" w:sz="4" w:space="0" w:color="000000"/>
            </w:tcBorders>
            <w:vAlign w:val="bottom"/>
          </w:tcPr>
          <w:p w14:paraId="580475EE" w14:textId="77777777" w:rsidR="00D83E33" w:rsidRPr="00EA10CF" w:rsidRDefault="00BC4072">
            <w:pPr>
              <w:widowControl w:val="0"/>
            </w:pPr>
            <w:r w:rsidRPr="00EA10CF">
              <w:rPr>
                <w:b/>
              </w:rPr>
              <w:t> </w:t>
            </w:r>
          </w:p>
        </w:tc>
        <w:tc>
          <w:tcPr>
            <w:tcW w:w="676" w:type="pct"/>
            <w:tcBorders>
              <w:top w:val="single" w:sz="4" w:space="0" w:color="000000"/>
            </w:tcBorders>
            <w:vAlign w:val="bottom"/>
          </w:tcPr>
          <w:p w14:paraId="3E2D0AB2"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tcBorders>
              <w:top w:val="single" w:sz="4" w:space="0" w:color="000000"/>
            </w:tcBorders>
            <w:vAlign w:val="bottom"/>
          </w:tcPr>
          <w:p w14:paraId="61002355" w14:textId="77777777" w:rsidR="00D83E33" w:rsidRPr="00EA10CF" w:rsidRDefault="00D83E33">
            <w:pPr>
              <w:widowControl w:val="0"/>
              <w:pBdr>
                <w:top w:val="nil"/>
                <w:left w:val="nil"/>
                <w:bottom w:val="nil"/>
                <w:right w:val="nil"/>
                <w:between w:val="nil"/>
              </w:pBdr>
              <w:jc w:val="right"/>
              <w:rPr>
                <w:b/>
                <w:color w:val="000000"/>
              </w:rPr>
            </w:pPr>
          </w:p>
        </w:tc>
        <w:tc>
          <w:tcPr>
            <w:tcW w:w="543" w:type="pct"/>
            <w:tcBorders>
              <w:top w:val="single" w:sz="4" w:space="0" w:color="000000"/>
            </w:tcBorders>
            <w:vAlign w:val="bottom"/>
          </w:tcPr>
          <w:p w14:paraId="5D585775"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tcBorders>
              <w:top w:val="single" w:sz="4" w:space="0" w:color="000000"/>
            </w:tcBorders>
            <w:vAlign w:val="bottom"/>
          </w:tcPr>
          <w:p w14:paraId="21200CB5"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top w:val="single" w:sz="4" w:space="0" w:color="000000"/>
            </w:tcBorders>
            <w:vAlign w:val="bottom"/>
          </w:tcPr>
          <w:p w14:paraId="65943020" w14:textId="77777777" w:rsidR="00D83E33" w:rsidRPr="00EA10CF" w:rsidRDefault="00D83E33">
            <w:pPr>
              <w:widowControl w:val="0"/>
              <w:pBdr>
                <w:top w:val="nil"/>
                <w:left w:val="nil"/>
                <w:bottom w:val="nil"/>
                <w:right w:val="nil"/>
                <w:between w:val="nil"/>
              </w:pBdr>
              <w:jc w:val="right"/>
              <w:rPr>
                <w:b/>
                <w:color w:val="000000"/>
              </w:rPr>
            </w:pPr>
          </w:p>
        </w:tc>
        <w:tc>
          <w:tcPr>
            <w:tcW w:w="383" w:type="pct"/>
            <w:tcBorders>
              <w:top w:val="single" w:sz="4" w:space="0" w:color="000000"/>
            </w:tcBorders>
            <w:vAlign w:val="bottom"/>
          </w:tcPr>
          <w:p w14:paraId="01073A8F"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580DD11" w14:textId="77777777" w:rsidTr="001B330E">
        <w:trPr>
          <w:trHeight w:val="23"/>
        </w:trPr>
        <w:tc>
          <w:tcPr>
            <w:tcW w:w="1732" w:type="pct"/>
            <w:gridSpan w:val="2"/>
            <w:vAlign w:val="bottom"/>
          </w:tcPr>
          <w:p w14:paraId="702D022F"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potential cash outflows</w:t>
            </w:r>
          </w:p>
        </w:tc>
        <w:tc>
          <w:tcPr>
            <w:tcW w:w="676" w:type="pct"/>
            <w:vAlign w:val="bottom"/>
          </w:tcPr>
          <w:p w14:paraId="09B9BECD"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35D961C4"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6F8864E2"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5E931348"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4B57A1A0"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7BE04340"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5A4FB6A" w14:textId="77777777" w:rsidTr="001B330E">
        <w:trPr>
          <w:trHeight w:val="23"/>
        </w:trPr>
        <w:tc>
          <w:tcPr>
            <w:tcW w:w="1251" w:type="pct"/>
            <w:tcBorders>
              <w:bottom w:val="single" w:sz="12" w:space="0" w:color="000000"/>
            </w:tcBorders>
            <w:vAlign w:val="bottom"/>
          </w:tcPr>
          <w:p w14:paraId="1BADC7E5" w14:textId="77777777" w:rsidR="00D83E33" w:rsidRPr="00EA10CF" w:rsidRDefault="00BC4072">
            <w:pPr>
              <w:widowControl w:val="0"/>
            </w:pPr>
            <w:r w:rsidRPr="00EA10CF">
              <w:rPr>
                <w:b/>
              </w:rPr>
              <w:t> </w:t>
            </w:r>
          </w:p>
        </w:tc>
        <w:tc>
          <w:tcPr>
            <w:tcW w:w="1375" w:type="pct"/>
            <w:gridSpan w:val="3"/>
            <w:tcBorders>
              <w:bottom w:val="single" w:sz="12" w:space="0" w:color="000000"/>
            </w:tcBorders>
            <w:vAlign w:val="bottom"/>
          </w:tcPr>
          <w:p w14:paraId="74DA5330" w14:textId="77777777" w:rsidR="00D83E33" w:rsidRPr="00EA10CF" w:rsidRDefault="00D83E33">
            <w:pPr>
              <w:widowControl w:val="0"/>
              <w:pBdr>
                <w:top w:val="nil"/>
                <w:left w:val="nil"/>
                <w:bottom w:val="nil"/>
                <w:right w:val="nil"/>
                <w:between w:val="nil"/>
              </w:pBdr>
              <w:rPr>
                <w:b/>
                <w:color w:val="000000"/>
              </w:rPr>
            </w:pPr>
          </w:p>
        </w:tc>
        <w:tc>
          <w:tcPr>
            <w:tcW w:w="1276" w:type="pct"/>
            <w:gridSpan w:val="3"/>
            <w:tcBorders>
              <w:bottom w:val="single" w:sz="12" w:space="0" w:color="000000"/>
            </w:tcBorders>
            <w:vAlign w:val="bottom"/>
          </w:tcPr>
          <w:p w14:paraId="76B63EB6" w14:textId="77777777" w:rsidR="00D83E33" w:rsidRPr="00EA10CF" w:rsidRDefault="00D83E33">
            <w:pPr>
              <w:widowControl w:val="0"/>
              <w:pBdr>
                <w:top w:val="nil"/>
                <w:left w:val="nil"/>
                <w:bottom w:val="nil"/>
                <w:right w:val="nil"/>
                <w:between w:val="nil"/>
              </w:pBdr>
              <w:jc w:val="right"/>
              <w:rPr>
                <w:b/>
                <w:color w:val="000000"/>
              </w:rPr>
            </w:pPr>
          </w:p>
        </w:tc>
        <w:tc>
          <w:tcPr>
            <w:tcW w:w="1098" w:type="pct"/>
            <w:gridSpan w:val="3"/>
            <w:tcBorders>
              <w:bottom w:val="single" w:sz="12" w:space="0" w:color="000000"/>
            </w:tcBorders>
            <w:vAlign w:val="bottom"/>
          </w:tcPr>
          <w:p w14:paraId="4890CA12"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1C3B867" w14:textId="77777777" w:rsidTr="001B330E">
        <w:trPr>
          <w:trHeight w:val="23"/>
        </w:trPr>
        <w:tc>
          <w:tcPr>
            <w:tcW w:w="1732" w:type="pct"/>
            <w:gridSpan w:val="2"/>
            <w:vAlign w:val="bottom"/>
          </w:tcPr>
          <w:p w14:paraId="554DFA68" w14:textId="77777777" w:rsidR="00D83E33" w:rsidRPr="00EA10CF" w:rsidRDefault="00BC4072">
            <w:pPr>
              <w:widowControl w:val="0"/>
              <w:pBdr>
                <w:top w:val="nil"/>
                <w:left w:val="nil"/>
                <w:bottom w:val="nil"/>
                <w:right w:val="nil"/>
                <w:between w:val="nil"/>
              </w:pBdr>
              <w:rPr>
                <w:b/>
                <w:color w:val="000000"/>
              </w:rPr>
            </w:pPr>
            <w:r w:rsidRPr="00EA10CF">
              <w:rPr>
                <w:color w:val="000000"/>
              </w:rPr>
              <w:t> </w:t>
            </w:r>
          </w:p>
        </w:tc>
        <w:tc>
          <w:tcPr>
            <w:tcW w:w="676" w:type="pct"/>
            <w:vAlign w:val="bottom"/>
          </w:tcPr>
          <w:p w14:paraId="2B8C4D03"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40732EC7"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1DD65519"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428B5A87"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771CBA97"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242F32FC"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38A7A66" w14:textId="77777777" w:rsidTr="001B330E">
        <w:trPr>
          <w:trHeight w:val="23"/>
        </w:trPr>
        <w:tc>
          <w:tcPr>
            <w:tcW w:w="1732" w:type="pct"/>
            <w:gridSpan w:val="2"/>
            <w:vAlign w:val="bottom"/>
          </w:tcPr>
          <w:p w14:paraId="0C860C81" w14:textId="10BB531E" w:rsidR="00D83E33" w:rsidRPr="00EA10CF" w:rsidRDefault="00BC4072">
            <w:pPr>
              <w:widowControl w:val="0"/>
              <w:pBdr>
                <w:top w:val="nil"/>
                <w:left w:val="nil"/>
                <w:bottom w:val="nil"/>
                <w:right w:val="nil"/>
                <w:between w:val="nil"/>
              </w:pBdr>
              <w:rPr>
                <w:b/>
                <w:color w:val="000000"/>
              </w:rPr>
            </w:pPr>
            <w:r w:rsidRPr="00EA10CF">
              <w:rPr>
                <w:b/>
                <w:color w:val="000000"/>
              </w:rPr>
              <w:t>At 31</w:t>
            </w:r>
            <w:r w:rsidR="00181687">
              <w:rPr>
                <w:b/>
                <w:color w:val="000000"/>
              </w:rPr>
              <w:t> December </w:t>
            </w:r>
            <w:r w:rsidR="00541EBC">
              <w:rPr>
                <w:b/>
                <w:color w:val="000000"/>
              </w:rPr>
              <w:t>2023</w:t>
            </w:r>
          </w:p>
        </w:tc>
        <w:tc>
          <w:tcPr>
            <w:tcW w:w="676" w:type="pct"/>
            <w:vAlign w:val="bottom"/>
          </w:tcPr>
          <w:p w14:paraId="0D9A767A"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79BFCFFA"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4E9AA9B9"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1E6DFA72"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7C2DB1E4"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000E66C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46F7D26" w14:textId="77777777" w:rsidTr="001B330E">
        <w:trPr>
          <w:trHeight w:val="23"/>
        </w:trPr>
        <w:tc>
          <w:tcPr>
            <w:tcW w:w="1732" w:type="pct"/>
            <w:gridSpan w:val="2"/>
            <w:vAlign w:val="bottom"/>
          </w:tcPr>
          <w:p w14:paraId="3286702D"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76" w:type="pct"/>
            <w:vAlign w:val="bottom"/>
          </w:tcPr>
          <w:p w14:paraId="6A8A3CA5"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54457F06"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0926F767"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36EDE550"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5F82FF0F"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3F7FC9DA"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A61A6BB" w14:textId="77777777" w:rsidTr="001B330E">
        <w:trPr>
          <w:trHeight w:val="23"/>
        </w:trPr>
        <w:tc>
          <w:tcPr>
            <w:tcW w:w="1732" w:type="pct"/>
            <w:gridSpan w:val="2"/>
            <w:vAlign w:val="bottom"/>
          </w:tcPr>
          <w:p w14:paraId="6420E32F" w14:textId="77777777" w:rsidR="00D83E33" w:rsidRPr="00EA10CF" w:rsidRDefault="00BC4072">
            <w:pPr>
              <w:widowControl w:val="0"/>
              <w:pBdr>
                <w:top w:val="nil"/>
                <w:left w:val="nil"/>
                <w:bottom w:val="nil"/>
                <w:right w:val="nil"/>
                <w:between w:val="nil"/>
              </w:pBdr>
              <w:rPr>
                <w:color w:val="000000"/>
              </w:rPr>
            </w:pPr>
            <w:r w:rsidRPr="00EA10CF">
              <w:rPr>
                <w:color w:val="000000"/>
              </w:rPr>
              <w:t>Written put options</w:t>
            </w:r>
          </w:p>
        </w:tc>
        <w:tc>
          <w:tcPr>
            <w:tcW w:w="676" w:type="pct"/>
            <w:vAlign w:val="bottom"/>
          </w:tcPr>
          <w:p w14:paraId="5CB86DBF"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2A5712E7"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697CEB93"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7866676D"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0B9AB890"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49A71872"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3B5736C" w14:textId="77777777" w:rsidTr="001B330E">
        <w:trPr>
          <w:trHeight w:val="23"/>
        </w:trPr>
        <w:tc>
          <w:tcPr>
            <w:tcW w:w="1732" w:type="pct"/>
            <w:gridSpan w:val="2"/>
            <w:vAlign w:val="bottom"/>
          </w:tcPr>
          <w:p w14:paraId="7F461B30" w14:textId="77777777" w:rsidR="00D83E33" w:rsidRPr="00EA10CF" w:rsidRDefault="00BC4072">
            <w:pPr>
              <w:widowControl w:val="0"/>
              <w:pBdr>
                <w:top w:val="nil"/>
                <w:left w:val="nil"/>
                <w:bottom w:val="nil"/>
                <w:right w:val="nil"/>
                <w:between w:val="nil"/>
              </w:pBdr>
              <w:rPr>
                <w:color w:val="000000"/>
              </w:rPr>
            </w:pPr>
            <w:r w:rsidRPr="00EA10CF">
              <w:rPr>
                <w:color w:val="000000"/>
              </w:rPr>
              <w:t>Purchased call options</w:t>
            </w:r>
          </w:p>
        </w:tc>
        <w:tc>
          <w:tcPr>
            <w:tcW w:w="676" w:type="pct"/>
            <w:vAlign w:val="bottom"/>
          </w:tcPr>
          <w:p w14:paraId="3F8DF6AD"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443D169A"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7698DDEB"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6186879D"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010D8CFF"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7FE6C8E2"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6AF951F" w14:textId="77777777" w:rsidTr="001B330E">
        <w:trPr>
          <w:trHeight w:val="23"/>
        </w:trPr>
        <w:tc>
          <w:tcPr>
            <w:tcW w:w="1732" w:type="pct"/>
            <w:gridSpan w:val="2"/>
            <w:vAlign w:val="bottom"/>
          </w:tcPr>
          <w:p w14:paraId="7319DC36" w14:textId="77777777" w:rsidR="00D83E33" w:rsidRPr="00EA10CF" w:rsidRDefault="00BC4072">
            <w:pPr>
              <w:widowControl w:val="0"/>
              <w:pBdr>
                <w:top w:val="nil"/>
                <w:left w:val="nil"/>
                <w:bottom w:val="nil"/>
                <w:right w:val="nil"/>
                <w:between w:val="nil"/>
              </w:pBdr>
              <w:rPr>
                <w:color w:val="000000"/>
              </w:rPr>
            </w:pPr>
            <w:r w:rsidRPr="00EA10CF">
              <w:rPr>
                <w:color w:val="000000"/>
              </w:rPr>
              <w:t>Late payment risk guarantee</w:t>
            </w:r>
          </w:p>
        </w:tc>
        <w:tc>
          <w:tcPr>
            <w:tcW w:w="676" w:type="pct"/>
            <w:vAlign w:val="bottom"/>
          </w:tcPr>
          <w:p w14:paraId="4221E5A0"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2972F515"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3A30E4D2"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00C71CFE"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71AFE16F"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0368632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FAE2E1B" w14:textId="77777777" w:rsidTr="001B330E">
        <w:trPr>
          <w:trHeight w:val="23"/>
        </w:trPr>
        <w:tc>
          <w:tcPr>
            <w:tcW w:w="1732" w:type="pct"/>
            <w:gridSpan w:val="2"/>
            <w:tcBorders>
              <w:bottom w:val="single" w:sz="4" w:space="0" w:color="000000"/>
            </w:tcBorders>
            <w:vAlign w:val="bottom"/>
          </w:tcPr>
          <w:p w14:paraId="28F89F94" w14:textId="77777777" w:rsidR="00D83E33" w:rsidRPr="00EA10CF" w:rsidRDefault="00BC4072">
            <w:pPr>
              <w:widowControl w:val="0"/>
              <w:pBdr>
                <w:top w:val="nil"/>
                <w:left w:val="nil"/>
                <w:bottom w:val="nil"/>
                <w:right w:val="nil"/>
                <w:between w:val="nil"/>
              </w:pBdr>
              <w:rPr>
                <w:b/>
                <w:color w:val="000000"/>
              </w:rPr>
            </w:pPr>
            <w:r w:rsidRPr="00EA10CF">
              <w:rPr>
                <w:color w:val="000000"/>
              </w:rPr>
              <w:t> </w:t>
            </w:r>
          </w:p>
        </w:tc>
        <w:tc>
          <w:tcPr>
            <w:tcW w:w="676" w:type="pct"/>
            <w:tcBorders>
              <w:bottom w:val="single" w:sz="4" w:space="0" w:color="000000"/>
            </w:tcBorders>
            <w:vAlign w:val="bottom"/>
          </w:tcPr>
          <w:p w14:paraId="650EB805"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tcBorders>
              <w:bottom w:val="single" w:sz="4" w:space="0" w:color="000000"/>
            </w:tcBorders>
            <w:vAlign w:val="bottom"/>
          </w:tcPr>
          <w:p w14:paraId="00B68E0F" w14:textId="77777777" w:rsidR="00D83E33" w:rsidRPr="00EA10CF" w:rsidRDefault="00D83E33">
            <w:pPr>
              <w:widowControl w:val="0"/>
              <w:pBdr>
                <w:top w:val="nil"/>
                <w:left w:val="nil"/>
                <w:bottom w:val="nil"/>
                <w:right w:val="nil"/>
                <w:between w:val="nil"/>
              </w:pBdr>
              <w:jc w:val="right"/>
              <w:rPr>
                <w:b/>
                <w:color w:val="000000"/>
              </w:rPr>
            </w:pPr>
          </w:p>
        </w:tc>
        <w:tc>
          <w:tcPr>
            <w:tcW w:w="543" w:type="pct"/>
            <w:tcBorders>
              <w:bottom w:val="single" w:sz="4" w:space="0" w:color="000000"/>
            </w:tcBorders>
            <w:vAlign w:val="bottom"/>
          </w:tcPr>
          <w:p w14:paraId="76747AB0"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tcBorders>
              <w:bottom w:val="single" w:sz="4" w:space="0" w:color="000000"/>
            </w:tcBorders>
            <w:vAlign w:val="bottom"/>
          </w:tcPr>
          <w:p w14:paraId="6D939657"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bottom w:val="single" w:sz="4" w:space="0" w:color="000000"/>
            </w:tcBorders>
            <w:vAlign w:val="bottom"/>
          </w:tcPr>
          <w:p w14:paraId="51FB7C45" w14:textId="77777777" w:rsidR="00D83E33" w:rsidRPr="00EA10CF" w:rsidRDefault="00D83E33">
            <w:pPr>
              <w:widowControl w:val="0"/>
              <w:pBdr>
                <w:top w:val="nil"/>
                <w:left w:val="nil"/>
                <w:bottom w:val="nil"/>
                <w:right w:val="nil"/>
                <w:between w:val="nil"/>
              </w:pBdr>
              <w:jc w:val="right"/>
              <w:rPr>
                <w:b/>
                <w:color w:val="000000"/>
              </w:rPr>
            </w:pPr>
          </w:p>
        </w:tc>
        <w:tc>
          <w:tcPr>
            <w:tcW w:w="383" w:type="pct"/>
            <w:tcBorders>
              <w:bottom w:val="single" w:sz="4" w:space="0" w:color="000000"/>
            </w:tcBorders>
            <w:vAlign w:val="bottom"/>
          </w:tcPr>
          <w:p w14:paraId="37DB35DD"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4AC7D6C" w14:textId="77777777" w:rsidTr="001B330E">
        <w:trPr>
          <w:trHeight w:val="23"/>
        </w:trPr>
        <w:tc>
          <w:tcPr>
            <w:tcW w:w="1732" w:type="pct"/>
            <w:gridSpan w:val="2"/>
            <w:tcBorders>
              <w:top w:val="single" w:sz="4" w:space="0" w:color="000000"/>
            </w:tcBorders>
            <w:vAlign w:val="bottom"/>
          </w:tcPr>
          <w:p w14:paraId="082BC550" w14:textId="77777777" w:rsidR="00D83E33" w:rsidRPr="00EA10CF" w:rsidRDefault="00BC4072">
            <w:pPr>
              <w:widowControl w:val="0"/>
            </w:pPr>
            <w:r w:rsidRPr="00EA10CF">
              <w:rPr>
                <w:b/>
              </w:rPr>
              <w:t> </w:t>
            </w:r>
          </w:p>
        </w:tc>
        <w:tc>
          <w:tcPr>
            <w:tcW w:w="676" w:type="pct"/>
            <w:tcBorders>
              <w:top w:val="single" w:sz="4" w:space="0" w:color="000000"/>
            </w:tcBorders>
            <w:vAlign w:val="bottom"/>
          </w:tcPr>
          <w:p w14:paraId="123D3926"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tcBorders>
              <w:top w:val="single" w:sz="4" w:space="0" w:color="000000"/>
            </w:tcBorders>
            <w:vAlign w:val="bottom"/>
          </w:tcPr>
          <w:p w14:paraId="51C62B4A" w14:textId="77777777" w:rsidR="00D83E33" w:rsidRPr="00EA10CF" w:rsidRDefault="00D83E33">
            <w:pPr>
              <w:widowControl w:val="0"/>
              <w:pBdr>
                <w:top w:val="nil"/>
                <w:left w:val="nil"/>
                <w:bottom w:val="nil"/>
                <w:right w:val="nil"/>
                <w:between w:val="nil"/>
              </w:pBdr>
              <w:jc w:val="right"/>
              <w:rPr>
                <w:b/>
                <w:color w:val="000000"/>
              </w:rPr>
            </w:pPr>
          </w:p>
        </w:tc>
        <w:tc>
          <w:tcPr>
            <w:tcW w:w="543" w:type="pct"/>
            <w:tcBorders>
              <w:top w:val="single" w:sz="4" w:space="0" w:color="000000"/>
            </w:tcBorders>
            <w:vAlign w:val="bottom"/>
          </w:tcPr>
          <w:p w14:paraId="3A779079"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tcBorders>
              <w:top w:val="single" w:sz="4" w:space="0" w:color="000000"/>
            </w:tcBorders>
            <w:vAlign w:val="bottom"/>
          </w:tcPr>
          <w:p w14:paraId="17EE3C97"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top w:val="single" w:sz="4" w:space="0" w:color="000000"/>
            </w:tcBorders>
            <w:vAlign w:val="bottom"/>
          </w:tcPr>
          <w:p w14:paraId="29971D09" w14:textId="77777777" w:rsidR="00D83E33" w:rsidRPr="00EA10CF" w:rsidRDefault="00D83E33">
            <w:pPr>
              <w:widowControl w:val="0"/>
              <w:pBdr>
                <w:top w:val="nil"/>
                <w:left w:val="nil"/>
                <w:bottom w:val="nil"/>
                <w:right w:val="nil"/>
                <w:between w:val="nil"/>
              </w:pBdr>
              <w:jc w:val="right"/>
              <w:rPr>
                <w:b/>
                <w:color w:val="000000"/>
              </w:rPr>
            </w:pPr>
          </w:p>
        </w:tc>
        <w:tc>
          <w:tcPr>
            <w:tcW w:w="383" w:type="pct"/>
            <w:tcBorders>
              <w:top w:val="single" w:sz="4" w:space="0" w:color="000000"/>
            </w:tcBorders>
            <w:vAlign w:val="bottom"/>
          </w:tcPr>
          <w:p w14:paraId="2541B43E"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2882EF5F" w14:textId="77777777" w:rsidTr="001B330E">
        <w:trPr>
          <w:trHeight w:val="23"/>
        </w:trPr>
        <w:tc>
          <w:tcPr>
            <w:tcW w:w="1732" w:type="pct"/>
            <w:gridSpan w:val="2"/>
            <w:vAlign w:val="bottom"/>
          </w:tcPr>
          <w:p w14:paraId="48547C57" w14:textId="77777777" w:rsidR="00D83E33" w:rsidRPr="00EA10CF" w:rsidRDefault="00BC4072">
            <w:pPr>
              <w:widowControl w:val="0"/>
              <w:pBdr>
                <w:top w:val="nil"/>
                <w:left w:val="nil"/>
                <w:bottom w:val="nil"/>
                <w:right w:val="nil"/>
                <w:between w:val="nil"/>
              </w:pBdr>
              <w:rPr>
                <w:b/>
                <w:color w:val="000000"/>
              </w:rPr>
            </w:pPr>
            <w:r w:rsidRPr="00EA10CF">
              <w:rPr>
                <w:b/>
                <w:color w:val="000000"/>
              </w:rPr>
              <w:t>Total potential cash outflows</w:t>
            </w:r>
          </w:p>
        </w:tc>
        <w:tc>
          <w:tcPr>
            <w:tcW w:w="676" w:type="pct"/>
            <w:vAlign w:val="bottom"/>
          </w:tcPr>
          <w:p w14:paraId="6C32E2DB" w14:textId="77777777" w:rsidR="00D83E33" w:rsidRPr="00EA10CF" w:rsidRDefault="00D83E33">
            <w:pPr>
              <w:widowControl w:val="0"/>
              <w:pBdr>
                <w:top w:val="nil"/>
                <w:left w:val="nil"/>
                <w:bottom w:val="nil"/>
                <w:right w:val="nil"/>
                <w:between w:val="nil"/>
              </w:pBdr>
              <w:jc w:val="right"/>
              <w:rPr>
                <w:b/>
                <w:color w:val="000000"/>
              </w:rPr>
            </w:pPr>
          </w:p>
        </w:tc>
        <w:tc>
          <w:tcPr>
            <w:tcW w:w="537" w:type="pct"/>
            <w:gridSpan w:val="2"/>
            <w:vAlign w:val="bottom"/>
          </w:tcPr>
          <w:p w14:paraId="7735CFCF"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667239E6" w14:textId="77777777" w:rsidR="00D83E33" w:rsidRPr="00EA10CF" w:rsidRDefault="00D83E33">
            <w:pPr>
              <w:widowControl w:val="0"/>
              <w:pBdr>
                <w:top w:val="nil"/>
                <w:left w:val="nil"/>
                <w:bottom w:val="nil"/>
                <w:right w:val="nil"/>
                <w:between w:val="nil"/>
              </w:pBdr>
              <w:jc w:val="right"/>
              <w:rPr>
                <w:b/>
                <w:color w:val="000000"/>
              </w:rPr>
            </w:pPr>
          </w:p>
        </w:tc>
        <w:tc>
          <w:tcPr>
            <w:tcW w:w="588" w:type="pct"/>
            <w:gridSpan w:val="2"/>
            <w:vAlign w:val="bottom"/>
          </w:tcPr>
          <w:p w14:paraId="47241694"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4E83066E" w14:textId="77777777" w:rsidR="00D83E33" w:rsidRPr="00EA10CF" w:rsidRDefault="00D83E33">
            <w:pPr>
              <w:widowControl w:val="0"/>
              <w:pBdr>
                <w:top w:val="nil"/>
                <w:left w:val="nil"/>
                <w:bottom w:val="nil"/>
                <w:right w:val="nil"/>
                <w:between w:val="nil"/>
              </w:pBdr>
              <w:jc w:val="right"/>
              <w:rPr>
                <w:b/>
                <w:color w:val="000000"/>
              </w:rPr>
            </w:pPr>
          </w:p>
        </w:tc>
        <w:tc>
          <w:tcPr>
            <w:tcW w:w="383" w:type="pct"/>
            <w:vAlign w:val="bottom"/>
          </w:tcPr>
          <w:p w14:paraId="139A7B90"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1396E647" w14:textId="77777777" w:rsidTr="001B330E">
        <w:trPr>
          <w:trHeight w:val="23"/>
        </w:trPr>
        <w:tc>
          <w:tcPr>
            <w:tcW w:w="1251" w:type="pct"/>
            <w:tcBorders>
              <w:bottom w:val="single" w:sz="12" w:space="0" w:color="000000"/>
            </w:tcBorders>
            <w:vAlign w:val="bottom"/>
          </w:tcPr>
          <w:p w14:paraId="4225E1DC" w14:textId="77777777" w:rsidR="00D83E33" w:rsidRPr="00EA10CF" w:rsidRDefault="00BC4072">
            <w:pPr>
              <w:widowControl w:val="0"/>
            </w:pPr>
            <w:r w:rsidRPr="00EA10CF">
              <w:rPr>
                <w:b/>
              </w:rPr>
              <w:t> </w:t>
            </w:r>
          </w:p>
        </w:tc>
        <w:tc>
          <w:tcPr>
            <w:tcW w:w="1375" w:type="pct"/>
            <w:gridSpan w:val="3"/>
            <w:tcBorders>
              <w:bottom w:val="single" w:sz="12" w:space="0" w:color="000000"/>
            </w:tcBorders>
            <w:vAlign w:val="bottom"/>
          </w:tcPr>
          <w:p w14:paraId="4256804D" w14:textId="77777777" w:rsidR="00D83E33" w:rsidRPr="00EA10CF" w:rsidRDefault="00D83E33">
            <w:pPr>
              <w:widowControl w:val="0"/>
              <w:pBdr>
                <w:top w:val="nil"/>
                <w:left w:val="nil"/>
                <w:bottom w:val="nil"/>
                <w:right w:val="nil"/>
                <w:between w:val="nil"/>
              </w:pBdr>
              <w:rPr>
                <w:b/>
                <w:color w:val="000000"/>
              </w:rPr>
            </w:pPr>
          </w:p>
        </w:tc>
        <w:tc>
          <w:tcPr>
            <w:tcW w:w="1276" w:type="pct"/>
            <w:gridSpan w:val="3"/>
            <w:tcBorders>
              <w:bottom w:val="single" w:sz="12" w:space="0" w:color="000000"/>
            </w:tcBorders>
            <w:vAlign w:val="bottom"/>
          </w:tcPr>
          <w:p w14:paraId="0B84D97A" w14:textId="77777777" w:rsidR="00D83E33" w:rsidRPr="00EA10CF" w:rsidRDefault="00D83E33">
            <w:pPr>
              <w:widowControl w:val="0"/>
              <w:pBdr>
                <w:top w:val="nil"/>
                <w:left w:val="nil"/>
                <w:bottom w:val="nil"/>
                <w:right w:val="nil"/>
                <w:between w:val="nil"/>
              </w:pBdr>
              <w:jc w:val="right"/>
              <w:rPr>
                <w:b/>
                <w:color w:val="000000"/>
              </w:rPr>
            </w:pPr>
          </w:p>
        </w:tc>
        <w:tc>
          <w:tcPr>
            <w:tcW w:w="1098" w:type="pct"/>
            <w:gridSpan w:val="3"/>
            <w:tcBorders>
              <w:bottom w:val="single" w:sz="12" w:space="0" w:color="000000"/>
            </w:tcBorders>
            <w:vAlign w:val="bottom"/>
          </w:tcPr>
          <w:p w14:paraId="0297C616" w14:textId="77777777" w:rsidR="00D83E33" w:rsidRPr="00EA10CF" w:rsidRDefault="00D83E33">
            <w:pPr>
              <w:widowControl w:val="0"/>
              <w:pBdr>
                <w:top w:val="nil"/>
                <w:left w:val="nil"/>
                <w:bottom w:val="nil"/>
                <w:right w:val="nil"/>
                <w:between w:val="nil"/>
              </w:pBdr>
              <w:jc w:val="right"/>
              <w:rPr>
                <w:b/>
                <w:color w:val="000000"/>
              </w:rPr>
            </w:pPr>
          </w:p>
        </w:tc>
      </w:tr>
    </w:tbl>
    <w:p w14:paraId="1F0CF2B0" w14:textId="4879A7C6" w:rsidR="00D83E33" w:rsidRPr="001B330E" w:rsidRDefault="00BC4072" w:rsidP="001B330E">
      <w:pPr>
        <w:pStyle w:val="Continued"/>
        <w:rPr>
          <w:b w:val="0"/>
          <w:spacing w:val="-2"/>
        </w:rPr>
      </w:pPr>
      <w:r>
        <w:lastRenderedPageBreak/>
        <w:t>47</w:t>
      </w:r>
      <w:r>
        <w:tab/>
      </w:r>
      <w:r w:rsidRPr="001B330E">
        <w:rPr>
          <w:spacing w:val="-2"/>
        </w:rPr>
        <w:t>Transfers of Financial Assets (Continued)</w:t>
      </w:r>
    </w:p>
    <w:p w14:paraId="4EC6F997" w14:textId="77777777" w:rsidR="00D83E33" w:rsidRPr="001B330E" w:rsidRDefault="00BC4072" w:rsidP="001B330E">
      <w:pPr>
        <w:widowControl w:val="0"/>
        <w:spacing w:before="200" w:after="200"/>
        <w:jc w:val="both"/>
        <w:rPr>
          <w:b/>
          <w:i/>
          <w:spacing w:val="-2"/>
          <w:sz w:val="20"/>
          <w:szCs w:val="20"/>
        </w:rPr>
      </w:pPr>
      <w:r w:rsidRPr="001B330E">
        <w:rPr>
          <w:spacing w:val="-2"/>
          <w:sz w:val="20"/>
          <w:szCs w:val="20"/>
        </w:rPr>
        <w:t xml:space="preserve">The following schedule presents gains less losses recognised on the date of transfer, subsequent gains or losses recognised on the continuing involvement and the cumulative amount of the gains or losses. The analysis is provided by type of continuing involvement. </w:t>
      </w:r>
    </w:p>
    <w:tbl>
      <w:tblPr>
        <w:tblStyle w:val="affffffffffffffff0"/>
        <w:tblW w:w="5000" w:type="pct"/>
        <w:tblLayout w:type="fixed"/>
        <w:tblLook w:val="0000" w:firstRow="0" w:lastRow="0" w:firstColumn="0" w:lastColumn="0" w:noHBand="0" w:noVBand="0"/>
      </w:tblPr>
      <w:tblGrid>
        <w:gridCol w:w="2267"/>
        <w:gridCol w:w="1181"/>
        <w:gridCol w:w="1181"/>
        <w:gridCol w:w="1182"/>
        <w:gridCol w:w="1181"/>
        <w:gridCol w:w="1181"/>
        <w:gridCol w:w="1182"/>
      </w:tblGrid>
      <w:tr w:rsidR="00D83E33" w:rsidRPr="005C4425" w14:paraId="00F3F06C" w14:textId="77777777" w:rsidTr="001B330E">
        <w:trPr>
          <w:trHeight w:val="23"/>
        </w:trPr>
        <w:tc>
          <w:tcPr>
            <w:tcW w:w="1212" w:type="pct"/>
            <w:vAlign w:val="bottom"/>
          </w:tcPr>
          <w:p w14:paraId="426203C7" w14:textId="77777777" w:rsidR="00D83E33" w:rsidRPr="001B330E" w:rsidRDefault="00D83E33" w:rsidP="001B330E">
            <w:pPr>
              <w:widowControl w:val="0"/>
              <w:pBdr>
                <w:top w:val="nil"/>
                <w:left w:val="nil"/>
                <w:bottom w:val="nil"/>
                <w:right w:val="nil"/>
                <w:between w:val="nil"/>
              </w:pBdr>
              <w:ind w:left="113" w:hanging="113"/>
              <w:rPr>
                <w:i/>
                <w:color w:val="000000"/>
                <w:spacing w:val="-4"/>
              </w:rPr>
            </w:pPr>
          </w:p>
        </w:tc>
        <w:tc>
          <w:tcPr>
            <w:tcW w:w="1894" w:type="pct"/>
            <w:gridSpan w:val="3"/>
            <w:tcBorders>
              <w:bottom w:val="single" w:sz="4" w:space="0" w:color="000000"/>
            </w:tcBorders>
            <w:vAlign w:val="bottom"/>
          </w:tcPr>
          <w:p w14:paraId="4537AEAD" w14:textId="7D705686" w:rsidR="00D83E33" w:rsidRPr="001B330E" w:rsidRDefault="00BC4072" w:rsidP="001B330E">
            <w:pPr>
              <w:widowControl w:val="0"/>
              <w:pBdr>
                <w:top w:val="nil"/>
                <w:left w:val="nil"/>
                <w:bottom w:val="nil"/>
                <w:right w:val="nil"/>
                <w:between w:val="nil"/>
              </w:pBdr>
              <w:ind w:hanging="113"/>
              <w:jc w:val="center"/>
              <w:rPr>
                <w:color w:val="000000"/>
                <w:spacing w:val="-4"/>
              </w:rPr>
            </w:pPr>
            <w:r w:rsidRPr="001B330E">
              <w:rPr>
                <w:b/>
                <w:color w:val="000000"/>
                <w:spacing w:val="-4"/>
              </w:rPr>
              <w:t>Year ended 31</w:t>
            </w:r>
            <w:r w:rsidR="00181687" w:rsidRPr="001B330E">
              <w:rPr>
                <w:b/>
                <w:color w:val="000000"/>
                <w:spacing w:val="-4"/>
              </w:rPr>
              <w:t> December </w:t>
            </w:r>
            <w:r w:rsidR="00541EBC">
              <w:rPr>
                <w:b/>
                <w:color w:val="000000"/>
                <w:spacing w:val="-4"/>
              </w:rPr>
              <w:t>2024</w:t>
            </w:r>
          </w:p>
        </w:tc>
        <w:tc>
          <w:tcPr>
            <w:tcW w:w="1894" w:type="pct"/>
            <w:gridSpan w:val="3"/>
            <w:tcBorders>
              <w:bottom w:val="single" w:sz="4" w:space="0" w:color="000000"/>
            </w:tcBorders>
            <w:vAlign w:val="bottom"/>
          </w:tcPr>
          <w:p w14:paraId="04350455" w14:textId="59B44E76" w:rsidR="00D83E33" w:rsidRPr="001B330E" w:rsidRDefault="00BC4072" w:rsidP="001B330E">
            <w:pPr>
              <w:widowControl w:val="0"/>
              <w:pBdr>
                <w:top w:val="nil"/>
                <w:left w:val="nil"/>
                <w:bottom w:val="nil"/>
                <w:right w:val="nil"/>
                <w:between w:val="nil"/>
              </w:pBdr>
              <w:ind w:hanging="113"/>
              <w:jc w:val="center"/>
              <w:rPr>
                <w:b/>
                <w:color w:val="000000"/>
                <w:spacing w:val="-4"/>
              </w:rPr>
            </w:pPr>
            <w:r w:rsidRPr="001B330E">
              <w:rPr>
                <w:b/>
                <w:color w:val="000000"/>
                <w:spacing w:val="-4"/>
              </w:rPr>
              <w:t>Year ended 31</w:t>
            </w:r>
            <w:r w:rsidR="00181687" w:rsidRPr="001B330E">
              <w:rPr>
                <w:b/>
                <w:color w:val="000000"/>
                <w:spacing w:val="-4"/>
              </w:rPr>
              <w:t> December </w:t>
            </w:r>
            <w:r w:rsidR="00541EBC">
              <w:rPr>
                <w:b/>
                <w:color w:val="000000"/>
                <w:spacing w:val="-4"/>
              </w:rPr>
              <w:t>2023</w:t>
            </w:r>
          </w:p>
        </w:tc>
      </w:tr>
      <w:tr w:rsidR="00D83E33" w:rsidRPr="005C4425" w14:paraId="24675F3D" w14:textId="77777777" w:rsidTr="001B330E">
        <w:trPr>
          <w:trHeight w:val="23"/>
        </w:trPr>
        <w:tc>
          <w:tcPr>
            <w:tcW w:w="1212" w:type="pct"/>
            <w:tcBorders>
              <w:bottom w:val="single" w:sz="4" w:space="0" w:color="000000"/>
            </w:tcBorders>
            <w:vAlign w:val="bottom"/>
          </w:tcPr>
          <w:p w14:paraId="295B13E9" w14:textId="5B5C7952" w:rsidR="00D83E33" w:rsidRPr="001B330E" w:rsidRDefault="00313B4D" w:rsidP="001B330E">
            <w:pPr>
              <w:widowControl w:val="0"/>
              <w:pBdr>
                <w:top w:val="nil"/>
                <w:left w:val="nil"/>
                <w:bottom w:val="nil"/>
                <w:right w:val="nil"/>
                <w:between w:val="nil"/>
              </w:pBdr>
              <w:ind w:left="113" w:hanging="113"/>
              <w:rPr>
                <w:b/>
                <w:i/>
                <w:color w:val="000000"/>
                <w:spacing w:val="-4"/>
              </w:rPr>
            </w:pPr>
            <w:r>
              <w:rPr>
                <w:i/>
                <w:color w:val="000000"/>
                <w:spacing w:val="-4"/>
              </w:rPr>
              <w:t xml:space="preserve">In thousands of </w:t>
            </w:r>
            <w:r w:rsidR="002649EE">
              <w:rPr>
                <w:i/>
                <w:color w:val="000000"/>
                <w:spacing w:val="-4"/>
              </w:rPr>
              <w:t>EUR</w:t>
            </w:r>
          </w:p>
        </w:tc>
        <w:tc>
          <w:tcPr>
            <w:tcW w:w="631" w:type="pct"/>
            <w:tcBorders>
              <w:top w:val="single" w:sz="4" w:space="0" w:color="000000"/>
              <w:bottom w:val="single" w:sz="4" w:space="0" w:color="000000"/>
            </w:tcBorders>
          </w:tcPr>
          <w:p w14:paraId="26179FB9" w14:textId="77777777" w:rsidR="00D83E33" w:rsidRPr="001B330E" w:rsidRDefault="00BC4072" w:rsidP="001B330E">
            <w:pPr>
              <w:widowControl w:val="0"/>
              <w:pBdr>
                <w:top w:val="nil"/>
                <w:left w:val="nil"/>
                <w:bottom w:val="nil"/>
                <w:right w:val="nil"/>
                <w:between w:val="nil"/>
              </w:pBdr>
              <w:ind w:hanging="113"/>
              <w:jc w:val="right"/>
              <w:rPr>
                <w:b/>
                <w:color w:val="000000"/>
                <w:spacing w:val="-4"/>
              </w:rPr>
            </w:pPr>
            <w:r w:rsidRPr="001B330E">
              <w:rPr>
                <w:b/>
                <w:color w:val="000000"/>
                <w:spacing w:val="-4"/>
              </w:rPr>
              <w:t>The gain or loss recognised at the date of transfer</w:t>
            </w:r>
          </w:p>
        </w:tc>
        <w:tc>
          <w:tcPr>
            <w:tcW w:w="631" w:type="pct"/>
            <w:tcBorders>
              <w:top w:val="single" w:sz="4" w:space="0" w:color="000000"/>
              <w:bottom w:val="single" w:sz="4" w:space="0" w:color="000000"/>
            </w:tcBorders>
          </w:tcPr>
          <w:p w14:paraId="73574586" w14:textId="77777777" w:rsidR="00D83E33" w:rsidRPr="001B330E" w:rsidRDefault="00BC4072" w:rsidP="001B330E">
            <w:pPr>
              <w:widowControl w:val="0"/>
              <w:pBdr>
                <w:top w:val="nil"/>
                <w:left w:val="nil"/>
                <w:bottom w:val="nil"/>
                <w:right w:val="nil"/>
                <w:between w:val="nil"/>
              </w:pBdr>
              <w:ind w:hanging="113"/>
              <w:jc w:val="right"/>
              <w:rPr>
                <w:b/>
                <w:color w:val="000000"/>
                <w:spacing w:val="-4"/>
              </w:rPr>
            </w:pPr>
            <w:r w:rsidRPr="001B330E">
              <w:rPr>
                <w:b/>
                <w:color w:val="000000"/>
                <w:spacing w:val="-4"/>
              </w:rPr>
              <w:t>Subsequent gains and losses recognised in the reporting period</w:t>
            </w:r>
          </w:p>
        </w:tc>
        <w:tc>
          <w:tcPr>
            <w:tcW w:w="631" w:type="pct"/>
            <w:tcBorders>
              <w:top w:val="single" w:sz="4" w:space="0" w:color="000000"/>
              <w:bottom w:val="single" w:sz="4" w:space="0" w:color="000000"/>
            </w:tcBorders>
          </w:tcPr>
          <w:p w14:paraId="7613088B" w14:textId="77777777" w:rsidR="00D83E33" w:rsidRPr="001B330E" w:rsidRDefault="00BC4072" w:rsidP="001B330E">
            <w:pPr>
              <w:widowControl w:val="0"/>
              <w:pBdr>
                <w:top w:val="nil"/>
                <w:left w:val="nil"/>
                <w:bottom w:val="nil"/>
                <w:right w:val="nil"/>
                <w:between w:val="nil"/>
              </w:pBdr>
              <w:ind w:hanging="113"/>
              <w:jc w:val="right"/>
              <w:rPr>
                <w:b/>
                <w:color w:val="000000"/>
                <w:spacing w:val="-4"/>
              </w:rPr>
            </w:pPr>
            <w:r w:rsidRPr="001B330E">
              <w:rPr>
                <w:b/>
                <w:color w:val="000000"/>
                <w:spacing w:val="-4"/>
              </w:rPr>
              <w:t xml:space="preserve">Cumulative amount of gains and losses recognised </w:t>
            </w:r>
          </w:p>
        </w:tc>
        <w:tc>
          <w:tcPr>
            <w:tcW w:w="631" w:type="pct"/>
            <w:tcBorders>
              <w:top w:val="single" w:sz="4" w:space="0" w:color="000000"/>
              <w:bottom w:val="single" w:sz="4" w:space="0" w:color="000000"/>
            </w:tcBorders>
          </w:tcPr>
          <w:p w14:paraId="533BC371" w14:textId="77777777" w:rsidR="00D83E33" w:rsidRPr="001B330E" w:rsidRDefault="00BC4072" w:rsidP="001B330E">
            <w:pPr>
              <w:widowControl w:val="0"/>
              <w:pBdr>
                <w:top w:val="nil"/>
                <w:left w:val="nil"/>
                <w:bottom w:val="nil"/>
                <w:right w:val="nil"/>
                <w:between w:val="nil"/>
              </w:pBdr>
              <w:ind w:hanging="113"/>
              <w:jc w:val="right"/>
              <w:rPr>
                <w:b/>
                <w:color w:val="000000"/>
                <w:spacing w:val="-4"/>
              </w:rPr>
            </w:pPr>
            <w:r w:rsidRPr="001B330E">
              <w:rPr>
                <w:b/>
                <w:color w:val="000000"/>
                <w:spacing w:val="-4"/>
              </w:rPr>
              <w:t>The gain or loss recognised at the date of transfer</w:t>
            </w:r>
          </w:p>
        </w:tc>
        <w:tc>
          <w:tcPr>
            <w:tcW w:w="631" w:type="pct"/>
            <w:tcBorders>
              <w:top w:val="single" w:sz="4" w:space="0" w:color="000000"/>
              <w:bottom w:val="single" w:sz="4" w:space="0" w:color="000000"/>
            </w:tcBorders>
          </w:tcPr>
          <w:p w14:paraId="36C5A523" w14:textId="77777777" w:rsidR="00D83E33" w:rsidRPr="001B330E" w:rsidRDefault="00BC4072" w:rsidP="001B330E">
            <w:pPr>
              <w:widowControl w:val="0"/>
              <w:pBdr>
                <w:top w:val="nil"/>
                <w:left w:val="nil"/>
                <w:bottom w:val="nil"/>
                <w:right w:val="nil"/>
                <w:between w:val="nil"/>
              </w:pBdr>
              <w:ind w:hanging="113"/>
              <w:jc w:val="right"/>
              <w:rPr>
                <w:b/>
                <w:color w:val="000000"/>
                <w:spacing w:val="-4"/>
              </w:rPr>
            </w:pPr>
            <w:r w:rsidRPr="001B330E">
              <w:rPr>
                <w:b/>
                <w:color w:val="000000"/>
                <w:spacing w:val="-4"/>
              </w:rPr>
              <w:t>Subsequent gains and losses recognised in the reporting period</w:t>
            </w:r>
          </w:p>
        </w:tc>
        <w:tc>
          <w:tcPr>
            <w:tcW w:w="632" w:type="pct"/>
            <w:tcBorders>
              <w:top w:val="single" w:sz="4" w:space="0" w:color="000000"/>
              <w:bottom w:val="single" w:sz="4" w:space="0" w:color="000000"/>
            </w:tcBorders>
          </w:tcPr>
          <w:p w14:paraId="575CF672" w14:textId="77777777" w:rsidR="00D83E33" w:rsidRPr="001B330E" w:rsidRDefault="00BC4072" w:rsidP="001B330E">
            <w:pPr>
              <w:widowControl w:val="0"/>
              <w:pBdr>
                <w:top w:val="nil"/>
                <w:left w:val="nil"/>
                <w:bottom w:val="nil"/>
                <w:right w:val="nil"/>
                <w:between w:val="nil"/>
              </w:pBdr>
              <w:ind w:hanging="113"/>
              <w:jc w:val="right"/>
              <w:rPr>
                <w:b/>
                <w:color w:val="000000"/>
                <w:spacing w:val="-4"/>
              </w:rPr>
            </w:pPr>
            <w:r w:rsidRPr="001B330E">
              <w:rPr>
                <w:b/>
                <w:color w:val="000000"/>
                <w:spacing w:val="-4"/>
              </w:rPr>
              <w:t xml:space="preserve">Cumulative amount of gains and losses recognised </w:t>
            </w:r>
          </w:p>
        </w:tc>
      </w:tr>
      <w:tr w:rsidR="00D83E33" w:rsidRPr="005C4425" w14:paraId="100988F4" w14:textId="77777777" w:rsidTr="001B330E">
        <w:trPr>
          <w:trHeight w:val="23"/>
        </w:trPr>
        <w:tc>
          <w:tcPr>
            <w:tcW w:w="1212" w:type="pct"/>
            <w:vAlign w:val="bottom"/>
          </w:tcPr>
          <w:p w14:paraId="2CBD6940" w14:textId="77777777" w:rsidR="00D83E33" w:rsidRPr="001B330E" w:rsidRDefault="00BC4072" w:rsidP="001B330E">
            <w:pPr>
              <w:widowControl w:val="0"/>
              <w:ind w:left="113" w:hanging="113"/>
              <w:rPr>
                <w:b/>
                <w:spacing w:val="-4"/>
              </w:rPr>
            </w:pPr>
            <w:r w:rsidRPr="001B330E">
              <w:rPr>
                <w:b/>
                <w:spacing w:val="-4"/>
              </w:rPr>
              <w:t> </w:t>
            </w:r>
          </w:p>
        </w:tc>
        <w:tc>
          <w:tcPr>
            <w:tcW w:w="631" w:type="pct"/>
            <w:vAlign w:val="bottom"/>
          </w:tcPr>
          <w:p w14:paraId="797B77AA" w14:textId="77777777" w:rsidR="00D83E33" w:rsidRPr="001B330E" w:rsidRDefault="00D83E33" w:rsidP="001B330E">
            <w:pPr>
              <w:widowControl w:val="0"/>
              <w:pBdr>
                <w:top w:val="nil"/>
                <w:left w:val="nil"/>
                <w:bottom w:val="nil"/>
                <w:right w:val="nil"/>
                <w:between w:val="nil"/>
              </w:pBdr>
              <w:ind w:hanging="113"/>
              <w:jc w:val="right"/>
              <w:rPr>
                <w:color w:val="000000"/>
                <w:spacing w:val="-4"/>
              </w:rPr>
            </w:pPr>
          </w:p>
        </w:tc>
        <w:tc>
          <w:tcPr>
            <w:tcW w:w="631" w:type="pct"/>
            <w:vAlign w:val="bottom"/>
          </w:tcPr>
          <w:p w14:paraId="10AAB689" w14:textId="77777777" w:rsidR="00D83E33" w:rsidRPr="001B330E" w:rsidRDefault="00D83E33" w:rsidP="001B330E">
            <w:pPr>
              <w:widowControl w:val="0"/>
              <w:pBdr>
                <w:top w:val="nil"/>
                <w:left w:val="nil"/>
                <w:bottom w:val="nil"/>
                <w:right w:val="nil"/>
                <w:between w:val="nil"/>
              </w:pBdr>
              <w:ind w:hanging="113"/>
              <w:jc w:val="right"/>
              <w:rPr>
                <w:color w:val="000000"/>
                <w:spacing w:val="-4"/>
              </w:rPr>
            </w:pPr>
          </w:p>
        </w:tc>
        <w:tc>
          <w:tcPr>
            <w:tcW w:w="631" w:type="pct"/>
            <w:vAlign w:val="bottom"/>
          </w:tcPr>
          <w:p w14:paraId="00297054" w14:textId="77777777" w:rsidR="00D83E33" w:rsidRPr="001B330E" w:rsidRDefault="00D83E33" w:rsidP="001B330E">
            <w:pPr>
              <w:widowControl w:val="0"/>
              <w:pBdr>
                <w:top w:val="nil"/>
                <w:left w:val="nil"/>
                <w:bottom w:val="nil"/>
                <w:right w:val="nil"/>
                <w:between w:val="nil"/>
              </w:pBdr>
              <w:ind w:hanging="113"/>
              <w:jc w:val="right"/>
              <w:rPr>
                <w:color w:val="000000"/>
                <w:spacing w:val="-4"/>
              </w:rPr>
            </w:pPr>
          </w:p>
        </w:tc>
        <w:tc>
          <w:tcPr>
            <w:tcW w:w="631" w:type="pct"/>
            <w:vAlign w:val="bottom"/>
          </w:tcPr>
          <w:p w14:paraId="50C6EFBA" w14:textId="77777777" w:rsidR="00D83E33" w:rsidRPr="001B330E" w:rsidRDefault="00D83E33" w:rsidP="001B330E">
            <w:pPr>
              <w:widowControl w:val="0"/>
              <w:pBdr>
                <w:top w:val="nil"/>
                <w:left w:val="nil"/>
                <w:bottom w:val="nil"/>
                <w:right w:val="nil"/>
                <w:between w:val="nil"/>
              </w:pBdr>
              <w:ind w:hanging="113"/>
              <w:jc w:val="right"/>
              <w:rPr>
                <w:color w:val="000000"/>
                <w:spacing w:val="-4"/>
              </w:rPr>
            </w:pPr>
          </w:p>
        </w:tc>
        <w:tc>
          <w:tcPr>
            <w:tcW w:w="631" w:type="pct"/>
            <w:vAlign w:val="bottom"/>
          </w:tcPr>
          <w:p w14:paraId="7AE788A9" w14:textId="77777777" w:rsidR="00D83E33" w:rsidRPr="001B330E" w:rsidRDefault="00D83E33" w:rsidP="001B330E">
            <w:pPr>
              <w:widowControl w:val="0"/>
              <w:pBdr>
                <w:top w:val="nil"/>
                <w:left w:val="nil"/>
                <w:bottom w:val="nil"/>
                <w:right w:val="nil"/>
                <w:between w:val="nil"/>
              </w:pBdr>
              <w:ind w:hanging="113"/>
              <w:jc w:val="right"/>
              <w:rPr>
                <w:color w:val="000000"/>
                <w:spacing w:val="-4"/>
              </w:rPr>
            </w:pPr>
          </w:p>
        </w:tc>
        <w:tc>
          <w:tcPr>
            <w:tcW w:w="632" w:type="pct"/>
            <w:vAlign w:val="bottom"/>
          </w:tcPr>
          <w:p w14:paraId="1F72BEAC" w14:textId="77777777" w:rsidR="00D83E33" w:rsidRPr="001B330E" w:rsidRDefault="00D83E33" w:rsidP="001B330E">
            <w:pPr>
              <w:widowControl w:val="0"/>
              <w:pBdr>
                <w:top w:val="nil"/>
                <w:left w:val="nil"/>
                <w:bottom w:val="nil"/>
                <w:right w:val="nil"/>
                <w:between w:val="nil"/>
              </w:pBdr>
              <w:ind w:hanging="113"/>
              <w:jc w:val="right"/>
              <w:rPr>
                <w:color w:val="000000"/>
                <w:spacing w:val="-4"/>
              </w:rPr>
            </w:pPr>
          </w:p>
        </w:tc>
      </w:tr>
      <w:tr w:rsidR="00D83E33" w:rsidRPr="005C4425" w14:paraId="3A0D85E0" w14:textId="77777777" w:rsidTr="001B330E">
        <w:trPr>
          <w:trHeight w:val="23"/>
        </w:trPr>
        <w:tc>
          <w:tcPr>
            <w:tcW w:w="1212" w:type="pct"/>
            <w:vAlign w:val="bottom"/>
          </w:tcPr>
          <w:p w14:paraId="58D7C285"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Written put options</w:t>
            </w:r>
          </w:p>
        </w:tc>
        <w:tc>
          <w:tcPr>
            <w:tcW w:w="631" w:type="pct"/>
            <w:vAlign w:val="bottom"/>
          </w:tcPr>
          <w:p w14:paraId="684E45E6"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1DDC83BD"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2FB6B4D1"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0F437086"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294079CE"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2" w:type="pct"/>
            <w:vAlign w:val="bottom"/>
          </w:tcPr>
          <w:p w14:paraId="298DA55C"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r>
      <w:tr w:rsidR="00D83E33" w:rsidRPr="005C4425" w14:paraId="39DEEB9F" w14:textId="77777777" w:rsidTr="001B330E">
        <w:trPr>
          <w:trHeight w:val="23"/>
        </w:trPr>
        <w:tc>
          <w:tcPr>
            <w:tcW w:w="1212" w:type="pct"/>
            <w:vAlign w:val="bottom"/>
          </w:tcPr>
          <w:p w14:paraId="33D5B8D8"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Purchased call options</w:t>
            </w:r>
          </w:p>
        </w:tc>
        <w:tc>
          <w:tcPr>
            <w:tcW w:w="631" w:type="pct"/>
            <w:vAlign w:val="bottom"/>
          </w:tcPr>
          <w:p w14:paraId="29210179"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724251FA"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754FC78C"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10A73D13"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7ADEB513"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2" w:type="pct"/>
            <w:vAlign w:val="bottom"/>
          </w:tcPr>
          <w:p w14:paraId="4CD59C6D"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r>
      <w:tr w:rsidR="00D83E33" w:rsidRPr="005C4425" w14:paraId="47F77A78" w14:textId="77777777" w:rsidTr="001B330E">
        <w:trPr>
          <w:trHeight w:val="23"/>
        </w:trPr>
        <w:tc>
          <w:tcPr>
            <w:tcW w:w="1212" w:type="pct"/>
            <w:vAlign w:val="bottom"/>
          </w:tcPr>
          <w:p w14:paraId="38020D6D"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Later payment risk guarantee</w:t>
            </w:r>
          </w:p>
        </w:tc>
        <w:tc>
          <w:tcPr>
            <w:tcW w:w="631" w:type="pct"/>
            <w:vAlign w:val="bottom"/>
          </w:tcPr>
          <w:p w14:paraId="41C9E032"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78AAB095"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47453CD7"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463BCF8F"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7F96776A"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2" w:type="pct"/>
            <w:vAlign w:val="bottom"/>
          </w:tcPr>
          <w:p w14:paraId="4A700EE0"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r>
      <w:tr w:rsidR="00D83E33" w:rsidRPr="005C4425" w14:paraId="5295E931" w14:textId="77777777" w:rsidTr="001B330E">
        <w:trPr>
          <w:trHeight w:val="23"/>
        </w:trPr>
        <w:tc>
          <w:tcPr>
            <w:tcW w:w="1212" w:type="pct"/>
            <w:tcBorders>
              <w:bottom w:val="single" w:sz="4" w:space="0" w:color="000000"/>
            </w:tcBorders>
            <w:vAlign w:val="bottom"/>
          </w:tcPr>
          <w:p w14:paraId="7C22384A" w14:textId="77777777" w:rsidR="00D83E33" w:rsidRPr="001B330E" w:rsidRDefault="00BC4072" w:rsidP="001B330E">
            <w:pPr>
              <w:widowControl w:val="0"/>
              <w:pBdr>
                <w:top w:val="nil"/>
                <w:left w:val="nil"/>
                <w:bottom w:val="nil"/>
                <w:right w:val="nil"/>
                <w:between w:val="nil"/>
              </w:pBdr>
              <w:ind w:left="113" w:hanging="113"/>
              <w:rPr>
                <w:b/>
                <w:color w:val="000000"/>
                <w:spacing w:val="-4"/>
              </w:rPr>
            </w:pPr>
            <w:r w:rsidRPr="001B330E">
              <w:rPr>
                <w:color w:val="000000"/>
                <w:spacing w:val="-4"/>
              </w:rPr>
              <w:t> </w:t>
            </w:r>
          </w:p>
        </w:tc>
        <w:tc>
          <w:tcPr>
            <w:tcW w:w="631" w:type="pct"/>
            <w:tcBorders>
              <w:bottom w:val="single" w:sz="4" w:space="0" w:color="000000"/>
            </w:tcBorders>
            <w:vAlign w:val="bottom"/>
          </w:tcPr>
          <w:p w14:paraId="47D661E6"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bottom w:val="single" w:sz="4" w:space="0" w:color="000000"/>
            </w:tcBorders>
            <w:vAlign w:val="bottom"/>
          </w:tcPr>
          <w:p w14:paraId="06768781"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bottom w:val="single" w:sz="4" w:space="0" w:color="000000"/>
            </w:tcBorders>
            <w:vAlign w:val="bottom"/>
          </w:tcPr>
          <w:p w14:paraId="0C391644"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bottom w:val="single" w:sz="4" w:space="0" w:color="000000"/>
            </w:tcBorders>
            <w:vAlign w:val="bottom"/>
          </w:tcPr>
          <w:p w14:paraId="0517DD3D"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bottom w:val="single" w:sz="4" w:space="0" w:color="000000"/>
            </w:tcBorders>
            <w:vAlign w:val="bottom"/>
          </w:tcPr>
          <w:p w14:paraId="7F8F18EA"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2" w:type="pct"/>
            <w:tcBorders>
              <w:bottom w:val="single" w:sz="4" w:space="0" w:color="000000"/>
            </w:tcBorders>
            <w:vAlign w:val="bottom"/>
          </w:tcPr>
          <w:p w14:paraId="2FBBCC35"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r>
      <w:tr w:rsidR="00D83E33" w:rsidRPr="005C4425" w14:paraId="42D15CBA" w14:textId="77777777" w:rsidTr="001B330E">
        <w:trPr>
          <w:trHeight w:val="23"/>
        </w:trPr>
        <w:tc>
          <w:tcPr>
            <w:tcW w:w="1212" w:type="pct"/>
            <w:tcBorders>
              <w:top w:val="single" w:sz="4" w:space="0" w:color="000000"/>
            </w:tcBorders>
            <w:vAlign w:val="bottom"/>
          </w:tcPr>
          <w:p w14:paraId="5C1FD1C5" w14:textId="77777777" w:rsidR="00D83E33" w:rsidRPr="001B330E" w:rsidRDefault="00BC4072" w:rsidP="001B330E">
            <w:pPr>
              <w:widowControl w:val="0"/>
              <w:ind w:left="113" w:hanging="113"/>
              <w:rPr>
                <w:spacing w:val="-4"/>
              </w:rPr>
            </w:pPr>
            <w:r w:rsidRPr="001B330E">
              <w:rPr>
                <w:b/>
                <w:spacing w:val="-4"/>
              </w:rPr>
              <w:t> </w:t>
            </w:r>
          </w:p>
        </w:tc>
        <w:tc>
          <w:tcPr>
            <w:tcW w:w="631" w:type="pct"/>
            <w:tcBorders>
              <w:top w:val="single" w:sz="4" w:space="0" w:color="000000"/>
            </w:tcBorders>
            <w:vAlign w:val="bottom"/>
          </w:tcPr>
          <w:p w14:paraId="4BBF4BA8"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top w:val="single" w:sz="4" w:space="0" w:color="000000"/>
            </w:tcBorders>
            <w:vAlign w:val="bottom"/>
          </w:tcPr>
          <w:p w14:paraId="04C644C0"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top w:val="single" w:sz="4" w:space="0" w:color="000000"/>
            </w:tcBorders>
            <w:vAlign w:val="bottom"/>
          </w:tcPr>
          <w:p w14:paraId="45482FA0"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top w:val="single" w:sz="4" w:space="0" w:color="000000"/>
            </w:tcBorders>
            <w:vAlign w:val="bottom"/>
          </w:tcPr>
          <w:p w14:paraId="7D57D79A"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top w:val="single" w:sz="4" w:space="0" w:color="000000"/>
            </w:tcBorders>
            <w:vAlign w:val="bottom"/>
          </w:tcPr>
          <w:p w14:paraId="2DF71DEA"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2" w:type="pct"/>
            <w:tcBorders>
              <w:top w:val="single" w:sz="4" w:space="0" w:color="000000"/>
            </w:tcBorders>
            <w:vAlign w:val="bottom"/>
          </w:tcPr>
          <w:p w14:paraId="7C43744B"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r>
      <w:tr w:rsidR="00D83E33" w:rsidRPr="005C4425" w14:paraId="6C26580F" w14:textId="77777777" w:rsidTr="001B330E">
        <w:trPr>
          <w:trHeight w:val="23"/>
        </w:trPr>
        <w:tc>
          <w:tcPr>
            <w:tcW w:w="1212" w:type="pct"/>
            <w:vAlign w:val="bottom"/>
          </w:tcPr>
          <w:p w14:paraId="74DF3298" w14:textId="77777777" w:rsidR="00D83E33" w:rsidRPr="001B330E" w:rsidRDefault="00BC4072" w:rsidP="001B330E">
            <w:pPr>
              <w:widowControl w:val="0"/>
              <w:pBdr>
                <w:top w:val="nil"/>
                <w:left w:val="nil"/>
                <w:bottom w:val="nil"/>
                <w:right w:val="nil"/>
                <w:between w:val="nil"/>
              </w:pBdr>
              <w:ind w:left="113" w:hanging="113"/>
              <w:rPr>
                <w:b/>
                <w:color w:val="000000"/>
                <w:spacing w:val="-4"/>
              </w:rPr>
            </w:pPr>
            <w:r w:rsidRPr="001B330E">
              <w:rPr>
                <w:b/>
                <w:color w:val="000000"/>
                <w:spacing w:val="-4"/>
              </w:rPr>
              <w:t>Total</w:t>
            </w:r>
          </w:p>
        </w:tc>
        <w:tc>
          <w:tcPr>
            <w:tcW w:w="631" w:type="pct"/>
            <w:vAlign w:val="bottom"/>
          </w:tcPr>
          <w:p w14:paraId="31A4E80E"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1E673E39"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79CAE213"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774FFD24"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vAlign w:val="bottom"/>
          </w:tcPr>
          <w:p w14:paraId="52AF533A"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2" w:type="pct"/>
            <w:vAlign w:val="bottom"/>
          </w:tcPr>
          <w:p w14:paraId="2B18A95E"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r>
      <w:tr w:rsidR="00D83E33" w:rsidRPr="005C4425" w14:paraId="5AC63D67" w14:textId="77777777" w:rsidTr="001B330E">
        <w:trPr>
          <w:trHeight w:val="23"/>
        </w:trPr>
        <w:tc>
          <w:tcPr>
            <w:tcW w:w="1212" w:type="pct"/>
            <w:tcBorders>
              <w:bottom w:val="single" w:sz="12" w:space="0" w:color="000000"/>
            </w:tcBorders>
            <w:vAlign w:val="bottom"/>
          </w:tcPr>
          <w:p w14:paraId="160D1A48" w14:textId="77777777" w:rsidR="00D83E33" w:rsidRPr="001B330E" w:rsidRDefault="00BC4072" w:rsidP="001B330E">
            <w:pPr>
              <w:widowControl w:val="0"/>
              <w:ind w:left="113" w:hanging="113"/>
              <w:rPr>
                <w:spacing w:val="-4"/>
              </w:rPr>
            </w:pPr>
            <w:r w:rsidRPr="001B330E">
              <w:rPr>
                <w:b/>
                <w:spacing w:val="-4"/>
              </w:rPr>
              <w:t> </w:t>
            </w:r>
          </w:p>
        </w:tc>
        <w:tc>
          <w:tcPr>
            <w:tcW w:w="631" w:type="pct"/>
            <w:tcBorders>
              <w:bottom w:val="single" w:sz="12" w:space="0" w:color="000000"/>
            </w:tcBorders>
            <w:vAlign w:val="bottom"/>
          </w:tcPr>
          <w:p w14:paraId="0FB6061D"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bottom w:val="single" w:sz="12" w:space="0" w:color="000000"/>
            </w:tcBorders>
            <w:vAlign w:val="bottom"/>
          </w:tcPr>
          <w:p w14:paraId="551544BA"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bottom w:val="single" w:sz="12" w:space="0" w:color="000000"/>
            </w:tcBorders>
            <w:vAlign w:val="bottom"/>
          </w:tcPr>
          <w:p w14:paraId="2BFA6445"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bottom w:val="single" w:sz="12" w:space="0" w:color="000000"/>
            </w:tcBorders>
            <w:vAlign w:val="bottom"/>
          </w:tcPr>
          <w:p w14:paraId="3FE57698"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1" w:type="pct"/>
            <w:tcBorders>
              <w:bottom w:val="single" w:sz="12" w:space="0" w:color="000000"/>
            </w:tcBorders>
            <w:vAlign w:val="bottom"/>
          </w:tcPr>
          <w:p w14:paraId="610382A7"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c>
          <w:tcPr>
            <w:tcW w:w="632" w:type="pct"/>
            <w:tcBorders>
              <w:bottom w:val="single" w:sz="12" w:space="0" w:color="000000"/>
            </w:tcBorders>
            <w:vAlign w:val="bottom"/>
          </w:tcPr>
          <w:p w14:paraId="5EB82DE9" w14:textId="77777777" w:rsidR="00D83E33" w:rsidRPr="001B330E" w:rsidRDefault="00D83E33" w:rsidP="001B330E">
            <w:pPr>
              <w:widowControl w:val="0"/>
              <w:pBdr>
                <w:top w:val="nil"/>
                <w:left w:val="nil"/>
                <w:bottom w:val="nil"/>
                <w:right w:val="nil"/>
                <w:between w:val="nil"/>
              </w:pBdr>
              <w:ind w:hanging="113"/>
              <w:jc w:val="right"/>
              <w:rPr>
                <w:b/>
                <w:color w:val="000000"/>
                <w:spacing w:val="-4"/>
              </w:rPr>
            </w:pPr>
          </w:p>
        </w:tc>
      </w:tr>
    </w:tbl>
    <w:p w14:paraId="022E78A1" w14:textId="7532E167" w:rsidR="00D83E33" w:rsidRPr="001B330E" w:rsidRDefault="00BC4072" w:rsidP="001B330E">
      <w:pPr>
        <w:widowControl w:val="0"/>
        <w:spacing w:before="200" w:after="200"/>
        <w:jc w:val="both"/>
        <w:rPr>
          <w:spacing w:val="-2"/>
          <w:sz w:val="20"/>
          <w:szCs w:val="20"/>
        </w:rPr>
      </w:pPr>
      <w:r w:rsidRPr="001B330E">
        <w:rPr>
          <w:spacing w:val="-2"/>
          <w:sz w:val="20"/>
          <w:szCs w:val="20"/>
        </w:rPr>
        <w:t xml:space="preserve">The transfer activity was not evenly distributed during the reporting period. The following schedule provides analysis of transfer activity by month and by type of the continuing involvement during </w:t>
      </w:r>
      <w:r w:rsidR="00541EBC">
        <w:rPr>
          <w:spacing w:val="-2"/>
          <w:sz w:val="20"/>
          <w:szCs w:val="20"/>
        </w:rPr>
        <w:t>2024</w:t>
      </w:r>
      <w:r w:rsidRPr="001B330E">
        <w:rPr>
          <w:spacing w:val="-2"/>
          <w:sz w:val="20"/>
          <w:szCs w:val="20"/>
        </w:rPr>
        <w:t>:</w:t>
      </w:r>
    </w:p>
    <w:tbl>
      <w:tblPr>
        <w:tblStyle w:val="affffffffffffffff1"/>
        <w:tblW w:w="5000" w:type="pct"/>
        <w:tblLayout w:type="fixed"/>
        <w:tblLook w:val="0000" w:firstRow="0" w:lastRow="0" w:firstColumn="0" w:lastColumn="0" w:noHBand="0" w:noVBand="0"/>
      </w:tblPr>
      <w:tblGrid>
        <w:gridCol w:w="2596"/>
        <w:gridCol w:w="564"/>
        <w:gridCol w:w="564"/>
        <w:gridCol w:w="564"/>
        <w:gridCol w:w="563"/>
        <w:gridCol w:w="563"/>
        <w:gridCol w:w="563"/>
        <w:gridCol w:w="563"/>
        <w:gridCol w:w="563"/>
        <w:gridCol w:w="563"/>
        <w:gridCol w:w="563"/>
        <w:gridCol w:w="563"/>
        <w:gridCol w:w="563"/>
      </w:tblGrid>
      <w:tr w:rsidR="00D83E33" w:rsidRPr="00077F42" w14:paraId="7159AD6A" w14:textId="77777777" w:rsidTr="001B330E">
        <w:trPr>
          <w:trHeight w:val="23"/>
        </w:trPr>
        <w:tc>
          <w:tcPr>
            <w:tcW w:w="1387" w:type="pct"/>
            <w:tcBorders>
              <w:bottom w:val="single" w:sz="4" w:space="0" w:color="000000"/>
            </w:tcBorders>
            <w:vAlign w:val="bottom"/>
          </w:tcPr>
          <w:p w14:paraId="4BD674A8" w14:textId="7AE6766D" w:rsidR="00D83E33" w:rsidRPr="001B330E" w:rsidRDefault="00313B4D" w:rsidP="001B330E">
            <w:pPr>
              <w:widowControl w:val="0"/>
              <w:pBdr>
                <w:top w:val="nil"/>
                <w:left w:val="nil"/>
                <w:bottom w:val="nil"/>
                <w:right w:val="nil"/>
                <w:between w:val="nil"/>
              </w:pBdr>
              <w:ind w:left="113" w:hanging="113"/>
              <w:rPr>
                <w:b/>
                <w:i/>
                <w:color w:val="000000"/>
                <w:spacing w:val="-2"/>
                <w:szCs w:val="16"/>
              </w:rPr>
            </w:pPr>
            <w:r>
              <w:rPr>
                <w:i/>
                <w:color w:val="000000"/>
                <w:spacing w:val="-2"/>
                <w:szCs w:val="16"/>
              </w:rPr>
              <w:t xml:space="preserve">In thousands of </w:t>
            </w:r>
            <w:r w:rsidR="002649EE">
              <w:rPr>
                <w:i/>
                <w:color w:val="000000"/>
                <w:spacing w:val="-2"/>
                <w:szCs w:val="16"/>
              </w:rPr>
              <w:t>EUR</w:t>
            </w:r>
          </w:p>
        </w:tc>
        <w:tc>
          <w:tcPr>
            <w:tcW w:w="301" w:type="pct"/>
            <w:tcBorders>
              <w:bottom w:val="single" w:sz="4" w:space="0" w:color="000000"/>
            </w:tcBorders>
          </w:tcPr>
          <w:p w14:paraId="7D462566"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Jan</w:t>
            </w:r>
          </w:p>
        </w:tc>
        <w:tc>
          <w:tcPr>
            <w:tcW w:w="301" w:type="pct"/>
            <w:tcBorders>
              <w:bottom w:val="single" w:sz="4" w:space="0" w:color="000000"/>
            </w:tcBorders>
          </w:tcPr>
          <w:p w14:paraId="0715BF22"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Feb</w:t>
            </w:r>
          </w:p>
        </w:tc>
        <w:tc>
          <w:tcPr>
            <w:tcW w:w="301" w:type="pct"/>
            <w:tcBorders>
              <w:bottom w:val="single" w:sz="4" w:space="0" w:color="000000"/>
            </w:tcBorders>
          </w:tcPr>
          <w:p w14:paraId="68521F3D"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Mar</w:t>
            </w:r>
          </w:p>
        </w:tc>
        <w:tc>
          <w:tcPr>
            <w:tcW w:w="301" w:type="pct"/>
            <w:tcBorders>
              <w:bottom w:val="single" w:sz="4" w:space="0" w:color="000000"/>
            </w:tcBorders>
          </w:tcPr>
          <w:p w14:paraId="31856797"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April</w:t>
            </w:r>
          </w:p>
        </w:tc>
        <w:tc>
          <w:tcPr>
            <w:tcW w:w="301" w:type="pct"/>
            <w:tcBorders>
              <w:bottom w:val="single" w:sz="4" w:space="0" w:color="000000"/>
            </w:tcBorders>
          </w:tcPr>
          <w:p w14:paraId="65E3CC11"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May</w:t>
            </w:r>
          </w:p>
        </w:tc>
        <w:tc>
          <w:tcPr>
            <w:tcW w:w="301" w:type="pct"/>
            <w:tcBorders>
              <w:bottom w:val="single" w:sz="4" w:space="0" w:color="000000"/>
            </w:tcBorders>
          </w:tcPr>
          <w:p w14:paraId="6F189B90"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June</w:t>
            </w:r>
          </w:p>
        </w:tc>
        <w:tc>
          <w:tcPr>
            <w:tcW w:w="301" w:type="pct"/>
            <w:tcBorders>
              <w:bottom w:val="single" w:sz="4" w:space="0" w:color="000000"/>
            </w:tcBorders>
          </w:tcPr>
          <w:p w14:paraId="1E14D907"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July</w:t>
            </w:r>
          </w:p>
        </w:tc>
        <w:tc>
          <w:tcPr>
            <w:tcW w:w="301" w:type="pct"/>
            <w:tcBorders>
              <w:bottom w:val="single" w:sz="4" w:space="0" w:color="000000"/>
            </w:tcBorders>
          </w:tcPr>
          <w:p w14:paraId="20D6A2CF"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Aug</w:t>
            </w:r>
          </w:p>
        </w:tc>
        <w:tc>
          <w:tcPr>
            <w:tcW w:w="301" w:type="pct"/>
            <w:tcBorders>
              <w:bottom w:val="single" w:sz="4" w:space="0" w:color="000000"/>
            </w:tcBorders>
          </w:tcPr>
          <w:p w14:paraId="65309AB1"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Sept</w:t>
            </w:r>
          </w:p>
        </w:tc>
        <w:tc>
          <w:tcPr>
            <w:tcW w:w="301" w:type="pct"/>
            <w:tcBorders>
              <w:bottom w:val="single" w:sz="4" w:space="0" w:color="000000"/>
            </w:tcBorders>
          </w:tcPr>
          <w:p w14:paraId="14AB5AAF"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Oct</w:t>
            </w:r>
          </w:p>
        </w:tc>
        <w:tc>
          <w:tcPr>
            <w:tcW w:w="301" w:type="pct"/>
            <w:tcBorders>
              <w:bottom w:val="single" w:sz="4" w:space="0" w:color="000000"/>
            </w:tcBorders>
          </w:tcPr>
          <w:p w14:paraId="0CC2B203"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Nov</w:t>
            </w:r>
          </w:p>
        </w:tc>
        <w:tc>
          <w:tcPr>
            <w:tcW w:w="301" w:type="pct"/>
            <w:tcBorders>
              <w:bottom w:val="single" w:sz="4" w:space="0" w:color="000000"/>
            </w:tcBorders>
          </w:tcPr>
          <w:p w14:paraId="2433C6AD"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Dec</w:t>
            </w:r>
          </w:p>
        </w:tc>
      </w:tr>
      <w:tr w:rsidR="00D83E33" w:rsidRPr="00077F42" w14:paraId="1DA2E165" w14:textId="77777777" w:rsidTr="001B330E">
        <w:trPr>
          <w:trHeight w:val="23"/>
        </w:trPr>
        <w:tc>
          <w:tcPr>
            <w:tcW w:w="1387" w:type="pct"/>
            <w:vAlign w:val="bottom"/>
          </w:tcPr>
          <w:p w14:paraId="185EC228" w14:textId="77777777" w:rsidR="00D83E33" w:rsidRPr="001B330E" w:rsidRDefault="00BC4072" w:rsidP="001B330E">
            <w:pPr>
              <w:widowControl w:val="0"/>
              <w:pBdr>
                <w:top w:val="nil"/>
                <w:left w:val="nil"/>
                <w:bottom w:val="nil"/>
                <w:right w:val="nil"/>
                <w:between w:val="nil"/>
              </w:pBdr>
              <w:ind w:left="113" w:hanging="113"/>
              <w:rPr>
                <w:b/>
                <w:color w:val="000000"/>
                <w:spacing w:val="-2"/>
                <w:szCs w:val="16"/>
              </w:rPr>
            </w:pPr>
            <w:r w:rsidRPr="001B330E">
              <w:rPr>
                <w:color w:val="000000"/>
                <w:spacing w:val="-2"/>
                <w:szCs w:val="16"/>
              </w:rPr>
              <w:t> </w:t>
            </w:r>
          </w:p>
        </w:tc>
        <w:tc>
          <w:tcPr>
            <w:tcW w:w="301" w:type="pct"/>
            <w:vAlign w:val="bottom"/>
          </w:tcPr>
          <w:p w14:paraId="064B3BB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F3FBF3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B98717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246723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398B5D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4840D3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8FB94E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68B416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759A33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4D7BD9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39020D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B47D42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11F5D413" w14:textId="77777777" w:rsidTr="001B330E">
        <w:trPr>
          <w:trHeight w:val="23"/>
        </w:trPr>
        <w:tc>
          <w:tcPr>
            <w:tcW w:w="1387" w:type="pct"/>
            <w:vAlign w:val="bottom"/>
          </w:tcPr>
          <w:p w14:paraId="0CAD9186" w14:textId="77777777" w:rsidR="00D83E33" w:rsidRPr="001B330E" w:rsidRDefault="00BC4072" w:rsidP="001B330E">
            <w:pPr>
              <w:widowControl w:val="0"/>
              <w:pBdr>
                <w:top w:val="nil"/>
                <w:left w:val="nil"/>
                <w:bottom w:val="nil"/>
                <w:right w:val="nil"/>
                <w:between w:val="nil"/>
              </w:pBdr>
              <w:ind w:left="113" w:hanging="113"/>
              <w:rPr>
                <w:i/>
                <w:color w:val="000000"/>
                <w:spacing w:val="-2"/>
                <w:szCs w:val="16"/>
              </w:rPr>
            </w:pPr>
            <w:r w:rsidRPr="001B330E">
              <w:rPr>
                <w:i/>
                <w:color w:val="000000"/>
                <w:spacing w:val="-2"/>
                <w:szCs w:val="16"/>
              </w:rPr>
              <w:t>Written put options:</w:t>
            </w:r>
          </w:p>
        </w:tc>
        <w:tc>
          <w:tcPr>
            <w:tcW w:w="301" w:type="pct"/>
            <w:vAlign w:val="bottom"/>
          </w:tcPr>
          <w:p w14:paraId="79B46D23"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19CBBF0B"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386CCF0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1501F8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9D771C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934244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05F800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ABE1DD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A8AE65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DB48DA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2AAE98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1CEB4A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7E77E329" w14:textId="77777777" w:rsidTr="001B330E">
        <w:trPr>
          <w:trHeight w:val="23"/>
        </w:trPr>
        <w:tc>
          <w:tcPr>
            <w:tcW w:w="1387" w:type="pct"/>
            <w:vAlign w:val="bottom"/>
          </w:tcPr>
          <w:p w14:paraId="1ED5891D"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Gains less losses recognised</w:t>
            </w:r>
          </w:p>
        </w:tc>
        <w:tc>
          <w:tcPr>
            <w:tcW w:w="301" w:type="pct"/>
            <w:vAlign w:val="bottom"/>
          </w:tcPr>
          <w:p w14:paraId="00F9D775"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0BCB66A5"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152D71D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B74A59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501BD0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EBDA0F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BD485F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3237A4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3175FD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2C5B29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5606CA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F35CFF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286208D1" w14:textId="77777777" w:rsidTr="001B330E">
        <w:trPr>
          <w:trHeight w:val="23"/>
        </w:trPr>
        <w:tc>
          <w:tcPr>
            <w:tcW w:w="1387" w:type="pct"/>
            <w:vAlign w:val="bottom"/>
          </w:tcPr>
          <w:p w14:paraId="58529128"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Proceeds from transfer activity</w:t>
            </w:r>
          </w:p>
        </w:tc>
        <w:tc>
          <w:tcPr>
            <w:tcW w:w="301" w:type="pct"/>
            <w:vAlign w:val="bottom"/>
          </w:tcPr>
          <w:p w14:paraId="72978FB5"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3B710D56"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7B197C5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BC54A7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AC5835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64C02C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D13A7C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61806B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2C72FC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E813BE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EE355B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25B6C9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02C5F886" w14:textId="77777777" w:rsidTr="001B330E">
        <w:trPr>
          <w:trHeight w:val="23"/>
        </w:trPr>
        <w:tc>
          <w:tcPr>
            <w:tcW w:w="1387" w:type="pct"/>
            <w:vAlign w:val="bottom"/>
          </w:tcPr>
          <w:p w14:paraId="53F90E98"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 </w:t>
            </w:r>
          </w:p>
        </w:tc>
        <w:tc>
          <w:tcPr>
            <w:tcW w:w="301" w:type="pct"/>
            <w:vAlign w:val="bottom"/>
          </w:tcPr>
          <w:p w14:paraId="14B1C0CD"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023E3B50"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2876207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6C7414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51F3FE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AE3E40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3AFA93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4FBD0E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B8984D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5BAB11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6283F3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10DA02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48B9B683" w14:textId="77777777" w:rsidTr="001B330E">
        <w:trPr>
          <w:trHeight w:val="23"/>
        </w:trPr>
        <w:tc>
          <w:tcPr>
            <w:tcW w:w="1387" w:type="pct"/>
            <w:vAlign w:val="bottom"/>
          </w:tcPr>
          <w:p w14:paraId="7FDBE5EC" w14:textId="77777777" w:rsidR="00D83E33" w:rsidRPr="001B330E" w:rsidRDefault="00BC4072" w:rsidP="001B330E">
            <w:pPr>
              <w:widowControl w:val="0"/>
              <w:pBdr>
                <w:top w:val="nil"/>
                <w:left w:val="nil"/>
                <w:bottom w:val="nil"/>
                <w:right w:val="nil"/>
                <w:between w:val="nil"/>
              </w:pBdr>
              <w:ind w:left="113" w:hanging="113"/>
              <w:rPr>
                <w:i/>
                <w:color w:val="000000"/>
                <w:spacing w:val="-2"/>
                <w:szCs w:val="16"/>
              </w:rPr>
            </w:pPr>
            <w:r w:rsidRPr="001B330E">
              <w:rPr>
                <w:i/>
                <w:color w:val="000000"/>
                <w:spacing w:val="-2"/>
                <w:szCs w:val="16"/>
              </w:rPr>
              <w:t>Purchased call options:</w:t>
            </w:r>
          </w:p>
        </w:tc>
        <w:tc>
          <w:tcPr>
            <w:tcW w:w="301" w:type="pct"/>
            <w:vAlign w:val="bottom"/>
          </w:tcPr>
          <w:p w14:paraId="321091BF"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40B4130B"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574B71D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45B7E6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50D16D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2317B9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F5F08A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BDBBC5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7D649D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2DBF2A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AF8F54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BE7050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4C140BC4" w14:textId="77777777" w:rsidTr="001B330E">
        <w:trPr>
          <w:trHeight w:val="23"/>
        </w:trPr>
        <w:tc>
          <w:tcPr>
            <w:tcW w:w="1387" w:type="pct"/>
            <w:vAlign w:val="bottom"/>
          </w:tcPr>
          <w:p w14:paraId="179BA3EC"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Gains less losses recognised</w:t>
            </w:r>
          </w:p>
        </w:tc>
        <w:tc>
          <w:tcPr>
            <w:tcW w:w="301" w:type="pct"/>
            <w:vAlign w:val="bottom"/>
          </w:tcPr>
          <w:p w14:paraId="48EC5087"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2CDA22EF"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477B072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5CD9B2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BC65EB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42D799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F9F46A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C66BE4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C9F61F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97D4FD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76BC2A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C17E75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015883B9" w14:textId="77777777" w:rsidTr="001B330E">
        <w:trPr>
          <w:trHeight w:val="23"/>
        </w:trPr>
        <w:tc>
          <w:tcPr>
            <w:tcW w:w="1387" w:type="pct"/>
            <w:vAlign w:val="bottom"/>
          </w:tcPr>
          <w:p w14:paraId="38143964"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Proceeds from transfer activity</w:t>
            </w:r>
          </w:p>
        </w:tc>
        <w:tc>
          <w:tcPr>
            <w:tcW w:w="301" w:type="pct"/>
            <w:vAlign w:val="bottom"/>
          </w:tcPr>
          <w:p w14:paraId="7AEA8D56"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133D1E8C"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2AC98F8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194813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92D096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FCE444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71F2B4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1CCB69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5865AC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E54A76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0A62B7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1DDB43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2C7E81D7" w14:textId="77777777" w:rsidTr="001B330E">
        <w:trPr>
          <w:trHeight w:val="23"/>
        </w:trPr>
        <w:tc>
          <w:tcPr>
            <w:tcW w:w="1387" w:type="pct"/>
            <w:vAlign w:val="bottom"/>
          </w:tcPr>
          <w:p w14:paraId="3BC1F17A"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 </w:t>
            </w:r>
          </w:p>
        </w:tc>
        <w:tc>
          <w:tcPr>
            <w:tcW w:w="301" w:type="pct"/>
            <w:vAlign w:val="bottom"/>
          </w:tcPr>
          <w:p w14:paraId="1A59A1AD"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7B9C2C4E"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315CB0F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BFD945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A300E8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0A9BA0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A52F48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B7C22F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456DC2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34881A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FA2856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8E3F6C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1D91694E" w14:textId="77777777" w:rsidTr="001B330E">
        <w:trPr>
          <w:trHeight w:val="23"/>
        </w:trPr>
        <w:tc>
          <w:tcPr>
            <w:tcW w:w="1387" w:type="pct"/>
            <w:vAlign w:val="bottom"/>
          </w:tcPr>
          <w:p w14:paraId="0C47D745" w14:textId="77777777" w:rsidR="00D83E33" w:rsidRPr="001B330E" w:rsidRDefault="00BC4072" w:rsidP="001B330E">
            <w:pPr>
              <w:widowControl w:val="0"/>
              <w:pBdr>
                <w:top w:val="nil"/>
                <w:left w:val="nil"/>
                <w:bottom w:val="nil"/>
                <w:right w:val="nil"/>
                <w:between w:val="nil"/>
              </w:pBdr>
              <w:ind w:left="113" w:hanging="113"/>
              <w:rPr>
                <w:i/>
                <w:color w:val="000000"/>
                <w:spacing w:val="-2"/>
                <w:szCs w:val="16"/>
              </w:rPr>
            </w:pPr>
            <w:r w:rsidRPr="001B330E">
              <w:rPr>
                <w:i/>
                <w:color w:val="000000"/>
                <w:spacing w:val="-2"/>
                <w:szCs w:val="16"/>
              </w:rPr>
              <w:t>Late payment risk guarantee:</w:t>
            </w:r>
          </w:p>
        </w:tc>
        <w:tc>
          <w:tcPr>
            <w:tcW w:w="301" w:type="pct"/>
            <w:vAlign w:val="bottom"/>
          </w:tcPr>
          <w:p w14:paraId="3B1A3474"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775B1D6E"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7D84F64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0E7E7A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BAF4CB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F1DAD0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0834B5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7ED4C9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5A0723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7493E6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FECD52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BB944C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3E53BDE2" w14:textId="77777777" w:rsidTr="001B330E">
        <w:trPr>
          <w:trHeight w:val="23"/>
        </w:trPr>
        <w:tc>
          <w:tcPr>
            <w:tcW w:w="1387" w:type="pct"/>
            <w:vAlign w:val="bottom"/>
          </w:tcPr>
          <w:p w14:paraId="6E81A056"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Gains less losses recognised</w:t>
            </w:r>
          </w:p>
        </w:tc>
        <w:tc>
          <w:tcPr>
            <w:tcW w:w="301" w:type="pct"/>
            <w:vAlign w:val="bottom"/>
          </w:tcPr>
          <w:p w14:paraId="7DF0FC9F"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211869DB"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40A1C76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96BBA4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4D4D81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472654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3A387B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3996EA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0372FA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02CB0F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D8F2CD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8B7CD8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69BB5836" w14:textId="77777777" w:rsidTr="001B330E">
        <w:trPr>
          <w:trHeight w:val="23"/>
        </w:trPr>
        <w:tc>
          <w:tcPr>
            <w:tcW w:w="1387" w:type="pct"/>
            <w:vAlign w:val="bottom"/>
          </w:tcPr>
          <w:p w14:paraId="2DA84FDC"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Proceeds from transfer activity</w:t>
            </w:r>
          </w:p>
        </w:tc>
        <w:tc>
          <w:tcPr>
            <w:tcW w:w="301" w:type="pct"/>
            <w:vAlign w:val="bottom"/>
          </w:tcPr>
          <w:p w14:paraId="2D0C6CB6"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50B34806"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08DEFA1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D2C9A5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329197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AC22CB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63A3D7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3543DD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1D6465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4563A0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AFCC2A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DC4960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28922987" w14:textId="77777777" w:rsidTr="001B330E">
        <w:trPr>
          <w:trHeight w:val="23"/>
        </w:trPr>
        <w:tc>
          <w:tcPr>
            <w:tcW w:w="1387" w:type="pct"/>
            <w:tcBorders>
              <w:bottom w:val="single" w:sz="12" w:space="0" w:color="000000"/>
            </w:tcBorders>
            <w:vAlign w:val="bottom"/>
          </w:tcPr>
          <w:p w14:paraId="53340421" w14:textId="77777777" w:rsidR="00D83E33" w:rsidRPr="001B330E" w:rsidRDefault="00BC4072" w:rsidP="001B330E">
            <w:pPr>
              <w:widowControl w:val="0"/>
              <w:ind w:left="113" w:hanging="113"/>
              <w:rPr>
                <w:b/>
                <w:spacing w:val="-2"/>
                <w:szCs w:val="16"/>
              </w:rPr>
            </w:pPr>
            <w:r w:rsidRPr="001B330E">
              <w:rPr>
                <w:b/>
                <w:spacing w:val="-2"/>
                <w:szCs w:val="16"/>
              </w:rPr>
              <w:t> </w:t>
            </w:r>
          </w:p>
        </w:tc>
        <w:tc>
          <w:tcPr>
            <w:tcW w:w="301" w:type="pct"/>
            <w:tcBorders>
              <w:bottom w:val="single" w:sz="12" w:space="0" w:color="000000"/>
            </w:tcBorders>
            <w:vAlign w:val="bottom"/>
          </w:tcPr>
          <w:p w14:paraId="0D8F5124"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tcBorders>
              <w:bottom w:val="single" w:sz="12" w:space="0" w:color="000000"/>
            </w:tcBorders>
            <w:vAlign w:val="bottom"/>
          </w:tcPr>
          <w:p w14:paraId="4E287BD0"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tcBorders>
              <w:bottom w:val="single" w:sz="12" w:space="0" w:color="000000"/>
            </w:tcBorders>
            <w:vAlign w:val="bottom"/>
          </w:tcPr>
          <w:p w14:paraId="0222BB1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096F799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14980D0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283832A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0EFC03F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75306A3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5D67958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69DF966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419B03F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72F47DF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bl>
    <w:p w14:paraId="0A4FF8FD" w14:textId="3BFE12C5" w:rsidR="00D83E33" w:rsidRPr="001B330E" w:rsidRDefault="00BC4072" w:rsidP="001B330E">
      <w:pPr>
        <w:widowControl w:val="0"/>
        <w:spacing w:before="200" w:after="200"/>
        <w:jc w:val="both"/>
        <w:rPr>
          <w:spacing w:val="-2"/>
          <w:sz w:val="20"/>
          <w:szCs w:val="20"/>
        </w:rPr>
      </w:pPr>
      <w:r w:rsidRPr="001B330E">
        <w:rPr>
          <w:spacing w:val="-2"/>
          <w:sz w:val="20"/>
          <w:szCs w:val="20"/>
        </w:rPr>
        <w:t xml:space="preserve">The following schedule provides analysis of transfer activity by month and by type of the continuing involvement during </w:t>
      </w:r>
      <w:r w:rsidR="00541EBC">
        <w:rPr>
          <w:spacing w:val="-2"/>
          <w:sz w:val="20"/>
          <w:szCs w:val="20"/>
        </w:rPr>
        <w:t>2023</w:t>
      </w:r>
      <w:r w:rsidRPr="001B330E">
        <w:rPr>
          <w:spacing w:val="-2"/>
          <w:sz w:val="20"/>
          <w:szCs w:val="20"/>
        </w:rPr>
        <w:t>:</w:t>
      </w:r>
    </w:p>
    <w:tbl>
      <w:tblPr>
        <w:tblStyle w:val="affffffffffffffff2"/>
        <w:tblW w:w="5000" w:type="pct"/>
        <w:tblLayout w:type="fixed"/>
        <w:tblLook w:val="0000" w:firstRow="0" w:lastRow="0" w:firstColumn="0" w:lastColumn="0" w:noHBand="0" w:noVBand="0"/>
      </w:tblPr>
      <w:tblGrid>
        <w:gridCol w:w="2596"/>
        <w:gridCol w:w="564"/>
        <w:gridCol w:w="564"/>
        <w:gridCol w:w="564"/>
        <w:gridCol w:w="563"/>
        <w:gridCol w:w="563"/>
        <w:gridCol w:w="563"/>
        <w:gridCol w:w="563"/>
        <w:gridCol w:w="563"/>
        <w:gridCol w:w="563"/>
        <w:gridCol w:w="563"/>
        <w:gridCol w:w="563"/>
        <w:gridCol w:w="563"/>
      </w:tblGrid>
      <w:tr w:rsidR="00D83E33" w:rsidRPr="00077F42" w14:paraId="0DABEB38" w14:textId="77777777" w:rsidTr="001B330E">
        <w:trPr>
          <w:trHeight w:val="23"/>
        </w:trPr>
        <w:tc>
          <w:tcPr>
            <w:tcW w:w="1387" w:type="pct"/>
            <w:tcBorders>
              <w:bottom w:val="single" w:sz="4" w:space="0" w:color="000000"/>
            </w:tcBorders>
            <w:vAlign w:val="bottom"/>
          </w:tcPr>
          <w:p w14:paraId="390FA653" w14:textId="7D9ECFEC" w:rsidR="00D83E33" w:rsidRPr="001B330E" w:rsidRDefault="00313B4D" w:rsidP="001B330E">
            <w:pPr>
              <w:widowControl w:val="0"/>
              <w:pBdr>
                <w:top w:val="nil"/>
                <w:left w:val="nil"/>
                <w:bottom w:val="nil"/>
                <w:right w:val="nil"/>
                <w:between w:val="nil"/>
              </w:pBdr>
              <w:ind w:left="113" w:hanging="113"/>
              <w:rPr>
                <w:b/>
                <w:i/>
                <w:color w:val="000000"/>
                <w:spacing w:val="-2"/>
                <w:szCs w:val="16"/>
              </w:rPr>
            </w:pPr>
            <w:r>
              <w:rPr>
                <w:i/>
                <w:color w:val="000000"/>
                <w:spacing w:val="-2"/>
                <w:szCs w:val="16"/>
              </w:rPr>
              <w:t xml:space="preserve">In thousands of </w:t>
            </w:r>
            <w:r w:rsidR="002649EE">
              <w:rPr>
                <w:i/>
                <w:color w:val="000000"/>
                <w:spacing w:val="-2"/>
                <w:szCs w:val="16"/>
              </w:rPr>
              <w:t>EUR</w:t>
            </w:r>
          </w:p>
        </w:tc>
        <w:tc>
          <w:tcPr>
            <w:tcW w:w="301" w:type="pct"/>
            <w:tcBorders>
              <w:bottom w:val="single" w:sz="4" w:space="0" w:color="000000"/>
            </w:tcBorders>
          </w:tcPr>
          <w:p w14:paraId="286CA2A2"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Jan</w:t>
            </w:r>
          </w:p>
        </w:tc>
        <w:tc>
          <w:tcPr>
            <w:tcW w:w="301" w:type="pct"/>
            <w:tcBorders>
              <w:bottom w:val="single" w:sz="4" w:space="0" w:color="000000"/>
            </w:tcBorders>
          </w:tcPr>
          <w:p w14:paraId="6AA7EA94"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Feb</w:t>
            </w:r>
          </w:p>
        </w:tc>
        <w:tc>
          <w:tcPr>
            <w:tcW w:w="301" w:type="pct"/>
            <w:tcBorders>
              <w:bottom w:val="single" w:sz="4" w:space="0" w:color="000000"/>
            </w:tcBorders>
          </w:tcPr>
          <w:p w14:paraId="46DF25C7"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Mar</w:t>
            </w:r>
          </w:p>
        </w:tc>
        <w:tc>
          <w:tcPr>
            <w:tcW w:w="301" w:type="pct"/>
            <w:tcBorders>
              <w:bottom w:val="single" w:sz="4" w:space="0" w:color="000000"/>
            </w:tcBorders>
          </w:tcPr>
          <w:p w14:paraId="79B9205A"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April</w:t>
            </w:r>
          </w:p>
        </w:tc>
        <w:tc>
          <w:tcPr>
            <w:tcW w:w="301" w:type="pct"/>
            <w:tcBorders>
              <w:bottom w:val="single" w:sz="4" w:space="0" w:color="000000"/>
            </w:tcBorders>
          </w:tcPr>
          <w:p w14:paraId="4E1B0D76"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May</w:t>
            </w:r>
          </w:p>
        </w:tc>
        <w:tc>
          <w:tcPr>
            <w:tcW w:w="301" w:type="pct"/>
            <w:tcBorders>
              <w:bottom w:val="single" w:sz="4" w:space="0" w:color="000000"/>
            </w:tcBorders>
          </w:tcPr>
          <w:p w14:paraId="7EE04FF0"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June</w:t>
            </w:r>
          </w:p>
        </w:tc>
        <w:tc>
          <w:tcPr>
            <w:tcW w:w="301" w:type="pct"/>
            <w:tcBorders>
              <w:bottom w:val="single" w:sz="4" w:space="0" w:color="000000"/>
            </w:tcBorders>
          </w:tcPr>
          <w:p w14:paraId="7E67B5DA"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July</w:t>
            </w:r>
          </w:p>
        </w:tc>
        <w:tc>
          <w:tcPr>
            <w:tcW w:w="301" w:type="pct"/>
            <w:tcBorders>
              <w:bottom w:val="single" w:sz="4" w:space="0" w:color="000000"/>
            </w:tcBorders>
          </w:tcPr>
          <w:p w14:paraId="6BB85C36"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Aug</w:t>
            </w:r>
          </w:p>
        </w:tc>
        <w:tc>
          <w:tcPr>
            <w:tcW w:w="301" w:type="pct"/>
            <w:tcBorders>
              <w:bottom w:val="single" w:sz="4" w:space="0" w:color="000000"/>
            </w:tcBorders>
          </w:tcPr>
          <w:p w14:paraId="1AB672BD"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Sept</w:t>
            </w:r>
          </w:p>
        </w:tc>
        <w:tc>
          <w:tcPr>
            <w:tcW w:w="301" w:type="pct"/>
            <w:tcBorders>
              <w:bottom w:val="single" w:sz="4" w:space="0" w:color="000000"/>
            </w:tcBorders>
          </w:tcPr>
          <w:p w14:paraId="645C7E85"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Oct</w:t>
            </w:r>
          </w:p>
        </w:tc>
        <w:tc>
          <w:tcPr>
            <w:tcW w:w="301" w:type="pct"/>
            <w:tcBorders>
              <w:bottom w:val="single" w:sz="4" w:space="0" w:color="000000"/>
            </w:tcBorders>
          </w:tcPr>
          <w:p w14:paraId="4B6EA78E"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Nov</w:t>
            </w:r>
          </w:p>
        </w:tc>
        <w:tc>
          <w:tcPr>
            <w:tcW w:w="301" w:type="pct"/>
            <w:tcBorders>
              <w:bottom w:val="single" w:sz="4" w:space="0" w:color="000000"/>
            </w:tcBorders>
          </w:tcPr>
          <w:p w14:paraId="6F1EDA5C" w14:textId="77777777" w:rsidR="00D83E33" w:rsidRPr="001B330E" w:rsidRDefault="00BC4072" w:rsidP="001B330E">
            <w:pPr>
              <w:widowControl w:val="0"/>
              <w:pBdr>
                <w:top w:val="nil"/>
                <w:left w:val="nil"/>
                <w:bottom w:val="nil"/>
                <w:right w:val="nil"/>
                <w:between w:val="nil"/>
              </w:pBdr>
              <w:ind w:hanging="113"/>
              <w:jc w:val="right"/>
              <w:rPr>
                <w:b/>
                <w:color w:val="000000"/>
                <w:spacing w:val="-2"/>
                <w:szCs w:val="16"/>
              </w:rPr>
            </w:pPr>
            <w:r w:rsidRPr="001B330E">
              <w:rPr>
                <w:b/>
                <w:color w:val="000000"/>
                <w:spacing w:val="-2"/>
                <w:szCs w:val="16"/>
              </w:rPr>
              <w:t>Dec</w:t>
            </w:r>
          </w:p>
        </w:tc>
      </w:tr>
      <w:tr w:rsidR="00D83E33" w:rsidRPr="00077F42" w14:paraId="27FFA257" w14:textId="77777777" w:rsidTr="001B330E">
        <w:trPr>
          <w:trHeight w:val="23"/>
        </w:trPr>
        <w:tc>
          <w:tcPr>
            <w:tcW w:w="1387" w:type="pct"/>
            <w:vAlign w:val="bottom"/>
          </w:tcPr>
          <w:p w14:paraId="176B771F" w14:textId="77777777" w:rsidR="00D83E33" w:rsidRPr="001B330E" w:rsidRDefault="00BC4072" w:rsidP="001B330E">
            <w:pPr>
              <w:widowControl w:val="0"/>
              <w:pBdr>
                <w:top w:val="nil"/>
                <w:left w:val="nil"/>
                <w:bottom w:val="nil"/>
                <w:right w:val="nil"/>
                <w:between w:val="nil"/>
              </w:pBdr>
              <w:ind w:left="113" w:hanging="113"/>
              <w:rPr>
                <w:b/>
                <w:color w:val="000000"/>
                <w:spacing w:val="-2"/>
                <w:szCs w:val="16"/>
              </w:rPr>
            </w:pPr>
            <w:r w:rsidRPr="001B330E">
              <w:rPr>
                <w:b/>
                <w:color w:val="000000"/>
                <w:spacing w:val="-2"/>
                <w:szCs w:val="16"/>
              </w:rPr>
              <w:t> </w:t>
            </w:r>
          </w:p>
        </w:tc>
        <w:tc>
          <w:tcPr>
            <w:tcW w:w="301" w:type="pct"/>
            <w:vAlign w:val="bottom"/>
          </w:tcPr>
          <w:p w14:paraId="10C5A77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9B5895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461DE8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9A22B9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D70390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549435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6AA6E5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35745A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6193B1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0FDC12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1E77AC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85E62C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5EFDBB8B" w14:textId="77777777" w:rsidTr="001B330E">
        <w:trPr>
          <w:trHeight w:val="23"/>
        </w:trPr>
        <w:tc>
          <w:tcPr>
            <w:tcW w:w="1387" w:type="pct"/>
            <w:vAlign w:val="bottom"/>
          </w:tcPr>
          <w:p w14:paraId="1503B2BC" w14:textId="77777777" w:rsidR="00D83E33" w:rsidRPr="001B330E" w:rsidRDefault="00BC4072" w:rsidP="001B330E">
            <w:pPr>
              <w:widowControl w:val="0"/>
              <w:pBdr>
                <w:top w:val="nil"/>
                <w:left w:val="nil"/>
                <w:bottom w:val="nil"/>
                <w:right w:val="nil"/>
                <w:between w:val="nil"/>
              </w:pBdr>
              <w:ind w:left="113" w:hanging="113"/>
              <w:rPr>
                <w:i/>
                <w:color w:val="000000"/>
                <w:spacing w:val="-2"/>
                <w:szCs w:val="16"/>
              </w:rPr>
            </w:pPr>
            <w:r w:rsidRPr="001B330E">
              <w:rPr>
                <w:i/>
                <w:color w:val="000000"/>
                <w:spacing w:val="-2"/>
                <w:szCs w:val="16"/>
              </w:rPr>
              <w:t>Written put options:</w:t>
            </w:r>
          </w:p>
        </w:tc>
        <w:tc>
          <w:tcPr>
            <w:tcW w:w="301" w:type="pct"/>
            <w:vAlign w:val="bottom"/>
          </w:tcPr>
          <w:p w14:paraId="49EC8294"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115A4F05"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509631D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D02890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54EAFE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6BFD24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7F34DC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BFABC0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D0C4D5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C007CB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9BD5E7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0DD908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2B69386C" w14:textId="77777777" w:rsidTr="001B330E">
        <w:trPr>
          <w:trHeight w:val="23"/>
        </w:trPr>
        <w:tc>
          <w:tcPr>
            <w:tcW w:w="1387" w:type="pct"/>
            <w:vAlign w:val="bottom"/>
          </w:tcPr>
          <w:p w14:paraId="4710A80D"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Gains less losses recognised</w:t>
            </w:r>
          </w:p>
        </w:tc>
        <w:tc>
          <w:tcPr>
            <w:tcW w:w="301" w:type="pct"/>
            <w:vAlign w:val="bottom"/>
          </w:tcPr>
          <w:p w14:paraId="650BCB6B"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1087B9C4"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41EE4B4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DCAA9A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2DC253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28D9BC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D9F175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B4F0E7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2EBBFD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92C045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8B0020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34BBB9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4E4A6005" w14:textId="77777777" w:rsidTr="001B330E">
        <w:trPr>
          <w:trHeight w:val="23"/>
        </w:trPr>
        <w:tc>
          <w:tcPr>
            <w:tcW w:w="1387" w:type="pct"/>
            <w:vAlign w:val="bottom"/>
          </w:tcPr>
          <w:p w14:paraId="7EA65E86"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Proceeds from transfer activity</w:t>
            </w:r>
          </w:p>
        </w:tc>
        <w:tc>
          <w:tcPr>
            <w:tcW w:w="301" w:type="pct"/>
            <w:vAlign w:val="bottom"/>
          </w:tcPr>
          <w:p w14:paraId="4F852BF8"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42F4BB82"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41CA521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9BB99A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D02E4C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30F6DD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1F609A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6DD343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F28248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20F0C8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65FEEE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95C202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240A2F09" w14:textId="77777777" w:rsidTr="001B330E">
        <w:trPr>
          <w:trHeight w:val="23"/>
        </w:trPr>
        <w:tc>
          <w:tcPr>
            <w:tcW w:w="1387" w:type="pct"/>
            <w:vAlign w:val="bottom"/>
          </w:tcPr>
          <w:p w14:paraId="16527038"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b/>
                <w:color w:val="000000"/>
                <w:spacing w:val="-2"/>
                <w:szCs w:val="16"/>
              </w:rPr>
              <w:t> </w:t>
            </w:r>
          </w:p>
        </w:tc>
        <w:tc>
          <w:tcPr>
            <w:tcW w:w="301" w:type="pct"/>
            <w:vAlign w:val="bottom"/>
          </w:tcPr>
          <w:p w14:paraId="73A7C3FF"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0616FB8F"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3ABD626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E75183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D2F713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017266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328BB3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CA42F7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1BD981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18146B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782741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2AD0E4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3B55F3EC" w14:textId="77777777" w:rsidTr="001B330E">
        <w:trPr>
          <w:trHeight w:val="23"/>
        </w:trPr>
        <w:tc>
          <w:tcPr>
            <w:tcW w:w="1387" w:type="pct"/>
            <w:vAlign w:val="bottom"/>
          </w:tcPr>
          <w:p w14:paraId="35BB334D" w14:textId="77777777" w:rsidR="00D83E33" w:rsidRPr="001B330E" w:rsidRDefault="00BC4072" w:rsidP="001B330E">
            <w:pPr>
              <w:widowControl w:val="0"/>
              <w:pBdr>
                <w:top w:val="nil"/>
                <w:left w:val="nil"/>
                <w:bottom w:val="nil"/>
                <w:right w:val="nil"/>
                <w:between w:val="nil"/>
              </w:pBdr>
              <w:ind w:left="113" w:hanging="113"/>
              <w:rPr>
                <w:i/>
                <w:color w:val="000000"/>
                <w:spacing w:val="-2"/>
                <w:szCs w:val="16"/>
              </w:rPr>
            </w:pPr>
            <w:r w:rsidRPr="001B330E">
              <w:rPr>
                <w:i/>
                <w:color w:val="000000"/>
                <w:spacing w:val="-2"/>
                <w:szCs w:val="16"/>
              </w:rPr>
              <w:t>Purchased call options:</w:t>
            </w:r>
          </w:p>
        </w:tc>
        <w:tc>
          <w:tcPr>
            <w:tcW w:w="301" w:type="pct"/>
            <w:vAlign w:val="bottom"/>
          </w:tcPr>
          <w:p w14:paraId="69ABF24D"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047B724E"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0EDCD74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93AA5F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9FCD36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3473A3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E91060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CA02CC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7E2B50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F475BC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F98CEC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440F72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0FD77A06" w14:textId="77777777" w:rsidTr="001B330E">
        <w:trPr>
          <w:trHeight w:val="23"/>
        </w:trPr>
        <w:tc>
          <w:tcPr>
            <w:tcW w:w="1387" w:type="pct"/>
            <w:vAlign w:val="bottom"/>
          </w:tcPr>
          <w:p w14:paraId="6B7B8863"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Gains less losses recognised</w:t>
            </w:r>
          </w:p>
        </w:tc>
        <w:tc>
          <w:tcPr>
            <w:tcW w:w="301" w:type="pct"/>
            <w:vAlign w:val="bottom"/>
          </w:tcPr>
          <w:p w14:paraId="7D2C2E21"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22F2A50C"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51B276F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68B48C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8750DE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DA4506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3AD83A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2A1018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5C459A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8B1468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3EC36A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7F8D38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711F2D2E" w14:textId="77777777" w:rsidTr="001B330E">
        <w:trPr>
          <w:trHeight w:val="23"/>
        </w:trPr>
        <w:tc>
          <w:tcPr>
            <w:tcW w:w="1387" w:type="pct"/>
            <w:vAlign w:val="bottom"/>
          </w:tcPr>
          <w:p w14:paraId="5870F073"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Proceeds from transfer activity</w:t>
            </w:r>
          </w:p>
        </w:tc>
        <w:tc>
          <w:tcPr>
            <w:tcW w:w="301" w:type="pct"/>
            <w:vAlign w:val="bottom"/>
          </w:tcPr>
          <w:p w14:paraId="7FC5556C"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506B14C8"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370922E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48E025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6FCA37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516E5D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A7B4C8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732D8F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4B9549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4EE0F4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BCDC18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F86600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3016580D" w14:textId="77777777" w:rsidTr="001B330E">
        <w:trPr>
          <w:trHeight w:val="23"/>
        </w:trPr>
        <w:tc>
          <w:tcPr>
            <w:tcW w:w="1387" w:type="pct"/>
            <w:vAlign w:val="bottom"/>
          </w:tcPr>
          <w:p w14:paraId="54153DD6"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b/>
                <w:color w:val="000000"/>
                <w:spacing w:val="-2"/>
                <w:szCs w:val="16"/>
              </w:rPr>
              <w:t> </w:t>
            </w:r>
          </w:p>
        </w:tc>
        <w:tc>
          <w:tcPr>
            <w:tcW w:w="301" w:type="pct"/>
            <w:vAlign w:val="bottom"/>
          </w:tcPr>
          <w:p w14:paraId="4DF22BF5"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5E8D4173"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6C14C4B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3CCC9C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2658A7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C7DF9D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7E62ADB"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407028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BF8CF42"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333E52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8E9E7C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06D670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3381B525" w14:textId="77777777" w:rsidTr="001B330E">
        <w:trPr>
          <w:trHeight w:val="23"/>
        </w:trPr>
        <w:tc>
          <w:tcPr>
            <w:tcW w:w="1387" w:type="pct"/>
            <w:vAlign w:val="bottom"/>
          </w:tcPr>
          <w:p w14:paraId="643CC2C3" w14:textId="77777777" w:rsidR="00D83E33" w:rsidRPr="001B330E" w:rsidRDefault="00BC4072" w:rsidP="001B330E">
            <w:pPr>
              <w:widowControl w:val="0"/>
              <w:pBdr>
                <w:top w:val="nil"/>
                <w:left w:val="nil"/>
                <w:bottom w:val="nil"/>
                <w:right w:val="nil"/>
                <w:between w:val="nil"/>
              </w:pBdr>
              <w:ind w:left="113" w:hanging="113"/>
              <w:rPr>
                <w:i/>
                <w:color w:val="000000"/>
                <w:spacing w:val="-2"/>
                <w:szCs w:val="16"/>
              </w:rPr>
            </w:pPr>
            <w:r w:rsidRPr="001B330E">
              <w:rPr>
                <w:i/>
                <w:color w:val="000000"/>
                <w:spacing w:val="-2"/>
                <w:szCs w:val="16"/>
              </w:rPr>
              <w:t>Late payment risk guarantee:</w:t>
            </w:r>
          </w:p>
        </w:tc>
        <w:tc>
          <w:tcPr>
            <w:tcW w:w="301" w:type="pct"/>
            <w:vAlign w:val="bottom"/>
          </w:tcPr>
          <w:p w14:paraId="0A089D17"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077F4490"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38760D8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3F2876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A41689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A55369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21C871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B7657D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614A39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0D441C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09EB4C8D"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2E482FC"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2AD0B4BE" w14:textId="77777777" w:rsidTr="001B330E">
        <w:trPr>
          <w:trHeight w:val="23"/>
        </w:trPr>
        <w:tc>
          <w:tcPr>
            <w:tcW w:w="1387" w:type="pct"/>
            <w:vAlign w:val="bottom"/>
          </w:tcPr>
          <w:p w14:paraId="120F1DBE"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Gains less losses recognised</w:t>
            </w:r>
          </w:p>
        </w:tc>
        <w:tc>
          <w:tcPr>
            <w:tcW w:w="301" w:type="pct"/>
            <w:vAlign w:val="bottom"/>
          </w:tcPr>
          <w:p w14:paraId="68F4B892"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0F599BDF"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7BBD83E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0799F6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4E57A67"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295938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F49F1F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42D492F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0168F0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C78F69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7983DBE"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68581C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707B89D5" w14:textId="77777777" w:rsidTr="001B330E">
        <w:trPr>
          <w:trHeight w:val="23"/>
        </w:trPr>
        <w:tc>
          <w:tcPr>
            <w:tcW w:w="1387" w:type="pct"/>
            <w:vAlign w:val="bottom"/>
          </w:tcPr>
          <w:p w14:paraId="23B2A3C2" w14:textId="77777777" w:rsidR="00D83E33" w:rsidRPr="001B330E" w:rsidRDefault="00BC4072" w:rsidP="001B330E">
            <w:pPr>
              <w:widowControl w:val="0"/>
              <w:pBdr>
                <w:top w:val="nil"/>
                <w:left w:val="nil"/>
                <w:bottom w:val="nil"/>
                <w:right w:val="nil"/>
                <w:between w:val="nil"/>
              </w:pBdr>
              <w:ind w:left="113" w:hanging="113"/>
              <w:rPr>
                <w:color w:val="000000"/>
                <w:spacing w:val="-2"/>
                <w:szCs w:val="16"/>
              </w:rPr>
            </w:pPr>
            <w:r w:rsidRPr="001B330E">
              <w:rPr>
                <w:color w:val="000000"/>
                <w:spacing w:val="-2"/>
                <w:szCs w:val="16"/>
              </w:rPr>
              <w:t>Proceeds from transfer activity</w:t>
            </w:r>
          </w:p>
        </w:tc>
        <w:tc>
          <w:tcPr>
            <w:tcW w:w="301" w:type="pct"/>
            <w:vAlign w:val="bottom"/>
          </w:tcPr>
          <w:p w14:paraId="17410EF0"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35E6CF46"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vAlign w:val="bottom"/>
          </w:tcPr>
          <w:p w14:paraId="72AA923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4B7FD0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172E67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60000C7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7CEA214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3D0C16B5"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13CFFD4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2D34CA10"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D389AE8"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vAlign w:val="bottom"/>
          </w:tcPr>
          <w:p w14:paraId="5F9BA0F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r w:rsidR="00D83E33" w:rsidRPr="00077F42" w14:paraId="6C3CC216" w14:textId="77777777" w:rsidTr="001B330E">
        <w:trPr>
          <w:trHeight w:val="23"/>
        </w:trPr>
        <w:tc>
          <w:tcPr>
            <w:tcW w:w="1387" w:type="pct"/>
            <w:tcBorders>
              <w:bottom w:val="single" w:sz="12" w:space="0" w:color="000000"/>
            </w:tcBorders>
            <w:vAlign w:val="bottom"/>
          </w:tcPr>
          <w:p w14:paraId="4E63A99D" w14:textId="77777777" w:rsidR="00D83E33" w:rsidRPr="001B330E" w:rsidRDefault="00BC4072" w:rsidP="001B330E">
            <w:pPr>
              <w:widowControl w:val="0"/>
              <w:ind w:left="113" w:hanging="113"/>
              <w:rPr>
                <w:b/>
                <w:spacing w:val="-2"/>
                <w:szCs w:val="16"/>
              </w:rPr>
            </w:pPr>
            <w:r w:rsidRPr="001B330E">
              <w:rPr>
                <w:spacing w:val="-2"/>
                <w:szCs w:val="16"/>
              </w:rPr>
              <w:t> </w:t>
            </w:r>
          </w:p>
        </w:tc>
        <w:tc>
          <w:tcPr>
            <w:tcW w:w="301" w:type="pct"/>
            <w:tcBorders>
              <w:bottom w:val="single" w:sz="12" w:space="0" w:color="000000"/>
            </w:tcBorders>
            <w:vAlign w:val="bottom"/>
          </w:tcPr>
          <w:p w14:paraId="606EC1FA"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tcBorders>
              <w:bottom w:val="single" w:sz="12" w:space="0" w:color="000000"/>
            </w:tcBorders>
            <w:vAlign w:val="bottom"/>
          </w:tcPr>
          <w:p w14:paraId="14147AC6" w14:textId="77777777" w:rsidR="00D83E33" w:rsidRPr="001B330E" w:rsidRDefault="00D83E33" w:rsidP="001B330E">
            <w:pPr>
              <w:widowControl w:val="0"/>
              <w:pBdr>
                <w:top w:val="nil"/>
                <w:left w:val="nil"/>
                <w:bottom w:val="nil"/>
                <w:right w:val="nil"/>
                <w:between w:val="nil"/>
              </w:pBdr>
              <w:ind w:hanging="113"/>
              <w:jc w:val="right"/>
              <w:rPr>
                <w:color w:val="000000"/>
                <w:spacing w:val="-2"/>
                <w:szCs w:val="16"/>
              </w:rPr>
            </w:pPr>
          </w:p>
        </w:tc>
        <w:tc>
          <w:tcPr>
            <w:tcW w:w="301" w:type="pct"/>
            <w:tcBorders>
              <w:bottom w:val="single" w:sz="12" w:space="0" w:color="000000"/>
            </w:tcBorders>
            <w:vAlign w:val="bottom"/>
          </w:tcPr>
          <w:p w14:paraId="70B6C76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2F0DCE6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3FB53B63"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26B40E3F"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6493531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02E768C9"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02AB88D1"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09AC6A56"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36781664"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c>
          <w:tcPr>
            <w:tcW w:w="301" w:type="pct"/>
            <w:tcBorders>
              <w:bottom w:val="single" w:sz="12" w:space="0" w:color="000000"/>
            </w:tcBorders>
            <w:vAlign w:val="bottom"/>
          </w:tcPr>
          <w:p w14:paraId="37FFD28A" w14:textId="77777777" w:rsidR="00D83E33" w:rsidRPr="001B330E" w:rsidRDefault="00D83E33" w:rsidP="001B330E">
            <w:pPr>
              <w:widowControl w:val="0"/>
              <w:pBdr>
                <w:top w:val="nil"/>
                <w:left w:val="nil"/>
                <w:bottom w:val="nil"/>
                <w:right w:val="nil"/>
                <w:between w:val="nil"/>
              </w:pBdr>
              <w:ind w:hanging="113"/>
              <w:jc w:val="right"/>
              <w:rPr>
                <w:b/>
                <w:color w:val="000000"/>
                <w:spacing w:val="-2"/>
                <w:szCs w:val="16"/>
              </w:rPr>
            </w:pPr>
          </w:p>
        </w:tc>
      </w:tr>
    </w:tbl>
    <w:p w14:paraId="58389C38" w14:textId="77777777" w:rsidR="00077F42" w:rsidRDefault="00077F42" w:rsidP="001B330E">
      <w:pPr>
        <w:pStyle w:val="Continued"/>
      </w:pPr>
      <w:r>
        <w:lastRenderedPageBreak/>
        <w:t>47</w:t>
      </w:r>
      <w:r>
        <w:tab/>
        <w:t>Transfers of Financial Assets (Continued)</w:t>
      </w:r>
    </w:p>
    <w:p w14:paraId="71EEAA8B" w14:textId="2C69631F" w:rsidR="00D83E33" w:rsidRDefault="00BC4072" w:rsidP="001B330E">
      <w:pPr>
        <w:widowControl w:val="0"/>
        <w:spacing w:before="200" w:after="200"/>
        <w:jc w:val="both"/>
        <w:rPr>
          <w:color w:val="0000FF"/>
          <w:sz w:val="20"/>
          <w:szCs w:val="20"/>
        </w:rPr>
      </w:pPr>
      <w:r>
        <w:rPr>
          <w:sz w:val="20"/>
          <w:szCs w:val="20"/>
        </w:rPr>
        <w:t xml:space="preserve"> </w:t>
      </w:r>
      <w:r>
        <w:rPr>
          <w:color w:val="0000FF"/>
          <w:sz w:val="20"/>
          <w:szCs w:val="20"/>
        </w:rPr>
        <w:t xml:space="preserve">[The transfer activity was not evenly distributed during the reporting period. In [month] </w:t>
      </w:r>
      <w:r w:rsidR="00541EBC">
        <w:rPr>
          <w:color w:val="0000FF"/>
          <w:sz w:val="20"/>
          <w:szCs w:val="20"/>
        </w:rPr>
        <w:t>2024</w:t>
      </w:r>
      <w:r>
        <w:rPr>
          <w:color w:val="0000FF"/>
          <w:sz w:val="20"/>
          <w:szCs w:val="20"/>
        </w:rPr>
        <w:t xml:space="preserve">, the Group sold a portfolio of [loans] for </w:t>
      </w:r>
      <w:r w:rsidR="00D73799">
        <w:rPr>
          <w:color w:val="0000FF"/>
          <w:sz w:val="20"/>
          <w:szCs w:val="20"/>
        </w:rPr>
        <w:t>EUR</w:t>
      </w:r>
      <w:r>
        <w:rPr>
          <w:color w:val="0000FF"/>
          <w:sz w:val="20"/>
          <w:szCs w:val="20"/>
        </w:rPr>
        <w:t xml:space="preserve"> ____ thousand recognising a net gain of </w:t>
      </w:r>
      <w:r w:rsidR="00D73799">
        <w:rPr>
          <w:color w:val="0000FF"/>
          <w:sz w:val="20"/>
          <w:szCs w:val="20"/>
        </w:rPr>
        <w:t>EUR</w:t>
      </w:r>
      <w:r>
        <w:rPr>
          <w:color w:val="0000FF"/>
          <w:sz w:val="20"/>
          <w:szCs w:val="20"/>
        </w:rPr>
        <w:t xml:space="preserve"> ____ thousand. In this transaction, the Group [guaranteed late payment risk up to 30 days by agreeing to pay late payment interest for such period to the purchaser]. In [month] </w:t>
      </w:r>
      <w:r w:rsidR="00541EBC">
        <w:rPr>
          <w:color w:val="0000FF"/>
          <w:sz w:val="20"/>
          <w:szCs w:val="20"/>
        </w:rPr>
        <w:t>2024</w:t>
      </w:r>
      <w:r>
        <w:rPr>
          <w:color w:val="0000FF"/>
          <w:sz w:val="20"/>
          <w:szCs w:val="20"/>
        </w:rPr>
        <w:t xml:space="preserve">, the Group sold a portfolio of [loans] for </w:t>
      </w:r>
      <w:r w:rsidR="00D73799">
        <w:rPr>
          <w:color w:val="0000FF"/>
          <w:sz w:val="20"/>
          <w:szCs w:val="20"/>
        </w:rPr>
        <w:t>EUR</w:t>
      </w:r>
      <w:r>
        <w:rPr>
          <w:color w:val="0000FF"/>
          <w:sz w:val="20"/>
          <w:szCs w:val="20"/>
        </w:rPr>
        <w:t xml:space="preserve"> ____ thousand recognising a net gain of </w:t>
      </w:r>
      <w:r w:rsidR="00D73799">
        <w:rPr>
          <w:color w:val="0000FF"/>
          <w:sz w:val="20"/>
          <w:szCs w:val="20"/>
        </w:rPr>
        <w:t>EUR</w:t>
      </w:r>
      <w:r>
        <w:rPr>
          <w:color w:val="0000FF"/>
          <w:sz w:val="20"/>
          <w:szCs w:val="20"/>
        </w:rPr>
        <w:t xml:space="preserve"> ____ thousand. In this transaction, the Group [issued to the purchaser a put option that was deeply out of money].</w:t>
      </w:r>
    </w:p>
    <w:p w14:paraId="7876324A" w14:textId="3B687734" w:rsidR="00D83E33" w:rsidRDefault="00BC4072" w:rsidP="001B330E">
      <w:pPr>
        <w:widowControl w:val="0"/>
        <w:spacing w:before="200" w:after="200"/>
        <w:jc w:val="both"/>
        <w:rPr>
          <w:color w:val="0000FF"/>
          <w:sz w:val="20"/>
          <w:szCs w:val="20"/>
        </w:rPr>
      </w:pPr>
      <w:r>
        <w:rPr>
          <w:color w:val="0000FF"/>
          <w:sz w:val="20"/>
          <w:szCs w:val="20"/>
        </w:rPr>
        <w:t xml:space="preserve">In [month] </w:t>
      </w:r>
      <w:r w:rsidR="00541EBC">
        <w:rPr>
          <w:color w:val="0000FF"/>
          <w:sz w:val="20"/>
          <w:szCs w:val="20"/>
        </w:rPr>
        <w:t>2023</w:t>
      </w:r>
      <w:r>
        <w:rPr>
          <w:color w:val="0000FF"/>
          <w:sz w:val="20"/>
          <w:szCs w:val="20"/>
        </w:rPr>
        <w:t xml:space="preserve">, the Group sold a portfolio of [loans] for </w:t>
      </w:r>
      <w:r w:rsidR="00D73799">
        <w:rPr>
          <w:color w:val="0000FF"/>
          <w:sz w:val="20"/>
          <w:szCs w:val="20"/>
        </w:rPr>
        <w:t>EUR</w:t>
      </w:r>
      <w:r>
        <w:rPr>
          <w:color w:val="0000FF"/>
          <w:sz w:val="20"/>
          <w:szCs w:val="20"/>
        </w:rPr>
        <w:t xml:space="preserve"> ____ thousand recognising a net gain of </w:t>
      </w:r>
      <w:r w:rsidR="00D73799">
        <w:rPr>
          <w:color w:val="0000FF"/>
          <w:sz w:val="20"/>
          <w:szCs w:val="20"/>
        </w:rPr>
        <w:t>EUR</w:t>
      </w:r>
      <w:r>
        <w:rPr>
          <w:color w:val="0000FF"/>
          <w:sz w:val="20"/>
          <w:szCs w:val="20"/>
        </w:rPr>
        <w:t xml:space="preserve"> ____ thousand. In this transaction, the Group [guaranteed late payment risk up to 30 days by agreeing to pay late payment interest for such period to the purchaser]. In [month] </w:t>
      </w:r>
      <w:r w:rsidR="00541EBC">
        <w:rPr>
          <w:color w:val="0000FF"/>
          <w:sz w:val="20"/>
          <w:szCs w:val="20"/>
        </w:rPr>
        <w:t>2023</w:t>
      </w:r>
      <w:r>
        <w:rPr>
          <w:color w:val="0000FF"/>
          <w:sz w:val="20"/>
          <w:szCs w:val="20"/>
        </w:rPr>
        <w:t xml:space="preserve">, the Group sold a portfolio of [loans] for </w:t>
      </w:r>
      <w:r w:rsidR="00D73799">
        <w:rPr>
          <w:color w:val="0000FF"/>
          <w:sz w:val="20"/>
          <w:szCs w:val="20"/>
        </w:rPr>
        <w:t>EUR</w:t>
      </w:r>
      <w:r>
        <w:rPr>
          <w:color w:val="0000FF"/>
          <w:sz w:val="20"/>
          <w:szCs w:val="20"/>
        </w:rPr>
        <w:t xml:space="preserve"> ____ thousand recognising a net gain of </w:t>
      </w:r>
      <w:r w:rsidR="00D73799">
        <w:rPr>
          <w:color w:val="0000FF"/>
          <w:sz w:val="20"/>
          <w:szCs w:val="20"/>
        </w:rPr>
        <w:t>EUR</w:t>
      </w:r>
      <w:r>
        <w:rPr>
          <w:color w:val="0000FF"/>
          <w:sz w:val="20"/>
          <w:szCs w:val="20"/>
        </w:rPr>
        <w:t xml:space="preserve"> ____ thousand. In this transaction, the Group [issued to the purchaser a put option that was deeply out of money].]</w:t>
      </w:r>
    </w:p>
    <w:p w14:paraId="6974437B" w14:textId="77777777" w:rsidR="00D83E33" w:rsidRDefault="00BC4072" w:rsidP="001B330E">
      <w:pPr>
        <w:pStyle w:val="Heading1"/>
      </w:pPr>
      <w:bookmarkStart w:id="123" w:name="_Toc179196050"/>
      <w:r w:rsidRPr="00077F42">
        <w:t>Derivative</w:t>
      </w:r>
      <w:r>
        <w:t xml:space="preserve"> Financial Instruments</w:t>
      </w:r>
      <w:bookmarkEnd w:id="123"/>
      <w:r>
        <w:tab/>
      </w:r>
    </w:p>
    <w:p w14:paraId="3C343E4C" w14:textId="620C5B93" w:rsidR="00093671" w:rsidRDefault="00093671" w:rsidP="00093671">
      <w:pPr>
        <w:widowControl w:val="0"/>
        <w:pBdr>
          <w:top w:val="nil"/>
          <w:left w:val="nil"/>
          <w:bottom w:val="nil"/>
          <w:right w:val="nil"/>
          <w:between w:val="nil"/>
        </w:pBdr>
        <w:spacing w:before="200" w:after="200"/>
        <w:jc w:val="both"/>
        <w:rPr>
          <w:color w:val="000000"/>
          <w:sz w:val="20"/>
          <w:szCs w:val="20"/>
        </w:rPr>
      </w:pPr>
      <w:r>
        <w:rPr>
          <w:b/>
          <w:color w:val="FF0000"/>
          <w:sz w:val="20"/>
          <w:szCs w:val="20"/>
        </w:rPr>
        <w:t xml:space="preserve"> </w:t>
      </w:r>
      <w:r>
        <w:rPr>
          <w:color w:val="000000"/>
          <w:sz w:val="20"/>
          <w:szCs w:val="20"/>
        </w:rPr>
        <w:t xml:space="preserve">Derivative financial instruments, including foreign exchange contracts, interest rate futures, forward rate agreements, currency and interest rate swaps, and currency and interest rate options are carried at their fair value. </w:t>
      </w:r>
    </w:p>
    <w:p w14:paraId="3B46C8FE" w14:textId="77777777" w:rsidR="00093671" w:rsidRPr="00093671" w:rsidRDefault="00093671" w:rsidP="00093671">
      <w:pPr>
        <w:widowControl w:val="0"/>
        <w:pBdr>
          <w:top w:val="nil"/>
          <w:left w:val="nil"/>
          <w:bottom w:val="nil"/>
          <w:right w:val="nil"/>
          <w:between w:val="nil"/>
        </w:pBdr>
        <w:spacing w:before="200" w:after="200"/>
        <w:jc w:val="both"/>
        <w:rPr>
          <w:i/>
          <w:color w:val="0000FF"/>
          <w:sz w:val="20"/>
          <w:szCs w:val="20"/>
        </w:rPr>
      </w:pPr>
      <w:r>
        <w:rPr>
          <w:color w:val="0000FF"/>
          <w:sz w:val="20"/>
          <w:szCs w:val="20"/>
        </w:rPr>
        <w:t xml:space="preserve">[The Group also enters into offsetting loans with its counterparty banks to exchange currencies. Such loans, while legally separate, are aggregated and accounted for as a single derivative financial instrument (currency swap) on a net basis where (i) the loans are entered into at the same time and in contemplation of one another, (ii) they have the same counterparty, (iii) they relate to the same risk and (iv) there is no apparent business purpose for structuring the transactions separately that could not also have been </w:t>
      </w:r>
      <w:r w:rsidRPr="00093671">
        <w:rPr>
          <w:color w:val="0000FF"/>
          <w:sz w:val="20"/>
          <w:szCs w:val="20"/>
        </w:rPr>
        <w:t>accomplished in a single transaction.]</w:t>
      </w:r>
    </w:p>
    <w:p w14:paraId="25999AE2" w14:textId="4869B0FC"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[All derivative instruments are carried as assets when fair value is positive, and as liabilities when fair value is negative</w:t>
      </w:r>
      <w:r w:rsidRPr="00093671">
        <w:rPr>
          <w:i/>
          <w:color w:val="0000FF"/>
          <w:sz w:val="20"/>
          <w:szCs w:val="20"/>
        </w:rPr>
        <w:t xml:space="preserve">. </w:t>
      </w:r>
      <w:r w:rsidRPr="00093671">
        <w:rPr>
          <w:color w:val="0000FF"/>
          <w:sz w:val="20"/>
          <w:szCs w:val="20"/>
        </w:rPr>
        <w:t>Changes in the fair value of derivative instruments are included in profit or loss for the year (gains less losses on derivatives). The Group does not apply hedge accounting.]</w:t>
      </w:r>
    </w:p>
    <w:p w14:paraId="10D78514" w14:textId="0381E30E" w:rsidR="00093671" w:rsidRPr="00093671" w:rsidRDefault="00093671" w:rsidP="00093671">
      <w:pPr>
        <w:widowControl w:val="0"/>
        <w:pBdr>
          <w:top w:val="nil"/>
          <w:left w:val="nil"/>
          <w:bottom w:val="nil"/>
          <w:right w:val="nil"/>
          <w:between w:val="nil"/>
        </w:pBdr>
        <w:spacing w:before="200" w:after="200"/>
        <w:jc w:val="both"/>
        <w:rPr>
          <w:color w:val="0000FF"/>
          <w:sz w:val="20"/>
          <w:szCs w:val="20"/>
        </w:rPr>
      </w:pPr>
      <w:r w:rsidRPr="00093671">
        <w:rPr>
          <w:color w:val="0000FF"/>
          <w:sz w:val="20"/>
          <w:szCs w:val="20"/>
        </w:rPr>
        <w:t>[Certain derivative instruments embedded in financial liabilities and other non-financial contracts are treated as separate derivative instruments when their risks and characteristics are not closely related to those of the host contract.]</w:t>
      </w:r>
    </w:p>
    <w:p w14:paraId="2500C3B2" w14:textId="77777777" w:rsidR="008B6A03" w:rsidRPr="001B330E" w:rsidRDefault="008B6A03" w:rsidP="008B6A03">
      <w:pPr>
        <w:pStyle w:val="Continued"/>
        <w:rPr>
          <w:spacing w:val="-2"/>
        </w:rPr>
      </w:pPr>
      <w:r>
        <w:lastRenderedPageBreak/>
        <w:t>48</w:t>
      </w:r>
      <w:r>
        <w:tab/>
      </w:r>
      <w:r w:rsidRPr="001B330E">
        <w:rPr>
          <w:spacing w:val="-2"/>
        </w:rPr>
        <w:t>Derivative Financial Instruments (Continued)</w:t>
      </w:r>
    </w:p>
    <w:p w14:paraId="2C4DB69A" w14:textId="64CFF6CF"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The table below sets out fair values, at the end of the reporting period, of currencies receivable or payable under foreign exchange forward and swap contracts entered into by the Group. The table reflects gross positions before the netting of any counterparty positions (and payments) and covers the contracts with settlement dates after the end of the respective reporting period. The contracts are short term in nature:</w:t>
      </w:r>
    </w:p>
    <w:tbl>
      <w:tblPr>
        <w:tblStyle w:val="affffffffffffffff3"/>
        <w:tblW w:w="5000" w:type="pct"/>
        <w:tblLayout w:type="fixed"/>
        <w:tblLook w:val="0000" w:firstRow="0" w:lastRow="0" w:firstColumn="0" w:lastColumn="0" w:noHBand="0" w:noVBand="0"/>
      </w:tblPr>
      <w:tblGrid>
        <w:gridCol w:w="3628"/>
        <w:gridCol w:w="737"/>
        <w:gridCol w:w="1248"/>
        <w:gridCol w:w="1248"/>
        <w:gridCol w:w="1248"/>
        <w:gridCol w:w="1246"/>
      </w:tblGrid>
      <w:tr w:rsidR="00D83E33" w:rsidRPr="00EA10CF" w14:paraId="707B8B3E" w14:textId="77777777" w:rsidTr="001B330E">
        <w:trPr>
          <w:trHeight w:val="23"/>
        </w:trPr>
        <w:tc>
          <w:tcPr>
            <w:tcW w:w="1939" w:type="pct"/>
            <w:vAlign w:val="bottom"/>
          </w:tcPr>
          <w:p w14:paraId="3C630185"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394" w:type="pct"/>
            <w:vMerge w:val="restart"/>
            <w:vAlign w:val="bottom"/>
          </w:tcPr>
          <w:p w14:paraId="3D3E2169" w14:textId="77777777" w:rsidR="00D83E33" w:rsidRPr="00EA10CF" w:rsidRDefault="00BC4072" w:rsidP="001B330E">
            <w:pPr>
              <w:widowControl w:val="0"/>
              <w:pBdr>
                <w:top w:val="nil"/>
                <w:left w:val="nil"/>
                <w:bottom w:val="nil"/>
                <w:right w:val="nil"/>
                <w:between w:val="nil"/>
              </w:pBdr>
              <w:jc w:val="center"/>
              <w:rPr>
                <w:b/>
                <w:color w:val="000000"/>
              </w:rPr>
            </w:pPr>
            <w:r w:rsidRPr="00EA10CF">
              <w:rPr>
                <w:b/>
                <w:color w:val="000000"/>
              </w:rPr>
              <w:t>Notes</w:t>
            </w:r>
          </w:p>
        </w:tc>
        <w:tc>
          <w:tcPr>
            <w:tcW w:w="1334" w:type="pct"/>
            <w:gridSpan w:val="2"/>
            <w:tcBorders>
              <w:bottom w:val="single" w:sz="4" w:space="0" w:color="000000"/>
            </w:tcBorders>
            <w:vAlign w:val="bottom"/>
          </w:tcPr>
          <w:p w14:paraId="139487AC" w14:textId="31B1DD7C" w:rsidR="00D83E33" w:rsidRPr="00EA10CF" w:rsidRDefault="00541EBC" w:rsidP="001B330E">
            <w:pPr>
              <w:widowControl w:val="0"/>
              <w:pBdr>
                <w:top w:val="nil"/>
                <w:left w:val="nil"/>
                <w:bottom w:val="nil"/>
                <w:right w:val="nil"/>
                <w:between w:val="nil"/>
              </w:pBdr>
              <w:jc w:val="center"/>
              <w:rPr>
                <w:b/>
                <w:color w:val="000000"/>
              </w:rPr>
            </w:pPr>
            <w:r>
              <w:rPr>
                <w:b/>
                <w:color w:val="000000"/>
              </w:rPr>
              <w:t>2024</w:t>
            </w:r>
          </w:p>
        </w:tc>
        <w:tc>
          <w:tcPr>
            <w:tcW w:w="1333" w:type="pct"/>
            <w:gridSpan w:val="2"/>
            <w:tcBorders>
              <w:bottom w:val="single" w:sz="4" w:space="0" w:color="000000"/>
            </w:tcBorders>
            <w:vAlign w:val="bottom"/>
          </w:tcPr>
          <w:p w14:paraId="442592BF" w14:textId="0F8A9E7D" w:rsidR="00D83E33" w:rsidRPr="00EA10CF" w:rsidRDefault="00541EBC" w:rsidP="001B330E">
            <w:pPr>
              <w:widowControl w:val="0"/>
              <w:pBdr>
                <w:top w:val="nil"/>
                <w:left w:val="nil"/>
                <w:bottom w:val="nil"/>
                <w:right w:val="nil"/>
                <w:between w:val="nil"/>
              </w:pBdr>
              <w:jc w:val="center"/>
              <w:rPr>
                <w:b/>
                <w:color w:val="000000"/>
              </w:rPr>
            </w:pPr>
            <w:r>
              <w:rPr>
                <w:b/>
                <w:color w:val="000000"/>
              </w:rPr>
              <w:t>2023</w:t>
            </w:r>
          </w:p>
        </w:tc>
      </w:tr>
      <w:tr w:rsidR="00D83E33" w:rsidRPr="00EA10CF" w14:paraId="408460D8" w14:textId="77777777" w:rsidTr="001B330E">
        <w:trPr>
          <w:trHeight w:val="23"/>
        </w:trPr>
        <w:tc>
          <w:tcPr>
            <w:tcW w:w="1939" w:type="pct"/>
            <w:tcBorders>
              <w:bottom w:val="single" w:sz="4" w:space="0" w:color="000000"/>
            </w:tcBorders>
            <w:vAlign w:val="bottom"/>
          </w:tcPr>
          <w:p w14:paraId="4E99ABE7" w14:textId="5AA8948F" w:rsidR="00D83E33" w:rsidRPr="00EA10CF"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394" w:type="pct"/>
            <w:vMerge/>
            <w:vAlign w:val="bottom"/>
          </w:tcPr>
          <w:p w14:paraId="7864A9C9" w14:textId="77777777" w:rsidR="00D83E33" w:rsidRPr="00EA10CF" w:rsidRDefault="00D83E33" w:rsidP="001B330E">
            <w:pPr>
              <w:widowControl w:val="0"/>
              <w:pBdr>
                <w:top w:val="nil"/>
                <w:left w:val="nil"/>
                <w:bottom w:val="nil"/>
                <w:right w:val="nil"/>
                <w:between w:val="nil"/>
              </w:pBdr>
              <w:rPr>
                <w:i/>
                <w:color w:val="000000"/>
              </w:rPr>
            </w:pPr>
          </w:p>
        </w:tc>
        <w:tc>
          <w:tcPr>
            <w:tcW w:w="667" w:type="pct"/>
            <w:tcBorders>
              <w:top w:val="single" w:sz="4" w:space="0" w:color="000000"/>
              <w:bottom w:val="single" w:sz="4" w:space="0" w:color="000000"/>
            </w:tcBorders>
          </w:tcPr>
          <w:p w14:paraId="48D2814D"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Contracts with positive fair value</w:t>
            </w:r>
          </w:p>
        </w:tc>
        <w:tc>
          <w:tcPr>
            <w:tcW w:w="667" w:type="pct"/>
            <w:tcBorders>
              <w:top w:val="single" w:sz="4" w:space="0" w:color="000000"/>
              <w:bottom w:val="single" w:sz="4" w:space="0" w:color="000000"/>
            </w:tcBorders>
          </w:tcPr>
          <w:p w14:paraId="4EB7356C"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Contracts with negative fair value</w:t>
            </w:r>
          </w:p>
        </w:tc>
        <w:tc>
          <w:tcPr>
            <w:tcW w:w="667" w:type="pct"/>
            <w:tcBorders>
              <w:top w:val="single" w:sz="4" w:space="0" w:color="000000"/>
              <w:bottom w:val="single" w:sz="4" w:space="0" w:color="000000"/>
            </w:tcBorders>
          </w:tcPr>
          <w:p w14:paraId="658950E4" w14:textId="77777777" w:rsidR="00D83E33" w:rsidRPr="00EA10CF" w:rsidRDefault="00BC4072" w:rsidP="001B330E">
            <w:pPr>
              <w:widowControl w:val="0"/>
              <w:pBdr>
                <w:top w:val="nil"/>
                <w:left w:val="nil"/>
                <w:bottom w:val="nil"/>
                <w:right w:val="nil"/>
                <w:between w:val="nil"/>
              </w:pBdr>
              <w:tabs>
                <w:tab w:val="right" w:pos="8782"/>
              </w:tabs>
              <w:jc w:val="right"/>
              <w:rPr>
                <w:b/>
                <w:color w:val="000000"/>
              </w:rPr>
            </w:pPr>
            <w:r w:rsidRPr="00EA10CF">
              <w:rPr>
                <w:b/>
                <w:color w:val="000000"/>
              </w:rPr>
              <w:t>Contracts with positive fair value</w:t>
            </w:r>
          </w:p>
        </w:tc>
        <w:tc>
          <w:tcPr>
            <w:tcW w:w="666" w:type="pct"/>
            <w:tcBorders>
              <w:top w:val="single" w:sz="4" w:space="0" w:color="000000"/>
              <w:bottom w:val="single" w:sz="4" w:space="0" w:color="000000"/>
            </w:tcBorders>
          </w:tcPr>
          <w:p w14:paraId="5FF120CE" w14:textId="77777777" w:rsidR="00D83E33" w:rsidRPr="00EA10CF" w:rsidRDefault="00BC4072" w:rsidP="001B330E">
            <w:pPr>
              <w:widowControl w:val="0"/>
              <w:pBdr>
                <w:top w:val="nil"/>
                <w:left w:val="nil"/>
                <w:bottom w:val="nil"/>
                <w:right w:val="nil"/>
                <w:between w:val="nil"/>
              </w:pBdr>
              <w:tabs>
                <w:tab w:val="right" w:pos="8782"/>
              </w:tabs>
              <w:jc w:val="right"/>
              <w:rPr>
                <w:b/>
                <w:color w:val="000000"/>
              </w:rPr>
            </w:pPr>
            <w:r w:rsidRPr="00EA10CF">
              <w:rPr>
                <w:b/>
                <w:color w:val="000000"/>
              </w:rPr>
              <w:t>Contracts with negative fair value</w:t>
            </w:r>
          </w:p>
        </w:tc>
      </w:tr>
      <w:tr w:rsidR="00D83E33" w:rsidRPr="00EA10CF" w14:paraId="7D558E37" w14:textId="77777777" w:rsidTr="001B330E">
        <w:trPr>
          <w:trHeight w:val="23"/>
        </w:trPr>
        <w:tc>
          <w:tcPr>
            <w:tcW w:w="1939" w:type="pct"/>
            <w:tcBorders>
              <w:top w:val="single" w:sz="4" w:space="0" w:color="000000"/>
            </w:tcBorders>
            <w:vAlign w:val="bottom"/>
          </w:tcPr>
          <w:p w14:paraId="3184086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94" w:type="pct"/>
            <w:tcBorders>
              <w:top w:val="single" w:sz="4" w:space="0" w:color="000000"/>
            </w:tcBorders>
            <w:vAlign w:val="bottom"/>
          </w:tcPr>
          <w:p w14:paraId="3143FBCA" w14:textId="77777777" w:rsidR="00D83E33" w:rsidRPr="00EA10CF" w:rsidRDefault="00D83E33" w:rsidP="001B330E">
            <w:pPr>
              <w:widowControl w:val="0"/>
              <w:pBdr>
                <w:top w:val="nil"/>
                <w:left w:val="nil"/>
                <w:bottom w:val="nil"/>
                <w:right w:val="nil"/>
                <w:between w:val="nil"/>
              </w:pBdr>
              <w:jc w:val="center"/>
              <w:rPr>
                <w:color w:val="000000"/>
              </w:rPr>
            </w:pPr>
          </w:p>
        </w:tc>
        <w:tc>
          <w:tcPr>
            <w:tcW w:w="667" w:type="pct"/>
            <w:tcBorders>
              <w:top w:val="single" w:sz="4" w:space="0" w:color="000000"/>
            </w:tcBorders>
            <w:vAlign w:val="bottom"/>
          </w:tcPr>
          <w:p w14:paraId="181F4515" w14:textId="77777777" w:rsidR="00D83E33" w:rsidRPr="00EA10CF" w:rsidRDefault="00D83E33" w:rsidP="001B330E">
            <w:pPr>
              <w:widowControl w:val="0"/>
              <w:pBdr>
                <w:top w:val="nil"/>
                <w:left w:val="nil"/>
                <w:bottom w:val="nil"/>
                <w:right w:val="nil"/>
                <w:between w:val="nil"/>
              </w:pBdr>
              <w:jc w:val="right"/>
              <w:rPr>
                <w:b/>
                <w:color w:val="000000"/>
              </w:rPr>
            </w:pPr>
          </w:p>
        </w:tc>
        <w:tc>
          <w:tcPr>
            <w:tcW w:w="667" w:type="pct"/>
            <w:tcBorders>
              <w:top w:val="single" w:sz="4" w:space="0" w:color="000000"/>
            </w:tcBorders>
            <w:vAlign w:val="bottom"/>
          </w:tcPr>
          <w:p w14:paraId="02AA0229" w14:textId="77777777" w:rsidR="00D83E33" w:rsidRPr="00EA10CF" w:rsidRDefault="00D83E33" w:rsidP="001B330E">
            <w:pPr>
              <w:widowControl w:val="0"/>
              <w:pBdr>
                <w:top w:val="nil"/>
                <w:left w:val="nil"/>
                <w:bottom w:val="nil"/>
                <w:right w:val="nil"/>
                <w:between w:val="nil"/>
              </w:pBdr>
              <w:jc w:val="right"/>
              <w:rPr>
                <w:b/>
                <w:color w:val="000000"/>
              </w:rPr>
            </w:pPr>
          </w:p>
        </w:tc>
        <w:tc>
          <w:tcPr>
            <w:tcW w:w="667" w:type="pct"/>
            <w:tcBorders>
              <w:top w:val="single" w:sz="4" w:space="0" w:color="000000"/>
            </w:tcBorders>
            <w:vAlign w:val="bottom"/>
          </w:tcPr>
          <w:p w14:paraId="4F2195F7" w14:textId="77777777" w:rsidR="00D83E33" w:rsidRPr="00EA10CF" w:rsidRDefault="00D83E33" w:rsidP="001B330E">
            <w:pPr>
              <w:widowControl w:val="0"/>
              <w:pBdr>
                <w:top w:val="nil"/>
                <w:left w:val="nil"/>
                <w:bottom w:val="nil"/>
                <w:right w:val="nil"/>
                <w:between w:val="nil"/>
              </w:pBdr>
              <w:jc w:val="right"/>
              <w:rPr>
                <w:b/>
                <w:color w:val="000000"/>
              </w:rPr>
            </w:pPr>
          </w:p>
        </w:tc>
        <w:tc>
          <w:tcPr>
            <w:tcW w:w="666" w:type="pct"/>
            <w:tcBorders>
              <w:top w:val="single" w:sz="4" w:space="0" w:color="000000"/>
            </w:tcBorders>
            <w:vAlign w:val="bottom"/>
          </w:tcPr>
          <w:p w14:paraId="568311FA"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E292E2E" w14:textId="77777777" w:rsidTr="001B330E">
        <w:trPr>
          <w:trHeight w:val="23"/>
        </w:trPr>
        <w:tc>
          <w:tcPr>
            <w:tcW w:w="1939" w:type="pct"/>
            <w:vAlign w:val="bottom"/>
          </w:tcPr>
          <w:p w14:paraId="563DD17C"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Foreign exchange forwards and swaps: fair values, at the end of the reporting period, of</w:t>
            </w:r>
          </w:p>
        </w:tc>
        <w:tc>
          <w:tcPr>
            <w:tcW w:w="394" w:type="pct"/>
            <w:vAlign w:val="bottom"/>
          </w:tcPr>
          <w:p w14:paraId="1C9A657B" w14:textId="77777777" w:rsidR="00D83E33" w:rsidRPr="00EA10CF" w:rsidRDefault="00D83E33" w:rsidP="001B330E">
            <w:pPr>
              <w:widowControl w:val="0"/>
              <w:pBdr>
                <w:top w:val="nil"/>
                <w:left w:val="nil"/>
                <w:bottom w:val="nil"/>
                <w:right w:val="nil"/>
                <w:between w:val="nil"/>
              </w:pBdr>
              <w:jc w:val="center"/>
              <w:rPr>
                <w:color w:val="000000"/>
              </w:rPr>
            </w:pPr>
          </w:p>
        </w:tc>
        <w:tc>
          <w:tcPr>
            <w:tcW w:w="667" w:type="pct"/>
            <w:vAlign w:val="bottom"/>
          </w:tcPr>
          <w:p w14:paraId="6A33D495"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616F3B1C"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033B78FE"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6" w:type="pct"/>
            <w:vAlign w:val="bottom"/>
          </w:tcPr>
          <w:p w14:paraId="1B9D5742"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r>
      <w:tr w:rsidR="00D83E33" w:rsidRPr="00EA10CF" w14:paraId="1B480BCD" w14:textId="77777777" w:rsidTr="001B330E">
        <w:trPr>
          <w:trHeight w:val="23"/>
        </w:trPr>
        <w:tc>
          <w:tcPr>
            <w:tcW w:w="1939" w:type="pct"/>
            <w:vAlign w:val="bottom"/>
          </w:tcPr>
          <w:p w14:paraId="0CDD9C3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USD receivable on settlement (+)</w:t>
            </w:r>
          </w:p>
        </w:tc>
        <w:tc>
          <w:tcPr>
            <w:tcW w:w="394" w:type="pct"/>
            <w:vAlign w:val="bottom"/>
          </w:tcPr>
          <w:p w14:paraId="2CBDB27C" w14:textId="77777777" w:rsidR="00D83E33" w:rsidRPr="00EA10CF" w:rsidRDefault="00D83E33" w:rsidP="001B330E">
            <w:pPr>
              <w:widowControl w:val="0"/>
              <w:pBdr>
                <w:top w:val="nil"/>
                <w:left w:val="nil"/>
                <w:bottom w:val="nil"/>
                <w:right w:val="nil"/>
                <w:between w:val="nil"/>
              </w:pBdr>
              <w:tabs>
                <w:tab w:val="right" w:pos="8782"/>
              </w:tabs>
              <w:jc w:val="center"/>
              <w:rPr>
                <w:color w:val="000000"/>
              </w:rPr>
            </w:pPr>
          </w:p>
        </w:tc>
        <w:tc>
          <w:tcPr>
            <w:tcW w:w="667" w:type="pct"/>
            <w:vAlign w:val="bottom"/>
          </w:tcPr>
          <w:p w14:paraId="0474F8BF"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1677659F"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7D823B02"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6" w:type="pct"/>
            <w:vAlign w:val="bottom"/>
          </w:tcPr>
          <w:p w14:paraId="081EA90D"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r>
      <w:tr w:rsidR="00D83E33" w:rsidRPr="00EA10CF" w14:paraId="6F4B3CF9" w14:textId="77777777" w:rsidTr="001B330E">
        <w:trPr>
          <w:trHeight w:val="23"/>
        </w:trPr>
        <w:tc>
          <w:tcPr>
            <w:tcW w:w="1939" w:type="pct"/>
            <w:vAlign w:val="bottom"/>
          </w:tcPr>
          <w:p w14:paraId="35F9742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USD payable on settlement (-)</w:t>
            </w:r>
          </w:p>
        </w:tc>
        <w:tc>
          <w:tcPr>
            <w:tcW w:w="394" w:type="pct"/>
            <w:vAlign w:val="bottom"/>
          </w:tcPr>
          <w:p w14:paraId="3DEA4E0B" w14:textId="77777777" w:rsidR="00D83E33" w:rsidRPr="00EA10CF" w:rsidRDefault="00D83E33" w:rsidP="001B330E">
            <w:pPr>
              <w:widowControl w:val="0"/>
              <w:pBdr>
                <w:top w:val="nil"/>
                <w:left w:val="nil"/>
                <w:bottom w:val="nil"/>
                <w:right w:val="nil"/>
                <w:between w:val="nil"/>
              </w:pBdr>
              <w:tabs>
                <w:tab w:val="right" w:pos="8782"/>
              </w:tabs>
              <w:jc w:val="center"/>
              <w:rPr>
                <w:color w:val="000000"/>
              </w:rPr>
            </w:pPr>
          </w:p>
        </w:tc>
        <w:tc>
          <w:tcPr>
            <w:tcW w:w="667" w:type="pct"/>
            <w:vAlign w:val="bottom"/>
          </w:tcPr>
          <w:p w14:paraId="60C0CD37"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5F8DB349"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5A23DE78"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6" w:type="pct"/>
            <w:vAlign w:val="bottom"/>
          </w:tcPr>
          <w:p w14:paraId="2D1A9177"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r>
      <w:tr w:rsidR="00D83E33" w:rsidRPr="00EA10CF" w14:paraId="418538B4" w14:textId="77777777" w:rsidTr="001B330E">
        <w:trPr>
          <w:trHeight w:val="23"/>
        </w:trPr>
        <w:tc>
          <w:tcPr>
            <w:tcW w:w="1939" w:type="pct"/>
            <w:vAlign w:val="bottom"/>
          </w:tcPr>
          <w:p w14:paraId="346F05E2" w14:textId="7B06C600"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w:t>
            </w:r>
            <w:r w:rsidR="00FA2F22">
              <w:rPr>
                <w:color w:val="000000"/>
              </w:rPr>
              <w:t>EUR</w:t>
            </w:r>
            <w:r w:rsidRPr="00EA10CF">
              <w:rPr>
                <w:color w:val="000000"/>
              </w:rPr>
              <w:t xml:space="preserve"> receivable on settlement (+)</w:t>
            </w:r>
          </w:p>
        </w:tc>
        <w:tc>
          <w:tcPr>
            <w:tcW w:w="394" w:type="pct"/>
            <w:vAlign w:val="bottom"/>
          </w:tcPr>
          <w:p w14:paraId="22417875" w14:textId="77777777" w:rsidR="00D83E33" w:rsidRPr="00EA10CF" w:rsidRDefault="00D83E33" w:rsidP="001B330E">
            <w:pPr>
              <w:widowControl w:val="0"/>
              <w:pBdr>
                <w:top w:val="nil"/>
                <w:left w:val="nil"/>
                <w:bottom w:val="nil"/>
                <w:right w:val="nil"/>
                <w:between w:val="nil"/>
              </w:pBdr>
              <w:tabs>
                <w:tab w:val="right" w:pos="8782"/>
              </w:tabs>
              <w:jc w:val="center"/>
              <w:rPr>
                <w:color w:val="000000"/>
              </w:rPr>
            </w:pPr>
          </w:p>
        </w:tc>
        <w:tc>
          <w:tcPr>
            <w:tcW w:w="667" w:type="pct"/>
            <w:vAlign w:val="bottom"/>
          </w:tcPr>
          <w:p w14:paraId="44B6F3AD"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39AEFF27"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097F43B4"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6" w:type="pct"/>
            <w:vAlign w:val="bottom"/>
          </w:tcPr>
          <w:p w14:paraId="7254FD45"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r>
      <w:tr w:rsidR="00D83E33" w:rsidRPr="00EA10CF" w14:paraId="52C0BF3C" w14:textId="77777777" w:rsidTr="001B330E">
        <w:trPr>
          <w:trHeight w:val="23"/>
        </w:trPr>
        <w:tc>
          <w:tcPr>
            <w:tcW w:w="1939" w:type="pct"/>
            <w:vAlign w:val="bottom"/>
          </w:tcPr>
          <w:p w14:paraId="2EDD15F4" w14:textId="7E4787D0"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w:t>
            </w:r>
            <w:r w:rsidR="00FA2F22">
              <w:rPr>
                <w:color w:val="000000"/>
              </w:rPr>
              <w:t>EUR</w:t>
            </w:r>
            <w:r w:rsidRPr="00EA10CF">
              <w:rPr>
                <w:color w:val="000000"/>
              </w:rPr>
              <w:t xml:space="preserve"> payable on settlement (-)</w:t>
            </w:r>
          </w:p>
        </w:tc>
        <w:tc>
          <w:tcPr>
            <w:tcW w:w="394" w:type="pct"/>
            <w:vAlign w:val="bottom"/>
          </w:tcPr>
          <w:p w14:paraId="729FECD5" w14:textId="77777777" w:rsidR="00D83E33" w:rsidRPr="00EA10CF" w:rsidRDefault="00D83E33" w:rsidP="001B330E">
            <w:pPr>
              <w:widowControl w:val="0"/>
              <w:pBdr>
                <w:top w:val="nil"/>
                <w:left w:val="nil"/>
                <w:bottom w:val="nil"/>
                <w:right w:val="nil"/>
                <w:between w:val="nil"/>
              </w:pBdr>
              <w:tabs>
                <w:tab w:val="right" w:pos="8782"/>
              </w:tabs>
              <w:jc w:val="center"/>
              <w:rPr>
                <w:color w:val="000000"/>
              </w:rPr>
            </w:pPr>
          </w:p>
        </w:tc>
        <w:tc>
          <w:tcPr>
            <w:tcW w:w="667" w:type="pct"/>
            <w:vAlign w:val="bottom"/>
          </w:tcPr>
          <w:p w14:paraId="7C4D943F"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473D323E"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11BD4A05"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6" w:type="pct"/>
            <w:vAlign w:val="bottom"/>
          </w:tcPr>
          <w:p w14:paraId="25CD5EF6"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r>
      <w:tr w:rsidR="00D83E33" w:rsidRPr="00EA10CF" w14:paraId="77077C82" w14:textId="77777777" w:rsidTr="001B330E">
        <w:trPr>
          <w:trHeight w:val="23"/>
        </w:trPr>
        <w:tc>
          <w:tcPr>
            <w:tcW w:w="1939" w:type="pct"/>
            <w:vAlign w:val="bottom"/>
          </w:tcPr>
          <w:p w14:paraId="47753FA8" w14:textId="10582844"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w:t>
            </w:r>
            <w:r w:rsidR="00D73799">
              <w:rPr>
                <w:color w:val="000000"/>
              </w:rPr>
              <w:t>CZK</w:t>
            </w:r>
            <w:r w:rsidRPr="00EA10CF">
              <w:rPr>
                <w:color w:val="000000"/>
              </w:rPr>
              <w:t xml:space="preserve"> receivable on settlement (+)</w:t>
            </w:r>
          </w:p>
        </w:tc>
        <w:tc>
          <w:tcPr>
            <w:tcW w:w="394" w:type="pct"/>
            <w:vAlign w:val="bottom"/>
          </w:tcPr>
          <w:p w14:paraId="7817E838" w14:textId="77777777" w:rsidR="00D83E33" w:rsidRPr="00EA10CF" w:rsidRDefault="00D83E33" w:rsidP="001B330E">
            <w:pPr>
              <w:widowControl w:val="0"/>
              <w:pBdr>
                <w:top w:val="nil"/>
                <w:left w:val="nil"/>
                <w:bottom w:val="nil"/>
                <w:right w:val="nil"/>
                <w:between w:val="nil"/>
              </w:pBdr>
              <w:tabs>
                <w:tab w:val="right" w:pos="8782"/>
              </w:tabs>
              <w:jc w:val="center"/>
              <w:rPr>
                <w:color w:val="000000"/>
              </w:rPr>
            </w:pPr>
          </w:p>
        </w:tc>
        <w:tc>
          <w:tcPr>
            <w:tcW w:w="667" w:type="pct"/>
            <w:vAlign w:val="bottom"/>
          </w:tcPr>
          <w:p w14:paraId="4834A487"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2698B65F"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4B99207F"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6" w:type="pct"/>
            <w:vAlign w:val="bottom"/>
          </w:tcPr>
          <w:p w14:paraId="4C8074A3"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r>
      <w:tr w:rsidR="00D83E33" w:rsidRPr="00EA10CF" w14:paraId="4CE3A4C8" w14:textId="77777777" w:rsidTr="001B330E">
        <w:trPr>
          <w:trHeight w:val="23"/>
        </w:trPr>
        <w:tc>
          <w:tcPr>
            <w:tcW w:w="1939" w:type="pct"/>
            <w:vAlign w:val="bottom"/>
          </w:tcPr>
          <w:p w14:paraId="75408B9F" w14:textId="210D64EA" w:rsidR="00D83E33" w:rsidRPr="00EA10CF" w:rsidRDefault="00BC4072" w:rsidP="001B330E">
            <w:pPr>
              <w:widowControl w:val="0"/>
              <w:pBdr>
                <w:top w:val="nil"/>
                <w:left w:val="nil"/>
                <w:bottom w:val="nil"/>
                <w:right w:val="nil"/>
                <w:between w:val="nil"/>
              </w:pBdr>
              <w:tabs>
                <w:tab w:val="right" w:pos="8782"/>
              </w:tabs>
              <w:ind w:left="113" w:hanging="113"/>
              <w:rPr>
                <w:color w:val="000000"/>
              </w:rPr>
            </w:pPr>
            <w:r w:rsidRPr="00EA10CF">
              <w:rPr>
                <w:color w:val="000000"/>
              </w:rPr>
              <w:t xml:space="preserve">- </w:t>
            </w:r>
            <w:r w:rsidR="00D73799">
              <w:rPr>
                <w:color w:val="000000"/>
              </w:rPr>
              <w:t>CZK</w:t>
            </w:r>
            <w:r w:rsidRPr="00EA10CF">
              <w:rPr>
                <w:color w:val="000000"/>
              </w:rPr>
              <w:t xml:space="preserve"> payable on settlement (-)</w:t>
            </w:r>
          </w:p>
        </w:tc>
        <w:tc>
          <w:tcPr>
            <w:tcW w:w="394" w:type="pct"/>
            <w:vAlign w:val="bottom"/>
          </w:tcPr>
          <w:p w14:paraId="48395177" w14:textId="77777777" w:rsidR="00D83E33" w:rsidRPr="00EA10CF" w:rsidRDefault="00D83E33" w:rsidP="001B330E">
            <w:pPr>
              <w:widowControl w:val="0"/>
              <w:pBdr>
                <w:top w:val="nil"/>
                <w:left w:val="nil"/>
                <w:bottom w:val="nil"/>
                <w:right w:val="nil"/>
                <w:between w:val="nil"/>
              </w:pBdr>
              <w:tabs>
                <w:tab w:val="right" w:pos="8782"/>
              </w:tabs>
              <w:jc w:val="center"/>
              <w:rPr>
                <w:b/>
                <w:color w:val="000000"/>
              </w:rPr>
            </w:pPr>
          </w:p>
        </w:tc>
        <w:tc>
          <w:tcPr>
            <w:tcW w:w="667" w:type="pct"/>
            <w:vAlign w:val="bottom"/>
          </w:tcPr>
          <w:p w14:paraId="59F72210"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78E2A5DD"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2A01F843"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6" w:type="pct"/>
            <w:vAlign w:val="bottom"/>
          </w:tcPr>
          <w:p w14:paraId="289DE840"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r>
      <w:tr w:rsidR="00D83E33" w:rsidRPr="00EA10CF" w14:paraId="33A46722" w14:textId="77777777" w:rsidTr="001B330E">
        <w:trPr>
          <w:trHeight w:val="23"/>
        </w:trPr>
        <w:tc>
          <w:tcPr>
            <w:tcW w:w="1939" w:type="pct"/>
            <w:vAlign w:val="bottom"/>
          </w:tcPr>
          <w:p w14:paraId="54357C1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Other currencies receivable on settlement (+)</w:t>
            </w:r>
          </w:p>
        </w:tc>
        <w:tc>
          <w:tcPr>
            <w:tcW w:w="394" w:type="pct"/>
            <w:vAlign w:val="bottom"/>
          </w:tcPr>
          <w:p w14:paraId="22E5C291" w14:textId="77777777" w:rsidR="00D83E33" w:rsidRPr="00EA10CF" w:rsidRDefault="00D83E33" w:rsidP="001B330E">
            <w:pPr>
              <w:widowControl w:val="0"/>
              <w:pBdr>
                <w:top w:val="nil"/>
                <w:left w:val="nil"/>
                <w:bottom w:val="nil"/>
                <w:right w:val="nil"/>
                <w:between w:val="nil"/>
              </w:pBdr>
              <w:tabs>
                <w:tab w:val="right" w:pos="8782"/>
              </w:tabs>
              <w:jc w:val="center"/>
              <w:rPr>
                <w:color w:val="000000"/>
              </w:rPr>
            </w:pPr>
          </w:p>
        </w:tc>
        <w:tc>
          <w:tcPr>
            <w:tcW w:w="667" w:type="pct"/>
            <w:vAlign w:val="bottom"/>
          </w:tcPr>
          <w:p w14:paraId="6365EA19"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57D2AE7A"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487C5FA7"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6" w:type="pct"/>
            <w:vAlign w:val="bottom"/>
          </w:tcPr>
          <w:p w14:paraId="666E61A2"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r>
      <w:tr w:rsidR="00D83E33" w:rsidRPr="00EA10CF" w14:paraId="728C983C" w14:textId="77777777" w:rsidTr="001B330E">
        <w:trPr>
          <w:trHeight w:val="23"/>
        </w:trPr>
        <w:tc>
          <w:tcPr>
            <w:tcW w:w="1939" w:type="pct"/>
            <w:vAlign w:val="bottom"/>
          </w:tcPr>
          <w:p w14:paraId="451550A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Other currencies payable on settlement (-)</w:t>
            </w:r>
          </w:p>
        </w:tc>
        <w:tc>
          <w:tcPr>
            <w:tcW w:w="394" w:type="pct"/>
            <w:vAlign w:val="bottom"/>
          </w:tcPr>
          <w:p w14:paraId="5DC4E812" w14:textId="77777777" w:rsidR="00D83E33" w:rsidRPr="00EA10CF" w:rsidRDefault="00D83E33" w:rsidP="001B330E">
            <w:pPr>
              <w:widowControl w:val="0"/>
              <w:pBdr>
                <w:top w:val="nil"/>
                <w:left w:val="nil"/>
                <w:bottom w:val="nil"/>
                <w:right w:val="nil"/>
                <w:between w:val="nil"/>
              </w:pBdr>
              <w:tabs>
                <w:tab w:val="right" w:pos="8782"/>
              </w:tabs>
              <w:jc w:val="center"/>
              <w:rPr>
                <w:color w:val="000000"/>
              </w:rPr>
            </w:pPr>
          </w:p>
        </w:tc>
        <w:tc>
          <w:tcPr>
            <w:tcW w:w="667" w:type="pct"/>
            <w:vAlign w:val="bottom"/>
          </w:tcPr>
          <w:p w14:paraId="6607D19B"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550103B2"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7" w:type="pct"/>
            <w:vAlign w:val="bottom"/>
          </w:tcPr>
          <w:p w14:paraId="22F79C15"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c>
          <w:tcPr>
            <w:tcW w:w="666" w:type="pct"/>
            <w:vAlign w:val="bottom"/>
          </w:tcPr>
          <w:p w14:paraId="102B91FF" w14:textId="77777777" w:rsidR="00D83E33" w:rsidRPr="00EA10CF" w:rsidRDefault="00D83E33" w:rsidP="001B330E">
            <w:pPr>
              <w:widowControl w:val="0"/>
              <w:pBdr>
                <w:top w:val="nil"/>
                <w:left w:val="nil"/>
                <w:bottom w:val="nil"/>
                <w:right w:val="nil"/>
                <w:between w:val="nil"/>
              </w:pBdr>
              <w:tabs>
                <w:tab w:val="right" w:pos="8782"/>
              </w:tabs>
              <w:jc w:val="right"/>
              <w:rPr>
                <w:color w:val="000000"/>
              </w:rPr>
            </w:pPr>
          </w:p>
        </w:tc>
      </w:tr>
      <w:tr w:rsidR="00D83E33" w:rsidRPr="00EA10CF" w14:paraId="03EBEA9E" w14:textId="77777777" w:rsidTr="001B330E">
        <w:trPr>
          <w:trHeight w:val="23"/>
        </w:trPr>
        <w:tc>
          <w:tcPr>
            <w:tcW w:w="1939" w:type="pct"/>
            <w:tcBorders>
              <w:bottom w:val="single" w:sz="4" w:space="0" w:color="000000"/>
            </w:tcBorders>
            <w:vAlign w:val="bottom"/>
          </w:tcPr>
          <w:p w14:paraId="16B9234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94" w:type="pct"/>
            <w:tcBorders>
              <w:bottom w:val="single" w:sz="4" w:space="0" w:color="000000"/>
            </w:tcBorders>
            <w:vAlign w:val="bottom"/>
          </w:tcPr>
          <w:p w14:paraId="578AD014" w14:textId="77777777" w:rsidR="00D83E33" w:rsidRPr="00EA10CF" w:rsidRDefault="00D83E33" w:rsidP="001B330E">
            <w:pPr>
              <w:widowControl w:val="0"/>
              <w:pBdr>
                <w:top w:val="nil"/>
                <w:left w:val="nil"/>
                <w:bottom w:val="nil"/>
                <w:right w:val="nil"/>
                <w:between w:val="nil"/>
              </w:pBdr>
              <w:tabs>
                <w:tab w:val="right" w:pos="8782"/>
              </w:tabs>
              <w:jc w:val="center"/>
              <w:rPr>
                <w:b/>
                <w:color w:val="000000"/>
              </w:rPr>
            </w:pPr>
          </w:p>
        </w:tc>
        <w:tc>
          <w:tcPr>
            <w:tcW w:w="667" w:type="pct"/>
            <w:tcBorders>
              <w:bottom w:val="single" w:sz="4" w:space="0" w:color="000000"/>
            </w:tcBorders>
            <w:vAlign w:val="bottom"/>
          </w:tcPr>
          <w:p w14:paraId="035D6A15"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c>
          <w:tcPr>
            <w:tcW w:w="667" w:type="pct"/>
            <w:tcBorders>
              <w:bottom w:val="single" w:sz="4" w:space="0" w:color="000000"/>
            </w:tcBorders>
            <w:vAlign w:val="bottom"/>
          </w:tcPr>
          <w:p w14:paraId="31BB60CD"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c>
          <w:tcPr>
            <w:tcW w:w="667" w:type="pct"/>
            <w:tcBorders>
              <w:bottom w:val="single" w:sz="4" w:space="0" w:color="000000"/>
            </w:tcBorders>
            <w:vAlign w:val="bottom"/>
          </w:tcPr>
          <w:p w14:paraId="7C7D62A6"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c>
          <w:tcPr>
            <w:tcW w:w="666" w:type="pct"/>
            <w:tcBorders>
              <w:bottom w:val="single" w:sz="4" w:space="0" w:color="000000"/>
            </w:tcBorders>
            <w:vAlign w:val="bottom"/>
          </w:tcPr>
          <w:p w14:paraId="713E73C3"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r>
      <w:tr w:rsidR="00D83E33" w:rsidRPr="00EA10CF" w14:paraId="68640353" w14:textId="77777777" w:rsidTr="001B330E">
        <w:trPr>
          <w:trHeight w:val="23"/>
        </w:trPr>
        <w:tc>
          <w:tcPr>
            <w:tcW w:w="1939" w:type="pct"/>
            <w:tcBorders>
              <w:top w:val="single" w:sz="4" w:space="0" w:color="000000"/>
            </w:tcBorders>
            <w:vAlign w:val="bottom"/>
          </w:tcPr>
          <w:p w14:paraId="0C945CB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94" w:type="pct"/>
            <w:tcBorders>
              <w:top w:val="single" w:sz="4" w:space="0" w:color="000000"/>
            </w:tcBorders>
            <w:vAlign w:val="bottom"/>
          </w:tcPr>
          <w:p w14:paraId="32B647A7" w14:textId="77777777" w:rsidR="00D83E33" w:rsidRPr="00EA10CF" w:rsidRDefault="00D83E33" w:rsidP="001B330E">
            <w:pPr>
              <w:widowControl w:val="0"/>
              <w:pBdr>
                <w:top w:val="nil"/>
                <w:left w:val="nil"/>
                <w:bottom w:val="nil"/>
                <w:right w:val="nil"/>
                <w:between w:val="nil"/>
              </w:pBdr>
              <w:tabs>
                <w:tab w:val="right" w:pos="8782"/>
              </w:tabs>
              <w:jc w:val="center"/>
              <w:rPr>
                <w:b/>
                <w:color w:val="000000"/>
              </w:rPr>
            </w:pPr>
          </w:p>
        </w:tc>
        <w:tc>
          <w:tcPr>
            <w:tcW w:w="667" w:type="pct"/>
            <w:tcBorders>
              <w:top w:val="single" w:sz="4" w:space="0" w:color="000000"/>
            </w:tcBorders>
            <w:vAlign w:val="bottom"/>
          </w:tcPr>
          <w:p w14:paraId="15E7A3B8"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c>
          <w:tcPr>
            <w:tcW w:w="667" w:type="pct"/>
            <w:tcBorders>
              <w:top w:val="single" w:sz="4" w:space="0" w:color="000000"/>
            </w:tcBorders>
            <w:vAlign w:val="bottom"/>
          </w:tcPr>
          <w:p w14:paraId="72807958"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c>
          <w:tcPr>
            <w:tcW w:w="667" w:type="pct"/>
            <w:tcBorders>
              <w:top w:val="single" w:sz="4" w:space="0" w:color="000000"/>
            </w:tcBorders>
            <w:vAlign w:val="bottom"/>
          </w:tcPr>
          <w:p w14:paraId="45BC2B51"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c>
          <w:tcPr>
            <w:tcW w:w="666" w:type="pct"/>
            <w:tcBorders>
              <w:top w:val="single" w:sz="4" w:space="0" w:color="000000"/>
            </w:tcBorders>
            <w:vAlign w:val="bottom"/>
          </w:tcPr>
          <w:p w14:paraId="5ED69020"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r>
      <w:tr w:rsidR="00D83E33" w:rsidRPr="00EA10CF" w14:paraId="4BB9DFD0" w14:textId="77777777" w:rsidTr="001B330E">
        <w:trPr>
          <w:trHeight w:val="23"/>
        </w:trPr>
        <w:tc>
          <w:tcPr>
            <w:tcW w:w="1939" w:type="pct"/>
            <w:vAlign w:val="bottom"/>
          </w:tcPr>
          <w:p w14:paraId="5FE06FFA"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Net fair value of foreign exchange forwards and swaps</w:t>
            </w:r>
          </w:p>
        </w:tc>
        <w:tc>
          <w:tcPr>
            <w:tcW w:w="394" w:type="pct"/>
            <w:vAlign w:val="bottom"/>
          </w:tcPr>
          <w:p w14:paraId="4034A815" w14:textId="77777777" w:rsidR="00D83E33" w:rsidRPr="00EA10CF" w:rsidRDefault="00BC4072" w:rsidP="001B330E">
            <w:pPr>
              <w:widowControl w:val="0"/>
              <w:pBdr>
                <w:top w:val="nil"/>
                <w:left w:val="nil"/>
                <w:bottom w:val="nil"/>
                <w:right w:val="nil"/>
                <w:between w:val="nil"/>
              </w:pBdr>
              <w:jc w:val="center"/>
              <w:rPr>
                <w:b/>
                <w:color w:val="000000"/>
              </w:rPr>
            </w:pPr>
            <w:r w:rsidRPr="00EA10CF">
              <w:rPr>
                <w:b/>
                <w:color w:val="000000"/>
              </w:rPr>
              <w:t>15, 26</w:t>
            </w:r>
          </w:p>
        </w:tc>
        <w:tc>
          <w:tcPr>
            <w:tcW w:w="667" w:type="pct"/>
            <w:vAlign w:val="bottom"/>
          </w:tcPr>
          <w:p w14:paraId="3F20F470"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c>
          <w:tcPr>
            <w:tcW w:w="667" w:type="pct"/>
            <w:vAlign w:val="bottom"/>
          </w:tcPr>
          <w:p w14:paraId="6E4E391D"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c>
          <w:tcPr>
            <w:tcW w:w="667" w:type="pct"/>
            <w:vAlign w:val="bottom"/>
          </w:tcPr>
          <w:p w14:paraId="49F1F1DD"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c>
          <w:tcPr>
            <w:tcW w:w="666" w:type="pct"/>
            <w:vAlign w:val="bottom"/>
          </w:tcPr>
          <w:p w14:paraId="61D88D84" w14:textId="77777777" w:rsidR="00D83E33" w:rsidRPr="00EA10CF" w:rsidRDefault="00D83E33" w:rsidP="001B330E">
            <w:pPr>
              <w:widowControl w:val="0"/>
              <w:pBdr>
                <w:top w:val="nil"/>
                <w:left w:val="nil"/>
                <w:bottom w:val="nil"/>
                <w:right w:val="nil"/>
                <w:between w:val="nil"/>
              </w:pBdr>
              <w:tabs>
                <w:tab w:val="right" w:pos="8782"/>
              </w:tabs>
              <w:jc w:val="right"/>
              <w:rPr>
                <w:b/>
                <w:color w:val="000000"/>
              </w:rPr>
            </w:pPr>
          </w:p>
        </w:tc>
      </w:tr>
      <w:tr w:rsidR="00D83E33" w:rsidRPr="00EA10CF" w14:paraId="784E06E7" w14:textId="77777777" w:rsidTr="001B330E">
        <w:trPr>
          <w:trHeight w:val="23"/>
        </w:trPr>
        <w:tc>
          <w:tcPr>
            <w:tcW w:w="1939" w:type="pct"/>
            <w:tcBorders>
              <w:bottom w:val="single" w:sz="12" w:space="0" w:color="000000"/>
            </w:tcBorders>
            <w:vAlign w:val="bottom"/>
          </w:tcPr>
          <w:p w14:paraId="34CC06C1"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394" w:type="pct"/>
            <w:tcBorders>
              <w:bottom w:val="single" w:sz="12" w:space="0" w:color="000000"/>
            </w:tcBorders>
            <w:vAlign w:val="bottom"/>
          </w:tcPr>
          <w:p w14:paraId="122BEBF0" w14:textId="77777777" w:rsidR="00D83E33" w:rsidRPr="00EA10CF" w:rsidRDefault="00D83E33" w:rsidP="001B330E">
            <w:pPr>
              <w:widowControl w:val="0"/>
              <w:pBdr>
                <w:top w:val="nil"/>
                <w:left w:val="nil"/>
                <w:bottom w:val="nil"/>
                <w:right w:val="nil"/>
                <w:between w:val="nil"/>
              </w:pBdr>
              <w:jc w:val="right"/>
              <w:rPr>
                <w:color w:val="000000"/>
              </w:rPr>
            </w:pPr>
          </w:p>
        </w:tc>
        <w:tc>
          <w:tcPr>
            <w:tcW w:w="667" w:type="pct"/>
            <w:tcBorders>
              <w:bottom w:val="single" w:sz="12" w:space="0" w:color="000000"/>
            </w:tcBorders>
            <w:vAlign w:val="bottom"/>
          </w:tcPr>
          <w:p w14:paraId="3A071727" w14:textId="77777777" w:rsidR="00D83E33" w:rsidRPr="00EA10CF" w:rsidRDefault="00D83E33" w:rsidP="001B330E">
            <w:pPr>
              <w:widowControl w:val="0"/>
              <w:pBdr>
                <w:top w:val="nil"/>
                <w:left w:val="nil"/>
                <w:bottom w:val="nil"/>
                <w:right w:val="nil"/>
                <w:between w:val="nil"/>
              </w:pBdr>
              <w:jc w:val="right"/>
              <w:rPr>
                <w:color w:val="000000"/>
              </w:rPr>
            </w:pPr>
          </w:p>
        </w:tc>
        <w:tc>
          <w:tcPr>
            <w:tcW w:w="667" w:type="pct"/>
            <w:tcBorders>
              <w:bottom w:val="single" w:sz="12" w:space="0" w:color="000000"/>
            </w:tcBorders>
            <w:vAlign w:val="bottom"/>
          </w:tcPr>
          <w:p w14:paraId="3D0FF927" w14:textId="77777777" w:rsidR="00D83E33" w:rsidRPr="00EA10CF" w:rsidRDefault="00D83E33" w:rsidP="001B330E">
            <w:pPr>
              <w:widowControl w:val="0"/>
              <w:pBdr>
                <w:top w:val="nil"/>
                <w:left w:val="nil"/>
                <w:bottom w:val="nil"/>
                <w:right w:val="nil"/>
                <w:between w:val="nil"/>
              </w:pBdr>
              <w:jc w:val="right"/>
              <w:rPr>
                <w:color w:val="000000"/>
              </w:rPr>
            </w:pPr>
          </w:p>
        </w:tc>
        <w:tc>
          <w:tcPr>
            <w:tcW w:w="667" w:type="pct"/>
            <w:tcBorders>
              <w:bottom w:val="single" w:sz="12" w:space="0" w:color="000000"/>
            </w:tcBorders>
            <w:vAlign w:val="bottom"/>
          </w:tcPr>
          <w:p w14:paraId="28D619AC" w14:textId="77777777" w:rsidR="00D83E33" w:rsidRPr="00EA10CF" w:rsidRDefault="00D83E33" w:rsidP="001B330E">
            <w:pPr>
              <w:widowControl w:val="0"/>
              <w:pBdr>
                <w:top w:val="nil"/>
                <w:left w:val="nil"/>
                <w:bottom w:val="nil"/>
                <w:right w:val="nil"/>
                <w:between w:val="nil"/>
              </w:pBdr>
              <w:jc w:val="right"/>
              <w:rPr>
                <w:color w:val="000000"/>
              </w:rPr>
            </w:pPr>
          </w:p>
        </w:tc>
        <w:tc>
          <w:tcPr>
            <w:tcW w:w="666" w:type="pct"/>
            <w:tcBorders>
              <w:bottom w:val="single" w:sz="12" w:space="0" w:color="000000"/>
            </w:tcBorders>
            <w:vAlign w:val="bottom"/>
          </w:tcPr>
          <w:p w14:paraId="38A3A06B" w14:textId="77777777" w:rsidR="00D83E33" w:rsidRPr="00EA10CF" w:rsidRDefault="00D83E33" w:rsidP="001B330E">
            <w:pPr>
              <w:widowControl w:val="0"/>
              <w:pBdr>
                <w:top w:val="nil"/>
                <w:left w:val="nil"/>
                <w:bottom w:val="nil"/>
                <w:right w:val="nil"/>
                <w:between w:val="nil"/>
              </w:pBdr>
              <w:jc w:val="right"/>
              <w:rPr>
                <w:color w:val="000000"/>
              </w:rPr>
            </w:pPr>
          </w:p>
        </w:tc>
      </w:tr>
    </w:tbl>
    <w:p w14:paraId="164635CD" w14:textId="77777777"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Foreign exchange </w:t>
      </w:r>
      <w:r>
        <w:rPr>
          <w:color w:val="0000FF"/>
          <w:sz w:val="20"/>
          <w:szCs w:val="20"/>
        </w:rPr>
        <w:t>[and other]</w:t>
      </w:r>
      <w:r>
        <w:rPr>
          <w:color w:val="000000"/>
          <w:sz w:val="20"/>
          <w:szCs w:val="20"/>
        </w:rPr>
        <w:t xml:space="preserve"> derivative financial instruments entered into by the Group are generally traded in an over-the-counter market with professional market counterparties on standardised contractual terms and conditions. Derivatives have potentially favourable (assets) or unfavourable (liabilities) conditions as a result of fluctuations in market interest rates, foreign exchange rates or other variables relative to their terms. The aggregate fair values of derivative financial assets and liabilities can fluctuate significantly from time to time.</w:t>
      </w:r>
    </w:p>
    <w:p w14:paraId="1E8AC441" w14:textId="2367868D" w:rsidR="00D83E33" w:rsidRPr="001B330E" w:rsidRDefault="00BC4072" w:rsidP="001B330E">
      <w:pPr>
        <w:widowControl w:val="0"/>
        <w:pBdr>
          <w:top w:val="nil"/>
          <w:left w:val="nil"/>
          <w:bottom w:val="nil"/>
          <w:right w:val="nil"/>
          <w:between w:val="nil"/>
        </w:pBdr>
        <w:spacing w:before="200" w:after="200"/>
        <w:jc w:val="both"/>
        <w:rPr>
          <w:color w:val="0000FF"/>
          <w:spacing w:val="-2"/>
          <w:sz w:val="20"/>
          <w:szCs w:val="20"/>
        </w:rPr>
      </w:pPr>
      <w:r w:rsidRPr="001B330E">
        <w:rPr>
          <w:color w:val="0000FF"/>
          <w:spacing w:val="-2"/>
          <w:sz w:val="20"/>
          <w:szCs w:val="20"/>
        </w:rPr>
        <w:t>[At 31</w:t>
      </w:r>
      <w:r w:rsidR="00181687" w:rsidRPr="001B330E">
        <w:rPr>
          <w:color w:val="0000FF"/>
          <w:spacing w:val="-2"/>
          <w:sz w:val="20"/>
          <w:szCs w:val="20"/>
        </w:rPr>
        <w:t> December </w:t>
      </w:r>
      <w:r w:rsidR="00541EBC">
        <w:rPr>
          <w:color w:val="0000FF"/>
          <w:spacing w:val="-2"/>
          <w:sz w:val="20"/>
          <w:szCs w:val="20"/>
        </w:rPr>
        <w:t>2024</w:t>
      </w:r>
      <w:r w:rsidRPr="001B330E">
        <w:rPr>
          <w:color w:val="0000FF"/>
          <w:spacing w:val="-2"/>
          <w:sz w:val="20"/>
          <w:szCs w:val="20"/>
        </w:rPr>
        <w:t xml:space="preserve">, the Group had outstanding obligations to deliver precious metals with fair value of </w:t>
      </w:r>
      <w:r w:rsidR="00D73799">
        <w:rPr>
          <w:color w:val="0000FF"/>
          <w:spacing w:val="-2"/>
          <w:sz w:val="20"/>
          <w:szCs w:val="20"/>
        </w:rPr>
        <w:t>EUR</w:t>
      </w:r>
      <w:r w:rsidRPr="001B330E">
        <w:rPr>
          <w:color w:val="0000FF"/>
          <w:spacing w:val="-2"/>
          <w:sz w:val="20"/>
          <w:szCs w:val="20"/>
        </w:rPr>
        <w:t xml:space="preserve"> _____ thousand (</w:t>
      </w:r>
      <w:r w:rsidR="00541EBC">
        <w:rPr>
          <w:color w:val="0000FF"/>
          <w:spacing w:val="-2"/>
          <w:sz w:val="20"/>
          <w:szCs w:val="20"/>
        </w:rPr>
        <w:t>2023</w:t>
      </w:r>
      <w:r w:rsidRPr="001B330E">
        <w:rPr>
          <w:color w:val="0000FF"/>
          <w:spacing w:val="-2"/>
          <w:sz w:val="20"/>
          <w:szCs w:val="20"/>
        </w:rPr>
        <w:t xml:space="preserve">: </w:t>
      </w:r>
      <w:r w:rsidR="00D73799">
        <w:rPr>
          <w:color w:val="0000FF"/>
          <w:spacing w:val="-2"/>
          <w:sz w:val="20"/>
          <w:szCs w:val="20"/>
        </w:rPr>
        <w:t>EUR</w:t>
      </w:r>
      <w:r w:rsidRPr="001B330E">
        <w:rPr>
          <w:color w:val="0000FF"/>
          <w:spacing w:val="-2"/>
          <w:sz w:val="20"/>
          <w:szCs w:val="20"/>
        </w:rPr>
        <w:t xml:space="preserve"> _____ thousand) and obligations to accept delivery of precious metals with fair value of </w:t>
      </w:r>
      <w:r w:rsidR="00D73799">
        <w:rPr>
          <w:color w:val="0000FF"/>
          <w:spacing w:val="-2"/>
          <w:sz w:val="20"/>
          <w:szCs w:val="20"/>
        </w:rPr>
        <w:t>EUR</w:t>
      </w:r>
      <w:r w:rsidRPr="001B330E">
        <w:rPr>
          <w:color w:val="0000FF"/>
          <w:spacing w:val="-2"/>
          <w:sz w:val="20"/>
          <w:szCs w:val="20"/>
        </w:rPr>
        <w:t xml:space="preserve"> _____ thousand (</w:t>
      </w:r>
      <w:r w:rsidR="00541EBC">
        <w:rPr>
          <w:color w:val="0000FF"/>
          <w:spacing w:val="-2"/>
          <w:sz w:val="20"/>
          <w:szCs w:val="20"/>
        </w:rPr>
        <w:t>2023</w:t>
      </w:r>
      <w:r w:rsidRPr="001B330E">
        <w:rPr>
          <w:color w:val="0000FF"/>
          <w:spacing w:val="-2"/>
          <w:sz w:val="20"/>
          <w:szCs w:val="20"/>
        </w:rPr>
        <w:t xml:space="preserve">: </w:t>
      </w:r>
      <w:r w:rsidR="00D73799">
        <w:rPr>
          <w:color w:val="0000FF"/>
          <w:spacing w:val="-2"/>
          <w:sz w:val="20"/>
          <w:szCs w:val="20"/>
        </w:rPr>
        <w:t>EUR</w:t>
      </w:r>
      <w:r w:rsidRPr="001B330E">
        <w:rPr>
          <w:color w:val="0000FF"/>
          <w:spacing w:val="-2"/>
          <w:sz w:val="20"/>
          <w:szCs w:val="20"/>
        </w:rPr>
        <w:t xml:space="preserve"> _____ thousand).</w:t>
      </w:r>
      <w:r w:rsidRPr="001B330E">
        <w:rPr>
          <w:color w:val="000000"/>
          <w:spacing w:val="-2"/>
          <w:sz w:val="20"/>
          <w:szCs w:val="20"/>
        </w:rPr>
        <w:t xml:space="preserve"> </w:t>
      </w:r>
      <w:r w:rsidRPr="001B330E">
        <w:rPr>
          <w:color w:val="0000FF"/>
          <w:spacing w:val="-2"/>
          <w:sz w:val="20"/>
          <w:szCs w:val="20"/>
        </w:rPr>
        <w:t xml:space="preserve">The Group expects to settle these forward contracts net in cash and, therefore, recognised them in the statement of financial position as an asset at net fair value of </w:t>
      </w:r>
      <w:r w:rsidR="00D73799">
        <w:rPr>
          <w:color w:val="0000FF"/>
          <w:spacing w:val="-2"/>
          <w:sz w:val="20"/>
          <w:szCs w:val="20"/>
        </w:rPr>
        <w:t>EUR</w:t>
      </w:r>
      <w:r w:rsidRPr="001B330E">
        <w:rPr>
          <w:color w:val="0000FF"/>
          <w:spacing w:val="-2"/>
          <w:sz w:val="20"/>
          <w:szCs w:val="20"/>
        </w:rPr>
        <w:t xml:space="preserve"> _____ thousand (</w:t>
      </w:r>
      <w:r w:rsidR="00541EBC">
        <w:rPr>
          <w:color w:val="0000FF"/>
          <w:spacing w:val="-2"/>
          <w:sz w:val="20"/>
          <w:szCs w:val="20"/>
        </w:rPr>
        <w:t>2023</w:t>
      </w:r>
      <w:r w:rsidRPr="001B330E">
        <w:rPr>
          <w:color w:val="0000FF"/>
          <w:spacing w:val="-2"/>
          <w:sz w:val="20"/>
          <w:szCs w:val="20"/>
        </w:rPr>
        <w:t xml:space="preserve">: </w:t>
      </w:r>
      <w:r w:rsidR="00D73799">
        <w:rPr>
          <w:color w:val="0000FF"/>
          <w:spacing w:val="-2"/>
          <w:sz w:val="20"/>
          <w:szCs w:val="20"/>
        </w:rPr>
        <w:t>EUR</w:t>
      </w:r>
      <w:r w:rsidRPr="001B330E">
        <w:rPr>
          <w:color w:val="0000FF"/>
          <w:spacing w:val="-2"/>
          <w:sz w:val="20"/>
          <w:szCs w:val="20"/>
        </w:rPr>
        <w:t xml:space="preserve"> _____ thousand) and a liability at net fair value of </w:t>
      </w:r>
      <w:r w:rsidR="00D73799">
        <w:rPr>
          <w:color w:val="0000FF"/>
          <w:spacing w:val="-2"/>
          <w:sz w:val="20"/>
          <w:szCs w:val="20"/>
        </w:rPr>
        <w:t>EUR</w:t>
      </w:r>
      <w:r w:rsidRPr="001B330E">
        <w:rPr>
          <w:color w:val="0000FF"/>
          <w:spacing w:val="-2"/>
          <w:sz w:val="20"/>
          <w:szCs w:val="20"/>
        </w:rPr>
        <w:t xml:space="preserve"> _____ thousand (</w:t>
      </w:r>
      <w:r w:rsidR="00541EBC">
        <w:rPr>
          <w:color w:val="0000FF"/>
          <w:spacing w:val="-2"/>
          <w:sz w:val="20"/>
          <w:szCs w:val="20"/>
        </w:rPr>
        <w:t>2023</w:t>
      </w:r>
      <w:r w:rsidRPr="001B330E">
        <w:rPr>
          <w:color w:val="0000FF"/>
          <w:spacing w:val="-2"/>
          <w:sz w:val="20"/>
          <w:szCs w:val="20"/>
        </w:rPr>
        <w:t xml:space="preserve">: </w:t>
      </w:r>
      <w:r w:rsidR="00D73799">
        <w:rPr>
          <w:color w:val="0000FF"/>
          <w:spacing w:val="-2"/>
          <w:sz w:val="20"/>
          <w:szCs w:val="20"/>
        </w:rPr>
        <w:t>EUR</w:t>
      </w:r>
      <w:r w:rsidRPr="001B330E">
        <w:rPr>
          <w:color w:val="0000FF"/>
          <w:spacing w:val="-2"/>
          <w:sz w:val="20"/>
          <w:szCs w:val="20"/>
        </w:rPr>
        <w:t xml:space="preserve"> _____ thousand). Refer to Notes 15 and 26. ]</w:t>
      </w:r>
    </w:p>
    <w:p w14:paraId="4C97AFBA" w14:textId="55CE5318" w:rsidR="00D83E33" w:rsidRPr="001B330E" w:rsidRDefault="00BC4072" w:rsidP="001B330E">
      <w:pPr>
        <w:widowControl w:val="0"/>
        <w:pBdr>
          <w:top w:val="nil"/>
          <w:left w:val="nil"/>
          <w:bottom w:val="nil"/>
          <w:right w:val="nil"/>
          <w:between w:val="nil"/>
        </w:pBdr>
        <w:spacing w:before="200" w:after="200"/>
        <w:jc w:val="both"/>
        <w:rPr>
          <w:color w:val="000000"/>
          <w:spacing w:val="-2"/>
          <w:sz w:val="20"/>
          <w:szCs w:val="20"/>
        </w:rPr>
      </w:pPr>
      <w:r w:rsidRPr="001B330E">
        <w:rPr>
          <w:color w:val="000000"/>
          <w:spacing w:val="-2"/>
          <w:sz w:val="20"/>
          <w:szCs w:val="20"/>
        </w:rPr>
        <w:t>At 31</w:t>
      </w:r>
      <w:r w:rsidR="00181687" w:rsidRPr="001B330E">
        <w:rPr>
          <w:color w:val="000000"/>
          <w:spacing w:val="-2"/>
          <w:sz w:val="20"/>
          <w:szCs w:val="20"/>
        </w:rPr>
        <w:t> December </w:t>
      </w:r>
      <w:r w:rsidR="00541EBC">
        <w:rPr>
          <w:color w:val="000000"/>
          <w:spacing w:val="-2"/>
          <w:sz w:val="20"/>
          <w:szCs w:val="20"/>
        </w:rPr>
        <w:t>2024</w:t>
      </w:r>
      <w:r w:rsidRPr="001B330E">
        <w:rPr>
          <w:color w:val="000000"/>
          <w:spacing w:val="-2"/>
          <w:sz w:val="20"/>
          <w:szCs w:val="20"/>
        </w:rPr>
        <w:t xml:space="preserve">, the Group had outstanding obligations from unsettled spot transactions with foreign currencies </w:t>
      </w:r>
      <w:r w:rsidRPr="001B330E">
        <w:rPr>
          <w:color w:val="0000FF"/>
          <w:spacing w:val="-2"/>
          <w:sz w:val="20"/>
          <w:szCs w:val="20"/>
        </w:rPr>
        <w:t>[and precious metals]</w:t>
      </w:r>
      <w:r w:rsidRPr="001B330E">
        <w:rPr>
          <w:color w:val="000000"/>
          <w:spacing w:val="-2"/>
          <w:sz w:val="20"/>
          <w:szCs w:val="20"/>
        </w:rPr>
        <w:t xml:space="preserve"> of </w:t>
      </w:r>
      <w:r w:rsidR="00D73799">
        <w:rPr>
          <w:color w:val="000000"/>
          <w:spacing w:val="-2"/>
          <w:sz w:val="20"/>
          <w:szCs w:val="20"/>
        </w:rPr>
        <w:t>EUR</w:t>
      </w:r>
      <w:r w:rsidRPr="001B330E">
        <w:rPr>
          <w:color w:val="000000"/>
          <w:spacing w:val="-2"/>
          <w:sz w:val="20"/>
          <w:szCs w:val="20"/>
        </w:rPr>
        <w:t xml:space="preserve"> _____ thousand (</w:t>
      </w:r>
      <w:r w:rsidR="00541EBC">
        <w:rPr>
          <w:color w:val="000000"/>
          <w:spacing w:val="-2"/>
          <w:sz w:val="20"/>
          <w:szCs w:val="20"/>
        </w:rPr>
        <w:t>2023</w:t>
      </w:r>
      <w:r w:rsidRPr="001B330E">
        <w:rPr>
          <w:color w:val="000000"/>
          <w:spacing w:val="-2"/>
          <w:sz w:val="20"/>
          <w:szCs w:val="20"/>
        </w:rPr>
        <w:t xml:space="preserve">: </w:t>
      </w:r>
      <w:r w:rsidR="00D73799">
        <w:rPr>
          <w:color w:val="000000"/>
          <w:spacing w:val="-2"/>
          <w:sz w:val="20"/>
          <w:szCs w:val="20"/>
        </w:rPr>
        <w:t>EUR</w:t>
      </w:r>
      <w:r w:rsidRPr="001B330E">
        <w:rPr>
          <w:color w:val="000000"/>
          <w:spacing w:val="-2"/>
          <w:sz w:val="20"/>
          <w:szCs w:val="20"/>
        </w:rPr>
        <w:t xml:space="preserve"> _____ thousand). The net fair value of unsettled spot transactions is insignificant.</w:t>
      </w:r>
    </w:p>
    <w:p w14:paraId="37FEE368" w14:textId="30AF983C" w:rsidR="00D83E33" w:rsidRPr="001B330E" w:rsidRDefault="00BC4072">
      <w:pPr>
        <w:widowControl w:val="0"/>
        <w:pBdr>
          <w:top w:val="nil"/>
          <w:left w:val="nil"/>
          <w:bottom w:val="nil"/>
          <w:right w:val="nil"/>
          <w:between w:val="nil"/>
        </w:pBdr>
        <w:spacing w:before="200" w:after="200"/>
        <w:jc w:val="both"/>
        <w:rPr>
          <w:i/>
          <w:color w:val="FF0000"/>
          <w:spacing w:val="-2"/>
          <w:sz w:val="20"/>
          <w:szCs w:val="20"/>
        </w:rPr>
      </w:pPr>
      <w:r w:rsidRPr="001B330E">
        <w:rPr>
          <w:color w:val="0000FF"/>
          <w:spacing w:val="-2"/>
          <w:sz w:val="20"/>
          <w:szCs w:val="20"/>
        </w:rPr>
        <w:t xml:space="preserve">[The Group had outstanding obligations to deliver shares with fair value, at the end of the reporting period, of </w:t>
      </w:r>
      <w:r w:rsidR="00D73799">
        <w:rPr>
          <w:color w:val="0000FF"/>
          <w:spacing w:val="-2"/>
          <w:sz w:val="20"/>
          <w:szCs w:val="20"/>
        </w:rPr>
        <w:t>EUR</w:t>
      </w:r>
      <w:r w:rsidRPr="001B330E">
        <w:rPr>
          <w:color w:val="0000FF"/>
          <w:spacing w:val="-2"/>
          <w:sz w:val="20"/>
          <w:szCs w:val="20"/>
        </w:rPr>
        <w:t xml:space="preserve"> _____ thousand (</w:t>
      </w:r>
      <w:r w:rsidR="00541EBC">
        <w:rPr>
          <w:color w:val="0000FF"/>
          <w:spacing w:val="-2"/>
          <w:sz w:val="20"/>
          <w:szCs w:val="20"/>
        </w:rPr>
        <w:t>2023</w:t>
      </w:r>
      <w:r w:rsidRPr="001B330E">
        <w:rPr>
          <w:color w:val="0000FF"/>
          <w:spacing w:val="-2"/>
          <w:sz w:val="20"/>
          <w:szCs w:val="20"/>
        </w:rPr>
        <w:t xml:space="preserve">: </w:t>
      </w:r>
      <w:r w:rsidR="00D73799">
        <w:rPr>
          <w:color w:val="0000FF"/>
          <w:spacing w:val="-2"/>
          <w:sz w:val="20"/>
          <w:szCs w:val="20"/>
        </w:rPr>
        <w:t>EUR</w:t>
      </w:r>
      <w:r w:rsidRPr="001B330E">
        <w:rPr>
          <w:color w:val="0000FF"/>
          <w:spacing w:val="-2"/>
          <w:sz w:val="20"/>
          <w:szCs w:val="20"/>
        </w:rPr>
        <w:t xml:space="preserve"> _____ thousand) and obligations to accept delivery of _____ shares with fair value, at the end of the reporting period, of </w:t>
      </w:r>
      <w:r w:rsidR="00D73799">
        <w:rPr>
          <w:color w:val="0000FF"/>
          <w:spacing w:val="-2"/>
          <w:sz w:val="20"/>
          <w:szCs w:val="20"/>
        </w:rPr>
        <w:t>EUR</w:t>
      </w:r>
      <w:r w:rsidRPr="001B330E">
        <w:rPr>
          <w:color w:val="0000FF"/>
          <w:spacing w:val="-2"/>
          <w:sz w:val="20"/>
          <w:szCs w:val="20"/>
        </w:rPr>
        <w:t xml:space="preserve"> _____ thousand (</w:t>
      </w:r>
      <w:r w:rsidR="00541EBC">
        <w:rPr>
          <w:color w:val="0000FF"/>
          <w:spacing w:val="-2"/>
          <w:sz w:val="20"/>
          <w:szCs w:val="20"/>
        </w:rPr>
        <w:t>2023</w:t>
      </w:r>
      <w:r w:rsidRPr="001B330E">
        <w:rPr>
          <w:color w:val="0000FF"/>
          <w:spacing w:val="-2"/>
          <w:sz w:val="20"/>
          <w:szCs w:val="20"/>
        </w:rPr>
        <w:t xml:space="preserve">: </w:t>
      </w:r>
      <w:r w:rsidR="00D73799">
        <w:rPr>
          <w:color w:val="0000FF"/>
          <w:spacing w:val="-2"/>
          <w:sz w:val="20"/>
          <w:szCs w:val="20"/>
        </w:rPr>
        <w:t>EUR</w:t>
      </w:r>
      <w:r w:rsidRPr="001B330E">
        <w:rPr>
          <w:color w:val="0000FF"/>
          <w:spacing w:val="-2"/>
          <w:sz w:val="20"/>
          <w:szCs w:val="20"/>
        </w:rPr>
        <w:t xml:space="preserve"> _____ thousand).</w:t>
      </w:r>
      <w:r w:rsidRPr="001B330E">
        <w:rPr>
          <w:color w:val="000000"/>
          <w:spacing w:val="-2"/>
          <w:sz w:val="20"/>
          <w:szCs w:val="20"/>
        </w:rPr>
        <w:t xml:space="preserve"> </w:t>
      </w:r>
      <w:r w:rsidRPr="001B330E">
        <w:rPr>
          <w:color w:val="0000FF"/>
          <w:spacing w:val="-2"/>
          <w:sz w:val="20"/>
          <w:szCs w:val="20"/>
        </w:rPr>
        <w:t xml:space="preserve">These forwards were recognised in the statement of financial position as an asset at fair value of </w:t>
      </w:r>
      <w:r w:rsidR="00D73799">
        <w:rPr>
          <w:color w:val="0000FF"/>
          <w:spacing w:val="-2"/>
          <w:sz w:val="20"/>
          <w:szCs w:val="20"/>
        </w:rPr>
        <w:t>EUR</w:t>
      </w:r>
      <w:r w:rsidRPr="001B330E">
        <w:rPr>
          <w:color w:val="0000FF"/>
          <w:spacing w:val="-2"/>
          <w:sz w:val="20"/>
          <w:szCs w:val="20"/>
        </w:rPr>
        <w:t xml:space="preserve"> _____ thousand (</w:t>
      </w:r>
      <w:r w:rsidR="00541EBC">
        <w:rPr>
          <w:color w:val="0000FF"/>
          <w:spacing w:val="-2"/>
          <w:sz w:val="20"/>
          <w:szCs w:val="20"/>
        </w:rPr>
        <w:t>2023</w:t>
      </w:r>
      <w:r w:rsidRPr="001B330E">
        <w:rPr>
          <w:color w:val="0000FF"/>
          <w:spacing w:val="-2"/>
          <w:sz w:val="20"/>
          <w:szCs w:val="20"/>
        </w:rPr>
        <w:t xml:space="preserve">: </w:t>
      </w:r>
      <w:r w:rsidR="00D73799">
        <w:rPr>
          <w:color w:val="0000FF"/>
          <w:spacing w:val="-2"/>
          <w:sz w:val="20"/>
          <w:szCs w:val="20"/>
        </w:rPr>
        <w:t>EUR</w:t>
      </w:r>
      <w:r w:rsidRPr="001B330E">
        <w:rPr>
          <w:color w:val="0000FF"/>
          <w:spacing w:val="-2"/>
          <w:sz w:val="20"/>
          <w:szCs w:val="20"/>
        </w:rPr>
        <w:t xml:space="preserve"> _____ thousand) and a liability at fair value of </w:t>
      </w:r>
      <w:r w:rsidR="00D73799">
        <w:rPr>
          <w:color w:val="0000FF"/>
          <w:spacing w:val="-2"/>
          <w:sz w:val="20"/>
          <w:szCs w:val="20"/>
        </w:rPr>
        <w:t>EUR</w:t>
      </w:r>
      <w:r w:rsidRPr="001B330E">
        <w:rPr>
          <w:color w:val="0000FF"/>
          <w:spacing w:val="-2"/>
          <w:sz w:val="20"/>
          <w:szCs w:val="20"/>
        </w:rPr>
        <w:t xml:space="preserve"> _____ thousand (</w:t>
      </w:r>
      <w:r w:rsidR="00541EBC">
        <w:rPr>
          <w:color w:val="0000FF"/>
          <w:spacing w:val="-2"/>
          <w:sz w:val="20"/>
          <w:szCs w:val="20"/>
        </w:rPr>
        <w:t>2023</w:t>
      </w:r>
      <w:r w:rsidRPr="001B330E">
        <w:rPr>
          <w:color w:val="0000FF"/>
          <w:spacing w:val="-2"/>
          <w:sz w:val="20"/>
          <w:szCs w:val="20"/>
        </w:rPr>
        <w:t xml:space="preserve">: </w:t>
      </w:r>
      <w:r w:rsidR="00D73799">
        <w:rPr>
          <w:color w:val="0000FF"/>
          <w:spacing w:val="-2"/>
          <w:sz w:val="20"/>
          <w:szCs w:val="20"/>
        </w:rPr>
        <w:t>EUR</w:t>
      </w:r>
      <w:r w:rsidRPr="001B330E">
        <w:rPr>
          <w:color w:val="0000FF"/>
          <w:spacing w:val="-2"/>
          <w:sz w:val="20"/>
          <w:szCs w:val="20"/>
        </w:rPr>
        <w:t xml:space="preserve"> _____ thousand). Refer to Notes 15 and </w:t>
      </w:r>
      <w:hyperlink w:anchor="_heading=h.vx1227">
        <w:r w:rsidRPr="001B330E">
          <w:rPr>
            <w:color w:val="0000FF"/>
            <w:spacing w:val="-2"/>
            <w:sz w:val="20"/>
            <w:szCs w:val="20"/>
            <w:u w:val="single"/>
          </w:rPr>
          <w:t>26</w:t>
        </w:r>
      </w:hyperlink>
      <w:r w:rsidRPr="001B330E">
        <w:rPr>
          <w:color w:val="0000FF"/>
          <w:spacing w:val="-2"/>
          <w:sz w:val="20"/>
          <w:szCs w:val="20"/>
        </w:rPr>
        <w:t>.]</w:t>
      </w:r>
      <w:r w:rsidRPr="001B330E">
        <w:rPr>
          <w:i/>
          <w:color w:val="FF0000"/>
          <w:spacing w:val="-2"/>
          <w:sz w:val="20"/>
          <w:szCs w:val="20"/>
        </w:rPr>
        <w:t xml:space="preserve"> </w:t>
      </w:r>
    </w:p>
    <w:p w14:paraId="296053C4" w14:textId="77777777" w:rsidR="008B6A03" w:rsidRPr="001B330E" w:rsidRDefault="008B6A03" w:rsidP="008B6A03">
      <w:pPr>
        <w:pStyle w:val="Continued"/>
        <w:rPr>
          <w:spacing w:val="-2"/>
        </w:rPr>
      </w:pPr>
      <w:r>
        <w:lastRenderedPageBreak/>
        <w:t>48</w:t>
      </w:r>
      <w:r>
        <w:tab/>
      </w:r>
      <w:r w:rsidRPr="001B330E">
        <w:rPr>
          <w:spacing w:val="-2"/>
        </w:rPr>
        <w:t>Derivative Financial Instruments (Continued)</w:t>
      </w:r>
    </w:p>
    <w:p w14:paraId="2F28ADBF" w14:textId="6091BB00" w:rsidR="00D83E33" w:rsidRPr="001B330E" w:rsidRDefault="00BC4072">
      <w:pPr>
        <w:widowControl w:val="0"/>
        <w:pBdr>
          <w:top w:val="nil"/>
          <w:left w:val="nil"/>
          <w:bottom w:val="nil"/>
          <w:right w:val="nil"/>
          <w:between w:val="nil"/>
        </w:pBdr>
        <w:spacing w:before="200" w:after="200"/>
        <w:jc w:val="both"/>
        <w:rPr>
          <w:color w:val="0000FF"/>
          <w:spacing w:val="-2"/>
          <w:sz w:val="20"/>
          <w:szCs w:val="20"/>
        </w:rPr>
      </w:pPr>
      <w:r w:rsidRPr="001B330E">
        <w:rPr>
          <w:color w:val="000000"/>
          <w:spacing w:val="-2"/>
          <w:sz w:val="20"/>
          <w:szCs w:val="20"/>
        </w:rPr>
        <w:t>At 31</w:t>
      </w:r>
      <w:r w:rsidR="00181687" w:rsidRPr="001B330E">
        <w:rPr>
          <w:color w:val="000000"/>
          <w:spacing w:val="-2"/>
          <w:sz w:val="20"/>
          <w:szCs w:val="20"/>
        </w:rPr>
        <w:t> December </w:t>
      </w:r>
      <w:r w:rsidR="00541EBC">
        <w:rPr>
          <w:color w:val="000000"/>
          <w:spacing w:val="-2"/>
          <w:sz w:val="20"/>
          <w:szCs w:val="20"/>
        </w:rPr>
        <w:t>2024</w:t>
      </w:r>
      <w:r w:rsidRPr="001B330E">
        <w:rPr>
          <w:color w:val="000000"/>
          <w:spacing w:val="-2"/>
          <w:sz w:val="20"/>
          <w:szCs w:val="20"/>
        </w:rPr>
        <w:t xml:space="preserve">, the Group had outstanding </w:t>
      </w:r>
      <w:r w:rsidRPr="001B330E">
        <w:rPr>
          <w:color w:val="0000FF"/>
          <w:spacing w:val="-2"/>
          <w:sz w:val="20"/>
          <w:szCs w:val="20"/>
        </w:rPr>
        <w:t>[written]</w:t>
      </w:r>
      <w:r w:rsidRPr="001B330E">
        <w:rPr>
          <w:color w:val="000000"/>
          <w:spacing w:val="-2"/>
          <w:sz w:val="20"/>
          <w:szCs w:val="20"/>
        </w:rPr>
        <w:t xml:space="preserve"> </w:t>
      </w:r>
      <w:r w:rsidRPr="001B330E">
        <w:rPr>
          <w:color w:val="0000FF"/>
          <w:spacing w:val="-2"/>
          <w:sz w:val="20"/>
          <w:szCs w:val="20"/>
        </w:rPr>
        <w:t>[purchased]</w:t>
      </w:r>
      <w:r w:rsidRPr="001B330E">
        <w:rPr>
          <w:color w:val="000000"/>
          <w:spacing w:val="-2"/>
          <w:sz w:val="20"/>
          <w:szCs w:val="20"/>
        </w:rPr>
        <w:t xml:space="preserve"> put options giving </w:t>
      </w:r>
      <w:r w:rsidRPr="001B330E">
        <w:rPr>
          <w:color w:val="0000FF"/>
          <w:spacing w:val="-2"/>
          <w:sz w:val="20"/>
          <w:szCs w:val="20"/>
        </w:rPr>
        <w:t>[the counterparty] [the Group]</w:t>
      </w:r>
      <w:r w:rsidRPr="001B330E">
        <w:rPr>
          <w:color w:val="000000"/>
          <w:spacing w:val="-2"/>
          <w:sz w:val="20"/>
          <w:szCs w:val="20"/>
        </w:rPr>
        <w:t xml:space="preserve"> the right to sell </w:t>
      </w:r>
      <w:r w:rsidRPr="001B330E">
        <w:rPr>
          <w:color w:val="0000FF"/>
          <w:spacing w:val="-2"/>
          <w:sz w:val="20"/>
          <w:szCs w:val="20"/>
        </w:rPr>
        <w:t>[shares]</w:t>
      </w:r>
      <w:r w:rsidRPr="001B330E">
        <w:rPr>
          <w:color w:val="000000"/>
          <w:spacing w:val="-2"/>
          <w:sz w:val="20"/>
          <w:szCs w:val="20"/>
        </w:rPr>
        <w:t xml:space="preserve"> with fair value of </w:t>
      </w:r>
      <w:r w:rsidR="00D73799">
        <w:rPr>
          <w:color w:val="000000"/>
          <w:spacing w:val="-2"/>
          <w:sz w:val="20"/>
          <w:szCs w:val="20"/>
        </w:rPr>
        <w:t>EUR</w:t>
      </w:r>
      <w:r w:rsidRPr="001B330E">
        <w:rPr>
          <w:color w:val="000000"/>
          <w:spacing w:val="-2"/>
          <w:sz w:val="20"/>
          <w:szCs w:val="20"/>
        </w:rPr>
        <w:t xml:space="preserve"> _____ thousand (</w:t>
      </w:r>
      <w:r w:rsidR="00541EBC">
        <w:rPr>
          <w:color w:val="000000"/>
          <w:spacing w:val="-2"/>
          <w:sz w:val="20"/>
          <w:szCs w:val="20"/>
        </w:rPr>
        <w:t>2023</w:t>
      </w:r>
      <w:r w:rsidRPr="001B330E">
        <w:rPr>
          <w:color w:val="000000"/>
          <w:spacing w:val="-2"/>
          <w:sz w:val="20"/>
          <w:szCs w:val="20"/>
        </w:rPr>
        <w:t xml:space="preserve">: </w:t>
      </w:r>
      <w:r w:rsidR="00D73799">
        <w:rPr>
          <w:color w:val="000000"/>
          <w:spacing w:val="-2"/>
          <w:sz w:val="20"/>
          <w:szCs w:val="20"/>
        </w:rPr>
        <w:t>EUR</w:t>
      </w:r>
      <w:r w:rsidRPr="001B330E">
        <w:rPr>
          <w:color w:val="000000"/>
          <w:spacing w:val="-2"/>
          <w:sz w:val="20"/>
          <w:szCs w:val="20"/>
        </w:rPr>
        <w:t xml:space="preserve"> _____ thousand) to </w:t>
      </w:r>
      <w:r w:rsidRPr="001B330E">
        <w:rPr>
          <w:color w:val="0000FF"/>
          <w:spacing w:val="-2"/>
          <w:sz w:val="20"/>
          <w:szCs w:val="20"/>
        </w:rPr>
        <w:t>[the Group] [the counterparty]</w:t>
      </w:r>
      <w:r w:rsidRPr="001B330E">
        <w:rPr>
          <w:color w:val="000000"/>
          <w:spacing w:val="-2"/>
          <w:sz w:val="20"/>
          <w:szCs w:val="20"/>
        </w:rPr>
        <w:t xml:space="preserve"> for </w:t>
      </w:r>
      <w:r w:rsidR="00D73799">
        <w:rPr>
          <w:color w:val="000000"/>
          <w:spacing w:val="-2"/>
          <w:sz w:val="20"/>
          <w:szCs w:val="20"/>
        </w:rPr>
        <w:t>EUR</w:t>
      </w:r>
      <w:r w:rsidRPr="001B330E">
        <w:rPr>
          <w:color w:val="000000"/>
          <w:spacing w:val="-2"/>
          <w:sz w:val="20"/>
          <w:szCs w:val="20"/>
        </w:rPr>
        <w:t xml:space="preserve"> _____ thousand (</w:t>
      </w:r>
      <w:r w:rsidR="00541EBC">
        <w:rPr>
          <w:color w:val="000000"/>
          <w:spacing w:val="-2"/>
          <w:sz w:val="20"/>
          <w:szCs w:val="20"/>
        </w:rPr>
        <w:t>2023</w:t>
      </w:r>
      <w:r w:rsidRPr="001B330E">
        <w:rPr>
          <w:color w:val="000000"/>
          <w:spacing w:val="-2"/>
          <w:sz w:val="20"/>
          <w:szCs w:val="20"/>
        </w:rPr>
        <w:t xml:space="preserve">: </w:t>
      </w:r>
      <w:r w:rsidR="00D73799">
        <w:rPr>
          <w:color w:val="000000"/>
          <w:spacing w:val="-2"/>
          <w:sz w:val="20"/>
          <w:szCs w:val="20"/>
        </w:rPr>
        <w:t>EUR</w:t>
      </w:r>
      <w:r w:rsidRPr="001B330E">
        <w:rPr>
          <w:color w:val="000000"/>
          <w:spacing w:val="-2"/>
          <w:sz w:val="20"/>
          <w:szCs w:val="20"/>
        </w:rPr>
        <w:t xml:space="preserve"> _____ thousand). The options can be exercised </w:t>
      </w:r>
      <w:r w:rsidRPr="001B330E">
        <w:rPr>
          <w:color w:val="0000FF"/>
          <w:spacing w:val="-2"/>
          <w:sz w:val="20"/>
          <w:szCs w:val="20"/>
        </w:rPr>
        <w:t>[from ____ 20XX to ____ 20XX]</w:t>
      </w:r>
      <w:r w:rsidRPr="001B330E">
        <w:rPr>
          <w:color w:val="000000"/>
          <w:spacing w:val="-2"/>
          <w:sz w:val="20"/>
          <w:szCs w:val="20"/>
        </w:rPr>
        <w:t xml:space="preserve">. The fair value of the outstanding put options was recognised as </w:t>
      </w:r>
      <w:r w:rsidRPr="001B330E">
        <w:rPr>
          <w:color w:val="0000FF"/>
          <w:spacing w:val="-2"/>
          <w:sz w:val="20"/>
          <w:szCs w:val="20"/>
        </w:rPr>
        <w:t>[a liability] [an asset]</w:t>
      </w:r>
      <w:r w:rsidRPr="001B330E">
        <w:rPr>
          <w:color w:val="000000"/>
          <w:spacing w:val="-2"/>
          <w:sz w:val="20"/>
          <w:szCs w:val="20"/>
        </w:rPr>
        <w:t xml:space="preserve"> of </w:t>
      </w:r>
      <w:r w:rsidR="00D73799">
        <w:rPr>
          <w:color w:val="000000"/>
          <w:spacing w:val="-2"/>
          <w:sz w:val="20"/>
          <w:szCs w:val="20"/>
        </w:rPr>
        <w:t>EUR</w:t>
      </w:r>
      <w:r w:rsidRPr="001B330E">
        <w:rPr>
          <w:color w:val="000000"/>
          <w:spacing w:val="-2"/>
          <w:sz w:val="20"/>
          <w:szCs w:val="20"/>
        </w:rPr>
        <w:t xml:space="preserve"> _____ thousand (</w:t>
      </w:r>
      <w:r w:rsidR="00541EBC">
        <w:rPr>
          <w:color w:val="000000"/>
          <w:spacing w:val="-2"/>
          <w:sz w:val="20"/>
          <w:szCs w:val="20"/>
        </w:rPr>
        <w:t>2023</w:t>
      </w:r>
      <w:r w:rsidRPr="001B330E">
        <w:rPr>
          <w:color w:val="000000"/>
          <w:spacing w:val="-2"/>
          <w:sz w:val="20"/>
          <w:szCs w:val="20"/>
        </w:rPr>
        <w:t xml:space="preserve">: </w:t>
      </w:r>
      <w:r w:rsidR="00D73799">
        <w:rPr>
          <w:color w:val="000000"/>
          <w:spacing w:val="-2"/>
          <w:sz w:val="20"/>
          <w:szCs w:val="20"/>
        </w:rPr>
        <w:t>EUR</w:t>
      </w:r>
      <w:r w:rsidRPr="001B330E">
        <w:rPr>
          <w:color w:val="000000"/>
          <w:spacing w:val="-2"/>
          <w:sz w:val="20"/>
          <w:szCs w:val="20"/>
        </w:rPr>
        <w:t xml:space="preserve"> _____ thousand). Refer to Notes 15 and 26.</w:t>
      </w:r>
    </w:p>
    <w:p w14:paraId="469E35E7" w14:textId="499C7D0E" w:rsidR="00D83E33" w:rsidRPr="001B330E" w:rsidRDefault="00BC4072">
      <w:pPr>
        <w:widowControl w:val="0"/>
        <w:pBdr>
          <w:top w:val="nil"/>
          <w:left w:val="nil"/>
          <w:bottom w:val="nil"/>
          <w:right w:val="nil"/>
          <w:between w:val="nil"/>
        </w:pBdr>
        <w:spacing w:before="200" w:after="200"/>
        <w:jc w:val="both"/>
        <w:rPr>
          <w:color w:val="000000"/>
          <w:spacing w:val="-2"/>
          <w:sz w:val="20"/>
          <w:szCs w:val="20"/>
        </w:rPr>
      </w:pPr>
      <w:r w:rsidRPr="001B330E">
        <w:rPr>
          <w:color w:val="000000"/>
          <w:spacing w:val="-2"/>
          <w:sz w:val="20"/>
          <w:szCs w:val="20"/>
        </w:rPr>
        <w:t>At 31</w:t>
      </w:r>
      <w:r w:rsidR="00181687" w:rsidRPr="001B330E">
        <w:rPr>
          <w:color w:val="000000"/>
          <w:spacing w:val="-2"/>
          <w:sz w:val="20"/>
          <w:szCs w:val="20"/>
        </w:rPr>
        <w:t> December </w:t>
      </w:r>
      <w:r w:rsidR="00541EBC">
        <w:rPr>
          <w:color w:val="000000"/>
          <w:spacing w:val="-2"/>
          <w:sz w:val="20"/>
          <w:szCs w:val="20"/>
        </w:rPr>
        <w:t>2024</w:t>
      </w:r>
      <w:r w:rsidRPr="001B330E">
        <w:rPr>
          <w:color w:val="000000"/>
          <w:spacing w:val="-2"/>
          <w:sz w:val="20"/>
          <w:szCs w:val="20"/>
        </w:rPr>
        <w:t xml:space="preserve">, the Group had outstanding </w:t>
      </w:r>
      <w:r w:rsidRPr="001B330E">
        <w:rPr>
          <w:color w:val="0000FF"/>
          <w:spacing w:val="-2"/>
          <w:sz w:val="20"/>
          <w:szCs w:val="20"/>
        </w:rPr>
        <w:t>[written]</w:t>
      </w:r>
      <w:r w:rsidRPr="001B330E">
        <w:rPr>
          <w:color w:val="000000"/>
          <w:spacing w:val="-2"/>
          <w:sz w:val="20"/>
          <w:szCs w:val="20"/>
        </w:rPr>
        <w:t xml:space="preserve"> </w:t>
      </w:r>
      <w:r w:rsidRPr="001B330E">
        <w:rPr>
          <w:color w:val="0000FF"/>
          <w:spacing w:val="-2"/>
          <w:sz w:val="20"/>
          <w:szCs w:val="20"/>
        </w:rPr>
        <w:t>[purchased]</w:t>
      </w:r>
      <w:r w:rsidRPr="001B330E">
        <w:rPr>
          <w:color w:val="000000"/>
          <w:spacing w:val="-2"/>
          <w:sz w:val="20"/>
          <w:szCs w:val="20"/>
        </w:rPr>
        <w:t xml:space="preserve"> call options giving </w:t>
      </w:r>
      <w:r w:rsidRPr="001B330E">
        <w:rPr>
          <w:color w:val="0000FF"/>
          <w:spacing w:val="-2"/>
          <w:sz w:val="20"/>
          <w:szCs w:val="20"/>
        </w:rPr>
        <w:t>[the counterparty] [the Group]</w:t>
      </w:r>
      <w:r w:rsidRPr="001B330E">
        <w:rPr>
          <w:color w:val="000000"/>
          <w:spacing w:val="-2"/>
          <w:sz w:val="20"/>
          <w:szCs w:val="20"/>
        </w:rPr>
        <w:t xml:space="preserve"> the right to buy </w:t>
      </w:r>
      <w:r w:rsidRPr="001B330E">
        <w:rPr>
          <w:color w:val="0000FF"/>
          <w:spacing w:val="-2"/>
          <w:sz w:val="20"/>
          <w:szCs w:val="20"/>
        </w:rPr>
        <w:t>[shares]</w:t>
      </w:r>
      <w:r w:rsidRPr="001B330E">
        <w:rPr>
          <w:color w:val="000000"/>
          <w:spacing w:val="-2"/>
          <w:sz w:val="20"/>
          <w:szCs w:val="20"/>
        </w:rPr>
        <w:t xml:space="preserve"> with fair value of </w:t>
      </w:r>
      <w:r w:rsidR="00D73799">
        <w:rPr>
          <w:color w:val="000000"/>
          <w:spacing w:val="-2"/>
          <w:sz w:val="20"/>
          <w:szCs w:val="20"/>
        </w:rPr>
        <w:t>EUR</w:t>
      </w:r>
      <w:r w:rsidRPr="001B330E">
        <w:rPr>
          <w:color w:val="000000"/>
          <w:spacing w:val="-2"/>
          <w:sz w:val="20"/>
          <w:szCs w:val="20"/>
        </w:rPr>
        <w:t xml:space="preserve"> _____ thousand (</w:t>
      </w:r>
      <w:r w:rsidR="00541EBC">
        <w:rPr>
          <w:color w:val="000000"/>
          <w:spacing w:val="-2"/>
          <w:sz w:val="20"/>
          <w:szCs w:val="20"/>
        </w:rPr>
        <w:t>2023</w:t>
      </w:r>
      <w:r w:rsidRPr="001B330E">
        <w:rPr>
          <w:color w:val="000000"/>
          <w:spacing w:val="-2"/>
          <w:sz w:val="20"/>
          <w:szCs w:val="20"/>
        </w:rPr>
        <w:t xml:space="preserve">: </w:t>
      </w:r>
      <w:r w:rsidR="00D73799">
        <w:rPr>
          <w:color w:val="000000"/>
          <w:spacing w:val="-2"/>
          <w:sz w:val="20"/>
          <w:szCs w:val="20"/>
        </w:rPr>
        <w:t>EUR</w:t>
      </w:r>
      <w:r w:rsidRPr="001B330E">
        <w:rPr>
          <w:color w:val="000000"/>
          <w:spacing w:val="-2"/>
          <w:sz w:val="20"/>
          <w:szCs w:val="20"/>
        </w:rPr>
        <w:t xml:space="preserve"> _____ thousand) from </w:t>
      </w:r>
      <w:r w:rsidRPr="001B330E">
        <w:rPr>
          <w:color w:val="0000FF"/>
          <w:spacing w:val="-2"/>
          <w:sz w:val="20"/>
          <w:szCs w:val="20"/>
        </w:rPr>
        <w:t>[the Group] [the counterparty]</w:t>
      </w:r>
      <w:r w:rsidRPr="001B330E">
        <w:rPr>
          <w:color w:val="000000"/>
          <w:spacing w:val="-2"/>
          <w:sz w:val="20"/>
          <w:szCs w:val="20"/>
        </w:rPr>
        <w:t xml:space="preserve"> for </w:t>
      </w:r>
      <w:r w:rsidR="00D73799">
        <w:rPr>
          <w:color w:val="000000"/>
          <w:spacing w:val="-2"/>
          <w:sz w:val="20"/>
          <w:szCs w:val="20"/>
        </w:rPr>
        <w:t>EUR</w:t>
      </w:r>
      <w:r w:rsidRPr="001B330E">
        <w:rPr>
          <w:color w:val="000000"/>
          <w:spacing w:val="-2"/>
          <w:sz w:val="20"/>
          <w:szCs w:val="20"/>
        </w:rPr>
        <w:t xml:space="preserve"> _____ thousand (</w:t>
      </w:r>
      <w:r w:rsidR="00541EBC">
        <w:rPr>
          <w:color w:val="000000"/>
          <w:spacing w:val="-2"/>
          <w:sz w:val="20"/>
          <w:szCs w:val="20"/>
        </w:rPr>
        <w:t>2023</w:t>
      </w:r>
      <w:r w:rsidRPr="001B330E">
        <w:rPr>
          <w:color w:val="000000"/>
          <w:spacing w:val="-2"/>
          <w:sz w:val="20"/>
          <w:szCs w:val="20"/>
        </w:rPr>
        <w:t xml:space="preserve">: </w:t>
      </w:r>
      <w:r w:rsidR="00D73799">
        <w:rPr>
          <w:color w:val="000000"/>
          <w:spacing w:val="-2"/>
          <w:sz w:val="20"/>
          <w:szCs w:val="20"/>
        </w:rPr>
        <w:t>EUR</w:t>
      </w:r>
      <w:r w:rsidRPr="001B330E">
        <w:rPr>
          <w:color w:val="000000"/>
          <w:spacing w:val="-2"/>
          <w:sz w:val="20"/>
          <w:szCs w:val="20"/>
        </w:rPr>
        <w:t xml:space="preserve"> _____ thousand). The options can be exercised </w:t>
      </w:r>
      <w:r w:rsidRPr="001B330E">
        <w:rPr>
          <w:color w:val="0000FF"/>
          <w:spacing w:val="-2"/>
          <w:sz w:val="20"/>
          <w:szCs w:val="20"/>
        </w:rPr>
        <w:t>[from ____ 20XX to ____ 20XX]</w:t>
      </w:r>
      <w:r w:rsidRPr="001B330E">
        <w:rPr>
          <w:color w:val="000000"/>
          <w:spacing w:val="-2"/>
          <w:sz w:val="20"/>
          <w:szCs w:val="20"/>
        </w:rPr>
        <w:t xml:space="preserve">. The fair value of the outstanding call options was recognised as </w:t>
      </w:r>
      <w:r w:rsidRPr="001B330E">
        <w:rPr>
          <w:color w:val="0000FF"/>
          <w:spacing w:val="-2"/>
          <w:sz w:val="20"/>
          <w:szCs w:val="20"/>
        </w:rPr>
        <w:t>[a liability] [an asset]</w:t>
      </w:r>
      <w:r w:rsidRPr="001B330E">
        <w:rPr>
          <w:color w:val="000000"/>
          <w:spacing w:val="-2"/>
          <w:sz w:val="20"/>
          <w:szCs w:val="20"/>
        </w:rPr>
        <w:t xml:space="preserve"> of </w:t>
      </w:r>
      <w:r w:rsidR="00D73799">
        <w:rPr>
          <w:color w:val="000000"/>
          <w:spacing w:val="-2"/>
          <w:sz w:val="20"/>
          <w:szCs w:val="20"/>
        </w:rPr>
        <w:t>EUR</w:t>
      </w:r>
      <w:r w:rsidRPr="001B330E">
        <w:rPr>
          <w:color w:val="000000"/>
          <w:spacing w:val="-2"/>
          <w:sz w:val="20"/>
          <w:szCs w:val="20"/>
        </w:rPr>
        <w:t xml:space="preserve"> _____ thousand (</w:t>
      </w:r>
      <w:r w:rsidR="00541EBC">
        <w:rPr>
          <w:color w:val="000000"/>
          <w:spacing w:val="-2"/>
          <w:sz w:val="20"/>
          <w:szCs w:val="20"/>
        </w:rPr>
        <w:t>2023</w:t>
      </w:r>
      <w:r w:rsidRPr="001B330E">
        <w:rPr>
          <w:color w:val="000000"/>
          <w:spacing w:val="-2"/>
          <w:sz w:val="20"/>
          <w:szCs w:val="20"/>
        </w:rPr>
        <w:t xml:space="preserve">: </w:t>
      </w:r>
      <w:r w:rsidR="00D73799">
        <w:rPr>
          <w:color w:val="000000"/>
          <w:spacing w:val="-2"/>
          <w:sz w:val="20"/>
          <w:szCs w:val="20"/>
        </w:rPr>
        <w:t>EUR</w:t>
      </w:r>
      <w:r w:rsidRPr="001B330E">
        <w:rPr>
          <w:color w:val="000000"/>
          <w:spacing w:val="-2"/>
          <w:sz w:val="20"/>
          <w:szCs w:val="20"/>
        </w:rPr>
        <w:t xml:space="preserve"> _____ thousand). Refer to Notes 15 and 26.</w:t>
      </w:r>
    </w:p>
    <w:p w14:paraId="3E86BDA1" w14:textId="77777777" w:rsidR="00D83E33" w:rsidRPr="001B330E" w:rsidRDefault="00BC4072" w:rsidP="001B330E">
      <w:pPr>
        <w:pStyle w:val="Heading1"/>
        <w:keepNext w:val="0"/>
        <w:rPr>
          <w:spacing w:val="-2"/>
        </w:rPr>
      </w:pPr>
      <w:bookmarkStart w:id="124" w:name="_Toc179196051"/>
      <w:r w:rsidRPr="001B330E">
        <w:rPr>
          <w:spacing w:val="-2"/>
        </w:rPr>
        <w:t>Fair Value Disclosures</w:t>
      </w:r>
      <w:bookmarkEnd w:id="124"/>
    </w:p>
    <w:p w14:paraId="522593BE" w14:textId="150DB8BB" w:rsidR="00D83E33" w:rsidRPr="001B330E" w:rsidRDefault="00BC4072" w:rsidP="001B330E">
      <w:pPr>
        <w:widowControl w:val="0"/>
        <w:pBdr>
          <w:top w:val="nil"/>
          <w:left w:val="nil"/>
          <w:bottom w:val="nil"/>
          <w:right w:val="nil"/>
          <w:between w:val="nil"/>
        </w:pBdr>
        <w:spacing w:before="200" w:after="200"/>
        <w:jc w:val="both"/>
        <w:rPr>
          <w:i/>
          <w:color w:val="FF0000"/>
          <w:spacing w:val="-2"/>
          <w:sz w:val="20"/>
          <w:szCs w:val="20"/>
        </w:rPr>
      </w:pPr>
      <w:r w:rsidRPr="001B330E">
        <w:rPr>
          <w:i/>
          <w:color w:val="FF0000"/>
          <w:spacing w:val="-2"/>
          <w:sz w:val="20"/>
          <w:szCs w:val="20"/>
        </w:rPr>
        <w:t xml:space="preserve">[Note: This note should be tailored to the circumstances of each entity, eg description of valuation processes, disclosure of assumptions and valuation methods will significantly differ among entities.] </w:t>
      </w:r>
    </w:p>
    <w:p w14:paraId="1427DF9D" w14:textId="58C412E3" w:rsidR="00DB0A34" w:rsidRDefault="00DB0A34" w:rsidP="00DB0A34">
      <w:pPr>
        <w:widowControl w:val="0"/>
        <w:pBdr>
          <w:top w:val="nil"/>
          <w:left w:val="nil"/>
          <w:bottom w:val="nil"/>
          <w:right w:val="nil"/>
          <w:between w:val="nil"/>
        </w:pBdr>
        <w:spacing w:before="200" w:after="200"/>
        <w:jc w:val="both"/>
        <w:rPr>
          <w:color w:val="0000FF"/>
          <w:sz w:val="20"/>
          <w:szCs w:val="20"/>
        </w:rPr>
      </w:pPr>
      <w:r>
        <w:rPr>
          <w:i/>
          <w:color w:val="000000"/>
          <w:sz w:val="20"/>
          <w:szCs w:val="20"/>
        </w:rPr>
        <w:t xml:space="preserve">Fair value </w:t>
      </w:r>
      <w:r>
        <w:rPr>
          <w:color w:val="000000"/>
          <w:sz w:val="20"/>
          <w:szCs w:val="20"/>
        </w:rPr>
        <w:t xml:space="preserve">is the price that would be received to sell an asset or paid to transfer a liability in an orderly transaction between market participants at the measurement date. The best evidence of fair value is price in an active market. An active market is one in which transactions for the asset or liability take place with sufficient frequency and volume to provide pricing information on an ongoing basis. Fair value of financial instruments traded in an active market is measured as the product of the quoted price for the individual asset or liability and the quantity held by the entity. This is the case even if a market’s normal daily trading volume is not sufficient to absorb the quantity held and placing orders to sell the position in a single transaction might affect the quoted price. </w:t>
      </w:r>
      <w:r>
        <w:rPr>
          <w:color w:val="0000FF"/>
          <w:sz w:val="20"/>
          <w:szCs w:val="20"/>
        </w:rPr>
        <w:t>[The price within the bid-ask spread that is most representative of fair value in the circumstances was used to measure fair value, which management considers is [the last trading price on the reporting date] [the average of actual trading prices on the reporting date]. [The quoted market price used to value financial assets is the current bid price; the quoted market price for financial liabilities is the current asking price.]</w:t>
      </w:r>
    </w:p>
    <w:p w14:paraId="58BA4753" w14:textId="77777777" w:rsidR="00DB0A34" w:rsidRDefault="00DB0A34" w:rsidP="00DB0A34">
      <w:pPr>
        <w:widowControl w:val="0"/>
        <w:pBdr>
          <w:top w:val="nil"/>
          <w:left w:val="nil"/>
          <w:bottom w:val="nil"/>
          <w:right w:val="nil"/>
          <w:between w:val="nil"/>
        </w:pBdr>
        <w:spacing w:before="200" w:after="200"/>
        <w:jc w:val="both"/>
        <w:rPr>
          <w:color w:val="000000"/>
          <w:sz w:val="20"/>
          <w:szCs w:val="20"/>
        </w:rPr>
      </w:pPr>
      <w:r>
        <w:rPr>
          <w:color w:val="0000FF"/>
          <w:sz w:val="20"/>
          <w:szCs w:val="20"/>
        </w:rPr>
        <w:t>[A portfolio of financial derivatives or other financial assets and liabilities that are not traded in an active market is measured at the fair value of a group of financial assets and financial liabilities on the basis of the price that would be received to sell a net long position (ie an asset) for a particular risk exposure or paid to transfer a net short position (ie a liability) for a particular risk exposure in an orderly transaction between market participants at the measurement date. This is applicable for assets carried at fair value on a recurring basis if the Group: (a) manages the group of financial assets and financial liabilities on the basis of the entity’s net exposure to a particular market risk (or risks) or to the credit risk of a particular counterparty in accordance with the entity’s documented risk management or investment strategy; (b) it provides information on that basis about the group of assets and liabilities to the entity’s key management personnel; and (c) the market risks, including duration of the entity’s exposure to a particular market risk (or risks) arising from the financial assets and financial liabilities is substantially the same.]</w:t>
      </w:r>
    </w:p>
    <w:p w14:paraId="4D460DC7" w14:textId="77777777" w:rsidR="00E970D2" w:rsidRPr="008B6A03" w:rsidRDefault="00E970D2" w:rsidP="00E970D2">
      <w:pPr>
        <w:pStyle w:val="Continued"/>
      </w:pPr>
      <w:r>
        <w:lastRenderedPageBreak/>
        <w:t>49</w:t>
      </w:r>
      <w:r>
        <w:tab/>
        <w:t>Fair Value Disclosures (Continued)</w:t>
      </w:r>
    </w:p>
    <w:p w14:paraId="234E7694" w14:textId="58584AA2" w:rsidR="00DB0A34" w:rsidRDefault="00DB0A34"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Valuation techniques such as discounted cash flow models or models based on recent arm’s length transactions or consideration of financial data of the investees, are used to measure fair value of certain financial instruments for which external market pricing information is not available. Fair value measurements are analysed by level in the fair value hierarchy as follows: (i) level one are measurements at quoted prices (unadjusted) in active markets for identical assets or liabilities, (ii) level two measurements are valuations techniques with all material inputs observable for the asset or liability, either directly (that is, as prices) or indirectly (that is, derived from prices), and (iii) level three measurements are valuations not based on solely observable market data (that is, the measurement requires significant unobservable inputs). Transfers between levels of the fair value hierarchy are deemed to have occurred at the end of the reporting period.</w:t>
      </w:r>
    </w:p>
    <w:p w14:paraId="05F783C3" w14:textId="6CCD8404"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Fair value measurements are analysed by level in the fair value hierarchy as follows: (i) level one are measurements at quoted prices (unadjusted) in active markets for identical assets or liabilities, (ii) level two measurements are valuations techniques with all material inputs observable for the asset or liability, either directly (that is, as prices) or indirectly (that is, derived from prices), and (iii) level three measurements are valuations not based on observable market data (that is, unobservable inputs). Management applies judgement in categorising financial instruments using the fair value hierarchy. If a fair value measurement uses observable inputs that require significant adjustment, that measurement is a Level 3 measurement. The significance of a valuation input is assessed against the fair value measurement in its entirety. </w:t>
      </w:r>
    </w:p>
    <w:p w14:paraId="5EAE1CD5" w14:textId="6943B17B" w:rsidR="008B6A03" w:rsidRPr="008B6A03" w:rsidRDefault="008B6A03" w:rsidP="008B6A03">
      <w:pPr>
        <w:pStyle w:val="Continued"/>
      </w:pPr>
      <w:r>
        <w:lastRenderedPageBreak/>
        <w:t>49</w:t>
      </w:r>
      <w:r>
        <w:tab/>
        <w:t>Fair Value Disclosures (Continued)</w:t>
      </w:r>
    </w:p>
    <w:p w14:paraId="599C7547" w14:textId="77777777" w:rsidR="00D83E33" w:rsidRDefault="00BC4072">
      <w:pPr>
        <w:widowControl w:val="0"/>
        <w:pBdr>
          <w:top w:val="nil"/>
          <w:left w:val="nil"/>
          <w:bottom w:val="nil"/>
          <w:right w:val="nil"/>
          <w:between w:val="nil"/>
        </w:pBdr>
        <w:spacing w:before="200" w:after="200"/>
        <w:jc w:val="both"/>
        <w:rPr>
          <w:b/>
          <w:i/>
          <w:color w:val="000000"/>
          <w:sz w:val="20"/>
          <w:szCs w:val="20"/>
        </w:rPr>
      </w:pPr>
      <w:r>
        <w:rPr>
          <w:b/>
          <w:i/>
          <w:color w:val="000000"/>
          <w:sz w:val="20"/>
          <w:szCs w:val="20"/>
        </w:rPr>
        <w:t xml:space="preserve">(a) </w:t>
      </w:r>
      <w:r>
        <w:rPr>
          <w:b/>
          <w:i/>
          <w:color w:val="000000"/>
          <w:sz w:val="20"/>
          <w:szCs w:val="20"/>
        </w:rPr>
        <w:tab/>
        <w:t>Recurring fair value measurements</w:t>
      </w:r>
    </w:p>
    <w:p w14:paraId="624C163C" w14:textId="77777777" w:rsidR="00D83E33" w:rsidRDefault="00BC4072">
      <w:pPr>
        <w:widowControl w:val="0"/>
        <w:spacing w:before="200" w:after="200"/>
        <w:jc w:val="both"/>
        <w:rPr>
          <w:sz w:val="20"/>
          <w:szCs w:val="20"/>
        </w:rPr>
      </w:pPr>
      <w:r>
        <w:rPr>
          <w:sz w:val="20"/>
          <w:szCs w:val="20"/>
        </w:rPr>
        <w:t xml:space="preserve">Recurring fair value measurements are those that the accounting standards require or permit in the statement of financial position at the end of each reporting period. The level in the fair value hierarchy into which the recurring fair value measurements are categorised are as follows: </w:t>
      </w:r>
    </w:p>
    <w:tbl>
      <w:tblPr>
        <w:tblStyle w:val="affffffffffffffff4"/>
        <w:tblW w:w="5000" w:type="pct"/>
        <w:tblLayout w:type="fixed"/>
        <w:tblLook w:val="0000" w:firstRow="0" w:lastRow="0" w:firstColumn="0" w:lastColumn="0" w:noHBand="0" w:noVBand="0"/>
      </w:tblPr>
      <w:tblGrid>
        <w:gridCol w:w="3039"/>
        <w:gridCol w:w="789"/>
        <w:gridCol w:w="789"/>
        <w:gridCol w:w="790"/>
        <w:gridCol w:w="790"/>
        <w:gridCol w:w="790"/>
        <w:gridCol w:w="790"/>
        <w:gridCol w:w="790"/>
        <w:gridCol w:w="788"/>
      </w:tblGrid>
      <w:tr w:rsidR="00D83E33" w:rsidRPr="008B6A03" w14:paraId="70FB6043" w14:textId="77777777" w:rsidTr="00372E26">
        <w:trPr>
          <w:trHeight w:val="23"/>
        </w:trPr>
        <w:tc>
          <w:tcPr>
            <w:tcW w:w="1625" w:type="pct"/>
            <w:vAlign w:val="bottom"/>
          </w:tcPr>
          <w:p w14:paraId="1BFDD5CA" w14:textId="77777777" w:rsidR="00D83E33" w:rsidRPr="008B6A03" w:rsidRDefault="00D83E33">
            <w:pPr>
              <w:widowControl w:val="0"/>
              <w:pBdr>
                <w:top w:val="nil"/>
                <w:left w:val="nil"/>
                <w:bottom w:val="nil"/>
                <w:right w:val="nil"/>
                <w:between w:val="nil"/>
              </w:pBdr>
              <w:jc w:val="center"/>
              <w:rPr>
                <w:b/>
                <w:color w:val="000000"/>
              </w:rPr>
            </w:pPr>
          </w:p>
        </w:tc>
        <w:tc>
          <w:tcPr>
            <w:tcW w:w="1688" w:type="pct"/>
            <w:gridSpan w:val="4"/>
            <w:tcBorders>
              <w:bottom w:val="single" w:sz="4" w:space="0" w:color="000000"/>
            </w:tcBorders>
            <w:vAlign w:val="bottom"/>
          </w:tcPr>
          <w:p w14:paraId="73FF5FA0" w14:textId="0C3ADA55" w:rsidR="00D83E33" w:rsidRPr="008B6A03" w:rsidRDefault="00BC4072">
            <w:pPr>
              <w:widowControl w:val="0"/>
              <w:pBdr>
                <w:top w:val="nil"/>
                <w:left w:val="nil"/>
                <w:bottom w:val="nil"/>
                <w:right w:val="nil"/>
                <w:between w:val="nil"/>
              </w:pBdr>
              <w:jc w:val="center"/>
              <w:rPr>
                <w:color w:val="000000"/>
              </w:rPr>
            </w:pPr>
            <w:r w:rsidRPr="008B6A03">
              <w:rPr>
                <w:b/>
                <w:color w:val="000000"/>
              </w:rPr>
              <w:t>31</w:t>
            </w:r>
            <w:r w:rsidR="00181687" w:rsidRPr="008B6A03">
              <w:rPr>
                <w:b/>
                <w:color w:val="000000"/>
              </w:rPr>
              <w:t> December </w:t>
            </w:r>
            <w:r w:rsidR="00541EBC">
              <w:rPr>
                <w:b/>
                <w:color w:val="000000"/>
              </w:rPr>
              <w:t>2024</w:t>
            </w:r>
          </w:p>
        </w:tc>
        <w:tc>
          <w:tcPr>
            <w:tcW w:w="1687" w:type="pct"/>
            <w:gridSpan w:val="4"/>
            <w:tcBorders>
              <w:bottom w:val="single" w:sz="4" w:space="0" w:color="000000"/>
            </w:tcBorders>
            <w:vAlign w:val="bottom"/>
          </w:tcPr>
          <w:p w14:paraId="270474A3" w14:textId="48D6A653" w:rsidR="00D83E33" w:rsidRPr="008B6A03" w:rsidRDefault="00BC4072">
            <w:pPr>
              <w:widowControl w:val="0"/>
              <w:pBdr>
                <w:top w:val="nil"/>
                <w:left w:val="nil"/>
                <w:bottom w:val="nil"/>
                <w:right w:val="nil"/>
                <w:between w:val="nil"/>
              </w:pBdr>
              <w:jc w:val="center"/>
              <w:rPr>
                <w:color w:val="000000"/>
              </w:rPr>
            </w:pPr>
            <w:r w:rsidRPr="008B6A03">
              <w:rPr>
                <w:b/>
                <w:color w:val="000000"/>
              </w:rPr>
              <w:t>31</w:t>
            </w:r>
            <w:r w:rsidR="00181687" w:rsidRPr="008B6A03">
              <w:rPr>
                <w:b/>
                <w:color w:val="000000"/>
              </w:rPr>
              <w:t> December </w:t>
            </w:r>
            <w:r w:rsidR="00541EBC">
              <w:rPr>
                <w:b/>
                <w:color w:val="000000"/>
              </w:rPr>
              <w:t>2023</w:t>
            </w:r>
          </w:p>
        </w:tc>
      </w:tr>
      <w:tr w:rsidR="00D83E33" w:rsidRPr="008B6A03" w14:paraId="54396C0F" w14:textId="77777777" w:rsidTr="00372E26">
        <w:trPr>
          <w:trHeight w:val="23"/>
        </w:trPr>
        <w:tc>
          <w:tcPr>
            <w:tcW w:w="1625" w:type="pct"/>
            <w:tcBorders>
              <w:bottom w:val="single" w:sz="4" w:space="0" w:color="000000"/>
            </w:tcBorders>
            <w:vAlign w:val="bottom"/>
          </w:tcPr>
          <w:p w14:paraId="76A8DC61" w14:textId="06BA4D2D" w:rsidR="00D83E33" w:rsidRPr="008B6A03" w:rsidRDefault="00313B4D">
            <w:pPr>
              <w:widowControl w:val="0"/>
              <w:pBdr>
                <w:top w:val="nil"/>
                <w:left w:val="nil"/>
                <w:bottom w:val="nil"/>
                <w:right w:val="nil"/>
                <w:between w:val="nil"/>
              </w:pBdr>
              <w:rPr>
                <w:i/>
                <w:color w:val="000000"/>
              </w:rPr>
            </w:pPr>
            <w:r w:rsidRPr="008B6A03">
              <w:rPr>
                <w:i/>
                <w:color w:val="000000"/>
              </w:rPr>
              <w:t xml:space="preserve">In thousands of </w:t>
            </w:r>
            <w:r w:rsidR="002649EE" w:rsidRPr="008B6A03">
              <w:rPr>
                <w:i/>
                <w:color w:val="000000"/>
              </w:rPr>
              <w:t>EUR</w:t>
            </w:r>
          </w:p>
        </w:tc>
        <w:tc>
          <w:tcPr>
            <w:tcW w:w="422" w:type="pct"/>
            <w:tcBorders>
              <w:top w:val="single" w:sz="4" w:space="0" w:color="000000"/>
              <w:bottom w:val="single" w:sz="4" w:space="0" w:color="000000"/>
            </w:tcBorders>
          </w:tcPr>
          <w:p w14:paraId="471B60C3" w14:textId="545889F2" w:rsidR="00D83E33" w:rsidRPr="008B6A03" w:rsidRDefault="00BC4072" w:rsidP="001B330E">
            <w:pPr>
              <w:widowControl w:val="0"/>
              <w:pBdr>
                <w:top w:val="nil"/>
                <w:left w:val="nil"/>
                <w:bottom w:val="nil"/>
                <w:right w:val="nil"/>
                <w:between w:val="nil"/>
              </w:pBdr>
              <w:ind w:left="-57"/>
              <w:jc w:val="right"/>
              <w:rPr>
                <w:color w:val="000000"/>
              </w:rPr>
            </w:pPr>
            <w:r w:rsidRPr="008B6A03">
              <w:rPr>
                <w:b/>
                <w:color w:val="000000"/>
              </w:rPr>
              <w:t>Level 1</w:t>
            </w:r>
          </w:p>
        </w:tc>
        <w:tc>
          <w:tcPr>
            <w:tcW w:w="422" w:type="pct"/>
            <w:tcBorders>
              <w:top w:val="single" w:sz="4" w:space="0" w:color="000000"/>
              <w:bottom w:val="single" w:sz="4" w:space="0" w:color="000000"/>
            </w:tcBorders>
          </w:tcPr>
          <w:p w14:paraId="005BE57F" w14:textId="77777777" w:rsidR="00D83E33" w:rsidRPr="008B6A03" w:rsidRDefault="00BC4072" w:rsidP="001B330E">
            <w:pPr>
              <w:widowControl w:val="0"/>
              <w:pBdr>
                <w:top w:val="nil"/>
                <w:left w:val="nil"/>
                <w:bottom w:val="nil"/>
                <w:right w:val="nil"/>
                <w:between w:val="nil"/>
              </w:pBdr>
              <w:ind w:left="-57"/>
              <w:jc w:val="right"/>
              <w:rPr>
                <w:color w:val="000000"/>
              </w:rPr>
            </w:pPr>
            <w:r w:rsidRPr="008B6A03">
              <w:rPr>
                <w:b/>
                <w:color w:val="000000"/>
              </w:rPr>
              <w:t>Level 2</w:t>
            </w:r>
          </w:p>
        </w:tc>
        <w:tc>
          <w:tcPr>
            <w:tcW w:w="422" w:type="pct"/>
            <w:tcBorders>
              <w:top w:val="single" w:sz="4" w:space="0" w:color="000000"/>
              <w:bottom w:val="single" w:sz="4" w:space="0" w:color="000000"/>
            </w:tcBorders>
          </w:tcPr>
          <w:p w14:paraId="607FE5A4" w14:textId="77777777" w:rsidR="00D83E33" w:rsidRPr="008B6A03" w:rsidRDefault="00BC4072" w:rsidP="001B330E">
            <w:pPr>
              <w:widowControl w:val="0"/>
              <w:pBdr>
                <w:top w:val="nil"/>
                <w:left w:val="nil"/>
                <w:bottom w:val="nil"/>
                <w:right w:val="nil"/>
                <w:between w:val="nil"/>
              </w:pBdr>
              <w:ind w:left="-57"/>
              <w:jc w:val="right"/>
              <w:rPr>
                <w:color w:val="000000"/>
              </w:rPr>
            </w:pPr>
            <w:r w:rsidRPr="008B6A03">
              <w:rPr>
                <w:b/>
                <w:color w:val="000000"/>
              </w:rPr>
              <w:t>Level 3</w:t>
            </w:r>
          </w:p>
        </w:tc>
        <w:tc>
          <w:tcPr>
            <w:tcW w:w="422" w:type="pct"/>
            <w:tcBorders>
              <w:top w:val="single" w:sz="4" w:space="0" w:color="000000"/>
              <w:bottom w:val="single" w:sz="4" w:space="0" w:color="000000"/>
            </w:tcBorders>
          </w:tcPr>
          <w:p w14:paraId="2599C0BD" w14:textId="63B0ECF1" w:rsidR="00D83E33" w:rsidRPr="008B6A03" w:rsidRDefault="00BC4072" w:rsidP="001B330E">
            <w:pPr>
              <w:widowControl w:val="0"/>
              <w:pBdr>
                <w:top w:val="nil"/>
                <w:left w:val="nil"/>
                <w:bottom w:val="nil"/>
                <w:right w:val="nil"/>
                <w:between w:val="nil"/>
              </w:pBdr>
              <w:ind w:left="-57"/>
              <w:jc w:val="right"/>
              <w:rPr>
                <w:color w:val="000000"/>
              </w:rPr>
            </w:pPr>
            <w:r w:rsidRPr="008B6A03">
              <w:rPr>
                <w:b/>
                <w:color w:val="000000"/>
              </w:rPr>
              <w:t>Total</w:t>
            </w:r>
          </w:p>
        </w:tc>
        <w:tc>
          <w:tcPr>
            <w:tcW w:w="422" w:type="pct"/>
            <w:tcBorders>
              <w:top w:val="single" w:sz="4" w:space="0" w:color="000000"/>
              <w:bottom w:val="single" w:sz="4" w:space="0" w:color="000000"/>
            </w:tcBorders>
          </w:tcPr>
          <w:p w14:paraId="1683D3B3" w14:textId="77777777" w:rsidR="00D83E33" w:rsidRPr="008B6A03" w:rsidRDefault="00BC4072" w:rsidP="001B330E">
            <w:pPr>
              <w:widowControl w:val="0"/>
              <w:pBdr>
                <w:top w:val="nil"/>
                <w:left w:val="nil"/>
                <w:bottom w:val="nil"/>
                <w:right w:val="nil"/>
                <w:between w:val="nil"/>
              </w:pBdr>
              <w:ind w:left="-57"/>
              <w:jc w:val="right"/>
              <w:rPr>
                <w:color w:val="000000"/>
              </w:rPr>
            </w:pPr>
            <w:r w:rsidRPr="008B6A03">
              <w:rPr>
                <w:b/>
                <w:color w:val="000000"/>
              </w:rPr>
              <w:t>Level 1</w:t>
            </w:r>
          </w:p>
        </w:tc>
        <w:tc>
          <w:tcPr>
            <w:tcW w:w="422" w:type="pct"/>
            <w:tcBorders>
              <w:top w:val="single" w:sz="4" w:space="0" w:color="000000"/>
              <w:bottom w:val="single" w:sz="4" w:space="0" w:color="000000"/>
            </w:tcBorders>
          </w:tcPr>
          <w:p w14:paraId="5A5D46FA" w14:textId="77777777" w:rsidR="00D83E33" w:rsidRPr="008B6A03" w:rsidRDefault="00BC4072" w:rsidP="001B330E">
            <w:pPr>
              <w:widowControl w:val="0"/>
              <w:pBdr>
                <w:top w:val="nil"/>
                <w:left w:val="nil"/>
                <w:bottom w:val="nil"/>
                <w:right w:val="nil"/>
                <w:between w:val="nil"/>
              </w:pBdr>
              <w:ind w:left="-57"/>
              <w:jc w:val="right"/>
              <w:rPr>
                <w:color w:val="000000"/>
              </w:rPr>
            </w:pPr>
            <w:r w:rsidRPr="008B6A03">
              <w:rPr>
                <w:b/>
                <w:color w:val="000000"/>
              </w:rPr>
              <w:t>Level 2</w:t>
            </w:r>
          </w:p>
        </w:tc>
        <w:tc>
          <w:tcPr>
            <w:tcW w:w="422" w:type="pct"/>
            <w:tcBorders>
              <w:top w:val="single" w:sz="4" w:space="0" w:color="000000"/>
              <w:bottom w:val="single" w:sz="4" w:space="0" w:color="000000"/>
            </w:tcBorders>
          </w:tcPr>
          <w:p w14:paraId="4778D390" w14:textId="77777777" w:rsidR="00D83E33" w:rsidRPr="008B6A03" w:rsidRDefault="00BC4072" w:rsidP="001B330E">
            <w:pPr>
              <w:widowControl w:val="0"/>
              <w:pBdr>
                <w:top w:val="nil"/>
                <w:left w:val="nil"/>
                <w:bottom w:val="nil"/>
                <w:right w:val="nil"/>
                <w:between w:val="nil"/>
              </w:pBdr>
              <w:ind w:left="-57"/>
              <w:jc w:val="right"/>
              <w:rPr>
                <w:color w:val="000000"/>
              </w:rPr>
            </w:pPr>
            <w:r w:rsidRPr="008B6A03">
              <w:rPr>
                <w:b/>
                <w:color w:val="000000"/>
              </w:rPr>
              <w:t>Level 3</w:t>
            </w:r>
          </w:p>
        </w:tc>
        <w:tc>
          <w:tcPr>
            <w:tcW w:w="420" w:type="pct"/>
            <w:tcBorders>
              <w:top w:val="single" w:sz="4" w:space="0" w:color="000000"/>
              <w:bottom w:val="single" w:sz="4" w:space="0" w:color="000000"/>
            </w:tcBorders>
          </w:tcPr>
          <w:p w14:paraId="015926FD" w14:textId="157EC633" w:rsidR="00D83E33" w:rsidRPr="008B6A03" w:rsidRDefault="00BC4072" w:rsidP="001B330E">
            <w:pPr>
              <w:widowControl w:val="0"/>
              <w:pBdr>
                <w:top w:val="nil"/>
                <w:left w:val="nil"/>
                <w:bottom w:val="nil"/>
                <w:right w:val="nil"/>
                <w:between w:val="nil"/>
              </w:pBdr>
              <w:ind w:left="-57"/>
              <w:jc w:val="right"/>
              <w:rPr>
                <w:color w:val="000000"/>
              </w:rPr>
            </w:pPr>
            <w:r w:rsidRPr="008B6A03">
              <w:rPr>
                <w:b/>
                <w:color w:val="000000"/>
              </w:rPr>
              <w:t>Total</w:t>
            </w:r>
          </w:p>
        </w:tc>
      </w:tr>
      <w:tr w:rsidR="00D83E33" w:rsidRPr="008B6A03" w14:paraId="613DA76F" w14:textId="77777777" w:rsidTr="00372E26">
        <w:trPr>
          <w:trHeight w:val="23"/>
        </w:trPr>
        <w:tc>
          <w:tcPr>
            <w:tcW w:w="1625" w:type="pct"/>
            <w:tcBorders>
              <w:top w:val="single" w:sz="4" w:space="0" w:color="000000"/>
            </w:tcBorders>
            <w:vAlign w:val="bottom"/>
          </w:tcPr>
          <w:p w14:paraId="39F3657A" w14:textId="77777777" w:rsidR="00D83E33" w:rsidRPr="008B6A03" w:rsidRDefault="00BC4072">
            <w:pPr>
              <w:widowControl w:val="0"/>
              <w:pBdr>
                <w:top w:val="nil"/>
                <w:left w:val="nil"/>
                <w:bottom w:val="nil"/>
                <w:right w:val="nil"/>
                <w:between w:val="nil"/>
              </w:pBdr>
              <w:jc w:val="center"/>
              <w:rPr>
                <w:b/>
                <w:color w:val="000000"/>
              </w:rPr>
            </w:pPr>
            <w:r w:rsidRPr="008B6A03">
              <w:rPr>
                <w:b/>
                <w:color w:val="000000"/>
              </w:rPr>
              <w:t> </w:t>
            </w:r>
          </w:p>
        </w:tc>
        <w:tc>
          <w:tcPr>
            <w:tcW w:w="422" w:type="pct"/>
            <w:tcBorders>
              <w:top w:val="single" w:sz="4" w:space="0" w:color="000000"/>
            </w:tcBorders>
            <w:vAlign w:val="bottom"/>
          </w:tcPr>
          <w:p w14:paraId="4988B916"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top w:val="single" w:sz="4" w:space="0" w:color="000000"/>
            </w:tcBorders>
            <w:vAlign w:val="bottom"/>
          </w:tcPr>
          <w:p w14:paraId="1D314A93"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top w:val="single" w:sz="4" w:space="0" w:color="000000"/>
            </w:tcBorders>
            <w:vAlign w:val="bottom"/>
          </w:tcPr>
          <w:p w14:paraId="0706AB1E"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top w:val="single" w:sz="4" w:space="0" w:color="000000"/>
            </w:tcBorders>
            <w:vAlign w:val="bottom"/>
          </w:tcPr>
          <w:p w14:paraId="25DF5CD7"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04F96DC4"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6FF49A85"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15D8C180" w14:textId="77777777" w:rsidR="00D83E33" w:rsidRPr="008B6A03" w:rsidRDefault="00D83E33">
            <w:pPr>
              <w:widowControl w:val="0"/>
              <w:pBdr>
                <w:top w:val="nil"/>
                <w:left w:val="nil"/>
                <w:bottom w:val="nil"/>
                <w:right w:val="nil"/>
                <w:between w:val="nil"/>
              </w:pBdr>
              <w:jc w:val="right"/>
              <w:rPr>
                <w:b/>
                <w:color w:val="000000"/>
              </w:rPr>
            </w:pPr>
          </w:p>
        </w:tc>
        <w:tc>
          <w:tcPr>
            <w:tcW w:w="420" w:type="pct"/>
            <w:tcBorders>
              <w:top w:val="single" w:sz="4" w:space="0" w:color="000000"/>
            </w:tcBorders>
            <w:vAlign w:val="bottom"/>
          </w:tcPr>
          <w:p w14:paraId="3784159B" w14:textId="77777777" w:rsidR="00D83E33" w:rsidRPr="008B6A03" w:rsidRDefault="00D83E33">
            <w:pPr>
              <w:widowControl w:val="0"/>
              <w:pBdr>
                <w:top w:val="nil"/>
                <w:left w:val="nil"/>
                <w:bottom w:val="nil"/>
                <w:right w:val="nil"/>
                <w:between w:val="nil"/>
              </w:pBdr>
              <w:jc w:val="right"/>
              <w:rPr>
                <w:b/>
                <w:color w:val="000000"/>
              </w:rPr>
            </w:pPr>
          </w:p>
        </w:tc>
      </w:tr>
      <w:tr w:rsidR="00D83E33" w:rsidRPr="008B6A03" w14:paraId="04C1094D" w14:textId="77777777" w:rsidTr="00372E26">
        <w:trPr>
          <w:trHeight w:val="23"/>
        </w:trPr>
        <w:tc>
          <w:tcPr>
            <w:tcW w:w="1625" w:type="pct"/>
            <w:vAlign w:val="bottom"/>
          </w:tcPr>
          <w:p w14:paraId="154D3C25" w14:textId="77777777" w:rsidR="00D83E33" w:rsidRPr="008B6A03" w:rsidRDefault="00BC4072">
            <w:pPr>
              <w:widowControl w:val="0"/>
              <w:pBdr>
                <w:top w:val="nil"/>
                <w:left w:val="nil"/>
                <w:bottom w:val="nil"/>
                <w:right w:val="nil"/>
                <w:between w:val="nil"/>
              </w:pBdr>
              <w:rPr>
                <w:b/>
                <w:smallCaps/>
                <w:color w:val="000000"/>
              </w:rPr>
            </w:pPr>
            <w:r w:rsidRPr="008B6A03">
              <w:rPr>
                <w:b/>
                <w:smallCaps/>
                <w:color w:val="000000"/>
              </w:rPr>
              <w:t>ASSETS AT FAIR VALUE</w:t>
            </w:r>
          </w:p>
        </w:tc>
        <w:tc>
          <w:tcPr>
            <w:tcW w:w="422" w:type="pct"/>
            <w:vAlign w:val="bottom"/>
          </w:tcPr>
          <w:p w14:paraId="4F0923B8"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2CAC203D"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625D8831"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393EBD4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6F13CB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FB2269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07F7C52"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45D12D3B"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2856E78" w14:textId="77777777" w:rsidTr="00372E26">
        <w:trPr>
          <w:trHeight w:val="23"/>
        </w:trPr>
        <w:tc>
          <w:tcPr>
            <w:tcW w:w="1625" w:type="pct"/>
            <w:vAlign w:val="bottom"/>
          </w:tcPr>
          <w:p w14:paraId="7C8E92C8" w14:textId="77777777" w:rsidR="00D83E33" w:rsidRPr="008B6A03" w:rsidRDefault="00BC4072">
            <w:pPr>
              <w:widowControl w:val="0"/>
              <w:pBdr>
                <w:top w:val="nil"/>
                <w:left w:val="nil"/>
                <w:bottom w:val="nil"/>
                <w:right w:val="nil"/>
                <w:between w:val="nil"/>
              </w:pBdr>
              <w:rPr>
                <w:b/>
                <w:smallCaps/>
                <w:color w:val="000000"/>
              </w:rPr>
            </w:pPr>
            <w:r w:rsidRPr="008B6A03">
              <w:rPr>
                <w:b/>
                <w:smallCaps/>
                <w:color w:val="000000"/>
              </w:rPr>
              <w:t xml:space="preserve">FINANCIAL ASSETS </w:t>
            </w:r>
          </w:p>
        </w:tc>
        <w:tc>
          <w:tcPr>
            <w:tcW w:w="422" w:type="pct"/>
            <w:vAlign w:val="bottom"/>
          </w:tcPr>
          <w:p w14:paraId="04A1EB43"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52CB0C55"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52A4EC0C"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1C007A0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956271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925D72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BBB9F14"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07D286AE" w14:textId="77777777" w:rsidR="00D83E33" w:rsidRPr="008B6A03" w:rsidRDefault="00D83E33">
            <w:pPr>
              <w:widowControl w:val="0"/>
              <w:pBdr>
                <w:top w:val="nil"/>
                <w:left w:val="nil"/>
                <w:bottom w:val="nil"/>
                <w:right w:val="nil"/>
                <w:between w:val="nil"/>
              </w:pBdr>
              <w:jc w:val="right"/>
              <w:rPr>
                <w:color w:val="000000"/>
              </w:rPr>
            </w:pPr>
          </w:p>
        </w:tc>
      </w:tr>
      <w:tr w:rsidR="008B6A03" w:rsidRPr="008B6A03" w14:paraId="01B9F24E" w14:textId="77777777" w:rsidTr="00372E26">
        <w:trPr>
          <w:trHeight w:val="23"/>
        </w:trPr>
        <w:tc>
          <w:tcPr>
            <w:tcW w:w="1625" w:type="pct"/>
            <w:vAlign w:val="bottom"/>
          </w:tcPr>
          <w:p w14:paraId="7C42DC22" w14:textId="77777777" w:rsidR="008B6A03" w:rsidRPr="008B6A03" w:rsidRDefault="008B6A03">
            <w:pPr>
              <w:widowControl w:val="0"/>
              <w:pBdr>
                <w:top w:val="nil"/>
                <w:left w:val="nil"/>
                <w:bottom w:val="nil"/>
                <w:right w:val="nil"/>
                <w:between w:val="nil"/>
              </w:pBdr>
              <w:rPr>
                <w:b/>
                <w:i/>
                <w:color w:val="000000"/>
              </w:rPr>
            </w:pPr>
          </w:p>
        </w:tc>
        <w:tc>
          <w:tcPr>
            <w:tcW w:w="422" w:type="pct"/>
            <w:vAlign w:val="bottom"/>
          </w:tcPr>
          <w:p w14:paraId="2C03F7BE"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2F440360"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5F423B10"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0AE0AFB4"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68C14C87"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5AA1C377"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0AD47FB4" w14:textId="77777777" w:rsidR="008B6A03" w:rsidRPr="008B6A03" w:rsidRDefault="008B6A03">
            <w:pPr>
              <w:widowControl w:val="0"/>
              <w:pBdr>
                <w:top w:val="nil"/>
                <w:left w:val="nil"/>
                <w:bottom w:val="nil"/>
                <w:right w:val="nil"/>
                <w:between w:val="nil"/>
              </w:pBdr>
              <w:jc w:val="right"/>
              <w:rPr>
                <w:color w:val="000000"/>
              </w:rPr>
            </w:pPr>
          </w:p>
        </w:tc>
        <w:tc>
          <w:tcPr>
            <w:tcW w:w="420" w:type="pct"/>
            <w:vAlign w:val="bottom"/>
          </w:tcPr>
          <w:p w14:paraId="1533DD35" w14:textId="77777777" w:rsidR="008B6A03" w:rsidRPr="008B6A03" w:rsidRDefault="008B6A03">
            <w:pPr>
              <w:widowControl w:val="0"/>
              <w:pBdr>
                <w:top w:val="nil"/>
                <w:left w:val="nil"/>
                <w:bottom w:val="nil"/>
                <w:right w:val="nil"/>
                <w:between w:val="nil"/>
              </w:pBdr>
              <w:jc w:val="right"/>
              <w:rPr>
                <w:color w:val="000000"/>
              </w:rPr>
            </w:pPr>
          </w:p>
        </w:tc>
      </w:tr>
      <w:tr w:rsidR="00D83E33" w:rsidRPr="008B6A03" w14:paraId="27B527BB" w14:textId="77777777" w:rsidTr="00372E26">
        <w:trPr>
          <w:trHeight w:val="23"/>
        </w:trPr>
        <w:tc>
          <w:tcPr>
            <w:tcW w:w="1625" w:type="pct"/>
            <w:vAlign w:val="bottom"/>
          </w:tcPr>
          <w:p w14:paraId="43EBC058" w14:textId="77777777" w:rsidR="00D83E33" w:rsidRPr="008B6A03" w:rsidRDefault="00BC4072">
            <w:pPr>
              <w:widowControl w:val="0"/>
              <w:pBdr>
                <w:top w:val="nil"/>
                <w:left w:val="nil"/>
                <w:bottom w:val="nil"/>
                <w:right w:val="nil"/>
                <w:between w:val="nil"/>
              </w:pBdr>
              <w:rPr>
                <w:b/>
                <w:i/>
                <w:color w:val="000000"/>
              </w:rPr>
            </w:pPr>
            <w:r w:rsidRPr="008B6A03">
              <w:rPr>
                <w:b/>
                <w:i/>
                <w:color w:val="000000"/>
              </w:rPr>
              <w:t>Investments in debt securities</w:t>
            </w:r>
          </w:p>
        </w:tc>
        <w:tc>
          <w:tcPr>
            <w:tcW w:w="422" w:type="pct"/>
            <w:vAlign w:val="bottom"/>
          </w:tcPr>
          <w:p w14:paraId="463EC62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144023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9158EC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B128AB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160209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FCFFF3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97F25E5"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2DDD8E9F"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430989A4" w14:textId="77777777" w:rsidTr="00372E26">
        <w:trPr>
          <w:trHeight w:val="23"/>
        </w:trPr>
        <w:tc>
          <w:tcPr>
            <w:tcW w:w="1625" w:type="pct"/>
            <w:vAlign w:val="bottom"/>
          </w:tcPr>
          <w:p w14:paraId="6BC1ECB9" w14:textId="04D3CC69" w:rsidR="00D83E33" w:rsidRPr="008B6A03" w:rsidRDefault="00BC4072">
            <w:pPr>
              <w:widowControl w:val="0"/>
              <w:pBdr>
                <w:top w:val="nil"/>
                <w:left w:val="nil"/>
                <w:bottom w:val="nil"/>
                <w:right w:val="nil"/>
                <w:between w:val="nil"/>
              </w:pBdr>
              <w:rPr>
                <w:color w:val="000000"/>
              </w:rPr>
            </w:pPr>
            <w:r w:rsidRPr="008B6A03">
              <w:rPr>
                <w:color w:val="000000"/>
              </w:rPr>
              <w:t xml:space="preserve">- </w:t>
            </w:r>
            <w:r w:rsidR="00372E26" w:rsidRPr="008B6A03">
              <w:rPr>
                <w:color w:val="000000"/>
              </w:rPr>
              <w:t>[Country]</w:t>
            </w:r>
            <w:r w:rsidRPr="008B6A03">
              <w:rPr>
                <w:color w:val="000000"/>
              </w:rPr>
              <w:t xml:space="preserve"> government bonds</w:t>
            </w:r>
          </w:p>
        </w:tc>
        <w:tc>
          <w:tcPr>
            <w:tcW w:w="422" w:type="pct"/>
            <w:vAlign w:val="bottom"/>
          </w:tcPr>
          <w:p w14:paraId="09A3737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E91524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80D600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429D34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39AD90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684CF0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0068E63"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7691662B"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77BCC68A" w14:textId="77777777" w:rsidTr="00372E26">
        <w:trPr>
          <w:trHeight w:val="23"/>
        </w:trPr>
        <w:tc>
          <w:tcPr>
            <w:tcW w:w="1625" w:type="pct"/>
            <w:vAlign w:val="bottom"/>
          </w:tcPr>
          <w:p w14:paraId="5FF22288" w14:textId="77777777" w:rsidR="00D83E33" w:rsidRPr="008B6A03" w:rsidRDefault="00BC4072">
            <w:pPr>
              <w:widowControl w:val="0"/>
              <w:pBdr>
                <w:top w:val="nil"/>
                <w:left w:val="nil"/>
                <w:bottom w:val="nil"/>
                <w:right w:val="nil"/>
                <w:between w:val="nil"/>
              </w:pBdr>
              <w:rPr>
                <w:color w:val="000000"/>
              </w:rPr>
            </w:pPr>
            <w:r w:rsidRPr="008B6A03">
              <w:rPr>
                <w:color w:val="000000"/>
              </w:rPr>
              <w:t>- Municipal bonds</w:t>
            </w:r>
          </w:p>
        </w:tc>
        <w:tc>
          <w:tcPr>
            <w:tcW w:w="422" w:type="pct"/>
            <w:vAlign w:val="bottom"/>
          </w:tcPr>
          <w:p w14:paraId="67239FF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CBC711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44A64B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5062AD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8A5CDE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BD8C41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5E7E13B"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4BB8485C"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12121483" w14:textId="77777777" w:rsidTr="00372E26">
        <w:trPr>
          <w:trHeight w:val="23"/>
        </w:trPr>
        <w:tc>
          <w:tcPr>
            <w:tcW w:w="1625" w:type="pct"/>
            <w:vAlign w:val="bottom"/>
          </w:tcPr>
          <w:p w14:paraId="20198329" w14:textId="77777777" w:rsidR="00D83E33" w:rsidRPr="008B6A03" w:rsidRDefault="00BC4072">
            <w:pPr>
              <w:widowControl w:val="0"/>
              <w:pBdr>
                <w:top w:val="nil"/>
                <w:left w:val="nil"/>
                <w:bottom w:val="nil"/>
                <w:right w:val="nil"/>
                <w:between w:val="nil"/>
              </w:pBdr>
              <w:rPr>
                <w:color w:val="000000"/>
              </w:rPr>
            </w:pPr>
            <w:r w:rsidRPr="008B6A03">
              <w:rPr>
                <w:color w:val="000000"/>
              </w:rPr>
              <w:t>- Corporate bonds</w:t>
            </w:r>
          </w:p>
        </w:tc>
        <w:tc>
          <w:tcPr>
            <w:tcW w:w="422" w:type="pct"/>
            <w:vAlign w:val="bottom"/>
          </w:tcPr>
          <w:p w14:paraId="0DC98C7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81DAF0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5CF9F0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9152F2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CBDDF6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B313BA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ACA549A"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4F1C771B"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0B755869" w14:textId="77777777" w:rsidTr="00372E26">
        <w:trPr>
          <w:trHeight w:val="23"/>
        </w:trPr>
        <w:tc>
          <w:tcPr>
            <w:tcW w:w="1625" w:type="pct"/>
            <w:vAlign w:val="bottom"/>
          </w:tcPr>
          <w:p w14:paraId="5AA9A6ED" w14:textId="77777777" w:rsidR="00D83E33" w:rsidRPr="008B6A03" w:rsidRDefault="00BC4072">
            <w:pPr>
              <w:widowControl w:val="0"/>
              <w:pBdr>
                <w:top w:val="nil"/>
                <w:left w:val="nil"/>
                <w:bottom w:val="nil"/>
                <w:right w:val="nil"/>
                <w:between w:val="nil"/>
              </w:pBdr>
              <w:rPr>
                <w:color w:val="000000"/>
              </w:rPr>
            </w:pPr>
            <w:r w:rsidRPr="008B6A03">
              <w:rPr>
                <w:color w:val="000000"/>
              </w:rPr>
              <w:t>- Investments in mutual funds</w:t>
            </w:r>
          </w:p>
        </w:tc>
        <w:tc>
          <w:tcPr>
            <w:tcW w:w="422" w:type="pct"/>
            <w:vAlign w:val="bottom"/>
          </w:tcPr>
          <w:p w14:paraId="3975BAE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490CDF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23B767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E3BBFE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53E5F6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4DDF15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17F8B8B"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6519022D"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A002C57" w14:textId="77777777" w:rsidTr="00372E26">
        <w:trPr>
          <w:trHeight w:val="23"/>
        </w:trPr>
        <w:tc>
          <w:tcPr>
            <w:tcW w:w="1625" w:type="pct"/>
            <w:vAlign w:val="bottom"/>
          </w:tcPr>
          <w:p w14:paraId="2FCD6260" w14:textId="77777777" w:rsidR="00D83E33" w:rsidRPr="008B6A03" w:rsidRDefault="00BC4072">
            <w:pPr>
              <w:widowControl w:val="0"/>
              <w:pBdr>
                <w:top w:val="nil"/>
                <w:left w:val="nil"/>
                <w:bottom w:val="nil"/>
                <w:right w:val="nil"/>
                <w:between w:val="nil"/>
              </w:pBdr>
              <w:rPr>
                <w:color w:val="000000"/>
              </w:rPr>
            </w:pPr>
            <w:r w:rsidRPr="008B6A03">
              <w:rPr>
                <w:color w:val="000000"/>
              </w:rPr>
              <w:t>- Promissory notes</w:t>
            </w:r>
          </w:p>
        </w:tc>
        <w:tc>
          <w:tcPr>
            <w:tcW w:w="422" w:type="pct"/>
            <w:vAlign w:val="bottom"/>
          </w:tcPr>
          <w:p w14:paraId="7543D97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6FB575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3538B9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71EDC8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5FFC5A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04E1C2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F9B4D33"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3ED847B" w14:textId="77777777" w:rsidR="00D83E33" w:rsidRPr="008B6A03" w:rsidRDefault="00D83E33">
            <w:pPr>
              <w:widowControl w:val="0"/>
              <w:pBdr>
                <w:top w:val="nil"/>
                <w:left w:val="nil"/>
                <w:bottom w:val="nil"/>
                <w:right w:val="nil"/>
                <w:between w:val="nil"/>
              </w:pBdr>
              <w:jc w:val="right"/>
              <w:rPr>
                <w:color w:val="000000"/>
              </w:rPr>
            </w:pPr>
          </w:p>
        </w:tc>
      </w:tr>
      <w:tr w:rsidR="008B6A03" w:rsidRPr="008B6A03" w14:paraId="6172EA5D" w14:textId="77777777" w:rsidTr="00372E26">
        <w:trPr>
          <w:trHeight w:val="23"/>
        </w:trPr>
        <w:tc>
          <w:tcPr>
            <w:tcW w:w="1625" w:type="pct"/>
            <w:vAlign w:val="bottom"/>
          </w:tcPr>
          <w:p w14:paraId="4525297F" w14:textId="77777777" w:rsidR="008B6A03" w:rsidRPr="008B6A03" w:rsidRDefault="008B6A03">
            <w:pPr>
              <w:widowControl w:val="0"/>
              <w:pBdr>
                <w:top w:val="nil"/>
                <w:left w:val="nil"/>
                <w:bottom w:val="nil"/>
                <w:right w:val="nil"/>
                <w:between w:val="nil"/>
              </w:pBdr>
              <w:rPr>
                <w:b/>
                <w:i/>
                <w:color w:val="000000"/>
              </w:rPr>
            </w:pPr>
          </w:p>
        </w:tc>
        <w:tc>
          <w:tcPr>
            <w:tcW w:w="422" w:type="pct"/>
            <w:vAlign w:val="bottom"/>
          </w:tcPr>
          <w:p w14:paraId="3DB5D7C3"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04231987"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519700AC"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29019BE8"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3DC6C974"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0E2B4D7F"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2E48B942" w14:textId="77777777" w:rsidR="008B6A03" w:rsidRPr="008B6A03" w:rsidRDefault="008B6A03">
            <w:pPr>
              <w:widowControl w:val="0"/>
              <w:pBdr>
                <w:top w:val="nil"/>
                <w:left w:val="nil"/>
                <w:bottom w:val="nil"/>
                <w:right w:val="nil"/>
                <w:between w:val="nil"/>
              </w:pBdr>
              <w:jc w:val="right"/>
              <w:rPr>
                <w:color w:val="000000"/>
              </w:rPr>
            </w:pPr>
          </w:p>
        </w:tc>
        <w:tc>
          <w:tcPr>
            <w:tcW w:w="420" w:type="pct"/>
            <w:vAlign w:val="bottom"/>
          </w:tcPr>
          <w:p w14:paraId="36F7F4B1" w14:textId="77777777" w:rsidR="008B6A03" w:rsidRPr="008B6A03" w:rsidRDefault="008B6A03">
            <w:pPr>
              <w:widowControl w:val="0"/>
              <w:pBdr>
                <w:top w:val="nil"/>
                <w:left w:val="nil"/>
                <w:bottom w:val="nil"/>
                <w:right w:val="nil"/>
                <w:between w:val="nil"/>
              </w:pBdr>
              <w:jc w:val="right"/>
              <w:rPr>
                <w:color w:val="000000"/>
              </w:rPr>
            </w:pPr>
          </w:p>
        </w:tc>
      </w:tr>
      <w:tr w:rsidR="00D83E33" w:rsidRPr="008B6A03" w14:paraId="066C367A" w14:textId="77777777" w:rsidTr="00372E26">
        <w:trPr>
          <w:trHeight w:val="23"/>
        </w:trPr>
        <w:tc>
          <w:tcPr>
            <w:tcW w:w="1625" w:type="pct"/>
            <w:vAlign w:val="bottom"/>
          </w:tcPr>
          <w:p w14:paraId="33B1CE49" w14:textId="77777777" w:rsidR="00D83E33" w:rsidRPr="008B6A03" w:rsidRDefault="00BC4072">
            <w:pPr>
              <w:widowControl w:val="0"/>
              <w:pBdr>
                <w:top w:val="nil"/>
                <w:left w:val="nil"/>
                <w:bottom w:val="nil"/>
                <w:right w:val="nil"/>
                <w:between w:val="nil"/>
              </w:pBdr>
              <w:rPr>
                <w:b/>
                <w:i/>
                <w:color w:val="000000"/>
              </w:rPr>
            </w:pPr>
            <w:r w:rsidRPr="008B6A03">
              <w:rPr>
                <w:b/>
                <w:i/>
                <w:color w:val="000000"/>
              </w:rPr>
              <w:t>Investments in equity securities</w:t>
            </w:r>
          </w:p>
        </w:tc>
        <w:tc>
          <w:tcPr>
            <w:tcW w:w="422" w:type="pct"/>
            <w:vAlign w:val="bottom"/>
          </w:tcPr>
          <w:p w14:paraId="4743A7B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9856E6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EE9EA6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ED1F14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721AFF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268970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176005E"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6F8EB6B"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76CAB131" w14:textId="77777777" w:rsidTr="00372E26">
        <w:trPr>
          <w:trHeight w:val="23"/>
        </w:trPr>
        <w:tc>
          <w:tcPr>
            <w:tcW w:w="1625" w:type="pct"/>
            <w:vAlign w:val="bottom"/>
          </w:tcPr>
          <w:p w14:paraId="00728831" w14:textId="77777777" w:rsidR="00D83E33" w:rsidRPr="008B6A03" w:rsidRDefault="00BC4072">
            <w:pPr>
              <w:widowControl w:val="0"/>
            </w:pPr>
            <w:r w:rsidRPr="008B6A03">
              <w:t>- Corporate shares</w:t>
            </w:r>
          </w:p>
        </w:tc>
        <w:tc>
          <w:tcPr>
            <w:tcW w:w="422" w:type="pct"/>
            <w:vAlign w:val="bottom"/>
          </w:tcPr>
          <w:p w14:paraId="44DF772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BEBB5B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CA8086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5570AB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744051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78557E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189B9AA"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7BA4A7EA"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79CDB7EC" w14:textId="77777777" w:rsidTr="00372E26">
        <w:trPr>
          <w:trHeight w:val="23"/>
        </w:trPr>
        <w:tc>
          <w:tcPr>
            <w:tcW w:w="1625" w:type="pct"/>
            <w:vAlign w:val="bottom"/>
          </w:tcPr>
          <w:p w14:paraId="58FCA84C" w14:textId="77777777" w:rsidR="00D83E33" w:rsidRPr="008B6A03" w:rsidRDefault="00BC4072">
            <w:pPr>
              <w:widowControl w:val="0"/>
            </w:pPr>
            <w:r w:rsidRPr="008B6A03">
              <w:t>- American depositary receipts (ADR)</w:t>
            </w:r>
          </w:p>
        </w:tc>
        <w:tc>
          <w:tcPr>
            <w:tcW w:w="422" w:type="pct"/>
            <w:vAlign w:val="bottom"/>
          </w:tcPr>
          <w:p w14:paraId="6FD1636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EDFEAB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F3C6F9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C917FB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4DC9E1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EAA9F3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2AA00C8"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1EECB44D"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5FE5F69" w14:textId="77777777" w:rsidTr="00372E26">
        <w:trPr>
          <w:trHeight w:val="23"/>
        </w:trPr>
        <w:tc>
          <w:tcPr>
            <w:tcW w:w="1625" w:type="pct"/>
            <w:vAlign w:val="bottom"/>
          </w:tcPr>
          <w:p w14:paraId="6415E3A6" w14:textId="4F6D0DE7" w:rsidR="00D83E33" w:rsidRPr="008B6A03" w:rsidRDefault="00BC4072">
            <w:pPr>
              <w:widowControl w:val="0"/>
            </w:pPr>
            <w:r w:rsidRPr="008B6A03">
              <w:t xml:space="preserve">- Global depositary receipts (GDR) </w:t>
            </w:r>
          </w:p>
        </w:tc>
        <w:tc>
          <w:tcPr>
            <w:tcW w:w="422" w:type="pct"/>
            <w:vAlign w:val="bottom"/>
          </w:tcPr>
          <w:p w14:paraId="36CB4E8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08FF76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E13991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0E3E8C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267198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84C13A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99B015B"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6A8FB422" w14:textId="77777777" w:rsidR="00D83E33" w:rsidRPr="008B6A03" w:rsidRDefault="00D83E33">
            <w:pPr>
              <w:widowControl w:val="0"/>
              <w:pBdr>
                <w:top w:val="nil"/>
                <w:left w:val="nil"/>
                <w:bottom w:val="nil"/>
                <w:right w:val="nil"/>
                <w:between w:val="nil"/>
              </w:pBdr>
              <w:jc w:val="right"/>
              <w:rPr>
                <w:color w:val="000000"/>
              </w:rPr>
            </w:pPr>
          </w:p>
        </w:tc>
      </w:tr>
      <w:tr w:rsidR="008B6A03" w:rsidRPr="008B6A03" w14:paraId="48B2A2E1" w14:textId="77777777" w:rsidTr="00372E26">
        <w:trPr>
          <w:trHeight w:val="23"/>
        </w:trPr>
        <w:tc>
          <w:tcPr>
            <w:tcW w:w="1625" w:type="pct"/>
            <w:vAlign w:val="bottom"/>
          </w:tcPr>
          <w:p w14:paraId="0D886057" w14:textId="77777777" w:rsidR="008B6A03" w:rsidRPr="008B6A03" w:rsidRDefault="008B6A03">
            <w:pPr>
              <w:widowControl w:val="0"/>
              <w:pBdr>
                <w:top w:val="nil"/>
                <w:left w:val="nil"/>
                <w:bottom w:val="nil"/>
                <w:right w:val="nil"/>
                <w:between w:val="nil"/>
              </w:pBdr>
              <w:rPr>
                <w:b/>
                <w:color w:val="000000"/>
              </w:rPr>
            </w:pPr>
          </w:p>
        </w:tc>
        <w:tc>
          <w:tcPr>
            <w:tcW w:w="422" w:type="pct"/>
            <w:vAlign w:val="bottom"/>
          </w:tcPr>
          <w:p w14:paraId="43E49B95"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343182E3"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6A771D8C"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76B570F4"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29BB2C77"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0CA59365"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47144C14" w14:textId="77777777" w:rsidR="008B6A03" w:rsidRPr="008B6A03" w:rsidRDefault="008B6A03">
            <w:pPr>
              <w:widowControl w:val="0"/>
              <w:pBdr>
                <w:top w:val="nil"/>
                <w:left w:val="nil"/>
                <w:bottom w:val="nil"/>
                <w:right w:val="nil"/>
                <w:between w:val="nil"/>
              </w:pBdr>
              <w:jc w:val="right"/>
              <w:rPr>
                <w:color w:val="000000"/>
              </w:rPr>
            </w:pPr>
          </w:p>
        </w:tc>
        <w:tc>
          <w:tcPr>
            <w:tcW w:w="420" w:type="pct"/>
            <w:vAlign w:val="bottom"/>
          </w:tcPr>
          <w:p w14:paraId="70B7728E" w14:textId="77777777" w:rsidR="008B6A03" w:rsidRPr="008B6A03" w:rsidRDefault="008B6A03">
            <w:pPr>
              <w:widowControl w:val="0"/>
              <w:pBdr>
                <w:top w:val="nil"/>
                <w:left w:val="nil"/>
                <w:bottom w:val="nil"/>
                <w:right w:val="nil"/>
                <w:between w:val="nil"/>
              </w:pBdr>
              <w:jc w:val="right"/>
              <w:rPr>
                <w:color w:val="000000"/>
              </w:rPr>
            </w:pPr>
          </w:p>
        </w:tc>
      </w:tr>
      <w:tr w:rsidR="00D83E33" w:rsidRPr="008B6A03" w14:paraId="55D23573" w14:textId="77777777" w:rsidTr="00372E26">
        <w:trPr>
          <w:trHeight w:val="23"/>
        </w:trPr>
        <w:tc>
          <w:tcPr>
            <w:tcW w:w="1625" w:type="pct"/>
            <w:vAlign w:val="bottom"/>
          </w:tcPr>
          <w:p w14:paraId="2A9EF791" w14:textId="77777777" w:rsidR="00D83E33" w:rsidRPr="008B6A03" w:rsidRDefault="00BC4072">
            <w:pPr>
              <w:widowControl w:val="0"/>
              <w:pBdr>
                <w:top w:val="nil"/>
                <w:left w:val="nil"/>
                <w:bottom w:val="nil"/>
                <w:right w:val="nil"/>
                <w:between w:val="nil"/>
              </w:pBdr>
              <w:rPr>
                <w:b/>
                <w:color w:val="000000"/>
              </w:rPr>
            </w:pPr>
            <w:r w:rsidRPr="008B6A03">
              <w:rPr>
                <w:b/>
                <w:color w:val="000000"/>
              </w:rPr>
              <w:t>Loans and advances to customers at FVTPL</w:t>
            </w:r>
          </w:p>
        </w:tc>
        <w:tc>
          <w:tcPr>
            <w:tcW w:w="422" w:type="pct"/>
            <w:vAlign w:val="bottom"/>
          </w:tcPr>
          <w:p w14:paraId="2F8C46E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388BB8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F8DDE1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08DE1D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E1E960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66E73F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663BA74"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AF4A106"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7592E2F8" w14:textId="77777777" w:rsidTr="00372E26">
        <w:trPr>
          <w:trHeight w:val="23"/>
        </w:trPr>
        <w:tc>
          <w:tcPr>
            <w:tcW w:w="1625" w:type="pct"/>
            <w:vAlign w:val="bottom"/>
          </w:tcPr>
          <w:p w14:paraId="7C59678C" w14:textId="77777777" w:rsidR="00D83E33" w:rsidRPr="008B6A03" w:rsidRDefault="00BC4072">
            <w:pPr>
              <w:widowControl w:val="0"/>
              <w:pBdr>
                <w:top w:val="nil"/>
                <w:left w:val="nil"/>
                <w:bottom w:val="nil"/>
                <w:right w:val="nil"/>
                <w:between w:val="nil"/>
              </w:pBdr>
              <w:rPr>
                <w:b/>
                <w:color w:val="000000"/>
              </w:rPr>
            </w:pPr>
            <w:r w:rsidRPr="008B6A03">
              <w:rPr>
                <w:color w:val="000000"/>
              </w:rPr>
              <w:t>- Standard lending</w:t>
            </w:r>
          </w:p>
        </w:tc>
        <w:tc>
          <w:tcPr>
            <w:tcW w:w="422" w:type="pct"/>
            <w:vAlign w:val="bottom"/>
          </w:tcPr>
          <w:p w14:paraId="0CE65FD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CF7B03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5302A8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3DBB93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F5DFDD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3E1545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66E5379"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5184FAB5"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EAB398F" w14:textId="77777777" w:rsidTr="00372E26">
        <w:trPr>
          <w:trHeight w:val="23"/>
        </w:trPr>
        <w:tc>
          <w:tcPr>
            <w:tcW w:w="1625" w:type="pct"/>
            <w:vAlign w:val="bottom"/>
          </w:tcPr>
          <w:p w14:paraId="1F1A2F8B" w14:textId="77777777" w:rsidR="00D83E33" w:rsidRPr="008B6A03" w:rsidRDefault="00BC4072">
            <w:pPr>
              <w:widowControl w:val="0"/>
              <w:pBdr>
                <w:top w:val="nil"/>
                <w:left w:val="nil"/>
                <w:bottom w:val="nil"/>
                <w:right w:val="nil"/>
                <w:between w:val="nil"/>
              </w:pBdr>
              <w:rPr>
                <w:color w:val="000000"/>
              </w:rPr>
            </w:pPr>
            <w:r w:rsidRPr="008B6A03">
              <w:rPr>
                <w:color w:val="000000"/>
              </w:rPr>
              <w:t>- Specialised lending</w:t>
            </w:r>
          </w:p>
        </w:tc>
        <w:tc>
          <w:tcPr>
            <w:tcW w:w="422" w:type="pct"/>
            <w:vAlign w:val="bottom"/>
          </w:tcPr>
          <w:p w14:paraId="4A9EAD4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469749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CA9FCB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0503BF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118490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BB60EB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25EA041"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53368C25"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9D95351" w14:textId="77777777" w:rsidTr="00372E26">
        <w:trPr>
          <w:trHeight w:val="23"/>
        </w:trPr>
        <w:tc>
          <w:tcPr>
            <w:tcW w:w="1625" w:type="pct"/>
            <w:vAlign w:val="bottom"/>
          </w:tcPr>
          <w:p w14:paraId="39CC2626" w14:textId="77777777" w:rsidR="00D83E33" w:rsidRPr="008B6A03" w:rsidRDefault="00BC4072">
            <w:pPr>
              <w:widowControl w:val="0"/>
              <w:pBdr>
                <w:top w:val="nil"/>
                <w:left w:val="nil"/>
                <w:bottom w:val="nil"/>
                <w:right w:val="nil"/>
                <w:between w:val="nil"/>
              </w:pBdr>
              <w:rPr>
                <w:color w:val="000000"/>
              </w:rPr>
            </w:pPr>
            <w:r w:rsidRPr="008B6A03">
              <w:rPr>
                <w:color w:val="000000"/>
              </w:rPr>
              <w:t>- Loans to sovereigns</w:t>
            </w:r>
          </w:p>
        </w:tc>
        <w:tc>
          <w:tcPr>
            <w:tcW w:w="422" w:type="pct"/>
            <w:vAlign w:val="bottom"/>
          </w:tcPr>
          <w:p w14:paraId="67E05BB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52C5CF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1F8555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EEFA98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B466FB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839702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E8FDDD6"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103E1C88"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4D6CB842" w14:textId="77777777" w:rsidTr="00372E26">
        <w:trPr>
          <w:trHeight w:val="23"/>
        </w:trPr>
        <w:tc>
          <w:tcPr>
            <w:tcW w:w="1625" w:type="pct"/>
            <w:vAlign w:val="bottom"/>
          </w:tcPr>
          <w:p w14:paraId="615E0FF5" w14:textId="77777777" w:rsidR="00D83E33" w:rsidRPr="008B6A03" w:rsidRDefault="00BC4072">
            <w:pPr>
              <w:widowControl w:val="0"/>
              <w:pBdr>
                <w:top w:val="nil"/>
                <w:left w:val="nil"/>
                <w:bottom w:val="nil"/>
                <w:right w:val="nil"/>
                <w:between w:val="nil"/>
              </w:pBdr>
              <w:rPr>
                <w:color w:val="000000"/>
              </w:rPr>
            </w:pPr>
            <w:r w:rsidRPr="008B6A03">
              <w:rPr>
                <w:color w:val="000000"/>
              </w:rPr>
              <w:t>- Loans to sub-sovereigns</w:t>
            </w:r>
          </w:p>
        </w:tc>
        <w:tc>
          <w:tcPr>
            <w:tcW w:w="422" w:type="pct"/>
            <w:vAlign w:val="bottom"/>
          </w:tcPr>
          <w:p w14:paraId="7097196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FB721E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F9C2A2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509090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6AC57F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CB7735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4D013C5"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D930D29"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5EA989FD" w14:textId="77777777" w:rsidTr="00372E26">
        <w:trPr>
          <w:trHeight w:val="23"/>
        </w:trPr>
        <w:tc>
          <w:tcPr>
            <w:tcW w:w="1625" w:type="pct"/>
            <w:vAlign w:val="bottom"/>
          </w:tcPr>
          <w:p w14:paraId="5EE59810" w14:textId="77777777" w:rsidR="00D83E33" w:rsidRPr="008B6A03" w:rsidRDefault="00BC4072">
            <w:pPr>
              <w:widowControl w:val="0"/>
              <w:pBdr>
                <w:top w:val="nil"/>
                <w:left w:val="nil"/>
                <w:bottom w:val="nil"/>
                <w:right w:val="nil"/>
                <w:between w:val="nil"/>
              </w:pBdr>
              <w:rPr>
                <w:color w:val="000000"/>
              </w:rPr>
            </w:pPr>
            <w:r w:rsidRPr="008B6A03">
              <w:rPr>
                <w:color w:val="000000"/>
              </w:rPr>
              <w:t>- Loans to SME</w:t>
            </w:r>
          </w:p>
        </w:tc>
        <w:tc>
          <w:tcPr>
            <w:tcW w:w="422" w:type="pct"/>
            <w:vAlign w:val="bottom"/>
          </w:tcPr>
          <w:p w14:paraId="290780B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FE1E3B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7E8D6C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A83F26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2F6FAB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7FBFE4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9573A3F"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126242CE"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73EA0DD" w14:textId="77777777" w:rsidTr="00372E26">
        <w:trPr>
          <w:trHeight w:val="23"/>
        </w:trPr>
        <w:tc>
          <w:tcPr>
            <w:tcW w:w="1625" w:type="pct"/>
            <w:vAlign w:val="bottom"/>
          </w:tcPr>
          <w:p w14:paraId="291F8EBF" w14:textId="77777777" w:rsidR="00D83E33" w:rsidRPr="008B6A03" w:rsidRDefault="00BC4072">
            <w:pPr>
              <w:widowControl w:val="0"/>
              <w:pBdr>
                <w:top w:val="nil"/>
                <w:left w:val="nil"/>
                <w:bottom w:val="nil"/>
                <w:right w:val="nil"/>
                <w:between w:val="nil"/>
              </w:pBdr>
              <w:rPr>
                <w:color w:val="000000"/>
              </w:rPr>
            </w:pPr>
            <w:r w:rsidRPr="008B6A03">
              <w:rPr>
                <w:color w:val="000000"/>
              </w:rPr>
              <w:t>- Loans to leasing companies</w:t>
            </w:r>
          </w:p>
        </w:tc>
        <w:tc>
          <w:tcPr>
            <w:tcW w:w="422" w:type="pct"/>
            <w:vAlign w:val="bottom"/>
          </w:tcPr>
          <w:p w14:paraId="3AB3F51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4CDC2E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4B9F79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D5B80F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A6F774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13F6F8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9A56EC0"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2A9668C9"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580839B" w14:textId="77777777" w:rsidTr="00372E26">
        <w:trPr>
          <w:trHeight w:val="23"/>
        </w:trPr>
        <w:tc>
          <w:tcPr>
            <w:tcW w:w="1625" w:type="pct"/>
            <w:vAlign w:val="bottom"/>
          </w:tcPr>
          <w:p w14:paraId="68AE20D0" w14:textId="77777777" w:rsidR="00D83E33" w:rsidRPr="008B6A03" w:rsidRDefault="00BC4072">
            <w:pPr>
              <w:widowControl w:val="0"/>
              <w:pBdr>
                <w:top w:val="nil"/>
                <w:left w:val="nil"/>
                <w:bottom w:val="nil"/>
                <w:right w:val="nil"/>
                <w:between w:val="nil"/>
              </w:pBdr>
              <w:rPr>
                <w:color w:val="000000"/>
              </w:rPr>
            </w:pPr>
            <w:r w:rsidRPr="008B6A03">
              <w:rPr>
                <w:color w:val="000000"/>
              </w:rPr>
              <w:t>- Reverse sale and repurchase agreement</w:t>
            </w:r>
          </w:p>
        </w:tc>
        <w:tc>
          <w:tcPr>
            <w:tcW w:w="422" w:type="pct"/>
            <w:vAlign w:val="bottom"/>
          </w:tcPr>
          <w:p w14:paraId="7B2DC64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61D195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5610BD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70F577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29C85A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9C0C57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3653A7A"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D815401"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D1C1844" w14:textId="77777777" w:rsidTr="00372E26">
        <w:trPr>
          <w:trHeight w:val="23"/>
        </w:trPr>
        <w:tc>
          <w:tcPr>
            <w:tcW w:w="1625" w:type="pct"/>
            <w:vAlign w:val="bottom"/>
          </w:tcPr>
          <w:p w14:paraId="4E459199" w14:textId="77777777" w:rsidR="00D83E33" w:rsidRPr="008B6A03" w:rsidRDefault="00BC4072">
            <w:pPr>
              <w:widowControl w:val="0"/>
              <w:pBdr>
                <w:top w:val="nil"/>
                <w:left w:val="nil"/>
                <w:bottom w:val="nil"/>
                <w:right w:val="nil"/>
                <w:between w:val="nil"/>
              </w:pBdr>
              <w:rPr>
                <w:color w:val="000000"/>
              </w:rPr>
            </w:pPr>
            <w:r w:rsidRPr="008B6A03">
              <w:rPr>
                <w:color w:val="000000"/>
              </w:rPr>
              <w:t>- Mortgage loans</w:t>
            </w:r>
          </w:p>
        </w:tc>
        <w:tc>
          <w:tcPr>
            <w:tcW w:w="422" w:type="pct"/>
            <w:vAlign w:val="bottom"/>
          </w:tcPr>
          <w:p w14:paraId="5DEF6E9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571EEF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EEA6E3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29271E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728301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BC9AA4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2969ABE"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16BB5E44"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51ECF23" w14:textId="77777777" w:rsidTr="00372E26">
        <w:trPr>
          <w:trHeight w:val="23"/>
        </w:trPr>
        <w:tc>
          <w:tcPr>
            <w:tcW w:w="1625" w:type="pct"/>
            <w:vAlign w:val="bottom"/>
          </w:tcPr>
          <w:p w14:paraId="29DBC012" w14:textId="77777777" w:rsidR="00D83E33" w:rsidRPr="008B6A03" w:rsidRDefault="00BC4072">
            <w:pPr>
              <w:widowControl w:val="0"/>
              <w:pBdr>
                <w:top w:val="nil"/>
                <w:left w:val="nil"/>
                <w:bottom w:val="nil"/>
                <w:right w:val="nil"/>
                <w:between w:val="nil"/>
              </w:pBdr>
              <w:rPr>
                <w:color w:val="000000"/>
              </w:rPr>
            </w:pPr>
            <w:r w:rsidRPr="008B6A03">
              <w:rPr>
                <w:color w:val="000000"/>
              </w:rPr>
              <w:t>- Consumer loans</w:t>
            </w:r>
          </w:p>
        </w:tc>
        <w:tc>
          <w:tcPr>
            <w:tcW w:w="422" w:type="pct"/>
            <w:vAlign w:val="bottom"/>
          </w:tcPr>
          <w:p w14:paraId="6E64446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7A2449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72F49A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C284C0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0F883C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8E432C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57D9D37"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6F053067"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DD39905" w14:textId="77777777" w:rsidTr="00372E26">
        <w:trPr>
          <w:trHeight w:val="23"/>
        </w:trPr>
        <w:tc>
          <w:tcPr>
            <w:tcW w:w="1625" w:type="pct"/>
            <w:vAlign w:val="bottom"/>
          </w:tcPr>
          <w:p w14:paraId="79FD44F5" w14:textId="77777777" w:rsidR="00D83E33" w:rsidRPr="008B6A03" w:rsidRDefault="00BC4072">
            <w:pPr>
              <w:widowControl w:val="0"/>
              <w:pBdr>
                <w:top w:val="nil"/>
                <w:left w:val="nil"/>
                <w:bottom w:val="nil"/>
                <w:right w:val="nil"/>
                <w:between w:val="nil"/>
              </w:pBdr>
              <w:rPr>
                <w:color w:val="000000"/>
              </w:rPr>
            </w:pPr>
            <w:r w:rsidRPr="008B6A03">
              <w:rPr>
                <w:color w:val="000000"/>
              </w:rPr>
              <w:t>- Car loans</w:t>
            </w:r>
          </w:p>
        </w:tc>
        <w:tc>
          <w:tcPr>
            <w:tcW w:w="422" w:type="pct"/>
            <w:vAlign w:val="bottom"/>
          </w:tcPr>
          <w:p w14:paraId="044B63A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B3A4F2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6FAD34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F87EAF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C4CD01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9D86A4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E7146A2"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6AAF9AD4"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FB834E8" w14:textId="77777777" w:rsidTr="00372E26">
        <w:trPr>
          <w:trHeight w:val="23"/>
        </w:trPr>
        <w:tc>
          <w:tcPr>
            <w:tcW w:w="1625" w:type="pct"/>
            <w:vAlign w:val="bottom"/>
          </w:tcPr>
          <w:p w14:paraId="69A24522" w14:textId="77777777" w:rsidR="00D83E33" w:rsidRPr="008B6A03" w:rsidRDefault="00BC4072">
            <w:pPr>
              <w:widowControl w:val="0"/>
              <w:pBdr>
                <w:top w:val="nil"/>
                <w:left w:val="nil"/>
                <w:bottom w:val="nil"/>
                <w:right w:val="nil"/>
                <w:between w:val="nil"/>
              </w:pBdr>
              <w:rPr>
                <w:color w:val="000000"/>
              </w:rPr>
            </w:pPr>
            <w:r w:rsidRPr="008B6A03">
              <w:rPr>
                <w:color w:val="000000"/>
              </w:rPr>
              <w:t>- Credit cards</w:t>
            </w:r>
          </w:p>
        </w:tc>
        <w:tc>
          <w:tcPr>
            <w:tcW w:w="422" w:type="pct"/>
            <w:vAlign w:val="bottom"/>
          </w:tcPr>
          <w:p w14:paraId="11430DF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47C2DD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AF7CB9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F4AB0C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F6BC5D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49187E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E173E6C"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1CC29419"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7069623" w14:textId="77777777" w:rsidTr="00372E26">
        <w:trPr>
          <w:trHeight w:val="23"/>
        </w:trPr>
        <w:tc>
          <w:tcPr>
            <w:tcW w:w="1625" w:type="pct"/>
            <w:vAlign w:val="bottom"/>
          </w:tcPr>
          <w:p w14:paraId="08D2A078" w14:textId="25BB322F" w:rsidR="00D83E33" w:rsidRPr="008B6A03" w:rsidRDefault="00D83E33">
            <w:pPr>
              <w:widowControl w:val="0"/>
              <w:pBdr>
                <w:top w:val="nil"/>
                <w:left w:val="nil"/>
                <w:bottom w:val="nil"/>
                <w:right w:val="nil"/>
                <w:between w:val="nil"/>
              </w:pBdr>
              <w:rPr>
                <w:i/>
                <w:color w:val="FF0000"/>
              </w:rPr>
            </w:pPr>
          </w:p>
        </w:tc>
        <w:tc>
          <w:tcPr>
            <w:tcW w:w="422" w:type="pct"/>
            <w:vAlign w:val="bottom"/>
          </w:tcPr>
          <w:p w14:paraId="1362DC8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2B41FE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339E05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E5FBB7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9A708C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809EBD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FA8FCF4"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20FD0DC9" w14:textId="77777777" w:rsidR="00D83E33" w:rsidRPr="008B6A03" w:rsidRDefault="00D83E33">
            <w:pPr>
              <w:widowControl w:val="0"/>
              <w:pBdr>
                <w:top w:val="nil"/>
                <w:left w:val="nil"/>
                <w:bottom w:val="nil"/>
                <w:right w:val="nil"/>
                <w:between w:val="nil"/>
              </w:pBdr>
              <w:jc w:val="right"/>
              <w:rPr>
                <w:color w:val="000000"/>
              </w:rPr>
            </w:pPr>
          </w:p>
        </w:tc>
      </w:tr>
      <w:tr w:rsidR="008B6A03" w:rsidRPr="008B6A03" w14:paraId="6D945CF0" w14:textId="77777777" w:rsidTr="00372E26">
        <w:trPr>
          <w:trHeight w:val="23"/>
        </w:trPr>
        <w:tc>
          <w:tcPr>
            <w:tcW w:w="1625" w:type="pct"/>
            <w:vAlign w:val="bottom"/>
          </w:tcPr>
          <w:p w14:paraId="49B6C477" w14:textId="77777777" w:rsidR="008B6A03" w:rsidRPr="008B6A03" w:rsidRDefault="008B6A03">
            <w:pPr>
              <w:widowControl w:val="0"/>
              <w:pBdr>
                <w:top w:val="nil"/>
                <w:left w:val="nil"/>
                <w:bottom w:val="nil"/>
                <w:right w:val="nil"/>
                <w:between w:val="nil"/>
              </w:pBdr>
              <w:rPr>
                <w:b/>
                <w:i/>
                <w:color w:val="000000"/>
              </w:rPr>
            </w:pPr>
          </w:p>
        </w:tc>
        <w:tc>
          <w:tcPr>
            <w:tcW w:w="422" w:type="pct"/>
            <w:vAlign w:val="bottom"/>
          </w:tcPr>
          <w:p w14:paraId="039BED6A"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0FEFA95E"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784134EA"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7897F6EE"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78E90750"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1ECA75D6"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58174A43" w14:textId="77777777" w:rsidR="008B6A03" w:rsidRPr="008B6A03" w:rsidRDefault="008B6A03">
            <w:pPr>
              <w:widowControl w:val="0"/>
              <w:pBdr>
                <w:top w:val="nil"/>
                <w:left w:val="nil"/>
                <w:bottom w:val="nil"/>
                <w:right w:val="nil"/>
                <w:between w:val="nil"/>
              </w:pBdr>
              <w:jc w:val="right"/>
              <w:rPr>
                <w:color w:val="000000"/>
              </w:rPr>
            </w:pPr>
          </w:p>
        </w:tc>
        <w:tc>
          <w:tcPr>
            <w:tcW w:w="420" w:type="pct"/>
            <w:vAlign w:val="bottom"/>
          </w:tcPr>
          <w:p w14:paraId="1088DD09" w14:textId="77777777" w:rsidR="008B6A03" w:rsidRPr="008B6A03" w:rsidRDefault="008B6A03">
            <w:pPr>
              <w:widowControl w:val="0"/>
              <w:pBdr>
                <w:top w:val="nil"/>
                <w:left w:val="nil"/>
                <w:bottom w:val="nil"/>
                <w:right w:val="nil"/>
                <w:between w:val="nil"/>
              </w:pBdr>
              <w:jc w:val="right"/>
              <w:rPr>
                <w:color w:val="000000"/>
              </w:rPr>
            </w:pPr>
          </w:p>
        </w:tc>
      </w:tr>
      <w:tr w:rsidR="00D83E33" w:rsidRPr="008B6A03" w14:paraId="3805B0B5" w14:textId="77777777" w:rsidTr="00372E26">
        <w:trPr>
          <w:trHeight w:val="23"/>
        </w:trPr>
        <w:tc>
          <w:tcPr>
            <w:tcW w:w="1625" w:type="pct"/>
            <w:vAlign w:val="bottom"/>
          </w:tcPr>
          <w:p w14:paraId="42BA8672" w14:textId="77777777" w:rsidR="00D83E33" w:rsidRPr="008B6A03" w:rsidRDefault="00BC4072">
            <w:pPr>
              <w:widowControl w:val="0"/>
              <w:pBdr>
                <w:top w:val="nil"/>
                <w:left w:val="nil"/>
                <w:bottom w:val="nil"/>
                <w:right w:val="nil"/>
                <w:between w:val="nil"/>
              </w:pBdr>
              <w:rPr>
                <w:b/>
                <w:i/>
                <w:color w:val="000000"/>
              </w:rPr>
            </w:pPr>
            <w:r w:rsidRPr="008B6A03">
              <w:rPr>
                <w:b/>
                <w:i/>
                <w:color w:val="000000"/>
              </w:rPr>
              <w:t>Repurchase receivables at FV</w:t>
            </w:r>
          </w:p>
        </w:tc>
        <w:tc>
          <w:tcPr>
            <w:tcW w:w="422" w:type="pct"/>
            <w:vAlign w:val="bottom"/>
          </w:tcPr>
          <w:p w14:paraId="08C4931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84AA9D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363C0C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4E77A5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F4E4D7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9FE24C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5D66ECA"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6E651C90"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7CA30AF" w14:textId="77777777" w:rsidTr="00372E26">
        <w:trPr>
          <w:trHeight w:val="23"/>
        </w:trPr>
        <w:tc>
          <w:tcPr>
            <w:tcW w:w="1625" w:type="pct"/>
            <w:vAlign w:val="bottom"/>
          </w:tcPr>
          <w:p w14:paraId="4D58D4EA" w14:textId="4C55852D" w:rsidR="00D83E33" w:rsidRPr="008B6A03" w:rsidRDefault="00BC4072">
            <w:pPr>
              <w:widowControl w:val="0"/>
              <w:pBdr>
                <w:top w:val="nil"/>
                <w:left w:val="nil"/>
                <w:bottom w:val="nil"/>
                <w:right w:val="nil"/>
                <w:between w:val="nil"/>
              </w:pBdr>
              <w:rPr>
                <w:color w:val="000000"/>
              </w:rPr>
            </w:pPr>
            <w:r w:rsidRPr="008B6A03">
              <w:rPr>
                <w:color w:val="000000"/>
              </w:rPr>
              <w:t xml:space="preserve">- </w:t>
            </w:r>
            <w:r w:rsidR="00372E26" w:rsidRPr="008B6A03">
              <w:rPr>
                <w:color w:val="000000"/>
              </w:rPr>
              <w:t>[Country]</w:t>
            </w:r>
            <w:r w:rsidRPr="008B6A03">
              <w:rPr>
                <w:color w:val="000000"/>
              </w:rPr>
              <w:t xml:space="preserve"> government bonds</w:t>
            </w:r>
          </w:p>
        </w:tc>
        <w:tc>
          <w:tcPr>
            <w:tcW w:w="422" w:type="pct"/>
            <w:vAlign w:val="bottom"/>
          </w:tcPr>
          <w:p w14:paraId="63ECE19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197036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96A139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57EF9F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347B48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0E62D7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96AD019"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71BE2CD1"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6669164" w14:textId="77777777" w:rsidTr="00372E26">
        <w:trPr>
          <w:trHeight w:val="23"/>
        </w:trPr>
        <w:tc>
          <w:tcPr>
            <w:tcW w:w="1625" w:type="pct"/>
            <w:vAlign w:val="bottom"/>
          </w:tcPr>
          <w:p w14:paraId="59236DA6" w14:textId="77777777" w:rsidR="00D83E33" w:rsidRPr="008B6A03" w:rsidRDefault="00BC4072">
            <w:pPr>
              <w:widowControl w:val="0"/>
              <w:pBdr>
                <w:top w:val="nil"/>
                <w:left w:val="nil"/>
                <w:bottom w:val="nil"/>
                <w:right w:val="nil"/>
                <w:between w:val="nil"/>
              </w:pBdr>
              <w:rPr>
                <w:color w:val="000000"/>
              </w:rPr>
            </w:pPr>
            <w:r w:rsidRPr="008B6A03">
              <w:rPr>
                <w:color w:val="000000"/>
              </w:rPr>
              <w:t>- Municipal bonds</w:t>
            </w:r>
          </w:p>
        </w:tc>
        <w:tc>
          <w:tcPr>
            <w:tcW w:w="422" w:type="pct"/>
            <w:vAlign w:val="bottom"/>
          </w:tcPr>
          <w:p w14:paraId="3F32569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930BE2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DFC2CE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E532CA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7E4C5E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E881FF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73EBDF8"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0D0A7CE8"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BD80582" w14:textId="77777777" w:rsidTr="00372E26">
        <w:trPr>
          <w:trHeight w:val="23"/>
        </w:trPr>
        <w:tc>
          <w:tcPr>
            <w:tcW w:w="1625" w:type="pct"/>
            <w:vAlign w:val="bottom"/>
          </w:tcPr>
          <w:p w14:paraId="07E4A39D" w14:textId="77777777" w:rsidR="00D83E33" w:rsidRPr="008B6A03" w:rsidRDefault="00BC4072">
            <w:pPr>
              <w:widowControl w:val="0"/>
              <w:pBdr>
                <w:top w:val="nil"/>
                <w:left w:val="nil"/>
                <w:bottom w:val="nil"/>
                <w:right w:val="nil"/>
                <w:between w:val="nil"/>
              </w:pBdr>
              <w:rPr>
                <w:color w:val="000000"/>
              </w:rPr>
            </w:pPr>
            <w:r w:rsidRPr="008B6A03">
              <w:rPr>
                <w:color w:val="000000"/>
              </w:rPr>
              <w:t>- Corporate bonds</w:t>
            </w:r>
          </w:p>
        </w:tc>
        <w:tc>
          <w:tcPr>
            <w:tcW w:w="422" w:type="pct"/>
            <w:vAlign w:val="bottom"/>
          </w:tcPr>
          <w:p w14:paraId="6965824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644634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8A20B3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B95F8A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371022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16D343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57900D6"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E22104C"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9339DCF" w14:textId="77777777" w:rsidTr="00372E26">
        <w:trPr>
          <w:trHeight w:val="23"/>
        </w:trPr>
        <w:tc>
          <w:tcPr>
            <w:tcW w:w="1625" w:type="pct"/>
            <w:vAlign w:val="bottom"/>
          </w:tcPr>
          <w:p w14:paraId="69581428" w14:textId="77777777" w:rsidR="00D83E33" w:rsidRPr="008B6A03" w:rsidRDefault="00BC4072">
            <w:pPr>
              <w:widowControl w:val="0"/>
              <w:pBdr>
                <w:top w:val="nil"/>
                <w:left w:val="nil"/>
                <w:bottom w:val="nil"/>
                <w:right w:val="nil"/>
                <w:between w:val="nil"/>
              </w:pBdr>
              <w:rPr>
                <w:color w:val="000000"/>
              </w:rPr>
            </w:pPr>
            <w:r w:rsidRPr="008B6A03">
              <w:rPr>
                <w:color w:val="000000"/>
              </w:rPr>
              <w:t>- Investments in mutual funds</w:t>
            </w:r>
          </w:p>
        </w:tc>
        <w:tc>
          <w:tcPr>
            <w:tcW w:w="422" w:type="pct"/>
            <w:vAlign w:val="bottom"/>
          </w:tcPr>
          <w:p w14:paraId="730A2AC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817215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A67619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B18E82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58E0BE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56ACB6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D09C9EA"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2B940940"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556BD634" w14:textId="77777777" w:rsidTr="00372E26">
        <w:trPr>
          <w:trHeight w:val="23"/>
        </w:trPr>
        <w:tc>
          <w:tcPr>
            <w:tcW w:w="1625" w:type="pct"/>
            <w:vAlign w:val="bottom"/>
          </w:tcPr>
          <w:p w14:paraId="7C3A0BED" w14:textId="77777777" w:rsidR="00D83E33" w:rsidRPr="008B6A03" w:rsidRDefault="00BC4072">
            <w:pPr>
              <w:widowControl w:val="0"/>
              <w:pBdr>
                <w:top w:val="nil"/>
                <w:left w:val="nil"/>
                <w:bottom w:val="nil"/>
                <w:right w:val="nil"/>
                <w:between w:val="nil"/>
              </w:pBdr>
              <w:rPr>
                <w:color w:val="000000"/>
              </w:rPr>
            </w:pPr>
            <w:r w:rsidRPr="008B6A03">
              <w:rPr>
                <w:color w:val="000000"/>
              </w:rPr>
              <w:t>- Promissory notes</w:t>
            </w:r>
          </w:p>
        </w:tc>
        <w:tc>
          <w:tcPr>
            <w:tcW w:w="422" w:type="pct"/>
            <w:vAlign w:val="bottom"/>
          </w:tcPr>
          <w:p w14:paraId="59E87B5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6D1406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4A184C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370288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0CE9EA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1A9329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3061D4D"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5C9EDC07"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0600162A" w14:textId="77777777" w:rsidTr="00372E26">
        <w:trPr>
          <w:trHeight w:val="23"/>
        </w:trPr>
        <w:tc>
          <w:tcPr>
            <w:tcW w:w="1625" w:type="pct"/>
            <w:vAlign w:val="bottom"/>
          </w:tcPr>
          <w:p w14:paraId="250564AE" w14:textId="77777777" w:rsidR="00D83E33" w:rsidRPr="008B6A03" w:rsidRDefault="00BC4072">
            <w:pPr>
              <w:widowControl w:val="0"/>
              <w:pBdr>
                <w:top w:val="nil"/>
                <w:left w:val="nil"/>
                <w:bottom w:val="nil"/>
                <w:right w:val="nil"/>
                <w:between w:val="nil"/>
              </w:pBdr>
              <w:rPr>
                <w:color w:val="000000"/>
              </w:rPr>
            </w:pPr>
            <w:r w:rsidRPr="008B6A03">
              <w:rPr>
                <w:color w:val="000000"/>
              </w:rPr>
              <w:t>- Corporate shares</w:t>
            </w:r>
          </w:p>
        </w:tc>
        <w:tc>
          <w:tcPr>
            <w:tcW w:w="422" w:type="pct"/>
            <w:vAlign w:val="bottom"/>
          </w:tcPr>
          <w:p w14:paraId="5AF42E3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49EE1D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E4B668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DA905F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8567BB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8D4208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CF08BBE"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32DFAED"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21E6D12" w14:textId="77777777" w:rsidTr="00372E26">
        <w:trPr>
          <w:trHeight w:val="23"/>
        </w:trPr>
        <w:tc>
          <w:tcPr>
            <w:tcW w:w="1625" w:type="pct"/>
            <w:vAlign w:val="bottom"/>
          </w:tcPr>
          <w:p w14:paraId="4C5F0859" w14:textId="77777777" w:rsidR="00D83E33" w:rsidRPr="008B6A03" w:rsidRDefault="00BC4072">
            <w:pPr>
              <w:widowControl w:val="0"/>
              <w:pBdr>
                <w:top w:val="nil"/>
                <w:left w:val="nil"/>
                <w:bottom w:val="nil"/>
                <w:right w:val="nil"/>
                <w:between w:val="nil"/>
              </w:pBdr>
              <w:rPr>
                <w:color w:val="000000"/>
              </w:rPr>
            </w:pPr>
            <w:r w:rsidRPr="008B6A03">
              <w:rPr>
                <w:color w:val="000000"/>
              </w:rPr>
              <w:t>- American depositary receipts (ADR)</w:t>
            </w:r>
          </w:p>
        </w:tc>
        <w:tc>
          <w:tcPr>
            <w:tcW w:w="422" w:type="pct"/>
            <w:vAlign w:val="bottom"/>
          </w:tcPr>
          <w:p w14:paraId="74D015E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DE5E58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7A39AB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A72AE7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C9B616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FF5386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D82F01C"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034250B2"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5DAC9C10" w14:textId="77777777" w:rsidTr="00372E26">
        <w:trPr>
          <w:trHeight w:val="23"/>
        </w:trPr>
        <w:tc>
          <w:tcPr>
            <w:tcW w:w="1625" w:type="pct"/>
            <w:vAlign w:val="bottom"/>
          </w:tcPr>
          <w:p w14:paraId="044B0C0F" w14:textId="1980F1B2" w:rsidR="00D83E33" w:rsidRPr="008B6A03" w:rsidRDefault="00BC4072">
            <w:pPr>
              <w:widowControl w:val="0"/>
              <w:pBdr>
                <w:top w:val="nil"/>
                <w:left w:val="nil"/>
                <w:bottom w:val="nil"/>
                <w:right w:val="nil"/>
                <w:between w:val="nil"/>
              </w:pBdr>
              <w:rPr>
                <w:color w:val="000000"/>
              </w:rPr>
            </w:pPr>
            <w:r w:rsidRPr="008B6A03">
              <w:rPr>
                <w:color w:val="000000"/>
              </w:rPr>
              <w:t xml:space="preserve">- Global depositary receipts (GDR) </w:t>
            </w:r>
          </w:p>
        </w:tc>
        <w:tc>
          <w:tcPr>
            <w:tcW w:w="422" w:type="pct"/>
            <w:vAlign w:val="bottom"/>
          </w:tcPr>
          <w:p w14:paraId="4E1A4EA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2472C4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F7AD66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67FAD6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B2CBBB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E2A06C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D534CED"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1FBAD5E6"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300B96F" w14:textId="77777777" w:rsidTr="00372E26">
        <w:trPr>
          <w:trHeight w:val="23"/>
        </w:trPr>
        <w:tc>
          <w:tcPr>
            <w:tcW w:w="1625" w:type="pct"/>
            <w:tcBorders>
              <w:bottom w:val="single" w:sz="4" w:space="0" w:color="000000"/>
            </w:tcBorders>
            <w:vAlign w:val="bottom"/>
          </w:tcPr>
          <w:p w14:paraId="41EC04E7" w14:textId="77777777" w:rsidR="00D83E33" w:rsidRPr="008B6A03" w:rsidRDefault="00D83E33">
            <w:pPr>
              <w:widowControl w:val="0"/>
              <w:pBdr>
                <w:top w:val="nil"/>
                <w:left w:val="nil"/>
                <w:bottom w:val="nil"/>
                <w:right w:val="nil"/>
                <w:between w:val="nil"/>
              </w:pBdr>
              <w:rPr>
                <w:color w:val="000000"/>
              </w:rPr>
            </w:pPr>
          </w:p>
        </w:tc>
        <w:tc>
          <w:tcPr>
            <w:tcW w:w="422" w:type="pct"/>
            <w:tcBorders>
              <w:bottom w:val="single" w:sz="4" w:space="0" w:color="000000"/>
            </w:tcBorders>
            <w:vAlign w:val="bottom"/>
          </w:tcPr>
          <w:p w14:paraId="1684EBC3"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04554327"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55FDE231"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07DB6665"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06F3D616"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5368AF9B"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7225AE30" w14:textId="77777777" w:rsidR="00D83E33" w:rsidRPr="008B6A03" w:rsidRDefault="00D83E33">
            <w:pPr>
              <w:widowControl w:val="0"/>
              <w:pBdr>
                <w:top w:val="nil"/>
                <w:left w:val="nil"/>
                <w:bottom w:val="nil"/>
                <w:right w:val="nil"/>
                <w:between w:val="nil"/>
              </w:pBdr>
              <w:jc w:val="right"/>
              <w:rPr>
                <w:color w:val="000000"/>
              </w:rPr>
            </w:pPr>
          </w:p>
        </w:tc>
        <w:tc>
          <w:tcPr>
            <w:tcW w:w="420" w:type="pct"/>
            <w:tcBorders>
              <w:bottom w:val="single" w:sz="4" w:space="0" w:color="000000"/>
            </w:tcBorders>
            <w:vAlign w:val="bottom"/>
          </w:tcPr>
          <w:p w14:paraId="2A986252" w14:textId="77777777" w:rsidR="00D83E33" w:rsidRPr="008B6A03" w:rsidRDefault="00D83E33">
            <w:pPr>
              <w:widowControl w:val="0"/>
              <w:pBdr>
                <w:top w:val="nil"/>
                <w:left w:val="nil"/>
                <w:bottom w:val="nil"/>
                <w:right w:val="nil"/>
                <w:between w:val="nil"/>
              </w:pBdr>
              <w:jc w:val="right"/>
              <w:rPr>
                <w:color w:val="000000"/>
              </w:rPr>
            </w:pPr>
          </w:p>
        </w:tc>
      </w:tr>
    </w:tbl>
    <w:p w14:paraId="3DD6A267" w14:textId="4056DD11" w:rsidR="00D83E33" w:rsidRDefault="00BC4072" w:rsidP="001B330E">
      <w:pPr>
        <w:pStyle w:val="Continued"/>
      </w:pPr>
      <w:r>
        <w:lastRenderedPageBreak/>
        <w:t>49</w:t>
      </w:r>
      <w:r>
        <w:tab/>
        <w:t>Fair Value Disclosures (Continued)</w:t>
      </w:r>
    </w:p>
    <w:tbl>
      <w:tblPr>
        <w:tblStyle w:val="affffffffffffffff5"/>
        <w:tblW w:w="5000" w:type="pct"/>
        <w:tblLayout w:type="fixed"/>
        <w:tblLook w:val="0000" w:firstRow="0" w:lastRow="0" w:firstColumn="0" w:lastColumn="0" w:noHBand="0" w:noVBand="0"/>
      </w:tblPr>
      <w:tblGrid>
        <w:gridCol w:w="3041"/>
        <w:gridCol w:w="789"/>
        <w:gridCol w:w="789"/>
        <w:gridCol w:w="790"/>
        <w:gridCol w:w="790"/>
        <w:gridCol w:w="790"/>
        <w:gridCol w:w="790"/>
        <w:gridCol w:w="790"/>
        <w:gridCol w:w="786"/>
      </w:tblGrid>
      <w:tr w:rsidR="00D83E33" w:rsidRPr="00077F42" w14:paraId="0E5D1C4C" w14:textId="77777777" w:rsidTr="001B330E">
        <w:trPr>
          <w:trHeight w:val="23"/>
        </w:trPr>
        <w:tc>
          <w:tcPr>
            <w:tcW w:w="1626" w:type="pct"/>
            <w:vAlign w:val="bottom"/>
          </w:tcPr>
          <w:p w14:paraId="6E212368" w14:textId="77777777" w:rsidR="00D83E33" w:rsidRPr="001B330E" w:rsidRDefault="00D83E33">
            <w:pPr>
              <w:widowControl w:val="0"/>
              <w:pBdr>
                <w:top w:val="nil"/>
                <w:left w:val="nil"/>
                <w:bottom w:val="nil"/>
                <w:right w:val="nil"/>
                <w:between w:val="nil"/>
              </w:pBdr>
              <w:jc w:val="center"/>
              <w:rPr>
                <w:b/>
                <w:color w:val="000000"/>
                <w:sz w:val="17"/>
                <w:szCs w:val="17"/>
              </w:rPr>
            </w:pPr>
          </w:p>
        </w:tc>
        <w:tc>
          <w:tcPr>
            <w:tcW w:w="1688" w:type="pct"/>
            <w:gridSpan w:val="4"/>
            <w:tcBorders>
              <w:bottom w:val="single" w:sz="4" w:space="0" w:color="000000"/>
            </w:tcBorders>
            <w:vAlign w:val="bottom"/>
          </w:tcPr>
          <w:p w14:paraId="08582C65" w14:textId="6DB7A7E0" w:rsidR="00D83E33" w:rsidRPr="001B330E" w:rsidRDefault="00BC4072">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2024</w:t>
            </w:r>
          </w:p>
        </w:tc>
        <w:tc>
          <w:tcPr>
            <w:tcW w:w="1687" w:type="pct"/>
            <w:gridSpan w:val="4"/>
            <w:tcBorders>
              <w:bottom w:val="single" w:sz="4" w:space="0" w:color="000000"/>
            </w:tcBorders>
            <w:vAlign w:val="bottom"/>
          </w:tcPr>
          <w:p w14:paraId="39ABC97A" w14:textId="39B02187" w:rsidR="00D83E33" w:rsidRPr="001B330E" w:rsidRDefault="00BC4072">
            <w:pPr>
              <w:widowControl w:val="0"/>
              <w:pBdr>
                <w:top w:val="nil"/>
                <w:left w:val="nil"/>
                <w:bottom w:val="nil"/>
                <w:right w:val="nil"/>
                <w:between w:val="nil"/>
              </w:pBdr>
              <w:jc w:val="center"/>
              <w:rPr>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2023</w:t>
            </w:r>
          </w:p>
        </w:tc>
      </w:tr>
      <w:tr w:rsidR="00D83E33" w:rsidRPr="00077F42" w14:paraId="035E7BCB" w14:textId="77777777" w:rsidTr="001B330E">
        <w:trPr>
          <w:trHeight w:val="23"/>
        </w:trPr>
        <w:tc>
          <w:tcPr>
            <w:tcW w:w="1626" w:type="pct"/>
            <w:tcBorders>
              <w:bottom w:val="single" w:sz="4" w:space="0" w:color="000000"/>
            </w:tcBorders>
            <w:vAlign w:val="bottom"/>
          </w:tcPr>
          <w:p w14:paraId="25135452" w14:textId="22A03DD6" w:rsidR="00D83E33" w:rsidRPr="001B330E" w:rsidRDefault="00313B4D">
            <w:pPr>
              <w:widowControl w:val="0"/>
              <w:pBdr>
                <w:top w:val="nil"/>
                <w:left w:val="nil"/>
                <w:bottom w:val="nil"/>
                <w:right w:val="nil"/>
                <w:between w:val="nil"/>
              </w:pBdr>
              <w:rPr>
                <w:i/>
                <w:color w:val="000000"/>
                <w:sz w:val="17"/>
                <w:szCs w:val="17"/>
              </w:rPr>
            </w:pPr>
            <w:r>
              <w:rPr>
                <w:i/>
                <w:color w:val="000000"/>
                <w:sz w:val="17"/>
                <w:szCs w:val="17"/>
              </w:rPr>
              <w:t xml:space="preserve">In thousands of </w:t>
            </w:r>
            <w:r w:rsidR="002649EE">
              <w:rPr>
                <w:i/>
                <w:color w:val="000000"/>
                <w:sz w:val="17"/>
                <w:szCs w:val="17"/>
              </w:rPr>
              <w:t>EUR</w:t>
            </w:r>
          </w:p>
        </w:tc>
        <w:tc>
          <w:tcPr>
            <w:tcW w:w="422" w:type="pct"/>
            <w:tcBorders>
              <w:top w:val="single" w:sz="4" w:space="0" w:color="000000"/>
              <w:bottom w:val="single" w:sz="4" w:space="0" w:color="000000"/>
            </w:tcBorders>
          </w:tcPr>
          <w:p w14:paraId="719696EB" w14:textId="144CC7D6" w:rsidR="00D83E33" w:rsidRPr="001B330E" w:rsidRDefault="00BC4072" w:rsidP="001B330E">
            <w:pPr>
              <w:widowControl w:val="0"/>
              <w:pBdr>
                <w:top w:val="nil"/>
                <w:left w:val="nil"/>
                <w:bottom w:val="nil"/>
                <w:right w:val="nil"/>
                <w:between w:val="nil"/>
              </w:pBdr>
              <w:ind w:left="-57"/>
              <w:jc w:val="right"/>
              <w:rPr>
                <w:color w:val="000000"/>
                <w:sz w:val="17"/>
                <w:szCs w:val="17"/>
              </w:rPr>
            </w:pPr>
            <w:r w:rsidRPr="001B330E">
              <w:rPr>
                <w:b/>
                <w:color w:val="000000"/>
                <w:sz w:val="17"/>
                <w:szCs w:val="17"/>
              </w:rPr>
              <w:t>Level 1</w:t>
            </w:r>
          </w:p>
        </w:tc>
        <w:tc>
          <w:tcPr>
            <w:tcW w:w="422" w:type="pct"/>
            <w:tcBorders>
              <w:top w:val="single" w:sz="4" w:space="0" w:color="000000"/>
              <w:bottom w:val="single" w:sz="4" w:space="0" w:color="000000"/>
            </w:tcBorders>
          </w:tcPr>
          <w:p w14:paraId="39289A00" w14:textId="77777777" w:rsidR="00D83E33" w:rsidRPr="001B330E" w:rsidRDefault="00BC4072" w:rsidP="001B330E">
            <w:pPr>
              <w:widowControl w:val="0"/>
              <w:pBdr>
                <w:top w:val="nil"/>
                <w:left w:val="nil"/>
                <w:bottom w:val="nil"/>
                <w:right w:val="nil"/>
                <w:between w:val="nil"/>
              </w:pBdr>
              <w:ind w:left="-57"/>
              <w:jc w:val="right"/>
              <w:rPr>
                <w:color w:val="000000"/>
                <w:sz w:val="17"/>
                <w:szCs w:val="17"/>
              </w:rPr>
            </w:pPr>
            <w:r w:rsidRPr="001B330E">
              <w:rPr>
                <w:b/>
                <w:color w:val="000000"/>
                <w:sz w:val="17"/>
                <w:szCs w:val="17"/>
              </w:rPr>
              <w:t>Level 2</w:t>
            </w:r>
          </w:p>
        </w:tc>
        <w:tc>
          <w:tcPr>
            <w:tcW w:w="422" w:type="pct"/>
            <w:tcBorders>
              <w:top w:val="single" w:sz="4" w:space="0" w:color="000000"/>
              <w:bottom w:val="single" w:sz="4" w:space="0" w:color="000000"/>
            </w:tcBorders>
          </w:tcPr>
          <w:p w14:paraId="65A8C9BD" w14:textId="77777777" w:rsidR="00D83E33" w:rsidRPr="001B330E" w:rsidRDefault="00BC4072" w:rsidP="001B330E">
            <w:pPr>
              <w:widowControl w:val="0"/>
              <w:pBdr>
                <w:top w:val="nil"/>
                <w:left w:val="nil"/>
                <w:bottom w:val="nil"/>
                <w:right w:val="nil"/>
                <w:between w:val="nil"/>
              </w:pBdr>
              <w:ind w:left="-57"/>
              <w:jc w:val="right"/>
              <w:rPr>
                <w:color w:val="000000"/>
                <w:sz w:val="17"/>
                <w:szCs w:val="17"/>
              </w:rPr>
            </w:pPr>
            <w:r w:rsidRPr="001B330E">
              <w:rPr>
                <w:b/>
                <w:color w:val="000000"/>
                <w:sz w:val="17"/>
                <w:szCs w:val="17"/>
              </w:rPr>
              <w:t>Level 3</w:t>
            </w:r>
          </w:p>
        </w:tc>
        <w:tc>
          <w:tcPr>
            <w:tcW w:w="422" w:type="pct"/>
            <w:tcBorders>
              <w:top w:val="single" w:sz="4" w:space="0" w:color="000000"/>
              <w:bottom w:val="single" w:sz="4" w:space="0" w:color="000000"/>
            </w:tcBorders>
          </w:tcPr>
          <w:p w14:paraId="17504C67" w14:textId="609B0F64" w:rsidR="00D83E33" w:rsidRPr="001B330E" w:rsidRDefault="00BC4072" w:rsidP="001B330E">
            <w:pPr>
              <w:widowControl w:val="0"/>
              <w:pBdr>
                <w:top w:val="nil"/>
                <w:left w:val="nil"/>
                <w:bottom w:val="nil"/>
                <w:right w:val="nil"/>
                <w:between w:val="nil"/>
              </w:pBdr>
              <w:ind w:left="-57"/>
              <w:jc w:val="right"/>
              <w:rPr>
                <w:color w:val="000000"/>
                <w:sz w:val="17"/>
                <w:szCs w:val="17"/>
              </w:rPr>
            </w:pPr>
            <w:r w:rsidRPr="001B330E">
              <w:rPr>
                <w:b/>
                <w:color w:val="000000"/>
                <w:sz w:val="17"/>
                <w:szCs w:val="17"/>
              </w:rPr>
              <w:t>Total</w:t>
            </w:r>
          </w:p>
        </w:tc>
        <w:tc>
          <w:tcPr>
            <w:tcW w:w="422" w:type="pct"/>
            <w:tcBorders>
              <w:top w:val="single" w:sz="4" w:space="0" w:color="000000"/>
              <w:bottom w:val="single" w:sz="4" w:space="0" w:color="000000"/>
            </w:tcBorders>
          </w:tcPr>
          <w:p w14:paraId="7E8FBEBE" w14:textId="77777777" w:rsidR="00D83E33" w:rsidRPr="001B330E" w:rsidRDefault="00BC4072" w:rsidP="001B330E">
            <w:pPr>
              <w:widowControl w:val="0"/>
              <w:pBdr>
                <w:top w:val="nil"/>
                <w:left w:val="nil"/>
                <w:bottom w:val="nil"/>
                <w:right w:val="nil"/>
                <w:between w:val="nil"/>
              </w:pBdr>
              <w:ind w:left="-57"/>
              <w:jc w:val="right"/>
              <w:rPr>
                <w:color w:val="000000"/>
                <w:sz w:val="17"/>
                <w:szCs w:val="17"/>
              </w:rPr>
            </w:pPr>
            <w:r w:rsidRPr="001B330E">
              <w:rPr>
                <w:b/>
                <w:color w:val="000000"/>
                <w:sz w:val="17"/>
                <w:szCs w:val="17"/>
              </w:rPr>
              <w:t>Level 1</w:t>
            </w:r>
          </w:p>
        </w:tc>
        <w:tc>
          <w:tcPr>
            <w:tcW w:w="422" w:type="pct"/>
            <w:tcBorders>
              <w:top w:val="single" w:sz="4" w:space="0" w:color="000000"/>
              <w:bottom w:val="single" w:sz="4" w:space="0" w:color="000000"/>
            </w:tcBorders>
          </w:tcPr>
          <w:p w14:paraId="6B95691F" w14:textId="77777777" w:rsidR="00D83E33" w:rsidRPr="001B330E" w:rsidRDefault="00BC4072" w:rsidP="001B330E">
            <w:pPr>
              <w:widowControl w:val="0"/>
              <w:pBdr>
                <w:top w:val="nil"/>
                <w:left w:val="nil"/>
                <w:bottom w:val="nil"/>
                <w:right w:val="nil"/>
                <w:between w:val="nil"/>
              </w:pBdr>
              <w:ind w:left="-57"/>
              <w:jc w:val="right"/>
              <w:rPr>
                <w:color w:val="000000"/>
                <w:sz w:val="17"/>
                <w:szCs w:val="17"/>
              </w:rPr>
            </w:pPr>
            <w:r w:rsidRPr="001B330E">
              <w:rPr>
                <w:b/>
                <w:color w:val="000000"/>
                <w:sz w:val="17"/>
                <w:szCs w:val="17"/>
              </w:rPr>
              <w:t>Level 2</w:t>
            </w:r>
          </w:p>
        </w:tc>
        <w:tc>
          <w:tcPr>
            <w:tcW w:w="422" w:type="pct"/>
            <w:tcBorders>
              <w:top w:val="single" w:sz="4" w:space="0" w:color="000000"/>
              <w:bottom w:val="single" w:sz="4" w:space="0" w:color="000000"/>
            </w:tcBorders>
          </w:tcPr>
          <w:p w14:paraId="5DEEABE4" w14:textId="77777777" w:rsidR="00D83E33" w:rsidRPr="001B330E" w:rsidRDefault="00BC4072" w:rsidP="001B330E">
            <w:pPr>
              <w:widowControl w:val="0"/>
              <w:pBdr>
                <w:top w:val="nil"/>
                <w:left w:val="nil"/>
                <w:bottom w:val="nil"/>
                <w:right w:val="nil"/>
                <w:between w:val="nil"/>
              </w:pBdr>
              <w:ind w:left="-57"/>
              <w:jc w:val="right"/>
              <w:rPr>
                <w:color w:val="000000"/>
                <w:sz w:val="17"/>
                <w:szCs w:val="17"/>
              </w:rPr>
            </w:pPr>
            <w:r w:rsidRPr="001B330E">
              <w:rPr>
                <w:b/>
                <w:color w:val="000000"/>
                <w:sz w:val="17"/>
                <w:szCs w:val="17"/>
              </w:rPr>
              <w:t>Level 3</w:t>
            </w:r>
          </w:p>
        </w:tc>
        <w:tc>
          <w:tcPr>
            <w:tcW w:w="420" w:type="pct"/>
            <w:tcBorders>
              <w:top w:val="single" w:sz="4" w:space="0" w:color="000000"/>
              <w:bottom w:val="single" w:sz="4" w:space="0" w:color="000000"/>
            </w:tcBorders>
          </w:tcPr>
          <w:p w14:paraId="28453DBE" w14:textId="37AA6770" w:rsidR="00D83E33" w:rsidRPr="001B330E" w:rsidRDefault="00BC4072" w:rsidP="001B330E">
            <w:pPr>
              <w:widowControl w:val="0"/>
              <w:pBdr>
                <w:top w:val="nil"/>
                <w:left w:val="nil"/>
                <w:bottom w:val="nil"/>
                <w:right w:val="nil"/>
                <w:between w:val="nil"/>
              </w:pBdr>
              <w:ind w:left="-57"/>
              <w:jc w:val="right"/>
              <w:rPr>
                <w:color w:val="000000"/>
                <w:sz w:val="17"/>
                <w:szCs w:val="17"/>
              </w:rPr>
            </w:pPr>
            <w:r w:rsidRPr="001B330E">
              <w:rPr>
                <w:b/>
                <w:color w:val="000000"/>
                <w:sz w:val="17"/>
                <w:szCs w:val="17"/>
              </w:rPr>
              <w:t>Total</w:t>
            </w:r>
          </w:p>
        </w:tc>
      </w:tr>
      <w:tr w:rsidR="00D83E33" w:rsidRPr="00077F42" w14:paraId="539C5DFE" w14:textId="77777777" w:rsidTr="001B330E">
        <w:trPr>
          <w:trHeight w:val="23"/>
        </w:trPr>
        <w:tc>
          <w:tcPr>
            <w:tcW w:w="1626" w:type="pct"/>
            <w:vAlign w:val="bottom"/>
          </w:tcPr>
          <w:p w14:paraId="5ABFBF16" w14:textId="77777777" w:rsidR="00D83E33" w:rsidRPr="001B330E" w:rsidRDefault="00D83E33">
            <w:pPr>
              <w:widowControl w:val="0"/>
              <w:pBdr>
                <w:top w:val="nil"/>
                <w:left w:val="nil"/>
                <w:bottom w:val="nil"/>
                <w:right w:val="nil"/>
                <w:between w:val="nil"/>
              </w:pBdr>
              <w:rPr>
                <w:b/>
                <w:i/>
                <w:color w:val="000000"/>
                <w:sz w:val="17"/>
                <w:szCs w:val="17"/>
              </w:rPr>
            </w:pPr>
          </w:p>
        </w:tc>
        <w:tc>
          <w:tcPr>
            <w:tcW w:w="422" w:type="pct"/>
            <w:vAlign w:val="bottom"/>
          </w:tcPr>
          <w:p w14:paraId="09128C8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2" w:type="pct"/>
            <w:vAlign w:val="bottom"/>
          </w:tcPr>
          <w:p w14:paraId="27A4FEB7"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2" w:type="pct"/>
            <w:vAlign w:val="bottom"/>
          </w:tcPr>
          <w:p w14:paraId="7FCC81C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2" w:type="pct"/>
            <w:vAlign w:val="bottom"/>
          </w:tcPr>
          <w:p w14:paraId="639AA9B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2" w:type="pct"/>
            <w:vAlign w:val="bottom"/>
          </w:tcPr>
          <w:p w14:paraId="3F6CF0C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2" w:type="pct"/>
            <w:vAlign w:val="bottom"/>
          </w:tcPr>
          <w:p w14:paraId="515CBC7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2" w:type="pct"/>
            <w:vAlign w:val="bottom"/>
          </w:tcPr>
          <w:p w14:paraId="6DB7A68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0" w:type="pct"/>
            <w:vAlign w:val="bottom"/>
          </w:tcPr>
          <w:p w14:paraId="397B8B50" w14:textId="77777777" w:rsidR="00D83E33" w:rsidRPr="001B330E" w:rsidRDefault="00D83E33">
            <w:pPr>
              <w:widowControl w:val="0"/>
              <w:pBdr>
                <w:top w:val="nil"/>
                <w:left w:val="nil"/>
                <w:bottom w:val="nil"/>
                <w:right w:val="nil"/>
                <w:between w:val="nil"/>
              </w:pBdr>
              <w:jc w:val="right"/>
              <w:rPr>
                <w:color w:val="000000"/>
                <w:sz w:val="17"/>
                <w:szCs w:val="17"/>
              </w:rPr>
            </w:pPr>
          </w:p>
        </w:tc>
      </w:tr>
      <w:tr w:rsidR="00D83E33" w:rsidRPr="008B6A03" w14:paraId="22ECDAC4" w14:textId="77777777" w:rsidTr="001B330E">
        <w:trPr>
          <w:trHeight w:val="23"/>
        </w:trPr>
        <w:tc>
          <w:tcPr>
            <w:tcW w:w="1626" w:type="pct"/>
            <w:vAlign w:val="bottom"/>
          </w:tcPr>
          <w:p w14:paraId="30CEC2A0" w14:textId="77777777" w:rsidR="00D83E33" w:rsidRPr="008B6A03" w:rsidRDefault="00BC4072">
            <w:pPr>
              <w:widowControl w:val="0"/>
              <w:pBdr>
                <w:top w:val="nil"/>
                <w:left w:val="nil"/>
                <w:bottom w:val="nil"/>
                <w:right w:val="nil"/>
                <w:between w:val="nil"/>
              </w:pBdr>
              <w:rPr>
                <w:b/>
                <w:i/>
                <w:color w:val="000000"/>
              </w:rPr>
            </w:pPr>
            <w:r w:rsidRPr="008B6A03">
              <w:rPr>
                <w:b/>
                <w:i/>
                <w:color w:val="000000"/>
              </w:rPr>
              <w:t xml:space="preserve">Other financial assets </w:t>
            </w:r>
          </w:p>
        </w:tc>
        <w:tc>
          <w:tcPr>
            <w:tcW w:w="422" w:type="pct"/>
            <w:vAlign w:val="bottom"/>
          </w:tcPr>
          <w:p w14:paraId="070D367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0EE370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DC13D2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95359C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DA72CA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16835C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5E478CC"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08FB11F7"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EB2D177" w14:textId="77777777" w:rsidTr="001B330E">
        <w:trPr>
          <w:trHeight w:val="23"/>
        </w:trPr>
        <w:tc>
          <w:tcPr>
            <w:tcW w:w="1626" w:type="pct"/>
            <w:vAlign w:val="bottom"/>
          </w:tcPr>
          <w:p w14:paraId="73916738" w14:textId="77777777" w:rsidR="00D83E33" w:rsidRPr="008B6A03" w:rsidRDefault="00BC4072">
            <w:pPr>
              <w:widowControl w:val="0"/>
              <w:pBdr>
                <w:top w:val="nil"/>
                <w:left w:val="nil"/>
                <w:bottom w:val="nil"/>
                <w:right w:val="nil"/>
                <w:between w:val="nil"/>
              </w:pBdr>
              <w:rPr>
                <w:color w:val="000000"/>
              </w:rPr>
            </w:pPr>
            <w:r w:rsidRPr="008B6A03">
              <w:rPr>
                <w:color w:val="000000"/>
              </w:rPr>
              <w:t>- Foreign exchange forward contracts</w:t>
            </w:r>
          </w:p>
        </w:tc>
        <w:tc>
          <w:tcPr>
            <w:tcW w:w="422" w:type="pct"/>
            <w:vAlign w:val="bottom"/>
          </w:tcPr>
          <w:p w14:paraId="2C31BD4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B369F2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984D05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739A1C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8FF1E2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E34FBC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1AD2A23"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7B3656F4"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72AAD364" w14:textId="77777777" w:rsidTr="001B330E">
        <w:trPr>
          <w:trHeight w:val="23"/>
        </w:trPr>
        <w:tc>
          <w:tcPr>
            <w:tcW w:w="1626" w:type="pct"/>
            <w:vAlign w:val="bottom"/>
          </w:tcPr>
          <w:p w14:paraId="5D1AA1C3" w14:textId="77777777" w:rsidR="00D83E33" w:rsidRPr="008B6A03" w:rsidRDefault="00BC4072">
            <w:pPr>
              <w:widowControl w:val="0"/>
              <w:pBdr>
                <w:top w:val="nil"/>
                <w:left w:val="nil"/>
                <w:bottom w:val="nil"/>
                <w:right w:val="nil"/>
                <w:between w:val="nil"/>
              </w:pBdr>
              <w:rPr>
                <w:color w:val="000000"/>
              </w:rPr>
            </w:pPr>
            <w:r w:rsidRPr="008B6A03">
              <w:rPr>
                <w:color w:val="000000"/>
              </w:rPr>
              <w:t>- Precious metals forward contracts</w:t>
            </w:r>
          </w:p>
        </w:tc>
        <w:tc>
          <w:tcPr>
            <w:tcW w:w="422" w:type="pct"/>
            <w:vAlign w:val="bottom"/>
          </w:tcPr>
          <w:p w14:paraId="61BCA67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D4AB09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564914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E2537A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4D45DE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22434A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2049F31"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665C014D"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52FBE536" w14:textId="77777777" w:rsidTr="001B330E">
        <w:trPr>
          <w:trHeight w:val="23"/>
        </w:trPr>
        <w:tc>
          <w:tcPr>
            <w:tcW w:w="1626" w:type="pct"/>
            <w:vAlign w:val="bottom"/>
          </w:tcPr>
          <w:p w14:paraId="1E7C9D2A" w14:textId="77777777" w:rsidR="00D83E33" w:rsidRPr="008B6A03" w:rsidRDefault="00BC4072">
            <w:pPr>
              <w:widowControl w:val="0"/>
              <w:pBdr>
                <w:top w:val="nil"/>
                <w:left w:val="nil"/>
                <w:bottom w:val="nil"/>
                <w:right w:val="nil"/>
                <w:between w:val="nil"/>
              </w:pBdr>
              <w:rPr>
                <w:color w:val="000000"/>
              </w:rPr>
            </w:pPr>
            <w:r w:rsidRPr="008B6A03">
              <w:rPr>
                <w:color w:val="000000"/>
              </w:rPr>
              <w:t>- Other financial derivatives</w:t>
            </w:r>
          </w:p>
        </w:tc>
        <w:tc>
          <w:tcPr>
            <w:tcW w:w="422" w:type="pct"/>
            <w:vAlign w:val="bottom"/>
          </w:tcPr>
          <w:p w14:paraId="2DA6153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788F1B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BACDFCE"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212A6C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094B19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36E394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6988547"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043DD408"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E118E7E" w14:textId="77777777" w:rsidTr="001B330E">
        <w:trPr>
          <w:trHeight w:val="23"/>
        </w:trPr>
        <w:tc>
          <w:tcPr>
            <w:tcW w:w="1626" w:type="pct"/>
            <w:vAlign w:val="bottom"/>
          </w:tcPr>
          <w:p w14:paraId="24952C33" w14:textId="77777777" w:rsidR="00D83E33" w:rsidRPr="008B6A03" w:rsidRDefault="00BC4072">
            <w:pPr>
              <w:widowControl w:val="0"/>
              <w:pBdr>
                <w:top w:val="nil"/>
                <w:left w:val="nil"/>
                <w:bottom w:val="nil"/>
                <w:right w:val="nil"/>
                <w:between w:val="nil"/>
              </w:pBdr>
              <w:rPr>
                <w:color w:val="000000"/>
              </w:rPr>
            </w:pPr>
            <w:r w:rsidRPr="008B6A03">
              <w:rPr>
                <w:color w:val="000000"/>
              </w:rPr>
              <w:t xml:space="preserve">- Other </w:t>
            </w:r>
          </w:p>
          <w:p w14:paraId="09CD635E" w14:textId="02C4EB1F" w:rsidR="00D83E33" w:rsidRPr="008B6A03" w:rsidRDefault="00D83E33">
            <w:pPr>
              <w:widowControl w:val="0"/>
              <w:pBdr>
                <w:top w:val="nil"/>
                <w:left w:val="nil"/>
                <w:bottom w:val="nil"/>
                <w:right w:val="nil"/>
                <w:between w:val="nil"/>
              </w:pBdr>
              <w:rPr>
                <w:color w:val="000000"/>
              </w:rPr>
            </w:pPr>
          </w:p>
        </w:tc>
        <w:tc>
          <w:tcPr>
            <w:tcW w:w="422" w:type="pct"/>
            <w:vAlign w:val="bottom"/>
          </w:tcPr>
          <w:p w14:paraId="2769C18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F320A3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DBFE12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52EC12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DB509C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543EC0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9C1D9B9"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2CCA75AF" w14:textId="77777777" w:rsidR="00D83E33" w:rsidRPr="008B6A03" w:rsidRDefault="00D83E33">
            <w:pPr>
              <w:widowControl w:val="0"/>
              <w:pBdr>
                <w:top w:val="nil"/>
                <w:left w:val="nil"/>
                <w:bottom w:val="nil"/>
                <w:right w:val="nil"/>
                <w:between w:val="nil"/>
              </w:pBdr>
              <w:jc w:val="right"/>
              <w:rPr>
                <w:color w:val="000000"/>
              </w:rPr>
            </w:pPr>
          </w:p>
        </w:tc>
      </w:tr>
      <w:tr w:rsidR="008B6A03" w:rsidRPr="008B6A03" w14:paraId="10AD7C69" w14:textId="77777777" w:rsidTr="001B330E">
        <w:trPr>
          <w:trHeight w:val="23"/>
        </w:trPr>
        <w:tc>
          <w:tcPr>
            <w:tcW w:w="1626" w:type="pct"/>
            <w:vAlign w:val="bottom"/>
          </w:tcPr>
          <w:p w14:paraId="39611791" w14:textId="77777777" w:rsidR="008B6A03" w:rsidRPr="008B6A03" w:rsidRDefault="008B6A03">
            <w:pPr>
              <w:widowControl w:val="0"/>
              <w:pBdr>
                <w:top w:val="nil"/>
                <w:left w:val="nil"/>
                <w:bottom w:val="nil"/>
                <w:right w:val="nil"/>
                <w:between w:val="nil"/>
              </w:pBdr>
              <w:rPr>
                <w:b/>
                <w:smallCaps/>
                <w:color w:val="000000"/>
              </w:rPr>
            </w:pPr>
          </w:p>
        </w:tc>
        <w:tc>
          <w:tcPr>
            <w:tcW w:w="422" w:type="pct"/>
            <w:vAlign w:val="bottom"/>
          </w:tcPr>
          <w:p w14:paraId="5CD1F44F"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7D966458"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0D948885"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1646163C"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19CFACF4"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4F2AC61C" w14:textId="77777777" w:rsidR="008B6A03" w:rsidRPr="008B6A03" w:rsidRDefault="008B6A03">
            <w:pPr>
              <w:widowControl w:val="0"/>
              <w:pBdr>
                <w:top w:val="nil"/>
                <w:left w:val="nil"/>
                <w:bottom w:val="nil"/>
                <w:right w:val="nil"/>
                <w:between w:val="nil"/>
              </w:pBdr>
              <w:jc w:val="right"/>
              <w:rPr>
                <w:color w:val="000000"/>
              </w:rPr>
            </w:pPr>
          </w:p>
        </w:tc>
        <w:tc>
          <w:tcPr>
            <w:tcW w:w="422" w:type="pct"/>
            <w:vAlign w:val="bottom"/>
          </w:tcPr>
          <w:p w14:paraId="36FF063A" w14:textId="77777777" w:rsidR="008B6A03" w:rsidRPr="008B6A03" w:rsidRDefault="008B6A03">
            <w:pPr>
              <w:widowControl w:val="0"/>
              <w:pBdr>
                <w:top w:val="nil"/>
                <w:left w:val="nil"/>
                <w:bottom w:val="nil"/>
                <w:right w:val="nil"/>
                <w:between w:val="nil"/>
              </w:pBdr>
              <w:jc w:val="right"/>
              <w:rPr>
                <w:color w:val="000000"/>
              </w:rPr>
            </w:pPr>
          </w:p>
        </w:tc>
        <w:tc>
          <w:tcPr>
            <w:tcW w:w="420" w:type="pct"/>
            <w:vAlign w:val="bottom"/>
          </w:tcPr>
          <w:p w14:paraId="709EA1AE" w14:textId="77777777" w:rsidR="008B6A03" w:rsidRPr="008B6A03" w:rsidRDefault="008B6A03">
            <w:pPr>
              <w:widowControl w:val="0"/>
              <w:pBdr>
                <w:top w:val="nil"/>
                <w:left w:val="nil"/>
                <w:bottom w:val="nil"/>
                <w:right w:val="nil"/>
                <w:between w:val="nil"/>
              </w:pBdr>
              <w:jc w:val="right"/>
              <w:rPr>
                <w:color w:val="000000"/>
              </w:rPr>
            </w:pPr>
          </w:p>
        </w:tc>
      </w:tr>
      <w:tr w:rsidR="00D83E33" w:rsidRPr="008B6A03" w14:paraId="6C18B91F" w14:textId="77777777" w:rsidTr="001B330E">
        <w:trPr>
          <w:trHeight w:val="23"/>
        </w:trPr>
        <w:tc>
          <w:tcPr>
            <w:tcW w:w="1626" w:type="pct"/>
            <w:vAlign w:val="bottom"/>
          </w:tcPr>
          <w:p w14:paraId="32946266" w14:textId="77777777" w:rsidR="00D83E33" w:rsidRPr="008B6A03" w:rsidRDefault="00BC4072">
            <w:pPr>
              <w:widowControl w:val="0"/>
              <w:pBdr>
                <w:top w:val="nil"/>
                <w:left w:val="nil"/>
                <w:bottom w:val="nil"/>
                <w:right w:val="nil"/>
                <w:between w:val="nil"/>
              </w:pBdr>
              <w:rPr>
                <w:b/>
                <w:i/>
                <w:color w:val="000000"/>
              </w:rPr>
            </w:pPr>
            <w:r w:rsidRPr="008B6A03">
              <w:rPr>
                <w:b/>
                <w:smallCaps/>
                <w:color w:val="000000"/>
              </w:rPr>
              <w:t>NON-FINANCIAL ASSETS</w:t>
            </w:r>
          </w:p>
        </w:tc>
        <w:tc>
          <w:tcPr>
            <w:tcW w:w="422" w:type="pct"/>
            <w:vAlign w:val="bottom"/>
          </w:tcPr>
          <w:p w14:paraId="018FA8D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F4C118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44912F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269E95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429BDB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060132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0CAF0A4"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647EB5FE"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C44EAAE" w14:textId="77777777" w:rsidTr="001B330E">
        <w:trPr>
          <w:trHeight w:val="23"/>
        </w:trPr>
        <w:tc>
          <w:tcPr>
            <w:tcW w:w="1626" w:type="pct"/>
            <w:vAlign w:val="bottom"/>
          </w:tcPr>
          <w:p w14:paraId="0B82D107" w14:textId="77777777" w:rsidR="00D83E33" w:rsidRPr="008B6A03" w:rsidRDefault="00BC4072">
            <w:pPr>
              <w:widowControl w:val="0"/>
              <w:pBdr>
                <w:top w:val="nil"/>
                <w:left w:val="nil"/>
                <w:bottom w:val="nil"/>
                <w:right w:val="nil"/>
                <w:between w:val="nil"/>
              </w:pBdr>
              <w:rPr>
                <w:b/>
                <w:color w:val="000000"/>
              </w:rPr>
            </w:pPr>
            <w:r w:rsidRPr="008B6A03">
              <w:rPr>
                <w:color w:val="000000"/>
              </w:rPr>
              <w:t xml:space="preserve">- Premises and equipment </w:t>
            </w:r>
          </w:p>
        </w:tc>
        <w:tc>
          <w:tcPr>
            <w:tcW w:w="422" w:type="pct"/>
            <w:vAlign w:val="bottom"/>
          </w:tcPr>
          <w:p w14:paraId="3499A94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5FFB0F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D34684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E90DA9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61D825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51DBD5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0F47604"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D6023A9"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4E2D125" w14:textId="77777777" w:rsidTr="001B330E">
        <w:trPr>
          <w:trHeight w:val="23"/>
        </w:trPr>
        <w:tc>
          <w:tcPr>
            <w:tcW w:w="1626" w:type="pct"/>
            <w:vAlign w:val="bottom"/>
          </w:tcPr>
          <w:p w14:paraId="6AEBE3CF" w14:textId="77777777" w:rsidR="00D83E33" w:rsidRPr="008B6A03" w:rsidRDefault="00BC4072">
            <w:pPr>
              <w:widowControl w:val="0"/>
              <w:pBdr>
                <w:top w:val="nil"/>
                <w:left w:val="nil"/>
                <w:bottom w:val="nil"/>
                <w:right w:val="nil"/>
                <w:between w:val="nil"/>
              </w:pBdr>
              <w:rPr>
                <w:b/>
                <w:color w:val="000000"/>
              </w:rPr>
            </w:pPr>
            <w:r w:rsidRPr="008B6A03">
              <w:rPr>
                <w:color w:val="000000"/>
              </w:rPr>
              <w:t>- Investment properties</w:t>
            </w:r>
          </w:p>
        </w:tc>
        <w:tc>
          <w:tcPr>
            <w:tcW w:w="422" w:type="pct"/>
            <w:vAlign w:val="bottom"/>
          </w:tcPr>
          <w:p w14:paraId="768F6AC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700CB7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48B108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60561E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789E5E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045F35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6940B79"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7888D867"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5D4B3EC7" w14:textId="77777777" w:rsidTr="001B330E">
        <w:trPr>
          <w:trHeight w:val="23"/>
        </w:trPr>
        <w:tc>
          <w:tcPr>
            <w:tcW w:w="1626" w:type="pct"/>
            <w:tcBorders>
              <w:bottom w:val="single" w:sz="4" w:space="0" w:color="000000"/>
            </w:tcBorders>
            <w:vAlign w:val="bottom"/>
          </w:tcPr>
          <w:p w14:paraId="7C7E374E" w14:textId="77777777" w:rsidR="00D83E33" w:rsidRPr="008B6A03" w:rsidRDefault="00BC4072">
            <w:pPr>
              <w:widowControl w:val="0"/>
              <w:pBdr>
                <w:top w:val="nil"/>
                <w:left w:val="nil"/>
                <w:bottom w:val="nil"/>
                <w:right w:val="nil"/>
                <w:between w:val="nil"/>
              </w:pBdr>
              <w:rPr>
                <w:color w:val="000000"/>
              </w:rPr>
            </w:pPr>
            <w:r w:rsidRPr="008B6A03">
              <w:rPr>
                <w:color w:val="000000"/>
              </w:rPr>
              <w:t> </w:t>
            </w:r>
          </w:p>
        </w:tc>
        <w:tc>
          <w:tcPr>
            <w:tcW w:w="422" w:type="pct"/>
            <w:tcBorders>
              <w:bottom w:val="single" w:sz="4" w:space="0" w:color="000000"/>
            </w:tcBorders>
            <w:vAlign w:val="bottom"/>
          </w:tcPr>
          <w:p w14:paraId="111C9463"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107566EB"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02FA0DC2"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4DEE6A6C"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4E758BC0"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0E7F1F6B"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3DE4F71B" w14:textId="77777777" w:rsidR="00D83E33" w:rsidRPr="008B6A03" w:rsidRDefault="00D83E33">
            <w:pPr>
              <w:widowControl w:val="0"/>
              <w:pBdr>
                <w:top w:val="nil"/>
                <w:left w:val="nil"/>
                <w:bottom w:val="nil"/>
                <w:right w:val="nil"/>
                <w:between w:val="nil"/>
              </w:pBdr>
              <w:jc w:val="right"/>
              <w:rPr>
                <w:color w:val="000000"/>
              </w:rPr>
            </w:pPr>
          </w:p>
        </w:tc>
        <w:tc>
          <w:tcPr>
            <w:tcW w:w="420" w:type="pct"/>
            <w:tcBorders>
              <w:bottom w:val="single" w:sz="4" w:space="0" w:color="000000"/>
            </w:tcBorders>
            <w:vAlign w:val="bottom"/>
          </w:tcPr>
          <w:p w14:paraId="13E8993C"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14FA79AD" w14:textId="77777777" w:rsidTr="001B330E">
        <w:trPr>
          <w:trHeight w:val="23"/>
        </w:trPr>
        <w:tc>
          <w:tcPr>
            <w:tcW w:w="1626" w:type="pct"/>
            <w:vAlign w:val="bottom"/>
          </w:tcPr>
          <w:p w14:paraId="2AB44A09" w14:textId="77777777" w:rsidR="00D83E33" w:rsidRPr="008B6A03" w:rsidRDefault="00BC4072">
            <w:pPr>
              <w:widowControl w:val="0"/>
              <w:pBdr>
                <w:top w:val="nil"/>
                <w:left w:val="nil"/>
                <w:bottom w:val="nil"/>
                <w:right w:val="nil"/>
                <w:between w:val="nil"/>
              </w:pBdr>
              <w:rPr>
                <w:color w:val="000000"/>
              </w:rPr>
            </w:pPr>
            <w:r w:rsidRPr="008B6A03">
              <w:rPr>
                <w:color w:val="000000"/>
              </w:rPr>
              <w:t> </w:t>
            </w:r>
          </w:p>
        </w:tc>
        <w:tc>
          <w:tcPr>
            <w:tcW w:w="422" w:type="pct"/>
            <w:vAlign w:val="bottom"/>
          </w:tcPr>
          <w:p w14:paraId="61890AC4" w14:textId="77777777" w:rsidR="00D83E33" w:rsidRPr="008B6A03" w:rsidRDefault="00D83E33">
            <w:pPr>
              <w:widowControl w:val="0"/>
              <w:pBdr>
                <w:top w:val="nil"/>
                <w:left w:val="nil"/>
                <w:bottom w:val="nil"/>
                <w:right w:val="nil"/>
                <w:between w:val="nil"/>
              </w:pBdr>
              <w:jc w:val="right"/>
              <w:rPr>
                <w:b/>
                <w:color w:val="000000"/>
              </w:rPr>
            </w:pPr>
          </w:p>
        </w:tc>
        <w:tc>
          <w:tcPr>
            <w:tcW w:w="422" w:type="pct"/>
            <w:vAlign w:val="bottom"/>
          </w:tcPr>
          <w:p w14:paraId="616EF6B0"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78FAB6F2"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4549492A"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2788B5CA"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42B2BE94"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5E461672" w14:textId="77777777" w:rsidR="00D83E33" w:rsidRPr="008B6A03" w:rsidRDefault="00D83E33">
            <w:pPr>
              <w:widowControl w:val="0"/>
              <w:pBdr>
                <w:top w:val="nil"/>
                <w:left w:val="nil"/>
                <w:bottom w:val="nil"/>
                <w:right w:val="nil"/>
                <w:between w:val="nil"/>
              </w:pBdr>
              <w:jc w:val="right"/>
              <w:rPr>
                <w:b/>
                <w:color w:val="000000"/>
              </w:rPr>
            </w:pPr>
          </w:p>
        </w:tc>
        <w:tc>
          <w:tcPr>
            <w:tcW w:w="420" w:type="pct"/>
            <w:tcBorders>
              <w:top w:val="single" w:sz="4" w:space="0" w:color="000000"/>
            </w:tcBorders>
            <w:vAlign w:val="bottom"/>
          </w:tcPr>
          <w:p w14:paraId="41D7F5B8" w14:textId="77777777" w:rsidR="00D83E33" w:rsidRPr="008B6A03" w:rsidRDefault="00D83E33">
            <w:pPr>
              <w:widowControl w:val="0"/>
              <w:pBdr>
                <w:top w:val="nil"/>
                <w:left w:val="nil"/>
                <w:bottom w:val="nil"/>
                <w:right w:val="nil"/>
                <w:between w:val="nil"/>
              </w:pBdr>
              <w:jc w:val="right"/>
              <w:rPr>
                <w:b/>
                <w:color w:val="000000"/>
              </w:rPr>
            </w:pPr>
          </w:p>
        </w:tc>
      </w:tr>
      <w:tr w:rsidR="00D83E33" w:rsidRPr="008B6A03" w14:paraId="69C355DF" w14:textId="77777777" w:rsidTr="001B330E">
        <w:trPr>
          <w:trHeight w:val="23"/>
        </w:trPr>
        <w:tc>
          <w:tcPr>
            <w:tcW w:w="1626" w:type="pct"/>
            <w:vAlign w:val="bottom"/>
          </w:tcPr>
          <w:p w14:paraId="681A8F8D" w14:textId="77777777" w:rsidR="00D83E33" w:rsidRPr="008B6A03" w:rsidRDefault="00BC4072">
            <w:pPr>
              <w:widowControl w:val="0"/>
              <w:pBdr>
                <w:top w:val="nil"/>
                <w:left w:val="nil"/>
                <w:bottom w:val="nil"/>
                <w:right w:val="nil"/>
                <w:between w:val="nil"/>
              </w:pBdr>
              <w:rPr>
                <w:b/>
                <w:smallCaps/>
                <w:color w:val="000000"/>
              </w:rPr>
            </w:pPr>
            <w:r w:rsidRPr="008B6A03">
              <w:rPr>
                <w:b/>
                <w:smallCaps/>
                <w:color w:val="000000"/>
              </w:rPr>
              <w:t xml:space="preserve">TOTAL ASSETS WITH RECURRING FAIR VALUE MEASUREMENTS </w:t>
            </w:r>
          </w:p>
        </w:tc>
        <w:tc>
          <w:tcPr>
            <w:tcW w:w="422" w:type="pct"/>
            <w:vAlign w:val="bottom"/>
          </w:tcPr>
          <w:p w14:paraId="5E020CC8"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0FB13877"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1CCFDE9C"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6D9BD50B"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0E49070D"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22A04189"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78FEE701" w14:textId="77777777" w:rsidR="00D83E33" w:rsidRPr="008B6A03" w:rsidRDefault="00D83E33">
            <w:pPr>
              <w:widowControl w:val="0"/>
              <w:pBdr>
                <w:top w:val="nil"/>
                <w:left w:val="nil"/>
                <w:bottom w:val="nil"/>
                <w:right w:val="nil"/>
                <w:between w:val="nil"/>
              </w:pBdr>
              <w:jc w:val="right"/>
              <w:rPr>
                <w:b/>
                <w:smallCaps/>
                <w:color w:val="000000"/>
              </w:rPr>
            </w:pPr>
          </w:p>
        </w:tc>
        <w:tc>
          <w:tcPr>
            <w:tcW w:w="420" w:type="pct"/>
            <w:vAlign w:val="bottom"/>
          </w:tcPr>
          <w:p w14:paraId="65F10114" w14:textId="77777777" w:rsidR="00D83E33" w:rsidRPr="008B6A03" w:rsidRDefault="00D83E33">
            <w:pPr>
              <w:widowControl w:val="0"/>
              <w:pBdr>
                <w:top w:val="nil"/>
                <w:left w:val="nil"/>
                <w:bottom w:val="nil"/>
                <w:right w:val="nil"/>
                <w:between w:val="nil"/>
              </w:pBdr>
              <w:jc w:val="right"/>
              <w:rPr>
                <w:b/>
                <w:smallCaps/>
                <w:color w:val="000000"/>
              </w:rPr>
            </w:pPr>
          </w:p>
        </w:tc>
      </w:tr>
      <w:tr w:rsidR="00D83E33" w:rsidRPr="008B6A03" w14:paraId="64266762" w14:textId="77777777" w:rsidTr="001B330E">
        <w:trPr>
          <w:trHeight w:val="23"/>
        </w:trPr>
        <w:tc>
          <w:tcPr>
            <w:tcW w:w="1626" w:type="pct"/>
            <w:tcBorders>
              <w:bottom w:val="single" w:sz="12" w:space="0" w:color="000000"/>
            </w:tcBorders>
            <w:shd w:val="clear" w:color="auto" w:fill="auto"/>
            <w:vAlign w:val="bottom"/>
          </w:tcPr>
          <w:p w14:paraId="05C244A6" w14:textId="77777777" w:rsidR="00D83E33" w:rsidRPr="008B6A03" w:rsidRDefault="00BC4072">
            <w:pPr>
              <w:widowControl w:val="0"/>
            </w:pPr>
            <w:r w:rsidRPr="008B6A03">
              <w:t> </w:t>
            </w:r>
          </w:p>
        </w:tc>
        <w:tc>
          <w:tcPr>
            <w:tcW w:w="422" w:type="pct"/>
            <w:tcBorders>
              <w:bottom w:val="single" w:sz="12" w:space="0" w:color="000000"/>
            </w:tcBorders>
            <w:shd w:val="clear" w:color="auto" w:fill="auto"/>
            <w:vAlign w:val="bottom"/>
          </w:tcPr>
          <w:p w14:paraId="08D058B8"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3BE8381A"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56BD0C32"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2D89B055"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163E8260"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771C5A03"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15B62DB0" w14:textId="77777777" w:rsidR="00D83E33" w:rsidRPr="008B6A03" w:rsidRDefault="00D83E33">
            <w:pPr>
              <w:widowControl w:val="0"/>
              <w:pBdr>
                <w:top w:val="nil"/>
                <w:left w:val="nil"/>
                <w:bottom w:val="nil"/>
                <w:right w:val="nil"/>
                <w:between w:val="nil"/>
              </w:pBdr>
              <w:jc w:val="right"/>
              <w:rPr>
                <w:b/>
                <w:color w:val="000000"/>
              </w:rPr>
            </w:pPr>
          </w:p>
        </w:tc>
        <w:tc>
          <w:tcPr>
            <w:tcW w:w="420" w:type="pct"/>
            <w:tcBorders>
              <w:bottom w:val="single" w:sz="12" w:space="0" w:color="000000"/>
            </w:tcBorders>
            <w:vAlign w:val="bottom"/>
          </w:tcPr>
          <w:p w14:paraId="09037183" w14:textId="77777777" w:rsidR="00D83E33" w:rsidRPr="008B6A03" w:rsidRDefault="00D83E33">
            <w:pPr>
              <w:widowControl w:val="0"/>
              <w:pBdr>
                <w:top w:val="nil"/>
                <w:left w:val="nil"/>
                <w:bottom w:val="nil"/>
                <w:right w:val="nil"/>
                <w:between w:val="nil"/>
              </w:pBdr>
              <w:jc w:val="right"/>
              <w:rPr>
                <w:b/>
                <w:color w:val="000000"/>
              </w:rPr>
            </w:pPr>
          </w:p>
        </w:tc>
      </w:tr>
      <w:tr w:rsidR="00D83E33" w:rsidRPr="008B6A03" w14:paraId="1FD315FD" w14:textId="77777777" w:rsidTr="001B330E">
        <w:trPr>
          <w:trHeight w:val="23"/>
        </w:trPr>
        <w:tc>
          <w:tcPr>
            <w:tcW w:w="1626" w:type="pct"/>
            <w:tcBorders>
              <w:top w:val="single" w:sz="4" w:space="0" w:color="000000"/>
            </w:tcBorders>
            <w:vAlign w:val="bottom"/>
          </w:tcPr>
          <w:p w14:paraId="30590EAB" w14:textId="77777777" w:rsidR="00D83E33" w:rsidRPr="008B6A03" w:rsidRDefault="00BC4072">
            <w:pPr>
              <w:widowControl w:val="0"/>
              <w:pBdr>
                <w:top w:val="nil"/>
                <w:left w:val="nil"/>
                <w:bottom w:val="nil"/>
                <w:right w:val="nil"/>
                <w:between w:val="nil"/>
              </w:pBdr>
              <w:jc w:val="center"/>
              <w:rPr>
                <w:b/>
                <w:color w:val="000000"/>
              </w:rPr>
            </w:pPr>
            <w:r w:rsidRPr="008B6A03">
              <w:rPr>
                <w:b/>
                <w:color w:val="000000"/>
              </w:rPr>
              <w:t> </w:t>
            </w:r>
          </w:p>
        </w:tc>
        <w:tc>
          <w:tcPr>
            <w:tcW w:w="422" w:type="pct"/>
            <w:tcBorders>
              <w:top w:val="single" w:sz="4" w:space="0" w:color="000000"/>
            </w:tcBorders>
            <w:vAlign w:val="bottom"/>
          </w:tcPr>
          <w:p w14:paraId="63947775"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top w:val="single" w:sz="4" w:space="0" w:color="000000"/>
            </w:tcBorders>
            <w:vAlign w:val="bottom"/>
          </w:tcPr>
          <w:p w14:paraId="51B7AC54"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top w:val="single" w:sz="4" w:space="0" w:color="000000"/>
            </w:tcBorders>
            <w:vAlign w:val="bottom"/>
          </w:tcPr>
          <w:p w14:paraId="0E5AF0C7"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top w:val="single" w:sz="4" w:space="0" w:color="000000"/>
            </w:tcBorders>
            <w:vAlign w:val="bottom"/>
          </w:tcPr>
          <w:p w14:paraId="51D3C919"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44D6B6DF"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7C326D56"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359984C3" w14:textId="77777777" w:rsidR="00D83E33" w:rsidRPr="008B6A03" w:rsidRDefault="00D83E33">
            <w:pPr>
              <w:widowControl w:val="0"/>
              <w:pBdr>
                <w:top w:val="nil"/>
                <w:left w:val="nil"/>
                <w:bottom w:val="nil"/>
                <w:right w:val="nil"/>
                <w:between w:val="nil"/>
              </w:pBdr>
              <w:jc w:val="right"/>
              <w:rPr>
                <w:b/>
                <w:color w:val="000000"/>
              </w:rPr>
            </w:pPr>
          </w:p>
        </w:tc>
        <w:tc>
          <w:tcPr>
            <w:tcW w:w="420" w:type="pct"/>
            <w:tcBorders>
              <w:top w:val="single" w:sz="4" w:space="0" w:color="000000"/>
            </w:tcBorders>
            <w:vAlign w:val="bottom"/>
          </w:tcPr>
          <w:p w14:paraId="5D8704E1" w14:textId="77777777" w:rsidR="00D83E33" w:rsidRPr="008B6A03" w:rsidRDefault="00D83E33">
            <w:pPr>
              <w:widowControl w:val="0"/>
              <w:pBdr>
                <w:top w:val="nil"/>
                <w:left w:val="nil"/>
                <w:bottom w:val="nil"/>
                <w:right w:val="nil"/>
                <w:between w:val="nil"/>
              </w:pBdr>
              <w:jc w:val="right"/>
              <w:rPr>
                <w:b/>
                <w:color w:val="000000"/>
              </w:rPr>
            </w:pPr>
          </w:p>
        </w:tc>
      </w:tr>
      <w:tr w:rsidR="00D83E33" w:rsidRPr="008B6A03" w14:paraId="7DBD880A" w14:textId="77777777" w:rsidTr="001B330E">
        <w:trPr>
          <w:trHeight w:val="23"/>
        </w:trPr>
        <w:tc>
          <w:tcPr>
            <w:tcW w:w="1626" w:type="pct"/>
            <w:vAlign w:val="bottom"/>
          </w:tcPr>
          <w:p w14:paraId="7FFF541D" w14:textId="77777777" w:rsidR="00D83E33" w:rsidRPr="008B6A03" w:rsidRDefault="00BC4072">
            <w:pPr>
              <w:widowControl w:val="0"/>
              <w:pBdr>
                <w:top w:val="nil"/>
                <w:left w:val="nil"/>
                <w:bottom w:val="nil"/>
                <w:right w:val="nil"/>
                <w:between w:val="nil"/>
              </w:pBdr>
              <w:rPr>
                <w:smallCaps/>
                <w:color w:val="000000"/>
              </w:rPr>
            </w:pPr>
            <w:r w:rsidRPr="008B6A03">
              <w:rPr>
                <w:b/>
                <w:smallCaps/>
                <w:color w:val="000000"/>
              </w:rPr>
              <w:t>LIABILITIES CARRIED AT FAIR VALUE</w:t>
            </w:r>
          </w:p>
        </w:tc>
        <w:tc>
          <w:tcPr>
            <w:tcW w:w="422" w:type="pct"/>
            <w:vAlign w:val="bottom"/>
          </w:tcPr>
          <w:p w14:paraId="014AC823"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2CEC93E6"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0AF2A657"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19E4170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E5471A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899BAE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CA4D363"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0A4E6D23"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33BF799" w14:textId="77777777" w:rsidTr="001B330E">
        <w:trPr>
          <w:trHeight w:val="23"/>
        </w:trPr>
        <w:tc>
          <w:tcPr>
            <w:tcW w:w="1626" w:type="pct"/>
            <w:vAlign w:val="bottom"/>
          </w:tcPr>
          <w:p w14:paraId="6B18EDE7" w14:textId="77777777" w:rsidR="00D83E33" w:rsidRPr="008B6A03" w:rsidRDefault="00BC4072">
            <w:pPr>
              <w:widowControl w:val="0"/>
              <w:pBdr>
                <w:top w:val="nil"/>
                <w:left w:val="nil"/>
                <w:bottom w:val="nil"/>
                <w:right w:val="nil"/>
                <w:between w:val="nil"/>
              </w:pBdr>
              <w:rPr>
                <w:smallCaps/>
                <w:color w:val="000000"/>
              </w:rPr>
            </w:pPr>
            <w:r w:rsidRPr="008B6A03">
              <w:rPr>
                <w:b/>
                <w:smallCaps/>
                <w:color w:val="000000"/>
              </w:rPr>
              <w:t xml:space="preserve">FINANCIAL LIABILITIES </w:t>
            </w:r>
          </w:p>
        </w:tc>
        <w:tc>
          <w:tcPr>
            <w:tcW w:w="422" w:type="pct"/>
            <w:vAlign w:val="bottom"/>
          </w:tcPr>
          <w:p w14:paraId="366BA3F1"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5A7D131D"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0B533314"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11DB3D3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2C739C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FFF300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BE235A4"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003097CB"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940352F" w14:textId="77777777" w:rsidTr="001B330E">
        <w:trPr>
          <w:trHeight w:val="23"/>
        </w:trPr>
        <w:tc>
          <w:tcPr>
            <w:tcW w:w="1626" w:type="pct"/>
            <w:vAlign w:val="bottom"/>
          </w:tcPr>
          <w:p w14:paraId="0E9692E9" w14:textId="77777777" w:rsidR="00D83E33" w:rsidRPr="008B6A03" w:rsidRDefault="00BC4072">
            <w:pPr>
              <w:widowControl w:val="0"/>
              <w:pBdr>
                <w:top w:val="nil"/>
                <w:left w:val="nil"/>
                <w:bottom w:val="nil"/>
                <w:right w:val="nil"/>
                <w:between w:val="nil"/>
              </w:pBdr>
              <w:rPr>
                <w:color w:val="000000"/>
              </w:rPr>
            </w:pPr>
            <w:r w:rsidRPr="008B6A03">
              <w:rPr>
                <w:b/>
                <w:i/>
                <w:color w:val="000000"/>
              </w:rPr>
              <w:t xml:space="preserve">Due to other banks </w:t>
            </w:r>
          </w:p>
        </w:tc>
        <w:tc>
          <w:tcPr>
            <w:tcW w:w="422" w:type="pct"/>
            <w:vAlign w:val="bottom"/>
          </w:tcPr>
          <w:p w14:paraId="418EACD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98996C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E6A7F5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6A378F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865094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720D4C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190ED01"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FE1171B"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7440EEB9" w14:textId="77777777" w:rsidTr="001B330E">
        <w:trPr>
          <w:trHeight w:val="23"/>
        </w:trPr>
        <w:tc>
          <w:tcPr>
            <w:tcW w:w="1626" w:type="pct"/>
            <w:vAlign w:val="bottom"/>
          </w:tcPr>
          <w:p w14:paraId="6F4525C3" w14:textId="77777777" w:rsidR="00D83E33" w:rsidRPr="008B6A03" w:rsidRDefault="00BC4072">
            <w:pPr>
              <w:widowControl w:val="0"/>
              <w:pBdr>
                <w:top w:val="nil"/>
                <w:left w:val="nil"/>
                <w:bottom w:val="nil"/>
                <w:right w:val="nil"/>
                <w:between w:val="nil"/>
              </w:pBdr>
              <w:rPr>
                <w:color w:val="000000"/>
              </w:rPr>
            </w:pPr>
            <w:r w:rsidRPr="008B6A03">
              <w:rPr>
                <w:color w:val="000000"/>
              </w:rPr>
              <w:t>- Liability to return collateral sold or repledged</w:t>
            </w:r>
          </w:p>
        </w:tc>
        <w:tc>
          <w:tcPr>
            <w:tcW w:w="422" w:type="pct"/>
            <w:vAlign w:val="bottom"/>
          </w:tcPr>
          <w:p w14:paraId="4AC693F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F263FD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96B28C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F07B9F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67760D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CCA5BC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A3025C2"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14254125"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6D90D060" w14:textId="77777777" w:rsidTr="001B330E">
        <w:trPr>
          <w:trHeight w:val="23"/>
        </w:trPr>
        <w:tc>
          <w:tcPr>
            <w:tcW w:w="1626" w:type="pct"/>
            <w:vAlign w:val="bottom"/>
          </w:tcPr>
          <w:p w14:paraId="7A131794" w14:textId="77777777" w:rsidR="00D83E33" w:rsidRPr="008B6A03" w:rsidRDefault="00BC4072">
            <w:pPr>
              <w:widowControl w:val="0"/>
              <w:pBdr>
                <w:top w:val="nil"/>
                <w:left w:val="nil"/>
                <w:bottom w:val="nil"/>
                <w:right w:val="nil"/>
                <w:between w:val="nil"/>
              </w:pBdr>
              <w:rPr>
                <w:color w:val="000000"/>
              </w:rPr>
            </w:pPr>
            <w:r w:rsidRPr="008B6A03">
              <w:rPr>
                <w:b/>
                <w:i/>
                <w:color w:val="000000"/>
              </w:rPr>
              <w:t xml:space="preserve">Other borrowed funds </w:t>
            </w:r>
          </w:p>
        </w:tc>
        <w:tc>
          <w:tcPr>
            <w:tcW w:w="422" w:type="pct"/>
            <w:vAlign w:val="bottom"/>
          </w:tcPr>
          <w:p w14:paraId="497C8A0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9C7A20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A9FD9F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178752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534008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70562A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54A6AD9B"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195F06B3"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0FCFBC69" w14:textId="77777777" w:rsidTr="001B330E">
        <w:trPr>
          <w:trHeight w:val="23"/>
        </w:trPr>
        <w:tc>
          <w:tcPr>
            <w:tcW w:w="1626" w:type="pct"/>
            <w:vAlign w:val="bottom"/>
          </w:tcPr>
          <w:p w14:paraId="6796DA6C" w14:textId="77777777" w:rsidR="00D83E33" w:rsidRPr="008B6A03" w:rsidRDefault="00BC4072">
            <w:pPr>
              <w:widowControl w:val="0"/>
              <w:pBdr>
                <w:top w:val="nil"/>
                <w:left w:val="nil"/>
                <w:bottom w:val="nil"/>
                <w:right w:val="nil"/>
                <w:between w:val="nil"/>
              </w:pBdr>
              <w:rPr>
                <w:color w:val="000000"/>
              </w:rPr>
            </w:pPr>
            <w:r w:rsidRPr="008B6A03">
              <w:rPr>
                <w:color w:val="000000"/>
              </w:rPr>
              <w:t>- Liability to return collateral sold or repledged</w:t>
            </w:r>
          </w:p>
        </w:tc>
        <w:tc>
          <w:tcPr>
            <w:tcW w:w="422" w:type="pct"/>
            <w:vAlign w:val="bottom"/>
          </w:tcPr>
          <w:p w14:paraId="214662A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442D54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2FD5C1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CC1A60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C0B610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B96983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B598ECE"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25C84A1B"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C656CEF" w14:textId="77777777" w:rsidTr="001B330E">
        <w:trPr>
          <w:trHeight w:val="23"/>
        </w:trPr>
        <w:tc>
          <w:tcPr>
            <w:tcW w:w="1626" w:type="pct"/>
            <w:vAlign w:val="bottom"/>
          </w:tcPr>
          <w:p w14:paraId="2F7BD060" w14:textId="7870F6AF" w:rsidR="00D83E33" w:rsidRPr="008B6A03" w:rsidRDefault="00BC4072">
            <w:pPr>
              <w:widowControl w:val="0"/>
              <w:pBdr>
                <w:top w:val="nil"/>
                <w:left w:val="nil"/>
                <w:bottom w:val="nil"/>
                <w:right w:val="nil"/>
                <w:between w:val="nil"/>
              </w:pBdr>
              <w:rPr>
                <w:b/>
                <w:i/>
                <w:color w:val="000000"/>
              </w:rPr>
            </w:pPr>
            <w:r w:rsidRPr="008B6A03">
              <w:rPr>
                <w:color w:val="000000"/>
              </w:rPr>
              <w:t xml:space="preserve">- </w:t>
            </w:r>
            <w:r w:rsidR="00EB510C" w:rsidRPr="008B6A03">
              <w:rPr>
                <w:color w:val="000000"/>
              </w:rPr>
              <w:t>Other structured</w:t>
            </w:r>
            <w:r w:rsidRPr="008B6A03">
              <w:rPr>
                <w:color w:val="000000"/>
              </w:rPr>
              <w:t xml:space="preserve"> funding</w:t>
            </w:r>
          </w:p>
        </w:tc>
        <w:tc>
          <w:tcPr>
            <w:tcW w:w="422" w:type="pct"/>
            <w:vAlign w:val="bottom"/>
          </w:tcPr>
          <w:p w14:paraId="3BF5D09C"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050D36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7CBE5E0"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43E7DB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C69D04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268758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C72BE4C"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08FB512A"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9A1CF40" w14:textId="77777777" w:rsidTr="001B330E">
        <w:trPr>
          <w:trHeight w:val="23"/>
        </w:trPr>
        <w:tc>
          <w:tcPr>
            <w:tcW w:w="1626" w:type="pct"/>
            <w:vAlign w:val="bottom"/>
          </w:tcPr>
          <w:p w14:paraId="4A10DAE6" w14:textId="77777777" w:rsidR="00D83E33" w:rsidRPr="008B6A03" w:rsidRDefault="00BC4072">
            <w:pPr>
              <w:widowControl w:val="0"/>
              <w:pBdr>
                <w:top w:val="nil"/>
                <w:left w:val="nil"/>
                <w:bottom w:val="nil"/>
                <w:right w:val="nil"/>
                <w:between w:val="nil"/>
              </w:pBdr>
              <w:rPr>
                <w:color w:val="000000"/>
              </w:rPr>
            </w:pPr>
            <w:r w:rsidRPr="008B6A03">
              <w:rPr>
                <w:b/>
                <w:i/>
                <w:color w:val="000000"/>
              </w:rPr>
              <w:t xml:space="preserve">Other financial liabilities </w:t>
            </w:r>
          </w:p>
        </w:tc>
        <w:tc>
          <w:tcPr>
            <w:tcW w:w="422" w:type="pct"/>
            <w:vAlign w:val="bottom"/>
          </w:tcPr>
          <w:p w14:paraId="03AA8DB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10C398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D075D1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E8AF08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33B501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57BD6A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AE7624C"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09B2C0F9"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51CADC4F" w14:textId="77777777" w:rsidTr="001B330E">
        <w:trPr>
          <w:trHeight w:val="23"/>
        </w:trPr>
        <w:tc>
          <w:tcPr>
            <w:tcW w:w="1626" w:type="pct"/>
            <w:vAlign w:val="bottom"/>
          </w:tcPr>
          <w:p w14:paraId="3F9885F8" w14:textId="77777777" w:rsidR="00D83E33" w:rsidRPr="008B6A03" w:rsidRDefault="00BC4072">
            <w:pPr>
              <w:widowControl w:val="0"/>
              <w:pBdr>
                <w:top w:val="nil"/>
                <w:left w:val="nil"/>
                <w:bottom w:val="nil"/>
                <w:right w:val="nil"/>
                <w:between w:val="nil"/>
              </w:pBdr>
              <w:rPr>
                <w:color w:val="000000"/>
              </w:rPr>
            </w:pPr>
            <w:r w:rsidRPr="008B6A03">
              <w:rPr>
                <w:color w:val="000000"/>
              </w:rPr>
              <w:t>- Foreign exchange forward contracts</w:t>
            </w:r>
          </w:p>
        </w:tc>
        <w:tc>
          <w:tcPr>
            <w:tcW w:w="422" w:type="pct"/>
            <w:vAlign w:val="bottom"/>
          </w:tcPr>
          <w:p w14:paraId="59584C0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B6915E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9797689"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3C5542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439B1FD"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46DE04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6419B18"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4DE7D45D"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2D2CBE3" w14:textId="77777777" w:rsidTr="001B330E">
        <w:trPr>
          <w:trHeight w:val="23"/>
        </w:trPr>
        <w:tc>
          <w:tcPr>
            <w:tcW w:w="1626" w:type="pct"/>
            <w:vAlign w:val="bottom"/>
          </w:tcPr>
          <w:p w14:paraId="6E72AB72" w14:textId="77777777" w:rsidR="00D83E33" w:rsidRPr="008B6A03" w:rsidRDefault="00BC4072">
            <w:pPr>
              <w:widowControl w:val="0"/>
              <w:pBdr>
                <w:top w:val="nil"/>
                <w:left w:val="nil"/>
                <w:bottom w:val="nil"/>
                <w:right w:val="nil"/>
                <w:between w:val="nil"/>
              </w:pBdr>
              <w:rPr>
                <w:color w:val="000000"/>
              </w:rPr>
            </w:pPr>
            <w:r w:rsidRPr="008B6A03">
              <w:rPr>
                <w:color w:val="000000"/>
              </w:rPr>
              <w:t>- Other derivative financial instruments</w:t>
            </w:r>
          </w:p>
        </w:tc>
        <w:tc>
          <w:tcPr>
            <w:tcW w:w="422" w:type="pct"/>
            <w:vAlign w:val="bottom"/>
          </w:tcPr>
          <w:p w14:paraId="40283212"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115A78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6C9528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46F75AF"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3028B5A"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3A8A7D5"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83B4955"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25792024"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2EDC4E72" w14:textId="77777777" w:rsidTr="001B330E">
        <w:trPr>
          <w:trHeight w:val="23"/>
        </w:trPr>
        <w:tc>
          <w:tcPr>
            <w:tcW w:w="1626" w:type="pct"/>
            <w:vAlign w:val="bottom"/>
          </w:tcPr>
          <w:p w14:paraId="5BE48FE4" w14:textId="77777777" w:rsidR="00D83E33" w:rsidRPr="008B6A03" w:rsidRDefault="00BC4072">
            <w:pPr>
              <w:widowControl w:val="0"/>
              <w:pBdr>
                <w:top w:val="nil"/>
                <w:left w:val="nil"/>
                <w:bottom w:val="nil"/>
                <w:right w:val="nil"/>
                <w:between w:val="nil"/>
              </w:pBdr>
              <w:rPr>
                <w:color w:val="000000"/>
              </w:rPr>
            </w:pPr>
            <w:r w:rsidRPr="008B6A03">
              <w:rPr>
                <w:color w:val="000000"/>
              </w:rPr>
              <w:t>- Short sales of securities</w:t>
            </w:r>
          </w:p>
        </w:tc>
        <w:tc>
          <w:tcPr>
            <w:tcW w:w="422" w:type="pct"/>
            <w:vAlign w:val="bottom"/>
          </w:tcPr>
          <w:p w14:paraId="6A710228"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0C6C9AB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D7729D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F8C8654"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D0A15F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36F96937"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19463DB9"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36BA9469"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3B2ADC40" w14:textId="77777777" w:rsidTr="001B330E">
        <w:trPr>
          <w:trHeight w:val="23"/>
        </w:trPr>
        <w:tc>
          <w:tcPr>
            <w:tcW w:w="1626" w:type="pct"/>
            <w:vAlign w:val="bottom"/>
          </w:tcPr>
          <w:p w14:paraId="54BA3E22" w14:textId="77777777" w:rsidR="00D83E33" w:rsidRPr="008B6A03" w:rsidRDefault="00BC4072">
            <w:pPr>
              <w:widowControl w:val="0"/>
              <w:pBdr>
                <w:top w:val="nil"/>
                <w:left w:val="nil"/>
                <w:bottom w:val="nil"/>
                <w:right w:val="nil"/>
                <w:between w:val="nil"/>
              </w:pBdr>
              <w:rPr>
                <w:color w:val="000000"/>
              </w:rPr>
            </w:pPr>
            <w:r w:rsidRPr="008B6A03">
              <w:rPr>
                <w:color w:val="000000"/>
              </w:rPr>
              <w:t>- Liabilities designated at FVTPL at initial recognition</w:t>
            </w:r>
          </w:p>
        </w:tc>
        <w:tc>
          <w:tcPr>
            <w:tcW w:w="422" w:type="pct"/>
            <w:vAlign w:val="bottom"/>
          </w:tcPr>
          <w:p w14:paraId="07EE8C93"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5939E4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B2C9A9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293413B6"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4DE4FA11"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645A4CEB" w14:textId="77777777" w:rsidR="00D83E33" w:rsidRPr="008B6A03" w:rsidRDefault="00D83E33">
            <w:pPr>
              <w:widowControl w:val="0"/>
              <w:pBdr>
                <w:top w:val="nil"/>
                <w:left w:val="nil"/>
                <w:bottom w:val="nil"/>
                <w:right w:val="nil"/>
                <w:between w:val="nil"/>
              </w:pBdr>
              <w:jc w:val="right"/>
              <w:rPr>
                <w:color w:val="000000"/>
              </w:rPr>
            </w:pPr>
          </w:p>
        </w:tc>
        <w:tc>
          <w:tcPr>
            <w:tcW w:w="422" w:type="pct"/>
            <w:vAlign w:val="bottom"/>
          </w:tcPr>
          <w:p w14:paraId="7745BF0A" w14:textId="77777777" w:rsidR="00D83E33" w:rsidRPr="008B6A03" w:rsidRDefault="00D83E33">
            <w:pPr>
              <w:widowControl w:val="0"/>
              <w:pBdr>
                <w:top w:val="nil"/>
                <w:left w:val="nil"/>
                <w:bottom w:val="nil"/>
                <w:right w:val="nil"/>
                <w:between w:val="nil"/>
              </w:pBdr>
              <w:jc w:val="right"/>
              <w:rPr>
                <w:color w:val="000000"/>
              </w:rPr>
            </w:pPr>
          </w:p>
        </w:tc>
        <w:tc>
          <w:tcPr>
            <w:tcW w:w="420" w:type="pct"/>
            <w:vAlign w:val="bottom"/>
          </w:tcPr>
          <w:p w14:paraId="49BEE382"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705FE70E" w14:textId="77777777" w:rsidTr="001B330E">
        <w:trPr>
          <w:trHeight w:val="23"/>
        </w:trPr>
        <w:tc>
          <w:tcPr>
            <w:tcW w:w="1626" w:type="pct"/>
            <w:tcBorders>
              <w:bottom w:val="single" w:sz="4" w:space="0" w:color="000000"/>
            </w:tcBorders>
            <w:vAlign w:val="bottom"/>
          </w:tcPr>
          <w:p w14:paraId="76505DE9" w14:textId="77777777" w:rsidR="00D83E33" w:rsidRPr="008B6A03" w:rsidRDefault="00BC4072">
            <w:pPr>
              <w:widowControl w:val="0"/>
              <w:pBdr>
                <w:top w:val="nil"/>
                <w:left w:val="nil"/>
                <w:bottom w:val="nil"/>
                <w:right w:val="nil"/>
                <w:between w:val="nil"/>
              </w:pBdr>
              <w:rPr>
                <w:color w:val="000000"/>
              </w:rPr>
            </w:pPr>
            <w:r w:rsidRPr="008B6A03">
              <w:rPr>
                <w:color w:val="000000"/>
              </w:rPr>
              <w:t> </w:t>
            </w:r>
          </w:p>
        </w:tc>
        <w:tc>
          <w:tcPr>
            <w:tcW w:w="422" w:type="pct"/>
            <w:tcBorders>
              <w:bottom w:val="single" w:sz="4" w:space="0" w:color="000000"/>
            </w:tcBorders>
            <w:vAlign w:val="bottom"/>
          </w:tcPr>
          <w:p w14:paraId="042FAB9C"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33D72BCE"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60B85726"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1AF43A6D"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26723779"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06C6E890" w14:textId="77777777" w:rsidR="00D83E33" w:rsidRPr="008B6A03" w:rsidRDefault="00D83E33">
            <w:pPr>
              <w:widowControl w:val="0"/>
              <w:pBdr>
                <w:top w:val="nil"/>
                <w:left w:val="nil"/>
                <w:bottom w:val="nil"/>
                <w:right w:val="nil"/>
                <w:between w:val="nil"/>
              </w:pBdr>
              <w:jc w:val="right"/>
              <w:rPr>
                <w:color w:val="000000"/>
              </w:rPr>
            </w:pPr>
          </w:p>
        </w:tc>
        <w:tc>
          <w:tcPr>
            <w:tcW w:w="422" w:type="pct"/>
            <w:tcBorders>
              <w:bottom w:val="single" w:sz="4" w:space="0" w:color="000000"/>
            </w:tcBorders>
            <w:vAlign w:val="bottom"/>
          </w:tcPr>
          <w:p w14:paraId="17D49A5B" w14:textId="77777777" w:rsidR="00D83E33" w:rsidRPr="008B6A03" w:rsidRDefault="00D83E33">
            <w:pPr>
              <w:widowControl w:val="0"/>
              <w:pBdr>
                <w:top w:val="nil"/>
                <w:left w:val="nil"/>
                <w:bottom w:val="nil"/>
                <w:right w:val="nil"/>
                <w:between w:val="nil"/>
              </w:pBdr>
              <w:jc w:val="right"/>
              <w:rPr>
                <w:color w:val="000000"/>
              </w:rPr>
            </w:pPr>
          </w:p>
        </w:tc>
        <w:tc>
          <w:tcPr>
            <w:tcW w:w="420" w:type="pct"/>
            <w:tcBorders>
              <w:bottom w:val="single" w:sz="4" w:space="0" w:color="000000"/>
            </w:tcBorders>
            <w:vAlign w:val="bottom"/>
          </w:tcPr>
          <w:p w14:paraId="523257D2" w14:textId="77777777" w:rsidR="00D83E33" w:rsidRPr="008B6A03" w:rsidRDefault="00D83E33">
            <w:pPr>
              <w:widowControl w:val="0"/>
              <w:pBdr>
                <w:top w:val="nil"/>
                <w:left w:val="nil"/>
                <w:bottom w:val="nil"/>
                <w:right w:val="nil"/>
                <w:between w:val="nil"/>
              </w:pBdr>
              <w:jc w:val="right"/>
              <w:rPr>
                <w:color w:val="000000"/>
              </w:rPr>
            </w:pPr>
          </w:p>
        </w:tc>
      </w:tr>
      <w:tr w:rsidR="00D83E33" w:rsidRPr="008B6A03" w14:paraId="7D67CDBA" w14:textId="77777777" w:rsidTr="001B330E">
        <w:trPr>
          <w:trHeight w:val="23"/>
        </w:trPr>
        <w:tc>
          <w:tcPr>
            <w:tcW w:w="1626" w:type="pct"/>
            <w:vAlign w:val="bottom"/>
          </w:tcPr>
          <w:p w14:paraId="2A300723" w14:textId="77777777" w:rsidR="00D83E33" w:rsidRPr="008B6A03" w:rsidRDefault="00BC4072">
            <w:pPr>
              <w:widowControl w:val="0"/>
              <w:pBdr>
                <w:top w:val="nil"/>
                <w:left w:val="nil"/>
                <w:bottom w:val="nil"/>
                <w:right w:val="nil"/>
                <w:between w:val="nil"/>
              </w:pBdr>
              <w:rPr>
                <w:color w:val="000000"/>
              </w:rPr>
            </w:pPr>
            <w:r w:rsidRPr="008B6A03">
              <w:rPr>
                <w:color w:val="000000"/>
              </w:rPr>
              <w:t> </w:t>
            </w:r>
          </w:p>
        </w:tc>
        <w:tc>
          <w:tcPr>
            <w:tcW w:w="422" w:type="pct"/>
            <w:vAlign w:val="bottom"/>
          </w:tcPr>
          <w:p w14:paraId="0F8E97B8" w14:textId="77777777" w:rsidR="00D83E33" w:rsidRPr="008B6A03" w:rsidRDefault="00D83E33">
            <w:pPr>
              <w:widowControl w:val="0"/>
              <w:pBdr>
                <w:top w:val="nil"/>
                <w:left w:val="nil"/>
                <w:bottom w:val="nil"/>
                <w:right w:val="nil"/>
                <w:between w:val="nil"/>
              </w:pBdr>
              <w:jc w:val="right"/>
              <w:rPr>
                <w:b/>
                <w:color w:val="000000"/>
              </w:rPr>
            </w:pPr>
          </w:p>
        </w:tc>
        <w:tc>
          <w:tcPr>
            <w:tcW w:w="422" w:type="pct"/>
            <w:vAlign w:val="bottom"/>
          </w:tcPr>
          <w:p w14:paraId="6C5F24B0"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190F72A5"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00ADDD6A"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2913EB33"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7C32C623"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top w:val="single" w:sz="4" w:space="0" w:color="000000"/>
            </w:tcBorders>
            <w:vAlign w:val="bottom"/>
          </w:tcPr>
          <w:p w14:paraId="42E8246A" w14:textId="77777777" w:rsidR="00D83E33" w:rsidRPr="008B6A03" w:rsidRDefault="00D83E33">
            <w:pPr>
              <w:widowControl w:val="0"/>
              <w:pBdr>
                <w:top w:val="nil"/>
                <w:left w:val="nil"/>
                <w:bottom w:val="nil"/>
                <w:right w:val="nil"/>
                <w:between w:val="nil"/>
              </w:pBdr>
              <w:jc w:val="right"/>
              <w:rPr>
                <w:b/>
                <w:color w:val="000000"/>
              </w:rPr>
            </w:pPr>
          </w:p>
        </w:tc>
        <w:tc>
          <w:tcPr>
            <w:tcW w:w="420" w:type="pct"/>
            <w:tcBorders>
              <w:top w:val="single" w:sz="4" w:space="0" w:color="000000"/>
            </w:tcBorders>
            <w:vAlign w:val="bottom"/>
          </w:tcPr>
          <w:p w14:paraId="5EC9C3C2" w14:textId="77777777" w:rsidR="00D83E33" w:rsidRPr="008B6A03" w:rsidRDefault="00D83E33">
            <w:pPr>
              <w:widowControl w:val="0"/>
              <w:pBdr>
                <w:top w:val="nil"/>
                <w:left w:val="nil"/>
                <w:bottom w:val="nil"/>
                <w:right w:val="nil"/>
                <w:between w:val="nil"/>
              </w:pBdr>
              <w:jc w:val="right"/>
              <w:rPr>
                <w:b/>
                <w:color w:val="000000"/>
              </w:rPr>
            </w:pPr>
          </w:p>
        </w:tc>
      </w:tr>
      <w:tr w:rsidR="00D83E33" w:rsidRPr="008B6A03" w14:paraId="59F59DFC" w14:textId="77777777" w:rsidTr="001B330E">
        <w:trPr>
          <w:trHeight w:val="23"/>
        </w:trPr>
        <w:tc>
          <w:tcPr>
            <w:tcW w:w="1626" w:type="pct"/>
            <w:vAlign w:val="bottom"/>
          </w:tcPr>
          <w:p w14:paraId="124C5A20" w14:textId="77777777" w:rsidR="00D83E33" w:rsidRPr="008B6A03" w:rsidRDefault="00BC4072">
            <w:pPr>
              <w:widowControl w:val="0"/>
              <w:pBdr>
                <w:top w:val="nil"/>
                <w:left w:val="nil"/>
                <w:bottom w:val="nil"/>
                <w:right w:val="nil"/>
                <w:between w:val="nil"/>
              </w:pBdr>
              <w:rPr>
                <w:smallCaps/>
                <w:color w:val="000000"/>
              </w:rPr>
            </w:pPr>
            <w:r w:rsidRPr="008B6A03">
              <w:rPr>
                <w:b/>
                <w:smallCaps/>
                <w:color w:val="000000"/>
              </w:rPr>
              <w:t>TOTAL LIABILITIES WITH RECURRING FAIR VALUE MEASUREMENTS</w:t>
            </w:r>
          </w:p>
        </w:tc>
        <w:tc>
          <w:tcPr>
            <w:tcW w:w="422" w:type="pct"/>
            <w:vAlign w:val="bottom"/>
          </w:tcPr>
          <w:p w14:paraId="162A335A"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6C00C03C"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73DBB501"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4EBBE744"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19A3F7F1"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426BA308" w14:textId="77777777" w:rsidR="00D83E33" w:rsidRPr="008B6A03" w:rsidRDefault="00D83E33">
            <w:pPr>
              <w:widowControl w:val="0"/>
              <w:pBdr>
                <w:top w:val="nil"/>
                <w:left w:val="nil"/>
                <w:bottom w:val="nil"/>
                <w:right w:val="nil"/>
                <w:between w:val="nil"/>
              </w:pBdr>
              <w:jc w:val="right"/>
              <w:rPr>
                <w:b/>
                <w:smallCaps/>
                <w:color w:val="000000"/>
              </w:rPr>
            </w:pPr>
          </w:p>
        </w:tc>
        <w:tc>
          <w:tcPr>
            <w:tcW w:w="422" w:type="pct"/>
            <w:vAlign w:val="bottom"/>
          </w:tcPr>
          <w:p w14:paraId="365A3283" w14:textId="77777777" w:rsidR="00D83E33" w:rsidRPr="008B6A03" w:rsidRDefault="00D83E33">
            <w:pPr>
              <w:widowControl w:val="0"/>
              <w:pBdr>
                <w:top w:val="nil"/>
                <w:left w:val="nil"/>
                <w:bottom w:val="nil"/>
                <w:right w:val="nil"/>
                <w:between w:val="nil"/>
              </w:pBdr>
              <w:jc w:val="right"/>
              <w:rPr>
                <w:b/>
                <w:smallCaps/>
                <w:color w:val="000000"/>
              </w:rPr>
            </w:pPr>
          </w:p>
        </w:tc>
        <w:tc>
          <w:tcPr>
            <w:tcW w:w="420" w:type="pct"/>
            <w:vAlign w:val="bottom"/>
          </w:tcPr>
          <w:p w14:paraId="3D50A5CE" w14:textId="77777777" w:rsidR="00D83E33" w:rsidRPr="008B6A03" w:rsidRDefault="00D83E33">
            <w:pPr>
              <w:widowControl w:val="0"/>
              <w:pBdr>
                <w:top w:val="nil"/>
                <w:left w:val="nil"/>
                <w:bottom w:val="nil"/>
                <w:right w:val="nil"/>
                <w:between w:val="nil"/>
              </w:pBdr>
              <w:jc w:val="right"/>
              <w:rPr>
                <w:b/>
                <w:smallCaps/>
                <w:color w:val="000000"/>
              </w:rPr>
            </w:pPr>
          </w:p>
        </w:tc>
      </w:tr>
      <w:tr w:rsidR="00D83E33" w:rsidRPr="008B6A03" w14:paraId="41491FBE" w14:textId="77777777" w:rsidTr="001B330E">
        <w:trPr>
          <w:trHeight w:val="23"/>
        </w:trPr>
        <w:tc>
          <w:tcPr>
            <w:tcW w:w="1626" w:type="pct"/>
            <w:tcBorders>
              <w:bottom w:val="single" w:sz="12" w:space="0" w:color="000000"/>
            </w:tcBorders>
            <w:shd w:val="clear" w:color="auto" w:fill="auto"/>
            <w:vAlign w:val="bottom"/>
          </w:tcPr>
          <w:p w14:paraId="3EBAB7B2" w14:textId="77777777" w:rsidR="00D83E33" w:rsidRPr="008B6A03" w:rsidRDefault="00BC4072">
            <w:pPr>
              <w:widowControl w:val="0"/>
            </w:pPr>
            <w:r w:rsidRPr="008B6A03">
              <w:t> </w:t>
            </w:r>
          </w:p>
        </w:tc>
        <w:tc>
          <w:tcPr>
            <w:tcW w:w="422" w:type="pct"/>
            <w:tcBorders>
              <w:bottom w:val="single" w:sz="12" w:space="0" w:color="000000"/>
            </w:tcBorders>
            <w:shd w:val="clear" w:color="auto" w:fill="auto"/>
            <w:vAlign w:val="bottom"/>
          </w:tcPr>
          <w:p w14:paraId="1C25F7C4"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779ED458"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23453260"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30AA50D6"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10EBF1EB"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46AC857C" w14:textId="77777777" w:rsidR="00D83E33" w:rsidRPr="008B6A03" w:rsidRDefault="00D83E33">
            <w:pPr>
              <w:widowControl w:val="0"/>
              <w:pBdr>
                <w:top w:val="nil"/>
                <w:left w:val="nil"/>
                <w:bottom w:val="nil"/>
                <w:right w:val="nil"/>
                <w:between w:val="nil"/>
              </w:pBdr>
              <w:jc w:val="right"/>
              <w:rPr>
                <w:b/>
                <w:color w:val="000000"/>
              </w:rPr>
            </w:pPr>
          </w:p>
        </w:tc>
        <w:tc>
          <w:tcPr>
            <w:tcW w:w="422" w:type="pct"/>
            <w:tcBorders>
              <w:bottom w:val="single" w:sz="12" w:space="0" w:color="000000"/>
            </w:tcBorders>
            <w:vAlign w:val="bottom"/>
          </w:tcPr>
          <w:p w14:paraId="6389B9F7" w14:textId="77777777" w:rsidR="00D83E33" w:rsidRPr="008B6A03" w:rsidRDefault="00D83E33">
            <w:pPr>
              <w:widowControl w:val="0"/>
              <w:pBdr>
                <w:top w:val="nil"/>
                <w:left w:val="nil"/>
                <w:bottom w:val="nil"/>
                <w:right w:val="nil"/>
                <w:between w:val="nil"/>
              </w:pBdr>
              <w:jc w:val="right"/>
              <w:rPr>
                <w:b/>
                <w:color w:val="000000"/>
              </w:rPr>
            </w:pPr>
          </w:p>
        </w:tc>
        <w:tc>
          <w:tcPr>
            <w:tcW w:w="420" w:type="pct"/>
            <w:tcBorders>
              <w:bottom w:val="single" w:sz="12" w:space="0" w:color="000000"/>
            </w:tcBorders>
            <w:vAlign w:val="bottom"/>
          </w:tcPr>
          <w:p w14:paraId="35B0235B" w14:textId="77777777" w:rsidR="00D83E33" w:rsidRPr="008B6A03" w:rsidRDefault="00D83E33">
            <w:pPr>
              <w:widowControl w:val="0"/>
              <w:pBdr>
                <w:top w:val="nil"/>
                <w:left w:val="nil"/>
                <w:bottom w:val="nil"/>
                <w:right w:val="nil"/>
                <w:between w:val="nil"/>
              </w:pBdr>
              <w:jc w:val="right"/>
              <w:rPr>
                <w:b/>
                <w:color w:val="000000"/>
              </w:rPr>
            </w:pPr>
          </w:p>
        </w:tc>
      </w:tr>
    </w:tbl>
    <w:p w14:paraId="2D539304" w14:textId="09E09595"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investment in </w:t>
      </w:r>
      <w:r>
        <w:rPr>
          <w:color w:val="0000FF"/>
          <w:sz w:val="20"/>
          <w:szCs w:val="20"/>
        </w:rPr>
        <w:t>[company]</w:t>
      </w:r>
      <w:r>
        <w:rPr>
          <w:color w:val="000000"/>
          <w:sz w:val="20"/>
          <w:szCs w:val="20"/>
        </w:rPr>
        <w:t xml:space="preserve"> included in trading securities ceased to be traded in an active market in </w:t>
      </w:r>
      <w:r>
        <w:rPr>
          <w:color w:val="0000FF"/>
          <w:sz w:val="20"/>
          <w:szCs w:val="20"/>
        </w:rPr>
        <w:t xml:space="preserve">[October </w:t>
      </w:r>
      <w:r w:rsidR="00541EBC">
        <w:rPr>
          <w:color w:val="0000FF"/>
          <w:sz w:val="20"/>
          <w:szCs w:val="20"/>
        </w:rPr>
        <w:t>2023</w:t>
      </w:r>
      <w:r>
        <w:rPr>
          <w:color w:val="0000FF"/>
          <w:sz w:val="20"/>
          <w:szCs w:val="20"/>
        </w:rPr>
        <w:t>]</w:t>
      </w:r>
      <w:r>
        <w:rPr>
          <w:color w:val="000000"/>
          <w:sz w:val="20"/>
          <w:szCs w:val="20"/>
        </w:rPr>
        <w:t xml:space="preserve"> due to the deteriorating financial markets liquidity, and was reported as a level 2 instrument in the above analysis at 31</w:t>
      </w:r>
      <w:r w:rsidR="00181687">
        <w:rPr>
          <w:color w:val="000000"/>
          <w:sz w:val="20"/>
          <w:szCs w:val="20"/>
        </w:rPr>
        <w:t> December </w:t>
      </w:r>
      <w:r w:rsidR="00541EBC">
        <w:rPr>
          <w:color w:val="000000"/>
          <w:sz w:val="20"/>
          <w:szCs w:val="20"/>
        </w:rPr>
        <w:t>2023</w:t>
      </w:r>
      <w:r>
        <w:rPr>
          <w:color w:val="000000"/>
          <w:sz w:val="20"/>
          <w:szCs w:val="20"/>
        </w:rPr>
        <w:t xml:space="preserve">. In </w:t>
      </w:r>
      <w:r>
        <w:rPr>
          <w:color w:val="0000FF"/>
          <w:sz w:val="20"/>
          <w:szCs w:val="20"/>
        </w:rPr>
        <w:t xml:space="preserve">[November </w:t>
      </w:r>
      <w:r w:rsidR="00541EBC">
        <w:rPr>
          <w:color w:val="0000FF"/>
          <w:sz w:val="20"/>
          <w:szCs w:val="20"/>
        </w:rPr>
        <w:t>2024</w:t>
      </w:r>
      <w:r>
        <w:rPr>
          <w:color w:val="0000FF"/>
          <w:sz w:val="20"/>
          <w:szCs w:val="20"/>
        </w:rPr>
        <w:t>]</w:t>
      </w:r>
      <w:r>
        <w:rPr>
          <w:color w:val="000000"/>
          <w:sz w:val="20"/>
          <w:szCs w:val="20"/>
        </w:rPr>
        <w:t>, trading resumed and the investment was reclassified and reported as a level 1 instrument in the above analysis at 31</w:t>
      </w:r>
      <w:r w:rsidR="00181687">
        <w:rPr>
          <w:color w:val="000000"/>
          <w:sz w:val="20"/>
          <w:szCs w:val="20"/>
        </w:rPr>
        <w:t> December </w:t>
      </w:r>
      <w:r w:rsidR="00541EBC">
        <w:rPr>
          <w:color w:val="000000"/>
          <w:sz w:val="20"/>
          <w:szCs w:val="20"/>
        </w:rPr>
        <w:t>2024</w:t>
      </w:r>
      <w:r>
        <w:rPr>
          <w:color w:val="000000"/>
          <w:sz w:val="20"/>
          <w:szCs w:val="20"/>
        </w:rPr>
        <w:t>.</w:t>
      </w:r>
      <w:r>
        <w:rPr>
          <w:color w:val="0000FF"/>
          <w:sz w:val="20"/>
          <w:szCs w:val="20"/>
        </w:rPr>
        <w:t xml:space="preserve"> </w:t>
      </w:r>
      <w:r>
        <w:rPr>
          <w:i/>
          <w:color w:val="FF0000"/>
          <w:sz w:val="20"/>
          <w:szCs w:val="20"/>
        </w:rPr>
        <w:t>[Disclose transfers between Level 1 and Level 2 and reasons for the transfers.]</w:t>
      </w:r>
    </w:p>
    <w:p w14:paraId="7A3BD5DE" w14:textId="2ADB471B" w:rsidR="00D83E33" w:rsidRPr="001B330E" w:rsidRDefault="00BC4072" w:rsidP="001B330E">
      <w:pPr>
        <w:pStyle w:val="Continued"/>
        <w:spacing w:line="235" w:lineRule="auto"/>
        <w:rPr>
          <w:b w:val="0"/>
          <w:spacing w:val="-2"/>
        </w:rPr>
      </w:pPr>
      <w:r>
        <w:lastRenderedPageBreak/>
        <w:t>49</w:t>
      </w:r>
      <w:r>
        <w:tab/>
      </w:r>
      <w:r w:rsidRPr="001B330E">
        <w:rPr>
          <w:spacing w:val="-2"/>
        </w:rPr>
        <w:t>Fair Value Disclosures (Continued)</w:t>
      </w:r>
    </w:p>
    <w:p w14:paraId="6488A88C" w14:textId="77777777" w:rsidR="00D83E33" w:rsidRPr="001B330E" w:rsidRDefault="00BC4072" w:rsidP="001B330E">
      <w:pPr>
        <w:widowControl w:val="0"/>
        <w:pBdr>
          <w:top w:val="nil"/>
          <w:left w:val="nil"/>
          <w:bottom w:val="nil"/>
          <w:right w:val="nil"/>
          <w:between w:val="nil"/>
        </w:pBdr>
        <w:spacing w:before="200" w:after="200" w:line="235" w:lineRule="auto"/>
        <w:jc w:val="both"/>
        <w:rPr>
          <w:color w:val="000000"/>
          <w:spacing w:val="-2"/>
          <w:sz w:val="20"/>
          <w:szCs w:val="20"/>
        </w:rPr>
      </w:pPr>
      <w:r w:rsidRPr="001B330E">
        <w:rPr>
          <w:color w:val="000000"/>
          <w:spacing w:val="-2"/>
          <w:sz w:val="20"/>
          <w:szCs w:val="20"/>
        </w:rPr>
        <w:t xml:space="preserve">The Group uses a </w:t>
      </w:r>
      <w:r w:rsidRPr="001B330E">
        <w:rPr>
          <w:color w:val="0000FF"/>
          <w:spacing w:val="-2"/>
          <w:sz w:val="20"/>
          <w:szCs w:val="20"/>
        </w:rPr>
        <w:t xml:space="preserve">[discounted cash flow] </w:t>
      </w:r>
      <w:r w:rsidRPr="001B330E">
        <w:rPr>
          <w:color w:val="000000"/>
          <w:spacing w:val="-2"/>
          <w:sz w:val="20"/>
          <w:szCs w:val="20"/>
        </w:rPr>
        <w:t xml:space="preserve">valuation technique to measure the fair value of </w:t>
      </w:r>
      <w:r w:rsidRPr="001B330E">
        <w:rPr>
          <w:color w:val="0000FF"/>
          <w:spacing w:val="-2"/>
          <w:sz w:val="20"/>
          <w:szCs w:val="20"/>
        </w:rPr>
        <w:t xml:space="preserve">[currency swaps] </w:t>
      </w:r>
      <w:r w:rsidRPr="001B330E">
        <w:rPr>
          <w:color w:val="000000"/>
          <w:spacing w:val="-2"/>
          <w:sz w:val="20"/>
          <w:szCs w:val="20"/>
        </w:rPr>
        <w:t xml:space="preserve">that are not traded in an active market. However, in accordance with IFRS, the fair value of an instrument at inception is generally the transaction price. If the transaction price differs from the amount determined at inception using the valuation technique, that difference is amortised on a straight line basis over the term of the </w:t>
      </w:r>
      <w:r w:rsidRPr="001B330E">
        <w:rPr>
          <w:color w:val="0000FF"/>
          <w:spacing w:val="-2"/>
          <w:sz w:val="20"/>
          <w:szCs w:val="20"/>
        </w:rPr>
        <w:t>[currency swaps]</w:t>
      </w:r>
      <w:r w:rsidRPr="001B330E">
        <w:rPr>
          <w:color w:val="000000"/>
          <w:spacing w:val="-2"/>
          <w:sz w:val="20"/>
          <w:szCs w:val="20"/>
        </w:rPr>
        <w:t>. The differences yet to be recognised in profit or loss for the year (</w:t>
      </w:r>
      <w:r w:rsidRPr="001B330E">
        <w:rPr>
          <w:color w:val="0000FF"/>
          <w:spacing w:val="-2"/>
          <w:sz w:val="20"/>
          <w:szCs w:val="20"/>
        </w:rPr>
        <w:t>[as gains less losses on financial derivatives]</w:t>
      </w:r>
      <w:r w:rsidRPr="001B330E">
        <w:rPr>
          <w:color w:val="000000"/>
          <w:spacing w:val="-2"/>
          <w:sz w:val="20"/>
          <w:szCs w:val="20"/>
        </w:rPr>
        <w:t>) are as follows:</w:t>
      </w:r>
    </w:p>
    <w:tbl>
      <w:tblPr>
        <w:tblStyle w:val="affffffffffffffff6"/>
        <w:tblW w:w="5000" w:type="pct"/>
        <w:tblLayout w:type="fixed"/>
        <w:tblLook w:val="0000" w:firstRow="0" w:lastRow="0" w:firstColumn="0" w:lastColumn="0" w:noHBand="0" w:noVBand="0"/>
      </w:tblPr>
      <w:tblGrid>
        <w:gridCol w:w="6295"/>
        <w:gridCol w:w="1530"/>
        <w:gridCol w:w="1530"/>
      </w:tblGrid>
      <w:tr w:rsidR="00D83E33" w:rsidRPr="00077F42" w14:paraId="38C90529" w14:textId="77777777" w:rsidTr="001B330E">
        <w:trPr>
          <w:trHeight w:val="23"/>
        </w:trPr>
        <w:tc>
          <w:tcPr>
            <w:tcW w:w="3364" w:type="pct"/>
            <w:tcBorders>
              <w:bottom w:val="single" w:sz="4" w:space="0" w:color="000000"/>
            </w:tcBorders>
            <w:vAlign w:val="bottom"/>
          </w:tcPr>
          <w:p w14:paraId="69B6E949" w14:textId="6E497489" w:rsidR="00D83E33" w:rsidRPr="001B330E" w:rsidRDefault="00313B4D" w:rsidP="001B330E">
            <w:pPr>
              <w:widowControl w:val="0"/>
              <w:pBdr>
                <w:top w:val="nil"/>
                <w:left w:val="nil"/>
                <w:bottom w:val="nil"/>
                <w:right w:val="nil"/>
                <w:between w:val="nil"/>
              </w:pBdr>
              <w:spacing w:line="235" w:lineRule="auto"/>
              <w:ind w:left="113" w:hanging="113"/>
              <w:rPr>
                <w:b/>
                <w:i/>
                <w:color w:val="000000"/>
                <w:spacing w:val="-2"/>
              </w:rPr>
            </w:pPr>
            <w:r>
              <w:rPr>
                <w:i/>
                <w:color w:val="000000"/>
                <w:spacing w:val="-2"/>
              </w:rPr>
              <w:t xml:space="preserve">In thousands of </w:t>
            </w:r>
            <w:r w:rsidR="002649EE">
              <w:rPr>
                <w:i/>
                <w:color w:val="000000"/>
                <w:spacing w:val="-2"/>
              </w:rPr>
              <w:t>EUR</w:t>
            </w:r>
          </w:p>
        </w:tc>
        <w:tc>
          <w:tcPr>
            <w:tcW w:w="818" w:type="pct"/>
            <w:tcBorders>
              <w:bottom w:val="single" w:sz="4" w:space="0" w:color="000000"/>
            </w:tcBorders>
            <w:vAlign w:val="bottom"/>
          </w:tcPr>
          <w:p w14:paraId="29207AF9" w14:textId="5A6460CB" w:rsidR="00D83E33" w:rsidRPr="001B330E" w:rsidRDefault="00541EBC" w:rsidP="001B330E">
            <w:pPr>
              <w:widowControl w:val="0"/>
              <w:pBdr>
                <w:top w:val="nil"/>
                <w:left w:val="nil"/>
                <w:bottom w:val="nil"/>
                <w:right w:val="nil"/>
                <w:between w:val="nil"/>
              </w:pBdr>
              <w:spacing w:line="235" w:lineRule="auto"/>
              <w:jc w:val="right"/>
              <w:rPr>
                <w:b/>
                <w:color w:val="000000"/>
                <w:spacing w:val="-2"/>
              </w:rPr>
            </w:pPr>
            <w:r>
              <w:rPr>
                <w:b/>
                <w:color w:val="000000"/>
                <w:spacing w:val="-2"/>
              </w:rPr>
              <w:t>2024</w:t>
            </w:r>
          </w:p>
        </w:tc>
        <w:tc>
          <w:tcPr>
            <w:tcW w:w="818" w:type="pct"/>
            <w:tcBorders>
              <w:bottom w:val="single" w:sz="4" w:space="0" w:color="000000"/>
            </w:tcBorders>
            <w:vAlign w:val="bottom"/>
          </w:tcPr>
          <w:p w14:paraId="5E1A7A0C" w14:textId="57E23AF0" w:rsidR="00D83E33" w:rsidRPr="001B330E" w:rsidRDefault="00541EBC" w:rsidP="001B330E">
            <w:pPr>
              <w:widowControl w:val="0"/>
              <w:pBdr>
                <w:top w:val="nil"/>
                <w:left w:val="nil"/>
                <w:bottom w:val="nil"/>
                <w:right w:val="nil"/>
                <w:between w:val="nil"/>
              </w:pBdr>
              <w:spacing w:line="235" w:lineRule="auto"/>
              <w:jc w:val="right"/>
              <w:rPr>
                <w:b/>
                <w:color w:val="000000"/>
                <w:spacing w:val="-2"/>
              </w:rPr>
            </w:pPr>
            <w:r>
              <w:rPr>
                <w:b/>
                <w:color w:val="000000"/>
                <w:spacing w:val="-2"/>
              </w:rPr>
              <w:t>2023</w:t>
            </w:r>
          </w:p>
        </w:tc>
      </w:tr>
      <w:tr w:rsidR="00D83E33" w:rsidRPr="00077F42" w14:paraId="3AD5003F" w14:textId="77777777" w:rsidTr="001B330E">
        <w:trPr>
          <w:trHeight w:val="23"/>
        </w:trPr>
        <w:tc>
          <w:tcPr>
            <w:tcW w:w="3364" w:type="pct"/>
            <w:vAlign w:val="bottom"/>
          </w:tcPr>
          <w:p w14:paraId="12D7D7D4" w14:textId="77777777" w:rsidR="00D83E33" w:rsidRPr="001B330E" w:rsidRDefault="00BC4072" w:rsidP="001B330E">
            <w:pPr>
              <w:widowControl w:val="0"/>
              <w:spacing w:line="235" w:lineRule="auto"/>
              <w:ind w:left="113" w:hanging="113"/>
              <w:rPr>
                <w:spacing w:val="-2"/>
              </w:rPr>
            </w:pPr>
            <w:r w:rsidRPr="001B330E">
              <w:rPr>
                <w:spacing w:val="-2"/>
              </w:rPr>
              <w:t> </w:t>
            </w:r>
          </w:p>
        </w:tc>
        <w:tc>
          <w:tcPr>
            <w:tcW w:w="818" w:type="pct"/>
            <w:vAlign w:val="bottom"/>
          </w:tcPr>
          <w:p w14:paraId="7D7FA300" w14:textId="77777777" w:rsidR="00D83E33" w:rsidRPr="001B330E" w:rsidRDefault="00D83E33" w:rsidP="001B330E">
            <w:pPr>
              <w:widowControl w:val="0"/>
              <w:spacing w:line="235" w:lineRule="auto"/>
              <w:jc w:val="right"/>
              <w:rPr>
                <w:spacing w:val="-2"/>
              </w:rPr>
            </w:pPr>
          </w:p>
        </w:tc>
        <w:tc>
          <w:tcPr>
            <w:tcW w:w="818" w:type="pct"/>
            <w:vAlign w:val="bottom"/>
          </w:tcPr>
          <w:p w14:paraId="249D1FAD" w14:textId="77777777" w:rsidR="00D83E33" w:rsidRPr="001B330E" w:rsidRDefault="00D83E33" w:rsidP="001B330E">
            <w:pPr>
              <w:widowControl w:val="0"/>
              <w:spacing w:line="235" w:lineRule="auto"/>
              <w:jc w:val="right"/>
              <w:rPr>
                <w:spacing w:val="-2"/>
              </w:rPr>
            </w:pPr>
          </w:p>
        </w:tc>
      </w:tr>
      <w:tr w:rsidR="00D83E33" w:rsidRPr="00077F42" w14:paraId="29FD06E5" w14:textId="77777777" w:rsidTr="001B330E">
        <w:trPr>
          <w:trHeight w:val="23"/>
        </w:trPr>
        <w:tc>
          <w:tcPr>
            <w:tcW w:w="3364" w:type="pct"/>
            <w:vAlign w:val="bottom"/>
          </w:tcPr>
          <w:p w14:paraId="187746E8"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2"/>
              </w:rPr>
            </w:pPr>
            <w:r w:rsidRPr="001B330E">
              <w:rPr>
                <w:color w:val="000000"/>
                <w:spacing w:val="-2"/>
              </w:rPr>
              <w:t>Balance at 1 January</w:t>
            </w:r>
          </w:p>
        </w:tc>
        <w:tc>
          <w:tcPr>
            <w:tcW w:w="818" w:type="pct"/>
            <w:vAlign w:val="bottom"/>
          </w:tcPr>
          <w:p w14:paraId="32E7F9D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18" w:type="pct"/>
            <w:vAlign w:val="bottom"/>
          </w:tcPr>
          <w:p w14:paraId="0868727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5EAC2174" w14:textId="77777777" w:rsidTr="001B330E">
        <w:trPr>
          <w:trHeight w:val="23"/>
        </w:trPr>
        <w:tc>
          <w:tcPr>
            <w:tcW w:w="3364" w:type="pct"/>
            <w:vAlign w:val="bottom"/>
          </w:tcPr>
          <w:p w14:paraId="6AFE3EBA"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2"/>
              </w:rPr>
            </w:pPr>
            <w:r w:rsidRPr="001B330E">
              <w:rPr>
                <w:color w:val="000000"/>
                <w:spacing w:val="-2"/>
              </w:rPr>
              <w:t>New transactions</w:t>
            </w:r>
          </w:p>
        </w:tc>
        <w:tc>
          <w:tcPr>
            <w:tcW w:w="818" w:type="pct"/>
            <w:vAlign w:val="bottom"/>
          </w:tcPr>
          <w:p w14:paraId="36B966F9"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18" w:type="pct"/>
            <w:vAlign w:val="bottom"/>
          </w:tcPr>
          <w:p w14:paraId="01B02C9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06A01A8C" w14:textId="77777777" w:rsidTr="001B330E">
        <w:trPr>
          <w:trHeight w:val="23"/>
        </w:trPr>
        <w:tc>
          <w:tcPr>
            <w:tcW w:w="3364" w:type="pct"/>
            <w:vAlign w:val="bottom"/>
          </w:tcPr>
          <w:p w14:paraId="0C8C559C"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2"/>
              </w:rPr>
            </w:pPr>
            <w:r w:rsidRPr="001B330E">
              <w:rPr>
                <w:color w:val="000000"/>
                <w:spacing w:val="-2"/>
              </w:rPr>
              <w:t>Amounts recognised in profit or loss for the year (</w:t>
            </w:r>
            <w:r w:rsidRPr="001B330E">
              <w:rPr>
                <w:color w:val="0000FF"/>
                <w:spacing w:val="-2"/>
              </w:rPr>
              <w:t>[as gains less losses on financial derivatives]</w:t>
            </w:r>
            <w:r w:rsidRPr="001B330E">
              <w:rPr>
                <w:color w:val="000000"/>
                <w:spacing w:val="-2"/>
              </w:rPr>
              <w:t>)</w:t>
            </w:r>
          </w:p>
        </w:tc>
        <w:tc>
          <w:tcPr>
            <w:tcW w:w="818" w:type="pct"/>
            <w:vAlign w:val="bottom"/>
          </w:tcPr>
          <w:p w14:paraId="7EBCEC7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18" w:type="pct"/>
            <w:vAlign w:val="bottom"/>
          </w:tcPr>
          <w:p w14:paraId="30C8137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000E75C8" w14:textId="77777777" w:rsidTr="001B330E">
        <w:trPr>
          <w:trHeight w:val="23"/>
        </w:trPr>
        <w:tc>
          <w:tcPr>
            <w:tcW w:w="3364" w:type="pct"/>
            <w:vAlign w:val="bottom"/>
          </w:tcPr>
          <w:p w14:paraId="47271D90"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2"/>
              </w:rPr>
            </w:pPr>
            <w:r w:rsidRPr="001B330E">
              <w:rPr>
                <w:color w:val="000000"/>
                <w:spacing w:val="-2"/>
              </w:rPr>
              <w:t>Other</w:t>
            </w:r>
          </w:p>
        </w:tc>
        <w:tc>
          <w:tcPr>
            <w:tcW w:w="818" w:type="pct"/>
            <w:vAlign w:val="bottom"/>
          </w:tcPr>
          <w:p w14:paraId="42A5F9B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18" w:type="pct"/>
            <w:vAlign w:val="bottom"/>
          </w:tcPr>
          <w:p w14:paraId="74692071"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6033D8F8" w14:textId="77777777" w:rsidTr="001B330E">
        <w:trPr>
          <w:trHeight w:val="23"/>
        </w:trPr>
        <w:tc>
          <w:tcPr>
            <w:tcW w:w="3364" w:type="pct"/>
            <w:tcBorders>
              <w:bottom w:val="single" w:sz="4" w:space="0" w:color="000000"/>
            </w:tcBorders>
            <w:shd w:val="clear" w:color="auto" w:fill="auto"/>
            <w:vAlign w:val="bottom"/>
          </w:tcPr>
          <w:p w14:paraId="45C92E55"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2"/>
              </w:rPr>
            </w:pPr>
            <w:r w:rsidRPr="001B330E">
              <w:rPr>
                <w:color w:val="000000"/>
                <w:spacing w:val="-2"/>
              </w:rPr>
              <w:t> </w:t>
            </w:r>
          </w:p>
        </w:tc>
        <w:tc>
          <w:tcPr>
            <w:tcW w:w="818" w:type="pct"/>
            <w:tcBorders>
              <w:bottom w:val="single" w:sz="4" w:space="0" w:color="000000"/>
            </w:tcBorders>
            <w:shd w:val="clear" w:color="auto" w:fill="auto"/>
            <w:vAlign w:val="bottom"/>
          </w:tcPr>
          <w:p w14:paraId="520340F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18" w:type="pct"/>
            <w:tcBorders>
              <w:bottom w:val="single" w:sz="4" w:space="0" w:color="000000"/>
            </w:tcBorders>
            <w:shd w:val="clear" w:color="auto" w:fill="auto"/>
            <w:vAlign w:val="bottom"/>
          </w:tcPr>
          <w:p w14:paraId="61DFC27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550CBEF0" w14:textId="77777777" w:rsidTr="001B330E">
        <w:trPr>
          <w:trHeight w:val="23"/>
        </w:trPr>
        <w:tc>
          <w:tcPr>
            <w:tcW w:w="3364" w:type="pct"/>
            <w:tcBorders>
              <w:top w:val="single" w:sz="4" w:space="0" w:color="000000"/>
            </w:tcBorders>
            <w:vAlign w:val="bottom"/>
          </w:tcPr>
          <w:p w14:paraId="40179376"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2"/>
              </w:rPr>
            </w:pPr>
            <w:r w:rsidRPr="001B330E">
              <w:rPr>
                <w:color w:val="000000"/>
                <w:spacing w:val="-2"/>
              </w:rPr>
              <w:t> </w:t>
            </w:r>
          </w:p>
        </w:tc>
        <w:tc>
          <w:tcPr>
            <w:tcW w:w="818" w:type="pct"/>
            <w:tcBorders>
              <w:top w:val="single" w:sz="4" w:space="0" w:color="000000"/>
            </w:tcBorders>
            <w:vAlign w:val="bottom"/>
          </w:tcPr>
          <w:p w14:paraId="6380E8E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18" w:type="pct"/>
            <w:tcBorders>
              <w:top w:val="single" w:sz="4" w:space="0" w:color="000000"/>
            </w:tcBorders>
            <w:vAlign w:val="bottom"/>
          </w:tcPr>
          <w:p w14:paraId="63733031"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2AD632DE" w14:textId="77777777" w:rsidTr="001B330E">
        <w:trPr>
          <w:trHeight w:val="23"/>
        </w:trPr>
        <w:tc>
          <w:tcPr>
            <w:tcW w:w="3364" w:type="pct"/>
            <w:vAlign w:val="bottom"/>
          </w:tcPr>
          <w:p w14:paraId="6505CFAE" w14:textId="39439A18" w:rsidR="00D83E33" w:rsidRPr="001B330E" w:rsidRDefault="00BC4072" w:rsidP="001B330E">
            <w:pPr>
              <w:widowControl w:val="0"/>
              <w:pBdr>
                <w:top w:val="nil"/>
                <w:left w:val="nil"/>
                <w:bottom w:val="nil"/>
                <w:right w:val="nil"/>
                <w:between w:val="nil"/>
              </w:pBdr>
              <w:spacing w:line="235" w:lineRule="auto"/>
              <w:ind w:left="113" w:hanging="113"/>
              <w:rPr>
                <w:b/>
                <w:color w:val="000000"/>
                <w:spacing w:val="-2"/>
              </w:rPr>
            </w:pPr>
            <w:r w:rsidRPr="001B330E">
              <w:rPr>
                <w:b/>
                <w:color w:val="000000"/>
                <w:spacing w:val="-2"/>
              </w:rPr>
              <w:t>Balance at 31</w:t>
            </w:r>
            <w:r w:rsidR="00181687">
              <w:rPr>
                <w:b/>
                <w:color w:val="000000"/>
                <w:spacing w:val="-2"/>
              </w:rPr>
              <w:t> December </w:t>
            </w:r>
            <w:r w:rsidRPr="001B330E">
              <w:rPr>
                <w:b/>
                <w:color w:val="000000"/>
                <w:spacing w:val="-2"/>
              </w:rPr>
              <w:t>(Note 15)</w:t>
            </w:r>
          </w:p>
        </w:tc>
        <w:tc>
          <w:tcPr>
            <w:tcW w:w="818" w:type="pct"/>
            <w:vAlign w:val="bottom"/>
          </w:tcPr>
          <w:p w14:paraId="2AFD45E4"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2"/>
              </w:rPr>
            </w:pPr>
          </w:p>
        </w:tc>
        <w:tc>
          <w:tcPr>
            <w:tcW w:w="818" w:type="pct"/>
            <w:vAlign w:val="bottom"/>
          </w:tcPr>
          <w:p w14:paraId="516F0316"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2"/>
              </w:rPr>
            </w:pPr>
          </w:p>
        </w:tc>
      </w:tr>
      <w:tr w:rsidR="00D83E33" w:rsidRPr="00077F42" w14:paraId="5745C784" w14:textId="77777777" w:rsidTr="001B330E">
        <w:trPr>
          <w:trHeight w:val="23"/>
        </w:trPr>
        <w:tc>
          <w:tcPr>
            <w:tcW w:w="3364" w:type="pct"/>
            <w:tcBorders>
              <w:bottom w:val="single" w:sz="12" w:space="0" w:color="000000"/>
            </w:tcBorders>
            <w:shd w:val="clear" w:color="auto" w:fill="auto"/>
            <w:vAlign w:val="bottom"/>
          </w:tcPr>
          <w:p w14:paraId="766A3A40"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2"/>
              </w:rPr>
            </w:pPr>
            <w:r w:rsidRPr="001B330E">
              <w:rPr>
                <w:color w:val="000000"/>
                <w:spacing w:val="-2"/>
              </w:rPr>
              <w:t> </w:t>
            </w:r>
          </w:p>
        </w:tc>
        <w:tc>
          <w:tcPr>
            <w:tcW w:w="818" w:type="pct"/>
            <w:tcBorders>
              <w:bottom w:val="single" w:sz="12" w:space="0" w:color="000000"/>
            </w:tcBorders>
            <w:shd w:val="clear" w:color="auto" w:fill="auto"/>
            <w:vAlign w:val="bottom"/>
          </w:tcPr>
          <w:p w14:paraId="64498DA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18" w:type="pct"/>
            <w:tcBorders>
              <w:bottom w:val="single" w:sz="12" w:space="0" w:color="000000"/>
            </w:tcBorders>
            <w:shd w:val="clear" w:color="auto" w:fill="auto"/>
            <w:vAlign w:val="bottom"/>
          </w:tcPr>
          <w:p w14:paraId="74CC28C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bl>
    <w:p w14:paraId="2B03EFCA" w14:textId="65F52718" w:rsidR="00D83E33" w:rsidRPr="001B330E" w:rsidRDefault="00D83E33" w:rsidP="001B330E">
      <w:pPr>
        <w:widowControl w:val="0"/>
        <w:pBdr>
          <w:top w:val="nil"/>
          <w:left w:val="nil"/>
          <w:bottom w:val="nil"/>
          <w:right w:val="nil"/>
          <w:between w:val="nil"/>
        </w:pBdr>
        <w:spacing w:before="200" w:after="200" w:line="235" w:lineRule="auto"/>
        <w:jc w:val="both"/>
        <w:rPr>
          <w:color w:val="000000"/>
          <w:spacing w:val="-2"/>
          <w:sz w:val="20"/>
          <w:szCs w:val="20"/>
        </w:rPr>
      </w:pPr>
    </w:p>
    <w:p w14:paraId="5112F43F" w14:textId="1CFBF84F" w:rsidR="00D83E33" w:rsidRPr="001B330E" w:rsidRDefault="00BC4072" w:rsidP="001B330E">
      <w:pPr>
        <w:widowControl w:val="0"/>
        <w:spacing w:before="200" w:after="200" w:line="235" w:lineRule="auto"/>
        <w:jc w:val="both"/>
        <w:rPr>
          <w:spacing w:val="-2"/>
          <w:sz w:val="20"/>
          <w:szCs w:val="20"/>
        </w:rPr>
      </w:pPr>
      <w:r w:rsidRPr="001B330E">
        <w:rPr>
          <w:spacing w:val="-2"/>
          <w:sz w:val="20"/>
          <w:szCs w:val="20"/>
        </w:rPr>
        <w:t>The description of valuation technique and description of inputs used in the fair value measurement for level 2 measurements at 31</w:t>
      </w:r>
      <w:r w:rsidR="00181687">
        <w:rPr>
          <w:spacing w:val="-2"/>
          <w:sz w:val="20"/>
          <w:szCs w:val="20"/>
        </w:rPr>
        <w:t> December </w:t>
      </w:r>
      <w:r w:rsidR="00541EBC">
        <w:rPr>
          <w:spacing w:val="-2"/>
          <w:sz w:val="20"/>
          <w:szCs w:val="20"/>
        </w:rPr>
        <w:t>2024</w:t>
      </w:r>
      <w:r w:rsidRPr="001B330E">
        <w:rPr>
          <w:spacing w:val="-2"/>
          <w:sz w:val="20"/>
          <w:szCs w:val="20"/>
        </w:rPr>
        <w:t>:</w:t>
      </w:r>
    </w:p>
    <w:tbl>
      <w:tblPr>
        <w:tblStyle w:val="affffffffffffffff7"/>
        <w:tblW w:w="5000" w:type="pct"/>
        <w:tblLayout w:type="fixed"/>
        <w:tblLook w:val="0000" w:firstRow="0" w:lastRow="0" w:firstColumn="0" w:lastColumn="0" w:noHBand="0" w:noVBand="0"/>
      </w:tblPr>
      <w:tblGrid>
        <w:gridCol w:w="3969"/>
        <w:gridCol w:w="1278"/>
        <w:gridCol w:w="1560"/>
        <w:gridCol w:w="2548"/>
      </w:tblGrid>
      <w:tr w:rsidR="00D83E33" w:rsidRPr="00077F42" w14:paraId="1451FE1F" w14:textId="77777777" w:rsidTr="001B330E">
        <w:trPr>
          <w:trHeight w:val="23"/>
        </w:trPr>
        <w:tc>
          <w:tcPr>
            <w:tcW w:w="2121" w:type="pct"/>
            <w:tcBorders>
              <w:bottom w:val="single" w:sz="4" w:space="0" w:color="000000"/>
            </w:tcBorders>
            <w:vAlign w:val="bottom"/>
          </w:tcPr>
          <w:p w14:paraId="5F30E2E3" w14:textId="30E82B14" w:rsidR="00D83E33" w:rsidRPr="001B330E" w:rsidRDefault="00313B4D" w:rsidP="001B330E">
            <w:pPr>
              <w:widowControl w:val="0"/>
              <w:pBdr>
                <w:top w:val="nil"/>
                <w:left w:val="nil"/>
                <w:bottom w:val="nil"/>
                <w:right w:val="nil"/>
                <w:between w:val="nil"/>
              </w:pBdr>
              <w:spacing w:line="235" w:lineRule="auto"/>
              <w:rPr>
                <w:i/>
                <w:color w:val="000000"/>
                <w:spacing w:val="-2"/>
              </w:rPr>
            </w:pPr>
            <w:r>
              <w:rPr>
                <w:i/>
                <w:color w:val="000000"/>
                <w:spacing w:val="-2"/>
              </w:rPr>
              <w:t xml:space="preserve">In thousands of </w:t>
            </w:r>
            <w:r w:rsidR="002649EE">
              <w:rPr>
                <w:i/>
                <w:color w:val="000000"/>
                <w:spacing w:val="-2"/>
              </w:rPr>
              <w:t>EUR</w:t>
            </w:r>
          </w:p>
        </w:tc>
        <w:tc>
          <w:tcPr>
            <w:tcW w:w="683" w:type="pct"/>
            <w:tcBorders>
              <w:bottom w:val="single" w:sz="4" w:space="0" w:color="000000"/>
            </w:tcBorders>
          </w:tcPr>
          <w:p w14:paraId="717CFBAC" w14:textId="77777777" w:rsidR="00D83E33" w:rsidRPr="001B330E" w:rsidRDefault="00BC4072" w:rsidP="001B330E">
            <w:pPr>
              <w:widowControl w:val="0"/>
              <w:pBdr>
                <w:top w:val="nil"/>
                <w:left w:val="nil"/>
                <w:bottom w:val="nil"/>
                <w:right w:val="nil"/>
                <w:between w:val="nil"/>
              </w:pBdr>
              <w:spacing w:line="235" w:lineRule="auto"/>
              <w:jc w:val="right"/>
              <w:rPr>
                <w:b/>
                <w:color w:val="000000"/>
                <w:spacing w:val="-2"/>
              </w:rPr>
            </w:pPr>
            <w:r w:rsidRPr="001B330E">
              <w:rPr>
                <w:b/>
                <w:color w:val="000000"/>
                <w:spacing w:val="-2"/>
              </w:rPr>
              <w:t>Fair value</w:t>
            </w:r>
          </w:p>
        </w:tc>
        <w:tc>
          <w:tcPr>
            <w:tcW w:w="834" w:type="pct"/>
            <w:tcBorders>
              <w:bottom w:val="single" w:sz="4" w:space="0" w:color="000000"/>
            </w:tcBorders>
          </w:tcPr>
          <w:p w14:paraId="62CFF430" w14:textId="77777777" w:rsidR="00D83E33" w:rsidRPr="001B330E" w:rsidRDefault="00BC4072" w:rsidP="001B330E">
            <w:pPr>
              <w:widowControl w:val="0"/>
              <w:pBdr>
                <w:top w:val="nil"/>
                <w:left w:val="nil"/>
                <w:bottom w:val="nil"/>
                <w:right w:val="nil"/>
                <w:between w:val="nil"/>
              </w:pBdr>
              <w:spacing w:line="235" w:lineRule="auto"/>
              <w:jc w:val="right"/>
              <w:rPr>
                <w:b/>
                <w:color w:val="000000"/>
                <w:spacing w:val="-2"/>
              </w:rPr>
            </w:pPr>
            <w:r w:rsidRPr="001B330E">
              <w:rPr>
                <w:b/>
                <w:color w:val="000000"/>
                <w:spacing w:val="-2"/>
              </w:rPr>
              <w:t>Valuation technique</w:t>
            </w:r>
          </w:p>
        </w:tc>
        <w:tc>
          <w:tcPr>
            <w:tcW w:w="1363" w:type="pct"/>
            <w:tcBorders>
              <w:bottom w:val="single" w:sz="4" w:space="0" w:color="000000"/>
            </w:tcBorders>
          </w:tcPr>
          <w:p w14:paraId="5ED7B545" w14:textId="77777777" w:rsidR="00D83E33" w:rsidRPr="001B330E" w:rsidRDefault="00BC4072" w:rsidP="001B330E">
            <w:pPr>
              <w:widowControl w:val="0"/>
              <w:pBdr>
                <w:top w:val="nil"/>
                <w:left w:val="nil"/>
                <w:bottom w:val="nil"/>
                <w:right w:val="nil"/>
                <w:between w:val="nil"/>
              </w:pBdr>
              <w:spacing w:line="235" w:lineRule="auto"/>
              <w:jc w:val="right"/>
              <w:rPr>
                <w:b/>
                <w:color w:val="000000"/>
                <w:spacing w:val="-2"/>
              </w:rPr>
            </w:pPr>
            <w:r w:rsidRPr="001B330E">
              <w:rPr>
                <w:b/>
                <w:color w:val="000000"/>
                <w:spacing w:val="-2"/>
              </w:rPr>
              <w:t>Inputs used</w:t>
            </w:r>
          </w:p>
        </w:tc>
      </w:tr>
      <w:tr w:rsidR="00D83E33" w:rsidRPr="00077F42" w14:paraId="47ABE289" w14:textId="77777777" w:rsidTr="001B330E">
        <w:trPr>
          <w:trHeight w:val="23"/>
        </w:trPr>
        <w:tc>
          <w:tcPr>
            <w:tcW w:w="2121" w:type="pct"/>
            <w:tcBorders>
              <w:top w:val="single" w:sz="4" w:space="0" w:color="000000"/>
            </w:tcBorders>
            <w:vAlign w:val="bottom"/>
          </w:tcPr>
          <w:p w14:paraId="288EADE0" w14:textId="77777777" w:rsidR="00D83E33" w:rsidRPr="001B330E" w:rsidRDefault="00BC4072" w:rsidP="001B330E">
            <w:pPr>
              <w:widowControl w:val="0"/>
              <w:pBdr>
                <w:top w:val="nil"/>
                <w:left w:val="nil"/>
                <w:bottom w:val="nil"/>
                <w:right w:val="nil"/>
                <w:between w:val="nil"/>
              </w:pBdr>
              <w:spacing w:line="235" w:lineRule="auto"/>
              <w:jc w:val="center"/>
              <w:rPr>
                <w:b/>
                <w:color w:val="000000"/>
                <w:spacing w:val="-2"/>
              </w:rPr>
            </w:pPr>
            <w:r w:rsidRPr="001B330E">
              <w:rPr>
                <w:b/>
                <w:color w:val="000000"/>
                <w:spacing w:val="-2"/>
              </w:rPr>
              <w:t> </w:t>
            </w:r>
          </w:p>
        </w:tc>
        <w:tc>
          <w:tcPr>
            <w:tcW w:w="683" w:type="pct"/>
            <w:tcBorders>
              <w:top w:val="single" w:sz="4" w:space="0" w:color="000000"/>
            </w:tcBorders>
            <w:vAlign w:val="bottom"/>
          </w:tcPr>
          <w:p w14:paraId="04B1303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tcBorders>
              <w:top w:val="single" w:sz="4" w:space="0" w:color="000000"/>
            </w:tcBorders>
            <w:vAlign w:val="bottom"/>
          </w:tcPr>
          <w:p w14:paraId="1C93462F"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tcBorders>
              <w:top w:val="single" w:sz="4" w:space="0" w:color="000000"/>
            </w:tcBorders>
            <w:vAlign w:val="bottom"/>
          </w:tcPr>
          <w:p w14:paraId="58F84640"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6A5066FE" w14:textId="77777777" w:rsidTr="001B330E">
        <w:trPr>
          <w:trHeight w:val="23"/>
        </w:trPr>
        <w:tc>
          <w:tcPr>
            <w:tcW w:w="2121" w:type="pct"/>
            <w:vAlign w:val="bottom"/>
          </w:tcPr>
          <w:p w14:paraId="281E8115" w14:textId="77777777" w:rsidR="00D83E33" w:rsidRPr="001B330E" w:rsidRDefault="00BC4072" w:rsidP="001B330E">
            <w:pPr>
              <w:widowControl w:val="0"/>
              <w:pBdr>
                <w:top w:val="nil"/>
                <w:left w:val="nil"/>
                <w:bottom w:val="nil"/>
                <w:right w:val="nil"/>
                <w:between w:val="nil"/>
              </w:pBdr>
              <w:spacing w:line="235" w:lineRule="auto"/>
              <w:rPr>
                <w:b/>
                <w:smallCaps/>
                <w:color w:val="000000"/>
                <w:spacing w:val="-2"/>
              </w:rPr>
            </w:pPr>
            <w:r w:rsidRPr="001B330E">
              <w:rPr>
                <w:b/>
                <w:smallCaps/>
                <w:color w:val="000000"/>
                <w:spacing w:val="-2"/>
              </w:rPr>
              <w:t>ASSETS AT FAIR VALUE</w:t>
            </w:r>
          </w:p>
        </w:tc>
        <w:tc>
          <w:tcPr>
            <w:tcW w:w="683" w:type="pct"/>
            <w:vAlign w:val="bottom"/>
          </w:tcPr>
          <w:p w14:paraId="354AB7E7" w14:textId="77777777" w:rsidR="00D83E33" w:rsidRPr="001B330E" w:rsidRDefault="00D83E33" w:rsidP="001B330E">
            <w:pPr>
              <w:widowControl w:val="0"/>
              <w:pBdr>
                <w:top w:val="nil"/>
                <w:left w:val="nil"/>
                <w:bottom w:val="nil"/>
                <w:right w:val="nil"/>
                <w:between w:val="nil"/>
              </w:pBdr>
              <w:spacing w:line="235" w:lineRule="auto"/>
              <w:jc w:val="right"/>
              <w:rPr>
                <w:b/>
                <w:smallCaps/>
                <w:color w:val="000000"/>
                <w:spacing w:val="-2"/>
              </w:rPr>
            </w:pPr>
          </w:p>
        </w:tc>
        <w:tc>
          <w:tcPr>
            <w:tcW w:w="834" w:type="pct"/>
            <w:vAlign w:val="bottom"/>
          </w:tcPr>
          <w:p w14:paraId="0E7DF861" w14:textId="77777777" w:rsidR="00D83E33" w:rsidRPr="001B330E" w:rsidRDefault="00D83E33" w:rsidP="001B330E">
            <w:pPr>
              <w:widowControl w:val="0"/>
              <w:pBdr>
                <w:top w:val="nil"/>
                <w:left w:val="nil"/>
                <w:bottom w:val="nil"/>
                <w:right w:val="nil"/>
                <w:between w:val="nil"/>
              </w:pBdr>
              <w:spacing w:line="235" w:lineRule="auto"/>
              <w:jc w:val="right"/>
              <w:rPr>
                <w:b/>
                <w:smallCaps/>
                <w:color w:val="000000"/>
                <w:spacing w:val="-2"/>
              </w:rPr>
            </w:pPr>
          </w:p>
        </w:tc>
        <w:tc>
          <w:tcPr>
            <w:tcW w:w="1363" w:type="pct"/>
            <w:vAlign w:val="bottom"/>
          </w:tcPr>
          <w:p w14:paraId="11AE6474" w14:textId="77777777" w:rsidR="00D83E33" w:rsidRPr="001B330E" w:rsidRDefault="00D83E33" w:rsidP="001B330E">
            <w:pPr>
              <w:widowControl w:val="0"/>
              <w:pBdr>
                <w:top w:val="nil"/>
                <w:left w:val="nil"/>
                <w:bottom w:val="nil"/>
                <w:right w:val="nil"/>
                <w:between w:val="nil"/>
              </w:pBdr>
              <w:spacing w:line="235" w:lineRule="auto"/>
              <w:jc w:val="right"/>
              <w:rPr>
                <w:b/>
                <w:smallCaps/>
                <w:color w:val="000000"/>
                <w:spacing w:val="-2"/>
              </w:rPr>
            </w:pPr>
          </w:p>
        </w:tc>
      </w:tr>
      <w:tr w:rsidR="00D83E33" w:rsidRPr="00077F42" w14:paraId="58C97E6C" w14:textId="77777777" w:rsidTr="001B330E">
        <w:trPr>
          <w:trHeight w:val="23"/>
        </w:trPr>
        <w:tc>
          <w:tcPr>
            <w:tcW w:w="2121" w:type="pct"/>
            <w:vAlign w:val="bottom"/>
          </w:tcPr>
          <w:p w14:paraId="298C0899" w14:textId="77777777" w:rsidR="00D83E33" w:rsidRPr="001B330E" w:rsidRDefault="00BC4072" w:rsidP="001B330E">
            <w:pPr>
              <w:widowControl w:val="0"/>
              <w:pBdr>
                <w:top w:val="nil"/>
                <w:left w:val="nil"/>
                <w:bottom w:val="nil"/>
                <w:right w:val="nil"/>
                <w:between w:val="nil"/>
              </w:pBdr>
              <w:spacing w:line="235" w:lineRule="auto"/>
              <w:rPr>
                <w:b/>
                <w:smallCaps/>
                <w:color w:val="000000"/>
                <w:spacing w:val="-2"/>
              </w:rPr>
            </w:pPr>
            <w:r w:rsidRPr="001B330E">
              <w:rPr>
                <w:b/>
                <w:smallCaps/>
                <w:color w:val="000000"/>
                <w:spacing w:val="-2"/>
              </w:rPr>
              <w:t xml:space="preserve">FINANCIAL ASSETS </w:t>
            </w:r>
          </w:p>
        </w:tc>
        <w:tc>
          <w:tcPr>
            <w:tcW w:w="683" w:type="pct"/>
            <w:vAlign w:val="bottom"/>
          </w:tcPr>
          <w:p w14:paraId="7C32A5C1" w14:textId="77777777" w:rsidR="00D83E33" w:rsidRPr="001B330E" w:rsidRDefault="00D83E33" w:rsidP="001B330E">
            <w:pPr>
              <w:widowControl w:val="0"/>
              <w:pBdr>
                <w:top w:val="nil"/>
                <w:left w:val="nil"/>
                <w:bottom w:val="nil"/>
                <w:right w:val="nil"/>
                <w:between w:val="nil"/>
              </w:pBdr>
              <w:spacing w:line="235" w:lineRule="auto"/>
              <w:jc w:val="right"/>
              <w:rPr>
                <w:b/>
                <w:smallCaps/>
                <w:color w:val="000000"/>
                <w:spacing w:val="-2"/>
              </w:rPr>
            </w:pPr>
          </w:p>
        </w:tc>
        <w:tc>
          <w:tcPr>
            <w:tcW w:w="834" w:type="pct"/>
            <w:vAlign w:val="bottom"/>
          </w:tcPr>
          <w:p w14:paraId="3E0DC497" w14:textId="77777777" w:rsidR="00D83E33" w:rsidRPr="001B330E" w:rsidRDefault="00D83E33" w:rsidP="001B330E">
            <w:pPr>
              <w:widowControl w:val="0"/>
              <w:pBdr>
                <w:top w:val="nil"/>
                <w:left w:val="nil"/>
                <w:bottom w:val="nil"/>
                <w:right w:val="nil"/>
                <w:between w:val="nil"/>
              </w:pBdr>
              <w:spacing w:line="235" w:lineRule="auto"/>
              <w:jc w:val="right"/>
              <w:rPr>
                <w:b/>
                <w:smallCaps/>
                <w:color w:val="000000"/>
                <w:spacing w:val="-2"/>
              </w:rPr>
            </w:pPr>
          </w:p>
        </w:tc>
        <w:tc>
          <w:tcPr>
            <w:tcW w:w="1363" w:type="pct"/>
            <w:vAlign w:val="bottom"/>
          </w:tcPr>
          <w:p w14:paraId="313BA8DA" w14:textId="77777777" w:rsidR="00D83E33" w:rsidRPr="001B330E" w:rsidRDefault="00D83E33" w:rsidP="001B330E">
            <w:pPr>
              <w:widowControl w:val="0"/>
              <w:pBdr>
                <w:top w:val="nil"/>
                <w:left w:val="nil"/>
                <w:bottom w:val="nil"/>
                <w:right w:val="nil"/>
                <w:between w:val="nil"/>
              </w:pBdr>
              <w:spacing w:line="235" w:lineRule="auto"/>
              <w:jc w:val="right"/>
              <w:rPr>
                <w:b/>
                <w:smallCaps/>
                <w:color w:val="000000"/>
                <w:spacing w:val="-2"/>
              </w:rPr>
            </w:pPr>
          </w:p>
        </w:tc>
      </w:tr>
      <w:tr w:rsidR="00D83E33" w:rsidRPr="00077F42" w14:paraId="12BF2B95" w14:textId="77777777" w:rsidTr="001B330E">
        <w:trPr>
          <w:trHeight w:val="23"/>
        </w:trPr>
        <w:tc>
          <w:tcPr>
            <w:tcW w:w="2121" w:type="pct"/>
            <w:vAlign w:val="bottom"/>
          </w:tcPr>
          <w:p w14:paraId="4503DD29" w14:textId="77777777" w:rsidR="00D83E33" w:rsidRPr="001B330E" w:rsidRDefault="00D83E33" w:rsidP="001B330E">
            <w:pPr>
              <w:widowControl w:val="0"/>
              <w:pBdr>
                <w:top w:val="nil"/>
                <w:left w:val="nil"/>
                <w:bottom w:val="nil"/>
                <w:right w:val="nil"/>
                <w:between w:val="nil"/>
              </w:pBdr>
              <w:spacing w:line="235" w:lineRule="auto"/>
              <w:rPr>
                <w:b/>
                <w:i/>
                <w:color w:val="000000"/>
                <w:spacing w:val="-2"/>
              </w:rPr>
            </w:pPr>
          </w:p>
        </w:tc>
        <w:tc>
          <w:tcPr>
            <w:tcW w:w="683" w:type="pct"/>
            <w:vAlign w:val="bottom"/>
          </w:tcPr>
          <w:p w14:paraId="4048454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2F95ED3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25BB051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6868E254" w14:textId="77777777" w:rsidTr="001B330E">
        <w:trPr>
          <w:trHeight w:val="23"/>
        </w:trPr>
        <w:tc>
          <w:tcPr>
            <w:tcW w:w="2121" w:type="pct"/>
            <w:vAlign w:val="bottom"/>
          </w:tcPr>
          <w:p w14:paraId="4AF7C001" w14:textId="77777777" w:rsidR="00D83E33" w:rsidRPr="001B330E" w:rsidRDefault="00BC4072" w:rsidP="001B330E">
            <w:pPr>
              <w:widowControl w:val="0"/>
              <w:pBdr>
                <w:top w:val="nil"/>
                <w:left w:val="nil"/>
                <w:bottom w:val="nil"/>
                <w:right w:val="nil"/>
                <w:between w:val="nil"/>
              </w:pBdr>
              <w:spacing w:line="235" w:lineRule="auto"/>
              <w:rPr>
                <w:b/>
                <w:i/>
                <w:color w:val="000000"/>
                <w:spacing w:val="-2"/>
              </w:rPr>
            </w:pPr>
            <w:r w:rsidRPr="001B330E">
              <w:rPr>
                <w:b/>
                <w:i/>
                <w:color w:val="000000"/>
                <w:spacing w:val="-2"/>
              </w:rPr>
              <w:t>Investments in debt securities</w:t>
            </w:r>
          </w:p>
        </w:tc>
        <w:tc>
          <w:tcPr>
            <w:tcW w:w="683" w:type="pct"/>
            <w:vAlign w:val="bottom"/>
          </w:tcPr>
          <w:p w14:paraId="1D8DCE2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642A048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3AFBC95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6FEF7BAC" w14:textId="77777777" w:rsidTr="001B330E">
        <w:trPr>
          <w:trHeight w:val="23"/>
        </w:trPr>
        <w:tc>
          <w:tcPr>
            <w:tcW w:w="2121" w:type="pct"/>
            <w:vAlign w:val="bottom"/>
          </w:tcPr>
          <w:p w14:paraId="1ABF9FC9" w14:textId="07E2EF8F"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xml:space="preserve">- </w:t>
            </w:r>
            <w:r w:rsidR="00372E26">
              <w:rPr>
                <w:color w:val="000000"/>
                <w:spacing w:val="-2"/>
              </w:rPr>
              <w:t>[Country]</w:t>
            </w:r>
            <w:r w:rsidRPr="001B330E">
              <w:rPr>
                <w:color w:val="000000"/>
                <w:spacing w:val="-2"/>
              </w:rPr>
              <w:t xml:space="preserve"> government bonds</w:t>
            </w:r>
          </w:p>
        </w:tc>
        <w:tc>
          <w:tcPr>
            <w:tcW w:w="683" w:type="pct"/>
            <w:vAlign w:val="bottom"/>
          </w:tcPr>
          <w:p w14:paraId="4461B1BE"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834" w:type="pct"/>
            <w:vAlign w:val="bottom"/>
          </w:tcPr>
          <w:p w14:paraId="72ECAA0D"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[Discounted cash flows (“DCF”)]</w:t>
            </w:r>
          </w:p>
        </w:tc>
        <w:tc>
          <w:tcPr>
            <w:tcW w:w="1363" w:type="pct"/>
            <w:vAlign w:val="bottom"/>
          </w:tcPr>
          <w:p w14:paraId="7C44A15E"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[Government bonds yield curve]</w:t>
            </w:r>
          </w:p>
        </w:tc>
      </w:tr>
      <w:tr w:rsidR="00D83E33" w:rsidRPr="00077F42" w14:paraId="1B3C0877" w14:textId="77777777" w:rsidTr="001B330E">
        <w:trPr>
          <w:trHeight w:val="23"/>
        </w:trPr>
        <w:tc>
          <w:tcPr>
            <w:tcW w:w="2121" w:type="pct"/>
            <w:vAlign w:val="bottom"/>
          </w:tcPr>
          <w:p w14:paraId="51685E4F"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Municipal bonds</w:t>
            </w:r>
          </w:p>
        </w:tc>
        <w:tc>
          <w:tcPr>
            <w:tcW w:w="683" w:type="pct"/>
            <w:vAlign w:val="bottom"/>
          </w:tcPr>
          <w:p w14:paraId="2BF6DB09"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834" w:type="pct"/>
            <w:vAlign w:val="bottom"/>
          </w:tcPr>
          <w:p w14:paraId="383DB60C"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[DCF]</w:t>
            </w:r>
          </w:p>
        </w:tc>
        <w:tc>
          <w:tcPr>
            <w:tcW w:w="1363" w:type="pct"/>
            <w:vAlign w:val="bottom"/>
          </w:tcPr>
          <w:p w14:paraId="327DB2AB"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[Comparable prices from less active markets]</w:t>
            </w:r>
          </w:p>
        </w:tc>
      </w:tr>
      <w:tr w:rsidR="00D83E33" w:rsidRPr="00077F42" w14:paraId="5B0BFD15" w14:textId="77777777" w:rsidTr="001B330E">
        <w:trPr>
          <w:trHeight w:val="23"/>
        </w:trPr>
        <w:tc>
          <w:tcPr>
            <w:tcW w:w="2121" w:type="pct"/>
            <w:vAlign w:val="bottom"/>
          </w:tcPr>
          <w:p w14:paraId="691D7580"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Corporate bonds</w:t>
            </w:r>
          </w:p>
        </w:tc>
        <w:tc>
          <w:tcPr>
            <w:tcW w:w="683" w:type="pct"/>
            <w:vAlign w:val="bottom"/>
          </w:tcPr>
          <w:p w14:paraId="2A319927"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834" w:type="pct"/>
            <w:vAlign w:val="bottom"/>
          </w:tcPr>
          <w:p w14:paraId="4BCD24FD"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[DCF]</w:t>
            </w:r>
          </w:p>
        </w:tc>
        <w:tc>
          <w:tcPr>
            <w:tcW w:w="1363" w:type="pct"/>
            <w:vAlign w:val="bottom"/>
          </w:tcPr>
          <w:p w14:paraId="1810E41D"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[Incremental borrowing rate]</w:t>
            </w:r>
          </w:p>
        </w:tc>
      </w:tr>
      <w:tr w:rsidR="00D83E33" w:rsidRPr="00077F42" w14:paraId="0E2A5D60" w14:textId="77777777" w:rsidTr="001B330E">
        <w:trPr>
          <w:trHeight w:val="23"/>
        </w:trPr>
        <w:tc>
          <w:tcPr>
            <w:tcW w:w="2121" w:type="pct"/>
            <w:vAlign w:val="bottom"/>
          </w:tcPr>
          <w:p w14:paraId="75F8F295"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Investments in mutual funds</w:t>
            </w:r>
          </w:p>
        </w:tc>
        <w:tc>
          <w:tcPr>
            <w:tcW w:w="683" w:type="pct"/>
            <w:vAlign w:val="bottom"/>
          </w:tcPr>
          <w:p w14:paraId="6A7F23CE"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834" w:type="pct"/>
            <w:vAlign w:val="bottom"/>
          </w:tcPr>
          <w:p w14:paraId="2A8D8269"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[DCF]</w:t>
            </w:r>
          </w:p>
        </w:tc>
        <w:tc>
          <w:tcPr>
            <w:tcW w:w="1363" w:type="pct"/>
            <w:vAlign w:val="bottom"/>
          </w:tcPr>
          <w:p w14:paraId="11D0B131"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[Applicable interest rates for underlying assets]</w:t>
            </w:r>
          </w:p>
        </w:tc>
      </w:tr>
      <w:tr w:rsidR="00D83E33" w:rsidRPr="00077F42" w14:paraId="55CF985F" w14:textId="77777777" w:rsidTr="001B330E">
        <w:trPr>
          <w:trHeight w:val="23"/>
        </w:trPr>
        <w:tc>
          <w:tcPr>
            <w:tcW w:w="2121" w:type="pct"/>
            <w:vAlign w:val="bottom"/>
          </w:tcPr>
          <w:p w14:paraId="0A4CE4AD"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Promissory notes</w:t>
            </w:r>
          </w:p>
        </w:tc>
        <w:tc>
          <w:tcPr>
            <w:tcW w:w="683" w:type="pct"/>
            <w:vAlign w:val="bottom"/>
          </w:tcPr>
          <w:p w14:paraId="42ED682F"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834" w:type="pct"/>
            <w:vAlign w:val="bottom"/>
          </w:tcPr>
          <w:p w14:paraId="28C2BAC7"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[DCF]</w:t>
            </w:r>
          </w:p>
        </w:tc>
        <w:tc>
          <w:tcPr>
            <w:tcW w:w="1363" w:type="pct"/>
            <w:vAlign w:val="bottom"/>
          </w:tcPr>
          <w:p w14:paraId="518426C1"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[Incremental borrowing rate]</w:t>
            </w:r>
          </w:p>
        </w:tc>
      </w:tr>
      <w:tr w:rsidR="00D83E33" w:rsidRPr="00077F42" w14:paraId="7298895F" w14:textId="77777777" w:rsidTr="001B330E">
        <w:trPr>
          <w:trHeight w:val="23"/>
        </w:trPr>
        <w:tc>
          <w:tcPr>
            <w:tcW w:w="2121" w:type="pct"/>
            <w:vAlign w:val="bottom"/>
          </w:tcPr>
          <w:p w14:paraId="181561AF" w14:textId="77777777" w:rsidR="00D83E33" w:rsidRPr="001B330E" w:rsidRDefault="00D83E33" w:rsidP="001B330E">
            <w:pPr>
              <w:widowControl w:val="0"/>
              <w:pBdr>
                <w:top w:val="nil"/>
                <w:left w:val="nil"/>
                <w:bottom w:val="nil"/>
                <w:right w:val="nil"/>
                <w:between w:val="nil"/>
              </w:pBdr>
              <w:spacing w:line="235" w:lineRule="auto"/>
              <w:rPr>
                <w:b/>
                <w:i/>
                <w:color w:val="000000"/>
                <w:spacing w:val="-2"/>
              </w:rPr>
            </w:pPr>
          </w:p>
        </w:tc>
        <w:tc>
          <w:tcPr>
            <w:tcW w:w="683" w:type="pct"/>
            <w:vAlign w:val="bottom"/>
          </w:tcPr>
          <w:p w14:paraId="07514301"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834" w:type="pct"/>
            <w:vAlign w:val="bottom"/>
          </w:tcPr>
          <w:p w14:paraId="53843B54"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1363" w:type="pct"/>
            <w:vAlign w:val="bottom"/>
          </w:tcPr>
          <w:p w14:paraId="12E4E7AD"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r>
      <w:tr w:rsidR="00D83E33" w:rsidRPr="00077F42" w14:paraId="65ED1946" w14:textId="77777777" w:rsidTr="001B330E">
        <w:trPr>
          <w:trHeight w:val="23"/>
        </w:trPr>
        <w:tc>
          <w:tcPr>
            <w:tcW w:w="2121" w:type="pct"/>
            <w:vAlign w:val="bottom"/>
          </w:tcPr>
          <w:p w14:paraId="60DB042F" w14:textId="77777777" w:rsidR="00D83E33" w:rsidRPr="001B330E" w:rsidRDefault="00BC4072" w:rsidP="001B330E">
            <w:pPr>
              <w:widowControl w:val="0"/>
              <w:pBdr>
                <w:top w:val="nil"/>
                <w:left w:val="nil"/>
                <w:bottom w:val="nil"/>
                <w:right w:val="nil"/>
                <w:between w:val="nil"/>
              </w:pBdr>
              <w:spacing w:line="235" w:lineRule="auto"/>
              <w:rPr>
                <w:b/>
                <w:i/>
                <w:color w:val="000000"/>
                <w:spacing w:val="-2"/>
              </w:rPr>
            </w:pPr>
            <w:r w:rsidRPr="001B330E">
              <w:rPr>
                <w:b/>
                <w:i/>
                <w:color w:val="000000"/>
                <w:spacing w:val="-2"/>
              </w:rPr>
              <w:t>Investments in equity securities</w:t>
            </w:r>
          </w:p>
        </w:tc>
        <w:tc>
          <w:tcPr>
            <w:tcW w:w="683" w:type="pct"/>
            <w:vAlign w:val="bottom"/>
          </w:tcPr>
          <w:p w14:paraId="4D3C76E2"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834" w:type="pct"/>
            <w:vAlign w:val="bottom"/>
          </w:tcPr>
          <w:p w14:paraId="23A9A6F4"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1363" w:type="pct"/>
            <w:vAlign w:val="bottom"/>
          </w:tcPr>
          <w:p w14:paraId="3E7692DE"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r>
      <w:tr w:rsidR="00D83E33" w:rsidRPr="00077F42" w14:paraId="3C852EB8" w14:textId="77777777" w:rsidTr="001B330E">
        <w:trPr>
          <w:trHeight w:val="23"/>
        </w:trPr>
        <w:tc>
          <w:tcPr>
            <w:tcW w:w="2121" w:type="pct"/>
            <w:vAlign w:val="bottom"/>
          </w:tcPr>
          <w:p w14:paraId="53EF8F56" w14:textId="77777777" w:rsidR="00D83E33" w:rsidRPr="001B330E" w:rsidRDefault="00BC4072" w:rsidP="001B330E">
            <w:pPr>
              <w:widowControl w:val="0"/>
              <w:pBdr>
                <w:top w:val="nil"/>
                <w:left w:val="nil"/>
                <w:bottom w:val="nil"/>
                <w:right w:val="nil"/>
                <w:between w:val="nil"/>
              </w:pBdr>
              <w:spacing w:line="235" w:lineRule="auto"/>
              <w:rPr>
                <w:b/>
                <w:i/>
                <w:color w:val="000000"/>
                <w:spacing w:val="-2"/>
              </w:rPr>
            </w:pPr>
            <w:r w:rsidRPr="001B330E">
              <w:rPr>
                <w:color w:val="000000"/>
                <w:spacing w:val="-2"/>
              </w:rPr>
              <w:t>- Corporate shares</w:t>
            </w:r>
          </w:p>
        </w:tc>
        <w:tc>
          <w:tcPr>
            <w:tcW w:w="683" w:type="pct"/>
            <w:vAlign w:val="bottom"/>
          </w:tcPr>
          <w:p w14:paraId="285AA83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38F414E1"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[Market comparable companies]</w:t>
            </w:r>
          </w:p>
        </w:tc>
        <w:tc>
          <w:tcPr>
            <w:tcW w:w="1363" w:type="pct"/>
            <w:vAlign w:val="bottom"/>
          </w:tcPr>
          <w:p w14:paraId="06D1DFD9" w14:textId="77777777" w:rsidR="00D83E33" w:rsidRPr="001B330E" w:rsidRDefault="00BC4072" w:rsidP="001B330E">
            <w:pPr>
              <w:widowControl w:val="0"/>
              <w:pBdr>
                <w:top w:val="nil"/>
                <w:left w:val="nil"/>
                <w:bottom w:val="nil"/>
                <w:right w:val="nil"/>
                <w:between w:val="nil"/>
              </w:pBdr>
              <w:spacing w:line="235" w:lineRule="auto"/>
              <w:jc w:val="right"/>
              <w:rPr>
                <w:color w:val="0000FF"/>
                <w:spacing w:val="-2"/>
              </w:rPr>
            </w:pPr>
            <w:r w:rsidRPr="001B330E">
              <w:rPr>
                <w:color w:val="0000FF"/>
                <w:spacing w:val="-2"/>
              </w:rPr>
              <w:t>[EBITDA Multiple and Revenue multiple]</w:t>
            </w:r>
          </w:p>
        </w:tc>
      </w:tr>
      <w:tr w:rsidR="00D83E33" w:rsidRPr="00077F42" w14:paraId="17D7F8DD" w14:textId="77777777" w:rsidTr="001B330E">
        <w:trPr>
          <w:trHeight w:val="23"/>
        </w:trPr>
        <w:tc>
          <w:tcPr>
            <w:tcW w:w="2121" w:type="pct"/>
            <w:vAlign w:val="bottom"/>
          </w:tcPr>
          <w:p w14:paraId="5C5E2D19"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American depositary receipts (ADR)</w:t>
            </w:r>
          </w:p>
        </w:tc>
        <w:tc>
          <w:tcPr>
            <w:tcW w:w="683" w:type="pct"/>
            <w:vAlign w:val="bottom"/>
          </w:tcPr>
          <w:p w14:paraId="23F4F34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07257A15"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1363" w:type="pct"/>
            <w:vAlign w:val="bottom"/>
          </w:tcPr>
          <w:p w14:paraId="43C92D34"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r>
      <w:tr w:rsidR="00D83E33" w:rsidRPr="00077F42" w14:paraId="1CCD1215" w14:textId="77777777" w:rsidTr="001B330E">
        <w:trPr>
          <w:trHeight w:val="23"/>
        </w:trPr>
        <w:tc>
          <w:tcPr>
            <w:tcW w:w="2121" w:type="pct"/>
            <w:vAlign w:val="bottom"/>
          </w:tcPr>
          <w:p w14:paraId="5372E903"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Global depositary receipts</w:t>
            </w:r>
          </w:p>
        </w:tc>
        <w:tc>
          <w:tcPr>
            <w:tcW w:w="683" w:type="pct"/>
            <w:vAlign w:val="bottom"/>
          </w:tcPr>
          <w:p w14:paraId="7A61F0C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1A5FEB13"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1363" w:type="pct"/>
            <w:vAlign w:val="bottom"/>
          </w:tcPr>
          <w:p w14:paraId="6CCA0274"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r>
      <w:tr w:rsidR="00D83E33" w:rsidRPr="00077F42" w14:paraId="15DA2B54" w14:textId="77777777" w:rsidTr="001B330E">
        <w:trPr>
          <w:trHeight w:val="23"/>
        </w:trPr>
        <w:tc>
          <w:tcPr>
            <w:tcW w:w="2121" w:type="pct"/>
            <w:vAlign w:val="bottom"/>
          </w:tcPr>
          <w:p w14:paraId="023B5F83" w14:textId="057F266D" w:rsidR="00D83E33" w:rsidRPr="001B330E" w:rsidRDefault="00BC4072" w:rsidP="001B330E">
            <w:pPr>
              <w:widowControl w:val="0"/>
              <w:pBdr>
                <w:top w:val="nil"/>
                <w:left w:val="nil"/>
                <w:bottom w:val="nil"/>
                <w:right w:val="nil"/>
                <w:between w:val="nil"/>
              </w:pBdr>
              <w:spacing w:line="235" w:lineRule="auto"/>
              <w:rPr>
                <w:b/>
                <w:i/>
                <w:color w:val="000000"/>
                <w:spacing w:val="-2"/>
              </w:rPr>
            </w:pPr>
            <w:r w:rsidRPr="001B330E">
              <w:rPr>
                <w:color w:val="000000"/>
                <w:spacing w:val="-2"/>
              </w:rPr>
              <w:t xml:space="preserve"> </w:t>
            </w:r>
          </w:p>
        </w:tc>
        <w:tc>
          <w:tcPr>
            <w:tcW w:w="683" w:type="pct"/>
            <w:vAlign w:val="bottom"/>
          </w:tcPr>
          <w:p w14:paraId="3ACBDAB0"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834" w:type="pct"/>
            <w:vAlign w:val="bottom"/>
          </w:tcPr>
          <w:p w14:paraId="39917153" w14:textId="77777777" w:rsidR="00D83E33" w:rsidRPr="001B330E" w:rsidRDefault="00D83E33" w:rsidP="001B330E">
            <w:pPr>
              <w:widowControl w:val="0"/>
              <w:pBdr>
                <w:top w:val="nil"/>
                <w:left w:val="nil"/>
                <w:bottom w:val="nil"/>
                <w:right w:val="nil"/>
                <w:between w:val="nil"/>
              </w:pBdr>
              <w:spacing w:line="235" w:lineRule="auto"/>
              <w:jc w:val="right"/>
              <w:rPr>
                <w:color w:val="0000FF"/>
                <w:spacing w:val="-2"/>
              </w:rPr>
            </w:pPr>
          </w:p>
        </w:tc>
        <w:tc>
          <w:tcPr>
            <w:tcW w:w="1363" w:type="pct"/>
            <w:vAlign w:val="bottom"/>
          </w:tcPr>
          <w:p w14:paraId="1BB5506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020AD976" w14:textId="77777777" w:rsidTr="001B330E">
        <w:trPr>
          <w:trHeight w:val="23"/>
        </w:trPr>
        <w:tc>
          <w:tcPr>
            <w:tcW w:w="2121" w:type="pct"/>
            <w:vAlign w:val="bottom"/>
          </w:tcPr>
          <w:p w14:paraId="6DBCF9EC" w14:textId="77777777" w:rsidR="00D83E33" w:rsidRPr="001B330E" w:rsidRDefault="00D83E33" w:rsidP="001B330E">
            <w:pPr>
              <w:widowControl w:val="0"/>
              <w:pBdr>
                <w:top w:val="nil"/>
                <w:left w:val="nil"/>
                <w:bottom w:val="nil"/>
                <w:right w:val="nil"/>
                <w:between w:val="nil"/>
              </w:pBdr>
              <w:spacing w:line="235" w:lineRule="auto"/>
              <w:rPr>
                <w:b/>
                <w:i/>
                <w:color w:val="000000"/>
                <w:spacing w:val="-2"/>
              </w:rPr>
            </w:pPr>
          </w:p>
        </w:tc>
        <w:tc>
          <w:tcPr>
            <w:tcW w:w="683" w:type="pct"/>
            <w:vAlign w:val="bottom"/>
          </w:tcPr>
          <w:p w14:paraId="05CCCCB9"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1CD67D99"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6B9D066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188289B5" w14:textId="77777777" w:rsidTr="001B330E">
        <w:trPr>
          <w:trHeight w:val="23"/>
        </w:trPr>
        <w:tc>
          <w:tcPr>
            <w:tcW w:w="2121" w:type="pct"/>
            <w:vAlign w:val="bottom"/>
          </w:tcPr>
          <w:p w14:paraId="75454115" w14:textId="77777777" w:rsidR="00D83E33" w:rsidRPr="001B330E" w:rsidRDefault="00BC4072" w:rsidP="001B330E">
            <w:pPr>
              <w:widowControl w:val="0"/>
              <w:pBdr>
                <w:top w:val="nil"/>
                <w:left w:val="nil"/>
                <w:bottom w:val="nil"/>
                <w:right w:val="nil"/>
                <w:between w:val="nil"/>
              </w:pBdr>
              <w:spacing w:line="235" w:lineRule="auto"/>
              <w:rPr>
                <w:b/>
                <w:i/>
                <w:color w:val="000000"/>
                <w:spacing w:val="-2"/>
              </w:rPr>
            </w:pPr>
            <w:r w:rsidRPr="001B330E">
              <w:rPr>
                <w:b/>
                <w:i/>
                <w:color w:val="000000"/>
                <w:spacing w:val="-2"/>
              </w:rPr>
              <w:t>Loans and advances to customers at FVTPL</w:t>
            </w:r>
          </w:p>
        </w:tc>
        <w:tc>
          <w:tcPr>
            <w:tcW w:w="683" w:type="pct"/>
            <w:vAlign w:val="bottom"/>
          </w:tcPr>
          <w:p w14:paraId="7CDEABD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0572D5D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218222E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041D3CEC" w14:textId="77777777" w:rsidTr="001B330E">
        <w:trPr>
          <w:trHeight w:val="23"/>
        </w:trPr>
        <w:tc>
          <w:tcPr>
            <w:tcW w:w="2121" w:type="pct"/>
            <w:vAlign w:val="bottom"/>
          </w:tcPr>
          <w:p w14:paraId="62E9B3A7"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Standard lending</w:t>
            </w:r>
          </w:p>
        </w:tc>
        <w:tc>
          <w:tcPr>
            <w:tcW w:w="683" w:type="pct"/>
            <w:vAlign w:val="bottom"/>
          </w:tcPr>
          <w:p w14:paraId="3A9DF1C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5851062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3766F6F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38DE7187" w14:textId="77777777" w:rsidTr="001B330E">
        <w:trPr>
          <w:trHeight w:val="23"/>
        </w:trPr>
        <w:tc>
          <w:tcPr>
            <w:tcW w:w="2121" w:type="pct"/>
            <w:vAlign w:val="bottom"/>
          </w:tcPr>
          <w:p w14:paraId="70B6DF61" w14:textId="77777777" w:rsidR="00D83E33" w:rsidRPr="001B330E" w:rsidRDefault="00BC4072" w:rsidP="001B330E">
            <w:pPr>
              <w:widowControl w:val="0"/>
              <w:pBdr>
                <w:top w:val="nil"/>
                <w:left w:val="nil"/>
                <w:bottom w:val="nil"/>
                <w:right w:val="nil"/>
                <w:between w:val="nil"/>
              </w:pBdr>
              <w:spacing w:line="235" w:lineRule="auto"/>
              <w:rPr>
                <w:b/>
                <w:i/>
                <w:color w:val="000000"/>
                <w:spacing w:val="-2"/>
              </w:rPr>
            </w:pPr>
            <w:r w:rsidRPr="001B330E">
              <w:rPr>
                <w:color w:val="000000"/>
                <w:spacing w:val="-2"/>
              </w:rPr>
              <w:t>- Specialised lending</w:t>
            </w:r>
          </w:p>
        </w:tc>
        <w:tc>
          <w:tcPr>
            <w:tcW w:w="683" w:type="pct"/>
            <w:vAlign w:val="bottom"/>
          </w:tcPr>
          <w:p w14:paraId="32A48E8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6DFD192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21BBB36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2654C491" w14:textId="77777777" w:rsidTr="001B330E">
        <w:trPr>
          <w:trHeight w:val="23"/>
        </w:trPr>
        <w:tc>
          <w:tcPr>
            <w:tcW w:w="2121" w:type="pct"/>
            <w:vAlign w:val="bottom"/>
          </w:tcPr>
          <w:p w14:paraId="48B60C3A"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Loans to sovereigns</w:t>
            </w:r>
          </w:p>
        </w:tc>
        <w:tc>
          <w:tcPr>
            <w:tcW w:w="683" w:type="pct"/>
            <w:vAlign w:val="bottom"/>
          </w:tcPr>
          <w:p w14:paraId="0AFFF22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17F976E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5853EA6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083F462D" w14:textId="77777777" w:rsidTr="001B330E">
        <w:trPr>
          <w:trHeight w:val="23"/>
        </w:trPr>
        <w:tc>
          <w:tcPr>
            <w:tcW w:w="2121" w:type="pct"/>
            <w:vAlign w:val="bottom"/>
          </w:tcPr>
          <w:p w14:paraId="1D05C346"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Loans to sub-sovereigns</w:t>
            </w:r>
          </w:p>
        </w:tc>
        <w:tc>
          <w:tcPr>
            <w:tcW w:w="683" w:type="pct"/>
            <w:vAlign w:val="bottom"/>
          </w:tcPr>
          <w:p w14:paraId="01210AAF"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6BA37C2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79DF57F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50439E97" w14:textId="77777777" w:rsidTr="001B330E">
        <w:trPr>
          <w:trHeight w:val="23"/>
        </w:trPr>
        <w:tc>
          <w:tcPr>
            <w:tcW w:w="2121" w:type="pct"/>
            <w:vAlign w:val="bottom"/>
          </w:tcPr>
          <w:p w14:paraId="7E73E7EA"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Loans to SME</w:t>
            </w:r>
          </w:p>
        </w:tc>
        <w:tc>
          <w:tcPr>
            <w:tcW w:w="683" w:type="pct"/>
            <w:vAlign w:val="bottom"/>
          </w:tcPr>
          <w:p w14:paraId="3F94E55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4E2FBCE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186E085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67C283F7" w14:textId="77777777" w:rsidTr="001B330E">
        <w:trPr>
          <w:trHeight w:val="23"/>
        </w:trPr>
        <w:tc>
          <w:tcPr>
            <w:tcW w:w="2121" w:type="pct"/>
            <w:vAlign w:val="bottom"/>
          </w:tcPr>
          <w:p w14:paraId="4D27F9A5"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Loans to leasing companies</w:t>
            </w:r>
          </w:p>
        </w:tc>
        <w:tc>
          <w:tcPr>
            <w:tcW w:w="683" w:type="pct"/>
            <w:vAlign w:val="bottom"/>
          </w:tcPr>
          <w:p w14:paraId="11A1134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6B6D203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547A0299"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4475F8E2" w14:textId="77777777" w:rsidTr="001B330E">
        <w:trPr>
          <w:trHeight w:val="23"/>
        </w:trPr>
        <w:tc>
          <w:tcPr>
            <w:tcW w:w="2121" w:type="pct"/>
            <w:vAlign w:val="bottom"/>
          </w:tcPr>
          <w:p w14:paraId="2C4D9983"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Reverse sale and repurchase agreement</w:t>
            </w:r>
          </w:p>
        </w:tc>
        <w:tc>
          <w:tcPr>
            <w:tcW w:w="683" w:type="pct"/>
            <w:vAlign w:val="bottom"/>
          </w:tcPr>
          <w:p w14:paraId="3806F6F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7E3CC99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7D0F066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1C3CD09F" w14:textId="77777777" w:rsidTr="001B330E">
        <w:trPr>
          <w:trHeight w:val="23"/>
        </w:trPr>
        <w:tc>
          <w:tcPr>
            <w:tcW w:w="2121" w:type="pct"/>
            <w:vAlign w:val="bottom"/>
          </w:tcPr>
          <w:p w14:paraId="7CD9D0FC"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Mortgage loans</w:t>
            </w:r>
          </w:p>
        </w:tc>
        <w:tc>
          <w:tcPr>
            <w:tcW w:w="683" w:type="pct"/>
            <w:vAlign w:val="bottom"/>
          </w:tcPr>
          <w:p w14:paraId="4B336069"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0D06889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4EB1F625"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7B102414" w14:textId="77777777" w:rsidTr="001B330E">
        <w:trPr>
          <w:trHeight w:val="23"/>
        </w:trPr>
        <w:tc>
          <w:tcPr>
            <w:tcW w:w="2121" w:type="pct"/>
            <w:vAlign w:val="bottom"/>
          </w:tcPr>
          <w:p w14:paraId="641C1BCE"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Consumer loans</w:t>
            </w:r>
          </w:p>
        </w:tc>
        <w:tc>
          <w:tcPr>
            <w:tcW w:w="683" w:type="pct"/>
            <w:vAlign w:val="bottom"/>
          </w:tcPr>
          <w:p w14:paraId="2563A8F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7B55101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0957742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13C6E15F" w14:textId="77777777" w:rsidTr="001B330E">
        <w:trPr>
          <w:trHeight w:val="23"/>
        </w:trPr>
        <w:tc>
          <w:tcPr>
            <w:tcW w:w="2121" w:type="pct"/>
            <w:vAlign w:val="bottom"/>
          </w:tcPr>
          <w:p w14:paraId="354515A4"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Car loans</w:t>
            </w:r>
          </w:p>
        </w:tc>
        <w:tc>
          <w:tcPr>
            <w:tcW w:w="683" w:type="pct"/>
            <w:vAlign w:val="bottom"/>
          </w:tcPr>
          <w:p w14:paraId="365C108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04F26CE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634972D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6C76400E" w14:textId="77777777" w:rsidTr="001B330E">
        <w:trPr>
          <w:trHeight w:val="23"/>
        </w:trPr>
        <w:tc>
          <w:tcPr>
            <w:tcW w:w="2121" w:type="pct"/>
            <w:vAlign w:val="bottom"/>
          </w:tcPr>
          <w:p w14:paraId="4FC0AF62" w14:textId="77777777" w:rsidR="00D83E33" w:rsidRPr="001B330E" w:rsidRDefault="00BC4072" w:rsidP="001B330E">
            <w:pPr>
              <w:widowControl w:val="0"/>
              <w:pBdr>
                <w:top w:val="nil"/>
                <w:left w:val="nil"/>
                <w:bottom w:val="nil"/>
                <w:right w:val="nil"/>
                <w:between w:val="nil"/>
              </w:pBdr>
              <w:spacing w:line="235" w:lineRule="auto"/>
              <w:rPr>
                <w:color w:val="000000"/>
                <w:spacing w:val="-2"/>
              </w:rPr>
            </w:pPr>
            <w:r w:rsidRPr="001B330E">
              <w:rPr>
                <w:color w:val="000000"/>
                <w:spacing w:val="-2"/>
              </w:rPr>
              <w:t>- Credit cards</w:t>
            </w:r>
          </w:p>
        </w:tc>
        <w:tc>
          <w:tcPr>
            <w:tcW w:w="683" w:type="pct"/>
            <w:vAlign w:val="bottom"/>
          </w:tcPr>
          <w:p w14:paraId="2E15337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7E63650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46274B0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099A33D5" w14:textId="77777777" w:rsidTr="001B330E">
        <w:trPr>
          <w:trHeight w:val="23"/>
        </w:trPr>
        <w:tc>
          <w:tcPr>
            <w:tcW w:w="2121" w:type="pct"/>
            <w:vAlign w:val="bottom"/>
          </w:tcPr>
          <w:p w14:paraId="0F84443D" w14:textId="79F1DD4A" w:rsidR="00D83E33" w:rsidRPr="001B330E" w:rsidRDefault="00D83E33" w:rsidP="001B330E">
            <w:pPr>
              <w:widowControl w:val="0"/>
              <w:pBdr>
                <w:top w:val="nil"/>
                <w:left w:val="nil"/>
                <w:bottom w:val="nil"/>
                <w:right w:val="nil"/>
                <w:between w:val="nil"/>
              </w:pBdr>
              <w:spacing w:line="235" w:lineRule="auto"/>
              <w:rPr>
                <w:i/>
                <w:color w:val="FF0000"/>
                <w:spacing w:val="-2"/>
              </w:rPr>
            </w:pPr>
          </w:p>
        </w:tc>
        <w:tc>
          <w:tcPr>
            <w:tcW w:w="683" w:type="pct"/>
            <w:vAlign w:val="bottom"/>
          </w:tcPr>
          <w:p w14:paraId="603A820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vAlign w:val="bottom"/>
          </w:tcPr>
          <w:p w14:paraId="3F9BCE71"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vAlign w:val="bottom"/>
          </w:tcPr>
          <w:p w14:paraId="574B94D9"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r w:rsidR="00D83E33" w:rsidRPr="00077F42" w14:paraId="4F730B98" w14:textId="77777777" w:rsidTr="001B330E">
        <w:trPr>
          <w:trHeight w:val="23"/>
        </w:trPr>
        <w:tc>
          <w:tcPr>
            <w:tcW w:w="2121" w:type="pct"/>
            <w:tcBorders>
              <w:bottom w:val="single" w:sz="4" w:space="0" w:color="000000"/>
            </w:tcBorders>
            <w:vAlign w:val="bottom"/>
          </w:tcPr>
          <w:p w14:paraId="7BC3348A" w14:textId="77777777" w:rsidR="00D83E33" w:rsidRPr="001B330E" w:rsidRDefault="00D83E33" w:rsidP="001B330E">
            <w:pPr>
              <w:widowControl w:val="0"/>
              <w:pBdr>
                <w:top w:val="nil"/>
                <w:left w:val="nil"/>
                <w:bottom w:val="nil"/>
                <w:right w:val="nil"/>
                <w:between w:val="nil"/>
              </w:pBdr>
              <w:spacing w:line="235" w:lineRule="auto"/>
              <w:rPr>
                <w:i/>
                <w:color w:val="FF0000"/>
                <w:spacing w:val="-2"/>
              </w:rPr>
            </w:pPr>
          </w:p>
        </w:tc>
        <w:tc>
          <w:tcPr>
            <w:tcW w:w="683" w:type="pct"/>
            <w:tcBorders>
              <w:bottom w:val="single" w:sz="4" w:space="0" w:color="000000"/>
            </w:tcBorders>
            <w:vAlign w:val="bottom"/>
          </w:tcPr>
          <w:p w14:paraId="0AC37AE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834" w:type="pct"/>
            <w:tcBorders>
              <w:bottom w:val="single" w:sz="4" w:space="0" w:color="000000"/>
            </w:tcBorders>
            <w:vAlign w:val="bottom"/>
          </w:tcPr>
          <w:p w14:paraId="084E078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c>
          <w:tcPr>
            <w:tcW w:w="1363" w:type="pct"/>
            <w:tcBorders>
              <w:bottom w:val="single" w:sz="4" w:space="0" w:color="000000"/>
            </w:tcBorders>
            <w:vAlign w:val="bottom"/>
          </w:tcPr>
          <w:p w14:paraId="3484385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2"/>
              </w:rPr>
            </w:pPr>
          </w:p>
        </w:tc>
      </w:tr>
    </w:tbl>
    <w:p w14:paraId="0B90AED2" w14:textId="26744C1F" w:rsidR="00D83E33" w:rsidRDefault="00BC4072" w:rsidP="001B330E">
      <w:pPr>
        <w:pStyle w:val="Continued"/>
      </w:pPr>
      <w:r>
        <w:lastRenderedPageBreak/>
        <w:t>49</w:t>
      </w:r>
      <w:r>
        <w:tab/>
        <w:t>Fair Value Disclosures (Continued)</w:t>
      </w:r>
    </w:p>
    <w:tbl>
      <w:tblPr>
        <w:tblStyle w:val="affffffffffffffff8"/>
        <w:tblW w:w="5000" w:type="pct"/>
        <w:tblLayout w:type="fixed"/>
        <w:tblLook w:val="0000" w:firstRow="0" w:lastRow="0" w:firstColumn="0" w:lastColumn="0" w:noHBand="0" w:noVBand="0"/>
      </w:tblPr>
      <w:tblGrid>
        <w:gridCol w:w="3969"/>
        <w:gridCol w:w="1418"/>
        <w:gridCol w:w="1418"/>
        <w:gridCol w:w="2550"/>
      </w:tblGrid>
      <w:tr w:rsidR="00D83E33" w:rsidRPr="00EA10CF" w14:paraId="17AEA377" w14:textId="77777777" w:rsidTr="001B330E">
        <w:trPr>
          <w:trHeight w:val="23"/>
        </w:trPr>
        <w:tc>
          <w:tcPr>
            <w:tcW w:w="2121" w:type="pct"/>
            <w:tcBorders>
              <w:bottom w:val="single" w:sz="4" w:space="0" w:color="000000"/>
            </w:tcBorders>
            <w:vAlign w:val="bottom"/>
          </w:tcPr>
          <w:p w14:paraId="488F77A5" w14:textId="3B1BBE97" w:rsidR="00D83E33" w:rsidRPr="00EA10CF" w:rsidRDefault="00313B4D">
            <w:pPr>
              <w:widowControl w:val="0"/>
              <w:pBdr>
                <w:top w:val="nil"/>
                <w:left w:val="nil"/>
                <w:bottom w:val="nil"/>
                <w:right w:val="nil"/>
                <w:between w:val="nil"/>
              </w:pBdr>
              <w:rPr>
                <w:i/>
                <w:color w:val="000000"/>
              </w:rPr>
            </w:pPr>
            <w:r>
              <w:rPr>
                <w:i/>
                <w:color w:val="000000"/>
              </w:rPr>
              <w:t xml:space="preserve">In thousands of </w:t>
            </w:r>
            <w:r w:rsidR="002649EE">
              <w:rPr>
                <w:i/>
                <w:color w:val="000000"/>
              </w:rPr>
              <w:t>EUR</w:t>
            </w:r>
          </w:p>
        </w:tc>
        <w:tc>
          <w:tcPr>
            <w:tcW w:w="758" w:type="pct"/>
            <w:tcBorders>
              <w:bottom w:val="single" w:sz="4" w:space="0" w:color="000000"/>
            </w:tcBorders>
          </w:tcPr>
          <w:p w14:paraId="42EDC81D"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Fair value</w:t>
            </w:r>
          </w:p>
        </w:tc>
        <w:tc>
          <w:tcPr>
            <w:tcW w:w="758" w:type="pct"/>
            <w:tcBorders>
              <w:bottom w:val="single" w:sz="4" w:space="0" w:color="000000"/>
            </w:tcBorders>
          </w:tcPr>
          <w:p w14:paraId="3722CBD7"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Valuation technique</w:t>
            </w:r>
          </w:p>
        </w:tc>
        <w:tc>
          <w:tcPr>
            <w:tcW w:w="1363" w:type="pct"/>
            <w:tcBorders>
              <w:bottom w:val="single" w:sz="4" w:space="0" w:color="000000"/>
            </w:tcBorders>
          </w:tcPr>
          <w:p w14:paraId="4CF2BFA3"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Inputs used</w:t>
            </w:r>
          </w:p>
        </w:tc>
      </w:tr>
      <w:tr w:rsidR="00D83E33" w:rsidRPr="00EA10CF" w14:paraId="4F4EAC46" w14:textId="77777777" w:rsidTr="001B330E">
        <w:trPr>
          <w:trHeight w:val="23"/>
        </w:trPr>
        <w:tc>
          <w:tcPr>
            <w:tcW w:w="2121" w:type="pct"/>
            <w:vAlign w:val="bottom"/>
          </w:tcPr>
          <w:p w14:paraId="21C1B824" w14:textId="77777777" w:rsidR="00D83E33" w:rsidRPr="00EA10CF" w:rsidRDefault="00D83E33">
            <w:pPr>
              <w:widowControl w:val="0"/>
              <w:pBdr>
                <w:top w:val="nil"/>
                <w:left w:val="nil"/>
                <w:bottom w:val="nil"/>
                <w:right w:val="nil"/>
                <w:between w:val="nil"/>
              </w:pBdr>
              <w:rPr>
                <w:b/>
                <w:i/>
                <w:color w:val="000000"/>
              </w:rPr>
            </w:pPr>
          </w:p>
        </w:tc>
        <w:tc>
          <w:tcPr>
            <w:tcW w:w="758" w:type="pct"/>
            <w:vAlign w:val="bottom"/>
          </w:tcPr>
          <w:p w14:paraId="1FC2017D"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70BFEC07"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DCEBDA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7C1FEF2" w14:textId="77777777" w:rsidTr="001B330E">
        <w:trPr>
          <w:trHeight w:val="23"/>
        </w:trPr>
        <w:tc>
          <w:tcPr>
            <w:tcW w:w="2121" w:type="pct"/>
            <w:vAlign w:val="bottom"/>
          </w:tcPr>
          <w:p w14:paraId="1833D5E5" w14:textId="77777777" w:rsidR="00D83E33" w:rsidRPr="00EA10CF" w:rsidRDefault="00BC4072">
            <w:pPr>
              <w:widowControl w:val="0"/>
              <w:pBdr>
                <w:top w:val="nil"/>
                <w:left w:val="nil"/>
                <w:bottom w:val="nil"/>
                <w:right w:val="nil"/>
                <w:between w:val="nil"/>
              </w:pBdr>
              <w:rPr>
                <w:b/>
                <w:i/>
                <w:color w:val="000000"/>
              </w:rPr>
            </w:pPr>
            <w:r w:rsidRPr="00EA10CF">
              <w:rPr>
                <w:b/>
                <w:i/>
                <w:color w:val="000000"/>
              </w:rPr>
              <w:t xml:space="preserve">Repurchase receivables </w:t>
            </w:r>
          </w:p>
        </w:tc>
        <w:tc>
          <w:tcPr>
            <w:tcW w:w="758" w:type="pct"/>
            <w:vAlign w:val="bottom"/>
          </w:tcPr>
          <w:p w14:paraId="17A16B37"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269AD93A"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1D8C3B0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0A16A03" w14:textId="77777777" w:rsidTr="001B330E">
        <w:trPr>
          <w:trHeight w:val="23"/>
        </w:trPr>
        <w:tc>
          <w:tcPr>
            <w:tcW w:w="2121" w:type="pct"/>
            <w:vAlign w:val="bottom"/>
          </w:tcPr>
          <w:p w14:paraId="585E5D9C" w14:textId="280CFD1E" w:rsidR="00D83E33" w:rsidRPr="00EA10CF" w:rsidRDefault="00BC4072">
            <w:pPr>
              <w:widowControl w:val="0"/>
              <w:pBdr>
                <w:top w:val="nil"/>
                <w:left w:val="nil"/>
                <w:bottom w:val="nil"/>
                <w:right w:val="nil"/>
                <w:between w:val="nil"/>
              </w:pBdr>
              <w:rPr>
                <w:color w:val="000000"/>
              </w:rPr>
            </w:pPr>
            <w:r w:rsidRPr="00EA10CF">
              <w:rPr>
                <w:color w:val="000000"/>
              </w:rPr>
              <w:t xml:space="preserve">- </w:t>
            </w:r>
            <w:r w:rsidR="00372E26">
              <w:rPr>
                <w:color w:val="000000"/>
              </w:rPr>
              <w:t>[Country]</w:t>
            </w:r>
            <w:r w:rsidRPr="00EA10CF">
              <w:rPr>
                <w:color w:val="000000"/>
              </w:rPr>
              <w:t xml:space="preserve"> government bonds</w:t>
            </w:r>
          </w:p>
        </w:tc>
        <w:tc>
          <w:tcPr>
            <w:tcW w:w="758" w:type="pct"/>
            <w:vAlign w:val="bottom"/>
          </w:tcPr>
          <w:p w14:paraId="3739FF64" w14:textId="77777777" w:rsidR="00D83E33" w:rsidRPr="00EA10CF" w:rsidRDefault="00D83E33" w:rsidP="001B330E">
            <w:pPr>
              <w:widowControl w:val="0"/>
              <w:pBdr>
                <w:top w:val="nil"/>
                <w:left w:val="nil"/>
                <w:bottom w:val="nil"/>
                <w:right w:val="nil"/>
                <w:between w:val="nil"/>
              </w:pBdr>
              <w:rPr>
                <w:color w:val="000000"/>
              </w:rPr>
            </w:pPr>
          </w:p>
        </w:tc>
        <w:tc>
          <w:tcPr>
            <w:tcW w:w="758" w:type="pct"/>
            <w:vAlign w:val="bottom"/>
          </w:tcPr>
          <w:p w14:paraId="47077160"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39545B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DB0CCE3" w14:textId="77777777" w:rsidTr="001B330E">
        <w:trPr>
          <w:trHeight w:val="23"/>
        </w:trPr>
        <w:tc>
          <w:tcPr>
            <w:tcW w:w="2121" w:type="pct"/>
            <w:vAlign w:val="bottom"/>
          </w:tcPr>
          <w:p w14:paraId="5732C55D" w14:textId="77777777" w:rsidR="00D83E33" w:rsidRPr="00EA10CF" w:rsidRDefault="00BC4072">
            <w:pPr>
              <w:widowControl w:val="0"/>
              <w:pBdr>
                <w:top w:val="nil"/>
                <w:left w:val="nil"/>
                <w:bottom w:val="nil"/>
                <w:right w:val="nil"/>
                <w:between w:val="nil"/>
              </w:pBdr>
              <w:rPr>
                <w:color w:val="000000"/>
              </w:rPr>
            </w:pPr>
            <w:r w:rsidRPr="00EA10CF">
              <w:rPr>
                <w:color w:val="000000"/>
              </w:rPr>
              <w:t>- Municipal bonds</w:t>
            </w:r>
          </w:p>
        </w:tc>
        <w:tc>
          <w:tcPr>
            <w:tcW w:w="758" w:type="pct"/>
            <w:vAlign w:val="bottom"/>
          </w:tcPr>
          <w:p w14:paraId="51CA5F1E" w14:textId="77777777" w:rsidR="00D83E33" w:rsidRPr="00EA10CF" w:rsidRDefault="00D83E33" w:rsidP="001B330E">
            <w:pPr>
              <w:widowControl w:val="0"/>
              <w:pBdr>
                <w:top w:val="nil"/>
                <w:left w:val="nil"/>
                <w:bottom w:val="nil"/>
                <w:right w:val="nil"/>
                <w:between w:val="nil"/>
              </w:pBdr>
              <w:rPr>
                <w:color w:val="000000"/>
              </w:rPr>
            </w:pPr>
          </w:p>
        </w:tc>
        <w:tc>
          <w:tcPr>
            <w:tcW w:w="758" w:type="pct"/>
            <w:vAlign w:val="bottom"/>
          </w:tcPr>
          <w:p w14:paraId="5BAFF609"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87EA5F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8E9676C" w14:textId="77777777" w:rsidTr="001B330E">
        <w:trPr>
          <w:trHeight w:val="23"/>
        </w:trPr>
        <w:tc>
          <w:tcPr>
            <w:tcW w:w="2121" w:type="pct"/>
            <w:vAlign w:val="bottom"/>
          </w:tcPr>
          <w:p w14:paraId="02B12577" w14:textId="77777777" w:rsidR="00D83E33" w:rsidRPr="00EA10CF" w:rsidRDefault="00BC4072">
            <w:pPr>
              <w:widowControl w:val="0"/>
              <w:pBdr>
                <w:top w:val="nil"/>
                <w:left w:val="nil"/>
                <w:bottom w:val="nil"/>
                <w:right w:val="nil"/>
                <w:between w:val="nil"/>
              </w:pBdr>
              <w:rPr>
                <w:color w:val="000000"/>
              </w:rPr>
            </w:pPr>
            <w:r w:rsidRPr="00EA10CF">
              <w:rPr>
                <w:color w:val="000000"/>
              </w:rPr>
              <w:t>- Corporate bonds</w:t>
            </w:r>
          </w:p>
        </w:tc>
        <w:tc>
          <w:tcPr>
            <w:tcW w:w="758" w:type="pct"/>
            <w:vAlign w:val="bottom"/>
          </w:tcPr>
          <w:p w14:paraId="60F70997" w14:textId="77777777" w:rsidR="00D83E33" w:rsidRPr="00EA10CF" w:rsidRDefault="00D83E33" w:rsidP="001B330E">
            <w:pPr>
              <w:widowControl w:val="0"/>
              <w:pBdr>
                <w:top w:val="nil"/>
                <w:left w:val="nil"/>
                <w:bottom w:val="nil"/>
                <w:right w:val="nil"/>
                <w:between w:val="nil"/>
              </w:pBdr>
              <w:rPr>
                <w:color w:val="000000"/>
              </w:rPr>
            </w:pPr>
          </w:p>
        </w:tc>
        <w:tc>
          <w:tcPr>
            <w:tcW w:w="758" w:type="pct"/>
            <w:vAlign w:val="bottom"/>
          </w:tcPr>
          <w:p w14:paraId="0037CB04"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777404C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99B75D0" w14:textId="77777777" w:rsidTr="001B330E">
        <w:trPr>
          <w:trHeight w:val="23"/>
        </w:trPr>
        <w:tc>
          <w:tcPr>
            <w:tcW w:w="2121" w:type="pct"/>
            <w:vAlign w:val="bottom"/>
          </w:tcPr>
          <w:p w14:paraId="6D316396" w14:textId="77777777" w:rsidR="00D83E33" w:rsidRPr="00EA10CF" w:rsidRDefault="00BC4072">
            <w:pPr>
              <w:widowControl w:val="0"/>
              <w:pBdr>
                <w:top w:val="nil"/>
                <w:left w:val="nil"/>
                <w:bottom w:val="nil"/>
                <w:right w:val="nil"/>
                <w:between w:val="nil"/>
              </w:pBdr>
              <w:rPr>
                <w:color w:val="000000"/>
              </w:rPr>
            </w:pPr>
            <w:r w:rsidRPr="00EA10CF">
              <w:rPr>
                <w:color w:val="000000"/>
              </w:rPr>
              <w:t>- Investments in mutual funds</w:t>
            </w:r>
          </w:p>
        </w:tc>
        <w:tc>
          <w:tcPr>
            <w:tcW w:w="758" w:type="pct"/>
            <w:vAlign w:val="bottom"/>
          </w:tcPr>
          <w:p w14:paraId="1AC66B07" w14:textId="77777777" w:rsidR="00D83E33" w:rsidRPr="00EA10CF" w:rsidRDefault="00D83E33" w:rsidP="001B330E">
            <w:pPr>
              <w:widowControl w:val="0"/>
              <w:pBdr>
                <w:top w:val="nil"/>
                <w:left w:val="nil"/>
                <w:bottom w:val="nil"/>
                <w:right w:val="nil"/>
                <w:between w:val="nil"/>
              </w:pBdr>
              <w:rPr>
                <w:color w:val="000000"/>
              </w:rPr>
            </w:pPr>
          </w:p>
        </w:tc>
        <w:tc>
          <w:tcPr>
            <w:tcW w:w="758" w:type="pct"/>
            <w:vAlign w:val="bottom"/>
          </w:tcPr>
          <w:p w14:paraId="4904B6FF"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54ED2B1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77BEB35" w14:textId="77777777" w:rsidTr="001B330E">
        <w:trPr>
          <w:trHeight w:val="23"/>
        </w:trPr>
        <w:tc>
          <w:tcPr>
            <w:tcW w:w="2121" w:type="pct"/>
            <w:vAlign w:val="bottom"/>
          </w:tcPr>
          <w:p w14:paraId="4C037F95" w14:textId="77777777" w:rsidR="00D83E33" w:rsidRPr="00EA10CF" w:rsidRDefault="00BC4072">
            <w:pPr>
              <w:widowControl w:val="0"/>
              <w:pBdr>
                <w:top w:val="nil"/>
                <w:left w:val="nil"/>
                <w:bottom w:val="nil"/>
                <w:right w:val="nil"/>
                <w:between w:val="nil"/>
              </w:pBdr>
              <w:rPr>
                <w:color w:val="000000"/>
              </w:rPr>
            </w:pPr>
            <w:r w:rsidRPr="00EA10CF">
              <w:rPr>
                <w:color w:val="000000"/>
              </w:rPr>
              <w:t>- Promissory notes</w:t>
            </w:r>
          </w:p>
        </w:tc>
        <w:tc>
          <w:tcPr>
            <w:tcW w:w="758" w:type="pct"/>
            <w:vAlign w:val="bottom"/>
          </w:tcPr>
          <w:p w14:paraId="3D425ADC" w14:textId="77777777" w:rsidR="00D83E33" w:rsidRPr="00EA10CF" w:rsidRDefault="00D83E33" w:rsidP="001B330E">
            <w:pPr>
              <w:widowControl w:val="0"/>
              <w:pBdr>
                <w:top w:val="nil"/>
                <w:left w:val="nil"/>
                <w:bottom w:val="nil"/>
                <w:right w:val="nil"/>
                <w:between w:val="nil"/>
              </w:pBdr>
              <w:rPr>
                <w:color w:val="000000"/>
              </w:rPr>
            </w:pPr>
          </w:p>
        </w:tc>
        <w:tc>
          <w:tcPr>
            <w:tcW w:w="758" w:type="pct"/>
            <w:vAlign w:val="bottom"/>
          </w:tcPr>
          <w:p w14:paraId="35A47AB2"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203D12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BB39BF5" w14:textId="77777777" w:rsidTr="001B330E">
        <w:trPr>
          <w:trHeight w:val="23"/>
        </w:trPr>
        <w:tc>
          <w:tcPr>
            <w:tcW w:w="2121" w:type="pct"/>
            <w:vAlign w:val="bottom"/>
          </w:tcPr>
          <w:p w14:paraId="17FB3DE1" w14:textId="77777777" w:rsidR="00D83E33" w:rsidRPr="00EA10CF" w:rsidRDefault="00BC4072">
            <w:pPr>
              <w:widowControl w:val="0"/>
              <w:pBdr>
                <w:top w:val="nil"/>
                <w:left w:val="nil"/>
                <w:bottom w:val="nil"/>
                <w:right w:val="nil"/>
                <w:between w:val="nil"/>
              </w:pBdr>
              <w:rPr>
                <w:color w:val="000000"/>
              </w:rPr>
            </w:pPr>
            <w:r w:rsidRPr="00EA10CF">
              <w:rPr>
                <w:color w:val="000000"/>
              </w:rPr>
              <w:t>- Corporate shares</w:t>
            </w:r>
          </w:p>
        </w:tc>
        <w:tc>
          <w:tcPr>
            <w:tcW w:w="758" w:type="pct"/>
            <w:vAlign w:val="bottom"/>
          </w:tcPr>
          <w:p w14:paraId="1C81A141" w14:textId="77777777" w:rsidR="00D83E33" w:rsidRPr="00EA10CF" w:rsidRDefault="00D83E33" w:rsidP="001B330E">
            <w:pPr>
              <w:widowControl w:val="0"/>
              <w:pBdr>
                <w:top w:val="nil"/>
                <w:left w:val="nil"/>
                <w:bottom w:val="nil"/>
                <w:right w:val="nil"/>
                <w:between w:val="nil"/>
              </w:pBdr>
              <w:rPr>
                <w:color w:val="000000"/>
              </w:rPr>
            </w:pPr>
          </w:p>
        </w:tc>
        <w:tc>
          <w:tcPr>
            <w:tcW w:w="758" w:type="pct"/>
            <w:vAlign w:val="bottom"/>
          </w:tcPr>
          <w:p w14:paraId="3413FD27"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7DE3800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D1C4292" w14:textId="77777777" w:rsidTr="001B330E">
        <w:trPr>
          <w:trHeight w:val="23"/>
        </w:trPr>
        <w:tc>
          <w:tcPr>
            <w:tcW w:w="2121" w:type="pct"/>
            <w:vAlign w:val="bottom"/>
          </w:tcPr>
          <w:p w14:paraId="5472D2F4" w14:textId="77777777" w:rsidR="00D83E33" w:rsidRPr="00EA10CF" w:rsidRDefault="00BC4072">
            <w:pPr>
              <w:widowControl w:val="0"/>
              <w:pBdr>
                <w:top w:val="nil"/>
                <w:left w:val="nil"/>
                <w:bottom w:val="nil"/>
                <w:right w:val="nil"/>
                <w:between w:val="nil"/>
              </w:pBdr>
              <w:rPr>
                <w:color w:val="000000"/>
              </w:rPr>
            </w:pPr>
            <w:r w:rsidRPr="00EA10CF">
              <w:rPr>
                <w:color w:val="000000"/>
              </w:rPr>
              <w:t>- American depositary receipts (ADR)</w:t>
            </w:r>
          </w:p>
        </w:tc>
        <w:tc>
          <w:tcPr>
            <w:tcW w:w="758" w:type="pct"/>
            <w:vAlign w:val="bottom"/>
          </w:tcPr>
          <w:p w14:paraId="5413C962" w14:textId="77777777" w:rsidR="00D83E33" w:rsidRPr="00EA10CF" w:rsidRDefault="00D83E33" w:rsidP="001B330E">
            <w:pPr>
              <w:widowControl w:val="0"/>
              <w:pBdr>
                <w:top w:val="nil"/>
                <w:left w:val="nil"/>
                <w:bottom w:val="nil"/>
                <w:right w:val="nil"/>
                <w:between w:val="nil"/>
              </w:pBdr>
              <w:rPr>
                <w:color w:val="000000"/>
              </w:rPr>
            </w:pPr>
          </w:p>
        </w:tc>
        <w:tc>
          <w:tcPr>
            <w:tcW w:w="758" w:type="pct"/>
            <w:vAlign w:val="bottom"/>
          </w:tcPr>
          <w:p w14:paraId="1621A047"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230E77F2"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656DF86" w14:textId="77777777" w:rsidTr="001B330E">
        <w:trPr>
          <w:trHeight w:val="23"/>
        </w:trPr>
        <w:tc>
          <w:tcPr>
            <w:tcW w:w="2121" w:type="pct"/>
            <w:vAlign w:val="bottom"/>
          </w:tcPr>
          <w:p w14:paraId="4032DC11" w14:textId="77777777" w:rsidR="00D83E33" w:rsidRPr="00EA10CF" w:rsidRDefault="00D83E33">
            <w:pPr>
              <w:widowControl w:val="0"/>
              <w:pBdr>
                <w:top w:val="nil"/>
                <w:left w:val="nil"/>
                <w:bottom w:val="nil"/>
                <w:right w:val="nil"/>
                <w:between w:val="nil"/>
              </w:pBdr>
              <w:rPr>
                <w:color w:val="000000"/>
              </w:rPr>
            </w:pPr>
          </w:p>
        </w:tc>
        <w:tc>
          <w:tcPr>
            <w:tcW w:w="758" w:type="pct"/>
            <w:vAlign w:val="bottom"/>
          </w:tcPr>
          <w:p w14:paraId="7A3149EB" w14:textId="77777777" w:rsidR="00D83E33" w:rsidRPr="00EA10CF" w:rsidRDefault="00D83E33" w:rsidP="001B330E">
            <w:pPr>
              <w:widowControl w:val="0"/>
              <w:pBdr>
                <w:top w:val="nil"/>
                <w:left w:val="nil"/>
                <w:bottom w:val="nil"/>
                <w:right w:val="nil"/>
                <w:between w:val="nil"/>
              </w:pBdr>
              <w:rPr>
                <w:color w:val="000000"/>
              </w:rPr>
            </w:pPr>
          </w:p>
        </w:tc>
        <w:tc>
          <w:tcPr>
            <w:tcW w:w="758" w:type="pct"/>
            <w:vAlign w:val="bottom"/>
          </w:tcPr>
          <w:p w14:paraId="4FEDC317"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6F6239F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C70A98B" w14:textId="77777777" w:rsidTr="001B330E">
        <w:trPr>
          <w:trHeight w:val="23"/>
        </w:trPr>
        <w:tc>
          <w:tcPr>
            <w:tcW w:w="2121" w:type="pct"/>
            <w:vAlign w:val="bottom"/>
          </w:tcPr>
          <w:p w14:paraId="6DC9D80A" w14:textId="4EC35AD7" w:rsidR="00D83E33" w:rsidRPr="00EA10CF" w:rsidRDefault="00BC4072">
            <w:pPr>
              <w:widowControl w:val="0"/>
              <w:pBdr>
                <w:top w:val="nil"/>
                <w:left w:val="nil"/>
                <w:bottom w:val="nil"/>
                <w:right w:val="nil"/>
                <w:between w:val="nil"/>
              </w:pBdr>
              <w:rPr>
                <w:color w:val="000000"/>
              </w:rPr>
            </w:pPr>
            <w:r w:rsidRPr="00EA10CF">
              <w:rPr>
                <w:color w:val="000000"/>
              </w:rPr>
              <w:t xml:space="preserve">- Global depositary receipts (GDR) </w:t>
            </w:r>
          </w:p>
        </w:tc>
        <w:tc>
          <w:tcPr>
            <w:tcW w:w="758" w:type="pct"/>
            <w:vAlign w:val="bottom"/>
          </w:tcPr>
          <w:p w14:paraId="7371F8F5" w14:textId="77777777" w:rsidR="00D83E33" w:rsidRPr="00EA10CF" w:rsidRDefault="00D83E33" w:rsidP="001B330E">
            <w:pPr>
              <w:widowControl w:val="0"/>
              <w:pBdr>
                <w:top w:val="nil"/>
                <w:left w:val="nil"/>
                <w:bottom w:val="nil"/>
                <w:right w:val="nil"/>
                <w:between w:val="nil"/>
              </w:pBdr>
              <w:rPr>
                <w:color w:val="000000"/>
              </w:rPr>
            </w:pPr>
          </w:p>
        </w:tc>
        <w:tc>
          <w:tcPr>
            <w:tcW w:w="758" w:type="pct"/>
            <w:vAlign w:val="bottom"/>
          </w:tcPr>
          <w:p w14:paraId="7668BC9F"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2B19161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2E46609" w14:textId="77777777" w:rsidTr="001B330E">
        <w:trPr>
          <w:trHeight w:val="23"/>
        </w:trPr>
        <w:tc>
          <w:tcPr>
            <w:tcW w:w="2121" w:type="pct"/>
            <w:vAlign w:val="bottom"/>
          </w:tcPr>
          <w:p w14:paraId="0925471D" w14:textId="77777777" w:rsidR="00D83E33" w:rsidRPr="00EA10CF" w:rsidRDefault="00D83E33">
            <w:pPr>
              <w:widowControl w:val="0"/>
              <w:pBdr>
                <w:top w:val="nil"/>
                <w:left w:val="nil"/>
                <w:bottom w:val="nil"/>
                <w:right w:val="nil"/>
                <w:between w:val="nil"/>
              </w:pBdr>
              <w:rPr>
                <w:b/>
                <w:i/>
                <w:color w:val="000000"/>
              </w:rPr>
            </w:pPr>
          </w:p>
        </w:tc>
        <w:tc>
          <w:tcPr>
            <w:tcW w:w="758" w:type="pct"/>
            <w:vAlign w:val="bottom"/>
          </w:tcPr>
          <w:p w14:paraId="7625E2B2"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2676CB97"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366D1C5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5120E16" w14:textId="77777777" w:rsidTr="001B330E">
        <w:trPr>
          <w:trHeight w:val="23"/>
        </w:trPr>
        <w:tc>
          <w:tcPr>
            <w:tcW w:w="2121" w:type="pct"/>
            <w:vAlign w:val="bottom"/>
          </w:tcPr>
          <w:p w14:paraId="5F2B1E7D" w14:textId="77777777" w:rsidR="00D83E33" w:rsidRPr="00EA10CF" w:rsidRDefault="00BC4072">
            <w:pPr>
              <w:widowControl w:val="0"/>
              <w:pBdr>
                <w:top w:val="nil"/>
                <w:left w:val="nil"/>
                <w:bottom w:val="nil"/>
                <w:right w:val="nil"/>
                <w:between w:val="nil"/>
              </w:pBdr>
              <w:rPr>
                <w:b/>
                <w:i/>
                <w:color w:val="000000"/>
              </w:rPr>
            </w:pPr>
            <w:r w:rsidRPr="00EA10CF">
              <w:rPr>
                <w:b/>
                <w:i/>
                <w:color w:val="000000"/>
              </w:rPr>
              <w:t xml:space="preserve">Other financial assets </w:t>
            </w:r>
          </w:p>
        </w:tc>
        <w:tc>
          <w:tcPr>
            <w:tcW w:w="758" w:type="pct"/>
            <w:vAlign w:val="bottom"/>
          </w:tcPr>
          <w:p w14:paraId="143D9C98"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1AAD3E60"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33EA37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C7FBDBD" w14:textId="77777777" w:rsidTr="001B330E">
        <w:trPr>
          <w:trHeight w:val="23"/>
        </w:trPr>
        <w:tc>
          <w:tcPr>
            <w:tcW w:w="2121" w:type="pct"/>
            <w:vAlign w:val="bottom"/>
          </w:tcPr>
          <w:p w14:paraId="70B30D27" w14:textId="77777777" w:rsidR="00D83E33" w:rsidRPr="00EA10CF" w:rsidRDefault="00BC4072">
            <w:pPr>
              <w:widowControl w:val="0"/>
              <w:pBdr>
                <w:top w:val="nil"/>
                <w:left w:val="nil"/>
                <w:bottom w:val="nil"/>
                <w:right w:val="nil"/>
                <w:between w:val="nil"/>
              </w:pBdr>
              <w:rPr>
                <w:color w:val="000000"/>
              </w:rPr>
            </w:pPr>
            <w:r w:rsidRPr="00EA10CF">
              <w:rPr>
                <w:color w:val="000000"/>
              </w:rPr>
              <w:t>- Foreign exchange forward contracts</w:t>
            </w:r>
          </w:p>
        </w:tc>
        <w:tc>
          <w:tcPr>
            <w:tcW w:w="758" w:type="pct"/>
            <w:vAlign w:val="bottom"/>
          </w:tcPr>
          <w:p w14:paraId="200C73A0"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18BC8EAE"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14BA5C9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9B61519" w14:textId="77777777" w:rsidTr="001B330E">
        <w:trPr>
          <w:trHeight w:val="23"/>
        </w:trPr>
        <w:tc>
          <w:tcPr>
            <w:tcW w:w="2121" w:type="pct"/>
            <w:vAlign w:val="bottom"/>
          </w:tcPr>
          <w:p w14:paraId="5B9ED92B" w14:textId="77777777" w:rsidR="00D83E33" w:rsidRPr="00EA10CF" w:rsidRDefault="00BC4072">
            <w:pPr>
              <w:widowControl w:val="0"/>
              <w:pBdr>
                <w:top w:val="nil"/>
                <w:left w:val="nil"/>
                <w:bottom w:val="nil"/>
                <w:right w:val="nil"/>
                <w:between w:val="nil"/>
              </w:pBdr>
              <w:rPr>
                <w:color w:val="000000"/>
              </w:rPr>
            </w:pPr>
            <w:r w:rsidRPr="00EA10CF">
              <w:rPr>
                <w:color w:val="000000"/>
              </w:rPr>
              <w:t>- Precious metals forward contracts</w:t>
            </w:r>
          </w:p>
        </w:tc>
        <w:tc>
          <w:tcPr>
            <w:tcW w:w="758" w:type="pct"/>
            <w:vAlign w:val="bottom"/>
          </w:tcPr>
          <w:p w14:paraId="77FE3AD5"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6F23F304"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512EC12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1927AB0" w14:textId="77777777" w:rsidTr="001B330E">
        <w:trPr>
          <w:trHeight w:val="23"/>
        </w:trPr>
        <w:tc>
          <w:tcPr>
            <w:tcW w:w="2121" w:type="pct"/>
            <w:vAlign w:val="bottom"/>
          </w:tcPr>
          <w:p w14:paraId="29541E93" w14:textId="77777777" w:rsidR="00D83E33" w:rsidRPr="00EA10CF" w:rsidRDefault="00BC4072">
            <w:pPr>
              <w:widowControl w:val="0"/>
              <w:pBdr>
                <w:top w:val="nil"/>
                <w:left w:val="nil"/>
                <w:bottom w:val="nil"/>
                <w:right w:val="nil"/>
                <w:between w:val="nil"/>
              </w:pBdr>
              <w:rPr>
                <w:color w:val="000000"/>
              </w:rPr>
            </w:pPr>
            <w:r w:rsidRPr="00EA10CF">
              <w:rPr>
                <w:color w:val="000000"/>
              </w:rPr>
              <w:t>- Other financial derivatives</w:t>
            </w:r>
          </w:p>
        </w:tc>
        <w:tc>
          <w:tcPr>
            <w:tcW w:w="758" w:type="pct"/>
            <w:vAlign w:val="bottom"/>
          </w:tcPr>
          <w:p w14:paraId="1B25B39D"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10684915"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BC8633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8643389" w14:textId="77777777" w:rsidTr="001B330E">
        <w:trPr>
          <w:trHeight w:val="23"/>
        </w:trPr>
        <w:tc>
          <w:tcPr>
            <w:tcW w:w="2121" w:type="pct"/>
            <w:vAlign w:val="bottom"/>
          </w:tcPr>
          <w:p w14:paraId="0B797FA4" w14:textId="77777777" w:rsidR="00D83E33" w:rsidRPr="00EA10CF" w:rsidRDefault="00BC4072">
            <w:pPr>
              <w:widowControl w:val="0"/>
              <w:pBdr>
                <w:top w:val="nil"/>
                <w:left w:val="nil"/>
                <w:bottom w:val="nil"/>
                <w:right w:val="nil"/>
                <w:between w:val="nil"/>
              </w:pBdr>
              <w:rPr>
                <w:color w:val="000000"/>
              </w:rPr>
            </w:pPr>
            <w:r w:rsidRPr="00EA10CF">
              <w:rPr>
                <w:color w:val="000000"/>
              </w:rPr>
              <w:t>- Other</w:t>
            </w:r>
          </w:p>
        </w:tc>
        <w:tc>
          <w:tcPr>
            <w:tcW w:w="758" w:type="pct"/>
            <w:vAlign w:val="bottom"/>
          </w:tcPr>
          <w:p w14:paraId="4F2277EA"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785F34D4"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777AADA3"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C2588CA" w14:textId="77777777" w:rsidTr="001B330E">
        <w:trPr>
          <w:trHeight w:val="23"/>
        </w:trPr>
        <w:tc>
          <w:tcPr>
            <w:tcW w:w="2121" w:type="pct"/>
            <w:vAlign w:val="bottom"/>
          </w:tcPr>
          <w:p w14:paraId="7719E934" w14:textId="625727AB" w:rsidR="00D83E33" w:rsidRPr="00EA10CF" w:rsidRDefault="00D83E33">
            <w:pPr>
              <w:widowControl w:val="0"/>
              <w:pBdr>
                <w:top w:val="nil"/>
                <w:left w:val="nil"/>
                <w:bottom w:val="nil"/>
                <w:right w:val="nil"/>
                <w:between w:val="nil"/>
              </w:pBdr>
              <w:rPr>
                <w:color w:val="000000"/>
              </w:rPr>
            </w:pPr>
          </w:p>
        </w:tc>
        <w:tc>
          <w:tcPr>
            <w:tcW w:w="758" w:type="pct"/>
            <w:vAlign w:val="bottom"/>
          </w:tcPr>
          <w:p w14:paraId="3814794F"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047EAAA3"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A64E80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C934680" w14:textId="77777777" w:rsidTr="001B330E">
        <w:trPr>
          <w:trHeight w:val="23"/>
        </w:trPr>
        <w:tc>
          <w:tcPr>
            <w:tcW w:w="2121" w:type="pct"/>
            <w:vAlign w:val="bottom"/>
          </w:tcPr>
          <w:p w14:paraId="26FD9516" w14:textId="77777777" w:rsidR="00D83E33" w:rsidRPr="00EA10CF" w:rsidRDefault="00D83E33">
            <w:pPr>
              <w:widowControl w:val="0"/>
              <w:pBdr>
                <w:top w:val="nil"/>
                <w:left w:val="nil"/>
                <w:bottom w:val="nil"/>
                <w:right w:val="nil"/>
                <w:between w:val="nil"/>
              </w:pBdr>
              <w:rPr>
                <w:b/>
                <w:smallCaps/>
                <w:color w:val="000000"/>
              </w:rPr>
            </w:pPr>
          </w:p>
        </w:tc>
        <w:tc>
          <w:tcPr>
            <w:tcW w:w="758" w:type="pct"/>
            <w:vAlign w:val="bottom"/>
          </w:tcPr>
          <w:p w14:paraId="694D2F74"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51225366"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2CE65D3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53CF776" w14:textId="77777777" w:rsidTr="001B330E">
        <w:trPr>
          <w:trHeight w:val="23"/>
        </w:trPr>
        <w:tc>
          <w:tcPr>
            <w:tcW w:w="2121" w:type="pct"/>
            <w:vAlign w:val="bottom"/>
          </w:tcPr>
          <w:p w14:paraId="59045A77" w14:textId="77777777" w:rsidR="00D83E33" w:rsidRPr="00EA10CF" w:rsidRDefault="00BC4072">
            <w:pPr>
              <w:widowControl w:val="0"/>
              <w:pBdr>
                <w:top w:val="nil"/>
                <w:left w:val="nil"/>
                <w:bottom w:val="nil"/>
                <w:right w:val="nil"/>
                <w:between w:val="nil"/>
              </w:pBdr>
              <w:rPr>
                <w:b/>
                <w:i/>
                <w:color w:val="000000"/>
              </w:rPr>
            </w:pPr>
            <w:r w:rsidRPr="00EA10CF">
              <w:rPr>
                <w:b/>
                <w:smallCaps/>
                <w:color w:val="000000"/>
              </w:rPr>
              <w:t>NON-FINANCIAL ASSETS</w:t>
            </w:r>
          </w:p>
        </w:tc>
        <w:tc>
          <w:tcPr>
            <w:tcW w:w="758" w:type="pct"/>
            <w:vAlign w:val="bottom"/>
          </w:tcPr>
          <w:p w14:paraId="170F6964"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454AD2DB"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6287F7D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627A44D" w14:textId="77777777" w:rsidTr="001B330E">
        <w:trPr>
          <w:trHeight w:val="23"/>
        </w:trPr>
        <w:tc>
          <w:tcPr>
            <w:tcW w:w="2121" w:type="pct"/>
            <w:vAlign w:val="bottom"/>
          </w:tcPr>
          <w:p w14:paraId="5EEE2E5A" w14:textId="77777777" w:rsidR="00D83E33" w:rsidRPr="00EA10CF" w:rsidRDefault="00BC4072">
            <w:pPr>
              <w:widowControl w:val="0"/>
              <w:pBdr>
                <w:top w:val="nil"/>
                <w:left w:val="nil"/>
                <w:bottom w:val="nil"/>
                <w:right w:val="nil"/>
                <w:between w:val="nil"/>
              </w:pBdr>
              <w:rPr>
                <w:b/>
                <w:color w:val="000000"/>
              </w:rPr>
            </w:pPr>
            <w:r w:rsidRPr="00EA10CF">
              <w:rPr>
                <w:color w:val="000000"/>
              </w:rPr>
              <w:t xml:space="preserve">- Premises and equipment </w:t>
            </w:r>
          </w:p>
        </w:tc>
        <w:tc>
          <w:tcPr>
            <w:tcW w:w="758" w:type="pct"/>
            <w:vAlign w:val="bottom"/>
          </w:tcPr>
          <w:p w14:paraId="72750D48"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0F8B7427"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73F3AC5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FC1C72C" w14:textId="77777777" w:rsidTr="001B330E">
        <w:trPr>
          <w:trHeight w:val="23"/>
        </w:trPr>
        <w:tc>
          <w:tcPr>
            <w:tcW w:w="2121" w:type="pct"/>
            <w:vAlign w:val="bottom"/>
          </w:tcPr>
          <w:p w14:paraId="19D71363" w14:textId="77777777" w:rsidR="00D83E33" w:rsidRPr="00EA10CF" w:rsidRDefault="00BC4072">
            <w:pPr>
              <w:widowControl w:val="0"/>
              <w:pBdr>
                <w:top w:val="nil"/>
                <w:left w:val="nil"/>
                <w:bottom w:val="nil"/>
                <w:right w:val="nil"/>
                <w:between w:val="nil"/>
              </w:pBdr>
              <w:rPr>
                <w:b/>
                <w:color w:val="000000"/>
              </w:rPr>
            </w:pPr>
            <w:r w:rsidRPr="00EA10CF">
              <w:rPr>
                <w:color w:val="000000"/>
              </w:rPr>
              <w:t>- Investment properties</w:t>
            </w:r>
          </w:p>
        </w:tc>
        <w:tc>
          <w:tcPr>
            <w:tcW w:w="758" w:type="pct"/>
            <w:vAlign w:val="bottom"/>
          </w:tcPr>
          <w:p w14:paraId="6B0F88A4"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4DF9E6F3"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71DDD5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8338458" w14:textId="77777777" w:rsidTr="001B330E">
        <w:trPr>
          <w:trHeight w:val="23"/>
        </w:trPr>
        <w:tc>
          <w:tcPr>
            <w:tcW w:w="2121" w:type="pct"/>
            <w:vAlign w:val="bottom"/>
          </w:tcPr>
          <w:p w14:paraId="6802B807"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758" w:type="pct"/>
            <w:vAlign w:val="bottom"/>
          </w:tcPr>
          <w:p w14:paraId="4B5AC49A"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74351C89"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3494B6B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5361B2B" w14:textId="77777777" w:rsidTr="001B330E">
        <w:trPr>
          <w:trHeight w:val="23"/>
        </w:trPr>
        <w:tc>
          <w:tcPr>
            <w:tcW w:w="2121" w:type="pct"/>
            <w:vAlign w:val="bottom"/>
          </w:tcPr>
          <w:p w14:paraId="7B68FE54" w14:textId="77777777" w:rsidR="00D83E33" w:rsidRPr="00EA10CF" w:rsidRDefault="00BC4072">
            <w:pPr>
              <w:widowControl w:val="0"/>
              <w:pBdr>
                <w:top w:val="nil"/>
                <w:left w:val="nil"/>
                <w:bottom w:val="nil"/>
                <w:right w:val="nil"/>
                <w:between w:val="nil"/>
              </w:pBdr>
              <w:rPr>
                <w:b/>
                <w:color w:val="000000"/>
              </w:rPr>
            </w:pPr>
            <w:r w:rsidRPr="00EA10CF">
              <w:rPr>
                <w:b/>
                <w:smallCaps/>
                <w:color w:val="000000"/>
              </w:rPr>
              <w:t>LIABILITIES CARRIED AT FAIR VALUE</w:t>
            </w:r>
          </w:p>
        </w:tc>
        <w:tc>
          <w:tcPr>
            <w:tcW w:w="758" w:type="pct"/>
            <w:vAlign w:val="bottom"/>
          </w:tcPr>
          <w:p w14:paraId="05F1DEF8"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2B038CB6"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4239F9E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74C6F00" w14:textId="77777777" w:rsidTr="001B330E">
        <w:trPr>
          <w:trHeight w:val="23"/>
        </w:trPr>
        <w:tc>
          <w:tcPr>
            <w:tcW w:w="2121" w:type="pct"/>
            <w:vAlign w:val="bottom"/>
          </w:tcPr>
          <w:p w14:paraId="47BD1630" w14:textId="77777777" w:rsidR="00D83E33" w:rsidRPr="00EA10CF" w:rsidRDefault="00BC4072">
            <w:pPr>
              <w:widowControl w:val="0"/>
              <w:pBdr>
                <w:top w:val="nil"/>
                <w:left w:val="nil"/>
                <w:bottom w:val="nil"/>
                <w:right w:val="nil"/>
                <w:between w:val="nil"/>
              </w:pBdr>
              <w:rPr>
                <w:b/>
                <w:color w:val="000000"/>
              </w:rPr>
            </w:pPr>
            <w:r w:rsidRPr="00EA10CF">
              <w:rPr>
                <w:b/>
                <w:smallCaps/>
                <w:color w:val="000000"/>
              </w:rPr>
              <w:t xml:space="preserve">FINANCIAL LIABILITIES </w:t>
            </w:r>
          </w:p>
        </w:tc>
        <w:tc>
          <w:tcPr>
            <w:tcW w:w="758" w:type="pct"/>
            <w:vAlign w:val="bottom"/>
          </w:tcPr>
          <w:p w14:paraId="3C0919E9"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4433DDC1"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14CF145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2CBC932" w14:textId="77777777" w:rsidTr="001B330E">
        <w:trPr>
          <w:trHeight w:val="23"/>
        </w:trPr>
        <w:tc>
          <w:tcPr>
            <w:tcW w:w="2121" w:type="pct"/>
            <w:vAlign w:val="bottom"/>
          </w:tcPr>
          <w:p w14:paraId="7A4B3694" w14:textId="77777777" w:rsidR="00D83E33" w:rsidRPr="00EA10CF" w:rsidRDefault="00D83E33">
            <w:pPr>
              <w:widowControl w:val="0"/>
              <w:pBdr>
                <w:top w:val="nil"/>
                <w:left w:val="nil"/>
                <w:bottom w:val="nil"/>
                <w:right w:val="nil"/>
                <w:between w:val="nil"/>
              </w:pBdr>
              <w:rPr>
                <w:b/>
                <w:i/>
                <w:color w:val="000000"/>
              </w:rPr>
            </w:pPr>
          </w:p>
        </w:tc>
        <w:tc>
          <w:tcPr>
            <w:tcW w:w="758" w:type="pct"/>
            <w:vAlign w:val="bottom"/>
          </w:tcPr>
          <w:p w14:paraId="3279B4F7"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02204279"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2AA2CE29"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D6FFDBE" w14:textId="77777777" w:rsidTr="001B330E">
        <w:trPr>
          <w:trHeight w:val="23"/>
        </w:trPr>
        <w:tc>
          <w:tcPr>
            <w:tcW w:w="2121" w:type="pct"/>
            <w:vAlign w:val="bottom"/>
          </w:tcPr>
          <w:p w14:paraId="1EF26CE4" w14:textId="77777777" w:rsidR="00D83E33" w:rsidRPr="00EA10CF" w:rsidRDefault="00BC4072">
            <w:pPr>
              <w:widowControl w:val="0"/>
              <w:pBdr>
                <w:top w:val="nil"/>
                <w:left w:val="nil"/>
                <w:bottom w:val="nil"/>
                <w:right w:val="nil"/>
                <w:between w:val="nil"/>
              </w:pBdr>
              <w:rPr>
                <w:color w:val="000000"/>
              </w:rPr>
            </w:pPr>
            <w:r w:rsidRPr="00EA10CF">
              <w:rPr>
                <w:b/>
                <w:i/>
                <w:color w:val="000000"/>
              </w:rPr>
              <w:t xml:space="preserve">Due to other banks </w:t>
            </w:r>
          </w:p>
        </w:tc>
        <w:tc>
          <w:tcPr>
            <w:tcW w:w="758" w:type="pct"/>
            <w:vAlign w:val="bottom"/>
          </w:tcPr>
          <w:p w14:paraId="5548259E"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4BD8007B"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38973F9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4AC514D8" w14:textId="77777777" w:rsidTr="001B330E">
        <w:trPr>
          <w:trHeight w:val="23"/>
        </w:trPr>
        <w:tc>
          <w:tcPr>
            <w:tcW w:w="2121" w:type="pct"/>
            <w:vAlign w:val="bottom"/>
          </w:tcPr>
          <w:p w14:paraId="6C663318" w14:textId="77777777" w:rsidR="00D83E33" w:rsidRPr="00EA10CF" w:rsidRDefault="00BC4072">
            <w:pPr>
              <w:widowControl w:val="0"/>
              <w:pBdr>
                <w:top w:val="nil"/>
                <w:left w:val="nil"/>
                <w:bottom w:val="nil"/>
                <w:right w:val="nil"/>
                <w:between w:val="nil"/>
              </w:pBdr>
              <w:rPr>
                <w:color w:val="000000"/>
              </w:rPr>
            </w:pPr>
            <w:r w:rsidRPr="00EA10CF">
              <w:rPr>
                <w:color w:val="000000"/>
              </w:rPr>
              <w:t>- Liability to return collateral sold or repledged</w:t>
            </w:r>
          </w:p>
        </w:tc>
        <w:tc>
          <w:tcPr>
            <w:tcW w:w="758" w:type="pct"/>
            <w:vAlign w:val="bottom"/>
          </w:tcPr>
          <w:p w14:paraId="27C30E17"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01005144"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43A471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67DEFA1" w14:textId="77777777" w:rsidTr="001B330E">
        <w:trPr>
          <w:trHeight w:val="23"/>
        </w:trPr>
        <w:tc>
          <w:tcPr>
            <w:tcW w:w="2121" w:type="pct"/>
            <w:vAlign w:val="bottom"/>
          </w:tcPr>
          <w:p w14:paraId="05BD7441" w14:textId="77777777" w:rsidR="00D83E33" w:rsidRPr="00EA10CF" w:rsidRDefault="00D83E33">
            <w:pPr>
              <w:widowControl w:val="0"/>
              <w:pBdr>
                <w:top w:val="nil"/>
                <w:left w:val="nil"/>
                <w:bottom w:val="nil"/>
                <w:right w:val="nil"/>
                <w:between w:val="nil"/>
              </w:pBdr>
              <w:rPr>
                <w:b/>
                <w:i/>
                <w:color w:val="000000"/>
              </w:rPr>
            </w:pPr>
          </w:p>
        </w:tc>
        <w:tc>
          <w:tcPr>
            <w:tcW w:w="758" w:type="pct"/>
            <w:vAlign w:val="bottom"/>
          </w:tcPr>
          <w:p w14:paraId="5021844E"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30DD81FF"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3CD0EF6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AADD2C" w14:textId="77777777" w:rsidTr="001B330E">
        <w:trPr>
          <w:trHeight w:val="23"/>
        </w:trPr>
        <w:tc>
          <w:tcPr>
            <w:tcW w:w="2121" w:type="pct"/>
            <w:vAlign w:val="bottom"/>
          </w:tcPr>
          <w:p w14:paraId="185ED4D3" w14:textId="77777777" w:rsidR="00D83E33" w:rsidRPr="00EA10CF" w:rsidRDefault="00BC4072">
            <w:pPr>
              <w:widowControl w:val="0"/>
              <w:pBdr>
                <w:top w:val="nil"/>
                <w:left w:val="nil"/>
                <w:bottom w:val="nil"/>
                <w:right w:val="nil"/>
                <w:between w:val="nil"/>
              </w:pBdr>
              <w:rPr>
                <w:color w:val="000000"/>
              </w:rPr>
            </w:pPr>
            <w:r w:rsidRPr="00EA10CF">
              <w:rPr>
                <w:b/>
                <w:i/>
                <w:color w:val="000000"/>
              </w:rPr>
              <w:t xml:space="preserve">Other borrowed funds </w:t>
            </w:r>
          </w:p>
        </w:tc>
        <w:tc>
          <w:tcPr>
            <w:tcW w:w="758" w:type="pct"/>
            <w:vAlign w:val="bottom"/>
          </w:tcPr>
          <w:p w14:paraId="09175442"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5F0824E4"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567C328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C62F6A3" w14:textId="77777777" w:rsidTr="001B330E">
        <w:trPr>
          <w:trHeight w:val="23"/>
        </w:trPr>
        <w:tc>
          <w:tcPr>
            <w:tcW w:w="2121" w:type="pct"/>
            <w:vAlign w:val="bottom"/>
          </w:tcPr>
          <w:p w14:paraId="36F3DE6A" w14:textId="77777777" w:rsidR="00D83E33" w:rsidRPr="00EA10CF" w:rsidRDefault="00BC4072">
            <w:pPr>
              <w:widowControl w:val="0"/>
              <w:pBdr>
                <w:top w:val="nil"/>
                <w:left w:val="nil"/>
                <w:bottom w:val="nil"/>
                <w:right w:val="nil"/>
                <w:between w:val="nil"/>
              </w:pBdr>
              <w:rPr>
                <w:color w:val="000000"/>
              </w:rPr>
            </w:pPr>
            <w:r w:rsidRPr="00EA10CF">
              <w:rPr>
                <w:color w:val="000000"/>
              </w:rPr>
              <w:t>- Liability to return collateral sold or repledged</w:t>
            </w:r>
          </w:p>
        </w:tc>
        <w:tc>
          <w:tcPr>
            <w:tcW w:w="758" w:type="pct"/>
            <w:vAlign w:val="bottom"/>
          </w:tcPr>
          <w:p w14:paraId="44A8650B"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0B393D5A"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2DF35DD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7395753" w14:textId="77777777" w:rsidTr="001B330E">
        <w:trPr>
          <w:trHeight w:val="23"/>
        </w:trPr>
        <w:tc>
          <w:tcPr>
            <w:tcW w:w="2121" w:type="pct"/>
            <w:vAlign w:val="bottom"/>
          </w:tcPr>
          <w:p w14:paraId="2B9CB1A5" w14:textId="61C4B7DE" w:rsidR="00D83E33" w:rsidRPr="00EA10CF" w:rsidRDefault="00BC4072">
            <w:pPr>
              <w:widowControl w:val="0"/>
              <w:pBdr>
                <w:top w:val="nil"/>
                <w:left w:val="nil"/>
                <w:bottom w:val="nil"/>
                <w:right w:val="nil"/>
                <w:between w:val="nil"/>
              </w:pBdr>
              <w:rPr>
                <w:color w:val="000000"/>
              </w:rPr>
            </w:pPr>
            <w:r w:rsidRPr="00EA10CF">
              <w:rPr>
                <w:color w:val="000000"/>
              </w:rPr>
              <w:t xml:space="preserve">- </w:t>
            </w:r>
            <w:r w:rsidR="00EB510C">
              <w:rPr>
                <w:color w:val="000000"/>
              </w:rPr>
              <w:t>Other structured</w:t>
            </w:r>
            <w:r w:rsidRPr="00EA10CF">
              <w:rPr>
                <w:color w:val="000000"/>
              </w:rPr>
              <w:t xml:space="preserve"> funding</w:t>
            </w:r>
          </w:p>
        </w:tc>
        <w:tc>
          <w:tcPr>
            <w:tcW w:w="758" w:type="pct"/>
            <w:vAlign w:val="bottom"/>
          </w:tcPr>
          <w:p w14:paraId="3557C61B"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0357D85F"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5C1470D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C50522E" w14:textId="77777777" w:rsidTr="001B330E">
        <w:trPr>
          <w:trHeight w:val="23"/>
        </w:trPr>
        <w:tc>
          <w:tcPr>
            <w:tcW w:w="2121" w:type="pct"/>
            <w:vAlign w:val="bottom"/>
          </w:tcPr>
          <w:p w14:paraId="0DD7CA9F" w14:textId="77777777" w:rsidR="00D83E33" w:rsidRPr="00EA10CF" w:rsidRDefault="00D83E33">
            <w:pPr>
              <w:widowControl w:val="0"/>
              <w:pBdr>
                <w:top w:val="nil"/>
                <w:left w:val="nil"/>
                <w:bottom w:val="nil"/>
                <w:right w:val="nil"/>
                <w:between w:val="nil"/>
              </w:pBdr>
              <w:rPr>
                <w:b/>
                <w:i/>
                <w:color w:val="000000"/>
              </w:rPr>
            </w:pPr>
          </w:p>
        </w:tc>
        <w:tc>
          <w:tcPr>
            <w:tcW w:w="758" w:type="pct"/>
            <w:vAlign w:val="bottom"/>
          </w:tcPr>
          <w:p w14:paraId="2A84E378"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471744CA"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62B6DD2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5B0CD5A" w14:textId="77777777" w:rsidTr="001B330E">
        <w:trPr>
          <w:trHeight w:val="23"/>
        </w:trPr>
        <w:tc>
          <w:tcPr>
            <w:tcW w:w="2121" w:type="pct"/>
            <w:vAlign w:val="bottom"/>
          </w:tcPr>
          <w:p w14:paraId="506D7D16" w14:textId="77777777" w:rsidR="00D83E33" w:rsidRPr="00EA10CF" w:rsidRDefault="00BC4072">
            <w:pPr>
              <w:widowControl w:val="0"/>
              <w:pBdr>
                <w:top w:val="nil"/>
                <w:left w:val="nil"/>
                <w:bottom w:val="nil"/>
                <w:right w:val="nil"/>
                <w:between w:val="nil"/>
              </w:pBdr>
              <w:rPr>
                <w:color w:val="000000"/>
              </w:rPr>
            </w:pPr>
            <w:r w:rsidRPr="00EA10CF">
              <w:rPr>
                <w:b/>
                <w:i/>
                <w:color w:val="000000"/>
              </w:rPr>
              <w:t xml:space="preserve">Other financial liabilities </w:t>
            </w:r>
          </w:p>
        </w:tc>
        <w:tc>
          <w:tcPr>
            <w:tcW w:w="758" w:type="pct"/>
            <w:vAlign w:val="bottom"/>
          </w:tcPr>
          <w:p w14:paraId="13648EAF"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13C29350"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2A9A1F5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E6BD4FD" w14:textId="77777777" w:rsidTr="001B330E">
        <w:trPr>
          <w:trHeight w:val="23"/>
        </w:trPr>
        <w:tc>
          <w:tcPr>
            <w:tcW w:w="2121" w:type="pct"/>
            <w:vAlign w:val="bottom"/>
          </w:tcPr>
          <w:p w14:paraId="1AC2EEDB" w14:textId="77777777" w:rsidR="00D83E33" w:rsidRPr="00EA10CF" w:rsidRDefault="00BC4072">
            <w:pPr>
              <w:widowControl w:val="0"/>
              <w:pBdr>
                <w:top w:val="nil"/>
                <w:left w:val="nil"/>
                <w:bottom w:val="nil"/>
                <w:right w:val="nil"/>
                <w:between w:val="nil"/>
              </w:pBdr>
              <w:rPr>
                <w:color w:val="000000"/>
              </w:rPr>
            </w:pPr>
            <w:r w:rsidRPr="00EA10CF">
              <w:rPr>
                <w:color w:val="000000"/>
              </w:rPr>
              <w:t>- Foreign exchange forward contracts</w:t>
            </w:r>
          </w:p>
        </w:tc>
        <w:tc>
          <w:tcPr>
            <w:tcW w:w="758" w:type="pct"/>
            <w:vAlign w:val="bottom"/>
          </w:tcPr>
          <w:p w14:paraId="43521675"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3F346A9C"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58EAAFE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25AC718" w14:textId="77777777" w:rsidTr="001B330E">
        <w:trPr>
          <w:trHeight w:val="23"/>
        </w:trPr>
        <w:tc>
          <w:tcPr>
            <w:tcW w:w="2121" w:type="pct"/>
            <w:vAlign w:val="bottom"/>
          </w:tcPr>
          <w:p w14:paraId="49D6C919" w14:textId="77777777" w:rsidR="00D83E33" w:rsidRPr="00EA10CF" w:rsidRDefault="00BC4072">
            <w:pPr>
              <w:widowControl w:val="0"/>
              <w:pBdr>
                <w:top w:val="nil"/>
                <w:left w:val="nil"/>
                <w:bottom w:val="nil"/>
                <w:right w:val="nil"/>
                <w:between w:val="nil"/>
              </w:pBdr>
              <w:rPr>
                <w:color w:val="000000"/>
              </w:rPr>
            </w:pPr>
            <w:r w:rsidRPr="00EA10CF">
              <w:rPr>
                <w:color w:val="000000"/>
              </w:rPr>
              <w:t>- Other derivative financial instruments</w:t>
            </w:r>
          </w:p>
        </w:tc>
        <w:tc>
          <w:tcPr>
            <w:tcW w:w="758" w:type="pct"/>
            <w:vAlign w:val="bottom"/>
          </w:tcPr>
          <w:p w14:paraId="4FEDA018"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6A2394A7"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720AC5FF"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3ED1559" w14:textId="77777777" w:rsidTr="001B330E">
        <w:trPr>
          <w:trHeight w:val="23"/>
        </w:trPr>
        <w:tc>
          <w:tcPr>
            <w:tcW w:w="2121" w:type="pct"/>
            <w:vAlign w:val="bottom"/>
          </w:tcPr>
          <w:p w14:paraId="0F949626" w14:textId="77777777" w:rsidR="00D83E33" w:rsidRPr="00EA10CF" w:rsidRDefault="00BC4072">
            <w:pPr>
              <w:widowControl w:val="0"/>
              <w:pBdr>
                <w:top w:val="nil"/>
                <w:left w:val="nil"/>
                <w:bottom w:val="nil"/>
                <w:right w:val="nil"/>
                <w:between w:val="nil"/>
              </w:pBdr>
              <w:rPr>
                <w:color w:val="000000"/>
              </w:rPr>
            </w:pPr>
            <w:r w:rsidRPr="00EA10CF">
              <w:rPr>
                <w:color w:val="000000"/>
              </w:rPr>
              <w:t>- Short sales of securities</w:t>
            </w:r>
          </w:p>
        </w:tc>
        <w:tc>
          <w:tcPr>
            <w:tcW w:w="758" w:type="pct"/>
            <w:vAlign w:val="bottom"/>
          </w:tcPr>
          <w:p w14:paraId="5250ECA5"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059362AB"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023CDCB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BE327F7" w14:textId="77777777" w:rsidTr="001B330E">
        <w:trPr>
          <w:trHeight w:val="23"/>
        </w:trPr>
        <w:tc>
          <w:tcPr>
            <w:tcW w:w="2121" w:type="pct"/>
            <w:vAlign w:val="bottom"/>
          </w:tcPr>
          <w:p w14:paraId="6958FD9B" w14:textId="77777777" w:rsidR="00D83E33" w:rsidRPr="00EA10CF" w:rsidRDefault="00BC4072">
            <w:pPr>
              <w:widowControl w:val="0"/>
              <w:pBdr>
                <w:top w:val="nil"/>
                <w:left w:val="nil"/>
                <w:bottom w:val="nil"/>
                <w:right w:val="nil"/>
                <w:between w:val="nil"/>
              </w:pBdr>
              <w:rPr>
                <w:color w:val="000000"/>
              </w:rPr>
            </w:pPr>
            <w:r w:rsidRPr="00EA10CF">
              <w:rPr>
                <w:color w:val="000000"/>
              </w:rPr>
              <w:t>- Liabilities designated at FVTPL at initial recognition</w:t>
            </w:r>
          </w:p>
        </w:tc>
        <w:tc>
          <w:tcPr>
            <w:tcW w:w="758" w:type="pct"/>
            <w:vAlign w:val="bottom"/>
          </w:tcPr>
          <w:p w14:paraId="1606010C" w14:textId="77777777" w:rsidR="00D83E33" w:rsidRPr="00EA10CF" w:rsidRDefault="00D83E33">
            <w:pPr>
              <w:widowControl w:val="0"/>
              <w:pBdr>
                <w:top w:val="nil"/>
                <w:left w:val="nil"/>
                <w:bottom w:val="nil"/>
                <w:right w:val="nil"/>
                <w:between w:val="nil"/>
              </w:pBdr>
              <w:jc w:val="right"/>
              <w:rPr>
                <w:color w:val="000000"/>
              </w:rPr>
            </w:pPr>
          </w:p>
        </w:tc>
        <w:tc>
          <w:tcPr>
            <w:tcW w:w="758" w:type="pct"/>
            <w:vAlign w:val="bottom"/>
          </w:tcPr>
          <w:p w14:paraId="7F62E5BF" w14:textId="77777777" w:rsidR="00D83E33" w:rsidRPr="00EA10CF" w:rsidRDefault="00D83E33">
            <w:pPr>
              <w:widowControl w:val="0"/>
              <w:pBdr>
                <w:top w:val="nil"/>
                <w:left w:val="nil"/>
                <w:bottom w:val="nil"/>
                <w:right w:val="nil"/>
                <w:between w:val="nil"/>
              </w:pBdr>
              <w:jc w:val="right"/>
              <w:rPr>
                <w:color w:val="000000"/>
              </w:rPr>
            </w:pPr>
          </w:p>
        </w:tc>
        <w:tc>
          <w:tcPr>
            <w:tcW w:w="1363" w:type="pct"/>
            <w:vAlign w:val="bottom"/>
          </w:tcPr>
          <w:p w14:paraId="1014E007"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CE7B976" w14:textId="77777777" w:rsidTr="001B330E">
        <w:trPr>
          <w:trHeight w:val="23"/>
        </w:trPr>
        <w:tc>
          <w:tcPr>
            <w:tcW w:w="2121" w:type="pct"/>
            <w:tcBorders>
              <w:bottom w:val="single" w:sz="4" w:space="0" w:color="000000"/>
            </w:tcBorders>
            <w:vAlign w:val="bottom"/>
          </w:tcPr>
          <w:p w14:paraId="2480E3C8"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758" w:type="pct"/>
            <w:tcBorders>
              <w:bottom w:val="single" w:sz="4" w:space="0" w:color="000000"/>
            </w:tcBorders>
            <w:vAlign w:val="bottom"/>
          </w:tcPr>
          <w:p w14:paraId="7FAF3A35" w14:textId="77777777" w:rsidR="00D83E33" w:rsidRPr="00EA10CF" w:rsidRDefault="00D83E33">
            <w:pPr>
              <w:widowControl w:val="0"/>
              <w:pBdr>
                <w:top w:val="nil"/>
                <w:left w:val="nil"/>
                <w:bottom w:val="nil"/>
                <w:right w:val="nil"/>
                <w:between w:val="nil"/>
              </w:pBdr>
              <w:jc w:val="right"/>
              <w:rPr>
                <w:color w:val="000000"/>
              </w:rPr>
            </w:pPr>
          </w:p>
        </w:tc>
        <w:tc>
          <w:tcPr>
            <w:tcW w:w="758" w:type="pct"/>
            <w:tcBorders>
              <w:bottom w:val="single" w:sz="4" w:space="0" w:color="000000"/>
            </w:tcBorders>
            <w:vAlign w:val="bottom"/>
          </w:tcPr>
          <w:p w14:paraId="0058F932" w14:textId="77777777" w:rsidR="00D83E33" w:rsidRPr="00EA10CF" w:rsidRDefault="00D83E33">
            <w:pPr>
              <w:widowControl w:val="0"/>
              <w:pBdr>
                <w:top w:val="nil"/>
                <w:left w:val="nil"/>
                <w:bottom w:val="nil"/>
                <w:right w:val="nil"/>
                <w:between w:val="nil"/>
              </w:pBdr>
              <w:jc w:val="right"/>
              <w:rPr>
                <w:color w:val="000000"/>
              </w:rPr>
            </w:pPr>
          </w:p>
        </w:tc>
        <w:tc>
          <w:tcPr>
            <w:tcW w:w="1363" w:type="pct"/>
            <w:tcBorders>
              <w:bottom w:val="single" w:sz="4" w:space="0" w:color="000000"/>
            </w:tcBorders>
            <w:vAlign w:val="bottom"/>
          </w:tcPr>
          <w:p w14:paraId="705CA30A"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4360DB3" w14:textId="77777777" w:rsidTr="001B330E">
        <w:trPr>
          <w:trHeight w:val="23"/>
        </w:trPr>
        <w:tc>
          <w:tcPr>
            <w:tcW w:w="2121" w:type="pct"/>
            <w:vAlign w:val="bottom"/>
          </w:tcPr>
          <w:p w14:paraId="50C2AB46"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758" w:type="pct"/>
            <w:vAlign w:val="bottom"/>
          </w:tcPr>
          <w:p w14:paraId="57317A3D" w14:textId="77777777" w:rsidR="00D83E33" w:rsidRPr="00EA10CF" w:rsidRDefault="00D83E33">
            <w:pPr>
              <w:widowControl w:val="0"/>
              <w:pBdr>
                <w:top w:val="nil"/>
                <w:left w:val="nil"/>
                <w:bottom w:val="nil"/>
                <w:right w:val="nil"/>
                <w:between w:val="nil"/>
              </w:pBdr>
              <w:jc w:val="right"/>
              <w:rPr>
                <w:b/>
                <w:color w:val="000000"/>
              </w:rPr>
            </w:pPr>
          </w:p>
        </w:tc>
        <w:tc>
          <w:tcPr>
            <w:tcW w:w="758" w:type="pct"/>
            <w:vAlign w:val="bottom"/>
          </w:tcPr>
          <w:p w14:paraId="202B5FE3" w14:textId="77777777" w:rsidR="00D83E33" w:rsidRPr="00EA10CF" w:rsidRDefault="00D83E33">
            <w:pPr>
              <w:widowControl w:val="0"/>
              <w:pBdr>
                <w:top w:val="nil"/>
                <w:left w:val="nil"/>
                <w:bottom w:val="nil"/>
                <w:right w:val="nil"/>
                <w:between w:val="nil"/>
              </w:pBdr>
              <w:jc w:val="right"/>
              <w:rPr>
                <w:b/>
                <w:color w:val="000000"/>
              </w:rPr>
            </w:pPr>
          </w:p>
        </w:tc>
        <w:tc>
          <w:tcPr>
            <w:tcW w:w="1363" w:type="pct"/>
            <w:vAlign w:val="bottom"/>
          </w:tcPr>
          <w:p w14:paraId="3B0A464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726F5AFE" w14:textId="77777777" w:rsidTr="001B330E">
        <w:trPr>
          <w:trHeight w:val="23"/>
        </w:trPr>
        <w:tc>
          <w:tcPr>
            <w:tcW w:w="2121" w:type="pct"/>
            <w:vAlign w:val="bottom"/>
          </w:tcPr>
          <w:p w14:paraId="78B83695" w14:textId="77777777" w:rsidR="00D83E33" w:rsidRPr="00EA10CF" w:rsidRDefault="00BC4072">
            <w:pPr>
              <w:widowControl w:val="0"/>
              <w:pBdr>
                <w:top w:val="nil"/>
                <w:left w:val="nil"/>
                <w:bottom w:val="nil"/>
                <w:right w:val="nil"/>
                <w:between w:val="nil"/>
              </w:pBdr>
              <w:rPr>
                <w:b/>
                <w:smallCaps/>
                <w:color w:val="000000"/>
              </w:rPr>
            </w:pPr>
            <w:r w:rsidRPr="00EA10CF">
              <w:rPr>
                <w:b/>
                <w:smallCaps/>
                <w:color w:val="000000"/>
              </w:rPr>
              <w:t>TOTAL RECURRING FAIR VALUE MEASUREMENTS AT LEVEL 2</w:t>
            </w:r>
          </w:p>
        </w:tc>
        <w:tc>
          <w:tcPr>
            <w:tcW w:w="758" w:type="pct"/>
            <w:vAlign w:val="bottom"/>
          </w:tcPr>
          <w:p w14:paraId="4E12F8ED" w14:textId="77777777" w:rsidR="00D83E33" w:rsidRPr="00EA10CF" w:rsidRDefault="00D83E33">
            <w:pPr>
              <w:widowControl w:val="0"/>
              <w:pBdr>
                <w:top w:val="nil"/>
                <w:left w:val="nil"/>
                <w:bottom w:val="nil"/>
                <w:right w:val="nil"/>
                <w:between w:val="nil"/>
              </w:pBdr>
              <w:jc w:val="right"/>
              <w:rPr>
                <w:b/>
                <w:smallCaps/>
                <w:color w:val="000000"/>
              </w:rPr>
            </w:pPr>
          </w:p>
        </w:tc>
        <w:tc>
          <w:tcPr>
            <w:tcW w:w="758" w:type="pct"/>
            <w:vAlign w:val="bottom"/>
          </w:tcPr>
          <w:p w14:paraId="48E46D3F" w14:textId="77777777" w:rsidR="00D83E33" w:rsidRPr="00EA10CF" w:rsidRDefault="00D83E33">
            <w:pPr>
              <w:widowControl w:val="0"/>
              <w:pBdr>
                <w:top w:val="nil"/>
                <w:left w:val="nil"/>
                <w:bottom w:val="nil"/>
                <w:right w:val="nil"/>
                <w:between w:val="nil"/>
              </w:pBdr>
              <w:jc w:val="right"/>
              <w:rPr>
                <w:b/>
                <w:smallCaps/>
                <w:color w:val="000000"/>
              </w:rPr>
            </w:pPr>
          </w:p>
        </w:tc>
        <w:tc>
          <w:tcPr>
            <w:tcW w:w="1363" w:type="pct"/>
            <w:vAlign w:val="bottom"/>
          </w:tcPr>
          <w:p w14:paraId="7E3FD8DC" w14:textId="77777777" w:rsidR="00D83E33" w:rsidRPr="00EA10CF" w:rsidRDefault="00D83E33">
            <w:pPr>
              <w:widowControl w:val="0"/>
              <w:pBdr>
                <w:top w:val="nil"/>
                <w:left w:val="nil"/>
                <w:bottom w:val="nil"/>
                <w:right w:val="nil"/>
                <w:between w:val="nil"/>
              </w:pBdr>
              <w:jc w:val="right"/>
              <w:rPr>
                <w:b/>
                <w:smallCaps/>
                <w:color w:val="000000"/>
              </w:rPr>
            </w:pPr>
          </w:p>
        </w:tc>
      </w:tr>
      <w:tr w:rsidR="00D83E33" w:rsidRPr="00EA10CF" w14:paraId="43E5B696" w14:textId="77777777" w:rsidTr="001B330E">
        <w:trPr>
          <w:trHeight w:val="23"/>
        </w:trPr>
        <w:tc>
          <w:tcPr>
            <w:tcW w:w="2121" w:type="pct"/>
            <w:tcBorders>
              <w:bottom w:val="single" w:sz="12" w:space="0" w:color="000000"/>
            </w:tcBorders>
            <w:shd w:val="clear" w:color="auto" w:fill="auto"/>
            <w:vAlign w:val="bottom"/>
          </w:tcPr>
          <w:p w14:paraId="3502B1D8" w14:textId="77777777" w:rsidR="00D83E33" w:rsidRPr="00EA10CF" w:rsidRDefault="00BC4072">
            <w:pPr>
              <w:widowControl w:val="0"/>
            </w:pPr>
            <w:r w:rsidRPr="00EA10CF">
              <w:t> </w:t>
            </w:r>
          </w:p>
        </w:tc>
        <w:tc>
          <w:tcPr>
            <w:tcW w:w="758" w:type="pct"/>
            <w:tcBorders>
              <w:bottom w:val="single" w:sz="12" w:space="0" w:color="000000"/>
            </w:tcBorders>
            <w:vAlign w:val="bottom"/>
          </w:tcPr>
          <w:p w14:paraId="436D70C7" w14:textId="77777777" w:rsidR="00D83E33" w:rsidRPr="00EA10CF" w:rsidRDefault="00D83E33">
            <w:pPr>
              <w:widowControl w:val="0"/>
              <w:pBdr>
                <w:top w:val="nil"/>
                <w:left w:val="nil"/>
                <w:bottom w:val="nil"/>
                <w:right w:val="nil"/>
                <w:between w:val="nil"/>
              </w:pBdr>
              <w:jc w:val="right"/>
              <w:rPr>
                <w:b/>
                <w:color w:val="000000"/>
              </w:rPr>
            </w:pPr>
          </w:p>
        </w:tc>
        <w:tc>
          <w:tcPr>
            <w:tcW w:w="758" w:type="pct"/>
            <w:tcBorders>
              <w:bottom w:val="single" w:sz="12" w:space="0" w:color="000000"/>
            </w:tcBorders>
            <w:shd w:val="clear" w:color="auto" w:fill="auto"/>
            <w:vAlign w:val="bottom"/>
          </w:tcPr>
          <w:p w14:paraId="588C5CCE" w14:textId="77777777" w:rsidR="00D83E33" w:rsidRPr="00EA10CF" w:rsidRDefault="00D83E33">
            <w:pPr>
              <w:widowControl w:val="0"/>
              <w:pBdr>
                <w:top w:val="nil"/>
                <w:left w:val="nil"/>
                <w:bottom w:val="nil"/>
                <w:right w:val="nil"/>
                <w:between w:val="nil"/>
              </w:pBdr>
              <w:jc w:val="right"/>
              <w:rPr>
                <w:b/>
                <w:color w:val="000000"/>
              </w:rPr>
            </w:pPr>
          </w:p>
        </w:tc>
        <w:tc>
          <w:tcPr>
            <w:tcW w:w="1363" w:type="pct"/>
            <w:tcBorders>
              <w:bottom w:val="single" w:sz="12" w:space="0" w:color="000000"/>
            </w:tcBorders>
            <w:vAlign w:val="bottom"/>
          </w:tcPr>
          <w:p w14:paraId="1BD134DD" w14:textId="77777777" w:rsidR="00D83E33" w:rsidRPr="00EA10CF" w:rsidRDefault="00D83E33">
            <w:pPr>
              <w:widowControl w:val="0"/>
              <w:pBdr>
                <w:top w:val="nil"/>
                <w:left w:val="nil"/>
                <w:bottom w:val="nil"/>
                <w:right w:val="nil"/>
                <w:between w:val="nil"/>
              </w:pBdr>
              <w:jc w:val="right"/>
              <w:rPr>
                <w:b/>
                <w:color w:val="000000"/>
              </w:rPr>
            </w:pPr>
          </w:p>
        </w:tc>
      </w:tr>
    </w:tbl>
    <w:p w14:paraId="5E9A6A16" w14:textId="16BA3512" w:rsidR="00D83E33" w:rsidRDefault="00BC4072">
      <w:pPr>
        <w:widowControl w:val="0"/>
        <w:spacing w:before="200" w:after="200"/>
        <w:jc w:val="both"/>
        <w:rPr>
          <w:sz w:val="20"/>
          <w:szCs w:val="20"/>
        </w:rPr>
      </w:pPr>
      <w:r>
        <w:rPr>
          <w:sz w:val="20"/>
          <w:szCs w:val="20"/>
        </w:rPr>
        <w:t>There were no changes in valuation technique for level 2 recurring fair value measurements during the year ended 31</w:t>
      </w:r>
      <w:r w:rsidR="00181687">
        <w:rPr>
          <w:sz w:val="20"/>
          <w:szCs w:val="20"/>
        </w:rPr>
        <w:t> December </w:t>
      </w:r>
      <w:r w:rsidR="00541EBC">
        <w:rPr>
          <w:sz w:val="20"/>
          <w:szCs w:val="20"/>
        </w:rPr>
        <w:t>2024</w:t>
      </w:r>
      <w:r>
        <w:rPr>
          <w:sz w:val="20"/>
          <w:szCs w:val="20"/>
        </w:rPr>
        <w:t xml:space="preserve"> (</w:t>
      </w:r>
      <w:r w:rsidR="00541EBC">
        <w:rPr>
          <w:sz w:val="20"/>
          <w:szCs w:val="20"/>
        </w:rPr>
        <w:t>2023</w:t>
      </w:r>
      <w:r>
        <w:rPr>
          <w:sz w:val="20"/>
          <w:szCs w:val="20"/>
        </w:rPr>
        <w:t xml:space="preserve">: none). </w:t>
      </w:r>
      <w:r>
        <w:rPr>
          <w:i/>
          <w:color w:val="FF0000"/>
          <w:sz w:val="20"/>
          <w:szCs w:val="20"/>
        </w:rPr>
        <w:t>[Disclose nature and reason for any change in valuation technique.]</w:t>
      </w:r>
    </w:p>
    <w:p w14:paraId="64E4C6C6" w14:textId="494D1627" w:rsidR="00D83E33" w:rsidRDefault="00BC4072" w:rsidP="001B330E">
      <w:pPr>
        <w:pStyle w:val="Continued"/>
      </w:pPr>
      <w:r>
        <w:lastRenderedPageBreak/>
        <w:t>49</w:t>
      </w:r>
      <w:r>
        <w:tab/>
        <w:t>Fair Value Disclosures (Continued)</w:t>
      </w:r>
    </w:p>
    <w:p w14:paraId="37AA92A4" w14:textId="4BE41C52" w:rsidR="00D83E33" w:rsidRDefault="00BC4072" w:rsidP="001B330E">
      <w:pPr>
        <w:widowControl w:val="0"/>
        <w:spacing w:before="200" w:after="200"/>
        <w:jc w:val="both"/>
        <w:rPr>
          <w:sz w:val="20"/>
          <w:szCs w:val="20"/>
        </w:rPr>
      </w:pPr>
      <w:r>
        <w:rPr>
          <w:sz w:val="20"/>
          <w:szCs w:val="20"/>
        </w:rPr>
        <w:t>The valuation technique, inputs used in the fair value measurement for level 3 measurements and related sensitivity to reasonably possible changes in those inputs are as follows at 31</w:t>
      </w:r>
      <w:r w:rsidR="00181687">
        <w:rPr>
          <w:sz w:val="20"/>
          <w:szCs w:val="20"/>
        </w:rPr>
        <w:t> December </w:t>
      </w:r>
      <w:r w:rsidR="00541EBC">
        <w:rPr>
          <w:sz w:val="20"/>
          <w:szCs w:val="20"/>
        </w:rPr>
        <w:t>2024</w:t>
      </w:r>
      <w:r>
        <w:rPr>
          <w:sz w:val="20"/>
          <w:szCs w:val="20"/>
        </w:rPr>
        <w:t>:</w:t>
      </w:r>
    </w:p>
    <w:tbl>
      <w:tblPr>
        <w:tblStyle w:val="affffffffffffffff9"/>
        <w:tblW w:w="5000" w:type="pct"/>
        <w:tblLayout w:type="fixed"/>
        <w:tblLook w:val="0000" w:firstRow="0" w:lastRow="0" w:firstColumn="0" w:lastColumn="0" w:noHBand="0" w:noVBand="0"/>
      </w:tblPr>
      <w:tblGrid>
        <w:gridCol w:w="2596"/>
        <w:gridCol w:w="1127"/>
        <w:gridCol w:w="1127"/>
        <w:gridCol w:w="1127"/>
        <w:gridCol w:w="1126"/>
        <w:gridCol w:w="1126"/>
        <w:gridCol w:w="1126"/>
      </w:tblGrid>
      <w:tr w:rsidR="00D83E33" w:rsidRPr="00856386" w14:paraId="7C08BC9C" w14:textId="77777777" w:rsidTr="001B330E">
        <w:trPr>
          <w:trHeight w:val="23"/>
          <w:tblHeader/>
        </w:trPr>
        <w:tc>
          <w:tcPr>
            <w:tcW w:w="1387" w:type="pct"/>
            <w:tcBorders>
              <w:bottom w:val="single" w:sz="4" w:space="0" w:color="000000"/>
            </w:tcBorders>
            <w:vAlign w:val="bottom"/>
          </w:tcPr>
          <w:p w14:paraId="25C868F5" w14:textId="77777777" w:rsidR="00D83E33" w:rsidRPr="00372E26" w:rsidRDefault="00D83E33" w:rsidP="001B330E">
            <w:pPr>
              <w:widowControl w:val="0"/>
              <w:pBdr>
                <w:top w:val="nil"/>
                <w:left w:val="nil"/>
                <w:bottom w:val="nil"/>
                <w:right w:val="nil"/>
                <w:between w:val="nil"/>
              </w:pBdr>
              <w:rPr>
                <w:i/>
                <w:color w:val="000000"/>
                <w:sz w:val="16"/>
                <w:szCs w:val="16"/>
              </w:rPr>
            </w:pPr>
          </w:p>
          <w:p w14:paraId="146F4E81" w14:textId="4C59E31E" w:rsidR="00D83E33" w:rsidRPr="00372E26" w:rsidRDefault="00313B4D" w:rsidP="001B330E">
            <w:pPr>
              <w:widowControl w:val="0"/>
              <w:pBdr>
                <w:top w:val="nil"/>
                <w:left w:val="nil"/>
                <w:bottom w:val="nil"/>
                <w:right w:val="nil"/>
                <w:between w:val="nil"/>
              </w:pBdr>
              <w:rPr>
                <w:i/>
                <w:color w:val="000000"/>
                <w:sz w:val="16"/>
                <w:szCs w:val="16"/>
              </w:rPr>
            </w:pPr>
            <w:r w:rsidRPr="00372E26">
              <w:rPr>
                <w:i/>
                <w:color w:val="000000"/>
                <w:sz w:val="16"/>
                <w:szCs w:val="16"/>
              </w:rPr>
              <w:t xml:space="preserve">In thousands of </w:t>
            </w:r>
            <w:r w:rsidR="002649EE" w:rsidRPr="00372E26">
              <w:rPr>
                <w:i/>
                <w:color w:val="000000"/>
                <w:sz w:val="16"/>
                <w:szCs w:val="16"/>
              </w:rPr>
              <w:t>EUR</w:t>
            </w:r>
          </w:p>
        </w:tc>
        <w:tc>
          <w:tcPr>
            <w:tcW w:w="602" w:type="pct"/>
            <w:tcBorders>
              <w:bottom w:val="single" w:sz="4" w:space="0" w:color="000000"/>
            </w:tcBorders>
          </w:tcPr>
          <w:p w14:paraId="0D2379FE"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 xml:space="preserve">Fair </w:t>
            </w:r>
          </w:p>
          <w:p w14:paraId="250BB18F"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value</w:t>
            </w:r>
          </w:p>
        </w:tc>
        <w:tc>
          <w:tcPr>
            <w:tcW w:w="602" w:type="pct"/>
            <w:tcBorders>
              <w:bottom w:val="single" w:sz="4" w:space="0" w:color="000000"/>
            </w:tcBorders>
          </w:tcPr>
          <w:p w14:paraId="4CA77BD6"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Valuation technique</w:t>
            </w:r>
          </w:p>
        </w:tc>
        <w:tc>
          <w:tcPr>
            <w:tcW w:w="602" w:type="pct"/>
            <w:tcBorders>
              <w:bottom w:val="single" w:sz="4" w:space="0" w:color="000000"/>
            </w:tcBorders>
          </w:tcPr>
          <w:p w14:paraId="5046A61F"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 xml:space="preserve">Inputs </w:t>
            </w:r>
          </w:p>
          <w:p w14:paraId="415FC3E3"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used</w:t>
            </w:r>
          </w:p>
        </w:tc>
        <w:tc>
          <w:tcPr>
            <w:tcW w:w="602" w:type="pct"/>
            <w:tcBorders>
              <w:bottom w:val="single" w:sz="4" w:space="0" w:color="000000"/>
            </w:tcBorders>
          </w:tcPr>
          <w:p w14:paraId="11EAA007" w14:textId="77777777" w:rsidR="00D83E33" w:rsidRPr="00372E26" w:rsidRDefault="00BC4072" w:rsidP="001B330E">
            <w:pPr>
              <w:widowControl w:val="0"/>
              <w:pBdr>
                <w:top w:val="nil"/>
                <w:left w:val="nil"/>
                <w:bottom w:val="nil"/>
                <w:right w:val="nil"/>
                <w:between w:val="nil"/>
              </w:pBdr>
              <w:ind w:left="-113"/>
              <w:jc w:val="right"/>
              <w:rPr>
                <w:color w:val="000000"/>
                <w:sz w:val="16"/>
                <w:szCs w:val="16"/>
              </w:rPr>
            </w:pPr>
            <w:r w:rsidRPr="00372E26">
              <w:rPr>
                <w:b/>
                <w:color w:val="000000"/>
                <w:sz w:val="16"/>
                <w:szCs w:val="16"/>
              </w:rPr>
              <w:t>Range of inputs (weighted average)</w:t>
            </w:r>
          </w:p>
        </w:tc>
        <w:tc>
          <w:tcPr>
            <w:tcW w:w="602" w:type="pct"/>
            <w:tcBorders>
              <w:bottom w:val="single" w:sz="4" w:space="0" w:color="000000"/>
            </w:tcBorders>
          </w:tcPr>
          <w:p w14:paraId="7109E7BC" w14:textId="77777777" w:rsidR="00D83E33" w:rsidRPr="00372E26" w:rsidRDefault="00BC4072" w:rsidP="001B330E">
            <w:pPr>
              <w:widowControl w:val="0"/>
              <w:pBdr>
                <w:top w:val="nil"/>
                <w:left w:val="nil"/>
                <w:bottom w:val="nil"/>
                <w:right w:val="nil"/>
                <w:between w:val="nil"/>
              </w:pBdr>
              <w:ind w:left="-113"/>
              <w:jc w:val="right"/>
              <w:rPr>
                <w:color w:val="000000"/>
                <w:sz w:val="16"/>
                <w:szCs w:val="16"/>
              </w:rPr>
            </w:pPr>
            <w:r w:rsidRPr="00372E26">
              <w:rPr>
                <w:b/>
                <w:color w:val="000000"/>
                <w:sz w:val="16"/>
                <w:szCs w:val="16"/>
              </w:rPr>
              <w:t>Reasonable change</w:t>
            </w:r>
          </w:p>
        </w:tc>
        <w:tc>
          <w:tcPr>
            <w:tcW w:w="602" w:type="pct"/>
            <w:tcBorders>
              <w:bottom w:val="single" w:sz="4" w:space="0" w:color="000000"/>
            </w:tcBorders>
          </w:tcPr>
          <w:p w14:paraId="240C042B" w14:textId="77777777" w:rsidR="00D83E33" w:rsidRPr="00372E26" w:rsidRDefault="00BC4072" w:rsidP="001B330E">
            <w:pPr>
              <w:widowControl w:val="0"/>
              <w:pBdr>
                <w:top w:val="nil"/>
                <w:left w:val="nil"/>
                <w:bottom w:val="nil"/>
                <w:right w:val="nil"/>
                <w:between w:val="nil"/>
              </w:pBdr>
              <w:ind w:left="-113"/>
              <w:jc w:val="right"/>
              <w:rPr>
                <w:color w:val="000000"/>
                <w:sz w:val="16"/>
                <w:szCs w:val="16"/>
              </w:rPr>
            </w:pPr>
            <w:r w:rsidRPr="00372E26">
              <w:rPr>
                <w:b/>
                <w:color w:val="000000"/>
                <w:sz w:val="16"/>
                <w:szCs w:val="16"/>
              </w:rPr>
              <w:t>Sensitivity of fair value measu-rement</w:t>
            </w:r>
          </w:p>
        </w:tc>
      </w:tr>
      <w:tr w:rsidR="00D83E33" w:rsidRPr="00856386" w14:paraId="5FA60BCB" w14:textId="77777777" w:rsidTr="001B330E">
        <w:trPr>
          <w:trHeight w:val="23"/>
        </w:trPr>
        <w:tc>
          <w:tcPr>
            <w:tcW w:w="1387" w:type="pct"/>
            <w:tcBorders>
              <w:top w:val="single" w:sz="4" w:space="0" w:color="000000"/>
            </w:tcBorders>
            <w:vAlign w:val="bottom"/>
          </w:tcPr>
          <w:p w14:paraId="7638A873" w14:textId="77777777" w:rsidR="00D83E33" w:rsidRPr="00372E26" w:rsidRDefault="00BC4072">
            <w:pPr>
              <w:widowControl w:val="0"/>
              <w:pBdr>
                <w:top w:val="nil"/>
                <w:left w:val="nil"/>
                <w:bottom w:val="nil"/>
                <w:right w:val="nil"/>
                <w:between w:val="nil"/>
              </w:pBdr>
              <w:jc w:val="center"/>
              <w:rPr>
                <w:b/>
                <w:color w:val="000000"/>
                <w:sz w:val="16"/>
                <w:szCs w:val="16"/>
              </w:rPr>
            </w:pPr>
            <w:r w:rsidRPr="00372E26">
              <w:rPr>
                <w:b/>
                <w:color w:val="000000"/>
                <w:sz w:val="16"/>
                <w:szCs w:val="16"/>
              </w:rPr>
              <w:t> </w:t>
            </w:r>
          </w:p>
        </w:tc>
        <w:tc>
          <w:tcPr>
            <w:tcW w:w="602" w:type="pct"/>
            <w:tcBorders>
              <w:top w:val="single" w:sz="4" w:space="0" w:color="000000"/>
            </w:tcBorders>
            <w:vAlign w:val="bottom"/>
          </w:tcPr>
          <w:p w14:paraId="76A346A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top w:val="single" w:sz="4" w:space="0" w:color="000000"/>
            </w:tcBorders>
            <w:vAlign w:val="bottom"/>
          </w:tcPr>
          <w:p w14:paraId="70DB414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top w:val="single" w:sz="4" w:space="0" w:color="000000"/>
            </w:tcBorders>
            <w:vAlign w:val="bottom"/>
          </w:tcPr>
          <w:p w14:paraId="2663FFF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top w:val="single" w:sz="4" w:space="0" w:color="000000"/>
            </w:tcBorders>
            <w:vAlign w:val="bottom"/>
          </w:tcPr>
          <w:p w14:paraId="655F38A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top w:val="single" w:sz="4" w:space="0" w:color="000000"/>
            </w:tcBorders>
            <w:vAlign w:val="bottom"/>
          </w:tcPr>
          <w:p w14:paraId="110CAED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top w:val="single" w:sz="4" w:space="0" w:color="000000"/>
            </w:tcBorders>
            <w:vAlign w:val="bottom"/>
          </w:tcPr>
          <w:p w14:paraId="2E9D327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100EB4BA" w14:textId="77777777" w:rsidTr="001B330E">
        <w:trPr>
          <w:trHeight w:val="23"/>
        </w:trPr>
        <w:tc>
          <w:tcPr>
            <w:tcW w:w="1387" w:type="pct"/>
            <w:vAlign w:val="bottom"/>
          </w:tcPr>
          <w:p w14:paraId="001F61A9" w14:textId="77777777" w:rsidR="00D83E33" w:rsidRPr="00372E26" w:rsidRDefault="00BC4072" w:rsidP="001B330E">
            <w:pPr>
              <w:widowControl w:val="0"/>
              <w:pBdr>
                <w:top w:val="nil"/>
                <w:left w:val="nil"/>
                <w:bottom w:val="nil"/>
                <w:right w:val="nil"/>
                <w:between w:val="nil"/>
              </w:pBdr>
              <w:rPr>
                <w:b/>
                <w:smallCaps/>
                <w:color w:val="000000"/>
                <w:sz w:val="16"/>
                <w:szCs w:val="16"/>
              </w:rPr>
            </w:pPr>
            <w:r w:rsidRPr="00372E26">
              <w:rPr>
                <w:b/>
                <w:smallCaps/>
                <w:color w:val="000000"/>
                <w:sz w:val="16"/>
                <w:szCs w:val="16"/>
              </w:rPr>
              <w:t>ASSETS AT FAIR VALUE</w:t>
            </w:r>
          </w:p>
        </w:tc>
        <w:tc>
          <w:tcPr>
            <w:tcW w:w="602" w:type="pct"/>
            <w:vAlign w:val="bottom"/>
          </w:tcPr>
          <w:p w14:paraId="4EF24DFC"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40A6A23A"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53AA5F97"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4A21F980"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146D6E95"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4537FDC1"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r>
      <w:tr w:rsidR="00D83E33" w:rsidRPr="00856386" w14:paraId="1DA9CA50" w14:textId="77777777" w:rsidTr="001B330E">
        <w:trPr>
          <w:trHeight w:val="23"/>
        </w:trPr>
        <w:tc>
          <w:tcPr>
            <w:tcW w:w="1387" w:type="pct"/>
            <w:vAlign w:val="bottom"/>
          </w:tcPr>
          <w:p w14:paraId="1F37EE5B" w14:textId="77777777" w:rsidR="00D83E33" w:rsidRPr="00372E26" w:rsidRDefault="00BC4072" w:rsidP="001B330E">
            <w:pPr>
              <w:widowControl w:val="0"/>
              <w:pBdr>
                <w:top w:val="nil"/>
                <w:left w:val="nil"/>
                <w:bottom w:val="nil"/>
                <w:right w:val="nil"/>
                <w:between w:val="nil"/>
              </w:pBdr>
              <w:rPr>
                <w:b/>
                <w:smallCaps/>
                <w:color w:val="000000"/>
                <w:sz w:val="16"/>
                <w:szCs w:val="16"/>
              </w:rPr>
            </w:pPr>
            <w:r w:rsidRPr="00372E26">
              <w:rPr>
                <w:b/>
                <w:smallCaps/>
                <w:color w:val="000000"/>
                <w:sz w:val="16"/>
                <w:szCs w:val="16"/>
              </w:rPr>
              <w:t xml:space="preserve">FINANCIAL ASSETS </w:t>
            </w:r>
          </w:p>
        </w:tc>
        <w:tc>
          <w:tcPr>
            <w:tcW w:w="602" w:type="pct"/>
            <w:vAlign w:val="bottom"/>
          </w:tcPr>
          <w:p w14:paraId="3FBFE809"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403565FB"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5B961750"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28093CB1"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056A29F9"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54D8D680"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r>
      <w:tr w:rsidR="00D83E33" w:rsidRPr="00856386" w14:paraId="644553CB" w14:textId="77777777" w:rsidTr="001B330E">
        <w:trPr>
          <w:trHeight w:val="23"/>
        </w:trPr>
        <w:tc>
          <w:tcPr>
            <w:tcW w:w="1387" w:type="pct"/>
            <w:vAlign w:val="bottom"/>
          </w:tcPr>
          <w:p w14:paraId="15C3226D" w14:textId="77777777" w:rsidR="00D83E33" w:rsidRPr="00372E26" w:rsidRDefault="00D83E33" w:rsidP="001B330E">
            <w:pPr>
              <w:widowControl w:val="0"/>
              <w:pBdr>
                <w:top w:val="nil"/>
                <w:left w:val="nil"/>
                <w:bottom w:val="nil"/>
                <w:right w:val="nil"/>
                <w:between w:val="nil"/>
              </w:pBdr>
              <w:rPr>
                <w:b/>
                <w:i/>
                <w:color w:val="000000"/>
                <w:sz w:val="16"/>
                <w:szCs w:val="16"/>
              </w:rPr>
            </w:pPr>
          </w:p>
        </w:tc>
        <w:tc>
          <w:tcPr>
            <w:tcW w:w="602" w:type="pct"/>
            <w:vAlign w:val="bottom"/>
          </w:tcPr>
          <w:p w14:paraId="7A0C6E6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9F3AE0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468D35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481317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B5348D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51D68A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C24742B" w14:textId="77777777" w:rsidTr="001B330E">
        <w:trPr>
          <w:trHeight w:val="23"/>
        </w:trPr>
        <w:tc>
          <w:tcPr>
            <w:tcW w:w="1387" w:type="pct"/>
            <w:vAlign w:val="bottom"/>
          </w:tcPr>
          <w:p w14:paraId="52AC6D42" w14:textId="77777777" w:rsidR="00D83E33" w:rsidRPr="00372E26" w:rsidRDefault="00BC4072" w:rsidP="001B330E">
            <w:pPr>
              <w:widowControl w:val="0"/>
              <w:pBdr>
                <w:top w:val="nil"/>
                <w:left w:val="nil"/>
                <w:bottom w:val="nil"/>
                <w:right w:val="nil"/>
                <w:between w:val="nil"/>
              </w:pBdr>
              <w:rPr>
                <w:b/>
                <w:i/>
                <w:color w:val="000000"/>
                <w:sz w:val="16"/>
                <w:szCs w:val="16"/>
              </w:rPr>
            </w:pPr>
            <w:r w:rsidRPr="00372E26">
              <w:rPr>
                <w:b/>
                <w:i/>
                <w:color w:val="000000"/>
                <w:sz w:val="16"/>
                <w:szCs w:val="16"/>
              </w:rPr>
              <w:t>Investments in debt securities</w:t>
            </w:r>
          </w:p>
        </w:tc>
        <w:tc>
          <w:tcPr>
            <w:tcW w:w="602" w:type="pct"/>
            <w:vAlign w:val="bottom"/>
          </w:tcPr>
          <w:p w14:paraId="3BE8670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DC445A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DB15C5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830E17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646FE0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C8C444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3C40A7A6" w14:textId="77777777" w:rsidTr="001B330E">
        <w:trPr>
          <w:trHeight w:val="23"/>
        </w:trPr>
        <w:tc>
          <w:tcPr>
            <w:tcW w:w="1387" w:type="pct"/>
            <w:vAlign w:val="bottom"/>
          </w:tcPr>
          <w:p w14:paraId="2D8972AF" w14:textId="15573C45"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xml:space="preserve">- </w:t>
            </w:r>
            <w:r w:rsidR="00372E26">
              <w:rPr>
                <w:color w:val="000000"/>
                <w:sz w:val="16"/>
                <w:szCs w:val="16"/>
              </w:rPr>
              <w:t>[Country]</w:t>
            </w:r>
            <w:r w:rsidRPr="00372E26">
              <w:rPr>
                <w:color w:val="000000"/>
                <w:sz w:val="16"/>
                <w:szCs w:val="16"/>
              </w:rPr>
              <w:t xml:space="preserve"> government bonds</w:t>
            </w:r>
          </w:p>
        </w:tc>
        <w:tc>
          <w:tcPr>
            <w:tcW w:w="602" w:type="pct"/>
            <w:vAlign w:val="bottom"/>
          </w:tcPr>
          <w:p w14:paraId="0D016DFB"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02" w:type="pct"/>
            <w:vAlign w:val="bottom"/>
          </w:tcPr>
          <w:p w14:paraId="0AE4F7D3"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[Discounted cash flows (“DCF”)]</w:t>
            </w:r>
          </w:p>
        </w:tc>
        <w:tc>
          <w:tcPr>
            <w:tcW w:w="602" w:type="pct"/>
            <w:vAlign w:val="bottom"/>
          </w:tcPr>
          <w:p w14:paraId="0D0411A1"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[Government bonds yield curve]</w:t>
            </w:r>
          </w:p>
        </w:tc>
        <w:tc>
          <w:tcPr>
            <w:tcW w:w="602" w:type="pct"/>
            <w:vAlign w:val="bottom"/>
          </w:tcPr>
          <w:p w14:paraId="7024F4E6"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[5.0 ‒ 6.0% (5.5%)]</w:t>
            </w:r>
          </w:p>
        </w:tc>
        <w:tc>
          <w:tcPr>
            <w:tcW w:w="602" w:type="pct"/>
            <w:vAlign w:val="bottom"/>
          </w:tcPr>
          <w:p w14:paraId="54D40A39" w14:textId="77777777" w:rsidR="00D83E33" w:rsidRPr="00372E26" w:rsidRDefault="00BC4072" w:rsidP="001B330E">
            <w:pPr>
              <w:widowControl w:val="0"/>
              <w:pBdr>
                <w:top w:val="nil"/>
                <w:left w:val="nil"/>
                <w:bottom w:val="nil"/>
                <w:right w:val="nil"/>
                <w:between w:val="nil"/>
              </w:pBdr>
              <w:jc w:val="right"/>
              <w:rPr>
                <w:color w:val="0000FF"/>
                <w:sz w:val="16"/>
                <w:szCs w:val="16"/>
              </w:rPr>
            </w:pPr>
            <w:r w:rsidRPr="00372E26">
              <w:rPr>
                <w:color w:val="0000FF"/>
                <w:sz w:val="16"/>
                <w:szCs w:val="16"/>
              </w:rPr>
              <w:t>[± 10 %]</w:t>
            </w:r>
          </w:p>
        </w:tc>
        <w:tc>
          <w:tcPr>
            <w:tcW w:w="602" w:type="pct"/>
            <w:vAlign w:val="bottom"/>
          </w:tcPr>
          <w:p w14:paraId="6599117C" w14:textId="77777777" w:rsidR="00D83E33" w:rsidRPr="00372E26" w:rsidRDefault="00BC4072" w:rsidP="001B330E">
            <w:pPr>
              <w:widowControl w:val="0"/>
              <w:pBdr>
                <w:top w:val="nil"/>
                <w:left w:val="nil"/>
                <w:bottom w:val="nil"/>
                <w:right w:val="nil"/>
                <w:between w:val="nil"/>
              </w:pBdr>
              <w:jc w:val="right"/>
              <w:rPr>
                <w:color w:val="0000FF"/>
                <w:sz w:val="16"/>
                <w:szCs w:val="16"/>
              </w:rPr>
            </w:pPr>
            <w:r w:rsidRPr="00372E26">
              <w:rPr>
                <w:color w:val="0000FF"/>
                <w:sz w:val="16"/>
                <w:szCs w:val="16"/>
              </w:rPr>
              <w:t>± [100,000]</w:t>
            </w:r>
          </w:p>
        </w:tc>
      </w:tr>
      <w:tr w:rsidR="00D83E33" w:rsidRPr="00856386" w14:paraId="76184471" w14:textId="77777777" w:rsidTr="001B330E">
        <w:trPr>
          <w:trHeight w:val="23"/>
        </w:trPr>
        <w:tc>
          <w:tcPr>
            <w:tcW w:w="1387" w:type="pct"/>
            <w:vAlign w:val="bottom"/>
          </w:tcPr>
          <w:p w14:paraId="176C70D6"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Municipal bonds</w:t>
            </w:r>
          </w:p>
        </w:tc>
        <w:tc>
          <w:tcPr>
            <w:tcW w:w="602" w:type="pct"/>
            <w:vAlign w:val="bottom"/>
          </w:tcPr>
          <w:p w14:paraId="363179F0"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02" w:type="pct"/>
            <w:vAlign w:val="bottom"/>
          </w:tcPr>
          <w:p w14:paraId="231FCEDF"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164FFCF5"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15A80279"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697389A9"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107510F5"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01BA770D" w14:textId="77777777" w:rsidTr="001B330E">
        <w:trPr>
          <w:trHeight w:val="23"/>
        </w:trPr>
        <w:tc>
          <w:tcPr>
            <w:tcW w:w="1387" w:type="pct"/>
            <w:vAlign w:val="bottom"/>
          </w:tcPr>
          <w:p w14:paraId="1C06A128"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Corporate bonds</w:t>
            </w:r>
          </w:p>
        </w:tc>
        <w:tc>
          <w:tcPr>
            <w:tcW w:w="602" w:type="pct"/>
            <w:vAlign w:val="bottom"/>
          </w:tcPr>
          <w:p w14:paraId="456149FB"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02" w:type="pct"/>
            <w:vAlign w:val="bottom"/>
          </w:tcPr>
          <w:p w14:paraId="406002D7"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3E59D815"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17C37FA3"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42045A2B"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3C04082D"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77905B4B" w14:textId="77777777" w:rsidTr="001B330E">
        <w:trPr>
          <w:trHeight w:val="23"/>
        </w:trPr>
        <w:tc>
          <w:tcPr>
            <w:tcW w:w="1387" w:type="pct"/>
            <w:vAlign w:val="bottom"/>
          </w:tcPr>
          <w:p w14:paraId="6975D2E3"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Investments in mutual funds</w:t>
            </w:r>
          </w:p>
        </w:tc>
        <w:tc>
          <w:tcPr>
            <w:tcW w:w="602" w:type="pct"/>
            <w:vAlign w:val="bottom"/>
          </w:tcPr>
          <w:p w14:paraId="68282BE7"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02" w:type="pct"/>
            <w:vAlign w:val="bottom"/>
          </w:tcPr>
          <w:p w14:paraId="68291ACD"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0BF61B2B"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7B7CFB49"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04C12858"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01355F29"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678D1838" w14:textId="77777777" w:rsidTr="001B330E">
        <w:trPr>
          <w:trHeight w:val="23"/>
        </w:trPr>
        <w:tc>
          <w:tcPr>
            <w:tcW w:w="1387" w:type="pct"/>
            <w:vAlign w:val="bottom"/>
          </w:tcPr>
          <w:p w14:paraId="780B3D50"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Promissory notes</w:t>
            </w:r>
          </w:p>
        </w:tc>
        <w:tc>
          <w:tcPr>
            <w:tcW w:w="602" w:type="pct"/>
            <w:vAlign w:val="bottom"/>
          </w:tcPr>
          <w:p w14:paraId="623C0F2F"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02" w:type="pct"/>
            <w:vAlign w:val="bottom"/>
          </w:tcPr>
          <w:p w14:paraId="351F7849"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135645D0"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6FC1065D"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5B1E1AC4"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2CF5AA25"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6CADA2B5" w14:textId="77777777" w:rsidTr="001B330E">
        <w:trPr>
          <w:trHeight w:val="23"/>
        </w:trPr>
        <w:tc>
          <w:tcPr>
            <w:tcW w:w="1387" w:type="pct"/>
            <w:vAlign w:val="bottom"/>
          </w:tcPr>
          <w:p w14:paraId="2AE700D3" w14:textId="77777777" w:rsidR="00D83E33" w:rsidRPr="00372E26" w:rsidRDefault="00D83E33" w:rsidP="001B330E">
            <w:pPr>
              <w:widowControl w:val="0"/>
              <w:pBdr>
                <w:top w:val="nil"/>
                <w:left w:val="nil"/>
                <w:bottom w:val="nil"/>
                <w:right w:val="nil"/>
                <w:between w:val="nil"/>
              </w:pBdr>
              <w:rPr>
                <w:b/>
                <w:i/>
                <w:color w:val="000000"/>
                <w:sz w:val="16"/>
                <w:szCs w:val="16"/>
              </w:rPr>
            </w:pPr>
          </w:p>
        </w:tc>
        <w:tc>
          <w:tcPr>
            <w:tcW w:w="602" w:type="pct"/>
            <w:vAlign w:val="bottom"/>
          </w:tcPr>
          <w:p w14:paraId="7B176861"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02" w:type="pct"/>
            <w:vAlign w:val="bottom"/>
          </w:tcPr>
          <w:p w14:paraId="4C0C4740"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0E163F64"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068A8A57"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0BE9E920"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27A128F9"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341F20C9" w14:textId="77777777" w:rsidTr="001B330E">
        <w:trPr>
          <w:trHeight w:val="23"/>
        </w:trPr>
        <w:tc>
          <w:tcPr>
            <w:tcW w:w="1387" w:type="pct"/>
            <w:vAlign w:val="bottom"/>
          </w:tcPr>
          <w:p w14:paraId="5C47FA2E" w14:textId="77777777" w:rsidR="00D83E33" w:rsidRPr="00372E26" w:rsidRDefault="00BC4072" w:rsidP="001B330E">
            <w:pPr>
              <w:widowControl w:val="0"/>
              <w:pBdr>
                <w:top w:val="nil"/>
                <w:left w:val="nil"/>
                <w:bottom w:val="nil"/>
                <w:right w:val="nil"/>
                <w:between w:val="nil"/>
              </w:pBdr>
              <w:rPr>
                <w:b/>
                <w:i/>
                <w:color w:val="000000"/>
                <w:sz w:val="16"/>
                <w:szCs w:val="16"/>
              </w:rPr>
            </w:pPr>
            <w:r w:rsidRPr="00372E26">
              <w:rPr>
                <w:b/>
                <w:i/>
                <w:color w:val="000000"/>
                <w:sz w:val="16"/>
                <w:szCs w:val="16"/>
              </w:rPr>
              <w:t>Investments in equity securities</w:t>
            </w:r>
          </w:p>
        </w:tc>
        <w:tc>
          <w:tcPr>
            <w:tcW w:w="602" w:type="pct"/>
            <w:vAlign w:val="bottom"/>
          </w:tcPr>
          <w:p w14:paraId="50559D70"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02" w:type="pct"/>
            <w:vAlign w:val="bottom"/>
          </w:tcPr>
          <w:p w14:paraId="7F85ACA6"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463D49C6"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3844194E"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278BA027"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328BB157"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2C10BD21" w14:textId="77777777" w:rsidTr="001B330E">
        <w:trPr>
          <w:trHeight w:val="23"/>
        </w:trPr>
        <w:tc>
          <w:tcPr>
            <w:tcW w:w="1387" w:type="pct"/>
            <w:vAlign w:val="bottom"/>
          </w:tcPr>
          <w:p w14:paraId="2939921E" w14:textId="77777777" w:rsidR="00D83E33" w:rsidRPr="00372E26" w:rsidRDefault="00BC4072" w:rsidP="001B330E">
            <w:pPr>
              <w:widowControl w:val="0"/>
              <w:pBdr>
                <w:top w:val="nil"/>
                <w:left w:val="nil"/>
                <w:bottom w:val="nil"/>
                <w:right w:val="nil"/>
                <w:between w:val="nil"/>
              </w:pBdr>
              <w:rPr>
                <w:b/>
                <w:i/>
                <w:color w:val="000000"/>
                <w:sz w:val="16"/>
                <w:szCs w:val="16"/>
              </w:rPr>
            </w:pPr>
            <w:r w:rsidRPr="00372E26">
              <w:rPr>
                <w:color w:val="000000"/>
                <w:sz w:val="16"/>
                <w:szCs w:val="16"/>
              </w:rPr>
              <w:t>- Corporate shares</w:t>
            </w:r>
          </w:p>
        </w:tc>
        <w:tc>
          <w:tcPr>
            <w:tcW w:w="602" w:type="pct"/>
            <w:vAlign w:val="bottom"/>
          </w:tcPr>
          <w:p w14:paraId="20A74D3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D4AC373"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[Market comparable companies]</w:t>
            </w:r>
          </w:p>
        </w:tc>
        <w:tc>
          <w:tcPr>
            <w:tcW w:w="602" w:type="pct"/>
            <w:vAlign w:val="bottom"/>
          </w:tcPr>
          <w:p w14:paraId="4838E5A6"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[EBITDA multiple Revenue multiple]</w:t>
            </w:r>
          </w:p>
        </w:tc>
        <w:tc>
          <w:tcPr>
            <w:tcW w:w="602" w:type="pct"/>
            <w:vAlign w:val="bottom"/>
          </w:tcPr>
          <w:p w14:paraId="49CEE719"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[7 -12 (10)]</w:t>
            </w:r>
          </w:p>
          <w:p w14:paraId="21848319"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[5 -6 (5.4)]</w:t>
            </w:r>
          </w:p>
        </w:tc>
        <w:tc>
          <w:tcPr>
            <w:tcW w:w="602" w:type="pct"/>
            <w:vAlign w:val="bottom"/>
          </w:tcPr>
          <w:p w14:paraId="73A627D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852D06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2E2EE887" w14:textId="77777777" w:rsidTr="001B330E">
        <w:trPr>
          <w:trHeight w:val="23"/>
        </w:trPr>
        <w:tc>
          <w:tcPr>
            <w:tcW w:w="1387" w:type="pct"/>
            <w:vAlign w:val="bottom"/>
          </w:tcPr>
          <w:p w14:paraId="1934750E"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American depositary receipts (ADR)</w:t>
            </w:r>
          </w:p>
          <w:p w14:paraId="0C7B5A4E"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Global depositary receipts (GDR)</w:t>
            </w:r>
          </w:p>
          <w:p w14:paraId="734408FF" w14:textId="4499C7BA" w:rsidR="00D83E33" w:rsidRPr="00372E26" w:rsidRDefault="00D83E33" w:rsidP="001B330E">
            <w:pPr>
              <w:widowControl w:val="0"/>
              <w:pBdr>
                <w:top w:val="nil"/>
                <w:left w:val="nil"/>
                <w:bottom w:val="nil"/>
                <w:right w:val="nil"/>
                <w:between w:val="nil"/>
              </w:pBdr>
              <w:rPr>
                <w:b/>
                <w:i/>
                <w:color w:val="000000"/>
                <w:sz w:val="16"/>
                <w:szCs w:val="16"/>
              </w:rPr>
            </w:pPr>
          </w:p>
        </w:tc>
        <w:tc>
          <w:tcPr>
            <w:tcW w:w="602" w:type="pct"/>
            <w:vAlign w:val="bottom"/>
          </w:tcPr>
          <w:p w14:paraId="141A145A"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02" w:type="pct"/>
            <w:vAlign w:val="bottom"/>
          </w:tcPr>
          <w:p w14:paraId="478B81F5"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02" w:type="pct"/>
            <w:vAlign w:val="bottom"/>
          </w:tcPr>
          <w:p w14:paraId="4E0575D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2875B4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DC685C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406A68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B42C8B4" w14:textId="77777777" w:rsidTr="001B330E">
        <w:trPr>
          <w:trHeight w:val="23"/>
        </w:trPr>
        <w:tc>
          <w:tcPr>
            <w:tcW w:w="1387" w:type="pct"/>
            <w:vAlign w:val="bottom"/>
          </w:tcPr>
          <w:p w14:paraId="589B3CF6" w14:textId="77777777" w:rsidR="00D83E33" w:rsidRPr="00372E26" w:rsidRDefault="00D83E33" w:rsidP="001B330E">
            <w:pPr>
              <w:widowControl w:val="0"/>
              <w:pBdr>
                <w:top w:val="nil"/>
                <w:left w:val="nil"/>
                <w:bottom w:val="nil"/>
                <w:right w:val="nil"/>
                <w:between w:val="nil"/>
              </w:pBdr>
              <w:rPr>
                <w:b/>
                <w:i/>
                <w:color w:val="000000"/>
                <w:sz w:val="16"/>
                <w:szCs w:val="16"/>
              </w:rPr>
            </w:pPr>
          </w:p>
        </w:tc>
        <w:tc>
          <w:tcPr>
            <w:tcW w:w="602" w:type="pct"/>
            <w:vAlign w:val="bottom"/>
          </w:tcPr>
          <w:p w14:paraId="567E92D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0D51EE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B0F25A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F23AE0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6D7941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758F88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332F5E3B" w14:textId="77777777" w:rsidTr="001B330E">
        <w:trPr>
          <w:trHeight w:val="23"/>
        </w:trPr>
        <w:tc>
          <w:tcPr>
            <w:tcW w:w="1387" w:type="pct"/>
            <w:vAlign w:val="bottom"/>
          </w:tcPr>
          <w:p w14:paraId="5C1A78AE" w14:textId="77777777" w:rsidR="00D83E33" w:rsidRPr="00372E26" w:rsidRDefault="00BC4072" w:rsidP="001B330E">
            <w:pPr>
              <w:widowControl w:val="0"/>
              <w:pBdr>
                <w:top w:val="nil"/>
                <w:left w:val="nil"/>
                <w:bottom w:val="nil"/>
                <w:right w:val="nil"/>
                <w:between w:val="nil"/>
              </w:pBdr>
              <w:rPr>
                <w:b/>
                <w:i/>
                <w:color w:val="000000"/>
                <w:sz w:val="16"/>
                <w:szCs w:val="16"/>
              </w:rPr>
            </w:pPr>
            <w:r w:rsidRPr="00372E26">
              <w:rPr>
                <w:b/>
                <w:i/>
                <w:color w:val="000000"/>
                <w:sz w:val="16"/>
                <w:szCs w:val="16"/>
              </w:rPr>
              <w:t>Loans and advances to customers at FVTPL</w:t>
            </w:r>
          </w:p>
        </w:tc>
        <w:tc>
          <w:tcPr>
            <w:tcW w:w="602" w:type="pct"/>
            <w:vAlign w:val="bottom"/>
          </w:tcPr>
          <w:p w14:paraId="7E949C8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644CCE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87614E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50DEC3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22AE5B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2BACBF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39EE9474" w14:textId="77777777" w:rsidTr="001B330E">
        <w:trPr>
          <w:trHeight w:val="23"/>
        </w:trPr>
        <w:tc>
          <w:tcPr>
            <w:tcW w:w="1387" w:type="pct"/>
            <w:vAlign w:val="bottom"/>
          </w:tcPr>
          <w:p w14:paraId="3B3ECA50"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Standard lending</w:t>
            </w:r>
          </w:p>
        </w:tc>
        <w:tc>
          <w:tcPr>
            <w:tcW w:w="602" w:type="pct"/>
            <w:vAlign w:val="bottom"/>
          </w:tcPr>
          <w:p w14:paraId="72E4207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4BEB1C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2B5ECE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84DAE0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719720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637135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130DD983" w14:textId="77777777" w:rsidTr="001B330E">
        <w:trPr>
          <w:trHeight w:val="23"/>
        </w:trPr>
        <w:tc>
          <w:tcPr>
            <w:tcW w:w="1387" w:type="pct"/>
            <w:vAlign w:val="bottom"/>
          </w:tcPr>
          <w:p w14:paraId="10C1EC80" w14:textId="77777777" w:rsidR="00D83E33" w:rsidRPr="00372E26" w:rsidRDefault="00BC4072" w:rsidP="001B330E">
            <w:pPr>
              <w:widowControl w:val="0"/>
              <w:pBdr>
                <w:top w:val="nil"/>
                <w:left w:val="nil"/>
                <w:bottom w:val="nil"/>
                <w:right w:val="nil"/>
                <w:between w:val="nil"/>
              </w:pBdr>
              <w:rPr>
                <w:b/>
                <w:i/>
                <w:color w:val="000000"/>
                <w:sz w:val="16"/>
                <w:szCs w:val="16"/>
              </w:rPr>
            </w:pPr>
            <w:r w:rsidRPr="00372E26">
              <w:rPr>
                <w:color w:val="000000"/>
                <w:sz w:val="16"/>
                <w:szCs w:val="16"/>
              </w:rPr>
              <w:t>- Specialised lending</w:t>
            </w:r>
          </w:p>
        </w:tc>
        <w:tc>
          <w:tcPr>
            <w:tcW w:w="602" w:type="pct"/>
            <w:vAlign w:val="bottom"/>
          </w:tcPr>
          <w:p w14:paraId="7A9AB37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BE44C6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052DED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63C6B8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6F6BA9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2611FC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0DEB5D57" w14:textId="77777777" w:rsidTr="001B330E">
        <w:trPr>
          <w:trHeight w:val="23"/>
        </w:trPr>
        <w:tc>
          <w:tcPr>
            <w:tcW w:w="1387" w:type="pct"/>
            <w:vAlign w:val="bottom"/>
          </w:tcPr>
          <w:p w14:paraId="155E2892"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Loans to sovereigns</w:t>
            </w:r>
          </w:p>
        </w:tc>
        <w:tc>
          <w:tcPr>
            <w:tcW w:w="602" w:type="pct"/>
            <w:vAlign w:val="bottom"/>
          </w:tcPr>
          <w:p w14:paraId="5847226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C00DB6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7EE11E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330AA3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CFE289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D68F0D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55861E56" w14:textId="77777777" w:rsidTr="001B330E">
        <w:trPr>
          <w:trHeight w:val="23"/>
        </w:trPr>
        <w:tc>
          <w:tcPr>
            <w:tcW w:w="1387" w:type="pct"/>
            <w:vAlign w:val="bottom"/>
          </w:tcPr>
          <w:p w14:paraId="19689D29"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Loans to sub-sovereigns</w:t>
            </w:r>
          </w:p>
        </w:tc>
        <w:tc>
          <w:tcPr>
            <w:tcW w:w="602" w:type="pct"/>
            <w:vAlign w:val="bottom"/>
          </w:tcPr>
          <w:p w14:paraId="5D61FD7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345BAB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517C07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B3F567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7E601B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DDC3FB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0FC83FE6" w14:textId="77777777" w:rsidTr="001B330E">
        <w:trPr>
          <w:trHeight w:val="23"/>
        </w:trPr>
        <w:tc>
          <w:tcPr>
            <w:tcW w:w="1387" w:type="pct"/>
            <w:vAlign w:val="bottom"/>
          </w:tcPr>
          <w:p w14:paraId="15469991"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Loans to SME</w:t>
            </w:r>
          </w:p>
        </w:tc>
        <w:tc>
          <w:tcPr>
            <w:tcW w:w="602" w:type="pct"/>
            <w:vAlign w:val="bottom"/>
          </w:tcPr>
          <w:p w14:paraId="507E1EB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16D914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36A094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5F20DF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20F2A5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AD7B1A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79C542D4" w14:textId="77777777" w:rsidTr="001B330E">
        <w:trPr>
          <w:trHeight w:val="23"/>
        </w:trPr>
        <w:tc>
          <w:tcPr>
            <w:tcW w:w="1387" w:type="pct"/>
            <w:vAlign w:val="bottom"/>
          </w:tcPr>
          <w:p w14:paraId="10480C4F"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Loans to leasing companies</w:t>
            </w:r>
          </w:p>
        </w:tc>
        <w:tc>
          <w:tcPr>
            <w:tcW w:w="602" w:type="pct"/>
            <w:vAlign w:val="bottom"/>
          </w:tcPr>
          <w:p w14:paraId="370CFD8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867F5A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7488D1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559A1B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A9ECF8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98DA37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23CC3FA9" w14:textId="77777777" w:rsidTr="001B330E">
        <w:trPr>
          <w:trHeight w:val="23"/>
        </w:trPr>
        <w:tc>
          <w:tcPr>
            <w:tcW w:w="1387" w:type="pct"/>
            <w:vAlign w:val="bottom"/>
          </w:tcPr>
          <w:p w14:paraId="1FA1B21C"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Reverse sale and repurchase agreement</w:t>
            </w:r>
          </w:p>
        </w:tc>
        <w:tc>
          <w:tcPr>
            <w:tcW w:w="602" w:type="pct"/>
            <w:vAlign w:val="bottom"/>
          </w:tcPr>
          <w:p w14:paraId="193A8FA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6A5A4F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BB6E43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25DB9E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0B23F1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12B439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69EDD177" w14:textId="77777777" w:rsidTr="001B330E">
        <w:trPr>
          <w:trHeight w:val="23"/>
        </w:trPr>
        <w:tc>
          <w:tcPr>
            <w:tcW w:w="1387" w:type="pct"/>
            <w:vAlign w:val="bottom"/>
          </w:tcPr>
          <w:p w14:paraId="6DB3078A"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Mortgage loans</w:t>
            </w:r>
          </w:p>
        </w:tc>
        <w:tc>
          <w:tcPr>
            <w:tcW w:w="602" w:type="pct"/>
            <w:vAlign w:val="bottom"/>
          </w:tcPr>
          <w:p w14:paraId="08352E7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B449CD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240D4F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C37F0C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91E1B8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313CEB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16F36DDB" w14:textId="77777777" w:rsidTr="001B330E">
        <w:trPr>
          <w:trHeight w:val="23"/>
        </w:trPr>
        <w:tc>
          <w:tcPr>
            <w:tcW w:w="1387" w:type="pct"/>
            <w:vAlign w:val="bottom"/>
          </w:tcPr>
          <w:p w14:paraId="6389A8A8"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Consumer loans</w:t>
            </w:r>
          </w:p>
        </w:tc>
        <w:tc>
          <w:tcPr>
            <w:tcW w:w="602" w:type="pct"/>
            <w:vAlign w:val="bottom"/>
          </w:tcPr>
          <w:p w14:paraId="33181A7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EBCDEA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EB5FA0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6454D6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BB6920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60CDFD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2C205F77" w14:textId="77777777" w:rsidTr="001B330E">
        <w:trPr>
          <w:trHeight w:val="23"/>
        </w:trPr>
        <w:tc>
          <w:tcPr>
            <w:tcW w:w="1387" w:type="pct"/>
            <w:vAlign w:val="bottom"/>
          </w:tcPr>
          <w:p w14:paraId="13CA39FC"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Car loans</w:t>
            </w:r>
          </w:p>
        </w:tc>
        <w:tc>
          <w:tcPr>
            <w:tcW w:w="602" w:type="pct"/>
            <w:vAlign w:val="bottom"/>
          </w:tcPr>
          <w:p w14:paraId="501F40B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A02102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C32B56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0663FA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DA5DB7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EE040B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05075466" w14:textId="77777777" w:rsidTr="001B330E">
        <w:trPr>
          <w:trHeight w:val="23"/>
        </w:trPr>
        <w:tc>
          <w:tcPr>
            <w:tcW w:w="1387" w:type="pct"/>
            <w:vAlign w:val="bottom"/>
          </w:tcPr>
          <w:p w14:paraId="70FB12BF"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Credit cards</w:t>
            </w:r>
          </w:p>
        </w:tc>
        <w:tc>
          <w:tcPr>
            <w:tcW w:w="602" w:type="pct"/>
            <w:vAlign w:val="bottom"/>
          </w:tcPr>
          <w:p w14:paraId="6B0B244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57B40B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46E514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730A50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037B2A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3CE1BA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1CE44B06" w14:textId="77777777" w:rsidTr="001B330E">
        <w:trPr>
          <w:trHeight w:val="23"/>
        </w:trPr>
        <w:tc>
          <w:tcPr>
            <w:tcW w:w="1387" w:type="pct"/>
            <w:vAlign w:val="bottom"/>
          </w:tcPr>
          <w:p w14:paraId="053D7D2A" w14:textId="5A900708" w:rsidR="00D83E33" w:rsidRPr="00372E26" w:rsidRDefault="00D83E33" w:rsidP="001B330E">
            <w:pPr>
              <w:widowControl w:val="0"/>
              <w:pBdr>
                <w:top w:val="nil"/>
                <w:left w:val="nil"/>
                <w:bottom w:val="nil"/>
                <w:right w:val="nil"/>
                <w:between w:val="nil"/>
              </w:pBdr>
              <w:rPr>
                <w:i/>
                <w:color w:val="FF0000"/>
                <w:sz w:val="16"/>
                <w:szCs w:val="16"/>
              </w:rPr>
            </w:pPr>
          </w:p>
        </w:tc>
        <w:tc>
          <w:tcPr>
            <w:tcW w:w="602" w:type="pct"/>
            <w:vAlign w:val="bottom"/>
          </w:tcPr>
          <w:p w14:paraId="22F758E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61A429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878E52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0FB1A2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C26102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B454E9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6EF1006" w14:textId="77777777" w:rsidTr="001B330E">
        <w:trPr>
          <w:trHeight w:val="23"/>
        </w:trPr>
        <w:tc>
          <w:tcPr>
            <w:tcW w:w="1387" w:type="pct"/>
            <w:vAlign w:val="bottom"/>
          </w:tcPr>
          <w:p w14:paraId="7D1EF50D" w14:textId="77777777" w:rsidR="00D83E33" w:rsidRPr="00372E26" w:rsidRDefault="00D83E33" w:rsidP="001B330E">
            <w:pPr>
              <w:widowControl w:val="0"/>
              <w:pBdr>
                <w:top w:val="nil"/>
                <w:left w:val="nil"/>
                <w:bottom w:val="nil"/>
                <w:right w:val="nil"/>
                <w:between w:val="nil"/>
              </w:pBdr>
              <w:rPr>
                <w:b/>
                <w:i/>
                <w:color w:val="000000"/>
                <w:sz w:val="16"/>
                <w:szCs w:val="16"/>
              </w:rPr>
            </w:pPr>
          </w:p>
        </w:tc>
        <w:tc>
          <w:tcPr>
            <w:tcW w:w="602" w:type="pct"/>
            <w:vAlign w:val="bottom"/>
          </w:tcPr>
          <w:p w14:paraId="27ABE5B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897756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580539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7140A9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6E7464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180029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5E09E20D" w14:textId="77777777" w:rsidTr="001B330E">
        <w:trPr>
          <w:trHeight w:val="23"/>
        </w:trPr>
        <w:tc>
          <w:tcPr>
            <w:tcW w:w="1387" w:type="pct"/>
            <w:vAlign w:val="bottom"/>
          </w:tcPr>
          <w:p w14:paraId="5C469B7B" w14:textId="77777777" w:rsidR="00D83E33" w:rsidRPr="00372E26" w:rsidRDefault="00BC4072" w:rsidP="001B330E">
            <w:pPr>
              <w:widowControl w:val="0"/>
              <w:pBdr>
                <w:top w:val="nil"/>
                <w:left w:val="nil"/>
                <w:bottom w:val="nil"/>
                <w:right w:val="nil"/>
                <w:between w:val="nil"/>
              </w:pBdr>
              <w:rPr>
                <w:b/>
                <w:i/>
                <w:color w:val="000000"/>
                <w:sz w:val="16"/>
                <w:szCs w:val="16"/>
              </w:rPr>
            </w:pPr>
            <w:r w:rsidRPr="00372E26">
              <w:rPr>
                <w:b/>
                <w:i/>
                <w:color w:val="000000"/>
                <w:sz w:val="16"/>
                <w:szCs w:val="16"/>
              </w:rPr>
              <w:t xml:space="preserve">Repurchase receivables </w:t>
            </w:r>
          </w:p>
        </w:tc>
        <w:tc>
          <w:tcPr>
            <w:tcW w:w="602" w:type="pct"/>
            <w:vAlign w:val="bottom"/>
          </w:tcPr>
          <w:p w14:paraId="1BC7ADB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65F9B1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CCCE2B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B229D3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9F6F25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1BB005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53411403" w14:textId="77777777" w:rsidTr="001B330E">
        <w:trPr>
          <w:trHeight w:val="23"/>
        </w:trPr>
        <w:tc>
          <w:tcPr>
            <w:tcW w:w="1387" w:type="pct"/>
            <w:vAlign w:val="bottom"/>
          </w:tcPr>
          <w:p w14:paraId="3C31E6A3" w14:textId="4EAFEAC6"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xml:space="preserve">- </w:t>
            </w:r>
            <w:r w:rsidR="00372E26">
              <w:rPr>
                <w:color w:val="000000"/>
                <w:sz w:val="16"/>
                <w:szCs w:val="16"/>
              </w:rPr>
              <w:t>[Country]</w:t>
            </w:r>
            <w:r w:rsidRPr="00372E26">
              <w:rPr>
                <w:color w:val="000000"/>
                <w:sz w:val="16"/>
                <w:szCs w:val="16"/>
              </w:rPr>
              <w:t xml:space="preserve"> government bonds</w:t>
            </w:r>
          </w:p>
        </w:tc>
        <w:tc>
          <w:tcPr>
            <w:tcW w:w="602" w:type="pct"/>
            <w:vAlign w:val="bottom"/>
          </w:tcPr>
          <w:p w14:paraId="6169D3D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3F14DD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B438C9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97651A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B266B3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BEC4C8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1577AFD8" w14:textId="77777777" w:rsidTr="001B330E">
        <w:trPr>
          <w:trHeight w:val="23"/>
        </w:trPr>
        <w:tc>
          <w:tcPr>
            <w:tcW w:w="1387" w:type="pct"/>
            <w:vAlign w:val="bottom"/>
          </w:tcPr>
          <w:p w14:paraId="7D1DAFA3"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Municipal bonds</w:t>
            </w:r>
          </w:p>
        </w:tc>
        <w:tc>
          <w:tcPr>
            <w:tcW w:w="602" w:type="pct"/>
            <w:vAlign w:val="bottom"/>
          </w:tcPr>
          <w:p w14:paraId="76E80AF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EFA284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DE9328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644E22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BA4BBF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9CC161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3B247658" w14:textId="77777777" w:rsidTr="001B330E">
        <w:trPr>
          <w:trHeight w:val="23"/>
        </w:trPr>
        <w:tc>
          <w:tcPr>
            <w:tcW w:w="1387" w:type="pct"/>
            <w:vAlign w:val="bottom"/>
          </w:tcPr>
          <w:p w14:paraId="2BA1BC40"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Corporate bonds</w:t>
            </w:r>
          </w:p>
        </w:tc>
        <w:tc>
          <w:tcPr>
            <w:tcW w:w="602" w:type="pct"/>
            <w:vAlign w:val="bottom"/>
          </w:tcPr>
          <w:p w14:paraId="76BFA15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09E5CE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65DF36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D4EFA0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9DAA8F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49033E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2C539D03" w14:textId="77777777" w:rsidTr="001B330E">
        <w:trPr>
          <w:trHeight w:val="23"/>
        </w:trPr>
        <w:tc>
          <w:tcPr>
            <w:tcW w:w="1387" w:type="pct"/>
            <w:vAlign w:val="bottom"/>
          </w:tcPr>
          <w:p w14:paraId="00DCDBC0"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Investments in mutual funds</w:t>
            </w:r>
          </w:p>
        </w:tc>
        <w:tc>
          <w:tcPr>
            <w:tcW w:w="602" w:type="pct"/>
            <w:vAlign w:val="bottom"/>
          </w:tcPr>
          <w:p w14:paraId="33E6F6B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E92C90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036158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5E3A17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8B66DD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9A14EA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28B6B44" w14:textId="77777777" w:rsidTr="001B330E">
        <w:trPr>
          <w:trHeight w:val="23"/>
        </w:trPr>
        <w:tc>
          <w:tcPr>
            <w:tcW w:w="1387" w:type="pct"/>
            <w:vAlign w:val="bottom"/>
          </w:tcPr>
          <w:p w14:paraId="1EBB39FC"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Promissory notes</w:t>
            </w:r>
          </w:p>
        </w:tc>
        <w:tc>
          <w:tcPr>
            <w:tcW w:w="602" w:type="pct"/>
            <w:vAlign w:val="bottom"/>
          </w:tcPr>
          <w:p w14:paraId="0FAC2D6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B55718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7F0FD9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33E6B5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CA9CE6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95F92B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1FD4FC84" w14:textId="77777777" w:rsidTr="001B330E">
        <w:trPr>
          <w:trHeight w:val="23"/>
        </w:trPr>
        <w:tc>
          <w:tcPr>
            <w:tcW w:w="1387" w:type="pct"/>
            <w:vAlign w:val="bottom"/>
          </w:tcPr>
          <w:p w14:paraId="799ED6CF"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Corporate shares</w:t>
            </w:r>
          </w:p>
        </w:tc>
        <w:tc>
          <w:tcPr>
            <w:tcW w:w="602" w:type="pct"/>
            <w:vAlign w:val="bottom"/>
          </w:tcPr>
          <w:p w14:paraId="5DA3AB7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AF7215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5C710A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0D5941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C9EA7D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D98F3F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66F5A682" w14:textId="77777777" w:rsidTr="001B330E">
        <w:trPr>
          <w:trHeight w:val="23"/>
        </w:trPr>
        <w:tc>
          <w:tcPr>
            <w:tcW w:w="1387" w:type="pct"/>
            <w:vAlign w:val="bottom"/>
          </w:tcPr>
          <w:p w14:paraId="48E81212" w14:textId="77777777"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American depositary receipts (ADR)</w:t>
            </w:r>
          </w:p>
        </w:tc>
        <w:tc>
          <w:tcPr>
            <w:tcW w:w="602" w:type="pct"/>
            <w:vAlign w:val="bottom"/>
          </w:tcPr>
          <w:p w14:paraId="0A0A064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D9F54B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481CD8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2B717E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51CBA8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A2DB7E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0CEA956D" w14:textId="77777777" w:rsidTr="001B330E">
        <w:trPr>
          <w:trHeight w:val="23"/>
        </w:trPr>
        <w:tc>
          <w:tcPr>
            <w:tcW w:w="1387" w:type="pct"/>
            <w:vAlign w:val="bottom"/>
          </w:tcPr>
          <w:p w14:paraId="7901B7E4" w14:textId="626A9D4A" w:rsidR="00D83E33" w:rsidRPr="00372E26" w:rsidRDefault="00BC4072" w:rsidP="001B330E">
            <w:pPr>
              <w:widowControl w:val="0"/>
              <w:pBdr>
                <w:top w:val="nil"/>
                <w:left w:val="nil"/>
                <w:bottom w:val="nil"/>
                <w:right w:val="nil"/>
                <w:between w:val="nil"/>
              </w:pBdr>
              <w:rPr>
                <w:color w:val="000000"/>
                <w:sz w:val="16"/>
                <w:szCs w:val="16"/>
              </w:rPr>
            </w:pPr>
            <w:r w:rsidRPr="00372E26">
              <w:rPr>
                <w:color w:val="000000"/>
                <w:sz w:val="16"/>
                <w:szCs w:val="16"/>
              </w:rPr>
              <w:t xml:space="preserve">- Global depositary receipts (GDR) </w:t>
            </w:r>
          </w:p>
        </w:tc>
        <w:tc>
          <w:tcPr>
            <w:tcW w:w="602" w:type="pct"/>
            <w:vAlign w:val="bottom"/>
          </w:tcPr>
          <w:p w14:paraId="51F8B0E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CA71FD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27CCB4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890272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D3B0FB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DD76FD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F008FFB" w14:textId="77777777" w:rsidTr="001B330E">
        <w:trPr>
          <w:trHeight w:val="23"/>
        </w:trPr>
        <w:tc>
          <w:tcPr>
            <w:tcW w:w="1387" w:type="pct"/>
            <w:tcBorders>
              <w:bottom w:val="single" w:sz="4" w:space="0" w:color="000000"/>
            </w:tcBorders>
            <w:vAlign w:val="bottom"/>
          </w:tcPr>
          <w:p w14:paraId="1E7335EA" w14:textId="77777777" w:rsidR="00D83E33" w:rsidRPr="00372E26" w:rsidRDefault="00D83E33" w:rsidP="001B330E">
            <w:pPr>
              <w:widowControl w:val="0"/>
              <w:pBdr>
                <w:top w:val="nil"/>
                <w:left w:val="nil"/>
                <w:bottom w:val="nil"/>
                <w:right w:val="nil"/>
                <w:between w:val="nil"/>
              </w:pBdr>
              <w:rPr>
                <w:color w:val="000000"/>
                <w:sz w:val="16"/>
                <w:szCs w:val="16"/>
              </w:rPr>
            </w:pPr>
          </w:p>
        </w:tc>
        <w:tc>
          <w:tcPr>
            <w:tcW w:w="602" w:type="pct"/>
            <w:tcBorders>
              <w:bottom w:val="single" w:sz="4" w:space="0" w:color="000000"/>
            </w:tcBorders>
            <w:vAlign w:val="bottom"/>
          </w:tcPr>
          <w:p w14:paraId="44E8182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bottom w:val="single" w:sz="4" w:space="0" w:color="000000"/>
            </w:tcBorders>
            <w:vAlign w:val="bottom"/>
          </w:tcPr>
          <w:p w14:paraId="16F2F78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bottom w:val="single" w:sz="4" w:space="0" w:color="000000"/>
            </w:tcBorders>
            <w:vAlign w:val="bottom"/>
          </w:tcPr>
          <w:p w14:paraId="020E660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bottom w:val="single" w:sz="4" w:space="0" w:color="000000"/>
            </w:tcBorders>
            <w:vAlign w:val="bottom"/>
          </w:tcPr>
          <w:p w14:paraId="7D6C398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bottom w:val="single" w:sz="4" w:space="0" w:color="000000"/>
            </w:tcBorders>
            <w:vAlign w:val="bottom"/>
          </w:tcPr>
          <w:p w14:paraId="3BE727D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bottom w:val="single" w:sz="4" w:space="0" w:color="000000"/>
            </w:tcBorders>
            <w:vAlign w:val="bottom"/>
          </w:tcPr>
          <w:p w14:paraId="2DEF439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bl>
    <w:p w14:paraId="60CFDC79" w14:textId="469F492A" w:rsidR="00077F42" w:rsidRDefault="00077F42">
      <w:pPr>
        <w:widowControl w:val="0"/>
        <w:pBdr>
          <w:top w:val="nil"/>
          <w:left w:val="nil"/>
          <w:bottom w:val="nil"/>
          <w:right w:val="nil"/>
          <w:between w:val="nil"/>
        </w:pBdr>
        <w:spacing w:after="200"/>
        <w:ind w:left="567" w:hanging="567"/>
        <w:jc w:val="both"/>
        <w:rPr>
          <w:b/>
          <w:color w:val="000000"/>
          <w:sz w:val="20"/>
          <w:szCs w:val="20"/>
        </w:rPr>
      </w:pPr>
    </w:p>
    <w:p w14:paraId="67C6B808" w14:textId="4D8EFAB3" w:rsidR="00856386" w:rsidRDefault="00856386">
      <w:pPr>
        <w:widowControl w:val="0"/>
        <w:pBdr>
          <w:top w:val="nil"/>
          <w:left w:val="nil"/>
          <w:bottom w:val="nil"/>
          <w:right w:val="nil"/>
          <w:between w:val="nil"/>
        </w:pBdr>
        <w:spacing w:after="200"/>
        <w:ind w:left="567" w:hanging="567"/>
        <w:jc w:val="both"/>
        <w:rPr>
          <w:b/>
          <w:color w:val="000000"/>
          <w:sz w:val="20"/>
          <w:szCs w:val="20"/>
        </w:rPr>
      </w:pPr>
    </w:p>
    <w:p w14:paraId="01347F2C" w14:textId="55FF5BCD" w:rsidR="00856386" w:rsidRDefault="00856386">
      <w:pPr>
        <w:widowControl w:val="0"/>
        <w:pBdr>
          <w:top w:val="nil"/>
          <w:left w:val="nil"/>
          <w:bottom w:val="nil"/>
          <w:right w:val="nil"/>
          <w:between w:val="nil"/>
        </w:pBdr>
        <w:spacing w:after="200"/>
        <w:ind w:left="567" w:hanging="567"/>
        <w:jc w:val="both"/>
        <w:rPr>
          <w:b/>
          <w:color w:val="000000"/>
          <w:sz w:val="20"/>
          <w:szCs w:val="20"/>
        </w:rPr>
      </w:pPr>
    </w:p>
    <w:p w14:paraId="4071B6BE" w14:textId="657C7236" w:rsidR="00856386" w:rsidRDefault="00856386">
      <w:pPr>
        <w:widowControl w:val="0"/>
        <w:pBdr>
          <w:top w:val="nil"/>
          <w:left w:val="nil"/>
          <w:bottom w:val="nil"/>
          <w:right w:val="nil"/>
          <w:between w:val="nil"/>
        </w:pBdr>
        <w:spacing w:after="200"/>
        <w:ind w:left="567" w:hanging="567"/>
        <w:jc w:val="both"/>
        <w:rPr>
          <w:b/>
          <w:color w:val="000000"/>
          <w:sz w:val="20"/>
          <w:szCs w:val="20"/>
        </w:rPr>
      </w:pPr>
    </w:p>
    <w:p w14:paraId="72365DA0" w14:textId="45C762A3" w:rsidR="00856386" w:rsidRPr="00372E26" w:rsidRDefault="00856386" w:rsidP="00372E26">
      <w:pPr>
        <w:pStyle w:val="Continued"/>
        <w:rPr>
          <w:b w:val="0"/>
        </w:rPr>
      </w:pPr>
      <w:r>
        <w:lastRenderedPageBreak/>
        <w:t>49</w:t>
      </w:r>
      <w:r>
        <w:tab/>
        <w:t>Fair Value Disclosures (Continued)</w:t>
      </w:r>
    </w:p>
    <w:tbl>
      <w:tblPr>
        <w:tblStyle w:val="affffffffffffffffa"/>
        <w:tblW w:w="5000" w:type="pct"/>
        <w:tblLayout w:type="fixed"/>
        <w:tblLook w:val="0000" w:firstRow="0" w:lastRow="0" w:firstColumn="0" w:lastColumn="0" w:noHBand="0" w:noVBand="0"/>
      </w:tblPr>
      <w:tblGrid>
        <w:gridCol w:w="2596"/>
        <w:gridCol w:w="1127"/>
        <w:gridCol w:w="1127"/>
        <w:gridCol w:w="1127"/>
        <w:gridCol w:w="1126"/>
        <w:gridCol w:w="1126"/>
        <w:gridCol w:w="1126"/>
      </w:tblGrid>
      <w:tr w:rsidR="00D83E33" w:rsidRPr="00EA10CF" w14:paraId="0E88E1B1" w14:textId="77777777" w:rsidTr="001B330E">
        <w:trPr>
          <w:trHeight w:val="23"/>
        </w:trPr>
        <w:tc>
          <w:tcPr>
            <w:tcW w:w="1387" w:type="pct"/>
            <w:tcBorders>
              <w:bottom w:val="single" w:sz="4" w:space="0" w:color="000000"/>
            </w:tcBorders>
            <w:vAlign w:val="bottom"/>
          </w:tcPr>
          <w:p w14:paraId="1EDED986" w14:textId="77777777" w:rsidR="00D83E33" w:rsidRPr="00EA10CF" w:rsidRDefault="00D83E33">
            <w:pPr>
              <w:widowControl w:val="0"/>
              <w:pBdr>
                <w:top w:val="nil"/>
                <w:left w:val="nil"/>
                <w:bottom w:val="nil"/>
                <w:right w:val="nil"/>
                <w:between w:val="nil"/>
              </w:pBdr>
              <w:rPr>
                <w:i/>
                <w:color w:val="000000"/>
              </w:rPr>
            </w:pPr>
          </w:p>
          <w:p w14:paraId="664BA240" w14:textId="6643C642" w:rsidR="00D83E33" w:rsidRPr="00EA10CF" w:rsidRDefault="00313B4D">
            <w:pPr>
              <w:widowControl w:val="0"/>
              <w:pBdr>
                <w:top w:val="nil"/>
                <w:left w:val="nil"/>
                <w:bottom w:val="nil"/>
                <w:right w:val="nil"/>
                <w:between w:val="nil"/>
              </w:pBdr>
              <w:rPr>
                <w:i/>
                <w:color w:val="000000"/>
              </w:rPr>
            </w:pPr>
            <w:r>
              <w:rPr>
                <w:i/>
                <w:color w:val="000000"/>
              </w:rPr>
              <w:t xml:space="preserve">In thousands of </w:t>
            </w:r>
            <w:r w:rsidR="002649EE">
              <w:rPr>
                <w:i/>
                <w:color w:val="000000"/>
              </w:rPr>
              <w:t>EUR</w:t>
            </w:r>
          </w:p>
        </w:tc>
        <w:tc>
          <w:tcPr>
            <w:tcW w:w="602" w:type="pct"/>
            <w:tcBorders>
              <w:bottom w:val="single" w:sz="4" w:space="0" w:color="000000"/>
            </w:tcBorders>
          </w:tcPr>
          <w:p w14:paraId="7E9C5068"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 xml:space="preserve">Fair </w:t>
            </w:r>
          </w:p>
          <w:p w14:paraId="4DC599D8"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value</w:t>
            </w:r>
          </w:p>
        </w:tc>
        <w:tc>
          <w:tcPr>
            <w:tcW w:w="602" w:type="pct"/>
            <w:tcBorders>
              <w:bottom w:val="single" w:sz="4" w:space="0" w:color="000000"/>
            </w:tcBorders>
          </w:tcPr>
          <w:p w14:paraId="30ABDB3F"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Valuation technique</w:t>
            </w:r>
          </w:p>
        </w:tc>
        <w:tc>
          <w:tcPr>
            <w:tcW w:w="602" w:type="pct"/>
            <w:tcBorders>
              <w:bottom w:val="single" w:sz="4" w:space="0" w:color="000000"/>
            </w:tcBorders>
          </w:tcPr>
          <w:p w14:paraId="4C06C951"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 xml:space="preserve">Inputs </w:t>
            </w:r>
          </w:p>
          <w:p w14:paraId="3B660291"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used</w:t>
            </w:r>
          </w:p>
        </w:tc>
        <w:tc>
          <w:tcPr>
            <w:tcW w:w="602" w:type="pct"/>
            <w:tcBorders>
              <w:bottom w:val="single" w:sz="4" w:space="0" w:color="000000"/>
            </w:tcBorders>
          </w:tcPr>
          <w:p w14:paraId="537D3BDB"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Range of inputs (weighted average)</w:t>
            </w:r>
          </w:p>
        </w:tc>
        <w:tc>
          <w:tcPr>
            <w:tcW w:w="602" w:type="pct"/>
            <w:tcBorders>
              <w:bottom w:val="single" w:sz="4" w:space="0" w:color="000000"/>
            </w:tcBorders>
          </w:tcPr>
          <w:p w14:paraId="066E2FD5"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Reasonable change</w:t>
            </w:r>
          </w:p>
        </w:tc>
        <w:tc>
          <w:tcPr>
            <w:tcW w:w="602" w:type="pct"/>
            <w:tcBorders>
              <w:bottom w:val="single" w:sz="4" w:space="0" w:color="000000"/>
            </w:tcBorders>
          </w:tcPr>
          <w:p w14:paraId="4C2DA7BD"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Sensitivity of fair value measu-rement</w:t>
            </w:r>
          </w:p>
        </w:tc>
      </w:tr>
      <w:tr w:rsidR="00D83E33" w:rsidRPr="00EA10CF" w14:paraId="64C8606D" w14:textId="77777777" w:rsidTr="001B330E">
        <w:trPr>
          <w:trHeight w:val="23"/>
        </w:trPr>
        <w:tc>
          <w:tcPr>
            <w:tcW w:w="1387" w:type="pct"/>
            <w:vAlign w:val="bottom"/>
          </w:tcPr>
          <w:p w14:paraId="34470996" w14:textId="77777777" w:rsidR="00D83E33" w:rsidRPr="00EA10CF" w:rsidRDefault="00D83E33">
            <w:pPr>
              <w:widowControl w:val="0"/>
              <w:pBdr>
                <w:top w:val="nil"/>
                <w:left w:val="nil"/>
                <w:bottom w:val="nil"/>
                <w:right w:val="nil"/>
                <w:between w:val="nil"/>
              </w:pBdr>
              <w:rPr>
                <w:b/>
                <w:i/>
                <w:color w:val="000000"/>
              </w:rPr>
            </w:pPr>
          </w:p>
        </w:tc>
        <w:tc>
          <w:tcPr>
            <w:tcW w:w="602" w:type="pct"/>
            <w:vAlign w:val="bottom"/>
          </w:tcPr>
          <w:p w14:paraId="2447818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6400CA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233286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FA101C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ECE28C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5FE3872"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9AC22A6" w14:textId="77777777" w:rsidTr="001B330E">
        <w:trPr>
          <w:trHeight w:val="23"/>
        </w:trPr>
        <w:tc>
          <w:tcPr>
            <w:tcW w:w="1387" w:type="pct"/>
            <w:vAlign w:val="bottom"/>
          </w:tcPr>
          <w:p w14:paraId="76282ED4" w14:textId="77777777" w:rsidR="00D83E33" w:rsidRPr="00EA10CF" w:rsidRDefault="00BC4072">
            <w:pPr>
              <w:widowControl w:val="0"/>
              <w:pBdr>
                <w:top w:val="nil"/>
                <w:left w:val="nil"/>
                <w:bottom w:val="nil"/>
                <w:right w:val="nil"/>
                <w:between w:val="nil"/>
              </w:pBdr>
              <w:rPr>
                <w:b/>
                <w:i/>
                <w:color w:val="000000"/>
              </w:rPr>
            </w:pPr>
            <w:r w:rsidRPr="00EA10CF">
              <w:rPr>
                <w:b/>
                <w:i/>
                <w:color w:val="000000"/>
              </w:rPr>
              <w:t xml:space="preserve">Other financial assets </w:t>
            </w:r>
          </w:p>
        </w:tc>
        <w:tc>
          <w:tcPr>
            <w:tcW w:w="602" w:type="pct"/>
            <w:vAlign w:val="bottom"/>
          </w:tcPr>
          <w:p w14:paraId="7E99772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07DAC13"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03F2DB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2C8C28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ADABB9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45B327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BE0F636" w14:textId="77777777" w:rsidTr="001B330E">
        <w:trPr>
          <w:trHeight w:val="23"/>
        </w:trPr>
        <w:tc>
          <w:tcPr>
            <w:tcW w:w="1387" w:type="pct"/>
            <w:vAlign w:val="bottom"/>
          </w:tcPr>
          <w:p w14:paraId="1BBA1A37" w14:textId="77777777" w:rsidR="00D83E33" w:rsidRPr="00EA10CF" w:rsidRDefault="00BC4072">
            <w:pPr>
              <w:widowControl w:val="0"/>
              <w:pBdr>
                <w:top w:val="nil"/>
                <w:left w:val="nil"/>
                <w:bottom w:val="nil"/>
                <w:right w:val="nil"/>
                <w:between w:val="nil"/>
              </w:pBdr>
              <w:rPr>
                <w:color w:val="000000"/>
              </w:rPr>
            </w:pPr>
            <w:r w:rsidRPr="00EA10CF">
              <w:rPr>
                <w:color w:val="000000"/>
              </w:rPr>
              <w:t>- Foreign exchange forward contracts</w:t>
            </w:r>
          </w:p>
        </w:tc>
        <w:tc>
          <w:tcPr>
            <w:tcW w:w="602" w:type="pct"/>
            <w:vAlign w:val="bottom"/>
          </w:tcPr>
          <w:p w14:paraId="4D8C76A3"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0B0301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230E8C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95DC8C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DECF2A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626DC5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81970B4" w14:textId="77777777" w:rsidTr="001B330E">
        <w:trPr>
          <w:trHeight w:val="23"/>
        </w:trPr>
        <w:tc>
          <w:tcPr>
            <w:tcW w:w="1387" w:type="pct"/>
            <w:vAlign w:val="bottom"/>
          </w:tcPr>
          <w:p w14:paraId="10525D65" w14:textId="77777777" w:rsidR="00D83E33" w:rsidRPr="00EA10CF" w:rsidRDefault="00BC4072">
            <w:pPr>
              <w:widowControl w:val="0"/>
              <w:pBdr>
                <w:top w:val="nil"/>
                <w:left w:val="nil"/>
                <w:bottom w:val="nil"/>
                <w:right w:val="nil"/>
                <w:between w:val="nil"/>
              </w:pBdr>
              <w:rPr>
                <w:color w:val="000000"/>
              </w:rPr>
            </w:pPr>
            <w:r w:rsidRPr="00EA10CF">
              <w:rPr>
                <w:color w:val="000000"/>
              </w:rPr>
              <w:t>- Precious metals forward contracts</w:t>
            </w:r>
          </w:p>
        </w:tc>
        <w:tc>
          <w:tcPr>
            <w:tcW w:w="602" w:type="pct"/>
            <w:vAlign w:val="bottom"/>
          </w:tcPr>
          <w:p w14:paraId="42D5B51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B92406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4BD769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37BBAD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CBC0CE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548776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682F91B" w14:textId="77777777" w:rsidTr="001B330E">
        <w:trPr>
          <w:trHeight w:val="23"/>
        </w:trPr>
        <w:tc>
          <w:tcPr>
            <w:tcW w:w="1387" w:type="pct"/>
            <w:vAlign w:val="bottom"/>
          </w:tcPr>
          <w:p w14:paraId="23056B68" w14:textId="77777777" w:rsidR="00D83E33" w:rsidRPr="00EA10CF" w:rsidRDefault="00BC4072">
            <w:pPr>
              <w:widowControl w:val="0"/>
              <w:pBdr>
                <w:top w:val="nil"/>
                <w:left w:val="nil"/>
                <w:bottom w:val="nil"/>
                <w:right w:val="nil"/>
                <w:between w:val="nil"/>
              </w:pBdr>
              <w:rPr>
                <w:color w:val="000000"/>
              </w:rPr>
            </w:pPr>
            <w:r w:rsidRPr="00EA10CF">
              <w:rPr>
                <w:color w:val="000000"/>
              </w:rPr>
              <w:t>- Other financial derivatives</w:t>
            </w:r>
          </w:p>
        </w:tc>
        <w:tc>
          <w:tcPr>
            <w:tcW w:w="602" w:type="pct"/>
            <w:vAlign w:val="bottom"/>
          </w:tcPr>
          <w:p w14:paraId="21F6293C"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B989BF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8A4434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0B5A7A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3EE6A1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C69EBA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89D9E25" w14:textId="77777777" w:rsidTr="001B330E">
        <w:trPr>
          <w:trHeight w:val="23"/>
        </w:trPr>
        <w:tc>
          <w:tcPr>
            <w:tcW w:w="1387" w:type="pct"/>
            <w:vAlign w:val="bottom"/>
          </w:tcPr>
          <w:p w14:paraId="299B4F8F" w14:textId="77777777" w:rsidR="00D83E33" w:rsidRPr="00EA10CF" w:rsidRDefault="00BC4072">
            <w:pPr>
              <w:widowControl w:val="0"/>
              <w:pBdr>
                <w:top w:val="nil"/>
                <w:left w:val="nil"/>
                <w:bottom w:val="nil"/>
                <w:right w:val="nil"/>
                <w:between w:val="nil"/>
              </w:pBdr>
              <w:rPr>
                <w:color w:val="000000"/>
              </w:rPr>
            </w:pPr>
            <w:r w:rsidRPr="00EA10CF">
              <w:rPr>
                <w:color w:val="000000"/>
              </w:rPr>
              <w:t>- Other</w:t>
            </w:r>
          </w:p>
        </w:tc>
        <w:tc>
          <w:tcPr>
            <w:tcW w:w="602" w:type="pct"/>
            <w:vAlign w:val="bottom"/>
          </w:tcPr>
          <w:p w14:paraId="4647F71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1E00F6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BBB52D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C65979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0761A8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DE4ABC0"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86D5AED" w14:textId="77777777" w:rsidTr="001B330E">
        <w:trPr>
          <w:trHeight w:val="23"/>
        </w:trPr>
        <w:tc>
          <w:tcPr>
            <w:tcW w:w="1387" w:type="pct"/>
            <w:vAlign w:val="bottom"/>
          </w:tcPr>
          <w:p w14:paraId="11C8D087" w14:textId="2F21027D" w:rsidR="00D83E33" w:rsidRPr="00EA10CF" w:rsidRDefault="00D83E33">
            <w:pPr>
              <w:widowControl w:val="0"/>
              <w:pBdr>
                <w:top w:val="nil"/>
                <w:left w:val="nil"/>
                <w:bottom w:val="nil"/>
                <w:right w:val="nil"/>
                <w:between w:val="nil"/>
              </w:pBdr>
              <w:rPr>
                <w:color w:val="000000"/>
              </w:rPr>
            </w:pPr>
          </w:p>
        </w:tc>
        <w:tc>
          <w:tcPr>
            <w:tcW w:w="602" w:type="pct"/>
            <w:vAlign w:val="bottom"/>
          </w:tcPr>
          <w:p w14:paraId="5FF491C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48944C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11F6233"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C07205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86F521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1ADED1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5FC3E98" w14:textId="77777777" w:rsidTr="001B330E">
        <w:trPr>
          <w:trHeight w:val="23"/>
        </w:trPr>
        <w:tc>
          <w:tcPr>
            <w:tcW w:w="1387" w:type="pct"/>
            <w:vAlign w:val="bottom"/>
          </w:tcPr>
          <w:p w14:paraId="1646328E" w14:textId="77777777" w:rsidR="00D83E33" w:rsidRPr="00EA10CF" w:rsidRDefault="00D83E33">
            <w:pPr>
              <w:widowControl w:val="0"/>
              <w:pBdr>
                <w:top w:val="nil"/>
                <w:left w:val="nil"/>
                <w:bottom w:val="nil"/>
                <w:right w:val="nil"/>
                <w:between w:val="nil"/>
              </w:pBdr>
              <w:rPr>
                <w:b/>
                <w:smallCaps/>
                <w:color w:val="000000"/>
              </w:rPr>
            </w:pPr>
          </w:p>
        </w:tc>
        <w:tc>
          <w:tcPr>
            <w:tcW w:w="602" w:type="pct"/>
            <w:vAlign w:val="bottom"/>
          </w:tcPr>
          <w:p w14:paraId="1E0E403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3C139AC"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6CE32D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F81DE5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43A8C5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526A10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68AF610" w14:textId="77777777" w:rsidTr="001B330E">
        <w:trPr>
          <w:trHeight w:val="23"/>
        </w:trPr>
        <w:tc>
          <w:tcPr>
            <w:tcW w:w="1387" w:type="pct"/>
            <w:vAlign w:val="bottom"/>
          </w:tcPr>
          <w:p w14:paraId="58FA17C5" w14:textId="77777777" w:rsidR="00D83E33" w:rsidRPr="00EA10CF" w:rsidRDefault="00BC4072">
            <w:pPr>
              <w:widowControl w:val="0"/>
              <w:pBdr>
                <w:top w:val="nil"/>
                <w:left w:val="nil"/>
                <w:bottom w:val="nil"/>
                <w:right w:val="nil"/>
                <w:between w:val="nil"/>
              </w:pBdr>
              <w:rPr>
                <w:b/>
                <w:i/>
                <w:color w:val="000000"/>
              </w:rPr>
            </w:pPr>
            <w:r w:rsidRPr="00EA10CF">
              <w:rPr>
                <w:b/>
                <w:smallCaps/>
                <w:color w:val="000000"/>
              </w:rPr>
              <w:t>NON-FINANCIAL ASSETS</w:t>
            </w:r>
          </w:p>
        </w:tc>
        <w:tc>
          <w:tcPr>
            <w:tcW w:w="602" w:type="pct"/>
            <w:vAlign w:val="bottom"/>
          </w:tcPr>
          <w:p w14:paraId="0D6ED68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027E8F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620CD8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3799BA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B55D0F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63EE95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E739A6E" w14:textId="77777777" w:rsidTr="001B330E">
        <w:trPr>
          <w:trHeight w:val="23"/>
        </w:trPr>
        <w:tc>
          <w:tcPr>
            <w:tcW w:w="1387" w:type="pct"/>
            <w:vAlign w:val="bottom"/>
          </w:tcPr>
          <w:p w14:paraId="4C0EB1E2" w14:textId="77777777" w:rsidR="00D83E33" w:rsidRPr="00EA10CF" w:rsidRDefault="00BC4072">
            <w:pPr>
              <w:widowControl w:val="0"/>
              <w:pBdr>
                <w:top w:val="nil"/>
                <w:left w:val="nil"/>
                <w:bottom w:val="nil"/>
                <w:right w:val="nil"/>
                <w:between w:val="nil"/>
              </w:pBdr>
              <w:rPr>
                <w:b/>
                <w:color w:val="000000"/>
              </w:rPr>
            </w:pPr>
            <w:r w:rsidRPr="00EA10CF">
              <w:rPr>
                <w:color w:val="000000"/>
              </w:rPr>
              <w:t xml:space="preserve">- Premises and equipment </w:t>
            </w:r>
          </w:p>
        </w:tc>
        <w:tc>
          <w:tcPr>
            <w:tcW w:w="602" w:type="pct"/>
            <w:vAlign w:val="bottom"/>
          </w:tcPr>
          <w:p w14:paraId="6ACAFE7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8922E5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B08C87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B00AAD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3A7F4D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D69C9E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4A81C78" w14:textId="77777777" w:rsidTr="001B330E">
        <w:trPr>
          <w:trHeight w:val="23"/>
        </w:trPr>
        <w:tc>
          <w:tcPr>
            <w:tcW w:w="1387" w:type="pct"/>
            <w:vAlign w:val="bottom"/>
          </w:tcPr>
          <w:p w14:paraId="23F83CF0" w14:textId="77777777" w:rsidR="00D83E33" w:rsidRPr="00EA10CF" w:rsidRDefault="00BC4072">
            <w:pPr>
              <w:widowControl w:val="0"/>
              <w:pBdr>
                <w:top w:val="nil"/>
                <w:left w:val="nil"/>
                <w:bottom w:val="nil"/>
                <w:right w:val="nil"/>
                <w:between w:val="nil"/>
              </w:pBdr>
              <w:rPr>
                <w:b/>
                <w:color w:val="000000"/>
              </w:rPr>
            </w:pPr>
            <w:r w:rsidRPr="00EA10CF">
              <w:rPr>
                <w:color w:val="000000"/>
              </w:rPr>
              <w:t>- Investment properties</w:t>
            </w:r>
          </w:p>
        </w:tc>
        <w:tc>
          <w:tcPr>
            <w:tcW w:w="602" w:type="pct"/>
            <w:vAlign w:val="bottom"/>
          </w:tcPr>
          <w:p w14:paraId="054687E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DD84BA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DDC5D33"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9F06BA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75DF44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A720EA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D81547F" w14:textId="77777777" w:rsidTr="001B330E">
        <w:trPr>
          <w:trHeight w:val="23"/>
        </w:trPr>
        <w:tc>
          <w:tcPr>
            <w:tcW w:w="1387" w:type="pct"/>
            <w:vAlign w:val="bottom"/>
          </w:tcPr>
          <w:p w14:paraId="1058E33D" w14:textId="77777777" w:rsidR="00D83E33" w:rsidRPr="00EA10CF" w:rsidRDefault="00D83E33">
            <w:pPr>
              <w:widowControl w:val="0"/>
              <w:pBdr>
                <w:top w:val="nil"/>
                <w:left w:val="nil"/>
                <w:bottom w:val="nil"/>
                <w:right w:val="nil"/>
                <w:between w:val="nil"/>
              </w:pBdr>
              <w:rPr>
                <w:color w:val="000000"/>
              </w:rPr>
            </w:pPr>
          </w:p>
        </w:tc>
        <w:tc>
          <w:tcPr>
            <w:tcW w:w="602" w:type="pct"/>
            <w:vAlign w:val="bottom"/>
          </w:tcPr>
          <w:p w14:paraId="3D12651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5BDEE1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263B90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6BF199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C46797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6AEDDD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E10D3E1" w14:textId="77777777" w:rsidTr="001B330E">
        <w:trPr>
          <w:trHeight w:val="23"/>
        </w:trPr>
        <w:tc>
          <w:tcPr>
            <w:tcW w:w="1387" w:type="pct"/>
            <w:vAlign w:val="bottom"/>
          </w:tcPr>
          <w:p w14:paraId="659392B5" w14:textId="77777777" w:rsidR="00D83E33" w:rsidRPr="00EA10CF" w:rsidRDefault="00BC4072">
            <w:pPr>
              <w:widowControl w:val="0"/>
              <w:pBdr>
                <w:top w:val="nil"/>
                <w:left w:val="nil"/>
                <w:bottom w:val="nil"/>
                <w:right w:val="nil"/>
                <w:between w:val="nil"/>
              </w:pBdr>
              <w:rPr>
                <w:b/>
                <w:color w:val="000000"/>
              </w:rPr>
            </w:pPr>
            <w:r w:rsidRPr="00EA10CF">
              <w:rPr>
                <w:b/>
                <w:smallCaps/>
                <w:color w:val="000000"/>
              </w:rPr>
              <w:t>LIABILITIES AT FAIR VALUE</w:t>
            </w:r>
          </w:p>
        </w:tc>
        <w:tc>
          <w:tcPr>
            <w:tcW w:w="602" w:type="pct"/>
            <w:vAlign w:val="bottom"/>
          </w:tcPr>
          <w:p w14:paraId="69700C4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A9420E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FBE928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D08651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61AFC9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45939F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09D7624" w14:textId="77777777" w:rsidTr="001B330E">
        <w:trPr>
          <w:trHeight w:val="23"/>
        </w:trPr>
        <w:tc>
          <w:tcPr>
            <w:tcW w:w="1387" w:type="pct"/>
            <w:vAlign w:val="bottom"/>
          </w:tcPr>
          <w:p w14:paraId="269D25D9" w14:textId="77777777" w:rsidR="00D83E33" w:rsidRPr="00EA10CF" w:rsidRDefault="00BC4072">
            <w:pPr>
              <w:widowControl w:val="0"/>
              <w:pBdr>
                <w:top w:val="nil"/>
                <w:left w:val="nil"/>
                <w:bottom w:val="nil"/>
                <w:right w:val="nil"/>
                <w:between w:val="nil"/>
              </w:pBdr>
              <w:rPr>
                <w:b/>
                <w:color w:val="000000"/>
              </w:rPr>
            </w:pPr>
            <w:r w:rsidRPr="00EA10CF">
              <w:rPr>
                <w:b/>
                <w:smallCaps/>
                <w:color w:val="000000"/>
              </w:rPr>
              <w:t xml:space="preserve">FINANCIAL LIABILITIES </w:t>
            </w:r>
          </w:p>
        </w:tc>
        <w:tc>
          <w:tcPr>
            <w:tcW w:w="602" w:type="pct"/>
            <w:vAlign w:val="bottom"/>
          </w:tcPr>
          <w:p w14:paraId="75C1B7C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3B3D46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4E8A3E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BE3992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577194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512784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A327DD2" w14:textId="77777777" w:rsidTr="001B330E">
        <w:trPr>
          <w:trHeight w:val="23"/>
        </w:trPr>
        <w:tc>
          <w:tcPr>
            <w:tcW w:w="1387" w:type="pct"/>
            <w:vAlign w:val="bottom"/>
          </w:tcPr>
          <w:p w14:paraId="73CA12F3" w14:textId="77777777" w:rsidR="00D83E33" w:rsidRPr="00EA10CF" w:rsidRDefault="00D83E33">
            <w:pPr>
              <w:widowControl w:val="0"/>
              <w:pBdr>
                <w:top w:val="nil"/>
                <w:left w:val="nil"/>
                <w:bottom w:val="nil"/>
                <w:right w:val="nil"/>
                <w:between w:val="nil"/>
              </w:pBdr>
              <w:rPr>
                <w:b/>
                <w:i/>
                <w:color w:val="000000"/>
              </w:rPr>
            </w:pPr>
          </w:p>
        </w:tc>
        <w:tc>
          <w:tcPr>
            <w:tcW w:w="602" w:type="pct"/>
            <w:vAlign w:val="bottom"/>
          </w:tcPr>
          <w:p w14:paraId="2A45E63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69EBD0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2C5991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18EFD5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59ADC3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0FECE0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BF664F3" w14:textId="77777777" w:rsidTr="001B330E">
        <w:trPr>
          <w:trHeight w:val="23"/>
        </w:trPr>
        <w:tc>
          <w:tcPr>
            <w:tcW w:w="1387" w:type="pct"/>
            <w:vAlign w:val="bottom"/>
          </w:tcPr>
          <w:p w14:paraId="1E119943" w14:textId="77777777" w:rsidR="00D83E33" w:rsidRPr="00EA10CF" w:rsidRDefault="00BC4072">
            <w:pPr>
              <w:widowControl w:val="0"/>
              <w:pBdr>
                <w:top w:val="nil"/>
                <w:left w:val="nil"/>
                <w:bottom w:val="nil"/>
                <w:right w:val="nil"/>
                <w:between w:val="nil"/>
              </w:pBdr>
              <w:rPr>
                <w:color w:val="000000"/>
              </w:rPr>
            </w:pPr>
            <w:r w:rsidRPr="00EA10CF">
              <w:rPr>
                <w:b/>
                <w:i/>
                <w:color w:val="000000"/>
              </w:rPr>
              <w:t xml:space="preserve">Due to other banks </w:t>
            </w:r>
          </w:p>
        </w:tc>
        <w:tc>
          <w:tcPr>
            <w:tcW w:w="602" w:type="pct"/>
            <w:vAlign w:val="bottom"/>
          </w:tcPr>
          <w:p w14:paraId="24316D1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733E035"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C2D0F9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7BC18D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6124CD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71AD8A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E1520C6" w14:textId="77777777" w:rsidTr="001B330E">
        <w:trPr>
          <w:trHeight w:val="23"/>
        </w:trPr>
        <w:tc>
          <w:tcPr>
            <w:tcW w:w="1387" w:type="pct"/>
            <w:vAlign w:val="bottom"/>
          </w:tcPr>
          <w:p w14:paraId="568B6F6E" w14:textId="77777777" w:rsidR="00D83E33" w:rsidRPr="00EA10CF" w:rsidRDefault="00BC4072">
            <w:pPr>
              <w:widowControl w:val="0"/>
              <w:pBdr>
                <w:top w:val="nil"/>
                <w:left w:val="nil"/>
                <w:bottom w:val="nil"/>
                <w:right w:val="nil"/>
                <w:between w:val="nil"/>
              </w:pBdr>
              <w:rPr>
                <w:color w:val="000000"/>
              </w:rPr>
            </w:pPr>
            <w:r w:rsidRPr="00EA10CF">
              <w:rPr>
                <w:color w:val="000000"/>
              </w:rPr>
              <w:t>- Liability to return collateral sold or repledged</w:t>
            </w:r>
          </w:p>
        </w:tc>
        <w:tc>
          <w:tcPr>
            <w:tcW w:w="602" w:type="pct"/>
            <w:vAlign w:val="bottom"/>
          </w:tcPr>
          <w:p w14:paraId="3E3EAEC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5C487C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F9A8615"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616BFD3"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1C9E69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99FAF4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EBEAC9E" w14:textId="77777777" w:rsidTr="001B330E">
        <w:trPr>
          <w:trHeight w:val="23"/>
        </w:trPr>
        <w:tc>
          <w:tcPr>
            <w:tcW w:w="1387" w:type="pct"/>
            <w:vAlign w:val="bottom"/>
          </w:tcPr>
          <w:p w14:paraId="7B9712CF" w14:textId="77777777" w:rsidR="00D83E33" w:rsidRPr="00EA10CF" w:rsidRDefault="00D83E33">
            <w:pPr>
              <w:widowControl w:val="0"/>
              <w:pBdr>
                <w:top w:val="nil"/>
                <w:left w:val="nil"/>
                <w:bottom w:val="nil"/>
                <w:right w:val="nil"/>
                <w:between w:val="nil"/>
              </w:pBdr>
              <w:rPr>
                <w:b/>
                <w:i/>
                <w:color w:val="000000"/>
              </w:rPr>
            </w:pPr>
          </w:p>
        </w:tc>
        <w:tc>
          <w:tcPr>
            <w:tcW w:w="602" w:type="pct"/>
            <w:vAlign w:val="bottom"/>
          </w:tcPr>
          <w:p w14:paraId="6DB988F5"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1C7FF4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0997D1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B60D8F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D6F4A3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17F612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1F773CF" w14:textId="77777777" w:rsidTr="001B330E">
        <w:trPr>
          <w:trHeight w:val="23"/>
        </w:trPr>
        <w:tc>
          <w:tcPr>
            <w:tcW w:w="1387" w:type="pct"/>
            <w:vAlign w:val="bottom"/>
          </w:tcPr>
          <w:p w14:paraId="53F123FB" w14:textId="77777777" w:rsidR="00D83E33" w:rsidRPr="00EA10CF" w:rsidRDefault="00BC4072">
            <w:pPr>
              <w:widowControl w:val="0"/>
              <w:pBdr>
                <w:top w:val="nil"/>
                <w:left w:val="nil"/>
                <w:bottom w:val="nil"/>
                <w:right w:val="nil"/>
                <w:between w:val="nil"/>
              </w:pBdr>
              <w:rPr>
                <w:color w:val="000000"/>
              </w:rPr>
            </w:pPr>
            <w:r w:rsidRPr="00EA10CF">
              <w:rPr>
                <w:b/>
                <w:i/>
                <w:color w:val="000000"/>
              </w:rPr>
              <w:t xml:space="preserve">Other borrowed funds </w:t>
            </w:r>
          </w:p>
        </w:tc>
        <w:tc>
          <w:tcPr>
            <w:tcW w:w="602" w:type="pct"/>
            <w:vAlign w:val="bottom"/>
          </w:tcPr>
          <w:p w14:paraId="64FE345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729E2F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CF5DC6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F1522C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8E2F69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61AECB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7F4F182" w14:textId="77777777" w:rsidTr="001B330E">
        <w:trPr>
          <w:trHeight w:val="23"/>
        </w:trPr>
        <w:tc>
          <w:tcPr>
            <w:tcW w:w="1387" w:type="pct"/>
            <w:vAlign w:val="bottom"/>
          </w:tcPr>
          <w:p w14:paraId="2D228B71" w14:textId="77777777" w:rsidR="00D83E33" w:rsidRPr="00EA10CF" w:rsidRDefault="00BC4072">
            <w:pPr>
              <w:widowControl w:val="0"/>
              <w:pBdr>
                <w:top w:val="nil"/>
                <w:left w:val="nil"/>
                <w:bottom w:val="nil"/>
                <w:right w:val="nil"/>
                <w:between w:val="nil"/>
              </w:pBdr>
              <w:rPr>
                <w:color w:val="000000"/>
              </w:rPr>
            </w:pPr>
            <w:r w:rsidRPr="00EA10CF">
              <w:rPr>
                <w:color w:val="000000"/>
              </w:rPr>
              <w:t>- Liability to return collateral sold or repledged</w:t>
            </w:r>
          </w:p>
        </w:tc>
        <w:tc>
          <w:tcPr>
            <w:tcW w:w="602" w:type="pct"/>
            <w:vAlign w:val="bottom"/>
          </w:tcPr>
          <w:p w14:paraId="214C2D3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26F758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8FD11D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FA13AD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75C537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BFB04D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BD39425" w14:textId="77777777" w:rsidTr="001B330E">
        <w:trPr>
          <w:trHeight w:val="23"/>
        </w:trPr>
        <w:tc>
          <w:tcPr>
            <w:tcW w:w="1387" w:type="pct"/>
            <w:vAlign w:val="bottom"/>
          </w:tcPr>
          <w:p w14:paraId="0AE206C9" w14:textId="5119CB5C" w:rsidR="00D83E33" w:rsidRPr="00EA10CF" w:rsidRDefault="00BC4072">
            <w:pPr>
              <w:widowControl w:val="0"/>
              <w:pBdr>
                <w:top w:val="nil"/>
                <w:left w:val="nil"/>
                <w:bottom w:val="nil"/>
                <w:right w:val="nil"/>
                <w:between w:val="nil"/>
              </w:pBdr>
              <w:rPr>
                <w:color w:val="000000"/>
              </w:rPr>
            </w:pPr>
            <w:r w:rsidRPr="00EA10CF">
              <w:rPr>
                <w:color w:val="000000"/>
              </w:rPr>
              <w:t xml:space="preserve">- </w:t>
            </w:r>
            <w:r w:rsidR="00EB510C">
              <w:rPr>
                <w:color w:val="000000"/>
              </w:rPr>
              <w:t>Other structured</w:t>
            </w:r>
            <w:r w:rsidRPr="00EA10CF">
              <w:rPr>
                <w:color w:val="000000"/>
              </w:rPr>
              <w:t xml:space="preserve"> funding</w:t>
            </w:r>
          </w:p>
        </w:tc>
        <w:tc>
          <w:tcPr>
            <w:tcW w:w="602" w:type="pct"/>
            <w:vAlign w:val="bottom"/>
          </w:tcPr>
          <w:p w14:paraId="1C2AF88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78E2785"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38EDB2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A7B409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569A24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082FA9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1604852" w14:textId="77777777" w:rsidTr="001B330E">
        <w:trPr>
          <w:trHeight w:val="23"/>
        </w:trPr>
        <w:tc>
          <w:tcPr>
            <w:tcW w:w="1387" w:type="pct"/>
            <w:vAlign w:val="bottom"/>
          </w:tcPr>
          <w:p w14:paraId="5EE738DD" w14:textId="77777777" w:rsidR="00D83E33" w:rsidRPr="00EA10CF" w:rsidRDefault="00D83E33">
            <w:pPr>
              <w:widowControl w:val="0"/>
              <w:pBdr>
                <w:top w:val="nil"/>
                <w:left w:val="nil"/>
                <w:bottom w:val="nil"/>
                <w:right w:val="nil"/>
                <w:between w:val="nil"/>
              </w:pBdr>
              <w:rPr>
                <w:b/>
                <w:i/>
                <w:color w:val="000000"/>
              </w:rPr>
            </w:pPr>
          </w:p>
        </w:tc>
        <w:tc>
          <w:tcPr>
            <w:tcW w:w="602" w:type="pct"/>
            <w:vAlign w:val="bottom"/>
          </w:tcPr>
          <w:p w14:paraId="677D65E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0BC27A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D4A742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C57F73C"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5B4693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534B06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2C6A40A" w14:textId="77777777" w:rsidTr="001B330E">
        <w:trPr>
          <w:trHeight w:val="23"/>
        </w:trPr>
        <w:tc>
          <w:tcPr>
            <w:tcW w:w="1387" w:type="pct"/>
            <w:vAlign w:val="bottom"/>
          </w:tcPr>
          <w:p w14:paraId="05C330A8" w14:textId="77777777" w:rsidR="00D83E33" w:rsidRPr="00EA10CF" w:rsidRDefault="00BC4072">
            <w:pPr>
              <w:widowControl w:val="0"/>
              <w:pBdr>
                <w:top w:val="nil"/>
                <w:left w:val="nil"/>
                <w:bottom w:val="nil"/>
                <w:right w:val="nil"/>
                <w:between w:val="nil"/>
              </w:pBdr>
              <w:rPr>
                <w:b/>
                <w:color w:val="000000"/>
              </w:rPr>
            </w:pPr>
            <w:r w:rsidRPr="00EA10CF">
              <w:rPr>
                <w:b/>
                <w:i/>
                <w:color w:val="000000"/>
              </w:rPr>
              <w:t xml:space="preserve">Other financial liabilities </w:t>
            </w:r>
          </w:p>
        </w:tc>
        <w:tc>
          <w:tcPr>
            <w:tcW w:w="602" w:type="pct"/>
            <w:vAlign w:val="bottom"/>
          </w:tcPr>
          <w:p w14:paraId="2C2E5FB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A1AE2A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475B4C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2A3F74C"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7531EB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ACF038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61DF7F2" w14:textId="77777777" w:rsidTr="001B330E">
        <w:trPr>
          <w:trHeight w:val="23"/>
        </w:trPr>
        <w:tc>
          <w:tcPr>
            <w:tcW w:w="1387" w:type="pct"/>
            <w:vAlign w:val="bottom"/>
          </w:tcPr>
          <w:p w14:paraId="398FD964" w14:textId="77777777" w:rsidR="00D83E33" w:rsidRPr="00EA10CF" w:rsidRDefault="00BC4072">
            <w:pPr>
              <w:widowControl w:val="0"/>
              <w:pBdr>
                <w:top w:val="nil"/>
                <w:left w:val="nil"/>
                <w:bottom w:val="nil"/>
                <w:right w:val="nil"/>
                <w:between w:val="nil"/>
              </w:pBdr>
              <w:rPr>
                <w:b/>
                <w:color w:val="000000"/>
              </w:rPr>
            </w:pPr>
            <w:r w:rsidRPr="00EA10CF">
              <w:rPr>
                <w:color w:val="000000"/>
              </w:rPr>
              <w:t>- Foreign exchange forward contracts</w:t>
            </w:r>
          </w:p>
        </w:tc>
        <w:tc>
          <w:tcPr>
            <w:tcW w:w="602" w:type="pct"/>
            <w:vAlign w:val="bottom"/>
          </w:tcPr>
          <w:p w14:paraId="5E93AF4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2B87B2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A5A709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A9F669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02F9F1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DF75FA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62FFDEB" w14:textId="77777777" w:rsidTr="001B330E">
        <w:trPr>
          <w:trHeight w:val="23"/>
        </w:trPr>
        <w:tc>
          <w:tcPr>
            <w:tcW w:w="1387" w:type="pct"/>
            <w:vAlign w:val="bottom"/>
          </w:tcPr>
          <w:p w14:paraId="46BDA3B4" w14:textId="77777777" w:rsidR="00D83E33" w:rsidRPr="00EA10CF" w:rsidRDefault="00BC4072">
            <w:pPr>
              <w:widowControl w:val="0"/>
              <w:pBdr>
                <w:top w:val="nil"/>
                <w:left w:val="nil"/>
                <w:bottom w:val="nil"/>
                <w:right w:val="nil"/>
                <w:between w:val="nil"/>
              </w:pBdr>
              <w:rPr>
                <w:b/>
                <w:color w:val="000000"/>
              </w:rPr>
            </w:pPr>
            <w:r w:rsidRPr="00EA10CF">
              <w:rPr>
                <w:color w:val="000000"/>
              </w:rPr>
              <w:t>- Other derivative financial instruments</w:t>
            </w:r>
          </w:p>
        </w:tc>
        <w:tc>
          <w:tcPr>
            <w:tcW w:w="602" w:type="pct"/>
            <w:vAlign w:val="bottom"/>
          </w:tcPr>
          <w:p w14:paraId="743E115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C2C5ED3"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D3E6FE3"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F5729E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DEEBBC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AA7E60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E2637D7" w14:textId="77777777" w:rsidTr="001B330E">
        <w:trPr>
          <w:trHeight w:val="23"/>
        </w:trPr>
        <w:tc>
          <w:tcPr>
            <w:tcW w:w="1387" w:type="pct"/>
            <w:vAlign w:val="bottom"/>
          </w:tcPr>
          <w:p w14:paraId="2A2D11BD" w14:textId="77777777" w:rsidR="00D83E33" w:rsidRPr="00EA10CF" w:rsidRDefault="00BC4072">
            <w:pPr>
              <w:widowControl w:val="0"/>
              <w:pBdr>
                <w:top w:val="nil"/>
                <w:left w:val="nil"/>
                <w:bottom w:val="nil"/>
                <w:right w:val="nil"/>
                <w:between w:val="nil"/>
              </w:pBdr>
              <w:rPr>
                <w:b/>
                <w:color w:val="000000"/>
              </w:rPr>
            </w:pPr>
            <w:r w:rsidRPr="00EA10CF">
              <w:rPr>
                <w:color w:val="000000"/>
              </w:rPr>
              <w:t>- Short sales of securities</w:t>
            </w:r>
          </w:p>
        </w:tc>
        <w:tc>
          <w:tcPr>
            <w:tcW w:w="602" w:type="pct"/>
            <w:vAlign w:val="bottom"/>
          </w:tcPr>
          <w:p w14:paraId="1E0E52C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689A0D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8EB183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E0CC8D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B8228F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B6B4AED"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0B5B73F" w14:textId="77777777" w:rsidTr="001B330E">
        <w:trPr>
          <w:trHeight w:val="23"/>
        </w:trPr>
        <w:tc>
          <w:tcPr>
            <w:tcW w:w="1387" w:type="pct"/>
            <w:vAlign w:val="bottom"/>
          </w:tcPr>
          <w:p w14:paraId="1B3939D4" w14:textId="77777777" w:rsidR="00D83E33" w:rsidRPr="00EA10CF" w:rsidRDefault="00BC4072">
            <w:pPr>
              <w:widowControl w:val="0"/>
              <w:pBdr>
                <w:top w:val="nil"/>
                <w:left w:val="nil"/>
                <w:bottom w:val="nil"/>
                <w:right w:val="nil"/>
                <w:between w:val="nil"/>
              </w:pBdr>
              <w:rPr>
                <w:color w:val="000000"/>
              </w:rPr>
            </w:pPr>
            <w:r w:rsidRPr="00EA10CF">
              <w:rPr>
                <w:color w:val="000000"/>
              </w:rPr>
              <w:t>- Liabilities designated at FVTPL at initial recognition</w:t>
            </w:r>
          </w:p>
        </w:tc>
        <w:tc>
          <w:tcPr>
            <w:tcW w:w="602" w:type="pct"/>
            <w:vAlign w:val="bottom"/>
          </w:tcPr>
          <w:p w14:paraId="7D6C444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D83E52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7FA09B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E538C7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63FB88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596AE9E"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B7BC03D" w14:textId="77777777" w:rsidTr="001B330E">
        <w:trPr>
          <w:trHeight w:val="23"/>
        </w:trPr>
        <w:tc>
          <w:tcPr>
            <w:tcW w:w="1387" w:type="pct"/>
            <w:tcBorders>
              <w:bottom w:val="single" w:sz="4" w:space="0" w:color="000000"/>
            </w:tcBorders>
            <w:vAlign w:val="bottom"/>
          </w:tcPr>
          <w:p w14:paraId="2643A92E"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2" w:type="pct"/>
            <w:tcBorders>
              <w:bottom w:val="single" w:sz="4" w:space="0" w:color="000000"/>
            </w:tcBorders>
            <w:vAlign w:val="bottom"/>
          </w:tcPr>
          <w:p w14:paraId="0CBE1385"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tcBorders>
              <w:bottom w:val="single" w:sz="4" w:space="0" w:color="000000"/>
            </w:tcBorders>
            <w:vAlign w:val="bottom"/>
          </w:tcPr>
          <w:p w14:paraId="72FF859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tcBorders>
              <w:bottom w:val="single" w:sz="4" w:space="0" w:color="000000"/>
            </w:tcBorders>
            <w:vAlign w:val="bottom"/>
          </w:tcPr>
          <w:p w14:paraId="4FB40AF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tcBorders>
              <w:bottom w:val="single" w:sz="4" w:space="0" w:color="000000"/>
            </w:tcBorders>
            <w:vAlign w:val="bottom"/>
          </w:tcPr>
          <w:p w14:paraId="49160A0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tcBorders>
              <w:bottom w:val="single" w:sz="4" w:space="0" w:color="000000"/>
            </w:tcBorders>
            <w:vAlign w:val="bottom"/>
          </w:tcPr>
          <w:p w14:paraId="6D8BE6B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tcBorders>
              <w:bottom w:val="single" w:sz="4" w:space="0" w:color="000000"/>
            </w:tcBorders>
            <w:vAlign w:val="bottom"/>
          </w:tcPr>
          <w:p w14:paraId="2B1EE67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766E190" w14:textId="77777777" w:rsidTr="001B330E">
        <w:trPr>
          <w:trHeight w:val="23"/>
        </w:trPr>
        <w:tc>
          <w:tcPr>
            <w:tcW w:w="1387" w:type="pct"/>
            <w:vAlign w:val="bottom"/>
          </w:tcPr>
          <w:p w14:paraId="358AC4AB" w14:textId="77777777" w:rsidR="00D83E33" w:rsidRPr="00EA10CF" w:rsidRDefault="00BC4072">
            <w:pPr>
              <w:widowControl w:val="0"/>
              <w:pBdr>
                <w:top w:val="nil"/>
                <w:left w:val="nil"/>
                <w:bottom w:val="nil"/>
                <w:right w:val="nil"/>
                <w:between w:val="nil"/>
              </w:pBdr>
              <w:rPr>
                <w:color w:val="000000"/>
              </w:rPr>
            </w:pPr>
            <w:r w:rsidRPr="00EA10CF">
              <w:rPr>
                <w:color w:val="000000"/>
              </w:rPr>
              <w:t> </w:t>
            </w:r>
          </w:p>
        </w:tc>
        <w:tc>
          <w:tcPr>
            <w:tcW w:w="602" w:type="pct"/>
            <w:vAlign w:val="bottom"/>
          </w:tcPr>
          <w:p w14:paraId="27A7AC2A"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vAlign w:val="bottom"/>
          </w:tcPr>
          <w:p w14:paraId="66848B24"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vAlign w:val="bottom"/>
          </w:tcPr>
          <w:p w14:paraId="05DAD3A6"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vAlign w:val="bottom"/>
          </w:tcPr>
          <w:p w14:paraId="36F64C8A"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vAlign w:val="bottom"/>
          </w:tcPr>
          <w:p w14:paraId="21E31DAE"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vAlign w:val="bottom"/>
          </w:tcPr>
          <w:p w14:paraId="20F663FF"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5F3D82A7" w14:textId="77777777" w:rsidTr="001B330E">
        <w:trPr>
          <w:trHeight w:val="23"/>
        </w:trPr>
        <w:tc>
          <w:tcPr>
            <w:tcW w:w="1387" w:type="pct"/>
            <w:vAlign w:val="bottom"/>
          </w:tcPr>
          <w:p w14:paraId="30E8266F" w14:textId="77777777" w:rsidR="00D83E33" w:rsidRPr="00EA10CF" w:rsidRDefault="00BC4072">
            <w:pPr>
              <w:widowControl w:val="0"/>
              <w:pBdr>
                <w:top w:val="nil"/>
                <w:left w:val="nil"/>
                <w:bottom w:val="nil"/>
                <w:right w:val="nil"/>
                <w:between w:val="nil"/>
              </w:pBdr>
              <w:rPr>
                <w:smallCaps/>
                <w:color w:val="000000"/>
              </w:rPr>
            </w:pPr>
            <w:r w:rsidRPr="00EA10CF">
              <w:rPr>
                <w:b/>
                <w:smallCaps/>
                <w:color w:val="000000"/>
              </w:rPr>
              <w:t>TOTAL RECURRING FAIR VALUE MEASUREMENTS AT LEVEL 3</w:t>
            </w:r>
          </w:p>
        </w:tc>
        <w:tc>
          <w:tcPr>
            <w:tcW w:w="602" w:type="pct"/>
            <w:vAlign w:val="bottom"/>
          </w:tcPr>
          <w:p w14:paraId="551730FD"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02" w:type="pct"/>
            <w:vAlign w:val="bottom"/>
          </w:tcPr>
          <w:p w14:paraId="75BF2A61"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02" w:type="pct"/>
            <w:vAlign w:val="bottom"/>
          </w:tcPr>
          <w:p w14:paraId="41C9CE96"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02" w:type="pct"/>
            <w:vAlign w:val="bottom"/>
          </w:tcPr>
          <w:p w14:paraId="76073A5D"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02" w:type="pct"/>
            <w:vAlign w:val="bottom"/>
          </w:tcPr>
          <w:p w14:paraId="0E56F4E1"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02" w:type="pct"/>
            <w:vAlign w:val="bottom"/>
          </w:tcPr>
          <w:p w14:paraId="38FD0F37" w14:textId="77777777" w:rsidR="00D83E33" w:rsidRPr="00EA10CF" w:rsidRDefault="00D83E33" w:rsidP="001B330E">
            <w:pPr>
              <w:widowControl w:val="0"/>
              <w:pBdr>
                <w:top w:val="nil"/>
                <w:left w:val="nil"/>
                <w:bottom w:val="nil"/>
                <w:right w:val="nil"/>
                <w:between w:val="nil"/>
              </w:pBdr>
              <w:jc w:val="right"/>
              <w:rPr>
                <w:b/>
                <w:smallCaps/>
                <w:color w:val="000000"/>
              </w:rPr>
            </w:pPr>
          </w:p>
        </w:tc>
      </w:tr>
      <w:tr w:rsidR="00D83E33" w:rsidRPr="00EA10CF" w14:paraId="12546A89" w14:textId="77777777" w:rsidTr="001B330E">
        <w:trPr>
          <w:trHeight w:val="23"/>
        </w:trPr>
        <w:tc>
          <w:tcPr>
            <w:tcW w:w="1387" w:type="pct"/>
            <w:tcBorders>
              <w:bottom w:val="single" w:sz="12" w:space="0" w:color="000000"/>
            </w:tcBorders>
            <w:shd w:val="clear" w:color="auto" w:fill="auto"/>
            <w:vAlign w:val="bottom"/>
          </w:tcPr>
          <w:p w14:paraId="55CA1A0E" w14:textId="77777777" w:rsidR="00D83E33" w:rsidRPr="00EA10CF" w:rsidRDefault="00BC4072">
            <w:pPr>
              <w:widowControl w:val="0"/>
            </w:pPr>
            <w:r w:rsidRPr="00EA10CF">
              <w:t> </w:t>
            </w:r>
          </w:p>
        </w:tc>
        <w:tc>
          <w:tcPr>
            <w:tcW w:w="602" w:type="pct"/>
            <w:tcBorders>
              <w:bottom w:val="single" w:sz="12" w:space="0" w:color="000000"/>
            </w:tcBorders>
            <w:vAlign w:val="bottom"/>
          </w:tcPr>
          <w:p w14:paraId="45567FAD"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tcBorders>
              <w:bottom w:val="single" w:sz="12" w:space="0" w:color="000000"/>
            </w:tcBorders>
            <w:shd w:val="clear" w:color="auto" w:fill="auto"/>
            <w:vAlign w:val="bottom"/>
          </w:tcPr>
          <w:p w14:paraId="226CDB9A"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tcBorders>
              <w:bottom w:val="single" w:sz="12" w:space="0" w:color="000000"/>
            </w:tcBorders>
            <w:vAlign w:val="bottom"/>
          </w:tcPr>
          <w:p w14:paraId="45316EEC"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tcBorders>
              <w:bottom w:val="single" w:sz="12" w:space="0" w:color="000000"/>
            </w:tcBorders>
            <w:vAlign w:val="bottom"/>
          </w:tcPr>
          <w:p w14:paraId="1479349F"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tcBorders>
              <w:bottom w:val="single" w:sz="12" w:space="0" w:color="000000"/>
            </w:tcBorders>
            <w:vAlign w:val="bottom"/>
          </w:tcPr>
          <w:p w14:paraId="08E465EC"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tcBorders>
              <w:bottom w:val="single" w:sz="12" w:space="0" w:color="000000"/>
            </w:tcBorders>
            <w:vAlign w:val="bottom"/>
          </w:tcPr>
          <w:p w14:paraId="3D26BE04" w14:textId="77777777" w:rsidR="00D83E33" w:rsidRPr="00EA10CF" w:rsidRDefault="00D83E33" w:rsidP="001B330E">
            <w:pPr>
              <w:widowControl w:val="0"/>
              <w:pBdr>
                <w:top w:val="nil"/>
                <w:left w:val="nil"/>
                <w:bottom w:val="nil"/>
                <w:right w:val="nil"/>
                <w:between w:val="nil"/>
              </w:pBdr>
              <w:jc w:val="right"/>
              <w:rPr>
                <w:b/>
                <w:color w:val="000000"/>
              </w:rPr>
            </w:pPr>
          </w:p>
        </w:tc>
      </w:tr>
    </w:tbl>
    <w:p w14:paraId="4B87BD65" w14:textId="3540BAA2" w:rsidR="00D83E33" w:rsidRDefault="00BC4072" w:rsidP="001B330E">
      <w:pPr>
        <w:pStyle w:val="Continued"/>
      </w:pPr>
      <w:r>
        <w:lastRenderedPageBreak/>
        <w:t>49</w:t>
      </w:r>
      <w:r>
        <w:tab/>
        <w:t>Fair Value Disclosures (Continued)</w:t>
      </w:r>
    </w:p>
    <w:p w14:paraId="3179AB4D" w14:textId="091F6536" w:rsidR="00D83E33" w:rsidRDefault="00BC4072" w:rsidP="001B330E">
      <w:pPr>
        <w:widowControl w:val="0"/>
        <w:spacing w:before="200" w:after="200"/>
        <w:jc w:val="both"/>
        <w:rPr>
          <w:sz w:val="20"/>
          <w:szCs w:val="20"/>
        </w:rPr>
      </w:pPr>
      <w:r>
        <w:rPr>
          <w:sz w:val="20"/>
          <w:szCs w:val="20"/>
        </w:rPr>
        <w:t>The valuation technique, inputs used in the fair value measurement for level 3 measurements and related sensitivity to reasonably possible changes in those inputs are as follows at 31</w:t>
      </w:r>
      <w:r w:rsidR="00181687">
        <w:rPr>
          <w:sz w:val="20"/>
          <w:szCs w:val="20"/>
        </w:rPr>
        <w:t> December </w:t>
      </w:r>
      <w:r w:rsidR="00541EBC">
        <w:rPr>
          <w:sz w:val="20"/>
          <w:szCs w:val="20"/>
        </w:rPr>
        <w:t>2023</w:t>
      </w:r>
      <w:r>
        <w:rPr>
          <w:sz w:val="20"/>
          <w:szCs w:val="20"/>
        </w:rPr>
        <w:t>:</w:t>
      </w:r>
    </w:p>
    <w:tbl>
      <w:tblPr>
        <w:tblStyle w:val="affffffffffffffffb"/>
        <w:tblW w:w="5000" w:type="pct"/>
        <w:tblLayout w:type="fixed"/>
        <w:tblLook w:val="0000" w:firstRow="0" w:lastRow="0" w:firstColumn="0" w:lastColumn="0" w:noHBand="0" w:noVBand="0"/>
      </w:tblPr>
      <w:tblGrid>
        <w:gridCol w:w="2475"/>
        <w:gridCol w:w="1007"/>
        <w:gridCol w:w="1177"/>
        <w:gridCol w:w="1267"/>
        <w:gridCol w:w="1066"/>
        <w:gridCol w:w="1237"/>
        <w:gridCol w:w="1126"/>
      </w:tblGrid>
      <w:tr w:rsidR="00D83E33" w:rsidRPr="00856386" w14:paraId="4A350D70" w14:textId="77777777" w:rsidTr="001B330E">
        <w:trPr>
          <w:trHeight w:val="23"/>
          <w:tblHeader/>
        </w:trPr>
        <w:tc>
          <w:tcPr>
            <w:tcW w:w="1323" w:type="pct"/>
            <w:tcBorders>
              <w:bottom w:val="single" w:sz="4" w:space="0" w:color="000000"/>
            </w:tcBorders>
            <w:vAlign w:val="bottom"/>
          </w:tcPr>
          <w:p w14:paraId="23AD7A1F" w14:textId="77777777" w:rsidR="00D83E33" w:rsidRPr="00372E26" w:rsidRDefault="00D83E33" w:rsidP="001B330E">
            <w:pPr>
              <w:widowControl w:val="0"/>
              <w:pBdr>
                <w:top w:val="nil"/>
                <w:left w:val="nil"/>
                <w:bottom w:val="nil"/>
                <w:right w:val="nil"/>
                <w:between w:val="nil"/>
              </w:pBdr>
              <w:ind w:left="113" w:hanging="113"/>
              <w:rPr>
                <w:i/>
                <w:color w:val="000000"/>
                <w:sz w:val="16"/>
                <w:szCs w:val="16"/>
              </w:rPr>
            </w:pPr>
          </w:p>
          <w:p w14:paraId="5132C63C" w14:textId="1690E4F2" w:rsidR="00D83E33" w:rsidRPr="00372E26" w:rsidRDefault="00313B4D" w:rsidP="001B330E">
            <w:pPr>
              <w:widowControl w:val="0"/>
              <w:pBdr>
                <w:top w:val="nil"/>
                <w:left w:val="nil"/>
                <w:bottom w:val="nil"/>
                <w:right w:val="nil"/>
                <w:between w:val="nil"/>
              </w:pBdr>
              <w:ind w:left="113" w:hanging="113"/>
              <w:rPr>
                <w:i/>
                <w:color w:val="000000"/>
                <w:sz w:val="16"/>
                <w:szCs w:val="16"/>
              </w:rPr>
            </w:pPr>
            <w:r w:rsidRPr="00372E26">
              <w:rPr>
                <w:i/>
                <w:color w:val="000000"/>
                <w:sz w:val="16"/>
                <w:szCs w:val="16"/>
              </w:rPr>
              <w:t xml:space="preserve">In thousands of </w:t>
            </w:r>
            <w:r w:rsidR="002649EE" w:rsidRPr="00372E26">
              <w:rPr>
                <w:i/>
                <w:color w:val="000000"/>
                <w:sz w:val="16"/>
                <w:szCs w:val="16"/>
              </w:rPr>
              <w:t>EUR</w:t>
            </w:r>
          </w:p>
        </w:tc>
        <w:tc>
          <w:tcPr>
            <w:tcW w:w="538" w:type="pct"/>
            <w:tcBorders>
              <w:bottom w:val="single" w:sz="4" w:space="0" w:color="000000"/>
            </w:tcBorders>
          </w:tcPr>
          <w:p w14:paraId="23EBD6DF"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 xml:space="preserve">Fair </w:t>
            </w:r>
          </w:p>
          <w:p w14:paraId="299EF225"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value</w:t>
            </w:r>
          </w:p>
        </w:tc>
        <w:tc>
          <w:tcPr>
            <w:tcW w:w="629" w:type="pct"/>
            <w:tcBorders>
              <w:bottom w:val="single" w:sz="4" w:space="0" w:color="000000"/>
            </w:tcBorders>
          </w:tcPr>
          <w:p w14:paraId="51BC33B5"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Valuation technique</w:t>
            </w:r>
          </w:p>
        </w:tc>
        <w:tc>
          <w:tcPr>
            <w:tcW w:w="677" w:type="pct"/>
            <w:tcBorders>
              <w:bottom w:val="single" w:sz="4" w:space="0" w:color="000000"/>
            </w:tcBorders>
          </w:tcPr>
          <w:p w14:paraId="3C187E6C"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 xml:space="preserve">Inputs </w:t>
            </w:r>
          </w:p>
          <w:p w14:paraId="12B6BCA5" w14:textId="77777777" w:rsidR="00D83E33" w:rsidRPr="00372E26" w:rsidRDefault="00BC4072" w:rsidP="001B330E">
            <w:pPr>
              <w:widowControl w:val="0"/>
              <w:pBdr>
                <w:top w:val="nil"/>
                <w:left w:val="nil"/>
                <w:bottom w:val="nil"/>
                <w:right w:val="nil"/>
                <w:between w:val="nil"/>
              </w:pBdr>
              <w:ind w:left="-113"/>
              <w:jc w:val="right"/>
              <w:rPr>
                <w:b/>
                <w:color w:val="000000"/>
                <w:sz w:val="16"/>
                <w:szCs w:val="16"/>
              </w:rPr>
            </w:pPr>
            <w:r w:rsidRPr="00372E26">
              <w:rPr>
                <w:b/>
                <w:color w:val="000000"/>
                <w:sz w:val="16"/>
                <w:szCs w:val="16"/>
              </w:rPr>
              <w:t>used</w:t>
            </w:r>
          </w:p>
        </w:tc>
        <w:tc>
          <w:tcPr>
            <w:tcW w:w="570" w:type="pct"/>
            <w:tcBorders>
              <w:bottom w:val="single" w:sz="4" w:space="0" w:color="000000"/>
            </w:tcBorders>
          </w:tcPr>
          <w:p w14:paraId="076FBD64" w14:textId="77777777" w:rsidR="00D83E33" w:rsidRPr="00372E26" w:rsidRDefault="00BC4072" w:rsidP="001B330E">
            <w:pPr>
              <w:widowControl w:val="0"/>
              <w:pBdr>
                <w:top w:val="nil"/>
                <w:left w:val="nil"/>
                <w:bottom w:val="nil"/>
                <w:right w:val="nil"/>
                <w:between w:val="nil"/>
              </w:pBdr>
              <w:ind w:left="-113"/>
              <w:jc w:val="right"/>
              <w:rPr>
                <w:color w:val="000000"/>
                <w:sz w:val="16"/>
                <w:szCs w:val="16"/>
              </w:rPr>
            </w:pPr>
            <w:r w:rsidRPr="00372E26">
              <w:rPr>
                <w:b/>
                <w:color w:val="000000"/>
                <w:sz w:val="16"/>
                <w:szCs w:val="16"/>
              </w:rPr>
              <w:t>Range of inputs (weighted average)</w:t>
            </w:r>
          </w:p>
        </w:tc>
        <w:tc>
          <w:tcPr>
            <w:tcW w:w="661" w:type="pct"/>
            <w:tcBorders>
              <w:bottom w:val="single" w:sz="4" w:space="0" w:color="000000"/>
            </w:tcBorders>
          </w:tcPr>
          <w:p w14:paraId="64C168B0" w14:textId="77777777" w:rsidR="00D83E33" w:rsidRPr="00372E26" w:rsidRDefault="00BC4072" w:rsidP="001B330E">
            <w:pPr>
              <w:widowControl w:val="0"/>
              <w:pBdr>
                <w:top w:val="nil"/>
                <w:left w:val="nil"/>
                <w:bottom w:val="nil"/>
                <w:right w:val="nil"/>
                <w:between w:val="nil"/>
              </w:pBdr>
              <w:ind w:left="-113"/>
              <w:jc w:val="right"/>
              <w:rPr>
                <w:color w:val="000000"/>
                <w:sz w:val="16"/>
                <w:szCs w:val="16"/>
              </w:rPr>
            </w:pPr>
            <w:r w:rsidRPr="00372E26">
              <w:rPr>
                <w:b/>
                <w:color w:val="000000"/>
                <w:sz w:val="16"/>
                <w:szCs w:val="16"/>
              </w:rPr>
              <w:t>Reasonable change</w:t>
            </w:r>
          </w:p>
        </w:tc>
        <w:tc>
          <w:tcPr>
            <w:tcW w:w="602" w:type="pct"/>
            <w:tcBorders>
              <w:bottom w:val="single" w:sz="4" w:space="0" w:color="000000"/>
            </w:tcBorders>
          </w:tcPr>
          <w:p w14:paraId="6ADA0D17" w14:textId="77777777" w:rsidR="00D83E33" w:rsidRPr="00372E26" w:rsidRDefault="00BC4072" w:rsidP="001B330E">
            <w:pPr>
              <w:widowControl w:val="0"/>
              <w:pBdr>
                <w:top w:val="nil"/>
                <w:left w:val="nil"/>
                <w:bottom w:val="nil"/>
                <w:right w:val="nil"/>
                <w:between w:val="nil"/>
              </w:pBdr>
              <w:ind w:left="-113"/>
              <w:jc w:val="right"/>
              <w:rPr>
                <w:color w:val="000000"/>
                <w:sz w:val="16"/>
                <w:szCs w:val="16"/>
              </w:rPr>
            </w:pPr>
            <w:r w:rsidRPr="00372E26">
              <w:rPr>
                <w:b/>
                <w:color w:val="000000"/>
                <w:sz w:val="16"/>
                <w:szCs w:val="16"/>
              </w:rPr>
              <w:t>Sensitivity of fair value measu-rement</w:t>
            </w:r>
          </w:p>
        </w:tc>
      </w:tr>
      <w:tr w:rsidR="00D83E33" w:rsidRPr="00856386" w14:paraId="7BC27AEB" w14:textId="77777777" w:rsidTr="001B330E">
        <w:trPr>
          <w:trHeight w:val="23"/>
        </w:trPr>
        <w:tc>
          <w:tcPr>
            <w:tcW w:w="1323" w:type="pct"/>
            <w:tcBorders>
              <w:top w:val="single" w:sz="4" w:space="0" w:color="000000"/>
            </w:tcBorders>
            <w:vAlign w:val="bottom"/>
          </w:tcPr>
          <w:p w14:paraId="705152AF" w14:textId="77777777" w:rsidR="00D83E33" w:rsidRPr="00372E26" w:rsidRDefault="00BC4072" w:rsidP="001B330E">
            <w:pPr>
              <w:widowControl w:val="0"/>
              <w:pBdr>
                <w:top w:val="nil"/>
                <w:left w:val="nil"/>
                <w:bottom w:val="nil"/>
                <w:right w:val="nil"/>
                <w:between w:val="nil"/>
              </w:pBdr>
              <w:ind w:left="113" w:hanging="113"/>
              <w:rPr>
                <w:b/>
                <w:color w:val="000000"/>
                <w:sz w:val="16"/>
                <w:szCs w:val="16"/>
              </w:rPr>
            </w:pPr>
            <w:r w:rsidRPr="00372E26">
              <w:rPr>
                <w:b/>
                <w:color w:val="000000"/>
                <w:sz w:val="16"/>
                <w:szCs w:val="16"/>
              </w:rPr>
              <w:t> </w:t>
            </w:r>
          </w:p>
        </w:tc>
        <w:tc>
          <w:tcPr>
            <w:tcW w:w="538" w:type="pct"/>
            <w:tcBorders>
              <w:top w:val="single" w:sz="4" w:space="0" w:color="000000"/>
            </w:tcBorders>
            <w:vAlign w:val="bottom"/>
          </w:tcPr>
          <w:p w14:paraId="7ADDEAF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tcBorders>
              <w:top w:val="single" w:sz="4" w:space="0" w:color="000000"/>
            </w:tcBorders>
            <w:vAlign w:val="bottom"/>
          </w:tcPr>
          <w:p w14:paraId="2E8C45C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tcBorders>
              <w:top w:val="single" w:sz="4" w:space="0" w:color="000000"/>
            </w:tcBorders>
            <w:vAlign w:val="bottom"/>
          </w:tcPr>
          <w:p w14:paraId="565D856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tcBorders>
              <w:top w:val="single" w:sz="4" w:space="0" w:color="000000"/>
            </w:tcBorders>
            <w:vAlign w:val="bottom"/>
          </w:tcPr>
          <w:p w14:paraId="5CD2F33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tcBorders>
              <w:top w:val="single" w:sz="4" w:space="0" w:color="000000"/>
            </w:tcBorders>
            <w:vAlign w:val="bottom"/>
          </w:tcPr>
          <w:p w14:paraId="23CA67E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top w:val="single" w:sz="4" w:space="0" w:color="000000"/>
            </w:tcBorders>
            <w:vAlign w:val="bottom"/>
          </w:tcPr>
          <w:p w14:paraId="2701666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22C13749" w14:textId="77777777" w:rsidTr="001B330E">
        <w:trPr>
          <w:trHeight w:val="23"/>
        </w:trPr>
        <w:tc>
          <w:tcPr>
            <w:tcW w:w="1323" w:type="pct"/>
            <w:vAlign w:val="bottom"/>
          </w:tcPr>
          <w:p w14:paraId="6EF29316" w14:textId="77777777" w:rsidR="00D83E33" w:rsidRPr="00372E26" w:rsidRDefault="00BC4072" w:rsidP="001B330E">
            <w:pPr>
              <w:widowControl w:val="0"/>
              <w:pBdr>
                <w:top w:val="nil"/>
                <w:left w:val="nil"/>
                <w:bottom w:val="nil"/>
                <w:right w:val="nil"/>
                <w:between w:val="nil"/>
              </w:pBdr>
              <w:ind w:left="113" w:hanging="113"/>
              <w:rPr>
                <w:b/>
                <w:smallCaps/>
                <w:color w:val="000000"/>
                <w:sz w:val="16"/>
                <w:szCs w:val="16"/>
              </w:rPr>
            </w:pPr>
            <w:r w:rsidRPr="00372E26">
              <w:rPr>
                <w:b/>
                <w:smallCaps/>
                <w:color w:val="000000"/>
                <w:sz w:val="16"/>
                <w:szCs w:val="16"/>
              </w:rPr>
              <w:t>ASSETS AT FAIR VALUE</w:t>
            </w:r>
          </w:p>
        </w:tc>
        <w:tc>
          <w:tcPr>
            <w:tcW w:w="538" w:type="pct"/>
            <w:vAlign w:val="bottom"/>
          </w:tcPr>
          <w:p w14:paraId="6B01ADCC"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29" w:type="pct"/>
            <w:vAlign w:val="bottom"/>
          </w:tcPr>
          <w:p w14:paraId="3A756039"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77" w:type="pct"/>
            <w:vAlign w:val="bottom"/>
          </w:tcPr>
          <w:p w14:paraId="43F940F3"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570" w:type="pct"/>
            <w:vAlign w:val="bottom"/>
          </w:tcPr>
          <w:p w14:paraId="4C3D86BD"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61" w:type="pct"/>
            <w:vAlign w:val="bottom"/>
          </w:tcPr>
          <w:p w14:paraId="6F66E00B"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58ADE89A"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r>
      <w:tr w:rsidR="00D83E33" w:rsidRPr="00856386" w14:paraId="435E73FE" w14:textId="77777777" w:rsidTr="001B330E">
        <w:trPr>
          <w:trHeight w:val="23"/>
        </w:trPr>
        <w:tc>
          <w:tcPr>
            <w:tcW w:w="1323" w:type="pct"/>
            <w:vAlign w:val="bottom"/>
          </w:tcPr>
          <w:p w14:paraId="6972AF1A" w14:textId="77777777" w:rsidR="00D83E33" w:rsidRPr="00372E26" w:rsidRDefault="00BC4072" w:rsidP="001B330E">
            <w:pPr>
              <w:widowControl w:val="0"/>
              <w:pBdr>
                <w:top w:val="nil"/>
                <w:left w:val="nil"/>
                <w:bottom w:val="nil"/>
                <w:right w:val="nil"/>
                <w:between w:val="nil"/>
              </w:pBdr>
              <w:ind w:left="113" w:hanging="113"/>
              <w:rPr>
                <w:b/>
                <w:smallCaps/>
                <w:color w:val="000000"/>
                <w:sz w:val="16"/>
                <w:szCs w:val="16"/>
              </w:rPr>
            </w:pPr>
            <w:r w:rsidRPr="00372E26">
              <w:rPr>
                <w:b/>
                <w:smallCaps/>
                <w:color w:val="000000"/>
                <w:sz w:val="16"/>
                <w:szCs w:val="16"/>
              </w:rPr>
              <w:t xml:space="preserve">FINANCIAL ASSETS </w:t>
            </w:r>
          </w:p>
        </w:tc>
        <w:tc>
          <w:tcPr>
            <w:tcW w:w="538" w:type="pct"/>
            <w:vAlign w:val="bottom"/>
          </w:tcPr>
          <w:p w14:paraId="6FB47280"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29" w:type="pct"/>
            <w:vAlign w:val="bottom"/>
          </w:tcPr>
          <w:p w14:paraId="78999494"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77" w:type="pct"/>
            <w:vAlign w:val="bottom"/>
          </w:tcPr>
          <w:p w14:paraId="36E5EA2D"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570" w:type="pct"/>
            <w:vAlign w:val="bottom"/>
          </w:tcPr>
          <w:p w14:paraId="2D55964B"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61" w:type="pct"/>
            <w:vAlign w:val="bottom"/>
          </w:tcPr>
          <w:p w14:paraId="47737BD6"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c>
          <w:tcPr>
            <w:tcW w:w="602" w:type="pct"/>
            <w:vAlign w:val="bottom"/>
          </w:tcPr>
          <w:p w14:paraId="34628A3F" w14:textId="77777777" w:rsidR="00D83E33" w:rsidRPr="00372E26" w:rsidRDefault="00D83E33" w:rsidP="001B330E">
            <w:pPr>
              <w:widowControl w:val="0"/>
              <w:pBdr>
                <w:top w:val="nil"/>
                <w:left w:val="nil"/>
                <w:bottom w:val="nil"/>
                <w:right w:val="nil"/>
                <w:between w:val="nil"/>
              </w:pBdr>
              <w:jc w:val="right"/>
              <w:rPr>
                <w:b/>
                <w:smallCaps/>
                <w:color w:val="000000"/>
                <w:sz w:val="16"/>
                <w:szCs w:val="16"/>
              </w:rPr>
            </w:pPr>
          </w:p>
        </w:tc>
      </w:tr>
      <w:tr w:rsidR="00D83E33" w:rsidRPr="00856386" w14:paraId="24FB8CBF" w14:textId="77777777" w:rsidTr="001B330E">
        <w:trPr>
          <w:trHeight w:val="23"/>
        </w:trPr>
        <w:tc>
          <w:tcPr>
            <w:tcW w:w="1323" w:type="pct"/>
            <w:vAlign w:val="bottom"/>
          </w:tcPr>
          <w:p w14:paraId="1994C0B3" w14:textId="77777777" w:rsidR="00D83E33" w:rsidRPr="00372E26" w:rsidRDefault="00D83E33" w:rsidP="001B330E">
            <w:pPr>
              <w:widowControl w:val="0"/>
              <w:pBdr>
                <w:top w:val="nil"/>
                <w:left w:val="nil"/>
                <w:bottom w:val="nil"/>
                <w:right w:val="nil"/>
                <w:between w:val="nil"/>
              </w:pBdr>
              <w:ind w:left="113" w:hanging="113"/>
              <w:rPr>
                <w:b/>
                <w:i/>
                <w:color w:val="000000"/>
                <w:sz w:val="16"/>
                <w:szCs w:val="16"/>
              </w:rPr>
            </w:pPr>
          </w:p>
        </w:tc>
        <w:tc>
          <w:tcPr>
            <w:tcW w:w="538" w:type="pct"/>
            <w:vAlign w:val="bottom"/>
          </w:tcPr>
          <w:p w14:paraId="7AB15C4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012F0EE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055B836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22CD6F0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3E280AC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132628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28515FEE" w14:textId="77777777" w:rsidTr="001B330E">
        <w:trPr>
          <w:trHeight w:val="23"/>
        </w:trPr>
        <w:tc>
          <w:tcPr>
            <w:tcW w:w="1323" w:type="pct"/>
            <w:vAlign w:val="bottom"/>
          </w:tcPr>
          <w:p w14:paraId="615346D6" w14:textId="77777777" w:rsidR="00D83E33" w:rsidRPr="00372E26" w:rsidRDefault="00BC4072" w:rsidP="001B330E">
            <w:pPr>
              <w:widowControl w:val="0"/>
              <w:pBdr>
                <w:top w:val="nil"/>
                <w:left w:val="nil"/>
                <w:bottom w:val="nil"/>
                <w:right w:val="nil"/>
                <w:between w:val="nil"/>
              </w:pBdr>
              <w:ind w:left="113" w:hanging="113"/>
              <w:rPr>
                <w:b/>
                <w:i/>
                <w:color w:val="000000"/>
                <w:sz w:val="16"/>
                <w:szCs w:val="16"/>
              </w:rPr>
            </w:pPr>
            <w:r w:rsidRPr="00372E26">
              <w:rPr>
                <w:b/>
                <w:i/>
                <w:color w:val="000000"/>
                <w:sz w:val="16"/>
                <w:szCs w:val="16"/>
              </w:rPr>
              <w:t>Investments in debt securities</w:t>
            </w:r>
          </w:p>
        </w:tc>
        <w:tc>
          <w:tcPr>
            <w:tcW w:w="538" w:type="pct"/>
            <w:vAlign w:val="bottom"/>
          </w:tcPr>
          <w:p w14:paraId="52D17C9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49A4DE6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54F50EC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5845B23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04D245A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1C75D4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5C69C488" w14:textId="77777777" w:rsidTr="001B330E">
        <w:trPr>
          <w:trHeight w:val="23"/>
        </w:trPr>
        <w:tc>
          <w:tcPr>
            <w:tcW w:w="1323" w:type="pct"/>
            <w:vAlign w:val="bottom"/>
          </w:tcPr>
          <w:p w14:paraId="54D9F4B8" w14:textId="4DCE8140"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 </w:t>
            </w:r>
            <w:r w:rsidR="00372E26">
              <w:rPr>
                <w:color w:val="000000"/>
                <w:sz w:val="16"/>
                <w:szCs w:val="16"/>
              </w:rPr>
              <w:t>[Country]</w:t>
            </w:r>
            <w:r w:rsidRPr="00372E26">
              <w:rPr>
                <w:color w:val="000000"/>
                <w:sz w:val="16"/>
                <w:szCs w:val="16"/>
              </w:rPr>
              <w:t xml:space="preserve"> government bonds</w:t>
            </w:r>
          </w:p>
        </w:tc>
        <w:tc>
          <w:tcPr>
            <w:tcW w:w="538" w:type="pct"/>
            <w:vAlign w:val="bottom"/>
          </w:tcPr>
          <w:p w14:paraId="488E06B8"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29" w:type="pct"/>
            <w:vAlign w:val="bottom"/>
          </w:tcPr>
          <w:p w14:paraId="0BA48C73"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[Discounted cash flows (“DCF”)]</w:t>
            </w:r>
          </w:p>
        </w:tc>
        <w:tc>
          <w:tcPr>
            <w:tcW w:w="677" w:type="pct"/>
            <w:vAlign w:val="bottom"/>
          </w:tcPr>
          <w:p w14:paraId="42ACD5D1"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[Government bonds yield curve]</w:t>
            </w:r>
          </w:p>
        </w:tc>
        <w:tc>
          <w:tcPr>
            <w:tcW w:w="570" w:type="pct"/>
            <w:vAlign w:val="bottom"/>
          </w:tcPr>
          <w:p w14:paraId="7B939C0C"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[5.0 ‒ 6.0% (5.5%)]</w:t>
            </w:r>
          </w:p>
        </w:tc>
        <w:tc>
          <w:tcPr>
            <w:tcW w:w="661" w:type="pct"/>
            <w:vAlign w:val="bottom"/>
          </w:tcPr>
          <w:p w14:paraId="68D6727E" w14:textId="77777777" w:rsidR="00D83E33" w:rsidRPr="00372E26" w:rsidRDefault="00BC4072" w:rsidP="001B330E">
            <w:pPr>
              <w:widowControl w:val="0"/>
              <w:pBdr>
                <w:top w:val="nil"/>
                <w:left w:val="nil"/>
                <w:bottom w:val="nil"/>
                <w:right w:val="nil"/>
                <w:between w:val="nil"/>
              </w:pBdr>
              <w:jc w:val="right"/>
              <w:rPr>
                <w:color w:val="0000FF"/>
                <w:sz w:val="16"/>
                <w:szCs w:val="16"/>
              </w:rPr>
            </w:pPr>
            <w:r w:rsidRPr="00372E26">
              <w:rPr>
                <w:color w:val="0000FF"/>
                <w:sz w:val="16"/>
                <w:szCs w:val="16"/>
              </w:rPr>
              <w:t>[± 10 %]</w:t>
            </w:r>
          </w:p>
        </w:tc>
        <w:tc>
          <w:tcPr>
            <w:tcW w:w="602" w:type="pct"/>
            <w:vAlign w:val="bottom"/>
          </w:tcPr>
          <w:p w14:paraId="05F3289D" w14:textId="77777777" w:rsidR="00D83E33" w:rsidRPr="00372E26" w:rsidRDefault="00BC4072" w:rsidP="001B330E">
            <w:pPr>
              <w:widowControl w:val="0"/>
              <w:pBdr>
                <w:top w:val="nil"/>
                <w:left w:val="nil"/>
                <w:bottom w:val="nil"/>
                <w:right w:val="nil"/>
                <w:between w:val="nil"/>
              </w:pBdr>
              <w:jc w:val="right"/>
              <w:rPr>
                <w:color w:val="0000FF"/>
                <w:sz w:val="16"/>
                <w:szCs w:val="16"/>
              </w:rPr>
            </w:pPr>
            <w:r w:rsidRPr="00372E26">
              <w:rPr>
                <w:color w:val="0000FF"/>
                <w:sz w:val="16"/>
                <w:szCs w:val="16"/>
              </w:rPr>
              <w:t>± [100,000]</w:t>
            </w:r>
          </w:p>
        </w:tc>
      </w:tr>
      <w:tr w:rsidR="00D83E33" w:rsidRPr="00856386" w14:paraId="5703DD5A" w14:textId="77777777" w:rsidTr="001B330E">
        <w:trPr>
          <w:trHeight w:val="23"/>
        </w:trPr>
        <w:tc>
          <w:tcPr>
            <w:tcW w:w="1323" w:type="pct"/>
            <w:vAlign w:val="bottom"/>
          </w:tcPr>
          <w:p w14:paraId="60A589C5"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Municipal bonds</w:t>
            </w:r>
          </w:p>
        </w:tc>
        <w:tc>
          <w:tcPr>
            <w:tcW w:w="538" w:type="pct"/>
            <w:vAlign w:val="bottom"/>
          </w:tcPr>
          <w:p w14:paraId="49A327C7"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29" w:type="pct"/>
            <w:vAlign w:val="bottom"/>
          </w:tcPr>
          <w:p w14:paraId="1339D5A3"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77" w:type="pct"/>
            <w:vAlign w:val="bottom"/>
          </w:tcPr>
          <w:p w14:paraId="2CC5879D"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570" w:type="pct"/>
            <w:vAlign w:val="bottom"/>
          </w:tcPr>
          <w:p w14:paraId="30F04AC2"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61" w:type="pct"/>
            <w:vAlign w:val="bottom"/>
          </w:tcPr>
          <w:p w14:paraId="0D70BB36"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38CACC14"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5551FBDC" w14:textId="77777777" w:rsidTr="001B330E">
        <w:trPr>
          <w:trHeight w:val="23"/>
        </w:trPr>
        <w:tc>
          <w:tcPr>
            <w:tcW w:w="1323" w:type="pct"/>
            <w:vAlign w:val="bottom"/>
          </w:tcPr>
          <w:p w14:paraId="4A4FA77A"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Corporate bonds</w:t>
            </w:r>
          </w:p>
        </w:tc>
        <w:tc>
          <w:tcPr>
            <w:tcW w:w="538" w:type="pct"/>
            <w:vAlign w:val="bottom"/>
          </w:tcPr>
          <w:p w14:paraId="6CD8CEBB"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29" w:type="pct"/>
            <w:vAlign w:val="bottom"/>
          </w:tcPr>
          <w:p w14:paraId="547FCCDA"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77" w:type="pct"/>
            <w:vAlign w:val="bottom"/>
          </w:tcPr>
          <w:p w14:paraId="45E296D8"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570" w:type="pct"/>
            <w:vAlign w:val="bottom"/>
          </w:tcPr>
          <w:p w14:paraId="20C1B988"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61" w:type="pct"/>
            <w:vAlign w:val="bottom"/>
          </w:tcPr>
          <w:p w14:paraId="42F760CF"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2749CD34"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56C28269" w14:textId="77777777" w:rsidTr="001B330E">
        <w:trPr>
          <w:trHeight w:val="23"/>
        </w:trPr>
        <w:tc>
          <w:tcPr>
            <w:tcW w:w="1323" w:type="pct"/>
            <w:vAlign w:val="bottom"/>
          </w:tcPr>
          <w:p w14:paraId="45381B10"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Investments in mutual funds</w:t>
            </w:r>
          </w:p>
        </w:tc>
        <w:tc>
          <w:tcPr>
            <w:tcW w:w="538" w:type="pct"/>
            <w:vAlign w:val="bottom"/>
          </w:tcPr>
          <w:p w14:paraId="1472FD1F"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29" w:type="pct"/>
            <w:vAlign w:val="bottom"/>
          </w:tcPr>
          <w:p w14:paraId="1A654C9B"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77" w:type="pct"/>
            <w:vAlign w:val="bottom"/>
          </w:tcPr>
          <w:p w14:paraId="3B388E95"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570" w:type="pct"/>
            <w:vAlign w:val="bottom"/>
          </w:tcPr>
          <w:p w14:paraId="03C2AD6B"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61" w:type="pct"/>
            <w:vAlign w:val="bottom"/>
          </w:tcPr>
          <w:p w14:paraId="5E8399B1"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79AC0180"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1AA28C02" w14:textId="77777777" w:rsidTr="001B330E">
        <w:trPr>
          <w:trHeight w:val="23"/>
        </w:trPr>
        <w:tc>
          <w:tcPr>
            <w:tcW w:w="1323" w:type="pct"/>
            <w:vAlign w:val="bottom"/>
          </w:tcPr>
          <w:p w14:paraId="7F11DA2C"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Promissory notes</w:t>
            </w:r>
          </w:p>
        </w:tc>
        <w:tc>
          <w:tcPr>
            <w:tcW w:w="538" w:type="pct"/>
            <w:vAlign w:val="bottom"/>
          </w:tcPr>
          <w:p w14:paraId="6AEBB6A1"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29" w:type="pct"/>
            <w:vAlign w:val="bottom"/>
          </w:tcPr>
          <w:p w14:paraId="6FCA2703"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77" w:type="pct"/>
            <w:vAlign w:val="bottom"/>
          </w:tcPr>
          <w:p w14:paraId="394786EA"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570" w:type="pct"/>
            <w:vAlign w:val="bottom"/>
          </w:tcPr>
          <w:p w14:paraId="080F9D59"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61" w:type="pct"/>
            <w:vAlign w:val="bottom"/>
          </w:tcPr>
          <w:p w14:paraId="5A1406BE"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4D5395B1"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595684C0" w14:textId="77777777" w:rsidTr="001B330E">
        <w:trPr>
          <w:trHeight w:val="23"/>
        </w:trPr>
        <w:tc>
          <w:tcPr>
            <w:tcW w:w="1323" w:type="pct"/>
            <w:vAlign w:val="bottom"/>
          </w:tcPr>
          <w:p w14:paraId="68E1E0FF" w14:textId="77777777" w:rsidR="00D83E33" w:rsidRPr="00372E26" w:rsidRDefault="00D83E33" w:rsidP="001B330E">
            <w:pPr>
              <w:widowControl w:val="0"/>
              <w:pBdr>
                <w:top w:val="nil"/>
                <w:left w:val="nil"/>
                <w:bottom w:val="nil"/>
                <w:right w:val="nil"/>
                <w:between w:val="nil"/>
              </w:pBdr>
              <w:ind w:left="113" w:hanging="113"/>
              <w:rPr>
                <w:b/>
                <w:i/>
                <w:color w:val="000000"/>
                <w:sz w:val="16"/>
                <w:szCs w:val="16"/>
              </w:rPr>
            </w:pPr>
          </w:p>
        </w:tc>
        <w:tc>
          <w:tcPr>
            <w:tcW w:w="538" w:type="pct"/>
            <w:vAlign w:val="bottom"/>
          </w:tcPr>
          <w:p w14:paraId="3C818049"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29" w:type="pct"/>
            <w:vAlign w:val="bottom"/>
          </w:tcPr>
          <w:p w14:paraId="4F234EB4"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77" w:type="pct"/>
            <w:vAlign w:val="bottom"/>
          </w:tcPr>
          <w:p w14:paraId="188F3598"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570" w:type="pct"/>
            <w:vAlign w:val="bottom"/>
          </w:tcPr>
          <w:p w14:paraId="4907D8C4"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61" w:type="pct"/>
            <w:vAlign w:val="bottom"/>
          </w:tcPr>
          <w:p w14:paraId="4D13BB28"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08FFD336"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5260492D" w14:textId="77777777" w:rsidTr="001B330E">
        <w:trPr>
          <w:trHeight w:val="23"/>
        </w:trPr>
        <w:tc>
          <w:tcPr>
            <w:tcW w:w="1323" w:type="pct"/>
            <w:vAlign w:val="bottom"/>
          </w:tcPr>
          <w:p w14:paraId="672F9430" w14:textId="77777777" w:rsidR="00D83E33" w:rsidRPr="00372E26" w:rsidRDefault="00BC4072" w:rsidP="001B330E">
            <w:pPr>
              <w:widowControl w:val="0"/>
              <w:pBdr>
                <w:top w:val="nil"/>
                <w:left w:val="nil"/>
                <w:bottom w:val="nil"/>
                <w:right w:val="nil"/>
                <w:between w:val="nil"/>
              </w:pBdr>
              <w:ind w:left="113" w:hanging="113"/>
              <w:rPr>
                <w:b/>
                <w:i/>
                <w:color w:val="000000"/>
                <w:sz w:val="16"/>
                <w:szCs w:val="16"/>
              </w:rPr>
            </w:pPr>
            <w:r w:rsidRPr="00372E26">
              <w:rPr>
                <w:b/>
                <w:i/>
                <w:color w:val="000000"/>
                <w:sz w:val="16"/>
                <w:szCs w:val="16"/>
              </w:rPr>
              <w:t>Investments in equity securities</w:t>
            </w:r>
          </w:p>
        </w:tc>
        <w:tc>
          <w:tcPr>
            <w:tcW w:w="538" w:type="pct"/>
            <w:vAlign w:val="bottom"/>
          </w:tcPr>
          <w:p w14:paraId="2754D87F"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29" w:type="pct"/>
            <w:vAlign w:val="bottom"/>
          </w:tcPr>
          <w:p w14:paraId="7D02388E"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77" w:type="pct"/>
            <w:vAlign w:val="bottom"/>
          </w:tcPr>
          <w:p w14:paraId="5940972C"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570" w:type="pct"/>
            <w:vAlign w:val="bottom"/>
          </w:tcPr>
          <w:p w14:paraId="1DF448EE"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61" w:type="pct"/>
            <w:vAlign w:val="bottom"/>
          </w:tcPr>
          <w:p w14:paraId="3F9E930D"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c>
          <w:tcPr>
            <w:tcW w:w="602" w:type="pct"/>
            <w:vAlign w:val="bottom"/>
          </w:tcPr>
          <w:p w14:paraId="417C233A" w14:textId="77777777" w:rsidR="00D83E33" w:rsidRPr="00372E26" w:rsidRDefault="00D83E33" w:rsidP="001B330E">
            <w:pPr>
              <w:widowControl w:val="0"/>
              <w:pBdr>
                <w:top w:val="nil"/>
                <w:left w:val="nil"/>
                <w:bottom w:val="nil"/>
                <w:right w:val="nil"/>
                <w:between w:val="nil"/>
              </w:pBdr>
              <w:jc w:val="right"/>
              <w:rPr>
                <w:b/>
                <w:color w:val="0000FF"/>
                <w:sz w:val="16"/>
                <w:szCs w:val="16"/>
              </w:rPr>
            </w:pPr>
          </w:p>
        </w:tc>
      </w:tr>
      <w:tr w:rsidR="00D83E33" w:rsidRPr="00856386" w14:paraId="494F356E" w14:textId="77777777" w:rsidTr="001B330E">
        <w:trPr>
          <w:trHeight w:val="23"/>
        </w:trPr>
        <w:tc>
          <w:tcPr>
            <w:tcW w:w="1323" w:type="pct"/>
            <w:vAlign w:val="bottom"/>
          </w:tcPr>
          <w:p w14:paraId="52E42CC5" w14:textId="77777777" w:rsidR="00D83E33" w:rsidRPr="00372E26" w:rsidRDefault="00BC4072" w:rsidP="001B330E">
            <w:pPr>
              <w:widowControl w:val="0"/>
              <w:pBdr>
                <w:top w:val="nil"/>
                <w:left w:val="nil"/>
                <w:bottom w:val="nil"/>
                <w:right w:val="nil"/>
                <w:between w:val="nil"/>
              </w:pBdr>
              <w:ind w:left="113" w:hanging="113"/>
              <w:rPr>
                <w:b/>
                <w:i/>
                <w:color w:val="000000"/>
                <w:sz w:val="16"/>
                <w:szCs w:val="16"/>
              </w:rPr>
            </w:pPr>
            <w:r w:rsidRPr="00372E26">
              <w:rPr>
                <w:color w:val="000000"/>
                <w:sz w:val="16"/>
                <w:szCs w:val="16"/>
              </w:rPr>
              <w:t>- Corporate shares</w:t>
            </w:r>
          </w:p>
        </w:tc>
        <w:tc>
          <w:tcPr>
            <w:tcW w:w="538" w:type="pct"/>
            <w:vAlign w:val="bottom"/>
          </w:tcPr>
          <w:p w14:paraId="1696713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2481F0D2"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[Market comparable companies]</w:t>
            </w:r>
          </w:p>
        </w:tc>
        <w:tc>
          <w:tcPr>
            <w:tcW w:w="677" w:type="pct"/>
            <w:vAlign w:val="bottom"/>
          </w:tcPr>
          <w:p w14:paraId="280077B7"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[EBITDA multiple Revenue multiple]</w:t>
            </w:r>
          </w:p>
        </w:tc>
        <w:tc>
          <w:tcPr>
            <w:tcW w:w="570" w:type="pct"/>
            <w:vAlign w:val="bottom"/>
          </w:tcPr>
          <w:p w14:paraId="34FD6FA3"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[7 -12 (10)]</w:t>
            </w:r>
          </w:p>
          <w:p w14:paraId="79B096FB" w14:textId="77777777" w:rsidR="00D83E33" w:rsidRPr="00372E26" w:rsidRDefault="00BC4072" w:rsidP="001B330E">
            <w:pPr>
              <w:widowControl w:val="0"/>
              <w:pBdr>
                <w:top w:val="nil"/>
                <w:left w:val="nil"/>
                <w:bottom w:val="nil"/>
                <w:right w:val="nil"/>
                <w:between w:val="nil"/>
              </w:pBdr>
              <w:jc w:val="right"/>
              <w:rPr>
                <w:b/>
                <w:color w:val="0000FF"/>
                <w:sz w:val="16"/>
                <w:szCs w:val="16"/>
              </w:rPr>
            </w:pPr>
            <w:r w:rsidRPr="00372E26">
              <w:rPr>
                <w:color w:val="0000FF"/>
                <w:sz w:val="16"/>
                <w:szCs w:val="16"/>
              </w:rPr>
              <w:t>[5 -6 (5.4)]</w:t>
            </w:r>
          </w:p>
        </w:tc>
        <w:tc>
          <w:tcPr>
            <w:tcW w:w="661" w:type="pct"/>
            <w:vAlign w:val="bottom"/>
          </w:tcPr>
          <w:p w14:paraId="069D021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064E26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0EEF3EFC" w14:textId="77777777" w:rsidTr="001B330E">
        <w:trPr>
          <w:trHeight w:val="23"/>
        </w:trPr>
        <w:tc>
          <w:tcPr>
            <w:tcW w:w="1323" w:type="pct"/>
            <w:vAlign w:val="bottom"/>
          </w:tcPr>
          <w:p w14:paraId="7EC1A1E3"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American depositary receipts (ADR)</w:t>
            </w:r>
          </w:p>
          <w:p w14:paraId="656C7501"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Global depositary receipts (GDR)</w:t>
            </w:r>
          </w:p>
          <w:p w14:paraId="0CD184CD" w14:textId="206950C0" w:rsidR="00D83E33" w:rsidRPr="00372E26" w:rsidRDefault="00D83E33" w:rsidP="001B330E">
            <w:pPr>
              <w:widowControl w:val="0"/>
              <w:pBdr>
                <w:top w:val="nil"/>
                <w:left w:val="nil"/>
                <w:bottom w:val="nil"/>
                <w:right w:val="nil"/>
                <w:between w:val="nil"/>
              </w:pBdr>
              <w:ind w:left="113" w:hanging="113"/>
              <w:rPr>
                <w:b/>
                <w:i/>
                <w:color w:val="000000"/>
                <w:sz w:val="16"/>
                <w:szCs w:val="16"/>
              </w:rPr>
            </w:pPr>
          </w:p>
        </w:tc>
        <w:tc>
          <w:tcPr>
            <w:tcW w:w="538" w:type="pct"/>
            <w:vAlign w:val="bottom"/>
          </w:tcPr>
          <w:p w14:paraId="5CE0735A"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29" w:type="pct"/>
            <w:vAlign w:val="bottom"/>
          </w:tcPr>
          <w:p w14:paraId="29B63D75" w14:textId="77777777" w:rsidR="00D83E33" w:rsidRPr="00372E26" w:rsidRDefault="00D83E33" w:rsidP="001B330E">
            <w:pPr>
              <w:widowControl w:val="0"/>
              <w:pBdr>
                <w:top w:val="nil"/>
                <w:left w:val="nil"/>
                <w:bottom w:val="nil"/>
                <w:right w:val="nil"/>
                <w:between w:val="nil"/>
              </w:pBdr>
              <w:jc w:val="right"/>
              <w:rPr>
                <w:color w:val="0000FF"/>
                <w:sz w:val="16"/>
                <w:szCs w:val="16"/>
              </w:rPr>
            </w:pPr>
          </w:p>
        </w:tc>
        <w:tc>
          <w:tcPr>
            <w:tcW w:w="677" w:type="pct"/>
            <w:vAlign w:val="bottom"/>
          </w:tcPr>
          <w:p w14:paraId="4F606B5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410317D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2EB74DA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92AEDB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17176184" w14:textId="77777777" w:rsidTr="001B330E">
        <w:trPr>
          <w:trHeight w:val="23"/>
        </w:trPr>
        <w:tc>
          <w:tcPr>
            <w:tcW w:w="1323" w:type="pct"/>
            <w:vAlign w:val="bottom"/>
          </w:tcPr>
          <w:p w14:paraId="0B4FFC6D" w14:textId="77777777" w:rsidR="00D83E33" w:rsidRPr="00372E26" w:rsidRDefault="00D83E33" w:rsidP="001B330E">
            <w:pPr>
              <w:widowControl w:val="0"/>
              <w:pBdr>
                <w:top w:val="nil"/>
                <w:left w:val="nil"/>
                <w:bottom w:val="nil"/>
                <w:right w:val="nil"/>
                <w:between w:val="nil"/>
              </w:pBdr>
              <w:ind w:left="113" w:hanging="113"/>
              <w:rPr>
                <w:b/>
                <w:i/>
                <w:color w:val="000000"/>
                <w:sz w:val="16"/>
                <w:szCs w:val="16"/>
              </w:rPr>
            </w:pPr>
          </w:p>
        </w:tc>
        <w:tc>
          <w:tcPr>
            <w:tcW w:w="538" w:type="pct"/>
            <w:vAlign w:val="bottom"/>
          </w:tcPr>
          <w:p w14:paraId="1693A1E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38B6557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45F95B1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0A288FA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511B844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7AF9C9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3211E15F" w14:textId="77777777" w:rsidTr="001B330E">
        <w:trPr>
          <w:trHeight w:val="23"/>
        </w:trPr>
        <w:tc>
          <w:tcPr>
            <w:tcW w:w="1323" w:type="pct"/>
            <w:vAlign w:val="bottom"/>
          </w:tcPr>
          <w:p w14:paraId="7704C6D0" w14:textId="77777777" w:rsidR="00D83E33" w:rsidRPr="00372E26" w:rsidRDefault="00BC4072" w:rsidP="001B330E">
            <w:pPr>
              <w:widowControl w:val="0"/>
              <w:pBdr>
                <w:top w:val="nil"/>
                <w:left w:val="nil"/>
                <w:bottom w:val="nil"/>
                <w:right w:val="nil"/>
                <w:between w:val="nil"/>
              </w:pBdr>
              <w:ind w:left="113" w:hanging="113"/>
              <w:rPr>
                <w:b/>
                <w:i/>
                <w:color w:val="000000"/>
                <w:sz w:val="16"/>
                <w:szCs w:val="16"/>
              </w:rPr>
            </w:pPr>
            <w:r w:rsidRPr="00372E26">
              <w:rPr>
                <w:b/>
                <w:i/>
                <w:color w:val="000000"/>
                <w:sz w:val="16"/>
                <w:szCs w:val="16"/>
              </w:rPr>
              <w:t>Loans and advances to customers at FVTPL</w:t>
            </w:r>
          </w:p>
        </w:tc>
        <w:tc>
          <w:tcPr>
            <w:tcW w:w="538" w:type="pct"/>
            <w:vAlign w:val="bottom"/>
          </w:tcPr>
          <w:p w14:paraId="0D4C0CC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3993FC6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7D46AC6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1B517D2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203A495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71D174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0F59A836" w14:textId="77777777" w:rsidTr="001B330E">
        <w:trPr>
          <w:trHeight w:val="23"/>
        </w:trPr>
        <w:tc>
          <w:tcPr>
            <w:tcW w:w="1323" w:type="pct"/>
            <w:vAlign w:val="bottom"/>
          </w:tcPr>
          <w:p w14:paraId="72FFBB5F"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Standard lending</w:t>
            </w:r>
          </w:p>
        </w:tc>
        <w:tc>
          <w:tcPr>
            <w:tcW w:w="538" w:type="pct"/>
            <w:vAlign w:val="bottom"/>
          </w:tcPr>
          <w:p w14:paraId="57C41EC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19DC93A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3E1A2B3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0CF8AEE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3B59B5A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B9B495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6C369BB" w14:textId="77777777" w:rsidTr="001B330E">
        <w:trPr>
          <w:trHeight w:val="23"/>
        </w:trPr>
        <w:tc>
          <w:tcPr>
            <w:tcW w:w="1323" w:type="pct"/>
            <w:vAlign w:val="bottom"/>
          </w:tcPr>
          <w:p w14:paraId="7D96E12D" w14:textId="77777777" w:rsidR="00D83E33" w:rsidRPr="00372E26" w:rsidRDefault="00BC4072" w:rsidP="001B330E">
            <w:pPr>
              <w:widowControl w:val="0"/>
              <w:pBdr>
                <w:top w:val="nil"/>
                <w:left w:val="nil"/>
                <w:bottom w:val="nil"/>
                <w:right w:val="nil"/>
                <w:between w:val="nil"/>
              </w:pBdr>
              <w:ind w:left="113" w:hanging="113"/>
              <w:rPr>
                <w:b/>
                <w:i/>
                <w:color w:val="000000"/>
                <w:sz w:val="16"/>
                <w:szCs w:val="16"/>
              </w:rPr>
            </w:pPr>
            <w:r w:rsidRPr="00372E26">
              <w:rPr>
                <w:color w:val="000000"/>
                <w:sz w:val="16"/>
                <w:szCs w:val="16"/>
              </w:rPr>
              <w:t>- Specialised lending</w:t>
            </w:r>
          </w:p>
        </w:tc>
        <w:tc>
          <w:tcPr>
            <w:tcW w:w="538" w:type="pct"/>
            <w:vAlign w:val="bottom"/>
          </w:tcPr>
          <w:p w14:paraId="2049791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3DB6C65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27E2C0E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41104A7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2904C50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707F15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09801CD" w14:textId="77777777" w:rsidTr="001B330E">
        <w:trPr>
          <w:trHeight w:val="23"/>
        </w:trPr>
        <w:tc>
          <w:tcPr>
            <w:tcW w:w="1323" w:type="pct"/>
            <w:vAlign w:val="bottom"/>
          </w:tcPr>
          <w:p w14:paraId="51BC08D1"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Loans to sovereigns</w:t>
            </w:r>
          </w:p>
        </w:tc>
        <w:tc>
          <w:tcPr>
            <w:tcW w:w="538" w:type="pct"/>
            <w:vAlign w:val="bottom"/>
          </w:tcPr>
          <w:p w14:paraId="35AB2A9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028ED06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3BDEEE6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726D4C4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6613FC4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7C1604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72A21659" w14:textId="77777777" w:rsidTr="001B330E">
        <w:trPr>
          <w:trHeight w:val="23"/>
        </w:trPr>
        <w:tc>
          <w:tcPr>
            <w:tcW w:w="1323" w:type="pct"/>
            <w:vAlign w:val="bottom"/>
          </w:tcPr>
          <w:p w14:paraId="2289E62C"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Loans to sub-sovereigns</w:t>
            </w:r>
          </w:p>
        </w:tc>
        <w:tc>
          <w:tcPr>
            <w:tcW w:w="538" w:type="pct"/>
            <w:vAlign w:val="bottom"/>
          </w:tcPr>
          <w:p w14:paraId="1F4FF18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58F10C0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32672F6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3B933BF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1A715F7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0A68D43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7010AC68" w14:textId="77777777" w:rsidTr="001B330E">
        <w:trPr>
          <w:trHeight w:val="23"/>
        </w:trPr>
        <w:tc>
          <w:tcPr>
            <w:tcW w:w="1323" w:type="pct"/>
            <w:vAlign w:val="bottom"/>
          </w:tcPr>
          <w:p w14:paraId="4F404267"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Loans to SME</w:t>
            </w:r>
          </w:p>
        </w:tc>
        <w:tc>
          <w:tcPr>
            <w:tcW w:w="538" w:type="pct"/>
            <w:vAlign w:val="bottom"/>
          </w:tcPr>
          <w:p w14:paraId="6F403CD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0E69D7C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0D87831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22BD2A7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4E126BD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3C0372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1175949D" w14:textId="77777777" w:rsidTr="001B330E">
        <w:trPr>
          <w:trHeight w:val="23"/>
        </w:trPr>
        <w:tc>
          <w:tcPr>
            <w:tcW w:w="1323" w:type="pct"/>
            <w:vAlign w:val="bottom"/>
          </w:tcPr>
          <w:p w14:paraId="4AB2F86F"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Loans to leasing companies</w:t>
            </w:r>
          </w:p>
        </w:tc>
        <w:tc>
          <w:tcPr>
            <w:tcW w:w="538" w:type="pct"/>
            <w:vAlign w:val="bottom"/>
          </w:tcPr>
          <w:p w14:paraId="4EF18E7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23F36AC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4C53742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389C210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58AB3AF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C011B0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3946DE19" w14:textId="77777777" w:rsidTr="001B330E">
        <w:trPr>
          <w:trHeight w:val="23"/>
        </w:trPr>
        <w:tc>
          <w:tcPr>
            <w:tcW w:w="1323" w:type="pct"/>
            <w:vAlign w:val="bottom"/>
          </w:tcPr>
          <w:p w14:paraId="66D2F4B1"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Reverse sale and repurchase agreement</w:t>
            </w:r>
          </w:p>
        </w:tc>
        <w:tc>
          <w:tcPr>
            <w:tcW w:w="538" w:type="pct"/>
            <w:vAlign w:val="bottom"/>
          </w:tcPr>
          <w:p w14:paraId="46022A3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5C19E90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690E819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6C8E974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354F8B8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47A8FEE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5F8350E9" w14:textId="77777777" w:rsidTr="001B330E">
        <w:trPr>
          <w:trHeight w:val="23"/>
        </w:trPr>
        <w:tc>
          <w:tcPr>
            <w:tcW w:w="1323" w:type="pct"/>
            <w:vAlign w:val="bottom"/>
          </w:tcPr>
          <w:p w14:paraId="6EC32F2F"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Mortgage loans</w:t>
            </w:r>
          </w:p>
        </w:tc>
        <w:tc>
          <w:tcPr>
            <w:tcW w:w="538" w:type="pct"/>
            <w:vAlign w:val="bottom"/>
          </w:tcPr>
          <w:p w14:paraId="50F6109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0AE6532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41100BA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1F9AF5E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16D7A32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99A4CD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0664BBE7" w14:textId="77777777" w:rsidTr="001B330E">
        <w:trPr>
          <w:trHeight w:val="23"/>
        </w:trPr>
        <w:tc>
          <w:tcPr>
            <w:tcW w:w="1323" w:type="pct"/>
            <w:vAlign w:val="bottom"/>
          </w:tcPr>
          <w:p w14:paraId="4BC3F54D"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Consumer loans</w:t>
            </w:r>
          </w:p>
        </w:tc>
        <w:tc>
          <w:tcPr>
            <w:tcW w:w="538" w:type="pct"/>
            <w:vAlign w:val="bottom"/>
          </w:tcPr>
          <w:p w14:paraId="37A6721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07731A5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65C67AD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0A63278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18F134D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8844C0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8CFEF74" w14:textId="77777777" w:rsidTr="001B330E">
        <w:trPr>
          <w:trHeight w:val="23"/>
        </w:trPr>
        <w:tc>
          <w:tcPr>
            <w:tcW w:w="1323" w:type="pct"/>
            <w:vAlign w:val="bottom"/>
          </w:tcPr>
          <w:p w14:paraId="61893201"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Car loans</w:t>
            </w:r>
          </w:p>
        </w:tc>
        <w:tc>
          <w:tcPr>
            <w:tcW w:w="538" w:type="pct"/>
            <w:vAlign w:val="bottom"/>
          </w:tcPr>
          <w:p w14:paraId="67504D3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0EAE422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4E2D3EA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38C8FD4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11AA907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775447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6B728DE0" w14:textId="77777777" w:rsidTr="001B330E">
        <w:trPr>
          <w:trHeight w:val="23"/>
        </w:trPr>
        <w:tc>
          <w:tcPr>
            <w:tcW w:w="1323" w:type="pct"/>
            <w:vAlign w:val="bottom"/>
          </w:tcPr>
          <w:p w14:paraId="6C2222C2"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Credit cards</w:t>
            </w:r>
          </w:p>
        </w:tc>
        <w:tc>
          <w:tcPr>
            <w:tcW w:w="538" w:type="pct"/>
            <w:vAlign w:val="bottom"/>
          </w:tcPr>
          <w:p w14:paraId="749C62B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2E83D23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122513D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337753A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03D230F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1AD967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1B239000" w14:textId="77777777" w:rsidTr="001B330E">
        <w:trPr>
          <w:trHeight w:val="23"/>
        </w:trPr>
        <w:tc>
          <w:tcPr>
            <w:tcW w:w="1323" w:type="pct"/>
            <w:vAlign w:val="bottom"/>
          </w:tcPr>
          <w:p w14:paraId="24B9B620" w14:textId="034B9957" w:rsidR="00D83E33" w:rsidRPr="00372E26" w:rsidRDefault="00D83E33" w:rsidP="001B330E">
            <w:pPr>
              <w:widowControl w:val="0"/>
              <w:pBdr>
                <w:top w:val="nil"/>
                <w:left w:val="nil"/>
                <w:bottom w:val="nil"/>
                <w:right w:val="nil"/>
                <w:between w:val="nil"/>
              </w:pBdr>
              <w:ind w:left="113" w:hanging="113"/>
              <w:rPr>
                <w:i/>
                <w:color w:val="FF0000"/>
                <w:sz w:val="16"/>
                <w:szCs w:val="16"/>
              </w:rPr>
            </w:pPr>
          </w:p>
        </w:tc>
        <w:tc>
          <w:tcPr>
            <w:tcW w:w="538" w:type="pct"/>
            <w:vAlign w:val="bottom"/>
          </w:tcPr>
          <w:p w14:paraId="038CA4E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459EB2A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74391CE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4E17323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6AED854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351FAC5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7F99A81C" w14:textId="77777777" w:rsidTr="001B330E">
        <w:trPr>
          <w:trHeight w:val="23"/>
        </w:trPr>
        <w:tc>
          <w:tcPr>
            <w:tcW w:w="1323" w:type="pct"/>
            <w:vAlign w:val="bottom"/>
          </w:tcPr>
          <w:p w14:paraId="3E581648" w14:textId="77777777" w:rsidR="00D83E33" w:rsidRPr="00372E26" w:rsidRDefault="00D83E33" w:rsidP="001B330E">
            <w:pPr>
              <w:widowControl w:val="0"/>
              <w:pBdr>
                <w:top w:val="nil"/>
                <w:left w:val="nil"/>
                <w:bottom w:val="nil"/>
                <w:right w:val="nil"/>
                <w:between w:val="nil"/>
              </w:pBdr>
              <w:ind w:left="113" w:hanging="113"/>
              <w:rPr>
                <w:b/>
                <w:i/>
                <w:color w:val="000000"/>
                <w:sz w:val="16"/>
                <w:szCs w:val="16"/>
              </w:rPr>
            </w:pPr>
          </w:p>
        </w:tc>
        <w:tc>
          <w:tcPr>
            <w:tcW w:w="538" w:type="pct"/>
            <w:vAlign w:val="bottom"/>
          </w:tcPr>
          <w:p w14:paraId="545BB08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5C902C3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21FD3FE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0B8864E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0A945E7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8F8E5E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CFEC11E" w14:textId="77777777" w:rsidTr="001B330E">
        <w:trPr>
          <w:trHeight w:val="23"/>
        </w:trPr>
        <w:tc>
          <w:tcPr>
            <w:tcW w:w="1323" w:type="pct"/>
            <w:vAlign w:val="bottom"/>
          </w:tcPr>
          <w:p w14:paraId="44D3337B" w14:textId="77777777" w:rsidR="00D83E33" w:rsidRPr="00372E26" w:rsidRDefault="00BC4072" w:rsidP="001B330E">
            <w:pPr>
              <w:widowControl w:val="0"/>
              <w:pBdr>
                <w:top w:val="nil"/>
                <w:left w:val="nil"/>
                <w:bottom w:val="nil"/>
                <w:right w:val="nil"/>
                <w:between w:val="nil"/>
              </w:pBdr>
              <w:ind w:left="113" w:hanging="113"/>
              <w:rPr>
                <w:b/>
                <w:i/>
                <w:color w:val="000000"/>
                <w:sz w:val="16"/>
                <w:szCs w:val="16"/>
              </w:rPr>
            </w:pPr>
            <w:r w:rsidRPr="00372E26">
              <w:rPr>
                <w:b/>
                <w:i/>
                <w:color w:val="000000"/>
                <w:sz w:val="16"/>
                <w:szCs w:val="16"/>
              </w:rPr>
              <w:t xml:space="preserve">Repurchase receivables </w:t>
            </w:r>
          </w:p>
        </w:tc>
        <w:tc>
          <w:tcPr>
            <w:tcW w:w="538" w:type="pct"/>
            <w:vAlign w:val="bottom"/>
          </w:tcPr>
          <w:p w14:paraId="756AD28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1E1B142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0FE1F6D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6AC8411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1F751FA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B4B90C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21CB6899" w14:textId="77777777" w:rsidTr="001B330E">
        <w:trPr>
          <w:trHeight w:val="23"/>
        </w:trPr>
        <w:tc>
          <w:tcPr>
            <w:tcW w:w="1323" w:type="pct"/>
            <w:vAlign w:val="bottom"/>
          </w:tcPr>
          <w:p w14:paraId="64438206" w14:textId="06414D7E"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 </w:t>
            </w:r>
            <w:r w:rsidR="00372E26">
              <w:rPr>
                <w:color w:val="000000"/>
                <w:sz w:val="16"/>
                <w:szCs w:val="16"/>
              </w:rPr>
              <w:t>[Country]</w:t>
            </w:r>
            <w:r w:rsidRPr="00372E26">
              <w:rPr>
                <w:color w:val="000000"/>
                <w:sz w:val="16"/>
                <w:szCs w:val="16"/>
              </w:rPr>
              <w:t xml:space="preserve"> government bonds</w:t>
            </w:r>
          </w:p>
        </w:tc>
        <w:tc>
          <w:tcPr>
            <w:tcW w:w="538" w:type="pct"/>
            <w:vAlign w:val="bottom"/>
          </w:tcPr>
          <w:p w14:paraId="0CE0102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0AD75D5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0324918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2CF0718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1F3F9DA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68F480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68F2087B" w14:textId="77777777" w:rsidTr="001B330E">
        <w:trPr>
          <w:trHeight w:val="23"/>
        </w:trPr>
        <w:tc>
          <w:tcPr>
            <w:tcW w:w="1323" w:type="pct"/>
            <w:vAlign w:val="bottom"/>
          </w:tcPr>
          <w:p w14:paraId="0C88A0D1"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Municipal bonds</w:t>
            </w:r>
          </w:p>
        </w:tc>
        <w:tc>
          <w:tcPr>
            <w:tcW w:w="538" w:type="pct"/>
            <w:vAlign w:val="bottom"/>
          </w:tcPr>
          <w:p w14:paraId="708E22B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17D636C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0FFF11D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475BE70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2BBBD349"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FA5712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6E22BCF3" w14:textId="77777777" w:rsidTr="001B330E">
        <w:trPr>
          <w:trHeight w:val="23"/>
        </w:trPr>
        <w:tc>
          <w:tcPr>
            <w:tcW w:w="1323" w:type="pct"/>
            <w:vAlign w:val="bottom"/>
          </w:tcPr>
          <w:p w14:paraId="283C3C70"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Corporate bonds</w:t>
            </w:r>
          </w:p>
        </w:tc>
        <w:tc>
          <w:tcPr>
            <w:tcW w:w="538" w:type="pct"/>
            <w:vAlign w:val="bottom"/>
          </w:tcPr>
          <w:p w14:paraId="29E761C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2C9F58B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781AAE7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32A399C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494ED75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70A7BDA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35621864" w14:textId="77777777" w:rsidTr="001B330E">
        <w:trPr>
          <w:trHeight w:val="23"/>
        </w:trPr>
        <w:tc>
          <w:tcPr>
            <w:tcW w:w="1323" w:type="pct"/>
            <w:vAlign w:val="bottom"/>
          </w:tcPr>
          <w:p w14:paraId="45B7B308"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Investments in mutual funds</w:t>
            </w:r>
          </w:p>
        </w:tc>
        <w:tc>
          <w:tcPr>
            <w:tcW w:w="538" w:type="pct"/>
            <w:vAlign w:val="bottom"/>
          </w:tcPr>
          <w:p w14:paraId="335C246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70EC7B58"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3B44E49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5D01636B"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194FEA6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29E0EFF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0DDBA099" w14:textId="77777777" w:rsidTr="001B330E">
        <w:trPr>
          <w:trHeight w:val="23"/>
        </w:trPr>
        <w:tc>
          <w:tcPr>
            <w:tcW w:w="1323" w:type="pct"/>
            <w:vAlign w:val="bottom"/>
          </w:tcPr>
          <w:p w14:paraId="0F4E8960"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Promissory notes</w:t>
            </w:r>
          </w:p>
        </w:tc>
        <w:tc>
          <w:tcPr>
            <w:tcW w:w="538" w:type="pct"/>
            <w:vAlign w:val="bottom"/>
          </w:tcPr>
          <w:p w14:paraId="52F8E19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30F272A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60248D7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7553D52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2C266CC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928D0B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4BA8AD8" w14:textId="77777777" w:rsidTr="001B330E">
        <w:trPr>
          <w:trHeight w:val="23"/>
        </w:trPr>
        <w:tc>
          <w:tcPr>
            <w:tcW w:w="1323" w:type="pct"/>
            <w:vAlign w:val="bottom"/>
          </w:tcPr>
          <w:p w14:paraId="3DACD630"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Corporate shares</w:t>
            </w:r>
          </w:p>
        </w:tc>
        <w:tc>
          <w:tcPr>
            <w:tcW w:w="538" w:type="pct"/>
            <w:vAlign w:val="bottom"/>
          </w:tcPr>
          <w:p w14:paraId="2AA1C9A7"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1BC1D9D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76CE121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5A98330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1BE96796"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64379E2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0901CAB" w14:textId="77777777" w:rsidTr="001B330E">
        <w:trPr>
          <w:trHeight w:val="23"/>
        </w:trPr>
        <w:tc>
          <w:tcPr>
            <w:tcW w:w="1323" w:type="pct"/>
            <w:vAlign w:val="bottom"/>
          </w:tcPr>
          <w:p w14:paraId="436D4A0C" w14:textId="77777777"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American depositary receipts (ADR)</w:t>
            </w:r>
          </w:p>
        </w:tc>
        <w:tc>
          <w:tcPr>
            <w:tcW w:w="538" w:type="pct"/>
            <w:vAlign w:val="bottom"/>
          </w:tcPr>
          <w:p w14:paraId="52BE966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749E05A0"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6D4ABB2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66FA4332"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29F0BD6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139E723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5B98697A" w14:textId="77777777" w:rsidTr="001B330E">
        <w:trPr>
          <w:trHeight w:val="23"/>
        </w:trPr>
        <w:tc>
          <w:tcPr>
            <w:tcW w:w="1323" w:type="pct"/>
            <w:vAlign w:val="bottom"/>
          </w:tcPr>
          <w:p w14:paraId="73A8958C" w14:textId="06464BF1" w:rsidR="00D83E33" w:rsidRPr="00372E26" w:rsidRDefault="00BC4072" w:rsidP="001B330E">
            <w:pPr>
              <w:widowControl w:val="0"/>
              <w:pBdr>
                <w:top w:val="nil"/>
                <w:left w:val="nil"/>
                <w:bottom w:val="nil"/>
                <w:right w:val="nil"/>
                <w:between w:val="nil"/>
              </w:pBdr>
              <w:ind w:left="113" w:hanging="113"/>
              <w:rPr>
                <w:color w:val="000000"/>
                <w:sz w:val="16"/>
                <w:szCs w:val="16"/>
              </w:rPr>
            </w:pPr>
            <w:r w:rsidRPr="00372E26">
              <w:rPr>
                <w:color w:val="000000"/>
                <w:sz w:val="16"/>
                <w:szCs w:val="16"/>
              </w:rPr>
              <w:t xml:space="preserve">- Global depositary receipts (GDR) </w:t>
            </w:r>
          </w:p>
        </w:tc>
        <w:tc>
          <w:tcPr>
            <w:tcW w:w="538" w:type="pct"/>
            <w:vAlign w:val="bottom"/>
          </w:tcPr>
          <w:p w14:paraId="257E1C5D"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vAlign w:val="bottom"/>
          </w:tcPr>
          <w:p w14:paraId="7212E30A"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vAlign w:val="bottom"/>
          </w:tcPr>
          <w:p w14:paraId="599CECD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vAlign w:val="bottom"/>
          </w:tcPr>
          <w:p w14:paraId="7437F2C3"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vAlign w:val="bottom"/>
          </w:tcPr>
          <w:p w14:paraId="2169152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vAlign w:val="bottom"/>
          </w:tcPr>
          <w:p w14:paraId="575E66BE"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r w:rsidR="00D83E33" w:rsidRPr="00856386" w14:paraId="4ED7ED66" w14:textId="77777777" w:rsidTr="001B330E">
        <w:trPr>
          <w:trHeight w:val="23"/>
        </w:trPr>
        <w:tc>
          <w:tcPr>
            <w:tcW w:w="1323" w:type="pct"/>
            <w:tcBorders>
              <w:bottom w:val="single" w:sz="4" w:space="0" w:color="000000"/>
            </w:tcBorders>
            <w:vAlign w:val="bottom"/>
          </w:tcPr>
          <w:p w14:paraId="01136117" w14:textId="77777777" w:rsidR="00D83E33" w:rsidRPr="00372E26" w:rsidRDefault="00D83E33" w:rsidP="001B330E">
            <w:pPr>
              <w:widowControl w:val="0"/>
              <w:pBdr>
                <w:top w:val="nil"/>
                <w:left w:val="nil"/>
                <w:bottom w:val="nil"/>
                <w:right w:val="nil"/>
                <w:between w:val="nil"/>
              </w:pBdr>
              <w:ind w:left="113" w:hanging="113"/>
              <w:rPr>
                <w:color w:val="000000"/>
                <w:sz w:val="16"/>
                <w:szCs w:val="16"/>
              </w:rPr>
            </w:pPr>
          </w:p>
        </w:tc>
        <w:tc>
          <w:tcPr>
            <w:tcW w:w="538" w:type="pct"/>
            <w:tcBorders>
              <w:bottom w:val="single" w:sz="4" w:space="0" w:color="000000"/>
            </w:tcBorders>
            <w:vAlign w:val="bottom"/>
          </w:tcPr>
          <w:p w14:paraId="5F8054D1"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29" w:type="pct"/>
            <w:tcBorders>
              <w:bottom w:val="single" w:sz="4" w:space="0" w:color="000000"/>
            </w:tcBorders>
            <w:vAlign w:val="bottom"/>
          </w:tcPr>
          <w:p w14:paraId="5942CF3C"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77" w:type="pct"/>
            <w:tcBorders>
              <w:bottom w:val="single" w:sz="4" w:space="0" w:color="000000"/>
            </w:tcBorders>
            <w:vAlign w:val="bottom"/>
          </w:tcPr>
          <w:p w14:paraId="73151905"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570" w:type="pct"/>
            <w:tcBorders>
              <w:bottom w:val="single" w:sz="4" w:space="0" w:color="000000"/>
            </w:tcBorders>
            <w:vAlign w:val="bottom"/>
          </w:tcPr>
          <w:p w14:paraId="0B6DC80F"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61" w:type="pct"/>
            <w:tcBorders>
              <w:bottom w:val="single" w:sz="4" w:space="0" w:color="000000"/>
            </w:tcBorders>
            <w:vAlign w:val="bottom"/>
          </w:tcPr>
          <w:p w14:paraId="0DA0A90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c>
          <w:tcPr>
            <w:tcW w:w="602" w:type="pct"/>
            <w:tcBorders>
              <w:bottom w:val="single" w:sz="4" w:space="0" w:color="000000"/>
            </w:tcBorders>
            <w:vAlign w:val="bottom"/>
          </w:tcPr>
          <w:p w14:paraId="6780AF74" w14:textId="77777777" w:rsidR="00D83E33" w:rsidRPr="00372E26" w:rsidRDefault="00D83E33" w:rsidP="001B330E">
            <w:pPr>
              <w:widowControl w:val="0"/>
              <w:pBdr>
                <w:top w:val="nil"/>
                <w:left w:val="nil"/>
                <w:bottom w:val="nil"/>
                <w:right w:val="nil"/>
                <w:between w:val="nil"/>
              </w:pBdr>
              <w:jc w:val="right"/>
              <w:rPr>
                <w:color w:val="000000"/>
                <w:sz w:val="16"/>
                <w:szCs w:val="16"/>
              </w:rPr>
            </w:pPr>
          </w:p>
        </w:tc>
      </w:tr>
    </w:tbl>
    <w:p w14:paraId="5D21C218" w14:textId="0D1FDBD0" w:rsidR="002762A6" w:rsidRDefault="002762A6">
      <w:pPr>
        <w:widowControl w:val="0"/>
        <w:pBdr>
          <w:top w:val="nil"/>
          <w:left w:val="nil"/>
          <w:bottom w:val="nil"/>
          <w:right w:val="nil"/>
          <w:between w:val="nil"/>
        </w:pBdr>
        <w:spacing w:after="200"/>
        <w:ind w:left="567" w:hanging="567"/>
        <w:jc w:val="both"/>
        <w:rPr>
          <w:b/>
          <w:color w:val="000000"/>
          <w:sz w:val="20"/>
          <w:szCs w:val="20"/>
        </w:rPr>
      </w:pPr>
    </w:p>
    <w:p w14:paraId="1A4070D0" w14:textId="3534A285" w:rsidR="00856386" w:rsidRDefault="00856386">
      <w:pPr>
        <w:widowControl w:val="0"/>
        <w:pBdr>
          <w:top w:val="nil"/>
          <w:left w:val="nil"/>
          <w:bottom w:val="nil"/>
          <w:right w:val="nil"/>
          <w:between w:val="nil"/>
        </w:pBdr>
        <w:spacing w:after="200"/>
        <w:ind w:left="567" w:hanging="567"/>
        <w:jc w:val="both"/>
        <w:rPr>
          <w:b/>
          <w:color w:val="000000"/>
          <w:sz w:val="20"/>
          <w:szCs w:val="20"/>
        </w:rPr>
      </w:pPr>
    </w:p>
    <w:p w14:paraId="3F4BA2AE" w14:textId="53ACC94C" w:rsidR="00856386" w:rsidRDefault="00856386">
      <w:pPr>
        <w:widowControl w:val="0"/>
        <w:pBdr>
          <w:top w:val="nil"/>
          <w:left w:val="nil"/>
          <w:bottom w:val="nil"/>
          <w:right w:val="nil"/>
          <w:between w:val="nil"/>
        </w:pBdr>
        <w:spacing w:after="200"/>
        <w:ind w:left="567" w:hanging="567"/>
        <w:jc w:val="both"/>
        <w:rPr>
          <w:b/>
          <w:color w:val="000000"/>
          <w:sz w:val="20"/>
          <w:szCs w:val="20"/>
        </w:rPr>
      </w:pPr>
    </w:p>
    <w:p w14:paraId="26B34B84" w14:textId="4764D7CD" w:rsidR="00856386" w:rsidRDefault="00856386">
      <w:pPr>
        <w:widowControl w:val="0"/>
        <w:pBdr>
          <w:top w:val="nil"/>
          <w:left w:val="nil"/>
          <w:bottom w:val="nil"/>
          <w:right w:val="nil"/>
          <w:between w:val="nil"/>
        </w:pBdr>
        <w:spacing w:after="200"/>
        <w:ind w:left="567" w:hanging="567"/>
        <w:jc w:val="both"/>
        <w:rPr>
          <w:b/>
          <w:color w:val="000000"/>
          <w:sz w:val="20"/>
          <w:szCs w:val="20"/>
        </w:rPr>
      </w:pPr>
    </w:p>
    <w:p w14:paraId="02B7ACF1" w14:textId="4A4F9F3C" w:rsidR="00856386" w:rsidRPr="00372E26" w:rsidRDefault="00856386" w:rsidP="00372E26">
      <w:pPr>
        <w:pStyle w:val="Continued"/>
        <w:rPr>
          <w:b w:val="0"/>
        </w:rPr>
      </w:pPr>
      <w:r>
        <w:lastRenderedPageBreak/>
        <w:t>49</w:t>
      </w:r>
      <w:r>
        <w:tab/>
        <w:t>Fair Value Disclosures (Continued)</w:t>
      </w:r>
    </w:p>
    <w:tbl>
      <w:tblPr>
        <w:tblStyle w:val="affffffffffffffffc"/>
        <w:tblW w:w="5000" w:type="pct"/>
        <w:tblLayout w:type="fixed"/>
        <w:tblLook w:val="0000" w:firstRow="0" w:lastRow="0" w:firstColumn="0" w:lastColumn="0" w:noHBand="0" w:noVBand="0"/>
      </w:tblPr>
      <w:tblGrid>
        <w:gridCol w:w="2436"/>
        <w:gridCol w:w="1110"/>
        <w:gridCol w:w="1132"/>
        <w:gridCol w:w="1302"/>
        <w:gridCol w:w="1126"/>
        <w:gridCol w:w="1126"/>
        <w:gridCol w:w="1123"/>
      </w:tblGrid>
      <w:tr w:rsidR="00D83E33" w:rsidRPr="00EA10CF" w14:paraId="4101D0CD" w14:textId="77777777" w:rsidTr="001B330E">
        <w:trPr>
          <w:trHeight w:val="23"/>
        </w:trPr>
        <w:tc>
          <w:tcPr>
            <w:tcW w:w="1302" w:type="pct"/>
            <w:tcBorders>
              <w:bottom w:val="single" w:sz="4" w:space="0" w:color="000000"/>
            </w:tcBorders>
            <w:vAlign w:val="bottom"/>
          </w:tcPr>
          <w:p w14:paraId="49064E8F" w14:textId="77777777" w:rsidR="00D83E33" w:rsidRPr="00EA10CF" w:rsidRDefault="00D83E33" w:rsidP="001B330E">
            <w:pPr>
              <w:widowControl w:val="0"/>
              <w:pBdr>
                <w:top w:val="nil"/>
                <w:left w:val="nil"/>
                <w:bottom w:val="nil"/>
                <w:right w:val="nil"/>
                <w:between w:val="nil"/>
              </w:pBdr>
              <w:ind w:left="113" w:hanging="113"/>
              <w:rPr>
                <w:i/>
                <w:color w:val="000000"/>
              </w:rPr>
            </w:pPr>
          </w:p>
          <w:p w14:paraId="120090D4" w14:textId="2BA3A0AF" w:rsidR="00D83E33" w:rsidRPr="00EA10CF"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593" w:type="pct"/>
            <w:tcBorders>
              <w:bottom w:val="single" w:sz="4" w:space="0" w:color="000000"/>
            </w:tcBorders>
          </w:tcPr>
          <w:p w14:paraId="3AC0D66E"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 xml:space="preserve">Fair </w:t>
            </w:r>
          </w:p>
          <w:p w14:paraId="12EF0365"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value</w:t>
            </w:r>
          </w:p>
        </w:tc>
        <w:tc>
          <w:tcPr>
            <w:tcW w:w="605" w:type="pct"/>
            <w:tcBorders>
              <w:bottom w:val="single" w:sz="4" w:space="0" w:color="000000"/>
            </w:tcBorders>
          </w:tcPr>
          <w:p w14:paraId="7661ED77"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Valuation technique</w:t>
            </w:r>
          </w:p>
        </w:tc>
        <w:tc>
          <w:tcPr>
            <w:tcW w:w="696" w:type="pct"/>
            <w:tcBorders>
              <w:bottom w:val="single" w:sz="4" w:space="0" w:color="000000"/>
            </w:tcBorders>
          </w:tcPr>
          <w:p w14:paraId="25DFDBC7"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 xml:space="preserve">Inputs </w:t>
            </w:r>
          </w:p>
          <w:p w14:paraId="17FF2A5A" w14:textId="77777777" w:rsidR="00D83E33" w:rsidRPr="00EA10CF" w:rsidRDefault="00BC4072">
            <w:pPr>
              <w:widowControl w:val="0"/>
              <w:pBdr>
                <w:top w:val="nil"/>
                <w:left w:val="nil"/>
                <w:bottom w:val="nil"/>
                <w:right w:val="nil"/>
                <w:between w:val="nil"/>
              </w:pBdr>
              <w:ind w:left="-113"/>
              <w:jc w:val="right"/>
              <w:rPr>
                <w:b/>
                <w:color w:val="000000"/>
              </w:rPr>
            </w:pPr>
            <w:r w:rsidRPr="00EA10CF">
              <w:rPr>
                <w:b/>
                <w:color w:val="000000"/>
              </w:rPr>
              <w:t>used</w:t>
            </w:r>
          </w:p>
        </w:tc>
        <w:tc>
          <w:tcPr>
            <w:tcW w:w="602" w:type="pct"/>
            <w:tcBorders>
              <w:bottom w:val="single" w:sz="4" w:space="0" w:color="000000"/>
            </w:tcBorders>
          </w:tcPr>
          <w:p w14:paraId="330875FE"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Range of inputs (weighted average)</w:t>
            </w:r>
          </w:p>
        </w:tc>
        <w:tc>
          <w:tcPr>
            <w:tcW w:w="602" w:type="pct"/>
            <w:tcBorders>
              <w:bottom w:val="single" w:sz="4" w:space="0" w:color="000000"/>
            </w:tcBorders>
          </w:tcPr>
          <w:p w14:paraId="66A36D0F"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Reasonable change</w:t>
            </w:r>
          </w:p>
        </w:tc>
        <w:tc>
          <w:tcPr>
            <w:tcW w:w="600" w:type="pct"/>
            <w:tcBorders>
              <w:bottom w:val="single" w:sz="4" w:space="0" w:color="000000"/>
            </w:tcBorders>
          </w:tcPr>
          <w:p w14:paraId="269BC5D9" w14:textId="77777777" w:rsidR="00D83E33" w:rsidRPr="00EA10CF" w:rsidRDefault="00BC4072">
            <w:pPr>
              <w:widowControl w:val="0"/>
              <w:pBdr>
                <w:top w:val="nil"/>
                <w:left w:val="nil"/>
                <w:bottom w:val="nil"/>
                <w:right w:val="nil"/>
                <w:between w:val="nil"/>
              </w:pBdr>
              <w:ind w:left="-113"/>
              <w:jc w:val="right"/>
              <w:rPr>
                <w:color w:val="000000"/>
              </w:rPr>
            </w:pPr>
            <w:r w:rsidRPr="00EA10CF">
              <w:rPr>
                <w:b/>
                <w:color w:val="000000"/>
              </w:rPr>
              <w:t>Sensitivity of fair value measu-rement</w:t>
            </w:r>
          </w:p>
        </w:tc>
      </w:tr>
      <w:tr w:rsidR="00D83E33" w:rsidRPr="00EA10CF" w14:paraId="20B31BEB" w14:textId="77777777" w:rsidTr="001B330E">
        <w:trPr>
          <w:trHeight w:val="23"/>
        </w:trPr>
        <w:tc>
          <w:tcPr>
            <w:tcW w:w="1302" w:type="pct"/>
            <w:vAlign w:val="bottom"/>
          </w:tcPr>
          <w:p w14:paraId="7DB4206F"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593" w:type="pct"/>
            <w:vAlign w:val="bottom"/>
          </w:tcPr>
          <w:p w14:paraId="024D4BF9"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6A68367E"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3AFF71F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4C3FAA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D74B8E9"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21E6721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3004838" w14:textId="77777777" w:rsidTr="001B330E">
        <w:trPr>
          <w:trHeight w:val="23"/>
        </w:trPr>
        <w:tc>
          <w:tcPr>
            <w:tcW w:w="1302" w:type="pct"/>
            <w:vAlign w:val="bottom"/>
          </w:tcPr>
          <w:p w14:paraId="1242D81F"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i/>
                <w:color w:val="000000"/>
              </w:rPr>
              <w:t xml:space="preserve">Other financial assets </w:t>
            </w:r>
          </w:p>
        </w:tc>
        <w:tc>
          <w:tcPr>
            <w:tcW w:w="593" w:type="pct"/>
            <w:vAlign w:val="bottom"/>
          </w:tcPr>
          <w:p w14:paraId="2969D742"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5C73C914"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60F5F6C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70838E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17CF519"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61D3BCD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BB17DFE" w14:textId="77777777" w:rsidTr="001B330E">
        <w:trPr>
          <w:trHeight w:val="23"/>
        </w:trPr>
        <w:tc>
          <w:tcPr>
            <w:tcW w:w="1302" w:type="pct"/>
            <w:vAlign w:val="bottom"/>
          </w:tcPr>
          <w:p w14:paraId="0CDF441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Foreign exchange forward contracts</w:t>
            </w:r>
          </w:p>
        </w:tc>
        <w:tc>
          <w:tcPr>
            <w:tcW w:w="593" w:type="pct"/>
            <w:vAlign w:val="bottom"/>
          </w:tcPr>
          <w:p w14:paraId="6C440596"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08974687"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2E79666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25A9AEC"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8F5FBDD"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3FCC4CF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948A59A" w14:textId="77777777" w:rsidTr="001B330E">
        <w:trPr>
          <w:trHeight w:val="23"/>
        </w:trPr>
        <w:tc>
          <w:tcPr>
            <w:tcW w:w="1302" w:type="pct"/>
            <w:vAlign w:val="bottom"/>
          </w:tcPr>
          <w:p w14:paraId="033B401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Precious metals forward contracts</w:t>
            </w:r>
          </w:p>
        </w:tc>
        <w:tc>
          <w:tcPr>
            <w:tcW w:w="593" w:type="pct"/>
            <w:vAlign w:val="bottom"/>
          </w:tcPr>
          <w:p w14:paraId="1316320F"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558B276B"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567406A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C309CF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001CD0D"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50243D1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E4C8A44" w14:textId="77777777" w:rsidTr="001B330E">
        <w:trPr>
          <w:trHeight w:val="23"/>
        </w:trPr>
        <w:tc>
          <w:tcPr>
            <w:tcW w:w="1302" w:type="pct"/>
            <w:vAlign w:val="bottom"/>
          </w:tcPr>
          <w:p w14:paraId="1305BD4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Other financial derivatives</w:t>
            </w:r>
          </w:p>
        </w:tc>
        <w:tc>
          <w:tcPr>
            <w:tcW w:w="593" w:type="pct"/>
            <w:vAlign w:val="bottom"/>
          </w:tcPr>
          <w:p w14:paraId="5E3BB080"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32EEF891"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14C292E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78A01DC"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475FDE8"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4D9A94D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180E1D1" w14:textId="77777777" w:rsidTr="001B330E">
        <w:trPr>
          <w:trHeight w:val="23"/>
        </w:trPr>
        <w:tc>
          <w:tcPr>
            <w:tcW w:w="1302" w:type="pct"/>
            <w:vAlign w:val="bottom"/>
          </w:tcPr>
          <w:p w14:paraId="1961393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Other</w:t>
            </w:r>
          </w:p>
        </w:tc>
        <w:tc>
          <w:tcPr>
            <w:tcW w:w="593" w:type="pct"/>
            <w:vAlign w:val="bottom"/>
          </w:tcPr>
          <w:p w14:paraId="41DC6C50"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40340C88"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27D1A49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0A3C68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60470E1"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436B2BE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50BCB1F" w14:textId="77777777" w:rsidTr="001B330E">
        <w:trPr>
          <w:trHeight w:val="23"/>
        </w:trPr>
        <w:tc>
          <w:tcPr>
            <w:tcW w:w="1302" w:type="pct"/>
            <w:vAlign w:val="bottom"/>
          </w:tcPr>
          <w:p w14:paraId="4863C3AD" w14:textId="51DC0BE8" w:rsidR="00D83E33" w:rsidRPr="00EA10CF" w:rsidRDefault="00D83E33" w:rsidP="001B330E">
            <w:pPr>
              <w:widowControl w:val="0"/>
              <w:pBdr>
                <w:top w:val="nil"/>
                <w:left w:val="nil"/>
                <w:bottom w:val="nil"/>
                <w:right w:val="nil"/>
                <w:between w:val="nil"/>
              </w:pBdr>
              <w:ind w:left="113" w:hanging="113"/>
              <w:rPr>
                <w:color w:val="000000"/>
              </w:rPr>
            </w:pPr>
          </w:p>
        </w:tc>
        <w:tc>
          <w:tcPr>
            <w:tcW w:w="593" w:type="pct"/>
            <w:vAlign w:val="bottom"/>
          </w:tcPr>
          <w:p w14:paraId="365698E5"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33344E5A"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78AE9F45"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E210C55"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4E2F2DE"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018C0E4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83FCA1A" w14:textId="77777777" w:rsidTr="001B330E">
        <w:trPr>
          <w:trHeight w:val="23"/>
        </w:trPr>
        <w:tc>
          <w:tcPr>
            <w:tcW w:w="1302" w:type="pct"/>
            <w:vAlign w:val="bottom"/>
          </w:tcPr>
          <w:p w14:paraId="607C5999" w14:textId="77777777" w:rsidR="00D83E33" w:rsidRPr="00EA10CF" w:rsidRDefault="00D83E33" w:rsidP="001B330E">
            <w:pPr>
              <w:widowControl w:val="0"/>
              <w:pBdr>
                <w:top w:val="nil"/>
                <w:left w:val="nil"/>
                <w:bottom w:val="nil"/>
                <w:right w:val="nil"/>
                <w:between w:val="nil"/>
              </w:pBdr>
              <w:ind w:left="113" w:hanging="113"/>
              <w:rPr>
                <w:b/>
                <w:smallCaps/>
                <w:color w:val="000000"/>
              </w:rPr>
            </w:pPr>
          </w:p>
        </w:tc>
        <w:tc>
          <w:tcPr>
            <w:tcW w:w="593" w:type="pct"/>
            <w:vAlign w:val="bottom"/>
          </w:tcPr>
          <w:p w14:paraId="1D863932"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414CFB3F"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414F6FB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F7C7793"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5040491"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062FF11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592BC33" w14:textId="77777777" w:rsidTr="001B330E">
        <w:trPr>
          <w:trHeight w:val="23"/>
        </w:trPr>
        <w:tc>
          <w:tcPr>
            <w:tcW w:w="1302" w:type="pct"/>
            <w:vAlign w:val="bottom"/>
          </w:tcPr>
          <w:p w14:paraId="423938BD"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b/>
                <w:smallCaps/>
                <w:color w:val="000000"/>
              </w:rPr>
              <w:t>NON-FINANCIAL ASSETS</w:t>
            </w:r>
          </w:p>
        </w:tc>
        <w:tc>
          <w:tcPr>
            <w:tcW w:w="593" w:type="pct"/>
            <w:vAlign w:val="bottom"/>
          </w:tcPr>
          <w:p w14:paraId="284276B7"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18D10BF8"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26C4F97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DA42CC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E572F4D"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01BE88C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CD46B08" w14:textId="77777777" w:rsidTr="001B330E">
        <w:trPr>
          <w:trHeight w:val="23"/>
        </w:trPr>
        <w:tc>
          <w:tcPr>
            <w:tcW w:w="1302" w:type="pct"/>
            <w:vAlign w:val="bottom"/>
          </w:tcPr>
          <w:p w14:paraId="694AABF2"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xml:space="preserve">- Premises and equipment </w:t>
            </w:r>
          </w:p>
        </w:tc>
        <w:tc>
          <w:tcPr>
            <w:tcW w:w="593" w:type="pct"/>
            <w:vAlign w:val="bottom"/>
          </w:tcPr>
          <w:p w14:paraId="70B35551"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2ADD035B"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7BD6888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03FC3E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94A9B3A"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1E31F01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C3A833A" w14:textId="77777777" w:rsidTr="001B330E">
        <w:trPr>
          <w:trHeight w:val="23"/>
        </w:trPr>
        <w:tc>
          <w:tcPr>
            <w:tcW w:w="1302" w:type="pct"/>
            <w:vAlign w:val="bottom"/>
          </w:tcPr>
          <w:p w14:paraId="7C1B1973"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Investment properties</w:t>
            </w:r>
          </w:p>
        </w:tc>
        <w:tc>
          <w:tcPr>
            <w:tcW w:w="593" w:type="pct"/>
            <w:vAlign w:val="bottom"/>
          </w:tcPr>
          <w:p w14:paraId="36AC413F"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094FDA18"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576E73C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35C87D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FD30D54"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6EB33664"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8169931" w14:textId="77777777" w:rsidTr="001B330E">
        <w:trPr>
          <w:trHeight w:val="23"/>
        </w:trPr>
        <w:tc>
          <w:tcPr>
            <w:tcW w:w="1302" w:type="pct"/>
            <w:vAlign w:val="bottom"/>
          </w:tcPr>
          <w:p w14:paraId="1BC92D4D"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93" w:type="pct"/>
            <w:vAlign w:val="bottom"/>
          </w:tcPr>
          <w:p w14:paraId="0FDBA5BD"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7871F110"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4639F5D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899ED49"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430E6BC"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63106C4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32784D9" w14:textId="77777777" w:rsidTr="001B330E">
        <w:trPr>
          <w:trHeight w:val="23"/>
        </w:trPr>
        <w:tc>
          <w:tcPr>
            <w:tcW w:w="1302" w:type="pct"/>
            <w:vAlign w:val="bottom"/>
          </w:tcPr>
          <w:p w14:paraId="65FFA585"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smallCaps/>
                <w:color w:val="000000"/>
              </w:rPr>
              <w:t>LIABILITIES AT FAIR VALUE</w:t>
            </w:r>
          </w:p>
        </w:tc>
        <w:tc>
          <w:tcPr>
            <w:tcW w:w="593" w:type="pct"/>
            <w:vAlign w:val="bottom"/>
          </w:tcPr>
          <w:p w14:paraId="1B7DCC6A"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4417C3F7"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5EC5C32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3DD9D7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7EFC630"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5492E9FD"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EF76AEF" w14:textId="77777777" w:rsidTr="001B330E">
        <w:trPr>
          <w:trHeight w:val="23"/>
        </w:trPr>
        <w:tc>
          <w:tcPr>
            <w:tcW w:w="1302" w:type="pct"/>
            <w:vAlign w:val="bottom"/>
          </w:tcPr>
          <w:p w14:paraId="3E204EED"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smallCaps/>
                <w:color w:val="000000"/>
              </w:rPr>
              <w:t xml:space="preserve">FINANCIAL LIABILITIES </w:t>
            </w:r>
          </w:p>
        </w:tc>
        <w:tc>
          <w:tcPr>
            <w:tcW w:w="593" w:type="pct"/>
            <w:vAlign w:val="bottom"/>
          </w:tcPr>
          <w:p w14:paraId="7880A89F"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7AD1C362"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5C418EE5"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A13D09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53706AE"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6B080D6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B2EE380" w14:textId="77777777" w:rsidTr="001B330E">
        <w:trPr>
          <w:trHeight w:val="23"/>
        </w:trPr>
        <w:tc>
          <w:tcPr>
            <w:tcW w:w="1302" w:type="pct"/>
            <w:vAlign w:val="bottom"/>
          </w:tcPr>
          <w:p w14:paraId="64CE1AFA"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593" w:type="pct"/>
            <w:vAlign w:val="bottom"/>
          </w:tcPr>
          <w:p w14:paraId="51EDE5F3"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2E9B8228"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1EDCFB1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E98A068"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04E7877"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3D70606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E6A36F8" w14:textId="77777777" w:rsidTr="001B330E">
        <w:trPr>
          <w:trHeight w:val="23"/>
        </w:trPr>
        <w:tc>
          <w:tcPr>
            <w:tcW w:w="1302" w:type="pct"/>
            <w:vAlign w:val="bottom"/>
          </w:tcPr>
          <w:p w14:paraId="70DA730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i/>
                <w:color w:val="000000"/>
              </w:rPr>
              <w:t xml:space="preserve">Due to other banks </w:t>
            </w:r>
          </w:p>
        </w:tc>
        <w:tc>
          <w:tcPr>
            <w:tcW w:w="593" w:type="pct"/>
            <w:vAlign w:val="bottom"/>
          </w:tcPr>
          <w:p w14:paraId="077C937E"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5132ED43"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29C50ECA"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7D520F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65F804D"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68C9BD2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0D0D33D" w14:textId="77777777" w:rsidTr="001B330E">
        <w:trPr>
          <w:trHeight w:val="23"/>
        </w:trPr>
        <w:tc>
          <w:tcPr>
            <w:tcW w:w="1302" w:type="pct"/>
            <w:vAlign w:val="bottom"/>
          </w:tcPr>
          <w:p w14:paraId="6BCB8B9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Liability to return collateral sold or repledged</w:t>
            </w:r>
          </w:p>
        </w:tc>
        <w:tc>
          <w:tcPr>
            <w:tcW w:w="593" w:type="pct"/>
            <w:vAlign w:val="bottom"/>
          </w:tcPr>
          <w:p w14:paraId="7AB78608"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6D9DE11B"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5CD1C0E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5E2D7CD"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A7DCAE9"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66DE14C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C38FF2E" w14:textId="77777777" w:rsidTr="001B330E">
        <w:trPr>
          <w:trHeight w:val="23"/>
        </w:trPr>
        <w:tc>
          <w:tcPr>
            <w:tcW w:w="1302" w:type="pct"/>
            <w:vAlign w:val="bottom"/>
          </w:tcPr>
          <w:p w14:paraId="1644B20A"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593" w:type="pct"/>
            <w:vAlign w:val="bottom"/>
          </w:tcPr>
          <w:p w14:paraId="646EEC3E"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0E69F2B9"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119161C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160B61C"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6370718"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4818030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1773A13" w14:textId="77777777" w:rsidTr="001B330E">
        <w:trPr>
          <w:trHeight w:val="23"/>
        </w:trPr>
        <w:tc>
          <w:tcPr>
            <w:tcW w:w="1302" w:type="pct"/>
            <w:vAlign w:val="bottom"/>
          </w:tcPr>
          <w:p w14:paraId="11A2672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b/>
                <w:i/>
                <w:color w:val="000000"/>
              </w:rPr>
              <w:t xml:space="preserve">Other borrowed funds </w:t>
            </w:r>
          </w:p>
        </w:tc>
        <w:tc>
          <w:tcPr>
            <w:tcW w:w="593" w:type="pct"/>
            <w:vAlign w:val="bottom"/>
          </w:tcPr>
          <w:p w14:paraId="1E5CC633"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682C4361"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0521CA9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C64C67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411F6A86"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6D466AAC"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E048200" w14:textId="77777777" w:rsidTr="001B330E">
        <w:trPr>
          <w:trHeight w:val="23"/>
        </w:trPr>
        <w:tc>
          <w:tcPr>
            <w:tcW w:w="1302" w:type="pct"/>
            <w:vAlign w:val="bottom"/>
          </w:tcPr>
          <w:p w14:paraId="15FBD2D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Liability to return collateral sold or repledged</w:t>
            </w:r>
          </w:p>
        </w:tc>
        <w:tc>
          <w:tcPr>
            <w:tcW w:w="593" w:type="pct"/>
            <w:vAlign w:val="bottom"/>
          </w:tcPr>
          <w:p w14:paraId="78D3E661"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743A0F7F"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7271698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03E96923"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C730D27"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54CC55CD"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E12BA1D" w14:textId="77777777" w:rsidTr="001B330E">
        <w:trPr>
          <w:trHeight w:val="23"/>
        </w:trPr>
        <w:tc>
          <w:tcPr>
            <w:tcW w:w="1302" w:type="pct"/>
            <w:vAlign w:val="bottom"/>
          </w:tcPr>
          <w:p w14:paraId="4DFBFC63" w14:textId="3F58252D"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 </w:t>
            </w:r>
            <w:r w:rsidR="00EB510C">
              <w:rPr>
                <w:color w:val="000000"/>
              </w:rPr>
              <w:t>Other structured</w:t>
            </w:r>
            <w:r w:rsidRPr="00EA10CF">
              <w:rPr>
                <w:color w:val="000000"/>
              </w:rPr>
              <w:t xml:space="preserve"> funding</w:t>
            </w:r>
          </w:p>
        </w:tc>
        <w:tc>
          <w:tcPr>
            <w:tcW w:w="593" w:type="pct"/>
            <w:vAlign w:val="bottom"/>
          </w:tcPr>
          <w:p w14:paraId="570E3941"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57B763E7"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3180875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AD4AFB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C666955"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3FE3B7E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5E48146" w14:textId="77777777" w:rsidTr="001B330E">
        <w:trPr>
          <w:trHeight w:val="23"/>
        </w:trPr>
        <w:tc>
          <w:tcPr>
            <w:tcW w:w="1302" w:type="pct"/>
            <w:vAlign w:val="bottom"/>
          </w:tcPr>
          <w:p w14:paraId="4F7AAFEB" w14:textId="77777777" w:rsidR="00D83E33" w:rsidRPr="00EA10CF" w:rsidRDefault="00D83E33" w:rsidP="001B330E">
            <w:pPr>
              <w:widowControl w:val="0"/>
              <w:pBdr>
                <w:top w:val="nil"/>
                <w:left w:val="nil"/>
                <w:bottom w:val="nil"/>
                <w:right w:val="nil"/>
                <w:between w:val="nil"/>
              </w:pBdr>
              <w:ind w:left="113" w:hanging="113"/>
              <w:rPr>
                <w:b/>
                <w:i/>
                <w:color w:val="000000"/>
              </w:rPr>
            </w:pPr>
          </w:p>
        </w:tc>
        <w:tc>
          <w:tcPr>
            <w:tcW w:w="593" w:type="pct"/>
            <w:vAlign w:val="bottom"/>
          </w:tcPr>
          <w:p w14:paraId="30BBABDB"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2ABCB019"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23BC8A1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30B955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E6CE86C"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731D4B7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1A53B7F7" w14:textId="77777777" w:rsidTr="001B330E">
        <w:trPr>
          <w:trHeight w:val="23"/>
        </w:trPr>
        <w:tc>
          <w:tcPr>
            <w:tcW w:w="1302" w:type="pct"/>
            <w:vAlign w:val="bottom"/>
          </w:tcPr>
          <w:p w14:paraId="6A403611"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i/>
                <w:color w:val="000000"/>
              </w:rPr>
              <w:t xml:space="preserve">Other financial liabilities </w:t>
            </w:r>
          </w:p>
        </w:tc>
        <w:tc>
          <w:tcPr>
            <w:tcW w:w="593" w:type="pct"/>
            <w:vAlign w:val="bottom"/>
          </w:tcPr>
          <w:p w14:paraId="3C6709A3"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57E9756D"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324AADD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5FAEEE2"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36AB4AA4"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645B36D7"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47B50835" w14:textId="77777777" w:rsidTr="001B330E">
        <w:trPr>
          <w:trHeight w:val="23"/>
        </w:trPr>
        <w:tc>
          <w:tcPr>
            <w:tcW w:w="1302" w:type="pct"/>
            <w:vAlign w:val="bottom"/>
          </w:tcPr>
          <w:p w14:paraId="18C53AC0"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Foreign exchange forward contracts</w:t>
            </w:r>
          </w:p>
        </w:tc>
        <w:tc>
          <w:tcPr>
            <w:tcW w:w="593" w:type="pct"/>
            <w:vAlign w:val="bottom"/>
          </w:tcPr>
          <w:p w14:paraId="616B9E2E"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78A04105"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36EB55C0"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D45872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6F5FE725"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4D3364F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6D4547F" w14:textId="77777777" w:rsidTr="001B330E">
        <w:trPr>
          <w:trHeight w:val="23"/>
        </w:trPr>
        <w:tc>
          <w:tcPr>
            <w:tcW w:w="1302" w:type="pct"/>
            <w:vAlign w:val="bottom"/>
          </w:tcPr>
          <w:p w14:paraId="0708C71A"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Other derivative financial instruments</w:t>
            </w:r>
          </w:p>
        </w:tc>
        <w:tc>
          <w:tcPr>
            <w:tcW w:w="593" w:type="pct"/>
            <w:vAlign w:val="bottom"/>
          </w:tcPr>
          <w:p w14:paraId="76CAEEDC"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623A5386"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72A32134"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73DCCCF"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18E72A65"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77522EA5"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859A238" w14:textId="77777777" w:rsidTr="001B330E">
        <w:trPr>
          <w:trHeight w:val="23"/>
        </w:trPr>
        <w:tc>
          <w:tcPr>
            <w:tcW w:w="1302" w:type="pct"/>
            <w:vAlign w:val="bottom"/>
          </w:tcPr>
          <w:p w14:paraId="3ABA5CFC"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 Short sales of securities</w:t>
            </w:r>
          </w:p>
        </w:tc>
        <w:tc>
          <w:tcPr>
            <w:tcW w:w="593" w:type="pct"/>
            <w:vAlign w:val="bottom"/>
          </w:tcPr>
          <w:p w14:paraId="1A8E0904"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55FC8D48"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54C4F12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2643186"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78CC98AD"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5C0A0B20"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511F03C" w14:textId="77777777" w:rsidTr="001B330E">
        <w:trPr>
          <w:trHeight w:val="23"/>
        </w:trPr>
        <w:tc>
          <w:tcPr>
            <w:tcW w:w="1302" w:type="pct"/>
            <w:vAlign w:val="bottom"/>
          </w:tcPr>
          <w:p w14:paraId="71B0FEC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Liabilities designated at FVTPL at initial recognition</w:t>
            </w:r>
          </w:p>
        </w:tc>
        <w:tc>
          <w:tcPr>
            <w:tcW w:w="593" w:type="pct"/>
            <w:vAlign w:val="bottom"/>
          </w:tcPr>
          <w:p w14:paraId="2E2B2097"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vAlign w:val="bottom"/>
          </w:tcPr>
          <w:p w14:paraId="478E03EB"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vAlign w:val="bottom"/>
          </w:tcPr>
          <w:p w14:paraId="2E3917A7"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5F4D2DDE"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vAlign w:val="bottom"/>
          </w:tcPr>
          <w:p w14:paraId="2EE59370"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vAlign w:val="bottom"/>
          </w:tcPr>
          <w:p w14:paraId="3855F7D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435A365" w14:textId="77777777" w:rsidTr="001B330E">
        <w:trPr>
          <w:trHeight w:val="23"/>
        </w:trPr>
        <w:tc>
          <w:tcPr>
            <w:tcW w:w="1302" w:type="pct"/>
            <w:tcBorders>
              <w:bottom w:val="single" w:sz="4" w:space="0" w:color="000000"/>
            </w:tcBorders>
            <w:vAlign w:val="bottom"/>
          </w:tcPr>
          <w:p w14:paraId="2C3A14A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93" w:type="pct"/>
            <w:tcBorders>
              <w:bottom w:val="single" w:sz="4" w:space="0" w:color="000000"/>
            </w:tcBorders>
            <w:vAlign w:val="bottom"/>
          </w:tcPr>
          <w:p w14:paraId="4B37F362" w14:textId="77777777" w:rsidR="00D83E33" w:rsidRPr="00EA10CF" w:rsidRDefault="00D83E33" w:rsidP="001B330E">
            <w:pPr>
              <w:widowControl w:val="0"/>
              <w:pBdr>
                <w:top w:val="nil"/>
                <w:left w:val="nil"/>
                <w:bottom w:val="nil"/>
                <w:right w:val="nil"/>
                <w:between w:val="nil"/>
              </w:pBdr>
              <w:jc w:val="right"/>
              <w:rPr>
                <w:color w:val="000000"/>
              </w:rPr>
            </w:pPr>
          </w:p>
        </w:tc>
        <w:tc>
          <w:tcPr>
            <w:tcW w:w="605" w:type="pct"/>
            <w:tcBorders>
              <w:bottom w:val="single" w:sz="4" w:space="0" w:color="000000"/>
            </w:tcBorders>
            <w:vAlign w:val="bottom"/>
          </w:tcPr>
          <w:p w14:paraId="3C80DBD5" w14:textId="77777777" w:rsidR="00D83E33" w:rsidRPr="00EA10CF" w:rsidRDefault="00D83E33" w:rsidP="001B330E">
            <w:pPr>
              <w:widowControl w:val="0"/>
              <w:pBdr>
                <w:top w:val="nil"/>
                <w:left w:val="nil"/>
                <w:bottom w:val="nil"/>
                <w:right w:val="nil"/>
                <w:between w:val="nil"/>
              </w:pBdr>
              <w:jc w:val="right"/>
              <w:rPr>
                <w:color w:val="000000"/>
              </w:rPr>
            </w:pPr>
          </w:p>
        </w:tc>
        <w:tc>
          <w:tcPr>
            <w:tcW w:w="696" w:type="pct"/>
            <w:tcBorders>
              <w:bottom w:val="single" w:sz="4" w:space="0" w:color="000000"/>
            </w:tcBorders>
            <w:vAlign w:val="bottom"/>
          </w:tcPr>
          <w:p w14:paraId="367E3D11"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tcBorders>
              <w:bottom w:val="single" w:sz="4" w:space="0" w:color="000000"/>
            </w:tcBorders>
            <w:vAlign w:val="bottom"/>
          </w:tcPr>
          <w:p w14:paraId="23F981FB" w14:textId="77777777" w:rsidR="00D83E33" w:rsidRPr="00EA10CF" w:rsidRDefault="00D83E33" w:rsidP="001B330E">
            <w:pPr>
              <w:widowControl w:val="0"/>
              <w:pBdr>
                <w:top w:val="nil"/>
                <w:left w:val="nil"/>
                <w:bottom w:val="nil"/>
                <w:right w:val="nil"/>
                <w:between w:val="nil"/>
              </w:pBdr>
              <w:jc w:val="right"/>
              <w:rPr>
                <w:color w:val="000000"/>
              </w:rPr>
            </w:pPr>
          </w:p>
        </w:tc>
        <w:tc>
          <w:tcPr>
            <w:tcW w:w="602" w:type="pct"/>
            <w:tcBorders>
              <w:bottom w:val="single" w:sz="4" w:space="0" w:color="000000"/>
            </w:tcBorders>
            <w:vAlign w:val="bottom"/>
          </w:tcPr>
          <w:p w14:paraId="35FC34A1" w14:textId="77777777" w:rsidR="00D83E33" w:rsidRPr="00EA10CF" w:rsidRDefault="00D83E33" w:rsidP="001B330E">
            <w:pPr>
              <w:widowControl w:val="0"/>
              <w:pBdr>
                <w:top w:val="nil"/>
                <w:left w:val="nil"/>
                <w:bottom w:val="nil"/>
                <w:right w:val="nil"/>
                <w:between w:val="nil"/>
              </w:pBdr>
              <w:jc w:val="right"/>
              <w:rPr>
                <w:color w:val="000000"/>
              </w:rPr>
            </w:pPr>
          </w:p>
        </w:tc>
        <w:tc>
          <w:tcPr>
            <w:tcW w:w="600" w:type="pct"/>
            <w:tcBorders>
              <w:bottom w:val="single" w:sz="4" w:space="0" w:color="000000"/>
            </w:tcBorders>
            <w:vAlign w:val="bottom"/>
          </w:tcPr>
          <w:p w14:paraId="277BD20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C9670DF" w14:textId="77777777" w:rsidTr="001B330E">
        <w:trPr>
          <w:trHeight w:val="23"/>
        </w:trPr>
        <w:tc>
          <w:tcPr>
            <w:tcW w:w="1302" w:type="pct"/>
            <w:vAlign w:val="bottom"/>
          </w:tcPr>
          <w:p w14:paraId="28CA4AC3"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93" w:type="pct"/>
            <w:vAlign w:val="bottom"/>
          </w:tcPr>
          <w:p w14:paraId="73A2D1FC" w14:textId="77777777" w:rsidR="00D83E33" w:rsidRPr="00EA10CF" w:rsidRDefault="00D83E33" w:rsidP="001B330E">
            <w:pPr>
              <w:widowControl w:val="0"/>
              <w:pBdr>
                <w:top w:val="nil"/>
                <w:left w:val="nil"/>
                <w:bottom w:val="nil"/>
                <w:right w:val="nil"/>
                <w:between w:val="nil"/>
              </w:pBdr>
              <w:jc w:val="right"/>
              <w:rPr>
                <w:b/>
                <w:color w:val="000000"/>
              </w:rPr>
            </w:pPr>
          </w:p>
        </w:tc>
        <w:tc>
          <w:tcPr>
            <w:tcW w:w="605" w:type="pct"/>
            <w:vAlign w:val="bottom"/>
          </w:tcPr>
          <w:p w14:paraId="485EA4C3" w14:textId="77777777" w:rsidR="00D83E33" w:rsidRPr="00EA10CF" w:rsidRDefault="00D83E33" w:rsidP="001B330E">
            <w:pPr>
              <w:widowControl w:val="0"/>
              <w:pBdr>
                <w:top w:val="nil"/>
                <w:left w:val="nil"/>
                <w:bottom w:val="nil"/>
                <w:right w:val="nil"/>
                <w:between w:val="nil"/>
              </w:pBdr>
              <w:jc w:val="right"/>
              <w:rPr>
                <w:b/>
                <w:color w:val="000000"/>
              </w:rPr>
            </w:pPr>
          </w:p>
        </w:tc>
        <w:tc>
          <w:tcPr>
            <w:tcW w:w="696" w:type="pct"/>
            <w:vAlign w:val="bottom"/>
          </w:tcPr>
          <w:p w14:paraId="71E39C30"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vAlign w:val="bottom"/>
          </w:tcPr>
          <w:p w14:paraId="43EBC4FD"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vAlign w:val="bottom"/>
          </w:tcPr>
          <w:p w14:paraId="46F0F8F3" w14:textId="77777777" w:rsidR="00D83E33" w:rsidRPr="00EA10CF" w:rsidRDefault="00D83E33" w:rsidP="001B330E">
            <w:pPr>
              <w:widowControl w:val="0"/>
              <w:pBdr>
                <w:top w:val="nil"/>
                <w:left w:val="nil"/>
                <w:bottom w:val="nil"/>
                <w:right w:val="nil"/>
                <w:between w:val="nil"/>
              </w:pBdr>
              <w:jc w:val="right"/>
              <w:rPr>
                <w:b/>
                <w:color w:val="000000"/>
              </w:rPr>
            </w:pPr>
          </w:p>
        </w:tc>
        <w:tc>
          <w:tcPr>
            <w:tcW w:w="600" w:type="pct"/>
            <w:vAlign w:val="bottom"/>
          </w:tcPr>
          <w:p w14:paraId="258B505B"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7DD9B8AE" w14:textId="77777777" w:rsidTr="001B330E">
        <w:trPr>
          <w:trHeight w:val="23"/>
        </w:trPr>
        <w:tc>
          <w:tcPr>
            <w:tcW w:w="1302" w:type="pct"/>
            <w:vAlign w:val="bottom"/>
          </w:tcPr>
          <w:p w14:paraId="62751598" w14:textId="77777777" w:rsidR="00D83E33" w:rsidRPr="00EA10CF" w:rsidRDefault="00BC4072" w:rsidP="001B330E">
            <w:pPr>
              <w:widowControl w:val="0"/>
              <w:pBdr>
                <w:top w:val="nil"/>
                <w:left w:val="nil"/>
                <w:bottom w:val="nil"/>
                <w:right w:val="nil"/>
                <w:between w:val="nil"/>
              </w:pBdr>
              <w:ind w:left="113" w:hanging="113"/>
              <w:rPr>
                <w:smallCaps/>
                <w:color w:val="000000"/>
              </w:rPr>
            </w:pPr>
            <w:r w:rsidRPr="00EA10CF">
              <w:rPr>
                <w:b/>
                <w:smallCaps/>
                <w:color w:val="000000"/>
              </w:rPr>
              <w:t>TOTAL RECURRING FAIR VALUE MEASUREMENTS AT LEVEL 3</w:t>
            </w:r>
          </w:p>
        </w:tc>
        <w:tc>
          <w:tcPr>
            <w:tcW w:w="593" w:type="pct"/>
            <w:vAlign w:val="bottom"/>
          </w:tcPr>
          <w:p w14:paraId="40CA485A"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05" w:type="pct"/>
            <w:vAlign w:val="bottom"/>
          </w:tcPr>
          <w:p w14:paraId="2B468042"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96" w:type="pct"/>
            <w:vAlign w:val="bottom"/>
          </w:tcPr>
          <w:p w14:paraId="4AB33C77"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02" w:type="pct"/>
            <w:vAlign w:val="bottom"/>
          </w:tcPr>
          <w:p w14:paraId="59238EED"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02" w:type="pct"/>
            <w:vAlign w:val="bottom"/>
          </w:tcPr>
          <w:p w14:paraId="442EF0F1"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600" w:type="pct"/>
            <w:vAlign w:val="bottom"/>
          </w:tcPr>
          <w:p w14:paraId="57DE1508" w14:textId="77777777" w:rsidR="00D83E33" w:rsidRPr="00EA10CF" w:rsidRDefault="00D83E33" w:rsidP="001B330E">
            <w:pPr>
              <w:widowControl w:val="0"/>
              <w:pBdr>
                <w:top w:val="nil"/>
                <w:left w:val="nil"/>
                <w:bottom w:val="nil"/>
                <w:right w:val="nil"/>
                <w:between w:val="nil"/>
              </w:pBdr>
              <w:jc w:val="right"/>
              <w:rPr>
                <w:b/>
                <w:smallCaps/>
                <w:color w:val="000000"/>
              </w:rPr>
            </w:pPr>
          </w:p>
        </w:tc>
      </w:tr>
      <w:tr w:rsidR="00D83E33" w:rsidRPr="00EA10CF" w14:paraId="2BEC402E" w14:textId="77777777" w:rsidTr="001B330E">
        <w:trPr>
          <w:trHeight w:val="23"/>
        </w:trPr>
        <w:tc>
          <w:tcPr>
            <w:tcW w:w="1302" w:type="pct"/>
            <w:tcBorders>
              <w:bottom w:val="single" w:sz="12" w:space="0" w:color="000000"/>
            </w:tcBorders>
            <w:shd w:val="clear" w:color="auto" w:fill="auto"/>
            <w:vAlign w:val="bottom"/>
          </w:tcPr>
          <w:p w14:paraId="248EF72E" w14:textId="77777777" w:rsidR="00D83E33" w:rsidRPr="00EA10CF" w:rsidRDefault="00BC4072" w:rsidP="001B330E">
            <w:pPr>
              <w:widowControl w:val="0"/>
              <w:ind w:left="113" w:hanging="113"/>
            </w:pPr>
            <w:r w:rsidRPr="00EA10CF">
              <w:t> </w:t>
            </w:r>
          </w:p>
        </w:tc>
        <w:tc>
          <w:tcPr>
            <w:tcW w:w="593" w:type="pct"/>
            <w:tcBorders>
              <w:bottom w:val="single" w:sz="12" w:space="0" w:color="000000"/>
            </w:tcBorders>
            <w:vAlign w:val="bottom"/>
          </w:tcPr>
          <w:p w14:paraId="1BAD5EE1" w14:textId="77777777" w:rsidR="00D83E33" w:rsidRPr="00EA10CF" w:rsidRDefault="00D83E33" w:rsidP="001B330E">
            <w:pPr>
              <w:widowControl w:val="0"/>
              <w:pBdr>
                <w:top w:val="nil"/>
                <w:left w:val="nil"/>
                <w:bottom w:val="nil"/>
                <w:right w:val="nil"/>
                <w:between w:val="nil"/>
              </w:pBdr>
              <w:jc w:val="right"/>
              <w:rPr>
                <w:b/>
                <w:color w:val="000000"/>
              </w:rPr>
            </w:pPr>
          </w:p>
        </w:tc>
        <w:tc>
          <w:tcPr>
            <w:tcW w:w="605" w:type="pct"/>
            <w:tcBorders>
              <w:bottom w:val="single" w:sz="12" w:space="0" w:color="000000"/>
            </w:tcBorders>
            <w:shd w:val="clear" w:color="auto" w:fill="auto"/>
            <w:vAlign w:val="bottom"/>
          </w:tcPr>
          <w:p w14:paraId="651D95EF" w14:textId="77777777" w:rsidR="00D83E33" w:rsidRPr="00EA10CF" w:rsidRDefault="00D83E33" w:rsidP="001B330E">
            <w:pPr>
              <w:widowControl w:val="0"/>
              <w:pBdr>
                <w:top w:val="nil"/>
                <w:left w:val="nil"/>
                <w:bottom w:val="nil"/>
                <w:right w:val="nil"/>
                <w:between w:val="nil"/>
              </w:pBdr>
              <w:jc w:val="right"/>
              <w:rPr>
                <w:b/>
                <w:color w:val="000000"/>
              </w:rPr>
            </w:pPr>
          </w:p>
        </w:tc>
        <w:tc>
          <w:tcPr>
            <w:tcW w:w="696" w:type="pct"/>
            <w:tcBorders>
              <w:bottom w:val="single" w:sz="12" w:space="0" w:color="000000"/>
            </w:tcBorders>
            <w:vAlign w:val="bottom"/>
          </w:tcPr>
          <w:p w14:paraId="3B0DD481"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tcBorders>
              <w:bottom w:val="single" w:sz="12" w:space="0" w:color="000000"/>
            </w:tcBorders>
            <w:vAlign w:val="bottom"/>
          </w:tcPr>
          <w:p w14:paraId="1C9E3B2C" w14:textId="77777777" w:rsidR="00D83E33" w:rsidRPr="00EA10CF" w:rsidRDefault="00D83E33" w:rsidP="001B330E">
            <w:pPr>
              <w:widowControl w:val="0"/>
              <w:pBdr>
                <w:top w:val="nil"/>
                <w:left w:val="nil"/>
                <w:bottom w:val="nil"/>
                <w:right w:val="nil"/>
                <w:between w:val="nil"/>
              </w:pBdr>
              <w:jc w:val="right"/>
              <w:rPr>
                <w:b/>
                <w:color w:val="000000"/>
              </w:rPr>
            </w:pPr>
          </w:p>
        </w:tc>
        <w:tc>
          <w:tcPr>
            <w:tcW w:w="602" w:type="pct"/>
            <w:tcBorders>
              <w:bottom w:val="single" w:sz="12" w:space="0" w:color="000000"/>
            </w:tcBorders>
            <w:vAlign w:val="bottom"/>
          </w:tcPr>
          <w:p w14:paraId="7D50C672" w14:textId="77777777" w:rsidR="00D83E33" w:rsidRPr="00EA10CF" w:rsidRDefault="00D83E33" w:rsidP="001B330E">
            <w:pPr>
              <w:widowControl w:val="0"/>
              <w:pBdr>
                <w:top w:val="nil"/>
                <w:left w:val="nil"/>
                <w:bottom w:val="nil"/>
                <w:right w:val="nil"/>
                <w:between w:val="nil"/>
              </w:pBdr>
              <w:jc w:val="right"/>
              <w:rPr>
                <w:b/>
                <w:color w:val="000000"/>
              </w:rPr>
            </w:pPr>
          </w:p>
        </w:tc>
        <w:tc>
          <w:tcPr>
            <w:tcW w:w="600" w:type="pct"/>
            <w:tcBorders>
              <w:bottom w:val="single" w:sz="12" w:space="0" w:color="000000"/>
            </w:tcBorders>
            <w:vAlign w:val="bottom"/>
          </w:tcPr>
          <w:p w14:paraId="1ED9FDD9" w14:textId="77777777" w:rsidR="00D83E33" w:rsidRPr="00EA10CF" w:rsidRDefault="00D83E33" w:rsidP="001B330E">
            <w:pPr>
              <w:widowControl w:val="0"/>
              <w:pBdr>
                <w:top w:val="nil"/>
                <w:left w:val="nil"/>
                <w:bottom w:val="nil"/>
                <w:right w:val="nil"/>
                <w:between w:val="nil"/>
              </w:pBdr>
              <w:jc w:val="right"/>
              <w:rPr>
                <w:b/>
                <w:color w:val="000000"/>
              </w:rPr>
            </w:pPr>
          </w:p>
        </w:tc>
      </w:tr>
    </w:tbl>
    <w:p w14:paraId="61BCE538" w14:textId="0E4F8024" w:rsidR="00D83E33" w:rsidRDefault="00BC4072" w:rsidP="001B330E">
      <w:pPr>
        <w:pStyle w:val="Continued"/>
      </w:pPr>
      <w:r>
        <w:lastRenderedPageBreak/>
        <w:t>49</w:t>
      </w:r>
      <w:r>
        <w:tab/>
        <w:t>Fair Value Disclosures (Continued)</w:t>
      </w:r>
    </w:p>
    <w:p w14:paraId="26B27C99"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above tables disclose sensitivity to valuation inputs for financial assets and financial liabilities, if changing one or more of the unobservable inputs to reflect reasonably possible alternative assumptions would change fair value significantly. For this purpose, significance was judged with respect to profit or loss, and total assets or total liabilities, or, when changes in fair value are recognised in other comprehensive income, total equity.</w:t>
      </w:r>
    </w:p>
    <w:p w14:paraId="2862B899" w14:textId="3A8A4FC0"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There were no changes in valuation technique for level 3 recurring fair value measurements during the year ended 31</w:t>
      </w:r>
      <w:r w:rsidR="00181687">
        <w:rPr>
          <w:color w:val="000000"/>
          <w:sz w:val="20"/>
          <w:szCs w:val="20"/>
        </w:rPr>
        <w:t> December </w:t>
      </w:r>
      <w:r w:rsidR="00541EBC">
        <w:rPr>
          <w:color w:val="000000"/>
          <w:sz w:val="20"/>
          <w:szCs w:val="20"/>
        </w:rPr>
        <w:t>2024</w:t>
      </w:r>
      <w:r>
        <w:rPr>
          <w:color w:val="000000"/>
          <w:sz w:val="20"/>
          <w:szCs w:val="20"/>
        </w:rPr>
        <w:t xml:space="preserve"> (</w:t>
      </w:r>
      <w:r w:rsidR="00541EBC">
        <w:rPr>
          <w:color w:val="000000"/>
          <w:sz w:val="20"/>
          <w:szCs w:val="20"/>
        </w:rPr>
        <w:t>2023</w:t>
      </w:r>
      <w:r>
        <w:rPr>
          <w:color w:val="000000"/>
          <w:sz w:val="20"/>
          <w:szCs w:val="20"/>
        </w:rPr>
        <w:t xml:space="preserve">: none). </w:t>
      </w:r>
      <w:r>
        <w:rPr>
          <w:i/>
          <w:color w:val="FF0000"/>
          <w:sz w:val="20"/>
          <w:szCs w:val="20"/>
        </w:rPr>
        <w:t xml:space="preserve">[Disclose nature and reason for change in valuation technique, disclose inputs used in prior valuation technique.] </w:t>
      </w:r>
      <w:r>
        <w:rPr>
          <w:color w:val="000000"/>
          <w:sz w:val="20"/>
          <w:szCs w:val="20"/>
        </w:rPr>
        <w:t xml:space="preserve">Investment property represents industrial land and buildings that the Group valued using its expectation to convert them into a residential complex. </w:t>
      </w:r>
      <w:r>
        <w:rPr>
          <w:i/>
          <w:color w:val="FF0000"/>
          <w:sz w:val="20"/>
          <w:szCs w:val="20"/>
        </w:rPr>
        <w:t>[Disclose if highest and best use differs from current use.]</w:t>
      </w:r>
    </w:p>
    <w:p w14:paraId="6E509634" w14:textId="01C1AC53"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Group has margin deposits with its counterparties, which serves as collateral for its outstanding derivative liabilities. In addition, the Group’s liabilities to its customers are subject to state deposit insurance scheme as described in Note 1. The fair value of these liabilities reflects these credit enhancements. </w:t>
      </w:r>
    </w:p>
    <w:p w14:paraId="249F33D1" w14:textId="5D8CCC24"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sensitivity of fair value measurement disclosed in the above table shows the direction that an increase or decrease in the respective input variables would have on the valuation result. For equity securities, increases in the EBITDA multiple would each lead to an increase in estimated value. However, an increase in the discount for lack of marketability would lead to a decrease in value. For debt securities, increases in discount rates and PD would both lead to a decrease in estimated value. No interrelationships between unobservable inputs used in the Group’s valuation of its Level 3 equity investments have been identified. However, for Level 3 debt securities, a change in the assumption used for the PD is expected to be accompanied by a directionally similar change in the discount rate. A reconciliation of movements in Level 3 of the fair value hierarchy by class of instruments for the year ended 31</w:t>
      </w:r>
      <w:r w:rsidR="00181687">
        <w:rPr>
          <w:color w:val="000000"/>
          <w:sz w:val="20"/>
          <w:szCs w:val="20"/>
        </w:rPr>
        <w:t> December </w:t>
      </w:r>
      <w:r w:rsidR="00541EBC">
        <w:rPr>
          <w:color w:val="000000"/>
          <w:sz w:val="20"/>
          <w:szCs w:val="20"/>
        </w:rPr>
        <w:t>2024</w:t>
      </w:r>
      <w:r>
        <w:rPr>
          <w:color w:val="000000"/>
          <w:sz w:val="20"/>
          <w:szCs w:val="20"/>
        </w:rPr>
        <w:t xml:space="preserve"> is as follows: </w:t>
      </w:r>
    </w:p>
    <w:tbl>
      <w:tblPr>
        <w:tblStyle w:val="affffffffffffffffd"/>
        <w:tblW w:w="5000" w:type="pct"/>
        <w:tblLayout w:type="fixed"/>
        <w:tblLook w:val="0000" w:firstRow="0" w:lastRow="0" w:firstColumn="0" w:lastColumn="0" w:noHBand="0" w:noVBand="0"/>
      </w:tblPr>
      <w:tblGrid>
        <w:gridCol w:w="3269"/>
        <w:gridCol w:w="1014"/>
        <w:gridCol w:w="1016"/>
        <w:gridCol w:w="1014"/>
        <w:gridCol w:w="1016"/>
        <w:gridCol w:w="1014"/>
        <w:gridCol w:w="1012"/>
      </w:tblGrid>
      <w:tr w:rsidR="00D83E33" w:rsidRPr="00EA10CF" w14:paraId="019DC2A2" w14:textId="77777777" w:rsidTr="001B330E">
        <w:trPr>
          <w:trHeight w:val="23"/>
        </w:trPr>
        <w:tc>
          <w:tcPr>
            <w:tcW w:w="1747" w:type="pct"/>
            <w:vAlign w:val="bottom"/>
          </w:tcPr>
          <w:p w14:paraId="0A939433"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1085" w:type="pct"/>
            <w:gridSpan w:val="2"/>
            <w:tcBorders>
              <w:bottom w:val="single" w:sz="4" w:space="0" w:color="000000"/>
            </w:tcBorders>
          </w:tcPr>
          <w:p w14:paraId="5AA90FA3"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Securities at FVTPL</w:t>
            </w:r>
          </w:p>
        </w:tc>
        <w:tc>
          <w:tcPr>
            <w:tcW w:w="1085" w:type="pct"/>
            <w:gridSpan w:val="2"/>
            <w:tcBorders>
              <w:bottom w:val="single" w:sz="4" w:space="0" w:color="000000"/>
            </w:tcBorders>
          </w:tcPr>
          <w:p w14:paraId="22C9D960"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Securities at FVOCI</w:t>
            </w:r>
          </w:p>
        </w:tc>
        <w:tc>
          <w:tcPr>
            <w:tcW w:w="542" w:type="pct"/>
            <w:vMerge w:val="restart"/>
          </w:tcPr>
          <w:p w14:paraId="34A506B3"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Financial derivative assets </w:t>
            </w:r>
          </w:p>
        </w:tc>
        <w:tc>
          <w:tcPr>
            <w:tcW w:w="541" w:type="pct"/>
            <w:vMerge w:val="restart"/>
          </w:tcPr>
          <w:p w14:paraId="39FEDE2A" w14:textId="7DFCA9AA"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Financial derivative liabilities</w:t>
            </w:r>
            <w:r w:rsidRPr="00EA10CF">
              <w:rPr>
                <w:b/>
                <w:color w:val="0000FF"/>
              </w:rPr>
              <w:t xml:space="preserve"> </w:t>
            </w:r>
          </w:p>
        </w:tc>
      </w:tr>
      <w:tr w:rsidR="00D83E33" w:rsidRPr="00EA10CF" w14:paraId="6A96892F" w14:textId="77777777" w:rsidTr="001B330E">
        <w:trPr>
          <w:trHeight w:val="23"/>
        </w:trPr>
        <w:tc>
          <w:tcPr>
            <w:tcW w:w="1747" w:type="pct"/>
            <w:tcBorders>
              <w:bottom w:val="single" w:sz="4" w:space="0" w:color="000000"/>
            </w:tcBorders>
            <w:vAlign w:val="bottom"/>
          </w:tcPr>
          <w:p w14:paraId="1C407E5F" w14:textId="7AE61620" w:rsidR="00D83E33" w:rsidRPr="00EA10CF"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542" w:type="pct"/>
            <w:tcBorders>
              <w:top w:val="single" w:sz="4" w:space="0" w:color="000000"/>
              <w:bottom w:val="single" w:sz="4" w:space="0" w:color="000000"/>
            </w:tcBorders>
          </w:tcPr>
          <w:p w14:paraId="713CBAD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Corporate shares</w:t>
            </w:r>
          </w:p>
        </w:tc>
        <w:tc>
          <w:tcPr>
            <w:tcW w:w="543" w:type="pct"/>
            <w:tcBorders>
              <w:top w:val="single" w:sz="4" w:space="0" w:color="000000"/>
              <w:bottom w:val="single" w:sz="4" w:space="0" w:color="000000"/>
            </w:tcBorders>
          </w:tcPr>
          <w:p w14:paraId="41D95FAD"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Promi-ssory notes</w:t>
            </w:r>
          </w:p>
        </w:tc>
        <w:tc>
          <w:tcPr>
            <w:tcW w:w="542" w:type="pct"/>
            <w:tcBorders>
              <w:top w:val="single" w:sz="4" w:space="0" w:color="000000"/>
              <w:bottom w:val="single" w:sz="4" w:space="0" w:color="000000"/>
            </w:tcBorders>
          </w:tcPr>
          <w:p w14:paraId="4B3858AC"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Promi-ssory notes</w:t>
            </w:r>
          </w:p>
        </w:tc>
        <w:tc>
          <w:tcPr>
            <w:tcW w:w="543" w:type="pct"/>
            <w:tcBorders>
              <w:top w:val="single" w:sz="4" w:space="0" w:color="000000"/>
              <w:bottom w:val="single" w:sz="4" w:space="0" w:color="000000"/>
            </w:tcBorders>
          </w:tcPr>
          <w:p w14:paraId="4BAE9CBE"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Corporate shares</w:t>
            </w:r>
          </w:p>
        </w:tc>
        <w:tc>
          <w:tcPr>
            <w:tcW w:w="542" w:type="pct"/>
            <w:vMerge/>
          </w:tcPr>
          <w:p w14:paraId="04C01233" w14:textId="77777777" w:rsidR="00D83E33" w:rsidRPr="00EA10CF" w:rsidRDefault="00D83E33" w:rsidP="001B330E">
            <w:pPr>
              <w:widowControl w:val="0"/>
              <w:pBdr>
                <w:top w:val="nil"/>
                <w:left w:val="nil"/>
                <w:bottom w:val="nil"/>
                <w:right w:val="nil"/>
                <w:between w:val="nil"/>
              </w:pBdr>
              <w:rPr>
                <w:b/>
                <w:color w:val="000000"/>
              </w:rPr>
            </w:pPr>
          </w:p>
        </w:tc>
        <w:tc>
          <w:tcPr>
            <w:tcW w:w="541" w:type="pct"/>
            <w:vMerge/>
          </w:tcPr>
          <w:p w14:paraId="5786D497"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5E492DEF" w14:textId="77777777" w:rsidTr="001B330E">
        <w:trPr>
          <w:trHeight w:val="23"/>
        </w:trPr>
        <w:tc>
          <w:tcPr>
            <w:tcW w:w="1747" w:type="pct"/>
            <w:tcBorders>
              <w:top w:val="single" w:sz="4" w:space="0" w:color="000000"/>
            </w:tcBorders>
            <w:vAlign w:val="bottom"/>
          </w:tcPr>
          <w:p w14:paraId="2C19B23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42" w:type="pct"/>
            <w:tcBorders>
              <w:top w:val="single" w:sz="4" w:space="0" w:color="000000"/>
            </w:tcBorders>
            <w:vAlign w:val="bottom"/>
          </w:tcPr>
          <w:p w14:paraId="70D75952" w14:textId="77777777" w:rsidR="00D83E33" w:rsidRPr="00EA10CF" w:rsidRDefault="00D83E33">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108AA178" w14:textId="77777777" w:rsidR="00D83E33" w:rsidRPr="00EA10CF" w:rsidRDefault="00D83E33">
            <w:pPr>
              <w:widowControl w:val="0"/>
              <w:pBdr>
                <w:top w:val="nil"/>
                <w:left w:val="nil"/>
                <w:bottom w:val="nil"/>
                <w:right w:val="nil"/>
                <w:between w:val="nil"/>
              </w:pBdr>
              <w:jc w:val="right"/>
              <w:rPr>
                <w:color w:val="000000"/>
              </w:rPr>
            </w:pPr>
          </w:p>
        </w:tc>
        <w:tc>
          <w:tcPr>
            <w:tcW w:w="542" w:type="pct"/>
            <w:tcBorders>
              <w:top w:val="single" w:sz="4" w:space="0" w:color="000000"/>
            </w:tcBorders>
            <w:vAlign w:val="bottom"/>
          </w:tcPr>
          <w:p w14:paraId="316123AE" w14:textId="77777777" w:rsidR="00D83E33" w:rsidRPr="00EA10CF" w:rsidRDefault="00D83E33">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76A28EB1" w14:textId="77777777" w:rsidR="00D83E33" w:rsidRPr="00EA10CF" w:rsidRDefault="00D83E33">
            <w:pPr>
              <w:widowControl w:val="0"/>
              <w:pBdr>
                <w:top w:val="nil"/>
                <w:left w:val="nil"/>
                <w:bottom w:val="nil"/>
                <w:right w:val="nil"/>
                <w:between w:val="nil"/>
              </w:pBdr>
              <w:jc w:val="right"/>
              <w:rPr>
                <w:color w:val="000000"/>
              </w:rPr>
            </w:pPr>
          </w:p>
        </w:tc>
        <w:tc>
          <w:tcPr>
            <w:tcW w:w="542" w:type="pct"/>
            <w:tcBorders>
              <w:top w:val="single" w:sz="4" w:space="0" w:color="000000"/>
            </w:tcBorders>
            <w:vAlign w:val="bottom"/>
          </w:tcPr>
          <w:p w14:paraId="55491D40" w14:textId="77777777" w:rsidR="00D83E33" w:rsidRPr="00EA10CF" w:rsidRDefault="00D83E33">
            <w:pPr>
              <w:widowControl w:val="0"/>
              <w:pBdr>
                <w:top w:val="nil"/>
                <w:left w:val="nil"/>
                <w:bottom w:val="nil"/>
                <w:right w:val="nil"/>
                <w:between w:val="nil"/>
              </w:pBdr>
              <w:jc w:val="right"/>
              <w:rPr>
                <w:color w:val="000000"/>
              </w:rPr>
            </w:pPr>
          </w:p>
        </w:tc>
        <w:tc>
          <w:tcPr>
            <w:tcW w:w="541" w:type="pct"/>
            <w:tcBorders>
              <w:top w:val="single" w:sz="4" w:space="0" w:color="000000"/>
            </w:tcBorders>
            <w:vAlign w:val="bottom"/>
          </w:tcPr>
          <w:p w14:paraId="70F41150"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D23B549" w14:textId="77777777" w:rsidTr="001B330E">
        <w:trPr>
          <w:trHeight w:val="23"/>
        </w:trPr>
        <w:tc>
          <w:tcPr>
            <w:tcW w:w="1747" w:type="pct"/>
            <w:vAlign w:val="bottom"/>
          </w:tcPr>
          <w:p w14:paraId="38741E0A" w14:textId="7D806268"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Fair value at 1</w:t>
            </w:r>
            <w:r w:rsidR="00181687">
              <w:rPr>
                <w:b/>
                <w:color w:val="000000"/>
              </w:rPr>
              <w:t> </w:t>
            </w:r>
            <w:r w:rsidR="003223E9">
              <w:rPr>
                <w:b/>
                <w:color w:val="000000"/>
              </w:rPr>
              <w:t>January</w:t>
            </w:r>
            <w:r w:rsidR="00181687">
              <w:rPr>
                <w:b/>
                <w:color w:val="000000"/>
              </w:rPr>
              <w:t> </w:t>
            </w:r>
            <w:r w:rsidR="00541EBC">
              <w:rPr>
                <w:b/>
                <w:color w:val="000000"/>
              </w:rPr>
              <w:t>2024</w:t>
            </w:r>
          </w:p>
        </w:tc>
        <w:tc>
          <w:tcPr>
            <w:tcW w:w="542" w:type="pct"/>
            <w:vAlign w:val="bottom"/>
          </w:tcPr>
          <w:p w14:paraId="59B134E8" w14:textId="77777777" w:rsidR="00D83E33" w:rsidRPr="00EA10CF" w:rsidRDefault="00D83E33">
            <w:pPr>
              <w:widowControl w:val="0"/>
              <w:pBdr>
                <w:top w:val="nil"/>
                <w:left w:val="nil"/>
                <w:bottom w:val="nil"/>
                <w:right w:val="nil"/>
                <w:between w:val="nil"/>
              </w:pBdr>
              <w:jc w:val="right"/>
              <w:rPr>
                <w:b/>
                <w:smallCaps/>
                <w:color w:val="000000"/>
              </w:rPr>
            </w:pPr>
          </w:p>
        </w:tc>
        <w:tc>
          <w:tcPr>
            <w:tcW w:w="543" w:type="pct"/>
            <w:vAlign w:val="bottom"/>
          </w:tcPr>
          <w:p w14:paraId="7E4788DC" w14:textId="77777777" w:rsidR="00D83E33" w:rsidRPr="00EA10CF" w:rsidRDefault="00D83E33">
            <w:pPr>
              <w:widowControl w:val="0"/>
              <w:pBdr>
                <w:top w:val="nil"/>
                <w:left w:val="nil"/>
                <w:bottom w:val="nil"/>
                <w:right w:val="nil"/>
                <w:between w:val="nil"/>
              </w:pBdr>
              <w:jc w:val="right"/>
              <w:rPr>
                <w:b/>
                <w:smallCaps/>
                <w:color w:val="000000"/>
              </w:rPr>
            </w:pPr>
          </w:p>
        </w:tc>
        <w:tc>
          <w:tcPr>
            <w:tcW w:w="542" w:type="pct"/>
            <w:vAlign w:val="bottom"/>
          </w:tcPr>
          <w:p w14:paraId="195A654C" w14:textId="77777777" w:rsidR="00D83E33" w:rsidRPr="00EA10CF" w:rsidRDefault="00D83E33">
            <w:pPr>
              <w:widowControl w:val="0"/>
              <w:pBdr>
                <w:top w:val="nil"/>
                <w:left w:val="nil"/>
                <w:bottom w:val="nil"/>
                <w:right w:val="nil"/>
                <w:between w:val="nil"/>
              </w:pBdr>
              <w:jc w:val="right"/>
              <w:rPr>
                <w:b/>
                <w:smallCaps/>
                <w:color w:val="000000"/>
              </w:rPr>
            </w:pPr>
          </w:p>
        </w:tc>
        <w:tc>
          <w:tcPr>
            <w:tcW w:w="543" w:type="pct"/>
            <w:vAlign w:val="bottom"/>
          </w:tcPr>
          <w:p w14:paraId="3BECD460"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079C3075" w14:textId="77777777" w:rsidR="00D83E33" w:rsidRPr="00EA10CF" w:rsidRDefault="00D83E33">
            <w:pPr>
              <w:widowControl w:val="0"/>
              <w:pBdr>
                <w:top w:val="nil"/>
                <w:left w:val="nil"/>
                <w:bottom w:val="nil"/>
                <w:right w:val="nil"/>
                <w:between w:val="nil"/>
              </w:pBdr>
              <w:jc w:val="right"/>
              <w:rPr>
                <w:color w:val="000000"/>
              </w:rPr>
            </w:pPr>
          </w:p>
        </w:tc>
        <w:tc>
          <w:tcPr>
            <w:tcW w:w="541" w:type="pct"/>
            <w:vAlign w:val="bottom"/>
          </w:tcPr>
          <w:p w14:paraId="0DFBBA3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E8F8274" w14:textId="77777777" w:rsidTr="001B330E">
        <w:trPr>
          <w:trHeight w:val="23"/>
        </w:trPr>
        <w:tc>
          <w:tcPr>
            <w:tcW w:w="1747" w:type="pct"/>
            <w:vAlign w:val="bottom"/>
          </w:tcPr>
          <w:p w14:paraId="2DEE7B2D"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or losses recognised in profit or loss for the year</w:t>
            </w:r>
          </w:p>
        </w:tc>
        <w:tc>
          <w:tcPr>
            <w:tcW w:w="542" w:type="pct"/>
            <w:vAlign w:val="bottom"/>
          </w:tcPr>
          <w:p w14:paraId="30F83608"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3D3D8BBA"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7D262899"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3BF0611B"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0FCA1577" w14:textId="77777777" w:rsidR="00D83E33" w:rsidRPr="00EA10CF" w:rsidRDefault="00D83E33">
            <w:pPr>
              <w:widowControl w:val="0"/>
              <w:pBdr>
                <w:top w:val="nil"/>
                <w:left w:val="nil"/>
                <w:bottom w:val="nil"/>
                <w:right w:val="nil"/>
                <w:between w:val="nil"/>
              </w:pBdr>
              <w:jc w:val="right"/>
              <w:rPr>
                <w:color w:val="000000"/>
              </w:rPr>
            </w:pPr>
          </w:p>
        </w:tc>
        <w:tc>
          <w:tcPr>
            <w:tcW w:w="541" w:type="pct"/>
            <w:vAlign w:val="bottom"/>
          </w:tcPr>
          <w:p w14:paraId="56A622BD"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74DD0DD" w14:textId="77777777" w:rsidTr="001B330E">
        <w:trPr>
          <w:trHeight w:val="23"/>
        </w:trPr>
        <w:tc>
          <w:tcPr>
            <w:tcW w:w="1747" w:type="pct"/>
            <w:vAlign w:val="bottom"/>
          </w:tcPr>
          <w:p w14:paraId="228C7528"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or losses recognised in other comprehensive income</w:t>
            </w:r>
          </w:p>
        </w:tc>
        <w:tc>
          <w:tcPr>
            <w:tcW w:w="542" w:type="pct"/>
            <w:vAlign w:val="bottom"/>
          </w:tcPr>
          <w:p w14:paraId="01775148"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5975F126"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1CB12F47"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546F6805"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50F66E9E" w14:textId="77777777" w:rsidR="00D83E33" w:rsidRPr="00EA10CF" w:rsidRDefault="00D83E33">
            <w:pPr>
              <w:widowControl w:val="0"/>
              <w:pBdr>
                <w:top w:val="nil"/>
                <w:left w:val="nil"/>
                <w:bottom w:val="nil"/>
                <w:right w:val="nil"/>
                <w:between w:val="nil"/>
              </w:pBdr>
              <w:jc w:val="right"/>
              <w:rPr>
                <w:color w:val="000000"/>
              </w:rPr>
            </w:pPr>
          </w:p>
        </w:tc>
        <w:tc>
          <w:tcPr>
            <w:tcW w:w="541" w:type="pct"/>
            <w:vAlign w:val="bottom"/>
          </w:tcPr>
          <w:p w14:paraId="18FE8555"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339B43A1" w14:textId="77777777" w:rsidTr="001B330E">
        <w:trPr>
          <w:trHeight w:val="23"/>
        </w:trPr>
        <w:tc>
          <w:tcPr>
            <w:tcW w:w="1747" w:type="pct"/>
            <w:vAlign w:val="bottom"/>
          </w:tcPr>
          <w:p w14:paraId="7F5296F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Purchases</w:t>
            </w:r>
          </w:p>
        </w:tc>
        <w:tc>
          <w:tcPr>
            <w:tcW w:w="542" w:type="pct"/>
            <w:vAlign w:val="bottom"/>
          </w:tcPr>
          <w:p w14:paraId="1E762BC5"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3679D44C"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7AD23622"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6D739DFA"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078061C1" w14:textId="77777777" w:rsidR="00D83E33" w:rsidRPr="00EA10CF" w:rsidRDefault="00D83E33">
            <w:pPr>
              <w:widowControl w:val="0"/>
              <w:pBdr>
                <w:top w:val="nil"/>
                <w:left w:val="nil"/>
                <w:bottom w:val="nil"/>
                <w:right w:val="nil"/>
                <w:between w:val="nil"/>
              </w:pBdr>
              <w:jc w:val="right"/>
              <w:rPr>
                <w:color w:val="000000"/>
              </w:rPr>
            </w:pPr>
          </w:p>
        </w:tc>
        <w:tc>
          <w:tcPr>
            <w:tcW w:w="541" w:type="pct"/>
            <w:vAlign w:val="bottom"/>
          </w:tcPr>
          <w:p w14:paraId="6332EC2C"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04D975B3" w14:textId="77777777" w:rsidTr="001B330E">
        <w:trPr>
          <w:trHeight w:val="23"/>
        </w:trPr>
        <w:tc>
          <w:tcPr>
            <w:tcW w:w="1747" w:type="pct"/>
            <w:vAlign w:val="bottom"/>
          </w:tcPr>
          <w:p w14:paraId="667E43B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Issues or origination </w:t>
            </w:r>
          </w:p>
        </w:tc>
        <w:tc>
          <w:tcPr>
            <w:tcW w:w="542" w:type="pct"/>
            <w:vAlign w:val="bottom"/>
          </w:tcPr>
          <w:p w14:paraId="14F7ACBA"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7CAA23B9"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26296D57"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1E546345"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26711E8B" w14:textId="77777777" w:rsidR="00D83E33" w:rsidRPr="00EA10CF" w:rsidRDefault="00D83E33">
            <w:pPr>
              <w:widowControl w:val="0"/>
              <w:pBdr>
                <w:top w:val="nil"/>
                <w:left w:val="nil"/>
                <w:bottom w:val="nil"/>
                <w:right w:val="nil"/>
                <w:between w:val="nil"/>
              </w:pBdr>
              <w:jc w:val="right"/>
              <w:rPr>
                <w:color w:val="000000"/>
              </w:rPr>
            </w:pPr>
          </w:p>
        </w:tc>
        <w:tc>
          <w:tcPr>
            <w:tcW w:w="541" w:type="pct"/>
            <w:vAlign w:val="bottom"/>
          </w:tcPr>
          <w:p w14:paraId="5CAD711E"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763C4297" w14:textId="77777777" w:rsidTr="001B330E">
        <w:trPr>
          <w:trHeight w:val="23"/>
        </w:trPr>
        <w:tc>
          <w:tcPr>
            <w:tcW w:w="1747" w:type="pct"/>
            <w:vAlign w:val="bottom"/>
          </w:tcPr>
          <w:p w14:paraId="258519C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Sales</w:t>
            </w:r>
          </w:p>
        </w:tc>
        <w:tc>
          <w:tcPr>
            <w:tcW w:w="542" w:type="pct"/>
            <w:vAlign w:val="bottom"/>
          </w:tcPr>
          <w:p w14:paraId="7E3B11FA"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3B2D9B7B"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5FB29AAB"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61E47BEB"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1572D27F" w14:textId="77777777" w:rsidR="00D83E33" w:rsidRPr="00EA10CF" w:rsidRDefault="00D83E33">
            <w:pPr>
              <w:widowControl w:val="0"/>
              <w:pBdr>
                <w:top w:val="nil"/>
                <w:left w:val="nil"/>
                <w:bottom w:val="nil"/>
                <w:right w:val="nil"/>
                <w:between w:val="nil"/>
              </w:pBdr>
              <w:jc w:val="right"/>
              <w:rPr>
                <w:color w:val="000000"/>
              </w:rPr>
            </w:pPr>
          </w:p>
        </w:tc>
        <w:tc>
          <w:tcPr>
            <w:tcW w:w="541" w:type="pct"/>
            <w:vAlign w:val="bottom"/>
          </w:tcPr>
          <w:p w14:paraId="710209BB"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686D5D04" w14:textId="77777777" w:rsidTr="001B330E">
        <w:trPr>
          <w:trHeight w:val="23"/>
        </w:trPr>
        <w:tc>
          <w:tcPr>
            <w:tcW w:w="1747" w:type="pct"/>
            <w:vAlign w:val="bottom"/>
          </w:tcPr>
          <w:p w14:paraId="00D39E35"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color w:val="000000"/>
              </w:rPr>
              <w:t>Settlements</w:t>
            </w:r>
          </w:p>
        </w:tc>
        <w:tc>
          <w:tcPr>
            <w:tcW w:w="542" w:type="pct"/>
            <w:vAlign w:val="bottom"/>
          </w:tcPr>
          <w:p w14:paraId="51691AC3"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48349DEE"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259B98C4"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5D4060DB"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09D0A09B" w14:textId="77777777" w:rsidR="00D83E33" w:rsidRPr="00EA10CF" w:rsidRDefault="00D83E33">
            <w:pPr>
              <w:widowControl w:val="0"/>
              <w:pBdr>
                <w:top w:val="nil"/>
                <w:left w:val="nil"/>
                <w:bottom w:val="nil"/>
                <w:right w:val="nil"/>
                <w:between w:val="nil"/>
              </w:pBdr>
              <w:jc w:val="right"/>
              <w:rPr>
                <w:color w:val="000000"/>
              </w:rPr>
            </w:pPr>
          </w:p>
        </w:tc>
        <w:tc>
          <w:tcPr>
            <w:tcW w:w="541" w:type="pct"/>
            <w:vAlign w:val="bottom"/>
          </w:tcPr>
          <w:p w14:paraId="23AE1521"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BD1AE69" w14:textId="77777777" w:rsidTr="001B330E">
        <w:trPr>
          <w:trHeight w:val="23"/>
        </w:trPr>
        <w:tc>
          <w:tcPr>
            <w:tcW w:w="1747" w:type="pct"/>
            <w:vAlign w:val="bottom"/>
          </w:tcPr>
          <w:p w14:paraId="46964DF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Transfers out of level 3</w:t>
            </w:r>
          </w:p>
        </w:tc>
        <w:tc>
          <w:tcPr>
            <w:tcW w:w="542" w:type="pct"/>
            <w:vAlign w:val="bottom"/>
          </w:tcPr>
          <w:p w14:paraId="0F3A3C66"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482BE0F5"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5661F0EB"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06644004"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4EF8885C" w14:textId="77777777" w:rsidR="00D83E33" w:rsidRPr="00EA10CF" w:rsidRDefault="00D83E33">
            <w:pPr>
              <w:widowControl w:val="0"/>
              <w:pBdr>
                <w:top w:val="nil"/>
                <w:left w:val="nil"/>
                <w:bottom w:val="nil"/>
                <w:right w:val="nil"/>
                <w:between w:val="nil"/>
              </w:pBdr>
              <w:jc w:val="right"/>
              <w:rPr>
                <w:color w:val="000000"/>
              </w:rPr>
            </w:pPr>
          </w:p>
        </w:tc>
        <w:tc>
          <w:tcPr>
            <w:tcW w:w="541" w:type="pct"/>
            <w:vAlign w:val="bottom"/>
          </w:tcPr>
          <w:p w14:paraId="2F940006"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266ECD15" w14:textId="77777777" w:rsidTr="001B330E">
        <w:trPr>
          <w:trHeight w:val="23"/>
        </w:trPr>
        <w:tc>
          <w:tcPr>
            <w:tcW w:w="1747" w:type="pct"/>
            <w:vAlign w:val="bottom"/>
          </w:tcPr>
          <w:p w14:paraId="161CCFE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Transfers into level 3</w:t>
            </w:r>
          </w:p>
        </w:tc>
        <w:tc>
          <w:tcPr>
            <w:tcW w:w="542" w:type="pct"/>
            <w:vAlign w:val="bottom"/>
          </w:tcPr>
          <w:p w14:paraId="6A5FCD7E"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785B440B"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604E6210" w14:textId="77777777" w:rsidR="00D83E33" w:rsidRPr="00EA10CF" w:rsidRDefault="00D83E33">
            <w:pPr>
              <w:widowControl w:val="0"/>
              <w:pBdr>
                <w:top w:val="nil"/>
                <w:left w:val="nil"/>
                <w:bottom w:val="nil"/>
                <w:right w:val="nil"/>
                <w:between w:val="nil"/>
              </w:pBdr>
              <w:jc w:val="right"/>
              <w:rPr>
                <w:color w:val="000000"/>
              </w:rPr>
            </w:pPr>
          </w:p>
        </w:tc>
        <w:tc>
          <w:tcPr>
            <w:tcW w:w="543" w:type="pct"/>
            <w:vAlign w:val="bottom"/>
          </w:tcPr>
          <w:p w14:paraId="3A14FA9F" w14:textId="77777777" w:rsidR="00D83E33" w:rsidRPr="00EA10CF" w:rsidRDefault="00D83E33">
            <w:pPr>
              <w:widowControl w:val="0"/>
              <w:pBdr>
                <w:top w:val="nil"/>
                <w:left w:val="nil"/>
                <w:bottom w:val="nil"/>
                <w:right w:val="nil"/>
                <w:between w:val="nil"/>
              </w:pBdr>
              <w:jc w:val="right"/>
              <w:rPr>
                <w:color w:val="000000"/>
              </w:rPr>
            </w:pPr>
          </w:p>
        </w:tc>
        <w:tc>
          <w:tcPr>
            <w:tcW w:w="542" w:type="pct"/>
            <w:vAlign w:val="bottom"/>
          </w:tcPr>
          <w:p w14:paraId="51DF7470" w14:textId="77777777" w:rsidR="00D83E33" w:rsidRPr="00EA10CF" w:rsidRDefault="00D83E33">
            <w:pPr>
              <w:widowControl w:val="0"/>
              <w:pBdr>
                <w:top w:val="nil"/>
                <w:left w:val="nil"/>
                <w:bottom w:val="nil"/>
                <w:right w:val="nil"/>
                <w:between w:val="nil"/>
              </w:pBdr>
              <w:jc w:val="right"/>
              <w:rPr>
                <w:color w:val="000000"/>
              </w:rPr>
            </w:pPr>
          </w:p>
        </w:tc>
        <w:tc>
          <w:tcPr>
            <w:tcW w:w="541" w:type="pct"/>
            <w:vAlign w:val="bottom"/>
          </w:tcPr>
          <w:p w14:paraId="0482BBE4"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1FFB0116" w14:textId="77777777" w:rsidTr="001B330E">
        <w:trPr>
          <w:trHeight w:val="23"/>
        </w:trPr>
        <w:tc>
          <w:tcPr>
            <w:tcW w:w="1747" w:type="pct"/>
            <w:tcBorders>
              <w:bottom w:val="single" w:sz="4" w:space="0" w:color="000000"/>
            </w:tcBorders>
            <w:vAlign w:val="bottom"/>
          </w:tcPr>
          <w:p w14:paraId="03BE5B6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42" w:type="pct"/>
            <w:tcBorders>
              <w:bottom w:val="single" w:sz="4" w:space="0" w:color="000000"/>
            </w:tcBorders>
            <w:vAlign w:val="bottom"/>
          </w:tcPr>
          <w:p w14:paraId="38C51772" w14:textId="77777777" w:rsidR="00D83E33" w:rsidRPr="00EA10CF"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7C213D83" w14:textId="77777777" w:rsidR="00D83E33" w:rsidRPr="00EA10CF" w:rsidRDefault="00D83E33">
            <w:pPr>
              <w:widowControl w:val="0"/>
              <w:pBdr>
                <w:top w:val="nil"/>
                <w:left w:val="nil"/>
                <w:bottom w:val="nil"/>
                <w:right w:val="nil"/>
                <w:between w:val="nil"/>
              </w:pBdr>
              <w:jc w:val="right"/>
              <w:rPr>
                <w:color w:val="000000"/>
              </w:rPr>
            </w:pPr>
          </w:p>
        </w:tc>
        <w:tc>
          <w:tcPr>
            <w:tcW w:w="542" w:type="pct"/>
            <w:tcBorders>
              <w:bottom w:val="single" w:sz="4" w:space="0" w:color="000000"/>
            </w:tcBorders>
            <w:vAlign w:val="bottom"/>
          </w:tcPr>
          <w:p w14:paraId="2241C746" w14:textId="77777777" w:rsidR="00D83E33" w:rsidRPr="00EA10CF" w:rsidRDefault="00D83E33">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5086857F" w14:textId="77777777" w:rsidR="00D83E33" w:rsidRPr="00EA10CF" w:rsidRDefault="00D83E33">
            <w:pPr>
              <w:widowControl w:val="0"/>
              <w:pBdr>
                <w:top w:val="nil"/>
                <w:left w:val="nil"/>
                <w:bottom w:val="nil"/>
                <w:right w:val="nil"/>
                <w:between w:val="nil"/>
              </w:pBdr>
              <w:jc w:val="right"/>
              <w:rPr>
                <w:color w:val="000000"/>
              </w:rPr>
            </w:pPr>
          </w:p>
        </w:tc>
        <w:tc>
          <w:tcPr>
            <w:tcW w:w="542" w:type="pct"/>
            <w:tcBorders>
              <w:bottom w:val="single" w:sz="4" w:space="0" w:color="000000"/>
            </w:tcBorders>
            <w:vAlign w:val="bottom"/>
          </w:tcPr>
          <w:p w14:paraId="53BC3466" w14:textId="77777777" w:rsidR="00D83E33" w:rsidRPr="00EA10CF" w:rsidRDefault="00D83E33">
            <w:pPr>
              <w:widowControl w:val="0"/>
              <w:pBdr>
                <w:top w:val="nil"/>
                <w:left w:val="nil"/>
                <w:bottom w:val="nil"/>
                <w:right w:val="nil"/>
                <w:between w:val="nil"/>
              </w:pBdr>
              <w:jc w:val="right"/>
              <w:rPr>
                <w:color w:val="000000"/>
              </w:rPr>
            </w:pPr>
          </w:p>
        </w:tc>
        <w:tc>
          <w:tcPr>
            <w:tcW w:w="541" w:type="pct"/>
            <w:tcBorders>
              <w:bottom w:val="single" w:sz="4" w:space="0" w:color="000000"/>
            </w:tcBorders>
            <w:vAlign w:val="bottom"/>
          </w:tcPr>
          <w:p w14:paraId="76331008" w14:textId="77777777" w:rsidR="00D83E33" w:rsidRPr="00EA10CF" w:rsidRDefault="00D83E33">
            <w:pPr>
              <w:widowControl w:val="0"/>
              <w:pBdr>
                <w:top w:val="nil"/>
                <w:left w:val="nil"/>
                <w:bottom w:val="nil"/>
                <w:right w:val="nil"/>
                <w:between w:val="nil"/>
              </w:pBdr>
              <w:jc w:val="right"/>
              <w:rPr>
                <w:color w:val="000000"/>
              </w:rPr>
            </w:pPr>
          </w:p>
        </w:tc>
      </w:tr>
      <w:tr w:rsidR="00D83E33" w:rsidRPr="00EA10CF" w14:paraId="53E479AC" w14:textId="77777777" w:rsidTr="001B330E">
        <w:trPr>
          <w:trHeight w:val="23"/>
        </w:trPr>
        <w:tc>
          <w:tcPr>
            <w:tcW w:w="1747" w:type="pct"/>
            <w:vAlign w:val="bottom"/>
          </w:tcPr>
          <w:p w14:paraId="7B657E5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42" w:type="pct"/>
            <w:vAlign w:val="bottom"/>
          </w:tcPr>
          <w:p w14:paraId="7FAC7ECF"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1789B5D3"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top w:val="single" w:sz="4" w:space="0" w:color="000000"/>
            </w:tcBorders>
            <w:vAlign w:val="bottom"/>
          </w:tcPr>
          <w:p w14:paraId="1911256A" w14:textId="77777777" w:rsidR="00D83E33" w:rsidRPr="00EA10CF" w:rsidRDefault="00D83E33">
            <w:pPr>
              <w:widowControl w:val="0"/>
              <w:pBdr>
                <w:top w:val="nil"/>
                <w:left w:val="nil"/>
                <w:bottom w:val="nil"/>
                <w:right w:val="nil"/>
                <w:between w:val="nil"/>
              </w:pBdr>
              <w:jc w:val="right"/>
              <w:rPr>
                <w:b/>
                <w:color w:val="000000"/>
              </w:rPr>
            </w:pPr>
          </w:p>
        </w:tc>
        <w:tc>
          <w:tcPr>
            <w:tcW w:w="543" w:type="pct"/>
            <w:tcBorders>
              <w:top w:val="single" w:sz="4" w:space="0" w:color="000000"/>
            </w:tcBorders>
            <w:vAlign w:val="bottom"/>
          </w:tcPr>
          <w:p w14:paraId="41D50B1B"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top w:val="single" w:sz="4" w:space="0" w:color="000000"/>
            </w:tcBorders>
            <w:vAlign w:val="bottom"/>
          </w:tcPr>
          <w:p w14:paraId="2517DC1C" w14:textId="77777777" w:rsidR="00D83E33" w:rsidRPr="00EA10CF" w:rsidRDefault="00D83E33">
            <w:pPr>
              <w:widowControl w:val="0"/>
              <w:pBdr>
                <w:top w:val="nil"/>
                <w:left w:val="nil"/>
                <w:bottom w:val="nil"/>
                <w:right w:val="nil"/>
                <w:between w:val="nil"/>
              </w:pBdr>
              <w:jc w:val="right"/>
              <w:rPr>
                <w:b/>
                <w:color w:val="000000"/>
              </w:rPr>
            </w:pPr>
          </w:p>
        </w:tc>
        <w:tc>
          <w:tcPr>
            <w:tcW w:w="541" w:type="pct"/>
            <w:tcBorders>
              <w:top w:val="single" w:sz="4" w:space="0" w:color="000000"/>
            </w:tcBorders>
            <w:vAlign w:val="bottom"/>
          </w:tcPr>
          <w:p w14:paraId="1F63D4B9"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6FD8AF04" w14:textId="77777777" w:rsidTr="001B330E">
        <w:trPr>
          <w:trHeight w:val="23"/>
        </w:trPr>
        <w:tc>
          <w:tcPr>
            <w:tcW w:w="1747" w:type="pct"/>
            <w:vAlign w:val="bottom"/>
          </w:tcPr>
          <w:p w14:paraId="7F1CABB9" w14:textId="414C2E1C" w:rsidR="00D83E33" w:rsidRPr="00EA10CF" w:rsidRDefault="00BC4072" w:rsidP="001B330E">
            <w:pPr>
              <w:widowControl w:val="0"/>
              <w:pBdr>
                <w:top w:val="nil"/>
                <w:left w:val="nil"/>
                <w:bottom w:val="nil"/>
                <w:right w:val="nil"/>
                <w:between w:val="nil"/>
              </w:pBdr>
              <w:ind w:left="113" w:hanging="113"/>
              <w:rPr>
                <w:b/>
                <w:smallCaps/>
                <w:color w:val="000000"/>
              </w:rPr>
            </w:pPr>
            <w:r w:rsidRPr="00EA10CF">
              <w:rPr>
                <w:b/>
                <w:color w:val="000000"/>
              </w:rPr>
              <w:t>Fair value at 31</w:t>
            </w:r>
            <w:r w:rsidR="00181687">
              <w:rPr>
                <w:b/>
                <w:color w:val="000000"/>
              </w:rPr>
              <w:t> December </w:t>
            </w:r>
            <w:r w:rsidR="00541EBC">
              <w:rPr>
                <w:b/>
                <w:color w:val="000000"/>
              </w:rPr>
              <w:t>2024</w:t>
            </w:r>
          </w:p>
        </w:tc>
        <w:tc>
          <w:tcPr>
            <w:tcW w:w="542" w:type="pct"/>
            <w:vAlign w:val="bottom"/>
          </w:tcPr>
          <w:p w14:paraId="09F4DC29" w14:textId="77777777" w:rsidR="00D83E33" w:rsidRPr="00EA10CF" w:rsidRDefault="00D83E33">
            <w:pPr>
              <w:widowControl w:val="0"/>
              <w:pBdr>
                <w:top w:val="nil"/>
                <w:left w:val="nil"/>
                <w:bottom w:val="nil"/>
                <w:right w:val="nil"/>
                <w:between w:val="nil"/>
              </w:pBdr>
              <w:jc w:val="right"/>
              <w:rPr>
                <w:b/>
                <w:smallCaps/>
                <w:color w:val="000000"/>
              </w:rPr>
            </w:pPr>
          </w:p>
        </w:tc>
        <w:tc>
          <w:tcPr>
            <w:tcW w:w="543" w:type="pct"/>
            <w:vAlign w:val="bottom"/>
          </w:tcPr>
          <w:p w14:paraId="11AEBF6E" w14:textId="77777777" w:rsidR="00D83E33" w:rsidRPr="00EA10CF" w:rsidRDefault="00D83E33">
            <w:pPr>
              <w:widowControl w:val="0"/>
              <w:pBdr>
                <w:top w:val="nil"/>
                <w:left w:val="nil"/>
                <w:bottom w:val="nil"/>
                <w:right w:val="nil"/>
                <w:between w:val="nil"/>
              </w:pBdr>
              <w:jc w:val="right"/>
              <w:rPr>
                <w:b/>
                <w:smallCaps/>
                <w:color w:val="000000"/>
              </w:rPr>
            </w:pPr>
          </w:p>
        </w:tc>
        <w:tc>
          <w:tcPr>
            <w:tcW w:w="542" w:type="pct"/>
            <w:vAlign w:val="bottom"/>
          </w:tcPr>
          <w:p w14:paraId="77F28AB7" w14:textId="77777777" w:rsidR="00D83E33" w:rsidRPr="00EA10CF" w:rsidRDefault="00D83E33">
            <w:pPr>
              <w:widowControl w:val="0"/>
              <w:pBdr>
                <w:top w:val="nil"/>
                <w:left w:val="nil"/>
                <w:bottom w:val="nil"/>
                <w:right w:val="nil"/>
                <w:between w:val="nil"/>
              </w:pBdr>
              <w:jc w:val="right"/>
              <w:rPr>
                <w:b/>
                <w:smallCaps/>
                <w:color w:val="000000"/>
              </w:rPr>
            </w:pPr>
          </w:p>
        </w:tc>
        <w:tc>
          <w:tcPr>
            <w:tcW w:w="543" w:type="pct"/>
            <w:vAlign w:val="bottom"/>
          </w:tcPr>
          <w:p w14:paraId="2EC091AE" w14:textId="77777777" w:rsidR="00D83E33" w:rsidRPr="00EA10CF" w:rsidRDefault="00D83E33">
            <w:pPr>
              <w:widowControl w:val="0"/>
              <w:pBdr>
                <w:top w:val="nil"/>
                <w:left w:val="nil"/>
                <w:bottom w:val="nil"/>
                <w:right w:val="nil"/>
                <w:between w:val="nil"/>
              </w:pBdr>
              <w:jc w:val="right"/>
              <w:rPr>
                <w:b/>
                <w:smallCaps/>
                <w:color w:val="000000"/>
              </w:rPr>
            </w:pPr>
          </w:p>
        </w:tc>
        <w:tc>
          <w:tcPr>
            <w:tcW w:w="542" w:type="pct"/>
            <w:vAlign w:val="bottom"/>
          </w:tcPr>
          <w:p w14:paraId="2CA19C26" w14:textId="77777777" w:rsidR="00D83E33" w:rsidRPr="00EA10CF" w:rsidRDefault="00D83E33">
            <w:pPr>
              <w:widowControl w:val="0"/>
              <w:pBdr>
                <w:top w:val="nil"/>
                <w:left w:val="nil"/>
                <w:bottom w:val="nil"/>
                <w:right w:val="nil"/>
                <w:between w:val="nil"/>
              </w:pBdr>
              <w:jc w:val="right"/>
              <w:rPr>
                <w:b/>
                <w:smallCaps/>
                <w:color w:val="000000"/>
              </w:rPr>
            </w:pPr>
          </w:p>
        </w:tc>
        <w:tc>
          <w:tcPr>
            <w:tcW w:w="541" w:type="pct"/>
            <w:vAlign w:val="bottom"/>
          </w:tcPr>
          <w:p w14:paraId="4EF032C6" w14:textId="77777777" w:rsidR="00D83E33" w:rsidRPr="00EA10CF" w:rsidRDefault="00D83E33">
            <w:pPr>
              <w:widowControl w:val="0"/>
              <w:pBdr>
                <w:top w:val="nil"/>
                <w:left w:val="nil"/>
                <w:bottom w:val="nil"/>
                <w:right w:val="nil"/>
                <w:between w:val="nil"/>
              </w:pBdr>
              <w:jc w:val="right"/>
              <w:rPr>
                <w:b/>
                <w:smallCaps/>
                <w:color w:val="000000"/>
              </w:rPr>
            </w:pPr>
          </w:p>
        </w:tc>
      </w:tr>
      <w:tr w:rsidR="00D83E33" w:rsidRPr="00EA10CF" w14:paraId="1C7B8D58" w14:textId="77777777" w:rsidTr="001B330E">
        <w:trPr>
          <w:trHeight w:val="23"/>
        </w:trPr>
        <w:tc>
          <w:tcPr>
            <w:tcW w:w="1747" w:type="pct"/>
            <w:tcBorders>
              <w:bottom w:val="single" w:sz="12" w:space="0" w:color="000000"/>
            </w:tcBorders>
            <w:shd w:val="clear" w:color="auto" w:fill="auto"/>
            <w:vAlign w:val="bottom"/>
          </w:tcPr>
          <w:p w14:paraId="66BF2B88" w14:textId="77777777" w:rsidR="00D83E33" w:rsidRPr="00EA10CF" w:rsidRDefault="00BC4072" w:rsidP="001B330E">
            <w:pPr>
              <w:widowControl w:val="0"/>
              <w:ind w:left="113" w:hanging="113"/>
            </w:pPr>
            <w:r w:rsidRPr="00EA10CF">
              <w:t> </w:t>
            </w:r>
          </w:p>
        </w:tc>
        <w:tc>
          <w:tcPr>
            <w:tcW w:w="542" w:type="pct"/>
            <w:tcBorders>
              <w:bottom w:val="single" w:sz="12" w:space="0" w:color="000000"/>
            </w:tcBorders>
            <w:shd w:val="clear" w:color="auto" w:fill="auto"/>
            <w:vAlign w:val="bottom"/>
          </w:tcPr>
          <w:p w14:paraId="4EF5DCA4" w14:textId="77777777" w:rsidR="00D83E33" w:rsidRPr="00EA10CF" w:rsidRDefault="00D83E33">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491E706B"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bottom w:val="single" w:sz="12" w:space="0" w:color="000000"/>
            </w:tcBorders>
            <w:vAlign w:val="bottom"/>
          </w:tcPr>
          <w:p w14:paraId="2FCBA7D7" w14:textId="77777777" w:rsidR="00D83E33" w:rsidRPr="00EA10CF" w:rsidRDefault="00D83E33">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32F2BD52"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bottom w:val="single" w:sz="12" w:space="0" w:color="000000"/>
            </w:tcBorders>
            <w:vAlign w:val="bottom"/>
          </w:tcPr>
          <w:p w14:paraId="2555C0F1" w14:textId="77777777" w:rsidR="00D83E33" w:rsidRPr="00EA10CF" w:rsidRDefault="00D83E33">
            <w:pPr>
              <w:widowControl w:val="0"/>
              <w:pBdr>
                <w:top w:val="nil"/>
                <w:left w:val="nil"/>
                <w:bottom w:val="nil"/>
                <w:right w:val="nil"/>
                <w:between w:val="nil"/>
              </w:pBdr>
              <w:jc w:val="right"/>
              <w:rPr>
                <w:b/>
                <w:color w:val="000000"/>
              </w:rPr>
            </w:pPr>
          </w:p>
        </w:tc>
        <w:tc>
          <w:tcPr>
            <w:tcW w:w="541" w:type="pct"/>
            <w:tcBorders>
              <w:bottom w:val="single" w:sz="12" w:space="0" w:color="000000"/>
            </w:tcBorders>
            <w:vAlign w:val="bottom"/>
          </w:tcPr>
          <w:p w14:paraId="65D7A25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15ECEEA" w14:textId="77777777" w:rsidTr="001B330E">
        <w:trPr>
          <w:trHeight w:val="23"/>
        </w:trPr>
        <w:tc>
          <w:tcPr>
            <w:tcW w:w="1747" w:type="pct"/>
            <w:shd w:val="clear" w:color="auto" w:fill="auto"/>
            <w:vAlign w:val="bottom"/>
          </w:tcPr>
          <w:p w14:paraId="4AEA231D" w14:textId="77777777" w:rsidR="00D83E33" w:rsidRPr="00EA10CF" w:rsidRDefault="00BC4072" w:rsidP="001B330E">
            <w:pPr>
              <w:widowControl w:val="0"/>
              <w:ind w:left="113" w:hanging="113"/>
            </w:pPr>
            <w:r w:rsidRPr="00EA10CF">
              <w:t> </w:t>
            </w:r>
          </w:p>
        </w:tc>
        <w:tc>
          <w:tcPr>
            <w:tcW w:w="542" w:type="pct"/>
            <w:shd w:val="clear" w:color="auto" w:fill="auto"/>
            <w:vAlign w:val="bottom"/>
          </w:tcPr>
          <w:p w14:paraId="1351E794"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482DDCA7"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2276BBE0"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4012459C"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18054538" w14:textId="77777777" w:rsidR="00D83E33" w:rsidRPr="00EA10CF" w:rsidRDefault="00D83E33">
            <w:pPr>
              <w:widowControl w:val="0"/>
              <w:pBdr>
                <w:top w:val="nil"/>
                <w:left w:val="nil"/>
                <w:bottom w:val="nil"/>
                <w:right w:val="nil"/>
                <w:between w:val="nil"/>
              </w:pBdr>
              <w:jc w:val="right"/>
              <w:rPr>
                <w:b/>
                <w:color w:val="000000"/>
              </w:rPr>
            </w:pPr>
          </w:p>
        </w:tc>
        <w:tc>
          <w:tcPr>
            <w:tcW w:w="541" w:type="pct"/>
            <w:vAlign w:val="bottom"/>
          </w:tcPr>
          <w:p w14:paraId="1D3D3D21"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5B6B680D" w14:textId="77777777" w:rsidTr="001B330E">
        <w:trPr>
          <w:trHeight w:val="23"/>
        </w:trPr>
        <w:tc>
          <w:tcPr>
            <w:tcW w:w="1747" w:type="pct"/>
            <w:shd w:val="clear" w:color="auto" w:fill="auto"/>
            <w:vAlign w:val="bottom"/>
          </w:tcPr>
          <w:p w14:paraId="3D34BC20" w14:textId="2291CB74" w:rsidR="00D83E33" w:rsidRPr="00EA10CF" w:rsidRDefault="00BC4072" w:rsidP="001B330E">
            <w:pPr>
              <w:widowControl w:val="0"/>
              <w:ind w:left="113" w:hanging="113"/>
              <w:rPr>
                <w:b/>
              </w:rPr>
            </w:pPr>
            <w:r w:rsidRPr="00EA10CF">
              <w:rPr>
                <w:b/>
              </w:rPr>
              <w:t>Unrealised revaluation gains less losses recognised in profit or loss for the year for assets held at 31</w:t>
            </w:r>
            <w:r w:rsidR="00181687">
              <w:rPr>
                <w:b/>
              </w:rPr>
              <w:t> December </w:t>
            </w:r>
            <w:r w:rsidR="00541EBC">
              <w:rPr>
                <w:b/>
              </w:rPr>
              <w:t>2024</w:t>
            </w:r>
          </w:p>
        </w:tc>
        <w:tc>
          <w:tcPr>
            <w:tcW w:w="542" w:type="pct"/>
            <w:shd w:val="clear" w:color="auto" w:fill="auto"/>
            <w:vAlign w:val="bottom"/>
          </w:tcPr>
          <w:p w14:paraId="2B21FEA7"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52331D24"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0DF1CB11" w14:textId="77777777" w:rsidR="00D83E33" w:rsidRPr="00EA10CF" w:rsidRDefault="00D83E33">
            <w:pPr>
              <w:widowControl w:val="0"/>
              <w:pBdr>
                <w:top w:val="nil"/>
                <w:left w:val="nil"/>
                <w:bottom w:val="nil"/>
                <w:right w:val="nil"/>
                <w:between w:val="nil"/>
              </w:pBdr>
              <w:jc w:val="right"/>
              <w:rPr>
                <w:b/>
                <w:color w:val="000000"/>
              </w:rPr>
            </w:pPr>
          </w:p>
        </w:tc>
        <w:tc>
          <w:tcPr>
            <w:tcW w:w="543" w:type="pct"/>
            <w:vAlign w:val="bottom"/>
          </w:tcPr>
          <w:p w14:paraId="10080E9D" w14:textId="77777777" w:rsidR="00D83E33" w:rsidRPr="00EA10CF" w:rsidRDefault="00D83E33">
            <w:pPr>
              <w:widowControl w:val="0"/>
              <w:pBdr>
                <w:top w:val="nil"/>
                <w:left w:val="nil"/>
                <w:bottom w:val="nil"/>
                <w:right w:val="nil"/>
                <w:between w:val="nil"/>
              </w:pBdr>
              <w:jc w:val="right"/>
              <w:rPr>
                <w:b/>
                <w:color w:val="000000"/>
              </w:rPr>
            </w:pPr>
          </w:p>
        </w:tc>
        <w:tc>
          <w:tcPr>
            <w:tcW w:w="542" w:type="pct"/>
            <w:vAlign w:val="bottom"/>
          </w:tcPr>
          <w:p w14:paraId="202562CC" w14:textId="77777777" w:rsidR="00D83E33" w:rsidRPr="00EA10CF" w:rsidRDefault="00D83E33">
            <w:pPr>
              <w:widowControl w:val="0"/>
              <w:pBdr>
                <w:top w:val="nil"/>
                <w:left w:val="nil"/>
                <w:bottom w:val="nil"/>
                <w:right w:val="nil"/>
                <w:between w:val="nil"/>
              </w:pBdr>
              <w:jc w:val="right"/>
              <w:rPr>
                <w:b/>
                <w:color w:val="000000"/>
              </w:rPr>
            </w:pPr>
          </w:p>
        </w:tc>
        <w:tc>
          <w:tcPr>
            <w:tcW w:w="541" w:type="pct"/>
            <w:vAlign w:val="bottom"/>
          </w:tcPr>
          <w:p w14:paraId="554BE3B5" w14:textId="77777777" w:rsidR="00D83E33" w:rsidRPr="00EA10CF" w:rsidRDefault="00D83E33">
            <w:pPr>
              <w:widowControl w:val="0"/>
              <w:pBdr>
                <w:top w:val="nil"/>
                <w:left w:val="nil"/>
                <w:bottom w:val="nil"/>
                <w:right w:val="nil"/>
                <w:between w:val="nil"/>
              </w:pBdr>
              <w:jc w:val="right"/>
              <w:rPr>
                <w:b/>
                <w:color w:val="000000"/>
              </w:rPr>
            </w:pPr>
          </w:p>
        </w:tc>
      </w:tr>
      <w:tr w:rsidR="00D83E33" w:rsidRPr="00EA10CF" w14:paraId="47167F11" w14:textId="77777777" w:rsidTr="001B330E">
        <w:trPr>
          <w:trHeight w:val="23"/>
        </w:trPr>
        <w:tc>
          <w:tcPr>
            <w:tcW w:w="1747" w:type="pct"/>
            <w:tcBorders>
              <w:bottom w:val="single" w:sz="12" w:space="0" w:color="000000"/>
            </w:tcBorders>
            <w:shd w:val="clear" w:color="auto" w:fill="auto"/>
            <w:vAlign w:val="bottom"/>
          </w:tcPr>
          <w:p w14:paraId="428397A2" w14:textId="77777777" w:rsidR="00D83E33" w:rsidRPr="00EA10CF" w:rsidRDefault="00BC4072" w:rsidP="001B330E">
            <w:pPr>
              <w:widowControl w:val="0"/>
              <w:ind w:left="113" w:hanging="113"/>
            </w:pPr>
            <w:r w:rsidRPr="00EA10CF">
              <w:t> </w:t>
            </w:r>
          </w:p>
        </w:tc>
        <w:tc>
          <w:tcPr>
            <w:tcW w:w="542" w:type="pct"/>
            <w:tcBorders>
              <w:bottom w:val="single" w:sz="12" w:space="0" w:color="000000"/>
            </w:tcBorders>
            <w:shd w:val="clear" w:color="auto" w:fill="auto"/>
            <w:vAlign w:val="bottom"/>
          </w:tcPr>
          <w:p w14:paraId="4D5D04AE" w14:textId="77777777" w:rsidR="00D83E33" w:rsidRPr="00EA10CF" w:rsidRDefault="00D83E33">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04897775"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bottom w:val="single" w:sz="12" w:space="0" w:color="000000"/>
            </w:tcBorders>
            <w:vAlign w:val="bottom"/>
          </w:tcPr>
          <w:p w14:paraId="28B87ABA" w14:textId="77777777" w:rsidR="00D83E33" w:rsidRPr="00EA10CF" w:rsidRDefault="00D83E33">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48490664" w14:textId="77777777" w:rsidR="00D83E33" w:rsidRPr="00EA10CF" w:rsidRDefault="00D83E33">
            <w:pPr>
              <w:widowControl w:val="0"/>
              <w:pBdr>
                <w:top w:val="nil"/>
                <w:left w:val="nil"/>
                <w:bottom w:val="nil"/>
                <w:right w:val="nil"/>
                <w:between w:val="nil"/>
              </w:pBdr>
              <w:jc w:val="right"/>
              <w:rPr>
                <w:b/>
                <w:color w:val="000000"/>
              </w:rPr>
            </w:pPr>
          </w:p>
        </w:tc>
        <w:tc>
          <w:tcPr>
            <w:tcW w:w="542" w:type="pct"/>
            <w:tcBorders>
              <w:bottom w:val="single" w:sz="12" w:space="0" w:color="000000"/>
            </w:tcBorders>
            <w:vAlign w:val="bottom"/>
          </w:tcPr>
          <w:p w14:paraId="3486F57B" w14:textId="77777777" w:rsidR="00D83E33" w:rsidRPr="00EA10CF" w:rsidRDefault="00D83E33">
            <w:pPr>
              <w:widowControl w:val="0"/>
              <w:pBdr>
                <w:top w:val="nil"/>
                <w:left w:val="nil"/>
                <w:bottom w:val="nil"/>
                <w:right w:val="nil"/>
                <w:between w:val="nil"/>
              </w:pBdr>
              <w:jc w:val="right"/>
              <w:rPr>
                <w:b/>
                <w:color w:val="000000"/>
              </w:rPr>
            </w:pPr>
          </w:p>
        </w:tc>
        <w:tc>
          <w:tcPr>
            <w:tcW w:w="541" w:type="pct"/>
            <w:tcBorders>
              <w:bottom w:val="single" w:sz="12" w:space="0" w:color="000000"/>
            </w:tcBorders>
            <w:vAlign w:val="bottom"/>
          </w:tcPr>
          <w:p w14:paraId="388450A4" w14:textId="77777777" w:rsidR="00D83E33" w:rsidRPr="00EA10CF" w:rsidRDefault="00D83E33">
            <w:pPr>
              <w:widowControl w:val="0"/>
              <w:pBdr>
                <w:top w:val="nil"/>
                <w:left w:val="nil"/>
                <w:bottom w:val="nil"/>
                <w:right w:val="nil"/>
                <w:between w:val="nil"/>
              </w:pBdr>
              <w:jc w:val="right"/>
              <w:rPr>
                <w:b/>
                <w:color w:val="000000"/>
              </w:rPr>
            </w:pPr>
          </w:p>
        </w:tc>
      </w:tr>
    </w:tbl>
    <w:p w14:paraId="64F71E7A" w14:textId="6CE803C3" w:rsidR="00D83E33" w:rsidRDefault="00BC4072" w:rsidP="001B330E">
      <w:pPr>
        <w:pStyle w:val="Continued"/>
      </w:pPr>
      <w:r>
        <w:lastRenderedPageBreak/>
        <w:t>49</w:t>
      </w:r>
      <w:r>
        <w:tab/>
        <w:t>Fair Value Disclosures (Continued)</w:t>
      </w:r>
    </w:p>
    <w:p w14:paraId="77592B26" w14:textId="4E36EE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A reconciliation of movements in Level 3 of the fair value hierarchy by class of instruments for the year ended 31</w:t>
      </w:r>
      <w:r w:rsidR="00181687">
        <w:rPr>
          <w:color w:val="000000"/>
          <w:sz w:val="20"/>
          <w:szCs w:val="20"/>
        </w:rPr>
        <w:t> December </w:t>
      </w:r>
      <w:r w:rsidR="00541EBC">
        <w:rPr>
          <w:color w:val="000000"/>
          <w:sz w:val="20"/>
          <w:szCs w:val="20"/>
        </w:rPr>
        <w:t>2023</w:t>
      </w:r>
      <w:r>
        <w:rPr>
          <w:color w:val="000000"/>
          <w:sz w:val="20"/>
          <w:szCs w:val="20"/>
        </w:rPr>
        <w:t xml:space="preserve"> is as follows: </w:t>
      </w:r>
    </w:p>
    <w:tbl>
      <w:tblPr>
        <w:tblStyle w:val="affffffffffffffffe"/>
        <w:tblW w:w="5000" w:type="pct"/>
        <w:tblLayout w:type="fixed"/>
        <w:tblLook w:val="0000" w:firstRow="0" w:lastRow="0" w:firstColumn="0" w:lastColumn="0" w:noHBand="0" w:noVBand="0"/>
      </w:tblPr>
      <w:tblGrid>
        <w:gridCol w:w="3269"/>
        <w:gridCol w:w="1014"/>
        <w:gridCol w:w="1016"/>
        <w:gridCol w:w="1014"/>
        <w:gridCol w:w="1016"/>
        <w:gridCol w:w="1014"/>
        <w:gridCol w:w="1012"/>
      </w:tblGrid>
      <w:tr w:rsidR="00D83E33" w:rsidRPr="00EA10CF" w14:paraId="20EE83C1" w14:textId="77777777" w:rsidTr="001B330E">
        <w:trPr>
          <w:trHeight w:val="23"/>
        </w:trPr>
        <w:tc>
          <w:tcPr>
            <w:tcW w:w="1747" w:type="pct"/>
            <w:vAlign w:val="bottom"/>
          </w:tcPr>
          <w:p w14:paraId="32D9422C"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1085" w:type="pct"/>
            <w:gridSpan w:val="2"/>
            <w:tcBorders>
              <w:bottom w:val="single" w:sz="4" w:space="0" w:color="000000"/>
            </w:tcBorders>
          </w:tcPr>
          <w:p w14:paraId="53CC6514"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Securities at FVTPL</w:t>
            </w:r>
          </w:p>
        </w:tc>
        <w:tc>
          <w:tcPr>
            <w:tcW w:w="1085" w:type="pct"/>
            <w:gridSpan w:val="2"/>
            <w:tcBorders>
              <w:bottom w:val="single" w:sz="4" w:space="0" w:color="000000"/>
            </w:tcBorders>
          </w:tcPr>
          <w:p w14:paraId="634E9AF6"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Securities at FVOCI</w:t>
            </w:r>
          </w:p>
        </w:tc>
        <w:tc>
          <w:tcPr>
            <w:tcW w:w="542" w:type="pct"/>
            <w:vMerge w:val="restart"/>
          </w:tcPr>
          <w:p w14:paraId="599BC262"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 xml:space="preserve">Financial derivative assets </w:t>
            </w:r>
          </w:p>
        </w:tc>
        <w:tc>
          <w:tcPr>
            <w:tcW w:w="541" w:type="pct"/>
            <w:vMerge w:val="restart"/>
          </w:tcPr>
          <w:p w14:paraId="477CFC79" w14:textId="3A0243B6"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Financial derivative liabilities</w:t>
            </w:r>
          </w:p>
        </w:tc>
      </w:tr>
      <w:tr w:rsidR="00D83E33" w:rsidRPr="00EA10CF" w14:paraId="755C158B" w14:textId="77777777" w:rsidTr="001B330E">
        <w:trPr>
          <w:trHeight w:val="23"/>
        </w:trPr>
        <w:tc>
          <w:tcPr>
            <w:tcW w:w="1747" w:type="pct"/>
            <w:tcBorders>
              <w:bottom w:val="single" w:sz="4" w:space="0" w:color="000000"/>
            </w:tcBorders>
            <w:vAlign w:val="bottom"/>
          </w:tcPr>
          <w:p w14:paraId="794135C3" w14:textId="3F16A564" w:rsidR="00D83E33" w:rsidRPr="00EA10CF"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542" w:type="pct"/>
            <w:tcBorders>
              <w:top w:val="single" w:sz="4" w:space="0" w:color="000000"/>
              <w:bottom w:val="single" w:sz="4" w:space="0" w:color="000000"/>
            </w:tcBorders>
          </w:tcPr>
          <w:p w14:paraId="55B871F3"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Corporate shares</w:t>
            </w:r>
          </w:p>
        </w:tc>
        <w:tc>
          <w:tcPr>
            <w:tcW w:w="543" w:type="pct"/>
            <w:tcBorders>
              <w:top w:val="single" w:sz="4" w:space="0" w:color="000000"/>
              <w:bottom w:val="single" w:sz="4" w:space="0" w:color="000000"/>
            </w:tcBorders>
          </w:tcPr>
          <w:p w14:paraId="1FF857B6"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Promi-ssory notes</w:t>
            </w:r>
          </w:p>
        </w:tc>
        <w:tc>
          <w:tcPr>
            <w:tcW w:w="542" w:type="pct"/>
            <w:tcBorders>
              <w:top w:val="single" w:sz="4" w:space="0" w:color="000000"/>
              <w:bottom w:val="single" w:sz="4" w:space="0" w:color="000000"/>
            </w:tcBorders>
          </w:tcPr>
          <w:p w14:paraId="1549B231"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Promi-ssory notes</w:t>
            </w:r>
          </w:p>
        </w:tc>
        <w:tc>
          <w:tcPr>
            <w:tcW w:w="543" w:type="pct"/>
            <w:tcBorders>
              <w:top w:val="single" w:sz="4" w:space="0" w:color="000000"/>
              <w:bottom w:val="single" w:sz="4" w:space="0" w:color="000000"/>
            </w:tcBorders>
          </w:tcPr>
          <w:p w14:paraId="4745C9CF"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Corporate shares</w:t>
            </w:r>
          </w:p>
        </w:tc>
        <w:tc>
          <w:tcPr>
            <w:tcW w:w="542" w:type="pct"/>
            <w:vMerge/>
          </w:tcPr>
          <w:p w14:paraId="5B5BD307" w14:textId="77777777" w:rsidR="00D83E33" w:rsidRPr="00EA10CF" w:rsidRDefault="00D83E33" w:rsidP="001B330E">
            <w:pPr>
              <w:widowControl w:val="0"/>
              <w:pBdr>
                <w:top w:val="nil"/>
                <w:left w:val="nil"/>
                <w:bottom w:val="nil"/>
                <w:right w:val="nil"/>
                <w:between w:val="nil"/>
              </w:pBdr>
              <w:rPr>
                <w:b/>
                <w:color w:val="000000"/>
              </w:rPr>
            </w:pPr>
          </w:p>
        </w:tc>
        <w:tc>
          <w:tcPr>
            <w:tcW w:w="541" w:type="pct"/>
            <w:vMerge/>
          </w:tcPr>
          <w:p w14:paraId="6CBBA2A9" w14:textId="77777777" w:rsidR="00D83E33" w:rsidRPr="00EA10CF" w:rsidRDefault="00D83E33" w:rsidP="001B330E">
            <w:pPr>
              <w:widowControl w:val="0"/>
              <w:pBdr>
                <w:top w:val="nil"/>
                <w:left w:val="nil"/>
                <w:bottom w:val="nil"/>
                <w:right w:val="nil"/>
                <w:between w:val="nil"/>
              </w:pBdr>
              <w:rPr>
                <w:b/>
                <w:color w:val="000000"/>
              </w:rPr>
            </w:pPr>
          </w:p>
        </w:tc>
      </w:tr>
      <w:tr w:rsidR="00D83E33" w:rsidRPr="00EA10CF" w14:paraId="69657E8B" w14:textId="77777777" w:rsidTr="001B330E">
        <w:trPr>
          <w:trHeight w:val="23"/>
        </w:trPr>
        <w:tc>
          <w:tcPr>
            <w:tcW w:w="1747" w:type="pct"/>
            <w:tcBorders>
              <w:top w:val="single" w:sz="4" w:space="0" w:color="000000"/>
            </w:tcBorders>
            <w:vAlign w:val="bottom"/>
          </w:tcPr>
          <w:p w14:paraId="68B361E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42" w:type="pct"/>
            <w:tcBorders>
              <w:top w:val="single" w:sz="4" w:space="0" w:color="000000"/>
            </w:tcBorders>
            <w:vAlign w:val="bottom"/>
          </w:tcPr>
          <w:p w14:paraId="44C047EB"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1F93CA28"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tcBorders>
              <w:top w:val="single" w:sz="4" w:space="0" w:color="000000"/>
            </w:tcBorders>
            <w:vAlign w:val="bottom"/>
          </w:tcPr>
          <w:p w14:paraId="03BF1476"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tcBorders>
              <w:top w:val="single" w:sz="4" w:space="0" w:color="000000"/>
            </w:tcBorders>
            <w:vAlign w:val="bottom"/>
          </w:tcPr>
          <w:p w14:paraId="5480A19F"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tcBorders>
              <w:top w:val="single" w:sz="4" w:space="0" w:color="000000"/>
            </w:tcBorders>
            <w:vAlign w:val="bottom"/>
          </w:tcPr>
          <w:p w14:paraId="65C537C9"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tcBorders>
              <w:top w:val="single" w:sz="4" w:space="0" w:color="000000"/>
            </w:tcBorders>
            <w:vAlign w:val="bottom"/>
          </w:tcPr>
          <w:p w14:paraId="59FA10D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5F1565FD" w14:textId="77777777" w:rsidTr="001B330E">
        <w:trPr>
          <w:trHeight w:val="23"/>
        </w:trPr>
        <w:tc>
          <w:tcPr>
            <w:tcW w:w="1747" w:type="pct"/>
            <w:vAlign w:val="bottom"/>
          </w:tcPr>
          <w:p w14:paraId="75B4844B" w14:textId="2C673674"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xml:space="preserve">Fair value at 1 January </w:t>
            </w:r>
            <w:r w:rsidR="00541EBC">
              <w:rPr>
                <w:b/>
                <w:color w:val="000000"/>
              </w:rPr>
              <w:t>2023</w:t>
            </w:r>
          </w:p>
        </w:tc>
        <w:tc>
          <w:tcPr>
            <w:tcW w:w="542" w:type="pct"/>
            <w:vAlign w:val="bottom"/>
          </w:tcPr>
          <w:p w14:paraId="29441D5F"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543" w:type="pct"/>
            <w:vAlign w:val="bottom"/>
          </w:tcPr>
          <w:p w14:paraId="35277D2F"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542" w:type="pct"/>
            <w:vAlign w:val="bottom"/>
          </w:tcPr>
          <w:p w14:paraId="46FA4C57"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543" w:type="pct"/>
            <w:vAlign w:val="bottom"/>
          </w:tcPr>
          <w:p w14:paraId="0B4F7E66"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03B0CBE7"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vAlign w:val="bottom"/>
          </w:tcPr>
          <w:p w14:paraId="308AFCEA"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59CA264" w14:textId="77777777" w:rsidTr="001B330E">
        <w:trPr>
          <w:trHeight w:val="23"/>
        </w:trPr>
        <w:tc>
          <w:tcPr>
            <w:tcW w:w="1747" w:type="pct"/>
            <w:vAlign w:val="bottom"/>
          </w:tcPr>
          <w:p w14:paraId="52F6719A"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or losses recognised in profit or loss for the year</w:t>
            </w:r>
          </w:p>
        </w:tc>
        <w:tc>
          <w:tcPr>
            <w:tcW w:w="542" w:type="pct"/>
            <w:vAlign w:val="bottom"/>
          </w:tcPr>
          <w:p w14:paraId="537100DA"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313A9838"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2FEE5AD6"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661F89F3"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62FC10AF"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vAlign w:val="bottom"/>
          </w:tcPr>
          <w:p w14:paraId="7B18E881"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27CD0FB" w14:textId="77777777" w:rsidTr="001B330E">
        <w:trPr>
          <w:trHeight w:val="23"/>
        </w:trPr>
        <w:tc>
          <w:tcPr>
            <w:tcW w:w="1747" w:type="pct"/>
            <w:vAlign w:val="bottom"/>
          </w:tcPr>
          <w:p w14:paraId="650E7DD0"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Gains or losses recognised in other comprehensive income</w:t>
            </w:r>
          </w:p>
        </w:tc>
        <w:tc>
          <w:tcPr>
            <w:tcW w:w="542" w:type="pct"/>
            <w:vAlign w:val="bottom"/>
          </w:tcPr>
          <w:p w14:paraId="77FD8A32"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54ABA71C"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5836BC41"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46E0F6B5"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3F656993"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vAlign w:val="bottom"/>
          </w:tcPr>
          <w:p w14:paraId="309014DB"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7D0941DB" w14:textId="77777777" w:rsidTr="001B330E">
        <w:trPr>
          <w:trHeight w:val="23"/>
        </w:trPr>
        <w:tc>
          <w:tcPr>
            <w:tcW w:w="1747" w:type="pct"/>
            <w:vAlign w:val="bottom"/>
          </w:tcPr>
          <w:p w14:paraId="2969E23C"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Purchases</w:t>
            </w:r>
          </w:p>
        </w:tc>
        <w:tc>
          <w:tcPr>
            <w:tcW w:w="542" w:type="pct"/>
            <w:vAlign w:val="bottom"/>
          </w:tcPr>
          <w:p w14:paraId="5E18E259"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7BB06644"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39503B29"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55FA627E"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01A16A5F"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vAlign w:val="bottom"/>
          </w:tcPr>
          <w:p w14:paraId="287A75E3"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1600DDD" w14:textId="77777777" w:rsidTr="001B330E">
        <w:trPr>
          <w:trHeight w:val="23"/>
        </w:trPr>
        <w:tc>
          <w:tcPr>
            <w:tcW w:w="1747" w:type="pct"/>
            <w:vAlign w:val="bottom"/>
          </w:tcPr>
          <w:p w14:paraId="6730635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xml:space="preserve">Issues or origination </w:t>
            </w:r>
          </w:p>
        </w:tc>
        <w:tc>
          <w:tcPr>
            <w:tcW w:w="542" w:type="pct"/>
            <w:vAlign w:val="bottom"/>
          </w:tcPr>
          <w:p w14:paraId="465FA459"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5E30B675"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0DD49554"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2F715D6E"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2B1A1B5B"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vAlign w:val="bottom"/>
          </w:tcPr>
          <w:p w14:paraId="23983618"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77AC88A" w14:textId="77777777" w:rsidTr="001B330E">
        <w:trPr>
          <w:trHeight w:val="23"/>
        </w:trPr>
        <w:tc>
          <w:tcPr>
            <w:tcW w:w="1747" w:type="pct"/>
            <w:vAlign w:val="bottom"/>
          </w:tcPr>
          <w:p w14:paraId="7D009446"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Sales</w:t>
            </w:r>
          </w:p>
        </w:tc>
        <w:tc>
          <w:tcPr>
            <w:tcW w:w="542" w:type="pct"/>
            <w:vAlign w:val="bottom"/>
          </w:tcPr>
          <w:p w14:paraId="1A453C17"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6D1EFF2B"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592FF308"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1F8B4EA7"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3E5520DA"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vAlign w:val="bottom"/>
          </w:tcPr>
          <w:p w14:paraId="62DA3046"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603B015C" w14:textId="77777777" w:rsidTr="001B330E">
        <w:trPr>
          <w:trHeight w:val="23"/>
        </w:trPr>
        <w:tc>
          <w:tcPr>
            <w:tcW w:w="1747" w:type="pct"/>
            <w:vAlign w:val="bottom"/>
          </w:tcPr>
          <w:p w14:paraId="6C6C518A" w14:textId="77777777" w:rsidR="00D83E33" w:rsidRPr="00EA10CF" w:rsidRDefault="00BC4072" w:rsidP="001B330E">
            <w:pPr>
              <w:widowControl w:val="0"/>
              <w:pBdr>
                <w:top w:val="nil"/>
                <w:left w:val="nil"/>
                <w:bottom w:val="nil"/>
                <w:right w:val="nil"/>
                <w:between w:val="nil"/>
              </w:pBdr>
              <w:ind w:left="113" w:hanging="113"/>
              <w:rPr>
                <w:b/>
                <w:i/>
                <w:color w:val="000000"/>
              </w:rPr>
            </w:pPr>
            <w:r w:rsidRPr="00EA10CF">
              <w:rPr>
                <w:color w:val="000000"/>
              </w:rPr>
              <w:t>Settlements</w:t>
            </w:r>
          </w:p>
        </w:tc>
        <w:tc>
          <w:tcPr>
            <w:tcW w:w="542" w:type="pct"/>
            <w:vAlign w:val="bottom"/>
          </w:tcPr>
          <w:p w14:paraId="1280FB32"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79315B8B"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7591CE0B"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759A6139"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3E90B0D5"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vAlign w:val="bottom"/>
          </w:tcPr>
          <w:p w14:paraId="4FDCAF39"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F342AFD" w14:textId="77777777" w:rsidTr="001B330E">
        <w:trPr>
          <w:trHeight w:val="23"/>
        </w:trPr>
        <w:tc>
          <w:tcPr>
            <w:tcW w:w="1747" w:type="pct"/>
            <w:vAlign w:val="bottom"/>
          </w:tcPr>
          <w:p w14:paraId="52B01697"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Transfers out of level 3</w:t>
            </w:r>
          </w:p>
        </w:tc>
        <w:tc>
          <w:tcPr>
            <w:tcW w:w="542" w:type="pct"/>
            <w:vAlign w:val="bottom"/>
          </w:tcPr>
          <w:p w14:paraId="485F7579"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112A7BE6"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25DFF156"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1B3A2E5C"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22114927"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vAlign w:val="bottom"/>
          </w:tcPr>
          <w:p w14:paraId="0C302CD2"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29516B26" w14:textId="77777777" w:rsidTr="001B330E">
        <w:trPr>
          <w:trHeight w:val="23"/>
        </w:trPr>
        <w:tc>
          <w:tcPr>
            <w:tcW w:w="1747" w:type="pct"/>
            <w:vAlign w:val="bottom"/>
          </w:tcPr>
          <w:p w14:paraId="7F61F64F"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Transfers into level 3</w:t>
            </w:r>
          </w:p>
        </w:tc>
        <w:tc>
          <w:tcPr>
            <w:tcW w:w="542" w:type="pct"/>
            <w:vAlign w:val="bottom"/>
          </w:tcPr>
          <w:p w14:paraId="6C334310"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05A09B27"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7D6CCEA7"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vAlign w:val="bottom"/>
          </w:tcPr>
          <w:p w14:paraId="5240D24E"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vAlign w:val="bottom"/>
          </w:tcPr>
          <w:p w14:paraId="1BD0DB12"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vAlign w:val="bottom"/>
          </w:tcPr>
          <w:p w14:paraId="3671081F"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3ADD04DC" w14:textId="77777777" w:rsidTr="001B330E">
        <w:trPr>
          <w:trHeight w:val="23"/>
        </w:trPr>
        <w:tc>
          <w:tcPr>
            <w:tcW w:w="1747" w:type="pct"/>
            <w:tcBorders>
              <w:bottom w:val="single" w:sz="4" w:space="0" w:color="000000"/>
            </w:tcBorders>
            <w:vAlign w:val="bottom"/>
          </w:tcPr>
          <w:p w14:paraId="33885B22"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42" w:type="pct"/>
            <w:tcBorders>
              <w:bottom w:val="single" w:sz="4" w:space="0" w:color="000000"/>
            </w:tcBorders>
            <w:vAlign w:val="bottom"/>
          </w:tcPr>
          <w:p w14:paraId="111D0863"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21D77A0F"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tcBorders>
              <w:bottom w:val="single" w:sz="4" w:space="0" w:color="000000"/>
            </w:tcBorders>
            <w:vAlign w:val="bottom"/>
          </w:tcPr>
          <w:p w14:paraId="62725ED9" w14:textId="77777777" w:rsidR="00D83E33" w:rsidRPr="00EA10CF" w:rsidRDefault="00D83E33" w:rsidP="001B330E">
            <w:pPr>
              <w:widowControl w:val="0"/>
              <w:pBdr>
                <w:top w:val="nil"/>
                <w:left w:val="nil"/>
                <w:bottom w:val="nil"/>
                <w:right w:val="nil"/>
                <w:between w:val="nil"/>
              </w:pBdr>
              <w:jc w:val="right"/>
              <w:rPr>
                <w:color w:val="000000"/>
              </w:rPr>
            </w:pPr>
          </w:p>
        </w:tc>
        <w:tc>
          <w:tcPr>
            <w:tcW w:w="543" w:type="pct"/>
            <w:tcBorders>
              <w:bottom w:val="single" w:sz="4" w:space="0" w:color="000000"/>
            </w:tcBorders>
            <w:vAlign w:val="bottom"/>
          </w:tcPr>
          <w:p w14:paraId="58AD9D06" w14:textId="77777777" w:rsidR="00D83E33" w:rsidRPr="00EA10CF" w:rsidRDefault="00D83E33" w:rsidP="001B330E">
            <w:pPr>
              <w:widowControl w:val="0"/>
              <w:pBdr>
                <w:top w:val="nil"/>
                <w:left w:val="nil"/>
                <w:bottom w:val="nil"/>
                <w:right w:val="nil"/>
                <w:between w:val="nil"/>
              </w:pBdr>
              <w:jc w:val="right"/>
              <w:rPr>
                <w:color w:val="000000"/>
              </w:rPr>
            </w:pPr>
          </w:p>
        </w:tc>
        <w:tc>
          <w:tcPr>
            <w:tcW w:w="542" w:type="pct"/>
            <w:tcBorders>
              <w:bottom w:val="single" w:sz="4" w:space="0" w:color="000000"/>
            </w:tcBorders>
            <w:vAlign w:val="bottom"/>
          </w:tcPr>
          <w:p w14:paraId="176DC221" w14:textId="77777777" w:rsidR="00D83E33" w:rsidRPr="00EA10CF" w:rsidRDefault="00D83E33" w:rsidP="001B330E">
            <w:pPr>
              <w:widowControl w:val="0"/>
              <w:pBdr>
                <w:top w:val="nil"/>
                <w:left w:val="nil"/>
                <w:bottom w:val="nil"/>
                <w:right w:val="nil"/>
                <w:between w:val="nil"/>
              </w:pBdr>
              <w:jc w:val="right"/>
              <w:rPr>
                <w:color w:val="000000"/>
              </w:rPr>
            </w:pPr>
          </w:p>
        </w:tc>
        <w:tc>
          <w:tcPr>
            <w:tcW w:w="541" w:type="pct"/>
            <w:tcBorders>
              <w:bottom w:val="single" w:sz="4" w:space="0" w:color="000000"/>
            </w:tcBorders>
            <w:vAlign w:val="bottom"/>
          </w:tcPr>
          <w:p w14:paraId="68BD2262" w14:textId="77777777" w:rsidR="00D83E33" w:rsidRPr="00EA10CF" w:rsidRDefault="00D83E33" w:rsidP="001B330E">
            <w:pPr>
              <w:widowControl w:val="0"/>
              <w:pBdr>
                <w:top w:val="nil"/>
                <w:left w:val="nil"/>
                <w:bottom w:val="nil"/>
                <w:right w:val="nil"/>
                <w:between w:val="nil"/>
              </w:pBdr>
              <w:jc w:val="right"/>
              <w:rPr>
                <w:color w:val="000000"/>
              </w:rPr>
            </w:pPr>
          </w:p>
        </w:tc>
      </w:tr>
      <w:tr w:rsidR="00D83E33" w:rsidRPr="00EA10CF" w14:paraId="06016032" w14:textId="77777777" w:rsidTr="001B330E">
        <w:trPr>
          <w:trHeight w:val="23"/>
        </w:trPr>
        <w:tc>
          <w:tcPr>
            <w:tcW w:w="1747" w:type="pct"/>
            <w:vAlign w:val="bottom"/>
          </w:tcPr>
          <w:p w14:paraId="4C103E0B"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42" w:type="pct"/>
            <w:vAlign w:val="bottom"/>
          </w:tcPr>
          <w:p w14:paraId="262908D6"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vAlign w:val="bottom"/>
          </w:tcPr>
          <w:p w14:paraId="0F44AF3F"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tcBorders>
              <w:top w:val="single" w:sz="4" w:space="0" w:color="000000"/>
            </w:tcBorders>
            <w:vAlign w:val="bottom"/>
          </w:tcPr>
          <w:p w14:paraId="5903AB86"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tcBorders>
              <w:top w:val="single" w:sz="4" w:space="0" w:color="000000"/>
            </w:tcBorders>
            <w:vAlign w:val="bottom"/>
          </w:tcPr>
          <w:p w14:paraId="7CD810E3"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tcBorders>
              <w:top w:val="single" w:sz="4" w:space="0" w:color="000000"/>
            </w:tcBorders>
            <w:vAlign w:val="bottom"/>
          </w:tcPr>
          <w:p w14:paraId="080CD32C" w14:textId="77777777" w:rsidR="00D83E33" w:rsidRPr="00EA10CF" w:rsidRDefault="00D83E33" w:rsidP="001B330E">
            <w:pPr>
              <w:widowControl w:val="0"/>
              <w:pBdr>
                <w:top w:val="nil"/>
                <w:left w:val="nil"/>
                <w:bottom w:val="nil"/>
                <w:right w:val="nil"/>
                <w:between w:val="nil"/>
              </w:pBdr>
              <w:jc w:val="right"/>
              <w:rPr>
                <w:b/>
                <w:color w:val="000000"/>
              </w:rPr>
            </w:pPr>
          </w:p>
        </w:tc>
        <w:tc>
          <w:tcPr>
            <w:tcW w:w="541" w:type="pct"/>
            <w:tcBorders>
              <w:top w:val="single" w:sz="4" w:space="0" w:color="000000"/>
            </w:tcBorders>
            <w:vAlign w:val="bottom"/>
          </w:tcPr>
          <w:p w14:paraId="6F0DF874"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1BAA2E78" w14:textId="77777777" w:rsidTr="001B330E">
        <w:trPr>
          <w:trHeight w:val="23"/>
        </w:trPr>
        <w:tc>
          <w:tcPr>
            <w:tcW w:w="1747" w:type="pct"/>
            <w:vAlign w:val="bottom"/>
          </w:tcPr>
          <w:p w14:paraId="7DD420EC" w14:textId="0EA0D736" w:rsidR="00D83E33" w:rsidRPr="00EA10CF" w:rsidRDefault="00BC4072" w:rsidP="001B330E">
            <w:pPr>
              <w:widowControl w:val="0"/>
              <w:pBdr>
                <w:top w:val="nil"/>
                <w:left w:val="nil"/>
                <w:bottom w:val="nil"/>
                <w:right w:val="nil"/>
                <w:between w:val="nil"/>
              </w:pBdr>
              <w:ind w:left="113" w:hanging="113"/>
              <w:rPr>
                <w:b/>
                <w:smallCaps/>
                <w:color w:val="000000"/>
              </w:rPr>
            </w:pPr>
            <w:r w:rsidRPr="00EA10CF">
              <w:rPr>
                <w:b/>
                <w:color w:val="000000"/>
              </w:rPr>
              <w:t>Fair value at 31</w:t>
            </w:r>
            <w:r w:rsidR="00181687">
              <w:rPr>
                <w:b/>
                <w:color w:val="000000"/>
              </w:rPr>
              <w:t> December </w:t>
            </w:r>
            <w:r w:rsidR="00541EBC">
              <w:rPr>
                <w:b/>
                <w:color w:val="000000"/>
              </w:rPr>
              <w:t>2023</w:t>
            </w:r>
          </w:p>
        </w:tc>
        <w:tc>
          <w:tcPr>
            <w:tcW w:w="542" w:type="pct"/>
            <w:vAlign w:val="bottom"/>
          </w:tcPr>
          <w:p w14:paraId="4DFFF7DE"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543" w:type="pct"/>
            <w:vAlign w:val="bottom"/>
          </w:tcPr>
          <w:p w14:paraId="6FD4DC7B"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542" w:type="pct"/>
            <w:vAlign w:val="bottom"/>
          </w:tcPr>
          <w:p w14:paraId="541B5CE8"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543" w:type="pct"/>
            <w:vAlign w:val="bottom"/>
          </w:tcPr>
          <w:p w14:paraId="38C824CC"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542" w:type="pct"/>
            <w:vAlign w:val="bottom"/>
          </w:tcPr>
          <w:p w14:paraId="71386AE4" w14:textId="77777777" w:rsidR="00D83E33" w:rsidRPr="00EA10CF" w:rsidRDefault="00D83E33" w:rsidP="001B330E">
            <w:pPr>
              <w:widowControl w:val="0"/>
              <w:pBdr>
                <w:top w:val="nil"/>
                <w:left w:val="nil"/>
                <w:bottom w:val="nil"/>
                <w:right w:val="nil"/>
                <w:between w:val="nil"/>
              </w:pBdr>
              <w:jc w:val="right"/>
              <w:rPr>
                <w:b/>
                <w:smallCaps/>
                <w:color w:val="000000"/>
              </w:rPr>
            </w:pPr>
          </w:p>
        </w:tc>
        <w:tc>
          <w:tcPr>
            <w:tcW w:w="541" w:type="pct"/>
            <w:vAlign w:val="bottom"/>
          </w:tcPr>
          <w:p w14:paraId="1C69A34B" w14:textId="77777777" w:rsidR="00D83E33" w:rsidRPr="00EA10CF" w:rsidRDefault="00D83E33" w:rsidP="001B330E">
            <w:pPr>
              <w:widowControl w:val="0"/>
              <w:pBdr>
                <w:top w:val="nil"/>
                <w:left w:val="nil"/>
                <w:bottom w:val="nil"/>
                <w:right w:val="nil"/>
                <w:between w:val="nil"/>
              </w:pBdr>
              <w:jc w:val="right"/>
              <w:rPr>
                <w:b/>
                <w:smallCaps/>
                <w:color w:val="000000"/>
              </w:rPr>
            </w:pPr>
          </w:p>
        </w:tc>
      </w:tr>
      <w:tr w:rsidR="00D83E33" w:rsidRPr="00EA10CF" w14:paraId="74F1E48E" w14:textId="77777777" w:rsidTr="001B330E">
        <w:trPr>
          <w:trHeight w:val="23"/>
        </w:trPr>
        <w:tc>
          <w:tcPr>
            <w:tcW w:w="1747" w:type="pct"/>
            <w:tcBorders>
              <w:bottom w:val="single" w:sz="12" w:space="0" w:color="000000"/>
            </w:tcBorders>
            <w:shd w:val="clear" w:color="auto" w:fill="auto"/>
            <w:vAlign w:val="bottom"/>
          </w:tcPr>
          <w:p w14:paraId="6AC56A3D" w14:textId="77777777" w:rsidR="00D83E33" w:rsidRPr="00EA10CF" w:rsidRDefault="00BC4072" w:rsidP="001B330E">
            <w:pPr>
              <w:widowControl w:val="0"/>
              <w:ind w:left="113" w:hanging="113"/>
            </w:pPr>
            <w:r w:rsidRPr="00EA10CF">
              <w:t> </w:t>
            </w:r>
          </w:p>
        </w:tc>
        <w:tc>
          <w:tcPr>
            <w:tcW w:w="542" w:type="pct"/>
            <w:tcBorders>
              <w:bottom w:val="single" w:sz="12" w:space="0" w:color="000000"/>
            </w:tcBorders>
            <w:shd w:val="clear" w:color="auto" w:fill="auto"/>
            <w:vAlign w:val="bottom"/>
          </w:tcPr>
          <w:p w14:paraId="32898C4A"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61D7BC89"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tcBorders>
              <w:bottom w:val="single" w:sz="12" w:space="0" w:color="000000"/>
            </w:tcBorders>
            <w:vAlign w:val="bottom"/>
          </w:tcPr>
          <w:p w14:paraId="2C68C2D1"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4A0686BF"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tcBorders>
              <w:bottom w:val="single" w:sz="12" w:space="0" w:color="000000"/>
            </w:tcBorders>
            <w:vAlign w:val="bottom"/>
          </w:tcPr>
          <w:p w14:paraId="776C176A" w14:textId="77777777" w:rsidR="00D83E33" w:rsidRPr="00EA10CF" w:rsidRDefault="00D83E33" w:rsidP="001B330E">
            <w:pPr>
              <w:widowControl w:val="0"/>
              <w:pBdr>
                <w:top w:val="nil"/>
                <w:left w:val="nil"/>
                <w:bottom w:val="nil"/>
                <w:right w:val="nil"/>
                <w:between w:val="nil"/>
              </w:pBdr>
              <w:jc w:val="right"/>
              <w:rPr>
                <w:b/>
                <w:color w:val="000000"/>
              </w:rPr>
            </w:pPr>
          </w:p>
        </w:tc>
        <w:tc>
          <w:tcPr>
            <w:tcW w:w="541" w:type="pct"/>
            <w:tcBorders>
              <w:bottom w:val="single" w:sz="12" w:space="0" w:color="000000"/>
            </w:tcBorders>
            <w:vAlign w:val="bottom"/>
          </w:tcPr>
          <w:p w14:paraId="08CB2909"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4945BC58" w14:textId="77777777" w:rsidTr="001B330E">
        <w:trPr>
          <w:trHeight w:val="23"/>
        </w:trPr>
        <w:tc>
          <w:tcPr>
            <w:tcW w:w="1747" w:type="pct"/>
            <w:shd w:val="clear" w:color="auto" w:fill="auto"/>
            <w:vAlign w:val="bottom"/>
          </w:tcPr>
          <w:p w14:paraId="7EDA14D1" w14:textId="77777777" w:rsidR="00D83E33" w:rsidRPr="00EA10CF" w:rsidRDefault="00BC4072" w:rsidP="001B330E">
            <w:pPr>
              <w:widowControl w:val="0"/>
              <w:ind w:left="113" w:hanging="113"/>
            </w:pPr>
            <w:r w:rsidRPr="00EA10CF">
              <w:t> </w:t>
            </w:r>
          </w:p>
        </w:tc>
        <w:tc>
          <w:tcPr>
            <w:tcW w:w="542" w:type="pct"/>
            <w:shd w:val="clear" w:color="auto" w:fill="auto"/>
            <w:vAlign w:val="bottom"/>
          </w:tcPr>
          <w:p w14:paraId="0F5D923C"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vAlign w:val="bottom"/>
          </w:tcPr>
          <w:p w14:paraId="13BFC877"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vAlign w:val="bottom"/>
          </w:tcPr>
          <w:p w14:paraId="3F7A2757"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vAlign w:val="bottom"/>
          </w:tcPr>
          <w:p w14:paraId="4C441197"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vAlign w:val="bottom"/>
          </w:tcPr>
          <w:p w14:paraId="6A63B7A7" w14:textId="77777777" w:rsidR="00D83E33" w:rsidRPr="00EA10CF" w:rsidRDefault="00D83E33" w:rsidP="001B330E">
            <w:pPr>
              <w:widowControl w:val="0"/>
              <w:pBdr>
                <w:top w:val="nil"/>
                <w:left w:val="nil"/>
                <w:bottom w:val="nil"/>
                <w:right w:val="nil"/>
                <w:between w:val="nil"/>
              </w:pBdr>
              <w:jc w:val="right"/>
              <w:rPr>
                <w:b/>
                <w:color w:val="000000"/>
              </w:rPr>
            </w:pPr>
          </w:p>
        </w:tc>
        <w:tc>
          <w:tcPr>
            <w:tcW w:w="541" w:type="pct"/>
            <w:vAlign w:val="bottom"/>
          </w:tcPr>
          <w:p w14:paraId="0E896DCB"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BB2B790" w14:textId="77777777" w:rsidTr="001B330E">
        <w:trPr>
          <w:trHeight w:val="23"/>
        </w:trPr>
        <w:tc>
          <w:tcPr>
            <w:tcW w:w="1747" w:type="pct"/>
            <w:shd w:val="clear" w:color="auto" w:fill="auto"/>
            <w:vAlign w:val="bottom"/>
          </w:tcPr>
          <w:p w14:paraId="13574D45" w14:textId="4B6CE8A4" w:rsidR="00D83E33" w:rsidRPr="00EA10CF" w:rsidRDefault="00BC4072" w:rsidP="001B330E">
            <w:pPr>
              <w:widowControl w:val="0"/>
              <w:ind w:left="113" w:hanging="113"/>
              <w:rPr>
                <w:b/>
              </w:rPr>
            </w:pPr>
            <w:r w:rsidRPr="00EA10CF">
              <w:rPr>
                <w:b/>
              </w:rPr>
              <w:t>Unrealised revaluation gains less losses recognised in profit or loss for the year for assets held at 31</w:t>
            </w:r>
            <w:r w:rsidR="00181687">
              <w:rPr>
                <w:b/>
              </w:rPr>
              <w:t> December </w:t>
            </w:r>
            <w:r w:rsidR="00541EBC">
              <w:rPr>
                <w:b/>
              </w:rPr>
              <w:t>2023</w:t>
            </w:r>
          </w:p>
        </w:tc>
        <w:tc>
          <w:tcPr>
            <w:tcW w:w="542" w:type="pct"/>
            <w:shd w:val="clear" w:color="auto" w:fill="auto"/>
            <w:vAlign w:val="bottom"/>
          </w:tcPr>
          <w:p w14:paraId="173C069E"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vAlign w:val="bottom"/>
          </w:tcPr>
          <w:p w14:paraId="74D697DD"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vAlign w:val="bottom"/>
          </w:tcPr>
          <w:p w14:paraId="678CE987"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vAlign w:val="bottom"/>
          </w:tcPr>
          <w:p w14:paraId="23E7BDC8"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vAlign w:val="bottom"/>
          </w:tcPr>
          <w:p w14:paraId="0C685E0D" w14:textId="77777777" w:rsidR="00D83E33" w:rsidRPr="00EA10CF" w:rsidRDefault="00D83E33" w:rsidP="001B330E">
            <w:pPr>
              <w:widowControl w:val="0"/>
              <w:pBdr>
                <w:top w:val="nil"/>
                <w:left w:val="nil"/>
                <w:bottom w:val="nil"/>
                <w:right w:val="nil"/>
                <w:between w:val="nil"/>
              </w:pBdr>
              <w:jc w:val="right"/>
              <w:rPr>
                <w:b/>
                <w:color w:val="000000"/>
              </w:rPr>
            </w:pPr>
          </w:p>
        </w:tc>
        <w:tc>
          <w:tcPr>
            <w:tcW w:w="541" w:type="pct"/>
            <w:vAlign w:val="bottom"/>
          </w:tcPr>
          <w:p w14:paraId="1AECDBA3" w14:textId="77777777" w:rsidR="00D83E33" w:rsidRPr="00EA10CF" w:rsidRDefault="00D83E33" w:rsidP="001B330E">
            <w:pPr>
              <w:widowControl w:val="0"/>
              <w:pBdr>
                <w:top w:val="nil"/>
                <w:left w:val="nil"/>
                <w:bottom w:val="nil"/>
                <w:right w:val="nil"/>
                <w:between w:val="nil"/>
              </w:pBdr>
              <w:jc w:val="right"/>
              <w:rPr>
                <w:b/>
                <w:color w:val="000000"/>
              </w:rPr>
            </w:pPr>
          </w:p>
        </w:tc>
      </w:tr>
      <w:tr w:rsidR="00D83E33" w:rsidRPr="00EA10CF" w14:paraId="0F519B42" w14:textId="77777777" w:rsidTr="001B330E">
        <w:trPr>
          <w:trHeight w:val="23"/>
        </w:trPr>
        <w:tc>
          <w:tcPr>
            <w:tcW w:w="1747" w:type="pct"/>
            <w:tcBorders>
              <w:bottom w:val="single" w:sz="12" w:space="0" w:color="000000"/>
            </w:tcBorders>
            <w:shd w:val="clear" w:color="auto" w:fill="auto"/>
            <w:vAlign w:val="bottom"/>
          </w:tcPr>
          <w:p w14:paraId="6238BD64" w14:textId="77777777" w:rsidR="00D83E33" w:rsidRPr="00EA10CF" w:rsidRDefault="00BC4072" w:rsidP="001B330E">
            <w:pPr>
              <w:widowControl w:val="0"/>
              <w:ind w:left="113" w:hanging="113"/>
            </w:pPr>
            <w:r w:rsidRPr="00EA10CF">
              <w:t> </w:t>
            </w:r>
          </w:p>
        </w:tc>
        <w:tc>
          <w:tcPr>
            <w:tcW w:w="542" w:type="pct"/>
            <w:tcBorders>
              <w:bottom w:val="single" w:sz="12" w:space="0" w:color="000000"/>
            </w:tcBorders>
            <w:shd w:val="clear" w:color="auto" w:fill="auto"/>
            <w:vAlign w:val="bottom"/>
          </w:tcPr>
          <w:p w14:paraId="35C69A5E"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1F1CD75A"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tcBorders>
              <w:bottom w:val="single" w:sz="12" w:space="0" w:color="000000"/>
            </w:tcBorders>
            <w:vAlign w:val="bottom"/>
          </w:tcPr>
          <w:p w14:paraId="307E4AF3" w14:textId="77777777" w:rsidR="00D83E33" w:rsidRPr="00EA10CF" w:rsidRDefault="00D83E33" w:rsidP="001B330E">
            <w:pPr>
              <w:widowControl w:val="0"/>
              <w:pBdr>
                <w:top w:val="nil"/>
                <w:left w:val="nil"/>
                <w:bottom w:val="nil"/>
                <w:right w:val="nil"/>
                <w:between w:val="nil"/>
              </w:pBdr>
              <w:jc w:val="right"/>
              <w:rPr>
                <w:b/>
                <w:color w:val="000000"/>
              </w:rPr>
            </w:pPr>
          </w:p>
        </w:tc>
        <w:tc>
          <w:tcPr>
            <w:tcW w:w="543" w:type="pct"/>
            <w:tcBorders>
              <w:bottom w:val="single" w:sz="12" w:space="0" w:color="000000"/>
            </w:tcBorders>
            <w:vAlign w:val="bottom"/>
          </w:tcPr>
          <w:p w14:paraId="780E090B" w14:textId="77777777" w:rsidR="00D83E33" w:rsidRPr="00EA10CF" w:rsidRDefault="00D83E33" w:rsidP="001B330E">
            <w:pPr>
              <w:widowControl w:val="0"/>
              <w:pBdr>
                <w:top w:val="nil"/>
                <w:left w:val="nil"/>
                <w:bottom w:val="nil"/>
                <w:right w:val="nil"/>
                <w:between w:val="nil"/>
              </w:pBdr>
              <w:jc w:val="right"/>
              <w:rPr>
                <w:b/>
                <w:color w:val="000000"/>
              </w:rPr>
            </w:pPr>
          </w:p>
        </w:tc>
        <w:tc>
          <w:tcPr>
            <w:tcW w:w="542" w:type="pct"/>
            <w:tcBorders>
              <w:bottom w:val="single" w:sz="12" w:space="0" w:color="000000"/>
            </w:tcBorders>
            <w:vAlign w:val="bottom"/>
          </w:tcPr>
          <w:p w14:paraId="4D7DD0C0" w14:textId="77777777" w:rsidR="00D83E33" w:rsidRPr="00EA10CF" w:rsidRDefault="00D83E33" w:rsidP="001B330E">
            <w:pPr>
              <w:widowControl w:val="0"/>
              <w:pBdr>
                <w:top w:val="nil"/>
                <w:left w:val="nil"/>
                <w:bottom w:val="nil"/>
                <w:right w:val="nil"/>
                <w:between w:val="nil"/>
              </w:pBdr>
              <w:jc w:val="right"/>
              <w:rPr>
                <w:b/>
                <w:color w:val="000000"/>
              </w:rPr>
            </w:pPr>
          </w:p>
        </w:tc>
        <w:tc>
          <w:tcPr>
            <w:tcW w:w="541" w:type="pct"/>
            <w:tcBorders>
              <w:bottom w:val="single" w:sz="12" w:space="0" w:color="000000"/>
            </w:tcBorders>
            <w:vAlign w:val="bottom"/>
          </w:tcPr>
          <w:p w14:paraId="6EBE2300" w14:textId="77777777" w:rsidR="00D83E33" w:rsidRPr="00EA10CF" w:rsidRDefault="00D83E33" w:rsidP="001B330E">
            <w:pPr>
              <w:widowControl w:val="0"/>
              <w:pBdr>
                <w:top w:val="nil"/>
                <w:left w:val="nil"/>
                <w:bottom w:val="nil"/>
                <w:right w:val="nil"/>
                <w:between w:val="nil"/>
              </w:pBdr>
              <w:jc w:val="right"/>
              <w:rPr>
                <w:b/>
                <w:color w:val="000000"/>
              </w:rPr>
            </w:pPr>
          </w:p>
        </w:tc>
      </w:tr>
    </w:tbl>
    <w:p w14:paraId="48BDE7F3" w14:textId="0F2633BF"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Certain derivatives and promissory notes were reclassified from level 3 to level 2 instruments due to the increased activity in financial markets in </w:t>
      </w:r>
      <w:r w:rsidR="00541EBC">
        <w:rPr>
          <w:color w:val="000000"/>
          <w:sz w:val="20"/>
          <w:szCs w:val="20"/>
        </w:rPr>
        <w:t>2023</w:t>
      </w:r>
      <w:r>
        <w:rPr>
          <w:color w:val="000000"/>
          <w:sz w:val="20"/>
          <w:szCs w:val="20"/>
        </w:rPr>
        <w:t xml:space="preserve">. </w:t>
      </w:r>
      <w:r>
        <w:rPr>
          <w:i/>
          <w:color w:val="FF0000"/>
          <w:sz w:val="20"/>
          <w:szCs w:val="20"/>
        </w:rPr>
        <w:t>[Describe significant transfers into and out of level 3.]</w:t>
      </w:r>
    </w:p>
    <w:p w14:paraId="38783F3A" w14:textId="326B294F"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Gains and losses on derivatives are </w:t>
      </w:r>
      <w:r>
        <w:rPr>
          <w:color w:val="0000FF"/>
          <w:sz w:val="20"/>
          <w:szCs w:val="20"/>
        </w:rPr>
        <w:t>[presented separately in profit or loss for the year.]</w:t>
      </w:r>
      <w:r>
        <w:rPr>
          <w:color w:val="000000"/>
          <w:sz w:val="20"/>
          <w:szCs w:val="20"/>
        </w:rPr>
        <w:t xml:space="preserve"> </w:t>
      </w:r>
      <w:r>
        <w:rPr>
          <w:i/>
          <w:color w:val="FF0000"/>
          <w:sz w:val="20"/>
          <w:szCs w:val="20"/>
        </w:rPr>
        <w:t>[Disclose where the gains/losses are in the profit for the year.]</w:t>
      </w:r>
    </w:p>
    <w:p w14:paraId="781E67C3" w14:textId="5DDF8342"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Certain derivatives and promissory notes were reclassified from level 3 to level 2 instruments due to the increased activity in financial markets in </w:t>
      </w:r>
      <w:r w:rsidR="00541EBC">
        <w:rPr>
          <w:color w:val="000000"/>
          <w:sz w:val="20"/>
          <w:szCs w:val="20"/>
        </w:rPr>
        <w:t>2023</w:t>
      </w:r>
      <w:r>
        <w:rPr>
          <w:color w:val="000000"/>
          <w:sz w:val="20"/>
          <w:szCs w:val="20"/>
        </w:rPr>
        <w:t xml:space="preserve">. </w:t>
      </w:r>
      <w:r>
        <w:rPr>
          <w:i/>
          <w:color w:val="FF0000"/>
          <w:sz w:val="20"/>
          <w:szCs w:val="20"/>
        </w:rPr>
        <w:t>[Describe significant transfers into and out of level 3.]</w:t>
      </w:r>
    </w:p>
    <w:p w14:paraId="417F9FEC"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(b) </w:t>
      </w:r>
      <w:r>
        <w:rPr>
          <w:b/>
          <w:i/>
          <w:color w:val="000000"/>
          <w:sz w:val="20"/>
          <w:szCs w:val="20"/>
        </w:rPr>
        <w:tab/>
        <w:t>Non-recurring fair value measurements</w:t>
      </w:r>
    </w:p>
    <w:p w14:paraId="5826F2C8" w14:textId="18FB20F7" w:rsidR="00D83E33" w:rsidRDefault="00BC4072" w:rsidP="001B330E">
      <w:pPr>
        <w:widowControl w:val="0"/>
        <w:spacing w:before="200" w:after="200"/>
        <w:jc w:val="both"/>
        <w:rPr>
          <w:sz w:val="20"/>
          <w:szCs w:val="20"/>
        </w:rPr>
      </w:pPr>
      <w:r>
        <w:rPr>
          <w:sz w:val="20"/>
          <w:szCs w:val="20"/>
        </w:rPr>
        <w:t>The Group has written down its non-current assets held for sale to fair value less costs to sell. The fair value belongs to level 3 measurements in the fair value hierarchy. The valuation technique and inputs used in the fair value measurement at 31</w:t>
      </w:r>
      <w:r w:rsidR="00181687">
        <w:rPr>
          <w:sz w:val="20"/>
          <w:szCs w:val="20"/>
        </w:rPr>
        <w:t> December </w:t>
      </w:r>
      <w:r w:rsidR="00541EBC">
        <w:rPr>
          <w:sz w:val="20"/>
          <w:szCs w:val="20"/>
        </w:rPr>
        <w:t>2024</w:t>
      </w:r>
      <w:r>
        <w:rPr>
          <w:sz w:val="20"/>
          <w:szCs w:val="20"/>
        </w:rPr>
        <w:t>:</w:t>
      </w:r>
    </w:p>
    <w:tbl>
      <w:tblPr>
        <w:tblStyle w:val="afffffffffffffffff"/>
        <w:tblW w:w="5000" w:type="pct"/>
        <w:tblLayout w:type="fixed"/>
        <w:tblLook w:val="0000" w:firstRow="0" w:lastRow="0" w:firstColumn="0" w:lastColumn="0" w:noHBand="0" w:noVBand="0"/>
      </w:tblPr>
      <w:tblGrid>
        <w:gridCol w:w="2706"/>
        <w:gridCol w:w="1014"/>
        <w:gridCol w:w="1579"/>
        <w:gridCol w:w="1579"/>
        <w:gridCol w:w="1240"/>
        <w:gridCol w:w="1237"/>
      </w:tblGrid>
      <w:tr w:rsidR="00D83E33" w:rsidRPr="00EA10CF" w14:paraId="729D9833" w14:textId="77777777" w:rsidTr="001B330E">
        <w:trPr>
          <w:trHeight w:val="23"/>
        </w:trPr>
        <w:tc>
          <w:tcPr>
            <w:tcW w:w="1446" w:type="pct"/>
            <w:vAlign w:val="bottom"/>
          </w:tcPr>
          <w:p w14:paraId="693CB886" w14:textId="77777777" w:rsidR="00D83E33" w:rsidRPr="00EA10CF" w:rsidRDefault="00D83E33" w:rsidP="001B330E">
            <w:pPr>
              <w:widowControl w:val="0"/>
              <w:pBdr>
                <w:top w:val="nil"/>
                <w:left w:val="nil"/>
                <w:bottom w:val="nil"/>
                <w:right w:val="nil"/>
                <w:between w:val="nil"/>
              </w:pBdr>
              <w:ind w:left="113" w:hanging="113"/>
              <w:rPr>
                <w:b/>
                <w:color w:val="000000"/>
              </w:rPr>
            </w:pPr>
          </w:p>
        </w:tc>
        <w:tc>
          <w:tcPr>
            <w:tcW w:w="542" w:type="pct"/>
          </w:tcPr>
          <w:p w14:paraId="597FCCA9" w14:textId="77777777" w:rsidR="00D83E33" w:rsidRPr="00EA10CF" w:rsidRDefault="00D83E33" w:rsidP="001B330E">
            <w:pPr>
              <w:widowControl w:val="0"/>
              <w:pBdr>
                <w:top w:val="nil"/>
                <w:left w:val="nil"/>
                <w:bottom w:val="nil"/>
                <w:right w:val="nil"/>
                <w:between w:val="nil"/>
              </w:pBdr>
              <w:jc w:val="right"/>
              <w:rPr>
                <w:b/>
                <w:color w:val="000000"/>
              </w:rPr>
            </w:pPr>
          </w:p>
        </w:tc>
        <w:tc>
          <w:tcPr>
            <w:tcW w:w="844" w:type="pct"/>
          </w:tcPr>
          <w:p w14:paraId="16DB6363" w14:textId="77777777" w:rsidR="00D83E33" w:rsidRPr="00EA10CF" w:rsidRDefault="00D83E33" w:rsidP="001B330E">
            <w:pPr>
              <w:widowControl w:val="0"/>
              <w:pBdr>
                <w:top w:val="nil"/>
                <w:left w:val="nil"/>
                <w:bottom w:val="nil"/>
                <w:right w:val="nil"/>
                <w:between w:val="nil"/>
              </w:pBdr>
              <w:jc w:val="right"/>
              <w:rPr>
                <w:b/>
                <w:color w:val="000000"/>
              </w:rPr>
            </w:pPr>
          </w:p>
        </w:tc>
        <w:tc>
          <w:tcPr>
            <w:tcW w:w="844" w:type="pct"/>
          </w:tcPr>
          <w:p w14:paraId="79808755" w14:textId="77777777" w:rsidR="00D83E33" w:rsidRPr="00EA10CF" w:rsidRDefault="00D83E33" w:rsidP="001B330E">
            <w:pPr>
              <w:widowControl w:val="0"/>
              <w:pBdr>
                <w:top w:val="nil"/>
                <w:left w:val="nil"/>
                <w:bottom w:val="nil"/>
                <w:right w:val="nil"/>
                <w:between w:val="nil"/>
              </w:pBdr>
              <w:jc w:val="right"/>
              <w:rPr>
                <w:b/>
                <w:color w:val="000000"/>
              </w:rPr>
            </w:pPr>
          </w:p>
        </w:tc>
        <w:tc>
          <w:tcPr>
            <w:tcW w:w="1324" w:type="pct"/>
            <w:gridSpan w:val="2"/>
            <w:tcBorders>
              <w:bottom w:val="single" w:sz="4" w:space="0" w:color="000000"/>
            </w:tcBorders>
          </w:tcPr>
          <w:p w14:paraId="52D4B4D3" w14:textId="77777777" w:rsidR="00D83E33" w:rsidRPr="00EA10CF" w:rsidRDefault="00BC4072" w:rsidP="001B330E">
            <w:pPr>
              <w:widowControl w:val="0"/>
              <w:pBdr>
                <w:top w:val="nil"/>
                <w:left w:val="nil"/>
                <w:bottom w:val="nil"/>
                <w:right w:val="nil"/>
                <w:between w:val="nil"/>
              </w:pBdr>
              <w:jc w:val="center"/>
              <w:rPr>
                <w:b/>
                <w:color w:val="000000"/>
              </w:rPr>
            </w:pPr>
            <w:r w:rsidRPr="00EA10CF">
              <w:rPr>
                <w:b/>
                <w:color w:val="000000"/>
              </w:rPr>
              <w:t>Range of inputs</w:t>
            </w:r>
          </w:p>
          <w:p w14:paraId="4529E0B0" w14:textId="77777777" w:rsidR="00D83E33" w:rsidRPr="00EA10CF" w:rsidRDefault="00BC4072" w:rsidP="001B330E">
            <w:pPr>
              <w:widowControl w:val="0"/>
              <w:pBdr>
                <w:top w:val="nil"/>
                <w:left w:val="nil"/>
                <w:bottom w:val="nil"/>
                <w:right w:val="nil"/>
                <w:between w:val="nil"/>
              </w:pBdr>
              <w:jc w:val="center"/>
              <w:rPr>
                <w:b/>
                <w:color w:val="000000"/>
              </w:rPr>
            </w:pPr>
            <w:r w:rsidRPr="00EA10CF">
              <w:rPr>
                <w:b/>
                <w:color w:val="000000"/>
              </w:rPr>
              <w:t>(weighted average)</w:t>
            </w:r>
          </w:p>
        </w:tc>
      </w:tr>
      <w:tr w:rsidR="00D83E33" w:rsidRPr="00EA10CF" w14:paraId="6FA2923F" w14:textId="77777777" w:rsidTr="001B330E">
        <w:trPr>
          <w:trHeight w:val="23"/>
        </w:trPr>
        <w:tc>
          <w:tcPr>
            <w:tcW w:w="1446" w:type="pct"/>
            <w:tcBorders>
              <w:bottom w:val="single" w:sz="4" w:space="0" w:color="000000"/>
            </w:tcBorders>
            <w:vAlign w:val="bottom"/>
          </w:tcPr>
          <w:p w14:paraId="22E4DBAF" w14:textId="38522EFC" w:rsidR="00D83E33" w:rsidRPr="00EA10CF"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542" w:type="pct"/>
            <w:tcBorders>
              <w:bottom w:val="single" w:sz="4" w:space="0" w:color="000000"/>
            </w:tcBorders>
          </w:tcPr>
          <w:p w14:paraId="40CC857E"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Fair value</w:t>
            </w:r>
          </w:p>
        </w:tc>
        <w:tc>
          <w:tcPr>
            <w:tcW w:w="844" w:type="pct"/>
            <w:tcBorders>
              <w:bottom w:val="single" w:sz="4" w:space="0" w:color="000000"/>
            </w:tcBorders>
          </w:tcPr>
          <w:p w14:paraId="012A001B"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Valuation technique</w:t>
            </w:r>
          </w:p>
        </w:tc>
        <w:tc>
          <w:tcPr>
            <w:tcW w:w="844" w:type="pct"/>
            <w:tcBorders>
              <w:bottom w:val="single" w:sz="4" w:space="0" w:color="000000"/>
            </w:tcBorders>
          </w:tcPr>
          <w:p w14:paraId="4352AA4E" w14:textId="77777777" w:rsidR="00D83E33" w:rsidRPr="00EA10CF" w:rsidRDefault="00BC4072" w:rsidP="001B330E">
            <w:pPr>
              <w:widowControl w:val="0"/>
              <w:pBdr>
                <w:top w:val="nil"/>
                <w:left w:val="nil"/>
                <w:bottom w:val="nil"/>
                <w:right w:val="nil"/>
                <w:between w:val="nil"/>
              </w:pBdr>
              <w:jc w:val="right"/>
              <w:rPr>
                <w:b/>
                <w:color w:val="000000"/>
              </w:rPr>
            </w:pPr>
            <w:r w:rsidRPr="00EA10CF">
              <w:rPr>
                <w:b/>
                <w:color w:val="000000"/>
              </w:rPr>
              <w:t>Inputs used</w:t>
            </w:r>
          </w:p>
        </w:tc>
        <w:tc>
          <w:tcPr>
            <w:tcW w:w="663" w:type="pct"/>
            <w:tcBorders>
              <w:top w:val="single" w:sz="4" w:space="0" w:color="000000"/>
              <w:bottom w:val="single" w:sz="4" w:space="0" w:color="000000"/>
            </w:tcBorders>
          </w:tcPr>
          <w:p w14:paraId="555C4967" w14:textId="752C6AD6"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31</w:t>
            </w:r>
            <w:r w:rsidR="00181687">
              <w:rPr>
                <w:b/>
                <w:color w:val="000000"/>
              </w:rPr>
              <w:t> December </w:t>
            </w:r>
            <w:r w:rsidR="00541EBC">
              <w:rPr>
                <w:b/>
                <w:color w:val="000000"/>
              </w:rPr>
              <w:t>2024</w:t>
            </w:r>
          </w:p>
        </w:tc>
        <w:tc>
          <w:tcPr>
            <w:tcW w:w="661" w:type="pct"/>
            <w:tcBorders>
              <w:top w:val="single" w:sz="4" w:space="0" w:color="000000"/>
              <w:bottom w:val="single" w:sz="4" w:space="0" w:color="000000"/>
            </w:tcBorders>
          </w:tcPr>
          <w:p w14:paraId="5078DC45" w14:textId="4E33C9E8" w:rsidR="00D83E33" w:rsidRPr="00EA10CF" w:rsidRDefault="00BC4072" w:rsidP="001B330E">
            <w:pPr>
              <w:widowControl w:val="0"/>
              <w:pBdr>
                <w:top w:val="nil"/>
                <w:left w:val="nil"/>
                <w:bottom w:val="nil"/>
                <w:right w:val="nil"/>
                <w:between w:val="nil"/>
              </w:pBdr>
              <w:ind w:left="-113"/>
              <w:jc w:val="right"/>
              <w:rPr>
                <w:b/>
                <w:color w:val="000000"/>
              </w:rPr>
            </w:pPr>
            <w:r w:rsidRPr="00EA10CF">
              <w:rPr>
                <w:b/>
                <w:color w:val="000000"/>
              </w:rPr>
              <w:t>31</w:t>
            </w:r>
            <w:r w:rsidR="00181687">
              <w:rPr>
                <w:b/>
                <w:color w:val="000000"/>
              </w:rPr>
              <w:t> December </w:t>
            </w:r>
          </w:p>
          <w:p w14:paraId="47A71377" w14:textId="440B7C0B" w:rsidR="00D83E33" w:rsidRPr="00EA10CF" w:rsidRDefault="00541EBC" w:rsidP="001B330E">
            <w:pPr>
              <w:widowControl w:val="0"/>
              <w:pBdr>
                <w:top w:val="nil"/>
                <w:left w:val="nil"/>
                <w:bottom w:val="nil"/>
                <w:right w:val="nil"/>
                <w:between w:val="nil"/>
              </w:pBdr>
              <w:ind w:left="-113"/>
              <w:jc w:val="right"/>
              <w:rPr>
                <w:b/>
                <w:color w:val="000000"/>
              </w:rPr>
            </w:pPr>
            <w:r>
              <w:rPr>
                <w:b/>
                <w:color w:val="000000"/>
              </w:rPr>
              <w:t>2023</w:t>
            </w:r>
          </w:p>
        </w:tc>
      </w:tr>
      <w:tr w:rsidR="00D83E33" w:rsidRPr="00EA10CF" w14:paraId="6DDCDAB5" w14:textId="77777777" w:rsidTr="001B330E">
        <w:trPr>
          <w:trHeight w:val="23"/>
        </w:trPr>
        <w:tc>
          <w:tcPr>
            <w:tcW w:w="1446" w:type="pct"/>
            <w:tcBorders>
              <w:top w:val="single" w:sz="4" w:space="0" w:color="000000"/>
            </w:tcBorders>
            <w:vAlign w:val="bottom"/>
          </w:tcPr>
          <w:p w14:paraId="4AD168CE"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b/>
                <w:color w:val="000000"/>
              </w:rPr>
              <w:t> </w:t>
            </w:r>
          </w:p>
        </w:tc>
        <w:tc>
          <w:tcPr>
            <w:tcW w:w="542" w:type="pct"/>
            <w:tcBorders>
              <w:top w:val="single" w:sz="4" w:space="0" w:color="000000"/>
            </w:tcBorders>
            <w:vAlign w:val="bottom"/>
          </w:tcPr>
          <w:p w14:paraId="5EAE92A8" w14:textId="77777777" w:rsidR="00D83E33" w:rsidRPr="00EA10CF" w:rsidRDefault="00D83E33" w:rsidP="001B330E">
            <w:pPr>
              <w:widowControl w:val="0"/>
              <w:pBdr>
                <w:top w:val="nil"/>
                <w:left w:val="nil"/>
                <w:bottom w:val="nil"/>
                <w:right w:val="nil"/>
                <w:between w:val="nil"/>
              </w:pBdr>
              <w:rPr>
                <w:color w:val="000000"/>
              </w:rPr>
            </w:pPr>
          </w:p>
        </w:tc>
        <w:tc>
          <w:tcPr>
            <w:tcW w:w="844" w:type="pct"/>
            <w:tcBorders>
              <w:top w:val="single" w:sz="4" w:space="0" w:color="000000"/>
            </w:tcBorders>
            <w:vAlign w:val="bottom"/>
          </w:tcPr>
          <w:p w14:paraId="6A3D1F7B" w14:textId="77777777" w:rsidR="00D83E33" w:rsidRPr="00EA10CF" w:rsidRDefault="00D83E33" w:rsidP="001B330E">
            <w:pPr>
              <w:widowControl w:val="0"/>
              <w:pBdr>
                <w:top w:val="nil"/>
                <w:left w:val="nil"/>
                <w:bottom w:val="nil"/>
                <w:right w:val="nil"/>
                <w:between w:val="nil"/>
              </w:pBdr>
              <w:rPr>
                <w:color w:val="000000"/>
              </w:rPr>
            </w:pPr>
          </w:p>
        </w:tc>
        <w:tc>
          <w:tcPr>
            <w:tcW w:w="844" w:type="pct"/>
            <w:tcBorders>
              <w:top w:val="single" w:sz="4" w:space="0" w:color="000000"/>
            </w:tcBorders>
            <w:vAlign w:val="bottom"/>
          </w:tcPr>
          <w:p w14:paraId="45ED9377" w14:textId="77777777" w:rsidR="00D83E33" w:rsidRPr="00EA10CF" w:rsidRDefault="00D83E33" w:rsidP="001B330E">
            <w:pPr>
              <w:widowControl w:val="0"/>
              <w:pBdr>
                <w:top w:val="nil"/>
                <w:left w:val="nil"/>
                <w:bottom w:val="nil"/>
                <w:right w:val="nil"/>
                <w:between w:val="nil"/>
              </w:pBdr>
              <w:rPr>
                <w:color w:val="000000"/>
              </w:rPr>
            </w:pPr>
          </w:p>
        </w:tc>
        <w:tc>
          <w:tcPr>
            <w:tcW w:w="663" w:type="pct"/>
            <w:tcBorders>
              <w:top w:val="single" w:sz="4" w:space="0" w:color="000000"/>
            </w:tcBorders>
            <w:vAlign w:val="bottom"/>
          </w:tcPr>
          <w:p w14:paraId="463F17A5" w14:textId="77777777" w:rsidR="00D83E33" w:rsidRPr="00EA10CF" w:rsidRDefault="00D83E33" w:rsidP="001B330E">
            <w:pPr>
              <w:widowControl w:val="0"/>
              <w:pBdr>
                <w:top w:val="nil"/>
                <w:left w:val="nil"/>
                <w:bottom w:val="nil"/>
                <w:right w:val="nil"/>
                <w:between w:val="nil"/>
              </w:pBdr>
              <w:rPr>
                <w:color w:val="000000"/>
              </w:rPr>
            </w:pPr>
          </w:p>
        </w:tc>
        <w:tc>
          <w:tcPr>
            <w:tcW w:w="661" w:type="pct"/>
            <w:tcBorders>
              <w:top w:val="single" w:sz="4" w:space="0" w:color="000000"/>
            </w:tcBorders>
            <w:vAlign w:val="bottom"/>
          </w:tcPr>
          <w:p w14:paraId="7D7ADF7E" w14:textId="77777777" w:rsidR="00D83E33" w:rsidRPr="00EA10CF" w:rsidRDefault="00D83E33" w:rsidP="001B330E">
            <w:pPr>
              <w:widowControl w:val="0"/>
              <w:pBdr>
                <w:top w:val="nil"/>
                <w:left w:val="nil"/>
                <w:bottom w:val="nil"/>
                <w:right w:val="nil"/>
                <w:between w:val="nil"/>
              </w:pBdr>
              <w:rPr>
                <w:color w:val="000000"/>
              </w:rPr>
            </w:pPr>
          </w:p>
        </w:tc>
      </w:tr>
      <w:tr w:rsidR="00D83E33" w:rsidRPr="00EA10CF" w14:paraId="21E454AA" w14:textId="77777777" w:rsidTr="001B330E">
        <w:trPr>
          <w:trHeight w:val="23"/>
        </w:trPr>
        <w:tc>
          <w:tcPr>
            <w:tcW w:w="1446" w:type="pct"/>
            <w:vAlign w:val="bottom"/>
          </w:tcPr>
          <w:p w14:paraId="4CBF4E5C" w14:textId="77777777" w:rsidR="00D83E33" w:rsidRPr="00EA10CF" w:rsidRDefault="00BC4072" w:rsidP="001B330E">
            <w:pPr>
              <w:widowControl w:val="0"/>
              <w:pBdr>
                <w:top w:val="nil"/>
                <w:left w:val="nil"/>
                <w:bottom w:val="nil"/>
                <w:right w:val="nil"/>
                <w:between w:val="nil"/>
              </w:pBdr>
              <w:ind w:left="113" w:hanging="113"/>
              <w:rPr>
                <w:b/>
                <w:color w:val="000000"/>
              </w:rPr>
            </w:pPr>
            <w:r w:rsidRPr="00EA10CF">
              <w:rPr>
                <w:color w:val="000000"/>
              </w:rPr>
              <w:t>Non-current assets held for sale (or disposal groups)</w:t>
            </w:r>
          </w:p>
        </w:tc>
        <w:tc>
          <w:tcPr>
            <w:tcW w:w="542" w:type="pct"/>
            <w:vAlign w:val="bottom"/>
          </w:tcPr>
          <w:p w14:paraId="622DFBF5" w14:textId="77777777" w:rsidR="00D83E33" w:rsidRPr="00EA10CF" w:rsidRDefault="00D83E33" w:rsidP="001B330E">
            <w:pPr>
              <w:widowControl w:val="0"/>
              <w:pBdr>
                <w:top w:val="nil"/>
                <w:left w:val="nil"/>
                <w:bottom w:val="nil"/>
                <w:right w:val="nil"/>
                <w:between w:val="nil"/>
              </w:pBdr>
              <w:jc w:val="right"/>
              <w:rPr>
                <w:color w:val="0000FF"/>
              </w:rPr>
            </w:pPr>
          </w:p>
        </w:tc>
        <w:tc>
          <w:tcPr>
            <w:tcW w:w="844" w:type="pct"/>
            <w:vAlign w:val="bottom"/>
          </w:tcPr>
          <w:p w14:paraId="1927CC5C" w14:textId="77777777" w:rsidR="00D83E33" w:rsidRPr="00EA10CF" w:rsidRDefault="00BC4072" w:rsidP="001B330E">
            <w:pPr>
              <w:widowControl w:val="0"/>
              <w:pBdr>
                <w:top w:val="nil"/>
                <w:left w:val="nil"/>
                <w:bottom w:val="nil"/>
                <w:right w:val="nil"/>
                <w:between w:val="nil"/>
              </w:pBdr>
              <w:jc w:val="right"/>
              <w:rPr>
                <w:color w:val="0000FF"/>
              </w:rPr>
            </w:pPr>
            <w:r w:rsidRPr="00EA10CF">
              <w:rPr>
                <w:color w:val="0000FF"/>
              </w:rPr>
              <w:t>[Discounted cash flows (“DCF”)]</w:t>
            </w:r>
          </w:p>
        </w:tc>
        <w:tc>
          <w:tcPr>
            <w:tcW w:w="844" w:type="pct"/>
            <w:vAlign w:val="bottom"/>
          </w:tcPr>
          <w:p w14:paraId="26D79D8C" w14:textId="77777777" w:rsidR="00D83E33" w:rsidRPr="00EA10CF" w:rsidRDefault="00BC4072" w:rsidP="001B330E">
            <w:pPr>
              <w:widowControl w:val="0"/>
              <w:pBdr>
                <w:top w:val="nil"/>
                <w:left w:val="nil"/>
                <w:bottom w:val="nil"/>
                <w:right w:val="nil"/>
                <w:between w:val="nil"/>
              </w:pBdr>
              <w:jc w:val="right"/>
              <w:rPr>
                <w:color w:val="0000FF"/>
              </w:rPr>
            </w:pPr>
            <w:r w:rsidRPr="00EA10CF">
              <w:rPr>
                <w:color w:val="0000FF"/>
              </w:rPr>
              <w:t>WACC</w:t>
            </w:r>
          </w:p>
        </w:tc>
        <w:tc>
          <w:tcPr>
            <w:tcW w:w="663" w:type="pct"/>
            <w:vAlign w:val="bottom"/>
          </w:tcPr>
          <w:p w14:paraId="38C3B936" w14:textId="77777777" w:rsidR="00D83E33" w:rsidRPr="00EA10CF" w:rsidRDefault="00BC4072" w:rsidP="001B330E">
            <w:pPr>
              <w:widowControl w:val="0"/>
              <w:pBdr>
                <w:top w:val="nil"/>
                <w:left w:val="nil"/>
                <w:bottom w:val="nil"/>
                <w:right w:val="nil"/>
                <w:between w:val="nil"/>
              </w:pBdr>
              <w:jc w:val="right"/>
              <w:rPr>
                <w:color w:val="0000FF"/>
              </w:rPr>
            </w:pPr>
            <w:r w:rsidRPr="00EA10CF">
              <w:rPr>
                <w:color w:val="0000FF"/>
              </w:rPr>
              <w:t>[5.0 -6.0% (5.5%)]</w:t>
            </w:r>
          </w:p>
        </w:tc>
        <w:tc>
          <w:tcPr>
            <w:tcW w:w="661" w:type="pct"/>
            <w:vAlign w:val="bottom"/>
          </w:tcPr>
          <w:p w14:paraId="47A50CAE" w14:textId="77777777" w:rsidR="00D83E33" w:rsidRPr="00EA10CF" w:rsidRDefault="00BC4072" w:rsidP="001B330E">
            <w:pPr>
              <w:widowControl w:val="0"/>
              <w:pBdr>
                <w:top w:val="nil"/>
                <w:left w:val="nil"/>
                <w:bottom w:val="nil"/>
                <w:right w:val="nil"/>
                <w:between w:val="nil"/>
              </w:pBdr>
              <w:jc w:val="right"/>
              <w:rPr>
                <w:color w:val="0000FF"/>
              </w:rPr>
            </w:pPr>
            <w:r w:rsidRPr="00EA10CF">
              <w:rPr>
                <w:color w:val="0000FF"/>
              </w:rPr>
              <w:t>[5.0 -6.0% (5.5%)]</w:t>
            </w:r>
          </w:p>
        </w:tc>
      </w:tr>
      <w:tr w:rsidR="00D83E33" w:rsidRPr="00EA10CF" w14:paraId="60A3DDFC" w14:textId="77777777" w:rsidTr="001B330E">
        <w:trPr>
          <w:trHeight w:val="23"/>
        </w:trPr>
        <w:tc>
          <w:tcPr>
            <w:tcW w:w="1446" w:type="pct"/>
            <w:vAlign w:val="bottom"/>
          </w:tcPr>
          <w:p w14:paraId="4F90D559"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42" w:type="pct"/>
            <w:vAlign w:val="bottom"/>
          </w:tcPr>
          <w:p w14:paraId="02559E23" w14:textId="77777777" w:rsidR="00D83E33" w:rsidRPr="00EA10CF" w:rsidRDefault="00D83E33" w:rsidP="001B330E">
            <w:pPr>
              <w:widowControl w:val="0"/>
              <w:pBdr>
                <w:top w:val="nil"/>
                <w:left w:val="nil"/>
                <w:bottom w:val="nil"/>
                <w:right w:val="nil"/>
                <w:between w:val="nil"/>
              </w:pBdr>
              <w:jc w:val="right"/>
              <w:rPr>
                <w:color w:val="0000FF"/>
              </w:rPr>
            </w:pPr>
          </w:p>
        </w:tc>
        <w:tc>
          <w:tcPr>
            <w:tcW w:w="844" w:type="pct"/>
            <w:vAlign w:val="bottom"/>
          </w:tcPr>
          <w:p w14:paraId="29A06049" w14:textId="77777777" w:rsidR="00D83E33" w:rsidRPr="00EA10CF" w:rsidRDefault="00D83E33" w:rsidP="001B330E">
            <w:pPr>
              <w:widowControl w:val="0"/>
              <w:pBdr>
                <w:top w:val="nil"/>
                <w:left w:val="nil"/>
                <w:bottom w:val="nil"/>
                <w:right w:val="nil"/>
                <w:between w:val="nil"/>
              </w:pBdr>
              <w:rPr>
                <w:color w:val="0000FF"/>
              </w:rPr>
            </w:pPr>
          </w:p>
        </w:tc>
        <w:tc>
          <w:tcPr>
            <w:tcW w:w="844" w:type="pct"/>
            <w:vAlign w:val="bottom"/>
          </w:tcPr>
          <w:p w14:paraId="089A9383" w14:textId="77777777" w:rsidR="00D83E33" w:rsidRPr="00EA10CF" w:rsidRDefault="00BC4072" w:rsidP="001B330E">
            <w:pPr>
              <w:widowControl w:val="0"/>
              <w:pBdr>
                <w:top w:val="nil"/>
                <w:left w:val="nil"/>
                <w:bottom w:val="nil"/>
                <w:right w:val="nil"/>
                <w:between w:val="nil"/>
              </w:pBdr>
              <w:jc w:val="right"/>
              <w:rPr>
                <w:color w:val="0000FF"/>
              </w:rPr>
            </w:pPr>
            <w:r w:rsidRPr="00EA10CF">
              <w:rPr>
                <w:color w:val="0000FF"/>
              </w:rPr>
              <w:t>Terminal growth</w:t>
            </w:r>
          </w:p>
        </w:tc>
        <w:tc>
          <w:tcPr>
            <w:tcW w:w="663" w:type="pct"/>
            <w:vAlign w:val="bottom"/>
          </w:tcPr>
          <w:p w14:paraId="2D19BB8B" w14:textId="77777777" w:rsidR="00D83E33" w:rsidRPr="00EA10CF" w:rsidRDefault="00D83E33" w:rsidP="001B330E">
            <w:pPr>
              <w:widowControl w:val="0"/>
              <w:pBdr>
                <w:top w:val="nil"/>
                <w:left w:val="nil"/>
                <w:bottom w:val="nil"/>
                <w:right w:val="nil"/>
                <w:between w:val="nil"/>
              </w:pBdr>
              <w:rPr>
                <w:color w:val="0000FF"/>
              </w:rPr>
            </w:pPr>
          </w:p>
        </w:tc>
        <w:tc>
          <w:tcPr>
            <w:tcW w:w="661" w:type="pct"/>
            <w:vAlign w:val="bottom"/>
          </w:tcPr>
          <w:p w14:paraId="4F3C8AC1" w14:textId="77777777" w:rsidR="00D83E33" w:rsidRPr="00EA10CF" w:rsidRDefault="00D83E33" w:rsidP="001B330E">
            <w:pPr>
              <w:widowControl w:val="0"/>
              <w:pBdr>
                <w:top w:val="nil"/>
                <w:left w:val="nil"/>
                <w:bottom w:val="nil"/>
                <w:right w:val="nil"/>
                <w:between w:val="nil"/>
              </w:pBdr>
              <w:rPr>
                <w:color w:val="0000FF"/>
              </w:rPr>
            </w:pPr>
          </w:p>
        </w:tc>
      </w:tr>
      <w:tr w:rsidR="00D83E33" w:rsidRPr="00EA10CF" w14:paraId="6AD1A9A5" w14:textId="77777777" w:rsidTr="001B330E">
        <w:trPr>
          <w:trHeight w:val="23"/>
        </w:trPr>
        <w:tc>
          <w:tcPr>
            <w:tcW w:w="1446" w:type="pct"/>
            <w:vAlign w:val="bottom"/>
          </w:tcPr>
          <w:p w14:paraId="0987FE84" w14:textId="77777777" w:rsidR="00D83E33" w:rsidRPr="00EA10CF" w:rsidRDefault="00D83E33" w:rsidP="001B330E">
            <w:pPr>
              <w:widowControl w:val="0"/>
              <w:pBdr>
                <w:top w:val="nil"/>
                <w:left w:val="nil"/>
                <w:bottom w:val="nil"/>
                <w:right w:val="nil"/>
                <w:between w:val="nil"/>
              </w:pBdr>
              <w:ind w:left="113" w:hanging="113"/>
              <w:rPr>
                <w:color w:val="000000"/>
              </w:rPr>
            </w:pPr>
          </w:p>
        </w:tc>
        <w:tc>
          <w:tcPr>
            <w:tcW w:w="542" w:type="pct"/>
            <w:vAlign w:val="bottom"/>
          </w:tcPr>
          <w:p w14:paraId="413BCBFE" w14:textId="77777777" w:rsidR="00D83E33" w:rsidRPr="00EA10CF" w:rsidRDefault="00D83E33" w:rsidP="001B330E">
            <w:pPr>
              <w:widowControl w:val="0"/>
              <w:pBdr>
                <w:top w:val="nil"/>
                <w:left w:val="nil"/>
                <w:bottom w:val="nil"/>
                <w:right w:val="nil"/>
                <w:between w:val="nil"/>
              </w:pBdr>
              <w:jc w:val="right"/>
              <w:rPr>
                <w:color w:val="0000FF"/>
              </w:rPr>
            </w:pPr>
          </w:p>
        </w:tc>
        <w:tc>
          <w:tcPr>
            <w:tcW w:w="844" w:type="pct"/>
            <w:vAlign w:val="bottom"/>
          </w:tcPr>
          <w:p w14:paraId="2E0DB866" w14:textId="77777777" w:rsidR="00D83E33" w:rsidRPr="00EA10CF" w:rsidRDefault="00D83E33" w:rsidP="001B330E">
            <w:pPr>
              <w:widowControl w:val="0"/>
              <w:pBdr>
                <w:top w:val="nil"/>
                <w:left w:val="nil"/>
                <w:bottom w:val="nil"/>
                <w:right w:val="nil"/>
                <w:between w:val="nil"/>
              </w:pBdr>
              <w:rPr>
                <w:color w:val="0000FF"/>
              </w:rPr>
            </w:pPr>
          </w:p>
        </w:tc>
        <w:tc>
          <w:tcPr>
            <w:tcW w:w="844" w:type="pct"/>
            <w:vAlign w:val="bottom"/>
          </w:tcPr>
          <w:p w14:paraId="5F67F4D3" w14:textId="77777777" w:rsidR="00D83E33" w:rsidRPr="00EA10CF" w:rsidRDefault="00BC4072" w:rsidP="001B330E">
            <w:pPr>
              <w:widowControl w:val="0"/>
              <w:pBdr>
                <w:top w:val="nil"/>
                <w:left w:val="nil"/>
                <w:bottom w:val="nil"/>
                <w:right w:val="nil"/>
                <w:between w:val="nil"/>
              </w:pBdr>
              <w:jc w:val="right"/>
              <w:rPr>
                <w:color w:val="0000FF"/>
              </w:rPr>
            </w:pPr>
            <w:r w:rsidRPr="00EA10CF">
              <w:rPr>
                <w:color w:val="0000FF"/>
              </w:rPr>
              <w:t>Growth rate for years 1 to 5</w:t>
            </w:r>
          </w:p>
        </w:tc>
        <w:tc>
          <w:tcPr>
            <w:tcW w:w="663" w:type="pct"/>
            <w:vAlign w:val="bottom"/>
          </w:tcPr>
          <w:p w14:paraId="32281F57" w14:textId="77777777" w:rsidR="00D83E33" w:rsidRPr="00EA10CF" w:rsidRDefault="00D83E33" w:rsidP="001B330E">
            <w:pPr>
              <w:widowControl w:val="0"/>
              <w:pBdr>
                <w:top w:val="nil"/>
                <w:left w:val="nil"/>
                <w:bottom w:val="nil"/>
                <w:right w:val="nil"/>
                <w:between w:val="nil"/>
              </w:pBdr>
              <w:rPr>
                <w:color w:val="0000FF"/>
              </w:rPr>
            </w:pPr>
          </w:p>
        </w:tc>
        <w:tc>
          <w:tcPr>
            <w:tcW w:w="661" w:type="pct"/>
            <w:vAlign w:val="bottom"/>
          </w:tcPr>
          <w:p w14:paraId="48471A88" w14:textId="77777777" w:rsidR="00D83E33" w:rsidRPr="00EA10CF" w:rsidRDefault="00D83E33" w:rsidP="001B330E">
            <w:pPr>
              <w:widowControl w:val="0"/>
              <w:pBdr>
                <w:top w:val="nil"/>
                <w:left w:val="nil"/>
                <w:bottom w:val="nil"/>
                <w:right w:val="nil"/>
                <w:between w:val="nil"/>
              </w:pBdr>
              <w:jc w:val="right"/>
              <w:rPr>
                <w:color w:val="0000FF"/>
              </w:rPr>
            </w:pPr>
          </w:p>
        </w:tc>
      </w:tr>
      <w:tr w:rsidR="00D83E33" w:rsidRPr="00EA10CF" w14:paraId="05F5EE28" w14:textId="77777777" w:rsidTr="001B330E">
        <w:trPr>
          <w:trHeight w:val="23"/>
        </w:trPr>
        <w:tc>
          <w:tcPr>
            <w:tcW w:w="1446" w:type="pct"/>
            <w:tcBorders>
              <w:bottom w:val="single" w:sz="4" w:space="0" w:color="000000"/>
            </w:tcBorders>
            <w:vAlign w:val="bottom"/>
          </w:tcPr>
          <w:p w14:paraId="086621C5" w14:textId="77777777" w:rsidR="00D83E33" w:rsidRPr="00EA10CF" w:rsidRDefault="00BC4072" w:rsidP="001B330E">
            <w:pPr>
              <w:widowControl w:val="0"/>
              <w:pBdr>
                <w:top w:val="nil"/>
                <w:left w:val="nil"/>
                <w:bottom w:val="nil"/>
                <w:right w:val="nil"/>
                <w:between w:val="nil"/>
              </w:pBdr>
              <w:ind w:left="113" w:hanging="113"/>
              <w:rPr>
                <w:color w:val="000000"/>
              </w:rPr>
            </w:pPr>
            <w:r w:rsidRPr="00EA10CF">
              <w:rPr>
                <w:color w:val="000000"/>
              </w:rPr>
              <w:t> </w:t>
            </w:r>
          </w:p>
        </w:tc>
        <w:tc>
          <w:tcPr>
            <w:tcW w:w="542" w:type="pct"/>
            <w:tcBorders>
              <w:bottom w:val="single" w:sz="4" w:space="0" w:color="000000"/>
            </w:tcBorders>
            <w:vAlign w:val="bottom"/>
          </w:tcPr>
          <w:p w14:paraId="512A3BBC" w14:textId="77777777" w:rsidR="00D83E33" w:rsidRPr="00EA10CF" w:rsidRDefault="00D83E33" w:rsidP="001B330E">
            <w:pPr>
              <w:widowControl w:val="0"/>
              <w:pBdr>
                <w:top w:val="nil"/>
                <w:left w:val="nil"/>
                <w:bottom w:val="nil"/>
                <w:right w:val="nil"/>
                <w:between w:val="nil"/>
              </w:pBdr>
              <w:jc w:val="right"/>
              <w:rPr>
                <w:color w:val="0000FF"/>
              </w:rPr>
            </w:pPr>
          </w:p>
        </w:tc>
        <w:tc>
          <w:tcPr>
            <w:tcW w:w="844" w:type="pct"/>
            <w:tcBorders>
              <w:bottom w:val="single" w:sz="4" w:space="0" w:color="000000"/>
            </w:tcBorders>
            <w:vAlign w:val="bottom"/>
          </w:tcPr>
          <w:p w14:paraId="5C428BD6" w14:textId="77777777" w:rsidR="00D83E33" w:rsidRPr="00EA10CF" w:rsidRDefault="00D83E33" w:rsidP="001B330E">
            <w:pPr>
              <w:widowControl w:val="0"/>
              <w:pBdr>
                <w:top w:val="nil"/>
                <w:left w:val="nil"/>
                <w:bottom w:val="nil"/>
                <w:right w:val="nil"/>
                <w:between w:val="nil"/>
              </w:pBdr>
              <w:jc w:val="right"/>
              <w:rPr>
                <w:color w:val="0000FF"/>
              </w:rPr>
            </w:pPr>
          </w:p>
        </w:tc>
        <w:tc>
          <w:tcPr>
            <w:tcW w:w="844" w:type="pct"/>
            <w:tcBorders>
              <w:bottom w:val="single" w:sz="4" w:space="0" w:color="000000"/>
            </w:tcBorders>
            <w:vAlign w:val="bottom"/>
          </w:tcPr>
          <w:p w14:paraId="7FFB8A33" w14:textId="77777777" w:rsidR="00D83E33" w:rsidRPr="00EA10CF" w:rsidRDefault="00D83E33" w:rsidP="001B330E">
            <w:pPr>
              <w:widowControl w:val="0"/>
              <w:pBdr>
                <w:top w:val="nil"/>
                <w:left w:val="nil"/>
                <w:bottom w:val="nil"/>
                <w:right w:val="nil"/>
                <w:between w:val="nil"/>
              </w:pBdr>
              <w:jc w:val="right"/>
              <w:rPr>
                <w:color w:val="0000FF"/>
              </w:rPr>
            </w:pPr>
          </w:p>
        </w:tc>
        <w:tc>
          <w:tcPr>
            <w:tcW w:w="663" w:type="pct"/>
            <w:tcBorders>
              <w:bottom w:val="single" w:sz="4" w:space="0" w:color="000000"/>
            </w:tcBorders>
            <w:vAlign w:val="bottom"/>
          </w:tcPr>
          <w:p w14:paraId="6FF1B139" w14:textId="77777777" w:rsidR="00D83E33" w:rsidRPr="00EA10CF" w:rsidRDefault="00D83E33" w:rsidP="001B330E">
            <w:pPr>
              <w:widowControl w:val="0"/>
              <w:pBdr>
                <w:top w:val="nil"/>
                <w:left w:val="nil"/>
                <w:bottom w:val="nil"/>
                <w:right w:val="nil"/>
                <w:between w:val="nil"/>
              </w:pBdr>
              <w:jc w:val="right"/>
              <w:rPr>
                <w:color w:val="0000FF"/>
              </w:rPr>
            </w:pPr>
          </w:p>
        </w:tc>
        <w:tc>
          <w:tcPr>
            <w:tcW w:w="661" w:type="pct"/>
            <w:tcBorders>
              <w:bottom w:val="single" w:sz="4" w:space="0" w:color="000000"/>
            </w:tcBorders>
            <w:vAlign w:val="bottom"/>
          </w:tcPr>
          <w:p w14:paraId="2628CAB9" w14:textId="77777777" w:rsidR="00D83E33" w:rsidRPr="00EA10CF" w:rsidRDefault="00D83E33" w:rsidP="001B330E">
            <w:pPr>
              <w:widowControl w:val="0"/>
              <w:pBdr>
                <w:top w:val="nil"/>
                <w:left w:val="nil"/>
                <w:bottom w:val="nil"/>
                <w:right w:val="nil"/>
                <w:between w:val="nil"/>
              </w:pBdr>
              <w:jc w:val="right"/>
              <w:rPr>
                <w:color w:val="0000FF"/>
              </w:rPr>
            </w:pPr>
          </w:p>
        </w:tc>
      </w:tr>
    </w:tbl>
    <w:p w14:paraId="4ABD7B7C" w14:textId="77777777" w:rsidR="005C4425" w:rsidRDefault="005C4425" w:rsidP="005C4425">
      <w:pPr>
        <w:pStyle w:val="Continued"/>
      </w:pPr>
      <w:r>
        <w:lastRenderedPageBreak/>
        <w:t>49</w:t>
      </w:r>
      <w:r>
        <w:tab/>
        <w:t>Fair Value Disclosures (Continued)</w:t>
      </w:r>
    </w:p>
    <w:p w14:paraId="46BE2AEE" w14:textId="1642A939"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FF"/>
          <w:sz w:val="20"/>
          <w:szCs w:val="20"/>
        </w:rPr>
        <w:t>[Non-current assets held for sale include an investment property that represents industrial land and buildings. The Group valued it using its expectation to convert it into a residential complex.]</w:t>
      </w:r>
      <w:r>
        <w:rPr>
          <w:color w:val="000000"/>
          <w:sz w:val="20"/>
          <w:szCs w:val="20"/>
        </w:rPr>
        <w:t xml:space="preserve"> </w:t>
      </w:r>
      <w:r>
        <w:rPr>
          <w:i/>
          <w:color w:val="FF0000"/>
          <w:sz w:val="20"/>
          <w:szCs w:val="20"/>
        </w:rPr>
        <w:t>[Disclose that highest and best use differs from current use.]</w:t>
      </w:r>
    </w:p>
    <w:p w14:paraId="74E3922D" w14:textId="77777777" w:rsidR="00D83E33" w:rsidRDefault="00BC4072" w:rsidP="001B330E">
      <w:pPr>
        <w:widowControl w:val="0"/>
        <w:pBdr>
          <w:top w:val="nil"/>
          <w:left w:val="nil"/>
          <w:bottom w:val="nil"/>
          <w:right w:val="nil"/>
          <w:between w:val="nil"/>
        </w:pBdr>
        <w:tabs>
          <w:tab w:val="left" w:pos="567"/>
        </w:tabs>
        <w:spacing w:before="200" w:after="200"/>
        <w:jc w:val="both"/>
        <w:rPr>
          <w:b/>
          <w:i/>
          <w:color w:val="000000"/>
          <w:sz w:val="20"/>
          <w:szCs w:val="20"/>
        </w:rPr>
      </w:pPr>
      <w:r>
        <w:rPr>
          <w:b/>
          <w:i/>
          <w:color w:val="000000"/>
          <w:sz w:val="20"/>
          <w:szCs w:val="20"/>
        </w:rPr>
        <w:t>(c)</w:t>
      </w:r>
      <w:r>
        <w:rPr>
          <w:b/>
          <w:i/>
          <w:color w:val="000000"/>
          <w:sz w:val="20"/>
          <w:szCs w:val="20"/>
        </w:rPr>
        <w:tab/>
        <w:t>Valuation processes for recurring and non-recurring level 3 fair value measurements</w:t>
      </w:r>
    </w:p>
    <w:p w14:paraId="596BCB8C"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Level 3 valuations are reviewed on a weekly basis by the Group’s valuation committee who report to the Board of Directors on a monthly basis. The committee considers the appropriateness of the valuation model inputs, as well as the valuation result using various valuation methods and techniques generally recognised as standard within the financial services industry. In selecting the most appropriate valuation model the committee performs back testing and considers which model’s results have historically aligned most closely to actual market transactions. In order to value level three equity investments, the Group utilises comparable trading multiples. Management determines comparable public companies (peers) based on industry, size, developmental stage and strategy. Management then calculates a trading multiple for each comparable company identified. The multiple is calculated by dividing the enterprise value of the comparable company by its earnings before interest, taxes, depreciation and amortisation (EBITDA). The trading multiple is then discounted for considerations such as illiquidity and differences between the comparable companies based on company-specific facts and circumstances.</w:t>
      </w:r>
    </w:p>
    <w:p w14:paraId="176C95CD"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level three debt instruments are valued at the net present value of estimated future cash flows. The Group also considers liquidity, credit and market risk factors, and adjusts the valuation model as deemed necessary. </w:t>
      </w:r>
    </w:p>
    <w:p w14:paraId="3BBB8814" w14:textId="433B7CF8" w:rsidR="00D83E33" w:rsidRDefault="00BC4072">
      <w:pPr>
        <w:widowControl w:val="0"/>
        <w:pBdr>
          <w:top w:val="nil"/>
          <w:left w:val="nil"/>
          <w:bottom w:val="nil"/>
          <w:right w:val="nil"/>
          <w:between w:val="nil"/>
        </w:pBdr>
        <w:spacing w:before="200" w:after="200"/>
        <w:jc w:val="both"/>
        <w:rPr>
          <w:i/>
          <w:color w:val="FF0000"/>
          <w:sz w:val="20"/>
          <w:szCs w:val="20"/>
        </w:rPr>
      </w:pPr>
      <w:r>
        <w:rPr>
          <w:i/>
          <w:color w:val="FF0000"/>
          <w:sz w:val="20"/>
          <w:szCs w:val="20"/>
        </w:rPr>
        <w:t>[For fair value measurements categorised within Level 3 of the fair value hierarchy, an entity is required to disclose a description of the valuation processes used by the entity (including, for example, how an entity decides its valuation policies and procedures and analyses changes in fair value measurements from period to period) [IFRS13p93(g)]. The  disclosure must be tailored to the entity’s specific circumstances.]</w:t>
      </w:r>
    </w:p>
    <w:p w14:paraId="2460405B" w14:textId="38425A74" w:rsidR="00D83E33" w:rsidRDefault="00BC4072" w:rsidP="001B330E">
      <w:pPr>
        <w:pStyle w:val="Continued"/>
      </w:pPr>
      <w:r>
        <w:lastRenderedPageBreak/>
        <w:t>49</w:t>
      </w:r>
      <w:r>
        <w:tab/>
        <w:t>Fair Value Disclosures (Continued)</w:t>
      </w:r>
    </w:p>
    <w:p w14:paraId="1B91BBC7" w14:textId="77777777" w:rsidR="00D83E33" w:rsidRDefault="00BC4072" w:rsidP="001B330E">
      <w:pPr>
        <w:widowControl w:val="0"/>
        <w:pBdr>
          <w:top w:val="nil"/>
          <w:left w:val="nil"/>
          <w:bottom w:val="nil"/>
          <w:right w:val="nil"/>
          <w:between w:val="nil"/>
        </w:pBdr>
        <w:spacing w:before="200" w:after="200"/>
        <w:ind w:left="567" w:hanging="567"/>
        <w:jc w:val="both"/>
        <w:rPr>
          <w:b/>
          <w:i/>
          <w:color w:val="000000"/>
          <w:sz w:val="20"/>
          <w:szCs w:val="20"/>
        </w:rPr>
      </w:pPr>
      <w:r>
        <w:rPr>
          <w:b/>
          <w:i/>
          <w:color w:val="000000"/>
          <w:sz w:val="20"/>
          <w:szCs w:val="20"/>
        </w:rPr>
        <w:t xml:space="preserve">(d) </w:t>
      </w:r>
      <w:r>
        <w:rPr>
          <w:b/>
          <w:i/>
          <w:color w:val="000000"/>
          <w:sz w:val="20"/>
          <w:szCs w:val="20"/>
        </w:rPr>
        <w:tab/>
        <w:t>Assets and liabilities not measured at fair value but for which fair value is disclosed</w:t>
      </w:r>
    </w:p>
    <w:p w14:paraId="40DD772B"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Fair values analysed by level in the fair value hierarchy and carrying value of assets not measured at fair value are as follows:</w:t>
      </w:r>
    </w:p>
    <w:tbl>
      <w:tblPr>
        <w:tblStyle w:val="afffffffffffffffff0"/>
        <w:tblW w:w="5000" w:type="pct"/>
        <w:tblLayout w:type="fixed"/>
        <w:tblLook w:val="0000" w:firstRow="0" w:lastRow="0" w:firstColumn="0" w:lastColumn="0" w:noHBand="0" w:noVBand="0"/>
      </w:tblPr>
      <w:tblGrid>
        <w:gridCol w:w="2695"/>
        <w:gridCol w:w="707"/>
        <w:gridCol w:w="623"/>
        <w:gridCol w:w="679"/>
        <w:gridCol w:w="597"/>
        <w:gridCol w:w="707"/>
        <w:gridCol w:w="655"/>
        <w:gridCol w:w="567"/>
        <w:gridCol w:w="707"/>
        <w:gridCol w:w="793"/>
        <w:gridCol w:w="625"/>
      </w:tblGrid>
      <w:tr w:rsidR="00D83E33" w:rsidRPr="002762A6" w14:paraId="79448FF6" w14:textId="77777777" w:rsidTr="001B330E">
        <w:trPr>
          <w:trHeight w:val="23"/>
        </w:trPr>
        <w:tc>
          <w:tcPr>
            <w:tcW w:w="1440" w:type="pct"/>
            <w:vAlign w:val="bottom"/>
          </w:tcPr>
          <w:p w14:paraId="0B31771A" w14:textId="77777777" w:rsidR="00D83E33" w:rsidRPr="001B330E" w:rsidRDefault="00D83E33">
            <w:pPr>
              <w:widowControl w:val="0"/>
              <w:pBdr>
                <w:top w:val="nil"/>
                <w:left w:val="nil"/>
                <w:bottom w:val="nil"/>
                <w:right w:val="nil"/>
                <w:between w:val="nil"/>
              </w:pBdr>
              <w:jc w:val="center"/>
              <w:rPr>
                <w:b/>
                <w:color w:val="000000"/>
                <w:sz w:val="17"/>
                <w:szCs w:val="17"/>
              </w:rPr>
            </w:pPr>
          </w:p>
        </w:tc>
        <w:tc>
          <w:tcPr>
            <w:tcW w:w="378" w:type="pct"/>
          </w:tcPr>
          <w:p w14:paraId="03B2E90E" w14:textId="77777777" w:rsidR="00D83E33" w:rsidRPr="001B330E" w:rsidRDefault="00D83E33">
            <w:pPr>
              <w:widowControl w:val="0"/>
              <w:pBdr>
                <w:top w:val="nil"/>
                <w:left w:val="nil"/>
                <w:bottom w:val="nil"/>
                <w:right w:val="nil"/>
                <w:between w:val="nil"/>
              </w:pBdr>
              <w:jc w:val="center"/>
              <w:rPr>
                <w:b/>
                <w:color w:val="000000"/>
                <w:sz w:val="17"/>
                <w:szCs w:val="17"/>
              </w:rPr>
            </w:pPr>
          </w:p>
        </w:tc>
        <w:tc>
          <w:tcPr>
            <w:tcW w:w="1393" w:type="pct"/>
            <w:gridSpan w:val="4"/>
            <w:tcBorders>
              <w:bottom w:val="single" w:sz="4" w:space="0" w:color="000000"/>
            </w:tcBorders>
            <w:vAlign w:val="bottom"/>
          </w:tcPr>
          <w:p w14:paraId="01A371F1" w14:textId="07A285D8" w:rsidR="00D83E33" w:rsidRPr="001B330E" w:rsidRDefault="00BC4072">
            <w:pPr>
              <w:widowControl w:val="0"/>
              <w:pBdr>
                <w:top w:val="nil"/>
                <w:left w:val="nil"/>
                <w:bottom w:val="nil"/>
                <w:right w:val="nil"/>
                <w:between w:val="nil"/>
              </w:pBdr>
              <w:jc w:val="center"/>
              <w:rPr>
                <w:b/>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2024</w:t>
            </w:r>
          </w:p>
        </w:tc>
        <w:tc>
          <w:tcPr>
            <w:tcW w:w="350" w:type="pct"/>
            <w:tcBorders>
              <w:bottom w:val="single" w:sz="4" w:space="0" w:color="000000"/>
            </w:tcBorders>
          </w:tcPr>
          <w:p w14:paraId="7656D256" w14:textId="77777777" w:rsidR="00D83E33" w:rsidRPr="001B330E" w:rsidRDefault="00D83E33">
            <w:pPr>
              <w:widowControl w:val="0"/>
              <w:pBdr>
                <w:top w:val="nil"/>
                <w:left w:val="nil"/>
                <w:bottom w:val="nil"/>
                <w:right w:val="nil"/>
                <w:between w:val="nil"/>
              </w:pBdr>
              <w:jc w:val="center"/>
              <w:rPr>
                <w:b/>
                <w:color w:val="000000"/>
                <w:sz w:val="17"/>
                <w:szCs w:val="17"/>
              </w:rPr>
            </w:pPr>
          </w:p>
        </w:tc>
        <w:tc>
          <w:tcPr>
            <w:tcW w:w="1439" w:type="pct"/>
            <w:gridSpan w:val="4"/>
            <w:tcBorders>
              <w:bottom w:val="single" w:sz="4" w:space="0" w:color="000000"/>
            </w:tcBorders>
            <w:vAlign w:val="bottom"/>
          </w:tcPr>
          <w:p w14:paraId="7BD01863" w14:textId="00F56CC4" w:rsidR="00D83E33" w:rsidRPr="001B330E" w:rsidRDefault="00BC4072">
            <w:pPr>
              <w:widowControl w:val="0"/>
              <w:pBdr>
                <w:top w:val="nil"/>
                <w:left w:val="nil"/>
                <w:bottom w:val="nil"/>
                <w:right w:val="nil"/>
                <w:between w:val="nil"/>
              </w:pBdr>
              <w:jc w:val="center"/>
              <w:rPr>
                <w:b/>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2023</w:t>
            </w:r>
          </w:p>
        </w:tc>
      </w:tr>
      <w:tr w:rsidR="00EA10CF" w:rsidRPr="002762A6" w14:paraId="32485799" w14:textId="77777777" w:rsidTr="00EA10CF">
        <w:trPr>
          <w:trHeight w:val="23"/>
        </w:trPr>
        <w:tc>
          <w:tcPr>
            <w:tcW w:w="1440" w:type="pct"/>
            <w:tcBorders>
              <w:bottom w:val="single" w:sz="4" w:space="0" w:color="000000"/>
            </w:tcBorders>
            <w:vAlign w:val="bottom"/>
          </w:tcPr>
          <w:p w14:paraId="5653D643" w14:textId="77777777" w:rsidR="00D83E33" w:rsidRPr="001B330E" w:rsidRDefault="00D83E33">
            <w:pPr>
              <w:widowControl w:val="0"/>
              <w:pBdr>
                <w:top w:val="nil"/>
                <w:left w:val="nil"/>
                <w:bottom w:val="nil"/>
                <w:right w:val="nil"/>
                <w:between w:val="nil"/>
              </w:pBdr>
              <w:rPr>
                <w:i/>
                <w:color w:val="000000"/>
                <w:sz w:val="17"/>
                <w:szCs w:val="17"/>
              </w:rPr>
            </w:pPr>
          </w:p>
          <w:p w14:paraId="694FB8F4" w14:textId="3AB67759" w:rsidR="00D83E33" w:rsidRPr="001B330E" w:rsidRDefault="00313B4D">
            <w:pPr>
              <w:widowControl w:val="0"/>
              <w:pBdr>
                <w:top w:val="nil"/>
                <w:left w:val="nil"/>
                <w:bottom w:val="nil"/>
                <w:right w:val="nil"/>
                <w:between w:val="nil"/>
              </w:pBdr>
              <w:rPr>
                <w:i/>
                <w:color w:val="000000"/>
                <w:sz w:val="17"/>
                <w:szCs w:val="17"/>
              </w:rPr>
            </w:pPr>
            <w:r>
              <w:rPr>
                <w:i/>
                <w:color w:val="000000"/>
                <w:sz w:val="17"/>
                <w:szCs w:val="17"/>
              </w:rPr>
              <w:t xml:space="preserve">In thousands of </w:t>
            </w:r>
            <w:r w:rsidR="002649EE">
              <w:rPr>
                <w:i/>
                <w:color w:val="000000"/>
                <w:sz w:val="17"/>
                <w:szCs w:val="17"/>
              </w:rPr>
              <w:t>EUR</w:t>
            </w:r>
          </w:p>
        </w:tc>
        <w:tc>
          <w:tcPr>
            <w:tcW w:w="378" w:type="pct"/>
            <w:tcBorders>
              <w:top w:val="single" w:sz="4" w:space="0" w:color="000000"/>
              <w:bottom w:val="single" w:sz="4" w:space="0" w:color="000000"/>
            </w:tcBorders>
          </w:tcPr>
          <w:p w14:paraId="32776912"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1 fair value</w:t>
            </w:r>
          </w:p>
        </w:tc>
        <w:tc>
          <w:tcPr>
            <w:tcW w:w="333" w:type="pct"/>
            <w:tcBorders>
              <w:top w:val="single" w:sz="4" w:space="0" w:color="000000"/>
              <w:bottom w:val="single" w:sz="4" w:space="0" w:color="000000"/>
            </w:tcBorders>
          </w:tcPr>
          <w:p w14:paraId="2A0697C1"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2</w:t>
            </w:r>
          </w:p>
          <w:p w14:paraId="59F89423"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63" w:type="pct"/>
            <w:tcBorders>
              <w:top w:val="single" w:sz="4" w:space="0" w:color="000000"/>
              <w:bottom w:val="single" w:sz="4" w:space="0" w:color="000000"/>
            </w:tcBorders>
          </w:tcPr>
          <w:p w14:paraId="3057F86E"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3</w:t>
            </w:r>
          </w:p>
          <w:p w14:paraId="39E25526"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19" w:type="pct"/>
            <w:tcBorders>
              <w:top w:val="single" w:sz="4" w:space="0" w:color="000000"/>
              <w:bottom w:val="single" w:sz="4" w:space="0" w:color="000000"/>
            </w:tcBorders>
          </w:tcPr>
          <w:p w14:paraId="3AE96DB1"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 fair value</w:t>
            </w:r>
          </w:p>
        </w:tc>
        <w:tc>
          <w:tcPr>
            <w:tcW w:w="378" w:type="pct"/>
            <w:tcBorders>
              <w:top w:val="single" w:sz="4" w:space="0" w:color="000000"/>
              <w:bottom w:val="single" w:sz="4" w:space="0" w:color="000000"/>
            </w:tcBorders>
          </w:tcPr>
          <w:p w14:paraId="282205CE"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value</w:t>
            </w:r>
          </w:p>
        </w:tc>
        <w:tc>
          <w:tcPr>
            <w:tcW w:w="350" w:type="pct"/>
            <w:tcBorders>
              <w:top w:val="single" w:sz="4" w:space="0" w:color="000000"/>
              <w:bottom w:val="single" w:sz="4" w:space="0" w:color="000000"/>
            </w:tcBorders>
          </w:tcPr>
          <w:p w14:paraId="3C4575E5"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1</w:t>
            </w:r>
          </w:p>
          <w:p w14:paraId="4FC8A5A9"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03" w:type="pct"/>
            <w:tcBorders>
              <w:top w:val="single" w:sz="4" w:space="0" w:color="000000"/>
              <w:bottom w:val="single" w:sz="4" w:space="0" w:color="000000"/>
            </w:tcBorders>
          </w:tcPr>
          <w:p w14:paraId="5F882B92"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2</w:t>
            </w:r>
          </w:p>
          <w:p w14:paraId="05FC5E74"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78" w:type="pct"/>
            <w:tcBorders>
              <w:top w:val="single" w:sz="4" w:space="0" w:color="000000"/>
              <w:bottom w:val="single" w:sz="4" w:space="0" w:color="000000"/>
            </w:tcBorders>
          </w:tcPr>
          <w:p w14:paraId="3DC03686"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3</w:t>
            </w:r>
          </w:p>
          <w:p w14:paraId="11F876DE"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424" w:type="pct"/>
            <w:tcBorders>
              <w:top w:val="single" w:sz="4" w:space="0" w:color="000000"/>
              <w:bottom w:val="single" w:sz="4" w:space="0" w:color="000000"/>
            </w:tcBorders>
          </w:tcPr>
          <w:p w14:paraId="03F4E15E"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 fair value</w:t>
            </w:r>
          </w:p>
        </w:tc>
        <w:tc>
          <w:tcPr>
            <w:tcW w:w="334" w:type="pct"/>
            <w:tcBorders>
              <w:top w:val="single" w:sz="4" w:space="0" w:color="000000"/>
              <w:bottom w:val="single" w:sz="4" w:space="0" w:color="000000"/>
            </w:tcBorders>
          </w:tcPr>
          <w:p w14:paraId="647687E5" w14:textId="77777777" w:rsidR="00D83E33" w:rsidRPr="001B330E" w:rsidRDefault="00BC4072">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value</w:t>
            </w:r>
          </w:p>
        </w:tc>
      </w:tr>
      <w:tr w:rsidR="00EA10CF" w:rsidRPr="002762A6" w14:paraId="2AEA4E3E" w14:textId="77777777" w:rsidTr="001B330E">
        <w:trPr>
          <w:trHeight w:val="23"/>
        </w:trPr>
        <w:tc>
          <w:tcPr>
            <w:tcW w:w="1440" w:type="pct"/>
            <w:tcBorders>
              <w:top w:val="single" w:sz="4" w:space="0" w:color="000000"/>
            </w:tcBorders>
            <w:vAlign w:val="bottom"/>
          </w:tcPr>
          <w:p w14:paraId="1C5568A5" w14:textId="77777777" w:rsidR="00D83E33" w:rsidRPr="001B330E" w:rsidRDefault="00BC4072">
            <w:pPr>
              <w:widowControl w:val="0"/>
              <w:pBdr>
                <w:top w:val="nil"/>
                <w:left w:val="nil"/>
                <w:bottom w:val="nil"/>
                <w:right w:val="nil"/>
                <w:between w:val="nil"/>
              </w:pBdr>
              <w:jc w:val="center"/>
              <w:rPr>
                <w:b/>
                <w:color w:val="000000"/>
                <w:sz w:val="17"/>
                <w:szCs w:val="17"/>
              </w:rPr>
            </w:pPr>
            <w:r w:rsidRPr="001B330E">
              <w:rPr>
                <w:b/>
                <w:color w:val="000000"/>
                <w:sz w:val="17"/>
                <w:szCs w:val="17"/>
              </w:rPr>
              <w:t> </w:t>
            </w:r>
          </w:p>
        </w:tc>
        <w:tc>
          <w:tcPr>
            <w:tcW w:w="378" w:type="pct"/>
            <w:tcBorders>
              <w:top w:val="single" w:sz="4" w:space="0" w:color="000000"/>
            </w:tcBorders>
            <w:vAlign w:val="bottom"/>
          </w:tcPr>
          <w:p w14:paraId="139C302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tcBorders>
              <w:top w:val="single" w:sz="4" w:space="0" w:color="000000"/>
            </w:tcBorders>
            <w:vAlign w:val="bottom"/>
          </w:tcPr>
          <w:p w14:paraId="69F0E49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tcBorders>
              <w:top w:val="single" w:sz="4" w:space="0" w:color="000000"/>
            </w:tcBorders>
            <w:vAlign w:val="bottom"/>
          </w:tcPr>
          <w:p w14:paraId="597E888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tcBorders>
              <w:top w:val="single" w:sz="4" w:space="0" w:color="000000"/>
            </w:tcBorders>
            <w:vAlign w:val="bottom"/>
          </w:tcPr>
          <w:p w14:paraId="6648F07F"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78" w:type="pct"/>
            <w:tcBorders>
              <w:top w:val="single" w:sz="4" w:space="0" w:color="000000"/>
            </w:tcBorders>
            <w:vAlign w:val="bottom"/>
          </w:tcPr>
          <w:p w14:paraId="173F143A"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50" w:type="pct"/>
            <w:tcBorders>
              <w:top w:val="single" w:sz="4" w:space="0" w:color="000000"/>
            </w:tcBorders>
            <w:vAlign w:val="bottom"/>
          </w:tcPr>
          <w:p w14:paraId="69F7B19C"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03" w:type="pct"/>
            <w:tcBorders>
              <w:top w:val="single" w:sz="4" w:space="0" w:color="000000"/>
            </w:tcBorders>
            <w:vAlign w:val="bottom"/>
          </w:tcPr>
          <w:p w14:paraId="5E65A4E2"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78" w:type="pct"/>
            <w:tcBorders>
              <w:top w:val="single" w:sz="4" w:space="0" w:color="000000"/>
            </w:tcBorders>
            <w:vAlign w:val="bottom"/>
          </w:tcPr>
          <w:p w14:paraId="7C734B90"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424" w:type="pct"/>
            <w:tcBorders>
              <w:top w:val="single" w:sz="4" w:space="0" w:color="000000"/>
            </w:tcBorders>
            <w:vAlign w:val="bottom"/>
          </w:tcPr>
          <w:p w14:paraId="6E26CEDE"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34" w:type="pct"/>
            <w:tcBorders>
              <w:top w:val="single" w:sz="4" w:space="0" w:color="000000"/>
            </w:tcBorders>
            <w:vAlign w:val="bottom"/>
          </w:tcPr>
          <w:p w14:paraId="61DB08B7" w14:textId="77777777" w:rsidR="00D83E33" w:rsidRPr="001B330E" w:rsidRDefault="00D83E33">
            <w:pPr>
              <w:widowControl w:val="0"/>
              <w:pBdr>
                <w:top w:val="nil"/>
                <w:left w:val="nil"/>
                <w:bottom w:val="nil"/>
                <w:right w:val="nil"/>
                <w:between w:val="nil"/>
              </w:pBdr>
              <w:jc w:val="right"/>
              <w:rPr>
                <w:b/>
                <w:color w:val="000000"/>
                <w:sz w:val="17"/>
                <w:szCs w:val="17"/>
              </w:rPr>
            </w:pPr>
          </w:p>
        </w:tc>
      </w:tr>
      <w:tr w:rsidR="00EA10CF" w:rsidRPr="002762A6" w14:paraId="53D803CB" w14:textId="77777777" w:rsidTr="001B330E">
        <w:trPr>
          <w:trHeight w:val="23"/>
        </w:trPr>
        <w:tc>
          <w:tcPr>
            <w:tcW w:w="1440" w:type="pct"/>
            <w:vAlign w:val="bottom"/>
          </w:tcPr>
          <w:p w14:paraId="79C85A5D" w14:textId="77777777" w:rsidR="00D83E33" w:rsidRPr="001B330E" w:rsidRDefault="00BC4072">
            <w:pPr>
              <w:widowControl w:val="0"/>
              <w:pBdr>
                <w:top w:val="nil"/>
                <w:left w:val="nil"/>
                <w:bottom w:val="nil"/>
                <w:right w:val="nil"/>
                <w:between w:val="nil"/>
              </w:pBdr>
              <w:rPr>
                <w:b/>
                <w:smallCaps/>
                <w:color w:val="000000"/>
                <w:sz w:val="17"/>
                <w:szCs w:val="17"/>
              </w:rPr>
            </w:pPr>
            <w:r w:rsidRPr="001B330E">
              <w:rPr>
                <w:b/>
                <w:smallCaps/>
                <w:color w:val="000000"/>
                <w:sz w:val="17"/>
                <w:szCs w:val="17"/>
              </w:rPr>
              <w:t xml:space="preserve">ASSETS </w:t>
            </w:r>
          </w:p>
        </w:tc>
        <w:tc>
          <w:tcPr>
            <w:tcW w:w="378" w:type="pct"/>
            <w:vAlign w:val="bottom"/>
          </w:tcPr>
          <w:p w14:paraId="163FAAAF"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2383A9A8"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0D1060B6"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485ACEF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5EC2404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5D27E0B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5DE5BEC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51D4A56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65D9EA0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73F33227"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5008EEE8" w14:textId="77777777" w:rsidTr="001B330E">
        <w:trPr>
          <w:trHeight w:val="23"/>
        </w:trPr>
        <w:tc>
          <w:tcPr>
            <w:tcW w:w="1440" w:type="pct"/>
            <w:vAlign w:val="bottom"/>
          </w:tcPr>
          <w:p w14:paraId="211665E1" w14:textId="77777777" w:rsidR="00D83E33" w:rsidRPr="001B330E" w:rsidRDefault="00D83E33">
            <w:pPr>
              <w:widowControl w:val="0"/>
              <w:pBdr>
                <w:top w:val="nil"/>
                <w:left w:val="nil"/>
                <w:bottom w:val="nil"/>
                <w:right w:val="nil"/>
                <w:between w:val="nil"/>
              </w:pBdr>
              <w:rPr>
                <w:b/>
                <w:i/>
                <w:color w:val="000000"/>
                <w:sz w:val="17"/>
                <w:szCs w:val="17"/>
              </w:rPr>
            </w:pPr>
          </w:p>
        </w:tc>
        <w:tc>
          <w:tcPr>
            <w:tcW w:w="378" w:type="pct"/>
            <w:vAlign w:val="bottom"/>
          </w:tcPr>
          <w:p w14:paraId="734F2820"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3EC34717"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648B13BF"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468170C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6ED0A62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5583564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2A90A9B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0ACAE05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240D38C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2A491074"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31A037F9" w14:textId="77777777" w:rsidTr="001B330E">
        <w:trPr>
          <w:trHeight w:val="23"/>
        </w:trPr>
        <w:tc>
          <w:tcPr>
            <w:tcW w:w="1440" w:type="pct"/>
            <w:vAlign w:val="bottom"/>
          </w:tcPr>
          <w:p w14:paraId="01C2200A" w14:textId="77777777" w:rsidR="00D83E33" w:rsidRPr="001B330E" w:rsidRDefault="00BC4072">
            <w:pPr>
              <w:widowControl w:val="0"/>
              <w:pBdr>
                <w:top w:val="nil"/>
                <w:left w:val="nil"/>
                <w:bottom w:val="nil"/>
                <w:right w:val="nil"/>
                <w:between w:val="nil"/>
              </w:pBdr>
              <w:rPr>
                <w:smallCaps/>
                <w:color w:val="000000"/>
                <w:sz w:val="17"/>
                <w:szCs w:val="17"/>
              </w:rPr>
            </w:pPr>
            <w:r w:rsidRPr="001B330E">
              <w:rPr>
                <w:b/>
                <w:i/>
                <w:color w:val="000000"/>
                <w:sz w:val="17"/>
                <w:szCs w:val="17"/>
              </w:rPr>
              <w:t xml:space="preserve">Due from other banks </w:t>
            </w:r>
          </w:p>
        </w:tc>
        <w:tc>
          <w:tcPr>
            <w:tcW w:w="378" w:type="pct"/>
            <w:vAlign w:val="bottom"/>
          </w:tcPr>
          <w:p w14:paraId="0F53C660"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1BEE00D5"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14A2BF74"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429770F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6D5E44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16A2B61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7B30120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7E2F8A0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00CFFEE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46727FDE"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14AE8765" w14:textId="77777777" w:rsidTr="001B330E">
        <w:trPr>
          <w:trHeight w:val="23"/>
        </w:trPr>
        <w:tc>
          <w:tcPr>
            <w:tcW w:w="1440" w:type="pct"/>
            <w:vAlign w:val="bottom"/>
          </w:tcPr>
          <w:p w14:paraId="6A9025F8" w14:textId="77777777" w:rsidR="00D83E33" w:rsidRPr="001B330E" w:rsidRDefault="00BC4072">
            <w:pPr>
              <w:widowControl w:val="0"/>
              <w:pBdr>
                <w:top w:val="nil"/>
                <w:left w:val="nil"/>
                <w:bottom w:val="nil"/>
                <w:right w:val="nil"/>
                <w:between w:val="nil"/>
              </w:pBdr>
              <w:rPr>
                <w:smallCaps/>
                <w:color w:val="000000"/>
                <w:sz w:val="17"/>
                <w:szCs w:val="17"/>
              </w:rPr>
            </w:pPr>
            <w:r w:rsidRPr="001B330E">
              <w:rPr>
                <w:color w:val="000000"/>
                <w:sz w:val="17"/>
                <w:szCs w:val="17"/>
              </w:rPr>
              <w:t>- Short-term placements with other banks with original maturities of more than three months</w:t>
            </w:r>
          </w:p>
        </w:tc>
        <w:tc>
          <w:tcPr>
            <w:tcW w:w="378" w:type="pct"/>
            <w:vAlign w:val="bottom"/>
          </w:tcPr>
          <w:p w14:paraId="370D851E"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1CB8AA90"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737427E8"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4A2BE81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172A68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766B2E0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08D2C4F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8DA6D7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0EA6BAF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2D5E45F5"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60FF6237" w14:textId="77777777" w:rsidTr="001B330E">
        <w:trPr>
          <w:trHeight w:val="23"/>
        </w:trPr>
        <w:tc>
          <w:tcPr>
            <w:tcW w:w="1440" w:type="pct"/>
            <w:vAlign w:val="bottom"/>
          </w:tcPr>
          <w:p w14:paraId="068CFACC" w14:textId="77777777" w:rsidR="00D83E33" w:rsidRPr="001B330E" w:rsidRDefault="00BC4072">
            <w:pPr>
              <w:widowControl w:val="0"/>
              <w:pBdr>
                <w:top w:val="nil"/>
                <w:left w:val="nil"/>
                <w:bottom w:val="nil"/>
                <w:right w:val="nil"/>
                <w:between w:val="nil"/>
              </w:pBdr>
              <w:rPr>
                <w:smallCaps/>
                <w:color w:val="000000"/>
                <w:sz w:val="17"/>
                <w:szCs w:val="17"/>
              </w:rPr>
            </w:pPr>
            <w:r w:rsidRPr="001B330E">
              <w:rPr>
                <w:color w:val="000000"/>
                <w:sz w:val="17"/>
                <w:szCs w:val="17"/>
              </w:rPr>
              <w:t>- Reverse sale and repurchase agreements with other banks with original maturities of more than three months</w:t>
            </w:r>
          </w:p>
        </w:tc>
        <w:tc>
          <w:tcPr>
            <w:tcW w:w="378" w:type="pct"/>
            <w:vAlign w:val="bottom"/>
          </w:tcPr>
          <w:p w14:paraId="697E1410"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24D48D3F"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093B5ECA"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45B0280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1FB5FD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7397AA4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1C6BEEA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73AEA77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0E5BB90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6FD53281"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7262C04C" w14:textId="77777777" w:rsidTr="001B330E">
        <w:trPr>
          <w:trHeight w:val="23"/>
        </w:trPr>
        <w:tc>
          <w:tcPr>
            <w:tcW w:w="1440" w:type="pct"/>
            <w:vAlign w:val="bottom"/>
          </w:tcPr>
          <w:p w14:paraId="4067D2CA" w14:textId="77777777" w:rsidR="00D83E33" w:rsidRPr="001B330E" w:rsidRDefault="00D83E33">
            <w:pPr>
              <w:widowControl w:val="0"/>
              <w:pBdr>
                <w:top w:val="nil"/>
                <w:left w:val="nil"/>
                <w:bottom w:val="nil"/>
                <w:right w:val="nil"/>
                <w:between w:val="nil"/>
              </w:pBdr>
              <w:rPr>
                <w:b/>
                <w:i/>
                <w:color w:val="000000"/>
                <w:sz w:val="17"/>
                <w:szCs w:val="17"/>
              </w:rPr>
            </w:pPr>
          </w:p>
        </w:tc>
        <w:tc>
          <w:tcPr>
            <w:tcW w:w="378" w:type="pct"/>
            <w:vAlign w:val="bottom"/>
          </w:tcPr>
          <w:p w14:paraId="6A0E5E0E"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443B34A6"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2E5F9DEC"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253A238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270CB4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7C3249B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3042C7C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0CF7C08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17A2496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47E68AAC"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29D107CA" w14:textId="77777777" w:rsidTr="001B330E">
        <w:trPr>
          <w:trHeight w:val="23"/>
        </w:trPr>
        <w:tc>
          <w:tcPr>
            <w:tcW w:w="1440" w:type="pct"/>
            <w:vAlign w:val="bottom"/>
          </w:tcPr>
          <w:p w14:paraId="51781F51" w14:textId="77777777" w:rsidR="00D83E33" w:rsidRPr="001B330E" w:rsidRDefault="00BC4072">
            <w:pPr>
              <w:widowControl w:val="0"/>
              <w:pBdr>
                <w:top w:val="nil"/>
                <w:left w:val="nil"/>
                <w:bottom w:val="nil"/>
                <w:right w:val="nil"/>
                <w:between w:val="nil"/>
              </w:pBdr>
              <w:rPr>
                <w:smallCaps/>
                <w:color w:val="000000"/>
                <w:sz w:val="17"/>
                <w:szCs w:val="17"/>
              </w:rPr>
            </w:pPr>
            <w:r w:rsidRPr="001B330E">
              <w:rPr>
                <w:b/>
                <w:i/>
                <w:color w:val="000000"/>
                <w:sz w:val="17"/>
                <w:szCs w:val="17"/>
              </w:rPr>
              <w:t>Loans and advances to customers at AC</w:t>
            </w:r>
          </w:p>
        </w:tc>
        <w:tc>
          <w:tcPr>
            <w:tcW w:w="378" w:type="pct"/>
            <w:vAlign w:val="bottom"/>
          </w:tcPr>
          <w:p w14:paraId="08563C13"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6F4B499D"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36540C63"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516C11A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39EDE56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76872B1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3A8CD67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80B72C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7A404D2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0FDCEF32"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0A4CA040" w14:textId="77777777" w:rsidTr="001B330E">
        <w:trPr>
          <w:trHeight w:val="23"/>
        </w:trPr>
        <w:tc>
          <w:tcPr>
            <w:tcW w:w="1440" w:type="pct"/>
            <w:vAlign w:val="bottom"/>
          </w:tcPr>
          <w:p w14:paraId="532493D1" w14:textId="77777777" w:rsidR="00D83E33" w:rsidRPr="001B330E" w:rsidRDefault="00BC4072">
            <w:pPr>
              <w:widowControl w:val="0"/>
              <w:pBdr>
                <w:top w:val="nil"/>
                <w:left w:val="nil"/>
                <w:bottom w:val="nil"/>
                <w:right w:val="nil"/>
                <w:between w:val="nil"/>
              </w:pBdr>
              <w:rPr>
                <w:smallCaps/>
                <w:color w:val="000000"/>
                <w:sz w:val="17"/>
                <w:szCs w:val="17"/>
              </w:rPr>
            </w:pPr>
            <w:r w:rsidRPr="001B330E">
              <w:rPr>
                <w:color w:val="000000"/>
                <w:sz w:val="17"/>
                <w:szCs w:val="17"/>
              </w:rPr>
              <w:t>- Corporate loans</w:t>
            </w:r>
          </w:p>
        </w:tc>
        <w:tc>
          <w:tcPr>
            <w:tcW w:w="378" w:type="pct"/>
            <w:vAlign w:val="bottom"/>
          </w:tcPr>
          <w:p w14:paraId="3D47A50C"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00939B53"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39BA6A16"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3F84AAE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5F9D4E3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30CE55D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76C00C5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0A673B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4CB32FE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11411EF0"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5F3CE077" w14:textId="77777777" w:rsidTr="001B330E">
        <w:trPr>
          <w:trHeight w:val="23"/>
        </w:trPr>
        <w:tc>
          <w:tcPr>
            <w:tcW w:w="1440" w:type="pct"/>
            <w:vAlign w:val="bottom"/>
          </w:tcPr>
          <w:p w14:paraId="38AC8088" w14:textId="77777777" w:rsidR="00D83E33" w:rsidRPr="001B330E" w:rsidRDefault="00BC4072">
            <w:pPr>
              <w:widowControl w:val="0"/>
              <w:pBdr>
                <w:top w:val="nil"/>
                <w:left w:val="nil"/>
                <w:bottom w:val="nil"/>
                <w:right w:val="nil"/>
                <w:between w:val="nil"/>
              </w:pBdr>
              <w:rPr>
                <w:smallCaps/>
                <w:color w:val="000000"/>
                <w:sz w:val="17"/>
                <w:szCs w:val="17"/>
              </w:rPr>
            </w:pPr>
            <w:r w:rsidRPr="001B330E">
              <w:rPr>
                <w:color w:val="000000"/>
                <w:sz w:val="17"/>
                <w:szCs w:val="17"/>
              </w:rPr>
              <w:t>- Loans to individuals ‒ consumer loans</w:t>
            </w:r>
          </w:p>
        </w:tc>
        <w:tc>
          <w:tcPr>
            <w:tcW w:w="378" w:type="pct"/>
            <w:vAlign w:val="bottom"/>
          </w:tcPr>
          <w:p w14:paraId="4CCBAD9C"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3CD00919"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13F9CC3E"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711D16E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040568F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5E99016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2ED8C52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D10747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0B50A00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2F18A348"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494D33C0" w14:textId="77777777" w:rsidTr="001B330E">
        <w:trPr>
          <w:trHeight w:val="23"/>
        </w:trPr>
        <w:tc>
          <w:tcPr>
            <w:tcW w:w="1440" w:type="pct"/>
            <w:vAlign w:val="bottom"/>
          </w:tcPr>
          <w:p w14:paraId="3D7C10DE" w14:textId="77777777" w:rsidR="00D83E33" w:rsidRPr="001B330E" w:rsidRDefault="00BC4072">
            <w:pPr>
              <w:widowControl w:val="0"/>
              <w:pBdr>
                <w:top w:val="nil"/>
                <w:left w:val="nil"/>
                <w:bottom w:val="nil"/>
                <w:right w:val="nil"/>
                <w:between w:val="nil"/>
              </w:pBdr>
              <w:rPr>
                <w:smallCaps/>
                <w:color w:val="000000"/>
                <w:sz w:val="17"/>
                <w:szCs w:val="17"/>
              </w:rPr>
            </w:pPr>
            <w:r w:rsidRPr="001B330E">
              <w:rPr>
                <w:color w:val="000000"/>
                <w:sz w:val="17"/>
                <w:szCs w:val="17"/>
              </w:rPr>
              <w:t>- Loans to individuals ‒ entrepreneurs</w:t>
            </w:r>
          </w:p>
        </w:tc>
        <w:tc>
          <w:tcPr>
            <w:tcW w:w="378" w:type="pct"/>
            <w:vAlign w:val="bottom"/>
          </w:tcPr>
          <w:p w14:paraId="5B9FF41B"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22649962"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085D1BD2"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77010B3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7E19666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2F7B24D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2241EDD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564EAD8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2364962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64E1E64E"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52B096F0" w14:textId="77777777" w:rsidTr="001B330E">
        <w:trPr>
          <w:trHeight w:val="23"/>
        </w:trPr>
        <w:tc>
          <w:tcPr>
            <w:tcW w:w="1440" w:type="pct"/>
            <w:vAlign w:val="bottom"/>
          </w:tcPr>
          <w:p w14:paraId="31C7186E" w14:textId="77777777" w:rsidR="00D83E33" w:rsidRPr="001B330E" w:rsidRDefault="00BC4072">
            <w:pPr>
              <w:widowControl w:val="0"/>
              <w:pBdr>
                <w:top w:val="nil"/>
                <w:left w:val="nil"/>
                <w:bottom w:val="nil"/>
                <w:right w:val="nil"/>
                <w:between w:val="nil"/>
              </w:pBdr>
              <w:rPr>
                <w:b/>
                <w:i/>
                <w:color w:val="000000"/>
                <w:sz w:val="17"/>
                <w:szCs w:val="17"/>
              </w:rPr>
            </w:pPr>
            <w:r w:rsidRPr="001B330E">
              <w:rPr>
                <w:color w:val="000000"/>
                <w:sz w:val="17"/>
                <w:szCs w:val="17"/>
              </w:rPr>
              <w:t>- Mortgage loans</w:t>
            </w:r>
          </w:p>
        </w:tc>
        <w:tc>
          <w:tcPr>
            <w:tcW w:w="378" w:type="pct"/>
            <w:vAlign w:val="bottom"/>
          </w:tcPr>
          <w:p w14:paraId="3E00F8F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465C271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5854BE3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4612903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51342D7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59C19FC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741C465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7BC2C99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7ABCDEB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3AB87D6D"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2786FA17" w14:textId="77777777" w:rsidTr="001B330E">
        <w:trPr>
          <w:trHeight w:val="23"/>
        </w:trPr>
        <w:tc>
          <w:tcPr>
            <w:tcW w:w="1440" w:type="pct"/>
            <w:vAlign w:val="bottom"/>
          </w:tcPr>
          <w:p w14:paraId="5B9B54F2"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Reverse sale and repurchase agreements</w:t>
            </w:r>
          </w:p>
        </w:tc>
        <w:tc>
          <w:tcPr>
            <w:tcW w:w="378" w:type="pct"/>
            <w:vAlign w:val="bottom"/>
          </w:tcPr>
          <w:p w14:paraId="7116A6F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0D1171B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7144FEC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7EEE1A8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0F7DE83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6C437BF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73F6E28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615E544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7AD4EB6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5557E207"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4F641170" w14:textId="77777777" w:rsidTr="001B330E">
        <w:trPr>
          <w:trHeight w:val="23"/>
        </w:trPr>
        <w:tc>
          <w:tcPr>
            <w:tcW w:w="1440" w:type="pct"/>
            <w:vAlign w:val="bottom"/>
          </w:tcPr>
          <w:p w14:paraId="00350C24" w14:textId="77777777" w:rsidR="00D83E33" w:rsidRPr="001B330E" w:rsidRDefault="00BC4072">
            <w:pPr>
              <w:widowControl w:val="0"/>
              <w:pBdr>
                <w:top w:val="nil"/>
                <w:left w:val="nil"/>
                <w:bottom w:val="nil"/>
                <w:right w:val="nil"/>
                <w:between w:val="nil"/>
              </w:pBdr>
              <w:rPr>
                <w:b/>
                <w:color w:val="000000"/>
                <w:sz w:val="17"/>
                <w:szCs w:val="17"/>
              </w:rPr>
            </w:pPr>
            <w:r w:rsidRPr="001B330E">
              <w:rPr>
                <w:color w:val="000000"/>
                <w:sz w:val="17"/>
                <w:szCs w:val="17"/>
              </w:rPr>
              <w:t xml:space="preserve">- State and municipal organisations </w:t>
            </w:r>
            <w:r w:rsidRPr="001B330E">
              <w:rPr>
                <w:i/>
                <w:color w:val="000000"/>
                <w:sz w:val="17"/>
                <w:szCs w:val="17"/>
              </w:rPr>
              <w:t>[Adjust classes as appropriate]</w:t>
            </w:r>
          </w:p>
        </w:tc>
        <w:tc>
          <w:tcPr>
            <w:tcW w:w="378" w:type="pct"/>
            <w:vAlign w:val="bottom"/>
          </w:tcPr>
          <w:p w14:paraId="0E1F750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67D87C7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772C701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7ED482C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39AB2D6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76FA433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79F0F9D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2CAE29F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308DAA4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45C91CD6"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06EBDB57" w14:textId="77777777" w:rsidTr="001B330E">
        <w:trPr>
          <w:trHeight w:val="23"/>
        </w:trPr>
        <w:tc>
          <w:tcPr>
            <w:tcW w:w="1440" w:type="pct"/>
            <w:vAlign w:val="bottom"/>
          </w:tcPr>
          <w:p w14:paraId="4CFDCB68" w14:textId="77777777" w:rsidR="00D83E33" w:rsidRPr="001B330E" w:rsidRDefault="00D83E33">
            <w:pPr>
              <w:widowControl w:val="0"/>
              <w:pBdr>
                <w:top w:val="nil"/>
                <w:left w:val="nil"/>
                <w:bottom w:val="nil"/>
                <w:right w:val="nil"/>
                <w:between w:val="nil"/>
              </w:pBdr>
              <w:rPr>
                <w:b/>
                <w:i/>
                <w:color w:val="000000"/>
                <w:sz w:val="17"/>
                <w:szCs w:val="17"/>
              </w:rPr>
            </w:pPr>
          </w:p>
        </w:tc>
        <w:tc>
          <w:tcPr>
            <w:tcW w:w="378" w:type="pct"/>
            <w:vAlign w:val="bottom"/>
          </w:tcPr>
          <w:p w14:paraId="3F7126D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72EB68E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4C23861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09DBC7B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F88B90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4B2E1DD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433B05E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A5EA8D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2C7F265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24EF2F07"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0AD62682" w14:textId="77777777" w:rsidTr="001B330E">
        <w:trPr>
          <w:trHeight w:val="23"/>
        </w:trPr>
        <w:tc>
          <w:tcPr>
            <w:tcW w:w="1440" w:type="pct"/>
            <w:vAlign w:val="bottom"/>
          </w:tcPr>
          <w:p w14:paraId="214A4A23" w14:textId="77777777" w:rsidR="00D83E33" w:rsidRPr="001B330E" w:rsidRDefault="00BC4072">
            <w:pPr>
              <w:widowControl w:val="0"/>
              <w:pBdr>
                <w:top w:val="nil"/>
                <w:left w:val="nil"/>
                <w:bottom w:val="nil"/>
                <w:right w:val="nil"/>
                <w:between w:val="nil"/>
              </w:pBdr>
              <w:rPr>
                <w:color w:val="000000"/>
                <w:sz w:val="17"/>
                <w:szCs w:val="17"/>
              </w:rPr>
            </w:pPr>
            <w:r w:rsidRPr="001B330E">
              <w:rPr>
                <w:b/>
                <w:i/>
                <w:color w:val="000000"/>
                <w:sz w:val="17"/>
                <w:szCs w:val="17"/>
              </w:rPr>
              <w:t>Investments in debt securities at AC</w:t>
            </w:r>
          </w:p>
        </w:tc>
        <w:tc>
          <w:tcPr>
            <w:tcW w:w="378" w:type="pct"/>
            <w:vAlign w:val="bottom"/>
          </w:tcPr>
          <w:p w14:paraId="3A0AD6A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4CDA093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639FFAB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0B62FF4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6FE704E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0CB3024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4A6B563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2D6DEC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582C987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41E1B47E"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15C3C000" w14:textId="77777777" w:rsidTr="001B330E">
        <w:trPr>
          <w:trHeight w:val="23"/>
        </w:trPr>
        <w:tc>
          <w:tcPr>
            <w:tcW w:w="1440" w:type="pct"/>
            <w:vAlign w:val="bottom"/>
          </w:tcPr>
          <w:p w14:paraId="54900FCF" w14:textId="12469B11"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 xml:space="preserve">- </w:t>
            </w:r>
            <w:r w:rsidR="00372E26">
              <w:rPr>
                <w:color w:val="000000"/>
                <w:sz w:val="17"/>
                <w:szCs w:val="17"/>
              </w:rPr>
              <w:t>[Country]</w:t>
            </w:r>
            <w:r w:rsidRPr="001B330E">
              <w:rPr>
                <w:color w:val="000000"/>
                <w:sz w:val="17"/>
                <w:szCs w:val="17"/>
              </w:rPr>
              <w:t xml:space="preserve"> government bonds</w:t>
            </w:r>
          </w:p>
        </w:tc>
        <w:tc>
          <w:tcPr>
            <w:tcW w:w="378" w:type="pct"/>
            <w:vAlign w:val="bottom"/>
          </w:tcPr>
          <w:p w14:paraId="35BB561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6EE2545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7BC9AED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034490D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78749CB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2CADA6F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1CEB84B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24FF7D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20E2C66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36E1F6BF"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503304DD" w14:textId="77777777" w:rsidTr="001B330E">
        <w:trPr>
          <w:trHeight w:val="23"/>
        </w:trPr>
        <w:tc>
          <w:tcPr>
            <w:tcW w:w="1440" w:type="pct"/>
            <w:vAlign w:val="bottom"/>
          </w:tcPr>
          <w:p w14:paraId="11A985D6" w14:textId="77777777" w:rsidR="00D83E33" w:rsidRPr="001B330E" w:rsidRDefault="00BC4072">
            <w:pPr>
              <w:widowControl w:val="0"/>
              <w:pBdr>
                <w:top w:val="nil"/>
                <w:left w:val="nil"/>
                <w:bottom w:val="nil"/>
                <w:right w:val="nil"/>
                <w:between w:val="nil"/>
              </w:pBdr>
              <w:rPr>
                <w:b/>
                <w:i/>
                <w:color w:val="000000"/>
                <w:sz w:val="17"/>
                <w:szCs w:val="17"/>
              </w:rPr>
            </w:pPr>
            <w:r w:rsidRPr="001B330E">
              <w:rPr>
                <w:color w:val="000000"/>
                <w:sz w:val="17"/>
                <w:szCs w:val="17"/>
              </w:rPr>
              <w:t>- Municipal bonds</w:t>
            </w:r>
          </w:p>
        </w:tc>
        <w:tc>
          <w:tcPr>
            <w:tcW w:w="378" w:type="pct"/>
            <w:vAlign w:val="bottom"/>
          </w:tcPr>
          <w:p w14:paraId="2F80214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618AA0E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1E4A8EA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2D4FC8B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68D37D07"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1470550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3479CA9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3F5D409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7784D7B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3E54A461"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44F090EC" w14:textId="77777777" w:rsidTr="001B330E">
        <w:trPr>
          <w:trHeight w:val="23"/>
        </w:trPr>
        <w:tc>
          <w:tcPr>
            <w:tcW w:w="1440" w:type="pct"/>
            <w:vAlign w:val="bottom"/>
          </w:tcPr>
          <w:p w14:paraId="504E7424" w14:textId="77777777" w:rsidR="00D83E33" w:rsidRPr="001B330E" w:rsidRDefault="00BC4072">
            <w:pPr>
              <w:widowControl w:val="0"/>
              <w:pBdr>
                <w:top w:val="nil"/>
                <w:left w:val="nil"/>
                <w:bottom w:val="nil"/>
                <w:right w:val="nil"/>
                <w:between w:val="nil"/>
              </w:pBdr>
              <w:rPr>
                <w:b/>
                <w:i/>
                <w:color w:val="000000"/>
                <w:sz w:val="17"/>
                <w:szCs w:val="17"/>
              </w:rPr>
            </w:pPr>
            <w:r w:rsidRPr="001B330E">
              <w:rPr>
                <w:color w:val="000000"/>
                <w:sz w:val="17"/>
                <w:szCs w:val="17"/>
              </w:rPr>
              <w:t>- Corporate bonds</w:t>
            </w:r>
          </w:p>
        </w:tc>
        <w:tc>
          <w:tcPr>
            <w:tcW w:w="378" w:type="pct"/>
            <w:vAlign w:val="bottom"/>
          </w:tcPr>
          <w:p w14:paraId="6CCA6B7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2C89544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2B73DDE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1715794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2DDB859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59A1E7E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334A32C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08BD0E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4EDA972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32E6379F"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2DDDFA9B" w14:textId="77777777" w:rsidTr="001B330E">
        <w:trPr>
          <w:trHeight w:val="23"/>
        </w:trPr>
        <w:tc>
          <w:tcPr>
            <w:tcW w:w="1440" w:type="pct"/>
            <w:vAlign w:val="bottom"/>
          </w:tcPr>
          <w:p w14:paraId="5BF4967C"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 Promissory notes</w:t>
            </w:r>
          </w:p>
        </w:tc>
        <w:tc>
          <w:tcPr>
            <w:tcW w:w="378" w:type="pct"/>
            <w:vAlign w:val="bottom"/>
          </w:tcPr>
          <w:p w14:paraId="513DEA5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4F53D68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5E5A11D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406A8D2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52B56E7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155C1457"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0885152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7489B1A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6170C20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3DD19F6D"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020D3196" w14:textId="77777777" w:rsidTr="001B330E">
        <w:trPr>
          <w:trHeight w:val="23"/>
        </w:trPr>
        <w:tc>
          <w:tcPr>
            <w:tcW w:w="1440" w:type="pct"/>
            <w:vAlign w:val="bottom"/>
          </w:tcPr>
          <w:p w14:paraId="37E3D643" w14:textId="77777777" w:rsidR="00D83E33" w:rsidRPr="001B330E" w:rsidRDefault="00D83E33">
            <w:pPr>
              <w:widowControl w:val="0"/>
              <w:pBdr>
                <w:top w:val="nil"/>
                <w:left w:val="nil"/>
                <w:bottom w:val="nil"/>
                <w:right w:val="nil"/>
                <w:between w:val="nil"/>
              </w:pBdr>
              <w:rPr>
                <w:color w:val="000000"/>
                <w:sz w:val="17"/>
                <w:szCs w:val="17"/>
              </w:rPr>
            </w:pPr>
          </w:p>
        </w:tc>
        <w:tc>
          <w:tcPr>
            <w:tcW w:w="378" w:type="pct"/>
            <w:vAlign w:val="bottom"/>
          </w:tcPr>
          <w:p w14:paraId="3A9FACE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1AB89DE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378DFF5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5D8A237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780860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38A2413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43AC94D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ED6452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0D28F07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769D0D1E"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7808AC9B" w14:textId="77777777" w:rsidTr="001B330E">
        <w:trPr>
          <w:trHeight w:val="23"/>
        </w:trPr>
        <w:tc>
          <w:tcPr>
            <w:tcW w:w="1440" w:type="pct"/>
            <w:vAlign w:val="bottom"/>
          </w:tcPr>
          <w:p w14:paraId="4F33FA5E" w14:textId="77777777" w:rsidR="00D83E33" w:rsidRPr="001B330E" w:rsidRDefault="00BC4072">
            <w:pPr>
              <w:widowControl w:val="0"/>
              <w:pBdr>
                <w:top w:val="nil"/>
                <w:left w:val="nil"/>
                <w:bottom w:val="nil"/>
                <w:right w:val="nil"/>
                <w:between w:val="nil"/>
              </w:pBdr>
              <w:rPr>
                <w:color w:val="000000"/>
                <w:sz w:val="17"/>
                <w:szCs w:val="17"/>
              </w:rPr>
            </w:pPr>
            <w:r w:rsidRPr="001B330E">
              <w:rPr>
                <w:b/>
                <w:i/>
                <w:color w:val="000000"/>
                <w:sz w:val="17"/>
                <w:szCs w:val="17"/>
              </w:rPr>
              <w:t xml:space="preserve">Other financial assets </w:t>
            </w:r>
          </w:p>
        </w:tc>
        <w:tc>
          <w:tcPr>
            <w:tcW w:w="378" w:type="pct"/>
            <w:vAlign w:val="bottom"/>
          </w:tcPr>
          <w:p w14:paraId="1818CEC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0AC2797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61BAD91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58283CA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AAB839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40E44F8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11CB20A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38B01B6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57191B5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793B6E70"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24E23CA0" w14:textId="77777777" w:rsidTr="001B330E">
        <w:trPr>
          <w:trHeight w:val="23"/>
        </w:trPr>
        <w:tc>
          <w:tcPr>
            <w:tcW w:w="1440" w:type="pct"/>
            <w:vAlign w:val="bottom"/>
          </w:tcPr>
          <w:p w14:paraId="7FD2A220"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Trade receivables</w:t>
            </w:r>
          </w:p>
        </w:tc>
        <w:tc>
          <w:tcPr>
            <w:tcW w:w="378" w:type="pct"/>
            <w:vAlign w:val="bottom"/>
          </w:tcPr>
          <w:p w14:paraId="4EA2B48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52F3EE6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730E36C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0357EA6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5EC7316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1ABE1B2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0A25450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52D5A91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69C4636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2E26E314"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27CBCB77" w14:textId="77777777" w:rsidTr="001B330E">
        <w:trPr>
          <w:trHeight w:val="23"/>
        </w:trPr>
        <w:tc>
          <w:tcPr>
            <w:tcW w:w="1440" w:type="pct"/>
            <w:vAlign w:val="bottom"/>
          </w:tcPr>
          <w:p w14:paraId="163C8F1C"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 xml:space="preserve">Finance lease receivables </w:t>
            </w:r>
          </w:p>
        </w:tc>
        <w:tc>
          <w:tcPr>
            <w:tcW w:w="378" w:type="pct"/>
            <w:vAlign w:val="bottom"/>
          </w:tcPr>
          <w:p w14:paraId="2C4AD58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4DED6F6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28D7D5C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7B31FE5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7F6A2B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5BCD74B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740269D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BA3382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5FADB197"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2582D901"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38CAD4C0" w14:textId="77777777" w:rsidTr="001B330E">
        <w:trPr>
          <w:trHeight w:val="23"/>
        </w:trPr>
        <w:tc>
          <w:tcPr>
            <w:tcW w:w="1440" w:type="pct"/>
            <w:vAlign w:val="bottom"/>
          </w:tcPr>
          <w:p w14:paraId="50494E60"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Credit and debit cards receivables</w:t>
            </w:r>
          </w:p>
        </w:tc>
        <w:tc>
          <w:tcPr>
            <w:tcW w:w="378" w:type="pct"/>
            <w:vAlign w:val="bottom"/>
          </w:tcPr>
          <w:p w14:paraId="275090E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58D44B4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6357EC2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3F0C8C4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5F6F863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547DE6A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7D07086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1DA794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056AE65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7114749E"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042014A2" w14:textId="77777777" w:rsidTr="001B330E">
        <w:trPr>
          <w:trHeight w:val="23"/>
        </w:trPr>
        <w:tc>
          <w:tcPr>
            <w:tcW w:w="1440" w:type="pct"/>
            <w:vAlign w:val="bottom"/>
          </w:tcPr>
          <w:p w14:paraId="58508D42" w14:textId="77777777" w:rsidR="00D83E33" w:rsidRPr="001B330E" w:rsidRDefault="00BC4072">
            <w:pPr>
              <w:widowControl w:val="0"/>
              <w:pBdr>
                <w:top w:val="nil"/>
                <w:left w:val="nil"/>
                <w:bottom w:val="nil"/>
                <w:right w:val="nil"/>
                <w:between w:val="nil"/>
              </w:pBdr>
              <w:rPr>
                <w:b/>
                <w:i/>
                <w:color w:val="000000"/>
                <w:sz w:val="17"/>
                <w:szCs w:val="17"/>
              </w:rPr>
            </w:pPr>
            <w:r w:rsidRPr="001B330E">
              <w:rPr>
                <w:color w:val="000000"/>
                <w:sz w:val="17"/>
                <w:szCs w:val="17"/>
              </w:rPr>
              <w:t>Settlements on conversion operations</w:t>
            </w:r>
          </w:p>
        </w:tc>
        <w:tc>
          <w:tcPr>
            <w:tcW w:w="378" w:type="pct"/>
            <w:vAlign w:val="bottom"/>
          </w:tcPr>
          <w:p w14:paraId="2548101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589D360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222E092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5B20EA0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8BE69A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5BE903F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1549E6B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4F248EA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4880D7B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11E11CF1"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61B60B21" w14:textId="77777777" w:rsidTr="001B330E">
        <w:trPr>
          <w:trHeight w:val="23"/>
        </w:trPr>
        <w:tc>
          <w:tcPr>
            <w:tcW w:w="1440" w:type="pct"/>
            <w:vAlign w:val="bottom"/>
          </w:tcPr>
          <w:p w14:paraId="5DC43E7A"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 xml:space="preserve">Restricted cash </w:t>
            </w:r>
          </w:p>
        </w:tc>
        <w:tc>
          <w:tcPr>
            <w:tcW w:w="378" w:type="pct"/>
            <w:vAlign w:val="bottom"/>
          </w:tcPr>
          <w:p w14:paraId="4C9DADE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5826549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5188B3A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0460AC0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0BB3DE9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0E6EDEC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4E64902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02FAA2DA"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64463CA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7591494D"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77E3032C" w14:textId="77777777" w:rsidTr="001B330E">
        <w:trPr>
          <w:trHeight w:val="23"/>
        </w:trPr>
        <w:tc>
          <w:tcPr>
            <w:tcW w:w="1440" w:type="pct"/>
            <w:vAlign w:val="bottom"/>
          </w:tcPr>
          <w:p w14:paraId="1FD5CA15"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Other</w:t>
            </w:r>
          </w:p>
        </w:tc>
        <w:tc>
          <w:tcPr>
            <w:tcW w:w="378" w:type="pct"/>
            <w:vAlign w:val="bottom"/>
          </w:tcPr>
          <w:p w14:paraId="67B639F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54DB2E6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7790AFB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04B1C817"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3355CE4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7DD7754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4DBAE57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6018A0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5419F8A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0365EA88"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29F72785" w14:textId="77777777" w:rsidTr="001B330E">
        <w:trPr>
          <w:trHeight w:val="23"/>
        </w:trPr>
        <w:tc>
          <w:tcPr>
            <w:tcW w:w="1440" w:type="pct"/>
            <w:vAlign w:val="bottom"/>
          </w:tcPr>
          <w:p w14:paraId="5AFDAFC9" w14:textId="77777777" w:rsidR="00D83E33" w:rsidRPr="001B330E" w:rsidRDefault="00D83E33">
            <w:pPr>
              <w:widowControl w:val="0"/>
              <w:pBdr>
                <w:top w:val="nil"/>
                <w:left w:val="nil"/>
                <w:bottom w:val="nil"/>
                <w:right w:val="nil"/>
                <w:between w:val="nil"/>
              </w:pBdr>
              <w:rPr>
                <w:b/>
                <w:smallCaps/>
                <w:color w:val="000000"/>
                <w:sz w:val="17"/>
                <w:szCs w:val="17"/>
              </w:rPr>
            </w:pPr>
          </w:p>
        </w:tc>
        <w:tc>
          <w:tcPr>
            <w:tcW w:w="378" w:type="pct"/>
            <w:vAlign w:val="bottom"/>
          </w:tcPr>
          <w:p w14:paraId="514D952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285FB88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7B38130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313FB00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7351530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11EC6814"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3561840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79130CA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6AD97C7E"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3489EA88"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33FBF0D9" w14:textId="77777777" w:rsidTr="001B330E">
        <w:trPr>
          <w:trHeight w:val="23"/>
        </w:trPr>
        <w:tc>
          <w:tcPr>
            <w:tcW w:w="1440" w:type="pct"/>
            <w:vAlign w:val="bottom"/>
          </w:tcPr>
          <w:p w14:paraId="09B3D111" w14:textId="77777777" w:rsidR="00D83E33" w:rsidRPr="001B330E" w:rsidRDefault="00BC4072">
            <w:pPr>
              <w:widowControl w:val="0"/>
              <w:pBdr>
                <w:top w:val="nil"/>
                <w:left w:val="nil"/>
                <w:bottom w:val="nil"/>
                <w:right w:val="nil"/>
                <w:between w:val="nil"/>
              </w:pBdr>
              <w:rPr>
                <w:color w:val="000000"/>
                <w:sz w:val="17"/>
                <w:szCs w:val="17"/>
              </w:rPr>
            </w:pPr>
            <w:r w:rsidRPr="001B330E">
              <w:rPr>
                <w:b/>
                <w:smallCaps/>
                <w:color w:val="000000"/>
                <w:sz w:val="17"/>
                <w:szCs w:val="17"/>
              </w:rPr>
              <w:t>NON-FINANCIAL ASSETS</w:t>
            </w:r>
          </w:p>
        </w:tc>
        <w:tc>
          <w:tcPr>
            <w:tcW w:w="378" w:type="pct"/>
            <w:vAlign w:val="bottom"/>
          </w:tcPr>
          <w:p w14:paraId="5268320C"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0254CB0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09FDAF20"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6434217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3EF49D9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494EDD2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71873AE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6BEC3F15"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613CF041"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79D9CF8B"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62C95B38" w14:textId="77777777" w:rsidTr="001B330E">
        <w:trPr>
          <w:trHeight w:val="23"/>
        </w:trPr>
        <w:tc>
          <w:tcPr>
            <w:tcW w:w="1440" w:type="pct"/>
            <w:vAlign w:val="bottom"/>
          </w:tcPr>
          <w:p w14:paraId="6353774B" w14:textId="77777777" w:rsidR="00D83E33" w:rsidRPr="001B330E" w:rsidRDefault="00BC4072">
            <w:pPr>
              <w:widowControl w:val="0"/>
              <w:pBdr>
                <w:top w:val="nil"/>
                <w:left w:val="nil"/>
                <w:bottom w:val="nil"/>
                <w:right w:val="nil"/>
                <w:between w:val="nil"/>
              </w:pBdr>
              <w:rPr>
                <w:b/>
                <w:i/>
                <w:color w:val="000000"/>
                <w:sz w:val="17"/>
                <w:szCs w:val="17"/>
              </w:rPr>
            </w:pPr>
            <w:r w:rsidRPr="001B330E">
              <w:rPr>
                <w:color w:val="000000"/>
                <w:sz w:val="17"/>
                <w:szCs w:val="17"/>
              </w:rPr>
              <w:t>- Investment properties</w:t>
            </w:r>
          </w:p>
        </w:tc>
        <w:tc>
          <w:tcPr>
            <w:tcW w:w="378" w:type="pct"/>
            <w:vAlign w:val="bottom"/>
          </w:tcPr>
          <w:p w14:paraId="1414568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vAlign w:val="bottom"/>
          </w:tcPr>
          <w:p w14:paraId="6B478008"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vAlign w:val="bottom"/>
          </w:tcPr>
          <w:p w14:paraId="3107A5B3"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vAlign w:val="bottom"/>
          </w:tcPr>
          <w:p w14:paraId="0D6C81F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16C3CF6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vAlign w:val="bottom"/>
          </w:tcPr>
          <w:p w14:paraId="70F986D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vAlign w:val="bottom"/>
          </w:tcPr>
          <w:p w14:paraId="2FB7358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vAlign w:val="bottom"/>
          </w:tcPr>
          <w:p w14:paraId="228C8DA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vAlign w:val="bottom"/>
          </w:tcPr>
          <w:p w14:paraId="0523EA56"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vAlign w:val="bottom"/>
          </w:tcPr>
          <w:p w14:paraId="4DE19977"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7C8EF0C7" w14:textId="77777777" w:rsidTr="001B330E">
        <w:trPr>
          <w:trHeight w:val="23"/>
        </w:trPr>
        <w:tc>
          <w:tcPr>
            <w:tcW w:w="1440" w:type="pct"/>
            <w:tcBorders>
              <w:bottom w:val="single" w:sz="4" w:space="0" w:color="000000"/>
            </w:tcBorders>
            <w:vAlign w:val="bottom"/>
          </w:tcPr>
          <w:p w14:paraId="61BD703F"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 </w:t>
            </w:r>
          </w:p>
        </w:tc>
        <w:tc>
          <w:tcPr>
            <w:tcW w:w="378" w:type="pct"/>
            <w:tcBorders>
              <w:bottom w:val="single" w:sz="4" w:space="0" w:color="000000"/>
            </w:tcBorders>
            <w:vAlign w:val="bottom"/>
          </w:tcPr>
          <w:p w14:paraId="3B88193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3" w:type="pct"/>
            <w:tcBorders>
              <w:bottom w:val="single" w:sz="4" w:space="0" w:color="000000"/>
            </w:tcBorders>
            <w:vAlign w:val="bottom"/>
          </w:tcPr>
          <w:p w14:paraId="6F3C6E9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63" w:type="pct"/>
            <w:tcBorders>
              <w:bottom w:val="single" w:sz="4" w:space="0" w:color="000000"/>
            </w:tcBorders>
            <w:vAlign w:val="bottom"/>
          </w:tcPr>
          <w:p w14:paraId="7C6C1469"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19" w:type="pct"/>
            <w:tcBorders>
              <w:bottom w:val="single" w:sz="4" w:space="0" w:color="000000"/>
            </w:tcBorders>
            <w:vAlign w:val="bottom"/>
          </w:tcPr>
          <w:p w14:paraId="5957F3C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tcBorders>
              <w:bottom w:val="single" w:sz="4" w:space="0" w:color="000000"/>
            </w:tcBorders>
            <w:vAlign w:val="bottom"/>
          </w:tcPr>
          <w:p w14:paraId="1E2F3DC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50" w:type="pct"/>
            <w:tcBorders>
              <w:bottom w:val="single" w:sz="4" w:space="0" w:color="000000"/>
            </w:tcBorders>
            <w:vAlign w:val="bottom"/>
          </w:tcPr>
          <w:p w14:paraId="1562E9FF"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03" w:type="pct"/>
            <w:tcBorders>
              <w:bottom w:val="single" w:sz="4" w:space="0" w:color="000000"/>
            </w:tcBorders>
            <w:vAlign w:val="bottom"/>
          </w:tcPr>
          <w:p w14:paraId="0EB78D2B"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78" w:type="pct"/>
            <w:tcBorders>
              <w:bottom w:val="single" w:sz="4" w:space="0" w:color="000000"/>
            </w:tcBorders>
            <w:vAlign w:val="bottom"/>
          </w:tcPr>
          <w:p w14:paraId="32AF6092"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424" w:type="pct"/>
            <w:tcBorders>
              <w:bottom w:val="single" w:sz="4" w:space="0" w:color="000000"/>
            </w:tcBorders>
            <w:vAlign w:val="bottom"/>
          </w:tcPr>
          <w:p w14:paraId="0D18927D" w14:textId="77777777" w:rsidR="00D83E33" w:rsidRPr="001B330E" w:rsidRDefault="00D83E33">
            <w:pPr>
              <w:widowControl w:val="0"/>
              <w:pBdr>
                <w:top w:val="nil"/>
                <w:left w:val="nil"/>
                <w:bottom w:val="nil"/>
                <w:right w:val="nil"/>
                <w:between w:val="nil"/>
              </w:pBdr>
              <w:jc w:val="right"/>
              <w:rPr>
                <w:color w:val="000000"/>
                <w:sz w:val="17"/>
                <w:szCs w:val="17"/>
              </w:rPr>
            </w:pPr>
          </w:p>
        </w:tc>
        <w:tc>
          <w:tcPr>
            <w:tcW w:w="334" w:type="pct"/>
            <w:tcBorders>
              <w:bottom w:val="single" w:sz="4" w:space="0" w:color="000000"/>
            </w:tcBorders>
            <w:vAlign w:val="bottom"/>
          </w:tcPr>
          <w:p w14:paraId="02B889E6" w14:textId="77777777" w:rsidR="00D83E33" w:rsidRPr="001B330E" w:rsidRDefault="00D83E33">
            <w:pPr>
              <w:widowControl w:val="0"/>
              <w:pBdr>
                <w:top w:val="nil"/>
                <w:left w:val="nil"/>
                <w:bottom w:val="nil"/>
                <w:right w:val="nil"/>
                <w:between w:val="nil"/>
              </w:pBdr>
              <w:jc w:val="right"/>
              <w:rPr>
                <w:color w:val="000000"/>
                <w:sz w:val="17"/>
                <w:szCs w:val="17"/>
              </w:rPr>
            </w:pPr>
          </w:p>
        </w:tc>
      </w:tr>
      <w:tr w:rsidR="00EA10CF" w:rsidRPr="002762A6" w14:paraId="387D8731" w14:textId="77777777" w:rsidTr="001B330E">
        <w:trPr>
          <w:trHeight w:val="23"/>
        </w:trPr>
        <w:tc>
          <w:tcPr>
            <w:tcW w:w="1440" w:type="pct"/>
            <w:vAlign w:val="bottom"/>
          </w:tcPr>
          <w:p w14:paraId="12B7F34A" w14:textId="77777777" w:rsidR="00D83E33" w:rsidRPr="001B330E" w:rsidRDefault="00BC4072">
            <w:pPr>
              <w:widowControl w:val="0"/>
              <w:pBdr>
                <w:top w:val="nil"/>
                <w:left w:val="nil"/>
                <w:bottom w:val="nil"/>
                <w:right w:val="nil"/>
                <w:between w:val="nil"/>
              </w:pBdr>
              <w:rPr>
                <w:color w:val="000000"/>
                <w:sz w:val="17"/>
                <w:szCs w:val="17"/>
              </w:rPr>
            </w:pPr>
            <w:r w:rsidRPr="001B330E">
              <w:rPr>
                <w:color w:val="000000"/>
                <w:sz w:val="17"/>
                <w:szCs w:val="17"/>
              </w:rPr>
              <w:t> </w:t>
            </w:r>
          </w:p>
        </w:tc>
        <w:tc>
          <w:tcPr>
            <w:tcW w:w="378" w:type="pct"/>
            <w:vAlign w:val="bottom"/>
          </w:tcPr>
          <w:p w14:paraId="35FD2524"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33" w:type="pct"/>
            <w:vAlign w:val="bottom"/>
          </w:tcPr>
          <w:p w14:paraId="4B86A5F4"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63" w:type="pct"/>
            <w:tcBorders>
              <w:top w:val="single" w:sz="4" w:space="0" w:color="000000"/>
            </w:tcBorders>
            <w:vAlign w:val="bottom"/>
          </w:tcPr>
          <w:p w14:paraId="07994D3F"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19" w:type="pct"/>
            <w:tcBorders>
              <w:top w:val="single" w:sz="4" w:space="0" w:color="000000"/>
            </w:tcBorders>
            <w:vAlign w:val="bottom"/>
          </w:tcPr>
          <w:p w14:paraId="1F3527EE"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78" w:type="pct"/>
            <w:tcBorders>
              <w:top w:val="single" w:sz="4" w:space="0" w:color="000000"/>
            </w:tcBorders>
            <w:vAlign w:val="bottom"/>
          </w:tcPr>
          <w:p w14:paraId="55499839"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50" w:type="pct"/>
            <w:tcBorders>
              <w:top w:val="single" w:sz="4" w:space="0" w:color="000000"/>
            </w:tcBorders>
            <w:vAlign w:val="bottom"/>
          </w:tcPr>
          <w:p w14:paraId="0361967B"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03" w:type="pct"/>
            <w:tcBorders>
              <w:top w:val="single" w:sz="4" w:space="0" w:color="000000"/>
            </w:tcBorders>
            <w:vAlign w:val="bottom"/>
          </w:tcPr>
          <w:p w14:paraId="51D6A301"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78" w:type="pct"/>
            <w:tcBorders>
              <w:top w:val="single" w:sz="4" w:space="0" w:color="000000"/>
            </w:tcBorders>
            <w:vAlign w:val="bottom"/>
          </w:tcPr>
          <w:p w14:paraId="323851A7"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424" w:type="pct"/>
            <w:tcBorders>
              <w:top w:val="single" w:sz="4" w:space="0" w:color="000000"/>
            </w:tcBorders>
            <w:vAlign w:val="bottom"/>
          </w:tcPr>
          <w:p w14:paraId="35A149E9"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34" w:type="pct"/>
            <w:tcBorders>
              <w:top w:val="single" w:sz="4" w:space="0" w:color="000000"/>
            </w:tcBorders>
            <w:vAlign w:val="bottom"/>
          </w:tcPr>
          <w:p w14:paraId="079D4C1C" w14:textId="77777777" w:rsidR="00D83E33" w:rsidRPr="001B330E" w:rsidRDefault="00D83E33">
            <w:pPr>
              <w:widowControl w:val="0"/>
              <w:pBdr>
                <w:top w:val="nil"/>
                <w:left w:val="nil"/>
                <w:bottom w:val="nil"/>
                <w:right w:val="nil"/>
                <w:between w:val="nil"/>
              </w:pBdr>
              <w:jc w:val="right"/>
              <w:rPr>
                <w:b/>
                <w:color w:val="000000"/>
                <w:sz w:val="17"/>
                <w:szCs w:val="17"/>
              </w:rPr>
            </w:pPr>
          </w:p>
        </w:tc>
      </w:tr>
      <w:tr w:rsidR="00EA10CF" w:rsidRPr="002762A6" w14:paraId="401CED2D" w14:textId="77777777" w:rsidTr="001B330E">
        <w:trPr>
          <w:trHeight w:val="23"/>
        </w:trPr>
        <w:tc>
          <w:tcPr>
            <w:tcW w:w="1440" w:type="pct"/>
            <w:vAlign w:val="bottom"/>
          </w:tcPr>
          <w:p w14:paraId="42B84568" w14:textId="77777777" w:rsidR="00D83E33" w:rsidRPr="001B330E" w:rsidRDefault="00BC4072">
            <w:pPr>
              <w:widowControl w:val="0"/>
              <w:pBdr>
                <w:top w:val="nil"/>
                <w:left w:val="nil"/>
                <w:bottom w:val="nil"/>
                <w:right w:val="nil"/>
                <w:between w:val="nil"/>
              </w:pBdr>
              <w:rPr>
                <w:smallCaps/>
                <w:color w:val="000000"/>
                <w:sz w:val="17"/>
                <w:szCs w:val="17"/>
              </w:rPr>
            </w:pPr>
            <w:r w:rsidRPr="001B330E">
              <w:rPr>
                <w:b/>
                <w:smallCaps/>
                <w:color w:val="000000"/>
                <w:sz w:val="17"/>
                <w:szCs w:val="17"/>
              </w:rPr>
              <w:t xml:space="preserve">TOTAL </w:t>
            </w:r>
          </w:p>
        </w:tc>
        <w:tc>
          <w:tcPr>
            <w:tcW w:w="378" w:type="pct"/>
            <w:vAlign w:val="bottom"/>
          </w:tcPr>
          <w:p w14:paraId="324B821F"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3" w:type="pct"/>
            <w:vAlign w:val="bottom"/>
          </w:tcPr>
          <w:p w14:paraId="15CBA2DA"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63" w:type="pct"/>
            <w:vAlign w:val="bottom"/>
          </w:tcPr>
          <w:p w14:paraId="40333287"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19" w:type="pct"/>
            <w:vAlign w:val="bottom"/>
          </w:tcPr>
          <w:p w14:paraId="07263AC4"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78" w:type="pct"/>
            <w:vAlign w:val="bottom"/>
          </w:tcPr>
          <w:p w14:paraId="60A91CE2"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50" w:type="pct"/>
            <w:vAlign w:val="bottom"/>
          </w:tcPr>
          <w:p w14:paraId="52C60655"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03" w:type="pct"/>
            <w:vAlign w:val="bottom"/>
          </w:tcPr>
          <w:p w14:paraId="11EDCADD"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78" w:type="pct"/>
            <w:vAlign w:val="bottom"/>
          </w:tcPr>
          <w:p w14:paraId="6A8C4DE9"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424" w:type="pct"/>
            <w:vAlign w:val="bottom"/>
          </w:tcPr>
          <w:p w14:paraId="2395C461" w14:textId="77777777" w:rsidR="00D83E33" w:rsidRPr="001B330E" w:rsidRDefault="00D83E33">
            <w:pPr>
              <w:widowControl w:val="0"/>
              <w:pBdr>
                <w:top w:val="nil"/>
                <w:left w:val="nil"/>
                <w:bottom w:val="nil"/>
                <w:right w:val="nil"/>
                <w:between w:val="nil"/>
              </w:pBdr>
              <w:jc w:val="right"/>
              <w:rPr>
                <w:b/>
                <w:smallCaps/>
                <w:color w:val="000000"/>
                <w:sz w:val="17"/>
                <w:szCs w:val="17"/>
              </w:rPr>
            </w:pPr>
          </w:p>
        </w:tc>
        <w:tc>
          <w:tcPr>
            <w:tcW w:w="334" w:type="pct"/>
            <w:vAlign w:val="bottom"/>
          </w:tcPr>
          <w:p w14:paraId="439B83D2" w14:textId="77777777" w:rsidR="00D83E33" w:rsidRPr="001B330E" w:rsidRDefault="00D83E33">
            <w:pPr>
              <w:widowControl w:val="0"/>
              <w:pBdr>
                <w:top w:val="nil"/>
                <w:left w:val="nil"/>
                <w:bottom w:val="nil"/>
                <w:right w:val="nil"/>
                <w:between w:val="nil"/>
              </w:pBdr>
              <w:jc w:val="right"/>
              <w:rPr>
                <w:b/>
                <w:smallCaps/>
                <w:color w:val="000000"/>
                <w:sz w:val="17"/>
                <w:szCs w:val="17"/>
              </w:rPr>
            </w:pPr>
          </w:p>
        </w:tc>
      </w:tr>
      <w:tr w:rsidR="00EA10CF" w:rsidRPr="002762A6" w14:paraId="13115E7D" w14:textId="77777777" w:rsidTr="001B330E">
        <w:trPr>
          <w:trHeight w:val="23"/>
        </w:trPr>
        <w:tc>
          <w:tcPr>
            <w:tcW w:w="1440" w:type="pct"/>
            <w:tcBorders>
              <w:bottom w:val="single" w:sz="12" w:space="0" w:color="000000"/>
            </w:tcBorders>
            <w:shd w:val="clear" w:color="auto" w:fill="auto"/>
            <w:vAlign w:val="bottom"/>
          </w:tcPr>
          <w:p w14:paraId="30C3A1AE" w14:textId="77777777" w:rsidR="00D83E33" w:rsidRPr="001B330E" w:rsidRDefault="00BC4072">
            <w:pPr>
              <w:widowControl w:val="0"/>
              <w:rPr>
                <w:sz w:val="17"/>
                <w:szCs w:val="17"/>
              </w:rPr>
            </w:pPr>
            <w:r w:rsidRPr="001B330E">
              <w:rPr>
                <w:sz w:val="17"/>
                <w:szCs w:val="17"/>
              </w:rPr>
              <w:t> </w:t>
            </w:r>
          </w:p>
        </w:tc>
        <w:tc>
          <w:tcPr>
            <w:tcW w:w="378" w:type="pct"/>
            <w:tcBorders>
              <w:bottom w:val="single" w:sz="12" w:space="0" w:color="000000"/>
            </w:tcBorders>
            <w:shd w:val="clear" w:color="auto" w:fill="auto"/>
            <w:vAlign w:val="bottom"/>
          </w:tcPr>
          <w:p w14:paraId="5C1E4AE1"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33" w:type="pct"/>
            <w:tcBorders>
              <w:bottom w:val="single" w:sz="12" w:space="0" w:color="000000"/>
            </w:tcBorders>
            <w:vAlign w:val="bottom"/>
          </w:tcPr>
          <w:p w14:paraId="112B7C32"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63" w:type="pct"/>
            <w:tcBorders>
              <w:bottom w:val="single" w:sz="12" w:space="0" w:color="000000"/>
            </w:tcBorders>
            <w:vAlign w:val="bottom"/>
          </w:tcPr>
          <w:p w14:paraId="4C485791"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19" w:type="pct"/>
            <w:tcBorders>
              <w:bottom w:val="single" w:sz="12" w:space="0" w:color="000000"/>
            </w:tcBorders>
            <w:vAlign w:val="bottom"/>
          </w:tcPr>
          <w:p w14:paraId="0E542182"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78" w:type="pct"/>
            <w:tcBorders>
              <w:bottom w:val="single" w:sz="12" w:space="0" w:color="000000"/>
            </w:tcBorders>
            <w:vAlign w:val="bottom"/>
          </w:tcPr>
          <w:p w14:paraId="4C9624CF"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50" w:type="pct"/>
            <w:tcBorders>
              <w:bottom w:val="single" w:sz="12" w:space="0" w:color="000000"/>
            </w:tcBorders>
            <w:vAlign w:val="bottom"/>
          </w:tcPr>
          <w:p w14:paraId="370EF5F6"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03" w:type="pct"/>
            <w:tcBorders>
              <w:bottom w:val="single" w:sz="12" w:space="0" w:color="000000"/>
            </w:tcBorders>
            <w:vAlign w:val="bottom"/>
          </w:tcPr>
          <w:p w14:paraId="53FEB343"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78" w:type="pct"/>
            <w:tcBorders>
              <w:bottom w:val="single" w:sz="12" w:space="0" w:color="000000"/>
            </w:tcBorders>
            <w:vAlign w:val="bottom"/>
          </w:tcPr>
          <w:p w14:paraId="6D2FE375"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424" w:type="pct"/>
            <w:tcBorders>
              <w:bottom w:val="single" w:sz="12" w:space="0" w:color="000000"/>
            </w:tcBorders>
            <w:vAlign w:val="bottom"/>
          </w:tcPr>
          <w:p w14:paraId="613602B4" w14:textId="77777777" w:rsidR="00D83E33" w:rsidRPr="001B330E" w:rsidRDefault="00D83E33">
            <w:pPr>
              <w:widowControl w:val="0"/>
              <w:pBdr>
                <w:top w:val="nil"/>
                <w:left w:val="nil"/>
                <w:bottom w:val="nil"/>
                <w:right w:val="nil"/>
                <w:between w:val="nil"/>
              </w:pBdr>
              <w:jc w:val="right"/>
              <w:rPr>
                <w:b/>
                <w:color w:val="000000"/>
                <w:sz w:val="17"/>
                <w:szCs w:val="17"/>
              </w:rPr>
            </w:pPr>
          </w:p>
        </w:tc>
        <w:tc>
          <w:tcPr>
            <w:tcW w:w="334" w:type="pct"/>
            <w:tcBorders>
              <w:bottom w:val="single" w:sz="12" w:space="0" w:color="000000"/>
            </w:tcBorders>
            <w:vAlign w:val="bottom"/>
          </w:tcPr>
          <w:p w14:paraId="70128F53" w14:textId="77777777" w:rsidR="00D83E33" w:rsidRPr="001B330E" w:rsidRDefault="00D83E33">
            <w:pPr>
              <w:widowControl w:val="0"/>
              <w:pBdr>
                <w:top w:val="nil"/>
                <w:left w:val="nil"/>
                <w:bottom w:val="nil"/>
                <w:right w:val="nil"/>
                <w:between w:val="nil"/>
              </w:pBdr>
              <w:jc w:val="right"/>
              <w:rPr>
                <w:b/>
                <w:color w:val="000000"/>
                <w:sz w:val="17"/>
                <w:szCs w:val="17"/>
              </w:rPr>
            </w:pPr>
          </w:p>
        </w:tc>
      </w:tr>
    </w:tbl>
    <w:p w14:paraId="1C62944A" w14:textId="29EE0513" w:rsidR="00D83E33" w:rsidRDefault="00BC4072" w:rsidP="001B330E">
      <w:pPr>
        <w:pStyle w:val="Continued"/>
      </w:pPr>
      <w:r>
        <w:lastRenderedPageBreak/>
        <w:t>49</w:t>
      </w:r>
      <w:r>
        <w:tab/>
        <w:t>Fair Value Disclosures (Continued)</w:t>
      </w:r>
    </w:p>
    <w:p w14:paraId="0CDF9B2D"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Fair values analysed by level in the fair value hierarchy and carrying value of liabilities not measured at fair value are as follows: </w:t>
      </w:r>
    </w:p>
    <w:tbl>
      <w:tblPr>
        <w:tblStyle w:val="afffffffffffffffff1"/>
        <w:tblW w:w="5000" w:type="pct"/>
        <w:tblLayout w:type="fixed"/>
        <w:tblLook w:val="0000" w:firstRow="0" w:lastRow="0" w:firstColumn="0" w:lastColumn="0" w:noHBand="0" w:noVBand="0"/>
      </w:tblPr>
      <w:tblGrid>
        <w:gridCol w:w="2833"/>
        <w:gridCol w:w="651"/>
        <w:gridCol w:w="651"/>
        <w:gridCol w:w="651"/>
        <w:gridCol w:w="651"/>
        <w:gridCol w:w="657"/>
        <w:gridCol w:w="651"/>
        <w:gridCol w:w="651"/>
        <w:gridCol w:w="651"/>
        <w:gridCol w:w="651"/>
        <w:gridCol w:w="657"/>
      </w:tblGrid>
      <w:tr w:rsidR="00D83E33" w:rsidRPr="002762A6" w14:paraId="1C0E67E8" w14:textId="77777777" w:rsidTr="001B330E">
        <w:trPr>
          <w:trHeight w:val="23"/>
        </w:trPr>
        <w:tc>
          <w:tcPr>
            <w:tcW w:w="1514" w:type="pct"/>
            <w:vAlign w:val="bottom"/>
          </w:tcPr>
          <w:p w14:paraId="7950BAFA" w14:textId="77777777" w:rsidR="00D83E33" w:rsidRPr="001B330E" w:rsidRDefault="00D83E33" w:rsidP="001B330E">
            <w:pPr>
              <w:widowControl w:val="0"/>
              <w:pBdr>
                <w:top w:val="nil"/>
                <w:left w:val="nil"/>
                <w:bottom w:val="nil"/>
                <w:right w:val="nil"/>
                <w:between w:val="nil"/>
              </w:pBdr>
              <w:ind w:left="113" w:hanging="113"/>
              <w:rPr>
                <w:i/>
                <w:color w:val="000000"/>
                <w:sz w:val="17"/>
                <w:szCs w:val="17"/>
              </w:rPr>
            </w:pPr>
          </w:p>
        </w:tc>
        <w:tc>
          <w:tcPr>
            <w:tcW w:w="1743" w:type="pct"/>
            <w:gridSpan w:val="5"/>
            <w:tcBorders>
              <w:bottom w:val="single" w:sz="4" w:space="0" w:color="000000"/>
            </w:tcBorders>
          </w:tcPr>
          <w:p w14:paraId="2921FA6A" w14:textId="625A3EA4" w:rsidR="00D83E33" w:rsidRPr="001B330E" w:rsidRDefault="00BC4072" w:rsidP="001B330E">
            <w:pPr>
              <w:widowControl w:val="0"/>
              <w:pBdr>
                <w:top w:val="nil"/>
                <w:left w:val="nil"/>
                <w:bottom w:val="nil"/>
                <w:right w:val="nil"/>
                <w:between w:val="nil"/>
              </w:pBdr>
              <w:jc w:val="center"/>
              <w:rPr>
                <w:b/>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2024</w:t>
            </w:r>
          </w:p>
        </w:tc>
        <w:tc>
          <w:tcPr>
            <w:tcW w:w="1743" w:type="pct"/>
            <w:gridSpan w:val="5"/>
            <w:tcBorders>
              <w:bottom w:val="single" w:sz="4" w:space="0" w:color="000000"/>
            </w:tcBorders>
          </w:tcPr>
          <w:p w14:paraId="17907613" w14:textId="3B22168F" w:rsidR="00D83E33" w:rsidRPr="001B330E" w:rsidRDefault="00BC4072" w:rsidP="001B330E">
            <w:pPr>
              <w:widowControl w:val="0"/>
              <w:pBdr>
                <w:top w:val="nil"/>
                <w:left w:val="nil"/>
                <w:bottom w:val="nil"/>
                <w:right w:val="nil"/>
                <w:between w:val="nil"/>
              </w:pBdr>
              <w:jc w:val="center"/>
              <w:rPr>
                <w:b/>
                <w:color w:val="000000"/>
                <w:sz w:val="17"/>
                <w:szCs w:val="17"/>
              </w:rPr>
            </w:pPr>
            <w:r w:rsidRPr="001B330E">
              <w:rPr>
                <w:b/>
                <w:color w:val="000000"/>
                <w:sz w:val="17"/>
                <w:szCs w:val="17"/>
              </w:rPr>
              <w:t>31</w:t>
            </w:r>
            <w:r w:rsidR="00181687">
              <w:rPr>
                <w:b/>
                <w:color w:val="000000"/>
                <w:sz w:val="17"/>
                <w:szCs w:val="17"/>
              </w:rPr>
              <w:t> December </w:t>
            </w:r>
            <w:r w:rsidR="00541EBC">
              <w:rPr>
                <w:b/>
                <w:color w:val="000000"/>
                <w:sz w:val="17"/>
                <w:szCs w:val="17"/>
              </w:rPr>
              <w:t>2023</w:t>
            </w:r>
          </w:p>
        </w:tc>
      </w:tr>
      <w:tr w:rsidR="00D83E33" w:rsidRPr="002762A6" w14:paraId="61F267DA" w14:textId="77777777" w:rsidTr="001B330E">
        <w:trPr>
          <w:trHeight w:val="23"/>
        </w:trPr>
        <w:tc>
          <w:tcPr>
            <w:tcW w:w="1514" w:type="pct"/>
            <w:tcBorders>
              <w:bottom w:val="single" w:sz="4" w:space="0" w:color="000000"/>
            </w:tcBorders>
            <w:vAlign w:val="bottom"/>
          </w:tcPr>
          <w:p w14:paraId="6FB5012D" w14:textId="77777777" w:rsidR="00D83E33" w:rsidRPr="001B330E" w:rsidRDefault="00D83E33" w:rsidP="001B330E">
            <w:pPr>
              <w:widowControl w:val="0"/>
              <w:pBdr>
                <w:top w:val="nil"/>
                <w:left w:val="nil"/>
                <w:bottom w:val="nil"/>
                <w:right w:val="nil"/>
                <w:between w:val="nil"/>
              </w:pBdr>
              <w:ind w:left="113" w:hanging="113"/>
              <w:rPr>
                <w:i/>
                <w:color w:val="000000"/>
                <w:sz w:val="17"/>
                <w:szCs w:val="17"/>
              </w:rPr>
            </w:pPr>
          </w:p>
          <w:p w14:paraId="0DFB09A5" w14:textId="4935DB25" w:rsidR="00D83E33" w:rsidRPr="001B330E" w:rsidRDefault="00313B4D" w:rsidP="001B330E">
            <w:pPr>
              <w:widowControl w:val="0"/>
              <w:pBdr>
                <w:top w:val="nil"/>
                <w:left w:val="nil"/>
                <w:bottom w:val="nil"/>
                <w:right w:val="nil"/>
                <w:between w:val="nil"/>
              </w:pBdr>
              <w:ind w:left="113" w:hanging="113"/>
              <w:rPr>
                <w:i/>
                <w:color w:val="000000"/>
                <w:sz w:val="17"/>
                <w:szCs w:val="17"/>
              </w:rPr>
            </w:pPr>
            <w:r>
              <w:rPr>
                <w:i/>
                <w:color w:val="000000"/>
                <w:sz w:val="17"/>
                <w:szCs w:val="17"/>
              </w:rPr>
              <w:t xml:space="preserve">In thousands of </w:t>
            </w:r>
            <w:r w:rsidR="002649EE">
              <w:rPr>
                <w:i/>
                <w:color w:val="000000"/>
                <w:sz w:val="17"/>
                <w:szCs w:val="17"/>
              </w:rPr>
              <w:t>EUR</w:t>
            </w:r>
          </w:p>
        </w:tc>
        <w:tc>
          <w:tcPr>
            <w:tcW w:w="348" w:type="pct"/>
            <w:tcBorders>
              <w:top w:val="single" w:sz="4" w:space="0" w:color="000000"/>
              <w:bottom w:val="single" w:sz="4" w:space="0" w:color="000000"/>
            </w:tcBorders>
          </w:tcPr>
          <w:p w14:paraId="72ADC0CD"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1</w:t>
            </w:r>
          </w:p>
          <w:p w14:paraId="0ECA6BB7"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48" w:type="pct"/>
            <w:tcBorders>
              <w:top w:val="single" w:sz="4" w:space="0" w:color="000000"/>
              <w:bottom w:val="single" w:sz="4" w:space="0" w:color="000000"/>
            </w:tcBorders>
          </w:tcPr>
          <w:p w14:paraId="06930D0C"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2</w:t>
            </w:r>
          </w:p>
          <w:p w14:paraId="5268365D"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48" w:type="pct"/>
            <w:tcBorders>
              <w:top w:val="single" w:sz="4" w:space="0" w:color="000000"/>
              <w:bottom w:val="single" w:sz="4" w:space="0" w:color="000000"/>
            </w:tcBorders>
          </w:tcPr>
          <w:p w14:paraId="02FA5FB0"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3</w:t>
            </w:r>
          </w:p>
          <w:p w14:paraId="5A358481"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48" w:type="pct"/>
            <w:tcBorders>
              <w:top w:val="single" w:sz="4" w:space="0" w:color="000000"/>
              <w:bottom w:val="single" w:sz="4" w:space="0" w:color="000000"/>
            </w:tcBorders>
          </w:tcPr>
          <w:p w14:paraId="52293117"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 fair value</w:t>
            </w:r>
          </w:p>
        </w:tc>
        <w:tc>
          <w:tcPr>
            <w:tcW w:w="351" w:type="pct"/>
            <w:tcBorders>
              <w:top w:val="single" w:sz="4" w:space="0" w:color="000000"/>
              <w:bottom w:val="single" w:sz="4" w:space="0" w:color="000000"/>
            </w:tcBorders>
          </w:tcPr>
          <w:p w14:paraId="114D233D"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Carry-ing value</w:t>
            </w:r>
          </w:p>
        </w:tc>
        <w:tc>
          <w:tcPr>
            <w:tcW w:w="348" w:type="pct"/>
            <w:tcBorders>
              <w:top w:val="single" w:sz="4" w:space="0" w:color="000000"/>
              <w:bottom w:val="single" w:sz="4" w:space="0" w:color="000000"/>
            </w:tcBorders>
          </w:tcPr>
          <w:p w14:paraId="574D9381"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1</w:t>
            </w:r>
          </w:p>
          <w:p w14:paraId="5620AC7B"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48" w:type="pct"/>
            <w:tcBorders>
              <w:top w:val="single" w:sz="4" w:space="0" w:color="000000"/>
              <w:bottom w:val="single" w:sz="4" w:space="0" w:color="000000"/>
            </w:tcBorders>
          </w:tcPr>
          <w:p w14:paraId="3E85C4BF"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2</w:t>
            </w:r>
          </w:p>
          <w:p w14:paraId="2CD9B9F7"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48" w:type="pct"/>
            <w:tcBorders>
              <w:top w:val="single" w:sz="4" w:space="0" w:color="000000"/>
              <w:bottom w:val="single" w:sz="4" w:space="0" w:color="000000"/>
            </w:tcBorders>
          </w:tcPr>
          <w:p w14:paraId="37C005C2"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Level 3</w:t>
            </w:r>
          </w:p>
          <w:p w14:paraId="5CA9B2D3"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fair value</w:t>
            </w:r>
          </w:p>
        </w:tc>
        <w:tc>
          <w:tcPr>
            <w:tcW w:w="348" w:type="pct"/>
            <w:tcBorders>
              <w:top w:val="single" w:sz="4" w:space="0" w:color="000000"/>
              <w:bottom w:val="single" w:sz="4" w:space="0" w:color="000000"/>
            </w:tcBorders>
          </w:tcPr>
          <w:p w14:paraId="753E3033"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 fair value</w:t>
            </w:r>
          </w:p>
        </w:tc>
        <w:tc>
          <w:tcPr>
            <w:tcW w:w="350" w:type="pct"/>
            <w:tcBorders>
              <w:top w:val="single" w:sz="4" w:space="0" w:color="000000"/>
              <w:bottom w:val="single" w:sz="4" w:space="0" w:color="000000"/>
            </w:tcBorders>
          </w:tcPr>
          <w:p w14:paraId="6DCC15C7"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Carry-</w:t>
            </w:r>
          </w:p>
          <w:p w14:paraId="496C59DF"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 xml:space="preserve">ing </w:t>
            </w:r>
          </w:p>
          <w:p w14:paraId="5CC08D1D"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value</w:t>
            </w:r>
          </w:p>
        </w:tc>
      </w:tr>
      <w:tr w:rsidR="00D83E33" w:rsidRPr="002762A6" w14:paraId="657F7E43" w14:textId="77777777" w:rsidTr="001B330E">
        <w:trPr>
          <w:trHeight w:val="23"/>
        </w:trPr>
        <w:tc>
          <w:tcPr>
            <w:tcW w:w="1514" w:type="pct"/>
            <w:tcBorders>
              <w:top w:val="single" w:sz="4" w:space="0" w:color="000000"/>
            </w:tcBorders>
            <w:vAlign w:val="bottom"/>
          </w:tcPr>
          <w:p w14:paraId="2B86F9A0"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b/>
                <w:color w:val="000000"/>
                <w:sz w:val="17"/>
                <w:szCs w:val="17"/>
              </w:rPr>
              <w:t> </w:t>
            </w:r>
          </w:p>
        </w:tc>
        <w:tc>
          <w:tcPr>
            <w:tcW w:w="348" w:type="pct"/>
            <w:tcBorders>
              <w:top w:val="single" w:sz="4" w:space="0" w:color="000000"/>
            </w:tcBorders>
            <w:vAlign w:val="bottom"/>
          </w:tcPr>
          <w:p w14:paraId="74234A6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top w:val="single" w:sz="4" w:space="0" w:color="000000"/>
            </w:tcBorders>
            <w:vAlign w:val="bottom"/>
          </w:tcPr>
          <w:p w14:paraId="08E99A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top w:val="single" w:sz="4" w:space="0" w:color="000000"/>
            </w:tcBorders>
            <w:vAlign w:val="bottom"/>
          </w:tcPr>
          <w:p w14:paraId="04EA0DC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top w:val="single" w:sz="4" w:space="0" w:color="000000"/>
            </w:tcBorders>
            <w:vAlign w:val="bottom"/>
          </w:tcPr>
          <w:p w14:paraId="22207426"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51" w:type="pct"/>
            <w:tcBorders>
              <w:top w:val="single" w:sz="4" w:space="0" w:color="000000"/>
            </w:tcBorders>
            <w:vAlign w:val="bottom"/>
          </w:tcPr>
          <w:p w14:paraId="5214A740"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7D612D18"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140BF2AC"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29697B3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4EA7BDF3"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50" w:type="pct"/>
            <w:tcBorders>
              <w:top w:val="single" w:sz="4" w:space="0" w:color="000000"/>
            </w:tcBorders>
            <w:vAlign w:val="bottom"/>
          </w:tcPr>
          <w:p w14:paraId="142EE12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2762A6" w14:paraId="0DFAE3ED" w14:textId="77777777" w:rsidTr="001B330E">
        <w:trPr>
          <w:trHeight w:val="23"/>
        </w:trPr>
        <w:tc>
          <w:tcPr>
            <w:tcW w:w="1514" w:type="pct"/>
            <w:vAlign w:val="bottom"/>
          </w:tcPr>
          <w:p w14:paraId="671BB0EC"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 xml:space="preserve">FINANCIAL LIABILITIES </w:t>
            </w:r>
          </w:p>
        </w:tc>
        <w:tc>
          <w:tcPr>
            <w:tcW w:w="348" w:type="pct"/>
            <w:vAlign w:val="bottom"/>
          </w:tcPr>
          <w:p w14:paraId="2C5F2CBF"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A445B2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B69B0C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0AE777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7029CF2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EFD94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13C205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AB1450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DB209D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222F5C7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CC676F5" w14:textId="77777777" w:rsidTr="001B330E">
        <w:trPr>
          <w:trHeight w:val="23"/>
        </w:trPr>
        <w:tc>
          <w:tcPr>
            <w:tcW w:w="1514" w:type="pct"/>
            <w:vAlign w:val="bottom"/>
          </w:tcPr>
          <w:p w14:paraId="6D06B264" w14:textId="77777777" w:rsidR="00D83E33" w:rsidRPr="001B330E" w:rsidRDefault="00D83E33" w:rsidP="001B330E">
            <w:pPr>
              <w:widowControl w:val="0"/>
              <w:pBdr>
                <w:top w:val="nil"/>
                <w:left w:val="nil"/>
                <w:bottom w:val="nil"/>
                <w:right w:val="nil"/>
                <w:between w:val="nil"/>
              </w:pBdr>
              <w:ind w:left="113" w:hanging="113"/>
              <w:rPr>
                <w:b/>
                <w:i/>
                <w:color w:val="000000"/>
                <w:sz w:val="17"/>
                <w:szCs w:val="17"/>
              </w:rPr>
            </w:pPr>
          </w:p>
        </w:tc>
        <w:tc>
          <w:tcPr>
            <w:tcW w:w="348" w:type="pct"/>
            <w:vAlign w:val="bottom"/>
          </w:tcPr>
          <w:p w14:paraId="34F6A87B"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5AA3DCA"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F1156AF"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7374B6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1F552B8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173A4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C67523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2C8F2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20BE41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1D3A9DD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19B0348" w14:textId="77777777" w:rsidTr="001B330E">
        <w:trPr>
          <w:trHeight w:val="23"/>
        </w:trPr>
        <w:tc>
          <w:tcPr>
            <w:tcW w:w="1514" w:type="pct"/>
            <w:vAlign w:val="bottom"/>
          </w:tcPr>
          <w:p w14:paraId="14CE7FC8"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b/>
                <w:i/>
                <w:color w:val="000000"/>
                <w:sz w:val="17"/>
                <w:szCs w:val="17"/>
              </w:rPr>
              <w:t>Due to other banks</w:t>
            </w:r>
          </w:p>
        </w:tc>
        <w:tc>
          <w:tcPr>
            <w:tcW w:w="348" w:type="pct"/>
            <w:vAlign w:val="bottom"/>
          </w:tcPr>
          <w:p w14:paraId="5108C8FD"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91367A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87B5D8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FC026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59971B3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4FB412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5FF55E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F8F458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66A1D6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4FF6294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CE7292C" w14:textId="77777777" w:rsidTr="001B330E">
        <w:trPr>
          <w:trHeight w:val="23"/>
        </w:trPr>
        <w:tc>
          <w:tcPr>
            <w:tcW w:w="1514" w:type="pct"/>
            <w:vAlign w:val="bottom"/>
          </w:tcPr>
          <w:p w14:paraId="22D99D40"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Correspondent accounts and overnight placements of other banks</w:t>
            </w:r>
          </w:p>
        </w:tc>
        <w:tc>
          <w:tcPr>
            <w:tcW w:w="348" w:type="pct"/>
            <w:vAlign w:val="bottom"/>
          </w:tcPr>
          <w:p w14:paraId="11726DA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6DE56B7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559BA1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E44947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1800751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498E7B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8FE5B0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0F8006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53535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554CC32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0B5C5E6" w14:textId="77777777" w:rsidTr="001B330E">
        <w:trPr>
          <w:trHeight w:val="23"/>
        </w:trPr>
        <w:tc>
          <w:tcPr>
            <w:tcW w:w="1514" w:type="pct"/>
            <w:vAlign w:val="bottom"/>
          </w:tcPr>
          <w:p w14:paraId="4B2368CE"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Short-term placements of other banks</w:t>
            </w:r>
          </w:p>
        </w:tc>
        <w:tc>
          <w:tcPr>
            <w:tcW w:w="348" w:type="pct"/>
            <w:vAlign w:val="bottom"/>
          </w:tcPr>
          <w:p w14:paraId="28788F5D"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3420A52C"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636D604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6134EB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244B5AE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9EB274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D4EED6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7F6E9E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67725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23E91AC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C89A25B" w14:textId="77777777" w:rsidTr="001B330E">
        <w:trPr>
          <w:trHeight w:val="23"/>
        </w:trPr>
        <w:tc>
          <w:tcPr>
            <w:tcW w:w="1514" w:type="pct"/>
            <w:vAlign w:val="bottom"/>
          </w:tcPr>
          <w:p w14:paraId="1875CE77"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xml:space="preserve">- Sale and repurchase agreements with other banks </w:t>
            </w:r>
          </w:p>
        </w:tc>
        <w:tc>
          <w:tcPr>
            <w:tcW w:w="348" w:type="pct"/>
            <w:vAlign w:val="bottom"/>
          </w:tcPr>
          <w:p w14:paraId="7A7E70C3"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FB8D84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14D39B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AABDDE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4E6B9D4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17DDB3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45014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F2FDA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9E321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7990368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0EF1C48" w14:textId="77777777" w:rsidTr="001B330E">
        <w:trPr>
          <w:trHeight w:val="23"/>
        </w:trPr>
        <w:tc>
          <w:tcPr>
            <w:tcW w:w="1514" w:type="pct"/>
            <w:vAlign w:val="bottom"/>
          </w:tcPr>
          <w:p w14:paraId="37263C86"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Overdue term placements of other banks</w:t>
            </w:r>
          </w:p>
        </w:tc>
        <w:tc>
          <w:tcPr>
            <w:tcW w:w="348" w:type="pct"/>
            <w:vAlign w:val="bottom"/>
          </w:tcPr>
          <w:p w14:paraId="50ECB4C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3DEFBF3"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3C7456B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62FA8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7D6350D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6222E5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858836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6B6621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DDE958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7F1B2F3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0D0429A" w14:textId="77777777" w:rsidTr="001B330E">
        <w:trPr>
          <w:trHeight w:val="23"/>
        </w:trPr>
        <w:tc>
          <w:tcPr>
            <w:tcW w:w="1514" w:type="pct"/>
            <w:vAlign w:val="bottom"/>
          </w:tcPr>
          <w:p w14:paraId="001CE521" w14:textId="77777777" w:rsidR="00D83E33" w:rsidRPr="001B330E" w:rsidRDefault="00D83E33" w:rsidP="001B330E">
            <w:pPr>
              <w:widowControl w:val="0"/>
              <w:pBdr>
                <w:top w:val="nil"/>
                <w:left w:val="nil"/>
                <w:bottom w:val="nil"/>
                <w:right w:val="nil"/>
                <w:between w:val="nil"/>
              </w:pBdr>
              <w:ind w:left="113" w:hanging="113"/>
              <w:rPr>
                <w:b/>
                <w:i/>
                <w:color w:val="000000"/>
                <w:sz w:val="17"/>
                <w:szCs w:val="17"/>
              </w:rPr>
            </w:pPr>
          </w:p>
        </w:tc>
        <w:tc>
          <w:tcPr>
            <w:tcW w:w="348" w:type="pct"/>
            <w:vAlign w:val="bottom"/>
          </w:tcPr>
          <w:p w14:paraId="6F8ED6D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5D4C44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E79EB3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641BBF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22D5509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C81AAD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583C8D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BBD4FC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8AB47E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3DF37B5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70397EC" w14:textId="77777777" w:rsidTr="001B330E">
        <w:trPr>
          <w:trHeight w:val="23"/>
        </w:trPr>
        <w:tc>
          <w:tcPr>
            <w:tcW w:w="1514" w:type="pct"/>
            <w:vAlign w:val="bottom"/>
          </w:tcPr>
          <w:p w14:paraId="1097E10B"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b/>
                <w:i/>
                <w:color w:val="000000"/>
                <w:sz w:val="17"/>
                <w:szCs w:val="17"/>
              </w:rPr>
              <w:t>Customer accounts</w:t>
            </w:r>
          </w:p>
        </w:tc>
        <w:tc>
          <w:tcPr>
            <w:tcW w:w="348" w:type="pct"/>
            <w:vAlign w:val="bottom"/>
          </w:tcPr>
          <w:p w14:paraId="2DA12755"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A6EB48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410984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BAEB1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67DFA08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91D6CF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8EA6CD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45D580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C06F70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623FDCB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ADF2567" w14:textId="77777777" w:rsidTr="001B330E">
        <w:trPr>
          <w:trHeight w:val="23"/>
        </w:trPr>
        <w:tc>
          <w:tcPr>
            <w:tcW w:w="1514" w:type="pct"/>
            <w:vAlign w:val="bottom"/>
          </w:tcPr>
          <w:p w14:paraId="6FE81618"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Current/settlement accounts of state and public organisations</w:t>
            </w:r>
          </w:p>
        </w:tc>
        <w:tc>
          <w:tcPr>
            <w:tcW w:w="348" w:type="pct"/>
            <w:vAlign w:val="bottom"/>
          </w:tcPr>
          <w:p w14:paraId="35A47CFF"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25C1A3B"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26709E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65F291F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25D5CAE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5D5DF8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8ED0F3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96C99C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6542C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4628EB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84A8EFF" w14:textId="77777777" w:rsidTr="001B330E">
        <w:trPr>
          <w:trHeight w:val="23"/>
        </w:trPr>
        <w:tc>
          <w:tcPr>
            <w:tcW w:w="1514" w:type="pct"/>
            <w:vAlign w:val="bottom"/>
          </w:tcPr>
          <w:p w14:paraId="4DAAB815"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Term deposits of state and public organisations</w:t>
            </w:r>
          </w:p>
        </w:tc>
        <w:tc>
          <w:tcPr>
            <w:tcW w:w="348" w:type="pct"/>
            <w:vAlign w:val="bottom"/>
          </w:tcPr>
          <w:p w14:paraId="2964EB6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FA785D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8C75901"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2AE86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4C7947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3CAD3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7320FD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696303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AC3FBD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2BA1C68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41BF34D" w14:textId="77777777" w:rsidTr="001B330E">
        <w:trPr>
          <w:trHeight w:val="23"/>
        </w:trPr>
        <w:tc>
          <w:tcPr>
            <w:tcW w:w="1514" w:type="pct"/>
            <w:vAlign w:val="bottom"/>
          </w:tcPr>
          <w:p w14:paraId="5F5CB7EF"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Current/settlement accounts of other legal entities</w:t>
            </w:r>
          </w:p>
        </w:tc>
        <w:tc>
          <w:tcPr>
            <w:tcW w:w="348" w:type="pct"/>
            <w:vAlign w:val="bottom"/>
          </w:tcPr>
          <w:p w14:paraId="030929DD"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197B531"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40ECB3C"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46976A4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39D509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CD84A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0B20CB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99FD45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3A1654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41B7D2B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6D512CB" w14:textId="77777777" w:rsidTr="001B330E">
        <w:trPr>
          <w:trHeight w:val="23"/>
        </w:trPr>
        <w:tc>
          <w:tcPr>
            <w:tcW w:w="1514" w:type="pct"/>
            <w:vAlign w:val="bottom"/>
          </w:tcPr>
          <w:p w14:paraId="7F51A09E"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Term deposits of other legal entities</w:t>
            </w:r>
          </w:p>
        </w:tc>
        <w:tc>
          <w:tcPr>
            <w:tcW w:w="348" w:type="pct"/>
            <w:vAlign w:val="bottom"/>
          </w:tcPr>
          <w:p w14:paraId="798BD0D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3D6F93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692335E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6D7BBF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1D53569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12DA0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E72E01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80C5F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DC9B5B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5E4DB9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89FB612" w14:textId="77777777" w:rsidTr="001B330E">
        <w:trPr>
          <w:trHeight w:val="23"/>
        </w:trPr>
        <w:tc>
          <w:tcPr>
            <w:tcW w:w="1514" w:type="pct"/>
            <w:vAlign w:val="bottom"/>
          </w:tcPr>
          <w:p w14:paraId="173EE026"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Current/demand accounts of individuals</w:t>
            </w:r>
          </w:p>
        </w:tc>
        <w:tc>
          <w:tcPr>
            <w:tcW w:w="348" w:type="pct"/>
            <w:vAlign w:val="bottom"/>
          </w:tcPr>
          <w:p w14:paraId="6229C295"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71AB17B"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617B65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66BB0EC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3132ED1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9BD79E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4FB16E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FAB1A7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22288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51EA67D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FE6DA2A" w14:textId="77777777" w:rsidTr="001B330E">
        <w:trPr>
          <w:trHeight w:val="23"/>
        </w:trPr>
        <w:tc>
          <w:tcPr>
            <w:tcW w:w="1514" w:type="pct"/>
            <w:vAlign w:val="bottom"/>
          </w:tcPr>
          <w:p w14:paraId="1218A523"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Term deposits of individuals</w:t>
            </w:r>
          </w:p>
        </w:tc>
        <w:tc>
          <w:tcPr>
            <w:tcW w:w="348" w:type="pct"/>
            <w:vAlign w:val="bottom"/>
          </w:tcPr>
          <w:p w14:paraId="5683E5F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D19FBB1"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8D9694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7A98B1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5E48A15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362F0E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5C0CDB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0A1ED9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F2434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7B08E93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0E708C7" w14:textId="77777777" w:rsidTr="001B330E">
        <w:trPr>
          <w:trHeight w:val="23"/>
        </w:trPr>
        <w:tc>
          <w:tcPr>
            <w:tcW w:w="1514" w:type="pct"/>
            <w:vAlign w:val="bottom"/>
          </w:tcPr>
          <w:p w14:paraId="764C3D52" w14:textId="77777777" w:rsidR="00D83E33" w:rsidRPr="001B330E" w:rsidRDefault="00D83E33" w:rsidP="001B330E">
            <w:pPr>
              <w:widowControl w:val="0"/>
              <w:pBdr>
                <w:top w:val="nil"/>
                <w:left w:val="nil"/>
                <w:bottom w:val="nil"/>
                <w:right w:val="nil"/>
                <w:between w:val="nil"/>
              </w:pBdr>
              <w:ind w:left="113" w:hanging="113"/>
              <w:rPr>
                <w:b/>
                <w:i/>
                <w:color w:val="000000"/>
                <w:sz w:val="17"/>
                <w:szCs w:val="17"/>
              </w:rPr>
            </w:pPr>
          </w:p>
        </w:tc>
        <w:tc>
          <w:tcPr>
            <w:tcW w:w="348" w:type="pct"/>
            <w:vAlign w:val="bottom"/>
          </w:tcPr>
          <w:p w14:paraId="65D9583D"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E1B1A43"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0CB7114"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7BDE5F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3B2BABB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568534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E5031B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59059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DB34A3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7231F09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A4867DC" w14:textId="77777777" w:rsidTr="001B330E">
        <w:trPr>
          <w:trHeight w:val="23"/>
        </w:trPr>
        <w:tc>
          <w:tcPr>
            <w:tcW w:w="1514" w:type="pct"/>
            <w:vAlign w:val="bottom"/>
          </w:tcPr>
          <w:p w14:paraId="3A4877F6"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b/>
                <w:i/>
                <w:color w:val="000000"/>
                <w:sz w:val="17"/>
                <w:szCs w:val="17"/>
              </w:rPr>
              <w:t xml:space="preserve">Debt securities in issue </w:t>
            </w:r>
            <w:r w:rsidRPr="001B330E">
              <w:rPr>
                <w:b/>
                <w:color w:val="0000FF"/>
                <w:sz w:val="17"/>
                <w:szCs w:val="17"/>
              </w:rPr>
              <w:t>[Promissory notes]</w:t>
            </w:r>
          </w:p>
        </w:tc>
        <w:tc>
          <w:tcPr>
            <w:tcW w:w="348" w:type="pct"/>
            <w:vAlign w:val="bottom"/>
          </w:tcPr>
          <w:p w14:paraId="092EDEA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66207A24"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6FAB03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A47E2F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12DBBA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2959C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0B2D3C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773F17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602DFC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674EEF8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59D5EFB" w14:textId="77777777" w:rsidTr="001B330E">
        <w:trPr>
          <w:trHeight w:val="23"/>
        </w:trPr>
        <w:tc>
          <w:tcPr>
            <w:tcW w:w="1514" w:type="pct"/>
            <w:vAlign w:val="bottom"/>
          </w:tcPr>
          <w:p w14:paraId="26C53DE3"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xml:space="preserve">- Promissory notes </w:t>
            </w:r>
          </w:p>
        </w:tc>
        <w:tc>
          <w:tcPr>
            <w:tcW w:w="348" w:type="pct"/>
            <w:vAlign w:val="bottom"/>
          </w:tcPr>
          <w:p w14:paraId="77E3F49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F2A6D5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9B17674"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4819FD8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281F35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04113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B95C8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C37D16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46906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3C18270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37B0F7E" w14:textId="77777777" w:rsidTr="001B330E">
        <w:trPr>
          <w:trHeight w:val="23"/>
        </w:trPr>
        <w:tc>
          <w:tcPr>
            <w:tcW w:w="1514" w:type="pct"/>
            <w:vAlign w:val="bottom"/>
          </w:tcPr>
          <w:p w14:paraId="01518234"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xml:space="preserve">- Eurobonds </w:t>
            </w:r>
          </w:p>
        </w:tc>
        <w:tc>
          <w:tcPr>
            <w:tcW w:w="348" w:type="pct"/>
            <w:vAlign w:val="bottom"/>
          </w:tcPr>
          <w:p w14:paraId="2EFCAF2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ED82FBB"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36ABDFA1"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AAEF8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2585A94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3BD0DC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6C52E4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58C539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36FE23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0645EB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8FA0E41" w14:textId="77777777" w:rsidTr="001B330E">
        <w:trPr>
          <w:trHeight w:val="23"/>
        </w:trPr>
        <w:tc>
          <w:tcPr>
            <w:tcW w:w="1514" w:type="pct"/>
            <w:vAlign w:val="bottom"/>
          </w:tcPr>
          <w:p w14:paraId="630E32A8"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Bonds issued on domestic market</w:t>
            </w:r>
          </w:p>
        </w:tc>
        <w:tc>
          <w:tcPr>
            <w:tcW w:w="348" w:type="pct"/>
            <w:vAlign w:val="bottom"/>
          </w:tcPr>
          <w:p w14:paraId="32BA47B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F5E653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35EB79D"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3B6F5C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4D00854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806ADE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34AED2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C78064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39471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20C0369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626EF6C" w14:textId="77777777" w:rsidTr="001B330E">
        <w:trPr>
          <w:trHeight w:val="23"/>
        </w:trPr>
        <w:tc>
          <w:tcPr>
            <w:tcW w:w="1514" w:type="pct"/>
            <w:vAlign w:val="bottom"/>
          </w:tcPr>
          <w:p w14:paraId="7C018237"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Deposit certificates</w:t>
            </w:r>
          </w:p>
        </w:tc>
        <w:tc>
          <w:tcPr>
            <w:tcW w:w="348" w:type="pct"/>
            <w:vAlign w:val="bottom"/>
          </w:tcPr>
          <w:p w14:paraId="60ED776F"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10BB61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95659B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0BD946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13F23C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F0AF6D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2ABB63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079892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190B5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777CB48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69BA406" w14:textId="77777777" w:rsidTr="001B330E">
        <w:trPr>
          <w:trHeight w:val="23"/>
        </w:trPr>
        <w:tc>
          <w:tcPr>
            <w:tcW w:w="1514" w:type="pct"/>
            <w:vAlign w:val="bottom"/>
          </w:tcPr>
          <w:p w14:paraId="1EBBBB42"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xml:space="preserve">- Debentures </w:t>
            </w:r>
          </w:p>
        </w:tc>
        <w:tc>
          <w:tcPr>
            <w:tcW w:w="348" w:type="pct"/>
            <w:vAlign w:val="bottom"/>
          </w:tcPr>
          <w:p w14:paraId="230B8F3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D8232AF"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6DF272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49EE239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4FD82D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35932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FF13B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48A08E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E8539C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78072EC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5E18000" w14:textId="77777777" w:rsidTr="001B330E">
        <w:trPr>
          <w:trHeight w:val="23"/>
        </w:trPr>
        <w:tc>
          <w:tcPr>
            <w:tcW w:w="1514" w:type="pct"/>
            <w:vAlign w:val="bottom"/>
          </w:tcPr>
          <w:p w14:paraId="5BF05883" w14:textId="77777777" w:rsidR="00D83E33" w:rsidRPr="001B330E" w:rsidRDefault="00D83E33" w:rsidP="001B330E">
            <w:pPr>
              <w:widowControl w:val="0"/>
              <w:pBdr>
                <w:top w:val="nil"/>
                <w:left w:val="nil"/>
                <w:bottom w:val="nil"/>
                <w:right w:val="nil"/>
                <w:between w:val="nil"/>
              </w:pBdr>
              <w:ind w:left="113" w:hanging="113"/>
              <w:rPr>
                <w:b/>
                <w:i/>
                <w:color w:val="000000"/>
                <w:sz w:val="17"/>
                <w:szCs w:val="17"/>
              </w:rPr>
            </w:pPr>
          </w:p>
        </w:tc>
        <w:tc>
          <w:tcPr>
            <w:tcW w:w="348" w:type="pct"/>
            <w:vAlign w:val="bottom"/>
          </w:tcPr>
          <w:p w14:paraId="2E808DBB"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4CA073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58493D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6A2963E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50EB180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60556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5C1243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D96AF7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8D53FB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57FA3C2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60E074B" w14:textId="77777777" w:rsidTr="001B330E">
        <w:trPr>
          <w:trHeight w:val="23"/>
        </w:trPr>
        <w:tc>
          <w:tcPr>
            <w:tcW w:w="1514" w:type="pct"/>
            <w:vAlign w:val="bottom"/>
          </w:tcPr>
          <w:p w14:paraId="26F85AD1"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b/>
                <w:i/>
                <w:color w:val="000000"/>
                <w:sz w:val="17"/>
                <w:szCs w:val="17"/>
              </w:rPr>
              <w:t>Other borrowed funds</w:t>
            </w:r>
          </w:p>
        </w:tc>
        <w:tc>
          <w:tcPr>
            <w:tcW w:w="348" w:type="pct"/>
            <w:vAlign w:val="bottom"/>
          </w:tcPr>
          <w:p w14:paraId="20C0BD1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D233243"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6A4C076F"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01C6180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27946AD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3D3404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A54C40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0F1D05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7D1394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108EEC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C318853" w14:textId="77777777" w:rsidTr="001B330E">
        <w:trPr>
          <w:trHeight w:val="23"/>
        </w:trPr>
        <w:tc>
          <w:tcPr>
            <w:tcW w:w="1514" w:type="pct"/>
            <w:vAlign w:val="bottom"/>
          </w:tcPr>
          <w:p w14:paraId="733AB6D6" w14:textId="3225037E"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color w:val="000000"/>
                <w:sz w:val="17"/>
                <w:szCs w:val="17"/>
              </w:rPr>
              <w:t xml:space="preserve">- </w:t>
            </w:r>
            <w:r w:rsidR="003223E9">
              <w:rPr>
                <w:color w:val="000000"/>
                <w:sz w:val="17"/>
                <w:szCs w:val="17"/>
              </w:rPr>
              <w:t>Other structured funding</w:t>
            </w:r>
          </w:p>
        </w:tc>
        <w:tc>
          <w:tcPr>
            <w:tcW w:w="348" w:type="pct"/>
            <w:vAlign w:val="bottom"/>
          </w:tcPr>
          <w:p w14:paraId="2E8533D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4722A1F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6AB3E1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4278EF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3492E0A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1C17E8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720A1D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9ECAA6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7528D0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44F954A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353B964" w14:textId="77777777" w:rsidTr="001B330E">
        <w:trPr>
          <w:trHeight w:val="23"/>
        </w:trPr>
        <w:tc>
          <w:tcPr>
            <w:tcW w:w="1514" w:type="pct"/>
            <w:vAlign w:val="bottom"/>
          </w:tcPr>
          <w:p w14:paraId="0347A316"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color w:val="000000"/>
                <w:sz w:val="17"/>
                <w:szCs w:val="17"/>
              </w:rPr>
              <w:t xml:space="preserve">- Syndicated loan maturing on ____ </w:t>
            </w:r>
          </w:p>
        </w:tc>
        <w:tc>
          <w:tcPr>
            <w:tcW w:w="348" w:type="pct"/>
            <w:vAlign w:val="bottom"/>
          </w:tcPr>
          <w:p w14:paraId="6E4828A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14D831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5A9E44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1A7BEC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6B4FA91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A16E9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C12DB5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A75A25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DE11E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6059E2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D71972B" w14:textId="77777777" w:rsidTr="001B330E">
        <w:trPr>
          <w:trHeight w:val="23"/>
        </w:trPr>
        <w:tc>
          <w:tcPr>
            <w:tcW w:w="1514" w:type="pct"/>
            <w:vAlign w:val="bottom"/>
          </w:tcPr>
          <w:p w14:paraId="6DFC308E"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color w:val="000000"/>
                <w:sz w:val="17"/>
                <w:szCs w:val="17"/>
              </w:rPr>
              <w:t>- Term borrowings from companies/government agencies</w:t>
            </w:r>
          </w:p>
        </w:tc>
        <w:tc>
          <w:tcPr>
            <w:tcW w:w="348" w:type="pct"/>
            <w:vAlign w:val="bottom"/>
          </w:tcPr>
          <w:p w14:paraId="7EDFA1E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45337E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794145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6DD711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6848B2F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80649E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44E082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09B5C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3381A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2A605A3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F96F64E" w14:textId="77777777" w:rsidTr="001B330E">
        <w:trPr>
          <w:trHeight w:val="23"/>
        </w:trPr>
        <w:tc>
          <w:tcPr>
            <w:tcW w:w="1514" w:type="pct"/>
            <w:vAlign w:val="bottom"/>
          </w:tcPr>
          <w:p w14:paraId="19C12663" w14:textId="77777777" w:rsidR="00D83E33" w:rsidRPr="001B330E" w:rsidRDefault="00D83E33" w:rsidP="001B330E">
            <w:pPr>
              <w:widowControl w:val="0"/>
              <w:pBdr>
                <w:top w:val="nil"/>
                <w:left w:val="nil"/>
                <w:bottom w:val="nil"/>
                <w:right w:val="nil"/>
                <w:between w:val="nil"/>
              </w:pBdr>
              <w:ind w:left="113" w:hanging="113"/>
              <w:rPr>
                <w:b/>
                <w:i/>
                <w:color w:val="000000"/>
                <w:sz w:val="17"/>
                <w:szCs w:val="17"/>
              </w:rPr>
            </w:pPr>
          </w:p>
        </w:tc>
        <w:tc>
          <w:tcPr>
            <w:tcW w:w="348" w:type="pct"/>
            <w:vAlign w:val="bottom"/>
          </w:tcPr>
          <w:p w14:paraId="21EA6EA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9A473A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4F4DBB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09D57A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5F38F57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72EA96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426C5D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E7FA92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2885E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64A8176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607F376" w14:textId="77777777" w:rsidTr="001B330E">
        <w:trPr>
          <w:trHeight w:val="23"/>
        </w:trPr>
        <w:tc>
          <w:tcPr>
            <w:tcW w:w="1514" w:type="pct"/>
            <w:vAlign w:val="bottom"/>
          </w:tcPr>
          <w:p w14:paraId="7D73DC08"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i/>
                <w:color w:val="000000"/>
                <w:sz w:val="17"/>
                <w:szCs w:val="17"/>
              </w:rPr>
              <w:t xml:space="preserve">Other financial liabilities </w:t>
            </w:r>
          </w:p>
        </w:tc>
        <w:tc>
          <w:tcPr>
            <w:tcW w:w="348" w:type="pct"/>
            <w:vAlign w:val="bottom"/>
          </w:tcPr>
          <w:p w14:paraId="60CD2C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A430EE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9A02BA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0B6ACA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0B0A9BD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108AB9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4ACAE8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FB1557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12905A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0DC9E94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DAC6859" w14:textId="77777777" w:rsidTr="001B330E">
        <w:trPr>
          <w:trHeight w:val="23"/>
        </w:trPr>
        <w:tc>
          <w:tcPr>
            <w:tcW w:w="1514" w:type="pct"/>
            <w:vAlign w:val="bottom"/>
          </w:tcPr>
          <w:p w14:paraId="4A13AA18"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color w:val="000000"/>
                <w:sz w:val="17"/>
                <w:szCs w:val="17"/>
              </w:rPr>
              <w:t>- Trade payables</w:t>
            </w:r>
          </w:p>
        </w:tc>
        <w:tc>
          <w:tcPr>
            <w:tcW w:w="348" w:type="pct"/>
            <w:vAlign w:val="bottom"/>
          </w:tcPr>
          <w:p w14:paraId="6F71255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2B29DD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95F6C6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CCF411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160162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E2FA35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499A60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582620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5F8B04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408FF4B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F914B35" w14:textId="77777777" w:rsidTr="001B330E">
        <w:trPr>
          <w:trHeight w:val="23"/>
        </w:trPr>
        <w:tc>
          <w:tcPr>
            <w:tcW w:w="1514" w:type="pct"/>
            <w:vAlign w:val="bottom"/>
          </w:tcPr>
          <w:p w14:paraId="0A2C03F0"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color w:val="000000"/>
                <w:sz w:val="17"/>
                <w:szCs w:val="17"/>
              </w:rPr>
              <w:t>- Dividends payable</w:t>
            </w:r>
          </w:p>
        </w:tc>
        <w:tc>
          <w:tcPr>
            <w:tcW w:w="348" w:type="pct"/>
            <w:vAlign w:val="bottom"/>
          </w:tcPr>
          <w:p w14:paraId="559FCD5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E95D44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4FCA44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B37B3A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52F2EDE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C9E46A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F0A7A2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FFCBDB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E074BC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18F30E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5FDFB04" w14:textId="77777777" w:rsidTr="001B330E">
        <w:trPr>
          <w:trHeight w:val="23"/>
        </w:trPr>
        <w:tc>
          <w:tcPr>
            <w:tcW w:w="1514" w:type="pct"/>
            <w:vAlign w:val="bottom"/>
          </w:tcPr>
          <w:p w14:paraId="43FEFC4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Debit or credit card payables</w:t>
            </w:r>
          </w:p>
        </w:tc>
        <w:tc>
          <w:tcPr>
            <w:tcW w:w="348" w:type="pct"/>
            <w:vAlign w:val="bottom"/>
          </w:tcPr>
          <w:p w14:paraId="2822243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0D315D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CF988C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C00686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06B1D6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F7F480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0FB896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CD382F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955422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06D7F5D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BCA7ED3" w14:textId="77777777" w:rsidTr="001B330E">
        <w:trPr>
          <w:trHeight w:val="23"/>
        </w:trPr>
        <w:tc>
          <w:tcPr>
            <w:tcW w:w="1514" w:type="pct"/>
            <w:vAlign w:val="bottom"/>
          </w:tcPr>
          <w:p w14:paraId="1B9382C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Settlements on conversion operations</w:t>
            </w:r>
          </w:p>
        </w:tc>
        <w:tc>
          <w:tcPr>
            <w:tcW w:w="348" w:type="pct"/>
            <w:vAlign w:val="bottom"/>
          </w:tcPr>
          <w:p w14:paraId="050BBF5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EB934C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22B19B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A85CC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1A0640D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CF1D08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3DA41E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72034C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995B70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3F9B16E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0D00EDC" w14:textId="77777777" w:rsidTr="001B330E">
        <w:trPr>
          <w:trHeight w:val="23"/>
        </w:trPr>
        <w:tc>
          <w:tcPr>
            <w:tcW w:w="1514" w:type="pct"/>
            <w:vAlign w:val="bottom"/>
          </w:tcPr>
          <w:p w14:paraId="6270358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Provision for credit related commitments</w:t>
            </w:r>
          </w:p>
        </w:tc>
        <w:tc>
          <w:tcPr>
            <w:tcW w:w="348" w:type="pct"/>
            <w:vAlign w:val="bottom"/>
          </w:tcPr>
          <w:p w14:paraId="05C148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31900E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1454BB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A77114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74DEFA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94B700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E15210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BA189C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F30390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18091DF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E2E32FC" w14:textId="77777777" w:rsidTr="001B330E">
        <w:trPr>
          <w:trHeight w:val="23"/>
        </w:trPr>
        <w:tc>
          <w:tcPr>
            <w:tcW w:w="1514" w:type="pct"/>
            <w:vAlign w:val="bottom"/>
          </w:tcPr>
          <w:p w14:paraId="38D6DE3F"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Other accrued liabilities</w:t>
            </w:r>
          </w:p>
        </w:tc>
        <w:tc>
          <w:tcPr>
            <w:tcW w:w="348" w:type="pct"/>
            <w:vAlign w:val="bottom"/>
          </w:tcPr>
          <w:p w14:paraId="2618E5F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439F3D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E4D50A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71C220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6D52876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221C6A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4CF945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A79CD7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DCCAA4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3FADEB7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F1A3C99" w14:textId="77777777" w:rsidTr="001B330E">
        <w:trPr>
          <w:trHeight w:val="23"/>
        </w:trPr>
        <w:tc>
          <w:tcPr>
            <w:tcW w:w="1514" w:type="pct"/>
            <w:vAlign w:val="bottom"/>
          </w:tcPr>
          <w:p w14:paraId="1D66945D" w14:textId="77777777" w:rsidR="00D83E33" w:rsidRPr="001B330E" w:rsidRDefault="00D83E33" w:rsidP="001B330E">
            <w:pPr>
              <w:widowControl w:val="0"/>
              <w:pBdr>
                <w:top w:val="nil"/>
                <w:left w:val="nil"/>
                <w:bottom w:val="nil"/>
                <w:right w:val="nil"/>
                <w:between w:val="nil"/>
              </w:pBdr>
              <w:ind w:left="113" w:hanging="113"/>
              <w:rPr>
                <w:b/>
                <w:i/>
                <w:color w:val="000000"/>
                <w:sz w:val="17"/>
                <w:szCs w:val="17"/>
              </w:rPr>
            </w:pPr>
          </w:p>
        </w:tc>
        <w:tc>
          <w:tcPr>
            <w:tcW w:w="348" w:type="pct"/>
            <w:vAlign w:val="bottom"/>
          </w:tcPr>
          <w:p w14:paraId="03566AB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548811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98C1E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F79013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2031446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D18C7B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AB314E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2335655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527E884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5B3E464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85DAB1E" w14:textId="77777777" w:rsidTr="001B330E">
        <w:trPr>
          <w:trHeight w:val="23"/>
        </w:trPr>
        <w:tc>
          <w:tcPr>
            <w:tcW w:w="1514" w:type="pct"/>
            <w:vAlign w:val="bottom"/>
          </w:tcPr>
          <w:p w14:paraId="2C93A5A1"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b/>
                <w:i/>
                <w:color w:val="000000"/>
                <w:sz w:val="17"/>
                <w:szCs w:val="17"/>
              </w:rPr>
              <w:t>Subordinated debt</w:t>
            </w:r>
          </w:p>
        </w:tc>
        <w:tc>
          <w:tcPr>
            <w:tcW w:w="348" w:type="pct"/>
            <w:vAlign w:val="bottom"/>
          </w:tcPr>
          <w:p w14:paraId="3745E8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FFA4BD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03C71C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9E52CF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67F9F0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A9F193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4971DC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745D801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208637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56DD06E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E9D3A7A" w14:textId="77777777" w:rsidTr="001B330E">
        <w:trPr>
          <w:trHeight w:val="23"/>
        </w:trPr>
        <w:tc>
          <w:tcPr>
            <w:tcW w:w="1514" w:type="pct"/>
            <w:vAlign w:val="bottom"/>
          </w:tcPr>
          <w:p w14:paraId="3C7AA5BE"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color w:val="000000"/>
                <w:sz w:val="17"/>
                <w:szCs w:val="17"/>
              </w:rPr>
              <w:t>- Subordinated debt</w:t>
            </w:r>
          </w:p>
        </w:tc>
        <w:tc>
          <w:tcPr>
            <w:tcW w:w="348" w:type="pct"/>
            <w:vAlign w:val="bottom"/>
          </w:tcPr>
          <w:p w14:paraId="483550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04AF20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163300A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3DADF7C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vAlign w:val="bottom"/>
          </w:tcPr>
          <w:p w14:paraId="5606EAE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626E6B7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411CD1D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9AB5F1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vAlign w:val="bottom"/>
          </w:tcPr>
          <w:p w14:paraId="0E6B55A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vAlign w:val="bottom"/>
          </w:tcPr>
          <w:p w14:paraId="46C214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ED66468" w14:textId="77777777" w:rsidTr="001B330E">
        <w:trPr>
          <w:trHeight w:val="23"/>
        </w:trPr>
        <w:tc>
          <w:tcPr>
            <w:tcW w:w="1514" w:type="pct"/>
            <w:tcBorders>
              <w:bottom w:val="single" w:sz="4" w:space="0" w:color="000000"/>
            </w:tcBorders>
            <w:vAlign w:val="bottom"/>
          </w:tcPr>
          <w:p w14:paraId="10D92EB1"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w:t>
            </w:r>
          </w:p>
        </w:tc>
        <w:tc>
          <w:tcPr>
            <w:tcW w:w="348" w:type="pct"/>
            <w:tcBorders>
              <w:bottom w:val="single" w:sz="4" w:space="0" w:color="000000"/>
            </w:tcBorders>
            <w:vAlign w:val="bottom"/>
          </w:tcPr>
          <w:p w14:paraId="76E104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bottom w:val="single" w:sz="4" w:space="0" w:color="000000"/>
            </w:tcBorders>
            <w:vAlign w:val="bottom"/>
          </w:tcPr>
          <w:p w14:paraId="3163940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bottom w:val="single" w:sz="4" w:space="0" w:color="000000"/>
            </w:tcBorders>
            <w:vAlign w:val="bottom"/>
          </w:tcPr>
          <w:p w14:paraId="5433699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bottom w:val="single" w:sz="4" w:space="0" w:color="000000"/>
            </w:tcBorders>
            <w:vAlign w:val="bottom"/>
          </w:tcPr>
          <w:p w14:paraId="5366F93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1" w:type="pct"/>
            <w:tcBorders>
              <w:bottom w:val="single" w:sz="4" w:space="0" w:color="000000"/>
            </w:tcBorders>
            <w:vAlign w:val="bottom"/>
          </w:tcPr>
          <w:p w14:paraId="307446C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bottom w:val="single" w:sz="4" w:space="0" w:color="000000"/>
            </w:tcBorders>
            <w:vAlign w:val="bottom"/>
          </w:tcPr>
          <w:p w14:paraId="77CCA4F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bottom w:val="single" w:sz="4" w:space="0" w:color="000000"/>
            </w:tcBorders>
            <w:vAlign w:val="bottom"/>
          </w:tcPr>
          <w:p w14:paraId="00E1CC6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bottom w:val="single" w:sz="4" w:space="0" w:color="000000"/>
            </w:tcBorders>
            <w:vAlign w:val="bottom"/>
          </w:tcPr>
          <w:p w14:paraId="716AA30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48" w:type="pct"/>
            <w:tcBorders>
              <w:bottom w:val="single" w:sz="4" w:space="0" w:color="000000"/>
            </w:tcBorders>
            <w:vAlign w:val="bottom"/>
          </w:tcPr>
          <w:p w14:paraId="22FDB5D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350" w:type="pct"/>
            <w:tcBorders>
              <w:bottom w:val="single" w:sz="4" w:space="0" w:color="000000"/>
            </w:tcBorders>
            <w:vAlign w:val="bottom"/>
          </w:tcPr>
          <w:p w14:paraId="7A36AEA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081C625" w14:textId="77777777" w:rsidTr="001B330E">
        <w:trPr>
          <w:trHeight w:val="23"/>
        </w:trPr>
        <w:tc>
          <w:tcPr>
            <w:tcW w:w="1514" w:type="pct"/>
            <w:vAlign w:val="bottom"/>
          </w:tcPr>
          <w:p w14:paraId="21D69E75"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w:t>
            </w:r>
          </w:p>
        </w:tc>
        <w:tc>
          <w:tcPr>
            <w:tcW w:w="348" w:type="pct"/>
            <w:vAlign w:val="bottom"/>
          </w:tcPr>
          <w:p w14:paraId="4189BC94"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vAlign w:val="bottom"/>
          </w:tcPr>
          <w:p w14:paraId="5C145DF2"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1464E123"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7D1DB57B"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51" w:type="pct"/>
            <w:tcBorders>
              <w:top w:val="single" w:sz="4" w:space="0" w:color="000000"/>
            </w:tcBorders>
            <w:vAlign w:val="bottom"/>
          </w:tcPr>
          <w:p w14:paraId="77C8319B"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56240650"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3F130068"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57036B59"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top w:val="single" w:sz="4" w:space="0" w:color="000000"/>
            </w:tcBorders>
            <w:vAlign w:val="bottom"/>
          </w:tcPr>
          <w:p w14:paraId="393A1FCE"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50" w:type="pct"/>
            <w:tcBorders>
              <w:top w:val="single" w:sz="4" w:space="0" w:color="000000"/>
            </w:tcBorders>
            <w:vAlign w:val="bottom"/>
          </w:tcPr>
          <w:p w14:paraId="05E2FFF3"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r w:rsidR="00D83E33" w:rsidRPr="002762A6" w14:paraId="52C8DE51" w14:textId="77777777" w:rsidTr="001B330E">
        <w:trPr>
          <w:trHeight w:val="23"/>
        </w:trPr>
        <w:tc>
          <w:tcPr>
            <w:tcW w:w="1514" w:type="pct"/>
            <w:vAlign w:val="bottom"/>
          </w:tcPr>
          <w:p w14:paraId="3D9B7479" w14:textId="77777777" w:rsidR="00D83E33" w:rsidRPr="001B330E" w:rsidRDefault="00BC4072" w:rsidP="001B330E">
            <w:pPr>
              <w:widowControl w:val="0"/>
              <w:pBdr>
                <w:top w:val="nil"/>
                <w:left w:val="nil"/>
                <w:bottom w:val="nil"/>
                <w:right w:val="nil"/>
                <w:between w:val="nil"/>
              </w:pBdr>
              <w:ind w:left="113" w:hanging="113"/>
              <w:rPr>
                <w:smallCaps/>
                <w:color w:val="000000"/>
                <w:sz w:val="17"/>
                <w:szCs w:val="17"/>
              </w:rPr>
            </w:pPr>
            <w:r w:rsidRPr="001B330E">
              <w:rPr>
                <w:b/>
                <w:smallCaps/>
                <w:color w:val="000000"/>
                <w:sz w:val="17"/>
                <w:szCs w:val="17"/>
              </w:rPr>
              <w:t xml:space="preserve">TOTAL </w:t>
            </w:r>
          </w:p>
        </w:tc>
        <w:tc>
          <w:tcPr>
            <w:tcW w:w="348" w:type="pct"/>
            <w:vAlign w:val="bottom"/>
          </w:tcPr>
          <w:p w14:paraId="0FD029B1"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3FDC15B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7939B99C"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3692955A"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51" w:type="pct"/>
            <w:vAlign w:val="bottom"/>
          </w:tcPr>
          <w:p w14:paraId="307864F4"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15C5B484"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5CAAF78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25E7E6F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48" w:type="pct"/>
            <w:vAlign w:val="bottom"/>
          </w:tcPr>
          <w:p w14:paraId="4C95610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350" w:type="pct"/>
            <w:vAlign w:val="bottom"/>
          </w:tcPr>
          <w:p w14:paraId="19B86A0B"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2762A6" w14:paraId="50FDBF92" w14:textId="77777777" w:rsidTr="001B330E">
        <w:trPr>
          <w:trHeight w:val="23"/>
        </w:trPr>
        <w:tc>
          <w:tcPr>
            <w:tcW w:w="1514" w:type="pct"/>
            <w:tcBorders>
              <w:bottom w:val="single" w:sz="12" w:space="0" w:color="000000"/>
            </w:tcBorders>
            <w:shd w:val="clear" w:color="auto" w:fill="auto"/>
            <w:vAlign w:val="bottom"/>
          </w:tcPr>
          <w:p w14:paraId="7F05BDB6" w14:textId="77777777" w:rsidR="00D83E33" w:rsidRPr="001B330E" w:rsidRDefault="00BC4072" w:rsidP="001B330E">
            <w:pPr>
              <w:widowControl w:val="0"/>
              <w:ind w:left="113" w:hanging="113"/>
              <w:rPr>
                <w:sz w:val="17"/>
                <w:szCs w:val="17"/>
              </w:rPr>
            </w:pPr>
            <w:r w:rsidRPr="001B330E">
              <w:rPr>
                <w:sz w:val="17"/>
                <w:szCs w:val="17"/>
              </w:rPr>
              <w:t> </w:t>
            </w:r>
          </w:p>
        </w:tc>
        <w:tc>
          <w:tcPr>
            <w:tcW w:w="348" w:type="pct"/>
            <w:tcBorders>
              <w:bottom w:val="single" w:sz="12" w:space="0" w:color="000000"/>
            </w:tcBorders>
            <w:shd w:val="clear" w:color="auto" w:fill="auto"/>
            <w:vAlign w:val="bottom"/>
          </w:tcPr>
          <w:p w14:paraId="1A4BEBBA"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bottom w:val="single" w:sz="12" w:space="0" w:color="000000"/>
            </w:tcBorders>
            <w:vAlign w:val="bottom"/>
          </w:tcPr>
          <w:p w14:paraId="6D9EF4BE"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bottom w:val="single" w:sz="12" w:space="0" w:color="000000"/>
            </w:tcBorders>
            <w:vAlign w:val="bottom"/>
          </w:tcPr>
          <w:p w14:paraId="06200361"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bottom w:val="single" w:sz="12" w:space="0" w:color="000000"/>
            </w:tcBorders>
            <w:vAlign w:val="bottom"/>
          </w:tcPr>
          <w:p w14:paraId="152E5883"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51" w:type="pct"/>
            <w:tcBorders>
              <w:bottom w:val="single" w:sz="12" w:space="0" w:color="000000"/>
            </w:tcBorders>
            <w:vAlign w:val="bottom"/>
          </w:tcPr>
          <w:p w14:paraId="2E065CE0"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bottom w:val="single" w:sz="12" w:space="0" w:color="000000"/>
            </w:tcBorders>
            <w:vAlign w:val="bottom"/>
          </w:tcPr>
          <w:p w14:paraId="4525DB8F"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bottom w:val="single" w:sz="12" w:space="0" w:color="000000"/>
            </w:tcBorders>
            <w:vAlign w:val="bottom"/>
          </w:tcPr>
          <w:p w14:paraId="5864E326"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bottom w:val="single" w:sz="12" w:space="0" w:color="000000"/>
            </w:tcBorders>
            <w:vAlign w:val="bottom"/>
          </w:tcPr>
          <w:p w14:paraId="316B1FB8"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48" w:type="pct"/>
            <w:tcBorders>
              <w:bottom w:val="single" w:sz="12" w:space="0" w:color="000000"/>
            </w:tcBorders>
            <w:vAlign w:val="bottom"/>
          </w:tcPr>
          <w:p w14:paraId="75AC936F"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c>
          <w:tcPr>
            <w:tcW w:w="350" w:type="pct"/>
            <w:tcBorders>
              <w:bottom w:val="single" w:sz="12" w:space="0" w:color="000000"/>
            </w:tcBorders>
            <w:vAlign w:val="bottom"/>
          </w:tcPr>
          <w:p w14:paraId="78A0EF00" w14:textId="77777777" w:rsidR="00D83E33" w:rsidRPr="001B330E" w:rsidRDefault="00D83E33" w:rsidP="001B330E">
            <w:pPr>
              <w:widowControl w:val="0"/>
              <w:pBdr>
                <w:top w:val="nil"/>
                <w:left w:val="nil"/>
                <w:bottom w:val="nil"/>
                <w:right w:val="nil"/>
                <w:between w:val="nil"/>
              </w:pBdr>
              <w:jc w:val="right"/>
              <w:rPr>
                <w:b/>
                <w:color w:val="000000"/>
                <w:sz w:val="17"/>
                <w:szCs w:val="17"/>
              </w:rPr>
            </w:pPr>
          </w:p>
        </w:tc>
      </w:tr>
    </w:tbl>
    <w:p w14:paraId="31AB2586" w14:textId="18CCB1A1" w:rsidR="00D83E33" w:rsidRDefault="00BC4072" w:rsidP="001B330E">
      <w:pPr>
        <w:pStyle w:val="Continued"/>
      </w:pPr>
      <w:r>
        <w:lastRenderedPageBreak/>
        <w:t>49</w:t>
      </w:r>
      <w:r>
        <w:tab/>
        <w:t>Fair Value Disclosures (Continued)</w:t>
      </w:r>
    </w:p>
    <w:p w14:paraId="4A2B5062" w14:textId="77777777" w:rsidR="00D83E33" w:rsidRDefault="00BC4072">
      <w:pPr>
        <w:widowControl w:val="0"/>
        <w:spacing w:before="200" w:after="200"/>
        <w:jc w:val="both"/>
        <w:rPr>
          <w:sz w:val="20"/>
          <w:szCs w:val="20"/>
        </w:rPr>
      </w:pPr>
      <w:r>
        <w:rPr>
          <w:sz w:val="20"/>
          <w:szCs w:val="20"/>
        </w:rPr>
        <w:t>The fair values in level 2 and level 3 of fair value hierarchy were estimated using the discounted cash flows valuation technique. The fair value of floating rate instruments that are not quoted in an active market was estimated to be equal to their carrying amount. The fair value of unquoted fixed interest rate instruments was estimated based on estimated future cash flows expected to be received discounted at current interest rates for new instruments with similar credit risk and remaining maturity.</w:t>
      </w:r>
    </w:p>
    <w:p w14:paraId="7AB78DAC" w14:textId="242B7929" w:rsidR="00D83E33" w:rsidRDefault="00BC4072">
      <w:pPr>
        <w:widowControl w:val="0"/>
        <w:spacing w:before="200" w:after="200"/>
        <w:jc w:val="both"/>
        <w:rPr>
          <w:i/>
          <w:color w:val="FF0000"/>
          <w:sz w:val="20"/>
          <w:szCs w:val="20"/>
        </w:rPr>
      </w:pPr>
      <w:r>
        <w:rPr>
          <w:sz w:val="20"/>
          <w:szCs w:val="20"/>
        </w:rPr>
        <w:t xml:space="preserve">For assets, the Group used assumptions about counterparty’s incremental borrowing rate and prepayment rates. </w:t>
      </w:r>
    </w:p>
    <w:p w14:paraId="6EC30A06" w14:textId="77777777" w:rsidR="00D83E33" w:rsidRDefault="00BC4072">
      <w:pPr>
        <w:widowControl w:val="0"/>
        <w:spacing w:before="200" w:after="200"/>
        <w:jc w:val="both"/>
        <w:rPr>
          <w:sz w:val="20"/>
          <w:szCs w:val="20"/>
        </w:rPr>
      </w:pPr>
      <w:r>
        <w:rPr>
          <w:sz w:val="20"/>
          <w:szCs w:val="20"/>
        </w:rPr>
        <w:t xml:space="preserve">Liabilities were discounted at the Group’s own incremental borrowing rate. Liabilities due on demand were discounted from the first date that the amount could be required to be paid by the Group. </w:t>
      </w:r>
    </w:p>
    <w:p w14:paraId="4B6482D6" w14:textId="32D3F250" w:rsidR="00D83E33" w:rsidRDefault="00BC4072">
      <w:pPr>
        <w:widowControl w:val="0"/>
        <w:spacing w:before="200" w:after="200"/>
        <w:jc w:val="both"/>
        <w:rPr>
          <w:i/>
          <w:color w:val="FF0000"/>
          <w:sz w:val="20"/>
          <w:szCs w:val="20"/>
        </w:rPr>
      </w:pPr>
      <w:r>
        <w:rPr>
          <w:sz w:val="20"/>
          <w:szCs w:val="20"/>
        </w:rPr>
        <w:t xml:space="preserve">The Group’s liabilities to its customers are subject to state deposit insurance scheme as described in Note 1. The fair value of these liabilities reflects these credit enhancements. </w:t>
      </w:r>
    </w:p>
    <w:p w14:paraId="69FC32EB" w14:textId="77777777" w:rsidR="00D83E33" w:rsidRDefault="00BC4072" w:rsidP="001B330E">
      <w:pPr>
        <w:pStyle w:val="Heading1"/>
      </w:pPr>
      <w:bookmarkStart w:id="125" w:name="_Toc179196052"/>
      <w:r w:rsidRPr="002762A6">
        <w:t>Presentation</w:t>
      </w:r>
      <w:r>
        <w:t xml:space="preserve"> of Financial Instruments by Measurement Category</w:t>
      </w:r>
      <w:bookmarkEnd w:id="125"/>
    </w:p>
    <w:p w14:paraId="0B3A3FC9"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For the purposes of measurement, IFRS 9 “Financial Instruments” classifies financial assets into the following categories: (a) financial assets at FVTPL; (b) debt instruments at FVOCI, (c) equity instruments at FVOCI and (c) financial assets at AC. Financial assets at FVTPL have two sub-categories: (i) assets mandatorily measured at FVTPL, and (ii) assets designated as such upon initial recognition or subsequently. In addition, finance lease receivables form a separate category.</w:t>
      </w:r>
    </w:p>
    <w:p w14:paraId="2655239B" w14:textId="77777777"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[All of the Group’s financial assets fell in the financial assets carried at AC measurement category except for financial derivatives. All of the Group’s financial liabilities except for derivatives were carried at AC. Derivatives belonged to the FVTPL measurement category.]</w:t>
      </w:r>
    </w:p>
    <w:p w14:paraId="5EC4B14A" w14:textId="7FC736FD" w:rsidR="00D83E33" w:rsidRDefault="00BC4072" w:rsidP="001B330E">
      <w:pPr>
        <w:pStyle w:val="Continued"/>
      </w:pPr>
      <w:r>
        <w:lastRenderedPageBreak/>
        <w:t>50</w:t>
      </w:r>
      <w:r>
        <w:tab/>
        <w:t>Presentation of Financial Instruments by Measurement Category (Continued)</w:t>
      </w:r>
    </w:p>
    <w:p w14:paraId="3AD25F4A" w14:textId="25C8505B" w:rsidR="00D83E33" w:rsidRDefault="00BC4072" w:rsidP="001B330E">
      <w:pPr>
        <w:widowControl w:val="0"/>
        <w:spacing w:before="200" w:after="200"/>
        <w:jc w:val="both"/>
        <w:rPr>
          <w:sz w:val="20"/>
          <w:szCs w:val="20"/>
        </w:rPr>
      </w:pPr>
      <w:r>
        <w:rPr>
          <w:sz w:val="20"/>
          <w:szCs w:val="20"/>
        </w:rPr>
        <w:t>The following table provides a reconciliation of financial assets with these measurement categories as of 31</w:t>
      </w:r>
      <w:r w:rsidR="00181687">
        <w:rPr>
          <w:sz w:val="20"/>
          <w:szCs w:val="20"/>
        </w:rPr>
        <w:t> December </w:t>
      </w:r>
      <w:r w:rsidR="00541EBC">
        <w:rPr>
          <w:sz w:val="20"/>
          <w:szCs w:val="20"/>
        </w:rPr>
        <w:t>2024</w:t>
      </w:r>
      <w:r>
        <w:rPr>
          <w:sz w:val="20"/>
          <w:szCs w:val="20"/>
        </w:rPr>
        <w:t>:</w:t>
      </w:r>
    </w:p>
    <w:tbl>
      <w:tblPr>
        <w:tblStyle w:val="afffffffffffffffff2"/>
        <w:tblW w:w="5000" w:type="pct"/>
        <w:tblLayout w:type="fixed"/>
        <w:tblLook w:val="0000" w:firstRow="0" w:lastRow="0" w:firstColumn="0" w:lastColumn="0" w:noHBand="0" w:noVBand="0"/>
      </w:tblPr>
      <w:tblGrid>
        <w:gridCol w:w="3490"/>
        <w:gridCol w:w="839"/>
        <w:gridCol w:w="838"/>
        <w:gridCol w:w="838"/>
        <w:gridCol w:w="838"/>
        <w:gridCol w:w="838"/>
        <w:gridCol w:w="838"/>
        <w:gridCol w:w="836"/>
      </w:tblGrid>
      <w:tr w:rsidR="00D83E33" w:rsidRPr="002762A6" w14:paraId="1EC524FE" w14:textId="77777777" w:rsidTr="001B330E">
        <w:trPr>
          <w:trHeight w:val="23"/>
        </w:trPr>
        <w:tc>
          <w:tcPr>
            <w:tcW w:w="1865" w:type="pct"/>
            <w:tcBorders>
              <w:bottom w:val="single" w:sz="4" w:space="0" w:color="000000"/>
            </w:tcBorders>
            <w:vAlign w:val="bottom"/>
          </w:tcPr>
          <w:p w14:paraId="339E79F1" w14:textId="18BF7936" w:rsidR="00D83E33" w:rsidRPr="001B330E" w:rsidRDefault="00313B4D" w:rsidP="001B330E">
            <w:pPr>
              <w:widowControl w:val="0"/>
              <w:pBdr>
                <w:top w:val="nil"/>
                <w:left w:val="nil"/>
                <w:bottom w:val="nil"/>
                <w:right w:val="nil"/>
                <w:between w:val="nil"/>
              </w:pBdr>
              <w:ind w:left="113" w:hanging="113"/>
              <w:rPr>
                <w:i/>
                <w:color w:val="000000"/>
                <w:sz w:val="17"/>
                <w:szCs w:val="17"/>
              </w:rPr>
            </w:pPr>
            <w:r>
              <w:rPr>
                <w:i/>
                <w:color w:val="000000"/>
                <w:sz w:val="17"/>
                <w:szCs w:val="17"/>
              </w:rPr>
              <w:t xml:space="preserve">In thousands of </w:t>
            </w:r>
            <w:r w:rsidR="002649EE">
              <w:rPr>
                <w:i/>
                <w:color w:val="000000"/>
                <w:sz w:val="17"/>
                <w:szCs w:val="17"/>
              </w:rPr>
              <w:t>EUR</w:t>
            </w:r>
          </w:p>
        </w:tc>
        <w:tc>
          <w:tcPr>
            <w:tcW w:w="448" w:type="pct"/>
            <w:tcBorders>
              <w:bottom w:val="single" w:sz="4" w:space="0" w:color="000000"/>
            </w:tcBorders>
          </w:tcPr>
          <w:p w14:paraId="61B8E725"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FVTPL (manda-tory)</w:t>
            </w:r>
          </w:p>
        </w:tc>
        <w:tc>
          <w:tcPr>
            <w:tcW w:w="448" w:type="pct"/>
            <w:tcBorders>
              <w:bottom w:val="single" w:sz="4" w:space="0" w:color="000000"/>
            </w:tcBorders>
          </w:tcPr>
          <w:p w14:paraId="0D88530E"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FVTPL (desig-nated)</w:t>
            </w:r>
          </w:p>
        </w:tc>
        <w:tc>
          <w:tcPr>
            <w:tcW w:w="448" w:type="pct"/>
            <w:tcBorders>
              <w:bottom w:val="single" w:sz="4" w:space="0" w:color="000000"/>
            </w:tcBorders>
          </w:tcPr>
          <w:p w14:paraId="41E7070B"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Debt instru-ments at FVOCI</w:t>
            </w:r>
          </w:p>
        </w:tc>
        <w:tc>
          <w:tcPr>
            <w:tcW w:w="448" w:type="pct"/>
            <w:tcBorders>
              <w:bottom w:val="single" w:sz="4" w:space="0" w:color="000000"/>
            </w:tcBorders>
          </w:tcPr>
          <w:p w14:paraId="57060B5C"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Equity instru-ments at FVOCI</w:t>
            </w:r>
          </w:p>
        </w:tc>
        <w:tc>
          <w:tcPr>
            <w:tcW w:w="448" w:type="pct"/>
            <w:tcBorders>
              <w:bottom w:val="single" w:sz="4" w:space="0" w:color="000000"/>
            </w:tcBorders>
          </w:tcPr>
          <w:p w14:paraId="1DEEA483"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AC</w:t>
            </w:r>
          </w:p>
        </w:tc>
        <w:tc>
          <w:tcPr>
            <w:tcW w:w="448" w:type="pct"/>
            <w:tcBorders>
              <w:bottom w:val="single" w:sz="4" w:space="0" w:color="000000"/>
            </w:tcBorders>
          </w:tcPr>
          <w:p w14:paraId="6729F221"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Finance lease recei-vables</w:t>
            </w:r>
          </w:p>
        </w:tc>
        <w:tc>
          <w:tcPr>
            <w:tcW w:w="447" w:type="pct"/>
            <w:tcBorders>
              <w:bottom w:val="single" w:sz="4" w:space="0" w:color="000000"/>
            </w:tcBorders>
          </w:tcPr>
          <w:p w14:paraId="4F3AD333"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r>
      <w:tr w:rsidR="00D83E33" w:rsidRPr="002762A6" w14:paraId="1ED06559" w14:textId="77777777" w:rsidTr="001B330E">
        <w:trPr>
          <w:trHeight w:val="23"/>
        </w:trPr>
        <w:tc>
          <w:tcPr>
            <w:tcW w:w="1865" w:type="pct"/>
            <w:vAlign w:val="bottom"/>
          </w:tcPr>
          <w:p w14:paraId="0C28F978"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b/>
                <w:color w:val="000000"/>
                <w:sz w:val="17"/>
                <w:szCs w:val="17"/>
              </w:rPr>
              <w:t> </w:t>
            </w:r>
          </w:p>
        </w:tc>
        <w:tc>
          <w:tcPr>
            <w:tcW w:w="448" w:type="pct"/>
            <w:vAlign w:val="bottom"/>
          </w:tcPr>
          <w:p w14:paraId="1AF7383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934D56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AEC6D9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7B3546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5DE4DA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C55DF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56C178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EC8CB79" w14:textId="77777777" w:rsidTr="001B330E">
        <w:trPr>
          <w:trHeight w:val="23"/>
        </w:trPr>
        <w:tc>
          <w:tcPr>
            <w:tcW w:w="1865" w:type="pct"/>
            <w:vAlign w:val="bottom"/>
          </w:tcPr>
          <w:p w14:paraId="3BCCDB1A"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ASSETS</w:t>
            </w:r>
          </w:p>
        </w:tc>
        <w:tc>
          <w:tcPr>
            <w:tcW w:w="448" w:type="pct"/>
            <w:vAlign w:val="bottom"/>
          </w:tcPr>
          <w:p w14:paraId="3CFE512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vAlign w:val="bottom"/>
          </w:tcPr>
          <w:p w14:paraId="037B5348"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vAlign w:val="bottom"/>
          </w:tcPr>
          <w:p w14:paraId="2D36A10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tcPr>
          <w:p w14:paraId="23CCB2BC"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vAlign w:val="bottom"/>
          </w:tcPr>
          <w:p w14:paraId="7EF18F5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vAlign w:val="bottom"/>
          </w:tcPr>
          <w:p w14:paraId="1413F90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7" w:type="pct"/>
            <w:vAlign w:val="bottom"/>
          </w:tcPr>
          <w:p w14:paraId="5D45833E"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2762A6" w14:paraId="3AB8C34D" w14:textId="77777777" w:rsidTr="001B330E">
        <w:trPr>
          <w:trHeight w:val="23"/>
        </w:trPr>
        <w:tc>
          <w:tcPr>
            <w:tcW w:w="1865" w:type="pct"/>
            <w:vAlign w:val="bottom"/>
          </w:tcPr>
          <w:p w14:paraId="0832B4A8"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Cash and cash equivalents</w:t>
            </w:r>
          </w:p>
        </w:tc>
        <w:tc>
          <w:tcPr>
            <w:tcW w:w="448" w:type="pct"/>
            <w:vAlign w:val="bottom"/>
          </w:tcPr>
          <w:p w14:paraId="1C49406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137E80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8CC90F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7AE1E6F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767458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FE3798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4B9107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DCA7116" w14:textId="77777777" w:rsidTr="001B330E">
        <w:trPr>
          <w:trHeight w:val="23"/>
        </w:trPr>
        <w:tc>
          <w:tcPr>
            <w:tcW w:w="1865" w:type="pct"/>
            <w:vAlign w:val="bottom"/>
          </w:tcPr>
          <w:p w14:paraId="5D292B4D"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Due from other banks</w:t>
            </w:r>
          </w:p>
        </w:tc>
        <w:tc>
          <w:tcPr>
            <w:tcW w:w="448" w:type="pct"/>
            <w:vAlign w:val="bottom"/>
          </w:tcPr>
          <w:p w14:paraId="0F6F0A0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1DFAAD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CA907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2B98DD2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2680DF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CEB669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DCB5D6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DA05C4B" w14:textId="77777777" w:rsidTr="001B330E">
        <w:trPr>
          <w:trHeight w:val="23"/>
        </w:trPr>
        <w:tc>
          <w:tcPr>
            <w:tcW w:w="1865" w:type="pct"/>
            <w:vAlign w:val="bottom"/>
          </w:tcPr>
          <w:p w14:paraId="1A6135D5"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Short-term placements with other banks with original maturities of more than three months</w:t>
            </w:r>
          </w:p>
        </w:tc>
        <w:tc>
          <w:tcPr>
            <w:tcW w:w="448" w:type="pct"/>
            <w:vAlign w:val="bottom"/>
          </w:tcPr>
          <w:p w14:paraId="1E5AE1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F9842B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F4529D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0B6428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C6CE47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885153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48C18C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FE4161F" w14:textId="77777777" w:rsidTr="001B330E">
        <w:trPr>
          <w:trHeight w:val="23"/>
        </w:trPr>
        <w:tc>
          <w:tcPr>
            <w:tcW w:w="1865" w:type="pct"/>
            <w:vAlign w:val="bottom"/>
          </w:tcPr>
          <w:p w14:paraId="1C0191B3"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Reverse sale and repurchase agreements with other banks with original maturities of more than three months</w:t>
            </w:r>
          </w:p>
        </w:tc>
        <w:tc>
          <w:tcPr>
            <w:tcW w:w="448" w:type="pct"/>
            <w:vAlign w:val="bottom"/>
          </w:tcPr>
          <w:p w14:paraId="033F3B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BD85FD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6E112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2392519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F51E76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4280FF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FF89E7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890E702" w14:textId="77777777" w:rsidTr="001B330E">
        <w:trPr>
          <w:trHeight w:val="23"/>
        </w:trPr>
        <w:tc>
          <w:tcPr>
            <w:tcW w:w="1865" w:type="pct"/>
            <w:vAlign w:val="bottom"/>
          </w:tcPr>
          <w:p w14:paraId="3C316367"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Investments in debt securities</w:t>
            </w:r>
          </w:p>
        </w:tc>
        <w:tc>
          <w:tcPr>
            <w:tcW w:w="448" w:type="pct"/>
            <w:vAlign w:val="bottom"/>
          </w:tcPr>
          <w:p w14:paraId="4DBF2C7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A1A17C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60F879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6CD057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FB4392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001EA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49CA5C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92FA267" w14:textId="77777777" w:rsidTr="001B330E">
        <w:trPr>
          <w:trHeight w:val="23"/>
        </w:trPr>
        <w:tc>
          <w:tcPr>
            <w:tcW w:w="1865" w:type="pct"/>
            <w:vAlign w:val="bottom"/>
          </w:tcPr>
          <w:p w14:paraId="69FB3382" w14:textId="39B788CF"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 </w:t>
            </w:r>
            <w:r w:rsidR="00372E26">
              <w:rPr>
                <w:color w:val="000000"/>
                <w:sz w:val="17"/>
                <w:szCs w:val="17"/>
              </w:rPr>
              <w:t>[Country]</w:t>
            </w:r>
            <w:r w:rsidRPr="001B330E">
              <w:rPr>
                <w:color w:val="000000"/>
                <w:sz w:val="17"/>
                <w:szCs w:val="17"/>
              </w:rPr>
              <w:t xml:space="preserve"> government bonds</w:t>
            </w:r>
          </w:p>
        </w:tc>
        <w:tc>
          <w:tcPr>
            <w:tcW w:w="448" w:type="pct"/>
            <w:vAlign w:val="bottom"/>
          </w:tcPr>
          <w:p w14:paraId="64F3DE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AB5C53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A5AC74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779C174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A36F8B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9F0FF4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5D7DABA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F8378DA" w14:textId="77777777" w:rsidTr="001B330E">
        <w:trPr>
          <w:trHeight w:val="23"/>
        </w:trPr>
        <w:tc>
          <w:tcPr>
            <w:tcW w:w="1865" w:type="pct"/>
            <w:vAlign w:val="bottom"/>
          </w:tcPr>
          <w:p w14:paraId="737616B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Municipal bonds</w:t>
            </w:r>
          </w:p>
        </w:tc>
        <w:tc>
          <w:tcPr>
            <w:tcW w:w="448" w:type="pct"/>
            <w:vAlign w:val="bottom"/>
          </w:tcPr>
          <w:p w14:paraId="1453624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DECE20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3A809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409090D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511BBF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463974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BAEE49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2F7ED44" w14:textId="77777777" w:rsidTr="001B330E">
        <w:trPr>
          <w:trHeight w:val="23"/>
        </w:trPr>
        <w:tc>
          <w:tcPr>
            <w:tcW w:w="1865" w:type="pct"/>
            <w:vAlign w:val="bottom"/>
          </w:tcPr>
          <w:p w14:paraId="41C0056F"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Corporate bonds</w:t>
            </w:r>
          </w:p>
        </w:tc>
        <w:tc>
          <w:tcPr>
            <w:tcW w:w="448" w:type="pct"/>
            <w:vAlign w:val="bottom"/>
          </w:tcPr>
          <w:p w14:paraId="7E9D3CA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12DB26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121250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6F9760A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D62D27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330D34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3273A6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064D95E" w14:textId="77777777" w:rsidTr="001B330E">
        <w:trPr>
          <w:trHeight w:val="23"/>
        </w:trPr>
        <w:tc>
          <w:tcPr>
            <w:tcW w:w="1865" w:type="pct"/>
            <w:vAlign w:val="bottom"/>
          </w:tcPr>
          <w:p w14:paraId="7C56027F"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Investments in mutual funds</w:t>
            </w:r>
          </w:p>
        </w:tc>
        <w:tc>
          <w:tcPr>
            <w:tcW w:w="448" w:type="pct"/>
            <w:vAlign w:val="bottom"/>
          </w:tcPr>
          <w:p w14:paraId="0AAAB63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21CC13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42DD43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5D323A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B09DD3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477B2F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F1A561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F217D32" w14:textId="77777777" w:rsidTr="001B330E">
        <w:trPr>
          <w:trHeight w:val="23"/>
        </w:trPr>
        <w:tc>
          <w:tcPr>
            <w:tcW w:w="1865" w:type="pct"/>
            <w:vAlign w:val="bottom"/>
          </w:tcPr>
          <w:p w14:paraId="57F3A30B"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Promissory notes</w:t>
            </w:r>
          </w:p>
        </w:tc>
        <w:tc>
          <w:tcPr>
            <w:tcW w:w="448" w:type="pct"/>
            <w:vAlign w:val="bottom"/>
          </w:tcPr>
          <w:p w14:paraId="38C2CA2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3D2A00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252D0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1E1CD21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2B4BA9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A67CEF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B7C6A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871C51F" w14:textId="77777777" w:rsidTr="001B330E">
        <w:trPr>
          <w:trHeight w:val="23"/>
        </w:trPr>
        <w:tc>
          <w:tcPr>
            <w:tcW w:w="1865" w:type="pct"/>
            <w:vAlign w:val="bottom"/>
          </w:tcPr>
          <w:p w14:paraId="72CCC8CB"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Investments in equity securities</w:t>
            </w:r>
          </w:p>
        </w:tc>
        <w:tc>
          <w:tcPr>
            <w:tcW w:w="448" w:type="pct"/>
            <w:vAlign w:val="bottom"/>
          </w:tcPr>
          <w:p w14:paraId="354007A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472B83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012A77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16AF802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5D374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C2C8F5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54839ED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2C8CD54" w14:textId="77777777" w:rsidTr="001B330E">
        <w:trPr>
          <w:trHeight w:val="23"/>
        </w:trPr>
        <w:tc>
          <w:tcPr>
            <w:tcW w:w="1865" w:type="pct"/>
            <w:vAlign w:val="bottom"/>
          </w:tcPr>
          <w:p w14:paraId="1FA40B62" w14:textId="77777777" w:rsidR="00D83E33" w:rsidRPr="001B330E" w:rsidRDefault="00BC4072" w:rsidP="001B330E">
            <w:pPr>
              <w:widowControl w:val="0"/>
              <w:ind w:left="113" w:hanging="113"/>
              <w:rPr>
                <w:sz w:val="17"/>
                <w:szCs w:val="17"/>
              </w:rPr>
            </w:pPr>
            <w:r w:rsidRPr="001B330E">
              <w:rPr>
                <w:sz w:val="17"/>
                <w:szCs w:val="17"/>
              </w:rPr>
              <w:t>- Corporate shares</w:t>
            </w:r>
          </w:p>
        </w:tc>
        <w:tc>
          <w:tcPr>
            <w:tcW w:w="448" w:type="pct"/>
            <w:vAlign w:val="bottom"/>
          </w:tcPr>
          <w:p w14:paraId="73556F4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F9A542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E9C1F7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5670A96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B2051C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1ED117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5EC3A61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06FA013" w14:textId="77777777" w:rsidTr="001B330E">
        <w:trPr>
          <w:trHeight w:val="23"/>
        </w:trPr>
        <w:tc>
          <w:tcPr>
            <w:tcW w:w="1865" w:type="pct"/>
            <w:vAlign w:val="bottom"/>
          </w:tcPr>
          <w:p w14:paraId="3C79CFBB" w14:textId="77777777" w:rsidR="00D83E33" w:rsidRPr="001B330E" w:rsidRDefault="00BC4072" w:rsidP="001B330E">
            <w:pPr>
              <w:widowControl w:val="0"/>
              <w:ind w:left="113" w:hanging="113"/>
              <w:rPr>
                <w:sz w:val="17"/>
                <w:szCs w:val="17"/>
              </w:rPr>
            </w:pPr>
            <w:r w:rsidRPr="001B330E">
              <w:rPr>
                <w:sz w:val="17"/>
                <w:szCs w:val="17"/>
              </w:rPr>
              <w:t>- American depositary receipts (ADR)</w:t>
            </w:r>
          </w:p>
        </w:tc>
        <w:tc>
          <w:tcPr>
            <w:tcW w:w="448" w:type="pct"/>
            <w:vAlign w:val="bottom"/>
          </w:tcPr>
          <w:p w14:paraId="282305F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2A87DB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4EBBD0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12BFB6C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FD4705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3E5ED2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56C8CD0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A3D0422" w14:textId="77777777" w:rsidTr="001B330E">
        <w:trPr>
          <w:trHeight w:val="23"/>
        </w:trPr>
        <w:tc>
          <w:tcPr>
            <w:tcW w:w="1865" w:type="pct"/>
            <w:vAlign w:val="bottom"/>
          </w:tcPr>
          <w:p w14:paraId="055CDAC3" w14:textId="6005EA6B" w:rsidR="00D83E33" w:rsidRPr="001B330E" w:rsidRDefault="00BC4072" w:rsidP="001B330E">
            <w:pPr>
              <w:widowControl w:val="0"/>
              <w:ind w:left="113" w:hanging="113"/>
              <w:rPr>
                <w:sz w:val="17"/>
                <w:szCs w:val="17"/>
              </w:rPr>
            </w:pPr>
            <w:r w:rsidRPr="001B330E">
              <w:rPr>
                <w:sz w:val="17"/>
                <w:szCs w:val="17"/>
              </w:rPr>
              <w:t xml:space="preserve">- Global depositary receipts (GDR) </w:t>
            </w:r>
          </w:p>
        </w:tc>
        <w:tc>
          <w:tcPr>
            <w:tcW w:w="448" w:type="pct"/>
            <w:vAlign w:val="bottom"/>
          </w:tcPr>
          <w:p w14:paraId="5641270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C824C1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DAE22C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2C7972B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A323C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44CD32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24CE01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DF0C706" w14:textId="77777777" w:rsidTr="001B330E">
        <w:trPr>
          <w:trHeight w:val="23"/>
        </w:trPr>
        <w:tc>
          <w:tcPr>
            <w:tcW w:w="1865" w:type="pct"/>
            <w:vAlign w:val="bottom"/>
          </w:tcPr>
          <w:p w14:paraId="01D44DEB"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Loans and advances to customers</w:t>
            </w:r>
          </w:p>
        </w:tc>
        <w:tc>
          <w:tcPr>
            <w:tcW w:w="448" w:type="pct"/>
            <w:vAlign w:val="bottom"/>
          </w:tcPr>
          <w:p w14:paraId="48BDE16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77BF1C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8F717D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2A5B587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D5CDB1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E4ECF3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071199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EB8B583" w14:textId="77777777" w:rsidTr="001B330E">
        <w:trPr>
          <w:trHeight w:val="23"/>
        </w:trPr>
        <w:tc>
          <w:tcPr>
            <w:tcW w:w="1865" w:type="pct"/>
            <w:vAlign w:val="bottom"/>
          </w:tcPr>
          <w:p w14:paraId="590FF823"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color w:val="000000"/>
                <w:sz w:val="17"/>
                <w:szCs w:val="17"/>
              </w:rPr>
              <w:t>- Standard lending</w:t>
            </w:r>
          </w:p>
        </w:tc>
        <w:tc>
          <w:tcPr>
            <w:tcW w:w="448" w:type="pct"/>
            <w:vAlign w:val="bottom"/>
          </w:tcPr>
          <w:p w14:paraId="54AF311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FFAA85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E1967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1FA84FC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709F83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48404C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7B9673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AC32254" w14:textId="77777777" w:rsidTr="001B330E">
        <w:trPr>
          <w:trHeight w:val="23"/>
        </w:trPr>
        <w:tc>
          <w:tcPr>
            <w:tcW w:w="1865" w:type="pct"/>
            <w:vAlign w:val="bottom"/>
          </w:tcPr>
          <w:p w14:paraId="3F18665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Specialised lending</w:t>
            </w:r>
          </w:p>
        </w:tc>
        <w:tc>
          <w:tcPr>
            <w:tcW w:w="448" w:type="pct"/>
            <w:vAlign w:val="bottom"/>
          </w:tcPr>
          <w:p w14:paraId="2619F1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C522DD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7B64E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77FCCE2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87E764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68C6B3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3FA0CA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D8109D5" w14:textId="77777777" w:rsidTr="001B330E">
        <w:trPr>
          <w:trHeight w:val="23"/>
        </w:trPr>
        <w:tc>
          <w:tcPr>
            <w:tcW w:w="1865" w:type="pct"/>
            <w:vAlign w:val="bottom"/>
          </w:tcPr>
          <w:p w14:paraId="4B08BFF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Loans to sovereigns</w:t>
            </w:r>
          </w:p>
        </w:tc>
        <w:tc>
          <w:tcPr>
            <w:tcW w:w="448" w:type="pct"/>
            <w:vAlign w:val="bottom"/>
          </w:tcPr>
          <w:p w14:paraId="29B848B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DCA1E8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E01BB3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53772FB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E6DCB4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51B65A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717F78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301C983" w14:textId="77777777" w:rsidTr="001B330E">
        <w:trPr>
          <w:trHeight w:val="23"/>
        </w:trPr>
        <w:tc>
          <w:tcPr>
            <w:tcW w:w="1865" w:type="pct"/>
            <w:vAlign w:val="bottom"/>
          </w:tcPr>
          <w:p w14:paraId="4A6304E6"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Loans to sub-sovereigns</w:t>
            </w:r>
          </w:p>
        </w:tc>
        <w:tc>
          <w:tcPr>
            <w:tcW w:w="448" w:type="pct"/>
            <w:vAlign w:val="bottom"/>
          </w:tcPr>
          <w:p w14:paraId="53BFC13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E638C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C15F04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00B0734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C43DC5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269A6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A2AB22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F81BD5D" w14:textId="77777777" w:rsidTr="001B330E">
        <w:trPr>
          <w:trHeight w:val="23"/>
        </w:trPr>
        <w:tc>
          <w:tcPr>
            <w:tcW w:w="1865" w:type="pct"/>
            <w:vAlign w:val="bottom"/>
          </w:tcPr>
          <w:p w14:paraId="569C9D6D"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Loans to SME</w:t>
            </w:r>
          </w:p>
        </w:tc>
        <w:tc>
          <w:tcPr>
            <w:tcW w:w="448" w:type="pct"/>
            <w:vAlign w:val="bottom"/>
          </w:tcPr>
          <w:p w14:paraId="51503B9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E0AACE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A98EC3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67AAFE4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5EAC7A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AF96E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E1B11A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858BCF1" w14:textId="77777777" w:rsidTr="001B330E">
        <w:trPr>
          <w:trHeight w:val="23"/>
        </w:trPr>
        <w:tc>
          <w:tcPr>
            <w:tcW w:w="1865" w:type="pct"/>
            <w:vAlign w:val="bottom"/>
          </w:tcPr>
          <w:p w14:paraId="6F4A765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Loans to leasing companies</w:t>
            </w:r>
          </w:p>
        </w:tc>
        <w:tc>
          <w:tcPr>
            <w:tcW w:w="448" w:type="pct"/>
            <w:vAlign w:val="bottom"/>
          </w:tcPr>
          <w:p w14:paraId="16ABEF5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D095B0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AF622D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5FA453C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E2EA47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E67C19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D7ABA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444D6B7" w14:textId="77777777" w:rsidTr="001B330E">
        <w:trPr>
          <w:trHeight w:val="23"/>
        </w:trPr>
        <w:tc>
          <w:tcPr>
            <w:tcW w:w="1865" w:type="pct"/>
            <w:vAlign w:val="bottom"/>
          </w:tcPr>
          <w:p w14:paraId="3F553C9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Reverse sale and repurchase agreement</w:t>
            </w:r>
          </w:p>
        </w:tc>
        <w:tc>
          <w:tcPr>
            <w:tcW w:w="448" w:type="pct"/>
            <w:vAlign w:val="bottom"/>
          </w:tcPr>
          <w:p w14:paraId="440190C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B1BA65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EC92A1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466100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267001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47B8EF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6328189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1AB060B" w14:textId="77777777" w:rsidTr="001B330E">
        <w:trPr>
          <w:trHeight w:val="23"/>
        </w:trPr>
        <w:tc>
          <w:tcPr>
            <w:tcW w:w="1865" w:type="pct"/>
            <w:vAlign w:val="bottom"/>
          </w:tcPr>
          <w:p w14:paraId="2FEDED3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Mortgage loans</w:t>
            </w:r>
          </w:p>
        </w:tc>
        <w:tc>
          <w:tcPr>
            <w:tcW w:w="448" w:type="pct"/>
            <w:vAlign w:val="bottom"/>
          </w:tcPr>
          <w:p w14:paraId="55B3374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75D14E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8F8E2C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6F1FB5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E95ADB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F36E4D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7F5898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C3860AC" w14:textId="77777777" w:rsidTr="001B330E">
        <w:trPr>
          <w:trHeight w:val="23"/>
        </w:trPr>
        <w:tc>
          <w:tcPr>
            <w:tcW w:w="1865" w:type="pct"/>
            <w:vAlign w:val="bottom"/>
          </w:tcPr>
          <w:p w14:paraId="7913BEB1"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Consumer loans</w:t>
            </w:r>
          </w:p>
        </w:tc>
        <w:tc>
          <w:tcPr>
            <w:tcW w:w="448" w:type="pct"/>
            <w:vAlign w:val="bottom"/>
          </w:tcPr>
          <w:p w14:paraId="05877F5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A2C195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8D62E4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5BBA085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ADE2A4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8089C4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D5FB89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5EA03D3" w14:textId="77777777" w:rsidTr="001B330E">
        <w:trPr>
          <w:trHeight w:val="23"/>
        </w:trPr>
        <w:tc>
          <w:tcPr>
            <w:tcW w:w="1865" w:type="pct"/>
            <w:vAlign w:val="bottom"/>
          </w:tcPr>
          <w:p w14:paraId="49E1AA0F"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Car loans</w:t>
            </w:r>
          </w:p>
        </w:tc>
        <w:tc>
          <w:tcPr>
            <w:tcW w:w="448" w:type="pct"/>
            <w:vAlign w:val="bottom"/>
          </w:tcPr>
          <w:p w14:paraId="7145D9C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FC0FA2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949165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13E9CFB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BD31C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CF9B6C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52E63E1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8728E29" w14:textId="77777777" w:rsidTr="001B330E">
        <w:trPr>
          <w:trHeight w:val="23"/>
        </w:trPr>
        <w:tc>
          <w:tcPr>
            <w:tcW w:w="1865" w:type="pct"/>
            <w:vAlign w:val="bottom"/>
          </w:tcPr>
          <w:p w14:paraId="5DA1AA5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Credit cards</w:t>
            </w:r>
          </w:p>
        </w:tc>
        <w:tc>
          <w:tcPr>
            <w:tcW w:w="448" w:type="pct"/>
            <w:vAlign w:val="bottom"/>
          </w:tcPr>
          <w:p w14:paraId="1E0FB82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C1851A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C01A1A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55A354A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5F3E52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8AB22D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864A74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021F429" w14:textId="77777777" w:rsidTr="001B330E">
        <w:trPr>
          <w:trHeight w:val="23"/>
        </w:trPr>
        <w:tc>
          <w:tcPr>
            <w:tcW w:w="1865" w:type="pct"/>
            <w:vAlign w:val="bottom"/>
          </w:tcPr>
          <w:p w14:paraId="3DC4914A" w14:textId="18C3B2D5" w:rsidR="00D83E33" w:rsidRPr="001B330E" w:rsidRDefault="00D83E33" w:rsidP="001B330E">
            <w:pPr>
              <w:widowControl w:val="0"/>
              <w:pBdr>
                <w:top w:val="nil"/>
                <w:left w:val="nil"/>
                <w:bottom w:val="nil"/>
                <w:right w:val="nil"/>
                <w:between w:val="nil"/>
              </w:pBdr>
              <w:ind w:left="113" w:hanging="113"/>
              <w:rPr>
                <w:i/>
                <w:color w:val="FF0000"/>
                <w:sz w:val="17"/>
                <w:szCs w:val="17"/>
              </w:rPr>
            </w:pPr>
          </w:p>
        </w:tc>
        <w:tc>
          <w:tcPr>
            <w:tcW w:w="448" w:type="pct"/>
            <w:vAlign w:val="bottom"/>
          </w:tcPr>
          <w:p w14:paraId="390687E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A99198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E7499F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0A42AD3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AFBB16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4D2A75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06BBC4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29D7BB8" w14:textId="77777777" w:rsidTr="001B330E">
        <w:trPr>
          <w:trHeight w:val="23"/>
        </w:trPr>
        <w:tc>
          <w:tcPr>
            <w:tcW w:w="1865" w:type="pct"/>
            <w:vAlign w:val="bottom"/>
          </w:tcPr>
          <w:p w14:paraId="71A0ADF9"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Repurchase receivables</w:t>
            </w:r>
          </w:p>
        </w:tc>
        <w:tc>
          <w:tcPr>
            <w:tcW w:w="448" w:type="pct"/>
            <w:vAlign w:val="bottom"/>
          </w:tcPr>
          <w:p w14:paraId="3C3F100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A56F65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53670D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249358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3B4E8A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E4F17D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B51F7D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60B437F" w14:textId="77777777" w:rsidTr="001B330E">
        <w:trPr>
          <w:trHeight w:val="23"/>
        </w:trPr>
        <w:tc>
          <w:tcPr>
            <w:tcW w:w="1865" w:type="pct"/>
            <w:vAlign w:val="bottom"/>
          </w:tcPr>
          <w:p w14:paraId="4EA03DC6" w14:textId="5108386D"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 </w:t>
            </w:r>
            <w:r w:rsidR="00372E26">
              <w:rPr>
                <w:color w:val="000000"/>
                <w:sz w:val="17"/>
                <w:szCs w:val="17"/>
              </w:rPr>
              <w:t>[Country]</w:t>
            </w:r>
            <w:r w:rsidRPr="001B330E">
              <w:rPr>
                <w:color w:val="000000"/>
                <w:sz w:val="17"/>
                <w:szCs w:val="17"/>
              </w:rPr>
              <w:t xml:space="preserve"> government bonds</w:t>
            </w:r>
          </w:p>
        </w:tc>
        <w:tc>
          <w:tcPr>
            <w:tcW w:w="448" w:type="pct"/>
            <w:vAlign w:val="bottom"/>
          </w:tcPr>
          <w:p w14:paraId="746EBF6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7B1B08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6CE0A4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396D1A7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99D04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7C0729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CF9CBC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CC9E9CC" w14:textId="77777777" w:rsidTr="001B330E">
        <w:trPr>
          <w:trHeight w:val="23"/>
        </w:trPr>
        <w:tc>
          <w:tcPr>
            <w:tcW w:w="1865" w:type="pct"/>
            <w:vAlign w:val="bottom"/>
          </w:tcPr>
          <w:p w14:paraId="6ED02E7B"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Municipal bonds</w:t>
            </w:r>
          </w:p>
        </w:tc>
        <w:tc>
          <w:tcPr>
            <w:tcW w:w="448" w:type="pct"/>
            <w:vAlign w:val="bottom"/>
          </w:tcPr>
          <w:p w14:paraId="43941E7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460B55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D19676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429FC47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641B7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2292C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09FC80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6437E87" w14:textId="77777777" w:rsidTr="001B330E">
        <w:trPr>
          <w:trHeight w:val="23"/>
        </w:trPr>
        <w:tc>
          <w:tcPr>
            <w:tcW w:w="1865" w:type="pct"/>
            <w:vAlign w:val="bottom"/>
          </w:tcPr>
          <w:p w14:paraId="591AF97F"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Corporate bonds</w:t>
            </w:r>
          </w:p>
        </w:tc>
        <w:tc>
          <w:tcPr>
            <w:tcW w:w="448" w:type="pct"/>
            <w:vAlign w:val="bottom"/>
          </w:tcPr>
          <w:p w14:paraId="7AE2546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7CDCAE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CED58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0877979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EFF4C4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31D2F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1B9216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137EED8" w14:textId="77777777" w:rsidTr="001B330E">
        <w:trPr>
          <w:trHeight w:val="23"/>
        </w:trPr>
        <w:tc>
          <w:tcPr>
            <w:tcW w:w="1865" w:type="pct"/>
            <w:vAlign w:val="bottom"/>
          </w:tcPr>
          <w:p w14:paraId="7659E286"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Promissory notes</w:t>
            </w:r>
          </w:p>
        </w:tc>
        <w:tc>
          <w:tcPr>
            <w:tcW w:w="448" w:type="pct"/>
            <w:vAlign w:val="bottom"/>
          </w:tcPr>
          <w:p w14:paraId="7154149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1A6732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99D06C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08199EB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9EAA29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96BE84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5BBA9D7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2534782" w14:textId="77777777" w:rsidTr="001B330E">
        <w:trPr>
          <w:trHeight w:val="23"/>
        </w:trPr>
        <w:tc>
          <w:tcPr>
            <w:tcW w:w="1865" w:type="pct"/>
            <w:vAlign w:val="bottom"/>
          </w:tcPr>
          <w:p w14:paraId="79D29DAC"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Corporate shares</w:t>
            </w:r>
          </w:p>
        </w:tc>
        <w:tc>
          <w:tcPr>
            <w:tcW w:w="448" w:type="pct"/>
            <w:vAlign w:val="bottom"/>
          </w:tcPr>
          <w:p w14:paraId="1FF7BB1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DD0E82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267CE2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735BA26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D7312A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29F6F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989461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40357B7" w14:textId="77777777" w:rsidTr="001B330E">
        <w:trPr>
          <w:trHeight w:val="23"/>
        </w:trPr>
        <w:tc>
          <w:tcPr>
            <w:tcW w:w="1865" w:type="pct"/>
            <w:vAlign w:val="bottom"/>
          </w:tcPr>
          <w:p w14:paraId="0FEB2DE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American depositary receipts (ADR)</w:t>
            </w:r>
          </w:p>
        </w:tc>
        <w:tc>
          <w:tcPr>
            <w:tcW w:w="448" w:type="pct"/>
            <w:vAlign w:val="bottom"/>
          </w:tcPr>
          <w:p w14:paraId="4C4DC5E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EAECC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2FB197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260BF6D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4097A6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AAAD67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6F304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3DDFF82" w14:textId="77777777" w:rsidTr="001B330E">
        <w:trPr>
          <w:trHeight w:val="23"/>
        </w:trPr>
        <w:tc>
          <w:tcPr>
            <w:tcW w:w="1865" w:type="pct"/>
            <w:vAlign w:val="bottom"/>
          </w:tcPr>
          <w:p w14:paraId="2F48D8E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Investments in mutual funds</w:t>
            </w:r>
          </w:p>
        </w:tc>
        <w:tc>
          <w:tcPr>
            <w:tcW w:w="448" w:type="pct"/>
            <w:vAlign w:val="bottom"/>
          </w:tcPr>
          <w:p w14:paraId="18B6E6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BC6AC8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FD49B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2A5E075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44B806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F8997F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C974FD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D588623" w14:textId="77777777" w:rsidTr="001B330E">
        <w:trPr>
          <w:trHeight w:val="23"/>
        </w:trPr>
        <w:tc>
          <w:tcPr>
            <w:tcW w:w="1865" w:type="pct"/>
            <w:vAlign w:val="bottom"/>
          </w:tcPr>
          <w:p w14:paraId="369FFE5C" w14:textId="26B052AC"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 Global depositary receipts (GDR) </w:t>
            </w:r>
          </w:p>
        </w:tc>
        <w:tc>
          <w:tcPr>
            <w:tcW w:w="448" w:type="pct"/>
            <w:vAlign w:val="bottom"/>
          </w:tcPr>
          <w:p w14:paraId="32EDEAF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C5C9E0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827ACF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6523569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7BD0CE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AA41E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541835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28A13A7" w14:textId="77777777" w:rsidTr="001B330E">
        <w:trPr>
          <w:trHeight w:val="23"/>
        </w:trPr>
        <w:tc>
          <w:tcPr>
            <w:tcW w:w="1865" w:type="pct"/>
            <w:vAlign w:val="bottom"/>
          </w:tcPr>
          <w:p w14:paraId="181EA4EA"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Other financial assets:</w:t>
            </w:r>
          </w:p>
        </w:tc>
        <w:tc>
          <w:tcPr>
            <w:tcW w:w="448" w:type="pct"/>
            <w:vAlign w:val="bottom"/>
          </w:tcPr>
          <w:p w14:paraId="6AA9615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F078F7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017615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7BFDCE0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2D5955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6CF30C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5900E8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2BB90E5" w14:textId="77777777" w:rsidTr="001B330E">
        <w:trPr>
          <w:trHeight w:val="23"/>
        </w:trPr>
        <w:tc>
          <w:tcPr>
            <w:tcW w:w="1865" w:type="pct"/>
            <w:vAlign w:val="bottom"/>
          </w:tcPr>
          <w:p w14:paraId="3620D9D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Trade receivables</w:t>
            </w:r>
          </w:p>
        </w:tc>
        <w:tc>
          <w:tcPr>
            <w:tcW w:w="448" w:type="pct"/>
            <w:vAlign w:val="bottom"/>
          </w:tcPr>
          <w:p w14:paraId="2552D83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63D832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0DD72D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3A8A9B4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275084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ECC73A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547E778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22A8E35" w14:textId="77777777" w:rsidTr="001B330E">
        <w:trPr>
          <w:trHeight w:val="23"/>
        </w:trPr>
        <w:tc>
          <w:tcPr>
            <w:tcW w:w="1865" w:type="pct"/>
            <w:vAlign w:val="bottom"/>
          </w:tcPr>
          <w:p w14:paraId="40B24C6D"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Finance lease receivables</w:t>
            </w:r>
          </w:p>
        </w:tc>
        <w:tc>
          <w:tcPr>
            <w:tcW w:w="448" w:type="pct"/>
            <w:vAlign w:val="bottom"/>
          </w:tcPr>
          <w:p w14:paraId="132AC40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AAEC62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DF504A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4BBFB0B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3EB2B9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FF4ABF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87596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BA8BBBD" w14:textId="77777777" w:rsidTr="001B330E">
        <w:trPr>
          <w:trHeight w:val="23"/>
        </w:trPr>
        <w:tc>
          <w:tcPr>
            <w:tcW w:w="1865" w:type="pct"/>
            <w:vAlign w:val="bottom"/>
          </w:tcPr>
          <w:p w14:paraId="759E57E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Credit and debit cards receivables</w:t>
            </w:r>
          </w:p>
        </w:tc>
        <w:tc>
          <w:tcPr>
            <w:tcW w:w="448" w:type="pct"/>
            <w:vAlign w:val="bottom"/>
          </w:tcPr>
          <w:p w14:paraId="569E174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9F0A03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F4037F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0DB12AC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0C3A30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C5167D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6A0923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46B5511" w14:textId="77777777" w:rsidTr="001B330E">
        <w:trPr>
          <w:trHeight w:val="23"/>
        </w:trPr>
        <w:tc>
          <w:tcPr>
            <w:tcW w:w="1865" w:type="pct"/>
            <w:vAlign w:val="bottom"/>
          </w:tcPr>
          <w:p w14:paraId="13374337"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Settlements on conversion operations</w:t>
            </w:r>
          </w:p>
        </w:tc>
        <w:tc>
          <w:tcPr>
            <w:tcW w:w="448" w:type="pct"/>
            <w:vAlign w:val="bottom"/>
          </w:tcPr>
          <w:p w14:paraId="4A1A4AB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DB0BE4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0813A7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68AC740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AECA62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3AF366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3C7008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3630046" w14:textId="77777777" w:rsidTr="001B330E">
        <w:trPr>
          <w:trHeight w:val="23"/>
        </w:trPr>
        <w:tc>
          <w:tcPr>
            <w:tcW w:w="1865" w:type="pct"/>
            <w:vAlign w:val="bottom"/>
          </w:tcPr>
          <w:p w14:paraId="34AB3ED9"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Restricted cash</w:t>
            </w:r>
          </w:p>
        </w:tc>
        <w:tc>
          <w:tcPr>
            <w:tcW w:w="448" w:type="pct"/>
            <w:vAlign w:val="bottom"/>
          </w:tcPr>
          <w:p w14:paraId="2896E43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FBE2CE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DCE98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79C031B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D41270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784269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3CA4FC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3E94C39" w14:textId="77777777" w:rsidTr="001B330E">
        <w:trPr>
          <w:trHeight w:val="23"/>
        </w:trPr>
        <w:tc>
          <w:tcPr>
            <w:tcW w:w="1865" w:type="pct"/>
            <w:vAlign w:val="bottom"/>
          </w:tcPr>
          <w:p w14:paraId="180E50C1"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Foreign exchange forward contracts</w:t>
            </w:r>
          </w:p>
        </w:tc>
        <w:tc>
          <w:tcPr>
            <w:tcW w:w="448" w:type="pct"/>
            <w:vAlign w:val="bottom"/>
          </w:tcPr>
          <w:p w14:paraId="783CAE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B12069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D92967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4BA2DFA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26B82C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185F0F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A798B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CCAAAA7" w14:textId="77777777" w:rsidTr="001B330E">
        <w:trPr>
          <w:trHeight w:val="23"/>
        </w:trPr>
        <w:tc>
          <w:tcPr>
            <w:tcW w:w="1865" w:type="pct"/>
            <w:vAlign w:val="bottom"/>
          </w:tcPr>
          <w:p w14:paraId="481DEC77"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Precious metals forward contracts</w:t>
            </w:r>
          </w:p>
        </w:tc>
        <w:tc>
          <w:tcPr>
            <w:tcW w:w="448" w:type="pct"/>
            <w:vAlign w:val="bottom"/>
          </w:tcPr>
          <w:p w14:paraId="3F056F3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E877C1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EB0A7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1A299E1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9A33B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635AC8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428658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DDAEEFA" w14:textId="77777777" w:rsidTr="001B330E">
        <w:trPr>
          <w:trHeight w:val="23"/>
        </w:trPr>
        <w:tc>
          <w:tcPr>
            <w:tcW w:w="1865" w:type="pct"/>
            <w:vAlign w:val="bottom"/>
          </w:tcPr>
          <w:p w14:paraId="4601A9A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Other financial derivatives</w:t>
            </w:r>
          </w:p>
        </w:tc>
        <w:tc>
          <w:tcPr>
            <w:tcW w:w="448" w:type="pct"/>
            <w:vAlign w:val="bottom"/>
          </w:tcPr>
          <w:p w14:paraId="48D53A9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7366A8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DA2BB6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26FC34E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485B37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842D59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709CBC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6283464" w14:textId="77777777" w:rsidTr="001B330E">
        <w:trPr>
          <w:trHeight w:val="23"/>
        </w:trPr>
        <w:tc>
          <w:tcPr>
            <w:tcW w:w="1865" w:type="pct"/>
            <w:vAlign w:val="bottom"/>
          </w:tcPr>
          <w:p w14:paraId="730EBF50" w14:textId="77777777" w:rsidR="00D83E33" w:rsidRPr="001B330E" w:rsidRDefault="00BC4072" w:rsidP="001B330E">
            <w:pPr>
              <w:widowControl w:val="0"/>
              <w:pBdr>
                <w:top w:val="nil"/>
                <w:left w:val="nil"/>
                <w:bottom w:val="nil"/>
                <w:right w:val="nil"/>
                <w:between w:val="nil"/>
              </w:pBdr>
              <w:ind w:left="113" w:hanging="113"/>
              <w:rPr>
                <w:i/>
                <w:color w:val="000000"/>
                <w:sz w:val="17"/>
                <w:szCs w:val="17"/>
              </w:rPr>
            </w:pPr>
            <w:r w:rsidRPr="001B330E">
              <w:rPr>
                <w:i/>
                <w:color w:val="000000"/>
                <w:sz w:val="17"/>
                <w:szCs w:val="17"/>
              </w:rPr>
              <w:t>- Other</w:t>
            </w:r>
          </w:p>
        </w:tc>
        <w:tc>
          <w:tcPr>
            <w:tcW w:w="448" w:type="pct"/>
            <w:vAlign w:val="bottom"/>
          </w:tcPr>
          <w:p w14:paraId="17CE5FB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33BC34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6BF710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79600B8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4A65E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D892F9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2F46D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8B9C0C4" w14:textId="77777777" w:rsidTr="001B330E">
        <w:trPr>
          <w:trHeight w:val="23"/>
        </w:trPr>
        <w:tc>
          <w:tcPr>
            <w:tcW w:w="1865" w:type="pct"/>
            <w:tcBorders>
              <w:bottom w:val="single" w:sz="4" w:space="0" w:color="000000"/>
            </w:tcBorders>
            <w:vAlign w:val="bottom"/>
          </w:tcPr>
          <w:p w14:paraId="7F6ED07F"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w:t>
            </w:r>
          </w:p>
        </w:tc>
        <w:tc>
          <w:tcPr>
            <w:tcW w:w="448" w:type="pct"/>
            <w:tcBorders>
              <w:bottom w:val="single" w:sz="4" w:space="0" w:color="000000"/>
            </w:tcBorders>
            <w:vAlign w:val="bottom"/>
          </w:tcPr>
          <w:p w14:paraId="594185C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vAlign w:val="bottom"/>
          </w:tcPr>
          <w:p w14:paraId="41B5336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vAlign w:val="bottom"/>
          </w:tcPr>
          <w:p w14:paraId="5F82AF2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tcPr>
          <w:p w14:paraId="3386E4E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vAlign w:val="bottom"/>
          </w:tcPr>
          <w:p w14:paraId="59085B6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vAlign w:val="bottom"/>
          </w:tcPr>
          <w:p w14:paraId="30A7E81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tcBorders>
              <w:bottom w:val="single" w:sz="4" w:space="0" w:color="000000"/>
            </w:tcBorders>
            <w:vAlign w:val="bottom"/>
          </w:tcPr>
          <w:p w14:paraId="3480B55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5593C1F" w14:textId="77777777" w:rsidTr="001B330E">
        <w:trPr>
          <w:trHeight w:val="23"/>
        </w:trPr>
        <w:tc>
          <w:tcPr>
            <w:tcW w:w="1865" w:type="pct"/>
            <w:tcBorders>
              <w:top w:val="single" w:sz="4" w:space="0" w:color="000000"/>
            </w:tcBorders>
            <w:vAlign w:val="bottom"/>
          </w:tcPr>
          <w:p w14:paraId="19250A34"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w:t>
            </w:r>
          </w:p>
        </w:tc>
        <w:tc>
          <w:tcPr>
            <w:tcW w:w="448" w:type="pct"/>
            <w:tcBorders>
              <w:top w:val="single" w:sz="4" w:space="0" w:color="000000"/>
            </w:tcBorders>
            <w:vAlign w:val="bottom"/>
          </w:tcPr>
          <w:p w14:paraId="3D052F0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vAlign w:val="bottom"/>
          </w:tcPr>
          <w:p w14:paraId="0AEAEE7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vAlign w:val="bottom"/>
          </w:tcPr>
          <w:p w14:paraId="71CB6F3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tcPr>
          <w:p w14:paraId="2477B52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vAlign w:val="bottom"/>
          </w:tcPr>
          <w:p w14:paraId="1F6E71C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vAlign w:val="bottom"/>
          </w:tcPr>
          <w:p w14:paraId="6B0F2D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tcBorders>
              <w:top w:val="single" w:sz="4" w:space="0" w:color="000000"/>
            </w:tcBorders>
            <w:vAlign w:val="bottom"/>
          </w:tcPr>
          <w:p w14:paraId="4058AFB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4CE07C5" w14:textId="77777777" w:rsidTr="001B330E">
        <w:trPr>
          <w:trHeight w:val="23"/>
        </w:trPr>
        <w:tc>
          <w:tcPr>
            <w:tcW w:w="1865" w:type="pct"/>
            <w:vAlign w:val="bottom"/>
          </w:tcPr>
          <w:p w14:paraId="6B643FC9"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TOTAL FINANCIAL ASSETS</w:t>
            </w:r>
          </w:p>
        </w:tc>
        <w:tc>
          <w:tcPr>
            <w:tcW w:w="448" w:type="pct"/>
            <w:vAlign w:val="bottom"/>
          </w:tcPr>
          <w:p w14:paraId="7FEFE9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1E340E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63C946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Pr>
          <w:p w14:paraId="0D1755F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349D77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2DB0DC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8AC4B3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16E0FDD" w14:textId="77777777" w:rsidTr="001B330E">
        <w:trPr>
          <w:trHeight w:val="23"/>
        </w:trPr>
        <w:tc>
          <w:tcPr>
            <w:tcW w:w="1865" w:type="pct"/>
            <w:tcBorders>
              <w:bottom w:val="single" w:sz="12" w:space="0" w:color="000000"/>
            </w:tcBorders>
            <w:vAlign w:val="bottom"/>
          </w:tcPr>
          <w:p w14:paraId="2F0CF067" w14:textId="77777777" w:rsidR="00D83E33" w:rsidRPr="001B330E" w:rsidRDefault="00D83E33" w:rsidP="001B330E">
            <w:pPr>
              <w:widowControl w:val="0"/>
              <w:pBdr>
                <w:top w:val="nil"/>
                <w:left w:val="nil"/>
                <w:bottom w:val="nil"/>
                <w:right w:val="nil"/>
                <w:between w:val="nil"/>
              </w:pBdr>
              <w:ind w:left="113" w:hanging="113"/>
              <w:rPr>
                <w:color w:val="000000"/>
                <w:sz w:val="17"/>
                <w:szCs w:val="17"/>
              </w:rPr>
            </w:pPr>
          </w:p>
        </w:tc>
        <w:tc>
          <w:tcPr>
            <w:tcW w:w="448" w:type="pct"/>
            <w:tcBorders>
              <w:bottom w:val="single" w:sz="12" w:space="0" w:color="000000"/>
            </w:tcBorders>
            <w:vAlign w:val="bottom"/>
          </w:tcPr>
          <w:p w14:paraId="1E6F5F1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vAlign w:val="bottom"/>
          </w:tcPr>
          <w:p w14:paraId="31A077C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vAlign w:val="bottom"/>
          </w:tcPr>
          <w:p w14:paraId="74201FD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tcPr>
          <w:p w14:paraId="0F72D32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vAlign w:val="bottom"/>
          </w:tcPr>
          <w:p w14:paraId="431A3FE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vAlign w:val="bottom"/>
          </w:tcPr>
          <w:p w14:paraId="611158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tcBorders>
              <w:bottom w:val="single" w:sz="12" w:space="0" w:color="000000"/>
            </w:tcBorders>
            <w:vAlign w:val="bottom"/>
          </w:tcPr>
          <w:p w14:paraId="7181F3A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bl>
    <w:p w14:paraId="166346DD" w14:textId="3CAA65AA" w:rsidR="00D83E33" w:rsidRDefault="00BC4072" w:rsidP="001B330E">
      <w:pPr>
        <w:pStyle w:val="Continued"/>
      </w:pPr>
      <w:r>
        <w:lastRenderedPageBreak/>
        <w:t>50</w:t>
      </w:r>
      <w:r>
        <w:tab/>
        <w:t>Presentation of Financial Instruments by Measurement Category (Continued)</w:t>
      </w:r>
    </w:p>
    <w:p w14:paraId="79A23AE3" w14:textId="10BF75D3"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The following table provides a reconciliation of financial assets with measurement categories at 31</w:t>
      </w:r>
      <w:r w:rsidR="00181687">
        <w:rPr>
          <w:color w:val="000000"/>
          <w:sz w:val="20"/>
          <w:szCs w:val="20"/>
        </w:rPr>
        <w:t> December </w:t>
      </w:r>
      <w:r w:rsidR="00541EBC">
        <w:rPr>
          <w:color w:val="000000"/>
          <w:sz w:val="20"/>
          <w:szCs w:val="20"/>
        </w:rPr>
        <w:t>2023</w:t>
      </w:r>
      <w:r>
        <w:rPr>
          <w:color w:val="000000"/>
          <w:sz w:val="20"/>
          <w:szCs w:val="20"/>
        </w:rPr>
        <w:t>:</w:t>
      </w:r>
    </w:p>
    <w:tbl>
      <w:tblPr>
        <w:tblStyle w:val="afffffffffffffffff3"/>
        <w:tblW w:w="5000" w:type="pct"/>
        <w:tblLayout w:type="fixed"/>
        <w:tblLook w:val="0000" w:firstRow="0" w:lastRow="0" w:firstColumn="0" w:lastColumn="0" w:noHBand="0" w:noVBand="0"/>
      </w:tblPr>
      <w:tblGrid>
        <w:gridCol w:w="3490"/>
        <w:gridCol w:w="839"/>
        <w:gridCol w:w="838"/>
        <w:gridCol w:w="838"/>
        <w:gridCol w:w="838"/>
        <w:gridCol w:w="838"/>
        <w:gridCol w:w="838"/>
        <w:gridCol w:w="836"/>
      </w:tblGrid>
      <w:tr w:rsidR="00D83E33" w:rsidRPr="002762A6" w14:paraId="0935B85F" w14:textId="77777777" w:rsidTr="001B330E">
        <w:trPr>
          <w:trHeight w:val="23"/>
        </w:trPr>
        <w:tc>
          <w:tcPr>
            <w:tcW w:w="1865" w:type="pct"/>
            <w:tcBorders>
              <w:bottom w:val="single" w:sz="4" w:space="0" w:color="000000"/>
            </w:tcBorders>
            <w:vAlign w:val="bottom"/>
          </w:tcPr>
          <w:p w14:paraId="5FBA15EB" w14:textId="7AC5C2A1" w:rsidR="00D83E33" w:rsidRPr="001B330E" w:rsidRDefault="00313B4D" w:rsidP="001B330E">
            <w:pPr>
              <w:widowControl w:val="0"/>
              <w:pBdr>
                <w:top w:val="nil"/>
                <w:left w:val="nil"/>
                <w:bottom w:val="nil"/>
                <w:right w:val="nil"/>
                <w:between w:val="nil"/>
              </w:pBdr>
              <w:ind w:left="113" w:hanging="113"/>
              <w:rPr>
                <w:i/>
                <w:color w:val="000000"/>
                <w:sz w:val="17"/>
                <w:szCs w:val="17"/>
              </w:rPr>
            </w:pPr>
            <w:r>
              <w:rPr>
                <w:i/>
                <w:color w:val="000000"/>
                <w:sz w:val="17"/>
                <w:szCs w:val="17"/>
              </w:rPr>
              <w:t xml:space="preserve">In thousands of </w:t>
            </w:r>
            <w:r w:rsidR="002649EE">
              <w:rPr>
                <w:i/>
                <w:color w:val="000000"/>
                <w:sz w:val="17"/>
                <w:szCs w:val="17"/>
              </w:rPr>
              <w:t>EUR</w:t>
            </w:r>
          </w:p>
        </w:tc>
        <w:tc>
          <w:tcPr>
            <w:tcW w:w="448" w:type="pct"/>
            <w:tcBorders>
              <w:bottom w:val="single" w:sz="4" w:space="0" w:color="000000"/>
            </w:tcBorders>
          </w:tcPr>
          <w:p w14:paraId="00E7B12A"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FVTPL (manda-tory)</w:t>
            </w:r>
          </w:p>
        </w:tc>
        <w:tc>
          <w:tcPr>
            <w:tcW w:w="448" w:type="pct"/>
            <w:tcBorders>
              <w:bottom w:val="single" w:sz="4" w:space="0" w:color="000000"/>
            </w:tcBorders>
          </w:tcPr>
          <w:p w14:paraId="53845519"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FVTPL (desig-nated)</w:t>
            </w:r>
          </w:p>
        </w:tc>
        <w:tc>
          <w:tcPr>
            <w:tcW w:w="448" w:type="pct"/>
            <w:tcBorders>
              <w:bottom w:val="single" w:sz="4" w:space="0" w:color="000000"/>
            </w:tcBorders>
          </w:tcPr>
          <w:p w14:paraId="16C18CCF"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Debt instru-ments at FVOCI</w:t>
            </w:r>
          </w:p>
        </w:tc>
        <w:tc>
          <w:tcPr>
            <w:tcW w:w="448" w:type="pct"/>
            <w:tcBorders>
              <w:bottom w:val="single" w:sz="4" w:space="0" w:color="000000"/>
            </w:tcBorders>
          </w:tcPr>
          <w:p w14:paraId="1A438F48"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Equity instru-ments at FVOCI</w:t>
            </w:r>
          </w:p>
        </w:tc>
        <w:tc>
          <w:tcPr>
            <w:tcW w:w="448" w:type="pct"/>
            <w:tcBorders>
              <w:bottom w:val="single" w:sz="4" w:space="0" w:color="000000"/>
            </w:tcBorders>
          </w:tcPr>
          <w:p w14:paraId="2CDC8BD5"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AC</w:t>
            </w:r>
          </w:p>
        </w:tc>
        <w:tc>
          <w:tcPr>
            <w:tcW w:w="448" w:type="pct"/>
            <w:tcBorders>
              <w:bottom w:val="single" w:sz="4" w:space="0" w:color="000000"/>
            </w:tcBorders>
          </w:tcPr>
          <w:p w14:paraId="23ED3995"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Finance lease recei-vables</w:t>
            </w:r>
          </w:p>
        </w:tc>
        <w:tc>
          <w:tcPr>
            <w:tcW w:w="447" w:type="pct"/>
            <w:tcBorders>
              <w:bottom w:val="single" w:sz="4" w:space="0" w:color="000000"/>
            </w:tcBorders>
          </w:tcPr>
          <w:p w14:paraId="5EC6BC61" w14:textId="77777777" w:rsidR="00D83E33" w:rsidRPr="001B330E" w:rsidRDefault="00BC4072" w:rsidP="001B330E">
            <w:pPr>
              <w:widowControl w:val="0"/>
              <w:pBdr>
                <w:top w:val="nil"/>
                <w:left w:val="nil"/>
                <w:bottom w:val="nil"/>
                <w:right w:val="nil"/>
                <w:between w:val="nil"/>
              </w:pBdr>
              <w:ind w:left="-113"/>
              <w:jc w:val="right"/>
              <w:rPr>
                <w:b/>
                <w:color w:val="000000"/>
                <w:sz w:val="17"/>
                <w:szCs w:val="17"/>
              </w:rPr>
            </w:pPr>
            <w:r w:rsidRPr="001B330E">
              <w:rPr>
                <w:b/>
                <w:color w:val="000000"/>
                <w:sz w:val="17"/>
                <w:szCs w:val="17"/>
              </w:rPr>
              <w:t>Total</w:t>
            </w:r>
          </w:p>
        </w:tc>
      </w:tr>
      <w:tr w:rsidR="00D83E33" w:rsidRPr="002762A6" w14:paraId="2FB07C8C" w14:textId="77777777" w:rsidTr="001B330E">
        <w:trPr>
          <w:trHeight w:val="23"/>
        </w:trPr>
        <w:tc>
          <w:tcPr>
            <w:tcW w:w="1865" w:type="pct"/>
            <w:vAlign w:val="bottom"/>
          </w:tcPr>
          <w:p w14:paraId="6CEED3E6"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b/>
                <w:color w:val="000000"/>
                <w:sz w:val="17"/>
                <w:szCs w:val="17"/>
              </w:rPr>
              <w:t> </w:t>
            </w:r>
          </w:p>
        </w:tc>
        <w:tc>
          <w:tcPr>
            <w:tcW w:w="448" w:type="pct"/>
            <w:vAlign w:val="bottom"/>
          </w:tcPr>
          <w:p w14:paraId="2144120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B74203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1047BA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4088CC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70EC48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C974F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63E051D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31871A0" w14:textId="77777777" w:rsidTr="001B330E">
        <w:trPr>
          <w:trHeight w:val="23"/>
        </w:trPr>
        <w:tc>
          <w:tcPr>
            <w:tcW w:w="1865" w:type="pct"/>
            <w:vAlign w:val="bottom"/>
          </w:tcPr>
          <w:p w14:paraId="20A6DFBA"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ASSETS</w:t>
            </w:r>
          </w:p>
        </w:tc>
        <w:tc>
          <w:tcPr>
            <w:tcW w:w="448" w:type="pct"/>
            <w:vAlign w:val="bottom"/>
          </w:tcPr>
          <w:p w14:paraId="3CE1A662"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vAlign w:val="bottom"/>
          </w:tcPr>
          <w:p w14:paraId="37B8BFD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vAlign w:val="bottom"/>
          </w:tcPr>
          <w:p w14:paraId="45A46476"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vAlign w:val="bottom"/>
          </w:tcPr>
          <w:p w14:paraId="4EAED60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vAlign w:val="bottom"/>
          </w:tcPr>
          <w:p w14:paraId="245608F0"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8" w:type="pct"/>
            <w:vAlign w:val="bottom"/>
          </w:tcPr>
          <w:p w14:paraId="13A1A7B9"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c>
          <w:tcPr>
            <w:tcW w:w="447" w:type="pct"/>
            <w:vAlign w:val="bottom"/>
          </w:tcPr>
          <w:p w14:paraId="3BAC1117" w14:textId="77777777" w:rsidR="00D83E33" w:rsidRPr="001B330E" w:rsidRDefault="00D83E33" w:rsidP="001B330E">
            <w:pPr>
              <w:widowControl w:val="0"/>
              <w:pBdr>
                <w:top w:val="nil"/>
                <w:left w:val="nil"/>
                <w:bottom w:val="nil"/>
                <w:right w:val="nil"/>
                <w:between w:val="nil"/>
              </w:pBdr>
              <w:jc w:val="right"/>
              <w:rPr>
                <w:b/>
                <w:smallCaps/>
                <w:color w:val="000000"/>
                <w:sz w:val="17"/>
                <w:szCs w:val="17"/>
              </w:rPr>
            </w:pPr>
          </w:p>
        </w:tc>
      </w:tr>
      <w:tr w:rsidR="00D83E33" w:rsidRPr="002762A6" w14:paraId="5FF865F1" w14:textId="77777777" w:rsidTr="001B330E">
        <w:trPr>
          <w:trHeight w:val="23"/>
        </w:trPr>
        <w:tc>
          <w:tcPr>
            <w:tcW w:w="1865" w:type="pct"/>
            <w:vAlign w:val="bottom"/>
          </w:tcPr>
          <w:p w14:paraId="6BCBF1E5"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Cash and cash equivalents</w:t>
            </w:r>
          </w:p>
        </w:tc>
        <w:tc>
          <w:tcPr>
            <w:tcW w:w="448" w:type="pct"/>
            <w:vAlign w:val="bottom"/>
          </w:tcPr>
          <w:p w14:paraId="0A0BD82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371051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1DD664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5A87AB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B79AE8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629534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6A6C835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49A388E" w14:textId="77777777" w:rsidTr="001B330E">
        <w:trPr>
          <w:trHeight w:val="23"/>
        </w:trPr>
        <w:tc>
          <w:tcPr>
            <w:tcW w:w="1865" w:type="pct"/>
            <w:vAlign w:val="bottom"/>
          </w:tcPr>
          <w:p w14:paraId="576BC29D"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Due from other banks</w:t>
            </w:r>
          </w:p>
        </w:tc>
        <w:tc>
          <w:tcPr>
            <w:tcW w:w="448" w:type="pct"/>
            <w:vAlign w:val="bottom"/>
          </w:tcPr>
          <w:p w14:paraId="5C15E8B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F8E5D1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3974C8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E5F777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F77C2D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07A701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42A44B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834A901" w14:textId="77777777" w:rsidTr="001B330E">
        <w:trPr>
          <w:trHeight w:val="23"/>
        </w:trPr>
        <w:tc>
          <w:tcPr>
            <w:tcW w:w="1865" w:type="pct"/>
            <w:vAlign w:val="bottom"/>
          </w:tcPr>
          <w:p w14:paraId="1B787BE6"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Short-term placements with other banks with original maturities of more than three months</w:t>
            </w:r>
          </w:p>
        </w:tc>
        <w:tc>
          <w:tcPr>
            <w:tcW w:w="448" w:type="pct"/>
            <w:vAlign w:val="bottom"/>
          </w:tcPr>
          <w:p w14:paraId="7835F8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97802D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C1219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D6BCE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BE1DE9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325D97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E149F6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9507375" w14:textId="77777777" w:rsidTr="001B330E">
        <w:trPr>
          <w:trHeight w:val="23"/>
        </w:trPr>
        <w:tc>
          <w:tcPr>
            <w:tcW w:w="1865" w:type="pct"/>
            <w:vAlign w:val="bottom"/>
          </w:tcPr>
          <w:p w14:paraId="47448319"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Reverse sale and repurchase agreements with other banks with original maturities of more than three months</w:t>
            </w:r>
          </w:p>
        </w:tc>
        <w:tc>
          <w:tcPr>
            <w:tcW w:w="448" w:type="pct"/>
            <w:vAlign w:val="bottom"/>
          </w:tcPr>
          <w:p w14:paraId="2A6639F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ECA711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760D68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912866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6BA1DD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D16A7F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9360A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56ADD29" w14:textId="77777777" w:rsidTr="001B330E">
        <w:trPr>
          <w:trHeight w:val="23"/>
        </w:trPr>
        <w:tc>
          <w:tcPr>
            <w:tcW w:w="1865" w:type="pct"/>
            <w:vAlign w:val="bottom"/>
          </w:tcPr>
          <w:p w14:paraId="4E6A50C1"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Investments in debt securities</w:t>
            </w:r>
          </w:p>
        </w:tc>
        <w:tc>
          <w:tcPr>
            <w:tcW w:w="448" w:type="pct"/>
            <w:vAlign w:val="bottom"/>
          </w:tcPr>
          <w:p w14:paraId="5FA8E29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D0A8D7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8E194F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11CFBC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FF414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1B036D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035A7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6F99A3E" w14:textId="77777777" w:rsidTr="001B330E">
        <w:trPr>
          <w:trHeight w:val="23"/>
        </w:trPr>
        <w:tc>
          <w:tcPr>
            <w:tcW w:w="1865" w:type="pct"/>
            <w:vAlign w:val="bottom"/>
          </w:tcPr>
          <w:p w14:paraId="1FB36C87" w14:textId="43699586"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 </w:t>
            </w:r>
            <w:r w:rsidR="00372E26">
              <w:rPr>
                <w:color w:val="000000"/>
                <w:sz w:val="17"/>
                <w:szCs w:val="17"/>
              </w:rPr>
              <w:t>[Country]</w:t>
            </w:r>
            <w:r w:rsidRPr="001B330E">
              <w:rPr>
                <w:color w:val="000000"/>
                <w:sz w:val="17"/>
                <w:szCs w:val="17"/>
              </w:rPr>
              <w:t xml:space="preserve"> government bonds</w:t>
            </w:r>
          </w:p>
        </w:tc>
        <w:tc>
          <w:tcPr>
            <w:tcW w:w="448" w:type="pct"/>
            <w:vAlign w:val="bottom"/>
          </w:tcPr>
          <w:p w14:paraId="4157299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7E4838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497299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62435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62F6FD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4E2DB4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E023D6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8F23D18" w14:textId="77777777" w:rsidTr="001B330E">
        <w:trPr>
          <w:trHeight w:val="23"/>
        </w:trPr>
        <w:tc>
          <w:tcPr>
            <w:tcW w:w="1865" w:type="pct"/>
            <w:vAlign w:val="bottom"/>
          </w:tcPr>
          <w:p w14:paraId="509EF47F"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Municipal bonds</w:t>
            </w:r>
          </w:p>
        </w:tc>
        <w:tc>
          <w:tcPr>
            <w:tcW w:w="448" w:type="pct"/>
            <w:vAlign w:val="bottom"/>
          </w:tcPr>
          <w:p w14:paraId="7D1679E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24FCE5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AAAB7D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25B98B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EFE3D4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A81D1C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15A1C0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45C8540" w14:textId="77777777" w:rsidTr="001B330E">
        <w:trPr>
          <w:trHeight w:val="23"/>
        </w:trPr>
        <w:tc>
          <w:tcPr>
            <w:tcW w:w="1865" w:type="pct"/>
            <w:vAlign w:val="bottom"/>
          </w:tcPr>
          <w:p w14:paraId="201E818F"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Corporate bonds</w:t>
            </w:r>
          </w:p>
        </w:tc>
        <w:tc>
          <w:tcPr>
            <w:tcW w:w="448" w:type="pct"/>
            <w:vAlign w:val="bottom"/>
          </w:tcPr>
          <w:p w14:paraId="4D5D1B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7F4BB1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2BA470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F43EA6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B844BD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D5EF39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5EB4AC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A05BA54" w14:textId="77777777" w:rsidTr="001B330E">
        <w:trPr>
          <w:trHeight w:val="23"/>
        </w:trPr>
        <w:tc>
          <w:tcPr>
            <w:tcW w:w="1865" w:type="pct"/>
            <w:vAlign w:val="bottom"/>
          </w:tcPr>
          <w:p w14:paraId="7C70DC5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Investments in mutual funds</w:t>
            </w:r>
          </w:p>
        </w:tc>
        <w:tc>
          <w:tcPr>
            <w:tcW w:w="448" w:type="pct"/>
            <w:vAlign w:val="bottom"/>
          </w:tcPr>
          <w:p w14:paraId="10C0D0C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015B1A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B4DA50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CC077A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EBA01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0DD426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34A074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AD351E1" w14:textId="77777777" w:rsidTr="001B330E">
        <w:trPr>
          <w:trHeight w:val="23"/>
        </w:trPr>
        <w:tc>
          <w:tcPr>
            <w:tcW w:w="1865" w:type="pct"/>
            <w:vAlign w:val="bottom"/>
          </w:tcPr>
          <w:p w14:paraId="78CA27AA"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Promissory notes</w:t>
            </w:r>
          </w:p>
        </w:tc>
        <w:tc>
          <w:tcPr>
            <w:tcW w:w="448" w:type="pct"/>
            <w:vAlign w:val="bottom"/>
          </w:tcPr>
          <w:p w14:paraId="7E60AE5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E0C92D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36B646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9F8AD9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429888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868504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64DBAEF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297C4E0" w14:textId="77777777" w:rsidTr="001B330E">
        <w:trPr>
          <w:trHeight w:val="23"/>
        </w:trPr>
        <w:tc>
          <w:tcPr>
            <w:tcW w:w="1865" w:type="pct"/>
            <w:vAlign w:val="bottom"/>
          </w:tcPr>
          <w:p w14:paraId="77F90804"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Investments in equity securities</w:t>
            </w:r>
          </w:p>
        </w:tc>
        <w:tc>
          <w:tcPr>
            <w:tcW w:w="448" w:type="pct"/>
            <w:vAlign w:val="bottom"/>
          </w:tcPr>
          <w:p w14:paraId="27B5752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75BD14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8794E0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0B3B22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8C701F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5A38BF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E3C83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E59E7CE" w14:textId="77777777" w:rsidTr="001B330E">
        <w:trPr>
          <w:trHeight w:val="23"/>
        </w:trPr>
        <w:tc>
          <w:tcPr>
            <w:tcW w:w="1865" w:type="pct"/>
            <w:vAlign w:val="bottom"/>
          </w:tcPr>
          <w:p w14:paraId="4368BB16" w14:textId="77777777" w:rsidR="00D83E33" w:rsidRPr="001B330E" w:rsidRDefault="00BC4072" w:rsidP="001B330E">
            <w:pPr>
              <w:widowControl w:val="0"/>
              <w:ind w:left="113" w:hanging="113"/>
              <w:rPr>
                <w:sz w:val="17"/>
                <w:szCs w:val="17"/>
              </w:rPr>
            </w:pPr>
            <w:r w:rsidRPr="001B330E">
              <w:rPr>
                <w:sz w:val="17"/>
                <w:szCs w:val="17"/>
              </w:rPr>
              <w:t>- Corporate shares</w:t>
            </w:r>
          </w:p>
        </w:tc>
        <w:tc>
          <w:tcPr>
            <w:tcW w:w="448" w:type="pct"/>
            <w:vAlign w:val="bottom"/>
          </w:tcPr>
          <w:p w14:paraId="23DE229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BE2E94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B1B44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032B11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3BFCF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087C0F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3033D7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ADB4161" w14:textId="77777777" w:rsidTr="001B330E">
        <w:trPr>
          <w:trHeight w:val="23"/>
        </w:trPr>
        <w:tc>
          <w:tcPr>
            <w:tcW w:w="1865" w:type="pct"/>
            <w:vAlign w:val="bottom"/>
          </w:tcPr>
          <w:p w14:paraId="6A1EA10D" w14:textId="77777777" w:rsidR="00D83E33" w:rsidRPr="001B330E" w:rsidRDefault="00BC4072" w:rsidP="001B330E">
            <w:pPr>
              <w:widowControl w:val="0"/>
              <w:ind w:left="113" w:hanging="113"/>
              <w:rPr>
                <w:sz w:val="17"/>
                <w:szCs w:val="17"/>
              </w:rPr>
            </w:pPr>
            <w:r w:rsidRPr="001B330E">
              <w:rPr>
                <w:sz w:val="17"/>
                <w:szCs w:val="17"/>
              </w:rPr>
              <w:t>- American depositary receipts (ADR)</w:t>
            </w:r>
          </w:p>
        </w:tc>
        <w:tc>
          <w:tcPr>
            <w:tcW w:w="448" w:type="pct"/>
            <w:vAlign w:val="bottom"/>
          </w:tcPr>
          <w:p w14:paraId="34155A0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22C4E8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8CD9E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355180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287627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ED84EB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B51594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77BE470" w14:textId="77777777" w:rsidTr="001B330E">
        <w:trPr>
          <w:trHeight w:val="23"/>
        </w:trPr>
        <w:tc>
          <w:tcPr>
            <w:tcW w:w="1865" w:type="pct"/>
            <w:vAlign w:val="bottom"/>
          </w:tcPr>
          <w:p w14:paraId="1867E362" w14:textId="77777777" w:rsidR="00D83E33" w:rsidRPr="001B330E" w:rsidRDefault="00D83E33" w:rsidP="001B330E">
            <w:pPr>
              <w:widowControl w:val="0"/>
              <w:ind w:left="113" w:hanging="113"/>
              <w:rPr>
                <w:sz w:val="17"/>
                <w:szCs w:val="17"/>
              </w:rPr>
            </w:pPr>
          </w:p>
        </w:tc>
        <w:tc>
          <w:tcPr>
            <w:tcW w:w="448" w:type="pct"/>
            <w:vAlign w:val="bottom"/>
          </w:tcPr>
          <w:p w14:paraId="648AE27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F1EF47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194DE5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72234B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64C9E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463CF0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640AA57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0B0B74C" w14:textId="77777777" w:rsidTr="001B330E">
        <w:trPr>
          <w:trHeight w:val="23"/>
        </w:trPr>
        <w:tc>
          <w:tcPr>
            <w:tcW w:w="1865" w:type="pct"/>
            <w:vAlign w:val="bottom"/>
          </w:tcPr>
          <w:p w14:paraId="36F7545C" w14:textId="55605A4A" w:rsidR="00D83E33" w:rsidRPr="001B330E" w:rsidRDefault="00BC4072" w:rsidP="001B330E">
            <w:pPr>
              <w:widowControl w:val="0"/>
              <w:ind w:left="113" w:hanging="113"/>
              <w:rPr>
                <w:sz w:val="17"/>
                <w:szCs w:val="17"/>
              </w:rPr>
            </w:pPr>
            <w:r w:rsidRPr="001B330E">
              <w:rPr>
                <w:sz w:val="17"/>
                <w:szCs w:val="17"/>
              </w:rPr>
              <w:t xml:space="preserve">- Global depositary receipts (GDR) </w:t>
            </w:r>
          </w:p>
        </w:tc>
        <w:tc>
          <w:tcPr>
            <w:tcW w:w="448" w:type="pct"/>
            <w:vAlign w:val="bottom"/>
          </w:tcPr>
          <w:p w14:paraId="496C25B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4EEA9B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2F227C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EECC3A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C1AA6A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578052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686A4A4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707BB03" w14:textId="77777777" w:rsidTr="001B330E">
        <w:trPr>
          <w:trHeight w:val="23"/>
        </w:trPr>
        <w:tc>
          <w:tcPr>
            <w:tcW w:w="1865" w:type="pct"/>
            <w:vAlign w:val="bottom"/>
          </w:tcPr>
          <w:p w14:paraId="2674C437"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Loans and advances to customers</w:t>
            </w:r>
          </w:p>
        </w:tc>
        <w:tc>
          <w:tcPr>
            <w:tcW w:w="448" w:type="pct"/>
            <w:vAlign w:val="bottom"/>
          </w:tcPr>
          <w:p w14:paraId="6898312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1A2370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724DDA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C593E8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6C033C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68F53B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38BD8C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5E88A46" w14:textId="77777777" w:rsidTr="001B330E">
        <w:trPr>
          <w:trHeight w:val="23"/>
        </w:trPr>
        <w:tc>
          <w:tcPr>
            <w:tcW w:w="1865" w:type="pct"/>
            <w:vAlign w:val="bottom"/>
          </w:tcPr>
          <w:p w14:paraId="1E9E1378" w14:textId="77777777" w:rsidR="00D83E33" w:rsidRPr="001B330E" w:rsidRDefault="00BC4072" w:rsidP="001B330E">
            <w:pPr>
              <w:widowControl w:val="0"/>
              <w:pBdr>
                <w:top w:val="nil"/>
                <w:left w:val="nil"/>
                <w:bottom w:val="nil"/>
                <w:right w:val="nil"/>
                <w:between w:val="nil"/>
              </w:pBdr>
              <w:ind w:left="113" w:hanging="113"/>
              <w:rPr>
                <w:b/>
                <w:color w:val="000000"/>
                <w:sz w:val="17"/>
                <w:szCs w:val="17"/>
              </w:rPr>
            </w:pPr>
            <w:r w:rsidRPr="001B330E">
              <w:rPr>
                <w:color w:val="000000"/>
                <w:sz w:val="17"/>
                <w:szCs w:val="17"/>
              </w:rPr>
              <w:t>- Standard lending</w:t>
            </w:r>
          </w:p>
        </w:tc>
        <w:tc>
          <w:tcPr>
            <w:tcW w:w="448" w:type="pct"/>
            <w:vAlign w:val="bottom"/>
          </w:tcPr>
          <w:p w14:paraId="315DB0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25AF3C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64729C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319B2B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BEB16D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4D8EF1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158C77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86B0D3B" w14:textId="77777777" w:rsidTr="001B330E">
        <w:trPr>
          <w:trHeight w:val="23"/>
        </w:trPr>
        <w:tc>
          <w:tcPr>
            <w:tcW w:w="1865" w:type="pct"/>
            <w:vAlign w:val="bottom"/>
          </w:tcPr>
          <w:p w14:paraId="750D973D"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Specialised lending</w:t>
            </w:r>
          </w:p>
        </w:tc>
        <w:tc>
          <w:tcPr>
            <w:tcW w:w="448" w:type="pct"/>
            <w:vAlign w:val="bottom"/>
          </w:tcPr>
          <w:p w14:paraId="256FEA1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174094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B941CD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C2250B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B7F981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8FB27E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637094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11DD2F5" w14:textId="77777777" w:rsidTr="001B330E">
        <w:trPr>
          <w:trHeight w:val="23"/>
        </w:trPr>
        <w:tc>
          <w:tcPr>
            <w:tcW w:w="1865" w:type="pct"/>
            <w:vAlign w:val="bottom"/>
          </w:tcPr>
          <w:p w14:paraId="4DE76B9F"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Loans to sovereigns</w:t>
            </w:r>
          </w:p>
        </w:tc>
        <w:tc>
          <w:tcPr>
            <w:tcW w:w="448" w:type="pct"/>
            <w:vAlign w:val="bottom"/>
          </w:tcPr>
          <w:p w14:paraId="42188EC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32A1DD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1C8A29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913607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769742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398CBD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7D1A7C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DC647B1" w14:textId="77777777" w:rsidTr="001B330E">
        <w:trPr>
          <w:trHeight w:val="23"/>
        </w:trPr>
        <w:tc>
          <w:tcPr>
            <w:tcW w:w="1865" w:type="pct"/>
            <w:vAlign w:val="bottom"/>
          </w:tcPr>
          <w:p w14:paraId="0032E929"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Loans to sub-sovereigns</w:t>
            </w:r>
          </w:p>
        </w:tc>
        <w:tc>
          <w:tcPr>
            <w:tcW w:w="448" w:type="pct"/>
            <w:vAlign w:val="bottom"/>
          </w:tcPr>
          <w:p w14:paraId="3C27697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F04D9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81C26F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B0E77B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512851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2896BC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CF8544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E060128" w14:textId="77777777" w:rsidTr="001B330E">
        <w:trPr>
          <w:trHeight w:val="23"/>
        </w:trPr>
        <w:tc>
          <w:tcPr>
            <w:tcW w:w="1865" w:type="pct"/>
            <w:vAlign w:val="bottom"/>
          </w:tcPr>
          <w:p w14:paraId="2AB91C9B"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Loans to SME</w:t>
            </w:r>
          </w:p>
        </w:tc>
        <w:tc>
          <w:tcPr>
            <w:tcW w:w="448" w:type="pct"/>
            <w:vAlign w:val="bottom"/>
          </w:tcPr>
          <w:p w14:paraId="1A8B2ED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890C15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4566B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278CD8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F70A17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EEFE0C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38FC85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BBB2309" w14:textId="77777777" w:rsidTr="001B330E">
        <w:trPr>
          <w:trHeight w:val="23"/>
        </w:trPr>
        <w:tc>
          <w:tcPr>
            <w:tcW w:w="1865" w:type="pct"/>
            <w:vAlign w:val="bottom"/>
          </w:tcPr>
          <w:p w14:paraId="77673B1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Loans to leasing companies</w:t>
            </w:r>
          </w:p>
        </w:tc>
        <w:tc>
          <w:tcPr>
            <w:tcW w:w="448" w:type="pct"/>
            <w:vAlign w:val="bottom"/>
          </w:tcPr>
          <w:p w14:paraId="4E51C56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20FE71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72197A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EC2C46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0F5266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7CF948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182386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CC76EFC" w14:textId="77777777" w:rsidTr="001B330E">
        <w:trPr>
          <w:trHeight w:val="23"/>
        </w:trPr>
        <w:tc>
          <w:tcPr>
            <w:tcW w:w="1865" w:type="pct"/>
            <w:vAlign w:val="bottom"/>
          </w:tcPr>
          <w:p w14:paraId="453BD2BB"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Reverse sale and repurchase agreement</w:t>
            </w:r>
          </w:p>
        </w:tc>
        <w:tc>
          <w:tcPr>
            <w:tcW w:w="448" w:type="pct"/>
            <w:vAlign w:val="bottom"/>
          </w:tcPr>
          <w:p w14:paraId="23102E3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EC8FAF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F50EE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EE9386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426B61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C2574C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3FE45C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765CA6D" w14:textId="77777777" w:rsidTr="001B330E">
        <w:trPr>
          <w:trHeight w:val="23"/>
        </w:trPr>
        <w:tc>
          <w:tcPr>
            <w:tcW w:w="1865" w:type="pct"/>
            <w:vAlign w:val="bottom"/>
          </w:tcPr>
          <w:p w14:paraId="29F979E9"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Mortgage loans</w:t>
            </w:r>
          </w:p>
        </w:tc>
        <w:tc>
          <w:tcPr>
            <w:tcW w:w="448" w:type="pct"/>
            <w:vAlign w:val="bottom"/>
          </w:tcPr>
          <w:p w14:paraId="62C6BA9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CF1B9C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070EF9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7A46E1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A1F3F7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BD2A86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B9327A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9A7EEE8" w14:textId="77777777" w:rsidTr="001B330E">
        <w:trPr>
          <w:trHeight w:val="23"/>
        </w:trPr>
        <w:tc>
          <w:tcPr>
            <w:tcW w:w="1865" w:type="pct"/>
            <w:vAlign w:val="bottom"/>
          </w:tcPr>
          <w:p w14:paraId="27138261"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Consumer loans</w:t>
            </w:r>
          </w:p>
        </w:tc>
        <w:tc>
          <w:tcPr>
            <w:tcW w:w="448" w:type="pct"/>
            <w:vAlign w:val="bottom"/>
          </w:tcPr>
          <w:p w14:paraId="327D81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3D849C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B939A0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88901F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B1D51A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ED21C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DAAB9D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D77263B" w14:textId="77777777" w:rsidTr="001B330E">
        <w:trPr>
          <w:trHeight w:val="23"/>
        </w:trPr>
        <w:tc>
          <w:tcPr>
            <w:tcW w:w="1865" w:type="pct"/>
            <w:vAlign w:val="bottom"/>
          </w:tcPr>
          <w:p w14:paraId="0A84FB8C"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Car loans</w:t>
            </w:r>
          </w:p>
        </w:tc>
        <w:tc>
          <w:tcPr>
            <w:tcW w:w="448" w:type="pct"/>
            <w:vAlign w:val="bottom"/>
          </w:tcPr>
          <w:p w14:paraId="2AB2E5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C15901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24515B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F5E43F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E62A06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8AFFC9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27AD62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5C19139" w14:textId="77777777" w:rsidTr="001B330E">
        <w:trPr>
          <w:trHeight w:val="23"/>
        </w:trPr>
        <w:tc>
          <w:tcPr>
            <w:tcW w:w="1865" w:type="pct"/>
            <w:vAlign w:val="bottom"/>
          </w:tcPr>
          <w:p w14:paraId="3F0293E1"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Credit cards</w:t>
            </w:r>
          </w:p>
        </w:tc>
        <w:tc>
          <w:tcPr>
            <w:tcW w:w="448" w:type="pct"/>
            <w:vAlign w:val="bottom"/>
          </w:tcPr>
          <w:p w14:paraId="60EFEE8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F9EE8C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E548FB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D1ABB6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593EFF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7692A7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88E4A3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4B18F88B" w14:textId="77777777" w:rsidTr="001B330E">
        <w:trPr>
          <w:trHeight w:val="23"/>
        </w:trPr>
        <w:tc>
          <w:tcPr>
            <w:tcW w:w="1865" w:type="pct"/>
            <w:vAlign w:val="bottom"/>
          </w:tcPr>
          <w:p w14:paraId="3DECF380" w14:textId="5117CA70" w:rsidR="00D83E33" w:rsidRPr="001B330E" w:rsidRDefault="00D83E33" w:rsidP="001B330E">
            <w:pPr>
              <w:widowControl w:val="0"/>
              <w:pBdr>
                <w:top w:val="nil"/>
                <w:left w:val="nil"/>
                <w:bottom w:val="nil"/>
                <w:right w:val="nil"/>
                <w:between w:val="nil"/>
              </w:pBdr>
              <w:ind w:left="113" w:hanging="113"/>
              <w:rPr>
                <w:i/>
                <w:color w:val="FF0000"/>
                <w:sz w:val="17"/>
                <w:szCs w:val="17"/>
              </w:rPr>
            </w:pPr>
          </w:p>
        </w:tc>
        <w:tc>
          <w:tcPr>
            <w:tcW w:w="448" w:type="pct"/>
            <w:vAlign w:val="bottom"/>
          </w:tcPr>
          <w:p w14:paraId="46464D6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213D1A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D5E520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67D9B0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BB1362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87680F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53EF3B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0AE022E" w14:textId="77777777" w:rsidTr="001B330E">
        <w:trPr>
          <w:trHeight w:val="23"/>
        </w:trPr>
        <w:tc>
          <w:tcPr>
            <w:tcW w:w="1865" w:type="pct"/>
            <w:vAlign w:val="bottom"/>
          </w:tcPr>
          <w:p w14:paraId="1803BB66"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Repurchase receivables</w:t>
            </w:r>
          </w:p>
        </w:tc>
        <w:tc>
          <w:tcPr>
            <w:tcW w:w="448" w:type="pct"/>
            <w:vAlign w:val="bottom"/>
          </w:tcPr>
          <w:p w14:paraId="6238F5C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E3A605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08F8DA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E3B010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8A3924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62FB01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E835DB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8AA741E" w14:textId="77777777" w:rsidTr="001B330E">
        <w:trPr>
          <w:trHeight w:val="23"/>
        </w:trPr>
        <w:tc>
          <w:tcPr>
            <w:tcW w:w="1865" w:type="pct"/>
            <w:vAlign w:val="bottom"/>
          </w:tcPr>
          <w:p w14:paraId="1E965F00" w14:textId="449A0D0C"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 </w:t>
            </w:r>
            <w:r w:rsidR="00372E26">
              <w:rPr>
                <w:color w:val="000000"/>
                <w:sz w:val="17"/>
                <w:szCs w:val="17"/>
              </w:rPr>
              <w:t>[Country]</w:t>
            </w:r>
            <w:r w:rsidRPr="001B330E">
              <w:rPr>
                <w:color w:val="000000"/>
                <w:sz w:val="17"/>
                <w:szCs w:val="17"/>
              </w:rPr>
              <w:t xml:space="preserve"> government bonds</w:t>
            </w:r>
          </w:p>
        </w:tc>
        <w:tc>
          <w:tcPr>
            <w:tcW w:w="448" w:type="pct"/>
            <w:vAlign w:val="bottom"/>
          </w:tcPr>
          <w:p w14:paraId="09C7570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F613FD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0DBE93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F8E93F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BCFFC7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514695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B1A3D3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6CBCAEA" w14:textId="77777777" w:rsidTr="001B330E">
        <w:trPr>
          <w:trHeight w:val="23"/>
        </w:trPr>
        <w:tc>
          <w:tcPr>
            <w:tcW w:w="1865" w:type="pct"/>
            <w:vAlign w:val="bottom"/>
          </w:tcPr>
          <w:p w14:paraId="24849D2C"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Municipal bonds</w:t>
            </w:r>
          </w:p>
        </w:tc>
        <w:tc>
          <w:tcPr>
            <w:tcW w:w="448" w:type="pct"/>
            <w:vAlign w:val="bottom"/>
          </w:tcPr>
          <w:p w14:paraId="0E8E78F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AC2E59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1ED6C4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C5FA4A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C3C71C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5E6F58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8671CE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7A90934" w14:textId="77777777" w:rsidTr="001B330E">
        <w:trPr>
          <w:trHeight w:val="23"/>
        </w:trPr>
        <w:tc>
          <w:tcPr>
            <w:tcW w:w="1865" w:type="pct"/>
            <w:vAlign w:val="bottom"/>
          </w:tcPr>
          <w:p w14:paraId="3334516B"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Corporate bonds</w:t>
            </w:r>
          </w:p>
        </w:tc>
        <w:tc>
          <w:tcPr>
            <w:tcW w:w="448" w:type="pct"/>
            <w:vAlign w:val="bottom"/>
          </w:tcPr>
          <w:p w14:paraId="79244A9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04F53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E4660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CEB6C1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E9F495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FCE2A8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0341A02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1337E44" w14:textId="77777777" w:rsidTr="001B330E">
        <w:trPr>
          <w:trHeight w:val="23"/>
        </w:trPr>
        <w:tc>
          <w:tcPr>
            <w:tcW w:w="1865" w:type="pct"/>
            <w:vAlign w:val="bottom"/>
          </w:tcPr>
          <w:p w14:paraId="7AD2C2F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Promissory notes</w:t>
            </w:r>
          </w:p>
        </w:tc>
        <w:tc>
          <w:tcPr>
            <w:tcW w:w="448" w:type="pct"/>
            <w:vAlign w:val="bottom"/>
          </w:tcPr>
          <w:p w14:paraId="028F767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4C062A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395C66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3E992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2B532A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C6449B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6E6CDBA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4AB50CF" w14:textId="77777777" w:rsidTr="001B330E">
        <w:trPr>
          <w:trHeight w:val="23"/>
        </w:trPr>
        <w:tc>
          <w:tcPr>
            <w:tcW w:w="1865" w:type="pct"/>
            <w:vAlign w:val="bottom"/>
          </w:tcPr>
          <w:p w14:paraId="0F7FE66D"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Corporate shares</w:t>
            </w:r>
          </w:p>
        </w:tc>
        <w:tc>
          <w:tcPr>
            <w:tcW w:w="448" w:type="pct"/>
            <w:vAlign w:val="bottom"/>
          </w:tcPr>
          <w:p w14:paraId="38B7906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52BB11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835618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2EB24E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1F46A5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8A182E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37286B5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EAA8D9F" w14:textId="77777777" w:rsidTr="001B330E">
        <w:trPr>
          <w:trHeight w:val="23"/>
        </w:trPr>
        <w:tc>
          <w:tcPr>
            <w:tcW w:w="1865" w:type="pct"/>
            <w:vAlign w:val="bottom"/>
          </w:tcPr>
          <w:p w14:paraId="5B47EB5E"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American depositary receipts (ADR)</w:t>
            </w:r>
          </w:p>
        </w:tc>
        <w:tc>
          <w:tcPr>
            <w:tcW w:w="448" w:type="pct"/>
            <w:vAlign w:val="bottom"/>
          </w:tcPr>
          <w:p w14:paraId="711D4A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BC5591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CF75CD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8B242C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9B8CAD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14AB8A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4A9AC5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6BC8A1FF" w14:textId="77777777" w:rsidTr="001B330E">
        <w:trPr>
          <w:trHeight w:val="23"/>
        </w:trPr>
        <w:tc>
          <w:tcPr>
            <w:tcW w:w="1865" w:type="pct"/>
            <w:vAlign w:val="bottom"/>
          </w:tcPr>
          <w:p w14:paraId="6007D943"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Investments in mutual funds</w:t>
            </w:r>
          </w:p>
        </w:tc>
        <w:tc>
          <w:tcPr>
            <w:tcW w:w="448" w:type="pct"/>
            <w:vAlign w:val="bottom"/>
          </w:tcPr>
          <w:p w14:paraId="2826CAA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338AD3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05B488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8F9C8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19CC3F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616E5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772022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73F98F5" w14:textId="77777777" w:rsidTr="001B330E">
        <w:trPr>
          <w:trHeight w:val="23"/>
        </w:trPr>
        <w:tc>
          <w:tcPr>
            <w:tcW w:w="1865" w:type="pct"/>
            <w:vAlign w:val="bottom"/>
          </w:tcPr>
          <w:p w14:paraId="0AFBB724" w14:textId="18BE1BE8"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xml:space="preserve">- Global depositary receipts (GDR) </w:t>
            </w:r>
          </w:p>
        </w:tc>
        <w:tc>
          <w:tcPr>
            <w:tcW w:w="448" w:type="pct"/>
            <w:vAlign w:val="bottom"/>
          </w:tcPr>
          <w:p w14:paraId="75AD8B2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DC08EB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F30E9C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284B66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856823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9CEF21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32A425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2BE13724" w14:textId="77777777" w:rsidTr="001B330E">
        <w:trPr>
          <w:trHeight w:val="23"/>
        </w:trPr>
        <w:tc>
          <w:tcPr>
            <w:tcW w:w="1865" w:type="pct"/>
            <w:vAlign w:val="bottom"/>
          </w:tcPr>
          <w:p w14:paraId="3DDBE64A" w14:textId="77777777" w:rsidR="00D83E33" w:rsidRPr="001B330E" w:rsidRDefault="00BC4072" w:rsidP="001B330E">
            <w:pPr>
              <w:widowControl w:val="0"/>
              <w:pBdr>
                <w:top w:val="nil"/>
                <w:left w:val="nil"/>
                <w:bottom w:val="nil"/>
                <w:right w:val="nil"/>
                <w:between w:val="nil"/>
              </w:pBdr>
              <w:ind w:left="113" w:hanging="113"/>
              <w:rPr>
                <w:b/>
                <w:i/>
                <w:color w:val="000000"/>
                <w:sz w:val="17"/>
                <w:szCs w:val="17"/>
              </w:rPr>
            </w:pPr>
            <w:r w:rsidRPr="001B330E">
              <w:rPr>
                <w:b/>
                <w:i/>
                <w:color w:val="000000"/>
                <w:sz w:val="17"/>
                <w:szCs w:val="17"/>
              </w:rPr>
              <w:t>Other financial assets:</w:t>
            </w:r>
          </w:p>
        </w:tc>
        <w:tc>
          <w:tcPr>
            <w:tcW w:w="448" w:type="pct"/>
            <w:vAlign w:val="bottom"/>
          </w:tcPr>
          <w:p w14:paraId="381E855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5ED458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A90078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27CCF1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9203B3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48C220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F02DC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C1284A0" w14:textId="77777777" w:rsidTr="001B330E">
        <w:trPr>
          <w:trHeight w:val="23"/>
        </w:trPr>
        <w:tc>
          <w:tcPr>
            <w:tcW w:w="1865" w:type="pct"/>
            <w:vAlign w:val="bottom"/>
          </w:tcPr>
          <w:p w14:paraId="7A0D1832"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Trade receivables</w:t>
            </w:r>
          </w:p>
        </w:tc>
        <w:tc>
          <w:tcPr>
            <w:tcW w:w="448" w:type="pct"/>
            <w:vAlign w:val="bottom"/>
          </w:tcPr>
          <w:p w14:paraId="6366383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38862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23AF9F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B93908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71B8BA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6C9F1B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C49F39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AFAF155" w14:textId="77777777" w:rsidTr="001B330E">
        <w:trPr>
          <w:trHeight w:val="23"/>
        </w:trPr>
        <w:tc>
          <w:tcPr>
            <w:tcW w:w="1865" w:type="pct"/>
            <w:vAlign w:val="bottom"/>
          </w:tcPr>
          <w:p w14:paraId="4D76E4BC"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Finance lease receivables</w:t>
            </w:r>
          </w:p>
        </w:tc>
        <w:tc>
          <w:tcPr>
            <w:tcW w:w="448" w:type="pct"/>
            <w:vAlign w:val="bottom"/>
          </w:tcPr>
          <w:p w14:paraId="6531EEB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7A0BED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CC5694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C64FE0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972D4D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55B5A8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6CAD9A0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442DA7D" w14:textId="77777777" w:rsidTr="001B330E">
        <w:trPr>
          <w:trHeight w:val="23"/>
        </w:trPr>
        <w:tc>
          <w:tcPr>
            <w:tcW w:w="1865" w:type="pct"/>
            <w:vAlign w:val="bottom"/>
          </w:tcPr>
          <w:p w14:paraId="68092E35"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Credit and debit cards receivables</w:t>
            </w:r>
          </w:p>
        </w:tc>
        <w:tc>
          <w:tcPr>
            <w:tcW w:w="448" w:type="pct"/>
            <w:vAlign w:val="bottom"/>
          </w:tcPr>
          <w:p w14:paraId="433E896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12A590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0A68A9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01F47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B09BD3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FAE1A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54E348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896B369" w14:textId="77777777" w:rsidTr="001B330E">
        <w:trPr>
          <w:trHeight w:val="23"/>
        </w:trPr>
        <w:tc>
          <w:tcPr>
            <w:tcW w:w="1865" w:type="pct"/>
            <w:vAlign w:val="bottom"/>
          </w:tcPr>
          <w:p w14:paraId="43C4E260"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Settlements on conversion operations</w:t>
            </w:r>
          </w:p>
        </w:tc>
        <w:tc>
          <w:tcPr>
            <w:tcW w:w="448" w:type="pct"/>
            <w:vAlign w:val="bottom"/>
          </w:tcPr>
          <w:p w14:paraId="732D452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AC3DA6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69EF32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AE295B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196DEC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3EC785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1D08BF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BAD432A" w14:textId="77777777" w:rsidTr="001B330E">
        <w:trPr>
          <w:trHeight w:val="23"/>
        </w:trPr>
        <w:tc>
          <w:tcPr>
            <w:tcW w:w="1865" w:type="pct"/>
            <w:vAlign w:val="bottom"/>
          </w:tcPr>
          <w:p w14:paraId="286DA8D3"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Restricted cash</w:t>
            </w:r>
          </w:p>
        </w:tc>
        <w:tc>
          <w:tcPr>
            <w:tcW w:w="448" w:type="pct"/>
            <w:vAlign w:val="bottom"/>
          </w:tcPr>
          <w:p w14:paraId="11F26CC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C44357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FC3AC8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0BFC8B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884A59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3D1952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A52F5D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B15E6D2" w14:textId="77777777" w:rsidTr="001B330E">
        <w:trPr>
          <w:trHeight w:val="23"/>
        </w:trPr>
        <w:tc>
          <w:tcPr>
            <w:tcW w:w="1865" w:type="pct"/>
            <w:vAlign w:val="bottom"/>
          </w:tcPr>
          <w:p w14:paraId="40F6A635"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Foreign exchange forward contracts</w:t>
            </w:r>
          </w:p>
        </w:tc>
        <w:tc>
          <w:tcPr>
            <w:tcW w:w="448" w:type="pct"/>
            <w:vAlign w:val="bottom"/>
          </w:tcPr>
          <w:p w14:paraId="5153142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7B38C7E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C5AABE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D82CBC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DCFCCC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7F0FA4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2BEC1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08C8CA0" w14:textId="77777777" w:rsidTr="001B330E">
        <w:trPr>
          <w:trHeight w:val="23"/>
        </w:trPr>
        <w:tc>
          <w:tcPr>
            <w:tcW w:w="1865" w:type="pct"/>
            <w:vAlign w:val="bottom"/>
          </w:tcPr>
          <w:p w14:paraId="5244D0C4"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Precious metals forward contracts</w:t>
            </w:r>
          </w:p>
        </w:tc>
        <w:tc>
          <w:tcPr>
            <w:tcW w:w="448" w:type="pct"/>
            <w:vAlign w:val="bottom"/>
          </w:tcPr>
          <w:p w14:paraId="3509DE2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69D183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3B62AA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E9019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9421BBC"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82EDBC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18B345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381C8FA6" w14:textId="77777777" w:rsidTr="001B330E">
        <w:trPr>
          <w:trHeight w:val="23"/>
        </w:trPr>
        <w:tc>
          <w:tcPr>
            <w:tcW w:w="1865" w:type="pct"/>
            <w:vAlign w:val="bottom"/>
          </w:tcPr>
          <w:p w14:paraId="1AFB9F55"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Other financial derivatives</w:t>
            </w:r>
          </w:p>
        </w:tc>
        <w:tc>
          <w:tcPr>
            <w:tcW w:w="448" w:type="pct"/>
            <w:vAlign w:val="bottom"/>
          </w:tcPr>
          <w:p w14:paraId="421C451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1943D1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EF8166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E80946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35CB3B7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0B4451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ECAE0B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30A7B24" w14:textId="77777777" w:rsidTr="001B330E">
        <w:trPr>
          <w:trHeight w:val="23"/>
        </w:trPr>
        <w:tc>
          <w:tcPr>
            <w:tcW w:w="1865" w:type="pct"/>
            <w:vAlign w:val="bottom"/>
          </w:tcPr>
          <w:p w14:paraId="3ABF96BE" w14:textId="77777777" w:rsidR="00D83E33" w:rsidRPr="001B330E" w:rsidRDefault="00BC4072" w:rsidP="001B330E">
            <w:pPr>
              <w:widowControl w:val="0"/>
              <w:pBdr>
                <w:top w:val="nil"/>
                <w:left w:val="nil"/>
                <w:bottom w:val="nil"/>
                <w:right w:val="nil"/>
                <w:between w:val="nil"/>
              </w:pBdr>
              <w:ind w:left="113" w:hanging="113"/>
              <w:rPr>
                <w:i/>
                <w:color w:val="000000"/>
                <w:sz w:val="17"/>
                <w:szCs w:val="17"/>
              </w:rPr>
            </w:pPr>
            <w:r w:rsidRPr="001B330E">
              <w:rPr>
                <w:i/>
                <w:color w:val="000000"/>
                <w:sz w:val="17"/>
                <w:szCs w:val="17"/>
              </w:rPr>
              <w:t>- Other</w:t>
            </w:r>
          </w:p>
        </w:tc>
        <w:tc>
          <w:tcPr>
            <w:tcW w:w="448" w:type="pct"/>
            <w:vAlign w:val="bottom"/>
          </w:tcPr>
          <w:p w14:paraId="6306BCC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1485229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28DD8B2"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6BF019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08AC473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43592A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2648D46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126BA589" w14:textId="77777777" w:rsidTr="001B330E">
        <w:trPr>
          <w:trHeight w:val="23"/>
        </w:trPr>
        <w:tc>
          <w:tcPr>
            <w:tcW w:w="1865" w:type="pct"/>
            <w:tcBorders>
              <w:bottom w:val="single" w:sz="4" w:space="0" w:color="000000"/>
            </w:tcBorders>
            <w:vAlign w:val="bottom"/>
          </w:tcPr>
          <w:p w14:paraId="54230598"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w:t>
            </w:r>
          </w:p>
        </w:tc>
        <w:tc>
          <w:tcPr>
            <w:tcW w:w="448" w:type="pct"/>
            <w:tcBorders>
              <w:bottom w:val="single" w:sz="4" w:space="0" w:color="000000"/>
            </w:tcBorders>
            <w:vAlign w:val="bottom"/>
          </w:tcPr>
          <w:p w14:paraId="5E9A792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vAlign w:val="bottom"/>
          </w:tcPr>
          <w:p w14:paraId="67278ED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vAlign w:val="bottom"/>
          </w:tcPr>
          <w:p w14:paraId="739F794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vAlign w:val="bottom"/>
          </w:tcPr>
          <w:p w14:paraId="47FBF128"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vAlign w:val="bottom"/>
          </w:tcPr>
          <w:p w14:paraId="275F621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4" w:space="0" w:color="000000"/>
            </w:tcBorders>
            <w:vAlign w:val="bottom"/>
          </w:tcPr>
          <w:p w14:paraId="114244E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tcBorders>
              <w:bottom w:val="single" w:sz="4" w:space="0" w:color="000000"/>
            </w:tcBorders>
            <w:vAlign w:val="bottom"/>
          </w:tcPr>
          <w:p w14:paraId="36591447"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0697CD7C" w14:textId="77777777" w:rsidTr="001B330E">
        <w:trPr>
          <w:trHeight w:val="23"/>
        </w:trPr>
        <w:tc>
          <w:tcPr>
            <w:tcW w:w="1865" w:type="pct"/>
            <w:tcBorders>
              <w:top w:val="single" w:sz="4" w:space="0" w:color="000000"/>
            </w:tcBorders>
            <w:vAlign w:val="bottom"/>
          </w:tcPr>
          <w:p w14:paraId="46BA4605" w14:textId="77777777" w:rsidR="00D83E33" w:rsidRPr="001B330E" w:rsidRDefault="00BC4072" w:rsidP="001B330E">
            <w:pPr>
              <w:widowControl w:val="0"/>
              <w:pBdr>
                <w:top w:val="nil"/>
                <w:left w:val="nil"/>
                <w:bottom w:val="nil"/>
                <w:right w:val="nil"/>
                <w:between w:val="nil"/>
              </w:pBdr>
              <w:ind w:left="113" w:hanging="113"/>
              <w:rPr>
                <w:color w:val="000000"/>
                <w:sz w:val="17"/>
                <w:szCs w:val="17"/>
              </w:rPr>
            </w:pPr>
            <w:r w:rsidRPr="001B330E">
              <w:rPr>
                <w:color w:val="000000"/>
                <w:sz w:val="17"/>
                <w:szCs w:val="17"/>
              </w:rPr>
              <w:t> </w:t>
            </w:r>
          </w:p>
        </w:tc>
        <w:tc>
          <w:tcPr>
            <w:tcW w:w="448" w:type="pct"/>
            <w:tcBorders>
              <w:top w:val="single" w:sz="4" w:space="0" w:color="000000"/>
            </w:tcBorders>
            <w:vAlign w:val="bottom"/>
          </w:tcPr>
          <w:p w14:paraId="731D1211"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vAlign w:val="bottom"/>
          </w:tcPr>
          <w:p w14:paraId="3D4B17B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vAlign w:val="bottom"/>
          </w:tcPr>
          <w:p w14:paraId="04DA16A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vAlign w:val="bottom"/>
          </w:tcPr>
          <w:p w14:paraId="3DA40DF0"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vAlign w:val="bottom"/>
          </w:tcPr>
          <w:p w14:paraId="59B7810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top w:val="single" w:sz="4" w:space="0" w:color="000000"/>
            </w:tcBorders>
            <w:vAlign w:val="bottom"/>
          </w:tcPr>
          <w:p w14:paraId="6FDE0FBB"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tcBorders>
              <w:top w:val="single" w:sz="4" w:space="0" w:color="000000"/>
            </w:tcBorders>
            <w:vAlign w:val="bottom"/>
          </w:tcPr>
          <w:p w14:paraId="350E747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73C37149" w14:textId="77777777" w:rsidTr="001B330E">
        <w:trPr>
          <w:trHeight w:val="23"/>
        </w:trPr>
        <w:tc>
          <w:tcPr>
            <w:tcW w:w="1865" w:type="pct"/>
            <w:vAlign w:val="bottom"/>
          </w:tcPr>
          <w:p w14:paraId="08B2BB02" w14:textId="77777777" w:rsidR="00D83E33" w:rsidRPr="001B330E" w:rsidRDefault="00BC4072" w:rsidP="001B330E">
            <w:pPr>
              <w:widowControl w:val="0"/>
              <w:pBdr>
                <w:top w:val="nil"/>
                <w:left w:val="nil"/>
                <w:bottom w:val="nil"/>
                <w:right w:val="nil"/>
                <w:between w:val="nil"/>
              </w:pBdr>
              <w:ind w:left="113" w:hanging="113"/>
              <w:rPr>
                <w:b/>
                <w:smallCaps/>
                <w:color w:val="000000"/>
                <w:sz w:val="17"/>
                <w:szCs w:val="17"/>
              </w:rPr>
            </w:pPr>
            <w:r w:rsidRPr="001B330E">
              <w:rPr>
                <w:b/>
                <w:smallCaps/>
                <w:color w:val="000000"/>
                <w:sz w:val="17"/>
                <w:szCs w:val="17"/>
              </w:rPr>
              <w:t>TOTAL FINANCIAL ASSETS</w:t>
            </w:r>
          </w:p>
        </w:tc>
        <w:tc>
          <w:tcPr>
            <w:tcW w:w="448" w:type="pct"/>
            <w:vAlign w:val="bottom"/>
          </w:tcPr>
          <w:p w14:paraId="4BBCEE9A"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A1A709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535E719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693805FE"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254AC933"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vAlign w:val="bottom"/>
          </w:tcPr>
          <w:p w14:paraId="411580E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vAlign w:val="bottom"/>
          </w:tcPr>
          <w:p w14:paraId="70FEA31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r w:rsidR="00D83E33" w:rsidRPr="002762A6" w14:paraId="56C96134" w14:textId="77777777" w:rsidTr="001B330E">
        <w:trPr>
          <w:trHeight w:val="23"/>
        </w:trPr>
        <w:tc>
          <w:tcPr>
            <w:tcW w:w="1865" w:type="pct"/>
            <w:tcBorders>
              <w:bottom w:val="single" w:sz="12" w:space="0" w:color="000000"/>
            </w:tcBorders>
            <w:vAlign w:val="bottom"/>
          </w:tcPr>
          <w:p w14:paraId="2BDDE5BF" w14:textId="77777777" w:rsidR="00D83E33" w:rsidRPr="001B330E" w:rsidRDefault="00D83E33" w:rsidP="001B330E">
            <w:pPr>
              <w:widowControl w:val="0"/>
              <w:pBdr>
                <w:top w:val="nil"/>
                <w:left w:val="nil"/>
                <w:bottom w:val="nil"/>
                <w:right w:val="nil"/>
                <w:between w:val="nil"/>
              </w:pBdr>
              <w:ind w:left="113" w:hanging="113"/>
              <w:rPr>
                <w:color w:val="000000"/>
                <w:sz w:val="17"/>
                <w:szCs w:val="17"/>
              </w:rPr>
            </w:pPr>
          </w:p>
        </w:tc>
        <w:tc>
          <w:tcPr>
            <w:tcW w:w="448" w:type="pct"/>
            <w:tcBorders>
              <w:bottom w:val="single" w:sz="12" w:space="0" w:color="000000"/>
            </w:tcBorders>
            <w:vAlign w:val="bottom"/>
          </w:tcPr>
          <w:p w14:paraId="7AC39D56"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vAlign w:val="bottom"/>
          </w:tcPr>
          <w:p w14:paraId="3D77DAF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vAlign w:val="bottom"/>
          </w:tcPr>
          <w:p w14:paraId="3A18E15F"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vAlign w:val="bottom"/>
          </w:tcPr>
          <w:p w14:paraId="678ABB99"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vAlign w:val="bottom"/>
          </w:tcPr>
          <w:p w14:paraId="504BBE5D"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8" w:type="pct"/>
            <w:tcBorders>
              <w:bottom w:val="single" w:sz="12" w:space="0" w:color="000000"/>
            </w:tcBorders>
            <w:vAlign w:val="bottom"/>
          </w:tcPr>
          <w:p w14:paraId="04D2D134"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c>
          <w:tcPr>
            <w:tcW w:w="447" w:type="pct"/>
            <w:tcBorders>
              <w:bottom w:val="single" w:sz="12" w:space="0" w:color="000000"/>
            </w:tcBorders>
            <w:vAlign w:val="bottom"/>
          </w:tcPr>
          <w:p w14:paraId="26B05C15" w14:textId="77777777" w:rsidR="00D83E33" w:rsidRPr="001B330E" w:rsidRDefault="00D83E33" w:rsidP="001B330E">
            <w:pPr>
              <w:widowControl w:val="0"/>
              <w:pBdr>
                <w:top w:val="nil"/>
                <w:left w:val="nil"/>
                <w:bottom w:val="nil"/>
                <w:right w:val="nil"/>
                <w:between w:val="nil"/>
              </w:pBdr>
              <w:jc w:val="right"/>
              <w:rPr>
                <w:color w:val="000000"/>
                <w:sz w:val="17"/>
                <w:szCs w:val="17"/>
              </w:rPr>
            </w:pPr>
          </w:p>
        </w:tc>
      </w:tr>
    </w:tbl>
    <w:p w14:paraId="06A2DDFD" w14:textId="6F40EFD5" w:rsidR="00D83E33" w:rsidRDefault="00BC4072" w:rsidP="001B330E">
      <w:pPr>
        <w:pStyle w:val="Continued"/>
      </w:pPr>
      <w:r>
        <w:lastRenderedPageBreak/>
        <w:t>50</w:t>
      </w:r>
      <w:r>
        <w:tab/>
        <w:t>Presentation of Financial Instruments by Measurement Category (Continued)</w:t>
      </w:r>
    </w:p>
    <w:p w14:paraId="312ADB13" w14:textId="58229522"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As of 31</w:t>
      </w:r>
      <w:r w:rsidR="00181687">
        <w:rPr>
          <w:color w:val="000000"/>
          <w:sz w:val="20"/>
          <w:szCs w:val="20"/>
        </w:rPr>
        <w:t> December </w:t>
      </w:r>
      <w:r w:rsidR="00541EBC">
        <w:rPr>
          <w:color w:val="000000"/>
          <w:sz w:val="20"/>
          <w:szCs w:val="20"/>
        </w:rPr>
        <w:t>2024</w:t>
      </w:r>
      <w:r>
        <w:rPr>
          <w:color w:val="000000"/>
          <w:sz w:val="20"/>
          <w:szCs w:val="20"/>
        </w:rPr>
        <w:t xml:space="preserve"> and 31</w:t>
      </w:r>
      <w:r w:rsidR="00181687">
        <w:rPr>
          <w:color w:val="000000"/>
          <w:sz w:val="20"/>
          <w:szCs w:val="20"/>
        </w:rPr>
        <w:t> December </w:t>
      </w:r>
      <w:r w:rsidR="00541EBC">
        <w:rPr>
          <w:color w:val="000000"/>
          <w:sz w:val="20"/>
          <w:szCs w:val="20"/>
        </w:rPr>
        <w:t>2023</w:t>
      </w:r>
      <w:r>
        <w:rPr>
          <w:color w:val="000000"/>
          <w:sz w:val="20"/>
          <w:szCs w:val="20"/>
        </w:rPr>
        <w:t xml:space="preserve">, all of the Group’s financial liabilities except for derivatives </w:t>
      </w:r>
      <w:r>
        <w:rPr>
          <w:color w:val="0000FF"/>
          <w:sz w:val="20"/>
          <w:szCs w:val="20"/>
        </w:rPr>
        <w:t xml:space="preserve">[, liabilities to return collateral sold or repledged and </w:t>
      </w:r>
      <w:r w:rsidR="00EB510C">
        <w:rPr>
          <w:color w:val="0000FF"/>
          <w:sz w:val="20"/>
          <w:szCs w:val="20"/>
        </w:rPr>
        <w:t>other structured</w:t>
      </w:r>
      <w:r>
        <w:rPr>
          <w:color w:val="0000FF"/>
          <w:sz w:val="20"/>
          <w:szCs w:val="20"/>
        </w:rPr>
        <w:t xml:space="preserve"> funding designated at FVTPL at initial recognition (Note 24)]</w:t>
      </w:r>
      <w:r>
        <w:rPr>
          <w:color w:val="000000"/>
          <w:sz w:val="20"/>
          <w:szCs w:val="20"/>
        </w:rPr>
        <w:t xml:space="preserve"> were carried at AC.</w:t>
      </w:r>
    </w:p>
    <w:p w14:paraId="5423292A" w14:textId="77777777" w:rsidR="00D83E33" w:rsidRDefault="00BC4072" w:rsidP="00372E26">
      <w:pPr>
        <w:pStyle w:val="Heading1"/>
        <w:numPr>
          <w:ilvl w:val="0"/>
          <w:numId w:val="37"/>
        </w:numPr>
      </w:pPr>
      <w:bookmarkStart w:id="126" w:name="_Toc179196053"/>
      <w:r w:rsidRPr="002762A6">
        <w:t>Related</w:t>
      </w:r>
      <w:r>
        <w:t xml:space="preserve"> Party Transactions</w:t>
      </w:r>
      <w:bookmarkEnd w:id="126"/>
    </w:p>
    <w:p w14:paraId="63EF121D" w14:textId="77777777" w:rsidR="00D83E33" w:rsidRDefault="00BC4072" w:rsidP="001B330E">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Parties are generally considered to be related if the parties are under common control, or one party has the ability to control the other party or can exercise significant influence over the other party in making financial or operational decisions. In considering each possible related party relationship, attention is directed to the substance of the relationship, not merely the legal form. </w:t>
      </w:r>
    </w:p>
    <w:p w14:paraId="6596C4EA" w14:textId="5041585D" w:rsidR="00D83E33" w:rsidRDefault="00BC4072" w:rsidP="001B330E">
      <w:pPr>
        <w:widowControl w:val="0"/>
        <w:pBdr>
          <w:top w:val="nil"/>
          <w:left w:val="nil"/>
          <w:bottom w:val="nil"/>
          <w:right w:val="nil"/>
          <w:between w:val="nil"/>
        </w:pBdr>
        <w:spacing w:before="200" w:after="200"/>
        <w:jc w:val="both"/>
        <w:rPr>
          <w:i/>
          <w:color w:val="FF0000"/>
          <w:sz w:val="20"/>
          <w:szCs w:val="20"/>
        </w:rPr>
      </w:pPr>
      <w:r>
        <w:rPr>
          <w:color w:val="000000"/>
          <w:sz w:val="20"/>
          <w:szCs w:val="20"/>
        </w:rPr>
        <w:t>At 31</w:t>
      </w:r>
      <w:r w:rsidR="00181687">
        <w:rPr>
          <w:color w:val="000000"/>
          <w:sz w:val="20"/>
          <w:szCs w:val="20"/>
        </w:rPr>
        <w:t> December </w:t>
      </w:r>
      <w:r w:rsidR="00541EBC">
        <w:rPr>
          <w:color w:val="000000"/>
          <w:sz w:val="20"/>
          <w:szCs w:val="20"/>
        </w:rPr>
        <w:t>2024</w:t>
      </w:r>
      <w:r>
        <w:rPr>
          <w:color w:val="000000"/>
          <w:sz w:val="20"/>
          <w:szCs w:val="20"/>
        </w:rPr>
        <w:t xml:space="preserve">, the outstanding balances with related parties were as follows: </w:t>
      </w:r>
    </w:p>
    <w:tbl>
      <w:tblPr>
        <w:tblStyle w:val="afffffffffffffffff4"/>
        <w:tblW w:w="5000" w:type="pct"/>
        <w:tblLayout w:type="fixed"/>
        <w:tblLook w:val="0000" w:firstRow="0" w:lastRow="0" w:firstColumn="0" w:lastColumn="0" w:noHBand="0" w:noVBand="0"/>
      </w:tblPr>
      <w:tblGrid>
        <w:gridCol w:w="2691"/>
        <w:gridCol w:w="953"/>
        <w:gridCol w:w="953"/>
        <w:gridCol w:w="952"/>
        <w:gridCol w:w="952"/>
        <w:gridCol w:w="952"/>
        <w:gridCol w:w="952"/>
        <w:gridCol w:w="950"/>
      </w:tblGrid>
      <w:tr w:rsidR="00D83E33" w:rsidRPr="00283A73" w14:paraId="00925DC0" w14:textId="77777777" w:rsidTr="001B330E">
        <w:trPr>
          <w:trHeight w:val="23"/>
          <w:tblHeader/>
        </w:trPr>
        <w:tc>
          <w:tcPr>
            <w:tcW w:w="1438" w:type="pct"/>
            <w:tcBorders>
              <w:bottom w:val="single" w:sz="4" w:space="0" w:color="000000"/>
            </w:tcBorders>
            <w:vAlign w:val="bottom"/>
          </w:tcPr>
          <w:p w14:paraId="640D31CD" w14:textId="797D1DB9" w:rsidR="00D83E33" w:rsidRPr="001B330E" w:rsidRDefault="00313B4D" w:rsidP="001B330E">
            <w:pPr>
              <w:widowControl w:val="0"/>
              <w:pBdr>
                <w:top w:val="nil"/>
                <w:left w:val="nil"/>
                <w:bottom w:val="nil"/>
                <w:right w:val="nil"/>
                <w:between w:val="nil"/>
              </w:pBdr>
              <w:ind w:left="113" w:hanging="113"/>
              <w:rPr>
                <w:b/>
                <w:i/>
                <w:color w:val="000000"/>
                <w:spacing w:val="-4"/>
              </w:rPr>
            </w:pPr>
            <w:r>
              <w:rPr>
                <w:i/>
                <w:color w:val="000000"/>
                <w:spacing w:val="-4"/>
              </w:rPr>
              <w:t xml:space="preserve">In thousands of </w:t>
            </w:r>
            <w:r w:rsidR="002649EE">
              <w:rPr>
                <w:i/>
                <w:color w:val="000000"/>
                <w:spacing w:val="-4"/>
              </w:rPr>
              <w:t>EUR</w:t>
            </w:r>
          </w:p>
        </w:tc>
        <w:tc>
          <w:tcPr>
            <w:tcW w:w="509" w:type="pct"/>
            <w:tcBorders>
              <w:bottom w:val="single" w:sz="4" w:space="0" w:color="000000"/>
            </w:tcBorders>
          </w:tcPr>
          <w:p w14:paraId="693C7BC8" w14:textId="77777777" w:rsidR="00D83E33" w:rsidRPr="001B330E" w:rsidRDefault="00BC4072" w:rsidP="001B330E">
            <w:pPr>
              <w:widowControl w:val="0"/>
              <w:pBdr>
                <w:top w:val="nil"/>
                <w:left w:val="nil"/>
                <w:bottom w:val="nil"/>
                <w:right w:val="nil"/>
                <w:between w:val="nil"/>
              </w:pBdr>
              <w:ind w:left="-113"/>
              <w:jc w:val="right"/>
              <w:rPr>
                <w:b/>
                <w:color w:val="000000"/>
                <w:spacing w:val="-4"/>
              </w:rPr>
            </w:pPr>
            <w:r w:rsidRPr="001B330E">
              <w:rPr>
                <w:b/>
                <w:color w:val="000000"/>
                <w:spacing w:val="-4"/>
              </w:rPr>
              <w:t>Immedi-ate parent company</w:t>
            </w:r>
          </w:p>
        </w:tc>
        <w:tc>
          <w:tcPr>
            <w:tcW w:w="509" w:type="pct"/>
            <w:tcBorders>
              <w:bottom w:val="single" w:sz="4" w:space="0" w:color="000000"/>
            </w:tcBorders>
          </w:tcPr>
          <w:p w14:paraId="5065A097" w14:textId="37C606A0" w:rsidR="00D83E33" w:rsidRPr="001B330E" w:rsidRDefault="00BC4072" w:rsidP="001B330E">
            <w:pPr>
              <w:widowControl w:val="0"/>
              <w:pBdr>
                <w:top w:val="nil"/>
                <w:left w:val="nil"/>
                <w:bottom w:val="nil"/>
                <w:right w:val="nil"/>
                <w:between w:val="nil"/>
              </w:pBdr>
              <w:ind w:left="-113"/>
              <w:jc w:val="right"/>
              <w:rPr>
                <w:b/>
                <w:color w:val="000000"/>
                <w:spacing w:val="-4"/>
              </w:rPr>
            </w:pPr>
            <w:r w:rsidRPr="001B330E">
              <w:rPr>
                <w:b/>
                <w:color w:val="000000"/>
                <w:spacing w:val="-4"/>
              </w:rPr>
              <w:t xml:space="preserve">Other </w:t>
            </w:r>
            <w:r w:rsidR="00FA2F22">
              <w:rPr>
                <w:b/>
                <w:color w:val="000000"/>
                <w:spacing w:val="-4"/>
              </w:rPr>
              <w:t>signifi-cant</w:t>
            </w:r>
            <w:r w:rsidRPr="001B330E">
              <w:rPr>
                <w:b/>
                <w:color w:val="000000"/>
                <w:spacing w:val="-4"/>
              </w:rPr>
              <w:t xml:space="preserve"> share-holders</w:t>
            </w:r>
          </w:p>
        </w:tc>
        <w:tc>
          <w:tcPr>
            <w:tcW w:w="509" w:type="pct"/>
            <w:tcBorders>
              <w:bottom w:val="single" w:sz="4" w:space="0" w:color="000000"/>
            </w:tcBorders>
          </w:tcPr>
          <w:p w14:paraId="65CEA123" w14:textId="77777777" w:rsidR="00D83E33" w:rsidRPr="001B330E" w:rsidRDefault="00BC4072" w:rsidP="001B330E">
            <w:pPr>
              <w:widowControl w:val="0"/>
              <w:pBdr>
                <w:top w:val="nil"/>
                <w:left w:val="nil"/>
                <w:bottom w:val="nil"/>
                <w:right w:val="nil"/>
                <w:between w:val="nil"/>
              </w:pBdr>
              <w:ind w:left="-113"/>
              <w:jc w:val="right"/>
              <w:rPr>
                <w:b/>
                <w:color w:val="0000FF"/>
                <w:spacing w:val="-4"/>
              </w:rPr>
            </w:pPr>
            <w:r w:rsidRPr="001B330E">
              <w:rPr>
                <w:b/>
                <w:color w:val="0000FF"/>
                <w:spacing w:val="-4"/>
              </w:rPr>
              <w:t>[Entities under common control]</w:t>
            </w:r>
          </w:p>
        </w:tc>
        <w:tc>
          <w:tcPr>
            <w:tcW w:w="509" w:type="pct"/>
            <w:tcBorders>
              <w:bottom w:val="single" w:sz="4" w:space="0" w:color="000000"/>
            </w:tcBorders>
          </w:tcPr>
          <w:p w14:paraId="4308A537" w14:textId="77777777" w:rsidR="00D83E33" w:rsidRPr="001B330E" w:rsidRDefault="00BC4072" w:rsidP="001B330E">
            <w:pPr>
              <w:widowControl w:val="0"/>
              <w:pBdr>
                <w:top w:val="nil"/>
                <w:left w:val="nil"/>
                <w:bottom w:val="nil"/>
                <w:right w:val="nil"/>
                <w:between w:val="nil"/>
              </w:pBdr>
              <w:ind w:left="-113"/>
              <w:jc w:val="right"/>
              <w:rPr>
                <w:b/>
                <w:color w:val="000000"/>
                <w:spacing w:val="-4"/>
              </w:rPr>
            </w:pPr>
            <w:r w:rsidRPr="001B330E">
              <w:rPr>
                <w:b/>
                <w:color w:val="000000"/>
                <w:spacing w:val="-4"/>
              </w:rPr>
              <w:t>Key manage-ment personnel</w:t>
            </w:r>
          </w:p>
        </w:tc>
        <w:tc>
          <w:tcPr>
            <w:tcW w:w="509" w:type="pct"/>
            <w:tcBorders>
              <w:bottom w:val="single" w:sz="4" w:space="0" w:color="000000"/>
            </w:tcBorders>
          </w:tcPr>
          <w:p w14:paraId="3DB6FF3B" w14:textId="77777777" w:rsidR="00D83E33" w:rsidRPr="001B330E" w:rsidRDefault="00BC4072" w:rsidP="001B330E">
            <w:pPr>
              <w:widowControl w:val="0"/>
              <w:pBdr>
                <w:top w:val="nil"/>
                <w:left w:val="nil"/>
                <w:bottom w:val="nil"/>
                <w:right w:val="nil"/>
                <w:between w:val="nil"/>
              </w:pBdr>
              <w:ind w:left="-113"/>
              <w:jc w:val="right"/>
              <w:rPr>
                <w:b/>
                <w:color w:val="000000"/>
                <w:spacing w:val="-4"/>
              </w:rPr>
            </w:pPr>
            <w:r w:rsidRPr="001B330E">
              <w:rPr>
                <w:b/>
                <w:color w:val="000000"/>
                <w:spacing w:val="-4"/>
              </w:rPr>
              <w:t>Asso-ciates</w:t>
            </w:r>
          </w:p>
        </w:tc>
        <w:tc>
          <w:tcPr>
            <w:tcW w:w="509" w:type="pct"/>
            <w:tcBorders>
              <w:bottom w:val="single" w:sz="4" w:space="0" w:color="000000"/>
            </w:tcBorders>
          </w:tcPr>
          <w:p w14:paraId="306A4284" w14:textId="77777777" w:rsidR="00D83E33" w:rsidRPr="001B330E" w:rsidRDefault="00BC4072" w:rsidP="001B330E">
            <w:pPr>
              <w:widowControl w:val="0"/>
              <w:pBdr>
                <w:top w:val="nil"/>
                <w:left w:val="nil"/>
                <w:bottom w:val="nil"/>
                <w:right w:val="nil"/>
                <w:between w:val="nil"/>
              </w:pBdr>
              <w:ind w:left="-113"/>
              <w:jc w:val="right"/>
              <w:rPr>
                <w:b/>
                <w:color w:val="000000"/>
                <w:spacing w:val="-4"/>
              </w:rPr>
            </w:pPr>
            <w:r w:rsidRPr="001B330E">
              <w:rPr>
                <w:b/>
                <w:color w:val="000000"/>
                <w:spacing w:val="-4"/>
              </w:rPr>
              <w:t>Joint ventures</w:t>
            </w:r>
          </w:p>
        </w:tc>
        <w:tc>
          <w:tcPr>
            <w:tcW w:w="509" w:type="pct"/>
            <w:tcBorders>
              <w:bottom w:val="single" w:sz="4" w:space="0" w:color="000000"/>
            </w:tcBorders>
          </w:tcPr>
          <w:p w14:paraId="778691C0" w14:textId="77777777" w:rsidR="00D83E33" w:rsidRPr="001B330E" w:rsidRDefault="00BC4072" w:rsidP="001B330E">
            <w:pPr>
              <w:widowControl w:val="0"/>
              <w:pBdr>
                <w:top w:val="nil"/>
                <w:left w:val="nil"/>
                <w:bottom w:val="nil"/>
                <w:right w:val="nil"/>
                <w:between w:val="nil"/>
              </w:pBdr>
              <w:ind w:left="-113"/>
              <w:jc w:val="right"/>
              <w:rPr>
                <w:b/>
                <w:color w:val="000000"/>
                <w:spacing w:val="-4"/>
              </w:rPr>
            </w:pPr>
            <w:r w:rsidRPr="001B330E">
              <w:rPr>
                <w:b/>
                <w:color w:val="000000"/>
                <w:spacing w:val="-4"/>
              </w:rPr>
              <w:t>Other related parties</w:t>
            </w:r>
          </w:p>
        </w:tc>
      </w:tr>
      <w:tr w:rsidR="00D83E33" w:rsidRPr="00E970D2" w14:paraId="0B031761" w14:textId="77777777" w:rsidTr="001B330E">
        <w:trPr>
          <w:trHeight w:val="23"/>
        </w:trPr>
        <w:tc>
          <w:tcPr>
            <w:tcW w:w="1438" w:type="pct"/>
            <w:tcBorders>
              <w:top w:val="single" w:sz="4" w:space="0" w:color="000000"/>
            </w:tcBorders>
            <w:vAlign w:val="bottom"/>
          </w:tcPr>
          <w:p w14:paraId="0A2350EA" w14:textId="77777777" w:rsidR="00D83E33" w:rsidRPr="00E970D2" w:rsidRDefault="00BC4072" w:rsidP="001B330E">
            <w:pPr>
              <w:widowControl w:val="0"/>
              <w:ind w:left="113" w:hanging="113"/>
              <w:rPr>
                <w:spacing w:val="-4"/>
                <w:sz w:val="14"/>
                <w:szCs w:val="14"/>
              </w:rPr>
            </w:pPr>
            <w:r w:rsidRPr="00E970D2">
              <w:rPr>
                <w:spacing w:val="-4"/>
                <w:sz w:val="14"/>
                <w:szCs w:val="14"/>
              </w:rPr>
              <w:t> </w:t>
            </w:r>
          </w:p>
        </w:tc>
        <w:tc>
          <w:tcPr>
            <w:tcW w:w="509" w:type="pct"/>
            <w:tcBorders>
              <w:top w:val="single" w:sz="4" w:space="0" w:color="000000"/>
            </w:tcBorders>
            <w:vAlign w:val="bottom"/>
          </w:tcPr>
          <w:p w14:paraId="07E3E366"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tcBorders>
              <w:top w:val="single" w:sz="4" w:space="0" w:color="000000"/>
            </w:tcBorders>
            <w:vAlign w:val="bottom"/>
          </w:tcPr>
          <w:p w14:paraId="4C977C7C"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tcBorders>
              <w:top w:val="single" w:sz="4" w:space="0" w:color="000000"/>
            </w:tcBorders>
            <w:vAlign w:val="bottom"/>
          </w:tcPr>
          <w:p w14:paraId="6A8F7A9F"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tcBorders>
              <w:top w:val="single" w:sz="4" w:space="0" w:color="000000"/>
            </w:tcBorders>
            <w:vAlign w:val="bottom"/>
          </w:tcPr>
          <w:p w14:paraId="1D60188E"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tcBorders>
              <w:top w:val="single" w:sz="4" w:space="0" w:color="000000"/>
            </w:tcBorders>
            <w:vAlign w:val="bottom"/>
          </w:tcPr>
          <w:p w14:paraId="0A9ABD8E"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tcBorders>
              <w:top w:val="single" w:sz="4" w:space="0" w:color="000000"/>
            </w:tcBorders>
            <w:vAlign w:val="bottom"/>
          </w:tcPr>
          <w:p w14:paraId="6D66AC60"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tcBorders>
              <w:top w:val="single" w:sz="4" w:space="0" w:color="000000"/>
            </w:tcBorders>
            <w:vAlign w:val="bottom"/>
          </w:tcPr>
          <w:p w14:paraId="16EFDD22"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45CD192D" w14:textId="77777777" w:rsidTr="001B330E">
        <w:trPr>
          <w:trHeight w:val="23"/>
        </w:trPr>
        <w:tc>
          <w:tcPr>
            <w:tcW w:w="1438" w:type="pct"/>
            <w:vAlign w:val="bottom"/>
          </w:tcPr>
          <w:p w14:paraId="10A4964B"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Investments in debt securities</w:t>
            </w:r>
          </w:p>
        </w:tc>
        <w:tc>
          <w:tcPr>
            <w:tcW w:w="509" w:type="pct"/>
            <w:vAlign w:val="bottom"/>
          </w:tcPr>
          <w:p w14:paraId="15267B9D"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060EAA4"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1163653"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C2ED017"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AF1E496"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CDB2D6E"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F6A8DC2"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283A73" w14:paraId="073617BC" w14:textId="77777777" w:rsidTr="001B330E">
        <w:trPr>
          <w:trHeight w:val="23"/>
        </w:trPr>
        <w:tc>
          <w:tcPr>
            <w:tcW w:w="1438" w:type="pct"/>
            <w:vAlign w:val="bottom"/>
          </w:tcPr>
          <w:p w14:paraId="684BBB0C"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 (contractual interest rate: _____ ‒ _____ %</w:t>
            </w:r>
          </w:p>
        </w:tc>
        <w:tc>
          <w:tcPr>
            <w:tcW w:w="509" w:type="pct"/>
            <w:vAlign w:val="bottom"/>
          </w:tcPr>
          <w:p w14:paraId="3C53A42F"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FCE7D55"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FAB130C"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106A63A"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3723C401"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2233865"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C377952"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7CB8EF0B" w14:textId="77777777" w:rsidTr="001B330E">
        <w:trPr>
          <w:trHeight w:val="23"/>
        </w:trPr>
        <w:tc>
          <w:tcPr>
            <w:tcW w:w="1438" w:type="pct"/>
            <w:vAlign w:val="bottom"/>
          </w:tcPr>
          <w:p w14:paraId="41392BB6" w14:textId="77777777" w:rsidR="00D83E33" w:rsidRPr="00E970D2" w:rsidRDefault="00D83E33" w:rsidP="001B330E">
            <w:pPr>
              <w:widowControl w:val="0"/>
              <w:pBdr>
                <w:top w:val="nil"/>
                <w:left w:val="nil"/>
                <w:bottom w:val="nil"/>
                <w:right w:val="nil"/>
                <w:between w:val="nil"/>
              </w:pBdr>
              <w:ind w:left="113" w:hanging="113"/>
              <w:rPr>
                <w:color w:val="000000"/>
                <w:spacing w:val="-4"/>
                <w:sz w:val="14"/>
                <w:szCs w:val="14"/>
              </w:rPr>
            </w:pPr>
          </w:p>
        </w:tc>
        <w:tc>
          <w:tcPr>
            <w:tcW w:w="509" w:type="pct"/>
            <w:vAlign w:val="bottom"/>
          </w:tcPr>
          <w:p w14:paraId="494EC999"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6E98BC4F"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47D18B5"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E29DB40"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26CD1E10"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26071060"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80BEE11"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30554D6C" w14:textId="77777777" w:rsidTr="001B330E">
        <w:trPr>
          <w:trHeight w:val="23"/>
        </w:trPr>
        <w:tc>
          <w:tcPr>
            <w:tcW w:w="1438" w:type="pct"/>
            <w:vAlign w:val="bottom"/>
          </w:tcPr>
          <w:p w14:paraId="5DB7765A"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Investments in equity securities ( _____ % holding)</w:t>
            </w:r>
          </w:p>
        </w:tc>
        <w:tc>
          <w:tcPr>
            <w:tcW w:w="509" w:type="pct"/>
            <w:vAlign w:val="bottom"/>
          </w:tcPr>
          <w:p w14:paraId="62443030"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CF984F1"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3B6DF3C8"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42E1E98"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8586603"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24E7527"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6F140F2"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4943BBEC" w14:textId="77777777" w:rsidTr="001B330E">
        <w:trPr>
          <w:trHeight w:val="23"/>
        </w:trPr>
        <w:tc>
          <w:tcPr>
            <w:tcW w:w="1438" w:type="pct"/>
            <w:vAlign w:val="bottom"/>
          </w:tcPr>
          <w:p w14:paraId="5387E2FA" w14:textId="77777777" w:rsidR="00D83E33" w:rsidRPr="00E970D2" w:rsidRDefault="00BC4072" w:rsidP="001B330E">
            <w:pPr>
              <w:widowControl w:val="0"/>
              <w:pBdr>
                <w:top w:val="nil"/>
                <w:left w:val="nil"/>
                <w:bottom w:val="nil"/>
                <w:right w:val="nil"/>
                <w:between w:val="nil"/>
              </w:pBdr>
              <w:ind w:left="113" w:hanging="113"/>
              <w:rPr>
                <w:color w:val="000000"/>
                <w:spacing w:val="-4"/>
                <w:sz w:val="14"/>
                <w:szCs w:val="14"/>
              </w:rPr>
            </w:pPr>
            <w:r w:rsidRPr="00E970D2">
              <w:rPr>
                <w:color w:val="000000"/>
                <w:spacing w:val="-4"/>
                <w:sz w:val="14"/>
                <w:szCs w:val="14"/>
              </w:rPr>
              <w:t> </w:t>
            </w:r>
          </w:p>
        </w:tc>
        <w:tc>
          <w:tcPr>
            <w:tcW w:w="509" w:type="pct"/>
            <w:vAlign w:val="bottom"/>
          </w:tcPr>
          <w:p w14:paraId="1F1B7A3F"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C2D8C2A"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A6719D2"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60568326"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1F23E5D"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54F75C2"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04659CF9"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4E26C7CF" w14:textId="77777777" w:rsidTr="001B330E">
        <w:trPr>
          <w:trHeight w:val="23"/>
        </w:trPr>
        <w:tc>
          <w:tcPr>
            <w:tcW w:w="1438" w:type="pct"/>
            <w:vAlign w:val="bottom"/>
          </w:tcPr>
          <w:p w14:paraId="468D20C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Due from other banks (contractual interest rate: _____ ‒ _____ %)</w:t>
            </w:r>
          </w:p>
        </w:tc>
        <w:tc>
          <w:tcPr>
            <w:tcW w:w="509" w:type="pct"/>
            <w:vAlign w:val="bottom"/>
          </w:tcPr>
          <w:p w14:paraId="2F305109"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BA183B5"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E46B4DC"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9952A5F"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1A875F2C"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65ADA99"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6810196"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420B2A95" w14:textId="77777777" w:rsidTr="001B330E">
        <w:trPr>
          <w:trHeight w:val="23"/>
        </w:trPr>
        <w:tc>
          <w:tcPr>
            <w:tcW w:w="1438" w:type="pct"/>
            <w:vAlign w:val="bottom"/>
          </w:tcPr>
          <w:p w14:paraId="40CC34D4" w14:textId="77777777" w:rsidR="00D83E33" w:rsidRPr="00E970D2" w:rsidRDefault="00BC4072" w:rsidP="001B330E">
            <w:pPr>
              <w:widowControl w:val="0"/>
              <w:pBdr>
                <w:top w:val="nil"/>
                <w:left w:val="nil"/>
                <w:bottom w:val="nil"/>
                <w:right w:val="nil"/>
                <w:between w:val="nil"/>
              </w:pBdr>
              <w:ind w:left="113" w:hanging="113"/>
              <w:rPr>
                <w:color w:val="000000"/>
                <w:spacing w:val="-4"/>
                <w:sz w:val="14"/>
                <w:szCs w:val="14"/>
              </w:rPr>
            </w:pPr>
            <w:r w:rsidRPr="00E970D2">
              <w:rPr>
                <w:color w:val="000000"/>
                <w:spacing w:val="-4"/>
                <w:sz w:val="14"/>
                <w:szCs w:val="14"/>
              </w:rPr>
              <w:t> </w:t>
            </w:r>
          </w:p>
        </w:tc>
        <w:tc>
          <w:tcPr>
            <w:tcW w:w="509" w:type="pct"/>
            <w:vAlign w:val="bottom"/>
          </w:tcPr>
          <w:p w14:paraId="751380AE"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083C80FC"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142CFB12"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1CA8ABDF"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0DD644AF"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015A9AA"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0A1AD287"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77EC5530" w14:textId="77777777" w:rsidTr="001B330E">
        <w:trPr>
          <w:trHeight w:val="23"/>
        </w:trPr>
        <w:tc>
          <w:tcPr>
            <w:tcW w:w="1438" w:type="pct"/>
            <w:vAlign w:val="bottom"/>
          </w:tcPr>
          <w:p w14:paraId="416D700B" w14:textId="04A3C2D3"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Credit loss allowance at </w:t>
            </w:r>
            <w:r w:rsidRPr="001B330E">
              <w:rPr>
                <w:color w:val="000000"/>
                <w:spacing w:val="-4"/>
              </w:rPr>
              <w:br/>
              <w:t>31</w:t>
            </w:r>
            <w:r w:rsidR="00181687" w:rsidRPr="001B330E">
              <w:rPr>
                <w:color w:val="000000"/>
                <w:spacing w:val="-4"/>
              </w:rPr>
              <w:t> December </w:t>
            </w:r>
            <w:r w:rsidR="00541EBC">
              <w:rPr>
                <w:color w:val="000000"/>
                <w:spacing w:val="-4"/>
              </w:rPr>
              <w:t>2024</w:t>
            </w:r>
          </w:p>
        </w:tc>
        <w:tc>
          <w:tcPr>
            <w:tcW w:w="509" w:type="pct"/>
            <w:vAlign w:val="bottom"/>
          </w:tcPr>
          <w:p w14:paraId="1E702EA3"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0B9F87C"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97E7BA6"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45A5789"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8DD0082"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169379E"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C8791AB"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673D6EDB" w14:textId="77777777" w:rsidTr="001B330E">
        <w:trPr>
          <w:trHeight w:val="23"/>
        </w:trPr>
        <w:tc>
          <w:tcPr>
            <w:tcW w:w="1438" w:type="pct"/>
            <w:vAlign w:val="bottom"/>
          </w:tcPr>
          <w:p w14:paraId="408D0D3F" w14:textId="77777777" w:rsidR="00D83E33" w:rsidRPr="00E970D2" w:rsidRDefault="00D83E33" w:rsidP="001B330E">
            <w:pPr>
              <w:widowControl w:val="0"/>
              <w:pBdr>
                <w:top w:val="nil"/>
                <w:left w:val="nil"/>
                <w:bottom w:val="nil"/>
                <w:right w:val="nil"/>
                <w:between w:val="nil"/>
              </w:pBdr>
              <w:ind w:left="113" w:hanging="113"/>
              <w:rPr>
                <w:color w:val="000000"/>
                <w:spacing w:val="-4"/>
                <w:sz w:val="14"/>
                <w:szCs w:val="14"/>
              </w:rPr>
            </w:pPr>
          </w:p>
        </w:tc>
        <w:tc>
          <w:tcPr>
            <w:tcW w:w="509" w:type="pct"/>
            <w:vAlign w:val="bottom"/>
          </w:tcPr>
          <w:p w14:paraId="7E41F8A2"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3EC5B62"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5D7A943E"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295FFF7"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0F8980B9"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291BF274"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30311D4A"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7320F952" w14:textId="77777777" w:rsidTr="001B330E">
        <w:trPr>
          <w:trHeight w:val="23"/>
        </w:trPr>
        <w:tc>
          <w:tcPr>
            <w:tcW w:w="1438" w:type="pct"/>
            <w:vAlign w:val="bottom"/>
          </w:tcPr>
          <w:p w14:paraId="3AD2B2A2"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Loans and advances to customers (contractual interest rate: _____ ‒ _____ %)</w:t>
            </w:r>
          </w:p>
        </w:tc>
        <w:tc>
          <w:tcPr>
            <w:tcW w:w="509" w:type="pct"/>
            <w:vAlign w:val="bottom"/>
          </w:tcPr>
          <w:p w14:paraId="401BB9FB"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2BAB6D1"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004213A"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97B9BD8"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6167BEC"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79CC707"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48C3D85"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26C191F4" w14:textId="77777777" w:rsidTr="001B330E">
        <w:trPr>
          <w:trHeight w:val="23"/>
        </w:trPr>
        <w:tc>
          <w:tcPr>
            <w:tcW w:w="1438" w:type="pct"/>
            <w:vAlign w:val="bottom"/>
          </w:tcPr>
          <w:p w14:paraId="5309AF1B" w14:textId="77777777" w:rsidR="00D83E33" w:rsidRPr="00E970D2" w:rsidRDefault="00BC4072" w:rsidP="001B330E">
            <w:pPr>
              <w:widowControl w:val="0"/>
              <w:pBdr>
                <w:top w:val="nil"/>
                <w:left w:val="nil"/>
                <w:bottom w:val="nil"/>
                <w:right w:val="nil"/>
                <w:between w:val="nil"/>
              </w:pBdr>
              <w:ind w:left="113" w:hanging="113"/>
              <w:rPr>
                <w:color w:val="000000"/>
                <w:spacing w:val="-4"/>
                <w:sz w:val="14"/>
                <w:szCs w:val="14"/>
              </w:rPr>
            </w:pPr>
            <w:r w:rsidRPr="00E970D2">
              <w:rPr>
                <w:color w:val="000000"/>
                <w:spacing w:val="-4"/>
                <w:sz w:val="14"/>
                <w:szCs w:val="14"/>
              </w:rPr>
              <w:t> </w:t>
            </w:r>
          </w:p>
        </w:tc>
        <w:tc>
          <w:tcPr>
            <w:tcW w:w="509" w:type="pct"/>
            <w:vAlign w:val="bottom"/>
          </w:tcPr>
          <w:p w14:paraId="358F8370"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5DB2375A"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19026578"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0BFB640B"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639BD5B"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30223137"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2AC6C6B3"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15A516C2" w14:textId="77777777" w:rsidTr="001B330E">
        <w:trPr>
          <w:trHeight w:val="23"/>
        </w:trPr>
        <w:tc>
          <w:tcPr>
            <w:tcW w:w="1438" w:type="pct"/>
            <w:vAlign w:val="bottom"/>
          </w:tcPr>
          <w:p w14:paraId="6B08F7B5" w14:textId="1975CEC1"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Credit loss allowance at </w:t>
            </w:r>
            <w:r w:rsidRPr="001B330E">
              <w:rPr>
                <w:color w:val="000000"/>
                <w:spacing w:val="-4"/>
              </w:rPr>
              <w:br/>
              <w:t>31</w:t>
            </w:r>
            <w:r w:rsidR="00181687" w:rsidRPr="001B330E">
              <w:rPr>
                <w:color w:val="000000"/>
                <w:spacing w:val="-4"/>
              </w:rPr>
              <w:t> December </w:t>
            </w:r>
            <w:r w:rsidR="00541EBC">
              <w:rPr>
                <w:color w:val="000000"/>
                <w:spacing w:val="-4"/>
              </w:rPr>
              <w:t>2024</w:t>
            </w:r>
          </w:p>
        </w:tc>
        <w:tc>
          <w:tcPr>
            <w:tcW w:w="509" w:type="pct"/>
            <w:vAlign w:val="bottom"/>
          </w:tcPr>
          <w:p w14:paraId="5213D230"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D7369F5"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FB4B2C6"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23B1671"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FD8D5F3"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C94B081"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1F442DFD"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6A7B52D2" w14:textId="77777777" w:rsidTr="001B330E">
        <w:trPr>
          <w:trHeight w:val="23"/>
        </w:trPr>
        <w:tc>
          <w:tcPr>
            <w:tcW w:w="1438" w:type="pct"/>
            <w:vAlign w:val="bottom"/>
          </w:tcPr>
          <w:p w14:paraId="7966CDC4" w14:textId="77777777" w:rsidR="00D83E33" w:rsidRPr="00E970D2" w:rsidRDefault="00BC4072" w:rsidP="001B330E">
            <w:pPr>
              <w:widowControl w:val="0"/>
              <w:pBdr>
                <w:top w:val="nil"/>
                <w:left w:val="nil"/>
                <w:bottom w:val="nil"/>
                <w:right w:val="nil"/>
                <w:between w:val="nil"/>
              </w:pBdr>
              <w:ind w:left="113" w:hanging="113"/>
              <w:rPr>
                <w:color w:val="000000"/>
                <w:spacing w:val="-4"/>
                <w:sz w:val="14"/>
                <w:szCs w:val="14"/>
              </w:rPr>
            </w:pPr>
            <w:r w:rsidRPr="00E970D2">
              <w:rPr>
                <w:color w:val="000000"/>
                <w:spacing w:val="-4"/>
                <w:sz w:val="14"/>
                <w:szCs w:val="14"/>
              </w:rPr>
              <w:t> </w:t>
            </w:r>
          </w:p>
        </w:tc>
        <w:tc>
          <w:tcPr>
            <w:tcW w:w="509" w:type="pct"/>
            <w:vAlign w:val="bottom"/>
          </w:tcPr>
          <w:p w14:paraId="77F0C85E"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6B43BB34"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207199E0"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128F413"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5B28649A"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37A850C5"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F2F73D3"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646D37DA" w14:textId="77777777" w:rsidTr="001B330E">
        <w:trPr>
          <w:trHeight w:val="23"/>
        </w:trPr>
        <w:tc>
          <w:tcPr>
            <w:tcW w:w="1438" w:type="pct"/>
            <w:vAlign w:val="bottom"/>
          </w:tcPr>
          <w:p w14:paraId="18253515"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Repurchase receivables</w:t>
            </w:r>
          </w:p>
        </w:tc>
        <w:tc>
          <w:tcPr>
            <w:tcW w:w="509" w:type="pct"/>
            <w:vAlign w:val="bottom"/>
          </w:tcPr>
          <w:p w14:paraId="66722498"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3F2BD60"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257E3C4"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10C9B285"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4D24367"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31708AE7"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58D9A82"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283A73" w14:paraId="4DDBFB78" w14:textId="77777777" w:rsidTr="001B330E">
        <w:trPr>
          <w:trHeight w:val="23"/>
        </w:trPr>
        <w:tc>
          <w:tcPr>
            <w:tcW w:w="1438" w:type="pct"/>
            <w:vAlign w:val="bottom"/>
          </w:tcPr>
          <w:p w14:paraId="4D04A31A"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Debt securities (contractual interest rate: _____ ‒ _____ %)</w:t>
            </w:r>
          </w:p>
        </w:tc>
        <w:tc>
          <w:tcPr>
            <w:tcW w:w="509" w:type="pct"/>
            <w:vAlign w:val="bottom"/>
          </w:tcPr>
          <w:p w14:paraId="45F1EE6B"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D544DC5"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63862AB"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C2E2DBC"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29D698E"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BE7216A"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3CF99528"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283A73" w14:paraId="1FF6DD60" w14:textId="77777777" w:rsidTr="001B330E">
        <w:trPr>
          <w:trHeight w:val="23"/>
        </w:trPr>
        <w:tc>
          <w:tcPr>
            <w:tcW w:w="1438" w:type="pct"/>
            <w:vAlign w:val="bottom"/>
          </w:tcPr>
          <w:p w14:paraId="0B4AFF91"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 Shares of _____ ( _____ % holding)</w:t>
            </w:r>
          </w:p>
        </w:tc>
        <w:tc>
          <w:tcPr>
            <w:tcW w:w="509" w:type="pct"/>
            <w:vAlign w:val="bottom"/>
          </w:tcPr>
          <w:p w14:paraId="573B1067"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FF11823"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F37AC97"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5E4E757"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398B96D9"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3B26DD0C"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CFAE382"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489D72AB" w14:textId="77777777" w:rsidTr="001B330E">
        <w:trPr>
          <w:trHeight w:val="23"/>
        </w:trPr>
        <w:tc>
          <w:tcPr>
            <w:tcW w:w="1438" w:type="pct"/>
            <w:vAlign w:val="bottom"/>
          </w:tcPr>
          <w:p w14:paraId="5C977BF9" w14:textId="77777777" w:rsidR="00D83E33" w:rsidRPr="00E970D2" w:rsidRDefault="00D83E33" w:rsidP="001B330E">
            <w:pPr>
              <w:widowControl w:val="0"/>
              <w:pBdr>
                <w:top w:val="nil"/>
                <w:left w:val="nil"/>
                <w:bottom w:val="nil"/>
                <w:right w:val="nil"/>
                <w:between w:val="nil"/>
              </w:pBdr>
              <w:ind w:left="113" w:hanging="113"/>
              <w:rPr>
                <w:color w:val="000000"/>
                <w:spacing w:val="-4"/>
                <w:sz w:val="14"/>
                <w:szCs w:val="14"/>
              </w:rPr>
            </w:pPr>
          </w:p>
        </w:tc>
        <w:tc>
          <w:tcPr>
            <w:tcW w:w="509" w:type="pct"/>
            <w:vAlign w:val="bottom"/>
          </w:tcPr>
          <w:p w14:paraId="3A7BDFF7"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3D4BDEC6"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22AE15D1"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0B87BC22"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1492995"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1ECD330A"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12BCE7D"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0CD008E7" w14:textId="77777777" w:rsidTr="001B330E">
        <w:trPr>
          <w:trHeight w:val="23"/>
        </w:trPr>
        <w:tc>
          <w:tcPr>
            <w:tcW w:w="1438" w:type="pct"/>
            <w:vAlign w:val="bottom"/>
          </w:tcPr>
          <w:p w14:paraId="5B44DB1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Investment in associates</w:t>
            </w:r>
          </w:p>
        </w:tc>
        <w:tc>
          <w:tcPr>
            <w:tcW w:w="509" w:type="pct"/>
            <w:vAlign w:val="bottom"/>
          </w:tcPr>
          <w:p w14:paraId="7B96F54C"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94D57EC"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732E78D"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6E9FEDD"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9E33AAD"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D4EE93F"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756ED07"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0E10A7E8" w14:textId="77777777" w:rsidTr="001B330E">
        <w:trPr>
          <w:trHeight w:val="23"/>
        </w:trPr>
        <w:tc>
          <w:tcPr>
            <w:tcW w:w="1438" w:type="pct"/>
            <w:vAlign w:val="bottom"/>
          </w:tcPr>
          <w:p w14:paraId="23F233DA" w14:textId="77777777" w:rsidR="00D83E33" w:rsidRPr="00E970D2" w:rsidRDefault="00BC4072" w:rsidP="001B330E">
            <w:pPr>
              <w:widowControl w:val="0"/>
              <w:pBdr>
                <w:top w:val="nil"/>
                <w:left w:val="nil"/>
                <w:bottom w:val="nil"/>
                <w:right w:val="nil"/>
                <w:between w:val="nil"/>
              </w:pBdr>
              <w:tabs>
                <w:tab w:val="right" w:pos="8782"/>
              </w:tabs>
              <w:ind w:left="113" w:hanging="113"/>
              <w:rPr>
                <w:color w:val="000000"/>
                <w:spacing w:val="-4"/>
                <w:sz w:val="14"/>
                <w:szCs w:val="14"/>
              </w:rPr>
            </w:pPr>
            <w:r w:rsidRPr="00E970D2">
              <w:rPr>
                <w:b/>
                <w:color w:val="000000"/>
                <w:spacing w:val="-4"/>
                <w:sz w:val="14"/>
                <w:szCs w:val="14"/>
              </w:rPr>
              <w:t> </w:t>
            </w:r>
          </w:p>
        </w:tc>
        <w:tc>
          <w:tcPr>
            <w:tcW w:w="509" w:type="pct"/>
            <w:vAlign w:val="bottom"/>
          </w:tcPr>
          <w:p w14:paraId="1DBBF2F0"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E639244"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5CEF1391"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5ACE8BD9"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0D7EC6F"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369627AE"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397D1162"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26501DBC" w14:textId="77777777" w:rsidTr="001B330E">
        <w:trPr>
          <w:trHeight w:val="23"/>
        </w:trPr>
        <w:tc>
          <w:tcPr>
            <w:tcW w:w="1438" w:type="pct"/>
            <w:vAlign w:val="bottom"/>
          </w:tcPr>
          <w:p w14:paraId="300637D0"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Other assets</w:t>
            </w:r>
          </w:p>
        </w:tc>
        <w:tc>
          <w:tcPr>
            <w:tcW w:w="509" w:type="pct"/>
            <w:vAlign w:val="bottom"/>
          </w:tcPr>
          <w:p w14:paraId="7997F9CE"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6574C78"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E1D8284"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D24E382"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B38DF40"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1FD958D1"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0311719"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159525FD" w14:textId="77777777" w:rsidTr="001B330E">
        <w:trPr>
          <w:trHeight w:val="23"/>
        </w:trPr>
        <w:tc>
          <w:tcPr>
            <w:tcW w:w="1438" w:type="pct"/>
            <w:vAlign w:val="bottom"/>
          </w:tcPr>
          <w:p w14:paraId="6A916E51" w14:textId="77777777" w:rsidR="00D83E33" w:rsidRPr="00E970D2" w:rsidRDefault="00BC4072" w:rsidP="001B330E">
            <w:pPr>
              <w:widowControl w:val="0"/>
              <w:pBdr>
                <w:top w:val="nil"/>
                <w:left w:val="nil"/>
                <w:bottom w:val="nil"/>
                <w:right w:val="nil"/>
                <w:between w:val="nil"/>
              </w:pBdr>
              <w:tabs>
                <w:tab w:val="right" w:pos="8782"/>
              </w:tabs>
              <w:ind w:left="113" w:hanging="113"/>
              <w:rPr>
                <w:color w:val="000000"/>
                <w:spacing w:val="-4"/>
                <w:sz w:val="14"/>
                <w:szCs w:val="14"/>
              </w:rPr>
            </w:pPr>
            <w:r w:rsidRPr="00E970D2">
              <w:rPr>
                <w:b/>
                <w:color w:val="000000"/>
                <w:spacing w:val="-4"/>
                <w:sz w:val="14"/>
                <w:szCs w:val="14"/>
              </w:rPr>
              <w:t> </w:t>
            </w:r>
          </w:p>
        </w:tc>
        <w:tc>
          <w:tcPr>
            <w:tcW w:w="509" w:type="pct"/>
            <w:vAlign w:val="bottom"/>
          </w:tcPr>
          <w:p w14:paraId="6841FC07"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66E9A3E"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1C202679"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1870C3A8"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390EB363"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0404AF04"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2BADBF5"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283A73" w14:paraId="1786A022" w14:textId="77777777" w:rsidTr="001B330E">
        <w:trPr>
          <w:trHeight w:val="23"/>
        </w:trPr>
        <w:tc>
          <w:tcPr>
            <w:tcW w:w="1438" w:type="pct"/>
            <w:vAlign w:val="bottom"/>
          </w:tcPr>
          <w:p w14:paraId="15DF288A"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Non-current assets held for sale (or disposal groups)</w:t>
            </w:r>
          </w:p>
        </w:tc>
        <w:tc>
          <w:tcPr>
            <w:tcW w:w="509" w:type="pct"/>
            <w:vAlign w:val="bottom"/>
          </w:tcPr>
          <w:p w14:paraId="2D22F081"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30714B72"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568324E"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95E7E4E"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9203102"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3304D5D2"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B8BA6B0"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283A73" w14:paraId="0B445F5B" w14:textId="77777777" w:rsidTr="001B330E">
        <w:trPr>
          <w:trHeight w:val="23"/>
        </w:trPr>
        <w:tc>
          <w:tcPr>
            <w:tcW w:w="1438" w:type="pct"/>
            <w:vAlign w:val="bottom"/>
          </w:tcPr>
          <w:p w14:paraId="22B9E4F0"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Debt securities (contractual interest rate: _____ ‒ _____ %)</w:t>
            </w:r>
          </w:p>
        </w:tc>
        <w:tc>
          <w:tcPr>
            <w:tcW w:w="509" w:type="pct"/>
            <w:vAlign w:val="bottom"/>
          </w:tcPr>
          <w:p w14:paraId="50908196"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2C82C63"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645BA416"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AB2BCD4"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602ECE1"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94641BD"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754CCDE"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283A73" w14:paraId="6A11FB69" w14:textId="77777777" w:rsidTr="001B330E">
        <w:trPr>
          <w:trHeight w:val="23"/>
        </w:trPr>
        <w:tc>
          <w:tcPr>
            <w:tcW w:w="1438" w:type="pct"/>
            <w:vAlign w:val="bottom"/>
          </w:tcPr>
          <w:p w14:paraId="590ADF87"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 Shares of _____ ( _____ % holding)</w:t>
            </w:r>
          </w:p>
        </w:tc>
        <w:tc>
          <w:tcPr>
            <w:tcW w:w="509" w:type="pct"/>
            <w:vAlign w:val="bottom"/>
          </w:tcPr>
          <w:p w14:paraId="112E2419"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322B95B2"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4D1A937F"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F995412"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83ADD5B"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554AA2FB" w14:textId="77777777" w:rsidR="00D83E33" w:rsidRPr="001B330E"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B5B567E" w14:textId="77777777" w:rsidR="00D83E33" w:rsidRPr="001B330E" w:rsidRDefault="00D83E33" w:rsidP="001B330E">
            <w:pPr>
              <w:widowControl w:val="0"/>
              <w:pBdr>
                <w:top w:val="nil"/>
                <w:left w:val="nil"/>
                <w:bottom w:val="nil"/>
                <w:right w:val="nil"/>
                <w:between w:val="nil"/>
              </w:pBdr>
              <w:jc w:val="right"/>
              <w:rPr>
                <w:color w:val="000000"/>
                <w:spacing w:val="-4"/>
              </w:rPr>
            </w:pPr>
          </w:p>
        </w:tc>
      </w:tr>
      <w:tr w:rsidR="00D83E33" w:rsidRPr="00E970D2" w14:paraId="663499BE" w14:textId="77777777" w:rsidTr="001B330E">
        <w:trPr>
          <w:trHeight w:val="23"/>
        </w:trPr>
        <w:tc>
          <w:tcPr>
            <w:tcW w:w="1438" w:type="pct"/>
            <w:vAlign w:val="bottom"/>
          </w:tcPr>
          <w:p w14:paraId="4EE6CA9A" w14:textId="77777777" w:rsidR="00D83E33" w:rsidRPr="00E970D2" w:rsidRDefault="00BC4072" w:rsidP="001B330E">
            <w:pPr>
              <w:widowControl w:val="0"/>
              <w:ind w:left="113" w:hanging="113"/>
              <w:rPr>
                <w:b/>
                <w:spacing w:val="-4"/>
                <w:sz w:val="14"/>
                <w:szCs w:val="14"/>
              </w:rPr>
            </w:pPr>
            <w:r w:rsidRPr="00E970D2">
              <w:rPr>
                <w:spacing w:val="-4"/>
                <w:sz w:val="14"/>
                <w:szCs w:val="14"/>
              </w:rPr>
              <w:t> </w:t>
            </w:r>
          </w:p>
        </w:tc>
        <w:tc>
          <w:tcPr>
            <w:tcW w:w="509" w:type="pct"/>
            <w:vAlign w:val="bottom"/>
          </w:tcPr>
          <w:p w14:paraId="06F75F86"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5B184888"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4DA373BB"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129B9D1C"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6E6FC48"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16695071"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613FC34F"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E970D2" w14:paraId="044F8A96" w14:textId="77777777" w:rsidTr="001B330E">
        <w:trPr>
          <w:trHeight w:val="23"/>
        </w:trPr>
        <w:tc>
          <w:tcPr>
            <w:tcW w:w="1438" w:type="pct"/>
            <w:vAlign w:val="bottom"/>
          </w:tcPr>
          <w:p w14:paraId="0AFB0B62" w14:textId="34E1D0DB" w:rsidR="00D83E33" w:rsidRPr="00E970D2" w:rsidRDefault="00BC4072" w:rsidP="001B330E">
            <w:pPr>
              <w:widowControl w:val="0"/>
              <w:pBdr>
                <w:top w:val="nil"/>
                <w:left w:val="nil"/>
                <w:bottom w:val="nil"/>
                <w:right w:val="nil"/>
                <w:between w:val="nil"/>
              </w:pBdr>
              <w:ind w:left="113" w:hanging="113"/>
              <w:rPr>
                <w:color w:val="000000"/>
                <w:spacing w:val="-4"/>
              </w:rPr>
            </w:pPr>
            <w:r w:rsidRPr="00E970D2">
              <w:rPr>
                <w:color w:val="000000"/>
                <w:spacing w:val="-4"/>
              </w:rPr>
              <w:t>Due to other banks (contractual interest rate: _____ ‒ ____ %)</w:t>
            </w:r>
          </w:p>
        </w:tc>
        <w:tc>
          <w:tcPr>
            <w:tcW w:w="509" w:type="pct"/>
            <w:vAlign w:val="bottom"/>
          </w:tcPr>
          <w:p w14:paraId="5BF05DA8" w14:textId="77777777" w:rsidR="00D83E33" w:rsidRPr="00E970D2"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F45D292" w14:textId="77777777" w:rsidR="00D83E33" w:rsidRPr="00E970D2"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24ABEB08" w14:textId="77777777" w:rsidR="00D83E33" w:rsidRPr="00E970D2"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2644A06" w14:textId="77777777" w:rsidR="00D83E33" w:rsidRPr="00E970D2"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0C78CA42" w14:textId="77777777" w:rsidR="00D83E33" w:rsidRPr="00E970D2"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10F4060B" w14:textId="77777777" w:rsidR="00D83E33" w:rsidRPr="00E970D2" w:rsidRDefault="00D83E33" w:rsidP="001B330E">
            <w:pPr>
              <w:widowControl w:val="0"/>
              <w:pBdr>
                <w:top w:val="nil"/>
                <w:left w:val="nil"/>
                <w:bottom w:val="nil"/>
                <w:right w:val="nil"/>
                <w:between w:val="nil"/>
              </w:pBdr>
              <w:jc w:val="right"/>
              <w:rPr>
                <w:color w:val="000000"/>
                <w:spacing w:val="-4"/>
              </w:rPr>
            </w:pPr>
          </w:p>
        </w:tc>
        <w:tc>
          <w:tcPr>
            <w:tcW w:w="509" w:type="pct"/>
            <w:vAlign w:val="bottom"/>
          </w:tcPr>
          <w:p w14:paraId="7C989315" w14:textId="77777777" w:rsidR="00D83E33" w:rsidRPr="00E970D2" w:rsidRDefault="00D83E33" w:rsidP="001B330E">
            <w:pPr>
              <w:widowControl w:val="0"/>
              <w:pBdr>
                <w:top w:val="nil"/>
                <w:left w:val="nil"/>
                <w:bottom w:val="nil"/>
                <w:right w:val="nil"/>
                <w:between w:val="nil"/>
              </w:pBdr>
              <w:jc w:val="right"/>
              <w:rPr>
                <w:color w:val="000000"/>
                <w:spacing w:val="-4"/>
              </w:rPr>
            </w:pPr>
          </w:p>
        </w:tc>
      </w:tr>
      <w:tr w:rsidR="00D83E33" w:rsidRPr="00E970D2" w14:paraId="0319602A" w14:textId="77777777" w:rsidTr="001B330E">
        <w:trPr>
          <w:trHeight w:val="23"/>
        </w:trPr>
        <w:tc>
          <w:tcPr>
            <w:tcW w:w="1438" w:type="pct"/>
            <w:vAlign w:val="bottom"/>
          </w:tcPr>
          <w:p w14:paraId="7A845D01" w14:textId="77777777" w:rsidR="00D83E33" w:rsidRPr="00E970D2" w:rsidRDefault="00BC4072" w:rsidP="001B330E">
            <w:pPr>
              <w:widowControl w:val="0"/>
              <w:pBdr>
                <w:top w:val="nil"/>
                <w:left w:val="nil"/>
                <w:bottom w:val="nil"/>
                <w:right w:val="nil"/>
                <w:between w:val="nil"/>
              </w:pBdr>
              <w:ind w:left="113" w:hanging="113"/>
              <w:rPr>
                <w:color w:val="000000"/>
                <w:spacing w:val="-4"/>
                <w:sz w:val="14"/>
                <w:szCs w:val="14"/>
              </w:rPr>
            </w:pPr>
            <w:r w:rsidRPr="00E970D2">
              <w:rPr>
                <w:color w:val="000000"/>
                <w:spacing w:val="-4"/>
                <w:sz w:val="14"/>
                <w:szCs w:val="14"/>
              </w:rPr>
              <w:t> </w:t>
            </w:r>
          </w:p>
        </w:tc>
        <w:tc>
          <w:tcPr>
            <w:tcW w:w="509" w:type="pct"/>
            <w:vAlign w:val="bottom"/>
          </w:tcPr>
          <w:p w14:paraId="42F0D843"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2CA56792"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60830EB9"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1ED8C260"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CA59751"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7AAF256"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c>
          <w:tcPr>
            <w:tcW w:w="509" w:type="pct"/>
            <w:vAlign w:val="bottom"/>
          </w:tcPr>
          <w:p w14:paraId="741FCD71" w14:textId="77777777" w:rsidR="00D83E33" w:rsidRPr="00E970D2" w:rsidRDefault="00D83E33" w:rsidP="001B330E">
            <w:pPr>
              <w:widowControl w:val="0"/>
              <w:pBdr>
                <w:top w:val="nil"/>
                <w:left w:val="nil"/>
                <w:bottom w:val="nil"/>
                <w:right w:val="nil"/>
                <w:between w:val="nil"/>
              </w:pBdr>
              <w:jc w:val="right"/>
              <w:rPr>
                <w:color w:val="000000"/>
                <w:spacing w:val="-4"/>
                <w:sz w:val="14"/>
                <w:szCs w:val="14"/>
              </w:rPr>
            </w:pPr>
          </w:p>
        </w:tc>
      </w:tr>
      <w:tr w:rsidR="00D83E33" w:rsidRPr="00E970D2" w14:paraId="45ACB3D9" w14:textId="77777777" w:rsidTr="001B330E">
        <w:trPr>
          <w:trHeight w:val="23"/>
        </w:trPr>
        <w:tc>
          <w:tcPr>
            <w:tcW w:w="1438" w:type="pct"/>
            <w:vAlign w:val="bottom"/>
          </w:tcPr>
          <w:p w14:paraId="7F8AE553" w14:textId="77777777" w:rsidR="00D83E33" w:rsidRPr="00E970D2" w:rsidRDefault="00BC4072" w:rsidP="001B330E">
            <w:pPr>
              <w:widowControl w:val="0"/>
              <w:pBdr>
                <w:top w:val="nil"/>
                <w:left w:val="nil"/>
                <w:bottom w:val="nil"/>
                <w:right w:val="nil"/>
                <w:between w:val="nil"/>
              </w:pBdr>
              <w:ind w:left="113" w:hanging="113"/>
              <w:rPr>
                <w:color w:val="000000"/>
                <w:spacing w:val="-4"/>
                <w:sz w:val="16"/>
                <w:szCs w:val="16"/>
              </w:rPr>
            </w:pPr>
            <w:r w:rsidRPr="00E970D2">
              <w:rPr>
                <w:color w:val="000000"/>
                <w:spacing w:val="-4"/>
                <w:sz w:val="16"/>
                <w:szCs w:val="16"/>
              </w:rPr>
              <w:t xml:space="preserve"> </w:t>
            </w:r>
          </w:p>
        </w:tc>
        <w:tc>
          <w:tcPr>
            <w:tcW w:w="509" w:type="pct"/>
            <w:vAlign w:val="bottom"/>
          </w:tcPr>
          <w:p w14:paraId="0E8C9898" w14:textId="77777777" w:rsidR="00D83E33" w:rsidRPr="00E970D2" w:rsidRDefault="00D83E33" w:rsidP="001B330E">
            <w:pPr>
              <w:widowControl w:val="0"/>
              <w:pBdr>
                <w:top w:val="nil"/>
                <w:left w:val="nil"/>
                <w:bottom w:val="nil"/>
                <w:right w:val="nil"/>
                <w:between w:val="nil"/>
              </w:pBdr>
              <w:jc w:val="right"/>
              <w:rPr>
                <w:color w:val="000000"/>
                <w:spacing w:val="-4"/>
                <w:sz w:val="16"/>
                <w:szCs w:val="16"/>
              </w:rPr>
            </w:pPr>
          </w:p>
        </w:tc>
        <w:tc>
          <w:tcPr>
            <w:tcW w:w="509" w:type="pct"/>
            <w:vAlign w:val="bottom"/>
          </w:tcPr>
          <w:p w14:paraId="42C6B7F1" w14:textId="77777777" w:rsidR="00D83E33" w:rsidRPr="00E970D2" w:rsidRDefault="00D83E33" w:rsidP="001B330E">
            <w:pPr>
              <w:widowControl w:val="0"/>
              <w:pBdr>
                <w:top w:val="nil"/>
                <w:left w:val="nil"/>
                <w:bottom w:val="nil"/>
                <w:right w:val="nil"/>
                <w:between w:val="nil"/>
              </w:pBdr>
              <w:jc w:val="right"/>
              <w:rPr>
                <w:color w:val="000000"/>
                <w:spacing w:val="-4"/>
                <w:sz w:val="16"/>
                <w:szCs w:val="16"/>
              </w:rPr>
            </w:pPr>
          </w:p>
        </w:tc>
        <w:tc>
          <w:tcPr>
            <w:tcW w:w="509" w:type="pct"/>
            <w:vAlign w:val="bottom"/>
          </w:tcPr>
          <w:p w14:paraId="5C8B5F48" w14:textId="77777777" w:rsidR="00D83E33" w:rsidRPr="00E970D2" w:rsidRDefault="00D83E33" w:rsidP="001B330E">
            <w:pPr>
              <w:widowControl w:val="0"/>
              <w:pBdr>
                <w:top w:val="nil"/>
                <w:left w:val="nil"/>
                <w:bottom w:val="nil"/>
                <w:right w:val="nil"/>
                <w:between w:val="nil"/>
              </w:pBdr>
              <w:jc w:val="right"/>
              <w:rPr>
                <w:color w:val="000000"/>
                <w:spacing w:val="-4"/>
                <w:sz w:val="16"/>
                <w:szCs w:val="16"/>
              </w:rPr>
            </w:pPr>
          </w:p>
        </w:tc>
        <w:tc>
          <w:tcPr>
            <w:tcW w:w="509" w:type="pct"/>
            <w:vAlign w:val="bottom"/>
          </w:tcPr>
          <w:p w14:paraId="69D338FA" w14:textId="77777777" w:rsidR="00D83E33" w:rsidRPr="00E970D2" w:rsidRDefault="00D83E33" w:rsidP="001B330E">
            <w:pPr>
              <w:widowControl w:val="0"/>
              <w:pBdr>
                <w:top w:val="nil"/>
                <w:left w:val="nil"/>
                <w:bottom w:val="nil"/>
                <w:right w:val="nil"/>
                <w:between w:val="nil"/>
              </w:pBdr>
              <w:jc w:val="right"/>
              <w:rPr>
                <w:color w:val="000000"/>
                <w:spacing w:val="-4"/>
                <w:sz w:val="16"/>
                <w:szCs w:val="16"/>
              </w:rPr>
            </w:pPr>
          </w:p>
        </w:tc>
        <w:tc>
          <w:tcPr>
            <w:tcW w:w="1526" w:type="pct"/>
            <w:gridSpan w:val="3"/>
            <w:vAlign w:val="bottom"/>
          </w:tcPr>
          <w:p w14:paraId="673DB745" w14:textId="77777777" w:rsidR="00D83E33" w:rsidRPr="00E970D2" w:rsidRDefault="00BC4072" w:rsidP="001B330E">
            <w:pPr>
              <w:widowControl w:val="0"/>
              <w:pBdr>
                <w:top w:val="nil"/>
                <w:left w:val="nil"/>
                <w:bottom w:val="nil"/>
                <w:right w:val="nil"/>
                <w:between w:val="nil"/>
              </w:pBdr>
              <w:jc w:val="right"/>
              <w:rPr>
                <w:i/>
                <w:color w:val="000000"/>
                <w:spacing w:val="-4"/>
                <w:sz w:val="16"/>
                <w:szCs w:val="16"/>
              </w:rPr>
            </w:pPr>
            <w:r w:rsidRPr="00E970D2">
              <w:rPr>
                <w:i/>
                <w:color w:val="000000"/>
                <w:spacing w:val="-4"/>
                <w:sz w:val="16"/>
                <w:szCs w:val="16"/>
              </w:rPr>
              <w:t>continued on the following page</w:t>
            </w:r>
          </w:p>
        </w:tc>
      </w:tr>
    </w:tbl>
    <w:p w14:paraId="0D7C673F" w14:textId="2ADD7045" w:rsidR="00D83E33" w:rsidRDefault="00D83E33">
      <w:pPr>
        <w:widowControl w:val="0"/>
        <w:pBdr>
          <w:top w:val="nil"/>
          <w:left w:val="nil"/>
          <w:bottom w:val="nil"/>
          <w:right w:val="nil"/>
          <w:between w:val="nil"/>
        </w:pBdr>
        <w:spacing w:after="200"/>
        <w:ind w:left="567" w:hanging="567"/>
        <w:jc w:val="both"/>
        <w:rPr>
          <w:b/>
          <w:color w:val="000000"/>
          <w:sz w:val="20"/>
          <w:szCs w:val="20"/>
        </w:rPr>
      </w:pPr>
    </w:p>
    <w:tbl>
      <w:tblPr>
        <w:tblStyle w:val="afffffffffffffffff5"/>
        <w:tblW w:w="5000" w:type="pct"/>
        <w:tblLayout w:type="fixed"/>
        <w:tblLook w:val="0000" w:firstRow="0" w:lastRow="0" w:firstColumn="0" w:lastColumn="0" w:noHBand="0" w:noVBand="0"/>
      </w:tblPr>
      <w:tblGrid>
        <w:gridCol w:w="2691"/>
        <w:gridCol w:w="953"/>
        <w:gridCol w:w="953"/>
        <w:gridCol w:w="952"/>
        <w:gridCol w:w="952"/>
        <w:gridCol w:w="952"/>
        <w:gridCol w:w="952"/>
        <w:gridCol w:w="950"/>
      </w:tblGrid>
      <w:tr w:rsidR="00D83E33" w:rsidRPr="00283A73" w14:paraId="00110EB2" w14:textId="77777777" w:rsidTr="001B330E">
        <w:trPr>
          <w:trHeight w:val="23"/>
        </w:trPr>
        <w:tc>
          <w:tcPr>
            <w:tcW w:w="1438" w:type="pct"/>
            <w:tcBorders>
              <w:bottom w:val="single" w:sz="4" w:space="0" w:color="000000"/>
            </w:tcBorders>
            <w:vAlign w:val="bottom"/>
          </w:tcPr>
          <w:p w14:paraId="7891A670" w14:textId="4145EEB4" w:rsidR="00D83E33" w:rsidRPr="001B330E" w:rsidRDefault="00313B4D" w:rsidP="001B330E">
            <w:pPr>
              <w:widowControl w:val="0"/>
              <w:pBdr>
                <w:top w:val="nil"/>
                <w:left w:val="nil"/>
                <w:bottom w:val="nil"/>
                <w:right w:val="nil"/>
                <w:between w:val="nil"/>
              </w:pBdr>
              <w:ind w:left="113" w:hanging="113"/>
              <w:rPr>
                <w:b/>
                <w:i/>
                <w:color w:val="000000"/>
                <w:spacing w:val="-4"/>
              </w:rPr>
            </w:pPr>
            <w:r>
              <w:rPr>
                <w:i/>
                <w:color w:val="000000"/>
                <w:spacing w:val="-4"/>
              </w:rPr>
              <w:lastRenderedPageBreak/>
              <w:t xml:space="preserve">In thousands of </w:t>
            </w:r>
            <w:r w:rsidR="002649EE">
              <w:rPr>
                <w:i/>
                <w:color w:val="000000"/>
                <w:spacing w:val="-4"/>
              </w:rPr>
              <w:t>EUR</w:t>
            </w:r>
          </w:p>
        </w:tc>
        <w:tc>
          <w:tcPr>
            <w:tcW w:w="509" w:type="pct"/>
            <w:tcBorders>
              <w:bottom w:val="single" w:sz="4" w:space="0" w:color="000000"/>
            </w:tcBorders>
          </w:tcPr>
          <w:p w14:paraId="06AB0CA1"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Immedi-ate parent company</w:t>
            </w:r>
          </w:p>
        </w:tc>
        <w:tc>
          <w:tcPr>
            <w:tcW w:w="509" w:type="pct"/>
            <w:tcBorders>
              <w:bottom w:val="single" w:sz="4" w:space="0" w:color="000000"/>
            </w:tcBorders>
          </w:tcPr>
          <w:p w14:paraId="6B102C5D" w14:textId="624C5AC0"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 xml:space="preserve">Other </w:t>
            </w:r>
            <w:r w:rsidR="00FA2F22">
              <w:rPr>
                <w:b/>
                <w:color w:val="000000"/>
                <w:spacing w:val="-4"/>
              </w:rPr>
              <w:t>signifi-cant</w:t>
            </w:r>
            <w:r w:rsidRPr="001B330E">
              <w:rPr>
                <w:b/>
                <w:color w:val="000000"/>
                <w:spacing w:val="-4"/>
              </w:rPr>
              <w:t xml:space="preserve"> share-holders</w:t>
            </w:r>
          </w:p>
        </w:tc>
        <w:tc>
          <w:tcPr>
            <w:tcW w:w="509" w:type="pct"/>
            <w:tcBorders>
              <w:bottom w:val="single" w:sz="4" w:space="0" w:color="000000"/>
            </w:tcBorders>
          </w:tcPr>
          <w:p w14:paraId="6682EE9C" w14:textId="77777777" w:rsidR="00D83E33" w:rsidRPr="001B330E" w:rsidRDefault="00BC4072">
            <w:pPr>
              <w:widowControl w:val="0"/>
              <w:pBdr>
                <w:top w:val="nil"/>
                <w:left w:val="nil"/>
                <w:bottom w:val="nil"/>
                <w:right w:val="nil"/>
                <w:between w:val="nil"/>
              </w:pBdr>
              <w:ind w:left="-113"/>
              <w:jc w:val="right"/>
              <w:rPr>
                <w:b/>
                <w:color w:val="0000FF"/>
                <w:spacing w:val="-4"/>
              </w:rPr>
            </w:pPr>
            <w:r w:rsidRPr="001B330E">
              <w:rPr>
                <w:b/>
                <w:color w:val="0000FF"/>
                <w:spacing w:val="-4"/>
              </w:rPr>
              <w:t>[Entities under common control]</w:t>
            </w:r>
          </w:p>
        </w:tc>
        <w:tc>
          <w:tcPr>
            <w:tcW w:w="509" w:type="pct"/>
            <w:tcBorders>
              <w:bottom w:val="single" w:sz="4" w:space="0" w:color="000000"/>
            </w:tcBorders>
          </w:tcPr>
          <w:p w14:paraId="4808B635"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Key manage-ment personnel</w:t>
            </w:r>
          </w:p>
        </w:tc>
        <w:tc>
          <w:tcPr>
            <w:tcW w:w="509" w:type="pct"/>
            <w:tcBorders>
              <w:bottom w:val="single" w:sz="4" w:space="0" w:color="000000"/>
            </w:tcBorders>
          </w:tcPr>
          <w:p w14:paraId="1142D970"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Asso-ciates</w:t>
            </w:r>
          </w:p>
        </w:tc>
        <w:tc>
          <w:tcPr>
            <w:tcW w:w="509" w:type="pct"/>
            <w:tcBorders>
              <w:bottom w:val="single" w:sz="4" w:space="0" w:color="000000"/>
            </w:tcBorders>
          </w:tcPr>
          <w:p w14:paraId="4C9C4A6B"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Joint ventures</w:t>
            </w:r>
          </w:p>
        </w:tc>
        <w:tc>
          <w:tcPr>
            <w:tcW w:w="509" w:type="pct"/>
            <w:tcBorders>
              <w:bottom w:val="single" w:sz="4" w:space="0" w:color="000000"/>
            </w:tcBorders>
          </w:tcPr>
          <w:p w14:paraId="22DFD592"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Other related parties</w:t>
            </w:r>
          </w:p>
        </w:tc>
      </w:tr>
      <w:tr w:rsidR="00D83E33" w:rsidRPr="00283A73" w14:paraId="73B66958" w14:textId="77777777" w:rsidTr="001B330E">
        <w:trPr>
          <w:trHeight w:val="23"/>
        </w:trPr>
        <w:tc>
          <w:tcPr>
            <w:tcW w:w="1438" w:type="pct"/>
            <w:vAlign w:val="bottom"/>
          </w:tcPr>
          <w:p w14:paraId="296D6F2C"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w:t>
            </w:r>
          </w:p>
        </w:tc>
        <w:tc>
          <w:tcPr>
            <w:tcW w:w="509" w:type="pct"/>
            <w:vAlign w:val="bottom"/>
          </w:tcPr>
          <w:p w14:paraId="664EC0C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64678F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89AAFE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15B48F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0A5AD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64A8A7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AE09B0"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F2FF050" w14:textId="77777777" w:rsidTr="001B330E">
        <w:trPr>
          <w:trHeight w:val="23"/>
        </w:trPr>
        <w:tc>
          <w:tcPr>
            <w:tcW w:w="1438" w:type="pct"/>
            <w:vAlign w:val="bottom"/>
          </w:tcPr>
          <w:p w14:paraId="37F44EF4" w14:textId="77777777" w:rsidR="00D83E33" w:rsidRPr="001B330E" w:rsidRDefault="00BC4072" w:rsidP="001B330E">
            <w:pPr>
              <w:widowControl w:val="0"/>
              <w:pBdr>
                <w:top w:val="nil"/>
                <w:left w:val="nil"/>
                <w:bottom w:val="nil"/>
                <w:right w:val="nil"/>
                <w:between w:val="nil"/>
              </w:pBdr>
              <w:ind w:left="113" w:hanging="113"/>
              <w:rPr>
                <w:i/>
                <w:color w:val="000000"/>
                <w:spacing w:val="-4"/>
              </w:rPr>
            </w:pPr>
            <w:r w:rsidRPr="001B330E">
              <w:rPr>
                <w:i/>
                <w:color w:val="000000"/>
                <w:spacing w:val="-4"/>
              </w:rPr>
              <w:t>(continued)</w:t>
            </w:r>
          </w:p>
        </w:tc>
        <w:tc>
          <w:tcPr>
            <w:tcW w:w="509" w:type="pct"/>
            <w:vAlign w:val="bottom"/>
          </w:tcPr>
          <w:p w14:paraId="3285B56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8C937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0344A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6CB7F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FDB6D8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004E3B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6A125B2"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1FCA013" w14:textId="77777777" w:rsidTr="001B330E">
        <w:trPr>
          <w:trHeight w:val="23"/>
        </w:trPr>
        <w:tc>
          <w:tcPr>
            <w:tcW w:w="1438" w:type="pct"/>
            <w:vAlign w:val="bottom"/>
          </w:tcPr>
          <w:p w14:paraId="3D22EDF3"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000F68A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A2EC5A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61829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ADBCA0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CE31D7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FEEB98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450FCB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F1A453F" w14:textId="77777777" w:rsidTr="001B330E">
        <w:trPr>
          <w:trHeight w:val="23"/>
        </w:trPr>
        <w:tc>
          <w:tcPr>
            <w:tcW w:w="1438" w:type="pct"/>
            <w:vAlign w:val="bottom"/>
          </w:tcPr>
          <w:p w14:paraId="1395C25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Customer accounts (contractual interest rate: _____ ‒ _____ %)</w:t>
            </w:r>
          </w:p>
        </w:tc>
        <w:tc>
          <w:tcPr>
            <w:tcW w:w="509" w:type="pct"/>
            <w:vAlign w:val="bottom"/>
          </w:tcPr>
          <w:p w14:paraId="734D110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92B3F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102D0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09D4FD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0C0E0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83A54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86829D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C8E2584" w14:textId="77777777" w:rsidTr="001B330E">
        <w:trPr>
          <w:trHeight w:val="23"/>
        </w:trPr>
        <w:tc>
          <w:tcPr>
            <w:tcW w:w="1438" w:type="pct"/>
            <w:vAlign w:val="bottom"/>
          </w:tcPr>
          <w:p w14:paraId="1DDF4C71"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1A845AA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295823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CB16CD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DAA684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D6F274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C42FDE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1134D6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52ABD06" w14:textId="77777777" w:rsidTr="001B330E">
        <w:trPr>
          <w:trHeight w:val="23"/>
        </w:trPr>
        <w:tc>
          <w:tcPr>
            <w:tcW w:w="1438" w:type="pct"/>
            <w:vAlign w:val="bottom"/>
          </w:tcPr>
          <w:p w14:paraId="64420767"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Debt securities in issue [Promissory notes] (contractual interest rate: _____ ‒ _____ %)</w:t>
            </w:r>
          </w:p>
        </w:tc>
        <w:tc>
          <w:tcPr>
            <w:tcW w:w="509" w:type="pct"/>
            <w:vAlign w:val="bottom"/>
          </w:tcPr>
          <w:p w14:paraId="5422DB1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83B4DE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62792B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735735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896B53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8B3967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A01AA3"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2E2585C" w14:textId="77777777" w:rsidTr="001B330E">
        <w:trPr>
          <w:trHeight w:val="23"/>
        </w:trPr>
        <w:tc>
          <w:tcPr>
            <w:tcW w:w="1438" w:type="pct"/>
            <w:vAlign w:val="bottom"/>
          </w:tcPr>
          <w:p w14:paraId="33A278E8" w14:textId="77777777" w:rsidR="00D83E33" w:rsidRPr="001B330E" w:rsidRDefault="00D83E33" w:rsidP="001B330E">
            <w:pPr>
              <w:widowControl w:val="0"/>
              <w:pBdr>
                <w:top w:val="nil"/>
                <w:left w:val="nil"/>
                <w:bottom w:val="nil"/>
                <w:right w:val="nil"/>
                <w:between w:val="nil"/>
              </w:pBdr>
              <w:ind w:left="113" w:hanging="113"/>
              <w:rPr>
                <w:color w:val="000000"/>
                <w:spacing w:val="-4"/>
              </w:rPr>
            </w:pPr>
          </w:p>
        </w:tc>
        <w:tc>
          <w:tcPr>
            <w:tcW w:w="509" w:type="pct"/>
            <w:vAlign w:val="bottom"/>
          </w:tcPr>
          <w:p w14:paraId="7B051B1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EC63A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0B69BC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88248E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932ACB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817CAA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3C7610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4CAC694" w14:textId="77777777" w:rsidTr="001B330E">
        <w:trPr>
          <w:trHeight w:val="23"/>
        </w:trPr>
        <w:tc>
          <w:tcPr>
            <w:tcW w:w="1438" w:type="pct"/>
            <w:vAlign w:val="bottom"/>
          </w:tcPr>
          <w:p w14:paraId="40647CD7"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Other borrowed funds (contractual interest rate: _____ ‒ _____ %)</w:t>
            </w:r>
          </w:p>
        </w:tc>
        <w:tc>
          <w:tcPr>
            <w:tcW w:w="509" w:type="pct"/>
            <w:vAlign w:val="bottom"/>
          </w:tcPr>
          <w:p w14:paraId="6A161F8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DC412D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14E1E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A2A721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67D82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DB934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5ACE49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8CAD424" w14:textId="77777777" w:rsidTr="001B330E">
        <w:trPr>
          <w:trHeight w:val="23"/>
        </w:trPr>
        <w:tc>
          <w:tcPr>
            <w:tcW w:w="1438" w:type="pct"/>
            <w:vAlign w:val="bottom"/>
          </w:tcPr>
          <w:p w14:paraId="5231056A"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3DA991B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47198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BAA3A6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C8FB21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B04EC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CA550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22D8EC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FC957F2" w14:textId="77777777" w:rsidTr="001B330E">
        <w:trPr>
          <w:trHeight w:val="23"/>
        </w:trPr>
        <w:tc>
          <w:tcPr>
            <w:tcW w:w="1438" w:type="pct"/>
            <w:vAlign w:val="bottom"/>
          </w:tcPr>
          <w:p w14:paraId="383921E0"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Provisions for liabilities and charges</w:t>
            </w:r>
          </w:p>
        </w:tc>
        <w:tc>
          <w:tcPr>
            <w:tcW w:w="509" w:type="pct"/>
            <w:vAlign w:val="bottom"/>
          </w:tcPr>
          <w:p w14:paraId="02D55C1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3A2C9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8CDF8C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0CD92D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986B31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92798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14C864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B8EFEA7" w14:textId="77777777" w:rsidTr="001B330E">
        <w:trPr>
          <w:trHeight w:val="23"/>
        </w:trPr>
        <w:tc>
          <w:tcPr>
            <w:tcW w:w="1438" w:type="pct"/>
            <w:vAlign w:val="bottom"/>
          </w:tcPr>
          <w:p w14:paraId="7A3FB12F"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787D42D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7A528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7BCDAD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3241CD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B72F01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71A4F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D2157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0EF292C" w14:textId="77777777" w:rsidTr="001B330E">
        <w:trPr>
          <w:trHeight w:val="23"/>
        </w:trPr>
        <w:tc>
          <w:tcPr>
            <w:tcW w:w="1438" w:type="pct"/>
            <w:vAlign w:val="bottom"/>
          </w:tcPr>
          <w:p w14:paraId="17CC26E2"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Other liabilities</w:t>
            </w:r>
          </w:p>
        </w:tc>
        <w:tc>
          <w:tcPr>
            <w:tcW w:w="509" w:type="pct"/>
            <w:vAlign w:val="bottom"/>
          </w:tcPr>
          <w:p w14:paraId="0DFC7A4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9EAD46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0E31D2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E241A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9FE61E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EFE2BB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7DFD4A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EB44302" w14:textId="77777777" w:rsidTr="001B330E">
        <w:trPr>
          <w:trHeight w:val="23"/>
        </w:trPr>
        <w:tc>
          <w:tcPr>
            <w:tcW w:w="1438" w:type="pct"/>
            <w:vAlign w:val="bottom"/>
          </w:tcPr>
          <w:p w14:paraId="320B5088" w14:textId="77777777" w:rsidR="00D83E33" w:rsidRPr="001B330E" w:rsidRDefault="00D83E33" w:rsidP="001B330E">
            <w:pPr>
              <w:widowControl w:val="0"/>
              <w:pBdr>
                <w:top w:val="nil"/>
                <w:left w:val="nil"/>
                <w:bottom w:val="nil"/>
                <w:right w:val="nil"/>
                <w:between w:val="nil"/>
              </w:pBdr>
              <w:ind w:left="113" w:hanging="113"/>
              <w:rPr>
                <w:color w:val="000000"/>
                <w:spacing w:val="-4"/>
              </w:rPr>
            </w:pPr>
          </w:p>
        </w:tc>
        <w:tc>
          <w:tcPr>
            <w:tcW w:w="509" w:type="pct"/>
            <w:vAlign w:val="bottom"/>
          </w:tcPr>
          <w:p w14:paraId="771D392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727C0B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B1974C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AA14AD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C0C01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596361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A5838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1608709" w14:textId="77777777" w:rsidTr="001B330E">
        <w:trPr>
          <w:trHeight w:val="23"/>
        </w:trPr>
        <w:tc>
          <w:tcPr>
            <w:tcW w:w="1438" w:type="pct"/>
            <w:vAlign w:val="bottom"/>
          </w:tcPr>
          <w:p w14:paraId="647BA9EC"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xml:space="preserve"> </w:t>
            </w:r>
          </w:p>
        </w:tc>
        <w:tc>
          <w:tcPr>
            <w:tcW w:w="509" w:type="pct"/>
            <w:vAlign w:val="bottom"/>
          </w:tcPr>
          <w:p w14:paraId="7732A8D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D84EFD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F2D98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28F438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1EF3E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77EC40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533DAD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E49FEF6" w14:textId="77777777" w:rsidTr="001B330E">
        <w:trPr>
          <w:trHeight w:val="23"/>
        </w:trPr>
        <w:tc>
          <w:tcPr>
            <w:tcW w:w="1438" w:type="pct"/>
            <w:vAlign w:val="bottom"/>
          </w:tcPr>
          <w:p w14:paraId="2F293EEF"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Subordinated debt (contractual interest rate: _____ ‒ _____ %)</w:t>
            </w:r>
          </w:p>
        </w:tc>
        <w:tc>
          <w:tcPr>
            <w:tcW w:w="509" w:type="pct"/>
            <w:vAlign w:val="bottom"/>
          </w:tcPr>
          <w:p w14:paraId="5C60286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FB89A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DCC46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36688B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F96C4C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0784B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7B67C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1677461" w14:textId="77777777" w:rsidTr="001B330E">
        <w:trPr>
          <w:trHeight w:val="23"/>
        </w:trPr>
        <w:tc>
          <w:tcPr>
            <w:tcW w:w="1438" w:type="pct"/>
            <w:vAlign w:val="bottom"/>
          </w:tcPr>
          <w:p w14:paraId="07C6F4E5"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w:t>
            </w:r>
          </w:p>
        </w:tc>
        <w:tc>
          <w:tcPr>
            <w:tcW w:w="509" w:type="pct"/>
            <w:vAlign w:val="bottom"/>
          </w:tcPr>
          <w:p w14:paraId="76AD9A4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04929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379CF4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311B7D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C5FC1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B658B9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1A8523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864CA4C" w14:textId="77777777" w:rsidTr="001B330E">
        <w:trPr>
          <w:trHeight w:val="23"/>
        </w:trPr>
        <w:tc>
          <w:tcPr>
            <w:tcW w:w="1438" w:type="pct"/>
            <w:vAlign w:val="bottom"/>
          </w:tcPr>
          <w:p w14:paraId="68E88A00"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Liabilities directly associated with disposal groups held for sale (contractual interest rate: _____ ‒ _____ %)</w:t>
            </w:r>
          </w:p>
        </w:tc>
        <w:tc>
          <w:tcPr>
            <w:tcW w:w="509" w:type="pct"/>
            <w:vAlign w:val="bottom"/>
          </w:tcPr>
          <w:p w14:paraId="3C03026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A7FBD7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195A50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E9BD7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6172F4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7D08C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1C6F2F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C36BF77" w14:textId="77777777" w:rsidTr="001B330E">
        <w:trPr>
          <w:trHeight w:val="23"/>
        </w:trPr>
        <w:tc>
          <w:tcPr>
            <w:tcW w:w="1438" w:type="pct"/>
            <w:tcBorders>
              <w:bottom w:val="single" w:sz="12" w:space="0" w:color="000000"/>
            </w:tcBorders>
            <w:vAlign w:val="bottom"/>
          </w:tcPr>
          <w:p w14:paraId="0DB19F27"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w:t>
            </w:r>
          </w:p>
        </w:tc>
        <w:tc>
          <w:tcPr>
            <w:tcW w:w="509" w:type="pct"/>
            <w:tcBorders>
              <w:bottom w:val="single" w:sz="12" w:space="0" w:color="000000"/>
            </w:tcBorders>
            <w:vAlign w:val="bottom"/>
          </w:tcPr>
          <w:p w14:paraId="723350F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35B5FD9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21CEF01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1ADE42F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5BBC64B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65715A0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4898E284" w14:textId="77777777" w:rsidR="00D83E33" w:rsidRPr="001B330E" w:rsidRDefault="00D83E33">
            <w:pPr>
              <w:widowControl w:val="0"/>
              <w:pBdr>
                <w:top w:val="nil"/>
                <w:left w:val="nil"/>
                <w:bottom w:val="nil"/>
                <w:right w:val="nil"/>
                <w:between w:val="nil"/>
              </w:pBdr>
              <w:jc w:val="right"/>
              <w:rPr>
                <w:color w:val="000000"/>
                <w:spacing w:val="-4"/>
              </w:rPr>
            </w:pPr>
          </w:p>
        </w:tc>
      </w:tr>
    </w:tbl>
    <w:p w14:paraId="6A3B8582" w14:textId="0C28C3D6" w:rsidR="00D83E33" w:rsidRDefault="00BC4072" w:rsidP="001B330E">
      <w:pPr>
        <w:pStyle w:val="Continued"/>
      </w:pPr>
      <w:r>
        <w:lastRenderedPageBreak/>
        <w:t>51</w:t>
      </w:r>
      <w:r>
        <w:tab/>
        <w:t>Related Party Transactions (Continued)</w:t>
      </w:r>
    </w:p>
    <w:p w14:paraId="087DB25C" w14:textId="57897B22" w:rsidR="00D83E33" w:rsidRPr="001B330E" w:rsidRDefault="00BC4072">
      <w:pPr>
        <w:widowControl w:val="0"/>
        <w:spacing w:before="200" w:after="200"/>
        <w:rPr>
          <w:spacing w:val="-2"/>
          <w:sz w:val="20"/>
          <w:szCs w:val="20"/>
        </w:rPr>
      </w:pPr>
      <w:r w:rsidRPr="001B330E">
        <w:rPr>
          <w:spacing w:val="-2"/>
          <w:sz w:val="20"/>
          <w:szCs w:val="20"/>
        </w:rPr>
        <w:t xml:space="preserve">The income and expense items with related parties for </w:t>
      </w:r>
      <w:r w:rsidR="00541EBC">
        <w:rPr>
          <w:spacing w:val="-2"/>
          <w:sz w:val="20"/>
          <w:szCs w:val="20"/>
        </w:rPr>
        <w:t>2024</w:t>
      </w:r>
      <w:r w:rsidRPr="001B330E">
        <w:rPr>
          <w:spacing w:val="-2"/>
          <w:sz w:val="20"/>
          <w:szCs w:val="20"/>
        </w:rPr>
        <w:t xml:space="preserve"> were as follows:</w:t>
      </w:r>
    </w:p>
    <w:tbl>
      <w:tblPr>
        <w:tblStyle w:val="afffffffffffffffff6"/>
        <w:tblW w:w="5000" w:type="pct"/>
        <w:tblLayout w:type="fixed"/>
        <w:tblLook w:val="0000" w:firstRow="0" w:lastRow="0" w:firstColumn="0" w:lastColumn="0" w:noHBand="0" w:noVBand="0"/>
      </w:tblPr>
      <w:tblGrid>
        <w:gridCol w:w="2691"/>
        <w:gridCol w:w="953"/>
        <w:gridCol w:w="953"/>
        <w:gridCol w:w="952"/>
        <w:gridCol w:w="952"/>
        <w:gridCol w:w="952"/>
        <w:gridCol w:w="952"/>
        <w:gridCol w:w="950"/>
      </w:tblGrid>
      <w:tr w:rsidR="00D83E33" w:rsidRPr="00283A73" w14:paraId="65FD5850" w14:textId="77777777" w:rsidTr="001B330E">
        <w:trPr>
          <w:trHeight w:val="23"/>
        </w:trPr>
        <w:tc>
          <w:tcPr>
            <w:tcW w:w="1438" w:type="pct"/>
            <w:tcBorders>
              <w:bottom w:val="single" w:sz="4" w:space="0" w:color="000000"/>
            </w:tcBorders>
            <w:vAlign w:val="bottom"/>
          </w:tcPr>
          <w:p w14:paraId="593016A3" w14:textId="56601861" w:rsidR="00D83E33" w:rsidRPr="001B330E" w:rsidRDefault="00313B4D" w:rsidP="001B330E">
            <w:pPr>
              <w:widowControl w:val="0"/>
              <w:ind w:left="113" w:hanging="113"/>
              <w:rPr>
                <w:i/>
                <w:spacing w:val="-4"/>
              </w:rPr>
            </w:pPr>
            <w:r>
              <w:rPr>
                <w:i/>
                <w:spacing w:val="-4"/>
              </w:rPr>
              <w:t xml:space="preserve">In thousands of </w:t>
            </w:r>
            <w:r w:rsidR="002649EE">
              <w:rPr>
                <w:i/>
                <w:spacing w:val="-4"/>
              </w:rPr>
              <w:t>EUR</w:t>
            </w:r>
          </w:p>
        </w:tc>
        <w:tc>
          <w:tcPr>
            <w:tcW w:w="509" w:type="pct"/>
            <w:tcBorders>
              <w:bottom w:val="single" w:sz="4" w:space="0" w:color="000000"/>
            </w:tcBorders>
          </w:tcPr>
          <w:p w14:paraId="24E1534B"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Immedi-ate parent company</w:t>
            </w:r>
          </w:p>
        </w:tc>
        <w:tc>
          <w:tcPr>
            <w:tcW w:w="509" w:type="pct"/>
            <w:tcBorders>
              <w:bottom w:val="single" w:sz="4" w:space="0" w:color="000000"/>
            </w:tcBorders>
          </w:tcPr>
          <w:p w14:paraId="7345232F" w14:textId="5C267E29"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 xml:space="preserve">Other </w:t>
            </w:r>
            <w:r w:rsidR="00FA2F22">
              <w:rPr>
                <w:b/>
                <w:color w:val="000000"/>
                <w:spacing w:val="-4"/>
              </w:rPr>
              <w:t>signifi-cant</w:t>
            </w:r>
            <w:r w:rsidRPr="001B330E">
              <w:rPr>
                <w:b/>
                <w:color w:val="000000"/>
                <w:spacing w:val="-4"/>
              </w:rPr>
              <w:t xml:space="preserve"> share-holders</w:t>
            </w:r>
          </w:p>
        </w:tc>
        <w:tc>
          <w:tcPr>
            <w:tcW w:w="509" w:type="pct"/>
            <w:tcBorders>
              <w:bottom w:val="single" w:sz="4" w:space="0" w:color="000000"/>
            </w:tcBorders>
          </w:tcPr>
          <w:p w14:paraId="3E63B218" w14:textId="77777777" w:rsidR="00D83E33" w:rsidRPr="001B330E" w:rsidRDefault="00BC4072">
            <w:pPr>
              <w:widowControl w:val="0"/>
              <w:pBdr>
                <w:top w:val="nil"/>
                <w:left w:val="nil"/>
                <w:bottom w:val="nil"/>
                <w:right w:val="nil"/>
                <w:between w:val="nil"/>
              </w:pBdr>
              <w:ind w:left="-113"/>
              <w:jc w:val="right"/>
              <w:rPr>
                <w:b/>
                <w:color w:val="0000FF"/>
                <w:spacing w:val="-4"/>
              </w:rPr>
            </w:pPr>
            <w:r w:rsidRPr="001B330E">
              <w:rPr>
                <w:b/>
                <w:color w:val="0000FF"/>
                <w:spacing w:val="-4"/>
              </w:rPr>
              <w:t>[Entities under common control]</w:t>
            </w:r>
          </w:p>
        </w:tc>
        <w:tc>
          <w:tcPr>
            <w:tcW w:w="509" w:type="pct"/>
            <w:tcBorders>
              <w:bottom w:val="single" w:sz="4" w:space="0" w:color="000000"/>
            </w:tcBorders>
          </w:tcPr>
          <w:p w14:paraId="11B40B7A"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Key manage-ment personnel</w:t>
            </w:r>
          </w:p>
        </w:tc>
        <w:tc>
          <w:tcPr>
            <w:tcW w:w="509" w:type="pct"/>
            <w:tcBorders>
              <w:bottom w:val="single" w:sz="4" w:space="0" w:color="000000"/>
            </w:tcBorders>
          </w:tcPr>
          <w:p w14:paraId="4329091C"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Asso-ciates</w:t>
            </w:r>
          </w:p>
        </w:tc>
        <w:tc>
          <w:tcPr>
            <w:tcW w:w="509" w:type="pct"/>
            <w:tcBorders>
              <w:bottom w:val="single" w:sz="4" w:space="0" w:color="000000"/>
            </w:tcBorders>
          </w:tcPr>
          <w:p w14:paraId="184F3D15"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Joint ventures</w:t>
            </w:r>
          </w:p>
        </w:tc>
        <w:tc>
          <w:tcPr>
            <w:tcW w:w="509" w:type="pct"/>
            <w:tcBorders>
              <w:bottom w:val="single" w:sz="4" w:space="0" w:color="000000"/>
            </w:tcBorders>
          </w:tcPr>
          <w:p w14:paraId="32E7142A"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Other related parties</w:t>
            </w:r>
          </w:p>
        </w:tc>
      </w:tr>
      <w:tr w:rsidR="00D83E33" w:rsidRPr="00283A73" w14:paraId="78C19363" w14:textId="77777777" w:rsidTr="001B330E">
        <w:trPr>
          <w:trHeight w:val="23"/>
        </w:trPr>
        <w:tc>
          <w:tcPr>
            <w:tcW w:w="1438" w:type="pct"/>
            <w:tcBorders>
              <w:top w:val="single" w:sz="4" w:space="0" w:color="000000"/>
            </w:tcBorders>
            <w:vAlign w:val="bottom"/>
          </w:tcPr>
          <w:p w14:paraId="4331D2B9" w14:textId="77777777" w:rsidR="00D83E33" w:rsidRPr="001B330E" w:rsidRDefault="00BC4072" w:rsidP="001B330E">
            <w:pPr>
              <w:widowControl w:val="0"/>
              <w:ind w:left="113" w:hanging="113"/>
              <w:rPr>
                <w:b/>
                <w:spacing w:val="-4"/>
              </w:rPr>
            </w:pPr>
            <w:r w:rsidRPr="001B330E">
              <w:rPr>
                <w:b/>
                <w:spacing w:val="-4"/>
              </w:rPr>
              <w:t> </w:t>
            </w:r>
          </w:p>
        </w:tc>
        <w:tc>
          <w:tcPr>
            <w:tcW w:w="509" w:type="pct"/>
            <w:tcBorders>
              <w:top w:val="single" w:sz="4" w:space="0" w:color="000000"/>
            </w:tcBorders>
            <w:vAlign w:val="bottom"/>
          </w:tcPr>
          <w:p w14:paraId="696DDEF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3710A3A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1463B87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50A8121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5ACB791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4AF134A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227EE26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F66B685" w14:textId="77777777" w:rsidTr="001B330E">
        <w:trPr>
          <w:trHeight w:val="23"/>
        </w:trPr>
        <w:tc>
          <w:tcPr>
            <w:tcW w:w="1438" w:type="pct"/>
            <w:vAlign w:val="bottom"/>
          </w:tcPr>
          <w:p w14:paraId="35403FB7"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Interest income</w:t>
            </w:r>
          </w:p>
        </w:tc>
        <w:tc>
          <w:tcPr>
            <w:tcW w:w="509" w:type="pct"/>
            <w:vAlign w:val="bottom"/>
          </w:tcPr>
          <w:p w14:paraId="7CD927F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1DF42C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D12163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9EB768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92FE3F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D4AB99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6BF2E7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CBB72C6" w14:textId="77777777" w:rsidTr="001B330E">
        <w:trPr>
          <w:trHeight w:val="23"/>
        </w:trPr>
        <w:tc>
          <w:tcPr>
            <w:tcW w:w="1438" w:type="pct"/>
            <w:vAlign w:val="bottom"/>
          </w:tcPr>
          <w:p w14:paraId="4274C8C9"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154790E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58EA52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C622AE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D1484B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733F4C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42A57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AD306D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449CA00" w14:textId="77777777" w:rsidTr="001B330E">
        <w:trPr>
          <w:trHeight w:val="23"/>
        </w:trPr>
        <w:tc>
          <w:tcPr>
            <w:tcW w:w="1438" w:type="pct"/>
            <w:vAlign w:val="bottom"/>
          </w:tcPr>
          <w:p w14:paraId="6E2F06F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Interest expense</w:t>
            </w:r>
          </w:p>
        </w:tc>
        <w:tc>
          <w:tcPr>
            <w:tcW w:w="509" w:type="pct"/>
            <w:vAlign w:val="bottom"/>
          </w:tcPr>
          <w:p w14:paraId="1D2C423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5F5599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07B3B1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295D80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8CC70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BC2C8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60476A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FA3BAAF" w14:textId="77777777" w:rsidTr="001B330E">
        <w:trPr>
          <w:trHeight w:val="23"/>
        </w:trPr>
        <w:tc>
          <w:tcPr>
            <w:tcW w:w="1438" w:type="pct"/>
            <w:vAlign w:val="bottom"/>
          </w:tcPr>
          <w:p w14:paraId="2DD74535"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3686C89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BCAF80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499882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108D36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AA3CA3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91CD7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C832EB6"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1E78855" w14:textId="77777777" w:rsidTr="001B330E">
        <w:trPr>
          <w:trHeight w:val="23"/>
        </w:trPr>
        <w:tc>
          <w:tcPr>
            <w:tcW w:w="1438" w:type="pct"/>
            <w:vAlign w:val="bottom"/>
          </w:tcPr>
          <w:p w14:paraId="673D98C0"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Credit loss allowance </w:t>
            </w:r>
          </w:p>
        </w:tc>
        <w:tc>
          <w:tcPr>
            <w:tcW w:w="509" w:type="pct"/>
            <w:vAlign w:val="bottom"/>
          </w:tcPr>
          <w:p w14:paraId="4119DB0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7F4C79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499546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947D2E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371C4F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E9D757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9B14D1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F84A721" w14:textId="77777777" w:rsidTr="001B330E">
        <w:trPr>
          <w:trHeight w:val="23"/>
        </w:trPr>
        <w:tc>
          <w:tcPr>
            <w:tcW w:w="1438" w:type="pct"/>
            <w:vAlign w:val="bottom"/>
          </w:tcPr>
          <w:p w14:paraId="4A65ED09"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4343490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755C52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079055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DCEBFD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FA2376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D354F3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12D3CD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CA87C9F" w14:textId="77777777" w:rsidTr="001B330E">
        <w:trPr>
          <w:trHeight w:val="23"/>
        </w:trPr>
        <w:tc>
          <w:tcPr>
            <w:tcW w:w="1438" w:type="pct"/>
            <w:vAlign w:val="bottom"/>
          </w:tcPr>
          <w:p w14:paraId="6F0C6358"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Dividend income received</w:t>
            </w:r>
          </w:p>
        </w:tc>
        <w:tc>
          <w:tcPr>
            <w:tcW w:w="509" w:type="pct"/>
            <w:vAlign w:val="bottom"/>
          </w:tcPr>
          <w:p w14:paraId="494C165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700D1E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58178C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02B59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9FE54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CE9698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1823E9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13F7C13" w14:textId="77777777" w:rsidTr="001B330E">
        <w:trPr>
          <w:trHeight w:val="23"/>
        </w:trPr>
        <w:tc>
          <w:tcPr>
            <w:tcW w:w="1438" w:type="pct"/>
            <w:vAlign w:val="bottom"/>
          </w:tcPr>
          <w:p w14:paraId="66C1E86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37FEB55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17F2A8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68FAD8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0FFD84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218C7E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BBAA86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DBB1C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6A757CC" w14:textId="77777777" w:rsidTr="001B330E">
        <w:trPr>
          <w:trHeight w:val="23"/>
        </w:trPr>
        <w:tc>
          <w:tcPr>
            <w:tcW w:w="1438" w:type="pct"/>
            <w:vAlign w:val="bottom"/>
          </w:tcPr>
          <w:p w14:paraId="0B87D6DF"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Gains less losses from securities at FVTPL</w:t>
            </w:r>
          </w:p>
        </w:tc>
        <w:tc>
          <w:tcPr>
            <w:tcW w:w="509" w:type="pct"/>
            <w:vAlign w:val="bottom"/>
          </w:tcPr>
          <w:p w14:paraId="754AE70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58EC6D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16F46A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4F73E8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C25A4A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B2B0AB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D47CD9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B9E67B3" w14:textId="77777777" w:rsidTr="001B330E">
        <w:trPr>
          <w:trHeight w:val="23"/>
        </w:trPr>
        <w:tc>
          <w:tcPr>
            <w:tcW w:w="1438" w:type="pct"/>
            <w:vAlign w:val="bottom"/>
          </w:tcPr>
          <w:p w14:paraId="0CE018A3"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0C1DCB8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14E6B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2E4901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5789B7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EF03D2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165F73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CA36A0"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B633527" w14:textId="77777777" w:rsidTr="001B330E">
        <w:trPr>
          <w:trHeight w:val="23"/>
        </w:trPr>
        <w:tc>
          <w:tcPr>
            <w:tcW w:w="1438" w:type="pct"/>
            <w:vAlign w:val="bottom"/>
          </w:tcPr>
          <w:p w14:paraId="76FD141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Gains less losses from trading in foreign currencies</w:t>
            </w:r>
          </w:p>
        </w:tc>
        <w:tc>
          <w:tcPr>
            <w:tcW w:w="509" w:type="pct"/>
            <w:vAlign w:val="bottom"/>
          </w:tcPr>
          <w:p w14:paraId="65F9B7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80C81A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D678C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8E50C7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61D043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237353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B00DE77"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3A54BF0" w14:textId="77777777" w:rsidTr="001B330E">
        <w:trPr>
          <w:trHeight w:val="23"/>
        </w:trPr>
        <w:tc>
          <w:tcPr>
            <w:tcW w:w="1438" w:type="pct"/>
            <w:vAlign w:val="bottom"/>
          </w:tcPr>
          <w:p w14:paraId="67FADC4D"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1DE26C9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26C7E9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7409D3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4DB988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777353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340F4A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DF60ED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3DEDB70" w14:textId="77777777" w:rsidTr="001B330E">
        <w:trPr>
          <w:trHeight w:val="23"/>
        </w:trPr>
        <w:tc>
          <w:tcPr>
            <w:tcW w:w="1438" w:type="pct"/>
            <w:vAlign w:val="bottom"/>
          </w:tcPr>
          <w:p w14:paraId="275F289B"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Foreign exchange translation gains less losses</w:t>
            </w:r>
          </w:p>
        </w:tc>
        <w:tc>
          <w:tcPr>
            <w:tcW w:w="509" w:type="pct"/>
            <w:vAlign w:val="bottom"/>
          </w:tcPr>
          <w:p w14:paraId="08A583E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0C0D96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160302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22376A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58B802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3C0BE8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458F5E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70B6985" w14:textId="77777777" w:rsidTr="001B330E">
        <w:trPr>
          <w:trHeight w:val="23"/>
        </w:trPr>
        <w:tc>
          <w:tcPr>
            <w:tcW w:w="1438" w:type="pct"/>
            <w:vAlign w:val="bottom"/>
          </w:tcPr>
          <w:p w14:paraId="279531D4"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21A5593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5BC26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E3EEC0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EF26C6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534FE9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188F0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2349A2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599CEFD" w14:textId="77777777" w:rsidTr="001B330E">
        <w:trPr>
          <w:trHeight w:val="23"/>
        </w:trPr>
        <w:tc>
          <w:tcPr>
            <w:tcW w:w="1438" w:type="pct"/>
            <w:vAlign w:val="bottom"/>
          </w:tcPr>
          <w:p w14:paraId="7BDBDD7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Fee and commission income</w:t>
            </w:r>
          </w:p>
        </w:tc>
        <w:tc>
          <w:tcPr>
            <w:tcW w:w="509" w:type="pct"/>
            <w:vAlign w:val="bottom"/>
          </w:tcPr>
          <w:p w14:paraId="3CCD243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4F3D63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6D82E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429A2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B1F93C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575A83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DC40FA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49B9AA1" w14:textId="77777777" w:rsidTr="001B330E">
        <w:trPr>
          <w:trHeight w:val="23"/>
        </w:trPr>
        <w:tc>
          <w:tcPr>
            <w:tcW w:w="1438" w:type="pct"/>
            <w:vAlign w:val="bottom"/>
          </w:tcPr>
          <w:p w14:paraId="38A69EC5"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6B25C3C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D3BB4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FC539F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4C722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BC4CE7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832565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E274C01"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30CB43C" w14:textId="77777777" w:rsidTr="001B330E">
        <w:trPr>
          <w:trHeight w:val="23"/>
        </w:trPr>
        <w:tc>
          <w:tcPr>
            <w:tcW w:w="1438" w:type="pct"/>
            <w:vAlign w:val="bottom"/>
          </w:tcPr>
          <w:p w14:paraId="5087EB47"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Fee and commission expense</w:t>
            </w:r>
          </w:p>
        </w:tc>
        <w:tc>
          <w:tcPr>
            <w:tcW w:w="509" w:type="pct"/>
            <w:vAlign w:val="bottom"/>
          </w:tcPr>
          <w:p w14:paraId="0959E6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8D9545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486166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716441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3FC61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59EDA4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A29075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C9A93F7" w14:textId="77777777" w:rsidTr="001B330E">
        <w:trPr>
          <w:trHeight w:val="23"/>
        </w:trPr>
        <w:tc>
          <w:tcPr>
            <w:tcW w:w="1438" w:type="pct"/>
            <w:vAlign w:val="bottom"/>
          </w:tcPr>
          <w:p w14:paraId="596B2AC7"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7F54EAF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7C7A57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123402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06149D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F59F0D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878D24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E28C1A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FF627C6" w14:textId="77777777" w:rsidTr="001B330E">
        <w:trPr>
          <w:trHeight w:val="23"/>
        </w:trPr>
        <w:tc>
          <w:tcPr>
            <w:tcW w:w="1438" w:type="pct"/>
            <w:vAlign w:val="bottom"/>
          </w:tcPr>
          <w:p w14:paraId="112B3237"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Gains/(losses) on initial recognition of assets at rates above/below market</w:t>
            </w:r>
          </w:p>
        </w:tc>
        <w:tc>
          <w:tcPr>
            <w:tcW w:w="509" w:type="pct"/>
            <w:vAlign w:val="bottom"/>
          </w:tcPr>
          <w:p w14:paraId="4132266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F7D64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E4E0C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08FEA7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C23A01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C174A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1A55D3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11469B1" w14:textId="77777777" w:rsidTr="001B330E">
        <w:trPr>
          <w:trHeight w:val="23"/>
        </w:trPr>
        <w:tc>
          <w:tcPr>
            <w:tcW w:w="1438" w:type="pct"/>
            <w:vAlign w:val="bottom"/>
          </w:tcPr>
          <w:p w14:paraId="5160CFA3"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0A0A920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91135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A114E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8AACEC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BCACC3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E08DE0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53A8531"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A1827D6" w14:textId="77777777" w:rsidTr="001B330E">
        <w:trPr>
          <w:trHeight w:val="23"/>
        </w:trPr>
        <w:tc>
          <w:tcPr>
            <w:tcW w:w="1438" w:type="pct"/>
            <w:vAlign w:val="bottom"/>
          </w:tcPr>
          <w:p w14:paraId="07276A52"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Gains/(losses) on initial recognition of liabilities at rates below/above market</w:t>
            </w:r>
          </w:p>
        </w:tc>
        <w:tc>
          <w:tcPr>
            <w:tcW w:w="509" w:type="pct"/>
            <w:vAlign w:val="bottom"/>
          </w:tcPr>
          <w:p w14:paraId="0E26760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48BA0C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A408D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F4CD3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0729DE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81FE98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4FA921"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F85EFCD" w14:textId="77777777" w:rsidTr="001B330E">
        <w:trPr>
          <w:trHeight w:val="23"/>
        </w:trPr>
        <w:tc>
          <w:tcPr>
            <w:tcW w:w="1438" w:type="pct"/>
            <w:vAlign w:val="bottom"/>
          </w:tcPr>
          <w:p w14:paraId="7BBD1634"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2009C47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1C2377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D7635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C0BE66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F924A9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A457A6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6755D37"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F09122F" w14:textId="77777777" w:rsidTr="001B330E">
        <w:trPr>
          <w:trHeight w:val="23"/>
        </w:trPr>
        <w:tc>
          <w:tcPr>
            <w:tcW w:w="1438" w:type="pct"/>
            <w:vAlign w:val="bottom"/>
          </w:tcPr>
          <w:p w14:paraId="004D901A" w14:textId="77777777" w:rsidR="00D83E33" w:rsidRPr="001B330E" w:rsidRDefault="00BC4072" w:rsidP="001B330E">
            <w:pPr>
              <w:widowControl w:val="0"/>
              <w:pBdr>
                <w:top w:val="nil"/>
                <w:left w:val="nil"/>
                <w:bottom w:val="nil"/>
                <w:right w:val="nil"/>
                <w:between w:val="nil"/>
              </w:pBdr>
              <w:ind w:left="113" w:hanging="113"/>
              <w:rPr>
                <w:i/>
                <w:color w:val="000000"/>
                <w:spacing w:val="-4"/>
              </w:rPr>
            </w:pPr>
            <w:r w:rsidRPr="001B330E">
              <w:rPr>
                <w:color w:val="000000"/>
                <w:spacing w:val="-4"/>
              </w:rPr>
              <w:t>Impairment of investment securities at FVOCI</w:t>
            </w:r>
          </w:p>
        </w:tc>
        <w:tc>
          <w:tcPr>
            <w:tcW w:w="509" w:type="pct"/>
            <w:vAlign w:val="bottom"/>
          </w:tcPr>
          <w:p w14:paraId="3A9DD60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42917F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78A7C1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6C81C4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F1D56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9432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54EE73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4BA22AD" w14:textId="77777777" w:rsidTr="001B330E">
        <w:trPr>
          <w:trHeight w:val="23"/>
        </w:trPr>
        <w:tc>
          <w:tcPr>
            <w:tcW w:w="1438" w:type="pct"/>
            <w:vAlign w:val="bottom"/>
          </w:tcPr>
          <w:p w14:paraId="6A0B4972"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4E0D995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AC0934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DE90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D655D3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4B6CE6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419AFD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87CBF0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F688397" w14:textId="77777777" w:rsidTr="001B330E">
        <w:trPr>
          <w:trHeight w:val="23"/>
        </w:trPr>
        <w:tc>
          <w:tcPr>
            <w:tcW w:w="1438" w:type="pct"/>
            <w:vAlign w:val="bottom"/>
          </w:tcPr>
          <w:p w14:paraId="43D10F3A" w14:textId="77777777" w:rsidR="00D83E33" w:rsidRPr="001B330E" w:rsidRDefault="00BC4072" w:rsidP="001B330E">
            <w:pPr>
              <w:widowControl w:val="0"/>
              <w:pBdr>
                <w:top w:val="nil"/>
                <w:left w:val="nil"/>
                <w:bottom w:val="nil"/>
                <w:right w:val="nil"/>
                <w:between w:val="nil"/>
              </w:pBdr>
              <w:ind w:left="113" w:hanging="113"/>
              <w:rPr>
                <w:i/>
                <w:color w:val="000000"/>
                <w:spacing w:val="-4"/>
              </w:rPr>
            </w:pPr>
            <w:r w:rsidRPr="001B330E">
              <w:rPr>
                <w:color w:val="000000"/>
                <w:spacing w:val="-4"/>
              </w:rPr>
              <w:t>Provision for credit related commitments</w:t>
            </w:r>
          </w:p>
        </w:tc>
        <w:tc>
          <w:tcPr>
            <w:tcW w:w="509" w:type="pct"/>
            <w:vAlign w:val="bottom"/>
          </w:tcPr>
          <w:p w14:paraId="46420FB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62C68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675FC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7D2C97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88729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A1BF5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3618F7"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BB45ADE" w14:textId="77777777" w:rsidTr="001B330E">
        <w:trPr>
          <w:trHeight w:val="23"/>
        </w:trPr>
        <w:tc>
          <w:tcPr>
            <w:tcW w:w="1438" w:type="pct"/>
            <w:vAlign w:val="bottom"/>
          </w:tcPr>
          <w:p w14:paraId="378CF2C0"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354980C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DD06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D5A405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A62EB9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FF61E6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FFA62D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3AE95C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0FA6452" w14:textId="77777777" w:rsidTr="001B330E">
        <w:trPr>
          <w:trHeight w:val="23"/>
        </w:trPr>
        <w:tc>
          <w:tcPr>
            <w:tcW w:w="1438" w:type="pct"/>
            <w:vAlign w:val="bottom"/>
          </w:tcPr>
          <w:p w14:paraId="610EC83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Other operating income </w:t>
            </w:r>
          </w:p>
        </w:tc>
        <w:tc>
          <w:tcPr>
            <w:tcW w:w="509" w:type="pct"/>
            <w:vAlign w:val="bottom"/>
          </w:tcPr>
          <w:p w14:paraId="0F24EB5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64080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957FB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052452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34050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B1637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419B9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DCED15C" w14:textId="77777777" w:rsidTr="001B330E">
        <w:trPr>
          <w:trHeight w:val="23"/>
        </w:trPr>
        <w:tc>
          <w:tcPr>
            <w:tcW w:w="1438" w:type="pct"/>
            <w:vAlign w:val="bottom"/>
          </w:tcPr>
          <w:p w14:paraId="40E75250"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smallCaps/>
                <w:color w:val="000000"/>
                <w:spacing w:val="-4"/>
              </w:rPr>
              <w:t> </w:t>
            </w:r>
          </w:p>
        </w:tc>
        <w:tc>
          <w:tcPr>
            <w:tcW w:w="509" w:type="pct"/>
            <w:vAlign w:val="bottom"/>
          </w:tcPr>
          <w:p w14:paraId="054DAD9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00859B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6754C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62BCA6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FFC9A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7E7BA0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FD948E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61C08DE" w14:textId="77777777" w:rsidTr="001B330E">
        <w:trPr>
          <w:trHeight w:val="23"/>
        </w:trPr>
        <w:tc>
          <w:tcPr>
            <w:tcW w:w="1438" w:type="pct"/>
            <w:vAlign w:val="bottom"/>
          </w:tcPr>
          <w:p w14:paraId="42429189"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color w:val="000000"/>
                <w:spacing w:val="-4"/>
              </w:rPr>
              <w:t>Gains/(losses) arising from early retirement of debt</w:t>
            </w:r>
          </w:p>
        </w:tc>
        <w:tc>
          <w:tcPr>
            <w:tcW w:w="509" w:type="pct"/>
            <w:vAlign w:val="bottom"/>
          </w:tcPr>
          <w:p w14:paraId="0ED609D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43509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78B85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34557A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641287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B9516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C752BB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136BB7B" w14:textId="77777777" w:rsidTr="001B330E">
        <w:trPr>
          <w:trHeight w:val="23"/>
        </w:trPr>
        <w:tc>
          <w:tcPr>
            <w:tcW w:w="1438" w:type="pct"/>
            <w:vAlign w:val="bottom"/>
          </w:tcPr>
          <w:p w14:paraId="1C8CF542"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smallCaps/>
                <w:color w:val="000000"/>
                <w:spacing w:val="-4"/>
              </w:rPr>
              <w:t> </w:t>
            </w:r>
          </w:p>
        </w:tc>
        <w:tc>
          <w:tcPr>
            <w:tcW w:w="509" w:type="pct"/>
            <w:vAlign w:val="bottom"/>
          </w:tcPr>
          <w:p w14:paraId="66A998D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58CB2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076F56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EB166E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6C4A63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12A96E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ECEC6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E0A9A1A" w14:textId="77777777" w:rsidTr="001B330E">
        <w:trPr>
          <w:trHeight w:val="23"/>
        </w:trPr>
        <w:tc>
          <w:tcPr>
            <w:tcW w:w="1438" w:type="pct"/>
            <w:vAlign w:val="bottom"/>
          </w:tcPr>
          <w:p w14:paraId="0BC34C22"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color w:val="000000"/>
                <w:spacing w:val="-4"/>
              </w:rPr>
              <w:t xml:space="preserve">Administrative and other operating expenses </w:t>
            </w:r>
          </w:p>
        </w:tc>
        <w:tc>
          <w:tcPr>
            <w:tcW w:w="509" w:type="pct"/>
            <w:vAlign w:val="bottom"/>
          </w:tcPr>
          <w:p w14:paraId="5E4C5D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2B6D30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ACA28F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892E79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6CAA35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6E8BEC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9ECD740"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33DC0CF" w14:textId="77777777" w:rsidTr="001B330E">
        <w:trPr>
          <w:trHeight w:val="23"/>
        </w:trPr>
        <w:tc>
          <w:tcPr>
            <w:tcW w:w="1438" w:type="pct"/>
            <w:vAlign w:val="bottom"/>
          </w:tcPr>
          <w:p w14:paraId="37C6A7D8"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smallCaps/>
                <w:color w:val="000000"/>
                <w:spacing w:val="-4"/>
              </w:rPr>
              <w:t> </w:t>
            </w:r>
          </w:p>
        </w:tc>
        <w:tc>
          <w:tcPr>
            <w:tcW w:w="509" w:type="pct"/>
            <w:vAlign w:val="bottom"/>
          </w:tcPr>
          <w:p w14:paraId="5B21DF7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D8785F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2B407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5569C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0C8C36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0FC14E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1BB2316"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6086CB0" w14:textId="77777777" w:rsidTr="001B330E">
        <w:trPr>
          <w:trHeight w:val="23"/>
        </w:trPr>
        <w:tc>
          <w:tcPr>
            <w:tcW w:w="1438" w:type="pct"/>
            <w:vAlign w:val="bottom"/>
          </w:tcPr>
          <w:p w14:paraId="131A996C" w14:textId="77777777" w:rsidR="00D83E33" w:rsidRPr="001B330E" w:rsidRDefault="00BC4072" w:rsidP="001B330E">
            <w:pPr>
              <w:widowControl w:val="0"/>
              <w:pBdr>
                <w:top w:val="nil"/>
                <w:left w:val="nil"/>
                <w:bottom w:val="nil"/>
                <w:right w:val="nil"/>
                <w:between w:val="nil"/>
              </w:pBdr>
              <w:tabs>
                <w:tab w:val="left" w:pos="2268"/>
              </w:tabs>
              <w:ind w:left="113" w:hanging="113"/>
              <w:rPr>
                <w:i/>
                <w:color w:val="000000"/>
                <w:spacing w:val="-4"/>
              </w:rPr>
            </w:pPr>
            <w:r w:rsidRPr="001B330E">
              <w:rPr>
                <w:color w:val="000000"/>
                <w:spacing w:val="-4"/>
              </w:rPr>
              <w:t>Share of result of associates</w:t>
            </w:r>
          </w:p>
        </w:tc>
        <w:tc>
          <w:tcPr>
            <w:tcW w:w="509" w:type="pct"/>
            <w:vAlign w:val="bottom"/>
          </w:tcPr>
          <w:p w14:paraId="7E7C7E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8FAC7E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7D4A7B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433D2E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32FC30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A5B050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0DD54B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AA2A915" w14:textId="77777777" w:rsidTr="001B330E">
        <w:trPr>
          <w:trHeight w:val="23"/>
        </w:trPr>
        <w:tc>
          <w:tcPr>
            <w:tcW w:w="1438" w:type="pct"/>
            <w:tcBorders>
              <w:bottom w:val="single" w:sz="12" w:space="0" w:color="000000"/>
            </w:tcBorders>
            <w:vAlign w:val="bottom"/>
          </w:tcPr>
          <w:p w14:paraId="1C3E8537"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smallCaps/>
                <w:color w:val="000000"/>
                <w:spacing w:val="-4"/>
              </w:rPr>
              <w:t> </w:t>
            </w:r>
          </w:p>
        </w:tc>
        <w:tc>
          <w:tcPr>
            <w:tcW w:w="509" w:type="pct"/>
            <w:tcBorders>
              <w:bottom w:val="single" w:sz="12" w:space="0" w:color="000000"/>
            </w:tcBorders>
            <w:vAlign w:val="bottom"/>
          </w:tcPr>
          <w:p w14:paraId="25894A5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1EF5269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3DD68A4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6A82D52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3838F8F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7CB3D87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1A8565E4" w14:textId="77777777" w:rsidR="00D83E33" w:rsidRPr="001B330E" w:rsidRDefault="00D83E33">
            <w:pPr>
              <w:widowControl w:val="0"/>
              <w:pBdr>
                <w:top w:val="nil"/>
                <w:left w:val="nil"/>
                <w:bottom w:val="nil"/>
                <w:right w:val="nil"/>
                <w:between w:val="nil"/>
              </w:pBdr>
              <w:jc w:val="right"/>
              <w:rPr>
                <w:color w:val="000000"/>
                <w:spacing w:val="-4"/>
              </w:rPr>
            </w:pPr>
          </w:p>
        </w:tc>
      </w:tr>
    </w:tbl>
    <w:p w14:paraId="1D3D4886" w14:textId="6B04E052" w:rsidR="00D83E33" w:rsidRPr="001B330E" w:rsidRDefault="00BC4072">
      <w:pPr>
        <w:widowControl w:val="0"/>
        <w:spacing w:before="200" w:after="200"/>
        <w:jc w:val="both"/>
        <w:rPr>
          <w:i/>
          <w:color w:val="FF0000"/>
          <w:spacing w:val="-2"/>
          <w:sz w:val="20"/>
          <w:szCs w:val="20"/>
        </w:rPr>
      </w:pPr>
      <w:r w:rsidRPr="001B330E">
        <w:rPr>
          <w:i/>
          <w:color w:val="FF0000"/>
          <w:spacing w:val="-2"/>
          <w:sz w:val="20"/>
          <w:szCs w:val="20"/>
        </w:rPr>
        <w:t>[Disclose also any other information about the transactions and outstanding balances that is necessary for an understanding of the potential effect of the related party relationship on the financial statements.]</w:t>
      </w:r>
    </w:p>
    <w:p w14:paraId="5313F181" w14:textId="12EDA822" w:rsidR="00D83E33" w:rsidRDefault="00BC4072" w:rsidP="001B330E">
      <w:pPr>
        <w:pStyle w:val="Continued"/>
      </w:pPr>
      <w:r>
        <w:lastRenderedPageBreak/>
        <w:t>51</w:t>
      </w:r>
      <w:r>
        <w:tab/>
        <w:t>Related Party Transactions (Continued)</w:t>
      </w:r>
    </w:p>
    <w:p w14:paraId="3F24BDE0" w14:textId="5045A9F5" w:rsidR="00D83E33" w:rsidRPr="001B330E" w:rsidRDefault="00BC4072">
      <w:pPr>
        <w:widowControl w:val="0"/>
        <w:spacing w:before="200" w:after="200"/>
        <w:rPr>
          <w:spacing w:val="-2"/>
          <w:sz w:val="20"/>
          <w:szCs w:val="20"/>
        </w:rPr>
      </w:pPr>
      <w:r w:rsidRPr="001B330E">
        <w:rPr>
          <w:spacing w:val="-2"/>
          <w:sz w:val="20"/>
          <w:szCs w:val="20"/>
        </w:rPr>
        <w:t>At 31</w:t>
      </w:r>
      <w:r w:rsidR="00181687">
        <w:rPr>
          <w:spacing w:val="-2"/>
          <w:sz w:val="20"/>
          <w:szCs w:val="20"/>
        </w:rPr>
        <w:t> December </w:t>
      </w:r>
      <w:r w:rsidR="00541EBC">
        <w:rPr>
          <w:spacing w:val="-2"/>
          <w:sz w:val="20"/>
          <w:szCs w:val="20"/>
        </w:rPr>
        <w:t>2024</w:t>
      </w:r>
      <w:r w:rsidRPr="001B330E">
        <w:rPr>
          <w:spacing w:val="-2"/>
          <w:sz w:val="20"/>
          <w:szCs w:val="20"/>
        </w:rPr>
        <w:t xml:space="preserve">, other rights and obligations with related parties were as follows: </w:t>
      </w:r>
    </w:p>
    <w:tbl>
      <w:tblPr>
        <w:tblStyle w:val="afffffffffffffffff7"/>
        <w:tblW w:w="5000" w:type="pct"/>
        <w:tblLayout w:type="fixed"/>
        <w:tblLook w:val="0000" w:firstRow="0" w:lastRow="0" w:firstColumn="0" w:lastColumn="0" w:noHBand="0" w:noVBand="0"/>
      </w:tblPr>
      <w:tblGrid>
        <w:gridCol w:w="2691"/>
        <w:gridCol w:w="953"/>
        <w:gridCol w:w="953"/>
        <w:gridCol w:w="952"/>
        <w:gridCol w:w="952"/>
        <w:gridCol w:w="952"/>
        <w:gridCol w:w="952"/>
        <w:gridCol w:w="950"/>
      </w:tblGrid>
      <w:tr w:rsidR="00D83E33" w:rsidRPr="00283A73" w14:paraId="444C85AA" w14:textId="77777777" w:rsidTr="001B330E">
        <w:trPr>
          <w:trHeight w:val="23"/>
        </w:trPr>
        <w:tc>
          <w:tcPr>
            <w:tcW w:w="1438" w:type="pct"/>
            <w:tcBorders>
              <w:bottom w:val="single" w:sz="4" w:space="0" w:color="000000"/>
            </w:tcBorders>
            <w:vAlign w:val="bottom"/>
          </w:tcPr>
          <w:p w14:paraId="7F95164F" w14:textId="2F8963D2" w:rsidR="00D83E33" w:rsidRPr="001B330E" w:rsidRDefault="00313B4D" w:rsidP="001B330E">
            <w:pPr>
              <w:widowControl w:val="0"/>
              <w:ind w:left="113" w:hanging="113"/>
              <w:rPr>
                <w:i/>
                <w:spacing w:val="-4"/>
              </w:rPr>
            </w:pPr>
            <w:r>
              <w:rPr>
                <w:i/>
                <w:spacing w:val="-4"/>
              </w:rPr>
              <w:t xml:space="preserve">In thousands of </w:t>
            </w:r>
            <w:r w:rsidR="002649EE">
              <w:rPr>
                <w:i/>
                <w:spacing w:val="-4"/>
              </w:rPr>
              <w:t>EUR</w:t>
            </w:r>
          </w:p>
        </w:tc>
        <w:tc>
          <w:tcPr>
            <w:tcW w:w="509" w:type="pct"/>
            <w:tcBorders>
              <w:bottom w:val="single" w:sz="4" w:space="0" w:color="000000"/>
            </w:tcBorders>
          </w:tcPr>
          <w:p w14:paraId="1585D009"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Immedi-ate parent company</w:t>
            </w:r>
          </w:p>
        </w:tc>
        <w:tc>
          <w:tcPr>
            <w:tcW w:w="509" w:type="pct"/>
            <w:tcBorders>
              <w:bottom w:val="single" w:sz="4" w:space="0" w:color="000000"/>
            </w:tcBorders>
          </w:tcPr>
          <w:p w14:paraId="498A9C25" w14:textId="0B949FDE"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 xml:space="preserve">Other </w:t>
            </w:r>
            <w:r w:rsidR="00FA2F22">
              <w:rPr>
                <w:b/>
                <w:color w:val="000000"/>
                <w:spacing w:val="-4"/>
              </w:rPr>
              <w:t>signifi-cant</w:t>
            </w:r>
            <w:r w:rsidRPr="001B330E">
              <w:rPr>
                <w:b/>
                <w:color w:val="000000"/>
                <w:spacing w:val="-4"/>
              </w:rPr>
              <w:t xml:space="preserve"> share-holders</w:t>
            </w:r>
          </w:p>
        </w:tc>
        <w:tc>
          <w:tcPr>
            <w:tcW w:w="509" w:type="pct"/>
            <w:tcBorders>
              <w:bottom w:val="single" w:sz="4" w:space="0" w:color="000000"/>
            </w:tcBorders>
          </w:tcPr>
          <w:p w14:paraId="65951E17" w14:textId="77777777" w:rsidR="00D83E33" w:rsidRPr="001B330E" w:rsidRDefault="00BC4072">
            <w:pPr>
              <w:widowControl w:val="0"/>
              <w:pBdr>
                <w:top w:val="nil"/>
                <w:left w:val="nil"/>
                <w:bottom w:val="nil"/>
                <w:right w:val="nil"/>
                <w:between w:val="nil"/>
              </w:pBdr>
              <w:ind w:left="-113"/>
              <w:jc w:val="right"/>
              <w:rPr>
                <w:b/>
                <w:color w:val="0000FF"/>
                <w:spacing w:val="-4"/>
              </w:rPr>
            </w:pPr>
            <w:r w:rsidRPr="001B330E">
              <w:rPr>
                <w:b/>
                <w:color w:val="0000FF"/>
                <w:spacing w:val="-4"/>
              </w:rPr>
              <w:t>[Entities under common control]</w:t>
            </w:r>
          </w:p>
        </w:tc>
        <w:tc>
          <w:tcPr>
            <w:tcW w:w="509" w:type="pct"/>
            <w:tcBorders>
              <w:bottom w:val="single" w:sz="4" w:space="0" w:color="000000"/>
            </w:tcBorders>
          </w:tcPr>
          <w:p w14:paraId="24B052B7"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Key manage-ment personnel</w:t>
            </w:r>
          </w:p>
        </w:tc>
        <w:tc>
          <w:tcPr>
            <w:tcW w:w="509" w:type="pct"/>
            <w:tcBorders>
              <w:bottom w:val="single" w:sz="4" w:space="0" w:color="000000"/>
            </w:tcBorders>
          </w:tcPr>
          <w:p w14:paraId="1B6201B6"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Asso-ciates</w:t>
            </w:r>
          </w:p>
        </w:tc>
        <w:tc>
          <w:tcPr>
            <w:tcW w:w="509" w:type="pct"/>
            <w:tcBorders>
              <w:bottom w:val="single" w:sz="4" w:space="0" w:color="000000"/>
            </w:tcBorders>
          </w:tcPr>
          <w:p w14:paraId="19E864AF"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Joint ventures</w:t>
            </w:r>
          </w:p>
        </w:tc>
        <w:tc>
          <w:tcPr>
            <w:tcW w:w="509" w:type="pct"/>
            <w:tcBorders>
              <w:bottom w:val="single" w:sz="4" w:space="0" w:color="000000"/>
            </w:tcBorders>
          </w:tcPr>
          <w:p w14:paraId="036B3E95"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Other related parties</w:t>
            </w:r>
          </w:p>
        </w:tc>
      </w:tr>
      <w:tr w:rsidR="00D83E33" w:rsidRPr="00283A73" w14:paraId="75256712" w14:textId="77777777" w:rsidTr="001B330E">
        <w:trPr>
          <w:trHeight w:val="23"/>
        </w:trPr>
        <w:tc>
          <w:tcPr>
            <w:tcW w:w="1438" w:type="pct"/>
            <w:tcBorders>
              <w:top w:val="single" w:sz="4" w:space="0" w:color="000000"/>
            </w:tcBorders>
            <w:vAlign w:val="bottom"/>
          </w:tcPr>
          <w:p w14:paraId="46B092B0" w14:textId="77777777" w:rsidR="00D83E33" w:rsidRPr="001B330E" w:rsidRDefault="00BC4072" w:rsidP="001B330E">
            <w:pPr>
              <w:widowControl w:val="0"/>
              <w:ind w:left="113" w:hanging="113"/>
              <w:rPr>
                <w:b/>
                <w:spacing w:val="-4"/>
              </w:rPr>
            </w:pPr>
            <w:r w:rsidRPr="001B330E">
              <w:rPr>
                <w:b/>
                <w:spacing w:val="-4"/>
              </w:rPr>
              <w:t> </w:t>
            </w:r>
          </w:p>
        </w:tc>
        <w:tc>
          <w:tcPr>
            <w:tcW w:w="509" w:type="pct"/>
            <w:tcBorders>
              <w:top w:val="single" w:sz="4" w:space="0" w:color="000000"/>
            </w:tcBorders>
            <w:vAlign w:val="bottom"/>
          </w:tcPr>
          <w:p w14:paraId="7EF8522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1774E22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7A141A4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7040ED2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05D70FF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268B667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4CE7D6B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11B7AC0" w14:textId="77777777" w:rsidTr="001B330E">
        <w:trPr>
          <w:trHeight w:val="23"/>
        </w:trPr>
        <w:tc>
          <w:tcPr>
            <w:tcW w:w="1438" w:type="pct"/>
            <w:vAlign w:val="bottom"/>
          </w:tcPr>
          <w:p w14:paraId="36F02503"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Guarantees issued by the Group at the year end</w:t>
            </w:r>
          </w:p>
        </w:tc>
        <w:tc>
          <w:tcPr>
            <w:tcW w:w="509" w:type="pct"/>
            <w:vAlign w:val="bottom"/>
          </w:tcPr>
          <w:p w14:paraId="35C8A72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DC14C7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9EA3F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005A3B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3653FB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4988A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60D239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D9F8469" w14:textId="77777777" w:rsidTr="001B330E">
        <w:trPr>
          <w:trHeight w:val="23"/>
        </w:trPr>
        <w:tc>
          <w:tcPr>
            <w:tcW w:w="1438" w:type="pct"/>
            <w:vAlign w:val="bottom"/>
          </w:tcPr>
          <w:p w14:paraId="0640ED3F" w14:textId="77777777" w:rsidR="00D83E33" w:rsidRPr="001B330E" w:rsidRDefault="00BC4072" w:rsidP="001B330E">
            <w:pPr>
              <w:widowControl w:val="0"/>
              <w:ind w:left="113" w:hanging="113"/>
              <w:rPr>
                <w:spacing w:val="-4"/>
              </w:rPr>
            </w:pPr>
            <w:r w:rsidRPr="001B330E">
              <w:rPr>
                <w:b/>
                <w:spacing w:val="-4"/>
              </w:rPr>
              <w:t> </w:t>
            </w:r>
          </w:p>
        </w:tc>
        <w:tc>
          <w:tcPr>
            <w:tcW w:w="509" w:type="pct"/>
            <w:vAlign w:val="bottom"/>
          </w:tcPr>
          <w:p w14:paraId="03DA470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7E3B9C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65ABFC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7C809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5D593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134C70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0C48141"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38189A5" w14:textId="77777777" w:rsidTr="001B330E">
        <w:trPr>
          <w:trHeight w:val="23"/>
        </w:trPr>
        <w:tc>
          <w:tcPr>
            <w:tcW w:w="1438" w:type="pct"/>
            <w:vAlign w:val="bottom"/>
          </w:tcPr>
          <w:p w14:paraId="1BA7A7BC"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Guarantees received by the Group at the year end</w:t>
            </w:r>
          </w:p>
        </w:tc>
        <w:tc>
          <w:tcPr>
            <w:tcW w:w="509" w:type="pct"/>
            <w:vAlign w:val="bottom"/>
          </w:tcPr>
          <w:p w14:paraId="09DA86E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75265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C4C2E0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18E56E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CA9852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E663F2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926D8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FB4C767" w14:textId="77777777" w:rsidTr="001B330E">
        <w:trPr>
          <w:trHeight w:val="23"/>
        </w:trPr>
        <w:tc>
          <w:tcPr>
            <w:tcW w:w="1438" w:type="pct"/>
            <w:vAlign w:val="bottom"/>
          </w:tcPr>
          <w:p w14:paraId="4B8A6D76" w14:textId="77777777" w:rsidR="00D83E33" w:rsidRPr="001B330E" w:rsidRDefault="00BC4072" w:rsidP="001B330E">
            <w:pPr>
              <w:widowControl w:val="0"/>
              <w:ind w:left="113" w:hanging="113"/>
              <w:rPr>
                <w:spacing w:val="-4"/>
              </w:rPr>
            </w:pPr>
            <w:r w:rsidRPr="001B330E">
              <w:rPr>
                <w:b/>
                <w:spacing w:val="-4"/>
              </w:rPr>
              <w:t> </w:t>
            </w:r>
          </w:p>
        </w:tc>
        <w:tc>
          <w:tcPr>
            <w:tcW w:w="509" w:type="pct"/>
            <w:vAlign w:val="bottom"/>
          </w:tcPr>
          <w:p w14:paraId="18961EB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24F39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A2195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BB3C40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A73FFB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25A15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1AA5CB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F1936D2" w14:textId="77777777" w:rsidTr="001B330E">
        <w:trPr>
          <w:trHeight w:val="23"/>
        </w:trPr>
        <w:tc>
          <w:tcPr>
            <w:tcW w:w="1438" w:type="pct"/>
            <w:vAlign w:val="bottom"/>
          </w:tcPr>
          <w:p w14:paraId="6552A73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Import letters of credit at the year end</w:t>
            </w:r>
          </w:p>
        </w:tc>
        <w:tc>
          <w:tcPr>
            <w:tcW w:w="509" w:type="pct"/>
            <w:vAlign w:val="bottom"/>
          </w:tcPr>
          <w:p w14:paraId="2EE5B8E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DF4550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16EF43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9ABEE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39BCD6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B2509D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6F77A3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47E0504" w14:textId="77777777" w:rsidTr="001B330E">
        <w:trPr>
          <w:trHeight w:val="23"/>
        </w:trPr>
        <w:tc>
          <w:tcPr>
            <w:tcW w:w="1438" w:type="pct"/>
            <w:vAlign w:val="bottom"/>
          </w:tcPr>
          <w:p w14:paraId="65590D20"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 </w:t>
            </w:r>
          </w:p>
        </w:tc>
        <w:tc>
          <w:tcPr>
            <w:tcW w:w="509" w:type="pct"/>
            <w:vAlign w:val="bottom"/>
          </w:tcPr>
          <w:p w14:paraId="2459619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02877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013F2B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853347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B0FA45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220C73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88785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0FA2A4C" w14:textId="77777777" w:rsidTr="001B330E">
        <w:trPr>
          <w:trHeight w:val="23"/>
        </w:trPr>
        <w:tc>
          <w:tcPr>
            <w:tcW w:w="1438" w:type="pct"/>
            <w:vAlign w:val="bottom"/>
          </w:tcPr>
          <w:p w14:paraId="719328B7"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Export letters of credit at the year end</w:t>
            </w:r>
          </w:p>
        </w:tc>
        <w:tc>
          <w:tcPr>
            <w:tcW w:w="509" w:type="pct"/>
            <w:vAlign w:val="bottom"/>
          </w:tcPr>
          <w:p w14:paraId="358DF28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19D532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8B9E3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64078E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26BB54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916197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DBDEA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6251F33" w14:textId="77777777" w:rsidTr="001B330E">
        <w:trPr>
          <w:trHeight w:val="23"/>
        </w:trPr>
        <w:tc>
          <w:tcPr>
            <w:tcW w:w="1438" w:type="pct"/>
            <w:vAlign w:val="bottom"/>
          </w:tcPr>
          <w:p w14:paraId="7835A044"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3C5237C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33B14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F24C9A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1591C3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9BDF7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0D9AE2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9F9FB2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4F0553F" w14:textId="77777777" w:rsidTr="001B330E">
        <w:trPr>
          <w:trHeight w:val="23"/>
        </w:trPr>
        <w:tc>
          <w:tcPr>
            <w:tcW w:w="1438" w:type="pct"/>
            <w:vAlign w:val="bottom"/>
          </w:tcPr>
          <w:p w14:paraId="292AB00F"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Contractual commitments to purchase goods</w:t>
            </w:r>
          </w:p>
        </w:tc>
        <w:tc>
          <w:tcPr>
            <w:tcW w:w="509" w:type="pct"/>
            <w:vAlign w:val="bottom"/>
          </w:tcPr>
          <w:p w14:paraId="65B102B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C138E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B2139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A6A83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78FA1A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38E6B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DF902E1"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0D7682E" w14:textId="77777777" w:rsidTr="001B330E">
        <w:trPr>
          <w:trHeight w:val="23"/>
        </w:trPr>
        <w:tc>
          <w:tcPr>
            <w:tcW w:w="1438" w:type="pct"/>
            <w:vAlign w:val="bottom"/>
          </w:tcPr>
          <w:p w14:paraId="13030DC2"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773383F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5ABFA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A77153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57533D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C51E78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D2B7FD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D3CFC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E3E3182" w14:textId="77777777" w:rsidTr="001B330E">
        <w:trPr>
          <w:trHeight w:val="23"/>
        </w:trPr>
        <w:tc>
          <w:tcPr>
            <w:tcW w:w="1438" w:type="pct"/>
            <w:vAlign w:val="bottom"/>
          </w:tcPr>
          <w:p w14:paraId="62C4607C"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Contractual commitments to purchase services</w:t>
            </w:r>
          </w:p>
        </w:tc>
        <w:tc>
          <w:tcPr>
            <w:tcW w:w="509" w:type="pct"/>
            <w:vAlign w:val="bottom"/>
          </w:tcPr>
          <w:p w14:paraId="22B6629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9F1359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5A1A99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F2CCA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EA13C1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A8B250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71791B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81E9DAD" w14:textId="77777777" w:rsidTr="001B330E">
        <w:trPr>
          <w:trHeight w:val="23"/>
        </w:trPr>
        <w:tc>
          <w:tcPr>
            <w:tcW w:w="1438" w:type="pct"/>
            <w:vAlign w:val="bottom"/>
          </w:tcPr>
          <w:p w14:paraId="62FE371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4D95738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97D147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8836E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AAF5C5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764B5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934813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4D5766"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2E76870" w14:textId="77777777" w:rsidTr="001B330E">
        <w:trPr>
          <w:trHeight w:val="23"/>
        </w:trPr>
        <w:tc>
          <w:tcPr>
            <w:tcW w:w="1438" w:type="pct"/>
            <w:vAlign w:val="bottom"/>
          </w:tcPr>
          <w:p w14:paraId="5993C379"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Contractual commitments to sell goods</w:t>
            </w:r>
          </w:p>
        </w:tc>
        <w:tc>
          <w:tcPr>
            <w:tcW w:w="509" w:type="pct"/>
            <w:vAlign w:val="bottom"/>
          </w:tcPr>
          <w:p w14:paraId="14BED9B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B221E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4CAB8F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0278C5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83EC11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A81612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078BC95"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5A4F72A" w14:textId="77777777" w:rsidTr="001B330E">
        <w:trPr>
          <w:trHeight w:val="23"/>
        </w:trPr>
        <w:tc>
          <w:tcPr>
            <w:tcW w:w="1438" w:type="pct"/>
            <w:vAlign w:val="bottom"/>
          </w:tcPr>
          <w:p w14:paraId="029E4F08"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0E4A9E2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A324F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0CF182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3DD9B4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79AE53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C580A2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8B5E1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B930234" w14:textId="77777777" w:rsidTr="001B330E">
        <w:trPr>
          <w:trHeight w:val="23"/>
        </w:trPr>
        <w:tc>
          <w:tcPr>
            <w:tcW w:w="1438" w:type="pct"/>
            <w:vAlign w:val="bottom"/>
          </w:tcPr>
          <w:p w14:paraId="44AACE30"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Contractual commitments to sell services</w:t>
            </w:r>
          </w:p>
        </w:tc>
        <w:tc>
          <w:tcPr>
            <w:tcW w:w="509" w:type="pct"/>
            <w:vAlign w:val="bottom"/>
          </w:tcPr>
          <w:p w14:paraId="67B4EFA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35B19A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F343A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77640E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EA5518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734D5C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0F9D5F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F49BC2E" w14:textId="77777777" w:rsidTr="001B330E">
        <w:trPr>
          <w:trHeight w:val="23"/>
        </w:trPr>
        <w:tc>
          <w:tcPr>
            <w:tcW w:w="1438" w:type="pct"/>
            <w:vAlign w:val="bottom"/>
          </w:tcPr>
          <w:p w14:paraId="51C8870A"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14F1781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9965C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E1243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137CF1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5106F2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854E8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21D087"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BFEE766" w14:textId="77777777" w:rsidTr="001B330E">
        <w:trPr>
          <w:trHeight w:val="23"/>
        </w:trPr>
        <w:tc>
          <w:tcPr>
            <w:tcW w:w="1438" w:type="pct"/>
            <w:vAlign w:val="bottom"/>
          </w:tcPr>
          <w:p w14:paraId="4AC53BB4"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Other commitments</w:t>
            </w:r>
          </w:p>
        </w:tc>
        <w:tc>
          <w:tcPr>
            <w:tcW w:w="509" w:type="pct"/>
            <w:vAlign w:val="bottom"/>
          </w:tcPr>
          <w:p w14:paraId="0B90402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7F926B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C4F874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204D91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F088F8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77484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91B6BA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C8AB8DC" w14:textId="77777777" w:rsidTr="001B330E">
        <w:trPr>
          <w:trHeight w:val="23"/>
        </w:trPr>
        <w:tc>
          <w:tcPr>
            <w:tcW w:w="1438" w:type="pct"/>
            <w:vAlign w:val="bottom"/>
          </w:tcPr>
          <w:p w14:paraId="6D001130"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 </w:t>
            </w:r>
          </w:p>
        </w:tc>
        <w:tc>
          <w:tcPr>
            <w:tcW w:w="509" w:type="pct"/>
            <w:vAlign w:val="bottom"/>
          </w:tcPr>
          <w:p w14:paraId="36A0562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016BA0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2EAF1B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A48A1A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6F1E4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EA292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6393A9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E45F5E6" w14:textId="77777777" w:rsidTr="001B330E">
        <w:trPr>
          <w:trHeight w:val="23"/>
        </w:trPr>
        <w:tc>
          <w:tcPr>
            <w:tcW w:w="1438" w:type="pct"/>
            <w:vAlign w:val="bottom"/>
          </w:tcPr>
          <w:p w14:paraId="30E29442"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Other contingent obligations</w:t>
            </w:r>
          </w:p>
        </w:tc>
        <w:tc>
          <w:tcPr>
            <w:tcW w:w="509" w:type="pct"/>
            <w:vAlign w:val="bottom"/>
          </w:tcPr>
          <w:p w14:paraId="7F5E74A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AD175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65FA5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F42A8B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50242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88405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1A1935"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478BEF1" w14:textId="77777777" w:rsidTr="001B330E">
        <w:trPr>
          <w:trHeight w:val="23"/>
        </w:trPr>
        <w:tc>
          <w:tcPr>
            <w:tcW w:w="1438" w:type="pct"/>
            <w:tcBorders>
              <w:bottom w:val="single" w:sz="12" w:space="0" w:color="000000"/>
            </w:tcBorders>
            <w:vAlign w:val="bottom"/>
          </w:tcPr>
          <w:p w14:paraId="6CF744C1"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 </w:t>
            </w:r>
          </w:p>
        </w:tc>
        <w:tc>
          <w:tcPr>
            <w:tcW w:w="509" w:type="pct"/>
            <w:tcBorders>
              <w:bottom w:val="single" w:sz="12" w:space="0" w:color="000000"/>
            </w:tcBorders>
            <w:vAlign w:val="bottom"/>
          </w:tcPr>
          <w:p w14:paraId="651595E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0824871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7C5EBAA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592C18F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0BC7D79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0CA767D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0D489495" w14:textId="77777777" w:rsidR="00D83E33" w:rsidRPr="001B330E" w:rsidRDefault="00D83E33">
            <w:pPr>
              <w:widowControl w:val="0"/>
              <w:pBdr>
                <w:top w:val="nil"/>
                <w:left w:val="nil"/>
                <w:bottom w:val="nil"/>
                <w:right w:val="nil"/>
                <w:between w:val="nil"/>
              </w:pBdr>
              <w:jc w:val="right"/>
              <w:rPr>
                <w:color w:val="000000"/>
                <w:spacing w:val="-4"/>
              </w:rPr>
            </w:pPr>
          </w:p>
        </w:tc>
      </w:tr>
    </w:tbl>
    <w:p w14:paraId="174200D7" w14:textId="1B95F758" w:rsidR="00D83E33" w:rsidRPr="001B330E" w:rsidRDefault="00BC4072">
      <w:pPr>
        <w:widowControl w:val="0"/>
        <w:pBdr>
          <w:top w:val="nil"/>
          <w:left w:val="nil"/>
          <w:bottom w:val="nil"/>
          <w:right w:val="nil"/>
          <w:between w:val="nil"/>
        </w:pBdr>
        <w:spacing w:before="200" w:after="200"/>
        <w:jc w:val="both"/>
        <w:rPr>
          <w:color w:val="000000"/>
          <w:spacing w:val="-2"/>
          <w:sz w:val="20"/>
          <w:szCs w:val="20"/>
        </w:rPr>
      </w:pPr>
      <w:r w:rsidRPr="001B330E">
        <w:rPr>
          <w:color w:val="000000"/>
          <w:spacing w:val="-2"/>
          <w:sz w:val="20"/>
          <w:szCs w:val="20"/>
        </w:rPr>
        <w:t xml:space="preserve">Aggregate amounts lent to and repaid by related parties during </w:t>
      </w:r>
      <w:r w:rsidR="00541EBC">
        <w:rPr>
          <w:color w:val="000000"/>
          <w:spacing w:val="-2"/>
          <w:sz w:val="20"/>
          <w:szCs w:val="20"/>
        </w:rPr>
        <w:t>2024</w:t>
      </w:r>
      <w:r w:rsidRPr="001B330E">
        <w:rPr>
          <w:color w:val="000000"/>
          <w:spacing w:val="-2"/>
          <w:sz w:val="20"/>
          <w:szCs w:val="20"/>
        </w:rPr>
        <w:t xml:space="preserve"> were:</w:t>
      </w:r>
    </w:p>
    <w:tbl>
      <w:tblPr>
        <w:tblStyle w:val="afffffffffffffffff8"/>
        <w:tblW w:w="5000" w:type="pct"/>
        <w:tblLayout w:type="fixed"/>
        <w:tblLook w:val="0000" w:firstRow="0" w:lastRow="0" w:firstColumn="0" w:lastColumn="0" w:noHBand="0" w:noVBand="0"/>
      </w:tblPr>
      <w:tblGrid>
        <w:gridCol w:w="2691"/>
        <w:gridCol w:w="953"/>
        <w:gridCol w:w="953"/>
        <w:gridCol w:w="952"/>
        <w:gridCol w:w="952"/>
        <w:gridCol w:w="952"/>
        <w:gridCol w:w="952"/>
        <w:gridCol w:w="950"/>
      </w:tblGrid>
      <w:tr w:rsidR="00D83E33" w:rsidRPr="00283A73" w14:paraId="62361ABE" w14:textId="77777777" w:rsidTr="001B330E">
        <w:trPr>
          <w:trHeight w:val="23"/>
        </w:trPr>
        <w:tc>
          <w:tcPr>
            <w:tcW w:w="1438" w:type="pct"/>
            <w:tcBorders>
              <w:bottom w:val="single" w:sz="4" w:space="0" w:color="000000"/>
            </w:tcBorders>
            <w:vAlign w:val="bottom"/>
          </w:tcPr>
          <w:p w14:paraId="5A26F10D" w14:textId="27C3FCE9" w:rsidR="00D83E33" w:rsidRPr="001B330E" w:rsidRDefault="00313B4D" w:rsidP="001B330E">
            <w:pPr>
              <w:widowControl w:val="0"/>
              <w:ind w:left="113" w:hanging="113"/>
              <w:rPr>
                <w:i/>
                <w:spacing w:val="-4"/>
              </w:rPr>
            </w:pPr>
            <w:r>
              <w:rPr>
                <w:i/>
                <w:spacing w:val="-4"/>
              </w:rPr>
              <w:t xml:space="preserve">In thousands of </w:t>
            </w:r>
            <w:r w:rsidR="002649EE">
              <w:rPr>
                <w:i/>
                <w:spacing w:val="-4"/>
              </w:rPr>
              <w:t>EUR</w:t>
            </w:r>
          </w:p>
        </w:tc>
        <w:tc>
          <w:tcPr>
            <w:tcW w:w="509" w:type="pct"/>
            <w:tcBorders>
              <w:bottom w:val="single" w:sz="4" w:space="0" w:color="000000"/>
            </w:tcBorders>
          </w:tcPr>
          <w:p w14:paraId="22FA5B5D"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Immedi-ate parent company</w:t>
            </w:r>
          </w:p>
        </w:tc>
        <w:tc>
          <w:tcPr>
            <w:tcW w:w="509" w:type="pct"/>
            <w:tcBorders>
              <w:bottom w:val="single" w:sz="4" w:space="0" w:color="000000"/>
            </w:tcBorders>
          </w:tcPr>
          <w:p w14:paraId="798FB7E1" w14:textId="3F5DCFA9"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 xml:space="preserve">Other </w:t>
            </w:r>
            <w:r w:rsidR="00FA2F22">
              <w:rPr>
                <w:b/>
                <w:color w:val="000000"/>
                <w:spacing w:val="-4"/>
              </w:rPr>
              <w:t>signifi-cant</w:t>
            </w:r>
            <w:r w:rsidRPr="001B330E">
              <w:rPr>
                <w:b/>
                <w:color w:val="000000"/>
                <w:spacing w:val="-4"/>
              </w:rPr>
              <w:t xml:space="preserve"> share-holders</w:t>
            </w:r>
          </w:p>
        </w:tc>
        <w:tc>
          <w:tcPr>
            <w:tcW w:w="509" w:type="pct"/>
            <w:tcBorders>
              <w:bottom w:val="single" w:sz="4" w:space="0" w:color="000000"/>
            </w:tcBorders>
          </w:tcPr>
          <w:p w14:paraId="198E1C51" w14:textId="77777777" w:rsidR="00D83E33" w:rsidRPr="001B330E" w:rsidRDefault="00BC4072">
            <w:pPr>
              <w:widowControl w:val="0"/>
              <w:pBdr>
                <w:top w:val="nil"/>
                <w:left w:val="nil"/>
                <w:bottom w:val="nil"/>
                <w:right w:val="nil"/>
                <w:between w:val="nil"/>
              </w:pBdr>
              <w:ind w:left="-113"/>
              <w:jc w:val="right"/>
              <w:rPr>
                <w:b/>
                <w:color w:val="0000FF"/>
                <w:spacing w:val="-4"/>
              </w:rPr>
            </w:pPr>
            <w:r w:rsidRPr="001B330E">
              <w:rPr>
                <w:b/>
                <w:color w:val="0000FF"/>
                <w:spacing w:val="-4"/>
              </w:rPr>
              <w:t>[Entities under common control]</w:t>
            </w:r>
          </w:p>
        </w:tc>
        <w:tc>
          <w:tcPr>
            <w:tcW w:w="509" w:type="pct"/>
            <w:tcBorders>
              <w:bottom w:val="single" w:sz="4" w:space="0" w:color="000000"/>
            </w:tcBorders>
          </w:tcPr>
          <w:p w14:paraId="7BE1005A"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Key manage-ment personnel</w:t>
            </w:r>
          </w:p>
        </w:tc>
        <w:tc>
          <w:tcPr>
            <w:tcW w:w="509" w:type="pct"/>
            <w:tcBorders>
              <w:bottom w:val="single" w:sz="4" w:space="0" w:color="000000"/>
            </w:tcBorders>
          </w:tcPr>
          <w:p w14:paraId="01D76DFE"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Asso-ciates</w:t>
            </w:r>
          </w:p>
        </w:tc>
        <w:tc>
          <w:tcPr>
            <w:tcW w:w="509" w:type="pct"/>
            <w:tcBorders>
              <w:bottom w:val="single" w:sz="4" w:space="0" w:color="000000"/>
            </w:tcBorders>
          </w:tcPr>
          <w:p w14:paraId="40A34EF6"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Joint ventures</w:t>
            </w:r>
          </w:p>
        </w:tc>
        <w:tc>
          <w:tcPr>
            <w:tcW w:w="509" w:type="pct"/>
            <w:tcBorders>
              <w:bottom w:val="single" w:sz="4" w:space="0" w:color="000000"/>
            </w:tcBorders>
          </w:tcPr>
          <w:p w14:paraId="54191B38"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Other related parties</w:t>
            </w:r>
          </w:p>
        </w:tc>
      </w:tr>
      <w:tr w:rsidR="00D83E33" w:rsidRPr="00283A73" w14:paraId="00034A24" w14:textId="77777777" w:rsidTr="001B330E">
        <w:trPr>
          <w:trHeight w:val="23"/>
        </w:trPr>
        <w:tc>
          <w:tcPr>
            <w:tcW w:w="1438" w:type="pct"/>
            <w:tcBorders>
              <w:top w:val="single" w:sz="4" w:space="0" w:color="000000"/>
            </w:tcBorders>
            <w:vAlign w:val="bottom"/>
          </w:tcPr>
          <w:p w14:paraId="50ACDE5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tcBorders>
              <w:top w:val="single" w:sz="4" w:space="0" w:color="000000"/>
            </w:tcBorders>
            <w:vAlign w:val="bottom"/>
          </w:tcPr>
          <w:p w14:paraId="12DA77F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6239EA3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62DB40D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1053FB9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00E75DC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4706065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4D2E306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2815E85" w14:textId="77777777" w:rsidTr="001B330E">
        <w:trPr>
          <w:trHeight w:val="23"/>
        </w:trPr>
        <w:tc>
          <w:tcPr>
            <w:tcW w:w="1438" w:type="pct"/>
            <w:vAlign w:val="bottom"/>
          </w:tcPr>
          <w:p w14:paraId="19400A71"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Amounts lent to related parties during the year</w:t>
            </w:r>
          </w:p>
        </w:tc>
        <w:tc>
          <w:tcPr>
            <w:tcW w:w="509" w:type="pct"/>
            <w:vAlign w:val="bottom"/>
          </w:tcPr>
          <w:p w14:paraId="48DD4FD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D4CDB0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87AD37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B0F39E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22CF2D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16CE41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782DC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16EC951" w14:textId="77777777" w:rsidTr="001B330E">
        <w:trPr>
          <w:trHeight w:val="23"/>
        </w:trPr>
        <w:tc>
          <w:tcPr>
            <w:tcW w:w="1438" w:type="pct"/>
            <w:vAlign w:val="bottom"/>
          </w:tcPr>
          <w:p w14:paraId="181400B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526D262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05CA72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D85D4A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3C78D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4F5A0D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27F07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4093B1"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4E51B0A" w14:textId="77777777" w:rsidTr="001B330E">
        <w:trPr>
          <w:trHeight w:val="23"/>
        </w:trPr>
        <w:tc>
          <w:tcPr>
            <w:tcW w:w="1438" w:type="pct"/>
            <w:vAlign w:val="bottom"/>
          </w:tcPr>
          <w:p w14:paraId="322DDE00" w14:textId="77777777" w:rsidR="00D83E33" w:rsidRPr="001B330E" w:rsidRDefault="00BC4072" w:rsidP="001B330E">
            <w:pPr>
              <w:widowControl w:val="0"/>
              <w:pBdr>
                <w:top w:val="nil"/>
                <w:left w:val="nil"/>
                <w:bottom w:val="nil"/>
                <w:right w:val="nil"/>
                <w:between w:val="nil"/>
              </w:pBdr>
              <w:ind w:left="113" w:hanging="113"/>
              <w:rPr>
                <w:b/>
                <w:color w:val="000000"/>
                <w:spacing w:val="-4"/>
              </w:rPr>
            </w:pPr>
            <w:r w:rsidRPr="001B330E">
              <w:rPr>
                <w:color w:val="000000"/>
                <w:spacing w:val="-4"/>
              </w:rPr>
              <w:t>Amounts repaid by related parties during the year</w:t>
            </w:r>
          </w:p>
        </w:tc>
        <w:tc>
          <w:tcPr>
            <w:tcW w:w="509" w:type="pct"/>
            <w:vAlign w:val="bottom"/>
          </w:tcPr>
          <w:p w14:paraId="24AA7AF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3C552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9CC4C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D36559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87F7F3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E41362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6C66A3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059ABD2" w14:textId="77777777" w:rsidTr="001B330E">
        <w:trPr>
          <w:trHeight w:val="23"/>
        </w:trPr>
        <w:tc>
          <w:tcPr>
            <w:tcW w:w="1438" w:type="pct"/>
            <w:tcBorders>
              <w:bottom w:val="single" w:sz="12" w:space="0" w:color="000000"/>
            </w:tcBorders>
            <w:vAlign w:val="bottom"/>
          </w:tcPr>
          <w:p w14:paraId="244B39C8" w14:textId="77777777" w:rsidR="00D83E33" w:rsidRPr="001B330E" w:rsidRDefault="00BC4072" w:rsidP="001B330E">
            <w:pPr>
              <w:widowControl w:val="0"/>
              <w:ind w:left="113" w:hanging="113"/>
              <w:rPr>
                <w:b/>
                <w:spacing w:val="-4"/>
              </w:rPr>
            </w:pPr>
            <w:r w:rsidRPr="001B330E">
              <w:rPr>
                <w:b/>
                <w:spacing w:val="-4"/>
              </w:rPr>
              <w:t> </w:t>
            </w:r>
          </w:p>
        </w:tc>
        <w:tc>
          <w:tcPr>
            <w:tcW w:w="509" w:type="pct"/>
            <w:tcBorders>
              <w:bottom w:val="single" w:sz="12" w:space="0" w:color="000000"/>
            </w:tcBorders>
            <w:vAlign w:val="bottom"/>
          </w:tcPr>
          <w:p w14:paraId="74F47DC0"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vAlign w:val="bottom"/>
          </w:tcPr>
          <w:p w14:paraId="6289359E"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vAlign w:val="bottom"/>
          </w:tcPr>
          <w:p w14:paraId="44DAECCD"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vAlign w:val="bottom"/>
          </w:tcPr>
          <w:p w14:paraId="1DBB5EB9"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vAlign w:val="bottom"/>
          </w:tcPr>
          <w:p w14:paraId="382DA86A"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vAlign w:val="bottom"/>
          </w:tcPr>
          <w:p w14:paraId="4AA2AFBE" w14:textId="77777777" w:rsidR="00D83E33" w:rsidRPr="001B330E" w:rsidRDefault="00D83E33">
            <w:pPr>
              <w:widowControl w:val="0"/>
              <w:pBdr>
                <w:top w:val="nil"/>
                <w:left w:val="nil"/>
                <w:bottom w:val="nil"/>
                <w:right w:val="nil"/>
                <w:between w:val="nil"/>
              </w:pBdr>
              <w:jc w:val="right"/>
              <w:rPr>
                <w:b/>
                <w:color w:val="000000"/>
                <w:spacing w:val="-4"/>
              </w:rPr>
            </w:pPr>
          </w:p>
        </w:tc>
        <w:tc>
          <w:tcPr>
            <w:tcW w:w="509" w:type="pct"/>
            <w:tcBorders>
              <w:bottom w:val="single" w:sz="12" w:space="0" w:color="000000"/>
            </w:tcBorders>
            <w:vAlign w:val="bottom"/>
          </w:tcPr>
          <w:p w14:paraId="5E3CDF91" w14:textId="77777777" w:rsidR="00D83E33" w:rsidRPr="001B330E" w:rsidRDefault="00D83E33">
            <w:pPr>
              <w:widowControl w:val="0"/>
              <w:pBdr>
                <w:top w:val="nil"/>
                <w:left w:val="nil"/>
                <w:bottom w:val="nil"/>
                <w:right w:val="nil"/>
                <w:between w:val="nil"/>
              </w:pBdr>
              <w:jc w:val="right"/>
              <w:rPr>
                <w:b/>
                <w:color w:val="000000"/>
                <w:spacing w:val="-4"/>
              </w:rPr>
            </w:pPr>
          </w:p>
        </w:tc>
      </w:tr>
    </w:tbl>
    <w:p w14:paraId="6B217193" w14:textId="423D5175" w:rsidR="00D83E33" w:rsidRDefault="00BC4072" w:rsidP="001B330E">
      <w:pPr>
        <w:pStyle w:val="Continued"/>
      </w:pPr>
      <w:r>
        <w:lastRenderedPageBreak/>
        <w:t>51</w:t>
      </w:r>
      <w:r>
        <w:tab/>
        <w:t>Related Party Transactions (Continued)</w:t>
      </w:r>
    </w:p>
    <w:p w14:paraId="7D0F0FE1" w14:textId="67FCD4CB" w:rsidR="00D83E33" w:rsidRPr="001B330E" w:rsidRDefault="00BC4072">
      <w:pPr>
        <w:widowControl w:val="0"/>
        <w:pBdr>
          <w:top w:val="nil"/>
          <w:left w:val="nil"/>
          <w:bottom w:val="nil"/>
          <w:right w:val="nil"/>
          <w:between w:val="nil"/>
        </w:pBdr>
        <w:spacing w:before="200" w:after="200"/>
        <w:jc w:val="both"/>
        <w:rPr>
          <w:i/>
          <w:color w:val="FF0000"/>
          <w:spacing w:val="-2"/>
          <w:sz w:val="20"/>
          <w:szCs w:val="20"/>
        </w:rPr>
      </w:pPr>
      <w:r w:rsidRPr="001B330E">
        <w:rPr>
          <w:color w:val="000000"/>
          <w:spacing w:val="-2"/>
          <w:sz w:val="20"/>
          <w:szCs w:val="20"/>
        </w:rPr>
        <w:t>At 31</w:t>
      </w:r>
      <w:r w:rsidR="00181687">
        <w:rPr>
          <w:color w:val="000000"/>
          <w:spacing w:val="-2"/>
          <w:sz w:val="20"/>
          <w:szCs w:val="20"/>
        </w:rPr>
        <w:t> December </w:t>
      </w:r>
      <w:r w:rsidR="00541EBC">
        <w:rPr>
          <w:color w:val="000000"/>
          <w:spacing w:val="-2"/>
          <w:sz w:val="20"/>
          <w:szCs w:val="20"/>
        </w:rPr>
        <w:t>2023</w:t>
      </w:r>
      <w:r w:rsidRPr="001B330E">
        <w:rPr>
          <w:color w:val="000000"/>
          <w:spacing w:val="-2"/>
          <w:sz w:val="20"/>
          <w:szCs w:val="20"/>
        </w:rPr>
        <w:t xml:space="preserve">, the outstanding balances with related parties were as follows: </w:t>
      </w:r>
    </w:p>
    <w:tbl>
      <w:tblPr>
        <w:tblStyle w:val="afffffffffffffffff9"/>
        <w:tblW w:w="5000" w:type="pct"/>
        <w:tblLayout w:type="fixed"/>
        <w:tblLook w:val="0000" w:firstRow="0" w:lastRow="0" w:firstColumn="0" w:lastColumn="0" w:noHBand="0" w:noVBand="0"/>
      </w:tblPr>
      <w:tblGrid>
        <w:gridCol w:w="2691"/>
        <w:gridCol w:w="953"/>
        <w:gridCol w:w="953"/>
        <w:gridCol w:w="952"/>
        <w:gridCol w:w="952"/>
        <w:gridCol w:w="952"/>
        <w:gridCol w:w="952"/>
        <w:gridCol w:w="950"/>
      </w:tblGrid>
      <w:tr w:rsidR="00D83E33" w:rsidRPr="00283A73" w14:paraId="04212D88" w14:textId="77777777" w:rsidTr="001B330E">
        <w:trPr>
          <w:trHeight w:val="23"/>
        </w:trPr>
        <w:tc>
          <w:tcPr>
            <w:tcW w:w="1438" w:type="pct"/>
            <w:tcBorders>
              <w:bottom w:val="single" w:sz="4" w:space="0" w:color="000000"/>
            </w:tcBorders>
            <w:vAlign w:val="bottom"/>
          </w:tcPr>
          <w:p w14:paraId="45E13821" w14:textId="7CF7DF53" w:rsidR="00D83E33" w:rsidRPr="001B330E" w:rsidRDefault="00313B4D" w:rsidP="001B330E">
            <w:pPr>
              <w:widowControl w:val="0"/>
              <w:pBdr>
                <w:top w:val="nil"/>
                <w:left w:val="nil"/>
                <w:bottom w:val="nil"/>
                <w:right w:val="nil"/>
                <w:between w:val="nil"/>
              </w:pBdr>
              <w:ind w:left="113" w:hanging="113"/>
              <w:rPr>
                <w:b/>
                <w:i/>
                <w:color w:val="000000"/>
                <w:spacing w:val="-4"/>
              </w:rPr>
            </w:pPr>
            <w:r>
              <w:rPr>
                <w:i/>
                <w:color w:val="000000"/>
                <w:spacing w:val="-4"/>
              </w:rPr>
              <w:t xml:space="preserve">In thousands of </w:t>
            </w:r>
            <w:r w:rsidR="002649EE">
              <w:rPr>
                <w:i/>
                <w:color w:val="000000"/>
                <w:spacing w:val="-4"/>
              </w:rPr>
              <w:t>EUR</w:t>
            </w:r>
          </w:p>
        </w:tc>
        <w:tc>
          <w:tcPr>
            <w:tcW w:w="509" w:type="pct"/>
            <w:tcBorders>
              <w:bottom w:val="single" w:sz="4" w:space="0" w:color="000000"/>
            </w:tcBorders>
          </w:tcPr>
          <w:p w14:paraId="6C331A89"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Immedi-ate parent company</w:t>
            </w:r>
          </w:p>
        </w:tc>
        <w:tc>
          <w:tcPr>
            <w:tcW w:w="509" w:type="pct"/>
            <w:tcBorders>
              <w:bottom w:val="single" w:sz="4" w:space="0" w:color="000000"/>
            </w:tcBorders>
          </w:tcPr>
          <w:p w14:paraId="7F8DDDB8" w14:textId="14DABDF5"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 xml:space="preserve">Other </w:t>
            </w:r>
            <w:r w:rsidR="00FA2F22">
              <w:rPr>
                <w:b/>
                <w:color w:val="000000"/>
                <w:spacing w:val="-4"/>
              </w:rPr>
              <w:t>signifi-cant</w:t>
            </w:r>
            <w:r w:rsidRPr="001B330E">
              <w:rPr>
                <w:b/>
                <w:color w:val="000000"/>
                <w:spacing w:val="-4"/>
              </w:rPr>
              <w:t xml:space="preserve"> share-holders</w:t>
            </w:r>
          </w:p>
        </w:tc>
        <w:tc>
          <w:tcPr>
            <w:tcW w:w="509" w:type="pct"/>
            <w:tcBorders>
              <w:bottom w:val="single" w:sz="4" w:space="0" w:color="000000"/>
            </w:tcBorders>
          </w:tcPr>
          <w:p w14:paraId="007FE80A" w14:textId="77777777" w:rsidR="00D83E33" w:rsidRPr="001B330E" w:rsidRDefault="00BC4072">
            <w:pPr>
              <w:widowControl w:val="0"/>
              <w:pBdr>
                <w:top w:val="nil"/>
                <w:left w:val="nil"/>
                <w:bottom w:val="nil"/>
                <w:right w:val="nil"/>
                <w:between w:val="nil"/>
              </w:pBdr>
              <w:ind w:left="-113"/>
              <w:jc w:val="right"/>
              <w:rPr>
                <w:b/>
                <w:color w:val="0000FF"/>
                <w:spacing w:val="-4"/>
              </w:rPr>
            </w:pPr>
            <w:r w:rsidRPr="001B330E">
              <w:rPr>
                <w:b/>
                <w:color w:val="0000FF"/>
                <w:spacing w:val="-4"/>
              </w:rPr>
              <w:t>[Entities under common control]</w:t>
            </w:r>
          </w:p>
        </w:tc>
        <w:tc>
          <w:tcPr>
            <w:tcW w:w="509" w:type="pct"/>
            <w:tcBorders>
              <w:bottom w:val="single" w:sz="4" w:space="0" w:color="000000"/>
            </w:tcBorders>
          </w:tcPr>
          <w:p w14:paraId="45F5756A"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Key manage-ment personnel</w:t>
            </w:r>
          </w:p>
        </w:tc>
        <w:tc>
          <w:tcPr>
            <w:tcW w:w="509" w:type="pct"/>
            <w:tcBorders>
              <w:bottom w:val="single" w:sz="4" w:space="0" w:color="000000"/>
            </w:tcBorders>
          </w:tcPr>
          <w:p w14:paraId="74A63CAC"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Asso-ciates</w:t>
            </w:r>
          </w:p>
        </w:tc>
        <w:tc>
          <w:tcPr>
            <w:tcW w:w="509" w:type="pct"/>
            <w:tcBorders>
              <w:bottom w:val="single" w:sz="4" w:space="0" w:color="000000"/>
            </w:tcBorders>
          </w:tcPr>
          <w:p w14:paraId="28727DA2"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Joint ventures</w:t>
            </w:r>
          </w:p>
        </w:tc>
        <w:tc>
          <w:tcPr>
            <w:tcW w:w="509" w:type="pct"/>
            <w:tcBorders>
              <w:bottom w:val="single" w:sz="4" w:space="0" w:color="000000"/>
            </w:tcBorders>
          </w:tcPr>
          <w:p w14:paraId="4B4A8019"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Other related parties</w:t>
            </w:r>
          </w:p>
        </w:tc>
      </w:tr>
      <w:tr w:rsidR="00D83E33" w:rsidRPr="00283A73" w14:paraId="3A95F563" w14:textId="77777777" w:rsidTr="001B330E">
        <w:trPr>
          <w:trHeight w:val="23"/>
        </w:trPr>
        <w:tc>
          <w:tcPr>
            <w:tcW w:w="1438" w:type="pct"/>
            <w:tcBorders>
              <w:top w:val="single" w:sz="4" w:space="0" w:color="000000"/>
            </w:tcBorders>
            <w:vAlign w:val="bottom"/>
          </w:tcPr>
          <w:p w14:paraId="07DC63D8" w14:textId="77777777" w:rsidR="00D83E33" w:rsidRPr="001B330E" w:rsidRDefault="00BC4072" w:rsidP="001B330E">
            <w:pPr>
              <w:widowControl w:val="0"/>
              <w:ind w:left="113" w:hanging="113"/>
              <w:rPr>
                <w:spacing w:val="-4"/>
              </w:rPr>
            </w:pPr>
            <w:r w:rsidRPr="001B330E">
              <w:rPr>
                <w:spacing w:val="-4"/>
              </w:rPr>
              <w:t> </w:t>
            </w:r>
          </w:p>
        </w:tc>
        <w:tc>
          <w:tcPr>
            <w:tcW w:w="509" w:type="pct"/>
            <w:tcBorders>
              <w:top w:val="single" w:sz="4" w:space="0" w:color="000000"/>
            </w:tcBorders>
            <w:vAlign w:val="bottom"/>
          </w:tcPr>
          <w:p w14:paraId="2CEF1A1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6BC93FF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22A7F5D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208F36E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313A618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27BBA26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64520BA7"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ACCE1F9" w14:textId="77777777" w:rsidTr="001B330E">
        <w:trPr>
          <w:trHeight w:val="23"/>
        </w:trPr>
        <w:tc>
          <w:tcPr>
            <w:tcW w:w="1438" w:type="pct"/>
            <w:vAlign w:val="bottom"/>
          </w:tcPr>
          <w:p w14:paraId="25F3AA23"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0FD2CC0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4E9A45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252BD9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3FA90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44A90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915DE9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70A2225"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60E3ACD" w14:textId="77777777" w:rsidTr="001B330E">
        <w:trPr>
          <w:trHeight w:val="23"/>
        </w:trPr>
        <w:tc>
          <w:tcPr>
            <w:tcW w:w="1438" w:type="pct"/>
            <w:vAlign w:val="bottom"/>
          </w:tcPr>
          <w:p w14:paraId="0105E31B"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Investments in debt securities</w:t>
            </w:r>
          </w:p>
        </w:tc>
        <w:tc>
          <w:tcPr>
            <w:tcW w:w="509" w:type="pct"/>
            <w:vAlign w:val="bottom"/>
          </w:tcPr>
          <w:p w14:paraId="59E6278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D8719A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2F0A03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3E675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106CD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62B8EC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0123880"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32CDCF9" w14:textId="77777777" w:rsidTr="001B330E">
        <w:trPr>
          <w:trHeight w:val="23"/>
        </w:trPr>
        <w:tc>
          <w:tcPr>
            <w:tcW w:w="1438" w:type="pct"/>
            <w:vAlign w:val="bottom"/>
          </w:tcPr>
          <w:p w14:paraId="0AF29C13"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 (contractual interest rate: _____ ‒ _____ %</w:t>
            </w:r>
          </w:p>
        </w:tc>
        <w:tc>
          <w:tcPr>
            <w:tcW w:w="509" w:type="pct"/>
            <w:vAlign w:val="bottom"/>
          </w:tcPr>
          <w:p w14:paraId="185A30F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7151FB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06E7AD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6C196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18135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DAB831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7D00A6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BD51603" w14:textId="77777777" w:rsidTr="001B330E">
        <w:trPr>
          <w:trHeight w:val="23"/>
        </w:trPr>
        <w:tc>
          <w:tcPr>
            <w:tcW w:w="1438" w:type="pct"/>
            <w:vAlign w:val="bottom"/>
          </w:tcPr>
          <w:p w14:paraId="4B263371" w14:textId="77777777" w:rsidR="00D83E33" w:rsidRPr="001B330E" w:rsidRDefault="00D83E33" w:rsidP="001B330E">
            <w:pPr>
              <w:widowControl w:val="0"/>
              <w:pBdr>
                <w:top w:val="nil"/>
                <w:left w:val="nil"/>
                <w:bottom w:val="nil"/>
                <w:right w:val="nil"/>
                <w:between w:val="nil"/>
              </w:pBdr>
              <w:ind w:left="113" w:hanging="113"/>
              <w:rPr>
                <w:color w:val="000000"/>
                <w:spacing w:val="-4"/>
              </w:rPr>
            </w:pPr>
          </w:p>
        </w:tc>
        <w:tc>
          <w:tcPr>
            <w:tcW w:w="509" w:type="pct"/>
            <w:vAlign w:val="bottom"/>
          </w:tcPr>
          <w:p w14:paraId="139060F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4E5120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F0E9F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4C594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0A13F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0AD08C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935B107"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3DF812B" w14:textId="77777777" w:rsidTr="001B330E">
        <w:trPr>
          <w:trHeight w:val="23"/>
        </w:trPr>
        <w:tc>
          <w:tcPr>
            <w:tcW w:w="1438" w:type="pct"/>
            <w:vAlign w:val="bottom"/>
          </w:tcPr>
          <w:p w14:paraId="08BA3AF9"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Investments in equity securities ( _____ % holding)</w:t>
            </w:r>
          </w:p>
        </w:tc>
        <w:tc>
          <w:tcPr>
            <w:tcW w:w="509" w:type="pct"/>
            <w:vAlign w:val="bottom"/>
          </w:tcPr>
          <w:p w14:paraId="6B7519A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666FD0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805E70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57E0B6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88704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047D89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F4CE44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EBF0AAA" w14:textId="77777777" w:rsidTr="001B330E">
        <w:trPr>
          <w:trHeight w:val="23"/>
        </w:trPr>
        <w:tc>
          <w:tcPr>
            <w:tcW w:w="1438" w:type="pct"/>
            <w:vAlign w:val="bottom"/>
          </w:tcPr>
          <w:p w14:paraId="206B19A0"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47C2E22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A6A892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41D2DC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713DF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6352C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26B3D3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7172A50"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A0E68F4" w14:textId="77777777" w:rsidTr="001B330E">
        <w:trPr>
          <w:trHeight w:val="23"/>
        </w:trPr>
        <w:tc>
          <w:tcPr>
            <w:tcW w:w="1438" w:type="pct"/>
            <w:vAlign w:val="bottom"/>
          </w:tcPr>
          <w:p w14:paraId="42090029"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Due from other banks (contractual interest rate: _____ ‒ _____ %)</w:t>
            </w:r>
          </w:p>
        </w:tc>
        <w:tc>
          <w:tcPr>
            <w:tcW w:w="509" w:type="pct"/>
            <w:vAlign w:val="bottom"/>
          </w:tcPr>
          <w:p w14:paraId="6E580E0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31EA99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A5CBC5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B1BE6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7E15D3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C2CA5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ADA76D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BE921A1" w14:textId="77777777" w:rsidTr="001B330E">
        <w:trPr>
          <w:trHeight w:val="23"/>
        </w:trPr>
        <w:tc>
          <w:tcPr>
            <w:tcW w:w="1438" w:type="pct"/>
            <w:vAlign w:val="bottom"/>
          </w:tcPr>
          <w:p w14:paraId="45DD37B9"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52AFA14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6CBF2C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92E3E3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14E5F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C6505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D04711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728F1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F58A4DB" w14:textId="77777777" w:rsidTr="001B330E">
        <w:trPr>
          <w:trHeight w:val="23"/>
        </w:trPr>
        <w:tc>
          <w:tcPr>
            <w:tcW w:w="1438" w:type="pct"/>
            <w:vAlign w:val="bottom"/>
          </w:tcPr>
          <w:p w14:paraId="59BBEC03" w14:textId="76BB514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Credit loss allowance at </w:t>
            </w:r>
            <w:r w:rsidRPr="001B330E">
              <w:rPr>
                <w:color w:val="000000"/>
                <w:spacing w:val="-4"/>
              </w:rPr>
              <w:br/>
              <w:t>31</w:t>
            </w:r>
            <w:r w:rsidR="00181687" w:rsidRPr="001B330E">
              <w:rPr>
                <w:color w:val="000000"/>
                <w:spacing w:val="-4"/>
              </w:rPr>
              <w:t> December </w:t>
            </w:r>
            <w:r w:rsidR="00541EBC">
              <w:rPr>
                <w:color w:val="000000"/>
                <w:spacing w:val="-4"/>
              </w:rPr>
              <w:t>2023</w:t>
            </w:r>
          </w:p>
        </w:tc>
        <w:tc>
          <w:tcPr>
            <w:tcW w:w="509" w:type="pct"/>
            <w:vAlign w:val="bottom"/>
          </w:tcPr>
          <w:p w14:paraId="195A16B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0264C5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4B619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ECFD9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4C826E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89181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F6F63E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5D20877" w14:textId="77777777" w:rsidTr="001B330E">
        <w:trPr>
          <w:trHeight w:val="23"/>
        </w:trPr>
        <w:tc>
          <w:tcPr>
            <w:tcW w:w="1438" w:type="pct"/>
            <w:vAlign w:val="bottom"/>
          </w:tcPr>
          <w:p w14:paraId="46B93CC6" w14:textId="77777777" w:rsidR="00D83E33" w:rsidRPr="001B330E" w:rsidRDefault="00D83E33" w:rsidP="001B330E">
            <w:pPr>
              <w:widowControl w:val="0"/>
              <w:pBdr>
                <w:top w:val="nil"/>
                <w:left w:val="nil"/>
                <w:bottom w:val="nil"/>
                <w:right w:val="nil"/>
                <w:between w:val="nil"/>
              </w:pBdr>
              <w:ind w:left="113" w:hanging="113"/>
              <w:rPr>
                <w:color w:val="000000"/>
                <w:spacing w:val="-4"/>
              </w:rPr>
            </w:pPr>
          </w:p>
        </w:tc>
        <w:tc>
          <w:tcPr>
            <w:tcW w:w="509" w:type="pct"/>
            <w:vAlign w:val="bottom"/>
          </w:tcPr>
          <w:p w14:paraId="4B5D624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88F27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6F6318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D5A90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C368B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B94D3C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78E369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523DC45" w14:textId="77777777" w:rsidTr="001B330E">
        <w:trPr>
          <w:trHeight w:val="23"/>
        </w:trPr>
        <w:tc>
          <w:tcPr>
            <w:tcW w:w="1438" w:type="pct"/>
            <w:vAlign w:val="bottom"/>
          </w:tcPr>
          <w:p w14:paraId="259B987F"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Loans and advances to customers (contractual interest rate: _____ ‒ _____ %)</w:t>
            </w:r>
          </w:p>
        </w:tc>
        <w:tc>
          <w:tcPr>
            <w:tcW w:w="509" w:type="pct"/>
            <w:vAlign w:val="bottom"/>
          </w:tcPr>
          <w:p w14:paraId="5D35FCC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B2E4FE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ABD32C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752DE7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12DDFC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7EE15D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3C8459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EE89499" w14:textId="77777777" w:rsidTr="001B330E">
        <w:trPr>
          <w:trHeight w:val="23"/>
        </w:trPr>
        <w:tc>
          <w:tcPr>
            <w:tcW w:w="1438" w:type="pct"/>
            <w:vAlign w:val="bottom"/>
          </w:tcPr>
          <w:p w14:paraId="2BC6387B"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6E71925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08BEC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88C56D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AEBB7C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F5AF3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F50E40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D486F75"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B0EC1E3" w14:textId="77777777" w:rsidTr="001B330E">
        <w:trPr>
          <w:trHeight w:val="23"/>
        </w:trPr>
        <w:tc>
          <w:tcPr>
            <w:tcW w:w="1438" w:type="pct"/>
            <w:vAlign w:val="bottom"/>
          </w:tcPr>
          <w:p w14:paraId="3B999B28" w14:textId="0B2A0CE1"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Credit loss allowance at </w:t>
            </w:r>
            <w:r w:rsidRPr="001B330E">
              <w:rPr>
                <w:color w:val="000000"/>
                <w:spacing w:val="-4"/>
              </w:rPr>
              <w:br/>
              <w:t>31</w:t>
            </w:r>
            <w:r w:rsidR="00181687" w:rsidRPr="001B330E">
              <w:rPr>
                <w:color w:val="000000"/>
                <w:spacing w:val="-4"/>
              </w:rPr>
              <w:t> December </w:t>
            </w:r>
            <w:r w:rsidR="00541EBC">
              <w:rPr>
                <w:color w:val="000000"/>
                <w:spacing w:val="-4"/>
              </w:rPr>
              <w:t>2023</w:t>
            </w:r>
          </w:p>
        </w:tc>
        <w:tc>
          <w:tcPr>
            <w:tcW w:w="509" w:type="pct"/>
            <w:vAlign w:val="bottom"/>
          </w:tcPr>
          <w:p w14:paraId="0EE224D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AB7D9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1FD892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684919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6D111B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A1492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F7F8B46"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E0A14F2" w14:textId="77777777" w:rsidTr="001B330E">
        <w:trPr>
          <w:trHeight w:val="23"/>
        </w:trPr>
        <w:tc>
          <w:tcPr>
            <w:tcW w:w="1438" w:type="pct"/>
            <w:vAlign w:val="bottom"/>
          </w:tcPr>
          <w:p w14:paraId="103109EB"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445637C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AA71BC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7E22BA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AB1E85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2ADAF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51F511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D7574A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61CE8BF" w14:textId="77777777" w:rsidTr="001B330E">
        <w:trPr>
          <w:trHeight w:val="23"/>
        </w:trPr>
        <w:tc>
          <w:tcPr>
            <w:tcW w:w="1438" w:type="pct"/>
            <w:vAlign w:val="bottom"/>
          </w:tcPr>
          <w:p w14:paraId="23D26AAC"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Repurchase receivables</w:t>
            </w:r>
          </w:p>
        </w:tc>
        <w:tc>
          <w:tcPr>
            <w:tcW w:w="509" w:type="pct"/>
            <w:vAlign w:val="bottom"/>
          </w:tcPr>
          <w:p w14:paraId="5A530B6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EE9036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C34348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9CEE12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0A14A8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6B5B67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4262316"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A04ED78" w14:textId="77777777" w:rsidTr="001B330E">
        <w:trPr>
          <w:trHeight w:val="23"/>
        </w:trPr>
        <w:tc>
          <w:tcPr>
            <w:tcW w:w="1438" w:type="pct"/>
            <w:vAlign w:val="bottom"/>
          </w:tcPr>
          <w:p w14:paraId="3E19B47D"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Debt securities (contractual interest rate: _____ ‒ _____ %)</w:t>
            </w:r>
          </w:p>
        </w:tc>
        <w:tc>
          <w:tcPr>
            <w:tcW w:w="509" w:type="pct"/>
            <w:vAlign w:val="bottom"/>
          </w:tcPr>
          <w:p w14:paraId="7B2DF5B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38C4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5C40F5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8D403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EE46BA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C027CA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675A342"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47CB023" w14:textId="77777777" w:rsidTr="001B330E">
        <w:trPr>
          <w:trHeight w:val="23"/>
        </w:trPr>
        <w:tc>
          <w:tcPr>
            <w:tcW w:w="1438" w:type="pct"/>
            <w:vAlign w:val="bottom"/>
          </w:tcPr>
          <w:p w14:paraId="2A171446"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 Shares of _____ ( _____ % holding)</w:t>
            </w:r>
          </w:p>
        </w:tc>
        <w:tc>
          <w:tcPr>
            <w:tcW w:w="509" w:type="pct"/>
            <w:vAlign w:val="bottom"/>
          </w:tcPr>
          <w:p w14:paraId="527188B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89597C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DEDD22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7A479A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DC318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648F1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1D21BAD"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C78DF6F" w14:textId="77777777" w:rsidTr="001B330E">
        <w:trPr>
          <w:trHeight w:val="23"/>
        </w:trPr>
        <w:tc>
          <w:tcPr>
            <w:tcW w:w="1438" w:type="pct"/>
            <w:vAlign w:val="bottom"/>
          </w:tcPr>
          <w:p w14:paraId="5E7E04F5" w14:textId="77777777" w:rsidR="00D83E33" w:rsidRPr="001B330E" w:rsidRDefault="00D83E33" w:rsidP="001B330E">
            <w:pPr>
              <w:widowControl w:val="0"/>
              <w:pBdr>
                <w:top w:val="nil"/>
                <w:left w:val="nil"/>
                <w:bottom w:val="nil"/>
                <w:right w:val="nil"/>
                <w:between w:val="nil"/>
              </w:pBdr>
              <w:ind w:left="113" w:hanging="113"/>
              <w:rPr>
                <w:color w:val="000000"/>
                <w:spacing w:val="-4"/>
              </w:rPr>
            </w:pPr>
          </w:p>
        </w:tc>
        <w:tc>
          <w:tcPr>
            <w:tcW w:w="509" w:type="pct"/>
            <w:vAlign w:val="bottom"/>
          </w:tcPr>
          <w:p w14:paraId="2391077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D83F9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0D4CA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420AE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1A99CF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F736B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0FA46B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1310D05" w14:textId="77777777" w:rsidTr="001B330E">
        <w:trPr>
          <w:trHeight w:val="23"/>
        </w:trPr>
        <w:tc>
          <w:tcPr>
            <w:tcW w:w="1438" w:type="pct"/>
            <w:vAlign w:val="bottom"/>
          </w:tcPr>
          <w:p w14:paraId="54207B44"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Investment in associates</w:t>
            </w:r>
          </w:p>
        </w:tc>
        <w:tc>
          <w:tcPr>
            <w:tcW w:w="509" w:type="pct"/>
            <w:vAlign w:val="bottom"/>
          </w:tcPr>
          <w:p w14:paraId="7D25C6A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42E48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A463CF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39D26A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E159A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638DB9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E4D292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A5E416C" w14:textId="77777777" w:rsidTr="001B330E">
        <w:trPr>
          <w:trHeight w:val="23"/>
        </w:trPr>
        <w:tc>
          <w:tcPr>
            <w:tcW w:w="1438" w:type="pct"/>
            <w:vAlign w:val="bottom"/>
          </w:tcPr>
          <w:p w14:paraId="61CD4DB5"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w:t>
            </w:r>
          </w:p>
        </w:tc>
        <w:tc>
          <w:tcPr>
            <w:tcW w:w="509" w:type="pct"/>
            <w:vAlign w:val="bottom"/>
          </w:tcPr>
          <w:p w14:paraId="1C2B113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412DF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8E6B8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BEDB8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CF79AB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1F7107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E3F384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BC1A4A1" w14:textId="77777777" w:rsidTr="001B330E">
        <w:trPr>
          <w:trHeight w:val="23"/>
        </w:trPr>
        <w:tc>
          <w:tcPr>
            <w:tcW w:w="1438" w:type="pct"/>
            <w:vAlign w:val="bottom"/>
          </w:tcPr>
          <w:p w14:paraId="0D00B955"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Other assets</w:t>
            </w:r>
          </w:p>
        </w:tc>
        <w:tc>
          <w:tcPr>
            <w:tcW w:w="509" w:type="pct"/>
            <w:vAlign w:val="bottom"/>
          </w:tcPr>
          <w:p w14:paraId="6FD2B75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1D046B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E34D63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0B7E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00BBE5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91B07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2CEE5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522EE06" w14:textId="77777777" w:rsidTr="001B330E">
        <w:trPr>
          <w:trHeight w:val="23"/>
        </w:trPr>
        <w:tc>
          <w:tcPr>
            <w:tcW w:w="1438" w:type="pct"/>
            <w:vAlign w:val="bottom"/>
          </w:tcPr>
          <w:p w14:paraId="3ED58077"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w:t>
            </w:r>
          </w:p>
        </w:tc>
        <w:tc>
          <w:tcPr>
            <w:tcW w:w="509" w:type="pct"/>
            <w:vAlign w:val="bottom"/>
          </w:tcPr>
          <w:p w14:paraId="1FAE361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95ECB0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A0ADB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335AA1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CCAEEF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03DBBC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B591FB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97B90AC" w14:textId="77777777" w:rsidTr="001B330E">
        <w:trPr>
          <w:trHeight w:val="23"/>
        </w:trPr>
        <w:tc>
          <w:tcPr>
            <w:tcW w:w="1438" w:type="pct"/>
            <w:vAlign w:val="bottom"/>
          </w:tcPr>
          <w:p w14:paraId="181232A6"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Non-current assets held for sale (or disposal groups)</w:t>
            </w:r>
          </w:p>
        </w:tc>
        <w:tc>
          <w:tcPr>
            <w:tcW w:w="509" w:type="pct"/>
            <w:vAlign w:val="bottom"/>
          </w:tcPr>
          <w:p w14:paraId="0D2DD55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25D0AB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671189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C8902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4FE0D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7197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FD8C14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31BE07E" w14:textId="77777777" w:rsidTr="001B330E">
        <w:trPr>
          <w:trHeight w:val="23"/>
        </w:trPr>
        <w:tc>
          <w:tcPr>
            <w:tcW w:w="1438" w:type="pct"/>
            <w:vAlign w:val="bottom"/>
          </w:tcPr>
          <w:p w14:paraId="6469BBB9"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Debt securities (contractual interest rate: _____ ‒ _____ %)</w:t>
            </w:r>
          </w:p>
        </w:tc>
        <w:tc>
          <w:tcPr>
            <w:tcW w:w="509" w:type="pct"/>
            <w:vAlign w:val="bottom"/>
          </w:tcPr>
          <w:p w14:paraId="47538C9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B4625C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24D6E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54529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F0AD5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636B79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C2D5B7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446764F" w14:textId="77777777" w:rsidTr="001B330E">
        <w:trPr>
          <w:trHeight w:val="23"/>
        </w:trPr>
        <w:tc>
          <w:tcPr>
            <w:tcW w:w="1438" w:type="pct"/>
            <w:vAlign w:val="bottom"/>
          </w:tcPr>
          <w:p w14:paraId="6F8014F1"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 Shares of _____ ( _____ % holding)</w:t>
            </w:r>
          </w:p>
        </w:tc>
        <w:tc>
          <w:tcPr>
            <w:tcW w:w="509" w:type="pct"/>
            <w:vAlign w:val="bottom"/>
          </w:tcPr>
          <w:p w14:paraId="1FB0533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A7553F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2226B7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D828EE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4B1DEE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6C0543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6B090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9706EEF" w14:textId="77777777" w:rsidTr="001B330E">
        <w:trPr>
          <w:trHeight w:val="23"/>
        </w:trPr>
        <w:tc>
          <w:tcPr>
            <w:tcW w:w="1438" w:type="pct"/>
            <w:vAlign w:val="bottom"/>
          </w:tcPr>
          <w:p w14:paraId="5E359EF2" w14:textId="77777777" w:rsidR="00D83E33" w:rsidRPr="001B330E" w:rsidRDefault="00BC4072" w:rsidP="001B330E">
            <w:pPr>
              <w:widowControl w:val="0"/>
              <w:ind w:left="113" w:hanging="113"/>
              <w:rPr>
                <w:b/>
                <w:spacing w:val="-4"/>
              </w:rPr>
            </w:pPr>
            <w:r w:rsidRPr="001B330E">
              <w:rPr>
                <w:spacing w:val="-4"/>
              </w:rPr>
              <w:t> </w:t>
            </w:r>
          </w:p>
        </w:tc>
        <w:tc>
          <w:tcPr>
            <w:tcW w:w="509" w:type="pct"/>
            <w:vAlign w:val="bottom"/>
          </w:tcPr>
          <w:p w14:paraId="4A1F997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4FEF4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A9B70B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3F712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E57F4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350758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0BA62E3"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E0E3842" w14:textId="77777777" w:rsidTr="001B330E">
        <w:trPr>
          <w:trHeight w:val="23"/>
        </w:trPr>
        <w:tc>
          <w:tcPr>
            <w:tcW w:w="1438" w:type="pct"/>
            <w:vAlign w:val="bottom"/>
          </w:tcPr>
          <w:p w14:paraId="695CCA2C"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Due to other banks (contractual interest rate: _____ ‒ _____ %)</w:t>
            </w:r>
          </w:p>
        </w:tc>
        <w:tc>
          <w:tcPr>
            <w:tcW w:w="509" w:type="pct"/>
            <w:vAlign w:val="bottom"/>
          </w:tcPr>
          <w:p w14:paraId="27C4E3D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7663BA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80B292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36421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F932BE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C08F15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1EC8E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C773603" w14:textId="77777777" w:rsidTr="001B330E">
        <w:trPr>
          <w:trHeight w:val="23"/>
        </w:trPr>
        <w:tc>
          <w:tcPr>
            <w:tcW w:w="1438" w:type="pct"/>
            <w:vAlign w:val="bottom"/>
          </w:tcPr>
          <w:p w14:paraId="12911CDD"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640CF87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0A3DCB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5663B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3D4A0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4D34B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0EB882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D3F553"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C87F4F3" w14:textId="77777777" w:rsidTr="001B330E">
        <w:trPr>
          <w:trHeight w:val="23"/>
        </w:trPr>
        <w:tc>
          <w:tcPr>
            <w:tcW w:w="1438" w:type="pct"/>
            <w:vAlign w:val="bottom"/>
          </w:tcPr>
          <w:p w14:paraId="645FE828"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Customer accounts (contractual interest rate: _____ ‒ _____ %)</w:t>
            </w:r>
          </w:p>
        </w:tc>
        <w:tc>
          <w:tcPr>
            <w:tcW w:w="509" w:type="pct"/>
            <w:vAlign w:val="bottom"/>
          </w:tcPr>
          <w:p w14:paraId="4E5A22E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2FA69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BB92AC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A9BC6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AE6FA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1FEFDA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5636F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AC0DFDA" w14:textId="77777777" w:rsidTr="001B330E">
        <w:trPr>
          <w:trHeight w:val="23"/>
        </w:trPr>
        <w:tc>
          <w:tcPr>
            <w:tcW w:w="1438" w:type="pct"/>
            <w:vAlign w:val="bottom"/>
          </w:tcPr>
          <w:p w14:paraId="06CD1048"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03F6535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BE787B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C4D8AC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D11F2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A5CE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DDCA8D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54748C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3FFAB92" w14:textId="77777777" w:rsidTr="001B330E">
        <w:trPr>
          <w:trHeight w:val="23"/>
        </w:trPr>
        <w:tc>
          <w:tcPr>
            <w:tcW w:w="1438" w:type="pct"/>
            <w:vAlign w:val="bottom"/>
          </w:tcPr>
          <w:p w14:paraId="14587FF2"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Debt securities in issue [Promissory notes] (contractual interest rate: _____ ‒ _____ %)</w:t>
            </w:r>
          </w:p>
        </w:tc>
        <w:tc>
          <w:tcPr>
            <w:tcW w:w="509" w:type="pct"/>
            <w:vAlign w:val="bottom"/>
          </w:tcPr>
          <w:p w14:paraId="223120E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1C854B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6815E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D1C213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B32477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EB909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16E94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3D77B74" w14:textId="77777777" w:rsidTr="001B330E">
        <w:trPr>
          <w:trHeight w:val="23"/>
        </w:trPr>
        <w:tc>
          <w:tcPr>
            <w:tcW w:w="1438" w:type="pct"/>
            <w:vAlign w:val="bottom"/>
          </w:tcPr>
          <w:p w14:paraId="6265F70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 </w:t>
            </w:r>
          </w:p>
        </w:tc>
        <w:tc>
          <w:tcPr>
            <w:tcW w:w="509" w:type="pct"/>
            <w:vAlign w:val="bottom"/>
          </w:tcPr>
          <w:p w14:paraId="7CC28C1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85A3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7CB240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731B8AB" w14:textId="77777777" w:rsidR="00D83E33" w:rsidRPr="001B330E" w:rsidRDefault="00D83E33">
            <w:pPr>
              <w:widowControl w:val="0"/>
              <w:pBdr>
                <w:top w:val="nil"/>
                <w:left w:val="nil"/>
                <w:bottom w:val="nil"/>
                <w:right w:val="nil"/>
                <w:between w:val="nil"/>
              </w:pBdr>
              <w:jc w:val="right"/>
              <w:rPr>
                <w:color w:val="000000"/>
                <w:spacing w:val="-4"/>
              </w:rPr>
            </w:pPr>
          </w:p>
        </w:tc>
        <w:tc>
          <w:tcPr>
            <w:tcW w:w="1526" w:type="pct"/>
            <w:gridSpan w:val="3"/>
            <w:vAlign w:val="bottom"/>
          </w:tcPr>
          <w:p w14:paraId="598664D7" w14:textId="77777777" w:rsidR="00D83E33" w:rsidRPr="001B330E" w:rsidRDefault="00BC4072">
            <w:pPr>
              <w:widowControl w:val="0"/>
              <w:pBdr>
                <w:top w:val="nil"/>
                <w:left w:val="nil"/>
                <w:bottom w:val="nil"/>
                <w:right w:val="nil"/>
                <w:between w:val="nil"/>
              </w:pBdr>
              <w:jc w:val="right"/>
              <w:rPr>
                <w:i/>
                <w:color w:val="000000"/>
                <w:spacing w:val="-4"/>
              </w:rPr>
            </w:pPr>
            <w:r w:rsidRPr="001B330E">
              <w:rPr>
                <w:i/>
                <w:color w:val="000000"/>
                <w:spacing w:val="-4"/>
              </w:rPr>
              <w:t>continued on the following page</w:t>
            </w:r>
          </w:p>
        </w:tc>
      </w:tr>
    </w:tbl>
    <w:p w14:paraId="4CA7C178" w14:textId="4EF02246" w:rsidR="00D83E33" w:rsidRDefault="00BC4072" w:rsidP="001B330E">
      <w:pPr>
        <w:pStyle w:val="Continued"/>
      </w:pPr>
      <w:r>
        <w:lastRenderedPageBreak/>
        <w:t>51</w:t>
      </w:r>
      <w:r>
        <w:tab/>
        <w:t>Related Party Transactions (Continued)</w:t>
      </w:r>
    </w:p>
    <w:tbl>
      <w:tblPr>
        <w:tblStyle w:val="afffffffffffffffffa"/>
        <w:tblW w:w="5000" w:type="pct"/>
        <w:tblLayout w:type="fixed"/>
        <w:tblLook w:val="0000" w:firstRow="0" w:lastRow="0" w:firstColumn="0" w:lastColumn="0" w:noHBand="0" w:noVBand="0"/>
      </w:tblPr>
      <w:tblGrid>
        <w:gridCol w:w="2691"/>
        <w:gridCol w:w="953"/>
        <w:gridCol w:w="953"/>
        <w:gridCol w:w="952"/>
        <w:gridCol w:w="952"/>
        <w:gridCol w:w="952"/>
        <w:gridCol w:w="952"/>
        <w:gridCol w:w="950"/>
      </w:tblGrid>
      <w:tr w:rsidR="00D83E33" w:rsidRPr="00283A73" w14:paraId="6E0199DB" w14:textId="77777777" w:rsidTr="001B330E">
        <w:trPr>
          <w:trHeight w:val="23"/>
        </w:trPr>
        <w:tc>
          <w:tcPr>
            <w:tcW w:w="1438" w:type="pct"/>
            <w:tcBorders>
              <w:bottom w:val="single" w:sz="4" w:space="0" w:color="000000"/>
            </w:tcBorders>
            <w:vAlign w:val="bottom"/>
          </w:tcPr>
          <w:p w14:paraId="5AB5F880" w14:textId="4C3F6891" w:rsidR="00D83E33" w:rsidRPr="001B330E" w:rsidRDefault="00313B4D" w:rsidP="001B330E">
            <w:pPr>
              <w:widowControl w:val="0"/>
              <w:pBdr>
                <w:top w:val="nil"/>
                <w:left w:val="nil"/>
                <w:bottom w:val="nil"/>
                <w:right w:val="nil"/>
                <w:between w:val="nil"/>
              </w:pBdr>
              <w:ind w:left="113" w:hanging="113"/>
              <w:rPr>
                <w:b/>
                <w:i/>
                <w:color w:val="000000"/>
                <w:spacing w:val="-4"/>
              </w:rPr>
            </w:pPr>
            <w:r>
              <w:rPr>
                <w:i/>
                <w:color w:val="000000"/>
                <w:spacing w:val="-4"/>
              </w:rPr>
              <w:t xml:space="preserve">In thousands of </w:t>
            </w:r>
            <w:r w:rsidR="002649EE">
              <w:rPr>
                <w:i/>
                <w:color w:val="000000"/>
                <w:spacing w:val="-4"/>
              </w:rPr>
              <w:t>EUR</w:t>
            </w:r>
          </w:p>
        </w:tc>
        <w:tc>
          <w:tcPr>
            <w:tcW w:w="509" w:type="pct"/>
            <w:tcBorders>
              <w:bottom w:val="single" w:sz="4" w:space="0" w:color="000000"/>
            </w:tcBorders>
          </w:tcPr>
          <w:p w14:paraId="120B3386"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Immedi-ate parent company</w:t>
            </w:r>
          </w:p>
        </w:tc>
        <w:tc>
          <w:tcPr>
            <w:tcW w:w="509" w:type="pct"/>
            <w:tcBorders>
              <w:bottom w:val="single" w:sz="4" w:space="0" w:color="000000"/>
            </w:tcBorders>
          </w:tcPr>
          <w:p w14:paraId="52C45A2B" w14:textId="3232E610"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 xml:space="preserve">Other </w:t>
            </w:r>
            <w:r w:rsidR="00FA2F22">
              <w:rPr>
                <w:b/>
                <w:color w:val="000000"/>
                <w:spacing w:val="-4"/>
              </w:rPr>
              <w:t>signifi-cant</w:t>
            </w:r>
            <w:r w:rsidRPr="001B330E">
              <w:rPr>
                <w:b/>
                <w:color w:val="000000"/>
                <w:spacing w:val="-4"/>
              </w:rPr>
              <w:t xml:space="preserve"> share-holders</w:t>
            </w:r>
          </w:p>
        </w:tc>
        <w:tc>
          <w:tcPr>
            <w:tcW w:w="509" w:type="pct"/>
            <w:tcBorders>
              <w:bottom w:val="single" w:sz="4" w:space="0" w:color="000000"/>
            </w:tcBorders>
          </w:tcPr>
          <w:p w14:paraId="51C41031" w14:textId="77777777" w:rsidR="00D83E33" w:rsidRPr="001B330E" w:rsidRDefault="00BC4072">
            <w:pPr>
              <w:widowControl w:val="0"/>
              <w:pBdr>
                <w:top w:val="nil"/>
                <w:left w:val="nil"/>
                <w:bottom w:val="nil"/>
                <w:right w:val="nil"/>
                <w:between w:val="nil"/>
              </w:pBdr>
              <w:ind w:left="-113"/>
              <w:jc w:val="right"/>
              <w:rPr>
                <w:b/>
                <w:color w:val="0000FF"/>
                <w:spacing w:val="-4"/>
              </w:rPr>
            </w:pPr>
            <w:r w:rsidRPr="001B330E">
              <w:rPr>
                <w:b/>
                <w:color w:val="0000FF"/>
                <w:spacing w:val="-4"/>
              </w:rPr>
              <w:t>[Entities under common control]</w:t>
            </w:r>
          </w:p>
        </w:tc>
        <w:tc>
          <w:tcPr>
            <w:tcW w:w="509" w:type="pct"/>
            <w:tcBorders>
              <w:bottom w:val="single" w:sz="4" w:space="0" w:color="000000"/>
            </w:tcBorders>
          </w:tcPr>
          <w:p w14:paraId="69AE0935"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Key manage-ment personnel</w:t>
            </w:r>
          </w:p>
        </w:tc>
        <w:tc>
          <w:tcPr>
            <w:tcW w:w="509" w:type="pct"/>
            <w:tcBorders>
              <w:bottom w:val="single" w:sz="4" w:space="0" w:color="000000"/>
            </w:tcBorders>
          </w:tcPr>
          <w:p w14:paraId="54A41530"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Asso-ciates</w:t>
            </w:r>
          </w:p>
        </w:tc>
        <w:tc>
          <w:tcPr>
            <w:tcW w:w="509" w:type="pct"/>
            <w:tcBorders>
              <w:bottom w:val="single" w:sz="4" w:space="0" w:color="000000"/>
            </w:tcBorders>
          </w:tcPr>
          <w:p w14:paraId="35CDB199"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Joint ventures</w:t>
            </w:r>
          </w:p>
        </w:tc>
        <w:tc>
          <w:tcPr>
            <w:tcW w:w="509" w:type="pct"/>
            <w:tcBorders>
              <w:bottom w:val="single" w:sz="4" w:space="0" w:color="000000"/>
            </w:tcBorders>
          </w:tcPr>
          <w:p w14:paraId="2F230849"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Other related parties</w:t>
            </w:r>
          </w:p>
        </w:tc>
      </w:tr>
      <w:tr w:rsidR="00D83E33" w:rsidRPr="00283A73" w14:paraId="668AC61D" w14:textId="77777777" w:rsidTr="001B330E">
        <w:trPr>
          <w:trHeight w:val="23"/>
        </w:trPr>
        <w:tc>
          <w:tcPr>
            <w:tcW w:w="1438" w:type="pct"/>
            <w:vAlign w:val="bottom"/>
          </w:tcPr>
          <w:p w14:paraId="4E784F62"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w:t>
            </w:r>
          </w:p>
        </w:tc>
        <w:tc>
          <w:tcPr>
            <w:tcW w:w="509" w:type="pct"/>
            <w:vAlign w:val="bottom"/>
          </w:tcPr>
          <w:p w14:paraId="788A40E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AEA04F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ECD403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243DC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0634BB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C5D9E4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E8EC791"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EDA8FB6" w14:textId="77777777" w:rsidTr="001B330E">
        <w:trPr>
          <w:trHeight w:val="23"/>
        </w:trPr>
        <w:tc>
          <w:tcPr>
            <w:tcW w:w="1438" w:type="pct"/>
            <w:vAlign w:val="bottom"/>
          </w:tcPr>
          <w:p w14:paraId="74DF2877" w14:textId="77777777" w:rsidR="00D83E33" w:rsidRPr="001B330E" w:rsidRDefault="00BC4072" w:rsidP="001B330E">
            <w:pPr>
              <w:widowControl w:val="0"/>
              <w:pBdr>
                <w:top w:val="nil"/>
                <w:left w:val="nil"/>
                <w:bottom w:val="nil"/>
                <w:right w:val="nil"/>
                <w:between w:val="nil"/>
              </w:pBdr>
              <w:ind w:left="113" w:hanging="113"/>
              <w:rPr>
                <w:i/>
                <w:color w:val="000000"/>
                <w:spacing w:val="-4"/>
              </w:rPr>
            </w:pPr>
            <w:r w:rsidRPr="001B330E">
              <w:rPr>
                <w:i/>
                <w:color w:val="000000"/>
                <w:spacing w:val="-4"/>
              </w:rPr>
              <w:t>(continued)</w:t>
            </w:r>
          </w:p>
        </w:tc>
        <w:tc>
          <w:tcPr>
            <w:tcW w:w="509" w:type="pct"/>
            <w:vAlign w:val="bottom"/>
          </w:tcPr>
          <w:p w14:paraId="3020469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140849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32B731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4EC0CB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EB0482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CE080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A176717"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707E9BA" w14:textId="77777777" w:rsidTr="001B330E">
        <w:trPr>
          <w:trHeight w:val="23"/>
        </w:trPr>
        <w:tc>
          <w:tcPr>
            <w:tcW w:w="1438" w:type="pct"/>
            <w:vAlign w:val="bottom"/>
          </w:tcPr>
          <w:p w14:paraId="71C7EEFD"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1E2850C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BAEC4D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AC360C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655E6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FE29B2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36656C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1BA14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E94C2AF" w14:textId="77777777" w:rsidTr="001B330E">
        <w:trPr>
          <w:trHeight w:val="23"/>
        </w:trPr>
        <w:tc>
          <w:tcPr>
            <w:tcW w:w="1438" w:type="pct"/>
            <w:vAlign w:val="bottom"/>
          </w:tcPr>
          <w:p w14:paraId="659E6DF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Other borrowed funds (contractual interest rate: _____ ‒ _____ %)</w:t>
            </w:r>
          </w:p>
        </w:tc>
        <w:tc>
          <w:tcPr>
            <w:tcW w:w="509" w:type="pct"/>
            <w:vAlign w:val="bottom"/>
          </w:tcPr>
          <w:p w14:paraId="09EE98E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16D3B9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69345D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AEA9E2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C2D4D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E6B907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F933CE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2648D8B" w14:textId="77777777" w:rsidTr="001B330E">
        <w:trPr>
          <w:trHeight w:val="23"/>
        </w:trPr>
        <w:tc>
          <w:tcPr>
            <w:tcW w:w="1438" w:type="pct"/>
            <w:vAlign w:val="bottom"/>
          </w:tcPr>
          <w:p w14:paraId="3BFDA025"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0BF58CD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6293FC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780215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98CBA7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6DB0EB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CD19E3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0AF5BE2"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8AF11DB" w14:textId="77777777" w:rsidTr="001B330E">
        <w:trPr>
          <w:trHeight w:val="23"/>
        </w:trPr>
        <w:tc>
          <w:tcPr>
            <w:tcW w:w="1438" w:type="pct"/>
            <w:vAlign w:val="bottom"/>
          </w:tcPr>
          <w:p w14:paraId="4697004A"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Provisions for liabilities and charges</w:t>
            </w:r>
          </w:p>
        </w:tc>
        <w:tc>
          <w:tcPr>
            <w:tcW w:w="509" w:type="pct"/>
            <w:vAlign w:val="bottom"/>
          </w:tcPr>
          <w:p w14:paraId="29F2E05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94373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168D1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62EDAC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E8D06E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34F86C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CF1F0C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3EF3276" w14:textId="77777777" w:rsidTr="001B330E">
        <w:trPr>
          <w:trHeight w:val="23"/>
        </w:trPr>
        <w:tc>
          <w:tcPr>
            <w:tcW w:w="1438" w:type="pct"/>
            <w:vAlign w:val="bottom"/>
          </w:tcPr>
          <w:p w14:paraId="7F4CD94B"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w:t>
            </w:r>
          </w:p>
        </w:tc>
        <w:tc>
          <w:tcPr>
            <w:tcW w:w="509" w:type="pct"/>
            <w:vAlign w:val="bottom"/>
          </w:tcPr>
          <w:p w14:paraId="4239112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54B9C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768A7C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4F8F02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22F6B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15FBAC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08E08A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2B15A31" w14:textId="77777777" w:rsidTr="001B330E">
        <w:trPr>
          <w:trHeight w:val="23"/>
        </w:trPr>
        <w:tc>
          <w:tcPr>
            <w:tcW w:w="1438" w:type="pct"/>
            <w:vAlign w:val="bottom"/>
          </w:tcPr>
          <w:p w14:paraId="0A6F7E09"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Other liabilities</w:t>
            </w:r>
          </w:p>
        </w:tc>
        <w:tc>
          <w:tcPr>
            <w:tcW w:w="509" w:type="pct"/>
            <w:vAlign w:val="bottom"/>
          </w:tcPr>
          <w:p w14:paraId="7242D65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25B4D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697E2B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BE25AC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5C26B2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947FB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1F5830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E85D2E5" w14:textId="77777777" w:rsidTr="001B330E">
        <w:trPr>
          <w:trHeight w:val="23"/>
        </w:trPr>
        <w:tc>
          <w:tcPr>
            <w:tcW w:w="1438" w:type="pct"/>
            <w:vAlign w:val="bottom"/>
          </w:tcPr>
          <w:p w14:paraId="18DE0D4D" w14:textId="77777777" w:rsidR="00D83E33" w:rsidRPr="001B330E" w:rsidRDefault="00D83E33" w:rsidP="001B330E">
            <w:pPr>
              <w:widowControl w:val="0"/>
              <w:pBdr>
                <w:top w:val="nil"/>
                <w:left w:val="nil"/>
                <w:bottom w:val="nil"/>
                <w:right w:val="nil"/>
                <w:between w:val="nil"/>
              </w:pBdr>
              <w:ind w:left="113" w:hanging="113"/>
              <w:rPr>
                <w:color w:val="000000"/>
                <w:spacing w:val="-4"/>
              </w:rPr>
            </w:pPr>
          </w:p>
        </w:tc>
        <w:tc>
          <w:tcPr>
            <w:tcW w:w="509" w:type="pct"/>
            <w:vAlign w:val="bottom"/>
          </w:tcPr>
          <w:p w14:paraId="19B1146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6937B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8B686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33234F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264B2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01F1C0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483C76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000D919" w14:textId="77777777" w:rsidTr="001B330E">
        <w:trPr>
          <w:trHeight w:val="23"/>
        </w:trPr>
        <w:tc>
          <w:tcPr>
            <w:tcW w:w="1438" w:type="pct"/>
            <w:vAlign w:val="bottom"/>
          </w:tcPr>
          <w:p w14:paraId="6EF88D9B"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xml:space="preserve"> </w:t>
            </w:r>
          </w:p>
        </w:tc>
        <w:tc>
          <w:tcPr>
            <w:tcW w:w="509" w:type="pct"/>
            <w:vAlign w:val="bottom"/>
          </w:tcPr>
          <w:p w14:paraId="505D5B3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881E43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A1DD10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4E8BD5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B50E4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FF242F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BFFD0F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C25CF99" w14:textId="77777777" w:rsidTr="001B330E">
        <w:trPr>
          <w:trHeight w:val="23"/>
        </w:trPr>
        <w:tc>
          <w:tcPr>
            <w:tcW w:w="1438" w:type="pct"/>
            <w:vAlign w:val="bottom"/>
          </w:tcPr>
          <w:p w14:paraId="3B953221"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Subordinated debt (contractual interest rate: _____ ‒ _____ %)</w:t>
            </w:r>
          </w:p>
        </w:tc>
        <w:tc>
          <w:tcPr>
            <w:tcW w:w="509" w:type="pct"/>
            <w:vAlign w:val="bottom"/>
          </w:tcPr>
          <w:p w14:paraId="65B0EF9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FE5103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1ABA79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149C3C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5E91E7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4254E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AC113E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64C332E" w14:textId="77777777" w:rsidTr="001B330E">
        <w:trPr>
          <w:trHeight w:val="23"/>
        </w:trPr>
        <w:tc>
          <w:tcPr>
            <w:tcW w:w="1438" w:type="pct"/>
            <w:vAlign w:val="bottom"/>
          </w:tcPr>
          <w:p w14:paraId="619A0762"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w:t>
            </w:r>
          </w:p>
        </w:tc>
        <w:tc>
          <w:tcPr>
            <w:tcW w:w="509" w:type="pct"/>
            <w:vAlign w:val="bottom"/>
          </w:tcPr>
          <w:p w14:paraId="6D1A1C8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DC576C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69B2F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1027F7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7E0259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0EB7E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8B296B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79EEA18" w14:textId="77777777" w:rsidTr="001B330E">
        <w:trPr>
          <w:trHeight w:val="23"/>
        </w:trPr>
        <w:tc>
          <w:tcPr>
            <w:tcW w:w="1438" w:type="pct"/>
            <w:vAlign w:val="bottom"/>
          </w:tcPr>
          <w:p w14:paraId="145469F8"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color w:val="000000"/>
                <w:spacing w:val="-4"/>
              </w:rPr>
              <w:t>Liabilities directly associated with disposal groups held for sale (contractual interest rate: _____ ‒ _____ %)</w:t>
            </w:r>
          </w:p>
        </w:tc>
        <w:tc>
          <w:tcPr>
            <w:tcW w:w="509" w:type="pct"/>
            <w:vAlign w:val="bottom"/>
          </w:tcPr>
          <w:p w14:paraId="0572050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38487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4001E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695AF2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76D001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BA8A66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003AA0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A423977" w14:textId="77777777" w:rsidTr="001B330E">
        <w:trPr>
          <w:trHeight w:val="23"/>
        </w:trPr>
        <w:tc>
          <w:tcPr>
            <w:tcW w:w="1438" w:type="pct"/>
            <w:tcBorders>
              <w:bottom w:val="single" w:sz="12" w:space="0" w:color="000000"/>
            </w:tcBorders>
            <w:vAlign w:val="bottom"/>
          </w:tcPr>
          <w:p w14:paraId="368777DB" w14:textId="77777777" w:rsidR="00D83E33" w:rsidRPr="001B330E" w:rsidRDefault="00BC4072" w:rsidP="001B330E">
            <w:pPr>
              <w:widowControl w:val="0"/>
              <w:pBdr>
                <w:top w:val="nil"/>
                <w:left w:val="nil"/>
                <w:bottom w:val="nil"/>
                <w:right w:val="nil"/>
                <w:between w:val="nil"/>
              </w:pBdr>
              <w:tabs>
                <w:tab w:val="right" w:pos="8782"/>
              </w:tabs>
              <w:ind w:left="113" w:hanging="113"/>
              <w:rPr>
                <w:color w:val="000000"/>
                <w:spacing w:val="-4"/>
              </w:rPr>
            </w:pPr>
            <w:r w:rsidRPr="001B330E">
              <w:rPr>
                <w:b/>
                <w:color w:val="000000"/>
                <w:spacing w:val="-4"/>
              </w:rPr>
              <w:t> </w:t>
            </w:r>
          </w:p>
        </w:tc>
        <w:tc>
          <w:tcPr>
            <w:tcW w:w="509" w:type="pct"/>
            <w:tcBorders>
              <w:bottom w:val="single" w:sz="12" w:space="0" w:color="000000"/>
            </w:tcBorders>
            <w:vAlign w:val="bottom"/>
          </w:tcPr>
          <w:p w14:paraId="060DDDE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5D07D75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10DD035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09D504A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4C21614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379DA10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353696C1" w14:textId="77777777" w:rsidR="00D83E33" w:rsidRPr="001B330E" w:rsidRDefault="00D83E33">
            <w:pPr>
              <w:widowControl w:val="0"/>
              <w:pBdr>
                <w:top w:val="nil"/>
                <w:left w:val="nil"/>
                <w:bottom w:val="nil"/>
                <w:right w:val="nil"/>
                <w:between w:val="nil"/>
              </w:pBdr>
              <w:jc w:val="right"/>
              <w:rPr>
                <w:color w:val="000000"/>
                <w:spacing w:val="-4"/>
              </w:rPr>
            </w:pPr>
          </w:p>
        </w:tc>
      </w:tr>
    </w:tbl>
    <w:p w14:paraId="72EF52FA" w14:textId="6D5FACC5" w:rsidR="00D83E33" w:rsidRDefault="00BC4072" w:rsidP="001B330E">
      <w:pPr>
        <w:pStyle w:val="Continued"/>
      </w:pPr>
      <w:r>
        <w:lastRenderedPageBreak/>
        <w:t>51</w:t>
      </w:r>
      <w:r>
        <w:tab/>
        <w:t>Related Party Transactions (Continued)</w:t>
      </w:r>
    </w:p>
    <w:p w14:paraId="624F2D3D" w14:textId="673CBF6B" w:rsidR="00D83E33" w:rsidRDefault="00BC4072">
      <w:pPr>
        <w:widowControl w:val="0"/>
        <w:spacing w:before="200" w:after="200"/>
        <w:rPr>
          <w:sz w:val="20"/>
          <w:szCs w:val="20"/>
        </w:rPr>
      </w:pPr>
      <w:r>
        <w:rPr>
          <w:sz w:val="20"/>
          <w:szCs w:val="20"/>
        </w:rPr>
        <w:t xml:space="preserve">The income and expense items with related parties for </w:t>
      </w:r>
      <w:r w:rsidR="00541EBC">
        <w:rPr>
          <w:sz w:val="20"/>
          <w:szCs w:val="20"/>
        </w:rPr>
        <w:t>2023</w:t>
      </w:r>
      <w:r>
        <w:rPr>
          <w:sz w:val="20"/>
          <w:szCs w:val="20"/>
        </w:rPr>
        <w:t xml:space="preserve"> were as follows:</w:t>
      </w:r>
    </w:p>
    <w:tbl>
      <w:tblPr>
        <w:tblStyle w:val="afffffffffffffffffb"/>
        <w:tblW w:w="5000" w:type="pct"/>
        <w:tblLayout w:type="fixed"/>
        <w:tblLook w:val="0000" w:firstRow="0" w:lastRow="0" w:firstColumn="0" w:lastColumn="0" w:noHBand="0" w:noVBand="0"/>
      </w:tblPr>
      <w:tblGrid>
        <w:gridCol w:w="2691"/>
        <w:gridCol w:w="953"/>
        <w:gridCol w:w="953"/>
        <w:gridCol w:w="952"/>
        <w:gridCol w:w="952"/>
        <w:gridCol w:w="952"/>
        <w:gridCol w:w="952"/>
        <w:gridCol w:w="950"/>
      </w:tblGrid>
      <w:tr w:rsidR="00D83E33" w:rsidRPr="00283A73" w14:paraId="0946EFE1" w14:textId="77777777" w:rsidTr="001B330E">
        <w:trPr>
          <w:trHeight w:val="23"/>
        </w:trPr>
        <w:tc>
          <w:tcPr>
            <w:tcW w:w="1438" w:type="pct"/>
            <w:tcBorders>
              <w:bottom w:val="single" w:sz="4" w:space="0" w:color="000000"/>
            </w:tcBorders>
            <w:vAlign w:val="bottom"/>
          </w:tcPr>
          <w:p w14:paraId="12877712" w14:textId="5C1C9DF0" w:rsidR="00D83E33" w:rsidRPr="001B330E" w:rsidRDefault="00313B4D" w:rsidP="001B330E">
            <w:pPr>
              <w:widowControl w:val="0"/>
              <w:ind w:left="113" w:hanging="113"/>
              <w:rPr>
                <w:i/>
                <w:spacing w:val="-4"/>
              </w:rPr>
            </w:pPr>
            <w:r>
              <w:rPr>
                <w:i/>
                <w:spacing w:val="-4"/>
              </w:rPr>
              <w:t xml:space="preserve">In thousands of </w:t>
            </w:r>
            <w:r w:rsidR="002649EE">
              <w:rPr>
                <w:i/>
                <w:spacing w:val="-4"/>
              </w:rPr>
              <w:t>EUR</w:t>
            </w:r>
          </w:p>
        </w:tc>
        <w:tc>
          <w:tcPr>
            <w:tcW w:w="509" w:type="pct"/>
            <w:tcBorders>
              <w:bottom w:val="single" w:sz="4" w:space="0" w:color="000000"/>
            </w:tcBorders>
          </w:tcPr>
          <w:p w14:paraId="71EFB551"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Immedi-ate parent company</w:t>
            </w:r>
          </w:p>
        </w:tc>
        <w:tc>
          <w:tcPr>
            <w:tcW w:w="509" w:type="pct"/>
            <w:tcBorders>
              <w:bottom w:val="single" w:sz="4" w:space="0" w:color="000000"/>
            </w:tcBorders>
          </w:tcPr>
          <w:p w14:paraId="140BE515" w14:textId="4A4FD708"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 xml:space="preserve">Other </w:t>
            </w:r>
            <w:r w:rsidR="00FA2F22">
              <w:rPr>
                <w:b/>
                <w:color w:val="000000"/>
                <w:spacing w:val="-4"/>
              </w:rPr>
              <w:t>signifi-cant</w:t>
            </w:r>
            <w:r w:rsidRPr="001B330E">
              <w:rPr>
                <w:b/>
                <w:color w:val="000000"/>
                <w:spacing w:val="-4"/>
              </w:rPr>
              <w:t xml:space="preserve"> share-holders</w:t>
            </w:r>
          </w:p>
        </w:tc>
        <w:tc>
          <w:tcPr>
            <w:tcW w:w="509" w:type="pct"/>
            <w:tcBorders>
              <w:bottom w:val="single" w:sz="4" w:space="0" w:color="000000"/>
            </w:tcBorders>
          </w:tcPr>
          <w:p w14:paraId="27600576" w14:textId="77777777" w:rsidR="00D83E33" w:rsidRPr="001B330E" w:rsidRDefault="00BC4072">
            <w:pPr>
              <w:widowControl w:val="0"/>
              <w:pBdr>
                <w:top w:val="nil"/>
                <w:left w:val="nil"/>
                <w:bottom w:val="nil"/>
                <w:right w:val="nil"/>
                <w:between w:val="nil"/>
              </w:pBdr>
              <w:ind w:left="-113"/>
              <w:jc w:val="right"/>
              <w:rPr>
                <w:b/>
                <w:color w:val="0000FF"/>
                <w:spacing w:val="-4"/>
              </w:rPr>
            </w:pPr>
            <w:r w:rsidRPr="001B330E">
              <w:rPr>
                <w:b/>
                <w:color w:val="0000FF"/>
                <w:spacing w:val="-4"/>
              </w:rPr>
              <w:t>[Entities under common control]</w:t>
            </w:r>
          </w:p>
        </w:tc>
        <w:tc>
          <w:tcPr>
            <w:tcW w:w="509" w:type="pct"/>
            <w:tcBorders>
              <w:bottom w:val="single" w:sz="4" w:space="0" w:color="000000"/>
            </w:tcBorders>
          </w:tcPr>
          <w:p w14:paraId="29BE4780"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Key manage-ment personnel</w:t>
            </w:r>
          </w:p>
        </w:tc>
        <w:tc>
          <w:tcPr>
            <w:tcW w:w="509" w:type="pct"/>
            <w:tcBorders>
              <w:bottom w:val="single" w:sz="4" w:space="0" w:color="000000"/>
            </w:tcBorders>
          </w:tcPr>
          <w:p w14:paraId="03C9C5DB"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Asso-ciates</w:t>
            </w:r>
          </w:p>
        </w:tc>
        <w:tc>
          <w:tcPr>
            <w:tcW w:w="509" w:type="pct"/>
            <w:tcBorders>
              <w:bottom w:val="single" w:sz="4" w:space="0" w:color="000000"/>
            </w:tcBorders>
          </w:tcPr>
          <w:p w14:paraId="6EB8198E"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Joint ventures</w:t>
            </w:r>
          </w:p>
        </w:tc>
        <w:tc>
          <w:tcPr>
            <w:tcW w:w="509" w:type="pct"/>
            <w:tcBorders>
              <w:bottom w:val="single" w:sz="4" w:space="0" w:color="000000"/>
            </w:tcBorders>
          </w:tcPr>
          <w:p w14:paraId="27B942DD" w14:textId="77777777" w:rsidR="00D83E33" w:rsidRPr="001B330E" w:rsidRDefault="00BC4072">
            <w:pPr>
              <w:widowControl w:val="0"/>
              <w:pBdr>
                <w:top w:val="nil"/>
                <w:left w:val="nil"/>
                <w:bottom w:val="nil"/>
                <w:right w:val="nil"/>
                <w:between w:val="nil"/>
              </w:pBdr>
              <w:ind w:left="-113"/>
              <w:jc w:val="right"/>
              <w:rPr>
                <w:b/>
                <w:color w:val="000000"/>
                <w:spacing w:val="-4"/>
              </w:rPr>
            </w:pPr>
            <w:r w:rsidRPr="001B330E">
              <w:rPr>
                <w:b/>
                <w:color w:val="000000"/>
                <w:spacing w:val="-4"/>
              </w:rPr>
              <w:t>Other related parties</w:t>
            </w:r>
          </w:p>
        </w:tc>
      </w:tr>
      <w:tr w:rsidR="00D83E33" w:rsidRPr="00283A73" w14:paraId="06447499" w14:textId="77777777" w:rsidTr="001B330E">
        <w:trPr>
          <w:trHeight w:val="23"/>
        </w:trPr>
        <w:tc>
          <w:tcPr>
            <w:tcW w:w="1438" w:type="pct"/>
            <w:tcBorders>
              <w:top w:val="single" w:sz="4" w:space="0" w:color="000000"/>
            </w:tcBorders>
            <w:vAlign w:val="bottom"/>
          </w:tcPr>
          <w:p w14:paraId="016D4B2E" w14:textId="77777777" w:rsidR="00D83E33" w:rsidRPr="001B330E" w:rsidRDefault="00BC4072" w:rsidP="001B330E">
            <w:pPr>
              <w:widowControl w:val="0"/>
              <w:ind w:left="113" w:hanging="113"/>
              <w:rPr>
                <w:b/>
                <w:spacing w:val="-4"/>
              </w:rPr>
            </w:pPr>
            <w:r w:rsidRPr="001B330E">
              <w:rPr>
                <w:b/>
                <w:spacing w:val="-4"/>
              </w:rPr>
              <w:t> </w:t>
            </w:r>
          </w:p>
        </w:tc>
        <w:tc>
          <w:tcPr>
            <w:tcW w:w="509" w:type="pct"/>
            <w:tcBorders>
              <w:top w:val="single" w:sz="4" w:space="0" w:color="000000"/>
            </w:tcBorders>
            <w:vAlign w:val="bottom"/>
          </w:tcPr>
          <w:p w14:paraId="58E9DF4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1F27902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4BD1A93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455591A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7EC1720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5E3F955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top w:val="single" w:sz="4" w:space="0" w:color="000000"/>
            </w:tcBorders>
            <w:vAlign w:val="bottom"/>
          </w:tcPr>
          <w:p w14:paraId="4851D425"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0023FB4" w14:textId="77777777" w:rsidTr="001B330E">
        <w:trPr>
          <w:trHeight w:val="23"/>
        </w:trPr>
        <w:tc>
          <w:tcPr>
            <w:tcW w:w="1438" w:type="pct"/>
            <w:vAlign w:val="bottom"/>
          </w:tcPr>
          <w:p w14:paraId="0B39CD4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Interest income</w:t>
            </w:r>
          </w:p>
        </w:tc>
        <w:tc>
          <w:tcPr>
            <w:tcW w:w="509" w:type="pct"/>
            <w:vAlign w:val="bottom"/>
          </w:tcPr>
          <w:p w14:paraId="4385D3E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01ED8A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A69433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343C38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B135F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70EED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88B12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AD0750C" w14:textId="77777777" w:rsidTr="001B330E">
        <w:trPr>
          <w:trHeight w:val="23"/>
        </w:trPr>
        <w:tc>
          <w:tcPr>
            <w:tcW w:w="1438" w:type="pct"/>
            <w:vAlign w:val="bottom"/>
          </w:tcPr>
          <w:p w14:paraId="715297F5"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089C7B5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635224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71F8C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61E09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FF26CF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24AB3E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6E42E4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69B861E" w14:textId="77777777" w:rsidTr="001B330E">
        <w:trPr>
          <w:trHeight w:val="23"/>
        </w:trPr>
        <w:tc>
          <w:tcPr>
            <w:tcW w:w="1438" w:type="pct"/>
            <w:vAlign w:val="bottom"/>
          </w:tcPr>
          <w:p w14:paraId="7A270E9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Interest expense</w:t>
            </w:r>
          </w:p>
        </w:tc>
        <w:tc>
          <w:tcPr>
            <w:tcW w:w="509" w:type="pct"/>
            <w:vAlign w:val="bottom"/>
          </w:tcPr>
          <w:p w14:paraId="4768CB9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A584EE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8D8D4D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169B71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FA19A5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5A9C84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D7618A0"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8B1DE91" w14:textId="77777777" w:rsidTr="001B330E">
        <w:trPr>
          <w:trHeight w:val="23"/>
        </w:trPr>
        <w:tc>
          <w:tcPr>
            <w:tcW w:w="1438" w:type="pct"/>
            <w:vAlign w:val="bottom"/>
          </w:tcPr>
          <w:p w14:paraId="27751E7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531F895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BE47F9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800559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FDF8A0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BFB73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EE39B8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CD37EB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E1B46B7" w14:textId="77777777" w:rsidTr="001B330E">
        <w:trPr>
          <w:trHeight w:val="23"/>
        </w:trPr>
        <w:tc>
          <w:tcPr>
            <w:tcW w:w="1438" w:type="pct"/>
            <w:vAlign w:val="bottom"/>
          </w:tcPr>
          <w:p w14:paraId="0AB44C93"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Credit loss allowance </w:t>
            </w:r>
          </w:p>
        </w:tc>
        <w:tc>
          <w:tcPr>
            <w:tcW w:w="509" w:type="pct"/>
            <w:vAlign w:val="bottom"/>
          </w:tcPr>
          <w:p w14:paraId="41EA6C7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4FA22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0D010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0EDF06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2C0DA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C14E45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88980B3"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F6C0A2A" w14:textId="77777777" w:rsidTr="001B330E">
        <w:trPr>
          <w:trHeight w:val="23"/>
        </w:trPr>
        <w:tc>
          <w:tcPr>
            <w:tcW w:w="1438" w:type="pct"/>
            <w:vAlign w:val="bottom"/>
          </w:tcPr>
          <w:p w14:paraId="7774C5B3"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55D1618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C9781D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5CCA0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1BE6B5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128E6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2A825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ED7FF5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653966A" w14:textId="77777777" w:rsidTr="001B330E">
        <w:trPr>
          <w:trHeight w:val="23"/>
        </w:trPr>
        <w:tc>
          <w:tcPr>
            <w:tcW w:w="1438" w:type="pct"/>
            <w:vAlign w:val="bottom"/>
          </w:tcPr>
          <w:p w14:paraId="6ECEF1BA"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Dividend income received</w:t>
            </w:r>
          </w:p>
        </w:tc>
        <w:tc>
          <w:tcPr>
            <w:tcW w:w="509" w:type="pct"/>
            <w:vAlign w:val="bottom"/>
          </w:tcPr>
          <w:p w14:paraId="141C722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54B05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5FECA5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AA503F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795A91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385B8F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C14D59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70B9868F" w14:textId="77777777" w:rsidTr="001B330E">
        <w:trPr>
          <w:trHeight w:val="23"/>
        </w:trPr>
        <w:tc>
          <w:tcPr>
            <w:tcW w:w="1438" w:type="pct"/>
            <w:vAlign w:val="bottom"/>
          </w:tcPr>
          <w:p w14:paraId="7FBE4B21"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42551D1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64A993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6E45E8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20AED1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37080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23B47C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73ED68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893FF36" w14:textId="77777777" w:rsidTr="001B330E">
        <w:trPr>
          <w:trHeight w:val="23"/>
        </w:trPr>
        <w:tc>
          <w:tcPr>
            <w:tcW w:w="1438" w:type="pct"/>
            <w:vAlign w:val="bottom"/>
          </w:tcPr>
          <w:p w14:paraId="186C03A7"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Gains less losses from securities at FVTPL</w:t>
            </w:r>
          </w:p>
        </w:tc>
        <w:tc>
          <w:tcPr>
            <w:tcW w:w="509" w:type="pct"/>
            <w:vAlign w:val="bottom"/>
          </w:tcPr>
          <w:p w14:paraId="02D4E02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A7304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7F2CE1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8D7F8E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073AB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07401F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D7CD214"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470E924" w14:textId="77777777" w:rsidTr="001B330E">
        <w:trPr>
          <w:trHeight w:val="23"/>
        </w:trPr>
        <w:tc>
          <w:tcPr>
            <w:tcW w:w="1438" w:type="pct"/>
            <w:vAlign w:val="bottom"/>
          </w:tcPr>
          <w:p w14:paraId="40B2B26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2273EA7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3F5F2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D51DAF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84B18D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403DBE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317D57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464A740"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E053108" w14:textId="77777777" w:rsidTr="001B330E">
        <w:trPr>
          <w:trHeight w:val="23"/>
        </w:trPr>
        <w:tc>
          <w:tcPr>
            <w:tcW w:w="1438" w:type="pct"/>
            <w:vAlign w:val="bottom"/>
          </w:tcPr>
          <w:p w14:paraId="1AACC7F9"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Gains less losses from trading in foreign currencies</w:t>
            </w:r>
          </w:p>
        </w:tc>
        <w:tc>
          <w:tcPr>
            <w:tcW w:w="509" w:type="pct"/>
            <w:vAlign w:val="bottom"/>
          </w:tcPr>
          <w:p w14:paraId="7180504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294B62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E1D6B8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9B421E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E860D9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7C5005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BAA4425"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256F7378" w14:textId="77777777" w:rsidTr="001B330E">
        <w:trPr>
          <w:trHeight w:val="23"/>
        </w:trPr>
        <w:tc>
          <w:tcPr>
            <w:tcW w:w="1438" w:type="pct"/>
            <w:vAlign w:val="bottom"/>
          </w:tcPr>
          <w:p w14:paraId="3836E7D5"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2D68ADB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3DE4A4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1D49A7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43616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F6F13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191991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9AAB85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0733E65" w14:textId="77777777" w:rsidTr="001B330E">
        <w:trPr>
          <w:trHeight w:val="23"/>
        </w:trPr>
        <w:tc>
          <w:tcPr>
            <w:tcW w:w="1438" w:type="pct"/>
            <w:vAlign w:val="bottom"/>
          </w:tcPr>
          <w:p w14:paraId="3FAD9889"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Foreign exchange translation gains less losses</w:t>
            </w:r>
          </w:p>
        </w:tc>
        <w:tc>
          <w:tcPr>
            <w:tcW w:w="509" w:type="pct"/>
            <w:vAlign w:val="bottom"/>
          </w:tcPr>
          <w:p w14:paraId="01C1A6B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25D0B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EC4B73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BB6063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1190CC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0CDD6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D95A1F6"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83EAB5E" w14:textId="77777777" w:rsidTr="001B330E">
        <w:trPr>
          <w:trHeight w:val="23"/>
        </w:trPr>
        <w:tc>
          <w:tcPr>
            <w:tcW w:w="1438" w:type="pct"/>
            <w:vAlign w:val="bottom"/>
          </w:tcPr>
          <w:p w14:paraId="702D955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1FC6EC9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70444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6F88B0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7FA2B3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35996A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EF485A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5B8A92C"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AB03DF6" w14:textId="77777777" w:rsidTr="001B330E">
        <w:trPr>
          <w:trHeight w:val="23"/>
        </w:trPr>
        <w:tc>
          <w:tcPr>
            <w:tcW w:w="1438" w:type="pct"/>
            <w:vAlign w:val="bottom"/>
          </w:tcPr>
          <w:p w14:paraId="3740F95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Fee and commission income</w:t>
            </w:r>
          </w:p>
        </w:tc>
        <w:tc>
          <w:tcPr>
            <w:tcW w:w="509" w:type="pct"/>
            <w:vAlign w:val="bottom"/>
          </w:tcPr>
          <w:p w14:paraId="52AA16F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23F901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B88A3F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406349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1D194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05F225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B44462"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745042E" w14:textId="77777777" w:rsidTr="001B330E">
        <w:trPr>
          <w:trHeight w:val="23"/>
        </w:trPr>
        <w:tc>
          <w:tcPr>
            <w:tcW w:w="1438" w:type="pct"/>
            <w:vAlign w:val="bottom"/>
          </w:tcPr>
          <w:p w14:paraId="064608D2"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47CD1CD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D7E83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FF4D28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E3DA6F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E3B195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C48D12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08C0913"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8719952" w14:textId="77777777" w:rsidTr="001B330E">
        <w:trPr>
          <w:trHeight w:val="23"/>
        </w:trPr>
        <w:tc>
          <w:tcPr>
            <w:tcW w:w="1438" w:type="pct"/>
            <w:vAlign w:val="bottom"/>
          </w:tcPr>
          <w:p w14:paraId="3DBE304D"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Fee and commission expense</w:t>
            </w:r>
          </w:p>
        </w:tc>
        <w:tc>
          <w:tcPr>
            <w:tcW w:w="509" w:type="pct"/>
            <w:vAlign w:val="bottom"/>
          </w:tcPr>
          <w:p w14:paraId="444FE0C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76EEDD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5A7FA4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83911B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06A765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4B036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BCD924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42C3EF9" w14:textId="77777777" w:rsidTr="001B330E">
        <w:trPr>
          <w:trHeight w:val="23"/>
        </w:trPr>
        <w:tc>
          <w:tcPr>
            <w:tcW w:w="1438" w:type="pct"/>
            <w:vAlign w:val="bottom"/>
          </w:tcPr>
          <w:p w14:paraId="09138502"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4CE2434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F3B619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1CC30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E732BE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3680B8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8EB58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2D7999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B2AFEC7" w14:textId="77777777" w:rsidTr="001B330E">
        <w:trPr>
          <w:trHeight w:val="23"/>
        </w:trPr>
        <w:tc>
          <w:tcPr>
            <w:tcW w:w="1438" w:type="pct"/>
            <w:vAlign w:val="bottom"/>
          </w:tcPr>
          <w:p w14:paraId="1078BFBC"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Gains/(losses) on initial recognition of assets at rates above/below market</w:t>
            </w:r>
          </w:p>
        </w:tc>
        <w:tc>
          <w:tcPr>
            <w:tcW w:w="509" w:type="pct"/>
            <w:vAlign w:val="bottom"/>
          </w:tcPr>
          <w:p w14:paraId="03604AA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01C4A0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5096D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6B81EC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080D22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90B7F5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921A7B1"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083A118" w14:textId="77777777" w:rsidTr="001B330E">
        <w:trPr>
          <w:trHeight w:val="23"/>
        </w:trPr>
        <w:tc>
          <w:tcPr>
            <w:tcW w:w="1438" w:type="pct"/>
            <w:vAlign w:val="bottom"/>
          </w:tcPr>
          <w:p w14:paraId="7B7CEB1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0253A02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D34E1D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0C9133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CF2ACC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DAFD9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03EBB7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1AB37A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E14C897" w14:textId="77777777" w:rsidTr="001B330E">
        <w:trPr>
          <w:trHeight w:val="23"/>
        </w:trPr>
        <w:tc>
          <w:tcPr>
            <w:tcW w:w="1438" w:type="pct"/>
            <w:vAlign w:val="bottom"/>
          </w:tcPr>
          <w:p w14:paraId="64C7E6DD"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Gains/(losses) on initial recognition of liabilities at rates below/above market</w:t>
            </w:r>
          </w:p>
        </w:tc>
        <w:tc>
          <w:tcPr>
            <w:tcW w:w="509" w:type="pct"/>
            <w:vAlign w:val="bottom"/>
          </w:tcPr>
          <w:p w14:paraId="63F0A19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1753BD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98549E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96FD4A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3D6F3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9E18B7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CAF59CB"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0981DE8B" w14:textId="77777777" w:rsidTr="001B330E">
        <w:trPr>
          <w:trHeight w:val="23"/>
        </w:trPr>
        <w:tc>
          <w:tcPr>
            <w:tcW w:w="1438" w:type="pct"/>
            <w:vAlign w:val="bottom"/>
          </w:tcPr>
          <w:p w14:paraId="2E602ED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3AF1837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E4D16C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7023D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F1ADA0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429FA0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968E78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88821B5"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150DB32" w14:textId="77777777" w:rsidTr="001B330E">
        <w:trPr>
          <w:trHeight w:val="23"/>
        </w:trPr>
        <w:tc>
          <w:tcPr>
            <w:tcW w:w="1438" w:type="pct"/>
            <w:vAlign w:val="bottom"/>
          </w:tcPr>
          <w:p w14:paraId="56434067" w14:textId="77777777" w:rsidR="00D83E33" w:rsidRPr="001B330E" w:rsidRDefault="00BC4072" w:rsidP="001B330E">
            <w:pPr>
              <w:widowControl w:val="0"/>
              <w:pBdr>
                <w:top w:val="nil"/>
                <w:left w:val="nil"/>
                <w:bottom w:val="nil"/>
                <w:right w:val="nil"/>
                <w:between w:val="nil"/>
              </w:pBdr>
              <w:ind w:left="113" w:hanging="113"/>
              <w:rPr>
                <w:i/>
                <w:color w:val="000000"/>
                <w:spacing w:val="-4"/>
              </w:rPr>
            </w:pPr>
            <w:r w:rsidRPr="001B330E">
              <w:rPr>
                <w:color w:val="000000"/>
                <w:spacing w:val="-4"/>
              </w:rPr>
              <w:t>Impairment of investment securities at FVOCI</w:t>
            </w:r>
          </w:p>
        </w:tc>
        <w:tc>
          <w:tcPr>
            <w:tcW w:w="509" w:type="pct"/>
            <w:vAlign w:val="bottom"/>
          </w:tcPr>
          <w:p w14:paraId="6D0A9B5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AF53B7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F7BB6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6DDDAA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819156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556CBC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D3CC4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36B6CC4" w14:textId="77777777" w:rsidTr="001B330E">
        <w:trPr>
          <w:trHeight w:val="23"/>
        </w:trPr>
        <w:tc>
          <w:tcPr>
            <w:tcW w:w="1438" w:type="pct"/>
            <w:vAlign w:val="bottom"/>
          </w:tcPr>
          <w:p w14:paraId="05F5DC5E"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4413B56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322ED2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F209D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96FD71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29C703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689D16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033846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98E930D" w14:textId="77777777" w:rsidTr="001B330E">
        <w:trPr>
          <w:trHeight w:val="23"/>
        </w:trPr>
        <w:tc>
          <w:tcPr>
            <w:tcW w:w="1438" w:type="pct"/>
            <w:vAlign w:val="bottom"/>
          </w:tcPr>
          <w:p w14:paraId="1B384CA9" w14:textId="77777777" w:rsidR="00D83E33" w:rsidRPr="001B330E" w:rsidRDefault="00BC4072" w:rsidP="001B330E">
            <w:pPr>
              <w:widowControl w:val="0"/>
              <w:pBdr>
                <w:top w:val="nil"/>
                <w:left w:val="nil"/>
                <w:bottom w:val="nil"/>
                <w:right w:val="nil"/>
                <w:between w:val="nil"/>
              </w:pBdr>
              <w:ind w:left="113" w:hanging="113"/>
              <w:rPr>
                <w:i/>
                <w:color w:val="000000"/>
                <w:spacing w:val="-4"/>
              </w:rPr>
            </w:pPr>
            <w:r w:rsidRPr="001B330E">
              <w:rPr>
                <w:color w:val="000000"/>
                <w:spacing w:val="-4"/>
              </w:rPr>
              <w:t>Provision for credit related commitments</w:t>
            </w:r>
          </w:p>
        </w:tc>
        <w:tc>
          <w:tcPr>
            <w:tcW w:w="509" w:type="pct"/>
            <w:vAlign w:val="bottom"/>
          </w:tcPr>
          <w:p w14:paraId="59E19E6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F859E7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41C3F8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ABDD5C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BF859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175D312"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02F16E8"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E8A9531" w14:textId="77777777" w:rsidTr="001B330E">
        <w:trPr>
          <w:trHeight w:val="23"/>
        </w:trPr>
        <w:tc>
          <w:tcPr>
            <w:tcW w:w="1438" w:type="pct"/>
            <w:vAlign w:val="bottom"/>
          </w:tcPr>
          <w:p w14:paraId="1DAC529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b/>
                <w:color w:val="000000"/>
                <w:spacing w:val="-4"/>
              </w:rPr>
              <w:t> </w:t>
            </w:r>
          </w:p>
        </w:tc>
        <w:tc>
          <w:tcPr>
            <w:tcW w:w="509" w:type="pct"/>
            <w:vAlign w:val="bottom"/>
          </w:tcPr>
          <w:p w14:paraId="76E8F77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26997A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7EC717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C881E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B2C0E7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434217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EF455C1"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94883F5" w14:textId="77777777" w:rsidTr="001B330E">
        <w:trPr>
          <w:trHeight w:val="23"/>
        </w:trPr>
        <w:tc>
          <w:tcPr>
            <w:tcW w:w="1438" w:type="pct"/>
            <w:vAlign w:val="bottom"/>
          </w:tcPr>
          <w:p w14:paraId="558A6EF6" w14:textId="77777777" w:rsidR="00D83E33" w:rsidRPr="001B330E" w:rsidRDefault="00BC4072" w:rsidP="001B330E">
            <w:pPr>
              <w:widowControl w:val="0"/>
              <w:pBdr>
                <w:top w:val="nil"/>
                <w:left w:val="nil"/>
                <w:bottom w:val="nil"/>
                <w:right w:val="nil"/>
                <w:between w:val="nil"/>
              </w:pBdr>
              <w:ind w:left="113" w:hanging="113"/>
              <w:rPr>
                <w:color w:val="000000"/>
                <w:spacing w:val="-4"/>
              </w:rPr>
            </w:pPr>
            <w:r w:rsidRPr="001B330E">
              <w:rPr>
                <w:color w:val="000000"/>
                <w:spacing w:val="-4"/>
              </w:rPr>
              <w:t xml:space="preserve">Other operating income </w:t>
            </w:r>
          </w:p>
        </w:tc>
        <w:tc>
          <w:tcPr>
            <w:tcW w:w="509" w:type="pct"/>
            <w:vAlign w:val="bottom"/>
          </w:tcPr>
          <w:p w14:paraId="3ACFBE7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C9BE2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C91CF57"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0CC144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03288D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B857A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40685D0"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4ECD33D1" w14:textId="77777777" w:rsidTr="001B330E">
        <w:trPr>
          <w:trHeight w:val="23"/>
        </w:trPr>
        <w:tc>
          <w:tcPr>
            <w:tcW w:w="1438" w:type="pct"/>
            <w:vAlign w:val="bottom"/>
          </w:tcPr>
          <w:p w14:paraId="2DFB3089"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smallCaps/>
                <w:color w:val="000000"/>
                <w:spacing w:val="-4"/>
              </w:rPr>
              <w:t> </w:t>
            </w:r>
          </w:p>
        </w:tc>
        <w:tc>
          <w:tcPr>
            <w:tcW w:w="509" w:type="pct"/>
            <w:vAlign w:val="bottom"/>
          </w:tcPr>
          <w:p w14:paraId="1881CC2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68148C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8D21A5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F4954D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B48C92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2587E4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7F07535"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4511A02" w14:textId="77777777" w:rsidTr="001B330E">
        <w:trPr>
          <w:trHeight w:val="23"/>
        </w:trPr>
        <w:tc>
          <w:tcPr>
            <w:tcW w:w="1438" w:type="pct"/>
            <w:vAlign w:val="bottom"/>
          </w:tcPr>
          <w:p w14:paraId="3149B04B"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color w:val="000000"/>
                <w:spacing w:val="-4"/>
              </w:rPr>
              <w:t>Gains/(losses) arising from early retirement of debt</w:t>
            </w:r>
          </w:p>
        </w:tc>
        <w:tc>
          <w:tcPr>
            <w:tcW w:w="509" w:type="pct"/>
            <w:vAlign w:val="bottom"/>
          </w:tcPr>
          <w:p w14:paraId="72FCFF2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D4F65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AFC82B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30599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DEAA47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DB5420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DB3C31E"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3FC8BFE8" w14:textId="77777777" w:rsidTr="001B330E">
        <w:trPr>
          <w:trHeight w:val="23"/>
        </w:trPr>
        <w:tc>
          <w:tcPr>
            <w:tcW w:w="1438" w:type="pct"/>
            <w:vAlign w:val="bottom"/>
          </w:tcPr>
          <w:p w14:paraId="165F9CD7"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smallCaps/>
                <w:color w:val="000000"/>
                <w:spacing w:val="-4"/>
              </w:rPr>
              <w:t> </w:t>
            </w:r>
          </w:p>
        </w:tc>
        <w:tc>
          <w:tcPr>
            <w:tcW w:w="509" w:type="pct"/>
            <w:vAlign w:val="bottom"/>
          </w:tcPr>
          <w:p w14:paraId="6D109CF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162F77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CBD5A2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737E7D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6C668B1"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4AB279E"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51B9FA7"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5562DEED" w14:textId="77777777" w:rsidTr="001B330E">
        <w:trPr>
          <w:trHeight w:val="23"/>
        </w:trPr>
        <w:tc>
          <w:tcPr>
            <w:tcW w:w="1438" w:type="pct"/>
            <w:vAlign w:val="bottom"/>
          </w:tcPr>
          <w:p w14:paraId="1376F309"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color w:val="000000"/>
                <w:spacing w:val="-4"/>
              </w:rPr>
              <w:t xml:space="preserve">Administrative and other operating expenses </w:t>
            </w:r>
          </w:p>
        </w:tc>
        <w:tc>
          <w:tcPr>
            <w:tcW w:w="509" w:type="pct"/>
            <w:vAlign w:val="bottom"/>
          </w:tcPr>
          <w:p w14:paraId="55566C3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F838DC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4E2931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33188A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3E53A04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939373D"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308D869"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B6C2E2A" w14:textId="77777777" w:rsidTr="001B330E">
        <w:trPr>
          <w:trHeight w:val="23"/>
        </w:trPr>
        <w:tc>
          <w:tcPr>
            <w:tcW w:w="1438" w:type="pct"/>
            <w:vAlign w:val="bottom"/>
          </w:tcPr>
          <w:p w14:paraId="4D0F1F6F"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smallCaps/>
                <w:color w:val="000000"/>
                <w:spacing w:val="-4"/>
              </w:rPr>
              <w:t> </w:t>
            </w:r>
          </w:p>
        </w:tc>
        <w:tc>
          <w:tcPr>
            <w:tcW w:w="509" w:type="pct"/>
            <w:vAlign w:val="bottom"/>
          </w:tcPr>
          <w:p w14:paraId="5835D065"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388A230"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BC2C9B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0AC0D60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2E0C4DC"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23ECE35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51DB76DF"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63795BAA" w14:textId="77777777" w:rsidTr="001B330E">
        <w:trPr>
          <w:trHeight w:val="23"/>
        </w:trPr>
        <w:tc>
          <w:tcPr>
            <w:tcW w:w="1438" w:type="pct"/>
            <w:vAlign w:val="bottom"/>
          </w:tcPr>
          <w:p w14:paraId="3033E357" w14:textId="77777777" w:rsidR="00D83E33" w:rsidRPr="001B330E" w:rsidRDefault="00BC4072" w:rsidP="001B330E">
            <w:pPr>
              <w:widowControl w:val="0"/>
              <w:pBdr>
                <w:top w:val="nil"/>
                <w:left w:val="nil"/>
                <w:bottom w:val="nil"/>
                <w:right w:val="nil"/>
                <w:between w:val="nil"/>
              </w:pBdr>
              <w:tabs>
                <w:tab w:val="left" w:pos="2268"/>
              </w:tabs>
              <w:ind w:left="113" w:hanging="113"/>
              <w:rPr>
                <w:i/>
                <w:color w:val="000000"/>
                <w:spacing w:val="-4"/>
              </w:rPr>
            </w:pPr>
            <w:r w:rsidRPr="001B330E">
              <w:rPr>
                <w:color w:val="000000"/>
                <w:spacing w:val="-4"/>
              </w:rPr>
              <w:t>Share of result of associates</w:t>
            </w:r>
          </w:p>
        </w:tc>
        <w:tc>
          <w:tcPr>
            <w:tcW w:w="509" w:type="pct"/>
            <w:vAlign w:val="bottom"/>
          </w:tcPr>
          <w:p w14:paraId="51A5519A"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4E38685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507EB4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BDA17E6"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78D3BE3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6E3591A8"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vAlign w:val="bottom"/>
          </w:tcPr>
          <w:p w14:paraId="1821CB1A" w14:textId="77777777" w:rsidR="00D83E33" w:rsidRPr="001B330E" w:rsidRDefault="00D83E33">
            <w:pPr>
              <w:widowControl w:val="0"/>
              <w:pBdr>
                <w:top w:val="nil"/>
                <w:left w:val="nil"/>
                <w:bottom w:val="nil"/>
                <w:right w:val="nil"/>
                <w:between w:val="nil"/>
              </w:pBdr>
              <w:jc w:val="right"/>
              <w:rPr>
                <w:color w:val="000000"/>
                <w:spacing w:val="-4"/>
              </w:rPr>
            </w:pPr>
          </w:p>
        </w:tc>
      </w:tr>
      <w:tr w:rsidR="00D83E33" w:rsidRPr="00283A73" w14:paraId="11A452AF" w14:textId="77777777" w:rsidTr="001B330E">
        <w:trPr>
          <w:trHeight w:val="23"/>
        </w:trPr>
        <w:tc>
          <w:tcPr>
            <w:tcW w:w="1438" w:type="pct"/>
            <w:tcBorders>
              <w:bottom w:val="single" w:sz="12" w:space="0" w:color="000000"/>
            </w:tcBorders>
            <w:vAlign w:val="bottom"/>
          </w:tcPr>
          <w:p w14:paraId="41BE83F1" w14:textId="77777777" w:rsidR="00D83E33" w:rsidRPr="001B330E" w:rsidRDefault="00BC4072" w:rsidP="001B330E">
            <w:pPr>
              <w:widowControl w:val="0"/>
              <w:pBdr>
                <w:top w:val="nil"/>
                <w:left w:val="nil"/>
                <w:bottom w:val="nil"/>
                <w:right w:val="nil"/>
                <w:between w:val="nil"/>
              </w:pBdr>
              <w:tabs>
                <w:tab w:val="left" w:pos="2268"/>
              </w:tabs>
              <w:ind w:left="113" w:hanging="113"/>
              <w:rPr>
                <w:color w:val="000000"/>
                <w:spacing w:val="-4"/>
              </w:rPr>
            </w:pPr>
            <w:r w:rsidRPr="001B330E">
              <w:rPr>
                <w:smallCaps/>
                <w:color w:val="000000"/>
                <w:spacing w:val="-4"/>
              </w:rPr>
              <w:t> </w:t>
            </w:r>
          </w:p>
        </w:tc>
        <w:tc>
          <w:tcPr>
            <w:tcW w:w="509" w:type="pct"/>
            <w:tcBorders>
              <w:bottom w:val="single" w:sz="12" w:space="0" w:color="000000"/>
            </w:tcBorders>
            <w:vAlign w:val="bottom"/>
          </w:tcPr>
          <w:p w14:paraId="44D87FB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40A7FD59"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07AF1AD3"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63A4BBCF"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41C5E604"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6015FDEB" w14:textId="77777777" w:rsidR="00D83E33" w:rsidRPr="001B330E" w:rsidRDefault="00D83E33">
            <w:pPr>
              <w:widowControl w:val="0"/>
              <w:pBdr>
                <w:top w:val="nil"/>
                <w:left w:val="nil"/>
                <w:bottom w:val="nil"/>
                <w:right w:val="nil"/>
                <w:between w:val="nil"/>
              </w:pBdr>
              <w:jc w:val="right"/>
              <w:rPr>
                <w:color w:val="000000"/>
                <w:spacing w:val="-4"/>
              </w:rPr>
            </w:pPr>
          </w:p>
        </w:tc>
        <w:tc>
          <w:tcPr>
            <w:tcW w:w="509" w:type="pct"/>
            <w:tcBorders>
              <w:bottom w:val="single" w:sz="12" w:space="0" w:color="000000"/>
            </w:tcBorders>
            <w:vAlign w:val="bottom"/>
          </w:tcPr>
          <w:p w14:paraId="46BB11BD" w14:textId="77777777" w:rsidR="00D83E33" w:rsidRPr="001B330E" w:rsidRDefault="00D83E33">
            <w:pPr>
              <w:widowControl w:val="0"/>
              <w:pBdr>
                <w:top w:val="nil"/>
                <w:left w:val="nil"/>
                <w:bottom w:val="nil"/>
                <w:right w:val="nil"/>
                <w:between w:val="nil"/>
              </w:pBdr>
              <w:jc w:val="right"/>
              <w:rPr>
                <w:color w:val="000000"/>
                <w:spacing w:val="-4"/>
              </w:rPr>
            </w:pPr>
          </w:p>
        </w:tc>
      </w:tr>
    </w:tbl>
    <w:p w14:paraId="3C57519F" w14:textId="0A73FD80" w:rsidR="00D83E33" w:rsidRDefault="00BC4072" w:rsidP="001B330E">
      <w:pPr>
        <w:pStyle w:val="Continued"/>
      </w:pPr>
      <w:r>
        <w:lastRenderedPageBreak/>
        <w:t>51</w:t>
      </w:r>
      <w:r>
        <w:tab/>
        <w:t>Related Party Transactions (Continued)</w:t>
      </w:r>
    </w:p>
    <w:p w14:paraId="7CE30804" w14:textId="2C0E8D6E"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During </w:t>
      </w:r>
      <w:r w:rsidR="00541EBC">
        <w:rPr>
          <w:color w:val="000000"/>
          <w:sz w:val="20"/>
          <w:szCs w:val="20"/>
        </w:rPr>
        <w:t>2024</w:t>
      </w:r>
      <w:r>
        <w:rPr>
          <w:color w:val="000000"/>
          <w:sz w:val="20"/>
          <w:szCs w:val="20"/>
        </w:rPr>
        <w:t xml:space="preserve">, the Group reacquired _____ </w:t>
      </w:r>
      <w:r>
        <w:rPr>
          <w:color w:val="0000FF"/>
          <w:sz w:val="20"/>
          <w:szCs w:val="20"/>
        </w:rPr>
        <w:t>[thousand]</w:t>
      </w:r>
      <w:r>
        <w:rPr>
          <w:color w:val="000000"/>
          <w:sz w:val="20"/>
          <w:szCs w:val="20"/>
        </w:rPr>
        <w:t xml:space="preserve"> own shares from its related party, _____, for a total consideration of </w:t>
      </w:r>
      <w:r w:rsidR="00D73799">
        <w:rPr>
          <w:color w:val="000000"/>
          <w:sz w:val="20"/>
          <w:szCs w:val="20"/>
        </w:rPr>
        <w:t>EUR</w:t>
      </w:r>
      <w:r>
        <w:rPr>
          <w:color w:val="000000"/>
          <w:sz w:val="20"/>
          <w:szCs w:val="20"/>
        </w:rPr>
        <w:t xml:space="preserve"> _____ thousand (</w:t>
      </w:r>
      <w:r w:rsidR="00541EBC">
        <w:rPr>
          <w:color w:val="000000"/>
          <w:sz w:val="20"/>
          <w:szCs w:val="20"/>
        </w:rPr>
        <w:t>2023</w:t>
      </w:r>
      <w:r>
        <w:rPr>
          <w:color w:val="000000"/>
          <w:sz w:val="20"/>
          <w:szCs w:val="20"/>
        </w:rPr>
        <w:t xml:space="preserve">: related party _____, _____ </w:t>
      </w:r>
      <w:r>
        <w:rPr>
          <w:color w:val="0000FF"/>
          <w:sz w:val="20"/>
          <w:szCs w:val="20"/>
        </w:rPr>
        <w:t>[thousand shares]</w:t>
      </w:r>
      <w:r>
        <w:rPr>
          <w:color w:val="000000"/>
          <w:sz w:val="20"/>
          <w:szCs w:val="20"/>
        </w:rPr>
        <w:t xml:space="preserve"> for </w:t>
      </w:r>
      <w:r w:rsidR="00D73799">
        <w:rPr>
          <w:color w:val="000000"/>
          <w:sz w:val="20"/>
          <w:szCs w:val="20"/>
        </w:rPr>
        <w:t>EUR</w:t>
      </w:r>
      <w:r>
        <w:rPr>
          <w:color w:val="000000"/>
          <w:sz w:val="20"/>
          <w:szCs w:val="20"/>
        </w:rPr>
        <w:t xml:space="preserve"> _____ thousand).</w:t>
      </w:r>
    </w:p>
    <w:p w14:paraId="2CB777B1" w14:textId="45548296"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At 31</w:t>
      </w:r>
      <w:r w:rsidR="00181687">
        <w:rPr>
          <w:color w:val="000000"/>
          <w:sz w:val="20"/>
          <w:szCs w:val="20"/>
        </w:rPr>
        <w:t> December </w:t>
      </w:r>
      <w:r w:rsidR="00541EBC">
        <w:rPr>
          <w:color w:val="000000"/>
          <w:sz w:val="20"/>
          <w:szCs w:val="20"/>
        </w:rPr>
        <w:t>2023</w:t>
      </w:r>
      <w:r>
        <w:rPr>
          <w:color w:val="000000"/>
          <w:sz w:val="20"/>
          <w:szCs w:val="20"/>
        </w:rPr>
        <w:t>, other rights and obligations with related parties were as follows:</w:t>
      </w:r>
    </w:p>
    <w:tbl>
      <w:tblPr>
        <w:tblStyle w:val="afffffffffffffffffc"/>
        <w:tblW w:w="5000" w:type="pct"/>
        <w:tblLook w:val="0000" w:firstRow="0" w:lastRow="0" w:firstColumn="0" w:lastColumn="0" w:noHBand="0" w:noVBand="0"/>
      </w:tblPr>
      <w:tblGrid>
        <w:gridCol w:w="2628"/>
        <w:gridCol w:w="1017"/>
        <w:gridCol w:w="891"/>
        <w:gridCol w:w="977"/>
        <w:gridCol w:w="1087"/>
        <w:gridCol w:w="891"/>
        <w:gridCol w:w="977"/>
        <w:gridCol w:w="887"/>
      </w:tblGrid>
      <w:tr w:rsidR="00D95E75" w:rsidRPr="00D95E75" w14:paraId="4077D3F2" w14:textId="77777777" w:rsidTr="001B330E">
        <w:trPr>
          <w:trHeight w:val="23"/>
        </w:trPr>
        <w:tc>
          <w:tcPr>
            <w:tcW w:w="1405" w:type="pct"/>
            <w:tcBorders>
              <w:bottom w:val="single" w:sz="4" w:space="0" w:color="000000"/>
            </w:tcBorders>
            <w:vAlign w:val="bottom"/>
          </w:tcPr>
          <w:p w14:paraId="15778D0E" w14:textId="21B882B1" w:rsidR="00D83E33" w:rsidRPr="001B330E" w:rsidRDefault="00313B4D" w:rsidP="001B330E">
            <w:pPr>
              <w:widowControl w:val="0"/>
              <w:ind w:left="113" w:hanging="113"/>
              <w:rPr>
                <w:i/>
                <w:spacing w:val="-2"/>
              </w:rPr>
            </w:pPr>
            <w:r>
              <w:rPr>
                <w:i/>
                <w:spacing w:val="-2"/>
              </w:rPr>
              <w:t xml:space="preserve">In thousands of </w:t>
            </w:r>
            <w:r w:rsidR="002649EE">
              <w:rPr>
                <w:i/>
                <w:spacing w:val="-2"/>
              </w:rPr>
              <w:t>EUR</w:t>
            </w:r>
          </w:p>
        </w:tc>
        <w:tc>
          <w:tcPr>
            <w:tcW w:w="544" w:type="pct"/>
            <w:tcBorders>
              <w:bottom w:val="single" w:sz="4" w:space="0" w:color="000000"/>
            </w:tcBorders>
          </w:tcPr>
          <w:p w14:paraId="266B1E11"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Immedi-ate parent company</w:t>
            </w:r>
          </w:p>
        </w:tc>
        <w:tc>
          <w:tcPr>
            <w:tcW w:w="476" w:type="pct"/>
            <w:tcBorders>
              <w:bottom w:val="single" w:sz="4" w:space="0" w:color="000000"/>
            </w:tcBorders>
          </w:tcPr>
          <w:p w14:paraId="766D2CB1" w14:textId="36D2EEF1"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 xml:space="preserve">Other </w:t>
            </w:r>
            <w:r w:rsidR="00FA2F22">
              <w:rPr>
                <w:b/>
                <w:color w:val="000000"/>
                <w:spacing w:val="-2"/>
              </w:rPr>
              <w:t>signifi-cant</w:t>
            </w:r>
            <w:r w:rsidRPr="001B330E">
              <w:rPr>
                <w:b/>
                <w:color w:val="000000"/>
                <w:spacing w:val="-2"/>
              </w:rPr>
              <w:t xml:space="preserve"> share-holders</w:t>
            </w:r>
          </w:p>
        </w:tc>
        <w:tc>
          <w:tcPr>
            <w:tcW w:w="522" w:type="pct"/>
            <w:tcBorders>
              <w:bottom w:val="single" w:sz="4" w:space="0" w:color="000000"/>
            </w:tcBorders>
          </w:tcPr>
          <w:p w14:paraId="55587D2F" w14:textId="77777777" w:rsidR="00D83E33" w:rsidRPr="001B330E" w:rsidRDefault="00BC4072" w:rsidP="001B330E">
            <w:pPr>
              <w:widowControl w:val="0"/>
              <w:pBdr>
                <w:top w:val="nil"/>
                <w:left w:val="nil"/>
                <w:bottom w:val="nil"/>
                <w:right w:val="nil"/>
                <w:between w:val="nil"/>
              </w:pBdr>
              <w:jc w:val="right"/>
              <w:rPr>
                <w:b/>
                <w:color w:val="0000FF"/>
                <w:spacing w:val="-2"/>
              </w:rPr>
            </w:pPr>
            <w:r w:rsidRPr="001B330E">
              <w:rPr>
                <w:b/>
                <w:color w:val="0000FF"/>
                <w:spacing w:val="-2"/>
              </w:rPr>
              <w:t>[Entities under common control]</w:t>
            </w:r>
          </w:p>
        </w:tc>
        <w:tc>
          <w:tcPr>
            <w:tcW w:w="581" w:type="pct"/>
            <w:tcBorders>
              <w:bottom w:val="single" w:sz="4" w:space="0" w:color="000000"/>
            </w:tcBorders>
          </w:tcPr>
          <w:p w14:paraId="3EC749B8"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Key manage-ment personnel</w:t>
            </w:r>
          </w:p>
        </w:tc>
        <w:tc>
          <w:tcPr>
            <w:tcW w:w="476" w:type="pct"/>
            <w:tcBorders>
              <w:bottom w:val="single" w:sz="4" w:space="0" w:color="000000"/>
            </w:tcBorders>
          </w:tcPr>
          <w:p w14:paraId="7E63E2EB"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Asso-ciates</w:t>
            </w:r>
          </w:p>
        </w:tc>
        <w:tc>
          <w:tcPr>
            <w:tcW w:w="522" w:type="pct"/>
            <w:tcBorders>
              <w:bottom w:val="single" w:sz="4" w:space="0" w:color="000000"/>
            </w:tcBorders>
          </w:tcPr>
          <w:p w14:paraId="590551B9"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Joint ventures</w:t>
            </w:r>
          </w:p>
        </w:tc>
        <w:tc>
          <w:tcPr>
            <w:tcW w:w="475" w:type="pct"/>
            <w:tcBorders>
              <w:bottom w:val="single" w:sz="4" w:space="0" w:color="000000"/>
            </w:tcBorders>
          </w:tcPr>
          <w:p w14:paraId="3C1D05E4"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Other related parties</w:t>
            </w:r>
          </w:p>
        </w:tc>
      </w:tr>
      <w:tr w:rsidR="00D95E75" w:rsidRPr="00D95E75" w14:paraId="1BA52271" w14:textId="77777777" w:rsidTr="001B330E">
        <w:trPr>
          <w:trHeight w:val="23"/>
        </w:trPr>
        <w:tc>
          <w:tcPr>
            <w:tcW w:w="1405" w:type="pct"/>
            <w:tcBorders>
              <w:top w:val="single" w:sz="4" w:space="0" w:color="000000"/>
            </w:tcBorders>
            <w:vAlign w:val="bottom"/>
          </w:tcPr>
          <w:p w14:paraId="500AB5C4" w14:textId="77777777" w:rsidR="00D83E33" w:rsidRPr="001B330E" w:rsidRDefault="00BC4072" w:rsidP="001B330E">
            <w:pPr>
              <w:widowControl w:val="0"/>
              <w:ind w:left="113" w:hanging="113"/>
              <w:rPr>
                <w:b/>
                <w:spacing w:val="-2"/>
              </w:rPr>
            </w:pPr>
            <w:r w:rsidRPr="001B330E">
              <w:rPr>
                <w:b/>
                <w:spacing w:val="-2"/>
              </w:rPr>
              <w:t> </w:t>
            </w:r>
          </w:p>
        </w:tc>
        <w:tc>
          <w:tcPr>
            <w:tcW w:w="544" w:type="pct"/>
            <w:tcBorders>
              <w:top w:val="single" w:sz="4" w:space="0" w:color="000000"/>
            </w:tcBorders>
            <w:vAlign w:val="bottom"/>
          </w:tcPr>
          <w:p w14:paraId="45EC0BA6"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tcBorders>
              <w:top w:val="single" w:sz="4" w:space="0" w:color="000000"/>
            </w:tcBorders>
            <w:vAlign w:val="bottom"/>
          </w:tcPr>
          <w:p w14:paraId="0B87CB48"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tcBorders>
              <w:top w:val="single" w:sz="4" w:space="0" w:color="000000"/>
            </w:tcBorders>
            <w:vAlign w:val="bottom"/>
          </w:tcPr>
          <w:p w14:paraId="738E32D0"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tcBorders>
              <w:top w:val="single" w:sz="4" w:space="0" w:color="000000"/>
            </w:tcBorders>
            <w:vAlign w:val="bottom"/>
          </w:tcPr>
          <w:p w14:paraId="31405577"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tcBorders>
              <w:top w:val="single" w:sz="4" w:space="0" w:color="000000"/>
            </w:tcBorders>
            <w:vAlign w:val="bottom"/>
          </w:tcPr>
          <w:p w14:paraId="0C1B9278"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tcBorders>
              <w:top w:val="single" w:sz="4" w:space="0" w:color="000000"/>
            </w:tcBorders>
            <w:vAlign w:val="bottom"/>
          </w:tcPr>
          <w:p w14:paraId="18CED013"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tcBorders>
              <w:top w:val="single" w:sz="4" w:space="0" w:color="000000"/>
            </w:tcBorders>
            <w:vAlign w:val="bottom"/>
          </w:tcPr>
          <w:p w14:paraId="51113182"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39C00D5B" w14:textId="77777777" w:rsidTr="001B330E">
        <w:trPr>
          <w:trHeight w:val="23"/>
        </w:trPr>
        <w:tc>
          <w:tcPr>
            <w:tcW w:w="1405" w:type="pct"/>
            <w:vAlign w:val="bottom"/>
          </w:tcPr>
          <w:p w14:paraId="29271734"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Guarantees issued by the Group at the year end</w:t>
            </w:r>
          </w:p>
        </w:tc>
        <w:tc>
          <w:tcPr>
            <w:tcW w:w="544" w:type="pct"/>
            <w:vAlign w:val="bottom"/>
          </w:tcPr>
          <w:p w14:paraId="5BB1EAAC"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5384BEF2"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269E2A6C"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1CCE4947"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30DDECAE"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4CCD986A"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065D061C"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39B91C09" w14:textId="77777777" w:rsidTr="001B330E">
        <w:trPr>
          <w:trHeight w:val="23"/>
        </w:trPr>
        <w:tc>
          <w:tcPr>
            <w:tcW w:w="1405" w:type="pct"/>
            <w:vAlign w:val="bottom"/>
          </w:tcPr>
          <w:p w14:paraId="17CD23D8" w14:textId="77777777" w:rsidR="00D83E33" w:rsidRPr="001B330E" w:rsidRDefault="00BC4072" w:rsidP="001B330E">
            <w:pPr>
              <w:widowControl w:val="0"/>
              <w:ind w:left="113" w:hanging="113"/>
              <w:rPr>
                <w:spacing w:val="-2"/>
              </w:rPr>
            </w:pPr>
            <w:r w:rsidRPr="001B330E">
              <w:rPr>
                <w:b/>
                <w:spacing w:val="-2"/>
              </w:rPr>
              <w:t> </w:t>
            </w:r>
          </w:p>
        </w:tc>
        <w:tc>
          <w:tcPr>
            <w:tcW w:w="544" w:type="pct"/>
            <w:vAlign w:val="bottom"/>
          </w:tcPr>
          <w:p w14:paraId="33E4C965"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6B0EFCCF"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3905783A"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21E2199F"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79FDA659"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12E3B060"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43F21915"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22F041F0" w14:textId="77777777" w:rsidTr="001B330E">
        <w:trPr>
          <w:trHeight w:val="23"/>
        </w:trPr>
        <w:tc>
          <w:tcPr>
            <w:tcW w:w="1405" w:type="pct"/>
            <w:vAlign w:val="bottom"/>
          </w:tcPr>
          <w:p w14:paraId="0D756435"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Guarantees received by the Group at the year end</w:t>
            </w:r>
          </w:p>
        </w:tc>
        <w:tc>
          <w:tcPr>
            <w:tcW w:w="544" w:type="pct"/>
            <w:vAlign w:val="bottom"/>
          </w:tcPr>
          <w:p w14:paraId="6B91FE0C"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5ACC066C"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601F4502"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2AA74D85"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6F55C174"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47EB6CB0"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2DB564FE"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3699BABC" w14:textId="77777777" w:rsidTr="001B330E">
        <w:trPr>
          <w:trHeight w:val="23"/>
        </w:trPr>
        <w:tc>
          <w:tcPr>
            <w:tcW w:w="1405" w:type="pct"/>
            <w:vAlign w:val="bottom"/>
          </w:tcPr>
          <w:p w14:paraId="761E499C" w14:textId="77777777" w:rsidR="00D83E33" w:rsidRPr="001B330E" w:rsidRDefault="00BC4072" w:rsidP="001B330E">
            <w:pPr>
              <w:widowControl w:val="0"/>
              <w:ind w:left="113" w:hanging="113"/>
              <w:rPr>
                <w:spacing w:val="-2"/>
              </w:rPr>
            </w:pPr>
            <w:r w:rsidRPr="001B330E">
              <w:rPr>
                <w:b/>
                <w:spacing w:val="-2"/>
              </w:rPr>
              <w:t> </w:t>
            </w:r>
          </w:p>
        </w:tc>
        <w:tc>
          <w:tcPr>
            <w:tcW w:w="544" w:type="pct"/>
            <w:vAlign w:val="bottom"/>
          </w:tcPr>
          <w:p w14:paraId="02FAD312"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6B801481"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2B9F9732"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24782D29"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31694920"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2F271230"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08F192CF"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2DFB307F" w14:textId="77777777" w:rsidTr="001B330E">
        <w:trPr>
          <w:trHeight w:val="23"/>
        </w:trPr>
        <w:tc>
          <w:tcPr>
            <w:tcW w:w="1405" w:type="pct"/>
            <w:vAlign w:val="bottom"/>
          </w:tcPr>
          <w:p w14:paraId="429D863A"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Import letters of credit at the year end</w:t>
            </w:r>
          </w:p>
        </w:tc>
        <w:tc>
          <w:tcPr>
            <w:tcW w:w="544" w:type="pct"/>
            <w:vAlign w:val="bottom"/>
          </w:tcPr>
          <w:p w14:paraId="3033474C"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3A42FB7D"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36B6ABD3"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18EA8716"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784D0AC4"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3EA2EEC0"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0BAE04CF"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5B429965" w14:textId="77777777" w:rsidTr="001B330E">
        <w:trPr>
          <w:trHeight w:val="23"/>
        </w:trPr>
        <w:tc>
          <w:tcPr>
            <w:tcW w:w="1405" w:type="pct"/>
            <w:vAlign w:val="bottom"/>
          </w:tcPr>
          <w:p w14:paraId="188053ED"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w:t>
            </w:r>
          </w:p>
        </w:tc>
        <w:tc>
          <w:tcPr>
            <w:tcW w:w="544" w:type="pct"/>
            <w:vAlign w:val="bottom"/>
          </w:tcPr>
          <w:p w14:paraId="0E207222"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0DC73D53"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2F884AC2"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1AA8B165"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54AA3D04"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21F3ADAD"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1C5A9CEB"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67BD66AF" w14:textId="77777777" w:rsidTr="001B330E">
        <w:trPr>
          <w:trHeight w:val="23"/>
        </w:trPr>
        <w:tc>
          <w:tcPr>
            <w:tcW w:w="1405" w:type="pct"/>
            <w:vAlign w:val="bottom"/>
          </w:tcPr>
          <w:p w14:paraId="2503901C"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Export letters of credit at the year end</w:t>
            </w:r>
          </w:p>
        </w:tc>
        <w:tc>
          <w:tcPr>
            <w:tcW w:w="544" w:type="pct"/>
            <w:vAlign w:val="bottom"/>
          </w:tcPr>
          <w:p w14:paraId="14BC428A"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15515CBC"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6D5F5F67"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7EDBDAB7"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536298B0"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8887BAC"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76FD1FE4"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35854DA9" w14:textId="77777777" w:rsidTr="001B330E">
        <w:trPr>
          <w:trHeight w:val="23"/>
        </w:trPr>
        <w:tc>
          <w:tcPr>
            <w:tcW w:w="1405" w:type="pct"/>
            <w:vAlign w:val="bottom"/>
          </w:tcPr>
          <w:p w14:paraId="68194753"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xml:space="preserve"> </w:t>
            </w:r>
          </w:p>
        </w:tc>
        <w:tc>
          <w:tcPr>
            <w:tcW w:w="544" w:type="pct"/>
            <w:vAlign w:val="bottom"/>
          </w:tcPr>
          <w:p w14:paraId="2CD22FBE"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167E57C7"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7FA3946"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2573ECF3"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6B55FACB"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5C8339C0"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314B6C45"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23DE2FB7" w14:textId="77777777" w:rsidTr="001B330E">
        <w:trPr>
          <w:trHeight w:val="23"/>
        </w:trPr>
        <w:tc>
          <w:tcPr>
            <w:tcW w:w="1405" w:type="pct"/>
            <w:vAlign w:val="bottom"/>
          </w:tcPr>
          <w:p w14:paraId="560127E2"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Contractual commitments to purchase goods</w:t>
            </w:r>
          </w:p>
        </w:tc>
        <w:tc>
          <w:tcPr>
            <w:tcW w:w="544" w:type="pct"/>
            <w:vAlign w:val="bottom"/>
          </w:tcPr>
          <w:p w14:paraId="0563DAA1"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62C6F793"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614BF3D"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64F92BCC"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46122A7E"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41F50781"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702DB0A2"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46A225B8" w14:textId="77777777" w:rsidTr="001B330E">
        <w:trPr>
          <w:trHeight w:val="23"/>
        </w:trPr>
        <w:tc>
          <w:tcPr>
            <w:tcW w:w="1405" w:type="pct"/>
            <w:vAlign w:val="bottom"/>
          </w:tcPr>
          <w:p w14:paraId="1DD93282"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xml:space="preserve"> </w:t>
            </w:r>
          </w:p>
        </w:tc>
        <w:tc>
          <w:tcPr>
            <w:tcW w:w="544" w:type="pct"/>
            <w:vAlign w:val="bottom"/>
          </w:tcPr>
          <w:p w14:paraId="30737374"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5820F4E4"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35FC12C"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0B826F82"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25FC7C62"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623C913E"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489CE8F7"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07D0322E" w14:textId="77777777" w:rsidTr="001B330E">
        <w:trPr>
          <w:trHeight w:val="23"/>
        </w:trPr>
        <w:tc>
          <w:tcPr>
            <w:tcW w:w="1405" w:type="pct"/>
            <w:vAlign w:val="bottom"/>
          </w:tcPr>
          <w:p w14:paraId="558DE374"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Contractual commitments to purchase services</w:t>
            </w:r>
          </w:p>
        </w:tc>
        <w:tc>
          <w:tcPr>
            <w:tcW w:w="544" w:type="pct"/>
            <w:vAlign w:val="bottom"/>
          </w:tcPr>
          <w:p w14:paraId="3F5BAA4A"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3AA0A7DC"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405467A2"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01187AFC"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2332D3D0"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6FF4AA3A"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18336C58"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2849436F" w14:textId="77777777" w:rsidTr="001B330E">
        <w:trPr>
          <w:trHeight w:val="23"/>
        </w:trPr>
        <w:tc>
          <w:tcPr>
            <w:tcW w:w="1405" w:type="pct"/>
            <w:vAlign w:val="bottom"/>
          </w:tcPr>
          <w:p w14:paraId="5921C9C1"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w:t>
            </w:r>
          </w:p>
        </w:tc>
        <w:tc>
          <w:tcPr>
            <w:tcW w:w="544" w:type="pct"/>
            <w:vAlign w:val="bottom"/>
          </w:tcPr>
          <w:p w14:paraId="0045D00D"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114B3B85"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E372B06"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757A2E85"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6B579031"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19439F2A"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523DCF5F"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01015BF0" w14:textId="77777777" w:rsidTr="001B330E">
        <w:trPr>
          <w:trHeight w:val="23"/>
        </w:trPr>
        <w:tc>
          <w:tcPr>
            <w:tcW w:w="1405" w:type="pct"/>
            <w:vAlign w:val="bottom"/>
          </w:tcPr>
          <w:p w14:paraId="1DACBD96"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Contractual commitments to sell goods</w:t>
            </w:r>
          </w:p>
        </w:tc>
        <w:tc>
          <w:tcPr>
            <w:tcW w:w="544" w:type="pct"/>
            <w:vAlign w:val="bottom"/>
          </w:tcPr>
          <w:p w14:paraId="06F1E92E"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098B3A58"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3D49F106"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58B04FB7"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7EEF05D4"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32BF9ADD"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7BA4EC12"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496BE911" w14:textId="77777777" w:rsidTr="001B330E">
        <w:trPr>
          <w:trHeight w:val="23"/>
        </w:trPr>
        <w:tc>
          <w:tcPr>
            <w:tcW w:w="1405" w:type="pct"/>
            <w:vAlign w:val="bottom"/>
          </w:tcPr>
          <w:p w14:paraId="2C30C128"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w:t>
            </w:r>
          </w:p>
        </w:tc>
        <w:tc>
          <w:tcPr>
            <w:tcW w:w="544" w:type="pct"/>
            <w:vAlign w:val="bottom"/>
          </w:tcPr>
          <w:p w14:paraId="656EF37F"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6C803DEA"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ED43C63"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7F1D5789"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23B41E1B"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4FF3A4AF"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5101B43A"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0B17DEBC" w14:textId="77777777" w:rsidTr="001B330E">
        <w:trPr>
          <w:trHeight w:val="23"/>
        </w:trPr>
        <w:tc>
          <w:tcPr>
            <w:tcW w:w="1405" w:type="pct"/>
            <w:vAlign w:val="bottom"/>
          </w:tcPr>
          <w:p w14:paraId="4BD8FC67"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Contractual commitments to sell services</w:t>
            </w:r>
          </w:p>
        </w:tc>
        <w:tc>
          <w:tcPr>
            <w:tcW w:w="544" w:type="pct"/>
            <w:vAlign w:val="bottom"/>
          </w:tcPr>
          <w:p w14:paraId="5E57E358"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6CB97E55"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23307B24"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15F0DC16"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543800D2"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3846769"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097FE8EF"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55504B39" w14:textId="77777777" w:rsidTr="001B330E">
        <w:trPr>
          <w:trHeight w:val="23"/>
        </w:trPr>
        <w:tc>
          <w:tcPr>
            <w:tcW w:w="1405" w:type="pct"/>
            <w:vAlign w:val="bottom"/>
          </w:tcPr>
          <w:p w14:paraId="2DC897D5"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w:t>
            </w:r>
          </w:p>
        </w:tc>
        <w:tc>
          <w:tcPr>
            <w:tcW w:w="544" w:type="pct"/>
            <w:vAlign w:val="bottom"/>
          </w:tcPr>
          <w:p w14:paraId="03758F70"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500C72FC"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8A40956"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1806EF47"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5D1631C3"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377FDDCE"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3F6D0B1E"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4DEE0091" w14:textId="77777777" w:rsidTr="001B330E">
        <w:trPr>
          <w:trHeight w:val="23"/>
        </w:trPr>
        <w:tc>
          <w:tcPr>
            <w:tcW w:w="1405" w:type="pct"/>
            <w:vAlign w:val="bottom"/>
          </w:tcPr>
          <w:p w14:paraId="0462B4EF"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Other commitments</w:t>
            </w:r>
          </w:p>
        </w:tc>
        <w:tc>
          <w:tcPr>
            <w:tcW w:w="544" w:type="pct"/>
            <w:vAlign w:val="bottom"/>
          </w:tcPr>
          <w:p w14:paraId="59C3E587"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4B49486E"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556C7C60"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3DEC559A"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2E9CCFE9"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50E0E4C0"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5EB4820C"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255DFA54" w14:textId="77777777" w:rsidTr="001B330E">
        <w:trPr>
          <w:trHeight w:val="23"/>
        </w:trPr>
        <w:tc>
          <w:tcPr>
            <w:tcW w:w="1405" w:type="pct"/>
            <w:vAlign w:val="bottom"/>
          </w:tcPr>
          <w:p w14:paraId="3E989E55"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w:t>
            </w:r>
          </w:p>
        </w:tc>
        <w:tc>
          <w:tcPr>
            <w:tcW w:w="544" w:type="pct"/>
            <w:vAlign w:val="bottom"/>
          </w:tcPr>
          <w:p w14:paraId="7FFEECAE"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71CACC30"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C084CBF"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3574DFE1"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5FBD7FD2"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03DD8744"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649AE55D"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032F81DF" w14:textId="77777777" w:rsidTr="001B330E">
        <w:trPr>
          <w:trHeight w:val="23"/>
        </w:trPr>
        <w:tc>
          <w:tcPr>
            <w:tcW w:w="1405" w:type="pct"/>
            <w:vAlign w:val="bottom"/>
          </w:tcPr>
          <w:p w14:paraId="21591E51"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Other contingent obligations</w:t>
            </w:r>
          </w:p>
        </w:tc>
        <w:tc>
          <w:tcPr>
            <w:tcW w:w="544" w:type="pct"/>
            <w:vAlign w:val="bottom"/>
          </w:tcPr>
          <w:p w14:paraId="72ECCCEF"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017EDFEB"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7B60EDD8"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vAlign w:val="bottom"/>
          </w:tcPr>
          <w:p w14:paraId="50916F81"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vAlign w:val="bottom"/>
          </w:tcPr>
          <w:p w14:paraId="766F8CCA"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vAlign w:val="bottom"/>
          </w:tcPr>
          <w:p w14:paraId="307914EC"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vAlign w:val="bottom"/>
          </w:tcPr>
          <w:p w14:paraId="30247F2C" w14:textId="77777777" w:rsidR="00D83E33" w:rsidRPr="001B330E" w:rsidRDefault="00D83E33">
            <w:pPr>
              <w:widowControl w:val="0"/>
              <w:pBdr>
                <w:top w:val="nil"/>
                <w:left w:val="nil"/>
                <w:bottom w:val="nil"/>
                <w:right w:val="nil"/>
                <w:between w:val="nil"/>
              </w:pBdr>
              <w:jc w:val="right"/>
              <w:rPr>
                <w:color w:val="000000"/>
                <w:spacing w:val="-2"/>
              </w:rPr>
            </w:pPr>
          </w:p>
        </w:tc>
      </w:tr>
      <w:tr w:rsidR="00D95E75" w:rsidRPr="00D95E75" w14:paraId="24B76296" w14:textId="77777777" w:rsidTr="001B330E">
        <w:trPr>
          <w:trHeight w:val="23"/>
        </w:trPr>
        <w:tc>
          <w:tcPr>
            <w:tcW w:w="1405" w:type="pct"/>
            <w:tcBorders>
              <w:bottom w:val="single" w:sz="12" w:space="0" w:color="000000"/>
            </w:tcBorders>
            <w:vAlign w:val="bottom"/>
          </w:tcPr>
          <w:p w14:paraId="5095F50B"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w:t>
            </w:r>
          </w:p>
        </w:tc>
        <w:tc>
          <w:tcPr>
            <w:tcW w:w="544" w:type="pct"/>
            <w:tcBorders>
              <w:bottom w:val="single" w:sz="12" w:space="0" w:color="000000"/>
            </w:tcBorders>
            <w:vAlign w:val="bottom"/>
          </w:tcPr>
          <w:p w14:paraId="23E68735"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tcBorders>
              <w:bottom w:val="single" w:sz="12" w:space="0" w:color="000000"/>
            </w:tcBorders>
            <w:vAlign w:val="bottom"/>
          </w:tcPr>
          <w:p w14:paraId="5DDDCF6C"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tcBorders>
              <w:bottom w:val="single" w:sz="12" w:space="0" w:color="000000"/>
            </w:tcBorders>
            <w:vAlign w:val="bottom"/>
          </w:tcPr>
          <w:p w14:paraId="216B53E7" w14:textId="77777777" w:rsidR="00D83E33" w:rsidRPr="001B330E" w:rsidRDefault="00D83E33">
            <w:pPr>
              <w:widowControl w:val="0"/>
              <w:pBdr>
                <w:top w:val="nil"/>
                <w:left w:val="nil"/>
                <w:bottom w:val="nil"/>
                <w:right w:val="nil"/>
                <w:between w:val="nil"/>
              </w:pBdr>
              <w:jc w:val="right"/>
              <w:rPr>
                <w:color w:val="000000"/>
                <w:spacing w:val="-2"/>
              </w:rPr>
            </w:pPr>
          </w:p>
        </w:tc>
        <w:tc>
          <w:tcPr>
            <w:tcW w:w="581" w:type="pct"/>
            <w:tcBorders>
              <w:bottom w:val="single" w:sz="12" w:space="0" w:color="000000"/>
            </w:tcBorders>
            <w:vAlign w:val="bottom"/>
          </w:tcPr>
          <w:p w14:paraId="2D7E8D73" w14:textId="77777777" w:rsidR="00D83E33" w:rsidRPr="001B330E" w:rsidRDefault="00D83E33">
            <w:pPr>
              <w:widowControl w:val="0"/>
              <w:pBdr>
                <w:top w:val="nil"/>
                <w:left w:val="nil"/>
                <w:bottom w:val="nil"/>
                <w:right w:val="nil"/>
                <w:between w:val="nil"/>
              </w:pBdr>
              <w:jc w:val="right"/>
              <w:rPr>
                <w:color w:val="000000"/>
                <w:spacing w:val="-2"/>
              </w:rPr>
            </w:pPr>
          </w:p>
        </w:tc>
        <w:tc>
          <w:tcPr>
            <w:tcW w:w="476" w:type="pct"/>
            <w:tcBorders>
              <w:bottom w:val="single" w:sz="12" w:space="0" w:color="000000"/>
            </w:tcBorders>
            <w:vAlign w:val="bottom"/>
          </w:tcPr>
          <w:p w14:paraId="6B054805" w14:textId="77777777" w:rsidR="00D83E33" w:rsidRPr="001B330E" w:rsidRDefault="00D83E33">
            <w:pPr>
              <w:widowControl w:val="0"/>
              <w:pBdr>
                <w:top w:val="nil"/>
                <w:left w:val="nil"/>
                <w:bottom w:val="nil"/>
                <w:right w:val="nil"/>
                <w:between w:val="nil"/>
              </w:pBdr>
              <w:jc w:val="right"/>
              <w:rPr>
                <w:color w:val="000000"/>
                <w:spacing w:val="-2"/>
              </w:rPr>
            </w:pPr>
          </w:p>
        </w:tc>
        <w:tc>
          <w:tcPr>
            <w:tcW w:w="522" w:type="pct"/>
            <w:tcBorders>
              <w:bottom w:val="single" w:sz="12" w:space="0" w:color="000000"/>
            </w:tcBorders>
            <w:vAlign w:val="bottom"/>
          </w:tcPr>
          <w:p w14:paraId="44A8E073" w14:textId="77777777" w:rsidR="00D83E33" w:rsidRPr="001B330E" w:rsidRDefault="00D83E33">
            <w:pPr>
              <w:widowControl w:val="0"/>
              <w:pBdr>
                <w:top w:val="nil"/>
                <w:left w:val="nil"/>
                <w:bottom w:val="nil"/>
                <w:right w:val="nil"/>
                <w:between w:val="nil"/>
              </w:pBdr>
              <w:jc w:val="right"/>
              <w:rPr>
                <w:color w:val="000000"/>
                <w:spacing w:val="-2"/>
              </w:rPr>
            </w:pPr>
          </w:p>
        </w:tc>
        <w:tc>
          <w:tcPr>
            <w:tcW w:w="475" w:type="pct"/>
            <w:tcBorders>
              <w:bottom w:val="single" w:sz="12" w:space="0" w:color="000000"/>
            </w:tcBorders>
            <w:vAlign w:val="bottom"/>
          </w:tcPr>
          <w:p w14:paraId="1DB786B4" w14:textId="77777777" w:rsidR="00D83E33" w:rsidRPr="001B330E" w:rsidRDefault="00D83E33">
            <w:pPr>
              <w:widowControl w:val="0"/>
              <w:pBdr>
                <w:top w:val="nil"/>
                <w:left w:val="nil"/>
                <w:bottom w:val="nil"/>
                <w:right w:val="nil"/>
                <w:between w:val="nil"/>
              </w:pBdr>
              <w:jc w:val="right"/>
              <w:rPr>
                <w:color w:val="000000"/>
                <w:spacing w:val="-2"/>
              </w:rPr>
            </w:pPr>
          </w:p>
        </w:tc>
      </w:tr>
    </w:tbl>
    <w:p w14:paraId="2A4DDB00" w14:textId="56229539"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Aggregate amounts lent to and repaid by related parties during </w:t>
      </w:r>
      <w:r w:rsidR="00541EBC">
        <w:rPr>
          <w:color w:val="000000"/>
          <w:sz w:val="20"/>
          <w:szCs w:val="20"/>
        </w:rPr>
        <w:t>2023</w:t>
      </w:r>
      <w:r>
        <w:rPr>
          <w:color w:val="000000"/>
          <w:sz w:val="20"/>
          <w:szCs w:val="20"/>
        </w:rPr>
        <w:t xml:space="preserve"> were:</w:t>
      </w:r>
    </w:p>
    <w:tbl>
      <w:tblPr>
        <w:tblStyle w:val="afffffffffffffffffd"/>
        <w:tblW w:w="5000" w:type="pct"/>
        <w:tblLayout w:type="fixed"/>
        <w:tblLook w:val="0000" w:firstRow="0" w:lastRow="0" w:firstColumn="0" w:lastColumn="0" w:noHBand="0" w:noVBand="0"/>
      </w:tblPr>
      <w:tblGrid>
        <w:gridCol w:w="2691"/>
        <w:gridCol w:w="953"/>
        <w:gridCol w:w="953"/>
        <w:gridCol w:w="952"/>
        <w:gridCol w:w="952"/>
        <w:gridCol w:w="952"/>
        <w:gridCol w:w="952"/>
        <w:gridCol w:w="950"/>
      </w:tblGrid>
      <w:tr w:rsidR="00D83E33" w:rsidRPr="00D95E75" w14:paraId="735D9F55" w14:textId="77777777" w:rsidTr="001B330E">
        <w:trPr>
          <w:trHeight w:val="23"/>
        </w:trPr>
        <w:tc>
          <w:tcPr>
            <w:tcW w:w="1438" w:type="pct"/>
            <w:tcBorders>
              <w:bottom w:val="single" w:sz="4" w:space="0" w:color="000000"/>
            </w:tcBorders>
            <w:vAlign w:val="bottom"/>
          </w:tcPr>
          <w:p w14:paraId="07D765EC" w14:textId="7F2AB7C0" w:rsidR="00D83E33" w:rsidRPr="001B330E" w:rsidRDefault="00313B4D" w:rsidP="001B330E">
            <w:pPr>
              <w:widowControl w:val="0"/>
              <w:ind w:left="113" w:hanging="113"/>
              <w:rPr>
                <w:i/>
                <w:spacing w:val="-2"/>
              </w:rPr>
            </w:pPr>
            <w:r>
              <w:rPr>
                <w:i/>
                <w:spacing w:val="-2"/>
              </w:rPr>
              <w:t xml:space="preserve">In thousands of </w:t>
            </w:r>
            <w:r w:rsidR="002649EE">
              <w:rPr>
                <w:i/>
                <w:spacing w:val="-2"/>
              </w:rPr>
              <w:t>EUR</w:t>
            </w:r>
          </w:p>
        </w:tc>
        <w:tc>
          <w:tcPr>
            <w:tcW w:w="509" w:type="pct"/>
            <w:tcBorders>
              <w:bottom w:val="single" w:sz="4" w:space="0" w:color="000000"/>
            </w:tcBorders>
          </w:tcPr>
          <w:p w14:paraId="6D6DB6D2"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Immedi-ate parent company</w:t>
            </w:r>
          </w:p>
        </w:tc>
        <w:tc>
          <w:tcPr>
            <w:tcW w:w="509" w:type="pct"/>
            <w:tcBorders>
              <w:bottom w:val="single" w:sz="4" w:space="0" w:color="000000"/>
            </w:tcBorders>
          </w:tcPr>
          <w:p w14:paraId="250B76F3" w14:textId="15FF7CBB"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 xml:space="preserve">Other </w:t>
            </w:r>
            <w:r w:rsidR="00FA2F22">
              <w:rPr>
                <w:b/>
                <w:color w:val="000000"/>
                <w:spacing w:val="-2"/>
              </w:rPr>
              <w:t>signifi-cant</w:t>
            </w:r>
            <w:r w:rsidRPr="001B330E">
              <w:rPr>
                <w:b/>
                <w:color w:val="000000"/>
                <w:spacing w:val="-2"/>
              </w:rPr>
              <w:t xml:space="preserve"> share-holders</w:t>
            </w:r>
          </w:p>
        </w:tc>
        <w:tc>
          <w:tcPr>
            <w:tcW w:w="509" w:type="pct"/>
            <w:tcBorders>
              <w:bottom w:val="single" w:sz="4" w:space="0" w:color="000000"/>
            </w:tcBorders>
          </w:tcPr>
          <w:p w14:paraId="43DF080B" w14:textId="77777777" w:rsidR="00D83E33" w:rsidRPr="001B330E" w:rsidRDefault="00BC4072" w:rsidP="001B330E">
            <w:pPr>
              <w:widowControl w:val="0"/>
              <w:pBdr>
                <w:top w:val="nil"/>
                <w:left w:val="nil"/>
                <w:bottom w:val="nil"/>
                <w:right w:val="nil"/>
                <w:between w:val="nil"/>
              </w:pBdr>
              <w:jc w:val="right"/>
              <w:rPr>
                <w:b/>
                <w:color w:val="0000FF"/>
                <w:spacing w:val="-2"/>
              </w:rPr>
            </w:pPr>
            <w:r w:rsidRPr="001B330E">
              <w:rPr>
                <w:b/>
                <w:color w:val="0000FF"/>
                <w:spacing w:val="-2"/>
              </w:rPr>
              <w:t>[Entities under common control]</w:t>
            </w:r>
          </w:p>
        </w:tc>
        <w:tc>
          <w:tcPr>
            <w:tcW w:w="509" w:type="pct"/>
            <w:tcBorders>
              <w:bottom w:val="single" w:sz="4" w:space="0" w:color="000000"/>
            </w:tcBorders>
          </w:tcPr>
          <w:p w14:paraId="5E445793"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Key manage-ment personnel</w:t>
            </w:r>
          </w:p>
        </w:tc>
        <w:tc>
          <w:tcPr>
            <w:tcW w:w="509" w:type="pct"/>
            <w:tcBorders>
              <w:bottom w:val="single" w:sz="4" w:space="0" w:color="000000"/>
            </w:tcBorders>
          </w:tcPr>
          <w:p w14:paraId="7EE08A79"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Asso-ciates</w:t>
            </w:r>
          </w:p>
        </w:tc>
        <w:tc>
          <w:tcPr>
            <w:tcW w:w="509" w:type="pct"/>
            <w:tcBorders>
              <w:bottom w:val="single" w:sz="4" w:space="0" w:color="000000"/>
            </w:tcBorders>
          </w:tcPr>
          <w:p w14:paraId="072D4FA1"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Joint ventures</w:t>
            </w:r>
          </w:p>
        </w:tc>
        <w:tc>
          <w:tcPr>
            <w:tcW w:w="509" w:type="pct"/>
            <w:tcBorders>
              <w:bottom w:val="single" w:sz="4" w:space="0" w:color="000000"/>
            </w:tcBorders>
          </w:tcPr>
          <w:p w14:paraId="705476C7" w14:textId="77777777" w:rsidR="00D83E33" w:rsidRPr="001B330E" w:rsidRDefault="00BC4072" w:rsidP="001B330E">
            <w:pPr>
              <w:widowControl w:val="0"/>
              <w:pBdr>
                <w:top w:val="nil"/>
                <w:left w:val="nil"/>
                <w:bottom w:val="nil"/>
                <w:right w:val="nil"/>
                <w:between w:val="nil"/>
              </w:pBdr>
              <w:jc w:val="right"/>
              <w:rPr>
                <w:b/>
                <w:color w:val="000000"/>
                <w:spacing w:val="-2"/>
              </w:rPr>
            </w:pPr>
            <w:r w:rsidRPr="001B330E">
              <w:rPr>
                <w:b/>
                <w:color w:val="000000"/>
                <w:spacing w:val="-2"/>
              </w:rPr>
              <w:t>Other related parties</w:t>
            </w:r>
          </w:p>
        </w:tc>
      </w:tr>
      <w:tr w:rsidR="00D83E33" w:rsidRPr="00D95E75" w14:paraId="35D2C419" w14:textId="77777777" w:rsidTr="001B330E">
        <w:trPr>
          <w:trHeight w:val="23"/>
        </w:trPr>
        <w:tc>
          <w:tcPr>
            <w:tcW w:w="1438" w:type="pct"/>
            <w:tcBorders>
              <w:top w:val="single" w:sz="4" w:space="0" w:color="000000"/>
            </w:tcBorders>
            <w:vAlign w:val="bottom"/>
          </w:tcPr>
          <w:p w14:paraId="69B68792"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w:t>
            </w:r>
          </w:p>
        </w:tc>
        <w:tc>
          <w:tcPr>
            <w:tcW w:w="509" w:type="pct"/>
            <w:tcBorders>
              <w:top w:val="single" w:sz="4" w:space="0" w:color="000000"/>
            </w:tcBorders>
            <w:vAlign w:val="bottom"/>
          </w:tcPr>
          <w:p w14:paraId="1A7BEA72"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tcBorders>
              <w:top w:val="single" w:sz="4" w:space="0" w:color="000000"/>
            </w:tcBorders>
            <w:vAlign w:val="bottom"/>
          </w:tcPr>
          <w:p w14:paraId="1EDDDB4D"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tcBorders>
              <w:top w:val="single" w:sz="4" w:space="0" w:color="000000"/>
            </w:tcBorders>
            <w:vAlign w:val="bottom"/>
          </w:tcPr>
          <w:p w14:paraId="4032E22E"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tcBorders>
              <w:top w:val="single" w:sz="4" w:space="0" w:color="000000"/>
            </w:tcBorders>
            <w:vAlign w:val="bottom"/>
          </w:tcPr>
          <w:p w14:paraId="7B1BC3F1"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tcBorders>
              <w:top w:val="single" w:sz="4" w:space="0" w:color="000000"/>
            </w:tcBorders>
            <w:vAlign w:val="bottom"/>
          </w:tcPr>
          <w:p w14:paraId="7338EE75"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tcBorders>
              <w:top w:val="single" w:sz="4" w:space="0" w:color="000000"/>
            </w:tcBorders>
            <w:vAlign w:val="bottom"/>
          </w:tcPr>
          <w:p w14:paraId="6A20ECB9"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tcBorders>
              <w:top w:val="single" w:sz="4" w:space="0" w:color="000000"/>
            </w:tcBorders>
            <w:vAlign w:val="bottom"/>
          </w:tcPr>
          <w:p w14:paraId="0C26568B"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D95E75" w14:paraId="43AB0A8F" w14:textId="77777777" w:rsidTr="001B330E">
        <w:trPr>
          <w:trHeight w:val="23"/>
        </w:trPr>
        <w:tc>
          <w:tcPr>
            <w:tcW w:w="1438" w:type="pct"/>
            <w:vAlign w:val="bottom"/>
          </w:tcPr>
          <w:p w14:paraId="71B9D65C"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Amounts lent to related parties during the year</w:t>
            </w:r>
          </w:p>
        </w:tc>
        <w:tc>
          <w:tcPr>
            <w:tcW w:w="509" w:type="pct"/>
            <w:vAlign w:val="bottom"/>
          </w:tcPr>
          <w:p w14:paraId="01617B1E"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13BCCC66"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4CFA15C2"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31219B5E"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715225E2"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77844CE7"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29873939"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D95E75" w14:paraId="3D96871F" w14:textId="77777777" w:rsidTr="001B330E">
        <w:trPr>
          <w:trHeight w:val="23"/>
        </w:trPr>
        <w:tc>
          <w:tcPr>
            <w:tcW w:w="1438" w:type="pct"/>
            <w:vAlign w:val="bottom"/>
          </w:tcPr>
          <w:p w14:paraId="13C0FB66" w14:textId="77777777" w:rsidR="00D83E33" w:rsidRPr="001B330E" w:rsidRDefault="00BC4072" w:rsidP="001B330E">
            <w:pPr>
              <w:widowControl w:val="0"/>
              <w:pBdr>
                <w:top w:val="nil"/>
                <w:left w:val="nil"/>
                <w:bottom w:val="nil"/>
                <w:right w:val="nil"/>
                <w:between w:val="nil"/>
              </w:pBdr>
              <w:ind w:left="113" w:hanging="113"/>
              <w:rPr>
                <w:color w:val="000000"/>
                <w:spacing w:val="-2"/>
              </w:rPr>
            </w:pPr>
            <w:r w:rsidRPr="001B330E">
              <w:rPr>
                <w:color w:val="000000"/>
                <w:spacing w:val="-2"/>
              </w:rPr>
              <w:t> </w:t>
            </w:r>
          </w:p>
        </w:tc>
        <w:tc>
          <w:tcPr>
            <w:tcW w:w="509" w:type="pct"/>
            <w:vAlign w:val="bottom"/>
          </w:tcPr>
          <w:p w14:paraId="6D793DA9"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5F3F72C8"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20233C33"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02C92654"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79D02806"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419C6146"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274C84FC"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D95E75" w14:paraId="4AD6ACE2" w14:textId="77777777" w:rsidTr="001B330E">
        <w:trPr>
          <w:trHeight w:val="23"/>
        </w:trPr>
        <w:tc>
          <w:tcPr>
            <w:tcW w:w="1438" w:type="pct"/>
            <w:vAlign w:val="bottom"/>
          </w:tcPr>
          <w:p w14:paraId="52CA865A" w14:textId="77777777" w:rsidR="00D83E33" w:rsidRPr="001B330E" w:rsidRDefault="00BC4072" w:rsidP="001B330E">
            <w:pPr>
              <w:widowControl w:val="0"/>
              <w:pBdr>
                <w:top w:val="nil"/>
                <w:left w:val="nil"/>
                <w:bottom w:val="nil"/>
                <w:right w:val="nil"/>
                <w:between w:val="nil"/>
              </w:pBdr>
              <w:ind w:left="113" w:hanging="113"/>
              <w:rPr>
                <w:b/>
                <w:color w:val="000000"/>
                <w:spacing w:val="-2"/>
              </w:rPr>
            </w:pPr>
            <w:r w:rsidRPr="001B330E">
              <w:rPr>
                <w:color w:val="000000"/>
                <w:spacing w:val="-2"/>
              </w:rPr>
              <w:t>Amounts repaid by related parties during the year</w:t>
            </w:r>
          </w:p>
        </w:tc>
        <w:tc>
          <w:tcPr>
            <w:tcW w:w="509" w:type="pct"/>
            <w:vAlign w:val="bottom"/>
          </w:tcPr>
          <w:p w14:paraId="3E911F95"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60757EC1"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168C93F9"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2A15737A"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13FBD5C2"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3F441D10" w14:textId="77777777" w:rsidR="00D83E33" w:rsidRPr="001B330E" w:rsidRDefault="00D83E33">
            <w:pPr>
              <w:widowControl w:val="0"/>
              <w:pBdr>
                <w:top w:val="nil"/>
                <w:left w:val="nil"/>
                <w:bottom w:val="nil"/>
                <w:right w:val="nil"/>
                <w:between w:val="nil"/>
              </w:pBdr>
              <w:jc w:val="right"/>
              <w:rPr>
                <w:color w:val="000000"/>
                <w:spacing w:val="-2"/>
              </w:rPr>
            </w:pPr>
          </w:p>
        </w:tc>
        <w:tc>
          <w:tcPr>
            <w:tcW w:w="509" w:type="pct"/>
            <w:vAlign w:val="bottom"/>
          </w:tcPr>
          <w:p w14:paraId="331BC162" w14:textId="77777777" w:rsidR="00D83E33" w:rsidRPr="001B330E" w:rsidRDefault="00D83E33">
            <w:pPr>
              <w:widowControl w:val="0"/>
              <w:pBdr>
                <w:top w:val="nil"/>
                <w:left w:val="nil"/>
                <w:bottom w:val="nil"/>
                <w:right w:val="nil"/>
                <w:between w:val="nil"/>
              </w:pBdr>
              <w:jc w:val="right"/>
              <w:rPr>
                <w:color w:val="000000"/>
                <w:spacing w:val="-2"/>
              </w:rPr>
            </w:pPr>
          </w:p>
        </w:tc>
      </w:tr>
      <w:tr w:rsidR="00D83E33" w:rsidRPr="00D95E75" w14:paraId="259181E3" w14:textId="77777777" w:rsidTr="001B330E">
        <w:trPr>
          <w:trHeight w:val="23"/>
        </w:trPr>
        <w:tc>
          <w:tcPr>
            <w:tcW w:w="1438" w:type="pct"/>
            <w:tcBorders>
              <w:bottom w:val="single" w:sz="12" w:space="0" w:color="000000"/>
            </w:tcBorders>
            <w:vAlign w:val="bottom"/>
          </w:tcPr>
          <w:p w14:paraId="28B3439A" w14:textId="77777777" w:rsidR="00D83E33" w:rsidRPr="001B330E" w:rsidRDefault="00BC4072" w:rsidP="001B330E">
            <w:pPr>
              <w:widowControl w:val="0"/>
              <w:ind w:left="113" w:hanging="113"/>
              <w:rPr>
                <w:b/>
                <w:spacing w:val="-2"/>
              </w:rPr>
            </w:pPr>
            <w:r w:rsidRPr="001B330E">
              <w:rPr>
                <w:b/>
                <w:spacing w:val="-2"/>
              </w:rPr>
              <w:t> </w:t>
            </w:r>
          </w:p>
        </w:tc>
        <w:tc>
          <w:tcPr>
            <w:tcW w:w="509" w:type="pct"/>
            <w:tcBorders>
              <w:bottom w:val="single" w:sz="12" w:space="0" w:color="000000"/>
            </w:tcBorders>
            <w:vAlign w:val="bottom"/>
          </w:tcPr>
          <w:p w14:paraId="00353B33" w14:textId="77777777" w:rsidR="00D83E33" w:rsidRPr="001B330E" w:rsidRDefault="00D83E33">
            <w:pPr>
              <w:widowControl w:val="0"/>
              <w:pBdr>
                <w:top w:val="nil"/>
                <w:left w:val="nil"/>
                <w:bottom w:val="nil"/>
                <w:right w:val="nil"/>
                <w:between w:val="nil"/>
              </w:pBdr>
              <w:jc w:val="right"/>
              <w:rPr>
                <w:b/>
                <w:color w:val="000000"/>
                <w:spacing w:val="-2"/>
              </w:rPr>
            </w:pPr>
          </w:p>
        </w:tc>
        <w:tc>
          <w:tcPr>
            <w:tcW w:w="509" w:type="pct"/>
            <w:tcBorders>
              <w:bottom w:val="single" w:sz="12" w:space="0" w:color="000000"/>
            </w:tcBorders>
            <w:vAlign w:val="bottom"/>
          </w:tcPr>
          <w:p w14:paraId="152CB53F" w14:textId="77777777" w:rsidR="00D83E33" w:rsidRPr="001B330E" w:rsidRDefault="00D83E33">
            <w:pPr>
              <w:widowControl w:val="0"/>
              <w:pBdr>
                <w:top w:val="nil"/>
                <w:left w:val="nil"/>
                <w:bottom w:val="nil"/>
                <w:right w:val="nil"/>
                <w:between w:val="nil"/>
              </w:pBdr>
              <w:jc w:val="right"/>
              <w:rPr>
                <w:b/>
                <w:color w:val="000000"/>
                <w:spacing w:val="-2"/>
              </w:rPr>
            </w:pPr>
          </w:p>
        </w:tc>
        <w:tc>
          <w:tcPr>
            <w:tcW w:w="509" w:type="pct"/>
            <w:tcBorders>
              <w:bottom w:val="single" w:sz="12" w:space="0" w:color="000000"/>
            </w:tcBorders>
            <w:vAlign w:val="bottom"/>
          </w:tcPr>
          <w:p w14:paraId="6F3201AF" w14:textId="77777777" w:rsidR="00D83E33" w:rsidRPr="001B330E" w:rsidRDefault="00D83E33">
            <w:pPr>
              <w:widowControl w:val="0"/>
              <w:pBdr>
                <w:top w:val="nil"/>
                <w:left w:val="nil"/>
                <w:bottom w:val="nil"/>
                <w:right w:val="nil"/>
                <w:between w:val="nil"/>
              </w:pBdr>
              <w:jc w:val="right"/>
              <w:rPr>
                <w:b/>
                <w:color w:val="000000"/>
                <w:spacing w:val="-2"/>
              </w:rPr>
            </w:pPr>
          </w:p>
        </w:tc>
        <w:tc>
          <w:tcPr>
            <w:tcW w:w="509" w:type="pct"/>
            <w:tcBorders>
              <w:bottom w:val="single" w:sz="12" w:space="0" w:color="000000"/>
            </w:tcBorders>
            <w:vAlign w:val="bottom"/>
          </w:tcPr>
          <w:p w14:paraId="6C778FF0" w14:textId="77777777" w:rsidR="00D83E33" w:rsidRPr="001B330E" w:rsidRDefault="00D83E33">
            <w:pPr>
              <w:widowControl w:val="0"/>
              <w:pBdr>
                <w:top w:val="nil"/>
                <w:left w:val="nil"/>
                <w:bottom w:val="nil"/>
                <w:right w:val="nil"/>
                <w:between w:val="nil"/>
              </w:pBdr>
              <w:jc w:val="right"/>
              <w:rPr>
                <w:b/>
                <w:color w:val="000000"/>
                <w:spacing w:val="-2"/>
              </w:rPr>
            </w:pPr>
          </w:p>
        </w:tc>
        <w:tc>
          <w:tcPr>
            <w:tcW w:w="509" w:type="pct"/>
            <w:tcBorders>
              <w:bottom w:val="single" w:sz="12" w:space="0" w:color="000000"/>
            </w:tcBorders>
            <w:vAlign w:val="bottom"/>
          </w:tcPr>
          <w:p w14:paraId="41D9D5DC" w14:textId="77777777" w:rsidR="00D83E33" w:rsidRPr="001B330E" w:rsidRDefault="00D83E33">
            <w:pPr>
              <w:widowControl w:val="0"/>
              <w:pBdr>
                <w:top w:val="nil"/>
                <w:left w:val="nil"/>
                <w:bottom w:val="nil"/>
                <w:right w:val="nil"/>
                <w:between w:val="nil"/>
              </w:pBdr>
              <w:jc w:val="right"/>
              <w:rPr>
                <w:b/>
                <w:color w:val="000000"/>
                <w:spacing w:val="-2"/>
              </w:rPr>
            </w:pPr>
          </w:p>
        </w:tc>
        <w:tc>
          <w:tcPr>
            <w:tcW w:w="509" w:type="pct"/>
            <w:tcBorders>
              <w:bottom w:val="single" w:sz="12" w:space="0" w:color="000000"/>
            </w:tcBorders>
            <w:vAlign w:val="bottom"/>
          </w:tcPr>
          <w:p w14:paraId="5CEE3382" w14:textId="77777777" w:rsidR="00D83E33" w:rsidRPr="001B330E" w:rsidRDefault="00D83E33">
            <w:pPr>
              <w:widowControl w:val="0"/>
              <w:pBdr>
                <w:top w:val="nil"/>
                <w:left w:val="nil"/>
                <w:bottom w:val="nil"/>
                <w:right w:val="nil"/>
                <w:between w:val="nil"/>
              </w:pBdr>
              <w:jc w:val="right"/>
              <w:rPr>
                <w:b/>
                <w:color w:val="000000"/>
                <w:spacing w:val="-2"/>
              </w:rPr>
            </w:pPr>
          </w:p>
        </w:tc>
        <w:tc>
          <w:tcPr>
            <w:tcW w:w="509" w:type="pct"/>
            <w:tcBorders>
              <w:bottom w:val="single" w:sz="12" w:space="0" w:color="000000"/>
            </w:tcBorders>
            <w:vAlign w:val="bottom"/>
          </w:tcPr>
          <w:p w14:paraId="393AF338" w14:textId="77777777" w:rsidR="00D83E33" w:rsidRPr="001B330E" w:rsidRDefault="00D83E33">
            <w:pPr>
              <w:widowControl w:val="0"/>
              <w:pBdr>
                <w:top w:val="nil"/>
                <w:left w:val="nil"/>
                <w:bottom w:val="nil"/>
                <w:right w:val="nil"/>
                <w:between w:val="nil"/>
              </w:pBdr>
              <w:jc w:val="right"/>
              <w:rPr>
                <w:b/>
                <w:color w:val="000000"/>
                <w:spacing w:val="-2"/>
              </w:rPr>
            </w:pPr>
          </w:p>
        </w:tc>
      </w:tr>
    </w:tbl>
    <w:p w14:paraId="19609E97" w14:textId="4D8B8D86" w:rsidR="00D83E33" w:rsidRDefault="00BC4072" w:rsidP="001B330E">
      <w:pPr>
        <w:pStyle w:val="Continued"/>
      </w:pPr>
      <w:r>
        <w:lastRenderedPageBreak/>
        <w:t>51</w:t>
      </w:r>
      <w:r>
        <w:tab/>
        <w:t>Related Party Transactions (Continued)</w:t>
      </w:r>
    </w:p>
    <w:p w14:paraId="0EC7E2A6"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Key management compensation is presented below:</w:t>
      </w:r>
    </w:p>
    <w:tbl>
      <w:tblPr>
        <w:tblStyle w:val="afffffffffffffffffe"/>
        <w:tblW w:w="5000" w:type="pct"/>
        <w:tblLayout w:type="fixed"/>
        <w:tblLook w:val="0000" w:firstRow="0" w:lastRow="0" w:firstColumn="0" w:lastColumn="0" w:noHBand="0" w:noVBand="0"/>
      </w:tblPr>
      <w:tblGrid>
        <w:gridCol w:w="4169"/>
        <w:gridCol w:w="1297"/>
        <w:gridCol w:w="1297"/>
        <w:gridCol w:w="1297"/>
        <w:gridCol w:w="1295"/>
      </w:tblGrid>
      <w:tr w:rsidR="00D83E33" w:rsidRPr="00D95E75" w14:paraId="00ABA630" w14:textId="77777777" w:rsidTr="001B330E">
        <w:trPr>
          <w:trHeight w:val="23"/>
        </w:trPr>
        <w:tc>
          <w:tcPr>
            <w:tcW w:w="2229" w:type="pct"/>
            <w:vAlign w:val="bottom"/>
          </w:tcPr>
          <w:p w14:paraId="254EAFE1" w14:textId="77777777" w:rsidR="00D83E33" w:rsidRPr="00D95E75" w:rsidRDefault="00D83E33" w:rsidP="001B330E">
            <w:pPr>
              <w:widowControl w:val="0"/>
              <w:pBdr>
                <w:top w:val="nil"/>
                <w:left w:val="nil"/>
                <w:bottom w:val="nil"/>
                <w:right w:val="nil"/>
                <w:between w:val="nil"/>
              </w:pBdr>
              <w:ind w:left="113" w:hanging="113"/>
              <w:rPr>
                <w:i/>
                <w:color w:val="000000"/>
              </w:rPr>
            </w:pPr>
          </w:p>
        </w:tc>
        <w:tc>
          <w:tcPr>
            <w:tcW w:w="1386" w:type="pct"/>
            <w:gridSpan w:val="2"/>
            <w:tcBorders>
              <w:bottom w:val="single" w:sz="4" w:space="0" w:color="000000"/>
            </w:tcBorders>
            <w:vAlign w:val="bottom"/>
          </w:tcPr>
          <w:p w14:paraId="56BE1FB5" w14:textId="07C398A8" w:rsidR="00D83E33" w:rsidRPr="00D95E75" w:rsidRDefault="00541EBC">
            <w:pPr>
              <w:widowControl w:val="0"/>
              <w:pBdr>
                <w:top w:val="nil"/>
                <w:left w:val="nil"/>
                <w:bottom w:val="nil"/>
                <w:right w:val="nil"/>
                <w:between w:val="nil"/>
              </w:pBdr>
              <w:jc w:val="center"/>
              <w:rPr>
                <w:b/>
                <w:color w:val="000000"/>
              </w:rPr>
            </w:pPr>
            <w:r>
              <w:rPr>
                <w:b/>
                <w:color w:val="000000"/>
              </w:rPr>
              <w:t>2024</w:t>
            </w:r>
          </w:p>
        </w:tc>
        <w:tc>
          <w:tcPr>
            <w:tcW w:w="1385" w:type="pct"/>
            <w:gridSpan w:val="2"/>
            <w:tcBorders>
              <w:bottom w:val="single" w:sz="4" w:space="0" w:color="000000"/>
            </w:tcBorders>
            <w:vAlign w:val="bottom"/>
          </w:tcPr>
          <w:p w14:paraId="56D33BD8" w14:textId="75C41C8D" w:rsidR="00D83E33" w:rsidRPr="00D95E75" w:rsidRDefault="00541EBC">
            <w:pPr>
              <w:widowControl w:val="0"/>
              <w:pBdr>
                <w:top w:val="nil"/>
                <w:left w:val="nil"/>
                <w:bottom w:val="nil"/>
                <w:right w:val="nil"/>
                <w:between w:val="nil"/>
              </w:pBdr>
              <w:jc w:val="center"/>
              <w:rPr>
                <w:b/>
                <w:color w:val="000000"/>
              </w:rPr>
            </w:pPr>
            <w:r>
              <w:rPr>
                <w:b/>
                <w:color w:val="000000"/>
              </w:rPr>
              <w:t>2023</w:t>
            </w:r>
          </w:p>
        </w:tc>
      </w:tr>
      <w:tr w:rsidR="00D83E33" w:rsidRPr="00D95E75" w14:paraId="33830F73" w14:textId="77777777" w:rsidTr="001B330E">
        <w:trPr>
          <w:trHeight w:val="23"/>
        </w:trPr>
        <w:tc>
          <w:tcPr>
            <w:tcW w:w="2229" w:type="pct"/>
            <w:tcBorders>
              <w:bottom w:val="single" w:sz="4" w:space="0" w:color="000000"/>
            </w:tcBorders>
            <w:vAlign w:val="bottom"/>
          </w:tcPr>
          <w:p w14:paraId="5413354F" w14:textId="1580404F" w:rsidR="00D83E33" w:rsidRPr="00D95E75"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693" w:type="pct"/>
            <w:tcBorders>
              <w:top w:val="single" w:sz="4" w:space="0" w:color="000000"/>
              <w:bottom w:val="single" w:sz="4" w:space="0" w:color="000000"/>
            </w:tcBorders>
          </w:tcPr>
          <w:p w14:paraId="7FF1088A"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Expense</w:t>
            </w:r>
          </w:p>
        </w:tc>
        <w:tc>
          <w:tcPr>
            <w:tcW w:w="693" w:type="pct"/>
            <w:tcBorders>
              <w:top w:val="single" w:sz="4" w:space="0" w:color="000000"/>
              <w:bottom w:val="single" w:sz="4" w:space="0" w:color="000000"/>
            </w:tcBorders>
          </w:tcPr>
          <w:p w14:paraId="5CE19090"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Accrued liability</w:t>
            </w:r>
          </w:p>
        </w:tc>
        <w:tc>
          <w:tcPr>
            <w:tcW w:w="693" w:type="pct"/>
            <w:tcBorders>
              <w:top w:val="single" w:sz="4" w:space="0" w:color="000000"/>
              <w:bottom w:val="single" w:sz="4" w:space="0" w:color="000000"/>
            </w:tcBorders>
          </w:tcPr>
          <w:p w14:paraId="5473DD05"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Expense</w:t>
            </w:r>
          </w:p>
        </w:tc>
        <w:tc>
          <w:tcPr>
            <w:tcW w:w="692" w:type="pct"/>
            <w:tcBorders>
              <w:top w:val="single" w:sz="4" w:space="0" w:color="000000"/>
              <w:bottom w:val="single" w:sz="4" w:space="0" w:color="000000"/>
            </w:tcBorders>
          </w:tcPr>
          <w:p w14:paraId="7BF2FA8E"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Accrued liability</w:t>
            </w:r>
          </w:p>
        </w:tc>
      </w:tr>
      <w:tr w:rsidR="00D83E33" w:rsidRPr="00D95E75" w14:paraId="05BD5AA4" w14:textId="77777777" w:rsidTr="001B330E">
        <w:trPr>
          <w:trHeight w:val="23"/>
        </w:trPr>
        <w:tc>
          <w:tcPr>
            <w:tcW w:w="2229" w:type="pct"/>
            <w:vAlign w:val="bottom"/>
          </w:tcPr>
          <w:p w14:paraId="45F47DFA" w14:textId="77777777" w:rsidR="00D83E33" w:rsidRPr="00D95E75" w:rsidRDefault="00BC4072" w:rsidP="001B330E">
            <w:pPr>
              <w:widowControl w:val="0"/>
              <w:ind w:left="113" w:hanging="113"/>
              <w:rPr>
                <w:b/>
              </w:rPr>
            </w:pPr>
            <w:r w:rsidRPr="00D95E75">
              <w:rPr>
                <w:b/>
              </w:rPr>
              <w:t> </w:t>
            </w:r>
          </w:p>
        </w:tc>
        <w:tc>
          <w:tcPr>
            <w:tcW w:w="693" w:type="pct"/>
            <w:vAlign w:val="bottom"/>
          </w:tcPr>
          <w:p w14:paraId="4F91B96F" w14:textId="77777777" w:rsidR="00D83E33" w:rsidRPr="00D95E75" w:rsidRDefault="00D83E33">
            <w:pPr>
              <w:widowControl w:val="0"/>
              <w:pBdr>
                <w:top w:val="nil"/>
                <w:left w:val="nil"/>
                <w:bottom w:val="nil"/>
                <w:right w:val="nil"/>
                <w:between w:val="nil"/>
              </w:pBdr>
              <w:jc w:val="right"/>
              <w:rPr>
                <w:b/>
                <w:color w:val="000000"/>
              </w:rPr>
            </w:pPr>
          </w:p>
        </w:tc>
        <w:tc>
          <w:tcPr>
            <w:tcW w:w="693" w:type="pct"/>
            <w:vAlign w:val="bottom"/>
          </w:tcPr>
          <w:p w14:paraId="2483BA75" w14:textId="77777777" w:rsidR="00D83E33" w:rsidRPr="00D95E75" w:rsidRDefault="00D83E33">
            <w:pPr>
              <w:widowControl w:val="0"/>
              <w:pBdr>
                <w:top w:val="nil"/>
                <w:left w:val="nil"/>
                <w:bottom w:val="nil"/>
                <w:right w:val="nil"/>
                <w:between w:val="nil"/>
              </w:pBdr>
              <w:jc w:val="right"/>
              <w:rPr>
                <w:b/>
                <w:color w:val="000000"/>
              </w:rPr>
            </w:pPr>
          </w:p>
        </w:tc>
        <w:tc>
          <w:tcPr>
            <w:tcW w:w="693" w:type="pct"/>
            <w:vAlign w:val="bottom"/>
          </w:tcPr>
          <w:p w14:paraId="6C94D9E4" w14:textId="77777777" w:rsidR="00D83E33" w:rsidRPr="00D95E75" w:rsidRDefault="00D83E33">
            <w:pPr>
              <w:widowControl w:val="0"/>
              <w:pBdr>
                <w:top w:val="nil"/>
                <w:left w:val="nil"/>
                <w:bottom w:val="nil"/>
                <w:right w:val="nil"/>
                <w:between w:val="nil"/>
              </w:pBdr>
              <w:jc w:val="right"/>
              <w:rPr>
                <w:b/>
                <w:color w:val="000000"/>
              </w:rPr>
            </w:pPr>
          </w:p>
        </w:tc>
        <w:tc>
          <w:tcPr>
            <w:tcW w:w="692" w:type="pct"/>
            <w:vAlign w:val="bottom"/>
          </w:tcPr>
          <w:p w14:paraId="2577F34B"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40036512" w14:textId="77777777" w:rsidTr="001B330E">
        <w:trPr>
          <w:trHeight w:val="23"/>
        </w:trPr>
        <w:tc>
          <w:tcPr>
            <w:tcW w:w="2229" w:type="pct"/>
            <w:vAlign w:val="bottom"/>
          </w:tcPr>
          <w:p w14:paraId="4C4B099D"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i/>
                <w:color w:val="000000"/>
              </w:rPr>
              <w:t>Short-term benefits:</w:t>
            </w:r>
          </w:p>
        </w:tc>
        <w:tc>
          <w:tcPr>
            <w:tcW w:w="693" w:type="pct"/>
            <w:vAlign w:val="bottom"/>
          </w:tcPr>
          <w:p w14:paraId="75BCA32C" w14:textId="77777777" w:rsidR="00D83E33" w:rsidRPr="00D95E75" w:rsidRDefault="00D83E33">
            <w:pPr>
              <w:widowControl w:val="0"/>
              <w:pBdr>
                <w:top w:val="nil"/>
                <w:left w:val="nil"/>
                <w:bottom w:val="nil"/>
                <w:right w:val="nil"/>
                <w:between w:val="nil"/>
              </w:pBdr>
              <w:jc w:val="right"/>
              <w:rPr>
                <w:b/>
                <w:color w:val="000000"/>
              </w:rPr>
            </w:pPr>
          </w:p>
        </w:tc>
        <w:tc>
          <w:tcPr>
            <w:tcW w:w="693" w:type="pct"/>
            <w:vAlign w:val="bottom"/>
          </w:tcPr>
          <w:p w14:paraId="60CCD8B3" w14:textId="77777777" w:rsidR="00D83E33" w:rsidRPr="00D95E75" w:rsidRDefault="00D83E33">
            <w:pPr>
              <w:widowControl w:val="0"/>
              <w:pBdr>
                <w:top w:val="nil"/>
                <w:left w:val="nil"/>
                <w:bottom w:val="nil"/>
                <w:right w:val="nil"/>
                <w:between w:val="nil"/>
              </w:pBdr>
              <w:jc w:val="right"/>
              <w:rPr>
                <w:b/>
                <w:color w:val="000000"/>
              </w:rPr>
            </w:pPr>
          </w:p>
        </w:tc>
        <w:tc>
          <w:tcPr>
            <w:tcW w:w="693" w:type="pct"/>
            <w:vAlign w:val="bottom"/>
          </w:tcPr>
          <w:p w14:paraId="2DA245D6" w14:textId="77777777" w:rsidR="00D83E33" w:rsidRPr="00D95E75" w:rsidRDefault="00D83E33">
            <w:pPr>
              <w:widowControl w:val="0"/>
              <w:pBdr>
                <w:top w:val="nil"/>
                <w:left w:val="nil"/>
                <w:bottom w:val="nil"/>
                <w:right w:val="nil"/>
                <w:between w:val="nil"/>
              </w:pBdr>
              <w:jc w:val="right"/>
              <w:rPr>
                <w:b/>
                <w:color w:val="000000"/>
              </w:rPr>
            </w:pPr>
          </w:p>
        </w:tc>
        <w:tc>
          <w:tcPr>
            <w:tcW w:w="692" w:type="pct"/>
            <w:vAlign w:val="bottom"/>
          </w:tcPr>
          <w:p w14:paraId="455DF16B"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02F83B17" w14:textId="77777777" w:rsidTr="001B330E">
        <w:trPr>
          <w:trHeight w:val="23"/>
        </w:trPr>
        <w:tc>
          <w:tcPr>
            <w:tcW w:w="2229" w:type="pct"/>
            <w:vAlign w:val="bottom"/>
          </w:tcPr>
          <w:p w14:paraId="5D493D27"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color w:val="000000"/>
              </w:rPr>
              <w:t>- Salaries</w:t>
            </w:r>
          </w:p>
        </w:tc>
        <w:tc>
          <w:tcPr>
            <w:tcW w:w="693" w:type="pct"/>
            <w:vAlign w:val="bottom"/>
          </w:tcPr>
          <w:p w14:paraId="5DBBE44C" w14:textId="77777777" w:rsidR="00D83E33" w:rsidRPr="00D95E75" w:rsidRDefault="00D83E33">
            <w:pPr>
              <w:widowControl w:val="0"/>
              <w:pBdr>
                <w:top w:val="nil"/>
                <w:left w:val="nil"/>
                <w:bottom w:val="nil"/>
                <w:right w:val="nil"/>
                <w:between w:val="nil"/>
              </w:pBdr>
              <w:jc w:val="right"/>
              <w:rPr>
                <w:b/>
                <w:color w:val="000000"/>
              </w:rPr>
            </w:pPr>
          </w:p>
        </w:tc>
        <w:tc>
          <w:tcPr>
            <w:tcW w:w="693" w:type="pct"/>
            <w:vAlign w:val="bottom"/>
          </w:tcPr>
          <w:p w14:paraId="0C321D5E" w14:textId="77777777" w:rsidR="00D83E33" w:rsidRPr="00D95E75" w:rsidRDefault="00D83E33">
            <w:pPr>
              <w:widowControl w:val="0"/>
              <w:pBdr>
                <w:top w:val="nil"/>
                <w:left w:val="nil"/>
                <w:bottom w:val="nil"/>
                <w:right w:val="nil"/>
                <w:between w:val="nil"/>
              </w:pBdr>
              <w:jc w:val="right"/>
              <w:rPr>
                <w:b/>
                <w:color w:val="000000"/>
              </w:rPr>
            </w:pPr>
          </w:p>
        </w:tc>
        <w:tc>
          <w:tcPr>
            <w:tcW w:w="693" w:type="pct"/>
            <w:vAlign w:val="bottom"/>
          </w:tcPr>
          <w:p w14:paraId="799D45E2" w14:textId="77777777" w:rsidR="00D83E33" w:rsidRPr="00D95E75" w:rsidRDefault="00D83E33">
            <w:pPr>
              <w:widowControl w:val="0"/>
              <w:pBdr>
                <w:top w:val="nil"/>
                <w:left w:val="nil"/>
                <w:bottom w:val="nil"/>
                <w:right w:val="nil"/>
                <w:between w:val="nil"/>
              </w:pBdr>
              <w:jc w:val="right"/>
              <w:rPr>
                <w:b/>
                <w:color w:val="000000"/>
              </w:rPr>
            </w:pPr>
          </w:p>
        </w:tc>
        <w:tc>
          <w:tcPr>
            <w:tcW w:w="692" w:type="pct"/>
            <w:vAlign w:val="bottom"/>
          </w:tcPr>
          <w:p w14:paraId="218EEBC9"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7CA8C7D2" w14:textId="77777777" w:rsidTr="001B330E">
        <w:trPr>
          <w:trHeight w:val="23"/>
        </w:trPr>
        <w:tc>
          <w:tcPr>
            <w:tcW w:w="2229" w:type="pct"/>
            <w:vAlign w:val="bottom"/>
          </w:tcPr>
          <w:p w14:paraId="07FF9642"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Short-term bonuses</w:t>
            </w:r>
          </w:p>
        </w:tc>
        <w:tc>
          <w:tcPr>
            <w:tcW w:w="693" w:type="pct"/>
            <w:vAlign w:val="bottom"/>
          </w:tcPr>
          <w:p w14:paraId="73341E98"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31869C08"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141C9BFA"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28987AB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356BA62" w14:textId="77777777" w:rsidTr="001B330E">
        <w:trPr>
          <w:trHeight w:val="23"/>
        </w:trPr>
        <w:tc>
          <w:tcPr>
            <w:tcW w:w="2229" w:type="pct"/>
            <w:vAlign w:val="bottom"/>
          </w:tcPr>
          <w:p w14:paraId="7206C177"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Benefits in-kind</w:t>
            </w:r>
          </w:p>
        </w:tc>
        <w:tc>
          <w:tcPr>
            <w:tcW w:w="693" w:type="pct"/>
            <w:vAlign w:val="bottom"/>
          </w:tcPr>
          <w:p w14:paraId="0838EDF1"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0B0CE5D6"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08D9E776"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2A914D7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8D9078D" w14:textId="77777777" w:rsidTr="001B330E">
        <w:trPr>
          <w:trHeight w:val="23"/>
        </w:trPr>
        <w:tc>
          <w:tcPr>
            <w:tcW w:w="2229" w:type="pct"/>
            <w:vAlign w:val="bottom"/>
          </w:tcPr>
          <w:p w14:paraId="513912C0"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b/>
                <w:color w:val="000000"/>
              </w:rPr>
              <w:t> </w:t>
            </w:r>
          </w:p>
        </w:tc>
        <w:tc>
          <w:tcPr>
            <w:tcW w:w="693" w:type="pct"/>
            <w:vAlign w:val="bottom"/>
          </w:tcPr>
          <w:p w14:paraId="15911EBA"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7B548A47"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7549B549"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27BC962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94F052F" w14:textId="77777777" w:rsidTr="001B330E">
        <w:trPr>
          <w:trHeight w:val="23"/>
        </w:trPr>
        <w:tc>
          <w:tcPr>
            <w:tcW w:w="2229" w:type="pct"/>
            <w:vAlign w:val="bottom"/>
          </w:tcPr>
          <w:p w14:paraId="0903543D"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i/>
                <w:color w:val="000000"/>
              </w:rPr>
              <w:t>Post-employment benefits:</w:t>
            </w:r>
          </w:p>
        </w:tc>
        <w:tc>
          <w:tcPr>
            <w:tcW w:w="693" w:type="pct"/>
            <w:vAlign w:val="bottom"/>
          </w:tcPr>
          <w:p w14:paraId="5FC35B7C"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64998E25"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71EF0312"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7955BD6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1B0AAF8" w14:textId="77777777" w:rsidTr="001B330E">
        <w:trPr>
          <w:trHeight w:val="23"/>
        </w:trPr>
        <w:tc>
          <w:tcPr>
            <w:tcW w:w="2229" w:type="pct"/>
            <w:vAlign w:val="bottom"/>
          </w:tcPr>
          <w:p w14:paraId="1786B8EA"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Defined benefit retirement scheme</w:t>
            </w:r>
          </w:p>
        </w:tc>
        <w:tc>
          <w:tcPr>
            <w:tcW w:w="693" w:type="pct"/>
            <w:vAlign w:val="bottom"/>
          </w:tcPr>
          <w:p w14:paraId="26709E82"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497DAF3A"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75B82147"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33E19F7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A4AD3B0" w14:textId="77777777" w:rsidTr="001B330E">
        <w:trPr>
          <w:trHeight w:val="23"/>
        </w:trPr>
        <w:tc>
          <w:tcPr>
            <w:tcW w:w="2229" w:type="pct"/>
            <w:vAlign w:val="bottom"/>
          </w:tcPr>
          <w:p w14:paraId="219BD226"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State pension and social security costs</w:t>
            </w:r>
          </w:p>
        </w:tc>
        <w:tc>
          <w:tcPr>
            <w:tcW w:w="693" w:type="pct"/>
            <w:vAlign w:val="bottom"/>
          </w:tcPr>
          <w:p w14:paraId="71D9BE90"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49709472"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7EFBB63F"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198B911D"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EDEA066" w14:textId="77777777" w:rsidTr="001B330E">
        <w:trPr>
          <w:trHeight w:val="23"/>
        </w:trPr>
        <w:tc>
          <w:tcPr>
            <w:tcW w:w="2229" w:type="pct"/>
            <w:vAlign w:val="bottom"/>
          </w:tcPr>
          <w:p w14:paraId="43A7CBB9"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Termination indemnity benefits</w:t>
            </w:r>
          </w:p>
        </w:tc>
        <w:tc>
          <w:tcPr>
            <w:tcW w:w="693" w:type="pct"/>
            <w:vAlign w:val="bottom"/>
          </w:tcPr>
          <w:p w14:paraId="173F484F"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71C5B8D7"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49510E82"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45A67B8D"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E99CFE2" w14:textId="77777777" w:rsidTr="001B330E">
        <w:trPr>
          <w:trHeight w:val="23"/>
        </w:trPr>
        <w:tc>
          <w:tcPr>
            <w:tcW w:w="2229" w:type="pct"/>
            <w:vAlign w:val="bottom"/>
          </w:tcPr>
          <w:p w14:paraId="5DBC2A2A"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b/>
                <w:color w:val="000000"/>
              </w:rPr>
              <w:t> </w:t>
            </w:r>
          </w:p>
        </w:tc>
        <w:tc>
          <w:tcPr>
            <w:tcW w:w="693" w:type="pct"/>
            <w:vAlign w:val="bottom"/>
          </w:tcPr>
          <w:p w14:paraId="16AA878B"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271EA3C2"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5D7D0F29"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21BB6EE3"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E3DC1EB" w14:textId="77777777" w:rsidTr="001B330E">
        <w:trPr>
          <w:trHeight w:val="23"/>
        </w:trPr>
        <w:tc>
          <w:tcPr>
            <w:tcW w:w="2229" w:type="pct"/>
            <w:vAlign w:val="bottom"/>
          </w:tcPr>
          <w:p w14:paraId="5DC8EDA3"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i/>
                <w:color w:val="000000"/>
              </w:rPr>
              <w:t>Other long-term employee benefits:</w:t>
            </w:r>
          </w:p>
        </w:tc>
        <w:tc>
          <w:tcPr>
            <w:tcW w:w="693" w:type="pct"/>
            <w:vAlign w:val="bottom"/>
          </w:tcPr>
          <w:p w14:paraId="00516C92"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4EBED529"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0A04619D"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65216C1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4C1BBD8" w14:textId="77777777" w:rsidTr="001B330E">
        <w:trPr>
          <w:trHeight w:val="23"/>
        </w:trPr>
        <w:tc>
          <w:tcPr>
            <w:tcW w:w="2229" w:type="pct"/>
            <w:vAlign w:val="bottom"/>
          </w:tcPr>
          <w:p w14:paraId="32453A5A"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Long-term bonus scheme</w:t>
            </w:r>
          </w:p>
        </w:tc>
        <w:tc>
          <w:tcPr>
            <w:tcW w:w="693" w:type="pct"/>
            <w:vAlign w:val="bottom"/>
          </w:tcPr>
          <w:p w14:paraId="24DC4A57"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321CB590"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126E1382"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23EF0C9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CC7188D" w14:textId="77777777" w:rsidTr="001B330E">
        <w:trPr>
          <w:trHeight w:val="23"/>
        </w:trPr>
        <w:tc>
          <w:tcPr>
            <w:tcW w:w="2229" w:type="pct"/>
            <w:vAlign w:val="bottom"/>
          </w:tcPr>
          <w:p w14:paraId="3750048B"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Jubilee benefits</w:t>
            </w:r>
          </w:p>
        </w:tc>
        <w:tc>
          <w:tcPr>
            <w:tcW w:w="693" w:type="pct"/>
            <w:vAlign w:val="bottom"/>
          </w:tcPr>
          <w:p w14:paraId="13CB0F62"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7019CFA2"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293F5A10"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7E6ED3F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696B8F2" w14:textId="77777777" w:rsidTr="001B330E">
        <w:trPr>
          <w:trHeight w:val="23"/>
        </w:trPr>
        <w:tc>
          <w:tcPr>
            <w:tcW w:w="2229" w:type="pct"/>
            <w:vAlign w:val="bottom"/>
          </w:tcPr>
          <w:p w14:paraId="7D05C770"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b/>
                <w:color w:val="000000"/>
              </w:rPr>
              <w:t> </w:t>
            </w:r>
          </w:p>
        </w:tc>
        <w:tc>
          <w:tcPr>
            <w:tcW w:w="693" w:type="pct"/>
            <w:vAlign w:val="bottom"/>
          </w:tcPr>
          <w:p w14:paraId="61C11B62"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484456A4"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00BCBBD5"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637E7D38"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BAB40E9" w14:textId="77777777" w:rsidTr="001B330E">
        <w:trPr>
          <w:trHeight w:val="23"/>
        </w:trPr>
        <w:tc>
          <w:tcPr>
            <w:tcW w:w="2229" w:type="pct"/>
            <w:vAlign w:val="bottom"/>
          </w:tcPr>
          <w:p w14:paraId="5F41D48F"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i/>
                <w:color w:val="000000"/>
              </w:rPr>
              <w:t>Share-based compensation:</w:t>
            </w:r>
          </w:p>
        </w:tc>
        <w:tc>
          <w:tcPr>
            <w:tcW w:w="693" w:type="pct"/>
            <w:vAlign w:val="bottom"/>
          </w:tcPr>
          <w:p w14:paraId="7B845813"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1F33C0D9"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1F7A06B2"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275FA78B"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9F2C313" w14:textId="77777777" w:rsidTr="001B330E">
        <w:trPr>
          <w:trHeight w:val="23"/>
        </w:trPr>
        <w:tc>
          <w:tcPr>
            <w:tcW w:w="2229" w:type="pct"/>
            <w:vAlign w:val="bottom"/>
          </w:tcPr>
          <w:p w14:paraId="13E5F414"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 Cash-settled share-based compensation </w:t>
            </w:r>
          </w:p>
        </w:tc>
        <w:tc>
          <w:tcPr>
            <w:tcW w:w="693" w:type="pct"/>
            <w:vAlign w:val="bottom"/>
          </w:tcPr>
          <w:p w14:paraId="77D1570A"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3505082E"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1D1795C5"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2CD95DDD"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72D6863" w14:textId="77777777" w:rsidTr="001B330E">
        <w:trPr>
          <w:trHeight w:val="23"/>
        </w:trPr>
        <w:tc>
          <w:tcPr>
            <w:tcW w:w="2229" w:type="pct"/>
            <w:vAlign w:val="bottom"/>
          </w:tcPr>
          <w:p w14:paraId="613276EF" w14:textId="6E84963F"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 Equity-settled share-based compensation </w:t>
            </w:r>
          </w:p>
        </w:tc>
        <w:tc>
          <w:tcPr>
            <w:tcW w:w="693" w:type="pct"/>
            <w:vAlign w:val="bottom"/>
          </w:tcPr>
          <w:p w14:paraId="68099027"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51EC267F"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6B8DB96A"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370F0B33"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0447B2E" w14:textId="77777777" w:rsidTr="001B330E">
        <w:trPr>
          <w:trHeight w:val="23"/>
        </w:trPr>
        <w:tc>
          <w:tcPr>
            <w:tcW w:w="2229" w:type="pct"/>
            <w:vAlign w:val="bottom"/>
          </w:tcPr>
          <w:p w14:paraId="040A7509"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b/>
                <w:color w:val="000000"/>
              </w:rPr>
              <w:t> </w:t>
            </w:r>
          </w:p>
        </w:tc>
        <w:tc>
          <w:tcPr>
            <w:tcW w:w="693" w:type="pct"/>
            <w:vAlign w:val="bottom"/>
          </w:tcPr>
          <w:p w14:paraId="2038904C"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350465AA"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04BCEB20"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5E94DF3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628612C" w14:textId="77777777" w:rsidTr="001B330E">
        <w:trPr>
          <w:trHeight w:val="23"/>
        </w:trPr>
        <w:tc>
          <w:tcPr>
            <w:tcW w:w="2229" w:type="pct"/>
            <w:vAlign w:val="bottom"/>
          </w:tcPr>
          <w:p w14:paraId="2E3655A6"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Termination benefits</w:t>
            </w:r>
          </w:p>
        </w:tc>
        <w:tc>
          <w:tcPr>
            <w:tcW w:w="693" w:type="pct"/>
            <w:vAlign w:val="bottom"/>
          </w:tcPr>
          <w:p w14:paraId="75809526"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60E6B675"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0DF296D3"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2E90DAD8"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34D071E" w14:textId="77777777" w:rsidTr="001B330E">
        <w:trPr>
          <w:trHeight w:val="23"/>
        </w:trPr>
        <w:tc>
          <w:tcPr>
            <w:tcW w:w="2229" w:type="pct"/>
            <w:tcBorders>
              <w:bottom w:val="single" w:sz="4" w:space="0" w:color="000000"/>
            </w:tcBorders>
            <w:vAlign w:val="bottom"/>
          </w:tcPr>
          <w:p w14:paraId="56247A26"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b/>
                <w:color w:val="000000"/>
              </w:rPr>
              <w:t> </w:t>
            </w:r>
          </w:p>
        </w:tc>
        <w:tc>
          <w:tcPr>
            <w:tcW w:w="693" w:type="pct"/>
            <w:tcBorders>
              <w:bottom w:val="single" w:sz="4" w:space="0" w:color="000000"/>
            </w:tcBorders>
            <w:vAlign w:val="bottom"/>
          </w:tcPr>
          <w:p w14:paraId="506EE13D" w14:textId="77777777" w:rsidR="00D83E33" w:rsidRPr="00D95E75" w:rsidRDefault="00D83E33">
            <w:pPr>
              <w:widowControl w:val="0"/>
              <w:pBdr>
                <w:top w:val="nil"/>
                <w:left w:val="nil"/>
                <w:bottom w:val="nil"/>
                <w:right w:val="nil"/>
                <w:between w:val="nil"/>
              </w:pBdr>
              <w:jc w:val="right"/>
              <w:rPr>
                <w:color w:val="000000"/>
              </w:rPr>
            </w:pPr>
          </w:p>
        </w:tc>
        <w:tc>
          <w:tcPr>
            <w:tcW w:w="693" w:type="pct"/>
            <w:tcBorders>
              <w:bottom w:val="single" w:sz="4" w:space="0" w:color="000000"/>
            </w:tcBorders>
            <w:vAlign w:val="bottom"/>
          </w:tcPr>
          <w:p w14:paraId="48C3CE68" w14:textId="77777777" w:rsidR="00D83E33" w:rsidRPr="00D95E75" w:rsidRDefault="00D83E33">
            <w:pPr>
              <w:widowControl w:val="0"/>
              <w:pBdr>
                <w:top w:val="nil"/>
                <w:left w:val="nil"/>
                <w:bottom w:val="nil"/>
                <w:right w:val="nil"/>
                <w:between w:val="nil"/>
              </w:pBdr>
              <w:jc w:val="right"/>
              <w:rPr>
                <w:color w:val="000000"/>
              </w:rPr>
            </w:pPr>
          </w:p>
        </w:tc>
        <w:tc>
          <w:tcPr>
            <w:tcW w:w="693" w:type="pct"/>
            <w:tcBorders>
              <w:bottom w:val="single" w:sz="4" w:space="0" w:color="000000"/>
            </w:tcBorders>
            <w:vAlign w:val="bottom"/>
          </w:tcPr>
          <w:p w14:paraId="1AD23F2E" w14:textId="77777777" w:rsidR="00D83E33" w:rsidRPr="00D95E75" w:rsidRDefault="00D83E33">
            <w:pPr>
              <w:widowControl w:val="0"/>
              <w:pBdr>
                <w:top w:val="nil"/>
                <w:left w:val="nil"/>
                <w:bottom w:val="nil"/>
                <w:right w:val="nil"/>
                <w:between w:val="nil"/>
              </w:pBdr>
              <w:jc w:val="right"/>
              <w:rPr>
                <w:color w:val="000000"/>
              </w:rPr>
            </w:pPr>
          </w:p>
        </w:tc>
        <w:tc>
          <w:tcPr>
            <w:tcW w:w="692" w:type="pct"/>
            <w:tcBorders>
              <w:bottom w:val="single" w:sz="4" w:space="0" w:color="000000"/>
            </w:tcBorders>
            <w:vAlign w:val="bottom"/>
          </w:tcPr>
          <w:p w14:paraId="0ECE818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D1B62AD" w14:textId="77777777" w:rsidTr="001B330E">
        <w:trPr>
          <w:trHeight w:val="23"/>
        </w:trPr>
        <w:tc>
          <w:tcPr>
            <w:tcW w:w="2229" w:type="pct"/>
            <w:tcBorders>
              <w:top w:val="single" w:sz="4" w:space="0" w:color="000000"/>
            </w:tcBorders>
            <w:vAlign w:val="bottom"/>
          </w:tcPr>
          <w:p w14:paraId="5D16DE44"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b/>
                <w:color w:val="000000"/>
              </w:rPr>
              <w:t> </w:t>
            </w:r>
          </w:p>
        </w:tc>
        <w:tc>
          <w:tcPr>
            <w:tcW w:w="693" w:type="pct"/>
            <w:tcBorders>
              <w:top w:val="single" w:sz="4" w:space="0" w:color="000000"/>
            </w:tcBorders>
            <w:vAlign w:val="bottom"/>
          </w:tcPr>
          <w:p w14:paraId="5159C4C6" w14:textId="77777777" w:rsidR="00D83E33" w:rsidRPr="00D95E75" w:rsidRDefault="00D83E33">
            <w:pPr>
              <w:widowControl w:val="0"/>
              <w:pBdr>
                <w:top w:val="nil"/>
                <w:left w:val="nil"/>
                <w:bottom w:val="nil"/>
                <w:right w:val="nil"/>
                <w:between w:val="nil"/>
              </w:pBdr>
              <w:jc w:val="right"/>
              <w:rPr>
                <w:color w:val="000000"/>
              </w:rPr>
            </w:pPr>
          </w:p>
        </w:tc>
        <w:tc>
          <w:tcPr>
            <w:tcW w:w="693" w:type="pct"/>
            <w:tcBorders>
              <w:top w:val="single" w:sz="4" w:space="0" w:color="000000"/>
            </w:tcBorders>
            <w:vAlign w:val="bottom"/>
          </w:tcPr>
          <w:p w14:paraId="7BDEB33F" w14:textId="77777777" w:rsidR="00D83E33" w:rsidRPr="00D95E75" w:rsidRDefault="00D83E33">
            <w:pPr>
              <w:widowControl w:val="0"/>
              <w:pBdr>
                <w:top w:val="nil"/>
                <w:left w:val="nil"/>
                <w:bottom w:val="nil"/>
                <w:right w:val="nil"/>
                <w:between w:val="nil"/>
              </w:pBdr>
              <w:jc w:val="right"/>
              <w:rPr>
                <w:color w:val="000000"/>
              </w:rPr>
            </w:pPr>
          </w:p>
        </w:tc>
        <w:tc>
          <w:tcPr>
            <w:tcW w:w="693" w:type="pct"/>
            <w:tcBorders>
              <w:top w:val="single" w:sz="4" w:space="0" w:color="000000"/>
            </w:tcBorders>
            <w:vAlign w:val="bottom"/>
          </w:tcPr>
          <w:p w14:paraId="298F777E" w14:textId="77777777" w:rsidR="00D83E33" w:rsidRPr="00D95E75" w:rsidRDefault="00D83E33">
            <w:pPr>
              <w:widowControl w:val="0"/>
              <w:pBdr>
                <w:top w:val="nil"/>
                <w:left w:val="nil"/>
                <w:bottom w:val="nil"/>
                <w:right w:val="nil"/>
                <w:between w:val="nil"/>
              </w:pBdr>
              <w:jc w:val="right"/>
              <w:rPr>
                <w:color w:val="000000"/>
              </w:rPr>
            </w:pPr>
          </w:p>
        </w:tc>
        <w:tc>
          <w:tcPr>
            <w:tcW w:w="692" w:type="pct"/>
            <w:tcBorders>
              <w:top w:val="single" w:sz="4" w:space="0" w:color="000000"/>
            </w:tcBorders>
            <w:vAlign w:val="bottom"/>
          </w:tcPr>
          <w:p w14:paraId="7FE7DD2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72D8E9D" w14:textId="77777777" w:rsidTr="001B330E">
        <w:trPr>
          <w:trHeight w:val="23"/>
        </w:trPr>
        <w:tc>
          <w:tcPr>
            <w:tcW w:w="2229" w:type="pct"/>
            <w:vAlign w:val="bottom"/>
          </w:tcPr>
          <w:p w14:paraId="1EA57478"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Total</w:t>
            </w:r>
          </w:p>
        </w:tc>
        <w:tc>
          <w:tcPr>
            <w:tcW w:w="693" w:type="pct"/>
            <w:vAlign w:val="bottom"/>
          </w:tcPr>
          <w:p w14:paraId="4C71EF8B"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49FF7A11" w14:textId="77777777" w:rsidR="00D83E33" w:rsidRPr="00D95E75" w:rsidRDefault="00D83E33">
            <w:pPr>
              <w:widowControl w:val="0"/>
              <w:pBdr>
                <w:top w:val="nil"/>
                <w:left w:val="nil"/>
                <w:bottom w:val="nil"/>
                <w:right w:val="nil"/>
                <w:between w:val="nil"/>
              </w:pBdr>
              <w:jc w:val="right"/>
              <w:rPr>
                <w:color w:val="000000"/>
              </w:rPr>
            </w:pPr>
          </w:p>
        </w:tc>
        <w:tc>
          <w:tcPr>
            <w:tcW w:w="693" w:type="pct"/>
            <w:vAlign w:val="bottom"/>
          </w:tcPr>
          <w:p w14:paraId="68FABE75" w14:textId="77777777" w:rsidR="00D83E33" w:rsidRPr="00D95E75" w:rsidRDefault="00D83E33">
            <w:pPr>
              <w:widowControl w:val="0"/>
              <w:pBdr>
                <w:top w:val="nil"/>
                <w:left w:val="nil"/>
                <w:bottom w:val="nil"/>
                <w:right w:val="nil"/>
                <w:between w:val="nil"/>
              </w:pBdr>
              <w:jc w:val="right"/>
              <w:rPr>
                <w:color w:val="000000"/>
              </w:rPr>
            </w:pPr>
          </w:p>
        </w:tc>
        <w:tc>
          <w:tcPr>
            <w:tcW w:w="692" w:type="pct"/>
            <w:vAlign w:val="bottom"/>
          </w:tcPr>
          <w:p w14:paraId="7669780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BFB5475" w14:textId="77777777" w:rsidTr="001B330E">
        <w:trPr>
          <w:trHeight w:val="23"/>
        </w:trPr>
        <w:tc>
          <w:tcPr>
            <w:tcW w:w="2229" w:type="pct"/>
            <w:tcBorders>
              <w:bottom w:val="single" w:sz="12" w:space="0" w:color="000000"/>
            </w:tcBorders>
            <w:vAlign w:val="bottom"/>
          </w:tcPr>
          <w:p w14:paraId="39C4E531"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b/>
                <w:color w:val="000000"/>
              </w:rPr>
              <w:t> </w:t>
            </w:r>
          </w:p>
        </w:tc>
        <w:tc>
          <w:tcPr>
            <w:tcW w:w="693" w:type="pct"/>
            <w:tcBorders>
              <w:bottom w:val="single" w:sz="12" w:space="0" w:color="000000"/>
            </w:tcBorders>
            <w:vAlign w:val="bottom"/>
          </w:tcPr>
          <w:p w14:paraId="51995F91" w14:textId="77777777" w:rsidR="00D83E33" w:rsidRPr="00D95E75" w:rsidRDefault="00D83E33">
            <w:pPr>
              <w:widowControl w:val="0"/>
              <w:pBdr>
                <w:top w:val="nil"/>
                <w:left w:val="nil"/>
                <w:bottom w:val="nil"/>
                <w:right w:val="nil"/>
                <w:between w:val="nil"/>
              </w:pBdr>
              <w:jc w:val="right"/>
              <w:rPr>
                <w:color w:val="000000"/>
              </w:rPr>
            </w:pPr>
          </w:p>
        </w:tc>
        <w:tc>
          <w:tcPr>
            <w:tcW w:w="693" w:type="pct"/>
            <w:tcBorders>
              <w:bottom w:val="single" w:sz="12" w:space="0" w:color="000000"/>
            </w:tcBorders>
            <w:vAlign w:val="bottom"/>
          </w:tcPr>
          <w:p w14:paraId="03F4248E" w14:textId="77777777" w:rsidR="00D83E33" w:rsidRPr="00D95E75" w:rsidRDefault="00D83E33">
            <w:pPr>
              <w:widowControl w:val="0"/>
              <w:pBdr>
                <w:top w:val="nil"/>
                <w:left w:val="nil"/>
                <w:bottom w:val="nil"/>
                <w:right w:val="nil"/>
                <w:between w:val="nil"/>
              </w:pBdr>
              <w:jc w:val="right"/>
              <w:rPr>
                <w:color w:val="000000"/>
              </w:rPr>
            </w:pPr>
          </w:p>
        </w:tc>
        <w:tc>
          <w:tcPr>
            <w:tcW w:w="693" w:type="pct"/>
            <w:tcBorders>
              <w:bottom w:val="single" w:sz="12" w:space="0" w:color="000000"/>
            </w:tcBorders>
            <w:vAlign w:val="bottom"/>
          </w:tcPr>
          <w:p w14:paraId="482B1E1F" w14:textId="77777777" w:rsidR="00D83E33" w:rsidRPr="00D95E75" w:rsidRDefault="00D83E33">
            <w:pPr>
              <w:widowControl w:val="0"/>
              <w:pBdr>
                <w:top w:val="nil"/>
                <w:left w:val="nil"/>
                <w:bottom w:val="nil"/>
                <w:right w:val="nil"/>
                <w:between w:val="nil"/>
              </w:pBdr>
              <w:jc w:val="right"/>
              <w:rPr>
                <w:color w:val="000000"/>
              </w:rPr>
            </w:pPr>
          </w:p>
        </w:tc>
        <w:tc>
          <w:tcPr>
            <w:tcW w:w="692" w:type="pct"/>
            <w:tcBorders>
              <w:bottom w:val="single" w:sz="12" w:space="0" w:color="000000"/>
            </w:tcBorders>
            <w:vAlign w:val="bottom"/>
          </w:tcPr>
          <w:p w14:paraId="392F707E" w14:textId="77777777" w:rsidR="00D83E33" w:rsidRPr="00D95E75" w:rsidRDefault="00D83E33">
            <w:pPr>
              <w:widowControl w:val="0"/>
              <w:pBdr>
                <w:top w:val="nil"/>
                <w:left w:val="nil"/>
                <w:bottom w:val="nil"/>
                <w:right w:val="nil"/>
                <w:between w:val="nil"/>
              </w:pBdr>
              <w:jc w:val="right"/>
              <w:rPr>
                <w:color w:val="000000"/>
              </w:rPr>
            </w:pPr>
          </w:p>
        </w:tc>
      </w:tr>
    </w:tbl>
    <w:p w14:paraId="7CD42400" w14:textId="684587EB" w:rsidR="00D83E33" w:rsidRPr="001B330E" w:rsidRDefault="00BC4072" w:rsidP="00071B94">
      <w:pPr>
        <w:widowControl w:val="0"/>
        <w:pBdr>
          <w:top w:val="nil"/>
          <w:left w:val="nil"/>
          <w:bottom w:val="nil"/>
          <w:right w:val="nil"/>
          <w:between w:val="nil"/>
        </w:pBdr>
        <w:spacing w:before="200" w:after="200"/>
        <w:jc w:val="both"/>
        <w:rPr>
          <w:b/>
          <w:spacing w:val="-4"/>
        </w:rPr>
      </w:pPr>
      <w:r>
        <w:rPr>
          <w:color w:val="000000"/>
          <w:sz w:val="20"/>
          <w:szCs w:val="20"/>
        </w:rPr>
        <w:t xml:space="preserve">Short-term bonuses fall due wholly within twelve months after the end of the period in which management rendered the related services. </w:t>
      </w:r>
    </w:p>
    <w:p w14:paraId="71760EE1" w14:textId="77777777" w:rsidR="00D83E33" w:rsidRPr="001B330E" w:rsidRDefault="00BC4072" w:rsidP="001B330E">
      <w:pPr>
        <w:widowControl w:val="0"/>
        <w:pBdr>
          <w:top w:val="nil"/>
          <w:left w:val="nil"/>
          <w:bottom w:val="nil"/>
          <w:right w:val="nil"/>
          <w:between w:val="nil"/>
        </w:pBdr>
        <w:spacing w:before="200" w:after="200" w:line="235" w:lineRule="auto"/>
        <w:jc w:val="both"/>
        <w:rPr>
          <w:color w:val="000000"/>
          <w:spacing w:val="-4"/>
          <w:sz w:val="20"/>
          <w:szCs w:val="20"/>
        </w:rPr>
      </w:pPr>
      <w:r w:rsidRPr="001B330E">
        <w:rPr>
          <w:color w:val="000000"/>
          <w:spacing w:val="-4"/>
          <w:sz w:val="20"/>
          <w:szCs w:val="20"/>
        </w:rPr>
        <w:t xml:space="preserve">Commitments and contingent obligations towards key management personnel are as follows: </w:t>
      </w:r>
    </w:p>
    <w:tbl>
      <w:tblPr>
        <w:tblStyle w:val="affffffffffffffffff"/>
        <w:tblW w:w="5000" w:type="pct"/>
        <w:tblLayout w:type="fixed"/>
        <w:tblLook w:val="0000" w:firstRow="0" w:lastRow="0" w:firstColumn="0" w:lastColumn="0" w:noHBand="0" w:noVBand="0"/>
      </w:tblPr>
      <w:tblGrid>
        <w:gridCol w:w="6763"/>
        <w:gridCol w:w="1297"/>
        <w:gridCol w:w="1295"/>
      </w:tblGrid>
      <w:tr w:rsidR="00D83E33" w:rsidRPr="00283A73" w14:paraId="5C0667D7" w14:textId="77777777" w:rsidTr="001B330E">
        <w:trPr>
          <w:trHeight w:val="23"/>
        </w:trPr>
        <w:tc>
          <w:tcPr>
            <w:tcW w:w="3615" w:type="pct"/>
            <w:tcBorders>
              <w:bottom w:val="single" w:sz="4" w:space="0" w:color="000000"/>
            </w:tcBorders>
            <w:vAlign w:val="bottom"/>
          </w:tcPr>
          <w:p w14:paraId="5925C9BE" w14:textId="742FE033" w:rsidR="00D83E33" w:rsidRPr="001B330E" w:rsidRDefault="00313B4D" w:rsidP="001B330E">
            <w:pPr>
              <w:widowControl w:val="0"/>
              <w:pBdr>
                <w:top w:val="nil"/>
                <w:left w:val="nil"/>
                <w:bottom w:val="nil"/>
                <w:right w:val="nil"/>
                <w:between w:val="nil"/>
              </w:pBdr>
              <w:spacing w:line="235" w:lineRule="auto"/>
              <w:ind w:left="113" w:hanging="113"/>
              <w:rPr>
                <w:b/>
                <w:i/>
                <w:color w:val="000000"/>
                <w:spacing w:val="-4"/>
              </w:rPr>
            </w:pPr>
            <w:r>
              <w:rPr>
                <w:i/>
                <w:color w:val="000000"/>
                <w:spacing w:val="-4"/>
              </w:rPr>
              <w:t xml:space="preserve">In thousands of </w:t>
            </w:r>
            <w:r w:rsidR="002649EE">
              <w:rPr>
                <w:i/>
                <w:color w:val="000000"/>
                <w:spacing w:val="-4"/>
              </w:rPr>
              <w:t>EUR</w:t>
            </w:r>
          </w:p>
        </w:tc>
        <w:tc>
          <w:tcPr>
            <w:tcW w:w="693" w:type="pct"/>
            <w:tcBorders>
              <w:bottom w:val="single" w:sz="4" w:space="0" w:color="000000"/>
            </w:tcBorders>
            <w:vAlign w:val="bottom"/>
          </w:tcPr>
          <w:p w14:paraId="19B96F8B" w14:textId="7F883DE9" w:rsidR="00D83E33" w:rsidRPr="001B330E" w:rsidRDefault="00541EBC" w:rsidP="001B330E">
            <w:pPr>
              <w:widowControl w:val="0"/>
              <w:pBdr>
                <w:top w:val="nil"/>
                <w:left w:val="nil"/>
                <w:bottom w:val="nil"/>
                <w:right w:val="nil"/>
                <w:between w:val="nil"/>
              </w:pBdr>
              <w:spacing w:line="235" w:lineRule="auto"/>
              <w:jc w:val="right"/>
              <w:rPr>
                <w:b/>
                <w:color w:val="000000"/>
                <w:spacing w:val="-4"/>
              </w:rPr>
            </w:pPr>
            <w:r>
              <w:rPr>
                <w:b/>
                <w:color w:val="000000"/>
                <w:spacing w:val="-4"/>
              </w:rPr>
              <w:t>2024</w:t>
            </w:r>
          </w:p>
        </w:tc>
        <w:tc>
          <w:tcPr>
            <w:tcW w:w="692" w:type="pct"/>
            <w:tcBorders>
              <w:bottom w:val="single" w:sz="4" w:space="0" w:color="000000"/>
            </w:tcBorders>
            <w:vAlign w:val="bottom"/>
          </w:tcPr>
          <w:p w14:paraId="79F8E216" w14:textId="28BC1B0B" w:rsidR="00D83E33" w:rsidRPr="001B330E" w:rsidRDefault="00541EBC" w:rsidP="001B330E">
            <w:pPr>
              <w:widowControl w:val="0"/>
              <w:pBdr>
                <w:top w:val="nil"/>
                <w:left w:val="nil"/>
                <w:bottom w:val="nil"/>
                <w:right w:val="nil"/>
                <w:between w:val="nil"/>
              </w:pBdr>
              <w:spacing w:line="235" w:lineRule="auto"/>
              <w:jc w:val="right"/>
              <w:rPr>
                <w:b/>
                <w:color w:val="000000"/>
                <w:spacing w:val="-4"/>
              </w:rPr>
            </w:pPr>
            <w:r>
              <w:rPr>
                <w:b/>
                <w:color w:val="000000"/>
                <w:spacing w:val="-4"/>
              </w:rPr>
              <w:t>2023</w:t>
            </w:r>
          </w:p>
        </w:tc>
      </w:tr>
      <w:tr w:rsidR="00D83E33" w:rsidRPr="00283A73" w14:paraId="790AADD6" w14:textId="77777777" w:rsidTr="001B330E">
        <w:trPr>
          <w:trHeight w:val="23"/>
        </w:trPr>
        <w:tc>
          <w:tcPr>
            <w:tcW w:w="3615" w:type="pct"/>
            <w:vAlign w:val="bottom"/>
          </w:tcPr>
          <w:p w14:paraId="7CCA9B10" w14:textId="77777777" w:rsidR="00D83E33" w:rsidRPr="001B330E" w:rsidRDefault="00BC4072" w:rsidP="001B330E">
            <w:pPr>
              <w:widowControl w:val="0"/>
              <w:spacing w:line="235" w:lineRule="auto"/>
              <w:ind w:left="113" w:hanging="113"/>
              <w:rPr>
                <w:b/>
                <w:spacing w:val="-4"/>
              </w:rPr>
            </w:pPr>
            <w:r w:rsidRPr="001B330E">
              <w:rPr>
                <w:b/>
                <w:spacing w:val="-4"/>
              </w:rPr>
              <w:t xml:space="preserve"> </w:t>
            </w:r>
          </w:p>
        </w:tc>
        <w:tc>
          <w:tcPr>
            <w:tcW w:w="693" w:type="pct"/>
            <w:vAlign w:val="bottom"/>
          </w:tcPr>
          <w:p w14:paraId="03ABAD9A"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c>
          <w:tcPr>
            <w:tcW w:w="692" w:type="pct"/>
            <w:vAlign w:val="bottom"/>
          </w:tcPr>
          <w:p w14:paraId="6C2F98ED" w14:textId="77777777" w:rsidR="00D83E33" w:rsidRPr="001B330E" w:rsidRDefault="00D83E33" w:rsidP="001B330E">
            <w:pPr>
              <w:widowControl w:val="0"/>
              <w:pBdr>
                <w:top w:val="nil"/>
                <w:left w:val="nil"/>
                <w:bottom w:val="nil"/>
                <w:right w:val="nil"/>
                <w:between w:val="nil"/>
              </w:pBdr>
              <w:spacing w:line="235" w:lineRule="auto"/>
              <w:jc w:val="right"/>
              <w:rPr>
                <w:b/>
                <w:color w:val="000000"/>
                <w:spacing w:val="-4"/>
              </w:rPr>
            </w:pPr>
          </w:p>
        </w:tc>
      </w:tr>
      <w:tr w:rsidR="00D83E33" w:rsidRPr="00283A73" w14:paraId="2197B0A5" w14:textId="77777777" w:rsidTr="001B330E">
        <w:trPr>
          <w:trHeight w:val="23"/>
        </w:trPr>
        <w:tc>
          <w:tcPr>
            <w:tcW w:w="3615" w:type="pct"/>
            <w:vAlign w:val="bottom"/>
          </w:tcPr>
          <w:p w14:paraId="29BBE0C2" w14:textId="77777777" w:rsidR="00D83E33" w:rsidRPr="001B330E" w:rsidRDefault="00BC4072" w:rsidP="001B330E">
            <w:pPr>
              <w:widowControl w:val="0"/>
              <w:pBdr>
                <w:top w:val="nil"/>
                <w:left w:val="nil"/>
                <w:bottom w:val="nil"/>
                <w:right w:val="nil"/>
                <w:between w:val="nil"/>
              </w:pBdr>
              <w:spacing w:line="235" w:lineRule="auto"/>
              <w:ind w:left="113" w:hanging="113"/>
              <w:rPr>
                <w:i/>
                <w:color w:val="000000"/>
                <w:spacing w:val="-4"/>
              </w:rPr>
            </w:pPr>
            <w:r w:rsidRPr="001B330E">
              <w:rPr>
                <w:i/>
                <w:color w:val="000000"/>
                <w:spacing w:val="-4"/>
              </w:rPr>
              <w:t>Post-employment benefits:</w:t>
            </w:r>
          </w:p>
        </w:tc>
        <w:tc>
          <w:tcPr>
            <w:tcW w:w="693" w:type="pct"/>
            <w:vAlign w:val="bottom"/>
          </w:tcPr>
          <w:p w14:paraId="27AA2940"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45FD4D9F"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199C03DF" w14:textId="77777777" w:rsidTr="001B330E">
        <w:trPr>
          <w:trHeight w:val="23"/>
        </w:trPr>
        <w:tc>
          <w:tcPr>
            <w:tcW w:w="3615" w:type="pct"/>
            <w:vAlign w:val="bottom"/>
          </w:tcPr>
          <w:p w14:paraId="53606249"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Committed future retirement benefits not yet recognised as an expense</w:t>
            </w:r>
          </w:p>
        </w:tc>
        <w:tc>
          <w:tcPr>
            <w:tcW w:w="693" w:type="pct"/>
            <w:vAlign w:val="bottom"/>
          </w:tcPr>
          <w:p w14:paraId="33A77B2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3B2BC7C7"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5526C42F" w14:textId="77777777" w:rsidTr="001B330E">
        <w:trPr>
          <w:trHeight w:val="23"/>
        </w:trPr>
        <w:tc>
          <w:tcPr>
            <w:tcW w:w="3615" w:type="pct"/>
            <w:vAlign w:val="bottom"/>
          </w:tcPr>
          <w:p w14:paraId="114D4F0B"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Committed future termination indemnity benefits not yet recognised as an expense</w:t>
            </w:r>
          </w:p>
        </w:tc>
        <w:tc>
          <w:tcPr>
            <w:tcW w:w="693" w:type="pct"/>
            <w:vAlign w:val="bottom"/>
          </w:tcPr>
          <w:p w14:paraId="5DDE01FB"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28FEE1B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58287A70" w14:textId="77777777" w:rsidTr="001B330E">
        <w:trPr>
          <w:trHeight w:val="23"/>
        </w:trPr>
        <w:tc>
          <w:tcPr>
            <w:tcW w:w="3615" w:type="pct"/>
            <w:vAlign w:val="bottom"/>
          </w:tcPr>
          <w:p w14:paraId="4B412593"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b/>
                <w:color w:val="000000"/>
                <w:spacing w:val="-4"/>
              </w:rPr>
              <w:t> </w:t>
            </w:r>
          </w:p>
        </w:tc>
        <w:tc>
          <w:tcPr>
            <w:tcW w:w="693" w:type="pct"/>
            <w:vAlign w:val="bottom"/>
          </w:tcPr>
          <w:p w14:paraId="1D4B64D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7067C61F"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1C9CE6E3" w14:textId="77777777" w:rsidTr="001B330E">
        <w:trPr>
          <w:trHeight w:val="23"/>
        </w:trPr>
        <w:tc>
          <w:tcPr>
            <w:tcW w:w="3615" w:type="pct"/>
            <w:vAlign w:val="bottom"/>
          </w:tcPr>
          <w:p w14:paraId="23EDF92D"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i/>
                <w:color w:val="000000"/>
                <w:spacing w:val="-4"/>
              </w:rPr>
              <w:t>Other long-term employee benefits:</w:t>
            </w:r>
          </w:p>
        </w:tc>
        <w:tc>
          <w:tcPr>
            <w:tcW w:w="693" w:type="pct"/>
            <w:vAlign w:val="bottom"/>
          </w:tcPr>
          <w:p w14:paraId="7B7CE8B1"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01F7DB1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10489A85" w14:textId="77777777" w:rsidTr="001B330E">
        <w:trPr>
          <w:trHeight w:val="23"/>
        </w:trPr>
        <w:tc>
          <w:tcPr>
            <w:tcW w:w="3615" w:type="pct"/>
            <w:vAlign w:val="bottom"/>
          </w:tcPr>
          <w:p w14:paraId="4A524AAA"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Committed long-term bonuses to be provided in exchange for future services</w:t>
            </w:r>
          </w:p>
        </w:tc>
        <w:tc>
          <w:tcPr>
            <w:tcW w:w="693" w:type="pct"/>
            <w:vAlign w:val="bottom"/>
          </w:tcPr>
          <w:p w14:paraId="52072F1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78A5EB81"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011BE729" w14:textId="77777777" w:rsidTr="001B330E">
        <w:trPr>
          <w:trHeight w:val="23"/>
        </w:trPr>
        <w:tc>
          <w:tcPr>
            <w:tcW w:w="3615" w:type="pct"/>
            <w:vAlign w:val="bottom"/>
          </w:tcPr>
          <w:p w14:paraId="4C5C8E19"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Committed jubilee benefits not yet recognised as an expense</w:t>
            </w:r>
          </w:p>
        </w:tc>
        <w:tc>
          <w:tcPr>
            <w:tcW w:w="693" w:type="pct"/>
            <w:vAlign w:val="bottom"/>
          </w:tcPr>
          <w:p w14:paraId="15C42E40"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222F069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50B5D80D" w14:textId="77777777" w:rsidTr="001B330E">
        <w:trPr>
          <w:trHeight w:val="23"/>
        </w:trPr>
        <w:tc>
          <w:tcPr>
            <w:tcW w:w="3615" w:type="pct"/>
            <w:vAlign w:val="bottom"/>
          </w:tcPr>
          <w:p w14:paraId="267FB463"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b/>
                <w:color w:val="000000"/>
                <w:spacing w:val="-4"/>
              </w:rPr>
              <w:t> </w:t>
            </w:r>
          </w:p>
        </w:tc>
        <w:tc>
          <w:tcPr>
            <w:tcW w:w="693" w:type="pct"/>
            <w:vAlign w:val="bottom"/>
          </w:tcPr>
          <w:p w14:paraId="0C37FF0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5B4066D5"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59A4427C" w14:textId="77777777" w:rsidTr="001B330E">
        <w:trPr>
          <w:trHeight w:val="23"/>
        </w:trPr>
        <w:tc>
          <w:tcPr>
            <w:tcW w:w="3615" w:type="pct"/>
            <w:vAlign w:val="bottom"/>
          </w:tcPr>
          <w:p w14:paraId="6B2E44A2"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i/>
                <w:color w:val="000000"/>
                <w:spacing w:val="-4"/>
              </w:rPr>
              <w:t>Share-based compensation:</w:t>
            </w:r>
          </w:p>
        </w:tc>
        <w:tc>
          <w:tcPr>
            <w:tcW w:w="693" w:type="pct"/>
            <w:vAlign w:val="bottom"/>
          </w:tcPr>
          <w:p w14:paraId="690BF9D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0B7D1BE8"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575A2D0C" w14:textId="77777777" w:rsidTr="001B330E">
        <w:trPr>
          <w:trHeight w:val="23"/>
        </w:trPr>
        <w:tc>
          <w:tcPr>
            <w:tcW w:w="3615" w:type="pct"/>
            <w:vAlign w:val="bottom"/>
          </w:tcPr>
          <w:p w14:paraId="0D977986"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Unamortised balance of cash-settled share-based compensation obligation</w:t>
            </w:r>
          </w:p>
        </w:tc>
        <w:tc>
          <w:tcPr>
            <w:tcW w:w="693" w:type="pct"/>
            <w:vAlign w:val="bottom"/>
          </w:tcPr>
          <w:p w14:paraId="071DC16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1B9251D6"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14D1C9F5" w14:textId="77777777" w:rsidTr="001B330E">
        <w:trPr>
          <w:trHeight w:val="23"/>
        </w:trPr>
        <w:tc>
          <w:tcPr>
            <w:tcW w:w="3615" w:type="pct"/>
            <w:vAlign w:val="bottom"/>
          </w:tcPr>
          <w:p w14:paraId="397F08F1" w14:textId="6F84E6EB"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 xml:space="preserve">- Unamortised balance of equity-settled share-based compensation </w:t>
            </w:r>
          </w:p>
        </w:tc>
        <w:tc>
          <w:tcPr>
            <w:tcW w:w="693" w:type="pct"/>
            <w:vAlign w:val="bottom"/>
          </w:tcPr>
          <w:p w14:paraId="5986C863"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22C258B5"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2491A998" w14:textId="77777777" w:rsidTr="001B330E">
        <w:trPr>
          <w:trHeight w:val="23"/>
        </w:trPr>
        <w:tc>
          <w:tcPr>
            <w:tcW w:w="3615" w:type="pct"/>
            <w:vAlign w:val="bottom"/>
          </w:tcPr>
          <w:p w14:paraId="4F3D8A4E"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b/>
                <w:color w:val="000000"/>
                <w:spacing w:val="-4"/>
              </w:rPr>
              <w:t> </w:t>
            </w:r>
          </w:p>
        </w:tc>
        <w:tc>
          <w:tcPr>
            <w:tcW w:w="693" w:type="pct"/>
            <w:vAlign w:val="bottom"/>
          </w:tcPr>
          <w:p w14:paraId="06EFA510"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329BF84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37CD30F8" w14:textId="77777777" w:rsidTr="001B330E">
        <w:trPr>
          <w:trHeight w:val="23"/>
        </w:trPr>
        <w:tc>
          <w:tcPr>
            <w:tcW w:w="3615" w:type="pct"/>
            <w:vAlign w:val="bottom"/>
          </w:tcPr>
          <w:p w14:paraId="0323FD38"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color w:val="000000"/>
                <w:spacing w:val="-4"/>
              </w:rPr>
              <w:t>Unrecognised termination benefits entitlement in case of involuntary termination of employment</w:t>
            </w:r>
          </w:p>
        </w:tc>
        <w:tc>
          <w:tcPr>
            <w:tcW w:w="693" w:type="pct"/>
            <w:vAlign w:val="bottom"/>
          </w:tcPr>
          <w:p w14:paraId="16B60E6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6152928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01EBDEFF" w14:textId="77777777" w:rsidTr="001B330E">
        <w:trPr>
          <w:trHeight w:val="23"/>
        </w:trPr>
        <w:tc>
          <w:tcPr>
            <w:tcW w:w="3615" w:type="pct"/>
            <w:tcBorders>
              <w:bottom w:val="single" w:sz="4" w:space="0" w:color="000000"/>
            </w:tcBorders>
            <w:vAlign w:val="bottom"/>
          </w:tcPr>
          <w:p w14:paraId="55DC7CB3"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b/>
                <w:color w:val="000000"/>
                <w:spacing w:val="-4"/>
              </w:rPr>
              <w:t> </w:t>
            </w:r>
          </w:p>
        </w:tc>
        <w:tc>
          <w:tcPr>
            <w:tcW w:w="693" w:type="pct"/>
            <w:tcBorders>
              <w:bottom w:val="single" w:sz="4" w:space="0" w:color="000000"/>
            </w:tcBorders>
            <w:vAlign w:val="bottom"/>
          </w:tcPr>
          <w:p w14:paraId="06A8BA5E"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tcBorders>
              <w:bottom w:val="single" w:sz="4" w:space="0" w:color="000000"/>
            </w:tcBorders>
            <w:vAlign w:val="bottom"/>
          </w:tcPr>
          <w:p w14:paraId="12026BBD"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7CE8F14F" w14:textId="77777777" w:rsidTr="001B330E">
        <w:trPr>
          <w:trHeight w:val="23"/>
        </w:trPr>
        <w:tc>
          <w:tcPr>
            <w:tcW w:w="3615" w:type="pct"/>
            <w:tcBorders>
              <w:top w:val="single" w:sz="4" w:space="0" w:color="000000"/>
            </w:tcBorders>
            <w:vAlign w:val="bottom"/>
          </w:tcPr>
          <w:p w14:paraId="50D68BFE"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b/>
                <w:color w:val="000000"/>
                <w:spacing w:val="-4"/>
              </w:rPr>
              <w:t> </w:t>
            </w:r>
          </w:p>
        </w:tc>
        <w:tc>
          <w:tcPr>
            <w:tcW w:w="693" w:type="pct"/>
            <w:tcBorders>
              <w:top w:val="single" w:sz="4" w:space="0" w:color="000000"/>
            </w:tcBorders>
            <w:vAlign w:val="bottom"/>
          </w:tcPr>
          <w:p w14:paraId="51C5615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tcBorders>
              <w:top w:val="single" w:sz="4" w:space="0" w:color="000000"/>
            </w:tcBorders>
            <w:vAlign w:val="bottom"/>
          </w:tcPr>
          <w:p w14:paraId="1C3373A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060D7256" w14:textId="77777777" w:rsidTr="001B330E">
        <w:trPr>
          <w:trHeight w:val="23"/>
        </w:trPr>
        <w:tc>
          <w:tcPr>
            <w:tcW w:w="3615" w:type="pct"/>
            <w:vAlign w:val="bottom"/>
          </w:tcPr>
          <w:p w14:paraId="0F7E5884" w14:textId="77777777" w:rsidR="00D83E33" w:rsidRPr="001B330E" w:rsidRDefault="00BC4072" w:rsidP="001B330E">
            <w:pPr>
              <w:widowControl w:val="0"/>
              <w:pBdr>
                <w:top w:val="nil"/>
                <w:left w:val="nil"/>
                <w:bottom w:val="nil"/>
                <w:right w:val="nil"/>
                <w:between w:val="nil"/>
              </w:pBdr>
              <w:spacing w:line="235" w:lineRule="auto"/>
              <w:ind w:left="113" w:hanging="113"/>
              <w:rPr>
                <w:b/>
                <w:color w:val="000000"/>
                <w:spacing w:val="-4"/>
              </w:rPr>
            </w:pPr>
            <w:r w:rsidRPr="001B330E">
              <w:rPr>
                <w:b/>
                <w:color w:val="000000"/>
                <w:spacing w:val="-4"/>
              </w:rPr>
              <w:t>Total commitments and contingent liabilities to key management personnel</w:t>
            </w:r>
          </w:p>
        </w:tc>
        <w:tc>
          <w:tcPr>
            <w:tcW w:w="693" w:type="pct"/>
            <w:vAlign w:val="bottom"/>
          </w:tcPr>
          <w:p w14:paraId="7D167A52"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vAlign w:val="bottom"/>
          </w:tcPr>
          <w:p w14:paraId="625F88BC"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r w:rsidR="00D83E33" w:rsidRPr="00283A73" w14:paraId="09AA6AF0" w14:textId="77777777" w:rsidTr="001B330E">
        <w:trPr>
          <w:trHeight w:val="23"/>
        </w:trPr>
        <w:tc>
          <w:tcPr>
            <w:tcW w:w="3615" w:type="pct"/>
            <w:tcBorders>
              <w:bottom w:val="single" w:sz="12" w:space="0" w:color="000000"/>
            </w:tcBorders>
            <w:vAlign w:val="bottom"/>
          </w:tcPr>
          <w:p w14:paraId="4CE7FF25" w14:textId="77777777" w:rsidR="00D83E33" w:rsidRPr="001B330E" w:rsidRDefault="00BC4072" w:rsidP="001B330E">
            <w:pPr>
              <w:widowControl w:val="0"/>
              <w:pBdr>
                <w:top w:val="nil"/>
                <w:left w:val="nil"/>
                <w:bottom w:val="nil"/>
                <w:right w:val="nil"/>
                <w:between w:val="nil"/>
              </w:pBdr>
              <w:spacing w:line="235" w:lineRule="auto"/>
              <w:ind w:left="113" w:hanging="113"/>
              <w:rPr>
                <w:color w:val="000000"/>
                <w:spacing w:val="-4"/>
              </w:rPr>
            </w:pPr>
            <w:r w:rsidRPr="001B330E">
              <w:rPr>
                <w:b/>
                <w:color w:val="000000"/>
                <w:spacing w:val="-4"/>
              </w:rPr>
              <w:t> </w:t>
            </w:r>
          </w:p>
        </w:tc>
        <w:tc>
          <w:tcPr>
            <w:tcW w:w="693" w:type="pct"/>
            <w:tcBorders>
              <w:bottom w:val="single" w:sz="12" w:space="0" w:color="000000"/>
            </w:tcBorders>
            <w:vAlign w:val="bottom"/>
          </w:tcPr>
          <w:p w14:paraId="7B34073A"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c>
          <w:tcPr>
            <w:tcW w:w="692" w:type="pct"/>
            <w:tcBorders>
              <w:bottom w:val="single" w:sz="12" w:space="0" w:color="000000"/>
            </w:tcBorders>
            <w:vAlign w:val="bottom"/>
          </w:tcPr>
          <w:p w14:paraId="160645A4" w14:textId="77777777" w:rsidR="00D83E33" w:rsidRPr="001B330E" w:rsidRDefault="00D83E33" w:rsidP="001B330E">
            <w:pPr>
              <w:widowControl w:val="0"/>
              <w:pBdr>
                <w:top w:val="nil"/>
                <w:left w:val="nil"/>
                <w:bottom w:val="nil"/>
                <w:right w:val="nil"/>
                <w:between w:val="nil"/>
              </w:pBdr>
              <w:spacing w:line="235" w:lineRule="auto"/>
              <w:jc w:val="right"/>
              <w:rPr>
                <w:color w:val="000000"/>
                <w:spacing w:val="-4"/>
              </w:rPr>
            </w:pPr>
          </w:p>
        </w:tc>
      </w:tr>
    </w:tbl>
    <w:p w14:paraId="7333FEDD" w14:textId="022D2903" w:rsidR="00D83E33" w:rsidRPr="001B330E" w:rsidRDefault="00D83E33" w:rsidP="001B330E">
      <w:pPr>
        <w:widowControl w:val="0"/>
        <w:pBdr>
          <w:top w:val="nil"/>
          <w:left w:val="nil"/>
          <w:bottom w:val="nil"/>
          <w:right w:val="nil"/>
          <w:between w:val="nil"/>
        </w:pBdr>
        <w:spacing w:before="200" w:after="200" w:line="235" w:lineRule="auto"/>
        <w:jc w:val="both"/>
        <w:rPr>
          <w:i/>
          <w:color w:val="FF0000"/>
          <w:spacing w:val="-4"/>
          <w:sz w:val="20"/>
          <w:szCs w:val="20"/>
        </w:rPr>
      </w:pPr>
    </w:p>
    <w:p w14:paraId="2CC54924" w14:textId="1278ECA1" w:rsidR="00D83E33" w:rsidRPr="001B330E" w:rsidRDefault="00BC4072" w:rsidP="001B330E">
      <w:pPr>
        <w:widowControl w:val="0"/>
        <w:pBdr>
          <w:top w:val="nil"/>
          <w:left w:val="nil"/>
          <w:bottom w:val="nil"/>
          <w:right w:val="nil"/>
          <w:between w:val="nil"/>
        </w:pBdr>
        <w:spacing w:before="200" w:after="200" w:line="235" w:lineRule="auto"/>
        <w:jc w:val="both"/>
        <w:rPr>
          <w:color w:val="000000"/>
          <w:spacing w:val="-4"/>
          <w:sz w:val="20"/>
          <w:szCs w:val="20"/>
        </w:rPr>
      </w:pPr>
      <w:r w:rsidRPr="001B330E">
        <w:rPr>
          <w:color w:val="000000"/>
          <w:spacing w:val="-4"/>
          <w:sz w:val="20"/>
          <w:szCs w:val="20"/>
        </w:rPr>
        <w:t>As of 31</w:t>
      </w:r>
      <w:r w:rsidR="00181687" w:rsidRPr="001B330E">
        <w:rPr>
          <w:color w:val="000000"/>
          <w:spacing w:val="-4"/>
          <w:sz w:val="20"/>
          <w:szCs w:val="20"/>
        </w:rPr>
        <w:t> December </w:t>
      </w:r>
      <w:r w:rsidR="00541EBC">
        <w:rPr>
          <w:color w:val="000000"/>
          <w:spacing w:val="-4"/>
          <w:sz w:val="20"/>
          <w:szCs w:val="20"/>
        </w:rPr>
        <w:t>2024</w:t>
      </w:r>
      <w:r w:rsidRPr="001B330E">
        <w:rPr>
          <w:color w:val="000000"/>
          <w:spacing w:val="-4"/>
          <w:sz w:val="20"/>
          <w:szCs w:val="20"/>
        </w:rPr>
        <w:t xml:space="preserve"> and </w:t>
      </w:r>
      <w:r w:rsidR="00541EBC">
        <w:rPr>
          <w:color w:val="000000"/>
          <w:spacing w:val="-4"/>
          <w:sz w:val="20"/>
          <w:szCs w:val="20"/>
        </w:rPr>
        <w:t>2023</w:t>
      </w:r>
      <w:r w:rsidRPr="001B330E">
        <w:rPr>
          <w:color w:val="000000"/>
          <w:spacing w:val="-4"/>
          <w:sz w:val="20"/>
          <w:szCs w:val="20"/>
        </w:rPr>
        <w:t xml:space="preserve">, the Bank’s immediate [and ultimate] parent company was _____, and the Bank was ultimately controlled by Mr _____. </w:t>
      </w:r>
    </w:p>
    <w:p w14:paraId="444F53D0" w14:textId="77777777" w:rsidR="00D83E33" w:rsidRDefault="00BC4072" w:rsidP="001B330E">
      <w:pPr>
        <w:pStyle w:val="Heading1"/>
        <w:rPr>
          <w:i/>
        </w:rPr>
      </w:pPr>
      <w:bookmarkStart w:id="127" w:name="_Toc179196054"/>
      <w:r>
        <w:lastRenderedPageBreak/>
        <w:t>Business Combinations</w:t>
      </w:r>
      <w:bookmarkEnd w:id="127"/>
      <w:r>
        <w:t xml:space="preserve"> </w:t>
      </w:r>
    </w:p>
    <w:p w14:paraId="324F3279" w14:textId="767DE586"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On _____ </w:t>
      </w:r>
      <w:r w:rsidR="00541EBC">
        <w:rPr>
          <w:color w:val="000000"/>
          <w:sz w:val="20"/>
          <w:szCs w:val="20"/>
        </w:rPr>
        <w:t>2024</w:t>
      </w:r>
      <w:r>
        <w:rPr>
          <w:color w:val="000000"/>
          <w:sz w:val="20"/>
          <w:szCs w:val="20"/>
        </w:rPr>
        <w:t>, the Group acquired _____% of the share capital of _____ and obtained control through its ability to cast a majority of votes in the general meeting of shareholders. The acquired subsidiary will increase the Group’s penetration of its chosen retail and corporate markets and is expected to improve profitability through the economies of scale.</w:t>
      </w:r>
    </w:p>
    <w:p w14:paraId="2350129E"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acquisition-date fair value of the total purchase consideration and its components are as follows:</w:t>
      </w:r>
    </w:p>
    <w:tbl>
      <w:tblPr>
        <w:tblStyle w:val="affffffffffffffffff0"/>
        <w:tblW w:w="5000" w:type="pct"/>
        <w:tblLayout w:type="fixed"/>
        <w:tblLook w:val="0000" w:firstRow="0" w:lastRow="0" w:firstColumn="0" w:lastColumn="0" w:noHBand="0" w:noVBand="0"/>
      </w:tblPr>
      <w:tblGrid>
        <w:gridCol w:w="7512"/>
        <w:gridCol w:w="1843"/>
      </w:tblGrid>
      <w:tr w:rsidR="00D83E33" w:rsidRPr="00D95E75" w14:paraId="0F1924AE" w14:textId="77777777" w:rsidTr="001B330E">
        <w:trPr>
          <w:trHeight w:val="23"/>
        </w:trPr>
        <w:tc>
          <w:tcPr>
            <w:tcW w:w="4015" w:type="pct"/>
            <w:tcBorders>
              <w:bottom w:val="single" w:sz="4" w:space="0" w:color="000000"/>
            </w:tcBorders>
            <w:vAlign w:val="bottom"/>
          </w:tcPr>
          <w:p w14:paraId="51E6F5E3" w14:textId="1B4A13FF" w:rsidR="00D83E33" w:rsidRPr="00D95E75"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985" w:type="pct"/>
            <w:tcBorders>
              <w:bottom w:val="single" w:sz="4" w:space="0" w:color="000000"/>
            </w:tcBorders>
            <w:vAlign w:val="bottom"/>
          </w:tcPr>
          <w:p w14:paraId="2473F20A" w14:textId="77777777" w:rsidR="00D83E33" w:rsidRPr="00D95E75" w:rsidRDefault="00D83E33">
            <w:pPr>
              <w:widowControl w:val="0"/>
              <w:pBdr>
                <w:top w:val="nil"/>
                <w:left w:val="nil"/>
                <w:bottom w:val="nil"/>
                <w:right w:val="nil"/>
                <w:between w:val="nil"/>
              </w:pBdr>
              <w:jc w:val="right"/>
              <w:rPr>
                <w:i/>
                <w:color w:val="000000"/>
              </w:rPr>
            </w:pPr>
          </w:p>
        </w:tc>
      </w:tr>
      <w:tr w:rsidR="00D83E33" w:rsidRPr="00D95E75" w14:paraId="5B9851A0" w14:textId="77777777" w:rsidTr="001B330E">
        <w:trPr>
          <w:trHeight w:val="23"/>
        </w:trPr>
        <w:tc>
          <w:tcPr>
            <w:tcW w:w="4015" w:type="pct"/>
            <w:tcBorders>
              <w:top w:val="single" w:sz="4" w:space="0" w:color="000000"/>
            </w:tcBorders>
            <w:vAlign w:val="bottom"/>
          </w:tcPr>
          <w:p w14:paraId="52A0DFC8"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top w:val="single" w:sz="4" w:space="0" w:color="000000"/>
            </w:tcBorders>
            <w:vAlign w:val="bottom"/>
          </w:tcPr>
          <w:p w14:paraId="00B5DAD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D613BCC" w14:textId="77777777" w:rsidTr="001B330E">
        <w:trPr>
          <w:trHeight w:val="23"/>
        </w:trPr>
        <w:tc>
          <w:tcPr>
            <w:tcW w:w="4015" w:type="pct"/>
            <w:vAlign w:val="bottom"/>
          </w:tcPr>
          <w:p w14:paraId="7D804ED3"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Cash consideration paid</w:t>
            </w:r>
          </w:p>
        </w:tc>
        <w:tc>
          <w:tcPr>
            <w:tcW w:w="985" w:type="pct"/>
            <w:vAlign w:val="bottom"/>
          </w:tcPr>
          <w:p w14:paraId="3E5CE8F1"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63B68ED2" w14:textId="77777777" w:rsidTr="001B330E">
        <w:trPr>
          <w:trHeight w:val="23"/>
        </w:trPr>
        <w:tc>
          <w:tcPr>
            <w:tcW w:w="4015" w:type="pct"/>
            <w:vAlign w:val="bottom"/>
          </w:tcPr>
          <w:p w14:paraId="663FB735"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Fair value of new issued shares of the acquirer </w:t>
            </w:r>
          </w:p>
        </w:tc>
        <w:tc>
          <w:tcPr>
            <w:tcW w:w="985" w:type="pct"/>
            <w:vAlign w:val="bottom"/>
          </w:tcPr>
          <w:p w14:paraId="35644BA3"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8E371C0" w14:textId="77777777" w:rsidTr="001B330E">
        <w:trPr>
          <w:trHeight w:val="23"/>
        </w:trPr>
        <w:tc>
          <w:tcPr>
            <w:tcW w:w="4015" w:type="pct"/>
            <w:vAlign w:val="bottom"/>
          </w:tcPr>
          <w:p w14:paraId="6D91E9A0"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Tangible or intangible assets of acquirer transferred</w:t>
            </w:r>
          </w:p>
        </w:tc>
        <w:tc>
          <w:tcPr>
            <w:tcW w:w="985" w:type="pct"/>
            <w:vAlign w:val="bottom"/>
          </w:tcPr>
          <w:p w14:paraId="11BC891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9EBF217" w14:textId="77777777" w:rsidTr="001B330E">
        <w:trPr>
          <w:trHeight w:val="23"/>
        </w:trPr>
        <w:tc>
          <w:tcPr>
            <w:tcW w:w="4015" w:type="pct"/>
            <w:vAlign w:val="bottom"/>
          </w:tcPr>
          <w:p w14:paraId="188F900B"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Liability for contingent consideration incurred</w:t>
            </w:r>
          </w:p>
        </w:tc>
        <w:tc>
          <w:tcPr>
            <w:tcW w:w="985" w:type="pct"/>
            <w:vAlign w:val="bottom"/>
          </w:tcPr>
          <w:p w14:paraId="5695BFCD"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28E0D99" w14:textId="77777777" w:rsidTr="001B330E">
        <w:trPr>
          <w:trHeight w:val="23"/>
        </w:trPr>
        <w:tc>
          <w:tcPr>
            <w:tcW w:w="4015" w:type="pct"/>
            <w:tcBorders>
              <w:bottom w:val="single" w:sz="4" w:space="0" w:color="000000"/>
            </w:tcBorders>
            <w:vAlign w:val="bottom"/>
          </w:tcPr>
          <w:p w14:paraId="7BB3354B"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bottom w:val="single" w:sz="4" w:space="0" w:color="000000"/>
            </w:tcBorders>
            <w:vAlign w:val="bottom"/>
          </w:tcPr>
          <w:p w14:paraId="25106F6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7DB6DD4" w14:textId="77777777" w:rsidTr="001B330E">
        <w:trPr>
          <w:trHeight w:val="23"/>
        </w:trPr>
        <w:tc>
          <w:tcPr>
            <w:tcW w:w="4015" w:type="pct"/>
            <w:vAlign w:val="bottom"/>
          </w:tcPr>
          <w:p w14:paraId="1EAC57E3"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vAlign w:val="bottom"/>
          </w:tcPr>
          <w:p w14:paraId="54B466D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B2EF2DB" w14:textId="77777777" w:rsidTr="001B330E">
        <w:trPr>
          <w:trHeight w:val="23"/>
        </w:trPr>
        <w:tc>
          <w:tcPr>
            <w:tcW w:w="4015" w:type="pct"/>
            <w:vAlign w:val="bottom"/>
          </w:tcPr>
          <w:p w14:paraId="28111850"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Total consideration transferred</w:t>
            </w:r>
          </w:p>
        </w:tc>
        <w:tc>
          <w:tcPr>
            <w:tcW w:w="985" w:type="pct"/>
            <w:vAlign w:val="bottom"/>
          </w:tcPr>
          <w:p w14:paraId="32DE74AE"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1BFF774B" w14:textId="77777777" w:rsidTr="001B330E">
        <w:trPr>
          <w:trHeight w:val="23"/>
        </w:trPr>
        <w:tc>
          <w:tcPr>
            <w:tcW w:w="4015" w:type="pct"/>
            <w:tcBorders>
              <w:bottom w:val="single" w:sz="4" w:space="0" w:color="000000"/>
            </w:tcBorders>
            <w:vAlign w:val="bottom"/>
          </w:tcPr>
          <w:p w14:paraId="73278583"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color w:val="000000"/>
              </w:rPr>
              <w:t> </w:t>
            </w:r>
          </w:p>
        </w:tc>
        <w:tc>
          <w:tcPr>
            <w:tcW w:w="985" w:type="pct"/>
            <w:tcBorders>
              <w:bottom w:val="single" w:sz="4" w:space="0" w:color="000000"/>
            </w:tcBorders>
            <w:vAlign w:val="bottom"/>
          </w:tcPr>
          <w:p w14:paraId="4E39D725"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0DF564AE" w14:textId="77777777" w:rsidTr="001B330E">
        <w:trPr>
          <w:trHeight w:val="23"/>
        </w:trPr>
        <w:tc>
          <w:tcPr>
            <w:tcW w:w="4015" w:type="pct"/>
            <w:tcBorders>
              <w:top w:val="single" w:sz="4" w:space="0" w:color="000000"/>
            </w:tcBorders>
            <w:vAlign w:val="bottom"/>
          </w:tcPr>
          <w:p w14:paraId="32902B59"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color w:val="000000"/>
              </w:rPr>
              <w:t> </w:t>
            </w:r>
          </w:p>
        </w:tc>
        <w:tc>
          <w:tcPr>
            <w:tcW w:w="985" w:type="pct"/>
            <w:tcBorders>
              <w:top w:val="single" w:sz="4" w:space="0" w:color="000000"/>
            </w:tcBorders>
            <w:vAlign w:val="bottom"/>
          </w:tcPr>
          <w:p w14:paraId="5FDBCA86"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53AEFCBE" w14:textId="77777777" w:rsidTr="001B330E">
        <w:trPr>
          <w:trHeight w:val="23"/>
        </w:trPr>
        <w:tc>
          <w:tcPr>
            <w:tcW w:w="4015" w:type="pct"/>
            <w:vAlign w:val="bottom"/>
          </w:tcPr>
          <w:p w14:paraId="1A240D34"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Less remuneration for future services of the former owner</w:t>
            </w:r>
          </w:p>
        </w:tc>
        <w:tc>
          <w:tcPr>
            <w:tcW w:w="985" w:type="pct"/>
            <w:vAlign w:val="bottom"/>
          </w:tcPr>
          <w:p w14:paraId="741B3AE3"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E6148AC" w14:textId="77777777" w:rsidTr="001B330E">
        <w:trPr>
          <w:trHeight w:val="23"/>
        </w:trPr>
        <w:tc>
          <w:tcPr>
            <w:tcW w:w="4015" w:type="pct"/>
            <w:vAlign w:val="bottom"/>
          </w:tcPr>
          <w:p w14:paraId="7B22DC9C"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Less indemnification asset</w:t>
            </w:r>
          </w:p>
        </w:tc>
        <w:tc>
          <w:tcPr>
            <w:tcW w:w="985" w:type="pct"/>
            <w:vAlign w:val="bottom"/>
          </w:tcPr>
          <w:p w14:paraId="037659D7"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38E7C27" w14:textId="77777777" w:rsidTr="001B330E">
        <w:trPr>
          <w:trHeight w:val="23"/>
        </w:trPr>
        <w:tc>
          <w:tcPr>
            <w:tcW w:w="4015" w:type="pct"/>
            <w:vAlign w:val="bottom"/>
          </w:tcPr>
          <w:p w14:paraId="252DD7D6"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Investment in the acquiree prior to the acquisition </w:t>
            </w:r>
          </w:p>
        </w:tc>
        <w:tc>
          <w:tcPr>
            <w:tcW w:w="985" w:type="pct"/>
            <w:vAlign w:val="bottom"/>
          </w:tcPr>
          <w:p w14:paraId="6ABDEF3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B372637" w14:textId="77777777" w:rsidTr="001B330E">
        <w:trPr>
          <w:trHeight w:val="23"/>
        </w:trPr>
        <w:tc>
          <w:tcPr>
            <w:tcW w:w="4015" w:type="pct"/>
            <w:tcBorders>
              <w:bottom w:val="single" w:sz="4" w:space="0" w:color="000000"/>
            </w:tcBorders>
            <w:vAlign w:val="bottom"/>
          </w:tcPr>
          <w:p w14:paraId="5C3DAAF9"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bottom w:val="single" w:sz="4" w:space="0" w:color="000000"/>
            </w:tcBorders>
            <w:vAlign w:val="bottom"/>
          </w:tcPr>
          <w:p w14:paraId="44D5053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BF3F29E" w14:textId="77777777" w:rsidTr="001B330E">
        <w:trPr>
          <w:trHeight w:val="23"/>
        </w:trPr>
        <w:tc>
          <w:tcPr>
            <w:tcW w:w="4015" w:type="pct"/>
            <w:tcBorders>
              <w:top w:val="single" w:sz="4" w:space="0" w:color="000000"/>
            </w:tcBorders>
            <w:vAlign w:val="bottom"/>
          </w:tcPr>
          <w:p w14:paraId="4DC1EE23"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top w:val="single" w:sz="4" w:space="0" w:color="000000"/>
            </w:tcBorders>
            <w:vAlign w:val="bottom"/>
          </w:tcPr>
          <w:p w14:paraId="23D98C9C"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29B9D2E8" w14:textId="77777777" w:rsidTr="001B330E">
        <w:trPr>
          <w:trHeight w:val="23"/>
        </w:trPr>
        <w:tc>
          <w:tcPr>
            <w:tcW w:w="4015" w:type="pct"/>
            <w:vAlign w:val="bottom"/>
          </w:tcPr>
          <w:p w14:paraId="08AF8F36"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Total purchase consideration and previously held interest in the acquire</w:t>
            </w:r>
          </w:p>
        </w:tc>
        <w:tc>
          <w:tcPr>
            <w:tcW w:w="985" w:type="pct"/>
            <w:vAlign w:val="bottom"/>
          </w:tcPr>
          <w:p w14:paraId="5215CF2D"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59CFF86C" w14:textId="77777777" w:rsidTr="001B330E">
        <w:trPr>
          <w:trHeight w:val="23"/>
        </w:trPr>
        <w:tc>
          <w:tcPr>
            <w:tcW w:w="4015" w:type="pct"/>
            <w:tcBorders>
              <w:bottom w:val="single" w:sz="12" w:space="0" w:color="000000"/>
            </w:tcBorders>
            <w:vAlign w:val="bottom"/>
          </w:tcPr>
          <w:p w14:paraId="58DCD4CA"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bottom w:val="single" w:sz="12" w:space="0" w:color="000000"/>
            </w:tcBorders>
            <w:vAlign w:val="bottom"/>
          </w:tcPr>
          <w:p w14:paraId="2ADC204D" w14:textId="77777777" w:rsidR="00D83E33" w:rsidRPr="00D95E75" w:rsidRDefault="00D83E33">
            <w:pPr>
              <w:widowControl w:val="0"/>
              <w:pBdr>
                <w:top w:val="nil"/>
                <w:left w:val="nil"/>
                <w:bottom w:val="nil"/>
                <w:right w:val="nil"/>
                <w:between w:val="nil"/>
              </w:pBdr>
              <w:jc w:val="right"/>
              <w:rPr>
                <w:b/>
                <w:color w:val="000000"/>
              </w:rPr>
            </w:pPr>
          </w:p>
        </w:tc>
      </w:tr>
    </w:tbl>
    <w:p w14:paraId="1A7A27E5" w14:textId="03EDE8CB"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investment in the acquiree at FVOCI held prior to the acquisition was remeasured to its fair value at the acquisition date and an accumulated gain of </w:t>
      </w:r>
      <w:r w:rsidR="00D73799">
        <w:rPr>
          <w:color w:val="000000"/>
          <w:sz w:val="20"/>
          <w:szCs w:val="20"/>
        </w:rPr>
        <w:t>EUR</w:t>
      </w:r>
      <w:r>
        <w:rPr>
          <w:color w:val="000000"/>
          <w:sz w:val="20"/>
          <w:szCs w:val="20"/>
        </w:rPr>
        <w:t xml:space="preserve"> ____ thousand was transferred to retained earnings directly in equity</w:t>
      </w:r>
      <w:r>
        <w:rPr>
          <w:color w:val="0000FF"/>
          <w:sz w:val="20"/>
          <w:szCs w:val="20"/>
        </w:rPr>
        <w:t>.</w:t>
      </w:r>
      <w:r>
        <w:rPr>
          <w:color w:val="000000"/>
          <w:sz w:val="20"/>
          <w:szCs w:val="20"/>
        </w:rPr>
        <w:t xml:space="preserve"> The fair value of the new issued shares of the acquirer was determined on the basis of the closing market price of the ordinary shares on the acquisition date.</w:t>
      </w:r>
    </w:p>
    <w:p w14:paraId="5B593BCE" w14:textId="295711B0" w:rsidR="00D83E33" w:rsidRDefault="00BC4072">
      <w:pPr>
        <w:widowControl w:val="0"/>
        <w:pBdr>
          <w:top w:val="nil"/>
          <w:left w:val="nil"/>
          <w:bottom w:val="nil"/>
          <w:right w:val="nil"/>
          <w:between w:val="nil"/>
        </w:pBdr>
        <w:spacing w:before="200" w:after="200"/>
        <w:jc w:val="both"/>
        <w:rPr>
          <w:i/>
          <w:color w:val="FF0000"/>
          <w:sz w:val="20"/>
          <w:szCs w:val="20"/>
        </w:rPr>
      </w:pPr>
      <w:r>
        <w:rPr>
          <w:color w:val="1F497D"/>
          <w:sz w:val="20"/>
          <w:szCs w:val="20"/>
        </w:rPr>
        <w:t>[</w:t>
      </w:r>
      <w:r>
        <w:rPr>
          <w:color w:val="0000FF"/>
          <w:sz w:val="20"/>
          <w:szCs w:val="20"/>
        </w:rPr>
        <w:t xml:space="preserve">The contingent consideration arrangement requires the Group to pay the former owners of the acquiree ____ per cent of the revenues of an unconsolidated equity investment owned by the acquiree, in excess of </w:t>
      </w:r>
      <w:r w:rsidR="00D73799">
        <w:rPr>
          <w:color w:val="0000FF"/>
          <w:sz w:val="20"/>
          <w:szCs w:val="20"/>
        </w:rPr>
        <w:t>EUR</w:t>
      </w:r>
      <w:r>
        <w:rPr>
          <w:color w:val="0000FF"/>
          <w:sz w:val="20"/>
          <w:szCs w:val="20"/>
        </w:rPr>
        <w:t xml:space="preserve"> ____ thousand for </w:t>
      </w:r>
      <w:r w:rsidR="00541EBC">
        <w:rPr>
          <w:color w:val="0000FF"/>
          <w:sz w:val="20"/>
          <w:szCs w:val="20"/>
        </w:rPr>
        <w:t>2024</w:t>
      </w:r>
      <w:r>
        <w:rPr>
          <w:color w:val="0000FF"/>
          <w:sz w:val="20"/>
          <w:szCs w:val="20"/>
        </w:rPr>
        <w:t xml:space="preserve">, up to a maximum amount of </w:t>
      </w:r>
      <w:r w:rsidR="00D73799">
        <w:rPr>
          <w:color w:val="0000FF"/>
          <w:sz w:val="20"/>
          <w:szCs w:val="20"/>
        </w:rPr>
        <w:t>EUR</w:t>
      </w:r>
      <w:r>
        <w:rPr>
          <w:color w:val="0000FF"/>
          <w:sz w:val="20"/>
          <w:szCs w:val="20"/>
        </w:rPr>
        <w:t xml:space="preserve"> _____ thousand (undiscounted). The potential undiscounted amount of all future payments that the Group could be required to make under the contingent consideration arrangement is between </w:t>
      </w:r>
      <w:r w:rsidR="00D73799">
        <w:rPr>
          <w:color w:val="0000FF"/>
          <w:sz w:val="20"/>
          <w:szCs w:val="20"/>
        </w:rPr>
        <w:t>EUR</w:t>
      </w:r>
      <w:r>
        <w:rPr>
          <w:color w:val="0000FF"/>
          <w:sz w:val="20"/>
          <w:szCs w:val="20"/>
        </w:rPr>
        <w:t xml:space="preserve"> _____ thousand and </w:t>
      </w:r>
      <w:r w:rsidR="00D73799">
        <w:rPr>
          <w:color w:val="0000FF"/>
          <w:sz w:val="20"/>
          <w:szCs w:val="20"/>
        </w:rPr>
        <w:t>EUR</w:t>
      </w:r>
      <w:r>
        <w:rPr>
          <w:color w:val="0000FF"/>
          <w:sz w:val="20"/>
          <w:szCs w:val="20"/>
        </w:rPr>
        <w:t xml:space="preserve"> _____ thousand. The fair value of the contingent consideration arrangement of </w:t>
      </w:r>
      <w:r w:rsidR="00D73799">
        <w:rPr>
          <w:color w:val="0000FF"/>
          <w:sz w:val="20"/>
          <w:szCs w:val="20"/>
        </w:rPr>
        <w:t>EUR</w:t>
      </w:r>
      <w:r>
        <w:rPr>
          <w:color w:val="0000FF"/>
          <w:sz w:val="20"/>
          <w:szCs w:val="20"/>
        </w:rPr>
        <w:t xml:space="preserve"> _____ thousand was estimated by applying the income approach. The fair value estimates are based on an assumed discount rate range of ____–____ per cent and assumed probability-adjusted revenues in equity investee of </w:t>
      </w:r>
      <w:r w:rsidR="00D73799">
        <w:rPr>
          <w:color w:val="0000FF"/>
          <w:sz w:val="20"/>
          <w:szCs w:val="20"/>
        </w:rPr>
        <w:t>EUR</w:t>
      </w:r>
      <w:r>
        <w:rPr>
          <w:color w:val="0000FF"/>
          <w:sz w:val="20"/>
          <w:szCs w:val="20"/>
        </w:rPr>
        <w:t xml:space="preserve"> _____ thousand to </w:t>
      </w:r>
      <w:r w:rsidR="00D73799">
        <w:rPr>
          <w:color w:val="0000FF"/>
          <w:sz w:val="20"/>
          <w:szCs w:val="20"/>
        </w:rPr>
        <w:t>EUR</w:t>
      </w:r>
      <w:r>
        <w:rPr>
          <w:color w:val="0000FF"/>
          <w:sz w:val="20"/>
          <w:szCs w:val="20"/>
        </w:rPr>
        <w:t> _____ thousand. As of 31</w:t>
      </w:r>
      <w:r w:rsidR="00181687">
        <w:rPr>
          <w:color w:val="0000FF"/>
          <w:sz w:val="20"/>
          <w:szCs w:val="20"/>
        </w:rPr>
        <w:t> December </w:t>
      </w:r>
      <w:r w:rsidR="00541EBC">
        <w:rPr>
          <w:color w:val="0000FF"/>
          <w:sz w:val="20"/>
          <w:szCs w:val="20"/>
        </w:rPr>
        <w:t>2024</w:t>
      </w:r>
      <w:r>
        <w:rPr>
          <w:color w:val="0000FF"/>
          <w:sz w:val="20"/>
          <w:szCs w:val="20"/>
        </w:rPr>
        <w:t>, neither the amount recognised for the contingent consideration arrangement, nor the range of outcomes or the assumptions used to develop the estimates had changed.]</w:t>
      </w:r>
      <w:r>
        <w:rPr>
          <w:i/>
          <w:color w:val="0000FF"/>
          <w:sz w:val="20"/>
          <w:szCs w:val="20"/>
        </w:rPr>
        <w:t xml:space="preserve"> </w:t>
      </w:r>
      <w:r>
        <w:rPr>
          <w:i/>
          <w:color w:val="FF0000"/>
          <w:sz w:val="20"/>
          <w:szCs w:val="20"/>
        </w:rPr>
        <w:t xml:space="preserve">[Describe terms and conditions of the contingent purchase consideration: (i) description of the arrangement and the basis for determining the amount of the payment; (ii) an estimate of the range of outcomes (undiscounted) or, if a range cannot be estimated, that fact and the reasons why a range cannot be estimated. If the maximum amount of the payment is unlimited, the acquirer shall disclose that fact.] </w:t>
      </w:r>
    </w:p>
    <w:p w14:paraId="09582FD9" w14:textId="3F2D749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Acquisition related transaction costs of </w:t>
      </w:r>
      <w:r w:rsidR="00D73799">
        <w:rPr>
          <w:color w:val="000000"/>
          <w:sz w:val="20"/>
          <w:szCs w:val="20"/>
        </w:rPr>
        <w:t>EUR</w:t>
      </w:r>
      <w:r>
        <w:rPr>
          <w:color w:val="000000"/>
          <w:sz w:val="20"/>
          <w:szCs w:val="20"/>
        </w:rPr>
        <w:t xml:space="preserve"> ____ thousand were expensed as general and administrative expenses. The contractual acquisition arrangement included remuneration of </w:t>
      </w:r>
      <w:r w:rsidR="00D73799">
        <w:rPr>
          <w:color w:val="000000"/>
          <w:sz w:val="20"/>
          <w:szCs w:val="20"/>
        </w:rPr>
        <w:t>EUR</w:t>
      </w:r>
      <w:r>
        <w:rPr>
          <w:color w:val="000000"/>
          <w:sz w:val="20"/>
          <w:szCs w:val="20"/>
        </w:rPr>
        <w:t xml:space="preserve"> ____ thousand for future services of the former owner. This amount was separated and will be expensed as staff costs over a period of three years from acquisition. </w:t>
      </w:r>
      <w:r>
        <w:rPr>
          <w:i/>
          <w:color w:val="FF0000"/>
          <w:sz w:val="20"/>
          <w:szCs w:val="20"/>
        </w:rPr>
        <w:t>[For transactions that are recognised separately from the acquisition of assets and assumption of liabilities in the business combination in accordance with paragraph 51 of IFRS 3 disclose: (i) a description of each transaction; (ii) how the acquirer accounted for each transaction; (iii) the amounts recognised for each transaction and the line item in the financial statements in which each amount is recognised; and (iv) if the transaction is the effective settlement of a pre-existing relationship, the method used to determine the settlement amount.]</w:t>
      </w:r>
    </w:p>
    <w:p w14:paraId="17303B6D" w14:textId="153CDF2E" w:rsidR="00D83E33" w:rsidRDefault="00BC4072" w:rsidP="001B330E">
      <w:pPr>
        <w:pStyle w:val="Continued"/>
        <w:rPr>
          <w:i/>
        </w:rPr>
      </w:pPr>
      <w:r>
        <w:lastRenderedPageBreak/>
        <w:t>52</w:t>
      </w:r>
      <w:r>
        <w:tab/>
        <w:t>Business Combinations (Continued)</w:t>
      </w:r>
    </w:p>
    <w:p w14:paraId="306482CA" w14:textId="2A70F3B2"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consideration paid by the Group was based on results of an external appraisal</w:t>
      </w:r>
      <w:r w:rsidR="00F77533">
        <w:rPr>
          <w:color w:val="000000"/>
          <w:sz w:val="20"/>
          <w:szCs w:val="20"/>
        </w:rPr>
        <w:t xml:space="preserve"> </w:t>
      </w:r>
      <w:r>
        <w:rPr>
          <w:color w:val="0000FF"/>
          <w:sz w:val="20"/>
          <w:szCs w:val="20"/>
        </w:rPr>
        <w:t>[by an internationally recognised investment bank]</w:t>
      </w:r>
      <w:r>
        <w:rPr>
          <w:color w:val="000000"/>
          <w:sz w:val="20"/>
          <w:szCs w:val="20"/>
        </w:rPr>
        <w:t xml:space="preserve"> of the acquiree’s business taken as a whole. However, in accordance with IFRS 3 “Business Combinations”, the Group must account for acquisitions based on fair values of the identifiable assets acquired, and liabilities and contingent liabilities assumed. These two different approaches can lead to differences; and, as set out in the table below, recognition of </w:t>
      </w:r>
      <w:r>
        <w:rPr>
          <w:color w:val="0000FF"/>
          <w:sz w:val="20"/>
          <w:szCs w:val="20"/>
        </w:rPr>
        <w:t>[goodwill] [</w:t>
      </w:r>
      <w:r>
        <w:rPr>
          <w:i/>
          <w:color w:val="FF0000"/>
          <w:sz w:val="20"/>
          <w:szCs w:val="20"/>
        </w:rPr>
        <w:t>or</w:t>
      </w:r>
      <w:r>
        <w:rPr>
          <w:i/>
          <w:color w:val="0000FF"/>
          <w:sz w:val="20"/>
          <w:szCs w:val="20"/>
        </w:rPr>
        <w:t xml:space="preserve"> </w:t>
      </w:r>
      <w:r>
        <w:rPr>
          <w:color w:val="0000FF"/>
          <w:sz w:val="20"/>
          <w:szCs w:val="20"/>
        </w:rPr>
        <w:t>the excess of the net fair value of the acquiree’s identifiable assets, liabilities and contingent liabilities over cost (“negative goodwill”) immediately in profit or loss for the year (as ‘excess of the net fair value of the acquiree’s identifiable assets, liabilities and contingent liabilities over cost of the business combination’)]</w:t>
      </w:r>
      <w:r>
        <w:rPr>
          <w:color w:val="000000"/>
          <w:sz w:val="20"/>
          <w:szCs w:val="20"/>
        </w:rPr>
        <w:t>.</w:t>
      </w:r>
    </w:p>
    <w:p w14:paraId="1AFA5015"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Details of the assets and liabilities acquired and goodwill arising are as follows:</w:t>
      </w:r>
    </w:p>
    <w:tbl>
      <w:tblPr>
        <w:tblStyle w:val="affffffffffffffffff1"/>
        <w:tblW w:w="5000" w:type="pct"/>
        <w:tblLayout w:type="fixed"/>
        <w:tblLook w:val="0000" w:firstRow="0" w:lastRow="0" w:firstColumn="0" w:lastColumn="0" w:noHBand="0" w:noVBand="0"/>
      </w:tblPr>
      <w:tblGrid>
        <w:gridCol w:w="6947"/>
        <w:gridCol w:w="707"/>
        <w:gridCol w:w="1701"/>
      </w:tblGrid>
      <w:tr w:rsidR="00D83E33" w:rsidRPr="00D95E75" w14:paraId="4DAE47EE" w14:textId="77777777" w:rsidTr="001B330E">
        <w:trPr>
          <w:trHeight w:val="23"/>
        </w:trPr>
        <w:tc>
          <w:tcPr>
            <w:tcW w:w="3713" w:type="pct"/>
            <w:tcBorders>
              <w:bottom w:val="single" w:sz="4" w:space="0" w:color="000000"/>
            </w:tcBorders>
            <w:vAlign w:val="bottom"/>
          </w:tcPr>
          <w:p w14:paraId="0FDF0129" w14:textId="4A41D05A" w:rsidR="00D83E33" w:rsidRPr="00D95E75"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78" w:type="pct"/>
            <w:tcBorders>
              <w:bottom w:val="single" w:sz="4" w:space="0" w:color="000000"/>
            </w:tcBorders>
            <w:vAlign w:val="bottom"/>
          </w:tcPr>
          <w:p w14:paraId="793C38F7" w14:textId="77777777" w:rsidR="00D83E33" w:rsidRPr="00D95E75" w:rsidRDefault="00BC4072">
            <w:pPr>
              <w:widowControl w:val="0"/>
              <w:pBdr>
                <w:top w:val="nil"/>
                <w:left w:val="nil"/>
                <w:bottom w:val="nil"/>
                <w:right w:val="nil"/>
                <w:between w:val="nil"/>
              </w:pBdr>
              <w:jc w:val="center"/>
              <w:rPr>
                <w:b/>
                <w:color w:val="000000"/>
              </w:rPr>
            </w:pPr>
            <w:r w:rsidRPr="00D95E75">
              <w:rPr>
                <w:b/>
                <w:color w:val="000000"/>
              </w:rPr>
              <w:t>Note</w:t>
            </w:r>
          </w:p>
        </w:tc>
        <w:tc>
          <w:tcPr>
            <w:tcW w:w="909" w:type="pct"/>
            <w:tcBorders>
              <w:bottom w:val="single" w:sz="4" w:space="0" w:color="000000"/>
            </w:tcBorders>
          </w:tcPr>
          <w:p w14:paraId="166248FB" w14:textId="02FA5839" w:rsidR="00D83E33" w:rsidRPr="00D95E75" w:rsidRDefault="00BC4072">
            <w:pPr>
              <w:widowControl w:val="0"/>
              <w:pBdr>
                <w:top w:val="nil"/>
                <w:left w:val="nil"/>
                <w:bottom w:val="nil"/>
                <w:right w:val="nil"/>
                <w:between w:val="nil"/>
              </w:pBdr>
              <w:jc w:val="right"/>
              <w:rPr>
                <w:b/>
                <w:color w:val="000000"/>
              </w:rPr>
            </w:pPr>
            <w:r w:rsidRPr="00D95E75">
              <w:rPr>
                <w:b/>
                <w:color w:val="000000"/>
              </w:rPr>
              <w:t>Attributed</w:t>
            </w:r>
          </w:p>
          <w:p w14:paraId="5396725D" w14:textId="59174551" w:rsidR="00D83E33" w:rsidRPr="00D95E75" w:rsidRDefault="00BC4072">
            <w:pPr>
              <w:widowControl w:val="0"/>
              <w:pBdr>
                <w:top w:val="nil"/>
                <w:left w:val="nil"/>
                <w:bottom w:val="nil"/>
                <w:right w:val="nil"/>
                <w:between w:val="nil"/>
              </w:pBdr>
              <w:jc w:val="right"/>
              <w:rPr>
                <w:b/>
                <w:color w:val="000000"/>
              </w:rPr>
            </w:pPr>
            <w:r w:rsidRPr="00D95E75">
              <w:rPr>
                <w:b/>
                <w:color w:val="000000"/>
              </w:rPr>
              <w:t>fair value</w:t>
            </w:r>
          </w:p>
        </w:tc>
      </w:tr>
      <w:tr w:rsidR="00D83E33" w:rsidRPr="00D95E75" w14:paraId="6A95D152" w14:textId="77777777" w:rsidTr="001B330E">
        <w:trPr>
          <w:trHeight w:val="23"/>
        </w:trPr>
        <w:tc>
          <w:tcPr>
            <w:tcW w:w="3713" w:type="pct"/>
            <w:vAlign w:val="bottom"/>
          </w:tcPr>
          <w:p w14:paraId="320A4FC0"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vAlign w:val="bottom"/>
          </w:tcPr>
          <w:p w14:paraId="50A24DDE"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7D9224AC"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7B81FAA" w14:textId="77777777" w:rsidTr="001B330E">
        <w:trPr>
          <w:trHeight w:val="23"/>
        </w:trPr>
        <w:tc>
          <w:tcPr>
            <w:tcW w:w="3713" w:type="pct"/>
            <w:vAlign w:val="bottom"/>
          </w:tcPr>
          <w:p w14:paraId="108C13EE"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xml:space="preserve">Cash and cash equivalents </w:t>
            </w:r>
          </w:p>
        </w:tc>
        <w:tc>
          <w:tcPr>
            <w:tcW w:w="378" w:type="pct"/>
            <w:vAlign w:val="bottom"/>
          </w:tcPr>
          <w:p w14:paraId="68E53C78"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3D4DAB7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EC0F23A" w14:textId="77777777" w:rsidTr="001B330E">
        <w:trPr>
          <w:trHeight w:val="23"/>
        </w:trPr>
        <w:tc>
          <w:tcPr>
            <w:tcW w:w="3713" w:type="pct"/>
            <w:vAlign w:val="bottom"/>
          </w:tcPr>
          <w:p w14:paraId="1DA3AD61"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Loans and advances to customers</w:t>
            </w:r>
          </w:p>
        </w:tc>
        <w:tc>
          <w:tcPr>
            <w:tcW w:w="378" w:type="pct"/>
            <w:vAlign w:val="bottom"/>
          </w:tcPr>
          <w:p w14:paraId="2B3F15F1"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2E397EC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23B6158" w14:textId="77777777" w:rsidTr="001B330E">
        <w:trPr>
          <w:trHeight w:val="23"/>
        </w:trPr>
        <w:tc>
          <w:tcPr>
            <w:tcW w:w="3713" w:type="pct"/>
            <w:vAlign w:val="bottom"/>
          </w:tcPr>
          <w:p w14:paraId="7B1990C8"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Other financial assets</w:t>
            </w:r>
          </w:p>
        </w:tc>
        <w:tc>
          <w:tcPr>
            <w:tcW w:w="378" w:type="pct"/>
            <w:vAlign w:val="bottom"/>
          </w:tcPr>
          <w:p w14:paraId="1ED43049"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4D4D1C1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9DCF5F9" w14:textId="77777777" w:rsidTr="001B330E">
        <w:trPr>
          <w:trHeight w:val="23"/>
        </w:trPr>
        <w:tc>
          <w:tcPr>
            <w:tcW w:w="3713" w:type="pct"/>
            <w:vAlign w:val="bottom"/>
          </w:tcPr>
          <w:p w14:paraId="5B122F47"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Other assets</w:t>
            </w:r>
          </w:p>
        </w:tc>
        <w:tc>
          <w:tcPr>
            <w:tcW w:w="378" w:type="pct"/>
            <w:vAlign w:val="bottom"/>
          </w:tcPr>
          <w:p w14:paraId="63ACAD7A"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728816BB"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A286402" w14:textId="77777777" w:rsidTr="001B330E">
        <w:trPr>
          <w:trHeight w:val="23"/>
        </w:trPr>
        <w:tc>
          <w:tcPr>
            <w:tcW w:w="3713" w:type="pct"/>
            <w:vAlign w:val="bottom"/>
          </w:tcPr>
          <w:p w14:paraId="5CD53CFA"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xml:space="preserve">Customer accounts </w:t>
            </w:r>
          </w:p>
        </w:tc>
        <w:tc>
          <w:tcPr>
            <w:tcW w:w="378" w:type="pct"/>
            <w:vAlign w:val="bottom"/>
          </w:tcPr>
          <w:p w14:paraId="7B9135C2"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0CC845B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AE04FBB" w14:textId="77777777" w:rsidTr="001B330E">
        <w:trPr>
          <w:trHeight w:val="23"/>
        </w:trPr>
        <w:tc>
          <w:tcPr>
            <w:tcW w:w="3713" w:type="pct"/>
            <w:vAlign w:val="bottom"/>
          </w:tcPr>
          <w:p w14:paraId="7A91A6B2"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Contingent tax exposures</w:t>
            </w:r>
          </w:p>
        </w:tc>
        <w:tc>
          <w:tcPr>
            <w:tcW w:w="378" w:type="pct"/>
            <w:vAlign w:val="bottom"/>
          </w:tcPr>
          <w:p w14:paraId="40B4F22D"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78BB776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041B952" w14:textId="77777777" w:rsidTr="001B330E">
        <w:trPr>
          <w:trHeight w:val="23"/>
        </w:trPr>
        <w:tc>
          <w:tcPr>
            <w:tcW w:w="3713" w:type="pct"/>
            <w:vAlign w:val="bottom"/>
          </w:tcPr>
          <w:p w14:paraId="1A5FA475"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Other liabilities</w:t>
            </w:r>
          </w:p>
        </w:tc>
        <w:tc>
          <w:tcPr>
            <w:tcW w:w="378" w:type="pct"/>
            <w:vAlign w:val="bottom"/>
          </w:tcPr>
          <w:p w14:paraId="6234E914"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22DE968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D85BB80" w14:textId="77777777" w:rsidTr="001B330E">
        <w:trPr>
          <w:trHeight w:val="23"/>
        </w:trPr>
        <w:tc>
          <w:tcPr>
            <w:tcW w:w="3713" w:type="pct"/>
            <w:vAlign w:val="bottom"/>
          </w:tcPr>
          <w:p w14:paraId="046F576F" w14:textId="3320AE48" w:rsidR="00D83E33" w:rsidRPr="00D95E75" w:rsidRDefault="00D83E33" w:rsidP="001B330E">
            <w:pPr>
              <w:widowControl w:val="0"/>
              <w:pBdr>
                <w:top w:val="nil"/>
                <w:left w:val="nil"/>
                <w:bottom w:val="nil"/>
                <w:right w:val="nil"/>
                <w:between w:val="nil"/>
              </w:pBdr>
              <w:ind w:left="113" w:hanging="113"/>
              <w:rPr>
                <w:i/>
                <w:color w:val="FF0000"/>
              </w:rPr>
            </w:pPr>
          </w:p>
        </w:tc>
        <w:tc>
          <w:tcPr>
            <w:tcW w:w="378" w:type="pct"/>
            <w:vAlign w:val="bottom"/>
          </w:tcPr>
          <w:p w14:paraId="3E79EC3B"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66686208"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BF152D7" w14:textId="77777777" w:rsidTr="001B330E">
        <w:trPr>
          <w:trHeight w:val="23"/>
        </w:trPr>
        <w:tc>
          <w:tcPr>
            <w:tcW w:w="3713" w:type="pct"/>
            <w:tcBorders>
              <w:bottom w:val="single" w:sz="4" w:space="0" w:color="000000"/>
            </w:tcBorders>
            <w:vAlign w:val="bottom"/>
          </w:tcPr>
          <w:p w14:paraId="1E76FB3D"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w:t>
            </w:r>
          </w:p>
        </w:tc>
        <w:tc>
          <w:tcPr>
            <w:tcW w:w="378" w:type="pct"/>
            <w:tcBorders>
              <w:bottom w:val="single" w:sz="4" w:space="0" w:color="000000"/>
            </w:tcBorders>
            <w:vAlign w:val="bottom"/>
          </w:tcPr>
          <w:p w14:paraId="55910F8D"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390E7D7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7FEBA4E" w14:textId="77777777" w:rsidTr="001B330E">
        <w:trPr>
          <w:trHeight w:val="23"/>
        </w:trPr>
        <w:tc>
          <w:tcPr>
            <w:tcW w:w="3713" w:type="pct"/>
            <w:tcBorders>
              <w:top w:val="single" w:sz="4" w:space="0" w:color="000000"/>
            </w:tcBorders>
            <w:vAlign w:val="bottom"/>
          </w:tcPr>
          <w:p w14:paraId="7403FCE9"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w:t>
            </w:r>
          </w:p>
        </w:tc>
        <w:tc>
          <w:tcPr>
            <w:tcW w:w="378" w:type="pct"/>
            <w:tcBorders>
              <w:top w:val="single" w:sz="4" w:space="0" w:color="000000"/>
            </w:tcBorders>
            <w:vAlign w:val="bottom"/>
          </w:tcPr>
          <w:p w14:paraId="580A6BC2"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22D4C7B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08D1F7D" w14:textId="77777777" w:rsidTr="001B330E">
        <w:trPr>
          <w:trHeight w:val="23"/>
        </w:trPr>
        <w:tc>
          <w:tcPr>
            <w:tcW w:w="3713" w:type="pct"/>
            <w:vAlign w:val="bottom"/>
          </w:tcPr>
          <w:p w14:paraId="623E21B8" w14:textId="77777777" w:rsidR="00D83E33" w:rsidRPr="00D95E75" w:rsidRDefault="00BC4072" w:rsidP="001B330E">
            <w:pPr>
              <w:widowControl w:val="0"/>
              <w:pBdr>
                <w:top w:val="nil"/>
                <w:left w:val="nil"/>
                <w:bottom w:val="nil"/>
                <w:right w:val="nil"/>
                <w:between w:val="nil"/>
              </w:pBdr>
              <w:ind w:left="113" w:hanging="113"/>
              <w:rPr>
                <w:b/>
                <w:i/>
                <w:color w:val="000000"/>
              </w:rPr>
            </w:pPr>
            <w:r w:rsidRPr="00D95E75">
              <w:rPr>
                <w:b/>
                <w:color w:val="000000"/>
              </w:rPr>
              <w:t>Fair value of identifiable net assets of subsidiary</w:t>
            </w:r>
          </w:p>
        </w:tc>
        <w:tc>
          <w:tcPr>
            <w:tcW w:w="378" w:type="pct"/>
            <w:vAlign w:val="bottom"/>
          </w:tcPr>
          <w:p w14:paraId="04A07274"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1A53811E"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11C25C7C" w14:textId="77777777" w:rsidTr="001B330E">
        <w:trPr>
          <w:trHeight w:val="23"/>
        </w:trPr>
        <w:tc>
          <w:tcPr>
            <w:tcW w:w="3713" w:type="pct"/>
            <w:vAlign w:val="bottom"/>
          </w:tcPr>
          <w:p w14:paraId="10FDABBF"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Less: non-controlling interest </w:t>
            </w:r>
          </w:p>
        </w:tc>
        <w:tc>
          <w:tcPr>
            <w:tcW w:w="378" w:type="pct"/>
            <w:vAlign w:val="bottom"/>
          </w:tcPr>
          <w:p w14:paraId="6EB26DBD"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4E28E41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0C045B3" w14:textId="77777777" w:rsidTr="001B330E">
        <w:trPr>
          <w:trHeight w:val="23"/>
        </w:trPr>
        <w:tc>
          <w:tcPr>
            <w:tcW w:w="3713" w:type="pct"/>
            <w:vAlign w:val="bottom"/>
          </w:tcPr>
          <w:p w14:paraId="6862C1A2"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Goodwill arising from the acquisition </w:t>
            </w:r>
          </w:p>
        </w:tc>
        <w:tc>
          <w:tcPr>
            <w:tcW w:w="378" w:type="pct"/>
            <w:vAlign w:val="bottom"/>
          </w:tcPr>
          <w:p w14:paraId="2FAB53B9" w14:textId="77777777" w:rsidR="00D83E33" w:rsidRPr="00D95E75" w:rsidRDefault="00000000">
            <w:pPr>
              <w:widowControl w:val="0"/>
              <w:pBdr>
                <w:top w:val="nil"/>
                <w:left w:val="nil"/>
                <w:bottom w:val="nil"/>
                <w:right w:val="nil"/>
                <w:between w:val="nil"/>
              </w:pBdr>
              <w:jc w:val="center"/>
              <w:rPr>
                <w:color w:val="000000"/>
              </w:rPr>
            </w:pPr>
            <w:hyperlink w:anchor="_heading=h.3as4poj">
              <w:r w:rsidR="00BC4072" w:rsidRPr="00D95E75">
                <w:rPr>
                  <w:color w:val="000000"/>
                </w:rPr>
                <w:t>17</w:t>
              </w:r>
            </w:hyperlink>
          </w:p>
        </w:tc>
        <w:tc>
          <w:tcPr>
            <w:tcW w:w="909" w:type="pct"/>
            <w:vAlign w:val="bottom"/>
          </w:tcPr>
          <w:p w14:paraId="5AB79AF3"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8786BCF" w14:textId="77777777" w:rsidTr="001B330E">
        <w:trPr>
          <w:trHeight w:val="23"/>
        </w:trPr>
        <w:tc>
          <w:tcPr>
            <w:tcW w:w="3713" w:type="pct"/>
            <w:tcBorders>
              <w:bottom w:val="single" w:sz="4" w:space="0" w:color="000000"/>
            </w:tcBorders>
            <w:vAlign w:val="bottom"/>
          </w:tcPr>
          <w:p w14:paraId="7B3ED3AB"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bottom w:val="single" w:sz="4" w:space="0" w:color="000000"/>
            </w:tcBorders>
            <w:vAlign w:val="bottom"/>
          </w:tcPr>
          <w:p w14:paraId="344B39B0"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44F0E47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AEAD5E3" w14:textId="77777777" w:rsidTr="001B330E">
        <w:trPr>
          <w:trHeight w:val="23"/>
        </w:trPr>
        <w:tc>
          <w:tcPr>
            <w:tcW w:w="3713" w:type="pct"/>
            <w:tcBorders>
              <w:top w:val="single" w:sz="4" w:space="0" w:color="000000"/>
            </w:tcBorders>
            <w:vAlign w:val="bottom"/>
          </w:tcPr>
          <w:p w14:paraId="6ECCDD35"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top w:val="single" w:sz="4" w:space="0" w:color="000000"/>
            </w:tcBorders>
            <w:vAlign w:val="bottom"/>
          </w:tcPr>
          <w:p w14:paraId="444F2181"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2AC5376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6ECC9F1" w14:textId="77777777" w:rsidTr="001B330E">
        <w:trPr>
          <w:trHeight w:val="23"/>
        </w:trPr>
        <w:tc>
          <w:tcPr>
            <w:tcW w:w="3713" w:type="pct"/>
            <w:vAlign w:val="bottom"/>
          </w:tcPr>
          <w:p w14:paraId="4E1C4825"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Total purchase consideration and previously held interest in the acquiree</w:t>
            </w:r>
          </w:p>
        </w:tc>
        <w:tc>
          <w:tcPr>
            <w:tcW w:w="378" w:type="pct"/>
            <w:vAlign w:val="bottom"/>
          </w:tcPr>
          <w:p w14:paraId="2E0895D3" w14:textId="77777777" w:rsidR="00D83E33" w:rsidRPr="00D95E75" w:rsidRDefault="00D83E33">
            <w:pPr>
              <w:widowControl w:val="0"/>
              <w:pBdr>
                <w:top w:val="nil"/>
                <w:left w:val="nil"/>
                <w:bottom w:val="nil"/>
                <w:right w:val="nil"/>
                <w:between w:val="nil"/>
              </w:pBdr>
              <w:jc w:val="center"/>
              <w:rPr>
                <w:b/>
                <w:color w:val="000000"/>
              </w:rPr>
            </w:pPr>
          </w:p>
        </w:tc>
        <w:tc>
          <w:tcPr>
            <w:tcW w:w="909" w:type="pct"/>
            <w:vAlign w:val="bottom"/>
          </w:tcPr>
          <w:p w14:paraId="1A688616"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3318E5E3" w14:textId="77777777" w:rsidTr="001B330E">
        <w:trPr>
          <w:trHeight w:val="23"/>
        </w:trPr>
        <w:tc>
          <w:tcPr>
            <w:tcW w:w="3713" w:type="pct"/>
            <w:vAlign w:val="bottom"/>
          </w:tcPr>
          <w:p w14:paraId="350BF51F"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Less: Non-cash consideration </w:t>
            </w:r>
          </w:p>
        </w:tc>
        <w:tc>
          <w:tcPr>
            <w:tcW w:w="378" w:type="pct"/>
            <w:vAlign w:val="bottom"/>
          </w:tcPr>
          <w:p w14:paraId="26C7868C" w14:textId="77777777" w:rsidR="00D83E33" w:rsidRPr="00D95E75" w:rsidRDefault="00000000">
            <w:pPr>
              <w:widowControl w:val="0"/>
              <w:pBdr>
                <w:top w:val="nil"/>
                <w:left w:val="nil"/>
                <w:bottom w:val="nil"/>
                <w:right w:val="nil"/>
                <w:between w:val="nil"/>
              </w:pBdr>
              <w:jc w:val="center"/>
              <w:rPr>
                <w:color w:val="000000"/>
              </w:rPr>
            </w:pPr>
            <w:hyperlink w:anchor="_heading=h.41mghml">
              <w:r w:rsidR="00BC4072" w:rsidRPr="00D95E75">
                <w:rPr>
                  <w:color w:val="000000"/>
                </w:rPr>
                <w:t>26</w:t>
              </w:r>
            </w:hyperlink>
          </w:p>
        </w:tc>
        <w:tc>
          <w:tcPr>
            <w:tcW w:w="909" w:type="pct"/>
            <w:vAlign w:val="bottom"/>
          </w:tcPr>
          <w:p w14:paraId="4F816BF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BDE3812" w14:textId="77777777" w:rsidTr="001B330E">
        <w:trPr>
          <w:trHeight w:val="23"/>
        </w:trPr>
        <w:tc>
          <w:tcPr>
            <w:tcW w:w="3713" w:type="pct"/>
            <w:vAlign w:val="bottom"/>
          </w:tcPr>
          <w:p w14:paraId="5D37FD8B"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Less: Cash and cash equivalents of subsidiary acquired</w:t>
            </w:r>
          </w:p>
        </w:tc>
        <w:tc>
          <w:tcPr>
            <w:tcW w:w="378" w:type="pct"/>
            <w:vAlign w:val="bottom"/>
          </w:tcPr>
          <w:p w14:paraId="4806B3A8"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44271F07"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3BF6A07" w14:textId="77777777" w:rsidTr="001B330E">
        <w:trPr>
          <w:trHeight w:val="23"/>
        </w:trPr>
        <w:tc>
          <w:tcPr>
            <w:tcW w:w="3713" w:type="pct"/>
            <w:tcBorders>
              <w:bottom w:val="single" w:sz="4" w:space="0" w:color="000000"/>
            </w:tcBorders>
            <w:vAlign w:val="bottom"/>
          </w:tcPr>
          <w:p w14:paraId="0719CCEE"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bottom w:val="single" w:sz="4" w:space="0" w:color="000000"/>
            </w:tcBorders>
            <w:vAlign w:val="bottom"/>
          </w:tcPr>
          <w:p w14:paraId="03D77765"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7C0C024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1722586" w14:textId="77777777" w:rsidTr="001B330E">
        <w:trPr>
          <w:trHeight w:val="23"/>
        </w:trPr>
        <w:tc>
          <w:tcPr>
            <w:tcW w:w="3713" w:type="pct"/>
            <w:tcBorders>
              <w:top w:val="single" w:sz="4" w:space="0" w:color="000000"/>
            </w:tcBorders>
            <w:vAlign w:val="bottom"/>
          </w:tcPr>
          <w:p w14:paraId="11537679"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top w:val="single" w:sz="4" w:space="0" w:color="000000"/>
            </w:tcBorders>
            <w:vAlign w:val="bottom"/>
          </w:tcPr>
          <w:p w14:paraId="49F4B109"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4B387F22"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0095B926" w14:textId="77777777" w:rsidTr="001B330E">
        <w:trPr>
          <w:trHeight w:val="23"/>
        </w:trPr>
        <w:tc>
          <w:tcPr>
            <w:tcW w:w="3713" w:type="pct"/>
            <w:vAlign w:val="bottom"/>
          </w:tcPr>
          <w:p w14:paraId="23166E48"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Outflow of cash and cash equivalents on acquisition</w:t>
            </w:r>
          </w:p>
        </w:tc>
        <w:tc>
          <w:tcPr>
            <w:tcW w:w="378" w:type="pct"/>
            <w:vAlign w:val="bottom"/>
          </w:tcPr>
          <w:p w14:paraId="2E918983" w14:textId="77777777" w:rsidR="00D83E33" w:rsidRPr="00D95E75" w:rsidRDefault="00D83E33">
            <w:pPr>
              <w:widowControl w:val="0"/>
              <w:pBdr>
                <w:top w:val="nil"/>
                <w:left w:val="nil"/>
                <w:bottom w:val="nil"/>
                <w:right w:val="nil"/>
                <w:between w:val="nil"/>
              </w:pBdr>
              <w:jc w:val="center"/>
              <w:rPr>
                <w:b/>
                <w:color w:val="000000"/>
              </w:rPr>
            </w:pPr>
          </w:p>
        </w:tc>
        <w:tc>
          <w:tcPr>
            <w:tcW w:w="909" w:type="pct"/>
            <w:vAlign w:val="bottom"/>
          </w:tcPr>
          <w:p w14:paraId="205539C3"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76895C50" w14:textId="77777777" w:rsidTr="001B330E">
        <w:trPr>
          <w:trHeight w:val="23"/>
        </w:trPr>
        <w:tc>
          <w:tcPr>
            <w:tcW w:w="3713" w:type="pct"/>
            <w:tcBorders>
              <w:bottom w:val="single" w:sz="12" w:space="0" w:color="000000"/>
            </w:tcBorders>
            <w:vAlign w:val="bottom"/>
          </w:tcPr>
          <w:p w14:paraId="0AEC88FA"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bottom w:val="single" w:sz="12" w:space="0" w:color="000000"/>
            </w:tcBorders>
            <w:vAlign w:val="bottom"/>
          </w:tcPr>
          <w:p w14:paraId="2F4F8BB4"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bottom w:val="single" w:sz="12" w:space="0" w:color="000000"/>
            </w:tcBorders>
            <w:vAlign w:val="bottom"/>
          </w:tcPr>
          <w:p w14:paraId="19AF562B" w14:textId="77777777" w:rsidR="00D83E33" w:rsidRPr="00D95E75" w:rsidRDefault="00D83E33">
            <w:pPr>
              <w:widowControl w:val="0"/>
              <w:pBdr>
                <w:top w:val="nil"/>
                <w:left w:val="nil"/>
                <w:bottom w:val="nil"/>
                <w:right w:val="nil"/>
                <w:between w:val="nil"/>
              </w:pBdr>
              <w:jc w:val="right"/>
              <w:rPr>
                <w:b/>
                <w:color w:val="000000"/>
              </w:rPr>
            </w:pPr>
          </w:p>
        </w:tc>
      </w:tr>
    </w:tbl>
    <w:p w14:paraId="0EA76376" w14:textId="1EBDD86F"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non-controlling interest represents share in net assets of the acquiree attributable to owners of non-controlling interest</w:t>
      </w:r>
      <w:r>
        <w:rPr>
          <w:color w:val="0000FF"/>
          <w:sz w:val="20"/>
          <w:szCs w:val="20"/>
        </w:rPr>
        <w:t>. [</w:t>
      </w:r>
      <w:r>
        <w:rPr>
          <w:i/>
          <w:color w:val="0000FF"/>
          <w:sz w:val="20"/>
          <w:szCs w:val="20"/>
        </w:rPr>
        <w:t>Alternatively</w:t>
      </w:r>
      <w:r>
        <w:rPr>
          <w:color w:val="0000FF"/>
          <w:sz w:val="20"/>
          <w:szCs w:val="20"/>
        </w:rPr>
        <w:t>: The non-controlling interest was measured at its market value. The fair value of the non-controlling interest was estimated by applying an income approach. The fair value estimates are based on: (a) an assumed discount rate range of [____–____] per cent; (b) an assumed terminal value based on a range of terminal EBITDA multiples between [____ and ____] times; (c) assumed financial multiples of companies deemed to be similar to the acquiree; and (d) assumed adjustments because of the lack of control or lack of marketability that market participants would consider when estimating the fair value of the non-controlling interest.]</w:t>
      </w:r>
      <w:r>
        <w:rPr>
          <w:color w:val="000000"/>
          <w:sz w:val="20"/>
          <w:szCs w:val="20"/>
        </w:rPr>
        <w:t xml:space="preserve"> </w:t>
      </w:r>
      <w:r>
        <w:rPr>
          <w:i/>
          <w:color w:val="FF0000"/>
          <w:sz w:val="20"/>
          <w:szCs w:val="20"/>
        </w:rPr>
        <w:t>[if a valuation technique was used, disclose it and the key model inputs used for determining that fair value]</w:t>
      </w:r>
      <w:r>
        <w:rPr>
          <w:color w:val="000000"/>
          <w:sz w:val="20"/>
          <w:szCs w:val="20"/>
        </w:rPr>
        <w:t>.</w:t>
      </w:r>
    </w:p>
    <w:p w14:paraId="469F616F"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fair values of assets and liabilities acquired are based on </w:t>
      </w:r>
      <w:r>
        <w:rPr>
          <w:color w:val="0000FF"/>
          <w:sz w:val="20"/>
          <w:szCs w:val="20"/>
        </w:rPr>
        <w:t>[discounted cash flow models]</w:t>
      </w:r>
      <w:r>
        <w:rPr>
          <w:color w:val="000000"/>
          <w:sz w:val="20"/>
          <w:szCs w:val="20"/>
        </w:rPr>
        <w:t>. The valuation of identifiable intangible assets was performed by an independent professional appraiser. Based on the appraisal report, the following items were included in the purchase price allocation:</w:t>
      </w:r>
    </w:p>
    <w:p w14:paraId="6B69C8AC" w14:textId="59E2DA9F" w:rsidR="00D83E33" w:rsidRDefault="00BC4072" w:rsidP="001B330E">
      <w:pPr>
        <w:pStyle w:val="bluetabs"/>
      </w:pPr>
      <w:r>
        <w:t xml:space="preserve">[core deposits intangibles valued at </w:t>
      </w:r>
      <w:r w:rsidR="00D73799">
        <w:t>EUR</w:t>
      </w:r>
      <w:r>
        <w:t xml:space="preserve"> ____ thousands;]</w:t>
      </w:r>
    </w:p>
    <w:p w14:paraId="54445729" w14:textId="6EE9DC00" w:rsidR="00D83E33" w:rsidRDefault="00BC4072" w:rsidP="001B330E">
      <w:pPr>
        <w:pStyle w:val="bluetabs"/>
      </w:pPr>
      <w:r>
        <w:t xml:space="preserve">[brand name valued at </w:t>
      </w:r>
      <w:r w:rsidR="00D73799">
        <w:t>EUR</w:t>
      </w:r>
      <w:r>
        <w:t xml:space="preserve"> ____ thousands; and]</w:t>
      </w:r>
    </w:p>
    <w:p w14:paraId="5CD0904B" w14:textId="1CA9EED4" w:rsidR="00D83E33" w:rsidRDefault="00BC4072" w:rsidP="001B330E">
      <w:pPr>
        <w:pStyle w:val="bluetabs"/>
      </w:pPr>
      <w:r>
        <w:t xml:space="preserve">[proprietary software valued at </w:t>
      </w:r>
      <w:r w:rsidR="00D73799">
        <w:t>EUR</w:t>
      </w:r>
      <w:r>
        <w:t xml:space="preserve"> ____ thousands.]</w:t>
      </w:r>
    </w:p>
    <w:p w14:paraId="483C6343" w14:textId="3E3BF430"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fair value of the acquired identifiable intangible assets of </w:t>
      </w:r>
      <w:r w:rsidR="00D73799">
        <w:rPr>
          <w:color w:val="000000"/>
          <w:sz w:val="20"/>
          <w:szCs w:val="20"/>
        </w:rPr>
        <w:t>EUR</w:t>
      </w:r>
      <w:r>
        <w:rPr>
          <w:color w:val="000000"/>
          <w:sz w:val="20"/>
          <w:szCs w:val="20"/>
        </w:rPr>
        <w:t xml:space="preserve"> _____ thousand is provisional pending receipt of the final valuations for those assets.</w:t>
      </w:r>
    </w:p>
    <w:p w14:paraId="4FB8EF42" w14:textId="5B4AA53A" w:rsidR="00D83E33" w:rsidRDefault="00BC4072" w:rsidP="001B330E">
      <w:pPr>
        <w:pStyle w:val="Continued"/>
        <w:rPr>
          <w:i/>
        </w:rPr>
      </w:pPr>
      <w:r>
        <w:lastRenderedPageBreak/>
        <w:t>52</w:t>
      </w:r>
      <w:r>
        <w:tab/>
        <w:t>Business Combinations (Continued)</w:t>
      </w:r>
    </w:p>
    <w:p w14:paraId="04BFA2BA"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For each class of acquired receivables, the gross contractual amounts receivable and the best estimate of the contractual cash flows not expected to be collected are as follows:</w:t>
      </w:r>
    </w:p>
    <w:tbl>
      <w:tblPr>
        <w:tblStyle w:val="affffffffffffffffff2"/>
        <w:tblW w:w="5000" w:type="pct"/>
        <w:tblLayout w:type="fixed"/>
        <w:tblLook w:val="0000" w:firstRow="0" w:lastRow="0" w:firstColumn="0" w:lastColumn="0" w:noHBand="0" w:noVBand="0"/>
      </w:tblPr>
      <w:tblGrid>
        <w:gridCol w:w="5953"/>
        <w:gridCol w:w="1701"/>
        <w:gridCol w:w="1701"/>
      </w:tblGrid>
      <w:tr w:rsidR="00D83E33" w:rsidRPr="00D95E75" w14:paraId="5EC6B184" w14:textId="77777777" w:rsidTr="001B330E">
        <w:trPr>
          <w:trHeight w:val="23"/>
        </w:trPr>
        <w:tc>
          <w:tcPr>
            <w:tcW w:w="3182" w:type="pct"/>
            <w:tcBorders>
              <w:bottom w:val="single" w:sz="4" w:space="0" w:color="000000"/>
            </w:tcBorders>
            <w:vAlign w:val="bottom"/>
          </w:tcPr>
          <w:p w14:paraId="46D274B0" w14:textId="1D139F9E" w:rsidR="00D83E33" w:rsidRPr="00D95E75"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909" w:type="pct"/>
            <w:tcBorders>
              <w:bottom w:val="single" w:sz="4" w:space="0" w:color="000000"/>
            </w:tcBorders>
          </w:tcPr>
          <w:p w14:paraId="12D369D8"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Gross contractual amounts receivable</w:t>
            </w:r>
          </w:p>
        </w:tc>
        <w:tc>
          <w:tcPr>
            <w:tcW w:w="909" w:type="pct"/>
            <w:tcBorders>
              <w:bottom w:val="single" w:sz="4" w:space="0" w:color="000000"/>
            </w:tcBorders>
          </w:tcPr>
          <w:p w14:paraId="53903824"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The contractual cash flows not expected to be collected</w:t>
            </w:r>
          </w:p>
        </w:tc>
      </w:tr>
      <w:tr w:rsidR="00D83E33" w:rsidRPr="00D95E75" w14:paraId="7318B99E" w14:textId="77777777" w:rsidTr="001B330E">
        <w:trPr>
          <w:trHeight w:val="23"/>
        </w:trPr>
        <w:tc>
          <w:tcPr>
            <w:tcW w:w="3182" w:type="pct"/>
            <w:vAlign w:val="bottom"/>
          </w:tcPr>
          <w:p w14:paraId="0794F923"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09" w:type="pct"/>
            <w:vAlign w:val="bottom"/>
          </w:tcPr>
          <w:p w14:paraId="79266191"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5079FE2C"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0F94B99" w14:textId="77777777" w:rsidTr="001B330E">
        <w:trPr>
          <w:trHeight w:val="23"/>
        </w:trPr>
        <w:tc>
          <w:tcPr>
            <w:tcW w:w="3182" w:type="pct"/>
            <w:vAlign w:val="bottom"/>
          </w:tcPr>
          <w:p w14:paraId="1695E839" w14:textId="77777777" w:rsidR="00D83E33" w:rsidRPr="00D95E75" w:rsidRDefault="00BC4072" w:rsidP="001B330E">
            <w:pPr>
              <w:widowControl w:val="0"/>
              <w:pBdr>
                <w:top w:val="nil"/>
                <w:left w:val="nil"/>
                <w:bottom w:val="nil"/>
                <w:right w:val="nil"/>
                <w:between w:val="nil"/>
              </w:pBdr>
              <w:ind w:left="113" w:hanging="113"/>
              <w:rPr>
                <w:b/>
                <w:i/>
                <w:color w:val="000000"/>
              </w:rPr>
            </w:pPr>
            <w:r w:rsidRPr="00D95E75">
              <w:rPr>
                <w:b/>
                <w:i/>
                <w:color w:val="000000"/>
              </w:rPr>
              <w:t>Loans and advances to customers</w:t>
            </w:r>
          </w:p>
        </w:tc>
        <w:tc>
          <w:tcPr>
            <w:tcW w:w="909" w:type="pct"/>
            <w:vAlign w:val="bottom"/>
          </w:tcPr>
          <w:p w14:paraId="0FFA9612"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1B5BEF5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FEA7394" w14:textId="77777777" w:rsidTr="001B330E">
        <w:trPr>
          <w:trHeight w:val="23"/>
        </w:trPr>
        <w:tc>
          <w:tcPr>
            <w:tcW w:w="3182" w:type="pct"/>
            <w:vAlign w:val="bottom"/>
          </w:tcPr>
          <w:p w14:paraId="66D5FD81"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Corporate loans</w:t>
            </w:r>
          </w:p>
        </w:tc>
        <w:tc>
          <w:tcPr>
            <w:tcW w:w="909" w:type="pct"/>
            <w:vAlign w:val="bottom"/>
          </w:tcPr>
          <w:p w14:paraId="3A6B1E4C"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3A761AA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330A66A" w14:textId="77777777" w:rsidTr="001B330E">
        <w:trPr>
          <w:trHeight w:val="23"/>
        </w:trPr>
        <w:tc>
          <w:tcPr>
            <w:tcW w:w="3182" w:type="pct"/>
            <w:vAlign w:val="bottom"/>
          </w:tcPr>
          <w:p w14:paraId="4060E3F6"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Loans to individuals ‒ consumer loans</w:t>
            </w:r>
          </w:p>
        </w:tc>
        <w:tc>
          <w:tcPr>
            <w:tcW w:w="909" w:type="pct"/>
            <w:vAlign w:val="bottom"/>
          </w:tcPr>
          <w:p w14:paraId="60161D1F"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4B68166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296785B" w14:textId="77777777" w:rsidTr="001B330E">
        <w:trPr>
          <w:trHeight w:val="23"/>
        </w:trPr>
        <w:tc>
          <w:tcPr>
            <w:tcW w:w="3182" w:type="pct"/>
            <w:vAlign w:val="bottom"/>
          </w:tcPr>
          <w:p w14:paraId="2C6D1C68"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Loans to individuals ‒ entrepreneurs</w:t>
            </w:r>
          </w:p>
        </w:tc>
        <w:tc>
          <w:tcPr>
            <w:tcW w:w="909" w:type="pct"/>
            <w:vAlign w:val="bottom"/>
          </w:tcPr>
          <w:p w14:paraId="70E78AD5"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7DC6116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CE3471D" w14:textId="77777777" w:rsidTr="001B330E">
        <w:trPr>
          <w:trHeight w:val="23"/>
        </w:trPr>
        <w:tc>
          <w:tcPr>
            <w:tcW w:w="3182" w:type="pct"/>
            <w:vAlign w:val="bottom"/>
          </w:tcPr>
          <w:p w14:paraId="5194101A"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Mortgage loans</w:t>
            </w:r>
          </w:p>
        </w:tc>
        <w:tc>
          <w:tcPr>
            <w:tcW w:w="909" w:type="pct"/>
            <w:vAlign w:val="bottom"/>
          </w:tcPr>
          <w:p w14:paraId="383A9581"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3A864A7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29DA332" w14:textId="77777777" w:rsidTr="001B330E">
        <w:trPr>
          <w:trHeight w:val="23"/>
        </w:trPr>
        <w:tc>
          <w:tcPr>
            <w:tcW w:w="3182" w:type="pct"/>
            <w:vAlign w:val="bottom"/>
          </w:tcPr>
          <w:p w14:paraId="462C10DB"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Reverse sale and repurchase agreements</w:t>
            </w:r>
          </w:p>
        </w:tc>
        <w:tc>
          <w:tcPr>
            <w:tcW w:w="909" w:type="pct"/>
            <w:vAlign w:val="bottom"/>
          </w:tcPr>
          <w:p w14:paraId="238F7BED"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5291E8D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AA83649" w14:textId="77777777" w:rsidTr="001B330E">
        <w:trPr>
          <w:trHeight w:val="23"/>
        </w:trPr>
        <w:tc>
          <w:tcPr>
            <w:tcW w:w="3182" w:type="pct"/>
            <w:vAlign w:val="bottom"/>
          </w:tcPr>
          <w:p w14:paraId="348A8603" w14:textId="07CAC4A5"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 State and municipal organisations </w:t>
            </w:r>
          </w:p>
        </w:tc>
        <w:tc>
          <w:tcPr>
            <w:tcW w:w="909" w:type="pct"/>
            <w:vAlign w:val="bottom"/>
          </w:tcPr>
          <w:p w14:paraId="4143FA8E"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67EFEEC7"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3DC929B" w14:textId="77777777" w:rsidTr="001B330E">
        <w:trPr>
          <w:trHeight w:val="23"/>
        </w:trPr>
        <w:tc>
          <w:tcPr>
            <w:tcW w:w="3182" w:type="pct"/>
            <w:vAlign w:val="bottom"/>
          </w:tcPr>
          <w:p w14:paraId="2237813D" w14:textId="77777777" w:rsidR="00D83E33" w:rsidRPr="00D95E75" w:rsidRDefault="00BC4072" w:rsidP="001B330E">
            <w:pPr>
              <w:widowControl w:val="0"/>
              <w:pBdr>
                <w:top w:val="nil"/>
                <w:left w:val="nil"/>
                <w:bottom w:val="nil"/>
                <w:right w:val="nil"/>
                <w:between w:val="nil"/>
              </w:pBdr>
              <w:ind w:left="113" w:hanging="113"/>
              <w:rPr>
                <w:b/>
                <w:i/>
                <w:color w:val="000000"/>
              </w:rPr>
            </w:pPr>
            <w:r w:rsidRPr="00D95E75">
              <w:rPr>
                <w:b/>
                <w:i/>
                <w:color w:val="000000"/>
              </w:rPr>
              <w:t>Other financial assets:</w:t>
            </w:r>
          </w:p>
        </w:tc>
        <w:tc>
          <w:tcPr>
            <w:tcW w:w="909" w:type="pct"/>
            <w:vAlign w:val="bottom"/>
          </w:tcPr>
          <w:p w14:paraId="4665B83B"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47599CAE"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F1923B9" w14:textId="77777777" w:rsidTr="001B330E">
        <w:trPr>
          <w:trHeight w:val="23"/>
        </w:trPr>
        <w:tc>
          <w:tcPr>
            <w:tcW w:w="3182" w:type="pct"/>
            <w:vAlign w:val="bottom"/>
          </w:tcPr>
          <w:p w14:paraId="4FF12484"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Trade receivables</w:t>
            </w:r>
          </w:p>
        </w:tc>
        <w:tc>
          <w:tcPr>
            <w:tcW w:w="909" w:type="pct"/>
            <w:vAlign w:val="bottom"/>
          </w:tcPr>
          <w:p w14:paraId="7112BE7B"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77226F6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50E4AE5" w14:textId="77777777" w:rsidTr="001B330E">
        <w:trPr>
          <w:trHeight w:val="23"/>
        </w:trPr>
        <w:tc>
          <w:tcPr>
            <w:tcW w:w="3182" w:type="pct"/>
            <w:vAlign w:val="bottom"/>
          </w:tcPr>
          <w:p w14:paraId="027C77E8"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Finance lease receivables</w:t>
            </w:r>
          </w:p>
        </w:tc>
        <w:tc>
          <w:tcPr>
            <w:tcW w:w="909" w:type="pct"/>
            <w:vAlign w:val="bottom"/>
          </w:tcPr>
          <w:p w14:paraId="7C10B0F5"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2761914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1101701" w14:textId="77777777" w:rsidTr="001B330E">
        <w:trPr>
          <w:trHeight w:val="23"/>
        </w:trPr>
        <w:tc>
          <w:tcPr>
            <w:tcW w:w="3182" w:type="pct"/>
            <w:vAlign w:val="bottom"/>
          </w:tcPr>
          <w:p w14:paraId="705C1CB0"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Credit and debit cards receivables</w:t>
            </w:r>
          </w:p>
        </w:tc>
        <w:tc>
          <w:tcPr>
            <w:tcW w:w="909" w:type="pct"/>
            <w:vAlign w:val="bottom"/>
          </w:tcPr>
          <w:p w14:paraId="18C5828D"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6C2E236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C4DC760" w14:textId="77777777" w:rsidTr="001B330E">
        <w:trPr>
          <w:trHeight w:val="23"/>
        </w:trPr>
        <w:tc>
          <w:tcPr>
            <w:tcW w:w="3182" w:type="pct"/>
            <w:vAlign w:val="bottom"/>
          </w:tcPr>
          <w:p w14:paraId="214F6864"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Settlements on conversion operations</w:t>
            </w:r>
          </w:p>
        </w:tc>
        <w:tc>
          <w:tcPr>
            <w:tcW w:w="909" w:type="pct"/>
            <w:vAlign w:val="bottom"/>
          </w:tcPr>
          <w:p w14:paraId="7E6494CC"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73AD597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54BBEB6" w14:textId="77777777" w:rsidTr="001B330E">
        <w:trPr>
          <w:trHeight w:val="23"/>
        </w:trPr>
        <w:tc>
          <w:tcPr>
            <w:tcW w:w="3182" w:type="pct"/>
            <w:tcBorders>
              <w:bottom w:val="single" w:sz="4" w:space="0" w:color="000000"/>
            </w:tcBorders>
            <w:vAlign w:val="bottom"/>
          </w:tcPr>
          <w:p w14:paraId="2EE6A10B"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w:t>
            </w:r>
          </w:p>
        </w:tc>
        <w:tc>
          <w:tcPr>
            <w:tcW w:w="909" w:type="pct"/>
            <w:tcBorders>
              <w:bottom w:val="single" w:sz="4" w:space="0" w:color="000000"/>
            </w:tcBorders>
            <w:vAlign w:val="bottom"/>
          </w:tcPr>
          <w:p w14:paraId="60BCDD70" w14:textId="77777777" w:rsidR="00D83E33" w:rsidRPr="00D95E75" w:rsidRDefault="00D83E33">
            <w:pPr>
              <w:widowControl w:val="0"/>
              <w:pBdr>
                <w:top w:val="nil"/>
                <w:left w:val="nil"/>
                <w:bottom w:val="nil"/>
                <w:right w:val="nil"/>
                <w:between w:val="nil"/>
              </w:pBdr>
              <w:jc w:val="right"/>
              <w:rPr>
                <w:color w:val="000000"/>
              </w:rPr>
            </w:pPr>
          </w:p>
        </w:tc>
        <w:tc>
          <w:tcPr>
            <w:tcW w:w="909" w:type="pct"/>
            <w:tcBorders>
              <w:bottom w:val="single" w:sz="4" w:space="0" w:color="000000"/>
            </w:tcBorders>
            <w:vAlign w:val="bottom"/>
          </w:tcPr>
          <w:p w14:paraId="4888059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BED186E" w14:textId="77777777" w:rsidTr="001B330E">
        <w:trPr>
          <w:trHeight w:val="23"/>
        </w:trPr>
        <w:tc>
          <w:tcPr>
            <w:tcW w:w="3182" w:type="pct"/>
            <w:tcBorders>
              <w:top w:val="single" w:sz="4" w:space="0" w:color="000000"/>
            </w:tcBorders>
            <w:vAlign w:val="bottom"/>
          </w:tcPr>
          <w:p w14:paraId="65E016D2"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w:t>
            </w:r>
          </w:p>
        </w:tc>
        <w:tc>
          <w:tcPr>
            <w:tcW w:w="909" w:type="pct"/>
            <w:tcBorders>
              <w:top w:val="single" w:sz="4" w:space="0" w:color="000000"/>
            </w:tcBorders>
            <w:vAlign w:val="bottom"/>
          </w:tcPr>
          <w:p w14:paraId="60D853CC" w14:textId="77777777" w:rsidR="00D83E33" w:rsidRPr="00D95E75" w:rsidRDefault="00D83E33">
            <w:pPr>
              <w:widowControl w:val="0"/>
              <w:pBdr>
                <w:top w:val="nil"/>
                <w:left w:val="nil"/>
                <w:bottom w:val="nil"/>
                <w:right w:val="nil"/>
                <w:between w:val="nil"/>
              </w:pBdr>
              <w:jc w:val="right"/>
              <w:rPr>
                <w:color w:val="000000"/>
              </w:rPr>
            </w:pPr>
          </w:p>
        </w:tc>
        <w:tc>
          <w:tcPr>
            <w:tcW w:w="909" w:type="pct"/>
            <w:tcBorders>
              <w:top w:val="single" w:sz="4" w:space="0" w:color="000000"/>
            </w:tcBorders>
            <w:vAlign w:val="bottom"/>
          </w:tcPr>
          <w:p w14:paraId="6613AD5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E2B7309" w14:textId="77777777" w:rsidTr="001B330E">
        <w:trPr>
          <w:trHeight w:val="23"/>
        </w:trPr>
        <w:tc>
          <w:tcPr>
            <w:tcW w:w="3182" w:type="pct"/>
            <w:vAlign w:val="bottom"/>
          </w:tcPr>
          <w:p w14:paraId="71CEEE2D"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Total</w:t>
            </w:r>
          </w:p>
        </w:tc>
        <w:tc>
          <w:tcPr>
            <w:tcW w:w="909" w:type="pct"/>
            <w:vAlign w:val="bottom"/>
          </w:tcPr>
          <w:p w14:paraId="2A9439B9"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13772DF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4D784AD" w14:textId="77777777" w:rsidTr="001B330E">
        <w:trPr>
          <w:trHeight w:val="23"/>
        </w:trPr>
        <w:tc>
          <w:tcPr>
            <w:tcW w:w="3182" w:type="pct"/>
            <w:tcBorders>
              <w:bottom w:val="single" w:sz="12" w:space="0" w:color="000000"/>
            </w:tcBorders>
            <w:vAlign w:val="bottom"/>
          </w:tcPr>
          <w:p w14:paraId="43E90858"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09" w:type="pct"/>
            <w:tcBorders>
              <w:bottom w:val="single" w:sz="12" w:space="0" w:color="000000"/>
            </w:tcBorders>
            <w:vAlign w:val="bottom"/>
          </w:tcPr>
          <w:p w14:paraId="5DF1FD45" w14:textId="77777777" w:rsidR="00D83E33" w:rsidRPr="00D95E75" w:rsidRDefault="00D83E33">
            <w:pPr>
              <w:widowControl w:val="0"/>
              <w:pBdr>
                <w:top w:val="nil"/>
                <w:left w:val="nil"/>
                <w:bottom w:val="nil"/>
                <w:right w:val="nil"/>
                <w:between w:val="nil"/>
              </w:pBdr>
              <w:jc w:val="right"/>
              <w:rPr>
                <w:b/>
                <w:color w:val="000000"/>
              </w:rPr>
            </w:pPr>
          </w:p>
        </w:tc>
        <w:tc>
          <w:tcPr>
            <w:tcW w:w="909" w:type="pct"/>
            <w:tcBorders>
              <w:bottom w:val="single" w:sz="12" w:space="0" w:color="000000"/>
            </w:tcBorders>
            <w:vAlign w:val="bottom"/>
          </w:tcPr>
          <w:p w14:paraId="278E3016" w14:textId="77777777" w:rsidR="00D83E33" w:rsidRPr="00D95E75" w:rsidRDefault="00D83E33">
            <w:pPr>
              <w:widowControl w:val="0"/>
              <w:pBdr>
                <w:top w:val="nil"/>
                <w:left w:val="nil"/>
                <w:bottom w:val="nil"/>
                <w:right w:val="nil"/>
                <w:between w:val="nil"/>
              </w:pBdr>
              <w:jc w:val="right"/>
              <w:rPr>
                <w:b/>
                <w:color w:val="000000"/>
              </w:rPr>
            </w:pPr>
          </w:p>
        </w:tc>
      </w:tr>
    </w:tbl>
    <w:p w14:paraId="2B099BAB" w14:textId="11D50C82"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Contingent tax exposures are attributable to </w:t>
      </w:r>
      <w:r>
        <w:rPr>
          <w:color w:val="0000FF"/>
          <w:sz w:val="20"/>
          <w:szCs w:val="20"/>
        </w:rPr>
        <w:t xml:space="preserve">[transfer pricing tax risks] </w:t>
      </w:r>
      <w:r>
        <w:rPr>
          <w:color w:val="000000"/>
          <w:sz w:val="20"/>
          <w:szCs w:val="20"/>
        </w:rPr>
        <w:t xml:space="preserve">and expire within </w:t>
      </w:r>
      <w:r>
        <w:rPr>
          <w:color w:val="0000FF"/>
          <w:sz w:val="20"/>
          <w:szCs w:val="20"/>
        </w:rPr>
        <w:t>[three]</w:t>
      </w:r>
      <w:r>
        <w:rPr>
          <w:color w:val="000000"/>
          <w:sz w:val="20"/>
          <w:szCs w:val="20"/>
        </w:rPr>
        <w:t xml:space="preserve"> years from acquisition. Refer to Note 43. </w:t>
      </w:r>
      <w:r>
        <w:rPr>
          <w:i/>
          <w:color w:val="FF0000"/>
          <w:sz w:val="20"/>
          <w:szCs w:val="20"/>
        </w:rPr>
        <w:t>[If a contingent liability is not recognised because its fair value cannot be measured reliably, the acquirer shall disclose: (i) the information required by paragraph 86 of IAS 37; and (ii) the reasons why the liability cannot be measured reliably.]</w:t>
      </w:r>
    </w:p>
    <w:p w14:paraId="2AA5B927" w14:textId="27BEBEAE"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goodwill is primarily attributable to the profitability of the acquired business, the significant synergies and combined cost savings expected to arise. </w:t>
      </w:r>
      <w:r>
        <w:rPr>
          <w:i/>
          <w:color w:val="FF0000"/>
          <w:sz w:val="20"/>
          <w:szCs w:val="20"/>
        </w:rPr>
        <w:t xml:space="preserve">[The requirement is to disclose description of factors that make up the goodwill.] </w:t>
      </w:r>
      <w:r>
        <w:rPr>
          <w:color w:val="000000"/>
          <w:sz w:val="20"/>
          <w:szCs w:val="20"/>
        </w:rPr>
        <w:t>The goodwill will not be deductible for tax purposes in future periods.</w:t>
      </w:r>
      <w:r>
        <w:rPr>
          <w:color w:val="FF0000"/>
          <w:sz w:val="20"/>
          <w:szCs w:val="20"/>
        </w:rPr>
        <w:t xml:space="preserve"> </w:t>
      </w:r>
    </w:p>
    <w:p w14:paraId="32BCD254" w14:textId="56997112"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acquired subsidiary contributed revenue of </w:t>
      </w:r>
      <w:r w:rsidR="00D73799">
        <w:rPr>
          <w:color w:val="000000"/>
          <w:sz w:val="20"/>
          <w:szCs w:val="20"/>
        </w:rPr>
        <w:t>EUR</w:t>
      </w:r>
      <w:r>
        <w:rPr>
          <w:color w:val="000000"/>
          <w:sz w:val="20"/>
          <w:szCs w:val="20"/>
        </w:rPr>
        <w:t xml:space="preserve"> _____ thousand and profit of </w:t>
      </w:r>
      <w:r w:rsidR="00D73799">
        <w:rPr>
          <w:color w:val="000000"/>
          <w:sz w:val="20"/>
          <w:szCs w:val="20"/>
        </w:rPr>
        <w:t>EUR</w:t>
      </w:r>
      <w:r>
        <w:rPr>
          <w:color w:val="000000"/>
          <w:sz w:val="20"/>
          <w:szCs w:val="20"/>
        </w:rPr>
        <w:t xml:space="preserve"> _____ thousand to the Group for the period from the date of acquisition to 31</w:t>
      </w:r>
      <w:r w:rsidR="00181687">
        <w:rPr>
          <w:color w:val="000000"/>
          <w:sz w:val="20"/>
          <w:szCs w:val="20"/>
        </w:rPr>
        <w:t> December </w:t>
      </w:r>
      <w:r w:rsidR="00541EBC">
        <w:rPr>
          <w:color w:val="000000"/>
          <w:sz w:val="20"/>
          <w:szCs w:val="20"/>
        </w:rPr>
        <w:t>2024</w:t>
      </w:r>
      <w:r>
        <w:rPr>
          <w:color w:val="000000"/>
          <w:sz w:val="20"/>
          <w:szCs w:val="20"/>
        </w:rPr>
        <w:t xml:space="preserve">. If the acquisition had occurred on 1 January </w:t>
      </w:r>
      <w:r w:rsidR="00541EBC">
        <w:rPr>
          <w:color w:val="000000"/>
          <w:sz w:val="20"/>
          <w:szCs w:val="20"/>
        </w:rPr>
        <w:t>2024</w:t>
      </w:r>
      <w:r>
        <w:rPr>
          <w:color w:val="000000"/>
          <w:sz w:val="20"/>
          <w:szCs w:val="20"/>
        </w:rPr>
        <w:t xml:space="preserve">, Group revenue for </w:t>
      </w:r>
      <w:r w:rsidR="00541EBC">
        <w:rPr>
          <w:color w:val="000000"/>
          <w:sz w:val="20"/>
          <w:szCs w:val="20"/>
        </w:rPr>
        <w:t>2024</w:t>
      </w:r>
      <w:r>
        <w:rPr>
          <w:color w:val="000000"/>
          <w:sz w:val="20"/>
          <w:szCs w:val="20"/>
        </w:rPr>
        <w:t xml:space="preserve"> would have been </w:t>
      </w:r>
      <w:r w:rsidR="00D73799">
        <w:rPr>
          <w:color w:val="000000"/>
          <w:sz w:val="20"/>
          <w:szCs w:val="20"/>
        </w:rPr>
        <w:t>EUR</w:t>
      </w:r>
      <w:r>
        <w:rPr>
          <w:color w:val="000000"/>
          <w:sz w:val="20"/>
          <w:szCs w:val="20"/>
        </w:rPr>
        <w:t xml:space="preserve"> _____ thousand, and profit for </w:t>
      </w:r>
      <w:r w:rsidR="00541EBC">
        <w:rPr>
          <w:color w:val="000000"/>
          <w:sz w:val="20"/>
          <w:szCs w:val="20"/>
        </w:rPr>
        <w:t>2024</w:t>
      </w:r>
      <w:r>
        <w:rPr>
          <w:color w:val="000000"/>
          <w:sz w:val="20"/>
          <w:szCs w:val="20"/>
        </w:rPr>
        <w:t xml:space="preserve"> would have been </w:t>
      </w:r>
      <w:r w:rsidR="00D73799">
        <w:rPr>
          <w:color w:val="000000"/>
          <w:sz w:val="20"/>
          <w:szCs w:val="20"/>
        </w:rPr>
        <w:t>EUR</w:t>
      </w:r>
      <w:r>
        <w:rPr>
          <w:color w:val="000000"/>
          <w:sz w:val="20"/>
          <w:szCs w:val="20"/>
        </w:rPr>
        <w:t xml:space="preserve"> _____ thousand.</w:t>
      </w:r>
    </w:p>
    <w:p w14:paraId="10DDAD18" w14:textId="77777777" w:rsidR="00D83E33" w:rsidRDefault="00BC4072" w:rsidP="001B330E">
      <w:pPr>
        <w:pStyle w:val="Heading1"/>
      </w:pPr>
      <w:bookmarkStart w:id="128" w:name="_Toc179196055"/>
      <w:r w:rsidRPr="002762A6">
        <w:t>Events</w:t>
      </w:r>
      <w:r>
        <w:t xml:space="preserve"> after the End of the Reporting Period</w:t>
      </w:r>
      <w:bookmarkEnd w:id="128"/>
    </w:p>
    <w:p w14:paraId="5EA3FA3E" w14:textId="016306F9" w:rsidR="004E4465" w:rsidRPr="00372E26" w:rsidRDefault="004E4465" w:rsidP="00372E26">
      <w:pPr>
        <w:keepNext/>
        <w:keepLines/>
        <w:widowControl w:val="0"/>
        <w:pBdr>
          <w:top w:val="nil"/>
          <w:left w:val="nil"/>
          <w:bottom w:val="nil"/>
          <w:right w:val="nil"/>
          <w:between w:val="nil"/>
        </w:pBdr>
        <w:spacing w:after="240"/>
        <w:jc w:val="both"/>
        <w:rPr>
          <w:color w:val="0000FF"/>
          <w:sz w:val="20"/>
          <w:szCs w:val="20"/>
        </w:rPr>
      </w:pPr>
      <w:r>
        <w:rPr>
          <w:b/>
          <w:i/>
          <w:color w:val="000000"/>
          <w:sz w:val="20"/>
          <w:szCs w:val="20"/>
        </w:rPr>
        <w:t>Russian invasion of Ukraine.</w:t>
      </w:r>
      <w:r>
        <w:rPr>
          <w:i/>
          <w:color w:val="000000"/>
          <w:sz w:val="20"/>
          <w:szCs w:val="20"/>
        </w:rPr>
        <w:t xml:space="preserve"> </w:t>
      </w:r>
      <w:r>
        <w:rPr>
          <w:i/>
          <w:color w:val="0000FF"/>
          <w:sz w:val="20"/>
          <w:szCs w:val="20"/>
        </w:rPr>
        <w:t>[Provide description of events and developments of the situation in Ukraine after the reporting date affecting the Group’s operations</w:t>
      </w:r>
      <w:r w:rsidR="00DE1359">
        <w:rPr>
          <w:i/>
          <w:color w:val="0000FF"/>
          <w:sz w:val="20"/>
          <w:szCs w:val="20"/>
        </w:rPr>
        <w:t>, if relevant.</w:t>
      </w:r>
      <w:r>
        <w:rPr>
          <w:i/>
          <w:color w:val="0000FF"/>
          <w:sz w:val="20"/>
          <w:szCs w:val="20"/>
        </w:rPr>
        <w:t>]</w:t>
      </w:r>
    </w:p>
    <w:p w14:paraId="58B6D6AD" w14:textId="5411142D" w:rsidR="00D83E33" w:rsidRDefault="00BC4072">
      <w:pPr>
        <w:widowControl w:val="0"/>
        <w:pBdr>
          <w:top w:val="nil"/>
          <w:left w:val="nil"/>
          <w:bottom w:val="nil"/>
          <w:right w:val="nil"/>
          <w:between w:val="nil"/>
        </w:pBdr>
        <w:spacing w:before="200" w:after="200"/>
        <w:jc w:val="both"/>
        <w:rPr>
          <w:color w:val="0000FF"/>
          <w:sz w:val="20"/>
          <w:szCs w:val="20"/>
        </w:rPr>
      </w:pPr>
      <w:r>
        <w:rPr>
          <w:b/>
          <w:i/>
          <w:color w:val="000000"/>
          <w:sz w:val="20"/>
          <w:szCs w:val="20"/>
        </w:rPr>
        <w:t xml:space="preserve">Dividends. </w:t>
      </w:r>
      <w:r>
        <w:rPr>
          <w:color w:val="000000"/>
          <w:sz w:val="20"/>
          <w:szCs w:val="20"/>
        </w:rPr>
        <w:t xml:space="preserve">Management proposed to the </w:t>
      </w:r>
      <w:r>
        <w:rPr>
          <w:color w:val="0000FF"/>
          <w:sz w:val="20"/>
          <w:szCs w:val="20"/>
        </w:rPr>
        <w:t xml:space="preserve">[Annual General Meeting of Shareholders] </w:t>
      </w:r>
      <w:r>
        <w:rPr>
          <w:color w:val="000000"/>
          <w:sz w:val="20"/>
          <w:szCs w:val="20"/>
        </w:rPr>
        <w:t xml:space="preserve">a dividend on ordinary shares in the amount of </w:t>
      </w:r>
      <w:r w:rsidR="00D73799">
        <w:rPr>
          <w:color w:val="000000"/>
          <w:sz w:val="20"/>
          <w:szCs w:val="20"/>
        </w:rPr>
        <w:t>EUR</w:t>
      </w:r>
      <w:r>
        <w:rPr>
          <w:color w:val="000000"/>
          <w:sz w:val="20"/>
          <w:szCs w:val="20"/>
        </w:rPr>
        <w:t>_____ thousand (</w:t>
      </w:r>
      <w:r w:rsidR="00D73799">
        <w:rPr>
          <w:color w:val="000000"/>
          <w:sz w:val="20"/>
          <w:szCs w:val="20"/>
        </w:rPr>
        <w:t>EUR</w:t>
      </w:r>
      <w:r>
        <w:rPr>
          <w:color w:val="000000"/>
          <w:sz w:val="20"/>
          <w:szCs w:val="20"/>
        </w:rPr>
        <w:t xml:space="preserve">_____ per ordinary share) and a dividend on preference shares in the amount of </w:t>
      </w:r>
      <w:r w:rsidR="00D73799">
        <w:rPr>
          <w:color w:val="000000"/>
          <w:sz w:val="20"/>
          <w:szCs w:val="20"/>
        </w:rPr>
        <w:t>EUR</w:t>
      </w:r>
      <w:r>
        <w:rPr>
          <w:color w:val="000000"/>
          <w:sz w:val="20"/>
          <w:szCs w:val="20"/>
        </w:rPr>
        <w:t>_____ thousand (</w:t>
      </w:r>
      <w:r w:rsidR="00D73799">
        <w:rPr>
          <w:color w:val="000000"/>
          <w:sz w:val="20"/>
          <w:szCs w:val="20"/>
        </w:rPr>
        <w:t>EUR</w:t>
      </w:r>
      <w:r>
        <w:rPr>
          <w:color w:val="000000"/>
          <w:sz w:val="20"/>
          <w:szCs w:val="20"/>
        </w:rPr>
        <w:t xml:space="preserve">_____ per preference share or _____% of the nominal value of the underlying preference shares). </w:t>
      </w:r>
      <w:r>
        <w:rPr>
          <w:color w:val="0000FF"/>
          <w:sz w:val="20"/>
          <w:szCs w:val="20"/>
        </w:rPr>
        <w:t>[On _____</w:t>
      </w:r>
      <w:r w:rsidR="00541EBC">
        <w:rPr>
          <w:color w:val="0000FF"/>
          <w:sz w:val="20"/>
          <w:szCs w:val="20"/>
        </w:rPr>
        <w:t>2024</w:t>
      </w:r>
      <w:r>
        <w:rPr>
          <w:color w:val="0000FF"/>
          <w:sz w:val="20"/>
          <w:szCs w:val="20"/>
        </w:rPr>
        <w:t xml:space="preserve"> an [Annual General Meeting of Shareholders] declared a dividend on ordinary shares in the amount of </w:t>
      </w:r>
      <w:r w:rsidR="00D73799">
        <w:rPr>
          <w:color w:val="0000FF"/>
          <w:sz w:val="20"/>
          <w:szCs w:val="20"/>
        </w:rPr>
        <w:t>EUR</w:t>
      </w:r>
      <w:r>
        <w:rPr>
          <w:color w:val="0000FF"/>
          <w:sz w:val="20"/>
          <w:szCs w:val="20"/>
        </w:rPr>
        <w:t>_____ thousand (</w:t>
      </w:r>
      <w:r w:rsidR="00D73799">
        <w:rPr>
          <w:color w:val="0000FF"/>
          <w:sz w:val="20"/>
          <w:szCs w:val="20"/>
        </w:rPr>
        <w:t>EUR</w:t>
      </w:r>
      <w:r>
        <w:rPr>
          <w:color w:val="0000FF"/>
          <w:sz w:val="20"/>
          <w:szCs w:val="20"/>
        </w:rPr>
        <w:t xml:space="preserve">_____ per ordinary share) and a dividend on preference shares in the amount of </w:t>
      </w:r>
      <w:r w:rsidR="00D73799">
        <w:rPr>
          <w:color w:val="0000FF"/>
          <w:sz w:val="20"/>
          <w:szCs w:val="20"/>
        </w:rPr>
        <w:t>EUR</w:t>
      </w:r>
      <w:r>
        <w:rPr>
          <w:color w:val="0000FF"/>
          <w:sz w:val="20"/>
          <w:szCs w:val="20"/>
        </w:rPr>
        <w:t>_____ thousand (</w:t>
      </w:r>
      <w:r w:rsidR="00D73799">
        <w:rPr>
          <w:color w:val="0000FF"/>
          <w:sz w:val="20"/>
          <w:szCs w:val="20"/>
        </w:rPr>
        <w:t>EUR</w:t>
      </w:r>
      <w:r>
        <w:rPr>
          <w:color w:val="0000FF"/>
          <w:sz w:val="20"/>
          <w:szCs w:val="20"/>
        </w:rPr>
        <w:t>_____ per preference share or _____% of the nominal value of the underlying preference shares).]</w:t>
      </w:r>
    </w:p>
    <w:p w14:paraId="7956837C" w14:textId="4A61BEB5" w:rsidR="00D83E33" w:rsidRDefault="00BC4072" w:rsidP="001B330E">
      <w:pPr>
        <w:pStyle w:val="Continued"/>
      </w:pPr>
      <w:r>
        <w:lastRenderedPageBreak/>
        <w:t>53</w:t>
      </w:r>
      <w:r>
        <w:tab/>
        <w:t>Events after the End of the Reporting Period (Continued)</w:t>
      </w:r>
    </w:p>
    <w:p w14:paraId="06FF27AF" w14:textId="12BFAAD2"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Business combinations. </w:t>
      </w:r>
      <w:r>
        <w:rPr>
          <w:i/>
          <w:color w:val="FF0000"/>
          <w:sz w:val="20"/>
          <w:szCs w:val="20"/>
        </w:rPr>
        <w:t xml:space="preserve">[If the acquisition date of a business combination is after the end of the reporting period but before the financial statements are authorised for issue, the acquirer shall disclose the information required by paragraph B64 of IFRS 3 unless the initial accounting for the business combination is incomplete at the time the financial statements are authorised for issue. In that situation, the acquirer shall describe which disclosures could not be made and the reasons why they cannot be made.] </w:t>
      </w:r>
      <w:r>
        <w:rPr>
          <w:color w:val="000000"/>
          <w:sz w:val="20"/>
          <w:szCs w:val="20"/>
        </w:rPr>
        <w:t xml:space="preserve">On _____ </w:t>
      </w:r>
      <w:r w:rsidR="00541EBC">
        <w:rPr>
          <w:color w:val="000000"/>
          <w:sz w:val="20"/>
          <w:szCs w:val="20"/>
        </w:rPr>
        <w:t>2024</w:t>
      </w:r>
      <w:r>
        <w:rPr>
          <w:color w:val="000000"/>
          <w:sz w:val="20"/>
          <w:szCs w:val="20"/>
        </w:rPr>
        <w:t xml:space="preserve">, the Group acquired _____% of the share capital of _____ and obtained control through its ability to cast a majority of votes in the general meeting of shareholders </w:t>
      </w:r>
      <w:r>
        <w:rPr>
          <w:i/>
          <w:color w:val="FF0000"/>
          <w:sz w:val="20"/>
          <w:szCs w:val="20"/>
        </w:rPr>
        <w:t>[requirement is to describe how acquirer obtained control]</w:t>
      </w:r>
      <w:r>
        <w:rPr>
          <w:color w:val="000000"/>
          <w:sz w:val="20"/>
          <w:szCs w:val="20"/>
        </w:rPr>
        <w:t xml:space="preserve">. The acquired subsidiary will increase the Group’s penetration of its chosen retail and corporate markets and is expected to improve profitability through the economies of scale </w:t>
      </w:r>
      <w:r>
        <w:rPr>
          <w:i/>
          <w:color w:val="FF0000"/>
          <w:sz w:val="20"/>
          <w:szCs w:val="20"/>
        </w:rPr>
        <w:t>[requirement is to disclose reason for the business combination]</w:t>
      </w:r>
      <w:r>
        <w:rPr>
          <w:color w:val="000000"/>
          <w:sz w:val="20"/>
          <w:szCs w:val="20"/>
        </w:rPr>
        <w:t>.</w:t>
      </w:r>
    </w:p>
    <w:p w14:paraId="05A20CF7"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acquisition-date fair value of the total purchase consideration and its components are as follows:</w:t>
      </w:r>
    </w:p>
    <w:tbl>
      <w:tblPr>
        <w:tblStyle w:val="affffffffffffffffff3"/>
        <w:tblW w:w="5000" w:type="pct"/>
        <w:tblLayout w:type="fixed"/>
        <w:tblLook w:val="0000" w:firstRow="0" w:lastRow="0" w:firstColumn="0" w:lastColumn="0" w:noHBand="0" w:noVBand="0"/>
      </w:tblPr>
      <w:tblGrid>
        <w:gridCol w:w="7512"/>
        <w:gridCol w:w="1843"/>
      </w:tblGrid>
      <w:tr w:rsidR="00D83E33" w:rsidRPr="00D95E75" w14:paraId="1BBA7DD9" w14:textId="77777777" w:rsidTr="001B330E">
        <w:trPr>
          <w:trHeight w:val="23"/>
        </w:trPr>
        <w:tc>
          <w:tcPr>
            <w:tcW w:w="4015" w:type="pct"/>
            <w:tcBorders>
              <w:bottom w:val="single" w:sz="4" w:space="0" w:color="000000"/>
            </w:tcBorders>
            <w:vAlign w:val="bottom"/>
          </w:tcPr>
          <w:p w14:paraId="34D80F89" w14:textId="471B7AF2" w:rsidR="00D83E33" w:rsidRPr="00D95E75" w:rsidRDefault="00313B4D" w:rsidP="001B330E">
            <w:pPr>
              <w:widowControl w:val="0"/>
              <w:pBdr>
                <w:top w:val="nil"/>
                <w:left w:val="nil"/>
                <w:bottom w:val="nil"/>
                <w:right w:val="nil"/>
                <w:between w:val="nil"/>
              </w:pBdr>
              <w:ind w:left="113" w:hanging="113"/>
              <w:rPr>
                <w:i/>
                <w:color w:val="000000"/>
              </w:rPr>
            </w:pPr>
            <w:r>
              <w:rPr>
                <w:i/>
                <w:color w:val="000000"/>
              </w:rPr>
              <w:t xml:space="preserve">In thousands of </w:t>
            </w:r>
            <w:r w:rsidR="002649EE">
              <w:rPr>
                <w:i/>
                <w:color w:val="000000"/>
              </w:rPr>
              <w:t>EUR</w:t>
            </w:r>
          </w:p>
        </w:tc>
        <w:tc>
          <w:tcPr>
            <w:tcW w:w="985" w:type="pct"/>
            <w:tcBorders>
              <w:bottom w:val="single" w:sz="4" w:space="0" w:color="000000"/>
            </w:tcBorders>
            <w:vAlign w:val="bottom"/>
          </w:tcPr>
          <w:p w14:paraId="5FD8D043" w14:textId="77777777" w:rsidR="00D83E33" w:rsidRPr="00D95E75" w:rsidRDefault="00D83E33">
            <w:pPr>
              <w:widowControl w:val="0"/>
              <w:pBdr>
                <w:top w:val="nil"/>
                <w:left w:val="nil"/>
                <w:bottom w:val="nil"/>
                <w:right w:val="nil"/>
                <w:between w:val="nil"/>
              </w:pBdr>
              <w:jc w:val="right"/>
              <w:rPr>
                <w:i/>
                <w:color w:val="000000"/>
              </w:rPr>
            </w:pPr>
          </w:p>
        </w:tc>
      </w:tr>
      <w:tr w:rsidR="00D83E33" w:rsidRPr="00D95E75" w14:paraId="1EF3DAA8" w14:textId="77777777" w:rsidTr="001B330E">
        <w:trPr>
          <w:trHeight w:val="23"/>
        </w:trPr>
        <w:tc>
          <w:tcPr>
            <w:tcW w:w="4015" w:type="pct"/>
            <w:tcBorders>
              <w:top w:val="single" w:sz="4" w:space="0" w:color="000000"/>
            </w:tcBorders>
            <w:vAlign w:val="bottom"/>
          </w:tcPr>
          <w:p w14:paraId="5C7AA9B3"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top w:val="single" w:sz="4" w:space="0" w:color="000000"/>
            </w:tcBorders>
            <w:vAlign w:val="bottom"/>
          </w:tcPr>
          <w:p w14:paraId="68CD16E2"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8C894A9" w14:textId="77777777" w:rsidTr="001B330E">
        <w:trPr>
          <w:trHeight w:val="23"/>
        </w:trPr>
        <w:tc>
          <w:tcPr>
            <w:tcW w:w="4015" w:type="pct"/>
            <w:vAlign w:val="bottom"/>
          </w:tcPr>
          <w:p w14:paraId="0C1830DB"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Cash consideration paid</w:t>
            </w:r>
          </w:p>
        </w:tc>
        <w:tc>
          <w:tcPr>
            <w:tcW w:w="985" w:type="pct"/>
            <w:vAlign w:val="bottom"/>
          </w:tcPr>
          <w:p w14:paraId="17170286"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5D606877" w14:textId="77777777" w:rsidTr="001B330E">
        <w:trPr>
          <w:trHeight w:val="23"/>
        </w:trPr>
        <w:tc>
          <w:tcPr>
            <w:tcW w:w="4015" w:type="pct"/>
            <w:vAlign w:val="bottom"/>
          </w:tcPr>
          <w:p w14:paraId="71FC0A42"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Fair value of new issued shares of the acquirer </w:t>
            </w:r>
          </w:p>
        </w:tc>
        <w:tc>
          <w:tcPr>
            <w:tcW w:w="985" w:type="pct"/>
            <w:vAlign w:val="bottom"/>
          </w:tcPr>
          <w:p w14:paraId="6D22714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F3C0E31" w14:textId="77777777" w:rsidTr="001B330E">
        <w:trPr>
          <w:trHeight w:val="23"/>
        </w:trPr>
        <w:tc>
          <w:tcPr>
            <w:tcW w:w="4015" w:type="pct"/>
            <w:vAlign w:val="bottom"/>
          </w:tcPr>
          <w:p w14:paraId="56947592"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Tangible or intangible assets of acquirer transferred</w:t>
            </w:r>
          </w:p>
        </w:tc>
        <w:tc>
          <w:tcPr>
            <w:tcW w:w="985" w:type="pct"/>
            <w:vAlign w:val="bottom"/>
          </w:tcPr>
          <w:p w14:paraId="186F41CD"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47E2E8A" w14:textId="77777777" w:rsidTr="001B330E">
        <w:trPr>
          <w:trHeight w:val="23"/>
        </w:trPr>
        <w:tc>
          <w:tcPr>
            <w:tcW w:w="4015" w:type="pct"/>
            <w:vAlign w:val="bottom"/>
          </w:tcPr>
          <w:p w14:paraId="3DF95AE6"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Liability for contingent consideration incurred</w:t>
            </w:r>
          </w:p>
        </w:tc>
        <w:tc>
          <w:tcPr>
            <w:tcW w:w="985" w:type="pct"/>
            <w:vAlign w:val="bottom"/>
          </w:tcPr>
          <w:p w14:paraId="2220EF0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1E0E2CA" w14:textId="77777777" w:rsidTr="001B330E">
        <w:trPr>
          <w:trHeight w:val="23"/>
        </w:trPr>
        <w:tc>
          <w:tcPr>
            <w:tcW w:w="4015" w:type="pct"/>
            <w:tcBorders>
              <w:bottom w:val="single" w:sz="4" w:space="0" w:color="000000"/>
            </w:tcBorders>
            <w:vAlign w:val="bottom"/>
          </w:tcPr>
          <w:p w14:paraId="57CC45EA"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bottom w:val="single" w:sz="4" w:space="0" w:color="000000"/>
            </w:tcBorders>
            <w:vAlign w:val="bottom"/>
          </w:tcPr>
          <w:p w14:paraId="52A2FD6B"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589E49B" w14:textId="77777777" w:rsidTr="001B330E">
        <w:trPr>
          <w:trHeight w:val="23"/>
        </w:trPr>
        <w:tc>
          <w:tcPr>
            <w:tcW w:w="4015" w:type="pct"/>
            <w:vAlign w:val="bottom"/>
          </w:tcPr>
          <w:p w14:paraId="3B692EF5"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vAlign w:val="bottom"/>
          </w:tcPr>
          <w:p w14:paraId="4D3B431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2D2DC76" w14:textId="77777777" w:rsidTr="001B330E">
        <w:trPr>
          <w:trHeight w:val="23"/>
        </w:trPr>
        <w:tc>
          <w:tcPr>
            <w:tcW w:w="4015" w:type="pct"/>
            <w:vAlign w:val="bottom"/>
          </w:tcPr>
          <w:p w14:paraId="4613F5EF"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Total consideration transferred</w:t>
            </w:r>
          </w:p>
        </w:tc>
        <w:tc>
          <w:tcPr>
            <w:tcW w:w="985" w:type="pct"/>
            <w:vAlign w:val="bottom"/>
          </w:tcPr>
          <w:p w14:paraId="06CEB3C2"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5C3AB656" w14:textId="77777777" w:rsidTr="001B330E">
        <w:trPr>
          <w:trHeight w:val="23"/>
        </w:trPr>
        <w:tc>
          <w:tcPr>
            <w:tcW w:w="4015" w:type="pct"/>
            <w:tcBorders>
              <w:bottom w:val="single" w:sz="4" w:space="0" w:color="000000"/>
            </w:tcBorders>
            <w:vAlign w:val="bottom"/>
          </w:tcPr>
          <w:p w14:paraId="2E60838B"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color w:val="000000"/>
              </w:rPr>
              <w:t> </w:t>
            </w:r>
          </w:p>
        </w:tc>
        <w:tc>
          <w:tcPr>
            <w:tcW w:w="985" w:type="pct"/>
            <w:tcBorders>
              <w:bottom w:val="single" w:sz="4" w:space="0" w:color="000000"/>
            </w:tcBorders>
            <w:vAlign w:val="bottom"/>
          </w:tcPr>
          <w:p w14:paraId="47A33BD2"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697AAC0B" w14:textId="77777777" w:rsidTr="001B330E">
        <w:trPr>
          <w:trHeight w:val="23"/>
        </w:trPr>
        <w:tc>
          <w:tcPr>
            <w:tcW w:w="4015" w:type="pct"/>
            <w:tcBorders>
              <w:top w:val="single" w:sz="4" w:space="0" w:color="000000"/>
            </w:tcBorders>
            <w:vAlign w:val="bottom"/>
          </w:tcPr>
          <w:p w14:paraId="5371F348"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color w:val="000000"/>
              </w:rPr>
              <w:t> </w:t>
            </w:r>
          </w:p>
        </w:tc>
        <w:tc>
          <w:tcPr>
            <w:tcW w:w="985" w:type="pct"/>
            <w:tcBorders>
              <w:top w:val="single" w:sz="4" w:space="0" w:color="000000"/>
            </w:tcBorders>
            <w:vAlign w:val="bottom"/>
          </w:tcPr>
          <w:p w14:paraId="558EFC87"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50F39E3A" w14:textId="77777777" w:rsidTr="001B330E">
        <w:trPr>
          <w:trHeight w:val="23"/>
        </w:trPr>
        <w:tc>
          <w:tcPr>
            <w:tcW w:w="4015" w:type="pct"/>
            <w:vAlign w:val="bottom"/>
          </w:tcPr>
          <w:p w14:paraId="22271C82"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Less remuneration for future services of the former owner</w:t>
            </w:r>
          </w:p>
        </w:tc>
        <w:tc>
          <w:tcPr>
            <w:tcW w:w="985" w:type="pct"/>
            <w:vAlign w:val="bottom"/>
          </w:tcPr>
          <w:p w14:paraId="517D5A07"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C023554" w14:textId="77777777" w:rsidTr="001B330E">
        <w:trPr>
          <w:trHeight w:val="23"/>
        </w:trPr>
        <w:tc>
          <w:tcPr>
            <w:tcW w:w="4015" w:type="pct"/>
            <w:vAlign w:val="bottom"/>
          </w:tcPr>
          <w:p w14:paraId="2D09EF30"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Less indemnification asset</w:t>
            </w:r>
          </w:p>
        </w:tc>
        <w:tc>
          <w:tcPr>
            <w:tcW w:w="985" w:type="pct"/>
            <w:vAlign w:val="bottom"/>
          </w:tcPr>
          <w:p w14:paraId="7129CF4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F38C985" w14:textId="77777777" w:rsidTr="001B330E">
        <w:trPr>
          <w:trHeight w:val="23"/>
        </w:trPr>
        <w:tc>
          <w:tcPr>
            <w:tcW w:w="4015" w:type="pct"/>
            <w:vAlign w:val="bottom"/>
          </w:tcPr>
          <w:p w14:paraId="2BC4C3A4"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Investment in the acquiree prior to the acquisition </w:t>
            </w:r>
          </w:p>
        </w:tc>
        <w:tc>
          <w:tcPr>
            <w:tcW w:w="985" w:type="pct"/>
            <w:vAlign w:val="bottom"/>
          </w:tcPr>
          <w:p w14:paraId="36922240"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3A596CC" w14:textId="77777777" w:rsidTr="001B330E">
        <w:trPr>
          <w:trHeight w:val="23"/>
        </w:trPr>
        <w:tc>
          <w:tcPr>
            <w:tcW w:w="4015" w:type="pct"/>
            <w:tcBorders>
              <w:bottom w:val="single" w:sz="4" w:space="0" w:color="000000"/>
            </w:tcBorders>
            <w:vAlign w:val="bottom"/>
          </w:tcPr>
          <w:p w14:paraId="6097A5BE"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bottom w:val="single" w:sz="4" w:space="0" w:color="000000"/>
            </w:tcBorders>
            <w:vAlign w:val="bottom"/>
          </w:tcPr>
          <w:p w14:paraId="34BE4D3B"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BA0CA41" w14:textId="77777777" w:rsidTr="001B330E">
        <w:trPr>
          <w:trHeight w:val="23"/>
        </w:trPr>
        <w:tc>
          <w:tcPr>
            <w:tcW w:w="4015" w:type="pct"/>
            <w:tcBorders>
              <w:top w:val="single" w:sz="4" w:space="0" w:color="000000"/>
            </w:tcBorders>
            <w:vAlign w:val="bottom"/>
          </w:tcPr>
          <w:p w14:paraId="0296B2BB"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top w:val="single" w:sz="4" w:space="0" w:color="000000"/>
            </w:tcBorders>
            <w:vAlign w:val="bottom"/>
          </w:tcPr>
          <w:p w14:paraId="6A536043"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1D155D5C" w14:textId="77777777" w:rsidTr="001B330E">
        <w:trPr>
          <w:trHeight w:val="23"/>
        </w:trPr>
        <w:tc>
          <w:tcPr>
            <w:tcW w:w="4015" w:type="pct"/>
            <w:vAlign w:val="bottom"/>
          </w:tcPr>
          <w:p w14:paraId="027BD6EA"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Total purchase consideration and previously held interest in the acquire</w:t>
            </w:r>
          </w:p>
        </w:tc>
        <w:tc>
          <w:tcPr>
            <w:tcW w:w="985" w:type="pct"/>
            <w:vAlign w:val="bottom"/>
          </w:tcPr>
          <w:p w14:paraId="63F0846E"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147595F6" w14:textId="77777777" w:rsidTr="001B330E">
        <w:trPr>
          <w:trHeight w:val="23"/>
        </w:trPr>
        <w:tc>
          <w:tcPr>
            <w:tcW w:w="4015" w:type="pct"/>
            <w:tcBorders>
              <w:bottom w:val="single" w:sz="12" w:space="0" w:color="000000"/>
            </w:tcBorders>
            <w:vAlign w:val="bottom"/>
          </w:tcPr>
          <w:p w14:paraId="57AB6464"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85" w:type="pct"/>
            <w:tcBorders>
              <w:bottom w:val="single" w:sz="12" w:space="0" w:color="000000"/>
            </w:tcBorders>
            <w:vAlign w:val="bottom"/>
          </w:tcPr>
          <w:p w14:paraId="65374597" w14:textId="77777777" w:rsidR="00D83E33" w:rsidRPr="00D95E75" w:rsidRDefault="00D83E33">
            <w:pPr>
              <w:widowControl w:val="0"/>
              <w:pBdr>
                <w:top w:val="nil"/>
                <w:left w:val="nil"/>
                <w:bottom w:val="nil"/>
                <w:right w:val="nil"/>
                <w:between w:val="nil"/>
              </w:pBdr>
              <w:jc w:val="right"/>
              <w:rPr>
                <w:b/>
                <w:color w:val="000000"/>
              </w:rPr>
            </w:pPr>
          </w:p>
        </w:tc>
      </w:tr>
    </w:tbl>
    <w:p w14:paraId="7E06CB9D" w14:textId="04486F4F"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investment in the acquiree held prior to the acquisition was remeasured to its fair value at the acquisition date, and a gain of </w:t>
      </w:r>
      <w:r w:rsidR="00D73799">
        <w:rPr>
          <w:color w:val="000000"/>
          <w:sz w:val="20"/>
          <w:szCs w:val="20"/>
        </w:rPr>
        <w:t>EUR</w:t>
      </w:r>
      <w:r>
        <w:rPr>
          <w:color w:val="000000"/>
          <w:sz w:val="20"/>
          <w:szCs w:val="20"/>
        </w:rPr>
        <w:t xml:space="preserve"> ____ thousand was recognised in gains less losses on disposal of </w:t>
      </w:r>
      <w:r>
        <w:rPr>
          <w:color w:val="0000FF"/>
          <w:sz w:val="20"/>
          <w:szCs w:val="20"/>
        </w:rPr>
        <w:t>[associates].</w:t>
      </w:r>
      <w:r>
        <w:rPr>
          <w:color w:val="000000"/>
          <w:sz w:val="20"/>
          <w:szCs w:val="20"/>
        </w:rPr>
        <w:t xml:space="preserve"> The fair value of the new issued shares of the acquirer was determined on the basis of the closing market price of the ordinary shares on the acquisition date.</w:t>
      </w:r>
    </w:p>
    <w:p w14:paraId="65BE50A7" w14:textId="631C3830" w:rsidR="00D83E33" w:rsidRDefault="00BC4072">
      <w:pPr>
        <w:widowControl w:val="0"/>
        <w:pBdr>
          <w:top w:val="nil"/>
          <w:left w:val="nil"/>
          <w:bottom w:val="nil"/>
          <w:right w:val="nil"/>
          <w:between w:val="nil"/>
        </w:pBdr>
        <w:spacing w:before="200" w:after="200"/>
        <w:jc w:val="both"/>
        <w:rPr>
          <w:i/>
          <w:color w:val="FF0000"/>
          <w:sz w:val="20"/>
          <w:szCs w:val="20"/>
        </w:rPr>
      </w:pPr>
      <w:r>
        <w:rPr>
          <w:color w:val="0000FF"/>
          <w:sz w:val="20"/>
          <w:szCs w:val="20"/>
        </w:rPr>
        <w:t xml:space="preserve">[The contingent consideration arrangement requires the Group to pay the former owners of the acquiree ____ per cent of the revenues of an unconsolidated equity investment owned by the acquiree, in excess of </w:t>
      </w:r>
      <w:r w:rsidR="00D73799">
        <w:rPr>
          <w:color w:val="0000FF"/>
          <w:sz w:val="20"/>
          <w:szCs w:val="20"/>
        </w:rPr>
        <w:t>EUR</w:t>
      </w:r>
      <w:r>
        <w:rPr>
          <w:color w:val="0000FF"/>
          <w:sz w:val="20"/>
          <w:szCs w:val="20"/>
        </w:rPr>
        <w:t xml:space="preserve"> ____ thousand for </w:t>
      </w:r>
      <w:r w:rsidR="00541EBC">
        <w:rPr>
          <w:color w:val="0000FF"/>
          <w:sz w:val="20"/>
          <w:szCs w:val="20"/>
        </w:rPr>
        <w:t>2024</w:t>
      </w:r>
      <w:r>
        <w:rPr>
          <w:color w:val="0000FF"/>
          <w:sz w:val="20"/>
          <w:szCs w:val="20"/>
        </w:rPr>
        <w:t xml:space="preserve">, up to a maximum amount of </w:t>
      </w:r>
      <w:r w:rsidR="00D73799">
        <w:rPr>
          <w:color w:val="0000FF"/>
          <w:sz w:val="20"/>
          <w:szCs w:val="20"/>
        </w:rPr>
        <w:t>EUR</w:t>
      </w:r>
      <w:r>
        <w:rPr>
          <w:color w:val="0000FF"/>
          <w:sz w:val="20"/>
          <w:szCs w:val="20"/>
        </w:rPr>
        <w:t xml:space="preserve"> _____ thousand (undiscounted). The potential undiscounted amount of all future payments that the Group could be required to make under the contingent consideration arrangement is between </w:t>
      </w:r>
      <w:r w:rsidR="00D73799">
        <w:rPr>
          <w:color w:val="0000FF"/>
          <w:sz w:val="20"/>
          <w:szCs w:val="20"/>
        </w:rPr>
        <w:t>EUR</w:t>
      </w:r>
      <w:r>
        <w:rPr>
          <w:color w:val="0000FF"/>
          <w:sz w:val="20"/>
          <w:szCs w:val="20"/>
        </w:rPr>
        <w:t xml:space="preserve"> _____ thousand and </w:t>
      </w:r>
      <w:r w:rsidR="00D73799">
        <w:rPr>
          <w:color w:val="0000FF"/>
          <w:sz w:val="20"/>
          <w:szCs w:val="20"/>
        </w:rPr>
        <w:t>EUR</w:t>
      </w:r>
      <w:r>
        <w:rPr>
          <w:color w:val="0000FF"/>
          <w:sz w:val="20"/>
          <w:szCs w:val="20"/>
        </w:rPr>
        <w:t xml:space="preserve"> _____ thousand. The fair value of the contingent consideration arrangement of </w:t>
      </w:r>
      <w:r w:rsidR="00D73799">
        <w:rPr>
          <w:color w:val="0000FF"/>
          <w:sz w:val="20"/>
          <w:szCs w:val="20"/>
        </w:rPr>
        <w:t>EUR</w:t>
      </w:r>
      <w:r>
        <w:rPr>
          <w:color w:val="0000FF"/>
          <w:sz w:val="20"/>
          <w:szCs w:val="20"/>
        </w:rPr>
        <w:t xml:space="preserve"> _____ thousand was estimated by applying the income approach. The fair value estimates are based on an assumed discount rate range of ____–____ per cent and assumed probability-adjusted revenues in equity investee of </w:t>
      </w:r>
      <w:r w:rsidR="00D73799">
        <w:rPr>
          <w:color w:val="0000FF"/>
          <w:sz w:val="20"/>
          <w:szCs w:val="20"/>
        </w:rPr>
        <w:t>EUR</w:t>
      </w:r>
      <w:r>
        <w:rPr>
          <w:color w:val="0000FF"/>
          <w:sz w:val="20"/>
          <w:szCs w:val="20"/>
        </w:rPr>
        <w:t xml:space="preserve"> _____ thousand to </w:t>
      </w:r>
      <w:r w:rsidR="00D73799">
        <w:rPr>
          <w:color w:val="0000FF"/>
          <w:sz w:val="20"/>
          <w:szCs w:val="20"/>
        </w:rPr>
        <w:t>EUR</w:t>
      </w:r>
      <w:r>
        <w:rPr>
          <w:color w:val="0000FF"/>
          <w:sz w:val="20"/>
          <w:szCs w:val="20"/>
        </w:rPr>
        <w:t> _____ thousand.</w:t>
      </w:r>
      <w:r>
        <w:rPr>
          <w:color w:val="1F497D"/>
          <w:sz w:val="20"/>
          <w:szCs w:val="20"/>
        </w:rPr>
        <w:t>]</w:t>
      </w:r>
      <w:r>
        <w:rPr>
          <w:color w:val="000000"/>
          <w:sz w:val="20"/>
          <w:szCs w:val="20"/>
        </w:rPr>
        <w:t xml:space="preserve"> </w:t>
      </w:r>
      <w:r>
        <w:rPr>
          <w:i/>
          <w:color w:val="FF0000"/>
          <w:sz w:val="20"/>
          <w:szCs w:val="20"/>
        </w:rPr>
        <w:t xml:space="preserve">[Describe terms and conditions of the contingent purchase consideration: (i) description of the arrangement and the basis for determining the amount of the payment; (ii) an estimate of the range of outcomes (undiscounted) or, if a range cannot be estimated, that fact and the reasons why a range cannot be estimated. If the maximum amount of the payment is unlimited, the acquirer shall disclose that fact.] </w:t>
      </w:r>
    </w:p>
    <w:p w14:paraId="5128F201" w14:textId="2F5D534B"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Acquisition related transaction costs of </w:t>
      </w:r>
      <w:r w:rsidR="00D73799">
        <w:rPr>
          <w:color w:val="000000"/>
          <w:sz w:val="20"/>
          <w:szCs w:val="20"/>
        </w:rPr>
        <w:t>EUR</w:t>
      </w:r>
      <w:r>
        <w:rPr>
          <w:color w:val="000000"/>
          <w:sz w:val="20"/>
          <w:szCs w:val="20"/>
        </w:rPr>
        <w:t xml:space="preserve"> ____ thousand were expensed as general and administrative expenses. The contractual acquisition arrangement included remuneration of </w:t>
      </w:r>
      <w:r w:rsidR="00D73799">
        <w:rPr>
          <w:color w:val="000000"/>
          <w:sz w:val="20"/>
          <w:szCs w:val="20"/>
        </w:rPr>
        <w:t>EUR</w:t>
      </w:r>
      <w:r>
        <w:rPr>
          <w:color w:val="000000"/>
          <w:sz w:val="20"/>
          <w:szCs w:val="20"/>
        </w:rPr>
        <w:t xml:space="preserve"> ____ thousand for future services of the former owner. This amount was separated and will be expensed as staff costs over a period of three years from acquisition. </w:t>
      </w:r>
      <w:r>
        <w:rPr>
          <w:i/>
          <w:color w:val="FF0000"/>
          <w:sz w:val="20"/>
          <w:szCs w:val="20"/>
        </w:rPr>
        <w:t>[For transactions that are recognised separately from the acquisition of assets and assumption of liabilities in the business combination in accordance with paragraph 51 of IFRS 3 disclose: (i) a description of each transaction; (ii) how the acquirer accounted for each transaction; (iii) the amounts recognised for each transaction and the line item in the financial statements in which each amount is recognised; and (iv) if the transaction is the effective settlement of a pre-existing relationship, the method used to determine the settlement amount.]</w:t>
      </w:r>
    </w:p>
    <w:p w14:paraId="2AD8FA50" w14:textId="22DE0C55" w:rsidR="00D83E33" w:rsidRDefault="00BC4072" w:rsidP="001B330E">
      <w:pPr>
        <w:pStyle w:val="Continued"/>
      </w:pPr>
      <w:r>
        <w:lastRenderedPageBreak/>
        <w:t>53</w:t>
      </w:r>
      <w:r>
        <w:tab/>
        <w:t>Events after the End of the Reporting Period (Continued)</w:t>
      </w:r>
    </w:p>
    <w:p w14:paraId="6107A2C1" w14:textId="72FF55AD"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consideration paid by the Group was based on results of an external appraisal</w:t>
      </w:r>
      <w:r w:rsidR="00F77533">
        <w:rPr>
          <w:color w:val="000000"/>
          <w:sz w:val="20"/>
          <w:szCs w:val="20"/>
        </w:rPr>
        <w:t xml:space="preserve"> </w:t>
      </w:r>
      <w:r>
        <w:rPr>
          <w:color w:val="0000FF"/>
          <w:sz w:val="20"/>
          <w:szCs w:val="20"/>
        </w:rPr>
        <w:t>[by an internationally recognised investment bank]</w:t>
      </w:r>
      <w:r>
        <w:rPr>
          <w:color w:val="000000"/>
          <w:sz w:val="20"/>
          <w:szCs w:val="20"/>
        </w:rPr>
        <w:t xml:space="preserve"> of the acquiree’s business taken as a whole. However, in accordance with IFRS 3 “Business Combinations”, the Group must account for acquisitions based on fair values of the identifiable assets acquired, and liabilities and contingent liabilities assumed. These two different approaches can lead to differences; and, as set out in the table below, recognition of </w:t>
      </w:r>
      <w:r>
        <w:rPr>
          <w:color w:val="0000FF"/>
          <w:sz w:val="20"/>
          <w:szCs w:val="20"/>
        </w:rPr>
        <w:t>[goodwill] [</w:t>
      </w:r>
      <w:r>
        <w:rPr>
          <w:i/>
          <w:color w:val="FF0000"/>
          <w:sz w:val="20"/>
          <w:szCs w:val="20"/>
        </w:rPr>
        <w:t>or</w:t>
      </w:r>
      <w:r>
        <w:rPr>
          <w:i/>
          <w:color w:val="0000FF"/>
          <w:sz w:val="20"/>
          <w:szCs w:val="20"/>
        </w:rPr>
        <w:t xml:space="preserve"> </w:t>
      </w:r>
      <w:r>
        <w:rPr>
          <w:color w:val="0000FF"/>
          <w:sz w:val="20"/>
          <w:szCs w:val="20"/>
        </w:rPr>
        <w:t>the excess of the net fair value of the acquiree’s identifiable assets, liabilities and contingent liabilities over cost (“negative goodwill”) immediately in profit or loss for the year (as ‘excess of the net fair value of the acquiree’s identifiable assets, liabilities and contingent liabilities over cost of the business combination’)]</w:t>
      </w:r>
      <w:r>
        <w:rPr>
          <w:color w:val="000000"/>
          <w:sz w:val="20"/>
          <w:szCs w:val="20"/>
        </w:rPr>
        <w:t>.</w:t>
      </w:r>
    </w:p>
    <w:p w14:paraId="7CFBC231"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Details of the assets and liabilities acquired and goodwill arising are as follows:</w:t>
      </w:r>
    </w:p>
    <w:tbl>
      <w:tblPr>
        <w:tblStyle w:val="affffffffffffffffff4"/>
        <w:tblW w:w="5000" w:type="pct"/>
        <w:tblLayout w:type="fixed"/>
        <w:tblLook w:val="0000" w:firstRow="0" w:lastRow="0" w:firstColumn="0" w:lastColumn="0" w:noHBand="0" w:noVBand="0"/>
      </w:tblPr>
      <w:tblGrid>
        <w:gridCol w:w="6947"/>
        <w:gridCol w:w="707"/>
        <w:gridCol w:w="1701"/>
      </w:tblGrid>
      <w:tr w:rsidR="00D83E33" w:rsidRPr="00D95E75" w14:paraId="4977FA57" w14:textId="77777777" w:rsidTr="001B330E">
        <w:trPr>
          <w:trHeight w:val="23"/>
        </w:trPr>
        <w:tc>
          <w:tcPr>
            <w:tcW w:w="3713" w:type="pct"/>
            <w:tcBorders>
              <w:bottom w:val="single" w:sz="4" w:space="0" w:color="000000"/>
            </w:tcBorders>
            <w:vAlign w:val="bottom"/>
          </w:tcPr>
          <w:p w14:paraId="6155CA35" w14:textId="4886BD57" w:rsidR="00D83E33" w:rsidRPr="00D95E75"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378" w:type="pct"/>
            <w:tcBorders>
              <w:bottom w:val="single" w:sz="4" w:space="0" w:color="000000"/>
            </w:tcBorders>
            <w:vAlign w:val="bottom"/>
          </w:tcPr>
          <w:p w14:paraId="333B4F90" w14:textId="77777777" w:rsidR="00D83E33" w:rsidRPr="00D95E75" w:rsidRDefault="00BC4072">
            <w:pPr>
              <w:widowControl w:val="0"/>
              <w:pBdr>
                <w:top w:val="nil"/>
                <w:left w:val="nil"/>
                <w:bottom w:val="nil"/>
                <w:right w:val="nil"/>
                <w:between w:val="nil"/>
              </w:pBdr>
              <w:jc w:val="center"/>
              <w:rPr>
                <w:b/>
                <w:color w:val="000000"/>
              </w:rPr>
            </w:pPr>
            <w:r w:rsidRPr="00D95E75">
              <w:rPr>
                <w:b/>
                <w:color w:val="000000"/>
              </w:rPr>
              <w:t>Note</w:t>
            </w:r>
          </w:p>
        </w:tc>
        <w:tc>
          <w:tcPr>
            <w:tcW w:w="909" w:type="pct"/>
            <w:tcBorders>
              <w:bottom w:val="single" w:sz="4" w:space="0" w:color="000000"/>
            </w:tcBorders>
            <w:vAlign w:val="bottom"/>
          </w:tcPr>
          <w:p w14:paraId="056807E8" w14:textId="77777777" w:rsidR="00D83E33" w:rsidRPr="00D95E75" w:rsidRDefault="00BC4072">
            <w:pPr>
              <w:widowControl w:val="0"/>
              <w:pBdr>
                <w:top w:val="nil"/>
                <w:left w:val="nil"/>
                <w:bottom w:val="nil"/>
                <w:right w:val="nil"/>
                <w:between w:val="nil"/>
              </w:pBdr>
              <w:jc w:val="right"/>
              <w:rPr>
                <w:b/>
                <w:color w:val="000000"/>
              </w:rPr>
            </w:pPr>
            <w:r w:rsidRPr="00D95E75">
              <w:rPr>
                <w:b/>
                <w:color w:val="000000"/>
              </w:rPr>
              <w:t xml:space="preserve">Attributed </w:t>
            </w:r>
          </w:p>
          <w:p w14:paraId="0303F26D" w14:textId="77777777" w:rsidR="00D83E33" w:rsidRPr="00D95E75" w:rsidRDefault="00BC4072">
            <w:pPr>
              <w:widowControl w:val="0"/>
              <w:pBdr>
                <w:top w:val="nil"/>
                <w:left w:val="nil"/>
                <w:bottom w:val="nil"/>
                <w:right w:val="nil"/>
                <w:between w:val="nil"/>
              </w:pBdr>
              <w:jc w:val="right"/>
              <w:rPr>
                <w:b/>
                <w:color w:val="000000"/>
              </w:rPr>
            </w:pPr>
            <w:r w:rsidRPr="00D95E75">
              <w:rPr>
                <w:b/>
                <w:color w:val="000000"/>
              </w:rPr>
              <w:t xml:space="preserve">fair value </w:t>
            </w:r>
          </w:p>
        </w:tc>
      </w:tr>
      <w:tr w:rsidR="00D83E33" w:rsidRPr="00D95E75" w14:paraId="5350FD6F" w14:textId="77777777" w:rsidTr="001B330E">
        <w:trPr>
          <w:trHeight w:val="23"/>
        </w:trPr>
        <w:tc>
          <w:tcPr>
            <w:tcW w:w="3713" w:type="pct"/>
            <w:vAlign w:val="bottom"/>
          </w:tcPr>
          <w:p w14:paraId="1ACBC509"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vAlign w:val="bottom"/>
          </w:tcPr>
          <w:p w14:paraId="1652A431"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7B71AEE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E8F7D61" w14:textId="77777777" w:rsidTr="001B330E">
        <w:trPr>
          <w:trHeight w:val="23"/>
        </w:trPr>
        <w:tc>
          <w:tcPr>
            <w:tcW w:w="3713" w:type="pct"/>
            <w:vAlign w:val="bottom"/>
          </w:tcPr>
          <w:p w14:paraId="651779D7"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xml:space="preserve">Cash and cash equivalents </w:t>
            </w:r>
          </w:p>
        </w:tc>
        <w:tc>
          <w:tcPr>
            <w:tcW w:w="378" w:type="pct"/>
            <w:vAlign w:val="bottom"/>
          </w:tcPr>
          <w:p w14:paraId="50AA2A3C"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2B2326AD"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7404886" w14:textId="77777777" w:rsidTr="001B330E">
        <w:trPr>
          <w:trHeight w:val="23"/>
        </w:trPr>
        <w:tc>
          <w:tcPr>
            <w:tcW w:w="3713" w:type="pct"/>
            <w:vAlign w:val="bottom"/>
          </w:tcPr>
          <w:p w14:paraId="61C9FDD4"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Loans and advances to customers</w:t>
            </w:r>
          </w:p>
        </w:tc>
        <w:tc>
          <w:tcPr>
            <w:tcW w:w="378" w:type="pct"/>
            <w:vAlign w:val="bottom"/>
          </w:tcPr>
          <w:p w14:paraId="1D1B9724"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468213D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F355C25" w14:textId="77777777" w:rsidTr="001B330E">
        <w:trPr>
          <w:trHeight w:val="23"/>
        </w:trPr>
        <w:tc>
          <w:tcPr>
            <w:tcW w:w="3713" w:type="pct"/>
            <w:vAlign w:val="bottom"/>
          </w:tcPr>
          <w:p w14:paraId="482AE43E"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Other financial assets</w:t>
            </w:r>
          </w:p>
        </w:tc>
        <w:tc>
          <w:tcPr>
            <w:tcW w:w="378" w:type="pct"/>
            <w:vAlign w:val="bottom"/>
          </w:tcPr>
          <w:p w14:paraId="3082F4C4"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2AF4DFAB"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2D5D1E9" w14:textId="77777777" w:rsidTr="001B330E">
        <w:trPr>
          <w:trHeight w:val="23"/>
        </w:trPr>
        <w:tc>
          <w:tcPr>
            <w:tcW w:w="3713" w:type="pct"/>
            <w:vAlign w:val="bottom"/>
          </w:tcPr>
          <w:p w14:paraId="0D1CB3B0"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Other assets</w:t>
            </w:r>
          </w:p>
        </w:tc>
        <w:tc>
          <w:tcPr>
            <w:tcW w:w="378" w:type="pct"/>
            <w:vAlign w:val="bottom"/>
          </w:tcPr>
          <w:p w14:paraId="21261BEA"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4E09A398"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CB2BFD6" w14:textId="77777777" w:rsidTr="001B330E">
        <w:trPr>
          <w:trHeight w:val="23"/>
        </w:trPr>
        <w:tc>
          <w:tcPr>
            <w:tcW w:w="3713" w:type="pct"/>
            <w:vAlign w:val="bottom"/>
          </w:tcPr>
          <w:p w14:paraId="3FE2D3BA"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xml:space="preserve">Customer accounts </w:t>
            </w:r>
          </w:p>
        </w:tc>
        <w:tc>
          <w:tcPr>
            <w:tcW w:w="378" w:type="pct"/>
            <w:vAlign w:val="bottom"/>
          </w:tcPr>
          <w:p w14:paraId="7BE1589D"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0F117B4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28B612D" w14:textId="77777777" w:rsidTr="001B330E">
        <w:trPr>
          <w:trHeight w:val="23"/>
        </w:trPr>
        <w:tc>
          <w:tcPr>
            <w:tcW w:w="3713" w:type="pct"/>
            <w:vAlign w:val="bottom"/>
          </w:tcPr>
          <w:p w14:paraId="6076504E"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Contingent tax exposures</w:t>
            </w:r>
          </w:p>
        </w:tc>
        <w:tc>
          <w:tcPr>
            <w:tcW w:w="378" w:type="pct"/>
            <w:vAlign w:val="bottom"/>
          </w:tcPr>
          <w:p w14:paraId="35F398D4"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5D3AC45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BCD23DD" w14:textId="77777777" w:rsidTr="001B330E">
        <w:trPr>
          <w:trHeight w:val="23"/>
        </w:trPr>
        <w:tc>
          <w:tcPr>
            <w:tcW w:w="3713" w:type="pct"/>
            <w:vAlign w:val="bottom"/>
          </w:tcPr>
          <w:p w14:paraId="281BC2D5"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Other liabilities</w:t>
            </w:r>
          </w:p>
        </w:tc>
        <w:tc>
          <w:tcPr>
            <w:tcW w:w="378" w:type="pct"/>
            <w:vAlign w:val="bottom"/>
          </w:tcPr>
          <w:p w14:paraId="4C0E23CB"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5580085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D04DC0E" w14:textId="77777777" w:rsidTr="001B330E">
        <w:trPr>
          <w:trHeight w:val="23"/>
        </w:trPr>
        <w:tc>
          <w:tcPr>
            <w:tcW w:w="3713" w:type="pct"/>
            <w:vAlign w:val="bottom"/>
          </w:tcPr>
          <w:p w14:paraId="77E58D7A" w14:textId="08E6A22C" w:rsidR="00D83E33" w:rsidRPr="00D95E75" w:rsidRDefault="00D83E33" w:rsidP="001B330E">
            <w:pPr>
              <w:widowControl w:val="0"/>
              <w:pBdr>
                <w:top w:val="nil"/>
                <w:left w:val="nil"/>
                <w:bottom w:val="nil"/>
                <w:right w:val="nil"/>
                <w:between w:val="nil"/>
              </w:pBdr>
              <w:ind w:left="113" w:hanging="113"/>
              <w:rPr>
                <w:i/>
                <w:color w:val="FF0000"/>
              </w:rPr>
            </w:pPr>
          </w:p>
        </w:tc>
        <w:tc>
          <w:tcPr>
            <w:tcW w:w="378" w:type="pct"/>
            <w:vAlign w:val="bottom"/>
          </w:tcPr>
          <w:p w14:paraId="3C718A5D"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6AD5F42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2BA6376" w14:textId="77777777" w:rsidTr="001B330E">
        <w:trPr>
          <w:trHeight w:val="23"/>
        </w:trPr>
        <w:tc>
          <w:tcPr>
            <w:tcW w:w="3713" w:type="pct"/>
            <w:tcBorders>
              <w:bottom w:val="single" w:sz="4" w:space="0" w:color="000000"/>
            </w:tcBorders>
            <w:vAlign w:val="bottom"/>
          </w:tcPr>
          <w:p w14:paraId="2E7AD509"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xml:space="preserve"> </w:t>
            </w:r>
          </w:p>
        </w:tc>
        <w:tc>
          <w:tcPr>
            <w:tcW w:w="378" w:type="pct"/>
            <w:tcBorders>
              <w:bottom w:val="single" w:sz="4" w:space="0" w:color="000000"/>
            </w:tcBorders>
            <w:vAlign w:val="bottom"/>
          </w:tcPr>
          <w:p w14:paraId="394B8CD7"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2266F46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C3A7012" w14:textId="77777777" w:rsidTr="001B330E">
        <w:trPr>
          <w:trHeight w:val="23"/>
        </w:trPr>
        <w:tc>
          <w:tcPr>
            <w:tcW w:w="3713" w:type="pct"/>
            <w:tcBorders>
              <w:top w:val="single" w:sz="4" w:space="0" w:color="000000"/>
            </w:tcBorders>
            <w:vAlign w:val="bottom"/>
          </w:tcPr>
          <w:p w14:paraId="23869C7B"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w:t>
            </w:r>
          </w:p>
        </w:tc>
        <w:tc>
          <w:tcPr>
            <w:tcW w:w="378" w:type="pct"/>
            <w:tcBorders>
              <w:top w:val="single" w:sz="4" w:space="0" w:color="000000"/>
            </w:tcBorders>
            <w:vAlign w:val="bottom"/>
          </w:tcPr>
          <w:p w14:paraId="7E2DE2C3"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4161490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B089BF7" w14:textId="77777777" w:rsidTr="001B330E">
        <w:trPr>
          <w:trHeight w:val="23"/>
        </w:trPr>
        <w:tc>
          <w:tcPr>
            <w:tcW w:w="3713" w:type="pct"/>
            <w:vAlign w:val="bottom"/>
          </w:tcPr>
          <w:p w14:paraId="78EA5207" w14:textId="77777777" w:rsidR="00D83E33" w:rsidRPr="00D95E75" w:rsidRDefault="00BC4072" w:rsidP="001B330E">
            <w:pPr>
              <w:widowControl w:val="0"/>
              <w:pBdr>
                <w:top w:val="nil"/>
                <w:left w:val="nil"/>
                <w:bottom w:val="nil"/>
                <w:right w:val="nil"/>
                <w:between w:val="nil"/>
              </w:pBdr>
              <w:ind w:left="113" w:hanging="113"/>
              <w:rPr>
                <w:b/>
                <w:i/>
                <w:color w:val="000000"/>
              </w:rPr>
            </w:pPr>
            <w:r w:rsidRPr="00D95E75">
              <w:rPr>
                <w:b/>
                <w:color w:val="000000"/>
              </w:rPr>
              <w:t>Fair value of identifiable net assets of subsidiary</w:t>
            </w:r>
          </w:p>
        </w:tc>
        <w:tc>
          <w:tcPr>
            <w:tcW w:w="378" w:type="pct"/>
            <w:vAlign w:val="bottom"/>
          </w:tcPr>
          <w:p w14:paraId="5059E189"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232E1C83"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4C618A0C" w14:textId="77777777" w:rsidTr="001B330E">
        <w:trPr>
          <w:trHeight w:val="23"/>
        </w:trPr>
        <w:tc>
          <w:tcPr>
            <w:tcW w:w="3713" w:type="pct"/>
            <w:vAlign w:val="bottom"/>
          </w:tcPr>
          <w:p w14:paraId="54542C6B"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Less: non-controlling interest </w:t>
            </w:r>
          </w:p>
        </w:tc>
        <w:tc>
          <w:tcPr>
            <w:tcW w:w="378" w:type="pct"/>
            <w:vAlign w:val="bottom"/>
          </w:tcPr>
          <w:p w14:paraId="3C38EEF8"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6F3481B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A1229F1" w14:textId="77777777" w:rsidTr="001B330E">
        <w:trPr>
          <w:trHeight w:val="23"/>
        </w:trPr>
        <w:tc>
          <w:tcPr>
            <w:tcW w:w="3713" w:type="pct"/>
            <w:vAlign w:val="bottom"/>
          </w:tcPr>
          <w:p w14:paraId="54F9C14E"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Goodwill arising from the acquisition </w:t>
            </w:r>
          </w:p>
        </w:tc>
        <w:tc>
          <w:tcPr>
            <w:tcW w:w="378" w:type="pct"/>
            <w:vAlign w:val="bottom"/>
          </w:tcPr>
          <w:p w14:paraId="0C79AA1A" w14:textId="77777777" w:rsidR="00D83E33" w:rsidRPr="00D95E75" w:rsidRDefault="00BC4072">
            <w:pPr>
              <w:widowControl w:val="0"/>
              <w:pBdr>
                <w:top w:val="nil"/>
                <w:left w:val="nil"/>
                <w:bottom w:val="nil"/>
                <w:right w:val="nil"/>
                <w:between w:val="nil"/>
              </w:pBdr>
              <w:jc w:val="center"/>
              <w:rPr>
                <w:color w:val="000000"/>
              </w:rPr>
            </w:pPr>
            <w:r w:rsidRPr="00D95E75">
              <w:rPr>
                <w:color w:val="000000"/>
              </w:rPr>
              <w:t>17</w:t>
            </w:r>
          </w:p>
        </w:tc>
        <w:tc>
          <w:tcPr>
            <w:tcW w:w="909" w:type="pct"/>
            <w:vAlign w:val="bottom"/>
          </w:tcPr>
          <w:p w14:paraId="327F55F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21331BD" w14:textId="77777777" w:rsidTr="001B330E">
        <w:trPr>
          <w:trHeight w:val="23"/>
        </w:trPr>
        <w:tc>
          <w:tcPr>
            <w:tcW w:w="3713" w:type="pct"/>
            <w:tcBorders>
              <w:bottom w:val="single" w:sz="4" w:space="0" w:color="000000"/>
            </w:tcBorders>
            <w:vAlign w:val="bottom"/>
          </w:tcPr>
          <w:p w14:paraId="05DFDF64"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bottom w:val="single" w:sz="4" w:space="0" w:color="000000"/>
            </w:tcBorders>
            <w:vAlign w:val="bottom"/>
          </w:tcPr>
          <w:p w14:paraId="7889B4D3"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55EAF70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163F9E6" w14:textId="77777777" w:rsidTr="001B330E">
        <w:trPr>
          <w:trHeight w:val="23"/>
        </w:trPr>
        <w:tc>
          <w:tcPr>
            <w:tcW w:w="3713" w:type="pct"/>
            <w:tcBorders>
              <w:top w:val="single" w:sz="4" w:space="0" w:color="000000"/>
            </w:tcBorders>
            <w:vAlign w:val="bottom"/>
          </w:tcPr>
          <w:p w14:paraId="2567FEF9"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top w:val="single" w:sz="4" w:space="0" w:color="000000"/>
            </w:tcBorders>
            <w:vAlign w:val="bottom"/>
          </w:tcPr>
          <w:p w14:paraId="21AD4BBC"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103F2465"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8EE744B" w14:textId="77777777" w:rsidTr="001B330E">
        <w:trPr>
          <w:trHeight w:val="23"/>
        </w:trPr>
        <w:tc>
          <w:tcPr>
            <w:tcW w:w="3713" w:type="pct"/>
            <w:vAlign w:val="bottom"/>
          </w:tcPr>
          <w:p w14:paraId="5376EA22"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Total purchase consideration and previously held interest in the acquiree</w:t>
            </w:r>
          </w:p>
        </w:tc>
        <w:tc>
          <w:tcPr>
            <w:tcW w:w="378" w:type="pct"/>
            <w:vAlign w:val="bottom"/>
          </w:tcPr>
          <w:p w14:paraId="140104AE" w14:textId="77777777" w:rsidR="00D83E33" w:rsidRPr="00D95E75" w:rsidRDefault="00D83E33">
            <w:pPr>
              <w:widowControl w:val="0"/>
              <w:pBdr>
                <w:top w:val="nil"/>
                <w:left w:val="nil"/>
                <w:bottom w:val="nil"/>
                <w:right w:val="nil"/>
                <w:between w:val="nil"/>
              </w:pBdr>
              <w:jc w:val="center"/>
              <w:rPr>
                <w:b/>
                <w:color w:val="000000"/>
              </w:rPr>
            </w:pPr>
          </w:p>
        </w:tc>
        <w:tc>
          <w:tcPr>
            <w:tcW w:w="909" w:type="pct"/>
            <w:vAlign w:val="bottom"/>
          </w:tcPr>
          <w:p w14:paraId="061D3106"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159CD304" w14:textId="77777777" w:rsidTr="001B330E">
        <w:trPr>
          <w:trHeight w:val="23"/>
        </w:trPr>
        <w:tc>
          <w:tcPr>
            <w:tcW w:w="3713" w:type="pct"/>
            <w:vAlign w:val="bottom"/>
          </w:tcPr>
          <w:p w14:paraId="5EF0352A"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Less: Non-cash consideration (items as disclosed above)</w:t>
            </w:r>
          </w:p>
        </w:tc>
        <w:tc>
          <w:tcPr>
            <w:tcW w:w="378" w:type="pct"/>
            <w:vAlign w:val="bottom"/>
          </w:tcPr>
          <w:p w14:paraId="403476E2"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37C181C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D0A7349" w14:textId="77777777" w:rsidTr="001B330E">
        <w:trPr>
          <w:trHeight w:val="23"/>
        </w:trPr>
        <w:tc>
          <w:tcPr>
            <w:tcW w:w="3713" w:type="pct"/>
            <w:vAlign w:val="bottom"/>
          </w:tcPr>
          <w:p w14:paraId="3C57EF82"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Less: Cash and cash equivalents of subsidiary acquired</w:t>
            </w:r>
          </w:p>
        </w:tc>
        <w:tc>
          <w:tcPr>
            <w:tcW w:w="378" w:type="pct"/>
            <w:vAlign w:val="bottom"/>
          </w:tcPr>
          <w:p w14:paraId="148C2AC4" w14:textId="77777777" w:rsidR="00D83E33" w:rsidRPr="00D95E75" w:rsidRDefault="00D83E33">
            <w:pPr>
              <w:widowControl w:val="0"/>
              <w:pBdr>
                <w:top w:val="nil"/>
                <w:left w:val="nil"/>
                <w:bottom w:val="nil"/>
                <w:right w:val="nil"/>
                <w:between w:val="nil"/>
              </w:pBdr>
              <w:jc w:val="center"/>
              <w:rPr>
                <w:color w:val="000000"/>
              </w:rPr>
            </w:pPr>
          </w:p>
        </w:tc>
        <w:tc>
          <w:tcPr>
            <w:tcW w:w="909" w:type="pct"/>
            <w:vAlign w:val="bottom"/>
          </w:tcPr>
          <w:p w14:paraId="6051613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9D0C778" w14:textId="77777777" w:rsidTr="001B330E">
        <w:trPr>
          <w:trHeight w:val="23"/>
        </w:trPr>
        <w:tc>
          <w:tcPr>
            <w:tcW w:w="3713" w:type="pct"/>
            <w:tcBorders>
              <w:bottom w:val="single" w:sz="4" w:space="0" w:color="000000"/>
            </w:tcBorders>
            <w:vAlign w:val="bottom"/>
          </w:tcPr>
          <w:p w14:paraId="04F5933C"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bottom w:val="single" w:sz="4" w:space="0" w:color="000000"/>
            </w:tcBorders>
            <w:vAlign w:val="bottom"/>
          </w:tcPr>
          <w:p w14:paraId="5C1E24DC"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bottom w:val="single" w:sz="4" w:space="0" w:color="000000"/>
            </w:tcBorders>
            <w:vAlign w:val="bottom"/>
          </w:tcPr>
          <w:p w14:paraId="0B78F16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8786108" w14:textId="77777777" w:rsidTr="001B330E">
        <w:trPr>
          <w:trHeight w:val="23"/>
        </w:trPr>
        <w:tc>
          <w:tcPr>
            <w:tcW w:w="3713" w:type="pct"/>
            <w:tcBorders>
              <w:top w:val="single" w:sz="4" w:space="0" w:color="000000"/>
            </w:tcBorders>
            <w:vAlign w:val="bottom"/>
          </w:tcPr>
          <w:p w14:paraId="19810709"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top w:val="single" w:sz="4" w:space="0" w:color="000000"/>
            </w:tcBorders>
            <w:vAlign w:val="bottom"/>
          </w:tcPr>
          <w:p w14:paraId="05F79FD7"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top w:val="single" w:sz="4" w:space="0" w:color="000000"/>
            </w:tcBorders>
            <w:vAlign w:val="bottom"/>
          </w:tcPr>
          <w:p w14:paraId="07BBBE18"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63481A94" w14:textId="77777777" w:rsidTr="001B330E">
        <w:trPr>
          <w:trHeight w:val="23"/>
        </w:trPr>
        <w:tc>
          <w:tcPr>
            <w:tcW w:w="3713" w:type="pct"/>
            <w:vAlign w:val="bottom"/>
          </w:tcPr>
          <w:p w14:paraId="4D2F403B"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Outflow of cash and cash equivalents on acquisition</w:t>
            </w:r>
          </w:p>
        </w:tc>
        <w:tc>
          <w:tcPr>
            <w:tcW w:w="378" w:type="pct"/>
            <w:vAlign w:val="bottom"/>
          </w:tcPr>
          <w:p w14:paraId="28BFE67C" w14:textId="77777777" w:rsidR="00D83E33" w:rsidRPr="00D95E75" w:rsidRDefault="00D83E33">
            <w:pPr>
              <w:widowControl w:val="0"/>
              <w:pBdr>
                <w:top w:val="nil"/>
                <w:left w:val="nil"/>
                <w:bottom w:val="nil"/>
                <w:right w:val="nil"/>
                <w:between w:val="nil"/>
              </w:pBdr>
              <w:jc w:val="center"/>
              <w:rPr>
                <w:b/>
                <w:color w:val="000000"/>
              </w:rPr>
            </w:pPr>
          </w:p>
        </w:tc>
        <w:tc>
          <w:tcPr>
            <w:tcW w:w="909" w:type="pct"/>
            <w:vAlign w:val="bottom"/>
          </w:tcPr>
          <w:p w14:paraId="64F9EEB9" w14:textId="77777777" w:rsidR="00D83E33" w:rsidRPr="00D95E75" w:rsidRDefault="00D83E33">
            <w:pPr>
              <w:widowControl w:val="0"/>
              <w:pBdr>
                <w:top w:val="nil"/>
                <w:left w:val="nil"/>
                <w:bottom w:val="nil"/>
                <w:right w:val="nil"/>
                <w:between w:val="nil"/>
              </w:pBdr>
              <w:jc w:val="right"/>
              <w:rPr>
                <w:b/>
                <w:color w:val="000000"/>
              </w:rPr>
            </w:pPr>
          </w:p>
        </w:tc>
      </w:tr>
      <w:tr w:rsidR="00D83E33" w:rsidRPr="00D95E75" w14:paraId="004C61D8" w14:textId="77777777" w:rsidTr="001B330E">
        <w:trPr>
          <w:trHeight w:val="23"/>
        </w:trPr>
        <w:tc>
          <w:tcPr>
            <w:tcW w:w="3713" w:type="pct"/>
            <w:tcBorders>
              <w:bottom w:val="single" w:sz="12" w:space="0" w:color="000000"/>
            </w:tcBorders>
            <w:vAlign w:val="bottom"/>
          </w:tcPr>
          <w:p w14:paraId="603084C4"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378" w:type="pct"/>
            <w:tcBorders>
              <w:bottom w:val="single" w:sz="12" w:space="0" w:color="000000"/>
            </w:tcBorders>
            <w:vAlign w:val="bottom"/>
          </w:tcPr>
          <w:p w14:paraId="40624DB6" w14:textId="77777777" w:rsidR="00D83E33" w:rsidRPr="00D95E75" w:rsidRDefault="00D83E33">
            <w:pPr>
              <w:widowControl w:val="0"/>
              <w:pBdr>
                <w:top w:val="nil"/>
                <w:left w:val="nil"/>
                <w:bottom w:val="nil"/>
                <w:right w:val="nil"/>
                <w:between w:val="nil"/>
              </w:pBdr>
              <w:jc w:val="center"/>
              <w:rPr>
                <w:color w:val="000000"/>
              </w:rPr>
            </w:pPr>
          </w:p>
        </w:tc>
        <w:tc>
          <w:tcPr>
            <w:tcW w:w="909" w:type="pct"/>
            <w:tcBorders>
              <w:bottom w:val="single" w:sz="12" w:space="0" w:color="000000"/>
            </w:tcBorders>
            <w:vAlign w:val="bottom"/>
          </w:tcPr>
          <w:p w14:paraId="164C1849" w14:textId="77777777" w:rsidR="00D83E33" w:rsidRPr="00D95E75" w:rsidRDefault="00D83E33">
            <w:pPr>
              <w:widowControl w:val="0"/>
              <w:pBdr>
                <w:top w:val="nil"/>
                <w:left w:val="nil"/>
                <w:bottom w:val="nil"/>
                <w:right w:val="nil"/>
                <w:between w:val="nil"/>
              </w:pBdr>
              <w:jc w:val="right"/>
              <w:rPr>
                <w:b/>
                <w:color w:val="000000"/>
              </w:rPr>
            </w:pPr>
          </w:p>
        </w:tc>
      </w:tr>
    </w:tbl>
    <w:p w14:paraId="0D524D39" w14:textId="5294A738"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 non-controlling interest represents a share in net assets of the acquiree attributable to the owners of the non-controlling interest</w:t>
      </w:r>
      <w:r>
        <w:rPr>
          <w:color w:val="0000FF"/>
          <w:sz w:val="20"/>
          <w:szCs w:val="20"/>
        </w:rPr>
        <w:t>. [The non-controlling interest was measured at its market value. The fair value of the non-controlling interest was estimated by applying an income approach. The fair value estimates are based on: (a) an assumed discount rate range of [____–____] per cent; (b) an assumed terminal value based on a range of terminal EBITDA multiples between [____ and ____] times; (c) assumed financial multiples of companies deemed to be similar to the acquiree; and (d) assumed adjustments because of the lack of control or lack of marketability that market participants would consider when estimating the fair value of the non-controlling interest.]</w:t>
      </w:r>
      <w:r>
        <w:rPr>
          <w:color w:val="000000"/>
          <w:sz w:val="20"/>
          <w:szCs w:val="20"/>
        </w:rPr>
        <w:t xml:space="preserve"> </w:t>
      </w:r>
      <w:r>
        <w:rPr>
          <w:i/>
          <w:color w:val="FF0000"/>
          <w:sz w:val="20"/>
          <w:szCs w:val="20"/>
        </w:rPr>
        <w:t>[if a valuation technique was used, disclose it and the key model inputs used for determining that fair value]</w:t>
      </w:r>
      <w:r>
        <w:rPr>
          <w:color w:val="000000"/>
          <w:sz w:val="20"/>
          <w:szCs w:val="20"/>
        </w:rPr>
        <w:t>.</w:t>
      </w:r>
    </w:p>
    <w:p w14:paraId="29694E90"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fair values of assets and liabilities acquired are based on </w:t>
      </w:r>
      <w:r>
        <w:rPr>
          <w:color w:val="0000FF"/>
          <w:sz w:val="20"/>
          <w:szCs w:val="20"/>
        </w:rPr>
        <w:t>[discounted cash flow models]</w:t>
      </w:r>
      <w:r>
        <w:rPr>
          <w:color w:val="000000"/>
          <w:sz w:val="20"/>
          <w:szCs w:val="20"/>
        </w:rPr>
        <w:t>. The valuation of identifiable intangible assets was performed by an independent professional appraiser. Based on the appraisal report, the following items were included in the purchase price allocation:</w:t>
      </w:r>
    </w:p>
    <w:p w14:paraId="47F7BDC6" w14:textId="741A973B" w:rsidR="00D83E33" w:rsidRDefault="00BC4072" w:rsidP="001B330E">
      <w:pPr>
        <w:pStyle w:val="bluetabs"/>
      </w:pPr>
      <w:r>
        <w:t xml:space="preserve">[core deposits intangibles valued at </w:t>
      </w:r>
      <w:r w:rsidR="00D73799">
        <w:t>EUR</w:t>
      </w:r>
      <w:r>
        <w:t xml:space="preserve"> ____ thousands;]</w:t>
      </w:r>
    </w:p>
    <w:p w14:paraId="06382CDD" w14:textId="3B28B077" w:rsidR="00D83E33" w:rsidRDefault="00BC4072" w:rsidP="001B330E">
      <w:pPr>
        <w:pStyle w:val="bluetabs"/>
      </w:pPr>
      <w:r>
        <w:t xml:space="preserve">[brand name valued at </w:t>
      </w:r>
      <w:r w:rsidR="00D73799">
        <w:t>EUR</w:t>
      </w:r>
      <w:r>
        <w:t xml:space="preserve"> ____ thousands; and]</w:t>
      </w:r>
    </w:p>
    <w:p w14:paraId="341DC080" w14:textId="23068CCA" w:rsidR="00D83E33" w:rsidRDefault="00BC4072" w:rsidP="001B330E">
      <w:pPr>
        <w:pStyle w:val="bluetabs"/>
      </w:pPr>
      <w:r>
        <w:t xml:space="preserve">[proprietary software valued at </w:t>
      </w:r>
      <w:r w:rsidR="00D73799">
        <w:t>EUR</w:t>
      </w:r>
      <w:r>
        <w:t xml:space="preserve"> ____ thousands.]</w:t>
      </w:r>
    </w:p>
    <w:p w14:paraId="746EBA66" w14:textId="4D53E6C4"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fair value of the acquired identifiable intangible assets of </w:t>
      </w:r>
      <w:r w:rsidR="00D73799">
        <w:rPr>
          <w:color w:val="000000"/>
          <w:sz w:val="20"/>
          <w:szCs w:val="20"/>
        </w:rPr>
        <w:t>EUR</w:t>
      </w:r>
      <w:r>
        <w:rPr>
          <w:color w:val="000000"/>
          <w:sz w:val="20"/>
          <w:szCs w:val="20"/>
        </w:rPr>
        <w:t xml:space="preserve"> _____ thousand is provisional pending receipt of the final valuations for those assets.</w:t>
      </w:r>
    </w:p>
    <w:p w14:paraId="56F1DB55" w14:textId="3B8BE5E8" w:rsidR="00D83E33" w:rsidRDefault="00BC4072" w:rsidP="001B330E">
      <w:pPr>
        <w:pStyle w:val="Continued"/>
      </w:pPr>
      <w:r>
        <w:lastRenderedPageBreak/>
        <w:t>53</w:t>
      </w:r>
      <w:r>
        <w:tab/>
        <w:t>Events after the End of the Reporting Period (Continued)</w:t>
      </w:r>
    </w:p>
    <w:p w14:paraId="17782486"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For each class of acquired receivables, the gross contractual amounts receivable and the best estimate of the contractual cash flows not expected to be collected are as follows:</w:t>
      </w:r>
    </w:p>
    <w:tbl>
      <w:tblPr>
        <w:tblStyle w:val="affffffffffffffffff5"/>
        <w:tblW w:w="5000" w:type="pct"/>
        <w:tblLayout w:type="fixed"/>
        <w:tblLook w:val="0000" w:firstRow="0" w:lastRow="0" w:firstColumn="0" w:lastColumn="0" w:noHBand="0" w:noVBand="0"/>
      </w:tblPr>
      <w:tblGrid>
        <w:gridCol w:w="5953"/>
        <w:gridCol w:w="1701"/>
        <w:gridCol w:w="1701"/>
      </w:tblGrid>
      <w:tr w:rsidR="00D83E33" w:rsidRPr="00D95E75" w14:paraId="098D8BE3" w14:textId="77777777" w:rsidTr="001B330E">
        <w:trPr>
          <w:trHeight w:val="23"/>
        </w:trPr>
        <w:tc>
          <w:tcPr>
            <w:tcW w:w="3182" w:type="pct"/>
            <w:tcBorders>
              <w:bottom w:val="single" w:sz="4" w:space="0" w:color="000000"/>
            </w:tcBorders>
            <w:vAlign w:val="bottom"/>
          </w:tcPr>
          <w:p w14:paraId="771DD795" w14:textId="26C8CEB0" w:rsidR="00D83E33" w:rsidRPr="00D95E75" w:rsidRDefault="00313B4D" w:rsidP="001B330E">
            <w:pPr>
              <w:widowControl w:val="0"/>
              <w:pBdr>
                <w:top w:val="nil"/>
                <w:left w:val="nil"/>
                <w:bottom w:val="nil"/>
                <w:right w:val="nil"/>
                <w:between w:val="nil"/>
              </w:pBdr>
              <w:ind w:left="113" w:hanging="113"/>
              <w:rPr>
                <w:b/>
                <w:i/>
                <w:color w:val="000000"/>
              </w:rPr>
            </w:pPr>
            <w:r>
              <w:rPr>
                <w:i/>
                <w:color w:val="000000"/>
              </w:rPr>
              <w:t xml:space="preserve">In thousands of </w:t>
            </w:r>
            <w:r w:rsidR="002649EE">
              <w:rPr>
                <w:i/>
                <w:color w:val="000000"/>
              </w:rPr>
              <w:t>EUR</w:t>
            </w:r>
          </w:p>
        </w:tc>
        <w:tc>
          <w:tcPr>
            <w:tcW w:w="909" w:type="pct"/>
            <w:tcBorders>
              <w:bottom w:val="single" w:sz="4" w:space="0" w:color="000000"/>
            </w:tcBorders>
          </w:tcPr>
          <w:p w14:paraId="4EE46417"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Gross contractual amounts receivable</w:t>
            </w:r>
          </w:p>
        </w:tc>
        <w:tc>
          <w:tcPr>
            <w:tcW w:w="909" w:type="pct"/>
            <w:tcBorders>
              <w:bottom w:val="single" w:sz="4" w:space="0" w:color="000000"/>
            </w:tcBorders>
          </w:tcPr>
          <w:p w14:paraId="2AE0B507" w14:textId="77777777" w:rsidR="00D83E33" w:rsidRPr="00D95E75" w:rsidRDefault="00BC4072" w:rsidP="001B330E">
            <w:pPr>
              <w:widowControl w:val="0"/>
              <w:pBdr>
                <w:top w:val="nil"/>
                <w:left w:val="nil"/>
                <w:bottom w:val="nil"/>
                <w:right w:val="nil"/>
                <w:between w:val="nil"/>
              </w:pBdr>
              <w:jc w:val="right"/>
              <w:rPr>
                <w:b/>
                <w:color w:val="000000"/>
              </w:rPr>
            </w:pPr>
            <w:r w:rsidRPr="00D95E75">
              <w:rPr>
                <w:b/>
                <w:color w:val="000000"/>
              </w:rPr>
              <w:t>The contractual cash flows not expected to be collected</w:t>
            </w:r>
          </w:p>
        </w:tc>
      </w:tr>
      <w:tr w:rsidR="00D83E33" w:rsidRPr="00D95E75" w14:paraId="37FDA349" w14:textId="77777777" w:rsidTr="001B330E">
        <w:trPr>
          <w:trHeight w:val="23"/>
        </w:trPr>
        <w:tc>
          <w:tcPr>
            <w:tcW w:w="3182" w:type="pct"/>
            <w:vAlign w:val="bottom"/>
          </w:tcPr>
          <w:p w14:paraId="163C3BBD"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09" w:type="pct"/>
            <w:vAlign w:val="bottom"/>
          </w:tcPr>
          <w:p w14:paraId="1FCC84F3"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0415161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7404942" w14:textId="77777777" w:rsidTr="001B330E">
        <w:trPr>
          <w:trHeight w:val="23"/>
        </w:trPr>
        <w:tc>
          <w:tcPr>
            <w:tcW w:w="3182" w:type="pct"/>
            <w:vAlign w:val="bottom"/>
          </w:tcPr>
          <w:p w14:paraId="186DF812" w14:textId="77777777" w:rsidR="00D83E33" w:rsidRPr="00D95E75" w:rsidRDefault="00BC4072" w:rsidP="001B330E">
            <w:pPr>
              <w:widowControl w:val="0"/>
              <w:pBdr>
                <w:top w:val="nil"/>
                <w:left w:val="nil"/>
                <w:bottom w:val="nil"/>
                <w:right w:val="nil"/>
                <w:between w:val="nil"/>
              </w:pBdr>
              <w:ind w:left="113" w:hanging="113"/>
              <w:rPr>
                <w:b/>
                <w:i/>
                <w:color w:val="000000"/>
              </w:rPr>
            </w:pPr>
            <w:r w:rsidRPr="00D95E75">
              <w:rPr>
                <w:b/>
                <w:i/>
                <w:color w:val="000000"/>
              </w:rPr>
              <w:t>Loans and advances to customers</w:t>
            </w:r>
          </w:p>
        </w:tc>
        <w:tc>
          <w:tcPr>
            <w:tcW w:w="909" w:type="pct"/>
            <w:vAlign w:val="bottom"/>
          </w:tcPr>
          <w:p w14:paraId="4DD28821"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20BD3FAB"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BC9EB90" w14:textId="77777777" w:rsidTr="001B330E">
        <w:trPr>
          <w:trHeight w:val="23"/>
        </w:trPr>
        <w:tc>
          <w:tcPr>
            <w:tcW w:w="3182" w:type="pct"/>
            <w:vAlign w:val="bottom"/>
          </w:tcPr>
          <w:p w14:paraId="18471D0E"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Corporate loans</w:t>
            </w:r>
          </w:p>
        </w:tc>
        <w:tc>
          <w:tcPr>
            <w:tcW w:w="909" w:type="pct"/>
            <w:vAlign w:val="bottom"/>
          </w:tcPr>
          <w:p w14:paraId="7B325EC6"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566AD714"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6AE6D8B" w14:textId="77777777" w:rsidTr="001B330E">
        <w:trPr>
          <w:trHeight w:val="23"/>
        </w:trPr>
        <w:tc>
          <w:tcPr>
            <w:tcW w:w="3182" w:type="pct"/>
            <w:vAlign w:val="bottom"/>
          </w:tcPr>
          <w:p w14:paraId="6C5ED039"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Loans to individuals ‒ consumer loans</w:t>
            </w:r>
          </w:p>
        </w:tc>
        <w:tc>
          <w:tcPr>
            <w:tcW w:w="909" w:type="pct"/>
            <w:vAlign w:val="bottom"/>
          </w:tcPr>
          <w:p w14:paraId="0C66FD8A"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6619611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DB56941" w14:textId="77777777" w:rsidTr="001B330E">
        <w:trPr>
          <w:trHeight w:val="23"/>
        </w:trPr>
        <w:tc>
          <w:tcPr>
            <w:tcW w:w="3182" w:type="pct"/>
            <w:vAlign w:val="bottom"/>
          </w:tcPr>
          <w:p w14:paraId="1CAD648F"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Loans to individuals ‒ entrepreneurs</w:t>
            </w:r>
          </w:p>
        </w:tc>
        <w:tc>
          <w:tcPr>
            <w:tcW w:w="909" w:type="pct"/>
            <w:vAlign w:val="bottom"/>
          </w:tcPr>
          <w:p w14:paraId="42F78D8D"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2DFE3EA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320C19F" w14:textId="77777777" w:rsidTr="001B330E">
        <w:trPr>
          <w:trHeight w:val="23"/>
        </w:trPr>
        <w:tc>
          <w:tcPr>
            <w:tcW w:w="3182" w:type="pct"/>
            <w:vAlign w:val="bottom"/>
          </w:tcPr>
          <w:p w14:paraId="03939006"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Mortgage loans</w:t>
            </w:r>
          </w:p>
        </w:tc>
        <w:tc>
          <w:tcPr>
            <w:tcW w:w="909" w:type="pct"/>
            <w:vAlign w:val="bottom"/>
          </w:tcPr>
          <w:p w14:paraId="4F08EC81"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2465DEC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773B34F" w14:textId="77777777" w:rsidTr="001B330E">
        <w:trPr>
          <w:trHeight w:val="23"/>
        </w:trPr>
        <w:tc>
          <w:tcPr>
            <w:tcW w:w="3182" w:type="pct"/>
            <w:vAlign w:val="bottom"/>
          </w:tcPr>
          <w:p w14:paraId="4AB0F396"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Reverse sale and repurchase agreements</w:t>
            </w:r>
          </w:p>
        </w:tc>
        <w:tc>
          <w:tcPr>
            <w:tcW w:w="909" w:type="pct"/>
            <w:vAlign w:val="bottom"/>
          </w:tcPr>
          <w:p w14:paraId="017DA108"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4B9753B9"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513A3E4F" w14:textId="77777777" w:rsidTr="001B330E">
        <w:trPr>
          <w:trHeight w:val="23"/>
        </w:trPr>
        <w:tc>
          <w:tcPr>
            <w:tcW w:w="3182" w:type="pct"/>
            <w:vAlign w:val="bottom"/>
          </w:tcPr>
          <w:p w14:paraId="7CB28722" w14:textId="12E81641"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xml:space="preserve">- State and municipal organisations </w:t>
            </w:r>
          </w:p>
        </w:tc>
        <w:tc>
          <w:tcPr>
            <w:tcW w:w="909" w:type="pct"/>
            <w:vAlign w:val="bottom"/>
          </w:tcPr>
          <w:p w14:paraId="67F70E59"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0BEE54DC"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0AE7567" w14:textId="77777777" w:rsidTr="001B330E">
        <w:trPr>
          <w:trHeight w:val="23"/>
        </w:trPr>
        <w:tc>
          <w:tcPr>
            <w:tcW w:w="3182" w:type="pct"/>
            <w:vAlign w:val="bottom"/>
          </w:tcPr>
          <w:p w14:paraId="427533FE" w14:textId="77777777" w:rsidR="00D83E33" w:rsidRPr="00D95E75" w:rsidRDefault="00BC4072" w:rsidP="001B330E">
            <w:pPr>
              <w:widowControl w:val="0"/>
              <w:pBdr>
                <w:top w:val="nil"/>
                <w:left w:val="nil"/>
                <w:bottom w:val="nil"/>
                <w:right w:val="nil"/>
                <w:between w:val="nil"/>
              </w:pBdr>
              <w:ind w:left="113" w:hanging="113"/>
              <w:rPr>
                <w:b/>
                <w:i/>
                <w:color w:val="000000"/>
              </w:rPr>
            </w:pPr>
            <w:r w:rsidRPr="00D95E75">
              <w:rPr>
                <w:b/>
                <w:i/>
                <w:color w:val="000000"/>
              </w:rPr>
              <w:t>Other financial assets:</w:t>
            </w:r>
          </w:p>
        </w:tc>
        <w:tc>
          <w:tcPr>
            <w:tcW w:w="909" w:type="pct"/>
            <w:vAlign w:val="bottom"/>
          </w:tcPr>
          <w:p w14:paraId="25586234"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4ABC30F1"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604D456A" w14:textId="77777777" w:rsidTr="001B330E">
        <w:trPr>
          <w:trHeight w:val="23"/>
        </w:trPr>
        <w:tc>
          <w:tcPr>
            <w:tcW w:w="3182" w:type="pct"/>
            <w:vAlign w:val="bottom"/>
          </w:tcPr>
          <w:p w14:paraId="2FDAC0D1"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Trade receivables</w:t>
            </w:r>
          </w:p>
        </w:tc>
        <w:tc>
          <w:tcPr>
            <w:tcW w:w="909" w:type="pct"/>
            <w:vAlign w:val="bottom"/>
          </w:tcPr>
          <w:p w14:paraId="7623E7F1"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5A85F678"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1336DDE2" w14:textId="77777777" w:rsidTr="001B330E">
        <w:trPr>
          <w:trHeight w:val="23"/>
        </w:trPr>
        <w:tc>
          <w:tcPr>
            <w:tcW w:w="3182" w:type="pct"/>
            <w:vAlign w:val="bottom"/>
          </w:tcPr>
          <w:p w14:paraId="0F6CDBF6"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Finance lease receivables</w:t>
            </w:r>
          </w:p>
        </w:tc>
        <w:tc>
          <w:tcPr>
            <w:tcW w:w="909" w:type="pct"/>
            <w:vAlign w:val="bottom"/>
          </w:tcPr>
          <w:p w14:paraId="5E3F27C9"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37E6256F"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4BAC34B6" w14:textId="77777777" w:rsidTr="001B330E">
        <w:trPr>
          <w:trHeight w:val="23"/>
        </w:trPr>
        <w:tc>
          <w:tcPr>
            <w:tcW w:w="3182" w:type="pct"/>
            <w:vAlign w:val="bottom"/>
          </w:tcPr>
          <w:p w14:paraId="3AEAD050"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Credit and debit cards receivables</w:t>
            </w:r>
          </w:p>
        </w:tc>
        <w:tc>
          <w:tcPr>
            <w:tcW w:w="909" w:type="pct"/>
            <w:vAlign w:val="bottom"/>
          </w:tcPr>
          <w:p w14:paraId="5D466327"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7056C40E"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7E908D48" w14:textId="77777777" w:rsidTr="001B330E">
        <w:trPr>
          <w:trHeight w:val="23"/>
        </w:trPr>
        <w:tc>
          <w:tcPr>
            <w:tcW w:w="3182" w:type="pct"/>
            <w:vAlign w:val="bottom"/>
          </w:tcPr>
          <w:p w14:paraId="286F0C0D"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Settlements on conversion operations</w:t>
            </w:r>
          </w:p>
        </w:tc>
        <w:tc>
          <w:tcPr>
            <w:tcW w:w="909" w:type="pct"/>
            <w:vAlign w:val="bottom"/>
          </w:tcPr>
          <w:p w14:paraId="472E11B5"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4D6A356E"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3DA77917" w14:textId="77777777" w:rsidTr="001B330E">
        <w:trPr>
          <w:trHeight w:val="23"/>
        </w:trPr>
        <w:tc>
          <w:tcPr>
            <w:tcW w:w="3182" w:type="pct"/>
            <w:tcBorders>
              <w:bottom w:val="single" w:sz="4" w:space="0" w:color="000000"/>
            </w:tcBorders>
            <w:vAlign w:val="bottom"/>
          </w:tcPr>
          <w:p w14:paraId="0A88F893"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w:t>
            </w:r>
          </w:p>
        </w:tc>
        <w:tc>
          <w:tcPr>
            <w:tcW w:w="909" w:type="pct"/>
            <w:tcBorders>
              <w:bottom w:val="single" w:sz="4" w:space="0" w:color="000000"/>
            </w:tcBorders>
            <w:vAlign w:val="bottom"/>
          </w:tcPr>
          <w:p w14:paraId="43B4C4CB" w14:textId="77777777" w:rsidR="00D83E33" w:rsidRPr="00D95E75" w:rsidRDefault="00D83E33">
            <w:pPr>
              <w:widowControl w:val="0"/>
              <w:pBdr>
                <w:top w:val="nil"/>
                <w:left w:val="nil"/>
                <w:bottom w:val="nil"/>
                <w:right w:val="nil"/>
                <w:between w:val="nil"/>
              </w:pBdr>
              <w:jc w:val="right"/>
              <w:rPr>
                <w:color w:val="000000"/>
              </w:rPr>
            </w:pPr>
          </w:p>
        </w:tc>
        <w:tc>
          <w:tcPr>
            <w:tcW w:w="909" w:type="pct"/>
            <w:tcBorders>
              <w:bottom w:val="single" w:sz="4" w:space="0" w:color="000000"/>
            </w:tcBorders>
            <w:vAlign w:val="bottom"/>
          </w:tcPr>
          <w:p w14:paraId="08EE6BB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2B7A532F" w14:textId="77777777" w:rsidTr="001B330E">
        <w:trPr>
          <w:trHeight w:val="23"/>
        </w:trPr>
        <w:tc>
          <w:tcPr>
            <w:tcW w:w="3182" w:type="pct"/>
            <w:tcBorders>
              <w:top w:val="single" w:sz="4" w:space="0" w:color="000000"/>
            </w:tcBorders>
            <w:vAlign w:val="bottom"/>
          </w:tcPr>
          <w:p w14:paraId="5CDD3BE0" w14:textId="77777777" w:rsidR="00D83E33" w:rsidRPr="00D95E75" w:rsidRDefault="00BC4072" w:rsidP="001B330E">
            <w:pPr>
              <w:widowControl w:val="0"/>
              <w:pBdr>
                <w:top w:val="nil"/>
                <w:left w:val="nil"/>
                <w:bottom w:val="nil"/>
                <w:right w:val="nil"/>
                <w:between w:val="nil"/>
              </w:pBdr>
              <w:ind w:left="113" w:hanging="113"/>
              <w:rPr>
                <w:i/>
                <w:color w:val="000000"/>
              </w:rPr>
            </w:pPr>
            <w:r w:rsidRPr="00D95E75">
              <w:rPr>
                <w:color w:val="000000"/>
              </w:rPr>
              <w:t> </w:t>
            </w:r>
          </w:p>
        </w:tc>
        <w:tc>
          <w:tcPr>
            <w:tcW w:w="909" w:type="pct"/>
            <w:tcBorders>
              <w:top w:val="single" w:sz="4" w:space="0" w:color="000000"/>
            </w:tcBorders>
            <w:vAlign w:val="bottom"/>
          </w:tcPr>
          <w:p w14:paraId="2E4ED605" w14:textId="77777777" w:rsidR="00D83E33" w:rsidRPr="00D95E75" w:rsidRDefault="00D83E33">
            <w:pPr>
              <w:widowControl w:val="0"/>
              <w:pBdr>
                <w:top w:val="nil"/>
                <w:left w:val="nil"/>
                <w:bottom w:val="nil"/>
                <w:right w:val="nil"/>
                <w:between w:val="nil"/>
              </w:pBdr>
              <w:jc w:val="right"/>
              <w:rPr>
                <w:color w:val="000000"/>
              </w:rPr>
            </w:pPr>
          </w:p>
        </w:tc>
        <w:tc>
          <w:tcPr>
            <w:tcW w:w="909" w:type="pct"/>
            <w:tcBorders>
              <w:top w:val="single" w:sz="4" w:space="0" w:color="000000"/>
            </w:tcBorders>
            <w:vAlign w:val="bottom"/>
          </w:tcPr>
          <w:p w14:paraId="217548E6"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8DBFEF9" w14:textId="77777777" w:rsidTr="001B330E">
        <w:trPr>
          <w:trHeight w:val="23"/>
        </w:trPr>
        <w:tc>
          <w:tcPr>
            <w:tcW w:w="3182" w:type="pct"/>
            <w:vAlign w:val="bottom"/>
          </w:tcPr>
          <w:p w14:paraId="0ED5EB53" w14:textId="77777777" w:rsidR="00D83E33" w:rsidRPr="00D95E75" w:rsidRDefault="00BC4072" w:rsidP="001B330E">
            <w:pPr>
              <w:widowControl w:val="0"/>
              <w:pBdr>
                <w:top w:val="nil"/>
                <w:left w:val="nil"/>
                <w:bottom w:val="nil"/>
                <w:right w:val="nil"/>
                <w:between w:val="nil"/>
              </w:pBdr>
              <w:ind w:left="113" w:hanging="113"/>
              <w:rPr>
                <w:b/>
                <w:color w:val="000000"/>
              </w:rPr>
            </w:pPr>
            <w:r w:rsidRPr="00D95E75">
              <w:rPr>
                <w:b/>
                <w:color w:val="000000"/>
              </w:rPr>
              <w:t>Total</w:t>
            </w:r>
          </w:p>
        </w:tc>
        <w:tc>
          <w:tcPr>
            <w:tcW w:w="909" w:type="pct"/>
            <w:vAlign w:val="bottom"/>
          </w:tcPr>
          <w:p w14:paraId="3FB179F0" w14:textId="77777777" w:rsidR="00D83E33" w:rsidRPr="00D95E75" w:rsidRDefault="00D83E33">
            <w:pPr>
              <w:widowControl w:val="0"/>
              <w:pBdr>
                <w:top w:val="nil"/>
                <w:left w:val="nil"/>
                <w:bottom w:val="nil"/>
                <w:right w:val="nil"/>
                <w:between w:val="nil"/>
              </w:pBdr>
              <w:jc w:val="right"/>
              <w:rPr>
                <w:color w:val="000000"/>
              </w:rPr>
            </w:pPr>
          </w:p>
        </w:tc>
        <w:tc>
          <w:tcPr>
            <w:tcW w:w="909" w:type="pct"/>
            <w:vAlign w:val="bottom"/>
          </w:tcPr>
          <w:p w14:paraId="169FBB2A" w14:textId="77777777" w:rsidR="00D83E33" w:rsidRPr="00D95E75" w:rsidRDefault="00D83E33">
            <w:pPr>
              <w:widowControl w:val="0"/>
              <w:pBdr>
                <w:top w:val="nil"/>
                <w:left w:val="nil"/>
                <w:bottom w:val="nil"/>
                <w:right w:val="nil"/>
                <w:between w:val="nil"/>
              </w:pBdr>
              <w:jc w:val="right"/>
              <w:rPr>
                <w:color w:val="000000"/>
              </w:rPr>
            </w:pPr>
          </w:p>
        </w:tc>
      </w:tr>
      <w:tr w:rsidR="00D83E33" w:rsidRPr="00D95E75" w14:paraId="028C67ED" w14:textId="77777777" w:rsidTr="001B330E">
        <w:trPr>
          <w:trHeight w:val="23"/>
        </w:trPr>
        <w:tc>
          <w:tcPr>
            <w:tcW w:w="3182" w:type="pct"/>
            <w:tcBorders>
              <w:bottom w:val="single" w:sz="12" w:space="0" w:color="000000"/>
            </w:tcBorders>
            <w:vAlign w:val="bottom"/>
          </w:tcPr>
          <w:p w14:paraId="7AD13938" w14:textId="77777777" w:rsidR="00D83E33" w:rsidRPr="00D95E75" w:rsidRDefault="00BC4072" w:rsidP="001B330E">
            <w:pPr>
              <w:widowControl w:val="0"/>
              <w:pBdr>
                <w:top w:val="nil"/>
                <w:left w:val="nil"/>
                <w:bottom w:val="nil"/>
                <w:right w:val="nil"/>
                <w:between w:val="nil"/>
              </w:pBdr>
              <w:ind w:left="113" w:hanging="113"/>
              <w:rPr>
                <w:color w:val="000000"/>
              </w:rPr>
            </w:pPr>
            <w:r w:rsidRPr="00D95E75">
              <w:rPr>
                <w:color w:val="000000"/>
              </w:rPr>
              <w:t> </w:t>
            </w:r>
          </w:p>
        </w:tc>
        <w:tc>
          <w:tcPr>
            <w:tcW w:w="909" w:type="pct"/>
            <w:tcBorders>
              <w:bottom w:val="single" w:sz="12" w:space="0" w:color="000000"/>
            </w:tcBorders>
            <w:vAlign w:val="bottom"/>
          </w:tcPr>
          <w:p w14:paraId="478D2456" w14:textId="77777777" w:rsidR="00D83E33" w:rsidRPr="00D95E75" w:rsidRDefault="00D83E33">
            <w:pPr>
              <w:widowControl w:val="0"/>
              <w:pBdr>
                <w:top w:val="nil"/>
                <w:left w:val="nil"/>
                <w:bottom w:val="nil"/>
                <w:right w:val="nil"/>
                <w:between w:val="nil"/>
              </w:pBdr>
              <w:jc w:val="right"/>
              <w:rPr>
                <w:b/>
                <w:color w:val="000000"/>
              </w:rPr>
            </w:pPr>
          </w:p>
        </w:tc>
        <w:tc>
          <w:tcPr>
            <w:tcW w:w="909" w:type="pct"/>
            <w:tcBorders>
              <w:bottom w:val="single" w:sz="12" w:space="0" w:color="000000"/>
            </w:tcBorders>
            <w:vAlign w:val="bottom"/>
          </w:tcPr>
          <w:p w14:paraId="0CB7CEFD" w14:textId="77777777" w:rsidR="00D83E33" w:rsidRPr="00D95E75" w:rsidRDefault="00D83E33">
            <w:pPr>
              <w:widowControl w:val="0"/>
              <w:pBdr>
                <w:top w:val="nil"/>
                <w:left w:val="nil"/>
                <w:bottom w:val="nil"/>
                <w:right w:val="nil"/>
                <w:between w:val="nil"/>
              </w:pBdr>
              <w:jc w:val="right"/>
              <w:rPr>
                <w:b/>
                <w:color w:val="000000"/>
              </w:rPr>
            </w:pPr>
          </w:p>
        </w:tc>
      </w:tr>
    </w:tbl>
    <w:p w14:paraId="5F7BA26C" w14:textId="675EC4C1"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Contingent tax exposures are attributable to [transfer pricing tax risks] and expire within [three] years from acquisition. Refer to Note 43. </w:t>
      </w:r>
      <w:r>
        <w:rPr>
          <w:i/>
          <w:color w:val="FF0000"/>
          <w:sz w:val="20"/>
          <w:szCs w:val="20"/>
        </w:rPr>
        <w:t>[If a contingent liability is not recognised because its fair value cannot be measured reliably, the acquirer shall disclose: (i) the information required by paragraph 86 of IAS 37; and (ii) the reasons why the liability cannot be measured reliably.]</w:t>
      </w:r>
    </w:p>
    <w:p w14:paraId="2512F356" w14:textId="5A178812" w:rsidR="00D83E33" w:rsidRDefault="00BC4072">
      <w:pPr>
        <w:widowControl w:val="0"/>
        <w:pBdr>
          <w:top w:val="nil"/>
          <w:left w:val="nil"/>
          <w:bottom w:val="nil"/>
          <w:right w:val="nil"/>
          <w:between w:val="nil"/>
        </w:pBdr>
        <w:spacing w:before="200" w:after="200"/>
        <w:jc w:val="both"/>
        <w:rPr>
          <w:i/>
          <w:color w:val="FF0000"/>
          <w:sz w:val="20"/>
          <w:szCs w:val="20"/>
        </w:rPr>
      </w:pPr>
      <w:r>
        <w:rPr>
          <w:color w:val="000000"/>
          <w:sz w:val="20"/>
          <w:szCs w:val="20"/>
        </w:rPr>
        <w:t xml:space="preserve">The goodwill is primarily attributable to the profitability of the acquired business, the significant synergies and combined cost savings expected to arise. </w:t>
      </w:r>
      <w:r>
        <w:rPr>
          <w:i/>
          <w:color w:val="FF0000"/>
          <w:sz w:val="20"/>
          <w:szCs w:val="20"/>
        </w:rPr>
        <w:t xml:space="preserve">[The requirement is to disclose description of factors that make up the goodwill.] </w:t>
      </w:r>
      <w:r>
        <w:rPr>
          <w:color w:val="000000"/>
          <w:sz w:val="20"/>
          <w:szCs w:val="20"/>
        </w:rPr>
        <w:t>The goodwill will not be deductible for tax purposes in future periods.</w:t>
      </w:r>
      <w:r>
        <w:rPr>
          <w:color w:val="FF0000"/>
          <w:sz w:val="20"/>
          <w:szCs w:val="20"/>
        </w:rPr>
        <w:t xml:space="preserve"> </w:t>
      </w:r>
    </w:p>
    <w:p w14:paraId="630DFC83" w14:textId="079D61E8"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Non-current assets held for sale (or disposal groups). </w:t>
      </w:r>
      <w:r>
        <w:rPr>
          <w:color w:val="000000"/>
          <w:sz w:val="20"/>
          <w:szCs w:val="20"/>
        </w:rPr>
        <w:t xml:space="preserve">After the end of the reporting period, the Group reclassified assets which had a carrying value of </w:t>
      </w:r>
      <w:r w:rsidR="00EB510C">
        <w:rPr>
          <w:color w:val="000000"/>
          <w:sz w:val="20"/>
          <w:szCs w:val="20"/>
        </w:rPr>
        <w:t>EUR</w:t>
      </w:r>
      <w:r>
        <w:rPr>
          <w:color w:val="000000"/>
          <w:sz w:val="20"/>
          <w:szCs w:val="20"/>
        </w:rPr>
        <w:t xml:space="preserve"> _____ thousand, to non-current assets held for sale (or disposal groups). Management approved a plan to sell _____ assets on _____ due to _____. The Group is actively marketing these assets and expects the sale to complete by _____</w:t>
      </w:r>
      <w:r w:rsidR="00541EBC">
        <w:rPr>
          <w:color w:val="000000"/>
          <w:sz w:val="20"/>
          <w:szCs w:val="20"/>
        </w:rPr>
        <w:t>2024</w:t>
      </w:r>
      <w:r>
        <w:rPr>
          <w:color w:val="000000"/>
          <w:sz w:val="20"/>
          <w:szCs w:val="20"/>
        </w:rPr>
        <w:t xml:space="preserve">. </w:t>
      </w:r>
      <w:r>
        <w:rPr>
          <w:i/>
          <w:color w:val="FF0000"/>
          <w:sz w:val="20"/>
          <w:szCs w:val="20"/>
        </w:rPr>
        <w:t>[Describe facts and circumstances, expected manner and timing of that disposal]</w:t>
      </w:r>
    </w:p>
    <w:p w14:paraId="2A9D185D" w14:textId="265A32D5"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 reclassified assets belong to the </w:t>
      </w:r>
      <w:r>
        <w:rPr>
          <w:color w:val="0000FF"/>
          <w:sz w:val="20"/>
          <w:szCs w:val="20"/>
        </w:rPr>
        <w:t>[Retail] [Corporate] [Investment]</w:t>
      </w:r>
      <w:r>
        <w:rPr>
          <w:color w:val="000000"/>
          <w:sz w:val="20"/>
          <w:szCs w:val="20"/>
        </w:rPr>
        <w:t xml:space="preserve"> banking segment operating in</w:t>
      </w:r>
      <w:r>
        <w:rPr>
          <w:color w:val="0000FF"/>
          <w:sz w:val="20"/>
          <w:szCs w:val="20"/>
        </w:rPr>
        <w:t xml:space="preserve"> [Europe] [the United States of America]</w:t>
      </w:r>
      <w:r>
        <w:rPr>
          <w:color w:val="000000"/>
          <w:sz w:val="20"/>
          <w:szCs w:val="20"/>
        </w:rPr>
        <w:t>.</w:t>
      </w:r>
    </w:p>
    <w:p w14:paraId="67BC7B67" w14:textId="02168767" w:rsidR="00D83E33" w:rsidRDefault="00BC4072">
      <w:pPr>
        <w:widowControl w:val="0"/>
        <w:pBdr>
          <w:top w:val="nil"/>
          <w:left w:val="nil"/>
          <w:bottom w:val="nil"/>
          <w:right w:val="nil"/>
          <w:between w:val="nil"/>
        </w:pBdr>
        <w:spacing w:before="200" w:after="200"/>
        <w:jc w:val="both"/>
        <w:rPr>
          <w:i/>
          <w:color w:val="000000"/>
          <w:sz w:val="20"/>
          <w:szCs w:val="20"/>
        </w:rPr>
      </w:pPr>
      <w:r>
        <w:rPr>
          <w:b/>
          <w:i/>
          <w:color w:val="000000"/>
          <w:sz w:val="20"/>
          <w:szCs w:val="20"/>
        </w:rPr>
        <w:t xml:space="preserve">Refinancing. </w:t>
      </w:r>
      <w:r>
        <w:rPr>
          <w:i/>
          <w:color w:val="FF0000"/>
          <w:sz w:val="20"/>
          <w:szCs w:val="20"/>
        </w:rPr>
        <w:t>[Disclose post-balance sheet (a) refinancing of loans on a long-term basis; (b) rectification of a breach of a long-term loan agreement; and (c) the receipt from the lender of a period of grace to rectify a breach of a long-term loan agreement ending at least twelve months after the end of the reporting period. Refer to IAS 1.67.]</w:t>
      </w:r>
    </w:p>
    <w:p w14:paraId="15572786" w14:textId="68D549B2" w:rsidR="00DB34A6" w:rsidRDefault="00BC4072" w:rsidP="00DB34A6">
      <w:pPr>
        <w:widowControl w:val="0"/>
        <w:pBdr>
          <w:top w:val="nil"/>
          <w:left w:val="nil"/>
          <w:bottom w:val="nil"/>
          <w:right w:val="nil"/>
          <w:between w:val="nil"/>
        </w:pBdr>
        <w:spacing w:before="200" w:after="200"/>
        <w:jc w:val="both"/>
        <w:rPr>
          <w:i/>
          <w:color w:val="FF0000"/>
          <w:sz w:val="20"/>
          <w:szCs w:val="20"/>
        </w:rPr>
      </w:pPr>
      <w:r>
        <w:rPr>
          <w:b/>
          <w:i/>
          <w:color w:val="000000"/>
          <w:sz w:val="20"/>
          <w:szCs w:val="20"/>
        </w:rPr>
        <w:t>Transactions with shareholders.</w:t>
      </w:r>
      <w:r>
        <w:rPr>
          <w:i/>
          <w:color w:val="000000"/>
          <w:sz w:val="20"/>
          <w:szCs w:val="20"/>
        </w:rPr>
        <w:t xml:space="preserve"> </w:t>
      </w:r>
      <w:r>
        <w:rPr>
          <w:i/>
          <w:color w:val="FF0000"/>
          <w:sz w:val="20"/>
          <w:szCs w:val="20"/>
        </w:rPr>
        <w:t>[Provide a description of ordinary share transactions or potential ordinary share transactions, other than those accounted for in accordance with IAS 33.64, that occur after the end of the reporting period and that would have changed significantly the number of ordinary shares or potential ordinary shares outstanding at the end of the period if those transactions had occurred before the end of the reporting period. Refer to IAS 33.70]</w:t>
      </w:r>
    </w:p>
    <w:p w14:paraId="0A151E94" w14:textId="152F7502" w:rsidR="00071B94" w:rsidRDefault="00BC4072" w:rsidP="00DB34A6">
      <w:pPr>
        <w:widowControl w:val="0"/>
        <w:pBdr>
          <w:top w:val="nil"/>
          <w:left w:val="nil"/>
          <w:bottom w:val="nil"/>
          <w:right w:val="nil"/>
          <w:between w:val="nil"/>
        </w:pBdr>
        <w:spacing w:before="200" w:after="200"/>
        <w:jc w:val="both"/>
        <w:rPr>
          <w:i/>
          <w:color w:val="FF0000"/>
          <w:sz w:val="20"/>
          <w:szCs w:val="20"/>
        </w:rPr>
      </w:pPr>
      <w:r>
        <w:rPr>
          <w:i/>
          <w:color w:val="FF0000"/>
          <w:sz w:val="20"/>
          <w:szCs w:val="20"/>
        </w:rPr>
        <w:t>[Consider descriptions of other significant subsequent events. If subsequent event is disclosed elsewhere in the notes then reference to the respective note needs to be made from the subsequent events note.]</w:t>
      </w:r>
    </w:p>
    <w:p w14:paraId="58A89894" w14:textId="77777777" w:rsidR="00071B94" w:rsidRDefault="00071B94">
      <w:pPr>
        <w:rPr>
          <w:i/>
          <w:color w:val="FF0000"/>
          <w:sz w:val="20"/>
          <w:szCs w:val="20"/>
        </w:rPr>
      </w:pPr>
      <w:r>
        <w:rPr>
          <w:i/>
          <w:color w:val="FF0000"/>
          <w:sz w:val="20"/>
          <w:szCs w:val="20"/>
        </w:rPr>
        <w:br w:type="page"/>
      </w:r>
    </w:p>
    <w:p w14:paraId="17A9C4E6" w14:textId="77777777" w:rsidR="00D83E33" w:rsidRDefault="00BC4072" w:rsidP="001B330E">
      <w:pPr>
        <w:pStyle w:val="Heading1"/>
        <w:spacing w:before="200" w:after="200"/>
      </w:pPr>
      <w:bookmarkStart w:id="129" w:name="_heading=h.1jlao46" w:colFirst="0" w:colLast="0"/>
      <w:bookmarkStart w:id="130" w:name="_Toc83818361"/>
      <w:bookmarkStart w:id="131" w:name="_Toc83914000"/>
      <w:bookmarkStart w:id="132" w:name="_Toc83917466"/>
      <w:bookmarkStart w:id="133" w:name="_Toc179196056"/>
      <w:bookmarkEnd w:id="129"/>
      <w:bookmarkEnd w:id="130"/>
      <w:bookmarkEnd w:id="131"/>
      <w:bookmarkEnd w:id="132"/>
      <w:r>
        <w:lastRenderedPageBreak/>
        <w:t>Abbreviations</w:t>
      </w:r>
      <w:bookmarkEnd w:id="133"/>
    </w:p>
    <w:p w14:paraId="66F3640C" w14:textId="77777777" w:rsidR="00D83E33" w:rsidRDefault="00BC4072">
      <w:pPr>
        <w:widowControl w:val="0"/>
        <w:spacing w:before="200" w:after="200"/>
        <w:rPr>
          <w:color w:val="000000"/>
          <w:sz w:val="20"/>
          <w:szCs w:val="20"/>
        </w:rPr>
      </w:pPr>
      <w:r>
        <w:rPr>
          <w:color w:val="000000"/>
          <w:sz w:val="20"/>
          <w:szCs w:val="20"/>
        </w:rPr>
        <w:t>The list of the abbreviations used in these consolidated financial statements is provided below:</w:t>
      </w:r>
    </w:p>
    <w:tbl>
      <w:tblPr>
        <w:tblStyle w:val="affffffffffffffffff6"/>
        <w:tblW w:w="5000" w:type="pct"/>
        <w:tblBorders>
          <w:top w:val="nil"/>
          <w:left w:val="single" w:sz="4" w:space="0" w:color="000000"/>
          <w:bottom w:val="nil"/>
          <w:right w:val="single" w:sz="4" w:space="0" w:color="000000"/>
          <w:insideH w:val="single" w:sz="4" w:space="0" w:color="000000"/>
          <w:insideV w:val="single" w:sz="4" w:space="0" w:color="000000"/>
        </w:tblBorders>
        <w:tblLook w:val="04A0" w:firstRow="1" w:lastRow="0" w:firstColumn="1" w:lastColumn="0" w:noHBand="0" w:noVBand="1"/>
      </w:tblPr>
      <w:tblGrid>
        <w:gridCol w:w="2694"/>
        <w:gridCol w:w="6661"/>
      </w:tblGrid>
      <w:tr w:rsidR="002762A6" w:rsidRPr="002762A6" w14:paraId="0BBD5458" w14:textId="77777777" w:rsidTr="00372E26">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0" w:type="pct"/>
            <w:tcBorders>
              <w:left w:val="nil"/>
              <w:bottom w:val="single" w:sz="4" w:space="0" w:color="000000"/>
              <w:right w:val="nil"/>
            </w:tcBorders>
            <w:vAlign w:val="bottom"/>
          </w:tcPr>
          <w:p w14:paraId="22521EEA" w14:textId="77777777" w:rsidR="00D83E33" w:rsidRPr="002762A6" w:rsidRDefault="00BC4072" w:rsidP="001B330E">
            <w:pPr>
              <w:widowControl w:val="0"/>
              <w:ind w:left="113" w:hanging="113"/>
            </w:pPr>
            <w:r w:rsidRPr="002762A6">
              <w:t>Abbreviation</w:t>
            </w:r>
          </w:p>
        </w:tc>
        <w:tc>
          <w:tcPr>
            <w:tcW w:w="0" w:type="pct"/>
            <w:tcBorders>
              <w:left w:val="nil"/>
              <w:bottom w:val="single" w:sz="4" w:space="0" w:color="000000"/>
              <w:right w:val="nil"/>
            </w:tcBorders>
            <w:vAlign w:val="bottom"/>
          </w:tcPr>
          <w:p w14:paraId="4378C8D4" w14:textId="77777777" w:rsidR="00D83E33" w:rsidRPr="002762A6" w:rsidRDefault="00BC4072" w:rsidP="001B330E">
            <w:pPr>
              <w:widowControl w:val="0"/>
              <w:ind w:left="113" w:hanging="113"/>
              <w:cnfStyle w:val="100000000000" w:firstRow="1" w:lastRow="0" w:firstColumn="0" w:lastColumn="0" w:oddVBand="0" w:evenVBand="0" w:oddHBand="0" w:evenHBand="0" w:firstRowFirstColumn="0" w:firstRowLastColumn="0" w:lastRowFirstColumn="0" w:lastRowLastColumn="0"/>
            </w:pPr>
            <w:r w:rsidRPr="002762A6">
              <w:t>Full name</w:t>
            </w:r>
          </w:p>
        </w:tc>
      </w:tr>
      <w:tr w:rsidR="00283A73" w:rsidRPr="002762A6" w14:paraId="1C239BBB"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left w:val="nil"/>
              <w:bottom w:val="nil"/>
              <w:right w:val="nil"/>
            </w:tcBorders>
            <w:vAlign w:val="bottom"/>
          </w:tcPr>
          <w:p w14:paraId="6894FD97" w14:textId="77777777" w:rsidR="00283A73" w:rsidRPr="002762A6" w:rsidRDefault="00283A73">
            <w:pPr>
              <w:widowControl w:val="0"/>
              <w:ind w:left="113" w:hanging="113"/>
            </w:pPr>
          </w:p>
        </w:tc>
        <w:tc>
          <w:tcPr>
            <w:tcW w:w="3560" w:type="pct"/>
            <w:tcBorders>
              <w:left w:val="nil"/>
              <w:bottom w:val="nil"/>
              <w:right w:val="nil"/>
            </w:tcBorders>
            <w:vAlign w:val="bottom"/>
          </w:tcPr>
          <w:p w14:paraId="36D17288" w14:textId="77777777" w:rsidR="00283A73" w:rsidRPr="002762A6" w:rsidRDefault="00283A73">
            <w:pPr>
              <w:widowControl w:val="0"/>
              <w:ind w:left="113" w:hanging="113"/>
              <w:cnfStyle w:val="000000100000" w:firstRow="0" w:lastRow="0" w:firstColumn="0" w:lastColumn="0" w:oddVBand="0" w:evenVBand="0" w:oddHBand="1" w:evenHBand="0" w:firstRowFirstColumn="0" w:firstRowLastColumn="0" w:lastRowFirstColumn="0" w:lastRowLastColumn="0"/>
            </w:pPr>
          </w:p>
        </w:tc>
      </w:tr>
      <w:tr w:rsidR="002762A6" w:rsidRPr="002762A6" w14:paraId="6C641A73"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795979F3" w14:textId="77777777" w:rsidR="00D83E33" w:rsidRPr="002762A6" w:rsidRDefault="00BC4072" w:rsidP="001B330E">
            <w:pPr>
              <w:widowControl w:val="0"/>
              <w:ind w:left="113" w:hanging="113"/>
            </w:pPr>
            <w:r w:rsidRPr="002762A6">
              <w:t>AC</w:t>
            </w:r>
          </w:p>
        </w:tc>
        <w:tc>
          <w:tcPr>
            <w:tcW w:w="3560" w:type="pct"/>
            <w:tcBorders>
              <w:top w:val="nil"/>
              <w:left w:val="nil"/>
              <w:bottom w:val="nil"/>
              <w:right w:val="nil"/>
            </w:tcBorders>
            <w:vAlign w:val="bottom"/>
          </w:tcPr>
          <w:p w14:paraId="78A85224" w14:textId="77777777" w:rsidR="00D83E33" w:rsidRPr="002762A6" w:rsidRDefault="00BC4072"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Amortised Cost</w:t>
            </w:r>
          </w:p>
        </w:tc>
      </w:tr>
      <w:tr w:rsidR="002762A6" w:rsidRPr="002762A6" w14:paraId="6AD49965"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575792DB" w14:textId="77777777" w:rsidR="00D83E33" w:rsidRPr="002762A6" w:rsidRDefault="00BC4072" w:rsidP="001B330E">
            <w:pPr>
              <w:widowControl w:val="0"/>
              <w:ind w:left="113" w:hanging="113"/>
            </w:pPr>
            <w:r w:rsidRPr="002762A6">
              <w:t>ADR</w:t>
            </w:r>
          </w:p>
        </w:tc>
        <w:tc>
          <w:tcPr>
            <w:tcW w:w="3560" w:type="pct"/>
            <w:tcBorders>
              <w:top w:val="nil"/>
              <w:left w:val="nil"/>
              <w:bottom w:val="nil"/>
              <w:right w:val="nil"/>
            </w:tcBorders>
            <w:vAlign w:val="bottom"/>
          </w:tcPr>
          <w:p w14:paraId="55A9B6BF" w14:textId="77777777" w:rsidR="00D83E33" w:rsidRPr="002762A6" w:rsidRDefault="00BC4072"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American Depository Receipt</w:t>
            </w:r>
          </w:p>
        </w:tc>
      </w:tr>
      <w:tr w:rsidR="002762A6" w:rsidRPr="002762A6" w14:paraId="3EEF758F"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790DB9FD" w14:textId="77777777" w:rsidR="00D83E33" w:rsidRPr="002762A6" w:rsidRDefault="00BC4072" w:rsidP="001B330E">
            <w:pPr>
              <w:widowControl w:val="0"/>
              <w:ind w:left="113" w:hanging="113"/>
            </w:pPr>
            <w:r w:rsidRPr="002762A6">
              <w:t>CCF</w:t>
            </w:r>
          </w:p>
        </w:tc>
        <w:tc>
          <w:tcPr>
            <w:tcW w:w="3560" w:type="pct"/>
            <w:tcBorders>
              <w:top w:val="nil"/>
              <w:left w:val="nil"/>
              <w:bottom w:val="nil"/>
              <w:right w:val="nil"/>
            </w:tcBorders>
            <w:vAlign w:val="bottom"/>
          </w:tcPr>
          <w:p w14:paraId="1EA51A52" w14:textId="77777777" w:rsidR="00D83E33" w:rsidRPr="002762A6" w:rsidRDefault="00BC4072"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Credit Conversion Factor</w:t>
            </w:r>
          </w:p>
        </w:tc>
      </w:tr>
      <w:tr w:rsidR="00F77533" w:rsidRPr="002762A6" w14:paraId="10EC1119" w14:textId="77777777" w:rsidTr="00EB510C">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403DE2C8" w14:textId="110BF887" w:rsidR="00F77533" w:rsidRPr="002762A6" w:rsidRDefault="00F77533" w:rsidP="001B330E">
            <w:pPr>
              <w:widowControl w:val="0"/>
              <w:ind w:left="113" w:hanging="113"/>
            </w:pPr>
            <w:r>
              <w:t>CRR</w:t>
            </w:r>
          </w:p>
        </w:tc>
        <w:tc>
          <w:tcPr>
            <w:tcW w:w="3560" w:type="pct"/>
            <w:tcBorders>
              <w:top w:val="nil"/>
              <w:left w:val="nil"/>
              <w:bottom w:val="nil"/>
              <w:right w:val="nil"/>
            </w:tcBorders>
            <w:vAlign w:val="bottom"/>
          </w:tcPr>
          <w:p w14:paraId="2131DCB0" w14:textId="6ED8FE4B" w:rsidR="00F77533" w:rsidRPr="002762A6" w:rsidRDefault="00F77533"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t>Capital Requirement</w:t>
            </w:r>
            <w:r w:rsidR="004E4465">
              <w:t xml:space="preserve">s </w:t>
            </w:r>
            <w:r>
              <w:t>Regulation</w:t>
            </w:r>
          </w:p>
        </w:tc>
      </w:tr>
      <w:tr w:rsidR="002762A6" w:rsidRPr="002762A6" w14:paraId="19DDD8F7"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037DCA84" w14:textId="77777777" w:rsidR="00D83E33" w:rsidRPr="002762A6" w:rsidRDefault="00BC4072" w:rsidP="001B330E">
            <w:pPr>
              <w:widowControl w:val="0"/>
              <w:ind w:left="113" w:hanging="113"/>
            </w:pPr>
            <w:r w:rsidRPr="002762A6">
              <w:t>EAD</w:t>
            </w:r>
          </w:p>
        </w:tc>
        <w:tc>
          <w:tcPr>
            <w:tcW w:w="3560" w:type="pct"/>
            <w:tcBorders>
              <w:top w:val="nil"/>
              <w:left w:val="nil"/>
              <w:bottom w:val="nil"/>
              <w:right w:val="nil"/>
            </w:tcBorders>
            <w:vAlign w:val="bottom"/>
          </w:tcPr>
          <w:p w14:paraId="0BCEDC15" w14:textId="77777777" w:rsidR="00D83E33" w:rsidRPr="002762A6" w:rsidRDefault="00BC4072"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Exposure at Default</w:t>
            </w:r>
          </w:p>
        </w:tc>
      </w:tr>
      <w:tr w:rsidR="0042568C" w:rsidRPr="002762A6" w14:paraId="300EBD93" w14:textId="77777777" w:rsidTr="00EB510C">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3630BF94" w14:textId="4F1028B1" w:rsidR="0042568C" w:rsidRPr="002762A6" w:rsidRDefault="0042568C" w:rsidP="001B330E">
            <w:pPr>
              <w:widowControl w:val="0"/>
              <w:ind w:left="113" w:hanging="113"/>
            </w:pPr>
            <w:r>
              <w:t>ECB</w:t>
            </w:r>
          </w:p>
        </w:tc>
        <w:tc>
          <w:tcPr>
            <w:tcW w:w="3560" w:type="pct"/>
            <w:tcBorders>
              <w:top w:val="nil"/>
              <w:left w:val="nil"/>
              <w:bottom w:val="nil"/>
              <w:right w:val="nil"/>
            </w:tcBorders>
            <w:vAlign w:val="bottom"/>
          </w:tcPr>
          <w:p w14:paraId="07324F09" w14:textId="195983BF" w:rsidR="0042568C" w:rsidRPr="002762A6" w:rsidRDefault="0042568C"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t>European Central Bank</w:t>
            </w:r>
          </w:p>
        </w:tc>
      </w:tr>
      <w:tr w:rsidR="002762A6" w:rsidRPr="002762A6" w14:paraId="3CBF3303"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6ED92C35" w14:textId="77777777" w:rsidR="00D83E33" w:rsidRPr="002762A6" w:rsidRDefault="00BC4072" w:rsidP="001B330E">
            <w:pPr>
              <w:widowControl w:val="0"/>
              <w:ind w:left="113" w:hanging="113"/>
            </w:pPr>
            <w:r w:rsidRPr="002762A6">
              <w:t>ECL</w:t>
            </w:r>
          </w:p>
        </w:tc>
        <w:tc>
          <w:tcPr>
            <w:tcW w:w="3560" w:type="pct"/>
            <w:tcBorders>
              <w:top w:val="nil"/>
              <w:left w:val="nil"/>
              <w:bottom w:val="nil"/>
              <w:right w:val="nil"/>
            </w:tcBorders>
            <w:vAlign w:val="bottom"/>
          </w:tcPr>
          <w:p w14:paraId="1C81DB1A" w14:textId="77777777" w:rsidR="00D83E33" w:rsidRPr="002762A6" w:rsidRDefault="00BC4072"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Expected Credit Loss</w:t>
            </w:r>
          </w:p>
        </w:tc>
      </w:tr>
      <w:tr w:rsidR="002762A6" w:rsidRPr="002762A6" w14:paraId="3CBBC138"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0E14C745" w14:textId="77777777" w:rsidR="00D83E33" w:rsidRPr="002762A6" w:rsidRDefault="00BC4072" w:rsidP="001B330E">
            <w:pPr>
              <w:widowControl w:val="0"/>
              <w:ind w:left="113" w:hanging="113"/>
            </w:pPr>
            <w:r w:rsidRPr="002762A6">
              <w:t>EIR</w:t>
            </w:r>
          </w:p>
        </w:tc>
        <w:tc>
          <w:tcPr>
            <w:tcW w:w="3560" w:type="pct"/>
            <w:tcBorders>
              <w:top w:val="nil"/>
              <w:left w:val="nil"/>
              <w:bottom w:val="nil"/>
              <w:right w:val="nil"/>
            </w:tcBorders>
            <w:vAlign w:val="bottom"/>
          </w:tcPr>
          <w:p w14:paraId="4E2D58FD" w14:textId="77777777" w:rsidR="00D83E33" w:rsidRPr="002762A6" w:rsidRDefault="00BC4072"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Effective interest rate</w:t>
            </w:r>
          </w:p>
        </w:tc>
      </w:tr>
      <w:tr w:rsidR="002762A6" w:rsidRPr="002762A6" w14:paraId="6088C527"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09F05CFC" w14:textId="77777777" w:rsidR="00D83E33" w:rsidRPr="002762A6" w:rsidRDefault="00BC4072" w:rsidP="001B330E">
            <w:pPr>
              <w:widowControl w:val="0"/>
              <w:ind w:left="113" w:hanging="113"/>
            </w:pPr>
            <w:r w:rsidRPr="002762A6">
              <w:t>FVOCI</w:t>
            </w:r>
          </w:p>
        </w:tc>
        <w:tc>
          <w:tcPr>
            <w:tcW w:w="3560" w:type="pct"/>
            <w:tcBorders>
              <w:top w:val="nil"/>
              <w:left w:val="nil"/>
              <w:bottom w:val="nil"/>
              <w:right w:val="nil"/>
            </w:tcBorders>
            <w:vAlign w:val="bottom"/>
          </w:tcPr>
          <w:p w14:paraId="652BE8A4" w14:textId="77777777" w:rsidR="00D83E33" w:rsidRPr="002762A6" w:rsidRDefault="00BC4072"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Fair Value through Other Comprehensive Income</w:t>
            </w:r>
          </w:p>
        </w:tc>
      </w:tr>
      <w:tr w:rsidR="002762A6" w:rsidRPr="002762A6" w14:paraId="465F2959"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7A004062" w14:textId="77777777" w:rsidR="00D83E33" w:rsidRPr="002762A6" w:rsidRDefault="00BC4072" w:rsidP="001B330E">
            <w:pPr>
              <w:widowControl w:val="0"/>
              <w:ind w:left="113" w:hanging="113"/>
            </w:pPr>
            <w:r w:rsidRPr="002762A6">
              <w:t>FVTPL</w:t>
            </w:r>
          </w:p>
        </w:tc>
        <w:tc>
          <w:tcPr>
            <w:tcW w:w="3560" w:type="pct"/>
            <w:tcBorders>
              <w:top w:val="nil"/>
              <w:left w:val="nil"/>
              <w:bottom w:val="nil"/>
              <w:right w:val="nil"/>
            </w:tcBorders>
            <w:vAlign w:val="bottom"/>
          </w:tcPr>
          <w:p w14:paraId="76B2D9EC" w14:textId="77777777" w:rsidR="00D83E33" w:rsidRPr="002762A6" w:rsidRDefault="00BC4072"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Fair Value Through Profit or Loss</w:t>
            </w:r>
          </w:p>
        </w:tc>
      </w:tr>
      <w:tr w:rsidR="002762A6" w:rsidRPr="002762A6" w14:paraId="19C30A3A"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4BC2037D" w14:textId="77777777" w:rsidR="00D83E33" w:rsidRPr="002762A6" w:rsidRDefault="00BC4072" w:rsidP="001B330E">
            <w:pPr>
              <w:widowControl w:val="0"/>
              <w:ind w:left="113" w:hanging="113"/>
            </w:pPr>
            <w:r w:rsidRPr="002762A6">
              <w:t>FX, Forex</w:t>
            </w:r>
          </w:p>
        </w:tc>
        <w:tc>
          <w:tcPr>
            <w:tcW w:w="3560" w:type="pct"/>
            <w:tcBorders>
              <w:top w:val="nil"/>
              <w:left w:val="nil"/>
              <w:bottom w:val="nil"/>
              <w:right w:val="nil"/>
            </w:tcBorders>
            <w:vAlign w:val="bottom"/>
          </w:tcPr>
          <w:p w14:paraId="6D0CA92D" w14:textId="77777777" w:rsidR="00D83E33" w:rsidRPr="002762A6" w:rsidRDefault="00BC4072"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Foreign Currency Exchange</w:t>
            </w:r>
          </w:p>
        </w:tc>
      </w:tr>
      <w:tr w:rsidR="002762A6" w:rsidRPr="002762A6" w14:paraId="477E9AB6"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6A6C15AE" w14:textId="77777777" w:rsidR="00D83E33" w:rsidRPr="002762A6" w:rsidRDefault="00BC4072" w:rsidP="001B330E">
            <w:pPr>
              <w:widowControl w:val="0"/>
              <w:ind w:left="113" w:hanging="113"/>
            </w:pPr>
            <w:r w:rsidRPr="002762A6">
              <w:t>GDR</w:t>
            </w:r>
          </w:p>
        </w:tc>
        <w:tc>
          <w:tcPr>
            <w:tcW w:w="3560" w:type="pct"/>
            <w:tcBorders>
              <w:top w:val="nil"/>
              <w:left w:val="nil"/>
              <w:bottom w:val="nil"/>
              <w:right w:val="nil"/>
            </w:tcBorders>
            <w:vAlign w:val="bottom"/>
          </w:tcPr>
          <w:p w14:paraId="4F88A068" w14:textId="77777777" w:rsidR="00D83E33" w:rsidRPr="002762A6" w:rsidRDefault="00BC4072"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Global Depository Receipt</w:t>
            </w:r>
          </w:p>
        </w:tc>
      </w:tr>
      <w:tr w:rsidR="00A64E5A" w:rsidRPr="002762A6" w14:paraId="20615903"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492E106A" w14:textId="1B397673" w:rsidR="00A64E5A" w:rsidRPr="002762A6" w:rsidRDefault="00A64E5A" w:rsidP="001B330E">
            <w:pPr>
              <w:widowControl w:val="0"/>
              <w:ind w:left="113" w:hanging="113"/>
            </w:pPr>
            <w:r>
              <w:t>IASB</w:t>
            </w:r>
          </w:p>
        </w:tc>
        <w:tc>
          <w:tcPr>
            <w:tcW w:w="3560" w:type="pct"/>
            <w:tcBorders>
              <w:top w:val="nil"/>
              <w:left w:val="nil"/>
              <w:bottom w:val="nil"/>
              <w:right w:val="nil"/>
            </w:tcBorders>
            <w:vAlign w:val="bottom"/>
          </w:tcPr>
          <w:p w14:paraId="073892B8" w14:textId="6E97055A" w:rsidR="00A64E5A" w:rsidRPr="002762A6" w:rsidRDefault="00A64E5A"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t>International Accounting Standards Board</w:t>
            </w:r>
          </w:p>
        </w:tc>
      </w:tr>
      <w:tr w:rsidR="002762A6" w:rsidRPr="002762A6" w14:paraId="58059FB7"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5F02054B" w14:textId="77777777" w:rsidR="00D83E33" w:rsidRPr="002762A6" w:rsidRDefault="00BC4072" w:rsidP="001B330E">
            <w:pPr>
              <w:widowControl w:val="0"/>
              <w:ind w:left="113" w:hanging="113"/>
            </w:pPr>
            <w:r w:rsidRPr="002762A6">
              <w:t xml:space="preserve">IFRS </w:t>
            </w:r>
          </w:p>
        </w:tc>
        <w:tc>
          <w:tcPr>
            <w:tcW w:w="3560" w:type="pct"/>
            <w:tcBorders>
              <w:top w:val="nil"/>
              <w:left w:val="nil"/>
              <w:bottom w:val="nil"/>
              <w:right w:val="nil"/>
            </w:tcBorders>
            <w:vAlign w:val="bottom"/>
          </w:tcPr>
          <w:p w14:paraId="6B91EB88" w14:textId="77777777" w:rsidR="00D83E33" w:rsidRPr="002762A6" w:rsidRDefault="00BC4072"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International Financial Reporting Standard</w:t>
            </w:r>
          </w:p>
        </w:tc>
      </w:tr>
      <w:tr w:rsidR="002762A6" w:rsidRPr="002762A6" w14:paraId="757A55C8"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6ACD0B1E" w14:textId="77777777" w:rsidR="00D83E33" w:rsidRPr="002762A6" w:rsidRDefault="00BC4072" w:rsidP="001B330E">
            <w:pPr>
              <w:widowControl w:val="0"/>
              <w:ind w:left="113" w:hanging="113"/>
            </w:pPr>
            <w:r w:rsidRPr="002762A6">
              <w:t>IRB system</w:t>
            </w:r>
          </w:p>
        </w:tc>
        <w:tc>
          <w:tcPr>
            <w:tcW w:w="3560" w:type="pct"/>
            <w:tcBorders>
              <w:top w:val="nil"/>
              <w:left w:val="nil"/>
              <w:bottom w:val="nil"/>
              <w:right w:val="nil"/>
            </w:tcBorders>
            <w:vAlign w:val="bottom"/>
          </w:tcPr>
          <w:p w14:paraId="57305D5B" w14:textId="77777777" w:rsidR="00D83E33" w:rsidRPr="002762A6" w:rsidRDefault="00BC4072"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Internal Risk-Based system</w:t>
            </w:r>
          </w:p>
        </w:tc>
      </w:tr>
      <w:tr w:rsidR="002762A6" w:rsidRPr="002762A6" w14:paraId="47F673E5"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7139BECF" w14:textId="77777777" w:rsidR="00D83E33" w:rsidRPr="002762A6" w:rsidRDefault="00BC4072" w:rsidP="001B330E">
            <w:pPr>
              <w:widowControl w:val="0"/>
              <w:ind w:left="113" w:hanging="113"/>
            </w:pPr>
            <w:r w:rsidRPr="002762A6">
              <w:t>L&amp;R</w:t>
            </w:r>
          </w:p>
        </w:tc>
        <w:tc>
          <w:tcPr>
            <w:tcW w:w="3560" w:type="pct"/>
            <w:tcBorders>
              <w:top w:val="nil"/>
              <w:left w:val="nil"/>
              <w:bottom w:val="nil"/>
              <w:right w:val="nil"/>
            </w:tcBorders>
            <w:vAlign w:val="bottom"/>
          </w:tcPr>
          <w:p w14:paraId="4F59ED6E" w14:textId="77777777" w:rsidR="00D83E33" w:rsidRPr="002762A6" w:rsidRDefault="00BC4072"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Loans and Receivables</w:t>
            </w:r>
          </w:p>
        </w:tc>
      </w:tr>
      <w:tr w:rsidR="002762A6" w:rsidRPr="002762A6" w14:paraId="13C9DB65"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54C8F759" w14:textId="77777777" w:rsidR="00D83E33" w:rsidRPr="002762A6" w:rsidRDefault="00BC4072" w:rsidP="001B330E">
            <w:pPr>
              <w:widowControl w:val="0"/>
              <w:ind w:left="113" w:hanging="113"/>
            </w:pPr>
            <w:r w:rsidRPr="002762A6">
              <w:t>LGD</w:t>
            </w:r>
          </w:p>
        </w:tc>
        <w:tc>
          <w:tcPr>
            <w:tcW w:w="3560" w:type="pct"/>
            <w:tcBorders>
              <w:top w:val="nil"/>
              <w:left w:val="nil"/>
              <w:bottom w:val="nil"/>
              <w:right w:val="nil"/>
            </w:tcBorders>
            <w:vAlign w:val="bottom"/>
          </w:tcPr>
          <w:p w14:paraId="3CC60565" w14:textId="77777777" w:rsidR="00D83E33" w:rsidRPr="002762A6" w:rsidRDefault="00BC4072"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Loss Given Default</w:t>
            </w:r>
          </w:p>
        </w:tc>
      </w:tr>
      <w:tr w:rsidR="002762A6" w:rsidRPr="002762A6" w14:paraId="0AEE74C6"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41F27427" w14:textId="77777777" w:rsidR="00D83E33" w:rsidRPr="002762A6" w:rsidRDefault="00BC4072" w:rsidP="001B330E">
            <w:pPr>
              <w:widowControl w:val="0"/>
              <w:ind w:left="113" w:hanging="113"/>
            </w:pPr>
            <w:r w:rsidRPr="002762A6">
              <w:t>LTV</w:t>
            </w:r>
          </w:p>
        </w:tc>
        <w:tc>
          <w:tcPr>
            <w:tcW w:w="3560" w:type="pct"/>
            <w:tcBorders>
              <w:top w:val="nil"/>
              <w:left w:val="nil"/>
              <w:bottom w:val="nil"/>
              <w:right w:val="nil"/>
            </w:tcBorders>
            <w:vAlign w:val="bottom"/>
          </w:tcPr>
          <w:p w14:paraId="0D5EDA6E" w14:textId="77777777" w:rsidR="00D83E33" w:rsidRPr="002762A6" w:rsidRDefault="00BC4072"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Loan to Value</w:t>
            </w:r>
          </w:p>
        </w:tc>
      </w:tr>
      <w:tr w:rsidR="004E4465" w:rsidRPr="002762A6" w14:paraId="1E4AA37B" w14:textId="77777777" w:rsidTr="00EB510C">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52907264" w14:textId="5D23AAA1" w:rsidR="004E4465" w:rsidRPr="002762A6" w:rsidRDefault="00613F4D" w:rsidP="001B330E">
            <w:pPr>
              <w:widowControl w:val="0"/>
              <w:ind w:left="113" w:hanging="113"/>
            </w:pPr>
            <w:r>
              <w:t>NBC</w:t>
            </w:r>
          </w:p>
        </w:tc>
        <w:tc>
          <w:tcPr>
            <w:tcW w:w="3560" w:type="pct"/>
            <w:tcBorders>
              <w:top w:val="nil"/>
              <w:left w:val="nil"/>
              <w:bottom w:val="nil"/>
              <w:right w:val="nil"/>
            </w:tcBorders>
            <w:vAlign w:val="bottom"/>
          </w:tcPr>
          <w:p w14:paraId="0A81529A" w14:textId="60A14A05" w:rsidR="004E4465" w:rsidRPr="0091632A" w:rsidRDefault="004E4465"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91632A">
              <w:t xml:space="preserve">National Bank of </w:t>
            </w:r>
            <w:r w:rsidR="0091632A">
              <w:rPr>
                <w:color w:val="0000FF"/>
              </w:rPr>
              <w:t>[Country]</w:t>
            </w:r>
          </w:p>
        </w:tc>
      </w:tr>
      <w:tr w:rsidR="002762A6" w:rsidRPr="002762A6" w14:paraId="2B2D772E"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790275FD" w14:textId="77777777" w:rsidR="00D83E33" w:rsidRPr="002762A6" w:rsidRDefault="00BC4072" w:rsidP="001B330E">
            <w:pPr>
              <w:widowControl w:val="0"/>
              <w:ind w:left="113" w:hanging="113"/>
            </w:pPr>
            <w:r w:rsidRPr="002762A6">
              <w:t>PD</w:t>
            </w:r>
          </w:p>
        </w:tc>
        <w:tc>
          <w:tcPr>
            <w:tcW w:w="3560" w:type="pct"/>
            <w:tcBorders>
              <w:top w:val="nil"/>
              <w:left w:val="nil"/>
              <w:bottom w:val="nil"/>
              <w:right w:val="nil"/>
            </w:tcBorders>
            <w:vAlign w:val="bottom"/>
          </w:tcPr>
          <w:p w14:paraId="6E75759A" w14:textId="77777777" w:rsidR="00D83E33" w:rsidRPr="002762A6" w:rsidRDefault="00BC4072"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Probability of Default</w:t>
            </w:r>
          </w:p>
        </w:tc>
      </w:tr>
      <w:tr w:rsidR="002762A6" w:rsidRPr="002762A6" w14:paraId="47F1EE20"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0A41D849" w14:textId="77777777" w:rsidR="00D83E33" w:rsidRPr="002762A6" w:rsidRDefault="00BC4072" w:rsidP="001B330E">
            <w:pPr>
              <w:widowControl w:val="0"/>
              <w:ind w:left="113" w:hanging="113"/>
            </w:pPr>
            <w:r w:rsidRPr="002762A6">
              <w:t>POCI financial assets</w:t>
            </w:r>
          </w:p>
        </w:tc>
        <w:tc>
          <w:tcPr>
            <w:tcW w:w="3560" w:type="pct"/>
            <w:tcBorders>
              <w:top w:val="nil"/>
              <w:left w:val="nil"/>
              <w:bottom w:val="nil"/>
              <w:right w:val="nil"/>
            </w:tcBorders>
            <w:vAlign w:val="bottom"/>
          </w:tcPr>
          <w:p w14:paraId="1B132151" w14:textId="77777777" w:rsidR="00D83E33" w:rsidRPr="002762A6" w:rsidRDefault="00BC4072"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Purchased or Originated Credit-Impaired financial assets</w:t>
            </w:r>
          </w:p>
        </w:tc>
      </w:tr>
      <w:tr w:rsidR="002762A6" w:rsidRPr="002762A6" w14:paraId="292D7E15"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27492954" w14:textId="77777777" w:rsidR="00D83E33" w:rsidRPr="002762A6" w:rsidRDefault="00BC4072" w:rsidP="001B330E">
            <w:pPr>
              <w:widowControl w:val="0"/>
              <w:ind w:left="113" w:hanging="113"/>
            </w:pPr>
            <w:r w:rsidRPr="002762A6">
              <w:t>ROU asset</w:t>
            </w:r>
          </w:p>
        </w:tc>
        <w:tc>
          <w:tcPr>
            <w:tcW w:w="3560" w:type="pct"/>
            <w:tcBorders>
              <w:top w:val="nil"/>
              <w:left w:val="nil"/>
              <w:bottom w:val="nil"/>
              <w:right w:val="nil"/>
            </w:tcBorders>
            <w:vAlign w:val="bottom"/>
          </w:tcPr>
          <w:p w14:paraId="3CC33DFA" w14:textId="77777777" w:rsidR="00D83E33" w:rsidRPr="002762A6" w:rsidRDefault="00BC4072"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Right of use asset</w:t>
            </w:r>
          </w:p>
        </w:tc>
      </w:tr>
      <w:tr w:rsidR="00EB510C" w:rsidRPr="002762A6" w14:paraId="1FFE1FDE"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514AB26F" w14:textId="142B0385" w:rsidR="00EB510C" w:rsidRPr="002762A6" w:rsidRDefault="00EB510C" w:rsidP="001B330E">
            <w:pPr>
              <w:widowControl w:val="0"/>
              <w:ind w:left="113" w:hanging="113"/>
            </w:pPr>
            <w:r w:rsidRPr="002762A6">
              <w:t>SICR</w:t>
            </w:r>
          </w:p>
        </w:tc>
        <w:tc>
          <w:tcPr>
            <w:tcW w:w="3560" w:type="pct"/>
            <w:tcBorders>
              <w:top w:val="nil"/>
              <w:left w:val="nil"/>
              <w:bottom w:val="nil"/>
              <w:right w:val="nil"/>
            </w:tcBorders>
            <w:vAlign w:val="bottom"/>
          </w:tcPr>
          <w:p w14:paraId="39AC3F1D" w14:textId="5132BD23" w:rsidR="00EB510C" w:rsidRPr="002762A6" w:rsidRDefault="00EB510C"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Significant Increase in Credit Risk</w:t>
            </w:r>
          </w:p>
        </w:tc>
      </w:tr>
      <w:tr w:rsidR="00EB510C" w:rsidRPr="002762A6" w14:paraId="62B282F0"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73194370" w14:textId="228ECDEB" w:rsidR="00EB510C" w:rsidRPr="002762A6" w:rsidRDefault="00EB510C" w:rsidP="001B330E">
            <w:pPr>
              <w:widowControl w:val="0"/>
              <w:ind w:left="113" w:hanging="113"/>
            </w:pPr>
            <w:r w:rsidRPr="002762A6">
              <w:t>SME</w:t>
            </w:r>
          </w:p>
        </w:tc>
        <w:tc>
          <w:tcPr>
            <w:tcW w:w="3560" w:type="pct"/>
            <w:tcBorders>
              <w:top w:val="nil"/>
              <w:left w:val="nil"/>
              <w:bottom w:val="nil"/>
              <w:right w:val="nil"/>
            </w:tcBorders>
            <w:vAlign w:val="bottom"/>
          </w:tcPr>
          <w:p w14:paraId="2B3D1DF1" w14:textId="5B7E80EB" w:rsidR="00EB510C" w:rsidRPr="002762A6" w:rsidRDefault="00EB510C"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Small and Medium-sized Enterprises</w:t>
            </w:r>
          </w:p>
        </w:tc>
      </w:tr>
      <w:tr w:rsidR="00EB510C" w:rsidRPr="002762A6" w14:paraId="2A868486"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7556099A" w14:textId="1F249B54" w:rsidR="00EB510C" w:rsidRPr="002762A6" w:rsidRDefault="00EB510C" w:rsidP="001B330E">
            <w:pPr>
              <w:widowControl w:val="0"/>
              <w:ind w:left="113" w:hanging="113"/>
            </w:pPr>
            <w:r w:rsidRPr="002762A6">
              <w:t>SPPI</w:t>
            </w:r>
          </w:p>
        </w:tc>
        <w:tc>
          <w:tcPr>
            <w:tcW w:w="3560" w:type="pct"/>
            <w:tcBorders>
              <w:top w:val="nil"/>
              <w:left w:val="nil"/>
              <w:bottom w:val="nil"/>
              <w:right w:val="nil"/>
            </w:tcBorders>
            <w:vAlign w:val="bottom"/>
          </w:tcPr>
          <w:p w14:paraId="00BB3FAD" w14:textId="5A67A4D4" w:rsidR="00EB510C" w:rsidRPr="002762A6" w:rsidRDefault="00EB510C" w:rsidP="001B330E">
            <w:pPr>
              <w:widowControl w:val="0"/>
              <w:ind w:left="113" w:hanging="113"/>
              <w:cnfStyle w:val="000000000000" w:firstRow="0" w:lastRow="0" w:firstColumn="0" w:lastColumn="0" w:oddVBand="0" w:evenVBand="0" w:oddHBand="0" w:evenHBand="0" w:firstRowFirstColumn="0" w:firstRowLastColumn="0" w:lastRowFirstColumn="0" w:lastRowLastColumn="0"/>
            </w:pPr>
            <w:r w:rsidRPr="002762A6">
              <w:t>Solely Payments of Principal and Interest</w:t>
            </w:r>
          </w:p>
        </w:tc>
      </w:tr>
      <w:tr w:rsidR="00EB510C" w:rsidRPr="002762A6" w14:paraId="194DE39E"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tcPr>
          <w:p w14:paraId="0596D6C3" w14:textId="552B4583" w:rsidR="00EB510C" w:rsidRPr="002762A6" w:rsidRDefault="00EB510C" w:rsidP="00315B92">
            <w:pPr>
              <w:widowControl w:val="0"/>
              <w:ind w:left="113" w:hanging="113"/>
            </w:pPr>
            <w:r w:rsidRPr="002762A6">
              <w:t>SPPI test</w:t>
            </w:r>
          </w:p>
        </w:tc>
        <w:tc>
          <w:tcPr>
            <w:tcW w:w="3560" w:type="pct"/>
            <w:tcBorders>
              <w:top w:val="nil"/>
              <w:left w:val="nil"/>
              <w:bottom w:val="nil"/>
              <w:right w:val="nil"/>
            </w:tcBorders>
            <w:vAlign w:val="bottom"/>
          </w:tcPr>
          <w:p w14:paraId="06B999CC" w14:textId="142D289A" w:rsidR="00EB510C" w:rsidRPr="002762A6" w:rsidRDefault="00EB510C" w:rsidP="001B330E">
            <w:pPr>
              <w:widowControl w:val="0"/>
              <w:ind w:left="113" w:hanging="113"/>
              <w:cnfStyle w:val="000000100000" w:firstRow="0" w:lastRow="0" w:firstColumn="0" w:lastColumn="0" w:oddVBand="0" w:evenVBand="0" w:oddHBand="1" w:evenHBand="0" w:firstRowFirstColumn="0" w:firstRowLastColumn="0" w:lastRowFirstColumn="0" w:lastRowLastColumn="0"/>
            </w:pPr>
            <w:r w:rsidRPr="002762A6">
              <w:t xml:space="preserve">Assessment whether the financial instruments’ cash flows represent </w:t>
            </w:r>
            <w:r w:rsidR="004E4465">
              <w:t>SPPI</w:t>
            </w:r>
          </w:p>
        </w:tc>
      </w:tr>
      <w:tr w:rsidR="00EB510C" w:rsidRPr="002762A6" w14:paraId="268570ED"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right w:val="nil"/>
            </w:tcBorders>
            <w:vAlign w:val="bottom"/>
          </w:tcPr>
          <w:p w14:paraId="5C21DE94" w14:textId="1D2CD79C" w:rsidR="00EB510C" w:rsidRPr="002762A6" w:rsidRDefault="00EB510C" w:rsidP="001B330E">
            <w:pPr>
              <w:widowControl w:val="0"/>
              <w:ind w:left="113" w:hanging="113"/>
            </w:pPr>
          </w:p>
        </w:tc>
        <w:tc>
          <w:tcPr>
            <w:tcW w:w="3560" w:type="pct"/>
            <w:tcBorders>
              <w:top w:val="nil"/>
              <w:left w:val="nil"/>
              <w:bottom w:val="nil"/>
              <w:right w:val="nil"/>
            </w:tcBorders>
            <w:vAlign w:val="bottom"/>
          </w:tcPr>
          <w:p w14:paraId="1A64C27A" w14:textId="4D662B1D" w:rsidR="00EB510C" w:rsidRPr="002762A6" w:rsidRDefault="00EB510C" w:rsidP="001B330E">
            <w:pPr>
              <w:widowControl w:val="0"/>
              <w:ind w:left="113" w:hanging="113"/>
              <w:cnfStyle w:val="000000000000" w:firstRow="0" w:lastRow="0" w:firstColumn="0" w:lastColumn="0" w:oddVBand="0" w:evenVBand="0" w:oddHBand="0" w:evenHBand="0" w:firstRowFirstColumn="0" w:firstRowLastColumn="0" w:lastRowFirstColumn="0" w:lastRowLastColumn="0"/>
            </w:pPr>
          </w:p>
        </w:tc>
      </w:tr>
      <w:tr w:rsidR="00EB510C" w:rsidRPr="002762A6" w14:paraId="2B938B68" w14:textId="77777777" w:rsidTr="00372E26">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single" w:sz="12" w:space="0" w:color="000000"/>
              <w:right w:val="nil"/>
            </w:tcBorders>
            <w:vAlign w:val="bottom"/>
          </w:tcPr>
          <w:p w14:paraId="684A0D2F" w14:textId="6390C53C" w:rsidR="00EB510C" w:rsidRPr="002762A6" w:rsidRDefault="00EB510C" w:rsidP="001B330E">
            <w:pPr>
              <w:widowControl w:val="0"/>
              <w:ind w:left="113" w:hanging="113"/>
              <w:rPr>
                <w:i/>
                <w:color w:val="FF0000"/>
              </w:rPr>
            </w:pPr>
          </w:p>
        </w:tc>
        <w:tc>
          <w:tcPr>
            <w:tcW w:w="3560" w:type="pct"/>
            <w:tcBorders>
              <w:top w:val="nil"/>
              <w:left w:val="nil"/>
              <w:bottom w:val="single" w:sz="12" w:space="0" w:color="000000"/>
              <w:right w:val="nil"/>
            </w:tcBorders>
            <w:vAlign w:val="bottom"/>
          </w:tcPr>
          <w:p w14:paraId="7BE8C326" w14:textId="77777777" w:rsidR="00EB510C" w:rsidRPr="002762A6" w:rsidRDefault="00EB510C" w:rsidP="001B330E">
            <w:pPr>
              <w:widowControl w:val="0"/>
              <w:ind w:left="113" w:hanging="113"/>
              <w:cnfStyle w:val="000000100000" w:firstRow="0" w:lastRow="0" w:firstColumn="0" w:lastColumn="0" w:oddVBand="0" w:evenVBand="0" w:oddHBand="1" w:evenHBand="0" w:firstRowFirstColumn="0" w:firstRowLastColumn="0" w:lastRowFirstColumn="0" w:lastRowLastColumn="0"/>
            </w:pPr>
          </w:p>
        </w:tc>
      </w:tr>
      <w:tr w:rsidR="00EB510C" w:rsidRPr="002762A6" w14:paraId="4F8EE905" w14:textId="77777777" w:rsidTr="00372E26">
        <w:trPr>
          <w:trHeight w:val="23"/>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single" w:sz="12" w:space="0" w:color="000000"/>
              <w:right w:val="nil"/>
            </w:tcBorders>
            <w:vAlign w:val="bottom"/>
          </w:tcPr>
          <w:p w14:paraId="5657DF55" w14:textId="77777777" w:rsidR="00EB510C" w:rsidRPr="002762A6" w:rsidRDefault="00EB510C" w:rsidP="001B330E">
            <w:pPr>
              <w:widowControl w:val="0"/>
              <w:ind w:left="113" w:hanging="113"/>
            </w:pPr>
          </w:p>
        </w:tc>
        <w:tc>
          <w:tcPr>
            <w:tcW w:w="3560" w:type="pct"/>
            <w:tcBorders>
              <w:top w:val="nil"/>
              <w:left w:val="nil"/>
              <w:bottom w:val="single" w:sz="12" w:space="0" w:color="000000"/>
              <w:right w:val="nil"/>
            </w:tcBorders>
            <w:vAlign w:val="bottom"/>
          </w:tcPr>
          <w:p w14:paraId="041FB5D2" w14:textId="77777777" w:rsidR="00EB510C" w:rsidRPr="002762A6" w:rsidRDefault="00EB510C" w:rsidP="001B330E">
            <w:pPr>
              <w:widowControl w:val="0"/>
              <w:ind w:left="113" w:hanging="113"/>
              <w:cnfStyle w:val="000000000000" w:firstRow="0" w:lastRow="0" w:firstColumn="0" w:lastColumn="0" w:oddVBand="0" w:evenVBand="0" w:oddHBand="0" w:evenHBand="0" w:firstRowFirstColumn="0" w:firstRowLastColumn="0" w:lastRowFirstColumn="0" w:lastRowLastColumn="0"/>
            </w:pPr>
          </w:p>
        </w:tc>
      </w:tr>
    </w:tbl>
    <w:p w14:paraId="388E3358" w14:textId="77777777" w:rsidR="00D83E33" w:rsidRDefault="00D83E33">
      <w:pPr>
        <w:widowControl w:val="0"/>
        <w:spacing w:before="200" w:after="200"/>
        <w:rPr>
          <w:sz w:val="20"/>
          <w:szCs w:val="20"/>
        </w:rPr>
        <w:sectPr w:rsidR="00D83E33" w:rsidSect="009004E7">
          <w:headerReference w:type="default" r:id="rId18"/>
          <w:footerReference w:type="default" r:id="rId19"/>
          <w:pgSz w:w="11907" w:h="16840"/>
          <w:pgMar w:top="1276" w:right="851" w:bottom="1418" w:left="1701" w:header="737" w:footer="567" w:gutter="0"/>
          <w:cols w:space="720"/>
        </w:sectPr>
      </w:pPr>
    </w:p>
    <w:p w14:paraId="4254783B" w14:textId="77777777" w:rsidR="00D83E33" w:rsidRDefault="00BC4072">
      <w:pPr>
        <w:widowControl w:val="0"/>
        <w:pBdr>
          <w:top w:val="nil"/>
          <w:left w:val="nil"/>
          <w:bottom w:val="nil"/>
          <w:right w:val="nil"/>
          <w:between w:val="nil"/>
        </w:pBdr>
        <w:spacing w:after="200"/>
        <w:jc w:val="both"/>
        <w:rPr>
          <w:b/>
          <w:color w:val="000000"/>
          <w:sz w:val="20"/>
          <w:szCs w:val="20"/>
        </w:rPr>
      </w:pPr>
      <w:r>
        <w:rPr>
          <w:b/>
          <w:color w:val="000000"/>
          <w:sz w:val="20"/>
          <w:szCs w:val="20"/>
        </w:rPr>
        <w:lastRenderedPageBreak/>
        <w:t>Ask secretaries to help you with formatting the document:</w:t>
      </w:r>
    </w:p>
    <w:p w14:paraId="3D95514A" w14:textId="77777777" w:rsidR="00D83E33" w:rsidRDefault="00BC4072" w:rsidP="001B330E">
      <w:pPr>
        <w:pStyle w:val="bullets"/>
      </w:pPr>
      <w:r>
        <w:t xml:space="preserve">The document’s default format is font ARIAL, with font size of 10 pts for the text and 9 pts for the tables. </w:t>
      </w:r>
    </w:p>
    <w:p w14:paraId="245C6644" w14:textId="77777777" w:rsidR="00D83E33" w:rsidRDefault="00BC4072" w:rsidP="001B330E">
      <w:pPr>
        <w:pStyle w:val="bullets"/>
      </w:pPr>
      <w:r>
        <w:t>Do NOT change the size of the margins.</w:t>
      </w:r>
    </w:p>
    <w:p w14:paraId="07CC0524" w14:textId="77777777" w:rsidR="00D83E33" w:rsidRDefault="00BC4072" w:rsidP="001B330E">
      <w:pPr>
        <w:pStyle w:val="bullets"/>
      </w:pPr>
      <w:r>
        <w:t>Do NOT change the size or width of tables, since all of them have a standard size, unless you really need to do so.</w:t>
      </w:r>
    </w:p>
    <w:p w14:paraId="38EDDFAA" w14:textId="77777777" w:rsidR="00D83E33" w:rsidRDefault="00BC4072" w:rsidP="001B330E">
      <w:pPr>
        <w:pStyle w:val="bullets"/>
      </w:pPr>
      <w:r>
        <w:t>Use the styles to format the document. You can find them at the top left of your screen, or you can copy them using the brush.</w:t>
      </w:r>
    </w:p>
    <w:p w14:paraId="18AA4F55" w14:textId="77777777" w:rsidR="00D83E33" w:rsidRDefault="00BC4072" w:rsidP="001B330E">
      <w:pPr>
        <w:pStyle w:val="bullets"/>
      </w:pPr>
      <w:r>
        <w:t>Do NOT add page numbers manually in the Table of Contents. We have an automated Table of Contents. There are two ways to update it, depending on if only the page number has changed or if the notes' titles have changed also. In the first case, click on the table with the right button of the mouse, then click on "Update fields" and on "Update page number only". In the second case, click on "Update the entire table" at the last step ‒ you might have to do a little bit of formatting in this case to have all the Notes aligned.</w:t>
      </w:r>
    </w:p>
    <w:p w14:paraId="58B229CC" w14:textId="77777777" w:rsidR="00D83E33" w:rsidRDefault="00BC4072" w:rsidP="001B330E">
      <w:pPr>
        <w:pStyle w:val="bullets"/>
      </w:pPr>
      <w:r>
        <w:t>When printing a portion of your document, you may save time by specifying what you want to print, for example, section 3 only (see help topic in “Print” window).</w:t>
      </w:r>
    </w:p>
    <w:p w14:paraId="45FA609C" w14:textId="77777777" w:rsidR="00D83E33" w:rsidRDefault="00BC4072" w:rsidP="001B330E">
      <w:pPr>
        <w:pStyle w:val="bullets"/>
      </w:pPr>
      <w:r>
        <w:t>Use the command “Replace” to change all “ABC BANK GROUP” for the name of your client (“Edit”, “Replace”, then specify your needs, or use “CTRL+H).</w:t>
      </w:r>
    </w:p>
    <w:p w14:paraId="315910EC" w14:textId="77777777" w:rsidR="00D83E33" w:rsidRDefault="00BC4072" w:rsidP="001B330E">
      <w:pPr>
        <w:pStyle w:val="bullets"/>
      </w:pPr>
      <w:r>
        <w:t xml:space="preserve">Do not use the function "replace all" for changing "Group" to "Bank" ‒ we are often ending up with phrases like "This evidence may include observable data indicating that there has been an adverse change in the payment status of borrowers in a Bank, or national or local economic conditions that correlate with defaults on assets in the Bank." </w:t>
      </w:r>
    </w:p>
    <w:p w14:paraId="40EAF5D1" w14:textId="77777777" w:rsidR="00D83E33" w:rsidRDefault="00BC4072" w:rsidP="001B330E">
      <w:pPr>
        <w:pStyle w:val="bullets"/>
      </w:pPr>
      <w:r>
        <w:t>Note that all comments in brackets or written in Italic font should be removed or included as appropriate.</w:t>
      </w:r>
    </w:p>
    <w:p w14:paraId="10E522BA" w14:textId="77777777" w:rsidR="00D83E33" w:rsidRDefault="00D83E33">
      <w:pPr>
        <w:widowControl w:val="0"/>
        <w:spacing w:before="200" w:after="200"/>
        <w:rPr>
          <w:b/>
          <w:sz w:val="20"/>
          <w:szCs w:val="20"/>
        </w:rPr>
        <w:sectPr w:rsidR="00D83E33">
          <w:headerReference w:type="default" r:id="rId20"/>
          <w:pgSz w:w="11907" w:h="16840"/>
          <w:pgMar w:top="1418" w:right="851" w:bottom="1418" w:left="1701" w:header="737" w:footer="567" w:gutter="0"/>
          <w:pgNumType w:start="1"/>
          <w:cols w:space="720"/>
        </w:sectPr>
      </w:pPr>
    </w:p>
    <w:p w14:paraId="4171FE34" w14:textId="77777777" w:rsidR="00D83E33" w:rsidRDefault="00BC4072">
      <w:pPr>
        <w:widowControl w:val="0"/>
        <w:pBdr>
          <w:top w:val="nil"/>
          <w:left w:val="nil"/>
          <w:bottom w:val="nil"/>
          <w:right w:val="nil"/>
          <w:between w:val="nil"/>
        </w:pBdr>
        <w:spacing w:after="200"/>
        <w:jc w:val="both"/>
        <w:rPr>
          <w:b/>
          <w:color w:val="000000"/>
          <w:sz w:val="20"/>
          <w:szCs w:val="20"/>
        </w:rPr>
      </w:pPr>
      <w:r>
        <w:rPr>
          <w:b/>
          <w:color w:val="000000"/>
          <w:sz w:val="20"/>
          <w:szCs w:val="20"/>
        </w:rPr>
        <w:lastRenderedPageBreak/>
        <w:t>Applicable version of IFRS standards</w:t>
      </w:r>
    </w:p>
    <w:p w14:paraId="4D31F96A" w14:textId="21DB66E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These pro forma financial statements are based on IFRS, effective for the financial statements covering reporting year ending 31</w:t>
      </w:r>
      <w:r w:rsidR="00181687">
        <w:rPr>
          <w:color w:val="000000"/>
          <w:sz w:val="20"/>
          <w:szCs w:val="20"/>
        </w:rPr>
        <w:t> December </w:t>
      </w:r>
      <w:r w:rsidR="00541EBC">
        <w:rPr>
          <w:color w:val="000000"/>
          <w:sz w:val="20"/>
          <w:szCs w:val="20"/>
        </w:rPr>
        <w:t>2024</w:t>
      </w:r>
      <w:r>
        <w:rPr>
          <w:color w:val="000000"/>
          <w:sz w:val="20"/>
          <w:szCs w:val="20"/>
        </w:rPr>
        <w:t>. Early adoption of the standards or interpretations listed in Note 6 is not assumed.</w:t>
      </w:r>
    </w:p>
    <w:p w14:paraId="113A4043" w14:textId="77777777" w:rsidR="00D83E33" w:rsidRDefault="00BC4072">
      <w:pPr>
        <w:widowControl w:val="0"/>
        <w:pBdr>
          <w:top w:val="nil"/>
          <w:left w:val="nil"/>
          <w:bottom w:val="nil"/>
          <w:right w:val="nil"/>
          <w:between w:val="nil"/>
        </w:pBdr>
        <w:spacing w:before="200" w:after="200"/>
        <w:jc w:val="both"/>
        <w:rPr>
          <w:b/>
          <w:color w:val="000000"/>
          <w:sz w:val="20"/>
          <w:szCs w:val="20"/>
        </w:rPr>
      </w:pPr>
      <w:r>
        <w:rPr>
          <w:b/>
          <w:color w:val="000000"/>
          <w:sz w:val="20"/>
          <w:szCs w:val="20"/>
        </w:rPr>
        <w:t>First-time adoption note</w:t>
      </w:r>
    </w:p>
    <w:p w14:paraId="02BFFB46"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These illustrative financial statements are for an existing preparer. A first-time adopter would have to replace Note 5 with IFRS 1 disclosures. </w:t>
      </w:r>
    </w:p>
    <w:p w14:paraId="1A1750FF" w14:textId="77777777" w:rsidR="00D83E33" w:rsidRDefault="00BC4072">
      <w:pPr>
        <w:widowControl w:val="0"/>
        <w:pBdr>
          <w:top w:val="nil"/>
          <w:left w:val="nil"/>
          <w:bottom w:val="nil"/>
          <w:right w:val="nil"/>
          <w:between w:val="nil"/>
        </w:pBdr>
        <w:spacing w:before="200" w:after="200"/>
        <w:jc w:val="both"/>
        <w:rPr>
          <w:b/>
          <w:color w:val="000000"/>
          <w:sz w:val="20"/>
          <w:szCs w:val="20"/>
        </w:rPr>
      </w:pPr>
      <w:r>
        <w:rPr>
          <w:b/>
          <w:color w:val="000000"/>
          <w:sz w:val="20"/>
          <w:szCs w:val="20"/>
        </w:rPr>
        <w:t>Disclaimer and key events or transactions that are not covered</w:t>
      </w:r>
    </w:p>
    <w:p w14:paraId="0B8B12B2"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These pro forma financial statements are not a substitute for reading the Standards and Interpretations themselves or for professional judgement as to fairness of presentation. They do not cover, for example:</w:t>
      </w:r>
    </w:p>
    <w:p w14:paraId="7158E8CA" w14:textId="77777777" w:rsidR="00D83E33" w:rsidRDefault="00BC4072" w:rsidP="001B330E">
      <w:pPr>
        <w:pStyle w:val="bullets"/>
      </w:pPr>
      <w:r>
        <w:t>Hedge accounting;</w:t>
      </w:r>
    </w:p>
    <w:p w14:paraId="7AE77B13" w14:textId="77777777" w:rsidR="00D83E33" w:rsidRDefault="00BC4072" w:rsidP="001B330E">
      <w:pPr>
        <w:pStyle w:val="bullets"/>
      </w:pPr>
      <w:r>
        <w:t>Discontinued operations;</w:t>
      </w:r>
    </w:p>
    <w:p w14:paraId="1D69851C" w14:textId="77777777" w:rsidR="00D83E33" w:rsidRDefault="00BC4072" w:rsidP="001B330E">
      <w:pPr>
        <w:pStyle w:val="bullets"/>
      </w:pPr>
      <w:r>
        <w:t>Embedded derivatives;</w:t>
      </w:r>
    </w:p>
    <w:p w14:paraId="74244ABA" w14:textId="77777777" w:rsidR="00D83E33" w:rsidRDefault="00BC4072" w:rsidP="001B330E">
      <w:pPr>
        <w:pStyle w:val="bullets"/>
      </w:pPr>
      <w:r>
        <w:t>Defined benefit plans;</w:t>
      </w:r>
    </w:p>
    <w:p w14:paraId="2F53AD52" w14:textId="77777777" w:rsidR="00D83E33" w:rsidRDefault="00BC4072" w:rsidP="001B330E">
      <w:pPr>
        <w:pStyle w:val="bullets"/>
      </w:pPr>
      <w:r>
        <w:t xml:space="preserve">Share-based payments; </w:t>
      </w:r>
    </w:p>
    <w:p w14:paraId="382CDE0F" w14:textId="77777777" w:rsidR="00D83E33" w:rsidRDefault="00BC4072" w:rsidP="001B330E">
      <w:pPr>
        <w:pStyle w:val="bullets"/>
      </w:pPr>
      <w:r>
        <w:t>Joint arrangements;</w:t>
      </w:r>
    </w:p>
    <w:p w14:paraId="2C4FB2ED" w14:textId="3B2DCEF6" w:rsidR="00D83E33" w:rsidRDefault="00BC4072" w:rsidP="001B330E">
      <w:pPr>
        <w:pStyle w:val="bullets"/>
      </w:pPr>
      <w:r>
        <w:t>Presentation of financial statements of companies with puttable shares;</w:t>
      </w:r>
    </w:p>
    <w:p w14:paraId="089000E6"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and other possible disclosures required by IFRS. Depending on the circumstances, further specific information may be required in order to ensure fair presentation under IFRS and we recommend that reference is made to separate publications:</w:t>
      </w:r>
    </w:p>
    <w:p w14:paraId="177F2005" w14:textId="17CD7330"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IFRS Disclosure Checklist </w:t>
      </w:r>
      <w:r w:rsidR="00E970D2">
        <w:rPr>
          <w:color w:val="000000"/>
          <w:sz w:val="20"/>
          <w:szCs w:val="20"/>
        </w:rPr>
        <w:t>(published on viewpoint.pwc.com)</w:t>
      </w:r>
      <w:r>
        <w:rPr>
          <w:color w:val="000000"/>
          <w:sz w:val="20"/>
          <w:szCs w:val="20"/>
        </w:rPr>
        <w:t>;</w:t>
      </w:r>
    </w:p>
    <w:p w14:paraId="02FC1698"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IFRS Illustrative Bank Financial Statements; </w:t>
      </w:r>
    </w:p>
    <w:p w14:paraId="1BFB703B"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IFRS Illustrative Corporate Financial Statements;</w:t>
      </w:r>
    </w:p>
    <w:p w14:paraId="180D44F4"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IFRS Illustrative Financial Statements ‒ Investment Funds; </w:t>
      </w:r>
    </w:p>
    <w:p w14:paraId="501B13FD"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Illustrative Consolidated Financial Statements ‒ Investment Property; </w:t>
      </w:r>
    </w:p>
    <w:p w14:paraId="39DAB876" w14:textId="77777777" w:rsidR="00D83E33" w:rsidRDefault="00BC4072">
      <w:pPr>
        <w:widowControl w:val="0"/>
        <w:numPr>
          <w:ilvl w:val="0"/>
          <w:numId w:val="23"/>
        </w:numPr>
        <w:pBdr>
          <w:top w:val="nil"/>
          <w:left w:val="nil"/>
          <w:bottom w:val="nil"/>
          <w:right w:val="nil"/>
          <w:between w:val="nil"/>
        </w:pBdr>
        <w:spacing w:before="100" w:after="100"/>
        <w:ind w:left="567" w:hanging="567"/>
        <w:jc w:val="both"/>
      </w:pPr>
      <w:r>
        <w:rPr>
          <w:color w:val="000000"/>
          <w:sz w:val="20"/>
          <w:szCs w:val="20"/>
        </w:rPr>
        <w:t xml:space="preserve">IFRS Illustrative Consolidated Financial Statements – Insurance. </w:t>
      </w:r>
    </w:p>
    <w:p w14:paraId="16E361C2" w14:textId="676991A0" w:rsidR="00D83E33" w:rsidRDefault="00BC4072">
      <w:pPr>
        <w:widowControl w:val="0"/>
        <w:pBdr>
          <w:top w:val="nil"/>
          <w:left w:val="nil"/>
          <w:bottom w:val="nil"/>
          <w:right w:val="nil"/>
          <w:between w:val="nil"/>
        </w:pBdr>
        <w:spacing w:before="200" w:after="200"/>
        <w:jc w:val="both"/>
        <w:rPr>
          <w:color w:val="000000"/>
          <w:sz w:val="20"/>
          <w:szCs w:val="20"/>
        </w:rPr>
        <w:sectPr w:rsidR="00D83E33">
          <w:headerReference w:type="default" r:id="rId21"/>
          <w:pgSz w:w="11907" w:h="16840"/>
          <w:pgMar w:top="1418" w:right="851" w:bottom="1418" w:left="1701" w:header="737" w:footer="567" w:gutter="0"/>
          <w:cols w:space="720"/>
        </w:sectPr>
      </w:pPr>
      <w:r>
        <w:rPr>
          <w:color w:val="000000"/>
          <w:sz w:val="20"/>
          <w:szCs w:val="20"/>
        </w:rPr>
        <w:t>Use of these pro forma financial statements does not exempt from completion of the IFRS disclosure checklist.</w:t>
      </w:r>
    </w:p>
    <w:p w14:paraId="4B86E9F9" w14:textId="77777777"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lastRenderedPageBreak/>
        <w:t>Investment property.</w:t>
      </w:r>
      <w:r>
        <w:rPr>
          <w:color w:val="000000"/>
          <w:sz w:val="20"/>
          <w:szCs w:val="20"/>
        </w:rPr>
        <w:t xml:space="preserve"> Investment property is property held by the Group to earn rental income or for capital appreciation, or both, and is not occupied by the Group. </w:t>
      </w:r>
    </w:p>
    <w:p w14:paraId="11CADCA3" w14:textId="3E5D733E" w:rsidR="00D83E33" w:rsidRDefault="00BC4072">
      <w:pPr>
        <w:widowControl w:val="0"/>
        <w:pBdr>
          <w:top w:val="nil"/>
          <w:left w:val="nil"/>
          <w:bottom w:val="nil"/>
          <w:right w:val="nil"/>
          <w:between w:val="nil"/>
        </w:pBdr>
        <w:spacing w:before="200" w:after="200"/>
        <w:jc w:val="both"/>
        <w:rPr>
          <w:color w:val="000000"/>
          <w:sz w:val="20"/>
          <w:szCs w:val="20"/>
        </w:rPr>
      </w:pPr>
      <w:r>
        <w:rPr>
          <w:color w:val="0000FF"/>
          <w:sz w:val="20"/>
          <w:szCs w:val="20"/>
        </w:rPr>
        <w:t xml:space="preserve">[Land held under a lease is classified and accounted for by the Group as investment property when the rest of the definition of investment property is met.] </w:t>
      </w:r>
    </w:p>
    <w:p w14:paraId="2E7F1143" w14:textId="2F848BCC" w:rsidR="00D83E33" w:rsidRDefault="00BC4072">
      <w:pPr>
        <w:widowControl w:val="0"/>
        <w:pBdr>
          <w:top w:val="nil"/>
          <w:left w:val="nil"/>
          <w:bottom w:val="nil"/>
          <w:right w:val="nil"/>
          <w:between w:val="nil"/>
        </w:pBdr>
        <w:spacing w:before="200" w:after="200"/>
        <w:jc w:val="both"/>
        <w:rPr>
          <w:color w:val="000000"/>
          <w:sz w:val="20"/>
          <w:szCs w:val="20"/>
        </w:rPr>
      </w:pPr>
      <w:r>
        <w:rPr>
          <w:i/>
          <w:color w:val="FF0000"/>
          <w:sz w:val="20"/>
          <w:szCs w:val="20"/>
        </w:rPr>
        <w:t xml:space="preserve">[Tailor to reflect the actual sources used by the Group/their external valuer:] </w:t>
      </w:r>
      <w:r>
        <w:rPr>
          <w:color w:val="000000"/>
          <w:sz w:val="20"/>
          <w:szCs w:val="20"/>
        </w:rPr>
        <w:t xml:space="preserve">Investment property is initially recognised at cost, including transaction costs, and subsequently remeasured at fair value updated to reflect market conditions at the end of the reporting period. Fair value of investment property is the price at which the property could be sold in an orderly transaction in the principal market. An orderly transaction is not a forced transaction or a distress sale. The best evidence of fair value is given by current prices in an active market for similar property in the same location and condition. In the absence of current prices in an active market, the Group considers information from a variety of sources, including: </w:t>
      </w:r>
    </w:p>
    <w:p w14:paraId="5BC60C15" w14:textId="77777777" w:rsidR="00D83E33" w:rsidRDefault="00BC4072">
      <w:pPr>
        <w:widowControl w:val="0"/>
        <w:numPr>
          <w:ilvl w:val="0"/>
          <w:numId w:val="3"/>
        </w:numPr>
        <w:pBdr>
          <w:top w:val="nil"/>
          <w:left w:val="nil"/>
          <w:bottom w:val="nil"/>
          <w:right w:val="nil"/>
          <w:between w:val="nil"/>
        </w:pBdr>
        <w:spacing w:before="100" w:after="100"/>
        <w:ind w:left="567" w:hanging="567"/>
        <w:jc w:val="both"/>
        <w:rPr>
          <w:color w:val="000000"/>
          <w:sz w:val="20"/>
          <w:szCs w:val="20"/>
        </w:rPr>
      </w:pPr>
      <w:r>
        <w:rPr>
          <w:color w:val="000000"/>
          <w:sz w:val="20"/>
          <w:szCs w:val="20"/>
        </w:rPr>
        <w:t>current prices in an active market for properties of different nature, condition or location, adjusted to reflect those differences;</w:t>
      </w:r>
    </w:p>
    <w:p w14:paraId="57CA6C2D" w14:textId="77777777" w:rsidR="00D83E33" w:rsidRDefault="00BC4072">
      <w:pPr>
        <w:widowControl w:val="0"/>
        <w:numPr>
          <w:ilvl w:val="0"/>
          <w:numId w:val="3"/>
        </w:numPr>
        <w:pBdr>
          <w:top w:val="nil"/>
          <w:left w:val="nil"/>
          <w:bottom w:val="nil"/>
          <w:right w:val="nil"/>
          <w:between w:val="nil"/>
        </w:pBdr>
        <w:spacing w:before="100" w:after="100"/>
        <w:ind w:left="567" w:hanging="567"/>
        <w:jc w:val="both"/>
        <w:rPr>
          <w:color w:val="000000"/>
          <w:sz w:val="20"/>
          <w:szCs w:val="20"/>
        </w:rPr>
      </w:pPr>
      <w:r>
        <w:rPr>
          <w:color w:val="000000"/>
          <w:sz w:val="20"/>
          <w:szCs w:val="20"/>
        </w:rPr>
        <w:t>recent prices of similar properties on less active markets, with adjustments to reflect any changes in economic conditions since the date of the transactions that occurred at those prices; and</w:t>
      </w:r>
    </w:p>
    <w:p w14:paraId="0BA4DF6E" w14:textId="77777777" w:rsidR="00D83E33" w:rsidRDefault="00BC4072">
      <w:pPr>
        <w:widowControl w:val="0"/>
        <w:numPr>
          <w:ilvl w:val="0"/>
          <w:numId w:val="3"/>
        </w:numPr>
        <w:pBdr>
          <w:top w:val="nil"/>
          <w:left w:val="nil"/>
          <w:bottom w:val="nil"/>
          <w:right w:val="nil"/>
          <w:between w:val="nil"/>
        </w:pBdr>
        <w:spacing w:before="100" w:after="100"/>
        <w:ind w:left="567" w:hanging="567"/>
        <w:jc w:val="both"/>
        <w:rPr>
          <w:color w:val="000000"/>
          <w:sz w:val="20"/>
          <w:szCs w:val="20"/>
        </w:rPr>
      </w:pPr>
      <w:r>
        <w:rPr>
          <w:color w:val="000000"/>
          <w:sz w:val="20"/>
          <w:szCs w:val="20"/>
        </w:rPr>
        <w:t>discounted cash flow projections based on reliable estimates of future cash flows, supported by the terms of any existing lease and other contracts and (when possible) by external evidence such as current market rents for similar properties in the same location and condition, and using discount rates that reflect current market assessments of the uncertainty in the amount and timing of the cash flows.</w:t>
      </w:r>
    </w:p>
    <w:p w14:paraId="4F1C33B6" w14:textId="62D92DDF" w:rsidR="00D83E33" w:rsidRDefault="00BC4072">
      <w:pPr>
        <w:widowControl w:val="0"/>
        <w:pBdr>
          <w:top w:val="nil"/>
          <w:left w:val="nil"/>
          <w:bottom w:val="nil"/>
          <w:right w:val="nil"/>
          <w:between w:val="nil"/>
        </w:pBdr>
        <w:spacing w:before="200" w:after="200"/>
        <w:jc w:val="both"/>
        <w:rPr>
          <w:i/>
          <w:color w:val="000000"/>
          <w:sz w:val="20"/>
          <w:szCs w:val="20"/>
        </w:rPr>
      </w:pPr>
      <w:r>
        <w:rPr>
          <w:color w:val="0000FF"/>
          <w:sz w:val="20"/>
          <w:szCs w:val="20"/>
        </w:rPr>
        <w:t>[If, in exceptional cases, there is clear evidence when the Group first acquires an investment property (or when an existing property first becomes investment property following a change in use) that the fair value of the investment property is not reliably determinable on a continuing basis, then the Group measures that investment property using the cost model in IAS 16</w:t>
      </w:r>
      <w:r>
        <w:rPr>
          <w:color w:val="000000"/>
          <w:sz w:val="20"/>
          <w:szCs w:val="20"/>
        </w:rPr>
        <w:t xml:space="preserve"> </w:t>
      </w:r>
      <w:r>
        <w:rPr>
          <w:i/>
          <w:color w:val="FF0000"/>
          <w:sz w:val="20"/>
          <w:szCs w:val="20"/>
        </w:rPr>
        <w:t>[expand further if the Group has had to apply this rule]</w:t>
      </w:r>
      <w:r>
        <w:rPr>
          <w:i/>
          <w:color w:val="0000FF"/>
          <w:sz w:val="20"/>
          <w:szCs w:val="20"/>
        </w:rPr>
        <w:t>.]</w:t>
      </w:r>
    </w:p>
    <w:p w14:paraId="6871DEF3" w14:textId="67306038" w:rsidR="00D83E33" w:rsidRDefault="00BC4072">
      <w:pPr>
        <w:widowControl w:val="0"/>
        <w:pBdr>
          <w:top w:val="nil"/>
          <w:left w:val="nil"/>
          <w:bottom w:val="nil"/>
          <w:right w:val="nil"/>
          <w:between w:val="nil"/>
        </w:pBdr>
        <w:spacing w:before="200" w:after="200"/>
        <w:jc w:val="both"/>
        <w:rPr>
          <w:color w:val="000000"/>
          <w:sz w:val="20"/>
          <w:szCs w:val="20"/>
        </w:rPr>
      </w:pPr>
      <w:r>
        <w:rPr>
          <w:b/>
          <w:i/>
          <w:color w:val="000000"/>
          <w:sz w:val="20"/>
          <w:szCs w:val="20"/>
        </w:rPr>
        <w:t xml:space="preserve">Investment properties. </w:t>
      </w:r>
      <w:r>
        <w:rPr>
          <w:color w:val="000000"/>
          <w:sz w:val="20"/>
          <w:szCs w:val="20"/>
        </w:rPr>
        <w:t xml:space="preserve">The fair value of the Group’s investment property is determined based on reports of independent appraisers, who hold a recognised and relevant professional qualification, and who have had recent experience of the valuation of property in similar locations and of similar category. </w:t>
      </w:r>
      <w:r>
        <w:rPr>
          <w:i/>
          <w:color w:val="FF0000"/>
          <w:sz w:val="20"/>
          <w:szCs w:val="20"/>
        </w:rPr>
        <w:t>[If the valuation is done by the entity’s staff, amend wording accordingly and disclose that professional valuers were not involved – see IAS 40.75(e).]</w:t>
      </w:r>
      <w:r>
        <w:rPr>
          <w:color w:val="000000"/>
          <w:sz w:val="20"/>
          <w:szCs w:val="20"/>
        </w:rPr>
        <w:t xml:space="preserve"> </w:t>
      </w:r>
    </w:p>
    <w:p w14:paraId="73830B3B" w14:textId="77777777"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[If a valuation obtained for a property is net of all payments expected to be made, any related lease liability recognised separately in the statement of financial position is added back to arrive at the carrying value of the investment property for accounting purposes.]</w:t>
      </w:r>
    </w:p>
    <w:p w14:paraId="0552D96A"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FF"/>
          <w:sz w:val="20"/>
          <w:szCs w:val="20"/>
        </w:rPr>
        <w:t xml:space="preserve">[Investment property that is being developed or redeveloped for use as investment property is also measured at fair value.] </w:t>
      </w:r>
    </w:p>
    <w:p w14:paraId="566B581A"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Earned rental income is recorded in profit or loss for the year within </w:t>
      </w:r>
      <w:r>
        <w:rPr>
          <w:color w:val="0000FF"/>
          <w:sz w:val="20"/>
          <w:szCs w:val="20"/>
        </w:rPr>
        <w:t>[other operating income]</w:t>
      </w:r>
      <w:r>
        <w:rPr>
          <w:color w:val="000000"/>
          <w:sz w:val="20"/>
          <w:szCs w:val="20"/>
        </w:rPr>
        <w:t xml:space="preserve">. Gains and losses resulting from changes in the fair value of investment property are recorded in profit or loss for the year and presented separately. </w:t>
      </w:r>
      <w:r>
        <w:rPr>
          <w:color w:val="0000FF"/>
          <w:sz w:val="20"/>
          <w:szCs w:val="20"/>
        </w:rPr>
        <w:t>[Gains or losses on disposal of investment property are calculated as proceeds less carrying amount. Where the Group disposes of a property at fair value in an arm’s length transaction, the carrying value immediately prior to the sale is adjusted to the transaction price, and the adjustment is recorded in profit or loss for the year within net gain from fair value adjustment on investment property.]</w:t>
      </w:r>
    </w:p>
    <w:p w14:paraId="6F1FB7CE" w14:textId="77777777"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[In certain circumstances the Group may dispose of a property other than at fair value, such as when there are special terms or circumstances allowing the parties to the transaction to obtain a benefit which would not generally be available to other market participants. In such circumstances, the carrying value immediately prior to the sale is adjusted to the estimated fair value at the disposal date, and any difference between proceeds and the carrying amount is recorded separately in profit or loss for the year within realised gains or losses on disposal of the investment property.]</w:t>
      </w:r>
    </w:p>
    <w:p w14:paraId="2EDB5C4A" w14:textId="77777777" w:rsidR="00D83E33" w:rsidRDefault="00BC4072" w:rsidP="001B330E">
      <w:pPr>
        <w:keepNext/>
        <w:keepLines/>
        <w:widowControl w:val="0"/>
        <w:pBdr>
          <w:top w:val="nil"/>
          <w:left w:val="nil"/>
          <w:bottom w:val="nil"/>
          <w:right w:val="nil"/>
          <w:between w:val="nil"/>
        </w:pBdr>
        <w:spacing w:before="200" w:after="200"/>
        <w:jc w:val="both"/>
        <w:rPr>
          <w:color w:val="0000FF"/>
          <w:sz w:val="20"/>
          <w:szCs w:val="20"/>
        </w:rPr>
      </w:pPr>
      <w:r>
        <w:rPr>
          <w:color w:val="0000FF"/>
          <w:sz w:val="20"/>
          <w:szCs w:val="20"/>
        </w:rPr>
        <w:t>[If an investment property becomes owner-occupied, it is reclassified as property, plant and equipment, and its carrying amount at the date of reclassification becomes its deemed cost for accounting purposes.]</w:t>
      </w:r>
    </w:p>
    <w:p w14:paraId="30703F80" w14:textId="77777777" w:rsidR="00D83E33" w:rsidRDefault="00BC4072">
      <w:pPr>
        <w:widowControl w:val="0"/>
        <w:pBdr>
          <w:top w:val="nil"/>
          <w:left w:val="nil"/>
          <w:bottom w:val="nil"/>
          <w:right w:val="nil"/>
          <w:between w:val="nil"/>
        </w:pBdr>
        <w:spacing w:before="200" w:after="200"/>
        <w:jc w:val="both"/>
        <w:rPr>
          <w:color w:val="0000FF"/>
          <w:sz w:val="20"/>
          <w:szCs w:val="20"/>
        </w:rPr>
      </w:pPr>
      <w:r>
        <w:rPr>
          <w:color w:val="0000FF"/>
          <w:sz w:val="20"/>
          <w:szCs w:val="20"/>
        </w:rPr>
        <w:t xml:space="preserve">[If an item of owner-occupied property becomes an investment property because its use has changed, any </w:t>
      </w:r>
      <w:r>
        <w:rPr>
          <w:color w:val="0000FF"/>
          <w:sz w:val="20"/>
          <w:szCs w:val="20"/>
        </w:rPr>
        <w:lastRenderedPageBreak/>
        <w:t>difference resulting between the carrying amount and the fair value of this item at the date of transfer is treated in the same way as a revaluation under IAS 16. Any resulting increase in the carrying amount of the property is recognised in profit or loss for the year to the extent that it reverses a previous credit loss, with any remaining increase credited directly to other comprehensive income. Any resulting decrease in the carrying amount of the property is initially charged against any revaluation surplus previously recognised in other comprehensive income, with any remaining decrease charged to profit or loss for the year.]</w:t>
      </w:r>
    </w:p>
    <w:p w14:paraId="5D40E951" w14:textId="77777777" w:rsidR="00D83E33" w:rsidRDefault="00BC4072">
      <w:pPr>
        <w:widowControl w:val="0"/>
        <w:pBdr>
          <w:top w:val="nil"/>
          <w:left w:val="nil"/>
          <w:bottom w:val="nil"/>
          <w:right w:val="nil"/>
          <w:between w:val="nil"/>
        </w:pBdr>
        <w:spacing w:before="200" w:after="200"/>
        <w:jc w:val="both"/>
        <w:rPr>
          <w:color w:val="000000"/>
          <w:sz w:val="20"/>
          <w:szCs w:val="20"/>
        </w:rPr>
      </w:pPr>
      <w:r>
        <w:rPr>
          <w:color w:val="000000"/>
          <w:sz w:val="20"/>
          <w:szCs w:val="20"/>
        </w:rPr>
        <w:t xml:space="preserve">Subsequent expenditure is capitalised to the asset’s carrying amount only when it is probable that future economic benefits associated with the expenditure will flow to the Group, and the cost can be measured reliably. All other repairs and maintenance costs are expensed when incurred. </w:t>
      </w:r>
    </w:p>
    <w:p w14:paraId="1E439DC6" w14:textId="6C431E84" w:rsidR="00D83E33" w:rsidRDefault="00BC4072">
      <w:pPr>
        <w:widowControl w:val="0"/>
        <w:pBdr>
          <w:top w:val="nil"/>
          <w:left w:val="nil"/>
          <w:bottom w:val="nil"/>
          <w:right w:val="nil"/>
          <w:between w:val="nil"/>
        </w:pBdr>
        <w:spacing w:before="200" w:after="200"/>
        <w:jc w:val="both"/>
        <w:rPr>
          <w:color w:val="0000FF"/>
          <w:sz w:val="20"/>
          <w:szCs w:val="20"/>
        </w:rPr>
      </w:pPr>
      <w:r>
        <w:rPr>
          <w:b/>
          <w:i/>
          <w:color w:val="FF0000"/>
          <w:sz w:val="20"/>
          <w:szCs w:val="20"/>
        </w:rPr>
        <w:t>[Alternative policy ‒ cost model:</w:t>
      </w:r>
      <w:r>
        <w:rPr>
          <w:i/>
          <w:color w:val="FF0000"/>
          <w:sz w:val="20"/>
          <w:szCs w:val="20"/>
        </w:rPr>
        <w:t xml:space="preserve"> </w:t>
      </w:r>
      <w:r>
        <w:rPr>
          <w:color w:val="0000FF"/>
          <w:sz w:val="20"/>
          <w:szCs w:val="20"/>
        </w:rPr>
        <w:t>Investment properties are stated at cost less accumulated depreciation and provision for impairment, where required. If any indication exists that investment properties may be impaired, the Group estimates the recoverable amount as the higher of value in use and fair value less costs to sell. The carrying amount of an investment property is written down to its recoverable amount through a charge to profit or loss for the year. A credit loss recognised in prior years is reversed if there has been a subsequent change in the estimates used to determine the asset’s recoverable amount.</w:t>
      </w:r>
    </w:p>
    <w:p w14:paraId="2BB1C7F7" w14:textId="5C34D774" w:rsidR="00D83E33" w:rsidRDefault="00BC4072" w:rsidP="00E970D2">
      <w:pPr>
        <w:widowControl w:val="0"/>
        <w:pBdr>
          <w:top w:val="nil"/>
          <w:left w:val="nil"/>
          <w:bottom w:val="nil"/>
          <w:right w:val="nil"/>
          <w:between w:val="nil"/>
        </w:pBdr>
        <w:spacing w:before="200" w:after="200"/>
        <w:jc w:val="both"/>
        <w:rPr>
          <w:color w:val="000000"/>
        </w:rPr>
      </w:pPr>
      <w:r>
        <w:rPr>
          <w:color w:val="0000FF"/>
          <w:sz w:val="20"/>
          <w:szCs w:val="20"/>
        </w:rPr>
        <w:t>Subsequent expenditure is capitalised only when it is probable that future economic benefits associated with it will flow to the Group, and the cost can be measured reliably. All other repairs and maintenance costs are expensed when incurred. If an investment property becomes owner-occupied, it is reclassified to premises and equipment.</w:t>
      </w:r>
      <w:r w:rsidR="00E970D2">
        <w:rPr>
          <w:color w:val="000000"/>
        </w:rPr>
        <w:t xml:space="preserve"> </w:t>
      </w:r>
    </w:p>
    <w:sectPr w:rsidR="00D83E33">
      <w:headerReference w:type="default" r:id="rId22"/>
      <w:pgSz w:w="11907" w:h="16840"/>
      <w:pgMar w:top="1418" w:right="851" w:bottom="1418" w:left="1701"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0F239" w14:textId="77777777" w:rsidR="00FF7544" w:rsidRDefault="00FF7544">
      <w:r>
        <w:separator/>
      </w:r>
    </w:p>
  </w:endnote>
  <w:endnote w:type="continuationSeparator" w:id="0">
    <w:p w14:paraId="72CFB7BD" w14:textId="77777777" w:rsidR="00FF7544" w:rsidRDefault="00FF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wiss Light 10pt">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wis721 Lt BT">
    <w:charset w:val="00"/>
    <w:family w:val="auto"/>
    <w:pitch w:val="variable"/>
    <w:sig w:usb0="00000007" w:usb1="00000000"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BDE11" w14:textId="77777777" w:rsidR="00ED6811" w:rsidRDefault="00ED681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0CB31157" w14:textId="77777777" w:rsidR="00ED6811" w:rsidRDefault="00ED6811">
    <w:pPr>
      <w:pBdr>
        <w:top w:val="nil"/>
        <w:left w:val="nil"/>
        <w:bottom w:val="nil"/>
        <w:right w:val="nil"/>
        <w:between w:val="nil"/>
      </w:pBdr>
      <w:tabs>
        <w:tab w:val="center" w:pos="4153"/>
        <w:tab w:val="right" w:pos="8306"/>
      </w:tabs>
      <w:ind w:right="36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B1591" w14:textId="77777777" w:rsidR="00ED6811" w:rsidRDefault="00ED6811">
    <w:pPr>
      <w:pBdr>
        <w:top w:val="nil"/>
        <w:left w:val="nil"/>
        <w:bottom w:val="nil"/>
        <w:right w:val="nil"/>
        <w:between w:val="nil"/>
      </w:pBdr>
      <w:tabs>
        <w:tab w:val="center" w:pos="4153"/>
        <w:tab w:val="right" w:pos="8306"/>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5E7C3" w14:textId="77777777" w:rsidR="00ED6811" w:rsidRDefault="00ED6811">
    <w:pPr>
      <w:pBdr>
        <w:top w:val="single" w:sz="4" w:space="1" w:color="000000"/>
        <w:left w:val="nil"/>
        <w:bottom w:val="nil"/>
        <w:right w:val="nil"/>
        <w:between w:val="nil"/>
      </w:pBdr>
      <w:tabs>
        <w:tab w:val="center" w:pos="4153"/>
        <w:tab w:val="right" w:pos="8306"/>
        <w:tab w:val="left" w:pos="0"/>
        <w:tab w:val="right" w:pos="9355"/>
      </w:tabs>
      <w:jc w:val="both"/>
      <w:rPr>
        <w:color w:val="000000"/>
      </w:rPr>
    </w:pPr>
    <w:r>
      <w:rPr>
        <w:color w:val="000000"/>
      </w:rPr>
      <w:t>The notes set out on pages [ ] to [ ] form an integral part of these consolidated financial statements.</w:t>
    </w:r>
    <w:r>
      <w:rPr>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268ED58" w14:textId="77777777" w:rsidR="00ED6811" w:rsidRDefault="00ED6811">
    <w:pPr>
      <w:widowControl w:val="0"/>
      <w:pBdr>
        <w:top w:val="nil"/>
        <w:left w:val="nil"/>
        <w:bottom w:val="nil"/>
        <w:right w:val="nil"/>
        <w:between w:val="nil"/>
      </w:pBdr>
      <w:spacing w:line="276"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064D" w14:textId="77777777" w:rsidR="00ED6811" w:rsidRDefault="00ED6811">
    <w:pPr>
      <w:pBdr>
        <w:top w:val="single" w:sz="4" w:space="1" w:color="000000"/>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58</w:t>
    </w:r>
    <w:r>
      <w:rPr>
        <w:color w:val="000000"/>
      </w:rPr>
      <w:fldChar w:fldCharType="end"/>
    </w:r>
  </w:p>
  <w:p w14:paraId="56389B40" w14:textId="77777777" w:rsidR="00ED6811" w:rsidRDefault="00ED6811">
    <w:pPr>
      <w:widowControl w:val="0"/>
      <w:pBdr>
        <w:top w:val="nil"/>
        <w:left w:val="nil"/>
        <w:bottom w:val="nil"/>
        <w:right w:val="nil"/>
        <w:between w:val="nil"/>
      </w:pBdr>
      <w:spacing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5557B" w14:textId="77777777" w:rsidR="00FF7544" w:rsidRDefault="00FF7544">
      <w:r>
        <w:separator/>
      </w:r>
    </w:p>
  </w:footnote>
  <w:footnote w:type="continuationSeparator" w:id="0">
    <w:p w14:paraId="6773F9E8" w14:textId="77777777" w:rsidR="00FF7544" w:rsidRDefault="00FF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6E8A" w14:textId="77777777" w:rsidR="00ED6811" w:rsidRDefault="00ED6811">
    <w:pPr>
      <w:pBdr>
        <w:top w:val="nil"/>
        <w:left w:val="nil"/>
        <w:bottom w:val="none" w:sz="0" w:space="0" w:color="000000"/>
        <w:right w:val="nil"/>
        <w:between w:val="nil"/>
      </w:pBdr>
      <w:tabs>
        <w:tab w:val="center" w:pos="4153"/>
        <w:tab w:val="right" w:pos="8306"/>
      </w:tabs>
      <w:jc w:val="both"/>
      <w:rPr>
        <w:color w:val="00000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AE97F" w14:textId="77777777" w:rsidR="00E970D2" w:rsidRDefault="00E970D2" w:rsidP="00E970D2">
    <w:pPr>
      <w:pBdr>
        <w:top w:val="nil"/>
        <w:left w:val="nil"/>
        <w:bottom w:val="single" w:sz="4" w:space="0" w:color="000000"/>
        <w:right w:val="nil"/>
        <w:between w:val="nil"/>
      </w:pBdr>
      <w:ind w:right="-57"/>
      <w:rPr>
        <w:b/>
        <w:i/>
        <w:color w:val="000000"/>
        <w:sz w:val="4"/>
        <w:szCs w:val="4"/>
      </w:rPr>
    </w:pPr>
    <w:r>
      <w:rPr>
        <w:b/>
        <w:i/>
        <w:smallCaps/>
        <w:color w:val="000000"/>
        <w:sz w:val="24"/>
        <w:szCs w:val="24"/>
      </w:rPr>
      <w:t>Appendix C – Long Version of Investment Property Accounting Policy</w:t>
    </w:r>
  </w:p>
  <w:p w14:paraId="6462C99F" w14:textId="67F5926F" w:rsidR="00ED6811" w:rsidRDefault="00ED6811">
    <w:pPr>
      <w:pBdr>
        <w:top w:val="nil"/>
        <w:left w:val="nil"/>
        <w:bottom w:val="single" w:sz="4" w:space="0" w:color="000000"/>
        <w:right w:val="nil"/>
        <w:between w:val="nil"/>
      </w:pBdr>
      <w:ind w:right="-57"/>
      <w:rPr>
        <w:b/>
        <w:i/>
        <w:smallCaps/>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10DFF" w14:textId="77777777" w:rsidR="00ED6811" w:rsidRDefault="00ED6811">
    <w:pPr>
      <w:pBdr>
        <w:top w:val="nil"/>
        <w:left w:val="nil"/>
        <w:bottom w:val="single" w:sz="4" w:space="1" w:color="000000"/>
        <w:right w:val="nil"/>
        <w:between w:val="nil"/>
      </w:pBdr>
      <w:tabs>
        <w:tab w:val="left" w:pos="-528"/>
      </w:tabs>
      <w:rPr>
        <w:b/>
        <w:i/>
        <w:color w:val="000000"/>
        <w:sz w:val="20"/>
        <w:szCs w:val="20"/>
      </w:rPr>
    </w:pPr>
    <w:r>
      <w:rPr>
        <w:b/>
        <w:i/>
        <w:color w:val="000000"/>
        <w:sz w:val="20"/>
        <w:szCs w:val="20"/>
      </w:rPr>
      <w:t>ABC Bank Group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456B" w14:textId="77777777" w:rsidR="00ED6811" w:rsidRDefault="00ED6811">
    <w:pPr>
      <w:pBdr>
        <w:top w:val="nil"/>
        <w:left w:val="nil"/>
        <w:bottom w:val="nil"/>
        <w:right w:val="nil"/>
        <w:between w:val="nil"/>
      </w:pBdr>
      <w:tabs>
        <w:tab w:val="left" w:pos="-528"/>
      </w:tabs>
      <w:rPr>
        <w:b/>
        <w:i/>
        <w:color w:val="000000"/>
        <w:sz w:val="20"/>
        <w:szCs w:val="20"/>
      </w:rPr>
    </w:pPr>
    <w:r>
      <w:rPr>
        <w:b/>
        <w:i/>
        <w:color w:val="000000"/>
        <w:sz w:val="20"/>
        <w:szCs w:val="20"/>
      </w:rPr>
      <w:t>ABC Bank Group</w:t>
    </w:r>
  </w:p>
  <w:p w14:paraId="12D7DBBC" w14:textId="7F81AC68" w:rsidR="00ED6811" w:rsidRDefault="00ED6811" w:rsidP="001B330E">
    <w:pPr>
      <w:pBdr>
        <w:left w:val="nil"/>
        <w:right w:val="nil"/>
        <w:between w:val="nil"/>
      </w:pBdr>
      <w:tabs>
        <w:tab w:val="left" w:pos="-528"/>
      </w:tabs>
      <w:rPr>
        <w:i/>
        <w:color w:val="FF0000"/>
        <w:sz w:val="20"/>
        <w:szCs w:val="20"/>
      </w:rPr>
    </w:pPr>
    <w:r>
      <w:rPr>
        <w:b/>
        <w:i/>
        <w:color w:val="000000"/>
        <w:sz w:val="20"/>
        <w:szCs w:val="20"/>
      </w:rPr>
      <w:t xml:space="preserve">Consolidated Statement of Financial Position </w:t>
    </w:r>
  </w:p>
  <w:p w14:paraId="580E95E7" w14:textId="0BF75DAD" w:rsidR="00ED6811" w:rsidRPr="001B330E" w:rsidRDefault="00ED6811" w:rsidP="001B330E">
    <w:pPr>
      <w:pBdr>
        <w:left w:val="nil"/>
        <w:bottom w:val="single" w:sz="4" w:space="1" w:color="000000"/>
        <w:right w:val="nil"/>
        <w:between w:val="nil"/>
      </w:pBdr>
      <w:tabs>
        <w:tab w:val="left" w:pos="-528"/>
      </w:tabs>
      <w:rPr>
        <w:b/>
        <w:i/>
        <w:color w:val="000000"/>
        <w:sz w:val="4"/>
        <w:szCs w:val="4"/>
      </w:rPr>
    </w:pPr>
  </w:p>
  <w:p w14:paraId="2BD174A4" w14:textId="77777777" w:rsidR="00ED6811" w:rsidRDefault="00ED6811" w:rsidP="001B330E">
    <w:pPr>
      <w:pBdr>
        <w:left w:val="nil"/>
        <w:right w:val="nil"/>
        <w:between w:val="nil"/>
      </w:pBdr>
      <w:tabs>
        <w:tab w:val="left" w:pos="-528"/>
      </w:tabs>
      <w:rPr>
        <w:b/>
        <w:i/>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90454" w14:textId="77777777" w:rsidR="00ED6811" w:rsidRDefault="00ED6811">
    <w:pPr>
      <w:pBdr>
        <w:top w:val="nil"/>
        <w:left w:val="nil"/>
        <w:bottom w:val="nil"/>
        <w:right w:val="nil"/>
        <w:between w:val="nil"/>
      </w:pBdr>
      <w:tabs>
        <w:tab w:val="left" w:pos="-528"/>
      </w:tabs>
      <w:rPr>
        <w:b/>
        <w:i/>
        <w:color w:val="000000"/>
        <w:sz w:val="20"/>
        <w:szCs w:val="20"/>
      </w:rPr>
    </w:pPr>
    <w:r>
      <w:rPr>
        <w:b/>
        <w:i/>
        <w:color w:val="000000"/>
        <w:sz w:val="20"/>
        <w:szCs w:val="20"/>
      </w:rPr>
      <w:t>ABC Bank Group</w:t>
    </w:r>
  </w:p>
  <w:p w14:paraId="47D7D3DF" w14:textId="44C0B0B3" w:rsidR="00ED6811" w:rsidRDefault="00ED6811" w:rsidP="001B330E">
    <w:pPr>
      <w:pBdr>
        <w:left w:val="nil"/>
        <w:right w:val="nil"/>
        <w:between w:val="nil"/>
      </w:pBdr>
      <w:tabs>
        <w:tab w:val="left" w:pos="-528"/>
      </w:tabs>
      <w:rPr>
        <w:b/>
        <w:i/>
        <w:color w:val="000000"/>
        <w:sz w:val="20"/>
        <w:szCs w:val="20"/>
      </w:rPr>
    </w:pPr>
    <w:r>
      <w:rPr>
        <w:b/>
        <w:i/>
        <w:color w:val="000000"/>
        <w:sz w:val="20"/>
        <w:szCs w:val="20"/>
      </w:rPr>
      <w:t>Consolidated Statement of Profit or Loss and Other Comprehensive Income</w:t>
    </w:r>
  </w:p>
  <w:p w14:paraId="2F47AD34" w14:textId="6BCC6620" w:rsidR="00ED6811" w:rsidRPr="001B330E" w:rsidRDefault="00ED6811" w:rsidP="001B330E">
    <w:pPr>
      <w:pBdr>
        <w:left w:val="nil"/>
        <w:right w:val="nil"/>
        <w:between w:val="nil"/>
      </w:pBdr>
      <w:tabs>
        <w:tab w:val="left" w:pos="-528"/>
      </w:tabs>
      <w:rPr>
        <w:b/>
        <w:i/>
        <w:color w:val="000000"/>
        <w:sz w:val="4"/>
        <w:szCs w:val="4"/>
      </w:rPr>
    </w:pPr>
  </w:p>
  <w:p w14:paraId="1B76C958" w14:textId="77777777" w:rsidR="00ED6811" w:rsidRDefault="00ED6811" w:rsidP="001B330E">
    <w:pPr>
      <w:pBdr>
        <w:top w:val="single" w:sz="4" w:space="1" w:color="000000"/>
        <w:left w:val="nil"/>
        <w:right w:val="nil"/>
        <w:between w:val="nil"/>
      </w:pBdr>
      <w:tabs>
        <w:tab w:val="left" w:pos="-528"/>
      </w:tabs>
      <w:rPr>
        <w:b/>
        <w:i/>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7DCC6" w14:textId="77777777" w:rsidR="00ED6811" w:rsidRDefault="00ED6811">
    <w:pPr>
      <w:pBdr>
        <w:top w:val="nil"/>
        <w:left w:val="nil"/>
        <w:bottom w:val="nil"/>
        <w:right w:val="nil"/>
        <w:between w:val="nil"/>
      </w:pBdr>
      <w:tabs>
        <w:tab w:val="left" w:pos="-528"/>
      </w:tabs>
      <w:rPr>
        <w:b/>
        <w:i/>
        <w:color w:val="000000"/>
        <w:sz w:val="20"/>
        <w:szCs w:val="20"/>
      </w:rPr>
    </w:pPr>
    <w:r>
      <w:rPr>
        <w:b/>
        <w:i/>
        <w:color w:val="000000"/>
        <w:sz w:val="20"/>
        <w:szCs w:val="20"/>
      </w:rPr>
      <w:t>ABC Bank Group</w:t>
    </w:r>
  </w:p>
  <w:p w14:paraId="331D44D0" w14:textId="091FAEE1" w:rsidR="00ED6811" w:rsidRDefault="00ED6811" w:rsidP="001B330E">
    <w:pPr>
      <w:pBdr>
        <w:left w:val="nil"/>
        <w:right w:val="nil"/>
        <w:between w:val="nil"/>
      </w:pBdr>
      <w:tabs>
        <w:tab w:val="left" w:pos="-528"/>
      </w:tabs>
      <w:rPr>
        <w:b/>
        <w:i/>
        <w:color w:val="000000"/>
        <w:sz w:val="20"/>
        <w:szCs w:val="20"/>
      </w:rPr>
    </w:pPr>
    <w:r>
      <w:rPr>
        <w:b/>
        <w:i/>
        <w:color w:val="000000"/>
        <w:sz w:val="20"/>
        <w:szCs w:val="20"/>
      </w:rPr>
      <w:t>Consolidated Statement of Changes in Equity</w:t>
    </w:r>
  </w:p>
  <w:p w14:paraId="1F849CDF" w14:textId="3D82D427" w:rsidR="00ED6811" w:rsidRPr="001B330E" w:rsidRDefault="00ED6811" w:rsidP="001B330E">
    <w:pPr>
      <w:pBdr>
        <w:left w:val="nil"/>
        <w:right w:val="nil"/>
        <w:between w:val="nil"/>
      </w:pBdr>
      <w:tabs>
        <w:tab w:val="left" w:pos="-528"/>
      </w:tabs>
      <w:rPr>
        <w:b/>
        <w:i/>
        <w:color w:val="000000"/>
        <w:sz w:val="4"/>
        <w:szCs w:val="4"/>
      </w:rPr>
    </w:pPr>
  </w:p>
  <w:p w14:paraId="5F11BE66" w14:textId="77777777" w:rsidR="00ED6811" w:rsidRDefault="00ED6811" w:rsidP="001B330E">
    <w:pPr>
      <w:pBdr>
        <w:top w:val="single" w:sz="4" w:space="1" w:color="000000"/>
        <w:left w:val="nil"/>
        <w:right w:val="nil"/>
        <w:between w:val="nil"/>
      </w:pBdr>
      <w:tabs>
        <w:tab w:val="left" w:pos="-528"/>
      </w:tabs>
      <w:rPr>
        <w:b/>
        <w:i/>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42326" w14:textId="77777777" w:rsidR="00ED6811" w:rsidRDefault="00ED6811">
    <w:pPr>
      <w:pBdr>
        <w:top w:val="nil"/>
        <w:left w:val="nil"/>
        <w:bottom w:val="nil"/>
        <w:right w:val="nil"/>
        <w:between w:val="nil"/>
      </w:pBdr>
      <w:tabs>
        <w:tab w:val="left" w:pos="-528"/>
      </w:tabs>
      <w:rPr>
        <w:b/>
        <w:i/>
        <w:color w:val="000000"/>
        <w:sz w:val="20"/>
        <w:szCs w:val="20"/>
      </w:rPr>
    </w:pPr>
    <w:r>
      <w:rPr>
        <w:b/>
        <w:i/>
        <w:color w:val="000000"/>
        <w:sz w:val="20"/>
        <w:szCs w:val="20"/>
      </w:rPr>
      <w:t>ABC Bank Group</w:t>
    </w:r>
  </w:p>
  <w:p w14:paraId="1D2562CA" w14:textId="476A60F5" w:rsidR="00ED6811" w:rsidRDefault="00ED6811" w:rsidP="001B330E">
    <w:pPr>
      <w:tabs>
        <w:tab w:val="left" w:pos="-528"/>
      </w:tabs>
      <w:rPr>
        <w:b/>
        <w:i/>
        <w:color w:val="000000"/>
        <w:sz w:val="20"/>
        <w:szCs w:val="20"/>
      </w:rPr>
    </w:pPr>
    <w:r>
      <w:rPr>
        <w:b/>
        <w:i/>
        <w:color w:val="000000"/>
        <w:sz w:val="20"/>
        <w:szCs w:val="20"/>
      </w:rPr>
      <w:t>Consolidated Statement of Cash Flows</w:t>
    </w:r>
  </w:p>
  <w:p w14:paraId="5716750A" w14:textId="1394D8E7" w:rsidR="00ED6811" w:rsidRPr="001B330E" w:rsidRDefault="00ED6811" w:rsidP="001B330E">
    <w:pPr>
      <w:tabs>
        <w:tab w:val="left" w:pos="-528"/>
      </w:tabs>
      <w:rPr>
        <w:b/>
        <w:i/>
        <w:color w:val="000000"/>
        <w:sz w:val="4"/>
        <w:szCs w:val="4"/>
      </w:rPr>
    </w:pPr>
  </w:p>
  <w:p w14:paraId="5051C858" w14:textId="77777777" w:rsidR="00ED6811" w:rsidRDefault="00ED6811" w:rsidP="001B330E">
    <w:pPr>
      <w:pBdr>
        <w:top w:val="single" w:sz="4" w:space="1" w:color="000000"/>
      </w:pBdr>
      <w:tabs>
        <w:tab w:val="left" w:pos="-528"/>
      </w:tabs>
      <w:rPr>
        <w:i/>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FD4D5" w14:textId="77777777" w:rsidR="00ED6811" w:rsidRDefault="00ED6811">
    <w:pPr>
      <w:pBdr>
        <w:top w:val="nil"/>
        <w:left w:val="nil"/>
        <w:bottom w:val="nil"/>
        <w:right w:val="nil"/>
        <w:between w:val="nil"/>
      </w:pBdr>
      <w:tabs>
        <w:tab w:val="left" w:pos="-528"/>
      </w:tabs>
      <w:rPr>
        <w:b/>
        <w:i/>
        <w:color w:val="000000"/>
        <w:sz w:val="20"/>
        <w:szCs w:val="20"/>
      </w:rPr>
    </w:pPr>
    <w:r>
      <w:rPr>
        <w:b/>
        <w:i/>
        <w:color w:val="000000"/>
        <w:sz w:val="20"/>
        <w:szCs w:val="20"/>
      </w:rPr>
      <w:t>ABC Bank Group</w:t>
    </w:r>
  </w:p>
  <w:p w14:paraId="7E74C219" w14:textId="79077319" w:rsidR="00ED6811" w:rsidRDefault="00ED6811">
    <w:pPr>
      <w:pBdr>
        <w:top w:val="nil"/>
        <w:left w:val="nil"/>
        <w:bottom w:val="single" w:sz="4" w:space="1" w:color="000000"/>
        <w:right w:val="nil"/>
        <w:between w:val="nil"/>
      </w:pBdr>
      <w:tabs>
        <w:tab w:val="left" w:pos="-528"/>
      </w:tabs>
      <w:rPr>
        <w:b/>
        <w:i/>
        <w:color w:val="000000"/>
        <w:sz w:val="20"/>
        <w:szCs w:val="20"/>
      </w:rPr>
    </w:pPr>
    <w:r>
      <w:rPr>
        <w:b/>
        <w:i/>
        <w:color w:val="000000"/>
        <w:sz w:val="20"/>
        <w:szCs w:val="20"/>
      </w:rPr>
      <w:t xml:space="preserve">Notes to the Consolidated Financial Statements – 31 December </w:t>
    </w:r>
    <w:r w:rsidR="00541EBC">
      <w:rPr>
        <w:b/>
        <w:i/>
        <w:color w:val="000000"/>
        <w:sz w:val="20"/>
        <w:szCs w:val="20"/>
      </w:rPr>
      <w:t>2024</w:t>
    </w:r>
  </w:p>
  <w:p w14:paraId="60ADAA25" w14:textId="77777777" w:rsidR="00ED6811" w:rsidRPr="001B330E" w:rsidRDefault="00ED6811">
    <w:pPr>
      <w:pBdr>
        <w:top w:val="nil"/>
        <w:left w:val="nil"/>
        <w:bottom w:val="single" w:sz="4" w:space="1" w:color="000000"/>
        <w:right w:val="nil"/>
        <w:between w:val="nil"/>
      </w:pBdr>
      <w:tabs>
        <w:tab w:val="left" w:pos="-528"/>
      </w:tabs>
      <w:rPr>
        <w:b/>
        <w:i/>
        <w:color w:val="000000"/>
        <w:sz w:val="4"/>
        <w:szCs w:val="4"/>
      </w:rPr>
    </w:pPr>
  </w:p>
  <w:p w14:paraId="6047274D" w14:textId="77777777" w:rsidR="00ED6811" w:rsidRDefault="00ED6811">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1271"/>
        <w:tab w:val="left" w:pos="-551"/>
        <w:tab w:val="left" w:pos="169"/>
      </w:tabs>
      <w:spacing w:line="224" w:lineRule="auto"/>
      <w:jc w:val="both"/>
      <w:rPr>
        <w:b/>
        <w:smallCaps/>
        <w:color w:val="000000"/>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DB768" w14:textId="77777777" w:rsidR="00ED6811" w:rsidRDefault="00ED6811">
    <w:pPr>
      <w:pBdr>
        <w:top w:val="nil"/>
        <w:left w:val="nil"/>
        <w:bottom w:val="single" w:sz="4" w:space="0" w:color="000000"/>
        <w:right w:val="nil"/>
        <w:between w:val="nil"/>
      </w:pBdr>
      <w:ind w:right="-57"/>
      <w:rPr>
        <w:b/>
        <w:i/>
        <w:color w:val="000000"/>
        <w:sz w:val="4"/>
        <w:szCs w:val="4"/>
      </w:rPr>
    </w:pPr>
    <w:r>
      <w:rPr>
        <w:b/>
        <w:i/>
        <w:smallCaps/>
        <w:color w:val="000000"/>
        <w:sz w:val="24"/>
        <w:szCs w:val="24"/>
      </w:rPr>
      <w:t>Appendix A ‒ Formatting Instructions</w:t>
    </w:r>
  </w:p>
  <w:p w14:paraId="45320E36" w14:textId="77777777" w:rsidR="00ED6811" w:rsidRDefault="00ED6811">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1271"/>
        <w:tab w:val="left" w:pos="-551"/>
        <w:tab w:val="left" w:pos="169"/>
      </w:tabs>
      <w:spacing w:line="224" w:lineRule="auto"/>
      <w:jc w:val="both"/>
      <w:rPr>
        <w:b/>
        <w:smallCaps/>
        <w:color w:val="000000"/>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A6085" w14:textId="77777777" w:rsidR="00ED6811" w:rsidRDefault="00ED6811">
    <w:pPr>
      <w:pBdr>
        <w:top w:val="nil"/>
        <w:left w:val="nil"/>
        <w:bottom w:val="single" w:sz="4" w:space="0" w:color="000000"/>
        <w:right w:val="nil"/>
        <w:between w:val="nil"/>
      </w:pBdr>
      <w:ind w:right="-57"/>
      <w:rPr>
        <w:b/>
        <w:i/>
        <w:color w:val="000000"/>
        <w:sz w:val="4"/>
        <w:szCs w:val="4"/>
      </w:rPr>
    </w:pPr>
    <w:r>
      <w:rPr>
        <w:b/>
        <w:i/>
        <w:smallCaps/>
        <w:color w:val="000000"/>
        <w:sz w:val="24"/>
        <w:szCs w:val="24"/>
      </w:rPr>
      <w:t>Appendix B – Guidance Note</w:t>
    </w:r>
  </w:p>
  <w:p w14:paraId="7FA5ACCC" w14:textId="77777777" w:rsidR="00ED6811" w:rsidRDefault="00ED6811">
    <w:pPr>
      <w:pBdr>
        <w:top w:val="nil"/>
        <w:left w:val="nil"/>
        <w:bottom w:val="nil"/>
        <w:right w:val="nil"/>
        <w:between w:val="nil"/>
      </w:pBd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 w:val="left" w:pos="-1271"/>
        <w:tab w:val="left" w:pos="-551"/>
        <w:tab w:val="left" w:pos="169"/>
      </w:tabs>
      <w:spacing w:line="224" w:lineRule="auto"/>
      <w:jc w:val="both"/>
      <w:rPr>
        <w:b/>
        <w:smallCap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0D3"/>
    <w:multiLevelType w:val="multilevel"/>
    <w:tmpl w:val="BC5EDEE8"/>
    <w:lvl w:ilvl="0">
      <w:start w:val="1"/>
      <w:numFmt w:val="bullet"/>
      <w:pStyle w:val="bullets"/>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024BA5"/>
    <w:multiLevelType w:val="hybridMultilevel"/>
    <w:tmpl w:val="81E0D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74858"/>
    <w:multiLevelType w:val="multilevel"/>
    <w:tmpl w:val="3B941234"/>
    <w:lvl w:ilvl="0">
      <w:start w:val="1"/>
      <w:numFmt w:val="lowerRoman"/>
      <w:pStyle w:val="Bullet1"/>
      <w:lvlText w:val="(%1)"/>
      <w:lvlJc w:val="left"/>
      <w:pPr>
        <w:ind w:left="417" w:hanging="360"/>
      </w:pPr>
      <w:rPr>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49613F"/>
    <w:multiLevelType w:val="multilevel"/>
    <w:tmpl w:val="1840D7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D667A7"/>
    <w:multiLevelType w:val="multilevel"/>
    <w:tmpl w:val="5810E7E6"/>
    <w:lvl w:ilvl="0">
      <w:start w:val="1"/>
      <w:numFmt w:val="lowerRoman"/>
      <w:pStyle w:val="Repor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96ED1"/>
    <w:multiLevelType w:val="multilevel"/>
    <w:tmpl w:val="209ED13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D4684"/>
    <w:multiLevelType w:val="hybridMultilevel"/>
    <w:tmpl w:val="872871E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5C3031"/>
    <w:multiLevelType w:val="multilevel"/>
    <w:tmpl w:val="F75C4D56"/>
    <w:lvl w:ilvl="0">
      <w:start w:val="1"/>
      <w:numFmt w:val="lowerLetter"/>
      <w:lvlText w:val="(%1)"/>
      <w:lvlJc w:val="left"/>
      <w:pPr>
        <w:ind w:left="689" w:hanging="359"/>
      </w:pPr>
      <w:rPr>
        <w:b/>
        <w:i w:val="0"/>
        <w:color w:val="000000"/>
      </w:r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8" w15:restartNumberingAfterBreak="0">
    <w:nsid w:val="1D5B666B"/>
    <w:multiLevelType w:val="hybridMultilevel"/>
    <w:tmpl w:val="FC946868"/>
    <w:lvl w:ilvl="0" w:tplc="8C1EFD74">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75FB5"/>
    <w:multiLevelType w:val="multilevel"/>
    <w:tmpl w:val="BD7E4488"/>
    <w:lvl w:ilvl="0">
      <w:start w:val="1"/>
      <w:numFmt w:val="lowerRoman"/>
      <w:pStyle w:val="ABCNotes"/>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48738C"/>
    <w:multiLevelType w:val="multilevel"/>
    <w:tmpl w:val="24C0374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9555D5"/>
    <w:multiLevelType w:val="multilevel"/>
    <w:tmpl w:val="1CA2C328"/>
    <w:lvl w:ilvl="0">
      <w:start w:val="2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FDF47C8"/>
    <w:multiLevelType w:val="multilevel"/>
    <w:tmpl w:val="FCB8D444"/>
    <w:lvl w:ilvl="0">
      <w:start w:val="3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950D3A"/>
    <w:multiLevelType w:val="multilevel"/>
    <w:tmpl w:val="2E40D1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31E469F"/>
    <w:multiLevelType w:val="multilevel"/>
    <w:tmpl w:val="2F18F2CE"/>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2841CC"/>
    <w:multiLevelType w:val="multilevel"/>
    <w:tmpl w:val="052E339A"/>
    <w:lvl w:ilvl="0">
      <w:start w:val="1"/>
      <w:numFmt w:val="lowerLetter"/>
      <w:pStyle w:val="Reportbullets"/>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810199"/>
    <w:multiLevelType w:val="multilevel"/>
    <w:tmpl w:val="EB1C4E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A8B2D52"/>
    <w:multiLevelType w:val="multilevel"/>
    <w:tmpl w:val="A53EC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C053CE"/>
    <w:multiLevelType w:val="multilevel"/>
    <w:tmpl w:val="BF86F7A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684D9F"/>
    <w:multiLevelType w:val="multilevel"/>
    <w:tmpl w:val="4C2A70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7C418D"/>
    <w:multiLevelType w:val="multilevel"/>
    <w:tmpl w:val="A276108C"/>
    <w:lvl w:ilvl="0">
      <w:start w:val="1"/>
      <w:numFmt w:val="decimal"/>
      <w:pStyle w:val="Heading1"/>
      <w:lvlText w:val="%1"/>
      <w:lvlJc w:val="left"/>
      <w:pPr>
        <w:ind w:left="432" w:hanging="432"/>
      </w:pPr>
      <w:rPr>
        <w:rFonts w:hint="default"/>
        <w:b/>
        <w:i w:val="0"/>
        <w:smallCaps w:val="0"/>
        <w:strike w:val="0"/>
        <w:color w:val="000000"/>
        <w:sz w:val="20"/>
        <w:szCs w:val="20"/>
        <w:vertAlign w:val="baseli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D533FB0"/>
    <w:multiLevelType w:val="hybridMultilevel"/>
    <w:tmpl w:val="131ED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76976"/>
    <w:multiLevelType w:val="hybridMultilevel"/>
    <w:tmpl w:val="E592C00E"/>
    <w:lvl w:ilvl="0" w:tplc="23003E8C">
      <w:start w:val="3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58442F"/>
    <w:multiLevelType w:val="multilevel"/>
    <w:tmpl w:val="0636961C"/>
    <w:lvl w:ilvl="0">
      <w:start w:val="1"/>
      <w:numFmt w:val="lowerRoman"/>
      <w:pStyle w:val="ABC-BulletsinNotes"/>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7EA6DFE"/>
    <w:multiLevelType w:val="multilevel"/>
    <w:tmpl w:val="CB724E4A"/>
    <w:lvl w:ilvl="0">
      <w:start w:val="1"/>
      <w:numFmt w:val="bullet"/>
      <w:pStyle w:val="red"/>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9AE3456"/>
    <w:multiLevelType w:val="multilevel"/>
    <w:tmpl w:val="2C1EF2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F641BB"/>
    <w:multiLevelType w:val="hybridMultilevel"/>
    <w:tmpl w:val="DA8A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85EE3"/>
    <w:multiLevelType w:val="multilevel"/>
    <w:tmpl w:val="FA7CF77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412EAC"/>
    <w:multiLevelType w:val="multilevel"/>
    <w:tmpl w:val="5AFE1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8FA0406"/>
    <w:multiLevelType w:val="multilevel"/>
    <w:tmpl w:val="1550F5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897D69"/>
    <w:multiLevelType w:val="multilevel"/>
    <w:tmpl w:val="E112FC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D3E3C7C"/>
    <w:multiLevelType w:val="multilevel"/>
    <w:tmpl w:val="2C7638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445BB7"/>
    <w:multiLevelType w:val="multilevel"/>
    <w:tmpl w:val="AF96B078"/>
    <w:lvl w:ilvl="0">
      <w:start w:val="1"/>
      <w:numFmt w:val="decimal"/>
      <w:pStyle w:val="Bullets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0B1775"/>
    <w:multiLevelType w:val="hybridMultilevel"/>
    <w:tmpl w:val="4EA2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92AD4"/>
    <w:multiLevelType w:val="hybridMultilevel"/>
    <w:tmpl w:val="8A623E24"/>
    <w:lvl w:ilvl="0" w:tplc="77F0D062">
      <w:start w:val="1"/>
      <w:numFmt w:val="bullet"/>
      <w:pStyle w:val="bluetabs"/>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8D6C64"/>
    <w:multiLevelType w:val="multilevel"/>
    <w:tmpl w:val="2E165D8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05097D"/>
    <w:multiLevelType w:val="multilevel"/>
    <w:tmpl w:val="5F3A9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7148547">
    <w:abstractNumId w:val="9"/>
  </w:num>
  <w:num w:numId="2" w16cid:durableId="475874812">
    <w:abstractNumId w:val="20"/>
  </w:num>
  <w:num w:numId="3" w16cid:durableId="616957952">
    <w:abstractNumId w:val="15"/>
  </w:num>
  <w:num w:numId="4" w16cid:durableId="1579906296">
    <w:abstractNumId w:val="4"/>
  </w:num>
  <w:num w:numId="5" w16cid:durableId="464591749">
    <w:abstractNumId w:val="2"/>
  </w:num>
  <w:num w:numId="6" w16cid:durableId="299893221">
    <w:abstractNumId w:val="24"/>
  </w:num>
  <w:num w:numId="7" w16cid:durableId="544414933">
    <w:abstractNumId w:val="19"/>
  </w:num>
  <w:num w:numId="8" w16cid:durableId="917517237">
    <w:abstractNumId w:val="23"/>
  </w:num>
  <w:num w:numId="9" w16cid:durableId="804783228">
    <w:abstractNumId w:val="5"/>
  </w:num>
  <w:num w:numId="10" w16cid:durableId="406078522">
    <w:abstractNumId w:val="10"/>
  </w:num>
  <w:num w:numId="11" w16cid:durableId="1050225524">
    <w:abstractNumId w:val="27"/>
  </w:num>
  <w:num w:numId="12" w16cid:durableId="109016061">
    <w:abstractNumId w:val="36"/>
  </w:num>
  <w:num w:numId="13" w16cid:durableId="2030332390">
    <w:abstractNumId w:val="28"/>
  </w:num>
  <w:num w:numId="14" w16cid:durableId="1597010921">
    <w:abstractNumId w:val="16"/>
  </w:num>
  <w:num w:numId="15" w16cid:durableId="612172576">
    <w:abstractNumId w:val="30"/>
  </w:num>
  <w:num w:numId="16" w16cid:durableId="678316886">
    <w:abstractNumId w:val="0"/>
  </w:num>
  <w:num w:numId="17" w16cid:durableId="2135833285">
    <w:abstractNumId w:val="11"/>
  </w:num>
  <w:num w:numId="18" w16cid:durableId="94987704">
    <w:abstractNumId w:val="13"/>
  </w:num>
  <w:num w:numId="19" w16cid:durableId="1766684440">
    <w:abstractNumId w:val="14"/>
  </w:num>
  <w:num w:numId="20" w16cid:durableId="1051152579">
    <w:abstractNumId w:val="17"/>
  </w:num>
  <w:num w:numId="21" w16cid:durableId="1695420024">
    <w:abstractNumId w:val="18"/>
  </w:num>
  <w:num w:numId="22" w16cid:durableId="935749269">
    <w:abstractNumId w:val="31"/>
  </w:num>
  <w:num w:numId="23" w16cid:durableId="994996751">
    <w:abstractNumId w:val="35"/>
  </w:num>
  <w:num w:numId="24" w16cid:durableId="1704212008">
    <w:abstractNumId w:val="25"/>
  </w:num>
  <w:num w:numId="25" w16cid:durableId="698700147">
    <w:abstractNumId w:val="3"/>
  </w:num>
  <w:num w:numId="26" w16cid:durableId="304087633">
    <w:abstractNumId w:val="29"/>
  </w:num>
  <w:num w:numId="27" w16cid:durableId="74478868">
    <w:abstractNumId w:val="7"/>
  </w:num>
  <w:num w:numId="28" w16cid:durableId="1689672858">
    <w:abstractNumId w:val="12"/>
  </w:num>
  <w:num w:numId="29" w16cid:durableId="1450392835">
    <w:abstractNumId w:val="32"/>
  </w:num>
  <w:num w:numId="30" w16cid:durableId="649135545">
    <w:abstractNumId w:val="22"/>
  </w:num>
  <w:num w:numId="31" w16cid:durableId="1760061943">
    <w:abstractNumId w:val="34"/>
  </w:num>
  <w:num w:numId="32" w16cid:durableId="697238041">
    <w:abstractNumId w:val="21"/>
  </w:num>
  <w:num w:numId="33" w16cid:durableId="1649090214">
    <w:abstractNumId w:val="33"/>
  </w:num>
  <w:num w:numId="34" w16cid:durableId="838079269">
    <w:abstractNumId w:val="26"/>
  </w:num>
  <w:num w:numId="35" w16cid:durableId="1949464968">
    <w:abstractNumId w:val="1"/>
  </w:num>
  <w:num w:numId="36" w16cid:durableId="982857207">
    <w:abstractNumId w:val="6"/>
  </w:num>
  <w:num w:numId="37" w16cid:durableId="1166284921">
    <w:abstractNumId w:val="20"/>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569580">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4532064">
    <w:abstractNumId w:val="20"/>
  </w:num>
  <w:num w:numId="40" w16cid:durableId="1683777168">
    <w:abstractNumId w:val="20"/>
  </w:num>
  <w:num w:numId="41" w16cid:durableId="362823379">
    <w:abstractNumId w:val="20"/>
  </w:num>
  <w:num w:numId="42" w16cid:durableId="1573933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33"/>
    <w:rsid w:val="00007C05"/>
    <w:rsid w:val="000166CC"/>
    <w:rsid w:val="00026549"/>
    <w:rsid w:val="00026734"/>
    <w:rsid w:val="00026C49"/>
    <w:rsid w:val="000308BA"/>
    <w:rsid w:val="00030CA4"/>
    <w:rsid w:val="000325DE"/>
    <w:rsid w:val="000356C4"/>
    <w:rsid w:val="00054118"/>
    <w:rsid w:val="00054457"/>
    <w:rsid w:val="0005592B"/>
    <w:rsid w:val="00056087"/>
    <w:rsid w:val="000611E5"/>
    <w:rsid w:val="000620CC"/>
    <w:rsid w:val="00062BE5"/>
    <w:rsid w:val="00071B94"/>
    <w:rsid w:val="00076EA3"/>
    <w:rsid w:val="00077F42"/>
    <w:rsid w:val="0008089B"/>
    <w:rsid w:val="0008486A"/>
    <w:rsid w:val="00091DAC"/>
    <w:rsid w:val="00093671"/>
    <w:rsid w:val="000A0EDF"/>
    <w:rsid w:val="000A1B81"/>
    <w:rsid w:val="000A3D32"/>
    <w:rsid w:val="000B05DE"/>
    <w:rsid w:val="000B10D5"/>
    <w:rsid w:val="000C752E"/>
    <w:rsid w:val="000D1A42"/>
    <w:rsid w:val="000D4AA6"/>
    <w:rsid w:val="000E51F4"/>
    <w:rsid w:val="000E669E"/>
    <w:rsid w:val="000F1896"/>
    <w:rsid w:val="000F4A03"/>
    <w:rsid w:val="00106142"/>
    <w:rsid w:val="00125132"/>
    <w:rsid w:val="001456E4"/>
    <w:rsid w:val="00147BD5"/>
    <w:rsid w:val="00154C03"/>
    <w:rsid w:val="00162313"/>
    <w:rsid w:val="00166EB3"/>
    <w:rsid w:val="00176C5B"/>
    <w:rsid w:val="00181687"/>
    <w:rsid w:val="00192497"/>
    <w:rsid w:val="00194F8F"/>
    <w:rsid w:val="00194FBA"/>
    <w:rsid w:val="00197FEF"/>
    <w:rsid w:val="001A1962"/>
    <w:rsid w:val="001A3864"/>
    <w:rsid w:val="001A5020"/>
    <w:rsid w:val="001A577B"/>
    <w:rsid w:val="001B0E00"/>
    <w:rsid w:val="001B330E"/>
    <w:rsid w:val="001C176E"/>
    <w:rsid w:val="001C28A7"/>
    <w:rsid w:val="001C55BA"/>
    <w:rsid w:val="001F1A82"/>
    <w:rsid w:val="001F436C"/>
    <w:rsid w:val="001F5479"/>
    <w:rsid w:val="001F77EE"/>
    <w:rsid w:val="002122B0"/>
    <w:rsid w:val="00213E40"/>
    <w:rsid w:val="00225139"/>
    <w:rsid w:val="00233485"/>
    <w:rsid w:val="00234DAF"/>
    <w:rsid w:val="00246727"/>
    <w:rsid w:val="00250890"/>
    <w:rsid w:val="002542D0"/>
    <w:rsid w:val="002649EE"/>
    <w:rsid w:val="002651C7"/>
    <w:rsid w:val="002728D9"/>
    <w:rsid w:val="0027337B"/>
    <w:rsid w:val="002762A6"/>
    <w:rsid w:val="002769D8"/>
    <w:rsid w:val="00283A73"/>
    <w:rsid w:val="00284E16"/>
    <w:rsid w:val="0028583D"/>
    <w:rsid w:val="00290E98"/>
    <w:rsid w:val="002A5F5D"/>
    <w:rsid w:val="002C4E7F"/>
    <w:rsid w:val="002D3A32"/>
    <w:rsid w:val="002D50B1"/>
    <w:rsid w:val="002F2354"/>
    <w:rsid w:val="002F3DEE"/>
    <w:rsid w:val="002F5D98"/>
    <w:rsid w:val="00302F88"/>
    <w:rsid w:val="00304053"/>
    <w:rsid w:val="00313B4D"/>
    <w:rsid w:val="00315B92"/>
    <w:rsid w:val="003173D9"/>
    <w:rsid w:val="003223E9"/>
    <w:rsid w:val="00344455"/>
    <w:rsid w:val="0035264E"/>
    <w:rsid w:val="0036056B"/>
    <w:rsid w:val="003632E8"/>
    <w:rsid w:val="0036608B"/>
    <w:rsid w:val="00370FF3"/>
    <w:rsid w:val="00372E26"/>
    <w:rsid w:val="0037621C"/>
    <w:rsid w:val="003865ED"/>
    <w:rsid w:val="00387477"/>
    <w:rsid w:val="00391898"/>
    <w:rsid w:val="0039642C"/>
    <w:rsid w:val="003B1286"/>
    <w:rsid w:val="003B2D97"/>
    <w:rsid w:val="003B35BB"/>
    <w:rsid w:val="003B702C"/>
    <w:rsid w:val="003C4A05"/>
    <w:rsid w:val="003E5CDF"/>
    <w:rsid w:val="003E7500"/>
    <w:rsid w:val="003F019C"/>
    <w:rsid w:val="003F0E8E"/>
    <w:rsid w:val="003F1690"/>
    <w:rsid w:val="003F5D9D"/>
    <w:rsid w:val="00411061"/>
    <w:rsid w:val="00412639"/>
    <w:rsid w:val="004137F7"/>
    <w:rsid w:val="0041483B"/>
    <w:rsid w:val="0042155F"/>
    <w:rsid w:val="0042568C"/>
    <w:rsid w:val="00432DB4"/>
    <w:rsid w:val="00433F65"/>
    <w:rsid w:val="00441753"/>
    <w:rsid w:val="00442814"/>
    <w:rsid w:val="00443AF2"/>
    <w:rsid w:val="00446D5D"/>
    <w:rsid w:val="0044795B"/>
    <w:rsid w:val="00447B48"/>
    <w:rsid w:val="00454084"/>
    <w:rsid w:val="00456FF5"/>
    <w:rsid w:val="004607BE"/>
    <w:rsid w:val="00461B7B"/>
    <w:rsid w:val="004656ED"/>
    <w:rsid w:val="00466B3F"/>
    <w:rsid w:val="00480856"/>
    <w:rsid w:val="00482333"/>
    <w:rsid w:val="0049022E"/>
    <w:rsid w:val="0049579D"/>
    <w:rsid w:val="004A4C3B"/>
    <w:rsid w:val="004A6A2A"/>
    <w:rsid w:val="004B1F0A"/>
    <w:rsid w:val="004B78CB"/>
    <w:rsid w:val="004C12B6"/>
    <w:rsid w:val="004C5CE9"/>
    <w:rsid w:val="004C67C1"/>
    <w:rsid w:val="004E11C5"/>
    <w:rsid w:val="004E2587"/>
    <w:rsid w:val="004E378F"/>
    <w:rsid w:val="004E4465"/>
    <w:rsid w:val="004E62CE"/>
    <w:rsid w:val="004F3885"/>
    <w:rsid w:val="004F7BD8"/>
    <w:rsid w:val="00501897"/>
    <w:rsid w:val="005041C2"/>
    <w:rsid w:val="00510A4B"/>
    <w:rsid w:val="00511370"/>
    <w:rsid w:val="00513139"/>
    <w:rsid w:val="00536C85"/>
    <w:rsid w:val="00541EBC"/>
    <w:rsid w:val="0054378C"/>
    <w:rsid w:val="00550C64"/>
    <w:rsid w:val="00554B7F"/>
    <w:rsid w:val="005612B9"/>
    <w:rsid w:val="005651E5"/>
    <w:rsid w:val="0057343B"/>
    <w:rsid w:val="00585594"/>
    <w:rsid w:val="00596362"/>
    <w:rsid w:val="005A386D"/>
    <w:rsid w:val="005B1BF6"/>
    <w:rsid w:val="005C4425"/>
    <w:rsid w:val="005D389B"/>
    <w:rsid w:val="005D3CDA"/>
    <w:rsid w:val="005E1993"/>
    <w:rsid w:val="005E30EB"/>
    <w:rsid w:val="00602158"/>
    <w:rsid w:val="00602565"/>
    <w:rsid w:val="00613F4D"/>
    <w:rsid w:val="0061628C"/>
    <w:rsid w:val="006223D5"/>
    <w:rsid w:val="006271CE"/>
    <w:rsid w:val="00630FFD"/>
    <w:rsid w:val="00651AE0"/>
    <w:rsid w:val="00652C20"/>
    <w:rsid w:val="00655F98"/>
    <w:rsid w:val="00660954"/>
    <w:rsid w:val="00673675"/>
    <w:rsid w:val="00681CD6"/>
    <w:rsid w:val="00683F2A"/>
    <w:rsid w:val="00693C55"/>
    <w:rsid w:val="006949BB"/>
    <w:rsid w:val="00696106"/>
    <w:rsid w:val="006A1D79"/>
    <w:rsid w:val="006A2DB3"/>
    <w:rsid w:val="006A567E"/>
    <w:rsid w:val="006B0E39"/>
    <w:rsid w:val="006B21BE"/>
    <w:rsid w:val="006C5889"/>
    <w:rsid w:val="006C739F"/>
    <w:rsid w:val="006D20AB"/>
    <w:rsid w:val="006D5868"/>
    <w:rsid w:val="006D7354"/>
    <w:rsid w:val="006E47D8"/>
    <w:rsid w:val="006F0269"/>
    <w:rsid w:val="006F1E52"/>
    <w:rsid w:val="006F5975"/>
    <w:rsid w:val="006F7003"/>
    <w:rsid w:val="00700182"/>
    <w:rsid w:val="0070655B"/>
    <w:rsid w:val="00711C5F"/>
    <w:rsid w:val="007123B0"/>
    <w:rsid w:val="00712BF2"/>
    <w:rsid w:val="00712F77"/>
    <w:rsid w:val="007156DD"/>
    <w:rsid w:val="00726242"/>
    <w:rsid w:val="00726511"/>
    <w:rsid w:val="007347D3"/>
    <w:rsid w:val="00740CD4"/>
    <w:rsid w:val="0074228D"/>
    <w:rsid w:val="00752E46"/>
    <w:rsid w:val="00762D1F"/>
    <w:rsid w:val="00767E09"/>
    <w:rsid w:val="007927DE"/>
    <w:rsid w:val="007939DC"/>
    <w:rsid w:val="00794740"/>
    <w:rsid w:val="00797771"/>
    <w:rsid w:val="00797E3D"/>
    <w:rsid w:val="007A1950"/>
    <w:rsid w:val="007A3A7C"/>
    <w:rsid w:val="007C11B2"/>
    <w:rsid w:val="007C3FD4"/>
    <w:rsid w:val="007D0907"/>
    <w:rsid w:val="007D1E17"/>
    <w:rsid w:val="007E2080"/>
    <w:rsid w:val="00800884"/>
    <w:rsid w:val="00801A1D"/>
    <w:rsid w:val="00801B6E"/>
    <w:rsid w:val="00804673"/>
    <w:rsid w:val="00805C6B"/>
    <w:rsid w:val="0080607A"/>
    <w:rsid w:val="00815053"/>
    <w:rsid w:val="00815BB9"/>
    <w:rsid w:val="008210DC"/>
    <w:rsid w:val="00830D96"/>
    <w:rsid w:val="00834ACB"/>
    <w:rsid w:val="0084615A"/>
    <w:rsid w:val="00846D41"/>
    <w:rsid w:val="00850BE9"/>
    <w:rsid w:val="00852AC7"/>
    <w:rsid w:val="00854448"/>
    <w:rsid w:val="008562DA"/>
    <w:rsid w:val="00856386"/>
    <w:rsid w:val="008570D0"/>
    <w:rsid w:val="00864643"/>
    <w:rsid w:val="008657E1"/>
    <w:rsid w:val="008715F6"/>
    <w:rsid w:val="00873A65"/>
    <w:rsid w:val="00875D79"/>
    <w:rsid w:val="008808A3"/>
    <w:rsid w:val="00881F02"/>
    <w:rsid w:val="0089746C"/>
    <w:rsid w:val="008979A4"/>
    <w:rsid w:val="008A5EFD"/>
    <w:rsid w:val="008B2076"/>
    <w:rsid w:val="008B4E15"/>
    <w:rsid w:val="008B587E"/>
    <w:rsid w:val="008B6A03"/>
    <w:rsid w:val="008C0596"/>
    <w:rsid w:val="008C30DF"/>
    <w:rsid w:val="008C6F6A"/>
    <w:rsid w:val="008D16DC"/>
    <w:rsid w:val="008D221D"/>
    <w:rsid w:val="008E00B4"/>
    <w:rsid w:val="008E750A"/>
    <w:rsid w:val="008F5037"/>
    <w:rsid w:val="008F5806"/>
    <w:rsid w:val="009004E7"/>
    <w:rsid w:val="00913C76"/>
    <w:rsid w:val="0091632A"/>
    <w:rsid w:val="00922233"/>
    <w:rsid w:val="00924474"/>
    <w:rsid w:val="00927487"/>
    <w:rsid w:val="00934DA6"/>
    <w:rsid w:val="00940983"/>
    <w:rsid w:val="00950813"/>
    <w:rsid w:val="00954FAA"/>
    <w:rsid w:val="0096194A"/>
    <w:rsid w:val="0096311F"/>
    <w:rsid w:val="00971535"/>
    <w:rsid w:val="0097381E"/>
    <w:rsid w:val="0097402E"/>
    <w:rsid w:val="0097580E"/>
    <w:rsid w:val="00980873"/>
    <w:rsid w:val="00982127"/>
    <w:rsid w:val="00987F04"/>
    <w:rsid w:val="00993457"/>
    <w:rsid w:val="0099611D"/>
    <w:rsid w:val="009A397A"/>
    <w:rsid w:val="009B4100"/>
    <w:rsid w:val="009B5044"/>
    <w:rsid w:val="009B520F"/>
    <w:rsid w:val="009C6EFA"/>
    <w:rsid w:val="009D046F"/>
    <w:rsid w:val="009E75EE"/>
    <w:rsid w:val="009F608C"/>
    <w:rsid w:val="00A23BFF"/>
    <w:rsid w:val="00A2777F"/>
    <w:rsid w:val="00A42C45"/>
    <w:rsid w:val="00A45420"/>
    <w:rsid w:val="00A55533"/>
    <w:rsid w:val="00A61687"/>
    <w:rsid w:val="00A620A2"/>
    <w:rsid w:val="00A64E5A"/>
    <w:rsid w:val="00A662EB"/>
    <w:rsid w:val="00A7564E"/>
    <w:rsid w:val="00A75FEF"/>
    <w:rsid w:val="00A81A31"/>
    <w:rsid w:val="00A8328D"/>
    <w:rsid w:val="00A90BB8"/>
    <w:rsid w:val="00A934A8"/>
    <w:rsid w:val="00A95922"/>
    <w:rsid w:val="00A96883"/>
    <w:rsid w:val="00A97231"/>
    <w:rsid w:val="00AB3424"/>
    <w:rsid w:val="00AB3EC2"/>
    <w:rsid w:val="00AC261D"/>
    <w:rsid w:val="00AD1B96"/>
    <w:rsid w:val="00AE148D"/>
    <w:rsid w:val="00AF0CF6"/>
    <w:rsid w:val="00AF48CF"/>
    <w:rsid w:val="00B00E23"/>
    <w:rsid w:val="00B0605B"/>
    <w:rsid w:val="00B31BA1"/>
    <w:rsid w:val="00B36E8E"/>
    <w:rsid w:val="00B51E02"/>
    <w:rsid w:val="00B55E72"/>
    <w:rsid w:val="00B66B46"/>
    <w:rsid w:val="00B76B98"/>
    <w:rsid w:val="00B8495B"/>
    <w:rsid w:val="00B87F52"/>
    <w:rsid w:val="00B933B3"/>
    <w:rsid w:val="00BA2C07"/>
    <w:rsid w:val="00BA5230"/>
    <w:rsid w:val="00BA74DD"/>
    <w:rsid w:val="00BB368B"/>
    <w:rsid w:val="00BB476F"/>
    <w:rsid w:val="00BB4C6F"/>
    <w:rsid w:val="00BC4072"/>
    <w:rsid w:val="00BC7F4A"/>
    <w:rsid w:val="00BD615A"/>
    <w:rsid w:val="00BD77ED"/>
    <w:rsid w:val="00BE4572"/>
    <w:rsid w:val="00BF1601"/>
    <w:rsid w:val="00BF5266"/>
    <w:rsid w:val="00BF7EA9"/>
    <w:rsid w:val="00C21083"/>
    <w:rsid w:val="00C22448"/>
    <w:rsid w:val="00C268A3"/>
    <w:rsid w:val="00C32E7C"/>
    <w:rsid w:val="00C333F2"/>
    <w:rsid w:val="00C36900"/>
    <w:rsid w:val="00C45FE5"/>
    <w:rsid w:val="00C504F2"/>
    <w:rsid w:val="00C57307"/>
    <w:rsid w:val="00C719CE"/>
    <w:rsid w:val="00C84B72"/>
    <w:rsid w:val="00C91C77"/>
    <w:rsid w:val="00C95FE5"/>
    <w:rsid w:val="00CA0F89"/>
    <w:rsid w:val="00CA645C"/>
    <w:rsid w:val="00CB0E10"/>
    <w:rsid w:val="00CB274D"/>
    <w:rsid w:val="00CC0505"/>
    <w:rsid w:val="00CC315A"/>
    <w:rsid w:val="00CC641F"/>
    <w:rsid w:val="00CE4E02"/>
    <w:rsid w:val="00CE6349"/>
    <w:rsid w:val="00CE73D3"/>
    <w:rsid w:val="00CE78F2"/>
    <w:rsid w:val="00CF2F58"/>
    <w:rsid w:val="00D00E5A"/>
    <w:rsid w:val="00D02DB6"/>
    <w:rsid w:val="00D129CE"/>
    <w:rsid w:val="00D22FA2"/>
    <w:rsid w:val="00D330C6"/>
    <w:rsid w:val="00D3522B"/>
    <w:rsid w:val="00D43DCB"/>
    <w:rsid w:val="00D4540C"/>
    <w:rsid w:val="00D462DF"/>
    <w:rsid w:val="00D54B20"/>
    <w:rsid w:val="00D73799"/>
    <w:rsid w:val="00D73B9C"/>
    <w:rsid w:val="00D73C2E"/>
    <w:rsid w:val="00D80274"/>
    <w:rsid w:val="00D8395F"/>
    <w:rsid w:val="00D83B67"/>
    <w:rsid w:val="00D83E33"/>
    <w:rsid w:val="00D87F69"/>
    <w:rsid w:val="00D92084"/>
    <w:rsid w:val="00D95ABB"/>
    <w:rsid w:val="00D95E75"/>
    <w:rsid w:val="00DA2F01"/>
    <w:rsid w:val="00DB0A34"/>
    <w:rsid w:val="00DB17D0"/>
    <w:rsid w:val="00DB1BC8"/>
    <w:rsid w:val="00DB34A6"/>
    <w:rsid w:val="00DC73F8"/>
    <w:rsid w:val="00DD4690"/>
    <w:rsid w:val="00DE1359"/>
    <w:rsid w:val="00DE2671"/>
    <w:rsid w:val="00DE3B8A"/>
    <w:rsid w:val="00DE4054"/>
    <w:rsid w:val="00DE54CF"/>
    <w:rsid w:val="00DE7456"/>
    <w:rsid w:val="00DF018C"/>
    <w:rsid w:val="00E03694"/>
    <w:rsid w:val="00E03E99"/>
    <w:rsid w:val="00E05C80"/>
    <w:rsid w:val="00E05F77"/>
    <w:rsid w:val="00E21E98"/>
    <w:rsid w:val="00E247F2"/>
    <w:rsid w:val="00E300AD"/>
    <w:rsid w:val="00E31D6A"/>
    <w:rsid w:val="00E34AC8"/>
    <w:rsid w:val="00E4469C"/>
    <w:rsid w:val="00E45645"/>
    <w:rsid w:val="00E52F06"/>
    <w:rsid w:val="00E5315A"/>
    <w:rsid w:val="00E61AFF"/>
    <w:rsid w:val="00E67525"/>
    <w:rsid w:val="00E7022D"/>
    <w:rsid w:val="00E71817"/>
    <w:rsid w:val="00E73AE3"/>
    <w:rsid w:val="00E73E26"/>
    <w:rsid w:val="00E77B39"/>
    <w:rsid w:val="00E81DE4"/>
    <w:rsid w:val="00E837F2"/>
    <w:rsid w:val="00E970D2"/>
    <w:rsid w:val="00EA10CF"/>
    <w:rsid w:val="00EB510C"/>
    <w:rsid w:val="00ED077A"/>
    <w:rsid w:val="00ED14F9"/>
    <w:rsid w:val="00ED180C"/>
    <w:rsid w:val="00ED1C2B"/>
    <w:rsid w:val="00ED1D85"/>
    <w:rsid w:val="00ED6811"/>
    <w:rsid w:val="00ED76F7"/>
    <w:rsid w:val="00EE1C40"/>
    <w:rsid w:val="00EE2F32"/>
    <w:rsid w:val="00F010AF"/>
    <w:rsid w:val="00F0643F"/>
    <w:rsid w:val="00F1145B"/>
    <w:rsid w:val="00F17B02"/>
    <w:rsid w:val="00F22D25"/>
    <w:rsid w:val="00F279EA"/>
    <w:rsid w:val="00F4608A"/>
    <w:rsid w:val="00F50676"/>
    <w:rsid w:val="00F56971"/>
    <w:rsid w:val="00F64E32"/>
    <w:rsid w:val="00F77533"/>
    <w:rsid w:val="00F82C6A"/>
    <w:rsid w:val="00F8467C"/>
    <w:rsid w:val="00F85CCF"/>
    <w:rsid w:val="00F90A0B"/>
    <w:rsid w:val="00F92607"/>
    <w:rsid w:val="00F945F7"/>
    <w:rsid w:val="00FA2F22"/>
    <w:rsid w:val="00FA4E8A"/>
    <w:rsid w:val="00FA7D4D"/>
    <w:rsid w:val="00FB108F"/>
    <w:rsid w:val="00FB3E25"/>
    <w:rsid w:val="00FB6772"/>
    <w:rsid w:val="00FC49E5"/>
    <w:rsid w:val="00FD0087"/>
    <w:rsid w:val="00FD7557"/>
    <w:rsid w:val="00FE0182"/>
    <w:rsid w:val="00FE15F2"/>
    <w:rsid w:val="00FE2CDF"/>
    <w:rsid w:val="00FE2D96"/>
    <w:rsid w:val="00FE3A14"/>
    <w:rsid w:val="00FF7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1DE"/>
  <w15:docId w15:val="{5B990CB7-42C9-4DCE-86B8-1CBECF78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numbers"/>
    <w:qFormat/>
    <w:rsid w:val="00EE2F32"/>
    <w:rPr>
      <w:lang w:eastAsia="en-US"/>
    </w:rPr>
  </w:style>
  <w:style w:type="paragraph" w:styleId="Heading1">
    <w:name w:val="heading 1"/>
    <w:basedOn w:val="Normal"/>
    <w:next w:val="Normal"/>
    <w:link w:val="Heading1Char1"/>
    <w:uiPriority w:val="9"/>
    <w:qFormat/>
    <w:rsid w:val="00F1145B"/>
    <w:pPr>
      <w:keepNext/>
      <w:widowControl w:val="0"/>
      <w:numPr>
        <w:numId w:val="2"/>
      </w:numPr>
      <w:spacing w:before="480" w:after="240"/>
      <w:outlineLvl w:val="0"/>
    </w:pPr>
    <w:rPr>
      <w:b/>
      <w:kern w:val="28"/>
      <w:sz w:val="20"/>
    </w:rPr>
  </w:style>
  <w:style w:type="paragraph" w:styleId="Heading2">
    <w:name w:val="heading 2"/>
    <w:basedOn w:val="Normal"/>
    <w:next w:val="Normal"/>
    <w:link w:val="Heading2Char"/>
    <w:uiPriority w:val="9"/>
    <w:semiHidden/>
    <w:unhideWhenUsed/>
    <w:qFormat/>
    <w:rsid w:val="00B27C8E"/>
    <w:pPr>
      <w:keepNext/>
      <w:numPr>
        <w:ilvl w:val="1"/>
        <w:numId w:val="2"/>
      </w:numPr>
      <w:spacing w:before="240" w:after="60"/>
      <w:outlineLvl w:val="1"/>
    </w:pPr>
    <w:rPr>
      <w:b/>
      <w:i/>
      <w:sz w:val="24"/>
    </w:rPr>
  </w:style>
  <w:style w:type="paragraph" w:styleId="Heading3">
    <w:name w:val="heading 3"/>
    <w:basedOn w:val="Normal"/>
    <w:next w:val="Normal"/>
    <w:link w:val="Heading3Char"/>
    <w:uiPriority w:val="9"/>
    <w:semiHidden/>
    <w:unhideWhenUsed/>
    <w:qFormat/>
    <w:rsid w:val="00B27C8E"/>
    <w:pPr>
      <w:keepNext/>
      <w:keepLines/>
      <w:numPr>
        <w:ilvl w:val="2"/>
        <w:numId w:val="2"/>
      </w:numPr>
      <w:tabs>
        <w:tab w:val="left" w:pos="2483"/>
        <w:tab w:val="left" w:pos="4154"/>
        <w:tab w:val="left" w:pos="5963"/>
        <w:tab w:val="left" w:pos="7495"/>
        <w:tab w:val="left" w:pos="9192"/>
      </w:tabs>
      <w:outlineLvl w:val="2"/>
    </w:pPr>
    <w:rPr>
      <w:b/>
    </w:rPr>
  </w:style>
  <w:style w:type="paragraph" w:styleId="Heading4">
    <w:name w:val="heading 4"/>
    <w:basedOn w:val="Normal"/>
    <w:next w:val="Normal"/>
    <w:link w:val="Heading4Char"/>
    <w:uiPriority w:val="9"/>
    <w:semiHidden/>
    <w:unhideWhenUsed/>
    <w:qFormat/>
    <w:rsid w:val="00B27C8E"/>
    <w:pPr>
      <w:keepNext/>
      <w:numPr>
        <w:ilvl w:val="3"/>
        <w:numId w:val="2"/>
      </w:numPr>
      <w:outlineLvl w:val="3"/>
    </w:pPr>
    <w:rPr>
      <w:u w:val="single"/>
    </w:rPr>
  </w:style>
  <w:style w:type="paragraph" w:styleId="Heading5">
    <w:name w:val="heading 5"/>
    <w:basedOn w:val="Normal"/>
    <w:next w:val="Normal"/>
    <w:link w:val="Heading5Char"/>
    <w:uiPriority w:val="9"/>
    <w:semiHidden/>
    <w:unhideWhenUsed/>
    <w:qFormat/>
    <w:rsid w:val="00B27C8E"/>
    <w:pPr>
      <w:keepNext/>
      <w:numPr>
        <w:ilvl w:val="4"/>
        <w:numId w:val="2"/>
      </w:numPr>
      <w:spacing w:after="240"/>
      <w:jc w:val="both"/>
      <w:outlineLvl w:val="4"/>
    </w:pPr>
    <w:rPr>
      <w:sz w:val="24"/>
    </w:rPr>
  </w:style>
  <w:style w:type="paragraph" w:styleId="Heading6">
    <w:name w:val="heading 6"/>
    <w:basedOn w:val="Normal"/>
    <w:next w:val="Normal"/>
    <w:link w:val="Heading6Char"/>
    <w:uiPriority w:val="9"/>
    <w:semiHidden/>
    <w:unhideWhenUsed/>
    <w:qFormat/>
    <w:rsid w:val="00B27C8E"/>
    <w:pPr>
      <w:keepNext/>
      <w:keepLines/>
      <w:numPr>
        <w:ilvl w:val="5"/>
        <w:numId w:val="2"/>
      </w:numPr>
      <w:outlineLvl w:val="5"/>
    </w:pPr>
    <w:rPr>
      <w:b/>
    </w:rPr>
  </w:style>
  <w:style w:type="paragraph" w:styleId="Heading7">
    <w:name w:val="heading 7"/>
    <w:basedOn w:val="Normal"/>
    <w:next w:val="Normal"/>
    <w:link w:val="Heading7Char"/>
    <w:qFormat/>
    <w:rsid w:val="00B27C8E"/>
    <w:pPr>
      <w:keepNext/>
      <w:numPr>
        <w:ilvl w:val="6"/>
        <w:numId w:val="2"/>
      </w:numPr>
      <w:outlineLvl w:val="6"/>
    </w:pPr>
    <w:rPr>
      <w:b/>
      <w:sz w:val="24"/>
    </w:rPr>
  </w:style>
  <w:style w:type="paragraph" w:styleId="Heading8">
    <w:name w:val="heading 8"/>
    <w:basedOn w:val="Normal"/>
    <w:next w:val="Normal"/>
    <w:link w:val="Heading8Char"/>
    <w:qFormat/>
    <w:rsid w:val="00B27C8E"/>
    <w:pPr>
      <w:keepNext/>
      <w:keepLines/>
      <w:numPr>
        <w:ilvl w:val="7"/>
        <w:numId w:val="2"/>
      </w:numPr>
      <w:outlineLvl w:val="7"/>
    </w:pPr>
    <w:rPr>
      <w:b/>
    </w:rPr>
  </w:style>
  <w:style w:type="paragraph" w:styleId="Heading9">
    <w:name w:val="heading 9"/>
    <w:basedOn w:val="Normal"/>
    <w:next w:val="Normal"/>
    <w:link w:val="Heading9Char"/>
    <w:qFormat/>
    <w:rsid w:val="00B27C8E"/>
    <w:pPr>
      <w:keepNext/>
      <w:keepLines/>
      <w:numPr>
        <w:ilvl w:val="8"/>
        <w:numId w:val="2"/>
      </w:numPr>
      <w:ind w:right="7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itreABC2">
    <w:name w:val="Titre ABC2"/>
    <w:basedOn w:val="Index2"/>
    <w:rsid w:val="00B27C8E"/>
    <w:pPr>
      <w:ind w:left="198" w:hanging="198"/>
    </w:pPr>
    <w:rPr>
      <w:b/>
      <w:lang w:val="en-US"/>
    </w:rPr>
  </w:style>
  <w:style w:type="paragraph" w:styleId="Index2">
    <w:name w:val="index 2"/>
    <w:basedOn w:val="Normal"/>
    <w:next w:val="Normal"/>
    <w:semiHidden/>
    <w:rsid w:val="00B27C8E"/>
    <w:pPr>
      <w:tabs>
        <w:tab w:val="right" w:leader="dot" w:pos="8782"/>
      </w:tabs>
      <w:ind w:left="400" w:hanging="200"/>
    </w:pPr>
  </w:style>
  <w:style w:type="paragraph" w:customStyle="1" w:styleId="ABCTitle">
    <w:name w:val="ABC Title"/>
    <w:basedOn w:val="Heading2"/>
    <w:rsid w:val="00B27C8E"/>
    <w:pPr>
      <w:tabs>
        <w:tab w:val="left" w:pos="2268"/>
      </w:tabs>
      <w:spacing w:before="60" w:after="0"/>
      <w:outlineLvl w:val="9"/>
    </w:pPr>
    <w:rPr>
      <w:i w:val="0"/>
      <w:smallCaps/>
      <w:sz w:val="20"/>
      <w:lang w:val="en-US"/>
    </w:rPr>
  </w:style>
  <w:style w:type="paragraph" w:customStyle="1" w:styleId="Name">
    <w:name w:val="Name"/>
    <w:rsid w:val="00B27C8E"/>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b/>
      <w:smallCaps/>
      <w:spacing w:val="-2"/>
      <w:sz w:val="22"/>
      <w:lang w:eastAsia="en-US"/>
    </w:rPr>
  </w:style>
  <w:style w:type="paragraph" w:styleId="Index1">
    <w:name w:val="index 1"/>
    <w:basedOn w:val="Normal"/>
    <w:next w:val="Normal"/>
    <w:autoRedefine/>
    <w:semiHidden/>
    <w:rsid w:val="00003DD8"/>
    <w:pPr>
      <w:widowControl w:val="0"/>
      <w:jc w:val="center"/>
    </w:pPr>
    <w:rPr>
      <w:b/>
    </w:rPr>
  </w:style>
  <w:style w:type="paragraph" w:styleId="TOC1">
    <w:name w:val="toc 1"/>
    <w:basedOn w:val="Normal"/>
    <w:next w:val="Normal"/>
    <w:autoRedefine/>
    <w:uiPriority w:val="39"/>
    <w:rsid w:val="00181687"/>
    <w:pPr>
      <w:tabs>
        <w:tab w:val="left" w:pos="567"/>
        <w:tab w:val="right" w:leader="dot" w:pos="9345"/>
      </w:tabs>
    </w:pPr>
    <w:rPr>
      <w:rFonts w:hAnsi="Times New Roman Bold"/>
      <w:noProof/>
      <w:sz w:val="20"/>
    </w:rPr>
  </w:style>
  <w:style w:type="paragraph" w:styleId="TOC2">
    <w:name w:val="toc 2"/>
    <w:basedOn w:val="Normal"/>
    <w:next w:val="Normal"/>
    <w:autoRedefine/>
    <w:semiHidden/>
    <w:rsid w:val="00B27C8E"/>
    <w:pPr>
      <w:ind w:left="200"/>
    </w:pPr>
    <w:rPr>
      <w:smallCaps/>
    </w:rPr>
  </w:style>
  <w:style w:type="paragraph" w:styleId="Header">
    <w:name w:val="header"/>
    <w:basedOn w:val="Normal"/>
    <w:link w:val="HeaderChar"/>
    <w:uiPriority w:val="99"/>
    <w:rsid w:val="00B27C8E"/>
    <w:pPr>
      <w:pBdr>
        <w:bottom w:val="single" w:sz="6" w:space="1" w:color="auto"/>
      </w:pBdr>
      <w:tabs>
        <w:tab w:val="center" w:pos="4153"/>
        <w:tab w:val="right" w:pos="8306"/>
      </w:tabs>
      <w:jc w:val="both"/>
    </w:pPr>
    <w:rPr>
      <w:sz w:val="16"/>
    </w:rPr>
  </w:style>
  <w:style w:type="character" w:styleId="PageNumber">
    <w:name w:val="page number"/>
    <w:basedOn w:val="DefaultParagraphFont"/>
    <w:rsid w:val="00B27C8E"/>
    <w:rPr>
      <w:rFonts w:ascii="Arial" w:hAnsi="Arial"/>
    </w:rPr>
  </w:style>
  <w:style w:type="paragraph" w:styleId="Footer">
    <w:name w:val="footer"/>
    <w:basedOn w:val="Normal"/>
    <w:link w:val="FooterChar"/>
    <w:uiPriority w:val="99"/>
    <w:rsid w:val="00B27C8E"/>
    <w:pPr>
      <w:tabs>
        <w:tab w:val="center" w:pos="4153"/>
        <w:tab w:val="right" w:pos="8306"/>
      </w:tabs>
      <w:jc w:val="both"/>
    </w:pPr>
  </w:style>
  <w:style w:type="paragraph" w:styleId="FootnoteText">
    <w:name w:val="footnote text"/>
    <w:basedOn w:val="Normal"/>
    <w:link w:val="FootnoteTextChar"/>
    <w:semiHidden/>
    <w:rsid w:val="00B27C8E"/>
  </w:style>
  <w:style w:type="character" w:styleId="FootnoteReference">
    <w:name w:val="footnote reference"/>
    <w:basedOn w:val="DefaultParagraphFont"/>
    <w:semiHidden/>
    <w:rsid w:val="00B27C8E"/>
    <w:rPr>
      <w:vertAlign w:val="superscript"/>
    </w:rPr>
  </w:style>
  <w:style w:type="paragraph" w:styleId="TOC3">
    <w:name w:val="toc 3"/>
    <w:basedOn w:val="Normal"/>
    <w:next w:val="Normal"/>
    <w:autoRedefine/>
    <w:semiHidden/>
    <w:rsid w:val="00B27C8E"/>
    <w:pPr>
      <w:ind w:left="400"/>
    </w:pPr>
    <w:rPr>
      <w:i/>
    </w:rPr>
  </w:style>
  <w:style w:type="paragraph" w:customStyle="1" w:styleId="ABC-paragrahinNotes">
    <w:name w:val="ABC - paragrah in Notes"/>
    <w:link w:val="ABC-paragrahinNotesChar1"/>
    <w:qFormat/>
    <w:rsid w:val="00B27C8E"/>
    <w:pPr>
      <w:spacing w:after="240"/>
      <w:jc w:val="both"/>
    </w:pPr>
    <w:rPr>
      <w:lang w:eastAsia="en-US"/>
    </w:rPr>
  </w:style>
  <w:style w:type="paragraph" w:customStyle="1" w:styleId="ABC-BulletsinNotes">
    <w:name w:val="ABC - Bullets in Notes"/>
    <w:rsid w:val="00B27C8E"/>
    <w:pPr>
      <w:numPr>
        <w:numId w:val="8"/>
      </w:numPr>
      <w:tabs>
        <w:tab w:val="left" w:pos="851"/>
      </w:tabs>
      <w:spacing w:after="240"/>
      <w:jc w:val="both"/>
    </w:pPr>
    <w:rPr>
      <w:lang w:eastAsia="en-US"/>
    </w:rPr>
  </w:style>
  <w:style w:type="paragraph" w:styleId="TOC4">
    <w:name w:val="toc 4"/>
    <w:basedOn w:val="Normal"/>
    <w:next w:val="Normal"/>
    <w:autoRedefine/>
    <w:semiHidden/>
    <w:rsid w:val="00B27C8E"/>
    <w:pPr>
      <w:ind w:left="600"/>
    </w:pPr>
  </w:style>
  <w:style w:type="paragraph" w:styleId="TOC5">
    <w:name w:val="toc 5"/>
    <w:basedOn w:val="Normal"/>
    <w:next w:val="Normal"/>
    <w:autoRedefine/>
    <w:semiHidden/>
    <w:rsid w:val="00B27C8E"/>
    <w:pPr>
      <w:ind w:left="800"/>
    </w:pPr>
  </w:style>
  <w:style w:type="paragraph" w:styleId="TOC6">
    <w:name w:val="toc 6"/>
    <w:basedOn w:val="Normal"/>
    <w:next w:val="Normal"/>
    <w:autoRedefine/>
    <w:semiHidden/>
    <w:rsid w:val="00B27C8E"/>
    <w:pPr>
      <w:ind w:left="1000"/>
    </w:pPr>
  </w:style>
  <w:style w:type="paragraph" w:styleId="TOC7">
    <w:name w:val="toc 7"/>
    <w:basedOn w:val="Normal"/>
    <w:next w:val="Normal"/>
    <w:autoRedefine/>
    <w:semiHidden/>
    <w:rsid w:val="00B27C8E"/>
    <w:pPr>
      <w:ind w:left="1200"/>
    </w:pPr>
  </w:style>
  <w:style w:type="paragraph" w:styleId="TOC8">
    <w:name w:val="toc 8"/>
    <w:basedOn w:val="Normal"/>
    <w:next w:val="Normal"/>
    <w:autoRedefine/>
    <w:semiHidden/>
    <w:rsid w:val="00B27C8E"/>
    <w:pPr>
      <w:ind w:left="1400"/>
    </w:pPr>
  </w:style>
  <w:style w:type="paragraph" w:styleId="TOC9">
    <w:name w:val="toc 9"/>
    <w:basedOn w:val="Normal"/>
    <w:next w:val="Normal"/>
    <w:autoRedefine/>
    <w:semiHidden/>
    <w:rsid w:val="00B27C8E"/>
    <w:pPr>
      <w:ind w:left="1600"/>
    </w:pPr>
  </w:style>
  <w:style w:type="paragraph" w:customStyle="1" w:styleId="Address">
    <w:name w:val="Address"/>
    <w:basedOn w:val="Normal"/>
    <w:rsid w:val="00B27C8E"/>
    <w:pPr>
      <w:framePr w:w="3005" w:hSpace="181" w:vSpace="181" w:wrap="around" w:hAnchor="page" w:xAlign="right" w:yAlign="top"/>
      <w:pBdr>
        <w:left w:val="single" w:sz="4" w:space="9" w:color="auto"/>
      </w:pBdr>
      <w:spacing w:line="200" w:lineRule="exact"/>
    </w:pPr>
    <w:rPr>
      <w:sz w:val="16"/>
    </w:rPr>
  </w:style>
  <w:style w:type="paragraph" w:customStyle="1" w:styleId="ABCFootnote">
    <w:name w:val="ABC Footnote"/>
    <w:basedOn w:val="FootnoteText"/>
    <w:rsid w:val="00B27C8E"/>
  </w:style>
  <w:style w:type="paragraph" w:customStyle="1" w:styleId="ABCNotes">
    <w:name w:val="ABC Notes"/>
    <w:basedOn w:val="Normal"/>
    <w:rsid w:val="00B27C8E"/>
    <w:pPr>
      <w:keepNext/>
      <w:keepLines/>
      <w:numPr>
        <w:numId w:val="1"/>
      </w:numPr>
      <w:spacing w:before="240" w:after="240"/>
    </w:pPr>
    <w:rPr>
      <w:b/>
    </w:rPr>
  </w:style>
  <w:style w:type="paragraph" w:styleId="DocumentMap">
    <w:name w:val="Document Map"/>
    <w:basedOn w:val="Normal"/>
    <w:link w:val="DocumentMapChar"/>
    <w:semiHidden/>
    <w:rsid w:val="00B27C8E"/>
    <w:pPr>
      <w:shd w:val="clear" w:color="auto" w:fill="000080"/>
    </w:pPr>
    <w:rPr>
      <w:rFonts w:ascii="Tahoma" w:hAnsi="Tahoma"/>
    </w:rPr>
  </w:style>
  <w:style w:type="paragraph" w:styleId="BodyText">
    <w:name w:val="Body Text"/>
    <w:basedOn w:val="Normal"/>
    <w:link w:val="BodyTextChar"/>
    <w:rsid w:val="00B27C8E"/>
    <w:pPr>
      <w:widowControl w:val="0"/>
      <w:suppressLineNumbers/>
      <w:ind w:right="1"/>
      <w:jc w:val="both"/>
    </w:pPr>
  </w:style>
  <w:style w:type="paragraph" w:styleId="BodyText2">
    <w:name w:val="Body Text 2"/>
    <w:basedOn w:val="Normal"/>
    <w:link w:val="BodyText2Char"/>
    <w:rsid w:val="00B27C8E"/>
    <w:pPr>
      <w:tabs>
        <w:tab w:val="center" w:pos="2835"/>
        <w:tab w:val="right" w:pos="5529"/>
        <w:tab w:val="center" w:pos="5812"/>
        <w:tab w:val="right" w:pos="8788"/>
      </w:tabs>
    </w:pPr>
    <w:rPr>
      <w:i/>
    </w:rPr>
  </w:style>
  <w:style w:type="paragraph" w:styleId="BodyText3">
    <w:name w:val="Body Text 3"/>
    <w:basedOn w:val="Normal"/>
    <w:link w:val="BodyText3Char"/>
    <w:rsid w:val="00B27C8E"/>
    <w:pPr>
      <w:jc w:val="both"/>
    </w:pPr>
    <w:rPr>
      <w:i/>
    </w:rPr>
  </w:style>
  <w:style w:type="paragraph" w:customStyle="1" w:styleId="RICK1">
    <w:name w:val="RICK 1"/>
    <w:rsid w:val="00B27C8E"/>
    <w:pPr>
      <w:tabs>
        <w:tab w:val="left" w:pos="-720"/>
      </w:tabs>
      <w:suppressAutoHyphens/>
    </w:pPr>
    <w:rPr>
      <w:lang w:val="en-US" w:eastAsia="en-US"/>
    </w:rPr>
  </w:style>
  <w:style w:type="paragraph" w:customStyle="1" w:styleId="RightPar4">
    <w:name w:val="Right Par 4"/>
    <w:rsid w:val="00B27C8E"/>
    <w:pPr>
      <w:tabs>
        <w:tab w:val="left" w:pos="-720"/>
        <w:tab w:val="left" w:pos="0"/>
        <w:tab w:val="left" w:pos="720"/>
        <w:tab w:val="left" w:pos="1440"/>
        <w:tab w:val="left" w:pos="2160"/>
        <w:tab w:val="decimal" w:pos="2880"/>
      </w:tabs>
      <w:suppressAutoHyphens/>
      <w:ind w:left="2880" w:hanging="432"/>
    </w:pPr>
    <w:rPr>
      <w:rFonts w:ascii="Swiss Light 10pt" w:hAnsi="Swiss Light 10pt"/>
      <w:lang w:val="en-US" w:eastAsia="en-US"/>
    </w:rPr>
  </w:style>
  <w:style w:type="paragraph" w:customStyle="1" w:styleId="Bullet">
    <w:name w:val="Bullet"/>
    <w:basedOn w:val="Normal"/>
    <w:rsid w:val="00B27C8E"/>
    <w:pPr>
      <w:ind w:left="432" w:hanging="432"/>
    </w:pPr>
  </w:style>
  <w:style w:type="paragraph" w:styleId="BodyTextIndent">
    <w:name w:val="Body Text Indent"/>
    <w:basedOn w:val="Normal"/>
    <w:link w:val="BodyTextIndentChar"/>
    <w:rsid w:val="00B27C8E"/>
    <w:pPr>
      <w:spacing w:after="240"/>
      <w:ind w:left="357"/>
      <w:jc w:val="both"/>
    </w:pPr>
  </w:style>
  <w:style w:type="paragraph" w:customStyle="1" w:styleId="Continued">
    <w:name w:val="Continued"/>
    <w:qFormat/>
    <w:rsid w:val="00F1145B"/>
    <w:pPr>
      <w:pageBreakBefore/>
      <w:widowControl w:val="0"/>
      <w:tabs>
        <w:tab w:val="left" w:pos="567"/>
      </w:tabs>
      <w:spacing w:after="240"/>
      <w:jc w:val="both"/>
    </w:pPr>
    <w:rPr>
      <w:b/>
      <w:sz w:val="20"/>
      <w:lang w:val="en-US" w:eastAsia="en-US"/>
    </w:rPr>
  </w:style>
  <w:style w:type="paragraph" w:customStyle="1" w:styleId="Report">
    <w:name w:val="Report"/>
    <w:rsid w:val="00B27C8E"/>
    <w:pPr>
      <w:numPr>
        <w:numId w:val="4"/>
      </w:numPr>
      <w:spacing w:after="240"/>
      <w:jc w:val="both"/>
    </w:pPr>
    <w:rPr>
      <w:snapToGrid w:val="0"/>
      <w:lang w:eastAsia="en-US"/>
    </w:rPr>
  </w:style>
  <w:style w:type="paragraph" w:customStyle="1" w:styleId="ABC-Aftertable">
    <w:name w:val="ABC - After table"/>
    <w:next w:val="ABC-paragrahinNotes"/>
    <w:rsid w:val="00B27C8E"/>
    <w:pPr>
      <w:spacing w:before="240" w:after="240"/>
    </w:pPr>
    <w:rPr>
      <w:noProof/>
      <w:lang w:eastAsia="en-US"/>
    </w:rPr>
  </w:style>
  <w:style w:type="paragraph" w:customStyle="1" w:styleId="ABC-rBullets">
    <w:name w:val="ABC -r Bullets"/>
    <w:basedOn w:val="ABC-BulletsinNotes"/>
    <w:rsid w:val="00B27C8E"/>
    <w:pPr>
      <w:numPr>
        <w:numId w:val="0"/>
      </w:numPr>
      <w:tabs>
        <w:tab w:val="num" w:pos="360"/>
      </w:tabs>
      <w:ind w:left="360" w:hanging="360"/>
    </w:pPr>
    <w:rPr>
      <w:lang w:val="ru-RU"/>
    </w:rPr>
  </w:style>
  <w:style w:type="paragraph" w:customStyle="1" w:styleId="Reportbullets">
    <w:name w:val="Report bullets"/>
    <w:rsid w:val="00B27C8E"/>
    <w:pPr>
      <w:numPr>
        <w:numId w:val="3"/>
      </w:numPr>
      <w:tabs>
        <w:tab w:val="left" w:pos="567"/>
      </w:tabs>
      <w:spacing w:after="240"/>
      <w:ind w:left="567" w:hanging="567"/>
      <w:jc w:val="both"/>
    </w:pPr>
    <w:rPr>
      <w:lang w:eastAsia="en-US"/>
    </w:rPr>
  </w:style>
  <w:style w:type="paragraph" w:customStyle="1" w:styleId="Bullet1">
    <w:name w:val="Bullet1"/>
    <w:basedOn w:val="Normal"/>
    <w:rsid w:val="00B27C8E"/>
    <w:pPr>
      <w:numPr>
        <w:numId w:val="5"/>
      </w:numPr>
    </w:pPr>
  </w:style>
  <w:style w:type="paragraph" w:customStyle="1" w:styleId="Tabletext">
    <w:name w:val="Table text"/>
    <w:basedOn w:val="Normal"/>
    <w:rsid w:val="00B27C8E"/>
    <w:pPr>
      <w:ind w:left="85" w:hanging="85"/>
    </w:pPr>
  </w:style>
  <w:style w:type="paragraph" w:customStyle="1" w:styleId="Rowheader">
    <w:name w:val="Row header"/>
    <w:basedOn w:val="Normal"/>
    <w:rsid w:val="00B27C8E"/>
    <w:pPr>
      <w:ind w:left="85" w:hanging="85"/>
    </w:pPr>
    <w:rPr>
      <w:b/>
    </w:rPr>
  </w:style>
  <w:style w:type="paragraph" w:customStyle="1" w:styleId="Columnheader">
    <w:name w:val="Column header"/>
    <w:basedOn w:val="Normal"/>
    <w:rsid w:val="00B27C8E"/>
    <w:pPr>
      <w:tabs>
        <w:tab w:val="decimal" w:pos="1503"/>
      </w:tabs>
      <w:spacing w:line="228" w:lineRule="auto"/>
      <w:ind w:right="-56"/>
    </w:pPr>
    <w:rPr>
      <w:b/>
    </w:rPr>
  </w:style>
  <w:style w:type="paragraph" w:customStyle="1" w:styleId="Tablenumbers1">
    <w:name w:val="Table numbers1"/>
    <w:rsid w:val="00B27C8E"/>
    <w:pPr>
      <w:tabs>
        <w:tab w:val="decimal" w:pos="1503"/>
      </w:tabs>
      <w:ind w:right="-56"/>
    </w:pPr>
    <w:rPr>
      <w:lang w:eastAsia="en-US"/>
    </w:rPr>
  </w:style>
  <w:style w:type="paragraph" w:customStyle="1" w:styleId="TitleABC">
    <w:name w:val="Title ABC"/>
    <w:basedOn w:val="ABC-paragrahinNotes"/>
    <w:rsid w:val="00B27C8E"/>
    <w:pPr>
      <w:outlineLvl w:val="0"/>
    </w:pPr>
    <w:rPr>
      <w:b/>
      <w:sz w:val="32"/>
    </w:rPr>
  </w:style>
  <w:style w:type="paragraph" w:customStyle="1" w:styleId="Header1">
    <w:name w:val="Header1"/>
    <w:rsid w:val="00B27C8E"/>
    <w:pPr>
      <w:tabs>
        <w:tab w:val="left" w:pos="-528"/>
      </w:tabs>
    </w:pPr>
    <w:rPr>
      <w:b/>
      <w:bCs/>
      <w:i/>
      <w:lang w:eastAsia="en-US"/>
    </w:rPr>
  </w:style>
  <w:style w:type="paragraph" w:customStyle="1" w:styleId="Header2">
    <w:name w:val="Header2"/>
    <w:rsid w:val="00B27C8E"/>
    <w:pPr>
      <w:pBdr>
        <w:bottom w:val="single" w:sz="4" w:space="1" w:color="auto"/>
      </w:pBdr>
      <w:ind w:right="-57"/>
    </w:pPr>
    <w:rPr>
      <w:i/>
      <w:spacing w:val="-4"/>
      <w:sz w:val="16"/>
      <w:lang w:eastAsia="en-US"/>
    </w:rPr>
  </w:style>
  <w:style w:type="paragraph" w:customStyle="1" w:styleId="1stpage">
    <w:name w:val="1st page"/>
    <w:basedOn w:val="ABC-paragrahinNotes"/>
    <w:rsid w:val="00B27C8E"/>
    <w:pPr>
      <w:spacing w:after="0"/>
    </w:pPr>
    <w:rPr>
      <w:b/>
      <w:bCs/>
      <w:sz w:val="32"/>
    </w:rPr>
  </w:style>
  <w:style w:type="paragraph" w:customStyle="1" w:styleId="StyleSymbolTimesNewRomanBold9ptBoldLeft0cmHangi7">
    <w:name w:val="Style (Symbol) Times New Roman Bold 9 pt Bold Left:  0 cm Hangi...7"/>
    <w:basedOn w:val="Normal"/>
    <w:autoRedefine/>
    <w:rsid w:val="00B27C8E"/>
    <w:pPr>
      <w:spacing w:line="228" w:lineRule="auto"/>
      <w:ind w:left="228" w:hanging="228"/>
    </w:pPr>
    <w:rPr>
      <w:b/>
      <w:bCs/>
      <w:spacing w:val="-6"/>
    </w:rPr>
  </w:style>
  <w:style w:type="paragraph" w:customStyle="1" w:styleId="Aftertable">
    <w:name w:val="After table"/>
    <w:next w:val="ABC-paragrahinNotes"/>
    <w:rsid w:val="00B27C8E"/>
    <w:rPr>
      <w:noProof/>
      <w:lang w:eastAsia="en-US"/>
    </w:rPr>
  </w:style>
  <w:style w:type="paragraph" w:customStyle="1" w:styleId="Disclaimer">
    <w:name w:val="Disclaimer"/>
    <w:rsid w:val="00B27C8E"/>
    <w:pPr>
      <w:spacing w:after="60"/>
    </w:pPr>
    <w:rPr>
      <w:noProof/>
      <w:sz w:val="12"/>
      <w:lang w:eastAsia="en-US"/>
    </w:rPr>
  </w:style>
  <w:style w:type="paragraph" w:customStyle="1" w:styleId="ABC-r-paragraphinNotes">
    <w:name w:val="ABC-r - paragraph in Notes"/>
    <w:rsid w:val="00B27C8E"/>
    <w:pPr>
      <w:spacing w:after="240"/>
      <w:jc w:val="both"/>
    </w:pPr>
    <w:rPr>
      <w:lang w:eastAsia="en-US"/>
    </w:rPr>
  </w:style>
  <w:style w:type="paragraph" w:customStyle="1" w:styleId="bullet0">
    <w:name w:val="bullet"/>
    <w:basedOn w:val="Normal"/>
    <w:rsid w:val="00B27C8E"/>
    <w:pPr>
      <w:spacing w:before="40" w:line="200" w:lineRule="exact"/>
      <w:ind w:left="360" w:hanging="360"/>
    </w:pPr>
    <w:rPr>
      <w:rFonts w:eastAsia="Times"/>
      <w:sz w:val="17"/>
    </w:rPr>
  </w:style>
  <w:style w:type="paragraph" w:customStyle="1" w:styleId="wfxRecipient">
    <w:name w:val="wfxRecipient"/>
    <w:basedOn w:val="Normal"/>
    <w:rsid w:val="00B27C8E"/>
    <w:pPr>
      <w:widowControl w:val="0"/>
    </w:pPr>
    <w:rPr>
      <w:lang w:val="en-US"/>
    </w:rPr>
  </w:style>
  <w:style w:type="paragraph" w:styleId="BalloonText">
    <w:name w:val="Balloon Text"/>
    <w:basedOn w:val="Normal"/>
    <w:link w:val="BalloonTextChar"/>
    <w:semiHidden/>
    <w:rsid w:val="00B27C8E"/>
    <w:rPr>
      <w:rFonts w:ascii="Tahoma" w:hAnsi="Tahoma" w:cs="Tahoma"/>
      <w:sz w:val="16"/>
      <w:szCs w:val="16"/>
    </w:rPr>
  </w:style>
  <w:style w:type="paragraph" w:customStyle="1" w:styleId="StyleSymbolTimesNewRomanBold9ptBoldLeft0cmHangi">
    <w:name w:val="Style (Symbol) Times New Roman Bold 9 pt Bold Left:  0 cm Hangi..."/>
    <w:basedOn w:val="Normal"/>
    <w:rsid w:val="00B27C8E"/>
    <w:pPr>
      <w:spacing w:line="228" w:lineRule="auto"/>
      <w:ind w:left="228" w:hanging="228"/>
    </w:pPr>
    <w:rPr>
      <w:b/>
      <w:bCs/>
      <w:spacing w:val="-6"/>
    </w:rPr>
  </w:style>
  <w:style w:type="paragraph" w:customStyle="1" w:styleId="StyleSymbolTimesNewRomanBold9ptBoldLeft0cmHangi1">
    <w:name w:val="Style (Symbol) Times New Roman Bold 9 pt Bold Left:  0 cm Hangi...1"/>
    <w:basedOn w:val="Normal"/>
    <w:rsid w:val="00B27C8E"/>
    <w:pPr>
      <w:spacing w:line="228" w:lineRule="auto"/>
      <w:ind w:left="228" w:hanging="228"/>
    </w:pPr>
    <w:rPr>
      <w:b/>
      <w:bCs/>
      <w:spacing w:val="-6"/>
    </w:rPr>
  </w:style>
  <w:style w:type="paragraph" w:customStyle="1" w:styleId="StyleSymbolTimesNewRomanBold9ptBoldLeft0cmHangi2">
    <w:name w:val="Style (Symbol) Times New Roman Bold 9 pt Bold Left:  0 cm Hangi...2"/>
    <w:basedOn w:val="Normal"/>
    <w:rsid w:val="00B27C8E"/>
    <w:pPr>
      <w:spacing w:line="228" w:lineRule="auto"/>
      <w:ind w:left="228" w:hanging="228"/>
    </w:pPr>
    <w:rPr>
      <w:b/>
      <w:bCs/>
      <w:spacing w:val="-6"/>
    </w:rPr>
  </w:style>
  <w:style w:type="paragraph" w:customStyle="1" w:styleId="StyleSymbolTimesNewRomanBold9ptBoldLeft0cmHangi3">
    <w:name w:val="Style (Symbol) Times New Roman Bold 9 pt Bold Left:  0 cm Hangi...3"/>
    <w:basedOn w:val="Normal"/>
    <w:rsid w:val="00B27C8E"/>
    <w:pPr>
      <w:spacing w:line="228" w:lineRule="auto"/>
      <w:ind w:left="228" w:hanging="228"/>
    </w:pPr>
    <w:rPr>
      <w:b/>
      <w:bCs/>
      <w:spacing w:val="-6"/>
    </w:rPr>
  </w:style>
  <w:style w:type="character" w:customStyle="1" w:styleId="Style9pt">
    <w:name w:val="Style 9 pt"/>
    <w:basedOn w:val="DefaultParagraphFont"/>
    <w:rsid w:val="00B27C8E"/>
    <w:rPr>
      <w:rFonts w:ascii="Arial" w:hAnsi="Arial"/>
      <w:sz w:val="18"/>
    </w:rPr>
  </w:style>
  <w:style w:type="paragraph" w:customStyle="1" w:styleId="Style9ptBoldCentered">
    <w:name w:val="Style 9 pt Bold Centered"/>
    <w:basedOn w:val="Normal"/>
    <w:rsid w:val="00B27C8E"/>
    <w:pPr>
      <w:jc w:val="center"/>
    </w:pPr>
    <w:rPr>
      <w:b/>
      <w:bCs/>
    </w:rPr>
  </w:style>
  <w:style w:type="paragraph" w:customStyle="1" w:styleId="StyleSymbolTimesNewRomanBold9ptBoldLeft0cmHangi4">
    <w:name w:val="Style (Symbol) Times New Roman Bold 9 pt Bold Left:  0 cm Hangi...4"/>
    <w:basedOn w:val="Normal"/>
    <w:rsid w:val="00B27C8E"/>
    <w:pPr>
      <w:spacing w:line="228" w:lineRule="auto"/>
      <w:ind w:left="228" w:hanging="228"/>
    </w:pPr>
    <w:rPr>
      <w:b/>
      <w:bCs/>
      <w:spacing w:val="-6"/>
    </w:rPr>
  </w:style>
  <w:style w:type="character" w:customStyle="1" w:styleId="Style14ptItalicBlueSmallcaps">
    <w:name w:val="Style 14 pt Italic Blue Small caps"/>
    <w:basedOn w:val="DefaultParagraphFont"/>
    <w:rsid w:val="00B27C8E"/>
    <w:rPr>
      <w:rFonts w:ascii="Arial" w:hAnsi="Arial"/>
      <w:i/>
      <w:iCs/>
      <w:smallCaps/>
      <w:color w:val="0000FF"/>
      <w:sz w:val="28"/>
    </w:rPr>
  </w:style>
  <w:style w:type="paragraph" w:customStyle="1" w:styleId="StyleSymbolTimesNewRomanBold9ptBoldLeft0cmHangi5">
    <w:name w:val="Style (Symbol) Times New Roman Bold 9 pt Bold Left:  0 cm Hangi...5"/>
    <w:basedOn w:val="Normal"/>
    <w:rsid w:val="00B27C8E"/>
    <w:pPr>
      <w:spacing w:line="228" w:lineRule="auto"/>
      <w:ind w:left="228" w:hanging="228"/>
    </w:pPr>
    <w:rPr>
      <w:b/>
      <w:bCs/>
      <w:spacing w:val="-6"/>
    </w:rPr>
  </w:style>
  <w:style w:type="character" w:customStyle="1" w:styleId="Style14ptItalicRedSmallcaps">
    <w:name w:val="Style 14 pt Italic Red Small caps"/>
    <w:basedOn w:val="DefaultParagraphFont"/>
    <w:rsid w:val="00B27C8E"/>
    <w:rPr>
      <w:rFonts w:ascii="Arial" w:hAnsi="Arial"/>
      <w:i/>
      <w:iCs/>
      <w:smallCaps/>
      <w:color w:val="FF0000"/>
      <w:sz w:val="28"/>
    </w:rPr>
  </w:style>
  <w:style w:type="paragraph" w:customStyle="1" w:styleId="StyleTablenumbers1BoldAllcapsCentered">
    <w:name w:val="Style Table numbers1 + Bold All caps Centered"/>
    <w:basedOn w:val="Tablenumbers1"/>
    <w:rsid w:val="00B27C8E"/>
    <w:pPr>
      <w:jc w:val="center"/>
    </w:pPr>
    <w:rPr>
      <w:b/>
      <w:bCs/>
      <w:caps/>
    </w:rPr>
  </w:style>
  <w:style w:type="paragraph" w:customStyle="1" w:styleId="StyleSymbolTimesNewRomanBold9ptBoldLeft0cmHangi6">
    <w:name w:val="Style (Symbol) Times New Roman Bold 9 pt Bold Left:  0 cm Hangi...6"/>
    <w:basedOn w:val="Normal"/>
    <w:rsid w:val="00B27C8E"/>
    <w:pPr>
      <w:spacing w:line="228" w:lineRule="auto"/>
      <w:ind w:left="228" w:hanging="228"/>
    </w:pPr>
    <w:rPr>
      <w:b/>
      <w:bCs/>
      <w:spacing w:val="-6"/>
    </w:rPr>
  </w:style>
  <w:style w:type="paragraph" w:customStyle="1" w:styleId="Style9ptBoldCentered1">
    <w:name w:val="Style 9 pt Bold Centered1"/>
    <w:basedOn w:val="Normal"/>
    <w:rsid w:val="00B27C8E"/>
    <w:pPr>
      <w:jc w:val="center"/>
    </w:pPr>
    <w:rPr>
      <w:b/>
      <w:bCs/>
    </w:rPr>
  </w:style>
  <w:style w:type="paragraph" w:customStyle="1" w:styleId="Style9ptBoldCentered2">
    <w:name w:val="Style 9 pt Bold Centered2"/>
    <w:basedOn w:val="Normal"/>
    <w:rsid w:val="00B27C8E"/>
    <w:pPr>
      <w:jc w:val="center"/>
    </w:pPr>
    <w:rPr>
      <w:b/>
      <w:bCs/>
      <w:spacing w:val="-2"/>
    </w:rPr>
  </w:style>
  <w:style w:type="paragraph" w:customStyle="1" w:styleId="xl50">
    <w:name w:val="xl50"/>
    <w:basedOn w:val="Normal"/>
    <w:rsid w:val="00E60BCB"/>
    <w:pPr>
      <w:spacing w:before="100" w:beforeAutospacing="1" w:after="100" w:afterAutospacing="1"/>
    </w:pPr>
    <w:rPr>
      <w:rFonts w:ascii="Times New Roman" w:eastAsia="Arial Unicode MS" w:hAnsi="Times New Roman"/>
      <w:b/>
      <w:bCs/>
    </w:rPr>
  </w:style>
  <w:style w:type="paragraph" w:customStyle="1" w:styleId="StyleABC-paragrahinNotesBold">
    <w:name w:val="Style ABC - paragrah in Notes + Bold"/>
    <w:basedOn w:val="Normal"/>
    <w:link w:val="StyleABC-paragrahinNotesBoldChar"/>
    <w:rsid w:val="00E47E11"/>
    <w:pPr>
      <w:spacing w:after="240"/>
      <w:jc w:val="both"/>
    </w:pPr>
    <w:rPr>
      <w:b/>
      <w:bCs/>
      <w:sz w:val="20"/>
    </w:rPr>
  </w:style>
  <w:style w:type="character" w:customStyle="1" w:styleId="StyleABC-paragrahinNotesBoldChar">
    <w:name w:val="Style ABC - paragrah in Notes + Bold Char"/>
    <w:basedOn w:val="DefaultParagraphFont"/>
    <w:link w:val="StyleABC-paragrahinNotesBold"/>
    <w:rsid w:val="00E47E11"/>
    <w:rPr>
      <w:rFonts w:ascii="Arial" w:hAnsi="Arial"/>
      <w:b/>
      <w:bCs/>
      <w:lang w:val="en-GB" w:eastAsia="en-US" w:bidi="ar-SA"/>
    </w:rPr>
  </w:style>
  <w:style w:type="paragraph" w:styleId="BlockText">
    <w:name w:val="Block Text"/>
    <w:basedOn w:val="Normal"/>
    <w:rsid w:val="00B27C8E"/>
    <w:pPr>
      <w:spacing w:after="120"/>
      <w:ind w:left="1440" w:right="1440"/>
    </w:pPr>
  </w:style>
  <w:style w:type="paragraph" w:styleId="BodyTextFirstIndent">
    <w:name w:val="Body Text First Indent"/>
    <w:basedOn w:val="BodyText"/>
    <w:link w:val="BodyTextFirstIndentChar"/>
    <w:rsid w:val="00B27C8E"/>
    <w:pPr>
      <w:widowControl/>
      <w:suppressLineNumbers w:val="0"/>
      <w:spacing w:after="120"/>
      <w:ind w:right="0" w:firstLine="210"/>
      <w:jc w:val="left"/>
    </w:pPr>
  </w:style>
  <w:style w:type="paragraph" w:customStyle="1" w:styleId="ABC-Comments">
    <w:name w:val="ABC - Comments"/>
    <w:basedOn w:val="ABC-paragrahinNotes"/>
    <w:rsid w:val="00B27C8E"/>
    <w:rPr>
      <w:i/>
      <w:color w:val="FF0000"/>
    </w:rPr>
  </w:style>
  <w:style w:type="character" w:customStyle="1" w:styleId="ABC-paragrahinNotesChar">
    <w:name w:val="ABC - paragrah in Notes Char"/>
    <w:basedOn w:val="DefaultParagraphFont"/>
    <w:rsid w:val="00B27C8E"/>
    <w:rPr>
      <w:rFonts w:ascii="Arial" w:hAnsi="Arial"/>
      <w:lang w:val="en-GB" w:eastAsia="en-US" w:bidi="ar-SA"/>
    </w:rPr>
  </w:style>
  <w:style w:type="character" w:customStyle="1" w:styleId="ABC-CommentsChar">
    <w:name w:val="ABC - Comments Char"/>
    <w:basedOn w:val="ABC-paragrahinNotesChar"/>
    <w:rsid w:val="00B27C8E"/>
    <w:rPr>
      <w:rFonts w:ascii="Arial" w:hAnsi="Arial"/>
      <w:i/>
      <w:color w:val="FF0000"/>
      <w:lang w:val="en-GB" w:eastAsia="en-US" w:bidi="ar-SA"/>
    </w:rPr>
  </w:style>
  <w:style w:type="paragraph" w:customStyle="1" w:styleId="RowHeader0">
    <w:name w:val="Row Header +"/>
    <w:basedOn w:val="Rowheader"/>
    <w:rsid w:val="00B27C8E"/>
    <w:pPr>
      <w:spacing w:before="60" w:after="60"/>
    </w:pPr>
  </w:style>
  <w:style w:type="paragraph" w:customStyle="1" w:styleId="RRthousands">
    <w:name w:val="RR thousands"/>
    <w:basedOn w:val="Normal"/>
    <w:link w:val="RRthousandsChar"/>
    <w:rsid w:val="00B27C8E"/>
    <w:pPr>
      <w:ind w:left="86" w:hanging="86"/>
    </w:pPr>
    <w:rPr>
      <w:i/>
      <w:sz w:val="16"/>
    </w:rPr>
  </w:style>
  <w:style w:type="paragraph" w:customStyle="1" w:styleId="StyleRowheaderLinespacingMultiple095li">
    <w:name w:val="Style Row header + Line spacing:  Multiple 0.95 li"/>
    <w:basedOn w:val="Rowheader"/>
    <w:rsid w:val="00B27C8E"/>
    <w:pPr>
      <w:spacing w:before="20" w:line="228" w:lineRule="auto"/>
    </w:pPr>
    <w:rPr>
      <w:bCs/>
    </w:rPr>
  </w:style>
  <w:style w:type="paragraph" w:customStyle="1" w:styleId="StyleTabletextLinespacingMultiple095li">
    <w:name w:val="Style Table text + Line spacing:  Multiple 0.95 li"/>
    <w:basedOn w:val="Tabletext"/>
    <w:rsid w:val="00B27C8E"/>
    <w:pPr>
      <w:spacing w:before="20" w:line="228" w:lineRule="auto"/>
    </w:pPr>
  </w:style>
  <w:style w:type="paragraph" w:customStyle="1" w:styleId="text">
    <w:name w:val="text"/>
    <w:basedOn w:val="Normal"/>
    <w:rsid w:val="00B27C8E"/>
    <w:pPr>
      <w:spacing w:after="100" w:line="300" w:lineRule="atLeast"/>
      <w:jc w:val="both"/>
    </w:pPr>
    <w:rPr>
      <w:rFonts w:ascii="Times" w:hAnsi="Times"/>
      <w:sz w:val="22"/>
      <w:lang w:val="en-US" w:eastAsia="cs-CZ"/>
    </w:rPr>
  </w:style>
  <w:style w:type="paragraph" w:customStyle="1" w:styleId="StyleABC-paragrahinNotesAfter10pt">
    <w:name w:val="Style ABC - paragrah in Notes + After:  10 pt"/>
    <w:basedOn w:val="ABC-paragrahinNotes"/>
    <w:rsid w:val="00B27C8E"/>
    <w:pPr>
      <w:spacing w:after="200"/>
    </w:pPr>
  </w:style>
  <w:style w:type="paragraph" w:customStyle="1" w:styleId="StyleABC-paragrahinNotesAfter0pt">
    <w:name w:val="Style ABC - paragrah in Notes + After:  0 pt"/>
    <w:basedOn w:val="ABC-paragrahinNotes"/>
    <w:rsid w:val="00B27C8E"/>
    <w:pPr>
      <w:spacing w:after="0"/>
    </w:pPr>
  </w:style>
  <w:style w:type="character" w:styleId="CommentReference">
    <w:name w:val="annotation reference"/>
    <w:basedOn w:val="DefaultParagraphFont"/>
    <w:semiHidden/>
    <w:rsid w:val="00B27C8E"/>
    <w:rPr>
      <w:sz w:val="16"/>
      <w:szCs w:val="16"/>
    </w:rPr>
  </w:style>
  <w:style w:type="paragraph" w:styleId="CommentText">
    <w:name w:val="annotation text"/>
    <w:basedOn w:val="Normal"/>
    <w:link w:val="CommentTextChar"/>
    <w:rsid w:val="00B27C8E"/>
  </w:style>
  <w:style w:type="paragraph" w:styleId="CommentSubject">
    <w:name w:val="annotation subject"/>
    <w:basedOn w:val="CommentText"/>
    <w:next w:val="CommentText"/>
    <w:link w:val="CommentSubjectChar"/>
    <w:semiHidden/>
    <w:rsid w:val="00B27C8E"/>
    <w:rPr>
      <w:b/>
      <w:bCs/>
    </w:rPr>
  </w:style>
  <w:style w:type="paragraph" w:customStyle="1" w:styleId="a">
    <w:name w:val="Îáû÷íûé"/>
    <w:rsid w:val="00B27C8E"/>
    <w:rPr>
      <w:lang w:eastAsia="en-US"/>
    </w:rPr>
  </w:style>
  <w:style w:type="paragraph" w:customStyle="1" w:styleId="StyleContinued9pt">
    <w:name w:val="Style Continued + 9 pt"/>
    <w:basedOn w:val="Continued"/>
    <w:rsid w:val="00B27C8E"/>
    <w:rPr>
      <w:bCs/>
    </w:rPr>
  </w:style>
  <w:style w:type="character" w:customStyle="1" w:styleId="ContinuedChar">
    <w:name w:val="Continued Char"/>
    <w:basedOn w:val="DefaultParagraphFont"/>
    <w:rsid w:val="00B27C8E"/>
    <w:rPr>
      <w:rFonts w:ascii="Arial" w:hAnsi="Arial"/>
      <w:b/>
      <w:lang w:val="en-US" w:eastAsia="en-US" w:bidi="ar-SA"/>
    </w:rPr>
  </w:style>
  <w:style w:type="character" w:customStyle="1" w:styleId="StyleContinued9ptChar">
    <w:name w:val="Style Continued + 9 pt Char"/>
    <w:basedOn w:val="ContinuedChar"/>
    <w:rsid w:val="00B27C8E"/>
    <w:rPr>
      <w:rFonts w:ascii="Arial" w:hAnsi="Arial"/>
      <w:b/>
      <w:bCs/>
      <w:lang w:val="en-US" w:eastAsia="en-US" w:bidi="ar-SA"/>
    </w:rPr>
  </w:style>
  <w:style w:type="character" w:customStyle="1" w:styleId="ABC-r-paragraphinNotesChar">
    <w:name w:val="ABC-r - paragraph in Notes Char"/>
    <w:basedOn w:val="DefaultParagraphFont"/>
    <w:rsid w:val="00B27C8E"/>
    <w:rPr>
      <w:rFonts w:ascii="Arial" w:hAnsi="Arial"/>
      <w:sz w:val="18"/>
      <w:lang w:val="ru-RU" w:eastAsia="en-US" w:bidi="ar-SA"/>
    </w:rPr>
  </w:style>
  <w:style w:type="character" w:customStyle="1" w:styleId="Heading1Char">
    <w:name w:val="Heading 1 Char"/>
    <w:basedOn w:val="DefaultParagraphFont"/>
    <w:rsid w:val="00B27C8E"/>
    <w:rPr>
      <w:rFonts w:ascii="Arial" w:hAnsi="Arial"/>
      <w:b/>
      <w:kern w:val="28"/>
      <w:lang w:val="en-GB" w:eastAsia="en-US" w:bidi="ar-SA"/>
    </w:rPr>
  </w:style>
  <w:style w:type="paragraph" w:customStyle="1" w:styleId="ABCLatinnumbering">
    <w:name w:val="ABC Latin numbering"/>
    <w:basedOn w:val="ABC-paragrahinNotes"/>
    <w:rsid w:val="00B27C8E"/>
    <w:rPr>
      <w:snapToGrid w:val="0"/>
      <w:spacing w:val="-4"/>
    </w:rPr>
  </w:style>
  <w:style w:type="character" w:customStyle="1" w:styleId="Heading1Char1">
    <w:name w:val="Heading 1 Char1"/>
    <w:basedOn w:val="DefaultParagraphFont"/>
    <w:link w:val="Heading1"/>
    <w:uiPriority w:val="9"/>
    <w:rsid w:val="00F1145B"/>
    <w:rPr>
      <w:b/>
      <w:kern w:val="28"/>
      <w:sz w:val="20"/>
      <w:lang w:eastAsia="en-US"/>
    </w:rPr>
  </w:style>
  <w:style w:type="paragraph" w:customStyle="1" w:styleId="ABC-paragrahinNotes0">
    <w:name w:val="ABC - paragrah in Notes Знак"/>
    <w:link w:val="ABC-paragrahinNotes1"/>
    <w:rsid w:val="002D6346"/>
    <w:pPr>
      <w:spacing w:after="240"/>
      <w:jc w:val="both"/>
    </w:pPr>
    <w:rPr>
      <w:lang w:eastAsia="en-US"/>
    </w:rPr>
  </w:style>
  <w:style w:type="character" w:customStyle="1" w:styleId="ABC-paragrahinNotes1">
    <w:name w:val="ABC - paragrah in Notes Знак Знак"/>
    <w:basedOn w:val="DefaultParagraphFont"/>
    <w:link w:val="ABC-paragrahinNotes0"/>
    <w:rsid w:val="002D6346"/>
    <w:rPr>
      <w:rFonts w:ascii="Arial" w:hAnsi="Arial"/>
      <w:sz w:val="18"/>
      <w:lang w:val="en-GB" w:eastAsia="en-US" w:bidi="ar-SA"/>
    </w:rPr>
  </w:style>
  <w:style w:type="character" w:customStyle="1" w:styleId="RRthousandsChar">
    <w:name w:val="RR thousands Char"/>
    <w:basedOn w:val="DefaultParagraphFont"/>
    <w:link w:val="RRthousands"/>
    <w:rsid w:val="00A33494"/>
    <w:rPr>
      <w:rFonts w:ascii="Arial" w:hAnsi="Arial" w:cs="Arial"/>
      <w:i/>
      <w:sz w:val="16"/>
      <w:lang w:val="en-GB" w:eastAsia="en-US" w:bidi="ar-SA"/>
    </w:rPr>
  </w:style>
  <w:style w:type="character" w:customStyle="1" w:styleId="ABC-paragrahinNotesChar1">
    <w:name w:val="ABC - paragrah in Notes Char1"/>
    <w:basedOn w:val="DefaultParagraphFont"/>
    <w:link w:val="ABC-paragrahinNotes"/>
    <w:rsid w:val="005743B2"/>
    <w:rPr>
      <w:rFonts w:ascii="Arial" w:hAnsi="Arial"/>
      <w:lang w:val="en-GB" w:eastAsia="en-US" w:bidi="ar-SA"/>
    </w:rPr>
  </w:style>
  <w:style w:type="character" w:customStyle="1" w:styleId="HeaderChar">
    <w:name w:val="Header Char"/>
    <w:basedOn w:val="DefaultParagraphFont"/>
    <w:link w:val="Header"/>
    <w:uiPriority w:val="99"/>
    <w:rsid w:val="00072E34"/>
    <w:rPr>
      <w:rFonts w:ascii="Arial" w:hAnsi="Arial"/>
      <w:sz w:val="16"/>
      <w:lang w:val="en-GB" w:eastAsia="en-US"/>
    </w:rPr>
  </w:style>
  <w:style w:type="character" w:customStyle="1" w:styleId="FooterChar">
    <w:name w:val="Footer Char"/>
    <w:basedOn w:val="DefaultParagraphFont"/>
    <w:link w:val="Footer"/>
    <w:uiPriority w:val="99"/>
    <w:rsid w:val="00072E34"/>
    <w:rPr>
      <w:rFonts w:ascii="Arial" w:hAnsi="Arial"/>
      <w:sz w:val="18"/>
      <w:lang w:val="en-GB" w:eastAsia="en-US"/>
    </w:rPr>
  </w:style>
  <w:style w:type="paragraph" w:customStyle="1" w:styleId="PwCAddress">
    <w:name w:val="PwC Address"/>
    <w:basedOn w:val="Normal"/>
    <w:link w:val="PwCAddressChar"/>
    <w:qFormat/>
    <w:rsid w:val="00072E34"/>
    <w:pPr>
      <w:spacing w:line="200" w:lineRule="atLeast"/>
    </w:pPr>
    <w:rPr>
      <w:rFonts w:ascii="Georgia" w:eastAsia="Calibri" w:hAnsi="Georgia"/>
      <w:i/>
      <w:noProof/>
      <w:szCs w:val="22"/>
      <w:lang w:eastAsia="en-GB"/>
    </w:rPr>
  </w:style>
  <w:style w:type="character" w:customStyle="1" w:styleId="PwCAddressChar">
    <w:name w:val="PwC Address Char"/>
    <w:basedOn w:val="DefaultParagraphFont"/>
    <w:link w:val="PwCAddress"/>
    <w:rsid w:val="00072E34"/>
    <w:rPr>
      <w:rFonts w:ascii="Georgia" w:eastAsia="Calibri" w:hAnsi="Georgia" w:cs="Times New Roman"/>
      <w:i/>
      <w:noProof/>
      <w:sz w:val="18"/>
      <w:szCs w:val="22"/>
      <w:lang w:val="en-GB" w:eastAsia="en-GB"/>
    </w:rPr>
  </w:style>
  <w:style w:type="paragraph" w:styleId="ListParagraph">
    <w:name w:val="List Paragraph"/>
    <w:basedOn w:val="Normal"/>
    <w:uiPriority w:val="34"/>
    <w:qFormat/>
    <w:rsid w:val="006F731B"/>
    <w:pPr>
      <w:ind w:left="720"/>
      <w:contextualSpacing/>
    </w:pPr>
  </w:style>
  <w:style w:type="character" w:customStyle="1" w:styleId="FootnoteTextChar">
    <w:name w:val="Footnote Text Char"/>
    <w:basedOn w:val="DefaultParagraphFont"/>
    <w:link w:val="FootnoteText"/>
    <w:semiHidden/>
    <w:rsid w:val="00E7490E"/>
    <w:rPr>
      <w:rFonts w:ascii="Arial" w:hAnsi="Arial"/>
      <w:sz w:val="18"/>
      <w:lang w:val="en-GB" w:eastAsia="en-US"/>
    </w:rPr>
  </w:style>
  <w:style w:type="paragraph" w:styleId="Revision">
    <w:name w:val="Revision"/>
    <w:hidden/>
    <w:uiPriority w:val="99"/>
    <w:semiHidden/>
    <w:rsid w:val="00E436A6"/>
    <w:rPr>
      <w:lang w:eastAsia="en-US"/>
    </w:rPr>
  </w:style>
  <w:style w:type="character" w:styleId="Hyperlink">
    <w:name w:val="Hyperlink"/>
    <w:basedOn w:val="DefaultParagraphFont"/>
    <w:uiPriority w:val="99"/>
    <w:unhideWhenUsed/>
    <w:rsid w:val="00B97009"/>
    <w:rPr>
      <w:color w:val="0000FF" w:themeColor="hyperlink"/>
      <w:u w:val="single"/>
    </w:rPr>
  </w:style>
  <w:style w:type="character" w:styleId="FollowedHyperlink">
    <w:name w:val="FollowedHyperlink"/>
    <w:basedOn w:val="DefaultParagraphFont"/>
    <w:semiHidden/>
    <w:unhideWhenUsed/>
    <w:rsid w:val="00B97009"/>
    <w:rPr>
      <w:color w:val="800080" w:themeColor="followedHyperlink"/>
      <w:u w:val="single"/>
    </w:rPr>
  </w:style>
  <w:style w:type="paragraph" w:customStyle="1" w:styleId="bullets">
    <w:name w:val="bullets"/>
    <w:basedOn w:val="ABC-paragrahinNotes"/>
    <w:qFormat/>
    <w:rsid w:val="001A5020"/>
    <w:pPr>
      <w:widowControl w:val="0"/>
      <w:numPr>
        <w:numId w:val="16"/>
      </w:numPr>
      <w:spacing w:before="100" w:after="100"/>
      <w:ind w:left="567" w:hanging="567"/>
    </w:pPr>
    <w:rPr>
      <w:sz w:val="20"/>
    </w:rPr>
  </w:style>
  <w:style w:type="paragraph" w:customStyle="1" w:styleId="Style1">
    <w:name w:val="Style1"/>
    <w:basedOn w:val="ABC-paragrahinNotes"/>
    <w:next w:val="bullets"/>
    <w:qFormat/>
    <w:rsid w:val="00BF6C60"/>
    <w:pPr>
      <w:widowControl w:val="0"/>
      <w:spacing w:before="240"/>
    </w:pPr>
  </w:style>
  <w:style w:type="character" w:customStyle="1" w:styleId="st">
    <w:name w:val="st"/>
    <w:basedOn w:val="DefaultParagraphFont"/>
    <w:rsid w:val="00537F76"/>
  </w:style>
  <w:style w:type="table" w:styleId="TableGrid">
    <w:name w:val="Table Grid"/>
    <w:basedOn w:val="TableNormal"/>
    <w:uiPriority w:val="39"/>
    <w:rsid w:val="00023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0E3F2B"/>
    <w:rPr>
      <w:rFonts w:ascii="Arial" w:hAnsi="Arial"/>
      <w:sz w:val="18"/>
      <w:lang w:val="en-GB" w:eastAsia="en-US"/>
    </w:rPr>
  </w:style>
  <w:style w:type="table" w:styleId="PlainTable2">
    <w:name w:val="Plain Table 2"/>
    <w:basedOn w:val="TableNormal"/>
    <w:uiPriority w:val="42"/>
    <w:rsid w:val="00E235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54C8A"/>
    <w:pPr>
      <w:autoSpaceDE w:val="0"/>
      <w:autoSpaceDN w:val="0"/>
      <w:adjustRightInd w:val="0"/>
    </w:pPr>
    <w:rPr>
      <w:rFonts w:eastAsiaTheme="minorHAnsi"/>
      <w:color w:val="000000"/>
      <w:sz w:val="24"/>
      <w:szCs w:val="24"/>
      <w:lang w:eastAsia="en-US"/>
    </w:rPr>
  </w:style>
  <w:style w:type="character" w:styleId="Strong">
    <w:name w:val="Strong"/>
    <w:basedOn w:val="DefaultParagraphFont"/>
    <w:uiPriority w:val="22"/>
    <w:qFormat/>
    <w:rsid w:val="00B570CA"/>
    <w:rPr>
      <w:b/>
      <w:bCs/>
    </w:rPr>
  </w:style>
  <w:style w:type="character" w:customStyle="1" w:styleId="Heading2Char">
    <w:name w:val="Heading 2 Char"/>
    <w:basedOn w:val="DefaultParagraphFont"/>
    <w:link w:val="Heading2"/>
    <w:rsid w:val="00D90BC7"/>
    <w:rPr>
      <w:rFonts w:ascii="Arial" w:hAnsi="Arial"/>
      <w:b/>
      <w:i/>
      <w:sz w:val="24"/>
      <w:lang w:val="en-GB" w:eastAsia="en-US"/>
    </w:rPr>
  </w:style>
  <w:style w:type="character" w:customStyle="1" w:styleId="Heading3Char">
    <w:name w:val="Heading 3 Char"/>
    <w:basedOn w:val="DefaultParagraphFont"/>
    <w:link w:val="Heading3"/>
    <w:rsid w:val="00D90BC7"/>
    <w:rPr>
      <w:rFonts w:ascii="Arial" w:hAnsi="Arial"/>
      <w:b/>
      <w:sz w:val="18"/>
      <w:lang w:val="en-GB" w:eastAsia="en-US"/>
    </w:rPr>
  </w:style>
  <w:style w:type="character" w:customStyle="1" w:styleId="Heading4Char">
    <w:name w:val="Heading 4 Char"/>
    <w:basedOn w:val="DefaultParagraphFont"/>
    <w:link w:val="Heading4"/>
    <w:rsid w:val="00D90BC7"/>
    <w:rPr>
      <w:rFonts w:ascii="Arial" w:hAnsi="Arial"/>
      <w:sz w:val="18"/>
      <w:u w:val="single"/>
      <w:lang w:val="en-GB" w:eastAsia="en-US"/>
    </w:rPr>
  </w:style>
  <w:style w:type="character" w:customStyle="1" w:styleId="Heading5Char">
    <w:name w:val="Heading 5 Char"/>
    <w:basedOn w:val="DefaultParagraphFont"/>
    <w:link w:val="Heading5"/>
    <w:rsid w:val="00D90BC7"/>
    <w:rPr>
      <w:rFonts w:ascii="Arial" w:hAnsi="Arial"/>
      <w:sz w:val="24"/>
      <w:lang w:val="en-GB" w:eastAsia="en-US"/>
    </w:rPr>
  </w:style>
  <w:style w:type="character" w:customStyle="1" w:styleId="Heading6Char">
    <w:name w:val="Heading 6 Char"/>
    <w:basedOn w:val="DefaultParagraphFont"/>
    <w:link w:val="Heading6"/>
    <w:rsid w:val="00D90BC7"/>
    <w:rPr>
      <w:rFonts w:ascii="Arial" w:hAnsi="Arial"/>
      <w:b/>
      <w:sz w:val="18"/>
      <w:lang w:val="en-GB" w:eastAsia="en-US"/>
    </w:rPr>
  </w:style>
  <w:style w:type="character" w:customStyle="1" w:styleId="Heading7Char">
    <w:name w:val="Heading 7 Char"/>
    <w:basedOn w:val="DefaultParagraphFont"/>
    <w:link w:val="Heading7"/>
    <w:rsid w:val="00D90BC7"/>
    <w:rPr>
      <w:rFonts w:ascii="Arial" w:hAnsi="Arial"/>
      <w:b/>
      <w:sz w:val="24"/>
      <w:lang w:val="en-GB" w:eastAsia="en-US"/>
    </w:rPr>
  </w:style>
  <w:style w:type="character" w:customStyle="1" w:styleId="Heading8Char">
    <w:name w:val="Heading 8 Char"/>
    <w:basedOn w:val="DefaultParagraphFont"/>
    <w:link w:val="Heading8"/>
    <w:rsid w:val="00D90BC7"/>
    <w:rPr>
      <w:rFonts w:ascii="Arial" w:hAnsi="Arial"/>
      <w:b/>
      <w:sz w:val="18"/>
      <w:lang w:val="en-GB" w:eastAsia="en-US"/>
    </w:rPr>
  </w:style>
  <w:style w:type="character" w:customStyle="1" w:styleId="Heading9Char">
    <w:name w:val="Heading 9 Char"/>
    <w:basedOn w:val="DefaultParagraphFont"/>
    <w:link w:val="Heading9"/>
    <w:rsid w:val="00D90BC7"/>
    <w:rPr>
      <w:rFonts w:ascii="Arial" w:hAnsi="Arial"/>
      <w:b/>
      <w:sz w:val="18"/>
      <w:lang w:val="en-GB" w:eastAsia="en-US"/>
    </w:rPr>
  </w:style>
  <w:style w:type="character" w:customStyle="1" w:styleId="DocumentMapChar">
    <w:name w:val="Document Map Char"/>
    <w:basedOn w:val="DefaultParagraphFont"/>
    <w:link w:val="DocumentMap"/>
    <w:semiHidden/>
    <w:rsid w:val="00D90BC7"/>
    <w:rPr>
      <w:rFonts w:ascii="Tahoma" w:hAnsi="Tahoma"/>
      <w:sz w:val="18"/>
      <w:shd w:val="clear" w:color="auto" w:fill="000080"/>
      <w:lang w:val="en-GB" w:eastAsia="en-US"/>
    </w:rPr>
  </w:style>
  <w:style w:type="character" w:customStyle="1" w:styleId="BodyTextChar">
    <w:name w:val="Body Text Char"/>
    <w:basedOn w:val="DefaultParagraphFont"/>
    <w:link w:val="BodyText"/>
    <w:rsid w:val="00D90BC7"/>
    <w:rPr>
      <w:rFonts w:ascii="Arial" w:hAnsi="Arial"/>
      <w:sz w:val="18"/>
      <w:lang w:val="en-GB" w:eastAsia="en-US"/>
    </w:rPr>
  </w:style>
  <w:style w:type="character" w:customStyle="1" w:styleId="BodyText2Char">
    <w:name w:val="Body Text 2 Char"/>
    <w:basedOn w:val="DefaultParagraphFont"/>
    <w:link w:val="BodyText2"/>
    <w:rsid w:val="00D90BC7"/>
    <w:rPr>
      <w:rFonts w:ascii="Arial" w:hAnsi="Arial"/>
      <w:i/>
      <w:sz w:val="18"/>
      <w:lang w:val="en-GB" w:eastAsia="en-US"/>
    </w:rPr>
  </w:style>
  <w:style w:type="character" w:customStyle="1" w:styleId="BodyText3Char">
    <w:name w:val="Body Text 3 Char"/>
    <w:basedOn w:val="DefaultParagraphFont"/>
    <w:link w:val="BodyText3"/>
    <w:rsid w:val="00D90BC7"/>
    <w:rPr>
      <w:rFonts w:ascii="Arial" w:hAnsi="Arial"/>
      <w:i/>
      <w:sz w:val="18"/>
      <w:lang w:val="en-GB" w:eastAsia="en-US"/>
    </w:rPr>
  </w:style>
  <w:style w:type="character" w:customStyle="1" w:styleId="BodyTextIndentChar">
    <w:name w:val="Body Text Indent Char"/>
    <w:basedOn w:val="DefaultParagraphFont"/>
    <w:link w:val="BodyTextIndent"/>
    <w:rsid w:val="00D90BC7"/>
    <w:rPr>
      <w:rFonts w:ascii="Arial" w:hAnsi="Arial"/>
      <w:sz w:val="18"/>
      <w:lang w:val="en-GB" w:eastAsia="en-US"/>
    </w:rPr>
  </w:style>
  <w:style w:type="character" w:customStyle="1" w:styleId="BalloonTextChar">
    <w:name w:val="Balloon Text Char"/>
    <w:basedOn w:val="DefaultParagraphFont"/>
    <w:link w:val="BalloonText"/>
    <w:semiHidden/>
    <w:rsid w:val="00D90BC7"/>
    <w:rPr>
      <w:rFonts w:ascii="Tahoma" w:hAnsi="Tahoma" w:cs="Tahoma"/>
      <w:sz w:val="16"/>
      <w:szCs w:val="16"/>
      <w:lang w:val="en-GB" w:eastAsia="en-US"/>
    </w:rPr>
  </w:style>
  <w:style w:type="character" w:customStyle="1" w:styleId="BodyTextFirstIndentChar">
    <w:name w:val="Body Text First Indent Char"/>
    <w:basedOn w:val="BodyTextChar"/>
    <w:link w:val="BodyTextFirstIndent"/>
    <w:rsid w:val="00D90BC7"/>
    <w:rPr>
      <w:rFonts w:ascii="Arial" w:hAnsi="Arial"/>
      <w:sz w:val="18"/>
      <w:lang w:val="en-GB" w:eastAsia="en-US"/>
    </w:rPr>
  </w:style>
  <w:style w:type="character" w:customStyle="1" w:styleId="CommentSubjectChar">
    <w:name w:val="Comment Subject Char"/>
    <w:basedOn w:val="CommentTextChar"/>
    <w:link w:val="CommentSubject"/>
    <w:semiHidden/>
    <w:rsid w:val="00D90BC7"/>
    <w:rPr>
      <w:rFonts w:ascii="Arial" w:hAnsi="Arial"/>
      <w:b/>
      <w:bCs/>
      <w:sz w:val="18"/>
      <w:lang w:val="en-GB" w:eastAsia="en-US"/>
    </w:rPr>
  </w:style>
  <w:style w:type="character" w:customStyle="1" w:styleId="EndnoteTextChar">
    <w:name w:val="Endnote Text Char"/>
    <w:basedOn w:val="DefaultParagraphFont"/>
    <w:link w:val="EndnoteText"/>
    <w:semiHidden/>
    <w:rsid w:val="00D90BC7"/>
    <w:rPr>
      <w:rFonts w:ascii="Arial" w:hAnsi="Arial"/>
      <w:lang w:val="en-GB"/>
    </w:rPr>
  </w:style>
  <w:style w:type="paragraph" w:styleId="EndnoteText">
    <w:name w:val="endnote text"/>
    <w:basedOn w:val="Normal"/>
    <w:link w:val="EndnoteTextChar"/>
    <w:semiHidden/>
    <w:unhideWhenUsed/>
    <w:rsid w:val="00D90BC7"/>
    <w:rPr>
      <w:sz w:val="20"/>
      <w:lang w:eastAsia="ru-RU"/>
    </w:rPr>
  </w:style>
  <w:style w:type="character" w:customStyle="1" w:styleId="EndnoteTextChar1">
    <w:name w:val="Endnote Text Char1"/>
    <w:basedOn w:val="DefaultParagraphFont"/>
    <w:semiHidden/>
    <w:rsid w:val="00D90BC7"/>
    <w:rPr>
      <w:rFonts w:ascii="Arial" w:hAnsi="Arial"/>
      <w:lang w:val="en-GB" w:eastAsia="en-US"/>
    </w:rPr>
  </w:style>
  <w:style w:type="paragraph" w:customStyle="1" w:styleId="NoteText">
    <w:name w:val="NoteText"/>
    <w:link w:val="NoteText0"/>
    <w:qFormat/>
    <w:rsid w:val="00BA4E7E"/>
    <w:pPr>
      <w:spacing w:before="120"/>
      <w:jc w:val="both"/>
    </w:pPr>
    <w:rPr>
      <w:rFonts w:asciiTheme="minorHAnsi" w:hAnsiTheme="minorHAnsi"/>
      <w:lang w:eastAsia="en-US"/>
    </w:rPr>
  </w:style>
  <w:style w:type="character" w:customStyle="1" w:styleId="NoteText0">
    <w:name w:val="NoteText Знак"/>
    <w:link w:val="NoteText"/>
    <w:locked/>
    <w:rsid w:val="00BA4E7E"/>
    <w:rPr>
      <w:rFonts w:asciiTheme="minorHAnsi" w:hAnsiTheme="minorHAnsi"/>
      <w:lang w:val="en-GB" w:eastAsia="en-US"/>
    </w:rPr>
  </w:style>
  <w:style w:type="paragraph" w:styleId="Caption">
    <w:name w:val="caption"/>
    <w:basedOn w:val="Normal"/>
    <w:next w:val="Normal"/>
    <w:rsid w:val="00B95AA7"/>
    <w:pPr>
      <w:widowControl w:val="0"/>
    </w:pPr>
    <w:rPr>
      <w:rFonts w:ascii="Swis721 Lt BT" w:hAnsi="Swis721 Lt BT"/>
      <w:sz w:val="24"/>
      <w:lang w:val="en-US"/>
    </w:rPr>
  </w:style>
  <w:style w:type="paragraph" w:customStyle="1" w:styleId="Bullets0">
    <w:name w:val="Bullets"/>
    <w:basedOn w:val="ABC-paragrahinNotes"/>
    <w:link w:val="BulletsChar"/>
    <w:qFormat/>
    <w:rsid w:val="00866625"/>
    <w:pPr>
      <w:widowControl w:val="0"/>
      <w:numPr>
        <w:numId w:val="29"/>
      </w:numPr>
      <w:spacing w:before="100" w:after="100"/>
    </w:pPr>
  </w:style>
  <w:style w:type="character" w:customStyle="1" w:styleId="BulletsChar">
    <w:name w:val="Bullets Char"/>
    <w:basedOn w:val="ABC-paragrahinNotesChar"/>
    <w:link w:val="Bullets0"/>
    <w:rsid w:val="00866625"/>
    <w:rPr>
      <w:rFonts w:ascii="Arial" w:hAnsi="Arial" w:cs="Arial"/>
      <w:lang w:val="en-GB" w:eastAsia="en-US"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 w:type="table" w:customStyle="1" w:styleId="a3">
    <w:basedOn w:val="TableNormal"/>
    <w:tblPr>
      <w:tblStyleRowBandSize w:val="1"/>
      <w:tblStyleColBandSize w:val="1"/>
      <w:tblCellMar>
        <w:left w:w="113" w:type="dxa"/>
        <w:right w:w="113" w:type="dxa"/>
      </w:tblCellMar>
    </w:tblPr>
  </w:style>
  <w:style w:type="table" w:customStyle="1" w:styleId="a4">
    <w:basedOn w:val="TableNormal"/>
    <w:tblPr>
      <w:tblStyleRowBandSize w:val="1"/>
      <w:tblStyleColBandSize w:val="1"/>
      <w:tblCellMar>
        <w:left w:w="113" w:type="dxa"/>
        <w:right w:w="113" w:type="dxa"/>
      </w:tblCellMar>
    </w:tblPr>
  </w:style>
  <w:style w:type="table" w:customStyle="1" w:styleId="a5">
    <w:basedOn w:val="TableNormal"/>
    <w:tblPr>
      <w:tblStyleRowBandSize w:val="1"/>
      <w:tblStyleColBandSize w:val="1"/>
      <w:tblCellMar>
        <w:left w:w="113" w:type="dxa"/>
        <w:right w:w="113" w:type="dxa"/>
      </w:tblCellMar>
    </w:tblPr>
  </w:style>
  <w:style w:type="table" w:customStyle="1" w:styleId="a6">
    <w:basedOn w:val="TableNormal"/>
    <w:tblPr>
      <w:tblStyleRowBandSize w:val="1"/>
      <w:tblStyleColBandSize w:val="1"/>
      <w:tblCellMar>
        <w:left w:w="113" w:type="dxa"/>
        <w:right w:w="113" w:type="dxa"/>
      </w:tblCellMar>
    </w:tblPr>
  </w:style>
  <w:style w:type="table" w:customStyle="1" w:styleId="a7">
    <w:basedOn w:val="TableNormal"/>
    <w:tblPr>
      <w:tblStyleRowBandSize w:val="1"/>
      <w:tblStyleColBandSize w:val="1"/>
      <w:tblCellMar>
        <w:left w:w="113" w:type="dxa"/>
        <w:right w:w="113" w:type="dxa"/>
      </w:tblCellMar>
    </w:tblPr>
  </w:style>
  <w:style w:type="table" w:customStyle="1" w:styleId="a8">
    <w:basedOn w:val="TableNormal"/>
    <w:tblPr>
      <w:tblStyleRowBandSize w:val="1"/>
      <w:tblStyleColBandSize w:val="1"/>
      <w:tblCellMar>
        <w:left w:w="113" w:type="dxa"/>
        <w:right w:w="113" w:type="dxa"/>
      </w:tblCellMar>
    </w:tblPr>
  </w:style>
  <w:style w:type="table" w:customStyle="1" w:styleId="a9">
    <w:basedOn w:val="TableNormal"/>
    <w:tblPr>
      <w:tblStyleRowBandSize w:val="1"/>
      <w:tblStyleColBandSize w:val="1"/>
      <w:tblCellMar>
        <w:left w:w="113" w:type="dxa"/>
        <w:right w:w="113" w:type="dxa"/>
      </w:tblCellMar>
    </w:tblPr>
  </w:style>
  <w:style w:type="table" w:customStyle="1" w:styleId="aa">
    <w:basedOn w:val="TableNormal"/>
    <w:tblPr>
      <w:tblStyleRowBandSize w:val="1"/>
      <w:tblStyleColBandSize w:val="1"/>
      <w:tblCellMar>
        <w:left w:w="113" w:type="dxa"/>
        <w:right w:w="113" w:type="dxa"/>
      </w:tblCellMar>
    </w:tblPr>
  </w:style>
  <w:style w:type="table" w:customStyle="1" w:styleId="ab">
    <w:basedOn w:val="TableNormal"/>
    <w:tblPr>
      <w:tblStyleRowBandSize w:val="1"/>
      <w:tblStyleColBandSize w:val="1"/>
      <w:tblCellMar>
        <w:left w:w="113" w:type="dxa"/>
        <w:right w:w="113" w:type="dxa"/>
      </w:tblCellMar>
    </w:tblPr>
  </w:style>
  <w:style w:type="table" w:customStyle="1" w:styleId="ac">
    <w:basedOn w:val="TableNormal"/>
    <w:tblPr>
      <w:tblStyleRowBandSize w:val="1"/>
      <w:tblStyleColBandSize w:val="1"/>
      <w:tblCellMar>
        <w:left w:w="113" w:type="dxa"/>
        <w:right w:w="113" w:type="dxa"/>
      </w:tblCellMar>
    </w:tblPr>
  </w:style>
  <w:style w:type="table" w:customStyle="1" w:styleId="ad">
    <w:basedOn w:val="TableNormal"/>
    <w:tblPr>
      <w:tblStyleRowBandSize w:val="1"/>
      <w:tblStyleColBandSize w:val="1"/>
      <w:tblCellMar>
        <w:left w:w="113" w:type="dxa"/>
        <w:right w:w="113" w:type="dxa"/>
      </w:tblCellMar>
    </w:tblPr>
  </w:style>
  <w:style w:type="table" w:customStyle="1" w:styleId="ae">
    <w:basedOn w:val="TableNormal"/>
    <w:tblPr>
      <w:tblStyleRowBandSize w:val="1"/>
      <w:tblStyleColBandSize w:val="1"/>
      <w:tblCellMar>
        <w:left w:w="113" w:type="dxa"/>
        <w:right w:w="113" w:type="dxa"/>
      </w:tblCellMar>
    </w:tblPr>
  </w:style>
  <w:style w:type="table" w:customStyle="1" w:styleId="af">
    <w:basedOn w:val="TableNormal"/>
    <w:tblPr>
      <w:tblStyleRowBandSize w:val="1"/>
      <w:tblStyleColBandSize w:val="1"/>
      <w:tblCellMar>
        <w:left w:w="113" w:type="dxa"/>
        <w:right w:w="113" w:type="dxa"/>
      </w:tblCellMar>
    </w:tblPr>
  </w:style>
  <w:style w:type="table" w:customStyle="1" w:styleId="af0">
    <w:basedOn w:val="TableNormal"/>
    <w:tblPr>
      <w:tblStyleRowBandSize w:val="1"/>
      <w:tblStyleColBandSize w:val="1"/>
      <w:tblCellMar>
        <w:left w:w="113" w:type="dxa"/>
        <w:right w:w="113" w:type="dxa"/>
      </w:tblCellMar>
    </w:tblPr>
  </w:style>
  <w:style w:type="table" w:customStyle="1" w:styleId="af1">
    <w:basedOn w:val="TableNormal"/>
    <w:tblPr>
      <w:tblStyleRowBandSize w:val="1"/>
      <w:tblStyleColBandSize w:val="1"/>
      <w:tblCellMar>
        <w:left w:w="113" w:type="dxa"/>
        <w:right w:w="113" w:type="dxa"/>
      </w:tblCellMar>
    </w:tblPr>
  </w:style>
  <w:style w:type="table" w:customStyle="1" w:styleId="af2">
    <w:basedOn w:val="TableNormal"/>
    <w:tblPr>
      <w:tblStyleRowBandSize w:val="1"/>
      <w:tblStyleColBandSize w:val="1"/>
      <w:tblCellMar>
        <w:left w:w="56" w:type="dxa"/>
        <w:right w:w="56" w:type="dxa"/>
      </w:tblCellMar>
    </w:tblPr>
  </w:style>
  <w:style w:type="table" w:customStyle="1" w:styleId="af3">
    <w:basedOn w:val="TableNormal"/>
    <w:tblPr>
      <w:tblStyleRowBandSize w:val="1"/>
      <w:tblStyleColBandSize w:val="1"/>
      <w:tblCellMar>
        <w:left w:w="113" w:type="dxa"/>
        <w:right w:w="113" w:type="dxa"/>
      </w:tblCellMar>
    </w:tblPr>
  </w:style>
  <w:style w:type="table" w:customStyle="1" w:styleId="af4">
    <w:basedOn w:val="TableNormal"/>
    <w:tblPr>
      <w:tblStyleRowBandSize w:val="1"/>
      <w:tblStyleColBandSize w:val="1"/>
      <w:tblCellMar>
        <w:left w:w="113" w:type="dxa"/>
        <w:right w:w="113" w:type="dxa"/>
      </w:tblCellMar>
    </w:tblPr>
  </w:style>
  <w:style w:type="table" w:customStyle="1" w:styleId="af5">
    <w:basedOn w:val="TableNormal"/>
    <w:tblPr>
      <w:tblStyleRowBandSize w:val="1"/>
      <w:tblStyleColBandSize w:val="1"/>
      <w:tblCellMar>
        <w:left w:w="113" w:type="dxa"/>
        <w:right w:w="113" w:type="dxa"/>
      </w:tblCellMar>
    </w:tblPr>
  </w:style>
  <w:style w:type="table" w:customStyle="1" w:styleId="af6">
    <w:basedOn w:val="TableNormal"/>
    <w:tblPr>
      <w:tblStyleRowBandSize w:val="1"/>
      <w:tblStyleColBandSize w:val="1"/>
      <w:tblCellMar>
        <w:left w:w="113" w:type="dxa"/>
        <w:right w:w="113" w:type="dxa"/>
      </w:tblCellMar>
    </w:tblPr>
  </w:style>
  <w:style w:type="table" w:customStyle="1" w:styleId="af7">
    <w:basedOn w:val="TableNormal"/>
    <w:tblPr>
      <w:tblStyleRowBandSize w:val="1"/>
      <w:tblStyleColBandSize w:val="1"/>
      <w:tblCellMar>
        <w:left w:w="113" w:type="dxa"/>
        <w:right w:w="113" w:type="dxa"/>
      </w:tblCellMar>
    </w:tblPr>
  </w:style>
  <w:style w:type="table" w:customStyle="1" w:styleId="af8">
    <w:basedOn w:val="TableNormal"/>
    <w:tblPr>
      <w:tblStyleRowBandSize w:val="1"/>
      <w:tblStyleColBandSize w:val="1"/>
      <w:tblCellMar>
        <w:left w:w="113" w:type="dxa"/>
        <w:right w:w="113" w:type="dxa"/>
      </w:tblCellMar>
    </w:tblPr>
  </w:style>
  <w:style w:type="table" w:customStyle="1" w:styleId="af9">
    <w:basedOn w:val="TableNormal"/>
    <w:tblPr>
      <w:tblStyleRowBandSize w:val="1"/>
      <w:tblStyleColBandSize w:val="1"/>
      <w:tblCellMar>
        <w:left w:w="113" w:type="dxa"/>
        <w:right w:w="113" w:type="dxa"/>
      </w:tblCellMar>
    </w:tblPr>
  </w:style>
  <w:style w:type="table" w:customStyle="1" w:styleId="afa">
    <w:basedOn w:val="TableNormal"/>
    <w:tblPr>
      <w:tblStyleRowBandSize w:val="1"/>
      <w:tblStyleColBandSize w:val="1"/>
      <w:tblCellMar>
        <w:left w:w="113" w:type="dxa"/>
        <w:right w:w="113" w:type="dxa"/>
      </w:tblCellMar>
    </w:tblPr>
  </w:style>
  <w:style w:type="table" w:customStyle="1" w:styleId="afb">
    <w:basedOn w:val="TableNormal"/>
    <w:tblPr>
      <w:tblStyleRowBandSize w:val="1"/>
      <w:tblStyleColBandSize w:val="1"/>
      <w:tblCellMar>
        <w:left w:w="113" w:type="dxa"/>
        <w:right w:w="113" w:type="dxa"/>
      </w:tblCellMar>
    </w:tblPr>
  </w:style>
  <w:style w:type="table" w:customStyle="1" w:styleId="afc">
    <w:basedOn w:val="TableNormal"/>
    <w:tblPr>
      <w:tblStyleRowBandSize w:val="1"/>
      <w:tblStyleColBandSize w:val="1"/>
      <w:tblCellMar>
        <w:left w:w="113" w:type="dxa"/>
        <w:right w:w="113" w:type="dxa"/>
      </w:tblCellMar>
    </w:tblPr>
  </w:style>
  <w:style w:type="table" w:customStyle="1" w:styleId="afd">
    <w:basedOn w:val="TableNormal"/>
    <w:tblPr>
      <w:tblStyleRowBandSize w:val="1"/>
      <w:tblStyleColBandSize w:val="1"/>
      <w:tblCellMar>
        <w:left w:w="113" w:type="dxa"/>
        <w:right w:w="113" w:type="dxa"/>
      </w:tblCellMar>
    </w:tblPr>
  </w:style>
  <w:style w:type="table" w:customStyle="1" w:styleId="afe">
    <w:basedOn w:val="TableNormal"/>
    <w:tblPr>
      <w:tblStyleRowBandSize w:val="1"/>
      <w:tblStyleColBandSize w:val="1"/>
      <w:tblCellMar>
        <w:left w:w="113" w:type="dxa"/>
        <w:right w:w="113" w:type="dxa"/>
      </w:tblCellMar>
    </w:tblPr>
  </w:style>
  <w:style w:type="table" w:customStyle="1" w:styleId="aff">
    <w:basedOn w:val="TableNormal"/>
    <w:tblPr>
      <w:tblStyleRowBandSize w:val="1"/>
      <w:tblStyleColBandSize w:val="1"/>
      <w:tblCellMar>
        <w:left w:w="113" w:type="dxa"/>
        <w:right w:w="113" w:type="dxa"/>
      </w:tblCellMar>
    </w:tblPr>
  </w:style>
  <w:style w:type="table" w:customStyle="1" w:styleId="aff0">
    <w:basedOn w:val="TableNormal"/>
    <w:tblPr>
      <w:tblStyleRowBandSize w:val="1"/>
      <w:tblStyleColBandSize w:val="1"/>
      <w:tblCellMar>
        <w:left w:w="113" w:type="dxa"/>
        <w:right w:w="113" w:type="dxa"/>
      </w:tblCellMar>
    </w:tblPr>
  </w:style>
  <w:style w:type="table" w:customStyle="1" w:styleId="aff1">
    <w:basedOn w:val="TableNormal"/>
    <w:tblPr>
      <w:tblStyleRowBandSize w:val="1"/>
      <w:tblStyleColBandSize w:val="1"/>
      <w:tblCellMar>
        <w:left w:w="113" w:type="dxa"/>
        <w:right w:w="113" w:type="dxa"/>
      </w:tblCellMar>
    </w:tblPr>
  </w:style>
  <w:style w:type="table" w:customStyle="1" w:styleId="aff2">
    <w:basedOn w:val="TableNormal"/>
    <w:tblPr>
      <w:tblStyleRowBandSize w:val="1"/>
      <w:tblStyleColBandSize w:val="1"/>
      <w:tblCellMar>
        <w:left w:w="113" w:type="dxa"/>
        <w:right w:w="113" w:type="dxa"/>
      </w:tblCellMar>
    </w:tblPr>
  </w:style>
  <w:style w:type="table" w:customStyle="1" w:styleId="aff3">
    <w:basedOn w:val="TableNormal"/>
    <w:tblPr>
      <w:tblStyleRowBandSize w:val="1"/>
      <w:tblStyleColBandSize w:val="1"/>
      <w:tblCellMar>
        <w:left w:w="113" w:type="dxa"/>
        <w:right w:w="113" w:type="dxa"/>
      </w:tblCellMar>
    </w:tblPr>
  </w:style>
  <w:style w:type="table" w:customStyle="1" w:styleId="aff4">
    <w:basedOn w:val="TableNormal"/>
    <w:tblPr>
      <w:tblStyleRowBandSize w:val="1"/>
      <w:tblStyleColBandSize w:val="1"/>
      <w:tblCellMar>
        <w:left w:w="113" w:type="dxa"/>
        <w:right w:w="113" w:type="dxa"/>
      </w:tblCellMar>
    </w:tblPr>
  </w:style>
  <w:style w:type="table" w:customStyle="1" w:styleId="aff5">
    <w:basedOn w:val="TableNormal"/>
    <w:tblPr>
      <w:tblStyleRowBandSize w:val="1"/>
      <w:tblStyleColBandSize w:val="1"/>
      <w:tblCellMar>
        <w:left w:w="113" w:type="dxa"/>
        <w:right w:w="113" w:type="dxa"/>
      </w:tblCellMar>
    </w:tblPr>
  </w:style>
  <w:style w:type="table" w:customStyle="1" w:styleId="aff6">
    <w:basedOn w:val="TableNormal"/>
    <w:tblPr>
      <w:tblStyleRowBandSize w:val="1"/>
      <w:tblStyleColBandSize w:val="1"/>
      <w:tblCellMar>
        <w:left w:w="113" w:type="dxa"/>
        <w:right w:w="113" w:type="dxa"/>
      </w:tblCellMar>
    </w:tblPr>
  </w:style>
  <w:style w:type="table" w:customStyle="1" w:styleId="aff7">
    <w:basedOn w:val="TableNormal"/>
    <w:tblPr>
      <w:tblStyleRowBandSize w:val="1"/>
      <w:tblStyleColBandSize w:val="1"/>
      <w:tblCellMar>
        <w:left w:w="113" w:type="dxa"/>
        <w:right w:w="113" w:type="dxa"/>
      </w:tblCellMar>
    </w:tblPr>
  </w:style>
  <w:style w:type="table" w:customStyle="1" w:styleId="aff8">
    <w:basedOn w:val="TableNormal"/>
    <w:tblPr>
      <w:tblStyleRowBandSize w:val="1"/>
      <w:tblStyleColBandSize w:val="1"/>
      <w:tblCellMar>
        <w:left w:w="113" w:type="dxa"/>
        <w:right w:w="113" w:type="dxa"/>
      </w:tblCellMar>
    </w:tblPr>
  </w:style>
  <w:style w:type="table" w:customStyle="1" w:styleId="aff9">
    <w:basedOn w:val="TableNormal"/>
    <w:tblPr>
      <w:tblStyleRowBandSize w:val="1"/>
      <w:tblStyleColBandSize w:val="1"/>
      <w:tblCellMar>
        <w:left w:w="113" w:type="dxa"/>
        <w:right w:w="113" w:type="dxa"/>
      </w:tblCellMar>
    </w:tblPr>
  </w:style>
  <w:style w:type="table" w:customStyle="1" w:styleId="affa">
    <w:basedOn w:val="TableNormal"/>
    <w:tblPr>
      <w:tblStyleRowBandSize w:val="1"/>
      <w:tblStyleColBandSize w:val="1"/>
      <w:tblCellMar>
        <w:left w:w="113" w:type="dxa"/>
        <w:right w:w="113" w:type="dxa"/>
      </w:tblCellMar>
    </w:tblPr>
  </w:style>
  <w:style w:type="table" w:customStyle="1" w:styleId="affb">
    <w:basedOn w:val="TableNormal"/>
    <w:tblPr>
      <w:tblStyleRowBandSize w:val="1"/>
      <w:tblStyleColBandSize w:val="1"/>
      <w:tblCellMar>
        <w:left w:w="113" w:type="dxa"/>
        <w:right w:w="113" w:type="dxa"/>
      </w:tblCellMar>
    </w:tblPr>
  </w:style>
  <w:style w:type="table" w:customStyle="1" w:styleId="affc">
    <w:basedOn w:val="TableNormal"/>
    <w:tblPr>
      <w:tblStyleRowBandSize w:val="1"/>
      <w:tblStyleColBandSize w:val="1"/>
      <w:tblCellMar>
        <w:left w:w="113" w:type="dxa"/>
        <w:right w:w="113" w:type="dxa"/>
      </w:tblCellMar>
    </w:tblPr>
  </w:style>
  <w:style w:type="table" w:customStyle="1" w:styleId="affd">
    <w:basedOn w:val="TableNormal"/>
    <w:tblPr>
      <w:tblStyleRowBandSize w:val="1"/>
      <w:tblStyleColBandSize w:val="1"/>
      <w:tblCellMar>
        <w:left w:w="113" w:type="dxa"/>
        <w:right w:w="113" w:type="dxa"/>
      </w:tblCellMar>
    </w:tblPr>
  </w:style>
  <w:style w:type="table" w:customStyle="1" w:styleId="affe">
    <w:basedOn w:val="TableNormal"/>
    <w:tblPr>
      <w:tblStyleRowBandSize w:val="1"/>
      <w:tblStyleColBandSize w:val="1"/>
      <w:tblCellMar>
        <w:left w:w="113" w:type="dxa"/>
        <w:right w:w="113" w:type="dxa"/>
      </w:tblCellMar>
    </w:tblPr>
  </w:style>
  <w:style w:type="table" w:customStyle="1" w:styleId="afff">
    <w:basedOn w:val="TableNormal"/>
    <w:tblPr>
      <w:tblStyleRowBandSize w:val="1"/>
      <w:tblStyleColBandSize w:val="1"/>
      <w:tblCellMar>
        <w:left w:w="113" w:type="dxa"/>
        <w:right w:w="113" w:type="dxa"/>
      </w:tblCellMar>
    </w:tblPr>
  </w:style>
  <w:style w:type="table" w:customStyle="1" w:styleId="afff0">
    <w:basedOn w:val="TableNormal"/>
    <w:tblPr>
      <w:tblStyleRowBandSize w:val="1"/>
      <w:tblStyleColBandSize w:val="1"/>
      <w:tblCellMar>
        <w:left w:w="113" w:type="dxa"/>
        <w:right w:w="113" w:type="dxa"/>
      </w:tblCellMar>
    </w:tblPr>
  </w:style>
  <w:style w:type="table" w:customStyle="1" w:styleId="afff1">
    <w:basedOn w:val="TableNormal"/>
    <w:tblPr>
      <w:tblStyleRowBandSize w:val="1"/>
      <w:tblStyleColBandSize w:val="1"/>
      <w:tblCellMar>
        <w:left w:w="113" w:type="dxa"/>
        <w:right w:w="113" w:type="dxa"/>
      </w:tblCellMar>
    </w:tblPr>
  </w:style>
  <w:style w:type="table" w:customStyle="1" w:styleId="afff2">
    <w:basedOn w:val="TableNormal"/>
    <w:tblPr>
      <w:tblStyleRowBandSize w:val="1"/>
      <w:tblStyleColBandSize w:val="1"/>
      <w:tblCellMar>
        <w:left w:w="113" w:type="dxa"/>
        <w:right w:w="113" w:type="dxa"/>
      </w:tblCellMar>
    </w:tblPr>
  </w:style>
  <w:style w:type="table" w:customStyle="1" w:styleId="afff3">
    <w:basedOn w:val="TableNormal"/>
    <w:tblPr>
      <w:tblStyleRowBandSize w:val="1"/>
      <w:tblStyleColBandSize w:val="1"/>
      <w:tblCellMar>
        <w:left w:w="113" w:type="dxa"/>
        <w:right w:w="113" w:type="dxa"/>
      </w:tblCellMar>
    </w:tblPr>
  </w:style>
  <w:style w:type="table" w:customStyle="1" w:styleId="afff4">
    <w:basedOn w:val="TableNormal"/>
    <w:tblPr>
      <w:tblStyleRowBandSize w:val="1"/>
      <w:tblStyleColBandSize w:val="1"/>
      <w:tblCellMar>
        <w:left w:w="113" w:type="dxa"/>
        <w:right w:w="113" w:type="dxa"/>
      </w:tblCellMar>
    </w:tblPr>
  </w:style>
  <w:style w:type="table" w:customStyle="1" w:styleId="afff5">
    <w:basedOn w:val="TableNormal"/>
    <w:tblPr>
      <w:tblStyleRowBandSize w:val="1"/>
      <w:tblStyleColBandSize w:val="1"/>
      <w:tblCellMar>
        <w:left w:w="113" w:type="dxa"/>
        <w:right w:w="113" w:type="dxa"/>
      </w:tblCellMar>
    </w:tblPr>
  </w:style>
  <w:style w:type="table" w:customStyle="1" w:styleId="afff6">
    <w:basedOn w:val="TableNormal"/>
    <w:tblPr>
      <w:tblStyleRowBandSize w:val="1"/>
      <w:tblStyleColBandSize w:val="1"/>
      <w:tblCellMar>
        <w:left w:w="113" w:type="dxa"/>
        <w:right w:w="113" w:type="dxa"/>
      </w:tblCellMar>
    </w:tblPr>
  </w:style>
  <w:style w:type="table" w:customStyle="1" w:styleId="afff7">
    <w:basedOn w:val="TableNormal"/>
    <w:tblPr>
      <w:tblStyleRowBandSize w:val="1"/>
      <w:tblStyleColBandSize w:val="1"/>
      <w:tblCellMar>
        <w:left w:w="113" w:type="dxa"/>
        <w:right w:w="113" w:type="dxa"/>
      </w:tblCellMar>
    </w:tblPr>
  </w:style>
  <w:style w:type="table" w:customStyle="1" w:styleId="afff8">
    <w:basedOn w:val="TableNormal"/>
    <w:tblPr>
      <w:tblStyleRowBandSize w:val="1"/>
      <w:tblStyleColBandSize w:val="1"/>
      <w:tblCellMar>
        <w:left w:w="113" w:type="dxa"/>
        <w:right w:w="113" w:type="dxa"/>
      </w:tblCellMar>
    </w:tblPr>
  </w:style>
  <w:style w:type="table" w:customStyle="1" w:styleId="afff9">
    <w:basedOn w:val="TableNormal"/>
    <w:tblPr>
      <w:tblStyleRowBandSize w:val="1"/>
      <w:tblStyleColBandSize w:val="1"/>
      <w:tblCellMar>
        <w:left w:w="113" w:type="dxa"/>
        <w:right w:w="113" w:type="dxa"/>
      </w:tblCellMar>
    </w:tblPr>
  </w:style>
  <w:style w:type="table" w:customStyle="1" w:styleId="afffa">
    <w:basedOn w:val="TableNormal"/>
    <w:tblPr>
      <w:tblStyleRowBandSize w:val="1"/>
      <w:tblStyleColBandSize w:val="1"/>
      <w:tblCellMar>
        <w:left w:w="113" w:type="dxa"/>
        <w:right w:w="113" w:type="dxa"/>
      </w:tblCellMar>
    </w:tblPr>
  </w:style>
  <w:style w:type="table" w:customStyle="1" w:styleId="afffb">
    <w:basedOn w:val="TableNormal"/>
    <w:tblPr>
      <w:tblStyleRowBandSize w:val="1"/>
      <w:tblStyleColBandSize w:val="1"/>
      <w:tblCellMar>
        <w:left w:w="113" w:type="dxa"/>
        <w:right w:w="113" w:type="dxa"/>
      </w:tblCellMar>
    </w:tblPr>
  </w:style>
  <w:style w:type="table" w:customStyle="1" w:styleId="afffc">
    <w:basedOn w:val="TableNormal"/>
    <w:tblPr>
      <w:tblStyleRowBandSize w:val="1"/>
      <w:tblStyleColBandSize w:val="1"/>
      <w:tblCellMar>
        <w:left w:w="113" w:type="dxa"/>
        <w:right w:w="113" w:type="dxa"/>
      </w:tblCellMar>
    </w:tblPr>
  </w:style>
  <w:style w:type="table" w:customStyle="1" w:styleId="afffd">
    <w:basedOn w:val="TableNormal"/>
    <w:tblPr>
      <w:tblStyleRowBandSize w:val="1"/>
      <w:tblStyleColBandSize w:val="1"/>
      <w:tblCellMar>
        <w:left w:w="113" w:type="dxa"/>
        <w:right w:w="113" w:type="dxa"/>
      </w:tblCellMar>
    </w:tblPr>
  </w:style>
  <w:style w:type="table" w:customStyle="1" w:styleId="afffe">
    <w:basedOn w:val="TableNormal"/>
    <w:tblPr>
      <w:tblStyleRowBandSize w:val="1"/>
      <w:tblStyleColBandSize w:val="1"/>
      <w:tblCellMar>
        <w:left w:w="113" w:type="dxa"/>
        <w:right w:w="113" w:type="dxa"/>
      </w:tblCellMar>
    </w:tblPr>
  </w:style>
  <w:style w:type="table" w:customStyle="1" w:styleId="affff">
    <w:basedOn w:val="TableNormal"/>
    <w:tblPr>
      <w:tblStyleRowBandSize w:val="1"/>
      <w:tblStyleColBandSize w:val="1"/>
      <w:tblCellMar>
        <w:left w:w="113" w:type="dxa"/>
        <w:right w:w="113" w:type="dxa"/>
      </w:tblCellMar>
    </w:tblPr>
  </w:style>
  <w:style w:type="table" w:customStyle="1" w:styleId="affff0">
    <w:basedOn w:val="TableNormal"/>
    <w:tblPr>
      <w:tblStyleRowBandSize w:val="1"/>
      <w:tblStyleColBandSize w:val="1"/>
      <w:tblCellMar>
        <w:left w:w="113" w:type="dxa"/>
        <w:right w:w="113" w:type="dxa"/>
      </w:tblCellMar>
    </w:tblPr>
  </w:style>
  <w:style w:type="table" w:customStyle="1" w:styleId="affff1">
    <w:basedOn w:val="TableNormal"/>
    <w:tblPr>
      <w:tblStyleRowBandSize w:val="1"/>
      <w:tblStyleColBandSize w:val="1"/>
      <w:tblCellMar>
        <w:left w:w="113" w:type="dxa"/>
        <w:right w:w="113" w:type="dxa"/>
      </w:tblCellMar>
    </w:tblPr>
  </w:style>
  <w:style w:type="table" w:customStyle="1" w:styleId="affff2">
    <w:basedOn w:val="TableNormal"/>
    <w:tblPr>
      <w:tblStyleRowBandSize w:val="1"/>
      <w:tblStyleColBandSize w:val="1"/>
      <w:tblCellMar>
        <w:left w:w="113" w:type="dxa"/>
        <w:right w:w="113" w:type="dxa"/>
      </w:tblCellMar>
    </w:tblPr>
  </w:style>
  <w:style w:type="table" w:customStyle="1" w:styleId="affff3">
    <w:basedOn w:val="TableNormal"/>
    <w:tblPr>
      <w:tblStyleRowBandSize w:val="1"/>
      <w:tblStyleColBandSize w:val="1"/>
      <w:tblCellMar>
        <w:left w:w="113" w:type="dxa"/>
        <w:right w:w="113" w:type="dxa"/>
      </w:tblCellMar>
    </w:tblPr>
  </w:style>
  <w:style w:type="table" w:customStyle="1" w:styleId="affff4">
    <w:basedOn w:val="TableNormal"/>
    <w:tblPr>
      <w:tblStyleRowBandSize w:val="1"/>
      <w:tblStyleColBandSize w:val="1"/>
      <w:tblCellMar>
        <w:left w:w="113" w:type="dxa"/>
        <w:right w:w="113" w:type="dxa"/>
      </w:tblCellMar>
    </w:tblPr>
  </w:style>
  <w:style w:type="table" w:customStyle="1" w:styleId="affff5">
    <w:basedOn w:val="TableNormal"/>
    <w:tblPr>
      <w:tblStyleRowBandSize w:val="1"/>
      <w:tblStyleColBandSize w:val="1"/>
      <w:tblCellMar>
        <w:left w:w="113" w:type="dxa"/>
        <w:right w:w="113" w:type="dxa"/>
      </w:tblCellMar>
    </w:tblPr>
  </w:style>
  <w:style w:type="table" w:customStyle="1" w:styleId="affff6">
    <w:basedOn w:val="TableNormal"/>
    <w:tblPr>
      <w:tblStyleRowBandSize w:val="1"/>
      <w:tblStyleColBandSize w:val="1"/>
      <w:tblCellMar>
        <w:left w:w="113" w:type="dxa"/>
        <w:right w:w="113" w:type="dxa"/>
      </w:tblCellMar>
    </w:tblPr>
  </w:style>
  <w:style w:type="table" w:customStyle="1" w:styleId="affff7">
    <w:basedOn w:val="TableNormal"/>
    <w:tblPr>
      <w:tblStyleRowBandSize w:val="1"/>
      <w:tblStyleColBandSize w:val="1"/>
      <w:tblCellMar>
        <w:left w:w="113" w:type="dxa"/>
        <w:right w:w="113" w:type="dxa"/>
      </w:tblCellMar>
    </w:tblPr>
  </w:style>
  <w:style w:type="table" w:customStyle="1" w:styleId="affff8">
    <w:basedOn w:val="TableNormal"/>
    <w:tblPr>
      <w:tblStyleRowBandSize w:val="1"/>
      <w:tblStyleColBandSize w:val="1"/>
      <w:tblCellMar>
        <w:left w:w="113" w:type="dxa"/>
        <w:right w:w="113" w:type="dxa"/>
      </w:tblCellMar>
    </w:tblPr>
  </w:style>
  <w:style w:type="table" w:customStyle="1" w:styleId="affff9">
    <w:basedOn w:val="TableNormal"/>
    <w:tblPr>
      <w:tblStyleRowBandSize w:val="1"/>
      <w:tblStyleColBandSize w:val="1"/>
      <w:tblCellMar>
        <w:left w:w="113" w:type="dxa"/>
        <w:right w:w="113" w:type="dxa"/>
      </w:tblCellMar>
    </w:tblPr>
  </w:style>
  <w:style w:type="table" w:customStyle="1" w:styleId="affffa">
    <w:basedOn w:val="TableNormal"/>
    <w:tblPr>
      <w:tblStyleRowBandSize w:val="1"/>
      <w:tblStyleColBandSize w:val="1"/>
      <w:tblCellMar>
        <w:left w:w="113" w:type="dxa"/>
        <w:right w:w="113" w:type="dxa"/>
      </w:tblCellMar>
    </w:tblPr>
  </w:style>
  <w:style w:type="table" w:customStyle="1" w:styleId="affffb">
    <w:basedOn w:val="TableNormal"/>
    <w:tblPr>
      <w:tblStyleRowBandSize w:val="1"/>
      <w:tblStyleColBandSize w:val="1"/>
      <w:tblCellMar>
        <w:left w:w="113" w:type="dxa"/>
        <w:right w:w="113" w:type="dxa"/>
      </w:tblCellMar>
    </w:tblPr>
  </w:style>
  <w:style w:type="table" w:customStyle="1" w:styleId="affffc">
    <w:basedOn w:val="TableNormal"/>
    <w:tblPr>
      <w:tblStyleRowBandSize w:val="1"/>
      <w:tblStyleColBandSize w:val="1"/>
      <w:tblCellMar>
        <w:left w:w="113" w:type="dxa"/>
        <w:right w:w="113" w:type="dxa"/>
      </w:tblCellMar>
    </w:tblPr>
  </w:style>
  <w:style w:type="table" w:customStyle="1" w:styleId="affffd">
    <w:basedOn w:val="TableNormal"/>
    <w:tblPr>
      <w:tblStyleRowBandSize w:val="1"/>
      <w:tblStyleColBandSize w:val="1"/>
      <w:tblCellMar>
        <w:left w:w="113" w:type="dxa"/>
        <w:right w:w="113" w:type="dxa"/>
      </w:tblCellMar>
    </w:tblPr>
  </w:style>
  <w:style w:type="table" w:customStyle="1" w:styleId="affffe">
    <w:basedOn w:val="TableNormal"/>
    <w:tblPr>
      <w:tblStyleRowBandSize w:val="1"/>
      <w:tblStyleColBandSize w:val="1"/>
      <w:tblCellMar>
        <w:left w:w="113" w:type="dxa"/>
        <w:right w:w="113" w:type="dxa"/>
      </w:tblCellMar>
    </w:tblPr>
  </w:style>
  <w:style w:type="table" w:customStyle="1" w:styleId="afffff">
    <w:basedOn w:val="TableNormal"/>
    <w:tblPr>
      <w:tblStyleRowBandSize w:val="1"/>
      <w:tblStyleColBandSize w:val="1"/>
      <w:tblCellMar>
        <w:left w:w="113" w:type="dxa"/>
        <w:right w:w="113" w:type="dxa"/>
      </w:tblCellMar>
    </w:tblPr>
  </w:style>
  <w:style w:type="table" w:customStyle="1" w:styleId="afffff0">
    <w:basedOn w:val="TableNormal"/>
    <w:tblPr>
      <w:tblStyleRowBandSize w:val="1"/>
      <w:tblStyleColBandSize w:val="1"/>
      <w:tblCellMar>
        <w:left w:w="113" w:type="dxa"/>
        <w:right w:w="113" w:type="dxa"/>
      </w:tblCellMar>
    </w:tblPr>
  </w:style>
  <w:style w:type="table" w:customStyle="1" w:styleId="afffff1">
    <w:basedOn w:val="TableNormal"/>
    <w:tblPr>
      <w:tblStyleRowBandSize w:val="1"/>
      <w:tblStyleColBandSize w:val="1"/>
      <w:tblCellMar>
        <w:left w:w="113" w:type="dxa"/>
        <w:right w:w="113" w:type="dxa"/>
      </w:tblCellMar>
    </w:tblPr>
  </w:style>
  <w:style w:type="table" w:customStyle="1" w:styleId="afffff2">
    <w:basedOn w:val="TableNormal"/>
    <w:tblPr>
      <w:tblStyleRowBandSize w:val="1"/>
      <w:tblStyleColBandSize w:val="1"/>
      <w:tblCellMar>
        <w:left w:w="113" w:type="dxa"/>
        <w:right w:w="113" w:type="dxa"/>
      </w:tblCellMar>
    </w:tblPr>
  </w:style>
  <w:style w:type="table" w:customStyle="1" w:styleId="afffff3">
    <w:basedOn w:val="TableNormal"/>
    <w:tblPr>
      <w:tblStyleRowBandSize w:val="1"/>
      <w:tblStyleColBandSize w:val="1"/>
      <w:tblCellMar>
        <w:left w:w="113" w:type="dxa"/>
        <w:right w:w="113" w:type="dxa"/>
      </w:tblCellMar>
    </w:tblPr>
  </w:style>
  <w:style w:type="table" w:customStyle="1" w:styleId="afffff4">
    <w:basedOn w:val="TableNormal"/>
    <w:tblPr>
      <w:tblStyleRowBandSize w:val="1"/>
      <w:tblStyleColBandSize w:val="1"/>
      <w:tblCellMar>
        <w:left w:w="113" w:type="dxa"/>
        <w:right w:w="113" w:type="dxa"/>
      </w:tblCellMar>
    </w:tblPr>
  </w:style>
  <w:style w:type="table" w:customStyle="1" w:styleId="afffff5">
    <w:basedOn w:val="TableNormal"/>
    <w:tblPr>
      <w:tblStyleRowBandSize w:val="1"/>
      <w:tblStyleColBandSize w:val="1"/>
      <w:tblCellMar>
        <w:left w:w="113" w:type="dxa"/>
        <w:right w:w="113" w:type="dxa"/>
      </w:tblCellMar>
    </w:tblPr>
  </w:style>
  <w:style w:type="table" w:customStyle="1" w:styleId="afffff6">
    <w:basedOn w:val="TableNormal"/>
    <w:tblPr>
      <w:tblStyleRowBandSize w:val="1"/>
      <w:tblStyleColBandSize w:val="1"/>
      <w:tblCellMar>
        <w:left w:w="113" w:type="dxa"/>
        <w:right w:w="113" w:type="dxa"/>
      </w:tblCellMar>
    </w:tblPr>
  </w:style>
  <w:style w:type="table" w:customStyle="1" w:styleId="afffff7">
    <w:basedOn w:val="TableNormal"/>
    <w:tblPr>
      <w:tblStyleRowBandSize w:val="1"/>
      <w:tblStyleColBandSize w:val="1"/>
      <w:tblCellMar>
        <w:left w:w="113" w:type="dxa"/>
        <w:right w:w="113" w:type="dxa"/>
      </w:tblCellMar>
    </w:tblPr>
  </w:style>
  <w:style w:type="table" w:customStyle="1" w:styleId="afffff8">
    <w:basedOn w:val="TableNormal"/>
    <w:tblPr>
      <w:tblStyleRowBandSize w:val="1"/>
      <w:tblStyleColBandSize w:val="1"/>
      <w:tblCellMar>
        <w:left w:w="113" w:type="dxa"/>
        <w:right w:w="113" w:type="dxa"/>
      </w:tblCellMar>
    </w:tblPr>
  </w:style>
  <w:style w:type="table" w:customStyle="1" w:styleId="afffff9">
    <w:basedOn w:val="TableNormal"/>
    <w:tblPr>
      <w:tblStyleRowBandSize w:val="1"/>
      <w:tblStyleColBandSize w:val="1"/>
      <w:tblCellMar>
        <w:left w:w="113" w:type="dxa"/>
        <w:right w:w="113" w:type="dxa"/>
      </w:tblCellMar>
    </w:tblPr>
  </w:style>
  <w:style w:type="table" w:customStyle="1" w:styleId="afffffa">
    <w:basedOn w:val="TableNormal"/>
    <w:tblPr>
      <w:tblStyleRowBandSize w:val="1"/>
      <w:tblStyleColBandSize w:val="1"/>
      <w:tblCellMar>
        <w:left w:w="113" w:type="dxa"/>
        <w:right w:w="113" w:type="dxa"/>
      </w:tblCellMar>
    </w:tblPr>
  </w:style>
  <w:style w:type="table" w:customStyle="1" w:styleId="afffffb">
    <w:basedOn w:val="TableNormal"/>
    <w:tblPr>
      <w:tblStyleRowBandSize w:val="1"/>
      <w:tblStyleColBandSize w:val="1"/>
      <w:tblCellMar>
        <w:left w:w="113" w:type="dxa"/>
        <w:right w:w="113" w:type="dxa"/>
      </w:tblCellMar>
    </w:tblPr>
  </w:style>
  <w:style w:type="table" w:customStyle="1" w:styleId="afffffc">
    <w:basedOn w:val="TableNormal"/>
    <w:tblPr>
      <w:tblStyleRowBandSize w:val="1"/>
      <w:tblStyleColBandSize w:val="1"/>
      <w:tblCellMar>
        <w:left w:w="113" w:type="dxa"/>
        <w:right w:w="113" w:type="dxa"/>
      </w:tblCellMar>
    </w:tblPr>
  </w:style>
  <w:style w:type="table" w:customStyle="1" w:styleId="afffffd">
    <w:basedOn w:val="TableNormal"/>
    <w:tblPr>
      <w:tblStyleRowBandSize w:val="1"/>
      <w:tblStyleColBandSize w:val="1"/>
      <w:tblCellMar>
        <w:left w:w="113" w:type="dxa"/>
        <w:right w:w="113" w:type="dxa"/>
      </w:tblCellMar>
    </w:tblPr>
  </w:style>
  <w:style w:type="table" w:customStyle="1" w:styleId="afffffe">
    <w:basedOn w:val="TableNormal"/>
    <w:tblPr>
      <w:tblStyleRowBandSize w:val="1"/>
      <w:tblStyleColBandSize w:val="1"/>
      <w:tblCellMar>
        <w:left w:w="113" w:type="dxa"/>
        <w:right w:w="113" w:type="dxa"/>
      </w:tblCellMar>
    </w:tblPr>
  </w:style>
  <w:style w:type="table" w:customStyle="1" w:styleId="affffff">
    <w:basedOn w:val="TableNormal"/>
    <w:tblPr>
      <w:tblStyleRowBandSize w:val="1"/>
      <w:tblStyleColBandSize w:val="1"/>
      <w:tblCellMar>
        <w:left w:w="56" w:type="dxa"/>
        <w:right w:w="56" w:type="dxa"/>
      </w:tblCellMar>
    </w:tblPr>
  </w:style>
  <w:style w:type="table" w:customStyle="1" w:styleId="affffff0">
    <w:basedOn w:val="TableNormal"/>
    <w:tblPr>
      <w:tblStyleRowBandSize w:val="1"/>
      <w:tblStyleColBandSize w:val="1"/>
      <w:tblCellMar>
        <w:left w:w="56" w:type="dxa"/>
        <w:right w:w="56" w:type="dxa"/>
      </w:tblCellMar>
    </w:tblPr>
  </w:style>
  <w:style w:type="table" w:customStyle="1" w:styleId="affffff1">
    <w:basedOn w:val="TableNormal"/>
    <w:tblPr>
      <w:tblStyleRowBandSize w:val="1"/>
      <w:tblStyleColBandSize w:val="1"/>
      <w:tblCellMar>
        <w:left w:w="113" w:type="dxa"/>
        <w:right w:w="113" w:type="dxa"/>
      </w:tblCellMar>
    </w:tblPr>
  </w:style>
  <w:style w:type="table" w:customStyle="1" w:styleId="affffff2">
    <w:basedOn w:val="TableNormal"/>
    <w:tblPr>
      <w:tblStyleRowBandSize w:val="1"/>
      <w:tblStyleColBandSize w:val="1"/>
      <w:tblCellMar>
        <w:left w:w="113" w:type="dxa"/>
        <w:right w:w="113" w:type="dxa"/>
      </w:tblCellMar>
    </w:tblPr>
  </w:style>
  <w:style w:type="table" w:customStyle="1" w:styleId="affffff3">
    <w:basedOn w:val="TableNormal"/>
    <w:tblPr>
      <w:tblStyleRowBandSize w:val="1"/>
      <w:tblStyleColBandSize w:val="1"/>
      <w:tblCellMar>
        <w:left w:w="113" w:type="dxa"/>
        <w:right w:w="113" w:type="dxa"/>
      </w:tblCellMar>
    </w:tblPr>
  </w:style>
  <w:style w:type="table" w:customStyle="1" w:styleId="affffff4">
    <w:basedOn w:val="TableNormal"/>
    <w:tblPr>
      <w:tblStyleRowBandSize w:val="1"/>
      <w:tblStyleColBandSize w:val="1"/>
      <w:tblCellMar>
        <w:left w:w="113" w:type="dxa"/>
        <w:right w:w="113" w:type="dxa"/>
      </w:tblCellMar>
    </w:tblPr>
  </w:style>
  <w:style w:type="table" w:customStyle="1" w:styleId="affffff5">
    <w:basedOn w:val="TableNormal"/>
    <w:tblPr>
      <w:tblStyleRowBandSize w:val="1"/>
      <w:tblStyleColBandSize w:val="1"/>
      <w:tblCellMar>
        <w:left w:w="56" w:type="dxa"/>
        <w:right w:w="56" w:type="dxa"/>
      </w:tblCellMar>
    </w:tblPr>
  </w:style>
  <w:style w:type="table" w:customStyle="1" w:styleId="affffff6">
    <w:basedOn w:val="TableNormal"/>
    <w:tblPr>
      <w:tblStyleRowBandSize w:val="1"/>
      <w:tblStyleColBandSize w:val="1"/>
      <w:tblCellMar>
        <w:left w:w="56" w:type="dxa"/>
        <w:right w:w="56" w:type="dxa"/>
      </w:tblCellMar>
    </w:tblPr>
  </w:style>
  <w:style w:type="table" w:customStyle="1" w:styleId="affffff7">
    <w:basedOn w:val="TableNormal"/>
    <w:tblPr>
      <w:tblStyleRowBandSize w:val="1"/>
      <w:tblStyleColBandSize w:val="1"/>
      <w:tblCellMar>
        <w:left w:w="113" w:type="dxa"/>
        <w:right w:w="113" w:type="dxa"/>
      </w:tblCellMar>
    </w:tblPr>
  </w:style>
  <w:style w:type="table" w:customStyle="1" w:styleId="affffff8">
    <w:basedOn w:val="TableNormal"/>
    <w:tblPr>
      <w:tblStyleRowBandSize w:val="1"/>
      <w:tblStyleColBandSize w:val="1"/>
      <w:tblCellMar>
        <w:left w:w="113" w:type="dxa"/>
        <w:right w:w="113" w:type="dxa"/>
      </w:tblCellMar>
    </w:tblPr>
  </w:style>
  <w:style w:type="table" w:customStyle="1" w:styleId="affffff9">
    <w:basedOn w:val="TableNormal"/>
    <w:tblPr>
      <w:tblStyleRowBandSize w:val="1"/>
      <w:tblStyleColBandSize w:val="1"/>
      <w:tblCellMar>
        <w:left w:w="113" w:type="dxa"/>
        <w:right w:w="113" w:type="dxa"/>
      </w:tblCellMar>
    </w:tblPr>
  </w:style>
  <w:style w:type="table" w:customStyle="1" w:styleId="affffffa">
    <w:basedOn w:val="TableNormal"/>
    <w:tblPr>
      <w:tblStyleRowBandSize w:val="1"/>
      <w:tblStyleColBandSize w:val="1"/>
      <w:tblCellMar>
        <w:left w:w="113" w:type="dxa"/>
        <w:right w:w="113" w:type="dxa"/>
      </w:tblCellMar>
    </w:tblPr>
  </w:style>
  <w:style w:type="table" w:customStyle="1" w:styleId="affffffb">
    <w:basedOn w:val="TableNormal"/>
    <w:tblPr>
      <w:tblStyleRowBandSize w:val="1"/>
      <w:tblStyleColBandSize w:val="1"/>
      <w:tblCellMar>
        <w:left w:w="113" w:type="dxa"/>
        <w:right w:w="113" w:type="dxa"/>
      </w:tblCellMar>
    </w:tblPr>
  </w:style>
  <w:style w:type="table" w:customStyle="1" w:styleId="affffffc">
    <w:basedOn w:val="TableNormal"/>
    <w:tblPr>
      <w:tblStyleRowBandSize w:val="1"/>
      <w:tblStyleColBandSize w:val="1"/>
      <w:tblCellMar>
        <w:left w:w="113" w:type="dxa"/>
        <w:right w:w="113" w:type="dxa"/>
      </w:tblCellMar>
    </w:tblPr>
  </w:style>
  <w:style w:type="table" w:customStyle="1" w:styleId="affffffd">
    <w:basedOn w:val="TableNormal"/>
    <w:tblPr>
      <w:tblStyleRowBandSize w:val="1"/>
      <w:tblStyleColBandSize w:val="1"/>
      <w:tblCellMar>
        <w:left w:w="113" w:type="dxa"/>
        <w:right w:w="113" w:type="dxa"/>
      </w:tblCellMar>
    </w:tblPr>
  </w:style>
  <w:style w:type="table" w:customStyle="1" w:styleId="affffffe">
    <w:basedOn w:val="TableNormal"/>
    <w:tblPr>
      <w:tblStyleRowBandSize w:val="1"/>
      <w:tblStyleColBandSize w:val="1"/>
      <w:tblCellMar>
        <w:left w:w="113" w:type="dxa"/>
        <w:right w:w="113" w:type="dxa"/>
      </w:tblCellMar>
    </w:tblPr>
  </w:style>
  <w:style w:type="table" w:customStyle="1" w:styleId="afffffff">
    <w:basedOn w:val="TableNormal"/>
    <w:tblPr>
      <w:tblStyleRowBandSize w:val="1"/>
      <w:tblStyleColBandSize w:val="1"/>
      <w:tblCellMar>
        <w:left w:w="113" w:type="dxa"/>
        <w:right w:w="113" w:type="dxa"/>
      </w:tblCellMar>
    </w:tblPr>
  </w:style>
  <w:style w:type="table" w:customStyle="1" w:styleId="afffffff0">
    <w:basedOn w:val="TableNormal"/>
    <w:tblPr>
      <w:tblStyleRowBandSize w:val="1"/>
      <w:tblStyleColBandSize w:val="1"/>
      <w:tblCellMar>
        <w:left w:w="113" w:type="dxa"/>
        <w:right w:w="113" w:type="dxa"/>
      </w:tblCellMar>
    </w:tblPr>
  </w:style>
  <w:style w:type="table" w:customStyle="1" w:styleId="afffffff1">
    <w:basedOn w:val="TableNormal"/>
    <w:tblPr>
      <w:tblStyleRowBandSize w:val="1"/>
      <w:tblStyleColBandSize w:val="1"/>
      <w:tblCellMar>
        <w:left w:w="113" w:type="dxa"/>
        <w:right w:w="113" w:type="dxa"/>
      </w:tblCellMar>
    </w:tblPr>
  </w:style>
  <w:style w:type="table" w:customStyle="1" w:styleId="afffffff2">
    <w:basedOn w:val="TableNormal"/>
    <w:tblPr>
      <w:tblStyleRowBandSize w:val="1"/>
      <w:tblStyleColBandSize w:val="1"/>
      <w:tblCellMar>
        <w:left w:w="113" w:type="dxa"/>
        <w:right w:w="113" w:type="dxa"/>
      </w:tblCellMar>
    </w:tblPr>
  </w:style>
  <w:style w:type="table" w:customStyle="1" w:styleId="afffffff3">
    <w:basedOn w:val="TableNormal"/>
    <w:tblPr>
      <w:tblStyleRowBandSize w:val="1"/>
      <w:tblStyleColBandSize w:val="1"/>
      <w:tblCellMar>
        <w:left w:w="113" w:type="dxa"/>
        <w:right w:w="113" w:type="dxa"/>
      </w:tblCellMar>
    </w:tblPr>
  </w:style>
  <w:style w:type="table" w:customStyle="1" w:styleId="afffffff4">
    <w:basedOn w:val="TableNormal"/>
    <w:tblPr>
      <w:tblStyleRowBandSize w:val="1"/>
      <w:tblStyleColBandSize w:val="1"/>
      <w:tblCellMar>
        <w:left w:w="113" w:type="dxa"/>
        <w:right w:w="113" w:type="dxa"/>
      </w:tblCellMar>
    </w:tblPr>
  </w:style>
  <w:style w:type="table" w:customStyle="1" w:styleId="afffffff5">
    <w:basedOn w:val="TableNormal"/>
    <w:tblPr>
      <w:tblStyleRowBandSize w:val="1"/>
      <w:tblStyleColBandSize w:val="1"/>
      <w:tblCellMar>
        <w:left w:w="113" w:type="dxa"/>
        <w:right w:w="113" w:type="dxa"/>
      </w:tblCellMar>
    </w:tblPr>
  </w:style>
  <w:style w:type="table" w:customStyle="1" w:styleId="afffffff6">
    <w:basedOn w:val="TableNormal"/>
    <w:tblPr>
      <w:tblStyleRowBandSize w:val="1"/>
      <w:tblStyleColBandSize w:val="1"/>
      <w:tblCellMar>
        <w:left w:w="113" w:type="dxa"/>
        <w:right w:w="113" w:type="dxa"/>
      </w:tblCellMar>
    </w:tblPr>
  </w:style>
  <w:style w:type="table" w:customStyle="1" w:styleId="afffffff7">
    <w:basedOn w:val="TableNormal"/>
    <w:tblPr>
      <w:tblStyleRowBandSize w:val="1"/>
      <w:tblStyleColBandSize w:val="1"/>
      <w:tblCellMar>
        <w:left w:w="113" w:type="dxa"/>
        <w:right w:w="113" w:type="dxa"/>
      </w:tblCellMar>
    </w:tblPr>
  </w:style>
  <w:style w:type="table" w:customStyle="1" w:styleId="afffffff8">
    <w:basedOn w:val="TableNormal"/>
    <w:tblPr>
      <w:tblStyleRowBandSize w:val="1"/>
      <w:tblStyleColBandSize w:val="1"/>
      <w:tblCellMar>
        <w:left w:w="113" w:type="dxa"/>
        <w:right w:w="113" w:type="dxa"/>
      </w:tblCellMar>
    </w:tblPr>
  </w:style>
  <w:style w:type="table" w:customStyle="1" w:styleId="afffffff9">
    <w:basedOn w:val="TableNormal"/>
    <w:tblPr>
      <w:tblStyleRowBandSize w:val="1"/>
      <w:tblStyleColBandSize w:val="1"/>
      <w:tblCellMar>
        <w:left w:w="113" w:type="dxa"/>
        <w:right w:w="113" w:type="dxa"/>
      </w:tblCellMar>
    </w:tblPr>
  </w:style>
  <w:style w:type="table" w:customStyle="1" w:styleId="afffffffa">
    <w:basedOn w:val="TableNormal"/>
    <w:tblPr>
      <w:tblStyleRowBandSize w:val="1"/>
      <w:tblStyleColBandSize w:val="1"/>
      <w:tblCellMar>
        <w:left w:w="113" w:type="dxa"/>
        <w:right w:w="113" w:type="dxa"/>
      </w:tblCellMar>
    </w:tblPr>
  </w:style>
  <w:style w:type="table" w:customStyle="1" w:styleId="afffffffb">
    <w:basedOn w:val="TableNormal"/>
    <w:tblPr>
      <w:tblStyleRowBandSize w:val="1"/>
      <w:tblStyleColBandSize w:val="1"/>
      <w:tblCellMar>
        <w:left w:w="113" w:type="dxa"/>
        <w:right w:w="113" w:type="dxa"/>
      </w:tblCellMar>
    </w:tblPr>
  </w:style>
  <w:style w:type="table" w:customStyle="1" w:styleId="afffffffc">
    <w:basedOn w:val="TableNormal"/>
    <w:tblPr>
      <w:tblStyleRowBandSize w:val="1"/>
      <w:tblStyleColBandSize w:val="1"/>
      <w:tblCellMar>
        <w:left w:w="113" w:type="dxa"/>
        <w:right w:w="113" w:type="dxa"/>
      </w:tblCellMar>
    </w:tblPr>
  </w:style>
  <w:style w:type="table" w:customStyle="1" w:styleId="afffffffd">
    <w:basedOn w:val="TableNormal"/>
    <w:tblPr>
      <w:tblStyleRowBandSize w:val="1"/>
      <w:tblStyleColBandSize w:val="1"/>
      <w:tblCellMar>
        <w:left w:w="113" w:type="dxa"/>
        <w:right w:w="113" w:type="dxa"/>
      </w:tblCellMar>
    </w:tblPr>
  </w:style>
  <w:style w:type="table" w:customStyle="1" w:styleId="afffffffe">
    <w:basedOn w:val="TableNormal"/>
    <w:tblPr>
      <w:tblStyleRowBandSize w:val="1"/>
      <w:tblStyleColBandSize w:val="1"/>
      <w:tblCellMar>
        <w:left w:w="113" w:type="dxa"/>
        <w:right w:w="113" w:type="dxa"/>
      </w:tblCellMar>
    </w:tblPr>
  </w:style>
  <w:style w:type="table" w:customStyle="1" w:styleId="affffffff">
    <w:basedOn w:val="TableNormal"/>
    <w:tblPr>
      <w:tblStyleRowBandSize w:val="1"/>
      <w:tblStyleColBandSize w:val="1"/>
      <w:tblCellMar>
        <w:left w:w="113" w:type="dxa"/>
        <w:right w:w="113" w:type="dxa"/>
      </w:tblCellMar>
    </w:tblPr>
  </w:style>
  <w:style w:type="table" w:customStyle="1" w:styleId="affffffff0">
    <w:basedOn w:val="TableNormal"/>
    <w:tblPr>
      <w:tblStyleRowBandSize w:val="1"/>
      <w:tblStyleColBandSize w:val="1"/>
      <w:tblCellMar>
        <w:left w:w="113" w:type="dxa"/>
        <w:right w:w="113" w:type="dxa"/>
      </w:tblCellMar>
    </w:tblPr>
  </w:style>
  <w:style w:type="table" w:customStyle="1" w:styleId="affffffff1">
    <w:basedOn w:val="TableNormal"/>
    <w:tblPr>
      <w:tblStyleRowBandSize w:val="1"/>
      <w:tblStyleColBandSize w:val="1"/>
      <w:tblCellMar>
        <w:left w:w="113" w:type="dxa"/>
        <w:right w:w="113" w:type="dxa"/>
      </w:tblCellMar>
    </w:tblPr>
  </w:style>
  <w:style w:type="table" w:customStyle="1" w:styleId="affffffff2">
    <w:basedOn w:val="TableNormal"/>
    <w:tblPr>
      <w:tblStyleRowBandSize w:val="1"/>
      <w:tblStyleColBandSize w:val="1"/>
      <w:tblCellMar>
        <w:left w:w="113" w:type="dxa"/>
        <w:right w:w="113" w:type="dxa"/>
      </w:tblCellMar>
    </w:tblPr>
  </w:style>
  <w:style w:type="table" w:customStyle="1" w:styleId="affffffff3">
    <w:basedOn w:val="TableNormal"/>
    <w:tblPr>
      <w:tblStyleRowBandSize w:val="1"/>
      <w:tblStyleColBandSize w:val="1"/>
      <w:tblCellMar>
        <w:left w:w="113" w:type="dxa"/>
        <w:right w:w="113" w:type="dxa"/>
      </w:tblCellMar>
    </w:tblPr>
  </w:style>
  <w:style w:type="table" w:customStyle="1" w:styleId="affffffff4">
    <w:basedOn w:val="TableNormal"/>
    <w:tblPr>
      <w:tblStyleRowBandSize w:val="1"/>
      <w:tblStyleColBandSize w:val="1"/>
      <w:tblCellMar>
        <w:left w:w="113" w:type="dxa"/>
        <w:right w:w="113" w:type="dxa"/>
      </w:tblCellMar>
    </w:tblPr>
  </w:style>
  <w:style w:type="table" w:customStyle="1" w:styleId="affffffff5">
    <w:basedOn w:val="TableNormal"/>
    <w:tblPr>
      <w:tblStyleRowBandSize w:val="1"/>
      <w:tblStyleColBandSize w:val="1"/>
      <w:tblCellMar>
        <w:left w:w="113" w:type="dxa"/>
        <w:right w:w="113" w:type="dxa"/>
      </w:tblCellMar>
    </w:tblPr>
  </w:style>
  <w:style w:type="table" w:customStyle="1" w:styleId="affffffff6">
    <w:basedOn w:val="TableNormal"/>
    <w:tblPr>
      <w:tblStyleRowBandSize w:val="1"/>
      <w:tblStyleColBandSize w:val="1"/>
      <w:tblCellMar>
        <w:left w:w="113" w:type="dxa"/>
        <w:right w:w="113" w:type="dxa"/>
      </w:tblCellMar>
    </w:tblPr>
  </w:style>
  <w:style w:type="table" w:customStyle="1" w:styleId="affffffff7">
    <w:basedOn w:val="TableNormal"/>
    <w:tblPr>
      <w:tblStyleRowBandSize w:val="1"/>
      <w:tblStyleColBandSize w:val="1"/>
      <w:tblCellMar>
        <w:left w:w="113" w:type="dxa"/>
        <w:right w:w="113" w:type="dxa"/>
      </w:tblCellMar>
    </w:tblPr>
  </w:style>
  <w:style w:type="table" w:customStyle="1" w:styleId="affffffff8">
    <w:basedOn w:val="TableNormal"/>
    <w:tblPr>
      <w:tblStyleRowBandSize w:val="1"/>
      <w:tblStyleColBandSize w:val="1"/>
      <w:tblCellMar>
        <w:left w:w="113" w:type="dxa"/>
        <w:right w:w="113" w:type="dxa"/>
      </w:tblCellMar>
    </w:tblPr>
  </w:style>
  <w:style w:type="table" w:customStyle="1" w:styleId="affffffff9">
    <w:basedOn w:val="TableNormal"/>
    <w:tblPr>
      <w:tblStyleRowBandSize w:val="1"/>
      <w:tblStyleColBandSize w:val="1"/>
      <w:tblCellMar>
        <w:left w:w="113" w:type="dxa"/>
        <w:right w:w="113" w:type="dxa"/>
      </w:tblCellMar>
    </w:tblPr>
  </w:style>
  <w:style w:type="table" w:customStyle="1" w:styleId="affffffffa">
    <w:basedOn w:val="TableNormal"/>
    <w:tblPr>
      <w:tblStyleRowBandSize w:val="1"/>
      <w:tblStyleColBandSize w:val="1"/>
      <w:tblCellMar>
        <w:left w:w="113" w:type="dxa"/>
        <w:right w:w="113" w:type="dxa"/>
      </w:tblCellMar>
    </w:tblPr>
  </w:style>
  <w:style w:type="table" w:customStyle="1" w:styleId="affffffffb">
    <w:basedOn w:val="TableNormal"/>
    <w:tblPr>
      <w:tblStyleRowBandSize w:val="1"/>
      <w:tblStyleColBandSize w:val="1"/>
      <w:tblCellMar>
        <w:left w:w="113" w:type="dxa"/>
        <w:right w:w="113" w:type="dxa"/>
      </w:tblCellMar>
    </w:tblPr>
  </w:style>
  <w:style w:type="table" w:customStyle="1" w:styleId="affffffffc">
    <w:basedOn w:val="TableNormal"/>
    <w:tblPr>
      <w:tblStyleRowBandSize w:val="1"/>
      <w:tblStyleColBandSize w:val="1"/>
      <w:tblCellMar>
        <w:left w:w="113" w:type="dxa"/>
        <w:right w:w="113" w:type="dxa"/>
      </w:tblCellMar>
    </w:tblPr>
  </w:style>
  <w:style w:type="table" w:customStyle="1" w:styleId="affffffffd">
    <w:basedOn w:val="TableNormal"/>
    <w:tblPr>
      <w:tblStyleRowBandSize w:val="1"/>
      <w:tblStyleColBandSize w:val="1"/>
      <w:tblCellMar>
        <w:left w:w="113" w:type="dxa"/>
        <w:right w:w="113" w:type="dxa"/>
      </w:tblCellMar>
    </w:tblPr>
  </w:style>
  <w:style w:type="table" w:customStyle="1" w:styleId="affffffffe">
    <w:basedOn w:val="TableNormal"/>
    <w:tblPr>
      <w:tblStyleRowBandSize w:val="1"/>
      <w:tblStyleColBandSize w:val="1"/>
      <w:tblCellMar>
        <w:left w:w="113" w:type="dxa"/>
        <w:right w:w="113" w:type="dxa"/>
      </w:tblCellMar>
    </w:tblPr>
  </w:style>
  <w:style w:type="table" w:customStyle="1" w:styleId="afffffffff">
    <w:basedOn w:val="TableNormal"/>
    <w:tblPr>
      <w:tblStyleRowBandSize w:val="1"/>
      <w:tblStyleColBandSize w:val="1"/>
      <w:tblCellMar>
        <w:left w:w="113" w:type="dxa"/>
        <w:right w:w="113" w:type="dxa"/>
      </w:tblCellMar>
    </w:tblPr>
  </w:style>
  <w:style w:type="table" w:customStyle="1" w:styleId="afffffffff0">
    <w:basedOn w:val="TableNormal"/>
    <w:tblPr>
      <w:tblStyleRowBandSize w:val="1"/>
      <w:tblStyleColBandSize w:val="1"/>
      <w:tblCellMar>
        <w:left w:w="113" w:type="dxa"/>
        <w:right w:w="113" w:type="dxa"/>
      </w:tblCellMar>
    </w:tblPr>
  </w:style>
  <w:style w:type="table" w:customStyle="1" w:styleId="afffffffff1">
    <w:basedOn w:val="TableNormal"/>
    <w:tblPr>
      <w:tblStyleRowBandSize w:val="1"/>
      <w:tblStyleColBandSize w:val="1"/>
      <w:tblCellMar>
        <w:left w:w="113" w:type="dxa"/>
        <w:right w:w="113" w:type="dxa"/>
      </w:tblCellMar>
    </w:tblPr>
  </w:style>
  <w:style w:type="table" w:customStyle="1" w:styleId="afffffffff2">
    <w:basedOn w:val="TableNormal"/>
    <w:tblPr>
      <w:tblStyleRowBandSize w:val="1"/>
      <w:tblStyleColBandSize w:val="1"/>
      <w:tblCellMar>
        <w:left w:w="113" w:type="dxa"/>
        <w:right w:w="113" w:type="dxa"/>
      </w:tblCellMar>
    </w:tblPr>
  </w:style>
  <w:style w:type="table" w:customStyle="1" w:styleId="afffffffff3">
    <w:basedOn w:val="TableNormal"/>
    <w:tblPr>
      <w:tblStyleRowBandSize w:val="1"/>
      <w:tblStyleColBandSize w:val="1"/>
      <w:tblCellMar>
        <w:left w:w="113" w:type="dxa"/>
        <w:right w:w="113" w:type="dxa"/>
      </w:tblCellMar>
    </w:tblPr>
  </w:style>
  <w:style w:type="table" w:customStyle="1" w:styleId="afffffffff4">
    <w:basedOn w:val="TableNormal"/>
    <w:tblPr>
      <w:tblStyleRowBandSize w:val="1"/>
      <w:tblStyleColBandSize w:val="1"/>
      <w:tblCellMar>
        <w:left w:w="113" w:type="dxa"/>
        <w:right w:w="113" w:type="dxa"/>
      </w:tblCellMar>
    </w:tblPr>
  </w:style>
  <w:style w:type="table" w:customStyle="1" w:styleId="afffffffff5">
    <w:basedOn w:val="TableNormal"/>
    <w:tblPr>
      <w:tblStyleRowBandSize w:val="1"/>
      <w:tblStyleColBandSize w:val="1"/>
      <w:tblCellMar>
        <w:left w:w="113" w:type="dxa"/>
        <w:right w:w="113" w:type="dxa"/>
      </w:tblCellMar>
    </w:tblPr>
  </w:style>
  <w:style w:type="table" w:customStyle="1" w:styleId="afffffffff6">
    <w:basedOn w:val="TableNormal"/>
    <w:tblPr>
      <w:tblStyleRowBandSize w:val="1"/>
      <w:tblStyleColBandSize w:val="1"/>
      <w:tblCellMar>
        <w:left w:w="113" w:type="dxa"/>
        <w:right w:w="113" w:type="dxa"/>
      </w:tblCellMar>
    </w:tblPr>
  </w:style>
  <w:style w:type="table" w:customStyle="1" w:styleId="afffffffff7">
    <w:basedOn w:val="TableNormal"/>
    <w:tblPr>
      <w:tblStyleRowBandSize w:val="1"/>
      <w:tblStyleColBandSize w:val="1"/>
      <w:tblCellMar>
        <w:left w:w="113" w:type="dxa"/>
        <w:right w:w="113" w:type="dxa"/>
      </w:tblCellMar>
    </w:tblPr>
  </w:style>
  <w:style w:type="table" w:customStyle="1" w:styleId="afffffffff8">
    <w:basedOn w:val="TableNormal"/>
    <w:tblPr>
      <w:tblStyleRowBandSize w:val="1"/>
      <w:tblStyleColBandSize w:val="1"/>
      <w:tblCellMar>
        <w:left w:w="113" w:type="dxa"/>
        <w:right w:w="113" w:type="dxa"/>
      </w:tblCellMar>
    </w:tblPr>
  </w:style>
  <w:style w:type="table" w:customStyle="1" w:styleId="afffffffff9">
    <w:basedOn w:val="TableNormal"/>
    <w:tblPr>
      <w:tblStyleRowBandSize w:val="1"/>
      <w:tblStyleColBandSize w:val="1"/>
      <w:tblCellMar>
        <w:left w:w="113" w:type="dxa"/>
        <w:right w:w="113" w:type="dxa"/>
      </w:tblCellMar>
    </w:tblPr>
  </w:style>
  <w:style w:type="table" w:customStyle="1" w:styleId="afffffffffa">
    <w:basedOn w:val="TableNormal"/>
    <w:tblPr>
      <w:tblStyleRowBandSize w:val="1"/>
      <w:tblStyleColBandSize w:val="1"/>
      <w:tblCellMar>
        <w:left w:w="113" w:type="dxa"/>
        <w:right w:w="113" w:type="dxa"/>
      </w:tblCellMar>
    </w:tblPr>
  </w:style>
  <w:style w:type="table" w:customStyle="1" w:styleId="afffffffffb">
    <w:basedOn w:val="TableNormal"/>
    <w:tblPr>
      <w:tblStyleRowBandSize w:val="1"/>
      <w:tblStyleColBandSize w:val="1"/>
      <w:tblCellMar>
        <w:left w:w="113" w:type="dxa"/>
        <w:right w:w="113" w:type="dxa"/>
      </w:tblCellMar>
    </w:tblPr>
  </w:style>
  <w:style w:type="table" w:customStyle="1" w:styleId="afffffffffc">
    <w:basedOn w:val="TableNormal"/>
    <w:tblPr>
      <w:tblStyleRowBandSize w:val="1"/>
      <w:tblStyleColBandSize w:val="1"/>
      <w:tblCellMar>
        <w:left w:w="113" w:type="dxa"/>
        <w:right w:w="113" w:type="dxa"/>
      </w:tblCellMar>
    </w:tblPr>
  </w:style>
  <w:style w:type="table" w:customStyle="1" w:styleId="afffffffffd">
    <w:basedOn w:val="TableNormal"/>
    <w:tblPr>
      <w:tblStyleRowBandSize w:val="1"/>
      <w:tblStyleColBandSize w:val="1"/>
      <w:tblCellMar>
        <w:left w:w="113" w:type="dxa"/>
        <w:right w:w="113" w:type="dxa"/>
      </w:tblCellMar>
    </w:tblPr>
  </w:style>
  <w:style w:type="table" w:customStyle="1" w:styleId="afffffffffe">
    <w:basedOn w:val="TableNormal"/>
    <w:tblPr>
      <w:tblStyleRowBandSize w:val="1"/>
      <w:tblStyleColBandSize w:val="1"/>
      <w:tblCellMar>
        <w:left w:w="113" w:type="dxa"/>
        <w:right w:w="113" w:type="dxa"/>
      </w:tblCellMar>
    </w:tblPr>
  </w:style>
  <w:style w:type="table" w:customStyle="1" w:styleId="affffffffff">
    <w:basedOn w:val="TableNormal"/>
    <w:tblPr>
      <w:tblStyleRowBandSize w:val="1"/>
      <w:tblStyleColBandSize w:val="1"/>
      <w:tblCellMar>
        <w:left w:w="113" w:type="dxa"/>
        <w:right w:w="113" w:type="dxa"/>
      </w:tblCellMar>
    </w:tblPr>
  </w:style>
  <w:style w:type="table" w:customStyle="1" w:styleId="affffffffff0">
    <w:basedOn w:val="TableNormal"/>
    <w:tblPr>
      <w:tblStyleRowBandSize w:val="1"/>
      <w:tblStyleColBandSize w:val="1"/>
      <w:tblCellMar>
        <w:left w:w="56" w:type="dxa"/>
        <w:right w:w="56" w:type="dxa"/>
      </w:tblCellMar>
    </w:tblPr>
  </w:style>
  <w:style w:type="table" w:customStyle="1" w:styleId="affffffffff1">
    <w:basedOn w:val="TableNormal"/>
    <w:tblPr>
      <w:tblStyleRowBandSize w:val="1"/>
      <w:tblStyleColBandSize w:val="1"/>
      <w:tblCellMar>
        <w:left w:w="56" w:type="dxa"/>
        <w:right w:w="56" w:type="dxa"/>
      </w:tblCellMar>
    </w:tblPr>
  </w:style>
  <w:style w:type="table" w:customStyle="1" w:styleId="affffffffff2">
    <w:basedOn w:val="TableNormal"/>
    <w:tblPr>
      <w:tblStyleRowBandSize w:val="1"/>
      <w:tblStyleColBandSize w:val="1"/>
      <w:tblCellMar>
        <w:left w:w="113" w:type="dxa"/>
        <w:right w:w="113" w:type="dxa"/>
      </w:tblCellMar>
    </w:tblPr>
  </w:style>
  <w:style w:type="table" w:customStyle="1" w:styleId="affffffffff3">
    <w:basedOn w:val="TableNormal"/>
    <w:tblPr>
      <w:tblStyleRowBandSize w:val="1"/>
      <w:tblStyleColBandSize w:val="1"/>
      <w:tblCellMar>
        <w:left w:w="113" w:type="dxa"/>
        <w:right w:w="113" w:type="dxa"/>
      </w:tblCellMar>
    </w:tblPr>
  </w:style>
  <w:style w:type="table" w:customStyle="1" w:styleId="affffffffff4">
    <w:basedOn w:val="TableNormal"/>
    <w:tblPr>
      <w:tblStyleRowBandSize w:val="1"/>
      <w:tblStyleColBandSize w:val="1"/>
      <w:tblCellMar>
        <w:left w:w="113" w:type="dxa"/>
        <w:right w:w="113" w:type="dxa"/>
      </w:tblCellMar>
    </w:tblPr>
  </w:style>
  <w:style w:type="table" w:customStyle="1" w:styleId="affffffffff5">
    <w:basedOn w:val="TableNormal"/>
    <w:tblPr>
      <w:tblStyleRowBandSize w:val="1"/>
      <w:tblStyleColBandSize w:val="1"/>
      <w:tblCellMar>
        <w:left w:w="113" w:type="dxa"/>
        <w:right w:w="113" w:type="dxa"/>
      </w:tblCellMar>
    </w:tblPr>
  </w:style>
  <w:style w:type="table" w:customStyle="1" w:styleId="affffffffff6">
    <w:basedOn w:val="TableNormal"/>
    <w:tblPr>
      <w:tblStyleRowBandSize w:val="1"/>
      <w:tblStyleColBandSize w:val="1"/>
      <w:tblCellMar>
        <w:left w:w="113" w:type="dxa"/>
        <w:right w:w="113" w:type="dxa"/>
      </w:tblCellMar>
    </w:tblPr>
  </w:style>
  <w:style w:type="table" w:customStyle="1" w:styleId="affffffffff7">
    <w:basedOn w:val="TableNormal"/>
    <w:tblPr>
      <w:tblStyleRowBandSize w:val="1"/>
      <w:tblStyleColBandSize w:val="1"/>
      <w:tblCellMar>
        <w:left w:w="113" w:type="dxa"/>
        <w:right w:w="113" w:type="dxa"/>
      </w:tblCellMar>
    </w:tblPr>
  </w:style>
  <w:style w:type="table" w:customStyle="1" w:styleId="affffffffff8">
    <w:basedOn w:val="TableNormal"/>
    <w:tblPr>
      <w:tblStyleRowBandSize w:val="1"/>
      <w:tblStyleColBandSize w:val="1"/>
      <w:tblCellMar>
        <w:left w:w="113" w:type="dxa"/>
        <w:right w:w="113" w:type="dxa"/>
      </w:tblCellMar>
    </w:tblPr>
  </w:style>
  <w:style w:type="table" w:customStyle="1" w:styleId="affffffffff9">
    <w:basedOn w:val="TableNormal"/>
    <w:tblPr>
      <w:tblStyleRowBandSize w:val="1"/>
      <w:tblStyleColBandSize w:val="1"/>
      <w:tblCellMar>
        <w:left w:w="113" w:type="dxa"/>
        <w:right w:w="113" w:type="dxa"/>
      </w:tblCellMar>
    </w:tblPr>
  </w:style>
  <w:style w:type="table" w:customStyle="1" w:styleId="affffffffffa">
    <w:basedOn w:val="TableNormal"/>
    <w:tblPr>
      <w:tblStyleRowBandSize w:val="1"/>
      <w:tblStyleColBandSize w:val="1"/>
      <w:tblCellMar>
        <w:left w:w="113" w:type="dxa"/>
        <w:right w:w="113" w:type="dxa"/>
      </w:tblCellMar>
    </w:tblPr>
  </w:style>
  <w:style w:type="table" w:customStyle="1" w:styleId="affffffffffb">
    <w:basedOn w:val="TableNormal"/>
    <w:tblPr>
      <w:tblStyleRowBandSize w:val="1"/>
      <w:tblStyleColBandSize w:val="1"/>
      <w:tblCellMar>
        <w:left w:w="113" w:type="dxa"/>
        <w:right w:w="113" w:type="dxa"/>
      </w:tblCellMar>
    </w:tblPr>
  </w:style>
  <w:style w:type="table" w:customStyle="1" w:styleId="affffffffffc">
    <w:basedOn w:val="TableNormal"/>
    <w:tblPr>
      <w:tblStyleRowBandSize w:val="1"/>
      <w:tblStyleColBandSize w:val="1"/>
      <w:tblCellMar>
        <w:left w:w="113" w:type="dxa"/>
        <w:right w:w="113" w:type="dxa"/>
      </w:tblCellMar>
    </w:tblPr>
  </w:style>
  <w:style w:type="table" w:customStyle="1" w:styleId="affffffffffd">
    <w:basedOn w:val="TableNormal"/>
    <w:tblPr>
      <w:tblStyleRowBandSize w:val="1"/>
      <w:tblStyleColBandSize w:val="1"/>
      <w:tblCellMar>
        <w:left w:w="113" w:type="dxa"/>
        <w:right w:w="113" w:type="dxa"/>
      </w:tblCellMar>
    </w:tblPr>
  </w:style>
  <w:style w:type="table" w:customStyle="1" w:styleId="affffffffffe">
    <w:basedOn w:val="TableNormal"/>
    <w:tblPr>
      <w:tblStyleRowBandSize w:val="1"/>
      <w:tblStyleColBandSize w:val="1"/>
      <w:tblCellMar>
        <w:left w:w="113" w:type="dxa"/>
        <w:right w:w="113" w:type="dxa"/>
      </w:tblCellMar>
    </w:tblPr>
  </w:style>
  <w:style w:type="table" w:customStyle="1" w:styleId="afffffffffff">
    <w:basedOn w:val="TableNormal"/>
    <w:tblPr>
      <w:tblStyleRowBandSize w:val="1"/>
      <w:tblStyleColBandSize w:val="1"/>
      <w:tblCellMar>
        <w:left w:w="113" w:type="dxa"/>
        <w:right w:w="113" w:type="dxa"/>
      </w:tblCellMar>
    </w:tblPr>
  </w:style>
  <w:style w:type="table" w:customStyle="1" w:styleId="afffffffffff0">
    <w:basedOn w:val="TableNormal"/>
    <w:tblPr>
      <w:tblStyleRowBandSize w:val="1"/>
      <w:tblStyleColBandSize w:val="1"/>
      <w:tblCellMar>
        <w:left w:w="113" w:type="dxa"/>
        <w:right w:w="113" w:type="dxa"/>
      </w:tblCellMar>
    </w:tblPr>
  </w:style>
  <w:style w:type="table" w:customStyle="1" w:styleId="afffffffffff1">
    <w:basedOn w:val="TableNormal"/>
    <w:tblPr>
      <w:tblStyleRowBandSize w:val="1"/>
      <w:tblStyleColBandSize w:val="1"/>
      <w:tblCellMar>
        <w:left w:w="113" w:type="dxa"/>
        <w:right w:w="113" w:type="dxa"/>
      </w:tblCellMar>
    </w:tblPr>
  </w:style>
  <w:style w:type="table" w:customStyle="1" w:styleId="afffffffffff2">
    <w:basedOn w:val="TableNormal"/>
    <w:tblPr>
      <w:tblStyleRowBandSize w:val="1"/>
      <w:tblStyleColBandSize w:val="1"/>
      <w:tblCellMar>
        <w:left w:w="113" w:type="dxa"/>
        <w:right w:w="113" w:type="dxa"/>
      </w:tblCellMar>
    </w:tblPr>
  </w:style>
  <w:style w:type="table" w:customStyle="1" w:styleId="afffffffffff3">
    <w:basedOn w:val="TableNormal"/>
    <w:tblPr>
      <w:tblStyleRowBandSize w:val="1"/>
      <w:tblStyleColBandSize w:val="1"/>
      <w:tblCellMar>
        <w:left w:w="113" w:type="dxa"/>
        <w:right w:w="113" w:type="dxa"/>
      </w:tblCellMar>
    </w:tblPr>
  </w:style>
  <w:style w:type="table" w:customStyle="1" w:styleId="afffffffffff4">
    <w:basedOn w:val="TableNormal"/>
    <w:tblPr>
      <w:tblStyleRowBandSize w:val="1"/>
      <w:tblStyleColBandSize w:val="1"/>
      <w:tblCellMar>
        <w:left w:w="113" w:type="dxa"/>
        <w:right w:w="113" w:type="dxa"/>
      </w:tblCellMar>
    </w:tblPr>
  </w:style>
  <w:style w:type="table" w:customStyle="1" w:styleId="afffffffffff5">
    <w:basedOn w:val="TableNormal"/>
    <w:tblPr>
      <w:tblStyleRowBandSize w:val="1"/>
      <w:tblStyleColBandSize w:val="1"/>
      <w:tblCellMar>
        <w:left w:w="113" w:type="dxa"/>
        <w:right w:w="113" w:type="dxa"/>
      </w:tblCellMar>
    </w:tblPr>
  </w:style>
  <w:style w:type="table" w:customStyle="1" w:styleId="afffffffffff6">
    <w:basedOn w:val="TableNormal"/>
    <w:tblPr>
      <w:tblStyleRowBandSize w:val="1"/>
      <w:tblStyleColBandSize w:val="1"/>
      <w:tblCellMar>
        <w:left w:w="113" w:type="dxa"/>
        <w:right w:w="113" w:type="dxa"/>
      </w:tblCellMar>
    </w:tblPr>
  </w:style>
  <w:style w:type="table" w:customStyle="1" w:styleId="afffffffffff7">
    <w:basedOn w:val="TableNormal"/>
    <w:tblPr>
      <w:tblStyleRowBandSize w:val="1"/>
      <w:tblStyleColBandSize w:val="1"/>
      <w:tblCellMar>
        <w:left w:w="113" w:type="dxa"/>
        <w:right w:w="113" w:type="dxa"/>
      </w:tblCellMar>
    </w:tblPr>
  </w:style>
  <w:style w:type="table" w:customStyle="1" w:styleId="afffffffffff8">
    <w:basedOn w:val="TableNormal"/>
    <w:tblPr>
      <w:tblStyleRowBandSize w:val="1"/>
      <w:tblStyleColBandSize w:val="1"/>
      <w:tblCellMar>
        <w:left w:w="113" w:type="dxa"/>
        <w:right w:w="113" w:type="dxa"/>
      </w:tblCellMar>
    </w:tblPr>
  </w:style>
  <w:style w:type="table" w:customStyle="1" w:styleId="afffffffffff9">
    <w:basedOn w:val="TableNormal"/>
    <w:tblPr>
      <w:tblStyleRowBandSize w:val="1"/>
      <w:tblStyleColBandSize w:val="1"/>
      <w:tblCellMar>
        <w:left w:w="113" w:type="dxa"/>
        <w:right w:w="113" w:type="dxa"/>
      </w:tblCellMar>
    </w:tblPr>
  </w:style>
  <w:style w:type="table" w:customStyle="1" w:styleId="afffffffffffa">
    <w:basedOn w:val="TableNormal"/>
    <w:tblPr>
      <w:tblStyleRowBandSize w:val="1"/>
      <w:tblStyleColBandSize w:val="1"/>
      <w:tblCellMar>
        <w:left w:w="113" w:type="dxa"/>
        <w:right w:w="113" w:type="dxa"/>
      </w:tblCellMar>
    </w:tblPr>
  </w:style>
  <w:style w:type="table" w:customStyle="1" w:styleId="afffffffffffb">
    <w:basedOn w:val="TableNormal"/>
    <w:tblPr>
      <w:tblStyleRowBandSize w:val="1"/>
      <w:tblStyleColBandSize w:val="1"/>
      <w:tblCellMar>
        <w:left w:w="113" w:type="dxa"/>
        <w:right w:w="113" w:type="dxa"/>
      </w:tblCellMar>
    </w:tblPr>
  </w:style>
  <w:style w:type="table" w:customStyle="1" w:styleId="afffffffffffc">
    <w:basedOn w:val="TableNormal"/>
    <w:tblPr>
      <w:tblStyleRowBandSize w:val="1"/>
      <w:tblStyleColBandSize w:val="1"/>
      <w:tblCellMar>
        <w:left w:w="113" w:type="dxa"/>
        <w:right w:w="113" w:type="dxa"/>
      </w:tblCellMar>
    </w:tblPr>
  </w:style>
  <w:style w:type="table" w:customStyle="1" w:styleId="afffffffffffd">
    <w:basedOn w:val="TableNormal"/>
    <w:tblPr>
      <w:tblStyleRowBandSize w:val="1"/>
      <w:tblStyleColBandSize w:val="1"/>
      <w:tblCellMar>
        <w:left w:w="113" w:type="dxa"/>
        <w:right w:w="113" w:type="dxa"/>
      </w:tblCellMar>
    </w:tblPr>
  </w:style>
  <w:style w:type="table" w:customStyle="1" w:styleId="afffffffffffe">
    <w:basedOn w:val="TableNormal"/>
    <w:tblPr>
      <w:tblStyleRowBandSize w:val="1"/>
      <w:tblStyleColBandSize w:val="1"/>
      <w:tblCellMar>
        <w:left w:w="113" w:type="dxa"/>
        <w:right w:w="113" w:type="dxa"/>
      </w:tblCellMar>
    </w:tblPr>
  </w:style>
  <w:style w:type="table" w:customStyle="1" w:styleId="affffffffffff">
    <w:basedOn w:val="TableNormal"/>
    <w:tblPr>
      <w:tblStyleRowBandSize w:val="1"/>
      <w:tblStyleColBandSize w:val="1"/>
      <w:tblCellMar>
        <w:left w:w="113" w:type="dxa"/>
        <w:right w:w="113" w:type="dxa"/>
      </w:tblCellMar>
    </w:tblPr>
  </w:style>
  <w:style w:type="table" w:customStyle="1" w:styleId="affffffffffff0">
    <w:basedOn w:val="TableNormal"/>
    <w:tblPr>
      <w:tblStyleRowBandSize w:val="1"/>
      <w:tblStyleColBandSize w:val="1"/>
      <w:tblCellMar>
        <w:left w:w="113" w:type="dxa"/>
        <w:right w:w="113" w:type="dxa"/>
      </w:tblCellMar>
    </w:tblPr>
  </w:style>
  <w:style w:type="table" w:customStyle="1" w:styleId="affffffffffff1">
    <w:basedOn w:val="TableNormal"/>
    <w:tblPr>
      <w:tblStyleRowBandSize w:val="1"/>
      <w:tblStyleColBandSize w:val="1"/>
      <w:tblCellMar>
        <w:left w:w="113" w:type="dxa"/>
        <w:right w:w="113" w:type="dxa"/>
      </w:tblCellMar>
    </w:tblPr>
  </w:style>
  <w:style w:type="table" w:customStyle="1" w:styleId="affffffffffff2">
    <w:basedOn w:val="TableNormal"/>
    <w:tblPr>
      <w:tblStyleRowBandSize w:val="1"/>
      <w:tblStyleColBandSize w:val="1"/>
      <w:tblCellMar>
        <w:left w:w="113" w:type="dxa"/>
        <w:right w:w="113" w:type="dxa"/>
      </w:tblCellMar>
    </w:tblPr>
  </w:style>
  <w:style w:type="table" w:customStyle="1" w:styleId="affffffffffff3">
    <w:basedOn w:val="TableNormal"/>
    <w:tblPr>
      <w:tblStyleRowBandSize w:val="1"/>
      <w:tblStyleColBandSize w:val="1"/>
      <w:tblCellMar>
        <w:left w:w="113" w:type="dxa"/>
        <w:right w:w="113" w:type="dxa"/>
      </w:tblCellMar>
    </w:tblPr>
  </w:style>
  <w:style w:type="table" w:customStyle="1" w:styleId="affffffffffff4">
    <w:basedOn w:val="TableNormal"/>
    <w:tblPr>
      <w:tblStyleRowBandSize w:val="1"/>
      <w:tblStyleColBandSize w:val="1"/>
      <w:tblCellMar>
        <w:left w:w="113" w:type="dxa"/>
        <w:right w:w="113" w:type="dxa"/>
      </w:tblCellMar>
    </w:tblPr>
  </w:style>
  <w:style w:type="table" w:customStyle="1" w:styleId="affffffffffff5">
    <w:basedOn w:val="TableNormal"/>
    <w:tblPr>
      <w:tblStyleRowBandSize w:val="1"/>
      <w:tblStyleColBandSize w:val="1"/>
      <w:tblCellMar>
        <w:left w:w="113" w:type="dxa"/>
        <w:right w:w="113" w:type="dxa"/>
      </w:tblCellMar>
    </w:tblPr>
  </w:style>
  <w:style w:type="table" w:customStyle="1" w:styleId="affffffffffff6">
    <w:basedOn w:val="TableNormal"/>
    <w:tblPr>
      <w:tblStyleRowBandSize w:val="1"/>
      <w:tblStyleColBandSize w:val="1"/>
      <w:tblCellMar>
        <w:left w:w="113" w:type="dxa"/>
        <w:right w:w="113" w:type="dxa"/>
      </w:tblCellMar>
    </w:tblPr>
  </w:style>
  <w:style w:type="table" w:customStyle="1" w:styleId="affffffffffff7">
    <w:basedOn w:val="TableNormal"/>
    <w:tblPr>
      <w:tblStyleRowBandSize w:val="1"/>
      <w:tblStyleColBandSize w:val="1"/>
      <w:tblCellMar>
        <w:left w:w="113" w:type="dxa"/>
        <w:right w:w="113" w:type="dxa"/>
      </w:tblCellMar>
    </w:tblPr>
  </w:style>
  <w:style w:type="table" w:customStyle="1" w:styleId="affffffffffff8">
    <w:basedOn w:val="TableNormal"/>
    <w:tblPr>
      <w:tblStyleRowBandSize w:val="1"/>
      <w:tblStyleColBandSize w:val="1"/>
      <w:tblCellMar>
        <w:left w:w="113" w:type="dxa"/>
        <w:right w:w="113" w:type="dxa"/>
      </w:tblCellMar>
    </w:tblPr>
  </w:style>
  <w:style w:type="table" w:customStyle="1" w:styleId="affffffffffff9">
    <w:basedOn w:val="TableNormal"/>
    <w:tblPr>
      <w:tblStyleRowBandSize w:val="1"/>
      <w:tblStyleColBandSize w:val="1"/>
      <w:tblCellMar>
        <w:left w:w="113" w:type="dxa"/>
        <w:right w:w="113" w:type="dxa"/>
      </w:tblCellMar>
    </w:tblPr>
  </w:style>
  <w:style w:type="table" w:customStyle="1" w:styleId="affffffffffffa">
    <w:basedOn w:val="TableNormal"/>
    <w:tblPr>
      <w:tblStyleRowBandSize w:val="1"/>
      <w:tblStyleColBandSize w:val="1"/>
      <w:tblCellMar>
        <w:left w:w="113" w:type="dxa"/>
        <w:right w:w="113" w:type="dxa"/>
      </w:tblCellMar>
    </w:tblPr>
  </w:style>
  <w:style w:type="table" w:customStyle="1" w:styleId="affffffffffffb">
    <w:basedOn w:val="TableNormal"/>
    <w:tblPr>
      <w:tblStyleRowBandSize w:val="1"/>
      <w:tblStyleColBandSize w:val="1"/>
      <w:tblCellMar>
        <w:left w:w="113" w:type="dxa"/>
        <w:right w:w="113" w:type="dxa"/>
      </w:tblCellMar>
    </w:tblPr>
  </w:style>
  <w:style w:type="table" w:customStyle="1" w:styleId="affffffffffffc">
    <w:basedOn w:val="TableNormal"/>
    <w:tblPr>
      <w:tblStyleRowBandSize w:val="1"/>
      <w:tblStyleColBandSize w:val="1"/>
      <w:tblCellMar>
        <w:left w:w="113" w:type="dxa"/>
        <w:right w:w="113" w:type="dxa"/>
      </w:tblCellMar>
    </w:tblPr>
  </w:style>
  <w:style w:type="table" w:customStyle="1" w:styleId="affffffffffffd">
    <w:basedOn w:val="TableNormal"/>
    <w:tblPr>
      <w:tblStyleRowBandSize w:val="1"/>
      <w:tblStyleColBandSize w:val="1"/>
      <w:tblCellMar>
        <w:left w:w="113" w:type="dxa"/>
        <w:right w:w="113" w:type="dxa"/>
      </w:tblCellMar>
    </w:tblPr>
  </w:style>
  <w:style w:type="table" w:customStyle="1" w:styleId="affffffffffffe">
    <w:basedOn w:val="TableNormal"/>
    <w:tblPr>
      <w:tblStyleRowBandSize w:val="1"/>
      <w:tblStyleColBandSize w:val="1"/>
      <w:tblCellMar>
        <w:left w:w="113" w:type="dxa"/>
        <w:right w:w="113" w:type="dxa"/>
      </w:tblCellMar>
    </w:tblPr>
  </w:style>
  <w:style w:type="table" w:customStyle="1" w:styleId="afffffffffffff">
    <w:basedOn w:val="TableNormal"/>
    <w:tblPr>
      <w:tblStyleRowBandSize w:val="1"/>
      <w:tblStyleColBandSize w:val="1"/>
      <w:tblCellMar>
        <w:left w:w="113" w:type="dxa"/>
        <w:right w:w="113" w:type="dxa"/>
      </w:tblCellMar>
    </w:tblPr>
  </w:style>
  <w:style w:type="table" w:customStyle="1" w:styleId="afffffffffffff0">
    <w:basedOn w:val="TableNormal"/>
    <w:tblPr>
      <w:tblStyleRowBandSize w:val="1"/>
      <w:tblStyleColBandSize w:val="1"/>
      <w:tblCellMar>
        <w:left w:w="113" w:type="dxa"/>
        <w:right w:w="113" w:type="dxa"/>
      </w:tblCellMar>
    </w:tblPr>
  </w:style>
  <w:style w:type="table" w:customStyle="1" w:styleId="afffffffffffff1">
    <w:basedOn w:val="TableNormal"/>
    <w:tblPr>
      <w:tblStyleRowBandSize w:val="1"/>
      <w:tblStyleColBandSize w:val="1"/>
      <w:tblCellMar>
        <w:left w:w="113" w:type="dxa"/>
        <w:right w:w="113" w:type="dxa"/>
      </w:tblCellMar>
    </w:tblPr>
  </w:style>
  <w:style w:type="table" w:customStyle="1" w:styleId="afffffffffffff2">
    <w:basedOn w:val="TableNormal"/>
    <w:tblPr>
      <w:tblStyleRowBandSize w:val="1"/>
      <w:tblStyleColBandSize w:val="1"/>
      <w:tblCellMar>
        <w:left w:w="113" w:type="dxa"/>
        <w:right w:w="113" w:type="dxa"/>
      </w:tblCellMar>
    </w:tblPr>
  </w:style>
  <w:style w:type="table" w:customStyle="1" w:styleId="afffffffffffff3">
    <w:basedOn w:val="TableNormal"/>
    <w:tblPr>
      <w:tblStyleRowBandSize w:val="1"/>
      <w:tblStyleColBandSize w:val="1"/>
      <w:tblCellMar>
        <w:left w:w="113" w:type="dxa"/>
        <w:right w:w="113" w:type="dxa"/>
      </w:tblCellMar>
    </w:tblPr>
  </w:style>
  <w:style w:type="table" w:customStyle="1" w:styleId="afffffffffffff4">
    <w:basedOn w:val="TableNormal"/>
    <w:tblPr>
      <w:tblStyleRowBandSize w:val="1"/>
      <w:tblStyleColBandSize w:val="1"/>
      <w:tblCellMar>
        <w:left w:w="113" w:type="dxa"/>
        <w:right w:w="113" w:type="dxa"/>
      </w:tblCellMar>
    </w:tblPr>
  </w:style>
  <w:style w:type="table" w:customStyle="1" w:styleId="afffffffffffff5">
    <w:basedOn w:val="TableNormal"/>
    <w:tblPr>
      <w:tblStyleRowBandSize w:val="1"/>
      <w:tblStyleColBandSize w:val="1"/>
      <w:tblCellMar>
        <w:left w:w="113" w:type="dxa"/>
        <w:right w:w="113" w:type="dxa"/>
      </w:tblCellMar>
    </w:tblPr>
  </w:style>
  <w:style w:type="table" w:customStyle="1" w:styleId="afffffffffffff6">
    <w:basedOn w:val="TableNormal"/>
    <w:tblPr>
      <w:tblStyleRowBandSize w:val="1"/>
      <w:tblStyleColBandSize w:val="1"/>
      <w:tblCellMar>
        <w:left w:w="113" w:type="dxa"/>
        <w:right w:w="113" w:type="dxa"/>
      </w:tblCellMar>
    </w:tblPr>
  </w:style>
  <w:style w:type="table" w:customStyle="1" w:styleId="afffffffffffff7">
    <w:basedOn w:val="TableNormal"/>
    <w:tblPr>
      <w:tblStyleRowBandSize w:val="1"/>
      <w:tblStyleColBandSize w:val="1"/>
      <w:tblCellMar>
        <w:left w:w="113" w:type="dxa"/>
        <w:right w:w="113" w:type="dxa"/>
      </w:tblCellMar>
    </w:tblPr>
  </w:style>
  <w:style w:type="table" w:customStyle="1" w:styleId="afffffffffffff8">
    <w:basedOn w:val="TableNormal"/>
    <w:tblPr>
      <w:tblStyleRowBandSize w:val="1"/>
      <w:tblStyleColBandSize w:val="1"/>
      <w:tblCellMar>
        <w:left w:w="113" w:type="dxa"/>
        <w:right w:w="113" w:type="dxa"/>
      </w:tblCellMar>
    </w:tblPr>
  </w:style>
  <w:style w:type="table" w:customStyle="1" w:styleId="afffffffffffff9">
    <w:basedOn w:val="TableNormal"/>
    <w:tblPr>
      <w:tblStyleRowBandSize w:val="1"/>
      <w:tblStyleColBandSize w:val="1"/>
      <w:tblCellMar>
        <w:left w:w="113" w:type="dxa"/>
        <w:right w:w="113" w:type="dxa"/>
      </w:tblCellMar>
    </w:tblPr>
  </w:style>
  <w:style w:type="table" w:customStyle="1" w:styleId="afffffffffffffa">
    <w:basedOn w:val="TableNormal"/>
    <w:tblPr>
      <w:tblStyleRowBandSize w:val="1"/>
      <w:tblStyleColBandSize w:val="1"/>
      <w:tblCellMar>
        <w:left w:w="113" w:type="dxa"/>
        <w:right w:w="113" w:type="dxa"/>
      </w:tblCellMar>
    </w:tblPr>
  </w:style>
  <w:style w:type="table" w:customStyle="1" w:styleId="afffffffffffffb">
    <w:basedOn w:val="TableNormal"/>
    <w:tblPr>
      <w:tblStyleRowBandSize w:val="1"/>
      <w:tblStyleColBandSize w:val="1"/>
      <w:tblCellMar>
        <w:left w:w="113" w:type="dxa"/>
        <w:right w:w="113" w:type="dxa"/>
      </w:tblCellMar>
    </w:tblPr>
  </w:style>
  <w:style w:type="table" w:customStyle="1" w:styleId="afffffffffffffc">
    <w:basedOn w:val="TableNormal"/>
    <w:tblPr>
      <w:tblStyleRowBandSize w:val="1"/>
      <w:tblStyleColBandSize w:val="1"/>
      <w:tblCellMar>
        <w:left w:w="113" w:type="dxa"/>
        <w:right w:w="113" w:type="dxa"/>
      </w:tblCellMar>
    </w:tblPr>
  </w:style>
  <w:style w:type="table" w:customStyle="1" w:styleId="afffffffffffffd">
    <w:basedOn w:val="TableNormal"/>
    <w:tblPr>
      <w:tblStyleRowBandSize w:val="1"/>
      <w:tblStyleColBandSize w:val="1"/>
      <w:tblCellMar>
        <w:left w:w="113" w:type="dxa"/>
        <w:right w:w="113" w:type="dxa"/>
      </w:tblCellMar>
    </w:tblPr>
  </w:style>
  <w:style w:type="table" w:customStyle="1" w:styleId="afffffffffffffe">
    <w:basedOn w:val="TableNormal"/>
    <w:tblPr>
      <w:tblStyleRowBandSize w:val="1"/>
      <w:tblStyleColBandSize w:val="1"/>
      <w:tblCellMar>
        <w:left w:w="113" w:type="dxa"/>
        <w:right w:w="113" w:type="dxa"/>
      </w:tblCellMar>
    </w:tblPr>
  </w:style>
  <w:style w:type="table" w:customStyle="1" w:styleId="affffffffffffff">
    <w:basedOn w:val="TableNormal"/>
    <w:tblPr>
      <w:tblStyleRowBandSize w:val="1"/>
      <w:tblStyleColBandSize w:val="1"/>
      <w:tblCellMar>
        <w:left w:w="113" w:type="dxa"/>
        <w:right w:w="113" w:type="dxa"/>
      </w:tblCellMar>
    </w:tblPr>
  </w:style>
  <w:style w:type="table" w:customStyle="1" w:styleId="affffffffffffff0">
    <w:basedOn w:val="TableNormal"/>
    <w:tblPr>
      <w:tblStyleRowBandSize w:val="1"/>
      <w:tblStyleColBandSize w:val="1"/>
      <w:tblCellMar>
        <w:left w:w="56" w:type="dxa"/>
        <w:right w:w="56" w:type="dxa"/>
      </w:tblCellMar>
    </w:tblPr>
  </w:style>
  <w:style w:type="table" w:customStyle="1" w:styleId="affffffffffffff1">
    <w:basedOn w:val="TableNormal"/>
    <w:tblPr>
      <w:tblStyleRowBandSize w:val="1"/>
      <w:tblStyleColBandSize w:val="1"/>
      <w:tblCellMar>
        <w:left w:w="56" w:type="dxa"/>
        <w:right w:w="56" w:type="dxa"/>
      </w:tblCellMar>
    </w:tblPr>
  </w:style>
  <w:style w:type="table" w:customStyle="1" w:styleId="affffffffffffff2">
    <w:basedOn w:val="TableNormal"/>
    <w:tblPr>
      <w:tblStyleRowBandSize w:val="1"/>
      <w:tblStyleColBandSize w:val="1"/>
      <w:tblCellMar>
        <w:left w:w="56" w:type="dxa"/>
        <w:right w:w="56" w:type="dxa"/>
      </w:tblCellMar>
    </w:tblPr>
  </w:style>
  <w:style w:type="table" w:customStyle="1" w:styleId="affffffffffffff3">
    <w:basedOn w:val="TableNormal"/>
    <w:tblPr>
      <w:tblStyleRowBandSize w:val="1"/>
      <w:tblStyleColBandSize w:val="1"/>
      <w:tblCellMar>
        <w:left w:w="56" w:type="dxa"/>
        <w:right w:w="56" w:type="dxa"/>
      </w:tblCellMar>
    </w:tblPr>
  </w:style>
  <w:style w:type="table" w:customStyle="1" w:styleId="affffffffffffff4">
    <w:basedOn w:val="TableNormal"/>
    <w:tblPr>
      <w:tblStyleRowBandSize w:val="1"/>
      <w:tblStyleColBandSize w:val="1"/>
      <w:tblCellMar>
        <w:left w:w="56" w:type="dxa"/>
        <w:right w:w="56" w:type="dxa"/>
      </w:tblCellMar>
    </w:tblPr>
  </w:style>
  <w:style w:type="table" w:customStyle="1" w:styleId="affffffffffffff5">
    <w:basedOn w:val="TableNormal"/>
    <w:tblPr>
      <w:tblStyleRowBandSize w:val="1"/>
      <w:tblStyleColBandSize w:val="1"/>
      <w:tblCellMar>
        <w:left w:w="56" w:type="dxa"/>
        <w:right w:w="56" w:type="dxa"/>
      </w:tblCellMar>
    </w:tblPr>
  </w:style>
  <w:style w:type="table" w:customStyle="1" w:styleId="affffffffffffff6">
    <w:basedOn w:val="TableNormal"/>
    <w:tblPr>
      <w:tblStyleRowBandSize w:val="1"/>
      <w:tblStyleColBandSize w:val="1"/>
      <w:tblCellMar>
        <w:left w:w="56" w:type="dxa"/>
        <w:right w:w="56" w:type="dxa"/>
      </w:tblCellMar>
    </w:tblPr>
  </w:style>
  <w:style w:type="table" w:customStyle="1" w:styleId="affffffffffffff7">
    <w:basedOn w:val="TableNormal"/>
    <w:tblPr>
      <w:tblStyleRowBandSize w:val="1"/>
      <w:tblStyleColBandSize w:val="1"/>
      <w:tblCellMar>
        <w:left w:w="56" w:type="dxa"/>
        <w:right w:w="56" w:type="dxa"/>
      </w:tblCellMar>
    </w:tblPr>
  </w:style>
  <w:style w:type="table" w:customStyle="1" w:styleId="affffffffffffff8">
    <w:basedOn w:val="TableNormal"/>
    <w:tblPr>
      <w:tblStyleRowBandSize w:val="1"/>
      <w:tblStyleColBandSize w:val="1"/>
      <w:tblCellMar>
        <w:left w:w="56" w:type="dxa"/>
        <w:right w:w="56" w:type="dxa"/>
      </w:tblCellMar>
    </w:tblPr>
  </w:style>
  <w:style w:type="table" w:customStyle="1" w:styleId="affffffffffffff9">
    <w:basedOn w:val="TableNormal"/>
    <w:tblPr>
      <w:tblStyleRowBandSize w:val="1"/>
      <w:tblStyleColBandSize w:val="1"/>
      <w:tblCellMar>
        <w:left w:w="56" w:type="dxa"/>
        <w:right w:w="56" w:type="dxa"/>
      </w:tblCellMar>
    </w:tblPr>
  </w:style>
  <w:style w:type="table" w:customStyle="1" w:styleId="affffffffffffffa">
    <w:basedOn w:val="TableNormal"/>
    <w:tblPr>
      <w:tblStyleRowBandSize w:val="1"/>
      <w:tblStyleColBandSize w:val="1"/>
      <w:tblCellMar>
        <w:left w:w="113" w:type="dxa"/>
        <w:right w:w="113" w:type="dxa"/>
      </w:tblCellMar>
    </w:tblPr>
  </w:style>
  <w:style w:type="table" w:customStyle="1" w:styleId="affffffffffffffb">
    <w:basedOn w:val="TableNormal"/>
    <w:tblPr>
      <w:tblStyleRowBandSize w:val="1"/>
      <w:tblStyleColBandSize w:val="1"/>
      <w:tblCellMar>
        <w:left w:w="113" w:type="dxa"/>
        <w:right w:w="113" w:type="dxa"/>
      </w:tblCellMar>
    </w:tblPr>
  </w:style>
  <w:style w:type="table" w:customStyle="1" w:styleId="affffffffffffffc">
    <w:basedOn w:val="TableNormal"/>
    <w:tblPr>
      <w:tblStyleRowBandSize w:val="1"/>
      <w:tblStyleColBandSize w:val="1"/>
      <w:tblCellMar>
        <w:left w:w="113" w:type="dxa"/>
        <w:right w:w="113" w:type="dxa"/>
      </w:tblCellMar>
    </w:tblPr>
  </w:style>
  <w:style w:type="table" w:customStyle="1" w:styleId="affffffffffffffd">
    <w:basedOn w:val="TableNormal"/>
    <w:tblPr>
      <w:tblStyleRowBandSize w:val="1"/>
      <w:tblStyleColBandSize w:val="1"/>
      <w:tblCellMar>
        <w:left w:w="113" w:type="dxa"/>
        <w:right w:w="113" w:type="dxa"/>
      </w:tblCellMar>
    </w:tblPr>
  </w:style>
  <w:style w:type="table" w:customStyle="1" w:styleId="affffffffffffffe">
    <w:basedOn w:val="TableNormal"/>
    <w:tblPr>
      <w:tblStyleRowBandSize w:val="1"/>
      <w:tblStyleColBandSize w:val="1"/>
      <w:tblCellMar>
        <w:left w:w="113" w:type="dxa"/>
        <w:right w:w="113" w:type="dxa"/>
      </w:tblCellMar>
    </w:tblPr>
  </w:style>
  <w:style w:type="table" w:customStyle="1" w:styleId="afffffffffffffff">
    <w:basedOn w:val="TableNormal"/>
    <w:tblPr>
      <w:tblStyleRowBandSize w:val="1"/>
      <w:tblStyleColBandSize w:val="1"/>
      <w:tblCellMar>
        <w:left w:w="113" w:type="dxa"/>
        <w:right w:w="113" w:type="dxa"/>
      </w:tblCellMar>
    </w:tblPr>
  </w:style>
  <w:style w:type="table" w:customStyle="1" w:styleId="afffffffffffffff0">
    <w:basedOn w:val="TableNormal"/>
    <w:tblPr>
      <w:tblStyleRowBandSize w:val="1"/>
      <w:tblStyleColBandSize w:val="1"/>
      <w:tblCellMar>
        <w:left w:w="113" w:type="dxa"/>
        <w:right w:w="113" w:type="dxa"/>
      </w:tblCellMar>
    </w:tblPr>
  </w:style>
  <w:style w:type="table" w:customStyle="1" w:styleId="afffffffffffffff1">
    <w:basedOn w:val="TableNormal"/>
    <w:tblPr>
      <w:tblStyleRowBandSize w:val="1"/>
      <w:tblStyleColBandSize w:val="1"/>
      <w:tblCellMar>
        <w:left w:w="113" w:type="dxa"/>
        <w:right w:w="113" w:type="dxa"/>
      </w:tblCellMar>
    </w:tblPr>
  </w:style>
  <w:style w:type="table" w:customStyle="1" w:styleId="afffffffffffffff2">
    <w:basedOn w:val="TableNormal"/>
    <w:tblPr>
      <w:tblStyleRowBandSize w:val="1"/>
      <w:tblStyleColBandSize w:val="1"/>
      <w:tblCellMar>
        <w:left w:w="113" w:type="dxa"/>
        <w:right w:w="113" w:type="dxa"/>
      </w:tblCellMar>
    </w:tblPr>
  </w:style>
  <w:style w:type="table" w:customStyle="1" w:styleId="afffffffffffffff3">
    <w:basedOn w:val="TableNormal"/>
    <w:tblPr>
      <w:tblStyleRowBandSize w:val="1"/>
      <w:tblStyleColBandSize w:val="1"/>
      <w:tblCellMar>
        <w:left w:w="113" w:type="dxa"/>
        <w:right w:w="113" w:type="dxa"/>
      </w:tblCellMar>
    </w:tblPr>
  </w:style>
  <w:style w:type="table" w:customStyle="1" w:styleId="afffffffffffffff4">
    <w:basedOn w:val="TableNormal"/>
    <w:tblPr>
      <w:tblStyleRowBandSize w:val="1"/>
      <w:tblStyleColBandSize w:val="1"/>
      <w:tblCellMar>
        <w:left w:w="113" w:type="dxa"/>
        <w:right w:w="113" w:type="dxa"/>
      </w:tblCellMar>
    </w:tblPr>
  </w:style>
  <w:style w:type="table" w:customStyle="1" w:styleId="afffffffffffffff5">
    <w:basedOn w:val="TableNormal"/>
    <w:tblPr>
      <w:tblStyleRowBandSize w:val="1"/>
      <w:tblStyleColBandSize w:val="1"/>
      <w:tblCellMar>
        <w:left w:w="113" w:type="dxa"/>
        <w:right w:w="113" w:type="dxa"/>
      </w:tblCellMar>
    </w:tblPr>
  </w:style>
  <w:style w:type="table" w:customStyle="1" w:styleId="afffffffffffffff6">
    <w:basedOn w:val="TableNormal"/>
    <w:tblPr>
      <w:tblStyleRowBandSize w:val="1"/>
      <w:tblStyleColBandSize w:val="1"/>
      <w:tblCellMar>
        <w:left w:w="113" w:type="dxa"/>
        <w:right w:w="113" w:type="dxa"/>
      </w:tblCellMar>
    </w:tblPr>
  </w:style>
  <w:style w:type="table" w:customStyle="1" w:styleId="afffffffffffffff7">
    <w:basedOn w:val="TableNormal"/>
    <w:tblPr>
      <w:tblStyleRowBandSize w:val="1"/>
      <w:tblStyleColBandSize w:val="1"/>
      <w:tblCellMar>
        <w:left w:w="113" w:type="dxa"/>
        <w:right w:w="113" w:type="dxa"/>
      </w:tblCellMar>
    </w:tblPr>
  </w:style>
  <w:style w:type="table" w:customStyle="1" w:styleId="afffffffffffffff8">
    <w:basedOn w:val="TableNormal"/>
    <w:tblPr>
      <w:tblStyleRowBandSize w:val="1"/>
      <w:tblStyleColBandSize w:val="1"/>
      <w:tblCellMar>
        <w:left w:w="113" w:type="dxa"/>
        <w:right w:w="113" w:type="dxa"/>
      </w:tblCellMar>
    </w:tblPr>
  </w:style>
  <w:style w:type="table" w:customStyle="1" w:styleId="afffffffffffffff9">
    <w:basedOn w:val="TableNormal"/>
    <w:tblPr>
      <w:tblStyleRowBandSize w:val="1"/>
      <w:tblStyleColBandSize w:val="1"/>
      <w:tblCellMar>
        <w:left w:w="113" w:type="dxa"/>
        <w:right w:w="113" w:type="dxa"/>
      </w:tblCellMar>
    </w:tblPr>
  </w:style>
  <w:style w:type="table" w:customStyle="1" w:styleId="afffffffffffffffa">
    <w:basedOn w:val="TableNormal"/>
    <w:tblPr>
      <w:tblStyleRowBandSize w:val="1"/>
      <w:tblStyleColBandSize w:val="1"/>
      <w:tblCellMar>
        <w:left w:w="113" w:type="dxa"/>
        <w:right w:w="113" w:type="dxa"/>
      </w:tblCellMar>
    </w:tblPr>
  </w:style>
  <w:style w:type="table" w:customStyle="1" w:styleId="afffffffffffffffb">
    <w:basedOn w:val="TableNormal"/>
    <w:tblPr>
      <w:tblStyleRowBandSize w:val="1"/>
      <w:tblStyleColBandSize w:val="1"/>
      <w:tblCellMar>
        <w:left w:w="113" w:type="dxa"/>
        <w:right w:w="113" w:type="dxa"/>
      </w:tblCellMar>
    </w:tblPr>
  </w:style>
  <w:style w:type="table" w:customStyle="1" w:styleId="afffffffffffffffc">
    <w:basedOn w:val="TableNormal"/>
    <w:tblPr>
      <w:tblStyleRowBandSize w:val="1"/>
      <w:tblStyleColBandSize w:val="1"/>
      <w:tblCellMar>
        <w:left w:w="113" w:type="dxa"/>
        <w:right w:w="113" w:type="dxa"/>
      </w:tblCellMar>
    </w:tblPr>
  </w:style>
  <w:style w:type="table" w:customStyle="1" w:styleId="afffffffffffffffd">
    <w:basedOn w:val="TableNormal"/>
    <w:tblPr>
      <w:tblStyleRowBandSize w:val="1"/>
      <w:tblStyleColBandSize w:val="1"/>
      <w:tblCellMar>
        <w:left w:w="113" w:type="dxa"/>
        <w:right w:w="113" w:type="dxa"/>
      </w:tblCellMar>
    </w:tblPr>
  </w:style>
  <w:style w:type="table" w:customStyle="1" w:styleId="afffffffffffffffe">
    <w:basedOn w:val="TableNormal"/>
    <w:tblPr>
      <w:tblStyleRowBandSize w:val="1"/>
      <w:tblStyleColBandSize w:val="1"/>
      <w:tblCellMar>
        <w:left w:w="113" w:type="dxa"/>
        <w:right w:w="113" w:type="dxa"/>
      </w:tblCellMar>
    </w:tblPr>
  </w:style>
  <w:style w:type="table" w:customStyle="1" w:styleId="affffffffffffffff">
    <w:basedOn w:val="TableNormal"/>
    <w:tblPr>
      <w:tblStyleRowBandSize w:val="1"/>
      <w:tblStyleColBandSize w:val="1"/>
      <w:tblCellMar>
        <w:left w:w="113" w:type="dxa"/>
        <w:right w:w="113" w:type="dxa"/>
      </w:tblCellMar>
    </w:tblPr>
  </w:style>
  <w:style w:type="table" w:customStyle="1" w:styleId="affffffffffffffff0">
    <w:basedOn w:val="TableNormal"/>
    <w:tblPr>
      <w:tblStyleRowBandSize w:val="1"/>
      <w:tblStyleColBandSize w:val="1"/>
      <w:tblCellMar>
        <w:left w:w="113" w:type="dxa"/>
        <w:right w:w="113" w:type="dxa"/>
      </w:tblCellMar>
    </w:tblPr>
  </w:style>
  <w:style w:type="table" w:customStyle="1" w:styleId="affffffffffffffff1">
    <w:basedOn w:val="TableNormal"/>
    <w:tblPr>
      <w:tblStyleRowBandSize w:val="1"/>
      <w:tblStyleColBandSize w:val="1"/>
      <w:tblCellMar>
        <w:left w:w="113" w:type="dxa"/>
        <w:right w:w="113" w:type="dxa"/>
      </w:tblCellMar>
    </w:tblPr>
  </w:style>
  <w:style w:type="table" w:customStyle="1" w:styleId="affffffffffffffff2">
    <w:basedOn w:val="TableNormal"/>
    <w:tblPr>
      <w:tblStyleRowBandSize w:val="1"/>
      <w:tblStyleColBandSize w:val="1"/>
      <w:tblCellMar>
        <w:left w:w="113" w:type="dxa"/>
        <w:right w:w="113" w:type="dxa"/>
      </w:tblCellMar>
    </w:tblPr>
  </w:style>
  <w:style w:type="table" w:customStyle="1" w:styleId="affffffffffffffff3">
    <w:basedOn w:val="TableNormal"/>
    <w:tblPr>
      <w:tblStyleRowBandSize w:val="1"/>
      <w:tblStyleColBandSize w:val="1"/>
      <w:tblCellMar>
        <w:left w:w="113" w:type="dxa"/>
        <w:right w:w="113" w:type="dxa"/>
      </w:tblCellMar>
    </w:tblPr>
  </w:style>
  <w:style w:type="table" w:customStyle="1" w:styleId="affffffffffffffff4">
    <w:basedOn w:val="TableNormal"/>
    <w:tblPr>
      <w:tblStyleRowBandSize w:val="1"/>
      <w:tblStyleColBandSize w:val="1"/>
      <w:tblCellMar>
        <w:left w:w="113" w:type="dxa"/>
        <w:right w:w="113" w:type="dxa"/>
      </w:tblCellMar>
    </w:tblPr>
  </w:style>
  <w:style w:type="table" w:customStyle="1" w:styleId="affffffffffffffff5">
    <w:basedOn w:val="TableNormal"/>
    <w:tblPr>
      <w:tblStyleRowBandSize w:val="1"/>
      <w:tblStyleColBandSize w:val="1"/>
      <w:tblCellMar>
        <w:left w:w="113" w:type="dxa"/>
        <w:right w:w="113" w:type="dxa"/>
      </w:tblCellMar>
    </w:tblPr>
  </w:style>
  <w:style w:type="table" w:customStyle="1" w:styleId="affffffffffffffff6">
    <w:basedOn w:val="TableNormal"/>
    <w:tblPr>
      <w:tblStyleRowBandSize w:val="1"/>
      <w:tblStyleColBandSize w:val="1"/>
      <w:tblCellMar>
        <w:left w:w="113" w:type="dxa"/>
        <w:right w:w="113" w:type="dxa"/>
      </w:tblCellMar>
    </w:tblPr>
  </w:style>
  <w:style w:type="table" w:customStyle="1" w:styleId="affffffffffffffff7">
    <w:basedOn w:val="TableNormal"/>
    <w:tblPr>
      <w:tblStyleRowBandSize w:val="1"/>
      <w:tblStyleColBandSize w:val="1"/>
      <w:tblCellMar>
        <w:left w:w="113" w:type="dxa"/>
        <w:right w:w="113" w:type="dxa"/>
      </w:tblCellMar>
    </w:tblPr>
  </w:style>
  <w:style w:type="table" w:customStyle="1" w:styleId="affffffffffffffff8">
    <w:basedOn w:val="TableNormal"/>
    <w:tblPr>
      <w:tblStyleRowBandSize w:val="1"/>
      <w:tblStyleColBandSize w:val="1"/>
      <w:tblCellMar>
        <w:left w:w="113" w:type="dxa"/>
        <w:right w:w="113" w:type="dxa"/>
      </w:tblCellMar>
    </w:tblPr>
  </w:style>
  <w:style w:type="table" w:customStyle="1" w:styleId="affffffffffffffff9">
    <w:basedOn w:val="TableNormal"/>
    <w:tblPr>
      <w:tblStyleRowBandSize w:val="1"/>
      <w:tblStyleColBandSize w:val="1"/>
      <w:tblCellMar>
        <w:left w:w="113" w:type="dxa"/>
        <w:right w:w="113" w:type="dxa"/>
      </w:tblCellMar>
    </w:tblPr>
  </w:style>
  <w:style w:type="table" w:customStyle="1" w:styleId="affffffffffffffffa">
    <w:basedOn w:val="TableNormal"/>
    <w:tblPr>
      <w:tblStyleRowBandSize w:val="1"/>
      <w:tblStyleColBandSize w:val="1"/>
      <w:tblCellMar>
        <w:left w:w="113" w:type="dxa"/>
        <w:right w:w="113" w:type="dxa"/>
      </w:tblCellMar>
    </w:tblPr>
  </w:style>
  <w:style w:type="table" w:customStyle="1" w:styleId="affffffffffffffffb">
    <w:basedOn w:val="TableNormal"/>
    <w:tblPr>
      <w:tblStyleRowBandSize w:val="1"/>
      <w:tblStyleColBandSize w:val="1"/>
      <w:tblCellMar>
        <w:left w:w="113" w:type="dxa"/>
        <w:right w:w="113" w:type="dxa"/>
      </w:tblCellMar>
    </w:tblPr>
  </w:style>
  <w:style w:type="table" w:customStyle="1" w:styleId="affffffffffffffffc">
    <w:basedOn w:val="TableNormal"/>
    <w:tblPr>
      <w:tblStyleRowBandSize w:val="1"/>
      <w:tblStyleColBandSize w:val="1"/>
      <w:tblCellMar>
        <w:left w:w="113" w:type="dxa"/>
        <w:right w:w="113" w:type="dxa"/>
      </w:tblCellMar>
    </w:tblPr>
  </w:style>
  <w:style w:type="table" w:customStyle="1" w:styleId="affffffffffffffffd">
    <w:basedOn w:val="TableNormal"/>
    <w:tblPr>
      <w:tblStyleRowBandSize w:val="1"/>
      <w:tblStyleColBandSize w:val="1"/>
      <w:tblCellMar>
        <w:left w:w="113" w:type="dxa"/>
        <w:right w:w="113" w:type="dxa"/>
      </w:tblCellMar>
    </w:tblPr>
  </w:style>
  <w:style w:type="table" w:customStyle="1" w:styleId="affffffffffffffffe">
    <w:basedOn w:val="TableNormal"/>
    <w:tblPr>
      <w:tblStyleRowBandSize w:val="1"/>
      <w:tblStyleColBandSize w:val="1"/>
      <w:tblCellMar>
        <w:left w:w="113" w:type="dxa"/>
        <w:right w:w="113" w:type="dxa"/>
      </w:tblCellMar>
    </w:tblPr>
  </w:style>
  <w:style w:type="table" w:customStyle="1" w:styleId="afffffffffffffffff">
    <w:basedOn w:val="TableNormal"/>
    <w:tblPr>
      <w:tblStyleRowBandSize w:val="1"/>
      <w:tblStyleColBandSize w:val="1"/>
      <w:tblCellMar>
        <w:left w:w="113" w:type="dxa"/>
        <w:right w:w="113" w:type="dxa"/>
      </w:tblCellMar>
    </w:tblPr>
  </w:style>
  <w:style w:type="table" w:customStyle="1" w:styleId="afffffffffffffffff0">
    <w:basedOn w:val="TableNormal"/>
    <w:tblPr>
      <w:tblStyleRowBandSize w:val="1"/>
      <w:tblStyleColBandSize w:val="1"/>
      <w:tblCellMar>
        <w:left w:w="113" w:type="dxa"/>
        <w:right w:w="113" w:type="dxa"/>
      </w:tblCellMar>
    </w:tblPr>
  </w:style>
  <w:style w:type="table" w:customStyle="1" w:styleId="afffffffffffffffff1">
    <w:basedOn w:val="TableNormal"/>
    <w:tblPr>
      <w:tblStyleRowBandSize w:val="1"/>
      <w:tblStyleColBandSize w:val="1"/>
      <w:tblCellMar>
        <w:left w:w="113" w:type="dxa"/>
        <w:right w:w="113" w:type="dxa"/>
      </w:tblCellMar>
    </w:tblPr>
  </w:style>
  <w:style w:type="table" w:customStyle="1" w:styleId="afffffffffffffffff2">
    <w:basedOn w:val="TableNormal"/>
    <w:tblPr>
      <w:tblStyleRowBandSize w:val="1"/>
      <w:tblStyleColBandSize w:val="1"/>
      <w:tblCellMar>
        <w:left w:w="113" w:type="dxa"/>
        <w:right w:w="113" w:type="dxa"/>
      </w:tblCellMar>
    </w:tblPr>
  </w:style>
  <w:style w:type="table" w:customStyle="1" w:styleId="afffffffffffffffff3">
    <w:basedOn w:val="TableNormal"/>
    <w:tblPr>
      <w:tblStyleRowBandSize w:val="1"/>
      <w:tblStyleColBandSize w:val="1"/>
      <w:tblCellMar>
        <w:left w:w="113" w:type="dxa"/>
        <w:right w:w="113" w:type="dxa"/>
      </w:tblCellMar>
    </w:tblPr>
  </w:style>
  <w:style w:type="table" w:customStyle="1" w:styleId="afffffffffffffffff4">
    <w:basedOn w:val="TableNormal"/>
    <w:tblPr>
      <w:tblStyleRowBandSize w:val="1"/>
      <w:tblStyleColBandSize w:val="1"/>
      <w:tblCellMar>
        <w:left w:w="113" w:type="dxa"/>
        <w:right w:w="113" w:type="dxa"/>
      </w:tblCellMar>
    </w:tblPr>
  </w:style>
  <w:style w:type="table" w:customStyle="1" w:styleId="afffffffffffffffff5">
    <w:basedOn w:val="TableNormal"/>
    <w:tblPr>
      <w:tblStyleRowBandSize w:val="1"/>
      <w:tblStyleColBandSize w:val="1"/>
      <w:tblCellMar>
        <w:left w:w="113" w:type="dxa"/>
        <w:right w:w="113" w:type="dxa"/>
      </w:tblCellMar>
    </w:tblPr>
  </w:style>
  <w:style w:type="table" w:customStyle="1" w:styleId="afffffffffffffffff6">
    <w:basedOn w:val="TableNormal"/>
    <w:tblPr>
      <w:tblStyleRowBandSize w:val="1"/>
      <w:tblStyleColBandSize w:val="1"/>
      <w:tblCellMar>
        <w:left w:w="113" w:type="dxa"/>
        <w:right w:w="113" w:type="dxa"/>
      </w:tblCellMar>
    </w:tblPr>
  </w:style>
  <w:style w:type="table" w:customStyle="1" w:styleId="afffffffffffffffff7">
    <w:basedOn w:val="TableNormal"/>
    <w:tblPr>
      <w:tblStyleRowBandSize w:val="1"/>
      <w:tblStyleColBandSize w:val="1"/>
      <w:tblCellMar>
        <w:left w:w="113" w:type="dxa"/>
        <w:right w:w="113" w:type="dxa"/>
      </w:tblCellMar>
    </w:tblPr>
  </w:style>
  <w:style w:type="table" w:customStyle="1" w:styleId="afffffffffffffffff8">
    <w:basedOn w:val="TableNormal"/>
    <w:tblPr>
      <w:tblStyleRowBandSize w:val="1"/>
      <w:tblStyleColBandSize w:val="1"/>
      <w:tblCellMar>
        <w:left w:w="113" w:type="dxa"/>
        <w:right w:w="113" w:type="dxa"/>
      </w:tblCellMar>
    </w:tblPr>
  </w:style>
  <w:style w:type="table" w:customStyle="1" w:styleId="afffffffffffffffff9">
    <w:basedOn w:val="TableNormal"/>
    <w:tblPr>
      <w:tblStyleRowBandSize w:val="1"/>
      <w:tblStyleColBandSize w:val="1"/>
      <w:tblCellMar>
        <w:left w:w="113" w:type="dxa"/>
        <w:right w:w="113" w:type="dxa"/>
      </w:tblCellMar>
    </w:tblPr>
  </w:style>
  <w:style w:type="table" w:customStyle="1" w:styleId="afffffffffffffffffa">
    <w:basedOn w:val="TableNormal"/>
    <w:tblPr>
      <w:tblStyleRowBandSize w:val="1"/>
      <w:tblStyleColBandSize w:val="1"/>
      <w:tblCellMar>
        <w:left w:w="113" w:type="dxa"/>
        <w:right w:w="113" w:type="dxa"/>
      </w:tblCellMar>
    </w:tblPr>
  </w:style>
  <w:style w:type="table" w:customStyle="1" w:styleId="afffffffffffffffffb">
    <w:basedOn w:val="TableNormal"/>
    <w:tblPr>
      <w:tblStyleRowBandSize w:val="1"/>
      <w:tblStyleColBandSize w:val="1"/>
      <w:tblCellMar>
        <w:left w:w="113" w:type="dxa"/>
        <w:right w:w="113" w:type="dxa"/>
      </w:tblCellMar>
    </w:tblPr>
  </w:style>
  <w:style w:type="table" w:customStyle="1" w:styleId="afffffffffffffffffc">
    <w:basedOn w:val="TableNormal"/>
    <w:tblPr>
      <w:tblStyleRowBandSize w:val="1"/>
      <w:tblStyleColBandSize w:val="1"/>
      <w:tblCellMar>
        <w:left w:w="113" w:type="dxa"/>
        <w:right w:w="113" w:type="dxa"/>
      </w:tblCellMar>
    </w:tblPr>
  </w:style>
  <w:style w:type="table" w:customStyle="1" w:styleId="afffffffffffffffffd">
    <w:basedOn w:val="TableNormal"/>
    <w:tblPr>
      <w:tblStyleRowBandSize w:val="1"/>
      <w:tblStyleColBandSize w:val="1"/>
      <w:tblCellMar>
        <w:left w:w="113" w:type="dxa"/>
        <w:right w:w="113" w:type="dxa"/>
      </w:tblCellMar>
    </w:tblPr>
  </w:style>
  <w:style w:type="table" w:customStyle="1" w:styleId="afffffffffffffffffe">
    <w:basedOn w:val="TableNormal"/>
    <w:tblPr>
      <w:tblStyleRowBandSize w:val="1"/>
      <w:tblStyleColBandSize w:val="1"/>
      <w:tblCellMar>
        <w:left w:w="113" w:type="dxa"/>
        <w:right w:w="113" w:type="dxa"/>
      </w:tblCellMar>
    </w:tblPr>
  </w:style>
  <w:style w:type="table" w:customStyle="1" w:styleId="affffffffffffffffff">
    <w:basedOn w:val="TableNormal"/>
    <w:tblPr>
      <w:tblStyleRowBandSize w:val="1"/>
      <w:tblStyleColBandSize w:val="1"/>
      <w:tblCellMar>
        <w:left w:w="113" w:type="dxa"/>
        <w:right w:w="113" w:type="dxa"/>
      </w:tblCellMar>
    </w:tblPr>
  </w:style>
  <w:style w:type="table" w:customStyle="1" w:styleId="affffffffffffffffff0">
    <w:basedOn w:val="TableNormal"/>
    <w:tblPr>
      <w:tblStyleRowBandSize w:val="1"/>
      <w:tblStyleColBandSize w:val="1"/>
      <w:tblCellMar>
        <w:left w:w="113" w:type="dxa"/>
        <w:right w:w="113" w:type="dxa"/>
      </w:tblCellMar>
    </w:tblPr>
  </w:style>
  <w:style w:type="table" w:customStyle="1" w:styleId="affffffffffffffffff1">
    <w:basedOn w:val="TableNormal"/>
    <w:tblPr>
      <w:tblStyleRowBandSize w:val="1"/>
      <w:tblStyleColBandSize w:val="1"/>
      <w:tblCellMar>
        <w:left w:w="113" w:type="dxa"/>
        <w:right w:w="113" w:type="dxa"/>
      </w:tblCellMar>
    </w:tblPr>
  </w:style>
  <w:style w:type="table" w:customStyle="1" w:styleId="affffffffffffffffff2">
    <w:basedOn w:val="TableNormal"/>
    <w:tblPr>
      <w:tblStyleRowBandSize w:val="1"/>
      <w:tblStyleColBandSize w:val="1"/>
      <w:tblCellMar>
        <w:left w:w="113" w:type="dxa"/>
        <w:right w:w="113" w:type="dxa"/>
      </w:tblCellMar>
    </w:tblPr>
  </w:style>
  <w:style w:type="table" w:customStyle="1" w:styleId="affffffffffffffffff3">
    <w:basedOn w:val="TableNormal"/>
    <w:tblPr>
      <w:tblStyleRowBandSize w:val="1"/>
      <w:tblStyleColBandSize w:val="1"/>
      <w:tblCellMar>
        <w:left w:w="113" w:type="dxa"/>
        <w:right w:w="113" w:type="dxa"/>
      </w:tblCellMar>
    </w:tblPr>
  </w:style>
  <w:style w:type="table" w:customStyle="1" w:styleId="affffffffffffffffff4">
    <w:basedOn w:val="TableNormal"/>
    <w:tblPr>
      <w:tblStyleRowBandSize w:val="1"/>
      <w:tblStyleColBandSize w:val="1"/>
      <w:tblCellMar>
        <w:left w:w="113" w:type="dxa"/>
        <w:right w:w="113" w:type="dxa"/>
      </w:tblCellMar>
    </w:tblPr>
  </w:style>
  <w:style w:type="table" w:customStyle="1" w:styleId="affffffffffffffffff5">
    <w:basedOn w:val="TableNormal"/>
    <w:tblPr>
      <w:tblStyleRowBandSize w:val="1"/>
      <w:tblStyleColBandSize w:val="1"/>
      <w:tblCellMar>
        <w:left w:w="113" w:type="dxa"/>
        <w:right w:w="113" w:type="dxa"/>
      </w:tblCellMar>
    </w:tblPr>
  </w:style>
  <w:style w:type="table" w:customStyle="1" w:styleId="affffffffffffffffff6">
    <w:basedOn w:val="TableNormal"/>
    <w:tblPr>
      <w:tblStyleRowBandSize w:val="1"/>
      <w:tblStyleColBandSize w:val="1"/>
      <w:tblCellMar>
        <w:left w:w="113" w:type="dxa"/>
        <w:right w:w="113"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CE78F2"/>
    <w:rPr>
      <w:color w:val="605E5C"/>
      <w:shd w:val="clear" w:color="auto" w:fill="E1DFDD"/>
    </w:rPr>
  </w:style>
  <w:style w:type="paragraph" w:customStyle="1" w:styleId="bluetabs">
    <w:name w:val="blue tabs"/>
    <w:basedOn w:val="Normal"/>
    <w:qFormat/>
    <w:rsid w:val="005C4425"/>
    <w:pPr>
      <w:numPr>
        <w:numId w:val="31"/>
      </w:numPr>
      <w:pBdr>
        <w:top w:val="nil"/>
        <w:left w:val="nil"/>
        <w:bottom w:val="nil"/>
        <w:right w:val="nil"/>
        <w:between w:val="nil"/>
      </w:pBdr>
      <w:spacing w:before="100" w:after="100"/>
      <w:ind w:left="567" w:hanging="567"/>
      <w:jc w:val="both"/>
    </w:pPr>
    <w:rPr>
      <w:color w:val="0000FF"/>
      <w:sz w:val="20"/>
      <w:szCs w:val="20"/>
    </w:rPr>
  </w:style>
  <w:style w:type="paragraph" w:customStyle="1" w:styleId="red">
    <w:name w:val="red"/>
    <w:basedOn w:val="Normal"/>
    <w:qFormat/>
    <w:rsid w:val="001A5020"/>
    <w:pPr>
      <w:numPr>
        <w:numId w:val="6"/>
      </w:numPr>
      <w:pBdr>
        <w:top w:val="nil"/>
        <w:left w:val="nil"/>
        <w:bottom w:val="nil"/>
        <w:right w:val="nil"/>
        <w:between w:val="nil"/>
      </w:pBdr>
      <w:spacing w:before="100" w:after="100"/>
      <w:ind w:left="567" w:hanging="567"/>
      <w:jc w:val="both"/>
    </w:pPr>
    <w:rPr>
      <w: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095825">
      <w:bodyDiv w:val="1"/>
      <w:marLeft w:val="0"/>
      <w:marRight w:val="0"/>
      <w:marTop w:val="0"/>
      <w:marBottom w:val="0"/>
      <w:divBdr>
        <w:top w:val="none" w:sz="0" w:space="0" w:color="auto"/>
        <w:left w:val="none" w:sz="0" w:space="0" w:color="auto"/>
        <w:bottom w:val="none" w:sz="0" w:space="0" w:color="auto"/>
        <w:right w:val="none" w:sz="0" w:space="0" w:color="auto"/>
      </w:divBdr>
    </w:div>
    <w:div w:id="1482118727">
      <w:bodyDiv w:val="1"/>
      <w:marLeft w:val="0"/>
      <w:marRight w:val="0"/>
      <w:marTop w:val="0"/>
      <w:marBottom w:val="0"/>
      <w:divBdr>
        <w:top w:val="none" w:sz="0" w:space="0" w:color="auto"/>
        <w:left w:val="none" w:sz="0" w:space="0" w:color="auto"/>
        <w:bottom w:val="none" w:sz="0" w:space="0" w:color="auto"/>
        <w:right w:val="none" w:sz="0" w:space="0" w:color="auto"/>
      </w:divBdr>
    </w:div>
    <w:div w:id="1800104624">
      <w:bodyDiv w:val="1"/>
      <w:marLeft w:val="0"/>
      <w:marRight w:val="0"/>
      <w:marTop w:val="0"/>
      <w:marBottom w:val="0"/>
      <w:divBdr>
        <w:top w:val="none" w:sz="0" w:space="0" w:color="auto"/>
        <w:left w:val="none" w:sz="0" w:space="0" w:color="auto"/>
        <w:bottom w:val="none" w:sz="0" w:space="0" w:color="auto"/>
        <w:right w:val="none" w:sz="0" w:space="0" w:color="auto"/>
      </w:divBdr>
    </w:div>
    <w:div w:id="1978754258">
      <w:bodyDiv w:val="1"/>
      <w:marLeft w:val="0"/>
      <w:marRight w:val="0"/>
      <w:marTop w:val="0"/>
      <w:marBottom w:val="0"/>
      <w:divBdr>
        <w:top w:val="none" w:sz="0" w:space="0" w:color="auto"/>
        <w:left w:val="none" w:sz="0" w:space="0" w:color="auto"/>
        <w:bottom w:val="none" w:sz="0" w:space="0" w:color="auto"/>
        <w:right w:val="none" w:sz="0" w:space="0" w:color="auto"/>
      </w:divBdr>
    </w:div>
    <w:div w:id="1980302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UpJDc+7BA/lVfx5U0LNyXCgtBQ==">AMUW2mXcaGK8jjEQOQxTxEvDyC5NczrlZ+V9BJgqHrcL6fHP9lUHYYSb0iUsOp4srbl9xQfwQYLbEE1CKqWtPO8o+QGoRJwXj2wb/U1igKtsc1dqATdQlD9wvwVbbZs/a7rTE4Ur0mSqC/62i6KyEoclvgGK2HJn8cgftlkGBnZU3VVP9Ksa+zcCQ6PbK/VXAZS/w+tCHUF/YdXIF4bVDt224Vk6S2/pgU2zl5z+3T2f/gY6bAHdXCby3xkPbKTNRs7TxCFLDxza8LZ9wSLPCy8UQbWYj+2BcbiG7trAuTyXKsXItvr2Zful/OpCWoIF8eVF6Jua8C2bTRYzQ+y/Wji+vcBTFUDBTToEYU+ZTVznoYp4kxlyAEBTPjwoxhcvWQwCSyuwfNAJlsqkwopFUnwxv4Qvmk/fufqnh2trY57DuGJvw9nvEK7h1N2GhDfyFlJ+YUtuq8RbMxazFTFaYtrYMCLeSrdTZ7ZXNQdTq5qLTOl623OKRBEtQyHTAddL79Ew5wJCB7mLy8QBhq3t0fXsFifqdqUA30lOmzO2ntEnCAM0czvAqzKyrcwATMtwWKuGRgqqd54zPtbKHCQ1oag/kS7niwltxZ+hcURqW5aKL/C/8xqsPw6917++FlFtywPiJXS0zxYlgvXVmxDmUbLlPjD3yskk/2tS1JsmgAAXBw41dW/mGJJSWio3xY0Hzba4CB4F/IiSW5KnqJdULHGWDVXLAeM8o39dd5e/P2yZ8KUC1RQ8kZYAPIdqTRTLQDVtM3yf3CkTsmAu5gY3nyUMx6kxvbb1tkd0Us9fSmSE25fVe821q54mfNZtRZ6dZTzDN36L9Uqm//Z/EYlyQc1xIqJM2uQ5hr9RZq2H9Cl/zB9g26ND4ZpvcoLDDZGY4nCTwFc9wm9Mi4eO//uVWgT9TstDrsx8zHK7+ZD1tuXuk+Y0SKmXQbT/LaOi7Uk0x5L1QbteBAXguc0oEcE39C9v/C/MOLwkGfjvbicyorT/ZygbCow5Y7kzLMiQrs3kpdkmnRpeDmPYWpFVhOzF+g1Zt7QExPrT6lS/pZMlCY8xTLBV6Hap+EnG77o7KPmk4WqauCelih9tSstricYOEKGeBSc+OfsvG8N6g1bLLPOgUekXRBXCsCHSF40cj/Q0CdnxkwVV7fA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12822C-47E3-4AE5-A5C2-C916BFD3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245</Pages>
  <Words>78314</Words>
  <Characters>446396</Characters>
  <Application>Microsoft Office Word</Application>
  <DocSecurity>0</DocSecurity>
  <Lines>3719</Lines>
  <Paragraphs>1047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PwC</dc:creator>
  <cp:lastModifiedBy>Jovana Petrovic (RS)</cp:lastModifiedBy>
  <cp:revision>4</cp:revision>
  <dcterms:created xsi:type="dcterms:W3CDTF">2024-10-07T09:21:00Z</dcterms:created>
  <dcterms:modified xsi:type="dcterms:W3CDTF">2024-10-07T10:33:00Z</dcterms:modified>
</cp:coreProperties>
</file>